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098CB" w14:textId="77777777" w:rsidR="00B2442D" w:rsidRDefault="008A645F">
      <w:pPr>
        <w:jc w:val="center"/>
        <w:rPr>
          <w:rFonts w:asciiTheme="majorHAnsi" w:hAnsiTheme="majorHAnsi" w:cstheme="majorHAnsi"/>
          <w:lang w:val="es-ES_tradnl"/>
        </w:rPr>
      </w:pPr>
      <w:r>
        <w:rPr>
          <w:rFonts w:asciiTheme="majorHAnsi" w:hAnsiTheme="majorHAnsi" w:cstheme="majorHAnsi"/>
          <w:lang w:val="es-ES_tradnl"/>
        </w:rPr>
        <w:object w:dxaOrig="1155" w:dyaOrig="1230" w14:anchorId="0BE3D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1.5pt" o:ole="" fillcolor="window">
            <v:imagedata r:id="rId12" o:title=""/>
          </v:shape>
          <o:OLEObject Type="Embed" ProgID="PBrush" ShapeID="_x0000_i1025" DrawAspect="Content" ObjectID="_1715609596" r:id="rId13"/>
        </w:object>
      </w:r>
    </w:p>
    <w:p w14:paraId="06526636" w14:textId="77777777" w:rsidR="00B2442D" w:rsidRDefault="00B2442D">
      <w:pPr>
        <w:jc w:val="center"/>
        <w:rPr>
          <w:rFonts w:ascii="Arial" w:hAnsi="Arial" w:cs="Arial"/>
          <w:b/>
          <w:lang w:val="es-CO"/>
        </w:rPr>
      </w:pPr>
    </w:p>
    <w:p w14:paraId="2227DD84" w14:textId="77777777" w:rsidR="00B2442D" w:rsidRDefault="008A645F">
      <w:pPr>
        <w:jc w:val="center"/>
        <w:rPr>
          <w:rFonts w:ascii="Arial" w:hAnsi="Arial" w:cs="Arial"/>
          <w:b/>
          <w:lang w:val="es-CO"/>
        </w:rPr>
      </w:pPr>
      <w:r>
        <w:rPr>
          <w:rFonts w:ascii="Arial" w:hAnsi="Arial" w:cs="Arial"/>
          <w:b/>
          <w:lang w:val="es-CO"/>
        </w:rPr>
        <w:t>MINISTERIO DE HACIENDA Y CRÉDITO PÚBLICO</w:t>
      </w:r>
    </w:p>
    <w:p w14:paraId="6E69D7C2" w14:textId="77777777" w:rsidR="00B2442D" w:rsidRDefault="00B2442D">
      <w:pPr>
        <w:jc w:val="center"/>
        <w:rPr>
          <w:rFonts w:ascii="Arial" w:hAnsi="Arial" w:cs="Arial"/>
          <w:b/>
          <w:lang w:val="es-CO"/>
        </w:rPr>
      </w:pPr>
    </w:p>
    <w:p w14:paraId="6D872044" w14:textId="77777777" w:rsidR="00B2442D" w:rsidRDefault="008A645F">
      <w:pPr>
        <w:jc w:val="center"/>
        <w:rPr>
          <w:rFonts w:ascii="Arial" w:hAnsi="Arial" w:cs="Arial"/>
          <w:b/>
          <w:lang w:val="es-CO"/>
        </w:rPr>
      </w:pPr>
      <w:r>
        <w:rPr>
          <w:rFonts w:ascii="Arial" w:hAnsi="Arial" w:cs="Arial"/>
          <w:b/>
          <w:lang w:val="es-CO"/>
        </w:rPr>
        <w:t>DECRETO NÚMERO 1625 DE 2016</w:t>
      </w:r>
    </w:p>
    <w:p w14:paraId="73EDB507" w14:textId="77777777" w:rsidR="00B2442D" w:rsidRDefault="00B2442D">
      <w:pPr>
        <w:jc w:val="center"/>
        <w:rPr>
          <w:rFonts w:ascii="Arial" w:hAnsi="Arial" w:cs="Arial"/>
          <w:b/>
          <w:lang w:val="es-CO"/>
        </w:rPr>
      </w:pPr>
    </w:p>
    <w:p w14:paraId="0146D624" w14:textId="77777777" w:rsidR="00B2442D" w:rsidRDefault="008A645F">
      <w:pPr>
        <w:jc w:val="center"/>
        <w:rPr>
          <w:rFonts w:ascii="Arial" w:hAnsi="Arial" w:cs="Arial"/>
          <w:b/>
          <w:lang w:val="es-CO"/>
        </w:rPr>
      </w:pPr>
      <w:r>
        <w:rPr>
          <w:rFonts w:ascii="Arial" w:hAnsi="Arial" w:cs="Arial"/>
          <w:b/>
          <w:lang w:val="es-CO"/>
        </w:rPr>
        <w:t>REPÚBLICA DE COLOMBIA</w:t>
      </w:r>
    </w:p>
    <w:p w14:paraId="1591DBA7" w14:textId="77777777" w:rsidR="00B2442D" w:rsidRDefault="00B2442D">
      <w:pPr>
        <w:jc w:val="center"/>
        <w:rPr>
          <w:rFonts w:ascii="Arial" w:hAnsi="Arial" w:cs="Arial"/>
          <w:b/>
          <w:lang w:val="es-CO"/>
        </w:rPr>
      </w:pPr>
    </w:p>
    <w:p w14:paraId="17A44E78" w14:textId="77777777" w:rsidR="00B2442D" w:rsidRDefault="008A645F">
      <w:pPr>
        <w:pStyle w:val="Encabezado"/>
        <w:jc w:val="center"/>
        <w:rPr>
          <w:rFonts w:ascii="Arial" w:hAnsi="Arial" w:cs="Arial"/>
          <w:b/>
          <w:color w:val="FF0000"/>
        </w:rPr>
      </w:pPr>
      <w:r>
        <w:rPr>
          <w:rFonts w:ascii="Arial" w:hAnsi="Arial" w:cs="Arial"/>
          <w:b/>
          <w:color w:val="FF0000"/>
        </w:rPr>
        <w:t>VERSIÓN INTEGRADA CON SUS MODIFICACIONES</w:t>
      </w:r>
    </w:p>
    <w:p w14:paraId="1563046F" w14:textId="77777777" w:rsidR="00B2442D" w:rsidRDefault="008A645F">
      <w:pPr>
        <w:pStyle w:val="Encabezado"/>
        <w:jc w:val="center"/>
        <w:rPr>
          <w:rFonts w:ascii="Arial" w:hAnsi="Arial" w:cs="Arial"/>
          <w:b/>
          <w:i/>
          <w:color w:val="FF0000"/>
        </w:rPr>
      </w:pPr>
      <w:r>
        <w:rPr>
          <w:rFonts w:ascii="Arial" w:hAnsi="Arial" w:cs="Arial"/>
          <w:b/>
          <w:i/>
          <w:color w:val="FF0000"/>
        </w:rPr>
        <w:t xml:space="preserve">Esta versión incorpora las modificaciones introducidas al decreto único </w:t>
      </w:r>
      <w:r>
        <w:rPr>
          <w:rFonts w:ascii="Arial" w:hAnsi="Arial" w:cs="Arial"/>
          <w:b/>
          <w:i/>
          <w:color w:val="FF0000"/>
        </w:rPr>
        <w:t>reglamentario del sector hacienda y crédito público a partir de la fecha de su expedición.</w:t>
      </w:r>
    </w:p>
    <w:p w14:paraId="12ADE650" w14:textId="77777777" w:rsidR="00B2442D" w:rsidRDefault="008A645F">
      <w:pPr>
        <w:pStyle w:val="Encabezado"/>
        <w:jc w:val="center"/>
        <w:rPr>
          <w:rFonts w:ascii="Arial" w:hAnsi="Arial" w:cs="Arial"/>
          <w:b/>
          <w:i/>
          <w:color w:val="FF0000"/>
        </w:rPr>
      </w:pPr>
      <w:r>
        <w:rPr>
          <w:rFonts w:ascii="Arial" w:hAnsi="Arial" w:cs="Arial"/>
          <w:b/>
          <w:i/>
          <w:color w:val="FF0000"/>
        </w:rPr>
        <w:t>ÚLTIMA FECHA DE ACTUALIZACIÓN: 23 DE FEBRERO DE 2017</w:t>
      </w:r>
    </w:p>
    <w:p w14:paraId="34694DF0" w14:textId="77777777" w:rsidR="00B2442D" w:rsidRDefault="00B2442D">
      <w:pPr>
        <w:jc w:val="center"/>
        <w:rPr>
          <w:rFonts w:ascii="Arial" w:hAnsi="Arial" w:cs="Arial"/>
          <w:b/>
          <w:lang w:val="es-CO"/>
        </w:rPr>
      </w:pPr>
    </w:p>
    <w:p w14:paraId="46DFBB3A" w14:textId="77777777" w:rsidR="00B2442D" w:rsidRDefault="00B2442D">
      <w:pPr>
        <w:jc w:val="center"/>
        <w:rPr>
          <w:rFonts w:ascii="Arial" w:hAnsi="Arial" w:cs="Arial"/>
          <w:b/>
          <w:lang w:val="es-CO"/>
        </w:rPr>
      </w:pPr>
    </w:p>
    <w:p w14:paraId="101E89C3" w14:textId="77777777" w:rsidR="00B2442D" w:rsidRDefault="008A645F">
      <w:pPr>
        <w:jc w:val="center"/>
        <w:rPr>
          <w:rFonts w:ascii="Arial" w:hAnsi="Arial" w:cs="Arial"/>
          <w:i/>
          <w:lang w:val="es-CO"/>
        </w:rPr>
      </w:pPr>
      <w:r>
        <w:rPr>
          <w:rFonts w:ascii="Arial" w:hAnsi="Arial" w:cs="Arial"/>
          <w:i/>
          <w:lang w:val="es-CO"/>
        </w:rPr>
        <w:t>Por medio del cual se expide el Decreto Único Reglamentario en materia tributaria</w:t>
      </w:r>
    </w:p>
    <w:p w14:paraId="7E97A5FF" w14:textId="77777777" w:rsidR="00B2442D" w:rsidRDefault="00B2442D">
      <w:pPr>
        <w:pStyle w:val="TtuloTDC"/>
        <w:rPr>
          <w:rFonts w:ascii="Arial" w:eastAsia="MS Mincho" w:hAnsi="Arial" w:cs="Arial"/>
          <w:b/>
          <w:color w:val="auto"/>
          <w:sz w:val="24"/>
          <w:szCs w:val="24"/>
          <w:lang w:val="es-ES" w:eastAsia="es-ES"/>
        </w:rPr>
      </w:pPr>
    </w:p>
    <w:sdt>
      <w:sdtPr>
        <w:rPr>
          <w:rFonts w:ascii="Arial" w:eastAsia="MS Mincho" w:hAnsi="Arial" w:cs="Arial"/>
          <w:b/>
          <w:color w:val="auto"/>
          <w:sz w:val="24"/>
          <w:szCs w:val="24"/>
          <w:lang w:val="es-ES" w:eastAsia="es-ES"/>
        </w:rPr>
        <w:id w:val="-17398478"/>
        <w:docPartObj>
          <w:docPartGallery w:val="Table of Contents"/>
          <w:docPartUnique/>
        </w:docPartObj>
      </w:sdtPr>
      <w:sdtEndPr>
        <w:rPr>
          <w:rFonts w:ascii="Times New Roman" w:hAnsi="Times New Roman" w:cs="Times New Roman"/>
          <w:bCs/>
        </w:rPr>
      </w:sdtEndPr>
      <w:sdtContent>
        <w:p w14:paraId="1AC835A1" w14:textId="77777777" w:rsidR="00B2442D" w:rsidRDefault="008A645F">
          <w:pPr>
            <w:pStyle w:val="TtuloTDC"/>
            <w:rPr>
              <w:rFonts w:ascii="Arial" w:hAnsi="Arial" w:cs="Arial"/>
              <w:b/>
            </w:rPr>
          </w:pPr>
          <w:r>
            <w:rPr>
              <w:rFonts w:ascii="Arial" w:hAnsi="Arial" w:cs="Arial"/>
              <w:b/>
              <w:lang w:val="es-ES"/>
            </w:rPr>
            <w:t>Contenido</w:t>
          </w:r>
        </w:p>
        <w:p w14:paraId="0DBE1D0F"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r>
            <w:fldChar w:fldCharType="begin"/>
          </w:r>
          <w:r>
            <w:instrText xml:space="preserve"> TOC \o "1-3" \h \z \u </w:instrText>
          </w:r>
          <w:r>
            <w:fldChar w:fldCharType="separate"/>
          </w:r>
          <w:hyperlink w:anchor="_Toc479171155" w:history="1">
            <w:r>
              <w:rPr>
                <w:rStyle w:val="Hipervnculo"/>
                <w:noProof/>
              </w:rPr>
              <w:t>LIBRO 1</w:t>
            </w:r>
            <w:r>
              <w:rPr>
                <w:noProof/>
                <w:webHidden/>
              </w:rPr>
              <w:tab/>
            </w:r>
            <w:r>
              <w:rPr>
                <w:noProof/>
                <w:webHidden/>
              </w:rPr>
              <w:fldChar w:fldCharType="begin"/>
            </w:r>
            <w:r>
              <w:rPr>
                <w:noProof/>
                <w:webHidden/>
              </w:rPr>
              <w:instrText xml:space="preserve"> PAGEREF _Toc479171155 \h </w:instrText>
            </w:r>
            <w:r>
              <w:rPr>
                <w:noProof/>
                <w:webHidden/>
              </w:rPr>
            </w:r>
            <w:r>
              <w:rPr>
                <w:noProof/>
                <w:webHidden/>
              </w:rPr>
              <w:fldChar w:fldCharType="separate"/>
            </w:r>
            <w:r>
              <w:rPr>
                <w:noProof/>
                <w:webHidden/>
              </w:rPr>
              <w:t>4</w:t>
            </w:r>
            <w:r>
              <w:rPr>
                <w:noProof/>
                <w:webHidden/>
              </w:rPr>
              <w:fldChar w:fldCharType="end"/>
            </w:r>
          </w:hyperlink>
        </w:p>
        <w:p w14:paraId="516D8B6F"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hyperlink w:anchor="_Toc479171156" w:history="1">
            <w:r>
              <w:rPr>
                <w:rStyle w:val="Hipervnculo"/>
                <w:noProof/>
              </w:rPr>
              <w:t>Reglamento de impuestos del orden nacional</w:t>
            </w:r>
            <w:r>
              <w:rPr>
                <w:noProof/>
                <w:webHidden/>
              </w:rPr>
              <w:tab/>
            </w:r>
            <w:r>
              <w:rPr>
                <w:noProof/>
                <w:webHidden/>
              </w:rPr>
              <w:fldChar w:fldCharType="begin"/>
            </w:r>
            <w:r>
              <w:rPr>
                <w:noProof/>
                <w:webHidden/>
              </w:rPr>
              <w:instrText xml:space="preserve"> PAGEREF _Toc47917115</w:instrText>
            </w:r>
            <w:r>
              <w:rPr>
                <w:noProof/>
                <w:webHidden/>
              </w:rPr>
              <w:instrText xml:space="preserve">6 \h </w:instrText>
            </w:r>
            <w:r>
              <w:rPr>
                <w:noProof/>
                <w:webHidden/>
              </w:rPr>
            </w:r>
            <w:r>
              <w:rPr>
                <w:noProof/>
                <w:webHidden/>
              </w:rPr>
              <w:fldChar w:fldCharType="separate"/>
            </w:r>
            <w:r>
              <w:rPr>
                <w:noProof/>
                <w:webHidden/>
              </w:rPr>
              <w:t>4</w:t>
            </w:r>
            <w:r>
              <w:rPr>
                <w:noProof/>
                <w:webHidden/>
              </w:rPr>
              <w:fldChar w:fldCharType="end"/>
            </w:r>
          </w:hyperlink>
        </w:p>
        <w:p w14:paraId="728B09FF"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57" w:history="1">
            <w:r>
              <w:rPr>
                <w:rStyle w:val="Hipervnculo"/>
                <w:noProof/>
              </w:rPr>
              <w:t>PARTE 1</w:t>
            </w:r>
            <w:r>
              <w:rPr>
                <w:noProof/>
                <w:webHidden/>
              </w:rPr>
              <w:tab/>
            </w:r>
            <w:r>
              <w:rPr>
                <w:noProof/>
                <w:webHidden/>
              </w:rPr>
              <w:fldChar w:fldCharType="begin"/>
            </w:r>
            <w:r>
              <w:rPr>
                <w:noProof/>
                <w:webHidden/>
              </w:rPr>
              <w:instrText xml:space="preserve"> PAGEREF _Toc479171157 \h </w:instrText>
            </w:r>
            <w:r>
              <w:rPr>
                <w:noProof/>
                <w:webHidden/>
              </w:rPr>
            </w:r>
            <w:r>
              <w:rPr>
                <w:noProof/>
                <w:webHidden/>
              </w:rPr>
              <w:fldChar w:fldCharType="separate"/>
            </w:r>
            <w:r>
              <w:rPr>
                <w:noProof/>
                <w:webHidden/>
              </w:rPr>
              <w:t>5</w:t>
            </w:r>
            <w:r>
              <w:rPr>
                <w:noProof/>
                <w:webHidden/>
              </w:rPr>
              <w:fldChar w:fldCharType="end"/>
            </w:r>
          </w:hyperlink>
        </w:p>
        <w:p w14:paraId="5B0B7252"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58" w:history="1">
            <w:r>
              <w:rPr>
                <w:rStyle w:val="Hipervnculo"/>
                <w:noProof/>
              </w:rPr>
              <w:t>Generalidade</w:t>
            </w:r>
            <w:r>
              <w:rPr>
                <w:rStyle w:val="Hipervnculo"/>
                <w:noProof/>
              </w:rPr>
              <w:t>s</w:t>
            </w:r>
            <w:r>
              <w:rPr>
                <w:noProof/>
                <w:webHidden/>
              </w:rPr>
              <w:tab/>
            </w:r>
            <w:r>
              <w:rPr>
                <w:noProof/>
                <w:webHidden/>
              </w:rPr>
              <w:fldChar w:fldCharType="begin"/>
            </w:r>
            <w:r>
              <w:rPr>
                <w:noProof/>
                <w:webHidden/>
              </w:rPr>
              <w:instrText xml:space="preserve"> PAGEREF _Toc479171158 \h </w:instrText>
            </w:r>
            <w:r>
              <w:rPr>
                <w:noProof/>
                <w:webHidden/>
              </w:rPr>
            </w:r>
            <w:r>
              <w:rPr>
                <w:noProof/>
                <w:webHidden/>
              </w:rPr>
              <w:fldChar w:fldCharType="separate"/>
            </w:r>
            <w:r>
              <w:rPr>
                <w:noProof/>
                <w:webHidden/>
              </w:rPr>
              <w:t>5</w:t>
            </w:r>
            <w:r>
              <w:rPr>
                <w:noProof/>
                <w:webHidden/>
              </w:rPr>
              <w:fldChar w:fldCharType="end"/>
            </w:r>
          </w:hyperlink>
        </w:p>
        <w:p w14:paraId="612DA933"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59" w:history="1">
            <w:r>
              <w:rPr>
                <w:rStyle w:val="Hipervnculo"/>
                <w:noProof/>
              </w:rPr>
              <w:t>PARTE 2</w:t>
            </w:r>
            <w:r>
              <w:rPr>
                <w:noProof/>
                <w:webHidden/>
              </w:rPr>
              <w:tab/>
            </w:r>
            <w:r>
              <w:rPr>
                <w:noProof/>
                <w:webHidden/>
              </w:rPr>
              <w:fldChar w:fldCharType="begin"/>
            </w:r>
            <w:r>
              <w:rPr>
                <w:noProof/>
                <w:webHidden/>
              </w:rPr>
              <w:instrText xml:space="preserve"> PAGEREF _Toc479171159 \h </w:instrText>
            </w:r>
            <w:r>
              <w:rPr>
                <w:noProof/>
                <w:webHidden/>
              </w:rPr>
            </w:r>
            <w:r>
              <w:rPr>
                <w:noProof/>
                <w:webHidden/>
              </w:rPr>
              <w:fldChar w:fldCharType="separate"/>
            </w:r>
            <w:r>
              <w:rPr>
                <w:noProof/>
                <w:webHidden/>
              </w:rPr>
              <w:t>5</w:t>
            </w:r>
            <w:r>
              <w:rPr>
                <w:noProof/>
                <w:webHidden/>
              </w:rPr>
              <w:fldChar w:fldCharType="end"/>
            </w:r>
          </w:hyperlink>
        </w:p>
        <w:p w14:paraId="2FC0FB92"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60" w:history="1">
            <w:r>
              <w:rPr>
                <w:rStyle w:val="Hipervnculo"/>
                <w:noProof/>
              </w:rPr>
              <w:t>Impuesto sobre la renta y complementario de ganancias ocasionales, precios de transferencia, retención en la fuente y autorretención.</w:t>
            </w:r>
            <w:r>
              <w:rPr>
                <w:noProof/>
                <w:webHidden/>
              </w:rPr>
              <w:tab/>
            </w:r>
            <w:r>
              <w:rPr>
                <w:noProof/>
                <w:webHidden/>
              </w:rPr>
              <w:fldChar w:fldCharType="begin"/>
            </w:r>
            <w:r>
              <w:rPr>
                <w:noProof/>
                <w:webHidden/>
              </w:rPr>
              <w:instrText xml:space="preserve"> PAGEREF _Toc479171160 \</w:instrText>
            </w:r>
            <w:r>
              <w:rPr>
                <w:noProof/>
                <w:webHidden/>
              </w:rPr>
              <w:instrText xml:space="preserve">h </w:instrText>
            </w:r>
            <w:r>
              <w:rPr>
                <w:noProof/>
                <w:webHidden/>
              </w:rPr>
            </w:r>
            <w:r>
              <w:rPr>
                <w:noProof/>
                <w:webHidden/>
              </w:rPr>
              <w:fldChar w:fldCharType="separate"/>
            </w:r>
            <w:r>
              <w:rPr>
                <w:noProof/>
                <w:webHidden/>
              </w:rPr>
              <w:t>5</w:t>
            </w:r>
            <w:r>
              <w:rPr>
                <w:noProof/>
                <w:webHidden/>
              </w:rPr>
              <w:fldChar w:fldCharType="end"/>
            </w:r>
          </w:hyperlink>
        </w:p>
        <w:p w14:paraId="197FD50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1" w:history="1">
            <w:r>
              <w:rPr>
                <w:rStyle w:val="Hipervnculo"/>
                <w:noProof/>
              </w:rPr>
              <w:t>TÍTULO 1</w:t>
            </w:r>
            <w:r>
              <w:rPr>
                <w:noProof/>
                <w:webHidden/>
              </w:rPr>
              <w:tab/>
            </w:r>
            <w:r>
              <w:rPr>
                <w:noProof/>
                <w:webHidden/>
              </w:rPr>
              <w:fldChar w:fldCharType="begin"/>
            </w:r>
            <w:r>
              <w:rPr>
                <w:noProof/>
                <w:webHidden/>
              </w:rPr>
              <w:instrText xml:space="preserve"> PAGEREF _Toc479171161 \h </w:instrText>
            </w:r>
            <w:r>
              <w:rPr>
                <w:noProof/>
                <w:webHidden/>
              </w:rPr>
            </w:r>
            <w:r>
              <w:rPr>
                <w:noProof/>
                <w:webHidden/>
              </w:rPr>
              <w:fldChar w:fldCharType="separate"/>
            </w:r>
            <w:r>
              <w:rPr>
                <w:noProof/>
                <w:webHidden/>
              </w:rPr>
              <w:t>5</w:t>
            </w:r>
            <w:r>
              <w:rPr>
                <w:noProof/>
                <w:webHidden/>
              </w:rPr>
              <w:fldChar w:fldCharType="end"/>
            </w:r>
          </w:hyperlink>
        </w:p>
        <w:p w14:paraId="581D125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2" w:history="1">
            <w:r>
              <w:rPr>
                <w:rStyle w:val="Hipervnculo"/>
                <w:noProof/>
              </w:rPr>
              <w:t>Impuesto sobre</w:t>
            </w:r>
            <w:r>
              <w:rPr>
                <w:rStyle w:val="Hipervnculo"/>
                <w:noProof/>
              </w:rPr>
              <w:t xml:space="preserve"> la renta</w:t>
            </w:r>
            <w:r>
              <w:rPr>
                <w:noProof/>
                <w:webHidden/>
              </w:rPr>
              <w:tab/>
            </w:r>
            <w:r>
              <w:rPr>
                <w:noProof/>
                <w:webHidden/>
              </w:rPr>
              <w:fldChar w:fldCharType="begin"/>
            </w:r>
            <w:r>
              <w:rPr>
                <w:noProof/>
                <w:webHidden/>
              </w:rPr>
              <w:instrText xml:space="preserve"> PAGEREF _Toc479171162 \h </w:instrText>
            </w:r>
            <w:r>
              <w:rPr>
                <w:noProof/>
                <w:webHidden/>
              </w:rPr>
            </w:r>
            <w:r>
              <w:rPr>
                <w:noProof/>
                <w:webHidden/>
              </w:rPr>
              <w:fldChar w:fldCharType="separate"/>
            </w:r>
            <w:r>
              <w:rPr>
                <w:noProof/>
                <w:webHidden/>
              </w:rPr>
              <w:t>5</w:t>
            </w:r>
            <w:r>
              <w:rPr>
                <w:noProof/>
                <w:webHidden/>
              </w:rPr>
              <w:fldChar w:fldCharType="end"/>
            </w:r>
          </w:hyperlink>
        </w:p>
        <w:p w14:paraId="6E564DE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3" w:history="1">
            <w:r>
              <w:rPr>
                <w:rStyle w:val="Hipervnculo"/>
                <w:noProof/>
              </w:rPr>
              <w:t>TÍTULO 2</w:t>
            </w:r>
            <w:r>
              <w:rPr>
                <w:noProof/>
                <w:webHidden/>
              </w:rPr>
              <w:tab/>
            </w:r>
            <w:r>
              <w:rPr>
                <w:noProof/>
                <w:webHidden/>
              </w:rPr>
              <w:fldChar w:fldCharType="begin"/>
            </w:r>
            <w:r>
              <w:rPr>
                <w:noProof/>
                <w:webHidden/>
              </w:rPr>
              <w:instrText xml:space="preserve"> PAGEREF _Toc479171163 \h </w:instrText>
            </w:r>
            <w:r>
              <w:rPr>
                <w:noProof/>
                <w:webHidden/>
              </w:rPr>
            </w:r>
            <w:r>
              <w:rPr>
                <w:noProof/>
                <w:webHidden/>
              </w:rPr>
              <w:fldChar w:fldCharType="separate"/>
            </w:r>
            <w:r>
              <w:rPr>
                <w:noProof/>
                <w:webHidden/>
              </w:rPr>
              <w:t>133</w:t>
            </w:r>
            <w:r>
              <w:rPr>
                <w:noProof/>
                <w:webHidden/>
              </w:rPr>
              <w:fldChar w:fldCharType="end"/>
            </w:r>
          </w:hyperlink>
        </w:p>
        <w:p w14:paraId="7FF87C9F"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4" w:history="1">
            <w:r>
              <w:rPr>
                <w:rStyle w:val="Hipervnculo"/>
                <w:noProof/>
              </w:rPr>
              <w:t>Precios de Transferencia</w:t>
            </w:r>
            <w:r>
              <w:rPr>
                <w:noProof/>
                <w:webHidden/>
              </w:rPr>
              <w:tab/>
            </w:r>
            <w:r>
              <w:rPr>
                <w:noProof/>
                <w:webHidden/>
              </w:rPr>
              <w:fldChar w:fldCharType="begin"/>
            </w:r>
            <w:r>
              <w:rPr>
                <w:noProof/>
                <w:webHidden/>
              </w:rPr>
              <w:instrText xml:space="preserve"> PAGEREF _Toc479171164 \h </w:instrText>
            </w:r>
            <w:r>
              <w:rPr>
                <w:noProof/>
                <w:webHidden/>
              </w:rPr>
            </w:r>
            <w:r>
              <w:rPr>
                <w:noProof/>
                <w:webHidden/>
              </w:rPr>
              <w:fldChar w:fldCharType="separate"/>
            </w:r>
            <w:r>
              <w:rPr>
                <w:noProof/>
                <w:webHidden/>
              </w:rPr>
              <w:t>133</w:t>
            </w:r>
            <w:r>
              <w:rPr>
                <w:noProof/>
                <w:webHidden/>
              </w:rPr>
              <w:fldChar w:fldCharType="end"/>
            </w:r>
          </w:hyperlink>
        </w:p>
        <w:p w14:paraId="7AD1E5F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5" w:history="1">
            <w:r>
              <w:rPr>
                <w:rStyle w:val="Hipervnculo"/>
                <w:noProof/>
              </w:rPr>
              <w:t>TÍTULO 3</w:t>
            </w:r>
            <w:r>
              <w:rPr>
                <w:noProof/>
                <w:webHidden/>
              </w:rPr>
              <w:tab/>
            </w:r>
            <w:r>
              <w:rPr>
                <w:noProof/>
                <w:webHidden/>
              </w:rPr>
              <w:fldChar w:fldCharType="begin"/>
            </w:r>
            <w:r>
              <w:rPr>
                <w:noProof/>
                <w:webHidden/>
              </w:rPr>
              <w:instrText xml:space="preserve"> PAGEREF _Toc479171165 \h </w:instrText>
            </w:r>
            <w:r>
              <w:rPr>
                <w:noProof/>
                <w:webHidden/>
              </w:rPr>
            </w:r>
            <w:r>
              <w:rPr>
                <w:noProof/>
                <w:webHidden/>
              </w:rPr>
              <w:fldChar w:fldCharType="separate"/>
            </w:r>
            <w:r>
              <w:rPr>
                <w:noProof/>
                <w:webHidden/>
              </w:rPr>
              <w:t>162</w:t>
            </w:r>
            <w:r>
              <w:rPr>
                <w:noProof/>
                <w:webHidden/>
              </w:rPr>
              <w:fldChar w:fldCharType="end"/>
            </w:r>
          </w:hyperlink>
        </w:p>
        <w:p w14:paraId="616FCE21"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6" w:history="1">
            <w:r>
              <w:rPr>
                <w:rStyle w:val="Hipervnculo"/>
                <w:noProof/>
              </w:rPr>
              <w:t>Impuesto complementario de ganancias ocasionales</w:t>
            </w:r>
            <w:r>
              <w:rPr>
                <w:noProof/>
                <w:webHidden/>
              </w:rPr>
              <w:tab/>
            </w:r>
            <w:r>
              <w:rPr>
                <w:noProof/>
                <w:webHidden/>
              </w:rPr>
              <w:fldChar w:fldCharType="begin"/>
            </w:r>
            <w:r>
              <w:rPr>
                <w:noProof/>
                <w:webHidden/>
              </w:rPr>
              <w:instrText xml:space="preserve"> PAGEREF _Toc479171166 \h </w:instrText>
            </w:r>
            <w:r>
              <w:rPr>
                <w:noProof/>
                <w:webHidden/>
              </w:rPr>
            </w:r>
            <w:r>
              <w:rPr>
                <w:noProof/>
                <w:webHidden/>
              </w:rPr>
              <w:fldChar w:fldCharType="separate"/>
            </w:r>
            <w:r>
              <w:rPr>
                <w:noProof/>
                <w:webHidden/>
              </w:rPr>
              <w:t>162</w:t>
            </w:r>
            <w:r>
              <w:rPr>
                <w:noProof/>
                <w:webHidden/>
              </w:rPr>
              <w:fldChar w:fldCharType="end"/>
            </w:r>
          </w:hyperlink>
        </w:p>
        <w:p w14:paraId="1943B802"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7" w:history="1">
            <w:r>
              <w:rPr>
                <w:rStyle w:val="Hipervnculo"/>
                <w:noProof/>
              </w:rPr>
              <w:t>TÍTULO 4</w:t>
            </w:r>
            <w:r>
              <w:rPr>
                <w:noProof/>
                <w:webHidden/>
              </w:rPr>
              <w:tab/>
            </w:r>
            <w:r>
              <w:rPr>
                <w:noProof/>
                <w:webHidden/>
              </w:rPr>
              <w:fldChar w:fldCharType="begin"/>
            </w:r>
            <w:r>
              <w:rPr>
                <w:noProof/>
                <w:webHidden/>
              </w:rPr>
              <w:instrText xml:space="preserve"> PAGEREF _Toc479171167 \h </w:instrText>
            </w:r>
            <w:r>
              <w:rPr>
                <w:noProof/>
                <w:webHidden/>
              </w:rPr>
            </w:r>
            <w:r>
              <w:rPr>
                <w:noProof/>
                <w:webHidden/>
              </w:rPr>
              <w:fldChar w:fldCharType="separate"/>
            </w:r>
            <w:r>
              <w:rPr>
                <w:noProof/>
                <w:webHidden/>
              </w:rPr>
              <w:t>167</w:t>
            </w:r>
            <w:r>
              <w:rPr>
                <w:noProof/>
                <w:webHidden/>
              </w:rPr>
              <w:fldChar w:fldCharType="end"/>
            </w:r>
          </w:hyperlink>
        </w:p>
        <w:p w14:paraId="55F6ED6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8" w:history="1">
            <w:r>
              <w:rPr>
                <w:rStyle w:val="Hipervnculo"/>
                <w:noProof/>
              </w:rPr>
              <w:t>Retención en la fuente a título de impuesto sobre la renta y complementario</w:t>
            </w:r>
            <w:r>
              <w:rPr>
                <w:noProof/>
                <w:webHidden/>
              </w:rPr>
              <w:tab/>
            </w:r>
            <w:r>
              <w:rPr>
                <w:noProof/>
                <w:webHidden/>
              </w:rPr>
              <w:fldChar w:fldCharType="begin"/>
            </w:r>
            <w:r>
              <w:rPr>
                <w:noProof/>
                <w:webHidden/>
              </w:rPr>
              <w:instrText xml:space="preserve"> PAGEREF _Toc47917</w:instrText>
            </w:r>
            <w:r>
              <w:rPr>
                <w:noProof/>
                <w:webHidden/>
              </w:rPr>
              <w:instrText xml:space="preserve">1168 \h </w:instrText>
            </w:r>
            <w:r>
              <w:rPr>
                <w:noProof/>
                <w:webHidden/>
              </w:rPr>
            </w:r>
            <w:r>
              <w:rPr>
                <w:noProof/>
                <w:webHidden/>
              </w:rPr>
              <w:fldChar w:fldCharType="separate"/>
            </w:r>
            <w:r>
              <w:rPr>
                <w:noProof/>
                <w:webHidden/>
              </w:rPr>
              <w:t>167</w:t>
            </w:r>
            <w:r>
              <w:rPr>
                <w:noProof/>
                <w:webHidden/>
              </w:rPr>
              <w:fldChar w:fldCharType="end"/>
            </w:r>
          </w:hyperlink>
        </w:p>
        <w:p w14:paraId="7CFE8FF6"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69" w:history="1">
            <w:r>
              <w:rPr>
                <w:rStyle w:val="Hipervnculo"/>
                <w:noProof/>
              </w:rPr>
              <w:t>TÍTULO 5</w:t>
            </w:r>
            <w:r>
              <w:rPr>
                <w:noProof/>
                <w:webHidden/>
              </w:rPr>
              <w:tab/>
            </w:r>
            <w:r>
              <w:rPr>
                <w:noProof/>
                <w:webHidden/>
              </w:rPr>
              <w:fldChar w:fldCharType="begin"/>
            </w:r>
            <w:r>
              <w:rPr>
                <w:noProof/>
                <w:webHidden/>
              </w:rPr>
              <w:instrText xml:space="preserve"> PAGEREF _Toc479171169 \h </w:instrText>
            </w:r>
            <w:r>
              <w:rPr>
                <w:noProof/>
                <w:webHidden/>
              </w:rPr>
            </w:r>
            <w:r>
              <w:rPr>
                <w:noProof/>
                <w:webHidden/>
              </w:rPr>
              <w:fldChar w:fldCharType="separate"/>
            </w:r>
            <w:r>
              <w:rPr>
                <w:noProof/>
                <w:webHidden/>
              </w:rPr>
              <w:t>257</w:t>
            </w:r>
            <w:r>
              <w:rPr>
                <w:noProof/>
                <w:webHidden/>
              </w:rPr>
              <w:fldChar w:fldCharType="end"/>
            </w:r>
          </w:hyperlink>
        </w:p>
        <w:p w14:paraId="4CE5C0C2"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0" w:history="1">
            <w:r>
              <w:rPr>
                <w:rStyle w:val="Hipervnculo"/>
                <w:noProof/>
              </w:rPr>
              <w:t>Rete</w:t>
            </w:r>
            <w:r>
              <w:rPr>
                <w:rStyle w:val="Hipervnculo"/>
                <w:noProof/>
              </w:rPr>
              <w:t>nción en la fuente a título de ganancias ocasionales</w:t>
            </w:r>
            <w:r>
              <w:rPr>
                <w:noProof/>
                <w:webHidden/>
              </w:rPr>
              <w:tab/>
            </w:r>
            <w:r>
              <w:rPr>
                <w:noProof/>
                <w:webHidden/>
              </w:rPr>
              <w:fldChar w:fldCharType="begin"/>
            </w:r>
            <w:r>
              <w:rPr>
                <w:noProof/>
                <w:webHidden/>
              </w:rPr>
              <w:instrText xml:space="preserve"> PAGEREF _Toc479171170 \h </w:instrText>
            </w:r>
            <w:r>
              <w:rPr>
                <w:noProof/>
                <w:webHidden/>
              </w:rPr>
            </w:r>
            <w:r>
              <w:rPr>
                <w:noProof/>
                <w:webHidden/>
              </w:rPr>
              <w:fldChar w:fldCharType="separate"/>
            </w:r>
            <w:r>
              <w:rPr>
                <w:noProof/>
                <w:webHidden/>
              </w:rPr>
              <w:t>257</w:t>
            </w:r>
            <w:r>
              <w:rPr>
                <w:noProof/>
                <w:webHidden/>
              </w:rPr>
              <w:fldChar w:fldCharType="end"/>
            </w:r>
          </w:hyperlink>
        </w:p>
        <w:p w14:paraId="2520BE00"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1" w:history="1">
            <w:r>
              <w:rPr>
                <w:rStyle w:val="Hipervnculo"/>
                <w:noProof/>
              </w:rPr>
              <w:t>TÍTULO 6</w:t>
            </w:r>
            <w:r>
              <w:rPr>
                <w:noProof/>
                <w:webHidden/>
              </w:rPr>
              <w:tab/>
            </w:r>
            <w:r>
              <w:rPr>
                <w:noProof/>
                <w:webHidden/>
              </w:rPr>
              <w:fldChar w:fldCharType="begin"/>
            </w:r>
            <w:r>
              <w:rPr>
                <w:noProof/>
                <w:webHidden/>
              </w:rPr>
              <w:instrText xml:space="preserve"> PAGEREF _Toc479171171 \h </w:instrText>
            </w:r>
            <w:r>
              <w:rPr>
                <w:noProof/>
                <w:webHidden/>
              </w:rPr>
            </w:r>
            <w:r>
              <w:rPr>
                <w:noProof/>
                <w:webHidden/>
              </w:rPr>
              <w:fldChar w:fldCharType="separate"/>
            </w:r>
            <w:r>
              <w:rPr>
                <w:noProof/>
                <w:webHidden/>
              </w:rPr>
              <w:t>258</w:t>
            </w:r>
            <w:r>
              <w:rPr>
                <w:noProof/>
                <w:webHidden/>
              </w:rPr>
              <w:fldChar w:fldCharType="end"/>
            </w:r>
          </w:hyperlink>
        </w:p>
        <w:p w14:paraId="7425D293"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2" w:history="1">
            <w:r>
              <w:rPr>
                <w:rStyle w:val="Hipervnculo"/>
                <w:noProof/>
              </w:rPr>
              <w:t>Autorretención a t</w:t>
            </w:r>
            <w:r>
              <w:rPr>
                <w:rStyle w:val="Hipervnculo"/>
                <w:noProof/>
              </w:rPr>
              <w:t>ítulo de impuesto sobre la renta</w:t>
            </w:r>
            <w:r>
              <w:rPr>
                <w:noProof/>
                <w:webHidden/>
              </w:rPr>
              <w:tab/>
            </w:r>
            <w:r>
              <w:rPr>
                <w:noProof/>
                <w:webHidden/>
              </w:rPr>
              <w:fldChar w:fldCharType="begin"/>
            </w:r>
            <w:r>
              <w:rPr>
                <w:noProof/>
                <w:webHidden/>
              </w:rPr>
              <w:instrText xml:space="preserve"> PAGEREF _Toc479171172 \h </w:instrText>
            </w:r>
            <w:r>
              <w:rPr>
                <w:noProof/>
                <w:webHidden/>
              </w:rPr>
            </w:r>
            <w:r>
              <w:rPr>
                <w:noProof/>
                <w:webHidden/>
              </w:rPr>
              <w:fldChar w:fldCharType="separate"/>
            </w:r>
            <w:r>
              <w:rPr>
                <w:noProof/>
                <w:webHidden/>
              </w:rPr>
              <w:t>258</w:t>
            </w:r>
            <w:r>
              <w:rPr>
                <w:noProof/>
                <w:webHidden/>
              </w:rPr>
              <w:fldChar w:fldCharType="end"/>
            </w:r>
          </w:hyperlink>
        </w:p>
        <w:p w14:paraId="6A0C43AA"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73" w:history="1">
            <w:r>
              <w:rPr>
                <w:rStyle w:val="Hipervnculo"/>
                <w:noProof/>
              </w:rPr>
              <w:t>PARTE 3</w:t>
            </w:r>
            <w:r>
              <w:rPr>
                <w:noProof/>
                <w:webHidden/>
              </w:rPr>
              <w:tab/>
            </w:r>
            <w:r>
              <w:rPr>
                <w:noProof/>
                <w:webHidden/>
              </w:rPr>
              <w:fldChar w:fldCharType="begin"/>
            </w:r>
            <w:r>
              <w:rPr>
                <w:noProof/>
                <w:webHidden/>
              </w:rPr>
              <w:instrText xml:space="preserve"> PAGEREF _Toc479171173 \h </w:instrText>
            </w:r>
            <w:r>
              <w:rPr>
                <w:noProof/>
                <w:webHidden/>
              </w:rPr>
            </w:r>
            <w:r>
              <w:rPr>
                <w:noProof/>
                <w:webHidden/>
              </w:rPr>
              <w:fldChar w:fldCharType="separate"/>
            </w:r>
            <w:r>
              <w:rPr>
                <w:noProof/>
                <w:webHidden/>
              </w:rPr>
              <w:t>276</w:t>
            </w:r>
            <w:r>
              <w:rPr>
                <w:noProof/>
                <w:webHidden/>
              </w:rPr>
              <w:fldChar w:fldCharType="end"/>
            </w:r>
          </w:hyperlink>
        </w:p>
        <w:p w14:paraId="738CD11B"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74" w:history="1">
            <w:r>
              <w:rPr>
                <w:rStyle w:val="Hipervnculo"/>
                <w:noProof/>
              </w:rPr>
              <w:t>Impuesto sobre las ventas – IVA, retención en la fuente a título de impuesto sobre las ventas e impuesto al consumo</w:t>
            </w:r>
            <w:r>
              <w:rPr>
                <w:noProof/>
                <w:webHidden/>
              </w:rPr>
              <w:tab/>
            </w:r>
            <w:r>
              <w:rPr>
                <w:noProof/>
                <w:webHidden/>
              </w:rPr>
              <w:fldChar w:fldCharType="begin"/>
            </w:r>
            <w:r>
              <w:rPr>
                <w:noProof/>
                <w:webHidden/>
              </w:rPr>
              <w:instrText xml:space="preserve"> PAGEREF _Toc479171174 \h </w:instrText>
            </w:r>
            <w:r>
              <w:rPr>
                <w:noProof/>
                <w:webHidden/>
              </w:rPr>
            </w:r>
            <w:r>
              <w:rPr>
                <w:noProof/>
                <w:webHidden/>
              </w:rPr>
              <w:fldChar w:fldCharType="separate"/>
            </w:r>
            <w:r>
              <w:rPr>
                <w:noProof/>
                <w:webHidden/>
              </w:rPr>
              <w:t>276</w:t>
            </w:r>
            <w:r>
              <w:rPr>
                <w:noProof/>
                <w:webHidden/>
              </w:rPr>
              <w:fldChar w:fldCharType="end"/>
            </w:r>
          </w:hyperlink>
        </w:p>
        <w:p w14:paraId="7C3EFEC7"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5" w:history="1">
            <w:r>
              <w:rPr>
                <w:rStyle w:val="Hipervnculo"/>
                <w:noProof/>
              </w:rPr>
              <w:t>TÍTULO 1</w:t>
            </w:r>
            <w:r>
              <w:rPr>
                <w:noProof/>
                <w:webHidden/>
              </w:rPr>
              <w:tab/>
            </w:r>
            <w:r>
              <w:rPr>
                <w:noProof/>
                <w:webHidden/>
              </w:rPr>
              <w:fldChar w:fldCharType="begin"/>
            </w:r>
            <w:r>
              <w:rPr>
                <w:noProof/>
                <w:webHidden/>
              </w:rPr>
              <w:instrText xml:space="preserve"> PAGEREF _Toc479171175 \h </w:instrText>
            </w:r>
            <w:r>
              <w:rPr>
                <w:noProof/>
                <w:webHidden/>
              </w:rPr>
            </w:r>
            <w:r>
              <w:rPr>
                <w:noProof/>
                <w:webHidden/>
              </w:rPr>
              <w:fldChar w:fldCharType="separate"/>
            </w:r>
            <w:r>
              <w:rPr>
                <w:noProof/>
                <w:webHidden/>
              </w:rPr>
              <w:t>276</w:t>
            </w:r>
            <w:r>
              <w:rPr>
                <w:noProof/>
                <w:webHidden/>
              </w:rPr>
              <w:fldChar w:fldCharType="end"/>
            </w:r>
          </w:hyperlink>
        </w:p>
        <w:p w14:paraId="17C10FCE"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6" w:history="1">
            <w:r>
              <w:rPr>
                <w:rStyle w:val="Hipervnculo"/>
                <w:noProof/>
              </w:rPr>
              <w:t>Impuesto sobre las ventas – IVA</w:t>
            </w:r>
            <w:r>
              <w:rPr>
                <w:noProof/>
                <w:webHidden/>
              </w:rPr>
              <w:tab/>
            </w:r>
            <w:r>
              <w:rPr>
                <w:noProof/>
                <w:webHidden/>
              </w:rPr>
              <w:fldChar w:fldCharType="begin"/>
            </w:r>
            <w:r>
              <w:rPr>
                <w:noProof/>
                <w:webHidden/>
              </w:rPr>
              <w:instrText xml:space="preserve"> PAGEREF _Toc479171176 \h </w:instrText>
            </w:r>
            <w:r>
              <w:rPr>
                <w:noProof/>
                <w:webHidden/>
              </w:rPr>
            </w:r>
            <w:r>
              <w:rPr>
                <w:noProof/>
                <w:webHidden/>
              </w:rPr>
              <w:fldChar w:fldCharType="separate"/>
            </w:r>
            <w:r>
              <w:rPr>
                <w:noProof/>
                <w:webHidden/>
              </w:rPr>
              <w:t>276</w:t>
            </w:r>
            <w:r>
              <w:rPr>
                <w:noProof/>
                <w:webHidden/>
              </w:rPr>
              <w:fldChar w:fldCharType="end"/>
            </w:r>
          </w:hyperlink>
        </w:p>
        <w:p w14:paraId="648820E2"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7" w:history="1">
            <w:r>
              <w:rPr>
                <w:rStyle w:val="Hipervnculo"/>
                <w:noProof/>
              </w:rPr>
              <w:t>TÍTULO 2</w:t>
            </w:r>
            <w:r>
              <w:rPr>
                <w:noProof/>
                <w:webHidden/>
              </w:rPr>
              <w:tab/>
            </w:r>
            <w:r>
              <w:rPr>
                <w:noProof/>
                <w:webHidden/>
              </w:rPr>
              <w:fldChar w:fldCharType="begin"/>
            </w:r>
            <w:r>
              <w:rPr>
                <w:noProof/>
                <w:webHidden/>
              </w:rPr>
              <w:instrText xml:space="preserve"> PAGEREF _Toc479171177 \h </w:instrText>
            </w:r>
            <w:r>
              <w:rPr>
                <w:noProof/>
                <w:webHidden/>
              </w:rPr>
            </w:r>
            <w:r>
              <w:rPr>
                <w:noProof/>
                <w:webHidden/>
              </w:rPr>
              <w:fldChar w:fldCharType="separate"/>
            </w:r>
            <w:r>
              <w:rPr>
                <w:noProof/>
                <w:webHidden/>
              </w:rPr>
              <w:t>324</w:t>
            </w:r>
            <w:r>
              <w:rPr>
                <w:noProof/>
                <w:webHidden/>
              </w:rPr>
              <w:fldChar w:fldCharType="end"/>
            </w:r>
          </w:hyperlink>
        </w:p>
        <w:p w14:paraId="5562702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8" w:history="1">
            <w:r>
              <w:rPr>
                <w:rStyle w:val="Hipervnculo"/>
                <w:noProof/>
              </w:rPr>
              <w:t>Retención en la fuente a título de impuesto sobre las ventas - IVA</w:t>
            </w:r>
            <w:r>
              <w:rPr>
                <w:noProof/>
                <w:webHidden/>
              </w:rPr>
              <w:tab/>
            </w:r>
            <w:r>
              <w:rPr>
                <w:noProof/>
                <w:webHidden/>
              </w:rPr>
              <w:fldChar w:fldCharType="begin"/>
            </w:r>
            <w:r>
              <w:rPr>
                <w:noProof/>
                <w:webHidden/>
              </w:rPr>
              <w:instrText xml:space="preserve"> PAGEREF _Toc479171178 \h </w:instrText>
            </w:r>
            <w:r>
              <w:rPr>
                <w:noProof/>
                <w:webHidden/>
              </w:rPr>
            </w:r>
            <w:r>
              <w:rPr>
                <w:noProof/>
                <w:webHidden/>
              </w:rPr>
              <w:fldChar w:fldCharType="separate"/>
            </w:r>
            <w:r>
              <w:rPr>
                <w:noProof/>
                <w:webHidden/>
              </w:rPr>
              <w:t>324</w:t>
            </w:r>
            <w:r>
              <w:rPr>
                <w:noProof/>
                <w:webHidden/>
              </w:rPr>
              <w:fldChar w:fldCharType="end"/>
            </w:r>
          </w:hyperlink>
        </w:p>
        <w:p w14:paraId="3C750073"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79" w:history="1">
            <w:r>
              <w:rPr>
                <w:rStyle w:val="Hipervnculo"/>
                <w:noProof/>
              </w:rPr>
              <w:t>TÍTULO 3</w:t>
            </w:r>
            <w:r>
              <w:rPr>
                <w:noProof/>
                <w:webHidden/>
              </w:rPr>
              <w:tab/>
            </w:r>
            <w:r>
              <w:rPr>
                <w:noProof/>
                <w:webHidden/>
              </w:rPr>
              <w:fldChar w:fldCharType="begin"/>
            </w:r>
            <w:r>
              <w:rPr>
                <w:noProof/>
                <w:webHidden/>
              </w:rPr>
              <w:instrText xml:space="preserve"> PAGEREF _Toc479171179 \h </w:instrText>
            </w:r>
            <w:r>
              <w:rPr>
                <w:noProof/>
                <w:webHidden/>
              </w:rPr>
            </w:r>
            <w:r>
              <w:rPr>
                <w:noProof/>
                <w:webHidden/>
              </w:rPr>
              <w:fldChar w:fldCharType="separate"/>
            </w:r>
            <w:r>
              <w:rPr>
                <w:noProof/>
                <w:webHidden/>
              </w:rPr>
              <w:t>336</w:t>
            </w:r>
            <w:r>
              <w:rPr>
                <w:noProof/>
                <w:webHidden/>
              </w:rPr>
              <w:fldChar w:fldCharType="end"/>
            </w:r>
          </w:hyperlink>
        </w:p>
        <w:p w14:paraId="6F9F20C7"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0" w:history="1">
            <w:r>
              <w:rPr>
                <w:rStyle w:val="Hipervnculo"/>
                <w:noProof/>
              </w:rPr>
              <w:t>Impuesto nacional al consumo</w:t>
            </w:r>
            <w:r>
              <w:rPr>
                <w:noProof/>
                <w:webHidden/>
              </w:rPr>
              <w:tab/>
            </w:r>
            <w:r>
              <w:rPr>
                <w:noProof/>
                <w:webHidden/>
              </w:rPr>
              <w:fldChar w:fldCharType="begin"/>
            </w:r>
            <w:r>
              <w:rPr>
                <w:noProof/>
                <w:webHidden/>
              </w:rPr>
              <w:instrText xml:space="preserve"> PAGEREF _Toc479171180 \h </w:instrText>
            </w:r>
            <w:r>
              <w:rPr>
                <w:noProof/>
                <w:webHidden/>
              </w:rPr>
            </w:r>
            <w:r>
              <w:rPr>
                <w:noProof/>
                <w:webHidden/>
              </w:rPr>
              <w:fldChar w:fldCharType="separate"/>
            </w:r>
            <w:r>
              <w:rPr>
                <w:noProof/>
                <w:webHidden/>
              </w:rPr>
              <w:t>336</w:t>
            </w:r>
            <w:r>
              <w:rPr>
                <w:noProof/>
                <w:webHidden/>
              </w:rPr>
              <w:fldChar w:fldCharType="end"/>
            </w:r>
          </w:hyperlink>
        </w:p>
        <w:p w14:paraId="46B96CCD"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81" w:history="1">
            <w:r>
              <w:rPr>
                <w:rStyle w:val="Hipervnculo"/>
                <w:noProof/>
              </w:rPr>
              <w:t>PARTE 4</w:t>
            </w:r>
            <w:r>
              <w:rPr>
                <w:noProof/>
                <w:webHidden/>
              </w:rPr>
              <w:tab/>
            </w:r>
            <w:r>
              <w:rPr>
                <w:noProof/>
                <w:webHidden/>
              </w:rPr>
              <w:fldChar w:fldCharType="begin"/>
            </w:r>
            <w:r>
              <w:rPr>
                <w:noProof/>
                <w:webHidden/>
              </w:rPr>
              <w:instrText xml:space="preserve"> PAGEREF _Toc479171181 \h </w:instrText>
            </w:r>
            <w:r>
              <w:rPr>
                <w:noProof/>
                <w:webHidden/>
              </w:rPr>
            </w:r>
            <w:r>
              <w:rPr>
                <w:noProof/>
                <w:webHidden/>
              </w:rPr>
              <w:fldChar w:fldCharType="separate"/>
            </w:r>
            <w:r>
              <w:rPr>
                <w:noProof/>
                <w:webHidden/>
              </w:rPr>
              <w:t>338</w:t>
            </w:r>
            <w:r>
              <w:rPr>
                <w:noProof/>
                <w:webHidden/>
              </w:rPr>
              <w:fldChar w:fldCharType="end"/>
            </w:r>
          </w:hyperlink>
        </w:p>
        <w:p w14:paraId="528FCDB6"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82" w:history="1">
            <w:r>
              <w:rPr>
                <w:rStyle w:val="Hipervnculo"/>
                <w:noProof/>
              </w:rPr>
              <w:t>Impuesto de timbre nacional y gravamen a los movimientos financieros - GMF</w:t>
            </w:r>
            <w:r>
              <w:rPr>
                <w:noProof/>
                <w:webHidden/>
              </w:rPr>
              <w:tab/>
            </w:r>
            <w:r>
              <w:rPr>
                <w:noProof/>
                <w:webHidden/>
              </w:rPr>
              <w:fldChar w:fldCharType="begin"/>
            </w:r>
            <w:r>
              <w:rPr>
                <w:noProof/>
                <w:webHidden/>
              </w:rPr>
              <w:instrText xml:space="preserve"> PAGEREF _Toc479171182 \h </w:instrText>
            </w:r>
            <w:r>
              <w:rPr>
                <w:noProof/>
                <w:webHidden/>
              </w:rPr>
            </w:r>
            <w:r>
              <w:rPr>
                <w:noProof/>
                <w:webHidden/>
              </w:rPr>
              <w:fldChar w:fldCharType="separate"/>
            </w:r>
            <w:r>
              <w:rPr>
                <w:noProof/>
                <w:webHidden/>
              </w:rPr>
              <w:t>338</w:t>
            </w:r>
            <w:r>
              <w:rPr>
                <w:noProof/>
                <w:webHidden/>
              </w:rPr>
              <w:fldChar w:fldCharType="end"/>
            </w:r>
          </w:hyperlink>
        </w:p>
        <w:p w14:paraId="71D3A5C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3" w:history="1">
            <w:r>
              <w:rPr>
                <w:rStyle w:val="Hipervnculo"/>
                <w:noProof/>
              </w:rPr>
              <w:t>TÍTULO 1</w:t>
            </w:r>
            <w:r>
              <w:rPr>
                <w:noProof/>
                <w:webHidden/>
              </w:rPr>
              <w:tab/>
            </w:r>
            <w:r>
              <w:rPr>
                <w:noProof/>
                <w:webHidden/>
              </w:rPr>
              <w:fldChar w:fldCharType="begin"/>
            </w:r>
            <w:r>
              <w:rPr>
                <w:noProof/>
                <w:webHidden/>
              </w:rPr>
              <w:instrText xml:space="preserve"> PAGEREF _Toc479171183 \h </w:instrText>
            </w:r>
            <w:r>
              <w:rPr>
                <w:noProof/>
                <w:webHidden/>
              </w:rPr>
            </w:r>
            <w:r>
              <w:rPr>
                <w:noProof/>
                <w:webHidden/>
              </w:rPr>
              <w:fldChar w:fldCharType="separate"/>
            </w:r>
            <w:r>
              <w:rPr>
                <w:noProof/>
                <w:webHidden/>
              </w:rPr>
              <w:t>338</w:t>
            </w:r>
            <w:r>
              <w:rPr>
                <w:noProof/>
                <w:webHidden/>
              </w:rPr>
              <w:fldChar w:fldCharType="end"/>
            </w:r>
          </w:hyperlink>
        </w:p>
        <w:p w14:paraId="5F8B4A8F"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4" w:history="1">
            <w:r>
              <w:rPr>
                <w:rStyle w:val="Hipervnculo"/>
                <w:noProof/>
              </w:rPr>
              <w:t>Impuesto de timbre nacional</w:t>
            </w:r>
            <w:r>
              <w:rPr>
                <w:noProof/>
                <w:webHidden/>
              </w:rPr>
              <w:tab/>
            </w:r>
            <w:r>
              <w:rPr>
                <w:noProof/>
                <w:webHidden/>
              </w:rPr>
              <w:fldChar w:fldCharType="begin"/>
            </w:r>
            <w:r>
              <w:rPr>
                <w:noProof/>
                <w:webHidden/>
              </w:rPr>
              <w:instrText xml:space="preserve"> PAGEREF _Toc479171184 \h </w:instrText>
            </w:r>
            <w:r>
              <w:rPr>
                <w:noProof/>
                <w:webHidden/>
              </w:rPr>
            </w:r>
            <w:r>
              <w:rPr>
                <w:noProof/>
                <w:webHidden/>
              </w:rPr>
              <w:fldChar w:fldCharType="separate"/>
            </w:r>
            <w:r>
              <w:rPr>
                <w:noProof/>
                <w:webHidden/>
              </w:rPr>
              <w:t>338</w:t>
            </w:r>
            <w:r>
              <w:rPr>
                <w:noProof/>
                <w:webHidden/>
              </w:rPr>
              <w:fldChar w:fldCharType="end"/>
            </w:r>
          </w:hyperlink>
        </w:p>
        <w:p w14:paraId="7DB8419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5" w:history="1">
            <w:r>
              <w:rPr>
                <w:rStyle w:val="Hipervnculo"/>
                <w:noProof/>
              </w:rPr>
              <w:t>TÍTULO 2</w:t>
            </w:r>
            <w:r>
              <w:rPr>
                <w:noProof/>
                <w:webHidden/>
              </w:rPr>
              <w:tab/>
            </w:r>
            <w:r>
              <w:rPr>
                <w:noProof/>
                <w:webHidden/>
              </w:rPr>
              <w:fldChar w:fldCharType="begin"/>
            </w:r>
            <w:r>
              <w:rPr>
                <w:noProof/>
                <w:webHidden/>
              </w:rPr>
              <w:instrText xml:space="preserve"> PAGEREF _Toc479171185 \h </w:instrText>
            </w:r>
            <w:r>
              <w:rPr>
                <w:noProof/>
                <w:webHidden/>
              </w:rPr>
            </w:r>
            <w:r>
              <w:rPr>
                <w:noProof/>
                <w:webHidden/>
              </w:rPr>
              <w:fldChar w:fldCharType="separate"/>
            </w:r>
            <w:r>
              <w:rPr>
                <w:noProof/>
                <w:webHidden/>
              </w:rPr>
              <w:t>350</w:t>
            </w:r>
            <w:r>
              <w:rPr>
                <w:noProof/>
                <w:webHidden/>
              </w:rPr>
              <w:fldChar w:fldCharType="end"/>
            </w:r>
          </w:hyperlink>
        </w:p>
        <w:p w14:paraId="20BA12EE"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6" w:history="1">
            <w:r>
              <w:rPr>
                <w:rStyle w:val="Hipervnculo"/>
                <w:noProof/>
              </w:rPr>
              <w:t>Gravamen a los Movimientos Financieros – GMF</w:t>
            </w:r>
            <w:r>
              <w:rPr>
                <w:noProof/>
                <w:webHidden/>
              </w:rPr>
              <w:tab/>
            </w:r>
            <w:r>
              <w:rPr>
                <w:noProof/>
                <w:webHidden/>
              </w:rPr>
              <w:fldChar w:fldCharType="begin"/>
            </w:r>
            <w:r>
              <w:rPr>
                <w:noProof/>
                <w:webHidden/>
              </w:rPr>
              <w:instrText xml:space="preserve"> PAGEREF _Toc479171186 \h </w:instrText>
            </w:r>
            <w:r>
              <w:rPr>
                <w:noProof/>
                <w:webHidden/>
              </w:rPr>
            </w:r>
            <w:r>
              <w:rPr>
                <w:noProof/>
                <w:webHidden/>
              </w:rPr>
              <w:fldChar w:fldCharType="separate"/>
            </w:r>
            <w:r>
              <w:rPr>
                <w:noProof/>
                <w:webHidden/>
              </w:rPr>
              <w:t>350</w:t>
            </w:r>
            <w:r>
              <w:rPr>
                <w:noProof/>
                <w:webHidden/>
              </w:rPr>
              <w:fldChar w:fldCharType="end"/>
            </w:r>
          </w:hyperlink>
        </w:p>
        <w:p w14:paraId="1D7507B5"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87" w:history="1">
            <w:r>
              <w:rPr>
                <w:rStyle w:val="Hipervnculo"/>
                <w:noProof/>
              </w:rPr>
              <w:t>PARTE 5</w:t>
            </w:r>
            <w:r>
              <w:rPr>
                <w:noProof/>
                <w:webHidden/>
              </w:rPr>
              <w:tab/>
            </w:r>
            <w:r>
              <w:rPr>
                <w:noProof/>
                <w:webHidden/>
              </w:rPr>
              <w:fldChar w:fldCharType="begin"/>
            </w:r>
            <w:r>
              <w:rPr>
                <w:noProof/>
                <w:webHidden/>
              </w:rPr>
              <w:instrText xml:space="preserve"> PAGEREF _Toc479171187 \h </w:instrText>
            </w:r>
            <w:r>
              <w:rPr>
                <w:noProof/>
                <w:webHidden/>
              </w:rPr>
            </w:r>
            <w:r>
              <w:rPr>
                <w:noProof/>
                <w:webHidden/>
              </w:rPr>
              <w:fldChar w:fldCharType="separate"/>
            </w:r>
            <w:r>
              <w:rPr>
                <w:noProof/>
                <w:webHidden/>
              </w:rPr>
              <w:t>366</w:t>
            </w:r>
            <w:r>
              <w:rPr>
                <w:noProof/>
                <w:webHidden/>
              </w:rPr>
              <w:fldChar w:fldCharType="end"/>
            </w:r>
          </w:hyperlink>
        </w:p>
        <w:p w14:paraId="2DB57D07"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88" w:history="1">
            <w:r>
              <w:rPr>
                <w:rStyle w:val="Hipervnculo"/>
                <w:noProof/>
              </w:rPr>
              <w:t xml:space="preserve">Impuesto sobre la renta para la equidad – CREE e impuesto nacional a la gasolina y al ACPM, y Complementario de Normalización </w:t>
            </w:r>
            <w:r>
              <w:rPr>
                <w:rStyle w:val="Hipervnculo"/>
                <w:noProof/>
              </w:rPr>
              <w:t>Tributaria</w:t>
            </w:r>
            <w:r>
              <w:rPr>
                <w:noProof/>
                <w:webHidden/>
              </w:rPr>
              <w:tab/>
            </w:r>
            <w:r>
              <w:rPr>
                <w:noProof/>
                <w:webHidden/>
              </w:rPr>
              <w:fldChar w:fldCharType="begin"/>
            </w:r>
            <w:r>
              <w:rPr>
                <w:noProof/>
                <w:webHidden/>
              </w:rPr>
              <w:instrText xml:space="preserve"> PAGEREF _Toc479171188 \h </w:instrText>
            </w:r>
            <w:r>
              <w:rPr>
                <w:noProof/>
                <w:webHidden/>
              </w:rPr>
            </w:r>
            <w:r>
              <w:rPr>
                <w:noProof/>
                <w:webHidden/>
              </w:rPr>
              <w:fldChar w:fldCharType="separate"/>
            </w:r>
            <w:r>
              <w:rPr>
                <w:noProof/>
                <w:webHidden/>
              </w:rPr>
              <w:t>366</w:t>
            </w:r>
            <w:r>
              <w:rPr>
                <w:noProof/>
                <w:webHidden/>
              </w:rPr>
              <w:fldChar w:fldCharType="end"/>
            </w:r>
          </w:hyperlink>
        </w:p>
        <w:p w14:paraId="268A39F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89" w:history="1">
            <w:r>
              <w:rPr>
                <w:rStyle w:val="Hipervnculo"/>
                <w:noProof/>
              </w:rPr>
              <w:t>TÍTULO 1</w:t>
            </w:r>
            <w:r>
              <w:rPr>
                <w:noProof/>
                <w:webHidden/>
              </w:rPr>
              <w:tab/>
            </w:r>
            <w:r>
              <w:rPr>
                <w:noProof/>
                <w:webHidden/>
              </w:rPr>
              <w:fldChar w:fldCharType="begin"/>
            </w:r>
            <w:r>
              <w:rPr>
                <w:noProof/>
                <w:webHidden/>
              </w:rPr>
              <w:instrText xml:space="preserve"> PAGEREF _Toc479171189 \h </w:instrText>
            </w:r>
            <w:r>
              <w:rPr>
                <w:noProof/>
                <w:webHidden/>
              </w:rPr>
            </w:r>
            <w:r>
              <w:rPr>
                <w:noProof/>
                <w:webHidden/>
              </w:rPr>
              <w:fldChar w:fldCharType="separate"/>
            </w:r>
            <w:r>
              <w:rPr>
                <w:noProof/>
                <w:webHidden/>
              </w:rPr>
              <w:t>366</w:t>
            </w:r>
            <w:r>
              <w:rPr>
                <w:noProof/>
                <w:webHidden/>
              </w:rPr>
              <w:fldChar w:fldCharType="end"/>
            </w:r>
          </w:hyperlink>
        </w:p>
        <w:p w14:paraId="1FDE1943"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0" w:history="1">
            <w:r>
              <w:rPr>
                <w:rStyle w:val="Hipervnculo"/>
                <w:noProof/>
              </w:rPr>
              <w:t>Impuesto sobre la renta para la equidad – CREE</w:t>
            </w:r>
            <w:r>
              <w:rPr>
                <w:noProof/>
                <w:webHidden/>
              </w:rPr>
              <w:tab/>
            </w:r>
            <w:r>
              <w:rPr>
                <w:noProof/>
                <w:webHidden/>
              </w:rPr>
              <w:fldChar w:fldCharType="begin"/>
            </w:r>
            <w:r>
              <w:rPr>
                <w:noProof/>
                <w:webHidden/>
              </w:rPr>
              <w:instrText xml:space="preserve"> PAGEREF _Toc479171190 \h </w:instrText>
            </w:r>
            <w:r>
              <w:rPr>
                <w:noProof/>
                <w:webHidden/>
              </w:rPr>
            </w:r>
            <w:r>
              <w:rPr>
                <w:noProof/>
                <w:webHidden/>
              </w:rPr>
              <w:fldChar w:fldCharType="separate"/>
            </w:r>
            <w:r>
              <w:rPr>
                <w:noProof/>
                <w:webHidden/>
              </w:rPr>
              <w:t>366</w:t>
            </w:r>
            <w:r>
              <w:rPr>
                <w:noProof/>
                <w:webHidden/>
              </w:rPr>
              <w:fldChar w:fldCharType="end"/>
            </w:r>
          </w:hyperlink>
        </w:p>
        <w:p w14:paraId="267BEE17"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1" w:history="1">
            <w:r>
              <w:rPr>
                <w:rStyle w:val="Hipervnculo"/>
                <w:noProof/>
              </w:rPr>
              <w:t>TÍTULO 2</w:t>
            </w:r>
            <w:r>
              <w:rPr>
                <w:noProof/>
                <w:webHidden/>
              </w:rPr>
              <w:tab/>
            </w:r>
            <w:r>
              <w:rPr>
                <w:noProof/>
                <w:webHidden/>
              </w:rPr>
              <w:fldChar w:fldCharType="begin"/>
            </w:r>
            <w:r>
              <w:rPr>
                <w:noProof/>
                <w:webHidden/>
              </w:rPr>
              <w:instrText xml:space="preserve"> PAGEREF _Toc479171191 \h </w:instrText>
            </w:r>
            <w:r>
              <w:rPr>
                <w:noProof/>
                <w:webHidden/>
              </w:rPr>
            </w:r>
            <w:r>
              <w:rPr>
                <w:noProof/>
                <w:webHidden/>
              </w:rPr>
              <w:fldChar w:fldCharType="separate"/>
            </w:r>
            <w:r>
              <w:rPr>
                <w:noProof/>
                <w:webHidden/>
              </w:rPr>
              <w:t>370</w:t>
            </w:r>
            <w:r>
              <w:rPr>
                <w:noProof/>
                <w:webHidden/>
              </w:rPr>
              <w:fldChar w:fldCharType="end"/>
            </w:r>
          </w:hyperlink>
        </w:p>
        <w:p w14:paraId="7B69BE85"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2" w:history="1">
            <w:r>
              <w:rPr>
                <w:rStyle w:val="Hipervnculo"/>
                <w:noProof/>
              </w:rPr>
              <w:t>Impuesto Nacional a la Gasolina y al ACPM</w:t>
            </w:r>
            <w:r>
              <w:rPr>
                <w:noProof/>
                <w:webHidden/>
              </w:rPr>
              <w:tab/>
            </w:r>
            <w:r>
              <w:rPr>
                <w:noProof/>
                <w:webHidden/>
              </w:rPr>
              <w:fldChar w:fldCharType="begin"/>
            </w:r>
            <w:r>
              <w:rPr>
                <w:noProof/>
                <w:webHidden/>
              </w:rPr>
              <w:instrText xml:space="preserve"> PAGEREF _Toc479171192 \h </w:instrText>
            </w:r>
            <w:r>
              <w:rPr>
                <w:noProof/>
                <w:webHidden/>
              </w:rPr>
            </w:r>
            <w:r>
              <w:rPr>
                <w:noProof/>
                <w:webHidden/>
              </w:rPr>
              <w:fldChar w:fldCharType="separate"/>
            </w:r>
            <w:r>
              <w:rPr>
                <w:noProof/>
                <w:webHidden/>
              </w:rPr>
              <w:t>370</w:t>
            </w:r>
            <w:r>
              <w:rPr>
                <w:noProof/>
                <w:webHidden/>
              </w:rPr>
              <w:fldChar w:fldCharType="end"/>
            </w:r>
          </w:hyperlink>
        </w:p>
        <w:p w14:paraId="22BEF02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3" w:history="1">
            <w:r>
              <w:rPr>
                <w:rStyle w:val="Hipervnculo"/>
                <w:noProof/>
              </w:rPr>
              <w:t>TÍTULO 3.</w:t>
            </w:r>
            <w:r>
              <w:rPr>
                <w:noProof/>
                <w:webHidden/>
              </w:rPr>
              <w:tab/>
            </w:r>
            <w:r>
              <w:rPr>
                <w:noProof/>
                <w:webHidden/>
              </w:rPr>
              <w:fldChar w:fldCharType="begin"/>
            </w:r>
            <w:r>
              <w:rPr>
                <w:noProof/>
                <w:webHidden/>
              </w:rPr>
              <w:instrText xml:space="preserve"> PAGEREF _Toc479171193 \h </w:instrText>
            </w:r>
            <w:r>
              <w:rPr>
                <w:noProof/>
                <w:webHidden/>
              </w:rPr>
            </w:r>
            <w:r>
              <w:rPr>
                <w:noProof/>
                <w:webHidden/>
              </w:rPr>
              <w:fldChar w:fldCharType="separate"/>
            </w:r>
            <w:r>
              <w:rPr>
                <w:noProof/>
                <w:webHidden/>
              </w:rPr>
              <w:t>379</w:t>
            </w:r>
            <w:r>
              <w:rPr>
                <w:noProof/>
                <w:webHidden/>
              </w:rPr>
              <w:fldChar w:fldCharType="end"/>
            </w:r>
          </w:hyperlink>
        </w:p>
        <w:p w14:paraId="1210AB91"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4" w:history="1">
            <w:r>
              <w:rPr>
                <w:rStyle w:val="Hipervnculo"/>
                <w:noProof/>
              </w:rPr>
              <w:t>Impuesto Complementario de Normalización Tributaria</w:t>
            </w:r>
            <w:r>
              <w:rPr>
                <w:noProof/>
                <w:webHidden/>
              </w:rPr>
              <w:tab/>
            </w:r>
            <w:r>
              <w:rPr>
                <w:noProof/>
                <w:webHidden/>
              </w:rPr>
              <w:fldChar w:fldCharType="begin"/>
            </w:r>
            <w:r>
              <w:rPr>
                <w:noProof/>
                <w:webHidden/>
              </w:rPr>
              <w:instrText xml:space="preserve"> PAGEREF _Toc479171194 \h </w:instrText>
            </w:r>
            <w:r>
              <w:rPr>
                <w:noProof/>
                <w:webHidden/>
              </w:rPr>
            </w:r>
            <w:r>
              <w:rPr>
                <w:noProof/>
                <w:webHidden/>
              </w:rPr>
              <w:fldChar w:fldCharType="separate"/>
            </w:r>
            <w:r>
              <w:rPr>
                <w:noProof/>
                <w:webHidden/>
              </w:rPr>
              <w:t>379</w:t>
            </w:r>
            <w:r>
              <w:rPr>
                <w:noProof/>
                <w:webHidden/>
              </w:rPr>
              <w:fldChar w:fldCharType="end"/>
            </w:r>
          </w:hyperlink>
        </w:p>
        <w:p w14:paraId="24929C84"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95" w:history="1">
            <w:r>
              <w:rPr>
                <w:rStyle w:val="Hipervnculo"/>
                <w:noProof/>
              </w:rPr>
              <w:t>PARTE 6</w:t>
            </w:r>
            <w:r>
              <w:rPr>
                <w:noProof/>
                <w:webHidden/>
              </w:rPr>
              <w:tab/>
            </w:r>
            <w:r>
              <w:rPr>
                <w:noProof/>
                <w:webHidden/>
              </w:rPr>
              <w:fldChar w:fldCharType="begin"/>
            </w:r>
            <w:r>
              <w:rPr>
                <w:noProof/>
                <w:webHidden/>
              </w:rPr>
              <w:instrText xml:space="preserve"> PAGEREF _Toc479171195 \h </w:instrText>
            </w:r>
            <w:r>
              <w:rPr>
                <w:noProof/>
                <w:webHidden/>
              </w:rPr>
            </w:r>
            <w:r>
              <w:rPr>
                <w:noProof/>
                <w:webHidden/>
              </w:rPr>
              <w:fldChar w:fldCharType="separate"/>
            </w:r>
            <w:r>
              <w:rPr>
                <w:noProof/>
                <w:webHidden/>
              </w:rPr>
              <w:t>379</w:t>
            </w:r>
            <w:r>
              <w:rPr>
                <w:noProof/>
                <w:webHidden/>
              </w:rPr>
              <w:fldChar w:fldCharType="end"/>
            </w:r>
          </w:hyperlink>
        </w:p>
        <w:p w14:paraId="278B2854"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196" w:history="1">
            <w:r>
              <w:rPr>
                <w:rStyle w:val="Hipervnculo"/>
                <w:noProof/>
              </w:rPr>
              <w:t>Procedimiento Tribut</w:t>
            </w:r>
            <w:r>
              <w:rPr>
                <w:rStyle w:val="Hipervnculo"/>
                <w:noProof/>
              </w:rPr>
              <w:t>ario, procedimiento administrativo de cobro coactivo y régimen sancionatorio</w:t>
            </w:r>
            <w:r>
              <w:rPr>
                <w:noProof/>
                <w:webHidden/>
              </w:rPr>
              <w:tab/>
            </w:r>
            <w:r>
              <w:rPr>
                <w:noProof/>
                <w:webHidden/>
              </w:rPr>
              <w:fldChar w:fldCharType="begin"/>
            </w:r>
            <w:r>
              <w:rPr>
                <w:noProof/>
                <w:webHidden/>
              </w:rPr>
              <w:instrText xml:space="preserve"> PAGEREF _Toc479171196 \h </w:instrText>
            </w:r>
            <w:r>
              <w:rPr>
                <w:noProof/>
                <w:webHidden/>
              </w:rPr>
            </w:r>
            <w:r>
              <w:rPr>
                <w:noProof/>
                <w:webHidden/>
              </w:rPr>
              <w:fldChar w:fldCharType="separate"/>
            </w:r>
            <w:r>
              <w:rPr>
                <w:noProof/>
                <w:webHidden/>
              </w:rPr>
              <w:t>379</w:t>
            </w:r>
            <w:r>
              <w:rPr>
                <w:noProof/>
                <w:webHidden/>
              </w:rPr>
              <w:fldChar w:fldCharType="end"/>
            </w:r>
          </w:hyperlink>
        </w:p>
        <w:p w14:paraId="2096F715"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7" w:history="1">
            <w:r>
              <w:rPr>
                <w:rStyle w:val="Hipervnculo"/>
                <w:noProof/>
              </w:rPr>
              <w:t>TÍTULO 1</w:t>
            </w:r>
            <w:r>
              <w:rPr>
                <w:noProof/>
                <w:webHidden/>
              </w:rPr>
              <w:tab/>
            </w:r>
            <w:r>
              <w:rPr>
                <w:noProof/>
                <w:webHidden/>
              </w:rPr>
              <w:fldChar w:fldCharType="begin"/>
            </w:r>
            <w:r>
              <w:rPr>
                <w:noProof/>
                <w:webHidden/>
              </w:rPr>
              <w:instrText xml:space="preserve"> PAGEREF _Toc479171197 \h </w:instrText>
            </w:r>
            <w:r>
              <w:rPr>
                <w:noProof/>
                <w:webHidden/>
              </w:rPr>
            </w:r>
            <w:r>
              <w:rPr>
                <w:noProof/>
                <w:webHidden/>
              </w:rPr>
              <w:fldChar w:fldCharType="separate"/>
            </w:r>
            <w:r>
              <w:rPr>
                <w:noProof/>
                <w:webHidden/>
              </w:rPr>
              <w:t>380</w:t>
            </w:r>
            <w:r>
              <w:rPr>
                <w:noProof/>
                <w:webHidden/>
              </w:rPr>
              <w:fldChar w:fldCharType="end"/>
            </w:r>
          </w:hyperlink>
        </w:p>
        <w:p w14:paraId="5A91AEE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8" w:history="1">
            <w:r>
              <w:rPr>
                <w:rStyle w:val="Hipervnculo"/>
                <w:noProof/>
              </w:rPr>
              <w:t>Procedimiento tributario</w:t>
            </w:r>
            <w:r>
              <w:rPr>
                <w:noProof/>
                <w:webHidden/>
              </w:rPr>
              <w:tab/>
            </w:r>
            <w:r>
              <w:rPr>
                <w:noProof/>
                <w:webHidden/>
              </w:rPr>
              <w:fldChar w:fldCharType="begin"/>
            </w:r>
            <w:r>
              <w:rPr>
                <w:noProof/>
                <w:webHidden/>
              </w:rPr>
              <w:instrText xml:space="preserve"> PAGEREF _Toc479171198 \h </w:instrText>
            </w:r>
            <w:r>
              <w:rPr>
                <w:noProof/>
                <w:webHidden/>
              </w:rPr>
            </w:r>
            <w:r>
              <w:rPr>
                <w:noProof/>
                <w:webHidden/>
              </w:rPr>
              <w:fldChar w:fldCharType="separate"/>
            </w:r>
            <w:r>
              <w:rPr>
                <w:noProof/>
                <w:webHidden/>
              </w:rPr>
              <w:t>380</w:t>
            </w:r>
            <w:r>
              <w:rPr>
                <w:noProof/>
                <w:webHidden/>
              </w:rPr>
              <w:fldChar w:fldCharType="end"/>
            </w:r>
          </w:hyperlink>
        </w:p>
        <w:p w14:paraId="21F0B32F"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199" w:history="1">
            <w:r>
              <w:rPr>
                <w:rStyle w:val="Hipervnculo"/>
                <w:noProof/>
              </w:rPr>
              <w:t>TÍTULO 2</w:t>
            </w:r>
            <w:r>
              <w:rPr>
                <w:noProof/>
                <w:webHidden/>
              </w:rPr>
              <w:tab/>
            </w:r>
            <w:r>
              <w:rPr>
                <w:noProof/>
                <w:webHidden/>
              </w:rPr>
              <w:fldChar w:fldCharType="begin"/>
            </w:r>
            <w:r>
              <w:rPr>
                <w:noProof/>
                <w:webHidden/>
              </w:rPr>
              <w:instrText xml:space="preserve"> PAGEREF _Toc479171199 \h </w:instrText>
            </w:r>
            <w:r>
              <w:rPr>
                <w:noProof/>
                <w:webHidden/>
              </w:rPr>
            </w:r>
            <w:r>
              <w:rPr>
                <w:noProof/>
                <w:webHidden/>
              </w:rPr>
              <w:fldChar w:fldCharType="separate"/>
            </w:r>
            <w:r>
              <w:rPr>
                <w:noProof/>
                <w:webHidden/>
              </w:rPr>
              <w:t>558</w:t>
            </w:r>
            <w:r>
              <w:rPr>
                <w:noProof/>
                <w:webHidden/>
              </w:rPr>
              <w:fldChar w:fldCharType="end"/>
            </w:r>
          </w:hyperlink>
        </w:p>
        <w:p w14:paraId="2A16D9EF"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0" w:history="1">
            <w:r>
              <w:rPr>
                <w:rStyle w:val="Hipervnculo"/>
                <w:noProof/>
              </w:rPr>
              <w:t>Procedimiento Administrativo de Cobro Coactivo</w:t>
            </w:r>
            <w:r>
              <w:rPr>
                <w:noProof/>
                <w:webHidden/>
              </w:rPr>
              <w:tab/>
            </w:r>
            <w:r>
              <w:rPr>
                <w:noProof/>
                <w:webHidden/>
              </w:rPr>
              <w:fldChar w:fldCharType="begin"/>
            </w:r>
            <w:r>
              <w:rPr>
                <w:noProof/>
                <w:webHidden/>
              </w:rPr>
              <w:instrText xml:space="preserve"> PAGEREF _Toc479171200 \h </w:instrText>
            </w:r>
            <w:r>
              <w:rPr>
                <w:noProof/>
                <w:webHidden/>
              </w:rPr>
            </w:r>
            <w:r>
              <w:rPr>
                <w:noProof/>
                <w:webHidden/>
              </w:rPr>
              <w:fldChar w:fldCharType="separate"/>
            </w:r>
            <w:r>
              <w:rPr>
                <w:noProof/>
                <w:webHidden/>
              </w:rPr>
              <w:t>558</w:t>
            </w:r>
            <w:r>
              <w:rPr>
                <w:noProof/>
                <w:webHidden/>
              </w:rPr>
              <w:fldChar w:fldCharType="end"/>
            </w:r>
          </w:hyperlink>
        </w:p>
        <w:p w14:paraId="49B360B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1" w:history="1">
            <w:r>
              <w:rPr>
                <w:rStyle w:val="Hipervnculo"/>
                <w:noProof/>
              </w:rPr>
              <w:t>TÍTULO 3</w:t>
            </w:r>
            <w:r>
              <w:rPr>
                <w:noProof/>
                <w:webHidden/>
              </w:rPr>
              <w:tab/>
            </w:r>
            <w:r>
              <w:rPr>
                <w:noProof/>
                <w:webHidden/>
              </w:rPr>
              <w:fldChar w:fldCharType="begin"/>
            </w:r>
            <w:r>
              <w:rPr>
                <w:noProof/>
                <w:webHidden/>
              </w:rPr>
              <w:instrText xml:space="preserve"> PAGEREF _Toc479171201 \h </w:instrText>
            </w:r>
            <w:r>
              <w:rPr>
                <w:noProof/>
                <w:webHidden/>
              </w:rPr>
            </w:r>
            <w:r>
              <w:rPr>
                <w:noProof/>
                <w:webHidden/>
              </w:rPr>
              <w:fldChar w:fldCharType="separate"/>
            </w:r>
            <w:r>
              <w:rPr>
                <w:noProof/>
                <w:webHidden/>
              </w:rPr>
              <w:t>577</w:t>
            </w:r>
            <w:r>
              <w:rPr>
                <w:noProof/>
                <w:webHidden/>
              </w:rPr>
              <w:fldChar w:fldCharType="end"/>
            </w:r>
          </w:hyperlink>
        </w:p>
        <w:p w14:paraId="019243D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2" w:history="1">
            <w:r>
              <w:rPr>
                <w:rStyle w:val="Hipervnculo"/>
                <w:noProof/>
              </w:rPr>
              <w:t>Régimen Sancionatorio</w:t>
            </w:r>
            <w:r>
              <w:rPr>
                <w:noProof/>
                <w:webHidden/>
              </w:rPr>
              <w:tab/>
            </w:r>
            <w:r>
              <w:rPr>
                <w:noProof/>
                <w:webHidden/>
              </w:rPr>
              <w:fldChar w:fldCharType="begin"/>
            </w:r>
            <w:r>
              <w:rPr>
                <w:noProof/>
                <w:webHidden/>
              </w:rPr>
              <w:instrText xml:space="preserve"> P</w:instrText>
            </w:r>
            <w:r>
              <w:rPr>
                <w:noProof/>
                <w:webHidden/>
              </w:rPr>
              <w:instrText xml:space="preserve">AGEREF _Toc479171202 \h </w:instrText>
            </w:r>
            <w:r>
              <w:rPr>
                <w:noProof/>
                <w:webHidden/>
              </w:rPr>
            </w:r>
            <w:r>
              <w:rPr>
                <w:noProof/>
                <w:webHidden/>
              </w:rPr>
              <w:fldChar w:fldCharType="separate"/>
            </w:r>
            <w:r>
              <w:rPr>
                <w:noProof/>
                <w:webHidden/>
              </w:rPr>
              <w:t>577</w:t>
            </w:r>
            <w:r>
              <w:rPr>
                <w:noProof/>
                <w:webHidden/>
              </w:rPr>
              <w:fldChar w:fldCharType="end"/>
            </w:r>
          </w:hyperlink>
        </w:p>
        <w:p w14:paraId="63417681"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03" w:history="1">
            <w:r>
              <w:rPr>
                <w:rStyle w:val="Hipervnculo"/>
                <w:noProof/>
              </w:rPr>
              <w:t>PARTE 7</w:t>
            </w:r>
            <w:r>
              <w:rPr>
                <w:noProof/>
                <w:webHidden/>
              </w:rPr>
              <w:tab/>
            </w:r>
            <w:r>
              <w:rPr>
                <w:noProof/>
                <w:webHidden/>
              </w:rPr>
              <w:fldChar w:fldCharType="begin"/>
            </w:r>
            <w:r>
              <w:rPr>
                <w:noProof/>
                <w:webHidden/>
              </w:rPr>
              <w:instrText xml:space="preserve"> PAGEREF _Toc479171203 \h </w:instrText>
            </w:r>
            <w:r>
              <w:rPr>
                <w:noProof/>
                <w:webHidden/>
              </w:rPr>
            </w:r>
            <w:r>
              <w:rPr>
                <w:noProof/>
                <w:webHidden/>
              </w:rPr>
              <w:fldChar w:fldCharType="separate"/>
            </w:r>
            <w:r>
              <w:rPr>
                <w:noProof/>
                <w:webHidden/>
              </w:rPr>
              <w:t>578</w:t>
            </w:r>
            <w:r>
              <w:rPr>
                <w:noProof/>
                <w:webHidden/>
              </w:rPr>
              <w:fldChar w:fldCharType="end"/>
            </w:r>
          </w:hyperlink>
        </w:p>
        <w:p w14:paraId="616C262D"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04" w:history="1">
            <w:r>
              <w:rPr>
                <w:rStyle w:val="Hipervnculo"/>
                <w:noProof/>
              </w:rPr>
              <w:t>Normas internacionales de información financiera – NIIF</w:t>
            </w:r>
            <w:r>
              <w:rPr>
                <w:noProof/>
                <w:webHidden/>
              </w:rPr>
              <w:tab/>
            </w:r>
            <w:r>
              <w:rPr>
                <w:noProof/>
                <w:webHidden/>
              </w:rPr>
              <w:fldChar w:fldCharType="begin"/>
            </w:r>
            <w:r>
              <w:rPr>
                <w:noProof/>
                <w:webHidden/>
              </w:rPr>
              <w:instrText xml:space="preserve"> PAGEREF _Toc479171204 \h </w:instrText>
            </w:r>
            <w:r>
              <w:rPr>
                <w:noProof/>
                <w:webHidden/>
              </w:rPr>
            </w:r>
            <w:r>
              <w:rPr>
                <w:noProof/>
                <w:webHidden/>
              </w:rPr>
              <w:fldChar w:fldCharType="separate"/>
            </w:r>
            <w:r>
              <w:rPr>
                <w:noProof/>
                <w:webHidden/>
              </w:rPr>
              <w:t>578</w:t>
            </w:r>
            <w:r>
              <w:rPr>
                <w:noProof/>
                <w:webHidden/>
              </w:rPr>
              <w:fldChar w:fldCharType="end"/>
            </w:r>
          </w:hyperlink>
        </w:p>
        <w:p w14:paraId="0D01868F"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05" w:history="1">
            <w:r>
              <w:rPr>
                <w:rStyle w:val="Hipervnculo"/>
                <w:noProof/>
              </w:rPr>
              <w:t>PARTE 8</w:t>
            </w:r>
            <w:r>
              <w:rPr>
                <w:noProof/>
                <w:webHidden/>
              </w:rPr>
              <w:tab/>
            </w:r>
            <w:r>
              <w:rPr>
                <w:noProof/>
                <w:webHidden/>
              </w:rPr>
              <w:fldChar w:fldCharType="begin"/>
            </w:r>
            <w:r>
              <w:rPr>
                <w:noProof/>
                <w:webHidden/>
              </w:rPr>
              <w:instrText xml:space="preserve"> PAGEREF _Toc479171205 \h </w:instrText>
            </w:r>
            <w:r>
              <w:rPr>
                <w:noProof/>
                <w:webHidden/>
              </w:rPr>
            </w:r>
            <w:r>
              <w:rPr>
                <w:noProof/>
                <w:webHidden/>
              </w:rPr>
              <w:fldChar w:fldCharType="separate"/>
            </w:r>
            <w:r>
              <w:rPr>
                <w:noProof/>
                <w:webHidden/>
              </w:rPr>
              <w:t>583</w:t>
            </w:r>
            <w:r>
              <w:rPr>
                <w:noProof/>
                <w:webHidden/>
              </w:rPr>
              <w:fldChar w:fldCharType="end"/>
            </w:r>
          </w:hyperlink>
        </w:p>
        <w:p w14:paraId="0E93D93E"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06" w:history="1">
            <w:r>
              <w:rPr>
                <w:rStyle w:val="Hipervnculo"/>
                <w:noProof/>
              </w:rPr>
              <w:t>Otras disposiciones</w:t>
            </w:r>
            <w:r>
              <w:rPr>
                <w:noProof/>
                <w:webHidden/>
              </w:rPr>
              <w:tab/>
            </w:r>
            <w:r>
              <w:rPr>
                <w:noProof/>
                <w:webHidden/>
              </w:rPr>
              <w:fldChar w:fldCharType="begin"/>
            </w:r>
            <w:r>
              <w:rPr>
                <w:noProof/>
                <w:webHidden/>
              </w:rPr>
              <w:instrText xml:space="preserve"> PAGEREF _Toc479171206 \h </w:instrText>
            </w:r>
            <w:r>
              <w:rPr>
                <w:noProof/>
                <w:webHidden/>
              </w:rPr>
            </w:r>
            <w:r>
              <w:rPr>
                <w:noProof/>
                <w:webHidden/>
              </w:rPr>
              <w:fldChar w:fldCharType="separate"/>
            </w:r>
            <w:r>
              <w:rPr>
                <w:noProof/>
                <w:webHidden/>
              </w:rPr>
              <w:t>583</w:t>
            </w:r>
            <w:r>
              <w:rPr>
                <w:noProof/>
                <w:webHidden/>
              </w:rPr>
              <w:fldChar w:fldCharType="end"/>
            </w:r>
          </w:hyperlink>
        </w:p>
        <w:p w14:paraId="5901E95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7" w:history="1">
            <w:r>
              <w:rPr>
                <w:rStyle w:val="Hipervnculo"/>
                <w:noProof/>
              </w:rPr>
              <w:t>TÍTULO 1</w:t>
            </w:r>
            <w:r>
              <w:rPr>
                <w:noProof/>
                <w:webHidden/>
              </w:rPr>
              <w:tab/>
            </w:r>
            <w:r>
              <w:rPr>
                <w:noProof/>
                <w:webHidden/>
              </w:rPr>
              <w:fldChar w:fldCharType="begin"/>
            </w:r>
            <w:r>
              <w:rPr>
                <w:noProof/>
                <w:webHidden/>
              </w:rPr>
              <w:instrText xml:space="preserve"> PAGEREF _Toc479171207 \h </w:instrText>
            </w:r>
            <w:r>
              <w:rPr>
                <w:noProof/>
                <w:webHidden/>
              </w:rPr>
            </w:r>
            <w:r>
              <w:rPr>
                <w:noProof/>
                <w:webHidden/>
              </w:rPr>
              <w:fldChar w:fldCharType="separate"/>
            </w:r>
            <w:r>
              <w:rPr>
                <w:noProof/>
                <w:webHidden/>
              </w:rPr>
              <w:t>583</w:t>
            </w:r>
            <w:r>
              <w:rPr>
                <w:noProof/>
                <w:webHidden/>
              </w:rPr>
              <w:fldChar w:fldCharType="end"/>
            </w:r>
          </w:hyperlink>
        </w:p>
        <w:p w14:paraId="39611222"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8" w:history="1">
            <w:r>
              <w:rPr>
                <w:rStyle w:val="Hipervnculo"/>
                <w:noProof/>
              </w:rPr>
              <w:t>Plan Antievasión</w:t>
            </w:r>
            <w:r>
              <w:rPr>
                <w:noProof/>
                <w:webHidden/>
              </w:rPr>
              <w:tab/>
            </w:r>
            <w:r>
              <w:rPr>
                <w:noProof/>
                <w:webHidden/>
              </w:rPr>
              <w:fldChar w:fldCharType="begin"/>
            </w:r>
            <w:r>
              <w:rPr>
                <w:noProof/>
                <w:webHidden/>
              </w:rPr>
              <w:instrText xml:space="preserve"> PAGEREF _Toc479171208 \h </w:instrText>
            </w:r>
            <w:r>
              <w:rPr>
                <w:noProof/>
                <w:webHidden/>
              </w:rPr>
            </w:r>
            <w:r>
              <w:rPr>
                <w:noProof/>
                <w:webHidden/>
              </w:rPr>
              <w:fldChar w:fldCharType="separate"/>
            </w:r>
            <w:r>
              <w:rPr>
                <w:noProof/>
                <w:webHidden/>
              </w:rPr>
              <w:t>583</w:t>
            </w:r>
            <w:r>
              <w:rPr>
                <w:noProof/>
                <w:webHidden/>
              </w:rPr>
              <w:fldChar w:fldCharType="end"/>
            </w:r>
          </w:hyperlink>
        </w:p>
        <w:p w14:paraId="5C017B4A"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09" w:history="1">
            <w:r>
              <w:rPr>
                <w:rStyle w:val="Hipervnculo"/>
                <w:noProof/>
              </w:rPr>
              <w:t>TÍTULO 2</w:t>
            </w:r>
            <w:r>
              <w:rPr>
                <w:noProof/>
                <w:webHidden/>
              </w:rPr>
              <w:tab/>
            </w:r>
            <w:r>
              <w:rPr>
                <w:noProof/>
                <w:webHidden/>
              </w:rPr>
              <w:fldChar w:fldCharType="begin"/>
            </w:r>
            <w:r>
              <w:rPr>
                <w:noProof/>
                <w:webHidden/>
              </w:rPr>
              <w:instrText xml:space="preserve"> PAGEREF _Toc479171209 \h </w:instrText>
            </w:r>
            <w:r>
              <w:rPr>
                <w:noProof/>
                <w:webHidden/>
              </w:rPr>
            </w:r>
            <w:r>
              <w:rPr>
                <w:noProof/>
                <w:webHidden/>
              </w:rPr>
              <w:fldChar w:fldCharType="separate"/>
            </w:r>
            <w:r>
              <w:rPr>
                <w:noProof/>
                <w:webHidden/>
              </w:rPr>
              <w:t>584</w:t>
            </w:r>
            <w:r>
              <w:rPr>
                <w:noProof/>
                <w:webHidden/>
              </w:rPr>
              <w:fldChar w:fldCharType="end"/>
            </w:r>
          </w:hyperlink>
        </w:p>
        <w:p w14:paraId="3FE3B706"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0" w:history="1">
            <w:r>
              <w:rPr>
                <w:rStyle w:val="Hipervnculo"/>
                <w:noProof/>
              </w:rPr>
              <w:t>Consejo Nacional de Beneficios Tributarios en Ciencia, Tecnología e Innovación – CNBT</w:t>
            </w:r>
            <w:r>
              <w:rPr>
                <w:noProof/>
                <w:webHidden/>
              </w:rPr>
              <w:tab/>
            </w:r>
            <w:r>
              <w:rPr>
                <w:noProof/>
                <w:webHidden/>
              </w:rPr>
              <w:fldChar w:fldCharType="begin"/>
            </w:r>
            <w:r>
              <w:rPr>
                <w:noProof/>
                <w:webHidden/>
              </w:rPr>
              <w:instrText xml:space="preserve"> PAGEREF _Toc479171210 \h </w:instrText>
            </w:r>
            <w:r>
              <w:rPr>
                <w:noProof/>
                <w:webHidden/>
              </w:rPr>
            </w:r>
            <w:r>
              <w:rPr>
                <w:noProof/>
                <w:webHidden/>
              </w:rPr>
              <w:fldChar w:fldCharType="separate"/>
            </w:r>
            <w:r>
              <w:rPr>
                <w:noProof/>
                <w:webHidden/>
              </w:rPr>
              <w:t>584</w:t>
            </w:r>
            <w:r>
              <w:rPr>
                <w:noProof/>
                <w:webHidden/>
              </w:rPr>
              <w:fldChar w:fldCharType="end"/>
            </w:r>
          </w:hyperlink>
        </w:p>
        <w:p w14:paraId="1DF145A9"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1" w:history="1">
            <w:r>
              <w:rPr>
                <w:rStyle w:val="Hipervnculo"/>
                <w:noProof/>
              </w:rPr>
              <w:t>TÍTULO 3</w:t>
            </w:r>
            <w:r>
              <w:rPr>
                <w:noProof/>
                <w:webHidden/>
              </w:rPr>
              <w:tab/>
            </w:r>
            <w:r>
              <w:rPr>
                <w:noProof/>
                <w:webHidden/>
              </w:rPr>
              <w:fldChar w:fldCharType="begin"/>
            </w:r>
            <w:r>
              <w:rPr>
                <w:noProof/>
                <w:webHidden/>
              </w:rPr>
              <w:instrText xml:space="preserve"> PAGEREF _Toc479171211 \h </w:instrText>
            </w:r>
            <w:r>
              <w:rPr>
                <w:noProof/>
                <w:webHidden/>
              </w:rPr>
            </w:r>
            <w:r>
              <w:rPr>
                <w:noProof/>
                <w:webHidden/>
              </w:rPr>
              <w:fldChar w:fldCharType="separate"/>
            </w:r>
            <w:r>
              <w:rPr>
                <w:noProof/>
                <w:webHidden/>
              </w:rPr>
              <w:t>589</w:t>
            </w:r>
            <w:r>
              <w:rPr>
                <w:noProof/>
                <w:webHidden/>
              </w:rPr>
              <w:fldChar w:fldCharType="end"/>
            </w:r>
          </w:hyperlink>
        </w:p>
        <w:p w14:paraId="4C0A2E20"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2" w:history="1">
            <w:r>
              <w:rPr>
                <w:rStyle w:val="Hipervnculo"/>
                <w:noProof/>
              </w:rPr>
              <w:t xml:space="preserve">Comisión Nacional </w:t>
            </w:r>
            <w:r>
              <w:rPr>
                <w:rStyle w:val="Hipervnculo"/>
                <w:noProof/>
              </w:rPr>
              <w:t>Mixta de Gestión Tributaria y Aduanera</w:t>
            </w:r>
            <w:r>
              <w:rPr>
                <w:noProof/>
                <w:webHidden/>
              </w:rPr>
              <w:tab/>
            </w:r>
            <w:r>
              <w:rPr>
                <w:noProof/>
                <w:webHidden/>
              </w:rPr>
              <w:fldChar w:fldCharType="begin"/>
            </w:r>
            <w:r>
              <w:rPr>
                <w:noProof/>
                <w:webHidden/>
              </w:rPr>
              <w:instrText xml:space="preserve"> PAGEREF _Toc479171212 \h </w:instrText>
            </w:r>
            <w:r>
              <w:rPr>
                <w:noProof/>
                <w:webHidden/>
              </w:rPr>
            </w:r>
            <w:r>
              <w:rPr>
                <w:noProof/>
                <w:webHidden/>
              </w:rPr>
              <w:fldChar w:fldCharType="separate"/>
            </w:r>
            <w:r>
              <w:rPr>
                <w:noProof/>
                <w:webHidden/>
              </w:rPr>
              <w:t>589</w:t>
            </w:r>
            <w:r>
              <w:rPr>
                <w:noProof/>
                <w:webHidden/>
              </w:rPr>
              <w:fldChar w:fldCharType="end"/>
            </w:r>
          </w:hyperlink>
        </w:p>
        <w:p w14:paraId="3D985146"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hyperlink w:anchor="_Toc479171213" w:history="1">
            <w:r>
              <w:rPr>
                <w:rStyle w:val="Hipervnculo"/>
                <w:rFonts w:ascii="Arial" w:hAnsi="Arial" w:cs="Arial"/>
                <w:b/>
                <w:noProof/>
              </w:rPr>
              <w:t>LIBRO 2.</w:t>
            </w:r>
            <w:r>
              <w:rPr>
                <w:noProof/>
                <w:webHidden/>
              </w:rPr>
              <w:tab/>
            </w:r>
            <w:r>
              <w:rPr>
                <w:noProof/>
                <w:webHidden/>
              </w:rPr>
              <w:fldChar w:fldCharType="begin"/>
            </w:r>
            <w:r>
              <w:rPr>
                <w:noProof/>
                <w:webHidden/>
              </w:rPr>
              <w:instrText xml:space="preserve"> PAGEREF _Toc479171213 \h </w:instrText>
            </w:r>
            <w:r>
              <w:rPr>
                <w:noProof/>
                <w:webHidden/>
              </w:rPr>
            </w:r>
            <w:r>
              <w:rPr>
                <w:noProof/>
                <w:webHidden/>
              </w:rPr>
              <w:fldChar w:fldCharType="separate"/>
            </w:r>
            <w:r>
              <w:rPr>
                <w:noProof/>
                <w:webHidden/>
              </w:rPr>
              <w:t>589</w:t>
            </w:r>
            <w:r>
              <w:rPr>
                <w:noProof/>
                <w:webHidden/>
              </w:rPr>
              <w:fldChar w:fldCharType="end"/>
            </w:r>
          </w:hyperlink>
        </w:p>
        <w:p w14:paraId="1772C77E"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hyperlink w:anchor="_Toc479171214" w:history="1">
            <w:r>
              <w:rPr>
                <w:rStyle w:val="Hipervnculo"/>
                <w:rFonts w:ascii="Arial" w:hAnsi="Arial" w:cs="Arial"/>
                <w:b/>
                <w:noProof/>
              </w:rPr>
              <w:t>Reglamento de impuestos del orden territorial</w:t>
            </w:r>
            <w:r>
              <w:rPr>
                <w:noProof/>
                <w:webHidden/>
              </w:rPr>
              <w:tab/>
            </w:r>
            <w:r>
              <w:rPr>
                <w:noProof/>
                <w:webHidden/>
              </w:rPr>
              <w:fldChar w:fldCharType="begin"/>
            </w:r>
            <w:r>
              <w:rPr>
                <w:noProof/>
                <w:webHidden/>
              </w:rPr>
              <w:instrText xml:space="preserve"> PAGEREF _Toc479171214 \h </w:instrText>
            </w:r>
            <w:r>
              <w:rPr>
                <w:noProof/>
                <w:webHidden/>
              </w:rPr>
            </w:r>
            <w:r>
              <w:rPr>
                <w:noProof/>
                <w:webHidden/>
              </w:rPr>
              <w:fldChar w:fldCharType="separate"/>
            </w:r>
            <w:r>
              <w:rPr>
                <w:noProof/>
                <w:webHidden/>
              </w:rPr>
              <w:t>589</w:t>
            </w:r>
            <w:r>
              <w:rPr>
                <w:noProof/>
                <w:webHidden/>
              </w:rPr>
              <w:fldChar w:fldCharType="end"/>
            </w:r>
          </w:hyperlink>
        </w:p>
        <w:p w14:paraId="295BF72E"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15" w:history="1">
            <w:r>
              <w:rPr>
                <w:rStyle w:val="Hipervnculo"/>
                <w:rFonts w:ascii="Arial" w:hAnsi="Arial" w:cs="Arial"/>
                <w:b/>
                <w:noProof/>
              </w:rPr>
              <w:t>PARTE 1.</w:t>
            </w:r>
            <w:r>
              <w:rPr>
                <w:noProof/>
                <w:webHidden/>
              </w:rPr>
              <w:tab/>
            </w:r>
            <w:r>
              <w:rPr>
                <w:noProof/>
                <w:webHidden/>
              </w:rPr>
              <w:fldChar w:fldCharType="begin"/>
            </w:r>
            <w:r>
              <w:rPr>
                <w:noProof/>
                <w:webHidden/>
              </w:rPr>
              <w:instrText xml:space="preserve"> PAGEREF _Toc4791</w:instrText>
            </w:r>
            <w:r>
              <w:rPr>
                <w:noProof/>
                <w:webHidden/>
              </w:rPr>
              <w:instrText xml:space="preserve">71215 \h </w:instrText>
            </w:r>
            <w:r>
              <w:rPr>
                <w:noProof/>
                <w:webHidden/>
              </w:rPr>
            </w:r>
            <w:r>
              <w:rPr>
                <w:noProof/>
                <w:webHidden/>
              </w:rPr>
              <w:fldChar w:fldCharType="separate"/>
            </w:r>
            <w:r>
              <w:rPr>
                <w:noProof/>
                <w:webHidden/>
              </w:rPr>
              <w:t>589</w:t>
            </w:r>
            <w:r>
              <w:rPr>
                <w:noProof/>
                <w:webHidden/>
              </w:rPr>
              <w:fldChar w:fldCharType="end"/>
            </w:r>
          </w:hyperlink>
        </w:p>
        <w:p w14:paraId="48266159"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16" w:history="1">
            <w:r>
              <w:rPr>
                <w:rStyle w:val="Hipervnculo"/>
                <w:rFonts w:ascii="Arial" w:hAnsi="Arial" w:cs="Arial"/>
                <w:b/>
                <w:noProof/>
              </w:rPr>
              <w:t>Impuestos Municipales</w:t>
            </w:r>
            <w:r>
              <w:rPr>
                <w:noProof/>
                <w:webHidden/>
              </w:rPr>
              <w:tab/>
            </w:r>
            <w:r>
              <w:rPr>
                <w:noProof/>
                <w:webHidden/>
              </w:rPr>
              <w:fldChar w:fldCharType="begin"/>
            </w:r>
            <w:r>
              <w:rPr>
                <w:noProof/>
                <w:webHidden/>
              </w:rPr>
              <w:instrText xml:space="preserve"> PAGEREF _Toc479171216 \h </w:instrText>
            </w:r>
            <w:r>
              <w:rPr>
                <w:noProof/>
                <w:webHidden/>
              </w:rPr>
            </w:r>
            <w:r>
              <w:rPr>
                <w:noProof/>
                <w:webHidden/>
              </w:rPr>
              <w:fldChar w:fldCharType="separate"/>
            </w:r>
            <w:r>
              <w:rPr>
                <w:noProof/>
                <w:webHidden/>
              </w:rPr>
              <w:t>589</w:t>
            </w:r>
            <w:r>
              <w:rPr>
                <w:noProof/>
                <w:webHidden/>
              </w:rPr>
              <w:fldChar w:fldCharType="end"/>
            </w:r>
          </w:hyperlink>
        </w:p>
        <w:p w14:paraId="037171AC"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7" w:history="1">
            <w:r>
              <w:rPr>
                <w:rStyle w:val="Hipervnculo"/>
                <w:rFonts w:ascii="Arial" w:hAnsi="Arial" w:cs="Arial"/>
                <w:b/>
                <w:noProof/>
              </w:rPr>
              <w:t>TÍTULO 1.</w:t>
            </w:r>
            <w:r>
              <w:rPr>
                <w:noProof/>
                <w:webHidden/>
              </w:rPr>
              <w:tab/>
            </w:r>
            <w:r>
              <w:rPr>
                <w:noProof/>
                <w:webHidden/>
              </w:rPr>
              <w:fldChar w:fldCharType="begin"/>
            </w:r>
            <w:r>
              <w:rPr>
                <w:noProof/>
                <w:webHidden/>
              </w:rPr>
              <w:instrText xml:space="preserve"> PAGEREF _Toc479171217 \h </w:instrText>
            </w:r>
            <w:r>
              <w:rPr>
                <w:noProof/>
                <w:webHidden/>
              </w:rPr>
            </w:r>
            <w:r>
              <w:rPr>
                <w:noProof/>
                <w:webHidden/>
              </w:rPr>
              <w:fldChar w:fldCharType="separate"/>
            </w:r>
            <w:r>
              <w:rPr>
                <w:noProof/>
                <w:webHidden/>
              </w:rPr>
              <w:t>590</w:t>
            </w:r>
            <w:r>
              <w:rPr>
                <w:noProof/>
                <w:webHidden/>
              </w:rPr>
              <w:fldChar w:fldCharType="end"/>
            </w:r>
          </w:hyperlink>
        </w:p>
        <w:p w14:paraId="32227AE6"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8" w:history="1">
            <w:r>
              <w:rPr>
                <w:rStyle w:val="Hipervnculo"/>
                <w:rFonts w:ascii="Arial" w:hAnsi="Arial" w:cs="Arial"/>
                <w:b/>
                <w:noProof/>
              </w:rPr>
              <w:t>Impuesto de Indust</w:t>
            </w:r>
            <w:r>
              <w:rPr>
                <w:rStyle w:val="Hipervnculo"/>
                <w:rFonts w:ascii="Arial" w:hAnsi="Arial" w:cs="Arial"/>
                <w:b/>
                <w:noProof/>
              </w:rPr>
              <w:t>ria y Comercio</w:t>
            </w:r>
            <w:r>
              <w:rPr>
                <w:noProof/>
                <w:webHidden/>
              </w:rPr>
              <w:tab/>
            </w:r>
            <w:r>
              <w:rPr>
                <w:noProof/>
                <w:webHidden/>
              </w:rPr>
              <w:fldChar w:fldCharType="begin"/>
            </w:r>
            <w:r>
              <w:rPr>
                <w:noProof/>
                <w:webHidden/>
              </w:rPr>
              <w:instrText xml:space="preserve"> PAGEREF _Toc479171218 \h </w:instrText>
            </w:r>
            <w:r>
              <w:rPr>
                <w:noProof/>
                <w:webHidden/>
              </w:rPr>
            </w:r>
            <w:r>
              <w:rPr>
                <w:noProof/>
                <w:webHidden/>
              </w:rPr>
              <w:fldChar w:fldCharType="separate"/>
            </w:r>
            <w:r>
              <w:rPr>
                <w:noProof/>
                <w:webHidden/>
              </w:rPr>
              <w:t>590</w:t>
            </w:r>
            <w:r>
              <w:rPr>
                <w:noProof/>
                <w:webHidden/>
              </w:rPr>
              <w:fldChar w:fldCharType="end"/>
            </w:r>
          </w:hyperlink>
        </w:p>
        <w:p w14:paraId="6FD191DC"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19" w:history="1">
            <w:r>
              <w:rPr>
                <w:rStyle w:val="Hipervnculo"/>
                <w:rFonts w:ascii="Arial" w:hAnsi="Arial" w:cs="Arial"/>
                <w:b/>
                <w:noProof/>
              </w:rPr>
              <w:t>TÍTULO 2.</w:t>
            </w:r>
            <w:r>
              <w:rPr>
                <w:noProof/>
                <w:webHidden/>
              </w:rPr>
              <w:tab/>
            </w:r>
            <w:r>
              <w:rPr>
                <w:noProof/>
                <w:webHidden/>
              </w:rPr>
              <w:fldChar w:fldCharType="begin"/>
            </w:r>
            <w:r>
              <w:rPr>
                <w:noProof/>
                <w:webHidden/>
              </w:rPr>
              <w:instrText xml:space="preserve"> PAGEREF _Toc479171219 \h </w:instrText>
            </w:r>
            <w:r>
              <w:rPr>
                <w:noProof/>
                <w:webHidden/>
              </w:rPr>
            </w:r>
            <w:r>
              <w:rPr>
                <w:noProof/>
                <w:webHidden/>
              </w:rPr>
              <w:fldChar w:fldCharType="separate"/>
            </w:r>
            <w:r>
              <w:rPr>
                <w:noProof/>
                <w:webHidden/>
              </w:rPr>
              <w:t>592</w:t>
            </w:r>
            <w:r>
              <w:rPr>
                <w:noProof/>
                <w:webHidden/>
              </w:rPr>
              <w:fldChar w:fldCharType="end"/>
            </w:r>
          </w:hyperlink>
        </w:p>
        <w:p w14:paraId="55D589A0"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0" w:history="1">
            <w:r>
              <w:rPr>
                <w:rStyle w:val="Hipervnculo"/>
                <w:rFonts w:ascii="Arial" w:hAnsi="Arial" w:cs="Arial"/>
                <w:b/>
                <w:noProof/>
              </w:rPr>
              <w:t>Impuesto Predial</w:t>
            </w:r>
            <w:r>
              <w:rPr>
                <w:noProof/>
                <w:webHidden/>
              </w:rPr>
              <w:tab/>
            </w:r>
            <w:r>
              <w:rPr>
                <w:noProof/>
                <w:webHidden/>
              </w:rPr>
              <w:fldChar w:fldCharType="begin"/>
            </w:r>
            <w:r>
              <w:rPr>
                <w:noProof/>
                <w:webHidden/>
              </w:rPr>
              <w:instrText xml:space="preserve"> PAGEREF _Toc479171220 \h </w:instrText>
            </w:r>
            <w:r>
              <w:rPr>
                <w:noProof/>
                <w:webHidden/>
              </w:rPr>
            </w:r>
            <w:r>
              <w:rPr>
                <w:noProof/>
                <w:webHidden/>
              </w:rPr>
              <w:fldChar w:fldCharType="separate"/>
            </w:r>
            <w:r>
              <w:rPr>
                <w:noProof/>
                <w:webHidden/>
              </w:rPr>
              <w:t>592</w:t>
            </w:r>
            <w:r>
              <w:rPr>
                <w:noProof/>
                <w:webHidden/>
              </w:rPr>
              <w:fldChar w:fldCharType="end"/>
            </w:r>
          </w:hyperlink>
        </w:p>
        <w:p w14:paraId="7C0D9DC2"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1" w:history="1">
            <w:r>
              <w:rPr>
                <w:rStyle w:val="Hipervnculo"/>
                <w:noProof/>
              </w:rPr>
              <w:t>TÍTULO 3</w:t>
            </w:r>
            <w:r>
              <w:rPr>
                <w:noProof/>
                <w:webHidden/>
              </w:rPr>
              <w:tab/>
            </w:r>
            <w:r>
              <w:rPr>
                <w:noProof/>
                <w:webHidden/>
              </w:rPr>
              <w:fldChar w:fldCharType="begin"/>
            </w:r>
            <w:r>
              <w:rPr>
                <w:noProof/>
                <w:webHidden/>
              </w:rPr>
              <w:instrText xml:space="preserve"> PAGEREF _Toc479171221 \h </w:instrText>
            </w:r>
            <w:r>
              <w:rPr>
                <w:noProof/>
                <w:webHidden/>
              </w:rPr>
            </w:r>
            <w:r>
              <w:rPr>
                <w:noProof/>
                <w:webHidden/>
              </w:rPr>
              <w:fldChar w:fldCharType="separate"/>
            </w:r>
            <w:r>
              <w:rPr>
                <w:noProof/>
                <w:webHidden/>
              </w:rPr>
              <w:t>593</w:t>
            </w:r>
            <w:r>
              <w:rPr>
                <w:noProof/>
                <w:webHidden/>
              </w:rPr>
              <w:fldChar w:fldCharType="end"/>
            </w:r>
          </w:hyperlink>
        </w:p>
        <w:p w14:paraId="316A0520"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2" w:history="1">
            <w:r>
              <w:rPr>
                <w:rStyle w:val="Hipervnculo"/>
                <w:noProof/>
              </w:rPr>
              <w:t>Impuesto municipal de entrada a espectáculos públicos y sobre juegos permitidos</w:t>
            </w:r>
            <w:r>
              <w:rPr>
                <w:noProof/>
                <w:webHidden/>
              </w:rPr>
              <w:tab/>
            </w:r>
            <w:r>
              <w:rPr>
                <w:noProof/>
                <w:webHidden/>
              </w:rPr>
              <w:fldChar w:fldCharType="begin"/>
            </w:r>
            <w:r>
              <w:rPr>
                <w:noProof/>
                <w:webHidden/>
              </w:rPr>
              <w:instrText xml:space="preserve"> PAGEREF _Toc479171222 \h </w:instrText>
            </w:r>
            <w:r>
              <w:rPr>
                <w:noProof/>
                <w:webHidden/>
              </w:rPr>
            </w:r>
            <w:r>
              <w:rPr>
                <w:noProof/>
                <w:webHidden/>
              </w:rPr>
              <w:fldChar w:fldCharType="separate"/>
            </w:r>
            <w:r>
              <w:rPr>
                <w:noProof/>
                <w:webHidden/>
              </w:rPr>
              <w:t>593</w:t>
            </w:r>
            <w:r>
              <w:rPr>
                <w:noProof/>
                <w:webHidden/>
              </w:rPr>
              <w:fldChar w:fldCharType="end"/>
            </w:r>
          </w:hyperlink>
        </w:p>
        <w:p w14:paraId="4B537AF6"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3" w:history="1">
            <w:r>
              <w:rPr>
                <w:rStyle w:val="Hipervnculo"/>
                <w:rFonts w:ascii="Arial" w:hAnsi="Arial" w:cs="Arial"/>
                <w:b/>
                <w:noProof/>
              </w:rPr>
              <w:t>TÍTULO 4.</w:t>
            </w:r>
            <w:r>
              <w:rPr>
                <w:noProof/>
                <w:webHidden/>
              </w:rPr>
              <w:tab/>
            </w:r>
            <w:r>
              <w:rPr>
                <w:noProof/>
                <w:webHidden/>
              </w:rPr>
              <w:fldChar w:fldCharType="begin"/>
            </w:r>
            <w:r>
              <w:rPr>
                <w:noProof/>
                <w:webHidden/>
              </w:rPr>
              <w:instrText xml:space="preserve"> PAGEREF _Toc479171223 \h </w:instrText>
            </w:r>
            <w:r>
              <w:rPr>
                <w:noProof/>
                <w:webHidden/>
              </w:rPr>
            </w:r>
            <w:r>
              <w:rPr>
                <w:noProof/>
                <w:webHidden/>
              </w:rPr>
              <w:fldChar w:fldCharType="separate"/>
            </w:r>
            <w:r>
              <w:rPr>
                <w:noProof/>
                <w:webHidden/>
              </w:rPr>
              <w:t>594</w:t>
            </w:r>
            <w:r>
              <w:rPr>
                <w:noProof/>
                <w:webHidden/>
              </w:rPr>
              <w:fldChar w:fldCharType="end"/>
            </w:r>
          </w:hyperlink>
        </w:p>
        <w:p w14:paraId="5CA0FD2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4" w:history="1">
            <w:r>
              <w:rPr>
                <w:rStyle w:val="Hipervnculo"/>
                <w:rFonts w:ascii="Arial" w:hAnsi="Arial" w:cs="Arial"/>
                <w:b/>
                <w:noProof/>
              </w:rPr>
              <w:t>Peaje Turístico</w:t>
            </w:r>
            <w:r>
              <w:rPr>
                <w:noProof/>
                <w:webHidden/>
              </w:rPr>
              <w:tab/>
            </w:r>
            <w:r>
              <w:rPr>
                <w:noProof/>
                <w:webHidden/>
              </w:rPr>
              <w:fldChar w:fldCharType="begin"/>
            </w:r>
            <w:r>
              <w:rPr>
                <w:noProof/>
                <w:webHidden/>
              </w:rPr>
              <w:instrText xml:space="preserve"> PAGEREF _Toc479171224 \h </w:instrText>
            </w:r>
            <w:r>
              <w:rPr>
                <w:noProof/>
                <w:webHidden/>
              </w:rPr>
            </w:r>
            <w:r>
              <w:rPr>
                <w:noProof/>
                <w:webHidden/>
              </w:rPr>
              <w:fldChar w:fldCharType="separate"/>
            </w:r>
            <w:r>
              <w:rPr>
                <w:noProof/>
                <w:webHidden/>
              </w:rPr>
              <w:t>594</w:t>
            </w:r>
            <w:r>
              <w:rPr>
                <w:noProof/>
                <w:webHidden/>
              </w:rPr>
              <w:fldChar w:fldCharType="end"/>
            </w:r>
          </w:hyperlink>
        </w:p>
        <w:p w14:paraId="271C3CC0"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5" w:history="1">
            <w:r>
              <w:rPr>
                <w:rStyle w:val="Hipervnculo"/>
                <w:rFonts w:ascii="Arial" w:hAnsi="Arial" w:cs="Arial"/>
                <w:b/>
                <w:noProof/>
              </w:rPr>
              <w:t>TÍTULO 5.</w:t>
            </w:r>
            <w:r>
              <w:rPr>
                <w:noProof/>
                <w:webHidden/>
              </w:rPr>
              <w:tab/>
            </w:r>
            <w:r>
              <w:rPr>
                <w:noProof/>
                <w:webHidden/>
              </w:rPr>
              <w:fldChar w:fldCharType="begin"/>
            </w:r>
            <w:r>
              <w:rPr>
                <w:noProof/>
                <w:webHidden/>
              </w:rPr>
              <w:instrText xml:space="preserve"> PAGEREF _Toc479171225 \h </w:instrText>
            </w:r>
            <w:r>
              <w:rPr>
                <w:noProof/>
                <w:webHidden/>
              </w:rPr>
            </w:r>
            <w:r>
              <w:rPr>
                <w:noProof/>
                <w:webHidden/>
              </w:rPr>
              <w:fldChar w:fldCharType="separate"/>
            </w:r>
            <w:r>
              <w:rPr>
                <w:noProof/>
                <w:webHidden/>
              </w:rPr>
              <w:t>595</w:t>
            </w:r>
            <w:r>
              <w:rPr>
                <w:noProof/>
                <w:webHidden/>
              </w:rPr>
              <w:fldChar w:fldCharType="end"/>
            </w:r>
          </w:hyperlink>
        </w:p>
        <w:p w14:paraId="0153501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6" w:history="1">
            <w:r>
              <w:rPr>
                <w:rStyle w:val="Hipervnculo"/>
                <w:rFonts w:ascii="Arial" w:hAnsi="Arial" w:cs="Arial"/>
                <w:b/>
                <w:noProof/>
              </w:rPr>
              <w:t>Tasas por Descongestión Urbana</w:t>
            </w:r>
            <w:r>
              <w:rPr>
                <w:noProof/>
                <w:webHidden/>
              </w:rPr>
              <w:tab/>
            </w:r>
            <w:r>
              <w:rPr>
                <w:noProof/>
                <w:webHidden/>
              </w:rPr>
              <w:fldChar w:fldCharType="begin"/>
            </w:r>
            <w:r>
              <w:rPr>
                <w:noProof/>
                <w:webHidden/>
              </w:rPr>
              <w:instrText xml:space="preserve"> PA</w:instrText>
            </w:r>
            <w:r>
              <w:rPr>
                <w:noProof/>
                <w:webHidden/>
              </w:rPr>
              <w:instrText xml:space="preserve">GEREF _Toc479171226 \h </w:instrText>
            </w:r>
            <w:r>
              <w:rPr>
                <w:noProof/>
                <w:webHidden/>
              </w:rPr>
            </w:r>
            <w:r>
              <w:rPr>
                <w:noProof/>
                <w:webHidden/>
              </w:rPr>
              <w:fldChar w:fldCharType="separate"/>
            </w:r>
            <w:r>
              <w:rPr>
                <w:noProof/>
                <w:webHidden/>
              </w:rPr>
              <w:t>595</w:t>
            </w:r>
            <w:r>
              <w:rPr>
                <w:noProof/>
                <w:webHidden/>
              </w:rPr>
              <w:fldChar w:fldCharType="end"/>
            </w:r>
          </w:hyperlink>
        </w:p>
        <w:p w14:paraId="743460FD"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27" w:history="1">
            <w:r>
              <w:rPr>
                <w:rStyle w:val="Hipervnculo"/>
                <w:rFonts w:ascii="Arial" w:hAnsi="Arial" w:cs="Arial"/>
                <w:b/>
                <w:noProof/>
              </w:rPr>
              <w:t>PARTE 2</w:t>
            </w:r>
            <w:r>
              <w:rPr>
                <w:noProof/>
                <w:webHidden/>
              </w:rPr>
              <w:tab/>
            </w:r>
            <w:r>
              <w:rPr>
                <w:noProof/>
                <w:webHidden/>
              </w:rPr>
              <w:fldChar w:fldCharType="begin"/>
            </w:r>
            <w:r>
              <w:rPr>
                <w:noProof/>
                <w:webHidden/>
              </w:rPr>
              <w:instrText xml:space="preserve"> PAGEREF _Toc479171227 \h </w:instrText>
            </w:r>
            <w:r>
              <w:rPr>
                <w:noProof/>
                <w:webHidden/>
              </w:rPr>
            </w:r>
            <w:r>
              <w:rPr>
                <w:noProof/>
                <w:webHidden/>
              </w:rPr>
              <w:fldChar w:fldCharType="separate"/>
            </w:r>
            <w:r>
              <w:rPr>
                <w:noProof/>
                <w:webHidden/>
              </w:rPr>
              <w:t>599</w:t>
            </w:r>
            <w:r>
              <w:rPr>
                <w:noProof/>
                <w:webHidden/>
              </w:rPr>
              <w:fldChar w:fldCharType="end"/>
            </w:r>
          </w:hyperlink>
        </w:p>
        <w:p w14:paraId="1879B390"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28" w:history="1">
            <w:r>
              <w:rPr>
                <w:rStyle w:val="Hipervnculo"/>
                <w:rFonts w:ascii="Arial" w:hAnsi="Arial" w:cs="Arial"/>
                <w:b/>
                <w:noProof/>
              </w:rPr>
              <w:t>Impuestos Departamentales</w:t>
            </w:r>
            <w:r>
              <w:rPr>
                <w:noProof/>
                <w:webHidden/>
              </w:rPr>
              <w:tab/>
            </w:r>
            <w:r>
              <w:rPr>
                <w:noProof/>
                <w:webHidden/>
              </w:rPr>
              <w:fldChar w:fldCharType="begin"/>
            </w:r>
            <w:r>
              <w:rPr>
                <w:noProof/>
                <w:webHidden/>
              </w:rPr>
              <w:instrText xml:space="preserve"> PAGEREF _Toc479171228 \h </w:instrText>
            </w:r>
            <w:r>
              <w:rPr>
                <w:noProof/>
                <w:webHidden/>
              </w:rPr>
            </w:r>
            <w:r>
              <w:rPr>
                <w:noProof/>
                <w:webHidden/>
              </w:rPr>
              <w:fldChar w:fldCharType="separate"/>
            </w:r>
            <w:r>
              <w:rPr>
                <w:noProof/>
                <w:webHidden/>
              </w:rPr>
              <w:t>599</w:t>
            </w:r>
            <w:r>
              <w:rPr>
                <w:noProof/>
                <w:webHidden/>
              </w:rPr>
              <w:fldChar w:fldCharType="end"/>
            </w:r>
          </w:hyperlink>
        </w:p>
        <w:p w14:paraId="0FEA5EA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29" w:history="1">
            <w:r>
              <w:rPr>
                <w:rStyle w:val="Hipervnculo"/>
                <w:rFonts w:ascii="Arial" w:hAnsi="Arial" w:cs="Arial"/>
                <w:b/>
                <w:noProof/>
              </w:rPr>
              <w:t>TÍ</w:t>
            </w:r>
            <w:r>
              <w:rPr>
                <w:rStyle w:val="Hipervnculo"/>
                <w:rFonts w:ascii="Arial" w:hAnsi="Arial" w:cs="Arial"/>
                <w:b/>
                <w:noProof/>
              </w:rPr>
              <w:t>TULO 1</w:t>
            </w:r>
            <w:r>
              <w:rPr>
                <w:noProof/>
                <w:webHidden/>
              </w:rPr>
              <w:tab/>
            </w:r>
            <w:r>
              <w:rPr>
                <w:noProof/>
                <w:webHidden/>
              </w:rPr>
              <w:fldChar w:fldCharType="begin"/>
            </w:r>
            <w:r>
              <w:rPr>
                <w:noProof/>
                <w:webHidden/>
              </w:rPr>
              <w:instrText xml:space="preserve"> PAGEREF _Toc479171229 \h </w:instrText>
            </w:r>
            <w:r>
              <w:rPr>
                <w:noProof/>
                <w:webHidden/>
              </w:rPr>
            </w:r>
            <w:r>
              <w:rPr>
                <w:noProof/>
                <w:webHidden/>
              </w:rPr>
              <w:fldChar w:fldCharType="separate"/>
            </w:r>
            <w:r>
              <w:rPr>
                <w:noProof/>
                <w:webHidden/>
              </w:rPr>
              <w:t>599</w:t>
            </w:r>
            <w:r>
              <w:rPr>
                <w:noProof/>
                <w:webHidden/>
              </w:rPr>
              <w:fldChar w:fldCharType="end"/>
            </w:r>
          </w:hyperlink>
        </w:p>
        <w:p w14:paraId="2D3ED1A4"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0" w:history="1">
            <w:r>
              <w:rPr>
                <w:rStyle w:val="Hipervnculo"/>
                <w:rFonts w:ascii="Arial" w:hAnsi="Arial" w:cs="Arial"/>
                <w:b/>
                <w:noProof/>
              </w:rPr>
              <w:t>Impuestos al Consumo de cervezas, sifones, refajos y mezclas; cigarrillos y tabaco elaborado; licores, vinos, aperitiv</w:t>
            </w:r>
            <w:r>
              <w:rPr>
                <w:rStyle w:val="Hipervnculo"/>
                <w:rFonts w:ascii="Arial" w:hAnsi="Arial" w:cs="Arial"/>
                <w:b/>
                <w:noProof/>
              </w:rPr>
              <w:t>os y similares y monopolio de licores destilados y alcoholes potables</w:t>
            </w:r>
            <w:r>
              <w:rPr>
                <w:noProof/>
                <w:webHidden/>
              </w:rPr>
              <w:tab/>
            </w:r>
            <w:r>
              <w:rPr>
                <w:noProof/>
                <w:webHidden/>
              </w:rPr>
              <w:fldChar w:fldCharType="begin"/>
            </w:r>
            <w:r>
              <w:rPr>
                <w:noProof/>
                <w:webHidden/>
              </w:rPr>
              <w:instrText xml:space="preserve"> PAGEREF _Toc479171230 \h </w:instrText>
            </w:r>
            <w:r>
              <w:rPr>
                <w:noProof/>
                <w:webHidden/>
              </w:rPr>
            </w:r>
            <w:r>
              <w:rPr>
                <w:noProof/>
                <w:webHidden/>
              </w:rPr>
              <w:fldChar w:fldCharType="separate"/>
            </w:r>
            <w:r>
              <w:rPr>
                <w:noProof/>
                <w:webHidden/>
              </w:rPr>
              <w:t>599</w:t>
            </w:r>
            <w:r>
              <w:rPr>
                <w:noProof/>
                <w:webHidden/>
              </w:rPr>
              <w:fldChar w:fldCharType="end"/>
            </w:r>
          </w:hyperlink>
        </w:p>
        <w:p w14:paraId="5DFD3C4B"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1" w:history="1">
            <w:r>
              <w:rPr>
                <w:rStyle w:val="Hipervnculo"/>
                <w:noProof/>
              </w:rPr>
              <w:t>TÍTULO 2.</w:t>
            </w:r>
            <w:r>
              <w:rPr>
                <w:noProof/>
                <w:webHidden/>
              </w:rPr>
              <w:tab/>
            </w:r>
            <w:r>
              <w:rPr>
                <w:noProof/>
                <w:webHidden/>
              </w:rPr>
              <w:fldChar w:fldCharType="begin"/>
            </w:r>
            <w:r>
              <w:rPr>
                <w:noProof/>
                <w:webHidden/>
              </w:rPr>
              <w:instrText xml:space="preserve"> PAGEREF _Toc479171231 \h </w:instrText>
            </w:r>
            <w:r>
              <w:rPr>
                <w:noProof/>
                <w:webHidden/>
              </w:rPr>
            </w:r>
            <w:r>
              <w:rPr>
                <w:noProof/>
                <w:webHidden/>
              </w:rPr>
              <w:fldChar w:fldCharType="separate"/>
            </w:r>
            <w:r>
              <w:rPr>
                <w:noProof/>
                <w:webHidden/>
              </w:rPr>
              <w:t>634</w:t>
            </w:r>
            <w:r>
              <w:rPr>
                <w:noProof/>
                <w:webHidden/>
              </w:rPr>
              <w:fldChar w:fldCharType="end"/>
            </w:r>
          </w:hyperlink>
        </w:p>
        <w:p w14:paraId="56FF008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2" w:history="1">
            <w:r>
              <w:rPr>
                <w:rStyle w:val="Hipervnculo"/>
                <w:noProof/>
              </w:rPr>
              <w:t>Impuesto de Registro</w:t>
            </w:r>
            <w:r>
              <w:rPr>
                <w:noProof/>
                <w:webHidden/>
              </w:rPr>
              <w:tab/>
            </w:r>
            <w:r>
              <w:rPr>
                <w:noProof/>
                <w:webHidden/>
              </w:rPr>
              <w:fldChar w:fldCharType="begin"/>
            </w:r>
            <w:r>
              <w:rPr>
                <w:noProof/>
                <w:webHidden/>
              </w:rPr>
              <w:instrText xml:space="preserve"> PAGEREF _Toc479171232 \h </w:instrText>
            </w:r>
            <w:r>
              <w:rPr>
                <w:noProof/>
                <w:webHidden/>
              </w:rPr>
            </w:r>
            <w:r>
              <w:rPr>
                <w:noProof/>
                <w:webHidden/>
              </w:rPr>
              <w:fldChar w:fldCharType="separate"/>
            </w:r>
            <w:r>
              <w:rPr>
                <w:noProof/>
                <w:webHidden/>
              </w:rPr>
              <w:t>634</w:t>
            </w:r>
            <w:r>
              <w:rPr>
                <w:noProof/>
                <w:webHidden/>
              </w:rPr>
              <w:fldChar w:fldCharType="end"/>
            </w:r>
          </w:hyperlink>
        </w:p>
        <w:p w14:paraId="0FC441D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3" w:history="1">
            <w:r>
              <w:rPr>
                <w:rStyle w:val="Hipervnculo"/>
                <w:noProof/>
              </w:rPr>
              <w:t>TÍTULO 3.</w:t>
            </w:r>
            <w:r>
              <w:rPr>
                <w:noProof/>
                <w:webHidden/>
              </w:rPr>
              <w:tab/>
            </w:r>
            <w:r>
              <w:rPr>
                <w:noProof/>
                <w:webHidden/>
              </w:rPr>
              <w:fldChar w:fldCharType="begin"/>
            </w:r>
            <w:r>
              <w:rPr>
                <w:noProof/>
                <w:webHidden/>
              </w:rPr>
              <w:instrText xml:space="preserve"> PAGEREF _Toc479171233 \h </w:instrText>
            </w:r>
            <w:r>
              <w:rPr>
                <w:noProof/>
                <w:webHidden/>
              </w:rPr>
            </w:r>
            <w:r>
              <w:rPr>
                <w:noProof/>
                <w:webHidden/>
              </w:rPr>
              <w:fldChar w:fldCharType="separate"/>
            </w:r>
            <w:r>
              <w:rPr>
                <w:noProof/>
                <w:webHidden/>
              </w:rPr>
              <w:t>641</w:t>
            </w:r>
            <w:r>
              <w:rPr>
                <w:noProof/>
                <w:webHidden/>
              </w:rPr>
              <w:fldChar w:fldCharType="end"/>
            </w:r>
          </w:hyperlink>
        </w:p>
        <w:p w14:paraId="771EA62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4" w:history="1">
            <w:r>
              <w:rPr>
                <w:rStyle w:val="Hipervnculo"/>
                <w:noProof/>
              </w:rPr>
              <w:t>Sobretasa a la Gas</w:t>
            </w:r>
            <w:r>
              <w:rPr>
                <w:rStyle w:val="Hipervnculo"/>
                <w:noProof/>
              </w:rPr>
              <w:t>olina y al ACPM</w:t>
            </w:r>
            <w:r>
              <w:rPr>
                <w:noProof/>
                <w:webHidden/>
              </w:rPr>
              <w:tab/>
            </w:r>
            <w:r>
              <w:rPr>
                <w:noProof/>
                <w:webHidden/>
              </w:rPr>
              <w:fldChar w:fldCharType="begin"/>
            </w:r>
            <w:r>
              <w:rPr>
                <w:noProof/>
                <w:webHidden/>
              </w:rPr>
              <w:instrText xml:space="preserve"> PAGEREF _Toc479171234 \h </w:instrText>
            </w:r>
            <w:r>
              <w:rPr>
                <w:noProof/>
                <w:webHidden/>
              </w:rPr>
            </w:r>
            <w:r>
              <w:rPr>
                <w:noProof/>
                <w:webHidden/>
              </w:rPr>
              <w:fldChar w:fldCharType="separate"/>
            </w:r>
            <w:r>
              <w:rPr>
                <w:noProof/>
                <w:webHidden/>
              </w:rPr>
              <w:t>641</w:t>
            </w:r>
            <w:r>
              <w:rPr>
                <w:noProof/>
                <w:webHidden/>
              </w:rPr>
              <w:fldChar w:fldCharType="end"/>
            </w:r>
          </w:hyperlink>
        </w:p>
        <w:p w14:paraId="6DD9FAB7"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5" w:history="1">
            <w:r>
              <w:rPr>
                <w:rStyle w:val="Hipervnculo"/>
                <w:noProof/>
              </w:rPr>
              <w:t>TÍTULO 4.</w:t>
            </w:r>
            <w:r>
              <w:rPr>
                <w:noProof/>
                <w:webHidden/>
              </w:rPr>
              <w:tab/>
            </w:r>
            <w:r>
              <w:rPr>
                <w:noProof/>
                <w:webHidden/>
              </w:rPr>
              <w:fldChar w:fldCharType="begin"/>
            </w:r>
            <w:r>
              <w:rPr>
                <w:noProof/>
                <w:webHidden/>
              </w:rPr>
              <w:instrText xml:space="preserve"> PAGEREF _Toc479171235 \h </w:instrText>
            </w:r>
            <w:r>
              <w:rPr>
                <w:noProof/>
                <w:webHidden/>
              </w:rPr>
            </w:r>
            <w:r>
              <w:rPr>
                <w:noProof/>
                <w:webHidden/>
              </w:rPr>
              <w:fldChar w:fldCharType="separate"/>
            </w:r>
            <w:r>
              <w:rPr>
                <w:noProof/>
                <w:webHidden/>
              </w:rPr>
              <w:t>644</w:t>
            </w:r>
            <w:r>
              <w:rPr>
                <w:noProof/>
                <w:webHidden/>
              </w:rPr>
              <w:fldChar w:fldCharType="end"/>
            </w:r>
          </w:hyperlink>
        </w:p>
        <w:p w14:paraId="5E742DBF"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6" w:history="1">
            <w:r>
              <w:rPr>
                <w:rStyle w:val="Hipervnculo"/>
                <w:noProof/>
              </w:rPr>
              <w:t>Impuesto sobre vehículos automotores</w:t>
            </w:r>
            <w:r>
              <w:rPr>
                <w:noProof/>
                <w:webHidden/>
              </w:rPr>
              <w:tab/>
            </w:r>
            <w:r>
              <w:rPr>
                <w:noProof/>
                <w:webHidden/>
              </w:rPr>
              <w:fldChar w:fldCharType="begin"/>
            </w:r>
            <w:r>
              <w:rPr>
                <w:noProof/>
                <w:webHidden/>
              </w:rPr>
              <w:instrText xml:space="preserve"> PAGEREF _Toc479171236 \h </w:instrText>
            </w:r>
            <w:r>
              <w:rPr>
                <w:noProof/>
                <w:webHidden/>
              </w:rPr>
            </w:r>
            <w:r>
              <w:rPr>
                <w:noProof/>
                <w:webHidden/>
              </w:rPr>
              <w:fldChar w:fldCharType="separate"/>
            </w:r>
            <w:r>
              <w:rPr>
                <w:noProof/>
                <w:webHidden/>
              </w:rPr>
              <w:t>644</w:t>
            </w:r>
            <w:r>
              <w:rPr>
                <w:noProof/>
                <w:webHidden/>
              </w:rPr>
              <w:fldChar w:fldCharType="end"/>
            </w:r>
          </w:hyperlink>
        </w:p>
        <w:p w14:paraId="2A0BEE8D"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7" w:history="1">
            <w:r>
              <w:rPr>
                <w:rStyle w:val="Hipervnculo"/>
                <w:noProof/>
              </w:rPr>
              <w:t>TÍTULO 5.</w:t>
            </w:r>
            <w:r>
              <w:rPr>
                <w:noProof/>
                <w:webHidden/>
              </w:rPr>
              <w:tab/>
            </w:r>
            <w:r>
              <w:rPr>
                <w:noProof/>
                <w:webHidden/>
              </w:rPr>
              <w:fldChar w:fldCharType="begin"/>
            </w:r>
            <w:r>
              <w:rPr>
                <w:noProof/>
                <w:webHidden/>
              </w:rPr>
              <w:instrText xml:space="preserve"> PAGEREF _Toc479171237 \h </w:instrText>
            </w:r>
            <w:r>
              <w:rPr>
                <w:noProof/>
                <w:webHidden/>
              </w:rPr>
            </w:r>
            <w:r>
              <w:rPr>
                <w:noProof/>
                <w:webHidden/>
              </w:rPr>
              <w:fldChar w:fldCharType="separate"/>
            </w:r>
            <w:r>
              <w:rPr>
                <w:noProof/>
                <w:webHidden/>
              </w:rPr>
              <w:t>646</w:t>
            </w:r>
            <w:r>
              <w:rPr>
                <w:noProof/>
                <w:webHidden/>
              </w:rPr>
              <w:fldChar w:fldCharType="end"/>
            </w:r>
          </w:hyperlink>
        </w:p>
        <w:p w14:paraId="26CB5BDC"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38" w:history="1">
            <w:r>
              <w:rPr>
                <w:rStyle w:val="Hipervnculo"/>
                <w:noProof/>
              </w:rPr>
              <w:t>Estampillas departamentales</w:t>
            </w:r>
            <w:r>
              <w:rPr>
                <w:noProof/>
                <w:webHidden/>
              </w:rPr>
              <w:tab/>
            </w:r>
            <w:r>
              <w:rPr>
                <w:noProof/>
                <w:webHidden/>
              </w:rPr>
              <w:fldChar w:fldCharType="begin"/>
            </w:r>
            <w:r>
              <w:rPr>
                <w:noProof/>
                <w:webHidden/>
              </w:rPr>
              <w:instrText xml:space="preserve"> PAGEREF _Toc479171238 \h </w:instrText>
            </w:r>
            <w:r>
              <w:rPr>
                <w:noProof/>
                <w:webHidden/>
              </w:rPr>
            </w:r>
            <w:r>
              <w:rPr>
                <w:noProof/>
                <w:webHidden/>
              </w:rPr>
              <w:fldChar w:fldCharType="separate"/>
            </w:r>
            <w:r>
              <w:rPr>
                <w:noProof/>
                <w:webHidden/>
              </w:rPr>
              <w:t>646</w:t>
            </w:r>
            <w:r>
              <w:rPr>
                <w:noProof/>
                <w:webHidden/>
              </w:rPr>
              <w:fldChar w:fldCharType="end"/>
            </w:r>
          </w:hyperlink>
        </w:p>
        <w:p w14:paraId="628FC915"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hyperlink w:anchor="_Toc479171239" w:history="1">
            <w:r>
              <w:rPr>
                <w:rStyle w:val="Hipervnculo"/>
                <w:noProof/>
              </w:rPr>
              <w:t>LIBRO 3</w:t>
            </w:r>
            <w:r>
              <w:rPr>
                <w:noProof/>
                <w:webHidden/>
              </w:rPr>
              <w:tab/>
            </w:r>
            <w:r>
              <w:rPr>
                <w:noProof/>
                <w:webHidden/>
              </w:rPr>
              <w:fldChar w:fldCharType="begin"/>
            </w:r>
            <w:r>
              <w:rPr>
                <w:noProof/>
                <w:webHidden/>
              </w:rPr>
              <w:instrText xml:space="preserve"> PAGEREF _Toc479171239 \h </w:instrText>
            </w:r>
            <w:r>
              <w:rPr>
                <w:noProof/>
                <w:webHidden/>
              </w:rPr>
            </w:r>
            <w:r>
              <w:rPr>
                <w:noProof/>
                <w:webHidden/>
              </w:rPr>
              <w:fldChar w:fldCharType="separate"/>
            </w:r>
            <w:r>
              <w:rPr>
                <w:noProof/>
                <w:webHidden/>
              </w:rPr>
              <w:t>646</w:t>
            </w:r>
            <w:r>
              <w:rPr>
                <w:noProof/>
                <w:webHidden/>
              </w:rPr>
              <w:fldChar w:fldCharType="end"/>
            </w:r>
          </w:hyperlink>
        </w:p>
        <w:p w14:paraId="41221361" w14:textId="77777777" w:rsidR="00B2442D" w:rsidRDefault="008A645F">
          <w:pPr>
            <w:pStyle w:val="TDC1"/>
            <w:tabs>
              <w:tab w:val="right" w:leader="dot" w:pos="8828"/>
            </w:tabs>
            <w:rPr>
              <w:rFonts w:asciiTheme="minorHAnsi" w:eastAsiaTheme="minorEastAsia" w:hAnsiTheme="minorHAnsi" w:cstheme="minorBidi"/>
              <w:noProof/>
              <w:sz w:val="22"/>
              <w:szCs w:val="22"/>
              <w:lang w:val="es-CO" w:eastAsia="es-CO"/>
            </w:rPr>
          </w:pPr>
          <w:hyperlink w:anchor="_Toc479171240" w:history="1">
            <w:r>
              <w:rPr>
                <w:rStyle w:val="Hipervnculo"/>
                <w:noProof/>
              </w:rPr>
              <w:t>DISPOSICIONES COMUNES Y OTRAS DISPOSICIONES</w:t>
            </w:r>
            <w:r>
              <w:rPr>
                <w:noProof/>
                <w:webHidden/>
              </w:rPr>
              <w:tab/>
            </w:r>
            <w:r>
              <w:rPr>
                <w:noProof/>
                <w:webHidden/>
              </w:rPr>
              <w:fldChar w:fldCharType="begin"/>
            </w:r>
            <w:r>
              <w:rPr>
                <w:noProof/>
                <w:webHidden/>
              </w:rPr>
              <w:instrText xml:space="preserve"> PAGEREF _Toc479171240 \h </w:instrText>
            </w:r>
            <w:r>
              <w:rPr>
                <w:noProof/>
                <w:webHidden/>
              </w:rPr>
            </w:r>
            <w:r>
              <w:rPr>
                <w:noProof/>
                <w:webHidden/>
              </w:rPr>
              <w:fldChar w:fldCharType="separate"/>
            </w:r>
            <w:r>
              <w:rPr>
                <w:noProof/>
                <w:webHidden/>
              </w:rPr>
              <w:t>646</w:t>
            </w:r>
            <w:r>
              <w:rPr>
                <w:noProof/>
                <w:webHidden/>
              </w:rPr>
              <w:fldChar w:fldCharType="end"/>
            </w:r>
          </w:hyperlink>
        </w:p>
        <w:p w14:paraId="534E4787"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41" w:history="1">
            <w:r>
              <w:rPr>
                <w:rStyle w:val="Hipervnculo"/>
                <w:noProof/>
              </w:rPr>
              <w:t>PARTE 1</w:t>
            </w:r>
            <w:r>
              <w:rPr>
                <w:noProof/>
                <w:webHidden/>
              </w:rPr>
              <w:tab/>
            </w:r>
            <w:r>
              <w:rPr>
                <w:noProof/>
                <w:webHidden/>
              </w:rPr>
              <w:fldChar w:fldCharType="begin"/>
            </w:r>
            <w:r>
              <w:rPr>
                <w:noProof/>
                <w:webHidden/>
              </w:rPr>
              <w:instrText xml:space="preserve"> PAGEREF _Toc479171241 \h </w:instrText>
            </w:r>
            <w:r>
              <w:rPr>
                <w:noProof/>
                <w:webHidden/>
              </w:rPr>
            </w:r>
            <w:r>
              <w:rPr>
                <w:noProof/>
                <w:webHidden/>
              </w:rPr>
              <w:fldChar w:fldCharType="separate"/>
            </w:r>
            <w:r>
              <w:rPr>
                <w:noProof/>
                <w:webHidden/>
              </w:rPr>
              <w:t>646</w:t>
            </w:r>
            <w:r>
              <w:rPr>
                <w:noProof/>
                <w:webHidden/>
              </w:rPr>
              <w:fldChar w:fldCharType="end"/>
            </w:r>
          </w:hyperlink>
        </w:p>
        <w:p w14:paraId="7D1AF755"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42" w:history="1">
            <w:r>
              <w:rPr>
                <w:rStyle w:val="Hipervnculo"/>
                <w:noProof/>
              </w:rPr>
              <w:t>DISPOSICIONES COMUNES</w:t>
            </w:r>
            <w:r>
              <w:rPr>
                <w:noProof/>
                <w:webHidden/>
              </w:rPr>
              <w:tab/>
            </w:r>
            <w:r>
              <w:rPr>
                <w:noProof/>
                <w:webHidden/>
              </w:rPr>
              <w:fldChar w:fldCharType="begin"/>
            </w:r>
            <w:r>
              <w:rPr>
                <w:noProof/>
                <w:webHidden/>
              </w:rPr>
              <w:instrText xml:space="preserve"> PAGEREF</w:instrText>
            </w:r>
            <w:r>
              <w:rPr>
                <w:noProof/>
                <w:webHidden/>
              </w:rPr>
              <w:instrText xml:space="preserve"> _Toc479171242 \h </w:instrText>
            </w:r>
            <w:r>
              <w:rPr>
                <w:noProof/>
                <w:webHidden/>
              </w:rPr>
            </w:r>
            <w:r>
              <w:rPr>
                <w:noProof/>
                <w:webHidden/>
              </w:rPr>
              <w:fldChar w:fldCharType="separate"/>
            </w:r>
            <w:r>
              <w:rPr>
                <w:noProof/>
                <w:webHidden/>
              </w:rPr>
              <w:t>646</w:t>
            </w:r>
            <w:r>
              <w:rPr>
                <w:noProof/>
                <w:webHidden/>
              </w:rPr>
              <w:fldChar w:fldCharType="end"/>
            </w:r>
          </w:hyperlink>
        </w:p>
        <w:p w14:paraId="0E8F6A4C"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43" w:history="1">
            <w:r>
              <w:rPr>
                <w:rStyle w:val="Hipervnculo"/>
                <w:noProof/>
              </w:rPr>
              <w:t>PARTE 2</w:t>
            </w:r>
            <w:r>
              <w:rPr>
                <w:noProof/>
                <w:webHidden/>
              </w:rPr>
              <w:tab/>
            </w:r>
            <w:r>
              <w:rPr>
                <w:noProof/>
                <w:webHidden/>
              </w:rPr>
              <w:fldChar w:fldCharType="begin"/>
            </w:r>
            <w:r>
              <w:rPr>
                <w:noProof/>
                <w:webHidden/>
              </w:rPr>
              <w:instrText xml:space="preserve"> PAGEREF _Toc479171243 \h </w:instrText>
            </w:r>
            <w:r>
              <w:rPr>
                <w:noProof/>
                <w:webHidden/>
              </w:rPr>
            </w:r>
            <w:r>
              <w:rPr>
                <w:noProof/>
                <w:webHidden/>
              </w:rPr>
              <w:fldChar w:fldCharType="separate"/>
            </w:r>
            <w:r>
              <w:rPr>
                <w:noProof/>
                <w:webHidden/>
              </w:rPr>
              <w:t>648</w:t>
            </w:r>
            <w:r>
              <w:rPr>
                <w:noProof/>
                <w:webHidden/>
              </w:rPr>
              <w:fldChar w:fldCharType="end"/>
            </w:r>
          </w:hyperlink>
        </w:p>
        <w:p w14:paraId="2EEDA72C" w14:textId="77777777" w:rsidR="00B2442D" w:rsidRDefault="008A645F">
          <w:pPr>
            <w:pStyle w:val="TDC2"/>
            <w:tabs>
              <w:tab w:val="right" w:leader="dot" w:pos="8828"/>
            </w:tabs>
            <w:rPr>
              <w:rFonts w:asciiTheme="minorHAnsi" w:eastAsiaTheme="minorEastAsia" w:hAnsiTheme="minorHAnsi" w:cstheme="minorBidi"/>
              <w:noProof/>
              <w:sz w:val="22"/>
              <w:szCs w:val="22"/>
              <w:lang w:val="es-CO" w:eastAsia="es-CO"/>
            </w:rPr>
          </w:pPr>
          <w:hyperlink w:anchor="_Toc479171244" w:history="1">
            <w:r>
              <w:rPr>
                <w:rStyle w:val="Hipervnculo"/>
                <w:noProof/>
              </w:rPr>
              <w:t>DISPOSICIONES FINALES</w:t>
            </w:r>
            <w:r>
              <w:rPr>
                <w:noProof/>
                <w:webHidden/>
              </w:rPr>
              <w:tab/>
            </w:r>
            <w:r>
              <w:rPr>
                <w:noProof/>
                <w:webHidden/>
              </w:rPr>
              <w:fldChar w:fldCharType="begin"/>
            </w:r>
            <w:r>
              <w:rPr>
                <w:noProof/>
                <w:webHidden/>
              </w:rPr>
              <w:instrText xml:space="preserve"> PAGEREF _Toc479171244 \h </w:instrText>
            </w:r>
            <w:r>
              <w:rPr>
                <w:noProof/>
                <w:webHidden/>
              </w:rPr>
            </w:r>
            <w:r>
              <w:rPr>
                <w:noProof/>
                <w:webHidden/>
              </w:rPr>
              <w:fldChar w:fldCharType="separate"/>
            </w:r>
            <w:r>
              <w:rPr>
                <w:noProof/>
                <w:webHidden/>
              </w:rPr>
              <w:t>648</w:t>
            </w:r>
            <w:r>
              <w:rPr>
                <w:noProof/>
                <w:webHidden/>
              </w:rPr>
              <w:fldChar w:fldCharType="end"/>
            </w:r>
          </w:hyperlink>
        </w:p>
        <w:p w14:paraId="6E331A59"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45" w:history="1">
            <w:r>
              <w:rPr>
                <w:rStyle w:val="Hipervnculo"/>
                <w:noProof/>
              </w:rPr>
              <w:t>TÍTULO</w:t>
            </w:r>
            <w:r>
              <w:rPr>
                <w:rStyle w:val="Hipervnculo"/>
                <w:noProof/>
              </w:rPr>
              <w:t xml:space="preserve"> 1.</w:t>
            </w:r>
            <w:r>
              <w:rPr>
                <w:noProof/>
                <w:webHidden/>
              </w:rPr>
              <w:tab/>
            </w:r>
            <w:r>
              <w:rPr>
                <w:noProof/>
                <w:webHidden/>
              </w:rPr>
              <w:fldChar w:fldCharType="begin"/>
            </w:r>
            <w:r>
              <w:rPr>
                <w:noProof/>
                <w:webHidden/>
              </w:rPr>
              <w:instrText xml:space="preserve"> PAGEREF _Toc479171245 \h </w:instrText>
            </w:r>
            <w:r>
              <w:rPr>
                <w:noProof/>
                <w:webHidden/>
              </w:rPr>
            </w:r>
            <w:r>
              <w:rPr>
                <w:noProof/>
                <w:webHidden/>
              </w:rPr>
              <w:fldChar w:fldCharType="separate"/>
            </w:r>
            <w:r>
              <w:rPr>
                <w:noProof/>
                <w:webHidden/>
              </w:rPr>
              <w:t>653</w:t>
            </w:r>
            <w:r>
              <w:rPr>
                <w:noProof/>
                <w:webHidden/>
              </w:rPr>
              <w:fldChar w:fldCharType="end"/>
            </w:r>
          </w:hyperlink>
        </w:p>
        <w:p w14:paraId="3986C098" w14:textId="77777777" w:rsidR="00B2442D" w:rsidRDefault="008A645F">
          <w:pPr>
            <w:pStyle w:val="TDC3"/>
            <w:tabs>
              <w:tab w:val="right" w:leader="dot" w:pos="8828"/>
            </w:tabs>
            <w:rPr>
              <w:rFonts w:asciiTheme="minorHAnsi" w:eastAsiaTheme="minorEastAsia" w:hAnsiTheme="minorHAnsi" w:cstheme="minorBidi"/>
              <w:noProof/>
              <w:sz w:val="22"/>
              <w:szCs w:val="22"/>
              <w:lang w:val="es-CO" w:eastAsia="es-CO"/>
            </w:rPr>
          </w:pPr>
          <w:hyperlink w:anchor="_Toc479171246" w:history="1">
            <w:r>
              <w:rPr>
                <w:rStyle w:val="Hipervnculo"/>
                <w:noProof/>
              </w:rPr>
              <w:t>Vigencia y derogatorias</w:t>
            </w:r>
            <w:r>
              <w:rPr>
                <w:noProof/>
                <w:webHidden/>
              </w:rPr>
              <w:tab/>
            </w:r>
            <w:r>
              <w:rPr>
                <w:noProof/>
                <w:webHidden/>
              </w:rPr>
              <w:fldChar w:fldCharType="begin"/>
            </w:r>
            <w:r>
              <w:rPr>
                <w:noProof/>
                <w:webHidden/>
              </w:rPr>
              <w:instrText xml:space="preserve"> PAGEREF _Toc479171246 \h </w:instrText>
            </w:r>
            <w:r>
              <w:rPr>
                <w:noProof/>
                <w:webHidden/>
              </w:rPr>
            </w:r>
            <w:r>
              <w:rPr>
                <w:noProof/>
                <w:webHidden/>
              </w:rPr>
              <w:fldChar w:fldCharType="separate"/>
            </w:r>
            <w:r>
              <w:rPr>
                <w:noProof/>
                <w:webHidden/>
              </w:rPr>
              <w:t>653</w:t>
            </w:r>
            <w:r>
              <w:rPr>
                <w:noProof/>
                <w:webHidden/>
              </w:rPr>
              <w:fldChar w:fldCharType="end"/>
            </w:r>
          </w:hyperlink>
        </w:p>
        <w:p w14:paraId="01974F3B" w14:textId="77777777" w:rsidR="00B2442D" w:rsidRDefault="008A645F">
          <w:r>
            <w:fldChar w:fldCharType="end"/>
          </w:r>
        </w:p>
      </w:sdtContent>
    </w:sdt>
    <w:p w14:paraId="24C72CE7" w14:textId="77777777" w:rsidR="00B2442D" w:rsidRDefault="00B2442D">
      <w:pPr>
        <w:pStyle w:val="TableParagraph"/>
      </w:pPr>
    </w:p>
    <w:p w14:paraId="081262AE" w14:textId="77777777" w:rsidR="00B2442D" w:rsidRDefault="00B2442D">
      <w:pPr>
        <w:pStyle w:val="TableParagraph"/>
      </w:pPr>
    </w:p>
    <w:p w14:paraId="44605423" w14:textId="77777777" w:rsidR="00B2442D" w:rsidRDefault="00B2442D">
      <w:pPr>
        <w:pStyle w:val="TableParagraph"/>
      </w:pPr>
    </w:p>
    <w:p w14:paraId="3E889746" w14:textId="77777777" w:rsidR="00B2442D" w:rsidRDefault="00B2442D">
      <w:pPr>
        <w:jc w:val="center"/>
        <w:rPr>
          <w:rFonts w:ascii="Arial" w:hAnsi="Arial" w:cs="Arial"/>
          <w:b/>
          <w:lang w:val="es-CO"/>
        </w:rPr>
      </w:pPr>
    </w:p>
    <w:p w14:paraId="19201E6A" w14:textId="77777777" w:rsidR="00B2442D" w:rsidRDefault="008A645F">
      <w:pPr>
        <w:jc w:val="center"/>
        <w:rPr>
          <w:rFonts w:ascii="Arial" w:hAnsi="Arial" w:cs="Arial"/>
          <w:b/>
          <w:lang w:val="es-CO"/>
        </w:rPr>
      </w:pPr>
      <w:r>
        <w:rPr>
          <w:rFonts w:ascii="Arial" w:hAnsi="Arial" w:cs="Arial"/>
          <w:b/>
          <w:lang w:val="es-CO"/>
        </w:rPr>
        <w:t>EL PRESIDENTE DE LA REPÚBLICA DE COLOMBIA</w:t>
      </w:r>
    </w:p>
    <w:p w14:paraId="003B9504" w14:textId="77777777" w:rsidR="00B2442D" w:rsidRDefault="00B2442D">
      <w:pPr>
        <w:jc w:val="center"/>
        <w:rPr>
          <w:rFonts w:ascii="Arial" w:hAnsi="Arial" w:cs="Arial"/>
          <w:b/>
          <w:lang w:val="es-CO"/>
        </w:rPr>
      </w:pPr>
    </w:p>
    <w:p w14:paraId="08D05907" w14:textId="77777777" w:rsidR="00B2442D" w:rsidRDefault="008A645F">
      <w:pPr>
        <w:jc w:val="center"/>
        <w:rPr>
          <w:rFonts w:ascii="Arial" w:hAnsi="Arial" w:cs="Arial"/>
          <w:lang w:val="es-CO"/>
        </w:rPr>
      </w:pPr>
      <w:r>
        <w:rPr>
          <w:rFonts w:ascii="Arial" w:hAnsi="Arial" w:cs="Arial"/>
          <w:lang w:val="es-CO"/>
        </w:rPr>
        <w:t>En ejercicio de las facultades que le confiere el numeral 11 del artículo 189 de la</w:t>
      </w:r>
    </w:p>
    <w:p w14:paraId="3BF41937" w14:textId="77777777" w:rsidR="00B2442D" w:rsidRDefault="008A645F">
      <w:pPr>
        <w:jc w:val="center"/>
        <w:rPr>
          <w:rFonts w:ascii="Arial" w:hAnsi="Arial" w:cs="Arial"/>
          <w:lang w:val="es-CO"/>
        </w:rPr>
      </w:pPr>
      <w:r>
        <w:rPr>
          <w:rFonts w:ascii="Arial" w:hAnsi="Arial" w:cs="Arial"/>
          <w:lang w:val="es-CO"/>
        </w:rPr>
        <w:t>Constitución Política, y</w:t>
      </w:r>
    </w:p>
    <w:p w14:paraId="1E7839A0" w14:textId="77777777" w:rsidR="00B2442D" w:rsidRDefault="00B2442D">
      <w:pPr>
        <w:jc w:val="center"/>
        <w:rPr>
          <w:rFonts w:ascii="Arial" w:hAnsi="Arial" w:cs="Arial"/>
          <w:b/>
          <w:lang w:val="es-CO"/>
        </w:rPr>
      </w:pPr>
    </w:p>
    <w:p w14:paraId="054773D7" w14:textId="77777777" w:rsidR="00B2442D" w:rsidRDefault="008A645F">
      <w:pPr>
        <w:jc w:val="center"/>
        <w:rPr>
          <w:rFonts w:ascii="Arial" w:hAnsi="Arial" w:cs="Arial"/>
          <w:b/>
          <w:lang w:val="es-CO"/>
        </w:rPr>
      </w:pPr>
      <w:r>
        <w:rPr>
          <w:rFonts w:ascii="Arial" w:hAnsi="Arial" w:cs="Arial"/>
          <w:b/>
          <w:lang w:val="es-CO"/>
        </w:rPr>
        <w:t>CONSIDERANDO:</w:t>
      </w:r>
    </w:p>
    <w:p w14:paraId="2133A1E0" w14:textId="77777777" w:rsidR="00B2442D" w:rsidRDefault="00B2442D">
      <w:pPr>
        <w:jc w:val="both"/>
        <w:rPr>
          <w:rFonts w:ascii="Arial" w:hAnsi="Arial" w:cs="Arial"/>
          <w:lang w:val="es-CO"/>
        </w:rPr>
      </w:pPr>
    </w:p>
    <w:p w14:paraId="54D5CCA4" w14:textId="77777777" w:rsidR="00B2442D" w:rsidRDefault="008A645F">
      <w:pPr>
        <w:jc w:val="both"/>
        <w:rPr>
          <w:rFonts w:ascii="Arial" w:hAnsi="Arial" w:cs="Arial"/>
          <w:lang w:val="es-CO"/>
        </w:rPr>
      </w:pPr>
      <w:r>
        <w:rPr>
          <w:rFonts w:ascii="Arial" w:hAnsi="Arial" w:cs="Arial"/>
          <w:lang w:val="es-CO"/>
        </w:rPr>
        <w:t xml:space="preserve">Que la producción normativa ocupa un espacio central en la </w:t>
      </w:r>
      <w:r>
        <w:rPr>
          <w:rFonts w:ascii="Arial" w:hAnsi="Arial" w:cs="Arial"/>
          <w:lang w:val="es-CO"/>
        </w:rPr>
        <w:t>implementación de políticas públicas, siendo el medio a través del cual se estructuran los instrumentos jurídicos que materializan en gran parte las decisiones del Estado.</w:t>
      </w:r>
    </w:p>
    <w:p w14:paraId="2918873F" w14:textId="77777777" w:rsidR="00B2442D" w:rsidRDefault="00B2442D">
      <w:pPr>
        <w:jc w:val="both"/>
        <w:rPr>
          <w:rFonts w:ascii="Arial" w:hAnsi="Arial" w:cs="Arial"/>
          <w:lang w:val="es-CO"/>
        </w:rPr>
      </w:pPr>
    </w:p>
    <w:p w14:paraId="2D09434B" w14:textId="77777777" w:rsidR="00B2442D" w:rsidRDefault="008A645F">
      <w:pPr>
        <w:jc w:val="both"/>
        <w:rPr>
          <w:rFonts w:ascii="Arial" w:hAnsi="Arial" w:cs="Arial"/>
          <w:lang w:val="es-CO"/>
        </w:rPr>
      </w:pPr>
      <w:r>
        <w:rPr>
          <w:rFonts w:ascii="Arial" w:hAnsi="Arial" w:cs="Arial"/>
          <w:lang w:val="es-CO"/>
        </w:rPr>
        <w:t>Que la racionalización y simplificación del ordenamiento jurídico es una de las pri</w:t>
      </w:r>
      <w:r>
        <w:rPr>
          <w:rFonts w:ascii="Arial" w:hAnsi="Arial" w:cs="Arial"/>
          <w:lang w:val="es-CO"/>
        </w:rPr>
        <w:t>ncipales herramientas para asegurar la eficiencia económica y social del sistema legal y para afianzar la seguridad jurídica.</w:t>
      </w:r>
    </w:p>
    <w:p w14:paraId="5767720E" w14:textId="77777777" w:rsidR="00B2442D" w:rsidRDefault="00B2442D">
      <w:pPr>
        <w:jc w:val="both"/>
        <w:rPr>
          <w:rFonts w:ascii="Arial" w:hAnsi="Arial" w:cs="Arial"/>
          <w:lang w:val="es-CO"/>
        </w:rPr>
      </w:pPr>
    </w:p>
    <w:p w14:paraId="368F6CD0" w14:textId="77777777" w:rsidR="00B2442D" w:rsidRDefault="008A645F">
      <w:pPr>
        <w:jc w:val="both"/>
        <w:rPr>
          <w:rFonts w:ascii="Arial" w:hAnsi="Arial" w:cs="Arial"/>
          <w:lang w:val="es-CO"/>
        </w:rPr>
      </w:pPr>
      <w:r>
        <w:rPr>
          <w:rFonts w:ascii="Arial" w:hAnsi="Arial" w:cs="Arial"/>
          <w:lang w:val="es-CO"/>
        </w:rPr>
        <w:t xml:space="preserve">Que constituye una política pública gubernamental la simplificación y compilación orgánica del sistema nacional </w:t>
      </w:r>
      <w:r>
        <w:rPr>
          <w:rFonts w:ascii="Arial" w:hAnsi="Arial" w:cs="Arial"/>
          <w:lang w:val="es-CO"/>
        </w:rPr>
        <w:t>regulatorio.</w:t>
      </w:r>
    </w:p>
    <w:p w14:paraId="374E265A" w14:textId="77777777" w:rsidR="00B2442D" w:rsidRDefault="00B2442D">
      <w:pPr>
        <w:jc w:val="both"/>
        <w:rPr>
          <w:rFonts w:ascii="Arial" w:hAnsi="Arial" w:cs="Arial"/>
          <w:lang w:val="es-CO"/>
        </w:rPr>
      </w:pPr>
    </w:p>
    <w:p w14:paraId="4C222CC7" w14:textId="77777777" w:rsidR="00B2442D" w:rsidRDefault="008A645F">
      <w:pPr>
        <w:jc w:val="both"/>
        <w:rPr>
          <w:rFonts w:ascii="Arial" w:hAnsi="Arial" w:cs="Arial"/>
          <w:lang w:val="es-CO"/>
        </w:rPr>
      </w:pPr>
      <w:r>
        <w:rPr>
          <w:rFonts w:ascii="Arial" w:hAnsi="Arial" w:cs="Arial"/>
          <w:lang w:val="es-CO"/>
        </w:rPr>
        <w:t>Que la facultad reglamentaria incluye la posibilidad de compilar normas de la misma naturaleza.</w:t>
      </w:r>
    </w:p>
    <w:p w14:paraId="561C9F37" w14:textId="77777777" w:rsidR="00B2442D" w:rsidRDefault="00B2442D">
      <w:pPr>
        <w:jc w:val="both"/>
        <w:rPr>
          <w:rFonts w:ascii="Arial" w:hAnsi="Arial" w:cs="Arial"/>
          <w:lang w:val="es-CO"/>
        </w:rPr>
      </w:pPr>
    </w:p>
    <w:p w14:paraId="2314E16A" w14:textId="77777777" w:rsidR="00B2442D" w:rsidRDefault="008A645F">
      <w:pPr>
        <w:jc w:val="both"/>
        <w:rPr>
          <w:rFonts w:ascii="Arial" w:hAnsi="Arial" w:cs="Arial"/>
          <w:lang w:val="es-CO"/>
        </w:rPr>
      </w:pPr>
      <w:r>
        <w:rPr>
          <w:rFonts w:ascii="Arial" w:hAnsi="Arial" w:cs="Arial"/>
          <w:lang w:val="es-CO"/>
        </w:rPr>
        <w:t>Que por tratarse de un decreto compilatorio de normas reglamentarias preexistentes, las mismas no requieren de consulta previa alguna, dado que l</w:t>
      </w:r>
      <w:r>
        <w:rPr>
          <w:rFonts w:ascii="Arial" w:hAnsi="Arial" w:cs="Arial"/>
          <w:lang w:val="es-CO"/>
        </w:rPr>
        <w:t>as normas fuente cumplieron al momento de su expedición con las regulaciones vigentes sobre la materia.</w:t>
      </w:r>
    </w:p>
    <w:p w14:paraId="73187094" w14:textId="77777777" w:rsidR="00B2442D" w:rsidRDefault="00B2442D">
      <w:pPr>
        <w:jc w:val="both"/>
        <w:rPr>
          <w:rFonts w:ascii="Arial" w:hAnsi="Arial" w:cs="Arial"/>
          <w:lang w:val="es-CO"/>
        </w:rPr>
      </w:pPr>
    </w:p>
    <w:p w14:paraId="0BA3CC23" w14:textId="77777777" w:rsidR="00B2442D" w:rsidRDefault="008A645F">
      <w:pPr>
        <w:jc w:val="both"/>
        <w:rPr>
          <w:rFonts w:ascii="Arial" w:hAnsi="Arial" w:cs="Arial"/>
          <w:lang w:val="es-CO"/>
        </w:rPr>
      </w:pPr>
      <w:r>
        <w:rPr>
          <w:rFonts w:ascii="Arial" w:hAnsi="Arial" w:cs="Arial"/>
          <w:lang w:val="es-CO"/>
        </w:rPr>
        <w:t>Que la tarea de compilar y racionalizar las normas de carácter reglamentario implica, en algunos casos, la simple actualización de la normativa compila</w:t>
      </w:r>
      <w:r>
        <w:rPr>
          <w:rFonts w:ascii="Arial" w:hAnsi="Arial" w:cs="Arial"/>
          <w:lang w:val="es-CO"/>
        </w:rPr>
        <w:t>da, para que se ajuste a la realidad institucional y a la normativa vigente, lo cual conlleva, en aspectos puntuales, el ejercicio formal de la facultad reglamentaria.</w:t>
      </w:r>
    </w:p>
    <w:p w14:paraId="25DB239F" w14:textId="77777777" w:rsidR="00B2442D" w:rsidRDefault="00B2442D">
      <w:pPr>
        <w:jc w:val="both"/>
        <w:rPr>
          <w:rFonts w:ascii="Arial" w:hAnsi="Arial" w:cs="Arial"/>
          <w:lang w:val="es-CO"/>
        </w:rPr>
      </w:pPr>
    </w:p>
    <w:p w14:paraId="62F25A7C" w14:textId="77777777" w:rsidR="00B2442D" w:rsidRDefault="008A645F">
      <w:pPr>
        <w:jc w:val="both"/>
        <w:rPr>
          <w:rFonts w:ascii="Arial" w:hAnsi="Arial" w:cs="Arial"/>
          <w:lang w:val="es-CO"/>
        </w:rPr>
      </w:pPr>
      <w:r>
        <w:rPr>
          <w:rFonts w:ascii="Arial" w:hAnsi="Arial" w:cs="Arial"/>
          <w:lang w:val="es-CO"/>
        </w:rPr>
        <w:t>Que en virtud de sus características propias, el contenido material de este decreto gua</w:t>
      </w:r>
      <w:r>
        <w:rPr>
          <w:rFonts w:ascii="Arial" w:hAnsi="Arial" w:cs="Arial"/>
          <w:lang w:val="es-CO"/>
        </w:rPr>
        <w:t>rda correspondencia con el de los decretos compilados; en consecuencia, no puede predicarse el decaimiento de las resoluciones, las circulares y demás actos administrativos expedidos por distintas autoridades administrativas con fundamento en las facultade</w:t>
      </w:r>
      <w:r>
        <w:rPr>
          <w:rFonts w:ascii="Arial" w:hAnsi="Arial" w:cs="Arial"/>
          <w:lang w:val="es-CO"/>
        </w:rPr>
        <w:t>s derivadas de los decretos compilados.</w:t>
      </w:r>
    </w:p>
    <w:p w14:paraId="06862B14" w14:textId="77777777" w:rsidR="00B2442D" w:rsidRDefault="00B2442D">
      <w:pPr>
        <w:jc w:val="both"/>
        <w:rPr>
          <w:rFonts w:ascii="Arial" w:hAnsi="Arial" w:cs="Arial"/>
          <w:lang w:val="es-CO"/>
        </w:rPr>
      </w:pPr>
    </w:p>
    <w:p w14:paraId="642F648C" w14:textId="77777777" w:rsidR="00B2442D" w:rsidRDefault="008A645F">
      <w:pPr>
        <w:jc w:val="both"/>
        <w:rPr>
          <w:rFonts w:ascii="Arial" w:hAnsi="Arial" w:cs="Arial"/>
          <w:lang w:val="es-CO"/>
        </w:rPr>
      </w:pPr>
      <w:r>
        <w:rPr>
          <w:rFonts w:ascii="Arial" w:hAnsi="Arial" w:cs="Arial"/>
          <w:lang w:val="es-CO"/>
        </w:rPr>
        <w:t>Que la compilación de que trata el presente decreto se contrae a la normatividad vigente al momento de su expedición, sin perjuicio de los efectos ultractivos de disposiciones derogadas a la fecha, de conformidad co</w:t>
      </w:r>
      <w:r>
        <w:rPr>
          <w:rFonts w:ascii="Arial" w:hAnsi="Arial" w:cs="Arial"/>
          <w:lang w:val="es-CO"/>
        </w:rPr>
        <w:t>n el artículo 38 de la Ley 153 de 1887.</w:t>
      </w:r>
    </w:p>
    <w:p w14:paraId="0931373D" w14:textId="77777777" w:rsidR="00B2442D" w:rsidRDefault="00B2442D">
      <w:pPr>
        <w:jc w:val="both"/>
        <w:rPr>
          <w:rFonts w:ascii="Arial" w:hAnsi="Arial" w:cs="Arial"/>
          <w:lang w:val="es-CO"/>
        </w:rPr>
      </w:pPr>
    </w:p>
    <w:p w14:paraId="4020D39C" w14:textId="77777777" w:rsidR="00B2442D" w:rsidRDefault="008A645F">
      <w:pPr>
        <w:jc w:val="both"/>
        <w:rPr>
          <w:rFonts w:ascii="Arial" w:hAnsi="Arial" w:cs="Arial"/>
          <w:lang w:val="es-CO"/>
        </w:rPr>
      </w:pPr>
      <w:r>
        <w:rPr>
          <w:rFonts w:ascii="Arial" w:hAnsi="Arial" w:cs="Arial"/>
          <w:lang w:val="es-CO"/>
        </w:rPr>
        <w:t>Que este Decreto constituye un ejercicio de compilación de reglamentaciones preexistentes y, por tanto, los considerandos de los decretos fuente se entienden incorporados a su texto, aunque no se transcriban, para l</w:t>
      </w:r>
      <w:r>
        <w:rPr>
          <w:rFonts w:ascii="Arial" w:hAnsi="Arial" w:cs="Arial"/>
          <w:lang w:val="es-CO"/>
        </w:rPr>
        <w:t>o cual en cada artículo se indica el origen del mismo.</w:t>
      </w:r>
    </w:p>
    <w:p w14:paraId="4662E735" w14:textId="77777777" w:rsidR="00B2442D" w:rsidRDefault="00B2442D">
      <w:pPr>
        <w:jc w:val="both"/>
        <w:rPr>
          <w:rFonts w:ascii="Arial" w:hAnsi="Arial" w:cs="Arial"/>
          <w:lang w:val="es-CO"/>
        </w:rPr>
      </w:pPr>
    </w:p>
    <w:p w14:paraId="5B4CA66E" w14:textId="77777777" w:rsidR="00B2442D" w:rsidRDefault="008A645F">
      <w:pPr>
        <w:jc w:val="both"/>
        <w:rPr>
          <w:rFonts w:ascii="Arial" w:hAnsi="Arial" w:cs="Arial"/>
          <w:lang w:val="es-CO"/>
        </w:rPr>
      </w:pPr>
      <w:r>
        <w:rPr>
          <w:rFonts w:ascii="Arial" w:hAnsi="Arial" w:cs="Arial"/>
          <w:lang w:val="es-CO"/>
        </w:rPr>
        <w:t>Que durante el trabajo compilatorio recogido en este Decreto, el Gobierno verificó que ninguna norma compilada hubiera sido objeto de declaración de nulidad o de suspensión provisional, acudiendo para</w:t>
      </w:r>
      <w:r>
        <w:rPr>
          <w:rFonts w:ascii="Arial" w:hAnsi="Arial" w:cs="Arial"/>
          <w:lang w:val="es-CO"/>
        </w:rPr>
        <w:t xml:space="preserve"> ello a la información suministrada por la Relatoría y la Secretaría General del Consejo de Estado.</w:t>
      </w:r>
    </w:p>
    <w:p w14:paraId="2699C36C" w14:textId="77777777" w:rsidR="00B2442D" w:rsidRDefault="00B2442D">
      <w:pPr>
        <w:jc w:val="both"/>
        <w:rPr>
          <w:rFonts w:ascii="Arial" w:hAnsi="Arial" w:cs="Arial"/>
          <w:lang w:val="es-CO"/>
        </w:rPr>
      </w:pPr>
    </w:p>
    <w:p w14:paraId="73EACA91" w14:textId="77777777" w:rsidR="00B2442D" w:rsidRDefault="008A645F">
      <w:pPr>
        <w:jc w:val="both"/>
        <w:rPr>
          <w:rFonts w:ascii="Arial" w:hAnsi="Arial" w:cs="Arial"/>
          <w:lang w:val="es-CO"/>
        </w:rPr>
      </w:pPr>
      <w:r>
        <w:rPr>
          <w:rFonts w:ascii="Arial" w:hAnsi="Arial" w:cs="Arial"/>
          <w:lang w:val="es-CO"/>
        </w:rPr>
        <w:t>Que las normas de carácter reglamentario suspendidas provisionalmente por la autoridad contencioso administrativa, no se incorporan en el presente Decreto,</w:t>
      </w:r>
      <w:r>
        <w:rPr>
          <w:rFonts w:ascii="Arial" w:hAnsi="Arial" w:cs="Arial"/>
          <w:lang w:val="es-CO"/>
        </w:rPr>
        <w:t xml:space="preserve"> pero si se profieren sentencias que declaran su legalidad, deberán ser incorporadas. </w:t>
      </w:r>
    </w:p>
    <w:p w14:paraId="116A0FB2" w14:textId="77777777" w:rsidR="00B2442D" w:rsidRDefault="00B2442D">
      <w:pPr>
        <w:jc w:val="both"/>
        <w:rPr>
          <w:rFonts w:ascii="Arial" w:hAnsi="Arial" w:cs="Arial"/>
          <w:lang w:val="es-CO"/>
        </w:rPr>
      </w:pPr>
    </w:p>
    <w:p w14:paraId="2CE8CC3F" w14:textId="77777777" w:rsidR="00B2442D" w:rsidRDefault="008A645F">
      <w:pPr>
        <w:jc w:val="both"/>
        <w:rPr>
          <w:rFonts w:ascii="Arial" w:hAnsi="Arial" w:cs="Arial"/>
          <w:lang w:val="es-CO"/>
        </w:rPr>
      </w:pPr>
      <w:r>
        <w:rPr>
          <w:rFonts w:ascii="Arial" w:hAnsi="Arial" w:cs="Arial"/>
          <w:lang w:val="es-CO"/>
        </w:rPr>
        <w:t>Que con el objetivo de compilar y racionalizar las normas de carácter reglamentario que rigen en el Sector de Hacienda y contar con un instrumento jurídico único para e</w:t>
      </w:r>
      <w:r>
        <w:rPr>
          <w:rFonts w:ascii="Arial" w:hAnsi="Arial" w:cs="Arial"/>
          <w:lang w:val="es-CO"/>
        </w:rPr>
        <w:t>l mismo, se hace necesario expedir el presente Decreto Reglamentario Único en materia tributaria.</w:t>
      </w:r>
    </w:p>
    <w:p w14:paraId="79F069A5" w14:textId="77777777" w:rsidR="00B2442D" w:rsidRDefault="00B2442D">
      <w:pPr>
        <w:jc w:val="both"/>
        <w:rPr>
          <w:rFonts w:ascii="Arial" w:hAnsi="Arial" w:cs="Arial"/>
          <w:lang w:val="es-CO"/>
        </w:rPr>
      </w:pPr>
    </w:p>
    <w:p w14:paraId="1711DA34" w14:textId="77777777" w:rsidR="00B2442D" w:rsidRDefault="008A645F">
      <w:pPr>
        <w:jc w:val="both"/>
        <w:rPr>
          <w:rFonts w:ascii="Arial" w:hAnsi="Arial" w:cs="Arial"/>
          <w:lang w:val="es-CO"/>
        </w:rPr>
      </w:pPr>
      <w:r>
        <w:rPr>
          <w:rFonts w:ascii="Arial" w:hAnsi="Arial" w:cs="Arial"/>
          <w:lang w:val="es-CO"/>
        </w:rPr>
        <w:t xml:space="preserve">Que los decretos que establecen los plazos para declarar y pagar los tributos en cada año y los demás decretos reglamentarios expedidos para el cumplimiento </w:t>
      </w:r>
      <w:r>
        <w:rPr>
          <w:rFonts w:ascii="Arial" w:hAnsi="Arial" w:cs="Arial"/>
          <w:lang w:val="es-CO"/>
        </w:rPr>
        <w:t>de obligaciones tributarias en cada vigencia, no se incorporan en el presente Decreto, en razón al cumplimiento del plazo, pero son normas vigentes para el ejercicio de las facultades de control de la Unidad Administrativa Especial Dirección de impuestos y</w:t>
      </w:r>
      <w:r>
        <w:rPr>
          <w:rFonts w:ascii="Arial" w:hAnsi="Arial" w:cs="Arial"/>
          <w:lang w:val="es-CO"/>
        </w:rPr>
        <w:t xml:space="preserve"> Aduanas Nacionales- DIAN y para el cumplimiento de las obligaciones tributarias, sustanciales y formales, por los contribuyentes y responsables de los impuestos, cuando hubiere lugar a ello, en virtud de  la aplicación de la ley en el tiempo.</w:t>
      </w:r>
    </w:p>
    <w:p w14:paraId="22ECA8BA" w14:textId="77777777" w:rsidR="00B2442D" w:rsidRDefault="00B2442D">
      <w:pPr>
        <w:jc w:val="both"/>
        <w:rPr>
          <w:rFonts w:ascii="Arial" w:hAnsi="Arial" w:cs="Arial"/>
          <w:lang w:val="es-CO"/>
        </w:rPr>
      </w:pPr>
    </w:p>
    <w:p w14:paraId="6C11A502" w14:textId="77777777" w:rsidR="00B2442D" w:rsidRDefault="008A645F">
      <w:pPr>
        <w:jc w:val="both"/>
        <w:rPr>
          <w:rFonts w:ascii="Arial" w:hAnsi="Arial" w:cs="Arial"/>
          <w:lang w:val="es-CO"/>
        </w:rPr>
      </w:pPr>
      <w:r>
        <w:rPr>
          <w:rFonts w:ascii="Arial" w:hAnsi="Arial" w:cs="Arial"/>
          <w:lang w:val="es-CO"/>
        </w:rPr>
        <w:t>Que las nor</w:t>
      </w:r>
      <w:r>
        <w:rPr>
          <w:rFonts w:ascii="Arial" w:hAnsi="Arial" w:cs="Arial"/>
          <w:lang w:val="es-CO"/>
        </w:rPr>
        <w:t xml:space="preserve">mas estabilizadas en los contratos de estabilidad jurídica, conforme con lo previsto en la Ley 963 de 2005 y disposiciones reglamentarias, no incorporadas en este Decreto por razones de vigencia, siguen produciendo efectos jurídicos si están estabilizadas </w:t>
      </w:r>
      <w:r>
        <w:rPr>
          <w:rFonts w:ascii="Arial" w:hAnsi="Arial" w:cs="Arial"/>
          <w:lang w:val="es-CO"/>
        </w:rPr>
        <w:t xml:space="preserve">conforme con lo establecido en los contratos suscritos y vigentes, entre el gobierno nacional y los contribuyentes y responsables de los impuestos del orden nacional. </w:t>
      </w:r>
    </w:p>
    <w:p w14:paraId="7BF43BD4" w14:textId="77777777" w:rsidR="00B2442D" w:rsidRDefault="00B2442D">
      <w:pPr>
        <w:jc w:val="both"/>
        <w:rPr>
          <w:rFonts w:ascii="Arial" w:hAnsi="Arial" w:cs="Arial"/>
          <w:lang w:val="es-CO"/>
        </w:rPr>
      </w:pPr>
    </w:p>
    <w:p w14:paraId="63A828D4" w14:textId="77777777" w:rsidR="00B2442D" w:rsidRDefault="008A645F">
      <w:pPr>
        <w:jc w:val="both"/>
        <w:rPr>
          <w:rFonts w:ascii="Arial" w:hAnsi="Arial" w:cs="Arial"/>
          <w:lang w:val="es-CO"/>
        </w:rPr>
      </w:pPr>
      <w:r>
        <w:rPr>
          <w:rFonts w:ascii="Arial" w:hAnsi="Arial" w:cs="Arial"/>
          <w:lang w:val="es-CO"/>
        </w:rPr>
        <w:t>Que previamente a la expedición de este decreto, se expidieron los Decretos Únicos Regl</w:t>
      </w:r>
      <w:r>
        <w:rPr>
          <w:rFonts w:ascii="Arial" w:hAnsi="Arial" w:cs="Arial"/>
          <w:lang w:val="es-CO"/>
        </w:rPr>
        <w:t>amentarios de otros Sectores, donde se compilaron normas tributarias afines con la temática propia de los respectivos ministerios y departamentos administrativos, que podrán ser consultadas para su aplicación atendiendo  la vigencia de la ley en el tiempo.</w:t>
      </w:r>
    </w:p>
    <w:p w14:paraId="45332DC0" w14:textId="77777777" w:rsidR="00B2442D" w:rsidRDefault="00B2442D">
      <w:pPr>
        <w:jc w:val="both"/>
        <w:rPr>
          <w:rFonts w:ascii="Arial" w:hAnsi="Arial" w:cs="Arial"/>
          <w:lang w:val="es-CO"/>
        </w:rPr>
      </w:pPr>
    </w:p>
    <w:p w14:paraId="576EE555" w14:textId="77777777" w:rsidR="00B2442D" w:rsidRDefault="008A645F">
      <w:pPr>
        <w:jc w:val="both"/>
        <w:rPr>
          <w:rFonts w:ascii="Arial" w:hAnsi="Arial" w:cs="Arial"/>
          <w:lang w:val="es-CO"/>
        </w:rPr>
      </w:pPr>
      <w:r>
        <w:rPr>
          <w:rFonts w:ascii="Arial" w:hAnsi="Arial" w:cs="Arial"/>
          <w:lang w:val="es-CO"/>
        </w:rPr>
        <w:t>Que en cumplimiento de lo dispuesto en el numeral 8 del artículo 8 de la Ley 1437 de 2011, el proyecto fue publicado en el sitio web del Ministerio de Hacienda y Crédito Público.</w:t>
      </w:r>
    </w:p>
    <w:p w14:paraId="5460CBC3" w14:textId="77777777" w:rsidR="00B2442D" w:rsidRDefault="00B2442D">
      <w:pPr>
        <w:jc w:val="both"/>
        <w:rPr>
          <w:rFonts w:ascii="Arial" w:hAnsi="Arial" w:cs="Arial"/>
          <w:lang w:val="es-CO"/>
        </w:rPr>
      </w:pPr>
    </w:p>
    <w:p w14:paraId="2075E889" w14:textId="77777777" w:rsidR="00B2442D" w:rsidRDefault="008A645F">
      <w:pPr>
        <w:jc w:val="both"/>
        <w:rPr>
          <w:rFonts w:ascii="Arial" w:hAnsi="Arial" w:cs="Arial"/>
          <w:lang w:val="es-CO"/>
        </w:rPr>
      </w:pPr>
      <w:r>
        <w:rPr>
          <w:rFonts w:ascii="Arial" w:hAnsi="Arial" w:cs="Arial"/>
          <w:lang w:val="es-CO"/>
        </w:rPr>
        <w:t>Por lo anteriormente expuesto,</w:t>
      </w:r>
    </w:p>
    <w:p w14:paraId="66668A70" w14:textId="77777777" w:rsidR="00B2442D" w:rsidRDefault="00B2442D">
      <w:pPr>
        <w:jc w:val="both"/>
        <w:rPr>
          <w:rFonts w:ascii="Arial" w:hAnsi="Arial" w:cs="Arial"/>
          <w:lang w:val="es-CO"/>
        </w:rPr>
      </w:pPr>
    </w:p>
    <w:p w14:paraId="06D9CD26" w14:textId="77777777" w:rsidR="00B2442D" w:rsidRDefault="008A645F">
      <w:pPr>
        <w:jc w:val="center"/>
        <w:rPr>
          <w:rFonts w:ascii="Arial" w:hAnsi="Arial" w:cs="Arial"/>
          <w:b/>
          <w:lang w:val="es-CO"/>
        </w:rPr>
      </w:pPr>
      <w:r>
        <w:rPr>
          <w:rFonts w:ascii="Arial" w:hAnsi="Arial" w:cs="Arial"/>
          <w:b/>
          <w:lang w:val="es-CO"/>
        </w:rPr>
        <w:t>DECRETA:</w:t>
      </w:r>
    </w:p>
    <w:p w14:paraId="6C9FD1D7" w14:textId="77777777" w:rsidR="00B2442D" w:rsidRDefault="00B2442D">
      <w:pPr>
        <w:jc w:val="center"/>
        <w:rPr>
          <w:rFonts w:ascii="Arial" w:hAnsi="Arial" w:cs="Arial"/>
          <w:lang w:val="es-CO"/>
        </w:rPr>
      </w:pPr>
    </w:p>
    <w:p w14:paraId="4A42174C" w14:textId="77777777" w:rsidR="00B2442D" w:rsidRDefault="008A645F">
      <w:pPr>
        <w:pStyle w:val="Ttulo1"/>
      </w:pPr>
      <w:bookmarkStart w:id="0" w:name="_Toc479171155"/>
      <w:r>
        <w:t>LIBRO 1</w:t>
      </w:r>
      <w:bookmarkEnd w:id="0"/>
    </w:p>
    <w:p w14:paraId="6484918E" w14:textId="77777777" w:rsidR="00B2442D" w:rsidRDefault="008A645F">
      <w:pPr>
        <w:pStyle w:val="Ttulo1"/>
      </w:pPr>
      <w:bookmarkStart w:id="1" w:name="_Toc479171156"/>
      <w:r>
        <w:t xml:space="preserve">Reglamento de </w:t>
      </w:r>
      <w:r>
        <w:t>impuestos del orden nacional</w:t>
      </w:r>
      <w:bookmarkEnd w:id="1"/>
    </w:p>
    <w:p w14:paraId="4CD0D159" w14:textId="77777777" w:rsidR="00B2442D" w:rsidRDefault="00B2442D">
      <w:pPr>
        <w:jc w:val="both"/>
        <w:rPr>
          <w:rFonts w:ascii="Arial" w:hAnsi="Arial" w:cs="Arial"/>
          <w:lang w:val="es-CO"/>
        </w:rPr>
      </w:pPr>
    </w:p>
    <w:p w14:paraId="01FC183B" w14:textId="77777777" w:rsidR="00B2442D" w:rsidRDefault="008A645F">
      <w:pPr>
        <w:pStyle w:val="Ttulo2"/>
      </w:pPr>
      <w:bookmarkStart w:id="2" w:name="_Toc479171157"/>
      <w:r>
        <w:t>PARTE 1</w:t>
      </w:r>
      <w:bookmarkEnd w:id="2"/>
      <w:r>
        <w:t xml:space="preserve"> </w:t>
      </w:r>
    </w:p>
    <w:p w14:paraId="3F3A3B31" w14:textId="77777777" w:rsidR="00B2442D" w:rsidRDefault="008A645F">
      <w:pPr>
        <w:pStyle w:val="Ttulo2"/>
      </w:pPr>
      <w:bookmarkStart w:id="3" w:name="_Toc479171158"/>
      <w:r>
        <w:t>Generalidades</w:t>
      </w:r>
      <w:bookmarkEnd w:id="3"/>
    </w:p>
    <w:p w14:paraId="37FDA3A4" w14:textId="77777777" w:rsidR="00B2442D" w:rsidRDefault="00B2442D">
      <w:pPr>
        <w:jc w:val="both"/>
        <w:rPr>
          <w:rFonts w:ascii="Arial" w:hAnsi="Arial" w:cs="Arial"/>
          <w:lang w:val="es-CO"/>
        </w:rPr>
      </w:pPr>
    </w:p>
    <w:p w14:paraId="187B9715" w14:textId="77777777" w:rsidR="00B2442D" w:rsidRDefault="008A645F">
      <w:pPr>
        <w:pStyle w:val="Prrafodelista"/>
        <w:numPr>
          <w:ilvl w:val="0"/>
          <w:numId w:val="15"/>
        </w:numPr>
        <w:ind w:left="0" w:firstLine="0"/>
        <w:jc w:val="both"/>
        <w:rPr>
          <w:rFonts w:ascii="Arial" w:hAnsi="Arial" w:cs="Arial"/>
          <w:b/>
          <w:i/>
          <w:lang w:val="es-CO"/>
        </w:rPr>
      </w:pPr>
      <w:r>
        <w:rPr>
          <w:rFonts w:ascii="Arial" w:hAnsi="Arial" w:cs="Arial"/>
          <w:b/>
          <w:i/>
          <w:lang w:val="es-CO"/>
        </w:rPr>
        <w:t xml:space="preserve">Obligaciones de dar, hacer y no hacer. </w:t>
      </w:r>
      <w:r>
        <w:rPr>
          <w:rFonts w:ascii="Arial" w:hAnsi="Arial" w:cs="Arial"/>
          <w:lang w:val="es-CO"/>
        </w:rPr>
        <w:t>Del poder de imposición del Estado surgen obligaciones de dar, de hacer o de no hacer.</w:t>
      </w:r>
      <w:r>
        <w:rPr>
          <w:rFonts w:ascii="Arial" w:hAnsi="Arial" w:cs="Arial"/>
          <w:b/>
          <w:i/>
          <w:lang w:val="es-CO"/>
        </w:rPr>
        <w:t xml:space="preserve"> </w:t>
      </w:r>
    </w:p>
    <w:p w14:paraId="585FC590" w14:textId="77777777" w:rsidR="00B2442D" w:rsidRDefault="00B2442D">
      <w:pPr>
        <w:jc w:val="both"/>
        <w:rPr>
          <w:rFonts w:ascii="Arial" w:hAnsi="Arial" w:cs="Arial"/>
          <w:b/>
          <w:i/>
          <w:lang w:val="es-CO"/>
        </w:rPr>
      </w:pPr>
    </w:p>
    <w:p w14:paraId="6D2B0358" w14:textId="77777777" w:rsidR="00B2442D" w:rsidRDefault="008A645F">
      <w:pPr>
        <w:jc w:val="both"/>
        <w:rPr>
          <w:rFonts w:ascii="Arial" w:hAnsi="Arial" w:cs="Arial"/>
          <w:lang w:val="es-CO"/>
        </w:rPr>
      </w:pPr>
      <w:r>
        <w:rPr>
          <w:rFonts w:ascii="Arial" w:hAnsi="Arial" w:cs="Arial"/>
          <w:lang w:val="es-CO"/>
        </w:rPr>
        <w:t xml:space="preserve">Ellas se originan cuando se realizan los correspondientes </w:t>
      </w:r>
      <w:r>
        <w:rPr>
          <w:rFonts w:ascii="Arial" w:hAnsi="Arial" w:cs="Arial"/>
          <w:lang w:val="es-CO"/>
        </w:rPr>
        <w:t>presupuestos previstos en la Ley o en los reglamentos según el caso, como generadores de las mismas.</w:t>
      </w:r>
    </w:p>
    <w:p w14:paraId="262C4599" w14:textId="77777777" w:rsidR="00B2442D" w:rsidRDefault="00B2442D">
      <w:pPr>
        <w:jc w:val="both"/>
        <w:rPr>
          <w:rFonts w:ascii="Arial" w:hAnsi="Arial" w:cs="Arial"/>
          <w:i/>
          <w:lang w:val="es-CO"/>
        </w:rPr>
      </w:pPr>
    </w:p>
    <w:p w14:paraId="0B76D787" w14:textId="77777777" w:rsidR="00B2442D" w:rsidRDefault="008A645F">
      <w:pPr>
        <w:jc w:val="both"/>
        <w:rPr>
          <w:rFonts w:ascii="Arial" w:hAnsi="Arial" w:cs="Arial"/>
          <w:i/>
          <w:lang w:val="es-CO"/>
        </w:rPr>
      </w:pPr>
      <w:r>
        <w:rPr>
          <w:rFonts w:ascii="Arial" w:hAnsi="Arial" w:cs="Arial"/>
          <w:i/>
          <w:lang w:val="es-CO"/>
        </w:rPr>
        <w:t>(Art. 1, Decreto 825 de 1978)</w:t>
      </w:r>
    </w:p>
    <w:p w14:paraId="6936FA75" w14:textId="77777777" w:rsidR="00B2442D" w:rsidRDefault="00B2442D">
      <w:pPr>
        <w:jc w:val="both"/>
        <w:rPr>
          <w:rFonts w:ascii="Arial" w:hAnsi="Arial" w:cs="Arial"/>
          <w:lang w:val="es-CO"/>
        </w:rPr>
      </w:pPr>
    </w:p>
    <w:p w14:paraId="7D333EFB" w14:textId="77777777" w:rsidR="00B2442D" w:rsidRDefault="008A645F">
      <w:pPr>
        <w:pStyle w:val="Prrafodelista"/>
        <w:numPr>
          <w:ilvl w:val="0"/>
          <w:numId w:val="15"/>
        </w:numPr>
        <w:ind w:left="0" w:firstLine="0"/>
        <w:jc w:val="both"/>
        <w:rPr>
          <w:rFonts w:ascii="Arial" w:hAnsi="Arial" w:cs="Arial"/>
          <w:lang w:val="es-CO"/>
        </w:rPr>
      </w:pPr>
      <w:r>
        <w:rPr>
          <w:rFonts w:ascii="Arial" w:hAnsi="Arial" w:cs="Arial"/>
          <w:b/>
          <w:i/>
          <w:lang w:val="es-CO"/>
        </w:rPr>
        <w:t xml:space="preserve">Contribuyentes o responsables. </w:t>
      </w:r>
      <w:r>
        <w:rPr>
          <w:rFonts w:ascii="Arial" w:hAnsi="Arial" w:cs="Arial"/>
          <w:lang w:val="es-CO"/>
        </w:rPr>
        <w:t>Son contribuyentes o responsables directos del pago del tributo los sujetos respecto de quie</w:t>
      </w:r>
      <w:r>
        <w:rPr>
          <w:rFonts w:ascii="Arial" w:hAnsi="Arial" w:cs="Arial"/>
          <w:lang w:val="es-CO"/>
        </w:rPr>
        <w:t>nes se realiza el hecho generador de la obligación tributaria sustancial.</w:t>
      </w:r>
    </w:p>
    <w:p w14:paraId="32041347" w14:textId="77777777" w:rsidR="00B2442D" w:rsidRDefault="00B2442D">
      <w:pPr>
        <w:jc w:val="both"/>
        <w:rPr>
          <w:rFonts w:ascii="Arial" w:hAnsi="Arial" w:cs="Arial"/>
          <w:i/>
          <w:lang w:val="es-CO"/>
        </w:rPr>
      </w:pPr>
    </w:p>
    <w:p w14:paraId="61645A71" w14:textId="77777777" w:rsidR="00B2442D" w:rsidRDefault="008A645F">
      <w:pPr>
        <w:jc w:val="both"/>
        <w:rPr>
          <w:rFonts w:ascii="Arial" w:hAnsi="Arial" w:cs="Arial"/>
          <w:i/>
          <w:lang w:val="es-CO"/>
        </w:rPr>
      </w:pPr>
      <w:r>
        <w:rPr>
          <w:rFonts w:ascii="Arial" w:hAnsi="Arial" w:cs="Arial"/>
          <w:i/>
          <w:lang w:val="es-CO"/>
        </w:rPr>
        <w:t>(Art. 2, Decreto 825 de 1978)</w:t>
      </w:r>
    </w:p>
    <w:p w14:paraId="61EE7E1C" w14:textId="77777777" w:rsidR="00B2442D" w:rsidRDefault="00B2442D">
      <w:pPr>
        <w:jc w:val="both"/>
        <w:rPr>
          <w:rFonts w:ascii="Arial" w:hAnsi="Arial" w:cs="Arial"/>
          <w:lang w:val="es-CO"/>
        </w:rPr>
      </w:pPr>
    </w:p>
    <w:p w14:paraId="1568E8F1" w14:textId="77777777" w:rsidR="00B2442D" w:rsidRDefault="008A645F">
      <w:pPr>
        <w:pStyle w:val="Prrafodelista"/>
        <w:numPr>
          <w:ilvl w:val="0"/>
          <w:numId w:val="15"/>
        </w:numPr>
        <w:ind w:left="0" w:firstLine="0"/>
        <w:jc w:val="both"/>
        <w:rPr>
          <w:rFonts w:ascii="Arial" w:hAnsi="Arial" w:cs="Arial"/>
          <w:lang w:val="es-CO"/>
        </w:rPr>
      </w:pPr>
      <w:r>
        <w:rPr>
          <w:rFonts w:ascii="Arial" w:hAnsi="Arial" w:cs="Arial"/>
          <w:b/>
          <w:i/>
          <w:lang w:val="es-CO"/>
        </w:rPr>
        <w:t>Tasa de cambio para efectos tributarios.</w:t>
      </w:r>
      <w:r>
        <w:rPr>
          <w:rFonts w:ascii="Arial" w:hAnsi="Arial" w:cs="Arial"/>
          <w:lang w:val="es-CO"/>
        </w:rPr>
        <w:t xml:space="preserve"> La tasa de cambio para efectos tributarios, será la tasa representativa del mercado, vigente al momento de la</w:t>
      </w:r>
      <w:r>
        <w:rPr>
          <w:rFonts w:ascii="Arial" w:hAnsi="Arial" w:cs="Arial"/>
          <w:lang w:val="es-CO"/>
        </w:rPr>
        <w:t xml:space="preserve"> operación, o a 31 de diciembre o al último día del periodo para los efectos del ajuste por diferencias en cambio de los activos y pasivos poseídos en moneda extranjera a dicha fecha, certificada por la Superintendencia Financiera de Colombia, de acuerdo c</w:t>
      </w:r>
      <w:r>
        <w:rPr>
          <w:rFonts w:ascii="Arial" w:hAnsi="Arial" w:cs="Arial"/>
          <w:lang w:val="es-CO"/>
        </w:rPr>
        <w:t>on lo dispuesto en el artículo 2.4.0.07 de la Resolución 57 de 1991 de la Junta Monetaria, adicionada por las Resoluciones externas número 15 de 1991 y número 6 de 1992, de la Junta Directiva del Banco de la República (hoy artículo 80 de la Resolución Exte</w:t>
      </w:r>
      <w:r>
        <w:rPr>
          <w:rFonts w:ascii="Arial" w:hAnsi="Arial" w:cs="Arial"/>
          <w:lang w:val="es-CO"/>
        </w:rPr>
        <w:t xml:space="preserve">rna No. 08 de 2000), expedida por la Junta Directiva del Banco de la República  o las normas que las modifiquen. </w:t>
      </w:r>
    </w:p>
    <w:p w14:paraId="74BD272F" w14:textId="77777777" w:rsidR="00B2442D" w:rsidRDefault="008A645F">
      <w:pPr>
        <w:jc w:val="both"/>
        <w:rPr>
          <w:rFonts w:ascii="Arial" w:hAnsi="Arial" w:cs="Arial"/>
          <w:lang w:val="es-CO"/>
        </w:rPr>
      </w:pPr>
      <w:r>
        <w:rPr>
          <w:rFonts w:ascii="Arial" w:hAnsi="Arial" w:cs="Arial"/>
          <w:lang w:val="es-CO"/>
        </w:rPr>
        <w:t xml:space="preserve"> </w:t>
      </w:r>
    </w:p>
    <w:p w14:paraId="17953AC6" w14:textId="77777777" w:rsidR="00B2442D" w:rsidRDefault="008A645F">
      <w:pPr>
        <w:jc w:val="both"/>
        <w:rPr>
          <w:rFonts w:ascii="Arial" w:hAnsi="Arial" w:cs="Arial"/>
          <w:lang w:val="es-CO"/>
        </w:rPr>
      </w:pPr>
      <w:r>
        <w:rPr>
          <w:rFonts w:ascii="Arial" w:hAnsi="Arial" w:cs="Arial"/>
          <w:lang w:val="es-CO"/>
        </w:rPr>
        <w:t>Para efectos del ajuste a que haya lugar por la diferencia en cambio entre la fecha de la operación y la de la conversión a moneda nacional,</w:t>
      </w:r>
      <w:r>
        <w:rPr>
          <w:rFonts w:ascii="Arial" w:hAnsi="Arial" w:cs="Arial"/>
          <w:lang w:val="es-CO"/>
        </w:rPr>
        <w:t xml:space="preserve"> se tendrá en cuenta la tasa de cambio, de venta o de compra, según el caso, correspondiente a la respectiva conversión. </w:t>
      </w:r>
    </w:p>
    <w:p w14:paraId="52FC8BC8" w14:textId="77777777" w:rsidR="00B2442D" w:rsidRDefault="008A645F">
      <w:pPr>
        <w:jc w:val="both"/>
        <w:rPr>
          <w:rFonts w:ascii="Arial" w:hAnsi="Arial" w:cs="Arial"/>
          <w:lang w:val="es-CO"/>
        </w:rPr>
      </w:pPr>
      <w:r>
        <w:rPr>
          <w:rFonts w:ascii="Arial" w:hAnsi="Arial" w:cs="Arial"/>
          <w:lang w:val="es-CO"/>
        </w:rPr>
        <w:t xml:space="preserve"> </w:t>
      </w:r>
    </w:p>
    <w:p w14:paraId="3D8B46E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tasa de cambio aplicable a los días en que esta no se certifique por la Superintendencia Financiera de Colombia, será </w:t>
      </w:r>
      <w:r>
        <w:rPr>
          <w:rFonts w:ascii="Arial" w:hAnsi="Arial" w:cs="Arial"/>
          <w:lang w:val="es-CO"/>
        </w:rPr>
        <w:t>la tasa representativa del mercado que corresponda a la última fecha inmediatamente anterior en la cual se haya certificado dicha tasa.</w:t>
      </w:r>
    </w:p>
    <w:p w14:paraId="232CF90C" w14:textId="77777777" w:rsidR="00B2442D" w:rsidRDefault="00B2442D">
      <w:pPr>
        <w:jc w:val="both"/>
        <w:rPr>
          <w:rFonts w:ascii="Arial" w:hAnsi="Arial" w:cs="Arial"/>
          <w:i/>
          <w:lang w:val="es-CO"/>
        </w:rPr>
      </w:pPr>
    </w:p>
    <w:p w14:paraId="0F5AFA02" w14:textId="77777777" w:rsidR="00B2442D" w:rsidRDefault="008A645F">
      <w:pPr>
        <w:jc w:val="both"/>
        <w:rPr>
          <w:rFonts w:ascii="Arial" w:hAnsi="Arial" w:cs="Arial"/>
          <w:i/>
          <w:lang w:val="es-CO"/>
        </w:rPr>
      </w:pPr>
      <w:r>
        <w:rPr>
          <w:rFonts w:ascii="Arial" w:hAnsi="Arial" w:cs="Arial"/>
          <w:i/>
          <w:lang w:val="es-CO"/>
        </w:rPr>
        <w:t>(Art. 7, Decreto 0366 de 1992, inciso 3 tiene decaimiento. (Resolución 02 de 1994 del Banco de la República))</w:t>
      </w:r>
    </w:p>
    <w:p w14:paraId="3035DE7E" w14:textId="77777777" w:rsidR="00B2442D" w:rsidRDefault="00B2442D">
      <w:pPr>
        <w:jc w:val="both"/>
        <w:rPr>
          <w:rFonts w:ascii="Arial" w:hAnsi="Arial" w:cs="Arial"/>
          <w:lang w:val="es-CO"/>
        </w:rPr>
      </w:pPr>
    </w:p>
    <w:p w14:paraId="1DA5515B" w14:textId="77777777" w:rsidR="00B2442D" w:rsidRDefault="00B2442D">
      <w:pPr>
        <w:jc w:val="both"/>
        <w:rPr>
          <w:rFonts w:ascii="Arial" w:hAnsi="Arial" w:cs="Arial"/>
          <w:lang w:val="es-CO"/>
        </w:rPr>
      </w:pPr>
    </w:p>
    <w:p w14:paraId="6A2ED1C5" w14:textId="77777777" w:rsidR="00B2442D" w:rsidRDefault="008A645F">
      <w:pPr>
        <w:pStyle w:val="Ttulo2"/>
      </w:pPr>
      <w:bookmarkStart w:id="4" w:name="_Toc479171159"/>
      <w:r>
        <w:t>PARTE 2</w:t>
      </w:r>
      <w:bookmarkEnd w:id="4"/>
    </w:p>
    <w:p w14:paraId="213257DF" w14:textId="77777777" w:rsidR="00B2442D" w:rsidRDefault="008A645F">
      <w:pPr>
        <w:pStyle w:val="Ttulo2"/>
      </w:pPr>
      <w:r>
        <w:t xml:space="preserve"> </w:t>
      </w:r>
      <w:bookmarkStart w:id="5" w:name="_Toc479171160"/>
      <w:r>
        <w:t>Impuesto sobre la renta y complementario de ganancias ocasionales, precios de transferencia, retención en la fuente y autorretención.</w:t>
      </w:r>
      <w:bookmarkEnd w:id="5"/>
    </w:p>
    <w:p w14:paraId="2361CFAB" w14:textId="77777777" w:rsidR="00B2442D" w:rsidRDefault="00B2442D">
      <w:pPr>
        <w:rPr>
          <w:rFonts w:ascii="Arial" w:hAnsi="Arial" w:cs="Arial"/>
          <w:lang w:val="es-CO"/>
        </w:rPr>
      </w:pPr>
    </w:p>
    <w:p w14:paraId="7A689BCC" w14:textId="77777777" w:rsidR="00B2442D" w:rsidRDefault="008A645F">
      <w:pPr>
        <w:pStyle w:val="Ttulo3"/>
      </w:pPr>
      <w:bookmarkStart w:id="6" w:name="_Toc479171161"/>
      <w:r>
        <w:t>TÍTULO 1</w:t>
      </w:r>
      <w:bookmarkEnd w:id="6"/>
    </w:p>
    <w:p w14:paraId="1A2DE8A8" w14:textId="77777777" w:rsidR="00B2442D" w:rsidRDefault="008A645F">
      <w:pPr>
        <w:pStyle w:val="Ttulo3"/>
      </w:pPr>
      <w:bookmarkStart w:id="7" w:name="_Toc479171162"/>
      <w:r>
        <w:t>Impuesto sobre la renta</w:t>
      </w:r>
      <w:bookmarkEnd w:id="7"/>
    </w:p>
    <w:p w14:paraId="6E433F22" w14:textId="77777777" w:rsidR="00B2442D" w:rsidRDefault="00B2442D">
      <w:pPr>
        <w:rPr>
          <w:rFonts w:ascii="Arial" w:hAnsi="Arial" w:cs="Arial"/>
          <w:lang w:val="es-CO"/>
        </w:rPr>
      </w:pPr>
    </w:p>
    <w:p w14:paraId="24D9EDD8" w14:textId="77777777" w:rsidR="00B2442D" w:rsidRDefault="008A645F">
      <w:pPr>
        <w:pStyle w:val="Ttulo4"/>
        <w:ind w:firstLine="0"/>
      </w:pPr>
      <w:r>
        <w:t>CAPÍTULO 1</w:t>
      </w:r>
    </w:p>
    <w:p w14:paraId="57863FEC" w14:textId="77777777" w:rsidR="00B2442D" w:rsidRDefault="008A645F">
      <w:pPr>
        <w:pStyle w:val="Ttulo4"/>
        <w:ind w:firstLine="0"/>
      </w:pPr>
      <w:r>
        <w:t>Generalidades</w:t>
      </w:r>
    </w:p>
    <w:p w14:paraId="544F3360" w14:textId="77777777" w:rsidR="00B2442D" w:rsidRDefault="00B2442D">
      <w:pPr>
        <w:rPr>
          <w:rFonts w:ascii="Arial" w:hAnsi="Arial" w:cs="Arial"/>
          <w:lang w:val="es-CO"/>
        </w:rPr>
      </w:pPr>
    </w:p>
    <w:p w14:paraId="7D72C044"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 xml:space="preserve">Comunidad organizada. </w:t>
      </w:r>
      <w:r>
        <w:rPr>
          <w:rFonts w:ascii="Arial" w:hAnsi="Arial" w:cs="Arial"/>
          <w:lang w:val="es-CO"/>
        </w:rPr>
        <w:t>Se entiende por comunidad orga</w:t>
      </w:r>
      <w:r>
        <w:rPr>
          <w:rFonts w:ascii="Arial" w:hAnsi="Arial" w:cs="Arial"/>
          <w:lang w:val="es-CO"/>
        </w:rPr>
        <w:t>nizada la que utiliza los bienes comunes para el establecimiento y explotación de una empresa comercial, industrial, agrícola o ganadera y que ordinariamente tiene un administrador nombrado por los comuneros o por un juez. No existe comunidad organizada, c</w:t>
      </w:r>
      <w:r>
        <w:rPr>
          <w:rFonts w:ascii="Arial" w:hAnsi="Arial" w:cs="Arial"/>
          <w:lang w:val="es-CO"/>
        </w:rPr>
        <w:t>uando el aprovechamiento del bien común se hace personal e independientemente por cada uno de los comuneros o mediante contratos de arrendamiento, aparcería, préstamo, comodato, depósito y otros análogos, celebrados por los comuneros entre sí o con tercero</w:t>
      </w:r>
      <w:r>
        <w:rPr>
          <w:rFonts w:ascii="Arial" w:hAnsi="Arial" w:cs="Arial"/>
          <w:lang w:val="es-CO"/>
        </w:rPr>
        <w:t>s.</w:t>
      </w:r>
    </w:p>
    <w:p w14:paraId="3646DB1A" w14:textId="77777777" w:rsidR="00B2442D" w:rsidRDefault="00B2442D">
      <w:pPr>
        <w:jc w:val="both"/>
        <w:rPr>
          <w:rFonts w:ascii="Arial" w:hAnsi="Arial" w:cs="Arial"/>
          <w:i/>
          <w:lang w:val="es-CO"/>
        </w:rPr>
      </w:pPr>
    </w:p>
    <w:p w14:paraId="57504B96" w14:textId="77777777" w:rsidR="00B2442D" w:rsidRDefault="008A645F">
      <w:pPr>
        <w:jc w:val="both"/>
        <w:rPr>
          <w:rFonts w:ascii="Arial" w:hAnsi="Arial" w:cs="Arial"/>
          <w:i/>
          <w:lang w:val="es-CO"/>
        </w:rPr>
      </w:pPr>
      <w:r>
        <w:rPr>
          <w:rFonts w:ascii="Arial" w:hAnsi="Arial" w:cs="Arial"/>
          <w:i/>
          <w:lang w:val="es-CO"/>
        </w:rPr>
        <w:t>(Art. 7, Decreto 187 de 1975)</w:t>
      </w:r>
      <w:r>
        <w:rPr>
          <w:rFonts w:ascii="Arial" w:hAnsi="Arial" w:cs="Arial"/>
        </w:rPr>
        <w:t xml:space="preserve"> </w:t>
      </w:r>
      <w:r>
        <w:rPr>
          <w:rFonts w:ascii="Arial" w:hAnsi="Arial" w:cs="Arial"/>
          <w:i/>
          <w:lang w:val="es-CO"/>
        </w:rPr>
        <w:t>(Vigencia del Decreto 187 de 1975. El Decreto 187 de 1975 se aplicará a partir del ejercicio impositivo de 1974 salvo los casos expresamente exceptuados en el mismo o en las normas sustantivas y procedimentales del impuest</w:t>
      </w:r>
      <w:r>
        <w:rPr>
          <w:rFonts w:ascii="Arial" w:hAnsi="Arial" w:cs="Arial"/>
          <w:i/>
          <w:lang w:val="es-CO"/>
        </w:rPr>
        <w:t>o sobre la renta y complementario. (Art. 117, Decreto 187 de 1975))</w:t>
      </w:r>
    </w:p>
    <w:p w14:paraId="3E709CD9" w14:textId="77777777" w:rsidR="00B2442D" w:rsidRDefault="00B2442D">
      <w:pPr>
        <w:jc w:val="both"/>
        <w:rPr>
          <w:rFonts w:ascii="Arial" w:hAnsi="Arial" w:cs="Arial"/>
          <w:lang w:val="es-CO"/>
        </w:rPr>
      </w:pPr>
    </w:p>
    <w:p w14:paraId="013E0521"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 xml:space="preserve">Fines de lucro de las corporaciones o asociaciones. </w:t>
      </w:r>
      <w:r>
        <w:rPr>
          <w:rFonts w:ascii="Arial" w:hAnsi="Arial" w:cs="Arial"/>
          <w:lang w:val="es-CO"/>
        </w:rPr>
        <w:t>Se entiende que las corporaciones o asociaciones tienen fines de lucro cuando perciban rentas susceptibles de distribuirse total o parc</w:t>
      </w:r>
      <w:r>
        <w:rPr>
          <w:rFonts w:ascii="Arial" w:hAnsi="Arial" w:cs="Arial"/>
          <w:lang w:val="es-CO"/>
        </w:rPr>
        <w:t xml:space="preserve">ialmente a cualquier título a personas naturales, directamente o a través de otras personas jurídicas, durante su existencia o al momento de su liquidación. </w:t>
      </w:r>
    </w:p>
    <w:p w14:paraId="435783BA" w14:textId="77777777" w:rsidR="00B2442D" w:rsidRDefault="008A645F">
      <w:pPr>
        <w:jc w:val="both"/>
        <w:rPr>
          <w:rFonts w:ascii="Arial" w:hAnsi="Arial" w:cs="Arial"/>
          <w:lang w:val="es-CO"/>
        </w:rPr>
      </w:pPr>
      <w:r>
        <w:rPr>
          <w:rFonts w:ascii="Arial" w:hAnsi="Arial" w:cs="Arial"/>
          <w:lang w:val="es-CO"/>
        </w:rPr>
        <w:t xml:space="preserve"> </w:t>
      </w:r>
    </w:p>
    <w:p w14:paraId="0F654E04" w14:textId="77777777" w:rsidR="00B2442D" w:rsidRDefault="008A645F">
      <w:pPr>
        <w:jc w:val="both"/>
        <w:rPr>
          <w:rFonts w:ascii="Arial" w:hAnsi="Arial" w:cs="Arial"/>
          <w:lang w:val="es-CO"/>
        </w:rPr>
      </w:pPr>
      <w:r>
        <w:rPr>
          <w:rFonts w:ascii="Arial" w:hAnsi="Arial" w:cs="Arial"/>
          <w:lang w:val="es-CO"/>
        </w:rPr>
        <w:t>Se consideran de interés privado las fundaciones creadas por iniciativa particular, cuando sus b</w:t>
      </w:r>
      <w:r>
        <w:rPr>
          <w:rFonts w:ascii="Arial" w:hAnsi="Arial" w:cs="Arial"/>
          <w:lang w:val="es-CO"/>
        </w:rPr>
        <w:t>ienes o rentas puedan destinarse en todo o en parte a fines distintos de los de utilidad común o de interés social.</w:t>
      </w:r>
    </w:p>
    <w:p w14:paraId="3C6EAD6B" w14:textId="77777777" w:rsidR="00B2442D" w:rsidRDefault="00B2442D">
      <w:pPr>
        <w:rPr>
          <w:rFonts w:ascii="Arial" w:hAnsi="Arial" w:cs="Arial"/>
          <w:i/>
          <w:lang w:val="es-CO"/>
        </w:rPr>
      </w:pPr>
    </w:p>
    <w:p w14:paraId="7CFFC406" w14:textId="77777777" w:rsidR="00B2442D" w:rsidRDefault="008A645F">
      <w:pPr>
        <w:jc w:val="both"/>
        <w:rPr>
          <w:rFonts w:ascii="Arial" w:hAnsi="Arial" w:cs="Arial"/>
          <w:b/>
          <w:lang w:val="es-CO"/>
        </w:rPr>
      </w:pPr>
      <w:r>
        <w:rPr>
          <w:rFonts w:ascii="Arial" w:hAnsi="Arial" w:cs="Arial"/>
          <w:i/>
          <w:lang w:val="es-CO"/>
        </w:rPr>
        <w:t>(Art. 8, Decreto 187 de 1975)</w:t>
      </w:r>
      <w:r>
        <w:rPr>
          <w:rFonts w:ascii="Arial" w:hAnsi="Arial" w:cs="Arial"/>
        </w:rPr>
        <w:t xml:space="preserve"> </w:t>
      </w:r>
      <w:r>
        <w:rPr>
          <w:rFonts w:ascii="Arial" w:hAnsi="Arial" w:cs="Arial"/>
          <w:i/>
          <w:lang w:val="es-CO"/>
        </w:rPr>
        <w:t xml:space="preserve">(Vigencia del Decreto 187 de 1975. El Decreto 187 de 1975 se aplicará a partir del ejercicio </w:t>
      </w:r>
      <w:r>
        <w:rPr>
          <w:rFonts w:ascii="Arial" w:hAnsi="Arial" w:cs="Arial"/>
          <w:i/>
          <w:lang w:val="es-CO"/>
        </w:rPr>
        <w:t>impositivo de 1974 salvo los casos expresamente exceptuados en el mismo o en las normas sustantivas y procedimentales del impuesto sobre la renta y complementario. (Art. 117, Decreto 187 de 1975))</w:t>
      </w:r>
    </w:p>
    <w:p w14:paraId="7B10186E" w14:textId="77777777" w:rsidR="00B2442D" w:rsidRDefault="00B2442D">
      <w:pPr>
        <w:rPr>
          <w:rFonts w:ascii="Arial" w:hAnsi="Arial" w:cs="Arial"/>
          <w:lang w:val="es-CO"/>
        </w:rPr>
      </w:pPr>
    </w:p>
    <w:p w14:paraId="338636B6"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Sociedades y entidades extranjeras.</w:t>
      </w:r>
      <w:r>
        <w:rPr>
          <w:rFonts w:ascii="Arial" w:hAnsi="Arial" w:cs="Arial"/>
          <w:lang w:val="es-CO"/>
        </w:rPr>
        <w:t xml:space="preserve"> A las sociedades y ent</w:t>
      </w:r>
      <w:r>
        <w:rPr>
          <w:rFonts w:ascii="Arial" w:hAnsi="Arial" w:cs="Arial"/>
          <w:lang w:val="es-CO"/>
        </w:rPr>
        <w:t>idades extranjeras que de conformidad con el artículo 6° del Decreto 2053 de 1974 (hoy artículo 20 del Estatuto Tributario) son contribuyentes, se les aplicará el régimen señalado para las sociedades anónimas colombianas, salvo cuando las normas tengan res</w:t>
      </w:r>
      <w:r>
        <w:rPr>
          <w:rFonts w:ascii="Arial" w:hAnsi="Arial" w:cs="Arial"/>
          <w:lang w:val="es-CO"/>
        </w:rPr>
        <w:t>tricciones expresas.</w:t>
      </w:r>
    </w:p>
    <w:p w14:paraId="3EEDBC9C" w14:textId="77777777" w:rsidR="00B2442D" w:rsidRDefault="00B2442D">
      <w:pPr>
        <w:rPr>
          <w:rFonts w:ascii="Arial" w:hAnsi="Arial" w:cs="Arial"/>
          <w:i/>
          <w:lang w:val="es-CO"/>
        </w:rPr>
      </w:pPr>
    </w:p>
    <w:p w14:paraId="41697401" w14:textId="77777777" w:rsidR="00B2442D" w:rsidRDefault="008A645F">
      <w:pPr>
        <w:jc w:val="both"/>
        <w:rPr>
          <w:rFonts w:ascii="Arial" w:hAnsi="Arial" w:cs="Arial"/>
          <w:b/>
          <w:lang w:val="es-CO"/>
        </w:rPr>
      </w:pPr>
      <w:r>
        <w:rPr>
          <w:rFonts w:ascii="Arial" w:hAnsi="Arial" w:cs="Arial"/>
          <w:i/>
          <w:lang w:val="es-CO"/>
        </w:rPr>
        <w:t>(Art. 11, Decreto 187 de 1975)</w:t>
      </w:r>
      <w:r>
        <w:rPr>
          <w:rFonts w:ascii="Arial" w:hAnsi="Arial" w:cs="Arial"/>
        </w:rPr>
        <w:t xml:space="preserve"> </w:t>
      </w:r>
      <w:r>
        <w:rPr>
          <w:rFonts w:ascii="Arial" w:hAnsi="Arial" w:cs="Arial"/>
          <w:i/>
          <w:lang w:val="es-CO"/>
        </w:rPr>
        <w:t>(Vigencia del Decreto 187 de 1975. El Decreto 187 de 1975 se aplicará a partir del ejercicio impositivo de 1974 salvo los casos expresamente exceptuados en el mismo o en las normas sustantivas y procedim</w:t>
      </w:r>
      <w:r>
        <w:rPr>
          <w:rFonts w:ascii="Arial" w:hAnsi="Arial" w:cs="Arial"/>
          <w:i/>
          <w:lang w:val="es-CO"/>
        </w:rPr>
        <w:t>entales del impuesto sobre la renta y complementario. (Art. 117, Decreto 187 de 1975))</w:t>
      </w:r>
    </w:p>
    <w:p w14:paraId="05942136" w14:textId="77777777" w:rsidR="00B2442D" w:rsidRDefault="00B2442D">
      <w:pPr>
        <w:jc w:val="both"/>
        <w:rPr>
          <w:rFonts w:ascii="Arial" w:hAnsi="Arial" w:cs="Arial"/>
          <w:lang w:val="es-CO"/>
        </w:rPr>
      </w:pPr>
    </w:p>
    <w:p w14:paraId="1ECAB5BD"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Concepto de empresa extranjera.</w:t>
      </w:r>
      <w:r>
        <w:rPr>
          <w:rFonts w:ascii="Arial" w:hAnsi="Arial" w:cs="Arial"/>
          <w:lang w:val="es-CO"/>
        </w:rPr>
        <w:t xml:space="preserve"> Para efectos del artículo 20-1 del Estatuto Tributario, se entenderá que el término empresa extranjera se refiere al ejercicio, por parte de una persona natural sin residencia en Colombia o de una sociedad o entidad extranjera, de cualquier negocio o acti</w:t>
      </w:r>
      <w:r>
        <w:rPr>
          <w:rFonts w:ascii="Arial" w:hAnsi="Arial" w:cs="Arial"/>
          <w:lang w:val="es-CO"/>
        </w:rPr>
        <w:t>vidad, y comprende tanto el ejercicio de profesiones liberales como la prestación de servicios personales y la realización de actividades de carácter independiente.</w:t>
      </w:r>
    </w:p>
    <w:p w14:paraId="61AAD213" w14:textId="77777777" w:rsidR="00B2442D" w:rsidRDefault="00B2442D">
      <w:pPr>
        <w:jc w:val="both"/>
        <w:rPr>
          <w:rFonts w:ascii="Arial" w:hAnsi="Arial" w:cs="Arial"/>
          <w:lang w:val="es-CO"/>
        </w:rPr>
      </w:pPr>
    </w:p>
    <w:p w14:paraId="714A0881" w14:textId="77777777" w:rsidR="00B2442D" w:rsidRDefault="008A645F">
      <w:pPr>
        <w:jc w:val="both"/>
        <w:rPr>
          <w:rFonts w:ascii="Arial" w:hAnsi="Arial" w:cs="Arial"/>
          <w:i/>
          <w:lang w:val="es-CO"/>
        </w:rPr>
      </w:pPr>
      <w:r>
        <w:rPr>
          <w:rFonts w:ascii="Arial" w:hAnsi="Arial" w:cs="Arial"/>
          <w:i/>
          <w:lang w:val="es-CO"/>
        </w:rPr>
        <w:t>(Art. 1, Decreto 3026 de 2013)</w:t>
      </w:r>
    </w:p>
    <w:p w14:paraId="40352264" w14:textId="77777777" w:rsidR="00B2442D" w:rsidRDefault="00B2442D">
      <w:pPr>
        <w:jc w:val="both"/>
        <w:rPr>
          <w:rFonts w:ascii="Arial" w:hAnsi="Arial" w:cs="Arial"/>
          <w:i/>
          <w:lang w:val="es-CO"/>
        </w:rPr>
      </w:pPr>
    </w:p>
    <w:p w14:paraId="517534F6"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Tributación de las personas naturales sin residencia en Co</w:t>
      </w:r>
      <w:r>
        <w:rPr>
          <w:rFonts w:ascii="Arial" w:hAnsi="Arial" w:cs="Arial"/>
          <w:b/>
          <w:i/>
          <w:lang w:val="es-CO"/>
        </w:rPr>
        <w:t xml:space="preserve">lombia y de las sociedades y entidades extranjeras. </w:t>
      </w:r>
      <w:r>
        <w:rPr>
          <w:rFonts w:ascii="Arial" w:hAnsi="Arial" w:cs="Arial"/>
          <w:lang w:val="es-CO"/>
        </w:rPr>
        <w:t xml:space="preserve">Las personas naturales sin residencia en Colombia y las sociedades y entidades extranjeras que, de conformidad con lo establecido en el artículo 20-1 del Estatuto Tributario, no tengan un establecimiento </w:t>
      </w:r>
      <w:r>
        <w:rPr>
          <w:rFonts w:ascii="Arial" w:hAnsi="Arial" w:cs="Arial"/>
          <w:lang w:val="es-CO"/>
        </w:rPr>
        <w:t>permanente en el país o una sucursal en Colombia, son contribuyentes del impuesto sobre la renta y complementarios en relación con sus rentas y ganancias ocasionales de fuente nacional.</w:t>
      </w:r>
    </w:p>
    <w:p w14:paraId="187DAB05" w14:textId="77777777" w:rsidR="00B2442D" w:rsidRDefault="00B2442D">
      <w:pPr>
        <w:jc w:val="both"/>
        <w:rPr>
          <w:rFonts w:ascii="Arial" w:hAnsi="Arial" w:cs="Arial"/>
          <w:lang w:val="es-CO"/>
        </w:rPr>
      </w:pPr>
    </w:p>
    <w:p w14:paraId="281696A4" w14:textId="77777777" w:rsidR="00B2442D" w:rsidRDefault="008A645F">
      <w:pPr>
        <w:jc w:val="both"/>
        <w:rPr>
          <w:rFonts w:ascii="Arial" w:hAnsi="Arial" w:cs="Arial"/>
          <w:lang w:val="es-CO"/>
        </w:rPr>
      </w:pPr>
      <w:r>
        <w:rPr>
          <w:rFonts w:ascii="Arial" w:hAnsi="Arial" w:cs="Arial"/>
          <w:lang w:val="es-CO"/>
        </w:rPr>
        <w:t xml:space="preserve">Las personas naturales sin residencia en Colombia y las sociedades y </w:t>
      </w:r>
      <w:r>
        <w:rPr>
          <w:rFonts w:ascii="Arial" w:hAnsi="Arial" w:cs="Arial"/>
          <w:lang w:val="es-CO"/>
        </w:rPr>
        <w:t>entidades extranjeras que, en virtud de lo establecido en el artículo 20-1 del Estatuto Tributario, tengan uno o más establecimientos permanentes en el país o una sucursal en Colombia, son contribuyentes del impuesto sobre la renta y complementario en rela</w:t>
      </w:r>
      <w:r>
        <w:rPr>
          <w:rFonts w:ascii="Arial" w:hAnsi="Arial" w:cs="Arial"/>
          <w:lang w:val="es-CO"/>
        </w:rPr>
        <w:t>ción con sus rentas y ganancias ocasionales de fuente nacional que sean atribuibles a dichos establecimientos permanentes o sucursal en Colombia, así como por las rentas y ganancias ocasionales de fuente nacional que perciban directamente.</w:t>
      </w:r>
    </w:p>
    <w:p w14:paraId="059DD16C" w14:textId="77777777" w:rsidR="00B2442D" w:rsidRDefault="00B2442D">
      <w:pPr>
        <w:jc w:val="both"/>
        <w:rPr>
          <w:rFonts w:ascii="Arial" w:hAnsi="Arial" w:cs="Arial"/>
          <w:lang w:val="es-CO"/>
        </w:rPr>
      </w:pPr>
    </w:p>
    <w:p w14:paraId="1277C66C" w14:textId="77777777" w:rsidR="00B2442D" w:rsidRDefault="008A645F">
      <w:pPr>
        <w:jc w:val="both"/>
        <w:rPr>
          <w:rFonts w:ascii="Arial" w:hAnsi="Arial" w:cs="Arial"/>
          <w:i/>
          <w:lang w:val="es-CO"/>
        </w:rPr>
      </w:pPr>
      <w:r>
        <w:rPr>
          <w:rFonts w:ascii="Arial" w:hAnsi="Arial" w:cs="Arial"/>
          <w:i/>
          <w:lang w:val="es-CO"/>
        </w:rPr>
        <w:t>(Art. 4, Decret</w:t>
      </w:r>
      <w:r>
        <w:rPr>
          <w:rFonts w:ascii="Arial" w:hAnsi="Arial" w:cs="Arial"/>
          <w:i/>
          <w:lang w:val="es-CO"/>
        </w:rPr>
        <w:t>o 3026 de 2013)</w:t>
      </w:r>
    </w:p>
    <w:p w14:paraId="1803DAD4" w14:textId="77777777" w:rsidR="00B2442D" w:rsidRDefault="00B2442D">
      <w:pPr>
        <w:jc w:val="both"/>
        <w:rPr>
          <w:rFonts w:ascii="Arial" w:hAnsi="Arial" w:cs="Arial"/>
          <w:lang w:val="es-CO"/>
        </w:rPr>
      </w:pPr>
    </w:p>
    <w:p w14:paraId="66EEB654"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Improcedencia de la concurrencia de beneficios.</w:t>
      </w:r>
      <w:r>
        <w:rPr>
          <w:rFonts w:ascii="Arial" w:hAnsi="Arial" w:cs="Arial"/>
          <w:lang w:val="es-CO"/>
        </w:rPr>
        <w:t xml:space="preserve"> En ningún caso se podrán solicitar en forma concurrente los beneficios fiscales previstos para los pagos efectuados por intereses y/o corrección monetaria en virtud de préstamos para adquisic</w:t>
      </w:r>
      <w:r>
        <w:rPr>
          <w:rFonts w:ascii="Arial" w:hAnsi="Arial" w:cs="Arial"/>
          <w:lang w:val="es-CO"/>
        </w:rPr>
        <w:t xml:space="preserve">ión de vivienda del trabajador y los pagos efectuados por intereses y/o corrección monetaria o costo financiero en virtud de un contrato de </w:t>
      </w:r>
      <w:r>
        <w:rPr>
          <w:rFonts w:ascii="Arial" w:hAnsi="Arial" w:cs="Arial"/>
          <w:i/>
          <w:lang w:val="es-CO"/>
        </w:rPr>
        <w:t>leasing</w:t>
      </w:r>
      <w:r>
        <w:rPr>
          <w:rFonts w:ascii="Arial" w:hAnsi="Arial" w:cs="Arial"/>
          <w:lang w:val="es-CO"/>
        </w:rPr>
        <w:t xml:space="preserve"> habitacional.</w:t>
      </w:r>
    </w:p>
    <w:p w14:paraId="6ED5A102" w14:textId="77777777" w:rsidR="00B2442D" w:rsidRDefault="00B2442D">
      <w:pPr>
        <w:jc w:val="both"/>
        <w:rPr>
          <w:rFonts w:ascii="Arial" w:hAnsi="Arial" w:cs="Arial"/>
          <w:lang w:val="es-CO"/>
        </w:rPr>
      </w:pPr>
    </w:p>
    <w:p w14:paraId="148ECA88" w14:textId="77777777" w:rsidR="00B2442D" w:rsidRDefault="008A645F">
      <w:pPr>
        <w:jc w:val="both"/>
        <w:rPr>
          <w:rFonts w:ascii="Arial" w:hAnsi="Arial" w:cs="Arial"/>
          <w:i/>
          <w:lang w:val="es-CO"/>
        </w:rPr>
      </w:pPr>
      <w:r>
        <w:rPr>
          <w:rFonts w:ascii="Arial" w:hAnsi="Arial" w:cs="Arial"/>
          <w:i/>
          <w:lang w:val="es-CO"/>
        </w:rPr>
        <w:t>(Art. 8, Decreto 779 de 2003,</w:t>
      </w:r>
      <w:r>
        <w:rPr>
          <w:rFonts w:ascii="Arial" w:hAnsi="Arial" w:cs="Arial"/>
          <w:i/>
        </w:rPr>
        <w:t xml:space="preserve"> </w:t>
      </w:r>
      <w:r>
        <w:rPr>
          <w:rFonts w:ascii="Arial" w:hAnsi="Arial" w:cs="Arial"/>
          <w:i/>
          <w:lang w:val="es-CO"/>
        </w:rPr>
        <w:t>el inciso 2 tiene decaimiento en virtud de la evolución normati</w:t>
      </w:r>
      <w:r>
        <w:rPr>
          <w:rFonts w:ascii="Arial" w:hAnsi="Arial" w:cs="Arial"/>
          <w:i/>
          <w:lang w:val="es-CO"/>
        </w:rPr>
        <w:t>va. Artículo 3 de la Ley 1607 de 2012, que modificó el artículo 126-1 del Estatuto Tributario)</w:t>
      </w:r>
    </w:p>
    <w:p w14:paraId="44FC802C" w14:textId="77777777" w:rsidR="00B2442D" w:rsidRDefault="00B2442D">
      <w:pPr>
        <w:jc w:val="both"/>
        <w:rPr>
          <w:rFonts w:ascii="Arial" w:hAnsi="Arial" w:cs="Arial"/>
          <w:i/>
          <w:lang w:val="es-CO"/>
        </w:rPr>
      </w:pPr>
    </w:p>
    <w:p w14:paraId="25CDFDBD"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Principios generales.</w:t>
      </w:r>
      <w:r>
        <w:rPr>
          <w:rFonts w:ascii="Arial" w:hAnsi="Arial" w:cs="Arial"/>
          <w:lang w:val="es-CO"/>
        </w:rPr>
        <w:t xml:space="preserve"> Las Cámaras de Riesgo Central de Contraparte constituidas de conformidad con la Ley 964 de 2005, vigiladas por la Superintendencia Financi</w:t>
      </w:r>
      <w:r>
        <w:rPr>
          <w:rFonts w:ascii="Arial" w:hAnsi="Arial" w:cs="Arial"/>
          <w:lang w:val="es-CO"/>
        </w:rPr>
        <w:t>era de Colombia, para efectos tributarios y en relación con las operaciones en las que se constituyan como contraparte central se regirán en razón de su actividad por los principios de neutralidad y transparencia tributaria.</w:t>
      </w:r>
    </w:p>
    <w:p w14:paraId="6A8C08C2" w14:textId="77777777" w:rsidR="00B2442D" w:rsidRDefault="00B2442D">
      <w:pPr>
        <w:jc w:val="both"/>
        <w:rPr>
          <w:rFonts w:ascii="Arial" w:hAnsi="Arial" w:cs="Arial"/>
          <w:lang w:val="es-CO"/>
        </w:rPr>
      </w:pPr>
    </w:p>
    <w:p w14:paraId="1938F729" w14:textId="77777777" w:rsidR="00B2442D" w:rsidRDefault="008A645F">
      <w:pPr>
        <w:jc w:val="both"/>
        <w:rPr>
          <w:rFonts w:ascii="Arial" w:hAnsi="Arial" w:cs="Arial"/>
          <w:i/>
          <w:lang w:val="es-CO"/>
        </w:rPr>
      </w:pPr>
      <w:r>
        <w:rPr>
          <w:rFonts w:ascii="Arial" w:hAnsi="Arial" w:cs="Arial"/>
          <w:i/>
          <w:lang w:val="es-CO"/>
        </w:rPr>
        <w:t>(Art. 1, Decreto 1797 de 2008)</w:t>
      </w:r>
    </w:p>
    <w:p w14:paraId="396E9CF6" w14:textId="77777777" w:rsidR="00B2442D" w:rsidRDefault="00B2442D">
      <w:pPr>
        <w:jc w:val="both"/>
        <w:rPr>
          <w:rFonts w:ascii="Arial" w:hAnsi="Arial" w:cs="Arial"/>
          <w:lang w:val="es-CO"/>
        </w:rPr>
      </w:pPr>
    </w:p>
    <w:p w14:paraId="638864A1"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Usufructo legal.</w:t>
      </w:r>
      <w:r>
        <w:rPr>
          <w:rFonts w:ascii="Arial" w:hAnsi="Arial" w:cs="Arial"/>
          <w:lang w:val="es-CO"/>
        </w:rPr>
        <w:t xml:space="preserve"> Las rentas originadas en el usufructo legal de los padres de familia se gravarán en cabeza de quien ejerza la patria potestad. Igual tratamiento se aplicará respecto de las ganancias ocasionales de los hijos menores, cuando no haya renun</w:t>
      </w:r>
      <w:r>
        <w:rPr>
          <w:rFonts w:ascii="Arial" w:hAnsi="Arial" w:cs="Arial"/>
          <w:lang w:val="es-CO"/>
        </w:rPr>
        <w:t xml:space="preserve">cia del usufructo legal. </w:t>
      </w:r>
    </w:p>
    <w:p w14:paraId="02895779" w14:textId="77777777" w:rsidR="00B2442D" w:rsidRDefault="008A645F">
      <w:pPr>
        <w:jc w:val="both"/>
        <w:rPr>
          <w:rFonts w:ascii="Arial" w:hAnsi="Arial" w:cs="Arial"/>
          <w:lang w:val="es-CO"/>
        </w:rPr>
      </w:pPr>
      <w:r>
        <w:rPr>
          <w:rFonts w:ascii="Arial" w:hAnsi="Arial" w:cs="Arial"/>
          <w:lang w:val="es-CO"/>
        </w:rPr>
        <w:t xml:space="preserve"> </w:t>
      </w:r>
    </w:p>
    <w:p w14:paraId="69ED6E68" w14:textId="77777777" w:rsidR="00B2442D" w:rsidRDefault="008A645F">
      <w:pPr>
        <w:jc w:val="both"/>
        <w:rPr>
          <w:rFonts w:ascii="Arial" w:hAnsi="Arial" w:cs="Arial"/>
          <w:lang w:val="es-CO"/>
        </w:rPr>
      </w:pPr>
      <w:r>
        <w:rPr>
          <w:rFonts w:ascii="Arial" w:hAnsi="Arial" w:cs="Arial"/>
          <w:lang w:val="es-CO"/>
        </w:rPr>
        <w:t>La renuncia del usufructo legal, para los efectos fiscales, solo será válida cuando se haga por escritura pública y no producirá efectos sino a partir del año gravable en que se otorgue el instrumento respectivo, según lo expres</w:t>
      </w:r>
      <w:r>
        <w:rPr>
          <w:rFonts w:ascii="Arial" w:hAnsi="Arial" w:cs="Arial"/>
          <w:lang w:val="es-CO"/>
        </w:rPr>
        <w:t>ado en este por el renunciante.</w:t>
      </w:r>
    </w:p>
    <w:p w14:paraId="54B1877D" w14:textId="77777777" w:rsidR="00B2442D" w:rsidRDefault="00B2442D">
      <w:pPr>
        <w:rPr>
          <w:rFonts w:ascii="Arial" w:hAnsi="Arial" w:cs="Arial"/>
          <w:i/>
          <w:lang w:val="es-CO"/>
        </w:rPr>
      </w:pPr>
    </w:p>
    <w:p w14:paraId="39A7B2FB" w14:textId="77777777" w:rsidR="00B2442D" w:rsidRDefault="008A645F">
      <w:pPr>
        <w:jc w:val="both"/>
        <w:rPr>
          <w:rFonts w:ascii="Arial" w:hAnsi="Arial" w:cs="Arial"/>
          <w:b/>
          <w:lang w:val="es-CO"/>
        </w:rPr>
      </w:pPr>
      <w:r>
        <w:rPr>
          <w:rFonts w:ascii="Arial" w:hAnsi="Arial" w:cs="Arial"/>
          <w:i/>
          <w:lang w:val="es-CO"/>
        </w:rPr>
        <w:t>(Art. 24, Decreto 187 de 1975)</w:t>
      </w:r>
      <w:r>
        <w:rPr>
          <w:rFonts w:ascii="Arial" w:hAnsi="Arial" w:cs="Arial"/>
        </w:rPr>
        <w:t xml:space="preserve"> </w:t>
      </w:r>
      <w:r>
        <w:rPr>
          <w:rFonts w:ascii="Arial" w:hAnsi="Arial" w:cs="Arial"/>
          <w:i/>
          <w:lang w:val="es-CO"/>
        </w:rPr>
        <w:t>(Vigencia del Decreto 187 de 1975. El Decreto 187 de 1975 se aplicará a partir del ejercicio impositivo de 1974 salvo los casos expresamente exceptuados en el mismo o en las normas sustantivas</w:t>
      </w:r>
      <w:r>
        <w:rPr>
          <w:rFonts w:ascii="Arial" w:hAnsi="Arial" w:cs="Arial"/>
          <w:i/>
          <w:lang w:val="es-CO"/>
        </w:rPr>
        <w:t xml:space="preserve"> y procedimentales del impuesto sobre la renta y complementario. (Art. 117, Decreto 187 de 1975))</w:t>
      </w:r>
    </w:p>
    <w:p w14:paraId="718A2896" w14:textId="77777777" w:rsidR="00B2442D" w:rsidRDefault="00B2442D">
      <w:pPr>
        <w:jc w:val="both"/>
        <w:rPr>
          <w:rFonts w:ascii="Arial" w:hAnsi="Arial" w:cs="Arial"/>
          <w:lang w:val="es-CO"/>
        </w:rPr>
      </w:pPr>
    </w:p>
    <w:p w14:paraId="5C4407CA" w14:textId="77777777" w:rsidR="00B2442D" w:rsidRDefault="008A645F">
      <w:pPr>
        <w:pStyle w:val="Prrafodelista"/>
        <w:numPr>
          <w:ilvl w:val="0"/>
          <w:numId w:val="16"/>
        </w:numPr>
        <w:ind w:left="0" w:firstLine="0"/>
        <w:jc w:val="both"/>
        <w:rPr>
          <w:rFonts w:ascii="Arial" w:hAnsi="Arial" w:cs="Arial"/>
          <w:lang w:val="es-CO"/>
        </w:rPr>
      </w:pPr>
      <w:r>
        <w:rPr>
          <w:rFonts w:ascii="Arial" w:hAnsi="Arial" w:cs="Arial"/>
          <w:b/>
          <w:i/>
          <w:lang w:val="es-CO"/>
        </w:rPr>
        <w:t xml:space="preserve">Créditos para la financiación de exportaciones. </w:t>
      </w:r>
      <w:r>
        <w:rPr>
          <w:rFonts w:ascii="Arial" w:hAnsi="Arial" w:cs="Arial"/>
          <w:lang w:val="es-CO"/>
        </w:rPr>
        <w:t xml:space="preserve">Los créditos otorgados a industrias cubiertas por la sección segunda del capítulo X del Decreto 444 de 1967, </w:t>
      </w:r>
      <w:r>
        <w:rPr>
          <w:rFonts w:ascii="Arial" w:hAnsi="Arial" w:cs="Arial"/>
          <w:lang w:val="es-CO"/>
        </w:rPr>
        <w:t>correspondientes a contratos celebrados dentro del régimen conocido como Plan Vallejo, se consideran destinados a la financiación o prefinanciación de exportaciones.</w:t>
      </w:r>
    </w:p>
    <w:p w14:paraId="38EBAF9E" w14:textId="77777777" w:rsidR="00B2442D" w:rsidRDefault="00B2442D">
      <w:pPr>
        <w:jc w:val="both"/>
        <w:rPr>
          <w:rFonts w:ascii="Arial" w:hAnsi="Arial" w:cs="Arial"/>
          <w:i/>
          <w:lang w:val="es-CO"/>
        </w:rPr>
      </w:pPr>
    </w:p>
    <w:p w14:paraId="44BD1511" w14:textId="77777777" w:rsidR="00B2442D" w:rsidRDefault="008A645F">
      <w:pPr>
        <w:jc w:val="both"/>
        <w:rPr>
          <w:rFonts w:ascii="Arial" w:hAnsi="Arial" w:cs="Arial"/>
          <w:lang w:val="es-CO"/>
        </w:rPr>
      </w:pPr>
      <w:r>
        <w:rPr>
          <w:rFonts w:ascii="Arial" w:hAnsi="Arial" w:cs="Arial"/>
          <w:i/>
          <w:lang w:val="es-CO"/>
        </w:rPr>
        <w:t xml:space="preserve">(Art. 8, Decreto 400 de 1975, inciso 1 derogado tácitamente por art. 21 del Decreto 2579 </w:t>
      </w:r>
      <w:r>
        <w:rPr>
          <w:rFonts w:ascii="Arial" w:hAnsi="Arial" w:cs="Arial"/>
          <w:i/>
          <w:lang w:val="es-CO"/>
        </w:rPr>
        <w:t>de 1983; inciso 2 derogado tácitamente por el art. 13 del Decreto 2579 de 1983)</w:t>
      </w:r>
    </w:p>
    <w:p w14:paraId="24DE10C2" w14:textId="77777777" w:rsidR="00B2442D" w:rsidRDefault="00B2442D">
      <w:pPr>
        <w:jc w:val="both"/>
        <w:rPr>
          <w:rFonts w:ascii="Arial" w:hAnsi="Arial" w:cs="Arial"/>
          <w:b/>
          <w:lang w:val="es-CO"/>
        </w:rPr>
      </w:pPr>
    </w:p>
    <w:p w14:paraId="7635A54F" w14:textId="77777777" w:rsidR="00B2442D" w:rsidRDefault="008A645F">
      <w:pPr>
        <w:pStyle w:val="Ttulo4"/>
        <w:rPr>
          <w:lang w:val="es-CO"/>
        </w:rPr>
      </w:pPr>
      <w:r>
        <w:rPr>
          <w:lang w:val="es-CO"/>
        </w:rPr>
        <w:t>CAPÍTULO 2</w:t>
      </w:r>
    </w:p>
    <w:p w14:paraId="0313C8CE" w14:textId="77777777" w:rsidR="00B2442D" w:rsidRDefault="008A645F">
      <w:pPr>
        <w:pStyle w:val="Ttulo4"/>
        <w:rPr>
          <w:lang w:val="es-CO"/>
        </w:rPr>
      </w:pPr>
      <w:r>
        <w:rPr>
          <w:lang w:val="es-CO"/>
        </w:rPr>
        <w:t>Definiciones</w:t>
      </w:r>
    </w:p>
    <w:p w14:paraId="290B391D" w14:textId="77777777" w:rsidR="00B2442D" w:rsidRDefault="00B2442D">
      <w:pPr>
        <w:jc w:val="both"/>
        <w:rPr>
          <w:rFonts w:ascii="Arial" w:hAnsi="Arial" w:cs="Arial"/>
          <w:i/>
          <w:lang w:val="es-CO"/>
        </w:rPr>
      </w:pPr>
    </w:p>
    <w:p w14:paraId="2E9AE2CF" w14:textId="77777777" w:rsidR="00B2442D" w:rsidRDefault="008A645F">
      <w:pPr>
        <w:pStyle w:val="Prrafodelista"/>
        <w:numPr>
          <w:ilvl w:val="0"/>
          <w:numId w:val="17"/>
        </w:numPr>
        <w:ind w:left="0" w:firstLine="0"/>
        <w:jc w:val="both"/>
        <w:rPr>
          <w:rFonts w:ascii="Arial" w:hAnsi="Arial" w:cs="Arial"/>
          <w:lang w:val="es-CO"/>
        </w:rPr>
      </w:pPr>
      <w:r>
        <w:rPr>
          <w:rFonts w:ascii="Arial" w:hAnsi="Arial" w:cs="Arial"/>
          <w:b/>
          <w:i/>
          <w:lang w:val="es-CO"/>
        </w:rPr>
        <w:t xml:space="preserve">Definición de asistencia técnica. </w:t>
      </w:r>
      <w:r>
        <w:rPr>
          <w:rFonts w:ascii="Arial" w:hAnsi="Arial" w:cs="Arial"/>
          <w:lang w:val="es-CO"/>
        </w:rPr>
        <w:t xml:space="preserve">Entiéndese por asistencia técnica la asesoría dada mediante contrato de prestación de servicios </w:t>
      </w:r>
      <w:r>
        <w:rPr>
          <w:rFonts w:ascii="Arial" w:hAnsi="Arial" w:cs="Arial"/>
          <w:lang w:val="es-CO"/>
        </w:rPr>
        <w:t>incorporales, para la utilización de conocimientos tecnológicos aplicados por medio del ejercicio de un arte o técnica.</w:t>
      </w:r>
    </w:p>
    <w:p w14:paraId="06FBDE71" w14:textId="77777777" w:rsidR="00B2442D" w:rsidRDefault="00B2442D">
      <w:pPr>
        <w:jc w:val="both"/>
        <w:rPr>
          <w:rFonts w:ascii="Arial" w:hAnsi="Arial" w:cs="Arial"/>
          <w:lang w:val="es-CO"/>
        </w:rPr>
      </w:pPr>
    </w:p>
    <w:p w14:paraId="07915438" w14:textId="77777777" w:rsidR="00B2442D" w:rsidRDefault="008A645F">
      <w:pPr>
        <w:jc w:val="both"/>
        <w:rPr>
          <w:rFonts w:ascii="Arial" w:hAnsi="Arial" w:cs="Arial"/>
          <w:lang w:val="es-CO"/>
        </w:rPr>
      </w:pPr>
      <w:r>
        <w:rPr>
          <w:rFonts w:ascii="Arial" w:hAnsi="Arial" w:cs="Arial"/>
          <w:lang w:val="es-CO"/>
        </w:rPr>
        <w:t>Dicha asistencia comprende también el adiestramiento de personas para la aplicación de los expresados conocimientos.</w:t>
      </w:r>
    </w:p>
    <w:p w14:paraId="6D58A08A" w14:textId="77777777" w:rsidR="00B2442D" w:rsidRDefault="00B2442D">
      <w:pPr>
        <w:jc w:val="both"/>
        <w:rPr>
          <w:rFonts w:ascii="Arial" w:hAnsi="Arial" w:cs="Arial"/>
          <w:i/>
          <w:lang w:val="es-CO"/>
        </w:rPr>
      </w:pPr>
    </w:p>
    <w:p w14:paraId="7C13B0CF" w14:textId="77777777" w:rsidR="00B2442D" w:rsidRDefault="008A645F">
      <w:pPr>
        <w:jc w:val="both"/>
        <w:rPr>
          <w:rFonts w:ascii="Arial" w:hAnsi="Arial" w:cs="Arial"/>
          <w:i/>
          <w:lang w:val="es-CO"/>
        </w:rPr>
      </w:pPr>
      <w:r>
        <w:rPr>
          <w:rFonts w:ascii="Arial" w:hAnsi="Arial" w:cs="Arial"/>
          <w:i/>
          <w:lang w:val="es-CO"/>
        </w:rPr>
        <w:t xml:space="preserve">(Art. 2, Decreto </w:t>
      </w:r>
      <w:r>
        <w:rPr>
          <w:rFonts w:ascii="Arial" w:hAnsi="Arial" w:cs="Arial"/>
          <w:i/>
          <w:lang w:val="es-CO"/>
        </w:rPr>
        <w:t>2123 de 1975)</w:t>
      </w:r>
    </w:p>
    <w:p w14:paraId="1A72FDF2" w14:textId="77777777" w:rsidR="00B2442D" w:rsidRDefault="00B2442D">
      <w:pPr>
        <w:jc w:val="center"/>
        <w:rPr>
          <w:rFonts w:ascii="Arial" w:hAnsi="Arial" w:cs="Arial"/>
          <w:b/>
          <w:lang w:val="es-CO"/>
        </w:rPr>
      </w:pPr>
    </w:p>
    <w:p w14:paraId="4884F36C" w14:textId="77777777" w:rsidR="00B2442D" w:rsidRDefault="008A645F">
      <w:pPr>
        <w:pStyle w:val="Prrafodelista"/>
        <w:numPr>
          <w:ilvl w:val="0"/>
          <w:numId w:val="17"/>
        </w:numPr>
        <w:ind w:left="0" w:firstLine="0"/>
        <w:jc w:val="both"/>
        <w:rPr>
          <w:rFonts w:ascii="Arial" w:hAnsi="Arial" w:cs="Arial"/>
          <w:lang w:val="es-CO"/>
        </w:rPr>
      </w:pPr>
      <w:r>
        <w:rPr>
          <w:rFonts w:ascii="Arial" w:hAnsi="Arial" w:cs="Arial"/>
          <w:b/>
          <w:i/>
          <w:lang w:val="es-CO"/>
        </w:rPr>
        <w:t>Ganadería.</w:t>
      </w:r>
      <w:r>
        <w:rPr>
          <w:rFonts w:ascii="Arial" w:hAnsi="Arial" w:cs="Arial"/>
          <w:lang w:val="es-CO"/>
        </w:rPr>
        <w:t xml:space="preserve"> Para efectos fiscales se entiende por negocio de ganadería, la actividad económica que tiene por objeto la cría, el levante o desarrollo, la ceba de ganados de las especies mayores y de las especies menores. También lo es la explo</w:t>
      </w:r>
      <w:r>
        <w:rPr>
          <w:rFonts w:ascii="Arial" w:hAnsi="Arial" w:cs="Arial"/>
          <w:lang w:val="es-CO"/>
        </w:rPr>
        <w:t>tación de ganado para leche y para lana.</w:t>
      </w:r>
    </w:p>
    <w:p w14:paraId="2F7B4D27" w14:textId="77777777" w:rsidR="00B2442D" w:rsidRDefault="00B2442D">
      <w:pPr>
        <w:jc w:val="both"/>
        <w:rPr>
          <w:rFonts w:ascii="Arial" w:hAnsi="Arial" w:cs="Arial"/>
          <w:lang w:val="es-CO"/>
        </w:rPr>
      </w:pPr>
    </w:p>
    <w:p w14:paraId="284B9F9F" w14:textId="77777777" w:rsidR="00B2442D" w:rsidRDefault="008A645F">
      <w:pPr>
        <w:jc w:val="both"/>
        <w:rPr>
          <w:rFonts w:ascii="Arial" w:hAnsi="Arial" w:cs="Arial"/>
          <w:lang w:val="es-CO"/>
        </w:rPr>
      </w:pPr>
      <w:r>
        <w:rPr>
          <w:rFonts w:ascii="Arial" w:hAnsi="Arial" w:cs="Arial"/>
          <w:lang w:val="es-CO"/>
        </w:rPr>
        <w:t>Constituye igualmente negocio de ganadería, la explotación de ganado en compañía o en participación, tanto para quien entrega el ganado como para quien lo recibe.</w:t>
      </w:r>
    </w:p>
    <w:p w14:paraId="7837510E" w14:textId="77777777" w:rsidR="00B2442D" w:rsidRDefault="00B2442D">
      <w:pPr>
        <w:jc w:val="both"/>
        <w:rPr>
          <w:rFonts w:ascii="Arial" w:hAnsi="Arial" w:cs="Arial"/>
          <w:lang w:val="es-CO"/>
        </w:rPr>
      </w:pPr>
    </w:p>
    <w:p w14:paraId="7D2D6C0F" w14:textId="77777777" w:rsidR="00B2442D" w:rsidRDefault="008A645F">
      <w:pPr>
        <w:jc w:val="both"/>
        <w:rPr>
          <w:rFonts w:ascii="Arial" w:hAnsi="Arial" w:cs="Arial"/>
          <w:lang w:val="es-CO"/>
        </w:rPr>
      </w:pPr>
      <w:r>
        <w:rPr>
          <w:rFonts w:ascii="Arial" w:hAnsi="Arial" w:cs="Arial"/>
          <w:lang w:val="es-CO"/>
        </w:rPr>
        <w:t>La actividad que consiste simplemente en comprar y</w:t>
      </w:r>
      <w:r>
        <w:rPr>
          <w:rFonts w:ascii="Arial" w:hAnsi="Arial" w:cs="Arial"/>
          <w:lang w:val="es-CO"/>
        </w:rPr>
        <w:t xml:space="preserve"> vender ganado, o productos de la ganadería, o sacrificarlo para venta de carne y subproductos, no es negocio de ganadería sino de comercio.</w:t>
      </w:r>
    </w:p>
    <w:p w14:paraId="529783E5" w14:textId="77777777" w:rsidR="00B2442D" w:rsidRDefault="00B2442D">
      <w:pPr>
        <w:rPr>
          <w:rFonts w:ascii="Arial" w:hAnsi="Arial" w:cs="Arial"/>
          <w:i/>
        </w:rPr>
      </w:pPr>
    </w:p>
    <w:p w14:paraId="19ABB931" w14:textId="77777777" w:rsidR="00B2442D" w:rsidRDefault="008A645F">
      <w:pPr>
        <w:rPr>
          <w:rFonts w:ascii="Arial" w:hAnsi="Arial" w:cs="Arial"/>
          <w:i/>
        </w:rPr>
      </w:pPr>
      <w:r>
        <w:rPr>
          <w:rFonts w:ascii="Arial" w:hAnsi="Arial" w:cs="Arial"/>
          <w:i/>
        </w:rPr>
        <w:t>(Art. 8, Decreto 2595 de 1979)</w:t>
      </w:r>
    </w:p>
    <w:p w14:paraId="6BEC4DD6" w14:textId="77777777" w:rsidR="00B2442D" w:rsidRDefault="00B2442D">
      <w:pPr>
        <w:rPr>
          <w:rFonts w:ascii="Arial" w:hAnsi="Arial" w:cs="Arial"/>
          <w:i/>
        </w:rPr>
      </w:pPr>
    </w:p>
    <w:p w14:paraId="6372FE0E" w14:textId="77777777" w:rsidR="00B2442D" w:rsidRDefault="008A645F">
      <w:pPr>
        <w:pStyle w:val="Prrafodelista"/>
        <w:numPr>
          <w:ilvl w:val="0"/>
          <w:numId w:val="17"/>
        </w:numPr>
        <w:ind w:left="0" w:firstLine="0"/>
        <w:jc w:val="both"/>
        <w:rPr>
          <w:rFonts w:ascii="Arial" w:hAnsi="Arial" w:cs="Arial"/>
          <w:lang w:val="es-CO"/>
        </w:rPr>
      </w:pPr>
      <w:r>
        <w:rPr>
          <w:rFonts w:ascii="Arial" w:hAnsi="Arial" w:cs="Arial"/>
          <w:b/>
          <w:i/>
          <w:lang w:val="es-CO"/>
        </w:rPr>
        <w:t>Definición de "know-How".</w:t>
      </w:r>
      <w:r>
        <w:rPr>
          <w:rFonts w:ascii="Arial" w:hAnsi="Arial" w:cs="Arial"/>
          <w:lang w:val="es-CO"/>
        </w:rPr>
        <w:t xml:space="preserve"> Entiéndese por "know-How" la experiencia secreta sobre l</w:t>
      </w:r>
      <w:r>
        <w:rPr>
          <w:rFonts w:ascii="Arial" w:hAnsi="Arial" w:cs="Arial"/>
          <w:lang w:val="es-CO"/>
        </w:rPr>
        <w:t>a manera de hacer algo, acumulada en un arte o técnica y susceptible de cederse para ser aplicada en el mismo ramo, con eficiencia.</w:t>
      </w:r>
    </w:p>
    <w:p w14:paraId="4D894DE8" w14:textId="77777777" w:rsidR="00B2442D" w:rsidRDefault="00B2442D">
      <w:pPr>
        <w:jc w:val="both"/>
        <w:rPr>
          <w:rFonts w:ascii="Arial" w:hAnsi="Arial" w:cs="Arial"/>
          <w:i/>
          <w:lang w:val="es-CO"/>
        </w:rPr>
      </w:pPr>
    </w:p>
    <w:p w14:paraId="277E898F" w14:textId="77777777" w:rsidR="00B2442D" w:rsidRDefault="008A645F">
      <w:pPr>
        <w:jc w:val="both"/>
        <w:rPr>
          <w:rFonts w:ascii="Arial" w:hAnsi="Arial" w:cs="Arial"/>
          <w:i/>
          <w:lang w:val="es-CO"/>
        </w:rPr>
      </w:pPr>
      <w:r>
        <w:rPr>
          <w:rFonts w:ascii="Arial" w:hAnsi="Arial" w:cs="Arial"/>
          <w:i/>
          <w:lang w:val="es-CO"/>
        </w:rPr>
        <w:t>(Art. 1, Decreto 2123 de 1975)</w:t>
      </w:r>
    </w:p>
    <w:p w14:paraId="3C700958" w14:textId="77777777" w:rsidR="00B2442D" w:rsidRDefault="00B2442D">
      <w:pPr>
        <w:jc w:val="both"/>
        <w:rPr>
          <w:rFonts w:ascii="Arial" w:hAnsi="Arial" w:cs="Arial"/>
          <w:b/>
          <w:lang w:val="es-CO"/>
        </w:rPr>
      </w:pPr>
    </w:p>
    <w:p w14:paraId="31233901" w14:textId="77777777" w:rsidR="00B2442D" w:rsidRDefault="008A645F">
      <w:pPr>
        <w:pStyle w:val="Ttulo4"/>
      </w:pPr>
      <w:r>
        <w:t xml:space="preserve">CAPÍTULO 3 </w:t>
      </w:r>
    </w:p>
    <w:p w14:paraId="2F4EB282" w14:textId="77777777" w:rsidR="00B2442D" w:rsidRDefault="008A645F">
      <w:pPr>
        <w:pStyle w:val="Ttulo4"/>
      </w:pPr>
      <w:r>
        <w:t>Domicilio y residencia</w:t>
      </w:r>
    </w:p>
    <w:p w14:paraId="7922E237" w14:textId="77777777" w:rsidR="00B2442D" w:rsidRDefault="00B2442D">
      <w:pPr>
        <w:rPr>
          <w:rFonts w:ascii="Arial" w:hAnsi="Arial" w:cs="Arial"/>
        </w:rPr>
      </w:pPr>
    </w:p>
    <w:p w14:paraId="4A4D52A3"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 xml:space="preserve">Ingresos para efectos de establecer la residencia tributaria de las personas naturales. </w:t>
      </w:r>
      <w:r>
        <w:rPr>
          <w:rFonts w:ascii="Arial" w:hAnsi="Arial" w:cs="Arial"/>
          <w:lang w:val="es-CO"/>
        </w:rPr>
        <w:t xml:space="preserve">Para efectos de calcular el porcentaje de ingresos de fuente nacional consagrado en el literal b) del numeral 3 del artículo 10 del Estatuto Tributario, se dividirá la </w:t>
      </w:r>
      <w:r>
        <w:rPr>
          <w:rFonts w:ascii="Arial" w:hAnsi="Arial" w:cs="Arial"/>
          <w:lang w:val="es-CO"/>
        </w:rPr>
        <w:t>totalidad de los ingresos ordinarios y extraordinarios de fuente nacional que sean o no constitutivos de renta o ganancia ocasional realizados durante el año o periodo gravable respecto del cual se está determinando la residencia, por la totalidad de los i</w:t>
      </w:r>
      <w:r>
        <w:rPr>
          <w:rFonts w:ascii="Arial" w:hAnsi="Arial" w:cs="Arial"/>
          <w:lang w:val="es-CO"/>
        </w:rPr>
        <w:t>ngresos ordinarios y extraordinarios de fuente nacional y extranjera que sean o no constitutivos de renta o ganancia ocasional realizados durante el año o periodo gravable respecto del cual se está determinando la residencia.</w:t>
      </w:r>
    </w:p>
    <w:p w14:paraId="13681E65" w14:textId="77777777" w:rsidR="00B2442D" w:rsidRDefault="00B2442D">
      <w:pPr>
        <w:jc w:val="both"/>
        <w:rPr>
          <w:rFonts w:ascii="Arial" w:hAnsi="Arial" w:cs="Arial"/>
          <w:lang w:val="es-CO"/>
        </w:rPr>
      </w:pPr>
    </w:p>
    <w:p w14:paraId="1C62C0BE" w14:textId="77777777" w:rsidR="00B2442D" w:rsidRDefault="008A645F">
      <w:pPr>
        <w:jc w:val="both"/>
        <w:rPr>
          <w:rFonts w:ascii="Arial" w:hAnsi="Arial" w:cs="Arial"/>
          <w:i/>
          <w:lang w:val="es-CO"/>
        </w:rPr>
      </w:pPr>
      <w:r>
        <w:rPr>
          <w:rFonts w:ascii="Arial" w:hAnsi="Arial" w:cs="Arial"/>
          <w:i/>
          <w:lang w:val="es-CO"/>
        </w:rPr>
        <w:t>(Art. 1, Decreto 3028 de 2013</w:t>
      </w:r>
      <w:r>
        <w:rPr>
          <w:rFonts w:ascii="Arial" w:hAnsi="Arial" w:cs="Arial"/>
          <w:i/>
          <w:lang w:val="es-CO"/>
        </w:rPr>
        <w:t>)</w:t>
      </w:r>
    </w:p>
    <w:p w14:paraId="1388E768" w14:textId="77777777" w:rsidR="00B2442D" w:rsidRDefault="00B2442D">
      <w:pPr>
        <w:jc w:val="both"/>
        <w:rPr>
          <w:rFonts w:ascii="Arial" w:hAnsi="Arial" w:cs="Arial"/>
          <w:lang w:val="es-CO"/>
        </w:rPr>
      </w:pPr>
    </w:p>
    <w:p w14:paraId="062244F8"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Administración de bienes en el país para efectos de establecer la residencia tributaria de las personas naturales.</w:t>
      </w:r>
      <w:r>
        <w:rPr>
          <w:rFonts w:ascii="Arial" w:hAnsi="Arial" w:cs="Arial"/>
          <w:lang w:val="es-CO"/>
        </w:rPr>
        <w:t xml:space="preserve"> Para efectos del literal c) del numeral 3° del artículo 10 del Estatuto Tributario, se entiende por administración de bienes, la gestión o</w:t>
      </w:r>
      <w:r>
        <w:rPr>
          <w:rFonts w:ascii="Arial" w:hAnsi="Arial" w:cs="Arial"/>
          <w:lang w:val="es-CO"/>
        </w:rPr>
        <w:t xml:space="preserve"> conservación, en cualquier forma, de dichos bienes, ya sea que dicha gestión o conservación se lleve a cabo directamente o por intermedio de otra u otras personas naturales o jurídicas, entidades o esquemas de naturaleza no societaria, y así estas actúen </w:t>
      </w:r>
      <w:r>
        <w:rPr>
          <w:rFonts w:ascii="Arial" w:hAnsi="Arial" w:cs="Arial"/>
          <w:lang w:val="es-CO"/>
        </w:rPr>
        <w:t>en nombre propio y por cuenta de la persona cuya residencia es objeto de análisis, o en representación de esta persona.</w:t>
      </w:r>
    </w:p>
    <w:p w14:paraId="6BBC9CCE" w14:textId="77777777" w:rsidR="00B2442D" w:rsidRDefault="00B2442D">
      <w:pPr>
        <w:jc w:val="both"/>
        <w:rPr>
          <w:rFonts w:ascii="Arial" w:hAnsi="Arial" w:cs="Arial"/>
          <w:lang w:val="es-CO"/>
        </w:rPr>
      </w:pPr>
    </w:p>
    <w:p w14:paraId="3DD88C50" w14:textId="77777777" w:rsidR="00B2442D" w:rsidRDefault="008A645F">
      <w:pPr>
        <w:jc w:val="both"/>
        <w:rPr>
          <w:rFonts w:ascii="Arial" w:hAnsi="Arial" w:cs="Arial"/>
          <w:lang w:val="es-CO"/>
        </w:rPr>
      </w:pPr>
      <w:r>
        <w:rPr>
          <w:rFonts w:ascii="Arial" w:hAnsi="Arial" w:cs="Arial"/>
          <w:lang w:val="es-CO"/>
        </w:rPr>
        <w:t>Para efectos del literal c) del numeral 3° del artículo 10 del Estatuto Tributario, se entenderá que los bienes son administrados en Co</w:t>
      </w:r>
      <w:r>
        <w:rPr>
          <w:rFonts w:ascii="Arial" w:hAnsi="Arial" w:cs="Arial"/>
          <w:lang w:val="es-CO"/>
        </w:rPr>
        <w:t>lombia cuando las actividades diarias que implican su gestión o conservación, en cualquier forma, se llevan a cabo en el territorio nacional.</w:t>
      </w:r>
    </w:p>
    <w:p w14:paraId="378BAE1B" w14:textId="77777777" w:rsidR="00B2442D" w:rsidRDefault="00B2442D">
      <w:pPr>
        <w:jc w:val="both"/>
        <w:rPr>
          <w:rFonts w:ascii="Arial" w:hAnsi="Arial" w:cs="Arial"/>
          <w:lang w:val="es-CO"/>
        </w:rPr>
      </w:pPr>
    </w:p>
    <w:p w14:paraId="04A321DF" w14:textId="77777777" w:rsidR="00B2442D" w:rsidRDefault="008A645F">
      <w:pPr>
        <w:jc w:val="both"/>
        <w:rPr>
          <w:rFonts w:ascii="Arial" w:hAnsi="Arial" w:cs="Arial"/>
          <w:lang w:val="es-CO"/>
        </w:rPr>
      </w:pPr>
      <w:r>
        <w:rPr>
          <w:rFonts w:ascii="Arial" w:hAnsi="Arial" w:cs="Arial"/>
          <w:lang w:val="es-CO"/>
        </w:rPr>
        <w:t>Para efectos del mismo literal c), el porcentaje de bienes administrados en el país se debe calcular sobre la bas</w:t>
      </w:r>
      <w:r>
        <w:rPr>
          <w:rFonts w:ascii="Arial" w:hAnsi="Arial" w:cs="Arial"/>
          <w:lang w:val="es-CO"/>
        </w:rPr>
        <w:t>e de la totalidad de bienes poseídos por la persona natural dentro y fuera del territorio nacional, teniendo en cuenta el valor patrimonial de dichos bienes a 31 de diciembre del año o periodo gravable objeto de determinación de residencia.</w:t>
      </w:r>
    </w:p>
    <w:p w14:paraId="0157163F" w14:textId="77777777" w:rsidR="00B2442D" w:rsidRDefault="00B2442D">
      <w:pPr>
        <w:jc w:val="both"/>
        <w:rPr>
          <w:rFonts w:ascii="Arial" w:hAnsi="Arial" w:cs="Arial"/>
          <w:lang w:val="es-CO"/>
        </w:rPr>
      </w:pPr>
    </w:p>
    <w:p w14:paraId="04FD2524" w14:textId="77777777" w:rsidR="00B2442D" w:rsidRDefault="008A645F">
      <w:pPr>
        <w:jc w:val="both"/>
        <w:rPr>
          <w:rFonts w:ascii="Arial" w:hAnsi="Arial" w:cs="Arial"/>
          <w:i/>
          <w:lang w:val="es-CO"/>
        </w:rPr>
      </w:pPr>
      <w:r>
        <w:rPr>
          <w:rFonts w:ascii="Arial" w:hAnsi="Arial" w:cs="Arial"/>
          <w:i/>
          <w:lang w:val="es-CO"/>
        </w:rPr>
        <w:t>(Art. 2, Decre</w:t>
      </w:r>
      <w:r>
        <w:rPr>
          <w:rFonts w:ascii="Arial" w:hAnsi="Arial" w:cs="Arial"/>
          <w:i/>
          <w:lang w:val="es-CO"/>
        </w:rPr>
        <w:t>to 3028 de 2013)</w:t>
      </w:r>
    </w:p>
    <w:p w14:paraId="7E8676AB" w14:textId="77777777" w:rsidR="00B2442D" w:rsidRDefault="00B2442D">
      <w:pPr>
        <w:jc w:val="both"/>
        <w:rPr>
          <w:rFonts w:ascii="Arial" w:hAnsi="Arial" w:cs="Arial"/>
          <w:lang w:val="es-CO"/>
        </w:rPr>
      </w:pPr>
    </w:p>
    <w:p w14:paraId="07838A59"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Activos poseídos en el país para efectos de establecer la residencia tributaria de las personas naturales.</w:t>
      </w:r>
      <w:r>
        <w:rPr>
          <w:rFonts w:ascii="Arial" w:hAnsi="Arial" w:cs="Arial"/>
          <w:lang w:val="es-CO"/>
        </w:rPr>
        <w:t xml:space="preserve"> Para efectos de calcular el porcentaje consagrado en el literal d) del numeral 3° del artículo 10 del Estatuto Tributario, se divid</w:t>
      </w:r>
      <w:r>
        <w:rPr>
          <w:rFonts w:ascii="Arial" w:hAnsi="Arial" w:cs="Arial"/>
          <w:lang w:val="es-CO"/>
        </w:rPr>
        <w:t>irá el valor patrimonial de los activos poseídos por la persona natural en el territorio nacional a 31 de diciembre del año o periodo gravable objeto de determinación de la residencia, por el valor patrimonial de la totalidad de los activos poseídos por la</w:t>
      </w:r>
      <w:r>
        <w:rPr>
          <w:rFonts w:ascii="Arial" w:hAnsi="Arial" w:cs="Arial"/>
          <w:lang w:val="es-CO"/>
        </w:rPr>
        <w:t xml:space="preserve"> persona natural dentro y fuera del territorio nacional a la misma fecha.</w:t>
      </w:r>
    </w:p>
    <w:p w14:paraId="5C5F3519" w14:textId="77777777" w:rsidR="00B2442D" w:rsidRDefault="00B2442D">
      <w:pPr>
        <w:jc w:val="both"/>
        <w:rPr>
          <w:rFonts w:ascii="Arial" w:hAnsi="Arial" w:cs="Arial"/>
          <w:lang w:val="es-CO"/>
        </w:rPr>
      </w:pPr>
    </w:p>
    <w:p w14:paraId="4B84E5D6" w14:textId="77777777" w:rsidR="00B2442D" w:rsidRDefault="008A645F">
      <w:pPr>
        <w:jc w:val="both"/>
        <w:rPr>
          <w:rFonts w:ascii="Arial" w:hAnsi="Arial" w:cs="Arial"/>
          <w:i/>
          <w:lang w:val="es-CO"/>
        </w:rPr>
      </w:pPr>
      <w:r>
        <w:rPr>
          <w:rFonts w:ascii="Arial" w:hAnsi="Arial" w:cs="Arial"/>
          <w:i/>
          <w:lang w:val="es-CO"/>
        </w:rPr>
        <w:t>(Art. 3, Decreto 3028 de 2013)</w:t>
      </w:r>
    </w:p>
    <w:p w14:paraId="44720FD8" w14:textId="77777777" w:rsidR="00B2442D" w:rsidRDefault="00B2442D">
      <w:pPr>
        <w:jc w:val="both"/>
        <w:rPr>
          <w:rFonts w:ascii="Arial" w:hAnsi="Arial" w:cs="Arial"/>
          <w:lang w:val="es-CO"/>
        </w:rPr>
      </w:pPr>
    </w:p>
    <w:p w14:paraId="66D6A7C9"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Prueba idónea.</w:t>
      </w:r>
      <w:r>
        <w:rPr>
          <w:rFonts w:ascii="Arial" w:hAnsi="Arial" w:cs="Arial"/>
          <w:lang w:val="es-CO"/>
        </w:rPr>
        <w:t xml:space="preserve"> Sin perjuicio de lo consagrado en el Título VI del Estatuto Tributario, o las normas que lo modifiquen, adicionen o sustituyan, para efectos de determinar la residencia de una persona natural en virtud de los literales b), c) y d) del numeral 3 del artícu</w:t>
      </w:r>
      <w:r>
        <w:rPr>
          <w:rFonts w:ascii="Arial" w:hAnsi="Arial" w:cs="Arial"/>
          <w:lang w:val="es-CO"/>
        </w:rPr>
        <w:t>lo 10 del Estatuto Tributario, constituirán prueba idónea las certificaciones de los contadores o revisores fiscales presentadas de conformidad con las normas legales vigentes.</w:t>
      </w:r>
    </w:p>
    <w:p w14:paraId="53EFAD73" w14:textId="77777777" w:rsidR="00B2442D" w:rsidRDefault="00B2442D">
      <w:pPr>
        <w:jc w:val="both"/>
        <w:rPr>
          <w:rFonts w:ascii="Arial" w:hAnsi="Arial" w:cs="Arial"/>
          <w:lang w:val="es-CO"/>
        </w:rPr>
      </w:pPr>
    </w:p>
    <w:p w14:paraId="2CDDF00B" w14:textId="77777777" w:rsidR="00B2442D" w:rsidRDefault="008A645F">
      <w:pPr>
        <w:jc w:val="both"/>
        <w:rPr>
          <w:rFonts w:ascii="Arial" w:hAnsi="Arial" w:cs="Arial"/>
          <w:i/>
          <w:lang w:val="es-CO"/>
        </w:rPr>
      </w:pPr>
      <w:r>
        <w:rPr>
          <w:rFonts w:ascii="Arial" w:hAnsi="Arial" w:cs="Arial"/>
          <w:i/>
          <w:lang w:val="es-CO"/>
        </w:rPr>
        <w:t>(Art. 5, Decreto 3028 de 2013)</w:t>
      </w:r>
    </w:p>
    <w:p w14:paraId="594E929D" w14:textId="77777777" w:rsidR="00B2442D" w:rsidRDefault="00B2442D">
      <w:pPr>
        <w:jc w:val="both"/>
        <w:rPr>
          <w:rFonts w:ascii="Arial" w:hAnsi="Arial" w:cs="Arial"/>
          <w:i/>
          <w:lang w:val="es-CO"/>
        </w:rPr>
      </w:pPr>
    </w:p>
    <w:p w14:paraId="365B68DA"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Lugar fijo de negocios.</w:t>
      </w:r>
      <w:r>
        <w:rPr>
          <w:rFonts w:ascii="Arial" w:hAnsi="Arial" w:cs="Arial"/>
          <w:lang w:val="es-CO"/>
        </w:rPr>
        <w:t xml:space="preserve"> Para efectos del artíc</w:t>
      </w:r>
      <w:r>
        <w:rPr>
          <w:rFonts w:ascii="Arial" w:hAnsi="Arial" w:cs="Arial"/>
          <w:lang w:val="es-CO"/>
        </w:rPr>
        <w:t>ulo 20-1 del Estatuto Tributario, se entenderá que existe un lugar fijo de negocios en Colombia a través del cual una empresa extranjera realiza toda o parte de su actividad, cuando se cumplan las siguientes condiciones:</w:t>
      </w:r>
    </w:p>
    <w:p w14:paraId="6BD24889" w14:textId="77777777" w:rsidR="00B2442D" w:rsidRDefault="00B2442D">
      <w:pPr>
        <w:jc w:val="both"/>
        <w:rPr>
          <w:rFonts w:ascii="Arial" w:hAnsi="Arial" w:cs="Arial"/>
          <w:lang w:val="es-CO"/>
        </w:rPr>
      </w:pPr>
    </w:p>
    <w:p w14:paraId="7D35ABB3"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La existencia de un lugar de ne</w:t>
      </w:r>
      <w:r>
        <w:rPr>
          <w:rFonts w:ascii="Arial" w:hAnsi="Arial" w:cs="Arial"/>
          <w:lang w:val="es-CO"/>
        </w:rPr>
        <w:t>gocios en Colombia;</w:t>
      </w:r>
    </w:p>
    <w:p w14:paraId="0F08DCA7" w14:textId="77777777" w:rsidR="00B2442D" w:rsidRDefault="00B2442D">
      <w:pPr>
        <w:ind w:left="426" w:hanging="426"/>
        <w:jc w:val="both"/>
        <w:rPr>
          <w:rFonts w:ascii="Arial" w:hAnsi="Arial" w:cs="Arial"/>
          <w:lang w:val="es-CO"/>
        </w:rPr>
      </w:pPr>
    </w:p>
    <w:p w14:paraId="6205B86D"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Que dicho lugar de negocios cumpla con la condición de ser fijo, es decir, que esté ubicado en un lugar determinado y con cierto grado de permanencia; y</w:t>
      </w:r>
    </w:p>
    <w:p w14:paraId="10810B90" w14:textId="77777777" w:rsidR="00B2442D" w:rsidRDefault="00B2442D">
      <w:pPr>
        <w:ind w:left="426" w:hanging="426"/>
        <w:jc w:val="both"/>
        <w:rPr>
          <w:rFonts w:ascii="Arial" w:hAnsi="Arial" w:cs="Arial"/>
          <w:lang w:val="es-CO"/>
        </w:rPr>
      </w:pPr>
    </w:p>
    <w:p w14:paraId="41A53E3F"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Que a través de dicho lugar fijo de negocios una empresa </w:t>
      </w:r>
      <w:r>
        <w:rPr>
          <w:rFonts w:ascii="Arial" w:hAnsi="Arial" w:cs="Arial"/>
          <w:lang w:val="es-CO"/>
        </w:rPr>
        <w:t>extranjera realice toda o parte de su actividad.</w:t>
      </w:r>
    </w:p>
    <w:p w14:paraId="7B51D3CB" w14:textId="77777777" w:rsidR="00B2442D" w:rsidRDefault="00B2442D">
      <w:pPr>
        <w:jc w:val="both"/>
        <w:rPr>
          <w:rFonts w:ascii="Arial" w:hAnsi="Arial" w:cs="Arial"/>
          <w:lang w:val="es-CO"/>
        </w:rPr>
      </w:pPr>
    </w:p>
    <w:p w14:paraId="0D371BF1" w14:textId="77777777" w:rsidR="00B2442D" w:rsidRDefault="008A645F">
      <w:pPr>
        <w:jc w:val="both"/>
        <w:rPr>
          <w:rFonts w:ascii="Arial" w:hAnsi="Arial" w:cs="Arial"/>
          <w:lang w:val="es-CO"/>
        </w:rPr>
      </w:pPr>
      <w:r>
        <w:rPr>
          <w:rFonts w:ascii="Arial" w:hAnsi="Arial" w:cs="Arial"/>
          <w:lang w:val="es-CO"/>
        </w:rPr>
        <w:t>Se considerará, entre otras situaciones, que existe un lugar de negocios en Colombia en los términos del literal a), cuando una empresa extranjera tenga a su disposición cualquier espacio en el territorio n</w:t>
      </w:r>
      <w:r>
        <w:rPr>
          <w:rFonts w:ascii="Arial" w:hAnsi="Arial" w:cs="Arial"/>
          <w:lang w:val="es-CO"/>
        </w:rPr>
        <w:t>acional, independientemente de que este se utilice o no exclusivamente para la realización de toda o parte de la actividad de la empresa, e independientemente de que la empresa tenga o no un título legal formal que le permita ocupar dicho espacio.</w:t>
      </w:r>
    </w:p>
    <w:p w14:paraId="1637B682" w14:textId="77777777" w:rsidR="00B2442D" w:rsidRDefault="00B2442D">
      <w:pPr>
        <w:jc w:val="both"/>
        <w:rPr>
          <w:rFonts w:ascii="Arial" w:hAnsi="Arial" w:cs="Arial"/>
          <w:lang w:val="es-CO"/>
        </w:rPr>
      </w:pPr>
    </w:p>
    <w:p w14:paraId="7261576A" w14:textId="77777777" w:rsidR="00B2442D" w:rsidRDefault="008A645F">
      <w:pPr>
        <w:jc w:val="both"/>
        <w:rPr>
          <w:rFonts w:ascii="Arial" w:hAnsi="Arial" w:cs="Arial"/>
          <w:i/>
          <w:lang w:val="es-CO"/>
        </w:rPr>
      </w:pPr>
      <w:r>
        <w:rPr>
          <w:rFonts w:ascii="Arial" w:hAnsi="Arial" w:cs="Arial"/>
          <w:i/>
          <w:lang w:val="es-CO"/>
        </w:rPr>
        <w:t>(Art. 2</w:t>
      </w:r>
      <w:r>
        <w:rPr>
          <w:rFonts w:ascii="Arial" w:hAnsi="Arial" w:cs="Arial"/>
          <w:i/>
          <w:lang w:val="es-CO"/>
        </w:rPr>
        <w:t>, Decreto 3026 de 2013)</w:t>
      </w:r>
    </w:p>
    <w:p w14:paraId="1B637492" w14:textId="77777777" w:rsidR="00B2442D" w:rsidRDefault="00B2442D">
      <w:pPr>
        <w:jc w:val="both"/>
        <w:rPr>
          <w:rFonts w:ascii="Arial" w:hAnsi="Arial" w:cs="Arial"/>
          <w:i/>
          <w:lang w:val="es-CO"/>
        </w:rPr>
      </w:pPr>
    </w:p>
    <w:p w14:paraId="517BD0A4"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 xml:space="preserve">Domicilio fiscal de los establecimientos permanentes. </w:t>
      </w:r>
      <w:r>
        <w:rPr>
          <w:rFonts w:ascii="Arial" w:hAnsi="Arial" w:cs="Arial"/>
          <w:lang w:val="es-CO"/>
        </w:rPr>
        <w:t>Para efectos tributarios, el domicilio en el país de los establecimientos permanentes de las personas naturales sin residencia en Colombia y de las sociedades y entidades extran</w:t>
      </w:r>
      <w:r>
        <w:rPr>
          <w:rFonts w:ascii="Arial" w:hAnsi="Arial" w:cs="Arial"/>
          <w:lang w:val="es-CO"/>
        </w:rPr>
        <w:t>jeras, será el que a continuación se señala:</w:t>
      </w:r>
    </w:p>
    <w:p w14:paraId="160007FC" w14:textId="77777777" w:rsidR="00B2442D" w:rsidRDefault="00B2442D">
      <w:pPr>
        <w:jc w:val="both"/>
        <w:rPr>
          <w:rFonts w:ascii="Arial" w:hAnsi="Arial" w:cs="Arial"/>
          <w:lang w:val="es-CO"/>
        </w:rPr>
      </w:pPr>
    </w:p>
    <w:p w14:paraId="1A3F1150" w14:textId="77777777" w:rsidR="00B2442D" w:rsidRDefault="008A645F">
      <w:pPr>
        <w:pStyle w:val="Prrafodelista"/>
        <w:numPr>
          <w:ilvl w:val="0"/>
          <w:numId w:val="13"/>
        </w:numPr>
        <w:ind w:left="0" w:firstLine="0"/>
        <w:jc w:val="both"/>
        <w:rPr>
          <w:rFonts w:ascii="Arial" w:hAnsi="Arial" w:cs="Arial"/>
          <w:lang w:val="es-CO"/>
        </w:rPr>
      </w:pPr>
      <w:r>
        <w:rPr>
          <w:rFonts w:ascii="Arial" w:hAnsi="Arial" w:cs="Arial"/>
          <w:lang w:val="es-CO"/>
        </w:rPr>
        <w:t>En el caso del establecimiento permanente que se configura cuando una persona, distinta de un agente independiente, actúa por cuenta de una empresa extranjera, y tiene o ejerce habitualmente en el territorio na</w:t>
      </w:r>
      <w:r>
        <w:rPr>
          <w:rFonts w:ascii="Arial" w:hAnsi="Arial" w:cs="Arial"/>
          <w:lang w:val="es-CO"/>
        </w:rPr>
        <w:t xml:space="preserve">cional poderes que la facultan para concluir actos o contratos que sean vinculantes para la empresa, el domicilio fiscal del establecimiento permanente será el mismo que dicha persona tenga o esté obligada a tener en el territorio nacional; </w:t>
      </w:r>
    </w:p>
    <w:p w14:paraId="0087D779" w14:textId="77777777" w:rsidR="00B2442D" w:rsidRDefault="00B2442D">
      <w:pPr>
        <w:pStyle w:val="Prrafodelista"/>
        <w:ind w:left="0"/>
        <w:jc w:val="both"/>
        <w:rPr>
          <w:rFonts w:ascii="Arial" w:hAnsi="Arial" w:cs="Arial"/>
          <w:lang w:val="es-CO"/>
        </w:rPr>
      </w:pPr>
    </w:p>
    <w:p w14:paraId="7661F347" w14:textId="77777777" w:rsidR="00B2442D" w:rsidRDefault="008A645F">
      <w:pPr>
        <w:pStyle w:val="Prrafodelista"/>
        <w:numPr>
          <w:ilvl w:val="0"/>
          <w:numId w:val="13"/>
        </w:numPr>
        <w:ind w:left="0" w:firstLine="0"/>
        <w:jc w:val="both"/>
        <w:rPr>
          <w:rFonts w:ascii="Arial" w:hAnsi="Arial" w:cs="Arial"/>
          <w:lang w:val="es-CO"/>
        </w:rPr>
      </w:pPr>
      <w:r>
        <w:rPr>
          <w:rFonts w:ascii="Arial" w:hAnsi="Arial" w:cs="Arial"/>
          <w:lang w:val="es-CO"/>
        </w:rPr>
        <w:t xml:space="preserve">En los demás </w:t>
      </w:r>
      <w:r>
        <w:rPr>
          <w:rFonts w:ascii="Arial" w:hAnsi="Arial" w:cs="Arial"/>
          <w:lang w:val="es-CO"/>
        </w:rPr>
        <w:t>casos, sin perjuicio de lo establecido en artículo 579-1 del Estatuto  Tributario, el domicilio fiscal será aquel que corresponda al lugar principal en el cual la empresa extranjera realiza toda o parte de su actividad en Colombia.</w:t>
      </w:r>
    </w:p>
    <w:p w14:paraId="26BEDF16" w14:textId="77777777" w:rsidR="00B2442D" w:rsidRDefault="00B2442D">
      <w:pPr>
        <w:jc w:val="both"/>
        <w:rPr>
          <w:rFonts w:ascii="Arial" w:hAnsi="Arial" w:cs="Arial"/>
          <w:lang w:val="es-CO"/>
        </w:rPr>
      </w:pPr>
    </w:p>
    <w:p w14:paraId="03810A6A" w14:textId="77777777" w:rsidR="00B2442D" w:rsidRDefault="008A645F">
      <w:pPr>
        <w:jc w:val="both"/>
        <w:rPr>
          <w:rFonts w:ascii="Arial" w:hAnsi="Arial" w:cs="Arial"/>
          <w:i/>
          <w:lang w:val="es-CO"/>
        </w:rPr>
      </w:pPr>
      <w:r>
        <w:rPr>
          <w:rFonts w:ascii="Arial" w:hAnsi="Arial" w:cs="Arial"/>
          <w:i/>
          <w:lang w:val="es-CO"/>
        </w:rPr>
        <w:t>(Art. 5, Decreto 3026 d</w:t>
      </w:r>
      <w:r>
        <w:rPr>
          <w:rFonts w:ascii="Arial" w:hAnsi="Arial" w:cs="Arial"/>
          <w:i/>
          <w:lang w:val="es-CO"/>
        </w:rPr>
        <w:t>e 2013)</w:t>
      </w:r>
    </w:p>
    <w:p w14:paraId="08793990" w14:textId="77777777" w:rsidR="00B2442D" w:rsidRDefault="00B2442D">
      <w:pPr>
        <w:jc w:val="both"/>
        <w:rPr>
          <w:rFonts w:ascii="Arial" w:hAnsi="Arial" w:cs="Arial"/>
          <w:lang w:val="es-CO"/>
        </w:rPr>
      </w:pPr>
    </w:p>
    <w:p w14:paraId="2DA1ED81"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Actividades de carácter exclusivamente auxiliar o preparatorio</w:t>
      </w:r>
      <w:r>
        <w:rPr>
          <w:rFonts w:ascii="Arial" w:hAnsi="Arial" w:cs="Arial"/>
          <w:lang w:val="es-CO"/>
        </w:rPr>
        <w:t>. Se considerará que no existe un establecimiento permanente en Colombia en virtud del artículo 20-1 del Estatuto Tributario cuando, de conformidad con lo establecido en el parágrafo se</w:t>
      </w:r>
      <w:r>
        <w:rPr>
          <w:rFonts w:ascii="Arial" w:hAnsi="Arial" w:cs="Arial"/>
          <w:lang w:val="es-CO"/>
        </w:rPr>
        <w:t>gundo del mismo, una empresa extranjera mantenga un lugar fijo de negocios en Colombia con el único fin de realizar en el país una actividad de carácter exclusivamente auxiliar o preparatorio, tal como:</w:t>
      </w:r>
    </w:p>
    <w:p w14:paraId="38213D70" w14:textId="77777777" w:rsidR="00B2442D" w:rsidRDefault="00B2442D">
      <w:pPr>
        <w:jc w:val="both"/>
        <w:rPr>
          <w:rFonts w:ascii="Arial" w:hAnsi="Arial" w:cs="Arial"/>
          <w:lang w:val="es-CO"/>
        </w:rPr>
      </w:pPr>
    </w:p>
    <w:p w14:paraId="6E3EC7C7"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 xml:space="preserve">La utilización de instalaciones con el único fin </w:t>
      </w:r>
      <w:r>
        <w:rPr>
          <w:rFonts w:ascii="Arial" w:hAnsi="Arial" w:cs="Arial"/>
          <w:lang w:val="es-CO"/>
        </w:rPr>
        <w:t>de almacenar, exponer o entregar bienes o mercancías pertenecientes a la empresa;</w:t>
      </w:r>
    </w:p>
    <w:p w14:paraId="7983122E" w14:textId="77777777" w:rsidR="00B2442D" w:rsidRDefault="00B2442D">
      <w:pPr>
        <w:jc w:val="both"/>
        <w:rPr>
          <w:rFonts w:ascii="Arial" w:hAnsi="Arial" w:cs="Arial"/>
          <w:lang w:val="es-CO"/>
        </w:rPr>
      </w:pPr>
    </w:p>
    <w:p w14:paraId="345D5656"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El mantenimiento de un depósito de bienes o mercancías pertenecientes a la empresa con el único fin de almacenarlas, exponerlas o entregarlas;</w:t>
      </w:r>
    </w:p>
    <w:p w14:paraId="7BC6032C" w14:textId="77777777" w:rsidR="00B2442D" w:rsidRDefault="00B2442D">
      <w:pPr>
        <w:jc w:val="both"/>
        <w:rPr>
          <w:rFonts w:ascii="Arial" w:hAnsi="Arial" w:cs="Arial"/>
          <w:lang w:val="es-CO"/>
        </w:rPr>
      </w:pPr>
    </w:p>
    <w:p w14:paraId="76749855" w14:textId="77777777" w:rsidR="00B2442D" w:rsidRDefault="008A645F">
      <w:pPr>
        <w:jc w:val="both"/>
        <w:rPr>
          <w:rFonts w:ascii="Arial" w:hAnsi="Arial" w:cs="Arial"/>
          <w:lang w:val="es-CO"/>
        </w:rPr>
      </w:pPr>
      <w:r>
        <w:rPr>
          <w:rFonts w:ascii="Arial" w:hAnsi="Arial" w:cs="Arial"/>
          <w:lang w:val="es-CO"/>
        </w:rPr>
        <w:t>c)</w:t>
      </w:r>
      <w:r>
        <w:rPr>
          <w:rFonts w:ascii="Arial" w:hAnsi="Arial" w:cs="Arial"/>
          <w:lang w:val="es-CO"/>
        </w:rPr>
        <w:tab/>
        <w:t xml:space="preserve">El mantenimiento de un </w:t>
      </w:r>
      <w:r>
        <w:rPr>
          <w:rFonts w:ascii="Arial" w:hAnsi="Arial" w:cs="Arial"/>
          <w:lang w:val="es-CO"/>
        </w:rPr>
        <w:t>depósito de bienes o mercancías pertenecientes a la empresa con el único fin de que sean transformadas por otra empresa;</w:t>
      </w:r>
    </w:p>
    <w:p w14:paraId="7204DDB3" w14:textId="77777777" w:rsidR="00B2442D" w:rsidRDefault="00B2442D">
      <w:pPr>
        <w:jc w:val="both"/>
        <w:rPr>
          <w:rFonts w:ascii="Arial" w:hAnsi="Arial" w:cs="Arial"/>
          <w:lang w:val="es-CO"/>
        </w:rPr>
      </w:pPr>
    </w:p>
    <w:p w14:paraId="3FBA20BA" w14:textId="77777777" w:rsidR="00B2442D" w:rsidRDefault="008A645F">
      <w:pPr>
        <w:jc w:val="both"/>
        <w:rPr>
          <w:rFonts w:ascii="Arial" w:hAnsi="Arial" w:cs="Arial"/>
          <w:lang w:val="es-CO"/>
        </w:rPr>
      </w:pPr>
      <w:r>
        <w:rPr>
          <w:rFonts w:ascii="Arial" w:hAnsi="Arial" w:cs="Arial"/>
          <w:lang w:val="es-CO"/>
        </w:rPr>
        <w:t>d)</w:t>
      </w:r>
      <w:r>
        <w:rPr>
          <w:rFonts w:ascii="Arial" w:hAnsi="Arial" w:cs="Arial"/>
          <w:lang w:val="es-CO"/>
        </w:rPr>
        <w:tab/>
        <w:t xml:space="preserve">El mantenimiento de un lugar fijo de negocios con el único fin de comprar bienes o mercancías o de recoger información para la </w:t>
      </w:r>
      <w:r>
        <w:rPr>
          <w:rFonts w:ascii="Arial" w:hAnsi="Arial" w:cs="Arial"/>
          <w:lang w:val="es-CO"/>
        </w:rPr>
        <w:t>empresa;</w:t>
      </w:r>
    </w:p>
    <w:p w14:paraId="62864D6B" w14:textId="77777777" w:rsidR="00B2442D" w:rsidRDefault="00B2442D">
      <w:pPr>
        <w:jc w:val="both"/>
        <w:rPr>
          <w:rFonts w:ascii="Arial" w:hAnsi="Arial" w:cs="Arial"/>
          <w:lang w:val="es-CO"/>
        </w:rPr>
      </w:pPr>
    </w:p>
    <w:p w14:paraId="5554F782" w14:textId="77777777" w:rsidR="00B2442D" w:rsidRDefault="008A645F">
      <w:pPr>
        <w:jc w:val="both"/>
        <w:rPr>
          <w:rFonts w:ascii="Arial" w:hAnsi="Arial" w:cs="Arial"/>
          <w:lang w:val="es-CO"/>
        </w:rPr>
      </w:pPr>
      <w:r>
        <w:rPr>
          <w:rFonts w:ascii="Arial" w:hAnsi="Arial" w:cs="Arial"/>
          <w:lang w:val="es-CO"/>
        </w:rPr>
        <w:t>e)</w:t>
      </w:r>
      <w:r>
        <w:rPr>
          <w:rFonts w:ascii="Arial" w:hAnsi="Arial" w:cs="Arial"/>
          <w:lang w:val="es-CO"/>
        </w:rPr>
        <w:tab/>
        <w:t xml:space="preserve"> El mantenimiento de un lugar fijo de negocios para el desarrollo de actividades meramente promocionales o publicitarias, incluidas las desarrolladas por oficinas de representación de sociedades o entidades extranjeras, siempre que estas no es</w:t>
      </w:r>
      <w:r>
        <w:rPr>
          <w:rFonts w:ascii="Arial" w:hAnsi="Arial" w:cs="Arial"/>
          <w:lang w:val="es-CO"/>
        </w:rPr>
        <w:t>tén habilitadas para comprometer contractualmente a sus representadas en los negocios o contratos cuya celebración promuevan;</w:t>
      </w:r>
    </w:p>
    <w:p w14:paraId="37A816CF" w14:textId="77777777" w:rsidR="00B2442D" w:rsidRDefault="00B2442D">
      <w:pPr>
        <w:jc w:val="both"/>
        <w:rPr>
          <w:rFonts w:ascii="Arial" w:hAnsi="Arial" w:cs="Arial"/>
          <w:lang w:val="es-CO"/>
        </w:rPr>
      </w:pPr>
    </w:p>
    <w:p w14:paraId="467FE235" w14:textId="77777777" w:rsidR="00B2442D" w:rsidRDefault="008A645F">
      <w:pPr>
        <w:jc w:val="both"/>
        <w:rPr>
          <w:rFonts w:ascii="Arial" w:hAnsi="Arial" w:cs="Arial"/>
          <w:lang w:val="es-CO"/>
        </w:rPr>
      </w:pPr>
      <w:r>
        <w:rPr>
          <w:rFonts w:ascii="Arial" w:hAnsi="Arial" w:cs="Arial"/>
          <w:lang w:val="es-CO"/>
        </w:rPr>
        <w:t>f)</w:t>
      </w:r>
      <w:r>
        <w:rPr>
          <w:rFonts w:ascii="Arial" w:hAnsi="Arial" w:cs="Arial"/>
          <w:lang w:val="es-CO"/>
        </w:rPr>
        <w:tab/>
        <w:t>El mantenimiento de un lugar fijo de negocios con el único fin de realizar cualquier combinación de las actividades anteriorme</w:t>
      </w:r>
      <w:r>
        <w:rPr>
          <w:rFonts w:ascii="Arial" w:hAnsi="Arial" w:cs="Arial"/>
          <w:lang w:val="es-CO"/>
        </w:rPr>
        <w:t>nte mencionadas, a condición que tal combinación tenga, a su vez, carácter auxiliar o preparatorio.</w:t>
      </w:r>
    </w:p>
    <w:p w14:paraId="3315F162" w14:textId="77777777" w:rsidR="00B2442D" w:rsidRDefault="00B2442D">
      <w:pPr>
        <w:jc w:val="both"/>
        <w:rPr>
          <w:rFonts w:ascii="Arial" w:hAnsi="Arial" w:cs="Arial"/>
          <w:lang w:val="es-CO"/>
        </w:rPr>
      </w:pPr>
    </w:p>
    <w:p w14:paraId="6BDA062E" w14:textId="77777777" w:rsidR="00B2442D" w:rsidRDefault="008A645F">
      <w:pPr>
        <w:jc w:val="both"/>
        <w:rPr>
          <w:rFonts w:ascii="Arial" w:hAnsi="Arial" w:cs="Arial"/>
          <w:lang w:val="es-CO"/>
        </w:rPr>
      </w:pPr>
      <w:r>
        <w:rPr>
          <w:rFonts w:ascii="Arial" w:hAnsi="Arial" w:cs="Arial"/>
          <w:lang w:val="es-CO"/>
        </w:rPr>
        <w:t>En cualquier caso, no se considerarán de carácter exclusivamente auxiliar o preparatorio la actividad o conjunto de actividades que constituyan parte esenc</w:t>
      </w:r>
      <w:r>
        <w:rPr>
          <w:rFonts w:ascii="Arial" w:hAnsi="Arial" w:cs="Arial"/>
          <w:lang w:val="es-CO"/>
        </w:rPr>
        <w:t>ial, significativa o principal de la actividad o conjunto de actividades de la empresa extranjera.</w:t>
      </w:r>
    </w:p>
    <w:p w14:paraId="262BFACA" w14:textId="77777777" w:rsidR="00B2442D" w:rsidRDefault="00B2442D">
      <w:pPr>
        <w:jc w:val="both"/>
        <w:rPr>
          <w:rFonts w:ascii="Arial" w:hAnsi="Arial" w:cs="Arial"/>
          <w:lang w:val="es-CO"/>
        </w:rPr>
      </w:pPr>
    </w:p>
    <w:p w14:paraId="0040D667" w14:textId="77777777" w:rsidR="00B2442D" w:rsidRDefault="008A645F">
      <w:pPr>
        <w:jc w:val="both"/>
        <w:rPr>
          <w:rFonts w:ascii="Arial" w:hAnsi="Arial" w:cs="Arial"/>
          <w:i/>
          <w:lang w:val="es-CO"/>
        </w:rPr>
      </w:pPr>
      <w:r>
        <w:rPr>
          <w:rFonts w:ascii="Arial" w:hAnsi="Arial" w:cs="Arial"/>
          <w:i/>
          <w:lang w:val="es-CO"/>
        </w:rPr>
        <w:t>(Art. 3, Decreto 3026 de 2013)</w:t>
      </w:r>
    </w:p>
    <w:p w14:paraId="526DD7AD" w14:textId="77777777" w:rsidR="00B2442D" w:rsidRDefault="00B2442D">
      <w:pPr>
        <w:jc w:val="both"/>
        <w:rPr>
          <w:rFonts w:ascii="Arial" w:hAnsi="Arial" w:cs="Arial"/>
          <w:lang w:val="es-CO"/>
        </w:rPr>
      </w:pPr>
    </w:p>
    <w:p w14:paraId="5AF7F2C5" w14:textId="77777777" w:rsidR="00B2442D" w:rsidRDefault="008A645F">
      <w:pPr>
        <w:pStyle w:val="Prrafodelista"/>
        <w:numPr>
          <w:ilvl w:val="0"/>
          <w:numId w:val="18"/>
        </w:numPr>
        <w:ind w:left="0" w:firstLine="0"/>
        <w:jc w:val="both"/>
        <w:rPr>
          <w:rFonts w:ascii="Arial" w:hAnsi="Arial" w:cs="Arial"/>
          <w:lang w:val="es-CO"/>
        </w:rPr>
      </w:pPr>
      <w:r>
        <w:rPr>
          <w:rFonts w:ascii="Arial" w:hAnsi="Arial" w:cs="Arial"/>
          <w:b/>
          <w:i/>
          <w:lang w:val="es-CO"/>
        </w:rPr>
        <w:t>Sociedades o entidades consideradas nacionales por tener su sede efectiva de administración en el territorio colombiano.</w:t>
      </w:r>
      <w:r>
        <w:rPr>
          <w:rFonts w:ascii="Arial" w:hAnsi="Arial" w:cs="Arial"/>
          <w:lang w:val="es-CO"/>
        </w:rPr>
        <w:t xml:space="preserve"> Sin</w:t>
      </w:r>
      <w:r>
        <w:rPr>
          <w:rFonts w:ascii="Arial" w:hAnsi="Arial" w:cs="Arial"/>
          <w:lang w:val="es-CO"/>
        </w:rPr>
        <w:t xml:space="preserve"> perjuicio de la aplicación de las normas legales y antecedentes jurisprudenciales relativos a abuso en materia tributaria, las sociedades o entidades que sean consideradas nacionales por tener su sede efectiva de administración en el territorio colombiano</w:t>
      </w:r>
      <w:r>
        <w:rPr>
          <w:rFonts w:ascii="Arial" w:hAnsi="Arial" w:cs="Arial"/>
          <w:lang w:val="es-CO"/>
        </w:rPr>
        <w:t>, no serán consideradas extranjeras, para todos los efectos fiscales, desde el momento en que, de conformidad con lo establecido en el artículo 12-1 del Estatuto Tributario, tengan su sede efectiva de administración en el territorio nacional.</w:t>
      </w:r>
    </w:p>
    <w:p w14:paraId="75295F82" w14:textId="77777777" w:rsidR="00B2442D" w:rsidRDefault="00B2442D">
      <w:pPr>
        <w:jc w:val="both"/>
        <w:rPr>
          <w:rFonts w:ascii="Arial" w:hAnsi="Arial" w:cs="Arial"/>
          <w:lang w:val="es-CO"/>
        </w:rPr>
      </w:pPr>
    </w:p>
    <w:p w14:paraId="4F41E64D" w14:textId="77777777" w:rsidR="00B2442D" w:rsidRDefault="008A645F">
      <w:pPr>
        <w:jc w:val="both"/>
        <w:rPr>
          <w:rFonts w:ascii="Arial" w:hAnsi="Arial" w:cs="Arial"/>
          <w:lang w:val="es-CO"/>
        </w:rPr>
      </w:pPr>
      <w:r>
        <w:rPr>
          <w:rFonts w:ascii="Arial" w:hAnsi="Arial" w:cs="Arial"/>
          <w:lang w:val="es-CO"/>
        </w:rPr>
        <w:t>A las socied</w:t>
      </w:r>
      <w:r>
        <w:rPr>
          <w:rFonts w:ascii="Arial" w:hAnsi="Arial" w:cs="Arial"/>
          <w:lang w:val="es-CO"/>
        </w:rPr>
        <w:t xml:space="preserve">ades y entidades a las que se refiere este artículo se les aplicará el régimen tributario consagrado para las sociedades limitadas o anónimas, según el tipo societario colombiano que más se asimile a la sociedad o entidad en cuestión, debiendo así cumplir </w:t>
      </w:r>
      <w:r>
        <w:rPr>
          <w:rFonts w:ascii="Arial" w:hAnsi="Arial" w:cs="Arial"/>
          <w:lang w:val="es-CO"/>
        </w:rPr>
        <w:t>con todas las obligaciones fiscales establecidas para ellas, desde el momento de la configuración de su sede efectiva de administración en el territorio nacional.</w:t>
      </w:r>
    </w:p>
    <w:p w14:paraId="2E2CFD5A" w14:textId="77777777" w:rsidR="00B2442D" w:rsidRDefault="00B2442D">
      <w:pPr>
        <w:jc w:val="both"/>
        <w:rPr>
          <w:rFonts w:ascii="Arial" w:hAnsi="Arial" w:cs="Arial"/>
          <w:lang w:val="es-CO"/>
        </w:rPr>
      </w:pPr>
    </w:p>
    <w:p w14:paraId="0F00365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determinación de la sede efectiva de administración a la que se refiere el ter</w:t>
      </w:r>
      <w:r>
        <w:rPr>
          <w:rFonts w:ascii="Arial" w:hAnsi="Arial" w:cs="Arial"/>
          <w:lang w:val="es-CO"/>
        </w:rPr>
        <w:t>cer parágrafo del artículo 12-1 del Estatuto Tributario será declarativa y no constitutiva.</w:t>
      </w:r>
    </w:p>
    <w:p w14:paraId="1630AC5A" w14:textId="77777777" w:rsidR="00B2442D" w:rsidRDefault="00B2442D">
      <w:pPr>
        <w:jc w:val="both"/>
        <w:rPr>
          <w:rFonts w:ascii="Arial" w:hAnsi="Arial" w:cs="Arial"/>
          <w:lang w:val="es-CO"/>
        </w:rPr>
      </w:pPr>
    </w:p>
    <w:p w14:paraId="6450B3E3" w14:textId="77777777" w:rsidR="00B2442D" w:rsidRDefault="008A645F">
      <w:pPr>
        <w:jc w:val="both"/>
        <w:rPr>
          <w:rFonts w:ascii="Arial" w:hAnsi="Arial" w:cs="Arial"/>
          <w:lang w:val="es-CO"/>
        </w:rPr>
      </w:pPr>
      <w:r>
        <w:rPr>
          <w:rFonts w:ascii="Arial" w:hAnsi="Arial" w:cs="Arial"/>
          <w:b/>
          <w:lang w:val="es-CO"/>
        </w:rPr>
        <w:t>Parágrafo transitorio.</w:t>
      </w:r>
      <w:r>
        <w:rPr>
          <w:rFonts w:ascii="Arial" w:hAnsi="Arial" w:cs="Arial"/>
          <w:lang w:val="es-CO"/>
        </w:rPr>
        <w:t xml:space="preserve"> Sin perjuicio del cumplimento de las obligaciones sustanciales contenidas en el Estatuto Tributario, las sociedades y entidades cuya sede ef</w:t>
      </w:r>
      <w:r>
        <w:rPr>
          <w:rFonts w:ascii="Arial" w:hAnsi="Arial" w:cs="Arial"/>
          <w:lang w:val="es-CO"/>
        </w:rPr>
        <w:t>ectiva de administración se encuentre en el territorio colombiano y que no hayan sido constituidas en Colombia y/o no tengan su domicilio principal en el territorio colombiano deberán cumplir con todas las obligaciones formales inherentes a su calidad de s</w:t>
      </w:r>
      <w:r>
        <w:rPr>
          <w:rFonts w:ascii="Arial" w:hAnsi="Arial" w:cs="Arial"/>
          <w:lang w:val="es-CO"/>
        </w:rPr>
        <w:t>ociedades nacionales con respecto al año gravable 2013 únicamente a partir de su inscripción en el Registro Único Tributario (RUT) como sociedades o entidades nacionales.</w:t>
      </w:r>
    </w:p>
    <w:p w14:paraId="0711F857" w14:textId="77777777" w:rsidR="00B2442D" w:rsidRDefault="00B2442D">
      <w:pPr>
        <w:jc w:val="both"/>
        <w:rPr>
          <w:rFonts w:ascii="Arial" w:hAnsi="Arial" w:cs="Arial"/>
          <w:lang w:val="es-CO"/>
        </w:rPr>
      </w:pPr>
    </w:p>
    <w:p w14:paraId="5770D228" w14:textId="77777777" w:rsidR="00B2442D" w:rsidRDefault="008A645F">
      <w:pPr>
        <w:jc w:val="both"/>
        <w:rPr>
          <w:rFonts w:ascii="Arial" w:hAnsi="Arial" w:cs="Arial"/>
          <w:i/>
          <w:lang w:val="es-CO"/>
        </w:rPr>
      </w:pPr>
      <w:r>
        <w:rPr>
          <w:rFonts w:ascii="Arial" w:hAnsi="Arial" w:cs="Arial"/>
          <w:i/>
          <w:lang w:val="es-CO"/>
        </w:rPr>
        <w:t>(Art. 8, Decreto 3028 de 2013)</w:t>
      </w:r>
    </w:p>
    <w:p w14:paraId="1E3B3D59" w14:textId="77777777" w:rsidR="00B2442D" w:rsidRDefault="00B2442D">
      <w:pPr>
        <w:jc w:val="both"/>
        <w:rPr>
          <w:rFonts w:ascii="Arial" w:hAnsi="Arial" w:cs="Arial"/>
          <w:i/>
          <w:lang w:val="es-CO"/>
        </w:rPr>
      </w:pPr>
    </w:p>
    <w:p w14:paraId="61AD39A0" w14:textId="77777777" w:rsidR="00B2442D" w:rsidRDefault="008A645F">
      <w:pPr>
        <w:pStyle w:val="Ttulo4"/>
      </w:pPr>
      <w:r>
        <w:t>CAPÍTULO 4</w:t>
      </w:r>
    </w:p>
    <w:p w14:paraId="4D88951A" w14:textId="77777777" w:rsidR="00B2442D" w:rsidRDefault="008A645F">
      <w:pPr>
        <w:pStyle w:val="Ttulo4"/>
      </w:pPr>
      <w:r>
        <w:t xml:space="preserve">No contribuyentes del impuesto sobre la </w:t>
      </w:r>
      <w:r>
        <w:t>renta</w:t>
      </w:r>
    </w:p>
    <w:p w14:paraId="0BCCE874" w14:textId="77777777" w:rsidR="00B2442D" w:rsidRDefault="00B2442D">
      <w:pPr>
        <w:rPr>
          <w:rFonts w:ascii="Arial" w:hAnsi="Arial" w:cs="Arial"/>
        </w:rPr>
      </w:pPr>
    </w:p>
    <w:p w14:paraId="4EFE7418" w14:textId="77777777" w:rsidR="00B2442D" w:rsidRDefault="008A645F">
      <w:pPr>
        <w:pStyle w:val="Prrafodelista"/>
        <w:numPr>
          <w:ilvl w:val="0"/>
          <w:numId w:val="19"/>
        </w:numPr>
        <w:ind w:left="0" w:firstLine="0"/>
        <w:jc w:val="both"/>
        <w:rPr>
          <w:rFonts w:ascii="Arial" w:hAnsi="Arial" w:cs="Arial"/>
          <w:lang w:val="es-CO"/>
        </w:rPr>
      </w:pPr>
      <w:r>
        <w:rPr>
          <w:rFonts w:ascii="Arial" w:hAnsi="Arial" w:cs="Arial"/>
          <w:b/>
          <w:i/>
          <w:lang w:val="es-CO"/>
        </w:rPr>
        <w:t>Entidades de salud no contribuyentes.</w:t>
      </w:r>
      <w:r>
        <w:rPr>
          <w:rFonts w:ascii="Arial" w:hAnsi="Arial" w:cs="Arial"/>
          <w:lang w:val="es-CO"/>
        </w:rPr>
        <w:t xml:space="preserve"> No son contribuyentes del impuesto sobre la renta, los hospitales que estén constituidos como personas jurídicas sin ánimo de lucro, y las entidades sin ánimo de lucro cuyo objeto principal sea la prestación de servicios de salud, siempre y cuando obtenga</w:t>
      </w:r>
      <w:r>
        <w:rPr>
          <w:rFonts w:ascii="Arial" w:hAnsi="Arial" w:cs="Arial"/>
          <w:lang w:val="es-CO"/>
        </w:rPr>
        <w:t>n el permiso de funcionamiento del Ministerio de Salud y Protección Social directamente o a través de la Superintendencia Nacional de Salud y destinen la totalidad de los excedentes que obtengan a programas de salud conforme a lo establecido en los artícul</w:t>
      </w:r>
      <w:r>
        <w:rPr>
          <w:rFonts w:ascii="Arial" w:hAnsi="Arial" w:cs="Arial"/>
          <w:lang w:val="es-CO"/>
        </w:rPr>
        <w:t>os 1.3.1.13.13 al 1.3.1.13.15, 1.2.1.22.2, 1.2.1.22.3, 1.2.1.4.2, 1.2.1.18.14, 1.4.1.7.7, 1.4.1.7.8 y del 1.2.4.1.9 al 1.2.4.1.11 del presente Decreto.</w:t>
      </w:r>
    </w:p>
    <w:p w14:paraId="12B8A147" w14:textId="77777777" w:rsidR="00B2442D" w:rsidRDefault="00B2442D">
      <w:pPr>
        <w:jc w:val="both"/>
        <w:rPr>
          <w:rFonts w:ascii="Arial" w:hAnsi="Arial" w:cs="Arial"/>
          <w:i/>
          <w:lang w:val="es-CO"/>
        </w:rPr>
      </w:pPr>
    </w:p>
    <w:p w14:paraId="500FCB20" w14:textId="77777777" w:rsidR="00B2442D" w:rsidRDefault="008A645F">
      <w:pPr>
        <w:jc w:val="both"/>
        <w:rPr>
          <w:rFonts w:ascii="Arial" w:hAnsi="Arial" w:cs="Arial"/>
          <w:i/>
          <w:lang w:val="es-CO"/>
        </w:rPr>
      </w:pPr>
      <w:r>
        <w:rPr>
          <w:rFonts w:ascii="Arial" w:hAnsi="Arial" w:cs="Arial"/>
          <w:i/>
          <w:lang w:val="es-CO"/>
        </w:rPr>
        <w:t>(Art. 6, Decreto 841 de 1998)</w:t>
      </w:r>
      <w:r>
        <w:rPr>
          <w:rFonts w:ascii="Arial" w:hAnsi="Arial" w:cs="Arial"/>
        </w:rPr>
        <w:t xml:space="preserve"> (</w:t>
      </w:r>
      <w:r>
        <w:rPr>
          <w:rFonts w:ascii="Arial" w:hAnsi="Arial" w:cs="Arial"/>
          <w:i/>
          <w:lang w:val="es-CO"/>
        </w:rPr>
        <w:t>El Decreto 841 de 1998 rige a partir del primero de mayo y deroga el Dec</w:t>
      </w:r>
      <w:r>
        <w:rPr>
          <w:rFonts w:ascii="Arial" w:hAnsi="Arial" w:cs="Arial"/>
          <w:i/>
          <w:lang w:val="es-CO"/>
        </w:rPr>
        <w:t>reto 163 de 1997, y las demás normas que le sean contrarias. Art. 24, Decreto 841 de 1998)</w:t>
      </w:r>
    </w:p>
    <w:p w14:paraId="08F07C85" w14:textId="77777777" w:rsidR="00B2442D" w:rsidRDefault="00B2442D">
      <w:pPr>
        <w:jc w:val="both"/>
        <w:rPr>
          <w:rFonts w:ascii="Arial" w:hAnsi="Arial" w:cs="Arial"/>
          <w:lang w:val="es-CO"/>
        </w:rPr>
      </w:pPr>
    </w:p>
    <w:p w14:paraId="0CE5B164" w14:textId="77777777" w:rsidR="00B2442D" w:rsidRDefault="008A645F">
      <w:pPr>
        <w:pStyle w:val="Prrafodelista"/>
        <w:numPr>
          <w:ilvl w:val="0"/>
          <w:numId w:val="19"/>
        </w:numPr>
        <w:ind w:left="0" w:firstLine="0"/>
        <w:jc w:val="both"/>
        <w:rPr>
          <w:rFonts w:ascii="Arial" w:hAnsi="Arial" w:cs="Arial"/>
          <w:lang w:val="es-CO"/>
        </w:rPr>
      </w:pPr>
      <w:r>
        <w:rPr>
          <w:rFonts w:ascii="Arial" w:hAnsi="Arial" w:cs="Arial"/>
          <w:b/>
          <w:i/>
          <w:lang w:val="es-CO"/>
        </w:rPr>
        <w:t>Forma de acreditar la destinación de los excedentes.</w:t>
      </w:r>
      <w:r>
        <w:rPr>
          <w:rFonts w:ascii="Arial" w:hAnsi="Arial" w:cs="Arial"/>
          <w:lang w:val="es-CO"/>
        </w:rPr>
        <w:t xml:space="preserve"> Para efectos de ser consideradas como no contribuyentes, las entidades sin ánimo de lucro a que se refiere el a</w:t>
      </w:r>
      <w:r>
        <w:rPr>
          <w:rFonts w:ascii="Arial" w:hAnsi="Arial" w:cs="Arial"/>
          <w:lang w:val="es-CO"/>
        </w:rPr>
        <w:t xml:space="preserve">rtículo 1.2.1.4.1 del presente decreto, que presten servicios de salud acreditarán anualmente ante la Administración de Impuestos y Aduanas Nacionales correspondiente, antes del treinta (30) de marzo de cada año gravable, el cumplimiento de los requisitos </w:t>
      </w:r>
      <w:r>
        <w:rPr>
          <w:rFonts w:ascii="Arial" w:hAnsi="Arial" w:cs="Arial"/>
          <w:lang w:val="es-CO"/>
        </w:rPr>
        <w:t xml:space="preserve">legales de la siguiente forma: </w:t>
      </w:r>
    </w:p>
    <w:p w14:paraId="62D31035" w14:textId="77777777" w:rsidR="00B2442D" w:rsidRDefault="008A645F">
      <w:pPr>
        <w:jc w:val="both"/>
        <w:rPr>
          <w:rFonts w:ascii="Arial" w:hAnsi="Arial" w:cs="Arial"/>
          <w:lang w:val="es-CO"/>
        </w:rPr>
      </w:pPr>
      <w:r>
        <w:rPr>
          <w:rFonts w:ascii="Arial" w:hAnsi="Arial" w:cs="Arial"/>
          <w:lang w:val="es-CO"/>
        </w:rPr>
        <w:t xml:space="preserve"> </w:t>
      </w:r>
    </w:p>
    <w:p w14:paraId="5621BB03" w14:textId="77777777" w:rsidR="00B2442D" w:rsidRDefault="008A645F">
      <w:pPr>
        <w:jc w:val="both"/>
        <w:rPr>
          <w:rFonts w:ascii="Arial" w:hAnsi="Arial" w:cs="Arial"/>
          <w:lang w:val="es-CO"/>
        </w:rPr>
      </w:pPr>
      <w:r>
        <w:rPr>
          <w:rFonts w:ascii="Arial" w:hAnsi="Arial" w:cs="Arial"/>
          <w:lang w:val="es-CO"/>
        </w:rPr>
        <w:t xml:space="preserve">1. Presentando los documentos que acrediten la existencia y representación legal de la entidad, su objeto principal y el permiso de funcionamiento. </w:t>
      </w:r>
    </w:p>
    <w:p w14:paraId="6710424C" w14:textId="77777777" w:rsidR="00B2442D" w:rsidRDefault="00B2442D">
      <w:pPr>
        <w:jc w:val="both"/>
        <w:rPr>
          <w:rFonts w:ascii="Arial" w:hAnsi="Arial" w:cs="Arial"/>
          <w:lang w:val="es-CO"/>
        </w:rPr>
      </w:pPr>
    </w:p>
    <w:p w14:paraId="75CC4023" w14:textId="77777777" w:rsidR="00B2442D" w:rsidRDefault="008A645F">
      <w:pPr>
        <w:jc w:val="both"/>
        <w:rPr>
          <w:rFonts w:ascii="Arial" w:hAnsi="Arial" w:cs="Arial"/>
          <w:lang w:val="es-CO"/>
        </w:rPr>
      </w:pPr>
      <w:r>
        <w:rPr>
          <w:rFonts w:ascii="Arial" w:hAnsi="Arial" w:cs="Arial"/>
          <w:lang w:val="es-CO"/>
        </w:rPr>
        <w:t>2. Presentando el acta de la asamblea general de la entidad u órgano dir</w:t>
      </w:r>
      <w:r>
        <w:rPr>
          <w:rFonts w:ascii="Arial" w:hAnsi="Arial" w:cs="Arial"/>
          <w:lang w:val="es-CO"/>
        </w:rPr>
        <w:t>ectivo competente que haga sus veces, en la cual conste la aprobación de destinar a programas de salud la totalidad de los excedentes obtenidos el año inmediatamente anterior a la solicitud, así como el compromiso de destinar para el mismo objeto los exced</w:t>
      </w:r>
      <w:r>
        <w:rPr>
          <w:rFonts w:ascii="Arial" w:hAnsi="Arial" w:cs="Arial"/>
          <w:lang w:val="es-CO"/>
        </w:rPr>
        <w:t xml:space="preserve">entes que se obtengan durante el año gravable en que se presenta la solicitud. </w:t>
      </w:r>
    </w:p>
    <w:p w14:paraId="37C57973" w14:textId="77777777" w:rsidR="00B2442D" w:rsidRDefault="00B2442D">
      <w:pPr>
        <w:jc w:val="both"/>
        <w:rPr>
          <w:rFonts w:ascii="Arial" w:hAnsi="Arial" w:cs="Arial"/>
          <w:lang w:val="es-CO"/>
        </w:rPr>
      </w:pPr>
    </w:p>
    <w:p w14:paraId="2DD0F8A3" w14:textId="77777777" w:rsidR="00B2442D" w:rsidRDefault="008A645F">
      <w:pPr>
        <w:jc w:val="both"/>
        <w:rPr>
          <w:rFonts w:ascii="Arial" w:hAnsi="Arial" w:cs="Arial"/>
          <w:lang w:val="es-CO"/>
        </w:rPr>
      </w:pPr>
      <w:r>
        <w:rPr>
          <w:rFonts w:ascii="Arial" w:hAnsi="Arial" w:cs="Arial"/>
          <w:lang w:val="es-CO"/>
        </w:rPr>
        <w:t xml:space="preserve">3. Para los efectos aquí previstos se considerará que la totalidad de los excedentes son destinados a programas de salud cuando: </w:t>
      </w:r>
    </w:p>
    <w:p w14:paraId="44DF401C" w14:textId="77777777" w:rsidR="00B2442D" w:rsidRDefault="008A645F">
      <w:pPr>
        <w:jc w:val="both"/>
        <w:rPr>
          <w:rFonts w:ascii="Arial" w:hAnsi="Arial" w:cs="Arial"/>
          <w:lang w:val="es-CO"/>
        </w:rPr>
      </w:pPr>
      <w:r>
        <w:rPr>
          <w:rFonts w:ascii="Arial" w:hAnsi="Arial" w:cs="Arial"/>
          <w:lang w:val="es-CO"/>
        </w:rPr>
        <w:t xml:space="preserve"> </w:t>
      </w:r>
    </w:p>
    <w:p w14:paraId="43AB432B" w14:textId="77777777" w:rsidR="00B2442D" w:rsidRDefault="008A645F">
      <w:pPr>
        <w:jc w:val="both"/>
        <w:rPr>
          <w:rFonts w:ascii="Arial" w:hAnsi="Arial" w:cs="Arial"/>
          <w:lang w:val="es-CO"/>
        </w:rPr>
      </w:pPr>
      <w:r>
        <w:rPr>
          <w:rFonts w:ascii="Arial" w:hAnsi="Arial" w:cs="Arial"/>
          <w:lang w:val="es-CO"/>
        </w:rPr>
        <w:t>a) Se destinen por el órgano competente den</w:t>
      </w:r>
      <w:r>
        <w:rPr>
          <w:rFonts w:ascii="Arial" w:hAnsi="Arial" w:cs="Arial"/>
          <w:lang w:val="es-CO"/>
        </w:rPr>
        <w:t xml:space="preserve">tro del año siguiente al de su obtención para continuar ejecutando directamente los programas de salud, que de acuerdo con las disposiciones legales y estatutarias, según sea el caso, le corresponda adelantar; </w:t>
      </w:r>
    </w:p>
    <w:p w14:paraId="1C3CB006" w14:textId="77777777" w:rsidR="00B2442D" w:rsidRDefault="00B2442D">
      <w:pPr>
        <w:jc w:val="both"/>
        <w:rPr>
          <w:rFonts w:ascii="Arial" w:hAnsi="Arial" w:cs="Arial"/>
          <w:lang w:val="es-CO"/>
        </w:rPr>
      </w:pPr>
    </w:p>
    <w:p w14:paraId="5F39A321" w14:textId="77777777" w:rsidR="00B2442D" w:rsidRDefault="008A645F">
      <w:pPr>
        <w:jc w:val="both"/>
        <w:rPr>
          <w:rFonts w:ascii="Arial" w:hAnsi="Arial" w:cs="Arial"/>
          <w:lang w:val="es-CO"/>
        </w:rPr>
      </w:pPr>
      <w:r>
        <w:rPr>
          <w:rFonts w:ascii="Arial" w:hAnsi="Arial" w:cs="Arial"/>
          <w:lang w:val="es-CO"/>
        </w:rPr>
        <w:t>b) Se constituyan con ellos reservas para la</w:t>
      </w:r>
      <w:r>
        <w:rPr>
          <w:rFonts w:ascii="Arial" w:hAnsi="Arial" w:cs="Arial"/>
          <w:lang w:val="es-CO"/>
        </w:rPr>
        <w:t xml:space="preserve"> adquisición de activos fijos destinados a garantizar o desarrollar actividades de salud que formen parte de los planes a su cargo; </w:t>
      </w:r>
    </w:p>
    <w:p w14:paraId="413417BC" w14:textId="77777777" w:rsidR="00B2442D" w:rsidRDefault="00B2442D">
      <w:pPr>
        <w:jc w:val="both"/>
        <w:rPr>
          <w:rFonts w:ascii="Arial" w:hAnsi="Arial" w:cs="Arial"/>
          <w:lang w:val="es-CO"/>
        </w:rPr>
      </w:pPr>
    </w:p>
    <w:p w14:paraId="067F4C9C" w14:textId="77777777" w:rsidR="00B2442D" w:rsidRDefault="008A645F">
      <w:pPr>
        <w:jc w:val="both"/>
        <w:rPr>
          <w:rFonts w:ascii="Arial" w:hAnsi="Arial" w:cs="Arial"/>
          <w:lang w:val="es-CO"/>
        </w:rPr>
      </w:pPr>
      <w:r>
        <w:rPr>
          <w:rFonts w:ascii="Arial" w:hAnsi="Arial" w:cs="Arial"/>
          <w:lang w:val="es-CO"/>
        </w:rPr>
        <w:t xml:space="preserve">c) Se aumente con ellos el patrimonio o fondo social de la entidad y los recursos correspondientes se destinen a salud. </w:t>
      </w:r>
    </w:p>
    <w:p w14:paraId="5CAAB0D2" w14:textId="77777777" w:rsidR="00B2442D" w:rsidRDefault="008A645F">
      <w:pPr>
        <w:jc w:val="both"/>
        <w:rPr>
          <w:rFonts w:ascii="Arial" w:hAnsi="Arial" w:cs="Arial"/>
          <w:lang w:val="es-CO"/>
        </w:rPr>
      </w:pPr>
      <w:r>
        <w:rPr>
          <w:rFonts w:ascii="Arial" w:hAnsi="Arial" w:cs="Arial"/>
          <w:lang w:val="es-CO"/>
        </w:rPr>
        <w:t xml:space="preserve"> </w:t>
      </w:r>
    </w:p>
    <w:p w14:paraId="1B4E5251"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Tratándose de entidades sin ánimo de lucro constituidas durante el mismo año gravable en el cual se presenta la solicitud, la exigencia prevista en el numeral 2° del presente artículo se considera cumplida con la sola presentación del acta d</w:t>
      </w:r>
      <w:r>
        <w:rPr>
          <w:rFonts w:ascii="Arial" w:hAnsi="Arial" w:cs="Arial"/>
          <w:lang w:val="es-CO"/>
        </w:rPr>
        <w:t xml:space="preserve">el órgano de decisión competente en la cual se haga constar el compromiso de destinar la totalidad de los excedentes que se obtengan durante ese año gravable al desarrollo de programas de salud. </w:t>
      </w:r>
    </w:p>
    <w:p w14:paraId="26B8A1BA" w14:textId="77777777" w:rsidR="00B2442D" w:rsidRDefault="008A645F">
      <w:pPr>
        <w:jc w:val="both"/>
        <w:rPr>
          <w:rFonts w:ascii="Arial" w:hAnsi="Arial" w:cs="Arial"/>
          <w:lang w:val="es-CO"/>
        </w:rPr>
      </w:pPr>
      <w:r>
        <w:rPr>
          <w:rFonts w:ascii="Arial" w:hAnsi="Arial" w:cs="Arial"/>
          <w:lang w:val="es-CO"/>
        </w:rPr>
        <w:t xml:space="preserve"> </w:t>
      </w:r>
    </w:p>
    <w:p w14:paraId="14212E2C"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Las entidades sin ánimo de lucro que no dest</w:t>
      </w:r>
      <w:r>
        <w:rPr>
          <w:rFonts w:ascii="Arial" w:hAnsi="Arial" w:cs="Arial"/>
          <w:lang w:val="es-CO"/>
        </w:rPr>
        <w:t>inen la totalidad de sus excedentes de conformidad con lo dispuesto en el presente artículo se someterán al régimen tributario que corresponda según el caso.</w:t>
      </w:r>
    </w:p>
    <w:p w14:paraId="57F4FA0B" w14:textId="77777777" w:rsidR="00B2442D" w:rsidRDefault="00B2442D">
      <w:pPr>
        <w:jc w:val="both"/>
        <w:rPr>
          <w:rFonts w:ascii="Arial" w:hAnsi="Arial" w:cs="Arial"/>
          <w:i/>
          <w:lang w:val="es-CO"/>
        </w:rPr>
      </w:pPr>
    </w:p>
    <w:p w14:paraId="6C294A57" w14:textId="77777777" w:rsidR="00B2442D" w:rsidRDefault="008A645F">
      <w:pPr>
        <w:jc w:val="both"/>
        <w:rPr>
          <w:rFonts w:ascii="Arial" w:hAnsi="Arial" w:cs="Arial"/>
          <w:i/>
          <w:lang w:val="es-CO"/>
        </w:rPr>
      </w:pPr>
      <w:r>
        <w:rPr>
          <w:rFonts w:ascii="Arial" w:hAnsi="Arial" w:cs="Arial"/>
          <w:i/>
          <w:lang w:val="es-CO"/>
        </w:rPr>
        <w:t>(Art. 8, Decreto 841 de 1998)</w:t>
      </w:r>
      <w:r>
        <w:rPr>
          <w:rFonts w:ascii="Arial" w:hAnsi="Arial" w:cs="Arial"/>
        </w:rPr>
        <w:t xml:space="preserve"> </w:t>
      </w:r>
      <w:r>
        <w:rPr>
          <w:rFonts w:ascii="Arial" w:hAnsi="Arial" w:cs="Arial"/>
          <w:i/>
          <w:lang w:val="es-CO"/>
        </w:rPr>
        <w:t xml:space="preserve">(El Decreto 841 de 1998 rige a partir del primero de mayo y deroga </w:t>
      </w:r>
      <w:r>
        <w:rPr>
          <w:rFonts w:ascii="Arial" w:hAnsi="Arial" w:cs="Arial"/>
          <w:i/>
          <w:lang w:val="es-CO"/>
        </w:rPr>
        <w:t>el Decreto 163 de 1997, y las demás normas que le sean contrarias. Art. 24, Decreto 841 de 1998)</w:t>
      </w:r>
    </w:p>
    <w:p w14:paraId="0715DD5A" w14:textId="77777777" w:rsidR="00B2442D" w:rsidRDefault="00B2442D">
      <w:pPr>
        <w:jc w:val="both"/>
        <w:rPr>
          <w:rFonts w:ascii="Arial" w:hAnsi="Arial" w:cs="Arial"/>
          <w:b/>
          <w:lang w:val="es-CO"/>
        </w:rPr>
      </w:pPr>
    </w:p>
    <w:p w14:paraId="6CD96EFA" w14:textId="77777777" w:rsidR="00B2442D" w:rsidRDefault="008A645F">
      <w:pPr>
        <w:pStyle w:val="Ttulo4"/>
      </w:pPr>
      <w:r>
        <w:t>CAPÍTULO 5</w:t>
      </w:r>
    </w:p>
    <w:p w14:paraId="6C83703E" w14:textId="77777777" w:rsidR="00B2442D" w:rsidRDefault="008A645F">
      <w:pPr>
        <w:pStyle w:val="Ttulo4"/>
      </w:pPr>
      <w:r>
        <w:t xml:space="preserve">Contribuyentes del régimen tributario especial </w:t>
      </w:r>
    </w:p>
    <w:p w14:paraId="0975EB72" w14:textId="77777777" w:rsidR="00B2442D" w:rsidRDefault="00B2442D">
      <w:pPr>
        <w:rPr>
          <w:rFonts w:ascii="Arial" w:hAnsi="Arial" w:cs="Arial"/>
        </w:rPr>
      </w:pPr>
    </w:p>
    <w:p w14:paraId="0BD61DB4"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Contribuyentes con régimen tributario especial.</w:t>
      </w:r>
      <w:r>
        <w:rPr>
          <w:rFonts w:ascii="Arial" w:hAnsi="Arial" w:cs="Arial"/>
          <w:lang w:val="es-CO"/>
        </w:rPr>
        <w:t xml:space="preserve"> Son contribuyentes del Impuesto sobre la Renta y Complementario sujetos al régimen tributario especial, de que trata el Título VI del Libro Primero del Estatuto Tributario, los siguientes:</w:t>
      </w:r>
    </w:p>
    <w:p w14:paraId="303E3917" w14:textId="77777777" w:rsidR="00B2442D" w:rsidRDefault="00B2442D">
      <w:pPr>
        <w:jc w:val="both"/>
        <w:rPr>
          <w:rFonts w:ascii="Arial" w:hAnsi="Arial" w:cs="Arial"/>
          <w:lang w:val="es-CO"/>
        </w:rPr>
      </w:pPr>
    </w:p>
    <w:p w14:paraId="5E20F1C2" w14:textId="77777777" w:rsidR="00B2442D" w:rsidRDefault="008A645F">
      <w:pPr>
        <w:jc w:val="both"/>
        <w:rPr>
          <w:rFonts w:ascii="Arial" w:hAnsi="Arial" w:cs="Arial"/>
          <w:lang w:val="es-CO"/>
        </w:rPr>
      </w:pPr>
      <w:r>
        <w:rPr>
          <w:rFonts w:ascii="Arial" w:hAnsi="Arial" w:cs="Arial"/>
          <w:lang w:val="es-CO"/>
        </w:rPr>
        <w:t>1. Las corporaciones, fundaciones y asociaciones sin ánimo de luc</w:t>
      </w:r>
      <w:r>
        <w:rPr>
          <w:rFonts w:ascii="Arial" w:hAnsi="Arial" w:cs="Arial"/>
          <w:lang w:val="es-CO"/>
        </w:rPr>
        <w:t>ro, con excepción de las contempladas en el artículo 23 del Estatuto Tributario, que cumplan totalmente con las siguientes condiciones:</w:t>
      </w:r>
    </w:p>
    <w:p w14:paraId="30E7877A" w14:textId="77777777" w:rsidR="00B2442D" w:rsidRDefault="00B2442D">
      <w:pPr>
        <w:jc w:val="both"/>
        <w:rPr>
          <w:rFonts w:ascii="Arial" w:hAnsi="Arial" w:cs="Arial"/>
          <w:lang w:val="es-CO"/>
        </w:rPr>
      </w:pPr>
    </w:p>
    <w:p w14:paraId="3D4531A8" w14:textId="77777777" w:rsidR="00B2442D" w:rsidRDefault="008A645F">
      <w:pPr>
        <w:jc w:val="both"/>
        <w:rPr>
          <w:rFonts w:ascii="Arial" w:hAnsi="Arial" w:cs="Arial"/>
          <w:lang w:val="es-CO"/>
        </w:rPr>
      </w:pPr>
      <w:r>
        <w:rPr>
          <w:rFonts w:ascii="Arial" w:hAnsi="Arial" w:cs="Arial"/>
          <w:lang w:val="es-CO"/>
        </w:rPr>
        <w:t>a) Que el objeto social principal sea la realización de actividades de salud, deporte, educación formal, cultura, inves</w:t>
      </w:r>
      <w:r>
        <w:rPr>
          <w:rFonts w:ascii="Arial" w:hAnsi="Arial" w:cs="Arial"/>
          <w:lang w:val="es-CO"/>
        </w:rPr>
        <w:t>tigación científica o tecnológica, ecológica, protección ambiental o programas de desarrollo social;</w:t>
      </w:r>
    </w:p>
    <w:p w14:paraId="228EC7CF" w14:textId="77777777" w:rsidR="00B2442D" w:rsidRDefault="00B2442D">
      <w:pPr>
        <w:jc w:val="both"/>
        <w:rPr>
          <w:rFonts w:ascii="Arial" w:hAnsi="Arial" w:cs="Arial"/>
          <w:lang w:val="es-CO"/>
        </w:rPr>
      </w:pPr>
    </w:p>
    <w:p w14:paraId="5A941881" w14:textId="77777777" w:rsidR="00B2442D" w:rsidRDefault="008A645F">
      <w:pPr>
        <w:jc w:val="both"/>
        <w:rPr>
          <w:rFonts w:ascii="Arial" w:hAnsi="Arial" w:cs="Arial"/>
          <w:lang w:val="es-CO"/>
        </w:rPr>
      </w:pPr>
      <w:r>
        <w:rPr>
          <w:rFonts w:ascii="Arial" w:hAnsi="Arial" w:cs="Arial"/>
          <w:lang w:val="es-CO"/>
        </w:rPr>
        <w:t>b) Que las actividades que realice sean de interés general;</w:t>
      </w:r>
    </w:p>
    <w:p w14:paraId="7E7CF190" w14:textId="77777777" w:rsidR="00B2442D" w:rsidRDefault="00B2442D">
      <w:pPr>
        <w:jc w:val="both"/>
        <w:rPr>
          <w:rFonts w:ascii="Arial" w:hAnsi="Arial" w:cs="Arial"/>
          <w:lang w:val="es-CO"/>
        </w:rPr>
      </w:pPr>
    </w:p>
    <w:p w14:paraId="1A4C2650" w14:textId="77777777" w:rsidR="00B2442D" w:rsidRDefault="008A645F">
      <w:pPr>
        <w:jc w:val="both"/>
        <w:rPr>
          <w:rFonts w:ascii="Arial" w:hAnsi="Arial" w:cs="Arial"/>
          <w:lang w:val="es-CO"/>
        </w:rPr>
      </w:pPr>
      <w:r>
        <w:rPr>
          <w:rFonts w:ascii="Arial" w:hAnsi="Arial" w:cs="Arial"/>
          <w:lang w:val="es-CO"/>
        </w:rPr>
        <w:t>c) Que sus excedentes sean reinvertidos totalmente en la actividad de su objeto social y este</w:t>
      </w:r>
      <w:r>
        <w:rPr>
          <w:rFonts w:ascii="Arial" w:hAnsi="Arial" w:cs="Arial"/>
          <w:lang w:val="es-CO"/>
        </w:rPr>
        <w:t xml:space="preserve"> corresponda a las actividades enunciadas en el literal a) del presente artículo.</w:t>
      </w:r>
    </w:p>
    <w:p w14:paraId="76668E6C" w14:textId="77777777" w:rsidR="00B2442D" w:rsidRDefault="00B2442D">
      <w:pPr>
        <w:jc w:val="both"/>
        <w:rPr>
          <w:rFonts w:ascii="Arial" w:hAnsi="Arial" w:cs="Arial"/>
          <w:lang w:val="es-CO"/>
        </w:rPr>
      </w:pPr>
    </w:p>
    <w:p w14:paraId="5772AA63" w14:textId="77777777" w:rsidR="00B2442D" w:rsidRDefault="008A645F">
      <w:pPr>
        <w:jc w:val="both"/>
        <w:rPr>
          <w:rFonts w:ascii="Arial" w:hAnsi="Arial" w:cs="Arial"/>
          <w:lang w:val="es-CO"/>
        </w:rPr>
      </w:pPr>
      <w:r>
        <w:rPr>
          <w:rFonts w:ascii="Arial" w:hAnsi="Arial" w:cs="Arial"/>
          <w:lang w:val="es-CO"/>
        </w:rPr>
        <w:t xml:space="preserve">2. Las personas jurídicas sin ánimo de lucro que realizan actividades de captación y colocación de recursos financieros y se encuentren sometidas a la vigilancia de la Superintendencia Financiera de Colombia. </w:t>
      </w:r>
    </w:p>
    <w:p w14:paraId="64FF7A32" w14:textId="77777777" w:rsidR="00B2442D" w:rsidRDefault="00B2442D">
      <w:pPr>
        <w:jc w:val="both"/>
        <w:rPr>
          <w:rFonts w:ascii="Arial" w:hAnsi="Arial" w:cs="Arial"/>
          <w:lang w:val="es-CO"/>
        </w:rPr>
      </w:pPr>
    </w:p>
    <w:p w14:paraId="37FFAF06" w14:textId="77777777" w:rsidR="00B2442D" w:rsidRDefault="008A645F">
      <w:pPr>
        <w:jc w:val="both"/>
        <w:rPr>
          <w:rFonts w:ascii="Arial" w:hAnsi="Arial" w:cs="Arial"/>
          <w:lang w:val="es-CO"/>
        </w:rPr>
      </w:pPr>
      <w:r>
        <w:rPr>
          <w:rFonts w:ascii="Arial" w:hAnsi="Arial" w:cs="Arial"/>
          <w:lang w:val="es-CO"/>
        </w:rPr>
        <w:t>3. Los fondos mutuos de inversión y las asoci</w:t>
      </w:r>
      <w:r>
        <w:rPr>
          <w:rFonts w:ascii="Arial" w:hAnsi="Arial" w:cs="Arial"/>
          <w:lang w:val="es-CO"/>
        </w:rPr>
        <w:t>aciones gremiales que en desarrollo de su objeto social perciban ingresos por actividades industriales y/o de mercadeo, respecto de estos ingresos. En el evento en que las asociaciones gremiales y los fondos mutuos de inversión no realicen actividades indu</w:t>
      </w:r>
      <w:r>
        <w:rPr>
          <w:rFonts w:ascii="Arial" w:hAnsi="Arial" w:cs="Arial"/>
          <w:lang w:val="es-CO"/>
        </w:rPr>
        <w:t>striales y/o de mercadeo, se consideran como no contribuyentes del impuesto sobre la renta, de conformidad con lo establecido en el inciso 2o del artículo 23 del Estatuto Tributario.</w:t>
      </w:r>
    </w:p>
    <w:p w14:paraId="66EA515E" w14:textId="77777777" w:rsidR="00B2442D" w:rsidRDefault="00B2442D">
      <w:pPr>
        <w:jc w:val="both"/>
        <w:rPr>
          <w:rFonts w:ascii="Arial" w:hAnsi="Arial" w:cs="Arial"/>
          <w:lang w:val="es-CO"/>
        </w:rPr>
      </w:pPr>
    </w:p>
    <w:p w14:paraId="46407B55" w14:textId="77777777" w:rsidR="00B2442D" w:rsidRDefault="008A645F">
      <w:pPr>
        <w:jc w:val="both"/>
        <w:rPr>
          <w:rFonts w:ascii="Arial" w:hAnsi="Arial" w:cs="Arial"/>
          <w:lang w:val="es-CO"/>
        </w:rPr>
      </w:pPr>
      <w:r>
        <w:rPr>
          <w:rFonts w:ascii="Arial" w:hAnsi="Arial" w:cs="Arial"/>
          <w:lang w:val="es-CO"/>
        </w:rPr>
        <w:t>4. Las cooperativas, sus asociaciones, uniones, ligas centrales, organis</w:t>
      </w:r>
      <w:r>
        <w:rPr>
          <w:rFonts w:ascii="Arial" w:hAnsi="Arial" w:cs="Arial"/>
          <w:lang w:val="es-CO"/>
        </w:rPr>
        <w:t>mos de grado superior de carácter financiero, las asociaciones mutualistas e instituciones auxiliares del cooperativismo, confederaciones cooperativas, previstas en la legislación cooperativa vigente, vigilados por alguna superintendencia u organismo de co</w:t>
      </w:r>
      <w:r>
        <w:rPr>
          <w:rFonts w:ascii="Arial" w:hAnsi="Arial" w:cs="Arial"/>
          <w:lang w:val="es-CO"/>
        </w:rPr>
        <w:t>ntrol.</w:t>
      </w:r>
    </w:p>
    <w:p w14:paraId="32C85335" w14:textId="77777777" w:rsidR="00B2442D" w:rsidRDefault="00B2442D">
      <w:pPr>
        <w:jc w:val="both"/>
        <w:rPr>
          <w:rFonts w:ascii="Arial" w:hAnsi="Arial" w:cs="Arial"/>
          <w:lang w:val="es-CO"/>
        </w:rPr>
      </w:pPr>
    </w:p>
    <w:p w14:paraId="4A2CDE3D"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los fines del numeral 3° del presente artículo se entiende por actividades industriales las de extracción, transformación o producción de bienes corporales muebles que se realicen en forma habitual, y por actividades de mercadeo l</w:t>
      </w:r>
      <w:r>
        <w:rPr>
          <w:rFonts w:ascii="Arial" w:hAnsi="Arial" w:cs="Arial"/>
          <w:lang w:val="es-CO"/>
        </w:rPr>
        <w:t>a adquisición habitual de bienes corporales muebles para enajenarlos a título oneroso.</w:t>
      </w:r>
    </w:p>
    <w:p w14:paraId="365696AA" w14:textId="77777777" w:rsidR="00B2442D" w:rsidRDefault="00B2442D">
      <w:pPr>
        <w:jc w:val="both"/>
        <w:rPr>
          <w:rFonts w:ascii="Arial" w:hAnsi="Arial" w:cs="Arial"/>
          <w:lang w:val="es-CO"/>
        </w:rPr>
      </w:pPr>
    </w:p>
    <w:p w14:paraId="32DEBCB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Se entiende que las entidades descritas en los numerales 1 y 2 del artículo 1.2.1.5.1 del presente Decreto no tienen ánimo de lucro, cuando los excedentes </w:t>
      </w:r>
      <w:r>
        <w:rPr>
          <w:rFonts w:ascii="Arial" w:hAnsi="Arial" w:cs="Arial"/>
          <w:lang w:val="es-CO"/>
        </w:rPr>
        <w:t>obtenidos en desarrollo de sus actividades no se distribuyen en dinero ni en especie a los asociados o miembros de la entidad, ni aún en el momento de su retiro o por liquidación de la misma. Se considera distribución de excedentes la transferencia de dine</w:t>
      </w:r>
      <w:r>
        <w:rPr>
          <w:rFonts w:ascii="Arial" w:hAnsi="Arial" w:cs="Arial"/>
          <w:lang w:val="es-CO"/>
        </w:rPr>
        <w:t>ro, bienes o derechos a favor de los asociados, miembros o administradores, sin una contraprestación a favor de la entidad.</w:t>
      </w:r>
    </w:p>
    <w:p w14:paraId="25F9B056" w14:textId="77777777" w:rsidR="00B2442D" w:rsidRDefault="00B2442D">
      <w:pPr>
        <w:jc w:val="both"/>
        <w:rPr>
          <w:rFonts w:ascii="Arial" w:hAnsi="Arial" w:cs="Arial"/>
          <w:lang w:val="es-CO"/>
        </w:rPr>
      </w:pPr>
    </w:p>
    <w:p w14:paraId="76EEAB81"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De conformidad con el parágrafo 1o del artículo 19 del Estatuto Tributario, las corporaciones, fundaciones y asociacio</w:t>
      </w:r>
      <w:r>
        <w:rPr>
          <w:rFonts w:ascii="Arial" w:hAnsi="Arial" w:cs="Arial"/>
          <w:lang w:val="es-CO"/>
        </w:rPr>
        <w:t>nes constituidas como entidades sin ánimo de lucro que no cumplan con la totalidad de las condiciones señaladas en el numeral primero del artículo 1.2.1.5.1 del presente decreto son contribuyentes del impuesto sobre la renta asimiladas a sociedades de resp</w:t>
      </w:r>
      <w:r>
        <w:rPr>
          <w:rFonts w:ascii="Arial" w:hAnsi="Arial" w:cs="Arial"/>
          <w:lang w:val="es-CO"/>
        </w:rPr>
        <w:t>onsabilidad limitada.</w:t>
      </w:r>
    </w:p>
    <w:p w14:paraId="3D367304" w14:textId="77777777" w:rsidR="00B2442D" w:rsidRDefault="00B2442D">
      <w:pPr>
        <w:jc w:val="both"/>
        <w:rPr>
          <w:rFonts w:ascii="Arial" w:hAnsi="Arial" w:cs="Arial"/>
          <w:lang w:val="es-CO"/>
        </w:rPr>
      </w:pPr>
    </w:p>
    <w:p w14:paraId="6CE743BB" w14:textId="77777777" w:rsidR="00B2442D" w:rsidRDefault="008A645F">
      <w:pPr>
        <w:jc w:val="both"/>
        <w:rPr>
          <w:rFonts w:ascii="Arial" w:hAnsi="Arial" w:cs="Arial"/>
          <w:i/>
          <w:lang w:val="es-CO"/>
        </w:rPr>
      </w:pPr>
      <w:r>
        <w:rPr>
          <w:rFonts w:ascii="Arial" w:hAnsi="Arial" w:cs="Arial"/>
          <w:i/>
          <w:lang w:val="es-CO"/>
        </w:rPr>
        <w:t>(Art. 1, Decreto 4400 de 2004. El numeral 3 y el Parágrafo 3 modificados por el art. 1 del Decreto 640 de 2005)</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w:t>
      </w:r>
      <w:r>
        <w:rPr>
          <w:rFonts w:ascii="Arial" w:hAnsi="Arial" w:cs="Arial"/>
          <w:i/>
          <w:lang w:val="es-CO"/>
        </w:rPr>
        <w:t>culos 4, 5, 6, 7 y 8 del Decreto 1514 de 1998 y el Decreto 124 de 1997. Art. 22, Decreto 4400 de 2004)</w:t>
      </w:r>
    </w:p>
    <w:p w14:paraId="7F1E509F" w14:textId="77777777" w:rsidR="00B2442D" w:rsidRDefault="00B2442D">
      <w:pPr>
        <w:jc w:val="both"/>
        <w:rPr>
          <w:rFonts w:ascii="Arial" w:hAnsi="Arial" w:cs="Arial"/>
          <w:lang w:val="es-CO"/>
        </w:rPr>
      </w:pPr>
    </w:p>
    <w:p w14:paraId="4907CEFC"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Interés general y acceso a la comunidad.</w:t>
      </w:r>
      <w:r>
        <w:rPr>
          <w:rFonts w:ascii="Arial" w:hAnsi="Arial" w:cs="Arial"/>
          <w:lang w:val="es-CO"/>
        </w:rPr>
        <w:t xml:space="preserve"> Para efectos de los artículos 19 y 359 del Estatuto Tributario, las actividades desarrolladas por las entidades</w:t>
      </w:r>
      <w:r>
        <w:rPr>
          <w:rFonts w:ascii="Arial" w:hAnsi="Arial" w:cs="Arial"/>
          <w:lang w:val="es-CO"/>
        </w:rPr>
        <w:t xml:space="preserve"> a que se refiere el numeral 1° del artículo 1.2.1.5.1 de este Decreto, deben ser de interés general y que a ellas tenga acceso la comunidad.</w:t>
      </w:r>
    </w:p>
    <w:p w14:paraId="4B9C70B0" w14:textId="77777777" w:rsidR="00B2442D" w:rsidRDefault="00B2442D">
      <w:pPr>
        <w:jc w:val="both"/>
        <w:rPr>
          <w:rFonts w:ascii="Arial" w:hAnsi="Arial" w:cs="Arial"/>
          <w:lang w:val="es-CO"/>
        </w:rPr>
      </w:pPr>
    </w:p>
    <w:p w14:paraId="4B9BF34B" w14:textId="77777777" w:rsidR="00B2442D" w:rsidRDefault="008A645F">
      <w:pPr>
        <w:jc w:val="both"/>
        <w:rPr>
          <w:rFonts w:ascii="Arial" w:hAnsi="Arial" w:cs="Arial"/>
          <w:lang w:val="es-CO"/>
        </w:rPr>
      </w:pPr>
      <w:r>
        <w:rPr>
          <w:rFonts w:ascii="Arial" w:hAnsi="Arial" w:cs="Arial"/>
          <w:lang w:val="es-CO"/>
        </w:rPr>
        <w:t xml:space="preserve">Las actividades son de interés general cuando beneficien a un grupo poblacional, como un sector, barrio o comunidad. Se considera que la entidad sin ánimo de lucro permite el acceso a la comunidad, cuando hace oferta abierta de los servicios y actividades </w:t>
      </w:r>
      <w:r>
        <w:rPr>
          <w:rFonts w:ascii="Arial" w:hAnsi="Arial" w:cs="Arial"/>
          <w:lang w:val="es-CO"/>
        </w:rPr>
        <w:t>que realiza en desarrollo de su objeto social, permitiendo que terceros puedan beneficiarse de ellas, en las mismas condiciones que los miembros de la entidad, o sus familiares.</w:t>
      </w:r>
    </w:p>
    <w:p w14:paraId="38D1588B" w14:textId="77777777" w:rsidR="00B2442D" w:rsidRDefault="00B2442D">
      <w:pPr>
        <w:jc w:val="both"/>
        <w:rPr>
          <w:rFonts w:ascii="Arial" w:hAnsi="Arial" w:cs="Arial"/>
          <w:lang w:val="es-CO"/>
        </w:rPr>
      </w:pPr>
    </w:p>
    <w:p w14:paraId="523E8D3C" w14:textId="77777777" w:rsidR="00B2442D" w:rsidRDefault="008A645F">
      <w:pPr>
        <w:jc w:val="both"/>
        <w:rPr>
          <w:rFonts w:ascii="Arial" w:hAnsi="Arial" w:cs="Arial"/>
          <w:lang w:val="es-CO"/>
        </w:rPr>
      </w:pPr>
      <w:r>
        <w:rPr>
          <w:rFonts w:ascii="Arial" w:hAnsi="Arial" w:cs="Arial"/>
          <w:lang w:val="es-CO"/>
        </w:rPr>
        <w:t xml:space="preserve">Son actividades de salud aquellas que están autorizadas por el Ministerio de </w:t>
      </w:r>
      <w:r>
        <w:rPr>
          <w:rFonts w:ascii="Arial" w:hAnsi="Arial" w:cs="Arial"/>
          <w:lang w:val="es-CO"/>
        </w:rPr>
        <w:t>Salud  y  Protección Social o por la Superintendencia Nacional de Salud.</w:t>
      </w:r>
    </w:p>
    <w:p w14:paraId="44BD0E3D" w14:textId="77777777" w:rsidR="00B2442D" w:rsidRDefault="00B2442D">
      <w:pPr>
        <w:jc w:val="both"/>
        <w:rPr>
          <w:rFonts w:ascii="Arial" w:hAnsi="Arial" w:cs="Arial"/>
          <w:lang w:val="es-CO"/>
        </w:rPr>
      </w:pPr>
    </w:p>
    <w:p w14:paraId="23D81307" w14:textId="77777777" w:rsidR="00B2442D" w:rsidRDefault="008A645F">
      <w:pPr>
        <w:jc w:val="both"/>
        <w:rPr>
          <w:rFonts w:ascii="Arial" w:hAnsi="Arial" w:cs="Arial"/>
          <w:lang w:val="es-CO"/>
        </w:rPr>
      </w:pPr>
      <w:r>
        <w:rPr>
          <w:rFonts w:ascii="Arial" w:hAnsi="Arial" w:cs="Arial"/>
          <w:lang w:val="es-CO"/>
        </w:rPr>
        <w:t>Son actividades de deporte aficionado aquellas reguladas por la Ley 181 de 1995.</w:t>
      </w:r>
    </w:p>
    <w:p w14:paraId="335EB75B" w14:textId="77777777" w:rsidR="00B2442D" w:rsidRDefault="00B2442D">
      <w:pPr>
        <w:jc w:val="both"/>
        <w:rPr>
          <w:rFonts w:ascii="Arial" w:hAnsi="Arial" w:cs="Arial"/>
          <w:lang w:val="es-CO"/>
        </w:rPr>
      </w:pPr>
    </w:p>
    <w:p w14:paraId="53ACE04B" w14:textId="77777777" w:rsidR="00B2442D" w:rsidRDefault="008A645F">
      <w:pPr>
        <w:jc w:val="both"/>
        <w:rPr>
          <w:rFonts w:ascii="Arial" w:hAnsi="Arial" w:cs="Arial"/>
          <w:lang w:val="es-CO"/>
        </w:rPr>
      </w:pPr>
      <w:r>
        <w:rPr>
          <w:rFonts w:ascii="Arial" w:hAnsi="Arial" w:cs="Arial"/>
          <w:lang w:val="es-CO"/>
        </w:rPr>
        <w:t>Se entiende por actividades culturales las descritas en el artículo 18 de la Ley 397 de 1997 y todas</w:t>
      </w:r>
      <w:r>
        <w:rPr>
          <w:rFonts w:ascii="Arial" w:hAnsi="Arial" w:cs="Arial"/>
          <w:lang w:val="es-CO"/>
        </w:rPr>
        <w:t xml:space="preserve"> aquellas que defina el Ministerio de Cultura.</w:t>
      </w:r>
    </w:p>
    <w:p w14:paraId="2A258CF7" w14:textId="77777777" w:rsidR="00B2442D" w:rsidRDefault="00B2442D">
      <w:pPr>
        <w:jc w:val="both"/>
        <w:rPr>
          <w:rFonts w:ascii="Arial" w:hAnsi="Arial" w:cs="Arial"/>
          <w:lang w:val="es-CO"/>
        </w:rPr>
      </w:pPr>
    </w:p>
    <w:p w14:paraId="7D9DB2E6" w14:textId="77777777" w:rsidR="00B2442D" w:rsidRDefault="008A645F">
      <w:pPr>
        <w:jc w:val="both"/>
        <w:rPr>
          <w:rFonts w:ascii="Arial" w:hAnsi="Arial" w:cs="Arial"/>
          <w:lang w:val="es-CO"/>
        </w:rPr>
      </w:pPr>
      <w:r>
        <w:rPr>
          <w:rFonts w:ascii="Arial" w:hAnsi="Arial" w:cs="Arial"/>
          <w:lang w:val="es-CO"/>
        </w:rPr>
        <w:t>Los programas son de desarrollo social, cuando afectan a la colectividad fomentando el mejoramiento y desarrollo de las condiciones de vida del hombre en sociedad.</w:t>
      </w:r>
    </w:p>
    <w:p w14:paraId="25E51339" w14:textId="77777777" w:rsidR="00B2442D" w:rsidRDefault="00B2442D">
      <w:pPr>
        <w:jc w:val="both"/>
        <w:rPr>
          <w:rFonts w:ascii="Arial" w:hAnsi="Arial" w:cs="Arial"/>
          <w:lang w:val="es-CO"/>
        </w:rPr>
      </w:pPr>
    </w:p>
    <w:p w14:paraId="601F3A50" w14:textId="77777777" w:rsidR="00B2442D" w:rsidRDefault="008A645F">
      <w:pPr>
        <w:jc w:val="both"/>
        <w:rPr>
          <w:rFonts w:ascii="Arial" w:hAnsi="Arial" w:cs="Arial"/>
          <w:lang w:val="es-CO"/>
        </w:rPr>
      </w:pPr>
      <w:r>
        <w:rPr>
          <w:rFonts w:ascii="Arial" w:hAnsi="Arial" w:cs="Arial"/>
          <w:lang w:val="es-CO"/>
        </w:rPr>
        <w:t>Se entiende por programas ecológicos y de p</w:t>
      </w:r>
      <w:r>
        <w:rPr>
          <w:rFonts w:ascii="Arial" w:hAnsi="Arial" w:cs="Arial"/>
          <w:lang w:val="es-CO"/>
        </w:rPr>
        <w:t>rotección ambiental los contemplados en el Código Nacional de Recursos Naturales de Protección del Medio Ambiente y los que defina el Ministerio de Ambiente  y Desarrollo Sostenible u otra entidad pública del sector.</w:t>
      </w:r>
    </w:p>
    <w:p w14:paraId="290CE947" w14:textId="77777777" w:rsidR="00B2442D" w:rsidRDefault="00B2442D">
      <w:pPr>
        <w:jc w:val="both"/>
        <w:rPr>
          <w:rFonts w:ascii="Arial" w:hAnsi="Arial" w:cs="Arial"/>
          <w:lang w:val="es-CO"/>
        </w:rPr>
      </w:pPr>
    </w:p>
    <w:p w14:paraId="6F5E16F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las entidades sin án</w:t>
      </w:r>
      <w:r>
        <w:rPr>
          <w:rFonts w:ascii="Arial" w:hAnsi="Arial" w:cs="Arial"/>
          <w:lang w:val="es-CO"/>
        </w:rPr>
        <w:t>imo de lucro desarrollen actividades que son de interés general, pero a ellas no tiene acceso la comunidad, gozarán de los beneficios como contribuyentes con tratamiento tributario especial, sin derecho a la exención del impuesto sobre la renta.</w:t>
      </w:r>
    </w:p>
    <w:p w14:paraId="07A306B4" w14:textId="77777777" w:rsidR="00B2442D" w:rsidRDefault="00B2442D">
      <w:pPr>
        <w:jc w:val="both"/>
        <w:rPr>
          <w:rFonts w:ascii="Arial" w:hAnsi="Arial" w:cs="Arial"/>
          <w:lang w:val="es-CO"/>
        </w:rPr>
      </w:pPr>
    </w:p>
    <w:p w14:paraId="1444D147" w14:textId="77777777" w:rsidR="00B2442D" w:rsidRDefault="008A645F">
      <w:pPr>
        <w:jc w:val="both"/>
        <w:rPr>
          <w:rFonts w:ascii="Arial" w:hAnsi="Arial" w:cs="Arial"/>
          <w:lang w:val="es-CO"/>
        </w:rPr>
      </w:pPr>
      <w:r>
        <w:rPr>
          <w:rFonts w:ascii="Arial" w:hAnsi="Arial" w:cs="Arial"/>
          <w:i/>
          <w:lang w:val="es-CO"/>
        </w:rPr>
        <w:t xml:space="preserve">(Art. 2, </w:t>
      </w:r>
      <w:r>
        <w:rPr>
          <w:rFonts w:ascii="Arial" w:hAnsi="Arial" w:cs="Arial"/>
          <w:i/>
          <w:lang w:val="es-CO"/>
        </w:rPr>
        <w:t>Decreto 4400 de 2004, inciso sexto derogado tácitamente por el artículo 12 del Decreto 121 de 2014, que derogó los artículos 6, 7 y 8 del Decreto 2076 de 1992)</w:t>
      </w:r>
      <w:r>
        <w:rPr>
          <w:rFonts w:ascii="Arial" w:hAnsi="Arial" w:cs="Arial"/>
        </w:rPr>
        <w:t xml:space="preserve"> </w:t>
      </w:r>
      <w:r>
        <w:rPr>
          <w:rFonts w:ascii="Arial" w:hAnsi="Arial" w:cs="Arial"/>
          <w:i/>
          <w:lang w:val="es-CO"/>
        </w:rPr>
        <w:t>(El Decreto 4400 de 2004 rige a partir de su publicación y deroga las normas que le sean contrar</w:t>
      </w:r>
      <w:r>
        <w:rPr>
          <w:rFonts w:ascii="Arial" w:hAnsi="Arial" w:cs="Arial"/>
          <w:i/>
          <w:lang w:val="es-CO"/>
        </w:rPr>
        <w:t>ias, en especial los artículos 4, 5, 6, 7 y 8 del Decreto 1514 de 1998 y el Decreto 124 de 1997. Art. 22, Decreto 4400 de 2004)</w:t>
      </w:r>
    </w:p>
    <w:p w14:paraId="2F1D58E0" w14:textId="77777777" w:rsidR="00B2442D" w:rsidRDefault="00B2442D">
      <w:pPr>
        <w:jc w:val="both"/>
        <w:rPr>
          <w:rFonts w:ascii="Arial" w:hAnsi="Arial" w:cs="Arial"/>
          <w:lang w:val="es-CO"/>
        </w:rPr>
      </w:pPr>
    </w:p>
    <w:p w14:paraId="13E7592D"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 xml:space="preserve">Ingresos. </w:t>
      </w:r>
      <w:r>
        <w:rPr>
          <w:rFonts w:ascii="Arial" w:hAnsi="Arial" w:cs="Arial"/>
          <w:lang w:val="es-CO"/>
        </w:rPr>
        <w:t>Los ingresos son todos aquellos bienes, valores o derechos en dinero o en especie, ordinarios y extraordinarios, cual</w:t>
      </w:r>
      <w:r>
        <w:rPr>
          <w:rFonts w:ascii="Arial" w:hAnsi="Arial" w:cs="Arial"/>
          <w:lang w:val="es-CO"/>
        </w:rPr>
        <w:t>quiera sea su naturaleza y denominación, que se hayan realizado en el período gravable y susceptibles de incrementar el patrimonio neto de la entidad.</w:t>
      </w:r>
    </w:p>
    <w:p w14:paraId="2D54D7FC" w14:textId="77777777" w:rsidR="00B2442D" w:rsidRDefault="00B2442D">
      <w:pPr>
        <w:jc w:val="both"/>
        <w:rPr>
          <w:rFonts w:ascii="Arial" w:hAnsi="Arial" w:cs="Arial"/>
          <w:lang w:val="es-CO"/>
        </w:rPr>
      </w:pPr>
    </w:p>
    <w:p w14:paraId="2AEEA0B6" w14:textId="77777777" w:rsidR="00B2442D" w:rsidRDefault="008A645F">
      <w:pPr>
        <w:jc w:val="both"/>
        <w:rPr>
          <w:rFonts w:ascii="Arial" w:hAnsi="Arial" w:cs="Arial"/>
          <w:lang w:val="es-CO"/>
        </w:rPr>
      </w:pPr>
      <w:r>
        <w:rPr>
          <w:rFonts w:ascii="Arial" w:hAnsi="Arial" w:cs="Arial"/>
          <w:lang w:val="es-CO"/>
        </w:rPr>
        <w:t>Para las asociaciones gremiales y fondos mutuos de inversión, a que se refiere el numeral 3° del artícul</w:t>
      </w:r>
      <w:r>
        <w:rPr>
          <w:rFonts w:ascii="Arial" w:hAnsi="Arial" w:cs="Arial"/>
          <w:lang w:val="es-CO"/>
        </w:rPr>
        <w:t>o 1.2.1.5.1 del presente Decreto, los ingresos que se toman para calcular el beneficio neto o excedente, serán los provenientes de las actividades industriales y/o de mercadeo, para lo cual deberán llevar cuentas separadas de dichas actividades en su conta</w:t>
      </w:r>
      <w:r>
        <w:rPr>
          <w:rFonts w:ascii="Arial" w:hAnsi="Arial" w:cs="Arial"/>
          <w:lang w:val="es-CO"/>
        </w:rPr>
        <w:t>bilidad.</w:t>
      </w:r>
    </w:p>
    <w:p w14:paraId="1F982882" w14:textId="77777777" w:rsidR="00B2442D" w:rsidRDefault="00B2442D">
      <w:pPr>
        <w:jc w:val="both"/>
        <w:rPr>
          <w:rFonts w:ascii="Arial" w:hAnsi="Arial" w:cs="Arial"/>
          <w:lang w:val="es-CO"/>
        </w:rPr>
      </w:pPr>
    </w:p>
    <w:p w14:paraId="2B56B428" w14:textId="77777777" w:rsidR="00B2442D" w:rsidRDefault="008A645F">
      <w:pPr>
        <w:jc w:val="both"/>
        <w:rPr>
          <w:rFonts w:ascii="Arial" w:hAnsi="Arial" w:cs="Arial"/>
          <w:lang w:val="es-CO"/>
        </w:rPr>
      </w:pPr>
      <w:r>
        <w:rPr>
          <w:rFonts w:ascii="Arial" w:hAnsi="Arial" w:cs="Arial"/>
          <w:lang w:val="es-CO"/>
        </w:rPr>
        <w:t>De acuerdo con el artículo 102-3 del Estatuto Tributario, para las Cooperativas de Trabajo Asociado constituye ingreso gravable relativo a la prestación de servicios, el valor que quedare una vez descontado el monto de las compensaciones ordinari</w:t>
      </w:r>
      <w:r>
        <w:rPr>
          <w:rFonts w:ascii="Arial" w:hAnsi="Arial" w:cs="Arial"/>
          <w:lang w:val="es-CO"/>
        </w:rPr>
        <w:t>as y extraordinarias pagadas efectivamente a los trabajadores asociados cooperados, de conformidad con el reglamento de compensaciones, sin perjuicio de la obligación de declarar la totalidad de los ingresos percibidos por otros conceptos.</w:t>
      </w:r>
    </w:p>
    <w:p w14:paraId="384A2D76" w14:textId="77777777" w:rsidR="00B2442D" w:rsidRDefault="00B2442D">
      <w:pPr>
        <w:jc w:val="both"/>
        <w:rPr>
          <w:rFonts w:ascii="Arial" w:hAnsi="Arial" w:cs="Arial"/>
          <w:lang w:val="es-CO"/>
        </w:rPr>
      </w:pPr>
    </w:p>
    <w:p w14:paraId="10BED3EC" w14:textId="77777777" w:rsidR="00B2442D" w:rsidRDefault="008A645F">
      <w:pPr>
        <w:jc w:val="both"/>
        <w:rPr>
          <w:rFonts w:ascii="Arial" w:hAnsi="Arial" w:cs="Arial"/>
          <w:i/>
          <w:lang w:val="es-CO"/>
        </w:rPr>
      </w:pPr>
      <w:r>
        <w:rPr>
          <w:rFonts w:ascii="Arial" w:hAnsi="Arial" w:cs="Arial"/>
          <w:i/>
          <w:lang w:val="es-CO"/>
        </w:rPr>
        <w:t>(Art. 3, Decret</w:t>
      </w:r>
      <w:r>
        <w:rPr>
          <w:rFonts w:ascii="Arial" w:hAnsi="Arial" w:cs="Arial"/>
          <w:i/>
          <w:lang w:val="es-CO"/>
        </w:rPr>
        <w:t>o 4400 de 2004, el inciso primero modificado por el art. 2 del Decreto 640 de 2005)</w:t>
      </w:r>
      <w:r>
        <w:rPr>
          <w:rFonts w:ascii="Arial" w:hAnsi="Arial" w:cs="Arial"/>
        </w:rPr>
        <w:t xml:space="preserve"> (</w:t>
      </w:r>
      <w:r>
        <w:rPr>
          <w:rFonts w:ascii="Arial" w:hAnsi="Arial" w:cs="Arial"/>
          <w:i/>
          <w:lang w:val="es-CO"/>
        </w:rPr>
        <w:t xml:space="preserve">El Decreto 4400 de 2004 rige a partir de su publicación y deroga las normas que le sean contrarias, en especial los artículos 4, 5, 6, 7 y 8 del Decreto 1514 de 1998 y el </w:t>
      </w:r>
      <w:r>
        <w:rPr>
          <w:rFonts w:ascii="Arial" w:hAnsi="Arial" w:cs="Arial"/>
          <w:i/>
          <w:lang w:val="es-CO"/>
        </w:rPr>
        <w:t>Decreto 124 de 1997. Art. 22, Decreto 4400 de 2004)</w:t>
      </w:r>
    </w:p>
    <w:p w14:paraId="03D4C63A" w14:textId="77777777" w:rsidR="00B2442D" w:rsidRDefault="00B2442D">
      <w:pPr>
        <w:jc w:val="both"/>
        <w:rPr>
          <w:rFonts w:ascii="Arial" w:hAnsi="Arial" w:cs="Arial"/>
          <w:lang w:val="es-CO"/>
        </w:rPr>
      </w:pPr>
    </w:p>
    <w:p w14:paraId="14C5491C"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 xml:space="preserve">Egresos. </w:t>
      </w:r>
      <w:r>
        <w:rPr>
          <w:rFonts w:ascii="Arial" w:hAnsi="Arial" w:cs="Arial"/>
          <w:lang w:val="es-CO"/>
        </w:rPr>
        <w:t xml:space="preserve">Se consideran egresos procedentes aquellos realizados en el respectivo período gravable, que tengan relación de causalidad con los ingresos o con el objeto social, incluidas las inversiones que </w:t>
      </w:r>
      <w:r>
        <w:rPr>
          <w:rFonts w:ascii="Arial" w:hAnsi="Arial" w:cs="Arial"/>
          <w:lang w:val="es-CO"/>
        </w:rPr>
        <w:t>se efectúen en cumplimiento del mismo y la adquisición de activos fijos. En consecuencia, no habrá lugar a la depreciación ni amortización respecto de la adquisición de activos fijos e inversiones que hayan sido solicitadas como egreso en el año de adquisi</w:t>
      </w:r>
      <w:r>
        <w:rPr>
          <w:rFonts w:ascii="Arial" w:hAnsi="Arial" w:cs="Arial"/>
          <w:lang w:val="es-CO"/>
        </w:rPr>
        <w:t>ción.</w:t>
      </w:r>
    </w:p>
    <w:p w14:paraId="6F9266D3" w14:textId="77777777" w:rsidR="00B2442D" w:rsidRDefault="00B2442D">
      <w:pPr>
        <w:jc w:val="both"/>
        <w:rPr>
          <w:rFonts w:ascii="Arial" w:hAnsi="Arial" w:cs="Arial"/>
          <w:lang w:val="es-CO"/>
        </w:rPr>
      </w:pPr>
    </w:p>
    <w:p w14:paraId="5E7F9A92" w14:textId="77777777" w:rsidR="00B2442D" w:rsidRDefault="008A645F">
      <w:pPr>
        <w:jc w:val="both"/>
        <w:rPr>
          <w:rFonts w:ascii="Arial" w:hAnsi="Arial" w:cs="Arial"/>
          <w:lang w:val="es-CO"/>
        </w:rPr>
      </w:pPr>
      <w:r>
        <w:rPr>
          <w:rFonts w:ascii="Arial" w:hAnsi="Arial" w:cs="Arial"/>
          <w:lang w:val="es-CO"/>
        </w:rPr>
        <w:t xml:space="preserve">Asimismo se consideran egresos procedentes, las donaciones efectuadas en favor de otras entidades sin ánimo de lucro que desarrollen actividades y programas a los que se refiere el numeral 1 del artículo 1.2.1.5.1 de este decreto. Cuando la entidad </w:t>
      </w:r>
      <w:r>
        <w:rPr>
          <w:rFonts w:ascii="Arial" w:hAnsi="Arial" w:cs="Arial"/>
          <w:lang w:val="es-CO"/>
        </w:rPr>
        <w:t>beneficiaria de la donación, sea alguna de las consagradas en el numeral segundo del artículo 125 del Estatuto Tributario, deberá reunir las siguientes condiciones:</w:t>
      </w:r>
    </w:p>
    <w:p w14:paraId="6059BEDC" w14:textId="77777777" w:rsidR="00B2442D" w:rsidRDefault="00B2442D">
      <w:pPr>
        <w:jc w:val="both"/>
        <w:rPr>
          <w:rFonts w:ascii="Arial" w:hAnsi="Arial" w:cs="Arial"/>
          <w:lang w:val="es-CO"/>
        </w:rPr>
      </w:pPr>
    </w:p>
    <w:p w14:paraId="6DFBE65F" w14:textId="77777777" w:rsidR="00B2442D" w:rsidRDefault="008A645F">
      <w:pPr>
        <w:jc w:val="both"/>
        <w:rPr>
          <w:rFonts w:ascii="Arial" w:hAnsi="Arial" w:cs="Arial"/>
          <w:lang w:val="es-CO"/>
        </w:rPr>
      </w:pPr>
      <w:r>
        <w:rPr>
          <w:rFonts w:ascii="Arial" w:hAnsi="Arial" w:cs="Arial"/>
          <w:lang w:val="es-CO"/>
        </w:rPr>
        <w:t xml:space="preserve">a) Haber sido reconocida como persona jurídica sin ánimo de lucro y estar sometida en su </w:t>
      </w:r>
      <w:r>
        <w:rPr>
          <w:rFonts w:ascii="Arial" w:hAnsi="Arial" w:cs="Arial"/>
          <w:lang w:val="es-CO"/>
        </w:rPr>
        <w:t>funcionamiento a vigilancia oficial;</w:t>
      </w:r>
    </w:p>
    <w:p w14:paraId="73C1AC4A" w14:textId="77777777" w:rsidR="00B2442D" w:rsidRDefault="00B2442D">
      <w:pPr>
        <w:jc w:val="both"/>
        <w:rPr>
          <w:rFonts w:ascii="Arial" w:hAnsi="Arial" w:cs="Arial"/>
          <w:lang w:val="es-CO"/>
        </w:rPr>
      </w:pPr>
    </w:p>
    <w:p w14:paraId="67FB94BB" w14:textId="77777777" w:rsidR="00B2442D" w:rsidRDefault="008A645F">
      <w:pPr>
        <w:jc w:val="both"/>
        <w:rPr>
          <w:rFonts w:ascii="Arial" w:hAnsi="Arial" w:cs="Arial"/>
          <w:lang w:val="es-CO"/>
        </w:rPr>
      </w:pPr>
      <w:r>
        <w:rPr>
          <w:rFonts w:ascii="Arial" w:hAnsi="Arial" w:cs="Arial"/>
          <w:lang w:val="es-CO"/>
        </w:rPr>
        <w:t xml:space="preserve">b) Haber cumplido con la obligación de presentar la declaración de ingresos y patrimonio o de renta, según el caso, por el año inmediatamente anterior al de la donación, salvo que la donataria inicie operaciones en el </w:t>
      </w:r>
      <w:r>
        <w:rPr>
          <w:rFonts w:ascii="Arial" w:hAnsi="Arial" w:cs="Arial"/>
          <w:lang w:val="es-CO"/>
        </w:rPr>
        <w:t>mismo año de la donación;</w:t>
      </w:r>
    </w:p>
    <w:p w14:paraId="3985C1E5" w14:textId="77777777" w:rsidR="00B2442D" w:rsidRDefault="00B2442D">
      <w:pPr>
        <w:jc w:val="both"/>
        <w:rPr>
          <w:rFonts w:ascii="Arial" w:hAnsi="Arial" w:cs="Arial"/>
          <w:lang w:val="es-CO"/>
        </w:rPr>
      </w:pPr>
    </w:p>
    <w:p w14:paraId="5B6C409C" w14:textId="77777777" w:rsidR="00B2442D" w:rsidRDefault="008A645F">
      <w:pPr>
        <w:jc w:val="both"/>
        <w:rPr>
          <w:rFonts w:ascii="Arial" w:hAnsi="Arial" w:cs="Arial"/>
          <w:lang w:val="es-CO"/>
        </w:rPr>
      </w:pPr>
      <w:r>
        <w:rPr>
          <w:rFonts w:ascii="Arial" w:hAnsi="Arial" w:cs="Arial"/>
          <w:lang w:val="es-CO"/>
        </w:rPr>
        <w:t>c) Manejar los ingresos por donaciones, en depósitos o inversiones, en establecimientos financieros autorizados;</w:t>
      </w:r>
    </w:p>
    <w:p w14:paraId="62F79961" w14:textId="77777777" w:rsidR="00B2442D" w:rsidRDefault="00B2442D">
      <w:pPr>
        <w:jc w:val="both"/>
        <w:rPr>
          <w:rFonts w:ascii="Arial" w:hAnsi="Arial" w:cs="Arial"/>
          <w:lang w:val="es-CO"/>
        </w:rPr>
      </w:pPr>
    </w:p>
    <w:p w14:paraId="4FC40FFB" w14:textId="77777777" w:rsidR="00B2442D" w:rsidRDefault="008A645F">
      <w:pPr>
        <w:jc w:val="both"/>
        <w:rPr>
          <w:rFonts w:ascii="Arial" w:hAnsi="Arial" w:cs="Arial"/>
          <w:lang w:val="es-CO"/>
        </w:rPr>
      </w:pPr>
      <w:r>
        <w:rPr>
          <w:rFonts w:ascii="Arial" w:hAnsi="Arial" w:cs="Arial"/>
          <w:lang w:val="es-CO"/>
        </w:rPr>
        <w:t>d) Destinar la donación a una o varias de las actividades y programas señalados en el numeral 1 del artículo 1.2.1.</w:t>
      </w:r>
      <w:r>
        <w:rPr>
          <w:rFonts w:ascii="Arial" w:hAnsi="Arial" w:cs="Arial"/>
          <w:lang w:val="es-CO"/>
        </w:rPr>
        <w:t>5.1 de este decreto, en el mismo año en que se recibe la donación o a más tardar en el período siguiente a esta y cumplir los requisitos establecidos en el Estatuto Tributario para la deducción por donaciones.</w:t>
      </w:r>
    </w:p>
    <w:p w14:paraId="2FA5DFAF" w14:textId="77777777" w:rsidR="00B2442D" w:rsidRDefault="00B2442D">
      <w:pPr>
        <w:jc w:val="both"/>
        <w:rPr>
          <w:rFonts w:ascii="Arial" w:hAnsi="Arial" w:cs="Arial"/>
          <w:lang w:val="es-CO"/>
        </w:rPr>
      </w:pPr>
    </w:p>
    <w:p w14:paraId="09830BB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la procedencia de los egres</w:t>
      </w:r>
      <w:r>
        <w:rPr>
          <w:rFonts w:ascii="Arial" w:hAnsi="Arial" w:cs="Arial"/>
          <w:lang w:val="es-CO"/>
        </w:rPr>
        <w:t>os realizados en el respectivo período gravable que tengan relación de causalidad con los ingresos o con el objeto social, deberán tenerse en cuenta las limitaciones establecidas en el Capítulo V del Libro Primero del Estatuto Tributario. Lo anterior sin p</w:t>
      </w:r>
      <w:r>
        <w:rPr>
          <w:rFonts w:ascii="Arial" w:hAnsi="Arial" w:cs="Arial"/>
          <w:lang w:val="es-CO"/>
        </w:rPr>
        <w:t>erjuicio del cumplimiento de los requisitos especiales consagrados en el Estatuto Tributario, para la procedencia de costos y deducciones, tales como los señalados en los artículos 87-1, 108, 177-1, 177-2, 771-2 y 771-3.</w:t>
      </w:r>
    </w:p>
    <w:p w14:paraId="0364A4AD" w14:textId="77777777" w:rsidR="00B2442D" w:rsidRDefault="00B2442D">
      <w:pPr>
        <w:jc w:val="both"/>
        <w:rPr>
          <w:rFonts w:ascii="Arial" w:hAnsi="Arial" w:cs="Arial"/>
          <w:lang w:val="es-CO"/>
        </w:rPr>
      </w:pPr>
    </w:p>
    <w:p w14:paraId="470E41BC" w14:textId="77777777" w:rsidR="00B2442D" w:rsidRDefault="008A645F">
      <w:pPr>
        <w:jc w:val="both"/>
        <w:rPr>
          <w:rFonts w:ascii="Arial" w:hAnsi="Arial" w:cs="Arial"/>
          <w:lang w:val="es-CO"/>
        </w:rPr>
      </w:pPr>
      <w:r>
        <w:rPr>
          <w:rFonts w:ascii="Arial" w:hAnsi="Arial" w:cs="Arial"/>
          <w:lang w:val="es-CO"/>
        </w:rPr>
        <w:t xml:space="preserve">Asimismo, el valor </w:t>
      </w:r>
      <w:r>
        <w:rPr>
          <w:rFonts w:ascii="Arial" w:hAnsi="Arial" w:cs="Arial"/>
          <w:lang w:val="es-CO"/>
        </w:rPr>
        <w:t>correspondiente a la ejecución de beneficios netos o excedentes de años anteriores, no constituye egreso o inversión del ejercicio.</w:t>
      </w:r>
    </w:p>
    <w:p w14:paraId="08FCAEAE" w14:textId="77777777" w:rsidR="00B2442D" w:rsidRDefault="00B2442D">
      <w:pPr>
        <w:jc w:val="both"/>
        <w:rPr>
          <w:rFonts w:ascii="Arial" w:hAnsi="Arial" w:cs="Arial"/>
          <w:lang w:val="es-CO"/>
        </w:rPr>
      </w:pPr>
    </w:p>
    <w:p w14:paraId="60C5F378"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Los contribuyentes del régimen tributario especial que realicen actividades de mercadeo, deberán observar igua</w:t>
      </w:r>
      <w:r>
        <w:rPr>
          <w:rFonts w:ascii="Arial" w:hAnsi="Arial" w:cs="Arial"/>
          <w:lang w:val="es-CO"/>
        </w:rPr>
        <w:t>lmente las normas del Capítulo II, Título I del Libro Primero del Estatuto Tributario en cuanto al manejo de costos e inventarios.</w:t>
      </w:r>
    </w:p>
    <w:p w14:paraId="251A2D85" w14:textId="77777777" w:rsidR="00B2442D" w:rsidRDefault="00B2442D">
      <w:pPr>
        <w:jc w:val="both"/>
        <w:rPr>
          <w:rFonts w:ascii="Arial" w:hAnsi="Arial" w:cs="Arial"/>
          <w:lang w:val="es-CO"/>
        </w:rPr>
      </w:pPr>
    </w:p>
    <w:p w14:paraId="78510282" w14:textId="77777777" w:rsidR="00B2442D" w:rsidRDefault="008A645F">
      <w:pPr>
        <w:jc w:val="both"/>
        <w:rPr>
          <w:rFonts w:ascii="Arial" w:hAnsi="Arial" w:cs="Arial"/>
          <w:lang w:val="es-CO"/>
        </w:rPr>
      </w:pPr>
      <w:r>
        <w:rPr>
          <w:rFonts w:ascii="Arial" w:hAnsi="Arial" w:cs="Arial"/>
          <w:lang w:val="es-CO"/>
        </w:rPr>
        <w:t>Para las asociaciones gremiales y fondos mutuos de inversión, a que se refiere el numeral 3 del artículo 1.2.1.5.1 del prese</w:t>
      </w:r>
      <w:r>
        <w:rPr>
          <w:rFonts w:ascii="Arial" w:hAnsi="Arial" w:cs="Arial"/>
          <w:lang w:val="es-CO"/>
        </w:rPr>
        <w:t>nte decreto, cuando existan egresos comunes imputables a los ingresos provenientes de actividades industriales y/o de mercadeo, y de otras fuentes, únicamente constituirán egreso los imputables a los ingresos provenientes de actividades industriales y/o de</w:t>
      </w:r>
      <w:r>
        <w:rPr>
          <w:rFonts w:ascii="Arial" w:hAnsi="Arial" w:cs="Arial"/>
          <w:lang w:val="es-CO"/>
        </w:rPr>
        <w:t xml:space="preserve"> mercadeo, incluidos los activos e inversiones vinculados de manera directa y permanente a dichas actividades. Cuando no resulte posible diferenciar la imputación a tales ingresos, se tomará la proporción que presenten los ingresos provenientes de las acti</w:t>
      </w:r>
      <w:r>
        <w:rPr>
          <w:rFonts w:ascii="Arial" w:hAnsi="Arial" w:cs="Arial"/>
          <w:lang w:val="es-CO"/>
        </w:rPr>
        <w:t>vidades industriales y/o de mercadeo dentro del total de ingresos obtenidos en el respectivo año gravable, y esa proporción se aplicará a los egresos comunes.</w:t>
      </w:r>
    </w:p>
    <w:p w14:paraId="56DA2219" w14:textId="77777777" w:rsidR="00B2442D" w:rsidRDefault="00B2442D">
      <w:pPr>
        <w:jc w:val="both"/>
        <w:rPr>
          <w:rFonts w:ascii="Arial" w:hAnsi="Arial" w:cs="Arial"/>
          <w:lang w:val="es-CO"/>
        </w:rPr>
      </w:pPr>
    </w:p>
    <w:p w14:paraId="095AF014" w14:textId="77777777" w:rsidR="00B2442D" w:rsidRDefault="008A645F">
      <w:pPr>
        <w:jc w:val="both"/>
        <w:rPr>
          <w:rFonts w:ascii="Arial" w:hAnsi="Arial" w:cs="Arial"/>
          <w:i/>
          <w:lang w:val="es-CO"/>
        </w:rPr>
      </w:pPr>
      <w:r>
        <w:rPr>
          <w:rFonts w:ascii="Arial" w:hAnsi="Arial" w:cs="Arial"/>
          <w:i/>
          <w:lang w:val="es-CO"/>
        </w:rPr>
        <w:t>(Art. 4, Decreto 4400 de 2004, modificado por el art. 3 del Decreto 640 de 2005. La frase “En ni</w:t>
      </w:r>
      <w:r>
        <w:rPr>
          <w:rFonts w:ascii="Arial" w:hAnsi="Arial" w:cs="Arial"/>
          <w:i/>
          <w:lang w:val="es-CO"/>
        </w:rPr>
        <w:t>ngún caso se podrá tratar como egreso procedente el Gravamen a los Movimientos Financieros, GMF.” del inciso segundo del parágrafo 1 tiene decaimiento en virtud de la evolución legislativa (Artículo 45 de la Ley 1430 de 2010))</w:t>
      </w:r>
      <w:r>
        <w:rPr>
          <w:rFonts w:ascii="Arial" w:hAnsi="Arial" w:cs="Arial"/>
        </w:rPr>
        <w:t xml:space="preserve"> (</w:t>
      </w:r>
      <w:r>
        <w:rPr>
          <w:rFonts w:ascii="Arial" w:hAnsi="Arial" w:cs="Arial"/>
          <w:i/>
          <w:lang w:val="es-CO"/>
        </w:rPr>
        <w:t>El Decreto 4400 de 2004 rige</w:t>
      </w:r>
      <w:r>
        <w:rPr>
          <w:rFonts w:ascii="Arial" w:hAnsi="Arial" w:cs="Arial"/>
          <w:i/>
          <w:lang w:val="es-CO"/>
        </w:rPr>
        <w:t xml:space="preserve"> a partir de su publicación y deroga las normas que le sean contrarias, en especial los artículos 4, 5, 6, 7 y 8 del Decreto 1514 de 1998 y el Decreto 124 de 1997. Art. 22, Decreto 4400 de 2004)</w:t>
      </w:r>
    </w:p>
    <w:p w14:paraId="00B8DE53" w14:textId="77777777" w:rsidR="00B2442D" w:rsidRDefault="00B2442D">
      <w:pPr>
        <w:jc w:val="both"/>
        <w:rPr>
          <w:rFonts w:ascii="Arial" w:hAnsi="Arial" w:cs="Arial"/>
          <w:lang w:val="es-CO"/>
        </w:rPr>
      </w:pPr>
    </w:p>
    <w:p w14:paraId="4F35CC53"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Determinación del beneficio neto o excedente.</w:t>
      </w:r>
      <w:r>
        <w:rPr>
          <w:rFonts w:ascii="Arial" w:hAnsi="Arial" w:cs="Arial"/>
          <w:lang w:val="es-CO"/>
        </w:rPr>
        <w:t xml:space="preserve"> El beneficio n</w:t>
      </w:r>
      <w:r>
        <w:rPr>
          <w:rFonts w:ascii="Arial" w:hAnsi="Arial" w:cs="Arial"/>
          <w:lang w:val="es-CO"/>
        </w:rPr>
        <w:t>eto o excedente gravado será el resultado de tomar la totalidad de los ingresos, ordinarios y extraordinarios, cualquiera sea su naturaleza o denominación, que no se encuentren expresamente exceptuados de gravamen y restar de los mismos los egresos que sea</w:t>
      </w:r>
      <w:r>
        <w:rPr>
          <w:rFonts w:ascii="Arial" w:hAnsi="Arial" w:cs="Arial"/>
          <w:lang w:val="es-CO"/>
        </w:rPr>
        <w:t>n procedentes de conformidad con el artículo 1.2.1.5.4 de este Decreto.</w:t>
      </w:r>
    </w:p>
    <w:p w14:paraId="5DEC7281" w14:textId="77777777" w:rsidR="00B2442D" w:rsidRDefault="00B2442D">
      <w:pPr>
        <w:jc w:val="both"/>
        <w:rPr>
          <w:rFonts w:ascii="Arial" w:hAnsi="Arial" w:cs="Arial"/>
          <w:lang w:val="es-CO"/>
        </w:rPr>
      </w:pPr>
    </w:p>
    <w:p w14:paraId="52F1A8D0" w14:textId="77777777" w:rsidR="00B2442D" w:rsidRDefault="008A645F">
      <w:pPr>
        <w:jc w:val="both"/>
        <w:rPr>
          <w:rFonts w:ascii="Arial" w:hAnsi="Arial" w:cs="Arial"/>
          <w:i/>
          <w:lang w:val="es-CO"/>
        </w:rPr>
      </w:pPr>
      <w:r>
        <w:rPr>
          <w:rFonts w:ascii="Arial" w:hAnsi="Arial" w:cs="Arial"/>
          <w:i/>
          <w:lang w:val="es-CO"/>
        </w:rPr>
        <w:t>(Art. 5, Decreto 4400 de 2004)</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 7 y 8 del Decret</w:t>
      </w:r>
      <w:r>
        <w:rPr>
          <w:rFonts w:ascii="Arial" w:hAnsi="Arial" w:cs="Arial"/>
          <w:i/>
          <w:lang w:val="es-CO"/>
        </w:rPr>
        <w:t>o 1514 de 1998 y el Decreto 124 de 1997. Art. 22, Decreto 4400 de 2004)</w:t>
      </w:r>
    </w:p>
    <w:p w14:paraId="1BE60743" w14:textId="77777777" w:rsidR="00B2442D" w:rsidRDefault="00B2442D">
      <w:pPr>
        <w:jc w:val="both"/>
        <w:rPr>
          <w:rFonts w:ascii="Arial" w:hAnsi="Arial" w:cs="Arial"/>
          <w:lang w:val="es-CO"/>
        </w:rPr>
      </w:pPr>
    </w:p>
    <w:p w14:paraId="62B144B1"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Compensación de pérdidas fiscales.</w:t>
      </w:r>
      <w:r>
        <w:rPr>
          <w:rFonts w:ascii="Arial" w:hAnsi="Arial" w:cs="Arial"/>
          <w:lang w:val="es-CO"/>
        </w:rPr>
        <w:t xml:space="preserve"> Cuando como resultado del ejercicio se genere una pérdida fiscal, la misma se podrá compensar con los beneficios netos de los periodos siguientes, d</w:t>
      </w:r>
      <w:r>
        <w:rPr>
          <w:rFonts w:ascii="Arial" w:hAnsi="Arial" w:cs="Arial"/>
          <w:lang w:val="es-CO"/>
        </w:rPr>
        <w:t xml:space="preserve">e conformidad con lo previsto en el artículo 147 del Estatuto Tributario. Esta decisión deberá ser adoptada por la Asamblea General o máximo órgano directivo, para lo cual se deberá dejar constancia en la respectiva acta, antes de presentar la declaración </w:t>
      </w:r>
      <w:r>
        <w:rPr>
          <w:rFonts w:ascii="Arial" w:hAnsi="Arial" w:cs="Arial"/>
          <w:lang w:val="es-CO"/>
        </w:rPr>
        <w:t>de renta y complementario del correspondiente periodo gravable en el cual se compense la pérdida.</w:t>
      </w:r>
    </w:p>
    <w:p w14:paraId="45A532B6" w14:textId="77777777" w:rsidR="00B2442D" w:rsidRDefault="00B2442D">
      <w:pPr>
        <w:jc w:val="both"/>
        <w:rPr>
          <w:rFonts w:ascii="Arial" w:hAnsi="Arial" w:cs="Arial"/>
          <w:lang w:val="es-CO"/>
        </w:rPr>
      </w:pPr>
    </w:p>
    <w:p w14:paraId="6D9745FC" w14:textId="77777777" w:rsidR="00B2442D" w:rsidRDefault="008A645F">
      <w:pPr>
        <w:jc w:val="both"/>
        <w:rPr>
          <w:rFonts w:ascii="Arial" w:hAnsi="Arial" w:cs="Arial"/>
          <w:i/>
          <w:lang w:val="es-CO"/>
        </w:rPr>
      </w:pPr>
      <w:r>
        <w:rPr>
          <w:rFonts w:ascii="Arial" w:hAnsi="Arial" w:cs="Arial"/>
          <w:i/>
          <w:lang w:val="es-CO"/>
        </w:rPr>
        <w:t>(Art. 6, Decreto 4400 de 2004)</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w:t>
      </w:r>
      <w:r>
        <w:rPr>
          <w:rFonts w:ascii="Arial" w:hAnsi="Arial" w:cs="Arial"/>
          <w:i/>
          <w:lang w:val="es-CO"/>
        </w:rPr>
        <w:t xml:space="preserve"> 4, 5, 6, 7 y 8 del Decreto 1514 de 1998 y el Decreto 124 de 1997. Art. 22, Decreto 4400 de 2004)</w:t>
      </w:r>
    </w:p>
    <w:p w14:paraId="5F64B487" w14:textId="77777777" w:rsidR="00B2442D" w:rsidRDefault="00B2442D">
      <w:pPr>
        <w:jc w:val="both"/>
        <w:rPr>
          <w:rFonts w:ascii="Arial" w:hAnsi="Arial" w:cs="Arial"/>
          <w:lang w:val="es-CO"/>
        </w:rPr>
      </w:pPr>
    </w:p>
    <w:p w14:paraId="356E931C"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Pagos a favor de asociados o miembros de la entidad.</w:t>
      </w:r>
      <w:r>
        <w:rPr>
          <w:rFonts w:ascii="Arial" w:hAnsi="Arial" w:cs="Arial"/>
          <w:lang w:val="es-CO"/>
        </w:rPr>
        <w:t xml:space="preserve"> Los pagos o abonos en cuenta por cualquier concepto, efectuados en forma directa o indirecta, en dinero o en especie, por las corporaciones, fundaciones y asociaciones sin ánimo de lucro, a favor de las personas que de alguna manera participen en la direc</w:t>
      </w:r>
      <w:r>
        <w:rPr>
          <w:rFonts w:ascii="Arial" w:hAnsi="Arial" w:cs="Arial"/>
          <w:lang w:val="es-CO"/>
        </w:rPr>
        <w:t>ción o administración de la entidad, o a favor de sus cónyuges, o sus parientes dentro del cuarto grado de consanguinidad, segundo de afinidad o único civil, constituyen renta gravable para las respectivas personas naturales vinculadas con la administració</w:t>
      </w:r>
      <w:r>
        <w:rPr>
          <w:rFonts w:ascii="Arial" w:hAnsi="Arial" w:cs="Arial"/>
          <w:lang w:val="es-CO"/>
        </w:rPr>
        <w:t>n o dirección de la entidad y están sujetos a retención en la fuente a la misma tarifa vigente para los honorarios.</w:t>
      </w:r>
    </w:p>
    <w:p w14:paraId="6E0E5A82" w14:textId="77777777" w:rsidR="00B2442D" w:rsidRDefault="00B2442D">
      <w:pPr>
        <w:jc w:val="both"/>
        <w:rPr>
          <w:rFonts w:ascii="Arial" w:hAnsi="Arial" w:cs="Arial"/>
          <w:lang w:val="es-CO"/>
        </w:rPr>
      </w:pPr>
    </w:p>
    <w:p w14:paraId="37B3160D" w14:textId="77777777" w:rsidR="00B2442D" w:rsidRDefault="008A645F">
      <w:pPr>
        <w:jc w:val="both"/>
        <w:rPr>
          <w:rFonts w:ascii="Arial" w:hAnsi="Arial" w:cs="Arial"/>
          <w:lang w:val="es-CO"/>
        </w:rPr>
      </w:pPr>
      <w:r>
        <w:rPr>
          <w:rFonts w:ascii="Arial" w:hAnsi="Arial" w:cs="Arial"/>
          <w:lang w:val="es-CO"/>
        </w:rPr>
        <w:t>Esta medida no es aplicable a los pagos originados en la relación laboral, sometidos a retención en la fuente de acuerdo con las disposicio</w:t>
      </w:r>
      <w:r>
        <w:rPr>
          <w:rFonts w:ascii="Arial" w:hAnsi="Arial" w:cs="Arial"/>
          <w:lang w:val="es-CO"/>
        </w:rPr>
        <w:t>nes vigentes sobre la materia.</w:t>
      </w:r>
    </w:p>
    <w:p w14:paraId="6C61CF0E" w14:textId="77777777" w:rsidR="00B2442D" w:rsidRDefault="00B2442D">
      <w:pPr>
        <w:jc w:val="both"/>
        <w:rPr>
          <w:rFonts w:ascii="Arial" w:hAnsi="Arial" w:cs="Arial"/>
          <w:lang w:val="es-CO"/>
        </w:rPr>
      </w:pPr>
    </w:p>
    <w:p w14:paraId="7F514039" w14:textId="77777777" w:rsidR="00B2442D" w:rsidRDefault="008A645F">
      <w:pPr>
        <w:jc w:val="both"/>
        <w:rPr>
          <w:rFonts w:ascii="Arial" w:hAnsi="Arial" w:cs="Arial"/>
          <w:i/>
          <w:lang w:val="es-CO"/>
        </w:rPr>
      </w:pPr>
      <w:r>
        <w:rPr>
          <w:rFonts w:ascii="Arial" w:hAnsi="Arial" w:cs="Arial"/>
          <w:i/>
          <w:lang w:val="es-CO"/>
        </w:rPr>
        <w:t>(Art. 7, Decreto 4400 de 2004)</w:t>
      </w:r>
      <w:r>
        <w:rPr>
          <w:rFonts w:ascii="Arial" w:hAnsi="Arial" w:cs="Arial"/>
        </w:rPr>
        <w:t xml:space="preserve"> (</w:t>
      </w:r>
      <w:r>
        <w:rPr>
          <w:rFonts w:ascii="Arial" w:hAnsi="Arial" w:cs="Arial"/>
          <w:i/>
          <w:lang w:val="es-CO"/>
        </w:rPr>
        <w:t xml:space="preserve">El Decreto 4400 de 2004 rige a partir de su publicación y deroga las normas que le sean contrarias, en especial los artículos 4, 5, 6, 7 y 8 del Decreto 1514 de 1998 y el Decreto 124 de 1997. </w:t>
      </w:r>
      <w:r>
        <w:rPr>
          <w:rFonts w:ascii="Arial" w:hAnsi="Arial" w:cs="Arial"/>
          <w:i/>
          <w:lang w:val="es-CO"/>
        </w:rPr>
        <w:t>Art. 22, Decreto 4400 de 2004)</w:t>
      </w:r>
    </w:p>
    <w:p w14:paraId="6B19B986" w14:textId="77777777" w:rsidR="00B2442D" w:rsidRDefault="00B2442D">
      <w:pPr>
        <w:jc w:val="both"/>
        <w:rPr>
          <w:rFonts w:ascii="Arial" w:hAnsi="Arial" w:cs="Arial"/>
          <w:b/>
          <w:lang w:val="es-CO"/>
        </w:rPr>
      </w:pPr>
    </w:p>
    <w:p w14:paraId="54EF3C65"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Exención del beneficio neto para las entidades sin ánimo de lucro.</w:t>
      </w:r>
      <w:r>
        <w:rPr>
          <w:rFonts w:ascii="Arial" w:hAnsi="Arial" w:cs="Arial"/>
          <w:lang w:val="es-CO"/>
        </w:rPr>
        <w:t xml:space="preserve"> De conformidad con el parágrafo 4° del artículo 19 del Estatuto Tributario, el beneficio neto o excedente de que trata el artículo 1.2.1.5.5 del presente Dec</w:t>
      </w:r>
      <w:r>
        <w:rPr>
          <w:rFonts w:ascii="Arial" w:hAnsi="Arial" w:cs="Arial"/>
          <w:lang w:val="es-CO"/>
        </w:rPr>
        <w:t>reto estará exento del impuesto sobre la renta cuando:</w:t>
      </w:r>
    </w:p>
    <w:p w14:paraId="78ECCC20" w14:textId="77777777" w:rsidR="00B2442D" w:rsidRDefault="00B2442D">
      <w:pPr>
        <w:jc w:val="both"/>
        <w:rPr>
          <w:rFonts w:ascii="Arial" w:hAnsi="Arial" w:cs="Arial"/>
          <w:lang w:val="es-CO"/>
        </w:rPr>
      </w:pPr>
    </w:p>
    <w:p w14:paraId="2F5FD4DF" w14:textId="77777777" w:rsidR="00B2442D" w:rsidRDefault="008A645F">
      <w:pPr>
        <w:jc w:val="both"/>
        <w:rPr>
          <w:rFonts w:ascii="Arial" w:hAnsi="Arial" w:cs="Arial"/>
          <w:lang w:val="es-CO"/>
        </w:rPr>
      </w:pPr>
      <w:r>
        <w:rPr>
          <w:rFonts w:ascii="Arial" w:hAnsi="Arial" w:cs="Arial"/>
          <w:lang w:val="es-CO"/>
        </w:rPr>
        <w:t>a) Corresponda a las actividades de salud, deporte aficionado, educación, cultura, investigación científica o tecnológica y programas de desarrollo social, a que se refiere el artículo 1.2.1.5.2 de es</w:t>
      </w:r>
      <w:r>
        <w:rPr>
          <w:rFonts w:ascii="Arial" w:hAnsi="Arial" w:cs="Arial"/>
          <w:lang w:val="es-CO"/>
        </w:rPr>
        <w:t>te Decreto, y siempre y cuando las mismas sean de interés general y a ellas tenga acceso la comunidad;</w:t>
      </w:r>
    </w:p>
    <w:p w14:paraId="0A76428F" w14:textId="77777777" w:rsidR="00B2442D" w:rsidRDefault="00B2442D">
      <w:pPr>
        <w:jc w:val="both"/>
        <w:rPr>
          <w:rFonts w:ascii="Arial" w:hAnsi="Arial" w:cs="Arial"/>
          <w:lang w:val="es-CO"/>
        </w:rPr>
      </w:pPr>
    </w:p>
    <w:p w14:paraId="75E42FBA" w14:textId="77777777" w:rsidR="00B2442D" w:rsidRDefault="008A645F">
      <w:pPr>
        <w:jc w:val="both"/>
        <w:rPr>
          <w:rFonts w:ascii="Arial" w:hAnsi="Arial" w:cs="Arial"/>
          <w:lang w:val="es-CO"/>
        </w:rPr>
      </w:pPr>
      <w:r>
        <w:rPr>
          <w:rFonts w:ascii="Arial" w:hAnsi="Arial" w:cs="Arial"/>
          <w:lang w:val="es-CO"/>
        </w:rPr>
        <w:t>b) Se destine y ejecute dentro del año siguiente al de su obtención, o dentro de los plazos adicionales establecidos por la Asamblea General o máximo ór</w:t>
      </w:r>
      <w:r>
        <w:rPr>
          <w:rFonts w:ascii="Arial" w:hAnsi="Arial" w:cs="Arial"/>
          <w:lang w:val="es-CO"/>
        </w:rPr>
        <w:t>gano directivo que haga sus veces, a una o varias de las actividades descritas en el literal anterior, siempre y cuando las mismas sean de interés general y que a ellas tenga acceso la comunidad, en los términos del artículo 1.2.1.5.2 del presente Decreto.</w:t>
      </w:r>
    </w:p>
    <w:p w14:paraId="4E07F339" w14:textId="77777777" w:rsidR="00B2442D" w:rsidRDefault="00B2442D">
      <w:pPr>
        <w:jc w:val="both"/>
        <w:rPr>
          <w:rFonts w:ascii="Arial" w:hAnsi="Arial" w:cs="Arial"/>
          <w:lang w:val="es-CO"/>
        </w:rPr>
      </w:pPr>
    </w:p>
    <w:p w14:paraId="220AA6E7" w14:textId="77777777" w:rsidR="00B2442D" w:rsidRDefault="008A645F">
      <w:pPr>
        <w:jc w:val="both"/>
        <w:rPr>
          <w:rFonts w:ascii="Arial" w:hAnsi="Arial" w:cs="Arial"/>
          <w:lang w:val="es-CO"/>
        </w:rPr>
      </w:pPr>
      <w:r>
        <w:rPr>
          <w:rFonts w:ascii="Arial" w:hAnsi="Arial" w:cs="Arial"/>
          <w:lang w:val="es-CO"/>
        </w:rPr>
        <w:t>La destinación total del beneficio neto se deberá aprobar previamente a la presentación de la declaración del impuesto sobre la renta y complementario del respectivo periodo gravable;</w:t>
      </w:r>
    </w:p>
    <w:p w14:paraId="0DB1B38E" w14:textId="77777777" w:rsidR="00B2442D" w:rsidRDefault="00B2442D">
      <w:pPr>
        <w:jc w:val="both"/>
        <w:rPr>
          <w:rFonts w:ascii="Arial" w:hAnsi="Arial" w:cs="Arial"/>
          <w:lang w:val="es-CO"/>
        </w:rPr>
      </w:pPr>
    </w:p>
    <w:p w14:paraId="7541F492" w14:textId="77777777" w:rsidR="00B2442D" w:rsidRDefault="008A645F">
      <w:pPr>
        <w:jc w:val="both"/>
        <w:rPr>
          <w:rFonts w:ascii="Arial" w:hAnsi="Arial" w:cs="Arial"/>
          <w:lang w:val="es-CO"/>
        </w:rPr>
      </w:pPr>
      <w:r>
        <w:rPr>
          <w:rFonts w:ascii="Arial" w:hAnsi="Arial" w:cs="Arial"/>
          <w:lang w:val="es-CO"/>
        </w:rPr>
        <w:t>c) Se destine para constituir asignación permanente, conforme con los</w:t>
      </w:r>
      <w:r>
        <w:rPr>
          <w:rFonts w:ascii="Arial" w:hAnsi="Arial" w:cs="Arial"/>
          <w:lang w:val="es-CO"/>
        </w:rPr>
        <w:t xml:space="preserve"> requisitos establecidos en los artículos 1.2.1.5.9 y 1.2.1.5.10 del presente Decreto.</w:t>
      </w:r>
    </w:p>
    <w:p w14:paraId="7E5088C2" w14:textId="77777777" w:rsidR="00B2442D" w:rsidRDefault="00B2442D">
      <w:pPr>
        <w:jc w:val="both"/>
        <w:rPr>
          <w:rFonts w:ascii="Arial" w:hAnsi="Arial" w:cs="Arial"/>
          <w:lang w:val="es-CO"/>
        </w:rPr>
      </w:pPr>
    </w:p>
    <w:p w14:paraId="729B874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beneficio neto o excedente fiscal de las entidades que cumplan las condiciones a que se refiere el numeral 1 del artículo 19 del Estatuto Tributario estar</w:t>
      </w:r>
      <w:r>
        <w:rPr>
          <w:rFonts w:ascii="Arial" w:hAnsi="Arial" w:cs="Arial"/>
          <w:lang w:val="es-CO"/>
        </w:rPr>
        <w:t>á exento cuando el excedente contable sea reinvertido en su totalidad en las actividades de su objeto social, siempre que este corresponda a las enunciadas en el artículo 359 del Estatuto Tributario y a ellas tenga acceso la comunidad.</w:t>
      </w:r>
    </w:p>
    <w:p w14:paraId="53A1213B" w14:textId="77777777" w:rsidR="00B2442D" w:rsidRDefault="00B2442D">
      <w:pPr>
        <w:jc w:val="both"/>
        <w:rPr>
          <w:rFonts w:ascii="Arial" w:hAnsi="Arial" w:cs="Arial"/>
          <w:lang w:val="es-CO"/>
        </w:rPr>
      </w:pPr>
    </w:p>
    <w:p w14:paraId="6784B311" w14:textId="77777777" w:rsidR="00B2442D" w:rsidRDefault="008A645F">
      <w:pPr>
        <w:jc w:val="both"/>
        <w:rPr>
          <w:rFonts w:ascii="Arial" w:hAnsi="Arial" w:cs="Arial"/>
          <w:lang w:val="es-CO"/>
        </w:rPr>
      </w:pPr>
      <w:r>
        <w:rPr>
          <w:rFonts w:ascii="Arial" w:hAnsi="Arial" w:cs="Arial"/>
          <w:lang w:val="es-CO"/>
        </w:rPr>
        <w:t>La parte del benefi</w:t>
      </w:r>
      <w:r>
        <w:rPr>
          <w:rFonts w:ascii="Arial" w:hAnsi="Arial" w:cs="Arial"/>
          <w:lang w:val="es-CO"/>
        </w:rPr>
        <w:t>cio neto o excedente generado en la no procedencia de los egresos, constituye ingreso gravable sometido a la tarifa del veinte por ciento (20%) y sobre este impuesto no procede descuento.</w:t>
      </w:r>
    </w:p>
    <w:p w14:paraId="68D67CD3" w14:textId="77777777" w:rsidR="00B2442D" w:rsidRDefault="00B2442D">
      <w:pPr>
        <w:jc w:val="both"/>
        <w:rPr>
          <w:rFonts w:ascii="Arial" w:hAnsi="Arial" w:cs="Arial"/>
          <w:lang w:val="es-CO"/>
        </w:rPr>
      </w:pPr>
    </w:p>
    <w:p w14:paraId="077F88D7" w14:textId="77777777" w:rsidR="00B2442D" w:rsidRDefault="008A645F">
      <w:pPr>
        <w:jc w:val="both"/>
        <w:rPr>
          <w:rFonts w:ascii="Arial" w:hAnsi="Arial" w:cs="Arial"/>
          <w:lang w:val="es-CO"/>
        </w:rPr>
      </w:pPr>
      <w:r>
        <w:rPr>
          <w:rFonts w:ascii="Arial" w:hAnsi="Arial" w:cs="Arial"/>
          <w:lang w:val="es-CO"/>
        </w:rPr>
        <w:t>Para efectos de lo previsto en el inciso 2o del artículo 358 del Es</w:t>
      </w:r>
      <w:r>
        <w:rPr>
          <w:rFonts w:ascii="Arial" w:hAnsi="Arial" w:cs="Arial"/>
          <w:lang w:val="es-CO"/>
        </w:rPr>
        <w:t>tatuto Tributario se tomarán como egresos no procedentes aquellos que no tengan relación de causalidad con los ingresos o con el cumplimiento del objeto social o que no cumplan con los requisitos previstos en las normas especiales de que trata el parágrafo</w:t>
      </w:r>
      <w:r>
        <w:rPr>
          <w:rFonts w:ascii="Arial" w:hAnsi="Arial" w:cs="Arial"/>
          <w:lang w:val="es-CO"/>
        </w:rPr>
        <w:t xml:space="preserve"> 1o del artículo 1.2.1.5.4 del presente Decreto.</w:t>
      </w:r>
    </w:p>
    <w:p w14:paraId="42B15FF2" w14:textId="77777777" w:rsidR="00B2442D" w:rsidRDefault="00B2442D">
      <w:pPr>
        <w:jc w:val="both"/>
        <w:rPr>
          <w:rFonts w:ascii="Arial" w:hAnsi="Arial" w:cs="Arial"/>
          <w:lang w:val="es-CO"/>
        </w:rPr>
      </w:pPr>
    </w:p>
    <w:p w14:paraId="29BA9777" w14:textId="77777777" w:rsidR="00B2442D" w:rsidRDefault="008A645F">
      <w:pPr>
        <w:jc w:val="both"/>
        <w:rPr>
          <w:rFonts w:ascii="Arial" w:hAnsi="Arial" w:cs="Arial"/>
          <w:i/>
          <w:lang w:val="es-CO"/>
        </w:rPr>
      </w:pPr>
      <w:r>
        <w:rPr>
          <w:rFonts w:ascii="Arial" w:hAnsi="Arial" w:cs="Arial"/>
          <w:i/>
          <w:lang w:val="es-CO"/>
        </w:rPr>
        <w:t>(Art. 8, Decreto 4400 de 2004, modificado el parágrafo por el art. 4 del Decreto 640 de 2005)</w:t>
      </w:r>
      <w:r>
        <w:rPr>
          <w:rFonts w:ascii="Arial" w:hAnsi="Arial" w:cs="Arial"/>
        </w:rPr>
        <w:t xml:space="preserve"> (</w:t>
      </w:r>
      <w:r>
        <w:rPr>
          <w:rFonts w:ascii="Arial" w:hAnsi="Arial" w:cs="Arial"/>
          <w:i/>
          <w:lang w:val="es-CO"/>
        </w:rPr>
        <w:t>El Decreto 4400 de 2004 rige a partir de su publicación y deroga las normas que le sean contrarias, en especial</w:t>
      </w:r>
      <w:r>
        <w:rPr>
          <w:rFonts w:ascii="Arial" w:hAnsi="Arial" w:cs="Arial"/>
          <w:i/>
          <w:lang w:val="es-CO"/>
        </w:rPr>
        <w:t xml:space="preserve"> los artículos 4, 5, 6, 7 y 8 del Decreto 1514 de 1998 y el Decreto 124 de 1997. Art. 22, Decreto 4400 de 2004)</w:t>
      </w:r>
    </w:p>
    <w:p w14:paraId="76516DD2" w14:textId="77777777" w:rsidR="00B2442D" w:rsidRDefault="00B2442D">
      <w:pPr>
        <w:jc w:val="both"/>
        <w:rPr>
          <w:rFonts w:ascii="Arial" w:hAnsi="Arial" w:cs="Arial"/>
          <w:lang w:val="es-CO"/>
        </w:rPr>
      </w:pPr>
    </w:p>
    <w:p w14:paraId="2CEEF6F8"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Asignaciones permanentes.</w:t>
      </w:r>
      <w:r>
        <w:rPr>
          <w:rFonts w:ascii="Arial" w:hAnsi="Arial" w:cs="Arial"/>
          <w:lang w:val="es-CO"/>
        </w:rPr>
        <w:t xml:space="preserve"> Las asignaciones permanentes están constituidas por el beneficio neto o excedente que se reserve para realizar inversiones en bienes o derechos, con el objeto de que sus rendimientos permitan el mantenimiento o desarrollo permanente de alguna de las activ</w:t>
      </w:r>
      <w:r>
        <w:rPr>
          <w:rFonts w:ascii="Arial" w:hAnsi="Arial" w:cs="Arial"/>
          <w:lang w:val="es-CO"/>
        </w:rPr>
        <w:t>idades de su objeto social. La entidad podrá optar por invertir en diversos activos negociables, salvo las limitaciones legales o restricciones de los organismos de control.</w:t>
      </w:r>
    </w:p>
    <w:p w14:paraId="66854E4D" w14:textId="77777777" w:rsidR="00B2442D" w:rsidRDefault="00B2442D">
      <w:pPr>
        <w:jc w:val="both"/>
        <w:rPr>
          <w:rFonts w:ascii="Arial" w:hAnsi="Arial" w:cs="Arial"/>
          <w:lang w:val="es-CO"/>
        </w:rPr>
      </w:pPr>
    </w:p>
    <w:p w14:paraId="2319C162" w14:textId="77777777" w:rsidR="00B2442D" w:rsidRDefault="008A645F">
      <w:pPr>
        <w:jc w:val="both"/>
        <w:rPr>
          <w:rFonts w:ascii="Arial" w:hAnsi="Arial" w:cs="Arial"/>
          <w:lang w:val="es-CO"/>
        </w:rPr>
      </w:pPr>
      <w:r>
        <w:rPr>
          <w:rFonts w:ascii="Arial" w:hAnsi="Arial" w:cs="Arial"/>
          <w:lang w:val="es-CO"/>
        </w:rPr>
        <w:t xml:space="preserve">Para constituir válidamente la asignación permanente, las entidades sin ánimo de </w:t>
      </w:r>
      <w:r>
        <w:rPr>
          <w:rFonts w:ascii="Arial" w:hAnsi="Arial" w:cs="Arial"/>
          <w:lang w:val="es-CO"/>
        </w:rPr>
        <w:t>lucro, deberán cumplir totalmente con los siguientes requisitos:</w:t>
      </w:r>
    </w:p>
    <w:p w14:paraId="2E1C852D" w14:textId="77777777" w:rsidR="00B2442D" w:rsidRDefault="00B2442D">
      <w:pPr>
        <w:jc w:val="both"/>
        <w:rPr>
          <w:rFonts w:ascii="Arial" w:hAnsi="Arial" w:cs="Arial"/>
          <w:lang w:val="es-CO"/>
        </w:rPr>
      </w:pPr>
    </w:p>
    <w:p w14:paraId="172DC825" w14:textId="77777777" w:rsidR="00B2442D" w:rsidRDefault="008A645F">
      <w:pPr>
        <w:ind w:left="284" w:hanging="284"/>
        <w:jc w:val="both"/>
        <w:rPr>
          <w:rFonts w:ascii="Arial" w:hAnsi="Arial" w:cs="Arial"/>
          <w:lang w:val="es-CO"/>
        </w:rPr>
      </w:pPr>
      <w:r>
        <w:rPr>
          <w:rFonts w:ascii="Arial" w:hAnsi="Arial" w:cs="Arial"/>
          <w:lang w:val="es-CO"/>
        </w:rPr>
        <w:t>a) Que la constitución de la asignación permanente esté aprobada por la asamblea general o máximo órgano directivo que haga sus veces, antes de presentar la declaración de renta y complementario del respectivo período gravable. La aprobación deberá constar</w:t>
      </w:r>
      <w:r>
        <w:rPr>
          <w:rFonts w:ascii="Arial" w:hAnsi="Arial" w:cs="Arial"/>
          <w:lang w:val="es-CO"/>
        </w:rPr>
        <w:t xml:space="preserve"> en Acta, en la cual se dejará constancia del valor neto o excedente que se reserva para asignación permanente, el período gravable al que corresponde el excedente, el objeto de la inversión y las actividades específicas a desarrollar. No será de recibo el</w:t>
      </w:r>
      <w:r>
        <w:rPr>
          <w:rFonts w:ascii="Arial" w:hAnsi="Arial" w:cs="Arial"/>
          <w:lang w:val="es-CO"/>
        </w:rPr>
        <w:t xml:space="preserve"> señalamiento genérico de las actividades a ejecutar, como tampoco la simple mención del objeto estatutario;</w:t>
      </w:r>
    </w:p>
    <w:p w14:paraId="52640124" w14:textId="77777777" w:rsidR="00B2442D" w:rsidRDefault="00B2442D">
      <w:pPr>
        <w:ind w:left="284" w:hanging="284"/>
        <w:jc w:val="both"/>
        <w:rPr>
          <w:rFonts w:ascii="Arial" w:hAnsi="Arial" w:cs="Arial"/>
          <w:lang w:val="es-CO"/>
        </w:rPr>
      </w:pPr>
    </w:p>
    <w:p w14:paraId="618CA9C7" w14:textId="77777777" w:rsidR="00B2442D" w:rsidRDefault="008A645F">
      <w:pPr>
        <w:ind w:left="284" w:hanging="284"/>
        <w:jc w:val="both"/>
        <w:rPr>
          <w:rFonts w:ascii="Arial" w:hAnsi="Arial" w:cs="Arial"/>
          <w:lang w:val="es-CO"/>
        </w:rPr>
      </w:pPr>
      <w:r>
        <w:rPr>
          <w:rFonts w:ascii="Arial" w:hAnsi="Arial" w:cs="Arial"/>
          <w:lang w:val="es-CO"/>
        </w:rPr>
        <w:t>b) Que se registre la reserva como parte del patrimonio de la entidad, en una cuenta especial denominada asignación permanente;</w:t>
      </w:r>
    </w:p>
    <w:p w14:paraId="6C5A201E" w14:textId="77777777" w:rsidR="00B2442D" w:rsidRDefault="00B2442D">
      <w:pPr>
        <w:ind w:left="284" w:hanging="284"/>
        <w:jc w:val="both"/>
        <w:rPr>
          <w:rFonts w:ascii="Arial" w:hAnsi="Arial" w:cs="Arial"/>
          <w:lang w:val="es-CO"/>
        </w:rPr>
      </w:pPr>
    </w:p>
    <w:p w14:paraId="588EFD28" w14:textId="77777777" w:rsidR="00B2442D" w:rsidRDefault="008A645F">
      <w:pPr>
        <w:ind w:left="284" w:hanging="284"/>
        <w:jc w:val="both"/>
        <w:rPr>
          <w:rFonts w:ascii="Arial" w:hAnsi="Arial" w:cs="Arial"/>
          <w:lang w:val="es-CO"/>
        </w:rPr>
      </w:pPr>
      <w:r>
        <w:rPr>
          <w:rFonts w:ascii="Arial" w:hAnsi="Arial" w:cs="Arial"/>
          <w:lang w:val="es-CO"/>
        </w:rPr>
        <w:t>c) Que sus frutos</w:t>
      </w:r>
      <w:r>
        <w:rPr>
          <w:rFonts w:ascii="Arial" w:hAnsi="Arial" w:cs="Arial"/>
          <w:lang w:val="es-CO"/>
        </w:rPr>
        <w:t>, rendimientos o producto se inviertan o utilicen en el desarrollo de su objeto social.</w:t>
      </w:r>
    </w:p>
    <w:p w14:paraId="0092D4DB" w14:textId="77777777" w:rsidR="00B2442D" w:rsidRDefault="00B2442D">
      <w:pPr>
        <w:jc w:val="both"/>
        <w:rPr>
          <w:rFonts w:ascii="Arial" w:hAnsi="Arial" w:cs="Arial"/>
          <w:lang w:val="es-CO"/>
        </w:rPr>
      </w:pPr>
    </w:p>
    <w:p w14:paraId="1BFC899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Solamente la Asamblea General o máximo órgano directivo que haga sus veces, tiene la facultad para destinar una asignación permanente a otros fines. Dicha a</w:t>
      </w:r>
      <w:r>
        <w:rPr>
          <w:rFonts w:ascii="Arial" w:hAnsi="Arial" w:cs="Arial"/>
          <w:lang w:val="es-CO"/>
        </w:rPr>
        <w:t>signación deberá invertirse en el año en que se apruebe su destinación diferente, para ser considerada como ingreso exento; en caso contrario constituye ingreso gravable a la tarifa del veinte por ciento (20%), sin que proceda deducción o descuento sobre e</w:t>
      </w:r>
      <w:r>
        <w:rPr>
          <w:rFonts w:ascii="Arial" w:hAnsi="Arial" w:cs="Arial"/>
          <w:lang w:val="es-CO"/>
        </w:rPr>
        <w:t>ste impuesto. En los años gravables siguientes será exento únicamente el valor de los rendimientos o frutos que produzca la asignación permanente que sean invertidos en el objeto social conforme con las condiciones establecidas en el presente capítulo.</w:t>
      </w:r>
    </w:p>
    <w:p w14:paraId="42360F0A" w14:textId="77777777" w:rsidR="00B2442D" w:rsidRDefault="00B2442D">
      <w:pPr>
        <w:jc w:val="both"/>
        <w:rPr>
          <w:rFonts w:ascii="Arial" w:hAnsi="Arial" w:cs="Arial"/>
          <w:i/>
          <w:lang w:val="es-CO"/>
        </w:rPr>
      </w:pPr>
    </w:p>
    <w:p w14:paraId="2EEBBAAD" w14:textId="77777777" w:rsidR="00B2442D" w:rsidRDefault="008A645F">
      <w:pPr>
        <w:jc w:val="both"/>
        <w:rPr>
          <w:rFonts w:ascii="Arial" w:hAnsi="Arial" w:cs="Arial"/>
          <w:i/>
          <w:lang w:val="es-CO"/>
        </w:rPr>
      </w:pPr>
      <w:r>
        <w:rPr>
          <w:rFonts w:ascii="Arial" w:hAnsi="Arial" w:cs="Arial"/>
          <w:i/>
          <w:lang w:val="es-CO"/>
        </w:rPr>
        <w:t>(A</w:t>
      </w:r>
      <w:r>
        <w:rPr>
          <w:rFonts w:ascii="Arial" w:hAnsi="Arial" w:cs="Arial"/>
          <w:i/>
          <w:lang w:val="es-CO"/>
        </w:rPr>
        <w:t>rt. 9, Decreto 4400 de 2004)</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 7 y 8 del Decreto 1514 de 1998 y el Decreto 124 de 1997. Art. 22, Decreto 4400 de 2004)</w:t>
      </w:r>
    </w:p>
    <w:p w14:paraId="24655E4F" w14:textId="77777777" w:rsidR="00B2442D" w:rsidRDefault="00B2442D">
      <w:pPr>
        <w:jc w:val="both"/>
        <w:rPr>
          <w:rFonts w:ascii="Arial" w:hAnsi="Arial" w:cs="Arial"/>
          <w:lang w:val="es-CO"/>
        </w:rPr>
      </w:pPr>
    </w:p>
    <w:p w14:paraId="5FDFBFE9"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Re</w:t>
      </w:r>
      <w:r>
        <w:rPr>
          <w:rFonts w:ascii="Arial" w:hAnsi="Arial" w:cs="Arial"/>
          <w:b/>
          <w:i/>
          <w:lang w:val="es-CO"/>
        </w:rPr>
        <w:t>gistro contable de las asignaciones permanentes.</w:t>
      </w:r>
      <w:r>
        <w:rPr>
          <w:rFonts w:ascii="Arial" w:hAnsi="Arial" w:cs="Arial"/>
          <w:lang w:val="es-CO"/>
        </w:rPr>
        <w:t xml:space="preserve"> En el evento que exista una asignación permanente constituida en años anteriores, y la entidad opte por incrementarla con nuevos beneficios netos, para efectos fiscales se deberá dejar constancia en la cuent</w:t>
      </w:r>
      <w:r>
        <w:rPr>
          <w:rFonts w:ascii="Arial" w:hAnsi="Arial" w:cs="Arial"/>
          <w:lang w:val="es-CO"/>
        </w:rPr>
        <w:t>a del patrimonio denominada “Asignación permanente”, de los valores parciales abonados año por año y del valor total acumulado.</w:t>
      </w:r>
    </w:p>
    <w:p w14:paraId="25D224DD" w14:textId="77777777" w:rsidR="00B2442D" w:rsidRDefault="00B2442D">
      <w:pPr>
        <w:jc w:val="both"/>
        <w:rPr>
          <w:rFonts w:ascii="Arial" w:hAnsi="Arial" w:cs="Arial"/>
          <w:lang w:val="es-CO"/>
        </w:rPr>
      </w:pPr>
    </w:p>
    <w:p w14:paraId="09DCF640" w14:textId="77777777" w:rsidR="00B2442D" w:rsidRDefault="008A645F">
      <w:pPr>
        <w:jc w:val="both"/>
        <w:rPr>
          <w:rFonts w:ascii="Arial" w:hAnsi="Arial" w:cs="Arial"/>
          <w:i/>
          <w:lang w:val="es-CO"/>
        </w:rPr>
      </w:pPr>
      <w:r>
        <w:rPr>
          <w:rFonts w:ascii="Arial" w:hAnsi="Arial" w:cs="Arial"/>
          <w:i/>
          <w:lang w:val="es-CO"/>
        </w:rPr>
        <w:t>(Art. 10, Decreto 4400 de 2004)</w:t>
      </w:r>
      <w:r>
        <w:rPr>
          <w:rFonts w:ascii="Arial" w:hAnsi="Arial" w:cs="Arial"/>
        </w:rPr>
        <w:t xml:space="preserve"> (</w:t>
      </w:r>
      <w:r>
        <w:rPr>
          <w:rFonts w:ascii="Arial" w:hAnsi="Arial" w:cs="Arial"/>
          <w:i/>
          <w:lang w:val="es-CO"/>
        </w:rPr>
        <w:t>El Decreto 4400 de 2004 rige a partir de su publicación y deroga las normas que le sean contra</w:t>
      </w:r>
      <w:r>
        <w:rPr>
          <w:rFonts w:ascii="Arial" w:hAnsi="Arial" w:cs="Arial"/>
          <w:i/>
          <w:lang w:val="es-CO"/>
        </w:rPr>
        <w:t>rias, en especial los artículos 4, 5, 6, 7 y 8 del Decreto 1514 de 1998 y el Decreto 124 de 1997. Art. 22, Decreto 4400 de 2004)</w:t>
      </w:r>
    </w:p>
    <w:p w14:paraId="7CDF9F0E" w14:textId="77777777" w:rsidR="00B2442D" w:rsidRDefault="00B2442D">
      <w:pPr>
        <w:jc w:val="both"/>
        <w:rPr>
          <w:rFonts w:ascii="Arial" w:hAnsi="Arial" w:cs="Arial"/>
          <w:lang w:val="es-CO"/>
        </w:rPr>
      </w:pPr>
    </w:p>
    <w:p w14:paraId="29E5E9ED"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 xml:space="preserve">Determinación del beneficio neto o excedente. </w:t>
      </w:r>
      <w:r>
        <w:rPr>
          <w:rFonts w:ascii="Arial" w:hAnsi="Arial" w:cs="Arial"/>
          <w:lang w:val="es-CO"/>
        </w:rPr>
        <w:t>Las entidades a que se refiere el numeral 4 del artículo 19 del Estatuto Tributa</w:t>
      </w:r>
      <w:r>
        <w:rPr>
          <w:rFonts w:ascii="Arial" w:hAnsi="Arial" w:cs="Arial"/>
          <w:lang w:val="es-CO"/>
        </w:rPr>
        <w:t>rio determinarán su excedente contable de acuerdo con las reglas establecidas por la normatividad cooperativa y el Decreto 1480 de 1989, según el caso.</w:t>
      </w:r>
    </w:p>
    <w:p w14:paraId="744BFD17" w14:textId="77777777" w:rsidR="00B2442D" w:rsidRDefault="00B2442D">
      <w:pPr>
        <w:jc w:val="both"/>
        <w:rPr>
          <w:rFonts w:ascii="Arial" w:hAnsi="Arial" w:cs="Arial"/>
          <w:lang w:val="es-CO"/>
        </w:rPr>
      </w:pPr>
    </w:p>
    <w:p w14:paraId="22394CF3" w14:textId="77777777" w:rsidR="00B2442D" w:rsidRDefault="008A645F">
      <w:pPr>
        <w:jc w:val="both"/>
        <w:rPr>
          <w:rFonts w:ascii="Arial" w:hAnsi="Arial" w:cs="Arial"/>
          <w:i/>
          <w:lang w:val="es-CO"/>
        </w:rPr>
      </w:pPr>
      <w:r>
        <w:rPr>
          <w:rFonts w:ascii="Arial" w:hAnsi="Arial" w:cs="Arial"/>
          <w:i/>
          <w:lang w:val="es-CO"/>
        </w:rPr>
        <w:t>(Art. 11, Decreto 4400 de 2004, modificado por el art. 5 del Decreto 640 de 2005. La expresión “A su ve</w:t>
      </w:r>
      <w:r>
        <w:rPr>
          <w:rFonts w:ascii="Arial" w:hAnsi="Arial" w:cs="Arial"/>
          <w:i/>
          <w:lang w:val="es-CO"/>
        </w:rPr>
        <w:t>z el beneficio neto o excedente fiscal que se refleja en la declaración del impuesto sobre la renta y complementarios se determinará conforme al procedimiento previsto en los artículos 3°, 4° y 5° de este decreto” tiene decaimiento en virtud de la modifica</w:t>
      </w:r>
      <w:r>
        <w:rPr>
          <w:rFonts w:ascii="Arial" w:hAnsi="Arial" w:cs="Arial"/>
          <w:i/>
          <w:lang w:val="es-CO"/>
        </w:rPr>
        <w:t>ción efectuada al artículo 19 del E.T. por el artículo 10 de la Ley 1066 de 2006, que adicionó el inciso tercero al numeral 4°)</w:t>
      </w:r>
      <w:r>
        <w:rPr>
          <w:rFonts w:ascii="Arial" w:hAnsi="Arial" w:cs="Arial"/>
        </w:rPr>
        <w:t>(</w:t>
      </w:r>
      <w:r>
        <w:rPr>
          <w:rFonts w:ascii="Arial" w:hAnsi="Arial" w:cs="Arial"/>
          <w:i/>
          <w:lang w:val="es-CO"/>
        </w:rPr>
        <w:t>El Decreto 4400 de 2004 rige a partir de su publicación y deroga las normas que le sean contrarias, en especial los artículos 4,</w:t>
      </w:r>
      <w:r>
        <w:rPr>
          <w:rFonts w:ascii="Arial" w:hAnsi="Arial" w:cs="Arial"/>
          <w:i/>
          <w:lang w:val="es-CO"/>
        </w:rPr>
        <w:t xml:space="preserve"> 5, 6, 7 y 8 del Decreto 1514 de 1998 y el Decreto 124 de 1997. Art. 22, Decreto 4400 de 2004)</w:t>
      </w:r>
    </w:p>
    <w:p w14:paraId="0B49C7D8" w14:textId="77777777" w:rsidR="00B2442D" w:rsidRDefault="00B2442D">
      <w:pPr>
        <w:jc w:val="both"/>
        <w:rPr>
          <w:rFonts w:ascii="Arial" w:hAnsi="Arial" w:cs="Arial"/>
          <w:lang w:val="es-CO"/>
        </w:rPr>
      </w:pPr>
    </w:p>
    <w:p w14:paraId="28845A79"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Exención del beneficio neto o excedente fiscal para el sector cooperativo y asociaciones mutuales.</w:t>
      </w:r>
      <w:r>
        <w:rPr>
          <w:rFonts w:ascii="Arial" w:hAnsi="Arial" w:cs="Arial"/>
          <w:lang w:val="es-CO"/>
        </w:rPr>
        <w:t xml:space="preserve"> Para las entidades del sector cooperativo y asociaciones mutu</w:t>
      </w:r>
      <w:r>
        <w:rPr>
          <w:rFonts w:ascii="Arial" w:hAnsi="Arial" w:cs="Arial"/>
          <w:lang w:val="es-CO"/>
        </w:rPr>
        <w:t>ales el beneficio neto o excedente fiscal estará exento del impuesto sobre la renta y complementario cuando cumpla con las siguientes condiciones:</w:t>
      </w:r>
    </w:p>
    <w:p w14:paraId="788FA5DA" w14:textId="77777777" w:rsidR="00B2442D" w:rsidRDefault="00B2442D">
      <w:pPr>
        <w:jc w:val="both"/>
        <w:rPr>
          <w:rFonts w:ascii="Arial" w:hAnsi="Arial" w:cs="Arial"/>
          <w:lang w:val="es-CO"/>
        </w:rPr>
      </w:pPr>
    </w:p>
    <w:p w14:paraId="39DA8A7E" w14:textId="77777777" w:rsidR="00B2442D" w:rsidRDefault="008A645F">
      <w:pPr>
        <w:jc w:val="both"/>
        <w:rPr>
          <w:rFonts w:ascii="Arial" w:hAnsi="Arial" w:cs="Arial"/>
          <w:lang w:val="es-CO"/>
        </w:rPr>
      </w:pPr>
      <w:r>
        <w:rPr>
          <w:rFonts w:ascii="Arial" w:hAnsi="Arial" w:cs="Arial"/>
          <w:lang w:val="es-CO"/>
        </w:rPr>
        <w:t>a) Que el beneficio neto o excedente contable se destine exclusivamente según lo establecido en la Ley 79 de</w:t>
      </w:r>
      <w:r>
        <w:rPr>
          <w:rFonts w:ascii="Arial" w:hAnsi="Arial" w:cs="Arial"/>
          <w:lang w:val="es-CO"/>
        </w:rPr>
        <w:t xml:space="preserve"> 1988, para el caso de las cooperativas y en el Decreto 1480 de 1989, para las asociaciones mutuales, y</w:t>
      </w:r>
    </w:p>
    <w:p w14:paraId="0FFFC5A3" w14:textId="77777777" w:rsidR="00B2442D" w:rsidRDefault="00B2442D">
      <w:pPr>
        <w:jc w:val="both"/>
        <w:rPr>
          <w:rFonts w:ascii="Arial" w:hAnsi="Arial" w:cs="Arial"/>
          <w:lang w:val="es-CO"/>
        </w:rPr>
      </w:pPr>
    </w:p>
    <w:p w14:paraId="624DCB17" w14:textId="77777777" w:rsidR="00B2442D" w:rsidRDefault="008A645F">
      <w:pPr>
        <w:jc w:val="both"/>
        <w:rPr>
          <w:rFonts w:ascii="Arial" w:hAnsi="Arial" w:cs="Arial"/>
          <w:lang w:val="es-CO"/>
        </w:rPr>
      </w:pPr>
      <w:r>
        <w:rPr>
          <w:rFonts w:ascii="Arial" w:hAnsi="Arial" w:cs="Arial"/>
          <w:lang w:val="es-CO"/>
        </w:rPr>
        <w:t>b) Que de conformidad con el numeral 4 del artículo 19 del Estatuto Tributario, al menos el veinte por ciento (20%) del beneficio neto o excedente cont</w:t>
      </w:r>
      <w:r>
        <w:rPr>
          <w:rFonts w:ascii="Arial" w:hAnsi="Arial" w:cs="Arial"/>
          <w:lang w:val="es-CO"/>
        </w:rPr>
        <w:t>able, se destine de manera autónoma por las propias cooperativas a financiar cupos y programas de educación formal en instituciones autorizadas por el Ministerio de Educación Nacional, de acuerdo con las disposiciones reglamentarias vigentes. Estos recurso</w:t>
      </w:r>
      <w:r>
        <w:rPr>
          <w:rFonts w:ascii="Arial" w:hAnsi="Arial" w:cs="Arial"/>
          <w:lang w:val="es-CO"/>
        </w:rPr>
        <w:t>s serán apropiados de los Fondos de Educación y Solidaridad de que trata el artículo 54 de la Ley 79 de 1988 y del Fondo Social Mutual de que trata el artículo 20 del Decreto 1480 de 1989.</w:t>
      </w:r>
    </w:p>
    <w:p w14:paraId="5D751921" w14:textId="77777777" w:rsidR="00B2442D" w:rsidRDefault="00B2442D">
      <w:pPr>
        <w:jc w:val="both"/>
        <w:rPr>
          <w:rFonts w:ascii="Arial" w:hAnsi="Arial" w:cs="Arial"/>
          <w:lang w:val="es-CO"/>
        </w:rPr>
      </w:pPr>
    </w:p>
    <w:p w14:paraId="7051F6C7" w14:textId="77777777" w:rsidR="00B2442D" w:rsidRDefault="008A645F">
      <w:pPr>
        <w:jc w:val="both"/>
        <w:rPr>
          <w:rFonts w:ascii="Arial" w:hAnsi="Arial" w:cs="Arial"/>
          <w:lang w:val="es-CO"/>
        </w:rPr>
      </w:pPr>
      <w:r>
        <w:rPr>
          <w:rFonts w:ascii="Arial" w:hAnsi="Arial" w:cs="Arial"/>
          <w:lang w:val="es-CO"/>
        </w:rPr>
        <w:t xml:space="preserve">La destinación del excedente contable, en todo o en parte, en </w:t>
      </w:r>
      <w:r>
        <w:rPr>
          <w:rFonts w:ascii="Arial" w:hAnsi="Arial" w:cs="Arial"/>
          <w:lang w:val="es-CO"/>
        </w:rPr>
        <w:t>forma diferente a lo aquí establecido, hará gravable la totalidad del beneficio neto o excedente fiscal determinado, sin que sea posible afectarlo con egreso ni con descuento alguno</w:t>
      </w:r>
    </w:p>
    <w:p w14:paraId="137530CC" w14:textId="77777777" w:rsidR="00B2442D" w:rsidRDefault="00B2442D">
      <w:pPr>
        <w:jc w:val="both"/>
        <w:rPr>
          <w:rFonts w:ascii="Arial" w:hAnsi="Arial" w:cs="Arial"/>
          <w:lang w:val="es-CO"/>
        </w:rPr>
      </w:pPr>
    </w:p>
    <w:p w14:paraId="11DDC95F" w14:textId="77777777" w:rsidR="00B2442D" w:rsidRDefault="008A645F">
      <w:pPr>
        <w:jc w:val="both"/>
        <w:rPr>
          <w:rFonts w:ascii="Arial" w:hAnsi="Arial" w:cs="Arial"/>
          <w:i/>
          <w:lang w:val="es-CO"/>
        </w:rPr>
      </w:pPr>
      <w:r>
        <w:rPr>
          <w:rFonts w:ascii="Arial" w:hAnsi="Arial" w:cs="Arial"/>
          <w:i/>
          <w:lang w:val="es-CO"/>
        </w:rPr>
        <w:t xml:space="preserve">(Art. 12, Decreto 4400 de 2004, modificado por el art. 6 del Decreto 640 </w:t>
      </w:r>
      <w:r>
        <w:rPr>
          <w:rFonts w:ascii="Arial" w:hAnsi="Arial" w:cs="Arial"/>
          <w:i/>
          <w:lang w:val="es-CO"/>
        </w:rPr>
        <w:t>de 2005)</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 7 y 8 del Decreto 1514 de 1998 y el Decreto 124 de 1997. Art. 22, Decreto 4400 de 2004)</w:t>
      </w:r>
    </w:p>
    <w:p w14:paraId="0482EB07" w14:textId="77777777" w:rsidR="00B2442D" w:rsidRDefault="00B2442D">
      <w:pPr>
        <w:jc w:val="both"/>
        <w:rPr>
          <w:rFonts w:ascii="Arial" w:hAnsi="Arial" w:cs="Arial"/>
          <w:lang w:val="es-CO"/>
        </w:rPr>
      </w:pPr>
    </w:p>
    <w:p w14:paraId="2D7F10C9"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Bienes donados excluid</w:t>
      </w:r>
      <w:r>
        <w:rPr>
          <w:rFonts w:ascii="Arial" w:hAnsi="Arial" w:cs="Arial"/>
          <w:b/>
          <w:i/>
          <w:lang w:val="es-CO"/>
        </w:rPr>
        <w:t>os del IVA.</w:t>
      </w:r>
      <w:r>
        <w:rPr>
          <w:rFonts w:ascii="Arial" w:hAnsi="Arial" w:cs="Arial"/>
          <w:lang w:val="es-CO"/>
        </w:rPr>
        <w:t xml:space="preserve"> Para efectos de la exclusión del impuesto sobre las ventas de los bienes de que trata el artículo 480 del Estatuto Tributario, las entidades sin ánimo de lucro beneficiarias de las donaciones deberán solicitarla al Comité de Entidades sin Ánimo</w:t>
      </w:r>
      <w:r>
        <w:rPr>
          <w:rFonts w:ascii="Arial" w:hAnsi="Arial" w:cs="Arial"/>
          <w:lang w:val="es-CO"/>
        </w:rPr>
        <w:t xml:space="preserve"> de Lucro. La solicitud se deberá tramitar a través de la Subdirección de Gestión de  Fiscalización Tributaria de la Unidad Administrativa Especial Dirección de Impuestos y Aduanas Nacionales- DIAN, o la dependencia que haga sus veces, para lo cual deberán</w:t>
      </w:r>
      <w:r>
        <w:rPr>
          <w:rFonts w:ascii="Arial" w:hAnsi="Arial" w:cs="Arial"/>
          <w:lang w:val="es-CO"/>
        </w:rPr>
        <w:t xml:space="preserve"> anexar los siguientes documentos:</w:t>
      </w:r>
    </w:p>
    <w:p w14:paraId="7EB3AD0F" w14:textId="77777777" w:rsidR="00B2442D" w:rsidRDefault="00B2442D">
      <w:pPr>
        <w:jc w:val="both"/>
        <w:rPr>
          <w:rFonts w:ascii="Arial" w:hAnsi="Arial" w:cs="Arial"/>
          <w:lang w:val="es-CO"/>
        </w:rPr>
      </w:pPr>
    </w:p>
    <w:p w14:paraId="4E030193"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Certificado de existencia y representación legal de la entidad donataria, expedido con antelación no superior a tres (3) meses, y una copia de los estatutos vigentes;</w:t>
      </w:r>
    </w:p>
    <w:p w14:paraId="6460383F" w14:textId="77777777" w:rsidR="00B2442D" w:rsidRDefault="00B2442D">
      <w:pPr>
        <w:ind w:left="426" w:hanging="426"/>
        <w:jc w:val="both"/>
        <w:rPr>
          <w:rFonts w:ascii="Arial" w:hAnsi="Arial" w:cs="Arial"/>
          <w:lang w:val="es-CO"/>
        </w:rPr>
      </w:pPr>
    </w:p>
    <w:p w14:paraId="5A5AAC8A" w14:textId="77777777" w:rsidR="00B2442D" w:rsidRDefault="008A645F">
      <w:pPr>
        <w:ind w:left="426" w:hanging="426"/>
        <w:jc w:val="both"/>
        <w:rPr>
          <w:rFonts w:ascii="Arial" w:hAnsi="Arial" w:cs="Arial"/>
          <w:lang w:val="es-CO"/>
        </w:rPr>
      </w:pPr>
      <w:r>
        <w:rPr>
          <w:rFonts w:ascii="Arial" w:hAnsi="Arial" w:cs="Arial"/>
          <w:lang w:val="es-CO"/>
        </w:rPr>
        <w:t xml:space="preserve">b) </w:t>
      </w:r>
      <w:r>
        <w:rPr>
          <w:rFonts w:ascii="Arial" w:hAnsi="Arial" w:cs="Arial"/>
          <w:lang w:val="es-CO"/>
        </w:rPr>
        <w:tab/>
        <w:t>Certificado de donación de la persona, entida</w:t>
      </w:r>
      <w:r>
        <w:rPr>
          <w:rFonts w:ascii="Arial" w:hAnsi="Arial" w:cs="Arial"/>
          <w:lang w:val="es-CO"/>
        </w:rPr>
        <w:t>d o gobierno extranjero, debidamente visada por el Cónsul de Colombia en el país de origen, cuya firma deberá abonarse ante el Ministerio de Relaciones Exteriores o documento equivalente debidamente apostillado de conformidad con la Ley 455 de 1998, o cert</w:t>
      </w:r>
      <w:r>
        <w:rPr>
          <w:rFonts w:ascii="Arial" w:hAnsi="Arial" w:cs="Arial"/>
          <w:lang w:val="es-CO"/>
        </w:rPr>
        <w:t>ificación de la persona o entidad donante nacional en documento autenticado ante Notario;</w:t>
      </w:r>
    </w:p>
    <w:p w14:paraId="639A1A4C" w14:textId="77777777" w:rsidR="00B2442D" w:rsidRDefault="00B2442D">
      <w:pPr>
        <w:ind w:left="426" w:hanging="426"/>
        <w:jc w:val="both"/>
        <w:rPr>
          <w:rFonts w:ascii="Arial" w:hAnsi="Arial" w:cs="Arial"/>
          <w:lang w:val="es-CO"/>
        </w:rPr>
      </w:pPr>
    </w:p>
    <w:p w14:paraId="29EFD297" w14:textId="77777777" w:rsidR="00B2442D" w:rsidRDefault="008A645F">
      <w:pPr>
        <w:ind w:left="426" w:hanging="426"/>
        <w:jc w:val="both"/>
        <w:rPr>
          <w:rFonts w:ascii="Arial" w:hAnsi="Arial" w:cs="Arial"/>
          <w:lang w:val="es-CO"/>
        </w:rPr>
      </w:pPr>
      <w:r>
        <w:rPr>
          <w:rFonts w:ascii="Arial" w:hAnsi="Arial" w:cs="Arial"/>
          <w:lang w:val="es-CO"/>
        </w:rPr>
        <w:t xml:space="preserve">c) </w:t>
      </w:r>
      <w:r>
        <w:rPr>
          <w:rFonts w:ascii="Arial" w:hAnsi="Arial" w:cs="Arial"/>
          <w:lang w:val="es-CO"/>
        </w:rPr>
        <w:tab/>
        <w:t>Descripción de los programas o actividades a los cuales se van a destinar los bienes donados;</w:t>
      </w:r>
    </w:p>
    <w:p w14:paraId="706EC3CB" w14:textId="77777777" w:rsidR="00B2442D" w:rsidRDefault="00B2442D">
      <w:pPr>
        <w:ind w:left="426" w:hanging="426"/>
        <w:jc w:val="both"/>
        <w:rPr>
          <w:rFonts w:ascii="Arial" w:hAnsi="Arial" w:cs="Arial"/>
          <w:lang w:val="es-CO"/>
        </w:rPr>
      </w:pPr>
    </w:p>
    <w:p w14:paraId="645A33E3" w14:textId="77777777" w:rsidR="00B2442D" w:rsidRDefault="008A645F">
      <w:pPr>
        <w:ind w:left="426" w:hanging="426"/>
        <w:jc w:val="both"/>
        <w:rPr>
          <w:rFonts w:ascii="Arial" w:hAnsi="Arial" w:cs="Arial"/>
          <w:lang w:val="es-CO"/>
        </w:rPr>
      </w:pPr>
      <w:r>
        <w:rPr>
          <w:rFonts w:ascii="Arial" w:hAnsi="Arial" w:cs="Arial"/>
          <w:lang w:val="es-CO"/>
        </w:rPr>
        <w:t xml:space="preserve">d) </w:t>
      </w:r>
      <w:r>
        <w:rPr>
          <w:rFonts w:ascii="Arial" w:hAnsi="Arial" w:cs="Arial"/>
          <w:lang w:val="es-CO"/>
        </w:rPr>
        <w:tab/>
        <w:t>Certificación suscrita por el contador público o revisor fisca</w:t>
      </w:r>
      <w:r>
        <w:rPr>
          <w:rFonts w:ascii="Arial" w:hAnsi="Arial" w:cs="Arial"/>
          <w:lang w:val="es-CO"/>
        </w:rPr>
        <w:t>l de la entidad donataria, sobre el cumplimiento de los requisitos legales establecidos para obtener la exención;</w:t>
      </w:r>
    </w:p>
    <w:p w14:paraId="73857017" w14:textId="77777777" w:rsidR="00B2442D" w:rsidRDefault="00B2442D">
      <w:pPr>
        <w:ind w:left="426" w:hanging="426"/>
        <w:jc w:val="both"/>
        <w:rPr>
          <w:rFonts w:ascii="Arial" w:hAnsi="Arial" w:cs="Arial"/>
          <w:lang w:val="es-CO"/>
        </w:rPr>
      </w:pPr>
    </w:p>
    <w:p w14:paraId="612A2062" w14:textId="77777777" w:rsidR="00B2442D" w:rsidRDefault="008A645F">
      <w:pPr>
        <w:ind w:left="426" w:hanging="426"/>
        <w:jc w:val="both"/>
        <w:rPr>
          <w:rFonts w:ascii="Arial" w:hAnsi="Arial" w:cs="Arial"/>
          <w:lang w:val="es-CO"/>
        </w:rPr>
      </w:pPr>
      <w:r>
        <w:rPr>
          <w:rFonts w:ascii="Arial" w:hAnsi="Arial" w:cs="Arial"/>
          <w:lang w:val="es-CO"/>
        </w:rPr>
        <w:t xml:space="preserve">e) </w:t>
      </w:r>
      <w:r>
        <w:rPr>
          <w:rFonts w:ascii="Arial" w:hAnsi="Arial" w:cs="Arial"/>
          <w:lang w:val="es-CO"/>
        </w:rPr>
        <w:tab/>
        <w:t>Informar nombre o razón social, NIT, dirección y domicilio principal del Importador.</w:t>
      </w:r>
    </w:p>
    <w:p w14:paraId="28293D86" w14:textId="77777777" w:rsidR="00B2442D" w:rsidRDefault="00B2442D">
      <w:pPr>
        <w:jc w:val="both"/>
        <w:rPr>
          <w:rFonts w:ascii="Arial" w:hAnsi="Arial" w:cs="Arial"/>
          <w:lang w:val="es-CO"/>
        </w:rPr>
      </w:pPr>
    </w:p>
    <w:p w14:paraId="512A0310" w14:textId="77777777" w:rsidR="00B2442D" w:rsidRDefault="008A645F">
      <w:pPr>
        <w:jc w:val="both"/>
        <w:rPr>
          <w:rFonts w:ascii="Arial" w:hAnsi="Arial" w:cs="Arial"/>
          <w:lang w:val="es-CO"/>
        </w:rPr>
      </w:pPr>
      <w:r>
        <w:rPr>
          <w:rFonts w:ascii="Arial" w:hAnsi="Arial" w:cs="Arial"/>
          <w:lang w:val="es-CO"/>
        </w:rPr>
        <w:t>El Comité de Entidades sin Ánimo de Lucro, expedirá</w:t>
      </w:r>
      <w:r>
        <w:rPr>
          <w:rFonts w:ascii="Arial" w:hAnsi="Arial" w:cs="Arial"/>
          <w:lang w:val="es-CO"/>
        </w:rPr>
        <w:t xml:space="preserve"> resolución sobre la procedencia o no de la exoneración del IVA para el bien importado con destino a ser donado, contra la cual proceden los recursos de reposición y apelación previstos en el Código de Procedimiento Administrativo y de lo Contencioso Admin</w:t>
      </w:r>
      <w:r>
        <w:rPr>
          <w:rFonts w:ascii="Arial" w:hAnsi="Arial" w:cs="Arial"/>
          <w:lang w:val="es-CO"/>
        </w:rPr>
        <w:t xml:space="preserve">istrativo. </w:t>
      </w:r>
    </w:p>
    <w:p w14:paraId="53C45E4B" w14:textId="77777777" w:rsidR="00B2442D" w:rsidRDefault="00B2442D">
      <w:pPr>
        <w:jc w:val="both"/>
        <w:rPr>
          <w:rFonts w:ascii="Arial" w:hAnsi="Arial" w:cs="Arial"/>
          <w:lang w:val="es-CO"/>
        </w:rPr>
      </w:pPr>
    </w:p>
    <w:p w14:paraId="2F624926" w14:textId="77777777" w:rsidR="00B2442D" w:rsidRDefault="008A645F">
      <w:pPr>
        <w:jc w:val="both"/>
        <w:rPr>
          <w:rFonts w:ascii="Arial" w:hAnsi="Arial" w:cs="Arial"/>
          <w:lang w:val="es-CO"/>
        </w:rPr>
      </w:pPr>
      <w:r>
        <w:rPr>
          <w:rFonts w:ascii="Arial" w:hAnsi="Arial" w:cs="Arial"/>
          <w:lang w:val="es-CO"/>
        </w:rPr>
        <w:t>La resolución expedida por el Comité de Entidades sin Ánimo de Lucro, deberá presentarse al momento de legalizar el proceso de importación y conservarse como documento soporte de la declaración de importación.</w:t>
      </w:r>
    </w:p>
    <w:p w14:paraId="689D11D7" w14:textId="77777777" w:rsidR="00B2442D" w:rsidRDefault="00B2442D">
      <w:pPr>
        <w:jc w:val="both"/>
        <w:rPr>
          <w:rFonts w:ascii="Arial" w:hAnsi="Arial" w:cs="Arial"/>
          <w:lang w:val="es-CO"/>
        </w:rPr>
      </w:pPr>
    </w:p>
    <w:p w14:paraId="6CC2598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En los certificado</w:t>
      </w:r>
      <w:r>
        <w:rPr>
          <w:rFonts w:ascii="Arial" w:hAnsi="Arial" w:cs="Arial"/>
          <w:lang w:val="es-CO"/>
        </w:rPr>
        <w:t>s a que se refieren los literales b) y c) se deberán describir las características, funcionalidad y valor en pesos colombianos del bien, a la fecha de presentación de la petición.</w:t>
      </w:r>
    </w:p>
    <w:p w14:paraId="76F20DAC" w14:textId="77777777" w:rsidR="00B2442D" w:rsidRDefault="00B2442D">
      <w:pPr>
        <w:jc w:val="both"/>
        <w:rPr>
          <w:rFonts w:ascii="Arial" w:hAnsi="Arial" w:cs="Arial"/>
          <w:lang w:val="es-CO"/>
        </w:rPr>
      </w:pPr>
    </w:p>
    <w:p w14:paraId="3F037A24"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calificación expedida por el Comité de Entidades sin Ánimo</w:t>
      </w:r>
      <w:r>
        <w:rPr>
          <w:rFonts w:ascii="Arial" w:hAnsi="Arial" w:cs="Arial"/>
          <w:lang w:val="es-CO"/>
        </w:rPr>
        <w:t xml:space="preserve"> de Lucro, se otorgará sin perjuicio de la verificación posterior que pueda adelantar la Unidad Administrativa Especial Dirección de Impuestos y Aduanas Nacionales-DIAN. </w:t>
      </w:r>
    </w:p>
    <w:p w14:paraId="03719E42" w14:textId="77777777" w:rsidR="00B2442D" w:rsidRDefault="00B2442D">
      <w:pPr>
        <w:jc w:val="both"/>
        <w:rPr>
          <w:rFonts w:ascii="Arial" w:hAnsi="Arial" w:cs="Arial"/>
          <w:lang w:val="es-CO"/>
        </w:rPr>
      </w:pPr>
    </w:p>
    <w:p w14:paraId="38D10206" w14:textId="77777777" w:rsidR="00B2442D" w:rsidRDefault="008A645F">
      <w:pPr>
        <w:jc w:val="both"/>
        <w:rPr>
          <w:rFonts w:ascii="Arial" w:hAnsi="Arial" w:cs="Arial"/>
          <w:i/>
          <w:lang w:val="es-CO"/>
        </w:rPr>
      </w:pPr>
      <w:r>
        <w:rPr>
          <w:rFonts w:ascii="Arial" w:hAnsi="Arial" w:cs="Arial"/>
          <w:i/>
          <w:lang w:val="es-CO"/>
        </w:rPr>
        <w:t>(Art. 13, Decreto 4400 de 2004)</w:t>
      </w:r>
      <w:r>
        <w:rPr>
          <w:rFonts w:ascii="Arial" w:hAnsi="Arial" w:cs="Arial"/>
        </w:rPr>
        <w:t xml:space="preserve"> (</w:t>
      </w:r>
      <w:r>
        <w:rPr>
          <w:rFonts w:ascii="Arial" w:hAnsi="Arial" w:cs="Arial"/>
          <w:i/>
          <w:lang w:val="es-CO"/>
        </w:rPr>
        <w:t xml:space="preserve">El Decreto 4400 de 2004 rige a partir de su </w:t>
      </w:r>
      <w:r>
        <w:rPr>
          <w:rFonts w:ascii="Arial" w:hAnsi="Arial" w:cs="Arial"/>
          <w:i/>
          <w:lang w:val="es-CO"/>
        </w:rPr>
        <w:t>publicación y deroga las normas que le sean contrarias, en especial los artículos 4, 5, 6, 7 y 8 del Decreto 1514 de 1998 y el Decreto 124 de 1997. Art. 22, Decreto 4400 de 2004)</w:t>
      </w:r>
    </w:p>
    <w:p w14:paraId="454774EC" w14:textId="77777777" w:rsidR="00B2442D" w:rsidRDefault="00B2442D">
      <w:pPr>
        <w:jc w:val="both"/>
        <w:rPr>
          <w:rFonts w:ascii="Arial" w:hAnsi="Arial" w:cs="Arial"/>
          <w:lang w:val="es-CO"/>
        </w:rPr>
      </w:pPr>
    </w:p>
    <w:p w14:paraId="615D6C48"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Retención en la fuente.</w:t>
      </w:r>
      <w:r>
        <w:rPr>
          <w:rFonts w:ascii="Arial" w:hAnsi="Arial" w:cs="Arial"/>
          <w:lang w:val="es-CO"/>
        </w:rPr>
        <w:t xml:space="preserve"> Estarán sometidos a retención en la fuente únicamente los pagos o abonos en cuenta a favor de los contribuyentes con régimen tributario especial, por concepto de ventas provenientes de actividades industriales y de mercadeo y de rendimientos financieros, </w:t>
      </w:r>
      <w:r>
        <w:rPr>
          <w:rFonts w:ascii="Arial" w:hAnsi="Arial" w:cs="Arial"/>
          <w:lang w:val="es-CO"/>
        </w:rPr>
        <w:t>de conformidad con los artículos 395 y 401 del Estatuto Tributario y sus reglamentarios.</w:t>
      </w:r>
    </w:p>
    <w:p w14:paraId="580FEB3C" w14:textId="77777777" w:rsidR="00B2442D" w:rsidRDefault="00B2442D">
      <w:pPr>
        <w:jc w:val="both"/>
        <w:rPr>
          <w:rFonts w:ascii="Arial" w:hAnsi="Arial" w:cs="Arial"/>
          <w:lang w:val="es-CO"/>
        </w:rPr>
      </w:pPr>
    </w:p>
    <w:p w14:paraId="75C037E8" w14:textId="77777777" w:rsidR="00B2442D" w:rsidRDefault="008A645F">
      <w:pPr>
        <w:jc w:val="both"/>
        <w:rPr>
          <w:rFonts w:ascii="Arial" w:hAnsi="Arial" w:cs="Arial"/>
          <w:lang w:val="es-CO"/>
        </w:rPr>
      </w:pPr>
      <w:r>
        <w:rPr>
          <w:rFonts w:ascii="Arial" w:hAnsi="Arial" w:cs="Arial"/>
          <w:lang w:val="es-CO"/>
        </w:rPr>
        <w:t>Los contribuyentes del sector solidario a los que se refiere el numeral 4) del artículo 19 del Estatuto Tributario, solamente estarán sujetos a la retención en la fue</w:t>
      </w:r>
      <w:r>
        <w:rPr>
          <w:rFonts w:ascii="Arial" w:hAnsi="Arial" w:cs="Arial"/>
          <w:lang w:val="es-CO"/>
        </w:rPr>
        <w:t>nte por concepto de rendimientos financieros.</w:t>
      </w:r>
    </w:p>
    <w:p w14:paraId="6A2DBAB0" w14:textId="77777777" w:rsidR="00B2442D" w:rsidRDefault="00B2442D">
      <w:pPr>
        <w:jc w:val="both"/>
        <w:rPr>
          <w:rFonts w:ascii="Arial" w:hAnsi="Arial" w:cs="Arial"/>
          <w:lang w:val="es-CO"/>
        </w:rPr>
      </w:pPr>
    </w:p>
    <w:p w14:paraId="775FD211" w14:textId="77777777" w:rsidR="00B2442D" w:rsidRDefault="008A645F">
      <w:pPr>
        <w:jc w:val="both"/>
        <w:rPr>
          <w:rFonts w:ascii="Arial" w:hAnsi="Arial" w:cs="Arial"/>
          <w:lang w:val="es-CO"/>
        </w:rPr>
      </w:pPr>
      <w:r>
        <w:rPr>
          <w:rFonts w:ascii="Arial" w:hAnsi="Arial" w:cs="Arial"/>
          <w:lang w:val="es-CO"/>
        </w:rPr>
        <w:t>Los pagos o abonos en cuenta que se realicen a favor de los contribuyentes con régimen tributario especial a que se refiere el artículo 19 del Estatuto Tributario, diferentes a los descritos en los numerales p</w:t>
      </w:r>
      <w:r>
        <w:rPr>
          <w:rFonts w:ascii="Arial" w:hAnsi="Arial" w:cs="Arial"/>
          <w:lang w:val="es-CO"/>
        </w:rPr>
        <w:t>rimero y segundo de este artículo no estarán sometidos a retención en la fuente. Para el efecto la entidad deberá demostrar su naturaleza jurídica ante el agente retenedor, mediante copia de la certificación de la entidad encargada de su vigilancia o de la</w:t>
      </w:r>
      <w:r>
        <w:rPr>
          <w:rFonts w:ascii="Arial" w:hAnsi="Arial" w:cs="Arial"/>
          <w:lang w:val="es-CO"/>
        </w:rPr>
        <w:t xml:space="preserve"> que haya concedido su personería jurídica, documento que conservará el agente retenedor para ser presentado cuando la autoridad competente tributaria lo requiera.</w:t>
      </w:r>
    </w:p>
    <w:p w14:paraId="320AD81A" w14:textId="77777777" w:rsidR="00B2442D" w:rsidRDefault="00B2442D">
      <w:pPr>
        <w:jc w:val="both"/>
        <w:rPr>
          <w:rFonts w:ascii="Arial" w:hAnsi="Arial" w:cs="Arial"/>
          <w:lang w:val="es-CO"/>
        </w:rPr>
      </w:pPr>
    </w:p>
    <w:p w14:paraId="6511361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Todos los contribuyentes pertenecientes al Régimen Tributario Especial son agent</w:t>
      </w:r>
      <w:r>
        <w:rPr>
          <w:rFonts w:ascii="Arial" w:hAnsi="Arial" w:cs="Arial"/>
          <w:lang w:val="es-CO"/>
        </w:rPr>
        <w:t>es de retención en la fuente por concepto del impuesto sobre la renta y complementario, impuesto de timbre nacional y por el impuesto sobre las ventas (IVA), de conformidad con las disposiciones legales vigentes. Igualmente son responsables del impuesto so</w:t>
      </w:r>
      <w:r>
        <w:rPr>
          <w:rFonts w:ascii="Arial" w:hAnsi="Arial" w:cs="Arial"/>
          <w:lang w:val="es-CO"/>
        </w:rPr>
        <w:t>bre las ventas cuando realicen las actividades o hechos generadores de dicho impuesto.</w:t>
      </w:r>
    </w:p>
    <w:p w14:paraId="6054BF42" w14:textId="77777777" w:rsidR="00B2442D" w:rsidRDefault="00B2442D">
      <w:pPr>
        <w:jc w:val="both"/>
        <w:rPr>
          <w:rFonts w:ascii="Arial" w:hAnsi="Arial" w:cs="Arial"/>
          <w:lang w:val="es-CO"/>
        </w:rPr>
      </w:pPr>
    </w:p>
    <w:p w14:paraId="2E3A3BF1" w14:textId="77777777" w:rsidR="00B2442D" w:rsidRDefault="008A645F">
      <w:pPr>
        <w:jc w:val="both"/>
        <w:rPr>
          <w:rFonts w:ascii="Arial" w:hAnsi="Arial" w:cs="Arial"/>
          <w:i/>
          <w:lang w:val="es-CO"/>
        </w:rPr>
      </w:pPr>
      <w:r>
        <w:rPr>
          <w:rFonts w:ascii="Arial" w:hAnsi="Arial" w:cs="Arial"/>
          <w:i/>
          <w:lang w:val="es-CO"/>
        </w:rPr>
        <w:t>(Art. 14, Decreto 4400 de 2004)</w:t>
      </w:r>
      <w:r>
        <w:rPr>
          <w:rFonts w:ascii="Arial" w:hAnsi="Arial" w:cs="Arial"/>
        </w:rPr>
        <w:t xml:space="preserve"> (</w:t>
      </w:r>
      <w:r>
        <w:rPr>
          <w:rFonts w:ascii="Arial" w:hAnsi="Arial" w:cs="Arial"/>
          <w:i/>
          <w:lang w:val="es-CO"/>
        </w:rPr>
        <w:t xml:space="preserve">El Decreto 4400 de 2004 rige a partir de su publicación y deroga las normas que le sean contrarias, en especial los artículos 4, 5, 6, </w:t>
      </w:r>
      <w:r>
        <w:rPr>
          <w:rFonts w:ascii="Arial" w:hAnsi="Arial" w:cs="Arial"/>
          <w:i/>
          <w:lang w:val="es-CO"/>
        </w:rPr>
        <w:t>7 y 8 del Decreto 1514 de 1998 y el Decreto 124 de 1997. Art. 22, Decreto 4400 de 2004)</w:t>
      </w:r>
    </w:p>
    <w:p w14:paraId="0B1A54C9" w14:textId="77777777" w:rsidR="00B2442D" w:rsidRDefault="00B2442D">
      <w:pPr>
        <w:jc w:val="both"/>
        <w:rPr>
          <w:rFonts w:ascii="Arial" w:hAnsi="Arial" w:cs="Arial"/>
          <w:lang w:val="es-CO"/>
        </w:rPr>
      </w:pPr>
    </w:p>
    <w:p w14:paraId="0C335A65"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Libros de contabilidad.</w:t>
      </w:r>
      <w:r>
        <w:rPr>
          <w:rFonts w:ascii="Arial" w:hAnsi="Arial" w:cs="Arial"/>
          <w:lang w:val="es-CO"/>
        </w:rPr>
        <w:t xml:space="preserve"> Todos los contribuyentes sujetos al régimen tributario especial están obligados a llevar libros de contabilidad debidamente registrados de conf</w:t>
      </w:r>
      <w:r>
        <w:rPr>
          <w:rFonts w:ascii="Arial" w:hAnsi="Arial" w:cs="Arial"/>
          <w:lang w:val="es-CO"/>
        </w:rPr>
        <w:t>ormidad con las normas legales vigentes, ante la Cámara de Comercio o la Dirección Seccional de Impuestos con competencia en el domicilio principal de la entidad, o ante cualquier organismo público que tenga facultad para reconocer su personería jurídica.</w:t>
      </w:r>
    </w:p>
    <w:p w14:paraId="291F9116" w14:textId="77777777" w:rsidR="00B2442D" w:rsidRDefault="00B2442D">
      <w:pPr>
        <w:jc w:val="both"/>
        <w:rPr>
          <w:rFonts w:ascii="Arial" w:hAnsi="Arial" w:cs="Arial"/>
          <w:lang w:val="es-CO"/>
        </w:rPr>
      </w:pPr>
    </w:p>
    <w:p w14:paraId="3B0DBBE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registro contable de la ejecución del beneficio neto o excedente, deberá realizarse en cuentas separadas por período gravable, de manera que se pueda establecer claramente el monto, destino de la inversión y nivel de ejecución durante cada p</w:t>
      </w:r>
      <w:r>
        <w:rPr>
          <w:rFonts w:ascii="Arial" w:hAnsi="Arial" w:cs="Arial"/>
          <w:lang w:val="es-CO"/>
        </w:rPr>
        <w:t>eríodo gravable. Igual procedimiento se debe observar cuando el beneficio neto se ejecute a través de proyectos o programas específicos.</w:t>
      </w:r>
    </w:p>
    <w:p w14:paraId="18EE6EA1" w14:textId="77777777" w:rsidR="00B2442D" w:rsidRDefault="00B2442D">
      <w:pPr>
        <w:jc w:val="both"/>
        <w:rPr>
          <w:rFonts w:ascii="Arial" w:hAnsi="Arial" w:cs="Arial"/>
          <w:i/>
          <w:lang w:val="es-CO"/>
        </w:rPr>
      </w:pPr>
    </w:p>
    <w:p w14:paraId="0E16C493" w14:textId="77777777" w:rsidR="00B2442D" w:rsidRDefault="008A645F">
      <w:pPr>
        <w:jc w:val="both"/>
        <w:rPr>
          <w:rFonts w:ascii="Arial" w:hAnsi="Arial" w:cs="Arial"/>
          <w:i/>
          <w:lang w:val="es-CO"/>
        </w:rPr>
      </w:pPr>
      <w:r>
        <w:rPr>
          <w:rFonts w:ascii="Arial" w:hAnsi="Arial" w:cs="Arial"/>
          <w:i/>
          <w:lang w:val="es-CO"/>
        </w:rPr>
        <w:t>(Art. 15, Decreto 4400 de 2004)</w:t>
      </w:r>
      <w:r>
        <w:rPr>
          <w:rFonts w:ascii="Arial" w:hAnsi="Arial" w:cs="Arial"/>
        </w:rPr>
        <w:t xml:space="preserve"> (</w:t>
      </w:r>
      <w:r>
        <w:rPr>
          <w:rFonts w:ascii="Arial" w:hAnsi="Arial" w:cs="Arial"/>
          <w:i/>
          <w:lang w:val="es-CO"/>
        </w:rPr>
        <w:t>El Decreto 4400 de 2004 rige a partir de su publicación y deroga las normas que le se</w:t>
      </w:r>
      <w:r>
        <w:rPr>
          <w:rFonts w:ascii="Arial" w:hAnsi="Arial" w:cs="Arial"/>
          <w:i/>
          <w:lang w:val="es-CO"/>
        </w:rPr>
        <w:t>an contrarias, en especial los artículos 4, 5, 6, 7 y 8 del Decreto 1514 de 1998 y el Decreto 124 de 1997. Art. 22, Decreto 4400 de 2004)</w:t>
      </w:r>
    </w:p>
    <w:p w14:paraId="1A7FE3B7" w14:textId="77777777" w:rsidR="00B2442D" w:rsidRDefault="00B2442D">
      <w:pPr>
        <w:jc w:val="both"/>
        <w:rPr>
          <w:rFonts w:ascii="Arial" w:hAnsi="Arial" w:cs="Arial"/>
          <w:lang w:val="es-CO"/>
        </w:rPr>
      </w:pPr>
    </w:p>
    <w:p w14:paraId="374FB2AE"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Libro de actas.</w:t>
      </w:r>
      <w:r>
        <w:rPr>
          <w:rFonts w:ascii="Arial" w:hAnsi="Arial" w:cs="Arial"/>
          <w:lang w:val="es-CO"/>
        </w:rPr>
        <w:t xml:space="preserve"> El libro de actas de la asamblea general o máximo órgano directivo que haga sus veces, constituye el </w:t>
      </w:r>
      <w:r>
        <w:rPr>
          <w:rFonts w:ascii="Arial" w:hAnsi="Arial" w:cs="Arial"/>
          <w:lang w:val="es-CO"/>
        </w:rPr>
        <w:t>soporte y prueba de las decisiones adoptadas por la misma. Deberá registrarse conjuntamente con los demás libros de contabilidad, conforme con las normas vigentes sobre la materia, para que adquiera pleno valor probatorio.</w:t>
      </w:r>
    </w:p>
    <w:p w14:paraId="078696D4" w14:textId="77777777" w:rsidR="00B2442D" w:rsidRDefault="00B2442D">
      <w:pPr>
        <w:jc w:val="both"/>
        <w:rPr>
          <w:rFonts w:ascii="Arial" w:hAnsi="Arial" w:cs="Arial"/>
          <w:lang w:val="es-CO"/>
        </w:rPr>
      </w:pPr>
    </w:p>
    <w:p w14:paraId="5154FFC8" w14:textId="77777777" w:rsidR="00B2442D" w:rsidRDefault="008A645F">
      <w:pPr>
        <w:jc w:val="both"/>
        <w:rPr>
          <w:rFonts w:ascii="Arial" w:hAnsi="Arial" w:cs="Arial"/>
          <w:i/>
          <w:lang w:val="es-CO"/>
        </w:rPr>
      </w:pPr>
      <w:r>
        <w:rPr>
          <w:rFonts w:ascii="Arial" w:hAnsi="Arial" w:cs="Arial"/>
          <w:i/>
          <w:lang w:val="es-CO"/>
        </w:rPr>
        <w:t>(Art. 16, Decreto 4400 de 2004)</w:t>
      </w:r>
      <w:r>
        <w:rPr>
          <w:rFonts w:ascii="Arial" w:hAnsi="Arial" w:cs="Arial"/>
        </w:rPr>
        <w:t xml:space="preserve"> </w:t>
      </w:r>
      <w:r>
        <w:rPr>
          <w:rFonts w:ascii="Arial" w:hAnsi="Arial" w:cs="Arial"/>
        </w:rPr>
        <w:t>(</w:t>
      </w:r>
      <w:r>
        <w:rPr>
          <w:rFonts w:ascii="Arial" w:hAnsi="Arial" w:cs="Arial"/>
          <w:i/>
          <w:lang w:val="es-CO"/>
        </w:rPr>
        <w:t>El Decreto 4400 de 2004 rige a partir de su publicación y deroga las normas que le sean contrarias, en especial los artículos 4, 5, 6, 7 y 8 del Decreto 1514 de 1998 y el Decreto 124 de 1997. Art. 22, Decreto 4400 de 2004)</w:t>
      </w:r>
    </w:p>
    <w:p w14:paraId="44E58169" w14:textId="77777777" w:rsidR="00B2442D" w:rsidRDefault="00B2442D">
      <w:pPr>
        <w:jc w:val="both"/>
        <w:rPr>
          <w:rFonts w:ascii="Arial" w:hAnsi="Arial" w:cs="Arial"/>
          <w:lang w:val="es-CO"/>
        </w:rPr>
      </w:pPr>
    </w:p>
    <w:p w14:paraId="33A2663F"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Procedimiento y sanciones.</w:t>
      </w:r>
      <w:r>
        <w:rPr>
          <w:rFonts w:ascii="Arial" w:hAnsi="Arial" w:cs="Arial"/>
          <w:lang w:val="es-CO"/>
        </w:rPr>
        <w:t xml:space="preserve"> A lo</w:t>
      </w:r>
      <w:r>
        <w:rPr>
          <w:rFonts w:ascii="Arial" w:hAnsi="Arial" w:cs="Arial"/>
          <w:lang w:val="es-CO"/>
        </w:rPr>
        <w:t>s contribuyentes del régimen tributario especial les son aplicables las normas de procedimiento y sanción establecidas en el Estatuto Tributario.</w:t>
      </w:r>
    </w:p>
    <w:p w14:paraId="78395533" w14:textId="77777777" w:rsidR="00B2442D" w:rsidRDefault="00B2442D">
      <w:pPr>
        <w:jc w:val="both"/>
        <w:rPr>
          <w:rFonts w:ascii="Arial" w:hAnsi="Arial" w:cs="Arial"/>
          <w:lang w:val="es-CO"/>
        </w:rPr>
      </w:pPr>
    </w:p>
    <w:p w14:paraId="4A868F52" w14:textId="77777777" w:rsidR="00B2442D" w:rsidRDefault="008A645F">
      <w:pPr>
        <w:jc w:val="both"/>
        <w:rPr>
          <w:rFonts w:ascii="Arial" w:hAnsi="Arial" w:cs="Arial"/>
          <w:lang w:val="es-CO"/>
        </w:rPr>
      </w:pPr>
      <w:r>
        <w:rPr>
          <w:rFonts w:ascii="Arial" w:hAnsi="Arial" w:cs="Arial"/>
          <w:lang w:val="es-CO"/>
        </w:rPr>
        <w:t xml:space="preserve">Si la Administración de Impuestos, con ocasión de un proceso de auditoría, encuentra que el beneficio neto o </w:t>
      </w:r>
      <w:r>
        <w:rPr>
          <w:rFonts w:ascii="Arial" w:hAnsi="Arial" w:cs="Arial"/>
          <w:lang w:val="es-CO"/>
        </w:rPr>
        <w:t xml:space="preserve">excedente no cumple los requisitos aquí establecidos para su exención y este fue ejecutado en diferentes períodos gravables, será adicionado como ingreso gravable en el año que la Administración lo detecte. Igual procedimiento se seguirá en el caso que se </w:t>
      </w:r>
      <w:r>
        <w:rPr>
          <w:rFonts w:ascii="Arial" w:hAnsi="Arial" w:cs="Arial"/>
          <w:lang w:val="es-CO"/>
        </w:rPr>
        <w:t>establezca que el contribuyente debe tributar conforme al régimen tributario ordinario.</w:t>
      </w:r>
    </w:p>
    <w:p w14:paraId="27351821" w14:textId="77777777" w:rsidR="00B2442D" w:rsidRDefault="00B2442D">
      <w:pPr>
        <w:jc w:val="both"/>
        <w:rPr>
          <w:rFonts w:ascii="Arial" w:hAnsi="Arial" w:cs="Arial"/>
          <w:lang w:val="es-CO"/>
        </w:rPr>
      </w:pPr>
    </w:p>
    <w:p w14:paraId="3AEB6D93" w14:textId="77777777" w:rsidR="00B2442D" w:rsidRDefault="008A645F">
      <w:pPr>
        <w:jc w:val="both"/>
        <w:rPr>
          <w:rFonts w:ascii="Arial" w:hAnsi="Arial" w:cs="Arial"/>
          <w:i/>
          <w:lang w:val="es-CO"/>
        </w:rPr>
      </w:pPr>
      <w:r>
        <w:rPr>
          <w:rFonts w:ascii="Arial" w:hAnsi="Arial" w:cs="Arial"/>
          <w:i/>
          <w:lang w:val="es-CO"/>
        </w:rPr>
        <w:t>(Art. 18, Decreto 4400 de 2004)</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w:t>
      </w:r>
      <w:r>
        <w:rPr>
          <w:rFonts w:ascii="Arial" w:hAnsi="Arial" w:cs="Arial"/>
          <w:i/>
          <w:lang w:val="es-CO"/>
        </w:rPr>
        <w:t xml:space="preserve"> 7 y 8 del Decreto 1514 de 1998 y el Decreto 124 de 1997. Art. 22, Decreto 4400 de 2004)</w:t>
      </w:r>
    </w:p>
    <w:p w14:paraId="74D77418" w14:textId="77777777" w:rsidR="00B2442D" w:rsidRDefault="00B2442D">
      <w:pPr>
        <w:jc w:val="both"/>
        <w:rPr>
          <w:rFonts w:ascii="Arial" w:hAnsi="Arial" w:cs="Arial"/>
          <w:lang w:val="es-CO"/>
        </w:rPr>
      </w:pPr>
    </w:p>
    <w:p w14:paraId="088DB8CE"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Otros beneficios tributarios.</w:t>
      </w:r>
      <w:r>
        <w:rPr>
          <w:rFonts w:ascii="Arial" w:hAnsi="Arial" w:cs="Arial"/>
          <w:lang w:val="es-CO"/>
        </w:rPr>
        <w:t xml:space="preserve"> A los contribuyentes del régimen tributario especial no les serán aplicables los sistemas de renta por comparación patrimonial, renta presuntiva, no están obligados al cálculo del anticipo.</w:t>
      </w:r>
    </w:p>
    <w:p w14:paraId="3FF76285" w14:textId="77777777" w:rsidR="00B2442D" w:rsidRDefault="00B2442D">
      <w:pPr>
        <w:jc w:val="both"/>
        <w:rPr>
          <w:rFonts w:ascii="Arial" w:hAnsi="Arial" w:cs="Arial"/>
          <w:lang w:val="es-CO"/>
        </w:rPr>
      </w:pPr>
    </w:p>
    <w:p w14:paraId="108B5E30" w14:textId="77777777" w:rsidR="00B2442D" w:rsidRDefault="008A645F">
      <w:pPr>
        <w:jc w:val="both"/>
        <w:rPr>
          <w:rFonts w:ascii="Arial" w:hAnsi="Arial" w:cs="Arial"/>
          <w:i/>
          <w:lang w:val="es-CO"/>
        </w:rPr>
      </w:pPr>
      <w:r>
        <w:rPr>
          <w:rFonts w:ascii="Arial" w:hAnsi="Arial" w:cs="Arial"/>
          <w:i/>
          <w:lang w:val="es-CO"/>
        </w:rPr>
        <w:t>(Art. 19, Decreto 4400 de 2004. La expresión “ni a efectuar ajus</w:t>
      </w:r>
      <w:r>
        <w:rPr>
          <w:rFonts w:ascii="Arial" w:hAnsi="Arial" w:cs="Arial"/>
          <w:i/>
          <w:lang w:val="es-CO"/>
        </w:rPr>
        <w:t>tes integrales por inflación para efectos fiscales”, tiene decaimiento por el art. 78 de la Ley 1111 de 2006)</w:t>
      </w:r>
      <w:r>
        <w:rPr>
          <w:rFonts w:ascii="Arial" w:hAnsi="Arial" w:cs="Arial"/>
        </w:rPr>
        <w:t xml:space="preserve"> (</w:t>
      </w:r>
      <w:r>
        <w:rPr>
          <w:rFonts w:ascii="Arial" w:hAnsi="Arial" w:cs="Arial"/>
          <w:i/>
          <w:lang w:val="es-CO"/>
        </w:rPr>
        <w:t xml:space="preserve">El Decreto 4400 de 2004 rige a partir de su publicación y deroga las normas que le sean contrarias, en especial los artículos 4, 5, 6, 7 y 8 del </w:t>
      </w:r>
      <w:r>
        <w:rPr>
          <w:rFonts w:ascii="Arial" w:hAnsi="Arial" w:cs="Arial"/>
          <w:i/>
          <w:lang w:val="es-CO"/>
        </w:rPr>
        <w:t>Decreto 1514 de 1998 y el Decreto 124 de 1997. Art. 22, Decreto 4400 de 2004)</w:t>
      </w:r>
    </w:p>
    <w:p w14:paraId="4DA9110F" w14:textId="77777777" w:rsidR="00B2442D" w:rsidRDefault="00B2442D">
      <w:pPr>
        <w:jc w:val="both"/>
        <w:rPr>
          <w:rFonts w:ascii="Arial" w:hAnsi="Arial" w:cs="Arial"/>
          <w:lang w:val="es-CO"/>
        </w:rPr>
      </w:pPr>
    </w:p>
    <w:p w14:paraId="6A003A13"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Comité de Entidades sin Ánimo de Lucro.</w:t>
      </w:r>
      <w:r>
        <w:rPr>
          <w:rFonts w:ascii="Arial" w:hAnsi="Arial" w:cs="Arial"/>
          <w:lang w:val="es-CO"/>
        </w:rPr>
        <w:t xml:space="preserve"> El Comité de Entidades sin Ánimo de Lucro estará integrado por el Ministro de Hacienda y Crédito Público o su delegado, quien lo presidir</w:t>
      </w:r>
      <w:r>
        <w:rPr>
          <w:rFonts w:ascii="Arial" w:hAnsi="Arial" w:cs="Arial"/>
          <w:lang w:val="es-CO"/>
        </w:rPr>
        <w:t>á, el Director General de la Unidad Administrativa Especial Dirección de Impuestos y Aduanas Nacionales–DIAN o su delegado, el Director de Gestión de Aduanas o su delegado y el Director de Gestión de Fiscalización o su delegado, quien ejercerá las funcione</w:t>
      </w:r>
      <w:r>
        <w:rPr>
          <w:rFonts w:ascii="Arial" w:hAnsi="Arial" w:cs="Arial"/>
          <w:lang w:val="es-CO"/>
        </w:rPr>
        <w:t>s de Secretario del Comité.</w:t>
      </w:r>
    </w:p>
    <w:p w14:paraId="25C0CBA3" w14:textId="77777777" w:rsidR="00B2442D" w:rsidRDefault="00B2442D">
      <w:pPr>
        <w:jc w:val="both"/>
        <w:rPr>
          <w:rFonts w:ascii="Arial" w:hAnsi="Arial" w:cs="Arial"/>
          <w:lang w:val="es-CO"/>
        </w:rPr>
      </w:pPr>
    </w:p>
    <w:p w14:paraId="7050F2CB" w14:textId="77777777" w:rsidR="00B2442D" w:rsidRDefault="008A645F">
      <w:pPr>
        <w:jc w:val="both"/>
        <w:rPr>
          <w:rFonts w:ascii="Arial" w:hAnsi="Arial" w:cs="Arial"/>
          <w:lang w:val="es-CO"/>
        </w:rPr>
      </w:pPr>
      <w:r>
        <w:rPr>
          <w:rFonts w:ascii="Arial" w:hAnsi="Arial" w:cs="Arial"/>
          <w:i/>
          <w:lang w:val="es-CO"/>
        </w:rPr>
        <w:t>(Art. 20, Decreto 4400 de 2004, modificado por el art. 1 del Decreto 300 de 2009)</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 7 y 8 del</w:t>
      </w:r>
      <w:r>
        <w:rPr>
          <w:rFonts w:ascii="Arial" w:hAnsi="Arial" w:cs="Arial"/>
          <w:i/>
          <w:lang w:val="es-CO"/>
        </w:rPr>
        <w:t xml:space="preserve"> Decreto 1514 de 1998 y el Decreto 124 de 1997. Art. 22, Decreto 4400 de 2004)</w:t>
      </w:r>
    </w:p>
    <w:p w14:paraId="6C7F59FE" w14:textId="77777777" w:rsidR="00B2442D" w:rsidRDefault="00B2442D">
      <w:pPr>
        <w:jc w:val="both"/>
        <w:rPr>
          <w:rFonts w:ascii="Arial" w:hAnsi="Arial" w:cs="Arial"/>
          <w:lang w:val="es-CO"/>
        </w:rPr>
      </w:pPr>
    </w:p>
    <w:p w14:paraId="6CAC560A" w14:textId="77777777" w:rsidR="00B2442D" w:rsidRDefault="008A645F">
      <w:pPr>
        <w:pStyle w:val="Prrafodelista"/>
        <w:numPr>
          <w:ilvl w:val="0"/>
          <w:numId w:val="20"/>
        </w:numPr>
        <w:ind w:left="0" w:firstLine="0"/>
        <w:jc w:val="both"/>
        <w:rPr>
          <w:rFonts w:ascii="Arial" w:hAnsi="Arial" w:cs="Arial"/>
          <w:lang w:val="es-CO"/>
        </w:rPr>
      </w:pPr>
      <w:r>
        <w:rPr>
          <w:rFonts w:ascii="Arial" w:hAnsi="Arial" w:cs="Arial"/>
          <w:b/>
          <w:i/>
          <w:lang w:val="es-CO"/>
        </w:rPr>
        <w:t xml:space="preserve">Control Posterior. </w:t>
      </w:r>
      <w:r>
        <w:rPr>
          <w:rFonts w:ascii="Arial" w:hAnsi="Arial" w:cs="Arial"/>
          <w:lang w:val="es-CO"/>
        </w:rPr>
        <w:t>La Unidad Administrativa Especial Dirección de Impuestos y Aduanas Nacionales– DIAN podrá ejercer las facultades de fiscalización establecidas en el artículo</w:t>
      </w:r>
      <w:r>
        <w:rPr>
          <w:rFonts w:ascii="Arial" w:hAnsi="Arial" w:cs="Arial"/>
          <w:lang w:val="es-CO"/>
        </w:rPr>
        <w:t xml:space="preserve"> 684 del Estatuto Tributario y demás normas concordantes, a fin de verificar que se cumplan las disposiciones del presente capítulo y en general las obligaciones tributarias por parte de los contribuyentes sometidos al régimen tributario especial.</w:t>
      </w:r>
    </w:p>
    <w:p w14:paraId="2A6DA5B6" w14:textId="77777777" w:rsidR="00B2442D" w:rsidRDefault="00B2442D">
      <w:pPr>
        <w:jc w:val="both"/>
        <w:rPr>
          <w:rFonts w:ascii="Arial" w:hAnsi="Arial" w:cs="Arial"/>
          <w:lang w:val="es-CO"/>
        </w:rPr>
      </w:pPr>
    </w:p>
    <w:p w14:paraId="4B7AF622" w14:textId="77777777" w:rsidR="00B2442D" w:rsidRDefault="008A645F">
      <w:pPr>
        <w:jc w:val="both"/>
        <w:rPr>
          <w:rFonts w:ascii="Arial" w:hAnsi="Arial" w:cs="Arial"/>
          <w:lang w:val="es-CO"/>
        </w:rPr>
      </w:pPr>
      <w:r>
        <w:rPr>
          <w:rFonts w:ascii="Arial" w:hAnsi="Arial" w:cs="Arial"/>
          <w:i/>
          <w:lang w:val="es-CO"/>
        </w:rPr>
        <w:t>(Art. 2</w:t>
      </w:r>
      <w:r>
        <w:rPr>
          <w:rFonts w:ascii="Arial" w:hAnsi="Arial" w:cs="Arial"/>
          <w:i/>
          <w:lang w:val="es-CO"/>
        </w:rPr>
        <w:t>1, Decreto 4400 de 2004)</w:t>
      </w:r>
      <w:r>
        <w:rPr>
          <w:rFonts w:ascii="Arial" w:hAnsi="Arial" w:cs="Arial"/>
        </w:rPr>
        <w:t xml:space="preserve"> (</w:t>
      </w:r>
      <w:r>
        <w:rPr>
          <w:rFonts w:ascii="Arial" w:hAnsi="Arial" w:cs="Arial"/>
          <w:i/>
          <w:lang w:val="es-CO"/>
        </w:rPr>
        <w:t>El Decreto 4400 de 2004 rige a partir de su publicación y deroga las normas que le sean contrarias, en especial los artículos 4, 5, 6, 7 y 8 del Decreto 1514 de 1998 y el Decreto 124 de 1997. Art. 22, Decreto 4400 de 2004)</w:t>
      </w:r>
    </w:p>
    <w:p w14:paraId="474146F9" w14:textId="77777777" w:rsidR="00B2442D" w:rsidRDefault="00B2442D">
      <w:pPr>
        <w:jc w:val="center"/>
        <w:rPr>
          <w:rFonts w:ascii="Arial" w:hAnsi="Arial" w:cs="Arial"/>
          <w:b/>
          <w:lang w:val="es-CO"/>
        </w:rPr>
      </w:pPr>
    </w:p>
    <w:p w14:paraId="2E4CA962" w14:textId="77777777" w:rsidR="00B2442D" w:rsidRDefault="008A645F">
      <w:pPr>
        <w:pStyle w:val="Ttulo4"/>
      </w:pPr>
      <w:r>
        <w:t>CAPÍTULO 6</w:t>
      </w:r>
    </w:p>
    <w:p w14:paraId="4E0ACFCB" w14:textId="77777777" w:rsidR="00B2442D" w:rsidRDefault="008A645F">
      <w:pPr>
        <w:pStyle w:val="Ttulo4"/>
      </w:pPr>
      <w:r>
        <w:t>Patrimonio</w:t>
      </w:r>
    </w:p>
    <w:p w14:paraId="0FD28B9F" w14:textId="77777777" w:rsidR="00B2442D" w:rsidRDefault="00B2442D">
      <w:pPr>
        <w:rPr>
          <w:rFonts w:ascii="Arial" w:hAnsi="Arial" w:cs="Arial"/>
        </w:rPr>
      </w:pPr>
    </w:p>
    <w:p w14:paraId="1B430351"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 xml:space="preserve">Patrimonio bruto de las personas naturales extranjeras residentes en Colombia y las sucesiones ilíquidas de causantes extranjeros que eran residentes en Colombia. </w:t>
      </w:r>
      <w:r>
        <w:rPr>
          <w:rFonts w:ascii="Arial" w:hAnsi="Arial" w:cs="Arial"/>
          <w:lang w:val="es-CO"/>
        </w:rPr>
        <w:t>A partir de la entrada en vigencia de la Ley 1607 de 2012, el patrimon</w:t>
      </w:r>
      <w:r>
        <w:rPr>
          <w:rFonts w:ascii="Arial" w:hAnsi="Arial" w:cs="Arial"/>
          <w:lang w:val="es-CO"/>
        </w:rPr>
        <w:t>io bruto de las personas naturales extranjeras que sean residentes en Colombia y de las sucesiones ilíquidas de causantes extranjeros residentes en Colombia incluirá los bienes poseídos en el exterior.</w:t>
      </w:r>
    </w:p>
    <w:p w14:paraId="74E308DF" w14:textId="77777777" w:rsidR="00B2442D" w:rsidRDefault="00B2442D">
      <w:pPr>
        <w:jc w:val="both"/>
        <w:rPr>
          <w:rFonts w:ascii="Arial" w:hAnsi="Arial" w:cs="Arial"/>
          <w:lang w:val="es-CO"/>
        </w:rPr>
      </w:pPr>
    </w:p>
    <w:p w14:paraId="44D85A08" w14:textId="77777777" w:rsidR="00B2442D" w:rsidRDefault="008A645F">
      <w:pPr>
        <w:jc w:val="both"/>
        <w:rPr>
          <w:rFonts w:ascii="Arial" w:hAnsi="Arial" w:cs="Arial"/>
          <w:i/>
          <w:lang w:val="es-CO"/>
        </w:rPr>
      </w:pPr>
      <w:r>
        <w:rPr>
          <w:rFonts w:ascii="Arial" w:hAnsi="Arial" w:cs="Arial"/>
          <w:i/>
          <w:lang w:val="es-CO"/>
        </w:rPr>
        <w:t>(Art. 6, Decreto 3028 de 2013)</w:t>
      </w:r>
    </w:p>
    <w:p w14:paraId="3B02CB09" w14:textId="77777777" w:rsidR="00B2442D" w:rsidRDefault="00B2442D">
      <w:pPr>
        <w:jc w:val="center"/>
        <w:rPr>
          <w:rFonts w:ascii="Arial" w:hAnsi="Arial" w:cs="Arial"/>
          <w:b/>
          <w:lang w:val="es-CO"/>
        </w:rPr>
      </w:pPr>
    </w:p>
    <w:p w14:paraId="7533E1D9"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Patrimonio de las per</w:t>
      </w:r>
      <w:r>
        <w:rPr>
          <w:rFonts w:ascii="Arial" w:hAnsi="Arial" w:cs="Arial"/>
          <w:b/>
          <w:i/>
          <w:lang w:val="es-CO"/>
        </w:rPr>
        <w:t>sonas naturales sin residencia en Colombia y sociedades y entidades extranjeras.</w:t>
      </w:r>
      <w:r>
        <w:rPr>
          <w:rFonts w:ascii="Arial" w:hAnsi="Arial" w:cs="Arial"/>
          <w:lang w:val="es-CO"/>
        </w:rPr>
        <w:t xml:space="preserve"> El patrimonio de los contribuyentes que sean personas naturales sin residencia en Colombia o sociedades o entidades extranjeras que tengan un establecimiento permanente o sucu</w:t>
      </w:r>
      <w:r>
        <w:rPr>
          <w:rFonts w:ascii="Arial" w:hAnsi="Arial" w:cs="Arial"/>
          <w:lang w:val="es-CO"/>
        </w:rPr>
        <w:t>rsal en Colombia, será el que se atribuya al establecimiento o sucursal de conformidad con lo establecido en el artículo 20-2 del Estatuto Tributario y lo previsto en los artículos 1.2.1.1.4, 1.2.1.3.5, 1.2.1.3.7, 1.2.1.1.5, 1.2.1.3.6, 1.2.4.11.1, 1.6.1.5.</w:t>
      </w:r>
      <w:r>
        <w:rPr>
          <w:rFonts w:ascii="Arial" w:hAnsi="Arial" w:cs="Arial"/>
          <w:lang w:val="es-CO"/>
        </w:rPr>
        <w:t>6, 1.6.1.2.1, 1.2.1.14.1 al 1.2.1.14.9, 1.2.4.7.2 del presente Decreto.</w:t>
      </w:r>
    </w:p>
    <w:p w14:paraId="626C29E8" w14:textId="77777777" w:rsidR="00B2442D" w:rsidRDefault="00B2442D">
      <w:pPr>
        <w:jc w:val="both"/>
        <w:rPr>
          <w:rFonts w:ascii="Arial" w:hAnsi="Arial" w:cs="Arial"/>
          <w:lang w:val="es-CO"/>
        </w:rPr>
      </w:pPr>
    </w:p>
    <w:p w14:paraId="6A908EA8" w14:textId="77777777" w:rsidR="00B2442D" w:rsidRDefault="008A645F">
      <w:pPr>
        <w:jc w:val="both"/>
        <w:rPr>
          <w:rFonts w:ascii="Arial" w:hAnsi="Arial" w:cs="Arial"/>
          <w:i/>
          <w:lang w:val="es-CO"/>
        </w:rPr>
      </w:pPr>
      <w:r>
        <w:rPr>
          <w:rFonts w:ascii="Arial" w:hAnsi="Arial" w:cs="Arial"/>
          <w:i/>
          <w:lang w:val="es-CO"/>
        </w:rPr>
        <w:t>(Art. 8, Decreto 3026 de 2013)</w:t>
      </w:r>
    </w:p>
    <w:p w14:paraId="46BDBA04" w14:textId="77777777" w:rsidR="00B2442D" w:rsidRDefault="00B2442D">
      <w:pPr>
        <w:jc w:val="center"/>
        <w:rPr>
          <w:rFonts w:ascii="Arial" w:hAnsi="Arial" w:cs="Arial"/>
          <w:b/>
          <w:lang w:val="es-CO"/>
        </w:rPr>
      </w:pPr>
    </w:p>
    <w:p w14:paraId="7796165F"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Valor patrimonial de los bienes y activos.</w:t>
      </w:r>
      <w:r>
        <w:rPr>
          <w:rFonts w:ascii="Arial" w:hAnsi="Arial" w:cs="Arial"/>
          <w:lang w:val="es-CO"/>
        </w:rPr>
        <w:t xml:space="preserve"> El valor patrimonial de los bienes o activos de una persona natural, al que hacen referencia los artículos 1</w:t>
      </w:r>
      <w:r>
        <w:rPr>
          <w:rFonts w:ascii="Arial" w:hAnsi="Arial" w:cs="Arial"/>
          <w:lang w:val="es-CO"/>
        </w:rPr>
        <w:t xml:space="preserve">.2.1.3.1. al 1.2.1.3.4, 1.2.1.3.8., 1.2.1.6.1., 1.2.1.10.2., 1.2.1.19.5. y 1.6.1.27.5. del presente Decreto, será el valor determinado de conformidad con lo establecido en el Capítulo I del Título II del Libro Primero del Estatuto Tributario, o las normas </w:t>
      </w:r>
      <w:r>
        <w:rPr>
          <w:rFonts w:ascii="Arial" w:hAnsi="Arial" w:cs="Arial"/>
          <w:lang w:val="es-CO"/>
        </w:rPr>
        <w:t xml:space="preserve">que lo modifiquen, adicionen o sustituyan. Si al aplicar dichas normas no es posible determinar el valor patrimonial de un bien o activo, se tendrá como tal el valor de adquisición del mismo. En ambos casos, los valores deberán ser ajustados anualmente en </w:t>
      </w:r>
      <w:r>
        <w:rPr>
          <w:rFonts w:ascii="Arial" w:hAnsi="Arial" w:cs="Arial"/>
          <w:lang w:val="es-CO"/>
        </w:rPr>
        <w:t>el porcentaje señalado en el artículo 868 del Estatuto Tributario o la norma que lo modifique, adicione o sustituya.</w:t>
      </w:r>
    </w:p>
    <w:p w14:paraId="53E5426E" w14:textId="77777777" w:rsidR="00B2442D" w:rsidRDefault="00B2442D">
      <w:pPr>
        <w:jc w:val="both"/>
        <w:rPr>
          <w:rFonts w:ascii="Arial" w:hAnsi="Arial" w:cs="Arial"/>
          <w:lang w:val="es-CO"/>
        </w:rPr>
      </w:pPr>
    </w:p>
    <w:p w14:paraId="1D3262FC" w14:textId="77777777" w:rsidR="00B2442D" w:rsidRDefault="008A645F">
      <w:pPr>
        <w:jc w:val="both"/>
        <w:rPr>
          <w:rFonts w:ascii="Arial" w:hAnsi="Arial" w:cs="Arial"/>
          <w:i/>
          <w:lang w:val="es-CO"/>
        </w:rPr>
      </w:pPr>
      <w:r>
        <w:rPr>
          <w:rFonts w:ascii="Arial" w:hAnsi="Arial" w:cs="Arial"/>
          <w:i/>
          <w:lang w:val="es-CO"/>
        </w:rPr>
        <w:t>(Art. 4, Decreto 3028 de 2013)</w:t>
      </w:r>
    </w:p>
    <w:p w14:paraId="310C1C0A" w14:textId="77777777" w:rsidR="00B2442D" w:rsidRDefault="00B2442D">
      <w:pPr>
        <w:jc w:val="both"/>
        <w:rPr>
          <w:rFonts w:ascii="Arial" w:hAnsi="Arial" w:cs="Arial"/>
          <w:i/>
          <w:lang w:val="es-CO"/>
        </w:rPr>
      </w:pPr>
    </w:p>
    <w:p w14:paraId="389C71D7"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Naturaleza de las acciones.</w:t>
      </w:r>
      <w:r>
        <w:rPr>
          <w:rFonts w:ascii="Arial" w:hAnsi="Arial" w:cs="Arial"/>
          <w:lang w:val="es-CO"/>
        </w:rPr>
        <w:t xml:space="preserve"> De conformidad con el artículo 20 del Decreto 2053 de 1974 (hoy artículo 60 del Estatuto Tributario), las acciones que se adquieren y no se enajenan dentro del giro ordinario de los negocios del contribuyente son activos fijos. Las acciones que se enajene</w:t>
      </w:r>
      <w:r>
        <w:rPr>
          <w:rFonts w:ascii="Arial" w:hAnsi="Arial" w:cs="Arial"/>
          <w:lang w:val="es-CO"/>
        </w:rPr>
        <w:t>n dentro del giro ordinario de los negocios son activos movibles.</w:t>
      </w:r>
    </w:p>
    <w:p w14:paraId="64C82683" w14:textId="77777777" w:rsidR="00B2442D" w:rsidRDefault="00B2442D">
      <w:pPr>
        <w:jc w:val="both"/>
        <w:rPr>
          <w:rFonts w:ascii="Arial" w:hAnsi="Arial" w:cs="Arial"/>
          <w:i/>
          <w:lang w:val="es-CO"/>
        </w:rPr>
      </w:pPr>
    </w:p>
    <w:p w14:paraId="6D7A4E86" w14:textId="77777777" w:rsidR="00B2442D" w:rsidRDefault="008A645F">
      <w:pPr>
        <w:jc w:val="both"/>
        <w:rPr>
          <w:rFonts w:ascii="Arial" w:hAnsi="Arial" w:cs="Arial"/>
          <w:i/>
          <w:lang w:val="es-CO"/>
        </w:rPr>
      </w:pPr>
      <w:r>
        <w:rPr>
          <w:rFonts w:ascii="Arial" w:hAnsi="Arial" w:cs="Arial"/>
          <w:i/>
          <w:lang w:val="es-CO"/>
        </w:rPr>
        <w:t>(Art. 12, Decreto 3211 de 1979) (El Decreto 3211 de 1979 rige desde la fecha de su expedición y deroga los artículos 21, 22, 33 y 34 ordinales b) y c), 35 y 38 del Decreto 2595 de 1979 y de</w:t>
      </w:r>
      <w:r>
        <w:rPr>
          <w:rFonts w:ascii="Arial" w:hAnsi="Arial" w:cs="Arial"/>
          <w:i/>
          <w:lang w:val="es-CO"/>
        </w:rPr>
        <w:t>más disposiciones que le sean contrarias. Art. 14, Decreto 3211 de 1979)</w:t>
      </w:r>
    </w:p>
    <w:p w14:paraId="082349D8" w14:textId="77777777" w:rsidR="00B2442D" w:rsidRDefault="00B2442D">
      <w:pPr>
        <w:jc w:val="both"/>
        <w:rPr>
          <w:rFonts w:ascii="Arial" w:hAnsi="Arial" w:cs="Arial"/>
          <w:lang w:val="es-CO"/>
        </w:rPr>
      </w:pPr>
    </w:p>
    <w:p w14:paraId="4CD48AF5"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Créditos en moneda extranjera.</w:t>
      </w:r>
      <w:r>
        <w:rPr>
          <w:rFonts w:ascii="Arial" w:hAnsi="Arial" w:cs="Arial"/>
          <w:lang w:val="es-CO"/>
        </w:rPr>
        <w:t xml:space="preserve"> El valor de los créditos en moneda extranjera se estima en moneda nacional, en el último día del año o período impositivo. </w:t>
      </w:r>
    </w:p>
    <w:p w14:paraId="10E3A848" w14:textId="77777777" w:rsidR="00B2442D" w:rsidRDefault="008A645F">
      <w:pPr>
        <w:jc w:val="both"/>
        <w:rPr>
          <w:rFonts w:ascii="Arial" w:hAnsi="Arial" w:cs="Arial"/>
          <w:lang w:val="es-CO"/>
        </w:rPr>
      </w:pPr>
      <w:r>
        <w:rPr>
          <w:rFonts w:ascii="Arial" w:hAnsi="Arial" w:cs="Arial"/>
          <w:lang w:val="es-CO"/>
        </w:rPr>
        <w:t xml:space="preserve"> </w:t>
      </w:r>
    </w:p>
    <w:p w14:paraId="08BB8C61" w14:textId="77777777" w:rsidR="00B2442D" w:rsidRDefault="008A645F">
      <w:pPr>
        <w:jc w:val="both"/>
        <w:rPr>
          <w:rFonts w:ascii="Arial" w:hAnsi="Arial" w:cs="Arial"/>
          <w:lang w:val="es-CO"/>
        </w:rPr>
      </w:pPr>
      <w:r>
        <w:rPr>
          <w:rFonts w:ascii="Arial" w:hAnsi="Arial" w:cs="Arial"/>
          <w:lang w:val="es-CO"/>
        </w:rPr>
        <w:t>Si el crédito proviene de</w:t>
      </w:r>
      <w:r>
        <w:rPr>
          <w:rFonts w:ascii="Arial" w:hAnsi="Arial" w:cs="Arial"/>
          <w:lang w:val="es-CO"/>
        </w:rPr>
        <w:t xml:space="preserve"> exportaciones y en treinta y uno (31) de diciembre del respectivo ejercicio, el contribuyente, por disposiciones del régimen de cambios, tiene derecho a un tipo de cambio oficial inferior al vigente en aquella fecha, el valor del crédito se estimará por e</w:t>
      </w:r>
      <w:r>
        <w:rPr>
          <w:rFonts w:ascii="Arial" w:hAnsi="Arial" w:cs="Arial"/>
          <w:lang w:val="es-CO"/>
        </w:rPr>
        <w:t>ste último.</w:t>
      </w:r>
    </w:p>
    <w:p w14:paraId="1E051DE3" w14:textId="77777777" w:rsidR="00B2442D" w:rsidRDefault="00B2442D">
      <w:pPr>
        <w:jc w:val="both"/>
        <w:rPr>
          <w:rFonts w:ascii="Arial" w:hAnsi="Arial" w:cs="Arial"/>
          <w:i/>
          <w:lang w:val="es-CO"/>
        </w:rPr>
      </w:pPr>
    </w:p>
    <w:p w14:paraId="45584D3B" w14:textId="77777777" w:rsidR="00B2442D" w:rsidRDefault="008A645F">
      <w:pPr>
        <w:jc w:val="both"/>
        <w:rPr>
          <w:rFonts w:ascii="Arial" w:hAnsi="Arial" w:cs="Arial"/>
          <w:i/>
          <w:lang w:val="es-CO"/>
        </w:rPr>
      </w:pPr>
      <w:r>
        <w:rPr>
          <w:rFonts w:ascii="Arial" w:hAnsi="Arial" w:cs="Arial"/>
          <w:i/>
          <w:lang w:val="es-CO"/>
        </w:rPr>
        <w:t>(Art. 115, Decreto 187 de 1975,  inciso 3 tiene decaimiento por el art. 4 del Decreto Ley 2503 de 1987. La expresión “, de acuerdo con la tasa oficial de cambio”, del inciso primero tiene derogatoria tácita por el artículo 7° del Decreto 366 d</w:t>
      </w:r>
      <w:r>
        <w:rPr>
          <w:rFonts w:ascii="Arial" w:hAnsi="Arial" w:cs="Arial"/>
          <w:i/>
          <w:lang w:val="es-CO"/>
        </w:rPr>
        <w:t>e 1992, que consagró la tasa representativa del mercado, para efectos tributarios) (Vigencia del Decreto 187 de 1975. El Decreto 187 de 1975 se aplicará a partir del ejercicio impositivo de 1974 salvo los casos expresamente exceptuados en el mismo o en las</w:t>
      </w:r>
      <w:r>
        <w:rPr>
          <w:rFonts w:ascii="Arial" w:hAnsi="Arial" w:cs="Arial"/>
          <w:i/>
          <w:lang w:val="es-CO"/>
        </w:rPr>
        <w:t xml:space="preserve"> normas sustantivas y procedimentales del impuesto sobre la renta y complementario. (Art. 117, Decreto 187 de 1975))</w:t>
      </w:r>
    </w:p>
    <w:p w14:paraId="67979A03" w14:textId="77777777" w:rsidR="00B2442D" w:rsidRDefault="00B2442D">
      <w:pPr>
        <w:jc w:val="both"/>
        <w:rPr>
          <w:rFonts w:ascii="Arial" w:hAnsi="Arial" w:cs="Arial"/>
          <w:lang w:val="es-CO"/>
        </w:rPr>
      </w:pPr>
    </w:p>
    <w:p w14:paraId="3DFC4D2A"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Valor patrimonial de los activos.</w:t>
      </w:r>
      <w:r>
        <w:rPr>
          <w:rFonts w:ascii="Arial" w:hAnsi="Arial" w:cs="Arial"/>
          <w:lang w:val="es-CO"/>
        </w:rPr>
        <w:t xml:space="preserve"> Los contribuyentes deben declarar sus bienes de acuerdo con las reglas consagradas en el Capítulo I del </w:t>
      </w:r>
      <w:r>
        <w:rPr>
          <w:rFonts w:ascii="Arial" w:hAnsi="Arial" w:cs="Arial"/>
          <w:lang w:val="es-CO"/>
        </w:rPr>
        <w:t>Título II, Libro Primero del Estatuto Tributario, salvo cuando hagan uso de la opción que autoriza el artículo 4° de la Ley 174 de 1994 (hoy artículo 72 del Estatuto Tributario), sobre avalúo formado o autoavalúo de los bienes raíces, en cuyo caso deben ce</w:t>
      </w:r>
      <w:r>
        <w:rPr>
          <w:rFonts w:ascii="Arial" w:hAnsi="Arial" w:cs="Arial"/>
          <w:lang w:val="es-CO"/>
        </w:rPr>
        <w:t>ñirse a lo previsto en el artículo 1.2.1.17.6 de este Decreto.</w:t>
      </w:r>
    </w:p>
    <w:p w14:paraId="13292990" w14:textId="77777777" w:rsidR="00B2442D" w:rsidRDefault="00B2442D">
      <w:pPr>
        <w:jc w:val="both"/>
        <w:rPr>
          <w:rFonts w:ascii="Arial" w:hAnsi="Arial" w:cs="Arial"/>
          <w:i/>
          <w:lang w:val="es-CO"/>
        </w:rPr>
      </w:pPr>
    </w:p>
    <w:p w14:paraId="2D2C42F8" w14:textId="77777777" w:rsidR="00B2442D" w:rsidRDefault="008A645F">
      <w:pPr>
        <w:jc w:val="both"/>
        <w:rPr>
          <w:rFonts w:ascii="Arial" w:hAnsi="Arial" w:cs="Arial"/>
          <w:lang w:val="es-CO"/>
        </w:rPr>
      </w:pPr>
      <w:r>
        <w:rPr>
          <w:rFonts w:ascii="Arial" w:hAnsi="Arial" w:cs="Arial"/>
          <w:i/>
          <w:lang w:val="es-CO"/>
        </w:rPr>
        <w:t>(Art. 13, Decreto 326 de 1995. La expresión “no sujetos al régimen de ajustes por inflación”, tiene decaimiento en virtud de lo previsto por el art. 78 de la Ley 1111 de 2006 que derogó los ar</w:t>
      </w:r>
      <w:r>
        <w:rPr>
          <w:rFonts w:ascii="Arial" w:hAnsi="Arial" w:cs="Arial"/>
          <w:i/>
          <w:lang w:val="es-CO"/>
        </w:rPr>
        <w:t>tículos del Estatuto Tributario, relativos al sistema de ajustes integrales por inflación)</w:t>
      </w:r>
    </w:p>
    <w:p w14:paraId="1611ECC7" w14:textId="77777777" w:rsidR="00B2442D" w:rsidRDefault="00B2442D">
      <w:pPr>
        <w:jc w:val="both"/>
        <w:rPr>
          <w:rFonts w:ascii="Arial" w:hAnsi="Arial" w:cs="Arial"/>
          <w:lang w:val="es-CO"/>
        </w:rPr>
      </w:pPr>
    </w:p>
    <w:p w14:paraId="48B5491D"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Costo mínimo de los inmuebles adquiridos con préstamo.</w:t>
      </w:r>
      <w:r>
        <w:rPr>
          <w:rFonts w:ascii="Arial" w:hAnsi="Arial" w:cs="Arial"/>
          <w:lang w:val="es-CO"/>
        </w:rPr>
        <w:t xml:space="preserve"> Para dar cumplimiento a lo dispuesto en el artículo 278 del Estatuto Tributario, cuando se adquieran bienes r</w:t>
      </w:r>
      <w:r>
        <w:rPr>
          <w:rFonts w:ascii="Arial" w:hAnsi="Arial" w:cs="Arial"/>
          <w:lang w:val="es-CO"/>
        </w:rPr>
        <w:t>aíces con préstamos otorgados por entidades sometidas a la vigilancia del Estado, el precio de compra fijado en la escritura no podrá ser inferior a una suma en la cual el préstamo represente el setenta por ciento (70%) del total, salvo cuando existan disp</w:t>
      </w:r>
      <w:r>
        <w:rPr>
          <w:rFonts w:ascii="Arial" w:hAnsi="Arial" w:cs="Arial"/>
          <w:lang w:val="es-CO"/>
        </w:rPr>
        <w:t xml:space="preserve">osiciones especiales que autoricen a tales entidades a otorgar préstamos superiores a dicho setenta por ciento (70%). </w:t>
      </w:r>
    </w:p>
    <w:p w14:paraId="6DC2A790" w14:textId="77777777" w:rsidR="00B2442D" w:rsidRDefault="00B2442D">
      <w:pPr>
        <w:jc w:val="both"/>
        <w:rPr>
          <w:rFonts w:ascii="Arial" w:hAnsi="Arial" w:cs="Arial"/>
          <w:lang w:val="es-CO"/>
        </w:rPr>
      </w:pPr>
    </w:p>
    <w:p w14:paraId="5FA32AD5" w14:textId="77777777" w:rsidR="00B2442D" w:rsidRDefault="008A645F">
      <w:pPr>
        <w:jc w:val="both"/>
        <w:rPr>
          <w:rFonts w:ascii="Arial" w:hAnsi="Arial" w:cs="Arial"/>
          <w:lang w:val="es-CO"/>
        </w:rPr>
      </w:pPr>
      <w:r>
        <w:rPr>
          <w:rFonts w:ascii="Arial" w:hAnsi="Arial" w:cs="Arial"/>
          <w:lang w:val="es-CO"/>
        </w:rPr>
        <w:t>Para que los notarios puedan autorizar escrituras, cuando el valor del préstamo sea superior al setenta por ciento (70%) del valor de la</w:t>
      </w:r>
      <w:r>
        <w:rPr>
          <w:rFonts w:ascii="Arial" w:hAnsi="Arial" w:cs="Arial"/>
          <w:lang w:val="es-CO"/>
        </w:rPr>
        <w:t xml:space="preserve"> venta, deberá hacerse constar en la escritura correspondiente la norma especial que así lo autorice.</w:t>
      </w:r>
    </w:p>
    <w:p w14:paraId="11AF2066" w14:textId="77777777" w:rsidR="00B2442D" w:rsidRDefault="00B2442D">
      <w:pPr>
        <w:jc w:val="both"/>
        <w:rPr>
          <w:rFonts w:ascii="Arial" w:hAnsi="Arial" w:cs="Arial"/>
          <w:i/>
          <w:lang w:val="es-CO"/>
        </w:rPr>
      </w:pPr>
    </w:p>
    <w:p w14:paraId="067A9591" w14:textId="77777777" w:rsidR="00B2442D" w:rsidRDefault="008A645F">
      <w:pPr>
        <w:jc w:val="both"/>
        <w:rPr>
          <w:rFonts w:ascii="Arial" w:hAnsi="Arial" w:cs="Arial"/>
          <w:i/>
          <w:lang w:val="es-CO"/>
        </w:rPr>
      </w:pPr>
      <w:r>
        <w:rPr>
          <w:rFonts w:ascii="Arial" w:hAnsi="Arial" w:cs="Arial"/>
          <w:i/>
          <w:lang w:val="es-CO"/>
        </w:rPr>
        <w:t>(Art. 3, Decreto 1809 de 1989)</w:t>
      </w:r>
    </w:p>
    <w:p w14:paraId="27C88B1B" w14:textId="77777777" w:rsidR="00B2442D" w:rsidRDefault="00B2442D">
      <w:pPr>
        <w:jc w:val="both"/>
        <w:rPr>
          <w:rFonts w:ascii="Arial" w:hAnsi="Arial" w:cs="Arial"/>
          <w:i/>
          <w:lang w:val="es-CO"/>
        </w:rPr>
      </w:pPr>
    </w:p>
    <w:p w14:paraId="538D63D3" w14:textId="77777777" w:rsidR="00B2442D" w:rsidRDefault="008A645F">
      <w:pPr>
        <w:pStyle w:val="Prrafodelista"/>
        <w:numPr>
          <w:ilvl w:val="0"/>
          <w:numId w:val="21"/>
        </w:numPr>
        <w:ind w:left="0" w:firstLine="0"/>
        <w:jc w:val="both"/>
        <w:rPr>
          <w:rFonts w:ascii="Arial" w:hAnsi="Arial" w:cs="Arial"/>
          <w:lang w:val="es-CO"/>
        </w:rPr>
      </w:pPr>
      <w:r>
        <w:rPr>
          <w:rFonts w:ascii="Arial" w:hAnsi="Arial" w:cs="Arial"/>
          <w:b/>
          <w:i/>
          <w:lang w:val="es-CO"/>
        </w:rPr>
        <w:t>Valor patrimonial de las inversiones.</w:t>
      </w:r>
      <w:r>
        <w:rPr>
          <w:rFonts w:ascii="Arial" w:hAnsi="Arial" w:cs="Arial"/>
          <w:lang w:val="es-CO"/>
        </w:rPr>
        <w:t xml:space="preserve"> De conformidad con los artículos 271 y 272 del Estatuto Tributario, para los contri</w:t>
      </w:r>
      <w:r>
        <w:rPr>
          <w:rFonts w:ascii="Arial" w:hAnsi="Arial" w:cs="Arial"/>
          <w:lang w:val="es-CO"/>
        </w:rPr>
        <w:t>buyentes obligados a utilizar sistemas especiales de valoración de inversiones, de conformidad con las normas especiales que para el efecto señalen las entidades de control, el valor patrimonial de las inversiones será aquel que resulte de la aplicación de</w:t>
      </w:r>
      <w:r>
        <w:rPr>
          <w:rFonts w:ascii="Arial" w:hAnsi="Arial" w:cs="Arial"/>
          <w:lang w:val="es-CO"/>
        </w:rPr>
        <w:t xml:space="preserve"> tales mecanismos de valoración y sus efectos deben registrarse en el estado de pérdidas y ganancias. Para efectos tributarios este resultado sólo ser realizará en cabeza de la sociedad de acuerdo con las reglas del artículo 27 y demás normas concordantes </w:t>
      </w:r>
      <w:r>
        <w:rPr>
          <w:rFonts w:ascii="Arial" w:hAnsi="Arial" w:cs="Arial"/>
          <w:lang w:val="es-CO"/>
        </w:rPr>
        <w:t xml:space="preserve">del Estatuto Tributario. </w:t>
      </w:r>
    </w:p>
    <w:p w14:paraId="723B6765" w14:textId="77777777" w:rsidR="00B2442D" w:rsidRDefault="008A645F">
      <w:pPr>
        <w:jc w:val="both"/>
        <w:rPr>
          <w:rFonts w:ascii="Arial" w:hAnsi="Arial" w:cs="Arial"/>
          <w:lang w:val="es-CO"/>
        </w:rPr>
      </w:pPr>
      <w:r>
        <w:rPr>
          <w:rFonts w:ascii="Arial" w:hAnsi="Arial" w:cs="Arial"/>
          <w:lang w:val="es-CO"/>
        </w:rPr>
        <w:t xml:space="preserve"> </w:t>
      </w:r>
    </w:p>
    <w:p w14:paraId="6BFA9469" w14:textId="77777777" w:rsidR="00B2442D" w:rsidRDefault="008A645F">
      <w:pPr>
        <w:jc w:val="both"/>
        <w:rPr>
          <w:rFonts w:ascii="Arial" w:hAnsi="Arial" w:cs="Arial"/>
          <w:lang w:val="es-CO"/>
        </w:rPr>
      </w:pPr>
      <w:r>
        <w:rPr>
          <w:rFonts w:ascii="Arial" w:hAnsi="Arial" w:cs="Arial"/>
          <w:lang w:val="es-CO"/>
        </w:rPr>
        <w:t xml:space="preserve">Las utilidades que se generen al cierre del ejercicio contable como consecuencia de la aplicación de sistemas especiales de valoración a precios de mercado y que no se hayan realizado en cabeza de la sociedad de acuerdo con las </w:t>
      </w:r>
      <w:r>
        <w:rPr>
          <w:rFonts w:ascii="Arial" w:hAnsi="Arial" w:cs="Arial"/>
          <w:lang w:val="es-CO"/>
        </w:rPr>
        <w:t>reglas del artículo 27 y demás normas concordantes del Estatuto Tributario, se llevarán a una reserva. Dicha reserva sólo podrá afectarse cuando se capitalicen tales utilidades o se realice fiscalmente el ingreso.</w:t>
      </w:r>
    </w:p>
    <w:p w14:paraId="071C70C4" w14:textId="77777777" w:rsidR="00B2442D" w:rsidRDefault="00B2442D">
      <w:pPr>
        <w:jc w:val="both"/>
        <w:rPr>
          <w:rFonts w:ascii="Arial" w:hAnsi="Arial" w:cs="Arial"/>
          <w:i/>
          <w:lang w:val="es-CO"/>
        </w:rPr>
      </w:pPr>
    </w:p>
    <w:p w14:paraId="691EC2FA" w14:textId="77777777" w:rsidR="00B2442D" w:rsidRDefault="008A645F">
      <w:pPr>
        <w:jc w:val="both"/>
        <w:rPr>
          <w:rFonts w:ascii="Arial" w:hAnsi="Arial" w:cs="Arial"/>
          <w:i/>
          <w:lang w:val="es-CO"/>
        </w:rPr>
      </w:pPr>
      <w:r>
        <w:rPr>
          <w:rFonts w:ascii="Arial" w:hAnsi="Arial" w:cs="Arial"/>
          <w:i/>
          <w:lang w:val="es-CO"/>
        </w:rPr>
        <w:t>(Art. 1, Decreto 2336 de 1995)</w:t>
      </w:r>
    </w:p>
    <w:p w14:paraId="5C2ADE5D" w14:textId="77777777" w:rsidR="00B2442D" w:rsidRDefault="00B2442D">
      <w:pPr>
        <w:jc w:val="both"/>
        <w:rPr>
          <w:rFonts w:ascii="Arial" w:hAnsi="Arial" w:cs="Arial"/>
          <w:i/>
          <w:lang w:val="es-CO"/>
        </w:rPr>
      </w:pPr>
    </w:p>
    <w:p w14:paraId="73A1850D" w14:textId="77777777" w:rsidR="00B2442D" w:rsidRDefault="008A645F">
      <w:pPr>
        <w:pStyle w:val="Ttulo4"/>
      </w:pPr>
      <w:r>
        <w:t>CAPÍTULO 7</w:t>
      </w:r>
    </w:p>
    <w:p w14:paraId="167A39D0" w14:textId="77777777" w:rsidR="00B2442D" w:rsidRDefault="008A645F">
      <w:pPr>
        <w:pStyle w:val="Ttulo4"/>
      </w:pPr>
      <w:r>
        <w:t xml:space="preserve">Ingresos </w:t>
      </w:r>
    </w:p>
    <w:p w14:paraId="6A089E3A" w14:textId="77777777" w:rsidR="00B2442D" w:rsidRDefault="00B2442D">
      <w:pPr>
        <w:jc w:val="center"/>
        <w:rPr>
          <w:rFonts w:ascii="Arial" w:hAnsi="Arial" w:cs="Arial"/>
          <w:lang w:val="es-CO"/>
        </w:rPr>
      </w:pPr>
    </w:p>
    <w:p w14:paraId="67AB03B7" w14:textId="77777777" w:rsidR="00B2442D" w:rsidRDefault="008A645F">
      <w:pPr>
        <w:pStyle w:val="Prrafodelista"/>
        <w:numPr>
          <w:ilvl w:val="0"/>
          <w:numId w:val="22"/>
        </w:numPr>
        <w:ind w:left="0" w:firstLine="0"/>
        <w:jc w:val="both"/>
        <w:rPr>
          <w:rFonts w:ascii="Arial" w:hAnsi="Arial" w:cs="Arial"/>
          <w:lang w:val="es-CO"/>
        </w:rPr>
      </w:pPr>
      <w:r>
        <w:rPr>
          <w:rFonts w:ascii="Arial" w:hAnsi="Arial" w:cs="Arial"/>
          <w:b/>
          <w:i/>
          <w:lang w:val="es-CO"/>
        </w:rPr>
        <w:t>Concepto de incremento neto del patrimonio.</w:t>
      </w:r>
      <w:r>
        <w:rPr>
          <w:rFonts w:ascii="Arial" w:hAnsi="Arial" w:cs="Arial"/>
          <w:lang w:val="es-CO"/>
        </w:rPr>
        <w:t xml:space="preserve"> Para los efectos del </w:t>
      </w:r>
      <w:r>
        <w:rPr>
          <w:rFonts w:ascii="Arial" w:hAnsi="Arial" w:cs="Arial"/>
          <w:shd w:val="clear" w:color="auto" w:fill="FFFFFF" w:themeFill="background1"/>
          <w:lang w:val="es-CO"/>
        </w:rPr>
        <w:t>artículo 15 del Decreto 2053 de 1974 (hoy artículo 26 del Estatuto Tributario),</w:t>
      </w:r>
      <w:r>
        <w:rPr>
          <w:rFonts w:ascii="Arial" w:hAnsi="Arial" w:cs="Arial"/>
          <w:lang w:val="es-CO"/>
        </w:rPr>
        <w:t xml:space="preserve"> se entiende que un ingreso puede producir incremento neto del patrimonio, cuando es susce</w:t>
      </w:r>
      <w:r>
        <w:rPr>
          <w:rFonts w:ascii="Arial" w:hAnsi="Arial" w:cs="Arial"/>
          <w:lang w:val="es-CO"/>
        </w:rPr>
        <w:t xml:space="preserve">ptible de capitalización aun cuando esta no se haya realizado efectivamente al fin del ejercicio. </w:t>
      </w:r>
    </w:p>
    <w:p w14:paraId="26BA6BDC" w14:textId="77777777" w:rsidR="00B2442D" w:rsidRDefault="008A645F">
      <w:pPr>
        <w:jc w:val="both"/>
        <w:rPr>
          <w:rFonts w:ascii="Arial" w:hAnsi="Arial" w:cs="Arial"/>
          <w:lang w:val="es-CO"/>
        </w:rPr>
      </w:pPr>
      <w:r>
        <w:rPr>
          <w:rFonts w:ascii="Arial" w:hAnsi="Arial" w:cs="Arial"/>
          <w:lang w:val="es-CO"/>
        </w:rPr>
        <w:t xml:space="preserve"> </w:t>
      </w:r>
    </w:p>
    <w:p w14:paraId="58C88B5F" w14:textId="77777777" w:rsidR="00B2442D" w:rsidRDefault="008A645F">
      <w:pPr>
        <w:jc w:val="both"/>
        <w:rPr>
          <w:rFonts w:ascii="Arial" w:hAnsi="Arial" w:cs="Arial"/>
          <w:lang w:val="es-CO"/>
        </w:rPr>
      </w:pPr>
      <w:r>
        <w:rPr>
          <w:rFonts w:ascii="Arial" w:hAnsi="Arial" w:cs="Arial"/>
          <w:lang w:val="es-CO"/>
        </w:rPr>
        <w:t>No son susceptibles de producir incremento neto del patrimonio los ingresos por reembolso de capital o indemnización por daño emergente.</w:t>
      </w:r>
    </w:p>
    <w:p w14:paraId="20979B0C" w14:textId="77777777" w:rsidR="00B2442D" w:rsidRDefault="00B2442D">
      <w:pPr>
        <w:rPr>
          <w:rFonts w:ascii="Arial" w:hAnsi="Arial" w:cs="Arial"/>
          <w:i/>
          <w:lang w:val="es-CO"/>
        </w:rPr>
      </w:pPr>
    </w:p>
    <w:p w14:paraId="7323E589" w14:textId="77777777" w:rsidR="00B2442D" w:rsidRDefault="008A645F">
      <w:pPr>
        <w:jc w:val="both"/>
        <w:rPr>
          <w:rFonts w:ascii="Arial" w:hAnsi="Arial" w:cs="Arial"/>
          <w:b/>
          <w:lang w:val="es-CO"/>
        </w:rPr>
      </w:pPr>
      <w:r>
        <w:rPr>
          <w:rFonts w:ascii="Arial" w:hAnsi="Arial" w:cs="Arial"/>
          <w:i/>
          <w:lang w:val="es-CO"/>
        </w:rPr>
        <w:t>(Art. 17, Decreto</w:t>
      </w:r>
      <w:r>
        <w:rPr>
          <w:rFonts w:ascii="Arial" w:hAnsi="Arial" w:cs="Arial"/>
          <w:i/>
          <w:lang w:val="es-CO"/>
        </w:rPr>
        <w:t xml:space="preserve"> 187 de 1975) (Vigencia del Decreto 187 de 1975. El Decreto 187 de 1975 se aplicará a partir del ejercicio impositivo de 1974 salvo los casos expresamente exceptuados en el mismo o en las normas sustantivas y procedimentales del impuesto sobre la renta y c</w:t>
      </w:r>
      <w:r>
        <w:rPr>
          <w:rFonts w:ascii="Arial" w:hAnsi="Arial" w:cs="Arial"/>
          <w:i/>
          <w:lang w:val="es-CO"/>
        </w:rPr>
        <w:t>omplementario. (Art. 117, Decreto 187 de 1975))</w:t>
      </w:r>
    </w:p>
    <w:p w14:paraId="4329B23A" w14:textId="77777777" w:rsidR="00B2442D" w:rsidRDefault="00B2442D">
      <w:pPr>
        <w:jc w:val="center"/>
        <w:rPr>
          <w:rFonts w:ascii="Arial" w:hAnsi="Arial" w:cs="Arial"/>
          <w:lang w:val="es-CO"/>
        </w:rPr>
      </w:pPr>
    </w:p>
    <w:p w14:paraId="31A745D8" w14:textId="77777777" w:rsidR="00B2442D" w:rsidRDefault="008A645F">
      <w:pPr>
        <w:pStyle w:val="Prrafodelista"/>
        <w:numPr>
          <w:ilvl w:val="0"/>
          <w:numId w:val="22"/>
        </w:numPr>
        <w:ind w:left="0" w:firstLine="0"/>
        <w:jc w:val="both"/>
        <w:rPr>
          <w:rFonts w:ascii="Arial" w:hAnsi="Arial" w:cs="Arial"/>
          <w:lang w:val="es-CO"/>
        </w:rPr>
      </w:pPr>
      <w:r>
        <w:rPr>
          <w:rFonts w:ascii="Arial" w:hAnsi="Arial" w:cs="Arial"/>
          <w:b/>
          <w:i/>
          <w:lang w:val="es-CO"/>
        </w:rPr>
        <w:t>Títulos con descuento.</w:t>
      </w:r>
      <w:r>
        <w:rPr>
          <w:rFonts w:ascii="Arial" w:hAnsi="Arial" w:cs="Arial"/>
          <w:lang w:val="es-CO"/>
        </w:rPr>
        <w:t xml:space="preserve"> Los contribuyentes que en el último día del año o período gravable posean títulos con descuento, o quienes durante el año o período gravable los hayan poseído, deberán declarar como in</w:t>
      </w:r>
      <w:r>
        <w:rPr>
          <w:rFonts w:ascii="Arial" w:hAnsi="Arial" w:cs="Arial"/>
          <w:lang w:val="es-CO"/>
        </w:rPr>
        <w:t>greso en el respectivo período gravable por concepto de dichos títulos, la diferencia entre el valor patrimonial del título en el último día del período gravable respectivo o el valor de enajenación si fue enajenado durante el período, y el valor patrimoni</w:t>
      </w:r>
      <w:r>
        <w:rPr>
          <w:rFonts w:ascii="Arial" w:hAnsi="Arial" w:cs="Arial"/>
          <w:lang w:val="es-CO"/>
        </w:rPr>
        <w:t>al del título en el último día del período gravable inmediatamente anterior o su valor de adquisición cuando hubiere sido adquirido durante el respectivo período.</w:t>
      </w:r>
    </w:p>
    <w:p w14:paraId="792F4316" w14:textId="77777777" w:rsidR="00B2442D" w:rsidRDefault="00B2442D">
      <w:pPr>
        <w:jc w:val="both"/>
        <w:rPr>
          <w:rFonts w:ascii="Arial" w:hAnsi="Arial" w:cs="Arial"/>
          <w:i/>
          <w:lang w:val="es-CO"/>
        </w:rPr>
      </w:pPr>
    </w:p>
    <w:p w14:paraId="252D981B" w14:textId="77777777" w:rsidR="00B2442D" w:rsidRDefault="008A645F">
      <w:pPr>
        <w:jc w:val="both"/>
        <w:rPr>
          <w:rFonts w:ascii="Arial" w:hAnsi="Arial" w:cs="Arial"/>
          <w:i/>
          <w:lang w:val="es-CO"/>
        </w:rPr>
      </w:pPr>
      <w:r>
        <w:rPr>
          <w:rFonts w:ascii="Arial" w:hAnsi="Arial" w:cs="Arial"/>
          <w:i/>
          <w:lang w:val="es-CO"/>
        </w:rPr>
        <w:t>(Art. 34, Decreto 353 de 1984)</w:t>
      </w:r>
    </w:p>
    <w:p w14:paraId="61311A0D" w14:textId="77777777" w:rsidR="00B2442D" w:rsidRDefault="00B2442D">
      <w:pPr>
        <w:jc w:val="both"/>
        <w:rPr>
          <w:rFonts w:ascii="Arial" w:hAnsi="Arial" w:cs="Arial"/>
          <w:lang w:val="es-CO"/>
        </w:rPr>
      </w:pPr>
    </w:p>
    <w:p w14:paraId="33C1412F" w14:textId="77777777" w:rsidR="00B2442D" w:rsidRDefault="008A645F">
      <w:pPr>
        <w:pStyle w:val="Prrafodelista"/>
        <w:numPr>
          <w:ilvl w:val="0"/>
          <w:numId w:val="22"/>
        </w:numPr>
        <w:ind w:left="0" w:firstLine="0"/>
        <w:jc w:val="both"/>
        <w:rPr>
          <w:rFonts w:ascii="Arial" w:hAnsi="Arial" w:cs="Arial"/>
          <w:lang w:val="es-CO"/>
        </w:rPr>
      </w:pPr>
      <w:r>
        <w:rPr>
          <w:rFonts w:ascii="Arial" w:hAnsi="Arial" w:cs="Arial"/>
          <w:b/>
          <w:i/>
          <w:lang w:val="es-CO"/>
        </w:rPr>
        <w:t>Valor de los dividendos en acciones.</w:t>
      </w:r>
      <w:r>
        <w:rPr>
          <w:rFonts w:ascii="Arial" w:hAnsi="Arial" w:cs="Arial"/>
          <w:lang w:val="es-CO"/>
        </w:rPr>
        <w:t xml:space="preserve"> Siempre que la distribu</w:t>
      </w:r>
      <w:r>
        <w:rPr>
          <w:rFonts w:ascii="Arial" w:hAnsi="Arial" w:cs="Arial"/>
          <w:lang w:val="es-CO"/>
        </w:rPr>
        <w:t>ción de dividendos o utilidades se haga en acciones u otros títulos, el valor de los dividendos o utilidades realizados se establece de acuerdo con el valor patrimonial de los mismos, que se obtenga una vez efectuada la emisión de las nuevas acciones o tít</w:t>
      </w:r>
      <w:r>
        <w:rPr>
          <w:rFonts w:ascii="Arial" w:hAnsi="Arial" w:cs="Arial"/>
          <w:lang w:val="es-CO"/>
        </w:rPr>
        <w:t>ulos distribuidos.</w:t>
      </w:r>
    </w:p>
    <w:p w14:paraId="17EE8776" w14:textId="77777777" w:rsidR="00B2442D" w:rsidRDefault="00B2442D">
      <w:pPr>
        <w:jc w:val="both"/>
        <w:rPr>
          <w:rFonts w:ascii="Arial" w:hAnsi="Arial" w:cs="Arial"/>
          <w:i/>
          <w:lang w:val="es-CO"/>
        </w:rPr>
      </w:pPr>
    </w:p>
    <w:p w14:paraId="34CF761C" w14:textId="77777777" w:rsidR="00B2442D" w:rsidRDefault="008A645F">
      <w:pPr>
        <w:jc w:val="both"/>
        <w:rPr>
          <w:rFonts w:ascii="Arial" w:hAnsi="Arial" w:cs="Arial"/>
          <w:i/>
          <w:lang w:val="es-CO"/>
        </w:rPr>
      </w:pPr>
      <w:r>
        <w:rPr>
          <w:rFonts w:ascii="Arial" w:hAnsi="Arial" w:cs="Arial"/>
          <w:i/>
          <w:lang w:val="es-CO"/>
        </w:rPr>
        <w:t>(Art. 2, Decreto 1000 de 1989)</w:t>
      </w:r>
    </w:p>
    <w:p w14:paraId="15F2EB83" w14:textId="77777777" w:rsidR="00B2442D" w:rsidRDefault="00B2442D">
      <w:pPr>
        <w:jc w:val="both"/>
        <w:rPr>
          <w:rFonts w:ascii="Arial" w:hAnsi="Arial" w:cs="Arial"/>
          <w:lang w:val="es-CO"/>
        </w:rPr>
      </w:pPr>
    </w:p>
    <w:p w14:paraId="2341C42D" w14:textId="77777777" w:rsidR="00B2442D" w:rsidRDefault="008A645F">
      <w:pPr>
        <w:pStyle w:val="Prrafodelista"/>
        <w:numPr>
          <w:ilvl w:val="0"/>
          <w:numId w:val="22"/>
        </w:numPr>
        <w:ind w:left="0" w:firstLine="0"/>
        <w:jc w:val="both"/>
        <w:rPr>
          <w:rFonts w:ascii="Arial" w:hAnsi="Arial" w:cs="Arial"/>
          <w:lang w:val="es-CO"/>
        </w:rPr>
      </w:pPr>
      <w:r>
        <w:rPr>
          <w:rFonts w:ascii="Arial" w:hAnsi="Arial" w:cs="Arial"/>
          <w:b/>
          <w:i/>
          <w:lang w:val="es-CO"/>
        </w:rPr>
        <w:t>Causación del ingreso en las operaciones sobre derivados.</w:t>
      </w:r>
      <w:r>
        <w:rPr>
          <w:rFonts w:ascii="Arial" w:hAnsi="Arial" w:cs="Arial"/>
          <w:lang w:val="es-CO"/>
        </w:rPr>
        <w:t xml:space="preserve"> En las operaciones sobre derivados, los ingresos respectivos se entienden percibidos en el momento del vencimiento de cada contrato.</w:t>
      </w:r>
    </w:p>
    <w:p w14:paraId="2D0FC60B" w14:textId="77777777" w:rsidR="00B2442D" w:rsidRDefault="00B2442D">
      <w:pPr>
        <w:jc w:val="both"/>
        <w:rPr>
          <w:rFonts w:ascii="Arial" w:hAnsi="Arial" w:cs="Arial"/>
          <w:lang w:val="es-CO"/>
        </w:rPr>
      </w:pPr>
    </w:p>
    <w:p w14:paraId="512D69B7" w14:textId="77777777" w:rsidR="00B2442D" w:rsidRDefault="008A645F">
      <w:pPr>
        <w:jc w:val="both"/>
        <w:rPr>
          <w:rFonts w:ascii="Arial" w:hAnsi="Arial" w:cs="Arial"/>
          <w:lang w:val="es-CO"/>
        </w:rPr>
      </w:pPr>
      <w:r>
        <w:rPr>
          <w:rFonts w:ascii="Arial" w:hAnsi="Arial" w:cs="Arial"/>
          <w:lang w:val="es-CO"/>
        </w:rPr>
        <w:t>Para efectos</w:t>
      </w:r>
      <w:r>
        <w:rPr>
          <w:rFonts w:ascii="Arial" w:hAnsi="Arial" w:cs="Arial"/>
          <w:lang w:val="es-CO"/>
        </w:rPr>
        <w:t xml:space="preserve"> tributarios se entiende que un contrato agrupa todas las operaciones realizadas bajo una misma tipología contractual (forward, futuro, opción, etc.), por un mismo contribuyente, sobre un mismo subyacente y con una misma fecha de vencimiento. Igualmente, e</w:t>
      </w:r>
      <w:r>
        <w:rPr>
          <w:rFonts w:ascii="Arial" w:hAnsi="Arial" w:cs="Arial"/>
          <w:lang w:val="es-CO"/>
        </w:rPr>
        <w:t>n caso de que el contribuyente realice operaciones que produzcan como resultado el cierre de su posición en el respectivo contrato, el ingreso correspondiente se entiende causado hasta tanto ocurra el vencimiento del respectivo contrato.</w:t>
      </w:r>
    </w:p>
    <w:p w14:paraId="563D6387" w14:textId="77777777" w:rsidR="00B2442D" w:rsidRDefault="00B2442D">
      <w:pPr>
        <w:jc w:val="both"/>
        <w:rPr>
          <w:rFonts w:ascii="Arial" w:hAnsi="Arial" w:cs="Arial"/>
          <w:lang w:val="es-CO"/>
        </w:rPr>
      </w:pPr>
    </w:p>
    <w:p w14:paraId="0C2007EA" w14:textId="77777777" w:rsidR="00B2442D" w:rsidRDefault="008A645F">
      <w:pPr>
        <w:jc w:val="both"/>
        <w:rPr>
          <w:rFonts w:ascii="Arial" w:hAnsi="Arial" w:cs="Arial"/>
          <w:i/>
          <w:lang w:val="es-CO"/>
        </w:rPr>
      </w:pPr>
      <w:r>
        <w:rPr>
          <w:rFonts w:ascii="Arial" w:hAnsi="Arial" w:cs="Arial"/>
          <w:i/>
          <w:lang w:val="es-CO"/>
        </w:rPr>
        <w:t xml:space="preserve">(Art. 6, Decreto </w:t>
      </w:r>
      <w:r>
        <w:rPr>
          <w:rFonts w:ascii="Arial" w:hAnsi="Arial" w:cs="Arial"/>
          <w:i/>
          <w:lang w:val="es-CO"/>
        </w:rPr>
        <w:t>1797 de 2008)</w:t>
      </w:r>
    </w:p>
    <w:p w14:paraId="43DC55A1" w14:textId="77777777" w:rsidR="00B2442D" w:rsidRDefault="00B2442D">
      <w:pPr>
        <w:jc w:val="both"/>
        <w:rPr>
          <w:rFonts w:ascii="Arial" w:hAnsi="Arial" w:cs="Arial"/>
          <w:i/>
          <w:lang w:val="es-CO"/>
        </w:rPr>
      </w:pPr>
    </w:p>
    <w:p w14:paraId="76CDCF1C" w14:textId="77777777" w:rsidR="00B2442D" w:rsidRDefault="008A645F">
      <w:pPr>
        <w:pStyle w:val="Prrafodelista"/>
        <w:numPr>
          <w:ilvl w:val="0"/>
          <w:numId w:val="22"/>
        </w:numPr>
        <w:ind w:left="0" w:firstLine="0"/>
        <w:jc w:val="both"/>
        <w:rPr>
          <w:rFonts w:ascii="Arial" w:hAnsi="Arial" w:cs="Arial"/>
        </w:rPr>
      </w:pPr>
      <w:r>
        <w:rPr>
          <w:rFonts w:ascii="Arial" w:hAnsi="Arial" w:cs="Arial"/>
          <w:b/>
          <w:i/>
        </w:rPr>
        <w:t>Rendimiento mínimo anual por préstamos otorgados por la sociedad a sus socios o accionistas, o estos a la sociedad.</w:t>
      </w:r>
      <w:r>
        <w:rPr>
          <w:rFonts w:ascii="Arial" w:hAnsi="Arial" w:cs="Arial"/>
        </w:rPr>
        <w:t xml:space="preserve"> Para efectos de la determinación del impuesto sobre la renta por el año gravable 2016, se presume de derecho que todo préstam</w:t>
      </w:r>
      <w:r>
        <w:rPr>
          <w:rFonts w:ascii="Arial" w:hAnsi="Arial" w:cs="Arial"/>
        </w:rPr>
        <w:t>o en dinero, cualquiera que sea su naturaleza o denominación, que otorguen las sociedades a sus socios o accionistas, o estos a la sociedad, genera un rendimiento mínimo anual y proporcional al tiempo de posesión del cinco punto veintidós por ciento (5.22%</w:t>
      </w:r>
      <w:r>
        <w:rPr>
          <w:rFonts w:ascii="Arial" w:hAnsi="Arial" w:cs="Arial"/>
        </w:rPr>
        <w:t>), de conformidad con lo señalado en el artículo 35 del Estatuto Tributario.</w:t>
      </w:r>
    </w:p>
    <w:p w14:paraId="508F6C44" w14:textId="77777777" w:rsidR="00B2442D" w:rsidRDefault="00B2442D">
      <w:pPr>
        <w:jc w:val="both"/>
        <w:rPr>
          <w:rFonts w:ascii="Arial" w:hAnsi="Arial" w:cs="Arial"/>
          <w:i/>
        </w:rPr>
      </w:pPr>
    </w:p>
    <w:p w14:paraId="293959BA" w14:textId="77777777" w:rsidR="00B2442D" w:rsidRDefault="008A645F">
      <w:pPr>
        <w:jc w:val="both"/>
        <w:rPr>
          <w:rFonts w:ascii="Arial" w:hAnsi="Arial" w:cs="Arial"/>
          <w:i/>
        </w:rPr>
      </w:pPr>
      <w:r>
        <w:rPr>
          <w:rFonts w:ascii="Arial" w:hAnsi="Arial" w:cs="Arial"/>
          <w:i/>
        </w:rPr>
        <w:t xml:space="preserve">(Art. 4, Decreto 536 de 2016. </w:t>
      </w:r>
      <w:r>
        <w:rPr>
          <w:rFonts w:ascii="Arial" w:hAnsi="Arial" w:cs="Arial"/>
          <w:lang w:val="es-CO"/>
        </w:rPr>
        <w:t xml:space="preserve"> </w:t>
      </w:r>
      <w:r>
        <w:rPr>
          <w:rFonts w:ascii="Arial" w:hAnsi="Arial" w:cs="Arial"/>
          <w:i/>
          <w:lang w:val="es-CO"/>
        </w:rPr>
        <w:t>Aplicable para el año gravable 2016</w:t>
      </w:r>
      <w:r>
        <w:rPr>
          <w:rFonts w:ascii="Arial" w:hAnsi="Arial" w:cs="Arial"/>
          <w:i/>
        </w:rPr>
        <w:t>)</w:t>
      </w:r>
    </w:p>
    <w:p w14:paraId="1833F310" w14:textId="77777777" w:rsidR="00B2442D" w:rsidRDefault="00B2442D">
      <w:pPr>
        <w:jc w:val="both"/>
        <w:rPr>
          <w:rFonts w:ascii="Arial" w:hAnsi="Arial" w:cs="Arial"/>
          <w:i/>
        </w:rPr>
      </w:pPr>
    </w:p>
    <w:p w14:paraId="1C007306" w14:textId="77777777" w:rsidR="00B2442D" w:rsidRDefault="008A645F">
      <w:pPr>
        <w:pStyle w:val="Prrafodelista"/>
        <w:numPr>
          <w:ilvl w:val="0"/>
          <w:numId w:val="22"/>
        </w:numPr>
        <w:ind w:left="0" w:firstLine="0"/>
        <w:jc w:val="both"/>
        <w:rPr>
          <w:rFonts w:ascii="Arial" w:hAnsi="Arial" w:cs="Arial"/>
        </w:rPr>
      </w:pPr>
      <w:r>
        <w:rPr>
          <w:rFonts w:ascii="Arial" w:hAnsi="Arial" w:cs="Arial"/>
          <w:b/>
          <w:i/>
        </w:rPr>
        <w:t>Utilidad.</w:t>
      </w:r>
      <w:r>
        <w:rPr>
          <w:rFonts w:ascii="Arial" w:hAnsi="Arial" w:cs="Arial"/>
        </w:rPr>
        <w:t xml:space="preserve"> En las sociedades ganaderas, la utilidad fiscal de los socios accionistas o asociados, estará determinada por la parte proporcional que les corresponda en la utilidad fiscal de la compañía, en los términos establecidos por los artículos 40 y siguientes de</w:t>
      </w:r>
      <w:r>
        <w:rPr>
          <w:rFonts w:ascii="Arial" w:hAnsi="Arial" w:cs="Arial"/>
        </w:rPr>
        <w:t>l Decreto 2053 de 1974 (hoy artículos 51 y 91 del Estatuto Tributario).</w:t>
      </w:r>
    </w:p>
    <w:p w14:paraId="58496839" w14:textId="77777777" w:rsidR="00B2442D" w:rsidRDefault="00B2442D">
      <w:pPr>
        <w:jc w:val="both"/>
        <w:rPr>
          <w:rFonts w:ascii="Arial" w:hAnsi="Arial" w:cs="Arial"/>
        </w:rPr>
      </w:pPr>
    </w:p>
    <w:p w14:paraId="133031A5" w14:textId="77777777" w:rsidR="00B2442D" w:rsidRDefault="008A645F">
      <w:pPr>
        <w:jc w:val="both"/>
        <w:rPr>
          <w:rFonts w:ascii="Arial" w:hAnsi="Arial" w:cs="Arial"/>
        </w:rPr>
      </w:pPr>
      <w:r>
        <w:rPr>
          <w:rFonts w:ascii="Arial" w:hAnsi="Arial" w:cs="Arial"/>
        </w:rPr>
        <w:t>Para los efectos indicados, la sociedad determinará en su declaración de renta la parte de las utilidades comerciales que correspondan a ingresos no constitutivos de renta, resultante</w:t>
      </w:r>
      <w:r>
        <w:rPr>
          <w:rFonts w:ascii="Arial" w:hAnsi="Arial" w:cs="Arial"/>
        </w:rPr>
        <w:t>s de la aplicación de los costos de que trata la Ley 20 de 1979 (hoy artículos 93, 94 y 176 del Estatuto Tributario).</w:t>
      </w:r>
    </w:p>
    <w:p w14:paraId="3AED3FBD" w14:textId="77777777" w:rsidR="00B2442D" w:rsidRDefault="00B2442D">
      <w:pPr>
        <w:jc w:val="both"/>
        <w:rPr>
          <w:rFonts w:ascii="Arial" w:hAnsi="Arial" w:cs="Arial"/>
          <w:i/>
        </w:rPr>
      </w:pPr>
    </w:p>
    <w:p w14:paraId="3AB3035D" w14:textId="77777777" w:rsidR="00B2442D" w:rsidRDefault="008A645F">
      <w:pPr>
        <w:jc w:val="both"/>
        <w:rPr>
          <w:rFonts w:ascii="Arial" w:hAnsi="Arial" w:cs="Arial"/>
        </w:rPr>
      </w:pPr>
      <w:r>
        <w:rPr>
          <w:rFonts w:ascii="Arial" w:hAnsi="Arial" w:cs="Arial"/>
          <w:i/>
        </w:rPr>
        <w:t>(Art. 10, Decreto 2595 de 1979)</w:t>
      </w:r>
    </w:p>
    <w:p w14:paraId="0094C820" w14:textId="77777777" w:rsidR="00B2442D" w:rsidRDefault="00B2442D">
      <w:pPr>
        <w:jc w:val="both"/>
        <w:rPr>
          <w:rFonts w:ascii="Arial" w:hAnsi="Arial" w:cs="Arial"/>
        </w:rPr>
      </w:pPr>
    </w:p>
    <w:p w14:paraId="66CE3616" w14:textId="77777777" w:rsidR="00B2442D" w:rsidRDefault="008A645F">
      <w:pPr>
        <w:pStyle w:val="Prrafodelista"/>
        <w:numPr>
          <w:ilvl w:val="0"/>
          <w:numId w:val="22"/>
        </w:numPr>
        <w:ind w:left="0" w:firstLine="0"/>
        <w:jc w:val="both"/>
        <w:rPr>
          <w:rFonts w:ascii="Arial" w:hAnsi="Arial" w:cs="Arial"/>
        </w:rPr>
      </w:pPr>
      <w:r>
        <w:rPr>
          <w:rFonts w:ascii="Arial" w:hAnsi="Arial" w:cs="Arial"/>
          <w:b/>
          <w:i/>
        </w:rPr>
        <w:t xml:space="preserve">Renta o pérdida de los partícipes en el negocio de la ganadería. </w:t>
      </w:r>
      <w:r>
        <w:rPr>
          <w:rFonts w:ascii="Arial" w:hAnsi="Arial" w:cs="Arial"/>
          <w:b/>
        </w:rPr>
        <w:t xml:space="preserve"> </w:t>
      </w:r>
      <w:r>
        <w:rPr>
          <w:rFonts w:ascii="Arial" w:hAnsi="Arial" w:cs="Arial"/>
        </w:rPr>
        <w:t xml:space="preserve"> Cuando en el negocio de ganadería una</w:t>
      </w:r>
      <w:r>
        <w:rPr>
          <w:rFonts w:ascii="Arial" w:hAnsi="Arial" w:cs="Arial"/>
        </w:rPr>
        <w:t xml:space="preserve"> de las partes entregue ganados de su propiedad a otra para que esta se haga cargo de los cuidados inherentes a la cría, el levante o desarrollo, o la ceba, con derecho a participar en los resultados, la renta o pérdida de los partícipes se establecerá apl</w:t>
      </w:r>
      <w:r>
        <w:rPr>
          <w:rFonts w:ascii="Arial" w:hAnsi="Arial" w:cs="Arial"/>
        </w:rPr>
        <w:t>icando las siguientes reglas:</w:t>
      </w:r>
    </w:p>
    <w:p w14:paraId="0FFDC842" w14:textId="77777777" w:rsidR="00B2442D" w:rsidRDefault="00B2442D">
      <w:pPr>
        <w:jc w:val="both"/>
        <w:rPr>
          <w:rFonts w:ascii="Arial" w:hAnsi="Arial" w:cs="Arial"/>
        </w:rPr>
      </w:pPr>
    </w:p>
    <w:p w14:paraId="15F837E3" w14:textId="77777777" w:rsidR="00B2442D" w:rsidRDefault="008A645F">
      <w:pPr>
        <w:pStyle w:val="Prrafodelista"/>
        <w:numPr>
          <w:ilvl w:val="0"/>
          <w:numId w:val="14"/>
        </w:numPr>
        <w:ind w:left="0" w:firstLine="0"/>
        <w:jc w:val="both"/>
        <w:rPr>
          <w:rFonts w:ascii="Arial" w:hAnsi="Arial" w:cs="Arial"/>
        </w:rPr>
      </w:pPr>
      <w:r>
        <w:rPr>
          <w:rFonts w:ascii="Arial" w:hAnsi="Arial" w:cs="Arial"/>
        </w:rPr>
        <w:t xml:space="preserve">La proporción de utilidades o pérdidas de cada partícipe se determinará de acuerdo con lo estipulado en contratos escritos de fecha cierta. A falta de tales contratos, la distribución de las utilidades o pérdidas se hará por </w:t>
      </w:r>
      <w:r>
        <w:rPr>
          <w:rFonts w:ascii="Arial" w:hAnsi="Arial" w:cs="Arial"/>
        </w:rPr>
        <w:t>partes iguales.</w:t>
      </w:r>
    </w:p>
    <w:p w14:paraId="6E84C3DF" w14:textId="77777777" w:rsidR="00B2442D" w:rsidRDefault="00B2442D">
      <w:pPr>
        <w:jc w:val="both"/>
        <w:rPr>
          <w:rFonts w:ascii="Arial" w:hAnsi="Arial" w:cs="Arial"/>
        </w:rPr>
      </w:pPr>
    </w:p>
    <w:p w14:paraId="765B3BFE" w14:textId="77777777" w:rsidR="00B2442D" w:rsidRDefault="008A645F">
      <w:pPr>
        <w:jc w:val="both"/>
        <w:rPr>
          <w:rFonts w:ascii="Arial" w:hAnsi="Arial" w:cs="Arial"/>
        </w:rPr>
      </w:pPr>
      <w:r>
        <w:rPr>
          <w:rFonts w:ascii="Arial" w:hAnsi="Arial" w:cs="Arial"/>
        </w:rPr>
        <w:t>En el caso de contratos celebrados con Fondos Ganaderos, la proporción de los partícipes se acreditará con certificación de dichas entidades;</w:t>
      </w:r>
    </w:p>
    <w:p w14:paraId="25197463" w14:textId="77777777" w:rsidR="00B2442D" w:rsidRDefault="00B2442D">
      <w:pPr>
        <w:jc w:val="both"/>
        <w:rPr>
          <w:rFonts w:ascii="Arial" w:hAnsi="Arial" w:cs="Arial"/>
        </w:rPr>
      </w:pPr>
    </w:p>
    <w:p w14:paraId="5C92D035" w14:textId="77777777" w:rsidR="00B2442D" w:rsidRDefault="008A645F">
      <w:pPr>
        <w:jc w:val="both"/>
        <w:rPr>
          <w:rFonts w:ascii="Arial" w:hAnsi="Arial" w:cs="Arial"/>
        </w:rPr>
      </w:pPr>
      <w:r>
        <w:rPr>
          <w:rFonts w:ascii="Arial" w:hAnsi="Arial" w:cs="Arial"/>
        </w:rPr>
        <w:t>2. Si el ganado se enajena en el mismo año gravable en que se constituyó el negocio, el costo de</w:t>
      </w:r>
      <w:r>
        <w:rPr>
          <w:rFonts w:ascii="Arial" w:hAnsi="Arial" w:cs="Arial"/>
        </w:rPr>
        <w:t xml:space="preserve"> lo vendido será, para el depositario, el precio convenido por los contratantes en el momento de la entrega; y para el depositante será el precio del inventario final del año inmediatamente anterior o el precio de la adquisición si los semovientes los adqu</w:t>
      </w:r>
      <w:r>
        <w:rPr>
          <w:rFonts w:ascii="Arial" w:hAnsi="Arial" w:cs="Arial"/>
        </w:rPr>
        <w:t>irió en el mismo año de la venta;</w:t>
      </w:r>
    </w:p>
    <w:p w14:paraId="074A5DB8" w14:textId="77777777" w:rsidR="00B2442D" w:rsidRDefault="00B2442D">
      <w:pPr>
        <w:jc w:val="both"/>
        <w:rPr>
          <w:rFonts w:ascii="Arial" w:hAnsi="Arial" w:cs="Arial"/>
        </w:rPr>
      </w:pPr>
    </w:p>
    <w:p w14:paraId="4AFA14DD" w14:textId="77777777" w:rsidR="00B2442D" w:rsidRDefault="008A645F">
      <w:pPr>
        <w:jc w:val="both"/>
        <w:rPr>
          <w:rFonts w:ascii="Arial" w:hAnsi="Arial" w:cs="Arial"/>
        </w:rPr>
      </w:pPr>
      <w:r>
        <w:rPr>
          <w:rFonts w:ascii="Arial" w:hAnsi="Arial" w:cs="Arial"/>
        </w:rPr>
        <w:t>3. Si el negocio se liquida en el mismo año de su constitución y en la liquidación se adjudica ganado, para determinar la renta que se configure en las ventas que efectúen en el mismo ejercicio con posterioridad a la liqu</w:t>
      </w:r>
      <w:r>
        <w:rPr>
          <w:rFonts w:ascii="Arial" w:hAnsi="Arial" w:cs="Arial"/>
        </w:rPr>
        <w:t>idación, se tendrá como costo para cada uno de los partícipes, el indicado en la regla anterior;</w:t>
      </w:r>
    </w:p>
    <w:p w14:paraId="76FF44E3" w14:textId="77777777" w:rsidR="00B2442D" w:rsidRDefault="00B2442D">
      <w:pPr>
        <w:jc w:val="both"/>
        <w:rPr>
          <w:rFonts w:ascii="Arial" w:hAnsi="Arial" w:cs="Arial"/>
        </w:rPr>
      </w:pPr>
    </w:p>
    <w:p w14:paraId="3A02BA2B" w14:textId="77777777" w:rsidR="00B2442D" w:rsidRDefault="008A645F">
      <w:pPr>
        <w:jc w:val="both"/>
        <w:rPr>
          <w:rFonts w:ascii="Arial" w:hAnsi="Arial" w:cs="Arial"/>
        </w:rPr>
      </w:pPr>
      <w:r>
        <w:rPr>
          <w:rFonts w:ascii="Arial" w:hAnsi="Arial" w:cs="Arial"/>
        </w:rPr>
        <w:t>4. Si el negocio no se liquida en el mismo año de su constitución, la diferencia entre el valor asignado a los semovientes al celebrarse el contrato y el esta</w:t>
      </w:r>
      <w:r>
        <w:rPr>
          <w:rFonts w:ascii="Arial" w:hAnsi="Arial" w:cs="Arial"/>
        </w:rPr>
        <w:t>blecido según el artículo 18 de la Ley 20 de 1979 (hoy artículo 276 del Estatuto Tributario), se distribuirá entre los partícipes a título de valorización, de acuerdo a la proposición indicada en el contrato, o por partes iguales, según se indica en la reg</w:t>
      </w:r>
      <w:r>
        <w:rPr>
          <w:rFonts w:ascii="Arial" w:hAnsi="Arial" w:cs="Arial"/>
        </w:rPr>
        <w:t>la primera;</w:t>
      </w:r>
    </w:p>
    <w:p w14:paraId="15ACC749" w14:textId="77777777" w:rsidR="00B2442D" w:rsidRDefault="00B2442D">
      <w:pPr>
        <w:jc w:val="both"/>
        <w:rPr>
          <w:rFonts w:ascii="Arial" w:hAnsi="Arial" w:cs="Arial"/>
        </w:rPr>
      </w:pPr>
    </w:p>
    <w:p w14:paraId="2065EFD2" w14:textId="77777777" w:rsidR="00B2442D" w:rsidRDefault="008A645F">
      <w:pPr>
        <w:jc w:val="both"/>
        <w:rPr>
          <w:rFonts w:ascii="Arial" w:hAnsi="Arial" w:cs="Arial"/>
        </w:rPr>
      </w:pPr>
      <w:r>
        <w:rPr>
          <w:rFonts w:ascii="Arial" w:hAnsi="Arial" w:cs="Arial"/>
        </w:rPr>
        <w:t>5. En las ventas o enajenaciones que se efectúen en años posteriores al de la constitución del negocio, el costo del ganado para la determinación de la renta será el del inventario final del año inmediatamente anterior, o el precio de compra s</w:t>
      </w:r>
      <w:r>
        <w:rPr>
          <w:rFonts w:ascii="Arial" w:hAnsi="Arial" w:cs="Arial"/>
        </w:rPr>
        <w:t>i se trata de semovientes adquiridos en el respectivo ejercicio fiscal.</w:t>
      </w:r>
    </w:p>
    <w:p w14:paraId="01AE1CE4" w14:textId="77777777" w:rsidR="00B2442D" w:rsidRDefault="00B2442D">
      <w:pPr>
        <w:jc w:val="both"/>
        <w:rPr>
          <w:rFonts w:ascii="Arial" w:hAnsi="Arial" w:cs="Arial"/>
        </w:rPr>
      </w:pPr>
    </w:p>
    <w:p w14:paraId="0F9702E4" w14:textId="77777777" w:rsidR="00B2442D" w:rsidRDefault="008A645F">
      <w:pPr>
        <w:jc w:val="both"/>
        <w:rPr>
          <w:rFonts w:ascii="Arial" w:hAnsi="Arial" w:cs="Arial"/>
        </w:rPr>
      </w:pPr>
      <w:r>
        <w:rPr>
          <w:rFonts w:ascii="Arial" w:hAnsi="Arial" w:cs="Arial"/>
          <w:b/>
        </w:rPr>
        <w:t>PARÁGRAFO 1º.</w:t>
      </w:r>
      <w:r>
        <w:rPr>
          <w:rFonts w:ascii="Arial" w:hAnsi="Arial" w:cs="Arial"/>
        </w:rPr>
        <w:t xml:space="preserve"> En el negocio de ganadería, los contratos de participación no son contribuyentes del impuesto sobre la renta; lo serán individualmente, cada uno de los partícipes.</w:t>
      </w:r>
    </w:p>
    <w:p w14:paraId="2F5690D1" w14:textId="77777777" w:rsidR="00B2442D" w:rsidRDefault="00B2442D">
      <w:pPr>
        <w:jc w:val="both"/>
        <w:rPr>
          <w:rFonts w:ascii="Arial" w:hAnsi="Arial" w:cs="Arial"/>
          <w:i/>
        </w:rPr>
      </w:pPr>
    </w:p>
    <w:p w14:paraId="26FE5DF2" w14:textId="77777777" w:rsidR="00B2442D" w:rsidRDefault="008A645F">
      <w:pPr>
        <w:jc w:val="both"/>
        <w:rPr>
          <w:rFonts w:ascii="Arial" w:hAnsi="Arial" w:cs="Arial"/>
          <w:i/>
        </w:rPr>
      </w:pPr>
      <w:r>
        <w:rPr>
          <w:rFonts w:ascii="Arial" w:hAnsi="Arial" w:cs="Arial"/>
          <w:i/>
        </w:rPr>
        <w:t>(Art. 11, Decreto 2595 de 1979, derogado tácitamente el parágrafo 2 y en forma parcial el numeral 1, por el art 3 del Decreto 3410 de 1983)</w:t>
      </w:r>
    </w:p>
    <w:p w14:paraId="0766D35A" w14:textId="77777777" w:rsidR="00B2442D" w:rsidRDefault="00B2442D">
      <w:pPr>
        <w:jc w:val="both"/>
        <w:rPr>
          <w:rFonts w:ascii="Arial" w:hAnsi="Arial" w:cs="Arial"/>
          <w:i/>
        </w:rPr>
      </w:pPr>
    </w:p>
    <w:p w14:paraId="0EC6CD49" w14:textId="77777777" w:rsidR="00B2442D" w:rsidRDefault="008A645F">
      <w:pPr>
        <w:pStyle w:val="Prrafodelista"/>
        <w:numPr>
          <w:ilvl w:val="0"/>
          <w:numId w:val="22"/>
        </w:numPr>
        <w:ind w:left="0" w:firstLine="0"/>
        <w:jc w:val="both"/>
        <w:rPr>
          <w:rFonts w:ascii="Arial" w:hAnsi="Arial" w:cs="Arial"/>
        </w:rPr>
      </w:pPr>
      <w:r>
        <w:rPr>
          <w:rFonts w:ascii="Arial" w:hAnsi="Arial" w:cs="Arial"/>
          <w:b/>
          <w:i/>
        </w:rPr>
        <w:t>Valor comercial de las especies bovinas.</w:t>
      </w:r>
      <w:r>
        <w:rPr>
          <w:rFonts w:ascii="Arial" w:hAnsi="Arial" w:cs="Arial"/>
        </w:rPr>
        <w:t xml:space="preserve"> El Ministerio de Agricultura y Desarrollo Rural fijará anualmente a más ta</w:t>
      </w:r>
      <w:r>
        <w:rPr>
          <w:rFonts w:ascii="Arial" w:hAnsi="Arial" w:cs="Arial"/>
        </w:rPr>
        <w:t>rdar el veinte (20) de enero, el valor comercial de las especies bovinas a treinta y uno (31) de diciembre del año anterior, teniendo en cuenta los precios de los mercados regionales.</w:t>
      </w:r>
    </w:p>
    <w:p w14:paraId="7BBE15B9" w14:textId="77777777" w:rsidR="00B2442D" w:rsidRDefault="00B2442D">
      <w:pPr>
        <w:jc w:val="both"/>
        <w:rPr>
          <w:rFonts w:ascii="Arial" w:hAnsi="Arial" w:cs="Arial"/>
        </w:rPr>
      </w:pPr>
    </w:p>
    <w:p w14:paraId="465460DA" w14:textId="77777777" w:rsidR="00B2442D" w:rsidRDefault="008A645F">
      <w:pPr>
        <w:jc w:val="both"/>
        <w:rPr>
          <w:rFonts w:ascii="Arial" w:hAnsi="Arial" w:cs="Arial"/>
        </w:rPr>
      </w:pPr>
      <w:r>
        <w:rPr>
          <w:rFonts w:ascii="Arial" w:hAnsi="Arial" w:cs="Arial"/>
        </w:rPr>
        <w:t>Dicho valor se fijará mediante resolución que será publicada en un peri</w:t>
      </w:r>
      <w:r>
        <w:rPr>
          <w:rFonts w:ascii="Arial" w:hAnsi="Arial" w:cs="Arial"/>
        </w:rPr>
        <w:t>ódico de circulación nacional dentro de los cinco (5) días siguientes a su expedición y en el mismo lapso se enviará copia de ella al Director General de la Unidad Administrativa Especial Dirección de Impuestos y Aduanas Nacionales–DIAN.</w:t>
      </w:r>
    </w:p>
    <w:p w14:paraId="2E1474C5" w14:textId="77777777" w:rsidR="00B2442D" w:rsidRDefault="00B2442D">
      <w:pPr>
        <w:jc w:val="both"/>
        <w:rPr>
          <w:rFonts w:ascii="Arial" w:hAnsi="Arial" w:cs="Arial"/>
          <w:i/>
        </w:rPr>
      </w:pPr>
    </w:p>
    <w:p w14:paraId="61D080C8" w14:textId="77777777" w:rsidR="00B2442D" w:rsidRDefault="008A645F">
      <w:pPr>
        <w:jc w:val="both"/>
        <w:rPr>
          <w:rFonts w:ascii="Arial" w:hAnsi="Arial" w:cs="Arial"/>
          <w:i/>
        </w:rPr>
      </w:pPr>
      <w:r>
        <w:rPr>
          <w:rFonts w:ascii="Arial" w:hAnsi="Arial" w:cs="Arial"/>
          <w:i/>
        </w:rPr>
        <w:t>(Art. 12, Decreto</w:t>
      </w:r>
      <w:r>
        <w:rPr>
          <w:rFonts w:ascii="Arial" w:hAnsi="Arial" w:cs="Arial"/>
          <w:i/>
        </w:rPr>
        <w:t xml:space="preserve"> 2595 de 1979)</w:t>
      </w:r>
    </w:p>
    <w:p w14:paraId="16E962FB" w14:textId="77777777" w:rsidR="00B2442D" w:rsidRDefault="00B2442D">
      <w:pPr>
        <w:jc w:val="both"/>
        <w:rPr>
          <w:rFonts w:ascii="Arial" w:hAnsi="Arial" w:cs="Arial"/>
          <w:i/>
          <w:lang w:val="es-CO"/>
        </w:rPr>
      </w:pPr>
    </w:p>
    <w:p w14:paraId="1287075C" w14:textId="77777777" w:rsidR="00B2442D" w:rsidRDefault="008A645F">
      <w:pPr>
        <w:pStyle w:val="Ttulo4"/>
      </w:pPr>
      <w:r>
        <w:t>CAPÍTULO 8</w:t>
      </w:r>
    </w:p>
    <w:p w14:paraId="61321588" w14:textId="77777777" w:rsidR="00B2442D" w:rsidRDefault="008A645F">
      <w:pPr>
        <w:pStyle w:val="Ttulo4"/>
      </w:pPr>
      <w:r>
        <w:t>Ingresos de fuente nacional y de fuente extranjera</w:t>
      </w:r>
    </w:p>
    <w:p w14:paraId="5970FCB0" w14:textId="77777777" w:rsidR="00B2442D" w:rsidRDefault="00B2442D">
      <w:pPr>
        <w:rPr>
          <w:rFonts w:ascii="Arial" w:hAnsi="Arial" w:cs="Arial"/>
        </w:rPr>
      </w:pPr>
    </w:p>
    <w:p w14:paraId="5E9AD68F" w14:textId="77777777" w:rsidR="00B2442D" w:rsidRDefault="008A645F">
      <w:pPr>
        <w:pStyle w:val="Prrafodelista"/>
        <w:numPr>
          <w:ilvl w:val="0"/>
          <w:numId w:val="23"/>
        </w:numPr>
        <w:ind w:left="0" w:firstLine="0"/>
        <w:jc w:val="both"/>
        <w:rPr>
          <w:rFonts w:ascii="Arial" w:hAnsi="Arial" w:cs="Arial"/>
          <w:lang w:val="es-CO"/>
        </w:rPr>
      </w:pPr>
      <w:r>
        <w:rPr>
          <w:rFonts w:ascii="Arial" w:hAnsi="Arial" w:cs="Arial"/>
          <w:b/>
          <w:i/>
          <w:lang w:val="es-CO"/>
        </w:rPr>
        <w:t>Créditos a corto plazo.</w:t>
      </w:r>
      <w:r>
        <w:rPr>
          <w:rFonts w:ascii="Arial" w:hAnsi="Arial" w:cs="Arial"/>
          <w:lang w:val="es-CO"/>
        </w:rPr>
        <w:t xml:space="preserve"> Para los efectos previstos en el literal a) del artículo 25 del Estatuto Tributario, se entiende por créditos a corto plazo originados en importación de </w:t>
      </w:r>
      <w:r>
        <w:rPr>
          <w:rFonts w:ascii="Arial" w:hAnsi="Arial" w:cs="Arial"/>
          <w:lang w:val="es-CO"/>
        </w:rPr>
        <w:t xml:space="preserve">mercancías, los exigibles en un término máximo de veinticuatro (24) meses. </w:t>
      </w:r>
    </w:p>
    <w:p w14:paraId="752617FE" w14:textId="77777777" w:rsidR="00B2442D" w:rsidRDefault="00B2442D">
      <w:pPr>
        <w:jc w:val="both"/>
        <w:rPr>
          <w:rFonts w:ascii="Arial" w:hAnsi="Arial" w:cs="Arial"/>
          <w:i/>
          <w:lang w:val="es-CO"/>
        </w:rPr>
      </w:pPr>
    </w:p>
    <w:p w14:paraId="517368A1" w14:textId="77777777" w:rsidR="00B2442D" w:rsidRDefault="008A645F">
      <w:pPr>
        <w:jc w:val="both"/>
        <w:rPr>
          <w:rFonts w:ascii="Arial" w:hAnsi="Arial" w:cs="Arial"/>
          <w:i/>
          <w:lang w:val="es-CO"/>
        </w:rPr>
      </w:pPr>
      <w:r>
        <w:rPr>
          <w:rFonts w:ascii="Arial" w:hAnsi="Arial" w:cs="Arial"/>
          <w:i/>
          <w:lang w:val="es-CO"/>
        </w:rPr>
        <w:t>(Art. 21, Decreto 2579 de 1983. Se reemplazó la referencia al artículo 15 del Decreto 2579 de 1983 por no estar compilado, por el artículo 25 del E.T.; segunda parte del inciso se</w:t>
      </w:r>
      <w:r>
        <w:rPr>
          <w:rFonts w:ascii="Arial" w:hAnsi="Arial" w:cs="Arial"/>
          <w:i/>
          <w:lang w:val="es-CO"/>
        </w:rPr>
        <w:t xml:space="preserve"> elimina por vencimiento del término)</w:t>
      </w:r>
    </w:p>
    <w:p w14:paraId="5381BDFB" w14:textId="77777777" w:rsidR="00B2442D" w:rsidRDefault="00B2442D">
      <w:pPr>
        <w:jc w:val="both"/>
        <w:rPr>
          <w:rFonts w:ascii="Arial" w:hAnsi="Arial" w:cs="Arial"/>
          <w:lang w:val="es-CO"/>
        </w:rPr>
      </w:pPr>
    </w:p>
    <w:p w14:paraId="336229B1" w14:textId="77777777" w:rsidR="00B2442D" w:rsidRDefault="008A645F">
      <w:pPr>
        <w:pStyle w:val="Prrafodelista"/>
        <w:numPr>
          <w:ilvl w:val="0"/>
          <w:numId w:val="23"/>
        </w:numPr>
        <w:ind w:left="0" w:firstLine="0"/>
        <w:jc w:val="both"/>
        <w:rPr>
          <w:rFonts w:ascii="Arial" w:hAnsi="Arial" w:cs="Arial"/>
          <w:lang w:val="es-CO"/>
        </w:rPr>
      </w:pPr>
      <w:r>
        <w:rPr>
          <w:rFonts w:ascii="Arial" w:hAnsi="Arial" w:cs="Arial"/>
          <w:b/>
          <w:i/>
          <w:lang w:val="es-CO"/>
        </w:rPr>
        <w:t>Asistencia técnica en el exterior.</w:t>
      </w:r>
      <w:r>
        <w:rPr>
          <w:rFonts w:ascii="Arial" w:hAnsi="Arial" w:cs="Arial"/>
          <w:lang w:val="es-CO"/>
        </w:rPr>
        <w:t xml:space="preserve"> Los servicios prestados en el exterior por personas naturales o jurídicas, que formen parte del contrato de asistencia técnica, se consideran ingresos de fuente nacional de conformid</w:t>
      </w:r>
      <w:r>
        <w:rPr>
          <w:rFonts w:ascii="Arial" w:hAnsi="Arial" w:cs="Arial"/>
          <w:lang w:val="es-CO"/>
        </w:rPr>
        <w:t>ad con el numeral 7o del artículo 14 del Decreto 2053 de 1974 (hoy numeral 7° del artículo 24 del Estatuto Tributario).</w:t>
      </w:r>
    </w:p>
    <w:p w14:paraId="57E6272B" w14:textId="77777777" w:rsidR="00B2442D" w:rsidRDefault="00B2442D">
      <w:pPr>
        <w:rPr>
          <w:rFonts w:ascii="Arial" w:hAnsi="Arial" w:cs="Arial"/>
          <w:i/>
          <w:lang w:val="es-CO"/>
        </w:rPr>
      </w:pPr>
    </w:p>
    <w:p w14:paraId="33797B7B" w14:textId="77777777" w:rsidR="00B2442D" w:rsidRDefault="008A645F">
      <w:pPr>
        <w:jc w:val="both"/>
        <w:rPr>
          <w:rFonts w:ascii="Arial" w:hAnsi="Arial" w:cs="Arial"/>
          <w:b/>
          <w:lang w:val="es-CO"/>
        </w:rPr>
      </w:pPr>
      <w:r>
        <w:rPr>
          <w:rFonts w:ascii="Arial" w:hAnsi="Arial" w:cs="Arial"/>
          <w:i/>
          <w:lang w:val="es-CO"/>
        </w:rPr>
        <w:t xml:space="preserve">(Art. 16, Decreto 187 de 1975) (Vigencia del Decreto 187 de 1975. El Decreto 187 de 1975 se aplicará a partir del ejercicio </w:t>
      </w:r>
      <w:r>
        <w:rPr>
          <w:rFonts w:ascii="Arial" w:hAnsi="Arial" w:cs="Arial"/>
          <w:i/>
          <w:lang w:val="es-CO"/>
        </w:rPr>
        <w:t>impositivo de 1974 salvo los casos expresamente exceptuados en el mismo o en las normas sustantivas y procedimentales del impuesto sobre la renta y complementario. (Art. 117, Decreto 187 de 1975))</w:t>
      </w:r>
    </w:p>
    <w:p w14:paraId="5682F5E0" w14:textId="77777777" w:rsidR="00B2442D" w:rsidRDefault="00B2442D">
      <w:pPr>
        <w:jc w:val="both"/>
        <w:rPr>
          <w:rFonts w:ascii="Arial" w:hAnsi="Arial" w:cs="Arial"/>
          <w:i/>
          <w:lang w:val="es-CO"/>
        </w:rPr>
      </w:pPr>
    </w:p>
    <w:p w14:paraId="791F6432" w14:textId="77777777" w:rsidR="00B2442D" w:rsidRDefault="008A645F">
      <w:pPr>
        <w:pStyle w:val="Ttulo4"/>
      </w:pPr>
      <w:r>
        <w:t xml:space="preserve">CAPÍTULO 9 </w:t>
      </w:r>
    </w:p>
    <w:p w14:paraId="4453B97E" w14:textId="77777777" w:rsidR="00B2442D" w:rsidRDefault="008A645F">
      <w:pPr>
        <w:pStyle w:val="Ttulo4"/>
      </w:pPr>
      <w:r>
        <w:t xml:space="preserve">Realización del ingreso </w:t>
      </w:r>
    </w:p>
    <w:p w14:paraId="5AFFDCD4" w14:textId="77777777" w:rsidR="00B2442D" w:rsidRDefault="00B2442D">
      <w:pPr>
        <w:rPr>
          <w:rFonts w:ascii="Arial" w:hAnsi="Arial" w:cs="Arial"/>
        </w:rPr>
      </w:pPr>
    </w:p>
    <w:p w14:paraId="24C7AADA" w14:textId="77777777" w:rsidR="00B2442D" w:rsidRDefault="008A645F">
      <w:pPr>
        <w:pStyle w:val="Prrafodelista"/>
        <w:numPr>
          <w:ilvl w:val="0"/>
          <w:numId w:val="24"/>
        </w:numPr>
        <w:ind w:left="0" w:firstLine="0"/>
        <w:jc w:val="both"/>
        <w:rPr>
          <w:rFonts w:ascii="Arial" w:hAnsi="Arial" w:cs="Arial"/>
          <w:lang w:val="es-CO"/>
        </w:rPr>
      </w:pPr>
      <w:r>
        <w:rPr>
          <w:rFonts w:ascii="Arial" w:hAnsi="Arial" w:cs="Arial"/>
          <w:b/>
          <w:i/>
          <w:lang w:val="es-CO"/>
        </w:rPr>
        <w:t>Cambio de sistema co</w:t>
      </w:r>
      <w:r>
        <w:rPr>
          <w:rFonts w:ascii="Arial" w:hAnsi="Arial" w:cs="Arial"/>
          <w:b/>
          <w:i/>
          <w:lang w:val="es-CO"/>
        </w:rPr>
        <w:t>ntable.</w:t>
      </w:r>
      <w:r>
        <w:rPr>
          <w:rFonts w:ascii="Arial" w:hAnsi="Arial" w:cs="Arial"/>
          <w:i/>
          <w:lang w:val="es-CO"/>
        </w:rPr>
        <w:t xml:space="preserve"> </w:t>
      </w:r>
      <w:r>
        <w:rPr>
          <w:rFonts w:ascii="Arial" w:hAnsi="Arial" w:cs="Arial"/>
          <w:lang w:val="es-CO"/>
        </w:rPr>
        <w:t>Cuando el contribuyente lleve su contabilidad por el sistema de caja y lo cambie por el de causación, se entienden realizados los ingresos, costos y deducciones en el momento en que se causen con posterioridad al cambio del sistema.</w:t>
      </w:r>
    </w:p>
    <w:p w14:paraId="1AF22E03" w14:textId="77777777" w:rsidR="00B2442D" w:rsidRDefault="00B2442D">
      <w:pPr>
        <w:jc w:val="both"/>
        <w:rPr>
          <w:rFonts w:ascii="Arial" w:hAnsi="Arial" w:cs="Arial"/>
          <w:i/>
          <w:lang w:val="es-CO"/>
        </w:rPr>
      </w:pPr>
    </w:p>
    <w:p w14:paraId="57DBE123" w14:textId="77777777" w:rsidR="00B2442D" w:rsidRDefault="008A645F">
      <w:pPr>
        <w:jc w:val="both"/>
        <w:rPr>
          <w:rFonts w:ascii="Arial" w:hAnsi="Arial" w:cs="Arial"/>
          <w:i/>
          <w:lang w:val="es-CO"/>
        </w:rPr>
      </w:pPr>
      <w:r>
        <w:rPr>
          <w:rFonts w:ascii="Arial" w:hAnsi="Arial" w:cs="Arial"/>
          <w:i/>
          <w:lang w:val="es-CO"/>
        </w:rPr>
        <w:t xml:space="preserve">(Art. 32, </w:t>
      </w:r>
      <w:r>
        <w:rPr>
          <w:rFonts w:ascii="Arial" w:hAnsi="Arial" w:cs="Arial"/>
          <w:i/>
          <w:lang w:val="es-CO"/>
        </w:rPr>
        <w:t>Decreto 187 de 1975)</w:t>
      </w:r>
      <w:r>
        <w:rPr>
          <w:rFonts w:ascii="Arial" w:hAnsi="Arial" w:cs="Arial"/>
        </w:rPr>
        <w:t xml:space="preserve"> </w:t>
      </w:r>
      <w:r>
        <w:rPr>
          <w:rFonts w:ascii="Arial" w:hAnsi="Arial" w:cs="Arial"/>
          <w:i/>
          <w:lang w:val="es-CO"/>
        </w:rPr>
        <w:t>(Vigencia del Decreto 187 de 1975. El Decreto 187 de 1975 se aplicará a partir del ejercicio impositivo de 1974 salvo los casos expresamente exceptuados en el mismo o en las normas sustantivas y procedimentales del impuesto sobre la re</w:t>
      </w:r>
      <w:r>
        <w:rPr>
          <w:rFonts w:ascii="Arial" w:hAnsi="Arial" w:cs="Arial"/>
          <w:i/>
          <w:lang w:val="es-CO"/>
        </w:rPr>
        <w:t>nta y complementario. (Art. 117, Decreto 187 de 1975))</w:t>
      </w:r>
    </w:p>
    <w:p w14:paraId="2958D076" w14:textId="77777777" w:rsidR="00B2442D" w:rsidRDefault="00B2442D">
      <w:pPr>
        <w:jc w:val="both"/>
        <w:rPr>
          <w:rFonts w:ascii="Arial" w:hAnsi="Arial" w:cs="Arial"/>
          <w:lang w:val="es-CO"/>
        </w:rPr>
      </w:pPr>
    </w:p>
    <w:p w14:paraId="4F42030D" w14:textId="77777777" w:rsidR="00B2442D" w:rsidRDefault="008A645F">
      <w:pPr>
        <w:pStyle w:val="Prrafodelista"/>
        <w:numPr>
          <w:ilvl w:val="0"/>
          <w:numId w:val="24"/>
        </w:numPr>
        <w:ind w:left="0" w:firstLine="0"/>
        <w:jc w:val="both"/>
        <w:rPr>
          <w:rFonts w:ascii="Arial" w:hAnsi="Arial" w:cs="Arial"/>
          <w:lang w:val="es-CO"/>
        </w:rPr>
      </w:pPr>
      <w:r>
        <w:rPr>
          <w:rFonts w:ascii="Arial" w:hAnsi="Arial" w:cs="Arial"/>
          <w:b/>
          <w:i/>
          <w:lang w:val="es-CO"/>
        </w:rPr>
        <w:t xml:space="preserve">Cambio de sistema contable. </w:t>
      </w:r>
      <w:r>
        <w:rPr>
          <w:rFonts w:ascii="Arial" w:hAnsi="Arial" w:cs="Arial"/>
          <w:lang w:val="es-CO"/>
        </w:rPr>
        <w:t>Cuando un contribuyente lleve su contabilidad por el sistema de causación y cambie por el de Caja se entienden realizados los ingresos, costos y deducciones, cuando los rec</w:t>
      </w:r>
      <w:r>
        <w:rPr>
          <w:rFonts w:ascii="Arial" w:hAnsi="Arial" w:cs="Arial"/>
          <w:lang w:val="es-CO"/>
        </w:rPr>
        <w:t>iba o pague efectivamente, con exclusión de los ya causados y declarados como tales en los años anteriores.</w:t>
      </w:r>
    </w:p>
    <w:p w14:paraId="327BEECD" w14:textId="77777777" w:rsidR="00B2442D" w:rsidRDefault="00B2442D">
      <w:pPr>
        <w:jc w:val="both"/>
        <w:rPr>
          <w:rFonts w:ascii="Arial" w:hAnsi="Arial" w:cs="Arial"/>
          <w:i/>
          <w:lang w:val="es-CO"/>
        </w:rPr>
      </w:pPr>
    </w:p>
    <w:p w14:paraId="57850996" w14:textId="77777777" w:rsidR="00B2442D" w:rsidRDefault="008A645F">
      <w:pPr>
        <w:jc w:val="both"/>
        <w:rPr>
          <w:rFonts w:ascii="Arial" w:hAnsi="Arial" w:cs="Arial"/>
          <w:i/>
          <w:lang w:val="es-CO"/>
        </w:rPr>
      </w:pPr>
      <w:r>
        <w:rPr>
          <w:rFonts w:ascii="Arial" w:hAnsi="Arial" w:cs="Arial"/>
          <w:i/>
          <w:lang w:val="es-CO"/>
        </w:rPr>
        <w:t>(Art. 33, Decreto 187 de 1975) (Vigencia del Decreto 187 de 1975. El Decreto 187 de 1975 se aplicará a partir del ejercicio impositivo de 1974 salv</w:t>
      </w:r>
      <w:r>
        <w:rPr>
          <w:rFonts w:ascii="Arial" w:hAnsi="Arial" w:cs="Arial"/>
          <w:i/>
          <w:lang w:val="es-CO"/>
        </w:rPr>
        <w:t>o los casos expresamente exceptuados en el mismo o en las normas sustantivas y procedimentales del impuesto sobre la renta y complementario. (Art. 117, Decreto 187 de 1975))</w:t>
      </w:r>
    </w:p>
    <w:p w14:paraId="25CD948A" w14:textId="77777777" w:rsidR="00B2442D" w:rsidRDefault="00B2442D">
      <w:pPr>
        <w:jc w:val="center"/>
        <w:rPr>
          <w:rFonts w:ascii="Arial" w:hAnsi="Arial" w:cs="Arial"/>
          <w:lang w:val="es-CO"/>
        </w:rPr>
      </w:pPr>
    </w:p>
    <w:p w14:paraId="5AC82BD4" w14:textId="77777777" w:rsidR="00B2442D" w:rsidRDefault="008A645F">
      <w:pPr>
        <w:pStyle w:val="Ttulo4"/>
      </w:pPr>
      <w:r>
        <w:t>CAPÍTULO 10</w:t>
      </w:r>
    </w:p>
    <w:p w14:paraId="4C46389C" w14:textId="77777777" w:rsidR="00B2442D" w:rsidRDefault="008A645F">
      <w:pPr>
        <w:pStyle w:val="Ttulo4"/>
      </w:pPr>
      <w:r>
        <w:t>Dividendos y participaciones no gravados</w:t>
      </w:r>
    </w:p>
    <w:p w14:paraId="3CF69549" w14:textId="77777777" w:rsidR="00B2442D" w:rsidRDefault="00B2442D">
      <w:pPr>
        <w:rPr>
          <w:rFonts w:ascii="Arial" w:hAnsi="Arial" w:cs="Arial"/>
        </w:rPr>
      </w:pPr>
    </w:p>
    <w:p w14:paraId="5AC9D87A" w14:textId="77777777" w:rsidR="00B2442D" w:rsidRDefault="008A645F">
      <w:pPr>
        <w:pStyle w:val="Prrafodelista"/>
        <w:numPr>
          <w:ilvl w:val="0"/>
          <w:numId w:val="25"/>
        </w:numPr>
        <w:ind w:left="0" w:firstLine="0"/>
        <w:jc w:val="both"/>
        <w:rPr>
          <w:rFonts w:ascii="Arial" w:hAnsi="Arial" w:cs="Arial"/>
          <w:lang w:val="es-CO"/>
        </w:rPr>
      </w:pPr>
      <w:r>
        <w:rPr>
          <w:rFonts w:ascii="Arial" w:hAnsi="Arial" w:cs="Arial"/>
          <w:b/>
          <w:i/>
          <w:lang w:val="es-CO"/>
        </w:rPr>
        <w:t xml:space="preserve"> Valor de distribución de d</w:t>
      </w:r>
      <w:r>
        <w:rPr>
          <w:rFonts w:ascii="Arial" w:hAnsi="Arial" w:cs="Arial"/>
          <w:b/>
          <w:i/>
          <w:lang w:val="es-CO"/>
        </w:rPr>
        <w:t>ividendos o participaciones en acciones.</w:t>
      </w:r>
      <w:r>
        <w:rPr>
          <w:rFonts w:ascii="Arial" w:hAnsi="Arial" w:cs="Arial"/>
          <w:lang w:val="es-CO"/>
        </w:rPr>
        <w:t xml:space="preserve"> El valor fiscal por el cual se reciben los dividendos o participaciones en acciones o cuotas de interés social, provenientes de la distribución de las utilidades o reservas a que se refiere el artículo 1.2.1.12.1, y</w:t>
      </w:r>
      <w:r>
        <w:rPr>
          <w:rFonts w:ascii="Arial" w:hAnsi="Arial" w:cs="Arial"/>
          <w:lang w:val="es-CO"/>
        </w:rPr>
        <w:t xml:space="preserve"> de las demás utilidades o reservas susceptibles de distribuirse como no gravadas, es el valor de las utilidades o reservas distribuidas.</w:t>
      </w:r>
    </w:p>
    <w:p w14:paraId="0C829AB0" w14:textId="77777777" w:rsidR="00B2442D" w:rsidRDefault="008A645F">
      <w:pPr>
        <w:jc w:val="both"/>
        <w:rPr>
          <w:rFonts w:ascii="Arial" w:hAnsi="Arial" w:cs="Arial"/>
          <w:lang w:val="es-CO"/>
        </w:rPr>
      </w:pPr>
      <w:r>
        <w:rPr>
          <w:rFonts w:ascii="Arial" w:hAnsi="Arial" w:cs="Arial"/>
          <w:lang w:val="es-CO"/>
        </w:rPr>
        <w:t xml:space="preserve"> </w:t>
      </w:r>
    </w:p>
    <w:p w14:paraId="097507AA" w14:textId="77777777" w:rsidR="00B2442D" w:rsidRDefault="008A645F">
      <w:pPr>
        <w:jc w:val="both"/>
        <w:rPr>
          <w:rFonts w:ascii="Arial" w:hAnsi="Arial" w:cs="Arial"/>
          <w:lang w:val="es-CO"/>
        </w:rPr>
      </w:pPr>
      <w:r>
        <w:rPr>
          <w:rFonts w:ascii="Arial" w:hAnsi="Arial" w:cs="Arial"/>
          <w:lang w:val="es-CO"/>
        </w:rPr>
        <w:t>El valor fiscal por el cual se reciben los dividendos o participaciones en acciones o cuotas de interés social, prov</w:t>
      </w:r>
      <w:r>
        <w:rPr>
          <w:rFonts w:ascii="Arial" w:hAnsi="Arial" w:cs="Arial"/>
          <w:lang w:val="es-CO"/>
        </w:rPr>
        <w:t>enientes de la distribución de utilidades o reservas que deban distribuirse con el carácter de ingreso gravado, es el valor patrimonial de las mismas.</w:t>
      </w:r>
    </w:p>
    <w:p w14:paraId="69B3C14C" w14:textId="77777777" w:rsidR="00B2442D" w:rsidRDefault="00B2442D">
      <w:pPr>
        <w:jc w:val="both"/>
        <w:rPr>
          <w:rFonts w:ascii="Arial" w:hAnsi="Arial" w:cs="Arial"/>
          <w:i/>
          <w:lang w:val="es-CO"/>
        </w:rPr>
      </w:pPr>
    </w:p>
    <w:p w14:paraId="300B77D2" w14:textId="77777777" w:rsidR="00B2442D" w:rsidRDefault="008A645F">
      <w:pPr>
        <w:jc w:val="both"/>
        <w:rPr>
          <w:rFonts w:ascii="Arial" w:hAnsi="Arial" w:cs="Arial"/>
          <w:i/>
          <w:lang w:val="es-CO"/>
        </w:rPr>
      </w:pPr>
      <w:r>
        <w:rPr>
          <w:rFonts w:ascii="Arial" w:hAnsi="Arial" w:cs="Arial"/>
          <w:i/>
          <w:lang w:val="es-CO"/>
        </w:rPr>
        <w:t xml:space="preserve">(Art. 6, Decreto 0836 de 1991. El último inciso tiene decaimiento en virtud de la evolución legislativa </w:t>
      </w:r>
      <w:r>
        <w:rPr>
          <w:rFonts w:ascii="Arial" w:hAnsi="Arial" w:cs="Arial"/>
          <w:i/>
          <w:lang w:val="es-CO"/>
        </w:rPr>
        <w:t>(Art. 285 de la Ley 223 de 1995))</w:t>
      </w:r>
    </w:p>
    <w:p w14:paraId="43008CC1" w14:textId="77777777" w:rsidR="00B2442D" w:rsidRDefault="00B2442D">
      <w:pPr>
        <w:jc w:val="center"/>
        <w:rPr>
          <w:rFonts w:ascii="Arial" w:hAnsi="Arial" w:cs="Arial"/>
          <w:b/>
          <w:lang w:val="es-CO"/>
        </w:rPr>
      </w:pPr>
    </w:p>
    <w:p w14:paraId="07249D4F" w14:textId="77777777" w:rsidR="00B2442D" w:rsidRDefault="008A645F">
      <w:pPr>
        <w:pStyle w:val="Prrafodelista"/>
        <w:numPr>
          <w:ilvl w:val="0"/>
          <w:numId w:val="25"/>
        </w:numPr>
        <w:ind w:left="0" w:firstLine="0"/>
        <w:jc w:val="both"/>
        <w:rPr>
          <w:rFonts w:ascii="Arial" w:hAnsi="Arial" w:cs="Arial"/>
          <w:lang w:val="es-CO"/>
        </w:rPr>
      </w:pPr>
      <w:r>
        <w:rPr>
          <w:rFonts w:ascii="Arial" w:hAnsi="Arial" w:cs="Arial"/>
          <w:b/>
          <w:i/>
          <w:lang w:val="es-CO"/>
        </w:rPr>
        <w:t xml:space="preserve"> Reversión del impuesto diferido crédito del método de participación. </w:t>
      </w:r>
      <w:r>
        <w:rPr>
          <w:rFonts w:ascii="Arial" w:hAnsi="Arial" w:cs="Arial"/>
          <w:lang w:val="es-CO"/>
        </w:rPr>
        <w:t>Para efectos de la determinación de los dividendos o participaciones no gravados a la que se refiere el artículo 49 del Estatuto Tributario, el ingreso</w:t>
      </w:r>
      <w:r>
        <w:rPr>
          <w:rFonts w:ascii="Arial" w:hAnsi="Arial" w:cs="Arial"/>
          <w:lang w:val="es-CO"/>
        </w:rPr>
        <w:t xml:space="preserve"> contable producto de la reversión del impuesto diferido crédito del método de participación para utilidades que estuvieron gravadas en Colombia, que se origina en la sociedad controlante cuando sus sociedades o entidades subordinadas, adquieren la naciona</w:t>
      </w:r>
      <w:r>
        <w:rPr>
          <w:rFonts w:ascii="Arial" w:hAnsi="Arial" w:cs="Arial"/>
          <w:lang w:val="es-CO"/>
        </w:rPr>
        <w:t>lidad colombiana por tener su sede efectiva de administración en el territorio colombiano, se sumará a los dividendos o participaciones de otras sociedades nacionales que tengan el carácter no gravado a los que hace referencia el numeral segundo de dicho a</w:t>
      </w:r>
      <w:r>
        <w:rPr>
          <w:rFonts w:ascii="Arial" w:hAnsi="Arial" w:cs="Arial"/>
          <w:lang w:val="es-CO"/>
        </w:rPr>
        <w:t>rtículo.</w:t>
      </w:r>
    </w:p>
    <w:p w14:paraId="22B3A755" w14:textId="77777777" w:rsidR="00B2442D" w:rsidRDefault="00B2442D">
      <w:pPr>
        <w:jc w:val="both"/>
        <w:rPr>
          <w:rFonts w:ascii="Arial" w:hAnsi="Arial" w:cs="Arial"/>
          <w:lang w:val="es-CO"/>
        </w:rPr>
      </w:pPr>
    </w:p>
    <w:p w14:paraId="6127343B" w14:textId="77777777" w:rsidR="00B2442D" w:rsidRDefault="008A645F">
      <w:pPr>
        <w:jc w:val="both"/>
        <w:rPr>
          <w:rFonts w:ascii="Arial" w:hAnsi="Arial" w:cs="Arial"/>
          <w:i/>
          <w:lang w:val="es-CO"/>
        </w:rPr>
      </w:pPr>
      <w:r>
        <w:rPr>
          <w:rFonts w:ascii="Arial" w:hAnsi="Arial" w:cs="Arial"/>
          <w:i/>
          <w:lang w:val="es-CO"/>
        </w:rPr>
        <w:t>(Art. 10, Decreto 3028 de 2013)</w:t>
      </w:r>
    </w:p>
    <w:p w14:paraId="380B98CC" w14:textId="77777777" w:rsidR="00B2442D" w:rsidRDefault="00B2442D">
      <w:pPr>
        <w:jc w:val="both"/>
        <w:rPr>
          <w:rFonts w:ascii="Arial" w:hAnsi="Arial" w:cs="Arial"/>
          <w:i/>
          <w:lang w:val="es-CO"/>
        </w:rPr>
      </w:pPr>
    </w:p>
    <w:p w14:paraId="2FF18A06" w14:textId="77777777" w:rsidR="00B2442D" w:rsidRDefault="008A645F">
      <w:pPr>
        <w:pStyle w:val="Ttulo4"/>
        <w:rPr>
          <w:lang w:val="es-CO"/>
        </w:rPr>
      </w:pPr>
      <w:r>
        <w:rPr>
          <w:lang w:val="es-CO"/>
        </w:rPr>
        <w:t>CAPÍTULO 11</w:t>
      </w:r>
    </w:p>
    <w:p w14:paraId="6048DFB2" w14:textId="77777777" w:rsidR="00B2442D" w:rsidRDefault="008A645F">
      <w:pPr>
        <w:pStyle w:val="Ttulo4"/>
        <w:rPr>
          <w:lang w:val="es-CO"/>
        </w:rPr>
      </w:pPr>
      <w:r>
        <w:rPr>
          <w:lang w:val="es-CO"/>
        </w:rPr>
        <w:t>Ingresos no gravados</w:t>
      </w:r>
    </w:p>
    <w:p w14:paraId="66BA8F7F" w14:textId="77777777" w:rsidR="00B2442D" w:rsidRDefault="00B2442D">
      <w:pPr>
        <w:rPr>
          <w:rFonts w:ascii="Arial" w:hAnsi="Arial" w:cs="Arial"/>
          <w:lang w:val="es-CO"/>
        </w:rPr>
      </w:pPr>
    </w:p>
    <w:p w14:paraId="1E1FE131" w14:textId="77777777" w:rsidR="00B2442D" w:rsidRDefault="008A645F">
      <w:pPr>
        <w:pStyle w:val="Prrafodelista"/>
        <w:numPr>
          <w:ilvl w:val="0"/>
          <w:numId w:val="26"/>
        </w:numPr>
        <w:ind w:left="0" w:firstLine="0"/>
        <w:jc w:val="both"/>
        <w:rPr>
          <w:rFonts w:ascii="Arial" w:hAnsi="Arial" w:cs="Arial"/>
          <w:lang w:val="es-CO"/>
        </w:rPr>
      </w:pPr>
      <w:r>
        <w:rPr>
          <w:rFonts w:ascii="Arial" w:hAnsi="Arial" w:cs="Arial"/>
          <w:b/>
          <w:i/>
          <w:lang w:val="es-CO"/>
        </w:rPr>
        <w:t xml:space="preserve"> Ingreso no gravado para reservas de la Fuerza Aérea o de la Armada Nacional.</w:t>
      </w:r>
      <w:r>
        <w:rPr>
          <w:rFonts w:ascii="Arial" w:hAnsi="Arial" w:cs="Arial"/>
          <w:lang w:val="es-CO"/>
        </w:rPr>
        <w:t xml:space="preserve"> Para los efectos del impuesto sobre la renta y complementario de los ciudadanos colombianos que integran las reservas de oficiales de primera y segunda clase de la Fuerza Aérea o de la Armada Nacional, y se desempeñen en las actividades señaladas en el nu</w:t>
      </w:r>
      <w:r>
        <w:rPr>
          <w:rFonts w:ascii="Arial" w:hAnsi="Arial" w:cs="Arial"/>
          <w:lang w:val="es-CO"/>
        </w:rPr>
        <w:t>meral 9° del artículo 206 del Estatuto Tributario y en el artículo 22 de la Ley 44 de 1990, respectivamente, que reciben bonificación por retiro voluntario, solamente constituye renta gravable la proporción correspondiente al salario básico proyectado en l</w:t>
      </w:r>
      <w:r>
        <w:rPr>
          <w:rFonts w:ascii="Arial" w:hAnsi="Arial" w:cs="Arial"/>
          <w:lang w:val="es-CO"/>
        </w:rPr>
        <w:t>a bonificación pactada conforme a las especificaciones que señalan las normas mencionadas.</w:t>
      </w:r>
    </w:p>
    <w:p w14:paraId="480ED769" w14:textId="77777777" w:rsidR="00B2442D" w:rsidRDefault="00B2442D">
      <w:pPr>
        <w:jc w:val="both"/>
        <w:rPr>
          <w:rFonts w:ascii="Arial" w:hAnsi="Arial" w:cs="Arial"/>
          <w:i/>
          <w:lang w:val="es-CO"/>
        </w:rPr>
      </w:pPr>
    </w:p>
    <w:p w14:paraId="7C6AC356" w14:textId="77777777" w:rsidR="00B2442D" w:rsidRDefault="008A645F">
      <w:pPr>
        <w:jc w:val="both"/>
        <w:rPr>
          <w:rFonts w:ascii="Arial" w:hAnsi="Arial" w:cs="Arial"/>
          <w:i/>
          <w:lang w:val="es-CO"/>
        </w:rPr>
      </w:pPr>
      <w:r>
        <w:rPr>
          <w:rFonts w:ascii="Arial" w:hAnsi="Arial" w:cs="Arial"/>
          <w:i/>
          <w:lang w:val="es-CO"/>
        </w:rPr>
        <w:t>(Art. 26, Decreto 1372 de 1992)</w:t>
      </w:r>
    </w:p>
    <w:p w14:paraId="26D4C589" w14:textId="77777777" w:rsidR="00B2442D" w:rsidRDefault="00B2442D">
      <w:pPr>
        <w:jc w:val="both"/>
        <w:rPr>
          <w:rFonts w:ascii="Arial" w:hAnsi="Arial" w:cs="Arial"/>
          <w:lang w:val="es-CO"/>
        </w:rPr>
      </w:pPr>
    </w:p>
    <w:p w14:paraId="4BAAE605" w14:textId="77777777" w:rsidR="00B2442D" w:rsidRDefault="008A645F">
      <w:pPr>
        <w:pStyle w:val="Prrafodelista"/>
        <w:numPr>
          <w:ilvl w:val="0"/>
          <w:numId w:val="26"/>
        </w:numPr>
        <w:ind w:left="0" w:firstLine="0"/>
        <w:jc w:val="both"/>
        <w:rPr>
          <w:rFonts w:ascii="Arial" w:hAnsi="Arial" w:cs="Arial"/>
          <w:lang w:val="es-CO"/>
        </w:rPr>
      </w:pPr>
      <w:r>
        <w:rPr>
          <w:rFonts w:ascii="Arial" w:hAnsi="Arial" w:cs="Arial"/>
          <w:b/>
          <w:i/>
        </w:rPr>
        <w:t xml:space="preserve"> La manutención y el alojamiento de los viáticos recibidos por empleados oficiales no son ingreso gravable.</w:t>
      </w:r>
      <w:r>
        <w:rPr>
          <w:rFonts w:ascii="Arial" w:hAnsi="Arial" w:cs="Arial"/>
        </w:rPr>
        <w:t xml:space="preserve"> Las sumas recibidas por los empleados oficiales cuya vinculación se origine en una relación legal o reglamentaria, por concepto de viáticos destinados a sufragar exclusivamente sus gastos de manutención y alojamiento durante el desempeño de comisiones ofi</w:t>
      </w:r>
      <w:r>
        <w:rPr>
          <w:rFonts w:ascii="Arial" w:hAnsi="Arial" w:cs="Arial"/>
        </w:rPr>
        <w:t>ciales, que no correspondan a retribución ordinaria del servicio, no se consideran para los efectos fiscales como ingreso gravable en cabeza del trabajador, sino como gasto directo de la respectiva entidad pagadora.</w:t>
      </w:r>
    </w:p>
    <w:p w14:paraId="76473211" w14:textId="77777777" w:rsidR="00B2442D" w:rsidRDefault="00B2442D">
      <w:pPr>
        <w:jc w:val="both"/>
        <w:rPr>
          <w:rFonts w:ascii="Arial" w:hAnsi="Arial" w:cs="Arial"/>
          <w:lang w:val="es-CO"/>
        </w:rPr>
      </w:pPr>
    </w:p>
    <w:p w14:paraId="2458B7BB" w14:textId="77777777" w:rsidR="00B2442D" w:rsidRDefault="008A645F">
      <w:pPr>
        <w:jc w:val="both"/>
        <w:rPr>
          <w:rFonts w:ascii="Arial" w:hAnsi="Arial" w:cs="Arial"/>
          <w:i/>
          <w:lang w:val="es-CO"/>
        </w:rPr>
      </w:pPr>
      <w:r>
        <w:rPr>
          <w:rFonts w:ascii="Arial" w:hAnsi="Arial" w:cs="Arial"/>
          <w:i/>
          <w:lang w:val="es-CO"/>
        </w:rPr>
        <w:t>(Art. 8, Decreto 823 de 1987)</w:t>
      </w:r>
    </w:p>
    <w:p w14:paraId="7A8D36A7" w14:textId="77777777" w:rsidR="00B2442D" w:rsidRDefault="00B2442D">
      <w:pPr>
        <w:jc w:val="both"/>
        <w:rPr>
          <w:rFonts w:ascii="Arial" w:hAnsi="Arial" w:cs="Arial"/>
          <w:lang w:val="es-CO"/>
        </w:rPr>
      </w:pPr>
    </w:p>
    <w:p w14:paraId="1676ADF1" w14:textId="77777777" w:rsidR="00B2442D" w:rsidRDefault="008A645F">
      <w:pPr>
        <w:pStyle w:val="Ttulo4"/>
      </w:pPr>
      <w:r>
        <w:t>CAPÍTULO</w:t>
      </w:r>
      <w:r>
        <w:t xml:space="preserve"> 12</w:t>
      </w:r>
    </w:p>
    <w:p w14:paraId="61FBA109" w14:textId="77777777" w:rsidR="00B2442D" w:rsidRDefault="008A645F">
      <w:pPr>
        <w:pStyle w:val="Ttulo4"/>
      </w:pPr>
      <w:r>
        <w:t>Ingresos que no constituyen renta ni ganancia ocasional</w:t>
      </w:r>
    </w:p>
    <w:p w14:paraId="0D5DAFBD" w14:textId="77777777" w:rsidR="00B2442D" w:rsidRDefault="00B2442D">
      <w:pPr>
        <w:rPr>
          <w:rFonts w:ascii="Arial" w:hAnsi="Arial" w:cs="Arial"/>
        </w:rPr>
      </w:pPr>
    </w:p>
    <w:p w14:paraId="5E2B947D"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b/>
          <w:i/>
          <w:lang w:val="es-CO"/>
        </w:rPr>
        <w:t xml:space="preserve"> Capitalizaciones.</w:t>
      </w:r>
      <w:r>
        <w:rPr>
          <w:rFonts w:ascii="Arial" w:hAnsi="Arial" w:cs="Arial"/>
          <w:lang w:val="es-CO"/>
        </w:rPr>
        <w:t xml:space="preserve"> De conformidad con el artículo 6° de la Ley 49 de 1990, que modificó el artículo 36-3 del Estatuto Tributario, para todos los efectos legales, las sociedades pueden capitalizar</w:t>
      </w:r>
      <w:r>
        <w:rPr>
          <w:rFonts w:ascii="Arial" w:hAnsi="Arial" w:cs="Arial"/>
          <w:lang w:val="es-CO"/>
        </w:rPr>
        <w:t>, la totalidad de la cuenta de revalorización del patrimonio, de la reserva de que trata el artículo 130 del Estatuto Tributario y de las utilidades a que se refiere el artículo 50 del Estatuto Tributario, mediante su distribución en acciones o cuotas de i</w:t>
      </w:r>
      <w:r>
        <w:rPr>
          <w:rFonts w:ascii="Arial" w:hAnsi="Arial" w:cs="Arial"/>
          <w:lang w:val="es-CO"/>
        </w:rPr>
        <w:t xml:space="preserve">nterés social, o su traslado a la cuenta de capital. Dicha distribución o capitalización, es un ingreso no constitutivo de renta ni de ganancia ocasional. </w:t>
      </w:r>
    </w:p>
    <w:p w14:paraId="48EC6D68" w14:textId="77777777" w:rsidR="00B2442D" w:rsidRDefault="00B2442D">
      <w:pPr>
        <w:jc w:val="both"/>
        <w:rPr>
          <w:rFonts w:ascii="Arial" w:hAnsi="Arial" w:cs="Arial"/>
          <w:lang w:val="es-CO"/>
        </w:rPr>
      </w:pPr>
    </w:p>
    <w:p w14:paraId="312DFB22" w14:textId="77777777" w:rsidR="00B2442D" w:rsidRDefault="008A645F">
      <w:pPr>
        <w:jc w:val="both"/>
        <w:rPr>
          <w:rFonts w:ascii="Arial" w:hAnsi="Arial" w:cs="Arial"/>
          <w:lang w:val="es-CO"/>
        </w:rPr>
      </w:pPr>
      <w:r>
        <w:rPr>
          <w:rFonts w:ascii="Arial" w:hAnsi="Arial" w:cs="Arial"/>
          <w:lang w:val="es-CO"/>
        </w:rPr>
        <w:t>Se entiende realizada la capitalización de la reserva de que trata el artículo 130 del Estatuto Tri</w:t>
      </w:r>
      <w:r>
        <w:rPr>
          <w:rFonts w:ascii="Arial" w:hAnsi="Arial" w:cs="Arial"/>
          <w:lang w:val="es-CO"/>
        </w:rPr>
        <w:t>butario, con la capitalización de utilidades del ejercicio por un valor igual al que resultaría de haberse constituido la reserva.</w:t>
      </w:r>
    </w:p>
    <w:p w14:paraId="4C0824B6" w14:textId="77777777" w:rsidR="00B2442D" w:rsidRDefault="008A645F">
      <w:pPr>
        <w:jc w:val="both"/>
        <w:rPr>
          <w:rFonts w:ascii="Arial" w:hAnsi="Arial" w:cs="Arial"/>
          <w:lang w:val="es-CO"/>
        </w:rPr>
      </w:pPr>
      <w:r>
        <w:rPr>
          <w:rFonts w:ascii="Arial" w:hAnsi="Arial" w:cs="Arial"/>
          <w:lang w:val="es-CO"/>
        </w:rPr>
        <w:t xml:space="preserve"> </w:t>
      </w:r>
    </w:p>
    <w:p w14:paraId="6F754064" w14:textId="77777777" w:rsidR="00B2442D" w:rsidRDefault="008A645F">
      <w:pPr>
        <w:jc w:val="both"/>
        <w:rPr>
          <w:rFonts w:ascii="Arial" w:hAnsi="Arial" w:cs="Arial"/>
          <w:lang w:val="es-CO"/>
        </w:rPr>
      </w:pPr>
      <w:r>
        <w:rPr>
          <w:rFonts w:ascii="Arial" w:hAnsi="Arial" w:cs="Arial"/>
          <w:lang w:val="es-CO"/>
        </w:rPr>
        <w:t>Cuando la sociedad esté inscrita en bolsa, se dará el mismo tratamiento tributario a la distribución en acciones o a la cap</w:t>
      </w:r>
      <w:r>
        <w:rPr>
          <w:rFonts w:ascii="Arial" w:hAnsi="Arial" w:cs="Arial"/>
          <w:lang w:val="es-CO"/>
        </w:rPr>
        <w:t>italización, de las utilidades que excedan de la parte que no constituye renta ni ganancia ocasional de conformidad con los artículos 48 y 49 del Estatuto Tributario.</w:t>
      </w:r>
    </w:p>
    <w:p w14:paraId="00343A36" w14:textId="77777777" w:rsidR="00B2442D" w:rsidRDefault="00B2442D">
      <w:pPr>
        <w:jc w:val="both"/>
        <w:rPr>
          <w:rFonts w:ascii="Arial" w:hAnsi="Arial" w:cs="Arial"/>
          <w:i/>
          <w:lang w:val="es-CO"/>
        </w:rPr>
      </w:pPr>
    </w:p>
    <w:p w14:paraId="6EA9E316" w14:textId="77777777" w:rsidR="00B2442D" w:rsidRDefault="008A645F">
      <w:pPr>
        <w:jc w:val="both"/>
        <w:rPr>
          <w:rFonts w:ascii="Arial" w:hAnsi="Arial" w:cs="Arial"/>
          <w:i/>
          <w:lang w:val="es-CO"/>
        </w:rPr>
      </w:pPr>
      <w:r>
        <w:rPr>
          <w:rFonts w:ascii="Arial" w:hAnsi="Arial" w:cs="Arial"/>
          <w:i/>
          <w:lang w:val="es-CO"/>
        </w:rPr>
        <w:t>(Art. 5, Decreto 0836 de 1991. La expresión “de la prima en colocación de acciones” tien</w:t>
      </w:r>
      <w:r>
        <w:rPr>
          <w:rFonts w:ascii="Arial" w:hAnsi="Arial" w:cs="Arial"/>
          <w:i/>
          <w:lang w:val="es-CO"/>
        </w:rPr>
        <w:t>e decaimiento en virtud de la evolución legislativa. (Artículo 198 de la Ley 1607 de 2012, que derogó expresamente la expresión “prima en colocación de acciones” del inciso primero del artículo 36-3 del E. T.))</w:t>
      </w:r>
    </w:p>
    <w:p w14:paraId="0679A90D" w14:textId="77777777" w:rsidR="00B2442D" w:rsidRDefault="00B2442D">
      <w:pPr>
        <w:jc w:val="both"/>
        <w:rPr>
          <w:rFonts w:ascii="Arial" w:hAnsi="Arial" w:cs="Arial"/>
          <w:lang w:val="es-CO"/>
        </w:rPr>
      </w:pPr>
    </w:p>
    <w:p w14:paraId="0457025C"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b/>
          <w:i/>
          <w:lang w:val="es-CO"/>
        </w:rPr>
        <w:t xml:space="preserve"> Indemnización por seguros.</w:t>
      </w:r>
      <w:r>
        <w:rPr>
          <w:rFonts w:ascii="Arial" w:hAnsi="Arial" w:cs="Arial"/>
          <w:i/>
          <w:lang w:val="es-CO"/>
        </w:rPr>
        <w:t xml:space="preserve"> </w:t>
      </w:r>
      <w:r>
        <w:rPr>
          <w:rFonts w:ascii="Arial" w:hAnsi="Arial" w:cs="Arial"/>
          <w:lang w:val="es-CO"/>
        </w:rPr>
        <w:t>Para los efectos</w:t>
      </w:r>
      <w:r>
        <w:rPr>
          <w:rFonts w:ascii="Arial" w:hAnsi="Arial" w:cs="Arial"/>
          <w:lang w:val="es-CO"/>
        </w:rPr>
        <w:t xml:space="preserve"> del artículo 32 de la Ley 20 de 1979 (hoy artículo 45 del Estatuto Tributario), se entiende por indemnización correspondiente a: daño emergente los ingresos en dinero o en especie percibidos por el asegurado por sustituir el activo patrimonial perdido, ha</w:t>
      </w:r>
      <w:r>
        <w:rPr>
          <w:rFonts w:ascii="Arial" w:hAnsi="Arial" w:cs="Arial"/>
          <w:lang w:val="es-CO"/>
        </w:rPr>
        <w:t>sta concurrencia del valor asegurado; y por indemnización correspondiente al lucro cesante, los ingresos percibidos para sustituir una renta que el asegurado deja de realizar.</w:t>
      </w:r>
    </w:p>
    <w:p w14:paraId="19024476" w14:textId="77777777" w:rsidR="00B2442D" w:rsidRDefault="00B2442D">
      <w:pPr>
        <w:rPr>
          <w:rFonts w:ascii="Arial" w:hAnsi="Arial" w:cs="Arial"/>
          <w:i/>
          <w:lang w:val="es-CO"/>
        </w:rPr>
      </w:pPr>
    </w:p>
    <w:p w14:paraId="07092FD3" w14:textId="77777777" w:rsidR="00B2442D" w:rsidRDefault="008A645F">
      <w:pPr>
        <w:rPr>
          <w:rFonts w:ascii="Arial" w:hAnsi="Arial" w:cs="Arial"/>
          <w:i/>
          <w:lang w:val="es-CO"/>
        </w:rPr>
      </w:pPr>
      <w:r>
        <w:rPr>
          <w:rFonts w:ascii="Arial" w:hAnsi="Arial" w:cs="Arial"/>
          <w:i/>
          <w:lang w:val="es-CO"/>
        </w:rPr>
        <w:t>(Art. 37, Decreto 2595 de 1979)</w:t>
      </w:r>
    </w:p>
    <w:p w14:paraId="067C53AC" w14:textId="77777777" w:rsidR="00B2442D" w:rsidRDefault="00B2442D">
      <w:pPr>
        <w:rPr>
          <w:rFonts w:ascii="Arial" w:hAnsi="Arial" w:cs="Arial"/>
          <w:b/>
          <w:lang w:val="es-CO"/>
        </w:rPr>
      </w:pPr>
    </w:p>
    <w:p w14:paraId="6AA2B2CA"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b/>
          <w:i/>
          <w:lang w:val="es-CO"/>
        </w:rPr>
        <w:t xml:space="preserve"> Ingreso no constitutivo de renta ni de gananc</w:t>
      </w:r>
      <w:r>
        <w:rPr>
          <w:rFonts w:ascii="Arial" w:hAnsi="Arial" w:cs="Arial"/>
          <w:b/>
          <w:i/>
          <w:lang w:val="es-CO"/>
        </w:rPr>
        <w:t>ia ocasional.</w:t>
      </w:r>
      <w:r>
        <w:rPr>
          <w:rFonts w:ascii="Arial" w:hAnsi="Arial" w:cs="Arial"/>
          <w:b/>
          <w:lang w:val="es-CO"/>
        </w:rPr>
        <w:t xml:space="preserve"> </w:t>
      </w:r>
      <w:r>
        <w:rPr>
          <w:rFonts w:ascii="Arial" w:hAnsi="Arial" w:cs="Arial"/>
          <w:lang w:val="es-CO"/>
        </w:rPr>
        <w:t xml:space="preserve"> Para obtener el tratamiento previsto en el artículo 32 de la Ley 20 de 1979, (hoy artículo 45 del Estatuto Tributario),  el contribuyente deberá demostrar dentro del término que tiene para presentar la declaración de renta la inversión de la</w:t>
      </w:r>
      <w:r>
        <w:rPr>
          <w:rFonts w:ascii="Arial" w:hAnsi="Arial" w:cs="Arial"/>
          <w:lang w:val="es-CO"/>
        </w:rPr>
        <w:t xml:space="preserve"> totalidad de la indemnización recibida en la adquisición de bienes iguales o semejantes a los que eran objeto del seguro.</w:t>
      </w:r>
    </w:p>
    <w:p w14:paraId="7EB1F042" w14:textId="77777777" w:rsidR="00B2442D" w:rsidRDefault="00B2442D">
      <w:pPr>
        <w:jc w:val="both"/>
        <w:rPr>
          <w:rFonts w:ascii="Arial" w:hAnsi="Arial" w:cs="Arial"/>
          <w:lang w:val="es-CO"/>
        </w:rPr>
      </w:pPr>
    </w:p>
    <w:p w14:paraId="0B5AFE01" w14:textId="77777777" w:rsidR="00B2442D" w:rsidRDefault="008A645F">
      <w:pPr>
        <w:jc w:val="both"/>
        <w:rPr>
          <w:rFonts w:ascii="Arial" w:hAnsi="Arial" w:cs="Arial"/>
          <w:lang w:val="es-CO"/>
        </w:rPr>
      </w:pPr>
      <w:r>
        <w:rPr>
          <w:rFonts w:ascii="Arial" w:hAnsi="Arial" w:cs="Arial"/>
          <w:lang w:val="es-CO"/>
        </w:rPr>
        <w:t xml:space="preserve">Si no es posible efectuar la inversión dentro del término señalado, el interesado deberá demostrar, que con la </w:t>
      </w:r>
      <w:r>
        <w:rPr>
          <w:rFonts w:ascii="Arial" w:hAnsi="Arial" w:cs="Arial"/>
          <w:lang w:val="es-CO"/>
        </w:rPr>
        <w:t>indemnización recibida se constituyó un fondo destinado exclusivamente a la adquisición de los bienes mencionados.</w:t>
      </w:r>
    </w:p>
    <w:p w14:paraId="3CCF20BD" w14:textId="77777777" w:rsidR="00B2442D" w:rsidRDefault="00B2442D">
      <w:pPr>
        <w:jc w:val="both"/>
        <w:rPr>
          <w:rFonts w:ascii="Arial" w:hAnsi="Arial" w:cs="Arial"/>
          <w:lang w:val="es-CO"/>
        </w:rPr>
      </w:pPr>
    </w:p>
    <w:p w14:paraId="7127CB3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constitución de dicho fondo se demostrará con certificado expedido por el revisor fiscal y a falta de este por contador públic</w:t>
      </w:r>
      <w:r>
        <w:rPr>
          <w:rFonts w:ascii="Arial" w:hAnsi="Arial" w:cs="Arial"/>
          <w:lang w:val="es-CO"/>
        </w:rPr>
        <w:t>o.</w:t>
      </w:r>
    </w:p>
    <w:p w14:paraId="1EAC3E5F" w14:textId="77777777" w:rsidR="00B2442D" w:rsidRDefault="00B2442D">
      <w:pPr>
        <w:jc w:val="both"/>
        <w:rPr>
          <w:rFonts w:ascii="Arial" w:hAnsi="Arial" w:cs="Arial"/>
          <w:lang w:val="es-CO"/>
        </w:rPr>
      </w:pPr>
    </w:p>
    <w:p w14:paraId="50E1954F" w14:textId="77777777" w:rsidR="00B2442D" w:rsidRDefault="008A645F">
      <w:pPr>
        <w:jc w:val="both"/>
        <w:rPr>
          <w:rFonts w:ascii="Arial" w:hAnsi="Arial" w:cs="Arial"/>
          <w:lang w:val="es-CO"/>
        </w:rPr>
      </w:pPr>
      <w:r>
        <w:rPr>
          <w:rFonts w:ascii="Arial" w:hAnsi="Arial" w:cs="Arial"/>
          <w:lang w:val="es-CO"/>
        </w:rPr>
        <w:t>En el año en el cual se le diere a este fondo una destinación diferente, lo recibido por indemnización constituirá renta gravable.</w:t>
      </w:r>
    </w:p>
    <w:p w14:paraId="7929C685" w14:textId="77777777" w:rsidR="00B2442D" w:rsidRDefault="00B2442D">
      <w:pPr>
        <w:rPr>
          <w:rFonts w:ascii="Arial" w:hAnsi="Arial" w:cs="Arial"/>
          <w:i/>
          <w:lang w:val="es-CO"/>
        </w:rPr>
      </w:pPr>
    </w:p>
    <w:p w14:paraId="52B1DFD1" w14:textId="77777777" w:rsidR="00B2442D" w:rsidRDefault="008A645F">
      <w:pPr>
        <w:rPr>
          <w:rFonts w:ascii="Arial" w:hAnsi="Arial" w:cs="Arial"/>
          <w:i/>
          <w:lang w:val="es-CO"/>
        </w:rPr>
      </w:pPr>
      <w:r>
        <w:rPr>
          <w:rFonts w:ascii="Arial" w:hAnsi="Arial" w:cs="Arial"/>
          <w:i/>
          <w:lang w:val="es-CO"/>
        </w:rPr>
        <w:t>(Art. 39, Decreto 2595 de 1979)</w:t>
      </w:r>
    </w:p>
    <w:p w14:paraId="0CE42660" w14:textId="77777777" w:rsidR="00B2442D" w:rsidRDefault="00B2442D">
      <w:pPr>
        <w:jc w:val="both"/>
        <w:rPr>
          <w:rFonts w:ascii="Arial" w:hAnsi="Arial" w:cs="Arial"/>
          <w:lang w:val="es-CO"/>
        </w:rPr>
      </w:pPr>
    </w:p>
    <w:p w14:paraId="27A0F55C"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b/>
          <w:i/>
          <w:lang w:val="es-CO"/>
        </w:rPr>
        <w:t xml:space="preserve"> Recibo del valor de la indemnización para efectos fiscales.</w:t>
      </w:r>
      <w:r>
        <w:rPr>
          <w:rFonts w:ascii="Arial" w:hAnsi="Arial" w:cs="Arial"/>
          <w:lang w:val="es-CO"/>
        </w:rPr>
        <w:t xml:space="preserve"> Para contribuyentes que ut</w:t>
      </w:r>
      <w:r>
        <w:rPr>
          <w:rFonts w:ascii="Arial" w:hAnsi="Arial" w:cs="Arial"/>
          <w:lang w:val="es-CO"/>
        </w:rPr>
        <w:t xml:space="preserve">ilicen el sistema de contabilidad de causación se considerará recibido el valor de la indemnización, para efectos fiscales, en el momento en que el derecho del asegurado o beneficiario al pago de la indemnización es reconocido expresamente por la compañía </w:t>
      </w:r>
      <w:r>
        <w:rPr>
          <w:rFonts w:ascii="Arial" w:hAnsi="Arial" w:cs="Arial"/>
          <w:lang w:val="es-CO"/>
        </w:rPr>
        <w:t>de seguros o, si hubiere controversia, sea reconocido judicialmente.</w:t>
      </w:r>
    </w:p>
    <w:p w14:paraId="64F1A502" w14:textId="77777777" w:rsidR="00B2442D" w:rsidRDefault="00B2442D">
      <w:pPr>
        <w:jc w:val="both"/>
        <w:rPr>
          <w:rFonts w:ascii="Arial" w:hAnsi="Arial" w:cs="Arial"/>
          <w:lang w:val="es-CO"/>
        </w:rPr>
      </w:pPr>
    </w:p>
    <w:p w14:paraId="25542EB8" w14:textId="77777777" w:rsidR="00B2442D" w:rsidRDefault="008A645F">
      <w:pPr>
        <w:jc w:val="both"/>
        <w:rPr>
          <w:rFonts w:ascii="Arial" w:hAnsi="Arial" w:cs="Arial"/>
          <w:lang w:val="es-CO"/>
        </w:rPr>
      </w:pPr>
      <w:r>
        <w:rPr>
          <w:rFonts w:ascii="Arial" w:hAnsi="Arial" w:cs="Arial"/>
          <w:lang w:val="es-CO"/>
        </w:rPr>
        <w:t>Para quienes no lleven contabilidad o la lleven por el sistema de caja, tal momento es aquel en que se produzca el pago efectivo de la indemnización.</w:t>
      </w:r>
    </w:p>
    <w:p w14:paraId="29911F63" w14:textId="77777777" w:rsidR="00B2442D" w:rsidRDefault="008A645F">
      <w:pPr>
        <w:tabs>
          <w:tab w:val="left" w:pos="1875"/>
        </w:tabs>
        <w:rPr>
          <w:rFonts w:ascii="Arial" w:hAnsi="Arial" w:cs="Arial"/>
          <w:i/>
          <w:lang w:val="es-CO"/>
        </w:rPr>
      </w:pPr>
      <w:r>
        <w:rPr>
          <w:rFonts w:ascii="Arial" w:hAnsi="Arial" w:cs="Arial"/>
          <w:i/>
          <w:lang w:val="es-CO"/>
        </w:rPr>
        <w:tab/>
      </w:r>
    </w:p>
    <w:p w14:paraId="3F6DEAF0" w14:textId="77777777" w:rsidR="00B2442D" w:rsidRDefault="008A645F">
      <w:pPr>
        <w:rPr>
          <w:rFonts w:ascii="Arial" w:hAnsi="Arial" w:cs="Arial"/>
          <w:i/>
          <w:lang w:val="es-CO"/>
        </w:rPr>
      </w:pPr>
      <w:r>
        <w:rPr>
          <w:rFonts w:ascii="Arial" w:hAnsi="Arial" w:cs="Arial"/>
          <w:i/>
          <w:lang w:val="es-CO"/>
        </w:rPr>
        <w:t>(Art. 40, Decreto 2595 de 1979)</w:t>
      </w:r>
    </w:p>
    <w:p w14:paraId="76DAC815" w14:textId="77777777" w:rsidR="00B2442D" w:rsidRDefault="00B2442D">
      <w:pPr>
        <w:jc w:val="both"/>
        <w:rPr>
          <w:rFonts w:ascii="Arial" w:hAnsi="Arial" w:cs="Arial"/>
          <w:lang w:val="es-CO"/>
        </w:rPr>
      </w:pPr>
    </w:p>
    <w:p w14:paraId="423AD819"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b/>
          <w:i/>
          <w:lang w:val="es-CO"/>
        </w:rPr>
        <w:t xml:space="preserve"> </w:t>
      </w:r>
      <w:r>
        <w:rPr>
          <w:rFonts w:ascii="Arial" w:hAnsi="Arial" w:cs="Arial"/>
          <w:b/>
          <w:i/>
          <w:lang w:val="es-CO"/>
        </w:rPr>
        <w:t>Indemnizaciones por seguros de daño.</w:t>
      </w:r>
      <w:r>
        <w:rPr>
          <w:rFonts w:ascii="Arial" w:hAnsi="Arial" w:cs="Arial"/>
          <w:lang w:val="es-CO"/>
        </w:rPr>
        <w:t xml:space="preserve"> En las indemnizaciones que se reciban por seguros de daño, no constituyen renta ni ganancia ocasional la suma que se recibe como daño emergente, hasta concurrencia del costo fiscal del bien objeto del seguro.</w:t>
      </w:r>
    </w:p>
    <w:p w14:paraId="66810455" w14:textId="77777777" w:rsidR="00B2442D" w:rsidRDefault="00B2442D">
      <w:pPr>
        <w:jc w:val="both"/>
        <w:rPr>
          <w:rFonts w:ascii="Arial" w:hAnsi="Arial" w:cs="Arial"/>
          <w:lang w:val="es-CO"/>
        </w:rPr>
      </w:pPr>
    </w:p>
    <w:p w14:paraId="7E901521" w14:textId="77777777" w:rsidR="00B2442D" w:rsidRDefault="008A645F">
      <w:pPr>
        <w:jc w:val="both"/>
        <w:rPr>
          <w:rFonts w:ascii="Arial" w:hAnsi="Arial" w:cs="Arial"/>
          <w:lang w:val="es-CO"/>
        </w:rPr>
      </w:pPr>
      <w:r>
        <w:rPr>
          <w:rFonts w:ascii="Arial" w:hAnsi="Arial" w:cs="Arial"/>
          <w:lang w:val="es-CO"/>
        </w:rPr>
        <w:t>Tampoco l</w:t>
      </w:r>
      <w:r>
        <w:rPr>
          <w:rFonts w:ascii="Arial" w:hAnsi="Arial" w:cs="Arial"/>
          <w:lang w:val="es-CO"/>
        </w:rPr>
        <w:t>o será la parte que exceda del costo fiscal, si el total de la indemnización se invierte en la forma que indica el artículo 1.2.1.12.3 del presente Decreto.</w:t>
      </w:r>
    </w:p>
    <w:p w14:paraId="78879489" w14:textId="77777777" w:rsidR="00B2442D" w:rsidRDefault="00B2442D">
      <w:pPr>
        <w:jc w:val="both"/>
        <w:rPr>
          <w:rFonts w:ascii="Arial" w:hAnsi="Arial" w:cs="Arial"/>
          <w:lang w:val="es-CO"/>
        </w:rPr>
      </w:pPr>
    </w:p>
    <w:p w14:paraId="045A4E39" w14:textId="77777777" w:rsidR="00B2442D" w:rsidRDefault="008A645F">
      <w:pPr>
        <w:jc w:val="both"/>
        <w:rPr>
          <w:rFonts w:ascii="Arial" w:hAnsi="Arial" w:cs="Arial"/>
          <w:lang w:val="es-CO"/>
        </w:rPr>
      </w:pPr>
      <w:r>
        <w:rPr>
          <w:rFonts w:ascii="Arial" w:hAnsi="Arial" w:cs="Arial"/>
          <w:lang w:val="es-CO"/>
        </w:rPr>
        <w:t xml:space="preserve">Si la pérdida fue deducida de utilidades obtenidas por el contribuyente, su </w:t>
      </w:r>
      <w:r>
        <w:rPr>
          <w:rFonts w:ascii="Arial" w:hAnsi="Arial" w:cs="Arial"/>
          <w:lang w:val="es-CO"/>
        </w:rPr>
        <w:t>recuperación constituirá renta líquida.</w:t>
      </w:r>
    </w:p>
    <w:p w14:paraId="17779D54" w14:textId="77777777" w:rsidR="00B2442D" w:rsidRDefault="00B2442D">
      <w:pPr>
        <w:jc w:val="both"/>
        <w:rPr>
          <w:rFonts w:ascii="Arial" w:hAnsi="Arial" w:cs="Arial"/>
          <w:i/>
          <w:lang w:val="es-CO"/>
        </w:rPr>
      </w:pPr>
    </w:p>
    <w:p w14:paraId="62DB50F7" w14:textId="77777777" w:rsidR="00B2442D" w:rsidRDefault="008A645F">
      <w:pPr>
        <w:jc w:val="both"/>
        <w:rPr>
          <w:rFonts w:ascii="Arial" w:hAnsi="Arial" w:cs="Arial"/>
          <w:i/>
          <w:lang w:val="es-CO"/>
        </w:rPr>
      </w:pPr>
      <w:r>
        <w:rPr>
          <w:rFonts w:ascii="Arial" w:hAnsi="Arial" w:cs="Arial"/>
          <w:i/>
          <w:lang w:val="es-CO"/>
        </w:rPr>
        <w:t>(Art. 30, Decreto 353 de 1984)</w:t>
      </w:r>
    </w:p>
    <w:p w14:paraId="12BE0F71" w14:textId="77777777" w:rsidR="00B2442D" w:rsidRDefault="00B2442D">
      <w:pPr>
        <w:jc w:val="both"/>
        <w:rPr>
          <w:rFonts w:ascii="Arial" w:hAnsi="Arial" w:cs="Arial"/>
          <w:lang w:val="es-CO"/>
        </w:rPr>
      </w:pPr>
    </w:p>
    <w:p w14:paraId="20631142"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Componente inflacionario de los rendimientos financieros percibidos durante el año gravable 2015, por personas naturales y sucesiones ilíquidas, no obligadas a llevar libros de cont</w:t>
      </w:r>
      <w:r>
        <w:rPr>
          <w:rFonts w:ascii="Arial" w:hAnsi="Arial" w:cs="Arial"/>
          <w:b/>
          <w:i/>
          <w:lang w:val="es-CO"/>
        </w:rPr>
        <w:t>abilidad.</w:t>
      </w:r>
      <w:r>
        <w:rPr>
          <w:rFonts w:ascii="Arial" w:hAnsi="Arial" w:cs="Arial"/>
          <w:lang w:val="es-CO"/>
        </w:rPr>
        <w:t xml:space="preserve"> No constituye renta ni ganancia ocasional por el año gravable 2015, el ciento por ciento (100.00%) del valor de los rendimientos financieros percibidos por personas naturales y sucesiones ilíquidas, no obligadas a llevar libros de contabilidad, d</w:t>
      </w:r>
      <w:r>
        <w:rPr>
          <w:rFonts w:ascii="Arial" w:hAnsi="Arial" w:cs="Arial"/>
          <w:lang w:val="es-CO"/>
        </w:rPr>
        <w:t>e conformidad con lo previsto en los artículos 38, 40-1 y 41 del Estatuto Tributario.</w:t>
      </w:r>
    </w:p>
    <w:p w14:paraId="1399D517" w14:textId="77777777" w:rsidR="00B2442D" w:rsidRDefault="00B2442D">
      <w:pPr>
        <w:pStyle w:val="Prrafodelista"/>
        <w:ind w:left="0"/>
        <w:jc w:val="both"/>
        <w:rPr>
          <w:rFonts w:ascii="Arial" w:hAnsi="Arial" w:cs="Arial"/>
          <w:lang w:val="es-CO"/>
        </w:rPr>
      </w:pPr>
    </w:p>
    <w:p w14:paraId="0F908B1B" w14:textId="77777777" w:rsidR="00B2442D" w:rsidRDefault="008A645F">
      <w:pPr>
        <w:jc w:val="both"/>
        <w:rPr>
          <w:rFonts w:ascii="Arial" w:hAnsi="Arial" w:cs="Arial"/>
          <w:i/>
          <w:lang w:val="es-CO"/>
        </w:rPr>
      </w:pPr>
      <w:r>
        <w:rPr>
          <w:rFonts w:ascii="Arial" w:hAnsi="Arial" w:cs="Arial"/>
          <w:i/>
          <w:lang w:val="es-CO"/>
        </w:rPr>
        <w:t>(Art. 1, Decreto 536 de 2016)</w:t>
      </w:r>
    </w:p>
    <w:p w14:paraId="373543AE" w14:textId="77777777" w:rsidR="00B2442D" w:rsidRDefault="00B2442D">
      <w:pPr>
        <w:pStyle w:val="Prrafodelista"/>
        <w:ind w:left="0"/>
        <w:jc w:val="both"/>
        <w:rPr>
          <w:rFonts w:ascii="Arial" w:hAnsi="Arial" w:cs="Arial"/>
          <w:lang w:val="es-CO"/>
        </w:rPr>
      </w:pPr>
    </w:p>
    <w:p w14:paraId="11723EE2" w14:textId="77777777" w:rsidR="00B2442D" w:rsidRDefault="008A645F">
      <w:pPr>
        <w:pStyle w:val="Prrafodelista"/>
        <w:numPr>
          <w:ilvl w:val="0"/>
          <w:numId w:val="27"/>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 xml:space="preserve">Componente inflacionario de los rendimientos financieros que distribuyan los Fondos de Inversión, Mutuos de Inversión y de </w:t>
      </w:r>
      <w:r>
        <w:rPr>
          <w:rFonts w:ascii="Arial" w:hAnsi="Arial" w:cs="Arial"/>
          <w:b/>
          <w:i/>
          <w:lang w:val="es-CO"/>
        </w:rPr>
        <w:t>Valores.</w:t>
      </w:r>
      <w:r>
        <w:rPr>
          <w:rFonts w:ascii="Arial" w:hAnsi="Arial" w:cs="Arial"/>
          <w:lang w:val="es-CO"/>
        </w:rPr>
        <w:t xml:space="preserve"> Para el año gravable 2015, las utilidades que los fondos mutuos de inversión, fondos de inversión y fondos de valores distribuyan o abonen en cuenta a sus afiliados, personas naturales y sucesiones ilíquidas, no obligadas a llevar contabilidad, no</w:t>
      </w:r>
      <w:r>
        <w:rPr>
          <w:rFonts w:ascii="Arial" w:hAnsi="Arial" w:cs="Arial"/>
          <w:lang w:val="es-CO"/>
        </w:rPr>
        <w:t xml:space="preserve"> constituye renta ni ganancia ocasional el ciento por ciento (100.00%), del valor de los rendimientos financieros recibidos por el fondo, correspondiente al componente inflacionario, de acuerdo con lo dispuesto en los artículos 39, 40-1 y 41 del Estatuto T</w:t>
      </w:r>
      <w:r>
        <w:rPr>
          <w:rFonts w:ascii="Arial" w:hAnsi="Arial" w:cs="Arial"/>
          <w:lang w:val="es-CO"/>
        </w:rPr>
        <w:t>ributario.</w:t>
      </w:r>
    </w:p>
    <w:p w14:paraId="66E32151" w14:textId="77777777" w:rsidR="00B2442D" w:rsidRDefault="00B2442D">
      <w:pPr>
        <w:pStyle w:val="Prrafodelista"/>
        <w:ind w:left="0"/>
        <w:jc w:val="both"/>
        <w:rPr>
          <w:rFonts w:ascii="Arial" w:hAnsi="Arial" w:cs="Arial"/>
          <w:lang w:val="es-CO"/>
        </w:rPr>
      </w:pPr>
    </w:p>
    <w:p w14:paraId="328209A0" w14:textId="77777777" w:rsidR="00B2442D" w:rsidRDefault="008A645F">
      <w:pPr>
        <w:jc w:val="both"/>
        <w:rPr>
          <w:rFonts w:ascii="Arial" w:hAnsi="Arial" w:cs="Arial"/>
          <w:i/>
          <w:lang w:val="es-CO"/>
        </w:rPr>
      </w:pPr>
      <w:r>
        <w:rPr>
          <w:rFonts w:ascii="Arial" w:hAnsi="Arial" w:cs="Arial"/>
          <w:i/>
          <w:lang w:val="es-CO"/>
        </w:rPr>
        <w:t>(Art. 2, Decreto 536 de 2016)</w:t>
      </w:r>
    </w:p>
    <w:p w14:paraId="41B819DD" w14:textId="77777777" w:rsidR="00B2442D" w:rsidRDefault="00B2442D">
      <w:pPr>
        <w:pStyle w:val="Prrafodelista"/>
        <w:ind w:left="0"/>
        <w:jc w:val="both"/>
        <w:rPr>
          <w:rFonts w:ascii="Arial" w:hAnsi="Arial" w:cs="Arial"/>
          <w:lang w:val="es-CO"/>
        </w:rPr>
      </w:pPr>
    </w:p>
    <w:p w14:paraId="4EC50BDA" w14:textId="77777777" w:rsidR="00B2442D" w:rsidRDefault="00B2442D">
      <w:pPr>
        <w:jc w:val="both"/>
        <w:rPr>
          <w:rFonts w:ascii="Arial" w:hAnsi="Arial" w:cs="Arial"/>
          <w:i/>
          <w:lang w:val="es-CO"/>
        </w:rPr>
      </w:pPr>
    </w:p>
    <w:p w14:paraId="7864787E" w14:textId="77777777" w:rsidR="00B2442D" w:rsidRDefault="008A645F">
      <w:pPr>
        <w:pStyle w:val="Ttulo4"/>
      </w:pPr>
      <w:r>
        <w:t>CAPÍTULO 13</w:t>
      </w:r>
    </w:p>
    <w:p w14:paraId="416F72DC" w14:textId="77777777" w:rsidR="00B2442D" w:rsidRDefault="008A645F">
      <w:pPr>
        <w:pStyle w:val="Ttulo4"/>
      </w:pPr>
      <w:r>
        <w:t>Reorganizaciones empresariales</w:t>
      </w:r>
    </w:p>
    <w:p w14:paraId="6B9629C7" w14:textId="77777777" w:rsidR="00B2442D" w:rsidRDefault="00B2442D">
      <w:pPr>
        <w:rPr>
          <w:rFonts w:ascii="Arial" w:hAnsi="Arial" w:cs="Arial"/>
        </w:rPr>
      </w:pPr>
    </w:p>
    <w:p w14:paraId="7ACD988C" w14:textId="77777777" w:rsidR="00B2442D" w:rsidRDefault="008A645F">
      <w:pPr>
        <w:pStyle w:val="Prrafodelista"/>
        <w:numPr>
          <w:ilvl w:val="0"/>
          <w:numId w:val="28"/>
        </w:numPr>
        <w:ind w:left="0" w:firstLine="0"/>
        <w:jc w:val="both"/>
        <w:rPr>
          <w:rFonts w:ascii="Arial" w:hAnsi="Arial" w:cs="Arial"/>
        </w:rPr>
      </w:pPr>
      <w:r>
        <w:rPr>
          <w:rFonts w:ascii="Arial" w:hAnsi="Arial" w:cs="Arial"/>
          <w:b/>
          <w:i/>
        </w:rPr>
        <w:t>Enajenación de acciones de sociedades listadas en una bolsa de valores colombiana resultado de una fusión o escisión adquisitiva o reorganizativa.</w:t>
      </w:r>
      <w:r>
        <w:rPr>
          <w:rFonts w:ascii="Arial" w:hAnsi="Arial" w:cs="Arial"/>
        </w:rPr>
        <w:t xml:space="preserve"> Para efectos de lo es</w:t>
      </w:r>
      <w:r>
        <w:rPr>
          <w:rFonts w:ascii="Arial" w:hAnsi="Arial" w:cs="Arial"/>
        </w:rPr>
        <w:t>tablecido en el literal d) del numeral 5 de los artículos 319-4 y 319-6 del Estatuto Tributario, respecto de las fusiones y escisiones adquisitivas y reorganizativas, cuando en el proceso de fusión o escisión intervengan sociedades listadas en una bolsa de</w:t>
      </w:r>
      <w:r>
        <w:rPr>
          <w:rFonts w:ascii="Arial" w:hAnsi="Arial" w:cs="Arial"/>
        </w:rPr>
        <w:t xml:space="preserve"> valores colombiana y sociedades no listadas al momento de la respectiva operación, y la sociedad resultante o beneficiaria se encuentre listada o se liste en una bolsa de valores colombiana, se aplicarán las siguientes reglas:</w:t>
      </w:r>
    </w:p>
    <w:p w14:paraId="3C622A5F" w14:textId="77777777" w:rsidR="00B2442D" w:rsidRDefault="00B2442D">
      <w:pPr>
        <w:jc w:val="both"/>
        <w:rPr>
          <w:rFonts w:ascii="Arial" w:hAnsi="Arial" w:cs="Arial"/>
        </w:rPr>
      </w:pPr>
    </w:p>
    <w:p w14:paraId="1D004D90" w14:textId="77777777" w:rsidR="00B2442D" w:rsidRDefault="008A645F">
      <w:pPr>
        <w:jc w:val="both"/>
        <w:rPr>
          <w:rFonts w:ascii="Arial" w:hAnsi="Arial" w:cs="Arial"/>
        </w:rPr>
      </w:pPr>
      <w:r>
        <w:rPr>
          <w:rFonts w:ascii="Arial" w:hAnsi="Arial" w:cs="Arial"/>
        </w:rPr>
        <w:t>a)</w:t>
      </w:r>
      <w:r>
        <w:rPr>
          <w:rFonts w:ascii="Arial" w:hAnsi="Arial" w:cs="Arial"/>
        </w:rPr>
        <w:tab/>
        <w:t>No constituye renta ni g</w:t>
      </w:r>
      <w:r>
        <w:rPr>
          <w:rFonts w:ascii="Arial" w:hAnsi="Arial" w:cs="Arial"/>
        </w:rPr>
        <w:t>anancia ocasional en los términos del inciso 2° del artículo 36-1 del Estatuto Tributario, la utilidad que obtengan los accionistas de la sociedad resultante que eran accionistas de las sociedades que al momento de la operación se encontraban listadas en u</w:t>
      </w:r>
      <w:r>
        <w:rPr>
          <w:rFonts w:ascii="Arial" w:hAnsi="Arial" w:cs="Arial"/>
        </w:rPr>
        <w:t>na bolsa de valores colombiana, que enajenen su participación en la sociedad resultante antes de que finalice el segundo año gravable siguiente al año gravable en el cual se perfeccione la operación de fusión o escisión. En consecuencia, no habrá lugar a l</w:t>
      </w:r>
      <w:r>
        <w:rPr>
          <w:rFonts w:ascii="Arial" w:hAnsi="Arial" w:cs="Arial"/>
        </w:rPr>
        <w:t>a liquidación del impuesto sobre la renta y complementario de que tratan el literal d) del numeral 5 de los artículos 319-4 y 319-6 del Estatuto Tributario. Respecto de los demás socios o accionistas y de las entidades participantes en la operación de fusi</w:t>
      </w:r>
      <w:r>
        <w:rPr>
          <w:rFonts w:ascii="Arial" w:hAnsi="Arial" w:cs="Arial"/>
        </w:rPr>
        <w:t>ón o escisión, esta seguirá considerándose neutra para efectos fiscales, siempre que se cumplan los demás requisitos previstos en la ley.</w:t>
      </w:r>
    </w:p>
    <w:p w14:paraId="2FAC58FE" w14:textId="77777777" w:rsidR="00B2442D" w:rsidRDefault="00B2442D">
      <w:pPr>
        <w:jc w:val="both"/>
        <w:rPr>
          <w:rFonts w:ascii="Arial" w:hAnsi="Arial" w:cs="Arial"/>
        </w:rPr>
      </w:pPr>
    </w:p>
    <w:p w14:paraId="01DECD49" w14:textId="77777777" w:rsidR="00B2442D" w:rsidRDefault="008A645F">
      <w:pPr>
        <w:jc w:val="both"/>
        <w:rPr>
          <w:rFonts w:ascii="Arial" w:hAnsi="Arial" w:cs="Arial"/>
        </w:rPr>
      </w:pPr>
      <w:r>
        <w:rPr>
          <w:rFonts w:ascii="Arial" w:hAnsi="Arial" w:cs="Arial"/>
        </w:rPr>
        <w:t>b)</w:t>
      </w:r>
      <w:r>
        <w:rPr>
          <w:rFonts w:ascii="Arial" w:hAnsi="Arial" w:cs="Arial"/>
        </w:rPr>
        <w:tab/>
        <w:t>Constituye renta o ganancia ocasional gravable; en los términos del literal d) del numeral 5 de los artículos 319-</w:t>
      </w:r>
      <w:r>
        <w:rPr>
          <w:rFonts w:ascii="Arial" w:hAnsi="Arial" w:cs="Arial"/>
        </w:rPr>
        <w:t>4 y 319-6 del Estatuto Tributario, la utilidad que obtengan los accionistas de la sociedad resultante que eran accionistas de las sociedades que al momento de la operación no se encontraban listadas en una bolsa de valores colombiana, que enajenen, total o</w:t>
      </w:r>
      <w:r>
        <w:rPr>
          <w:rFonts w:ascii="Arial" w:hAnsi="Arial" w:cs="Arial"/>
        </w:rPr>
        <w:t xml:space="preserve"> parcialmente su participación en la sociedad resultante antes de que finalice el segundo año gravable siguiente al año gravable en el cual se perfeccione operación de fusión o escisión. Respecto de los demás socios o accionistas y de las entidades partici</w:t>
      </w:r>
      <w:r>
        <w:rPr>
          <w:rFonts w:ascii="Arial" w:hAnsi="Arial" w:cs="Arial"/>
        </w:rPr>
        <w:t>pantes en la operación de fusión o escisión, seguirá considerándose neutra para efectos fiscales, siempre que se cumplan los demás requisitos previstos en la ley.</w:t>
      </w:r>
    </w:p>
    <w:p w14:paraId="5B762829" w14:textId="77777777" w:rsidR="00B2442D" w:rsidRDefault="00B2442D">
      <w:pPr>
        <w:jc w:val="both"/>
        <w:rPr>
          <w:rFonts w:ascii="Arial" w:hAnsi="Arial" w:cs="Arial"/>
        </w:rPr>
      </w:pPr>
    </w:p>
    <w:p w14:paraId="5EEF810A" w14:textId="77777777" w:rsidR="00B2442D" w:rsidRDefault="008A645F">
      <w:pPr>
        <w:jc w:val="both"/>
        <w:rPr>
          <w:rFonts w:ascii="Arial" w:hAnsi="Arial" w:cs="Arial"/>
          <w:i/>
        </w:rPr>
      </w:pPr>
      <w:r>
        <w:rPr>
          <w:rFonts w:ascii="Arial" w:hAnsi="Arial" w:cs="Arial"/>
          <w:i/>
        </w:rPr>
        <w:t>(Art. 1, Decreto 2688 de 2014)</w:t>
      </w:r>
    </w:p>
    <w:p w14:paraId="25364CCD" w14:textId="77777777" w:rsidR="00B2442D" w:rsidRDefault="00B2442D">
      <w:pPr>
        <w:jc w:val="both"/>
        <w:rPr>
          <w:rFonts w:ascii="Arial" w:hAnsi="Arial" w:cs="Arial"/>
        </w:rPr>
      </w:pPr>
    </w:p>
    <w:p w14:paraId="2F2D2B17" w14:textId="77777777" w:rsidR="00B2442D" w:rsidRDefault="008A645F">
      <w:pPr>
        <w:pStyle w:val="Prrafodelista"/>
        <w:numPr>
          <w:ilvl w:val="0"/>
          <w:numId w:val="28"/>
        </w:numPr>
        <w:ind w:left="0" w:firstLine="0"/>
        <w:jc w:val="both"/>
        <w:rPr>
          <w:rFonts w:ascii="Arial" w:hAnsi="Arial" w:cs="Arial"/>
        </w:rPr>
      </w:pPr>
      <w:r>
        <w:rPr>
          <w:rFonts w:ascii="Arial" w:hAnsi="Arial" w:cs="Arial"/>
          <w:b/>
          <w:i/>
        </w:rPr>
        <w:t>Fracciones de acción resultantes de los procesos de fusión y</w:t>
      </w:r>
      <w:r>
        <w:rPr>
          <w:rFonts w:ascii="Arial" w:hAnsi="Arial" w:cs="Arial"/>
          <w:b/>
          <w:i/>
        </w:rPr>
        <w:t xml:space="preserve"> escisión.</w:t>
      </w:r>
      <w:r>
        <w:rPr>
          <w:rFonts w:ascii="Arial" w:hAnsi="Arial" w:cs="Arial"/>
        </w:rPr>
        <w:t xml:space="preserve"> Cuando en un proceso de fusión o escisión, de acuerdo con el mecanismo de intercambio, surjan fracciones de acción, y estas se paguen en dinero u otras especies y dichos pagos representen más del diez por ciento (10%) de las acciones o participa</w:t>
      </w:r>
      <w:r>
        <w:rPr>
          <w:rFonts w:ascii="Arial" w:hAnsi="Arial" w:cs="Arial"/>
        </w:rPr>
        <w:t xml:space="preserve">ciones de las entidades resultantes o beneficiarias que reciba el socio, accionista o partícipe correspondiente, en el caso de las fusiones y escisiones adquisitivas; o del uno por ciento (1%) de las acciones o participaciones de las entidades resultantes </w:t>
      </w:r>
      <w:r>
        <w:rPr>
          <w:rFonts w:ascii="Arial" w:hAnsi="Arial" w:cs="Arial"/>
        </w:rPr>
        <w:t>o beneficiarias que reciba el socio, accionista o partícipe correspondiente, en el caso de las fusiones y escisiones reorganizativas; se entenderá que los respectivos socios o accionistas enajenaron sus acciones o participaciones en los términos del litera</w:t>
      </w:r>
      <w:r>
        <w:rPr>
          <w:rFonts w:ascii="Arial" w:hAnsi="Arial" w:cs="Arial"/>
        </w:rPr>
        <w:t>l f) del numeral 5 de los artículos 319-4 y 319-6 del Estatuto Tributario sin que ello implique que la operación se trate como gravada respecto de las entidades participantes y los accionistas que recibieron acciones en los términos del literal c) del nume</w:t>
      </w:r>
      <w:r>
        <w:rPr>
          <w:rFonts w:ascii="Arial" w:hAnsi="Arial" w:cs="Arial"/>
        </w:rPr>
        <w:t>ral 5 de los artículos 319-4 y 319-6 del Estatuto Tributario.</w:t>
      </w:r>
    </w:p>
    <w:p w14:paraId="72DAEA4B" w14:textId="77777777" w:rsidR="00B2442D" w:rsidRDefault="00B2442D">
      <w:pPr>
        <w:jc w:val="both"/>
        <w:rPr>
          <w:rFonts w:ascii="Arial" w:hAnsi="Arial" w:cs="Arial"/>
        </w:rPr>
      </w:pPr>
    </w:p>
    <w:p w14:paraId="535B3063" w14:textId="77777777" w:rsidR="00B2442D" w:rsidRDefault="008A645F">
      <w:pPr>
        <w:jc w:val="both"/>
        <w:rPr>
          <w:rFonts w:ascii="Arial" w:hAnsi="Arial" w:cs="Arial"/>
          <w:i/>
        </w:rPr>
      </w:pPr>
      <w:r>
        <w:rPr>
          <w:rFonts w:ascii="Arial" w:hAnsi="Arial" w:cs="Arial"/>
          <w:i/>
        </w:rPr>
        <w:t>(Art. 2, Decreto 2688 de 2014)</w:t>
      </w:r>
    </w:p>
    <w:p w14:paraId="6C5C2A97" w14:textId="77777777" w:rsidR="00B2442D" w:rsidRDefault="00B2442D">
      <w:pPr>
        <w:jc w:val="both"/>
        <w:rPr>
          <w:rFonts w:ascii="Arial" w:hAnsi="Arial" w:cs="Arial"/>
          <w:i/>
          <w:lang w:val="es-CO"/>
        </w:rPr>
      </w:pPr>
    </w:p>
    <w:p w14:paraId="26DAE0E3" w14:textId="77777777" w:rsidR="00B2442D" w:rsidRDefault="008A645F">
      <w:pPr>
        <w:pStyle w:val="Ttulo4"/>
      </w:pPr>
      <w:r>
        <w:t>CAPÍTULO 14</w:t>
      </w:r>
    </w:p>
    <w:p w14:paraId="35F22C06" w14:textId="77777777" w:rsidR="00B2442D" w:rsidRDefault="008A645F">
      <w:pPr>
        <w:pStyle w:val="Ttulo4"/>
      </w:pPr>
      <w:r>
        <w:t>Rentas y ganancias ocasionales atribuibles a establecimientos permanentes y sucursales</w:t>
      </w:r>
    </w:p>
    <w:p w14:paraId="268FA791" w14:textId="77777777" w:rsidR="00B2442D" w:rsidRDefault="00B2442D">
      <w:pPr>
        <w:rPr>
          <w:rFonts w:ascii="Arial" w:hAnsi="Arial" w:cs="Arial"/>
        </w:rPr>
      </w:pPr>
    </w:p>
    <w:p w14:paraId="701C20CB"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 xml:space="preserve">Rentas y ganancias ocasionales atribuibles a </w:t>
      </w:r>
      <w:r>
        <w:rPr>
          <w:rFonts w:ascii="Arial" w:hAnsi="Arial" w:cs="Arial"/>
          <w:b/>
          <w:i/>
          <w:lang w:val="es-CO"/>
        </w:rPr>
        <w:t>establecimientos permanentes y sucursales.</w:t>
      </w:r>
      <w:r>
        <w:rPr>
          <w:rFonts w:ascii="Arial" w:hAnsi="Arial" w:cs="Arial"/>
          <w:lang w:val="es-CO"/>
        </w:rPr>
        <w:t xml:space="preserve"> De conformidad con lo establecido en el artículo 20-2 del Estatuto Tributario, las rentas y ganancias ocasionales atribuibles a un establecimiento permanente o sucursal en Colombia son aquellas que el establecimie</w:t>
      </w:r>
      <w:r>
        <w:rPr>
          <w:rFonts w:ascii="Arial" w:hAnsi="Arial" w:cs="Arial"/>
          <w:lang w:val="es-CO"/>
        </w:rPr>
        <w:t>nto permanente o sucursal habría podido obtener, de acuerdo con el Principio de Plena Competencia, si fuera una empresa separada e independiente de aquella empresa de la que forma parte, ya sea que dichas rentas y ganancias ocasionales provengan de hechos,</w:t>
      </w:r>
      <w:r>
        <w:rPr>
          <w:rFonts w:ascii="Arial" w:hAnsi="Arial" w:cs="Arial"/>
          <w:lang w:val="es-CO"/>
        </w:rPr>
        <w:t xml:space="preserve"> actos u operaciones entre el establecimiento permanente o sucursal en Colombia con otra empresa, persona natural, sociedad o entidad, o de sus operaciones internas con otras partes de la misma empresa de la que es establecimiento permanente o sucursal. Pa</w:t>
      </w:r>
      <w:r>
        <w:rPr>
          <w:rFonts w:ascii="Arial" w:hAnsi="Arial" w:cs="Arial"/>
          <w:lang w:val="es-CO"/>
        </w:rPr>
        <w:t>ra estos efectos, se deberán tener en cuenta las funciones desarrolladas, los activos utilizados, el personal involucrado y los riesgos asumidos por la empresa a través del establecimiento permanente o sucursal, así como por otras partes de la empresa de l</w:t>
      </w:r>
      <w:r>
        <w:rPr>
          <w:rFonts w:ascii="Arial" w:hAnsi="Arial" w:cs="Arial"/>
          <w:lang w:val="es-CO"/>
        </w:rPr>
        <w:t>a que el establecimiento permanente o sucursal forma parte.</w:t>
      </w:r>
    </w:p>
    <w:p w14:paraId="0222F1A7" w14:textId="77777777" w:rsidR="00B2442D" w:rsidRDefault="00B2442D">
      <w:pPr>
        <w:jc w:val="both"/>
        <w:rPr>
          <w:rFonts w:ascii="Arial" w:hAnsi="Arial" w:cs="Arial"/>
          <w:lang w:val="es-CO"/>
        </w:rPr>
      </w:pPr>
    </w:p>
    <w:p w14:paraId="119D4859" w14:textId="77777777" w:rsidR="00B2442D" w:rsidRDefault="008A645F">
      <w:pPr>
        <w:jc w:val="both"/>
        <w:rPr>
          <w:rFonts w:ascii="Arial" w:hAnsi="Arial" w:cs="Arial"/>
          <w:i/>
          <w:lang w:val="es-CO"/>
        </w:rPr>
      </w:pPr>
      <w:r>
        <w:rPr>
          <w:rFonts w:ascii="Arial" w:hAnsi="Arial" w:cs="Arial"/>
          <w:i/>
          <w:lang w:val="es-CO"/>
        </w:rPr>
        <w:t>(Art. 11, Decreto 3026 de 2013)</w:t>
      </w:r>
    </w:p>
    <w:p w14:paraId="59ED260C" w14:textId="77777777" w:rsidR="00B2442D" w:rsidRDefault="00B2442D">
      <w:pPr>
        <w:jc w:val="both"/>
        <w:rPr>
          <w:rFonts w:ascii="Arial" w:hAnsi="Arial" w:cs="Arial"/>
          <w:lang w:val="es-CO"/>
        </w:rPr>
      </w:pPr>
    </w:p>
    <w:p w14:paraId="79D96F2D"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Estudio para la atribución de las rentas y ganancias ocasionales a establecimientos permanentes y sucursales.</w:t>
      </w:r>
      <w:r>
        <w:rPr>
          <w:rFonts w:ascii="Arial" w:hAnsi="Arial" w:cs="Arial"/>
          <w:lang w:val="es-CO"/>
        </w:rPr>
        <w:t xml:space="preserve"> De conformidad con lo establecido en el artículo 20-</w:t>
      </w:r>
      <w:r>
        <w:rPr>
          <w:rFonts w:ascii="Arial" w:hAnsi="Arial" w:cs="Arial"/>
          <w:lang w:val="es-CO"/>
        </w:rPr>
        <w:t xml:space="preserve">2 del Estatuto Tributario, para efectos de la determinación de los activos, pasivos, capital, ingresos, costos y gastos atribuibles a un establecimiento permanente o sucursal durante un año o periodo gravable, se deberá elaborar un estudio, de acuerdo con </w:t>
      </w:r>
      <w:r>
        <w:rPr>
          <w:rFonts w:ascii="Arial" w:hAnsi="Arial" w:cs="Arial"/>
          <w:lang w:val="es-CO"/>
        </w:rPr>
        <w:t>el Principio de Plena Competencia, en el cual se tengan en cuenta las funciones, activos, personal y riesgos  asumidos por la empresa a través del establecimiento permanente o sucursal y de las otras partes de la empresa de la que el establecimiento perman</w:t>
      </w:r>
      <w:r>
        <w:rPr>
          <w:rFonts w:ascii="Arial" w:hAnsi="Arial" w:cs="Arial"/>
          <w:lang w:val="es-CO"/>
        </w:rPr>
        <w:t>ente o sucursal forma parte, en la obtención de rentas y de ganancias ocasionales.</w:t>
      </w:r>
    </w:p>
    <w:p w14:paraId="258B02DE" w14:textId="77777777" w:rsidR="00B2442D" w:rsidRDefault="00B2442D">
      <w:pPr>
        <w:jc w:val="both"/>
        <w:rPr>
          <w:rFonts w:ascii="Arial" w:hAnsi="Arial" w:cs="Arial"/>
          <w:lang w:val="es-CO"/>
        </w:rPr>
      </w:pPr>
    </w:p>
    <w:p w14:paraId="60F9B951" w14:textId="77777777" w:rsidR="00B2442D" w:rsidRDefault="008A645F">
      <w:pPr>
        <w:jc w:val="both"/>
        <w:rPr>
          <w:rFonts w:ascii="Arial" w:hAnsi="Arial" w:cs="Arial"/>
          <w:lang w:val="es-CO"/>
        </w:rPr>
      </w:pPr>
      <w:r>
        <w:rPr>
          <w:rFonts w:ascii="Arial" w:hAnsi="Arial" w:cs="Arial"/>
          <w:lang w:val="es-CO"/>
        </w:rPr>
        <w:t>En el estudio al que se refiere este artículo, consistente en un análisis funcional y fáctico. Se deberá incluir:</w:t>
      </w:r>
    </w:p>
    <w:p w14:paraId="67473AE1" w14:textId="77777777" w:rsidR="00B2442D" w:rsidRDefault="00B2442D">
      <w:pPr>
        <w:jc w:val="both"/>
        <w:rPr>
          <w:rFonts w:ascii="Arial" w:hAnsi="Arial" w:cs="Arial"/>
          <w:lang w:val="es-CO"/>
        </w:rPr>
      </w:pPr>
    </w:p>
    <w:p w14:paraId="32AABD81"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r>
      <w:r>
        <w:rPr>
          <w:rFonts w:ascii="Arial" w:hAnsi="Arial" w:cs="Arial"/>
          <w:lang w:val="es-CO"/>
        </w:rPr>
        <w:t xml:space="preserve"> La atribución al establecimiento permanente o sucursal de los derechos y obligaciones derivados de las operaciones entre la empresa de la que forma parte y empresas independientes;</w:t>
      </w:r>
    </w:p>
    <w:p w14:paraId="5B34C9B0" w14:textId="77777777" w:rsidR="00B2442D" w:rsidRDefault="00B2442D">
      <w:pPr>
        <w:ind w:left="284" w:hanging="284"/>
        <w:jc w:val="both"/>
        <w:rPr>
          <w:rFonts w:ascii="Arial" w:hAnsi="Arial" w:cs="Arial"/>
          <w:lang w:val="es-CO"/>
        </w:rPr>
      </w:pPr>
    </w:p>
    <w:p w14:paraId="132A5E4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La identificación de las funciones significativas desarrolladas por e</w:t>
      </w:r>
      <w:r>
        <w:rPr>
          <w:rFonts w:ascii="Arial" w:hAnsi="Arial" w:cs="Arial"/>
          <w:lang w:val="es-CO"/>
        </w:rPr>
        <w:t>l personal que sean relevantes para hacer la atribución de la propiedad económica de los activos, así como la atribución misma de la propiedad económica de los activos al establecimiento permanente o sucursal;</w:t>
      </w:r>
    </w:p>
    <w:p w14:paraId="5B6E73A6" w14:textId="77777777" w:rsidR="00B2442D" w:rsidRDefault="00B2442D">
      <w:pPr>
        <w:ind w:left="284" w:hanging="284"/>
        <w:jc w:val="both"/>
        <w:rPr>
          <w:rFonts w:ascii="Arial" w:hAnsi="Arial" w:cs="Arial"/>
          <w:lang w:val="es-CO"/>
        </w:rPr>
      </w:pPr>
    </w:p>
    <w:p w14:paraId="37577C33"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La identificación de las funciones signif</w:t>
      </w:r>
      <w:r>
        <w:rPr>
          <w:rFonts w:ascii="Arial" w:hAnsi="Arial" w:cs="Arial"/>
          <w:lang w:val="es-CO"/>
        </w:rPr>
        <w:t>icativas desarrolladas por el personal que sean relevantes en relación con la asunción del riesgo y la atribución misma de los riesgos al establecimiento permanente o sucursal;</w:t>
      </w:r>
    </w:p>
    <w:p w14:paraId="324482A6" w14:textId="77777777" w:rsidR="00B2442D" w:rsidRDefault="00B2442D">
      <w:pPr>
        <w:ind w:left="284" w:hanging="284"/>
        <w:jc w:val="both"/>
        <w:rPr>
          <w:rFonts w:ascii="Arial" w:hAnsi="Arial" w:cs="Arial"/>
          <w:lang w:val="es-CO"/>
        </w:rPr>
      </w:pPr>
    </w:p>
    <w:p w14:paraId="0954F72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La identificación de otras funciones del establecimiento permanente o sucu</w:t>
      </w:r>
      <w:r>
        <w:rPr>
          <w:rFonts w:ascii="Arial" w:hAnsi="Arial" w:cs="Arial"/>
          <w:lang w:val="es-CO"/>
        </w:rPr>
        <w:t>rsal;</w:t>
      </w:r>
    </w:p>
    <w:p w14:paraId="1B99FBF1" w14:textId="77777777" w:rsidR="00B2442D" w:rsidRDefault="00B2442D">
      <w:pPr>
        <w:ind w:left="284" w:hanging="284"/>
        <w:jc w:val="both"/>
        <w:rPr>
          <w:rFonts w:ascii="Arial" w:hAnsi="Arial" w:cs="Arial"/>
          <w:lang w:val="es-CO"/>
        </w:rPr>
      </w:pPr>
    </w:p>
    <w:p w14:paraId="7D631A8C"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La consideración y determinación de la naturaleza de las operaciones internas entre el establecimiento permanente o sucursal y otras partes de la misma empresa; y</w:t>
      </w:r>
    </w:p>
    <w:p w14:paraId="5DFE706F" w14:textId="77777777" w:rsidR="00B2442D" w:rsidRDefault="00B2442D">
      <w:pPr>
        <w:ind w:left="284" w:hanging="284"/>
        <w:jc w:val="both"/>
        <w:rPr>
          <w:rFonts w:ascii="Arial" w:hAnsi="Arial" w:cs="Arial"/>
          <w:lang w:val="es-CO"/>
        </w:rPr>
      </w:pPr>
    </w:p>
    <w:p w14:paraId="052C2AAB"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 xml:space="preserve">La atribución de capital al establecimiento permanente o sucursal con base en </w:t>
      </w:r>
      <w:r>
        <w:rPr>
          <w:rFonts w:ascii="Arial" w:hAnsi="Arial" w:cs="Arial"/>
          <w:lang w:val="es-CO"/>
        </w:rPr>
        <w:t>los activos y riesgos atribuidos al establecimiento permanente o sucursal.</w:t>
      </w:r>
    </w:p>
    <w:p w14:paraId="0A6D9B85" w14:textId="77777777" w:rsidR="00B2442D" w:rsidRDefault="00B2442D">
      <w:pPr>
        <w:jc w:val="both"/>
        <w:rPr>
          <w:rFonts w:ascii="Arial" w:hAnsi="Arial" w:cs="Arial"/>
          <w:b/>
          <w:lang w:val="es-CO"/>
        </w:rPr>
      </w:pPr>
    </w:p>
    <w:p w14:paraId="29F3F60A" w14:textId="77777777" w:rsidR="00B2442D" w:rsidRDefault="008A645F">
      <w:pPr>
        <w:jc w:val="both"/>
        <w:rPr>
          <w:rFonts w:ascii="Arial" w:hAnsi="Arial" w:cs="Arial"/>
          <w:i/>
          <w:lang w:val="es-CO"/>
        </w:rPr>
      </w:pPr>
      <w:r>
        <w:rPr>
          <w:rFonts w:ascii="Arial" w:hAnsi="Arial" w:cs="Arial"/>
          <w:i/>
          <w:lang w:val="es-CO"/>
        </w:rPr>
        <w:t>(Art. 12, Decreto 3026 de 2013)</w:t>
      </w:r>
    </w:p>
    <w:p w14:paraId="0F32A45E" w14:textId="77777777" w:rsidR="00B2442D" w:rsidRDefault="00B2442D">
      <w:pPr>
        <w:jc w:val="both"/>
        <w:rPr>
          <w:rFonts w:ascii="Arial" w:hAnsi="Arial" w:cs="Arial"/>
          <w:b/>
          <w:lang w:val="es-CO"/>
        </w:rPr>
      </w:pPr>
    </w:p>
    <w:p w14:paraId="24D86F9C"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Contabilidad separada para la atribución de las rentas y ganancias ocasionales a establecimientos permanentes y sucursales de sociedades y entidade</w:t>
      </w:r>
      <w:r>
        <w:rPr>
          <w:rFonts w:ascii="Arial" w:hAnsi="Arial" w:cs="Arial"/>
          <w:b/>
          <w:i/>
          <w:lang w:val="es-CO"/>
        </w:rPr>
        <w:t>s extranjeras.</w:t>
      </w:r>
      <w:r>
        <w:rPr>
          <w:rFonts w:ascii="Arial" w:hAnsi="Arial" w:cs="Arial"/>
          <w:lang w:val="es-CO"/>
        </w:rPr>
        <w:t xml:space="preserve"> Para efectos exclusivamente fiscales y para los propósitos de la atribución de rentas y ganancias ocasionales a los establecimientos permanentes y sucursales, de conformidad con lo previsto en el parágrafo del artículo 20-2 del Estatuto Trib</w:t>
      </w:r>
      <w:r>
        <w:rPr>
          <w:rFonts w:ascii="Arial" w:hAnsi="Arial" w:cs="Arial"/>
          <w:lang w:val="es-CO"/>
        </w:rPr>
        <w:t>utario, las sociedades y entidades extranjeras con establecimientos permanentes y/o sucursal en Colombia deberán llevar una contabilidad separada por cada establecimiento permanente y/o sucursal que tengan en el país.</w:t>
      </w:r>
    </w:p>
    <w:p w14:paraId="1E3E75C3" w14:textId="77777777" w:rsidR="00B2442D" w:rsidRDefault="00B2442D">
      <w:pPr>
        <w:jc w:val="both"/>
        <w:rPr>
          <w:rFonts w:ascii="Arial" w:hAnsi="Arial" w:cs="Arial"/>
          <w:lang w:val="es-CO"/>
        </w:rPr>
      </w:pPr>
    </w:p>
    <w:p w14:paraId="5D387542" w14:textId="77777777" w:rsidR="00B2442D" w:rsidRDefault="008A645F">
      <w:pPr>
        <w:jc w:val="both"/>
        <w:rPr>
          <w:rFonts w:ascii="Arial" w:hAnsi="Arial" w:cs="Arial"/>
          <w:lang w:val="es-CO"/>
        </w:rPr>
      </w:pPr>
      <w:r>
        <w:rPr>
          <w:rFonts w:ascii="Arial" w:hAnsi="Arial" w:cs="Arial"/>
          <w:lang w:val="es-CO"/>
        </w:rPr>
        <w:t xml:space="preserve">La contabilidad a la que se </w:t>
      </w:r>
      <w:r>
        <w:rPr>
          <w:rFonts w:ascii="Arial" w:hAnsi="Arial" w:cs="Arial"/>
          <w:lang w:val="es-CO"/>
        </w:rPr>
        <w:t>refiere este artículo debe estar debidamente soportada en el estudio al que se refiere el artículo anterior y en los documentos que sirvan de soporte externo de las operaciones, actos y hechos registrados en la misma. En dicha contabilidad deberán registra</w:t>
      </w:r>
      <w:r>
        <w:rPr>
          <w:rFonts w:ascii="Arial" w:hAnsi="Arial" w:cs="Arial"/>
          <w:lang w:val="es-CO"/>
        </w:rPr>
        <w:t>rse las rentas y ganancias ocasionales atribuidas a los establecimientos permanentes y sucursal que provengan de operaciones realizadas tanto con empresas independientes como con empresas vinculadas, así como las relativas a operaciones internas tales como</w:t>
      </w:r>
      <w:r>
        <w:rPr>
          <w:rFonts w:ascii="Arial" w:hAnsi="Arial" w:cs="Arial"/>
          <w:lang w:val="es-CO"/>
        </w:rPr>
        <w:t xml:space="preserve"> el reconocimiento de capital, pasivos, derechos, obligaciones, la atribución de la propiedad económica de activos usados por el establecimiento permanente con su consecuente depreciación o amortización cuando haya lugar a ello.</w:t>
      </w:r>
    </w:p>
    <w:p w14:paraId="59F74063" w14:textId="77777777" w:rsidR="00B2442D" w:rsidRDefault="00B2442D">
      <w:pPr>
        <w:jc w:val="both"/>
        <w:rPr>
          <w:rFonts w:ascii="Arial" w:hAnsi="Arial" w:cs="Arial"/>
          <w:lang w:val="es-CO"/>
        </w:rPr>
      </w:pPr>
    </w:p>
    <w:p w14:paraId="7D6E06E1"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Para el regi</w:t>
      </w:r>
      <w:r>
        <w:rPr>
          <w:rFonts w:ascii="Arial" w:hAnsi="Arial" w:cs="Arial"/>
          <w:lang w:val="es-CO"/>
        </w:rPr>
        <w:t>stro en la contabilidad separada de las operaciones que le sean atribuidas al establecimiento permanente o sucursal, se aplicarán las normas contenidas en el Estatuto Tributario sobre realización de ingresos, costos y deducciones.</w:t>
      </w:r>
    </w:p>
    <w:p w14:paraId="010ADBAE" w14:textId="77777777" w:rsidR="00B2442D" w:rsidRDefault="00B2442D">
      <w:pPr>
        <w:jc w:val="both"/>
        <w:rPr>
          <w:rFonts w:ascii="Arial" w:hAnsi="Arial" w:cs="Arial"/>
          <w:lang w:val="es-CO"/>
        </w:rPr>
      </w:pPr>
    </w:p>
    <w:p w14:paraId="189A5218"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Para los e</w:t>
      </w:r>
      <w:r>
        <w:rPr>
          <w:rFonts w:ascii="Arial" w:hAnsi="Arial" w:cs="Arial"/>
          <w:lang w:val="es-CO"/>
        </w:rPr>
        <w:t>fectos consagrados en el presente artículo, y con el fin de facilitar su reconocimiento e identificación, las operaciones internas que le sean atribuidas al establecimiento permanente o sucursal deben estar igualmente soportadas en documentos, iguales o si</w:t>
      </w:r>
      <w:r>
        <w:rPr>
          <w:rFonts w:ascii="Arial" w:hAnsi="Arial" w:cs="Arial"/>
          <w:lang w:val="es-CO"/>
        </w:rPr>
        <w:t>milares a los que usualmente habría en los casos de operaciones realizadas entre partes jurídicamente diferentes. Dichos documentos soporte deben, además, ser el reflejo del estudio al que se refiere el artículo anterior.</w:t>
      </w:r>
    </w:p>
    <w:p w14:paraId="734C18D1" w14:textId="77777777" w:rsidR="00B2442D" w:rsidRDefault="00B2442D">
      <w:pPr>
        <w:jc w:val="both"/>
        <w:rPr>
          <w:rFonts w:ascii="Arial" w:hAnsi="Arial" w:cs="Arial"/>
          <w:lang w:val="es-CO"/>
        </w:rPr>
      </w:pPr>
    </w:p>
    <w:p w14:paraId="4960F4D0" w14:textId="77777777" w:rsidR="00B2442D" w:rsidRDefault="008A645F">
      <w:pPr>
        <w:jc w:val="both"/>
        <w:rPr>
          <w:rFonts w:ascii="Arial" w:hAnsi="Arial" w:cs="Arial"/>
          <w:i/>
          <w:lang w:val="es-CO"/>
        </w:rPr>
      </w:pPr>
      <w:r>
        <w:rPr>
          <w:rFonts w:ascii="Arial" w:hAnsi="Arial" w:cs="Arial"/>
          <w:i/>
          <w:lang w:val="es-CO"/>
        </w:rPr>
        <w:t>(Art. 13, Decreto 3026 de 2013)</w:t>
      </w:r>
    </w:p>
    <w:p w14:paraId="279C9A91" w14:textId="77777777" w:rsidR="00B2442D" w:rsidRDefault="00B2442D">
      <w:pPr>
        <w:jc w:val="both"/>
        <w:rPr>
          <w:rFonts w:ascii="Arial" w:hAnsi="Arial" w:cs="Arial"/>
          <w:lang w:val="es-CO"/>
        </w:rPr>
      </w:pPr>
    </w:p>
    <w:p w14:paraId="3DE27FB2"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Análisis para la atribución de las rentas y ganancias ocasionales a establecimientos permanentes de personas naturales sin residencia en Colombia.</w:t>
      </w:r>
      <w:r>
        <w:rPr>
          <w:rFonts w:ascii="Arial" w:hAnsi="Arial" w:cs="Arial"/>
          <w:lang w:val="es-CO"/>
        </w:rPr>
        <w:t xml:space="preserve"> Para efectos de la atribución de rentas y ganancias ocasionales, las personas naturales sin residencia en Col</w:t>
      </w:r>
      <w:r>
        <w:rPr>
          <w:rFonts w:ascii="Arial" w:hAnsi="Arial" w:cs="Arial"/>
          <w:lang w:val="es-CO"/>
        </w:rPr>
        <w:t>ombia con establecimientos permanentes en el país deberán realizar el análisis funcional y fáctico al que se refiere el artículo 1.2.1.14.2 de este Decreto por cada establecimiento permanente que tengan en el país.</w:t>
      </w:r>
    </w:p>
    <w:p w14:paraId="3549B365" w14:textId="77777777" w:rsidR="00B2442D" w:rsidRDefault="00B2442D">
      <w:pPr>
        <w:jc w:val="both"/>
        <w:rPr>
          <w:rFonts w:ascii="Arial" w:hAnsi="Arial" w:cs="Arial"/>
          <w:lang w:val="es-CO"/>
        </w:rPr>
      </w:pPr>
    </w:p>
    <w:p w14:paraId="6773FA76" w14:textId="77777777" w:rsidR="00B2442D" w:rsidRDefault="008A645F">
      <w:pPr>
        <w:jc w:val="both"/>
        <w:rPr>
          <w:rFonts w:ascii="Arial" w:hAnsi="Arial" w:cs="Arial"/>
          <w:lang w:val="es-CO"/>
        </w:rPr>
      </w:pPr>
      <w:r>
        <w:rPr>
          <w:rFonts w:ascii="Arial" w:hAnsi="Arial" w:cs="Arial"/>
          <w:lang w:val="es-CO"/>
        </w:rPr>
        <w:t xml:space="preserve">Dicho análisis deberá estar debidamente </w:t>
      </w:r>
      <w:r>
        <w:rPr>
          <w:rFonts w:ascii="Arial" w:hAnsi="Arial" w:cs="Arial"/>
          <w:lang w:val="es-CO"/>
        </w:rPr>
        <w:t>documentado y permitir identificar la atribución de rentas y ganancias ocasionales que provengan de operaciones realizadas tanto con empresas independientes como con empresas vinculadas, así como las relativas a operaciones internas, tales como el reconoci</w:t>
      </w:r>
      <w:r>
        <w:rPr>
          <w:rFonts w:ascii="Arial" w:hAnsi="Arial" w:cs="Arial"/>
          <w:lang w:val="es-CO"/>
        </w:rPr>
        <w:t>miento de capital, pasivos, derechos, obligaciones, y la atribución de la propiedad económica de activos usados por el establecimiento permanente. Adicionalmente, y para efectos de lo establecido en este artículo, deberá llevarse un registro auxiliar en el</w:t>
      </w:r>
      <w:r>
        <w:rPr>
          <w:rFonts w:ascii="Arial" w:hAnsi="Arial" w:cs="Arial"/>
          <w:lang w:val="es-CO"/>
        </w:rPr>
        <w:t xml:space="preserve"> que se consigne cada una de las operaciones del establecimiento permanente, incluidas aquellas que le sean atribuibles de acuerdo con lo dispuesto en este artículo. Al final del periodo gravable, y con base en este registro auxiliar, se deberá elaborar un</w:t>
      </w:r>
      <w:r>
        <w:rPr>
          <w:rFonts w:ascii="Arial" w:hAnsi="Arial" w:cs="Arial"/>
          <w:lang w:val="es-CO"/>
        </w:rPr>
        <w:t xml:space="preserve"> documento auxiliar, que hará las veces de estado de resultados, en el cual se consigne el total de las operaciones del establecimiento permanente. La elaboración de los anteriores documentos comporta la conservación de todo soporte externo o de aquellos q</w:t>
      </w:r>
      <w:r>
        <w:rPr>
          <w:rFonts w:ascii="Arial" w:hAnsi="Arial" w:cs="Arial"/>
          <w:lang w:val="es-CO"/>
        </w:rPr>
        <w:t>ue deban elaborarse en ausencia de soportes externos.</w:t>
      </w:r>
    </w:p>
    <w:p w14:paraId="675C79B9" w14:textId="77777777" w:rsidR="00B2442D" w:rsidRDefault="00B2442D">
      <w:pPr>
        <w:jc w:val="both"/>
        <w:rPr>
          <w:rFonts w:ascii="Arial" w:hAnsi="Arial" w:cs="Arial"/>
          <w:lang w:val="es-CO"/>
        </w:rPr>
      </w:pPr>
    </w:p>
    <w:p w14:paraId="61B6ADE2" w14:textId="77777777" w:rsidR="00B2442D" w:rsidRDefault="008A645F">
      <w:pPr>
        <w:jc w:val="both"/>
        <w:rPr>
          <w:rFonts w:ascii="Arial" w:hAnsi="Arial" w:cs="Arial"/>
          <w:i/>
          <w:lang w:val="es-CO"/>
        </w:rPr>
      </w:pPr>
      <w:r>
        <w:rPr>
          <w:rFonts w:ascii="Arial" w:hAnsi="Arial" w:cs="Arial"/>
          <w:i/>
          <w:lang w:val="es-CO"/>
        </w:rPr>
        <w:t>(Art. 14, Decreto 3026 de 2013)</w:t>
      </w:r>
    </w:p>
    <w:p w14:paraId="3839A4B9" w14:textId="77777777" w:rsidR="00B2442D" w:rsidRDefault="00B2442D">
      <w:pPr>
        <w:jc w:val="both"/>
        <w:rPr>
          <w:rFonts w:ascii="Arial" w:hAnsi="Arial" w:cs="Arial"/>
          <w:lang w:val="es-CO"/>
        </w:rPr>
      </w:pPr>
    </w:p>
    <w:p w14:paraId="16711D15"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Aplicación de las normas tributarias en la atribución de rentas y ganancias ocasionales a establecimientos permanentes y sucursales.</w:t>
      </w:r>
      <w:r>
        <w:rPr>
          <w:rFonts w:ascii="Arial" w:hAnsi="Arial" w:cs="Arial"/>
          <w:lang w:val="es-CO"/>
        </w:rPr>
        <w:t xml:space="preserve"> Una vez efectuada la atribución de </w:t>
      </w:r>
      <w:r>
        <w:rPr>
          <w:rFonts w:ascii="Arial" w:hAnsi="Arial" w:cs="Arial"/>
          <w:lang w:val="es-CO"/>
        </w:rPr>
        <w:t>rentas y ganancias ocasionales de conformidad con los artículos anteriores se procederá a la determinación de la obligación tributaria de conformidad con lo previsto en el Estatuto Tributario, y las normas que lo modifiquen, adicionen, sustituyan o reglame</w:t>
      </w:r>
      <w:r>
        <w:rPr>
          <w:rFonts w:ascii="Arial" w:hAnsi="Arial" w:cs="Arial"/>
          <w:lang w:val="es-CO"/>
        </w:rPr>
        <w:t>nten, incluyendo las normas sobre deducciones y sus limitaciones y las normas de precios de transferencia que aplican tanto para las operaciones internas realizadas entre el establecimiento permanente o sucursal y otras partes de la empresa de la que forma</w:t>
      </w:r>
      <w:r>
        <w:rPr>
          <w:rFonts w:ascii="Arial" w:hAnsi="Arial" w:cs="Arial"/>
          <w:lang w:val="es-CO"/>
        </w:rPr>
        <w:t xml:space="preserve"> parte, así como para las operaciones entre el establecimiento permanente o sucursal y otras empresas vinculadas.</w:t>
      </w:r>
    </w:p>
    <w:p w14:paraId="0C757A3C" w14:textId="77777777" w:rsidR="00B2442D" w:rsidRDefault="00B2442D">
      <w:pPr>
        <w:jc w:val="both"/>
        <w:rPr>
          <w:rFonts w:ascii="Arial" w:hAnsi="Arial" w:cs="Arial"/>
          <w:lang w:val="es-CO"/>
        </w:rPr>
      </w:pPr>
    </w:p>
    <w:p w14:paraId="11DF0DD7" w14:textId="77777777" w:rsidR="00B2442D" w:rsidRDefault="008A645F">
      <w:pPr>
        <w:jc w:val="both"/>
        <w:rPr>
          <w:rFonts w:ascii="Arial" w:hAnsi="Arial" w:cs="Arial"/>
          <w:i/>
          <w:lang w:val="es-CO"/>
        </w:rPr>
      </w:pPr>
      <w:r>
        <w:rPr>
          <w:rFonts w:ascii="Arial" w:hAnsi="Arial" w:cs="Arial"/>
          <w:i/>
          <w:lang w:val="es-CO"/>
        </w:rPr>
        <w:t>(Art. 15, Decreto 3026 de 2013)</w:t>
      </w:r>
    </w:p>
    <w:p w14:paraId="3522B3DE" w14:textId="77777777" w:rsidR="00B2442D" w:rsidRDefault="00B2442D">
      <w:pPr>
        <w:jc w:val="both"/>
        <w:rPr>
          <w:rFonts w:ascii="Arial" w:hAnsi="Arial" w:cs="Arial"/>
          <w:lang w:val="es-CO"/>
        </w:rPr>
      </w:pPr>
    </w:p>
    <w:p w14:paraId="0F5B1F6C"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Deber de conservar el estudio y demás documentación.</w:t>
      </w:r>
      <w:r>
        <w:rPr>
          <w:rFonts w:ascii="Arial" w:hAnsi="Arial" w:cs="Arial"/>
          <w:lang w:val="es-CO"/>
        </w:rPr>
        <w:t xml:space="preserve"> Las personas naturales sin residencia en Colombia y las</w:t>
      </w:r>
      <w:r>
        <w:rPr>
          <w:rFonts w:ascii="Arial" w:hAnsi="Arial" w:cs="Arial"/>
          <w:lang w:val="es-CO"/>
        </w:rPr>
        <w:t xml:space="preserve"> sociedades y entidades extranjeras con establecimientos permanentes o sucursal en Colombia deberán conservar el estudio y los demás documentos a los que se refieren los artículos anteriores por un término mínimo de cinco (5) años, contados a partir del 1o</w:t>
      </w:r>
      <w:r>
        <w:rPr>
          <w:rFonts w:ascii="Arial" w:hAnsi="Arial" w:cs="Arial"/>
          <w:lang w:val="es-CO"/>
        </w:rPr>
        <w:t xml:space="preserve"> de enero del año siguiente al año gravable en el que se elaboró.</w:t>
      </w:r>
    </w:p>
    <w:p w14:paraId="35D1288F" w14:textId="77777777" w:rsidR="00B2442D" w:rsidRDefault="00B2442D">
      <w:pPr>
        <w:jc w:val="both"/>
        <w:rPr>
          <w:rFonts w:ascii="Arial" w:hAnsi="Arial" w:cs="Arial"/>
          <w:lang w:val="es-CO"/>
        </w:rPr>
      </w:pPr>
    </w:p>
    <w:p w14:paraId="340DC3E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aquellos contribuyentes sujetos al régimen de precios de transferencia obligados a cumplir los deberes formales relativos a la declaración informativa y a la documentación c</w:t>
      </w:r>
      <w:r>
        <w:rPr>
          <w:rFonts w:ascii="Arial" w:hAnsi="Arial" w:cs="Arial"/>
          <w:lang w:val="es-CO"/>
        </w:rPr>
        <w:t>omprobatoria, el estudio o documentación del análisis funcional y fáctico podrá estar incorporado en la documentación de la que trata el artículo 260-5 del Estatuto Tributario o la norma que lo modifique, adicione o sustituya.</w:t>
      </w:r>
    </w:p>
    <w:p w14:paraId="0F203E9F" w14:textId="77777777" w:rsidR="00B2442D" w:rsidRDefault="00B2442D">
      <w:pPr>
        <w:jc w:val="both"/>
        <w:rPr>
          <w:rFonts w:ascii="Arial" w:hAnsi="Arial" w:cs="Arial"/>
          <w:lang w:val="es-CO"/>
        </w:rPr>
      </w:pPr>
    </w:p>
    <w:p w14:paraId="630F0FDC" w14:textId="77777777" w:rsidR="00B2442D" w:rsidRDefault="008A645F">
      <w:pPr>
        <w:jc w:val="both"/>
        <w:rPr>
          <w:rFonts w:ascii="Arial" w:hAnsi="Arial" w:cs="Arial"/>
          <w:i/>
          <w:lang w:val="es-CO"/>
        </w:rPr>
      </w:pPr>
      <w:r>
        <w:rPr>
          <w:rFonts w:ascii="Arial" w:hAnsi="Arial" w:cs="Arial"/>
          <w:i/>
          <w:lang w:val="es-CO"/>
        </w:rPr>
        <w:t>(Art. 16, Decreto 3026 de 20</w:t>
      </w:r>
      <w:r>
        <w:rPr>
          <w:rFonts w:ascii="Arial" w:hAnsi="Arial" w:cs="Arial"/>
          <w:i/>
          <w:lang w:val="es-CO"/>
        </w:rPr>
        <w:t>13)</w:t>
      </w:r>
    </w:p>
    <w:p w14:paraId="53E04A4E" w14:textId="77777777" w:rsidR="00B2442D" w:rsidRDefault="00B2442D">
      <w:pPr>
        <w:jc w:val="both"/>
        <w:rPr>
          <w:rFonts w:ascii="Arial" w:hAnsi="Arial" w:cs="Arial"/>
          <w:lang w:val="es-CO"/>
        </w:rPr>
      </w:pPr>
    </w:p>
    <w:p w14:paraId="5E8F74F1"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Ingresos gravados por concepto de dividendos o participaciones en utilidades.</w:t>
      </w:r>
      <w:r>
        <w:rPr>
          <w:rFonts w:ascii="Arial" w:hAnsi="Arial" w:cs="Arial"/>
          <w:lang w:val="es-CO"/>
        </w:rPr>
        <w:t xml:space="preserve"> Las utilidades que correspondan a rentas y ganancias ocasionales de fuente nacional atribuidas a establecimientos permanentes o sucursales en Colombia de personas naturales </w:t>
      </w:r>
      <w:r>
        <w:rPr>
          <w:rFonts w:ascii="Arial" w:hAnsi="Arial" w:cs="Arial"/>
          <w:lang w:val="es-CO"/>
        </w:rPr>
        <w:t>no residentes o sociedades y entidades extranjeras, que sean transferidas a favor de empresas vinculadas en el exterior, estarán gravadas a título de dividendos o participaciones conforme a las reglas de los artículos 48 y 49 del Estatuto Tributario.</w:t>
      </w:r>
    </w:p>
    <w:p w14:paraId="40861CE3" w14:textId="77777777" w:rsidR="00B2442D" w:rsidRDefault="00B2442D">
      <w:pPr>
        <w:jc w:val="both"/>
        <w:rPr>
          <w:rFonts w:ascii="Arial" w:hAnsi="Arial" w:cs="Arial"/>
          <w:lang w:val="es-CO"/>
        </w:rPr>
      </w:pPr>
    </w:p>
    <w:p w14:paraId="740F1A69" w14:textId="77777777" w:rsidR="00B2442D" w:rsidRDefault="008A645F">
      <w:pPr>
        <w:jc w:val="both"/>
        <w:rPr>
          <w:rFonts w:ascii="Arial" w:hAnsi="Arial" w:cs="Arial"/>
          <w:i/>
          <w:lang w:val="es-CO"/>
        </w:rPr>
      </w:pPr>
      <w:r>
        <w:rPr>
          <w:rFonts w:ascii="Arial" w:hAnsi="Arial" w:cs="Arial"/>
          <w:i/>
          <w:lang w:val="es-CO"/>
        </w:rPr>
        <w:t>(Art. 17, Decreto 3026 de 2013)</w:t>
      </w:r>
    </w:p>
    <w:p w14:paraId="02752835" w14:textId="77777777" w:rsidR="00B2442D" w:rsidRDefault="00B2442D">
      <w:pPr>
        <w:jc w:val="both"/>
        <w:rPr>
          <w:rFonts w:ascii="Arial" w:hAnsi="Arial" w:cs="Arial"/>
          <w:lang w:val="es-CO"/>
        </w:rPr>
      </w:pPr>
    </w:p>
    <w:p w14:paraId="639428AF"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 xml:space="preserve">Realización de ingresos por concepto de dividendos o participaciones en utilidades. </w:t>
      </w:r>
      <w:r>
        <w:rPr>
          <w:rFonts w:ascii="Arial" w:hAnsi="Arial" w:cs="Arial"/>
          <w:lang w:val="es-CO"/>
        </w:rPr>
        <w:t>Sin perjuicio de lo dispuesto en el artículo 1.2.1.14.9 del presente decreto, relativo a las sucursales de sociedades extranjeras sometidas</w:t>
      </w:r>
      <w:r>
        <w:rPr>
          <w:rFonts w:ascii="Arial" w:hAnsi="Arial" w:cs="Arial"/>
          <w:lang w:val="es-CO"/>
        </w:rPr>
        <w:t xml:space="preserve"> al régimen cambiario especial, para efectos de lo previsto en el literal b) del artículo 27 del Estatuto Tributario, el ingreso a título de dividendos o participaciones en utilidades al que se refiere el artículo 1.2.1.14.7 del presente Decreto se entiend</w:t>
      </w:r>
      <w:r>
        <w:rPr>
          <w:rFonts w:ascii="Arial" w:hAnsi="Arial" w:cs="Arial"/>
          <w:lang w:val="es-CO"/>
        </w:rPr>
        <w:t>e realizado en el momento en que se efectúe la transferencia de utilidades al exterior a favor de las empresas vinculadas en el exterior.</w:t>
      </w:r>
    </w:p>
    <w:p w14:paraId="45E99A97" w14:textId="77777777" w:rsidR="00B2442D" w:rsidRDefault="00B2442D">
      <w:pPr>
        <w:jc w:val="both"/>
        <w:rPr>
          <w:rFonts w:ascii="Arial" w:hAnsi="Arial" w:cs="Arial"/>
          <w:lang w:val="es-CO"/>
        </w:rPr>
      </w:pPr>
    </w:p>
    <w:p w14:paraId="2DDC7B9B" w14:textId="77777777" w:rsidR="00B2442D" w:rsidRDefault="008A645F">
      <w:pPr>
        <w:jc w:val="both"/>
        <w:rPr>
          <w:rFonts w:ascii="Arial" w:hAnsi="Arial" w:cs="Arial"/>
          <w:i/>
          <w:lang w:val="es-CO"/>
        </w:rPr>
      </w:pPr>
      <w:r>
        <w:rPr>
          <w:rFonts w:ascii="Arial" w:hAnsi="Arial" w:cs="Arial"/>
          <w:i/>
          <w:lang w:val="es-CO"/>
        </w:rPr>
        <w:t>(Art. 18, Decreto 3026 de 2013)</w:t>
      </w:r>
    </w:p>
    <w:p w14:paraId="7E7EC099" w14:textId="77777777" w:rsidR="00B2442D" w:rsidRDefault="00B2442D">
      <w:pPr>
        <w:jc w:val="both"/>
        <w:rPr>
          <w:rFonts w:ascii="Arial" w:hAnsi="Arial" w:cs="Arial"/>
          <w:lang w:val="es-CO"/>
        </w:rPr>
      </w:pPr>
    </w:p>
    <w:p w14:paraId="5FAF9EDF"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Realización de ingresos por concepto de dividendos o participaciones en utilidades a</w:t>
      </w:r>
      <w:r>
        <w:rPr>
          <w:rFonts w:ascii="Arial" w:hAnsi="Arial" w:cs="Arial"/>
          <w:b/>
          <w:i/>
          <w:lang w:val="es-CO"/>
        </w:rPr>
        <w:t xml:space="preserve">tribuidas a sucursales de sociedades extranjeras sometidas al régimen cambiario especial. </w:t>
      </w:r>
      <w:r>
        <w:rPr>
          <w:rFonts w:ascii="Arial" w:hAnsi="Arial" w:cs="Arial"/>
          <w:lang w:val="es-CO"/>
        </w:rPr>
        <w:t xml:space="preserve">Para efectos de lo previsto en el literal b) del artículo 27 del Estatuto Tributario, las utilidades a que se refiere el artículo 1.2.1.14.7 del presente </w:t>
      </w:r>
      <w:r>
        <w:rPr>
          <w:rFonts w:ascii="Arial" w:hAnsi="Arial" w:cs="Arial"/>
          <w:lang w:val="es-CO"/>
        </w:rPr>
        <w:t>Decreto, obtenidas por sociedades extranjeras a través de sucursales en Colombia sometidas al régimen cambiario especial, se entienden transferidas al exterior cuando al terminar el año gravable la cuenta de inversión suplementaria al capital asignado arro</w:t>
      </w:r>
      <w:r>
        <w:rPr>
          <w:rFonts w:ascii="Arial" w:hAnsi="Arial" w:cs="Arial"/>
          <w:lang w:val="es-CO"/>
        </w:rPr>
        <w:t>ja un saldo débito (negativo dentro del patrimonio) o, teniendo un saldo débito (negativo dentro del patrimonio) al comienzo del respectivo año gravable, dicho saldo débito aumenta (mayor saldo negativo dentro del patrimonio).</w:t>
      </w:r>
    </w:p>
    <w:p w14:paraId="6F6EC36D" w14:textId="77777777" w:rsidR="00B2442D" w:rsidRDefault="00B2442D">
      <w:pPr>
        <w:jc w:val="both"/>
        <w:rPr>
          <w:rFonts w:ascii="Arial" w:hAnsi="Arial" w:cs="Arial"/>
          <w:lang w:val="es-CO"/>
        </w:rPr>
      </w:pPr>
    </w:p>
    <w:p w14:paraId="074C1474" w14:textId="77777777" w:rsidR="00B2442D" w:rsidRDefault="008A645F">
      <w:pPr>
        <w:jc w:val="both"/>
        <w:rPr>
          <w:rFonts w:ascii="Arial" w:hAnsi="Arial" w:cs="Arial"/>
          <w:lang w:val="es-CO"/>
        </w:rPr>
      </w:pPr>
      <w:r>
        <w:rPr>
          <w:rFonts w:ascii="Arial" w:hAnsi="Arial" w:cs="Arial"/>
          <w:lang w:val="es-CO"/>
        </w:rPr>
        <w:t>Para efectos de aplicar lo d</w:t>
      </w:r>
      <w:r>
        <w:rPr>
          <w:rFonts w:ascii="Arial" w:hAnsi="Arial" w:cs="Arial"/>
          <w:lang w:val="es-CO"/>
        </w:rPr>
        <w:t>ispuesto en el presente artículo se tendrá en cuenta lo siguiente:</w:t>
      </w:r>
    </w:p>
    <w:p w14:paraId="0CB95054" w14:textId="77777777" w:rsidR="00B2442D" w:rsidRDefault="00B2442D">
      <w:pPr>
        <w:jc w:val="both"/>
        <w:rPr>
          <w:rFonts w:ascii="Arial" w:hAnsi="Arial" w:cs="Arial"/>
          <w:lang w:val="es-CO"/>
        </w:rPr>
      </w:pPr>
    </w:p>
    <w:p w14:paraId="3C4B641B"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Cuando durante el respectivo año gravable la cuenta de inversión suplementaria al capital asignado arroje un saldo débito, el valor del dividendo corresponderá al saldo débito que exist</w:t>
      </w:r>
      <w:r>
        <w:rPr>
          <w:rFonts w:ascii="Arial" w:hAnsi="Arial" w:cs="Arial"/>
          <w:lang w:val="es-CO"/>
        </w:rPr>
        <w:t>a al finalizar el año.</w:t>
      </w:r>
    </w:p>
    <w:p w14:paraId="334C457D" w14:textId="77777777" w:rsidR="00B2442D" w:rsidRDefault="00B2442D">
      <w:pPr>
        <w:ind w:left="284" w:hanging="284"/>
        <w:jc w:val="both"/>
        <w:rPr>
          <w:rFonts w:ascii="Arial" w:hAnsi="Arial" w:cs="Arial"/>
          <w:lang w:val="es-CO"/>
        </w:rPr>
      </w:pPr>
    </w:p>
    <w:p w14:paraId="1012928C"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Cuando la cuenta de inversión suplementaria al capital asignado tenga un saldo débito al inicio del año, el valor del dividendo corresponderá al incremento de dicho saldo débito, ocurrido durante el respectivo año.</w:t>
      </w:r>
    </w:p>
    <w:p w14:paraId="338CB8F0" w14:textId="77777777" w:rsidR="00B2442D" w:rsidRDefault="00B2442D">
      <w:pPr>
        <w:jc w:val="both"/>
        <w:rPr>
          <w:rFonts w:ascii="Arial" w:hAnsi="Arial" w:cs="Arial"/>
          <w:lang w:val="es-CO"/>
        </w:rPr>
      </w:pPr>
    </w:p>
    <w:p w14:paraId="389F8BE1" w14:textId="77777777" w:rsidR="00B2442D" w:rsidRDefault="008A645F">
      <w:pPr>
        <w:jc w:val="both"/>
        <w:rPr>
          <w:rFonts w:ascii="Arial" w:hAnsi="Arial" w:cs="Arial"/>
          <w:lang w:val="es-CO"/>
        </w:rPr>
      </w:pPr>
      <w:r>
        <w:rPr>
          <w:rFonts w:ascii="Arial" w:hAnsi="Arial" w:cs="Arial"/>
          <w:lang w:val="es-CO"/>
        </w:rPr>
        <w:t xml:space="preserve">Para efectos </w:t>
      </w:r>
      <w:r>
        <w:rPr>
          <w:rFonts w:ascii="Arial" w:hAnsi="Arial" w:cs="Arial"/>
          <w:lang w:val="es-CO"/>
        </w:rPr>
        <w:t>de lo dispuesto en este artículo, la cuenta de inversión suplementaria al capital asignado incluirá el saldo de la cuenta de capital asignado y los saldos de las cuentas de utilidades retenidas y reservas y de revalorización del patrimonio que existían a 3</w:t>
      </w:r>
      <w:r>
        <w:rPr>
          <w:rFonts w:ascii="Arial" w:hAnsi="Arial" w:cs="Arial"/>
          <w:lang w:val="es-CO"/>
        </w:rPr>
        <w:t>1 de diciembre de 2006 y que no hubieran sido capitalizados, ni transferidos posteriormente a la cuenta de inversión suplementaria al capital asignado.</w:t>
      </w:r>
    </w:p>
    <w:p w14:paraId="5BC61585" w14:textId="77777777" w:rsidR="00B2442D" w:rsidRDefault="00B2442D">
      <w:pPr>
        <w:jc w:val="both"/>
        <w:rPr>
          <w:rFonts w:ascii="Arial" w:hAnsi="Arial" w:cs="Arial"/>
          <w:lang w:val="es-CO"/>
        </w:rPr>
      </w:pPr>
    </w:p>
    <w:p w14:paraId="593486E7" w14:textId="77777777" w:rsidR="00B2442D" w:rsidRDefault="008A645F">
      <w:pPr>
        <w:jc w:val="both"/>
        <w:rPr>
          <w:rFonts w:ascii="Arial" w:hAnsi="Arial" w:cs="Arial"/>
          <w:i/>
          <w:lang w:val="es-CO"/>
        </w:rPr>
      </w:pPr>
      <w:r>
        <w:rPr>
          <w:rFonts w:ascii="Arial" w:hAnsi="Arial" w:cs="Arial"/>
          <w:i/>
          <w:lang w:val="es-CO"/>
        </w:rPr>
        <w:t>(Art. 19, Decreto 3026 de 2013)</w:t>
      </w:r>
    </w:p>
    <w:p w14:paraId="4F2821DC" w14:textId="77777777" w:rsidR="00B2442D" w:rsidRDefault="00B2442D">
      <w:pPr>
        <w:jc w:val="both"/>
        <w:rPr>
          <w:rFonts w:ascii="Arial" w:hAnsi="Arial" w:cs="Arial"/>
          <w:lang w:val="es-CO"/>
        </w:rPr>
      </w:pPr>
    </w:p>
    <w:p w14:paraId="51A7DBDF" w14:textId="77777777" w:rsidR="00B2442D" w:rsidRDefault="008A645F">
      <w:pPr>
        <w:pStyle w:val="Prrafodelista"/>
        <w:numPr>
          <w:ilvl w:val="0"/>
          <w:numId w:val="29"/>
        </w:numPr>
        <w:ind w:left="0" w:firstLine="0"/>
        <w:jc w:val="both"/>
        <w:rPr>
          <w:rFonts w:ascii="Arial" w:hAnsi="Arial" w:cs="Arial"/>
          <w:lang w:val="es-CO"/>
        </w:rPr>
      </w:pPr>
      <w:r>
        <w:rPr>
          <w:rFonts w:ascii="Arial" w:hAnsi="Arial" w:cs="Arial"/>
          <w:b/>
          <w:i/>
          <w:lang w:val="es-CO"/>
        </w:rPr>
        <w:t xml:space="preserve">Impuestos a los que se aplica. </w:t>
      </w:r>
      <w:r>
        <w:rPr>
          <w:rFonts w:ascii="Arial" w:hAnsi="Arial" w:cs="Arial"/>
          <w:lang w:val="es-CO"/>
        </w:rPr>
        <w:t>Las disposiciones de los artículos 1.2.</w:t>
      </w:r>
      <w:r>
        <w:rPr>
          <w:rFonts w:ascii="Arial" w:hAnsi="Arial" w:cs="Arial"/>
          <w:lang w:val="es-CO"/>
        </w:rPr>
        <w:t>1.1.4, 1.2.1.3.5, 1.2.1.3.7, 1.2.1.1.5, 1.2.1.3.6, 1.2.4.11.1, 1.6.1.5.6, 1.2.1.6.2, 1.6.1.2.1, 1.2.1.14.1 al 1.2.1.14.10, 1.2.4.7.2 del presente Decreto, al igual que las normas que reglamenta, se refieren únicamente a las obligaciones relacionadas con el</w:t>
      </w:r>
      <w:r>
        <w:rPr>
          <w:rFonts w:ascii="Arial" w:hAnsi="Arial" w:cs="Arial"/>
          <w:lang w:val="es-CO"/>
        </w:rPr>
        <w:t xml:space="preserve"> impuesto sobre la renta y complementario y con el impuesto sobre la renta para la equidad (CREE). Por consiguiente, dichas normas no afectarán otras obligaciones, incluyendo obligaciones relacionadas con el impuesto sobre las ventas y obligaciones cambiar</w:t>
      </w:r>
      <w:r>
        <w:rPr>
          <w:rFonts w:ascii="Arial" w:hAnsi="Arial" w:cs="Arial"/>
          <w:lang w:val="es-CO"/>
        </w:rPr>
        <w:t>ias.</w:t>
      </w:r>
    </w:p>
    <w:p w14:paraId="2FAAE9E2" w14:textId="77777777" w:rsidR="00B2442D" w:rsidRDefault="00B2442D">
      <w:pPr>
        <w:jc w:val="both"/>
        <w:rPr>
          <w:rFonts w:ascii="Arial" w:hAnsi="Arial" w:cs="Arial"/>
          <w:lang w:val="es-CO"/>
        </w:rPr>
      </w:pPr>
    </w:p>
    <w:p w14:paraId="4ADB3DD8" w14:textId="77777777" w:rsidR="00B2442D" w:rsidRDefault="008A645F">
      <w:pPr>
        <w:jc w:val="both"/>
        <w:rPr>
          <w:rFonts w:ascii="Arial" w:hAnsi="Arial" w:cs="Arial"/>
          <w:i/>
          <w:lang w:val="es-CO"/>
        </w:rPr>
      </w:pPr>
      <w:r>
        <w:rPr>
          <w:rFonts w:ascii="Arial" w:hAnsi="Arial" w:cs="Arial"/>
          <w:i/>
          <w:lang w:val="es-CO"/>
        </w:rPr>
        <w:t>(Art. 21, Decreto 3026 de 2013)</w:t>
      </w:r>
    </w:p>
    <w:p w14:paraId="57E070E4" w14:textId="77777777" w:rsidR="00B2442D" w:rsidRDefault="00B2442D">
      <w:pPr>
        <w:jc w:val="both"/>
        <w:rPr>
          <w:rFonts w:ascii="Arial" w:hAnsi="Arial" w:cs="Arial"/>
          <w:i/>
          <w:lang w:val="es-CO"/>
        </w:rPr>
      </w:pPr>
    </w:p>
    <w:p w14:paraId="5857CA78" w14:textId="77777777" w:rsidR="00B2442D" w:rsidRDefault="008A645F">
      <w:pPr>
        <w:pStyle w:val="Ttulo4"/>
      </w:pPr>
      <w:r>
        <w:t>CAPÍTULO 15</w:t>
      </w:r>
    </w:p>
    <w:p w14:paraId="3AFF5029" w14:textId="77777777" w:rsidR="00B2442D" w:rsidRDefault="008A645F">
      <w:pPr>
        <w:pStyle w:val="Ttulo4"/>
      </w:pPr>
      <w:r>
        <w:t>Rentas no gravadas</w:t>
      </w:r>
    </w:p>
    <w:p w14:paraId="6FB30451" w14:textId="77777777" w:rsidR="00B2442D" w:rsidRDefault="00B2442D">
      <w:pPr>
        <w:rPr>
          <w:rFonts w:ascii="Arial" w:hAnsi="Arial" w:cs="Arial"/>
        </w:rPr>
      </w:pPr>
    </w:p>
    <w:p w14:paraId="41B985F2" w14:textId="77777777" w:rsidR="00B2442D" w:rsidRDefault="008A645F">
      <w:pPr>
        <w:pStyle w:val="Prrafodelista"/>
        <w:numPr>
          <w:ilvl w:val="0"/>
          <w:numId w:val="30"/>
        </w:numPr>
        <w:ind w:left="0" w:firstLine="0"/>
        <w:jc w:val="both"/>
        <w:rPr>
          <w:rFonts w:ascii="Arial" w:hAnsi="Arial" w:cs="Arial"/>
          <w:lang w:val="es-CO"/>
        </w:rPr>
      </w:pPr>
      <w:r>
        <w:rPr>
          <w:rFonts w:ascii="Arial" w:hAnsi="Arial" w:cs="Arial"/>
          <w:b/>
          <w:i/>
          <w:lang w:val="es-CO"/>
        </w:rPr>
        <w:t xml:space="preserve">Renta no gravada sobre rendimientos financieros reconocidos a los partícipes de fondos de inversión, fondos de valores y fondos comunes. </w:t>
      </w:r>
      <w:r>
        <w:rPr>
          <w:rFonts w:ascii="Arial" w:hAnsi="Arial" w:cs="Arial"/>
          <w:lang w:val="es-CO"/>
        </w:rPr>
        <w:t>Las sociedades administradoras de fondos de inversión, fondos de valores y fondos comunes, deberán reconocer en los ren</w:t>
      </w:r>
      <w:r>
        <w:rPr>
          <w:rFonts w:ascii="Arial" w:hAnsi="Arial" w:cs="Arial"/>
          <w:lang w:val="es-CO"/>
        </w:rPr>
        <w:t>dimientos pagados o abonados en cuenta a los partícipes, inversionistas o suscriptores de los mismos, como renta exenta o ingreso no constitutivo de renta ni de ganancia ocasional, los rendimientos financieros percibidos por el fondo con el carácter de ren</w:t>
      </w:r>
      <w:r>
        <w:rPr>
          <w:rFonts w:ascii="Arial" w:hAnsi="Arial" w:cs="Arial"/>
          <w:lang w:val="es-CO"/>
        </w:rPr>
        <w:t xml:space="preserve">ta exenta o ingreso no constitutivo de renta ni de ganancia ocasional. </w:t>
      </w:r>
    </w:p>
    <w:p w14:paraId="05546BC3" w14:textId="77777777" w:rsidR="00B2442D" w:rsidRDefault="008A645F">
      <w:pPr>
        <w:jc w:val="both"/>
        <w:rPr>
          <w:rFonts w:ascii="Arial" w:hAnsi="Arial" w:cs="Arial"/>
          <w:lang w:val="es-CO"/>
        </w:rPr>
      </w:pPr>
      <w:r>
        <w:rPr>
          <w:rFonts w:ascii="Arial" w:hAnsi="Arial" w:cs="Arial"/>
          <w:lang w:val="es-CO"/>
        </w:rPr>
        <w:t xml:space="preserve"> </w:t>
      </w:r>
    </w:p>
    <w:p w14:paraId="12B6B8F6" w14:textId="77777777" w:rsidR="00B2442D" w:rsidRDefault="008A645F">
      <w:pPr>
        <w:jc w:val="both"/>
        <w:rPr>
          <w:rFonts w:ascii="Arial" w:hAnsi="Arial" w:cs="Arial"/>
          <w:lang w:val="es-CO"/>
        </w:rPr>
      </w:pPr>
      <w:r>
        <w:rPr>
          <w:rFonts w:ascii="Arial" w:hAnsi="Arial" w:cs="Arial"/>
          <w:lang w:val="es-CO"/>
        </w:rPr>
        <w:t xml:space="preserve">Para el efecto, la renta exenta o el ingreso no constitutivo de renta ni de ganancia ocasional, se reconocerá teniendo en cuenta los rendimientos financieros obtenidos por el fondo, </w:t>
      </w:r>
      <w:r>
        <w:rPr>
          <w:rFonts w:ascii="Arial" w:hAnsi="Arial" w:cs="Arial"/>
          <w:lang w:val="es-CO"/>
        </w:rPr>
        <w:t xml:space="preserve">mediante la aplicación de los sistemas de valoración de inversiones establecidos por las entidades de control y vigilancia. </w:t>
      </w:r>
    </w:p>
    <w:p w14:paraId="06E273C9" w14:textId="77777777" w:rsidR="00B2442D" w:rsidRDefault="008A645F">
      <w:pPr>
        <w:jc w:val="both"/>
        <w:rPr>
          <w:rFonts w:ascii="Arial" w:hAnsi="Arial" w:cs="Arial"/>
          <w:lang w:val="es-CO"/>
        </w:rPr>
      </w:pPr>
      <w:r>
        <w:rPr>
          <w:rFonts w:ascii="Arial" w:hAnsi="Arial" w:cs="Arial"/>
          <w:lang w:val="es-CO"/>
        </w:rPr>
        <w:t xml:space="preserve"> </w:t>
      </w:r>
    </w:p>
    <w:p w14:paraId="3880A543" w14:textId="77777777" w:rsidR="00B2442D" w:rsidRDefault="008A645F">
      <w:pPr>
        <w:jc w:val="both"/>
        <w:rPr>
          <w:rFonts w:ascii="Arial" w:hAnsi="Arial" w:cs="Arial"/>
          <w:lang w:val="es-CO"/>
        </w:rPr>
      </w:pPr>
      <w:r>
        <w:rPr>
          <w:rFonts w:ascii="Arial" w:hAnsi="Arial" w:cs="Arial"/>
          <w:lang w:val="es-CO"/>
        </w:rPr>
        <w:t xml:space="preserve">Los rendimientos pagados o abonados en cuenta, a los partícipes, inversionistas o suscriptores de los fondos, con el carácter de </w:t>
      </w:r>
      <w:r>
        <w:rPr>
          <w:rFonts w:ascii="Arial" w:hAnsi="Arial" w:cs="Arial"/>
          <w:lang w:val="es-CO"/>
        </w:rPr>
        <w:t xml:space="preserve">renta exenta o ingreso no constitutivo de renta ni de ganancia ocasional, no estarán sometidos a retención en la fuente. </w:t>
      </w:r>
    </w:p>
    <w:p w14:paraId="3A50BA81" w14:textId="77777777" w:rsidR="00B2442D" w:rsidRDefault="008A645F">
      <w:pPr>
        <w:jc w:val="both"/>
        <w:rPr>
          <w:rFonts w:ascii="Arial" w:hAnsi="Arial" w:cs="Arial"/>
          <w:lang w:val="es-CO"/>
        </w:rPr>
      </w:pPr>
      <w:r>
        <w:rPr>
          <w:rFonts w:ascii="Arial" w:hAnsi="Arial" w:cs="Arial"/>
          <w:lang w:val="es-CO"/>
        </w:rPr>
        <w:t xml:space="preserve"> </w:t>
      </w:r>
    </w:p>
    <w:p w14:paraId="460FC56C" w14:textId="77777777" w:rsidR="00B2442D" w:rsidRDefault="008A645F">
      <w:pPr>
        <w:jc w:val="both"/>
        <w:rPr>
          <w:rFonts w:ascii="Arial" w:hAnsi="Arial" w:cs="Arial"/>
          <w:lang w:val="es-CO"/>
        </w:rPr>
      </w:pPr>
      <w:r>
        <w:rPr>
          <w:rFonts w:ascii="Arial" w:hAnsi="Arial" w:cs="Arial"/>
          <w:lang w:val="es-CO"/>
        </w:rPr>
        <w:t>Tratándose de títulos o bonos con intereses exentos o no constitutivos de renta ni de ganancia ocasional, los descuentos financieros</w:t>
      </w:r>
      <w:r>
        <w:rPr>
          <w:rFonts w:ascii="Arial" w:hAnsi="Arial" w:cs="Arial"/>
          <w:lang w:val="es-CO"/>
        </w:rPr>
        <w:t xml:space="preserve"> obtenidos en las negociaciones de los mismos, serán renta exenta o ingreso no constitutivo de renta ni de ganancia ocasional para el beneficiario, en la parte del descuento que corresponda a intereses. Los descuentos financieros exentos o no gravados, no </w:t>
      </w:r>
      <w:r>
        <w:rPr>
          <w:rFonts w:ascii="Arial" w:hAnsi="Arial" w:cs="Arial"/>
          <w:lang w:val="es-CO"/>
        </w:rPr>
        <w:t>estarán sometidos a retención en la fuente.</w:t>
      </w:r>
    </w:p>
    <w:p w14:paraId="6615A2EA" w14:textId="77777777" w:rsidR="00B2442D" w:rsidRDefault="00B2442D">
      <w:pPr>
        <w:jc w:val="both"/>
        <w:rPr>
          <w:rFonts w:ascii="Arial" w:hAnsi="Arial" w:cs="Arial"/>
          <w:lang w:val="es-CO"/>
        </w:rPr>
      </w:pPr>
    </w:p>
    <w:p w14:paraId="6717CD50" w14:textId="77777777" w:rsidR="00B2442D" w:rsidRDefault="008A645F">
      <w:pPr>
        <w:jc w:val="both"/>
        <w:rPr>
          <w:rFonts w:ascii="Arial" w:hAnsi="Arial" w:cs="Arial"/>
          <w:i/>
          <w:lang w:val="es-CO"/>
        </w:rPr>
      </w:pPr>
      <w:r>
        <w:rPr>
          <w:rFonts w:ascii="Arial" w:hAnsi="Arial" w:cs="Arial"/>
          <w:i/>
          <w:lang w:val="es-CO"/>
        </w:rPr>
        <w:t xml:space="preserve">(Art. 16, Decreto 1514 de 1998)(El Decreto 1514 de 1998 rige a partir de le fecha de su publicación y deroga el Decreto 847 de 1996, el artículo 10 del Decreto 1001 de 1997, el último inciso del artículo 29 del </w:t>
      </w:r>
      <w:r>
        <w:rPr>
          <w:rFonts w:ascii="Arial" w:hAnsi="Arial" w:cs="Arial"/>
          <w:i/>
          <w:lang w:val="es-CO"/>
        </w:rPr>
        <w:t>Decreto 3050 de 1997 y las demás disposiciones que le sean contrarias. Art. 18, Decreto 1514 de 1998)</w:t>
      </w:r>
    </w:p>
    <w:p w14:paraId="172C5BE5" w14:textId="77777777" w:rsidR="00B2442D" w:rsidRDefault="00B2442D">
      <w:pPr>
        <w:jc w:val="both"/>
        <w:rPr>
          <w:rFonts w:ascii="Arial" w:hAnsi="Arial" w:cs="Arial"/>
          <w:lang w:val="es-CO"/>
        </w:rPr>
      </w:pPr>
    </w:p>
    <w:p w14:paraId="1BCE0DE6" w14:textId="77777777" w:rsidR="00B2442D" w:rsidRDefault="008A645F">
      <w:pPr>
        <w:pStyle w:val="Prrafodelista"/>
        <w:numPr>
          <w:ilvl w:val="0"/>
          <w:numId w:val="30"/>
        </w:numPr>
        <w:ind w:left="0" w:firstLine="0"/>
        <w:jc w:val="both"/>
        <w:rPr>
          <w:rFonts w:ascii="Arial" w:hAnsi="Arial" w:cs="Arial"/>
          <w:lang w:val="es-CO"/>
        </w:rPr>
      </w:pPr>
      <w:r>
        <w:rPr>
          <w:rFonts w:ascii="Arial" w:hAnsi="Arial" w:cs="Arial"/>
          <w:b/>
          <w:i/>
          <w:lang w:val="es-CO"/>
        </w:rPr>
        <w:t>Incentivos a la financiación de vivienda de interés social subsidiable.</w:t>
      </w:r>
      <w:r>
        <w:rPr>
          <w:rFonts w:ascii="Arial" w:hAnsi="Arial" w:cs="Arial"/>
          <w:lang w:val="es-CO"/>
        </w:rPr>
        <w:t xml:space="preserve">  Las nuevas operaciones de crédito destinadas a la financiación de vivienda de in</w:t>
      </w:r>
      <w:r>
        <w:rPr>
          <w:rFonts w:ascii="Arial" w:hAnsi="Arial" w:cs="Arial"/>
          <w:lang w:val="es-CO"/>
        </w:rPr>
        <w:t>terés social subsidiable, de que trata el artículo 56 de la Ley 546 de 1999, no generarán rentas gravables por el término de cinco (5) años.</w:t>
      </w:r>
    </w:p>
    <w:p w14:paraId="4AF802C0" w14:textId="77777777" w:rsidR="00B2442D" w:rsidRDefault="00B2442D">
      <w:pPr>
        <w:jc w:val="both"/>
        <w:rPr>
          <w:rFonts w:ascii="Arial" w:hAnsi="Arial" w:cs="Arial"/>
          <w:b/>
          <w:lang w:val="es-CO"/>
        </w:rPr>
      </w:pPr>
    </w:p>
    <w:p w14:paraId="278E638E"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del presente artículo, se entiende como vivienda de interés social subsidiable, la estab</w:t>
      </w:r>
      <w:r>
        <w:rPr>
          <w:rFonts w:ascii="Arial" w:hAnsi="Arial" w:cs="Arial"/>
          <w:lang w:val="es-CO"/>
        </w:rPr>
        <w:t xml:space="preserve">lecida en el artículo 104 de la Ley 812 de 2003, o la norma que lo modifique, adicione o sustituya, en concordancia con lo prescrito en el artículo 91 de la Ley 388 de 1997. </w:t>
      </w:r>
    </w:p>
    <w:p w14:paraId="1C8E1654" w14:textId="77777777" w:rsidR="00B2442D" w:rsidRDefault="00B2442D">
      <w:pPr>
        <w:jc w:val="both"/>
        <w:rPr>
          <w:rFonts w:ascii="Arial" w:hAnsi="Arial" w:cs="Arial"/>
          <w:lang w:val="es-CO"/>
        </w:rPr>
      </w:pPr>
    </w:p>
    <w:p w14:paraId="11FB62E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la procedencia del incentivo de que trata el presente artículo</w:t>
      </w:r>
      <w:r>
        <w:rPr>
          <w:rFonts w:ascii="Arial" w:hAnsi="Arial" w:cs="Arial"/>
          <w:lang w:val="es-CO"/>
        </w:rPr>
        <w:t xml:space="preserve"> la entidad deberá llevar en su contabilidad cuentas separadas de los ingresos relativos a las rentas objeto de la exención, frente a los demás ingresos que perciba en el correspondiente periodo fiscal.</w:t>
      </w:r>
    </w:p>
    <w:p w14:paraId="740D9E84" w14:textId="77777777" w:rsidR="00B2442D" w:rsidRDefault="00B2442D">
      <w:pPr>
        <w:jc w:val="both"/>
        <w:rPr>
          <w:rFonts w:ascii="Arial" w:hAnsi="Arial" w:cs="Arial"/>
          <w:lang w:val="es-CO"/>
        </w:rPr>
      </w:pPr>
    </w:p>
    <w:p w14:paraId="4987180D" w14:textId="77777777" w:rsidR="00B2442D" w:rsidRDefault="008A645F">
      <w:pPr>
        <w:jc w:val="both"/>
        <w:rPr>
          <w:rFonts w:ascii="Arial" w:hAnsi="Arial" w:cs="Arial"/>
          <w:i/>
          <w:lang w:val="es-CO"/>
        </w:rPr>
      </w:pPr>
      <w:r>
        <w:rPr>
          <w:rFonts w:ascii="Arial" w:hAnsi="Arial" w:cs="Arial"/>
          <w:i/>
          <w:lang w:val="es-CO"/>
        </w:rPr>
        <w:t>(Art. 1, Decreto 2440 de 2005)</w:t>
      </w:r>
    </w:p>
    <w:p w14:paraId="5EB28C5A" w14:textId="77777777" w:rsidR="00B2442D" w:rsidRDefault="00B2442D">
      <w:pPr>
        <w:jc w:val="both"/>
        <w:rPr>
          <w:rFonts w:ascii="Arial" w:hAnsi="Arial" w:cs="Arial"/>
          <w:lang w:val="es-CO"/>
        </w:rPr>
      </w:pPr>
    </w:p>
    <w:p w14:paraId="02BF4C8A" w14:textId="77777777" w:rsidR="00B2442D" w:rsidRDefault="008A645F">
      <w:pPr>
        <w:pStyle w:val="Prrafodelista"/>
        <w:numPr>
          <w:ilvl w:val="0"/>
          <w:numId w:val="30"/>
        </w:numPr>
        <w:ind w:left="0" w:firstLine="0"/>
        <w:jc w:val="both"/>
        <w:rPr>
          <w:rFonts w:ascii="Arial" w:hAnsi="Arial" w:cs="Arial"/>
          <w:lang w:val="es-CO"/>
        </w:rPr>
      </w:pPr>
      <w:r>
        <w:rPr>
          <w:rFonts w:ascii="Arial" w:hAnsi="Arial" w:cs="Arial"/>
          <w:b/>
          <w:i/>
          <w:lang w:val="es-CO"/>
        </w:rPr>
        <w:t>Vigencia de la exenc</w:t>
      </w:r>
      <w:r>
        <w:rPr>
          <w:rFonts w:ascii="Arial" w:hAnsi="Arial" w:cs="Arial"/>
          <w:b/>
          <w:i/>
          <w:lang w:val="es-CO"/>
        </w:rPr>
        <w:t>ión.</w:t>
      </w:r>
      <w:r>
        <w:rPr>
          <w:rFonts w:ascii="Arial" w:hAnsi="Arial" w:cs="Arial"/>
          <w:lang w:val="es-CO"/>
        </w:rPr>
        <w:t xml:space="preserve"> La exención de que trata el artículo 1.2.1.15.2 del presente Decreto, tendrá vigencia por cinco (5) años, contados a partir de la fecha del pago de la primera cuota de amortización del crédito.</w:t>
      </w:r>
    </w:p>
    <w:p w14:paraId="7FE7F690" w14:textId="77777777" w:rsidR="00B2442D" w:rsidRDefault="00B2442D">
      <w:pPr>
        <w:jc w:val="both"/>
        <w:rPr>
          <w:rFonts w:ascii="Arial" w:hAnsi="Arial" w:cs="Arial"/>
          <w:lang w:val="es-CO"/>
        </w:rPr>
      </w:pPr>
    </w:p>
    <w:p w14:paraId="00EAE782" w14:textId="77777777" w:rsidR="00B2442D" w:rsidRDefault="008A645F">
      <w:pPr>
        <w:jc w:val="both"/>
        <w:rPr>
          <w:rFonts w:ascii="Arial" w:hAnsi="Arial" w:cs="Arial"/>
          <w:i/>
          <w:lang w:val="es-CO"/>
        </w:rPr>
      </w:pPr>
      <w:r>
        <w:rPr>
          <w:rFonts w:ascii="Arial" w:hAnsi="Arial" w:cs="Arial"/>
          <w:i/>
          <w:lang w:val="es-CO"/>
        </w:rPr>
        <w:t>(Art. 3, Decreto 2440 de 2005)</w:t>
      </w:r>
    </w:p>
    <w:p w14:paraId="4EC00DB7" w14:textId="77777777" w:rsidR="00B2442D" w:rsidRDefault="00B2442D">
      <w:pPr>
        <w:jc w:val="both"/>
        <w:rPr>
          <w:rFonts w:ascii="Arial" w:hAnsi="Arial" w:cs="Arial"/>
          <w:lang w:val="es-CO"/>
        </w:rPr>
      </w:pPr>
    </w:p>
    <w:p w14:paraId="38DAF4C2" w14:textId="77777777" w:rsidR="00B2442D" w:rsidRDefault="008A645F">
      <w:pPr>
        <w:pStyle w:val="Ttulo4"/>
      </w:pPr>
      <w:r>
        <w:t>CAPÍTULO 16</w:t>
      </w:r>
    </w:p>
    <w:p w14:paraId="42EC7C29" w14:textId="77777777" w:rsidR="00B2442D" w:rsidRDefault="008A645F">
      <w:pPr>
        <w:pStyle w:val="Ttulo4"/>
      </w:pPr>
      <w:r>
        <w:t xml:space="preserve">Rentas </w:t>
      </w:r>
      <w:r>
        <w:t>brutas</w:t>
      </w:r>
    </w:p>
    <w:p w14:paraId="056407E4" w14:textId="77777777" w:rsidR="00B2442D" w:rsidRDefault="00B2442D">
      <w:pPr>
        <w:rPr>
          <w:rFonts w:ascii="Arial" w:hAnsi="Arial" w:cs="Arial"/>
        </w:rPr>
      </w:pPr>
    </w:p>
    <w:p w14:paraId="698F64E2" w14:textId="77777777" w:rsidR="00B2442D" w:rsidRDefault="008A645F">
      <w:pPr>
        <w:pStyle w:val="Prrafodelista"/>
        <w:numPr>
          <w:ilvl w:val="0"/>
          <w:numId w:val="31"/>
        </w:numPr>
        <w:ind w:left="0" w:firstLine="0"/>
        <w:jc w:val="both"/>
        <w:rPr>
          <w:rFonts w:ascii="Arial" w:hAnsi="Arial" w:cs="Arial"/>
          <w:lang w:val="es-CO"/>
        </w:rPr>
      </w:pPr>
      <w:r>
        <w:rPr>
          <w:rFonts w:ascii="Arial" w:hAnsi="Arial" w:cs="Arial"/>
          <w:b/>
          <w:i/>
          <w:lang w:val="es-CO"/>
        </w:rPr>
        <w:t xml:space="preserve"> Determinación de la renta bruta.</w:t>
      </w:r>
      <w:r>
        <w:rPr>
          <w:rFonts w:ascii="Arial" w:hAnsi="Arial" w:cs="Arial"/>
          <w:lang w:val="es-CO"/>
        </w:rPr>
        <w:t xml:space="preserve"> Los contribuyentes que hayan venido determinando su renta bruta por otros sistemas y opten por acogerse al previsto por el artículo 32 del Decreto 2053 de 1974, (hoy artículo 95 del Estatuto Tributario) deberán obtener autorización de la respectiva Direcc</w:t>
      </w:r>
      <w:r>
        <w:rPr>
          <w:rFonts w:ascii="Arial" w:hAnsi="Arial" w:cs="Arial"/>
          <w:lang w:val="es-CO"/>
        </w:rPr>
        <w:t xml:space="preserve">ión Seccional de Impuestos, la que determinará los ajustes a que haya lugar para la adaptación al nuevo sistema y la fecha de realizarlos. </w:t>
      </w:r>
    </w:p>
    <w:p w14:paraId="3D1E0EA3" w14:textId="77777777" w:rsidR="00B2442D" w:rsidRDefault="008A645F">
      <w:pPr>
        <w:jc w:val="both"/>
        <w:rPr>
          <w:rFonts w:ascii="Arial" w:hAnsi="Arial" w:cs="Arial"/>
          <w:lang w:val="es-CO"/>
        </w:rPr>
      </w:pPr>
      <w:r>
        <w:rPr>
          <w:rFonts w:ascii="Arial" w:hAnsi="Arial" w:cs="Arial"/>
          <w:lang w:val="es-CO"/>
        </w:rPr>
        <w:t xml:space="preserve"> </w:t>
      </w:r>
    </w:p>
    <w:p w14:paraId="45246991" w14:textId="77777777" w:rsidR="00B2442D" w:rsidRDefault="008A645F">
      <w:pPr>
        <w:jc w:val="both"/>
        <w:rPr>
          <w:rFonts w:ascii="Arial" w:hAnsi="Arial" w:cs="Arial"/>
          <w:lang w:val="es-CO"/>
        </w:rPr>
      </w:pPr>
      <w:r>
        <w:rPr>
          <w:rFonts w:ascii="Arial" w:hAnsi="Arial" w:cs="Arial"/>
          <w:lang w:val="es-CO"/>
        </w:rPr>
        <w:t>En la misma forma procederán quienes hayan llevado este sistema y opten por acogerse a otro.</w:t>
      </w:r>
    </w:p>
    <w:p w14:paraId="20F2BE2A" w14:textId="77777777" w:rsidR="00B2442D" w:rsidRDefault="00B2442D">
      <w:pPr>
        <w:jc w:val="both"/>
        <w:rPr>
          <w:rFonts w:ascii="Arial" w:hAnsi="Arial" w:cs="Arial"/>
          <w:i/>
          <w:lang w:val="es-CO"/>
        </w:rPr>
      </w:pPr>
    </w:p>
    <w:p w14:paraId="1B76069C" w14:textId="77777777" w:rsidR="00B2442D" w:rsidRDefault="008A645F">
      <w:pPr>
        <w:jc w:val="both"/>
        <w:rPr>
          <w:rFonts w:ascii="Arial" w:hAnsi="Arial" w:cs="Arial"/>
          <w:i/>
          <w:lang w:val="es-CO"/>
        </w:rPr>
      </w:pPr>
      <w:r>
        <w:rPr>
          <w:rFonts w:ascii="Arial" w:hAnsi="Arial" w:cs="Arial"/>
          <w:i/>
          <w:lang w:val="es-CO"/>
        </w:rPr>
        <w:t>(Art. 42, Decreto 18</w:t>
      </w:r>
      <w:r>
        <w:rPr>
          <w:rFonts w:ascii="Arial" w:hAnsi="Arial" w:cs="Arial"/>
          <w:i/>
          <w:lang w:val="es-CO"/>
        </w:rPr>
        <w:t>7 de 1975) (Vigencia del Decreto 187 de 1975. El Decreto 187 de 1975 se aplicará a partir del ejercicio impositivo de 1974 salvo los casos expresamente exceptuados en el mismo o en las normas sustantivas y procedimentales del impuesto sobre la renta y comp</w:t>
      </w:r>
      <w:r>
        <w:rPr>
          <w:rFonts w:ascii="Arial" w:hAnsi="Arial" w:cs="Arial"/>
          <w:i/>
          <w:lang w:val="es-CO"/>
        </w:rPr>
        <w:t>lementario. (Art. 117, Decreto 187 de 1975))</w:t>
      </w:r>
    </w:p>
    <w:p w14:paraId="19E84EBD" w14:textId="77777777" w:rsidR="00B2442D" w:rsidRDefault="00B2442D">
      <w:pPr>
        <w:jc w:val="both"/>
        <w:rPr>
          <w:rFonts w:ascii="Arial" w:hAnsi="Arial" w:cs="Arial"/>
          <w:lang w:val="es-CO"/>
        </w:rPr>
      </w:pPr>
    </w:p>
    <w:p w14:paraId="002167C1" w14:textId="77777777" w:rsidR="00B2442D" w:rsidRDefault="008A645F">
      <w:pPr>
        <w:pStyle w:val="Prrafodelista"/>
        <w:numPr>
          <w:ilvl w:val="0"/>
          <w:numId w:val="31"/>
        </w:numPr>
        <w:ind w:left="0" w:firstLine="0"/>
        <w:jc w:val="both"/>
        <w:rPr>
          <w:rFonts w:ascii="Arial" w:hAnsi="Arial" w:cs="Arial"/>
          <w:lang w:val="es-CO"/>
        </w:rPr>
      </w:pPr>
      <w:r>
        <w:rPr>
          <w:rFonts w:ascii="Arial" w:hAnsi="Arial" w:cs="Arial"/>
          <w:b/>
          <w:i/>
          <w:lang w:val="es-CO"/>
        </w:rPr>
        <w:t xml:space="preserve"> Reserva técnica en la determinación de la renta bruta en las compañías de seguros generales.</w:t>
      </w:r>
      <w:r>
        <w:rPr>
          <w:rFonts w:ascii="Arial" w:hAnsi="Arial" w:cs="Arial"/>
          <w:lang w:val="es-CO"/>
        </w:rPr>
        <w:t xml:space="preserve"> La reserva técnica calculada para efectos de la determinación de la renta bruta de las compañías de seguros generale</w:t>
      </w:r>
      <w:r>
        <w:rPr>
          <w:rFonts w:ascii="Arial" w:hAnsi="Arial" w:cs="Arial"/>
          <w:lang w:val="es-CO"/>
        </w:rPr>
        <w:t>s y de capitalización, no podrá exceder del porcentaje de las primas netas recibidas en el ejercicio, menos el valor de los reaseguros cedidos, autorizado por la Superintendencia Financiera de Colombia.</w:t>
      </w:r>
    </w:p>
    <w:p w14:paraId="1C960858" w14:textId="77777777" w:rsidR="00B2442D" w:rsidRDefault="00B2442D">
      <w:pPr>
        <w:jc w:val="both"/>
        <w:rPr>
          <w:rFonts w:ascii="Arial" w:hAnsi="Arial" w:cs="Arial"/>
          <w:i/>
          <w:lang w:val="es-CO"/>
        </w:rPr>
      </w:pPr>
    </w:p>
    <w:p w14:paraId="42CAD869" w14:textId="77777777" w:rsidR="00B2442D" w:rsidRDefault="008A645F">
      <w:pPr>
        <w:jc w:val="both"/>
        <w:rPr>
          <w:rFonts w:ascii="Arial" w:hAnsi="Arial" w:cs="Arial"/>
          <w:i/>
          <w:lang w:val="es-CO"/>
        </w:rPr>
      </w:pPr>
      <w:r>
        <w:rPr>
          <w:rFonts w:ascii="Arial" w:hAnsi="Arial" w:cs="Arial"/>
          <w:i/>
          <w:lang w:val="es-CO"/>
        </w:rPr>
        <w:t>(Art. 43, Decreto 187 de 1975) (Vigencia del Decreto</w:t>
      </w:r>
      <w:r>
        <w:rPr>
          <w:rFonts w:ascii="Arial" w:hAnsi="Arial" w:cs="Arial"/>
          <w:i/>
          <w:lang w:val="es-CO"/>
        </w:rPr>
        <w:t xml:space="preserve"> 187 de 1975. El Decreto 187 de 1975 se aplicará a partir del ejercicio impositivo de 1974 salvo los casos expresamente exceptuados en el mismo o en las normas sustantivas y procedimentales del impuesto sobre la renta y complementario. (Art. 117, Decreto 1</w:t>
      </w:r>
      <w:r>
        <w:rPr>
          <w:rFonts w:ascii="Arial" w:hAnsi="Arial" w:cs="Arial"/>
          <w:i/>
          <w:lang w:val="es-CO"/>
        </w:rPr>
        <w:t>87 de 1975))</w:t>
      </w:r>
    </w:p>
    <w:p w14:paraId="7ADCFE18" w14:textId="77777777" w:rsidR="00B2442D" w:rsidRDefault="00B2442D">
      <w:pPr>
        <w:jc w:val="both"/>
        <w:rPr>
          <w:rFonts w:ascii="Arial" w:hAnsi="Arial" w:cs="Arial"/>
          <w:i/>
          <w:lang w:val="es-CO"/>
        </w:rPr>
      </w:pPr>
    </w:p>
    <w:p w14:paraId="0B0CE9A4" w14:textId="77777777" w:rsidR="00B2442D" w:rsidRDefault="008A645F">
      <w:pPr>
        <w:pStyle w:val="Prrafodelista"/>
        <w:numPr>
          <w:ilvl w:val="0"/>
          <w:numId w:val="31"/>
        </w:numPr>
        <w:ind w:left="0" w:firstLine="0"/>
        <w:jc w:val="both"/>
        <w:rPr>
          <w:rFonts w:ascii="Arial" w:hAnsi="Arial" w:cs="Arial"/>
          <w:lang w:val="es-CO"/>
        </w:rPr>
      </w:pPr>
      <w:r>
        <w:rPr>
          <w:rFonts w:ascii="Arial" w:hAnsi="Arial" w:cs="Arial"/>
          <w:b/>
          <w:i/>
          <w:lang w:val="es-CO"/>
        </w:rPr>
        <w:t xml:space="preserve"> Renta bruta en el negocio de ganadería.</w:t>
      </w:r>
      <w:r>
        <w:rPr>
          <w:rFonts w:ascii="Arial" w:hAnsi="Arial" w:cs="Arial"/>
          <w:lang w:val="es-CO"/>
        </w:rPr>
        <w:t xml:space="preserve"> En el negocio de ganadería la renta bruta proveniente de la enajenación de semovientes se determinará restando del total de los ingresos obtenidos durante el año por tal concepto, según el sistema cont</w:t>
      </w:r>
      <w:r>
        <w:rPr>
          <w:rFonts w:ascii="Arial" w:hAnsi="Arial" w:cs="Arial"/>
          <w:lang w:val="es-CO"/>
        </w:rPr>
        <w:t>able utilizado el costo de ganado enajenado, determinado en la forma prevista en el artículo 15 de la Ley 20 de 1979 (hoy artículo 93 del Estatuto Tributario).</w:t>
      </w:r>
    </w:p>
    <w:p w14:paraId="096BE311" w14:textId="77777777" w:rsidR="00B2442D" w:rsidRDefault="00B2442D">
      <w:pPr>
        <w:rPr>
          <w:rFonts w:ascii="Arial" w:hAnsi="Arial" w:cs="Arial"/>
          <w:i/>
        </w:rPr>
      </w:pPr>
    </w:p>
    <w:p w14:paraId="0AF2B648" w14:textId="77777777" w:rsidR="00B2442D" w:rsidRDefault="008A645F">
      <w:pPr>
        <w:jc w:val="both"/>
        <w:rPr>
          <w:rFonts w:ascii="Arial" w:hAnsi="Arial" w:cs="Arial"/>
          <w:i/>
        </w:rPr>
      </w:pPr>
      <w:r>
        <w:rPr>
          <w:rFonts w:ascii="Arial" w:hAnsi="Arial" w:cs="Arial"/>
          <w:i/>
        </w:rPr>
        <w:t>(Art. 9, Decreto 2595 de 1979. El inciso 2 del art 9 reglamentaba el artículo 16 de la Ley 20 d</w:t>
      </w:r>
      <w:r>
        <w:rPr>
          <w:rFonts w:ascii="Arial" w:hAnsi="Arial" w:cs="Arial"/>
          <w:i/>
        </w:rPr>
        <w:t>e 1979, incorporado al E.T. en el artículo 46 y derogado tácitamente por el artículo 1 de la Ley 863/03. En consecuencia tiene decaimiento el inciso 2 del art 9)</w:t>
      </w:r>
    </w:p>
    <w:p w14:paraId="1C4796FD" w14:textId="77777777" w:rsidR="00B2442D" w:rsidRDefault="00B2442D">
      <w:pPr>
        <w:jc w:val="both"/>
        <w:rPr>
          <w:rFonts w:ascii="Arial" w:hAnsi="Arial" w:cs="Arial"/>
        </w:rPr>
      </w:pPr>
    </w:p>
    <w:p w14:paraId="01782F8C" w14:textId="77777777" w:rsidR="00B2442D" w:rsidRDefault="008A645F">
      <w:pPr>
        <w:pStyle w:val="Ttulo4"/>
      </w:pPr>
      <w:r>
        <w:t>CAPÍTULO 17</w:t>
      </w:r>
    </w:p>
    <w:p w14:paraId="7AC4B3D8" w14:textId="77777777" w:rsidR="00B2442D" w:rsidRDefault="008A645F">
      <w:pPr>
        <w:pStyle w:val="Ttulo4"/>
      </w:pPr>
      <w:r>
        <w:t xml:space="preserve">Costos </w:t>
      </w:r>
    </w:p>
    <w:p w14:paraId="67346931" w14:textId="77777777" w:rsidR="00B2442D" w:rsidRDefault="00B2442D">
      <w:pPr>
        <w:rPr>
          <w:rFonts w:ascii="Arial" w:hAnsi="Arial" w:cs="Arial"/>
        </w:rPr>
      </w:pPr>
    </w:p>
    <w:p w14:paraId="60B46E9D"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 Costo de activos movibles. </w:t>
      </w:r>
      <w:r>
        <w:rPr>
          <w:rFonts w:ascii="Arial" w:hAnsi="Arial" w:cs="Arial"/>
          <w:lang w:val="es-CO"/>
        </w:rPr>
        <w:t xml:space="preserve">Lo dispuesto por el penúltimo inciso del </w:t>
      </w:r>
      <w:r>
        <w:rPr>
          <w:rFonts w:ascii="Arial" w:hAnsi="Arial" w:cs="Arial"/>
          <w:shd w:val="clear" w:color="auto" w:fill="FFFFFF" w:themeFill="background1"/>
          <w:lang w:val="es-CO"/>
        </w:rPr>
        <w:t>art</w:t>
      </w:r>
      <w:r>
        <w:rPr>
          <w:rFonts w:ascii="Arial" w:hAnsi="Arial" w:cs="Arial"/>
          <w:shd w:val="clear" w:color="auto" w:fill="FFFFFF" w:themeFill="background1"/>
          <w:lang w:val="es-CO"/>
        </w:rPr>
        <w:t>ículo 21 del Decreto 2053 de 1974 (hoy artículo 62 del Estatuto Tributario), y por el artículo 2o del Decreto 2348 de 1974 (hoy artículo 64 del Estatuto Tributario)</w:t>
      </w:r>
      <w:r>
        <w:rPr>
          <w:rFonts w:ascii="Arial" w:hAnsi="Arial" w:cs="Arial"/>
          <w:lang w:val="es-CO"/>
        </w:rPr>
        <w:t>, se aplicará respecto de las mercancías que se adquieran para venderlas sin transformarlas.</w:t>
      </w:r>
      <w:r>
        <w:rPr>
          <w:rFonts w:ascii="Arial" w:hAnsi="Arial" w:cs="Arial"/>
          <w:lang w:val="es-CO"/>
        </w:rPr>
        <w:t xml:space="preserve"> </w:t>
      </w:r>
    </w:p>
    <w:p w14:paraId="050479DF" w14:textId="77777777" w:rsidR="00B2442D" w:rsidRDefault="008A645F">
      <w:pPr>
        <w:jc w:val="both"/>
        <w:rPr>
          <w:rFonts w:ascii="Arial" w:hAnsi="Arial" w:cs="Arial"/>
          <w:lang w:val="es-CO"/>
        </w:rPr>
      </w:pPr>
      <w:r>
        <w:rPr>
          <w:rFonts w:ascii="Arial" w:hAnsi="Arial" w:cs="Arial"/>
          <w:lang w:val="es-CO"/>
        </w:rPr>
        <w:t xml:space="preserve"> </w:t>
      </w:r>
    </w:p>
    <w:p w14:paraId="17C404A8" w14:textId="77777777" w:rsidR="00B2442D" w:rsidRDefault="008A645F">
      <w:pPr>
        <w:jc w:val="both"/>
        <w:rPr>
          <w:rFonts w:ascii="Arial" w:hAnsi="Arial" w:cs="Arial"/>
          <w:lang w:val="es-CO"/>
        </w:rPr>
      </w:pPr>
      <w:r>
        <w:rPr>
          <w:rFonts w:ascii="Arial" w:hAnsi="Arial" w:cs="Arial"/>
          <w:lang w:val="es-CO"/>
        </w:rPr>
        <w:t>A partir del año de 1975, el contribuyente deberá contabilizar tales mercancías en los inventarios por el número de unidades o medidas acostumbradas en las ventas al por mayor o al por menor, según el caso.</w:t>
      </w:r>
    </w:p>
    <w:p w14:paraId="55F34DB0" w14:textId="77777777" w:rsidR="00B2442D" w:rsidRDefault="00B2442D">
      <w:pPr>
        <w:rPr>
          <w:rFonts w:ascii="Arial" w:hAnsi="Arial" w:cs="Arial"/>
          <w:i/>
          <w:lang w:val="es-CO"/>
        </w:rPr>
      </w:pPr>
    </w:p>
    <w:p w14:paraId="71F83CAA" w14:textId="77777777" w:rsidR="00B2442D" w:rsidRDefault="008A645F">
      <w:pPr>
        <w:jc w:val="both"/>
        <w:rPr>
          <w:rFonts w:ascii="Arial" w:hAnsi="Arial" w:cs="Arial"/>
          <w:b/>
          <w:lang w:val="es-CO"/>
        </w:rPr>
      </w:pPr>
      <w:r>
        <w:rPr>
          <w:rFonts w:ascii="Arial" w:hAnsi="Arial" w:cs="Arial"/>
          <w:i/>
          <w:lang w:val="es-CO"/>
        </w:rPr>
        <w:t>(Art. 25, Decreto 187 de 1975) (Vigencia del</w:t>
      </w:r>
      <w:r>
        <w:rPr>
          <w:rFonts w:ascii="Arial" w:hAnsi="Arial" w:cs="Arial"/>
          <w:i/>
          <w:lang w:val="es-CO"/>
        </w:rPr>
        <w:t xml:space="preserve"> Decreto 187 de 1975. El Decreto 187 de 1975 se aplicará a partir del ejercicio impositivo de 1974 salvo los casos expresamente exceptuados en el mismo o en las normas sustantivas y procedimentales del impuesto sobre la renta y complementario. (Art. 117, D</w:t>
      </w:r>
      <w:r>
        <w:rPr>
          <w:rFonts w:ascii="Arial" w:hAnsi="Arial" w:cs="Arial"/>
          <w:i/>
          <w:lang w:val="es-CO"/>
        </w:rPr>
        <w:t>ecreto 187 de 1975))</w:t>
      </w:r>
    </w:p>
    <w:p w14:paraId="5B3C3CE4" w14:textId="77777777" w:rsidR="00B2442D" w:rsidRDefault="00B2442D">
      <w:pPr>
        <w:jc w:val="both"/>
        <w:rPr>
          <w:rFonts w:ascii="Arial" w:hAnsi="Arial" w:cs="Arial"/>
          <w:lang w:val="es-CO"/>
        </w:rPr>
      </w:pPr>
    </w:p>
    <w:p w14:paraId="30F8EFD7" w14:textId="77777777" w:rsidR="00B2442D" w:rsidRDefault="008A645F">
      <w:pPr>
        <w:pStyle w:val="Prrafodelista"/>
        <w:numPr>
          <w:ilvl w:val="0"/>
          <w:numId w:val="32"/>
        </w:numPr>
        <w:shd w:val="clear" w:color="auto" w:fill="FFFFFF" w:themeFill="background1"/>
        <w:ind w:left="0" w:firstLine="0"/>
        <w:jc w:val="both"/>
        <w:rPr>
          <w:rFonts w:ascii="Arial" w:hAnsi="Arial" w:cs="Arial"/>
          <w:lang w:val="es-CO"/>
        </w:rPr>
      </w:pPr>
      <w:r>
        <w:rPr>
          <w:rFonts w:ascii="Arial" w:hAnsi="Arial" w:cs="Arial"/>
          <w:b/>
          <w:i/>
          <w:lang w:val="es-CO"/>
        </w:rPr>
        <w:t xml:space="preserve"> Costo de bienes muebles.</w:t>
      </w:r>
      <w:r>
        <w:rPr>
          <w:rFonts w:ascii="Arial" w:hAnsi="Arial" w:cs="Arial"/>
          <w:b/>
          <w:lang w:val="es-CO"/>
        </w:rPr>
        <w:t xml:space="preserve"> </w:t>
      </w:r>
      <w:r>
        <w:rPr>
          <w:rFonts w:ascii="Arial" w:hAnsi="Arial" w:cs="Arial"/>
          <w:lang w:val="es-CO"/>
        </w:rPr>
        <w:t xml:space="preserve">Se tendrán como erogaciones computables para el establecimiento del costo de los bienes muebles que constituyan activos movibles de conformidad con el </w:t>
      </w:r>
      <w:r>
        <w:rPr>
          <w:rFonts w:ascii="Arial" w:hAnsi="Arial" w:cs="Arial"/>
          <w:shd w:val="clear" w:color="auto" w:fill="FFFFFF" w:themeFill="background1"/>
          <w:lang w:val="es-CO"/>
        </w:rPr>
        <w:t>artículo 22 del Decreto 2053 de 1974 (hoy artículo 66 del Estatuto Tributario);</w:t>
      </w:r>
    </w:p>
    <w:p w14:paraId="5915CBFE" w14:textId="77777777" w:rsidR="00B2442D" w:rsidRDefault="008A645F">
      <w:pPr>
        <w:jc w:val="both"/>
        <w:rPr>
          <w:rFonts w:ascii="Arial" w:hAnsi="Arial" w:cs="Arial"/>
          <w:lang w:val="es-CO"/>
        </w:rPr>
      </w:pPr>
      <w:r>
        <w:rPr>
          <w:rFonts w:ascii="Arial" w:hAnsi="Arial" w:cs="Arial"/>
          <w:lang w:val="es-CO"/>
        </w:rPr>
        <w:t xml:space="preserve"> </w:t>
      </w:r>
    </w:p>
    <w:p w14:paraId="343FB4A7" w14:textId="77777777" w:rsidR="00B2442D" w:rsidRDefault="008A645F">
      <w:pPr>
        <w:jc w:val="both"/>
        <w:rPr>
          <w:rFonts w:ascii="Arial" w:hAnsi="Arial" w:cs="Arial"/>
          <w:lang w:val="es-CO"/>
        </w:rPr>
      </w:pPr>
      <w:r>
        <w:rPr>
          <w:rFonts w:ascii="Arial" w:hAnsi="Arial" w:cs="Arial"/>
          <w:lang w:val="es-CO"/>
        </w:rPr>
        <w:t xml:space="preserve">1. El precio de adquisición de las mercancías y materias primas, incluidas las diferencias de cambio cuando se trate de artículos importados, según lo dispuesto en el </w:t>
      </w:r>
      <w:r>
        <w:rPr>
          <w:rFonts w:ascii="Arial" w:hAnsi="Arial" w:cs="Arial"/>
          <w:shd w:val="clear" w:color="auto" w:fill="FFFFFF" w:themeFill="background1"/>
          <w:lang w:val="es-CO"/>
        </w:rPr>
        <w:t>artículo 30 del Decreto citado anteriormente (hoy artículo 80 del Estatuto Tributario)</w:t>
      </w:r>
      <w:r>
        <w:rPr>
          <w:rFonts w:ascii="Arial" w:hAnsi="Arial" w:cs="Arial"/>
          <w:lang w:val="es-CO"/>
        </w:rPr>
        <w:t xml:space="preserve">. </w:t>
      </w:r>
    </w:p>
    <w:p w14:paraId="0B023B4B" w14:textId="77777777" w:rsidR="00B2442D" w:rsidRDefault="00B2442D">
      <w:pPr>
        <w:jc w:val="both"/>
        <w:rPr>
          <w:rFonts w:ascii="Arial" w:hAnsi="Arial" w:cs="Arial"/>
          <w:lang w:val="es-CO"/>
        </w:rPr>
      </w:pPr>
    </w:p>
    <w:p w14:paraId="6FA970CE" w14:textId="77777777" w:rsidR="00B2442D" w:rsidRDefault="008A645F">
      <w:pPr>
        <w:jc w:val="both"/>
        <w:rPr>
          <w:rFonts w:ascii="Arial" w:hAnsi="Arial" w:cs="Arial"/>
          <w:lang w:val="es-CO"/>
        </w:rPr>
      </w:pPr>
      <w:r>
        <w:rPr>
          <w:rFonts w:ascii="Arial" w:hAnsi="Arial" w:cs="Arial"/>
          <w:lang w:val="es-CO"/>
        </w:rPr>
        <w:t xml:space="preserve">2. Los gastos de transporte necesarios para poner la mercancía en el lugar de su utilización o expendio. </w:t>
      </w:r>
    </w:p>
    <w:p w14:paraId="52597064" w14:textId="77777777" w:rsidR="00B2442D" w:rsidRDefault="00B2442D">
      <w:pPr>
        <w:jc w:val="both"/>
        <w:rPr>
          <w:rFonts w:ascii="Arial" w:hAnsi="Arial" w:cs="Arial"/>
          <w:lang w:val="es-CO"/>
        </w:rPr>
      </w:pPr>
    </w:p>
    <w:p w14:paraId="4C399959" w14:textId="77777777" w:rsidR="00B2442D" w:rsidRDefault="008A645F">
      <w:pPr>
        <w:jc w:val="both"/>
        <w:rPr>
          <w:rFonts w:ascii="Arial" w:hAnsi="Arial" w:cs="Arial"/>
          <w:lang w:val="es-CO"/>
        </w:rPr>
      </w:pPr>
      <w:r>
        <w:rPr>
          <w:rFonts w:ascii="Arial" w:hAnsi="Arial" w:cs="Arial"/>
          <w:lang w:val="es-CO"/>
        </w:rPr>
        <w:t>3. Los demás costos directos e indirectos de adquisición, extracción o manufactura.</w:t>
      </w:r>
    </w:p>
    <w:p w14:paraId="58BCD02F" w14:textId="77777777" w:rsidR="00B2442D" w:rsidRDefault="00B2442D">
      <w:pPr>
        <w:rPr>
          <w:rFonts w:ascii="Arial" w:hAnsi="Arial" w:cs="Arial"/>
          <w:i/>
          <w:lang w:val="es-CO"/>
        </w:rPr>
      </w:pPr>
    </w:p>
    <w:p w14:paraId="5E8B87A5" w14:textId="77777777" w:rsidR="00B2442D" w:rsidRDefault="008A645F">
      <w:pPr>
        <w:jc w:val="both"/>
        <w:rPr>
          <w:rFonts w:ascii="Arial" w:hAnsi="Arial" w:cs="Arial"/>
          <w:i/>
          <w:lang w:val="es-CO"/>
        </w:rPr>
      </w:pPr>
      <w:r>
        <w:rPr>
          <w:rFonts w:ascii="Arial" w:hAnsi="Arial" w:cs="Arial"/>
          <w:i/>
          <w:lang w:val="es-CO"/>
        </w:rPr>
        <w:t>(Art. 26, Decreto 187 de 1975) (Vigencia del Decreto 187 de 197</w:t>
      </w:r>
      <w:r>
        <w:rPr>
          <w:rFonts w:ascii="Arial" w:hAnsi="Arial" w:cs="Arial"/>
          <w:i/>
          <w:lang w:val="es-CO"/>
        </w:rPr>
        <w:t>5. El Decreto 187 de 1975 se aplicará a partir del ejercicio impositivo de 1974 salvo los casos expresamente exceptuados en el mismo o en las normas sustantivas y procedimentales del impuesto sobre la renta y complementario. (Art. 117, Decreto 187 de 1975)</w:t>
      </w:r>
      <w:r>
        <w:rPr>
          <w:rFonts w:ascii="Arial" w:hAnsi="Arial" w:cs="Arial"/>
          <w:i/>
          <w:lang w:val="es-CO"/>
        </w:rPr>
        <w:t>)</w:t>
      </w:r>
    </w:p>
    <w:p w14:paraId="29DFA65A" w14:textId="77777777" w:rsidR="00B2442D" w:rsidRDefault="00B2442D">
      <w:pPr>
        <w:rPr>
          <w:rFonts w:ascii="Arial" w:hAnsi="Arial" w:cs="Arial"/>
          <w:i/>
          <w:lang w:val="es-CO"/>
        </w:rPr>
      </w:pPr>
    </w:p>
    <w:p w14:paraId="03FD8345"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 Ajuste al costo fiscal de las acciones. </w:t>
      </w:r>
      <w:r>
        <w:rPr>
          <w:rFonts w:ascii="Arial" w:hAnsi="Arial" w:cs="Arial"/>
          <w:lang w:val="es-CO"/>
        </w:rPr>
        <w:t>Cuando se distribuyan dividendos o participaciones, en acciones o cuotas de interés social, el accionista o socio deberá ajustar el costo fiscal de las acciones o cuotas de interés social que poseía antes de la d</w:t>
      </w:r>
      <w:r>
        <w:rPr>
          <w:rFonts w:ascii="Arial" w:hAnsi="Arial" w:cs="Arial"/>
          <w:lang w:val="es-CO"/>
        </w:rPr>
        <w:t xml:space="preserve">istribución y que hayan sido adquiridas por un valor superior al nominal, siempre que las utilidades o reservas distribuidas existieran con anterioridad a la fecha de adquisición de tales acciones o cuotas de interés social. </w:t>
      </w:r>
    </w:p>
    <w:p w14:paraId="2FA1A6DD" w14:textId="77777777" w:rsidR="00B2442D" w:rsidRDefault="008A645F">
      <w:pPr>
        <w:jc w:val="both"/>
        <w:rPr>
          <w:rFonts w:ascii="Arial" w:hAnsi="Arial" w:cs="Arial"/>
          <w:lang w:val="es-CO"/>
        </w:rPr>
      </w:pPr>
      <w:r>
        <w:rPr>
          <w:rFonts w:ascii="Arial" w:hAnsi="Arial" w:cs="Arial"/>
          <w:lang w:val="es-CO"/>
        </w:rPr>
        <w:t xml:space="preserve"> </w:t>
      </w:r>
    </w:p>
    <w:p w14:paraId="678B39FC" w14:textId="77777777" w:rsidR="00B2442D" w:rsidRDefault="008A645F">
      <w:pPr>
        <w:jc w:val="both"/>
        <w:rPr>
          <w:rFonts w:ascii="Arial" w:hAnsi="Arial" w:cs="Arial"/>
          <w:lang w:val="es-CO"/>
        </w:rPr>
      </w:pPr>
      <w:r>
        <w:rPr>
          <w:rFonts w:ascii="Arial" w:hAnsi="Arial" w:cs="Arial"/>
          <w:lang w:val="es-CO"/>
        </w:rPr>
        <w:t>Para tal efecto, el ajuste c</w:t>
      </w:r>
      <w:r>
        <w:rPr>
          <w:rFonts w:ascii="Arial" w:hAnsi="Arial" w:cs="Arial"/>
          <w:lang w:val="es-CO"/>
        </w:rPr>
        <w:t>onsistirá en disminuir el costo fiscal de las acciones o cuotas de interés social a que se refiere el inciso anterior, en el monto del dividendo o participación asignado a cada una de ellas.</w:t>
      </w:r>
    </w:p>
    <w:p w14:paraId="633C603F" w14:textId="77777777" w:rsidR="00B2442D" w:rsidRDefault="00B2442D">
      <w:pPr>
        <w:jc w:val="both"/>
        <w:rPr>
          <w:rFonts w:ascii="Arial" w:hAnsi="Arial" w:cs="Arial"/>
          <w:i/>
          <w:lang w:val="es-CO"/>
        </w:rPr>
      </w:pPr>
    </w:p>
    <w:p w14:paraId="1E4539B7" w14:textId="77777777" w:rsidR="00B2442D" w:rsidRDefault="008A645F">
      <w:pPr>
        <w:jc w:val="both"/>
        <w:rPr>
          <w:rFonts w:ascii="Arial" w:hAnsi="Arial" w:cs="Arial"/>
          <w:i/>
          <w:lang w:val="es-CO"/>
        </w:rPr>
      </w:pPr>
      <w:r>
        <w:rPr>
          <w:rFonts w:ascii="Arial" w:hAnsi="Arial" w:cs="Arial"/>
          <w:i/>
          <w:lang w:val="es-CO"/>
        </w:rPr>
        <w:t>(Art. 7, Decreto 0836 de 1991)</w:t>
      </w:r>
    </w:p>
    <w:p w14:paraId="60C3D960" w14:textId="77777777" w:rsidR="00B2442D" w:rsidRDefault="00B2442D">
      <w:pPr>
        <w:jc w:val="both"/>
        <w:rPr>
          <w:rFonts w:ascii="Arial" w:hAnsi="Arial" w:cs="Arial"/>
          <w:lang w:val="es-CO"/>
        </w:rPr>
      </w:pPr>
    </w:p>
    <w:p w14:paraId="5477250B"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 Costos en la prestación del ser</w:t>
      </w:r>
      <w:r>
        <w:rPr>
          <w:rFonts w:ascii="Arial" w:hAnsi="Arial" w:cs="Arial"/>
          <w:b/>
          <w:i/>
          <w:lang w:val="es-CO"/>
        </w:rPr>
        <w:t>vicio de telecomunicaciones.</w:t>
      </w:r>
      <w:r>
        <w:rPr>
          <w:rFonts w:ascii="Arial" w:hAnsi="Arial" w:cs="Arial"/>
          <w:lang w:val="es-CO"/>
        </w:rPr>
        <w:t xml:space="preserve"> En la prestación del servicio de telecomunicaciones que genere ingresos gravables en Colombia, se aceptarán los costos en que se ha incurrido para la prestación del mismo, sin que opere la limitación a que se refiere el artícul</w:t>
      </w:r>
      <w:r>
        <w:rPr>
          <w:rFonts w:ascii="Arial" w:hAnsi="Arial" w:cs="Arial"/>
          <w:lang w:val="es-CO"/>
        </w:rPr>
        <w:t>o 122 del Estatuto Tributario, así sobre tales costos no se haya efectuado retención en la fuente por no existir obligación legal para hacerlo.</w:t>
      </w:r>
    </w:p>
    <w:p w14:paraId="79D509C8" w14:textId="77777777" w:rsidR="00B2442D" w:rsidRDefault="00B2442D">
      <w:pPr>
        <w:jc w:val="both"/>
        <w:rPr>
          <w:rFonts w:ascii="Arial" w:hAnsi="Arial" w:cs="Arial"/>
          <w:i/>
          <w:lang w:val="es-CO"/>
        </w:rPr>
      </w:pPr>
    </w:p>
    <w:p w14:paraId="7CE54858" w14:textId="77777777" w:rsidR="00B2442D" w:rsidRDefault="008A645F">
      <w:pPr>
        <w:jc w:val="both"/>
        <w:rPr>
          <w:rFonts w:ascii="Arial" w:hAnsi="Arial" w:cs="Arial"/>
          <w:i/>
          <w:lang w:val="es-CO"/>
        </w:rPr>
      </w:pPr>
      <w:r>
        <w:rPr>
          <w:rFonts w:ascii="Arial" w:hAnsi="Arial" w:cs="Arial"/>
          <w:i/>
          <w:lang w:val="es-CO"/>
        </w:rPr>
        <w:t>(Art. 31, Decreto 0836 de 1991)</w:t>
      </w:r>
    </w:p>
    <w:p w14:paraId="03156091" w14:textId="77777777" w:rsidR="00B2442D" w:rsidRDefault="00B2442D">
      <w:pPr>
        <w:jc w:val="both"/>
        <w:rPr>
          <w:rFonts w:ascii="Arial" w:hAnsi="Arial" w:cs="Arial"/>
          <w:lang w:val="es-CO"/>
        </w:rPr>
      </w:pPr>
    </w:p>
    <w:p w14:paraId="6626533F"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 Valor de la enajenación de los bienes en los contratos de arrendamiento finan</w:t>
      </w:r>
      <w:r>
        <w:rPr>
          <w:rFonts w:ascii="Arial" w:hAnsi="Arial" w:cs="Arial"/>
          <w:b/>
          <w:i/>
          <w:lang w:val="es-CO"/>
        </w:rPr>
        <w:t>ciero.</w:t>
      </w:r>
      <w:r>
        <w:rPr>
          <w:rFonts w:ascii="Arial" w:hAnsi="Arial" w:cs="Arial"/>
          <w:lang w:val="es-CO"/>
        </w:rPr>
        <w:t xml:space="preserve"> En el caso de enajenación de bienes objeto de un contrato de arrendamiento financiero, se tendrá como valor comercial de enajenación para efectos tributarios, el valor de la opción de compra.</w:t>
      </w:r>
    </w:p>
    <w:p w14:paraId="6754770C" w14:textId="77777777" w:rsidR="00B2442D" w:rsidRDefault="008A645F">
      <w:pPr>
        <w:jc w:val="both"/>
        <w:rPr>
          <w:rFonts w:ascii="Arial" w:hAnsi="Arial" w:cs="Arial"/>
          <w:lang w:val="es-CO"/>
        </w:rPr>
      </w:pPr>
      <w:r>
        <w:rPr>
          <w:rFonts w:ascii="Arial" w:hAnsi="Arial" w:cs="Arial"/>
          <w:lang w:val="es-CO"/>
        </w:rPr>
        <w:t xml:space="preserve">  </w:t>
      </w:r>
    </w:p>
    <w:p w14:paraId="2E67EC10" w14:textId="77777777" w:rsidR="00B2442D" w:rsidRDefault="008A645F">
      <w:pPr>
        <w:jc w:val="both"/>
        <w:rPr>
          <w:rFonts w:ascii="Arial" w:hAnsi="Arial" w:cs="Arial"/>
          <w:lang w:val="es-CO"/>
        </w:rPr>
      </w:pPr>
      <w:r>
        <w:rPr>
          <w:rFonts w:ascii="Arial" w:hAnsi="Arial" w:cs="Arial"/>
          <w:lang w:val="es-CO"/>
        </w:rPr>
        <w:t>Cuando se trate de bienes raíces, se aceptará para efe</w:t>
      </w:r>
      <w:r>
        <w:rPr>
          <w:rFonts w:ascii="Arial" w:hAnsi="Arial" w:cs="Arial"/>
          <w:lang w:val="es-CO"/>
        </w:rPr>
        <w:t>ctos fiscales, que el precio de venta sea inferior al costo o al avalúo catastral vigente en la fecha de enajenación, siempre que el valor de la opción de compra sumado al valor de los cánones de arrendamiento causados con anterioridad a la enajenación, su</w:t>
      </w:r>
      <w:r>
        <w:rPr>
          <w:rFonts w:ascii="Arial" w:hAnsi="Arial" w:cs="Arial"/>
          <w:lang w:val="es-CO"/>
        </w:rPr>
        <w:t xml:space="preserve">pere el costo o el avalúo catastral vigente, según el caso, en la fecha de enajenación. </w:t>
      </w:r>
    </w:p>
    <w:p w14:paraId="63D80072" w14:textId="77777777" w:rsidR="00B2442D" w:rsidRDefault="00B2442D">
      <w:pPr>
        <w:jc w:val="both"/>
        <w:rPr>
          <w:rFonts w:ascii="Arial" w:hAnsi="Arial" w:cs="Arial"/>
          <w:lang w:val="es-CO"/>
        </w:rPr>
      </w:pPr>
    </w:p>
    <w:p w14:paraId="7095FF0F" w14:textId="77777777" w:rsidR="00B2442D" w:rsidRDefault="008A645F">
      <w:pPr>
        <w:jc w:val="both"/>
        <w:rPr>
          <w:rFonts w:ascii="Arial" w:hAnsi="Arial" w:cs="Arial"/>
          <w:lang w:val="es-CO"/>
        </w:rPr>
      </w:pPr>
      <w:r>
        <w:rPr>
          <w:rFonts w:ascii="Arial" w:hAnsi="Arial" w:cs="Arial"/>
          <w:lang w:val="es-CO"/>
        </w:rPr>
        <w:t xml:space="preserve">Cuando el valor de la opción de compra sumado al valor de los cánones de arrendamiento causados con anterioridad a la enajenación fuere inferior al costo o al </w:t>
      </w:r>
      <w:r>
        <w:rPr>
          <w:rFonts w:ascii="Arial" w:hAnsi="Arial" w:cs="Arial"/>
          <w:lang w:val="es-CO"/>
        </w:rPr>
        <w:t xml:space="preserve">avalúo catastral vigente, para efectos fiscales se deberá agregar, al precio de venta, el valor que resulte de restar del costo o avalúo catastral vigente, según corresponda, el valor de la opción de compra sumado al valor de los cánones de arrendamientos </w:t>
      </w:r>
      <w:r>
        <w:rPr>
          <w:rFonts w:ascii="Arial" w:hAnsi="Arial" w:cs="Arial"/>
          <w:lang w:val="es-CO"/>
        </w:rPr>
        <w:t>causados con anterioridad a la enajenación.</w:t>
      </w:r>
    </w:p>
    <w:p w14:paraId="4566E6FF" w14:textId="77777777" w:rsidR="00B2442D" w:rsidRDefault="00B2442D">
      <w:pPr>
        <w:jc w:val="both"/>
        <w:rPr>
          <w:rFonts w:ascii="Arial" w:hAnsi="Arial" w:cs="Arial"/>
          <w:i/>
          <w:lang w:val="es-CO"/>
        </w:rPr>
      </w:pPr>
    </w:p>
    <w:p w14:paraId="17B8AAEB" w14:textId="77777777" w:rsidR="00B2442D" w:rsidRDefault="008A645F">
      <w:pPr>
        <w:jc w:val="both"/>
        <w:rPr>
          <w:rFonts w:ascii="Arial" w:hAnsi="Arial" w:cs="Arial"/>
          <w:i/>
          <w:lang w:val="es-CO"/>
        </w:rPr>
      </w:pPr>
      <w:r>
        <w:rPr>
          <w:rFonts w:ascii="Arial" w:hAnsi="Arial" w:cs="Arial"/>
          <w:i/>
          <w:lang w:val="es-CO"/>
        </w:rPr>
        <w:t>(Art. 36, Decreto 0836 de 1991)</w:t>
      </w:r>
    </w:p>
    <w:p w14:paraId="2281AA87" w14:textId="77777777" w:rsidR="00B2442D" w:rsidRDefault="00B2442D">
      <w:pPr>
        <w:jc w:val="both"/>
        <w:rPr>
          <w:rFonts w:ascii="Arial" w:hAnsi="Arial" w:cs="Arial"/>
          <w:lang w:val="es-CO"/>
        </w:rPr>
      </w:pPr>
    </w:p>
    <w:p w14:paraId="6377B683"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Avalúo como costo fiscal.</w:t>
      </w:r>
      <w:r>
        <w:rPr>
          <w:rFonts w:ascii="Arial" w:hAnsi="Arial" w:cs="Arial"/>
          <w:i/>
          <w:lang w:val="es-CO"/>
        </w:rPr>
        <w:t xml:space="preserve"> </w:t>
      </w:r>
      <w:r>
        <w:rPr>
          <w:rFonts w:ascii="Arial" w:hAnsi="Arial" w:cs="Arial"/>
          <w:lang w:val="es-CO"/>
        </w:rPr>
        <w:t>Los autoavalúos incluidos en las declaraciones del Impuesto Predial Unificado, autorizadas por los concejos municipales de acuerdo con el artículo 12 de</w:t>
      </w:r>
      <w:r>
        <w:rPr>
          <w:rFonts w:ascii="Arial" w:hAnsi="Arial" w:cs="Arial"/>
          <w:lang w:val="es-CO"/>
        </w:rPr>
        <w:t xml:space="preserve"> la Ley 44 de 1990, y por el artículo 155 del Decreto 1421 de 1993 en el caso de Santafé de Bogotá D.C., hoy Bogotá Distrito Capital, podrán ser tomados como costo para la determinación de la renta o ganancia ocasional en la enajenación de inmuebles que co</w:t>
      </w:r>
      <w:r>
        <w:rPr>
          <w:rFonts w:ascii="Arial" w:hAnsi="Arial" w:cs="Arial"/>
          <w:lang w:val="es-CO"/>
        </w:rPr>
        <w:t xml:space="preserve">nstituyan activos fijos para el contribuyente. También podrán ser tomados como costo, para los mismos efectos, los avalúos catastrales formados o actualizados por las respectivas autoridades de acuerdo con lo previsto en los artículos 5° y 6° de la Ley 14 </w:t>
      </w:r>
      <w:r>
        <w:rPr>
          <w:rFonts w:ascii="Arial" w:hAnsi="Arial" w:cs="Arial"/>
          <w:lang w:val="es-CO"/>
        </w:rPr>
        <w:t xml:space="preserve">de 1983, en la forma como fueron modificados por los artículos 74 y 75, respectivamente, de la Ley 75 de 1986. </w:t>
      </w:r>
    </w:p>
    <w:p w14:paraId="02A1A5A5" w14:textId="77777777" w:rsidR="00B2442D" w:rsidRDefault="008A645F">
      <w:pPr>
        <w:jc w:val="both"/>
        <w:rPr>
          <w:rFonts w:ascii="Arial" w:hAnsi="Arial" w:cs="Arial"/>
          <w:lang w:val="es-CO"/>
        </w:rPr>
      </w:pPr>
      <w:r>
        <w:rPr>
          <w:rFonts w:ascii="Arial" w:hAnsi="Arial" w:cs="Arial"/>
          <w:lang w:val="es-CO"/>
        </w:rPr>
        <w:t xml:space="preserve"> </w:t>
      </w:r>
    </w:p>
    <w:p w14:paraId="0E5C6D8E" w14:textId="77777777" w:rsidR="00B2442D" w:rsidRDefault="008A645F">
      <w:pPr>
        <w:jc w:val="both"/>
        <w:rPr>
          <w:rFonts w:ascii="Arial" w:hAnsi="Arial" w:cs="Arial"/>
          <w:lang w:val="es-CO"/>
        </w:rPr>
      </w:pPr>
      <w:r>
        <w:rPr>
          <w:rFonts w:ascii="Arial" w:hAnsi="Arial" w:cs="Arial"/>
          <w:lang w:val="es-CO"/>
        </w:rPr>
        <w:t>Los avalúos no formados, a los cuales se refiere el artículo 7° de la Ley 14 de 1983, no se tendrán en cuenta para los fines previstos en este</w:t>
      </w:r>
      <w:r>
        <w:rPr>
          <w:rFonts w:ascii="Arial" w:hAnsi="Arial" w:cs="Arial"/>
          <w:lang w:val="es-CO"/>
        </w:rPr>
        <w:t xml:space="preserve"> artículo.</w:t>
      </w:r>
    </w:p>
    <w:p w14:paraId="0AE3A66D" w14:textId="77777777" w:rsidR="00B2442D" w:rsidRDefault="00B2442D">
      <w:pPr>
        <w:jc w:val="both"/>
        <w:rPr>
          <w:rFonts w:ascii="Arial" w:hAnsi="Arial" w:cs="Arial"/>
          <w:i/>
          <w:lang w:val="es-CO"/>
        </w:rPr>
      </w:pPr>
    </w:p>
    <w:p w14:paraId="5A7452CD" w14:textId="77777777" w:rsidR="00B2442D" w:rsidRDefault="008A645F">
      <w:pPr>
        <w:jc w:val="both"/>
        <w:rPr>
          <w:rFonts w:ascii="Arial" w:hAnsi="Arial" w:cs="Arial"/>
          <w:i/>
          <w:lang w:val="es-CO"/>
        </w:rPr>
      </w:pPr>
      <w:r>
        <w:rPr>
          <w:rFonts w:ascii="Arial" w:hAnsi="Arial" w:cs="Arial"/>
          <w:i/>
          <w:lang w:val="es-CO"/>
        </w:rPr>
        <w:t>(Art. 6, Decreto 326 de 1995)</w:t>
      </w:r>
    </w:p>
    <w:p w14:paraId="3B996CF2" w14:textId="77777777" w:rsidR="00B2442D" w:rsidRDefault="00B2442D">
      <w:pPr>
        <w:jc w:val="both"/>
        <w:rPr>
          <w:rFonts w:ascii="Arial" w:hAnsi="Arial" w:cs="Arial"/>
          <w:lang w:val="es-CO"/>
        </w:rPr>
      </w:pPr>
    </w:p>
    <w:p w14:paraId="07F55E07"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 Requisitos para aceptar el avalúo como costo.</w:t>
      </w:r>
      <w:r>
        <w:rPr>
          <w:rFonts w:ascii="Arial" w:hAnsi="Arial" w:cs="Arial"/>
          <w:i/>
          <w:lang w:val="es-CO"/>
        </w:rPr>
        <w:t xml:space="preserve"> </w:t>
      </w:r>
      <w:r>
        <w:rPr>
          <w:rFonts w:ascii="Arial" w:hAnsi="Arial" w:cs="Arial"/>
          <w:lang w:val="es-CO"/>
        </w:rPr>
        <w:t>Para que los autoavalúos o avalúos mencionados en el artículo precedente puedan ser utilizados como costo fiscal en la enajenación de inmuebles, se requiere el cumpli</w:t>
      </w:r>
      <w:r>
        <w:rPr>
          <w:rFonts w:ascii="Arial" w:hAnsi="Arial" w:cs="Arial"/>
          <w:lang w:val="es-CO"/>
        </w:rPr>
        <w:t xml:space="preserve">miento de los siguientes requisitos: </w:t>
      </w:r>
    </w:p>
    <w:p w14:paraId="6B24EB69" w14:textId="77777777" w:rsidR="00B2442D" w:rsidRDefault="008A645F">
      <w:pPr>
        <w:jc w:val="both"/>
        <w:rPr>
          <w:rFonts w:ascii="Arial" w:hAnsi="Arial" w:cs="Arial"/>
          <w:lang w:val="es-CO"/>
        </w:rPr>
      </w:pPr>
      <w:r>
        <w:rPr>
          <w:rFonts w:ascii="Arial" w:hAnsi="Arial" w:cs="Arial"/>
          <w:lang w:val="es-CO"/>
        </w:rPr>
        <w:t xml:space="preserve"> </w:t>
      </w:r>
    </w:p>
    <w:p w14:paraId="0268162E" w14:textId="77777777" w:rsidR="00B2442D" w:rsidRDefault="008A645F">
      <w:pPr>
        <w:jc w:val="both"/>
        <w:rPr>
          <w:rFonts w:ascii="Arial" w:hAnsi="Arial" w:cs="Arial"/>
          <w:lang w:val="es-CO"/>
        </w:rPr>
      </w:pPr>
      <w:r>
        <w:rPr>
          <w:rFonts w:ascii="Arial" w:hAnsi="Arial" w:cs="Arial"/>
          <w:lang w:val="es-CO"/>
        </w:rPr>
        <w:t xml:space="preserve">Que el inmueble enajenado constituya activo fijo para el contribuyente, de acuerdo con el artículo 60 del Estatuto Tributario. </w:t>
      </w:r>
    </w:p>
    <w:p w14:paraId="6E27A013" w14:textId="77777777" w:rsidR="00B2442D" w:rsidRDefault="00B2442D">
      <w:pPr>
        <w:jc w:val="both"/>
        <w:rPr>
          <w:rFonts w:ascii="Arial" w:hAnsi="Arial" w:cs="Arial"/>
          <w:lang w:val="es-CO"/>
        </w:rPr>
      </w:pPr>
    </w:p>
    <w:p w14:paraId="0134F00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opción a que se refiere este artículo es sin perjuicio de la facultad que</w:t>
      </w:r>
      <w:r>
        <w:rPr>
          <w:rFonts w:ascii="Arial" w:hAnsi="Arial" w:cs="Arial"/>
          <w:lang w:val="es-CO"/>
        </w:rPr>
        <w:t xml:space="preserve"> tienen los contribuyentes para determinar el costo fiscal a los activos fijos con base en lo dispuesto en los artículos 69, 70 y 73 del Estatuto Tributario.</w:t>
      </w:r>
    </w:p>
    <w:p w14:paraId="66E99934" w14:textId="77777777" w:rsidR="00B2442D" w:rsidRDefault="00B2442D">
      <w:pPr>
        <w:jc w:val="both"/>
        <w:rPr>
          <w:rFonts w:ascii="Arial" w:hAnsi="Arial" w:cs="Arial"/>
          <w:i/>
          <w:lang w:val="es-CO"/>
        </w:rPr>
      </w:pPr>
    </w:p>
    <w:p w14:paraId="2AA75D79" w14:textId="77777777" w:rsidR="00B2442D" w:rsidRDefault="008A645F">
      <w:pPr>
        <w:jc w:val="both"/>
        <w:rPr>
          <w:rFonts w:ascii="Arial" w:hAnsi="Arial" w:cs="Arial"/>
          <w:i/>
          <w:lang w:val="es-CO"/>
        </w:rPr>
      </w:pPr>
      <w:r>
        <w:rPr>
          <w:rFonts w:ascii="Arial" w:hAnsi="Arial" w:cs="Arial"/>
          <w:i/>
          <w:lang w:val="es-CO"/>
        </w:rPr>
        <w:t xml:space="preserve">(Art. 7, Decreto 326 de 1995. Numeral 2 declarado NULO por el Consejo de Estado, Sección Cuarta, </w:t>
      </w:r>
      <w:r>
        <w:rPr>
          <w:rFonts w:ascii="Arial" w:hAnsi="Arial" w:cs="Arial"/>
          <w:i/>
          <w:lang w:val="es-CO"/>
        </w:rPr>
        <w:t>marzo 18 de 2004. Exp. 13551. Numeral 3 Suspendido provisionalmente mediante auto del 16-02-15, Consejo de Estado, Sección Cuarta. Numeral 4 y parágrafo 1° retirados como consecuencia de lo anterior. El numeral 5 tiene decaimiento por la evolución legislat</w:t>
      </w:r>
      <w:r>
        <w:rPr>
          <w:rFonts w:ascii="Arial" w:hAnsi="Arial" w:cs="Arial"/>
          <w:i/>
          <w:lang w:val="es-CO"/>
        </w:rPr>
        <w:t>iva (Artículo 78 de la Ley 1111 de 2006). Parágrafo transitorio perdió vigencia.)</w:t>
      </w:r>
    </w:p>
    <w:p w14:paraId="71B9BA61" w14:textId="77777777" w:rsidR="00B2442D" w:rsidRDefault="00B2442D">
      <w:pPr>
        <w:jc w:val="both"/>
        <w:rPr>
          <w:rFonts w:ascii="Arial" w:hAnsi="Arial" w:cs="Arial"/>
          <w:lang w:val="es-CO"/>
        </w:rPr>
      </w:pPr>
    </w:p>
    <w:p w14:paraId="7D3009C1"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Costo de los inventarios.</w:t>
      </w:r>
      <w:r>
        <w:rPr>
          <w:rFonts w:ascii="Arial" w:hAnsi="Arial" w:cs="Arial"/>
          <w:i/>
          <w:lang w:val="es-CO"/>
        </w:rPr>
        <w:t xml:space="preserve"> </w:t>
      </w:r>
      <w:r>
        <w:rPr>
          <w:rFonts w:ascii="Arial" w:hAnsi="Arial" w:cs="Arial"/>
          <w:lang w:val="es-CO"/>
        </w:rPr>
        <w:t>A partir del año gravable de 1995 los contribuyentes obligados a presentar a su declaración de renta firmada por revisor fiscal o contador público,</w:t>
      </w:r>
      <w:r>
        <w:rPr>
          <w:rFonts w:ascii="Arial" w:hAnsi="Arial" w:cs="Arial"/>
          <w:lang w:val="es-CO"/>
        </w:rPr>
        <w:t xml:space="preserve"> únicamente pueden determinar el costo de enajenación de los activos movibles por alguno de los sistemas previstos en los numerales 2 y 3 del artículo 62 del Estatuto Tributario.</w:t>
      </w:r>
    </w:p>
    <w:p w14:paraId="36F32E52" w14:textId="77777777" w:rsidR="00B2442D" w:rsidRDefault="00B2442D">
      <w:pPr>
        <w:jc w:val="both"/>
        <w:rPr>
          <w:rFonts w:ascii="Arial" w:hAnsi="Arial" w:cs="Arial"/>
          <w:i/>
          <w:lang w:val="es-CO"/>
        </w:rPr>
      </w:pPr>
    </w:p>
    <w:p w14:paraId="2A44C759" w14:textId="77777777" w:rsidR="00B2442D" w:rsidRDefault="008A645F">
      <w:pPr>
        <w:jc w:val="both"/>
        <w:rPr>
          <w:rFonts w:ascii="Arial" w:hAnsi="Arial" w:cs="Arial"/>
          <w:i/>
          <w:lang w:val="es-CO"/>
        </w:rPr>
      </w:pPr>
      <w:r>
        <w:rPr>
          <w:rFonts w:ascii="Arial" w:hAnsi="Arial" w:cs="Arial"/>
          <w:i/>
          <w:lang w:val="es-CO"/>
        </w:rPr>
        <w:t>(Art. 1, Decreto 326 de 1995. Parágrafo 1</w:t>
      </w:r>
      <w:r>
        <w:rPr>
          <w:rFonts w:ascii="Arial" w:hAnsi="Arial" w:cs="Arial"/>
          <w:i/>
        </w:rPr>
        <w:t xml:space="preserve"> </w:t>
      </w:r>
      <w:r>
        <w:rPr>
          <w:rFonts w:ascii="Arial" w:hAnsi="Arial" w:cs="Arial"/>
          <w:i/>
          <w:lang w:val="es-CO"/>
        </w:rPr>
        <w:t xml:space="preserve">derogado tácitamente por el </w:t>
      </w:r>
      <w:r>
        <w:rPr>
          <w:rFonts w:ascii="Arial" w:hAnsi="Arial" w:cs="Arial"/>
          <w:i/>
          <w:lang w:val="es-CO"/>
        </w:rPr>
        <w:t>artículo 3 del Decreto 1333 de 1996. Parágrafo 2 tiene pérdida de vigencia por cumplimiento del plazo)</w:t>
      </w:r>
    </w:p>
    <w:p w14:paraId="2BA066B8" w14:textId="77777777" w:rsidR="00B2442D" w:rsidRDefault="00B2442D">
      <w:pPr>
        <w:jc w:val="center"/>
        <w:rPr>
          <w:rFonts w:ascii="Arial" w:hAnsi="Arial" w:cs="Arial"/>
          <w:b/>
          <w:lang w:val="es-CO"/>
        </w:rPr>
      </w:pPr>
    </w:p>
    <w:p w14:paraId="43915BF6"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Juego de inventarios.</w:t>
      </w:r>
      <w:r>
        <w:rPr>
          <w:rFonts w:ascii="Arial" w:hAnsi="Arial" w:cs="Arial"/>
          <w:lang w:val="es-CO"/>
        </w:rPr>
        <w:t xml:space="preserve"> Cuando el costo de lo vendido se determine por el sistema de juego de inventarios, no deben incluirse: </w:t>
      </w:r>
    </w:p>
    <w:p w14:paraId="3A81D245" w14:textId="77777777" w:rsidR="00B2442D" w:rsidRDefault="008A645F">
      <w:pPr>
        <w:jc w:val="both"/>
        <w:rPr>
          <w:rFonts w:ascii="Arial" w:hAnsi="Arial" w:cs="Arial"/>
          <w:lang w:val="es-CO"/>
        </w:rPr>
      </w:pPr>
      <w:r>
        <w:rPr>
          <w:rFonts w:ascii="Arial" w:hAnsi="Arial" w:cs="Arial"/>
          <w:lang w:val="es-CO"/>
        </w:rPr>
        <w:t xml:space="preserve"> </w:t>
      </w:r>
    </w:p>
    <w:p w14:paraId="216C7C1B" w14:textId="77777777" w:rsidR="00B2442D" w:rsidRDefault="008A645F">
      <w:pPr>
        <w:jc w:val="both"/>
        <w:rPr>
          <w:rFonts w:ascii="Arial" w:hAnsi="Arial" w:cs="Arial"/>
          <w:lang w:val="es-CO"/>
        </w:rPr>
      </w:pPr>
      <w:r>
        <w:rPr>
          <w:rFonts w:ascii="Arial" w:hAnsi="Arial" w:cs="Arial"/>
          <w:lang w:val="es-CO"/>
        </w:rPr>
        <w:t>a). Las mercancías en tr</w:t>
      </w:r>
      <w:r>
        <w:rPr>
          <w:rFonts w:ascii="Arial" w:hAnsi="Arial" w:cs="Arial"/>
          <w:lang w:val="es-CO"/>
        </w:rPr>
        <w:t xml:space="preserve">ánsito. </w:t>
      </w:r>
    </w:p>
    <w:p w14:paraId="59E1E5E2" w14:textId="77777777" w:rsidR="00B2442D" w:rsidRDefault="00B2442D">
      <w:pPr>
        <w:jc w:val="both"/>
        <w:rPr>
          <w:rFonts w:ascii="Arial" w:hAnsi="Arial" w:cs="Arial"/>
          <w:lang w:val="es-CO"/>
        </w:rPr>
      </w:pPr>
    </w:p>
    <w:p w14:paraId="4A3CF348" w14:textId="77777777" w:rsidR="00B2442D" w:rsidRDefault="008A645F">
      <w:pPr>
        <w:jc w:val="both"/>
        <w:rPr>
          <w:rFonts w:ascii="Arial" w:hAnsi="Arial" w:cs="Arial"/>
          <w:lang w:val="es-CO"/>
        </w:rPr>
      </w:pPr>
      <w:r>
        <w:rPr>
          <w:rFonts w:ascii="Arial" w:hAnsi="Arial" w:cs="Arial"/>
          <w:lang w:val="es-CO"/>
        </w:rPr>
        <w:t>En caso de que se realicen ventas de tales mercancías, dichas ventas y sus costos provisionales se contabilizarán como diferidos. La utilidad o pérdida fiscal se determinará e incluirá en la renta del año en que se haga la liquidación completa y exacta del</w:t>
      </w:r>
      <w:r>
        <w:rPr>
          <w:rFonts w:ascii="Arial" w:hAnsi="Arial" w:cs="Arial"/>
          <w:lang w:val="es-CO"/>
        </w:rPr>
        <w:t xml:space="preserve"> correspondiente costo. </w:t>
      </w:r>
    </w:p>
    <w:p w14:paraId="1F4DE561" w14:textId="77777777" w:rsidR="00B2442D" w:rsidRDefault="00B2442D">
      <w:pPr>
        <w:jc w:val="both"/>
        <w:rPr>
          <w:rFonts w:ascii="Arial" w:hAnsi="Arial" w:cs="Arial"/>
          <w:lang w:val="es-CO"/>
        </w:rPr>
      </w:pPr>
    </w:p>
    <w:p w14:paraId="0A657403" w14:textId="77777777" w:rsidR="00B2442D" w:rsidRDefault="008A645F">
      <w:pPr>
        <w:jc w:val="both"/>
        <w:rPr>
          <w:rFonts w:ascii="Arial" w:hAnsi="Arial" w:cs="Arial"/>
          <w:lang w:val="es-CO"/>
        </w:rPr>
      </w:pPr>
      <w:r>
        <w:rPr>
          <w:rFonts w:ascii="Arial" w:hAnsi="Arial" w:cs="Arial"/>
          <w:lang w:val="es-CO"/>
        </w:rPr>
        <w:t xml:space="preserve"> b). Las mercancías recibidas en consignación.</w:t>
      </w:r>
    </w:p>
    <w:p w14:paraId="71204C49" w14:textId="77777777" w:rsidR="00B2442D" w:rsidRDefault="00B2442D">
      <w:pPr>
        <w:jc w:val="both"/>
        <w:rPr>
          <w:rFonts w:ascii="Arial" w:hAnsi="Arial" w:cs="Arial"/>
          <w:i/>
          <w:lang w:val="es-CO"/>
        </w:rPr>
      </w:pPr>
    </w:p>
    <w:p w14:paraId="7F1B8B5F" w14:textId="77777777" w:rsidR="00B2442D" w:rsidRDefault="008A645F">
      <w:pPr>
        <w:jc w:val="both"/>
        <w:rPr>
          <w:rFonts w:ascii="Arial" w:hAnsi="Arial" w:cs="Arial"/>
          <w:i/>
          <w:lang w:val="es-CO"/>
        </w:rPr>
      </w:pPr>
      <w:r>
        <w:rPr>
          <w:rFonts w:ascii="Arial" w:hAnsi="Arial" w:cs="Arial"/>
          <w:i/>
          <w:lang w:val="es-CO"/>
        </w:rPr>
        <w:t>(Art. 27, Decreto 187 de 1975) (Vigencia del Decreto 187 de 1975. El Decreto 187 de 1975 se aplicará a partir del ejercicio impositivo de 1974 salvo los casos expresamente exceptuado</w:t>
      </w:r>
      <w:r>
        <w:rPr>
          <w:rFonts w:ascii="Arial" w:hAnsi="Arial" w:cs="Arial"/>
          <w:i/>
          <w:lang w:val="es-CO"/>
        </w:rPr>
        <w:t>s en el mismo o en las normas sustantivas y procedimentales del impuesto sobre la renta y complementario. (Art. 117, Decreto 187 de 1975))</w:t>
      </w:r>
    </w:p>
    <w:p w14:paraId="5EBEA948" w14:textId="77777777" w:rsidR="00B2442D" w:rsidRDefault="00B2442D">
      <w:pPr>
        <w:jc w:val="both"/>
        <w:rPr>
          <w:rFonts w:ascii="Arial" w:hAnsi="Arial" w:cs="Arial"/>
          <w:lang w:val="es-CO"/>
        </w:rPr>
      </w:pPr>
    </w:p>
    <w:p w14:paraId="53710D0A"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Inventarios permanentes.</w:t>
      </w:r>
      <w:r>
        <w:rPr>
          <w:rFonts w:ascii="Arial" w:hAnsi="Arial" w:cs="Arial"/>
          <w:lang w:val="es-CO"/>
        </w:rPr>
        <w:t xml:space="preserve"> En el sistema de inventarios permanentes o continuos, el costo se contabilizará en las tarj</w:t>
      </w:r>
      <w:r>
        <w:rPr>
          <w:rFonts w:ascii="Arial" w:hAnsi="Arial" w:cs="Arial"/>
          <w:lang w:val="es-CO"/>
        </w:rPr>
        <w:t>etas señaladas en el artículo 1.6.1.5.7., 1.2.1.17.9 1.2.1.17.11, 1.2.1.17.12, 1.2.1.18.9, 1.2.1.18.10, 1.2.1.18.11, 1.2.1.18.13, 1.2.1.18.17, 1.2.1.18.58, 1.2.1.18.3, 1.2.1.18.19 al 1.2.1.18.25, 1.2.1.21.2, 1.2.1.19.2, 1.2.3.2, 1.2.3.5, 1.2.3.6 y 1.2.1.19</w:t>
      </w:r>
      <w:r>
        <w:rPr>
          <w:rFonts w:ascii="Arial" w:hAnsi="Arial" w:cs="Arial"/>
          <w:lang w:val="es-CO"/>
        </w:rPr>
        <w:t>.3 del presente Decreto, en el momento de realizarse la venta, de conformidad con las disposiciones del presente Decreto. El costo de lo vendido se tomará de dichos inventarios.</w:t>
      </w:r>
    </w:p>
    <w:p w14:paraId="330E2953" w14:textId="77777777" w:rsidR="00B2442D" w:rsidRDefault="00B2442D">
      <w:pPr>
        <w:jc w:val="both"/>
        <w:rPr>
          <w:rFonts w:ascii="Arial" w:hAnsi="Arial" w:cs="Arial"/>
          <w:i/>
          <w:lang w:val="es-CO"/>
        </w:rPr>
      </w:pPr>
    </w:p>
    <w:p w14:paraId="4154362F" w14:textId="77777777" w:rsidR="00B2442D" w:rsidRDefault="008A645F">
      <w:pPr>
        <w:jc w:val="both"/>
        <w:rPr>
          <w:rFonts w:ascii="Arial" w:hAnsi="Arial" w:cs="Arial"/>
          <w:i/>
          <w:lang w:val="es-CO"/>
        </w:rPr>
      </w:pPr>
      <w:r>
        <w:rPr>
          <w:rFonts w:ascii="Arial" w:hAnsi="Arial" w:cs="Arial"/>
          <w:i/>
          <w:lang w:val="es-CO"/>
        </w:rPr>
        <w:t xml:space="preserve">(Art. 29, Decreto 187 de 1975) (Vigencia del Decreto 187 de 1975. El Decreto </w:t>
      </w:r>
      <w:r>
        <w:rPr>
          <w:rFonts w:ascii="Arial" w:hAnsi="Arial" w:cs="Arial"/>
          <w:i/>
          <w:lang w:val="es-CO"/>
        </w:rPr>
        <w:t>187 de 1975 se aplicará a partir del ejercicio impositivo de 1974 salvo los casos expresamente exceptuados en el mismo o en las normas sustantivas y procedimentales del impuesto sobre la renta y complementario. (Art. 117, Decreto 187 de 1975))</w:t>
      </w:r>
    </w:p>
    <w:p w14:paraId="56AF8B87" w14:textId="77777777" w:rsidR="00B2442D" w:rsidRDefault="00B2442D">
      <w:pPr>
        <w:jc w:val="both"/>
        <w:rPr>
          <w:rFonts w:ascii="Arial" w:hAnsi="Arial" w:cs="Arial"/>
          <w:lang w:val="es-CO"/>
        </w:rPr>
      </w:pPr>
    </w:p>
    <w:p w14:paraId="2788ADCF"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 xml:space="preserve">Control de </w:t>
      </w:r>
      <w:r>
        <w:rPr>
          <w:rFonts w:ascii="Arial" w:hAnsi="Arial" w:cs="Arial"/>
          <w:b/>
          <w:i/>
          <w:lang w:val="es-CO"/>
        </w:rPr>
        <w:t>las mercancías.</w:t>
      </w:r>
      <w:r>
        <w:rPr>
          <w:rFonts w:ascii="Arial" w:hAnsi="Arial" w:cs="Arial"/>
          <w:i/>
          <w:lang w:val="es-CO"/>
        </w:rPr>
        <w:t xml:space="preserve"> </w:t>
      </w:r>
      <w:r>
        <w:rPr>
          <w:rFonts w:ascii="Arial" w:hAnsi="Arial" w:cs="Arial"/>
          <w:lang w:val="es-CO"/>
        </w:rPr>
        <w:t>Los contribuyentes que determinen los costos de ventas por el sistema de inventarios permanentes o continuos, deberán llevar el control de las mercancías en tarjetas u hojas especiales, las cuales son parte integrante de la contabilidad y c</w:t>
      </w:r>
      <w:r>
        <w:rPr>
          <w:rFonts w:ascii="Arial" w:hAnsi="Arial" w:cs="Arial"/>
          <w:lang w:val="es-CO"/>
        </w:rPr>
        <w:t xml:space="preserve">ontendrán por lo menos, los siguientes datos: </w:t>
      </w:r>
    </w:p>
    <w:p w14:paraId="4180AA07" w14:textId="77777777" w:rsidR="00B2442D" w:rsidRDefault="008A645F">
      <w:pPr>
        <w:jc w:val="both"/>
        <w:rPr>
          <w:rFonts w:ascii="Arial" w:hAnsi="Arial" w:cs="Arial"/>
          <w:lang w:val="es-CO"/>
        </w:rPr>
      </w:pPr>
      <w:r>
        <w:rPr>
          <w:rFonts w:ascii="Arial" w:hAnsi="Arial" w:cs="Arial"/>
          <w:lang w:val="es-CO"/>
        </w:rPr>
        <w:t xml:space="preserve"> </w:t>
      </w:r>
    </w:p>
    <w:p w14:paraId="0007A17E" w14:textId="77777777" w:rsidR="00B2442D" w:rsidRDefault="008A645F">
      <w:pPr>
        <w:jc w:val="both"/>
        <w:rPr>
          <w:rFonts w:ascii="Arial" w:hAnsi="Arial" w:cs="Arial"/>
          <w:lang w:val="es-CO"/>
        </w:rPr>
      </w:pPr>
      <w:r>
        <w:rPr>
          <w:rFonts w:ascii="Arial" w:hAnsi="Arial" w:cs="Arial"/>
          <w:lang w:val="es-CO"/>
        </w:rPr>
        <w:t xml:space="preserve">a) Clase de artículos. </w:t>
      </w:r>
    </w:p>
    <w:p w14:paraId="3FCB152C" w14:textId="77777777" w:rsidR="00B2442D" w:rsidRDefault="008A645F">
      <w:pPr>
        <w:jc w:val="both"/>
        <w:rPr>
          <w:rFonts w:ascii="Arial" w:hAnsi="Arial" w:cs="Arial"/>
          <w:lang w:val="es-CO"/>
        </w:rPr>
      </w:pPr>
      <w:r>
        <w:rPr>
          <w:rFonts w:ascii="Arial" w:hAnsi="Arial" w:cs="Arial"/>
          <w:lang w:val="es-CO"/>
        </w:rPr>
        <w:t xml:space="preserve">b) Fecha de la operación que se registre; </w:t>
      </w:r>
    </w:p>
    <w:p w14:paraId="6CF80DE1" w14:textId="77777777" w:rsidR="00B2442D" w:rsidRDefault="008A645F">
      <w:pPr>
        <w:jc w:val="both"/>
        <w:rPr>
          <w:rFonts w:ascii="Arial" w:hAnsi="Arial" w:cs="Arial"/>
          <w:lang w:val="es-CO"/>
        </w:rPr>
      </w:pPr>
      <w:r>
        <w:rPr>
          <w:rFonts w:ascii="Arial" w:hAnsi="Arial" w:cs="Arial"/>
          <w:lang w:val="es-CO"/>
        </w:rPr>
        <w:t xml:space="preserve">c) Número de comprobante que respalde la operación asentada; </w:t>
      </w:r>
    </w:p>
    <w:p w14:paraId="03395080" w14:textId="77777777" w:rsidR="00B2442D" w:rsidRDefault="008A645F">
      <w:pPr>
        <w:jc w:val="both"/>
        <w:rPr>
          <w:rFonts w:ascii="Arial" w:hAnsi="Arial" w:cs="Arial"/>
          <w:lang w:val="es-CO"/>
        </w:rPr>
      </w:pPr>
      <w:r>
        <w:rPr>
          <w:rFonts w:ascii="Arial" w:hAnsi="Arial" w:cs="Arial"/>
          <w:lang w:val="es-CO"/>
        </w:rPr>
        <w:t xml:space="preserve">d) Número de unidades compradas, vendidas, consumidas o trasladadas. </w:t>
      </w:r>
    </w:p>
    <w:p w14:paraId="48D1F75F" w14:textId="77777777" w:rsidR="00B2442D" w:rsidRDefault="008A645F">
      <w:pPr>
        <w:jc w:val="both"/>
        <w:rPr>
          <w:rFonts w:ascii="Arial" w:hAnsi="Arial" w:cs="Arial"/>
          <w:lang w:val="es-CO"/>
        </w:rPr>
      </w:pPr>
      <w:r>
        <w:rPr>
          <w:rFonts w:ascii="Arial" w:hAnsi="Arial" w:cs="Arial"/>
          <w:lang w:val="es-CO"/>
        </w:rPr>
        <w:t>e) Exist</w:t>
      </w:r>
      <w:r>
        <w:rPr>
          <w:rFonts w:ascii="Arial" w:hAnsi="Arial" w:cs="Arial"/>
          <w:lang w:val="es-CO"/>
        </w:rPr>
        <w:t xml:space="preserve">encias; </w:t>
      </w:r>
    </w:p>
    <w:p w14:paraId="3A0BCC2F" w14:textId="77777777" w:rsidR="00B2442D" w:rsidRDefault="008A645F">
      <w:pPr>
        <w:jc w:val="both"/>
        <w:rPr>
          <w:rFonts w:ascii="Arial" w:hAnsi="Arial" w:cs="Arial"/>
          <w:lang w:val="es-CO"/>
        </w:rPr>
      </w:pPr>
      <w:r>
        <w:rPr>
          <w:rFonts w:ascii="Arial" w:hAnsi="Arial" w:cs="Arial"/>
          <w:lang w:val="es-CO"/>
        </w:rPr>
        <w:t xml:space="preserve">f) Costo de lo comprado, vendido, consumido, etc., y </w:t>
      </w:r>
    </w:p>
    <w:p w14:paraId="71A4FB4A" w14:textId="77777777" w:rsidR="00B2442D" w:rsidRDefault="008A645F">
      <w:pPr>
        <w:jc w:val="both"/>
        <w:rPr>
          <w:rFonts w:ascii="Arial" w:hAnsi="Arial" w:cs="Arial"/>
          <w:lang w:val="es-CO"/>
        </w:rPr>
      </w:pPr>
      <w:r>
        <w:rPr>
          <w:rFonts w:ascii="Arial" w:hAnsi="Arial" w:cs="Arial"/>
          <w:lang w:val="es-CO"/>
        </w:rPr>
        <w:t>g) Costo de las existencias.</w:t>
      </w:r>
    </w:p>
    <w:p w14:paraId="61494C61" w14:textId="77777777" w:rsidR="00B2442D" w:rsidRDefault="00B2442D">
      <w:pPr>
        <w:jc w:val="both"/>
        <w:rPr>
          <w:rFonts w:ascii="Arial" w:hAnsi="Arial" w:cs="Arial"/>
          <w:i/>
          <w:lang w:val="es-CO"/>
        </w:rPr>
      </w:pPr>
    </w:p>
    <w:p w14:paraId="540400E0" w14:textId="77777777" w:rsidR="00B2442D" w:rsidRDefault="008A645F">
      <w:pPr>
        <w:jc w:val="both"/>
        <w:rPr>
          <w:rFonts w:ascii="Arial" w:hAnsi="Arial" w:cs="Arial"/>
          <w:i/>
          <w:lang w:val="es-CO"/>
        </w:rPr>
      </w:pPr>
      <w:r>
        <w:rPr>
          <w:rFonts w:ascii="Arial" w:hAnsi="Arial" w:cs="Arial"/>
          <w:i/>
          <w:lang w:val="es-CO"/>
        </w:rPr>
        <w:t>(Art. 30, Decreto 187 de 1975) (Vigencia del Decreto 187 de 1975. El Decreto 187 de 1975 se aplicará a partir del ejercicio impositivo de 1974 salvo los casos expr</w:t>
      </w:r>
      <w:r>
        <w:rPr>
          <w:rFonts w:ascii="Arial" w:hAnsi="Arial" w:cs="Arial"/>
          <w:i/>
          <w:lang w:val="es-CO"/>
        </w:rPr>
        <w:t>esamente exceptuados en el mismo o en las normas sustantivas y procedimentales del impuesto sobre la renta y complementario. (Art. 117, Decreto 187 de 1975))</w:t>
      </w:r>
    </w:p>
    <w:p w14:paraId="38A270D6" w14:textId="77777777" w:rsidR="00B2442D" w:rsidRDefault="00B2442D">
      <w:pPr>
        <w:jc w:val="both"/>
        <w:rPr>
          <w:rFonts w:ascii="Arial" w:hAnsi="Arial" w:cs="Arial"/>
          <w:lang w:val="es-CO"/>
        </w:rPr>
      </w:pPr>
    </w:p>
    <w:p w14:paraId="4ACF84F4" w14:textId="77777777" w:rsidR="00B2442D" w:rsidRDefault="008A645F">
      <w:pPr>
        <w:pStyle w:val="Prrafodelista"/>
        <w:numPr>
          <w:ilvl w:val="0"/>
          <w:numId w:val="32"/>
        </w:numPr>
        <w:shd w:val="clear" w:color="auto" w:fill="FFFFFF" w:themeFill="background1"/>
        <w:ind w:left="0" w:firstLine="0"/>
        <w:jc w:val="both"/>
        <w:rPr>
          <w:rFonts w:ascii="Arial" w:hAnsi="Arial" w:cs="Arial"/>
          <w:lang w:val="es-CO"/>
        </w:rPr>
      </w:pPr>
      <w:r>
        <w:rPr>
          <w:rFonts w:ascii="Arial" w:hAnsi="Arial" w:cs="Arial"/>
          <w:b/>
          <w:i/>
          <w:lang w:val="es-CO"/>
        </w:rPr>
        <w:t xml:space="preserve">Reglas para asentar inventarios de existencias. </w:t>
      </w:r>
      <w:r>
        <w:rPr>
          <w:rFonts w:ascii="Arial" w:hAnsi="Arial" w:cs="Arial"/>
          <w:lang w:val="es-CO"/>
        </w:rPr>
        <w:t xml:space="preserve">Los inventarios de existencias deberán asentarse </w:t>
      </w:r>
      <w:r>
        <w:rPr>
          <w:rFonts w:ascii="Arial" w:hAnsi="Arial" w:cs="Arial"/>
          <w:lang w:val="es-CO"/>
        </w:rPr>
        <w:t xml:space="preserve">al terminar cada ejercicio, de acuerdo con las siguientes reglas: </w:t>
      </w:r>
    </w:p>
    <w:p w14:paraId="162C5BDC" w14:textId="77777777" w:rsidR="00B2442D" w:rsidRDefault="008A645F">
      <w:pPr>
        <w:jc w:val="both"/>
        <w:rPr>
          <w:rFonts w:ascii="Arial" w:hAnsi="Arial" w:cs="Arial"/>
          <w:lang w:val="es-CO"/>
        </w:rPr>
      </w:pPr>
      <w:r>
        <w:rPr>
          <w:rFonts w:ascii="Arial" w:hAnsi="Arial" w:cs="Arial"/>
          <w:lang w:val="es-CO"/>
        </w:rPr>
        <w:t xml:space="preserve"> </w:t>
      </w:r>
    </w:p>
    <w:p w14:paraId="3ECCCAE2" w14:textId="77777777" w:rsidR="00B2442D" w:rsidRDefault="008A645F">
      <w:pPr>
        <w:jc w:val="both"/>
        <w:rPr>
          <w:rFonts w:ascii="Arial" w:hAnsi="Arial" w:cs="Arial"/>
          <w:lang w:val="es-CO"/>
        </w:rPr>
      </w:pPr>
      <w:r>
        <w:rPr>
          <w:rFonts w:ascii="Arial" w:hAnsi="Arial" w:cs="Arial"/>
          <w:lang w:val="es-CO"/>
        </w:rPr>
        <w:t xml:space="preserve">a) En el libro de inventarios se hará una relación detallada de las existencias, con indicación del número de unidades, el costo unitario y el costo total. </w:t>
      </w:r>
    </w:p>
    <w:p w14:paraId="51901046" w14:textId="77777777" w:rsidR="00B2442D" w:rsidRDefault="00B2442D">
      <w:pPr>
        <w:jc w:val="both"/>
        <w:rPr>
          <w:rFonts w:ascii="Arial" w:hAnsi="Arial" w:cs="Arial"/>
          <w:lang w:val="es-CO"/>
        </w:rPr>
      </w:pPr>
    </w:p>
    <w:p w14:paraId="1ECD34E8" w14:textId="77777777" w:rsidR="00B2442D" w:rsidRDefault="008A645F">
      <w:pPr>
        <w:jc w:val="both"/>
        <w:rPr>
          <w:rFonts w:ascii="Arial" w:hAnsi="Arial" w:cs="Arial"/>
          <w:lang w:val="es-CO"/>
        </w:rPr>
      </w:pPr>
      <w:r>
        <w:rPr>
          <w:rFonts w:ascii="Arial" w:hAnsi="Arial" w:cs="Arial"/>
          <w:lang w:val="es-CO"/>
        </w:rPr>
        <w:t>b) Cuando la cantidad y diversidad de artículos dificulte su registro detallado en el libro de inv</w:t>
      </w:r>
      <w:r>
        <w:rPr>
          <w:rFonts w:ascii="Arial" w:hAnsi="Arial" w:cs="Arial"/>
          <w:lang w:val="es-CO"/>
        </w:rPr>
        <w:t>entarios, podrá asentarse en éste un resumen por grupos o clases de artículos, con indicación de los números de las tarjetas, formas continuas, y otros comprobantes tales como hojas sueltas, debidamente numeradas o selladas por la Administración o Recaudac</w:t>
      </w:r>
      <w:r>
        <w:rPr>
          <w:rFonts w:ascii="Arial" w:hAnsi="Arial" w:cs="Arial"/>
          <w:lang w:val="es-CO"/>
        </w:rPr>
        <w:t xml:space="preserve">ión de Impuestos nacionales, donde aparezca la relación pormenorizada de las existencias. </w:t>
      </w:r>
    </w:p>
    <w:p w14:paraId="41737C34" w14:textId="77777777" w:rsidR="00B2442D" w:rsidRDefault="00B2442D">
      <w:pPr>
        <w:jc w:val="both"/>
        <w:rPr>
          <w:rFonts w:ascii="Arial" w:hAnsi="Arial" w:cs="Arial"/>
          <w:lang w:val="es-CO"/>
        </w:rPr>
      </w:pPr>
    </w:p>
    <w:p w14:paraId="06709B27" w14:textId="77777777" w:rsidR="00B2442D" w:rsidRDefault="008A645F">
      <w:pPr>
        <w:jc w:val="both"/>
        <w:rPr>
          <w:rFonts w:ascii="Arial" w:hAnsi="Arial" w:cs="Arial"/>
          <w:i/>
          <w:lang w:val="es-CO"/>
        </w:rPr>
      </w:pPr>
      <w:r>
        <w:rPr>
          <w:rFonts w:ascii="Arial" w:hAnsi="Arial" w:cs="Arial"/>
          <w:i/>
          <w:lang w:val="es-CO"/>
        </w:rPr>
        <w:t>(Art. 31, Decreto 187 de 1975) (Vigencia del Decreto 187 de 1975. El Decreto 187 de 1975 se aplicará a partir del ejercicio impositivo de 1974 salvo los casos expre</w:t>
      </w:r>
      <w:r>
        <w:rPr>
          <w:rFonts w:ascii="Arial" w:hAnsi="Arial" w:cs="Arial"/>
          <w:i/>
          <w:lang w:val="es-CO"/>
        </w:rPr>
        <w:t>samente exceptuados en el mismo o en las normas sustantivas y procedimentales del impuesto sobre la renta y complementario. (Art. 117, Decreto 187 de 1975))</w:t>
      </w:r>
    </w:p>
    <w:p w14:paraId="28FCECDA" w14:textId="77777777" w:rsidR="00B2442D" w:rsidRDefault="00B2442D">
      <w:pPr>
        <w:jc w:val="both"/>
        <w:rPr>
          <w:rFonts w:ascii="Arial" w:hAnsi="Arial" w:cs="Arial"/>
          <w:lang w:val="es-CO"/>
        </w:rPr>
      </w:pPr>
    </w:p>
    <w:p w14:paraId="0A173E31"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Uso parcial del sistema de inventarios periódicos.</w:t>
      </w:r>
      <w:r>
        <w:rPr>
          <w:rFonts w:ascii="Arial" w:hAnsi="Arial" w:cs="Arial"/>
          <w:lang w:val="es-CO"/>
        </w:rPr>
        <w:t xml:space="preserve"> La Unidad Administrativa Especial Dirección de </w:t>
      </w:r>
      <w:r>
        <w:rPr>
          <w:rFonts w:ascii="Arial" w:hAnsi="Arial" w:cs="Arial"/>
          <w:lang w:val="es-CO"/>
        </w:rPr>
        <w:t>Impuestos y Aduanas Nacionales- DIAN, podrá autorizar a los contribuyentes del impuesto sobre la renta el uso parcial del sistema de inventarios periódicos, en forma combinada con el sistema de inventarios permanentes para determinar el costo de enajenació</w:t>
      </w:r>
      <w:r>
        <w:rPr>
          <w:rFonts w:ascii="Arial" w:hAnsi="Arial" w:cs="Arial"/>
          <w:lang w:val="es-CO"/>
        </w:rPr>
        <w:t>n o producción de los diferentes tipos de clases de inventarios, siempre y cuando las circunstancias técnicas del contribuyente así lo ameriten y las mismas hayan sido demostradas en la solicitud de autorización que se presente para tal efecto.</w:t>
      </w:r>
    </w:p>
    <w:p w14:paraId="38B98CDB" w14:textId="77777777" w:rsidR="00B2442D" w:rsidRDefault="00B2442D">
      <w:pPr>
        <w:jc w:val="both"/>
        <w:rPr>
          <w:rFonts w:ascii="Arial" w:hAnsi="Arial" w:cs="Arial"/>
          <w:i/>
          <w:lang w:val="es-CO"/>
        </w:rPr>
      </w:pPr>
    </w:p>
    <w:p w14:paraId="415D8A18" w14:textId="77777777" w:rsidR="00B2442D" w:rsidRDefault="008A645F">
      <w:pPr>
        <w:jc w:val="both"/>
        <w:rPr>
          <w:rFonts w:ascii="Arial" w:hAnsi="Arial" w:cs="Arial"/>
          <w:i/>
          <w:lang w:val="es-CO"/>
        </w:rPr>
      </w:pPr>
      <w:r>
        <w:rPr>
          <w:rFonts w:ascii="Arial" w:hAnsi="Arial" w:cs="Arial"/>
          <w:i/>
          <w:lang w:val="es-CO"/>
        </w:rPr>
        <w:t>(Art. 2, D</w:t>
      </w:r>
      <w:r>
        <w:rPr>
          <w:rFonts w:ascii="Arial" w:hAnsi="Arial" w:cs="Arial"/>
          <w:i/>
          <w:lang w:val="es-CO"/>
        </w:rPr>
        <w:t>ecreto 1333 de 1996)</w:t>
      </w:r>
    </w:p>
    <w:p w14:paraId="3C87A112" w14:textId="77777777" w:rsidR="00B2442D" w:rsidRDefault="00B2442D">
      <w:pPr>
        <w:jc w:val="both"/>
        <w:rPr>
          <w:rFonts w:ascii="Arial" w:hAnsi="Arial" w:cs="Arial"/>
          <w:i/>
          <w:lang w:val="es-CO"/>
        </w:rPr>
      </w:pPr>
    </w:p>
    <w:p w14:paraId="3A3B0E06"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Solicitudes de autorización.</w:t>
      </w:r>
      <w:r>
        <w:rPr>
          <w:rFonts w:ascii="Arial" w:hAnsi="Arial" w:cs="Arial"/>
          <w:i/>
          <w:lang w:val="es-CO"/>
        </w:rPr>
        <w:t xml:space="preserve"> </w:t>
      </w:r>
      <w:r>
        <w:rPr>
          <w:rFonts w:ascii="Arial" w:hAnsi="Arial" w:cs="Arial"/>
          <w:lang w:val="es-CO"/>
        </w:rPr>
        <w:t>Los contribuyentes del impuesto sobre la renta que requieran presentar solicitudes de autorización con el fin de hacer uso parcial del sistema de inventarios periódicos o adoptar otro sistema de reconocido</w:t>
      </w:r>
      <w:r>
        <w:rPr>
          <w:rFonts w:ascii="Arial" w:hAnsi="Arial" w:cs="Arial"/>
          <w:lang w:val="es-CO"/>
        </w:rPr>
        <w:t xml:space="preserve"> valor técnico o cambiar el método de valoración de los inventarios, deberán dirigirlas al Director General de la Unidad Administrativa Especial Dirección de Impuestos y Aduanas Nacionales– DIAN o al funcionario delegado para el efecto. Los escritos pueden</w:t>
      </w:r>
      <w:r>
        <w:rPr>
          <w:rFonts w:ascii="Arial" w:hAnsi="Arial" w:cs="Arial"/>
          <w:lang w:val="es-CO"/>
        </w:rPr>
        <w:t xml:space="preserve"> ser presentados a través de la Dirección Seccional de Impuestos que corresponde al domicilio del contribuyente. </w:t>
      </w:r>
    </w:p>
    <w:p w14:paraId="0695D7E5" w14:textId="77777777" w:rsidR="00B2442D" w:rsidRDefault="008A645F">
      <w:pPr>
        <w:jc w:val="both"/>
        <w:rPr>
          <w:rFonts w:ascii="Arial" w:hAnsi="Arial" w:cs="Arial"/>
          <w:lang w:val="es-CO"/>
        </w:rPr>
      </w:pPr>
      <w:r>
        <w:rPr>
          <w:rFonts w:ascii="Arial" w:hAnsi="Arial" w:cs="Arial"/>
          <w:lang w:val="es-CO"/>
        </w:rPr>
        <w:t xml:space="preserve"> </w:t>
      </w:r>
    </w:p>
    <w:p w14:paraId="3D882C41" w14:textId="77777777" w:rsidR="00B2442D" w:rsidRDefault="008A645F">
      <w:pPr>
        <w:jc w:val="both"/>
        <w:rPr>
          <w:rFonts w:ascii="Arial" w:hAnsi="Arial" w:cs="Arial"/>
          <w:lang w:val="es-CO"/>
        </w:rPr>
      </w:pPr>
      <w:r>
        <w:rPr>
          <w:rFonts w:ascii="Arial" w:hAnsi="Arial" w:cs="Arial"/>
          <w:lang w:val="es-CO"/>
        </w:rPr>
        <w:t xml:space="preserve">En todos los casos, las solicitudes deberán presentarse con cuatro (4) meses de antelación al vencimiento del periodo gravable </w:t>
      </w:r>
      <w:r>
        <w:rPr>
          <w:rFonts w:ascii="Arial" w:hAnsi="Arial" w:cs="Arial"/>
          <w:lang w:val="es-CO"/>
        </w:rPr>
        <w:t>inmediatamente anterior para el cual se hace la solicitud, con el cumplimiento de los requisitos establecidos mediante resolución de la Unidad Administrativa Especial Dirección de Impuestos y Aduanas Nacionales- DIAN.</w:t>
      </w:r>
    </w:p>
    <w:p w14:paraId="2C169F11" w14:textId="77777777" w:rsidR="00B2442D" w:rsidRDefault="00B2442D">
      <w:pPr>
        <w:jc w:val="both"/>
        <w:rPr>
          <w:rFonts w:ascii="Arial" w:hAnsi="Arial" w:cs="Arial"/>
          <w:i/>
          <w:lang w:val="es-CO"/>
        </w:rPr>
      </w:pPr>
    </w:p>
    <w:p w14:paraId="7AE126C4" w14:textId="77777777" w:rsidR="00B2442D" w:rsidRDefault="008A645F">
      <w:pPr>
        <w:jc w:val="both"/>
        <w:rPr>
          <w:rFonts w:ascii="Arial" w:hAnsi="Arial" w:cs="Arial"/>
          <w:i/>
          <w:lang w:val="es-CO"/>
        </w:rPr>
      </w:pPr>
      <w:r>
        <w:rPr>
          <w:rFonts w:ascii="Arial" w:hAnsi="Arial" w:cs="Arial"/>
          <w:i/>
          <w:lang w:val="es-CO"/>
        </w:rPr>
        <w:t>(Art. 3, Decreto 1333 de 1996)</w:t>
      </w:r>
    </w:p>
    <w:p w14:paraId="2A991402" w14:textId="77777777" w:rsidR="00B2442D" w:rsidRDefault="00B2442D">
      <w:pPr>
        <w:jc w:val="both"/>
        <w:rPr>
          <w:rFonts w:ascii="Arial" w:hAnsi="Arial" w:cs="Arial"/>
          <w:lang w:val="es-CO"/>
        </w:rPr>
      </w:pPr>
    </w:p>
    <w:p w14:paraId="4DA14C4B"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El re</w:t>
      </w:r>
      <w:r>
        <w:rPr>
          <w:rFonts w:ascii="Arial" w:hAnsi="Arial" w:cs="Arial"/>
          <w:b/>
          <w:i/>
          <w:lang w:val="es-CO"/>
        </w:rPr>
        <w:t>tail como método de valoración de inventarios.</w:t>
      </w:r>
      <w:r>
        <w:rPr>
          <w:rFonts w:ascii="Arial" w:hAnsi="Arial" w:cs="Arial"/>
          <w:lang w:val="es-CO"/>
        </w:rPr>
        <w:t xml:space="preserve"> El retail como método de valoración de inventarios aceptado por la Unidad Administrativa Especial Dirección de Impuestos y Aduanas Nacionales- DIAN, no requiere para su adopción de aprobación previa por parte </w:t>
      </w:r>
      <w:r>
        <w:rPr>
          <w:rFonts w:ascii="Arial" w:hAnsi="Arial" w:cs="Arial"/>
          <w:lang w:val="es-CO"/>
        </w:rPr>
        <w:t xml:space="preserve">de dicha entidad. </w:t>
      </w:r>
    </w:p>
    <w:p w14:paraId="3FF8C298" w14:textId="77777777" w:rsidR="00B2442D" w:rsidRDefault="00B2442D">
      <w:pPr>
        <w:jc w:val="both"/>
        <w:rPr>
          <w:rFonts w:ascii="Arial" w:hAnsi="Arial" w:cs="Arial"/>
          <w:i/>
          <w:lang w:val="es-CO"/>
        </w:rPr>
      </w:pPr>
    </w:p>
    <w:p w14:paraId="454E29E5" w14:textId="77777777" w:rsidR="00B2442D" w:rsidRDefault="008A645F">
      <w:pPr>
        <w:jc w:val="both"/>
        <w:rPr>
          <w:rFonts w:ascii="Arial" w:hAnsi="Arial" w:cs="Arial"/>
          <w:i/>
          <w:lang w:val="es-CO"/>
        </w:rPr>
      </w:pPr>
      <w:r>
        <w:rPr>
          <w:rFonts w:ascii="Arial" w:hAnsi="Arial" w:cs="Arial"/>
          <w:i/>
          <w:lang w:val="es-CO"/>
        </w:rPr>
        <w:t>(Art. 4, Decreto 1333 de 1996)</w:t>
      </w:r>
    </w:p>
    <w:p w14:paraId="62AA0683" w14:textId="77777777" w:rsidR="00B2442D" w:rsidRDefault="00B2442D">
      <w:pPr>
        <w:jc w:val="both"/>
        <w:rPr>
          <w:rFonts w:ascii="Arial" w:hAnsi="Arial" w:cs="Arial"/>
          <w:b/>
          <w:lang w:val="es-CO"/>
        </w:rPr>
      </w:pPr>
    </w:p>
    <w:p w14:paraId="2FC8C501"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Requisitos de las solicitudes y término para resolverlas.</w:t>
      </w:r>
      <w:r>
        <w:rPr>
          <w:rFonts w:ascii="Arial" w:hAnsi="Arial" w:cs="Arial"/>
          <w:i/>
          <w:lang w:val="es-CO"/>
        </w:rPr>
        <w:t xml:space="preserve"> </w:t>
      </w:r>
      <w:r>
        <w:rPr>
          <w:rFonts w:ascii="Arial" w:hAnsi="Arial" w:cs="Arial"/>
          <w:lang w:val="es-CO"/>
        </w:rPr>
        <w:t>Las solicitudes de autorización a que se refiere el artículo 1.2.1.17.14 del presente Decreto, deberán llenar los requisitos establecidos por la U</w:t>
      </w:r>
      <w:r>
        <w:rPr>
          <w:rFonts w:ascii="Arial" w:hAnsi="Arial" w:cs="Arial"/>
          <w:lang w:val="es-CO"/>
        </w:rPr>
        <w:t>nidad Administrativa Especial Dirección de Impuestos y Aduanas Nacionales– DIAN mediante resolución.</w:t>
      </w:r>
    </w:p>
    <w:p w14:paraId="443A830A" w14:textId="77777777" w:rsidR="00B2442D" w:rsidRDefault="00B2442D">
      <w:pPr>
        <w:jc w:val="both"/>
        <w:rPr>
          <w:rFonts w:ascii="Arial" w:hAnsi="Arial" w:cs="Arial"/>
          <w:i/>
          <w:lang w:val="es-CO"/>
        </w:rPr>
      </w:pPr>
    </w:p>
    <w:p w14:paraId="13C20202" w14:textId="77777777" w:rsidR="00B2442D" w:rsidRDefault="008A645F">
      <w:pPr>
        <w:jc w:val="both"/>
        <w:rPr>
          <w:rFonts w:ascii="Arial" w:hAnsi="Arial" w:cs="Arial"/>
          <w:i/>
          <w:lang w:val="es-CO"/>
        </w:rPr>
      </w:pPr>
      <w:r>
        <w:rPr>
          <w:rFonts w:ascii="Arial" w:hAnsi="Arial" w:cs="Arial"/>
          <w:i/>
          <w:lang w:val="es-CO"/>
        </w:rPr>
        <w:t>(Art. 5, Decreto 1333 de 1996)</w:t>
      </w:r>
    </w:p>
    <w:p w14:paraId="14D3C55F" w14:textId="77777777" w:rsidR="00B2442D" w:rsidRDefault="00B2442D">
      <w:pPr>
        <w:jc w:val="both"/>
        <w:rPr>
          <w:rFonts w:ascii="Arial" w:hAnsi="Arial" w:cs="Arial"/>
          <w:lang w:val="es-CO"/>
        </w:rPr>
      </w:pPr>
    </w:p>
    <w:p w14:paraId="1B477B4C"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Clasificación de los empaques y envases retornables como activos fijos.</w:t>
      </w:r>
      <w:r>
        <w:rPr>
          <w:rFonts w:ascii="Arial" w:hAnsi="Arial" w:cs="Arial"/>
          <w:lang w:val="es-CO"/>
        </w:rPr>
        <w:t xml:space="preserve"> Para efectos tributarios, en la actividad de produ</w:t>
      </w:r>
      <w:r>
        <w:rPr>
          <w:rFonts w:ascii="Arial" w:hAnsi="Arial" w:cs="Arial"/>
          <w:lang w:val="es-CO"/>
        </w:rPr>
        <w:t>cción de bebidas y embotelladoras, los empaques y envases retornables constituyen activos fijos o inmovilizados, siempre y cuando no se enajenen dentro del giro ordinario del negocio.</w:t>
      </w:r>
    </w:p>
    <w:p w14:paraId="2051C56A" w14:textId="77777777" w:rsidR="00B2442D" w:rsidRDefault="00B2442D">
      <w:pPr>
        <w:jc w:val="both"/>
        <w:rPr>
          <w:rFonts w:ascii="Arial" w:hAnsi="Arial" w:cs="Arial"/>
          <w:lang w:val="es-CO"/>
        </w:rPr>
      </w:pPr>
    </w:p>
    <w:p w14:paraId="7C0F2CD3"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Se entienden como retornables los empaques y envases que </w:t>
      </w:r>
      <w:r>
        <w:rPr>
          <w:rFonts w:ascii="Arial" w:hAnsi="Arial" w:cs="Arial"/>
          <w:lang w:val="es-CO"/>
        </w:rPr>
        <w:t>en virtud de convenios o acuerdos sean materia de devolución, reintegro o intercambio.</w:t>
      </w:r>
    </w:p>
    <w:p w14:paraId="6D379921" w14:textId="77777777" w:rsidR="00B2442D" w:rsidRDefault="00B2442D">
      <w:pPr>
        <w:jc w:val="both"/>
        <w:rPr>
          <w:rFonts w:ascii="Arial" w:hAnsi="Arial" w:cs="Arial"/>
          <w:lang w:val="es-CO"/>
        </w:rPr>
      </w:pPr>
    </w:p>
    <w:p w14:paraId="08FA783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condición de activo fijo de los empaques y envases retornables deberá certificarse por revisor fiscal o contador público, sin perjuicio de la facultad que tiene la Unidad Administrativa Especial Dirección de Impuestos y Aduanas Nacionales– DIAN de hace</w:t>
      </w:r>
      <w:r>
        <w:rPr>
          <w:rFonts w:ascii="Arial" w:hAnsi="Arial" w:cs="Arial"/>
          <w:lang w:val="es-CO"/>
        </w:rPr>
        <w:t>r las comprobaciones pertinentes.</w:t>
      </w:r>
    </w:p>
    <w:p w14:paraId="0BE24E6B" w14:textId="77777777" w:rsidR="00B2442D" w:rsidRDefault="00B2442D">
      <w:pPr>
        <w:jc w:val="both"/>
        <w:rPr>
          <w:rFonts w:ascii="Arial" w:hAnsi="Arial" w:cs="Arial"/>
          <w:lang w:val="es-CO"/>
        </w:rPr>
      </w:pPr>
    </w:p>
    <w:p w14:paraId="03E70517" w14:textId="77777777" w:rsidR="00B2442D" w:rsidRDefault="008A645F">
      <w:pPr>
        <w:jc w:val="both"/>
        <w:rPr>
          <w:rFonts w:ascii="Arial" w:hAnsi="Arial" w:cs="Arial"/>
          <w:i/>
          <w:lang w:val="es-CO"/>
        </w:rPr>
      </w:pPr>
      <w:r>
        <w:rPr>
          <w:rFonts w:ascii="Arial" w:hAnsi="Arial" w:cs="Arial"/>
          <w:i/>
          <w:lang w:val="es-CO"/>
        </w:rPr>
        <w:t>(Art. 1, Decreto 3730 de 2005)</w:t>
      </w:r>
    </w:p>
    <w:p w14:paraId="50BAE8E5" w14:textId="77777777" w:rsidR="00B2442D" w:rsidRDefault="00B2442D">
      <w:pPr>
        <w:jc w:val="both"/>
        <w:rPr>
          <w:rFonts w:ascii="Arial" w:hAnsi="Arial" w:cs="Arial"/>
          <w:i/>
          <w:lang w:val="es-CO"/>
        </w:rPr>
      </w:pPr>
    </w:p>
    <w:p w14:paraId="2D85731B" w14:textId="77777777" w:rsidR="00B2442D" w:rsidRDefault="008A645F">
      <w:pPr>
        <w:pStyle w:val="Prrafodelista"/>
        <w:numPr>
          <w:ilvl w:val="0"/>
          <w:numId w:val="32"/>
        </w:numPr>
        <w:ind w:left="0" w:firstLine="0"/>
        <w:jc w:val="both"/>
        <w:rPr>
          <w:rFonts w:ascii="Arial" w:hAnsi="Arial" w:cs="Arial"/>
          <w:i/>
          <w:lang w:val="es-CO"/>
        </w:rPr>
      </w:pPr>
      <w:r>
        <w:rPr>
          <w:rFonts w:ascii="Arial" w:hAnsi="Arial" w:cs="Arial"/>
          <w:b/>
          <w:bCs/>
        </w:rPr>
        <w:t>Costo de los activos fijos enajenados.</w:t>
      </w:r>
      <w:r>
        <w:rPr>
          <w:rFonts w:ascii="Arial" w:hAnsi="Arial" w:cs="Arial"/>
        </w:rPr>
        <w:t xml:space="preserve"> Para efectos de lo previsto en el artículo </w:t>
      </w:r>
      <w:r>
        <w:rPr>
          <w:rFonts w:ascii="Arial" w:hAnsi="Arial" w:cs="Arial"/>
          <w:bCs/>
        </w:rPr>
        <w:t xml:space="preserve">69 </w:t>
      </w:r>
      <w:r>
        <w:rPr>
          <w:rFonts w:ascii="Arial" w:hAnsi="Arial" w:cs="Arial"/>
        </w:rPr>
        <w:t>del Estatuto Tributario, el costo de los bienes enajenados, muebles, inmuebles, acciones y aportes que t</w:t>
      </w:r>
      <w:r>
        <w:rPr>
          <w:rFonts w:ascii="Arial" w:hAnsi="Arial" w:cs="Arial"/>
        </w:rPr>
        <w:t xml:space="preserve">engan el carácter de activos fijos, está constituido por los conceptos que se señalan a continuación: </w:t>
      </w:r>
    </w:p>
    <w:p w14:paraId="739DAB72"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02C7300D" w14:textId="77777777" w:rsidR="00B2442D" w:rsidRDefault="008A645F">
      <w:pPr>
        <w:widowControl w:val="0"/>
        <w:autoSpaceDE w:val="0"/>
        <w:autoSpaceDN w:val="0"/>
        <w:adjustRightInd w:val="0"/>
        <w:spacing w:line="40" w:lineRule="atLeast"/>
        <w:jc w:val="both"/>
        <w:rPr>
          <w:rFonts w:ascii="Arial" w:hAnsi="Arial" w:cs="Arial"/>
          <w:b/>
        </w:rPr>
      </w:pPr>
      <w:r>
        <w:rPr>
          <w:rFonts w:ascii="Arial" w:hAnsi="Arial" w:cs="Arial"/>
          <w:b/>
        </w:rPr>
        <w:t xml:space="preserve">1. Determinación del costo de enajenación de los bienes muebles. </w:t>
      </w:r>
    </w:p>
    <w:p w14:paraId="2E8B0B1C"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2736075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El costo de los bienes muebles que tengan el carácter de activos fijos, está consti</w:t>
      </w:r>
      <w:r>
        <w:rPr>
          <w:rFonts w:ascii="Arial" w:hAnsi="Arial" w:cs="Arial"/>
        </w:rPr>
        <w:t xml:space="preserve">tuido por: </w:t>
      </w:r>
    </w:p>
    <w:p w14:paraId="5EC4811A"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33999CE3"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a) El precio de adquisición;</w:t>
      </w:r>
    </w:p>
    <w:p w14:paraId="27246D29"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b) El costo de las adiciones y mejoras;</w:t>
      </w:r>
    </w:p>
    <w:p w14:paraId="3B7C7651"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 xml:space="preserve">c) El valor de los gastos e impuestos necesarios para poner el bien en condiciones de utilización y los gastos financieros capitalizados. </w:t>
      </w:r>
    </w:p>
    <w:p w14:paraId="30D3D2A6" w14:textId="77777777" w:rsidR="00B2442D" w:rsidRDefault="008A645F">
      <w:pPr>
        <w:widowControl w:val="0"/>
        <w:autoSpaceDE w:val="0"/>
        <w:autoSpaceDN w:val="0"/>
        <w:adjustRightInd w:val="0"/>
        <w:spacing w:line="40" w:lineRule="atLeast"/>
        <w:ind w:left="284" w:hanging="284"/>
        <w:rPr>
          <w:rFonts w:ascii="Arial" w:hAnsi="Arial" w:cs="Arial"/>
        </w:rPr>
      </w:pPr>
      <w:r>
        <w:rPr>
          <w:rFonts w:ascii="Arial" w:hAnsi="Arial" w:cs="Arial"/>
        </w:rPr>
        <w:t xml:space="preserve"> d) El valor de los reajustes fiscales originados en los ajustes permitidos por el artículo </w:t>
      </w:r>
      <w:r>
        <w:rPr>
          <w:rFonts w:ascii="Arial" w:hAnsi="Arial" w:cs="Arial"/>
          <w:bCs/>
        </w:rPr>
        <w:t>70</w:t>
      </w:r>
      <w:r>
        <w:rPr>
          <w:rFonts w:ascii="Arial" w:hAnsi="Arial" w:cs="Arial"/>
        </w:rPr>
        <w:t xml:space="preserve"> del Estatuto Tributari</w:t>
      </w:r>
      <w:r>
        <w:rPr>
          <w:rFonts w:ascii="Arial" w:hAnsi="Arial" w:cs="Arial"/>
        </w:rPr>
        <w:t xml:space="preserve">o. El valor de estos reajustes no forma parte de la base para el cálculo de la depreciación. </w:t>
      </w:r>
    </w:p>
    <w:p w14:paraId="4945003F" w14:textId="77777777" w:rsidR="00B2442D" w:rsidRDefault="00B2442D">
      <w:pPr>
        <w:widowControl w:val="0"/>
        <w:autoSpaceDE w:val="0"/>
        <w:autoSpaceDN w:val="0"/>
        <w:adjustRightInd w:val="0"/>
        <w:spacing w:line="40" w:lineRule="atLeast"/>
        <w:jc w:val="both"/>
        <w:rPr>
          <w:rFonts w:ascii="Arial" w:hAnsi="Arial" w:cs="Arial"/>
        </w:rPr>
      </w:pPr>
    </w:p>
    <w:p w14:paraId="772757D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De la sumatoria de los conceptos anteriores se resta: </w:t>
      </w:r>
    </w:p>
    <w:p w14:paraId="3B619C9C"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2AC1EDD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El valor de la depreciación acumulada calculada sobre el costo histórico según el artículo </w:t>
      </w:r>
      <w:r>
        <w:rPr>
          <w:rFonts w:ascii="Arial" w:hAnsi="Arial" w:cs="Arial"/>
          <w:bCs/>
        </w:rPr>
        <w:t>131</w:t>
      </w:r>
      <w:r>
        <w:rPr>
          <w:rFonts w:ascii="Arial" w:hAnsi="Arial" w:cs="Arial"/>
        </w:rPr>
        <w:t xml:space="preserve"> del Estat</w:t>
      </w:r>
      <w:r>
        <w:rPr>
          <w:rFonts w:ascii="Arial" w:hAnsi="Arial" w:cs="Arial"/>
        </w:rPr>
        <w:t xml:space="preserve">uto Tributario. </w:t>
      </w:r>
    </w:p>
    <w:p w14:paraId="6CCEB496"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0F2CA0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En el evento en que el contribuyente haya optado por ajustar el valor comercial el costo de los activos fijos poseídos a 31 de diciembre de 1986, según el artículo </w:t>
      </w:r>
      <w:r>
        <w:rPr>
          <w:rFonts w:ascii="Arial" w:hAnsi="Arial" w:cs="Arial"/>
          <w:bCs/>
        </w:rPr>
        <w:t>65</w:t>
      </w:r>
      <w:r>
        <w:rPr>
          <w:rFonts w:ascii="Arial" w:hAnsi="Arial" w:cs="Arial"/>
        </w:rPr>
        <w:t xml:space="preserve"> de la Ley 75 de 1986, tomará dicho valor más los ajustes efectuados de conformidad con el</w:t>
      </w:r>
      <w:r>
        <w:rPr>
          <w:rFonts w:ascii="Arial" w:hAnsi="Arial" w:cs="Arial"/>
        </w:rPr>
        <w:t xml:space="preserve"> artículo </w:t>
      </w:r>
      <w:r>
        <w:rPr>
          <w:rFonts w:ascii="Arial" w:hAnsi="Arial" w:cs="Arial"/>
          <w:bCs/>
        </w:rPr>
        <w:t>70</w:t>
      </w:r>
      <w:r>
        <w:rPr>
          <w:rFonts w:ascii="Arial" w:hAnsi="Arial" w:cs="Arial"/>
        </w:rPr>
        <w:t xml:space="preserve"> del Estatuto Tributario, menos la depreciación acumulada calculada en la forma antes indicada. </w:t>
      </w:r>
    </w:p>
    <w:p w14:paraId="0D3CC81C"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6FD586AD" w14:textId="77777777" w:rsidR="00B2442D" w:rsidRDefault="008A645F">
      <w:pPr>
        <w:widowControl w:val="0"/>
        <w:autoSpaceDE w:val="0"/>
        <w:autoSpaceDN w:val="0"/>
        <w:adjustRightInd w:val="0"/>
        <w:spacing w:line="40" w:lineRule="atLeast"/>
        <w:jc w:val="both"/>
        <w:rPr>
          <w:rFonts w:ascii="Arial" w:hAnsi="Arial" w:cs="Arial"/>
          <w:b/>
        </w:rPr>
      </w:pPr>
      <w:r>
        <w:rPr>
          <w:rFonts w:ascii="Arial" w:hAnsi="Arial" w:cs="Arial"/>
          <w:b/>
        </w:rPr>
        <w:t xml:space="preserve">2. Determinación del costo de enajenación de los bienes inmuebles. </w:t>
      </w:r>
    </w:p>
    <w:p w14:paraId="6D9C9700"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2B59DA7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El costo de los bienes inmuebles que tengan el carácter de activos fijos es</w:t>
      </w:r>
      <w:r>
        <w:rPr>
          <w:rFonts w:ascii="Arial" w:hAnsi="Arial" w:cs="Arial"/>
        </w:rPr>
        <w:t xml:space="preserve">tá constituido por: </w:t>
      </w:r>
    </w:p>
    <w:p w14:paraId="311E6CEF"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7745C9AA"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a) </w:t>
      </w:r>
      <w:r>
        <w:rPr>
          <w:rFonts w:ascii="Arial" w:hAnsi="Arial" w:cs="Arial"/>
        </w:rPr>
        <w:tab/>
        <w:t>El precio de adquisición;</w:t>
      </w:r>
    </w:p>
    <w:p w14:paraId="4B566B7A"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b)</w:t>
      </w:r>
      <w:r>
        <w:rPr>
          <w:rFonts w:ascii="Arial" w:hAnsi="Arial" w:cs="Arial"/>
        </w:rPr>
        <w:tab/>
        <w:t xml:space="preserve">El costo de las construcciones, mejoras y reparaciones locativas no deducidas; </w:t>
      </w:r>
    </w:p>
    <w:p w14:paraId="4D6616BD"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c) </w:t>
      </w:r>
      <w:r>
        <w:rPr>
          <w:rFonts w:ascii="Arial" w:hAnsi="Arial" w:cs="Arial"/>
        </w:rPr>
        <w:tab/>
        <w:t xml:space="preserve">El valor de las contribuciones por valorización; </w:t>
      </w:r>
    </w:p>
    <w:p w14:paraId="60832E52"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d) </w:t>
      </w:r>
      <w:r>
        <w:rPr>
          <w:rFonts w:ascii="Arial" w:hAnsi="Arial" w:cs="Arial"/>
        </w:rPr>
        <w:tab/>
        <w:t>El valor de los gastos e impuestos necesarios para poner el bi</w:t>
      </w:r>
      <w:r>
        <w:rPr>
          <w:rFonts w:ascii="Arial" w:hAnsi="Arial" w:cs="Arial"/>
        </w:rPr>
        <w:t xml:space="preserve">en en condiciones de utilización y los gastos financieros capitalizados. </w:t>
      </w:r>
    </w:p>
    <w:p w14:paraId="2394DB94" w14:textId="77777777" w:rsidR="00B2442D" w:rsidRDefault="008A645F">
      <w:pPr>
        <w:widowControl w:val="0"/>
        <w:autoSpaceDE w:val="0"/>
        <w:autoSpaceDN w:val="0"/>
        <w:adjustRightInd w:val="0"/>
        <w:spacing w:line="40" w:lineRule="atLeast"/>
        <w:ind w:left="426" w:hanging="426"/>
        <w:rPr>
          <w:rFonts w:ascii="Arial" w:hAnsi="Arial" w:cs="Arial"/>
        </w:rPr>
      </w:pPr>
      <w:r>
        <w:rPr>
          <w:rFonts w:ascii="Arial" w:hAnsi="Arial" w:cs="Arial"/>
        </w:rPr>
        <w:t xml:space="preserve"> e) </w:t>
      </w:r>
      <w:r>
        <w:rPr>
          <w:rFonts w:ascii="Arial" w:hAnsi="Arial" w:cs="Arial"/>
        </w:rPr>
        <w:tab/>
        <w:t xml:space="preserve">El valor de los reajustes fiscales originados en los ajustes permitidos por el artículo </w:t>
      </w:r>
      <w:r>
        <w:rPr>
          <w:rFonts w:ascii="Arial" w:hAnsi="Arial" w:cs="Arial"/>
          <w:bCs/>
        </w:rPr>
        <w:t>70</w:t>
      </w:r>
      <w:r>
        <w:rPr>
          <w:rFonts w:ascii="Arial" w:hAnsi="Arial" w:cs="Arial"/>
        </w:rPr>
        <w:t xml:space="preserve"> del Estatuto Tributario. El valor de estos reajustes no forma parte de la base para el</w:t>
      </w:r>
      <w:r>
        <w:rPr>
          <w:rFonts w:ascii="Arial" w:hAnsi="Arial" w:cs="Arial"/>
        </w:rPr>
        <w:t xml:space="preserve"> cálculo de la depreciación; </w:t>
      </w:r>
    </w:p>
    <w:p w14:paraId="20B883CD" w14:textId="77777777" w:rsidR="00B2442D" w:rsidRDefault="00B2442D">
      <w:pPr>
        <w:widowControl w:val="0"/>
        <w:autoSpaceDE w:val="0"/>
        <w:autoSpaceDN w:val="0"/>
        <w:adjustRightInd w:val="0"/>
        <w:spacing w:line="40" w:lineRule="atLeast"/>
        <w:jc w:val="both"/>
        <w:rPr>
          <w:rFonts w:ascii="Arial" w:hAnsi="Arial" w:cs="Arial"/>
        </w:rPr>
      </w:pPr>
    </w:p>
    <w:p w14:paraId="61A50A7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De la sumatoria de los conceptos anteriores se resta: </w:t>
      </w:r>
    </w:p>
    <w:p w14:paraId="138E6905"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95FA1B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El valor de la depreciación acumulada calculada sobre el costo histórico según el artículo </w:t>
      </w:r>
      <w:r>
        <w:rPr>
          <w:rFonts w:ascii="Arial" w:hAnsi="Arial" w:cs="Arial"/>
          <w:bCs/>
        </w:rPr>
        <w:t>131</w:t>
      </w:r>
      <w:r>
        <w:rPr>
          <w:rFonts w:ascii="Arial" w:hAnsi="Arial" w:cs="Arial"/>
        </w:rPr>
        <w:t xml:space="preserve"> del Estatuto Tributario.</w:t>
      </w:r>
    </w:p>
    <w:p w14:paraId="44CC769F"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72EF9CF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La depreciación fiscal de los inmuebles debe c</w:t>
      </w:r>
      <w:r>
        <w:rPr>
          <w:rFonts w:ascii="Arial" w:hAnsi="Arial" w:cs="Arial"/>
        </w:rPr>
        <w:t xml:space="preserve">alcularse excluyendo el valor del terreno. </w:t>
      </w:r>
    </w:p>
    <w:p w14:paraId="6D66469C"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07AFD19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En el evento en que el contribuyente haya optado por ajustar el valor comercial el costo de los activos fijos poseídos a 31 de diciembre de 1986, según el artículo </w:t>
      </w:r>
      <w:r>
        <w:rPr>
          <w:rFonts w:ascii="Arial" w:hAnsi="Arial" w:cs="Arial"/>
          <w:bCs/>
        </w:rPr>
        <w:t>65</w:t>
      </w:r>
      <w:r>
        <w:rPr>
          <w:rFonts w:ascii="Arial" w:hAnsi="Arial" w:cs="Arial"/>
        </w:rPr>
        <w:t xml:space="preserve"> de la Ley 75 de 1986, tomará dicho valor má</w:t>
      </w:r>
      <w:r>
        <w:rPr>
          <w:rFonts w:ascii="Arial" w:hAnsi="Arial" w:cs="Arial"/>
        </w:rPr>
        <w:t xml:space="preserve">s los ajustes efectuados de conformidad con el artículo </w:t>
      </w:r>
      <w:r>
        <w:rPr>
          <w:rFonts w:ascii="Arial" w:hAnsi="Arial" w:cs="Arial"/>
          <w:bCs/>
        </w:rPr>
        <w:t>70</w:t>
      </w:r>
      <w:r>
        <w:rPr>
          <w:rFonts w:ascii="Arial" w:hAnsi="Arial" w:cs="Arial"/>
        </w:rPr>
        <w:t xml:space="preserve"> del Estatuto Tributario, menos la depreciación acumulada calculada en la forma antes indicada. </w:t>
      </w:r>
    </w:p>
    <w:p w14:paraId="7F07B476"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65A31EAE" w14:textId="77777777" w:rsidR="00B2442D" w:rsidRDefault="008A645F">
      <w:pPr>
        <w:widowControl w:val="0"/>
        <w:autoSpaceDE w:val="0"/>
        <w:autoSpaceDN w:val="0"/>
        <w:adjustRightInd w:val="0"/>
        <w:spacing w:line="40" w:lineRule="atLeast"/>
        <w:jc w:val="both"/>
        <w:rPr>
          <w:rFonts w:ascii="Arial" w:hAnsi="Arial" w:cs="Arial"/>
          <w:b/>
        </w:rPr>
      </w:pPr>
      <w:r>
        <w:rPr>
          <w:rFonts w:ascii="Arial" w:hAnsi="Arial" w:cs="Arial"/>
          <w:b/>
        </w:rPr>
        <w:t xml:space="preserve">3. Determinación del costo de enajenación de las acciones y aportes en sociedades. </w:t>
      </w:r>
    </w:p>
    <w:p w14:paraId="3DDCF751"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6108ACC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El costo de enajenación de las acciones y aportes en sociedades que tengan el carácter de activos fijos, está constituido por: </w:t>
      </w:r>
    </w:p>
    <w:p w14:paraId="24DA0E2A"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C5E24FE" w14:textId="77777777" w:rsidR="00B2442D" w:rsidRDefault="008A645F">
      <w:pPr>
        <w:pStyle w:val="Prrafodelista"/>
        <w:widowControl w:val="0"/>
        <w:numPr>
          <w:ilvl w:val="0"/>
          <w:numId w:val="156"/>
        </w:numPr>
        <w:autoSpaceDE w:val="0"/>
        <w:autoSpaceDN w:val="0"/>
        <w:adjustRightInd w:val="0"/>
        <w:spacing w:line="40" w:lineRule="atLeast"/>
        <w:ind w:left="284" w:hanging="284"/>
        <w:jc w:val="both"/>
        <w:rPr>
          <w:rFonts w:ascii="Arial" w:hAnsi="Arial" w:cs="Arial"/>
        </w:rPr>
      </w:pPr>
      <w:r>
        <w:rPr>
          <w:rFonts w:ascii="Arial" w:hAnsi="Arial" w:cs="Arial"/>
        </w:rPr>
        <w:t>El precio de adquisición;</w:t>
      </w:r>
    </w:p>
    <w:p w14:paraId="22BE05E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 </w:t>
      </w:r>
    </w:p>
    <w:p w14:paraId="6EF562C1" w14:textId="77777777" w:rsidR="00B2442D" w:rsidRDefault="008A645F">
      <w:pPr>
        <w:widowControl w:val="0"/>
        <w:autoSpaceDE w:val="0"/>
        <w:autoSpaceDN w:val="0"/>
        <w:adjustRightInd w:val="0"/>
        <w:spacing w:line="40" w:lineRule="atLeast"/>
        <w:ind w:left="284" w:hanging="284"/>
        <w:rPr>
          <w:rFonts w:ascii="Arial" w:hAnsi="Arial" w:cs="Arial"/>
        </w:rPr>
      </w:pPr>
      <w:r>
        <w:rPr>
          <w:rFonts w:ascii="Arial" w:hAnsi="Arial" w:cs="Arial"/>
        </w:rPr>
        <w:t xml:space="preserve">b) El valor de los reajustes fiscales originados en los ajustes permitidos por el artículo </w:t>
      </w:r>
      <w:r>
        <w:rPr>
          <w:rFonts w:ascii="Arial" w:hAnsi="Arial" w:cs="Arial"/>
          <w:bCs/>
        </w:rPr>
        <w:t>70</w:t>
      </w:r>
      <w:r>
        <w:rPr>
          <w:rFonts w:ascii="Arial" w:hAnsi="Arial" w:cs="Arial"/>
        </w:rPr>
        <w:t xml:space="preserve"> del </w:t>
      </w:r>
      <w:r>
        <w:rPr>
          <w:rFonts w:ascii="Arial" w:hAnsi="Arial" w:cs="Arial"/>
        </w:rPr>
        <w:t>Estatuto Tributario;</w:t>
      </w:r>
    </w:p>
    <w:p w14:paraId="56DA7F45" w14:textId="77777777" w:rsidR="00B2442D" w:rsidRDefault="00B2442D">
      <w:pPr>
        <w:widowControl w:val="0"/>
        <w:autoSpaceDE w:val="0"/>
        <w:autoSpaceDN w:val="0"/>
        <w:adjustRightInd w:val="0"/>
        <w:spacing w:line="40" w:lineRule="atLeast"/>
        <w:rPr>
          <w:rFonts w:ascii="Arial" w:hAnsi="Arial" w:cs="Arial"/>
        </w:rPr>
      </w:pPr>
    </w:p>
    <w:p w14:paraId="17516F55" w14:textId="77777777" w:rsidR="00B2442D" w:rsidRDefault="008A645F">
      <w:pPr>
        <w:jc w:val="both"/>
        <w:rPr>
          <w:rFonts w:ascii="Arial" w:hAnsi="Arial" w:cs="Arial"/>
        </w:rPr>
      </w:pPr>
      <w:r>
        <w:rPr>
          <w:rFonts w:ascii="Arial" w:hAnsi="Arial" w:cs="Arial"/>
        </w:rPr>
        <w:t xml:space="preserve">En el evento en que el contribuyente haya optado por ajustar el valor comercial el costo de las acciones y aportes en sociedades poseídos a 31 de diciembre de 1986, según el artículo </w:t>
      </w:r>
      <w:r>
        <w:rPr>
          <w:rFonts w:ascii="Arial" w:hAnsi="Arial" w:cs="Arial"/>
          <w:bCs/>
        </w:rPr>
        <w:t>65</w:t>
      </w:r>
      <w:r>
        <w:rPr>
          <w:rFonts w:ascii="Arial" w:hAnsi="Arial" w:cs="Arial"/>
        </w:rPr>
        <w:t xml:space="preserve"> de la Ley 75 de 1986, tomará dicho valor más los ajustes efectuados de conformidad con el artículo </w:t>
      </w:r>
      <w:r>
        <w:rPr>
          <w:rFonts w:ascii="Arial" w:hAnsi="Arial" w:cs="Arial"/>
          <w:bCs/>
        </w:rPr>
        <w:t>70</w:t>
      </w:r>
      <w:r>
        <w:rPr>
          <w:rFonts w:ascii="Arial" w:hAnsi="Arial" w:cs="Arial"/>
        </w:rPr>
        <w:t xml:space="preserve"> del Estatuto Tributario.</w:t>
      </w:r>
    </w:p>
    <w:p w14:paraId="2A28CD9F" w14:textId="77777777" w:rsidR="00B2442D" w:rsidRDefault="00B2442D">
      <w:pPr>
        <w:jc w:val="both"/>
        <w:rPr>
          <w:rFonts w:ascii="Arial" w:hAnsi="Arial" w:cs="Arial"/>
        </w:rPr>
      </w:pPr>
    </w:p>
    <w:p w14:paraId="7A651A02" w14:textId="77777777" w:rsidR="00B2442D" w:rsidRDefault="008A645F">
      <w:pPr>
        <w:jc w:val="both"/>
        <w:rPr>
          <w:rFonts w:ascii="Arial" w:hAnsi="Arial" w:cs="Arial"/>
          <w:i/>
          <w:lang w:val="es-CO"/>
        </w:rPr>
      </w:pPr>
      <w:r>
        <w:rPr>
          <w:rFonts w:ascii="Arial" w:hAnsi="Arial" w:cs="Arial"/>
          <w:i/>
          <w:lang w:val="es-CO"/>
        </w:rPr>
        <w:t>(Art. 2, Decreto 2591 de 1993. Las referencias a los ajustes integrales por inflación fueron eliminadas de acuerdo con lo previ</w:t>
      </w:r>
      <w:r>
        <w:rPr>
          <w:rFonts w:ascii="Arial" w:hAnsi="Arial" w:cs="Arial"/>
          <w:i/>
          <w:lang w:val="es-CO"/>
        </w:rPr>
        <w:t>sto en el artículo 78 de la Ley 1111 de 2006. Los incisos segundos de los numerales 1 y 2 tienen decaimiento por la evolución legislativa (Artículo 258-1 del Estatuto Tributario, derogado expresamente por el artículo 154 de la Ley 488 de 1998). El inciso s</w:t>
      </w:r>
      <w:r>
        <w:rPr>
          <w:rFonts w:ascii="Arial" w:hAnsi="Arial" w:cs="Arial"/>
          <w:i/>
          <w:lang w:val="es-CO"/>
        </w:rPr>
        <w:t>exto del numeral segundo tiene decaimiento por la evolución legislativa. (Artículo 71 del E. T. modificado por el artículo 73 de la Ley 223 de 1995)</w:t>
      </w:r>
      <w:r>
        <w:rPr>
          <w:rFonts w:ascii="Arial" w:hAnsi="Arial" w:cs="Arial"/>
        </w:rPr>
        <w:t xml:space="preserve"> (</w:t>
      </w:r>
      <w:r>
        <w:rPr>
          <w:rFonts w:ascii="Arial" w:hAnsi="Arial" w:cs="Arial"/>
          <w:i/>
          <w:lang w:val="es-CO"/>
        </w:rPr>
        <w:t xml:space="preserve">El Decreto 2591 de 1993 rige a partir de su publicación y deroga el artículo 9° del Decreto 2075 de 1992, </w:t>
      </w:r>
      <w:r>
        <w:rPr>
          <w:rFonts w:ascii="Arial" w:hAnsi="Arial" w:cs="Arial"/>
          <w:i/>
          <w:lang w:val="es-CO"/>
        </w:rPr>
        <w:t>el artículo 4° del Decreto 602 del 31 de marzo de 1993 y demás normas que le sean contrarias. Art. 10, Decreto 2591 de 1993)</w:t>
      </w:r>
    </w:p>
    <w:p w14:paraId="13A3C959" w14:textId="77777777" w:rsidR="00B2442D" w:rsidRDefault="00B2442D">
      <w:pPr>
        <w:jc w:val="both"/>
        <w:rPr>
          <w:rFonts w:ascii="Arial" w:hAnsi="Arial" w:cs="Arial"/>
          <w:lang w:val="es-CO"/>
        </w:rPr>
      </w:pPr>
    </w:p>
    <w:p w14:paraId="0D70104F" w14:textId="77777777" w:rsidR="00B2442D" w:rsidRDefault="008A645F">
      <w:pPr>
        <w:pStyle w:val="Prrafodelista"/>
        <w:numPr>
          <w:ilvl w:val="0"/>
          <w:numId w:val="32"/>
        </w:numPr>
        <w:ind w:left="0" w:firstLine="0"/>
        <w:jc w:val="both"/>
        <w:rPr>
          <w:rFonts w:ascii="Arial" w:hAnsi="Arial" w:cs="Arial"/>
          <w:i/>
          <w:lang w:val="es-CO"/>
        </w:rPr>
      </w:pPr>
      <w:r>
        <w:rPr>
          <w:rFonts w:ascii="Arial" w:hAnsi="Arial" w:cs="Arial"/>
          <w:b/>
          <w:i/>
        </w:rPr>
        <w:t>Componente</w:t>
      </w:r>
      <w:r>
        <w:rPr>
          <w:rFonts w:ascii="Arial" w:hAnsi="Arial" w:cs="Arial"/>
          <w:i/>
        </w:rPr>
        <w:t xml:space="preserve"> </w:t>
      </w:r>
      <w:r>
        <w:rPr>
          <w:rStyle w:val="Cuerpodeltexto2Negrita"/>
          <w:i/>
          <w:color w:val="auto"/>
          <w:sz w:val="24"/>
          <w:szCs w:val="24"/>
        </w:rPr>
        <w:t>inflacionario de los costos y gastos financieros de las personas naturales y sucesiones ilíquidas, no obligadas a lleva</w:t>
      </w:r>
      <w:r>
        <w:rPr>
          <w:rStyle w:val="Cuerpodeltexto2Negrita"/>
          <w:i/>
          <w:color w:val="auto"/>
          <w:sz w:val="24"/>
          <w:szCs w:val="24"/>
        </w:rPr>
        <w:t>r libros de contabilidad, contribuyentes del impuesto sobre la renta y complementario.</w:t>
      </w:r>
      <w:r>
        <w:rPr>
          <w:rStyle w:val="Cuerpodeltexto2Negrita"/>
          <w:color w:val="auto"/>
          <w:sz w:val="24"/>
          <w:szCs w:val="24"/>
        </w:rPr>
        <w:t xml:space="preserve"> </w:t>
      </w:r>
      <w:r>
        <w:rPr>
          <w:rFonts w:ascii="Arial" w:hAnsi="Arial" w:cs="Arial"/>
        </w:rPr>
        <w:t>No constituye costo ni deducción para el año gravable 2015, según lo señalado en los artículos 41, 81, 81-1 y 118 del Estatuto Tributario, el treinta y ocho punto cincue</w:t>
      </w:r>
      <w:r>
        <w:rPr>
          <w:rFonts w:ascii="Arial" w:hAnsi="Arial" w:cs="Arial"/>
        </w:rPr>
        <w:t>nta y uno por ciento (38.51%) de los intereses y demás costos y gastos financieros en que hayan incurrido durante el año o período gravable las personas naturales y sucesiones ilíquidas, no obligadas a llevar libros de contabilidad.</w:t>
      </w:r>
    </w:p>
    <w:p w14:paraId="1F2E6A49" w14:textId="77777777" w:rsidR="00B2442D" w:rsidRDefault="00B2442D">
      <w:pPr>
        <w:pStyle w:val="Cuerpodeltexto20"/>
        <w:shd w:val="clear" w:color="auto" w:fill="auto"/>
        <w:spacing w:line="40" w:lineRule="atLeast"/>
        <w:jc w:val="both"/>
        <w:rPr>
          <w:sz w:val="24"/>
          <w:szCs w:val="24"/>
        </w:rPr>
      </w:pPr>
    </w:p>
    <w:p w14:paraId="52B04637" w14:textId="77777777" w:rsidR="00B2442D" w:rsidRDefault="008A645F">
      <w:pPr>
        <w:pStyle w:val="Cuerpodeltexto20"/>
        <w:shd w:val="clear" w:color="auto" w:fill="auto"/>
        <w:spacing w:line="40" w:lineRule="atLeast"/>
        <w:jc w:val="both"/>
        <w:rPr>
          <w:sz w:val="24"/>
          <w:szCs w:val="24"/>
        </w:rPr>
      </w:pPr>
      <w:r>
        <w:rPr>
          <w:sz w:val="24"/>
          <w:szCs w:val="24"/>
        </w:rPr>
        <w:t>Cuando se trate de aju</w:t>
      </w:r>
      <w:r>
        <w:rPr>
          <w:sz w:val="24"/>
          <w:szCs w:val="24"/>
        </w:rPr>
        <w:t>stes por diferencia en cambio, y de costos y gastos financieros por concepto de deudas en moneda extranjera, no constituye costo ni deducción el diecisiete punto cincuenta y uno por ciento (17.51%) de los mismos, conforme con lo previsto en los artículos 4</w:t>
      </w:r>
      <w:r>
        <w:rPr>
          <w:sz w:val="24"/>
          <w:szCs w:val="24"/>
        </w:rPr>
        <w:t>1, 81, 81-1 y 118 del Estatuto Tributario.</w:t>
      </w:r>
    </w:p>
    <w:p w14:paraId="4F8281B3" w14:textId="77777777" w:rsidR="00B2442D" w:rsidRDefault="00B2442D">
      <w:pPr>
        <w:jc w:val="both"/>
        <w:rPr>
          <w:rFonts w:ascii="Arial" w:hAnsi="Arial" w:cs="Arial"/>
          <w:lang w:val="es-CO"/>
        </w:rPr>
      </w:pPr>
    </w:p>
    <w:p w14:paraId="5CB68213" w14:textId="77777777" w:rsidR="00B2442D" w:rsidRDefault="008A645F">
      <w:pPr>
        <w:jc w:val="both"/>
        <w:rPr>
          <w:rFonts w:ascii="Arial" w:hAnsi="Arial" w:cs="Arial"/>
          <w:i/>
          <w:lang w:val="es-CO"/>
        </w:rPr>
      </w:pPr>
      <w:r>
        <w:rPr>
          <w:rFonts w:ascii="Arial" w:hAnsi="Arial" w:cs="Arial"/>
          <w:i/>
          <w:lang w:val="es-CO"/>
        </w:rPr>
        <w:t>(Art. 3, Decreto 536 de 2016)</w:t>
      </w:r>
    </w:p>
    <w:p w14:paraId="60A8E8C5" w14:textId="77777777" w:rsidR="00B2442D" w:rsidRDefault="00B2442D">
      <w:pPr>
        <w:jc w:val="both"/>
        <w:rPr>
          <w:rFonts w:ascii="Arial" w:hAnsi="Arial" w:cs="Arial"/>
          <w:lang w:val="es-CO"/>
        </w:rPr>
      </w:pPr>
    </w:p>
    <w:p w14:paraId="4AF6AD8D" w14:textId="77777777" w:rsidR="00B2442D" w:rsidRDefault="00B2442D">
      <w:pPr>
        <w:jc w:val="both"/>
        <w:rPr>
          <w:rFonts w:ascii="Arial" w:hAnsi="Arial" w:cs="Arial"/>
          <w:lang w:val="es-CO"/>
        </w:rPr>
      </w:pPr>
    </w:p>
    <w:p w14:paraId="746CC7D8"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Ajuste del costo de los activos fijos.</w:t>
      </w:r>
      <w:r>
        <w:rPr>
          <w:rFonts w:ascii="Arial" w:hAnsi="Arial" w:cs="Arial"/>
          <w:lang w:val="es-CO"/>
        </w:rPr>
        <w:t xml:space="preserve">  Los contribuyentes podrán ajustar el costo de los activos fijos por el año gravable 2016, en un siete punto cero ocho por ciento (7,08%), de acuerdo con lo previsto en el artículo 70 del Estatuto Tributario.</w:t>
      </w:r>
    </w:p>
    <w:p w14:paraId="0C3BB091" w14:textId="77777777" w:rsidR="00B2442D" w:rsidRDefault="00B2442D">
      <w:pPr>
        <w:jc w:val="both"/>
        <w:rPr>
          <w:rFonts w:ascii="Arial" w:hAnsi="Arial" w:cs="Arial"/>
          <w:lang w:val="es-CO"/>
        </w:rPr>
      </w:pPr>
    </w:p>
    <w:p w14:paraId="68F17155" w14:textId="77777777" w:rsidR="00B2442D" w:rsidRDefault="008A645F">
      <w:pPr>
        <w:jc w:val="both"/>
        <w:rPr>
          <w:rFonts w:ascii="Arial" w:hAnsi="Arial" w:cs="Arial"/>
          <w:i/>
          <w:lang w:val="es-CO"/>
        </w:rPr>
      </w:pPr>
      <w:hyperlink r:id="rId14" w:history="1">
        <w:r>
          <w:rPr>
            <w:rStyle w:val="Hipervnculo"/>
            <w:rFonts w:ascii="Arial" w:hAnsi="Arial" w:cs="Arial"/>
            <w:i/>
            <w:lang w:val="es-CO"/>
          </w:rPr>
          <w:t>(Art. 1, Decreto 2202 de 2016)</w:t>
        </w:r>
      </w:hyperlink>
    </w:p>
    <w:p w14:paraId="1195AEBC" w14:textId="77777777" w:rsidR="00B2442D" w:rsidRDefault="00B2442D">
      <w:pPr>
        <w:jc w:val="both"/>
        <w:rPr>
          <w:rFonts w:ascii="Arial" w:hAnsi="Arial" w:cs="Arial"/>
          <w:lang w:val="es-CO"/>
        </w:rPr>
      </w:pPr>
    </w:p>
    <w:p w14:paraId="365D2881" w14:textId="77777777" w:rsidR="00B2442D" w:rsidRDefault="008A645F">
      <w:pPr>
        <w:pStyle w:val="Prrafodelista"/>
        <w:numPr>
          <w:ilvl w:val="0"/>
          <w:numId w:val="32"/>
        </w:numPr>
        <w:ind w:left="0" w:firstLine="0"/>
        <w:jc w:val="both"/>
        <w:rPr>
          <w:rFonts w:ascii="Arial" w:hAnsi="Arial" w:cs="Arial"/>
          <w:lang w:val="es-CO"/>
        </w:rPr>
      </w:pPr>
      <w:r>
        <w:rPr>
          <w:rFonts w:ascii="Arial" w:hAnsi="Arial" w:cs="Arial"/>
          <w:b/>
          <w:i/>
          <w:lang w:val="es-CO"/>
        </w:rPr>
        <w:t>Costo fiscal para determinar la renta o ganancia ocasional.</w:t>
      </w:r>
      <w:r>
        <w:rPr>
          <w:rFonts w:ascii="Arial" w:hAnsi="Arial" w:cs="Arial"/>
          <w:lang w:val="es-CO"/>
        </w:rPr>
        <w:t xml:space="preserve"> Para efectos de determinar la renta o ganancia ocasional, según el caso, proveniente de la enajenación d</w:t>
      </w:r>
      <w:r>
        <w:rPr>
          <w:rFonts w:ascii="Arial" w:hAnsi="Arial" w:cs="Arial"/>
          <w:lang w:val="es-CO"/>
        </w:rPr>
        <w:t>urante el año gravable 2016, de bienes raíces y de acciones o aportes que tengan el carácter de activos fijos, los contribuyentes que sean personas naturales podrán tomar como costo fiscal cualquiera de los siguientes valores:</w:t>
      </w:r>
    </w:p>
    <w:p w14:paraId="2EE7BE45" w14:textId="77777777" w:rsidR="00B2442D" w:rsidRDefault="00B2442D">
      <w:pPr>
        <w:jc w:val="both"/>
        <w:rPr>
          <w:rFonts w:ascii="Arial" w:hAnsi="Arial" w:cs="Arial"/>
          <w:lang w:val="es-CO"/>
        </w:rPr>
      </w:pPr>
    </w:p>
    <w:p w14:paraId="0B7B3C01" w14:textId="77777777" w:rsidR="00B2442D" w:rsidRDefault="00B2442D">
      <w:pPr>
        <w:jc w:val="both"/>
        <w:rPr>
          <w:rFonts w:ascii="Arial" w:hAnsi="Arial" w:cs="Arial"/>
          <w:lang w:val="es-CO"/>
        </w:rPr>
      </w:pPr>
    </w:p>
    <w:p w14:paraId="11B9AB29" w14:textId="77777777" w:rsidR="00B2442D" w:rsidRDefault="008A645F">
      <w:pPr>
        <w:jc w:val="both"/>
        <w:rPr>
          <w:rFonts w:ascii="Arial" w:hAnsi="Arial" w:cs="Arial"/>
          <w:lang w:val="es-CO"/>
        </w:rPr>
      </w:pPr>
      <w:r>
        <w:rPr>
          <w:rFonts w:ascii="Arial" w:hAnsi="Arial" w:cs="Arial"/>
          <w:lang w:val="es-CO"/>
        </w:rPr>
        <w:t xml:space="preserve">1. </w:t>
      </w:r>
      <w:r>
        <w:rPr>
          <w:rFonts w:ascii="Arial" w:hAnsi="Arial" w:cs="Arial"/>
          <w:lang w:val="es-CO"/>
        </w:rPr>
        <w:tab/>
        <w:t>El valor que se obtenga</w:t>
      </w:r>
      <w:r>
        <w:rPr>
          <w:rFonts w:ascii="Arial" w:hAnsi="Arial" w:cs="Arial"/>
          <w:lang w:val="es-CO"/>
        </w:rPr>
        <w:t xml:space="preserve"> de multiplicar el costo fiscal de los activos fijos enajenados, que figure en la declaración de renta por el año gravable de 1986 por treinta y tres punto sesenta y uno (33.61), si se trata de acciones o aportes, y por doscientos setenta y seis punto doce</w:t>
      </w:r>
      <w:r>
        <w:rPr>
          <w:rFonts w:ascii="Arial" w:hAnsi="Arial" w:cs="Arial"/>
          <w:lang w:val="es-CO"/>
        </w:rPr>
        <w:t xml:space="preserve"> (276.12), en el caso de bienes raíces.</w:t>
      </w:r>
    </w:p>
    <w:p w14:paraId="1AE81199" w14:textId="77777777" w:rsidR="00B2442D" w:rsidRDefault="00B2442D">
      <w:pPr>
        <w:jc w:val="both"/>
        <w:rPr>
          <w:rFonts w:ascii="Arial" w:hAnsi="Arial" w:cs="Arial"/>
          <w:lang w:val="es-CO"/>
        </w:rPr>
      </w:pPr>
    </w:p>
    <w:p w14:paraId="53F7DBEB" w14:textId="77777777" w:rsidR="00B2442D" w:rsidRDefault="00B2442D">
      <w:pPr>
        <w:jc w:val="both"/>
        <w:rPr>
          <w:rFonts w:ascii="Arial" w:hAnsi="Arial" w:cs="Arial"/>
          <w:lang w:val="es-CO"/>
        </w:rPr>
      </w:pPr>
    </w:p>
    <w:p w14:paraId="66BCAF32" w14:textId="77777777" w:rsidR="00B2442D" w:rsidRDefault="008A645F">
      <w:pPr>
        <w:jc w:val="both"/>
        <w:rPr>
          <w:rFonts w:ascii="Arial" w:hAnsi="Arial" w:cs="Arial"/>
          <w:lang w:val="es-CO"/>
        </w:rPr>
      </w:pPr>
      <w:r>
        <w:rPr>
          <w:rFonts w:ascii="Arial" w:hAnsi="Arial" w:cs="Arial"/>
          <w:lang w:val="es-CO"/>
        </w:rPr>
        <w:t xml:space="preserve">2. </w:t>
      </w:r>
      <w:r>
        <w:rPr>
          <w:rFonts w:ascii="Arial" w:hAnsi="Arial" w:cs="Arial"/>
          <w:lang w:val="es-CO"/>
        </w:rPr>
        <w:tab/>
        <w:t>El valor que se obtenga de multiplicar el costo de adquisición del bien enajenado por la cifra de ajuste que figure frente al año de adquisición del mismo, conforme con la siguiente tabla:</w:t>
      </w:r>
      <w:r>
        <w:rPr>
          <w:rFonts w:ascii="Arial" w:hAnsi="Arial" w:cs="Arial"/>
          <w:lang w:val="es-CO"/>
        </w:rPr>
        <w:tab/>
      </w:r>
    </w:p>
    <w:p w14:paraId="6F99EF6C" w14:textId="77777777" w:rsidR="00B2442D" w:rsidRDefault="00B2442D">
      <w:pPr>
        <w:jc w:val="both"/>
        <w:rPr>
          <w:rFonts w:ascii="Arial" w:hAnsi="Arial" w:cs="Arial"/>
          <w:lang w:val="es-CO"/>
        </w:rPr>
      </w:pPr>
    </w:p>
    <w:p w14:paraId="7F82EF67" w14:textId="77777777" w:rsidR="00B2442D" w:rsidRDefault="00B2442D">
      <w:pPr>
        <w:jc w:val="both"/>
        <w:rPr>
          <w:rFonts w:ascii="Arial" w:hAnsi="Arial" w:cs="Arial"/>
          <w:lang w:val="es-CO"/>
        </w:rPr>
      </w:pPr>
    </w:p>
    <w:p w14:paraId="5D273548" w14:textId="77777777" w:rsidR="00B2442D" w:rsidRDefault="00B2442D">
      <w:pPr>
        <w:jc w:val="both"/>
        <w:rPr>
          <w:rFonts w:ascii="Arial" w:hAnsi="Arial" w:cs="Arial"/>
          <w:lang w:val="es-CO"/>
        </w:rPr>
      </w:pPr>
    </w:p>
    <w:p w14:paraId="4433F687" w14:textId="77777777" w:rsidR="00B2442D" w:rsidRDefault="008A645F">
      <w:pPr>
        <w:jc w:val="center"/>
        <w:rPr>
          <w:rFonts w:ascii="Arial" w:hAnsi="Arial" w:cs="Arial"/>
          <w:lang w:val="es-CO"/>
        </w:rPr>
      </w:pPr>
      <w:r>
        <w:rPr>
          <w:noProof/>
          <w:lang w:val="es-CO" w:eastAsia="es-CO"/>
        </w:rPr>
        <w:drawing>
          <wp:inline distT="0" distB="0" distL="0" distR="0" wp14:anchorId="3DEE515A" wp14:editId="7AB3BC30">
            <wp:extent cx="3684270" cy="774071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8164" cy="7790914"/>
                    </a:xfrm>
                    <a:prstGeom prst="rect">
                      <a:avLst/>
                    </a:prstGeom>
                    <a:noFill/>
                    <a:ln>
                      <a:noFill/>
                    </a:ln>
                  </pic:spPr>
                </pic:pic>
              </a:graphicData>
            </a:graphic>
          </wp:inline>
        </w:drawing>
      </w:r>
    </w:p>
    <w:p w14:paraId="18857E0D" w14:textId="77777777" w:rsidR="00B2442D" w:rsidRDefault="00B2442D">
      <w:pPr>
        <w:jc w:val="both"/>
        <w:rPr>
          <w:rFonts w:ascii="Arial" w:hAnsi="Arial" w:cs="Arial"/>
          <w:lang w:val="es-CO"/>
        </w:rPr>
      </w:pPr>
    </w:p>
    <w:p w14:paraId="54416681" w14:textId="77777777" w:rsidR="00B2442D" w:rsidRDefault="00B2442D">
      <w:pPr>
        <w:jc w:val="both"/>
        <w:rPr>
          <w:rFonts w:ascii="Arial" w:hAnsi="Arial" w:cs="Arial"/>
          <w:lang w:val="es-CO"/>
        </w:rPr>
      </w:pPr>
    </w:p>
    <w:p w14:paraId="6C063C07" w14:textId="77777777" w:rsidR="00B2442D" w:rsidRDefault="008A645F">
      <w:pPr>
        <w:jc w:val="both"/>
        <w:rPr>
          <w:rFonts w:ascii="Arial" w:hAnsi="Arial" w:cs="Arial"/>
          <w:lang w:val="es-CO"/>
        </w:rPr>
      </w:pPr>
      <w:r>
        <w:rPr>
          <w:rFonts w:ascii="Arial" w:hAnsi="Arial" w:cs="Arial"/>
          <w:lang w:val="es-CO"/>
        </w:rPr>
        <w:t xml:space="preserve">De </w:t>
      </w:r>
      <w:r>
        <w:rPr>
          <w:rFonts w:ascii="Arial" w:hAnsi="Arial" w:cs="Arial"/>
          <w:lang w:val="es-CO"/>
        </w:rPr>
        <w:t>conformidad con lo dispuesto por el artículo 73 del Estatuto Tributario, en cualquiera de los casos señalados en los numerales 1 y 2, la cifra obtenida, puede ser incrementada en el valor de las mejoras y contribuciones por valorización que se hubieren pag</w:t>
      </w:r>
      <w:r>
        <w:rPr>
          <w:rFonts w:ascii="Arial" w:hAnsi="Arial" w:cs="Arial"/>
          <w:lang w:val="es-CO"/>
        </w:rPr>
        <w:t>ado, cuando se trate de bienes raíces.</w:t>
      </w:r>
    </w:p>
    <w:p w14:paraId="4639B83A" w14:textId="77777777" w:rsidR="00B2442D" w:rsidRDefault="00B2442D">
      <w:pPr>
        <w:jc w:val="both"/>
        <w:rPr>
          <w:rFonts w:ascii="Arial" w:hAnsi="Arial" w:cs="Arial"/>
          <w:lang w:val="es-CO"/>
        </w:rPr>
      </w:pPr>
    </w:p>
    <w:p w14:paraId="2F5D6143"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El costo fiscal de los bienes raíces, aportes o acciones en sociedades determinado de acuerdo con este artículo, podrá ser tomado como valor patrimonial en la declaración de renta y complementarios del año</w:t>
      </w:r>
      <w:r>
        <w:rPr>
          <w:rFonts w:ascii="Arial" w:hAnsi="Arial" w:cs="Arial"/>
          <w:lang w:val="es-CO"/>
        </w:rPr>
        <w:t xml:space="preserve"> gravable 2016.</w:t>
      </w:r>
    </w:p>
    <w:p w14:paraId="2C69192A" w14:textId="77777777" w:rsidR="00B2442D" w:rsidRDefault="00B2442D">
      <w:pPr>
        <w:jc w:val="both"/>
        <w:rPr>
          <w:rFonts w:ascii="Arial" w:hAnsi="Arial" w:cs="Arial"/>
          <w:lang w:val="es-CO"/>
        </w:rPr>
      </w:pPr>
    </w:p>
    <w:p w14:paraId="56F72138" w14:textId="77777777" w:rsidR="00B2442D" w:rsidRDefault="008A645F">
      <w:pPr>
        <w:jc w:val="both"/>
        <w:rPr>
          <w:rFonts w:ascii="Arial" w:hAnsi="Arial" w:cs="Arial"/>
          <w:i/>
          <w:lang w:val="es-CO"/>
        </w:rPr>
      </w:pPr>
      <w:hyperlink r:id="rId16" w:history="1">
        <w:r>
          <w:rPr>
            <w:rStyle w:val="Hipervnculo"/>
            <w:rFonts w:ascii="Arial" w:hAnsi="Arial" w:cs="Arial"/>
            <w:i/>
            <w:lang w:val="es-CO"/>
          </w:rPr>
          <w:t>(Art. 1, Decreto 2202 de 2016)</w:t>
        </w:r>
      </w:hyperlink>
    </w:p>
    <w:p w14:paraId="61C24DB0" w14:textId="77777777" w:rsidR="00B2442D" w:rsidRDefault="00B2442D">
      <w:pPr>
        <w:jc w:val="both"/>
        <w:rPr>
          <w:rFonts w:ascii="Arial" w:hAnsi="Arial" w:cs="Arial"/>
          <w:lang w:val="es-CO"/>
        </w:rPr>
      </w:pPr>
    </w:p>
    <w:p w14:paraId="762B4BCD" w14:textId="77777777" w:rsidR="00B2442D" w:rsidRDefault="00B2442D">
      <w:pPr>
        <w:jc w:val="both"/>
        <w:rPr>
          <w:rFonts w:ascii="Arial" w:hAnsi="Arial" w:cs="Arial"/>
          <w:lang w:val="es-CO"/>
        </w:rPr>
      </w:pPr>
    </w:p>
    <w:p w14:paraId="7607E2C4" w14:textId="77777777" w:rsidR="00B2442D" w:rsidRDefault="008A645F">
      <w:pPr>
        <w:pStyle w:val="Ttulo4"/>
      </w:pPr>
      <w:r>
        <w:t>CAPÍTULO 18</w:t>
      </w:r>
    </w:p>
    <w:p w14:paraId="27937D9A" w14:textId="77777777" w:rsidR="00B2442D" w:rsidRDefault="008A645F">
      <w:pPr>
        <w:pStyle w:val="Ttulo4"/>
      </w:pPr>
      <w:r>
        <w:t>Deducciones</w:t>
      </w:r>
    </w:p>
    <w:p w14:paraId="60465549" w14:textId="77777777" w:rsidR="00B2442D" w:rsidRDefault="00B2442D">
      <w:pPr>
        <w:rPr>
          <w:rFonts w:ascii="Arial" w:hAnsi="Arial" w:cs="Arial"/>
        </w:rPr>
      </w:pPr>
    </w:p>
    <w:p w14:paraId="0542B148"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Sistemas de depreciación.</w:t>
      </w:r>
      <w:r>
        <w:rPr>
          <w:rFonts w:ascii="Arial" w:hAnsi="Arial" w:cs="Arial"/>
          <w:lang w:val="es-CO"/>
        </w:rPr>
        <w:t xml:space="preserve"> De conformidad con el artículo 134 del Estatuto Tributario, la depreciación se calcula por el sistema de línea recta, por el de reducción de saldos o por otro sistema de reconocido valor técnico autorizado por el Subdirector de Gestión de Fiscalización Tr</w:t>
      </w:r>
      <w:r>
        <w:rPr>
          <w:rFonts w:ascii="Arial" w:hAnsi="Arial" w:cs="Arial"/>
          <w:lang w:val="es-CO"/>
        </w:rPr>
        <w:t>ibutaria de la Unidad Administrativa Especial Dirección de Impuestos y Aduanas Nacionales- DIAN.</w:t>
      </w:r>
    </w:p>
    <w:p w14:paraId="6A97CFE0" w14:textId="77777777" w:rsidR="00B2442D" w:rsidRDefault="00B2442D">
      <w:pPr>
        <w:jc w:val="both"/>
        <w:rPr>
          <w:rFonts w:ascii="Arial" w:hAnsi="Arial" w:cs="Arial"/>
          <w:lang w:val="es-CO"/>
        </w:rPr>
      </w:pPr>
    </w:p>
    <w:p w14:paraId="5D0EB178" w14:textId="77777777" w:rsidR="00B2442D" w:rsidRDefault="008A645F">
      <w:pPr>
        <w:jc w:val="both"/>
        <w:rPr>
          <w:rFonts w:ascii="Arial" w:hAnsi="Arial" w:cs="Arial"/>
          <w:lang w:val="es-CO"/>
        </w:rPr>
      </w:pPr>
      <w:r>
        <w:rPr>
          <w:rFonts w:ascii="Arial" w:hAnsi="Arial" w:cs="Arial"/>
          <w:lang w:val="es-CO"/>
        </w:rPr>
        <w:t>A partir del año gravable 1992 no se podrá utilizar el sistema de depreciación flexible o de tasas variables.</w:t>
      </w:r>
    </w:p>
    <w:p w14:paraId="17BB346B" w14:textId="77777777" w:rsidR="00B2442D" w:rsidRDefault="00B2442D">
      <w:pPr>
        <w:jc w:val="both"/>
        <w:rPr>
          <w:rFonts w:ascii="Arial" w:hAnsi="Arial" w:cs="Arial"/>
          <w:lang w:val="es-CO"/>
        </w:rPr>
      </w:pPr>
    </w:p>
    <w:p w14:paraId="03D6AEF6" w14:textId="77777777" w:rsidR="00B2442D" w:rsidRDefault="008A645F">
      <w:pPr>
        <w:jc w:val="both"/>
        <w:rPr>
          <w:rFonts w:ascii="Arial" w:hAnsi="Arial" w:cs="Arial"/>
          <w:lang w:val="es-CO"/>
        </w:rPr>
      </w:pPr>
      <w:r>
        <w:rPr>
          <w:rFonts w:ascii="Arial" w:hAnsi="Arial" w:cs="Arial"/>
          <w:lang w:val="es-CO"/>
        </w:rPr>
        <w:t>Quienes venían utilizando el sistema de depreci</w:t>
      </w:r>
      <w:r>
        <w:rPr>
          <w:rFonts w:ascii="Arial" w:hAnsi="Arial" w:cs="Arial"/>
          <w:lang w:val="es-CO"/>
        </w:rPr>
        <w:t>ación flexible o de tasas variables y a 31 de diciembre de 1991 tenían un saldo por depreciar, a partir del año gravable 1992, podrán depreciarlo utilizando la cuota que corresponda al sistema de línea recta, hasta depreciar el ciento por ciento (100%) del</w:t>
      </w:r>
      <w:r>
        <w:rPr>
          <w:rFonts w:ascii="Arial" w:hAnsi="Arial" w:cs="Arial"/>
          <w:lang w:val="es-CO"/>
        </w:rPr>
        <w:t xml:space="preserve"> valor bruto del activo, sin importar el tiempo de vida útil restante.</w:t>
      </w:r>
    </w:p>
    <w:p w14:paraId="5E02CEC9" w14:textId="77777777" w:rsidR="00B2442D" w:rsidRDefault="00B2442D">
      <w:pPr>
        <w:jc w:val="both"/>
        <w:rPr>
          <w:rFonts w:ascii="Arial" w:hAnsi="Arial" w:cs="Arial"/>
          <w:i/>
          <w:lang w:val="es-CO"/>
        </w:rPr>
      </w:pPr>
    </w:p>
    <w:p w14:paraId="2CC3D06F" w14:textId="77777777" w:rsidR="00B2442D" w:rsidRDefault="008A645F">
      <w:pPr>
        <w:jc w:val="both"/>
        <w:rPr>
          <w:rFonts w:ascii="Arial" w:hAnsi="Arial" w:cs="Arial"/>
          <w:i/>
          <w:lang w:val="es-CO"/>
        </w:rPr>
      </w:pPr>
      <w:r>
        <w:rPr>
          <w:rFonts w:ascii="Arial" w:hAnsi="Arial" w:cs="Arial"/>
          <w:i/>
          <w:lang w:val="es-CO"/>
        </w:rPr>
        <w:t>(Art. 29, Decreto 2075 de 1992. Los incisos 2 y 3 tienen decaimiento por la evolución legislativa (El inciso 2 del art. 134 del E.T., derogado expresamente por el art. 285 de la Ley 22</w:t>
      </w:r>
      <w:r>
        <w:rPr>
          <w:rFonts w:ascii="Arial" w:hAnsi="Arial" w:cs="Arial"/>
          <w:i/>
          <w:lang w:val="es-CO"/>
        </w:rPr>
        <w:t>3 de 1995)</w:t>
      </w:r>
    </w:p>
    <w:p w14:paraId="6F1FFCE0" w14:textId="77777777" w:rsidR="00B2442D" w:rsidRDefault="00B2442D">
      <w:pPr>
        <w:jc w:val="both"/>
        <w:rPr>
          <w:rFonts w:ascii="Arial" w:hAnsi="Arial" w:cs="Arial"/>
          <w:lang w:val="es-CO"/>
        </w:rPr>
      </w:pPr>
    </w:p>
    <w:p w14:paraId="39351350" w14:textId="77777777" w:rsidR="00B2442D" w:rsidRDefault="008A645F">
      <w:pPr>
        <w:pStyle w:val="Prrafodelista"/>
        <w:numPr>
          <w:ilvl w:val="0"/>
          <w:numId w:val="33"/>
        </w:numPr>
        <w:shd w:val="clear" w:color="auto" w:fill="FFFFFF" w:themeFill="background1"/>
        <w:ind w:left="0" w:firstLine="0"/>
        <w:jc w:val="both"/>
        <w:rPr>
          <w:rFonts w:ascii="Arial" w:hAnsi="Arial" w:cs="Arial"/>
          <w:lang w:val="es-CO"/>
        </w:rPr>
      </w:pPr>
      <w:r>
        <w:rPr>
          <w:rFonts w:ascii="Arial" w:hAnsi="Arial" w:cs="Arial"/>
          <w:b/>
          <w:i/>
          <w:lang w:val="es-CO"/>
        </w:rPr>
        <w:t xml:space="preserve"> Autorización para adoptar un sistema de depreciación. </w:t>
      </w:r>
      <w:r>
        <w:rPr>
          <w:rFonts w:ascii="Arial" w:hAnsi="Arial" w:cs="Arial"/>
          <w:lang w:val="es-CO"/>
        </w:rPr>
        <w:t xml:space="preserve">Cuando el contribuyente pida la autorización para adoptar un sistema de depreciación de reconocido valor técnico diferente de los de línea recta, reducción de saldos, o para fijar una vida </w:t>
      </w:r>
      <w:r>
        <w:rPr>
          <w:rFonts w:ascii="Arial" w:hAnsi="Arial" w:cs="Arial"/>
          <w:lang w:val="es-CO"/>
        </w:rPr>
        <w:t>útil de bienes depreciables distinta de la señalada en el reglamento, de conformidad con los numerales 1 y 6 del artículo 59 del Decreto 2053 de 1974 (hoy artículo 128 del Estatuto Tributario), deberá presentar la correspondiente solicitud por lo menos con</w:t>
      </w:r>
      <w:r>
        <w:rPr>
          <w:rFonts w:ascii="Arial" w:hAnsi="Arial" w:cs="Arial"/>
          <w:lang w:val="es-CO"/>
        </w:rPr>
        <w:t xml:space="preserve"> tres (3) meses de anterioridad a la iniciación del ejercicio en el cual vayan a tener aplicación.</w:t>
      </w:r>
    </w:p>
    <w:p w14:paraId="4432BA4E" w14:textId="77777777" w:rsidR="00B2442D" w:rsidRDefault="00B2442D">
      <w:pPr>
        <w:jc w:val="both"/>
        <w:rPr>
          <w:rFonts w:ascii="Arial" w:hAnsi="Arial" w:cs="Arial"/>
          <w:i/>
          <w:lang w:val="es-CO"/>
        </w:rPr>
      </w:pPr>
    </w:p>
    <w:p w14:paraId="69221ECC" w14:textId="77777777" w:rsidR="00B2442D" w:rsidRDefault="008A645F">
      <w:pPr>
        <w:jc w:val="both"/>
        <w:rPr>
          <w:rFonts w:ascii="Arial" w:hAnsi="Arial" w:cs="Arial"/>
          <w:i/>
          <w:lang w:val="es-CO"/>
        </w:rPr>
      </w:pPr>
      <w:r>
        <w:rPr>
          <w:rFonts w:ascii="Arial" w:hAnsi="Arial" w:cs="Arial"/>
          <w:i/>
          <w:lang w:val="es-CO"/>
        </w:rPr>
        <w:t>(Art. 34, Decreto 187 de 1975, modificado por el Art. 4 del Decreto 1649 de 1976. La expresión “o del establecido en el artículo 1 de este decreto”, tiene d</w:t>
      </w:r>
      <w:r>
        <w:rPr>
          <w:rFonts w:ascii="Arial" w:hAnsi="Arial" w:cs="Arial"/>
          <w:i/>
          <w:lang w:val="es-CO"/>
        </w:rPr>
        <w:t>ecaimiento por la evolución normativa (Art. 7 del Decreto 3019 de 1989,</w:t>
      </w:r>
      <w:r>
        <w:rPr>
          <w:rFonts w:ascii="Arial" w:hAnsi="Arial" w:cs="Arial"/>
        </w:rPr>
        <w:t xml:space="preserve"> </w:t>
      </w:r>
      <w:r>
        <w:rPr>
          <w:rFonts w:ascii="Arial" w:hAnsi="Arial" w:cs="Arial"/>
          <w:i/>
          <w:lang w:val="es-CO"/>
        </w:rPr>
        <w:t>art. 90 y 285 de la Ley 223 de 1995))</w:t>
      </w:r>
    </w:p>
    <w:p w14:paraId="5D04577E" w14:textId="77777777" w:rsidR="00B2442D" w:rsidRDefault="00B2442D">
      <w:pPr>
        <w:jc w:val="both"/>
        <w:rPr>
          <w:rFonts w:ascii="Arial" w:hAnsi="Arial" w:cs="Arial"/>
          <w:i/>
          <w:lang w:val="es-CO"/>
        </w:rPr>
      </w:pPr>
    </w:p>
    <w:p w14:paraId="0A9D5F62" w14:textId="77777777" w:rsidR="00B2442D" w:rsidRDefault="008A645F">
      <w:pPr>
        <w:pStyle w:val="Prrafodelista"/>
        <w:numPr>
          <w:ilvl w:val="0"/>
          <w:numId w:val="33"/>
        </w:numPr>
        <w:shd w:val="clear" w:color="auto" w:fill="FFFFFF" w:themeFill="background1"/>
        <w:ind w:left="0" w:firstLine="0"/>
        <w:jc w:val="both"/>
        <w:rPr>
          <w:rFonts w:ascii="Arial" w:hAnsi="Arial" w:cs="Arial"/>
          <w:lang w:val="es-CO"/>
        </w:rPr>
      </w:pPr>
      <w:r>
        <w:rPr>
          <w:rFonts w:ascii="Arial" w:hAnsi="Arial" w:cs="Arial"/>
          <w:b/>
          <w:i/>
          <w:lang w:val="es-CO"/>
        </w:rPr>
        <w:t xml:space="preserve"> Depreciación acelerada. </w:t>
      </w:r>
      <w:r>
        <w:rPr>
          <w:rFonts w:ascii="Arial" w:hAnsi="Arial" w:cs="Arial"/>
          <w:lang w:val="es-CO"/>
        </w:rPr>
        <w:t>Para efectos de lo previsto en el numeral 7º del artículo 59 del Decreto 2053 de 1974 (hoy artículo 140 del Estatuto Tri</w:t>
      </w:r>
      <w:r>
        <w:rPr>
          <w:rFonts w:ascii="Arial" w:hAnsi="Arial" w:cs="Arial"/>
          <w:lang w:val="es-CO"/>
        </w:rPr>
        <w:t>butario), se considera como turno normal el de ocho (8) horas diarias. Cuando el equipo se utilice diariamente en turnos mayores, se considerará como turno adicional el mismo lapso y proporcionalmente por fracción.</w:t>
      </w:r>
    </w:p>
    <w:p w14:paraId="5260E793" w14:textId="77777777" w:rsidR="00B2442D" w:rsidRDefault="00B2442D">
      <w:pPr>
        <w:jc w:val="both"/>
        <w:rPr>
          <w:rFonts w:ascii="Arial" w:hAnsi="Arial" w:cs="Arial"/>
          <w:i/>
          <w:lang w:val="es-CO"/>
        </w:rPr>
      </w:pPr>
    </w:p>
    <w:p w14:paraId="6AA0DC59" w14:textId="77777777" w:rsidR="00B2442D" w:rsidRDefault="008A645F">
      <w:pPr>
        <w:jc w:val="both"/>
        <w:rPr>
          <w:rFonts w:ascii="Arial" w:hAnsi="Arial" w:cs="Arial"/>
          <w:lang w:val="es-CO"/>
        </w:rPr>
      </w:pPr>
      <w:r>
        <w:rPr>
          <w:rFonts w:ascii="Arial" w:hAnsi="Arial" w:cs="Arial"/>
          <w:i/>
          <w:lang w:val="es-CO"/>
        </w:rPr>
        <w:t>(Art. 71, Decreto 187 de 1975) (Vigencia</w:t>
      </w:r>
      <w:r>
        <w:rPr>
          <w:rFonts w:ascii="Arial" w:hAnsi="Arial" w:cs="Arial"/>
          <w:i/>
          <w:lang w:val="es-CO"/>
        </w:rPr>
        <w:t xml:space="preserve"> del Decreto 187 de 1975. El Decreto 187 de 1975 se aplicará a partir del ejercicio impositivo de 1974 salvo los casos expresamente exceptuados en el mismo o en las normas sustantivas y procedimentales del impuesto sobre la renta y complementario. (Art. 11</w:t>
      </w:r>
      <w:r>
        <w:rPr>
          <w:rFonts w:ascii="Arial" w:hAnsi="Arial" w:cs="Arial"/>
          <w:i/>
          <w:lang w:val="es-CO"/>
        </w:rPr>
        <w:t>7, Decreto 187 de 1975))</w:t>
      </w:r>
    </w:p>
    <w:p w14:paraId="38323C64" w14:textId="77777777" w:rsidR="00B2442D" w:rsidRDefault="00B2442D">
      <w:pPr>
        <w:jc w:val="both"/>
        <w:rPr>
          <w:rFonts w:ascii="Arial" w:hAnsi="Arial" w:cs="Arial"/>
          <w:lang w:val="es-CO"/>
        </w:rPr>
      </w:pPr>
    </w:p>
    <w:p w14:paraId="7A439E0B"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Vida útil de los activos fijos depreciables adquiridos a partir de 1989.</w:t>
      </w:r>
      <w:r>
        <w:rPr>
          <w:rFonts w:ascii="Arial" w:hAnsi="Arial" w:cs="Arial"/>
          <w:lang w:val="es-CO"/>
        </w:rPr>
        <w:t xml:space="preserve"> La vida útil de los activos fijos depreciables, adquiridos a partir de 1989 será la siguiente: </w:t>
      </w:r>
    </w:p>
    <w:p w14:paraId="0F130469" w14:textId="77777777" w:rsidR="00B2442D" w:rsidRDefault="008A645F">
      <w:pPr>
        <w:jc w:val="both"/>
        <w:rPr>
          <w:rFonts w:ascii="Arial" w:hAnsi="Arial" w:cs="Arial"/>
          <w:lang w:val="es-CO"/>
        </w:rPr>
      </w:pPr>
      <w:r>
        <w:rPr>
          <w:rFonts w:ascii="Arial" w:hAnsi="Arial" w:cs="Arial"/>
          <w:lang w:val="es-CO"/>
        </w:rPr>
        <w:t xml:space="preserve"> </w:t>
      </w:r>
    </w:p>
    <w:tbl>
      <w:tblPr>
        <w:tblW w:w="0" w:type="auto"/>
        <w:jc w:val="center"/>
        <w:tblLayout w:type="fixed"/>
        <w:tblLook w:val="04A0" w:firstRow="1" w:lastRow="0" w:firstColumn="1" w:lastColumn="0" w:noHBand="0" w:noVBand="1"/>
      </w:tblPr>
      <w:tblGrid>
        <w:gridCol w:w="5314"/>
        <w:gridCol w:w="1525"/>
      </w:tblGrid>
      <w:tr w:rsidR="00B2442D" w14:paraId="0C632567" w14:textId="77777777">
        <w:trPr>
          <w:jc w:val="center"/>
        </w:trPr>
        <w:tc>
          <w:tcPr>
            <w:tcW w:w="5314" w:type="dxa"/>
          </w:tcPr>
          <w:p w14:paraId="679CDFB9"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Inmuebles (incluidos los oleoductos)</w:t>
            </w:r>
          </w:p>
        </w:tc>
        <w:tc>
          <w:tcPr>
            <w:tcW w:w="1525" w:type="dxa"/>
          </w:tcPr>
          <w:p w14:paraId="083FA32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20 años</w:t>
            </w:r>
          </w:p>
        </w:tc>
      </w:tr>
      <w:tr w:rsidR="00B2442D" w14:paraId="610FDC11" w14:textId="77777777">
        <w:trPr>
          <w:jc w:val="center"/>
        </w:trPr>
        <w:tc>
          <w:tcPr>
            <w:tcW w:w="5314" w:type="dxa"/>
          </w:tcPr>
          <w:p w14:paraId="529E9B29"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Barcos, trenes, aviones, maquinaria, equipo y bienes muebles</w:t>
            </w:r>
          </w:p>
        </w:tc>
        <w:tc>
          <w:tcPr>
            <w:tcW w:w="1525" w:type="dxa"/>
          </w:tcPr>
          <w:p w14:paraId="29B35D5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10 años</w:t>
            </w:r>
          </w:p>
        </w:tc>
      </w:tr>
      <w:tr w:rsidR="00B2442D" w14:paraId="682C65EE" w14:textId="77777777">
        <w:trPr>
          <w:jc w:val="center"/>
        </w:trPr>
        <w:tc>
          <w:tcPr>
            <w:tcW w:w="5314" w:type="dxa"/>
          </w:tcPr>
          <w:p w14:paraId="387A6ABE"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Vehículos automotores y computadores</w:t>
            </w:r>
            <w:r>
              <w:rPr>
                <w:rFonts w:ascii="Arial" w:hAnsi="Arial" w:cs="Arial"/>
              </w:rPr>
              <w:tab/>
            </w:r>
          </w:p>
        </w:tc>
        <w:tc>
          <w:tcPr>
            <w:tcW w:w="1525" w:type="dxa"/>
          </w:tcPr>
          <w:p w14:paraId="4B5DCA7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5 años</w:t>
            </w:r>
          </w:p>
        </w:tc>
      </w:tr>
    </w:tbl>
    <w:p w14:paraId="0A4F5898" w14:textId="77777777" w:rsidR="00B2442D" w:rsidRDefault="00B2442D">
      <w:pPr>
        <w:jc w:val="both"/>
        <w:rPr>
          <w:rFonts w:ascii="Arial" w:hAnsi="Arial" w:cs="Arial"/>
          <w:lang w:val="es-CO"/>
        </w:rPr>
      </w:pPr>
    </w:p>
    <w:p w14:paraId="21067FB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Se tendrán como activos adquiridos en el año, aquellos que a 31 de diciembre del año anterior figuraban como "maquinaria en mont</w:t>
      </w:r>
      <w:r>
        <w:rPr>
          <w:rFonts w:ascii="Arial" w:hAnsi="Arial" w:cs="Arial"/>
          <w:lang w:val="es-CO"/>
        </w:rPr>
        <w:t>aje", "construcciones en curso" y "activos fijos importados en tránsito" y que se incorporen como activos fijos utilizables durante el respectivo período.</w:t>
      </w:r>
    </w:p>
    <w:p w14:paraId="115F11D6" w14:textId="77777777" w:rsidR="00B2442D" w:rsidRDefault="00B2442D">
      <w:pPr>
        <w:jc w:val="both"/>
        <w:rPr>
          <w:rFonts w:ascii="Arial" w:hAnsi="Arial" w:cs="Arial"/>
          <w:i/>
          <w:lang w:val="es-CO"/>
        </w:rPr>
      </w:pPr>
    </w:p>
    <w:p w14:paraId="073BFD9C" w14:textId="77777777" w:rsidR="00B2442D" w:rsidRDefault="008A645F">
      <w:pPr>
        <w:jc w:val="both"/>
        <w:rPr>
          <w:rFonts w:ascii="Arial" w:hAnsi="Arial" w:cs="Arial"/>
          <w:i/>
          <w:lang w:val="es-CO"/>
        </w:rPr>
      </w:pPr>
      <w:r>
        <w:rPr>
          <w:rFonts w:ascii="Arial" w:hAnsi="Arial" w:cs="Arial"/>
          <w:i/>
          <w:lang w:val="es-CO"/>
        </w:rPr>
        <w:t>(Art. 2, Decreto 3019 de 1989)</w:t>
      </w:r>
    </w:p>
    <w:p w14:paraId="237D0C5C" w14:textId="77777777" w:rsidR="00B2442D" w:rsidRDefault="00B2442D">
      <w:pPr>
        <w:jc w:val="both"/>
        <w:rPr>
          <w:rFonts w:ascii="Arial" w:hAnsi="Arial" w:cs="Arial"/>
          <w:lang w:val="es-CO"/>
        </w:rPr>
      </w:pPr>
    </w:p>
    <w:p w14:paraId="0F4FF23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Depreciación en un solo año para activos menores a partir de 1990.</w:t>
      </w:r>
      <w:r>
        <w:rPr>
          <w:rFonts w:ascii="Arial" w:hAnsi="Arial" w:cs="Arial"/>
          <w:lang w:val="es-CO"/>
        </w:rPr>
        <w:t xml:space="preserve"> A</w:t>
      </w:r>
      <w:r>
        <w:rPr>
          <w:rFonts w:ascii="Arial" w:hAnsi="Arial" w:cs="Arial"/>
          <w:lang w:val="es-CO"/>
        </w:rPr>
        <w:t xml:space="preserve"> partir del año gravable de 1990, los activos fijos depreciables adquiridos a partir de dicho año, cuyo valor de adquisición sea igual o inferior a cincuenta (50) UVT, podrán depreciarse en el mismo año en que se adquieran, sin consideración a la vida útil</w:t>
      </w:r>
      <w:r>
        <w:rPr>
          <w:rFonts w:ascii="Arial" w:hAnsi="Arial" w:cs="Arial"/>
          <w:lang w:val="es-CO"/>
        </w:rPr>
        <w:t xml:space="preserve"> de los mismos. </w:t>
      </w:r>
    </w:p>
    <w:p w14:paraId="090C5585" w14:textId="77777777" w:rsidR="00B2442D" w:rsidRDefault="00B2442D">
      <w:pPr>
        <w:jc w:val="both"/>
        <w:rPr>
          <w:rFonts w:ascii="Arial" w:hAnsi="Arial" w:cs="Arial"/>
          <w:lang w:val="es-CO"/>
        </w:rPr>
      </w:pPr>
    </w:p>
    <w:p w14:paraId="39397681" w14:textId="77777777" w:rsidR="00B2442D" w:rsidRDefault="008A645F">
      <w:pPr>
        <w:jc w:val="both"/>
        <w:rPr>
          <w:rFonts w:ascii="Arial" w:hAnsi="Arial" w:cs="Arial"/>
          <w:lang w:val="es-CO"/>
        </w:rPr>
      </w:pPr>
      <w:r>
        <w:rPr>
          <w:rFonts w:ascii="Arial" w:hAnsi="Arial" w:cs="Arial"/>
          <w:lang w:val="es-CO"/>
        </w:rPr>
        <w:t>El valor señalado anteriormente corresponde al valor total del bien, incluyendo la totalidad de las partes o elementos que lo conforman y no se refiere al valor individual fraccionado de sus partes o elementos.</w:t>
      </w:r>
    </w:p>
    <w:p w14:paraId="6C840CA0" w14:textId="77777777" w:rsidR="00B2442D" w:rsidRDefault="00B2442D">
      <w:pPr>
        <w:jc w:val="both"/>
        <w:rPr>
          <w:rFonts w:ascii="Arial" w:hAnsi="Arial" w:cs="Arial"/>
          <w:i/>
          <w:lang w:val="es-CO"/>
        </w:rPr>
      </w:pPr>
    </w:p>
    <w:p w14:paraId="20E54732" w14:textId="77777777" w:rsidR="00B2442D" w:rsidRDefault="008A645F">
      <w:pPr>
        <w:jc w:val="both"/>
        <w:rPr>
          <w:rFonts w:ascii="Arial" w:hAnsi="Arial" w:cs="Arial"/>
          <w:i/>
          <w:lang w:val="es-CO"/>
        </w:rPr>
      </w:pPr>
      <w:r>
        <w:rPr>
          <w:rFonts w:ascii="Arial" w:hAnsi="Arial" w:cs="Arial"/>
          <w:i/>
          <w:lang w:val="es-CO"/>
        </w:rPr>
        <w:t xml:space="preserve">(Art. 6, Decreto 3019 de </w:t>
      </w:r>
      <w:r>
        <w:rPr>
          <w:rFonts w:ascii="Arial" w:hAnsi="Arial" w:cs="Arial"/>
          <w:i/>
          <w:lang w:val="es-CO"/>
        </w:rPr>
        <w:t xml:space="preserve">1989, modificado por el artículo 51 de la Ley 1111 de 2006. Inciso tercero tiene decaimiento por la evolución legislativa. (El artículo 78 de la Ley 1111 de 2006 derogó los artículos contenidos en el Título V del libro I del Estatuto Tributario, relativos </w:t>
      </w:r>
      <w:r>
        <w:rPr>
          <w:rFonts w:ascii="Arial" w:hAnsi="Arial" w:cs="Arial"/>
          <w:i/>
          <w:lang w:val="es-CO"/>
        </w:rPr>
        <w:t>al sistema de ajustes integrales por inflación)</w:t>
      </w:r>
    </w:p>
    <w:p w14:paraId="16E90064" w14:textId="77777777" w:rsidR="00B2442D" w:rsidRDefault="00B2442D">
      <w:pPr>
        <w:jc w:val="both"/>
        <w:rPr>
          <w:rFonts w:ascii="Arial" w:hAnsi="Arial" w:cs="Arial"/>
          <w:lang w:val="es-CO"/>
        </w:rPr>
      </w:pPr>
    </w:p>
    <w:p w14:paraId="03C0AAC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Eliminación del sistema de depreciación a tasas variables a partir de 1992.</w:t>
      </w:r>
      <w:r>
        <w:rPr>
          <w:rFonts w:ascii="Arial" w:hAnsi="Arial" w:cs="Arial"/>
          <w:lang w:val="es-CO"/>
        </w:rPr>
        <w:t xml:space="preserve"> Para todos los casos a partir del año gravable de 1992, no se podrá utilizar el sistema de depreciación a tasas variables que consa</w:t>
      </w:r>
      <w:r>
        <w:rPr>
          <w:rFonts w:ascii="Arial" w:hAnsi="Arial" w:cs="Arial"/>
          <w:lang w:val="es-CO"/>
        </w:rPr>
        <w:t>gra el Decreto 1649 de 1976.</w:t>
      </w:r>
    </w:p>
    <w:p w14:paraId="1164AC2D" w14:textId="77777777" w:rsidR="00B2442D" w:rsidRDefault="00B2442D">
      <w:pPr>
        <w:jc w:val="both"/>
        <w:rPr>
          <w:rFonts w:ascii="Arial" w:hAnsi="Arial" w:cs="Arial"/>
          <w:i/>
          <w:lang w:val="es-CO"/>
        </w:rPr>
      </w:pPr>
    </w:p>
    <w:p w14:paraId="5E2DF4F1" w14:textId="77777777" w:rsidR="00B2442D" w:rsidRDefault="008A645F">
      <w:pPr>
        <w:jc w:val="both"/>
        <w:rPr>
          <w:rFonts w:ascii="Arial" w:hAnsi="Arial" w:cs="Arial"/>
          <w:i/>
          <w:lang w:val="es-CO"/>
        </w:rPr>
      </w:pPr>
      <w:r>
        <w:rPr>
          <w:rFonts w:ascii="Arial" w:hAnsi="Arial" w:cs="Arial"/>
          <w:i/>
          <w:lang w:val="es-CO"/>
        </w:rPr>
        <w:t>(Art. 7, Decreto 3019 de 1989)</w:t>
      </w:r>
    </w:p>
    <w:p w14:paraId="241A9D0A" w14:textId="77777777" w:rsidR="00B2442D" w:rsidRDefault="00B2442D">
      <w:pPr>
        <w:jc w:val="both"/>
        <w:rPr>
          <w:rFonts w:ascii="Arial" w:hAnsi="Arial" w:cs="Arial"/>
          <w:i/>
          <w:lang w:val="es-CO"/>
        </w:rPr>
      </w:pPr>
    </w:p>
    <w:p w14:paraId="2C075A28"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Maquinaria y equipo en los contratos de leasing. </w:t>
      </w:r>
      <w:r>
        <w:rPr>
          <w:rFonts w:ascii="Arial" w:hAnsi="Arial" w:cs="Arial"/>
          <w:lang w:val="es-CO"/>
        </w:rPr>
        <w:t>Para los efectos del contrato de arrendamiento financiero (leasing), se entiende por "maquinaria y equipo", los activos, instalaciones y montajes</w:t>
      </w:r>
      <w:r>
        <w:rPr>
          <w:rFonts w:ascii="Arial" w:hAnsi="Arial" w:cs="Arial"/>
          <w:lang w:val="es-CO"/>
        </w:rPr>
        <w:t>, y demás servicios incorporados a ellos, que permitan desarrollar una actividad de producción o la explotación de un recurso mineral.</w:t>
      </w:r>
    </w:p>
    <w:p w14:paraId="311A7BFC" w14:textId="77777777" w:rsidR="00B2442D" w:rsidRDefault="00B2442D">
      <w:pPr>
        <w:jc w:val="both"/>
        <w:rPr>
          <w:rFonts w:ascii="Arial" w:hAnsi="Arial" w:cs="Arial"/>
          <w:i/>
          <w:lang w:val="es-CO"/>
        </w:rPr>
      </w:pPr>
    </w:p>
    <w:p w14:paraId="60134903" w14:textId="77777777" w:rsidR="00B2442D" w:rsidRDefault="008A645F">
      <w:pPr>
        <w:jc w:val="both"/>
        <w:rPr>
          <w:rFonts w:ascii="Arial" w:hAnsi="Arial" w:cs="Arial"/>
          <w:i/>
          <w:lang w:val="es-CO"/>
        </w:rPr>
      </w:pPr>
      <w:r>
        <w:rPr>
          <w:rFonts w:ascii="Arial" w:hAnsi="Arial" w:cs="Arial"/>
          <w:i/>
          <w:lang w:val="es-CO"/>
        </w:rPr>
        <w:t>(Art. 1, Decreto 0406 de 1993)</w:t>
      </w:r>
    </w:p>
    <w:p w14:paraId="5EE4E974" w14:textId="77777777" w:rsidR="00B2442D" w:rsidRDefault="00B2442D">
      <w:pPr>
        <w:rPr>
          <w:rFonts w:ascii="Arial" w:hAnsi="Arial" w:cs="Arial"/>
        </w:rPr>
      </w:pPr>
    </w:p>
    <w:p w14:paraId="0EDD0087"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Depreciación de los bienes objeto de los contratos de arrendamiento financiero que reali</w:t>
      </w:r>
      <w:r>
        <w:rPr>
          <w:rFonts w:ascii="Arial" w:hAnsi="Arial" w:cs="Arial"/>
          <w:b/>
          <w:i/>
          <w:lang w:val="es-CO"/>
        </w:rPr>
        <w:t>zan las compañías de leasing.</w:t>
      </w:r>
      <w:r>
        <w:rPr>
          <w:rFonts w:ascii="Arial" w:hAnsi="Arial" w:cs="Arial"/>
          <w:lang w:val="es-CO"/>
        </w:rPr>
        <w:t xml:space="preserve"> A partir de 1992, los bienes objeto de los contratos de arrendamiento financiero que realizan las compañías de leasing, podrán depreciarse por estas, para efectos fiscales, en la vida del contrato respectivo, utilizando para t</w:t>
      </w:r>
      <w:r>
        <w:rPr>
          <w:rFonts w:ascii="Arial" w:hAnsi="Arial" w:cs="Arial"/>
          <w:lang w:val="es-CO"/>
        </w:rPr>
        <w:t>al fin el mismo sistema que para efectos contables les exija la Superintendencia Financiera de Colombia.</w:t>
      </w:r>
    </w:p>
    <w:p w14:paraId="4F69F869" w14:textId="77777777" w:rsidR="00B2442D" w:rsidRDefault="00B2442D">
      <w:pPr>
        <w:jc w:val="both"/>
        <w:rPr>
          <w:rFonts w:ascii="Arial" w:hAnsi="Arial" w:cs="Arial"/>
          <w:lang w:val="es-CO"/>
        </w:rPr>
      </w:pPr>
    </w:p>
    <w:p w14:paraId="2F6BA4EB" w14:textId="77777777" w:rsidR="00B2442D" w:rsidRDefault="008A645F">
      <w:pPr>
        <w:jc w:val="both"/>
        <w:rPr>
          <w:rFonts w:ascii="Arial" w:hAnsi="Arial" w:cs="Arial"/>
          <w:lang w:val="es-CO"/>
        </w:rPr>
      </w:pPr>
      <w:r>
        <w:rPr>
          <w:rFonts w:ascii="Arial" w:hAnsi="Arial" w:cs="Arial"/>
          <w:lang w:val="es-CO"/>
        </w:rPr>
        <w:t>Aclárase el artículo 2 del Decreto 2913 de 1991 en el sentido de que los sistemas de depreciación establecidos por la Superintendencia Financiera de C</w:t>
      </w:r>
      <w:r>
        <w:rPr>
          <w:rFonts w:ascii="Arial" w:hAnsi="Arial" w:cs="Arial"/>
          <w:lang w:val="es-CO"/>
        </w:rPr>
        <w:t xml:space="preserve">olombia para las compañías de leasing, tienen efecto en la determinación del impuesto sobre la renta. </w:t>
      </w:r>
    </w:p>
    <w:p w14:paraId="4FA29DDE" w14:textId="77777777" w:rsidR="00B2442D" w:rsidRDefault="00B2442D">
      <w:pPr>
        <w:jc w:val="both"/>
        <w:rPr>
          <w:rFonts w:ascii="Arial" w:hAnsi="Arial" w:cs="Arial"/>
          <w:i/>
          <w:lang w:val="es-CO"/>
        </w:rPr>
      </w:pPr>
    </w:p>
    <w:p w14:paraId="2C8F26F7" w14:textId="77777777" w:rsidR="00B2442D" w:rsidRDefault="008A645F">
      <w:pPr>
        <w:jc w:val="both"/>
        <w:rPr>
          <w:rFonts w:ascii="Arial" w:hAnsi="Arial" w:cs="Arial"/>
          <w:i/>
          <w:lang w:val="es-CO"/>
        </w:rPr>
      </w:pPr>
      <w:r>
        <w:rPr>
          <w:rFonts w:ascii="Arial" w:hAnsi="Arial" w:cs="Arial"/>
          <w:i/>
          <w:lang w:val="es-CO"/>
        </w:rPr>
        <w:t xml:space="preserve">(Art. 2, Decreto 2913 de 1991, aclarado por el </w:t>
      </w:r>
      <w:r>
        <w:rPr>
          <w:rFonts w:ascii="Arial" w:hAnsi="Arial" w:cs="Arial"/>
          <w:i/>
        </w:rPr>
        <w:t xml:space="preserve">artículo 1 del </w:t>
      </w:r>
      <w:r>
        <w:rPr>
          <w:rFonts w:ascii="Arial" w:hAnsi="Arial" w:cs="Arial"/>
          <w:i/>
          <w:lang w:val="es-CO"/>
        </w:rPr>
        <w:t>Decreto 207 de 1995. El inciso tercero tiene decaimiento de acuerdo con lo dispuesto en el</w:t>
      </w:r>
      <w:r>
        <w:rPr>
          <w:rFonts w:ascii="Arial" w:hAnsi="Arial" w:cs="Arial"/>
          <w:i/>
          <w:lang w:val="es-CO"/>
        </w:rPr>
        <w:t xml:space="preserve"> artículo 78 de la Ley 1111 de 2006)</w:t>
      </w:r>
    </w:p>
    <w:p w14:paraId="0AD698FE" w14:textId="77777777" w:rsidR="00B2442D" w:rsidRDefault="00B2442D">
      <w:pPr>
        <w:jc w:val="both"/>
        <w:rPr>
          <w:rFonts w:ascii="Arial" w:hAnsi="Arial" w:cs="Arial"/>
          <w:lang w:val="es-CO"/>
        </w:rPr>
      </w:pPr>
    </w:p>
    <w:p w14:paraId="65B7F1C8" w14:textId="77777777" w:rsidR="00B2442D" w:rsidRDefault="008A645F">
      <w:pPr>
        <w:pStyle w:val="Prrafodelista"/>
        <w:numPr>
          <w:ilvl w:val="0"/>
          <w:numId w:val="33"/>
        </w:numPr>
        <w:shd w:val="clear" w:color="auto" w:fill="FFFFFF" w:themeFill="background1"/>
        <w:ind w:left="0" w:firstLine="0"/>
        <w:jc w:val="both"/>
        <w:rPr>
          <w:rFonts w:ascii="Arial" w:hAnsi="Arial" w:cs="Arial"/>
          <w:lang w:val="es-CO"/>
        </w:rPr>
      </w:pPr>
      <w:r>
        <w:rPr>
          <w:rFonts w:ascii="Arial" w:hAnsi="Arial" w:cs="Arial"/>
          <w:b/>
          <w:i/>
          <w:lang w:val="es-CO"/>
        </w:rPr>
        <w:t xml:space="preserve">Ajustes por pérdida en cambio. </w:t>
      </w:r>
      <w:r>
        <w:rPr>
          <w:rFonts w:ascii="Arial" w:hAnsi="Arial" w:cs="Arial"/>
          <w:lang w:val="es-CO"/>
        </w:rPr>
        <w:t>Cuando existan deudas contraídas para el pago de costos o gastos deducibles que deban ser pagadas en moneda extranjera, contraídas con personas diferentes del proveedor o del beneficiario</w:t>
      </w:r>
      <w:r>
        <w:rPr>
          <w:rFonts w:ascii="Arial" w:hAnsi="Arial" w:cs="Arial"/>
          <w:lang w:val="es-CO"/>
        </w:rPr>
        <w:t xml:space="preserve"> de los pagos deducibles, los ajustes por pérdida en cambio se harán en la forma establecida por los artículos 30 y 54 del Decreto 2053 de 1974 (hoy artículos 80 y 120 del Estatuto Tributario). </w:t>
      </w:r>
    </w:p>
    <w:p w14:paraId="5CC3779F" w14:textId="77777777" w:rsidR="00B2442D" w:rsidRDefault="00B2442D">
      <w:pPr>
        <w:jc w:val="both"/>
        <w:rPr>
          <w:rFonts w:ascii="Arial" w:hAnsi="Arial" w:cs="Arial"/>
          <w:i/>
          <w:lang w:val="es-CO"/>
        </w:rPr>
      </w:pPr>
    </w:p>
    <w:p w14:paraId="51D0F32A" w14:textId="77777777" w:rsidR="00B2442D" w:rsidRDefault="008A645F">
      <w:pPr>
        <w:jc w:val="both"/>
        <w:rPr>
          <w:rFonts w:ascii="Arial" w:hAnsi="Arial" w:cs="Arial"/>
          <w:i/>
          <w:lang w:val="es-CO"/>
        </w:rPr>
      </w:pPr>
      <w:r>
        <w:rPr>
          <w:rFonts w:ascii="Arial" w:hAnsi="Arial" w:cs="Arial"/>
          <w:i/>
          <w:lang w:val="es-CO"/>
        </w:rPr>
        <w:t xml:space="preserve">(Art. 38, Decreto 187 de 1975) (Vigencia del Decreto 187 de </w:t>
      </w:r>
      <w:r>
        <w:rPr>
          <w:rFonts w:ascii="Arial" w:hAnsi="Arial" w:cs="Arial"/>
          <w:i/>
          <w:lang w:val="es-CO"/>
        </w:rPr>
        <w:t>1975. El Decreto 187 de 1975 se aplicará a partir del ejercicio impositivo de 1974 salvo los casos expresamente exceptuados en el mismo o en las normas sustantivas y procedimentales del impuesto sobre la renta y complementario. (Art. 117, Decreto 187 de 19</w:t>
      </w:r>
      <w:r>
        <w:rPr>
          <w:rFonts w:ascii="Arial" w:hAnsi="Arial" w:cs="Arial"/>
          <w:i/>
          <w:lang w:val="es-CO"/>
        </w:rPr>
        <w:t>75))</w:t>
      </w:r>
    </w:p>
    <w:p w14:paraId="580D7B62" w14:textId="77777777" w:rsidR="00B2442D" w:rsidRDefault="00B2442D">
      <w:pPr>
        <w:jc w:val="both"/>
        <w:rPr>
          <w:rFonts w:ascii="Arial" w:hAnsi="Arial" w:cs="Arial"/>
          <w:lang w:val="es-CO"/>
        </w:rPr>
      </w:pPr>
    </w:p>
    <w:p w14:paraId="1843326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Ajustes por diferencia en cambio. </w:t>
      </w:r>
      <w:r>
        <w:rPr>
          <w:rFonts w:ascii="Arial" w:hAnsi="Arial" w:cs="Arial"/>
          <w:lang w:val="es-CO"/>
        </w:rPr>
        <w:t>Cuando se compren o importen a crédito bienes constitutivos de activos fijos, cuyo pago deba hacerse en moneda extranjera, los ajustes se harán en la cuenta de maquinaria y equipo, como costos adicionales de los mism</w:t>
      </w:r>
      <w:r>
        <w:rPr>
          <w:rFonts w:ascii="Arial" w:hAnsi="Arial" w:cs="Arial"/>
          <w:lang w:val="es-CO"/>
        </w:rPr>
        <w:t xml:space="preserve">os para efectos de balance y depreciación. </w:t>
      </w:r>
    </w:p>
    <w:p w14:paraId="64F04332" w14:textId="77777777" w:rsidR="00B2442D" w:rsidRDefault="008A645F">
      <w:pPr>
        <w:jc w:val="both"/>
        <w:rPr>
          <w:rFonts w:ascii="Arial" w:hAnsi="Arial" w:cs="Arial"/>
          <w:lang w:val="es-CO"/>
        </w:rPr>
      </w:pPr>
      <w:r>
        <w:rPr>
          <w:rFonts w:ascii="Arial" w:hAnsi="Arial" w:cs="Arial"/>
          <w:lang w:val="es-CO"/>
        </w:rPr>
        <w:t xml:space="preserve"> </w:t>
      </w:r>
    </w:p>
    <w:p w14:paraId="704EC973" w14:textId="77777777" w:rsidR="00B2442D" w:rsidRDefault="008A645F">
      <w:pPr>
        <w:jc w:val="both"/>
        <w:rPr>
          <w:rFonts w:ascii="Arial" w:hAnsi="Arial" w:cs="Arial"/>
          <w:lang w:val="es-CO"/>
        </w:rPr>
      </w:pPr>
      <w:r>
        <w:rPr>
          <w:rFonts w:ascii="Arial" w:hAnsi="Arial" w:cs="Arial"/>
          <w:lang w:val="es-CO"/>
        </w:rPr>
        <w:t>En la misma forma se procederá cuando existan deudas contraídas en divisas extranjeras para la adquisición de activos fijos con personas distintas del prestamista.</w:t>
      </w:r>
    </w:p>
    <w:p w14:paraId="19933D63" w14:textId="77777777" w:rsidR="00B2442D" w:rsidRDefault="00B2442D">
      <w:pPr>
        <w:jc w:val="both"/>
        <w:rPr>
          <w:rFonts w:ascii="Arial" w:hAnsi="Arial" w:cs="Arial"/>
          <w:i/>
          <w:lang w:val="es-CO"/>
        </w:rPr>
      </w:pPr>
    </w:p>
    <w:p w14:paraId="40A6B523" w14:textId="77777777" w:rsidR="00B2442D" w:rsidRDefault="008A645F">
      <w:pPr>
        <w:jc w:val="both"/>
        <w:rPr>
          <w:rFonts w:ascii="Arial" w:hAnsi="Arial" w:cs="Arial"/>
          <w:i/>
          <w:lang w:val="es-CO"/>
        </w:rPr>
      </w:pPr>
      <w:r>
        <w:rPr>
          <w:rFonts w:ascii="Arial" w:hAnsi="Arial" w:cs="Arial"/>
          <w:i/>
          <w:lang w:val="es-CO"/>
        </w:rPr>
        <w:t xml:space="preserve">(Art. 39, Decreto 187 de 1975) </w:t>
      </w:r>
      <w:r>
        <w:rPr>
          <w:rFonts w:ascii="Arial" w:hAnsi="Arial" w:cs="Arial"/>
          <w:i/>
          <w:lang w:val="es-CO"/>
        </w:rPr>
        <w:t>(Vigencia del Decreto 187 de 1975. El Decreto 187 de 1975 se aplicará a partir del ejercicio impositivo de 1974 salvo los casos expresamente exceptuados en el mismo o en las normas sustantivas y procedimentales del impuesto sobre la renta y complementario.</w:t>
      </w:r>
      <w:r>
        <w:rPr>
          <w:rFonts w:ascii="Arial" w:hAnsi="Arial" w:cs="Arial"/>
          <w:i/>
          <w:lang w:val="es-CO"/>
        </w:rPr>
        <w:t xml:space="preserve"> (Art. 117, Decreto 187 de 1975))</w:t>
      </w:r>
    </w:p>
    <w:p w14:paraId="567FE611" w14:textId="77777777" w:rsidR="00B2442D" w:rsidRDefault="00B2442D">
      <w:pPr>
        <w:jc w:val="both"/>
        <w:rPr>
          <w:rFonts w:ascii="Arial" w:hAnsi="Arial" w:cs="Arial"/>
          <w:lang w:val="es-CO"/>
        </w:rPr>
      </w:pPr>
    </w:p>
    <w:p w14:paraId="03A9F8A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Distribución de utilidades en el negocio de la Agricultura. </w:t>
      </w:r>
      <w:r>
        <w:rPr>
          <w:rFonts w:ascii="Arial" w:hAnsi="Arial" w:cs="Arial"/>
          <w:lang w:val="es-CO"/>
        </w:rPr>
        <w:t>En los contratos de aparcería o cualesquiera otros similares, de acuerdo con los cuales dos (2) o más personas se distribuyen los productos obtenidos de la tierr</w:t>
      </w:r>
      <w:r>
        <w:rPr>
          <w:rFonts w:ascii="Arial" w:hAnsi="Arial" w:cs="Arial"/>
          <w:lang w:val="es-CO"/>
        </w:rPr>
        <w:t>a poseída por cualquiera de ellas, las utilidades obtenidas en el negocio formarán parte de la renta bruta de los partícipes en la proporción que conste en los respectivos contratos o en las respectivas declaraciones de renta. En defecto de tales indicacio</w:t>
      </w:r>
      <w:r>
        <w:rPr>
          <w:rFonts w:ascii="Arial" w:hAnsi="Arial" w:cs="Arial"/>
          <w:lang w:val="es-CO"/>
        </w:rPr>
        <w:t xml:space="preserve">nes la distribución se hará por partes iguales. </w:t>
      </w:r>
    </w:p>
    <w:p w14:paraId="2AB5471C" w14:textId="77777777" w:rsidR="00B2442D" w:rsidRDefault="008A645F">
      <w:pPr>
        <w:jc w:val="both"/>
        <w:rPr>
          <w:rFonts w:ascii="Arial" w:hAnsi="Arial" w:cs="Arial"/>
          <w:lang w:val="es-CO"/>
        </w:rPr>
      </w:pPr>
      <w:r>
        <w:rPr>
          <w:rFonts w:ascii="Arial" w:hAnsi="Arial" w:cs="Arial"/>
          <w:lang w:val="es-CO"/>
        </w:rPr>
        <w:t xml:space="preserve"> </w:t>
      </w:r>
    </w:p>
    <w:p w14:paraId="0775BD3D" w14:textId="77777777" w:rsidR="00B2442D" w:rsidRDefault="008A645F">
      <w:pPr>
        <w:jc w:val="both"/>
        <w:rPr>
          <w:rFonts w:ascii="Arial" w:hAnsi="Arial" w:cs="Arial"/>
          <w:lang w:val="es-CO"/>
        </w:rPr>
      </w:pPr>
      <w:r>
        <w:rPr>
          <w:rFonts w:ascii="Arial" w:hAnsi="Arial" w:cs="Arial"/>
          <w:lang w:val="es-CO"/>
        </w:rPr>
        <w:t>Si a la liquidación del negocio se distribuyeren productos en especie, estos conservarán el precio de costo correspondiente al negocio, respecto de los partícipes.</w:t>
      </w:r>
    </w:p>
    <w:p w14:paraId="4AE98C40" w14:textId="77777777" w:rsidR="00B2442D" w:rsidRDefault="00B2442D">
      <w:pPr>
        <w:jc w:val="both"/>
        <w:rPr>
          <w:rFonts w:ascii="Arial" w:hAnsi="Arial" w:cs="Arial"/>
          <w:i/>
          <w:lang w:val="es-CO"/>
        </w:rPr>
      </w:pPr>
    </w:p>
    <w:p w14:paraId="7CB64AD6" w14:textId="77777777" w:rsidR="00B2442D" w:rsidRDefault="008A645F">
      <w:pPr>
        <w:jc w:val="both"/>
        <w:rPr>
          <w:rFonts w:ascii="Arial" w:hAnsi="Arial" w:cs="Arial"/>
          <w:i/>
          <w:lang w:val="es-CO"/>
        </w:rPr>
      </w:pPr>
      <w:r>
        <w:rPr>
          <w:rFonts w:ascii="Arial" w:hAnsi="Arial" w:cs="Arial"/>
          <w:i/>
          <w:lang w:val="es-CO"/>
        </w:rPr>
        <w:t xml:space="preserve">(Art. 50, Decreto 187 de 1975. </w:t>
      </w:r>
      <w:r>
        <w:rPr>
          <w:rFonts w:ascii="Arial" w:hAnsi="Arial" w:cs="Arial"/>
          <w:i/>
          <w:lang w:val="es-CO"/>
        </w:rPr>
        <w:t>Inciso 3 con derogatoria orgánica según Decreto Ley 3410 de 1983)</w:t>
      </w:r>
    </w:p>
    <w:p w14:paraId="786200E7" w14:textId="77777777" w:rsidR="00B2442D" w:rsidRDefault="00B2442D">
      <w:pPr>
        <w:jc w:val="both"/>
        <w:rPr>
          <w:rFonts w:ascii="Arial" w:hAnsi="Arial" w:cs="Arial"/>
          <w:i/>
          <w:lang w:val="es-CO"/>
        </w:rPr>
      </w:pPr>
    </w:p>
    <w:p w14:paraId="62C9A636" w14:textId="77777777" w:rsidR="00B2442D" w:rsidRDefault="008A645F">
      <w:pPr>
        <w:pStyle w:val="Prrafodelista"/>
        <w:numPr>
          <w:ilvl w:val="0"/>
          <w:numId w:val="33"/>
        </w:numPr>
        <w:ind w:left="0" w:firstLine="0"/>
        <w:jc w:val="both"/>
        <w:rPr>
          <w:rFonts w:ascii="Arial" w:hAnsi="Arial" w:cs="Arial"/>
        </w:rPr>
      </w:pPr>
      <w:r>
        <w:rPr>
          <w:rFonts w:ascii="Arial" w:hAnsi="Arial" w:cs="Arial"/>
          <w:b/>
          <w:i/>
        </w:rPr>
        <w:t>Gastos y expensas deducibles.</w:t>
      </w:r>
      <w:r>
        <w:rPr>
          <w:rFonts w:ascii="Arial" w:hAnsi="Arial" w:cs="Arial"/>
        </w:rPr>
        <w:t xml:space="preserve"> En el negocio de ganadería cuyo objeto sea la enajenación de semovientes, serán deducibles los gastos y expensas efectuados durante el año siempre y cuando el </w:t>
      </w:r>
      <w:r>
        <w:rPr>
          <w:rFonts w:ascii="Arial" w:hAnsi="Arial" w:cs="Arial"/>
        </w:rPr>
        <w:t xml:space="preserve">contribuyente cumpla con las exigencias legales. </w:t>
      </w:r>
    </w:p>
    <w:p w14:paraId="6CFA4F0A" w14:textId="77777777" w:rsidR="00B2442D" w:rsidRDefault="00B2442D">
      <w:pPr>
        <w:jc w:val="both"/>
        <w:rPr>
          <w:rFonts w:ascii="Arial" w:hAnsi="Arial" w:cs="Arial"/>
        </w:rPr>
      </w:pPr>
    </w:p>
    <w:p w14:paraId="59B72246" w14:textId="77777777" w:rsidR="00B2442D" w:rsidRDefault="008A645F">
      <w:pPr>
        <w:jc w:val="both"/>
        <w:rPr>
          <w:rFonts w:ascii="Arial" w:hAnsi="Arial" w:cs="Arial"/>
        </w:rPr>
      </w:pPr>
      <w:r>
        <w:rPr>
          <w:rFonts w:ascii="Arial" w:hAnsi="Arial" w:cs="Arial"/>
        </w:rPr>
        <w:t xml:space="preserve">En el negocio de ganadería cuyo objeto sea la explotación de ganado para leche o lana, los gastos y expensas efectuados durante el año podrán capitalizarse o deducirse. En uno u otro caso el contribuyente </w:t>
      </w:r>
      <w:r>
        <w:rPr>
          <w:rFonts w:ascii="Arial" w:hAnsi="Arial" w:cs="Arial"/>
        </w:rPr>
        <w:t>deberá cumplir las exigencias legales.</w:t>
      </w:r>
    </w:p>
    <w:p w14:paraId="61AACA25" w14:textId="77777777" w:rsidR="00B2442D" w:rsidRDefault="00B2442D">
      <w:pPr>
        <w:jc w:val="both"/>
        <w:rPr>
          <w:rFonts w:ascii="Arial" w:hAnsi="Arial" w:cs="Arial"/>
          <w:i/>
        </w:rPr>
      </w:pPr>
    </w:p>
    <w:p w14:paraId="7019CACD" w14:textId="77777777" w:rsidR="00B2442D" w:rsidRDefault="008A645F">
      <w:pPr>
        <w:jc w:val="both"/>
        <w:rPr>
          <w:rFonts w:ascii="Arial" w:hAnsi="Arial" w:cs="Arial"/>
          <w:i/>
        </w:rPr>
      </w:pPr>
      <w:r>
        <w:rPr>
          <w:rFonts w:ascii="Arial" w:hAnsi="Arial" w:cs="Arial"/>
          <w:i/>
        </w:rPr>
        <w:t>(Art. 14, Decreto 2595 de 1979, modificado por el artículo 3 del Decreto 727 de 1980. Anulado aparte del inciso 1 por el Consejo de Estado mediante sentencia del 3 de agosto de 1984, Expediente No. 6990. Consejero Po</w:t>
      </w:r>
      <w:r>
        <w:rPr>
          <w:rFonts w:ascii="Arial" w:hAnsi="Arial" w:cs="Arial"/>
          <w:i/>
        </w:rPr>
        <w:t>nente Carmelo Martínez Conn)</w:t>
      </w:r>
    </w:p>
    <w:p w14:paraId="288600C0" w14:textId="77777777" w:rsidR="00B2442D" w:rsidRDefault="00B2442D">
      <w:pPr>
        <w:jc w:val="both"/>
        <w:rPr>
          <w:rFonts w:ascii="Arial" w:hAnsi="Arial" w:cs="Arial"/>
          <w:lang w:val="es-CO"/>
        </w:rPr>
      </w:pPr>
    </w:p>
    <w:p w14:paraId="37D79D58"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Aportes de los empleadores.</w:t>
      </w:r>
      <w:r>
        <w:rPr>
          <w:rFonts w:ascii="Arial" w:hAnsi="Arial" w:cs="Arial"/>
          <w:lang w:val="es-CO"/>
        </w:rPr>
        <w:t xml:space="preserve"> Son deducibles los pagos efectuados por los empleadores durante el año fiscal por concepto de subsidio familiar y las cuotas o aportes hechos al Servicio Nacional de Aprendizaje (SENA), al </w:t>
      </w:r>
      <w:r>
        <w:rPr>
          <w:rFonts w:ascii="Arial" w:hAnsi="Arial" w:cs="Arial"/>
          <w:shd w:val="clear" w:color="auto" w:fill="FFFFFF" w:themeFill="background1"/>
          <w:lang w:val="es-CO"/>
        </w:rPr>
        <w:t>Instituto</w:t>
      </w:r>
      <w:r>
        <w:rPr>
          <w:rFonts w:ascii="Arial" w:hAnsi="Arial" w:cs="Arial"/>
          <w:shd w:val="clear" w:color="auto" w:fill="FFFFFF" w:themeFill="background1"/>
          <w:lang w:val="es-CO"/>
        </w:rPr>
        <w:t xml:space="preserve"> Colombiano de Seguros Sociales (ICSS)</w:t>
      </w:r>
      <w:r>
        <w:rPr>
          <w:rFonts w:ascii="Arial" w:hAnsi="Arial" w:cs="Arial"/>
          <w:lang w:val="es-CO"/>
        </w:rPr>
        <w:t xml:space="preserve"> o la entidad que haga sus veces, y al Instituto Colombiano de Bienestar Familiar (ICBF). </w:t>
      </w:r>
    </w:p>
    <w:p w14:paraId="65BBF968" w14:textId="77777777" w:rsidR="00B2442D" w:rsidRDefault="008A645F">
      <w:pPr>
        <w:jc w:val="both"/>
        <w:rPr>
          <w:rFonts w:ascii="Arial" w:hAnsi="Arial" w:cs="Arial"/>
          <w:lang w:val="es-CO"/>
        </w:rPr>
      </w:pPr>
      <w:r>
        <w:rPr>
          <w:rFonts w:ascii="Arial" w:hAnsi="Arial" w:cs="Arial"/>
          <w:lang w:val="es-CO"/>
        </w:rPr>
        <w:t xml:space="preserve"> </w:t>
      </w:r>
      <w:r>
        <w:rPr>
          <w:rFonts w:ascii="Arial" w:hAnsi="Arial" w:cs="Arial"/>
          <w:lang w:val="es-CO"/>
        </w:rPr>
        <w:tab/>
      </w:r>
    </w:p>
    <w:p w14:paraId="775BECB6" w14:textId="77777777" w:rsidR="00B2442D" w:rsidRDefault="008A645F">
      <w:pPr>
        <w:jc w:val="both"/>
        <w:rPr>
          <w:rFonts w:ascii="Arial" w:hAnsi="Arial" w:cs="Arial"/>
          <w:lang w:val="es-CO"/>
        </w:rPr>
      </w:pPr>
      <w:r>
        <w:rPr>
          <w:rFonts w:ascii="Arial" w:hAnsi="Arial" w:cs="Arial"/>
          <w:lang w:val="es-CO"/>
        </w:rPr>
        <w:t xml:space="preserve">La deducción se reconocerá por la suma que aparezca en los correspondientes certificados. Cuando se trate de contribuciones </w:t>
      </w:r>
      <w:r>
        <w:rPr>
          <w:rFonts w:ascii="Arial" w:hAnsi="Arial" w:cs="Arial"/>
          <w:lang w:val="es-CO"/>
        </w:rPr>
        <w:t>o cuotas pagadas al Instituto de Bienestar Familiar, de conformidad con la Ley 27 de 1974, será necesaria la certificación de esta entidad.</w:t>
      </w:r>
    </w:p>
    <w:p w14:paraId="1C94EB78" w14:textId="77777777" w:rsidR="00B2442D" w:rsidRDefault="00B2442D">
      <w:pPr>
        <w:jc w:val="both"/>
        <w:rPr>
          <w:rFonts w:ascii="Arial" w:hAnsi="Arial" w:cs="Arial"/>
          <w:i/>
          <w:lang w:val="es-CO"/>
        </w:rPr>
      </w:pPr>
    </w:p>
    <w:p w14:paraId="181A1D0F" w14:textId="77777777" w:rsidR="00B2442D" w:rsidRDefault="008A645F">
      <w:pPr>
        <w:jc w:val="both"/>
        <w:rPr>
          <w:rFonts w:ascii="Arial" w:hAnsi="Arial" w:cs="Arial"/>
          <w:i/>
          <w:lang w:val="es-CO"/>
        </w:rPr>
      </w:pPr>
      <w:r>
        <w:rPr>
          <w:rFonts w:ascii="Arial" w:hAnsi="Arial" w:cs="Arial"/>
          <w:i/>
          <w:lang w:val="es-CO"/>
        </w:rPr>
        <w:t>(Art. 61, Decreto 187 de 1975. La expresión: “que para efectos de la deducción por salarios deben anexar” contenida</w:t>
      </w:r>
      <w:r>
        <w:rPr>
          <w:rFonts w:ascii="Arial" w:hAnsi="Arial" w:cs="Arial"/>
          <w:i/>
          <w:lang w:val="es-CO"/>
        </w:rPr>
        <w:t xml:space="preserve"> en el inciso 2 fue derogada tácitamente por el art. 4 del Decreto 2503 de 1987)</w:t>
      </w:r>
    </w:p>
    <w:p w14:paraId="3CD98059" w14:textId="77777777" w:rsidR="00B2442D" w:rsidRDefault="00B2442D">
      <w:pPr>
        <w:jc w:val="both"/>
        <w:rPr>
          <w:rFonts w:ascii="Arial" w:hAnsi="Arial" w:cs="Arial"/>
          <w:i/>
          <w:lang w:val="es-CO"/>
        </w:rPr>
      </w:pPr>
    </w:p>
    <w:p w14:paraId="7F1D9D23"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Forma de acreditar aportes obligatorios.</w:t>
      </w:r>
      <w:r>
        <w:rPr>
          <w:rFonts w:ascii="Arial" w:hAnsi="Arial" w:cs="Arial"/>
          <w:lang w:val="es-CO"/>
        </w:rPr>
        <w:t xml:space="preserve"> Para efectos de aceptar la deducción de salarios de conformidad con lo previsto en el artículo 108 del Estatuto Tributario, los emple</w:t>
      </w:r>
      <w:r>
        <w:rPr>
          <w:rFonts w:ascii="Arial" w:hAnsi="Arial" w:cs="Arial"/>
          <w:lang w:val="es-CO"/>
        </w:rPr>
        <w:t>adores deberán demostrar que están a paz y salvo por concepto de los aportes obligatorios previstos en la Ley 100 de 1993, para lo cual conservarán como parte de los soportes de contabilidad los formularios de autoliquidación con la constancia de su pago o</w:t>
      </w:r>
      <w:r>
        <w:rPr>
          <w:rFonts w:ascii="Arial" w:hAnsi="Arial" w:cs="Arial"/>
          <w:lang w:val="es-CO"/>
        </w:rPr>
        <w:t xml:space="preserve"> los demás comprobantes de pago, correspondientes al año o período gravable por el cual se solicita la deducción expedidos por la entidad recaudadora, acompañados de la nómina a cargo de estos.</w:t>
      </w:r>
    </w:p>
    <w:p w14:paraId="2E223A82" w14:textId="77777777" w:rsidR="00B2442D" w:rsidRDefault="00B2442D">
      <w:pPr>
        <w:jc w:val="both"/>
        <w:rPr>
          <w:rFonts w:ascii="Arial" w:hAnsi="Arial" w:cs="Arial"/>
          <w:i/>
          <w:lang w:val="es-CO"/>
        </w:rPr>
      </w:pPr>
    </w:p>
    <w:p w14:paraId="722B4B31" w14:textId="77777777" w:rsidR="00B2442D" w:rsidRDefault="008A645F">
      <w:pPr>
        <w:jc w:val="both"/>
        <w:rPr>
          <w:rFonts w:ascii="Arial" w:hAnsi="Arial" w:cs="Arial"/>
          <w:i/>
          <w:lang w:val="es-CO"/>
        </w:rPr>
      </w:pPr>
      <w:r>
        <w:rPr>
          <w:rFonts w:ascii="Arial" w:hAnsi="Arial" w:cs="Arial"/>
          <w:i/>
          <w:lang w:val="es-CO"/>
        </w:rPr>
        <w:t>(Art. 9, Decreto 841 de 1998)</w:t>
      </w:r>
      <w:r>
        <w:rPr>
          <w:rFonts w:ascii="Arial" w:hAnsi="Arial" w:cs="Arial"/>
        </w:rPr>
        <w:t xml:space="preserve"> </w:t>
      </w:r>
      <w:r>
        <w:rPr>
          <w:rFonts w:ascii="Arial" w:hAnsi="Arial" w:cs="Arial"/>
          <w:i/>
          <w:lang w:val="es-CO"/>
        </w:rPr>
        <w:t xml:space="preserve">(El Decreto 841 de 1998 rige a </w:t>
      </w:r>
      <w:r>
        <w:rPr>
          <w:rFonts w:ascii="Arial" w:hAnsi="Arial" w:cs="Arial"/>
          <w:i/>
          <w:lang w:val="es-CO"/>
        </w:rPr>
        <w:t>partir del primero de mayo y deroga el Decreto 163 de 1997, y las demás normas que le sean contrarias. Art. 24, Decreto 841 de 1998)</w:t>
      </w:r>
    </w:p>
    <w:p w14:paraId="01F078F6" w14:textId="77777777" w:rsidR="00B2442D" w:rsidRDefault="00B2442D">
      <w:pPr>
        <w:jc w:val="both"/>
        <w:rPr>
          <w:rFonts w:ascii="Arial" w:hAnsi="Arial" w:cs="Arial"/>
          <w:lang w:val="es-CO"/>
        </w:rPr>
      </w:pPr>
    </w:p>
    <w:p w14:paraId="015D270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Deducción de aportes parafiscales.</w:t>
      </w:r>
      <w:r>
        <w:rPr>
          <w:rFonts w:ascii="Arial" w:hAnsi="Arial" w:cs="Arial"/>
          <w:lang w:val="es-CO"/>
        </w:rPr>
        <w:t xml:space="preserve"> Las sociedades y personas jurídicas y asimiladas contribuyentes declarantes del impuest</w:t>
      </w:r>
      <w:r>
        <w:rPr>
          <w:rFonts w:ascii="Arial" w:hAnsi="Arial" w:cs="Arial"/>
          <w:lang w:val="es-CO"/>
        </w:rPr>
        <w:t xml:space="preserve">o sobre la renta y complementario, y las personas naturales empleadoras que hayan accedido a la exoneración de aportes parafiscales en los términos del artículo 25 de la Ley 1607 de 2012 no estarán sujetas al cumplimiento de los requisitos de que trata el </w:t>
      </w:r>
      <w:r>
        <w:rPr>
          <w:rFonts w:ascii="Arial" w:hAnsi="Arial" w:cs="Arial"/>
          <w:lang w:val="es-CO"/>
        </w:rPr>
        <w:t>artículo 108 del Estatuto Tributario para la deducción de tales montos.</w:t>
      </w:r>
    </w:p>
    <w:p w14:paraId="6DAFBB3F" w14:textId="77777777" w:rsidR="00B2442D" w:rsidRDefault="00B2442D">
      <w:pPr>
        <w:jc w:val="both"/>
        <w:rPr>
          <w:rFonts w:ascii="Arial" w:hAnsi="Arial" w:cs="Arial"/>
          <w:lang w:val="es-CO"/>
        </w:rPr>
      </w:pPr>
    </w:p>
    <w:p w14:paraId="09AF4018" w14:textId="77777777" w:rsidR="00B2442D" w:rsidRDefault="008A645F">
      <w:pPr>
        <w:jc w:val="both"/>
        <w:rPr>
          <w:rFonts w:ascii="Arial" w:hAnsi="Arial" w:cs="Arial"/>
          <w:lang w:val="es-CO"/>
        </w:rPr>
      </w:pPr>
      <w:r>
        <w:rPr>
          <w:rFonts w:ascii="Arial" w:hAnsi="Arial" w:cs="Arial"/>
          <w:i/>
          <w:lang w:val="es-CO"/>
        </w:rPr>
        <w:t>(Art. 5, Decreto 2701 de 2013)</w:t>
      </w:r>
    </w:p>
    <w:p w14:paraId="233A81DB" w14:textId="77777777" w:rsidR="00B2442D" w:rsidRDefault="00B2442D">
      <w:pPr>
        <w:jc w:val="both"/>
        <w:rPr>
          <w:rFonts w:ascii="Arial" w:hAnsi="Arial" w:cs="Arial"/>
          <w:b/>
          <w:lang w:val="es-CO"/>
        </w:rPr>
      </w:pPr>
    </w:p>
    <w:p w14:paraId="16947DB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Deducción del impuesto nacional a la gasolina y al ACPM. </w:t>
      </w:r>
      <w:r>
        <w:rPr>
          <w:rFonts w:ascii="Arial" w:hAnsi="Arial" w:cs="Arial"/>
          <w:lang w:val="es-CO"/>
        </w:rPr>
        <w:t xml:space="preserve">Los sujetos pasivos o contribuyentes del impuesto nacional a la gasolina y al ACPM </w:t>
      </w:r>
      <w:r>
        <w:rPr>
          <w:rFonts w:ascii="Arial" w:hAnsi="Arial" w:cs="Arial"/>
          <w:lang w:val="es-CO"/>
        </w:rPr>
        <w:t>podrán solicitar como costo o deducción en la declaración del impuesto sobre la renta, el impuesto nacional a la gasolina y al ACPM, causado en la adquisición o importación de los combustibles gravados, siempre y cuando se cumplan los requisitos de causali</w:t>
      </w:r>
      <w:r>
        <w:rPr>
          <w:rFonts w:ascii="Arial" w:hAnsi="Arial" w:cs="Arial"/>
          <w:lang w:val="es-CO"/>
        </w:rPr>
        <w:t>dad, necesidad y proporcionalidad a que se refiere el artículo 107 del Estatuto Tributario.</w:t>
      </w:r>
    </w:p>
    <w:p w14:paraId="59A67538" w14:textId="77777777" w:rsidR="00B2442D" w:rsidRDefault="00B2442D">
      <w:pPr>
        <w:jc w:val="both"/>
        <w:rPr>
          <w:rFonts w:ascii="Arial" w:hAnsi="Arial" w:cs="Arial"/>
          <w:lang w:val="es-CO"/>
        </w:rPr>
      </w:pPr>
    </w:p>
    <w:p w14:paraId="61EBCC98" w14:textId="77777777" w:rsidR="00B2442D" w:rsidRDefault="008A645F">
      <w:pPr>
        <w:jc w:val="both"/>
        <w:rPr>
          <w:rFonts w:ascii="Arial" w:hAnsi="Arial" w:cs="Arial"/>
          <w:lang w:val="es-CO"/>
        </w:rPr>
      </w:pPr>
      <w:r>
        <w:rPr>
          <w:rFonts w:ascii="Arial" w:hAnsi="Arial" w:cs="Arial"/>
          <w:lang w:val="es-CO"/>
        </w:rPr>
        <w:t xml:space="preserve">En el caso de los responsables del impuesto sobre las ventas del régimen común, que hayan solicitado como impuesto descontable el treinta y cinco por ciento (35%) </w:t>
      </w:r>
      <w:r>
        <w:rPr>
          <w:rFonts w:ascii="Arial" w:hAnsi="Arial" w:cs="Arial"/>
          <w:lang w:val="es-CO"/>
        </w:rPr>
        <w:t>del impuesto nacional a la gasolina y al ACPM efectivamente pagado en su adquisición o importación, el costo y/o la deducción estará limitada al sesenta y cinco por ciento (65%) restante.</w:t>
      </w:r>
    </w:p>
    <w:p w14:paraId="2E14C899" w14:textId="77777777" w:rsidR="00B2442D" w:rsidRDefault="00B2442D">
      <w:pPr>
        <w:jc w:val="both"/>
        <w:rPr>
          <w:rFonts w:ascii="Arial" w:hAnsi="Arial" w:cs="Arial"/>
          <w:lang w:val="es-CO"/>
        </w:rPr>
      </w:pPr>
    </w:p>
    <w:p w14:paraId="6E60663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sujetos pasivos o contribuyentes del impuesto nacional a la gasolina y al ACPM, que lo soliciten como costo o deducción deberán reflejarlo en su contabilidad y soportarlo mediante factura con el lleno de los requisitos legales o mediante la autoliquid</w:t>
      </w:r>
      <w:r>
        <w:rPr>
          <w:rFonts w:ascii="Arial" w:hAnsi="Arial" w:cs="Arial"/>
          <w:lang w:val="es-CO"/>
        </w:rPr>
        <w:t>ación en la declaración mensual del impuesto nacional a la gasolina y al ACPM.</w:t>
      </w:r>
    </w:p>
    <w:p w14:paraId="033DC3D1" w14:textId="77777777" w:rsidR="00B2442D" w:rsidRDefault="00B2442D">
      <w:pPr>
        <w:jc w:val="both"/>
        <w:rPr>
          <w:rFonts w:ascii="Arial" w:hAnsi="Arial" w:cs="Arial"/>
          <w:lang w:val="es-CO"/>
        </w:rPr>
      </w:pPr>
    </w:p>
    <w:p w14:paraId="738DE431" w14:textId="77777777" w:rsidR="00B2442D" w:rsidRDefault="008A645F">
      <w:pPr>
        <w:jc w:val="both"/>
        <w:rPr>
          <w:rFonts w:ascii="Arial" w:hAnsi="Arial" w:cs="Arial"/>
          <w:lang w:val="es-CO"/>
        </w:rPr>
      </w:pPr>
      <w:r>
        <w:rPr>
          <w:rFonts w:ascii="Arial" w:hAnsi="Arial" w:cs="Arial"/>
          <w:lang w:val="es-CO"/>
        </w:rPr>
        <w:t>En ningún caso el impuesto nacional a la gasolina y al ACPM que sea tratado como costo o deducción en la declaración del impuesto sobre la renta, podrá ser solicitado como impu</w:t>
      </w:r>
      <w:r>
        <w:rPr>
          <w:rFonts w:ascii="Arial" w:hAnsi="Arial" w:cs="Arial"/>
          <w:lang w:val="es-CO"/>
        </w:rPr>
        <w:t>esto descontable en el impuesto sobre las ventas.</w:t>
      </w:r>
    </w:p>
    <w:p w14:paraId="25781FA5" w14:textId="77777777" w:rsidR="00B2442D" w:rsidRDefault="00B2442D">
      <w:pPr>
        <w:jc w:val="both"/>
        <w:rPr>
          <w:rFonts w:ascii="Arial" w:hAnsi="Arial" w:cs="Arial"/>
          <w:b/>
          <w:lang w:val="es-CO"/>
        </w:rPr>
      </w:pPr>
    </w:p>
    <w:p w14:paraId="0C62C075" w14:textId="77777777" w:rsidR="00B2442D" w:rsidRDefault="008A645F">
      <w:pPr>
        <w:jc w:val="both"/>
        <w:rPr>
          <w:rFonts w:ascii="Arial" w:hAnsi="Arial" w:cs="Arial"/>
          <w:i/>
          <w:lang w:val="es-CO"/>
        </w:rPr>
      </w:pPr>
      <w:r>
        <w:rPr>
          <w:rFonts w:ascii="Arial" w:hAnsi="Arial" w:cs="Arial"/>
          <w:i/>
          <w:lang w:val="es-CO"/>
        </w:rPr>
        <w:t>(Art. 15, Decreto 568 de 2013)</w:t>
      </w:r>
    </w:p>
    <w:p w14:paraId="437DEEDE" w14:textId="77777777" w:rsidR="00B2442D" w:rsidRDefault="00B2442D">
      <w:pPr>
        <w:jc w:val="both"/>
        <w:rPr>
          <w:rFonts w:ascii="Arial" w:hAnsi="Arial" w:cs="Arial"/>
          <w:lang w:val="es-CO"/>
        </w:rPr>
      </w:pPr>
    </w:p>
    <w:p w14:paraId="5141947D" w14:textId="77777777" w:rsidR="00B2442D" w:rsidRDefault="008A645F">
      <w:pPr>
        <w:pStyle w:val="Prrafodelista"/>
        <w:numPr>
          <w:ilvl w:val="0"/>
          <w:numId w:val="33"/>
        </w:numPr>
        <w:shd w:val="clear" w:color="auto" w:fill="FFFFFF" w:themeFill="background1"/>
        <w:ind w:left="0" w:firstLine="0"/>
        <w:jc w:val="both"/>
        <w:rPr>
          <w:rFonts w:ascii="Arial" w:hAnsi="Arial" w:cs="Arial"/>
          <w:lang w:val="es-CO"/>
        </w:rPr>
      </w:pPr>
      <w:r>
        <w:rPr>
          <w:rFonts w:ascii="Arial" w:hAnsi="Arial" w:cs="Arial"/>
          <w:b/>
          <w:i/>
          <w:lang w:val="es-CO"/>
        </w:rPr>
        <w:t xml:space="preserve">Procedencia de la deducción por concepto de regalías u otros beneficios. </w:t>
      </w:r>
      <w:r>
        <w:rPr>
          <w:rFonts w:ascii="Arial" w:hAnsi="Arial" w:cs="Arial"/>
          <w:lang w:val="es-CO"/>
        </w:rPr>
        <w:t>La deducción por concepto de regalías u otros beneficios originados en contratos sobre importación a</w:t>
      </w:r>
      <w:r>
        <w:rPr>
          <w:rFonts w:ascii="Arial" w:hAnsi="Arial" w:cs="Arial"/>
          <w:lang w:val="es-CO"/>
        </w:rPr>
        <w:t>l país de tecnología y sobre patentes y marcas, será procedente siempre que se demuestre la existencia del contrato y su autorización por parte del organismo oficial competente, de conformidad con el artículo 18 del Régimen Común de Tratamiento a los capit</w:t>
      </w:r>
      <w:r>
        <w:rPr>
          <w:rFonts w:ascii="Arial" w:hAnsi="Arial" w:cs="Arial"/>
          <w:lang w:val="es-CO"/>
        </w:rPr>
        <w:t>ales extranjeros y sobre marcas, patentes, licencias y regalías aprobado por la Comisión del Acuerdo de Cartagena y puesto en vigencia mediante el Decreto-Ley 1900 de 1973.</w:t>
      </w:r>
    </w:p>
    <w:p w14:paraId="5BEA5115" w14:textId="77777777" w:rsidR="00B2442D" w:rsidRDefault="00B2442D">
      <w:pPr>
        <w:jc w:val="both"/>
        <w:rPr>
          <w:rFonts w:ascii="Arial" w:hAnsi="Arial" w:cs="Arial"/>
          <w:i/>
          <w:lang w:val="es-CO"/>
        </w:rPr>
      </w:pPr>
    </w:p>
    <w:p w14:paraId="47356C05" w14:textId="77777777" w:rsidR="00B2442D" w:rsidRDefault="008A645F">
      <w:pPr>
        <w:jc w:val="both"/>
        <w:rPr>
          <w:rFonts w:ascii="Arial" w:hAnsi="Arial" w:cs="Arial"/>
          <w:i/>
          <w:lang w:val="es-CO"/>
        </w:rPr>
      </w:pPr>
      <w:r>
        <w:rPr>
          <w:rFonts w:ascii="Arial" w:hAnsi="Arial" w:cs="Arial"/>
          <w:i/>
          <w:lang w:val="es-CO"/>
        </w:rPr>
        <w:t>(Art. 67, Decreto 187 de 1975. Inciso 2 tiene decaimiento por la evolución legisla</w:t>
      </w:r>
      <w:r>
        <w:rPr>
          <w:rFonts w:ascii="Arial" w:hAnsi="Arial" w:cs="Arial"/>
          <w:i/>
          <w:lang w:val="es-CO"/>
        </w:rPr>
        <w:t>tiva (Ley 223 de 1995)) (Vigencia del Decreto 187 de 1975. El Decreto 187 de 1975 se aplicará a partir del ejercicio impositivo de 1974 salvo los casos expresamente exceptuados en el mismo o en las normas sustantivas y procedimentales del impuesto sobre la</w:t>
      </w:r>
      <w:r>
        <w:rPr>
          <w:rFonts w:ascii="Arial" w:hAnsi="Arial" w:cs="Arial"/>
          <w:i/>
          <w:lang w:val="es-CO"/>
        </w:rPr>
        <w:t xml:space="preserve"> renta y complementario. (Art. 117, Decreto 187 de 1975))</w:t>
      </w:r>
    </w:p>
    <w:p w14:paraId="677DCA0A" w14:textId="77777777" w:rsidR="00B2442D" w:rsidRDefault="00B2442D">
      <w:pPr>
        <w:shd w:val="clear" w:color="auto" w:fill="FFFFFF" w:themeFill="background1"/>
        <w:jc w:val="center"/>
        <w:rPr>
          <w:rFonts w:ascii="Arial" w:hAnsi="Arial" w:cs="Arial"/>
          <w:b/>
          <w:shd w:val="clear" w:color="auto" w:fill="BFBFBF" w:themeFill="background1" w:themeFillShade="BF"/>
          <w:lang w:val="es-CO"/>
        </w:rPr>
      </w:pPr>
    </w:p>
    <w:p w14:paraId="5FBCD3BF"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Deducción por concepto de provisión para primas de difícil cobro.</w:t>
      </w:r>
      <w:r>
        <w:rPr>
          <w:rFonts w:ascii="Arial" w:hAnsi="Arial" w:cs="Arial"/>
          <w:lang w:val="es-CO"/>
        </w:rPr>
        <w:t xml:space="preserve"> A partir del año gravable de 1987, las compañías de seguros podrán deducir por concepto de provisión para primas de difícil cobro, </w:t>
      </w:r>
      <w:r>
        <w:rPr>
          <w:rFonts w:ascii="Arial" w:hAnsi="Arial" w:cs="Arial"/>
          <w:lang w:val="es-CO"/>
        </w:rPr>
        <w:t xml:space="preserve">hasta el valor de la provisión que la Superintendencia Financiera de Colombia exige constituir anualmente con cargo a pérdidas y ganancias por concepto de primas pendientes de recaudo con más de noventa (90) días. </w:t>
      </w:r>
    </w:p>
    <w:p w14:paraId="6A1438BA" w14:textId="77777777" w:rsidR="00B2442D" w:rsidRDefault="008A645F">
      <w:pPr>
        <w:jc w:val="both"/>
        <w:rPr>
          <w:rFonts w:ascii="Arial" w:hAnsi="Arial" w:cs="Arial"/>
          <w:lang w:val="es-CO"/>
        </w:rPr>
      </w:pPr>
      <w:r>
        <w:rPr>
          <w:rFonts w:ascii="Arial" w:hAnsi="Arial" w:cs="Arial"/>
          <w:lang w:val="es-CO"/>
        </w:rPr>
        <w:t xml:space="preserve"> </w:t>
      </w:r>
    </w:p>
    <w:p w14:paraId="24D11874" w14:textId="77777777" w:rsidR="00B2442D" w:rsidRDefault="008A645F">
      <w:pPr>
        <w:jc w:val="both"/>
        <w:rPr>
          <w:rFonts w:ascii="Arial" w:hAnsi="Arial" w:cs="Arial"/>
          <w:lang w:val="es-CO"/>
        </w:rPr>
      </w:pPr>
      <w:r>
        <w:rPr>
          <w:rFonts w:ascii="Arial" w:hAnsi="Arial" w:cs="Arial"/>
          <w:lang w:val="es-CO"/>
        </w:rPr>
        <w:t xml:space="preserve">La recuperación total o parcial de las </w:t>
      </w:r>
      <w:r>
        <w:rPr>
          <w:rFonts w:ascii="Arial" w:hAnsi="Arial" w:cs="Arial"/>
          <w:lang w:val="es-CO"/>
        </w:rPr>
        <w:t xml:space="preserve">primas cuyo valor hubiere sido deducido, constituirá renta por recuperación de deducciones en el período gravable en el cual se recuperen. </w:t>
      </w:r>
    </w:p>
    <w:p w14:paraId="04A3EEAA" w14:textId="77777777" w:rsidR="00B2442D" w:rsidRDefault="008A645F">
      <w:pPr>
        <w:jc w:val="both"/>
        <w:rPr>
          <w:rFonts w:ascii="Arial" w:hAnsi="Arial" w:cs="Arial"/>
          <w:lang w:val="es-CO"/>
        </w:rPr>
      </w:pPr>
      <w:r>
        <w:rPr>
          <w:rFonts w:ascii="Arial" w:hAnsi="Arial" w:cs="Arial"/>
          <w:lang w:val="es-CO"/>
        </w:rPr>
        <w:t xml:space="preserve"> </w:t>
      </w:r>
    </w:p>
    <w:p w14:paraId="20079F0A" w14:textId="77777777" w:rsidR="00B2442D" w:rsidRDefault="008A645F">
      <w:pPr>
        <w:jc w:val="both"/>
        <w:rPr>
          <w:rFonts w:ascii="Arial" w:hAnsi="Arial" w:cs="Arial"/>
          <w:lang w:val="es-CO"/>
        </w:rPr>
      </w:pPr>
      <w:r>
        <w:rPr>
          <w:rFonts w:ascii="Arial" w:hAnsi="Arial" w:cs="Arial"/>
          <w:lang w:val="es-CO"/>
        </w:rPr>
        <w:t>A partir del mismo año, las compañías de seguros podrán deducir por concepto de provisión para el pago de comision</w:t>
      </w:r>
      <w:r>
        <w:rPr>
          <w:rFonts w:ascii="Arial" w:hAnsi="Arial" w:cs="Arial"/>
          <w:lang w:val="es-CO"/>
        </w:rPr>
        <w:t>es de primas por recaudar, hasta el valor de la provisión que por tal concepto obliga a constituir anualmente la Superintendencia Financiera de Colombia, siempre que en el respectivo año gravable las primas que originan tales comisiones se registren como u</w:t>
      </w:r>
      <w:r>
        <w:rPr>
          <w:rFonts w:ascii="Arial" w:hAnsi="Arial" w:cs="Arial"/>
          <w:lang w:val="es-CO"/>
        </w:rPr>
        <w:t>n ingreso sobre el cual no se haya efectuado la provisión de que trata el inciso primero del presente artículo.</w:t>
      </w:r>
    </w:p>
    <w:p w14:paraId="5F6D0DB6" w14:textId="77777777" w:rsidR="00B2442D" w:rsidRDefault="00B2442D">
      <w:pPr>
        <w:jc w:val="both"/>
        <w:rPr>
          <w:rFonts w:ascii="Arial" w:hAnsi="Arial" w:cs="Arial"/>
          <w:i/>
          <w:lang w:val="es-CO"/>
        </w:rPr>
      </w:pPr>
    </w:p>
    <w:p w14:paraId="75B3D91A" w14:textId="77777777" w:rsidR="00B2442D" w:rsidRDefault="008A645F">
      <w:pPr>
        <w:jc w:val="both"/>
        <w:rPr>
          <w:rFonts w:ascii="Arial" w:hAnsi="Arial" w:cs="Arial"/>
          <w:lang w:val="es-CO"/>
        </w:rPr>
      </w:pPr>
      <w:r>
        <w:rPr>
          <w:rFonts w:ascii="Arial" w:hAnsi="Arial" w:cs="Arial"/>
          <w:i/>
          <w:lang w:val="es-CO"/>
        </w:rPr>
        <w:t>(Art. 4, Decreto 1354 de 1987)</w:t>
      </w:r>
    </w:p>
    <w:p w14:paraId="0F9CC06C" w14:textId="77777777" w:rsidR="00B2442D" w:rsidRDefault="00B2442D">
      <w:pPr>
        <w:jc w:val="both"/>
        <w:rPr>
          <w:rFonts w:ascii="Arial" w:hAnsi="Arial" w:cs="Arial"/>
          <w:lang w:val="es-CO"/>
        </w:rPr>
      </w:pPr>
    </w:p>
    <w:p w14:paraId="0B8E9A06" w14:textId="77777777" w:rsidR="00B2442D" w:rsidRDefault="008A645F">
      <w:pPr>
        <w:spacing w:line="40" w:lineRule="atLeast"/>
        <w:jc w:val="center"/>
        <w:rPr>
          <w:rFonts w:ascii="Arial" w:hAnsi="Arial" w:cs="Arial"/>
          <w:b/>
        </w:rPr>
      </w:pPr>
      <w:r>
        <w:rPr>
          <w:rFonts w:ascii="Arial" w:hAnsi="Arial" w:cs="Arial"/>
          <w:b/>
        </w:rPr>
        <w:t>PROVISIÓN PARA DEUDAS DE DUDOSO O DIFÍCIL COBRO</w:t>
      </w:r>
    </w:p>
    <w:p w14:paraId="78B780CA" w14:textId="77777777" w:rsidR="00B2442D" w:rsidRDefault="00B2442D">
      <w:pPr>
        <w:spacing w:line="40" w:lineRule="atLeast"/>
        <w:rPr>
          <w:rFonts w:ascii="Arial" w:hAnsi="Arial" w:cs="Arial"/>
          <w:b/>
        </w:rPr>
      </w:pPr>
    </w:p>
    <w:p w14:paraId="32D4B075" w14:textId="77777777" w:rsidR="00B2442D" w:rsidRDefault="008A645F">
      <w:pPr>
        <w:rPr>
          <w:rFonts w:ascii="Arial" w:hAnsi="Arial" w:cs="Arial"/>
          <w:b/>
        </w:rPr>
      </w:pPr>
      <w:r>
        <w:rPr>
          <w:rFonts w:ascii="Arial" w:hAnsi="Arial" w:cs="Arial"/>
          <w:b/>
        </w:rPr>
        <w:t>A. PROVISIÓN INDIVIDUAL.</w:t>
      </w:r>
    </w:p>
    <w:p w14:paraId="248241B6" w14:textId="77777777" w:rsidR="00B2442D" w:rsidRDefault="00B2442D">
      <w:pPr>
        <w:jc w:val="both"/>
        <w:rPr>
          <w:rFonts w:ascii="Arial" w:hAnsi="Arial" w:cs="Arial"/>
          <w:lang w:val="es-CO"/>
        </w:rPr>
      </w:pPr>
    </w:p>
    <w:p w14:paraId="341FA85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Provisión individual.</w:t>
      </w:r>
      <w:r>
        <w:rPr>
          <w:rFonts w:ascii="Arial" w:hAnsi="Arial" w:cs="Arial"/>
          <w:i/>
          <w:lang w:val="es-CO"/>
        </w:rPr>
        <w:t xml:space="preserve"> </w:t>
      </w:r>
      <w:r>
        <w:rPr>
          <w:rFonts w:ascii="Arial" w:hAnsi="Arial" w:cs="Arial"/>
          <w:lang w:val="es-CO"/>
        </w:rPr>
        <w:t xml:space="preserve">Los contribuyentes que lleven contabilidad por el sistema de causación tendrán derecho a una deducción de la renta bruta por concepto de provisión individual para deudas de dudoso o difícil cobro, siempre que llenen los requisitos siguientes: </w:t>
      </w:r>
    </w:p>
    <w:p w14:paraId="3D8A583E" w14:textId="77777777" w:rsidR="00B2442D" w:rsidRDefault="008A645F">
      <w:pPr>
        <w:jc w:val="both"/>
        <w:rPr>
          <w:rFonts w:ascii="Arial" w:hAnsi="Arial" w:cs="Arial"/>
          <w:lang w:val="es-CO"/>
        </w:rPr>
      </w:pPr>
      <w:r>
        <w:rPr>
          <w:rFonts w:ascii="Arial" w:hAnsi="Arial" w:cs="Arial"/>
          <w:lang w:val="es-CO"/>
        </w:rPr>
        <w:t xml:space="preserve"> </w:t>
      </w:r>
    </w:p>
    <w:p w14:paraId="7F680A4D" w14:textId="77777777" w:rsidR="00B2442D" w:rsidRDefault="008A645F">
      <w:pPr>
        <w:ind w:left="284" w:hanging="284"/>
        <w:jc w:val="both"/>
        <w:rPr>
          <w:rFonts w:ascii="Arial" w:hAnsi="Arial" w:cs="Arial"/>
          <w:lang w:val="es-CO"/>
        </w:rPr>
      </w:pPr>
      <w:r>
        <w:rPr>
          <w:rFonts w:ascii="Arial" w:hAnsi="Arial" w:cs="Arial"/>
          <w:lang w:val="es-CO"/>
        </w:rPr>
        <w:t xml:space="preserve">1. Que la </w:t>
      </w:r>
      <w:r>
        <w:rPr>
          <w:rFonts w:ascii="Arial" w:hAnsi="Arial" w:cs="Arial"/>
          <w:lang w:val="es-CO"/>
        </w:rPr>
        <w:t xml:space="preserve">respectiva obligación se haya contraído con justa causa y a título oneroso. </w:t>
      </w:r>
    </w:p>
    <w:p w14:paraId="55602CA0" w14:textId="77777777" w:rsidR="00B2442D" w:rsidRDefault="008A645F">
      <w:pPr>
        <w:ind w:left="284" w:hanging="284"/>
        <w:jc w:val="both"/>
        <w:rPr>
          <w:rFonts w:ascii="Arial" w:hAnsi="Arial" w:cs="Arial"/>
          <w:lang w:val="es-CO"/>
        </w:rPr>
      </w:pPr>
      <w:r>
        <w:rPr>
          <w:rFonts w:ascii="Arial" w:hAnsi="Arial" w:cs="Arial"/>
          <w:lang w:val="es-CO"/>
        </w:rPr>
        <w:t xml:space="preserve">2. Que se haya originado en operaciones propias de la actividad productora de renta. </w:t>
      </w:r>
    </w:p>
    <w:p w14:paraId="659CCB51" w14:textId="77777777" w:rsidR="00B2442D" w:rsidRDefault="008A645F">
      <w:pPr>
        <w:ind w:left="284" w:hanging="284"/>
        <w:jc w:val="both"/>
        <w:rPr>
          <w:rFonts w:ascii="Arial" w:hAnsi="Arial" w:cs="Arial"/>
          <w:lang w:val="es-CO"/>
        </w:rPr>
      </w:pPr>
      <w:r>
        <w:rPr>
          <w:rFonts w:ascii="Arial" w:hAnsi="Arial" w:cs="Arial"/>
          <w:lang w:val="es-CO"/>
        </w:rPr>
        <w:t xml:space="preserve">3. Que se haya tomado en cuenta al computar la renta declarada en años anteriores. </w:t>
      </w:r>
    </w:p>
    <w:p w14:paraId="4B30D06C" w14:textId="77777777" w:rsidR="00B2442D" w:rsidRDefault="008A645F">
      <w:pPr>
        <w:ind w:left="284" w:hanging="284"/>
        <w:jc w:val="both"/>
        <w:rPr>
          <w:rFonts w:ascii="Arial" w:hAnsi="Arial" w:cs="Arial"/>
          <w:lang w:val="es-CO"/>
        </w:rPr>
      </w:pPr>
      <w:r>
        <w:rPr>
          <w:rFonts w:ascii="Arial" w:hAnsi="Arial" w:cs="Arial"/>
          <w:lang w:val="es-CO"/>
        </w:rPr>
        <w:t>4. Que la</w:t>
      </w:r>
      <w:r>
        <w:rPr>
          <w:rFonts w:ascii="Arial" w:hAnsi="Arial" w:cs="Arial"/>
          <w:lang w:val="es-CO"/>
        </w:rPr>
        <w:t xml:space="preserve"> provisión se haya constituido en el año o período gravable de que se trate. </w:t>
      </w:r>
    </w:p>
    <w:p w14:paraId="2AB88B97" w14:textId="77777777" w:rsidR="00B2442D" w:rsidRDefault="008A645F">
      <w:pPr>
        <w:ind w:left="284" w:hanging="284"/>
        <w:jc w:val="both"/>
        <w:rPr>
          <w:rFonts w:ascii="Arial" w:hAnsi="Arial" w:cs="Arial"/>
          <w:lang w:val="es-CO"/>
        </w:rPr>
      </w:pPr>
      <w:r>
        <w:rPr>
          <w:rFonts w:ascii="Arial" w:hAnsi="Arial" w:cs="Arial"/>
          <w:lang w:val="es-CO"/>
        </w:rPr>
        <w:t xml:space="preserve">5. Que la obligación exista en el momento de la contabilización de la provisión. </w:t>
      </w:r>
    </w:p>
    <w:p w14:paraId="04CFD6DB" w14:textId="77777777" w:rsidR="00B2442D" w:rsidRDefault="008A645F">
      <w:pPr>
        <w:ind w:left="284" w:hanging="284"/>
        <w:jc w:val="both"/>
        <w:rPr>
          <w:rFonts w:ascii="Arial" w:hAnsi="Arial" w:cs="Arial"/>
          <w:lang w:val="es-CO"/>
        </w:rPr>
      </w:pPr>
      <w:r>
        <w:rPr>
          <w:rFonts w:ascii="Arial" w:hAnsi="Arial" w:cs="Arial"/>
          <w:lang w:val="es-CO"/>
        </w:rPr>
        <w:t>6. Que la respectiva deuda se haya hecho exigible con más de un año de anterioridad y se justifi</w:t>
      </w:r>
      <w:r>
        <w:rPr>
          <w:rFonts w:ascii="Arial" w:hAnsi="Arial" w:cs="Arial"/>
          <w:lang w:val="es-CO"/>
        </w:rPr>
        <w:t>que su carácter de dudoso o difícil cobro.</w:t>
      </w:r>
    </w:p>
    <w:p w14:paraId="34724F79" w14:textId="77777777" w:rsidR="00B2442D" w:rsidRDefault="00B2442D">
      <w:pPr>
        <w:jc w:val="both"/>
        <w:rPr>
          <w:rFonts w:ascii="Arial" w:hAnsi="Arial" w:cs="Arial"/>
          <w:i/>
          <w:lang w:val="es-CO"/>
        </w:rPr>
      </w:pPr>
    </w:p>
    <w:p w14:paraId="205FAC7A" w14:textId="77777777" w:rsidR="00B2442D" w:rsidRDefault="008A645F">
      <w:pPr>
        <w:jc w:val="both"/>
        <w:rPr>
          <w:rFonts w:ascii="Arial" w:hAnsi="Arial" w:cs="Arial"/>
          <w:lang w:val="es-CO"/>
        </w:rPr>
      </w:pPr>
      <w:r>
        <w:rPr>
          <w:rFonts w:ascii="Arial" w:hAnsi="Arial" w:cs="Arial"/>
          <w:i/>
          <w:lang w:val="es-CO"/>
        </w:rPr>
        <w:t xml:space="preserve">(Art. 72, Decreto 187 de 1975) (Vigencia del Decreto 187 de 1975. El Decreto 187 de 1975 se aplicará a partir del ejercicio impositivo de 1974 salvo los casos expresamente exceptuados en el mismo o en las </w:t>
      </w:r>
      <w:r>
        <w:rPr>
          <w:rFonts w:ascii="Arial" w:hAnsi="Arial" w:cs="Arial"/>
          <w:i/>
          <w:lang w:val="es-CO"/>
        </w:rPr>
        <w:t>normas sustantivas y procedimentales del impuesto sobre la renta y complementario. (Art. 117, Decreto 187 de 1975))</w:t>
      </w:r>
    </w:p>
    <w:p w14:paraId="11687DCB" w14:textId="77777777" w:rsidR="00B2442D" w:rsidRDefault="00B2442D">
      <w:pPr>
        <w:jc w:val="both"/>
        <w:rPr>
          <w:rFonts w:ascii="Arial" w:hAnsi="Arial" w:cs="Arial"/>
          <w:lang w:val="es-CO"/>
        </w:rPr>
      </w:pPr>
    </w:p>
    <w:p w14:paraId="70AE946F"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Provisión individual cuota razonable. </w:t>
      </w:r>
      <w:r>
        <w:rPr>
          <w:rFonts w:ascii="Arial" w:hAnsi="Arial" w:cs="Arial"/>
          <w:lang w:val="es-CO"/>
        </w:rPr>
        <w:t>Como deducción por concepto de provisión individual para deudas de dudoso o difícil cobro fijase como</w:t>
      </w:r>
      <w:r>
        <w:rPr>
          <w:rFonts w:ascii="Arial" w:hAnsi="Arial" w:cs="Arial"/>
          <w:lang w:val="es-CO"/>
        </w:rPr>
        <w:t xml:space="preserve"> cuota razonable hasta un treinta y tres por ciento (33%) anual del valor nominal de cada deuda con más de un (1) año de vencida.</w:t>
      </w:r>
    </w:p>
    <w:p w14:paraId="74814F4C" w14:textId="77777777" w:rsidR="00B2442D" w:rsidRDefault="00B2442D">
      <w:pPr>
        <w:jc w:val="both"/>
        <w:rPr>
          <w:rFonts w:ascii="Arial" w:hAnsi="Arial" w:cs="Arial"/>
          <w:i/>
          <w:lang w:val="es-CO"/>
        </w:rPr>
      </w:pPr>
    </w:p>
    <w:p w14:paraId="1FCC02E2" w14:textId="77777777" w:rsidR="00B2442D" w:rsidRDefault="008A645F">
      <w:pPr>
        <w:jc w:val="both"/>
        <w:rPr>
          <w:rFonts w:ascii="Arial" w:hAnsi="Arial" w:cs="Arial"/>
          <w:lang w:val="es-CO"/>
        </w:rPr>
      </w:pPr>
      <w:r>
        <w:rPr>
          <w:rFonts w:ascii="Arial" w:hAnsi="Arial" w:cs="Arial"/>
          <w:i/>
          <w:lang w:val="es-CO"/>
        </w:rPr>
        <w:t>(Art. 74, Decreto 187 de 1975) (Vigencia del Decreto 187 de 1975. El Decreto 187 de 1975 se aplicará a partir del ejercicio i</w:t>
      </w:r>
      <w:r>
        <w:rPr>
          <w:rFonts w:ascii="Arial" w:hAnsi="Arial" w:cs="Arial"/>
          <w:i/>
          <w:lang w:val="es-CO"/>
        </w:rPr>
        <w:t>mpositivo de 1974 salvo los casos expresamente exceptuados en el mismo o en las normas sustantivas y procedimentales del impuesto sobre la renta y complementario. (Art. 117, Decreto 187 de 1975))</w:t>
      </w:r>
    </w:p>
    <w:p w14:paraId="70975DB5" w14:textId="77777777" w:rsidR="00B2442D" w:rsidRDefault="00B2442D">
      <w:pPr>
        <w:spacing w:line="40" w:lineRule="atLeast"/>
        <w:rPr>
          <w:rFonts w:ascii="Arial" w:hAnsi="Arial" w:cs="Arial"/>
          <w:b/>
        </w:rPr>
      </w:pPr>
    </w:p>
    <w:p w14:paraId="79F2DF23" w14:textId="77777777" w:rsidR="00B2442D" w:rsidRDefault="008A645F">
      <w:pPr>
        <w:spacing w:line="40" w:lineRule="atLeast"/>
        <w:rPr>
          <w:rFonts w:ascii="Arial" w:hAnsi="Arial" w:cs="Arial"/>
          <w:b/>
        </w:rPr>
      </w:pPr>
      <w:r>
        <w:rPr>
          <w:rFonts w:ascii="Arial" w:hAnsi="Arial" w:cs="Arial"/>
          <w:b/>
        </w:rPr>
        <w:t xml:space="preserve">B. PROVISIÓN GENERAL. </w:t>
      </w:r>
    </w:p>
    <w:p w14:paraId="7567419D" w14:textId="77777777" w:rsidR="00B2442D" w:rsidRDefault="00B2442D">
      <w:pPr>
        <w:jc w:val="both"/>
        <w:rPr>
          <w:rFonts w:ascii="Arial" w:hAnsi="Arial" w:cs="Arial"/>
          <w:lang w:val="es-CO"/>
        </w:rPr>
      </w:pPr>
    </w:p>
    <w:p w14:paraId="154D26A3"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Provisión general. </w:t>
      </w:r>
      <w:r>
        <w:rPr>
          <w:rFonts w:ascii="Arial" w:hAnsi="Arial" w:cs="Arial"/>
          <w:lang w:val="es-CO"/>
        </w:rPr>
        <w:t>Los contribuyent</w:t>
      </w:r>
      <w:r>
        <w:rPr>
          <w:rFonts w:ascii="Arial" w:hAnsi="Arial" w:cs="Arial"/>
          <w:lang w:val="es-CO"/>
        </w:rPr>
        <w:t>es que lleven contabilidad de causación y cuyo sistema de operaciones origine regular y permanentemente créditos a su favor, tendrán derecho a que se les deduzca de su renta bruta, por concepto de provisión general para deudas de dudoso o difícil cobro, un</w:t>
      </w:r>
      <w:r>
        <w:rPr>
          <w:rFonts w:ascii="Arial" w:hAnsi="Arial" w:cs="Arial"/>
          <w:lang w:val="es-CO"/>
        </w:rPr>
        <w:t xml:space="preserve"> porcentaje en la cartera vencida, así: </w:t>
      </w:r>
    </w:p>
    <w:p w14:paraId="4BD005C5" w14:textId="77777777" w:rsidR="00B2442D" w:rsidRDefault="008A645F">
      <w:pPr>
        <w:jc w:val="both"/>
        <w:rPr>
          <w:rFonts w:ascii="Arial" w:hAnsi="Arial" w:cs="Arial"/>
          <w:lang w:val="es-CO"/>
        </w:rPr>
      </w:pPr>
      <w:r>
        <w:rPr>
          <w:rFonts w:ascii="Arial" w:hAnsi="Arial" w:cs="Arial"/>
          <w:lang w:val="es-CO"/>
        </w:rPr>
        <w:t xml:space="preserve"> </w:t>
      </w:r>
    </w:p>
    <w:p w14:paraId="067A2625" w14:textId="77777777" w:rsidR="00B2442D" w:rsidRDefault="008A645F">
      <w:pPr>
        <w:jc w:val="both"/>
        <w:rPr>
          <w:rFonts w:ascii="Arial" w:hAnsi="Arial" w:cs="Arial"/>
          <w:lang w:val="es-CO"/>
        </w:rPr>
      </w:pPr>
      <w:r>
        <w:rPr>
          <w:rFonts w:ascii="Arial" w:hAnsi="Arial" w:cs="Arial"/>
          <w:lang w:val="es-CO"/>
        </w:rPr>
        <w:t xml:space="preserve">El cinco por ciento (5%) para las deudas que en el último día del ejercicio gravable lleven más de tres (3) meses de vencidas, sin exceder de seis (6) meses. </w:t>
      </w:r>
    </w:p>
    <w:p w14:paraId="1716092C" w14:textId="77777777" w:rsidR="00B2442D" w:rsidRDefault="008A645F">
      <w:pPr>
        <w:jc w:val="both"/>
        <w:rPr>
          <w:rFonts w:ascii="Arial" w:hAnsi="Arial" w:cs="Arial"/>
          <w:lang w:val="es-CO"/>
        </w:rPr>
      </w:pPr>
      <w:r>
        <w:rPr>
          <w:rFonts w:ascii="Arial" w:hAnsi="Arial" w:cs="Arial"/>
          <w:lang w:val="es-CO"/>
        </w:rPr>
        <w:t xml:space="preserve"> </w:t>
      </w:r>
    </w:p>
    <w:p w14:paraId="436AAB82" w14:textId="77777777" w:rsidR="00B2442D" w:rsidRDefault="008A645F">
      <w:pPr>
        <w:jc w:val="both"/>
        <w:rPr>
          <w:rFonts w:ascii="Arial" w:hAnsi="Arial" w:cs="Arial"/>
          <w:lang w:val="es-CO"/>
        </w:rPr>
      </w:pPr>
      <w:r>
        <w:rPr>
          <w:rFonts w:ascii="Arial" w:hAnsi="Arial" w:cs="Arial"/>
          <w:lang w:val="es-CO"/>
        </w:rPr>
        <w:t>El diez por ciento (10%) para las deudas que en el último día del ejercicio gravable lleven más</w:t>
      </w:r>
      <w:r>
        <w:rPr>
          <w:rFonts w:ascii="Arial" w:hAnsi="Arial" w:cs="Arial"/>
          <w:lang w:val="es-CO"/>
        </w:rPr>
        <w:t xml:space="preserve"> de seis (6) meses de vencidas sin exceder de un (1) año. </w:t>
      </w:r>
    </w:p>
    <w:p w14:paraId="6E4281DA" w14:textId="77777777" w:rsidR="00B2442D" w:rsidRDefault="008A645F">
      <w:pPr>
        <w:jc w:val="both"/>
        <w:rPr>
          <w:rFonts w:ascii="Arial" w:hAnsi="Arial" w:cs="Arial"/>
          <w:lang w:val="es-CO"/>
        </w:rPr>
      </w:pPr>
      <w:r>
        <w:rPr>
          <w:rFonts w:ascii="Arial" w:hAnsi="Arial" w:cs="Arial"/>
          <w:lang w:val="es-CO"/>
        </w:rPr>
        <w:t xml:space="preserve"> </w:t>
      </w:r>
    </w:p>
    <w:p w14:paraId="087C6A0E" w14:textId="77777777" w:rsidR="00B2442D" w:rsidRDefault="008A645F">
      <w:pPr>
        <w:jc w:val="both"/>
        <w:rPr>
          <w:rFonts w:ascii="Arial" w:hAnsi="Arial" w:cs="Arial"/>
          <w:lang w:val="es-CO"/>
        </w:rPr>
      </w:pPr>
      <w:r>
        <w:rPr>
          <w:rFonts w:ascii="Arial" w:hAnsi="Arial" w:cs="Arial"/>
          <w:lang w:val="es-CO"/>
        </w:rPr>
        <w:t xml:space="preserve">El quince por ciento (15%) para las deudas que en el último día del ejercicio gravable lleven más de un (1) año de vencidas. </w:t>
      </w:r>
    </w:p>
    <w:p w14:paraId="27FD5741" w14:textId="77777777" w:rsidR="00B2442D" w:rsidRDefault="008A645F">
      <w:pPr>
        <w:jc w:val="both"/>
        <w:rPr>
          <w:rFonts w:ascii="Arial" w:hAnsi="Arial" w:cs="Arial"/>
          <w:lang w:val="es-CO"/>
        </w:rPr>
      </w:pPr>
      <w:r>
        <w:rPr>
          <w:rFonts w:ascii="Arial" w:hAnsi="Arial" w:cs="Arial"/>
          <w:lang w:val="es-CO"/>
        </w:rPr>
        <w:t xml:space="preserve"> </w:t>
      </w:r>
    </w:p>
    <w:p w14:paraId="3D092CFC" w14:textId="77777777" w:rsidR="00B2442D" w:rsidRDefault="008A645F">
      <w:pPr>
        <w:jc w:val="both"/>
        <w:rPr>
          <w:rFonts w:ascii="Arial" w:hAnsi="Arial" w:cs="Arial"/>
          <w:lang w:val="es-CO"/>
        </w:rPr>
      </w:pPr>
      <w:r>
        <w:rPr>
          <w:rFonts w:ascii="Arial" w:hAnsi="Arial" w:cs="Arial"/>
          <w:b/>
          <w:lang w:val="es-CO"/>
        </w:rPr>
        <w:t>Parágrafo 1º</w:t>
      </w:r>
      <w:r>
        <w:rPr>
          <w:rFonts w:ascii="Arial" w:hAnsi="Arial" w:cs="Arial"/>
          <w:lang w:val="es-CO"/>
        </w:rPr>
        <w:t>. Esta deducción sólo se reconocerá cuando las deudas y</w:t>
      </w:r>
      <w:r>
        <w:rPr>
          <w:rFonts w:ascii="Arial" w:hAnsi="Arial" w:cs="Arial"/>
          <w:lang w:val="es-CO"/>
        </w:rPr>
        <w:t xml:space="preserve"> la provisión estén contabilizadas y el contribuyente no haya optado por la provisión individual. </w:t>
      </w:r>
    </w:p>
    <w:p w14:paraId="240F8741" w14:textId="77777777" w:rsidR="00B2442D" w:rsidRDefault="008A645F">
      <w:pPr>
        <w:jc w:val="both"/>
        <w:rPr>
          <w:rFonts w:ascii="Arial" w:hAnsi="Arial" w:cs="Arial"/>
          <w:lang w:val="es-CO"/>
        </w:rPr>
      </w:pPr>
      <w:r>
        <w:rPr>
          <w:rFonts w:ascii="Arial" w:hAnsi="Arial" w:cs="Arial"/>
          <w:lang w:val="es-CO"/>
        </w:rPr>
        <w:t xml:space="preserve"> </w:t>
      </w:r>
    </w:p>
    <w:p w14:paraId="02C49BF0" w14:textId="77777777" w:rsidR="00B2442D" w:rsidRDefault="008A645F">
      <w:pPr>
        <w:jc w:val="both"/>
        <w:rPr>
          <w:rFonts w:ascii="Arial" w:hAnsi="Arial" w:cs="Arial"/>
          <w:lang w:val="es-CO"/>
        </w:rPr>
      </w:pPr>
      <w:r>
        <w:rPr>
          <w:rFonts w:ascii="Arial" w:hAnsi="Arial" w:cs="Arial"/>
          <w:b/>
          <w:lang w:val="es-CO"/>
        </w:rPr>
        <w:t>Parágrafo 2º.</w:t>
      </w:r>
      <w:r>
        <w:rPr>
          <w:rFonts w:ascii="Arial" w:hAnsi="Arial" w:cs="Arial"/>
          <w:lang w:val="es-CO"/>
        </w:rPr>
        <w:t xml:space="preserve"> El contribuyente que en los años anteriores haya solicitado la provisión individual para deudas de dudoso o difícil cobro y opte por la provi</w:t>
      </w:r>
      <w:r>
        <w:rPr>
          <w:rFonts w:ascii="Arial" w:hAnsi="Arial" w:cs="Arial"/>
          <w:lang w:val="es-CO"/>
        </w:rPr>
        <w:t>sión general de que trata este artículo, deberá hacer los ajustes correspondientes.</w:t>
      </w:r>
    </w:p>
    <w:p w14:paraId="4B9EF910" w14:textId="77777777" w:rsidR="00B2442D" w:rsidRDefault="00B2442D">
      <w:pPr>
        <w:jc w:val="both"/>
        <w:rPr>
          <w:rFonts w:ascii="Arial" w:hAnsi="Arial" w:cs="Arial"/>
          <w:i/>
          <w:lang w:val="es-CO"/>
        </w:rPr>
      </w:pPr>
    </w:p>
    <w:p w14:paraId="2CC5C178" w14:textId="77777777" w:rsidR="00B2442D" w:rsidRDefault="008A645F">
      <w:pPr>
        <w:jc w:val="both"/>
        <w:rPr>
          <w:rFonts w:ascii="Arial" w:hAnsi="Arial" w:cs="Arial"/>
          <w:lang w:val="es-CO"/>
        </w:rPr>
      </w:pPr>
      <w:r>
        <w:rPr>
          <w:rFonts w:ascii="Arial" w:hAnsi="Arial" w:cs="Arial"/>
          <w:i/>
          <w:lang w:val="es-CO"/>
        </w:rPr>
        <w:t>(Art. 75, Decreto 187 de 1975) (Vigencia del Decreto 187 de 1975. El Decreto 187 de 1975 se aplicará a partir del ejercicio impositivo de 1974 salvo los casos expresamente</w:t>
      </w:r>
      <w:r>
        <w:rPr>
          <w:rFonts w:ascii="Arial" w:hAnsi="Arial" w:cs="Arial"/>
          <w:i/>
          <w:lang w:val="es-CO"/>
        </w:rPr>
        <w:t xml:space="preserve"> exceptuados en el mismo o en las normas sustantivas y procedimentales del impuesto sobre la renta y complementario. (Art. 117, Decreto 187 de 1975))</w:t>
      </w:r>
    </w:p>
    <w:p w14:paraId="399BDD3B" w14:textId="77777777" w:rsidR="00B2442D" w:rsidRDefault="00B2442D">
      <w:pPr>
        <w:jc w:val="both"/>
        <w:rPr>
          <w:rFonts w:ascii="Arial" w:hAnsi="Arial" w:cs="Arial"/>
          <w:lang w:val="es-CO"/>
        </w:rPr>
      </w:pPr>
    </w:p>
    <w:p w14:paraId="2B82E299"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Formación y ajuste de las provisiones.</w:t>
      </w:r>
      <w:r>
        <w:rPr>
          <w:rFonts w:ascii="Arial" w:hAnsi="Arial" w:cs="Arial"/>
          <w:lang w:val="es-CO"/>
        </w:rPr>
        <w:t xml:space="preserve"> Las provisiones individual o general de cartera se formarán con ca</w:t>
      </w:r>
      <w:r>
        <w:rPr>
          <w:rFonts w:ascii="Arial" w:hAnsi="Arial" w:cs="Arial"/>
          <w:lang w:val="es-CO"/>
        </w:rPr>
        <w:t>rgo a ganancias y pérdidas y deberá ajustarse anualmente la cuenta respectiva, debitando o acreditando la diferencia.</w:t>
      </w:r>
    </w:p>
    <w:p w14:paraId="573BC9F8" w14:textId="77777777" w:rsidR="00B2442D" w:rsidRDefault="00B2442D">
      <w:pPr>
        <w:jc w:val="both"/>
        <w:rPr>
          <w:rFonts w:ascii="Arial" w:hAnsi="Arial" w:cs="Arial"/>
          <w:i/>
          <w:lang w:val="es-CO"/>
        </w:rPr>
      </w:pPr>
    </w:p>
    <w:p w14:paraId="2BC00663" w14:textId="77777777" w:rsidR="00B2442D" w:rsidRDefault="008A645F">
      <w:pPr>
        <w:jc w:val="both"/>
        <w:rPr>
          <w:rFonts w:ascii="Arial" w:hAnsi="Arial" w:cs="Arial"/>
          <w:i/>
          <w:lang w:val="es-CO"/>
        </w:rPr>
      </w:pPr>
      <w:r>
        <w:rPr>
          <w:rFonts w:ascii="Arial" w:hAnsi="Arial" w:cs="Arial"/>
          <w:i/>
          <w:lang w:val="es-CO"/>
        </w:rPr>
        <w:t>(Art. 77, Decreto 187 de 1975) (Vigencia del Decreto 187 de 1975. El Decreto 187 de 1975 se aplicará a partir del ejercicio impositivo de</w:t>
      </w:r>
      <w:r>
        <w:rPr>
          <w:rFonts w:ascii="Arial" w:hAnsi="Arial" w:cs="Arial"/>
          <w:i/>
          <w:lang w:val="es-CO"/>
        </w:rPr>
        <w:t xml:space="preserve"> 1974 salvo los casos expresamente exceptuados en el mismo o en las normas sustantivas y procedimentales del impuesto sobre la renta y complementario. (Art. 117, Decreto 187 de 1975))</w:t>
      </w:r>
    </w:p>
    <w:p w14:paraId="00C1CEE6" w14:textId="77777777" w:rsidR="00B2442D" w:rsidRDefault="00B2442D">
      <w:pPr>
        <w:jc w:val="both"/>
        <w:rPr>
          <w:rFonts w:ascii="Arial" w:hAnsi="Arial" w:cs="Arial"/>
          <w:i/>
          <w:lang w:val="es-CO"/>
        </w:rPr>
      </w:pPr>
    </w:p>
    <w:p w14:paraId="262AF33F"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Deudas manifiestamente perdidas o sin valor.</w:t>
      </w:r>
      <w:r>
        <w:rPr>
          <w:rFonts w:ascii="Arial" w:hAnsi="Arial" w:cs="Arial"/>
          <w:lang w:val="es-CO"/>
        </w:rPr>
        <w:t xml:space="preserve"> Se entiende por deudas man</w:t>
      </w:r>
      <w:r>
        <w:rPr>
          <w:rFonts w:ascii="Arial" w:hAnsi="Arial" w:cs="Arial"/>
          <w:lang w:val="es-CO"/>
        </w:rPr>
        <w:t>ifiestamente perdidas o sin valor aquellas cuyo cobro no es posible hacer efectivo por insolvencia de los deudores y de los fiadores, por falta de garantías reales o por cualquier otra causa que permita considerarlas como actualmente perdidas, de acuerdo c</w:t>
      </w:r>
      <w:r>
        <w:rPr>
          <w:rFonts w:ascii="Arial" w:hAnsi="Arial" w:cs="Arial"/>
          <w:lang w:val="es-CO"/>
        </w:rPr>
        <w:t>on una sana práctica comercial.</w:t>
      </w:r>
    </w:p>
    <w:p w14:paraId="58C27960" w14:textId="77777777" w:rsidR="00B2442D" w:rsidRDefault="00B2442D">
      <w:pPr>
        <w:jc w:val="both"/>
        <w:rPr>
          <w:rFonts w:ascii="Arial" w:hAnsi="Arial" w:cs="Arial"/>
          <w:i/>
          <w:lang w:val="es-CO"/>
        </w:rPr>
      </w:pPr>
    </w:p>
    <w:p w14:paraId="37B733C6" w14:textId="77777777" w:rsidR="00B2442D" w:rsidRDefault="008A645F">
      <w:pPr>
        <w:jc w:val="both"/>
        <w:rPr>
          <w:rFonts w:ascii="Arial" w:hAnsi="Arial" w:cs="Arial"/>
          <w:lang w:val="es-CO"/>
        </w:rPr>
      </w:pPr>
      <w:r>
        <w:rPr>
          <w:rFonts w:ascii="Arial" w:hAnsi="Arial" w:cs="Arial"/>
          <w:i/>
          <w:lang w:val="es-CO"/>
        </w:rPr>
        <w:t>(Art. 79, Decreto 187 de 1975) (Vigencia del Decreto 187 de 1975. El Decreto 187 de 1975 se aplicará a partir del ejercicio impositivo de 1974 salvo los casos expresamente exceptuados en el mismo o en las normas sustantivas</w:t>
      </w:r>
      <w:r>
        <w:rPr>
          <w:rFonts w:ascii="Arial" w:hAnsi="Arial" w:cs="Arial"/>
          <w:i/>
          <w:lang w:val="es-CO"/>
        </w:rPr>
        <w:t xml:space="preserve"> y procedimentales del impuesto sobre la renta y complementario. (Art. 117, Decreto 187 de 1975))</w:t>
      </w:r>
    </w:p>
    <w:p w14:paraId="0A4A17A3" w14:textId="77777777" w:rsidR="00B2442D" w:rsidRDefault="00B2442D">
      <w:pPr>
        <w:jc w:val="both"/>
        <w:rPr>
          <w:rFonts w:ascii="Arial" w:hAnsi="Arial" w:cs="Arial"/>
          <w:lang w:val="es-CO"/>
        </w:rPr>
      </w:pPr>
    </w:p>
    <w:p w14:paraId="5779807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Procedencia de la deducción por deudas manifiestamente perdidas o sin valor.</w:t>
      </w:r>
      <w:r>
        <w:rPr>
          <w:rFonts w:ascii="Arial" w:hAnsi="Arial" w:cs="Arial"/>
          <w:lang w:val="es-CO"/>
        </w:rPr>
        <w:t xml:space="preserve"> Para que proceda esta deducción es necesario: </w:t>
      </w:r>
    </w:p>
    <w:p w14:paraId="6B42FEB2" w14:textId="77777777" w:rsidR="00B2442D" w:rsidRDefault="00B2442D">
      <w:pPr>
        <w:jc w:val="both"/>
        <w:rPr>
          <w:rFonts w:ascii="Arial" w:hAnsi="Arial" w:cs="Arial"/>
          <w:lang w:val="es-CO"/>
        </w:rPr>
      </w:pPr>
    </w:p>
    <w:p w14:paraId="0431D0DA" w14:textId="77777777" w:rsidR="00B2442D" w:rsidRDefault="008A645F">
      <w:pPr>
        <w:jc w:val="both"/>
        <w:rPr>
          <w:rFonts w:ascii="Arial" w:hAnsi="Arial" w:cs="Arial"/>
          <w:lang w:val="es-CO"/>
        </w:rPr>
      </w:pPr>
      <w:r>
        <w:rPr>
          <w:rFonts w:ascii="Arial" w:hAnsi="Arial" w:cs="Arial"/>
          <w:lang w:val="es-CO"/>
        </w:rPr>
        <w:t xml:space="preserve">1. Que la respectiva obligación </w:t>
      </w:r>
      <w:r>
        <w:rPr>
          <w:rFonts w:ascii="Arial" w:hAnsi="Arial" w:cs="Arial"/>
          <w:lang w:val="es-CO"/>
        </w:rPr>
        <w:t xml:space="preserve">se haya contraído con justa causa y a título oneroso. </w:t>
      </w:r>
    </w:p>
    <w:p w14:paraId="0625FB1D" w14:textId="77777777" w:rsidR="00B2442D" w:rsidRDefault="00B2442D">
      <w:pPr>
        <w:jc w:val="both"/>
        <w:rPr>
          <w:rFonts w:ascii="Arial" w:hAnsi="Arial" w:cs="Arial"/>
          <w:lang w:val="es-CO"/>
        </w:rPr>
      </w:pPr>
    </w:p>
    <w:p w14:paraId="7A1F38AF" w14:textId="77777777" w:rsidR="00B2442D" w:rsidRDefault="008A645F">
      <w:pPr>
        <w:jc w:val="both"/>
        <w:rPr>
          <w:rFonts w:ascii="Arial" w:hAnsi="Arial" w:cs="Arial"/>
          <w:lang w:val="es-CO"/>
        </w:rPr>
      </w:pPr>
      <w:r>
        <w:rPr>
          <w:rFonts w:ascii="Arial" w:hAnsi="Arial" w:cs="Arial"/>
          <w:lang w:val="es-CO"/>
        </w:rPr>
        <w:t xml:space="preserve">2. Que se haya tomado en cuenta al computar la renta declarada en años anteriores o que se trate de créditos que hayan producido rentas declaradas en tales años. </w:t>
      </w:r>
    </w:p>
    <w:p w14:paraId="1ACE97C6" w14:textId="77777777" w:rsidR="00B2442D" w:rsidRDefault="00B2442D">
      <w:pPr>
        <w:jc w:val="both"/>
        <w:rPr>
          <w:rFonts w:ascii="Arial" w:hAnsi="Arial" w:cs="Arial"/>
          <w:lang w:val="es-CO"/>
        </w:rPr>
      </w:pPr>
    </w:p>
    <w:p w14:paraId="02A146B3" w14:textId="77777777" w:rsidR="00B2442D" w:rsidRDefault="008A645F">
      <w:pPr>
        <w:jc w:val="both"/>
        <w:rPr>
          <w:rFonts w:ascii="Arial" w:hAnsi="Arial" w:cs="Arial"/>
          <w:lang w:val="es-CO"/>
        </w:rPr>
      </w:pPr>
      <w:r>
        <w:rPr>
          <w:rFonts w:ascii="Arial" w:hAnsi="Arial" w:cs="Arial"/>
          <w:lang w:val="es-CO"/>
        </w:rPr>
        <w:t xml:space="preserve">3. Que se haya descargado en el año </w:t>
      </w:r>
      <w:r>
        <w:rPr>
          <w:rFonts w:ascii="Arial" w:hAnsi="Arial" w:cs="Arial"/>
          <w:lang w:val="es-CO"/>
        </w:rPr>
        <w:t xml:space="preserve">o período gravable de que se trata, mediante abono a la cuenta incobrable y cargo directo a pérdidas y ganancias. </w:t>
      </w:r>
    </w:p>
    <w:p w14:paraId="0021E43F" w14:textId="77777777" w:rsidR="00B2442D" w:rsidRDefault="00B2442D">
      <w:pPr>
        <w:jc w:val="both"/>
        <w:rPr>
          <w:rFonts w:ascii="Arial" w:hAnsi="Arial" w:cs="Arial"/>
          <w:lang w:val="es-CO"/>
        </w:rPr>
      </w:pPr>
    </w:p>
    <w:p w14:paraId="2F3E069A" w14:textId="77777777" w:rsidR="00B2442D" w:rsidRDefault="008A645F">
      <w:pPr>
        <w:jc w:val="both"/>
        <w:rPr>
          <w:rFonts w:ascii="Arial" w:hAnsi="Arial" w:cs="Arial"/>
          <w:lang w:val="es-CO"/>
        </w:rPr>
      </w:pPr>
      <w:r>
        <w:rPr>
          <w:rFonts w:ascii="Arial" w:hAnsi="Arial" w:cs="Arial"/>
          <w:lang w:val="es-CO"/>
        </w:rPr>
        <w:t xml:space="preserve">4. Que la obligación exista en el momento de descargo, y </w:t>
      </w:r>
    </w:p>
    <w:p w14:paraId="799017E1" w14:textId="77777777" w:rsidR="00B2442D" w:rsidRDefault="00B2442D">
      <w:pPr>
        <w:jc w:val="both"/>
        <w:rPr>
          <w:rFonts w:ascii="Arial" w:hAnsi="Arial" w:cs="Arial"/>
          <w:lang w:val="es-CO"/>
        </w:rPr>
      </w:pPr>
    </w:p>
    <w:p w14:paraId="27F10FCC" w14:textId="77777777" w:rsidR="00B2442D" w:rsidRDefault="008A645F">
      <w:pPr>
        <w:jc w:val="both"/>
        <w:rPr>
          <w:rFonts w:ascii="Arial" w:hAnsi="Arial" w:cs="Arial"/>
          <w:lang w:val="es-CO"/>
        </w:rPr>
      </w:pPr>
      <w:r>
        <w:rPr>
          <w:rFonts w:ascii="Arial" w:hAnsi="Arial" w:cs="Arial"/>
          <w:lang w:val="es-CO"/>
        </w:rPr>
        <w:t xml:space="preserve">5. Que existan razones para considerar la deuda manifiestamente perdida o sin </w:t>
      </w:r>
      <w:r>
        <w:rPr>
          <w:rFonts w:ascii="Arial" w:hAnsi="Arial" w:cs="Arial"/>
          <w:lang w:val="es-CO"/>
        </w:rPr>
        <w:t>valor.</w:t>
      </w:r>
    </w:p>
    <w:p w14:paraId="65F7BEBA" w14:textId="77777777" w:rsidR="00B2442D" w:rsidRDefault="00B2442D">
      <w:pPr>
        <w:jc w:val="both"/>
        <w:rPr>
          <w:rFonts w:ascii="Arial" w:hAnsi="Arial" w:cs="Arial"/>
          <w:i/>
          <w:lang w:val="es-CO"/>
        </w:rPr>
      </w:pPr>
    </w:p>
    <w:p w14:paraId="6C5CD98F" w14:textId="77777777" w:rsidR="00B2442D" w:rsidRDefault="008A645F">
      <w:pPr>
        <w:jc w:val="both"/>
        <w:rPr>
          <w:rFonts w:ascii="Arial" w:hAnsi="Arial" w:cs="Arial"/>
          <w:i/>
          <w:lang w:val="es-CO"/>
        </w:rPr>
      </w:pPr>
      <w:r>
        <w:rPr>
          <w:rFonts w:ascii="Arial" w:hAnsi="Arial" w:cs="Arial"/>
          <w:i/>
          <w:lang w:val="es-CO"/>
        </w:rPr>
        <w:t>(Art. 80, Decreto 187 de 1975) (Vigencia del Decreto 187 de 1975. El Decreto 187 de 1975 se aplicará a partir del ejercicio impositivo de 1974 salvo los casos expresamente exceptuados en el mismo o en las normas sustantivas y procedimentales del im</w:t>
      </w:r>
      <w:r>
        <w:rPr>
          <w:rFonts w:ascii="Arial" w:hAnsi="Arial" w:cs="Arial"/>
          <w:i/>
          <w:lang w:val="es-CO"/>
        </w:rPr>
        <w:t>puesto sobre la renta y complementario. (Art. 117, Decreto 187 de 1975))</w:t>
      </w:r>
    </w:p>
    <w:p w14:paraId="411323AF" w14:textId="77777777" w:rsidR="00B2442D" w:rsidRDefault="00B2442D">
      <w:pPr>
        <w:jc w:val="both"/>
        <w:rPr>
          <w:rFonts w:ascii="Arial" w:hAnsi="Arial" w:cs="Arial"/>
          <w:lang w:val="es-CO"/>
        </w:rPr>
      </w:pPr>
    </w:p>
    <w:p w14:paraId="164CB73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Registro contable de las provisiones.</w:t>
      </w:r>
      <w:r>
        <w:rPr>
          <w:rFonts w:ascii="Arial" w:hAnsi="Arial" w:cs="Arial"/>
          <w:lang w:val="es-CO"/>
        </w:rPr>
        <w:t xml:space="preserve"> Las provisiones, individual o general de cartera deberán figurar en el Balance como un menor valor de las cuentas por cobrar; en consecuencia, su valor no podrá formar parte del superávit. </w:t>
      </w:r>
    </w:p>
    <w:p w14:paraId="181E374A" w14:textId="77777777" w:rsidR="00B2442D" w:rsidRDefault="008A645F">
      <w:pPr>
        <w:jc w:val="both"/>
        <w:rPr>
          <w:rFonts w:ascii="Arial" w:hAnsi="Arial" w:cs="Arial"/>
          <w:lang w:val="es-CO"/>
        </w:rPr>
      </w:pPr>
      <w:r>
        <w:rPr>
          <w:rFonts w:ascii="Arial" w:hAnsi="Arial" w:cs="Arial"/>
          <w:lang w:val="es-CO"/>
        </w:rPr>
        <w:t xml:space="preserve"> </w:t>
      </w:r>
    </w:p>
    <w:p w14:paraId="5A3BD817" w14:textId="77777777" w:rsidR="00B2442D" w:rsidRDefault="008A645F">
      <w:pPr>
        <w:jc w:val="both"/>
        <w:rPr>
          <w:rFonts w:ascii="Arial" w:hAnsi="Arial" w:cs="Arial"/>
          <w:lang w:val="es-CO"/>
        </w:rPr>
      </w:pPr>
      <w:r>
        <w:rPr>
          <w:rFonts w:ascii="Arial" w:hAnsi="Arial" w:cs="Arial"/>
          <w:lang w:val="es-CO"/>
        </w:rPr>
        <w:t>Cuando se establezca que una deuda originada en operaciones pro</w:t>
      </w:r>
      <w:r>
        <w:rPr>
          <w:rFonts w:ascii="Arial" w:hAnsi="Arial" w:cs="Arial"/>
          <w:lang w:val="es-CO"/>
        </w:rPr>
        <w:t>ductoras de renta gravable es incobrable o perdida deberá descargarse, abonando su valor a la cuenta por cobrar y cargándolo a la provisión autorizada.</w:t>
      </w:r>
    </w:p>
    <w:p w14:paraId="44DDCBC3" w14:textId="77777777" w:rsidR="00B2442D" w:rsidRDefault="00B2442D">
      <w:pPr>
        <w:jc w:val="both"/>
        <w:rPr>
          <w:rFonts w:ascii="Arial" w:hAnsi="Arial" w:cs="Arial"/>
          <w:i/>
          <w:lang w:val="es-CO"/>
        </w:rPr>
      </w:pPr>
    </w:p>
    <w:p w14:paraId="0BDED6C7" w14:textId="77777777" w:rsidR="00B2442D" w:rsidRDefault="008A645F">
      <w:pPr>
        <w:jc w:val="both"/>
        <w:rPr>
          <w:rFonts w:ascii="Arial" w:hAnsi="Arial" w:cs="Arial"/>
          <w:lang w:val="es-CO"/>
        </w:rPr>
      </w:pPr>
      <w:r>
        <w:rPr>
          <w:rFonts w:ascii="Arial" w:hAnsi="Arial" w:cs="Arial"/>
          <w:i/>
          <w:lang w:val="es-CO"/>
        </w:rPr>
        <w:t xml:space="preserve">(Art. 78, Decreto 187 de 1975) (Vigencia del Decreto 187 de 1975. El Decreto 187 de 1975 se aplicará a </w:t>
      </w:r>
      <w:r>
        <w:rPr>
          <w:rFonts w:ascii="Arial" w:hAnsi="Arial" w:cs="Arial"/>
          <w:i/>
          <w:lang w:val="es-CO"/>
        </w:rPr>
        <w:t>partir del ejercicio impositivo de 1974 salvo los casos expresamente exceptuados en el mismo o en las normas sustantivas y procedimentales del impuesto sobre la renta y complementario. (Art. 117, Decreto 187 de 1975))</w:t>
      </w:r>
    </w:p>
    <w:p w14:paraId="7EE24916" w14:textId="77777777" w:rsidR="00B2442D" w:rsidRDefault="00B2442D">
      <w:pPr>
        <w:jc w:val="both"/>
        <w:rPr>
          <w:rFonts w:ascii="Arial" w:hAnsi="Arial" w:cs="Arial"/>
          <w:i/>
          <w:lang w:val="es-CO"/>
        </w:rPr>
      </w:pPr>
    </w:p>
    <w:p w14:paraId="4A1AC50E"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Provisiones. </w:t>
      </w:r>
      <w:r>
        <w:rPr>
          <w:rFonts w:ascii="Arial" w:hAnsi="Arial" w:cs="Arial"/>
          <w:lang w:val="es-CO"/>
        </w:rPr>
        <w:t>Serán deducibles por los</w:t>
      </w:r>
      <w:r>
        <w:rPr>
          <w:rFonts w:ascii="Arial" w:hAnsi="Arial" w:cs="Arial"/>
          <w:lang w:val="es-CO"/>
        </w:rPr>
        <w:t xml:space="preserve"> establecimientos de crédito originadores de cartera hipotecaria, sujetos a la inspección y vigilancia de la Superintendencia Financiera de Colombia, las provisiones que se constituyan sobre títulos representativos de cartera hipotecaria calificada como de</w:t>
      </w:r>
      <w:r>
        <w:rPr>
          <w:rFonts w:ascii="Arial" w:hAnsi="Arial" w:cs="Arial"/>
          <w:lang w:val="es-CO"/>
        </w:rPr>
        <w:t xml:space="preserve"> dudoso o difícil cobro por la Superintendencia Financiera de Colombia en las categorías C, D y E, que adquieran en desarrollo de procesos de titularización, siempre que el pago de dichos títulos se encuentre subordinado a la existencia de remanentes en la</w:t>
      </w:r>
      <w:r>
        <w:rPr>
          <w:rFonts w:ascii="Arial" w:hAnsi="Arial" w:cs="Arial"/>
          <w:lang w:val="es-CO"/>
        </w:rPr>
        <w:t>s universalidades a partir de las cuales se emiten, y  que la provisión corresponda a aquella parte de la cartera respecto de la cual previamente a la creación de la universalidad no se ha solicitado deducción fiscal y hasta el monto equivalente a la provi</w:t>
      </w:r>
      <w:r>
        <w:rPr>
          <w:rFonts w:ascii="Arial" w:hAnsi="Arial" w:cs="Arial"/>
          <w:lang w:val="es-CO"/>
        </w:rPr>
        <w:t>sión que se constituiría sobre la cartera hipotecaria de  dudoso o difícil cobro antes mencionada y sobre  los bienes recibidos en pago que de ella se deriven, si estos se mantuvieran en cabeza del respectivo establecimiento de crédito.</w:t>
      </w:r>
    </w:p>
    <w:p w14:paraId="000691DE" w14:textId="77777777" w:rsidR="00B2442D" w:rsidRDefault="00B2442D">
      <w:pPr>
        <w:jc w:val="both"/>
        <w:rPr>
          <w:rFonts w:ascii="Arial" w:hAnsi="Arial" w:cs="Arial"/>
          <w:i/>
          <w:lang w:val="es-CO"/>
        </w:rPr>
      </w:pPr>
    </w:p>
    <w:p w14:paraId="171694B8" w14:textId="77777777" w:rsidR="00B2442D" w:rsidRDefault="008A645F">
      <w:pPr>
        <w:jc w:val="both"/>
        <w:rPr>
          <w:rFonts w:ascii="Arial" w:hAnsi="Arial" w:cs="Arial"/>
          <w:i/>
          <w:lang w:val="es-CO"/>
        </w:rPr>
      </w:pPr>
      <w:r>
        <w:rPr>
          <w:rFonts w:ascii="Arial" w:hAnsi="Arial" w:cs="Arial"/>
          <w:i/>
          <w:lang w:val="es-CO"/>
        </w:rPr>
        <w:t>(Art. 1, Decreto 2</w:t>
      </w:r>
      <w:r>
        <w:rPr>
          <w:rFonts w:ascii="Arial" w:hAnsi="Arial" w:cs="Arial"/>
          <w:i/>
          <w:lang w:val="es-CO"/>
        </w:rPr>
        <w:t>000 de 2004)</w:t>
      </w:r>
    </w:p>
    <w:p w14:paraId="58540A9F" w14:textId="77777777" w:rsidR="00B2442D" w:rsidRDefault="00B2442D">
      <w:pPr>
        <w:jc w:val="both"/>
        <w:rPr>
          <w:rFonts w:ascii="Arial" w:hAnsi="Arial" w:cs="Arial"/>
          <w:lang w:val="es-CO"/>
        </w:rPr>
      </w:pPr>
    </w:p>
    <w:p w14:paraId="2B284A9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Reparaciones locativas. </w:t>
      </w:r>
      <w:r>
        <w:rPr>
          <w:rFonts w:ascii="Arial" w:hAnsi="Arial" w:cs="Arial"/>
          <w:lang w:val="es-CO"/>
        </w:rPr>
        <w:t>Para efectos del artículo 26 del Decreto 2053 de 1974 (hoy artículo 69 del Estatuto Tributario), entiéndase por reparaciones locativas aquellas menores, requeridas por el daño derivado del uso de una casa o edificio, c</w:t>
      </w:r>
      <w:r>
        <w:rPr>
          <w:rFonts w:ascii="Arial" w:hAnsi="Arial" w:cs="Arial"/>
          <w:lang w:val="es-CO"/>
        </w:rPr>
        <w:t>onforme a la costumbre o a las menciones hechas en la ley.</w:t>
      </w:r>
    </w:p>
    <w:p w14:paraId="43C2B93B" w14:textId="77777777" w:rsidR="00B2442D" w:rsidRDefault="00B2442D">
      <w:pPr>
        <w:jc w:val="both"/>
        <w:rPr>
          <w:rFonts w:ascii="Arial" w:hAnsi="Arial" w:cs="Arial"/>
          <w:i/>
          <w:lang w:val="es-CO"/>
        </w:rPr>
      </w:pPr>
    </w:p>
    <w:p w14:paraId="2048EA9F" w14:textId="77777777" w:rsidR="00B2442D" w:rsidRDefault="008A645F">
      <w:pPr>
        <w:jc w:val="both"/>
        <w:rPr>
          <w:rFonts w:ascii="Arial" w:hAnsi="Arial" w:cs="Arial"/>
          <w:i/>
          <w:lang w:val="es-CO"/>
        </w:rPr>
      </w:pPr>
      <w:r>
        <w:rPr>
          <w:rFonts w:ascii="Arial" w:hAnsi="Arial" w:cs="Arial"/>
          <w:i/>
          <w:lang w:val="es-CO"/>
        </w:rPr>
        <w:t>(Art. 4, Decreto 400 de 1975)</w:t>
      </w:r>
    </w:p>
    <w:p w14:paraId="285D959A" w14:textId="77777777" w:rsidR="00B2442D" w:rsidRDefault="00B2442D">
      <w:pPr>
        <w:jc w:val="both"/>
        <w:rPr>
          <w:rFonts w:ascii="Arial" w:hAnsi="Arial" w:cs="Arial"/>
          <w:lang w:val="es-CO"/>
        </w:rPr>
      </w:pPr>
    </w:p>
    <w:p w14:paraId="2941057F"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Deducción por cesantías consolidadas. </w:t>
      </w:r>
      <w:r>
        <w:rPr>
          <w:rFonts w:ascii="Arial" w:hAnsi="Arial" w:cs="Arial"/>
          <w:lang w:val="es-CO"/>
        </w:rPr>
        <w:t>Todo contribuyente que solicite deducciones por concepto de cesantías consolidadas deberá llevar una cuenta especial que acredi</w:t>
      </w:r>
      <w:r>
        <w:rPr>
          <w:rFonts w:ascii="Arial" w:hAnsi="Arial" w:cs="Arial"/>
          <w:lang w:val="es-CO"/>
        </w:rPr>
        <w:t>tará con los  abonos en cuenta a cada uno de los trabajadores.</w:t>
      </w:r>
    </w:p>
    <w:p w14:paraId="3E7C96BA" w14:textId="77777777" w:rsidR="00B2442D" w:rsidRDefault="008A645F">
      <w:pPr>
        <w:jc w:val="both"/>
        <w:rPr>
          <w:rFonts w:ascii="Arial" w:hAnsi="Arial" w:cs="Arial"/>
          <w:lang w:val="es-CO"/>
        </w:rPr>
      </w:pPr>
      <w:r>
        <w:rPr>
          <w:rFonts w:ascii="Arial" w:hAnsi="Arial" w:cs="Arial"/>
          <w:lang w:val="es-CO"/>
        </w:rPr>
        <w:t xml:space="preserve">   </w:t>
      </w:r>
    </w:p>
    <w:p w14:paraId="4CAF433F" w14:textId="77777777" w:rsidR="00B2442D" w:rsidRDefault="008A645F">
      <w:pPr>
        <w:jc w:val="both"/>
        <w:rPr>
          <w:rFonts w:ascii="Arial" w:hAnsi="Arial" w:cs="Arial"/>
          <w:lang w:val="es-CO"/>
        </w:rPr>
      </w:pPr>
      <w:r>
        <w:rPr>
          <w:rFonts w:ascii="Arial" w:hAnsi="Arial" w:cs="Arial"/>
          <w:lang w:val="es-CO"/>
        </w:rPr>
        <w:t>Los pagos por concepto de cesantías consolidadas para los cuales se hayan aceptado deducciones en años anteriores al gravable se cargarán a la cuenta del respectivo empleado u obrero a quie</w:t>
      </w:r>
      <w:r>
        <w:rPr>
          <w:rFonts w:ascii="Arial" w:hAnsi="Arial" w:cs="Arial"/>
          <w:lang w:val="es-CO"/>
        </w:rPr>
        <w:t>n se hayan abonado o acreditado.</w:t>
      </w:r>
    </w:p>
    <w:p w14:paraId="7AB3B461" w14:textId="77777777" w:rsidR="00B2442D" w:rsidRDefault="008A645F">
      <w:pPr>
        <w:jc w:val="both"/>
        <w:rPr>
          <w:rFonts w:ascii="Arial" w:hAnsi="Arial" w:cs="Arial"/>
          <w:lang w:val="es-CO"/>
        </w:rPr>
      </w:pPr>
      <w:r>
        <w:rPr>
          <w:rFonts w:ascii="Arial" w:hAnsi="Arial" w:cs="Arial"/>
          <w:lang w:val="es-CO"/>
        </w:rPr>
        <w:t xml:space="preserve">   </w:t>
      </w:r>
    </w:p>
    <w:p w14:paraId="5B1BEE0A" w14:textId="77777777" w:rsidR="00B2442D" w:rsidRDefault="008A645F">
      <w:pPr>
        <w:jc w:val="both"/>
        <w:rPr>
          <w:rFonts w:ascii="Arial" w:hAnsi="Arial" w:cs="Arial"/>
          <w:lang w:val="es-CO"/>
        </w:rPr>
      </w:pPr>
      <w:r>
        <w:rPr>
          <w:rFonts w:ascii="Arial" w:hAnsi="Arial" w:cs="Arial"/>
          <w:lang w:val="es-CO"/>
        </w:rPr>
        <w:t>Cuando el pago fuere superior a la cantidad acreditada, la diferencia será deducible de la renta bruta; cuando el pago de cesantía definitiva fuere inferior a la cantidad acreditada, la diferencia deberá declararse como</w:t>
      </w:r>
      <w:r>
        <w:rPr>
          <w:rFonts w:ascii="Arial" w:hAnsi="Arial" w:cs="Arial"/>
          <w:lang w:val="es-CO"/>
        </w:rPr>
        <w:t xml:space="preserve"> renta líquida.</w:t>
      </w:r>
    </w:p>
    <w:p w14:paraId="5987D8C3" w14:textId="77777777" w:rsidR="00B2442D" w:rsidRDefault="00B2442D">
      <w:pPr>
        <w:jc w:val="both"/>
        <w:rPr>
          <w:rFonts w:ascii="Arial" w:hAnsi="Arial" w:cs="Arial"/>
          <w:i/>
          <w:lang w:val="es-CO"/>
        </w:rPr>
      </w:pPr>
    </w:p>
    <w:p w14:paraId="4B939698" w14:textId="77777777" w:rsidR="00B2442D" w:rsidRDefault="008A645F">
      <w:pPr>
        <w:jc w:val="both"/>
        <w:rPr>
          <w:rFonts w:ascii="Arial" w:hAnsi="Arial" w:cs="Arial"/>
          <w:lang w:val="es-CO"/>
        </w:rPr>
      </w:pPr>
      <w:r>
        <w:rPr>
          <w:rFonts w:ascii="Arial" w:hAnsi="Arial" w:cs="Arial"/>
          <w:i/>
          <w:lang w:val="es-CO"/>
        </w:rPr>
        <w:t>(Art. 6, Decreto 400 de 1975)</w:t>
      </w:r>
    </w:p>
    <w:p w14:paraId="78051251" w14:textId="77777777" w:rsidR="00B2442D" w:rsidRDefault="00B2442D">
      <w:pPr>
        <w:jc w:val="both"/>
        <w:rPr>
          <w:rFonts w:ascii="Arial" w:hAnsi="Arial" w:cs="Arial"/>
          <w:lang w:val="es-CO"/>
        </w:rPr>
      </w:pPr>
    </w:p>
    <w:p w14:paraId="759CAA1A"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Cálculo de las cantidades deducibles para los prestatarios de los bancos comerciales.</w:t>
      </w:r>
      <w:r>
        <w:rPr>
          <w:rFonts w:ascii="Arial" w:hAnsi="Arial" w:cs="Arial"/>
          <w:lang w:val="es-CO"/>
        </w:rPr>
        <w:t xml:space="preserve"> El cómputo de las cantidades deducibles para los prestatarios de las corporaciones de ahorro y vivienda (hoy bancos comerciales) por préstamos de construcción o adquisición de edificaciones, proyectos de renovación urbana y fabricación de elementos de con</w:t>
      </w:r>
      <w:r>
        <w:rPr>
          <w:rFonts w:ascii="Arial" w:hAnsi="Arial" w:cs="Arial"/>
          <w:lang w:val="es-CO"/>
        </w:rPr>
        <w:t>strucción, se calculará como sigue:</w:t>
      </w:r>
    </w:p>
    <w:p w14:paraId="1636B13E" w14:textId="77777777" w:rsidR="00B2442D" w:rsidRDefault="00B2442D">
      <w:pPr>
        <w:jc w:val="both"/>
        <w:rPr>
          <w:rFonts w:ascii="Arial" w:hAnsi="Arial" w:cs="Arial"/>
          <w:lang w:val="es-CO"/>
        </w:rPr>
      </w:pPr>
    </w:p>
    <w:p w14:paraId="4B3A4C7F" w14:textId="77777777" w:rsidR="00B2442D" w:rsidRDefault="008A645F">
      <w:pPr>
        <w:jc w:val="both"/>
        <w:rPr>
          <w:rFonts w:ascii="Arial" w:hAnsi="Arial" w:cs="Arial"/>
          <w:lang w:val="es-CO"/>
        </w:rPr>
      </w:pPr>
      <w:r>
        <w:rPr>
          <w:rFonts w:ascii="Arial" w:hAnsi="Arial" w:cs="Arial"/>
          <w:lang w:val="es-CO"/>
        </w:rPr>
        <w:t>Será deducible el total pagado por todo concepto cuando el saldo de la deuda a 31 de diciembre sea superior al monto original del préstamo, expresados en pesos este monto y dicho saldo.</w:t>
      </w:r>
    </w:p>
    <w:p w14:paraId="16958E17" w14:textId="77777777" w:rsidR="00B2442D" w:rsidRDefault="00B2442D">
      <w:pPr>
        <w:jc w:val="both"/>
        <w:rPr>
          <w:rFonts w:ascii="Arial" w:hAnsi="Arial" w:cs="Arial"/>
          <w:lang w:val="es-CO"/>
        </w:rPr>
      </w:pPr>
    </w:p>
    <w:p w14:paraId="0278B5B1" w14:textId="77777777" w:rsidR="00B2442D" w:rsidRDefault="008A645F">
      <w:pPr>
        <w:jc w:val="both"/>
        <w:rPr>
          <w:rFonts w:ascii="Arial" w:hAnsi="Arial" w:cs="Arial"/>
          <w:lang w:val="es-CO"/>
        </w:rPr>
      </w:pPr>
      <w:r>
        <w:rPr>
          <w:rFonts w:ascii="Arial" w:hAnsi="Arial" w:cs="Arial"/>
          <w:lang w:val="es-CO"/>
        </w:rPr>
        <w:t>Será deducible el total pagado p</w:t>
      </w:r>
      <w:r>
        <w:rPr>
          <w:rFonts w:ascii="Arial" w:hAnsi="Arial" w:cs="Arial"/>
          <w:lang w:val="es-CO"/>
        </w:rPr>
        <w:t xml:space="preserve">or todo concepto, menos la cantidad en que haya disminuido el saldo respecto del monto original del préstamo, cuando el saldo de la deuda a 31 de diciembre sea inferior al monto original del préstamo, a 31 de diciembre anterior no hubiere sido inferior al </w:t>
      </w:r>
      <w:r>
        <w:rPr>
          <w:rFonts w:ascii="Arial" w:hAnsi="Arial" w:cs="Arial"/>
          <w:lang w:val="es-CO"/>
        </w:rPr>
        <w:t>indicado monto original.</w:t>
      </w:r>
    </w:p>
    <w:p w14:paraId="6BDEF6A7" w14:textId="77777777" w:rsidR="00B2442D" w:rsidRDefault="00B2442D">
      <w:pPr>
        <w:jc w:val="both"/>
        <w:rPr>
          <w:rFonts w:ascii="Arial" w:hAnsi="Arial" w:cs="Arial"/>
          <w:lang w:val="es-CO"/>
        </w:rPr>
      </w:pPr>
    </w:p>
    <w:p w14:paraId="63A95D14" w14:textId="77777777" w:rsidR="00B2442D" w:rsidRDefault="008A645F">
      <w:pPr>
        <w:jc w:val="both"/>
        <w:rPr>
          <w:rFonts w:ascii="Arial" w:hAnsi="Arial" w:cs="Arial"/>
          <w:lang w:val="es-CO"/>
        </w:rPr>
      </w:pPr>
      <w:r>
        <w:rPr>
          <w:rFonts w:ascii="Arial" w:hAnsi="Arial" w:cs="Arial"/>
          <w:lang w:val="es-CO"/>
        </w:rPr>
        <w:t>Será deducible el total pagado por todo concepto menos la cantidad en que haya disminuido el saldo durante el año gravable, cuando el saldo de la deuda a 31 de diciembre sea inferior al monto original del préstamo, si a 31 de dici</w:t>
      </w:r>
      <w:r>
        <w:rPr>
          <w:rFonts w:ascii="Arial" w:hAnsi="Arial" w:cs="Arial"/>
          <w:lang w:val="es-CO"/>
        </w:rPr>
        <w:t>embre anterior también hubiere sido inferior al indicado monto original.</w:t>
      </w:r>
    </w:p>
    <w:p w14:paraId="7364B522" w14:textId="77777777" w:rsidR="00B2442D" w:rsidRDefault="00B2442D">
      <w:pPr>
        <w:jc w:val="both"/>
        <w:rPr>
          <w:rFonts w:ascii="Arial" w:hAnsi="Arial" w:cs="Arial"/>
          <w:lang w:val="es-CO"/>
        </w:rPr>
      </w:pPr>
    </w:p>
    <w:p w14:paraId="7985D6A1" w14:textId="77777777" w:rsidR="00B2442D" w:rsidRDefault="008A645F">
      <w:pPr>
        <w:jc w:val="both"/>
        <w:rPr>
          <w:rFonts w:ascii="Arial" w:hAnsi="Arial" w:cs="Arial"/>
          <w:lang w:val="es-CO"/>
        </w:rPr>
      </w:pPr>
      <w:r>
        <w:rPr>
          <w:rFonts w:ascii="Arial" w:hAnsi="Arial" w:cs="Arial"/>
          <w:lang w:val="es-CO"/>
        </w:rPr>
        <w:t>Será deducible el total pagado por todo concepto menos la cantidad en que haya disminuido el saldo durante el mismo año, cuando el préstamo se haya obtenido durante el año gravable y</w:t>
      </w:r>
      <w:r>
        <w:rPr>
          <w:rFonts w:ascii="Arial" w:hAnsi="Arial" w:cs="Arial"/>
          <w:lang w:val="es-CO"/>
        </w:rPr>
        <w:t xml:space="preserve"> su monto original hubiere disminuido a 31 de diciembre.</w:t>
      </w:r>
    </w:p>
    <w:p w14:paraId="1E87D34E" w14:textId="77777777" w:rsidR="00B2442D" w:rsidRDefault="00B2442D">
      <w:pPr>
        <w:jc w:val="both"/>
        <w:rPr>
          <w:rFonts w:ascii="Arial" w:hAnsi="Arial" w:cs="Arial"/>
          <w:i/>
          <w:lang w:val="es-CO"/>
        </w:rPr>
      </w:pPr>
    </w:p>
    <w:p w14:paraId="5BC211B4" w14:textId="77777777" w:rsidR="00B2442D" w:rsidRDefault="008A645F">
      <w:pPr>
        <w:jc w:val="both"/>
        <w:rPr>
          <w:rFonts w:ascii="Arial" w:hAnsi="Arial" w:cs="Arial"/>
          <w:i/>
          <w:lang w:val="es-CO"/>
        </w:rPr>
      </w:pPr>
      <w:r>
        <w:rPr>
          <w:rFonts w:ascii="Arial" w:hAnsi="Arial" w:cs="Arial"/>
          <w:i/>
          <w:lang w:val="es-CO"/>
        </w:rPr>
        <w:t>(Art. 2, Decreto 331 de 1976)</w:t>
      </w:r>
    </w:p>
    <w:p w14:paraId="3F2E1356" w14:textId="77777777" w:rsidR="00B2442D" w:rsidRDefault="00B2442D">
      <w:pPr>
        <w:jc w:val="both"/>
        <w:rPr>
          <w:rFonts w:ascii="Arial" w:hAnsi="Arial" w:cs="Arial"/>
          <w:i/>
          <w:lang w:val="es-CO"/>
        </w:rPr>
      </w:pPr>
    </w:p>
    <w:p w14:paraId="65A8A82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Tratamiento de la suma deducible calculada. </w:t>
      </w:r>
      <w:r>
        <w:rPr>
          <w:rFonts w:ascii="Arial" w:hAnsi="Arial" w:cs="Arial"/>
          <w:lang w:val="es-CO"/>
        </w:rPr>
        <w:t xml:space="preserve">De acuerdo con las normas generales del Decreto 2053 de 1974 (hoy compiladas en el Estatuto Tributario), la suma deducible </w:t>
      </w:r>
      <w:r>
        <w:rPr>
          <w:rFonts w:ascii="Arial" w:hAnsi="Arial" w:cs="Arial"/>
          <w:lang w:val="es-CO"/>
        </w:rPr>
        <w:t>calculada como se establece en el artículo 1.2.1.18.29 del presente Decreto podrá llevarse a mayor costo del bien.</w:t>
      </w:r>
    </w:p>
    <w:p w14:paraId="1246C452" w14:textId="77777777" w:rsidR="00B2442D" w:rsidRDefault="00B2442D">
      <w:pPr>
        <w:jc w:val="both"/>
        <w:rPr>
          <w:rFonts w:ascii="Arial" w:hAnsi="Arial" w:cs="Arial"/>
          <w:i/>
          <w:lang w:val="es-CO"/>
        </w:rPr>
      </w:pPr>
    </w:p>
    <w:p w14:paraId="3FE63875" w14:textId="77777777" w:rsidR="00B2442D" w:rsidRDefault="008A645F">
      <w:pPr>
        <w:jc w:val="both"/>
        <w:rPr>
          <w:rFonts w:ascii="Arial" w:hAnsi="Arial" w:cs="Arial"/>
          <w:i/>
          <w:lang w:val="es-CO"/>
        </w:rPr>
      </w:pPr>
      <w:r>
        <w:rPr>
          <w:rFonts w:ascii="Arial" w:hAnsi="Arial" w:cs="Arial"/>
          <w:i/>
          <w:lang w:val="es-CO"/>
        </w:rPr>
        <w:t>(Art. 4, Decreto 331 de 1976)</w:t>
      </w:r>
    </w:p>
    <w:p w14:paraId="7E10C2F5" w14:textId="77777777" w:rsidR="00B2442D" w:rsidRDefault="00B2442D">
      <w:pPr>
        <w:jc w:val="both"/>
        <w:rPr>
          <w:rFonts w:ascii="Arial" w:hAnsi="Arial" w:cs="Arial"/>
          <w:lang w:val="es-CO"/>
        </w:rPr>
      </w:pPr>
    </w:p>
    <w:p w14:paraId="641424C4"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Envío de información. </w:t>
      </w:r>
      <w:r>
        <w:rPr>
          <w:rFonts w:ascii="Arial" w:hAnsi="Arial" w:cs="Arial"/>
          <w:lang w:val="es-CO"/>
        </w:rPr>
        <w:t>Cualquiera que sea el procedimiento escogido por el contribuyente para solicitar la ded</w:t>
      </w:r>
      <w:r>
        <w:rPr>
          <w:rFonts w:ascii="Arial" w:hAnsi="Arial" w:cs="Arial"/>
          <w:lang w:val="es-CO"/>
        </w:rPr>
        <w:t>ucción contemplada por el artículo 7º del Decreto 2348 de 1974 (hoy artículo 113 del Estatuto Tributario), dicho contribuyente enviará a la respectiva Superintendencia el resultado obtenido, con indicación del procedimiento utilizado y los demás requisitos</w:t>
      </w:r>
      <w:r>
        <w:rPr>
          <w:rFonts w:ascii="Arial" w:hAnsi="Arial" w:cs="Arial"/>
          <w:lang w:val="es-CO"/>
        </w:rPr>
        <w:t xml:space="preserve"> exigidos por la Superintendencia correspondiente, dentro del plazo que tiene para presentar o corregir la declaración de renta.</w:t>
      </w:r>
    </w:p>
    <w:p w14:paraId="73D36577" w14:textId="77777777" w:rsidR="00B2442D" w:rsidRDefault="00B2442D">
      <w:pPr>
        <w:jc w:val="both"/>
        <w:rPr>
          <w:rFonts w:ascii="Arial" w:hAnsi="Arial" w:cs="Arial"/>
          <w:lang w:val="es-CO"/>
        </w:rPr>
      </w:pPr>
    </w:p>
    <w:p w14:paraId="0FE88683" w14:textId="77777777" w:rsidR="00B2442D" w:rsidRDefault="008A645F">
      <w:pPr>
        <w:jc w:val="both"/>
        <w:rPr>
          <w:rFonts w:ascii="Arial" w:hAnsi="Arial" w:cs="Arial"/>
          <w:lang w:val="es-CO"/>
        </w:rPr>
      </w:pPr>
      <w:r>
        <w:rPr>
          <w:rFonts w:ascii="Arial" w:hAnsi="Arial" w:cs="Arial"/>
          <w:lang w:val="es-CO"/>
        </w:rPr>
        <w:t>La Superintendencia expedirá al contribuyente un certificado en el cual conste el resultado del cálculo según le fue presentad</w:t>
      </w:r>
      <w:r>
        <w:rPr>
          <w:rFonts w:ascii="Arial" w:hAnsi="Arial" w:cs="Arial"/>
          <w:lang w:val="es-CO"/>
        </w:rPr>
        <w:t>o, lo revisará posteriormente e informará de oficio a la Dirección Seccional el valor aceptado, dentro de los seis (6) meses siguientes a la fecha en la cual hubiere recibido del contribuyente el cálculo actuarial y demás elementos exigidos.</w:t>
      </w:r>
    </w:p>
    <w:p w14:paraId="667D01DD" w14:textId="77777777" w:rsidR="00B2442D" w:rsidRDefault="00B2442D">
      <w:pPr>
        <w:jc w:val="both"/>
        <w:rPr>
          <w:rFonts w:ascii="Arial" w:hAnsi="Arial" w:cs="Arial"/>
          <w:i/>
          <w:lang w:val="es-CO"/>
        </w:rPr>
      </w:pPr>
    </w:p>
    <w:p w14:paraId="64BD76EA" w14:textId="77777777" w:rsidR="00B2442D" w:rsidRDefault="008A645F">
      <w:pPr>
        <w:jc w:val="both"/>
        <w:rPr>
          <w:rFonts w:ascii="Arial" w:hAnsi="Arial" w:cs="Arial"/>
          <w:i/>
          <w:lang w:val="es-CO"/>
        </w:rPr>
      </w:pPr>
      <w:r>
        <w:rPr>
          <w:rFonts w:ascii="Arial" w:hAnsi="Arial" w:cs="Arial"/>
          <w:i/>
          <w:lang w:val="es-CO"/>
        </w:rPr>
        <w:t>(Art. 9, Decr</w:t>
      </w:r>
      <w:r>
        <w:rPr>
          <w:rFonts w:ascii="Arial" w:hAnsi="Arial" w:cs="Arial"/>
          <w:i/>
          <w:lang w:val="es-CO"/>
        </w:rPr>
        <w:t>eto 331 de 1976)</w:t>
      </w:r>
    </w:p>
    <w:p w14:paraId="5387E3F8" w14:textId="77777777" w:rsidR="00B2442D" w:rsidRDefault="00B2442D">
      <w:pPr>
        <w:jc w:val="both"/>
        <w:rPr>
          <w:rFonts w:ascii="Arial" w:hAnsi="Arial" w:cs="Arial"/>
          <w:lang w:val="es-CO"/>
        </w:rPr>
      </w:pPr>
    </w:p>
    <w:p w14:paraId="1F418FB1"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Vigilancia de la Superintendencia de Sociedades.</w:t>
      </w:r>
      <w:r>
        <w:rPr>
          <w:rFonts w:ascii="Arial" w:hAnsi="Arial" w:cs="Arial"/>
          <w:lang w:val="es-CO"/>
        </w:rPr>
        <w:t xml:space="preserve"> Para los efectos del artículo 52 del Decreto 2053 de 1974 (hoy artículo 112 del Estatuto Tributario), la vigilancia de la Superintendencia de Sociedades respecto de las empresas industriale</w:t>
      </w:r>
      <w:r>
        <w:rPr>
          <w:rFonts w:ascii="Arial" w:hAnsi="Arial" w:cs="Arial"/>
          <w:lang w:val="es-CO"/>
        </w:rPr>
        <w:t>s y comerciales del Estado y de las Sociedades Anónimas, se entiende cumplida con la aprobación que imparta al cálculo actuarial presentado por la respectiva empresa.</w:t>
      </w:r>
    </w:p>
    <w:p w14:paraId="313230AD" w14:textId="77777777" w:rsidR="00B2442D" w:rsidRDefault="00B2442D">
      <w:pPr>
        <w:jc w:val="both"/>
        <w:rPr>
          <w:rFonts w:ascii="Arial" w:hAnsi="Arial" w:cs="Arial"/>
          <w:i/>
          <w:lang w:val="es-CO"/>
        </w:rPr>
      </w:pPr>
    </w:p>
    <w:p w14:paraId="6D82193D" w14:textId="77777777" w:rsidR="00B2442D" w:rsidRDefault="008A645F">
      <w:pPr>
        <w:jc w:val="both"/>
        <w:rPr>
          <w:rFonts w:ascii="Arial" w:hAnsi="Arial" w:cs="Arial"/>
          <w:i/>
          <w:lang w:val="es-CO"/>
        </w:rPr>
      </w:pPr>
      <w:r>
        <w:rPr>
          <w:rFonts w:ascii="Arial" w:hAnsi="Arial" w:cs="Arial"/>
          <w:i/>
          <w:lang w:val="es-CO"/>
        </w:rPr>
        <w:t>(Art. 1, Decreto 2264 de 1976, modificado por el Art. 4 del Decreto 3507 de 1981)</w:t>
      </w:r>
    </w:p>
    <w:p w14:paraId="330F226F" w14:textId="77777777" w:rsidR="00B2442D" w:rsidRDefault="00B2442D">
      <w:pPr>
        <w:jc w:val="both"/>
        <w:rPr>
          <w:rFonts w:ascii="Arial" w:hAnsi="Arial" w:cs="Arial"/>
          <w:lang w:val="es-CO"/>
        </w:rPr>
      </w:pPr>
    </w:p>
    <w:p w14:paraId="66A8DE1B"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Cuota anual deducible.</w:t>
      </w:r>
      <w:r>
        <w:rPr>
          <w:rFonts w:ascii="Arial" w:hAnsi="Arial" w:cs="Arial"/>
          <w:lang w:val="es-CO"/>
        </w:rPr>
        <w:t xml:space="preserve"> Para la aplicación del artículo 7 del Decreto 2348 de 1974, (hoy artículo 113 del Estatuto Tributario), las empresas industriales y comerciales del Estado observarán las siguientes reglas, cuando declaren por primera vez:</w:t>
      </w:r>
    </w:p>
    <w:p w14:paraId="775D8D38" w14:textId="77777777" w:rsidR="00B2442D" w:rsidRDefault="00B2442D">
      <w:pPr>
        <w:jc w:val="both"/>
        <w:rPr>
          <w:rFonts w:ascii="Arial" w:hAnsi="Arial" w:cs="Arial"/>
          <w:lang w:val="es-CO"/>
        </w:rPr>
      </w:pPr>
    </w:p>
    <w:p w14:paraId="5AFF8E42" w14:textId="77777777" w:rsidR="00B2442D" w:rsidRDefault="008A645F">
      <w:pPr>
        <w:pStyle w:val="Prrafodelista"/>
        <w:numPr>
          <w:ilvl w:val="0"/>
          <w:numId w:val="1"/>
        </w:numPr>
        <w:ind w:left="0" w:firstLine="0"/>
        <w:jc w:val="both"/>
        <w:rPr>
          <w:rFonts w:ascii="Arial" w:hAnsi="Arial" w:cs="Arial"/>
          <w:lang w:val="es-CO"/>
        </w:rPr>
      </w:pPr>
      <w:r>
        <w:rPr>
          <w:rFonts w:ascii="Arial" w:hAnsi="Arial" w:cs="Arial"/>
          <w:lang w:val="es-CO"/>
        </w:rPr>
        <w:t>El valor d</w:t>
      </w:r>
      <w:r>
        <w:rPr>
          <w:rFonts w:ascii="Arial" w:hAnsi="Arial" w:cs="Arial"/>
          <w:lang w:val="es-CO"/>
        </w:rPr>
        <w:t>e las provisiones contabilizadas a 31 de diciembre del año inmediatamente anterior, se tomará como la deducción acumulada a que se refiere el ordinal 1º del artículo 7º. del Decreto citado anteriormente (hoy ordinal 1°artículo 113 del Estatuto Tributario).</w:t>
      </w:r>
    </w:p>
    <w:p w14:paraId="19016FFE" w14:textId="77777777" w:rsidR="00B2442D" w:rsidRDefault="00B2442D">
      <w:pPr>
        <w:jc w:val="both"/>
        <w:rPr>
          <w:rFonts w:ascii="Arial" w:hAnsi="Arial" w:cs="Arial"/>
          <w:lang w:val="es-CO"/>
        </w:rPr>
      </w:pPr>
    </w:p>
    <w:p w14:paraId="673219F8" w14:textId="77777777" w:rsidR="00B2442D" w:rsidRDefault="008A645F">
      <w:pPr>
        <w:pStyle w:val="Prrafodelista"/>
        <w:numPr>
          <w:ilvl w:val="0"/>
          <w:numId w:val="1"/>
        </w:numPr>
        <w:ind w:left="0" w:firstLine="0"/>
        <w:jc w:val="both"/>
        <w:rPr>
          <w:rFonts w:ascii="Arial" w:hAnsi="Arial" w:cs="Arial"/>
          <w:lang w:val="es-CO"/>
        </w:rPr>
      </w:pPr>
      <w:r>
        <w:rPr>
          <w:rFonts w:ascii="Arial" w:hAnsi="Arial" w:cs="Arial"/>
          <w:lang w:val="es-CO"/>
        </w:rPr>
        <w:t>Si por el año inmediatamente anterior no se hubiere efectuado cálculo actuarial, se tomará en cuenta el último realizado.</w:t>
      </w:r>
    </w:p>
    <w:p w14:paraId="081B2FDD" w14:textId="77777777" w:rsidR="00B2442D" w:rsidRDefault="00B2442D">
      <w:pPr>
        <w:pStyle w:val="Prrafodelista"/>
        <w:ind w:left="0"/>
        <w:rPr>
          <w:rFonts w:ascii="Arial" w:hAnsi="Arial" w:cs="Arial"/>
          <w:lang w:val="es-CO"/>
        </w:rPr>
      </w:pPr>
    </w:p>
    <w:p w14:paraId="1607F2ED" w14:textId="77777777" w:rsidR="00B2442D" w:rsidRDefault="008A645F">
      <w:pPr>
        <w:jc w:val="both"/>
        <w:rPr>
          <w:rFonts w:ascii="Arial" w:hAnsi="Arial" w:cs="Arial"/>
          <w:lang w:val="es-CO"/>
        </w:rPr>
      </w:pPr>
      <w:r>
        <w:rPr>
          <w:rFonts w:ascii="Arial" w:hAnsi="Arial" w:cs="Arial"/>
          <w:lang w:val="es-CO"/>
        </w:rPr>
        <w:t>Las previsiones anteriores se entienden sin perjuicio de los límites establecidos en el parágrafo 1º del artículo 7º del Decreto 23</w:t>
      </w:r>
      <w:r>
        <w:rPr>
          <w:rFonts w:ascii="Arial" w:hAnsi="Arial" w:cs="Arial"/>
          <w:lang w:val="es-CO"/>
        </w:rPr>
        <w:t>48 de 1974 (hoy artículo 113 del Estatuto Tributario).</w:t>
      </w:r>
    </w:p>
    <w:p w14:paraId="49FF2612" w14:textId="77777777" w:rsidR="00B2442D" w:rsidRDefault="00B2442D">
      <w:pPr>
        <w:jc w:val="both"/>
        <w:rPr>
          <w:rFonts w:ascii="Arial" w:hAnsi="Arial" w:cs="Arial"/>
          <w:i/>
          <w:lang w:val="es-CO"/>
        </w:rPr>
      </w:pPr>
    </w:p>
    <w:p w14:paraId="5C644E50" w14:textId="77777777" w:rsidR="00B2442D" w:rsidRDefault="008A645F">
      <w:pPr>
        <w:jc w:val="both"/>
        <w:rPr>
          <w:rFonts w:ascii="Arial" w:hAnsi="Arial" w:cs="Arial"/>
          <w:i/>
          <w:lang w:val="es-CO"/>
        </w:rPr>
      </w:pPr>
      <w:r>
        <w:rPr>
          <w:rFonts w:ascii="Arial" w:hAnsi="Arial" w:cs="Arial"/>
          <w:i/>
          <w:lang w:val="es-CO"/>
        </w:rPr>
        <w:t>(Art. 2, Decreto 2264 de 1976)</w:t>
      </w:r>
    </w:p>
    <w:p w14:paraId="0F1D41BC" w14:textId="77777777" w:rsidR="00B2442D" w:rsidRDefault="00B2442D">
      <w:pPr>
        <w:jc w:val="both"/>
        <w:rPr>
          <w:rFonts w:ascii="Arial" w:hAnsi="Arial" w:cs="Arial"/>
          <w:lang w:val="es-CO"/>
        </w:rPr>
      </w:pPr>
    </w:p>
    <w:p w14:paraId="706F87A2"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Aplicación de los artículos 1.2.1.18.32 y 1.2.1.18.33 del presente Decreto.</w:t>
      </w:r>
      <w:r>
        <w:rPr>
          <w:rFonts w:ascii="Arial" w:hAnsi="Arial" w:cs="Arial"/>
          <w:lang w:val="es-CO"/>
        </w:rPr>
        <w:t xml:space="preserve"> Lo previsto en los artículos 1.2.1.18.32 y 1.2.1.18.33 del presente Decreto se aplica a los años gravables de 1974 en adelante.</w:t>
      </w:r>
    </w:p>
    <w:p w14:paraId="01B356DA" w14:textId="77777777" w:rsidR="00B2442D" w:rsidRDefault="00B2442D">
      <w:pPr>
        <w:jc w:val="both"/>
        <w:rPr>
          <w:rFonts w:ascii="Arial" w:hAnsi="Arial" w:cs="Arial"/>
          <w:i/>
          <w:lang w:val="es-CO"/>
        </w:rPr>
      </w:pPr>
    </w:p>
    <w:p w14:paraId="5817AC8E" w14:textId="77777777" w:rsidR="00B2442D" w:rsidRDefault="008A645F">
      <w:pPr>
        <w:jc w:val="both"/>
        <w:rPr>
          <w:rFonts w:ascii="Arial" w:hAnsi="Arial" w:cs="Arial"/>
          <w:i/>
          <w:lang w:val="es-CO"/>
        </w:rPr>
      </w:pPr>
      <w:r>
        <w:rPr>
          <w:rFonts w:ascii="Arial" w:hAnsi="Arial" w:cs="Arial"/>
          <w:i/>
          <w:lang w:val="es-CO"/>
        </w:rPr>
        <w:t>(Art. 3, Decreto 2264 de 1976)</w:t>
      </w:r>
    </w:p>
    <w:p w14:paraId="1F43A8BE" w14:textId="77777777" w:rsidR="00B2442D" w:rsidRDefault="00B2442D">
      <w:pPr>
        <w:jc w:val="both"/>
        <w:rPr>
          <w:rFonts w:ascii="Arial" w:hAnsi="Arial" w:cs="Arial"/>
          <w:lang w:val="es-CO"/>
        </w:rPr>
      </w:pPr>
    </w:p>
    <w:p w14:paraId="01AD53C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No deducibilidad de pagos a favor de vinculados económicos no contribuyentes del impuesto sobr</w:t>
      </w:r>
      <w:r>
        <w:rPr>
          <w:rFonts w:ascii="Arial" w:hAnsi="Arial" w:cs="Arial"/>
          <w:b/>
          <w:i/>
          <w:lang w:val="es-CO"/>
        </w:rPr>
        <w:t>e la renta.</w:t>
      </w:r>
      <w:r>
        <w:rPr>
          <w:rFonts w:ascii="Arial" w:hAnsi="Arial" w:cs="Arial"/>
          <w:lang w:val="es-CO"/>
        </w:rPr>
        <w:t xml:space="preserve"> De conformidad con lo dispuesto en el artículo 43 de la Ley 75 de 1986 (hoy artículo 85 del Estatuto Tributario), no serán deducibles los costos y gastos de los contribuyentes, cuando correspondan a pagos o abonos en cuenta a favor de sus vincu</w:t>
      </w:r>
      <w:r>
        <w:rPr>
          <w:rFonts w:ascii="Arial" w:hAnsi="Arial" w:cs="Arial"/>
          <w:lang w:val="es-CO"/>
        </w:rPr>
        <w:t>lados económicos que tengan el carácter de no contribuyentes del impuesto sobre la renta.</w:t>
      </w:r>
    </w:p>
    <w:p w14:paraId="71728E3E" w14:textId="77777777" w:rsidR="00B2442D" w:rsidRDefault="00B2442D">
      <w:pPr>
        <w:jc w:val="both"/>
        <w:rPr>
          <w:rFonts w:ascii="Arial" w:hAnsi="Arial" w:cs="Arial"/>
          <w:lang w:val="es-CO"/>
        </w:rPr>
      </w:pPr>
    </w:p>
    <w:p w14:paraId="52C7C1C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pago o abono en cuenta corresponda a intereses y demás gastos financieros y sea efectuado por contribuyentes vigilados por la Superintendencia F</w:t>
      </w:r>
      <w:r>
        <w:rPr>
          <w:rFonts w:ascii="Arial" w:hAnsi="Arial" w:cs="Arial"/>
          <w:lang w:val="es-CO"/>
        </w:rPr>
        <w:t>inanciera de Colombia, lo dispuesto en el inciso 1° de este artículo se aplicará solamente cuando los rendimientos pagados excedan de la tasa máxima de colocación permitida por las normas pertinentes.</w:t>
      </w:r>
    </w:p>
    <w:p w14:paraId="5461FDBB" w14:textId="77777777" w:rsidR="00B2442D" w:rsidRDefault="00B2442D">
      <w:pPr>
        <w:jc w:val="both"/>
        <w:rPr>
          <w:rFonts w:ascii="Arial" w:hAnsi="Arial" w:cs="Arial"/>
          <w:lang w:val="es-CO"/>
        </w:rPr>
      </w:pPr>
    </w:p>
    <w:p w14:paraId="4E4FD43C" w14:textId="77777777" w:rsidR="00B2442D" w:rsidRDefault="008A645F">
      <w:pPr>
        <w:jc w:val="both"/>
        <w:rPr>
          <w:rFonts w:ascii="Arial" w:hAnsi="Arial" w:cs="Arial"/>
          <w:lang w:val="es-CO"/>
        </w:rPr>
      </w:pPr>
      <w:r>
        <w:rPr>
          <w:rFonts w:ascii="Arial" w:hAnsi="Arial" w:cs="Arial"/>
          <w:i/>
          <w:lang w:val="es-CO"/>
        </w:rPr>
        <w:t>(Art. 6, Decreto 1354 de 1987. Inciso 2 declarado nulo</w:t>
      </w:r>
      <w:r>
        <w:rPr>
          <w:rFonts w:ascii="Arial" w:hAnsi="Arial" w:cs="Arial"/>
          <w:i/>
          <w:lang w:val="es-CO"/>
        </w:rPr>
        <w:t xml:space="preserve"> por el Consejo de Estado, expediente 1960 de 1990. Inciso 3 tiene decaimiento por evolución normativa (Artículo 27 de la Ley 223 de 1995))</w:t>
      </w:r>
    </w:p>
    <w:p w14:paraId="678DF1D0" w14:textId="77777777" w:rsidR="00B2442D" w:rsidRDefault="00B2442D">
      <w:pPr>
        <w:jc w:val="both"/>
        <w:rPr>
          <w:rFonts w:ascii="Arial" w:hAnsi="Arial" w:cs="Arial"/>
          <w:lang w:val="es-CO"/>
        </w:rPr>
      </w:pPr>
    </w:p>
    <w:p w14:paraId="4B82A79B"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Concepto de crédito a corto plazo.</w:t>
      </w:r>
      <w:r>
        <w:rPr>
          <w:rFonts w:ascii="Arial" w:hAnsi="Arial" w:cs="Arial"/>
          <w:lang w:val="es-CO"/>
        </w:rPr>
        <w:t xml:space="preserve"> Para efectos del artículo 124-1 del Estatuto Tributario, se entiende por crédito</w:t>
      </w:r>
      <w:r>
        <w:rPr>
          <w:rFonts w:ascii="Arial" w:hAnsi="Arial" w:cs="Arial"/>
          <w:lang w:val="es-CO"/>
        </w:rPr>
        <w:t>s a corto plazo, originados en la importación de materias primas y mercancías, los exigibles en un término máximo de doce (12) meses.</w:t>
      </w:r>
    </w:p>
    <w:p w14:paraId="6E64C67D" w14:textId="77777777" w:rsidR="00B2442D" w:rsidRDefault="00B2442D">
      <w:pPr>
        <w:jc w:val="both"/>
        <w:rPr>
          <w:rFonts w:ascii="Arial" w:hAnsi="Arial" w:cs="Arial"/>
          <w:i/>
          <w:lang w:val="es-CO"/>
        </w:rPr>
      </w:pPr>
    </w:p>
    <w:p w14:paraId="2B1F99CE" w14:textId="77777777" w:rsidR="00B2442D" w:rsidRDefault="008A645F">
      <w:pPr>
        <w:jc w:val="both"/>
        <w:rPr>
          <w:rFonts w:ascii="Arial" w:hAnsi="Arial" w:cs="Arial"/>
          <w:i/>
          <w:lang w:val="es-CO"/>
        </w:rPr>
      </w:pPr>
      <w:r>
        <w:rPr>
          <w:rFonts w:ascii="Arial" w:hAnsi="Arial" w:cs="Arial"/>
          <w:i/>
          <w:lang w:val="es-CO"/>
        </w:rPr>
        <w:t>(Art. 32, Decreto 0836 de 1991)</w:t>
      </w:r>
    </w:p>
    <w:p w14:paraId="765C38FE" w14:textId="77777777" w:rsidR="00B2442D" w:rsidRDefault="00B2442D">
      <w:pPr>
        <w:jc w:val="both"/>
        <w:rPr>
          <w:rFonts w:ascii="Arial" w:hAnsi="Arial" w:cs="Arial"/>
          <w:b/>
          <w:lang w:val="es-CO"/>
        </w:rPr>
      </w:pPr>
    </w:p>
    <w:p w14:paraId="4B035B37"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Deducción de intereses corrientes y moratorios.</w:t>
      </w:r>
      <w:r>
        <w:rPr>
          <w:rFonts w:ascii="Arial" w:hAnsi="Arial" w:cs="Arial"/>
          <w:lang w:val="es-CO"/>
        </w:rPr>
        <w:t xml:space="preserve"> De conformidad con lo dispuesto en el artículo 38 de la Ley 488 de 1998 y en el artículo 117 del Estatuto Tributario, los gastos de financiación ordinaria, extraordinaria o moratoria serán deducibles siempre y cuando tengan relación de causalidad con la a</w:t>
      </w:r>
      <w:r>
        <w:rPr>
          <w:rFonts w:ascii="Arial" w:hAnsi="Arial" w:cs="Arial"/>
          <w:lang w:val="es-CO"/>
        </w:rPr>
        <w:t>ctividad productora de renta.</w:t>
      </w:r>
    </w:p>
    <w:p w14:paraId="5ACF1908" w14:textId="77777777" w:rsidR="00B2442D" w:rsidRDefault="008A645F">
      <w:pPr>
        <w:jc w:val="both"/>
        <w:rPr>
          <w:rFonts w:ascii="Arial" w:hAnsi="Arial" w:cs="Arial"/>
          <w:lang w:val="es-CO"/>
        </w:rPr>
      </w:pPr>
      <w:r>
        <w:rPr>
          <w:rFonts w:ascii="Arial" w:hAnsi="Arial" w:cs="Arial"/>
          <w:lang w:val="es-CO"/>
        </w:rPr>
        <w:tab/>
      </w:r>
      <w:r>
        <w:rPr>
          <w:rFonts w:ascii="Arial" w:hAnsi="Arial" w:cs="Arial"/>
          <w:lang w:val="es-CO"/>
        </w:rPr>
        <w:tab/>
      </w:r>
    </w:p>
    <w:p w14:paraId="56002FC1" w14:textId="77777777" w:rsidR="00B2442D" w:rsidRDefault="008A645F">
      <w:pPr>
        <w:jc w:val="both"/>
        <w:rPr>
          <w:rFonts w:ascii="Arial" w:hAnsi="Arial" w:cs="Arial"/>
          <w:lang w:val="es-CO"/>
        </w:rPr>
      </w:pPr>
      <w:r>
        <w:rPr>
          <w:rFonts w:ascii="Arial" w:hAnsi="Arial" w:cs="Arial"/>
          <w:lang w:val="es-CO"/>
        </w:rPr>
        <w:t>De acuerdo con lo establecido por el artículo 38 de la Ley 488 de 1998 y por el  artículo 115 del Estatuto Tributario, no son deducibles los intereses corrientes o moratorios pagados por impuestos, tasas, contribuciones, fi</w:t>
      </w:r>
      <w:r>
        <w:rPr>
          <w:rFonts w:ascii="Arial" w:hAnsi="Arial" w:cs="Arial"/>
          <w:lang w:val="es-CO"/>
        </w:rPr>
        <w:t>scales o parafiscales.</w:t>
      </w:r>
    </w:p>
    <w:p w14:paraId="6034F5DF" w14:textId="77777777" w:rsidR="00B2442D" w:rsidRDefault="00B2442D">
      <w:pPr>
        <w:jc w:val="both"/>
        <w:rPr>
          <w:rFonts w:ascii="Arial" w:hAnsi="Arial" w:cs="Arial"/>
          <w:lang w:val="es-CO"/>
        </w:rPr>
      </w:pPr>
    </w:p>
    <w:p w14:paraId="6AC96864" w14:textId="77777777" w:rsidR="00B2442D" w:rsidRDefault="008A645F">
      <w:pPr>
        <w:jc w:val="both"/>
        <w:rPr>
          <w:rFonts w:ascii="Arial" w:hAnsi="Arial" w:cs="Arial"/>
          <w:lang w:val="es-CO"/>
        </w:rPr>
      </w:pPr>
      <w:r>
        <w:rPr>
          <w:rFonts w:ascii="Arial" w:hAnsi="Arial" w:cs="Arial"/>
          <w:lang w:val="es-CO"/>
        </w:rPr>
        <w:t>Tampoco es deducible la contribución establecida en los Decretos Legislativos de la Emergencia Económica de 1998, ni los intereses que se originen por su pago extemporáneo.</w:t>
      </w:r>
    </w:p>
    <w:p w14:paraId="4BB6B23F" w14:textId="77777777" w:rsidR="00B2442D" w:rsidRDefault="00B2442D">
      <w:pPr>
        <w:jc w:val="both"/>
        <w:rPr>
          <w:rFonts w:ascii="Arial" w:hAnsi="Arial" w:cs="Arial"/>
          <w:lang w:val="es-CO"/>
        </w:rPr>
      </w:pPr>
    </w:p>
    <w:p w14:paraId="3AE106B6" w14:textId="77777777" w:rsidR="00B2442D" w:rsidRDefault="008A645F">
      <w:pPr>
        <w:jc w:val="both"/>
        <w:rPr>
          <w:rFonts w:ascii="Arial" w:hAnsi="Arial" w:cs="Arial"/>
          <w:lang w:val="es-CO"/>
        </w:rPr>
      </w:pPr>
      <w:r>
        <w:rPr>
          <w:rFonts w:ascii="Arial" w:hAnsi="Arial" w:cs="Arial"/>
          <w:i/>
          <w:lang w:val="es-CO"/>
        </w:rPr>
        <w:t>(Art. 30, Decreto 433 de 1999)</w:t>
      </w:r>
    </w:p>
    <w:p w14:paraId="65CB3634" w14:textId="77777777" w:rsidR="00B2442D" w:rsidRDefault="00B2442D">
      <w:pPr>
        <w:jc w:val="both"/>
        <w:rPr>
          <w:rFonts w:ascii="Arial" w:hAnsi="Arial" w:cs="Arial"/>
          <w:lang w:val="es-CO"/>
        </w:rPr>
      </w:pPr>
    </w:p>
    <w:p w14:paraId="3FEB4AA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Pagos por concepto de alim</w:t>
      </w:r>
      <w:r>
        <w:rPr>
          <w:rFonts w:ascii="Arial" w:hAnsi="Arial" w:cs="Arial"/>
          <w:b/>
          <w:i/>
          <w:lang w:val="es-CO"/>
        </w:rPr>
        <w:t>entación.</w:t>
      </w:r>
      <w:r>
        <w:rPr>
          <w:rFonts w:ascii="Arial" w:hAnsi="Arial" w:cs="Arial"/>
          <w:lang w:val="es-CO"/>
        </w:rPr>
        <w:t xml:space="preserve"> Para que procedan los beneficios previstos en el artículo 387-1 del Estatuto Tributario, los pagos que efectúen los empleadores por concepto de alimentación, deberán corresponder exclusivamente a:</w:t>
      </w:r>
    </w:p>
    <w:p w14:paraId="409C83E6" w14:textId="77777777" w:rsidR="00B2442D" w:rsidRDefault="00B2442D">
      <w:pPr>
        <w:jc w:val="both"/>
        <w:rPr>
          <w:rFonts w:ascii="Arial" w:hAnsi="Arial" w:cs="Arial"/>
          <w:lang w:val="es-CO"/>
        </w:rPr>
      </w:pPr>
    </w:p>
    <w:p w14:paraId="4F7CD91C" w14:textId="77777777" w:rsidR="00B2442D" w:rsidRDefault="008A645F">
      <w:pPr>
        <w:jc w:val="both"/>
        <w:rPr>
          <w:rFonts w:ascii="Arial" w:hAnsi="Arial" w:cs="Arial"/>
          <w:lang w:val="es-CO"/>
        </w:rPr>
      </w:pPr>
      <w:r>
        <w:rPr>
          <w:rFonts w:ascii="Arial" w:hAnsi="Arial" w:cs="Arial"/>
          <w:lang w:val="es-CO"/>
        </w:rPr>
        <w:t>1. El pago de los costos en que incurra el emple</w:t>
      </w:r>
      <w:r>
        <w:rPr>
          <w:rFonts w:ascii="Arial" w:hAnsi="Arial" w:cs="Arial"/>
          <w:lang w:val="es-CO"/>
        </w:rPr>
        <w:t>ador, para adquirir de terceros los alimentos y demás insumos necesarios para su preparación, que conduzcan a suministrar la alimentación al trabajador o a su familia, en restaurantes propios del empleador o de terceros.</w:t>
      </w:r>
    </w:p>
    <w:p w14:paraId="03A1D6C0" w14:textId="77777777" w:rsidR="00B2442D" w:rsidRDefault="00B2442D">
      <w:pPr>
        <w:jc w:val="both"/>
        <w:rPr>
          <w:rFonts w:ascii="Arial" w:hAnsi="Arial" w:cs="Arial"/>
          <w:lang w:val="es-CO"/>
        </w:rPr>
      </w:pPr>
    </w:p>
    <w:p w14:paraId="72B8337A" w14:textId="77777777" w:rsidR="00B2442D" w:rsidRDefault="008A645F">
      <w:pPr>
        <w:jc w:val="both"/>
        <w:rPr>
          <w:rFonts w:ascii="Arial" w:hAnsi="Arial" w:cs="Arial"/>
          <w:lang w:val="es-CO"/>
        </w:rPr>
      </w:pPr>
      <w:r>
        <w:rPr>
          <w:rFonts w:ascii="Arial" w:hAnsi="Arial" w:cs="Arial"/>
          <w:lang w:val="es-CO"/>
        </w:rPr>
        <w:t>2. El pago de los costos que cobre</w:t>
      </w:r>
      <w:r>
        <w:rPr>
          <w:rFonts w:ascii="Arial" w:hAnsi="Arial" w:cs="Arial"/>
          <w:lang w:val="es-CO"/>
        </w:rPr>
        <w:t>n al empleador, terceros que operen los restaurantes, en los cuales se suministre la alimentación al trabajador o a su familia.</w:t>
      </w:r>
    </w:p>
    <w:p w14:paraId="1F9BC436" w14:textId="77777777" w:rsidR="00B2442D" w:rsidRDefault="00B2442D">
      <w:pPr>
        <w:jc w:val="both"/>
        <w:rPr>
          <w:rFonts w:ascii="Arial" w:hAnsi="Arial" w:cs="Arial"/>
          <w:lang w:val="es-CO"/>
        </w:rPr>
      </w:pPr>
    </w:p>
    <w:p w14:paraId="35C30CE1" w14:textId="77777777" w:rsidR="00B2442D" w:rsidRDefault="008A645F">
      <w:pPr>
        <w:jc w:val="both"/>
        <w:rPr>
          <w:rFonts w:ascii="Arial" w:hAnsi="Arial" w:cs="Arial"/>
          <w:lang w:val="es-CO"/>
        </w:rPr>
      </w:pPr>
      <w:r>
        <w:rPr>
          <w:rFonts w:ascii="Arial" w:hAnsi="Arial" w:cs="Arial"/>
          <w:lang w:val="es-CO"/>
        </w:rPr>
        <w:t>3. El pago de los costos de las comidas preparadas que adquiera el empleador, de empresas especializadas en tal suministro, con</w:t>
      </w:r>
      <w:r>
        <w:rPr>
          <w:rFonts w:ascii="Arial" w:hAnsi="Arial" w:cs="Arial"/>
          <w:lang w:val="es-CO"/>
        </w:rPr>
        <w:t xml:space="preserve"> destino al trabajador o a su familia.</w:t>
      </w:r>
    </w:p>
    <w:p w14:paraId="16D1F599" w14:textId="77777777" w:rsidR="00B2442D" w:rsidRDefault="00B2442D">
      <w:pPr>
        <w:jc w:val="both"/>
        <w:rPr>
          <w:rFonts w:ascii="Arial" w:hAnsi="Arial" w:cs="Arial"/>
          <w:lang w:val="es-CO"/>
        </w:rPr>
      </w:pPr>
    </w:p>
    <w:p w14:paraId="0FC7AA9A" w14:textId="77777777" w:rsidR="00B2442D" w:rsidRDefault="008A645F">
      <w:pPr>
        <w:jc w:val="both"/>
        <w:rPr>
          <w:rFonts w:ascii="Arial" w:hAnsi="Arial" w:cs="Arial"/>
          <w:lang w:val="es-CO"/>
        </w:rPr>
      </w:pPr>
      <w:r>
        <w:rPr>
          <w:rFonts w:ascii="Arial" w:hAnsi="Arial" w:cs="Arial"/>
          <w:lang w:val="es-CO"/>
        </w:rPr>
        <w:t>4.  La entrega al trabajador, de vales o tiquetes para la adquisición de alimentos para este o para su familia.</w:t>
      </w:r>
    </w:p>
    <w:p w14:paraId="79E89C60" w14:textId="77777777" w:rsidR="00B2442D" w:rsidRDefault="00B2442D">
      <w:pPr>
        <w:jc w:val="both"/>
        <w:rPr>
          <w:rFonts w:ascii="Arial" w:hAnsi="Arial" w:cs="Arial"/>
          <w:lang w:val="es-CO"/>
        </w:rPr>
      </w:pPr>
    </w:p>
    <w:p w14:paraId="6BC4052F"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Para que procedan los beneficios a través del mecanismo de   vales o tiquetes para la ad</w:t>
      </w:r>
      <w:r>
        <w:rPr>
          <w:rFonts w:ascii="Arial" w:hAnsi="Arial" w:cs="Arial"/>
          <w:lang w:val="es-CO"/>
        </w:rPr>
        <w:t>quisición de alimentos para el trabajador o  su familia, a que se refiere el numeral 4º del presente artículo, es necesario que se cumplan los siguientes requisitos:</w:t>
      </w:r>
    </w:p>
    <w:p w14:paraId="5A07D515" w14:textId="77777777" w:rsidR="00B2442D" w:rsidRDefault="00B2442D">
      <w:pPr>
        <w:jc w:val="both"/>
        <w:rPr>
          <w:rFonts w:ascii="Arial" w:hAnsi="Arial" w:cs="Arial"/>
          <w:lang w:val="es-CO"/>
        </w:rPr>
      </w:pPr>
    </w:p>
    <w:p w14:paraId="79866DF4"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El administrador de los vales o tiquetes debe ser una empresa distinta de la que otorg</w:t>
      </w:r>
      <w:r>
        <w:rPr>
          <w:rFonts w:ascii="Arial" w:hAnsi="Arial" w:cs="Arial"/>
          <w:lang w:val="es-CO"/>
        </w:rPr>
        <w:t>a el beneficio a sus trabajadores</w:t>
      </w:r>
    </w:p>
    <w:p w14:paraId="353515FD" w14:textId="77777777" w:rsidR="00B2442D" w:rsidRDefault="00B2442D">
      <w:pPr>
        <w:jc w:val="both"/>
        <w:rPr>
          <w:rFonts w:ascii="Arial" w:hAnsi="Arial" w:cs="Arial"/>
          <w:lang w:val="es-CO"/>
        </w:rPr>
      </w:pPr>
    </w:p>
    <w:p w14:paraId="50995790"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Los vales o tiquetes deben indicar el nombre o razón social, NIT, dirección y teléfono de la empresa que los administra, así como el nombre o razón social y NIT del empleador que los adquiere.</w:t>
      </w:r>
    </w:p>
    <w:p w14:paraId="25C1022F" w14:textId="77777777" w:rsidR="00B2442D" w:rsidRDefault="00B2442D">
      <w:pPr>
        <w:jc w:val="both"/>
        <w:rPr>
          <w:rFonts w:ascii="Arial" w:hAnsi="Arial" w:cs="Arial"/>
          <w:lang w:val="es-CO"/>
        </w:rPr>
      </w:pPr>
    </w:p>
    <w:p w14:paraId="787D9ADD"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Para efect</w:t>
      </w:r>
      <w:r>
        <w:rPr>
          <w:rFonts w:ascii="Arial" w:hAnsi="Arial" w:cs="Arial"/>
          <w:lang w:val="es-CO"/>
        </w:rPr>
        <w:t>os de la procedencia del costo o la deducción en cabeza de los empleadores, y para efectos del suministro de informaciones tributarias, en el caso de los vales o tiquetes para la adquisición de alimentos, cuya cuantía mensual en cabeza de un trabajador  no</w:t>
      </w:r>
      <w:r>
        <w:rPr>
          <w:rFonts w:ascii="Arial" w:hAnsi="Arial" w:cs="Arial"/>
          <w:lang w:val="es-CO"/>
        </w:rPr>
        <w:t xml:space="preserve"> exceda de cuarenta y un (41) UVT, bastará con suministrar la identificación tributaria de la empresa administradora de los respectivos vales o tiquetes, y el monto total de los pagos realizados a esta durante el respectivo año, con el número de trabajador</w:t>
      </w:r>
      <w:r>
        <w:rPr>
          <w:rFonts w:ascii="Arial" w:hAnsi="Arial" w:cs="Arial"/>
          <w:lang w:val="es-CO"/>
        </w:rPr>
        <w:t>es a los que se les entregaron los vales o tiquetes.</w:t>
      </w:r>
    </w:p>
    <w:p w14:paraId="05AB0FAB" w14:textId="77777777" w:rsidR="00B2442D" w:rsidRDefault="00B2442D">
      <w:pPr>
        <w:jc w:val="both"/>
        <w:rPr>
          <w:rFonts w:ascii="Arial" w:hAnsi="Arial" w:cs="Arial"/>
          <w:lang w:val="es-CO"/>
        </w:rPr>
      </w:pPr>
    </w:p>
    <w:p w14:paraId="0E84BE82" w14:textId="77777777" w:rsidR="00B2442D" w:rsidRDefault="008A645F">
      <w:pPr>
        <w:jc w:val="both"/>
        <w:rPr>
          <w:rFonts w:ascii="Arial" w:hAnsi="Arial" w:cs="Arial"/>
          <w:lang w:val="es-CO"/>
        </w:rPr>
      </w:pPr>
      <w:r>
        <w:rPr>
          <w:rFonts w:ascii="Arial" w:hAnsi="Arial" w:cs="Arial"/>
          <w:lang w:val="es-CO"/>
        </w:rPr>
        <w:t xml:space="preserve">El pago mensual a través de vales o tiquetes, que exceda de cuarenta y un (41) UVT en cabeza de un trabajador, deberá registrarse como ingreso del trabajador, sometido a retención en la fuente por </w:t>
      </w:r>
      <w:r>
        <w:rPr>
          <w:rFonts w:ascii="Arial" w:hAnsi="Arial" w:cs="Arial"/>
          <w:lang w:val="es-CO"/>
        </w:rPr>
        <w:t>ingresos laborales.</w:t>
      </w:r>
    </w:p>
    <w:p w14:paraId="158D3B39" w14:textId="77777777" w:rsidR="00B2442D" w:rsidRDefault="00B2442D">
      <w:pPr>
        <w:jc w:val="both"/>
        <w:rPr>
          <w:rFonts w:ascii="Arial" w:hAnsi="Arial" w:cs="Arial"/>
          <w:lang w:val="es-CO"/>
        </w:rPr>
      </w:pPr>
    </w:p>
    <w:p w14:paraId="6625C3CF"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Las empresas administradoras de vales o tiquetes para la adquisición de alimentos, deberán suministrar anualmente, en los formatos que establezca la Unidad Administrativa Especial Dirección de Impuestos y Aduanas Nacional</w:t>
      </w:r>
      <w:r>
        <w:rPr>
          <w:rFonts w:ascii="Arial" w:hAnsi="Arial" w:cs="Arial"/>
          <w:lang w:val="es-CO"/>
        </w:rPr>
        <w:t>es- DIAN, la identificación tributaria de los terceros beneficiarios de los ingresos, en cuyos establecimientos de comercio fueron utilizados o consumidos  los respectivos vales o tiquetes, con indicación del valor total de estos, durante el año gravable a</w:t>
      </w:r>
      <w:r>
        <w:rPr>
          <w:rFonts w:ascii="Arial" w:hAnsi="Arial" w:cs="Arial"/>
          <w:lang w:val="es-CO"/>
        </w:rPr>
        <w:t>nterior.</w:t>
      </w:r>
    </w:p>
    <w:p w14:paraId="51D5CEB0" w14:textId="77777777" w:rsidR="00B2442D" w:rsidRDefault="00B2442D">
      <w:pPr>
        <w:jc w:val="both"/>
        <w:rPr>
          <w:rFonts w:ascii="Arial" w:hAnsi="Arial" w:cs="Arial"/>
          <w:lang w:val="es-CO"/>
        </w:rPr>
      </w:pPr>
    </w:p>
    <w:p w14:paraId="126724C2" w14:textId="77777777" w:rsidR="00B2442D" w:rsidRDefault="008A645F">
      <w:pPr>
        <w:jc w:val="both"/>
        <w:rPr>
          <w:rFonts w:ascii="Arial" w:hAnsi="Arial" w:cs="Arial"/>
          <w:i/>
          <w:lang w:val="es-CO"/>
        </w:rPr>
      </w:pPr>
      <w:r>
        <w:rPr>
          <w:rFonts w:ascii="Arial" w:hAnsi="Arial" w:cs="Arial"/>
          <w:i/>
          <w:lang w:val="es-CO"/>
        </w:rPr>
        <w:t>(Art. 1, Decreto 1345 de 1999.</w:t>
      </w:r>
      <w:r>
        <w:rPr>
          <w:rFonts w:ascii="Arial" w:hAnsi="Arial" w:cs="Arial"/>
          <w:i/>
        </w:rPr>
        <w:t xml:space="preserve"> El parágrafo segundo fue modificado por el artículo 51 de la Ley 1111 de 2006; mediante sentencia del 14 de abril de 2000 del Consejo de Estado Sección Cuarta, Expediente No. 11001-03-27-000-1999-0041-00 (9635) se d</w:t>
      </w:r>
      <w:r>
        <w:rPr>
          <w:rFonts w:ascii="Arial" w:hAnsi="Arial" w:cs="Arial"/>
          <w:i/>
        </w:rPr>
        <w:t xml:space="preserve">eclaró </w:t>
      </w:r>
      <w:r>
        <w:rPr>
          <w:rFonts w:ascii="Arial" w:hAnsi="Arial" w:cs="Arial"/>
          <w:i/>
          <w:lang w:val="es-CO"/>
        </w:rPr>
        <w:t>la nulidad del literal b) del parágrafo 1º y del parágrafo 4º del artículo 1º del Decreto Reglamentario 1345 de julio 22 de 1999)</w:t>
      </w:r>
    </w:p>
    <w:p w14:paraId="19F9F2C2" w14:textId="77777777" w:rsidR="00B2442D" w:rsidRDefault="00B2442D">
      <w:pPr>
        <w:jc w:val="both"/>
        <w:rPr>
          <w:rFonts w:ascii="Arial" w:hAnsi="Arial" w:cs="Arial"/>
          <w:lang w:val="es-CO"/>
        </w:rPr>
      </w:pPr>
    </w:p>
    <w:p w14:paraId="24E2AC82"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Gastos y costos de publicidad por posicionamiento inicial de productos importados.</w:t>
      </w:r>
      <w:r>
        <w:rPr>
          <w:rFonts w:ascii="Arial" w:hAnsi="Arial" w:cs="Arial"/>
          <w:i/>
          <w:lang w:val="es-CO"/>
        </w:rPr>
        <w:t xml:space="preserve"> </w:t>
      </w:r>
      <w:r>
        <w:rPr>
          <w:rFonts w:ascii="Arial" w:hAnsi="Arial" w:cs="Arial"/>
          <w:lang w:val="es-CO"/>
        </w:rPr>
        <w:t xml:space="preserve">En el caso previsto en el </w:t>
      </w:r>
      <w:r>
        <w:rPr>
          <w:rFonts w:ascii="Arial" w:hAnsi="Arial" w:cs="Arial"/>
          <w:lang w:val="es-CO"/>
        </w:rPr>
        <w:t>parágrafo 1° del artículo 88-1 del Estatuto Tributario no se requerirá autorización previa alguna para que proceda la deducción de la totalidad de los costos y gastos relacionados con las campañas publicitarias de productos importados que correspondan a re</w:t>
      </w:r>
      <w:r>
        <w:rPr>
          <w:rFonts w:ascii="Arial" w:hAnsi="Arial" w:cs="Arial"/>
          <w:lang w:val="es-CO"/>
        </w:rPr>
        <w:t xml:space="preserve">nglones calificados de contrabando masivo por el Gobierno Nacional. Para estos efectos bastará que el contribuyente mantenga en su poder, para ser exhibidos a las autoridades tributarias cuando así lo exijan, los estudios de mercadeo y las proyecciones de </w:t>
      </w:r>
      <w:r>
        <w:rPr>
          <w:rFonts w:ascii="Arial" w:hAnsi="Arial" w:cs="Arial"/>
          <w:lang w:val="es-CO"/>
        </w:rPr>
        <w:t>ingresos que le permitan acreditar que se trata del posicionamiento inicial de tales productos en el país.</w:t>
      </w:r>
    </w:p>
    <w:p w14:paraId="2700BB43" w14:textId="77777777" w:rsidR="00B2442D" w:rsidRDefault="00B2442D">
      <w:pPr>
        <w:jc w:val="both"/>
        <w:rPr>
          <w:rFonts w:ascii="Arial" w:hAnsi="Arial" w:cs="Arial"/>
          <w:i/>
        </w:rPr>
      </w:pPr>
    </w:p>
    <w:p w14:paraId="621CD07B" w14:textId="77777777" w:rsidR="00B2442D" w:rsidRDefault="008A645F">
      <w:pPr>
        <w:jc w:val="both"/>
        <w:rPr>
          <w:rFonts w:ascii="Arial" w:hAnsi="Arial" w:cs="Arial"/>
          <w:i/>
        </w:rPr>
      </w:pPr>
      <w:r>
        <w:rPr>
          <w:rFonts w:ascii="Arial" w:hAnsi="Arial" w:cs="Arial"/>
          <w:i/>
        </w:rPr>
        <w:t>(Art. 13, Decreto 3050 de 1997)(El Decreto 3050 de 1997 rige a partir de la fecha de su publicación y deroga el artículo 10 del Decreto 380 de 1996,</w:t>
      </w:r>
      <w:r>
        <w:rPr>
          <w:rFonts w:ascii="Arial" w:hAnsi="Arial" w:cs="Arial"/>
          <w:i/>
        </w:rPr>
        <w:t xml:space="preserve"> el inciso 1° del artículo 7 y el artículo 11 del Decreto 1165 de 1996, el inciso 2° del artículo 43 del Decreto 700 de 1997, el artículo 7, el parágrafo del artículo 14 y el artículo 18 del Decreto 1001 de 1997, y demás normas que le sean contrarias. Art.</w:t>
      </w:r>
      <w:r>
        <w:rPr>
          <w:rFonts w:ascii="Arial" w:hAnsi="Arial" w:cs="Arial"/>
          <w:i/>
        </w:rPr>
        <w:t xml:space="preserve"> 34, Decreto 3050 de 1997)</w:t>
      </w:r>
    </w:p>
    <w:p w14:paraId="0676E20B" w14:textId="77777777" w:rsidR="00B2442D" w:rsidRDefault="00B2442D">
      <w:pPr>
        <w:jc w:val="both"/>
        <w:rPr>
          <w:rFonts w:ascii="Arial" w:hAnsi="Arial" w:cs="Arial"/>
          <w:i/>
        </w:rPr>
      </w:pPr>
    </w:p>
    <w:p w14:paraId="19CA6DEE"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Renglones calificados de contrabando masivo.</w:t>
      </w:r>
      <w:r>
        <w:rPr>
          <w:rFonts w:ascii="Arial" w:hAnsi="Arial" w:cs="Arial"/>
          <w:lang w:val="es-CO"/>
        </w:rPr>
        <w:t xml:space="preserve"> Para los efectos previstos en el artículo 88-1 del Estatuto Tributario, se consideran como productos importados que corresponden a renglones calificados de contrabando masivo las sigu</w:t>
      </w:r>
      <w:r>
        <w:rPr>
          <w:rFonts w:ascii="Arial" w:hAnsi="Arial" w:cs="Arial"/>
          <w:lang w:val="es-CO"/>
        </w:rPr>
        <w:t>ientes mercancías: televisores, equipos de sonido, radios, neveras, lavadoras, cigarrillos y bebidas alcohólicas</w:t>
      </w:r>
    </w:p>
    <w:p w14:paraId="05E80434" w14:textId="77777777" w:rsidR="00B2442D" w:rsidRDefault="00B2442D">
      <w:pPr>
        <w:jc w:val="both"/>
        <w:rPr>
          <w:rFonts w:ascii="Arial" w:hAnsi="Arial" w:cs="Arial"/>
          <w:i/>
          <w:lang w:val="es-CO"/>
        </w:rPr>
      </w:pPr>
    </w:p>
    <w:p w14:paraId="30F5EFF8" w14:textId="77777777" w:rsidR="00B2442D" w:rsidRDefault="008A645F">
      <w:pPr>
        <w:jc w:val="both"/>
        <w:rPr>
          <w:rFonts w:ascii="Arial" w:hAnsi="Arial" w:cs="Arial"/>
          <w:i/>
          <w:lang w:val="es-CO"/>
        </w:rPr>
      </w:pPr>
      <w:r>
        <w:rPr>
          <w:rFonts w:ascii="Arial" w:hAnsi="Arial" w:cs="Arial"/>
          <w:i/>
          <w:lang w:val="es-CO"/>
        </w:rPr>
        <w:t>(Art. 1, Decreto 3119 de 1997, modificado por el art. 1 del Decreto 416 de 2000)</w:t>
      </w:r>
    </w:p>
    <w:p w14:paraId="6603D5F5" w14:textId="77777777" w:rsidR="00B2442D" w:rsidRDefault="00B2442D">
      <w:pPr>
        <w:jc w:val="both"/>
        <w:rPr>
          <w:rFonts w:ascii="Arial" w:hAnsi="Arial" w:cs="Arial"/>
          <w:lang w:val="es-CO"/>
        </w:rPr>
      </w:pPr>
    </w:p>
    <w:p w14:paraId="3C34022E"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Desconocimiento de costos y gastos por campañas de publicida</w:t>
      </w:r>
      <w:r>
        <w:rPr>
          <w:rFonts w:ascii="Arial" w:hAnsi="Arial" w:cs="Arial"/>
          <w:b/>
          <w:i/>
          <w:lang w:val="es-CO"/>
        </w:rPr>
        <w:t>d de productos extranjeros.</w:t>
      </w:r>
      <w:r>
        <w:rPr>
          <w:rFonts w:ascii="Arial" w:hAnsi="Arial" w:cs="Arial"/>
          <w:lang w:val="es-CO"/>
        </w:rPr>
        <w:t xml:space="preserve"> A partir del período fiscal de 1998, para los efectos del impuesto de renta y complementario, no serán admisibles como costos, ni como gastos, las expensas que realice el contribuyente en publicidad, promoción y propaganda de pr</w:t>
      </w:r>
      <w:r>
        <w:rPr>
          <w:rFonts w:ascii="Arial" w:hAnsi="Arial" w:cs="Arial"/>
          <w:lang w:val="es-CO"/>
        </w:rPr>
        <w:t>oductos importados que correspondan a renglones calificados en el artículo 1.2.1.18.40 del presente Decreto como de contrabando masivo, cuando dichas expensas superen el quince por ciento (15%) de las ventas de los respectivos productos importados legalmen</w:t>
      </w:r>
      <w:r>
        <w:rPr>
          <w:rFonts w:ascii="Arial" w:hAnsi="Arial" w:cs="Arial"/>
          <w:lang w:val="es-CO"/>
        </w:rPr>
        <w:t>te por el contribuyente, en el año gravable correspondiente.</w:t>
      </w:r>
    </w:p>
    <w:p w14:paraId="324460F3" w14:textId="77777777" w:rsidR="00B2442D" w:rsidRDefault="00B2442D">
      <w:pPr>
        <w:jc w:val="both"/>
        <w:rPr>
          <w:rFonts w:ascii="Arial" w:hAnsi="Arial" w:cs="Arial"/>
          <w:i/>
          <w:lang w:val="es-CO"/>
        </w:rPr>
      </w:pPr>
    </w:p>
    <w:p w14:paraId="044813A3" w14:textId="77777777" w:rsidR="00B2442D" w:rsidRDefault="008A645F">
      <w:pPr>
        <w:jc w:val="both"/>
        <w:rPr>
          <w:rFonts w:ascii="Arial" w:hAnsi="Arial" w:cs="Arial"/>
          <w:i/>
          <w:lang w:val="es-CO"/>
        </w:rPr>
      </w:pPr>
      <w:r>
        <w:rPr>
          <w:rFonts w:ascii="Arial" w:hAnsi="Arial" w:cs="Arial"/>
          <w:i/>
          <w:lang w:val="es-CO"/>
        </w:rPr>
        <w:t>(Art. 2, Decreto 3119 de 1997)</w:t>
      </w:r>
    </w:p>
    <w:p w14:paraId="5C260105" w14:textId="77777777" w:rsidR="00B2442D" w:rsidRDefault="00B2442D">
      <w:pPr>
        <w:jc w:val="both"/>
        <w:rPr>
          <w:rFonts w:ascii="Arial" w:hAnsi="Arial" w:cs="Arial"/>
          <w:lang w:val="es-CO"/>
        </w:rPr>
      </w:pPr>
    </w:p>
    <w:p w14:paraId="39020E7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Autorización de un mayor porcentaje de deducción.</w:t>
      </w:r>
      <w:r>
        <w:rPr>
          <w:rFonts w:ascii="Arial" w:hAnsi="Arial" w:cs="Arial"/>
          <w:i/>
          <w:lang w:val="es-CO"/>
        </w:rPr>
        <w:t xml:space="preserve"> </w:t>
      </w:r>
      <w:r>
        <w:rPr>
          <w:rFonts w:ascii="Arial" w:hAnsi="Arial" w:cs="Arial"/>
          <w:lang w:val="es-CO"/>
        </w:rPr>
        <w:t>El porcentaje de la deducción por las expensas en publicidad, promoción y propaganda de productos importados, qu</w:t>
      </w:r>
      <w:r>
        <w:rPr>
          <w:rFonts w:ascii="Arial" w:hAnsi="Arial" w:cs="Arial"/>
          <w:lang w:val="es-CO"/>
        </w:rPr>
        <w:t xml:space="preserve">e correspondan a renglones calificados como de contrabando masivo, podrá ser hasta del veinte por ciento (20%) cuando el Director General de la Unidad Administrativa Especial de Impuestos y Aduanas Nacionales lo autorice, para lo cual el interesado deberá </w:t>
      </w:r>
      <w:r>
        <w:rPr>
          <w:rFonts w:ascii="Arial" w:hAnsi="Arial" w:cs="Arial"/>
          <w:lang w:val="es-CO"/>
        </w:rPr>
        <w:t xml:space="preserve">agotar el siguiente procedimiento: </w:t>
      </w:r>
    </w:p>
    <w:p w14:paraId="1EF27394" w14:textId="77777777" w:rsidR="00B2442D" w:rsidRDefault="008A645F">
      <w:pPr>
        <w:jc w:val="both"/>
        <w:rPr>
          <w:rFonts w:ascii="Arial" w:hAnsi="Arial" w:cs="Arial"/>
          <w:lang w:val="es-CO"/>
        </w:rPr>
      </w:pPr>
      <w:r>
        <w:rPr>
          <w:rFonts w:ascii="Arial" w:hAnsi="Arial" w:cs="Arial"/>
          <w:lang w:val="es-CO"/>
        </w:rPr>
        <w:t xml:space="preserve"> </w:t>
      </w:r>
    </w:p>
    <w:p w14:paraId="5648C803" w14:textId="77777777" w:rsidR="00B2442D" w:rsidRDefault="008A645F">
      <w:pPr>
        <w:jc w:val="both"/>
        <w:rPr>
          <w:rFonts w:ascii="Arial" w:hAnsi="Arial" w:cs="Arial"/>
          <w:lang w:val="es-CO"/>
        </w:rPr>
      </w:pPr>
      <w:r>
        <w:rPr>
          <w:rFonts w:ascii="Arial" w:hAnsi="Arial" w:cs="Arial"/>
          <w:lang w:val="es-CO"/>
        </w:rPr>
        <w:t>1. Dentro de los primeros tres (3) meses del año, el contribuyente presentará una solicitud en tal sentido ante el Subdirector de Gestión de Fiscalización Tributaria de la Unidad Administrativa Especial Dirección de Im</w:t>
      </w:r>
      <w:r>
        <w:rPr>
          <w:rFonts w:ascii="Arial" w:hAnsi="Arial" w:cs="Arial"/>
          <w:lang w:val="es-CO"/>
        </w:rPr>
        <w:t xml:space="preserve">puestos y Aduanas Nacionales– DIAN a la que anexará la proyección de las ventas que espera realizar en el mismo año, de los productos importados legalmente. </w:t>
      </w:r>
    </w:p>
    <w:p w14:paraId="412DED5D" w14:textId="77777777" w:rsidR="00B2442D" w:rsidRDefault="008A645F">
      <w:pPr>
        <w:jc w:val="both"/>
        <w:rPr>
          <w:rFonts w:ascii="Arial" w:hAnsi="Arial" w:cs="Arial"/>
          <w:lang w:val="es-CO"/>
        </w:rPr>
      </w:pPr>
      <w:r>
        <w:rPr>
          <w:rFonts w:ascii="Arial" w:hAnsi="Arial" w:cs="Arial"/>
          <w:lang w:val="es-CO"/>
        </w:rPr>
        <w:t xml:space="preserve"> </w:t>
      </w:r>
    </w:p>
    <w:p w14:paraId="19F7CD33" w14:textId="77777777" w:rsidR="00B2442D" w:rsidRDefault="008A645F">
      <w:pPr>
        <w:jc w:val="both"/>
        <w:rPr>
          <w:rFonts w:ascii="Arial" w:hAnsi="Arial" w:cs="Arial"/>
          <w:lang w:val="es-CO"/>
        </w:rPr>
      </w:pPr>
      <w:r>
        <w:rPr>
          <w:rFonts w:ascii="Arial" w:hAnsi="Arial" w:cs="Arial"/>
          <w:lang w:val="es-CO"/>
        </w:rPr>
        <w:t>2. Dentro de los quince (15) días siguientes, el Subdirector de Gestión de Fiscalización Tributa</w:t>
      </w:r>
      <w:r>
        <w:rPr>
          <w:rFonts w:ascii="Arial" w:hAnsi="Arial" w:cs="Arial"/>
          <w:lang w:val="es-CO"/>
        </w:rPr>
        <w:t>ria presentará ante el Director General de la Unidad Administrativa Especial Dirección de Impuestos y Aduanas Nacionales– DIAN un proyecto de resolución motivada, en la que se resuelve la petición. Contra la decisión del Director General sólo procede el re</w:t>
      </w:r>
      <w:r>
        <w:rPr>
          <w:rFonts w:ascii="Arial" w:hAnsi="Arial" w:cs="Arial"/>
          <w:lang w:val="es-CO"/>
        </w:rPr>
        <w:t xml:space="preserve">curso de reconsideración. La ausencia de pronunciamiento, dentro del término de un (1) mes, contado a partir de la presentación de la solicitud, dará a entender que la decisión es negativa. La copia del acto administrativo que resuelva la solicitud, junto </w:t>
      </w:r>
      <w:r>
        <w:rPr>
          <w:rFonts w:ascii="Arial" w:hAnsi="Arial" w:cs="Arial"/>
          <w:lang w:val="es-CO"/>
        </w:rPr>
        <w:t xml:space="preserve">con el expediente respectivo, se remitirá a la Administración a la que pertenece el contribuyente. </w:t>
      </w:r>
    </w:p>
    <w:p w14:paraId="5287CAC9" w14:textId="77777777" w:rsidR="00B2442D" w:rsidRDefault="008A645F">
      <w:pPr>
        <w:jc w:val="both"/>
        <w:rPr>
          <w:rFonts w:ascii="Arial" w:hAnsi="Arial" w:cs="Arial"/>
          <w:lang w:val="es-CO"/>
        </w:rPr>
      </w:pPr>
      <w:r>
        <w:rPr>
          <w:rFonts w:ascii="Arial" w:hAnsi="Arial" w:cs="Arial"/>
          <w:lang w:val="es-CO"/>
        </w:rPr>
        <w:t xml:space="preserve"> </w:t>
      </w:r>
    </w:p>
    <w:p w14:paraId="3E7B4FC5"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b/>
          <w:i/>
          <w:lang w:val="es-CO"/>
        </w:rPr>
        <w:t>Límite de los gastos y costos.</w:t>
      </w:r>
      <w:r>
        <w:rPr>
          <w:rFonts w:ascii="Arial" w:hAnsi="Arial" w:cs="Arial"/>
          <w:lang w:val="es-CO"/>
        </w:rPr>
        <w:t xml:space="preserve"> En todo caso, el monto de los gastos y costos que se solicite en la respectiva declaración de renta y complement</w:t>
      </w:r>
      <w:r>
        <w:rPr>
          <w:rFonts w:ascii="Arial" w:hAnsi="Arial" w:cs="Arial"/>
          <w:lang w:val="es-CO"/>
        </w:rPr>
        <w:t>ario, por razón de las expensas a las que se refiere el presente artículo, no podrá superar el veinte por ciento (20%) de las ventas efectivamente realizadas durante el año gravable correspondiente.</w:t>
      </w:r>
    </w:p>
    <w:p w14:paraId="1BB00EBD" w14:textId="77777777" w:rsidR="00B2442D" w:rsidRDefault="00B2442D">
      <w:pPr>
        <w:jc w:val="both"/>
        <w:rPr>
          <w:rFonts w:ascii="Arial" w:hAnsi="Arial" w:cs="Arial"/>
          <w:i/>
          <w:lang w:val="es-CO"/>
        </w:rPr>
      </w:pPr>
    </w:p>
    <w:p w14:paraId="4C3217CA" w14:textId="77777777" w:rsidR="00B2442D" w:rsidRDefault="008A645F">
      <w:pPr>
        <w:jc w:val="both"/>
        <w:rPr>
          <w:rFonts w:ascii="Arial" w:hAnsi="Arial" w:cs="Arial"/>
          <w:i/>
          <w:lang w:val="es-CO"/>
        </w:rPr>
      </w:pPr>
      <w:r>
        <w:rPr>
          <w:rFonts w:ascii="Arial" w:hAnsi="Arial" w:cs="Arial"/>
          <w:i/>
          <w:lang w:val="es-CO"/>
        </w:rPr>
        <w:t>(Art. 3, Decreto 3119 de 1997)</w:t>
      </w:r>
    </w:p>
    <w:p w14:paraId="38C783E3" w14:textId="77777777" w:rsidR="00B2442D" w:rsidRDefault="00B2442D">
      <w:pPr>
        <w:jc w:val="both"/>
        <w:rPr>
          <w:rFonts w:ascii="Arial" w:hAnsi="Arial" w:cs="Arial"/>
          <w:lang w:val="es-CO"/>
        </w:rPr>
      </w:pPr>
    </w:p>
    <w:p w14:paraId="591B7DB2"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Pérdida del </w:t>
      </w:r>
      <w:r>
        <w:rPr>
          <w:rFonts w:ascii="Arial" w:hAnsi="Arial" w:cs="Arial"/>
          <w:b/>
          <w:i/>
          <w:lang w:val="es-CO"/>
        </w:rPr>
        <w:t>derecho a los gastos y costos.</w:t>
      </w:r>
      <w:r>
        <w:rPr>
          <w:rFonts w:ascii="Arial" w:hAnsi="Arial" w:cs="Arial"/>
          <w:lang w:val="es-CO"/>
        </w:rPr>
        <w:t xml:space="preserve"> Los gastos y costos que superen el quince (15%) o veinte (20%) según el caso, dará lugar al desconocimiento de la totalidad de las expensas realizadas en publicidad, promoción y propaganda, de los productos indicados en el ar</w:t>
      </w:r>
      <w:r>
        <w:rPr>
          <w:rFonts w:ascii="Arial" w:hAnsi="Arial" w:cs="Arial"/>
          <w:lang w:val="es-CO"/>
        </w:rPr>
        <w:t xml:space="preserve">tículo 12.1.18.40 de este Decreto, sin perjuicio de las demás sanciones a que hubiere lugar. </w:t>
      </w:r>
    </w:p>
    <w:p w14:paraId="0EB1F487" w14:textId="77777777" w:rsidR="00B2442D" w:rsidRDefault="008A645F">
      <w:pPr>
        <w:jc w:val="both"/>
        <w:rPr>
          <w:rFonts w:ascii="Arial" w:hAnsi="Arial" w:cs="Arial"/>
          <w:lang w:val="es-CO"/>
        </w:rPr>
      </w:pPr>
      <w:r>
        <w:rPr>
          <w:rFonts w:ascii="Arial" w:hAnsi="Arial" w:cs="Arial"/>
          <w:lang w:val="es-CO"/>
        </w:rPr>
        <w:t xml:space="preserve"> </w:t>
      </w:r>
    </w:p>
    <w:p w14:paraId="5BFE90DE" w14:textId="77777777" w:rsidR="00B2442D" w:rsidRDefault="008A645F">
      <w:pPr>
        <w:jc w:val="both"/>
        <w:rPr>
          <w:rFonts w:ascii="Arial" w:hAnsi="Arial" w:cs="Arial"/>
          <w:lang w:val="es-CO"/>
        </w:rPr>
      </w:pPr>
      <w:r>
        <w:rPr>
          <w:rFonts w:ascii="Arial" w:hAnsi="Arial" w:cs="Arial"/>
          <w:lang w:val="es-CO"/>
        </w:rPr>
        <w:t>Igualmente, no podrán solicitarse en la declaración de renta y complementario descuentos por razón de expensas que realice el contribuyente en publicidad, promo</w:t>
      </w:r>
      <w:r>
        <w:rPr>
          <w:rFonts w:ascii="Arial" w:hAnsi="Arial" w:cs="Arial"/>
          <w:lang w:val="es-CO"/>
        </w:rPr>
        <w:t>ción y propaganda de productos no importados legalmente.</w:t>
      </w:r>
    </w:p>
    <w:p w14:paraId="50088CD5" w14:textId="77777777" w:rsidR="00B2442D" w:rsidRDefault="00B2442D">
      <w:pPr>
        <w:jc w:val="both"/>
        <w:rPr>
          <w:rFonts w:ascii="Arial" w:hAnsi="Arial" w:cs="Arial"/>
          <w:i/>
          <w:lang w:val="es-CO"/>
        </w:rPr>
      </w:pPr>
    </w:p>
    <w:p w14:paraId="730FAEB4" w14:textId="77777777" w:rsidR="00B2442D" w:rsidRDefault="008A645F">
      <w:pPr>
        <w:jc w:val="both"/>
        <w:rPr>
          <w:rFonts w:ascii="Arial" w:hAnsi="Arial" w:cs="Arial"/>
          <w:i/>
          <w:lang w:val="es-CO"/>
        </w:rPr>
      </w:pPr>
      <w:r>
        <w:rPr>
          <w:rFonts w:ascii="Arial" w:hAnsi="Arial" w:cs="Arial"/>
          <w:i/>
          <w:lang w:val="es-CO"/>
        </w:rPr>
        <w:t>(Art. 4, Decreto 3119 de 1997)</w:t>
      </w:r>
    </w:p>
    <w:p w14:paraId="3BAE1BBD" w14:textId="77777777" w:rsidR="00B2442D" w:rsidRDefault="00B2442D">
      <w:pPr>
        <w:jc w:val="both"/>
        <w:rPr>
          <w:rFonts w:ascii="Arial" w:hAnsi="Arial" w:cs="Arial"/>
          <w:lang w:val="es-CO"/>
        </w:rPr>
      </w:pPr>
    </w:p>
    <w:p w14:paraId="216AEE5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Campañas contratadas desde el exterior.</w:t>
      </w:r>
      <w:r>
        <w:rPr>
          <w:rFonts w:ascii="Arial" w:hAnsi="Arial" w:cs="Arial"/>
          <w:lang w:val="es-CO"/>
        </w:rPr>
        <w:t xml:space="preserve"> Quienes presten el servicio de publicidad, promoción y propaganda, de los productos a los que se refieren los artículos 1.2.1.</w:t>
      </w:r>
      <w:r>
        <w:rPr>
          <w:rFonts w:ascii="Arial" w:hAnsi="Arial" w:cs="Arial"/>
          <w:lang w:val="es-CO"/>
        </w:rPr>
        <w:t>18.40 a 1.2.1.18.45 de este decreto, no podrán solicitar en la declaración de renta y complementario descuentos por razón de los gastos y costos asociados a dichos servicios, cuando hubieren sido contratados desde el exterior por personas que no tengan res</w:t>
      </w:r>
      <w:r>
        <w:rPr>
          <w:rFonts w:ascii="Arial" w:hAnsi="Arial" w:cs="Arial"/>
          <w:lang w:val="es-CO"/>
        </w:rPr>
        <w:t>idencia o domicilio en el país.</w:t>
      </w:r>
    </w:p>
    <w:p w14:paraId="1E4545F0" w14:textId="77777777" w:rsidR="00B2442D" w:rsidRDefault="00B2442D">
      <w:pPr>
        <w:jc w:val="both"/>
        <w:rPr>
          <w:rFonts w:ascii="Arial" w:hAnsi="Arial" w:cs="Arial"/>
          <w:i/>
          <w:lang w:val="es-CO"/>
        </w:rPr>
      </w:pPr>
    </w:p>
    <w:p w14:paraId="6298B79E" w14:textId="77777777" w:rsidR="00B2442D" w:rsidRDefault="008A645F">
      <w:pPr>
        <w:jc w:val="both"/>
        <w:rPr>
          <w:rFonts w:ascii="Arial" w:hAnsi="Arial" w:cs="Arial"/>
          <w:i/>
          <w:lang w:val="es-CO"/>
        </w:rPr>
      </w:pPr>
      <w:r>
        <w:rPr>
          <w:rFonts w:ascii="Arial" w:hAnsi="Arial" w:cs="Arial"/>
          <w:i/>
          <w:lang w:val="es-CO"/>
        </w:rPr>
        <w:t>(Art. 5, Decreto 3119 de 1997)</w:t>
      </w:r>
    </w:p>
    <w:p w14:paraId="17C9016B" w14:textId="77777777" w:rsidR="00B2442D" w:rsidRDefault="00B2442D">
      <w:pPr>
        <w:jc w:val="both"/>
        <w:rPr>
          <w:rFonts w:ascii="Arial" w:hAnsi="Arial" w:cs="Arial"/>
          <w:lang w:val="es-CO"/>
        </w:rPr>
      </w:pPr>
    </w:p>
    <w:p w14:paraId="15481142"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Campañas publicitarias de posicionamiento inicial.</w:t>
      </w:r>
      <w:r>
        <w:rPr>
          <w:rFonts w:ascii="Arial" w:hAnsi="Arial" w:cs="Arial"/>
          <w:lang w:val="es-CO"/>
        </w:rPr>
        <w:t xml:space="preserve"> En los términos previstos por el Estatuto Tributario, procederá la deducción por las expensas en campañas de publicidad, promoción y propaga</w:t>
      </w:r>
      <w:r>
        <w:rPr>
          <w:rFonts w:ascii="Arial" w:hAnsi="Arial" w:cs="Arial"/>
          <w:lang w:val="es-CO"/>
        </w:rPr>
        <w:t xml:space="preserve">nda, cuyo objetivo sea el posicionamiento inicial de productos extranjeros en el país, que correspondan a renglones calificados como de contrabando masivo, si con estudios de mercadeo y proyección de ingresos se demuestran las posibilidades de venta en el </w:t>
      </w:r>
      <w:r>
        <w:rPr>
          <w:rFonts w:ascii="Arial" w:hAnsi="Arial" w:cs="Arial"/>
          <w:lang w:val="es-CO"/>
        </w:rPr>
        <w:t>país. Para tal efecto, el contribuyente agotará el mismo procedimiento previsto en el artículo 1.2.1.18.42 del presente Decreto.</w:t>
      </w:r>
    </w:p>
    <w:p w14:paraId="08CACAFA" w14:textId="77777777" w:rsidR="00B2442D" w:rsidRDefault="00B2442D">
      <w:pPr>
        <w:jc w:val="both"/>
        <w:rPr>
          <w:rFonts w:ascii="Arial" w:hAnsi="Arial" w:cs="Arial"/>
          <w:i/>
          <w:lang w:val="es-CO"/>
        </w:rPr>
      </w:pPr>
    </w:p>
    <w:p w14:paraId="66D97C8F" w14:textId="77777777" w:rsidR="00B2442D" w:rsidRDefault="008A645F">
      <w:pPr>
        <w:jc w:val="both"/>
        <w:rPr>
          <w:rFonts w:ascii="Arial" w:hAnsi="Arial" w:cs="Arial"/>
          <w:i/>
          <w:lang w:val="es-CO"/>
        </w:rPr>
      </w:pPr>
      <w:r>
        <w:rPr>
          <w:rFonts w:ascii="Arial" w:hAnsi="Arial" w:cs="Arial"/>
          <w:i/>
          <w:lang w:val="es-CO"/>
        </w:rPr>
        <w:t>(Art. 6, Decreto 3119 de 1997)</w:t>
      </w:r>
    </w:p>
    <w:p w14:paraId="408C6C71" w14:textId="77777777" w:rsidR="00B2442D" w:rsidRDefault="00B2442D">
      <w:pPr>
        <w:jc w:val="both"/>
        <w:rPr>
          <w:rFonts w:ascii="Arial" w:hAnsi="Arial" w:cs="Arial"/>
          <w:lang w:val="es-CO"/>
        </w:rPr>
      </w:pPr>
    </w:p>
    <w:p w14:paraId="6628F381"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Entidades no sometidas al control y vigilancia de la Superintendencia Financiera de Colombia.</w:t>
      </w:r>
      <w:r>
        <w:rPr>
          <w:rFonts w:ascii="Arial" w:hAnsi="Arial" w:cs="Arial"/>
          <w:lang w:val="es-CO"/>
        </w:rPr>
        <w:t xml:space="preserve"> </w:t>
      </w:r>
      <w:r>
        <w:rPr>
          <w:rFonts w:ascii="Arial" w:hAnsi="Arial" w:cs="Arial"/>
          <w:lang w:val="es-CO"/>
        </w:rPr>
        <w:t>A partir del año gravable 2001, en la elaboración de los cálculos actuariales de que trata el artículo 113 del Estatuto Tributario las entidades no sometidas al control y vigilancia de la Superintendencia Financiera de Colombia deberán seguir las siguiente</w:t>
      </w:r>
      <w:r>
        <w:rPr>
          <w:rFonts w:ascii="Arial" w:hAnsi="Arial" w:cs="Arial"/>
          <w:lang w:val="es-CO"/>
        </w:rPr>
        <w:t>s bases técnicas:</w:t>
      </w:r>
    </w:p>
    <w:p w14:paraId="4C128E81" w14:textId="77777777" w:rsidR="00B2442D" w:rsidRDefault="00B2442D">
      <w:pPr>
        <w:jc w:val="both"/>
        <w:rPr>
          <w:rFonts w:ascii="Arial" w:hAnsi="Arial" w:cs="Arial"/>
          <w:lang w:val="es-CO"/>
        </w:rPr>
      </w:pPr>
    </w:p>
    <w:p w14:paraId="7EF1C141"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Para calcular los futuros incrementos de salarios y pensiones, la tasa DANE para el año k será el promedio resultante de sumar tres (3) veces la inflación del año k-1, más dos (2) veces la inflación del año k-2, más una (1) vez la inf</w:t>
      </w:r>
      <w:r>
        <w:rPr>
          <w:rFonts w:ascii="Arial" w:hAnsi="Arial" w:cs="Arial"/>
          <w:lang w:val="es-CO"/>
        </w:rPr>
        <w:t>lación del año k-3.</w:t>
      </w:r>
    </w:p>
    <w:p w14:paraId="1B8FC504" w14:textId="77777777" w:rsidR="00B2442D" w:rsidRDefault="00B2442D">
      <w:pPr>
        <w:ind w:left="284" w:hanging="284"/>
        <w:jc w:val="both"/>
        <w:rPr>
          <w:rFonts w:ascii="Arial" w:hAnsi="Arial" w:cs="Arial"/>
          <w:lang w:val="es-CO"/>
        </w:rPr>
      </w:pPr>
    </w:p>
    <w:p w14:paraId="7585DB3A"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Se deberá utilizar una tasa real de interés técnico del cuatro punto ocho por ciento (4.8%).</w:t>
      </w:r>
    </w:p>
    <w:p w14:paraId="2B3849CA" w14:textId="77777777" w:rsidR="00B2442D" w:rsidRDefault="00B2442D">
      <w:pPr>
        <w:ind w:left="284" w:hanging="284"/>
        <w:jc w:val="both"/>
        <w:rPr>
          <w:rFonts w:ascii="Arial" w:hAnsi="Arial" w:cs="Arial"/>
          <w:lang w:val="es-CO"/>
        </w:rPr>
      </w:pPr>
    </w:p>
    <w:p w14:paraId="29739ED4"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Para el personal activo y retirado debe considerarse el incremento anticipado de la renta al inicio del segundo semestre del primer año</w:t>
      </w:r>
      <w:r>
        <w:rPr>
          <w:rFonts w:ascii="Arial" w:hAnsi="Arial" w:cs="Arial"/>
          <w:lang w:val="es-CO"/>
        </w:rPr>
        <w:t>.</w:t>
      </w:r>
    </w:p>
    <w:p w14:paraId="53A0F9B1" w14:textId="77777777" w:rsidR="00B2442D" w:rsidRDefault="00B2442D">
      <w:pPr>
        <w:jc w:val="both"/>
        <w:rPr>
          <w:rFonts w:ascii="Arial" w:hAnsi="Arial" w:cs="Arial"/>
          <w:lang w:val="es-CO"/>
        </w:rPr>
      </w:pPr>
    </w:p>
    <w:p w14:paraId="6197CA80" w14:textId="77777777" w:rsidR="00B2442D" w:rsidRDefault="008A645F">
      <w:pPr>
        <w:jc w:val="both"/>
        <w:rPr>
          <w:rFonts w:ascii="Arial" w:hAnsi="Arial" w:cs="Arial"/>
          <w:i/>
          <w:lang w:val="es-CO"/>
        </w:rPr>
      </w:pPr>
      <w:r>
        <w:rPr>
          <w:rFonts w:ascii="Arial" w:hAnsi="Arial" w:cs="Arial"/>
          <w:i/>
          <w:lang w:val="es-CO"/>
        </w:rPr>
        <w:t>(Art. 1, Decreto 2783 de 2001)</w:t>
      </w:r>
      <w:r>
        <w:rPr>
          <w:rFonts w:ascii="Arial" w:hAnsi="Arial" w:cs="Arial"/>
        </w:rPr>
        <w:t xml:space="preserve"> (</w:t>
      </w:r>
      <w:r>
        <w:rPr>
          <w:rFonts w:ascii="Arial" w:hAnsi="Arial" w:cs="Arial"/>
          <w:i/>
          <w:lang w:val="es-CO"/>
        </w:rPr>
        <w:t>El Decreto 2783 de 2001 rige a partir de la fecha de su publicación y deroga los Decretos 2498 de 1988 y 1628 de 1991. Art. 5, Decreto 2783 de 2001)</w:t>
      </w:r>
    </w:p>
    <w:p w14:paraId="17406A1E" w14:textId="77777777" w:rsidR="00B2442D" w:rsidRDefault="00B2442D">
      <w:pPr>
        <w:jc w:val="both"/>
        <w:rPr>
          <w:rFonts w:ascii="Arial" w:hAnsi="Arial" w:cs="Arial"/>
          <w:lang w:val="es-CO"/>
        </w:rPr>
      </w:pPr>
    </w:p>
    <w:p w14:paraId="1D33BDAB"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Cálculos actuariales de las Entidades sometidas al control y </w:t>
      </w:r>
      <w:r>
        <w:rPr>
          <w:rFonts w:ascii="Arial" w:hAnsi="Arial" w:cs="Arial"/>
          <w:b/>
          <w:i/>
          <w:lang w:val="es-CO"/>
        </w:rPr>
        <w:t>vigilancia de la Superintendencia Financiera de Colombia en condición de empleadores.</w:t>
      </w:r>
      <w:r>
        <w:rPr>
          <w:rFonts w:ascii="Arial" w:hAnsi="Arial" w:cs="Arial"/>
          <w:lang w:val="es-CO"/>
        </w:rPr>
        <w:t xml:space="preserve">  A partir del año gravable 2009, en la elaboración de los cálculos actuariales de que trata el artículo 113 del Estatuto Tributario las entidades sometidas al control y v</w:t>
      </w:r>
      <w:r>
        <w:rPr>
          <w:rFonts w:ascii="Arial" w:hAnsi="Arial" w:cs="Arial"/>
          <w:lang w:val="es-CO"/>
        </w:rPr>
        <w:t>igilancia de la Superintendencia Financiera de Colombia, en condición de empleadores, deberán seguir las bases técnicas establecidas en el artículo 1.2.1.18.46 del presente Decreto.</w:t>
      </w:r>
    </w:p>
    <w:p w14:paraId="65000882" w14:textId="77777777" w:rsidR="00B2442D" w:rsidRDefault="00B2442D">
      <w:pPr>
        <w:jc w:val="both"/>
        <w:rPr>
          <w:rFonts w:ascii="Arial" w:hAnsi="Arial" w:cs="Arial"/>
          <w:i/>
          <w:lang w:val="es-CO"/>
        </w:rPr>
      </w:pPr>
    </w:p>
    <w:p w14:paraId="4D5356B1" w14:textId="77777777" w:rsidR="00B2442D" w:rsidRDefault="008A645F">
      <w:pPr>
        <w:jc w:val="both"/>
        <w:rPr>
          <w:rFonts w:ascii="Arial" w:hAnsi="Arial" w:cs="Arial"/>
          <w:i/>
          <w:lang w:val="es-CO"/>
        </w:rPr>
      </w:pPr>
      <w:r>
        <w:rPr>
          <w:rFonts w:ascii="Arial" w:hAnsi="Arial" w:cs="Arial"/>
          <w:i/>
          <w:lang w:val="es-CO"/>
        </w:rPr>
        <w:t>(Art. 2, Decreto 2783 de 2001, modificado por el art. 1, del Decreto 2984</w:t>
      </w:r>
      <w:r>
        <w:rPr>
          <w:rFonts w:ascii="Arial" w:hAnsi="Arial" w:cs="Arial"/>
          <w:i/>
          <w:lang w:val="es-CO"/>
        </w:rPr>
        <w:t xml:space="preserve"> de 2009)</w:t>
      </w:r>
      <w:r>
        <w:rPr>
          <w:rFonts w:ascii="Arial" w:hAnsi="Arial" w:cs="Arial"/>
        </w:rPr>
        <w:t xml:space="preserve"> (</w:t>
      </w:r>
      <w:r>
        <w:rPr>
          <w:rFonts w:ascii="Arial" w:hAnsi="Arial" w:cs="Arial"/>
          <w:i/>
          <w:lang w:val="es-CO"/>
        </w:rPr>
        <w:t>El Decreto 2783 de 2001 rige a partir de la fecha de su publicación y deroga los Decretos 2498 de 1988 y 1628 de 1991. Art. 5, Decreto 2783 de 2001)</w:t>
      </w:r>
    </w:p>
    <w:p w14:paraId="11319A9F" w14:textId="77777777" w:rsidR="00B2442D" w:rsidRDefault="00B2442D">
      <w:pPr>
        <w:jc w:val="both"/>
        <w:rPr>
          <w:rFonts w:ascii="Arial" w:hAnsi="Arial" w:cs="Arial"/>
          <w:lang w:val="es-CO"/>
        </w:rPr>
      </w:pPr>
    </w:p>
    <w:p w14:paraId="370582D4"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Cálculo proporcional para personal activo.</w:t>
      </w:r>
      <w:r>
        <w:rPr>
          <w:rFonts w:ascii="Arial" w:hAnsi="Arial" w:cs="Arial"/>
          <w:lang w:val="es-CO"/>
        </w:rPr>
        <w:t xml:space="preserve"> Para el personal activo el cálculo se ajustará en la</w:t>
      </w:r>
      <w:r>
        <w:rPr>
          <w:rFonts w:ascii="Arial" w:hAnsi="Arial" w:cs="Arial"/>
          <w:lang w:val="es-CO"/>
        </w:rPr>
        <w:t xml:space="preserve"> proporción que resulte de dividir el número de años laborados por el trabajador a la fecha del cálculo actuarial, por el número de años que se requieran para que este reciba la primera mesada pensional, contados desde la fecha de ingreso a la empresa.</w:t>
      </w:r>
    </w:p>
    <w:p w14:paraId="6978DA47" w14:textId="77777777" w:rsidR="00B2442D" w:rsidRDefault="00B2442D">
      <w:pPr>
        <w:jc w:val="both"/>
        <w:rPr>
          <w:rFonts w:ascii="Arial" w:hAnsi="Arial" w:cs="Arial"/>
          <w:lang w:val="es-CO"/>
        </w:rPr>
      </w:pPr>
    </w:p>
    <w:p w14:paraId="5C5AB8C6" w14:textId="77777777" w:rsidR="00B2442D" w:rsidRDefault="008A645F">
      <w:pPr>
        <w:jc w:val="both"/>
        <w:rPr>
          <w:rFonts w:ascii="Arial" w:hAnsi="Arial" w:cs="Arial"/>
          <w:lang w:val="es-CO"/>
        </w:rPr>
      </w:pPr>
      <w:r>
        <w:rPr>
          <w:rFonts w:ascii="Arial" w:hAnsi="Arial" w:cs="Arial"/>
          <w:i/>
          <w:lang w:val="es-CO"/>
        </w:rPr>
        <w:t>(A</w:t>
      </w:r>
      <w:r>
        <w:rPr>
          <w:rFonts w:ascii="Arial" w:hAnsi="Arial" w:cs="Arial"/>
          <w:i/>
          <w:lang w:val="es-CO"/>
        </w:rPr>
        <w:t>rt. 3, Decreto 2783 de 2001)</w:t>
      </w:r>
      <w:r>
        <w:rPr>
          <w:rFonts w:ascii="Arial" w:hAnsi="Arial" w:cs="Arial"/>
        </w:rPr>
        <w:t xml:space="preserve"> </w:t>
      </w:r>
      <w:r>
        <w:rPr>
          <w:rFonts w:ascii="Arial" w:hAnsi="Arial" w:cs="Arial"/>
          <w:i/>
          <w:lang w:val="es-CO"/>
        </w:rPr>
        <w:t>(El Decreto 2783 de 2001 rige a partir de la fecha de su publicación y deroga los Decretos 2498 de 1988 y 1628 de 1991. Art. 5, Decreto 2783 de 2001)</w:t>
      </w:r>
    </w:p>
    <w:p w14:paraId="1F6F5BBF" w14:textId="77777777" w:rsidR="00B2442D" w:rsidRDefault="00B2442D">
      <w:pPr>
        <w:jc w:val="both"/>
        <w:rPr>
          <w:rFonts w:ascii="Arial" w:hAnsi="Arial" w:cs="Arial"/>
          <w:lang w:val="es-CO"/>
        </w:rPr>
      </w:pPr>
    </w:p>
    <w:p w14:paraId="0E1F83BC"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Concepto o aprobación de la Superintendencia Financiera de Colombia para ent</w:t>
      </w:r>
      <w:r>
        <w:rPr>
          <w:rFonts w:ascii="Arial" w:hAnsi="Arial" w:cs="Arial"/>
          <w:b/>
          <w:i/>
          <w:lang w:val="es-CO"/>
        </w:rPr>
        <w:t>idades no vigiladas.</w:t>
      </w:r>
      <w:r>
        <w:rPr>
          <w:rFonts w:ascii="Arial" w:hAnsi="Arial" w:cs="Arial"/>
          <w:lang w:val="es-CO"/>
        </w:rPr>
        <w:t xml:space="preserve"> Cuando la Superintendencia Financiera de Colombia, deba dar concepto o aprobación a los cálculos actuariales de entidades no vigiladas por ella, con el fin de determinar las sumas que deben trasladarse a una entidad que actúe como Admi</w:t>
      </w:r>
      <w:r>
        <w:rPr>
          <w:rFonts w:ascii="Arial" w:hAnsi="Arial" w:cs="Arial"/>
          <w:lang w:val="es-CO"/>
        </w:rPr>
        <w:t>nistradora del Régimen de Prima Media, para que esta asuma de manera definitiva el pago de obligaciones pensionares, la Superintendencia Financiera de Colombia deberá tomar en cuenta para tal efecto, los parámetros técnicos que correspondan a casos de conm</w:t>
      </w:r>
      <w:r>
        <w:rPr>
          <w:rFonts w:ascii="Arial" w:hAnsi="Arial" w:cs="Arial"/>
          <w:lang w:val="es-CO"/>
        </w:rPr>
        <w:t>utación pensional.</w:t>
      </w:r>
    </w:p>
    <w:p w14:paraId="6A0D7280" w14:textId="77777777" w:rsidR="00B2442D" w:rsidRDefault="00B2442D">
      <w:pPr>
        <w:jc w:val="both"/>
        <w:rPr>
          <w:rFonts w:ascii="Arial" w:hAnsi="Arial" w:cs="Arial"/>
          <w:lang w:val="es-CO"/>
        </w:rPr>
      </w:pPr>
    </w:p>
    <w:p w14:paraId="20EE82FA" w14:textId="77777777" w:rsidR="00B2442D" w:rsidRDefault="008A645F">
      <w:pPr>
        <w:jc w:val="both"/>
        <w:rPr>
          <w:rFonts w:ascii="Arial" w:hAnsi="Arial" w:cs="Arial"/>
          <w:lang w:val="es-CO"/>
        </w:rPr>
      </w:pPr>
      <w:r>
        <w:rPr>
          <w:rFonts w:ascii="Arial" w:hAnsi="Arial" w:cs="Arial"/>
          <w:lang w:val="es-CO"/>
        </w:rPr>
        <w:t>La Superintendencia Financiera de Colombia podrá conceder plazos de ajuste cuando quiera que se hayan realizado cálculos con parámetros diferentes de los aquí señalados. En todo caso, la asunción definitiva de las obligaciones pensional</w:t>
      </w:r>
      <w:r>
        <w:rPr>
          <w:rFonts w:ascii="Arial" w:hAnsi="Arial" w:cs="Arial"/>
          <w:lang w:val="es-CO"/>
        </w:rPr>
        <w:t>es solo se podrá producir cuando se hayan trasladado las sumas calculadas de acuerdo con los parámetros que correspondan a conmutación pensional.</w:t>
      </w:r>
    </w:p>
    <w:p w14:paraId="79236890" w14:textId="77777777" w:rsidR="00B2442D" w:rsidRDefault="00B2442D">
      <w:pPr>
        <w:jc w:val="both"/>
        <w:rPr>
          <w:rFonts w:ascii="Arial" w:hAnsi="Arial" w:cs="Arial"/>
          <w:lang w:val="es-CO"/>
        </w:rPr>
      </w:pPr>
    </w:p>
    <w:p w14:paraId="5E6F61E8" w14:textId="77777777" w:rsidR="00B2442D" w:rsidRDefault="008A645F">
      <w:pPr>
        <w:jc w:val="both"/>
        <w:rPr>
          <w:rFonts w:ascii="Arial" w:hAnsi="Arial" w:cs="Arial"/>
          <w:lang w:val="es-CO"/>
        </w:rPr>
      </w:pPr>
      <w:r>
        <w:rPr>
          <w:rFonts w:ascii="Arial" w:hAnsi="Arial" w:cs="Arial"/>
          <w:i/>
          <w:lang w:val="es-CO"/>
        </w:rPr>
        <w:t>(Art. 4, Decreto 2783 de 2001)</w:t>
      </w:r>
      <w:r>
        <w:rPr>
          <w:rFonts w:ascii="Arial" w:hAnsi="Arial" w:cs="Arial"/>
        </w:rPr>
        <w:t xml:space="preserve"> </w:t>
      </w:r>
      <w:r>
        <w:rPr>
          <w:rFonts w:ascii="Arial" w:hAnsi="Arial" w:cs="Arial"/>
          <w:i/>
          <w:lang w:val="es-CO"/>
        </w:rPr>
        <w:t xml:space="preserve">(El Decreto 2783 de 2001 rige a partir de la fecha de su publicación y deroga </w:t>
      </w:r>
      <w:r>
        <w:rPr>
          <w:rFonts w:ascii="Arial" w:hAnsi="Arial" w:cs="Arial"/>
          <w:i/>
          <w:lang w:val="es-CO"/>
        </w:rPr>
        <w:t>los Decretos 2498 de 1988 y 1628 de 1991. Art. 5, Decreto 2783 de 2001)</w:t>
      </w:r>
    </w:p>
    <w:p w14:paraId="720BFC63" w14:textId="77777777" w:rsidR="00B2442D" w:rsidRDefault="00B2442D">
      <w:pPr>
        <w:jc w:val="both"/>
        <w:rPr>
          <w:rFonts w:ascii="Arial" w:hAnsi="Arial" w:cs="Arial"/>
          <w:lang w:val="es-CO"/>
        </w:rPr>
      </w:pPr>
    </w:p>
    <w:p w14:paraId="50DE4C83"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Efectos tributarios del leasing habitacional.</w:t>
      </w:r>
      <w:r>
        <w:rPr>
          <w:rFonts w:ascii="Arial" w:hAnsi="Arial" w:cs="Arial"/>
          <w:lang w:val="es-CO"/>
        </w:rPr>
        <w:t xml:space="preserve"> De conformidad con lo establecido en el literal n) del numeral 1 del artículo 7° del Estatuto Orgánico del Sistema Financiero (hoy Título</w:t>
      </w:r>
      <w:r>
        <w:rPr>
          <w:rFonts w:ascii="Arial" w:hAnsi="Arial" w:cs="Arial"/>
          <w:lang w:val="es-CO"/>
        </w:rPr>
        <w:t xml:space="preserve"> 1 del Libro 28 de la Parte 2 del Decreto 2555 de 2010), el </w:t>
      </w:r>
      <w:r>
        <w:rPr>
          <w:rFonts w:ascii="Arial" w:hAnsi="Arial" w:cs="Arial"/>
          <w:i/>
          <w:lang w:val="es-CO"/>
        </w:rPr>
        <w:t>leasing</w:t>
      </w:r>
      <w:r>
        <w:rPr>
          <w:rFonts w:ascii="Arial" w:hAnsi="Arial" w:cs="Arial"/>
          <w:lang w:val="es-CO"/>
        </w:rPr>
        <w:t xml:space="preserve"> que tenga por objeto un bien inmueble destinado a vivienda será considerado para efectos tributarios como un </w:t>
      </w:r>
      <w:r>
        <w:rPr>
          <w:rFonts w:ascii="Arial" w:hAnsi="Arial" w:cs="Arial"/>
          <w:i/>
          <w:lang w:val="es-CO"/>
        </w:rPr>
        <w:t>leasing</w:t>
      </w:r>
      <w:r>
        <w:rPr>
          <w:rFonts w:ascii="Arial" w:hAnsi="Arial" w:cs="Arial"/>
          <w:lang w:val="es-CO"/>
        </w:rPr>
        <w:t xml:space="preserve"> operativo para el locatario. En consecuencia, el locatario podrá deduci</w:t>
      </w:r>
      <w:r>
        <w:rPr>
          <w:rFonts w:ascii="Arial" w:hAnsi="Arial" w:cs="Arial"/>
          <w:lang w:val="es-CO"/>
        </w:rPr>
        <w:t>r la parte correspondiente a los intereses y/o corrección monetaria o costo financiero que haya pagado durante el respectivo año, hasta el monto anual máximo consagrado en el artículo 119 del Estatuto Tributario.</w:t>
      </w:r>
    </w:p>
    <w:p w14:paraId="7B2A22D1" w14:textId="77777777" w:rsidR="00B2442D" w:rsidRDefault="00B2442D">
      <w:pPr>
        <w:jc w:val="both"/>
        <w:rPr>
          <w:rFonts w:ascii="Arial" w:hAnsi="Arial" w:cs="Arial"/>
          <w:lang w:val="es-CO"/>
        </w:rPr>
      </w:pPr>
    </w:p>
    <w:p w14:paraId="1A8694FA" w14:textId="77777777" w:rsidR="00B2442D" w:rsidRDefault="008A645F">
      <w:pPr>
        <w:jc w:val="both"/>
        <w:rPr>
          <w:rFonts w:ascii="Arial" w:hAnsi="Arial" w:cs="Arial"/>
          <w:i/>
          <w:lang w:val="es-CO"/>
        </w:rPr>
      </w:pPr>
      <w:r>
        <w:rPr>
          <w:rFonts w:ascii="Arial" w:hAnsi="Arial" w:cs="Arial"/>
          <w:i/>
          <w:lang w:val="es-CO"/>
        </w:rPr>
        <w:t>(Art. 1, Decreto 779 de 2003)</w:t>
      </w:r>
    </w:p>
    <w:p w14:paraId="380E07C6" w14:textId="77777777" w:rsidR="00B2442D" w:rsidRDefault="00B2442D">
      <w:pPr>
        <w:jc w:val="both"/>
        <w:rPr>
          <w:rFonts w:ascii="Arial" w:hAnsi="Arial" w:cs="Arial"/>
          <w:i/>
          <w:lang w:val="es-CO"/>
        </w:rPr>
      </w:pPr>
    </w:p>
    <w:p w14:paraId="0D4CFF5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Definicione</w:t>
      </w:r>
      <w:r>
        <w:rPr>
          <w:rFonts w:ascii="Arial" w:hAnsi="Arial" w:cs="Arial"/>
          <w:b/>
          <w:i/>
          <w:lang w:val="es-CO"/>
        </w:rPr>
        <w:t>s.</w:t>
      </w:r>
      <w:r>
        <w:rPr>
          <w:rFonts w:ascii="Arial" w:hAnsi="Arial" w:cs="Arial"/>
          <w:lang w:val="es-CO"/>
        </w:rPr>
        <w:t xml:space="preserve"> Para efectos de los artículos 1.2.1.18.51 al 1.2.1.18.56 del presente Decreto se adoptan las siguientes definiciones:</w:t>
      </w:r>
    </w:p>
    <w:p w14:paraId="5DEB655F" w14:textId="77777777" w:rsidR="00B2442D" w:rsidRDefault="00B2442D">
      <w:pPr>
        <w:jc w:val="both"/>
        <w:rPr>
          <w:rFonts w:ascii="Arial" w:hAnsi="Arial" w:cs="Arial"/>
          <w:lang w:val="es-CO"/>
        </w:rPr>
      </w:pPr>
    </w:p>
    <w:p w14:paraId="2A9CC807" w14:textId="77777777" w:rsidR="00B2442D" w:rsidRDefault="008A645F">
      <w:pPr>
        <w:jc w:val="both"/>
        <w:rPr>
          <w:rFonts w:ascii="Arial" w:hAnsi="Arial" w:cs="Arial"/>
          <w:lang w:val="es-CO"/>
        </w:rPr>
      </w:pPr>
      <w:r>
        <w:rPr>
          <w:rFonts w:ascii="Arial" w:hAnsi="Arial" w:cs="Arial"/>
          <w:b/>
          <w:lang w:val="es-CO"/>
        </w:rPr>
        <w:t>a.</w:t>
      </w:r>
      <w:r>
        <w:rPr>
          <w:rFonts w:ascii="Arial" w:hAnsi="Arial" w:cs="Arial"/>
          <w:b/>
          <w:lang w:val="es-CO"/>
        </w:rPr>
        <w:tab/>
        <w:t>Inversiones en control del medio ambiente:</w:t>
      </w:r>
      <w:r>
        <w:rPr>
          <w:rFonts w:ascii="Arial" w:hAnsi="Arial" w:cs="Arial"/>
          <w:lang w:val="es-CO"/>
        </w:rPr>
        <w:t xml:space="preserve"> Son aquellas orientadas a la implementación de sistemas de control ambiental, los cuales</w:t>
      </w:r>
      <w:r>
        <w:rPr>
          <w:rFonts w:ascii="Arial" w:hAnsi="Arial" w:cs="Arial"/>
          <w:lang w:val="es-CO"/>
        </w:rPr>
        <w:t xml:space="preserve"> tienen por objeto el logro de resultados medibles y verificables de disminución de la demanda de recursos naturales renovables, o de prevención y/o reducción en la generación y/o mejoramiento de la calidad de residuos líquidos, emisiones atmosféricas o re</w:t>
      </w:r>
      <w:r>
        <w:rPr>
          <w:rFonts w:ascii="Arial" w:hAnsi="Arial" w:cs="Arial"/>
          <w:lang w:val="es-CO"/>
        </w:rPr>
        <w:t>siduos sólidos. Las inversiones en control del medio ambiente pueden efectuarse dentro de un proceso productivo, lo que se denomina control ambiental en la fuente, y/o al terminar el proceso productivo, en cuyo caso se tratará de control ambiental al final</w:t>
      </w:r>
      <w:r>
        <w:rPr>
          <w:rFonts w:ascii="Arial" w:hAnsi="Arial" w:cs="Arial"/>
          <w:lang w:val="es-CO"/>
        </w:rPr>
        <w:t xml:space="preserve"> del proceso. </w:t>
      </w:r>
    </w:p>
    <w:p w14:paraId="5BB27834" w14:textId="77777777" w:rsidR="00B2442D" w:rsidRDefault="00B2442D">
      <w:pPr>
        <w:jc w:val="both"/>
        <w:rPr>
          <w:rFonts w:ascii="Arial" w:hAnsi="Arial" w:cs="Arial"/>
          <w:lang w:val="es-CO"/>
        </w:rPr>
      </w:pPr>
    </w:p>
    <w:p w14:paraId="68BA3D8D" w14:textId="77777777" w:rsidR="00B2442D" w:rsidRDefault="008A645F">
      <w:pPr>
        <w:jc w:val="both"/>
        <w:rPr>
          <w:rFonts w:ascii="Arial" w:hAnsi="Arial" w:cs="Arial"/>
          <w:lang w:val="es-CO"/>
        </w:rPr>
      </w:pPr>
      <w:r>
        <w:rPr>
          <w:rFonts w:ascii="Arial" w:hAnsi="Arial" w:cs="Arial"/>
          <w:lang w:val="es-CO"/>
        </w:rPr>
        <w:t xml:space="preserve">También se consideran inversiones en control ambiental aquellas destinadas con carácter exclusivo y en forma directa a la obtención, verificación, procesamiento, vigilancia, seguimiento o monitoreo del estado, calidad, comportamiento y uso </w:t>
      </w:r>
      <w:r>
        <w:rPr>
          <w:rFonts w:ascii="Arial" w:hAnsi="Arial" w:cs="Arial"/>
          <w:lang w:val="es-CO"/>
        </w:rPr>
        <w:t xml:space="preserve">de los recursos naturales renovables y del medio ambiente, variables o parámetros ambientales, vertimientos, residuos y/o emisiones. </w:t>
      </w:r>
    </w:p>
    <w:p w14:paraId="4BD8422F" w14:textId="77777777" w:rsidR="00B2442D" w:rsidRDefault="00B2442D">
      <w:pPr>
        <w:jc w:val="both"/>
        <w:rPr>
          <w:rFonts w:ascii="Arial" w:hAnsi="Arial" w:cs="Arial"/>
          <w:lang w:val="es-CO"/>
        </w:rPr>
      </w:pPr>
    </w:p>
    <w:p w14:paraId="426FD77F" w14:textId="77777777" w:rsidR="00B2442D" w:rsidRDefault="008A645F">
      <w:pPr>
        <w:jc w:val="both"/>
        <w:rPr>
          <w:rFonts w:ascii="Arial" w:hAnsi="Arial" w:cs="Arial"/>
          <w:lang w:val="es-CO"/>
        </w:rPr>
      </w:pPr>
      <w:r>
        <w:rPr>
          <w:rFonts w:ascii="Arial" w:hAnsi="Arial" w:cs="Arial"/>
          <w:b/>
          <w:lang w:val="es-CO"/>
        </w:rPr>
        <w:t>b.</w:t>
      </w:r>
      <w:r>
        <w:rPr>
          <w:rFonts w:ascii="Arial" w:hAnsi="Arial" w:cs="Arial"/>
          <w:b/>
          <w:lang w:val="es-CO"/>
        </w:rPr>
        <w:tab/>
        <w:t>Inversiones en mejoramiento del medio ambiente:</w:t>
      </w:r>
      <w:r>
        <w:rPr>
          <w:rFonts w:ascii="Arial" w:hAnsi="Arial" w:cs="Arial"/>
          <w:lang w:val="es-CO"/>
        </w:rPr>
        <w:t xml:space="preserve"> Son las necesarias para desarrollar procesos que tengan por objeto la </w:t>
      </w:r>
      <w:r>
        <w:rPr>
          <w:rFonts w:ascii="Arial" w:hAnsi="Arial" w:cs="Arial"/>
          <w:lang w:val="es-CO"/>
        </w:rPr>
        <w:t xml:space="preserve">restauración, regeneración, repoblación, preservación y conservación de los recursos naturales renovables y del medio ambiente. </w:t>
      </w:r>
    </w:p>
    <w:p w14:paraId="57AAF57B" w14:textId="77777777" w:rsidR="00B2442D" w:rsidRDefault="00B2442D">
      <w:pPr>
        <w:jc w:val="both"/>
        <w:rPr>
          <w:rFonts w:ascii="Arial" w:hAnsi="Arial" w:cs="Arial"/>
          <w:lang w:val="es-CO"/>
        </w:rPr>
      </w:pPr>
    </w:p>
    <w:p w14:paraId="5498616C" w14:textId="77777777" w:rsidR="00B2442D" w:rsidRDefault="008A645F">
      <w:pPr>
        <w:jc w:val="both"/>
        <w:rPr>
          <w:rFonts w:ascii="Arial" w:hAnsi="Arial" w:cs="Arial"/>
          <w:lang w:val="es-CO"/>
        </w:rPr>
      </w:pPr>
      <w:r>
        <w:rPr>
          <w:rFonts w:ascii="Arial" w:hAnsi="Arial" w:cs="Arial"/>
          <w:b/>
          <w:lang w:val="es-CO"/>
        </w:rPr>
        <w:t>c.</w:t>
      </w:r>
      <w:r>
        <w:rPr>
          <w:rFonts w:ascii="Arial" w:hAnsi="Arial" w:cs="Arial"/>
          <w:b/>
          <w:lang w:val="es-CO"/>
        </w:rPr>
        <w:tab/>
        <w:t>Beneficios ambientales directos:</w:t>
      </w:r>
      <w:r>
        <w:rPr>
          <w:rFonts w:ascii="Arial" w:hAnsi="Arial" w:cs="Arial"/>
          <w:lang w:val="es-CO"/>
        </w:rPr>
        <w:t xml:space="preserve"> En los casos de inversiones directamente relacionadas con el control del medio ambiente, l</w:t>
      </w:r>
      <w:r>
        <w:rPr>
          <w:rFonts w:ascii="Arial" w:hAnsi="Arial" w:cs="Arial"/>
          <w:lang w:val="es-CO"/>
        </w:rPr>
        <w:t>os beneficios ambientales directos se entienden como el conjunto de resultados medibles y verificables que se alcanzan con la implementación de un sistema de control ambiental. Estos resultados se refieren a la disminución en la demanda de recursos natural</w:t>
      </w:r>
      <w:r>
        <w:rPr>
          <w:rFonts w:ascii="Arial" w:hAnsi="Arial" w:cs="Arial"/>
          <w:lang w:val="es-CO"/>
        </w:rPr>
        <w:t>es renovables, a la prevención y/o reducción en la generación de residuos líquidos, emisiones atmosféricas o residuos sólidos, así como también a la obtención, verificación, procesamiento, vigilancia, seguimiento o monitoreo del estado, calidad, comportami</w:t>
      </w:r>
      <w:r>
        <w:rPr>
          <w:rFonts w:ascii="Arial" w:hAnsi="Arial" w:cs="Arial"/>
          <w:lang w:val="es-CO"/>
        </w:rPr>
        <w:t xml:space="preserve">ento y uso de los recursos naturales renovables y del medio ambiente. </w:t>
      </w:r>
    </w:p>
    <w:p w14:paraId="74DE6218" w14:textId="77777777" w:rsidR="00B2442D" w:rsidRDefault="00B2442D">
      <w:pPr>
        <w:jc w:val="both"/>
        <w:rPr>
          <w:rFonts w:ascii="Arial" w:hAnsi="Arial" w:cs="Arial"/>
          <w:lang w:val="es-CO"/>
        </w:rPr>
      </w:pPr>
    </w:p>
    <w:p w14:paraId="12662836" w14:textId="77777777" w:rsidR="00B2442D" w:rsidRDefault="008A645F">
      <w:pPr>
        <w:jc w:val="both"/>
        <w:rPr>
          <w:rFonts w:ascii="Arial" w:hAnsi="Arial" w:cs="Arial"/>
          <w:lang w:val="es-CO"/>
        </w:rPr>
      </w:pPr>
      <w:r>
        <w:rPr>
          <w:rFonts w:ascii="Arial" w:hAnsi="Arial" w:cs="Arial"/>
          <w:lang w:val="es-CO"/>
        </w:rPr>
        <w:t xml:space="preserve">Se entenderá que se alcanzan beneficios ambientales directos en inversiones en mejoramiento del medio ambiente, cuando se ejecuten proyectos encaminados a la restauración, </w:t>
      </w:r>
      <w:r>
        <w:rPr>
          <w:rFonts w:ascii="Arial" w:hAnsi="Arial" w:cs="Arial"/>
          <w:lang w:val="es-CO"/>
        </w:rPr>
        <w:t>regeneración, repoblación, y conservación de los recursos naturales renovables y del medio ambiente, siempre y cuando las inversiones correspondan al desarrollo de planes y políticas ambientales nacionales previstas en el Plan Nacional de Desarrollo y/o fo</w:t>
      </w:r>
      <w:r>
        <w:rPr>
          <w:rFonts w:ascii="Arial" w:hAnsi="Arial" w:cs="Arial"/>
          <w:lang w:val="es-CO"/>
        </w:rPr>
        <w:t>rmuladas por el Ministerio de Ambiente y Desarrollo Sostenible, o se enmarquen en la implementación de planes ambientales regionales definidos por las autoridades ambientales.</w:t>
      </w:r>
    </w:p>
    <w:p w14:paraId="74214BE6" w14:textId="77777777" w:rsidR="00B2442D" w:rsidRDefault="00B2442D">
      <w:pPr>
        <w:jc w:val="both"/>
        <w:rPr>
          <w:rFonts w:ascii="Arial" w:hAnsi="Arial" w:cs="Arial"/>
          <w:lang w:val="es-CO"/>
        </w:rPr>
      </w:pPr>
    </w:p>
    <w:p w14:paraId="3C699DCE" w14:textId="77777777" w:rsidR="00B2442D" w:rsidRDefault="008A645F">
      <w:pPr>
        <w:jc w:val="both"/>
        <w:rPr>
          <w:rFonts w:ascii="Arial" w:hAnsi="Arial" w:cs="Arial"/>
          <w:i/>
          <w:lang w:val="es-CO"/>
        </w:rPr>
      </w:pPr>
      <w:r>
        <w:rPr>
          <w:rFonts w:ascii="Arial" w:hAnsi="Arial" w:cs="Arial"/>
          <w:i/>
          <w:lang w:val="es-CO"/>
        </w:rPr>
        <w:t>(Art. 1, Decreto 3172 de 2003)</w:t>
      </w:r>
    </w:p>
    <w:p w14:paraId="3AD7CD5D" w14:textId="77777777" w:rsidR="00B2442D" w:rsidRDefault="00B2442D">
      <w:pPr>
        <w:jc w:val="both"/>
        <w:rPr>
          <w:rFonts w:ascii="Arial" w:hAnsi="Arial" w:cs="Arial"/>
          <w:i/>
          <w:lang w:val="es-CO"/>
        </w:rPr>
      </w:pPr>
    </w:p>
    <w:p w14:paraId="03EE4759"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Requisitos para la procedencia de la deducción </w:t>
      </w:r>
      <w:r>
        <w:rPr>
          <w:rFonts w:ascii="Arial" w:hAnsi="Arial" w:cs="Arial"/>
          <w:b/>
          <w:i/>
          <w:lang w:val="es-CO"/>
        </w:rPr>
        <w:t>por inversiones en control y mejoramiento del medio ambiente.</w:t>
      </w:r>
      <w:r>
        <w:rPr>
          <w:rFonts w:ascii="Arial" w:hAnsi="Arial" w:cs="Arial"/>
          <w:lang w:val="es-CO"/>
        </w:rPr>
        <w:t xml:space="preserve"> Para la procedencia de la deducción por inversiones en control y mejoramiento del medio ambiente, el contribuyente deberá acreditar el cumplimiento de los siguientes requisitos cuando la Unidad </w:t>
      </w:r>
      <w:r>
        <w:rPr>
          <w:rFonts w:ascii="Arial" w:hAnsi="Arial" w:cs="Arial"/>
          <w:lang w:val="es-CO"/>
        </w:rPr>
        <w:t>Administrativa Especial Dirección de Impuestos y Aduanas Nacionales- DIAN, los exija:</w:t>
      </w:r>
    </w:p>
    <w:p w14:paraId="6733DDA6" w14:textId="77777777" w:rsidR="00B2442D" w:rsidRDefault="00B2442D">
      <w:pPr>
        <w:jc w:val="both"/>
        <w:rPr>
          <w:rFonts w:ascii="Arial" w:hAnsi="Arial" w:cs="Arial"/>
          <w:lang w:val="es-CO"/>
        </w:rPr>
      </w:pPr>
    </w:p>
    <w:p w14:paraId="4BCB0B9C"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Que quien realice la inversión sea persona jurídica.</w:t>
      </w:r>
    </w:p>
    <w:p w14:paraId="47894580" w14:textId="77777777" w:rsidR="00B2442D" w:rsidRDefault="00B2442D">
      <w:pPr>
        <w:ind w:left="426" w:hanging="426"/>
        <w:jc w:val="both"/>
        <w:rPr>
          <w:rFonts w:ascii="Arial" w:hAnsi="Arial" w:cs="Arial"/>
          <w:lang w:val="es-CO"/>
        </w:rPr>
      </w:pPr>
    </w:p>
    <w:p w14:paraId="783C1391"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Que la inversión en control y mejoramiento del medio ambiente sea efectuada directamente por el contribuyente</w:t>
      </w:r>
      <w:r>
        <w:rPr>
          <w:rFonts w:ascii="Arial" w:hAnsi="Arial" w:cs="Arial"/>
          <w:lang w:val="es-CO"/>
        </w:rPr>
        <w:t>.</w:t>
      </w:r>
    </w:p>
    <w:p w14:paraId="33C79A3D" w14:textId="77777777" w:rsidR="00B2442D" w:rsidRDefault="00B2442D">
      <w:pPr>
        <w:jc w:val="both"/>
        <w:rPr>
          <w:rFonts w:ascii="Arial" w:hAnsi="Arial" w:cs="Arial"/>
          <w:lang w:val="es-CO"/>
        </w:rPr>
      </w:pPr>
    </w:p>
    <w:p w14:paraId="0B74D3AE"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Que la inversión se realice en el año gravable en que se solicita la correspondiente deducción.</w:t>
      </w:r>
    </w:p>
    <w:p w14:paraId="1BE9728F" w14:textId="77777777" w:rsidR="00B2442D" w:rsidRDefault="00B2442D">
      <w:pPr>
        <w:ind w:left="426" w:hanging="426"/>
        <w:jc w:val="both"/>
        <w:rPr>
          <w:rFonts w:ascii="Arial" w:hAnsi="Arial" w:cs="Arial"/>
          <w:lang w:val="es-CO"/>
        </w:rPr>
      </w:pPr>
    </w:p>
    <w:p w14:paraId="65DCA234"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Que previamente a la presentación de la declaración de renta y complementarios en la cual se solicite la deducción de la inversión, se obtenga certifi</w:t>
      </w:r>
      <w:r>
        <w:rPr>
          <w:rFonts w:ascii="Arial" w:hAnsi="Arial" w:cs="Arial"/>
          <w:lang w:val="es-CO"/>
        </w:rPr>
        <w:t>cación de la autoridad ambiental competente, en la que se acredite que:</w:t>
      </w:r>
    </w:p>
    <w:p w14:paraId="5C477EF4" w14:textId="77777777" w:rsidR="00B2442D" w:rsidRDefault="00B2442D">
      <w:pPr>
        <w:jc w:val="both"/>
        <w:rPr>
          <w:rFonts w:ascii="Arial" w:hAnsi="Arial" w:cs="Arial"/>
          <w:lang w:val="es-CO"/>
        </w:rPr>
      </w:pPr>
    </w:p>
    <w:p w14:paraId="3DDE3D38"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La inversión corresponde a control y mejoramiento del medio ambiente de acuerdo con los términos y requisitos previstos en los artículos 1.2.1.18.51 al 1.2.1.18.56 del presente Decr</w:t>
      </w:r>
      <w:r>
        <w:rPr>
          <w:rFonts w:ascii="Arial" w:hAnsi="Arial" w:cs="Arial"/>
          <w:lang w:val="es-CO"/>
        </w:rPr>
        <w:t xml:space="preserve">eto, y </w:t>
      </w:r>
    </w:p>
    <w:p w14:paraId="11DF5A60" w14:textId="77777777" w:rsidR="00B2442D" w:rsidRDefault="00B2442D">
      <w:pPr>
        <w:ind w:left="284" w:hanging="284"/>
        <w:jc w:val="both"/>
        <w:rPr>
          <w:rFonts w:ascii="Arial" w:hAnsi="Arial" w:cs="Arial"/>
          <w:lang w:val="es-CO"/>
        </w:rPr>
      </w:pPr>
    </w:p>
    <w:p w14:paraId="409ABDDC"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lang w:val="es-CO"/>
        </w:rPr>
        <w:t xml:space="preserve">Que la inversión no se realiza por mandato de una autoridad ambiental para mitigar el impacto ambiental producido por la obra o actividad objeto de una licencia ambiental; </w:t>
      </w:r>
    </w:p>
    <w:p w14:paraId="0B72887A" w14:textId="77777777" w:rsidR="00B2442D" w:rsidRDefault="00B2442D">
      <w:pPr>
        <w:jc w:val="both"/>
        <w:rPr>
          <w:rFonts w:ascii="Arial" w:hAnsi="Arial" w:cs="Arial"/>
          <w:lang w:val="es-CO"/>
        </w:rPr>
      </w:pPr>
    </w:p>
    <w:p w14:paraId="43EA64D8" w14:textId="77777777" w:rsidR="00B2442D" w:rsidRDefault="008A645F">
      <w:pPr>
        <w:tabs>
          <w:tab w:val="left" w:pos="284"/>
        </w:tabs>
        <w:ind w:left="284" w:hanging="284"/>
        <w:jc w:val="both"/>
        <w:rPr>
          <w:rFonts w:ascii="Arial" w:hAnsi="Arial" w:cs="Arial"/>
          <w:lang w:val="es-CO"/>
        </w:rPr>
      </w:pPr>
      <w:r>
        <w:rPr>
          <w:rFonts w:ascii="Arial" w:hAnsi="Arial" w:cs="Arial"/>
          <w:lang w:val="es-CO"/>
        </w:rPr>
        <w:t>e)</w:t>
      </w:r>
      <w:r>
        <w:rPr>
          <w:rFonts w:ascii="Arial" w:hAnsi="Arial" w:cs="Arial"/>
          <w:lang w:val="es-CO"/>
        </w:rPr>
        <w:tab/>
        <w:t>Que se acredite mediante certificación del representante legal y del revisor fi</w:t>
      </w:r>
      <w:r>
        <w:rPr>
          <w:rFonts w:ascii="Arial" w:hAnsi="Arial" w:cs="Arial"/>
          <w:lang w:val="es-CO"/>
        </w:rPr>
        <w:t>scal y/o contador público según el caso, el valor de la inversión en control y mejoramiento del medio ambiente así como el valor de la deducción por dicho concepto.</w:t>
      </w:r>
    </w:p>
    <w:p w14:paraId="122B98F9" w14:textId="77777777" w:rsidR="00B2442D" w:rsidRDefault="00B2442D">
      <w:pPr>
        <w:jc w:val="both"/>
        <w:rPr>
          <w:rFonts w:ascii="Arial" w:hAnsi="Arial" w:cs="Arial"/>
          <w:lang w:val="es-CO"/>
        </w:rPr>
      </w:pPr>
    </w:p>
    <w:p w14:paraId="2D984E8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El Ministerio de Ambiente y Desarrollo Sostenible, establecerá la forma y req</w:t>
      </w:r>
      <w:r>
        <w:rPr>
          <w:rFonts w:ascii="Arial" w:hAnsi="Arial" w:cs="Arial"/>
          <w:lang w:val="es-CO"/>
        </w:rPr>
        <w:t xml:space="preserve">uisitos para solicitar ante las autoridades ambientales competentes la acreditación de que trata el literal d) del presente artículo. </w:t>
      </w:r>
    </w:p>
    <w:p w14:paraId="4708F16C" w14:textId="77777777" w:rsidR="00B2442D" w:rsidRDefault="00B2442D">
      <w:pPr>
        <w:jc w:val="both"/>
        <w:rPr>
          <w:rFonts w:ascii="Arial" w:hAnsi="Arial" w:cs="Arial"/>
          <w:lang w:val="es-CO"/>
        </w:rPr>
      </w:pPr>
    </w:p>
    <w:p w14:paraId="3D22A369" w14:textId="77777777" w:rsidR="00B2442D" w:rsidRDefault="008A645F">
      <w:pPr>
        <w:jc w:val="both"/>
        <w:rPr>
          <w:rFonts w:ascii="Arial" w:hAnsi="Arial" w:cs="Arial"/>
          <w:lang w:val="es-CO"/>
        </w:rPr>
      </w:pPr>
      <w:r>
        <w:rPr>
          <w:rFonts w:ascii="Arial" w:hAnsi="Arial" w:cs="Arial"/>
          <w:lang w:val="es-CO"/>
        </w:rPr>
        <w:t xml:space="preserve">Las autoridades ambientales podrán certificar previamente a la realización de la inversión por parte de la </w:t>
      </w:r>
      <w:r>
        <w:rPr>
          <w:rFonts w:ascii="Arial" w:hAnsi="Arial" w:cs="Arial"/>
          <w:lang w:val="es-CO"/>
        </w:rPr>
        <w:t>persona jurídica respectiva, que dichas inversiones son para el control y mejoramiento del medio ambiente, de conformidad con lo establecido en los 1.2.1.18.51 al 1.2.1.18.56 del presente Decreto.</w:t>
      </w:r>
    </w:p>
    <w:p w14:paraId="74E3D18D" w14:textId="77777777" w:rsidR="00B2442D" w:rsidRDefault="00B2442D">
      <w:pPr>
        <w:jc w:val="both"/>
        <w:rPr>
          <w:rFonts w:ascii="Arial" w:hAnsi="Arial" w:cs="Arial"/>
          <w:lang w:val="es-CO"/>
        </w:rPr>
      </w:pPr>
    </w:p>
    <w:p w14:paraId="62EB0954" w14:textId="77777777" w:rsidR="00B2442D" w:rsidRDefault="008A645F">
      <w:pPr>
        <w:jc w:val="both"/>
        <w:rPr>
          <w:rFonts w:ascii="Arial" w:hAnsi="Arial" w:cs="Arial"/>
          <w:lang w:val="es-CO"/>
        </w:rPr>
      </w:pPr>
      <w:r>
        <w:rPr>
          <w:rFonts w:ascii="Arial" w:hAnsi="Arial" w:cs="Arial"/>
          <w:lang w:val="es-CO"/>
        </w:rPr>
        <w:t>En los proyectos de inversión que se desarrollen en etapas</w:t>
      </w:r>
      <w:r>
        <w:rPr>
          <w:rFonts w:ascii="Arial" w:hAnsi="Arial" w:cs="Arial"/>
          <w:lang w:val="es-CO"/>
        </w:rPr>
        <w:t xml:space="preserve"> o fases, el interesado deberá renovar anualmente la certificación ante la autoridad ambiental respectiva. En este caso las autoridades ambientales podrán efectuar seguimiento anual a los proyectos, para verificar que la inversión cumplió con los fines est</w:t>
      </w:r>
      <w:r>
        <w:rPr>
          <w:rFonts w:ascii="Arial" w:hAnsi="Arial" w:cs="Arial"/>
          <w:lang w:val="es-CO"/>
        </w:rPr>
        <w:t>ablecidos en los 1.2.1.18.51 al 1.2.1.18.56 del presente Decreto. Si del seguimiento efectuado se establece que no se ha cumplido con la realización total o parcial de la inversión, la autoridad ambiental informará de tal hecho a la Unidad Administrativa E</w:t>
      </w:r>
      <w:r>
        <w:rPr>
          <w:rFonts w:ascii="Arial" w:hAnsi="Arial" w:cs="Arial"/>
          <w:lang w:val="es-CO"/>
        </w:rPr>
        <w:t xml:space="preserve">special Dirección de Impuestos y Aduanas Nacionales– DIAN para los fines pertinentes. </w:t>
      </w:r>
    </w:p>
    <w:p w14:paraId="6DD1C623" w14:textId="77777777" w:rsidR="00B2442D" w:rsidRDefault="00B2442D">
      <w:pPr>
        <w:jc w:val="both"/>
        <w:rPr>
          <w:rFonts w:ascii="Arial" w:hAnsi="Arial" w:cs="Arial"/>
          <w:lang w:val="es-CO"/>
        </w:rPr>
      </w:pPr>
    </w:p>
    <w:p w14:paraId="23AB18C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Si con ocasión de la verificación anual que efectúen las autoridades ambientales se establece que no se ha cumplido con la realización total o parcial de l</w:t>
      </w:r>
      <w:r>
        <w:rPr>
          <w:rFonts w:ascii="Arial" w:hAnsi="Arial" w:cs="Arial"/>
          <w:lang w:val="es-CO"/>
        </w:rPr>
        <w:t>a inversión a que se refieren los artículos 1.2.1.18.51 al 1.2.1.18.56 del presente Decreto, el contribuyente deberá reintegrar, en el año en que se detecte el incumplimiento, el valor total o proporcional de la deducción solicitada, junto con los interese</w:t>
      </w:r>
      <w:r>
        <w:rPr>
          <w:rFonts w:ascii="Arial" w:hAnsi="Arial" w:cs="Arial"/>
          <w:lang w:val="es-CO"/>
        </w:rPr>
        <w:t>s moratorios y sanciones a que haya lugar, de conformidad con las normas generales del Estatuto Tributario.</w:t>
      </w:r>
    </w:p>
    <w:p w14:paraId="75E1C7FA" w14:textId="77777777" w:rsidR="00B2442D" w:rsidRDefault="00B2442D">
      <w:pPr>
        <w:jc w:val="both"/>
        <w:rPr>
          <w:rFonts w:ascii="Arial" w:hAnsi="Arial" w:cs="Arial"/>
          <w:lang w:val="es-CO"/>
        </w:rPr>
      </w:pPr>
    </w:p>
    <w:p w14:paraId="71C1CB89" w14:textId="77777777" w:rsidR="00B2442D" w:rsidRDefault="008A645F">
      <w:pPr>
        <w:jc w:val="both"/>
        <w:rPr>
          <w:rFonts w:ascii="Arial" w:hAnsi="Arial" w:cs="Arial"/>
          <w:i/>
          <w:lang w:val="es-CO"/>
        </w:rPr>
      </w:pPr>
      <w:r>
        <w:rPr>
          <w:rFonts w:ascii="Arial" w:hAnsi="Arial" w:cs="Arial"/>
          <w:i/>
          <w:lang w:val="es-CO"/>
        </w:rPr>
        <w:t>(Art. 2, Decreto 3172 de 2003)</w:t>
      </w:r>
    </w:p>
    <w:p w14:paraId="32AA4194" w14:textId="77777777" w:rsidR="00B2442D" w:rsidRDefault="00B2442D">
      <w:pPr>
        <w:jc w:val="both"/>
        <w:rPr>
          <w:rFonts w:ascii="Arial" w:hAnsi="Arial" w:cs="Arial"/>
          <w:lang w:val="es-CO"/>
        </w:rPr>
      </w:pPr>
    </w:p>
    <w:p w14:paraId="48A29984"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Inversiones en control y mejoramiento del medio ambiente.</w:t>
      </w:r>
      <w:r>
        <w:rPr>
          <w:rFonts w:ascii="Arial" w:hAnsi="Arial" w:cs="Arial"/>
          <w:lang w:val="es-CO"/>
        </w:rPr>
        <w:t xml:space="preserve"> Las inversiones en control y mejoramiento del medio ambie</w:t>
      </w:r>
      <w:r>
        <w:rPr>
          <w:rFonts w:ascii="Arial" w:hAnsi="Arial" w:cs="Arial"/>
          <w:lang w:val="es-CO"/>
        </w:rPr>
        <w:t>nte que dan derecho a la deducción de que tratan los artículos 1.2.1.18.51 al 1.2.1.18.56 del presente Decreto deberán corresponder a los siguientes rubros:</w:t>
      </w:r>
    </w:p>
    <w:p w14:paraId="20E8331F" w14:textId="77777777" w:rsidR="00B2442D" w:rsidRDefault="00B2442D">
      <w:pPr>
        <w:jc w:val="both"/>
        <w:rPr>
          <w:rFonts w:ascii="Arial" w:hAnsi="Arial" w:cs="Arial"/>
          <w:lang w:val="es-CO"/>
        </w:rPr>
      </w:pPr>
    </w:p>
    <w:p w14:paraId="06FE01C2"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Construcción de obras biomecánicas o mecánicas principales y accesorias para sistemas de contro</w:t>
      </w:r>
      <w:r>
        <w:rPr>
          <w:rFonts w:ascii="Arial" w:hAnsi="Arial" w:cs="Arial"/>
          <w:lang w:val="es-CO"/>
        </w:rPr>
        <w:t>l del medio ambiente y mejoramiento ambiental;</w:t>
      </w:r>
    </w:p>
    <w:p w14:paraId="59962C9E" w14:textId="77777777" w:rsidR="00B2442D" w:rsidRDefault="00B2442D">
      <w:pPr>
        <w:jc w:val="both"/>
        <w:rPr>
          <w:rFonts w:ascii="Arial" w:hAnsi="Arial" w:cs="Arial"/>
          <w:lang w:val="es-CO"/>
        </w:rPr>
      </w:pPr>
    </w:p>
    <w:p w14:paraId="713A8BA0"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 xml:space="preserve">Adquisición de maquinaria, equipos e infraestructura requeridos directa y exclusivamente para la operación o ejecución de sistemas de control del medio ambiente y/o procesos de restauración, regeneración, </w:t>
      </w:r>
      <w:r>
        <w:rPr>
          <w:rFonts w:ascii="Arial" w:hAnsi="Arial" w:cs="Arial"/>
          <w:lang w:val="es-CO"/>
        </w:rPr>
        <w:t>repoblación, preservación y conservación de los recursos naturales renovables y del medio ambiente;</w:t>
      </w:r>
    </w:p>
    <w:p w14:paraId="6E0B7E58" w14:textId="77777777" w:rsidR="00B2442D" w:rsidRDefault="00B2442D">
      <w:pPr>
        <w:jc w:val="both"/>
        <w:rPr>
          <w:rFonts w:ascii="Arial" w:hAnsi="Arial" w:cs="Arial"/>
          <w:lang w:val="es-CO"/>
        </w:rPr>
      </w:pPr>
    </w:p>
    <w:p w14:paraId="49FAF4AC" w14:textId="77777777" w:rsidR="00B2442D" w:rsidRDefault="008A645F">
      <w:pPr>
        <w:jc w:val="both"/>
        <w:rPr>
          <w:rFonts w:ascii="Arial" w:hAnsi="Arial" w:cs="Arial"/>
          <w:lang w:val="es-CO"/>
        </w:rPr>
      </w:pPr>
      <w:r>
        <w:rPr>
          <w:rFonts w:ascii="Arial" w:hAnsi="Arial" w:cs="Arial"/>
          <w:lang w:val="es-CO"/>
        </w:rPr>
        <w:t>c)</w:t>
      </w:r>
      <w:r>
        <w:rPr>
          <w:rFonts w:ascii="Arial" w:hAnsi="Arial" w:cs="Arial"/>
          <w:lang w:val="es-CO"/>
        </w:rPr>
        <w:tab/>
        <w:t>Bienes, equipos o maquinaria para el monitoreo y/o procesamiento de información sobre el estado de la calidad, cantidad o del comportamiento de los recu</w:t>
      </w:r>
      <w:r>
        <w:rPr>
          <w:rFonts w:ascii="Arial" w:hAnsi="Arial" w:cs="Arial"/>
          <w:lang w:val="es-CO"/>
        </w:rPr>
        <w:t>rsos naturales renovables, variables o parámetros ambientales;</w:t>
      </w:r>
    </w:p>
    <w:p w14:paraId="3B894A51" w14:textId="77777777" w:rsidR="00B2442D" w:rsidRDefault="00B2442D">
      <w:pPr>
        <w:jc w:val="both"/>
        <w:rPr>
          <w:rFonts w:ascii="Arial" w:hAnsi="Arial" w:cs="Arial"/>
          <w:lang w:val="es-CO"/>
        </w:rPr>
      </w:pPr>
    </w:p>
    <w:p w14:paraId="1CF4EB7B" w14:textId="77777777" w:rsidR="00B2442D" w:rsidRDefault="008A645F">
      <w:pPr>
        <w:jc w:val="both"/>
        <w:rPr>
          <w:rFonts w:ascii="Arial" w:hAnsi="Arial" w:cs="Arial"/>
          <w:lang w:val="es-CO"/>
        </w:rPr>
      </w:pPr>
      <w:r>
        <w:rPr>
          <w:rFonts w:ascii="Arial" w:hAnsi="Arial" w:cs="Arial"/>
          <w:lang w:val="es-CO"/>
        </w:rPr>
        <w:t>d)</w:t>
      </w:r>
      <w:r>
        <w:rPr>
          <w:rFonts w:ascii="Arial" w:hAnsi="Arial" w:cs="Arial"/>
          <w:lang w:val="es-CO"/>
        </w:rPr>
        <w:tab/>
        <w:t>Bienes, equipos o maquinaria para el monitoreo y procesamiento de información sobre el estado de calidad o comportamiento de los vertimientos, residuos y/o emisiones;</w:t>
      </w:r>
    </w:p>
    <w:p w14:paraId="7AFA904B" w14:textId="77777777" w:rsidR="00B2442D" w:rsidRDefault="00B2442D">
      <w:pPr>
        <w:jc w:val="both"/>
        <w:rPr>
          <w:rFonts w:ascii="Arial" w:hAnsi="Arial" w:cs="Arial"/>
          <w:lang w:val="es-CO"/>
        </w:rPr>
      </w:pPr>
    </w:p>
    <w:p w14:paraId="797E7970" w14:textId="77777777" w:rsidR="00B2442D" w:rsidRDefault="008A645F">
      <w:pPr>
        <w:jc w:val="both"/>
        <w:rPr>
          <w:rFonts w:ascii="Arial" w:hAnsi="Arial" w:cs="Arial"/>
          <w:lang w:val="es-CO"/>
        </w:rPr>
      </w:pPr>
      <w:r>
        <w:rPr>
          <w:rFonts w:ascii="Arial" w:hAnsi="Arial" w:cs="Arial"/>
          <w:lang w:val="es-CO"/>
        </w:rPr>
        <w:t>e)</w:t>
      </w:r>
      <w:r>
        <w:rPr>
          <w:rFonts w:ascii="Arial" w:hAnsi="Arial" w:cs="Arial"/>
          <w:lang w:val="es-CO"/>
        </w:rPr>
        <w:tab/>
        <w:t>Adquisición de pre</w:t>
      </w:r>
      <w:r>
        <w:rPr>
          <w:rFonts w:ascii="Arial" w:hAnsi="Arial" w:cs="Arial"/>
          <w:lang w:val="es-CO"/>
        </w:rPr>
        <w:t>dios y/o terrenos necesarios para la ejecución única y exclusiva de actividades de protección y manejo del medio ambiente, de acuerdo con lo previsto en los planes y políticas ambientales nacionales contenidos en el Plan Nacional de Desarrollo y/o formulad</w:t>
      </w:r>
      <w:r>
        <w:rPr>
          <w:rFonts w:ascii="Arial" w:hAnsi="Arial" w:cs="Arial"/>
          <w:lang w:val="es-CO"/>
        </w:rPr>
        <w:t>as por el Ministerio de Ambiente y Desarrollo Sostenible, o de planes ambientales regionales definidos por las autoridades ambientales respectivas, así como los destinados a la constitución de Reservas Naturales de la Sociedad Civil;</w:t>
      </w:r>
    </w:p>
    <w:p w14:paraId="0405C8FC" w14:textId="77777777" w:rsidR="00B2442D" w:rsidRDefault="00B2442D">
      <w:pPr>
        <w:jc w:val="both"/>
        <w:rPr>
          <w:rFonts w:ascii="Arial" w:hAnsi="Arial" w:cs="Arial"/>
          <w:lang w:val="es-CO"/>
        </w:rPr>
      </w:pPr>
    </w:p>
    <w:p w14:paraId="6CFC126F" w14:textId="77777777" w:rsidR="00B2442D" w:rsidRDefault="008A645F">
      <w:pPr>
        <w:jc w:val="both"/>
        <w:rPr>
          <w:rFonts w:ascii="Arial" w:hAnsi="Arial" w:cs="Arial"/>
          <w:lang w:val="es-CO"/>
        </w:rPr>
      </w:pPr>
      <w:r>
        <w:rPr>
          <w:rFonts w:ascii="Arial" w:hAnsi="Arial" w:cs="Arial"/>
          <w:lang w:val="es-CO"/>
        </w:rPr>
        <w:t>f)</w:t>
      </w:r>
      <w:r>
        <w:rPr>
          <w:rFonts w:ascii="Arial" w:hAnsi="Arial" w:cs="Arial"/>
          <w:lang w:val="es-CO"/>
        </w:rPr>
        <w:tab/>
        <w:t>Adquisición de pre</w:t>
      </w:r>
      <w:r>
        <w:rPr>
          <w:rFonts w:ascii="Arial" w:hAnsi="Arial" w:cs="Arial"/>
          <w:lang w:val="es-CO"/>
        </w:rPr>
        <w:t>dios y/o terrenos destinados a la recuperación y conservación de fuentes de abastecimiento de agua por parte de las Empresas de Servicios Públicos en cumplimiento de las obligaciones establecidas en el artículo 11.5 e inciso 3 del artículo 25 de la Ley 142</w:t>
      </w:r>
      <w:r>
        <w:rPr>
          <w:rFonts w:ascii="Arial" w:hAnsi="Arial" w:cs="Arial"/>
          <w:lang w:val="es-CO"/>
        </w:rPr>
        <w:t xml:space="preserve"> de 1994;</w:t>
      </w:r>
    </w:p>
    <w:p w14:paraId="1D5C1095" w14:textId="77777777" w:rsidR="00B2442D" w:rsidRDefault="00B2442D">
      <w:pPr>
        <w:jc w:val="both"/>
        <w:rPr>
          <w:rFonts w:ascii="Arial" w:hAnsi="Arial" w:cs="Arial"/>
          <w:lang w:val="es-CO"/>
        </w:rPr>
      </w:pPr>
    </w:p>
    <w:p w14:paraId="6FF4D91A" w14:textId="77777777" w:rsidR="00B2442D" w:rsidRDefault="008A645F">
      <w:pPr>
        <w:jc w:val="both"/>
        <w:rPr>
          <w:rFonts w:ascii="Arial" w:hAnsi="Arial" w:cs="Arial"/>
          <w:lang w:val="es-CO"/>
        </w:rPr>
      </w:pPr>
      <w:r>
        <w:rPr>
          <w:rFonts w:ascii="Arial" w:hAnsi="Arial" w:cs="Arial"/>
          <w:lang w:val="es-CO"/>
        </w:rPr>
        <w:t>g)</w:t>
      </w:r>
      <w:r>
        <w:rPr>
          <w:rFonts w:ascii="Arial" w:hAnsi="Arial" w:cs="Arial"/>
          <w:lang w:val="es-CO"/>
        </w:rPr>
        <w:tab/>
        <w:t>Adquisición de predios por parte de los distritos de riego en cumplimiento del parágrafo del artículo 111 de la Ley 99 de 1993;</w:t>
      </w:r>
    </w:p>
    <w:p w14:paraId="1F39A465" w14:textId="77777777" w:rsidR="00B2442D" w:rsidRDefault="00B2442D">
      <w:pPr>
        <w:jc w:val="both"/>
        <w:rPr>
          <w:rFonts w:ascii="Arial" w:hAnsi="Arial" w:cs="Arial"/>
          <w:lang w:val="es-CO"/>
        </w:rPr>
      </w:pPr>
    </w:p>
    <w:p w14:paraId="01648A8A" w14:textId="77777777" w:rsidR="00B2442D" w:rsidRDefault="008A645F">
      <w:pPr>
        <w:jc w:val="both"/>
        <w:rPr>
          <w:rFonts w:ascii="Arial" w:hAnsi="Arial" w:cs="Arial"/>
          <w:lang w:val="es-CO"/>
        </w:rPr>
      </w:pPr>
      <w:r>
        <w:rPr>
          <w:rFonts w:ascii="Arial" w:hAnsi="Arial" w:cs="Arial"/>
          <w:lang w:val="es-CO"/>
        </w:rPr>
        <w:t>h)</w:t>
      </w:r>
      <w:r>
        <w:rPr>
          <w:rFonts w:ascii="Arial" w:hAnsi="Arial" w:cs="Arial"/>
          <w:lang w:val="es-CO"/>
        </w:rPr>
        <w:tab/>
        <w:t>Inversiones en el marco de proyectos encaminados al control del medio ambiente o para la restauración, recuper</w:t>
      </w:r>
      <w:r>
        <w:rPr>
          <w:rFonts w:ascii="Arial" w:hAnsi="Arial" w:cs="Arial"/>
          <w:lang w:val="es-CO"/>
        </w:rPr>
        <w:t>ación, regeneración, repoblación, protección y conservación de los recursos naturales renovables y del medio ambiente;</w:t>
      </w:r>
    </w:p>
    <w:p w14:paraId="09238D6E" w14:textId="77777777" w:rsidR="00B2442D" w:rsidRDefault="00B2442D">
      <w:pPr>
        <w:jc w:val="both"/>
        <w:rPr>
          <w:rFonts w:ascii="Arial" w:hAnsi="Arial" w:cs="Arial"/>
          <w:lang w:val="es-CO"/>
        </w:rPr>
      </w:pPr>
    </w:p>
    <w:p w14:paraId="33F55867" w14:textId="77777777" w:rsidR="00B2442D" w:rsidRDefault="008A645F">
      <w:pPr>
        <w:jc w:val="both"/>
        <w:rPr>
          <w:rFonts w:ascii="Arial" w:hAnsi="Arial" w:cs="Arial"/>
          <w:lang w:val="es-CO"/>
        </w:rPr>
      </w:pPr>
      <w:r>
        <w:rPr>
          <w:rFonts w:ascii="Arial" w:hAnsi="Arial" w:cs="Arial"/>
          <w:lang w:val="es-CO"/>
        </w:rPr>
        <w:t>i)</w:t>
      </w:r>
      <w:r>
        <w:rPr>
          <w:rFonts w:ascii="Arial" w:hAnsi="Arial" w:cs="Arial"/>
          <w:lang w:val="es-CO"/>
        </w:rPr>
        <w:tab/>
        <w:t xml:space="preserve">Inversiones en el marco de los convenios de producción más limpia suscritos con las autoridades ambientales, siempre y cuando se </w:t>
      </w:r>
      <w:r>
        <w:rPr>
          <w:rFonts w:ascii="Arial" w:hAnsi="Arial" w:cs="Arial"/>
          <w:lang w:val="es-CO"/>
        </w:rPr>
        <w:t>enmarquen dentro de los parámetros de los artículos 1.2.1.18.51 al 1.2.1.18.56 del presente Decreto;</w:t>
      </w:r>
    </w:p>
    <w:p w14:paraId="664D4989" w14:textId="77777777" w:rsidR="00B2442D" w:rsidRDefault="00B2442D">
      <w:pPr>
        <w:jc w:val="both"/>
        <w:rPr>
          <w:rFonts w:ascii="Arial" w:hAnsi="Arial" w:cs="Arial"/>
          <w:lang w:val="es-CO"/>
        </w:rPr>
      </w:pPr>
    </w:p>
    <w:p w14:paraId="3E0AF45C" w14:textId="77777777" w:rsidR="00B2442D" w:rsidRDefault="008A645F">
      <w:pPr>
        <w:jc w:val="both"/>
        <w:rPr>
          <w:rFonts w:ascii="Arial" w:hAnsi="Arial" w:cs="Arial"/>
          <w:lang w:val="es-CO"/>
        </w:rPr>
      </w:pPr>
      <w:r>
        <w:rPr>
          <w:rFonts w:ascii="Arial" w:hAnsi="Arial" w:cs="Arial"/>
          <w:lang w:val="es-CO"/>
        </w:rPr>
        <w:t>j)</w:t>
      </w:r>
      <w:r>
        <w:rPr>
          <w:rFonts w:ascii="Arial" w:hAnsi="Arial" w:cs="Arial"/>
          <w:lang w:val="es-CO"/>
        </w:rPr>
        <w:tab/>
        <w:t>Inversiones en proyectos dentro del marco del plan de gestión integral de residuos sólidos así como en proyectos que garanticen la reducción, la separa</w:t>
      </w:r>
      <w:r>
        <w:rPr>
          <w:rFonts w:ascii="Arial" w:hAnsi="Arial" w:cs="Arial"/>
          <w:lang w:val="es-CO"/>
        </w:rPr>
        <w:t>ción y control de los residuos sólidos, siempre y cuando cumplan los parámetros previstos en los artículos 1.2.1.18.51 al 1.2.1.18.56 del presente Decreto.</w:t>
      </w:r>
    </w:p>
    <w:p w14:paraId="454D38A6" w14:textId="77777777" w:rsidR="00B2442D" w:rsidRDefault="00B2442D">
      <w:pPr>
        <w:jc w:val="both"/>
        <w:rPr>
          <w:rFonts w:ascii="Arial" w:hAnsi="Arial" w:cs="Arial"/>
          <w:lang w:val="es-CO"/>
        </w:rPr>
      </w:pPr>
    </w:p>
    <w:p w14:paraId="3E83203B" w14:textId="77777777" w:rsidR="00B2442D" w:rsidRDefault="008A645F">
      <w:pPr>
        <w:jc w:val="both"/>
        <w:rPr>
          <w:rFonts w:ascii="Arial" w:hAnsi="Arial" w:cs="Arial"/>
          <w:lang w:val="es-CO"/>
        </w:rPr>
      </w:pPr>
      <w:r>
        <w:rPr>
          <w:rFonts w:ascii="Arial" w:hAnsi="Arial" w:cs="Arial"/>
          <w:lang w:val="es-CO"/>
        </w:rPr>
        <w:t>k)</w:t>
      </w:r>
      <w:r>
        <w:rPr>
          <w:rFonts w:ascii="Arial" w:hAnsi="Arial" w:cs="Arial"/>
          <w:lang w:val="es-CO"/>
        </w:rPr>
        <w:tab/>
        <w:t>Inversiones en proyectos dentro del marco de planes de saneamiento y manejo de vertimientos, los</w:t>
      </w:r>
      <w:r>
        <w:rPr>
          <w:rFonts w:ascii="Arial" w:hAnsi="Arial" w:cs="Arial"/>
          <w:lang w:val="es-CO"/>
        </w:rPr>
        <w:t xml:space="preserve"> cuales garanticen la disminución del número de vertimientos puntuales hasta conducirlos al sitio de tratamiento y disposición final - colectores e interceptores, y la disminución de la carga contaminante - sistemas de remoción.</w:t>
      </w:r>
    </w:p>
    <w:p w14:paraId="47784ECD" w14:textId="77777777" w:rsidR="00B2442D" w:rsidRDefault="00B2442D">
      <w:pPr>
        <w:jc w:val="both"/>
        <w:rPr>
          <w:rFonts w:ascii="Arial" w:hAnsi="Arial" w:cs="Arial"/>
          <w:lang w:val="es-CO"/>
        </w:rPr>
      </w:pPr>
    </w:p>
    <w:p w14:paraId="6D73E05E" w14:textId="77777777" w:rsidR="00B2442D" w:rsidRDefault="008A645F">
      <w:pPr>
        <w:jc w:val="both"/>
        <w:rPr>
          <w:rFonts w:ascii="Arial" w:hAnsi="Arial" w:cs="Arial"/>
          <w:i/>
          <w:lang w:val="es-CO"/>
        </w:rPr>
      </w:pPr>
      <w:r>
        <w:rPr>
          <w:rFonts w:ascii="Arial" w:hAnsi="Arial" w:cs="Arial"/>
          <w:i/>
          <w:lang w:val="es-CO"/>
        </w:rPr>
        <w:t>(Art. 3, Decreto 3172 de 2</w:t>
      </w:r>
      <w:r>
        <w:rPr>
          <w:rFonts w:ascii="Arial" w:hAnsi="Arial" w:cs="Arial"/>
          <w:i/>
          <w:lang w:val="es-CO"/>
        </w:rPr>
        <w:t>003)</w:t>
      </w:r>
    </w:p>
    <w:p w14:paraId="11736472" w14:textId="77777777" w:rsidR="00B2442D" w:rsidRDefault="00B2442D">
      <w:pPr>
        <w:jc w:val="both"/>
        <w:rPr>
          <w:rFonts w:ascii="Arial" w:hAnsi="Arial" w:cs="Arial"/>
          <w:lang w:val="es-CO"/>
        </w:rPr>
      </w:pPr>
    </w:p>
    <w:p w14:paraId="12E12B47"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Inversiones en control y mejoramiento del medio ambiente que no otorgan derecho a deducción.</w:t>
      </w:r>
      <w:r>
        <w:rPr>
          <w:rFonts w:ascii="Arial" w:hAnsi="Arial" w:cs="Arial"/>
          <w:lang w:val="es-CO"/>
        </w:rPr>
        <w:t xml:space="preserve"> En desarrollo de lo dispuesto en el artículo 158-2 del Estatuto Tributario, no serán objeto de la deducción por inversiones en control y mejoramiento del med</w:t>
      </w:r>
      <w:r>
        <w:rPr>
          <w:rFonts w:ascii="Arial" w:hAnsi="Arial" w:cs="Arial"/>
          <w:lang w:val="es-CO"/>
        </w:rPr>
        <w:t>io ambiente las siguientes inversiones:</w:t>
      </w:r>
    </w:p>
    <w:p w14:paraId="63460FAB" w14:textId="77777777" w:rsidR="00B2442D" w:rsidRDefault="00B2442D">
      <w:pPr>
        <w:jc w:val="both"/>
        <w:rPr>
          <w:rFonts w:ascii="Arial" w:hAnsi="Arial" w:cs="Arial"/>
          <w:lang w:val="es-CO"/>
        </w:rPr>
      </w:pPr>
    </w:p>
    <w:p w14:paraId="11D3FAE6"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Las efectuadas por mandato de una autoridad ambiental para mitigar el impacto ambiental producido por la obra o actividad que requiera de licencia ambiental;</w:t>
      </w:r>
    </w:p>
    <w:p w14:paraId="0C4D12FD" w14:textId="77777777" w:rsidR="00B2442D" w:rsidRDefault="00B2442D">
      <w:pPr>
        <w:ind w:left="284" w:hanging="284"/>
        <w:jc w:val="both"/>
        <w:rPr>
          <w:rFonts w:ascii="Arial" w:hAnsi="Arial" w:cs="Arial"/>
          <w:lang w:val="es-CO"/>
        </w:rPr>
      </w:pPr>
    </w:p>
    <w:p w14:paraId="03DE27B1"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Las que no sean constitutivas o no formen parte in</w:t>
      </w:r>
      <w:r>
        <w:rPr>
          <w:rFonts w:ascii="Arial" w:hAnsi="Arial" w:cs="Arial"/>
          <w:lang w:val="es-CO"/>
        </w:rPr>
        <w:t>tegral de inversiones en control y mejoramiento del medio ambiente de acuerdo con lo previsto en los artículos 1.2.1.18.51 al 1.2.1.18.56 del presente Decreto;</w:t>
      </w:r>
    </w:p>
    <w:p w14:paraId="7CA5521E" w14:textId="77777777" w:rsidR="00B2442D" w:rsidRDefault="00B2442D">
      <w:pPr>
        <w:ind w:left="284" w:hanging="284"/>
        <w:jc w:val="both"/>
        <w:rPr>
          <w:rFonts w:ascii="Arial" w:hAnsi="Arial" w:cs="Arial"/>
          <w:lang w:val="es-CO"/>
        </w:rPr>
      </w:pPr>
    </w:p>
    <w:p w14:paraId="6D4C382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Gasodomésticos y electrodomésticos en general;</w:t>
      </w:r>
    </w:p>
    <w:p w14:paraId="2013996C" w14:textId="77777777" w:rsidR="00B2442D" w:rsidRDefault="00B2442D">
      <w:pPr>
        <w:ind w:left="284" w:hanging="284"/>
        <w:jc w:val="both"/>
        <w:rPr>
          <w:rFonts w:ascii="Arial" w:hAnsi="Arial" w:cs="Arial"/>
          <w:lang w:val="es-CO"/>
        </w:rPr>
      </w:pPr>
    </w:p>
    <w:p w14:paraId="2AF188F2"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Bienes, equipos o maquinaria que correspo</w:t>
      </w:r>
      <w:r>
        <w:rPr>
          <w:rFonts w:ascii="Arial" w:hAnsi="Arial" w:cs="Arial"/>
          <w:lang w:val="es-CO"/>
        </w:rPr>
        <w:t>ndan a acciones propias o de mantenimiento industrial del proceso productivo;</w:t>
      </w:r>
    </w:p>
    <w:p w14:paraId="0F1F750C" w14:textId="77777777" w:rsidR="00B2442D" w:rsidRDefault="00B2442D">
      <w:pPr>
        <w:ind w:left="284" w:hanging="284"/>
        <w:jc w:val="both"/>
        <w:rPr>
          <w:rFonts w:ascii="Arial" w:hAnsi="Arial" w:cs="Arial"/>
          <w:lang w:val="es-CO"/>
        </w:rPr>
      </w:pPr>
    </w:p>
    <w:p w14:paraId="44DA0BA0"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Bienes, equipos o maquinaria destinados a proyectos, programas o actividades de reducción en el consumo de energía y/o eficiencia energética, a menos que estos últimos corres</w:t>
      </w:r>
      <w:r>
        <w:rPr>
          <w:rFonts w:ascii="Arial" w:hAnsi="Arial" w:cs="Arial"/>
          <w:lang w:val="es-CO"/>
        </w:rPr>
        <w:t>pondan al logro de metas ambientales concertadas con el Ministerio de Ambiente y Desarrollo Sostenible, para el desarrollo de estrategias, planes y programas nacionales de producción más limpia, ahorro y eficiencia energética establecidas por el Ministerio</w:t>
      </w:r>
      <w:r>
        <w:rPr>
          <w:rFonts w:ascii="Arial" w:hAnsi="Arial" w:cs="Arial"/>
          <w:lang w:val="es-CO"/>
        </w:rPr>
        <w:t xml:space="preserve"> de Minas y Energía;</w:t>
      </w:r>
    </w:p>
    <w:p w14:paraId="7BFCD0CA" w14:textId="77777777" w:rsidR="00B2442D" w:rsidRDefault="00B2442D">
      <w:pPr>
        <w:ind w:left="284" w:hanging="284"/>
        <w:jc w:val="both"/>
        <w:rPr>
          <w:rFonts w:ascii="Arial" w:hAnsi="Arial" w:cs="Arial"/>
          <w:lang w:val="es-CO"/>
        </w:rPr>
      </w:pPr>
    </w:p>
    <w:p w14:paraId="2CE2C327"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Bienes, equipos o maquinaria destinados a programas o planes de reconversión industrial, a menos que correspondan a actividades de control y mejoramiento del medio ambiente de acuerdo con lo previsto en los artículos 1.2.1.18.51 al</w:t>
      </w:r>
      <w:r>
        <w:rPr>
          <w:rFonts w:ascii="Arial" w:hAnsi="Arial" w:cs="Arial"/>
          <w:lang w:val="es-CO"/>
        </w:rPr>
        <w:t xml:space="preserve"> 1.2.1.18.56 del presente Decreto;</w:t>
      </w:r>
    </w:p>
    <w:p w14:paraId="12658D0E" w14:textId="77777777" w:rsidR="00B2442D" w:rsidRDefault="00B2442D">
      <w:pPr>
        <w:ind w:left="284" w:hanging="284"/>
        <w:jc w:val="both"/>
        <w:rPr>
          <w:rFonts w:ascii="Arial" w:hAnsi="Arial" w:cs="Arial"/>
          <w:lang w:val="es-CO"/>
        </w:rPr>
      </w:pPr>
    </w:p>
    <w:p w14:paraId="5CE11C6A"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 Bienes, equipos o maquinaria destinados a proyectos o actividades de reducción en el consumo de agua, a menos que dichos proyectos sean el resultado de la implementación de los programas para el uso eficiente y ahorr</w:t>
      </w:r>
      <w:r>
        <w:rPr>
          <w:rFonts w:ascii="Arial" w:hAnsi="Arial" w:cs="Arial"/>
          <w:lang w:val="es-CO"/>
        </w:rPr>
        <w:t>o del agua de que trata la Ley 373 de 1997;</w:t>
      </w:r>
    </w:p>
    <w:p w14:paraId="430BEF8A" w14:textId="77777777" w:rsidR="00B2442D" w:rsidRDefault="00B2442D">
      <w:pPr>
        <w:ind w:left="284" w:hanging="284"/>
        <w:jc w:val="both"/>
        <w:rPr>
          <w:rFonts w:ascii="Arial" w:hAnsi="Arial" w:cs="Arial"/>
          <w:lang w:val="es-CO"/>
        </w:rPr>
      </w:pPr>
    </w:p>
    <w:p w14:paraId="3BF16397"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La adquisición de predios y terrenos, diferente a la contemplada dentro de los literales e), f) y g) del artículo 1.2.1.18.53 del presente Decreto;</w:t>
      </w:r>
    </w:p>
    <w:p w14:paraId="36866542" w14:textId="77777777" w:rsidR="00B2442D" w:rsidRDefault="00B2442D">
      <w:pPr>
        <w:ind w:left="284" w:hanging="284"/>
        <w:jc w:val="both"/>
        <w:rPr>
          <w:rFonts w:ascii="Arial" w:hAnsi="Arial" w:cs="Arial"/>
          <w:lang w:val="es-CO"/>
        </w:rPr>
      </w:pPr>
    </w:p>
    <w:p w14:paraId="5CE760CD" w14:textId="77777777" w:rsidR="00B2442D" w:rsidRDefault="008A645F">
      <w:pPr>
        <w:ind w:left="284" w:hanging="284"/>
        <w:jc w:val="both"/>
        <w:rPr>
          <w:rFonts w:ascii="Arial" w:hAnsi="Arial" w:cs="Arial"/>
          <w:lang w:val="es-CO"/>
        </w:rPr>
      </w:pPr>
      <w:r>
        <w:rPr>
          <w:rFonts w:ascii="Arial" w:hAnsi="Arial" w:cs="Arial"/>
          <w:lang w:val="es-CO"/>
        </w:rPr>
        <w:t>i)</w:t>
      </w:r>
      <w:r>
        <w:rPr>
          <w:rFonts w:ascii="Arial" w:hAnsi="Arial" w:cs="Arial"/>
          <w:lang w:val="es-CO"/>
        </w:rPr>
        <w:tab/>
        <w:t xml:space="preserve">Realización de estudios de preinversión tales como </w:t>
      </w:r>
      <w:r>
        <w:rPr>
          <w:rFonts w:ascii="Arial" w:hAnsi="Arial" w:cs="Arial"/>
          <w:lang w:val="es-CO"/>
        </w:rPr>
        <w:t>consultorías o proyectos de investigación;</w:t>
      </w:r>
    </w:p>
    <w:p w14:paraId="337991C8" w14:textId="77777777" w:rsidR="00B2442D" w:rsidRDefault="00B2442D">
      <w:pPr>
        <w:ind w:left="284" w:hanging="284"/>
        <w:jc w:val="both"/>
        <w:rPr>
          <w:rFonts w:ascii="Arial" w:hAnsi="Arial" w:cs="Arial"/>
          <w:lang w:val="es-CO"/>
        </w:rPr>
      </w:pPr>
    </w:p>
    <w:p w14:paraId="59DA826B" w14:textId="77777777" w:rsidR="00B2442D" w:rsidRDefault="008A645F">
      <w:pPr>
        <w:ind w:left="284" w:hanging="284"/>
        <w:jc w:val="both"/>
        <w:rPr>
          <w:rFonts w:ascii="Arial" w:hAnsi="Arial" w:cs="Arial"/>
          <w:lang w:val="es-CO"/>
        </w:rPr>
      </w:pPr>
      <w:r>
        <w:rPr>
          <w:rFonts w:ascii="Arial" w:hAnsi="Arial" w:cs="Arial"/>
          <w:lang w:val="es-CO"/>
        </w:rPr>
        <w:t>j)</w:t>
      </w:r>
      <w:r>
        <w:rPr>
          <w:rFonts w:ascii="Arial" w:hAnsi="Arial" w:cs="Arial"/>
          <w:lang w:val="es-CO"/>
        </w:rPr>
        <w:tab/>
        <w:t>Contratación de mano de obra.</w:t>
      </w:r>
    </w:p>
    <w:p w14:paraId="2ECA17C4" w14:textId="77777777" w:rsidR="00B2442D" w:rsidRDefault="00B2442D">
      <w:pPr>
        <w:jc w:val="both"/>
        <w:rPr>
          <w:rFonts w:ascii="Arial" w:hAnsi="Arial" w:cs="Arial"/>
          <w:lang w:val="es-CO"/>
        </w:rPr>
      </w:pPr>
    </w:p>
    <w:p w14:paraId="19FE8C54" w14:textId="77777777" w:rsidR="00B2442D" w:rsidRDefault="008A645F">
      <w:pPr>
        <w:jc w:val="both"/>
        <w:rPr>
          <w:rFonts w:ascii="Arial" w:hAnsi="Arial" w:cs="Arial"/>
          <w:i/>
          <w:lang w:val="es-CO"/>
        </w:rPr>
      </w:pPr>
      <w:r>
        <w:rPr>
          <w:rFonts w:ascii="Arial" w:hAnsi="Arial" w:cs="Arial"/>
          <w:i/>
          <w:lang w:val="es-CO"/>
        </w:rPr>
        <w:t>(Art. 4, Decreto 3172 de 2003)</w:t>
      </w:r>
    </w:p>
    <w:p w14:paraId="555A28FD" w14:textId="77777777" w:rsidR="00B2442D" w:rsidRDefault="00B2442D">
      <w:pPr>
        <w:jc w:val="both"/>
        <w:rPr>
          <w:rFonts w:ascii="Arial" w:hAnsi="Arial" w:cs="Arial"/>
          <w:lang w:val="es-CO"/>
        </w:rPr>
      </w:pPr>
    </w:p>
    <w:p w14:paraId="7EE34DC5"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Certificados de inversión para el control y mejoramiento del medio ambiente.</w:t>
      </w:r>
      <w:r>
        <w:rPr>
          <w:rFonts w:ascii="Arial" w:hAnsi="Arial" w:cs="Arial"/>
          <w:lang w:val="es-CO"/>
        </w:rPr>
        <w:t xml:space="preserve"> Las autoridades ambientales que certificarán las inversiones en contr</w:t>
      </w:r>
      <w:r>
        <w:rPr>
          <w:rFonts w:ascii="Arial" w:hAnsi="Arial" w:cs="Arial"/>
          <w:lang w:val="es-CO"/>
        </w:rPr>
        <w:t xml:space="preserve">ol y mejoramiento del medio ambiente previstas en el artículo 158-2 del Estatuto Tributario, de acuerdo con los criterios y requisitos previstos en el presente decreto, son: </w:t>
      </w:r>
    </w:p>
    <w:p w14:paraId="712B72ED" w14:textId="77777777" w:rsidR="00B2442D" w:rsidRDefault="00B2442D">
      <w:pPr>
        <w:jc w:val="both"/>
        <w:rPr>
          <w:rFonts w:ascii="Arial" w:hAnsi="Arial" w:cs="Arial"/>
          <w:lang w:val="es-CO"/>
        </w:rPr>
      </w:pPr>
    </w:p>
    <w:p w14:paraId="2AE4F1C0" w14:textId="77777777" w:rsidR="00B2442D" w:rsidRDefault="008A645F">
      <w:pPr>
        <w:pStyle w:val="Prrafodelista"/>
        <w:numPr>
          <w:ilvl w:val="0"/>
          <w:numId w:val="155"/>
        </w:numPr>
        <w:ind w:left="426" w:hanging="426"/>
        <w:jc w:val="both"/>
        <w:rPr>
          <w:rFonts w:ascii="Arial" w:hAnsi="Arial" w:cs="Arial"/>
          <w:lang w:val="es-CO"/>
        </w:rPr>
      </w:pPr>
      <w:r>
        <w:rPr>
          <w:rFonts w:ascii="Arial" w:hAnsi="Arial" w:cs="Arial"/>
          <w:lang w:val="es-CO"/>
        </w:rPr>
        <w:t xml:space="preserve">El Ministerio de Ambiente y Desarrollo Sostenible, cuando las </w:t>
      </w:r>
      <w:r>
        <w:rPr>
          <w:rFonts w:ascii="Arial" w:hAnsi="Arial" w:cs="Arial"/>
          <w:lang w:val="es-CO"/>
        </w:rPr>
        <w:t>inversiones en control y mejoramiento del medio ambiente comprendan la jurisdicción de dos (2) o más autoridades ambientales, cuando se realicen en áreas que involucren el Sistema de Parques Nacionales Naturales o reservas naturales de la sociedad civil, a</w:t>
      </w:r>
      <w:r>
        <w:rPr>
          <w:rFonts w:ascii="Arial" w:hAnsi="Arial" w:cs="Arial"/>
          <w:lang w:val="es-CO"/>
        </w:rPr>
        <w:t>sí como las que comprendan aspectos previstos en los literales j) y k) del artículo 3º y los literales e) y f) del artículo 1.2.1.18.54 del presente decreto, y las que estén asociadas con la prevención y/o control de emergencias y contingencias relacionada</w:t>
      </w:r>
      <w:r>
        <w:rPr>
          <w:rFonts w:ascii="Arial" w:hAnsi="Arial" w:cs="Arial"/>
          <w:lang w:val="es-CO"/>
        </w:rPr>
        <w:t>s con derrames o fugas de hidrocarburos o de sustancias químicas, y la reconversión industrial ligada a la implantación de tecnologías ambientalmente sanas o control ambiental en la fuente.</w:t>
      </w:r>
    </w:p>
    <w:p w14:paraId="2C1B0BC6" w14:textId="77777777" w:rsidR="00B2442D" w:rsidRDefault="00B2442D">
      <w:pPr>
        <w:pStyle w:val="Prrafodelista"/>
        <w:ind w:left="426" w:hanging="426"/>
        <w:jc w:val="both"/>
        <w:rPr>
          <w:rFonts w:ascii="Arial" w:hAnsi="Arial" w:cs="Arial"/>
          <w:lang w:val="es-CO"/>
        </w:rPr>
      </w:pPr>
    </w:p>
    <w:p w14:paraId="249F672D" w14:textId="77777777" w:rsidR="00B2442D" w:rsidRDefault="008A645F">
      <w:pPr>
        <w:pStyle w:val="Prrafodelista"/>
        <w:numPr>
          <w:ilvl w:val="0"/>
          <w:numId w:val="155"/>
        </w:numPr>
        <w:ind w:left="426" w:hanging="426"/>
        <w:jc w:val="both"/>
        <w:rPr>
          <w:rFonts w:ascii="Arial" w:hAnsi="Arial" w:cs="Arial"/>
          <w:lang w:val="es-CO"/>
        </w:rPr>
      </w:pPr>
      <w:r>
        <w:rPr>
          <w:rFonts w:ascii="Arial" w:hAnsi="Arial" w:cs="Arial"/>
          <w:lang w:val="es-CO"/>
        </w:rPr>
        <w:t>Las Corporaciones Autónomas Regionales o de Desarrollo Sostenible</w:t>
      </w:r>
      <w:r>
        <w:rPr>
          <w:rFonts w:ascii="Arial" w:hAnsi="Arial" w:cs="Arial"/>
          <w:lang w:val="es-CO"/>
        </w:rPr>
        <w:t>, las autoridades ambientales de los Grandes Centros Urbanos y las autoridades ambientales distritales creadas en virtud de la Ley 768 de 2002, cuando las inversiones en control y mejoramiento del medio ambiente se realicen dentro del área de su jurisdicci</w:t>
      </w:r>
      <w:r>
        <w:rPr>
          <w:rFonts w:ascii="Arial" w:hAnsi="Arial" w:cs="Arial"/>
          <w:lang w:val="es-CO"/>
        </w:rPr>
        <w:t>ón de acuerdo con los criterios y requisitos previstos en los artículos 1.2.1.18.51 al 1.2.1.18.56 del presente Decreto, salvo en los casos en que la certificación corresponda otorgarla al Ministerio de Ambiente y Desarrollo Sostenible.</w:t>
      </w:r>
    </w:p>
    <w:p w14:paraId="1245DE53" w14:textId="77777777" w:rsidR="00B2442D" w:rsidRDefault="00B2442D">
      <w:pPr>
        <w:jc w:val="both"/>
        <w:rPr>
          <w:rFonts w:ascii="Arial" w:hAnsi="Arial" w:cs="Arial"/>
          <w:lang w:val="es-CO"/>
        </w:rPr>
      </w:pPr>
    </w:p>
    <w:p w14:paraId="1D6ED9BD" w14:textId="77777777" w:rsidR="00B2442D" w:rsidRDefault="008A645F">
      <w:pPr>
        <w:jc w:val="both"/>
        <w:rPr>
          <w:rFonts w:ascii="Arial" w:hAnsi="Arial" w:cs="Arial"/>
          <w:i/>
          <w:lang w:val="es-CO"/>
        </w:rPr>
      </w:pPr>
      <w:r>
        <w:rPr>
          <w:rFonts w:ascii="Arial" w:hAnsi="Arial" w:cs="Arial"/>
          <w:i/>
          <w:lang w:val="es-CO"/>
        </w:rPr>
        <w:t>(Art. 5, Decreto 3</w:t>
      </w:r>
      <w:r>
        <w:rPr>
          <w:rFonts w:ascii="Arial" w:hAnsi="Arial" w:cs="Arial"/>
          <w:i/>
          <w:lang w:val="es-CO"/>
        </w:rPr>
        <w:t>172 de 2003)</w:t>
      </w:r>
    </w:p>
    <w:p w14:paraId="40A3FB5B" w14:textId="77777777" w:rsidR="00B2442D" w:rsidRDefault="00B2442D">
      <w:pPr>
        <w:jc w:val="both"/>
        <w:rPr>
          <w:rFonts w:ascii="Arial" w:hAnsi="Arial" w:cs="Arial"/>
          <w:lang w:val="es-CO"/>
        </w:rPr>
      </w:pPr>
    </w:p>
    <w:p w14:paraId="6DEEA7C6"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Información sobre las inversiones acreditadas como de control y mejoramiento ambiental. </w:t>
      </w:r>
      <w:r>
        <w:rPr>
          <w:rFonts w:ascii="Arial" w:hAnsi="Arial" w:cs="Arial"/>
          <w:lang w:val="es-CO"/>
        </w:rPr>
        <w:t>En virtud de lo previsto en el artículo 158-2 del Estatuto Tributario, las autoridades ambientales competentes enviarán antes del 31 de marzo de cada año,</w:t>
      </w:r>
      <w:r>
        <w:rPr>
          <w:rFonts w:ascii="Arial" w:hAnsi="Arial" w:cs="Arial"/>
          <w:lang w:val="es-CO"/>
        </w:rPr>
        <w:t xml:space="preserve"> a la Subdirección de  Gestión de Fiscalización Tributaria o a la dependencia que haga sus veces de la Unidad Administrativa Especial Dirección de Impuestos y Aduanas Nacionales-DIAN, copia de las certificaciones sobre acreditación de las inversiones de co</w:t>
      </w:r>
      <w:r>
        <w:rPr>
          <w:rFonts w:ascii="Arial" w:hAnsi="Arial" w:cs="Arial"/>
          <w:lang w:val="es-CO"/>
        </w:rPr>
        <w:t xml:space="preserve">ntrol y mejoramiento ambiental, para efectos de que esta última realice las diligencias de vigilancia y control de su competencia. </w:t>
      </w:r>
    </w:p>
    <w:p w14:paraId="77A74F56" w14:textId="77777777" w:rsidR="00B2442D" w:rsidRDefault="00B2442D">
      <w:pPr>
        <w:jc w:val="both"/>
        <w:rPr>
          <w:rFonts w:ascii="Arial" w:hAnsi="Arial" w:cs="Arial"/>
          <w:lang w:val="es-CO"/>
        </w:rPr>
      </w:pPr>
    </w:p>
    <w:p w14:paraId="689B928C" w14:textId="77777777" w:rsidR="00B2442D" w:rsidRDefault="008A645F">
      <w:pPr>
        <w:jc w:val="both"/>
        <w:rPr>
          <w:rFonts w:ascii="Arial" w:hAnsi="Arial" w:cs="Arial"/>
          <w:lang w:val="es-CO"/>
        </w:rPr>
      </w:pPr>
      <w:r>
        <w:rPr>
          <w:rFonts w:ascii="Arial" w:hAnsi="Arial" w:cs="Arial"/>
          <w:lang w:val="es-CO"/>
        </w:rPr>
        <w:t>Las Corporaciones Autónomas Regionales o de Desarrollo Sostenible, las autoridades ambientales de los Grandes Centros Urban</w:t>
      </w:r>
      <w:r>
        <w:rPr>
          <w:rFonts w:ascii="Arial" w:hAnsi="Arial" w:cs="Arial"/>
          <w:lang w:val="es-CO"/>
        </w:rPr>
        <w:t>os y las autoridades ambientales distritales creadas en virtud de la Ley 768 de 2002 enviarán adicionalmente copia de las certificaciones expedidas, al Ministerio de Ambiente y Desarrollo Sostenible,  en el mismo término señalado en el inciso anterior.</w:t>
      </w:r>
    </w:p>
    <w:p w14:paraId="3351EBE3" w14:textId="77777777" w:rsidR="00B2442D" w:rsidRDefault="00B2442D">
      <w:pPr>
        <w:jc w:val="both"/>
        <w:rPr>
          <w:rFonts w:ascii="Arial" w:hAnsi="Arial" w:cs="Arial"/>
          <w:lang w:val="es-CO"/>
        </w:rPr>
      </w:pPr>
    </w:p>
    <w:p w14:paraId="68D333F0" w14:textId="77777777" w:rsidR="00B2442D" w:rsidRDefault="008A645F">
      <w:pPr>
        <w:jc w:val="both"/>
        <w:rPr>
          <w:rFonts w:ascii="Arial" w:hAnsi="Arial" w:cs="Arial"/>
          <w:i/>
          <w:lang w:val="es-CO"/>
        </w:rPr>
      </w:pPr>
      <w:r>
        <w:rPr>
          <w:rFonts w:ascii="Arial" w:hAnsi="Arial" w:cs="Arial"/>
          <w:i/>
          <w:lang w:val="es-CO"/>
        </w:rPr>
        <w:t>(A</w:t>
      </w:r>
      <w:r>
        <w:rPr>
          <w:rFonts w:ascii="Arial" w:hAnsi="Arial" w:cs="Arial"/>
          <w:i/>
          <w:lang w:val="es-CO"/>
        </w:rPr>
        <w:t>rt. 6, Decreto 3172 de 2003)</w:t>
      </w:r>
    </w:p>
    <w:p w14:paraId="097C5B2D" w14:textId="77777777" w:rsidR="00B2442D" w:rsidRDefault="00B2442D">
      <w:pPr>
        <w:jc w:val="both"/>
        <w:rPr>
          <w:rFonts w:ascii="Arial" w:hAnsi="Arial" w:cs="Arial"/>
          <w:lang w:val="es-CO"/>
        </w:rPr>
      </w:pPr>
    </w:p>
    <w:p w14:paraId="02C290CA" w14:textId="77777777" w:rsidR="00B2442D" w:rsidRDefault="008A645F">
      <w:pPr>
        <w:pStyle w:val="Prrafodelista"/>
        <w:numPr>
          <w:ilvl w:val="0"/>
          <w:numId w:val="33"/>
        </w:numPr>
        <w:ind w:left="0" w:firstLine="0"/>
        <w:jc w:val="both"/>
        <w:rPr>
          <w:rFonts w:ascii="Arial" w:eastAsia="Times New Roman" w:hAnsi="Arial" w:cs="Arial"/>
          <w:lang w:eastAsia="es-CO"/>
        </w:rPr>
      </w:pPr>
      <w:r>
        <w:rPr>
          <w:rFonts w:ascii="Arial" w:eastAsia="Times New Roman" w:hAnsi="Arial" w:cs="Arial"/>
          <w:b/>
          <w:i/>
          <w:lang w:eastAsia="es-CO"/>
        </w:rPr>
        <w:t>Deducciones por actividades en el sector agropecuario.</w:t>
      </w:r>
      <w:r>
        <w:rPr>
          <w:rFonts w:ascii="Arial" w:eastAsia="Times New Roman" w:hAnsi="Arial" w:cs="Arial"/>
          <w:lang w:eastAsia="es-CO"/>
        </w:rPr>
        <w:t xml:space="preserve"> En cumplimiento de lo dispuesto en el artículo 43 de la Ley 26 de 1959 (hoy artículo 158 del Estatuto Tributario), serán también deducibles de la renta bruta, en cinco (5)</w:t>
      </w:r>
      <w:r>
        <w:rPr>
          <w:rFonts w:ascii="Arial" w:eastAsia="Times New Roman" w:hAnsi="Arial" w:cs="Arial"/>
          <w:lang w:eastAsia="es-CO"/>
        </w:rPr>
        <w:t xml:space="preserve"> años por partes iguales, los siguientes gastos: inversiones en construcción y reparación de viviendas en el campo para trabajadores; titulación de baldíos; construcción de acueductos, cercas, bañaderas y demás inversiones en la fundación, ampliación y mej</w:t>
      </w:r>
      <w:r>
        <w:rPr>
          <w:rFonts w:ascii="Arial" w:eastAsia="Times New Roman" w:hAnsi="Arial" w:cs="Arial"/>
          <w:lang w:eastAsia="es-CO"/>
        </w:rPr>
        <w:t xml:space="preserve">oramiento de fincas rurales. </w:t>
      </w:r>
    </w:p>
    <w:p w14:paraId="7D3934C6" w14:textId="77777777" w:rsidR="00B2442D" w:rsidRDefault="00B2442D">
      <w:pPr>
        <w:jc w:val="both"/>
        <w:rPr>
          <w:rFonts w:ascii="Arial" w:eastAsia="Times New Roman" w:hAnsi="Arial" w:cs="Arial"/>
          <w:b/>
          <w:i/>
          <w:lang w:eastAsia="es-CO"/>
        </w:rPr>
      </w:pPr>
    </w:p>
    <w:p w14:paraId="16AA9442" w14:textId="77777777" w:rsidR="00B2442D" w:rsidRDefault="008A645F">
      <w:pPr>
        <w:jc w:val="both"/>
        <w:rPr>
          <w:rFonts w:ascii="Arial" w:eastAsia="Times New Roman" w:hAnsi="Arial" w:cs="Arial"/>
          <w:lang w:eastAsia="es-CO"/>
        </w:rPr>
      </w:pPr>
      <w:r>
        <w:rPr>
          <w:rFonts w:ascii="Arial" w:eastAsia="Times New Roman" w:hAnsi="Arial" w:cs="Arial"/>
          <w:b/>
          <w:i/>
          <w:lang w:eastAsia="es-CO"/>
        </w:rPr>
        <w:t>Parágrafo.</w:t>
      </w:r>
      <w:r>
        <w:rPr>
          <w:rFonts w:ascii="Arial" w:eastAsia="Times New Roman" w:hAnsi="Arial" w:cs="Arial"/>
          <w:i/>
          <w:lang w:eastAsia="es-CO"/>
        </w:rPr>
        <w:t xml:space="preserve"> </w:t>
      </w:r>
      <w:r>
        <w:rPr>
          <w:rFonts w:ascii="Arial" w:eastAsia="Times New Roman" w:hAnsi="Arial" w:cs="Arial"/>
          <w:lang w:eastAsia="es-CO"/>
        </w:rPr>
        <w:t xml:space="preserve">Para los efectos de este artículo, se entiende por fundación, ampliación o mejoramiento de fincas rurales, además de las inversiones ya mencionadas, las siguientes: </w:t>
      </w:r>
    </w:p>
    <w:p w14:paraId="290669FD" w14:textId="77777777" w:rsidR="00B2442D" w:rsidRDefault="00B2442D">
      <w:pPr>
        <w:jc w:val="both"/>
        <w:rPr>
          <w:rFonts w:ascii="Arial" w:eastAsia="Times New Roman" w:hAnsi="Arial" w:cs="Arial"/>
          <w:lang w:eastAsia="es-CO"/>
        </w:rPr>
      </w:pPr>
    </w:p>
    <w:p w14:paraId="761CE9B8" w14:textId="77777777" w:rsidR="00B2442D" w:rsidRDefault="008A645F">
      <w:pPr>
        <w:ind w:left="284" w:hanging="284"/>
        <w:jc w:val="both"/>
        <w:rPr>
          <w:rFonts w:ascii="Arial" w:eastAsia="Times New Roman" w:hAnsi="Arial" w:cs="Arial"/>
          <w:lang w:eastAsia="es-CO"/>
        </w:rPr>
      </w:pPr>
      <w:r>
        <w:rPr>
          <w:rFonts w:ascii="Arial" w:eastAsia="Times New Roman" w:hAnsi="Arial" w:cs="Arial"/>
          <w:lang w:eastAsia="es-CO"/>
        </w:rPr>
        <w:t xml:space="preserve">a) Gastos preliminares directos de organización de una nueva finca que, según la técnica </w:t>
      </w:r>
      <w:r>
        <w:rPr>
          <w:rFonts w:ascii="Arial" w:eastAsia="Times New Roman" w:hAnsi="Arial" w:cs="Arial"/>
          <w:lang w:eastAsia="es-CO"/>
        </w:rPr>
        <w:t xml:space="preserve">contable, deban capitalizarse; </w:t>
      </w:r>
    </w:p>
    <w:p w14:paraId="4E3F3DBD" w14:textId="77777777" w:rsidR="00B2442D" w:rsidRDefault="00B2442D">
      <w:pPr>
        <w:ind w:left="284" w:hanging="284"/>
        <w:jc w:val="both"/>
        <w:rPr>
          <w:rFonts w:ascii="Arial" w:eastAsia="Times New Roman" w:hAnsi="Arial" w:cs="Arial"/>
          <w:lang w:eastAsia="es-CO"/>
        </w:rPr>
      </w:pPr>
    </w:p>
    <w:p w14:paraId="6B306C46" w14:textId="77777777" w:rsidR="00B2442D" w:rsidRDefault="008A645F">
      <w:pPr>
        <w:ind w:left="284" w:hanging="284"/>
        <w:jc w:val="both"/>
        <w:rPr>
          <w:rFonts w:ascii="Arial" w:eastAsia="Times New Roman" w:hAnsi="Arial" w:cs="Arial"/>
          <w:lang w:eastAsia="es-CO"/>
        </w:rPr>
      </w:pPr>
      <w:r>
        <w:rPr>
          <w:rFonts w:ascii="Arial" w:eastAsia="Times New Roman" w:hAnsi="Arial" w:cs="Arial"/>
          <w:lang w:eastAsia="es-CO"/>
        </w:rPr>
        <w:t xml:space="preserve">b) Construcción de corrales, bebederos, establos, silos, pistas de aterrizaje, vías de comunicación interna de la finca y renovación de potreros. </w:t>
      </w:r>
    </w:p>
    <w:p w14:paraId="3BB6B9DB" w14:textId="77777777" w:rsidR="00B2442D" w:rsidRDefault="00B2442D">
      <w:pPr>
        <w:jc w:val="both"/>
        <w:rPr>
          <w:rFonts w:ascii="Arial" w:hAnsi="Arial" w:cs="Arial"/>
          <w:lang w:val="es-CO"/>
        </w:rPr>
      </w:pPr>
    </w:p>
    <w:p w14:paraId="6C04ED48" w14:textId="77777777" w:rsidR="00B2442D" w:rsidRDefault="008A645F">
      <w:pPr>
        <w:jc w:val="both"/>
        <w:rPr>
          <w:rFonts w:ascii="Arial" w:hAnsi="Arial" w:cs="Arial"/>
          <w:i/>
          <w:lang w:val="es-CO"/>
        </w:rPr>
      </w:pPr>
      <w:r>
        <w:rPr>
          <w:rFonts w:ascii="Arial" w:hAnsi="Arial" w:cs="Arial"/>
          <w:i/>
          <w:lang w:val="es-CO"/>
        </w:rPr>
        <w:t>(Art. 109, Decreto 1562 de 1973. Parágrafo 2 tiene derogatoria tácita por e</w:t>
      </w:r>
      <w:r>
        <w:rPr>
          <w:rFonts w:ascii="Arial" w:hAnsi="Arial" w:cs="Arial"/>
          <w:i/>
          <w:lang w:val="es-CO"/>
        </w:rPr>
        <w:t>l Decreto 3410 de 1983. Parágrafo 3 tiene derogatoria tácita por el art. 25 del Decreto 825 de 1978)</w:t>
      </w:r>
    </w:p>
    <w:p w14:paraId="140FE47C" w14:textId="77777777" w:rsidR="00B2442D" w:rsidRDefault="00B2442D">
      <w:pPr>
        <w:jc w:val="both"/>
        <w:rPr>
          <w:rFonts w:ascii="Arial" w:hAnsi="Arial" w:cs="Arial"/>
          <w:lang w:val="es-CO"/>
        </w:rPr>
      </w:pPr>
    </w:p>
    <w:p w14:paraId="40BD304E" w14:textId="77777777" w:rsidR="00B2442D" w:rsidRDefault="008A645F">
      <w:pPr>
        <w:pStyle w:val="Prrafodelista"/>
        <w:widowControl w:val="0"/>
        <w:numPr>
          <w:ilvl w:val="0"/>
          <w:numId w:val="33"/>
        </w:numPr>
        <w:autoSpaceDE w:val="0"/>
        <w:autoSpaceDN w:val="0"/>
        <w:adjustRightInd w:val="0"/>
        <w:spacing w:line="40" w:lineRule="atLeast"/>
        <w:ind w:left="0" w:firstLine="0"/>
        <w:jc w:val="both"/>
        <w:rPr>
          <w:rFonts w:ascii="Arial" w:hAnsi="Arial" w:cs="Arial"/>
        </w:rPr>
      </w:pPr>
      <w:r>
        <w:rPr>
          <w:rFonts w:ascii="Arial" w:hAnsi="Arial" w:cs="Arial"/>
          <w:i/>
          <w:vanish/>
        </w:rPr>
        <w:t>&amp;$</w:t>
      </w:r>
      <w:r>
        <w:t xml:space="preserve"> </w:t>
      </w:r>
      <w:r>
        <w:rPr>
          <w:rFonts w:ascii="Arial" w:hAnsi="Arial" w:cs="Arial"/>
          <w:b/>
          <w:bCs/>
          <w:i/>
        </w:rPr>
        <w:t>Amortización de gastos en exploración, prospectación o instalación de pozos o minas que no resulten productivos.</w:t>
      </w:r>
      <w:r>
        <w:rPr>
          <w:rFonts w:ascii="Arial" w:hAnsi="Arial" w:cs="Arial"/>
          <w:i/>
        </w:rPr>
        <w:t xml:space="preserve"> </w:t>
      </w:r>
      <w:r>
        <w:rPr>
          <w:rFonts w:ascii="Arial" w:hAnsi="Arial" w:cs="Arial"/>
        </w:rPr>
        <w:t xml:space="preserve">Los gastos en exploración, </w:t>
      </w:r>
      <w:r>
        <w:rPr>
          <w:rFonts w:ascii="Arial" w:hAnsi="Arial" w:cs="Arial"/>
        </w:rPr>
        <w:t>prospectación o instalación de pozos o minas que no resulten productivos pueden ser amortizados con rentas de otras explotaciones productivas de la misma naturaleza.</w:t>
      </w:r>
    </w:p>
    <w:p w14:paraId="34F2F036" w14:textId="77777777" w:rsidR="00B2442D" w:rsidRDefault="00B2442D">
      <w:pPr>
        <w:jc w:val="both"/>
        <w:rPr>
          <w:rFonts w:ascii="Arial" w:hAnsi="Arial" w:cs="Arial"/>
        </w:rPr>
      </w:pPr>
    </w:p>
    <w:p w14:paraId="66F61338" w14:textId="77777777" w:rsidR="00B2442D" w:rsidRDefault="008A645F">
      <w:pPr>
        <w:jc w:val="both"/>
        <w:rPr>
          <w:rFonts w:ascii="Arial" w:hAnsi="Arial" w:cs="Arial"/>
          <w:i/>
          <w:lang w:val="es-CO"/>
        </w:rPr>
      </w:pPr>
      <w:r>
        <w:rPr>
          <w:rFonts w:ascii="Arial" w:hAnsi="Arial" w:cs="Arial"/>
          <w:i/>
          <w:lang w:val="es-CO"/>
        </w:rPr>
        <w:t>(Art. 69, Decreto 187 de 1975. El inciso 1 tiene decaimiento por evolución normativa) (El</w:t>
      </w:r>
      <w:r>
        <w:rPr>
          <w:rFonts w:ascii="Arial" w:hAnsi="Arial" w:cs="Arial"/>
          <w:i/>
          <w:lang w:val="es-CO"/>
        </w:rPr>
        <w:t xml:space="preserve"> artículo 143 del Estatuto Tributario fue modificado por el artículo 91 de la Ley 223 de 1995) (Vigencia del Decreto 187 de 1975. El Decreto 187 de 1975 se aplicará a partir del ejercicio impositivo de 1974 salvo los casos expresamente exceptuados en el mi</w:t>
      </w:r>
      <w:r>
        <w:rPr>
          <w:rFonts w:ascii="Arial" w:hAnsi="Arial" w:cs="Arial"/>
          <w:i/>
          <w:lang w:val="es-CO"/>
        </w:rPr>
        <w:t>smo o en las normas sustantivas y procedimentales del impuesto sobre la renta y complementario. (Art. 117, Decreto 187 de 1975))</w:t>
      </w:r>
    </w:p>
    <w:p w14:paraId="094C2FC0" w14:textId="77777777" w:rsidR="00B2442D" w:rsidRDefault="00B2442D">
      <w:pPr>
        <w:jc w:val="both"/>
        <w:rPr>
          <w:rFonts w:ascii="Arial" w:hAnsi="Arial" w:cs="Arial"/>
          <w:lang w:val="es-CO"/>
        </w:rPr>
      </w:pPr>
    </w:p>
    <w:p w14:paraId="4AD09B83"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Erogaciones.</w:t>
      </w:r>
      <w:r>
        <w:rPr>
          <w:rFonts w:ascii="Arial" w:hAnsi="Arial" w:cs="Arial"/>
          <w:lang w:val="es-CO"/>
        </w:rPr>
        <w:t xml:space="preserve"> Las erogaciones que realicen las entidades a que se refiere el artículo 1.2.1.1.7 del presente Decreto con cargo </w:t>
      </w:r>
      <w:r>
        <w:rPr>
          <w:rFonts w:ascii="Arial" w:hAnsi="Arial" w:cs="Arial"/>
          <w:lang w:val="es-CO"/>
        </w:rPr>
        <w:t xml:space="preserve">a sus propios recursos, como consecuencia del incumplimiento de alguna de las partes respecto de las cuales la entidad se haya constituido como contraparte central, serán deducibles para esta última en el mismo período en que sean realizadas. Sin embargo, </w:t>
      </w:r>
      <w:r>
        <w:rPr>
          <w:rFonts w:ascii="Arial" w:hAnsi="Arial" w:cs="Arial"/>
          <w:lang w:val="es-CO"/>
        </w:rPr>
        <w:t>si como consecuencia de la ejecución de las garantías o del resultado de acciones legales o contractuales la entidad recupera en todo o en parte los recursos que hubiere destinado a cubrir el incumplimiento, tales sumas tendrán el carácter, para efectos tr</w:t>
      </w:r>
      <w:r>
        <w:rPr>
          <w:rFonts w:ascii="Arial" w:hAnsi="Arial" w:cs="Arial"/>
          <w:lang w:val="es-CO"/>
        </w:rPr>
        <w:t>ibutarios, de ingreso del período o de ingreso por recuperación de deducciones, según sea el caso.</w:t>
      </w:r>
    </w:p>
    <w:p w14:paraId="3FEAC45C" w14:textId="77777777" w:rsidR="00B2442D" w:rsidRDefault="00B2442D">
      <w:pPr>
        <w:jc w:val="both"/>
        <w:rPr>
          <w:rFonts w:ascii="Arial" w:hAnsi="Arial" w:cs="Arial"/>
          <w:lang w:val="es-CO"/>
        </w:rPr>
      </w:pPr>
    </w:p>
    <w:p w14:paraId="2C7BDA1C" w14:textId="77777777" w:rsidR="00B2442D" w:rsidRDefault="008A645F">
      <w:pPr>
        <w:jc w:val="both"/>
        <w:rPr>
          <w:rFonts w:ascii="Arial" w:hAnsi="Arial" w:cs="Arial"/>
          <w:i/>
          <w:lang w:val="es-CO"/>
        </w:rPr>
      </w:pPr>
      <w:r>
        <w:rPr>
          <w:rFonts w:ascii="Arial" w:hAnsi="Arial" w:cs="Arial"/>
          <w:i/>
          <w:lang w:val="es-CO"/>
        </w:rPr>
        <w:t>(Art. 3, Decreto 1797 de 2008)</w:t>
      </w:r>
    </w:p>
    <w:p w14:paraId="266B3219" w14:textId="77777777" w:rsidR="00B2442D" w:rsidRDefault="00B2442D">
      <w:pPr>
        <w:jc w:val="both"/>
        <w:rPr>
          <w:rFonts w:ascii="Arial" w:hAnsi="Arial" w:cs="Arial"/>
          <w:b/>
          <w:lang w:val="es-CO"/>
        </w:rPr>
      </w:pPr>
    </w:p>
    <w:p w14:paraId="796DBF52"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Determinación del patrimonio líquido.</w:t>
      </w:r>
      <w:r>
        <w:rPr>
          <w:rFonts w:ascii="Arial" w:hAnsi="Arial" w:cs="Arial"/>
          <w:lang w:val="es-CO"/>
        </w:rPr>
        <w:t xml:space="preserve"> Para efectos de lo previsto en el artículo 118-1 del Estatuto Tributario, el patrimoni</w:t>
      </w:r>
      <w:r>
        <w:rPr>
          <w:rFonts w:ascii="Arial" w:hAnsi="Arial" w:cs="Arial"/>
          <w:lang w:val="es-CO"/>
        </w:rPr>
        <w:t>o líquido se determinará de acuerdo con lo dispuesto en el artículo 282 del Estatuto Tributario.</w:t>
      </w:r>
    </w:p>
    <w:p w14:paraId="0251AF9E" w14:textId="77777777" w:rsidR="00B2442D" w:rsidRDefault="00B2442D">
      <w:pPr>
        <w:jc w:val="both"/>
        <w:rPr>
          <w:rFonts w:ascii="Arial" w:hAnsi="Arial" w:cs="Arial"/>
          <w:lang w:val="es-CO"/>
        </w:rPr>
      </w:pPr>
    </w:p>
    <w:p w14:paraId="12CAF992" w14:textId="77777777" w:rsidR="00B2442D" w:rsidRDefault="008A645F">
      <w:pPr>
        <w:jc w:val="both"/>
        <w:rPr>
          <w:rFonts w:ascii="Arial" w:hAnsi="Arial" w:cs="Arial"/>
          <w:i/>
          <w:lang w:val="es-CO"/>
        </w:rPr>
      </w:pPr>
      <w:r>
        <w:rPr>
          <w:rFonts w:ascii="Arial" w:hAnsi="Arial" w:cs="Arial"/>
          <w:i/>
          <w:lang w:val="es-CO"/>
        </w:rPr>
        <w:t>(Art. 1, Decreto 3027 de 2013)</w:t>
      </w:r>
    </w:p>
    <w:p w14:paraId="0FD52039" w14:textId="77777777" w:rsidR="00B2442D" w:rsidRDefault="00B2442D">
      <w:pPr>
        <w:jc w:val="both"/>
        <w:rPr>
          <w:rFonts w:ascii="Arial" w:hAnsi="Arial" w:cs="Arial"/>
          <w:lang w:val="es-CO"/>
        </w:rPr>
      </w:pPr>
    </w:p>
    <w:p w14:paraId="7E41EE70"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Determinación del monto total promedio de las deudas.</w:t>
      </w:r>
      <w:r>
        <w:rPr>
          <w:rFonts w:ascii="Arial" w:hAnsi="Arial" w:cs="Arial"/>
          <w:lang w:val="es-CO"/>
        </w:rPr>
        <w:t xml:space="preserve"> Para efectos de lo previsto en el artículo 118-1 del Estatuto Tributario</w:t>
      </w:r>
      <w:r>
        <w:rPr>
          <w:rFonts w:ascii="Arial" w:hAnsi="Arial" w:cs="Arial"/>
          <w:lang w:val="es-CO"/>
        </w:rPr>
        <w:t>, el monto total promedio de las deudas se determinará de la siguiente manera:</w:t>
      </w:r>
    </w:p>
    <w:p w14:paraId="426546AF" w14:textId="77777777" w:rsidR="00B2442D" w:rsidRDefault="00B2442D">
      <w:pPr>
        <w:jc w:val="both"/>
        <w:rPr>
          <w:rFonts w:ascii="Arial" w:hAnsi="Arial" w:cs="Arial"/>
          <w:lang w:val="es-CO"/>
        </w:rPr>
      </w:pPr>
    </w:p>
    <w:p w14:paraId="42557520" w14:textId="77777777" w:rsidR="00B2442D" w:rsidRDefault="008A645F">
      <w:pPr>
        <w:jc w:val="both"/>
        <w:rPr>
          <w:rFonts w:ascii="Arial" w:hAnsi="Arial" w:cs="Arial"/>
          <w:lang w:val="es-CO"/>
        </w:rPr>
      </w:pPr>
      <w:r>
        <w:rPr>
          <w:rFonts w:ascii="Arial" w:hAnsi="Arial" w:cs="Arial"/>
          <w:lang w:val="es-CO"/>
        </w:rPr>
        <w:t>1. Para cada una de las deudas que generan intereses se identificará:</w:t>
      </w:r>
    </w:p>
    <w:p w14:paraId="637B2663" w14:textId="77777777" w:rsidR="00B2442D" w:rsidRDefault="00B2442D">
      <w:pPr>
        <w:jc w:val="both"/>
        <w:rPr>
          <w:rFonts w:ascii="Arial" w:hAnsi="Arial" w:cs="Arial"/>
          <w:lang w:val="es-CO"/>
        </w:rPr>
      </w:pPr>
    </w:p>
    <w:p w14:paraId="067C9509"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b/>
          <w:lang w:val="es-CO"/>
        </w:rPr>
        <w:t>Permanencia:</w:t>
      </w:r>
      <w:r>
        <w:rPr>
          <w:rFonts w:ascii="Arial" w:hAnsi="Arial" w:cs="Arial"/>
          <w:lang w:val="es-CO"/>
        </w:rPr>
        <w:t xml:space="preserve"> Es el número de días calendario de permanencia de la deuda durante el respectivo año gravable, el cual incluye el día de ingreso de la deuda y no incluye el día del pago del capital o principal. Para las obligaciones que provienen de años anteriores, se e</w:t>
      </w:r>
      <w:r>
        <w:rPr>
          <w:rFonts w:ascii="Arial" w:hAnsi="Arial" w:cs="Arial"/>
          <w:lang w:val="es-CO"/>
        </w:rPr>
        <w:t>ntiende que el día de ingreso de la deuda es el 1° de enero del año o período gravable.</w:t>
      </w:r>
    </w:p>
    <w:p w14:paraId="746E316A" w14:textId="77777777" w:rsidR="00B2442D" w:rsidRDefault="00B2442D">
      <w:pPr>
        <w:ind w:left="284" w:hanging="284"/>
        <w:jc w:val="both"/>
        <w:rPr>
          <w:rFonts w:ascii="Arial" w:hAnsi="Arial" w:cs="Arial"/>
          <w:lang w:val="es-CO"/>
        </w:rPr>
      </w:pPr>
    </w:p>
    <w:p w14:paraId="426AA3B9"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b/>
          <w:lang w:val="es-CO"/>
        </w:rPr>
        <w:t>Base:</w:t>
      </w:r>
      <w:r>
        <w:rPr>
          <w:rFonts w:ascii="Arial" w:hAnsi="Arial" w:cs="Arial"/>
          <w:lang w:val="es-CO"/>
        </w:rPr>
        <w:t xml:space="preserve"> Es el valor del capital o principal de la deuda sobre el que se liquidan los intereses durante el período de permanencia.</w:t>
      </w:r>
    </w:p>
    <w:p w14:paraId="1017BF8F" w14:textId="77777777" w:rsidR="00B2442D" w:rsidRDefault="00B2442D">
      <w:pPr>
        <w:ind w:left="284" w:hanging="284"/>
        <w:jc w:val="both"/>
        <w:rPr>
          <w:rFonts w:ascii="Arial" w:hAnsi="Arial" w:cs="Arial"/>
          <w:lang w:val="es-CO"/>
        </w:rPr>
      </w:pPr>
    </w:p>
    <w:p w14:paraId="7A1C9222"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b/>
          <w:lang w:val="es-CO"/>
        </w:rPr>
        <w:t>Deuda ponderada:</w:t>
      </w:r>
      <w:r>
        <w:rPr>
          <w:rFonts w:ascii="Arial" w:hAnsi="Arial" w:cs="Arial"/>
          <w:lang w:val="es-CO"/>
        </w:rPr>
        <w:t xml:space="preserve"> Es el resultado d</w:t>
      </w:r>
      <w:r>
        <w:rPr>
          <w:rFonts w:ascii="Arial" w:hAnsi="Arial" w:cs="Arial"/>
          <w:lang w:val="es-CO"/>
        </w:rPr>
        <w:t>e multiplicar el número de días de permanencia por la base.</w:t>
      </w:r>
    </w:p>
    <w:p w14:paraId="351F239B" w14:textId="77777777" w:rsidR="00B2442D" w:rsidRDefault="00B2442D">
      <w:pPr>
        <w:jc w:val="both"/>
        <w:rPr>
          <w:rFonts w:ascii="Arial" w:hAnsi="Arial" w:cs="Arial"/>
          <w:lang w:val="es-CO"/>
        </w:rPr>
      </w:pPr>
    </w:p>
    <w:p w14:paraId="06A5B187" w14:textId="77777777" w:rsidR="00B2442D" w:rsidRDefault="008A645F">
      <w:pPr>
        <w:jc w:val="both"/>
        <w:rPr>
          <w:rFonts w:ascii="Arial" w:hAnsi="Arial" w:cs="Arial"/>
          <w:lang w:val="es-CO"/>
        </w:rPr>
      </w:pPr>
      <w:r>
        <w:rPr>
          <w:rFonts w:ascii="Arial" w:hAnsi="Arial" w:cs="Arial"/>
          <w:lang w:val="es-CO"/>
        </w:rPr>
        <w:t xml:space="preserve">En los casos en que haya amortizaciones o pagos parciales del capital de una misma deuda, la identificación de los anteriores elementos deberá hacerse en forma separada para cada tramo del saldo </w:t>
      </w:r>
      <w:r>
        <w:rPr>
          <w:rFonts w:ascii="Arial" w:hAnsi="Arial" w:cs="Arial"/>
          <w:lang w:val="es-CO"/>
        </w:rPr>
        <w:t>por pagar como si se tratara de deudas independientes.</w:t>
      </w:r>
    </w:p>
    <w:p w14:paraId="1D982EB5" w14:textId="77777777" w:rsidR="00B2442D" w:rsidRDefault="00B2442D">
      <w:pPr>
        <w:jc w:val="both"/>
        <w:rPr>
          <w:rFonts w:ascii="Arial" w:hAnsi="Arial" w:cs="Arial"/>
          <w:lang w:val="es-CO"/>
        </w:rPr>
      </w:pPr>
    </w:p>
    <w:p w14:paraId="7244A51A"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La deuda ponderada total se determinará sumando la deuda ponderada, calculada de acuerdo con lo previsto en el numeral 1 de este artículo, de todas las deudas que generan intereses.</w:t>
      </w:r>
    </w:p>
    <w:p w14:paraId="4E7EBDFF" w14:textId="77777777" w:rsidR="00B2442D" w:rsidRDefault="00B2442D">
      <w:pPr>
        <w:ind w:left="284" w:hanging="284"/>
        <w:jc w:val="both"/>
        <w:rPr>
          <w:rFonts w:ascii="Arial" w:hAnsi="Arial" w:cs="Arial"/>
          <w:lang w:val="es-CO"/>
        </w:rPr>
      </w:pPr>
    </w:p>
    <w:p w14:paraId="6F4BBAAC"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El monto to</w:t>
      </w:r>
      <w:r>
        <w:rPr>
          <w:rFonts w:ascii="Arial" w:hAnsi="Arial" w:cs="Arial"/>
          <w:lang w:val="es-CO"/>
        </w:rPr>
        <w:t>tal promedio de las deudas será el resultado de dividir la deuda ponderada total, calculada de acuerdo con lo previsto en el numeral 2 de este artículo por el número total de días calendario del correspondiente año o período gravable.</w:t>
      </w:r>
    </w:p>
    <w:p w14:paraId="47454CEC" w14:textId="77777777" w:rsidR="00B2442D" w:rsidRDefault="00B2442D">
      <w:pPr>
        <w:jc w:val="both"/>
        <w:rPr>
          <w:rFonts w:ascii="Arial" w:hAnsi="Arial" w:cs="Arial"/>
          <w:lang w:val="es-CO"/>
        </w:rPr>
      </w:pPr>
    </w:p>
    <w:p w14:paraId="48A4DE1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los </w:t>
      </w:r>
      <w:r>
        <w:rPr>
          <w:rFonts w:ascii="Arial" w:hAnsi="Arial" w:cs="Arial"/>
          <w:lang w:val="es-CO"/>
        </w:rPr>
        <w:t>contribuyentes que durante el correspondiente período gravable tengan deudas que generan intereses denominadas en monedas diferentes al peso colombiano, la identificación de la base en pesos se hará para cada deuda con su equivalente en dólares de los Esta</w:t>
      </w:r>
      <w:r>
        <w:rPr>
          <w:rFonts w:ascii="Arial" w:hAnsi="Arial" w:cs="Arial"/>
          <w:lang w:val="es-CO"/>
        </w:rPr>
        <w:t>dos Unidos de América multiplicado por el promedio diario de la Tasa Representativa del Mercado correspondiente al período de permanencia. Para determinar la anterior equivalencia de otras monedas con respecto al dólar de los Estados Unidos de América se u</w:t>
      </w:r>
      <w:r>
        <w:rPr>
          <w:rFonts w:ascii="Arial" w:hAnsi="Arial" w:cs="Arial"/>
          <w:lang w:val="es-CO"/>
        </w:rPr>
        <w:t>tilizará el tipo de cambio de esta otra moneda con respecto al dólar de los Estados Unidos de América vigente el día de ingreso de la deuda o el 1o de enero del período gravable si la deuda proviene de años anteriores.</w:t>
      </w:r>
    </w:p>
    <w:p w14:paraId="77E7EDF7" w14:textId="77777777" w:rsidR="00B2442D" w:rsidRDefault="00B2442D">
      <w:pPr>
        <w:jc w:val="both"/>
        <w:rPr>
          <w:rFonts w:ascii="Arial" w:hAnsi="Arial" w:cs="Arial"/>
          <w:lang w:val="es-CO"/>
        </w:rPr>
      </w:pPr>
    </w:p>
    <w:p w14:paraId="17A11AFD" w14:textId="77777777" w:rsidR="00B2442D" w:rsidRDefault="008A645F">
      <w:pPr>
        <w:jc w:val="both"/>
        <w:rPr>
          <w:rFonts w:ascii="Arial" w:hAnsi="Arial" w:cs="Arial"/>
          <w:i/>
          <w:lang w:val="es-CO"/>
        </w:rPr>
      </w:pPr>
      <w:r>
        <w:rPr>
          <w:rFonts w:ascii="Arial" w:hAnsi="Arial" w:cs="Arial"/>
          <w:i/>
          <w:lang w:val="es-CO"/>
        </w:rPr>
        <w:t>(Art. 2, Decreto 3027 de 2013)</w:t>
      </w:r>
    </w:p>
    <w:p w14:paraId="1A9511F0" w14:textId="77777777" w:rsidR="00B2442D" w:rsidRDefault="00B2442D">
      <w:pPr>
        <w:jc w:val="both"/>
        <w:rPr>
          <w:rFonts w:ascii="Arial" w:hAnsi="Arial" w:cs="Arial"/>
          <w:b/>
          <w:lang w:val="es-CO"/>
        </w:rPr>
      </w:pPr>
    </w:p>
    <w:p w14:paraId="63DDD63D"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Dete</w:t>
      </w:r>
      <w:r>
        <w:rPr>
          <w:rFonts w:ascii="Arial" w:hAnsi="Arial" w:cs="Arial"/>
          <w:b/>
          <w:i/>
          <w:lang w:val="es-CO"/>
        </w:rPr>
        <w:t>rminación de los gastos por intereses no deducibles.</w:t>
      </w:r>
      <w:r>
        <w:rPr>
          <w:rFonts w:ascii="Arial" w:hAnsi="Arial" w:cs="Arial"/>
          <w:lang w:val="es-CO"/>
        </w:rPr>
        <w:t xml:space="preserve"> Para determinar los gastos por intereses no deducibles, se aplicará el siguiente procedimiento:</w:t>
      </w:r>
    </w:p>
    <w:p w14:paraId="5070C8E3" w14:textId="77777777" w:rsidR="00B2442D" w:rsidRDefault="00B2442D">
      <w:pPr>
        <w:jc w:val="both"/>
        <w:rPr>
          <w:rFonts w:ascii="Arial" w:hAnsi="Arial" w:cs="Arial"/>
          <w:lang w:val="es-CO"/>
        </w:rPr>
      </w:pPr>
    </w:p>
    <w:p w14:paraId="11D7876E" w14:textId="77777777" w:rsidR="00B2442D" w:rsidRDefault="008A645F">
      <w:pPr>
        <w:ind w:left="284" w:hanging="284"/>
        <w:jc w:val="both"/>
        <w:rPr>
          <w:rFonts w:ascii="Arial" w:hAnsi="Arial" w:cs="Arial"/>
          <w:lang w:val="es-CO"/>
        </w:rPr>
      </w:pPr>
      <w:r>
        <w:rPr>
          <w:rFonts w:ascii="Arial" w:hAnsi="Arial" w:cs="Arial"/>
          <w:b/>
          <w:lang w:val="es-CO"/>
        </w:rPr>
        <w:t>1.</w:t>
      </w:r>
      <w:r>
        <w:rPr>
          <w:rFonts w:ascii="Arial" w:hAnsi="Arial" w:cs="Arial"/>
          <w:b/>
          <w:lang w:val="es-CO"/>
        </w:rPr>
        <w:tab/>
      </w:r>
      <w:r>
        <w:rPr>
          <w:rFonts w:ascii="Arial" w:hAnsi="Arial" w:cs="Arial"/>
          <w:lang w:val="es-CO"/>
        </w:rPr>
        <w:t xml:space="preserve"> </w:t>
      </w:r>
      <w:r>
        <w:rPr>
          <w:rFonts w:ascii="Arial" w:hAnsi="Arial" w:cs="Arial"/>
          <w:b/>
          <w:lang w:val="es-CO"/>
        </w:rPr>
        <w:t>Monto máximo de endeudamiento que genera intereses deducibles:</w:t>
      </w:r>
      <w:r>
        <w:rPr>
          <w:rFonts w:ascii="Arial" w:hAnsi="Arial" w:cs="Arial"/>
          <w:lang w:val="es-CO"/>
        </w:rPr>
        <w:t xml:space="preserve"> El monto máximo de endeudamiento que genera intereses deducibles se determinará tomando el patrimonio líquido determinado a 31 de diciembre del año gravable inmediatamente anterior y multiplicándolo por tres (3).</w:t>
      </w:r>
    </w:p>
    <w:p w14:paraId="14734E12" w14:textId="77777777" w:rsidR="00B2442D" w:rsidRDefault="00B2442D">
      <w:pPr>
        <w:ind w:left="284" w:hanging="284"/>
        <w:jc w:val="both"/>
        <w:rPr>
          <w:rFonts w:ascii="Arial" w:hAnsi="Arial" w:cs="Arial"/>
          <w:lang w:val="es-CO"/>
        </w:rPr>
      </w:pPr>
    </w:p>
    <w:p w14:paraId="2686CA7A" w14:textId="77777777" w:rsidR="00B2442D" w:rsidRDefault="008A645F">
      <w:pPr>
        <w:ind w:left="284" w:hanging="284"/>
        <w:jc w:val="both"/>
        <w:rPr>
          <w:rFonts w:ascii="Arial" w:hAnsi="Arial" w:cs="Arial"/>
          <w:lang w:val="es-CO"/>
        </w:rPr>
      </w:pPr>
      <w:r>
        <w:rPr>
          <w:rFonts w:ascii="Arial" w:hAnsi="Arial" w:cs="Arial"/>
          <w:b/>
          <w:lang w:val="es-CO"/>
        </w:rPr>
        <w:t>2.</w:t>
      </w:r>
      <w:r>
        <w:rPr>
          <w:rFonts w:ascii="Arial" w:hAnsi="Arial" w:cs="Arial"/>
          <w:b/>
          <w:lang w:val="es-CO"/>
        </w:rPr>
        <w:tab/>
        <w:t xml:space="preserve"> Exceso de endeudamiento:</w:t>
      </w:r>
      <w:r>
        <w:rPr>
          <w:rFonts w:ascii="Arial" w:hAnsi="Arial" w:cs="Arial"/>
          <w:lang w:val="es-CO"/>
        </w:rPr>
        <w:t xml:space="preserve"> El exceso de</w:t>
      </w:r>
      <w:r>
        <w:rPr>
          <w:rFonts w:ascii="Arial" w:hAnsi="Arial" w:cs="Arial"/>
          <w:lang w:val="es-CO"/>
        </w:rPr>
        <w:t xml:space="preserve"> endeudamiento se determinará tomando el total promedio de las deudas, determinado conforme al artículo anterior, y restándole el monto máximo de endeudamiento, determinado conforme con el numeral primero de este artículo, cuando a ello haya lugar.</w:t>
      </w:r>
    </w:p>
    <w:p w14:paraId="1C127E2B" w14:textId="77777777" w:rsidR="00B2442D" w:rsidRDefault="00B2442D">
      <w:pPr>
        <w:ind w:left="284" w:hanging="284"/>
        <w:jc w:val="both"/>
        <w:rPr>
          <w:rFonts w:ascii="Arial" w:hAnsi="Arial" w:cs="Arial"/>
          <w:lang w:val="es-CO"/>
        </w:rPr>
      </w:pPr>
    </w:p>
    <w:p w14:paraId="0C7EF4EA" w14:textId="77777777" w:rsidR="00B2442D" w:rsidRDefault="008A645F">
      <w:pPr>
        <w:ind w:left="284" w:hanging="284"/>
        <w:jc w:val="both"/>
        <w:rPr>
          <w:rFonts w:ascii="Arial" w:hAnsi="Arial" w:cs="Arial"/>
          <w:lang w:val="es-CO"/>
        </w:rPr>
      </w:pPr>
      <w:r>
        <w:rPr>
          <w:rFonts w:ascii="Arial" w:hAnsi="Arial" w:cs="Arial"/>
          <w:b/>
          <w:lang w:val="es-CO"/>
        </w:rPr>
        <w:t>3.</w:t>
      </w:r>
      <w:r>
        <w:rPr>
          <w:rFonts w:ascii="Arial" w:hAnsi="Arial" w:cs="Arial"/>
          <w:b/>
          <w:lang w:val="es-CO"/>
        </w:rPr>
        <w:tab/>
      </w:r>
      <w:r>
        <w:rPr>
          <w:rFonts w:ascii="Arial" w:hAnsi="Arial" w:cs="Arial"/>
          <w:b/>
          <w:lang w:val="es-CO"/>
        </w:rPr>
        <w:t xml:space="preserve"> Proporción de intereses no deducibles:</w:t>
      </w:r>
      <w:r>
        <w:rPr>
          <w:rFonts w:ascii="Arial" w:hAnsi="Arial" w:cs="Arial"/>
          <w:lang w:val="es-CO"/>
        </w:rPr>
        <w:t xml:space="preserve"> La proporción de intereses no deducibles se determinará dividiendo el exceso de endeudamiento, determinado en el numeral anterior, por el monto total promedio de las deudas, determinado conforme al artículo anterior.</w:t>
      </w:r>
    </w:p>
    <w:p w14:paraId="7D867ECF" w14:textId="77777777" w:rsidR="00B2442D" w:rsidRDefault="00B2442D">
      <w:pPr>
        <w:ind w:left="284" w:hanging="284"/>
        <w:jc w:val="both"/>
        <w:rPr>
          <w:rFonts w:ascii="Arial" w:hAnsi="Arial" w:cs="Arial"/>
          <w:b/>
          <w:lang w:val="es-CO"/>
        </w:rPr>
      </w:pPr>
    </w:p>
    <w:p w14:paraId="2BBBC82E" w14:textId="77777777" w:rsidR="00B2442D" w:rsidRDefault="008A645F">
      <w:pPr>
        <w:ind w:left="284" w:hanging="284"/>
        <w:jc w:val="both"/>
        <w:rPr>
          <w:rFonts w:ascii="Arial" w:hAnsi="Arial" w:cs="Arial"/>
          <w:lang w:val="es-CO"/>
        </w:rPr>
      </w:pPr>
      <w:r>
        <w:rPr>
          <w:rFonts w:ascii="Arial" w:hAnsi="Arial" w:cs="Arial"/>
          <w:b/>
          <w:lang w:val="es-CO"/>
        </w:rPr>
        <w:t>4.</w:t>
      </w:r>
      <w:r>
        <w:rPr>
          <w:rFonts w:ascii="Arial" w:hAnsi="Arial" w:cs="Arial"/>
          <w:b/>
          <w:lang w:val="es-CO"/>
        </w:rPr>
        <w:tab/>
        <w:t xml:space="preserve"> Gastos por concepto de interés no deducibles del respectivo período:</w:t>
      </w:r>
      <w:r>
        <w:rPr>
          <w:rFonts w:ascii="Arial" w:hAnsi="Arial" w:cs="Arial"/>
          <w:lang w:val="es-CO"/>
        </w:rPr>
        <w:t xml:space="preserve"> Los gastos por concepto de interés no deducibles del respectivo período se determinarán aplicando la proporción de intereses no deducible al total de intereses pagados o abonados en</w:t>
      </w:r>
      <w:r>
        <w:rPr>
          <w:rFonts w:ascii="Arial" w:hAnsi="Arial" w:cs="Arial"/>
          <w:lang w:val="es-CO"/>
        </w:rPr>
        <w:t xml:space="preserve"> cuenta durante el año o período fiscal objeto de determinación.</w:t>
      </w:r>
    </w:p>
    <w:p w14:paraId="5DFB65A6" w14:textId="77777777" w:rsidR="00B2442D" w:rsidRDefault="00B2442D">
      <w:pPr>
        <w:jc w:val="both"/>
        <w:rPr>
          <w:rFonts w:ascii="Arial" w:hAnsi="Arial" w:cs="Arial"/>
          <w:lang w:val="es-CO"/>
        </w:rPr>
      </w:pPr>
    </w:p>
    <w:p w14:paraId="10778273"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Los contribuyentes del impuesto sobre la renta y complementario, que se hayan constituido o constituyan como sociedades, entidades o vehículos de propósito especial para la con</w:t>
      </w:r>
      <w:r>
        <w:rPr>
          <w:rFonts w:ascii="Arial" w:hAnsi="Arial" w:cs="Arial"/>
          <w:lang w:val="es-CO"/>
        </w:rPr>
        <w:t>strucción de proyectos de vivienda a los que se refiere la Ley 1537 de 2012, determinarán el monto máximo de endeudamiento que genera intereses deducibles, tomando el patrimonio líquido determinado a 31 de diciembre del año gravable inmediatamente anterior</w:t>
      </w:r>
      <w:r>
        <w:rPr>
          <w:rFonts w:ascii="Arial" w:hAnsi="Arial" w:cs="Arial"/>
          <w:lang w:val="es-CO"/>
        </w:rPr>
        <w:t xml:space="preserve"> y multiplicándolo por cuatro (4).</w:t>
      </w:r>
    </w:p>
    <w:p w14:paraId="53D433E4" w14:textId="77777777" w:rsidR="00B2442D" w:rsidRDefault="00B2442D">
      <w:pPr>
        <w:jc w:val="both"/>
        <w:rPr>
          <w:rFonts w:ascii="Arial" w:hAnsi="Arial" w:cs="Arial"/>
          <w:lang w:val="es-CO"/>
        </w:rPr>
      </w:pPr>
    </w:p>
    <w:p w14:paraId="0ED7A1E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determinar los gastos por intereses no deducibles, la diferencia en cambio del capital o principal no se considerará como intereses. La diferencia en cambio de los intereses sí se considerar</w:t>
      </w:r>
      <w:r>
        <w:rPr>
          <w:rFonts w:ascii="Arial" w:hAnsi="Arial" w:cs="Arial"/>
          <w:lang w:val="es-CO"/>
        </w:rPr>
        <w:t>á como interés.</w:t>
      </w:r>
    </w:p>
    <w:p w14:paraId="016BAA63" w14:textId="77777777" w:rsidR="00B2442D" w:rsidRDefault="00B2442D">
      <w:pPr>
        <w:jc w:val="both"/>
        <w:rPr>
          <w:rFonts w:ascii="Arial" w:hAnsi="Arial" w:cs="Arial"/>
          <w:lang w:val="es-CO"/>
        </w:rPr>
      </w:pPr>
    </w:p>
    <w:p w14:paraId="1A744EAA" w14:textId="77777777" w:rsidR="00B2442D" w:rsidRDefault="008A645F">
      <w:pPr>
        <w:jc w:val="both"/>
        <w:rPr>
          <w:rFonts w:ascii="Arial" w:hAnsi="Arial" w:cs="Arial"/>
          <w:i/>
          <w:lang w:val="es-CO"/>
        </w:rPr>
      </w:pPr>
      <w:r>
        <w:rPr>
          <w:rFonts w:ascii="Arial" w:hAnsi="Arial" w:cs="Arial"/>
          <w:i/>
          <w:lang w:val="es-CO"/>
        </w:rPr>
        <w:t>(Art. 3, Decreto 3027 de 2013. El numeral 3 fue modificado por el art. 1 del Decreto 627 de 2014)</w:t>
      </w:r>
    </w:p>
    <w:p w14:paraId="7AFA9A29" w14:textId="77777777" w:rsidR="00B2442D" w:rsidRDefault="00B2442D">
      <w:pPr>
        <w:jc w:val="both"/>
        <w:rPr>
          <w:rFonts w:ascii="Arial" w:hAnsi="Arial" w:cs="Arial"/>
          <w:b/>
          <w:lang w:val="es-CO"/>
        </w:rPr>
      </w:pPr>
    </w:p>
    <w:p w14:paraId="7AF90A65"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Requisitos para la procedencia de las deducciones.</w:t>
      </w:r>
      <w:r>
        <w:rPr>
          <w:rFonts w:ascii="Arial" w:hAnsi="Arial" w:cs="Arial"/>
          <w:lang w:val="es-CO"/>
        </w:rPr>
        <w:t xml:space="preserve"> Lo dispuesto en los artículos anteriores aplica sin perjuicio de los requisitos para la p</w:t>
      </w:r>
      <w:r>
        <w:rPr>
          <w:rFonts w:ascii="Arial" w:hAnsi="Arial" w:cs="Arial"/>
          <w:lang w:val="es-CO"/>
        </w:rPr>
        <w:t>rocedencia de las deducciones tales como la relación de causalidad con la actividad productora de renta, la proporcionalidad y necesidad, los cuales deben ser evaluados con criterio comercial en los términos previstos en el Estatuto Tributario.</w:t>
      </w:r>
    </w:p>
    <w:p w14:paraId="3F10B1B6" w14:textId="77777777" w:rsidR="00B2442D" w:rsidRDefault="00B2442D">
      <w:pPr>
        <w:jc w:val="both"/>
        <w:rPr>
          <w:rFonts w:ascii="Arial" w:hAnsi="Arial" w:cs="Arial"/>
          <w:lang w:val="es-CO"/>
        </w:rPr>
      </w:pPr>
    </w:p>
    <w:p w14:paraId="7E7E780B" w14:textId="77777777" w:rsidR="00B2442D" w:rsidRDefault="008A645F">
      <w:pPr>
        <w:jc w:val="both"/>
        <w:rPr>
          <w:rFonts w:ascii="Arial" w:hAnsi="Arial" w:cs="Arial"/>
          <w:i/>
          <w:lang w:val="es-CO"/>
        </w:rPr>
      </w:pPr>
      <w:r>
        <w:rPr>
          <w:rFonts w:ascii="Arial" w:hAnsi="Arial" w:cs="Arial"/>
          <w:i/>
          <w:lang w:val="es-CO"/>
        </w:rPr>
        <w:t>(Art. 4, D</w:t>
      </w:r>
      <w:r>
        <w:rPr>
          <w:rFonts w:ascii="Arial" w:hAnsi="Arial" w:cs="Arial"/>
          <w:i/>
          <w:lang w:val="es-CO"/>
        </w:rPr>
        <w:t>ecreto 3027 de 2013)</w:t>
      </w:r>
    </w:p>
    <w:p w14:paraId="54D03189" w14:textId="77777777" w:rsidR="00B2442D" w:rsidRDefault="00B2442D">
      <w:pPr>
        <w:jc w:val="both"/>
        <w:rPr>
          <w:rFonts w:ascii="Arial" w:hAnsi="Arial" w:cs="Arial"/>
          <w:lang w:val="es-CO"/>
        </w:rPr>
      </w:pPr>
    </w:p>
    <w:p w14:paraId="52093234"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Definición de infraestructura de servicios públicos.</w:t>
      </w:r>
      <w:r>
        <w:rPr>
          <w:rFonts w:ascii="Arial" w:hAnsi="Arial" w:cs="Arial"/>
          <w:lang w:val="es-CO"/>
        </w:rPr>
        <w:t xml:space="preserve"> Para efectos de lo previsto en el parágrafo 4o del artículo 118-1 del Estatuto Tributario, se entiende por infraestructura de servicios públicos todo conjunto de bienes organizados </w:t>
      </w:r>
      <w:r>
        <w:rPr>
          <w:rFonts w:ascii="Arial" w:hAnsi="Arial" w:cs="Arial"/>
          <w:lang w:val="es-CO"/>
        </w:rPr>
        <w:t>de forma permanente y estable, que sean necesarios para la prestación de servicios sometidos, a la regulación del Estado y bajo su control y/o vigilancia, y que propendan por el crecimiento, competitividad y mejora de la calidad de la vida de los ciudadano</w:t>
      </w:r>
      <w:r>
        <w:rPr>
          <w:rFonts w:ascii="Arial" w:hAnsi="Arial" w:cs="Arial"/>
          <w:lang w:val="es-CO"/>
        </w:rPr>
        <w:t>s.</w:t>
      </w:r>
    </w:p>
    <w:p w14:paraId="45D7E223" w14:textId="77777777" w:rsidR="00B2442D" w:rsidRDefault="00B2442D">
      <w:pPr>
        <w:jc w:val="both"/>
        <w:rPr>
          <w:rFonts w:ascii="Arial" w:hAnsi="Arial" w:cs="Arial"/>
          <w:lang w:val="es-CO"/>
        </w:rPr>
      </w:pPr>
    </w:p>
    <w:p w14:paraId="060B2C1D" w14:textId="77777777" w:rsidR="00B2442D" w:rsidRDefault="008A645F">
      <w:pPr>
        <w:jc w:val="both"/>
        <w:rPr>
          <w:rFonts w:ascii="Arial" w:hAnsi="Arial" w:cs="Arial"/>
          <w:lang w:val="es-CO"/>
        </w:rPr>
      </w:pPr>
      <w:r>
        <w:rPr>
          <w:rFonts w:ascii="Arial" w:hAnsi="Arial" w:cs="Arial"/>
          <w:lang w:val="es-CO"/>
        </w:rPr>
        <w:t>Lo dispuesto en el parágrafo 4° del artículo 118-1 del Estatuto Tributario no será aplicable a los proveedores de las sociedades, entidades o vehículos de propósito especial que se encuentren a cargo del proyecto de infraestructura de servicios público</w:t>
      </w:r>
      <w:r>
        <w:rPr>
          <w:rFonts w:ascii="Arial" w:hAnsi="Arial" w:cs="Arial"/>
          <w:lang w:val="es-CO"/>
        </w:rPr>
        <w:t>s.</w:t>
      </w:r>
    </w:p>
    <w:p w14:paraId="75A80E60" w14:textId="77777777" w:rsidR="00B2442D" w:rsidRDefault="00B2442D">
      <w:pPr>
        <w:jc w:val="both"/>
        <w:rPr>
          <w:rFonts w:ascii="Arial" w:hAnsi="Arial" w:cs="Arial"/>
          <w:lang w:val="es-CO"/>
        </w:rPr>
      </w:pPr>
    </w:p>
    <w:p w14:paraId="4B3C81C5" w14:textId="77777777" w:rsidR="00B2442D" w:rsidRDefault="008A645F">
      <w:pPr>
        <w:jc w:val="both"/>
        <w:rPr>
          <w:rFonts w:ascii="Arial" w:hAnsi="Arial" w:cs="Arial"/>
          <w:i/>
          <w:lang w:val="es-CO"/>
        </w:rPr>
      </w:pPr>
      <w:r>
        <w:rPr>
          <w:rFonts w:ascii="Arial" w:hAnsi="Arial" w:cs="Arial"/>
          <w:i/>
          <w:lang w:val="es-CO"/>
        </w:rPr>
        <w:t>(Art. 5, Decreto 3027 de 2013)</w:t>
      </w:r>
    </w:p>
    <w:p w14:paraId="6B4B3702" w14:textId="77777777" w:rsidR="00B2442D" w:rsidRDefault="00B2442D">
      <w:pPr>
        <w:jc w:val="both"/>
        <w:rPr>
          <w:rFonts w:ascii="Arial" w:hAnsi="Arial" w:cs="Arial"/>
          <w:lang w:val="es-CO"/>
        </w:rPr>
      </w:pPr>
    </w:p>
    <w:p w14:paraId="3F8A3CC4"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Operaciones de financiamiento.</w:t>
      </w:r>
      <w:r>
        <w:rPr>
          <w:rFonts w:ascii="Arial" w:hAnsi="Arial" w:cs="Arial"/>
          <w:b/>
          <w:lang w:val="es-CO"/>
        </w:rPr>
        <w:t xml:space="preserve"> </w:t>
      </w:r>
      <w:r>
        <w:rPr>
          <w:rFonts w:ascii="Arial" w:hAnsi="Arial" w:cs="Arial"/>
          <w:lang w:val="es-CO"/>
        </w:rPr>
        <w:t>Las operaciones de financiamiento que de acuerdo con el literal a) del numeral 1 del artículo 260-4 del Estatuto Tributario no se consideren como préstamos ni como intereses no se tendrán e</w:t>
      </w:r>
      <w:r>
        <w:rPr>
          <w:rFonts w:ascii="Arial" w:hAnsi="Arial" w:cs="Arial"/>
          <w:lang w:val="es-CO"/>
        </w:rPr>
        <w:t>n cuenta para el cálculo establecido en los artículos 1.2.1.18.61 y 1.2.1.18.62 de este decreto.</w:t>
      </w:r>
    </w:p>
    <w:p w14:paraId="3549FA8E" w14:textId="77777777" w:rsidR="00B2442D" w:rsidRDefault="00B2442D">
      <w:pPr>
        <w:jc w:val="both"/>
        <w:rPr>
          <w:rFonts w:ascii="Arial" w:hAnsi="Arial" w:cs="Arial"/>
          <w:lang w:val="es-CO"/>
        </w:rPr>
      </w:pPr>
    </w:p>
    <w:p w14:paraId="721DDAC5" w14:textId="77777777" w:rsidR="00B2442D" w:rsidRDefault="008A645F">
      <w:pPr>
        <w:jc w:val="both"/>
        <w:rPr>
          <w:rFonts w:ascii="Arial" w:hAnsi="Arial" w:cs="Arial"/>
          <w:i/>
          <w:lang w:val="es-CO"/>
        </w:rPr>
      </w:pPr>
      <w:r>
        <w:rPr>
          <w:rFonts w:ascii="Arial" w:hAnsi="Arial" w:cs="Arial"/>
          <w:i/>
          <w:lang w:val="es-CO"/>
        </w:rPr>
        <w:t>(Art. 6, Decreto 3027 de 2013)</w:t>
      </w:r>
    </w:p>
    <w:p w14:paraId="7E5EB8D0" w14:textId="77777777" w:rsidR="00B2442D" w:rsidRDefault="00B2442D">
      <w:pPr>
        <w:jc w:val="both"/>
        <w:rPr>
          <w:rFonts w:ascii="Arial" w:hAnsi="Arial" w:cs="Arial"/>
          <w:lang w:val="es-CO"/>
        </w:rPr>
      </w:pPr>
    </w:p>
    <w:p w14:paraId="12E51081"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Limitante del artículo 118-1 del Estatuto Tributario.</w:t>
      </w:r>
      <w:r>
        <w:rPr>
          <w:rFonts w:ascii="Arial" w:hAnsi="Arial" w:cs="Arial"/>
          <w:lang w:val="es-CO"/>
        </w:rPr>
        <w:t xml:space="preserve"> La limitante prevista en el artículo 118-1 no aplicará en el año de cons</w:t>
      </w:r>
      <w:r>
        <w:rPr>
          <w:rFonts w:ascii="Arial" w:hAnsi="Arial" w:cs="Arial"/>
          <w:lang w:val="es-CO"/>
        </w:rPr>
        <w:t>titución de las personas jurídicas por no existir patrimonio líquido del año inmediatamente anterior al de su constitución, sin perjuicio de la aplicación de las normas legales y antecedentes jurisprudenciales relativos al abuso en materia tributaria.</w:t>
      </w:r>
    </w:p>
    <w:p w14:paraId="78B6F1F6" w14:textId="77777777" w:rsidR="00B2442D" w:rsidRDefault="00B2442D">
      <w:pPr>
        <w:jc w:val="both"/>
        <w:rPr>
          <w:rFonts w:ascii="Arial" w:hAnsi="Arial" w:cs="Arial"/>
          <w:lang w:val="es-CO"/>
        </w:rPr>
      </w:pPr>
    </w:p>
    <w:p w14:paraId="1D6D670D" w14:textId="77777777" w:rsidR="00B2442D" w:rsidRDefault="008A645F">
      <w:pPr>
        <w:jc w:val="both"/>
        <w:rPr>
          <w:rFonts w:ascii="Arial" w:hAnsi="Arial" w:cs="Arial"/>
          <w:i/>
          <w:lang w:val="es-CO"/>
        </w:rPr>
      </w:pPr>
      <w:r>
        <w:rPr>
          <w:rFonts w:ascii="Arial" w:hAnsi="Arial" w:cs="Arial"/>
          <w:i/>
          <w:lang w:val="es-CO"/>
        </w:rPr>
        <w:t>(Art. 7, Decreto 3027 de 2013)</w:t>
      </w:r>
    </w:p>
    <w:p w14:paraId="09171ACB" w14:textId="77777777" w:rsidR="00B2442D" w:rsidRDefault="00B2442D">
      <w:pPr>
        <w:jc w:val="both"/>
        <w:rPr>
          <w:rFonts w:ascii="Arial" w:hAnsi="Arial" w:cs="Arial"/>
          <w:lang w:val="es-CO"/>
        </w:rPr>
      </w:pPr>
    </w:p>
    <w:p w14:paraId="566B92A5"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 xml:space="preserve">Naturaleza tributaria de los intereses sobre las cesantías. </w:t>
      </w:r>
      <w:r>
        <w:rPr>
          <w:rFonts w:ascii="Arial" w:hAnsi="Arial" w:cs="Arial"/>
          <w:lang w:val="es-CO"/>
        </w:rPr>
        <w:t xml:space="preserve">Para efectos de lo previsto en el artículo 29 de la Ley 75 de 1986 (hoy artículo 81 del Estatuto Tributario), se considera como un gasto laboral y no como un gasto </w:t>
      </w:r>
      <w:r>
        <w:rPr>
          <w:rFonts w:ascii="Arial" w:hAnsi="Arial" w:cs="Arial"/>
          <w:lang w:val="es-CO"/>
        </w:rPr>
        <w:t xml:space="preserve">financiero, el valor de los intereses sobre cesantías que deban reconocer los empleadores a sus trabajadores. En consecuencia, tales intereses podrán ser deducidos en su totalidad de la renta del contribuyente, siempre que cumplan los demás requisitos que </w:t>
      </w:r>
      <w:r>
        <w:rPr>
          <w:rFonts w:ascii="Arial" w:hAnsi="Arial" w:cs="Arial"/>
          <w:lang w:val="es-CO"/>
        </w:rPr>
        <w:t>para su aceptación exigen las normas vigentes.</w:t>
      </w:r>
    </w:p>
    <w:p w14:paraId="77E5A6EB" w14:textId="77777777" w:rsidR="00B2442D" w:rsidRDefault="00B2442D">
      <w:pPr>
        <w:jc w:val="both"/>
        <w:rPr>
          <w:rFonts w:ascii="Arial" w:hAnsi="Arial" w:cs="Arial"/>
          <w:i/>
          <w:lang w:val="es-CO"/>
        </w:rPr>
      </w:pPr>
    </w:p>
    <w:p w14:paraId="4041838D" w14:textId="77777777" w:rsidR="00B2442D" w:rsidRDefault="008A645F">
      <w:pPr>
        <w:jc w:val="both"/>
        <w:rPr>
          <w:rFonts w:ascii="Arial" w:hAnsi="Arial" w:cs="Arial"/>
          <w:i/>
          <w:lang w:val="es-CO"/>
        </w:rPr>
      </w:pPr>
      <w:r>
        <w:rPr>
          <w:rFonts w:ascii="Arial" w:hAnsi="Arial" w:cs="Arial"/>
          <w:i/>
          <w:lang w:val="es-CO"/>
        </w:rPr>
        <w:t>(Art. 2, Decreto 535 de 1987)</w:t>
      </w:r>
    </w:p>
    <w:p w14:paraId="2C608D91" w14:textId="77777777" w:rsidR="00B2442D" w:rsidRDefault="00B2442D">
      <w:pPr>
        <w:jc w:val="both"/>
        <w:rPr>
          <w:rFonts w:ascii="Arial" w:hAnsi="Arial" w:cs="Arial"/>
          <w:b/>
          <w:lang w:val="es-CO"/>
        </w:rPr>
      </w:pPr>
    </w:p>
    <w:p w14:paraId="0F23C93F"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Ingresos, costos y deducciones.</w:t>
      </w:r>
      <w:r>
        <w:rPr>
          <w:rFonts w:ascii="Arial" w:hAnsi="Arial" w:cs="Arial"/>
          <w:lang w:val="es-CO"/>
        </w:rPr>
        <w:t xml:space="preserve"> Sin perjuicio de lo previsto en el artículo 1.2.1.18.59 del presente decreto, los ingresos y erogaciones de las Cámaras de Riesgo Central de Cont</w:t>
      </w:r>
      <w:r>
        <w:rPr>
          <w:rFonts w:ascii="Arial" w:hAnsi="Arial" w:cs="Arial"/>
          <w:lang w:val="es-CO"/>
        </w:rPr>
        <w:t>raparte, en cuanto las mismas se constituyan como acreedoras y deudoras recíprocas de las contrapartes en una determinada operación, no se consideran propios de dichas entidades, sino como recibidos y/o realizados para y/o por cuenta de terceros. Igual tra</w:t>
      </w:r>
      <w:r>
        <w:rPr>
          <w:rFonts w:ascii="Arial" w:hAnsi="Arial" w:cs="Arial"/>
          <w:lang w:val="es-CO"/>
        </w:rPr>
        <w:t>tamiento recibirán las garantías que sean entregadas a dichas entidades para asegurar el cumplimiento de las obligaciones de las partes, salvo que constituyan ingreso para las Cámaras de Riesgo Central de Contraparte.</w:t>
      </w:r>
    </w:p>
    <w:p w14:paraId="6AEC39FF" w14:textId="77777777" w:rsidR="00B2442D" w:rsidRDefault="00B2442D">
      <w:pPr>
        <w:jc w:val="both"/>
        <w:rPr>
          <w:rFonts w:ascii="Arial" w:hAnsi="Arial" w:cs="Arial"/>
          <w:lang w:val="es-CO"/>
        </w:rPr>
      </w:pPr>
    </w:p>
    <w:p w14:paraId="0379C9C0" w14:textId="77777777" w:rsidR="00B2442D" w:rsidRDefault="008A645F">
      <w:pPr>
        <w:jc w:val="both"/>
        <w:rPr>
          <w:rFonts w:ascii="Arial" w:hAnsi="Arial" w:cs="Arial"/>
          <w:lang w:val="es-CO"/>
        </w:rPr>
      </w:pPr>
      <w:r>
        <w:rPr>
          <w:rFonts w:ascii="Arial" w:hAnsi="Arial" w:cs="Arial"/>
          <w:lang w:val="es-CO"/>
        </w:rPr>
        <w:t>Por lo tanto, los ingresos propios de</w:t>
      </w:r>
      <w:r>
        <w:rPr>
          <w:rFonts w:ascii="Arial" w:hAnsi="Arial" w:cs="Arial"/>
          <w:lang w:val="es-CO"/>
        </w:rPr>
        <w:t xml:space="preserve"> las Cámaras de Riesgo Central de Contraparte estarán conformados por los que correspondan a las tarifas y demás contraprestaciones e ingresos que perciban.</w:t>
      </w:r>
    </w:p>
    <w:p w14:paraId="723D839E" w14:textId="77777777" w:rsidR="00B2442D" w:rsidRDefault="00B2442D">
      <w:pPr>
        <w:jc w:val="both"/>
        <w:rPr>
          <w:rFonts w:ascii="Arial" w:hAnsi="Arial" w:cs="Arial"/>
          <w:lang w:val="es-CO"/>
        </w:rPr>
      </w:pPr>
    </w:p>
    <w:p w14:paraId="3CEF3F6E" w14:textId="77777777" w:rsidR="00B2442D" w:rsidRDefault="008A645F">
      <w:pPr>
        <w:jc w:val="both"/>
        <w:rPr>
          <w:rFonts w:ascii="Arial" w:hAnsi="Arial" w:cs="Arial"/>
          <w:i/>
          <w:lang w:val="es-CO"/>
        </w:rPr>
      </w:pPr>
      <w:r>
        <w:rPr>
          <w:rFonts w:ascii="Arial" w:hAnsi="Arial" w:cs="Arial"/>
          <w:i/>
          <w:lang w:val="es-CO"/>
        </w:rPr>
        <w:t>(Art. 2, Decreto 1797 de 2008)</w:t>
      </w:r>
    </w:p>
    <w:p w14:paraId="416142B1" w14:textId="77777777" w:rsidR="00B2442D" w:rsidRDefault="00B2442D">
      <w:pPr>
        <w:jc w:val="both"/>
        <w:rPr>
          <w:rFonts w:ascii="Arial" w:hAnsi="Arial" w:cs="Arial"/>
          <w:b/>
          <w:lang w:val="es-CO"/>
        </w:rPr>
      </w:pPr>
    </w:p>
    <w:p w14:paraId="4B485113" w14:textId="77777777" w:rsidR="00B2442D" w:rsidRDefault="008A645F">
      <w:pPr>
        <w:pStyle w:val="Prrafodelista"/>
        <w:numPr>
          <w:ilvl w:val="0"/>
          <w:numId w:val="33"/>
        </w:numPr>
        <w:ind w:left="0" w:firstLine="0"/>
        <w:jc w:val="both"/>
        <w:rPr>
          <w:rFonts w:ascii="Arial" w:hAnsi="Arial" w:cs="Arial"/>
          <w:lang w:val="es-CO"/>
        </w:rPr>
      </w:pPr>
      <w:r>
        <w:rPr>
          <w:rFonts w:ascii="Arial" w:hAnsi="Arial" w:cs="Arial"/>
          <w:b/>
          <w:i/>
          <w:lang w:val="es-CO"/>
        </w:rPr>
        <w:t>Limitación de costos y deducciones</w:t>
      </w:r>
      <w:r>
        <w:rPr>
          <w:rFonts w:ascii="Arial" w:hAnsi="Arial" w:cs="Arial"/>
          <w:lang w:val="es-CO"/>
        </w:rPr>
        <w:t xml:space="preserve">. La limitación prevista en el </w:t>
      </w:r>
      <w:r>
        <w:rPr>
          <w:rFonts w:ascii="Arial" w:hAnsi="Arial" w:cs="Arial"/>
          <w:lang w:val="es-CO"/>
        </w:rPr>
        <w:t>artículo 177-1 del Estatuto Tributario, modificado por el artículo 82 de la Ley 964 de 2005, respecto de las rentas exentas a que se refiere el artículo 56 de la Ley 546 de 1999, solo aplicará  a partir del año gravable 2011.</w:t>
      </w:r>
    </w:p>
    <w:p w14:paraId="305B1866" w14:textId="77777777" w:rsidR="00B2442D" w:rsidRDefault="00B2442D">
      <w:pPr>
        <w:jc w:val="both"/>
        <w:rPr>
          <w:rFonts w:ascii="Arial" w:hAnsi="Arial" w:cs="Arial"/>
          <w:lang w:val="es-CO"/>
        </w:rPr>
      </w:pPr>
    </w:p>
    <w:p w14:paraId="31C3DA5F" w14:textId="77777777" w:rsidR="00B2442D" w:rsidRDefault="008A645F">
      <w:pPr>
        <w:jc w:val="both"/>
        <w:rPr>
          <w:rFonts w:ascii="Arial" w:hAnsi="Arial" w:cs="Arial"/>
          <w:lang w:val="es-CO"/>
        </w:rPr>
      </w:pPr>
      <w:r>
        <w:rPr>
          <w:rFonts w:ascii="Arial" w:hAnsi="Arial" w:cs="Arial"/>
          <w:lang w:val="es-CO"/>
        </w:rPr>
        <w:t>Para efectos del presente art</w:t>
      </w:r>
      <w:r>
        <w:rPr>
          <w:rFonts w:ascii="Arial" w:hAnsi="Arial" w:cs="Arial"/>
          <w:lang w:val="es-CO"/>
        </w:rPr>
        <w:t>ículo, se entienden como costos y deducciones imputables a las operaciones destinadas a la financiación de vivienda de interés social subsidiables, el costo anual de los depósitos ordinarios de las cuentas de ahorro de la respectiva entidad en el año grava</w:t>
      </w:r>
      <w:r>
        <w:rPr>
          <w:rFonts w:ascii="Arial" w:hAnsi="Arial" w:cs="Arial"/>
          <w:lang w:val="es-CO"/>
        </w:rPr>
        <w:t>ble correspondiente, aplicado a los ahorros cuya destinación sea la realización de operaciones de  financiación de vivienda de interés social subsidiable.</w:t>
      </w:r>
    </w:p>
    <w:p w14:paraId="419D35C5" w14:textId="77777777" w:rsidR="00B2442D" w:rsidRDefault="00B2442D">
      <w:pPr>
        <w:jc w:val="both"/>
        <w:rPr>
          <w:rFonts w:ascii="Arial" w:hAnsi="Arial" w:cs="Arial"/>
          <w:lang w:val="es-CO"/>
        </w:rPr>
      </w:pPr>
    </w:p>
    <w:p w14:paraId="47249671" w14:textId="77777777" w:rsidR="00B2442D" w:rsidRDefault="008A645F">
      <w:pPr>
        <w:jc w:val="both"/>
        <w:rPr>
          <w:rFonts w:ascii="Arial" w:hAnsi="Arial" w:cs="Arial"/>
          <w:lang w:val="es-CO"/>
        </w:rPr>
      </w:pPr>
      <w:r>
        <w:rPr>
          <w:rFonts w:ascii="Arial" w:hAnsi="Arial" w:cs="Arial"/>
          <w:lang w:val="es-CO"/>
        </w:rPr>
        <w:t>Para estos efectos se entiende como costo anual de los depósitos ordinarios de las cuentas de ahorro</w:t>
      </w:r>
      <w:r>
        <w:rPr>
          <w:rFonts w:ascii="Arial" w:hAnsi="Arial" w:cs="Arial"/>
          <w:lang w:val="es-CO"/>
        </w:rPr>
        <w:t>, el valor de los intereses pagados por los depósitos ordinarios de las cuentas de ahorro, sobre el saldo de los depósitos ordinarios de las cuentas de ahorro.</w:t>
      </w:r>
    </w:p>
    <w:p w14:paraId="61AC38A7" w14:textId="77777777" w:rsidR="00B2442D" w:rsidRDefault="00B2442D">
      <w:pPr>
        <w:jc w:val="both"/>
        <w:rPr>
          <w:rFonts w:ascii="Arial" w:hAnsi="Arial" w:cs="Arial"/>
          <w:lang w:val="es-CO"/>
        </w:rPr>
      </w:pPr>
    </w:p>
    <w:p w14:paraId="27064313" w14:textId="77777777" w:rsidR="00B2442D" w:rsidRDefault="008A645F">
      <w:pPr>
        <w:jc w:val="both"/>
        <w:rPr>
          <w:rFonts w:ascii="Arial" w:hAnsi="Arial" w:cs="Arial"/>
          <w:lang w:val="es-CO"/>
        </w:rPr>
      </w:pPr>
      <w:r>
        <w:rPr>
          <w:rFonts w:ascii="Arial" w:hAnsi="Arial" w:cs="Arial"/>
          <w:lang w:val="es-CO"/>
        </w:rPr>
        <w:t>La tasa así obtenida se aplica a los ahorros destinados a la realización de operaciones de fina</w:t>
      </w:r>
      <w:r>
        <w:rPr>
          <w:rFonts w:ascii="Arial" w:hAnsi="Arial" w:cs="Arial"/>
          <w:lang w:val="es-CO"/>
        </w:rPr>
        <w:t>nciación de vivienda de interés social subsidiable.</w:t>
      </w:r>
    </w:p>
    <w:p w14:paraId="3647F2AA" w14:textId="77777777" w:rsidR="00B2442D" w:rsidRDefault="00B2442D">
      <w:pPr>
        <w:jc w:val="both"/>
        <w:rPr>
          <w:rFonts w:ascii="Arial" w:hAnsi="Arial" w:cs="Arial"/>
          <w:lang w:val="es-CO"/>
        </w:rPr>
      </w:pPr>
    </w:p>
    <w:p w14:paraId="01353788" w14:textId="77777777" w:rsidR="00B2442D" w:rsidRDefault="008A645F">
      <w:pPr>
        <w:jc w:val="both"/>
        <w:rPr>
          <w:rFonts w:ascii="Arial" w:hAnsi="Arial" w:cs="Arial"/>
          <w:lang w:val="es-CO"/>
        </w:rPr>
      </w:pPr>
      <w:r>
        <w:rPr>
          <w:rFonts w:ascii="Arial" w:hAnsi="Arial" w:cs="Arial"/>
          <w:lang w:val="es-CO"/>
        </w:rPr>
        <w:t>Los ahorros destinados a la financiación de vivienda de interés social subsidiable se obtienen como la parte proporcional de la cartera de las operaciones de financiación de vivienda de interés social su</w:t>
      </w:r>
      <w:r>
        <w:rPr>
          <w:rFonts w:ascii="Arial" w:hAnsi="Arial" w:cs="Arial"/>
          <w:lang w:val="es-CO"/>
        </w:rPr>
        <w:t>bsidiable, del total de la cartera de la correspondiente entidad.</w:t>
      </w:r>
    </w:p>
    <w:p w14:paraId="71A012BA" w14:textId="77777777" w:rsidR="00B2442D" w:rsidRDefault="00B2442D">
      <w:pPr>
        <w:jc w:val="both"/>
        <w:rPr>
          <w:rFonts w:ascii="Arial" w:hAnsi="Arial" w:cs="Arial"/>
          <w:lang w:val="es-CO"/>
        </w:rPr>
      </w:pPr>
    </w:p>
    <w:p w14:paraId="24FB5DDD" w14:textId="77777777" w:rsidR="00B2442D" w:rsidRDefault="008A645F">
      <w:pPr>
        <w:jc w:val="both"/>
        <w:rPr>
          <w:rFonts w:ascii="Arial" w:hAnsi="Arial" w:cs="Arial"/>
          <w:i/>
          <w:lang w:val="es-CO"/>
        </w:rPr>
      </w:pPr>
      <w:r>
        <w:rPr>
          <w:rFonts w:ascii="Arial" w:hAnsi="Arial" w:cs="Arial"/>
          <w:i/>
          <w:lang w:val="es-CO"/>
        </w:rPr>
        <w:t>(Art. 4, Decreto 2440 de 2005. Inciso 1 modificado por el art. 1 del Decreto 3916 de 2005)</w:t>
      </w:r>
    </w:p>
    <w:p w14:paraId="5A4CA2B4" w14:textId="77777777" w:rsidR="00B2442D" w:rsidRDefault="00B2442D">
      <w:pPr>
        <w:jc w:val="both"/>
        <w:rPr>
          <w:rFonts w:ascii="Arial" w:hAnsi="Arial" w:cs="Arial"/>
          <w:i/>
          <w:lang w:val="es-CO"/>
        </w:rPr>
      </w:pPr>
    </w:p>
    <w:p w14:paraId="490AAECE" w14:textId="77777777" w:rsidR="00B2442D" w:rsidRDefault="00B2442D">
      <w:pPr>
        <w:jc w:val="both"/>
        <w:rPr>
          <w:rFonts w:ascii="Arial" w:hAnsi="Arial" w:cs="Arial"/>
          <w:lang w:val="es-CO"/>
        </w:rPr>
      </w:pPr>
    </w:p>
    <w:p w14:paraId="39E0DF64" w14:textId="77777777" w:rsidR="00B2442D" w:rsidRDefault="008A645F">
      <w:pPr>
        <w:pStyle w:val="Ttulo4"/>
      </w:pPr>
      <w:r>
        <w:t>CAPÍTULO 19</w:t>
      </w:r>
    </w:p>
    <w:p w14:paraId="02E6CEE8" w14:textId="77777777" w:rsidR="00B2442D" w:rsidRDefault="008A645F">
      <w:pPr>
        <w:pStyle w:val="Ttulo4"/>
      </w:pPr>
      <w:r>
        <w:t>Sistemas para la determinación del impuesto sobre la renta</w:t>
      </w:r>
    </w:p>
    <w:p w14:paraId="6B9C4A02" w14:textId="77777777" w:rsidR="00B2442D" w:rsidRDefault="00B2442D">
      <w:pPr>
        <w:rPr>
          <w:rFonts w:ascii="Arial" w:hAnsi="Arial" w:cs="Arial"/>
        </w:rPr>
      </w:pPr>
    </w:p>
    <w:p w14:paraId="65D0239D"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 xml:space="preserve">Sistema especial de </w:t>
      </w:r>
      <w:r>
        <w:rPr>
          <w:rFonts w:ascii="Arial" w:hAnsi="Arial" w:cs="Arial"/>
          <w:b/>
          <w:i/>
          <w:lang w:val="es-CO"/>
        </w:rPr>
        <w:t>determinación de la renta.</w:t>
      </w:r>
      <w:r>
        <w:rPr>
          <w:rFonts w:ascii="Arial" w:hAnsi="Arial" w:cs="Arial"/>
          <w:lang w:val="es-CO"/>
        </w:rPr>
        <w:t xml:space="preserve"> Dentro del sistema ordinario de determinación de la renta a que hace referencia el presente Decreto, debe entenderse incluido el sistema especial de comparación de patrimonios.</w:t>
      </w:r>
    </w:p>
    <w:p w14:paraId="7CF33CBC" w14:textId="77777777" w:rsidR="00B2442D" w:rsidRDefault="00B2442D">
      <w:pPr>
        <w:jc w:val="both"/>
        <w:rPr>
          <w:rFonts w:ascii="Arial" w:hAnsi="Arial" w:cs="Arial"/>
          <w:i/>
          <w:lang w:val="es-CO"/>
        </w:rPr>
      </w:pPr>
    </w:p>
    <w:p w14:paraId="1A6DFE6C" w14:textId="77777777" w:rsidR="00B2442D" w:rsidRDefault="008A645F">
      <w:pPr>
        <w:jc w:val="both"/>
        <w:rPr>
          <w:rFonts w:ascii="Arial" w:hAnsi="Arial" w:cs="Arial"/>
          <w:i/>
          <w:lang w:val="es-CO"/>
        </w:rPr>
      </w:pPr>
      <w:r>
        <w:rPr>
          <w:rFonts w:ascii="Arial" w:hAnsi="Arial" w:cs="Arial"/>
          <w:i/>
          <w:lang w:val="es-CO"/>
        </w:rPr>
        <w:t>(Art. 18, Decreto 353 de 1984)</w:t>
      </w:r>
    </w:p>
    <w:p w14:paraId="08C62E1C" w14:textId="77777777" w:rsidR="00B2442D" w:rsidRDefault="00B2442D">
      <w:pPr>
        <w:jc w:val="both"/>
        <w:rPr>
          <w:rFonts w:ascii="Arial" w:hAnsi="Arial" w:cs="Arial"/>
          <w:i/>
          <w:lang w:val="es-CO"/>
        </w:rPr>
      </w:pPr>
    </w:p>
    <w:p w14:paraId="35E3967A"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Renta por comparaci</w:t>
      </w:r>
      <w:r>
        <w:rPr>
          <w:rFonts w:ascii="Arial" w:hAnsi="Arial" w:cs="Arial"/>
          <w:b/>
          <w:i/>
          <w:lang w:val="es-CO"/>
        </w:rPr>
        <w:t>ón de patrimonios.</w:t>
      </w:r>
      <w:r>
        <w:rPr>
          <w:rFonts w:ascii="Arial" w:hAnsi="Arial" w:cs="Arial"/>
          <w:i/>
          <w:lang w:val="es-CO"/>
        </w:rPr>
        <w:t xml:space="preserve"> </w:t>
      </w:r>
      <w:r>
        <w:rPr>
          <w:rFonts w:ascii="Arial" w:hAnsi="Arial" w:cs="Arial"/>
          <w:lang w:val="es-CO"/>
        </w:rPr>
        <w:t>Para efectos de la determinación de la renta por comparación de patrimonios, a la renta gravable se adicionará el valor de la ganancia ocasional neta y las rentas exentas. De esta suma se sustrae el valor de los impuestos de renta y comp</w:t>
      </w:r>
      <w:r>
        <w:rPr>
          <w:rFonts w:ascii="Arial" w:hAnsi="Arial" w:cs="Arial"/>
          <w:lang w:val="es-CO"/>
        </w:rPr>
        <w:t xml:space="preserve">lementario, pagados durante el año gravable incluyendo retención y anticipo efectivamente pagado. </w:t>
      </w:r>
    </w:p>
    <w:p w14:paraId="7710A9E6" w14:textId="77777777" w:rsidR="00B2442D" w:rsidRDefault="008A645F">
      <w:pPr>
        <w:jc w:val="both"/>
        <w:rPr>
          <w:rFonts w:ascii="Arial" w:hAnsi="Arial" w:cs="Arial"/>
          <w:lang w:val="es-CO"/>
        </w:rPr>
      </w:pPr>
      <w:r>
        <w:rPr>
          <w:rFonts w:ascii="Arial" w:hAnsi="Arial" w:cs="Arial"/>
          <w:lang w:val="es-CO"/>
        </w:rPr>
        <w:t xml:space="preserve"> </w:t>
      </w:r>
    </w:p>
    <w:p w14:paraId="5552C5C1" w14:textId="77777777" w:rsidR="00B2442D" w:rsidRDefault="008A645F">
      <w:pPr>
        <w:jc w:val="both"/>
        <w:rPr>
          <w:rFonts w:ascii="Arial" w:hAnsi="Arial" w:cs="Arial"/>
          <w:lang w:val="es-CO"/>
        </w:rPr>
      </w:pPr>
      <w:r>
        <w:rPr>
          <w:rFonts w:ascii="Arial" w:hAnsi="Arial" w:cs="Arial"/>
          <w:lang w:val="es-CO"/>
        </w:rPr>
        <w:t>Si este resultado es inferior a la diferencia entre los patrimonios líquidos declarados en el año gravable y en el ejercicio inmediatamente anterior, previ</w:t>
      </w:r>
      <w:r>
        <w:rPr>
          <w:rFonts w:ascii="Arial" w:hAnsi="Arial" w:cs="Arial"/>
          <w:lang w:val="es-CO"/>
        </w:rPr>
        <w:t>os los ajustes por valorizaciones y desvalorizaciones nominales dicha diferencia se tomará como renta gravable a menos que el contribuyente demuestre las causas justificativas del incremento patrimonial.</w:t>
      </w:r>
    </w:p>
    <w:p w14:paraId="637957D9" w14:textId="77777777" w:rsidR="00B2442D" w:rsidRDefault="00B2442D">
      <w:pPr>
        <w:jc w:val="both"/>
        <w:rPr>
          <w:rFonts w:ascii="Arial" w:hAnsi="Arial" w:cs="Arial"/>
          <w:lang w:val="es-CO"/>
        </w:rPr>
      </w:pPr>
    </w:p>
    <w:p w14:paraId="412C1EC3" w14:textId="77777777" w:rsidR="00B2442D" w:rsidRDefault="008A645F">
      <w:pPr>
        <w:jc w:val="both"/>
        <w:rPr>
          <w:rFonts w:ascii="Arial" w:hAnsi="Arial" w:cs="Arial"/>
          <w:lang w:val="es-CO"/>
        </w:rPr>
      </w:pPr>
      <w:r>
        <w:rPr>
          <w:rFonts w:ascii="Arial" w:hAnsi="Arial" w:cs="Arial"/>
          <w:i/>
          <w:lang w:val="es-CO"/>
        </w:rPr>
        <w:t>(Art. 91, Decreto 187 de 1975. Las expresiones “Las</w:t>
      </w:r>
      <w:r>
        <w:rPr>
          <w:rFonts w:ascii="Arial" w:hAnsi="Arial" w:cs="Arial"/>
          <w:i/>
          <w:lang w:val="es-CO"/>
        </w:rPr>
        <w:t xml:space="preserve"> rentas cedidas por el cónyuge”, “la renta de goce” y “y, en su caso la renta recibida del cónyuge” tienen decaimiento por la evolución normativa (La cesión de rentas previsto en el artículo 6 del Decreto Ley 2053 de 1974, fue eliminado mediante su modific</w:t>
      </w:r>
      <w:r>
        <w:rPr>
          <w:rFonts w:ascii="Arial" w:hAnsi="Arial" w:cs="Arial"/>
          <w:i/>
          <w:lang w:val="es-CO"/>
        </w:rPr>
        <w:t>ación por el artículo 82 de la ley 75 de 1986) (Vigencia del Decreto 187 de 1975. El Decreto 187 de 1975 se aplicará a partir del ejercicio impositivo de 1974 salvo los casos expresamente exceptuados en el mismo o en las normas sustantivas y procedimentale</w:t>
      </w:r>
      <w:r>
        <w:rPr>
          <w:rFonts w:ascii="Arial" w:hAnsi="Arial" w:cs="Arial"/>
          <w:i/>
          <w:lang w:val="es-CO"/>
        </w:rPr>
        <w:t>s del impuesto sobre la renta y complementario. (Art. 117, Decreto 187 de 1975))</w:t>
      </w:r>
    </w:p>
    <w:p w14:paraId="54A4ED24" w14:textId="77777777" w:rsidR="00B2442D" w:rsidRDefault="00B2442D">
      <w:pPr>
        <w:jc w:val="both"/>
        <w:rPr>
          <w:rFonts w:ascii="Arial" w:hAnsi="Arial" w:cs="Arial"/>
          <w:lang w:val="es-CO"/>
        </w:rPr>
      </w:pPr>
    </w:p>
    <w:p w14:paraId="562A50CC"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De los pasivos.</w:t>
      </w:r>
      <w:r>
        <w:rPr>
          <w:rFonts w:ascii="Arial" w:hAnsi="Arial" w:cs="Arial"/>
          <w:lang w:val="es-CO"/>
        </w:rPr>
        <w:t xml:space="preserve"> No habrá lugar a determinar la renta por el sistema de comparación de patrimonios cuando el pasivo solicitado en la declaración de renta no reúna los requisit</w:t>
      </w:r>
      <w:r>
        <w:rPr>
          <w:rFonts w:ascii="Arial" w:hAnsi="Arial" w:cs="Arial"/>
          <w:lang w:val="es-CO"/>
        </w:rPr>
        <w:t>os exigidos por el artículo 124 del Decreto 2053 de 1974 (hoy artículo 283 del Estatuto Tributario), siempre que el contribuyente demuestre la existencia del mismo.</w:t>
      </w:r>
    </w:p>
    <w:p w14:paraId="306A9055" w14:textId="77777777" w:rsidR="00B2442D" w:rsidRDefault="00B2442D">
      <w:pPr>
        <w:jc w:val="both"/>
        <w:rPr>
          <w:rFonts w:ascii="Arial" w:hAnsi="Arial" w:cs="Arial"/>
          <w:i/>
          <w:lang w:val="es-CO"/>
        </w:rPr>
      </w:pPr>
    </w:p>
    <w:p w14:paraId="032FC7C7" w14:textId="77777777" w:rsidR="00B2442D" w:rsidRDefault="008A645F">
      <w:pPr>
        <w:jc w:val="both"/>
        <w:rPr>
          <w:rFonts w:ascii="Arial" w:hAnsi="Arial" w:cs="Arial"/>
          <w:i/>
          <w:lang w:val="es-CO"/>
        </w:rPr>
      </w:pPr>
      <w:r>
        <w:rPr>
          <w:rFonts w:ascii="Arial" w:hAnsi="Arial" w:cs="Arial"/>
          <w:i/>
          <w:lang w:val="es-CO"/>
        </w:rPr>
        <w:t xml:space="preserve">(Art. 116, Decreto 187 de 1975) (Vigencia del Decreto 187 de 1975. El Decreto 187 de 1975 </w:t>
      </w:r>
      <w:r>
        <w:rPr>
          <w:rFonts w:ascii="Arial" w:hAnsi="Arial" w:cs="Arial"/>
          <w:i/>
          <w:lang w:val="es-CO"/>
        </w:rPr>
        <w:t>se aplicará a partir del ejercicio impositivo de 1974 salvo los casos expresamente exceptuados en el mismo o en las normas sustantivas y procedimentales del impuesto sobre la renta y complementario. (Art. 117, Decreto 187 de 1975))</w:t>
      </w:r>
    </w:p>
    <w:p w14:paraId="5B0FC7ED" w14:textId="77777777" w:rsidR="00B2442D" w:rsidRDefault="00B2442D">
      <w:pPr>
        <w:jc w:val="both"/>
        <w:rPr>
          <w:rFonts w:ascii="Arial" w:hAnsi="Arial" w:cs="Arial"/>
          <w:i/>
          <w:lang w:val="es-CO"/>
        </w:rPr>
      </w:pPr>
    </w:p>
    <w:p w14:paraId="0775B681"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Renta por comparación p</w:t>
      </w:r>
      <w:r>
        <w:rPr>
          <w:rFonts w:ascii="Arial" w:hAnsi="Arial" w:cs="Arial"/>
          <w:b/>
          <w:i/>
          <w:lang w:val="es-CO"/>
        </w:rPr>
        <w:t xml:space="preserve">atrimonial de personas naturales y sociedades o entidades que fueron no residentes o extranjeros el año o periodo gravable inmediatamente anterior. </w:t>
      </w:r>
      <w:r>
        <w:rPr>
          <w:rFonts w:ascii="Arial" w:hAnsi="Arial" w:cs="Arial"/>
          <w:lang w:val="es-CO"/>
        </w:rPr>
        <w:t>Para efectos de lo establecido en los artículos 236 y 237 del Estatuto Tributario. El aumento patrimonial qu</w:t>
      </w:r>
      <w:r>
        <w:rPr>
          <w:rFonts w:ascii="Arial" w:hAnsi="Arial" w:cs="Arial"/>
          <w:lang w:val="es-CO"/>
        </w:rPr>
        <w:t>e experimentan las personas naturales residentes en el país y las sociedades o entidades nacionales, que para efectos del año o periodo gravable inmediatamente anterior hubieran sido respectivamente no residentes o extranjeras, y que obedezca exclusivament</w:t>
      </w:r>
      <w:r>
        <w:rPr>
          <w:rFonts w:ascii="Arial" w:hAnsi="Arial" w:cs="Arial"/>
          <w:lang w:val="es-CO"/>
        </w:rPr>
        <w:t>e a dicho cambio, se entenderá como un aumento por causas justificativas.</w:t>
      </w:r>
    </w:p>
    <w:p w14:paraId="49E73074" w14:textId="77777777" w:rsidR="00B2442D" w:rsidRDefault="00B2442D">
      <w:pPr>
        <w:jc w:val="both"/>
        <w:rPr>
          <w:rFonts w:ascii="Arial" w:hAnsi="Arial" w:cs="Arial"/>
          <w:lang w:val="es-CO"/>
        </w:rPr>
      </w:pPr>
    </w:p>
    <w:p w14:paraId="453AB7D1" w14:textId="77777777" w:rsidR="00B2442D" w:rsidRDefault="008A645F">
      <w:pPr>
        <w:jc w:val="both"/>
        <w:rPr>
          <w:rFonts w:ascii="Arial" w:hAnsi="Arial" w:cs="Arial"/>
          <w:i/>
          <w:lang w:val="es-CO"/>
        </w:rPr>
      </w:pPr>
      <w:r>
        <w:rPr>
          <w:rFonts w:ascii="Arial" w:hAnsi="Arial" w:cs="Arial"/>
          <w:i/>
          <w:lang w:val="es-CO"/>
        </w:rPr>
        <w:t>(Art. 7, Decreto 3028 de 2013)</w:t>
      </w:r>
    </w:p>
    <w:p w14:paraId="78AAB96B" w14:textId="77777777" w:rsidR="00B2442D" w:rsidRDefault="00B2442D">
      <w:pPr>
        <w:jc w:val="both"/>
        <w:rPr>
          <w:rFonts w:ascii="Arial" w:hAnsi="Arial" w:cs="Arial"/>
          <w:lang w:val="es-CO"/>
        </w:rPr>
      </w:pPr>
    </w:p>
    <w:p w14:paraId="48983EAC"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Exclusiones de la renta presuntiva.</w:t>
      </w:r>
      <w:r>
        <w:rPr>
          <w:rFonts w:ascii="Arial" w:hAnsi="Arial" w:cs="Arial"/>
          <w:lang w:val="es-CO"/>
        </w:rPr>
        <w:t xml:space="preserve"> A partir del 1° de enero de 2003, los activos vinculados a las actividades contempladas en el numeral 6 del artíc</w:t>
      </w:r>
      <w:r>
        <w:rPr>
          <w:rFonts w:ascii="Arial" w:hAnsi="Arial" w:cs="Arial"/>
          <w:lang w:val="es-CO"/>
        </w:rPr>
        <w:t>ulo 207-2 del Estatuto Tributario a que se refieren los artículos 1.2.1.22.19 y 1.2.1.22.20 del presente Decreto, están excluidos de la renta presuntiva de que trata el artículo 188 del Estatuto Tributario.</w:t>
      </w:r>
    </w:p>
    <w:p w14:paraId="13A92F9E" w14:textId="77777777" w:rsidR="00B2442D" w:rsidRDefault="00B2442D">
      <w:pPr>
        <w:jc w:val="both"/>
        <w:rPr>
          <w:rFonts w:ascii="Arial" w:hAnsi="Arial" w:cs="Arial"/>
          <w:lang w:val="es-CO"/>
        </w:rPr>
      </w:pPr>
    </w:p>
    <w:p w14:paraId="5C947FC9" w14:textId="77777777" w:rsidR="00B2442D" w:rsidRDefault="008A645F">
      <w:pPr>
        <w:jc w:val="both"/>
        <w:rPr>
          <w:rFonts w:ascii="Arial" w:hAnsi="Arial" w:cs="Arial"/>
          <w:lang w:val="es-CO"/>
        </w:rPr>
      </w:pPr>
      <w:r>
        <w:rPr>
          <w:rFonts w:ascii="Arial" w:hAnsi="Arial" w:cs="Arial"/>
          <w:lang w:val="es-CO"/>
        </w:rPr>
        <w:t>Por tanto, los activos vinculados a las nuevas p</w:t>
      </w:r>
      <w:r>
        <w:rPr>
          <w:rFonts w:ascii="Arial" w:hAnsi="Arial" w:cs="Arial"/>
          <w:lang w:val="es-CO"/>
        </w:rPr>
        <w:t>lantaciones forestales, a las plantaciones de árboles maderables registrados ante la autoridad competente antes de la entrada en vigencia de la Ley 788 de 2002 y los nuevos aserríos vinculados directamente al aprovechamiento de las nuevas plantaciones fore</w:t>
      </w:r>
      <w:r>
        <w:rPr>
          <w:rFonts w:ascii="Arial" w:hAnsi="Arial" w:cs="Arial"/>
          <w:lang w:val="es-CO"/>
        </w:rPr>
        <w:t>stales y/o al aprovechamiento de plantaciones forestales debidamente registradas ante la autoridad competente antes del 27 de diciembre de 2002, respecto de los cuales proceda el beneficio a que se refiere el citado numeral, se excluirán del patrimonio líq</w:t>
      </w:r>
      <w:r>
        <w:rPr>
          <w:rFonts w:ascii="Arial" w:hAnsi="Arial" w:cs="Arial"/>
          <w:lang w:val="es-CO"/>
        </w:rPr>
        <w:t>uido que sirve de base para efectuar el cálculo de la renta presuntiva.</w:t>
      </w:r>
    </w:p>
    <w:p w14:paraId="47F7357C" w14:textId="77777777" w:rsidR="00B2442D" w:rsidRDefault="00B2442D">
      <w:pPr>
        <w:jc w:val="both"/>
        <w:rPr>
          <w:rFonts w:ascii="Arial" w:hAnsi="Arial" w:cs="Arial"/>
          <w:lang w:val="es-CO"/>
        </w:rPr>
      </w:pPr>
    </w:p>
    <w:p w14:paraId="71CBAC5D"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De conformidad con lo previsto en el literal a) del artículo 8° de la Ley 139 de 1994, los beneficiarios de Certificados de Incentivo Forestal "CIF" no tendrán derecho a la</w:t>
      </w:r>
      <w:r>
        <w:rPr>
          <w:rFonts w:ascii="Arial" w:hAnsi="Arial" w:cs="Arial"/>
          <w:lang w:val="es-CO"/>
        </w:rPr>
        <w:t xml:space="preserve"> renta exenta a que se refiere el numeral 6 del artículo 207-2 del Estatuto Tributario.</w:t>
      </w:r>
    </w:p>
    <w:p w14:paraId="2DA04F37" w14:textId="77777777" w:rsidR="00B2442D" w:rsidRDefault="00B2442D">
      <w:pPr>
        <w:jc w:val="both"/>
        <w:rPr>
          <w:rFonts w:ascii="Arial" w:hAnsi="Arial" w:cs="Arial"/>
          <w:lang w:val="es-CO"/>
        </w:rPr>
      </w:pPr>
    </w:p>
    <w:p w14:paraId="7A0BCC51" w14:textId="77777777" w:rsidR="00B2442D" w:rsidRDefault="008A645F">
      <w:pPr>
        <w:jc w:val="both"/>
        <w:rPr>
          <w:rFonts w:ascii="Arial" w:hAnsi="Arial" w:cs="Arial"/>
          <w:lang w:val="es-CO"/>
        </w:rPr>
      </w:pPr>
      <w:r>
        <w:rPr>
          <w:rFonts w:ascii="Arial" w:hAnsi="Arial" w:cs="Arial"/>
          <w:lang w:val="es-CO"/>
        </w:rPr>
        <w:t xml:space="preserve">Dichos beneficiarios solamente podrán restar de la base del cálculo de la renta presuntiva, el valor patrimonial neto de los activos vinculados a las </w:t>
      </w:r>
      <w:r>
        <w:rPr>
          <w:rFonts w:ascii="Arial" w:hAnsi="Arial" w:cs="Arial"/>
          <w:lang w:val="es-CO"/>
        </w:rPr>
        <w:t>plantaciones forestales en período improductivo, según lo previsto en el literal c) del artículo 189 del Estatuto Tributario.</w:t>
      </w:r>
    </w:p>
    <w:p w14:paraId="31AA2960" w14:textId="77777777" w:rsidR="00B2442D" w:rsidRDefault="00B2442D">
      <w:pPr>
        <w:jc w:val="both"/>
        <w:rPr>
          <w:rFonts w:ascii="Arial" w:hAnsi="Arial" w:cs="Arial"/>
          <w:lang w:val="es-CO"/>
        </w:rPr>
      </w:pPr>
    </w:p>
    <w:p w14:paraId="68021BB8" w14:textId="77777777" w:rsidR="00B2442D" w:rsidRDefault="008A645F">
      <w:pPr>
        <w:jc w:val="both"/>
        <w:rPr>
          <w:rFonts w:ascii="Arial" w:hAnsi="Arial" w:cs="Arial"/>
          <w:i/>
          <w:lang w:val="es-CO"/>
        </w:rPr>
      </w:pPr>
      <w:r>
        <w:rPr>
          <w:rFonts w:ascii="Arial" w:hAnsi="Arial" w:cs="Arial"/>
          <w:i/>
          <w:lang w:val="es-CO"/>
        </w:rPr>
        <w:t>(Art. 3, Decreto 2755 de 2005)</w:t>
      </w:r>
    </w:p>
    <w:p w14:paraId="33EE4580" w14:textId="77777777" w:rsidR="00B2442D" w:rsidRDefault="00B2442D">
      <w:pPr>
        <w:jc w:val="both"/>
        <w:rPr>
          <w:rFonts w:ascii="Arial" w:hAnsi="Arial" w:cs="Arial"/>
          <w:lang w:val="es-CO"/>
        </w:rPr>
      </w:pPr>
    </w:p>
    <w:p w14:paraId="56ED094E"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Periodo improductivo.</w:t>
      </w:r>
      <w:r>
        <w:rPr>
          <w:rFonts w:ascii="Arial" w:hAnsi="Arial" w:cs="Arial"/>
          <w:lang w:val="es-CO"/>
        </w:rPr>
        <w:t xml:space="preserve"> En las empresas industriales de transformación, de hotelería y de minería, </w:t>
      </w:r>
      <w:r>
        <w:rPr>
          <w:rFonts w:ascii="Arial" w:hAnsi="Arial" w:cs="Arial"/>
          <w:lang w:val="es-CO"/>
        </w:rPr>
        <w:t>se considera como período improductivo el comprendido por las siguientes etapas:</w:t>
      </w:r>
    </w:p>
    <w:p w14:paraId="5E8ACBF4" w14:textId="77777777" w:rsidR="00B2442D" w:rsidRDefault="00B2442D">
      <w:pPr>
        <w:jc w:val="both"/>
        <w:rPr>
          <w:rFonts w:ascii="Arial" w:hAnsi="Arial" w:cs="Arial"/>
          <w:lang w:val="es-CO"/>
        </w:rPr>
      </w:pPr>
    </w:p>
    <w:p w14:paraId="0DBF2895"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Prospectación;</w:t>
      </w:r>
    </w:p>
    <w:p w14:paraId="7984A6E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Construcción, instalación y montaje;</w:t>
      </w:r>
    </w:p>
    <w:p w14:paraId="7103F6C2"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Ensayos y puesta en marcha.</w:t>
      </w:r>
    </w:p>
    <w:p w14:paraId="401E60A5" w14:textId="77777777" w:rsidR="00B2442D" w:rsidRDefault="00B2442D">
      <w:pPr>
        <w:jc w:val="both"/>
        <w:rPr>
          <w:rFonts w:ascii="Arial" w:hAnsi="Arial" w:cs="Arial"/>
          <w:lang w:val="es-CO"/>
        </w:rPr>
      </w:pPr>
    </w:p>
    <w:p w14:paraId="686E70A2" w14:textId="77777777" w:rsidR="00B2442D" w:rsidRDefault="008A645F">
      <w:pPr>
        <w:jc w:val="both"/>
        <w:rPr>
          <w:rFonts w:ascii="Arial" w:hAnsi="Arial" w:cs="Arial"/>
          <w:lang w:val="es-CO"/>
        </w:rPr>
      </w:pPr>
      <w:r>
        <w:rPr>
          <w:rFonts w:ascii="Arial" w:hAnsi="Arial" w:cs="Arial"/>
          <w:lang w:val="es-CO"/>
        </w:rPr>
        <w:t xml:space="preserve">En la industria de construcción y venta de inmuebles se considera como </w:t>
      </w:r>
      <w:r>
        <w:rPr>
          <w:rFonts w:ascii="Arial" w:hAnsi="Arial" w:cs="Arial"/>
          <w:lang w:val="es-CO"/>
        </w:rPr>
        <w:t>período improductivo el comprendido por las etapas de:</w:t>
      </w:r>
    </w:p>
    <w:p w14:paraId="6FE3D6C2" w14:textId="77777777" w:rsidR="00B2442D" w:rsidRDefault="00B2442D">
      <w:pPr>
        <w:jc w:val="both"/>
        <w:rPr>
          <w:rFonts w:ascii="Arial" w:hAnsi="Arial" w:cs="Arial"/>
          <w:lang w:val="es-CO"/>
        </w:rPr>
      </w:pPr>
    </w:p>
    <w:p w14:paraId="12B2BD80"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Prospectación;</w:t>
      </w:r>
    </w:p>
    <w:p w14:paraId="6E1C961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Construcción.</w:t>
      </w:r>
    </w:p>
    <w:p w14:paraId="59B5D75A" w14:textId="77777777" w:rsidR="00B2442D" w:rsidRDefault="00B2442D">
      <w:pPr>
        <w:jc w:val="both"/>
        <w:rPr>
          <w:rFonts w:ascii="Arial" w:hAnsi="Arial" w:cs="Arial"/>
          <w:lang w:val="es-CO"/>
        </w:rPr>
      </w:pPr>
    </w:p>
    <w:p w14:paraId="30137522" w14:textId="77777777" w:rsidR="00B2442D" w:rsidRDefault="008A645F">
      <w:pPr>
        <w:jc w:val="both"/>
        <w:rPr>
          <w:rFonts w:ascii="Arial" w:hAnsi="Arial" w:cs="Arial"/>
          <w:i/>
          <w:lang w:val="es-CO"/>
        </w:rPr>
      </w:pPr>
      <w:r>
        <w:rPr>
          <w:rFonts w:ascii="Arial" w:hAnsi="Arial" w:cs="Arial"/>
          <w:i/>
          <w:lang w:val="es-CO"/>
        </w:rPr>
        <w:t>(Art. 1, Decreto 4123 de 2005)</w:t>
      </w:r>
    </w:p>
    <w:p w14:paraId="7581603B" w14:textId="77777777" w:rsidR="00B2442D" w:rsidRDefault="00B2442D">
      <w:pPr>
        <w:jc w:val="both"/>
        <w:rPr>
          <w:rFonts w:ascii="Arial" w:hAnsi="Arial" w:cs="Arial"/>
          <w:lang w:val="es-CO"/>
        </w:rPr>
      </w:pPr>
    </w:p>
    <w:p w14:paraId="7F55B130"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Etapa de prospectación.</w:t>
      </w:r>
      <w:r>
        <w:rPr>
          <w:rFonts w:ascii="Arial" w:hAnsi="Arial" w:cs="Arial"/>
          <w:lang w:val="es-CO"/>
        </w:rPr>
        <w:t xml:space="preserve"> La etapa de prospectación en las empresas industriales de transformación, de hotelería y de minería, está co</w:t>
      </w:r>
      <w:r>
        <w:rPr>
          <w:rFonts w:ascii="Arial" w:hAnsi="Arial" w:cs="Arial"/>
          <w:lang w:val="es-CO"/>
        </w:rPr>
        <w:t>mprendida entre la iniciación de la empresa y la fecha en que primero ocurra uno de los siguientes hechos:</w:t>
      </w:r>
    </w:p>
    <w:p w14:paraId="157B8516" w14:textId="77777777" w:rsidR="00B2442D" w:rsidRDefault="00B2442D">
      <w:pPr>
        <w:jc w:val="both"/>
        <w:rPr>
          <w:rFonts w:ascii="Arial" w:hAnsi="Arial" w:cs="Arial"/>
          <w:lang w:val="es-CO"/>
        </w:rPr>
      </w:pPr>
    </w:p>
    <w:p w14:paraId="3EAD6034"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Adquisición de terrenos o edificios, entendiendo por tal la fecha de la escritura correspondiente;</w:t>
      </w:r>
    </w:p>
    <w:p w14:paraId="1C50821C"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Adquisición de los activos fijos de producc</w:t>
      </w:r>
      <w:r>
        <w:rPr>
          <w:rFonts w:ascii="Arial" w:hAnsi="Arial" w:cs="Arial"/>
          <w:lang w:val="es-CO"/>
        </w:rPr>
        <w:t>ión, tales como maquinaria, entendiendo por tal su entrega;</w:t>
      </w:r>
    </w:p>
    <w:p w14:paraId="579C3021"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Iniciación de la construcción de obras civiles o edificios.</w:t>
      </w:r>
    </w:p>
    <w:p w14:paraId="1DEF5887" w14:textId="77777777" w:rsidR="00B2442D" w:rsidRDefault="00B2442D">
      <w:pPr>
        <w:jc w:val="both"/>
        <w:rPr>
          <w:rFonts w:ascii="Arial" w:hAnsi="Arial" w:cs="Arial"/>
          <w:lang w:val="es-CO"/>
        </w:rPr>
      </w:pPr>
    </w:p>
    <w:p w14:paraId="0223F429" w14:textId="77777777" w:rsidR="00B2442D" w:rsidRDefault="008A645F">
      <w:pPr>
        <w:jc w:val="both"/>
        <w:rPr>
          <w:rFonts w:ascii="Arial" w:hAnsi="Arial" w:cs="Arial"/>
          <w:i/>
          <w:lang w:val="es-CO"/>
        </w:rPr>
      </w:pPr>
      <w:r>
        <w:rPr>
          <w:rFonts w:ascii="Arial" w:hAnsi="Arial" w:cs="Arial"/>
          <w:i/>
          <w:lang w:val="es-CO"/>
        </w:rPr>
        <w:t>(Art. 2, Decreto 4123 de 2005)</w:t>
      </w:r>
    </w:p>
    <w:p w14:paraId="385A7674" w14:textId="77777777" w:rsidR="00B2442D" w:rsidRDefault="00B2442D">
      <w:pPr>
        <w:jc w:val="both"/>
        <w:rPr>
          <w:rFonts w:ascii="Arial" w:hAnsi="Arial" w:cs="Arial"/>
          <w:lang w:val="es-CO"/>
        </w:rPr>
      </w:pPr>
    </w:p>
    <w:p w14:paraId="017F0468"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Etapa de prospectación.</w:t>
      </w:r>
      <w:r>
        <w:rPr>
          <w:rFonts w:ascii="Arial" w:hAnsi="Arial" w:cs="Arial"/>
          <w:lang w:val="es-CO"/>
        </w:rPr>
        <w:t xml:space="preserve"> En la industria de la construcción y venta de inmuebles la etapa de prospectación terminará en la fecha en que primero ocurra uno de los siguientes hechos:</w:t>
      </w:r>
    </w:p>
    <w:p w14:paraId="00D8C01C" w14:textId="77777777" w:rsidR="00B2442D" w:rsidRDefault="00B2442D">
      <w:pPr>
        <w:jc w:val="both"/>
        <w:rPr>
          <w:rFonts w:ascii="Arial" w:hAnsi="Arial" w:cs="Arial"/>
          <w:lang w:val="es-CO"/>
        </w:rPr>
      </w:pPr>
    </w:p>
    <w:p w14:paraId="164E99BD"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Adquisición de inmuebles, maquinaria y equipo de construcción;</w:t>
      </w:r>
    </w:p>
    <w:p w14:paraId="606CA309"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Iniciación de la construcción</w:t>
      </w:r>
      <w:r>
        <w:rPr>
          <w:rFonts w:ascii="Arial" w:hAnsi="Arial" w:cs="Arial"/>
          <w:lang w:val="es-CO"/>
        </w:rPr>
        <w:t xml:space="preserve"> de obras civiles o de las obras que sean objeto de la industria.</w:t>
      </w:r>
    </w:p>
    <w:p w14:paraId="42B78ABD" w14:textId="77777777" w:rsidR="00B2442D" w:rsidRDefault="00B2442D">
      <w:pPr>
        <w:shd w:val="clear" w:color="auto" w:fill="FFFFFF" w:themeFill="background1"/>
        <w:jc w:val="both"/>
        <w:rPr>
          <w:rFonts w:ascii="Arial" w:hAnsi="Arial" w:cs="Arial"/>
          <w:lang w:val="es-CO"/>
        </w:rPr>
      </w:pPr>
    </w:p>
    <w:p w14:paraId="16525D90" w14:textId="77777777" w:rsidR="00B2442D" w:rsidRDefault="008A645F">
      <w:pPr>
        <w:jc w:val="both"/>
        <w:rPr>
          <w:rFonts w:ascii="Arial" w:hAnsi="Arial" w:cs="Arial"/>
          <w:i/>
          <w:lang w:val="es-CO"/>
        </w:rPr>
      </w:pPr>
      <w:r>
        <w:rPr>
          <w:rFonts w:ascii="Arial" w:hAnsi="Arial" w:cs="Arial"/>
          <w:i/>
          <w:lang w:val="es-CO"/>
        </w:rPr>
        <w:t>(Art. 3, Decreto 4123 de 2005)</w:t>
      </w:r>
    </w:p>
    <w:p w14:paraId="70DC1C2D" w14:textId="77777777" w:rsidR="00B2442D" w:rsidRDefault="00B2442D">
      <w:pPr>
        <w:shd w:val="clear" w:color="auto" w:fill="FFFFFF" w:themeFill="background1"/>
        <w:jc w:val="both"/>
        <w:rPr>
          <w:rFonts w:ascii="Arial" w:hAnsi="Arial" w:cs="Arial"/>
          <w:lang w:val="es-CO"/>
        </w:rPr>
      </w:pPr>
    </w:p>
    <w:p w14:paraId="4731D366"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E</w:t>
      </w:r>
      <w:r>
        <w:rPr>
          <w:rFonts w:ascii="Arial" w:hAnsi="Arial" w:cs="Arial"/>
          <w:b/>
          <w:i/>
          <w:shd w:val="clear" w:color="auto" w:fill="FFFFFF" w:themeFill="background1"/>
          <w:lang w:val="es-CO"/>
        </w:rPr>
        <w:t>tapas de construcción, instalación y montaje.</w:t>
      </w:r>
      <w:r>
        <w:rPr>
          <w:rFonts w:ascii="Arial" w:hAnsi="Arial" w:cs="Arial"/>
          <w:shd w:val="clear" w:color="auto" w:fill="FFFFFF" w:themeFill="background1"/>
          <w:lang w:val="es-CO"/>
        </w:rPr>
        <w:t xml:space="preserve"> Las etapas de construcción, instalación y montaje, según corresponda, están comprendidas entre la fecha de ter</w:t>
      </w:r>
      <w:r>
        <w:rPr>
          <w:rFonts w:ascii="Arial" w:hAnsi="Arial" w:cs="Arial"/>
          <w:shd w:val="clear" w:color="auto" w:fill="FFFFFF" w:themeFill="background1"/>
          <w:lang w:val="es-CO"/>
        </w:rPr>
        <w:t>minación de la etapa de prospectación y la fecha en que la empresa realice la primera enajenación de bienes o la primera prestación de servicios.</w:t>
      </w:r>
    </w:p>
    <w:p w14:paraId="5D87BD01" w14:textId="77777777" w:rsidR="00B2442D" w:rsidRDefault="00B2442D">
      <w:pPr>
        <w:jc w:val="both"/>
        <w:rPr>
          <w:rFonts w:ascii="Arial" w:hAnsi="Arial" w:cs="Arial"/>
          <w:lang w:val="es-CO"/>
        </w:rPr>
      </w:pPr>
    </w:p>
    <w:p w14:paraId="3B6ABE1C" w14:textId="77777777" w:rsidR="00B2442D" w:rsidRDefault="008A645F">
      <w:pPr>
        <w:jc w:val="both"/>
        <w:rPr>
          <w:rFonts w:ascii="Arial" w:hAnsi="Arial" w:cs="Arial"/>
          <w:i/>
          <w:lang w:val="es-CO"/>
        </w:rPr>
      </w:pPr>
      <w:r>
        <w:rPr>
          <w:rFonts w:ascii="Arial" w:hAnsi="Arial" w:cs="Arial"/>
          <w:i/>
          <w:lang w:val="es-CO"/>
        </w:rPr>
        <w:t>(Art. 4, Decreto 4123 de 2005)</w:t>
      </w:r>
    </w:p>
    <w:p w14:paraId="090BFD7C" w14:textId="77777777" w:rsidR="00B2442D" w:rsidRDefault="00B2442D">
      <w:pPr>
        <w:jc w:val="both"/>
        <w:rPr>
          <w:rFonts w:ascii="Arial" w:hAnsi="Arial" w:cs="Arial"/>
          <w:lang w:val="es-CO"/>
        </w:rPr>
      </w:pPr>
    </w:p>
    <w:p w14:paraId="2C083233"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Etapa de ensayos y puesta en marcha.</w:t>
      </w:r>
      <w:r>
        <w:rPr>
          <w:rFonts w:ascii="Arial" w:hAnsi="Arial" w:cs="Arial"/>
          <w:lang w:val="es-CO"/>
        </w:rPr>
        <w:t xml:space="preserve"> La etapa de ensayos y puesta en marcha s</w:t>
      </w:r>
      <w:r>
        <w:rPr>
          <w:rFonts w:ascii="Arial" w:hAnsi="Arial" w:cs="Arial"/>
          <w:lang w:val="es-CO"/>
        </w:rPr>
        <w:t>e inicia a la terminación de la etapa de construcción, instalación y montaje y tendrá una duración igual a la de esta, con un máximo de veinticuatro (24) meses.</w:t>
      </w:r>
    </w:p>
    <w:p w14:paraId="517A9230" w14:textId="77777777" w:rsidR="00B2442D" w:rsidRDefault="00B2442D">
      <w:pPr>
        <w:jc w:val="both"/>
        <w:rPr>
          <w:rFonts w:ascii="Arial" w:hAnsi="Arial" w:cs="Arial"/>
          <w:lang w:val="es-CO"/>
        </w:rPr>
      </w:pPr>
    </w:p>
    <w:p w14:paraId="66471619" w14:textId="77777777" w:rsidR="00B2442D" w:rsidRDefault="008A645F">
      <w:pPr>
        <w:jc w:val="both"/>
        <w:rPr>
          <w:rFonts w:ascii="Arial" w:hAnsi="Arial" w:cs="Arial"/>
          <w:lang w:val="es-CO"/>
        </w:rPr>
      </w:pPr>
      <w:r>
        <w:rPr>
          <w:rFonts w:ascii="Arial" w:hAnsi="Arial" w:cs="Arial"/>
          <w:lang w:val="es-CO"/>
        </w:rPr>
        <w:t>En las sociedades calificadas como parques industriales, se considerará que la etapa de ensayo</w:t>
      </w:r>
      <w:r>
        <w:rPr>
          <w:rFonts w:ascii="Arial" w:hAnsi="Arial" w:cs="Arial"/>
          <w:lang w:val="es-CO"/>
        </w:rPr>
        <w:t>s y puesta en marcha podrá tener una duración máxima de cuarenta y ocho (48) meses.</w:t>
      </w:r>
    </w:p>
    <w:p w14:paraId="5027B50B" w14:textId="77777777" w:rsidR="00B2442D" w:rsidRDefault="00B2442D">
      <w:pPr>
        <w:jc w:val="both"/>
        <w:rPr>
          <w:rFonts w:ascii="Arial" w:hAnsi="Arial" w:cs="Arial"/>
          <w:lang w:val="es-CO"/>
        </w:rPr>
      </w:pPr>
    </w:p>
    <w:p w14:paraId="1E59396B" w14:textId="77777777" w:rsidR="00B2442D" w:rsidRDefault="008A645F">
      <w:pPr>
        <w:jc w:val="both"/>
        <w:rPr>
          <w:rFonts w:ascii="Arial" w:hAnsi="Arial" w:cs="Arial"/>
          <w:lang w:val="es-CO"/>
        </w:rPr>
      </w:pPr>
      <w:r>
        <w:rPr>
          <w:rFonts w:ascii="Arial" w:hAnsi="Arial" w:cs="Arial"/>
          <w:lang w:val="es-CO"/>
        </w:rPr>
        <w:t xml:space="preserve">En el caso de industrias cuya actividad implique la extracción de recursos naturales no renovables y cuya inversión total en activos fijos de producción, a la terminación </w:t>
      </w:r>
      <w:r>
        <w:rPr>
          <w:rFonts w:ascii="Arial" w:hAnsi="Arial" w:cs="Arial"/>
          <w:lang w:val="es-CO"/>
        </w:rPr>
        <w:t>de la etapa de construcción, instalación y montaje, sea superior a dos millones quinientas cincuenta mil (2.550.000) UVT, el término máximo será de cuarenta y ocho (48) meses.</w:t>
      </w:r>
    </w:p>
    <w:p w14:paraId="5FFC9037" w14:textId="77777777" w:rsidR="00B2442D" w:rsidRDefault="00B2442D">
      <w:pPr>
        <w:jc w:val="both"/>
        <w:rPr>
          <w:rFonts w:ascii="Arial" w:hAnsi="Arial" w:cs="Arial"/>
          <w:lang w:val="es-CO"/>
        </w:rPr>
      </w:pPr>
    </w:p>
    <w:p w14:paraId="77357FB8" w14:textId="77777777" w:rsidR="00B2442D" w:rsidRDefault="008A645F">
      <w:pPr>
        <w:jc w:val="both"/>
        <w:rPr>
          <w:rFonts w:ascii="Arial" w:hAnsi="Arial" w:cs="Arial"/>
          <w:i/>
          <w:lang w:val="es-CO"/>
        </w:rPr>
      </w:pPr>
      <w:r>
        <w:rPr>
          <w:rFonts w:ascii="Arial" w:hAnsi="Arial" w:cs="Arial"/>
          <w:i/>
          <w:lang w:val="es-CO"/>
        </w:rPr>
        <w:t>(Art. 5, Decreto 4123 de 2005. Se actualiza el valor de conformidad con el artí</w:t>
      </w:r>
      <w:r>
        <w:rPr>
          <w:rFonts w:ascii="Arial" w:hAnsi="Arial" w:cs="Arial"/>
          <w:i/>
          <w:lang w:val="es-CO"/>
        </w:rPr>
        <w:t>culo 51 de la Ley 1111 de 2006)</w:t>
      </w:r>
    </w:p>
    <w:p w14:paraId="5A71ABB4" w14:textId="77777777" w:rsidR="00B2442D" w:rsidRDefault="00B2442D">
      <w:pPr>
        <w:jc w:val="both"/>
        <w:rPr>
          <w:rFonts w:ascii="Arial" w:hAnsi="Arial" w:cs="Arial"/>
          <w:lang w:val="es-CO"/>
        </w:rPr>
      </w:pPr>
    </w:p>
    <w:p w14:paraId="55D50DF4"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Calificación de los períodos improductivos en las empresas agrícolas.</w:t>
      </w:r>
      <w:r>
        <w:rPr>
          <w:rFonts w:ascii="Arial" w:hAnsi="Arial" w:cs="Arial"/>
          <w:lang w:val="es-CO"/>
        </w:rPr>
        <w:t xml:space="preserve"> Para los fines de la calificación de los períodos improductivos en las empresas agrícolas, se entiende por cultivos de mediano rendimiento aquellos que e</w:t>
      </w:r>
      <w:r>
        <w:rPr>
          <w:rFonts w:ascii="Arial" w:hAnsi="Arial" w:cs="Arial"/>
          <w:lang w:val="es-CO"/>
        </w:rPr>
        <w:t>xijan un período superior a un (1) año e inferior a tres (3) años entre su siembra y su primera cosecha, y por cultivos de tardío rendimiento aquellos que requieran un período superior a tres (3) años entre la siembra y su primera cosecha.</w:t>
      </w:r>
    </w:p>
    <w:p w14:paraId="69852341" w14:textId="77777777" w:rsidR="00B2442D" w:rsidRDefault="00B2442D">
      <w:pPr>
        <w:jc w:val="both"/>
        <w:rPr>
          <w:rFonts w:ascii="Arial" w:hAnsi="Arial" w:cs="Arial"/>
          <w:lang w:val="es-CO"/>
        </w:rPr>
      </w:pPr>
    </w:p>
    <w:p w14:paraId="33A657BF" w14:textId="77777777" w:rsidR="00B2442D" w:rsidRDefault="008A645F">
      <w:pPr>
        <w:jc w:val="both"/>
        <w:rPr>
          <w:rFonts w:ascii="Arial" w:hAnsi="Arial" w:cs="Arial"/>
          <w:i/>
          <w:lang w:val="es-CO"/>
        </w:rPr>
      </w:pPr>
      <w:r>
        <w:rPr>
          <w:rFonts w:ascii="Arial" w:hAnsi="Arial" w:cs="Arial"/>
          <w:i/>
          <w:lang w:val="es-CO"/>
        </w:rPr>
        <w:t>(Art. 6, Decret</w:t>
      </w:r>
      <w:r>
        <w:rPr>
          <w:rFonts w:ascii="Arial" w:hAnsi="Arial" w:cs="Arial"/>
          <w:i/>
          <w:lang w:val="es-CO"/>
        </w:rPr>
        <w:t>o 4123 de 2005)</w:t>
      </w:r>
    </w:p>
    <w:p w14:paraId="0F80F9C8" w14:textId="77777777" w:rsidR="00B2442D" w:rsidRDefault="00B2442D">
      <w:pPr>
        <w:jc w:val="both"/>
        <w:rPr>
          <w:rFonts w:ascii="Arial" w:hAnsi="Arial" w:cs="Arial"/>
          <w:lang w:val="es-CO"/>
        </w:rPr>
      </w:pPr>
    </w:p>
    <w:p w14:paraId="61FB1464"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Períodos improductivos en los cultivos de mediano y tardío rendimiento.</w:t>
      </w:r>
      <w:r>
        <w:rPr>
          <w:rFonts w:ascii="Arial" w:hAnsi="Arial" w:cs="Arial"/>
          <w:lang w:val="es-CO"/>
        </w:rPr>
        <w:t xml:space="preserve"> Los períodos improductivos en los cultivos de mediano y tardío rendimiento serán los siguientes:</w:t>
      </w:r>
    </w:p>
    <w:p w14:paraId="784A3D01" w14:textId="77777777" w:rsidR="00B2442D" w:rsidRDefault="00B2442D">
      <w:pPr>
        <w:jc w:val="both"/>
        <w:rPr>
          <w:rFonts w:ascii="Arial" w:hAnsi="Arial" w:cs="Arial"/>
          <w:lang w:val="es-CO"/>
        </w:rPr>
      </w:pPr>
    </w:p>
    <w:p w14:paraId="53135928"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Dos (2) años: piña, uva, caña, plátano, banano, maracuyá, </w:t>
      </w:r>
      <w:r>
        <w:rPr>
          <w:rFonts w:ascii="Arial" w:hAnsi="Arial" w:cs="Arial"/>
          <w:lang w:val="es-CO"/>
        </w:rPr>
        <w:t>papaya;</w:t>
      </w:r>
    </w:p>
    <w:p w14:paraId="28502EDF"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Tres (3) años: café caturra, guayaba, pera, manzana, durazno;</w:t>
      </w:r>
    </w:p>
    <w:p w14:paraId="2722E499"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Cuatro (4) años: cacao, cítricos, aguacate, café arábigo, fique;</w:t>
      </w:r>
    </w:p>
    <w:p w14:paraId="00A89548"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Cinco (5) años: coco, nolí, palma africana, mango.</w:t>
      </w:r>
    </w:p>
    <w:p w14:paraId="5E739A82" w14:textId="77777777" w:rsidR="00B2442D" w:rsidRDefault="00B2442D">
      <w:pPr>
        <w:jc w:val="both"/>
        <w:rPr>
          <w:rFonts w:ascii="Arial" w:hAnsi="Arial" w:cs="Arial"/>
          <w:lang w:val="es-CO"/>
        </w:rPr>
      </w:pPr>
    </w:p>
    <w:p w14:paraId="13FB65A4" w14:textId="77777777" w:rsidR="00B2442D" w:rsidRDefault="008A645F">
      <w:pPr>
        <w:jc w:val="both"/>
        <w:rPr>
          <w:rFonts w:ascii="Arial" w:hAnsi="Arial" w:cs="Arial"/>
          <w:lang w:val="es-CO"/>
        </w:rPr>
      </w:pPr>
      <w:r>
        <w:rPr>
          <w:rFonts w:ascii="Arial" w:hAnsi="Arial" w:cs="Arial"/>
          <w:lang w:val="es-CO"/>
        </w:rPr>
        <w:t xml:space="preserve">La duración del ciclo improductivo de los cultivos de </w:t>
      </w:r>
      <w:r>
        <w:rPr>
          <w:rFonts w:ascii="Arial" w:hAnsi="Arial" w:cs="Arial"/>
          <w:lang w:val="es-CO"/>
        </w:rPr>
        <w:t>mediano y tardío rendimiento no enumerados en el presente artículo, será fijado por el Ministerio de Agricultura y Desarrollo Rural, mediante resolución.</w:t>
      </w:r>
    </w:p>
    <w:p w14:paraId="2E76FF8C" w14:textId="77777777" w:rsidR="00B2442D" w:rsidRDefault="00B2442D">
      <w:pPr>
        <w:jc w:val="both"/>
        <w:rPr>
          <w:rFonts w:ascii="Arial" w:hAnsi="Arial" w:cs="Arial"/>
          <w:lang w:val="es-CO"/>
        </w:rPr>
      </w:pPr>
    </w:p>
    <w:p w14:paraId="263675D4" w14:textId="77777777" w:rsidR="00B2442D" w:rsidRDefault="008A645F">
      <w:pPr>
        <w:jc w:val="both"/>
        <w:rPr>
          <w:rFonts w:ascii="Arial" w:hAnsi="Arial" w:cs="Arial"/>
          <w:i/>
          <w:lang w:val="es-CO"/>
        </w:rPr>
      </w:pPr>
      <w:r>
        <w:rPr>
          <w:rFonts w:ascii="Arial" w:hAnsi="Arial" w:cs="Arial"/>
          <w:i/>
          <w:lang w:val="es-CO"/>
        </w:rPr>
        <w:t>(Art. 7, Decreto 4123 de 2005)</w:t>
      </w:r>
    </w:p>
    <w:p w14:paraId="125302EF" w14:textId="77777777" w:rsidR="00B2442D" w:rsidRDefault="00B2442D">
      <w:pPr>
        <w:jc w:val="both"/>
        <w:rPr>
          <w:rFonts w:ascii="Arial" w:hAnsi="Arial" w:cs="Arial"/>
          <w:lang w:val="es-CO"/>
        </w:rPr>
      </w:pPr>
    </w:p>
    <w:p w14:paraId="15A45827"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Valor de los cultivos de mediano y tardío rendimiento.</w:t>
      </w:r>
      <w:r>
        <w:rPr>
          <w:rFonts w:ascii="Arial" w:hAnsi="Arial" w:cs="Arial"/>
          <w:lang w:val="es-CO"/>
        </w:rPr>
        <w:t xml:space="preserve"> El valor de lo</w:t>
      </w:r>
      <w:r>
        <w:rPr>
          <w:rFonts w:ascii="Arial" w:hAnsi="Arial" w:cs="Arial"/>
          <w:lang w:val="es-CO"/>
        </w:rPr>
        <w:t>s cultivos de mediano y tardío rendimiento, será el que fije la entidad que haya prestado asistencia técnica al cultivo, siempre que se encuentre debidamente autorizada por el Ministerio de Agricultura y Desarrollo Rural.</w:t>
      </w:r>
    </w:p>
    <w:p w14:paraId="5CD69507" w14:textId="77777777" w:rsidR="00B2442D" w:rsidRDefault="00B2442D">
      <w:pPr>
        <w:jc w:val="both"/>
        <w:rPr>
          <w:rFonts w:ascii="Arial" w:hAnsi="Arial" w:cs="Arial"/>
          <w:lang w:val="es-CO"/>
        </w:rPr>
      </w:pPr>
    </w:p>
    <w:p w14:paraId="2F20049C" w14:textId="77777777" w:rsidR="00B2442D" w:rsidRDefault="008A645F">
      <w:pPr>
        <w:jc w:val="both"/>
        <w:rPr>
          <w:rFonts w:ascii="Arial" w:hAnsi="Arial" w:cs="Arial"/>
          <w:i/>
          <w:lang w:val="es-CO"/>
        </w:rPr>
      </w:pPr>
      <w:r>
        <w:rPr>
          <w:rFonts w:ascii="Arial" w:hAnsi="Arial" w:cs="Arial"/>
          <w:i/>
          <w:lang w:val="es-CO"/>
        </w:rPr>
        <w:t>(Art. 8, Decreto 4123 de 2005)</w:t>
      </w:r>
    </w:p>
    <w:p w14:paraId="7A5DB10E" w14:textId="77777777" w:rsidR="00B2442D" w:rsidRDefault="00B2442D">
      <w:pPr>
        <w:jc w:val="both"/>
        <w:rPr>
          <w:rFonts w:ascii="Arial" w:hAnsi="Arial" w:cs="Arial"/>
          <w:lang w:val="es-CO"/>
        </w:rPr>
      </w:pPr>
    </w:p>
    <w:p w14:paraId="775E64DD" w14:textId="77777777" w:rsidR="00B2442D" w:rsidRDefault="008A645F">
      <w:pPr>
        <w:pStyle w:val="Prrafodelista"/>
        <w:numPr>
          <w:ilvl w:val="0"/>
          <w:numId w:val="34"/>
        </w:numPr>
        <w:ind w:left="0" w:firstLine="0"/>
        <w:jc w:val="both"/>
        <w:rPr>
          <w:rFonts w:ascii="Arial" w:hAnsi="Arial" w:cs="Arial"/>
          <w:lang w:val="es-CO"/>
        </w:rPr>
      </w:pPr>
      <w:r>
        <w:rPr>
          <w:rFonts w:ascii="Arial" w:hAnsi="Arial" w:cs="Arial"/>
          <w:b/>
          <w:i/>
          <w:lang w:val="es-CO"/>
        </w:rPr>
        <w:t>P</w:t>
      </w:r>
      <w:r>
        <w:rPr>
          <w:rFonts w:ascii="Arial" w:hAnsi="Arial" w:cs="Arial"/>
          <w:b/>
          <w:i/>
          <w:lang w:val="es-CO"/>
        </w:rPr>
        <w:t>rueba de los hechos que constituyen fuerza mayor o caso fortuito.</w:t>
      </w:r>
      <w:r>
        <w:rPr>
          <w:rFonts w:ascii="Arial" w:hAnsi="Arial" w:cs="Arial"/>
          <w:lang w:val="es-CO"/>
        </w:rPr>
        <w:t xml:space="preserve"> Cuando las sociedades anónimas o asimiladas socias de sociedades de personas y los socios o accionistas personas naturales y sucesiones ilíquidas invoquen hechos constitutivos de fuerza mayo</w:t>
      </w:r>
      <w:r>
        <w:rPr>
          <w:rFonts w:ascii="Arial" w:hAnsi="Arial" w:cs="Arial"/>
          <w:lang w:val="es-CO"/>
        </w:rPr>
        <w:t>r o caso fortuito que afecten las rentas de sus aportes y acciones, corresponde a la sociedad la demostración de tales hechos y al socio o accionista la prueba de la incidencia de los mismos en la determinación de una renta líquida inferior a la renta pres</w:t>
      </w:r>
      <w:r>
        <w:rPr>
          <w:rFonts w:ascii="Arial" w:hAnsi="Arial" w:cs="Arial"/>
          <w:lang w:val="es-CO"/>
        </w:rPr>
        <w:t>untiva determinada de acuerdo con lo dispuesto en el Estatuto Tributario.</w:t>
      </w:r>
    </w:p>
    <w:p w14:paraId="7B505902" w14:textId="77777777" w:rsidR="00B2442D" w:rsidRDefault="00B2442D">
      <w:pPr>
        <w:jc w:val="both"/>
        <w:rPr>
          <w:rFonts w:ascii="Arial" w:hAnsi="Arial" w:cs="Arial"/>
          <w:lang w:val="es-CO"/>
        </w:rPr>
      </w:pPr>
    </w:p>
    <w:p w14:paraId="5473A320" w14:textId="77777777" w:rsidR="00B2442D" w:rsidRDefault="008A645F">
      <w:pPr>
        <w:jc w:val="both"/>
        <w:rPr>
          <w:rFonts w:ascii="Arial" w:hAnsi="Arial" w:cs="Arial"/>
          <w:i/>
          <w:lang w:val="es-CO"/>
        </w:rPr>
      </w:pPr>
      <w:r>
        <w:rPr>
          <w:rFonts w:ascii="Arial" w:hAnsi="Arial" w:cs="Arial"/>
          <w:i/>
          <w:lang w:val="es-CO"/>
        </w:rPr>
        <w:t>(Art. 9, Decreto 4123 de 2005)</w:t>
      </w:r>
    </w:p>
    <w:p w14:paraId="7345F723" w14:textId="77777777" w:rsidR="00B2442D" w:rsidRDefault="00B2442D">
      <w:pPr>
        <w:jc w:val="both"/>
        <w:rPr>
          <w:rFonts w:ascii="Arial" w:hAnsi="Arial" w:cs="Arial"/>
          <w:i/>
          <w:lang w:val="es-CO"/>
        </w:rPr>
      </w:pPr>
    </w:p>
    <w:p w14:paraId="5E26E4DC" w14:textId="77777777" w:rsidR="00B2442D" w:rsidRDefault="008A645F">
      <w:pPr>
        <w:pStyle w:val="Ttulo4"/>
        <w:rPr>
          <w:lang w:val="es-CO"/>
        </w:rPr>
      </w:pPr>
      <w:r>
        <w:rPr>
          <w:lang w:val="es-CO"/>
        </w:rPr>
        <w:t>CAPÍTULO 20</w:t>
      </w:r>
    </w:p>
    <w:p w14:paraId="1526C289" w14:textId="77777777" w:rsidR="00B2442D" w:rsidRDefault="008A645F">
      <w:pPr>
        <w:pStyle w:val="Ttulo4"/>
        <w:rPr>
          <w:lang w:val="es-CO"/>
        </w:rPr>
      </w:pPr>
      <w:r>
        <w:rPr>
          <w:lang w:val="es-CO"/>
        </w:rPr>
        <w:t>Información para clasificar a las personas naturales</w:t>
      </w:r>
    </w:p>
    <w:p w14:paraId="0B01C9DB" w14:textId="77777777" w:rsidR="00B2442D" w:rsidRDefault="00B2442D">
      <w:pPr>
        <w:rPr>
          <w:rFonts w:ascii="Arial" w:hAnsi="Arial" w:cs="Arial"/>
          <w:lang w:val="es-CO"/>
        </w:rPr>
      </w:pPr>
    </w:p>
    <w:p w14:paraId="5EA97FFE"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Determinación de la clasificación de las personas naturales en las categorías tribu</w:t>
      </w:r>
      <w:r>
        <w:rPr>
          <w:rFonts w:ascii="Arial" w:hAnsi="Arial" w:cs="Arial"/>
          <w:b/>
          <w:i/>
          <w:lang w:val="es-CO"/>
        </w:rPr>
        <w:t>tarias establecidas en el artículo 329 del Estatuto Tributario.</w:t>
      </w:r>
      <w:r>
        <w:rPr>
          <w:rFonts w:ascii="Arial" w:hAnsi="Arial" w:cs="Arial"/>
          <w:lang w:val="es-CO"/>
        </w:rPr>
        <w:t xml:space="preserve"> Las personas naturales residentes en el país deberán reportar anualmente a sus pagadores o agentes de retención la información necesaria para determinar la categoría tributaria a que pertenece</w:t>
      </w:r>
      <w:r>
        <w:rPr>
          <w:rFonts w:ascii="Arial" w:hAnsi="Arial" w:cs="Arial"/>
          <w:lang w:val="es-CO"/>
        </w:rPr>
        <w:t>n de acuerdo con lo previsto en el artículo 329 del Estatuto Tributario, a más tardar el treinta y uno (31) de marzo del respectivo periodo gravable. La persona deberá manifestar expresamente:</w:t>
      </w:r>
    </w:p>
    <w:p w14:paraId="27A01E46" w14:textId="77777777" w:rsidR="00B2442D" w:rsidRDefault="00B2442D">
      <w:pPr>
        <w:jc w:val="both"/>
        <w:rPr>
          <w:rFonts w:ascii="Arial" w:hAnsi="Arial" w:cs="Arial"/>
          <w:lang w:val="es-CO"/>
        </w:rPr>
      </w:pPr>
    </w:p>
    <w:p w14:paraId="44B62597" w14:textId="77777777" w:rsidR="00B2442D" w:rsidRDefault="008A645F">
      <w:pPr>
        <w:ind w:left="284" w:hanging="284"/>
        <w:jc w:val="both"/>
        <w:rPr>
          <w:rFonts w:ascii="Arial" w:hAnsi="Arial" w:cs="Arial"/>
          <w:lang w:val="es-CO"/>
        </w:rPr>
      </w:pPr>
      <w:r>
        <w:rPr>
          <w:rFonts w:ascii="Arial" w:hAnsi="Arial" w:cs="Arial"/>
          <w:lang w:val="es-CO"/>
        </w:rPr>
        <w:t xml:space="preserve">1. Si sus ingresos en el año gravable </w:t>
      </w:r>
      <w:r>
        <w:rPr>
          <w:rFonts w:ascii="Arial" w:hAnsi="Arial" w:cs="Arial"/>
          <w:lang w:val="es-CO"/>
        </w:rPr>
        <w:t xml:space="preserve">inmediatamente anterior provienen o no de la prestación de servicios de manera personal o del desarrollo de una actividad económica por cuenta y riesgo del empleador o contratante, en una proporción igual o superior a un ochenta por ciento (80%) del total </w:t>
      </w:r>
      <w:r>
        <w:rPr>
          <w:rFonts w:ascii="Arial" w:hAnsi="Arial" w:cs="Arial"/>
          <w:lang w:val="es-CO"/>
        </w:rPr>
        <w:t>de los ingresos percibidos por el contribuyente en dicho periodo fiscal.</w:t>
      </w:r>
    </w:p>
    <w:p w14:paraId="1ACCFA9C" w14:textId="77777777" w:rsidR="00B2442D" w:rsidRDefault="00B2442D">
      <w:pPr>
        <w:ind w:left="284" w:hanging="284"/>
        <w:jc w:val="both"/>
        <w:rPr>
          <w:rFonts w:ascii="Arial" w:hAnsi="Arial" w:cs="Arial"/>
          <w:lang w:val="es-CO"/>
        </w:rPr>
      </w:pPr>
    </w:p>
    <w:p w14:paraId="44B6E39A" w14:textId="77777777" w:rsidR="00B2442D" w:rsidRDefault="008A645F">
      <w:pPr>
        <w:ind w:left="284" w:hanging="284"/>
        <w:jc w:val="both"/>
        <w:rPr>
          <w:rFonts w:ascii="Arial" w:hAnsi="Arial" w:cs="Arial"/>
          <w:lang w:val="es-CO"/>
        </w:rPr>
      </w:pPr>
      <w:r>
        <w:rPr>
          <w:rFonts w:ascii="Arial" w:hAnsi="Arial" w:cs="Arial"/>
          <w:lang w:val="es-CO"/>
        </w:rPr>
        <w:t>2. Si sus ingresos en el año gravable inmediatamente anterior provienen o no de la prestación de servicios personales mediante el ejercicio de profesiones liberales o de la prestació</w:t>
      </w:r>
      <w:r>
        <w:rPr>
          <w:rFonts w:ascii="Arial" w:hAnsi="Arial" w:cs="Arial"/>
          <w:lang w:val="es-CO"/>
        </w:rPr>
        <w:t>n de servicios técnicos que no requieran la utilización de materiales o insumos especializados, o de maquinaria o equipo especializado, en una proporción igual o superior a un ochenta por ciento (80%) del total de los ingresos percibidos por el contribuyen</w:t>
      </w:r>
      <w:r>
        <w:rPr>
          <w:rFonts w:ascii="Arial" w:hAnsi="Arial" w:cs="Arial"/>
          <w:lang w:val="es-CO"/>
        </w:rPr>
        <w:t>te en dicho periodo fiscal.</w:t>
      </w:r>
    </w:p>
    <w:p w14:paraId="374655E0" w14:textId="77777777" w:rsidR="00B2442D" w:rsidRDefault="00B2442D">
      <w:pPr>
        <w:ind w:left="284" w:hanging="284"/>
        <w:jc w:val="both"/>
        <w:rPr>
          <w:rFonts w:ascii="Arial" w:hAnsi="Arial" w:cs="Arial"/>
          <w:lang w:val="es-CO"/>
        </w:rPr>
      </w:pPr>
    </w:p>
    <w:p w14:paraId="20593E6E" w14:textId="77777777" w:rsidR="00B2442D" w:rsidRDefault="008A645F">
      <w:pPr>
        <w:ind w:left="284" w:hanging="284"/>
        <w:jc w:val="both"/>
        <w:rPr>
          <w:rFonts w:ascii="Arial" w:hAnsi="Arial" w:cs="Arial"/>
          <w:lang w:val="es-CO"/>
        </w:rPr>
      </w:pPr>
      <w:r>
        <w:rPr>
          <w:rFonts w:ascii="Arial" w:hAnsi="Arial" w:cs="Arial"/>
          <w:lang w:val="es-CO"/>
        </w:rPr>
        <w:t>3. Si está obligada a presentar declaración de renta por el año gravable inmediatamente anterior.</w:t>
      </w:r>
    </w:p>
    <w:p w14:paraId="1ABCC373" w14:textId="77777777" w:rsidR="00B2442D" w:rsidRDefault="00B2442D">
      <w:pPr>
        <w:ind w:left="284" w:hanging="284"/>
        <w:jc w:val="both"/>
        <w:rPr>
          <w:rFonts w:ascii="Arial" w:hAnsi="Arial" w:cs="Arial"/>
          <w:lang w:val="es-CO"/>
        </w:rPr>
      </w:pPr>
    </w:p>
    <w:p w14:paraId="56A2E32D" w14:textId="77777777" w:rsidR="00B2442D" w:rsidRDefault="008A645F">
      <w:pPr>
        <w:ind w:left="284" w:hanging="284"/>
        <w:jc w:val="both"/>
        <w:rPr>
          <w:rFonts w:ascii="Arial" w:hAnsi="Arial" w:cs="Arial"/>
          <w:lang w:val="es-CO"/>
        </w:rPr>
      </w:pPr>
      <w:r>
        <w:rPr>
          <w:rFonts w:ascii="Arial" w:hAnsi="Arial" w:cs="Arial"/>
          <w:lang w:val="es-CO"/>
        </w:rPr>
        <w:t>4. Si sus ingresos totales en el año gravable inmediatamente anterior superaron mil cuatrocientos (1.400) UVT.</w:t>
      </w:r>
    </w:p>
    <w:p w14:paraId="41F20B5E" w14:textId="77777777" w:rsidR="00B2442D" w:rsidRDefault="00B2442D">
      <w:pPr>
        <w:ind w:left="284" w:hanging="284"/>
        <w:jc w:val="both"/>
        <w:rPr>
          <w:rFonts w:ascii="Arial" w:hAnsi="Arial" w:cs="Arial"/>
          <w:lang w:val="es-CO"/>
        </w:rPr>
      </w:pPr>
    </w:p>
    <w:p w14:paraId="7DAADCB4" w14:textId="77777777" w:rsidR="00B2442D" w:rsidRDefault="008A645F">
      <w:pPr>
        <w:ind w:left="284" w:hanging="284"/>
        <w:jc w:val="both"/>
        <w:rPr>
          <w:rFonts w:ascii="Arial" w:hAnsi="Arial" w:cs="Arial"/>
          <w:lang w:val="es-CO"/>
        </w:rPr>
      </w:pPr>
      <w:r>
        <w:rPr>
          <w:rFonts w:ascii="Arial" w:hAnsi="Arial" w:cs="Arial"/>
          <w:lang w:val="es-CO"/>
        </w:rPr>
        <w:t>5. Que en el año</w:t>
      </w:r>
      <w:r>
        <w:rPr>
          <w:rFonts w:ascii="Arial" w:hAnsi="Arial" w:cs="Arial"/>
          <w:lang w:val="es-CO"/>
        </w:rPr>
        <w:t xml:space="preserve"> gravable inmediatamente anterior no desarrolló una de las actividades señaladas en el artículo 340 del Estatuto Tributario o que si la desarrolló no le generó más del veinte por ciento (20%) de sus ingresos brutos.</w:t>
      </w:r>
    </w:p>
    <w:p w14:paraId="1EE1D124" w14:textId="77777777" w:rsidR="00B2442D" w:rsidRDefault="00B2442D">
      <w:pPr>
        <w:ind w:left="284" w:hanging="284"/>
        <w:jc w:val="both"/>
        <w:rPr>
          <w:rFonts w:ascii="Arial" w:hAnsi="Arial" w:cs="Arial"/>
          <w:lang w:val="es-CO"/>
        </w:rPr>
      </w:pPr>
    </w:p>
    <w:p w14:paraId="58210D58" w14:textId="77777777" w:rsidR="00B2442D" w:rsidRDefault="008A645F">
      <w:pPr>
        <w:ind w:left="284" w:hanging="284"/>
        <w:jc w:val="both"/>
        <w:rPr>
          <w:rFonts w:ascii="Arial" w:hAnsi="Arial" w:cs="Arial"/>
          <w:lang w:val="es-CO"/>
        </w:rPr>
      </w:pPr>
      <w:r>
        <w:rPr>
          <w:rFonts w:ascii="Arial" w:hAnsi="Arial" w:cs="Arial"/>
          <w:lang w:val="es-CO"/>
        </w:rPr>
        <w:t>6. Que durante el año gravable inmediat</w:t>
      </w:r>
      <w:r>
        <w:rPr>
          <w:rFonts w:ascii="Arial" w:hAnsi="Arial" w:cs="Arial"/>
          <w:lang w:val="es-CO"/>
        </w:rPr>
        <w:t xml:space="preserve">amente anterior no prestó servicios técnicos que requirieran de materiales o insumos especializados, o maquinaria o equipo especializado, cuyo costo represente más del veinticinco por ciento (25%) del total de los ingresos percibidos por concepto de tales </w:t>
      </w:r>
      <w:r>
        <w:rPr>
          <w:rFonts w:ascii="Arial" w:hAnsi="Arial" w:cs="Arial"/>
          <w:lang w:val="es-CO"/>
        </w:rPr>
        <w:t>servicios técnicos.</w:t>
      </w:r>
    </w:p>
    <w:p w14:paraId="0709DCD0" w14:textId="77777777" w:rsidR="00B2442D" w:rsidRDefault="00B2442D">
      <w:pPr>
        <w:jc w:val="both"/>
        <w:rPr>
          <w:rFonts w:ascii="Arial" w:hAnsi="Arial" w:cs="Arial"/>
          <w:lang w:val="es-CO"/>
        </w:rPr>
      </w:pPr>
    </w:p>
    <w:p w14:paraId="2068C3FF" w14:textId="77777777" w:rsidR="00B2442D" w:rsidRDefault="008A645F">
      <w:pPr>
        <w:jc w:val="both"/>
        <w:rPr>
          <w:rFonts w:ascii="Arial" w:hAnsi="Arial" w:cs="Arial"/>
          <w:lang w:val="es-CO"/>
        </w:rPr>
      </w:pPr>
      <w:r>
        <w:rPr>
          <w:rFonts w:ascii="Arial" w:hAnsi="Arial" w:cs="Arial"/>
          <w:lang w:val="es-CO"/>
        </w:rPr>
        <w:t>La categoría tributaria determinada con base en la información entregada surtirá efecto a partir del primer pago o abono en cuenta posterior a la fecha de entrega. Cuando se dé inicio a una relación laboral, o legal y reglamentaria, y/</w:t>
      </w:r>
      <w:r>
        <w:rPr>
          <w:rFonts w:ascii="Arial" w:hAnsi="Arial" w:cs="Arial"/>
          <w:lang w:val="es-CO"/>
        </w:rPr>
        <w:t>o de prestación de servicios después del 31 de marzo, la información de que trata este artículo deberá ser suministrada antes de que se efectúe el primer pago o abono en cuenta.</w:t>
      </w:r>
    </w:p>
    <w:p w14:paraId="6E33DC75" w14:textId="77777777" w:rsidR="00B2442D" w:rsidRDefault="00B2442D">
      <w:pPr>
        <w:jc w:val="both"/>
        <w:rPr>
          <w:rFonts w:ascii="Arial" w:hAnsi="Arial" w:cs="Arial"/>
          <w:lang w:val="es-CO"/>
        </w:rPr>
      </w:pPr>
    </w:p>
    <w:p w14:paraId="569D7801" w14:textId="77777777" w:rsidR="00B2442D" w:rsidRDefault="008A645F">
      <w:pPr>
        <w:jc w:val="both"/>
        <w:rPr>
          <w:rFonts w:ascii="Arial" w:hAnsi="Arial" w:cs="Arial"/>
          <w:lang w:val="es-CO"/>
        </w:rPr>
      </w:pPr>
      <w:r>
        <w:rPr>
          <w:rFonts w:ascii="Arial" w:hAnsi="Arial" w:cs="Arial"/>
          <w:lang w:val="es-CO"/>
        </w:rPr>
        <w:t>Cuando la persona natural residente no hubiere obtenido ingresos brutos en el</w:t>
      </w:r>
      <w:r>
        <w:rPr>
          <w:rFonts w:ascii="Arial" w:hAnsi="Arial" w:cs="Arial"/>
          <w:lang w:val="es-CO"/>
        </w:rPr>
        <w:t xml:space="preserve"> periodo gravable anterior, le será aplicable el parágrafo del artículo 329 del Estatuto Tributario. No obstante lo anterior, cuando sus ingresos provengan de una relación laboral, o legal y reglamentaria, estarán sometidos a la retención en la fuente que </w:t>
      </w:r>
      <w:r>
        <w:rPr>
          <w:rFonts w:ascii="Arial" w:hAnsi="Arial" w:cs="Arial"/>
          <w:lang w:val="es-CO"/>
        </w:rPr>
        <w:t>resulte de aplicar la tabla de retención prevista en el artículo 383 del Estatuto Tributario, en concordancia con el parágrafo 1° del artículo 1.2.4.1.17 del presente Decreto.</w:t>
      </w:r>
    </w:p>
    <w:p w14:paraId="72118FCF" w14:textId="77777777" w:rsidR="00B2442D" w:rsidRDefault="00B2442D">
      <w:pPr>
        <w:jc w:val="both"/>
        <w:rPr>
          <w:rFonts w:ascii="Arial" w:hAnsi="Arial" w:cs="Arial"/>
          <w:lang w:val="es-CO"/>
        </w:rPr>
      </w:pPr>
    </w:p>
    <w:p w14:paraId="26C6E30D" w14:textId="77777777" w:rsidR="00B2442D" w:rsidRDefault="008A645F">
      <w:pPr>
        <w:jc w:val="both"/>
        <w:rPr>
          <w:rFonts w:ascii="Arial" w:hAnsi="Arial" w:cs="Arial"/>
          <w:lang w:val="es-CO"/>
        </w:rPr>
      </w:pPr>
      <w:r>
        <w:rPr>
          <w:rFonts w:ascii="Arial" w:hAnsi="Arial" w:cs="Arial"/>
          <w:lang w:val="es-CO"/>
        </w:rPr>
        <w:t>Las personas naturales residentes cuyos ingresos no provengan de una vinculació</w:t>
      </w:r>
      <w:r>
        <w:rPr>
          <w:rFonts w:ascii="Arial" w:hAnsi="Arial" w:cs="Arial"/>
          <w:lang w:val="es-CO"/>
        </w:rPr>
        <w:t>n laboral, o legal y reglamentaria estarán sujetas a la retención mayor que resulte de aplicar la tabla del artículo 383 y la tabla del artículo 384 del Estatuto Tributario, independientemente de si son declarantes o no, salvo que entreguen a su contratant</w:t>
      </w:r>
      <w:r>
        <w:rPr>
          <w:rFonts w:ascii="Arial" w:hAnsi="Arial" w:cs="Arial"/>
          <w:lang w:val="es-CO"/>
        </w:rPr>
        <w:t>e la información a que se refiere este artículo y se determine la clasificación de acuerdo con dicha información.</w:t>
      </w:r>
    </w:p>
    <w:p w14:paraId="37011E19" w14:textId="77777777" w:rsidR="00B2442D" w:rsidRDefault="00B2442D">
      <w:pPr>
        <w:jc w:val="both"/>
        <w:rPr>
          <w:rFonts w:ascii="Arial" w:hAnsi="Arial" w:cs="Arial"/>
          <w:lang w:val="es-CO"/>
        </w:rPr>
      </w:pPr>
    </w:p>
    <w:p w14:paraId="40EC7DA6" w14:textId="77777777" w:rsidR="00B2442D" w:rsidRDefault="008A645F">
      <w:pPr>
        <w:jc w:val="both"/>
        <w:rPr>
          <w:rFonts w:ascii="Arial" w:hAnsi="Arial" w:cs="Arial"/>
          <w:lang w:val="es-CO"/>
        </w:rPr>
      </w:pPr>
      <w:r>
        <w:rPr>
          <w:rFonts w:ascii="Arial" w:hAnsi="Arial" w:cs="Arial"/>
          <w:lang w:val="es-CO"/>
        </w:rPr>
        <w:t>Cuando la información se entregue de manera extemporánea, el pagador solamente la tendrá en cuenta para efecto del cálculo de la retención en</w:t>
      </w:r>
      <w:r>
        <w:rPr>
          <w:rFonts w:ascii="Arial" w:hAnsi="Arial" w:cs="Arial"/>
          <w:lang w:val="es-CO"/>
        </w:rPr>
        <w:t xml:space="preserve"> la fuente aplicable a los pagos o a bonos en cuenta que se efectúen con posterioridad a la actualización de la información. No se podrán modificar ni ajustar las retenciones en la fuente practicadas o que hayan debido practicarse con anterioridad a la ent</w:t>
      </w:r>
      <w:r>
        <w:rPr>
          <w:rFonts w:ascii="Arial" w:hAnsi="Arial" w:cs="Arial"/>
          <w:lang w:val="es-CO"/>
        </w:rPr>
        <w:t>rega de la información.</w:t>
      </w:r>
    </w:p>
    <w:p w14:paraId="4B9D179B" w14:textId="77777777" w:rsidR="00B2442D" w:rsidRDefault="00B2442D">
      <w:pPr>
        <w:jc w:val="both"/>
        <w:rPr>
          <w:rFonts w:ascii="Arial" w:hAnsi="Arial" w:cs="Arial"/>
          <w:lang w:val="es-CO"/>
        </w:rPr>
      </w:pPr>
    </w:p>
    <w:p w14:paraId="649F6807" w14:textId="77777777" w:rsidR="00B2442D" w:rsidRDefault="008A645F">
      <w:pPr>
        <w:jc w:val="both"/>
        <w:rPr>
          <w:rFonts w:ascii="Arial" w:hAnsi="Arial" w:cs="Arial"/>
          <w:lang w:val="es-CO"/>
        </w:rPr>
      </w:pPr>
      <w:r>
        <w:rPr>
          <w:rFonts w:ascii="Arial" w:hAnsi="Arial" w:cs="Arial"/>
          <w:lang w:val="es-CO"/>
        </w:rPr>
        <w:t>Cuando la persona natural incumpla con la obligación de entrega de la información de que trata este artículo, el agente de retención deberá informarle a la Unidad Administrativa Especial Dirección de Impuestos y Aduanas Nacionales-</w:t>
      </w:r>
      <w:r>
        <w:rPr>
          <w:rFonts w:ascii="Arial" w:hAnsi="Arial" w:cs="Arial"/>
          <w:lang w:val="es-CO"/>
        </w:rPr>
        <w:t xml:space="preserve"> DIAN, con el fin de que la Administración Tributaria imponga las sanciones pertinentes. La DIAN determinará la forma y el plazo para entrega de la información relativa al incumplimiento.</w:t>
      </w:r>
    </w:p>
    <w:p w14:paraId="5266C2C3" w14:textId="77777777" w:rsidR="00B2442D" w:rsidRDefault="00B2442D">
      <w:pPr>
        <w:jc w:val="both"/>
        <w:rPr>
          <w:rFonts w:ascii="Arial" w:hAnsi="Arial" w:cs="Arial"/>
          <w:lang w:val="es-CO"/>
        </w:rPr>
      </w:pPr>
    </w:p>
    <w:p w14:paraId="4B4A9419" w14:textId="77777777" w:rsidR="00B2442D" w:rsidRDefault="008A645F">
      <w:pPr>
        <w:jc w:val="both"/>
        <w:rPr>
          <w:rFonts w:ascii="Arial" w:hAnsi="Arial" w:cs="Arial"/>
          <w:i/>
          <w:lang w:val="es-CO"/>
        </w:rPr>
      </w:pPr>
      <w:r>
        <w:rPr>
          <w:rFonts w:ascii="Arial" w:hAnsi="Arial" w:cs="Arial"/>
          <w:i/>
          <w:lang w:val="es-CO"/>
        </w:rPr>
        <w:t>(Art. 1, Decreto 1070 de 2013, adicionado por el artículo 6o del De</w:t>
      </w:r>
      <w:r>
        <w:rPr>
          <w:rFonts w:ascii="Arial" w:hAnsi="Arial" w:cs="Arial"/>
          <w:i/>
          <w:lang w:val="es-CO"/>
        </w:rPr>
        <w:t>creto 3032 de 2013. La cifra del numeral 4 se actualizó de conformidad con el numeral 2 del literal a) del artículo 7 del Decreto 2972 de 2013)</w:t>
      </w:r>
    </w:p>
    <w:p w14:paraId="07205415" w14:textId="77777777" w:rsidR="00B2442D" w:rsidRDefault="00B2442D">
      <w:pPr>
        <w:jc w:val="both"/>
        <w:rPr>
          <w:rFonts w:ascii="Arial" w:hAnsi="Arial" w:cs="Arial"/>
          <w:lang w:val="es-CO"/>
        </w:rPr>
      </w:pPr>
    </w:p>
    <w:p w14:paraId="7E466AAA"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Ámbito de aplicación del impuesto mínimo alternativo simple (IMAS) de trabajadores por cuenta propia.</w:t>
      </w:r>
      <w:r>
        <w:rPr>
          <w:rFonts w:ascii="Arial" w:hAnsi="Arial" w:cs="Arial"/>
          <w:lang w:val="es-CO"/>
        </w:rPr>
        <w:t xml:space="preserve"> De acuerd</w:t>
      </w:r>
      <w:r>
        <w:rPr>
          <w:rFonts w:ascii="Arial" w:hAnsi="Arial" w:cs="Arial"/>
          <w:lang w:val="es-CO"/>
        </w:rPr>
        <w:t>o con lo previsto en el parágrafo 1° del artículo 340 del Estatuto Tributario, todas las personas naturales residentes en el país clasificadas en la categoría de trabajadores por cuenta propia, podrán determinar el impuesto sobre la renta mediante el siste</w:t>
      </w:r>
      <w:r>
        <w:rPr>
          <w:rFonts w:ascii="Arial" w:hAnsi="Arial" w:cs="Arial"/>
          <w:lang w:val="es-CO"/>
        </w:rPr>
        <w:t>ma simplificado "Impuesto mínimo alternativo simple (IMAS)", siempre que su Renta Gravable Alternativa (RGA) resulte igual o inferior a veintisiete mil (27.000) UVT en el respectivo periodo gravable.</w:t>
      </w:r>
    </w:p>
    <w:p w14:paraId="6E76EF12" w14:textId="77777777" w:rsidR="00B2442D" w:rsidRDefault="00B2442D">
      <w:pPr>
        <w:jc w:val="both"/>
        <w:rPr>
          <w:rFonts w:ascii="Arial" w:hAnsi="Arial" w:cs="Arial"/>
          <w:lang w:val="es-CO"/>
        </w:rPr>
      </w:pPr>
    </w:p>
    <w:p w14:paraId="63BE745B" w14:textId="77777777" w:rsidR="00B2442D" w:rsidRDefault="008A645F">
      <w:pPr>
        <w:jc w:val="both"/>
        <w:rPr>
          <w:rFonts w:ascii="Arial" w:hAnsi="Arial" w:cs="Arial"/>
          <w:lang w:val="es-CO"/>
        </w:rPr>
      </w:pPr>
      <w:r>
        <w:rPr>
          <w:rFonts w:ascii="Arial" w:hAnsi="Arial" w:cs="Arial"/>
          <w:lang w:val="es-CO"/>
        </w:rPr>
        <w:t xml:space="preserve">Los trabajadores por cuenta propia que opten por </w:t>
      </w:r>
      <w:r>
        <w:rPr>
          <w:rFonts w:ascii="Arial" w:hAnsi="Arial" w:cs="Arial"/>
          <w:lang w:val="es-CO"/>
        </w:rPr>
        <w:t>este sistema, determinarán el impuesto a pagar de acuerdo con las actividades económicas, rangos mínimos y fórmula de liquidación previstos en la tabla contenida en el artículo 340 del Estatuto Tributario. Para tales efectos, cuando la Renta Gravable Alter</w:t>
      </w:r>
      <w:r>
        <w:rPr>
          <w:rFonts w:ascii="Arial" w:hAnsi="Arial" w:cs="Arial"/>
          <w:lang w:val="es-CO"/>
        </w:rPr>
        <w:t>nativa (RGA) sea inferior a los montos mínimos a partir de los cuales comienza cada rango, el valor a aplicar en la fórmula como RGA será el monto mínimo en UVT previsto para cada actividad y, por lo tanto, no habrá impuesto a cargo.</w:t>
      </w:r>
    </w:p>
    <w:p w14:paraId="1C82B9C7" w14:textId="77777777" w:rsidR="00B2442D" w:rsidRDefault="00B2442D">
      <w:pPr>
        <w:jc w:val="both"/>
        <w:rPr>
          <w:rFonts w:ascii="Arial" w:hAnsi="Arial" w:cs="Arial"/>
          <w:lang w:val="es-CO"/>
        </w:rPr>
      </w:pPr>
    </w:p>
    <w:p w14:paraId="5E1DBE4A" w14:textId="77777777" w:rsidR="00B2442D" w:rsidRDefault="008A645F">
      <w:pPr>
        <w:jc w:val="both"/>
        <w:rPr>
          <w:rFonts w:ascii="Arial" w:hAnsi="Arial" w:cs="Arial"/>
          <w:i/>
          <w:lang w:val="es-CO"/>
        </w:rPr>
      </w:pPr>
      <w:r>
        <w:rPr>
          <w:rFonts w:ascii="Arial" w:hAnsi="Arial" w:cs="Arial"/>
          <w:i/>
          <w:lang w:val="es-CO"/>
        </w:rPr>
        <w:t>(Art. 9, Decreto 1070</w:t>
      </w:r>
      <w:r>
        <w:rPr>
          <w:rFonts w:ascii="Arial" w:hAnsi="Arial" w:cs="Arial"/>
          <w:i/>
          <w:lang w:val="es-CO"/>
        </w:rPr>
        <w:t xml:space="preserve"> de 2013)</w:t>
      </w:r>
    </w:p>
    <w:p w14:paraId="361A0329" w14:textId="77777777" w:rsidR="00B2442D" w:rsidRDefault="00B2442D">
      <w:pPr>
        <w:jc w:val="both"/>
        <w:rPr>
          <w:rFonts w:ascii="Arial" w:hAnsi="Arial" w:cs="Arial"/>
          <w:lang w:val="es-CO"/>
        </w:rPr>
      </w:pPr>
    </w:p>
    <w:p w14:paraId="1EF8136A"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Pagos catastróficos en salud.</w:t>
      </w:r>
      <w:r>
        <w:rPr>
          <w:rFonts w:ascii="Arial" w:hAnsi="Arial" w:cs="Arial"/>
          <w:lang w:val="es-CO"/>
        </w:rPr>
        <w:t xml:space="preserve"> Para efectos de lo dispuesto en los artículos 332 y 339 del Estatuto Tributario, se entenderá por pagos catastróficos en salud los gastos de bolsillo en exceso del treinta por ciento (30%) del ingreso bruto anual, s</w:t>
      </w:r>
      <w:r>
        <w:rPr>
          <w:rFonts w:ascii="Arial" w:hAnsi="Arial" w:cs="Arial"/>
          <w:lang w:val="es-CO"/>
        </w:rPr>
        <w:t>iempre que no hayan sido pagados con recursos provenientes de algún régimen del Plan Obligatorio de Salud (POS) ni por planes complementarios, seguros médicos o de medicina prepagada.</w:t>
      </w:r>
    </w:p>
    <w:p w14:paraId="2E0D82FB" w14:textId="77777777" w:rsidR="00B2442D" w:rsidRDefault="00B2442D">
      <w:pPr>
        <w:jc w:val="both"/>
        <w:rPr>
          <w:rFonts w:ascii="Arial" w:hAnsi="Arial" w:cs="Arial"/>
          <w:lang w:val="es-CO"/>
        </w:rPr>
      </w:pPr>
    </w:p>
    <w:p w14:paraId="576696DF" w14:textId="77777777" w:rsidR="00B2442D" w:rsidRDefault="008A645F">
      <w:pPr>
        <w:jc w:val="both"/>
        <w:rPr>
          <w:rFonts w:ascii="Arial" w:hAnsi="Arial" w:cs="Arial"/>
          <w:lang w:val="es-CO"/>
        </w:rPr>
      </w:pPr>
      <w:r>
        <w:rPr>
          <w:rFonts w:ascii="Arial" w:hAnsi="Arial" w:cs="Arial"/>
          <w:lang w:val="es-CO"/>
        </w:rPr>
        <w:t>La deducción corresponderá al mayor valor entre cero y gasto de bolsill</w:t>
      </w:r>
      <w:r>
        <w:rPr>
          <w:rFonts w:ascii="Arial" w:hAnsi="Arial" w:cs="Arial"/>
          <w:lang w:val="es-CO"/>
        </w:rPr>
        <w:t>o en salud - 0.3 * Ingreso bruto anual. Esta deducción así calculada en ningún caso podrá superar el menor valor entre el sesenta por ciento (60%) del ingreso bruto anual y dos mil trescientas (2.300) UVT.</w:t>
      </w:r>
    </w:p>
    <w:p w14:paraId="15B6D1FD" w14:textId="77777777" w:rsidR="00B2442D" w:rsidRDefault="00B2442D">
      <w:pPr>
        <w:jc w:val="both"/>
        <w:rPr>
          <w:rFonts w:ascii="Arial" w:hAnsi="Arial" w:cs="Arial"/>
          <w:lang w:val="es-CO"/>
        </w:rPr>
      </w:pPr>
    </w:p>
    <w:p w14:paraId="21A29CBF" w14:textId="77777777" w:rsidR="00B2442D" w:rsidRDefault="008A645F">
      <w:pPr>
        <w:jc w:val="both"/>
        <w:rPr>
          <w:rFonts w:ascii="Arial" w:hAnsi="Arial" w:cs="Arial"/>
          <w:lang w:val="es-CO"/>
        </w:rPr>
      </w:pPr>
      <w:r>
        <w:rPr>
          <w:rFonts w:ascii="Arial" w:hAnsi="Arial" w:cs="Arial"/>
          <w:lang w:val="es-CO"/>
        </w:rPr>
        <w:t>Estos pagos deberán estar sustentados en soportes</w:t>
      </w:r>
      <w:r>
        <w:rPr>
          <w:rFonts w:ascii="Arial" w:hAnsi="Arial" w:cs="Arial"/>
          <w:lang w:val="es-CO"/>
        </w:rPr>
        <w:t xml:space="preserve"> médicos y con factura o documento equivalente o el documento expedido por las personas no obligadas a facturar en los términos del inciso 3o del artículo 771-2 del Estatuto Tributario. Los gastos de bolsillo efectuados en el exterior, en establecimientos </w:t>
      </w:r>
      <w:r>
        <w:rPr>
          <w:rFonts w:ascii="Arial" w:hAnsi="Arial" w:cs="Arial"/>
          <w:lang w:val="es-CO"/>
        </w:rPr>
        <w:t>reconocidos por la autoridad local competente, serán deducibles en los términos del presente artículo.</w:t>
      </w:r>
    </w:p>
    <w:p w14:paraId="766409F3" w14:textId="77777777" w:rsidR="00B2442D" w:rsidRDefault="00B2442D">
      <w:pPr>
        <w:jc w:val="both"/>
        <w:rPr>
          <w:rFonts w:ascii="Arial" w:hAnsi="Arial" w:cs="Arial"/>
          <w:lang w:val="es-CO"/>
        </w:rPr>
      </w:pPr>
    </w:p>
    <w:p w14:paraId="76DEA2D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lo previsto en el presente artículo, gastos de bolsillo son todos aquellos hechos por las personas para el cuidado de su salud, que no sean cubiertos ni reembolsados por el Sistema General de Seguridad Social en Salud o por terceros, exclu</w:t>
      </w:r>
      <w:r>
        <w:rPr>
          <w:rFonts w:ascii="Arial" w:hAnsi="Arial" w:cs="Arial"/>
          <w:lang w:val="es-CO"/>
        </w:rPr>
        <w:t>yendo gastos en aseo personal y transporte.</w:t>
      </w:r>
    </w:p>
    <w:p w14:paraId="5619095C" w14:textId="77777777" w:rsidR="00B2442D" w:rsidRDefault="00B2442D">
      <w:pPr>
        <w:jc w:val="both"/>
        <w:rPr>
          <w:rFonts w:ascii="Arial" w:hAnsi="Arial" w:cs="Arial"/>
          <w:lang w:val="es-CO"/>
        </w:rPr>
      </w:pPr>
    </w:p>
    <w:p w14:paraId="1988FBBF" w14:textId="77777777" w:rsidR="00B2442D" w:rsidRDefault="008A645F">
      <w:pPr>
        <w:jc w:val="both"/>
        <w:rPr>
          <w:rFonts w:ascii="Arial" w:hAnsi="Arial" w:cs="Arial"/>
          <w:i/>
          <w:lang w:val="es-CO"/>
        </w:rPr>
      </w:pPr>
      <w:r>
        <w:rPr>
          <w:rFonts w:ascii="Arial" w:hAnsi="Arial" w:cs="Arial"/>
          <w:i/>
          <w:lang w:val="es-CO"/>
        </w:rPr>
        <w:t>(Art. 10, Decreto 1070 de 2013)</w:t>
      </w:r>
    </w:p>
    <w:p w14:paraId="372E8263" w14:textId="77777777" w:rsidR="00B2442D" w:rsidRDefault="00B2442D">
      <w:pPr>
        <w:jc w:val="both"/>
        <w:rPr>
          <w:rFonts w:ascii="Arial" w:hAnsi="Arial" w:cs="Arial"/>
          <w:i/>
          <w:lang w:val="es-CO"/>
        </w:rPr>
      </w:pPr>
    </w:p>
    <w:p w14:paraId="0E4CEC0E"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 xml:space="preserve"> Definiciones.</w:t>
      </w:r>
      <w:r>
        <w:rPr>
          <w:rFonts w:ascii="Arial" w:hAnsi="Arial" w:cs="Arial"/>
          <w:lang w:val="es-CO"/>
        </w:rPr>
        <w:t xml:space="preserve"> Para efectos de los artículos 1.2.1.20.4 al 1.2.1.20.9 y 1.2.4.1.7 del presente Decreto, se entiende por:</w:t>
      </w:r>
    </w:p>
    <w:p w14:paraId="380891A1" w14:textId="77777777" w:rsidR="00B2442D" w:rsidRDefault="00B2442D">
      <w:pPr>
        <w:jc w:val="both"/>
        <w:rPr>
          <w:rFonts w:ascii="Arial" w:hAnsi="Arial" w:cs="Arial"/>
          <w:lang w:val="es-CO"/>
        </w:rPr>
      </w:pPr>
    </w:p>
    <w:p w14:paraId="3BC79E56" w14:textId="77777777" w:rsidR="00B2442D" w:rsidRDefault="008A645F">
      <w:pPr>
        <w:jc w:val="both"/>
        <w:rPr>
          <w:rFonts w:ascii="Arial" w:hAnsi="Arial" w:cs="Arial"/>
          <w:lang w:val="es-CO"/>
        </w:rPr>
      </w:pPr>
      <w:r>
        <w:rPr>
          <w:rFonts w:ascii="Arial" w:hAnsi="Arial" w:cs="Arial"/>
          <w:b/>
          <w:lang w:val="es-CO"/>
        </w:rPr>
        <w:t>Servicio personal:</w:t>
      </w:r>
      <w:r>
        <w:rPr>
          <w:rFonts w:ascii="Arial" w:hAnsi="Arial" w:cs="Arial"/>
          <w:lang w:val="es-CO"/>
        </w:rPr>
        <w:t xml:space="preserve"> Se considera servicio personal toda a</w:t>
      </w:r>
      <w:r>
        <w:rPr>
          <w:rFonts w:ascii="Arial" w:hAnsi="Arial" w:cs="Arial"/>
          <w:lang w:val="es-CO"/>
        </w:rPr>
        <w:t>ctividad, labor o trabajo prestado directamente por una persona natural, que se concreta en una obligación de hacer, sin importar que en la misma predomine el factor material o intelectual, y que genera una contraprestación en dinero o en especie, independ</w:t>
      </w:r>
      <w:r>
        <w:rPr>
          <w:rFonts w:ascii="Arial" w:hAnsi="Arial" w:cs="Arial"/>
          <w:lang w:val="es-CO"/>
        </w:rPr>
        <w:t>ientemente de su denominación o forma de remuneración.</w:t>
      </w:r>
    </w:p>
    <w:p w14:paraId="741222B4" w14:textId="77777777" w:rsidR="00B2442D" w:rsidRDefault="00B2442D">
      <w:pPr>
        <w:jc w:val="both"/>
        <w:rPr>
          <w:rFonts w:ascii="Arial" w:hAnsi="Arial" w:cs="Arial"/>
          <w:lang w:val="es-CO"/>
        </w:rPr>
      </w:pPr>
    </w:p>
    <w:p w14:paraId="76CA4EF2" w14:textId="77777777" w:rsidR="00B2442D" w:rsidRDefault="008A645F">
      <w:pPr>
        <w:jc w:val="both"/>
        <w:rPr>
          <w:rFonts w:ascii="Arial" w:hAnsi="Arial" w:cs="Arial"/>
          <w:lang w:val="es-CO"/>
        </w:rPr>
      </w:pPr>
      <w:r>
        <w:rPr>
          <w:rFonts w:ascii="Arial" w:hAnsi="Arial" w:cs="Arial"/>
          <w:b/>
          <w:lang w:val="es-CO"/>
        </w:rPr>
        <w:t xml:space="preserve">Profesión liberal: </w:t>
      </w:r>
      <w:r>
        <w:rPr>
          <w:rFonts w:ascii="Arial" w:hAnsi="Arial" w:cs="Arial"/>
          <w:lang w:val="es-CO"/>
        </w:rPr>
        <w:t>Se entiende por profesión liberal, toda actividad personal en la cual predomina el ejercicio del intelecto, reconocida por el Estado y para cuyo ejercicio se requiere:</w:t>
      </w:r>
    </w:p>
    <w:p w14:paraId="4A4387FC" w14:textId="77777777" w:rsidR="00B2442D" w:rsidRDefault="00B2442D">
      <w:pPr>
        <w:jc w:val="both"/>
        <w:rPr>
          <w:rFonts w:ascii="Arial" w:hAnsi="Arial" w:cs="Arial"/>
          <w:lang w:val="es-CO"/>
        </w:rPr>
      </w:pPr>
    </w:p>
    <w:p w14:paraId="1BC4A1F2"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 xml:space="preserve"> Habilita</w:t>
      </w:r>
      <w:r>
        <w:rPr>
          <w:rFonts w:ascii="Arial" w:hAnsi="Arial" w:cs="Arial"/>
          <w:lang w:val="es-CO"/>
        </w:rPr>
        <w:t>ción mediante título académico de estudios y grado de educación superior; o habilitación Estatal para las personas que sin título profesional fueron autorizadas para ejercer.</w:t>
      </w:r>
    </w:p>
    <w:p w14:paraId="61857AC2" w14:textId="77777777" w:rsidR="00B2442D" w:rsidRDefault="00B2442D">
      <w:pPr>
        <w:jc w:val="both"/>
        <w:rPr>
          <w:rFonts w:ascii="Arial" w:hAnsi="Arial" w:cs="Arial"/>
          <w:lang w:val="es-CO"/>
        </w:rPr>
      </w:pPr>
    </w:p>
    <w:p w14:paraId="58C34702"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 xml:space="preserve"> Inscripción en el registro nacional que las autoridades estatales de vigilan</w:t>
      </w:r>
      <w:r>
        <w:rPr>
          <w:rFonts w:ascii="Arial" w:hAnsi="Arial" w:cs="Arial"/>
          <w:lang w:val="es-CO"/>
        </w:rPr>
        <w:t>cia, control y disciplinarias lleven conforme con la ley que regula la profesión liberal de que se trate, cuando la misma esté oficialmente reglada.</w:t>
      </w:r>
    </w:p>
    <w:p w14:paraId="5687EC18" w14:textId="77777777" w:rsidR="00B2442D" w:rsidRDefault="00B2442D">
      <w:pPr>
        <w:jc w:val="both"/>
        <w:rPr>
          <w:rFonts w:ascii="Arial" w:hAnsi="Arial" w:cs="Arial"/>
          <w:lang w:val="es-CO"/>
        </w:rPr>
      </w:pPr>
    </w:p>
    <w:p w14:paraId="377942CA" w14:textId="77777777" w:rsidR="00B2442D" w:rsidRDefault="008A645F">
      <w:pPr>
        <w:jc w:val="both"/>
        <w:rPr>
          <w:rFonts w:ascii="Arial" w:hAnsi="Arial" w:cs="Arial"/>
          <w:lang w:val="es-CO"/>
        </w:rPr>
      </w:pPr>
      <w:r>
        <w:rPr>
          <w:rFonts w:ascii="Arial" w:hAnsi="Arial" w:cs="Arial"/>
          <w:lang w:val="es-CO"/>
        </w:rPr>
        <w:t xml:space="preserve">Se entiende que una persona ejerce una profesión liberal cuando realiza labores propias de tal profesión, </w:t>
      </w:r>
      <w:r>
        <w:rPr>
          <w:rFonts w:ascii="Arial" w:hAnsi="Arial" w:cs="Arial"/>
          <w:lang w:val="es-CO"/>
        </w:rPr>
        <w:t>independientemente de si tiene las habilitaciones o registros establecidos en las normas vigentes.</w:t>
      </w:r>
    </w:p>
    <w:p w14:paraId="420412B4" w14:textId="77777777" w:rsidR="00B2442D" w:rsidRDefault="00B2442D">
      <w:pPr>
        <w:jc w:val="both"/>
        <w:rPr>
          <w:rFonts w:ascii="Arial" w:hAnsi="Arial" w:cs="Arial"/>
          <w:lang w:val="es-CO"/>
        </w:rPr>
      </w:pPr>
    </w:p>
    <w:p w14:paraId="314E5CA2" w14:textId="77777777" w:rsidR="00B2442D" w:rsidRDefault="008A645F">
      <w:pPr>
        <w:jc w:val="both"/>
        <w:rPr>
          <w:rFonts w:ascii="Arial" w:hAnsi="Arial" w:cs="Arial"/>
          <w:lang w:val="es-CO"/>
        </w:rPr>
      </w:pPr>
      <w:r>
        <w:rPr>
          <w:rFonts w:ascii="Arial" w:hAnsi="Arial" w:cs="Arial"/>
          <w:b/>
          <w:lang w:val="es-CO"/>
        </w:rPr>
        <w:t xml:space="preserve">Servicio técnico: </w:t>
      </w:r>
      <w:r>
        <w:rPr>
          <w:rFonts w:ascii="Arial" w:hAnsi="Arial" w:cs="Arial"/>
          <w:lang w:val="es-CO"/>
        </w:rPr>
        <w:t xml:space="preserve">Se considera servicio técnico la actividad, labor o trabajo prestado directamente por una persona natural mediante contrato de </w:t>
      </w:r>
      <w:r>
        <w:rPr>
          <w:rFonts w:ascii="Arial" w:hAnsi="Arial" w:cs="Arial"/>
          <w:lang w:val="es-CO"/>
        </w:rPr>
        <w:t xml:space="preserve">prestación de servicios personales para la utilización de conocimientos aplicados por medio del ejercicio de un arte, oficio o técnica, sin transferencia de dicho conocimiento. Los servicios prestados en ejercicio de una profesión liberal no se consideran </w:t>
      </w:r>
      <w:r>
        <w:rPr>
          <w:rFonts w:ascii="Arial" w:hAnsi="Arial" w:cs="Arial"/>
          <w:lang w:val="es-CO"/>
        </w:rPr>
        <w:t>servicios técnicos.</w:t>
      </w:r>
    </w:p>
    <w:p w14:paraId="26447324" w14:textId="77777777" w:rsidR="00B2442D" w:rsidRDefault="00B2442D">
      <w:pPr>
        <w:jc w:val="both"/>
        <w:rPr>
          <w:rFonts w:ascii="Arial" w:hAnsi="Arial" w:cs="Arial"/>
          <w:lang w:val="es-CO"/>
        </w:rPr>
      </w:pPr>
    </w:p>
    <w:p w14:paraId="2B020013" w14:textId="77777777" w:rsidR="00B2442D" w:rsidRDefault="008A645F">
      <w:pPr>
        <w:jc w:val="both"/>
        <w:rPr>
          <w:rFonts w:ascii="Arial" w:hAnsi="Arial" w:cs="Arial"/>
          <w:lang w:val="es-CO"/>
        </w:rPr>
      </w:pPr>
      <w:r>
        <w:rPr>
          <w:rFonts w:ascii="Arial" w:hAnsi="Arial" w:cs="Arial"/>
          <w:b/>
          <w:lang w:val="es-CO"/>
        </w:rPr>
        <w:t>Insumos o materiales especializados:</w:t>
      </w:r>
      <w:r>
        <w:rPr>
          <w:rFonts w:ascii="Arial" w:hAnsi="Arial" w:cs="Arial"/>
          <w:lang w:val="es-CO"/>
        </w:rPr>
        <w:t xml:space="preserve"> Aquellos elementos tangibles y consumibles, adquiridos y utilizados únicamente para la prestación del servicio o la realización de la actividad económica que es fuente principal de su ingreso, y no </w:t>
      </w:r>
      <w:r>
        <w:rPr>
          <w:rFonts w:ascii="Arial" w:hAnsi="Arial" w:cs="Arial"/>
          <w:lang w:val="es-CO"/>
        </w:rPr>
        <w:t>con otros fines personales, comerciales o de otra índole, y para cuya utilización, manipulación o aplicación se requiere un específico conocimiento técnico o tecnológico.</w:t>
      </w:r>
    </w:p>
    <w:p w14:paraId="06C9A422" w14:textId="77777777" w:rsidR="00B2442D" w:rsidRDefault="00B2442D">
      <w:pPr>
        <w:jc w:val="both"/>
        <w:rPr>
          <w:rFonts w:ascii="Arial" w:hAnsi="Arial" w:cs="Arial"/>
          <w:lang w:val="es-CO"/>
        </w:rPr>
      </w:pPr>
    </w:p>
    <w:p w14:paraId="00AA6DEB" w14:textId="77777777" w:rsidR="00B2442D" w:rsidRDefault="008A645F">
      <w:pPr>
        <w:jc w:val="both"/>
        <w:rPr>
          <w:rFonts w:ascii="Arial" w:hAnsi="Arial" w:cs="Arial"/>
          <w:lang w:val="es-CO"/>
        </w:rPr>
      </w:pPr>
      <w:r>
        <w:rPr>
          <w:rFonts w:ascii="Arial" w:hAnsi="Arial" w:cs="Arial"/>
          <w:b/>
          <w:lang w:val="es-CO"/>
        </w:rPr>
        <w:t>Maquinaria o equipo especializado:</w:t>
      </w:r>
      <w:r>
        <w:rPr>
          <w:rFonts w:ascii="Arial" w:hAnsi="Arial" w:cs="Arial"/>
          <w:lang w:val="es-CO"/>
        </w:rPr>
        <w:t xml:space="preserve"> El conjunto de instrumentos, aparatos o dispositi</w:t>
      </w:r>
      <w:r>
        <w:rPr>
          <w:rFonts w:ascii="Arial" w:hAnsi="Arial" w:cs="Arial"/>
          <w:lang w:val="es-CO"/>
        </w:rPr>
        <w:t>vos tangibles, adquiridos y utilizados únicamente para el desempeño del servicio o la realización de la actividad económica que es fuente principal de su ingreso, y no con otros fines personales, comerciales o de otra índole, y para cuya utilización, manip</w:t>
      </w:r>
      <w:r>
        <w:rPr>
          <w:rFonts w:ascii="Arial" w:hAnsi="Arial" w:cs="Arial"/>
          <w:lang w:val="es-CO"/>
        </w:rPr>
        <w:t>ulación o aplicación se requiere un específico conocimiento técnico o tecnológico.</w:t>
      </w:r>
    </w:p>
    <w:p w14:paraId="25478160" w14:textId="77777777" w:rsidR="00B2442D" w:rsidRDefault="00B2442D">
      <w:pPr>
        <w:jc w:val="both"/>
        <w:rPr>
          <w:rFonts w:ascii="Arial" w:hAnsi="Arial" w:cs="Arial"/>
          <w:lang w:val="es-CO"/>
        </w:rPr>
      </w:pPr>
    </w:p>
    <w:p w14:paraId="433B11C6" w14:textId="77777777" w:rsidR="00B2442D" w:rsidRDefault="008A645F">
      <w:pPr>
        <w:jc w:val="both"/>
        <w:rPr>
          <w:rFonts w:ascii="Arial" w:hAnsi="Arial" w:cs="Arial"/>
          <w:b/>
          <w:lang w:val="es-CO"/>
        </w:rPr>
      </w:pPr>
      <w:r>
        <w:rPr>
          <w:rFonts w:ascii="Arial" w:hAnsi="Arial" w:cs="Arial"/>
          <w:b/>
          <w:lang w:val="es-CO"/>
        </w:rPr>
        <w:t>Cuenta y riesgo propio:</w:t>
      </w:r>
    </w:p>
    <w:p w14:paraId="4C25AC5D" w14:textId="77777777" w:rsidR="00B2442D" w:rsidRDefault="00B2442D">
      <w:pPr>
        <w:jc w:val="both"/>
        <w:rPr>
          <w:rFonts w:ascii="Arial" w:hAnsi="Arial" w:cs="Arial"/>
          <w:lang w:val="es-CO"/>
        </w:rPr>
      </w:pPr>
    </w:p>
    <w:p w14:paraId="5C523C42" w14:textId="77777777" w:rsidR="00B2442D" w:rsidRDefault="008A645F">
      <w:pPr>
        <w:jc w:val="both"/>
        <w:rPr>
          <w:rFonts w:ascii="Arial" w:hAnsi="Arial" w:cs="Arial"/>
          <w:lang w:val="es-CO"/>
        </w:rPr>
      </w:pPr>
      <w:r>
        <w:rPr>
          <w:rFonts w:ascii="Arial" w:hAnsi="Arial" w:cs="Arial"/>
          <w:lang w:val="es-CO"/>
        </w:rPr>
        <w:t>1. Una persona natural presta servicios personales por cuenta y riesgo propio si cumple la totalidad de las siguientes condiciones:</w:t>
      </w:r>
    </w:p>
    <w:p w14:paraId="59DE8CF6" w14:textId="77777777" w:rsidR="00B2442D" w:rsidRDefault="00B2442D">
      <w:pPr>
        <w:jc w:val="both"/>
        <w:rPr>
          <w:rFonts w:ascii="Arial" w:hAnsi="Arial" w:cs="Arial"/>
          <w:lang w:val="es-CO"/>
        </w:rPr>
      </w:pPr>
    </w:p>
    <w:p w14:paraId="49D2A32A"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Asume las </w:t>
      </w:r>
      <w:r>
        <w:rPr>
          <w:rFonts w:ascii="Arial" w:hAnsi="Arial" w:cs="Arial"/>
          <w:lang w:val="es-CO"/>
        </w:rPr>
        <w:t>pérdidas monetarias que resulten de la prestación del servicio;</w:t>
      </w:r>
    </w:p>
    <w:p w14:paraId="30CA6E61" w14:textId="77777777" w:rsidR="00B2442D" w:rsidRDefault="00B2442D">
      <w:pPr>
        <w:ind w:left="426" w:hanging="426"/>
        <w:jc w:val="both"/>
        <w:rPr>
          <w:rFonts w:ascii="Arial" w:hAnsi="Arial" w:cs="Arial"/>
          <w:lang w:val="es-CO"/>
        </w:rPr>
      </w:pPr>
    </w:p>
    <w:p w14:paraId="60F95D32"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Asume la responsabilidad ante terceros por errores o fallas en la prestación del servicio;</w:t>
      </w:r>
    </w:p>
    <w:p w14:paraId="59793ED3" w14:textId="77777777" w:rsidR="00B2442D" w:rsidRDefault="00B2442D">
      <w:pPr>
        <w:ind w:left="426" w:hanging="426"/>
        <w:jc w:val="both"/>
        <w:rPr>
          <w:rFonts w:ascii="Arial" w:hAnsi="Arial" w:cs="Arial"/>
          <w:lang w:val="es-CO"/>
        </w:rPr>
      </w:pPr>
    </w:p>
    <w:p w14:paraId="1B6C0191"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 Sus ingresos por concepto de esos servicios provienen de más de un contratante o pagador, c</w:t>
      </w:r>
      <w:r>
        <w:rPr>
          <w:rFonts w:ascii="Arial" w:hAnsi="Arial" w:cs="Arial"/>
          <w:lang w:val="es-CO"/>
        </w:rPr>
        <w:t>uyos contratos deben ser simultáneos al menos durante un mes del periodo gravable, y</w:t>
      </w:r>
    </w:p>
    <w:p w14:paraId="1984D425" w14:textId="77777777" w:rsidR="00B2442D" w:rsidRDefault="00B2442D">
      <w:pPr>
        <w:ind w:left="426" w:hanging="426"/>
        <w:jc w:val="both"/>
        <w:rPr>
          <w:rFonts w:ascii="Arial" w:hAnsi="Arial" w:cs="Arial"/>
          <w:lang w:val="es-CO"/>
        </w:rPr>
      </w:pPr>
    </w:p>
    <w:p w14:paraId="17CB5953"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 Incurre en costos y gastos fijos y necesarios para la prestación de tales servicios, no relacionados directamente con algún contrato específico, que representan al me</w:t>
      </w:r>
      <w:r>
        <w:rPr>
          <w:rFonts w:ascii="Arial" w:hAnsi="Arial" w:cs="Arial"/>
          <w:lang w:val="es-CO"/>
        </w:rPr>
        <w:t>nos el veinticinco por ciento (25%) del total de los ingresos por servicios percibidos por la persona en el respectivo año gravable.</w:t>
      </w:r>
    </w:p>
    <w:p w14:paraId="6F2E7C5F" w14:textId="77777777" w:rsidR="00B2442D" w:rsidRDefault="00B2442D">
      <w:pPr>
        <w:jc w:val="both"/>
        <w:rPr>
          <w:rFonts w:ascii="Arial" w:hAnsi="Arial" w:cs="Arial"/>
          <w:lang w:val="es-CO"/>
        </w:rPr>
      </w:pPr>
    </w:p>
    <w:p w14:paraId="656643B1" w14:textId="77777777" w:rsidR="00B2442D" w:rsidRDefault="008A645F">
      <w:pPr>
        <w:ind w:left="284" w:hanging="284"/>
        <w:jc w:val="both"/>
        <w:rPr>
          <w:rFonts w:ascii="Arial" w:hAnsi="Arial" w:cs="Arial"/>
          <w:lang w:val="es-CO"/>
        </w:rPr>
      </w:pPr>
      <w:r>
        <w:rPr>
          <w:rFonts w:ascii="Arial" w:hAnsi="Arial" w:cs="Arial"/>
          <w:lang w:val="es-CO"/>
        </w:rPr>
        <w:t>2. Una persona natural realiza actividades económicas por cuenta y riesgo propio, distintas a la prestación de servicios p</w:t>
      </w:r>
      <w:r>
        <w:rPr>
          <w:rFonts w:ascii="Arial" w:hAnsi="Arial" w:cs="Arial"/>
          <w:lang w:val="es-CO"/>
        </w:rPr>
        <w:t>ersonales, si cumple la totalidad de las siguientes condiciones:</w:t>
      </w:r>
    </w:p>
    <w:p w14:paraId="1F3FCED2" w14:textId="77777777" w:rsidR="00B2442D" w:rsidRDefault="00B2442D">
      <w:pPr>
        <w:jc w:val="both"/>
        <w:rPr>
          <w:rFonts w:ascii="Arial" w:hAnsi="Arial" w:cs="Arial"/>
          <w:lang w:val="es-CO"/>
        </w:rPr>
      </w:pPr>
    </w:p>
    <w:p w14:paraId="6DEE08E1"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Asume las pérdidas monetarias que resulten de la realización de la actividad;</w:t>
      </w:r>
    </w:p>
    <w:p w14:paraId="5FD7A196" w14:textId="77777777" w:rsidR="00B2442D" w:rsidRDefault="00B2442D">
      <w:pPr>
        <w:ind w:left="284" w:hanging="284"/>
        <w:jc w:val="both"/>
        <w:rPr>
          <w:rFonts w:ascii="Arial" w:hAnsi="Arial" w:cs="Arial"/>
          <w:lang w:val="es-CO"/>
        </w:rPr>
      </w:pPr>
    </w:p>
    <w:p w14:paraId="6E5EEF73"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Asume la responsabilidad ante terceros por errores o fallas en la realización de la actividad, y</w:t>
      </w:r>
    </w:p>
    <w:p w14:paraId="4B150790" w14:textId="77777777" w:rsidR="00B2442D" w:rsidRDefault="00B2442D">
      <w:pPr>
        <w:ind w:left="284" w:hanging="284"/>
        <w:jc w:val="both"/>
        <w:rPr>
          <w:rFonts w:ascii="Arial" w:hAnsi="Arial" w:cs="Arial"/>
          <w:lang w:val="es-CO"/>
        </w:rPr>
      </w:pPr>
    </w:p>
    <w:p w14:paraId="00CFF1A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S</w:t>
      </w:r>
      <w:r>
        <w:rPr>
          <w:rFonts w:ascii="Arial" w:hAnsi="Arial" w:cs="Arial"/>
          <w:lang w:val="es-CO"/>
        </w:rPr>
        <w:t>us ingresos por concepto de esos servicios provienen de más de un contratante o pagador, cuyos contratos deben ser simultáneos al menos durante un (1) mes del periodo gravable.</w:t>
      </w:r>
    </w:p>
    <w:p w14:paraId="4476ABC6" w14:textId="77777777" w:rsidR="00B2442D" w:rsidRDefault="00B2442D">
      <w:pPr>
        <w:jc w:val="both"/>
        <w:rPr>
          <w:rFonts w:ascii="Arial" w:hAnsi="Arial" w:cs="Arial"/>
          <w:lang w:val="es-CO"/>
        </w:rPr>
      </w:pPr>
    </w:p>
    <w:p w14:paraId="17A89A6F" w14:textId="77777777" w:rsidR="00B2442D" w:rsidRDefault="008A645F">
      <w:pPr>
        <w:jc w:val="both"/>
        <w:rPr>
          <w:rFonts w:ascii="Arial" w:hAnsi="Arial" w:cs="Arial"/>
          <w:i/>
          <w:lang w:val="es-CO"/>
        </w:rPr>
      </w:pPr>
      <w:r>
        <w:rPr>
          <w:rFonts w:ascii="Arial" w:hAnsi="Arial" w:cs="Arial"/>
          <w:i/>
          <w:lang w:val="es-CO"/>
        </w:rPr>
        <w:t>(Art. 1, Decreto 3032 de 2013)</w:t>
      </w:r>
    </w:p>
    <w:p w14:paraId="3A39488D" w14:textId="77777777" w:rsidR="00B2442D" w:rsidRDefault="00B2442D">
      <w:pPr>
        <w:jc w:val="both"/>
        <w:rPr>
          <w:rFonts w:ascii="Arial" w:hAnsi="Arial" w:cs="Arial"/>
          <w:lang w:val="es-CO"/>
        </w:rPr>
      </w:pPr>
    </w:p>
    <w:p w14:paraId="42A113DA"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Empleado.</w:t>
      </w:r>
      <w:r>
        <w:rPr>
          <w:rFonts w:ascii="Arial" w:hAnsi="Arial" w:cs="Arial"/>
          <w:lang w:val="es-CO"/>
        </w:rPr>
        <w:t xml:space="preserve"> Una persona natural residente en el país se considera empleado para efectos tributarios si en el respectivo año gravable cumple con uno (1) de los tres (3) conjuntos de condiciones siguientes:</w:t>
      </w:r>
    </w:p>
    <w:p w14:paraId="388368BD" w14:textId="77777777" w:rsidR="00B2442D" w:rsidRDefault="00B2442D">
      <w:pPr>
        <w:jc w:val="both"/>
        <w:rPr>
          <w:rFonts w:ascii="Arial" w:hAnsi="Arial" w:cs="Arial"/>
          <w:lang w:val="es-CO"/>
        </w:rPr>
      </w:pPr>
    </w:p>
    <w:p w14:paraId="2455ECA2" w14:textId="77777777" w:rsidR="00B2442D" w:rsidRDefault="008A645F">
      <w:pPr>
        <w:jc w:val="both"/>
        <w:rPr>
          <w:rFonts w:ascii="Arial" w:hAnsi="Arial" w:cs="Arial"/>
          <w:b/>
          <w:lang w:val="es-CO"/>
        </w:rPr>
      </w:pPr>
      <w:r>
        <w:rPr>
          <w:rFonts w:ascii="Arial" w:hAnsi="Arial" w:cs="Arial"/>
          <w:b/>
          <w:lang w:val="es-CO"/>
        </w:rPr>
        <w:t>1. Conjunto 1:</w:t>
      </w:r>
    </w:p>
    <w:p w14:paraId="0F63D1C1" w14:textId="77777777" w:rsidR="00B2442D" w:rsidRDefault="00B2442D">
      <w:pPr>
        <w:jc w:val="both"/>
        <w:rPr>
          <w:rFonts w:ascii="Arial" w:hAnsi="Arial" w:cs="Arial"/>
          <w:lang w:val="es-CO"/>
        </w:rPr>
      </w:pPr>
    </w:p>
    <w:p w14:paraId="037296DC" w14:textId="77777777" w:rsidR="00B2442D" w:rsidRDefault="008A645F">
      <w:pPr>
        <w:jc w:val="both"/>
        <w:rPr>
          <w:rFonts w:ascii="Arial" w:hAnsi="Arial" w:cs="Arial"/>
          <w:lang w:val="es-CO"/>
        </w:rPr>
      </w:pPr>
      <w:r>
        <w:rPr>
          <w:rFonts w:ascii="Arial" w:hAnsi="Arial" w:cs="Arial"/>
          <w:lang w:val="es-CO"/>
        </w:rPr>
        <w:t>Sus ingresos brutos provienen, en una proporc</w:t>
      </w:r>
      <w:r>
        <w:rPr>
          <w:rFonts w:ascii="Arial" w:hAnsi="Arial" w:cs="Arial"/>
          <w:lang w:val="es-CO"/>
        </w:rPr>
        <w:t>ión igual o superior a un ochenta por ciento (80%), de una vinculación laboral o legal y reglamentaria, independientemente de su denominación.</w:t>
      </w:r>
    </w:p>
    <w:p w14:paraId="5E121CCF" w14:textId="77777777" w:rsidR="00B2442D" w:rsidRDefault="00B2442D">
      <w:pPr>
        <w:jc w:val="both"/>
        <w:rPr>
          <w:rFonts w:ascii="Arial" w:hAnsi="Arial" w:cs="Arial"/>
          <w:b/>
          <w:lang w:val="es-CO"/>
        </w:rPr>
      </w:pPr>
    </w:p>
    <w:p w14:paraId="77E81573" w14:textId="77777777" w:rsidR="00B2442D" w:rsidRDefault="008A645F">
      <w:pPr>
        <w:jc w:val="both"/>
        <w:rPr>
          <w:rFonts w:ascii="Arial" w:hAnsi="Arial" w:cs="Arial"/>
          <w:b/>
          <w:lang w:val="es-CO"/>
        </w:rPr>
      </w:pPr>
      <w:r>
        <w:rPr>
          <w:rFonts w:ascii="Arial" w:hAnsi="Arial" w:cs="Arial"/>
          <w:b/>
          <w:lang w:val="es-CO"/>
        </w:rPr>
        <w:t>2. Conjunto 2:</w:t>
      </w:r>
    </w:p>
    <w:p w14:paraId="1D8BDE55" w14:textId="77777777" w:rsidR="00B2442D" w:rsidRDefault="00B2442D">
      <w:pPr>
        <w:jc w:val="both"/>
        <w:rPr>
          <w:rFonts w:ascii="Arial" w:hAnsi="Arial" w:cs="Arial"/>
          <w:lang w:val="es-CO"/>
        </w:rPr>
      </w:pPr>
    </w:p>
    <w:p w14:paraId="19DD189B"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Sus ingresos brutos provienen, en una proporción igual o superior a un ochenta por ciento (80</w:t>
      </w:r>
      <w:r>
        <w:rPr>
          <w:rFonts w:ascii="Arial" w:hAnsi="Arial" w:cs="Arial"/>
          <w:lang w:val="es-CO"/>
        </w:rPr>
        <w:t>%), de la prestación de servicios de manera personal o de la realización de una actividad económica, mediante una vinculación de cualquier naturaleza, independientemente de su denominación, y</w:t>
      </w:r>
    </w:p>
    <w:p w14:paraId="5205AEDA" w14:textId="77777777" w:rsidR="00B2442D" w:rsidRDefault="00B2442D">
      <w:pPr>
        <w:ind w:left="284" w:hanging="284"/>
        <w:jc w:val="both"/>
        <w:rPr>
          <w:rFonts w:ascii="Arial" w:hAnsi="Arial" w:cs="Arial"/>
          <w:lang w:val="es-CO"/>
        </w:rPr>
      </w:pPr>
    </w:p>
    <w:p w14:paraId="3F11B20B"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No presta el respectivo servicio, o no realiza la actividad </w:t>
      </w:r>
      <w:r>
        <w:rPr>
          <w:rFonts w:ascii="Arial" w:hAnsi="Arial" w:cs="Arial"/>
          <w:lang w:val="es-CO"/>
        </w:rPr>
        <w:t>económica, por su cuenta y riesgo, de conformidad con lo previsto en el artículo anterior.</w:t>
      </w:r>
    </w:p>
    <w:p w14:paraId="24E82976" w14:textId="77777777" w:rsidR="00B2442D" w:rsidRDefault="00B2442D">
      <w:pPr>
        <w:jc w:val="both"/>
        <w:rPr>
          <w:rFonts w:ascii="Arial" w:hAnsi="Arial" w:cs="Arial"/>
          <w:lang w:val="es-CO"/>
        </w:rPr>
      </w:pPr>
    </w:p>
    <w:p w14:paraId="798B690F" w14:textId="77777777" w:rsidR="00B2442D" w:rsidRDefault="008A645F">
      <w:pPr>
        <w:jc w:val="both"/>
        <w:rPr>
          <w:rFonts w:ascii="Arial" w:hAnsi="Arial" w:cs="Arial"/>
          <w:b/>
          <w:lang w:val="es-CO"/>
        </w:rPr>
      </w:pPr>
      <w:r>
        <w:rPr>
          <w:rFonts w:ascii="Arial" w:hAnsi="Arial" w:cs="Arial"/>
          <w:b/>
          <w:lang w:val="es-CO"/>
        </w:rPr>
        <w:t>3. Conjunto 3:</w:t>
      </w:r>
    </w:p>
    <w:p w14:paraId="744A5271" w14:textId="77777777" w:rsidR="00B2442D" w:rsidRDefault="00B2442D">
      <w:pPr>
        <w:jc w:val="both"/>
        <w:rPr>
          <w:rFonts w:ascii="Arial" w:hAnsi="Arial" w:cs="Arial"/>
          <w:lang w:val="es-CO"/>
        </w:rPr>
      </w:pPr>
    </w:p>
    <w:p w14:paraId="6249ABC4"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r>
      <w:r>
        <w:rPr>
          <w:rFonts w:ascii="Arial" w:hAnsi="Arial" w:cs="Arial"/>
          <w:lang w:val="es-CO"/>
        </w:rPr>
        <w:t xml:space="preserve"> Sus ingresos brutos provienen, en una proporción igual o superior a un ochenta por ciento (80%), de la prestación de servicios de manera personal o de la realización de una actividad económica, mediante una vinculación de cualquier naturaleza, independien</w:t>
      </w:r>
      <w:r>
        <w:rPr>
          <w:rFonts w:ascii="Arial" w:hAnsi="Arial" w:cs="Arial"/>
          <w:lang w:val="es-CO"/>
        </w:rPr>
        <w:t>temente de su denominación; y</w:t>
      </w:r>
    </w:p>
    <w:p w14:paraId="3F4F5BA4" w14:textId="77777777" w:rsidR="00B2442D" w:rsidRDefault="00B2442D">
      <w:pPr>
        <w:ind w:left="284" w:hanging="284"/>
        <w:jc w:val="both"/>
        <w:rPr>
          <w:rFonts w:ascii="Arial" w:hAnsi="Arial" w:cs="Arial"/>
          <w:lang w:val="es-CO"/>
        </w:rPr>
      </w:pPr>
    </w:p>
    <w:p w14:paraId="627B6975"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Presta el respectivo servicio, o realiza la actividad económica, por su cuenta y riesgo, de conformidad con lo previsto en el artículo anterior; y</w:t>
      </w:r>
    </w:p>
    <w:p w14:paraId="3389A743" w14:textId="77777777" w:rsidR="00B2442D" w:rsidRDefault="00B2442D">
      <w:pPr>
        <w:ind w:left="284" w:hanging="284"/>
        <w:jc w:val="both"/>
        <w:rPr>
          <w:rFonts w:ascii="Arial" w:hAnsi="Arial" w:cs="Arial"/>
          <w:lang w:val="es-CO"/>
        </w:rPr>
      </w:pPr>
    </w:p>
    <w:p w14:paraId="42E2958C"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No presta servicios técnicos que requieren de materiales o insumos es</w:t>
      </w:r>
      <w:r>
        <w:rPr>
          <w:rFonts w:ascii="Arial" w:hAnsi="Arial" w:cs="Arial"/>
          <w:lang w:val="es-CO"/>
        </w:rPr>
        <w:t>pecializados, o maquinaria o equipo especializado, y</w:t>
      </w:r>
    </w:p>
    <w:p w14:paraId="098FFE65" w14:textId="77777777" w:rsidR="00B2442D" w:rsidRDefault="00B2442D">
      <w:pPr>
        <w:ind w:left="284" w:hanging="284"/>
        <w:jc w:val="both"/>
        <w:rPr>
          <w:rFonts w:ascii="Arial" w:hAnsi="Arial" w:cs="Arial"/>
          <w:lang w:val="es-CO"/>
        </w:rPr>
      </w:pPr>
    </w:p>
    <w:p w14:paraId="741F16B2" w14:textId="77777777" w:rsidR="00B2442D" w:rsidRDefault="00B2442D">
      <w:pPr>
        <w:ind w:left="284" w:hanging="284"/>
        <w:jc w:val="both"/>
        <w:rPr>
          <w:rFonts w:ascii="Arial" w:hAnsi="Arial" w:cs="Arial"/>
          <w:lang w:val="es-CO"/>
        </w:rPr>
      </w:pPr>
    </w:p>
    <w:p w14:paraId="67B698BB"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El desarrollo de ninguna de las actividades señaladas en el artículo 340 del Estatuto Tributario le genera más del veinte por ciento (20%) de sus ingresos brutos; y</w:t>
      </w:r>
    </w:p>
    <w:p w14:paraId="630E37B1" w14:textId="77777777" w:rsidR="00B2442D" w:rsidRDefault="00B2442D">
      <w:pPr>
        <w:ind w:left="284" w:hanging="284"/>
        <w:jc w:val="both"/>
        <w:rPr>
          <w:rFonts w:ascii="Arial" w:hAnsi="Arial" w:cs="Arial"/>
          <w:lang w:val="es-CO"/>
        </w:rPr>
      </w:pPr>
    </w:p>
    <w:p w14:paraId="337B6183"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r>
      <w:r>
        <w:rPr>
          <w:rFonts w:ascii="Arial" w:hAnsi="Arial" w:cs="Arial"/>
          <w:lang w:val="es-CO"/>
        </w:rPr>
        <w:t xml:space="preserve"> No deriva más del veinte por ciento (20%) de sus ingresos del expendio, compraventa o distribución de bienes y mercancías, al por mayor o al por menor; ni de la producción, extracción, fabricación, confección, preparación, transformación, manufactura y en</w:t>
      </w:r>
      <w:r>
        <w:rPr>
          <w:rFonts w:ascii="Arial" w:hAnsi="Arial" w:cs="Arial"/>
          <w:lang w:val="es-CO"/>
        </w:rPr>
        <w:t>samblaje de cualquier clase de materiales o bienes.</w:t>
      </w:r>
    </w:p>
    <w:p w14:paraId="1F589AC2" w14:textId="77777777" w:rsidR="00B2442D" w:rsidRDefault="00B2442D">
      <w:pPr>
        <w:jc w:val="both"/>
        <w:rPr>
          <w:rFonts w:ascii="Arial" w:hAnsi="Arial" w:cs="Arial"/>
          <w:lang w:val="es-CO"/>
        </w:rPr>
      </w:pPr>
    </w:p>
    <w:p w14:paraId="2535D8D9"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establecer el monto del ochenta por ciento (80%) a que se refieren los numerales precedentes, deben computarse y sumarse tanto los ingresos provenientes de la relación laboral o legal </w:t>
      </w:r>
      <w:r>
        <w:rPr>
          <w:rFonts w:ascii="Arial" w:hAnsi="Arial" w:cs="Arial"/>
          <w:lang w:val="es-CO"/>
        </w:rPr>
        <w:t>y reglamentaria, los ingresos provenientes del ejercicio de profesiones liberales como también los provenientes de la prestación de servicios técnicos, en el evento en que se perciban por un mismo contribuyente.</w:t>
      </w:r>
    </w:p>
    <w:p w14:paraId="1DCCC48A" w14:textId="77777777" w:rsidR="00B2442D" w:rsidRDefault="00B2442D">
      <w:pPr>
        <w:jc w:val="both"/>
        <w:rPr>
          <w:rFonts w:ascii="Arial" w:hAnsi="Arial" w:cs="Arial"/>
          <w:lang w:val="es-CO"/>
        </w:rPr>
      </w:pPr>
    </w:p>
    <w:p w14:paraId="539CB574"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lo dispuesto </w:t>
      </w:r>
      <w:r>
        <w:rPr>
          <w:rFonts w:ascii="Arial" w:hAnsi="Arial" w:cs="Arial"/>
          <w:lang w:val="es-CO"/>
        </w:rPr>
        <w:t>en el artículo 329 del Estatuto Tributario se tendrán en cuenta la totalidad de los ingresos que reciba la persona natural residente en el país, directa o indirectamente, con ocasión de la relación contractual, laboral, legal o reglamentaria, independiente</w:t>
      </w:r>
      <w:r>
        <w:rPr>
          <w:rFonts w:ascii="Arial" w:hAnsi="Arial" w:cs="Arial"/>
          <w:lang w:val="es-CO"/>
        </w:rPr>
        <w:t>mente de la denominación o fuente que se le atribuya a dichos pagos.</w:t>
      </w:r>
    </w:p>
    <w:p w14:paraId="3DE9FC61" w14:textId="77777777" w:rsidR="00B2442D" w:rsidRDefault="00B2442D">
      <w:pPr>
        <w:jc w:val="both"/>
        <w:rPr>
          <w:rFonts w:ascii="Arial" w:hAnsi="Arial" w:cs="Arial"/>
          <w:lang w:val="es-CO"/>
        </w:rPr>
      </w:pPr>
    </w:p>
    <w:p w14:paraId="5483FBE4" w14:textId="77777777" w:rsidR="00B2442D" w:rsidRDefault="008A645F">
      <w:pPr>
        <w:jc w:val="both"/>
        <w:rPr>
          <w:rFonts w:ascii="Arial" w:hAnsi="Arial" w:cs="Arial"/>
          <w:i/>
          <w:lang w:val="es-CO"/>
        </w:rPr>
      </w:pPr>
      <w:r>
        <w:rPr>
          <w:rFonts w:ascii="Arial" w:hAnsi="Arial" w:cs="Arial"/>
          <w:i/>
          <w:lang w:val="es-CO"/>
        </w:rPr>
        <w:t>(Art. 2, Decreto 3032 de 2013)</w:t>
      </w:r>
    </w:p>
    <w:p w14:paraId="66632DD2" w14:textId="77777777" w:rsidR="00B2442D" w:rsidRDefault="00B2442D">
      <w:pPr>
        <w:jc w:val="both"/>
        <w:rPr>
          <w:rFonts w:ascii="Arial" w:hAnsi="Arial" w:cs="Arial"/>
          <w:lang w:val="es-CO"/>
        </w:rPr>
      </w:pPr>
    </w:p>
    <w:p w14:paraId="05E1C2E2"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Ingresos a considerar para la clasificación.</w:t>
      </w:r>
      <w:r>
        <w:rPr>
          <w:rFonts w:ascii="Arial" w:hAnsi="Arial" w:cs="Arial"/>
          <w:lang w:val="es-CO"/>
        </w:rPr>
        <w:t xml:space="preserve"> Para efectos de calcular los límites porcentuales establecidos en el artículo 329 del Estatuto Tributario y e</w:t>
      </w:r>
      <w:r>
        <w:rPr>
          <w:rFonts w:ascii="Arial" w:hAnsi="Arial" w:cs="Arial"/>
          <w:lang w:val="es-CO"/>
        </w:rPr>
        <w:t>fectuar la clasificación en las categorías de contribuyentes a las que se refieren los artículos 1.2.1.20.4 al 1.2.1.20.9 y 1.2.4.1.7  del presente Decreto, no se tendrán en cuenta las rentas sometidas al régimen del impuesto complementario de ganancias oc</w:t>
      </w:r>
      <w:r>
        <w:rPr>
          <w:rFonts w:ascii="Arial" w:hAnsi="Arial" w:cs="Arial"/>
          <w:lang w:val="es-CO"/>
        </w:rPr>
        <w:t>asionales, ni las provenientes de enajenación de activos fijos poseídos por menos de dos (2) años.</w:t>
      </w:r>
    </w:p>
    <w:p w14:paraId="40FE19AA" w14:textId="77777777" w:rsidR="00B2442D" w:rsidRDefault="00B2442D">
      <w:pPr>
        <w:jc w:val="both"/>
        <w:rPr>
          <w:rFonts w:ascii="Arial" w:hAnsi="Arial" w:cs="Arial"/>
          <w:lang w:val="es-CO"/>
        </w:rPr>
      </w:pPr>
    </w:p>
    <w:p w14:paraId="6F2B661F" w14:textId="77777777" w:rsidR="00B2442D" w:rsidRDefault="008A645F">
      <w:pPr>
        <w:jc w:val="both"/>
        <w:rPr>
          <w:rFonts w:ascii="Arial" w:hAnsi="Arial" w:cs="Arial"/>
          <w:lang w:val="es-CO"/>
        </w:rPr>
      </w:pPr>
      <w:r>
        <w:rPr>
          <w:rFonts w:ascii="Arial" w:hAnsi="Arial" w:cs="Arial"/>
          <w:lang w:val="es-CO"/>
        </w:rPr>
        <w:t>Tampoco se tendrán en cuenta para establecer los límites de dichos montos los retiros parciales o totales de los aportes voluntarios a Fondos de Pensiones y</w:t>
      </w:r>
      <w:r>
        <w:rPr>
          <w:rFonts w:ascii="Arial" w:hAnsi="Arial" w:cs="Arial"/>
          <w:lang w:val="es-CO"/>
        </w:rPr>
        <w:t xml:space="preserve"> de ahorros en las cuentas para el fomento de la construcción "AFC", siempre y cuando correspondan a ingresos que se hayan percibido y destinado en un periodo o periodos fiscales distintos al periodo fiscal en el cual se efectúa el retiro del Fondo o cuent</w:t>
      </w:r>
      <w:r>
        <w:rPr>
          <w:rFonts w:ascii="Arial" w:hAnsi="Arial" w:cs="Arial"/>
          <w:lang w:val="es-CO"/>
        </w:rPr>
        <w:t>a, según corresponda.</w:t>
      </w:r>
    </w:p>
    <w:p w14:paraId="6EF9AB85" w14:textId="77777777" w:rsidR="00B2442D" w:rsidRDefault="00B2442D">
      <w:pPr>
        <w:jc w:val="both"/>
        <w:rPr>
          <w:rFonts w:ascii="Arial" w:hAnsi="Arial" w:cs="Arial"/>
          <w:lang w:val="es-CO"/>
        </w:rPr>
      </w:pPr>
    </w:p>
    <w:p w14:paraId="7B35FBAF"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De conformidad con lo previsto en el artículo 329 del Estatuto Tributario. Los ingresos provenientes de pensiones de jubilación, invalidez, vejez, de sobrevivientes y sobre riesgos laborales, no se incluyen en la determ</w:t>
      </w:r>
      <w:r>
        <w:rPr>
          <w:rFonts w:ascii="Arial" w:hAnsi="Arial" w:cs="Arial"/>
          <w:lang w:val="es-CO"/>
        </w:rPr>
        <w:t>inación de la renta gravable alternativa del IMÁN y el IMAS, y se tendrán en cuenta, únicamente, para efectos de calcular los límites porcentuales establecidos en dicho artículo.</w:t>
      </w:r>
    </w:p>
    <w:p w14:paraId="610557D7" w14:textId="77777777" w:rsidR="00B2442D" w:rsidRDefault="00B2442D">
      <w:pPr>
        <w:jc w:val="both"/>
        <w:rPr>
          <w:rFonts w:ascii="Arial" w:hAnsi="Arial" w:cs="Arial"/>
          <w:lang w:val="es-CO"/>
        </w:rPr>
      </w:pPr>
    </w:p>
    <w:p w14:paraId="2507C94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A los ingresos de que trata el parágrafo anterior, proveniente</w:t>
      </w:r>
      <w:r>
        <w:rPr>
          <w:rFonts w:ascii="Arial" w:hAnsi="Arial" w:cs="Arial"/>
          <w:lang w:val="es-CO"/>
        </w:rPr>
        <w:t>s de pensiones de jubilación, invalidez, vejez, de sobrevivientes y sobre riesgos laborales, seguirán sujetas al régimen ordinario de determinación del impuesto sobre la renta y complementario, previsto en el numeral 5 del artículo 206 del Estatuto Tributa</w:t>
      </w:r>
      <w:r>
        <w:rPr>
          <w:rFonts w:ascii="Arial" w:hAnsi="Arial" w:cs="Arial"/>
          <w:lang w:val="es-CO"/>
        </w:rPr>
        <w:t>rio.</w:t>
      </w:r>
    </w:p>
    <w:p w14:paraId="36C120B4" w14:textId="77777777" w:rsidR="00B2442D" w:rsidRDefault="00B2442D">
      <w:pPr>
        <w:jc w:val="both"/>
        <w:rPr>
          <w:rFonts w:ascii="Arial" w:hAnsi="Arial" w:cs="Arial"/>
          <w:lang w:val="es-CO"/>
        </w:rPr>
      </w:pPr>
    </w:p>
    <w:p w14:paraId="2A105B8E" w14:textId="77777777" w:rsidR="00B2442D" w:rsidRDefault="008A645F">
      <w:pPr>
        <w:jc w:val="both"/>
        <w:rPr>
          <w:rFonts w:ascii="Arial" w:hAnsi="Arial" w:cs="Arial"/>
          <w:i/>
          <w:lang w:val="es-CO"/>
        </w:rPr>
      </w:pPr>
      <w:r>
        <w:rPr>
          <w:rFonts w:ascii="Arial" w:hAnsi="Arial" w:cs="Arial"/>
          <w:i/>
          <w:lang w:val="es-CO"/>
        </w:rPr>
        <w:t>(Art. 4, Decreto 3032 de 2013)</w:t>
      </w:r>
    </w:p>
    <w:p w14:paraId="509518F9" w14:textId="77777777" w:rsidR="00B2442D" w:rsidRDefault="00B2442D">
      <w:pPr>
        <w:jc w:val="both"/>
        <w:rPr>
          <w:rFonts w:ascii="Arial" w:hAnsi="Arial" w:cs="Arial"/>
          <w:lang w:val="es-CO"/>
        </w:rPr>
      </w:pPr>
    </w:p>
    <w:p w14:paraId="02EBDFC1"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Otros contribuyentes sometidos al sistema ordinario de determinación del impuesto.</w:t>
      </w:r>
      <w:r>
        <w:rPr>
          <w:rFonts w:ascii="Arial" w:hAnsi="Arial" w:cs="Arial"/>
          <w:lang w:val="es-CO"/>
        </w:rPr>
        <w:t xml:space="preserve"> Los siguientes contribuyentes se regirán únicamente por el sistema ordinario de determinación del impuesto sobre la renta, establecido </w:t>
      </w:r>
      <w:r>
        <w:rPr>
          <w:rFonts w:ascii="Arial" w:hAnsi="Arial" w:cs="Arial"/>
          <w:lang w:val="es-CO"/>
        </w:rPr>
        <w:t>en el Título I del Libro I del Estatuto Tributario:</w:t>
      </w:r>
    </w:p>
    <w:p w14:paraId="2DF393AE" w14:textId="77777777" w:rsidR="00B2442D" w:rsidRDefault="00B2442D">
      <w:pPr>
        <w:jc w:val="both"/>
        <w:rPr>
          <w:rFonts w:ascii="Arial" w:hAnsi="Arial" w:cs="Arial"/>
          <w:lang w:val="es-CO"/>
        </w:rPr>
      </w:pPr>
    </w:p>
    <w:p w14:paraId="74754643"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Las personas naturales que en su condición de notarios presten el servicio público de notariado. Para efectos de control, estos contribuyentes deben llevar en su contabilidad cuentas separadas de los </w:t>
      </w:r>
      <w:r>
        <w:rPr>
          <w:rFonts w:ascii="Arial" w:hAnsi="Arial" w:cs="Arial"/>
          <w:lang w:val="es-CO"/>
        </w:rPr>
        <w:t>ingresos provenientes de la prestación de servicios notariales y de los ingresos de orígenes distintos.</w:t>
      </w:r>
    </w:p>
    <w:p w14:paraId="52157731" w14:textId="77777777" w:rsidR="00B2442D" w:rsidRDefault="00B2442D">
      <w:pPr>
        <w:ind w:left="284" w:hanging="284"/>
        <w:jc w:val="both"/>
        <w:rPr>
          <w:rFonts w:ascii="Arial" w:hAnsi="Arial" w:cs="Arial"/>
          <w:lang w:val="es-CO"/>
        </w:rPr>
      </w:pPr>
    </w:p>
    <w:p w14:paraId="1C8A8093"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Las personas naturales nacionales o extranjeras residentes en el país cuyos ingresos correspondan únicamente a pensiones de jubilación, invalidez, v</w:t>
      </w:r>
      <w:r>
        <w:rPr>
          <w:rFonts w:ascii="Arial" w:hAnsi="Arial" w:cs="Arial"/>
          <w:lang w:val="es-CO"/>
        </w:rPr>
        <w:t>ejez, sobrevivientes y riesgos laborales.</w:t>
      </w:r>
    </w:p>
    <w:p w14:paraId="08733EDA" w14:textId="77777777" w:rsidR="00B2442D" w:rsidRDefault="00B2442D">
      <w:pPr>
        <w:ind w:left="284" w:hanging="284"/>
        <w:jc w:val="both"/>
        <w:rPr>
          <w:rFonts w:ascii="Arial" w:hAnsi="Arial" w:cs="Arial"/>
          <w:lang w:val="es-CO"/>
        </w:rPr>
      </w:pPr>
    </w:p>
    <w:p w14:paraId="483EF48E"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Los servidores públicos diplomáticos, consulares y administrativos del Ministerio de Relaciones Exteriores, conforme con lo establecido en el artículo 206-1 del Estatuto Tributario.</w:t>
      </w:r>
    </w:p>
    <w:p w14:paraId="3238D0BE" w14:textId="77777777" w:rsidR="00B2442D" w:rsidRDefault="00B2442D">
      <w:pPr>
        <w:ind w:left="284" w:hanging="284"/>
        <w:jc w:val="both"/>
        <w:rPr>
          <w:rFonts w:ascii="Arial" w:hAnsi="Arial" w:cs="Arial"/>
          <w:lang w:val="es-CO"/>
        </w:rPr>
      </w:pPr>
    </w:p>
    <w:p w14:paraId="48ACC4BE"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Las sucesiones </w:t>
      </w:r>
      <w:r>
        <w:rPr>
          <w:rFonts w:ascii="Arial" w:hAnsi="Arial" w:cs="Arial"/>
          <w:lang w:val="es-CO"/>
        </w:rPr>
        <w:t>ilíquidas de causantes nacionales o extranjeros que al momento de su muerte eran residentes en el país, los bienes destinados a fines especiales en virtud de donaciones o asignaciones modales excepto cuando los donatarios o asignatarios los usufructúen per</w:t>
      </w:r>
      <w:r>
        <w:rPr>
          <w:rFonts w:ascii="Arial" w:hAnsi="Arial" w:cs="Arial"/>
          <w:lang w:val="es-CO"/>
        </w:rPr>
        <w:t>sonalmente.</w:t>
      </w:r>
    </w:p>
    <w:p w14:paraId="27047DF3" w14:textId="77777777" w:rsidR="00B2442D" w:rsidRDefault="00B2442D">
      <w:pPr>
        <w:ind w:left="284" w:hanging="284"/>
        <w:jc w:val="both"/>
        <w:rPr>
          <w:rFonts w:ascii="Arial" w:hAnsi="Arial" w:cs="Arial"/>
          <w:lang w:val="es-CO"/>
        </w:rPr>
      </w:pPr>
    </w:p>
    <w:p w14:paraId="72608D58"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Las demás personas naturales nacionales o extranjeras residentes en el país, que no clasifiquen dentro de las categorías de empleado o trabajador por cuenta propia según la clasificación establecida en los artículos 1.2.1.20.4 al 1.2.1.20.9</w:t>
      </w:r>
      <w:r>
        <w:rPr>
          <w:rFonts w:ascii="Arial" w:hAnsi="Arial" w:cs="Arial"/>
          <w:lang w:val="es-CO"/>
        </w:rPr>
        <w:t xml:space="preserve"> y 1.2.4.1.7  del presente Decreto.</w:t>
      </w:r>
    </w:p>
    <w:p w14:paraId="7D1B6067" w14:textId="77777777" w:rsidR="00B2442D" w:rsidRDefault="00B2442D">
      <w:pPr>
        <w:jc w:val="both"/>
        <w:rPr>
          <w:rFonts w:ascii="Arial" w:hAnsi="Arial" w:cs="Arial"/>
          <w:lang w:val="es-CO"/>
        </w:rPr>
      </w:pPr>
    </w:p>
    <w:p w14:paraId="1E4E3DF1" w14:textId="77777777" w:rsidR="00B2442D" w:rsidRDefault="008A645F">
      <w:pPr>
        <w:jc w:val="both"/>
        <w:rPr>
          <w:rFonts w:ascii="Arial" w:hAnsi="Arial" w:cs="Arial"/>
          <w:i/>
          <w:lang w:val="es-CO"/>
        </w:rPr>
      </w:pPr>
      <w:r>
        <w:rPr>
          <w:rFonts w:ascii="Arial" w:hAnsi="Arial" w:cs="Arial"/>
          <w:i/>
          <w:lang w:val="es-CO"/>
        </w:rPr>
        <w:t>(Art. 5, Decreto 3032 de 2013)</w:t>
      </w:r>
    </w:p>
    <w:p w14:paraId="3AAAF708" w14:textId="77777777" w:rsidR="00B2442D" w:rsidRDefault="00B2442D">
      <w:pPr>
        <w:jc w:val="both"/>
        <w:rPr>
          <w:rFonts w:ascii="Arial" w:hAnsi="Arial" w:cs="Arial"/>
          <w:b/>
          <w:lang w:val="es-CO"/>
        </w:rPr>
      </w:pPr>
    </w:p>
    <w:p w14:paraId="4BD3B563"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Comparación en el sistema de determinación del impuesto sobre la renta para los empleados.</w:t>
      </w:r>
      <w:r>
        <w:rPr>
          <w:rFonts w:ascii="Arial" w:hAnsi="Arial" w:cs="Arial"/>
          <w:lang w:val="es-CO"/>
        </w:rPr>
        <w:t xml:space="preserve"> Para efectos de determinar el impuesto sobre la renta de las personas naturales residentes en el</w:t>
      </w:r>
      <w:r>
        <w:rPr>
          <w:rFonts w:ascii="Arial" w:hAnsi="Arial" w:cs="Arial"/>
          <w:lang w:val="es-CO"/>
        </w:rPr>
        <w:t xml:space="preserve"> país clasificadas en la categoría tributaria de empleados, se comparará el monto de impuesto calculado por el sistema ordinario contemplado en el Título I del Libro I del Estatuto Tributario, con el monto del Impuesto Mínimo Alternativo Nacional (IMÁN) a </w:t>
      </w:r>
      <w:r>
        <w:rPr>
          <w:rFonts w:ascii="Arial" w:hAnsi="Arial" w:cs="Arial"/>
          <w:lang w:val="es-CO"/>
        </w:rPr>
        <w:t xml:space="preserve">que se refiere el Título V del Libro I del mismo Estatuto. Cuando el monto calculado mediante el sistema ordinario resulte igual o superior al cálculo del IMÁN, el impuesto sobre la renta del periodo será el determinado por el sistema ordinario. Cuando el </w:t>
      </w:r>
      <w:r>
        <w:rPr>
          <w:rFonts w:ascii="Arial" w:hAnsi="Arial" w:cs="Arial"/>
          <w:lang w:val="es-CO"/>
        </w:rPr>
        <w:t>monto de impuesto calculado mediante el sistema ordinario resulte inferior al monto calculado mediante el IMÁN, el impuesto sobre la renta del periodo será el correspondiente al cálculo del IMÁN.</w:t>
      </w:r>
    </w:p>
    <w:p w14:paraId="13E27BBF" w14:textId="77777777" w:rsidR="00B2442D" w:rsidRDefault="00B2442D">
      <w:pPr>
        <w:jc w:val="both"/>
        <w:rPr>
          <w:rFonts w:ascii="Arial" w:hAnsi="Arial" w:cs="Arial"/>
          <w:lang w:val="es-CO"/>
        </w:rPr>
      </w:pPr>
    </w:p>
    <w:p w14:paraId="72B20DA0"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los efectos de este artículo, el sistema</w:t>
      </w:r>
      <w:r>
        <w:rPr>
          <w:rFonts w:ascii="Arial" w:hAnsi="Arial" w:cs="Arial"/>
          <w:lang w:val="es-CO"/>
        </w:rPr>
        <w:t xml:space="preserve"> ordinario de determinación del Impuesto sobre la Renta de que trata el artículo 330 del Estatuto Tributario comprende la determinación de la renta líquida en el contexto del artículo 26 y siguientes del Estatuto Tributario, observando lo dispuesto sobre l</w:t>
      </w:r>
      <w:r>
        <w:rPr>
          <w:rFonts w:ascii="Arial" w:hAnsi="Arial" w:cs="Arial"/>
          <w:lang w:val="es-CO"/>
        </w:rPr>
        <w:t>a renta presuntiva, las rentas líquidas especiales, las rentas de trabajo, las rentas gravables especiales, así como el régimen de precios de transferencia y todo lo concerniente a la determinación del impuesto sobre la renta comprendido en el Título I del</w:t>
      </w:r>
      <w:r>
        <w:rPr>
          <w:rFonts w:ascii="Arial" w:hAnsi="Arial" w:cs="Arial"/>
          <w:lang w:val="es-CO"/>
        </w:rPr>
        <w:t xml:space="preserve"> Libro Primero del Estatuto Tributario.</w:t>
      </w:r>
    </w:p>
    <w:p w14:paraId="33C198A7" w14:textId="77777777" w:rsidR="00B2442D" w:rsidRDefault="00B2442D">
      <w:pPr>
        <w:jc w:val="both"/>
        <w:rPr>
          <w:rFonts w:ascii="Arial" w:hAnsi="Arial" w:cs="Arial"/>
          <w:lang w:val="es-CO"/>
        </w:rPr>
      </w:pPr>
    </w:p>
    <w:p w14:paraId="250A1D4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la comparación de que trata el artículo 330 del Estatuto Tributario, no se tendrá en cuenta en la determinación del impuesto sobre la renta por el sistema ordinario el impuesto compleme</w:t>
      </w:r>
      <w:r>
        <w:rPr>
          <w:rFonts w:ascii="Arial" w:hAnsi="Arial" w:cs="Arial"/>
          <w:lang w:val="es-CO"/>
        </w:rPr>
        <w:t>ntario de ganancias ocasionales contemplado en el Título III del Libro Primero.</w:t>
      </w:r>
    </w:p>
    <w:p w14:paraId="1012FCA0" w14:textId="77777777" w:rsidR="00B2442D" w:rsidRDefault="00B2442D">
      <w:pPr>
        <w:jc w:val="both"/>
        <w:rPr>
          <w:rFonts w:ascii="Arial" w:hAnsi="Arial" w:cs="Arial"/>
          <w:lang w:val="es-CO"/>
        </w:rPr>
      </w:pPr>
    </w:p>
    <w:p w14:paraId="43723DF2" w14:textId="77777777" w:rsidR="00B2442D" w:rsidRDefault="008A645F">
      <w:pPr>
        <w:jc w:val="both"/>
        <w:rPr>
          <w:rFonts w:ascii="Arial" w:hAnsi="Arial" w:cs="Arial"/>
          <w:i/>
          <w:lang w:val="es-CO"/>
        </w:rPr>
      </w:pPr>
      <w:r>
        <w:rPr>
          <w:rFonts w:ascii="Arial" w:hAnsi="Arial" w:cs="Arial"/>
          <w:i/>
          <w:lang w:val="es-CO"/>
        </w:rPr>
        <w:t>(Art. 7, Decreto 3032 de 2013.  La expresión “ni la ganancia ocasional generada por los activos omitidos o los pasivos inexistentes establecida en el parágrafo transitorio del</w:t>
      </w:r>
      <w:r>
        <w:rPr>
          <w:rFonts w:ascii="Arial" w:hAnsi="Arial" w:cs="Arial"/>
          <w:i/>
          <w:lang w:val="es-CO"/>
        </w:rPr>
        <w:t xml:space="preserve"> artículo 239-1 del Estatuto Tributario”, del parágrafo segundo tiene decaimiento en virtud de la declaratoria de inexequibilidad  proferida por la Corte Constitucional, mediante sentencia C-833-13 de 20 de noviembre de 2013, del artículo 163 de la Ley 160</w:t>
      </w:r>
      <w:r>
        <w:rPr>
          <w:rFonts w:ascii="Arial" w:hAnsi="Arial" w:cs="Arial"/>
          <w:i/>
          <w:lang w:val="es-CO"/>
        </w:rPr>
        <w:t>7 de 2012, que adicionó un parágrafo transitorio al artículo 239-1 del  Estatuto Tributario.)</w:t>
      </w:r>
    </w:p>
    <w:p w14:paraId="10BF531F" w14:textId="77777777" w:rsidR="00B2442D" w:rsidRDefault="00B2442D">
      <w:pPr>
        <w:jc w:val="both"/>
        <w:rPr>
          <w:rFonts w:ascii="Arial" w:hAnsi="Arial" w:cs="Arial"/>
          <w:lang w:val="es-CO"/>
        </w:rPr>
      </w:pPr>
    </w:p>
    <w:p w14:paraId="16E47673"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Progresividad en el pago del impuesto sobre la renta y complementario.</w:t>
      </w:r>
      <w:r>
        <w:rPr>
          <w:rFonts w:ascii="Arial" w:hAnsi="Arial" w:cs="Arial"/>
          <w:lang w:val="es-CO"/>
        </w:rPr>
        <w:t xml:space="preserve"> Las personas naturales clasificadas en la categoría tributaria de empleados, que sean beneficiarias de la progresividad en el pago del impuesto sobre la renta establecida en el artículo 4o de la Ley 1429 de 2010, podrán acceder a dicho beneficio en relaci</w:t>
      </w:r>
      <w:r>
        <w:rPr>
          <w:rFonts w:ascii="Arial" w:hAnsi="Arial" w:cs="Arial"/>
          <w:lang w:val="es-CO"/>
        </w:rPr>
        <w:t xml:space="preserve">ón con el cálculo del impuesto mediante el sistema ordinario de que trata el artículo 330 del Estatuto Tributario. Para tal efecto, el beneficio de la progresividad deberá ser aplicado sobre la tarifa marginal que corresponda al empleado en el cálculo del </w:t>
      </w:r>
      <w:r>
        <w:rPr>
          <w:rFonts w:ascii="Arial" w:hAnsi="Arial" w:cs="Arial"/>
          <w:lang w:val="es-CO"/>
        </w:rPr>
        <w:t>impuesto mediante el sistema ordinario. Una vez sea aplicada la progresividad, el monto del impuesto resultante mediante el sistema ordinario será sometido a la comparación con el monto de impuesto calculado por el Sistema del Impuesto Mínimo Alternativo N</w:t>
      </w:r>
      <w:r>
        <w:rPr>
          <w:rFonts w:ascii="Arial" w:hAnsi="Arial" w:cs="Arial"/>
          <w:lang w:val="es-CO"/>
        </w:rPr>
        <w:t>acional (IMÁN), y la cifra que resultare mayor será el impuesto correspondiente en el respectivo periodo gravable, según el procedimiento establecido en el artículo anterior.</w:t>
      </w:r>
    </w:p>
    <w:p w14:paraId="55A0D75E" w14:textId="77777777" w:rsidR="00B2442D" w:rsidRDefault="00B2442D">
      <w:pPr>
        <w:jc w:val="both"/>
        <w:rPr>
          <w:rFonts w:ascii="Arial" w:hAnsi="Arial" w:cs="Arial"/>
          <w:lang w:val="es-CO"/>
        </w:rPr>
      </w:pPr>
    </w:p>
    <w:p w14:paraId="167316D4" w14:textId="77777777" w:rsidR="00B2442D" w:rsidRDefault="008A645F">
      <w:pPr>
        <w:jc w:val="both"/>
        <w:rPr>
          <w:rFonts w:ascii="Arial" w:hAnsi="Arial" w:cs="Arial"/>
          <w:lang w:val="es-CO"/>
        </w:rPr>
      </w:pPr>
      <w:r>
        <w:rPr>
          <w:rFonts w:ascii="Arial" w:hAnsi="Arial" w:cs="Arial"/>
          <w:i/>
          <w:lang w:val="es-CO"/>
        </w:rPr>
        <w:t>(Art. 8, Decreto 3032 de 2013)</w:t>
      </w:r>
    </w:p>
    <w:p w14:paraId="583F8926" w14:textId="77777777" w:rsidR="00B2442D" w:rsidRDefault="00B2442D">
      <w:pPr>
        <w:jc w:val="both"/>
        <w:rPr>
          <w:rFonts w:ascii="Arial" w:hAnsi="Arial" w:cs="Arial"/>
          <w:lang w:val="es-CO"/>
        </w:rPr>
      </w:pPr>
    </w:p>
    <w:p w14:paraId="187D513F" w14:textId="77777777" w:rsidR="00B2442D" w:rsidRDefault="008A645F">
      <w:pPr>
        <w:pStyle w:val="Prrafodelista"/>
        <w:numPr>
          <w:ilvl w:val="0"/>
          <w:numId w:val="35"/>
        </w:numPr>
        <w:ind w:left="0" w:firstLine="0"/>
        <w:jc w:val="both"/>
        <w:rPr>
          <w:rFonts w:ascii="Arial" w:hAnsi="Arial" w:cs="Arial"/>
          <w:lang w:val="es-CO"/>
        </w:rPr>
      </w:pPr>
      <w:r>
        <w:rPr>
          <w:rFonts w:ascii="Arial" w:hAnsi="Arial" w:cs="Arial"/>
          <w:b/>
          <w:i/>
          <w:lang w:val="es-CO"/>
        </w:rPr>
        <w:t>Tabla de actividades económicas.</w:t>
      </w:r>
      <w:r>
        <w:rPr>
          <w:rFonts w:ascii="Arial" w:hAnsi="Arial" w:cs="Arial"/>
          <w:lang w:val="es-CO"/>
        </w:rPr>
        <w:t xml:space="preserve"> Para efectos de</w:t>
      </w:r>
      <w:r>
        <w:rPr>
          <w:rFonts w:ascii="Arial" w:hAnsi="Arial" w:cs="Arial"/>
          <w:lang w:val="es-CO"/>
        </w:rPr>
        <w:t xml:space="preserve"> lo dispuesto en el Capítulo II del Título V del Libro Primero del Estatuto Tributario, las actividades económicas de que trata el artículo 340, comprenden las actividades económicas según la clasificación CIIU Rev. 4 A.C. contenidas en la siguiente tabla </w:t>
      </w:r>
      <w:r>
        <w:rPr>
          <w:rFonts w:ascii="Arial" w:hAnsi="Arial" w:cs="Arial"/>
          <w:lang w:val="es-CO"/>
        </w:rPr>
        <w:t>de correspondencias:</w:t>
      </w:r>
    </w:p>
    <w:p w14:paraId="1AA29A95" w14:textId="77777777" w:rsidR="00B2442D" w:rsidRDefault="00B2442D">
      <w:pPr>
        <w:jc w:val="center"/>
        <w:rPr>
          <w:rFonts w:ascii="Arial" w:hAnsi="Arial" w:cs="Arial"/>
        </w:rPr>
      </w:pPr>
    </w:p>
    <w:p w14:paraId="6B10FE8C" w14:textId="77777777" w:rsidR="00B2442D" w:rsidRDefault="00B2442D">
      <w:pPr>
        <w:jc w:val="cente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9"/>
        <w:gridCol w:w="1550"/>
        <w:gridCol w:w="2845"/>
        <w:gridCol w:w="1135"/>
        <w:gridCol w:w="1417"/>
      </w:tblGrid>
      <w:tr w:rsidR="00B2442D" w14:paraId="6A28C58F" w14:textId="77777777">
        <w:tc>
          <w:tcPr>
            <w:tcW w:w="1113" w:type="pct"/>
          </w:tcPr>
          <w:p w14:paraId="06023873" w14:textId="77777777" w:rsidR="00B2442D" w:rsidRDefault="00B2442D">
            <w:pPr>
              <w:jc w:val="center"/>
              <w:rPr>
                <w:rFonts w:ascii="Arial" w:hAnsi="Arial" w:cs="Arial"/>
                <w:b/>
                <w:bCs/>
              </w:rPr>
            </w:pPr>
          </w:p>
          <w:p w14:paraId="1E3C435C" w14:textId="77777777" w:rsidR="00B2442D" w:rsidRDefault="008A645F">
            <w:pPr>
              <w:jc w:val="center"/>
              <w:rPr>
                <w:rFonts w:ascii="Arial" w:hAnsi="Arial" w:cs="Arial"/>
              </w:rPr>
            </w:pPr>
            <w:r>
              <w:rPr>
                <w:rFonts w:ascii="Arial" w:hAnsi="Arial" w:cs="Arial"/>
                <w:b/>
                <w:bCs/>
              </w:rPr>
              <w:t>Actividad</w:t>
            </w:r>
          </w:p>
        </w:tc>
        <w:tc>
          <w:tcPr>
            <w:tcW w:w="867" w:type="pct"/>
          </w:tcPr>
          <w:p w14:paraId="08F0E104" w14:textId="77777777" w:rsidR="00B2442D" w:rsidRDefault="008A645F">
            <w:pPr>
              <w:jc w:val="center"/>
              <w:rPr>
                <w:rFonts w:ascii="Arial" w:hAnsi="Arial" w:cs="Arial"/>
              </w:rPr>
            </w:pPr>
            <w:r>
              <w:rPr>
                <w:rFonts w:ascii="Arial" w:hAnsi="Arial" w:cs="Arial"/>
                <w:b/>
                <w:bCs/>
              </w:rPr>
              <w:t>Código actividad económica</w:t>
            </w:r>
          </w:p>
        </w:tc>
        <w:tc>
          <w:tcPr>
            <w:tcW w:w="1592" w:type="pct"/>
          </w:tcPr>
          <w:p w14:paraId="1BF4F999" w14:textId="77777777" w:rsidR="00B2442D" w:rsidRDefault="00B2442D">
            <w:pPr>
              <w:jc w:val="center"/>
              <w:rPr>
                <w:rFonts w:ascii="Arial" w:hAnsi="Arial" w:cs="Arial"/>
                <w:b/>
                <w:bCs/>
              </w:rPr>
            </w:pPr>
          </w:p>
          <w:p w14:paraId="20181D54" w14:textId="77777777" w:rsidR="00B2442D" w:rsidRDefault="008A645F">
            <w:pPr>
              <w:jc w:val="center"/>
              <w:rPr>
                <w:rFonts w:ascii="Arial" w:hAnsi="Arial" w:cs="Arial"/>
              </w:rPr>
            </w:pPr>
            <w:r>
              <w:rPr>
                <w:rFonts w:ascii="Arial" w:hAnsi="Arial" w:cs="Arial"/>
                <w:b/>
                <w:bCs/>
              </w:rPr>
              <w:t>Nombre actividad económica</w:t>
            </w:r>
          </w:p>
        </w:tc>
        <w:tc>
          <w:tcPr>
            <w:tcW w:w="635" w:type="pct"/>
            <w:vAlign w:val="center"/>
          </w:tcPr>
          <w:p w14:paraId="5829E293" w14:textId="77777777" w:rsidR="00B2442D" w:rsidRDefault="008A645F">
            <w:pPr>
              <w:jc w:val="center"/>
              <w:rPr>
                <w:rFonts w:ascii="Arial" w:hAnsi="Arial" w:cs="Arial"/>
              </w:rPr>
            </w:pPr>
            <w:r>
              <w:rPr>
                <w:rFonts w:ascii="Arial" w:hAnsi="Arial" w:cs="Arial"/>
                <w:b/>
                <w:bCs/>
              </w:rPr>
              <w:t>RGA</w:t>
            </w:r>
            <w:r>
              <w:rPr>
                <w:rFonts w:ascii="Arial" w:hAnsi="Arial" w:cs="Arial"/>
              </w:rPr>
              <w:br/>
            </w:r>
            <w:r>
              <w:rPr>
                <w:rFonts w:ascii="Arial" w:hAnsi="Arial" w:cs="Arial"/>
                <w:b/>
                <w:bCs/>
              </w:rPr>
              <w:t>desde</w:t>
            </w:r>
          </w:p>
        </w:tc>
        <w:tc>
          <w:tcPr>
            <w:tcW w:w="793" w:type="pct"/>
            <w:vAlign w:val="center"/>
          </w:tcPr>
          <w:p w14:paraId="59E6110B" w14:textId="77777777" w:rsidR="00B2442D" w:rsidRDefault="008A645F">
            <w:pPr>
              <w:jc w:val="center"/>
              <w:rPr>
                <w:rFonts w:ascii="Arial" w:hAnsi="Arial" w:cs="Arial"/>
              </w:rPr>
            </w:pPr>
            <w:r>
              <w:rPr>
                <w:rFonts w:ascii="Arial" w:hAnsi="Arial" w:cs="Arial"/>
                <w:b/>
                <w:bCs/>
              </w:rPr>
              <w:t>IMAS</w:t>
            </w:r>
          </w:p>
        </w:tc>
      </w:tr>
      <w:tr w:rsidR="00B2442D" w14:paraId="6EB72FC4" w14:textId="77777777">
        <w:tc>
          <w:tcPr>
            <w:tcW w:w="1113" w:type="pct"/>
          </w:tcPr>
          <w:p w14:paraId="392FF4BD" w14:textId="77777777" w:rsidR="00B2442D" w:rsidRDefault="008A645F">
            <w:pPr>
              <w:jc w:val="center"/>
              <w:rPr>
                <w:rFonts w:ascii="Arial" w:hAnsi="Arial" w:cs="Arial"/>
                <w:b/>
                <w:bCs/>
              </w:rPr>
            </w:pPr>
            <w:r>
              <w:rPr>
                <w:rFonts w:ascii="Arial" w:hAnsi="Arial" w:cs="Arial"/>
              </w:rPr>
              <w:br/>
            </w:r>
            <w:r>
              <w:rPr>
                <w:rFonts w:ascii="Arial" w:hAnsi="Arial" w:cs="Arial"/>
                <w:b/>
                <w:bCs/>
              </w:rPr>
              <w:t>Actividades deportivas y otras actividades de esparcimiento</w:t>
            </w:r>
          </w:p>
        </w:tc>
        <w:tc>
          <w:tcPr>
            <w:tcW w:w="867" w:type="pct"/>
          </w:tcPr>
          <w:p w14:paraId="7FCCBED0" w14:textId="77777777" w:rsidR="00B2442D" w:rsidRDefault="008A645F">
            <w:pPr>
              <w:jc w:val="center"/>
              <w:rPr>
                <w:rFonts w:ascii="Arial" w:hAnsi="Arial" w:cs="Arial"/>
              </w:rPr>
            </w:pPr>
            <w:r>
              <w:rPr>
                <w:rFonts w:ascii="Arial" w:hAnsi="Arial" w:cs="Arial"/>
              </w:rPr>
              <w:t>9200</w:t>
            </w:r>
          </w:p>
        </w:tc>
        <w:tc>
          <w:tcPr>
            <w:tcW w:w="1592" w:type="pct"/>
          </w:tcPr>
          <w:p w14:paraId="6CC12EB1" w14:textId="77777777" w:rsidR="00B2442D" w:rsidRDefault="008A645F">
            <w:pPr>
              <w:jc w:val="both"/>
              <w:rPr>
                <w:rFonts w:ascii="Arial" w:hAnsi="Arial" w:cs="Arial"/>
              </w:rPr>
            </w:pPr>
            <w:r>
              <w:rPr>
                <w:rFonts w:ascii="Arial" w:hAnsi="Arial" w:cs="Arial"/>
              </w:rPr>
              <w:t>Actividades de juegos de azar y apuestas</w:t>
            </w:r>
          </w:p>
        </w:tc>
        <w:tc>
          <w:tcPr>
            <w:tcW w:w="635" w:type="pct"/>
            <w:vMerge w:val="restart"/>
            <w:vAlign w:val="center"/>
          </w:tcPr>
          <w:p w14:paraId="4A292354" w14:textId="77777777" w:rsidR="00B2442D" w:rsidRDefault="008A645F">
            <w:pPr>
              <w:jc w:val="center"/>
              <w:rPr>
                <w:rFonts w:ascii="Arial" w:hAnsi="Arial" w:cs="Arial"/>
              </w:rPr>
            </w:pPr>
            <w:r>
              <w:rPr>
                <w:rFonts w:ascii="Arial" w:hAnsi="Arial" w:cs="Arial"/>
              </w:rPr>
              <w:br/>
              <w:t>4.057</w:t>
            </w:r>
            <w:r>
              <w:rPr>
                <w:rFonts w:ascii="Arial" w:hAnsi="Arial" w:cs="Arial"/>
              </w:rPr>
              <w:br/>
              <w:t>UVT</w:t>
            </w:r>
          </w:p>
        </w:tc>
        <w:tc>
          <w:tcPr>
            <w:tcW w:w="793" w:type="pct"/>
            <w:vMerge w:val="restart"/>
            <w:vAlign w:val="center"/>
          </w:tcPr>
          <w:p w14:paraId="273D1E11" w14:textId="77777777" w:rsidR="00B2442D" w:rsidRDefault="008A645F">
            <w:pPr>
              <w:jc w:val="center"/>
              <w:rPr>
                <w:rFonts w:ascii="Arial" w:hAnsi="Arial" w:cs="Arial"/>
              </w:rPr>
            </w:pPr>
            <w:r>
              <w:rPr>
                <w:rFonts w:ascii="Arial" w:hAnsi="Arial" w:cs="Arial"/>
              </w:rPr>
              <w:br/>
              <w:t>1,77% *  (RGA</w:t>
            </w:r>
            <w:r>
              <w:rPr>
                <w:rFonts w:ascii="Arial" w:hAnsi="Arial" w:cs="Arial"/>
              </w:rPr>
              <w:br/>
              <w:t xml:space="preserve">en UVT – </w:t>
            </w:r>
            <w:r>
              <w:rPr>
                <w:rFonts w:ascii="Arial" w:hAnsi="Arial" w:cs="Arial"/>
              </w:rPr>
              <w:t>4.057)</w:t>
            </w:r>
          </w:p>
        </w:tc>
      </w:tr>
      <w:tr w:rsidR="00B2442D" w14:paraId="5CA291C6" w14:textId="77777777">
        <w:tc>
          <w:tcPr>
            <w:tcW w:w="1113" w:type="pct"/>
          </w:tcPr>
          <w:p w14:paraId="04B057E3" w14:textId="77777777" w:rsidR="00B2442D" w:rsidRDefault="00B2442D">
            <w:pPr>
              <w:rPr>
                <w:rFonts w:ascii="Arial" w:hAnsi="Arial" w:cs="Arial"/>
              </w:rPr>
            </w:pPr>
          </w:p>
        </w:tc>
        <w:tc>
          <w:tcPr>
            <w:tcW w:w="867" w:type="pct"/>
          </w:tcPr>
          <w:p w14:paraId="7C283F4E" w14:textId="77777777" w:rsidR="00B2442D" w:rsidRDefault="008A645F">
            <w:pPr>
              <w:jc w:val="center"/>
              <w:rPr>
                <w:rFonts w:ascii="Arial" w:hAnsi="Arial" w:cs="Arial"/>
              </w:rPr>
            </w:pPr>
            <w:r>
              <w:rPr>
                <w:rFonts w:ascii="Arial" w:hAnsi="Arial" w:cs="Arial"/>
              </w:rPr>
              <w:t>9311</w:t>
            </w:r>
          </w:p>
        </w:tc>
        <w:tc>
          <w:tcPr>
            <w:tcW w:w="1592" w:type="pct"/>
          </w:tcPr>
          <w:p w14:paraId="2F119B1B" w14:textId="77777777" w:rsidR="00B2442D" w:rsidRDefault="008A645F">
            <w:pPr>
              <w:jc w:val="both"/>
              <w:rPr>
                <w:rFonts w:ascii="Arial" w:hAnsi="Arial" w:cs="Arial"/>
              </w:rPr>
            </w:pPr>
            <w:r>
              <w:rPr>
                <w:rFonts w:ascii="Arial" w:hAnsi="Arial" w:cs="Arial"/>
              </w:rPr>
              <w:t>Gestión de instalaciones deportivas</w:t>
            </w:r>
          </w:p>
        </w:tc>
        <w:tc>
          <w:tcPr>
            <w:tcW w:w="635" w:type="pct"/>
            <w:vMerge/>
          </w:tcPr>
          <w:p w14:paraId="517839BE" w14:textId="77777777" w:rsidR="00B2442D" w:rsidRDefault="00B2442D">
            <w:pPr>
              <w:rPr>
                <w:rFonts w:ascii="Arial" w:hAnsi="Arial" w:cs="Arial"/>
              </w:rPr>
            </w:pPr>
          </w:p>
        </w:tc>
        <w:tc>
          <w:tcPr>
            <w:tcW w:w="793" w:type="pct"/>
            <w:vMerge/>
          </w:tcPr>
          <w:p w14:paraId="0C4C0D30" w14:textId="77777777" w:rsidR="00B2442D" w:rsidRDefault="00B2442D">
            <w:pPr>
              <w:rPr>
                <w:rFonts w:ascii="Arial" w:hAnsi="Arial" w:cs="Arial"/>
              </w:rPr>
            </w:pPr>
          </w:p>
        </w:tc>
      </w:tr>
      <w:tr w:rsidR="00B2442D" w14:paraId="7772FB12" w14:textId="77777777">
        <w:tc>
          <w:tcPr>
            <w:tcW w:w="1113" w:type="pct"/>
          </w:tcPr>
          <w:p w14:paraId="63BF40A1" w14:textId="77777777" w:rsidR="00B2442D" w:rsidRDefault="00B2442D">
            <w:pPr>
              <w:rPr>
                <w:rFonts w:ascii="Arial" w:hAnsi="Arial" w:cs="Arial"/>
              </w:rPr>
            </w:pPr>
          </w:p>
        </w:tc>
        <w:tc>
          <w:tcPr>
            <w:tcW w:w="867" w:type="pct"/>
          </w:tcPr>
          <w:p w14:paraId="3B1F4950" w14:textId="77777777" w:rsidR="00B2442D" w:rsidRDefault="008A645F">
            <w:pPr>
              <w:jc w:val="center"/>
              <w:rPr>
                <w:rFonts w:ascii="Arial" w:hAnsi="Arial" w:cs="Arial"/>
              </w:rPr>
            </w:pPr>
            <w:r>
              <w:rPr>
                <w:rFonts w:ascii="Arial" w:hAnsi="Arial" w:cs="Arial"/>
              </w:rPr>
              <w:t>9312</w:t>
            </w:r>
          </w:p>
        </w:tc>
        <w:tc>
          <w:tcPr>
            <w:tcW w:w="1592" w:type="pct"/>
          </w:tcPr>
          <w:p w14:paraId="3A4C6053" w14:textId="77777777" w:rsidR="00B2442D" w:rsidRDefault="008A645F">
            <w:pPr>
              <w:jc w:val="both"/>
              <w:rPr>
                <w:rFonts w:ascii="Arial" w:hAnsi="Arial" w:cs="Arial"/>
              </w:rPr>
            </w:pPr>
            <w:r>
              <w:rPr>
                <w:rFonts w:ascii="Arial" w:hAnsi="Arial" w:cs="Arial"/>
              </w:rPr>
              <w:t>Actividades de clubes deportivos</w:t>
            </w:r>
          </w:p>
        </w:tc>
        <w:tc>
          <w:tcPr>
            <w:tcW w:w="635" w:type="pct"/>
            <w:vMerge/>
          </w:tcPr>
          <w:p w14:paraId="1F1816F6" w14:textId="77777777" w:rsidR="00B2442D" w:rsidRDefault="00B2442D">
            <w:pPr>
              <w:rPr>
                <w:rFonts w:ascii="Arial" w:hAnsi="Arial" w:cs="Arial"/>
              </w:rPr>
            </w:pPr>
          </w:p>
        </w:tc>
        <w:tc>
          <w:tcPr>
            <w:tcW w:w="793" w:type="pct"/>
            <w:vMerge/>
          </w:tcPr>
          <w:p w14:paraId="7A35A7CA" w14:textId="77777777" w:rsidR="00B2442D" w:rsidRDefault="00B2442D">
            <w:pPr>
              <w:rPr>
                <w:rFonts w:ascii="Arial" w:hAnsi="Arial" w:cs="Arial"/>
              </w:rPr>
            </w:pPr>
          </w:p>
        </w:tc>
      </w:tr>
      <w:tr w:rsidR="00B2442D" w14:paraId="5DD496CB" w14:textId="77777777">
        <w:tc>
          <w:tcPr>
            <w:tcW w:w="1113" w:type="pct"/>
          </w:tcPr>
          <w:p w14:paraId="1116EA23" w14:textId="77777777" w:rsidR="00B2442D" w:rsidRDefault="00B2442D">
            <w:pPr>
              <w:rPr>
                <w:rFonts w:ascii="Arial" w:hAnsi="Arial" w:cs="Arial"/>
              </w:rPr>
            </w:pPr>
          </w:p>
        </w:tc>
        <w:tc>
          <w:tcPr>
            <w:tcW w:w="867" w:type="pct"/>
          </w:tcPr>
          <w:p w14:paraId="3720F949" w14:textId="77777777" w:rsidR="00B2442D" w:rsidRDefault="008A645F">
            <w:pPr>
              <w:jc w:val="center"/>
              <w:rPr>
                <w:rFonts w:ascii="Arial" w:hAnsi="Arial" w:cs="Arial"/>
              </w:rPr>
            </w:pPr>
            <w:r>
              <w:rPr>
                <w:rFonts w:ascii="Arial" w:hAnsi="Arial" w:cs="Arial"/>
              </w:rPr>
              <w:t>9319</w:t>
            </w:r>
          </w:p>
        </w:tc>
        <w:tc>
          <w:tcPr>
            <w:tcW w:w="1592" w:type="pct"/>
          </w:tcPr>
          <w:p w14:paraId="070844AF" w14:textId="77777777" w:rsidR="00B2442D" w:rsidRDefault="008A645F">
            <w:pPr>
              <w:jc w:val="both"/>
              <w:rPr>
                <w:rFonts w:ascii="Arial" w:hAnsi="Arial" w:cs="Arial"/>
              </w:rPr>
            </w:pPr>
            <w:r>
              <w:rPr>
                <w:rFonts w:ascii="Arial" w:hAnsi="Arial" w:cs="Arial"/>
              </w:rPr>
              <w:t>Otras actividades deportivas</w:t>
            </w:r>
          </w:p>
        </w:tc>
        <w:tc>
          <w:tcPr>
            <w:tcW w:w="635" w:type="pct"/>
            <w:vMerge/>
          </w:tcPr>
          <w:p w14:paraId="633F94E9" w14:textId="77777777" w:rsidR="00B2442D" w:rsidRDefault="00B2442D">
            <w:pPr>
              <w:rPr>
                <w:rFonts w:ascii="Arial" w:hAnsi="Arial" w:cs="Arial"/>
              </w:rPr>
            </w:pPr>
          </w:p>
        </w:tc>
        <w:tc>
          <w:tcPr>
            <w:tcW w:w="793" w:type="pct"/>
            <w:vMerge/>
          </w:tcPr>
          <w:p w14:paraId="19409659" w14:textId="77777777" w:rsidR="00B2442D" w:rsidRDefault="00B2442D">
            <w:pPr>
              <w:rPr>
                <w:rFonts w:ascii="Arial" w:hAnsi="Arial" w:cs="Arial"/>
              </w:rPr>
            </w:pPr>
          </w:p>
        </w:tc>
      </w:tr>
      <w:tr w:rsidR="00B2442D" w14:paraId="2EB07A39" w14:textId="77777777">
        <w:tc>
          <w:tcPr>
            <w:tcW w:w="1113" w:type="pct"/>
          </w:tcPr>
          <w:p w14:paraId="3FA9C802" w14:textId="77777777" w:rsidR="00B2442D" w:rsidRDefault="00B2442D">
            <w:pPr>
              <w:rPr>
                <w:rFonts w:ascii="Arial" w:hAnsi="Arial" w:cs="Arial"/>
              </w:rPr>
            </w:pPr>
          </w:p>
        </w:tc>
        <w:tc>
          <w:tcPr>
            <w:tcW w:w="867" w:type="pct"/>
          </w:tcPr>
          <w:p w14:paraId="6F6ABB88" w14:textId="77777777" w:rsidR="00B2442D" w:rsidRDefault="008A645F">
            <w:pPr>
              <w:jc w:val="center"/>
              <w:rPr>
                <w:rFonts w:ascii="Arial" w:hAnsi="Arial" w:cs="Arial"/>
              </w:rPr>
            </w:pPr>
            <w:r>
              <w:rPr>
                <w:rFonts w:ascii="Arial" w:hAnsi="Arial" w:cs="Arial"/>
              </w:rPr>
              <w:t>9321</w:t>
            </w:r>
          </w:p>
        </w:tc>
        <w:tc>
          <w:tcPr>
            <w:tcW w:w="1592" w:type="pct"/>
          </w:tcPr>
          <w:p w14:paraId="6CA94332" w14:textId="77777777" w:rsidR="00B2442D" w:rsidRDefault="008A645F">
            <w:pPr>
              <w:jc w:val="both"/>
              <w:rPr>
                <w:rFonts w:ascii="Arial" w:hAnsi="Arial" w:cs="Arial"/>
              </w:rPr>
            </w:pPr>
            <w:r>
              <w:rPr>
                <w:rFonts w:ascii="Arial" w:hAnsi="Arial" w:cs="Arial"/>
              </w:rPr>
              <w:t>Actividades de parques de atracciones y parques</w:t>
            </w:r>
            <w:r>
              <w:rPr>
                <w:rFonts w:ascii="Arial" w:hAnsi="Arial" w:cs="Arial"/>
              </w:rPr>
              <w:br/>
              <w:t>temáticos</w:t>
            </w:r>
          </w:p>
        </w:tc>
        <w:tc>
          <w:tcPr>
            <w:tcW w:w="635" w:type="pct"/>
            <w:vMerge/>
          </w:tcPr>
          <w:p w14:paraId="3483B97E" w14:textId="77777777" w:rsidR="00B2442D" w:rsidRDefault="00B2442D">
            <w:pPr>
              <w:rPr>
                <w:rFonts w:ascii="Arial" w:hAnsi="Arial" w:cs="Arial"/>
              </w:rPr>
            </w:pPr>
          </w:p>
        </w:tc>
        <w:tc>
          <w:tcPr>
            <w:tcW w:w="793" w:type="pct"/>
            <w:vMerge/>
          </w:tcPr>
          <w:p w14:paraId="3C6FF901" w14:textId="77777777" w:rsidR="00B2442D" w:rsidRDefault="00B2442D">
            <w:pPr>
              <w:rPr>
                <w:rFonts w:ascii="Arial" w:hAnsi="Arial" w:cs="Arial"/>
              </w:rPr>
            </w:pPr>
          </w:p>
        </w:tc>
      </w:tr>
      <w:tr w:rsidR="00B2442D" w14:paraId="24BB1BAD" w14:textId="77777777">
        <w:tc>
          <w:tcPr>
            <w:tcW w:w="1113" w:type="pct"/>
          </w:tcPr>
          <w:p w14:paraId="434DB4E6" w14:textId="77777777" w:rsidR="00B2442D" w:rsidRDefault="00B2442D">
            <w:pPr>
              <w:rPr>
                <w:rFonts w:ascii="Arial" w:hAnsi="Arial" w:cs="Arial"/>
              </w:rPr>
            </w:pPr>
          </w:p>
        </w:tc>
        <w:tc>
          <w:tcPr>
            <w:tcW w:w="867" w:type="pct"/>
          </w:tcPr>
          <w:p w14:paraId="1721AD61" w14:textId="77777777" w:rsidR="00B2442D" w:rsidRDefault="008A645F">
            <w:pPr>
              <w:jc w:val="center"/>
              <w:rPr>
                <w:rFonts w:ascii="Arial" w:hAnsi="Arial" w:cs="Arial"/>
              </w:rPr>
            </w:pPr>
            <w:r>
              <w:rPr>
                <w:rFonts w:ascii="Arial" w:hAnsi="Arial" w:cs="Arial"/>
              </w:rPr>
              <w:t>9329</w:t>
            </w:r>
          </w:p>
        </w:tc>
        <w:tc>
          <w:tcPr>
            <w:tcW w:w="1592" w:type="pct"/>
          </w:tcPr>
          <w:p w14:paraId="02052335" w14:textId="77777777" w:rsidR="00B2442D" w:rsidRDefault="008A645F">
            <w:pPr>
              <w:jc w:val="both"/>
              <w:rPr>
                <w:rFonts w:ascii="Arial" w:hAnsi="Arial" w:cs="Arial"/>
              </w:rPr>
            </w:pPr>
            <w:r>
              <w:rPr>
                <w:rFonts w:ascii="Arial" w:hAnsi="Arial" w:cs="Arial"/>
              </w:rPr>
              <w:t xml:space="preserve">Otras actividades recreativas y  de </w:t>
            </w:r>
            <w:r>
              <w:rPr>
                <w:rFonts w:ascii="Arial" w:hAnsi="Arial" w:cs="Arial"/>
              </w:rPr>
              <w:t>esparcimiento</w:t>
            </w:r>
            <w:r>
              <w:rPr>
                <w:rFonts w:ascii="Arial" w:hAnsi="Arial" w:cs="Arial"/>
              </w:rPr>
              <w:br/>
              <w:t>n.c.p.</w:t>
            </w:r>
          </w:p>
        </w:tc>
        <w:tc>
          <w:tcPr>
            <w:tcW w:w="635" w:type="pct"/>
            <w:vMerge/>
          </w:tcPr>
          <w:p w14:paraId="1A2447E0" w14:textId="77777777" w:rsidR="00B2442D" w:rsidRDefault="00B2442D">
            <w:pPr>
              <w:rPr>
                <w:rFonts w:ascii="Arial" w:hAnsi="Arial" w:cs="Arial"/>
              </w:rPr>
            </w:pPr>
          </w:p>
        </w:tc>
        <w:tc>
          <w:tcPr>
            <w:tcW w:w="793" w:type="pct"/>
            <w:vMerge/>
          </w:tcPr>
          <w:p w14:paraId="7CE628E0" w14:textId="77777777" w:rsidR="00B2442D" w:rsidRDefault="00B2442D">
            <w:pPr>
              <w:rPr>
                <w:rFonts w:ascii="Arial" w:hAnsi="Arial" w:cs="Arial"/>
              </w:rPr>
            </w:pPr>
          </w:p>
        </w:tc>
      </w:tr>
    </w:tbl>
    <w:p w14:paraId="392190E4" w14:textId="77777777" w:rsidR="00B2442D" w:rsidRDefault="00B2442D">
      <w:pP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417"/>
        <w:gridCol w:w="2845"/>
        <w:gridCol w:w="1276"/>
        <w:gridCol w:w="1276"/>
      </w:tblGrid>
      <w:tr w:rsidR="00B2442D" w14:paraId="48FC7C6B" w14:textId="77777777">
        <w:tc>
          <w:tcPr>
            <w:tcW w:w="2122" w:type="dxa"/>
            <w:vAlign w:val="center"/>
          </w:tcPr>
          <w:p w14:paraId="57C05AE3"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Actividad</w:t>
            </w:r>
          </w:p>
        </w:tc>
        <w:tc>
          <w:tcPr>
            <w:tcW w:w="1417" w:type="dxa"/>
            <w:vAlign w:val="center"/>
          </w:tcPr>
          <w:p w14:paraId="096B8B10"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Código</w:t>
            </w:r>
            <w:r>
              <w:rPr>
                <w:rFonts w:ascii="Arial" w:hAnsi="Arial" w:cs="Arial"/>
                <w:b/>
                <w:bCs/>
              </w:rPr>
              <w:br/>
              <w:t>actividad</w:t>
            </w:r>
            <w:r>
              <w:rPr>
                <w:rFonts w:ascii="Arial" w:hAnsi="Arial" w:cs="Arial"/>
                <w:b/>
                <w:bCs/>
              </w:rPr>
              <w:br/>
              <w:t>económica</w:t>
            </w:r>
          </w:p>
        </w:tc>
        <w:tc>
          <w:tcPr>
            <w:tcW w:w="2845" w:type="dxa"/>
            <w:vAlign w:val="center"/>
          </w:tcPr>
          <w:p w14:paraId="7DC29B0F"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Nombre actividad económica</w:t>
            </w:r>
          </w:p>
        </w:tc>
        <w:tc>
          <w:tcPr>
            <w:tcW w:w="1276" w:type="dxa"/>
            <w:vAlign w:val="center"/>
          </w:tcPr>
          <w:p w14:paraId="2DC37BC5"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Para</w:t>
            </w:r>
            <w:r>
              <w:rPr>
                <w:rFonts w:ascii="Arial" w:hAnsi="Arial" w:cs="Arial"/>
                <w:b/>
                <w:bCs/>
              </w:rPr>
              <w:br/>
              <w:t>RGA</w:t>
            </w:r>
            <w:r>
              <w:rPr>
                <w:rFonts w:ascii="Arial" w:hAnsi="Arial" w:cs="Arial"/>
                <w:b/>
                <w:bCs/>
              </w:rPr>
              <w:br/>
              <w:t>desde</w:t>
            </w:r>
          </w:p>
        </w:tc>
        <w:tc>
          <w:tcPr>
            <w:tcW w:w="1276" w:type="dxa"/>
            <w:vAlign w:val="center"/>
          </w:tcPr>
          <w:p w14:paraId="3F700F01"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IMAS</w:t>
            </w:r>
          </w:p>
        </w:tc>
      </w:tr>
      <w:tr w:rsidR="00B2442D" w14:paraId="455A2515" w14:textId="77777777">
        <w:tc>
          <w:tcPr>
            <w:tcW w:w="2122" w:type="dxa"/>
            <w:vAlign w:val="center"/>
          </w:tcPr>
          <w:p w14:paraId="193DF3A8"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Agropecuario,</w:t>
            </w:r>
            <w:r>
              <w:rPr>
                <w:rFonts w:ascii="Arial" w:hAnsi="Arial" w:cs="Arial"/>
                <w:b/>
                <w:bCs/>
              </w:rPr>
              <w:br/>
              <w:t>silvicultura y</w:t>
            </w:r>
            <w:r>
              <w:rPr>
                <w:rFonts w:ascii="Arial" w:hAnsi="Arial" w:cs="Arial"/>
                <w:b/>
                <w:bCs/>
              </w:rPr>
              <w:br/>
              <w:t>pesca</w:t>
            </w:r>
          </w:p>
        </w:tc>
        <w:tc>
          <w:tcPr>
            <w:tcW w:w="1417" w:type="dxa"/>
            <w:vAlign w:val="center"/>
          </w:tcPr>
          <w:p w14:paraId="78B9454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0111</w:t>
            </w:r>
          </w:p>
        </w:tc>
        <w:tc>
          <w:tcPr>
            <w:tcW w:w="2845" w:type="dxa"/>
          </w:tcPr>
          <w:p w14:paraId="76A2A48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cereales (excepto arroz), legumbres y semillas oleaginosas</w:t>
            </w:r>
          </w:p>
        </w:tc>
        <w:tc>
          <w:tcPr>
            <w:tcW w:w="1276" w:type="dxa"/>
            <w:vMerge w:val="restart"/>
            <w:vAlign w:val="center"/>
          </w:tcPr>
          <w:p w14:paraId="588FC29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7.143</w:t>
            </w:r>
            <w:r>
              <w:rPr>
                <w:rFonts w:ascii="Arial" w:hAnsi="Arial" w:cs="Arial"/>
              </w:rPr>
              <w:br/>
              <w:t>UVT</w:t>
            </w:r>
          </w:p>
        </w:tc>
        <w:tc>
          <w:tcPr>
            <w:tcW w:w="1276" w:type="dxa"/>
            <w:vMerge w:val="restart"/>
            <w:vAlign w:val="center"/>
          </w:tcPr>
          <w:p w14:paraId="1E29D196"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1,23% * (RGA</w:t>
            </w:r>
            <w:r>
              <w:rPr>
                <w:rFonts w:ascii="Arial" w:hAnsi="Arial" w:cs="Arial"/>
              </w:rPr>
              <w:br/>
              <w:t>en UVT –</w:t>
            </w:r>
            <w:r>
              <w:rPr>
                <w:rFonts w:ascii="Arial" w:hAnsi="Arial" w:cs="Arial"/>
              </w:rPr>
              <w:br/>
            </w:r>
            <w:r>
              <w:rPr>
                <w:rFonts w:ascii="Arial" w:hAnsi="Arial" w:cs="Arial"/>
              </w:rPr>
              <w:t>7.143)</w:t>
            </w:r>
          </w:p>
        </w:tc>
      </w:tr>
      <w:tr w:rsidR="00B2442D" w14:paraId="2098E935" w14:textId="77777777">
        <w:tc>
          <w:tcPr>
            <w:tcW w:w="2122" w:type="dxa"/>
            <w:vAlign w:val="center"/>
          </w:tcPr>
          <w:p w14:paraId="2E4D7C4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DA6A8D4"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0112</w:t>
            </w:r>
          </w:p>
        </w:tc>
        <w:tc>
          <w:tcPr>
            <w:tcW w:w="2845" w:type="dxa"/>
            <w:vAlign w:val="center"/>
          </w:tcPr>
          <w:p w14:paraId="2DA7CDD2"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arroz</w:t>
            </w:r>
          </w:p>
        </w:tc>
        <w:tc>
          <w:tcPr>
            <w:tcW w:w="1276" w:type="dxa"/>
            <w:vMerge/>
          </w:tcPr>
          <w:p w14:paraId="198FAE0F"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81534D7" w14:textId="77777777" w:rsidR="00B2442D" w:rsidRDefault="00B2442D">
            <w:pPr>
              <w:widowControl w:val="0"/>
              <w:autoSpaceDE w:val="0"/>
              <w:autoSpaceDN w:val="0"/>
              <w:adjustRightInd w:val="0"/>
              <w:spacing w:line="40" w:lineRule="atLeast"/>
              <w:rPr>
                <w:rFonts w:ascii="Arial" w:hAnsi="Arial" w:cs="Arial"/>
              </w:rPr>
            </w:pPr>
          </w:p>
        </w:tc>
      </w:tr>
      <w:tr w:rsidR="00B2442D" w14:paraId="058A12A0" w14:textId="77777777">
        <w:tc>
          <w:tcPr>
            <w:tcW w:w="2122" w:type="dxa"/>
            <w:vAlign w:val="center"/>
          </w:tcPr>
          <w:p w14:paraId="25376C9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A4D007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0113</w:t>
            </w:r>
          </w:p>
        </w:tc>
        <w:tc>
          <w:tcPr>
            <w:tcW w:w="2845" w:type="dxa"/>
            <w:vAlign w:val="center"/>
          </w:tcPr>
          <w:p w14:paraId="5717D6D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hortalizas, raíces y tubérculos</w:t>
            </w:r>
          </w:p>
        </w:tc>
        <w:tc>
          <w:tcPr>
            <w:tcW w:w="1276" w:type="dxa"/>
            <w:vMerge/>
          </w:tcPr>
          <w:p w14:paraId="489A728A"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6828EFF2" w14:textId="77777777" w:rsidR="00B2442D" w:rsidRDefault="00B2442D">
            <w:pPr>
              <w:widowControl w:val="0"/>
              <w:autoSpaceDE w:val="0"/>
              <w:autoSpaceDN w:val="0"/>
              <w:adjustRightInd w:val="0"/>
              <w:spacing w:line="40" w:lineRule="atLeast"/>
              <w:rPr>
                <w:rFonts w:ascii="Arial" w:hAnsi="Arial" w:cs="Arial"/>
              </w:rPr>
            </w:pPr>
          </w:p>
        </w:tc>
      </w:tr>
      <w:tr w:rsidR="00B2442D" w14:paraId="7AD0A0E8" w14:textId="77777777">
        <w:tc>
          <w:tcPr>
            <w:tcW w:w="2122" w:type="dxa"/>
            <w:vAlign w:val="center"/>
          </w:tcPr>
          <w:p w14:paraId="1CF93355"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F3307F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0114</w:t>
            </w:r>
          </w:p>
        </w:tc>
        <w:tc>
          <w:tcPr>
            <w:tcW w:w="2845" w:type="dxa"/>
            <w:vAlign w:val="center"/>
          </w:tcPr>
          <w:p w14:paraId="03C6530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tabaco</w:t>
            </w:r>
          </w:p>
        </w:tc>
        <w:tc>
          <w:tcPr>
            <w:tcW w:w="1276" w:type="dxa"/>
            <w:vMerge/>
          </w:tcPr>
          <w:p w14:paraId="6A6BC60C"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399B564" w14:textId="77777777" w:rsidR="00B2442D" w:rsidRDefault="00B2442D">
            <w:pPr>
              <w:widowControl w:val="0"/>
              <w:autoSpaceDE w:val="0"/>
              <w:autoSpaceDN w:val="0"/>
              <w:adjustRightInd w:val="0"/>
              <w:spacing w:line="40" w:lineRule="atLeast"/>
              <w:rPr>
                <w:rFonts w:ascii="Arial" w:hAnsi="Arial" w:cs="Arial"/>
              </w:rPr>
            </w:pPr>
          </w:p>
        </w:tc>
      </w:tr>
      <w:tr w:rsidR="00B2442D" w14:paraId="72E82F64" w14:textId="77777777">
        <w:tc>
          <w:tcPr>
            <w:tcW w:w="2122" w:type="dxa"/>
            <w:vAlign w:val="center"/>
          </w:tcPr>
          <w:p w14:paraId="30B9CD7B"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30CC26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0115</w:t>
            </w:r>
          </w:p>
        </w:tc>
        <w:tc>
          <w:tcPr>
            <w:tcW w:w="2845" w:type="dxa"/>
            <w:vAlign w:val="center"/>
          </w:tcPr>
          <w:p w14:paraId="7B8B81CC"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plantas textiles</w:t>
            </w:r>
          </w:p>
        </w:tc>
        <w:tc>
          <w:tcPr>
            <w:tcW w:w="1276" w:type="dxa"/>
            <w:vMerge/>
          </w:tcPr>
          <w:p w14:paraId="31FF63C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DA375BA" w14:textId="77777777" w:rsidR="00B2442D" w:rsidRDefault="00B2442D">
            <w:pPr>
              <w:widowControl w:val="0"/>
              <w:autoSpaceDE w:val="0"/>
              <w:autoSpaceDN w:val="0"/>
              <w:adjustRightInd w:val="0"/>
              <w:spacing w:line="40" w:lineRule="atLeast"/>
              <w:rPr>
                <w:rFonts w:ascii="Arial" w:hAnsi="Arial" w:cs="Arial"/>
              </w:rPr>
            </w:pPr>
          </w:p>
        </w:tc>
      </w:tr>
      <w:tr w:rsidR="00B2442D" w14:paraId="72398D29" w14:textId="77777777">
        <w:tc>
          <w:tcPr>
            <w:tcW w:w="2122" w:type="dxa"/>
            <w:vAlign w:val="center"/>
          </w:tcPr>
          <w:p w14:paraId="506F12D4"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0322076"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0119</w:t>
            </w:r>
          </w:p>
        </w:tc>
        <w:tc>
          <w:tcPr>
            <w:tcW w:w="2845" w:type="dxa"/>
            <w:vAlign w:val="center"/>
          </w:tcPr>
          <w:p w14:paraId="2E1439B7"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Otros cultivos transitorios n.c.p.</w:t>
            </w:r>
          </w:p>
        </w:tc>
        <w:tc>
          <w:tcPr>
            <w:tcW w:w="1276" w:type="dxa"/>
            <w:vMerge/>
          </w:tcPr>
          <w:p w14:paraId="58F6FC11"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631092C" w14:textId="77777777" w:rsidR="00B2442D" w:rsidRDefault="00B2442D">
            <w:pPr>
              <w:widowControl w:val="0"/>
              <w:autoSpaceDE w:val="0"/>
              <w:autoSpaceDN w:val="0"/>
              <w:adjustRightInd w:val="0"/>
              <w:spacing w:line="40" w:lineRule="atLeast"/>
              <w:rPr>
                <w:rFonts w:ascii="Arial" w:hAnsi="Arial" w:cs="Arial"/>
              </w:rPr>
            </w:pPr>
          </w:p>
        </w:tc>
      </w:tr>
      <w:tr w:rsidR="00B2442D" w14:paraId="13D0ABB7" w14:textId="77777777">
        <w:tc>
          <w:tcPr>
            <w:tcW w:w="2122" w:type="dxa"/>
            <w:vAlign w:val="center"/>
          </w:tcPr>
          <w:p w14:paraId="24E9563B"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69DE47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0121</w:t>
            </w:r>
          </w:p>
        </w:tc>
        <w:tc>
          <w:tcPr>
            <w:tcW w:w="2845" w:type="dxa"/>
            <w:vAlign w:val="center"/>
          </w:tcPr>
          <w:p w14:paraId="125334BA"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Cultivo de frutas tropicales y </w:t>
            </w:r>
            <w:r>
              <w:rPr>
                <w:rFonts w:ascii="Arial" w:hAnsi="Arial" w:cs="Arial"/>
              </w:rPr>
              <w:t>subtropicales</w:t>
            </w:r>
          </w:p>
        </w:tc>
        <w:tc>
          <w:tcPr>
            <w:tcW w:w="1276" w:type="dxa"/>
            <w:vMerge/>
          </w:tcPr>
          <w:p w14:paraId="1D1A8895"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DF67AC5" w14:textId="77777777" w:rsidR="00B2442D" w:rsidRDefault="00B2442D">
            <w:pPr>
              <w:widowControl w:val="0"/>
              <w:autoSpaceDE w:val="0"/>
              <w:autoSpaceDN w:val="0"/>
              <w:adjustRightInd w:val="0"/>
              <w:spacing w:line="40" w:lineRule="atLeast"/>
              <w:rPr>
                <w:rFonts w:ascii="Arial" w:hAnsi="Arial" w:cs="Arial"/>
              </w:rPr>
            </w:pPr>
          </w:p>
        </w:tc>
      </w:tr>
      <w:tr w:rsidR="00B2442D" w14:paraId="2C37CFD1" w14:textId="77777777">
        <w:tc>
          <w:tcPr>
            <w:tcW w:w="2122" w:type="dxa"/>
            <w:vAlign w:val="center"/>
          </w:tcPr>
          <w:p w14:paraId="47583E48"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F5A2FD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0122</w:t>
            </w:r>
          </w:p>
        </w:tc>
        <w:tc>
          <w:tcPr>
            <w:tcW w:w="2845" w:type="dxa"/>
            <w:vAlign w:val="center"/>
          </w:tcPr>
          <w:p w14:paraId="61EA233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plátano y banano</w:t>
            </w:r>
          </w:p>
        </w:tc>
        <w:tc>
          <w:tcPr>
            <w:tcW w:w="1276" w:type="dxa"/>
            <w:vMerge/>
          </w:tcPr>
          <w:p w14:paraId="6E560C8F"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62CB565" w14:textId="77777777" w:rsidR="00B2442D" w:rsidRDefault="00B2442D">
            <w:pPr>
              <w:widowControl w:val="0"/>
              <w:autoSpaceDE w:val="0"/>
              <w:autoSpaceDN w:val="0"/>
              <w:adjustRightInd w:val="0"/>
              <w:spacing w:line="40" w:lineRule="atLeast"/>
              <w:rPr>
                <w:rFonts w:ascii="Arial" w:hAnsi="Arial" w:cs="Arial"/>
              </w:rPr>
            </w:pPr>
          </w:p>
        </w:tc>
      </w:tr>
      <w:tr w:rsidR="00B2442D" w14:paraId="3DB11387" w14:textId="77777777">
        <w:tc>
          <w:tcPr>
            <w:tcW w:w="2122" w:type="dxa"/>
            <w:vAlign w:val="center"/>
          </w:tcPr>
          <w:p w14:paraId="742C3C98"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01D91D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0123</w:t>
            </w:r>
          </w:p>
        </w:tc>
        <w:tc>
          <w:tcPr>
            <w:tcW w:w="2845" w:type="dxa"/>
            <w:vAlign w:val="center"/>
          </w:tcPr>
          <w:p w14:paraId="69710AC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café</w:t>
            </w:r>
          </w:p>
        </w:tc>
        <w:tc>
          <w:tcPr>
            <w:tcW w:w="1276" w:type="dxa"/>
            <w:vMerge/>
          </w:tcPr>
          <w:p w14:paraId="30B718B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B3BBC3B" w14:textId="77777777" w:rsidR="00B2442D" w:rsidRDefault="00B2442D">
            <w:pPr>
              <w:widowControl w:val="0"/>
              <w:autoSpaceDE w:val="0"/>
              <w:autoSpaceDN w:val="0"/>
              <w:adjustRightInd w:val="0"/>
              <w:spacing w:line="40" w:lineRule="atLeast"/>
              <w:rPr>
                <w:rFonts w:ascii="Arial" w:hAnsi="Arial" w:cs="Arial"/>
              </w:rPr>
            </w:pPr>
          </w:p>
        </w:tc>
      </w:tr>
      <w:tr w:rsidR="00B2442D" w14:paraId="285591F5" w14:textId="77777777">
        <w:tc>
          <w:tcPr>
            <w:tcW w:w="2122" w:type="dxa"/>
            <w:vAlign w:val="center"/>
          </w:tcPr>
          <w:p w14:paraId="4D46F1B1"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5B2F05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0124</w:t>
            </w:r>
          </w:p>
        </w:tc>
        <w:tc>
          <w:tcPr>
            <w:tcW w:w="2845" w:type="dxa"/>
            <w:vAlign w:val="center"/>
          </w:tcPr>
          <w:p w14:paraId="2CBBEA3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caña de azúcar</w:t>
            </w:r>
          </w:p>
        </w:tc>
        <w:tc>
          <w:tcPr>
            <w:tcW w:w="1276" w:type="dxa"/>
            <w:vMerge/>
          </w:tcPr>
          <w:p w14:paraId="40141B70"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E6D7605" w14:textId="77777777" w:rsidR="00B2442D" w:rsidRDefault="00B2442D">
            <w:pPr>
              <w:widowControl w:val="0"/>
              <w:autoSpaceDE w:val="0"/>
              <w:autoSpaceDN w:val="0"/>
              <w:adjustRightInd w:val="0"/>
              <w:spacing w:line="40" w:lineRule="atLeast"/>
              <w:rPr>
                <w:rFonts w:ascii="Arial" w:hAnsi="Arial" w:cs="Arial"/>
              </w:rPr>
            </w:pPr>
          </w:p>
        </w:tc>
      </w:tr>
      <w:tr w:rsidR="00B2442D" w14:paraId="591FADDD" w14:textId="77777777">
        <w:tc>
          <w:tcPr>
            <w:tcW w:w="2122" w:type="dxa"/>
            <w:vAlign w:val="center"/>
          </w:tcPr>
          <w:p w14:paraId="75CD2C4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B29B76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0125</w:t>
            </w:r>
          </w:p>
        </w:tc>
        <w:tc>
          <w:tcPr>
            <w:tcW w:w="2845" w:type="dxa"/>
            <w:vAlign w:val="center"/>
          </w:tcPr>
          <w:p w14:paraId="6A6DC90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flor de corte</w:t>
            </w:r>
          </w:p>
        </w:tc>
        <w:tc>
          <w:tcPr>
            <w:tcW w:w="1276" w:type="dxa"/>
            <w:vMerge/>
          </w:tcPr>
          <w:p w14:paraId="10C6E160"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8C0D7B3" w14:textId="77777777" w:rsidR="00B2442D" w:rsidRDefault="00B2442D">
            <w:pPr>
              <w:widowControl w:val="0"/>
              <w:autoSpaceDE w:val="0"/>
              <w:autoSpaceDN w:val="0"/>
              <w:adjustRightInd w:val="0"/>
              <w:spacing w:line="40" w:lineRule="atLeast"/>
              <w:rPr>
                <w:rFonts w:ascii="Arial" w:hAnsi="Arial" w:cs="Arial"/>
              </w:rPr>
            </w:pPr>
          </w:p>
        </w:tc>
      </w:tr>
      <w:tr w:rsidR="00B2442D" w14:paraId="1B877768" w14:textId="77777777">
        <w:tc>
          <w:tcPr>
            <w:tcW w:w="2122" w:type="dxa"/>
            <w:vAlign w:val="center"/>
          </w:tcPr>
          <w:p w14:paraId="2F5DEE3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187D81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0126</w:t>
            </w:r>
          </w:p>
        </w:tc>
        <w:tc>
          <w:tcPr>
            <w:tcW w:w="2845" w:type="dxa"/>
          </w:tcPr>
          <w:p w14:paraId="137ADC9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palma para aceite (palma africana) y otros frutos oleaginosos</w:t>
            </w:r>
          </w:p>
        </w:tc>
        <w:tc>
          <w:tcPr>
            <w:tcW w:w="1276" w:type="dxa"/>
            <w:vMerge/>
          </w:tcPr>
          <w:p w14:paraId="6B6CDFE5"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AD654FE" w14:textId="77777777" w:rsidR="00B2442D" w:rsidRDefault="00B2442D">
            <w:pPr>
              <w:widowControl w:val="0"/>
              <w:autoSpaceDE w:val="0"/>
              <w:autoSpaceDN w:val="0"/>
              <w:adjustRightInd w:val="0"/>
              <w:spacing w:line="40" w:lineRule="atLeast"/>
              <w:rPr>
                <w:rFonts w:ascii="Arial" w:hAnsi="Arial" w:cs="Arial"/>
              </w:rPr>
            </w:pPr>
          </w:p>
        </w:tc>
      </w:tr>
      <w:tr w:rsidR="00B2442D" w14:paraId="54A26C3B" w14:textId="77777777">
        <w:tc>
          <w:tcPr>
            <w:tcW w:w="2122" w:type="dxa"/>
            <w:vAlign w:val="center"/>
          </w:tcPr>
          <w:p w14:paraId="36FC902C"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233B51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0127</w:t>
            </w:r>
          </w:p>
        </w:tc>
        <w:tc>
          <w:tcPr>
            <w:tcW w:w="2845" w:type="dxa"/>
            <w:vAlign w:val="center"/>
          </w:tcPr>
          <w:p w14:paraId="64B6E34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Cultivo de </w:t>
            </w:r>
            <w:r>
              <w:rPr>
                <w:rFonts w:ascii="Arial" w:hAnsi="Arial" w:cs="Arial"/>
              </w:rPr>
              <w:t>plantas con las que se preparan bebidas</w:t>
            </w:r>
          </w:p>
        </w:tc>
        <w:tc>
          <w:tcPr>
            <w:tcW w:w="1276" w:type="dxa"/>
            <w:vMerge/>
          </w:tcPr>
          <w:p w14:paraId="573B3121"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4D89A41" w14:textId="77777777" w:rsidR="00B2442D" w:rsidRDefault="00B2442D">
            <w:pPr>
              <w:widowControl w:val="0"/>
              <w:autoSpaceDE w:val="0"/>
              <w:autoSpaceDN w:val="0"/>
              <w:adjustRightInd w:val="0"/>
              <w:spacing w:line="40" w:lineRule="atLeast"/>
              <w:rPr>
                <w:rFonts w:ascii="Arial" w:hAnsi="Arial" w:cs="Arial"/>
              </w:rPr>
            </w:pPr>
          </w:p>
        </w:tc>
      </w:tr>
      <w:tr w:rsidR="00B2442D" w14:paraId="5A544889" w14:textId="77777777">
        <w:tc>
          <w:tcPr>
            <w:tcW w:w="2122" w:type="dxa"/>
            <w:vAlign w:val="center"/>
          </w:tcPr>
          <w:p w14:paraId="761EEB3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B33CB9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0128</w:t>
            </w:r>
          </w:p>
        </w:tc>
        <w:tc>
          <w:tcPr>
            <w:tcW w:w="2845" w:type="dxa"/>
          </w:tcPr>
          <w:p w14:paraId="2D165BD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Cultivo de especias y de plantas aromáticas y medicinales</w:t>
            </w:r>
          </w:p>
        </w:tc>
        <w:tc>
          <w:tcPr>
            <w:tcW w:w="1276" w:type="dxa"/>
            <w:vMerge/>
          </w:tcPr>
          <w:p w14:paraId="4DCEF85D"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81AE1C7" w14:textId="77777777" w:rsidR="00B2442D" w:rsidRDefault="00B2442D">
            <w:pPr>
              <w:widowControl w:val="0"/>
              <w:autoSpaceDE w:val="0"/>
              <w:autoSpaceDN w:val="0"/>
              <w:adjustRightInd w:val="0"/>
              <w:spacing w:line="40" w:lineRule="atLeast"/>
              <w:rPr>
                <w:rFonts w:ascii="Arial" w:hAnsi="Arial" w:cs="Arial"/>
              </w:rPr>
            </w:pPr>
          </w:p>
        </w:tc>
      </w:tr>
      <w:tr w:rsidR="00B2442D" w14:paraId="2C7D09DC" w14:textId="77777777">
        <w:tc>
          <w:tcPr>
            <w:tcW w:w="2122" w:type="dxa"/>
            <w:vAlign w:val="center"/>
          </w:tcPr>
          <w:p w14:paraId="6E6FA747"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C71442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0129</w:t>
            </w:r>
          </w:p>
        </w:tc>
        <w:tc>
          <w:tcPr>
            <w:tcW w:w="2845" w:type="dxa"/>
            <w:vAlign w:val="center"/>
          </w:tcPr>
          <w:p w14:paraId="304F913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Otros cultivos permanentes n.c.p.</w:t>
            </w:r>
          </w:p>
        </w:tc>
        <w:tc>
          <w:tcPr>
            <w:tcW w:w="1276" w:type="dxa"/>
            <w:vMerge/>
          </w:tcPr>
          <w:p w14:paraId="77829BAE"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689B64F5" w14:textId="77777777" w:rsidR="00B2442D" w:rsidRDefault="00B2442D">
            <w:pPr>
              <w:widowControl w:val="0"/>
              <w:autoSpaceDE w:val="0"/>
              <w:autoSpaceDN w:val="0"/>
              <w:adjustRightInd w:val="0"/>
              <w:spacing w:line="40" w:lineRule="atLeast"/>
              <w:rPr>
                <w:rFonts w:ascii="Arial" w:hAnsi="Arial" w:cs="Arial"/>
              </w:rPr>
            </w:pPr>
          </w:p>
        </w:tc>
      </w:tr>
      <w:tr w:rsidR="00B2442D" w14:paraId="0437ADA5" w14:textId="77777777">
        <w:tc>
          <w:tcPr>
            <w:tcW w:w="2122" w:type="dxa"/>
            <w:vAlign w:val="center"/>
          </w:tcPr>
          <w:p w14:paraId="53F00441"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9E0087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0130</w:t>
            </w:r>
          </w:p>
        </w:tc>
        <w:tc>
          <w:tcPr>
            <w:tcW w:w="2845" w:type="dxa"/>
          </w:tcPr>
          <w:p w14:paraId="62B137FC"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Propagación de plantas (actividades de los viveros, excepto viveros forestales)</w:t>
            </w:r>
          </w:p>
        </w:tc>
        <w:tc>
          <w:tcPr>
            <w:tcW w:w="1276" w:type="dxa"/>
            <w:vMerge/>
          </w:tcPr>
          <w:p w14:paraId="43BDA353"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D2F8CC1" w14:textId="77777777" w:rsidR="00B2442D" w:rsidRDefault="00B2442D">
            <w:pPr>
              <w:widowControl w:val="0"/>
              <w:autoSpaceDE w:val="0"/>
              <w:autoSpaceDN w:val="0"/>
              <w:adjustRightInd w:val="0"/>
              <w:spacing w:line="40" w:lineRule="atLeast"/>
              <w:rPr>
                <w:rFonts w:ascii="Arial" w:hAnsi="Arial" w:cs="Arial"/>
              </w:rPr>
            </w:pPr>
          </w:p>
        </w:tc>
      </w:tr>
      <w:tr w:rsidR="00B2442D" w14:paraId="5D41312B" w14:textId="77777777">
        <w:tc>
          <w:tcPr>
            <w:tcW w:w="2122" w:type="dxa"/>
            <w:vAlign w:val="center"/>
          </w:tcPr>
          <w:p w14:paraId="670D4B2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04086066"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0141</w:t>
            </w:r>
          </w:p>
        </w:tc>
        <w:tc>
          <w:tcPr>
            <w:tcW w:w="2845" w:type="dxa"/>
            <w:vAlign w:val="center"/>
          </w:tcPr>
          <w:p w14:paraId="5066E4F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Cría </w:t>
            </w:r>
            <w:r>
              <w:rPr>
                <w:rFonts w:ascii="Arial" w:hAnsi="Arial" w:cs="Arial"/>
              </w:rPr>
              <w:t>de ganado bovino y bufalino</w:t>
            </w:r>
          </w:p>
        </w:tc>
        <w:tc>
          <w:tcPr>
            <w:tcW w:w="1276" w:type="dxa"/>
            <w:vMerge/>
          </w:tcPr>
          <w:p w14:paraId="166BF078"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5F4D94D" w14:textId="77777777" w:rsidR="00B2442D" w:rsidRDefault="00B2442D">
            <w:pPr>
              <w:widowControl w:val="0"/>
              <w:autoSpaceDE w:val="0"/>
              <w:autoSpaceDN w:val="0"/>
              <w:adjustRightInd w:val="0"/>
              <w:spacing w:line="40" w:lineRule="atLeast"/>
              <w:rPr>
                <w:rFonts w:ascii="Arial" w:hAnsi="Arial" w:cs="Arial"/>
              </w:rPr>
            </w:pPr>
          </w:p>
        </w:tc>
      </w:tr>
      <w:tr w:rsidR="00B2442D" w14:paraId="7F2604CD" w14:textId="77777777">
        <w:tc>
          <w:tcPr>
            <w:tcW w:w="2122" w:type="dxa"/>
            <w:vAlign w:val="center"/>
          </w:tcPr>
          <w:p w14:paraId="2908226D"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81D875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0142</w:t>
            </w:r>
          </w:p>
        </w:tc>
        <w:tc>
          <w:tcPr>
            <w:tcW w:w="2845" w:type="dxa"/>
            <w:vAlign w:val="center"/>
          </w:tcPr>
          <w:p w14:paraId="5FDDE2F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Cría de caballos y otros equinos</w:t>
            </w:r>
          </w:p>
        </w:tc>
        <w:tc>
          <w:tcPr>
            <w:tcW w:w="1276" w:type="dxa"/>
            <w:vMerge/>
          </w:tcPr>
          <w:p w14:paraId="5E5990DF"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D17A51D" w14:textId="77777777" w:rsidR="00B2442D" w:rsidRDefault="00B2442D">
            <w:pPr>
              <w:widowControl w:val="0"/>
              <w:autoSpaceDE w:val="0"/>
              <w:autoSpaceDN w:val="0"/>
              <w:adjustRightInd w:val="0"/>
              <w:spacing w:line="40" w:lineRule="atLeast"/>
              <w:rPr>
                <w:rFonts w:ascii="Arial" w:hAnsi="Arial" w:cs="Arial"/>
              </w:rPr>
            </w:pPr>
          </w:p>
        </w:tc>
      </w:tr>
      <w:tr w:rsidR="00B2442D" w14:paraId="5BA63C8B" w14:textId="77777777">
        <w:tc>
          <w:tcPr>
            <w:tcW w:w="2122" w:type="dxa"/>
            <w:vAlign w:val="center"/>
          </w:tcPr>
          <w:p w14:paraId="7093204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74B700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0143</w:t>
            </w:r>
          </w:p>
        </w:tc>
        <w:tc>
          <w:tcPr>
            <w:tcW w:w="2845" w:type="dxa"/>
            <w:vAlign w:val="center"/>
          </w:tcPr>
          <w:p w14:paraId="0414D99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Cría de ovejas y cabras</w:t>
            </w:r>
          </w:p>
        </w:tc>
        <w:tc>
          <w:tcPr>
            <w:tcW w:w="1276" w:type="dxa"/>
            <w:vMerge/>
          </w:tcPr>
          <w:p w14:paraId="2EEB452D"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2C99D5A" w14:textId="77777777" w:rsidR="00B2442D" w:rsidRDefault="00B2442D">
            <w:pPr>
              <w:widowControl w:val="0"/>
              <w:autoSpaceDE w:val="0"/>
              <w:autoSpaceDN w:val="0"/>
              <w:adjustRightInd w:val="0"/>
              <w:spacing w:line="40" w:lineRule="atLeast"/>
              <w:rPr>
                <w:rFonts w:ascii="Arial" w:hAnsi="Arial" w:cs="Arial"/>
              </w:rPr>
            </w:pPr>
          </w:p>
        </w:tc>
      </w:tr>
      <w:tr w:rsidR="00B2442D" w14:paraId="1404247F" w14:textId="77777777">
        <w:tc>
          <w:tcPr>
            <w:tcW w:w="2122" w:type="dxa"/>
            <w:vAlign w:val="center"/>
          </w:tcPr>
          <w:p w14:paraId="136D78D7"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9C1898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0144</w:t>
            </w:r>
          </w:p>
        </w:tc>
        <w:tc>
          <w:tcPr>
            <w:tcW w:w="2845" w:type="dxa"/>
            <w:vAlign w:val="center"/>
          </w:tcPr>
          <w:p w14:paraId="40C4D29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Cría de ganado porcino</w:t>
            </w:r>
          </w:p>
        </w:tc>
        <w:tc>
          <w:tcPr>
            <w:tcW w:w="1276" w:type="dxa"/>
            <w:vMerge/>
          </w:tcPr>
          <w:p w14:paraId="59CF8B39"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A1CF588" w14:textId="77777777" w:rsidR="00B2442D" w:rsidRDefault="00B2442D">
            <w:pPr>
              <w:widowControl w:val="0"/>
              <w:autoSpaceDE w:val="0"/>
              <w:autoSpaceDN w:val="0"/>
              <w:adjustRightInd w:val="0"/>
              <w:spacing w:line="40" w:lineRule="atLeast"/>
              <w:rPr>
                <w:rFonts w:ascii="Arial" w:hAnsi="Arial" w:cs="Arial"/>
              </w:rPr>
            </w:pPr>
          </w:p>
        </w:tc>
      </w:tr>
      <w:tr w:rsidR="00B2442D" w14:paraId="29392970" w14:textId="77777777">
        <w:tc>
          <w:tcPr>
            <w:tcW w:w="2122" w:type="dxa"/>
            <w:vAlign w:val="center"/>
          </w:tcPr>
          <w:p w14:paraId="7DF8D78D"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E723DFF"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0145</w:t>
            </w:r>
          </w:p>
        </w:tc>
        <w:tc>
          <w:tcPr>
            <w:tcW w:w="2845" w:type="dxa"/>
            <w:vAlign w:val="center"/>
          </w:tcPr>
          <w:p w14:paraId="0FC1508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Cría de aves de corral</w:t>
            </w:r>
          </w:p>
        </w:tc>
        <w:tc>
          <w:tcPr>
            <w:tcW w:w="1276" w:type="dxa"/>
            <w:vMerge/>
          </w:tcPr>
          <w:p w14:paraId="063C272A"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CB725FD" w14:textId="77777777" w:rsidR="00B2442D" w:rsidRDefault="00B2442D">
            <w:pPr>
              <w:widowControl w:val="0"/>
              <w:autoSpaceDE w:val="0"/>
              <w:autoSpaceDN w:val="0"/>
              <w:adjustRightInd w:val="0"/>
              <w:spacing w:line="40" w:lineRule="atLeast"/>
              <w:rPr>
                <w:rFonts w:ascii="Arial" w:hAnsi="Arial" w:cs="Arial"/>
              </w:rPr>
            </w:pPr>
          </w:p>
        </w:tc>
      </w:tr>
      <w:tr w:rsidR="00B2442D" w14:paraId="6A0E4190" w14:textId="77777777">
        <w:tc>
          <w:tcPr>
            <w:tcW w:w="2122" w:type="dxa"/>
            <w:vAlign w:val="center"/>
          </w:tcPr>
          <w:p w14:paraId="10F76EF4"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F68422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0149</w:t>
            </w:r>
          </w:p>
        </w:tc>
        <w:tc>
          <w:tcPr>
            <w:tcW w:w="2845" w:type="dxa"/>
            <w:vAlign w:val="center"/>
          </w:tcPr>
          <w:p w14:paraId="5DBDF4B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Cría de otros animales n.c.p.</w:t>
            </w:r>
          </w:p>
        </w:tc>
        <w:tc>
          <w:tcPr>
            <w:tcW w:w="1276" w:type="dxa"/>
            <w:vMerge/>
          </w:tcPr>
          <w:p w14:paraId="5B6296CE"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04033C0" w14:textId="77777777" w:rsidR="00B2442D" w:rsidRDefault="00B2442D">
            <w:pPr>
              <w:widowControl w:val="0"/>
              <w:autoSpaceDE w:val="0"/>
              <w:autoSpaceDN w:val="0"/>
              <w:adjustRightInd w:val="0"/>
              <w:spacing w:line="40" w:lineRule="atLeast"/>
              <w:rPr>
                <w:rFonts w:ascii="Arial" w:hAnsi="Arial" w:cs="Arial"/>
              </w:rPr>
            </w:pPr>
          </w:p>
        </w:tc>
      </w:tr>
      <w:tr w:rsidR="00B2442D" w14:paraId="4496F781" w14:textId="77777777">
        <w:tc>
          <w:tcPr>
            <w:tcW w:w="2122" w:type="dxa"/>
            <w:vAlign w:val="center"/>
          </w:tcPr>
          <w:p w14:paraId="3FF6120C"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E1F1CF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0150</w:t>
            </w:r>
          </w:p>
        </w:tc>
        <w:tc>
          <w:tcPr>
            <w:tcW w:w="2845" w:type="dxa"/>
            <w:vAlign w:val="center"/>
          </w:tcPr>
          <w:p w14:paraId="6AA6276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Explotación mixta (agrícola y </w:t>
            </w:r>
            <w:r>
              <w:rPr>
                <w:rFonts w:ascii="Arial" w:hAnsi="Arial" w:cs="Arial"/>
              </w:rPr>
              <w:t>pecuaria)</w:t>
            </w:r>
          </w:p>
        </w:tc>
        <w:tc>
          <w:tcPr>
            <w:tcW w:w="1276" w:type="dxa"/>
            <w:vMerge/>
          </w:tcPr>
          <w:p w14:paraId="0343BE05"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8DD807C" w14:textId="77777777" w:rsidR="00B2442D" w:rsidRDefault="00B2442D">
            <w:pPr>
              <w:widowControl w:val="0"/>
              <w:autoSpaceDE w:val="0"/>
              <w:autoSpaceDN w:val="0"/>
              <w:adjustRightInd w:val="0"/>
              <w:spacing w:line="40" w:lineRule="atLeast"/>
              <w:rPr>
                <w:rFonts w:ascii="Arial" w:hAnsi="Arial" w:cs="Arial"/>
              </w:rPr>
            </w:pPr>
          </w:p>
        </w:tc>
      </w:tr>
      <w:tr w:rsidR="00B2442D" w14:paraId="20D8AAA9" w14:textId="77777777">
        <w:tc>
          <w:tcPr>
            <w:tcW w:w="2122" w:type="dxa"/>
            <w:vAlign w:val="center"/>
          </w:tcPr>
          <w:p w14:paraId="6EA1F444"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624BDD4"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0161</w:t>
            </w:r>
          </w:p>
        </w:tc>
        <w:tc>
          <w:tcPr>
            <w:tcW w:w="2845" w:type="dxa"/>
            <w:vAlign w:val="center"/>
          </w:tcPr>
          <w:p w14:paraId="5A9341DC"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Actividades de apoyo a la agricultura</w:t>
            </w:r>
          </w:p>
        </w:tc>
        <w:tc>
          <w:tcPr>
            <w:tcW w:w="1276" w:type="dxa"/>
            <w:vMerge/>
          </w:tcPr>
          <w:p w14:paraId="5E527893"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CE88F93" w14:textId="77777777" w:rsidR="00B2442D" w:rsidRDefault="00B2442D">
            <w:pPr>
              <w:widowControl w:val="0"/>
              <w:autoSpaceDE w:val="0"/>
              <w:autoSpaceDN w:val="0"/>
              <w:adjustRightInd w:val="0"/>
              <w:spacing w:line="40" w:lineRule="atLeast"/>
              <w:rPr>
                <w:rFonts w:ascii="Arial" w:hAnsi="Arial" w:cs="Arial"/>
              </w:rPr>
            </w:pPr>
          </w:p>
        </w:tc>
      </w:tr>
      <w:tr w:rsidR="00B2442D" w14:paraId="63AB8C93" w14:textId="77777777">
        <w:tc>
          <w:tcPr>
            <w:tcW w:w="2122" w:type="dxa"/>
            <w:vAlign w:val="center"/>
          </w:tcPr>
          <w:p w14:paraId="3317C7F9"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25F663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0162</w:t>
            </w:r>
          </w:p>
        </w:tc>
        <w:tc>
          <w:tcPr>
            <w:tcW w:w="2845" w:type="dxa"/>
            <w:vAlign w:val="center"/>
          </w:tcPr>
          <w:p w14:paraId="10E1F047"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Actividades de apoyo a la ganadería</w:t>
            </w:r>
          </w:p>
        </w:tc>
        <w:tc>
          <w:tcPr>
            <w:tcW w:w="1276" w:type="dxa"/>
            <w:vMerge/>
          </w:tcPr>
          <w:p w14:paraId="46CB9D8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C66ED55" w14:textId="77777777" w:rsidR="00B2442D" w:rsidRDefault="00B2442D">
            <w:pPr>
              <w:widowControl w:val="0"/>
              <w:autoSpaceDE w:val="0"/>
              <w:autoSpaceDN w:val="0"/>
              <w:adjustRightInd w:val="0"/>
              <w:spacing w:line="40" w:lineRule="atLeast"/>
              <w:rPr>
                <w:rFonts w:ascii="Arial" w:hAnsi="Arial" w:cs="Arial"/>
              </w:rPr>
            </w:pPr>
          </w:p>
        </w:tc>
      </w:tr>
      <w:tr w:rsidR="00B2442D" w14:paraId="53F0A8C6" w14:textId="77777777">
        <w:tc>
          <w:tcPr>
            <w:tcW w:w="2122" w:type="dxa"/>
            <w:vAlign w:val="center"/>
          </w:tcPr>
          <w:p w14:paraId="473CD42B"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03A45DA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0163</w:t>
            </w:r>
          </w:p>
        </w:tc>
        <w:tc>
          <w:tcPr>
            <w:tcW w:w="2845" w:type="dxa"/>
            <w:vAlign w:val="center"/>
          </w:tcPr>
          <w:p w14:paraId="53A87B1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Actividades posteriores a la cosecha</w:t>
            </w:r>
          </w:p>
        </w:tc>
        <w:tc>
          <w:tcPr>
            <w:tcW w:w="1276" w:type="dxa"/>
            <w:vMerge/>
          </w:tcPr>
          <w:p w14:paraId="01873BDD"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C102F3A" w14:textId="77777777" w:rsidR="00B2442D" w:rsidRDefault="00B2442D">
            <w:pPr>
              <w:widowControl w:val="0"/>
              <w:autoSpaceDE w:val="0"/>
              <w:autoSpaceDN w:val="0"/>
              <w:adjustRightInd w:val="0"/>
              <w:spacing w:line="40" w:lineRule="atLeast"/>
              <w:rPr>
                <w:rFonts w:ascii="Arial" w:hAnsi="Arial" w:cs="Arial"/>
              </w:rPr>
            </w:pPr>
          </w:p>
        </w:tc>
      </w:tr>
      <w:tr w:rsidR="00B2442D" w14:paraId="108B9716" w14:textId="77777777">
        <w:tc>
          <w:tcPr>
            <w:tcW w:w="2122" w:type="dxa"/>
            <w:vAlign w:val="center"/>
          </w:tcPr>
          <w:p w14:paraId="52879E07"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7C6542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0164</w:t>
            </w:r>
          </w:p>
        </w:tc>
        <w:tc>
          <w:tcPr>
            <w:tcW w:w="2845" w:type="dxa"/>
            <w:vAlign w:val="center"/>
          </w:tcPr>
          <w:p w14:paraId="4E980FD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Tratamiento de semillas para propagación</w:t>
            </w:r>
          </w:p>
        </w:tc>
        <w:tc>
          <w:tcPr>
            <w:tcW w:w="1276" w:type="dxa"/>
            <w:vMerge/>
          </w:tcPr>
          <w:p w14:paraId="3AA3E473"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C7FDE9A" w14:textId="77777777" w:rsidR="00B2442D" w:rsidRDefault="00B2442D">
            <w:pPr>
              <w:widowControl w:val="0"/>
              <w:autoSpaceDE w:val="0"/>
              <w:autoSpaceDN w:val="0"/>
              <w:adjustRightInd w:val="0"/>
              <w:spacing w:line="40" w:lineRule="atLeast"/>
              <w:rPr>
                <w:rFonts w:ascii="Arial" w:hAnsi="Arial" w:cs="Arial"/>
              </w:rPr>
            </w:pPr>
          </w:p>
        </w:tc>
      </w:tr>
      <w:tr w:rsidR="00B2442D" w14:paraId="4C85DC0E" w14:textId="77777777">
        <w:tc>
          <w:tcPr>
            <w:tcW w:w="2122" w:type="dxa"/>
            <w:vAlign w:val="center"/>
          </w:tcPr>
          <w:p w14:paraId="562FD200"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03982DE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0170</w:t>
            </w:r>
          </w:p>
        </w:tc>
        <w:tc>
          <w:tcPr>
            <w:tcW w:w="2845" w:type="dxa"/>
          </w:tcPr>
          <w:p w14:paraId="0024EF7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Caza ordinaria y mediante trampas y </w:t>
            </w:r>
            <w:r>
              <w:rPr>
                <w:rFonts w:ascii="Arial" w:hAnsi="Arial" w:cs="Arial"/>
              </w:rPr>
              <w:t>actividades de servicios conexas</w:t>
            </w:r>
          </w:p>
        </w:tc>
        <w:tc>
          <w:tcPr>
            <w:tcW w:w="1276" w:type="dxa"/>
            <w:vMerge/>
          </w:tcPr>
          <w:p w14:paraId="2402D909"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C4CE1F9" w14:textId="77777777" w:rsidR="00B2442D" w:rsidRDefault="00B2442D">
            <w:pPr>
              <w:widowControl w:val="0"/>
              <w:autoSpaceDE w:val="0"/>
              <w:autoSpaceDN w:val="0"/>
              <w:adjustRightInd w:val="0"/>
              <w:spacing w:line="40" w:lineRule="atLeast"/>
              <w:rPr>
                <w:rFonts w:ascii="Arial" w:hAnsi="Arial" w:cs="Arial"/>
              </w:rPr>
            </w:pPr>
          </w:p>
        </w:tc>
      </w:tr>
      <w:tr w:rsidR="00B2442D" w14:paraId="0D27C781" w14:textId="77777777">
        <w:tc>
          <w:tcPr>
            <w:tcW w:w="2122" w:type="dxa"/>
            <w:vAlign w:val="center"/>
          </w:tcPr>
          <w:p w14:paraId="4657F3AE"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72C37F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0210</w:t>
            </w:r>
          </w:p>
        </w:tc>
        <w:tc>
          <w:tcPr>
            <w:tcW w:w="2845" w:type="dxa"/>
            <w:vAlign w:val="center"/>
          </w:tcPr>
          <w:p w14:paraId="366B21AC"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Silvicultura y otras actividades forestales</w:t>
            </w:r>
          </w:p>
        </w:tc>
        <w:tc>
          <w:tcPr>
            <w:tcW w:w="1276" w:type="dxa"/>
            <w:vMerge/>
          </w:tcPr>
          <w:p w14:paraId="46F78665"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0EBB266" w14:textId="77777777" w:rsidR="00B2442D" w:rsidRDefault="00B2442D">
            <w:pPr>
              <w:widowControl w:val="0"/>
              <w:autoSpaceDE w:val="0"/>
              <w:autoSpaceDN w:val="0"/>
              <w:adjustRightInd w:val="0"/>
              <w:spacing w:line="40" w:lineRule="atLeast"/>
              <w:rPr>
                <w:rFonts w:ascii="Arial" w:hAnsi="Arial" w:cs="Arial"/>
              </w:rPr>
            </w:pPr>
          </w:p>
        </w:tc>
      </w:tr>
      <w:tr w:rsidR="00B2442D" w14:paraId="1C530F7E" w14:textId="77777777">
        <w:tc>
          <w:tcPr>
            <w:tcW w:w="2122" w:type="dxa"/>
            <w:vAlign w:val="center"/>
          </w:tcPr>
          <w:p w14:paraId="4A1D482D"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066B58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0220</w:t>
            </w:r>
          </w:p>
        </w:tc>
        <w:tc>
          <w:tcPr>
            <w:tcW w:w="2845" w:type="dxa"/>
            <w:vAlign w:val="center"/>
          </w:tcPr>
          <w:p w14:paraId="5F4F957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Extracción de madera</w:t>
            </w:r>
          </w:p>
        </w:tc>
        <w:tc>
          <w:tcPr>
            <w:tcW w:w="1276" w:type="dxa"/>
            <w:vMerge/>
          </w:tcPr>
          <w:p w14:paraId="0B262617"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18FFFBE" w14:textId="77777777" w:rsidR="00B2442D" w:rsidRDefault="00B2442D">
            <w:pPr>
              <w:widowControl w:val="0"/>
              <w:autoSpaceDE w:val="0"/>
              <w:autoSpaceDN w:val="0"/>
              <w:adjustRightInd w:val="0"/>
              <w:spacing w:line="40" w:lineRule="atLeast"/>
              <w:rPr>
                <w:rFonts w:ascii="Arial" w:hAnsi="Arial" w:cs="Arial"/>
              </w:rPr>
            </w:pPr>
          </w:p>
        </w:tc>
      </w:tr>
      <w:tr w:rsidR="00B2442D" w14:paraId="1D3A4FA8" w14:textId="77777777">
        <w:tc>
          <w:tcPr>
            <w:tcW w:w="2122" w:type="dxa"/>
            <w:vAlign w:val="center"/>
          </w:tcPr>
          <w:p w14:paraId="398604BA"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570370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0230</w:t>
            </w:r>
          </w:p>
        </w:tc>
        <w:tc>
          <w:tcPr>
            <w:tcW w:w="2845" w:type="dxa"/>
          </w:tcPr>
          <w:p w14:paraId="1CFAD64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Recolección de productos forestales diferentes a la madera</w:t>
            </w:r>
          </w:p>
        </w:tc>
        <w:tc>
          <w:tcPr>
            <w:tcW w:w="1276" w:type="dxa"/>
            <w:vMerge/>
          </w:tcPr>
          <w:p w14:paraId="5DFAAB52"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48B409A" w14:textId="77777777" w:rsidR="00B2442D" w:rsidRDefault="00B2442D">
            <w:pPr>
              <w:widowControl w:val="0"/>
              <w:autoSpaceDE w:val="0"/>
              <w:autoSpaceDN w:val="0"/>
              <w:adjustRightInd w:val="0"/>
              <w:spacing w:line="40" w:lineRule="atLeast"/>
              <w:rPr>
                <w:rFonts w:ascii="Arial" w:hAnsi="Arial" w:cs="Arial"/>
              </w:rPr>
            </w:pPr>
          </w:p>
        </w:tc>
      </w:tr>
      <w:tr w:rsidR="00B2442D" w14:paraId="5A2B5998" w14:textId="77777777">
        <w:tc>
          <w:tcPr>
            <w:tcW w:w="2122" w:type="dxa"/>
            <w:vAlign w:val="center"/>
          </w:tcPr>
          <w:p w14:paraId="610E8F4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069CBB2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0240</w:t>
            </w:r>
          </w:p>
        </w:tc>
        <w:tc>
          <w:tcPr>
            <w:tcW w:w="2845" w:type="dxa"/>
            <w:vAlign w:val="center"/>
          </w:tcPr>
          <w:p w14:paraId="45C42E1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Servicios de apoyo a la silvicultura</w:t>
            </w:r>
          </w:p>
        </w:tc>
        <w:tc>
          <w:tcPr>
            <w:tcW w:w="1276" w:type="dxa"/>
            <w:vMerge/>
          </w:tcPr>
          <w:p w14:paraId="122821CA"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8A4ED2B" w14:textId="77777777" w:rsidR="00B2442D" w:rsidRDefault="00B2442D">
            <w:pPr>
              <w:widowControl w:val="0"/>
              <w:autoSpaceDE w:val="0"/>
              <w:autoSpaceDN w:val="0"/>
              <w:adjustRightInd w:val="0"/>
              <w:spacing w:line="40" w:lineRule="atLeast"/>
              <w:rPr>
                <w:rFonts w:ascii="Arial" w:hAnsi="Arial" w:cs="Arial"/>
              </w:rPr>
            </w:pPr>
          </w:p>
        </w:tc>
      </w:tr>
      <w:tr w:rsidR="00B2442D" w14:paraId="2C862B23" w14:textId="77777777">
        <w:tc>
          <w:tcPr>
            <w:tcW w:w="2122" w:type="dxa"/>
            <w:vAlign w:val="center"/>
          </w:tcPr>
          <w:p w14:paraId="4C19074A"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739916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0311</w:t>
            </w:r>
          </w:p>
        </w:tc>
        <w:tc>
          <w:tcPr>
            <w:tcW w:w="2845" w:type="dxa"/>
            <w:vAlign w:val="center"/>
          </w:tcPr>
          <w:p w14:paraId="768AF480"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Pesca </w:t>
            </w:r>
            <w:r>
              <w:rPr>
                <w:rFonts w:ascii="Arial" w:hAnsi="Arial" w:cs="Arial"/>
              </w:rPr>
              <w:t>marítima</w:t>
            </w:r>
          </w:p>
        </w:tc>
        <w:tc>
          <w:tcPr>
            <w:tcW w:w="1276" w:type="dxa"/>
            <w:vMerge/>
          </w:tcPr>
          <w:p w14:paraId="4BD2D09B"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19998C1" w14:textId="77777777" w:rsidR="00B2442D" w:rsidRDefault="00B2442D">
            <w:pPr>
              <w:widowControl w:val="0"/>
              <w:autoSpaceDE w:val="0"/>
              <w:autoSpaceDN w:val="0"/>
              <w:adjustRightInd w:val="0"/>
              <w:spacing w:line="40" w:lineRule="atLeast"/>
              <w:rPr>
                <w:rFonts w:ascii="Arial" w:hAnsi="Arial" w:cs="Arial"/>
              </w:rPr>
            </w:pPr>
          </w:p>
        </w:tc>
      </w:tr>
      <w:tr w:rsidR="00B2442D" w14:paraId="3DB03806" w14:textId="77777777">
        <w:tc>
          <w:tcPr>
            <w:tcW w:w="2122" w:type="dxa"/>
            <w:vAlign w:val="center"/>
          </w:tcPr>
          <w:p w14:paraId="32319D7B"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4734144"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0312</w:t>
            </w:r>
          </w:p>
        </w:tc>
        <w:tc>
          <w:tcPr>
            <w:tcW w:w="2845" w:type="dxa"/>
            <w:vAlign w:val="center"/>
          </w:tcPr>
          <w:p w14:paraId="449B8F6A"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Pesca de agua dulce</w:t>
            </w:r>
          </w:p>
        </w:tc>
        <w:tc>
          <w:tcPr>
            <w:tcW w:w="1276" w:type="dxa"/>
            <w:vMerge/>
          </w:tcPr>
          <w:p w14:paraId="1ED9BAD0"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1E08738" w14:textId="77777777" w:rsidR="00B2442D" w:rsidRDefault="00B2442D">
            <w:pPr>
              <w:widowControl w:val="0"/>
              <w:autoSpaceDE w:val="0"/>
              <w:autoSpaceDN w:val="0"/>
              <w:adjustRightInd w:val="0"/>
              <w:spacing w:line="40" w:lineRule="atLeast"/>
              <w:rPr>
                <w:rFonts w:ascii="Arial" w:hAnsi="Arial" w:cs="Arial"/>
              </w:rPr>
            </w:pPr>
          </w:p>
        </w:tc>
      </w:tr>
      <w:tr w:rsidR="00B2442D" w14:paraId="4D5B7A77" w14:textId="77777777">
        <w:tc>
          <w:tcPr>
            <w:tcW w:w="2122" w:type="dxa"/>
            <w:vAlign w:val="center"/>
          </w:tcPr>
          <w:p w14:paraId="2C621F5D"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B59FCD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0321</w:t>
            </w:r>
          </w:p>
        </w:tc>
        <w:tc>
          <w:tcPr>
            <w:tcW w:w="2845" w:type="dxa"/>
            <w:vAlign w:val="center"/>
          </w:tcPr>
          <w:p w14:paraId="5644A31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Acuicultura marítima</w:t>
            </w:r>
          </w:p>
        </w:tc>
        <w:tc>
          <w:tcPr>
            <w:tcW w:w="1276" w:type="dxa"/>
            <w:vMerge/>
          </w:tcPr>
          <w:p w14:paraId="22314F92"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8C65FF1" w14:textId="77777777" w:rsidR="00B2442D" w:rsidRDefault="00B2442D">
            <w:pPr>
              <w:widowControl w:val="0"/>
              <w:autoSpaceDE w:val="0"/>
              <w:autoSpaceDN w:val="0"/>
              <w:adjustRightInd w:val="0"/>
              <w:spacing w:line="40" w:lineRule="atLeast"/>
              <w:rPr>
                <w:rFonts w:ascii="Arial" w:hAnsi="Arial" w:cs="Arial"/>
              </w:rPr>
            </w:pPr>
          </w:p>
        </w:tc>
      </w:tr>
      <w:tr w:rsidR="00B2442D" w14:paraId="4E3BFC3D" w14:textId="77777777">
        <w:tc>
          <w:tcPr>
            <w:tcW w:w="2122" w:type="dxa"/>
            <w:vAlign w:val="center"/>
          </w:tcPr>
          <w:p w14:paraId="4975FFDF"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EE5E34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0322</w:t>
            </w:r>
          </w:p>
        </w:tc>
        <w:tc>
          <w:tcPr>
            <w:tcW w:w="2845" w:type="dxa"/>
            <w:vAlign w:val="center"/>
          </w:tcPr>
          <w:p w14:paraId="644D0FC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Acuicultura de agua dulce</w:t>
            </w:r>
          </w:p>
        </w:tc>
        <w:tc>
          <w:tcPr>
            <w:tcW w:w="1276" w:type="dxa"/>
            <w:vMerge/>
          </w:tcPr>
          <w:p w14:paraId="7B624DB4"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54BF67E" w14:textId="77777777" w:rsidR="00B2442D" w:rsidRDefault="00B2442D">
            <w:pPr>
              <w:widowControl w:val="0"/>
              <w:autoSpaceDE w:val="0"/>
              <w:autoSpaceDN w:val="0"/>
              <w:adjustRightInd w:val="0"/>
              <w:spacing w:line="40" w:lineRule="atLeast"/>
              <w:rPr>
                <w:rFonts w:ascii="Arial" w:hAnsi="Arial" w:cs="Arial"/>
              </w:rPr>
            </w:pPr>
          </w:p>
        </w:tc>
      </w:tr>
      <w:tr w:rsidR="00B2442D" w14:paraId="08DE9621" w14:textId="77777777">
        <w:tc>
          <w:tcPr>
            <w:tcW w:w="2122" w:type="dxa"/>
            <w:vAlign w:val="center"/>
          </w:tcPr>
          <w:p w14:paraId="6E48A066"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Comercio al por</w:t>
            </w:r>
            <w:r>
              <w:rPr>
                <w:rFonts w:ascii="Arial" w:hAnsi="Arial" w:cs="Arial"/>
                <w:b/>
                <w:bCs/>
              </w:rPr>
              <w:br/>
              <w:t>mayor</w:t>
            </w:r>
          </w:p>
        </w:tc>
        <w:tc>
          <w:tcPr>
            <w:tcW w:w="1417" w:type="dxa"/>
            <w:vAlign w:val="center"/>
          </w:tcPr>
          <w:p w14:paraId="733E6D0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4610</w:t>
            </w:r>
          </w:p>
        </w:tc>
        <w:tc>
          <w:tcPr>
            <w:tcW w:w="2845" w:type="dxa"/>
          </w:tcPr>
          <w:p w14:paraId="3CE89442"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a cambio de una retribución o por contrata</w:t>
            </w:r>
          </w:p>
        </w:tc>
        <w:tc>
          <w:tcPr>
            <w:tcW w:w="1276" w:type="dxa"/>
            <w:vMerge w:val="restart"/>
            <w:vAlign w:val="center"/>
          </w:tcPr>
          <w:p w14:paraId="418C7A2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4.057</w:t>
            </w:r>
            <w:r>
              <w:rPr>
                <w:rFonts w:ascii="Arial" w:hAnsi="Arial" w:cs="Arial"/>
              </w:rPr>
              <w:br/>
              <w:t>UVT</w:t>
            </w:r>
          </w:p>
        </w:tc>
        <w:tc>
          <w:tcPr>
            <w:tcW w:w="1276" w:type="dxa"/>
            <w:vMerge w:val="restart"/>
            <w:vAlign w:val="center"/>
          </w:tcPr>
          <w:p w14:paraId="4537CDC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0,82% * (RGA</w:t>
            </w:r>
            <w:r>
              <w:rPr>
                <w:rFonts w:ascii="Arial" w:hAnsi="Arial" w:cs="Arial"/>
              </w:rPr>
              <w:br/>
              <w:t>en UVT –</w:t>
            </w:r>
            <w:r>
              <w:rPr>
                <w:rFonts w:ascii="Arial" w:hAnsi="Arial" w:cs="Arial"/>
              </w:rPr>
              <w:br/>
              <w:t>4.057)</w:t>
            </w:r>
          </w:p>
        </w:tc>
      </w:tr>
      <w:tr w:rsidR="00B2442D" w14:paraId="7096317C" w14:textId="77777777">
        <w:tc>
          <w:tcPr>
            <w:tcW w:w="2122" w:type="dxa"/>
            <w:vAlign w:val="center"/>
          </w:tcPr>
          <w:p w14:paraId="5E321800"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42CF91B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4620</w:t>
            </w:r>
          </w:p>
        </w:tc>
        <w:tc>
          <w:tcPr>
            <w:tcW w:w="2845" w:type="dxa"/>
          </w:tcPr>
          <w:p w14:paraId="3014F70A" w14:textId="77777777" w:rsidR="00B2442D" w:rsidRDefault="008A645F">
            <w:pPr>
              <w:widowControl w:val="0"/>
              <w:tabs>
                <w:tab w:val="left" w:pos="720"/>
                <w:tab w:val="left" w:pos="1296"/>
                <w:tab w:val="left" w:pos="1872"/>
                <w:tab w:val="right" w:pos="3168"/>
              </w:tabs>
              <w:autoSpaceDE w:val="0"/>
              <w:autoSpaceDN w:val="0"/>
              <w:adjustRightInd w:val="0"/>
              <w:spacing w:line="40" w:lineRule="atLeast"/>
              <w:jc w:val="both"/>
              <w:rPr>
                <w:rFonts w:ascii="Arial" w:hAnsi="Arial" w:cs="Arial"/>
              </w:rPr>
            </w:pPr>
            <w:r>
              <w:rPr>
                <w:rFonts w:ascii="Arial" w:hAnsi="Arial" w:cs="Arial"/>
              </w:rPr>
              <w:t>Comercio al por mayor de materias primas agropecuarias; animales vivos</w:t>
            </w:r>
          </w:p>
        </w:tc>
        <w:tc>
          <w:tcPr>
            <w:tcW w:w="1276" w:type="dxa"/>
            <w:vMerge/>
            <w:vAlign w:val="center"/>
          </w:tcPr>
          <w:p w14:paraId="2F55F5E7"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FC76C66" w14:textId="77777777" w:rsidR="00B2442D" w:rsidRDefault="00B2442D">
            <w:pPr>
              <w:widowControl w:val="0"/>
              <w:autoSpaceDE w:val="0"/>
              <w:autoSpaceDN w:val="0"/>
              <w:adjustRightInd w:val="0"/>
              <w:spacing w:line="40" w:lineRule="atLeast"/>
              <w:rPr>
                <w:rFonts w:ascii="Arial" w:hAnsi="Arial" w:cs="Arial"/>
              </w:rPr>
            </w:pPr>
          </w:p>
        </w:tc>
      </w:tr>
      <w:tr w:rsidR="00B2442D" w14:paraId="220352CB" w14:textId="77777777">
        <w:tc>
          <w:tcPr>
            <w:tcW w:w="2122" w:type="dxa"/>
            <w:vAlign w:val="center"/>
          </w:tcPr>
          <w:p w14:paraId="4CF5573C"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B2075E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4631</w:t>
            </w:r>
          </w:p>
        </w:tc>
        <w:tc>
          <w:tcPr>
            <w:tcW w:w="2845" w:type="dxa"/>
            <w:vAlign w:val="center"/>
          </w:tcPr>
          <w:p w14:paraId="2759233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productos alimenticios</w:t>
            </w:r>
          </w:p>
        </w:tc>
        <w:tc>
          <w:tcPr>
            <w:tcW w:w="1276" w:type="dxa"/>
            <w:vMerge/>
          </w:tcPr>
          <w:p w14:paraId="21A81932"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8DB5972" w14:textId="77777777" w:rsidR="00B2442D" w:rsidRDefault="00B2442D">
            <w:pPr>
              <w:widowControl w:val="0"/>
              <w:autoSpaceDE w:val="0"/>
              <w:autoSpaceDN w:val="0"/>
              <w:adjustRightInd w:val="0"/>
              <w:spacing w:line="40" w:lineRule="atLeast"/>
              <w:rPr>
                <w:rFonts w:ascii="Arial" w:hAnsi="Arial" w:cs="Arial"/>
              </w:rPr>
            </w:pPr>
          </w:p>
        </w:tc>
      </w:tr>
      <w:tr w:rsidR="00B2442D" w14:paraId="306470D6" w14:textId="77777777">
        <w:tc>
          <w:tcPr>
            <w:tcW w:w="2122" w:type="dxa"/>
            <w:vAlign w:val="center"/>
          </w:tcPr>
          <w:p w14:paraId="748BEA31"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6A45FB3"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4632</w:t>
            </w:r>
          </w:p>
        </w:tc>
        <w:tc>
          <w:tcPr>
            <w:tcW w:w="2845" w:type="dxa"/>
            <w:vAlign w:val="center"/>
          </w:tcPr>
          <w:p w14:paraId="5AF8204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bebidas y tabaco</w:t>
            </w:r>
          </w:p>
        </w:tc>
        <w:tc>
          <w:tcPr>
            <w:tcW w:w="1276" w:type="dxa"/>
            <w:vMerge/>
          </w:tcPr>
          <w:p w14:paraId="7BFB4437"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174FEEB" w14:textId="77777777" w:rsidR="00B2442D" w:rsidRDefault="00B2442D">
            <w:pPr>
              <w:widowControl w:val="0"/>
              <w:autoSpaceDE w:val="0"/>
              <w:autoSpaceDN w:val="0"/>
              <w:adjustRightInd w:val="0"/>
              <w:spacing w:line="40" w:lineRule="atLeast"/>
              <w:rPr>
                <w:rFonts w:ascii="Arial" w:hAnsi="Arial" w:cs="Arial"/>
              </w:rPr>
            </w:pPr>
          </w:p>
        </w:tc>
      </w:tr>
      <w:tr w:rsidR="00B2442D" w14:paraId="79AE2410" w14:textId="77777777">
        <w:tc>
          <w:tcPr>
            <w:tcW w:w="2122" w:type="dxa"/>
            <w:vAlign w:val="center"/>
          </w:tcPr>
          <w:p w14:paraId="1849982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A5E3AC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4641</w:t>
            </w:r>
          </w:p>
        </w:tc>
        <w:tc>
          <w:tcPr>
            <w:tcW w:w="2845" w:type="dxa"/>
          </w:tcPr>
          <w:p w14:paraId="6C00AEE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mayor de productos textiles, productos </w:t>
            </w:r>
            <w:r>
              <w:rPr>
                <w:rFonts w:ascii="Arial" w:hAnsi="Arial" w:cs="Arial"/>
              </w:rPr>
              <w:t>confeccionados para uso doméstico</w:t>
            </w:r>
          </w:p>
        </w:tc>
        <w:tc>
          <w:tcPr>
            <w:tcW w:w="1276" w:type="dxa"/>
            <w:vMerge/>
          </w:tcPr>
          <w:p w14:paraId="7142442E"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63E9385" w14:textId="77777777" w:rsidR="00B2442D" w:rsidRDefault="00B2442D">
            <w:pPr>
              <w:widowControl w:val="0"/>
              <w:autoSpaceDE w:val="0"/>
              <w:autoSpaceDN w:val="0"/>
              <w:adjustRightInd w:val="0"/>
              <w:spacing w:line="40" w:lineRule="atLeast"/>
              <w:rPr>
                <w:rFonts w:ascii="Arial" w:hAnsi="Arial" w:cs="Arial"/>
              </w:rPr>
            </w:pPr>
          </w:p>
        </w:tc>
      </w:tr>
      <w:tr w:rsidR="00B2442D" w14:paraId="5930BB07" w14:textId="77777777">
        <w:tc>
          <w:tcPr>
            <w:tcW w:w="2122" w:type="dxa"/>
            <w:vAlign w:val="center"/>
          </w:tcPr>
          <w:p w14:paraId="28AA7658"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E8AE39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4642</w:t>
            </w:r>
          </w:p>
        </w:tc>
        <w:tc>
          <w:tcPr>
            <w:tcW w:w="2845" w:type="dxa"/>
            <w:vAlign w:val="center"/>
          </w:tcPr>
          <w:p w14:paraId="214AC91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prendas de vestir</w:t>
            </w:r>
          </w:p>
        </w:tc>
        <w:tc>
          <w:tcPr>
            <w:tcW w:w="1276" w:type="dxa"/>
            <w:vMerge/>
          </w:tcPr>
          <w:p w14:paraId="4D12378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4EE8EF4A" w14:textId="77777777" w:rsidR="00B2442D" w:rsidRDefault="00B2442D">
            <w:pPr>
              <w:widowControl w:val="0"/>
              <w:autoSpaceDE w:val="0"/>
              <w:autoSpaceDN w:val="0"/>
              <w:adjustRightInd w:val="0"/>
              <w:spacing w:line="40" w:lineRule="atLeast"/>
              <w:rPr>
                <w:rFonts w:ascii="Arial" w:hAnsi="Arial" w:cs="Arial"/>
              </w:rPr>
            </w:pPr>
          </w:p>
        </w:tc>
      </w:tr>
      <w:tr w:rsidR="00B2442D" w14:paraId="56526365" w14:textId="77777777">
        <w:tc>
          <w:tcPr>
            <w:tcW w:w="2122" w:type="dxa"/>
            <w:vAlign w:val="center"/>
          </w:tcPr>
          <w:p w14:paraId="3D83F0E2"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09BCD2D0"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4643</w:t>
            </w:r>
          </w:p>
        </w:tc>
        <w:tc>
          <w:tcPr>
            <w:tcW w:w="2845" w:type="dxa"/>
            <w:vAlign w:val="center"/>
          </w:tcPr>
          <w:p w14:paraId="2BF03EB2"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calzado</w:t>
            </w:r>
          </w:p>
        </w:tc>
        <w:tc>
          <w:tcPr>
            <w:tcW w:w="1276" w:type="dxa"/>
            <w:vMerge/>
          </w:tcPr>
          <w:p w14:paraId="3AA1F0EE"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1A4B220" w14:textId="77777777" w:rsidR="00B2442D" w:rsidRDefault="00B2442D">
            <w:pPr>
              <w:widowControl w:val="0"/>
              <w:autoSpaceDE w:val="0"/>
              <w:autoSpaceDN w:val="0"/>
              <w:adjustRightInd w:val="0"/>
              <w:spacing w:line="40" w:lineRule="atLeast"/>
              <w:rPr>
                <w:rFonts w:ascii="Arial" w:hAnsi="Arial" w:cs="Arial"/>
              </w:rPr>
            </w:pPr>
          </w:p>
        </w:tc>
      </w:tr>
      <w:tr w:rsidR="00B2442D" w14:paraId="433666EF" w14:textId="77777777">
        <w:tc>
          <w:tcPr>
            <w:tcW w:w="2122" w:type="dxa"/>
            <w:vAlign w:val="center"/>
          </w:tcPr>
          <w:p w14:paraId="31BBF794"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315B31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4644</w:t>
            </w:r>
          </w:p>
        </w:tc>
        <w:tc>
          <w:tcPr>
            <w:tcW w:w="2845" w:type="dxa"/>
          </w:tcPr>
          <w:p w14:paraId="428480C0"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aparatos y equipo de uso doméstico</w:t>
            </w:r>
          </w:p>
        </w:tc>
        <w:tc>
          <w:tcPr>
            <w:tcW w:w="1276" w:type="dxa"/>
            <w:vMerge/>
          </w:tcPr>
          <w:p w14:paraId="704C2834"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4AF46A8" w14:textId="77777777" w:rsidR="00B2442D" w:rsidRDefault="00B2442D">
            <w:pPr>
              <w:widowControl w:val="0"/>
              <w:autoSpaceDE w:val="0"/>
              <w:autoSpaceDN w:val="0"/>
              <w:adjustRightInd w:val="0"/>
              <w:spacing w:line="40" w:lineRule="atLeast"/>
              <w:rPr>
                <w:rFonts w:ascii="Arial" w:hAnsi="Arial" w:cs="Arial"/>
              </w:rPr>
            </w:pPr>
          </w:p>
        </w:tc>
      </w:tr>
      <w:tr w:rsidR="00B2442D" w14:paraId="79E1054A" w14:textId="77777777">
        <w:tc>
          <w:tcPr>
            <w:tcW w:w="2122" w:type="dxa"/>
            <w:vAlign w:val="center"/>
          </w:tcPr>
          <w:p w14:paraId="1917B8BE"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E17034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4645</w:t>
            </w:r>
          </w:p>
        </w:tc>
        <w:tc>
          <w:tcPr>
            <w:tcW w:w="2845" w:type="dxa"/>
          </w:tcPr>
          <w:p w14:paraId="13E6763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mayor de productos </w:t>
            </w:r>
            <w:r>
              <w:rPr>
                <w:rFonts w:ascii="Arial" w:hAnsi="Arial" w:cs="Arial"/>
              </w:rPr>
              <w:t>farmacéuticos, medicinales, cosméticos y de tocador</w:t>
            </w:r>
          </w:p>
        </w:tc>
        <w:tc>
          <w:tcPr>
            <w:tcW w:w="1276" w:type="dxa"/>
            <w:vMerge/>
          </w:tcPr>
          <w:p w14:paraId="0B52F720"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8DF4EDC" w14:textId="77777777" w:rsidR="00B2442D" w:rsidRDefault="00B2442D">
            <w:pPr>
              <w:widowControl w:val="0"/>
              <w:autoSpaceDE w:val="0"/>
              <w:autoSpaceDN w:val="0"/>
              <w:adjustRightInd w:val="0"/>
              <w:spacing w:line="40" w:lineRule="atLeast"/>
              <w:rPr>
                <w:rFonts w:ascii="Arial" w:hAnsi="Arial" w:cs="Arial"/>
              </w:rPr>
            </w:pPr>
          </w:p>
        </w:tc>
      </w:tr>
      <w:tr w:rsidR="00B2442D" w14:paraId="7365C1F9" w14:textId="77777777">
        <w:tc>
          <w:tcPr>
            <w:tcW w:w="2122" w:type="dxa"/>
            <w:vAlign w:val="center"/>
          </w:tcPr>
          <w:p w14:paraId="4894F100"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4EE766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4649</w:t>
            </w:r>
          </w:p>
        </w:tc>
        <w:tc>
          <w:tcPr>
            <w:tcW w:w="2845" w:type="dxa"/>
          </w:tcPr>
          <w:p w14:paraId="1B41FCE1" w14:textId="77777777" w:rsidR="00B2442D" w:rsidRDefault="008A645F">
            <w:pPr>
              <w:widowControl w:val="0"/>
              <w:tabs>
                <w:tab w:val="left" w:pos="720"/>
                <w:tab w:val="left" w:pos="1008"/>
                <w:tab w:val="left" w:pos="1440"/>
                <w:tab w:val="left" w:pos="1872"/>
                <w:tab w:val="left" w:pos="2160"/>
                <w:tab w:val="right" w:pos="3168"/>
              </w:tabs>
              <w:autoSpaceDE w:val="0"/>
              <w:autoSpaceDN w:val="0"/>
              <w:adjustRightInd w:val="0"/>
              <w:spacing w:line="40" w:lineRule="atLeast"/>
              <w:jc w:val="both"/>
              <w:rPr>
                <w:rFonts w:ascii="Arial" w:hAnsi="Arial" w:cs="Arial"/>
              </w:rPr>
            </w:pPr>
            <w:r>
              <w:rPr>
                <w:rFonts w:ascii="Arial" w:hAnsi="Arial" w:cs="Arial"/>
              </w:rPr>
              <w:t>Comercio al por mayor de otros utensilios domésticos n.c.p.</w:t>
            </w:r>
          </w:p>
        </w:tc>
        <w:tc>
          <w:tcPr>
            <w:tcW w:w="1276" w:type="dxa"/>
            <w:vMerge/>
            <w:vAlign w:val="center"/>
          </w:tcPr>
          <w:p w14:paraId="4D8F0FF1"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4635FFB" w14:textId="77777777" w:rsidR="00B2442D" w:rsidRDefault="00B2442D">
            <w:pPr>
              <w:widowControl w:val="0"/>
              <w:autoSpaceDE w:val="0"/>
              <w:autoSpaceDN w:val="0"/>
              <w:adjustRightInd w:val="0"/>
              <w:spacing w:line="40" w:lineRule="atLeast"/>
              <w:rPr>
                <w:rFonts w:ascii="Arial" w:hAnsi="Arial" w:cs="Arial"/>
              </w:rPr>
            </w:pPr>
          </w:p>
        </w:tc>
      </w:tr>
      <w:tr w:rsidR="00B2442D" w14:paraId="65AE6DE7" w14:textId="77777777">
        <w:tc>
          <w:tcPr>
            <w:tcW w:w="2122" w:type="dxa"/>
            <w:vAlign w:val="center"/>
          </w:tcPr>
          <w:p w14:paraId="21CF6A97"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D38E38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4651</w:t>
            </w:r>
          </w:p>
        </w:tc>
        <w:tc>
          <w:tcPr>
            <w:tcW w:w="2845" w:type="dxa"/>
          </w:tcPr>
          <w:p w14:paraId="7A7D35C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computadores, equipo periférico y programas de informática</w:t>
            </w:r>
          </w:p>
        </w:tc>
        <w:tc>
          <w:tcPr>
            <w:tcW w:w="1276" w:type="dxa"/>
            <w:vMerge/>
          </w:tcPr>
          <w:p w14:paraId="3085635F"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0841F707" w14:textId="77777777" w:rsidR="00B2442D" w:rsidRDefault="00B2442D">
            <w:pPr>
              <w:widowControl w:val="0"/>
              <w:autoSpaceDE w:val="0"/>
              <w:autoSpaceDN w:val="0"/>
              <w:adjustRightInd w:val="0"/>
              <w:spacing w:line="40" w:lineRule="atLeast"/>
              <w:rPr>
                <w:rFonts w:ascii="Arial" w:hAnsi="Arial" w:cs="Arial"/>
              </w:rPr>
            </w:pPr>
          </w:p>
        </w:tc>
      </w:tr>
      <w:tr w:rsidR="00B2442D" w14:paraId="1519E202" w14:textId="77777777">
        <w:tc>
          <w:tcPr>
            <w:tcW w:w="2122" w:type="dxa"/>
            <w:vAlign w:val="center"/>
          </w:tcPr>
          <w:p w14:paraId="6FBB371E"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C3E71E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4652</w:t>
            </w:r>
          </w:p>
        </w:tc>
        <w:tc>
          <w:tcPr>
            <w:tcW w:w="2845" w:type="dxa"/>
          </w:tcPr>
          <w:p w14:paraId="02A5B75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mayor de </w:t>
            </w:r>
            <w:r>
              <w:rPr>
                <w:rFonts w:ascii="Arial" w:hAnsi="Arial" w:cs="Arial"/>
              </w:rPr>
              <w:t>equipo, partes y piezas electrónicos y de telecomunicaciones</w:t>
            </w:r>
          </w:p>
        </w:tc>
        <w:tc>
          <w:tcPr>
            <w:tcW w:w="1276" w:type="dxa"/>
            <w:vMerge/>
          </w:tcPr>
          <w:p w14:paraId="2A78470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63497BA9" w14:textId="77777777" w:rsidR="00B2442D" w:rsidRDefault="00B2442D">
            <w:pPr>
              <w:widowControl w:val="0"/>
              <w:autoSpaceDE w:val="0"/>
              <w:autoSpaceDN w:val="0"/>
              <w:adjustRightInd w:val="0"/>
              <w:spacing w:line="40" w:lineRule="atLeast"/>
              <w:rPr>
                <w:rFonts w:ascii="Arial" w:hAnsi="Arial" w:cs="Arial"/>
              </w:rPr>
            </w:pPr>
          </w:p>
        </w:tc>
      </w:tr>
      <w:tr w:rsidR="00B2442D" w14:paraId="7EB415FF" w14:textId="77777777">
        <w:tc>
          <w:tcPr>
            <w:tcW w:w="2122" w:type="dxa"/>
            <w:vAlign w:val="center"/>
          </w:tcPr>
          <w:p w14:paraId="1D00118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6AC9D9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4653</w:t>
            </w:r>
          </w:p>
        </w:tc>
        <w:tc>
          <w:tcPr>
            <w:tcW w:w="2845" w:type="dxa"/>
          </w:tcPr>
          <w:p w14:paraId="4725886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maquinaria y equipo agropecuario</w:t>
            </w:r>
          </w:p>
        </w:tc>
        <w:tc>
          <w:tcPr>
            <w:tcW w:w="1276" w:type="dxa"/>
            <w:vMerge/>
          </w:tcPr>
          <w:p w14:paraId="05EE0719"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1793085A" w14:textId="77777777" w:rsidR="00B2442D" w:rsidRDefault="00B2442D">
            <w:pPr>
              <w:widowControl w:val="0"/>
              <w:autoSpaceDE w:val="0"/>
              <w:autoSpaceDN w:val="0"/>
              <w:adjustRightInd w:val="0"/>
              <w:spacing w:line="40" w:lineRule="atLeast"/>
              <w:rPr>
                <w:rFonts w:ascii="Arial" w:hAnsi="Arial" w:cs="Arial"/>
              </w:rPr>
            </w:pPr>
          </w:p>
        </w:tc>
      </w:tr>
      <w:tr w:rsidR="00B2442D" w14:paraId="13303796" w14:textId="77777777">
        <w:tc>
          <w:tcPr>
            <w:tcW w:w="2122" w:type="dxa"/>
            <w:vAlign w:val="center"/>
          </w:tcPr>
          <w:p w14:paraId="5DBCC568"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DEE04AB"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4659</w:t>
            </w:r>
          </w:p>
        </w:tc>
        <w:tc>
          <w:tcPr>
            <w:tcW w:w="2845" w:type="dxa"/>
          </w:tcPr>
          <w:p w14:paraId="1F35DE7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otros tipos de maquinaria y equipo n.c.p.</w:t>
            </w:r>
          </w:p>
        </w:tc>
        <w:tc>
          <w:tcPr>
            <w:tcW w:w="1276" w:type="dxa"/>
            <w:vMerge/>
          </w:tcPr>
          <w:p w14:paraId="70A3C2CF"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557561A7" w14:textId="77777777" w:rsidR="00B2442D" w:rsidRDefault="00B2442D">
            <w:pPr>
              <w:widowControl w:val="0"/>
              <w:autoSpaceDE w:val="0"/>
              <w:autoSpaceDN w:val="0"/>
              <w:adjustRightInd w:val="0"/>
              <w:spacing w:line="40" w:lineRule="atLeast"/>
              <w:rPr>
                <w:rFonts w:ascii="Arial" w:hAnsi="Arial" w:cs="Arial"/>
              </w:rPr>
            </w:pPr>
          </w:p>
        </w:tc>
      </w:tr>
      <w:tr w:rsidR="00B2442D" w14:paraId="603EBFB1" w14:textId="77777777">
        <w:tc>
          <w:tcPr>
            <w:tcW w:w="2122" w:type="dxa"/>
            <w:vAlign w:val="center"/>
          </w:tcPr>
          <w:p w14:paraId="3BD128E5"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621AA3E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4661</w:t>
            </w:r>
          </w:p>
        </w:tc>
        <w:tc>
          <w:tcPr>
            <w:tcW w:w="2845" w:type="dxa"/>
          </w:tcPr>
          <w:p w14:paraId="330E65B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mayor de </w:t>
            </w:r>
            <w:r>
              <w:rPr>
                <w:rFonts w:ascii="Arial" w:hAnsi="Arial" w:cs="Arial"/>
              </w:rPr>
              <w:t>combustibles sólidos, líquidos, gaseosos y productos conexos</w:t>
            </w:r>
          </w:p>
        </w:tc>
        <w:tc>
          <w:tcPr>
            <w:tcW w:w="1276" w:type="dxa"/>
            <w:vMerge/>
          </w:tcPr>
          <w:p w14:paraId="4A60783E"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71F1B1CB" w14:textId="77777777" w:rsidR="00B2442D" w:rsidRDefault="00B2442D">
            <w:pPr>
              <w:widowControl w:val="0"/>
              <w:autoSpaceDE w:val="0"/>
              <w:autoSpaceDN w:val="0"/>
              <w:adjustRightInd w:val="0"/>
              <w:spacing w:line="40" w:lineRule="atLeast"/>
              <w:rPr>
                <w:rFonts w:ascii="Arial" w:hAnsi="Arial" w:cs="Arial"/>
              </w:rPr>
            </w:pPr>
          </w:p>
        </w:tc>
      </w:tr>
      <w:tr w:rsidR="00B2442D" w14:paraId="502958C8" w14:textId="77777777">
        <w:tc>
          <w:tcPr>
            <w:tcW w:w="2122" w:type="dxa"/>
            <w:vAlign w:val="center"/>
          </w:tcPr>
          <w:p w14:paraId="624CC862"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36B044B3"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4662</w:t>
            </w:r>
          </w:p>
        </w:tc>
        <w:tc>
          <w:tcPr>
            <w:tcW w:w="2845" w:type="dxa"/>
          </w:tcPr>
          <w:p w14:paraId="23484C7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metales y productos metalíferos</w:t>
            </w:r>
          </w:p>
        </w:tc>
        <w:tc>
          <w:tcPr>
            <w:tcW w:w="1276" w:type="dxa"/>
            <w:vMerge/>
          </w:tcPr>
          <w:p w14:paraId="27AB1980"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69FDFEEA" w14:textId="77777777" w:rsidR="00B2442D" w:rsidRDefault="00B2442D">
            <w:pPr>
              <w:widowControl w:val="0"/>
              <w:autoSpaceDE w:val="0"/>
              <w:autoSpaceDN w:val="0"/>
              <w:adjustRightInd w:val="0"/>
              <w:spacing w:line="40" w:lineRule="atLeast"/>
              <w:rPr>
                <w:rFonts w:ascii="Arial" w:hAnsi="Arial" w:cs="Arial"/>
              </w:rPr>
            </w:pPr>
          </w:p>
        </w:tc>
      </w:tr>
      <w:tr w:rsidR="00B2442D" w14:paraId="74C099A6" w14:textId="77777777">
        <w:tc>
          <w:tcPr>
            <w:tcW w:w="2122" w:type="dxa"/>
            <w:vAlign w:val="center"/>
          </w:tcPr>
          <w:p w14:paraId="5D3FE192"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6BD93F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4663</w:t>
            </w:r>
          </w:p>
        </w:tc>
        <w:tc>
          <w:tcPr>
            <w:tcW w:w="2845" w:type="dxa"/>
          </w:tcPr>
          <w:p w14:paraId="61E2B3E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mayor de materiales de construcción, artículos de ferretería, pinturas, productos de vidrio, </w:t>
            </w:r>
            <w:r>
              <w:rPr>
                <w:rFonts w:ascii="Arial" w:hAnsi="Arial" w:cs="Arial"/>
              </w:rPr>
              <w:t>equipo y materiales de fontanería y calefacción</w:t>
            </w:r>
          </w:p>
        </w:tc>
        <w:tc>
          <w:tcPr>
            <w:tcW w:w="1276" w:type="dxa"/>
            <w:vMerge/>
          </w:tcPr>
          <w:p w14:paraId="511CE69B" w14:textId="77777777" w:rsidR="00B2442D" w:rsidRDefault="00B2442D">
            <w:pPr>
              <w:widowControl w:val="0"/>
              <w:autoSpaceDE w:val="0"/>
              <w:autoSpaceDN w:val="0"/>
              <w:adjustRightInd w:val="0"/>
              <w:spacing w:line="40" w:lineRule="atLeast"/>
              <w:jc w:val="both"/>
              <w:rPr>
                <w:rFonts w:ascii="Arial" w:hAnsi="Arial" w:cs="Arial"/>
              </w:rPr>
            </w:pPr>
          </w:p>
        </w:tc>
        <w:tc>
          <w:tcPr>
            <w:tcW w:w="1276" w:type="dxa"/>
            <w:vMerge/>
          </w:tcPr>
          <w:p w14:paraId="5CC7B6E7"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7F91FEF5" w14:textId="77777777">
        <w:tc>
          <w:tcPr>
            <w:tcW w:w="2122" w:type="dxa"/>
            <w:vAlign w:val="center"/>
          </w:tcPr>
          <w:p w14:paraId="1BD37E6D"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1BA5DEA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4664</w:t>
            </w:r>
          </w:p>
        </w:tc>
        <w:tc>
          <w:tcPr>
            <w:tcW w:w="2845" w:type="dxa"/>
          </w:tcPr>
          <w:p w14:paraId="455BC2A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mayor de productos químicos básicos, cauchos y plásticos en formas primarias y productos químicos de uso agropecuario</w:t>
            </w:r>
          </w:p>
        </w:tc>
        <w:tc>
          <w:tcPr>
            <w:tcW w:w="1276" w:type="dxa"/>
            <w:vMerge/>
          </w:tcPr>
          <w:p w14:paraId="6C48330C" w14:textId="77777777" w:rsidR="00B2442D" w:rsidRDefault="00B2442D">
            <w:pPr>
              <w:widowControl w:val="0"/>
              <w:autoSpaceDE w:val="0"/>
              <w:autoSpaceDN w:val="0"/>
              <w:adjustRightInd w:val="0"/>
              <w:spacing w:line="40" w:lineRule="atLeast"/>
              <w:jc w:val="both"/>
              <w:rPr>
                <w:rFonts w:ascii="Arial" w:hAnsi="Arial" w:cs="Arial"/>
              </w:rPr>
            </w:pPr>
          </w:p>
        </w:tc>
        <w:tc>
          <w:tcPr>
            <w:tcW w:w="1276" w:type="dxa"/>
            <w:vMerge/>
          </w:tcPr>
          <w:p w14:paraId="28DB4926"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067642A6" w14:textId="77777777">
        <w:tc>
          <w:tcPr>
            <w:tcW w:w="2122" w:type="dxa"/>
            <w:vAlign w:val="center"/>
          </w:tcPr>
          <w:p w14:paraId="1EEEFA23"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50FED16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4665</w:t>
            </w:r>
          </w:p>
        </w:tc>
        <w:tc>
          <w:tcPr>
            <w:tcW w:w="2845" w:type="dxa"/>
          </w:tcPr>
          <w:p w14:paraId="5AB346B6"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Comercio al por mayor de desperdicios, desechos y </w:t>
            </w:r>
            <w:r>
              <w:rPr>
                <w:rFonts w:ascii="Arial" w:hAnsi="Arial" w:cs="Arial"/>
              </w:rPr>
              <w:t>chatarra</w:t>
            </w:r>
          </w:p>
        </w:tc>
        <w:tc>
          <w:tcPr>
            <w:tcW w:w="1276" w:type="dxa"/>
            <w:vMerge/>
          </w:tcPr>
          <w:p w14:paraId="2AAC911B"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39477C3F" w14:textId="77777777" w:rsidR="00B2442D" w:rsidRDefault="00B2442D">
            <w:pPr>
              <w:widowControl w:val="0"/>
              <w:autoSpaceDE w:val="0"/>
              <w:autoSpaceDN w:val="0"/>
              <w:adjustRightInd w:val="0"/>
              <w:spacing w:line="40" w:lineRule="atLeast"/>
              <w:rPr>
                <w:rFonts w:ascii="Arial" w:hAnsi="Arial" w:cs="Arial"/>
              </w:rPr>
            </w:pPr>
          </w:p>
        </w:tc>
      </w:tr>
      <w:tr w:rsidR="00B2442D" w14:paraId="1F327373" w14:textId="77777777">
        <w:tc>
          <w:tcPr>
            <w:tcW w:w="2122" w:type="dxa"/>
            <w:vAlign w:val="center"/>
          </w:tcPr>
          <w:p w14:paraId="01E791E8"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2BD51C3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4669</w:t>
            </w:r>
          </w:p>
        </w:tc>
        <w:tc>
          <w:tcPr>
            <w:tcW w:w="2845" w:type="dxa"/>
            <w:vAlign w:val="center"/>
          </w:tcPr>
          <w:p w14:paraId="29A846E5"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Comercio al por mayor de otros productos n.c.p.</w:t>
            </w:r>
          </w:p>
        </w:tc>
        <w:tc>
          <w:tcPr>
            <w:tcW w:w="1276" w:type="dxa"/>
            <w:vMerge/>
          </w:tcPr>
          <w:p w14:paraId="37B492AA"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256B4493" w14:textId="77777777" w:rsidR="00B2442D" w:rsidRDefault="00B2442D">
            <w:pPr>
              <w:widowControl w:val="0"/>
              <w:autoSpaceDE w:val="0"/>
              <w:autoSpaceDN w:val="0"/>
              <w:adjustRightInd w:val="0"/>
              <w:spacing w:line="40" w:lineRule="atLeast"/>
              <w:rPr>
                <w:rFonts w:ascii="Arial" w:hAnsi="Arial" w:cs="Arial"/>
              </w:rPr>
            </w:pPr>
          </w:p>
        </w:tc>
      </w:tr>
      <w:tr w:rsidR="00B2442D" w14:paraId="618C7FEF" w14:textId="77777777">
        <w:tc>
          <w:tcPr>
            <w:tcW w:w="2122" w:type="dxa"/>
            <w:vAlign w:val="center"/>
          </w:tcPr>
          <w:p w14:paraId="6D83D785" w14:textId="77777777" w:rsidR="00B2442D" w:rsidRDefault="00B2442D">
            <w:pPr>
              <w:widowControl w:val="0"/>
              <w:autoSpaceDE w:val="0"/>
              <w:autoSpaceDN w:val="0"/>
              <w:adjustRightInd w:val="0"/>
              <w:spacing w:line="40" w:lineRule="atLeast"/>
              <w:rPr>
                <w:rFonts w:ascii="Arial" w:hAnsi="Arial" w:cs="Arial"/>
              </w:rPr>
            </w:pPr>
          </w:p>
        </w:tc>
        <w:tc>
          <w:tcPr>
            <w:tcW w:w="1417" w:type="dxa"/>
            <w:vAlign w:val="center"/>
          </w:tcPr>
          <w:p w14:paraId="75EFF3D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4690</w:t>
            </w:r>
          </w:p>
        </w:tc>
        <w:tc>
          <w:tcPr>
            <w:tcW w:w="2845" w:type="dxa"/>
            <w:vAlign w:val="center"/>
          </w:tcPr>
          <w:p w14:paraId="116B4A84"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Comercio al por mayor no especializado</w:t>
            </w:r>
          </w:p>
        </w:tc>
        <w:tc>
          <w:tcPr>
            <w:tcW w:w="1276" w:type="dxa"/>
            <w:vMerge/>
          </w:tcPr>
          <w:p w14:paraId="5C166CB6" w14:textId="77777777" w:rsidR="00B2442D" w:rsidRDefault="00B2442D">
            <w:pPr>
              <w:widowControl w:val="0"/>
              <w:autoSpaceDE w:val="0"/>
              <w:autoSpaceDN w:val="0"/>
              <w:adjustRightInd w:val="0"/>
              <w:spacing w:line="40" w:lineRule="atLeast"/>
              <w:rPr>
                <w:rFonts w:ascii="Arial" w:hAnsi="Arial" w:cs="Arial"/>
              </w:rPr>
            </w:pPr>
          </w:p>
        </w:tc>
        <w:tc>
          <w:tcPr>
            <w:tcW w:w="1276" w:type="dxa"/>
            <w:vMerge/>
          </w:tcPr>
          <w:p w14:paraId="63557C40" w14:textId="77777777" w:rsidR="00B2442D" w:rsidRDefault="00B2442D">
            <w:pPr>
              <w:widowControl w:val="0"/>
              <w:autoSpaceDE w:val="0"/>
              <w:autoSpaceDN w:val="0"/>
              <w:adjustRightInd w:val="0"/>
              <w:spacing w:line="40" w:lineRule="atLeast"/>
              <w:rPr>
                <w:rFonts w:ascii="Arial" w:hAnsi="Arial" w:cs="Arial"/>
              </w:rPr>
            </w:pPr>
          </w:p>
        </w:tc>
      </w:tr>
    </w:tbl>
    <w:p w14:paraId="6614E81C" w14:textId="77777777" w:rsidR="00B2442D" w:rsidRDefault="00B2442D">
      <w:pP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4"/>
        <w:gridCol w:w="1418"/>
        <w:gridCol w:w="2846"/>
        <w:gridCol w:w="1274"/>
        <w:gridCol w:w="1274"/>
      </w:tblGrid>
      <w:tr w:rsidR="00B2442D" w14:paraId="13E43473" w14:textId="77777777">
        <w:tc>
          <w:tcPr>
            <w:tcW w:w="1188" w:type="pct"/>
            <w:vAlign w:val="center"/>
          </w:tcPr>
          <w:p w14:paraId="4B1976C7"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Actividad</w:t>
            </w:r>
          </w:p>
        </w:tc>
        <w:tc>
          <w:tcPr>
            <w:tcW w:w="793" w:type="pct"/>
            <w:vAlign w:val="center"/>
          </w:tcPr>
          <w:p w14:paraId="2AEE8CC2"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Código</w:t>
            </w:r>
            <w:r>
              <w:rPr>
                <w:rFonts w:ascii="Arial" w:hAnsi="Arial" w:cs="Arial"/>
                <w:b/>
                <w:bCs/>
              </w:rPr>
              <w:br/>
              <w:t>actividad</w:t>
            </w:r>
            <w:r>
              <w:rPr>
                <w:rFonts w:ascii="Arial" w:hAnsi="Arial" w:cs="Arial"/>
                <w:b/>
                <w:bCs/>
              </w:rPr>
              <w:br/>
              <w:t>económica</w:t>
            </w:r>
          </w:p>
        </w:tc>
        <w:tc>
          <w:tcPr>
            <w:tcW w:w="1592" w:type="pct"/>
            <w:vAlign w:val="center"/>
          </w:tcPr>
          <w:p w14:paraId="1C9AA780"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Nombre actividad económica</w:t>
            </w:r>
          </w:p>
        </w:tc>
        <w:tc>
          <w:tcPr>
            <w:tcW w:w="713" w:type="pct"/>
            <w:vAlign w:val="center"/>
          </w:tcPr>
          <w:p w14:paraId="741895BD"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Para</w:t>
            </w:r>
            <w:r>
              <w:rPr>
                <w:rFonts w:ascii="Arial" w:hAnsi="Arial" w:cs="Arial"/>
                <w:b/>
                <w:bCs/>
              </w:rPr>
              <w:br/>
              <w:t>RGA</w:t>
            </w:r>
            <w:r>
              <w:rPr>
                <w:rFonts w:ascii="Arial" w:hAnsi="Arial" w:cs="Arial"/>
                <w:b/>
                <w:bCs/>
              </w:rPr>
              <w:br/>
              <w:t>desde</w:t>
            </w:r>
          </w:p>
        </w:tc>
        <w:tc>
          <w:tcPr>
            <w:tcW w:w="713" w:type="pct"/>
            <w:vAlign w:val="center"/>
          </w:tcPr>
          <w:p w14:paraId="6E35755C"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IMAS</w:t>
            </w:r>
          </w:p>
        </w:tc>
      </w:tr>
      <w:tr w:rsidR="00B2442D" w14:paraId="5748670E" w14:textId="77777777">
        <w:tc>
          <w:tcPr>
            <w:tcW w:w="1188" w:type="pct"/>
            <w:vAlign w:val="center"/>
          </w:tcPr>
          <w:p w14:paraId="34BCD427"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Comercio al</w:t>
            </w:r>
            <w:r>
              <w:rPr>
                <w:rFonts w:ascii="Arial" w:hAnsi="Arial" w:cs="Arial"/>
                <w:b/>
                <w:bCs/>
              </w:rPr>
              <w:br/>
              <w:t>por menor</w:t>
            </w:r>
          </w:p>
        </w:tc>
        <w:tc>
          <w:tcPr>
            <w:tcW w:w="793" w:type="pct"/>
            <w:vAlign w:val="center"/>
          </w:tcPr>
          <w:p w14:paraId="4B23B4BC"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4711</w:t>
            </w:r>
          </w:p>
        </w:tc>
        <w:tc>
          <w:tcPr>
            <w:tcW w:w="1592" w:type="pct"/>
          </w:tcPr>
          <w:p w14:paraId="33D95E9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en </w:t>
            </w:r>
            <w:r>
              <w:rPr>
                <w:rFonts w:ascii="Arial" w:hAnsi="Arial" w:cs="Arial"/>
              </w:rPr>
              <w:t>establecimientos no especializados con surtido compuesto principalmente por alimentos, bebidas o tabaco</w:t>
            </w:r>
          </w:p>
        </w:tc>
        <w:tc>
          <w:tcPr>
            <w:tcW w:w="713" w:type="pct"/>
            <w:vMerge w:val="restart"/>
            <w:vAlign w:val="center"/>
          </w:tcPr>
          <w:p w14:paraId="350EE64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5.409</w:t>
            </w:r>
            <w:r>
              <w:rPr>
                <w:rFonts w:ascii="Arial" w:hAnsi="Arial" w:cs="Arial"/>
              </w:rPr>
              <w:br/>
              <w:t>UVT</w:t>
            </w:r>
          </w:p>
        </w:tc>
        <w:tc>
          <w:tcPr>
            <w:tcW w:w="713" w:type="pct"/>
            <w:vMerge w:val="restart"/>
            <w:vAlign w:val="center"/>
          </w:tcPr>
          <w:p w14:paraId="17A6063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0,82% * (RGA</w:t>
            </w:r>
            <w:r>
              <w:rPr>
                <w:rFonts w:ascii="Arial" w:hAnsi="Arial" w:cs="Arial"/>
              </w:rPr>
              <w:br/>
              <w:t>en UVT –</w:t>
            </w:r>
            <w:r>
              <w:rPr>
                <w:rFonts w:ascii="Arial" w:hAnsi="Arial" w:cs="Arial"/>
              </w:rPr>
              <w:br/>
              <w:t>5.409)</w:t>
            </w:r>
          </w:p>
        </w:tc>
      </w:tr>
      <w:tr w:rsidR="00B2442D" w14:paraId="7A8BBAC3" w14:textId="77777777">
        <w:tc>
          <w:tcPr>
            <w:tcW w:w="1188" w:type="pct"/>
            <w:vAlign w:val="center"/>
          </w:tcPr>
          <w:p w14:paraId="0FA67B73"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00DAABD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4719</w:t>
            </w:r>
          </w:p>
        </w:tc>
        <w:tc>
          <w:tcPr>
            <w:tcW w:w="1592" w:type="pct"/>
          </w:tcPr>
          <w:p w14:paraId="5FFE3DE0" w14:textId="77777777" w:rsidR="00B2442D" w:rsidRDefault="008A645F">
            <w:pPr>
              <w:widowControl w:val="0"/>
              <w:tabs>
                <w:tab w:val="left" w:pos="720"/>
                <w:tab w:val="right" w:pos="1296"/>
                <w:tab w:val="right" w:pos="1728"/>
                <w:tab w:val="left" w:pos="1872"/>
                <w:tab w:val="right" w:pos="3168"/>
              </w:tabs>
              <w:autoSpaceDE w:val="0"/>
              <w:autoSpaceDN w:val="0"/>
              <w:adjustRightInd w:val="0"/>
              <w:spacing w:line="40" w:lineRule="atLeast"/>
              <w:jc w:val="both"/>
              <w:rPr>
                <w:rFonts w:ascii="Arial" w:hAnsi="Arial" w:cs="Arial"/>
              </w:rPr>
            </w:pPr>
            <w:r>
              <w:rPr>
                <w:rFonts w:ascii="Arial" w:hAnsi="Arial" w:cs="Arial"/>
              </w:rPr>
              <w:t xml:space="preserve">Comercio al por menor en establecimientos no especializados, con surtido compuesto </w:t>
            </w:r>
            <w:r>
              <w:rPr>
                <w:rFonts w:ascii="Arial" w:hAnsi="Arial" w:cs="Arial"/>
              </w:rPr>
              <w:t>principalmente por productos diferentes de alimentos (víveres en general), bebidas y tabaco</w:t>
            </w:r>
          </w:p>
        </w:tc>
        <w:tc>
          <w:tcPr>
            <w:tcW w:w="713" w:type="pct"/>
            <w:vMerge/>
            <w:vAlign w:val="center"/>
          </w:tcPr>
          <w:p w14:paraId="3798A91F"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769CDB08"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0AD1481F" w14:textId="77777777">
        <w:tc>
          <w:tcPr>
            <w:tcW w:w="1188" w:type="pct"/>
            <w:vAlign w:val="center"/>
          </w:tcPr>
          <w:p w14:paraId="5D88CA97"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63D0F784"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4721</w:t>
            </w:r>
          </w:p>
        </w:tc>
        <w:tc>
          <w:tcPr>
            <w:tcW w:w="1592" w:type="pct"/>
          </w:tcPr>
          <w:p w14:paraId="62B47C0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productos agrícolas para el consumo en establecimientos especializados</w:t>
            </w:r>
          </w:p>
        </w:tc>
        <w:tc>
          <w:tcPr>
            <w:tcW w:w="713" w:type="pct"/>
            <w:vMerge/>
            <w:vAlign w:val="center"/>
          </w:tcPr>
          <w:p w14:paraId="4107537D"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511AC3AB"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28493E0B" w14:textId="77777777">
        <w:tc>
          <w:tcPr>
            <w:tcW w:w="1188" w:type="pct"/>
            <w:vAlign w:val="center"/>
          </w:tcPr>
          <w:p w14:paraId="19C88E4D"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E07ECE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4722</w:t>
            </w:r>
          </w:p>
        </w:tc>
        <w:tc>
          <w:tcPr>
            <w:tcW w:w="1592" w:type="pct"/>
          </w:tcPr>
          <w:p w14:paraId="5119087A"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leche, productos </w:t>
            </w:r>
            <w:r>
              <w:rPr>
                <w:rFonts w:ascii="Arial" w:hAnsi="Arial" w:cs="Arial"/>
              </w:rPr>
              <w:t>lácteos y huevos, en establecimientos especializados</w:t>
            </w:r>
          </w:p>
        </w:tc>
        <w:tc>
          <w:tcPr>
            <w:tcW w:w="713" w:type="pct"/>
            <w:vMerge/>
            <w:vAlign w:val="center"/>
          </w:tcPr>
          <w:p w14:paraId="48671BFE"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36A9B9CA"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0D096419" w14:textId="77777777">
        <w:tc>
          <w:tcPr>
            <w:tcW w:w="1188" w:type="pct"/>
            <w:vAlign w:val="center"/>
          </w:tcPr>
          <w:p w14:paraId="1CDE06A9"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0CB252FF"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4723</w:t>
            </w:r>
          </w:p>
        </w:tc>
        <w:tc>
          <w:tcPr>
            <w:tcW w:w="1592" w:type="pct"/>
          </w:tcPr>
          <w:p w14:paraId="3026ACB2"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carnes (incluye aves de corral), productos cárnicos, pescados y productos de mar, en establecimientos especializados</w:t>
            </w:r>
          </w:p>
        </w:tc>
        <w:tc>
          <w:tcPr>
            <w:tcW w:w="713" w:type="pct"/>
            <w:vMerge/>
          </w:tcPr>
          <w:p w14:paraId="56BBFB02"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04996D79"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15F46BC6" w14:textId="77777777">
        <w:tc>
          <w:tcPr>
            <w:tcW w:w="1188" w:type="pct"/>
            <w:vAlign w:val="center"/>
          </w:tcPr>
          <w:p w14:paraId="3C51BBD8"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26A0201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4724</w:t>
            </w:r>
          </w:p>
        </w:tc>
        <w:tc>
          <w:tcPr>
            <w:tcW w:w="1592" w:type="pct"/>
          </w:tcPr>
          <w:p w14:paraId="67FCDFC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bebidas y </w:t>
            </w:r>
            <w:r>
              <w:rPr>
                <w:rFonts w:ascii="Arial" w:hAnsi="Arial" w:cs="Arial"/>
              </w:rPr>
              <w:t>productos del tabaco, en establecimientos especializados</w:t>
            </w:r>
          </w:p>
        </w:tc>
        <w:tc>
          <w:tcPr>
            <w:tcW w:w="713" w:type="pct"/>
            <w:vMerge/>
            <w:vAlign w:val="center"/>
          </w:tcPr>
          <w:p w14:paraId="6B220765"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1382A4AE"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564A06CC" w14:textId="77777777">
        <w:tc>
          <w:tcPr>
            <w:tcW w:w="1188" w:type="pct"/>
            <w:vAlign w:val="center"/>
          </w:tcPr>
          <w:p w14:paraId="5CD7461F"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49AA002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4729</w:t>
            </w:r>
          </w:p>
        </w:tc>
        <w:tc>
          <w:tcPr>
            <w:tcW w:w="1592" w:type="pct"/>
          </w:tcPr>
          <w:p w14:paraId="19D3EF45" w14:textId="77777777" w:rsidR="00B2442D" w:rsidRDefault="008A645F">
            <w:pPr>
              <w:widowControl w:val="0"/>
              <w:tabs>
                <w:tab w:val="left" w:pos="720"/>
                <w:tab w:val="left" w:pos="1008"/>
                <w:tab w:val="left" w:pos="1296"/>
                <w:tab w:val="left" w:pos="1872"/>
                <w:tab w:val="left" w:pos="2160"/>
                <w:tab w:val="right" w:pos="3168"/>
              </w:tabs>
              <w:autoSpaceDE w:val="0"/>
              <w:autoSpaceDN w:val="0"/>
              <w:adjustRightInd w:val="0"/>
              <w:spacing w:line="40" w:lineRule="atLeast"/>
              <w:jc w:val="both"/>
              <w:rPr>
                <w:rFonts w:ascii="Arial" w:hAnsi="Arial" w:cs="Arial"/>
              </w:rPr>
            </w:pPr>
            <w:r>
              <w:rPr>
                <w:rFonts w:ascii="Arial" w:hAnsi="Arial" w:cs="Arial"/>
              </w:rPr>
              <w:t>Comercio al por menor de otros productos alimenticios n.c.p., en establecimientos especializados</w:t>
            </w:r>
          </w:p>
        </w:tc>
        <w:tc>
          <w:tcPr>
            <w:tcW w:w="713" w:type="pct"/>
            <w:vMerge/>
            <w:vAlign w:val="center"/>
          </w:tcPr>
          <w:p w14:paraId="728EF883" w14:textId="77777777" w:rsidR="00B2442D" w:rsidRDefault="00B2442D">
            <w:pPr>
              <w:widowControl w:val="0"/>
              <w:tabs>
                <w:tab w:val="left" w:pos="1008"/>
                <w:tab w:val="left" w:pos="1728"/>
                <w:tab w:val="right" w:pos="3168"/>
              </w:tabs>
              <w:autoSpaceDE w:val="0"/>
              <w:autoSpaceDN w:val="0"/>
              <w:adjustRightInd w:val="0"/>
              <w:spacing w:line="40" w:lineRule="atLeast"/>
              <w:rPr>
                <w:rFonts w:ascii="Arial" w:hAnsi="Arial" w:cs="Arial"/>
              </w:rPr>
            </w:pPr>
          </w:p>
        </w:tc>
        <w:tc>
          <w:tcPr>
            <w:tcW w:w="713" w:type="pct"/>
            <w:vMerge/>
          </w:tcPr>
          <w:p w14:paraId="71E0C09C" w14:textId="77777777" w:rsidR="00B2442D" w:rsidRDefault="00B2442D">
            <w:pPr>
              <w:widowControl w:val="0"/>
              <w:tabs>
                <w:tab w:val="left" w:pos="1008"/>
                <w:tab w:val="left" w:pos="1728"/>
                <w:tab w:val="right" w:pos="3168"/>
              </w:tabs>
              <w:autoSpaceDE w:val="0"/>
              <w:autoSpaceDN w:val="0"/>
              <w:adjustRightInd w:val="0"/>
              <w:spacing w:line="40" w:lineRule="atLeast"/>
              <w:rPr>
                <w:rFonts w:ascii="Arial" w:hAnsi="Arial" w:cs="Arial"/>
              </w:rPr>
            </w:pPr>
          </w:p>
        </w:tc>
      </w:tr>
      <w:tr w:rsidR="00B2442D" w14:paraId="66F5AB7F" w14:textId="77777777">
        <w:tc>
          <w:tcPr>
            <w:tcW w:w="1188" w:type="pct"/>
            <w:vAlign w:val="center"/>
          </w:tcPr>
          <w:p w14:paraId="70F3B020"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4FB8AAAB"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4731</w:t>
            </w:r>
          </w:p>
        </w:tc>
        <w:tc>
          <w:tcPr>
            <w:tcW w:w="1592" w:type="pct"/>
          </w:tcPr>
          <w:p w14:paraId="7A78437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combustible para automotores</w:t>
            </w:r>
          </w:p>
        </w:tc>
        <w:tc>
          <w:tcPr>
            <w:tcW w:w="713" w:type="pct"/>
            <w:vMerge/>
            <w:vAlign w:val="center"/>
          </w:tcPr>
          <w:p w14:paraId="72C0911B"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608B9C3D"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35225F6E" w14:textId="77777777">
        <w:tc>
          <w:tcPr>
            <w:tcW w:w="1188" w:type="pct"/>
            <w:vAlign w:val="center"/>
          </w:tcPr>
          <w:p w14:paraId="79C11115"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7EB94CAF"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4732</w:t>
            </w:r>
          </w:p>
        </w:tc>
        <w:tc>
          <w:tcPr>
            <w:tcW w:w="1592" w:type="pct"/>
          </w:tcPr>
          <w:p w14:paraId="25BFD1B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w:t>
            </w:r>
            <w:r>
              <w:rPr>
                <w:rFonts w:ascii="Arial" w:hAnsi="Arial" w:cs="Arial"/>
              </w:rPr>
              <w:t>menor de lubricantes (aceites, grasas), aditivos y productos de limpieza para vehículos automotores</w:t>
            </w:r>
          </w:p>
        </w:tc>
        <w:tc>
          <w:tcPr>
            <w:tcW w:w="713" w:type="pct"/>
            <w:vMerge/>
          </w:tcPr>
          <w:p w14:paraId="4ADDCC06"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39E8DAE5"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1DF59F68" w14:textId="77777777">
        <w:tc>
          <w:tcPr>
            <w:tcW w:w="1188" w:type="pct"/>
            <w:vAlign w:val="center"/>
          </w:tcPr>
          <w:p w14:paraId="02B3C972"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4643BCA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4741</w:t>
            </w:r>
          </w:p>
        </w:tc>
        <w:tc>
          <w:tcPr>
            <w:tcW w:w="1592" w:type="pct"/>
          </w:tcPr>
          <w:p w14:paraId="2FA95340"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computadores, equipos periféricos, programas de informática y equipos de telecomunicaciones en </w:t>
            </w:r>
            <w:r>
              <w:rPr>
                <w:rFonts w:ascii="Arial" w:hAnsi="Arial" w:cs="Arial"/>
              </w:rPr>
              <w:t>establecimientos especializados</w:t>
            </w:r>
          </w:p>
        </w:tc>
        <w:tc>
          <w:tcPr>
            <w:tcW w:w="713" w:type="pct"/>
            <w:vMerge/>
          </w:tcPr>
          <w:p w14:paraId="0DEB7D0B"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1E28CAB7"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4C206647" w14:textId="77777777">
        <w:tc>
          <w:tcPr>
            <w:tcW w:w="1188" w:type="pct"/>
            <w:vAlign w:val="center"/>
          </w:tcPr>
          <w:p w14:paraId="72F112D9"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256D064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4742</w:t>
            </w:r>
          </w:p>
        </w:tc>
        <w:tc>
          <w:tcPr>
            <w:tcW w:w="1592" w:type="pct"/>
          </w:tcPr>
          <w:p w14:paraId="62964D3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equipos y aparatos de</w:t>
            </w:r>
            <w:r>
              <w:rPr>
                <w:rFonts w:ascii="Arial" w:hAnsi="Arial" w:cs="Arial"/>
              </w:rPr>
              <w:br/>
              <w:t>sonido y de video, en establecimientos especializados</w:t>
            </w:r>
          </w:p>
        </w:tc>
        <w:tc>
          <w:tcPr>
            <w:tcW w:w="713" w:type="pct"/>
            <w:vMerge/>
            <w:vAlign w:val="center"/>
          </w:tcPr>
          <w:p w14:paraId="3B1D5A7A"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7024BAD5"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53BEBC2" w14:textId="77777777">
        <w:tc>
          <w:tcPr>
            <w:tcW w:w="1188" w:type="pct"/>
            <w:vAlign w:val="center"/>
          </w:tcPr>
          <w:p w14:paraId="12009706"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BAE83D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4751</w:t>
            </w:r>
          </w:p>
        </w:tc>
        <w:tc>
          <w:tcPr>
            <w:tcW w:w="1592" w:type="pct"/>
          </w:tcPr>
          <w:p w14:paraId="3105A874"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productos textiles en establecimientos especializados</w:t>
            </w:r>
          </w:p>
        </w:tc>
        <w:tc>
          <w:tcPr>
            <w:tcW w:w="713" w:type="pct"/>
            <w:vMerge/>
            <w:vAlign w:val="center"/>
          </w:tcPr>
          <w:p w14:paraId="411C2496"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6FB45C0A"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8D18D2B" w14:textId="77777777">
        <w:tc>
          <w:tcPr>
            <w:tcW w:w="1188" w:type="pct"/>
            <w:vAlign w:val="center"/>
          </w:tcPr>
          <w:p w14:paraId="16D062B2"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53670BD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4752</w:t>
            </w:r>
          </w:p>
        </w:tc>
        <w:tc>
          <w:tcPr>
            <w:tcW w:w="1592" w:type="pct"/>
          </w:tcPr>
          <w:p w14:paraId="333D6A3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w:t>
            </w:r>
            <w:r>
              <w:rPr>
                <w:rFonts w:ascii="Arial" w:hAnsi="Arial" w:cs="Arial"/>
              </w:rPr>
              <w:t>por menor de artículos de ferretería, pinturas y productos de vidrio en establecimientos especializados</w:t>
            </w:r>
          </w:p>
        </w:tc>
        <w:tc>
          <w:tcPr>
            <w:tcW w:w="713" w:type="pct"/>
            <w:vMerge/>
          </w:tcPr>
          <w:p w14:paraId="56212556"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50A22E28"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4347D741" w14:textId="77777777">
        <w:tc>
          <w:tcPr>
            <w:tcW w:w="1188" w:type="pct"/>
            <w:vAlign w:val="center"/>
          </w:tcPr>
          <w:p w14:paraId="1A21A641"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17F3DA5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4753</w:t>
            </w:r>
          </w:p>
        </w:tc>
        <w:tc>
          <w:tcPr>
            <w:tcW w:w="1592" w:type="pct"/>
          </w:tcPr>
          <w:p w14:paraId="010CF7F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tapices, alfombras y cubrimientos para paredes y pisos en establecimientos especializados</w:t>
            </w:r>
          </w:p>
        </w:tc>
        <w:tc>
          <w:tcPr>
            <w:tcW w:w="713" w:type="pct"/>
            <w:vMerge/>
          </w:tcPr>
          <w:p w14:paraId="69912122"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7FB0F8DB"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4110E636" w14:textId="77777777">
        <w:tc>
          <w:tcPr>
            <w:tcW w:w="1188" w:type="pct"/>
            <w:vAlign w:val="center"/>
          </w:tcPr>
          <w:p w14:paraId="3619AF75"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126CE2F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4754</w:t>
            </w:r>
          </w:p>
        </w:tc>
        <w:tc>
          <w:tcPr>
            <w:tcW w:w="1592" w:type="pct"/>
          </w:tcPr>
          <w:p w14:paraId="764CC25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w:t>
            </w:r>
            <w:r>
              <w:rPr>
                <w:rFonts w:ascii="Arial" w:hAnsi="Arial" w:cs="Arial"/>
              </w:rPr>
              <w:t>menor de electrodomésticos y gasodomésticos de uso doméstico, muebles y equipos de iluminación</w:t>
            </w:r>
          </w:p>
        </w:tc>
        <w:tc>
          <w:tcPr>
            <w:tcW w:w="713" w:type="pct"/>
            <w:vMerge/>
          </w:tcPr>
          <w:p w14:paraId="79C7CFC0"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017A04A5"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5987BD09" w14:textId="77777777">
        <w:tc>
          <w:tcPr>
            <w:tcW w:w="1188" w:type="pct"/>
            <w:vAlign w:val="center"/>
          </w:tcPr>
          <w:p w14:paraId="405C8F44"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9F10D5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4755</w:t>
            </w:r>
          </w:p>
        </w:tc>
        <w:tc>
          <w:tcPr>
            <w:tcW w:w="1592" w:type="pct"/>
          </w:tcPr>
          <w:p w14:paraId="6F9A13E1"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artículos y utensilios de uso doméstico</w:t>
            </w:r>
          </w:p>
        </w:tc>
        <w:tc>
          <w:tcPr>
            <w:tcW w:w="713" w:type="pct"/>
            <w:vMerge/>
            <w:vAlign w:val="center"/>
          </w:tcPr>
          <w:p w14:paraId="04F984F2"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736DE219"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28CD1BF5" w14:textId="77777777">
        <w:tc>
          <w:tcPr>
            <w:tcW w:w="1188" w:type="pct"/>
            <w:vAlign w:val="center"/>
          </w:tcPr>
          <w:p w14:paraId="476BE819"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11B3DB2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4759</w:t>
            </w:r>
          </w:p>
        </w:tc>
        <w:tc>
          <w:tcPr>
            <w:tcW w:w="1592" w:type="pct"/>
          </w:tcPr>
          <w:p w14:paraId="3BEB395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otros artículos domésticos en </w:t>
            </w:r>
            <w:r>
              <w:rPr>
                <w:rFonts w:ascii="Arial" w:hAnsi="Arial" w:cs="Arial"/>
              </w:rPr>
              <w:t>establecimientos especializados</w:t>
            </w:r>
          </w:p>
        </w:tc>
        <w:tc>
          <w:tcPr>
            <w:tcW w:w="713" w:type="pct"/>
            <w:vMerge/>
            <w:vAlign w:val="center"/>
          </w:tcPr>
          <w:p w14:paraId="4A048897"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2AF8E099"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41E213EC" w14:textId="77777777">
        <w:tc>
          <w:tcPr>
            <w:tcW w:w="1188" w:type="pct"/>
            <w:vAlign w:val="center"/>
          </w:tcPr>
          <w:p w14:paraId="5FB65FB1"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7281F36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4761</w:t>
            </w:r>
          </w:p>
        </w:tc>
        <w:tc>
          <w:tcPr>
            <w:tcW w:w="1592" w:type="pct"/>
          </w:tcPr>
          <w:p w14:paraId="7E6371A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libros, periódicos, materiales y artículos de papelería y escritorio, en establecimientos especializados</w:t>
            </w:r>
          </w:p>
        </w:tc>
        <w:tc>
          <w:tcPr>
            <w:tcW w:w="713" w:type="pct"/>
            <w:vMerge/>
          </w:tcPr>
          <w:p w14:paraId="480D3A7D"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3E89A740"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441E0F8C" w14:textId="77777777">
        <w:tc>
          <w:tcPr>
            <w:tcW w:w="1188" w:type="pct"/>
            <w:vAlign w:val="center"/>
          </w:tcPr>
          <w:p w14:paraId="19231E20"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73477FD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4762</w:t>
            </w:r>
          </w:p>
        </w:tc>
        <w:tc>
          <w:tcPr>
            <w:tcW w:w="1592" w:type="pct"/>
          </w:tcPr>
          <w:p w14:paraId="190099F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artículos deportivos, en </w:t>
            </w:r>
            <w:r>
              <w:rPr>
                <w:rFonts w:ascii="Arial" w:hAnsi="Arial" w:cs="Arial"/>
              </w:rPr>
              <w:t>establecimientos especializados</w:t>
            </w:r>
          </w:p>
        </w:tc>
        <w:tc>
          <w:tcPr>
            <w:tcW w:w="713" w:type="pct"/>
            <w:vMerge/>
            <w:vAlign w:val="center"/>
          </w:tcPr>
          <w:p w14:paraId="471ECB54"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036B3D5F"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4A4B8C92" w14:textId="77777777">
        <w:tc>
          <w:tcPr>
            <w:tcW w:w="1188" w:type="pct"/>
            <w:vAlign w:val="center"/>
          </w:tcPr>
          <w:p w14:paraId="504743E0"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5903D64B"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4769</w:t>
            </w:r>
          </w:p>
        </w:tc>
        <w:tc>
          <w:tcPr>
            <w:tcW w:w="1592" w:type="pct"/>
          </w:tcPr>
          <w:p w14:paraId="0340E6F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otros artículos culturales y de entretenimiento n.c.p. en establecimientos especializados</w:t>
            </w:r>
          </w:p>
        </w:tc>
        <w:tc>
          <w:tcPr>
            <w:tcW w:w="713" w:type="pct"/>
            <w:vMerge/>
          </w:tcPr>
          <w:p w14:paraId="6BEA7FC1"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1E33F505"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30E8859D" w14:textId="77777777">
        <w:tc>
          <w:tcPr>
            <w:tcW w:w="1188" w:type="pct"/>
            <w:vAlign w:val="center"/>
          </w:tcPr>
          <w:p w14:paraId="4F5C8904"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2C013F56"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4771</w:t>
            </w:r>
          </w:p>
        </w:tc>
        <w:tc>
          <w:tcPr>
            <w:tcW w:w="1592" w:type="pct"/>
          </w:tcPr>
          <w:p w14:paraId="46E79AC3"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prendas de vestir y sus accesorios (incluye artículos de </w:t>
            </w:r>
            <w:r>
              <w:rPr>
                <w:rFonts w:ascii="Arial" w:hAnsi="Arial" w:cs="Arial"/>
              </w:rPr>
              <w:t>piel) en establecimientos especializados</w:t>
            </w:r>
          </w:p>
        </w:tc>
        <w:tc>
          <w:tcPr>
            <w:tcW w:w="713" w:type="pct"/>
            <w:vMerge/>
          </w:tcPr>
          <w:p w14:paraId="3E29007C"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46046020"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7FF5412C" w14:textId="77777777">
        <w:tc>
          <w:tcPr>
            <w:tcW w:w="1188" w:type="pct"/>
            <w:vAlign w:val="center"/>
          </w:tcPr>
          <w:p w14:paraId="635AB7A4"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2A44061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4772</w:t>
            </w:r>
          </w:p>
        </w:tc>
        <w:tc>
          <w:tcPr>
            <w:tcW w:w="1592" w:type="pct"/>
          </w:tcPr>
          <w:p w14:paraId="0EAA6F5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todo tipo de calzado y artículos de cuero y sucedáneos del cuero en establecimientos especializados</w:t>
            </w:r>
          </w:p>
        </w:tc>
        <w:tc>
          <w:tcPr>
            <w:tcW w:w="713" w:type="pct"/>
            <w:vMerge/>
          </w:tcPr>
          <w:p w14:paraId="3B7DD497"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65516DFC"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589EDD18" w14:textId="77777777">
        <w:tc>
          <w:tcPr>
            <w:tcW w:w="1188" w:type="pct"/>
            <w:vAlign w:val="center"/>
          </w:tcPr>
          <w:p w14:paraId="7ED23303"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60FBE80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4773</w:t>
            </w:r>
          </w:p>
        </w:tc>
        <w:tc>
          <w:tcPr>
            <w:tcW w:w="1592" w:type="pct"/>
          </w:tcPr>
          <w:p w14:paraId="3B00808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productos farmacéuticos y </w:t>
            </w:r>
            <w:r>
              <w:rPr>
                <w:rFonts w:ascii="Arial" w:hAnsi="Arial" w:cs="Arial"/>
              </w:rPr>
              <w:t>medicinales, cosméticos y artículos de tocador en establecimientos especializados</w:t>
            </w:r>
          </w:p>
        </w:tc>
        <w:tc>
          <w:tcPr>
            <w:tcW w:w="713" w:type="pct"/>
            <w:vMerge/>
          </w:tcPr>
          <w:p w14:paraId="1D506350" w14:textId="77777777" w:rsidR="00B2442D" w:rsidRDefault="00B2442D">
            <w:pPr>
              <w:widowControl w:val="0"/>
              <w:autoSpaceDE w:val="0"/>
              <w:autoSpaceDN w:val="0"/>
              <w:adjustRightInd w:val="0"/>
              <w:spacing w:line="40" w:lineRule="atLeast"/>
              <w:jc w:val="both"/>
              <w:rPr>
                <w:rFonts w:ascii="Arial" w:hAnsi="Arial" w:cs="Arial"/>
              </w:rPr>
            </w:pPr>
          </w:p>
        </w:tc>
        <w:tc>
          <w:tcPr>
            <w:tcW w:w="713" w:type="pct"/>
            <w:vMerge/>
          </w:tcPr>
          <w:p w14:paraId="2FFEAF7B" w14:textId="77777777" w:rsidR="00B2442D" w:rsidRDefault="00B2442D">
            <w:pPr>
              <w:widowControl w:val="0"/>
              <w:autoSpaceDE w:val="0"/>
              <w:autoSpaceDN w:val="0"/>
              <w:adjustRightInd w:val="0"/>
              <w:spacing w:line="40" w:lineRule="atLeast"/>
              <w:jc w:val="both"/>
              <w:rPr>
                <w:rFonts w:ascii="Arial" w:hAnsi="Arial" w:cs="Arial"/>
              </w:rPr>
            </w:pPr>
          </w:p>
        </w:tc>
      </w:tr>
      <w:tr w:rsidR="00B2442D" w14:paraId="53051B93" w14:textId="77777777">
        <w:tc>
          <w:tcPr>
            <w:tcW w:w="1188" w:type="pct"/>
            <w:vAlign w:val="center"/>
          </w:tcPr>
          <w:p w14:paraId="6194D2A2"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256186C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4774</w:t>
            </w:r>
          </w:p>
        </w:tc>
        <w:tc>
          <w:tcPr>
            <w:tcW w:w="1592" w:type="pct"/>
          </w:tcPr>
          <w:p w14:paraId="297CC97A"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otros productos nuevos en establecimientos especializados</w:t>
            </w:r>
          </w:p>
        </w:tc>
        <w:tc>
          <w:tcPr>
            <w:tcW w:w="713" w:type="pct"/>
            <w:vMerge/>
            <w:vAlign w:val="center"/>
          </w:tcPr>
          <w:p w14:paraId="334A1BD9"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3D1B1518"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62D71BC" w14:textId="77777777">
        <w:tc>
          <w:tcPr>
            <w:tcW w:w="1188" w:type="pct"/>
            <w:vAlign w:val="center"/>
          </w:tcPr>
          <w:p w14:paraId="05FFB8C9"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E60BD74"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4775</w:t>
            </w:r>
          </w:p>
        </w:tc>
        <w:tc>
          <w:tcPr>
            <w:tcW w:w="1592" w:type="pct"/>
            <w:vAlign w:val="center"/>
          </w:tcPr>
          <w:p w14:paraId="2050DB17"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artículos de segunda mano</w:t>
            </w:r>
          </w:p>
        </w:tc>
        <w:tc>
          <w:tcPr>
            <w:tcW w:w="713" w:type="pct"/>
            <w:vMerge/>
            <w:vAlign w:val="center"/>
          </w:tcPr>
          <w:p w14:paraId="58F1D3ED"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505C0B61"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CE793D9" w14:textId="77777777">
        <w:tc>
          <w:tcPr>
            <w:tcW w:w="1188" w:type="pct"/>
            <w:vAlign w:val="center"/>
          </w:tcPr>
          <w:p w14:paraId="48712FE8"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947C5C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4781</w:t>
            </w:r>
          </w:p>
        </w:tc>
        <w:tc>
          <w:tcPr>
            <w:tcW w:w="1592" w:type="pct"/>
          </w:tcPr>
          <w:p w14:paraId="117C203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alimentos, bebidas y tabaco, en puestos de venta móviles</w:t>
            </w:r>
          </w:p>
        </w:tc>
        <w:tc>
          <w:tcPr>
            <w:tcW w:w="713" w:type="pct"/>
            <w:vMerge/>
            <w:vAlign w:val="center"/>
          </w:tcPr>
          <w:p w14:paraId="61EDAB09"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75C7612B"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2A834174" w14:textId="77777777">
        <w:tc>
          <w:tcPr>
            <w:tcW w:w="1188" w:type="pct"/>
            <w:vAlign w:val="center"/>
          </w:tcPr>
          <w:p w14:paraId="5B1FD4F5"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6F398ED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4782</w:t>
            </w:r>
          </w:p>
        </w:tc>
        <w:tc>
          <w:tcPr>
            <w:tcW w:w="1592" w:type="pct"/>
          </w:tcPr>
          <w:p w14:paraId="0E29FE7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de productos textiles, prendas de vestir y calzado, en puestos de venta móviles</w:t>
            </w:r>
          </w:p>
        </w:tc>
        <w:tc>
          <w:tcPr>
            <w:tcW w:w="713" w:type="pct"/>
            <w:vMerge/>
            <w:vAlign w:val="center"/>
          </w:tcPr>
          <w:p w14:paraId="7C14CB5C"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44CA9357"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52A1DAD8" w14:textId="77777777">
        <w:tc>
          <w:tcPr>
            <w:tcW w:w="1188" w:type="pct"/>
            <w:vAlign w:val="center"/>
          </w:tcPr>
          <w:p w14:paraId="0872D89C"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8EC878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4789</w:t>
            </w:r>
          </w:p>
        </w:tc>
        <w:tc>
          <w:tcPr>
            <w:tcW w:w="1592" w:type="pct"/>
          </w:tcPr>
          <w:p w14:paraId="6517277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Comercio al por menor de otros productos en </w:t>
            </w:r>
            <w:r>
              <w:rPr>
                <w:rFonts w:ascii="Arial" w:hAnsi="Arial" w:cs="Arial"/>
              </w:rPr>
              <w:t>puestos de venta móviles</w:t>
            </w:r>
          </w:p>
        </w:tc>
        <w:tc>
          <w:tcPr>
            <w:tcW w:w="713" w:type="pct"/>
            <w:vMerge/>
            <w:vAlign w:val="center"/>
          </w:tcPr>
          <w:p w14:paraId="4452FF7D"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3F203BC5"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20D429EA" w14:textId="77777777">
        <w:tc>
          <w:tcPr>
            <w:tcW w:w="1188" w:type="pct"/>
            <w:vAlign w:val="center"/>
          </w:tcPr>
          <w:p w14:paraId="265567FD"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5830E62"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4791</w:t>
            </w:r>
          </w:p>
        </w:tc>
        <w:tc>
          <w:tcPr>
            <w:tcW w:w="1592" w:type="pct"/>
            <w:vAlign w:val="center"/>
          </w:tcPr>
          <w:p w14:paraId="7FCB854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realizado a través de Internet</w:t>
            </w:r>
          </w:p>
        </w:tc>
        <w:tc>
          <w:tcPr>
            <w:tcW w:w="713" w:type="pct"/>
            <w:vMerge/>
            <w:vAlign w:val="center"/>
          </w:tcPr>
          <w:p w14:paraId="3DC550DC"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55BBCDD4"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B3B31EE" w14:textId="77777777">
        <w:tc>
          <w:tcPr>
            <w:tcW w:w="1188" w:type="pct"/>
            <w:vAlign w:val="center"/>
          </w:tcPr>
          <w:p w14:paraId="0658BF11"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15A6A67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4792</w:t>
            </w:r>
          </w:p>
        </w:tc>
        <w:tc>
          <w:tcPr>
            <w:tcW w:w="1592" w:type="pct"/>
          </w:tcPr>
          <w:p w14:paraId="354D4BB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al por menor realizado a través de casas de venta o por correo</w:t>
            </w:r>
          </w:p>
        </w:tc>
        <w:tc>
          <w:tcPr>
            <w:tcW w:w="713" w:type="pct"/>
            <w:vMerge/>
            <w:vAlign w:val="center"/>
          </w:tcPr>
          <w:p w14:paraId="715FA56B"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7D59DB33"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7DF1C13" w14:textId="77777777">
        <w:tc>
          <w:tcPr>
            <w:tcW w:w="1188" w:type="pct"/>
            <w:vAlign w:val="center"/>
          </w:tcPr>
          <w:p w14:paraId="28F761C9"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356F2C45"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4799</w:t>
            </w:r>
          </w:p>
        </w:tc>
        <w:tc>
          <w:tcPr>
            <w:tcW w:w="1592" w:type="pct"/>
          </w:tcPr>
          <w:p w14:paraId="05021B27"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 xml:space="preserve">Otros tipos de comercio al por menor no realizado en </w:t>
            </w:r>
            <w:r>
              <w:rPr>
                <w:rFonts w:ascii="Arial" w:hAnsi="Arial" w:cs="Arial"/>
              </w:rPr>
              <w:t>establecimientos, puestos de venta o mercados</w:t>
            </w:r>
          </w:p>
        </w:tc>
        <w:tc>
          <w:tcPr>
            <w:tcW w:w="713" w:type="pct"/>
            <w:vMerge/>
            <w:vAlign w:val="center"/>
          </w:tcPr>
          <w:p w14:paraId="3CD8509B"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51990EF1"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0BBD4B32" w14:textId="77777777">
        <w:tc>
          <w:tcPr>
            <w:tcW w:w="1188" w:type="pct"/>
            <w:vAlign w:val="center"/>
          </w:tcPr>
          <w:p w14:paraId="4544EDA7" w14:textId="77777777" w:rsidR="00B2442D" w:rsidRDefault="008A645F">
            <w:pPr>
              <w:widowControl w:val="0"/>
              <w:autoSpaceDE w:val="0"/>
              <w:autoSpaceDN w:val="0"/>
              <w:adjustRightInd w:val="0"/>
              <w:spacing w:line="40" w:lineRule="atLeast"/>
              <w:jc w:val="center"/>
              <w:rPr>
                <w:rFonts w:ascii="Arial" w:hAnsi="Arial" w:cs="Arial"/>
                <w:b/>
                <w:bCs/>
              </w:rPr>
            </w:pPr>
            <w:r>
              <w:rPr>
                <w:rFonts w:ascii="Arial" w:hAnsi="Arial" w:cs="Arial"/>
                <w:b/>
                <w:bCs/>
              </w:rPr>
              <w:t>Comercio de</w:t>
            </w:r>
            <w:r>
              <w:rPr>
                <w:rFonts w:ascii="Arial" w:hAnsi="Arial" w:cs="Arial"/>
                <w:b/>
                <w:bCs/>
              </w:rPr>
              <w:br/>
              <w:t>vehículos automotores, accesorios y productos</w:t>
            </w:r>
            <w:r>
              <w:rPr>
                <w:rFonts w:ascii="Arial" w:hAnsi="Arial" w:cs="Arial"/>
                <w:b/>
                <w:bCs/>
              </w:rPr>
              <w:br/>
              <w:t>conexos</w:t>
            </w:r>
          </w:p>
        </w:tc>
        <w:tc>
          <w:tcPr>
            <w:tcW w:w="793" w:type="pct"/>
            <w:vAlign w:val="center"/>
          </w:tcPr>
          <w:p w14:paraId="005DF71D"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4511</w:t>
            </w:r>
          </w:p>
        </w:tc>
        <w:tc>
          <w:tcPr>
            <w:tcW w:w="1592" w:type="pct"/>
            <w:vAlign w:val="center"/>
          </w:tcPr>
          <w:p w14:paraId="2FDDC60A"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de vehículos automotores nuevos</w:t>
            </w:r>
          </w:p>
        </w:tc>
        <w:tc>
          <w:tcPr>
            <w:tcW w:w="713" w:type="pct"/>
            <w:vMerge w:val="restart"/>
            <w:vAlign w:val="center"/>
          </w:tcPr>
          <w:p w14:paraId="6A033171"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4.549</w:t>
            </w:r>
            <w:r>
              <w:rPr>
                <w:rFonts w:ascii="Arial" w:hAnsi="Arial" w:cs="Arial"/>
              </w:rPr>
              <w:br/>
              <w:t>UVT</w:t>
            </w:r>
          </w:p>
        </w:tc>
        <w:tc>
          <w:tcPr>
            <w:tcW w:w="713" w:type="pct"/>
            <w:vMerge w:val="restart"/>
            <w:vAlign w:val="center"/>
          </w:tcPr>
          <w:p w14:paraId="178CB30A"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0,95% * (RGA</w:t>
            </w:r>
            <w:r>
              <w:rPr>
                <w:rFonts w:ascii="Arial" w:hAnsi="Arial" w:cs="Arial"/>
              </w:rPr>
              <w:br/>
              <w:t>en UVT –</w:t>
            </w:r>
            <w:r>
              <w:rPr>
                <w:rFonts w:ascii="Arial" w:hAnsi="Arial" w:cs="Arial"/>
              </w:rPr>
              <w:br/>
              <w:t>4.549)</w:t>
            </w:r>
          </w:p>
        </w:tc>
      </w:tr>
      <w:tr w:rsidR="00B2442D" w14:paraId="32D7E866" w14:textId="77777777">
        <w:tc>
          <w:tcPr>
            <w:tcW w:w="1188" w:type="pct"/>
            <w:vAlign w:val="center"/>
          </w:tcPr>
          <w:p w14:paraId="77FA785B"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5EE827EE"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4512</w:t>
            </w:r>
          </w:p>
        </w:tc>
        <w:tc>
          <w:tcPr>
            <w:tcW w:w="1592" w:type="pct"/>
            <w:vAlign w:val="center"/>
          </w:tcPr>
          <w:p w14:paraId="0B50AC7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de vehículos automotores usados</w:t>
            </w:r>
          </w:p>
        </w:tc>
        <w:tc>
          <w:tcPr>
            <w:tcW w:w="713" w:type="pct"/>
            <w:vMerge/>
            <w:vAlign w:val="center"/>
          </w:tcPr>
          <w:p w14:paraId="30F4B38F"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3699517D"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10E0AF2" w14:textId="77777777">
        <w:tc>
          <w:tcPr>
            <w:tcW w:w="1188" w:type="pct"/>
            <w:vAlign w:val="center"/>
          </w:tcPr>
          <w:p w14:paraId="1FFB6F8B"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0BF2DCD9"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4520</w:t>
            </w:r>
          </w:p>
        </w:tc>
        <w:tc>
          <w:tcPr>
            <w:tcW w:w="1592" w:type="pct"/>
          </w:tcPr>
          <w:p w14:paraId="7F0F30E4" w14:textId="77777777" w:rsidR="00B2442D" w:rsidRDefault="008A645F">
            <w:pPr>
              <w:widowControl w:val="0"/>
              <w:tabs>
                <w:tab w:val="left" w:pos="1152"/>
                <w:tab w:val="left" w:pos="1440"/>
                <w:tab w:val="left" w:pos="2304"/>
                <w:tab w:val="right" w:pos="3168"/>
              </w:tabs>
              <w:autoSpaceDE w:val="0"/>
              <w:autoSpaceDN w:val="0"/>
              <w:adjustRightInd w:val="0"/>
              <w:spacing w:line="40" w:lineRule="atLeast"/>
              <w:jc w:val="both"/>
              <w:rPr>
                <w:rFonts w:ascii="Arial" w:hAnsi="Arial" w:cs="Arial"/>
              </w:rPr>
            </w:pPr>
            <w:r>
              <w:rPr>
                <w:rFonts w:ascii="Arial" w:hAnsi="Arial" w:cs="Arial"/>
              </w:rPr>
              <w:t>Mantenimiento y reparación de vehículos automotores</w:t>
            </w:r>
          </w:p>
        </w:tc>
        <w:tc>
          <w:tcPr>
            <w:tcW w:w="713" w:type="pct"/>
            <w:vMerge/>
            <w:vAlign w:val="center"/>
          </w:tcPr>
          <w:p w14:paraId="04D3A6A6"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46ACDFAF"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3CB55856" w14:textId="77777777">
        <w:tc>
          <w:tcPr>
            <w:tcW w:w="1188" w:type="pct"/>
            <w:vAlign w:val="center"/>
          </w:tcPr>
          <w:p w14:paraId="42C6E5F7"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63711EE7"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4530</w:t>
            </w:r>
          </w:p>
        </w:tc>
        <w:tc>
          <w:tcPr>
            <w:tcW w:w="1592" w:type="pct"/>
          </w:tcPr>
          <w:p w14:paraId="05BB6C8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de partes, piezas (autopartes) y accesorios (lujos) para vehículos automotores</w:t>
            </w:r>
          </w:p>
        </w:tc>
        <w:tc>
          <w:tcPr>
            <w:tcW w:w="713" w:type="pct"/>
            <w:vMerge/>
            <w:vAlign w:val="center"/>
          </w:tcPr>
          <w:p w14:paraId="023EF3AD"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4416E0A8"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1E294C3B" w14:textId="77777777">
        <w:tc>
          <w:tcPr>
            <w:tcW w:w="1188" w:type="pct"/>
            <w:vAlign w:val="center"/>
          </w:tcPr>
          <w:p w14:paraId="140ABAC7"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7AAC2E7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4541</w:t>
            </w:r>
          </w:p>
        </w:tc>
        <w:tc>
          <w:tcPr>
            <w:tcW w:w="1592" w:type="pct"/>
          </w:tcPr>
          <w:p w14:paraId="3A7FAB0E"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Comercio de motocicletas y de sus partes, piezas y accesorios</w:t>
            </w:r>
          </w:p>
        </w:tc>
        <w:tc>
          <w:tcPr>
            <w:tcW w:w="713" w:type="pct"/>
            <w:vMerge/>
            <w:vAlign w:val="center"/>
          </w:tcPr>
          <w:p w14:paraId="4ED1FC7F"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68D067C1" w14:textId="77777777" w:rsidR="00B2442D" w:rsidRDefault="00B2442D">
            <w:pPr>
              <w:widowControl w:val="0"/>
              <w:autoSpaceDE w:val="0"/>
              <w:autoSpaceDN w:val="0"/>
              <w:adjustRightInd w:val="0"/>
              <w:spacing w:line="40" w:lineRule="atLeast"/>
              <w:jc w:val="center"/>
              <w:rPr>
                <w:rFonts w:ascii="Arial" w:hAnsi="Arial" w:cs="Arial"/>
              </w:rPr>
            </w:pPr>
          </w:p>
        </w:tc>
      </w:tr>
      <w:tr w:rsidR="00B2442D" w14:paraId="75E4484B" w14:textId="77777777">
        <w:tc>
          <w:tcPr>
            <w:tcW w:w="1188" w:type="pct"/>
            <w:vAlign w:val="center"/>
          </w:tcPr>
          <w:p w14:paraId="315E233D" w14:textId="77777777" w:rsidR="00B2442D" w:rsidRDefault="00B2442D">
            <w:pPr>
              <w:widowControl w:val="0"/>
              <w:autoSpaceDE w:val="0"/>
              <w:autoSpaceDN w:val="0"/>
              <w:adjustRightInd w:val="0"/>
              <w:spacing w:line="40" w:lineRule="atLeast"/>
              <w:rPr>
                <w:rFonts w:ascii="Arial" w:hAnsi="Arial" w:cs="Arial"/>
              </w:rPr>
            </w:pPr>
          </w:p>
        </w:tc>
        <w:tc>
          <w:tcPr>
            <w:tcW w:w="793" w:type="pct"/>
            <w:vAlign w:val="center"/>
          </w:tcPr>
          <w:p w14:paraId="037AB0A8" w14:textId="77777777" w:rsidR="00B2442D" w:rsidRDefault="008A645F">
            <w:pPr>
              <w:widowControl w:val="0"/>
              <w:autoSpaceDE w:val="0"/>
              <w:autoSpaceDN w:val="0"/>
              <w:adjustRightInd w:val="0"/>
              <w:spacing w:line="40" w:lineRule="atLeast"/>
              <w:jc w:val="center"/>
              <w:rPr>
                <w:rFonts w:ascii="Arial" w:hAnsi="Arial" w:cs="Arial"/>
              </w:rPr>
            </w:pPr>
            <w:r>
              <w:rPr>
                <w:rFonts w:ascii="Arial" w:hAnsi="Arial" w:cs="Arial"/>
              </w:rPr>
              <w:t>4542</w:t>
            </w:r>
          </w:p>
        </w:tc>
        <w:tc>
          <w:tcPr>
            <w:tcW w:w="1592" w:type="pct"/>
          </w:tcPr>
          <w:p w14:paraId="14D7DA2D"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Mantenimiento y reparación de motocicletas y de sus partes y piezas</w:t>
            </w:r>
          </w:p>
        </w:tc>
        <w:tc>
          <w:tcPr>
            <w:tcW w:w="713" w:type="pct"/>
            <w:vMerge/>
            <w:vAlign w:val="center"/>
          </w:tcPr>
          <w:p w14:paraId="37D9AC37" w14:textId="77777777" w:rsidR="00B2442D" w:rsidRDefault="00B2442D">
            <w:pPr>
              <w:widowControl w:val="0"/>
              <w:autoSpaceDE w:val="0"/>
              <w:autoSpaceDN w:val="0"/>
              <w:adjustRightInd w:val="0"/>
              <w:spacing w:line="40" w:lineRule="atLeast"/>
              <w:jc w:val="center"/>
              <w:rPr>
                <w:rFonts w:ascii="Arial" w:hAnsi="Arial" w:cs="Arial"/>
              </w:rPr>
            </w:pPr>
          </w:p>
        </w:tc>
        <w:tc>
          <w:tcPr>
            <w:tcW w:w="713" w:type="pct"/>
            <w:vMerge/>
          </w:tcPr>
          <w:p w14:paraId="34B098D7" w14:textId="77777777" w:rsidR="00B2442D" w:rsidRDefault="00B2442D">
            <w:pPr>
              <w:widowControl w:val="0"/>
              <w:autoSpaceDE w:val="0"/>
              <w:autoSpaceDN w:val="0"/>
              <w:adjustRightInd w:val="0"/>
              <w:spacing w:line="40" w:lineRule="atLeast"/>
              <w:jc w:val="center"/>
              <w:rPr>
                <w:rFonts w:ascii="Arial" w:hAnsi="Arial" w:cs="Arial"/>
              </w:rPr>
            </w:pPr>
          </w:p>
        </w:tc>
      </w:tr>
    </w:tbl>
    <w:p w14:paraId="51B65D6E" w14:textId="77777777" w:rsidR="00B2442D" w:rsidRDefault="00B2442D">
      <w:pP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417"/>
        <w:gridCol w:w="2845"/>
        <w:gridCol w:w="1276"/>
        <w:gridCol w:w="1276"/>
      </w:tblGrid>
      <w:tr w:rsidR="00B2442D" w14:paraId="2E6979D7" w14:textId="77777777">
        <w:tc>
          <w:tcPr>
            <w:tcW w:w="2122" w:type="dxa"/>
            <w:vAlign w:val="center"/>
          </w:tcPr>
          <w:p w14:paraId="5C2B2C49" w14:textId="77777777" w:rsidR="00B2442D" w:rsidRDefault="008A645F">
            <w:pPr>
              <w:jc w:val="center"/>
              <w:rPr>
                <w:rFonts w:ascii="Arial" w:hAnsi="Arial" w:cs="Arial"/>
                <w:b/>
                <w:bCs/>
              </w:rPr>
            </w:pPr>
            <w:r>
              <w:rPr>
                <w:rFonts w:ascii="Arial" w:hAnsi="Arial" w:cs="Arial"/>
                <w:b/>
                <w:bCs/>
              </w:rPr>
              <w:t>Actividad</w:t>
            </w:r>
          </w:p>
        </w:tc>
        <w:tc>
          <w:tcPr>
            <w:tcW w:w="1417" w:type="dxa"/>
            <w:vAlign w:val="center"/>
          </w:tcPr>
          <w:p w14:paraId="7F4ED8DD" w14:textId="77777777" w:rsidR="00B2442D" w:rsidRDefault="008A645F">
            <w:pPr>
              <w:jc w:val="center"/>
              <w:rPr>
                <w:rFonts w:ascii="Arial" w:hAnsi="Arial" w:cs="Arial"/>
                <w:b/>
                <w:bCs/>
              </w:rPr>
            </w:pPr>
            <w:r>
              <w:rPr>
                <w:rFonts w:ascii="Arial" w:hAnsi="Arial" w:cs="Arial"/>
                <w:b/>
                <w:bCs/>
              </w:rPr>
              <w:t>Código</w:t>
            </w:r>
            <w:r>
              <w:rPr>
                <w:rFonts w:ascii="Arial" w:hAnsi="Arial" w:cs="Arial"/>
                <w:b/>
                <w:bCs/>
              </w:rPr>
              <w:br/>
              <w:t>actividad</w:t>
            </w:r>
            <w:r>
              <w:rPr>
                <w:rFonts w:ascii="Arial" w:hAnsi="Arial" w:cs="Arial"/>
                <w:b/>
                <w:bCs/>
              </w:rPr>
              <w:br/>
              <w:t>económica</w:t>
            </w:r>
          </w:p>
        </w:tc>
        <w:tc>
          <w:tcPr>
            <w:tcW w:w="2845" w:type="dxa"/>
            <w:vAlign w:val="center"/>
          </w:tcPr>
          <w:p w14:paraId="0EE28927" w14:textId="77777777" w:rsidR="00B2442D" w:rsidRDefault="008A645F">
            <w:pPr>
              <w:jc w:val="center"/>
              <w:rPr>
                <w:rFonts w:ascii="Arial" w:hAnsi="Arial" w:cs="Arial"/>
                <w:b/>
                <w:bCs/>
              </w:rPr>
            </w:pPr>
            <w:r>
              <w:rPr>
                <w:rFonts w:ascii="Arial" w:hAnsi="Arial" w:cs="Arial"/>
                <w:b/>
                <w:bCs/>
              </w:rPr>
              <w:t>Nombre actividad económica</w:t>
            </w:r>
          </w:p>
        </w:tc>
        <w:tc>
          <w:tcPr>
            <w:tcW w:w="1276" w:type="dxa"/>
            <w:vAlign w:val="center"/>
          </w:tcPr>
          <w:p w14:paraId="23B4622E" w14:textId="77777777" w:rsidR="00B2442D" w:rsidRDefault="008A645F">
            <w:pPr>
              <w:jc w:val="center"/>
              <w:rPr>
                <w:rFonts w:ascii="Arial" w:hAnsi="Arial" w:cs="Arial"/>
                <w:b/>
                <w:bCs/>
              </w:rPr>
            </w:pPr>
            <w:r>
              <w:rPr>
                <w:rFonts w:ascii="Arial" w:hAnsi="Arial" w:cs="Arial"/>
                <w:b/>
                <w:bCs/>
              </w:rPr>
              <w:t>Para</w:t>
            </w:r>
            <w:r>
              <w:rPr>
                <w:rFonts w:ascii="Arial" w:hAnsi="Arial" w:cs="Arial"/>
                <w:b/>
                <w:bCs/>
              </w:rPr>
              <w:br/>
              <w:t>RGA</w:t>
            </w:r>
            <w:r>
              <w:rPr>
                <w:rFonts w:ascii="Arial" w:hAnsi="Arial" w:cs="Arial"/>
                <w:b/>
                <w:bCs/>
              </w:rPr>
              <w:br/>
              <w:t>desde</w:t>
            </w:r>
          </w:p>
        </w:tc>
        <w:tc>
          <w:tcPr>
            <w:tcW w:w="1276" w:type="dxa"/>
            <w:vAlign w:val="center"/>
          </w:tcPr>
          <w:p w14:paraId="5A273D5A" w14:textId="77777777" w:rsidR="00B2442D" w:rsidRDefault="008A645F">
            <w:pPr>
              <w:jc w:val="center"/>
              <w:rPr>
                <w:rFonts w:ascii="Arial" w:hAnsi="Arial" w:cs="Arial"/>
                <w:b/>
                <w:bCs/>
              </w:rPr>
            </w:pPr>
            <w:r>
              <w:rPr>
                <w:rFonts w:ascii="Arial" w:hAnsi="Arial" w:cs="Arial"/>
                <w:b/>
                <w:bCs/>
              </w:rPr>
              <w:t>IMAS</w:t>
            </w:r>
          </w:p>
        </w:tc>
      </w:tr>
      <w:tr w:rsidR="00B2442D" w14:paraId="4FC3C0E3" w14:textId="77777777">
        <w:tc>
          <w:tcPr>
            <w:tcW w:w="2122" w:type="dxa"/>
            <w:vAlign w:val="center"/>
          </w:tcPr>
          <w:p w14:paraId="1F740646" w14:textId="77777777" w:rsidR="00B2442D" w:rsidRDefault="008A645F">
            <w:pPr>
              <w:jc w:val="center"/>
              <w:rPr>
                <w:rFonts w:ascii="Arial" w:hAnsi="Arial" w:cs="Arial"/>
                <w:b/>
                <w:bCs/>
              </w:rPr>
            </w:pPr>
            <w:r>
              <w:rPr>
                <w:rFonts w:ascii="Arial" w:hAnsi="Arial" w:cs="Arial"/>
                <w:b/>
                <w:bCs/>
              </w:rPr>
              <w:t>Construcción</w:t>
            </w:r>
          </w:p>
        </w:tc>
        <w:tc>
          <w:tcPr>
            <w:tcW w:w="1417" w:type="dxa"/>
            <w:vAlign w:val="center"/>
          </w:tcPr>
          <w:p w14:paraId="412164C0" w14:textId="77777777" w:rsidR="00B2442D" w:rsidRDefault="008A645F">
            <w:pPr>
              <w:jc w:val="center"/>
              <w:rPr>
                <w:rFonts w:ascii="Arial" w:hAnsi="Arial" w:cs="Arial"/>
              </w:rPr>
            </w:pPr>
            <w:r>
              <w:rPr>
                <w:rFonts w:ascii="Arial" w:hAnsi="Arial" w:cs="Arial"/>
              </w:rPr>
              <w:t>4111</w:t>
            </w:r>
          </w:p>
        </w:tc>
        <w:tc>
          <w:tcPr>
            <w:tcW w:w="2845" w:type="dxa"/>
            <w:vAlign w:val="center"/>
          </w:tcPr>
          <w:p w14:paraId="3922F1DE" w14:textId="77777777" w:rsidR="00B2442D" w:rsidRDefault="008A645F">
            <w:pPr>
              <w:jc w:val="both"/>
              <w:rPr>
                <w:rFonts w:ascii="Arial" w:hAnsi="Arial" w:cs="Arial"/>
              </w:rPr>
            </w:pPr>
            <w:r>
              <w:rPr>
                <w:rFonts w:ascii="Arial" w:hAnsi="Arial" w:cs="Arial"/>
              </w:rPr>
              <w:t>Construcción de edificios residenciales</w:t>
            </w:r>
          </w:p>
        </w:tc>
        <w:tc>
          <w:tcPr>
            <w:tcW w:w="1276" w:type="dxa"/>
            <w:vMerge w:val="restart"/>
            <w:vAlign w:val="center"/>
          </w:tcPr>
          <w:p w14:paraId="0CA59C81" w14:textId="77777777" w:rsidR="00B2442D" w:rsidRDefault="008A645F">
            <w:pPr>
              <w:jc w:val="center"/>
              <w:rPr>
                <w:rFonts w:ascii="Arial" w:hAnsi="Arial" w:cs="Arial"/>
              </w:rPr>
            </w:pPr>
            <w:r>
              <w:rPr>
                <w:rFonts w:ascii="Arial" w:hAnsi="Arial" w:cs="Arial"/>
              </w:rPr>
              <w:t>2.090</w:t>
            </w:r>
            <w:r>
              <w:rPr>
                <w:rFonts w:ascii="Arial" w:hAnsi="Arial" w:cs="Arial"/>
              </w:rPr>
              <w:br/>
              <w:t>UVT</w:t>
            </w:r>
          </w:p>
        </w:tc>
        <w:tc>
          <w:tcPr>
            <w:tcW w:w="1276" w:type="dxa"/>
            <w:vMerge w:val="restart"/>
            <w:vAlign w:val="center"/>
          </w:tcPr>
          <w:p w14:paraId="4871C5F2" w14:textId="77777777" w:rsidR="00B2442D" w:rsidRDefault="008A645F">
            <w:pPr>
              <w:jc w:val="center"/>
              <w:rPr>
                <w:rFonts w:ascii="Arial" w:hAnsi="Arial" w:cs="Arial"/>
              </w:rPr>
            </w:pPr>
            <w:r>
              <w:rPr>
                <w:rFonts w:ascii="Arial" w:hAnsi="Arial" w:cs="Arial"/>
              </w:rPr>
              <w:t>2,17% * (RGA</w:t>
            </w:r>
            <w:r>
              <w:rPr>
                <w:rFonts w:ascii="Arial" w:hAnsi="Arial" w:cs="Arial"/>
              </w:rPr>
              <w:br/>
              <w:t>en UVT–</w:t>
            </w:r>
            <w:r>
              <w:rPr>
                <w:rFonts w:ascii="Arial" w:hAnsi="Arial" w:cs="Arial"/>
              </w:rPr>
              <w:br/>
            </w:r>
            <w:r>
              <w:rPr>
                <w:rFonts w:ascii="Arial" w:hAnsi="Arial" w:cs="Arial"/>
              </w:rPr>
              <w:t>2.090)</w:t>
            </w:r>
          </w:p>
        </w:tc>
      </w:tr>
      <w:tr w:rsidR="00B2442D" w14:paraId="63D16E57" w14:textId="77777777">
        <w:tc>
          <w:tcPr>
            <w:tcW w:w="2122" w:type="dxa"/>
            <w:vAlign w:val="center"/>
          </w:tcPr>
          <w:p w14:paraId="23CB947E" w14:textId="77777777" w:rsidR="00B2442D" w:rsidRDefault="00B2442D">
            <w:pPr>
              <w:rPr>
                <w:rFonts w:ascii="Arial" w:hAnsi="Arial" w:cs="Arial"/>
              </w:rPr>
            </w:pPr>
          </w:p>
        </w:tc>
        <w:tc>
          <w:tcPr>
            <w:tcW w:w="1417" w:type="dxa"/>
            <w:vAlign w:val="center"/>
          </w:tcPr>
          <w:p w14:paraId="540C58F3" w14:textId="77777777" w:rsidR="00B2442D" w:rsidRDefault="008A645F">
            <w:pPr>
              <w:jc w:val="center"/>
              <w:rPr>
                <w:rFonts w:ascii="Arial" w:hAnsi="Arial" w:cs="Arial"/>
              </w:rPr>
            </w:pPr>
            <w:r>
              <w:rPr>
                <w:rFonts w:ascii="Arial" w:hAnsi="Arial" w:cs="Arial"/>
              </w:rPr>
              <w:t>4112</w:t>
            </w:r>
          </w:p>
        </w:tc>
        <w:tc>
          <w:tcPr>
            <w:tcW w:w="2845" w:type="dxa"/>
            <w:vAlign w:val="center"/>
          </w:tcPr>
          <w:p w14:paraId="78BD3E70" w14:textId="77777777" w:rsidR="00B2442D" w:rsidRDefault="008A645F">
            <w:pPr>
              <w:jc w:val="both"/>
              <w:rPr>
                <w:rFonts w:ascii="Arial" w:hAnsi="Arial" w:cs="Arial"/>
              </w:rPr>
            </w:pPr>
            <w:r>
              <w:rPr>
                <w:rFonts w:ascii="Arial" w:hAnsi="Arial" w:cs="Arial"/>
              </w:rPr>
              <w:t>Construcción de edificios no residenciales</w:t>
            </w:r>
          </w:p>
        </w:tc>
        <w:tc>
          <w:tcPr>
            <w:tcW w:w="1276" w:type="dxa"/>
            <w:vMerge/>
            <w:vAlign w:val="center"/>
          </w:tcPr>
          <w:p w14:paraId="0F113891" w14:textId="77777777" w:rsidR="00B2442D" w:rsidRDefault="00B2442D">
            <w:pPr>
              <w:rPr>
                <w:rFonts w:ascii="Arial" w:hAnsi="Arial" w:cs="Arial"/>
              </w:rPr>
            </w:pPr>
          </w:p>
        </w:tc>
        <w:tc>
          <w:tcPr>
            <w:tcW w:w="1276" w:type="dxa"/>
            <w:vMerge/>
          </w:tcPr>
          <w:p w14:paraId="22B3B91E" w14:textId="77777777" w:rsidR="00B2442D" w:rsidRDefault="00B2442D">
            <w:pPr>
              <w:rPr>
                <w:rFonts w:ascii="Arial" w:hAnsi="Arial" w:cs="Arial"/>
              </w:rPr>
            </w:pPr>
          </w:p>
        </w:tc>
      </w:tr>
      <w:tr w:rsidR="00B2442D" w14:paraId="01468F65" w14:textId="77777777">
        <w:tc>
          <w:tcPr>
            <w:tcW w:w="2122" w:type="dxa"/>
            <w:vAlign w:val="center"/>
          </w:tcPr>
          <w:p w14:paraId="7482F384" w14:textId="77777777" w:rsidR="00B2442D" w:rsidRDefault="00B2442D">
            <w:pPr>
              <w:rPr>
                <w:rFonts w:ascii="Arial" w:hAnsi="Arial" w:cs="Arial"/>
              </w:rPr>
            </w:pPr>
          </w:p>
        </w:tc>
        <w:tc>
          <w:tcPr>
            <w:tcW w:w="1417" w:type="dxa"/>
            <w:vAlign w:val="center"/>
          </w:tcPr>
          <w:p w14:paraId="5EC50F14" w14:textId="77777777" w:rsidR="00B2442D" w:rsidRDefault="008A645F">
            <w:pPr>
              <w:jc w:val="center"/>
              <w:rPr>
                <w:rFonts w:ascii="Arial" w:hAnsi="Arial" w:cs="Arial"/>
              </w:rPr>
            </w:pPr>
            <w:r>
              <w:rPr>
                <w:rFonts w:ascii="Arial" w:hAnsi="Arial" w:cs="Arial"/>
              </w:rPr>
              <w:t>4210</w:t>
            </w:r>
          </w:p>
        </w:tc>
        <w:tc>
          <w:tcPr>
            <w:tcW w:w="2845" w:type="dxa"/>
            <w:vAlign w:val="center"/>
          </w:tcPr>
          <w:p w14:paraId="48E0637B" w14:textId="77777777" w:rsidR="00B2442D" w:rsidRDefault="008A645F">
            <w:pPr>
              <w:jc w:val="both"/>
              <w:rPr>
                <w:rFonts w:ascii="Arial" w:hAnsi="Arial" w:cs="Arial"/>
              </w:rPr>
            </w:pPr>
            <w:r>
              <w:rPr>
                <w:rFonts w:ascii="Arial" w:hAnsi="Arial" w:cs="Arial"/>
              </w:rPr>
              <w:t>Construcción de carreteras y vías de ferrocarril</w:t>
            </w:r>
          </w:p>
        </w:tc>
        <w:tc>
          <w:tcPr>
            <w:tcW w:w="1276" w:type="dxa"/>
            <w:vMerge/>
            <w:vAlign w:val="center"/>
          </w:tcPr>
          <w:p w14:paraId="63555121" w14:textId="77777777" w:rsidR="00B2442D" w:rsidRDefault="00B2442D">
            <w:pPr>
              <w:rPr>
                <w:rFonts w:ascii="Arial" w:hAnsi="Arial" w:cs="Arial"/>
              </w:rPr>
            </w:pPr>
          </w:p>
        </w:tc>
        <w:tc>
          <w:tcPr>
            <w:tcW w:w="1276" w:type="dxa"/>
            <w:vMerge/>
          </w:tcPr>
          <w:p w14:paraId="5B164AF5" w14:textId="77777777" w:rsidR="00B2442D" w:rsidRDefault="00B2442D">
            <w:pPr>
              <w:rPr>
                <w:rFonts w:ascii="Arial" w:hAnsi="Arial" w:cs="Arial"/>
              </w:rPr>
            </w:pPr>
          </w:p>
        </w:tc>
      </w:tr>
      <w:tr w:rsidR="00B2442D" w14:paraId="72830641" w14:textId="77777777">
        <w:tc>
          <w:tcPr>
            <w:tcW w:w="2122" w:type="dxa"/>
            <w:vAlign w:val="center"/>
          </w:tcPr>
          <w:p w14:paraId="0AF7C8DF" w14:textId="77777777" w:rsidR="00B2442D" w:rsidRDefault="00B2442D">
            <w:pPr>
              <w:rPr>
                <w:rFonts w:ascii="Arial" w:hAnsi="Arial" w:cs="Arial"/>
              </w:rPr>
            </w:pPr>
          </w:p>
        </w:tc>
        <w:tc>
          <w:tcPr>
            <w:tcW w:w="1417" w:type="dxa"/>
            <w:vAlign w:val="center"/>
          </w:tcPr>
          <w:p w14:paraId="5EE1C8CF" w14:textId="77777777" w:rsidR="00B2442D" w:rsidRDefault="008A645F">
            <w:pPr>
              <w:jc w:val="center"/>
              <w:rPr>
                <w:rFonts w:ascii="Arial" w:hAnsi="Arial" w:cs="Arial"/>
              </w:rPr>
            </w:pPr>
            <w:r>
              <w:rPr>
                <w:rFonts w:ascii="Arial" w:hAnsi="Arial" w:cs="Arial"/>
              </w:rPr>
              <w:t>4220</w:t>
            </w:r>
          </w:p>
        </w:tc>
        <w:tc>
          <w:tcPr>
            <w:tcW w:w="2845" w:type="dxa"/>
            <w:vAlign w:val="center"/>
          </w:tcPr>
          <w:p w14:paraId="16E1A294" w14:textId="77777777" w:rsidR="00B2442D" w:rsidRDefault="008A645F">
            <w:pPr>
              <w:jc w:val="both"/>
              <w:rPr>
                <w:rFonts w:ascii="Arial" w:hAnsi="Arial" w:cs="Arial"/>
              </w:rPr>
            </w:pPr>
            <w:r>
              <w:rPr>
                <w:rFonts w:ascii="Arial" w:hAnsi="Arial" w:cs="Arial"/>
              </w:rPr>
              <w:t>Construcción de proyectos de servicio público</w:t>
            </w:r>
          </w:p>
        </w:tc>
        <w:tc>
          <w:tcPr>
            <w:tcW w:w="1276" w:type="dxa"/>
            <w:vMerge/>
            <w:vAlign w:val="center"/>
          </w:tcPr>
          <w:p w14:paraId="6926BCD0" w14:textId="77777777" w:rsidR="00B2442D" w:rsidRDefault="00B2442D">
            <w:pPr>
              <w:rPr>
                <w:rFonts w:ascii="Arial" w:hAnsi="Arial" w:cs="Arial"/>
              </w:rPr>
            </w:pPr>
          </w:p>
        </w:tc>
        <w:tc>
          <w:tcPr>
            <w:tcW w:w="1276" w:type="dxa"/>
            <w:vMerge/>
          </w:tcPr>
          <w:p w14:paraId="0E26687C" w14:textId="77777777" w:rsidR="00B2442D" w:rsidRDefault="00B2442D">
            <w:pPr>
              <w:rPr>
                <w:rFonts w:ascii="Arial" w:hAnsi="Arial" w:cs="Arial"/>
              </w:rPr>
            </w:pPr>
          </w:p>
        </w:tc>
      </w:tr>
      <w:tr w:rsidR="00B2442D" w14:paraId="5E30878A" w14:textId="77777777">
        <w:tc>
          <w:tcPr>
            <w:tcW w:w="2122" w:type="dxa"/>
            <w:vAlign w:val="center"/>
          </w:tcPr>
          <w:p w14:paraId="2793E812" w14:textId="77777777" w:rsidR="00B2442D" w:rsidRDefault="00B2442D">
            <w:pPr>
              <w:rPr>
                <w:rFonts w:ascii="Arial" w:hAnsi="Arial" w:cs="Arial"/>
              </w:rPr>
            </w:pPr>
          </w:p>
        </w:tc>
        <w:tc>
          <w:tcPr>
            <w:tcW w:w="1417" w:type="dxa"/>
            <w:vAlign w:val="center"/>
          </w:tcPr>
          <w:p w14:paraId="703AC923" w14:textId="77777777" w:rsidR="00B2442D" w:rsidRDefault="008A645F">
            <w:pPr>
              <w:jc w:val="center"/>
              <w:rPr>
                <w:rFonts w:ascii="Arial" w:hAnsi="Arial" w:cs="Arial"/>
              </w:rPr>
            </w:pPr>
            <w:r>
              <w:rPr>
                <w:rFonts w:ascii="Arial" w:hAnsi="Arial" w:cs="Arial"/>
              </w:rPr>
              <w:t>4290</w:t>
            </w:r>
          </w:p>
        </w:tc>
        <w:tc>
          <w:tcPr>
            <w:tcW w:w="2845" w:type="dxa"/>
            <w:vAlign w:val="center"/>
          </w:tcPr>
          <w:p w14:paraId="1A433250" w14:textId="77777777" w:rsidR="00B2442D" w:rsidRDefault="008A645F">
            <w:pPr>
              <w:jc w:val="both"/>
              <w:rPr>
                <w:rFonts w:ascii="Arial" w:hAnsi="Arial" w:cs="Arial"/>
              </w:rPr>
            </w:pPr>
            <w:r>
              <w:rPr>
                <w:rFonts w:ascii="Arial" w:hAnsi="Arial" w:cs="Arial"/>
              </w:rPr>
              <w:t>Construcción de otras obras de ingeniería civil</w:t>
            </w:r>
          </w:p>
        </w:tc>
        <w:tc>
          <w:tcPr>
            <w:tcW w:w="1276" w:type="dxa"/>
            <w:vMerge/>
            <w:vAlign w:val="center"/>
          </w:tcPr>
          <w:p w14:paraId="1EEDDE70" w14:textId="77777777" w:rsidR="00B2442D" w:rsidRDefault="00B2442D">
            <w:pPr>
              <w:rPr>
                <w:rFonts w:ascii="Arial" w:hAnsi="Arial" w:cs="Arial"/>
              </w:rPr>
            </w:pPr>
          </w:p>
        </w:tc>
        <w:tc>
          <w:tcPr>
            <w:tcW w:w="1276" w:type="dxa"/>
            <w:vMerge/>
          </w:tcPr>
          <w:p w14:paraId="267B2B15" w14:textId="77777777" w:rsidR="00B2442D" w:rsidRDefault="00B2442D">
            <w:pPr>
              <w:rPr>
                <w:rFonts w:ascii="Arial" w:hAnsi="Arial" w:cs="Arial"/>
              </w:rPr>
            </w:pPr>
          </w:p>
        </w:tc>
      </w:tr>
      <w:tr w:rsidR="00B2442D" w14:paraId="116E066E" w14:textId="77777777">
        <w:tc>
          <w:tcPr>
            <w:tcW w:w="2122" w:type="dxa"/>
            <w:vAlign w:val="center"/>
          </w:tcPr>
          <w:p w14:paraId="06CC9AD8" w14:textId="77777777" w:rsidR="00B2442D" w:rsidRDefault="00B2442D">
            <w:pPr>
              <w:rPr>
                <w:rFonts w:ascii="Arial" w:hAnsi="Arial" w:cs="Arial"/>
              </w:rPr>
            </w:pPr>
          </w:p>
        </w:tc>
        <w:tc>
          <w:tcPr>
            <w:tcW w:w="1417" w:type="dxa"/>
            <w:vAlign w:val="center"/>
          </w:tcPr>
          <w:p w14:paraId="725CFE8C" w14:textId="77777777" w:rsidR="00B2442D" w:rsidRDefault="008A645F">
            <w:pPr>
              <w:jc w:val="center"/>
              <w:rPr>
                <w:rFonts w:ascii="Arial" w:hAnsi="Arial" w:cs="Arial"/>
              </w:rPr>
            </w:pPr>
            <w:r>
              <w:rPr>
                <w:rFonts w:ascii="Arial" w:hAnsi="Arial" w:cs="Arial"/>
              </w:rPr>
              <w:t>4311</w:t>
            </w:r>
          </w:p>
        </w:tc>
        <w:tc>
          <w:tcPr>
            <w:tcW w:w="2845" w:type="dxa"/>
            <w:vAlign w:val="center"/>
          </w:tcPr>
          <w:p w14:paraId="749E35E5" w14:textId="77777777" w:rsidR="00B2442D" w:rsidRDefault="008A645F">
            <w:pPr>
              <w:jc w:val="both"/>
              <w:rPr>
                <w:rFonts w:ascii="Arial" w:hAnsi="Arial" w:cs="Arial"/>
              </w:rPr>
            </w:pPr>
            <w:r>
              <w:rPr>
                <w:rFonts w:ascii="Arial" w:hAnsi="Arial" w:cs="Arial"/>
              </w:rPr>
              <w:t>Demolición</w:t>
            </w:r>
          </w:p>
        </w:tc>
        <w:tc>
          <w:tcPr>
            <w:tcW w:w="1276" w:type="dxa"/>
            <w:vMerge/>
            <w:vAlign w:val="center"/>
          </w:tcPr>
          <w:p w14:paraId="748687E7" w14:textId="77777777" w:rsidR="00B2442D" w:rsidRDefault="00B2442D">
            <w:pPr>
              <w:rPr>
                <w:rFonts w:ascii="Arial" w:hAnsi="Arial" w:cs="Arial"/>
              </w:rPr>
            </w:pPr>
          </w:p>
        </w:tc>
        <w:tc>
          <w:tcPr>
            <w:tcW w:w="1276" w:type="dxa"/>
            <w:vMerge/>
          </w:tcPr>
          <w:p w14:paraId="6818908B" w14:textId="77777777" w:rsidR="00B2442D" w:rsidRDefault="00B2442D">
            <w:pPr>
              <w:rPr>
                <w:rFonts w:ascii="Arial" w:hAnsi="Arial" w:cs="Arial"/>
              </w:rPr>
            </w:pPr>
          </w:p>
        </w:tc>
      </w:tr>
      <w:tr w:rsidR="00B2442D" w14:paraId="55A5CF79" w14:textId="77777777">
        <w:tc>
          <w:tcPr>
            <w:tcW w:w="2122" w:type="dxa"/>
            <w:vAlign w:val="center"/>
          </w:tcPr>
          <w:p w14:paraId="44F96CF2" w14:textId="77777777" w:rsidR="00B2442D" w:rsidRDefault="00B2442D">
            <w:pPr>
              <w:rPr>
                <w:rFonts w:ascii="Arial" w:hAnsi="Arial" w:cs="Arial"/>
              </w:rPr>
            </w:pPr>
          </w:p>
        </w:tc>
        <w:tc>
          <w:tcPr>
            <w:tcW w:w="1417" w:type="dxa"/>
            <w:vAlign w:val="center"/>
          </w:tcPr>
          <w:p w14:paraId="2FD56897" w14:textId="77777777" w:rsidR="00B2442D" w:rsidRDefault="008A645F">
            <w:pPr>
              <w:jc w:val="center"/>
              <w:rPr>
                <w:rFonts w:ascii="Arial" w:hAnsi="Arial" w:cs="Arial"/>
              </w:rPr>
            </w:pPr>
            <w:r>
              <w:rPr>
                <w:rFonts w:ascii="Arial" w:hAnsi="Arial" w:cs="Arial"/>
              </w:rPr>
              <w:t>4312</w:t>
            </w:r>
          </w:p>
        </w:tc>
        <w:tc>
          <w:tcPr>
            <w:tcW w:w="2845" w:type="dxa"/>
            <w:vAlign w:val="center"/>
          </w:tcPr>
          <w:p w14:paraId="291A392E" w14:textId="77777777" w:rsidR="00B2442D" w:rsidRDefault="008A645F">
            <w:pPr>
              <w:jc w:val="both"/>
              <w:rPr>
                <w:rFonts w:ascii="Arial" w:hAnsi="Arial" w:cs="Arial"/>
              </w:rPr>
            </w:pPr>
            <w:r>
              <w:rPr>
                <w:rFonts w:ascii="Arial" w:hAnsi="Arial" w:cs="Arial"/>
              </w:rPr>
              <w:t>Preparación del terreno</w:t>
            </w:r>
          </w:p>
        </w:tc>
        <w:tc>
          <w:tcPr>
            <w:tcW w:w="1276" w:type="dxa"/>
            <w:vMerge/>
            <w:vAlign w:val="center"/>
          </w:tcPr>
          <w:p w14:paraId="6E1068C2" w14:textId="77777777" w:rsidR="00B2442D" w:rsidRDefault="00B2442D">
            <w:pPr>
              <w:rPr>
                <w:rFonts w:ascii="Arial" w:hAnsi="Arial" w:cs="Arial"/>
              </w:rPr>
            </w:pPr>
          </w:p>
        </w:tc>
        <w:tc>
          <w:tcPr>
            <w:tcW w:w="1276" w:type="dxa"/>
            <w:vMerge/>
          </w:tcPr>
          <w:p w14:paraId="068FCC85" w14:textId="77777777" w:rsidR="00B2442D" w:rsidRDefault="00B2442D">
            <w:pPr>
              <w:rPr>
                <w:rFonts w:ascii="Arial" w:hAnsi="Arial" w:cs="Arial"/>
              </w:rPr>
            </w:pPr>
          </w:p>
        </w:tc>
      </w:tr>
      <w:tr w:rsidR="00B2442D" w14:paraId="08D28579" w14:textId="77777777">
        <w:tc>
          <w:tcPr>
            <w:tcW w:w="2122" w:type="dxa"/>
            <w:vAlign w:val="center"/>
          </w:tcPr>
          <w:p w14:paraId="551547E5" w14:textId="77777777" w:rsidR="00B2442D" w:rsidRDefault="00B2442D">
            <w:pPr>
              <w:rPr>
                <w:rFonts w:ascii="Arial" w:hAnsi="Arial" w:cs="Arial"/>
              </w:rPr>
            </w:pPr>
          </w:p>
        </w:tc>
        <w:tc>
          <w:tcPr>
            <w:tcW w:w="1417" w:type="dxa"/>
            <w:vAlign w:val="center"/>
          </w:tcPr>
          <w:p w14:paraId="2C740E75" w14:textId="77777777" w:rsidR="00B2442D" w:rsidRDefault="008A645F">
            <w:pPr>
              <w:jc w:val="center"/>
              <w:rPr>
                <w:rFonts w:ascii="Arial" w:hAnsi="Arial" w:cs="Arial"/>
              </w:rPr>
            </w:pPr>
            <w:r>
              <w:rPr>
                <w:rFonts w:ascii="Arial" w:hAnsi="Arial" w:cs="Arial"/>
              </w:rPr>
              <w:t>4321</w:t>
            </w:r>
          </w:p>
        </w:tc>
        <w:tc>
          <w:tcPr>
            <w:tcW w:w="2845" w:type="dxa"/>
            <w:vAlign w:val="center"/>
          </w:tcPr>
          <w:p w14:paraId="7B5B786A" w14:textId="77777777" w:rsidR="00B2442D" w:rsidRDefault="008A645F">
            <w:pPr>
              <w:jc w:val="both"/>
              <w:rPr>
                <w:rFonts w:ascii="Arial" w:hAnsi="Arial" w:cs="Arial"/>
              </w:rPr>
            </w:pPr>
            <w:r>
              <w:rPr>
                <w:rFonts w:ascii="Arial" w:hAnsi="Arial" w:cs="Arial"/>
              </w:rPr>
              <w:t>Instalaciones eléctricas</w:t>
            </w:r>
          </w:p>
        </w:tc>
        <w:tc>
          <w:tcPr>
            <w:tcW w:w="1276" w:type="dxa"/>
            <w:vMerge/>
            <w:vAlign w:val="center"/>
          </w:tcPr>
          <w:p w14:paraId="7F277982" w14:textId="77777777" w:rsidR="00B2442D" w:rsidRDefault="00B2442D">
            <w:pPr>
              <w:rPr>
                <w:rFonts w:ascii="Arial" w:hAnsi="Arial" w:cs="Arial"/>
              </w:rPr>
            </w:pPr>
          </w:p>
        </w:tc>
        <w:tc>
          <w:tcPr>
            <w:tcW w:w="1276" w:type="dxa"/>
            <w:vMerge/>
          </w:tcPr>
          <w:p w14:paraId="286D6BEF" w14:textId="77777777" w:rsidR="00B2442D" w:rsidRDefault="00B2442D">
            <w:pPr>
              <w:rPr>
                <w:rFonts w:ascii="Arial" w:hAnsi="Arial" w:cs="Arial"/>
              </w:rPr>
            </w:pPr>
          </w:p>
        </w:tc>
      </w:tr>
      <w:tr w:rsidR="00B2442D" w14:paraId="29049133" w14:textId="77777777">
        <w:tc>
          <w:tcPr>
            <w:tcW w:w="2122" w:type="dxa"/>
            <w:vAlign w:val="center"/>
          </w:tcPr>
          <w:p w14:paraId="0F5717AD" w14:textId="77777777" w:rsidR="00B2442D" w:rsidRDefault="00B2442D">
            <w:pPr>
              <w:rPr>
                <w:rFonts w:ascii="Arial" w:hAnsi="Arial" w:cs="Arial"/>
              </w:rPr>
            </w:pPr>
          </w:p>
        </w:tc>
        <w:tc>
          <w:tcPr>
            <w:tcW w:w="1417" w:type="dxa"/>
            <w:vAlign w:val="center"/>
          </w:tcPr>
          <w:p w14:paraId="1B33FB7A" w14:textId="77777777" w:rsidR="00B2442D" w:rsidRDefault="008A645F">
            <w:pPr>
              <w:jc w:val="center"/>
              <w:rPr>
                <w:rFonts w:ascii="Arial" w:hAnsi="Arial" w:cs="Arial"/>
              </w:rPr>
            </w:pPr>
            <w:r>
              <w:rPr>
                <w:rFonts w:ascii="Arial" w:hAnsi="Arial" w:cs="Arial"/>
              </w:rPr>
              <w:t>4322</w:t>
            </w:r>
          </w:p>
        </w:tc>
        <w:tc>
          <w:tcPr>
            <w:tcW w:w="2845" w:type="dxa"/>
          </w:tcPr>
          <w:p w14:paraId="34433091" w14:textId="77777777" w:rsidR="00B2442D" w:rsidRDefault="008A645F">
            <w:pPr>
              <w:jc w:val="both"/>
              <w:rPr>
                <w:rFonts w:ascii="Arial" w:hAnsi="Arial" w:cs="Arial"/>
              </w:rPr>
            </w:pPr>
            <w:r>
              <w:rPr>
                <w:rFonts w:ascii="Arial" w:hAnsi="Arial" w:cs="Arial"/>
              </w:rPr>
              <w:t>Instalaciones de fontanería, calefacción y aire</w:t>
            </w:r>
            <w:r>
              <w:rPr>
                <w:rFonts w:ascii="Arial" w:hAnsi="Arial" w:cs="Arial"/>
              </w:rPr>
              <w:br/>
              <w:t>acondicionado</w:t>
            </w:r>
          </w:p>
        </w:tc>
        <w:tc>
          <w:tcPr>
            <w:tcW w:w="1276" w:type="dxa"/>
            <w:vMerge/>
            <w:vAlign w:val="center"/>
          </w:tcPr>
          <w:p w14:paraId="10AAFBD4" w14:textId="77777777" w:rsidR="00B2442D" w:rsidRDefault="00B2442D">
            <w:pPr>
              <w:rPr>
                <w:rFonts w:ascii="Arial" w:hAnsi="Arial" w:cs="Arial"/>
              </w:rPr>
            </w:pPr>
          </w:p>
        </w:tc>
        <w:tc>
          <w:tcPr>
            <w:tcW w:w="1276" w:type="dxa"/>
            <w:vMerge/>
          </w:tcPr>
          <w:p w14:paraId="0A8B9CA1" w14:textId="77777777" w:rsidR="00B2442D" w:rsidRDefault="00B2442D">
            <w:pPr>
              <w:rPr>
                <w:rFonts w:ascii="Arial" w:hAnsi="Arial" w:cs="Arial"/>
              </w:rPr>
            </w:pPr>
          </w:p>
        </w:tc>
      </w:tr>
      <w:tr w:rsidR="00B2442D" w14:paraId="3933DAE4" w14:textId="77777777">
        <w:tc>
          <w:tcPr>
            <w:tcW w:w="2122" w:type="dxa"/>
            <w:vAlign w:val="center"/>
          </w:tcPr>
          <w:p w14:paraId="2F431AA9" w14:textId="77777777" w:rsidR="00B2442D" w:rsidRDefault="00B2442D">
            <w:pPr>
              <w:rPr>
                <w:rFonts w:ascii="Arial" w:hAnsi="Arial" w:cs="Arial"/>
              </w:rPr>
            </w:pPr>
          </w:p>
        </w:tc>
        <w:tc>
          <w:tcPr>
            <w:tcW w:w="1417" w:type="dxa"/>
            <w:vAlign w:val="center"/>
          </w:tcPr>
          <w:p w14:paraId="3C6283A9" w14:textId="77777777" w:rsidR="00B2442D" w:rsidRDefault="008A645F">
            <w:pPr>
              <w:jc w:val="center"/>
              <w:rPr>
                <w:rFonts w:ascii="Arial" w:hAnsi="Arial" w:cs="Arial"/>
              </w:rPr>
            </w:pPr>
            <w:r>
              <w:rPr>
                <w:rFonts w:ascii="Arial" w:hAnsi="Arial" w:cs="Arial"/>
              </w:rPr>
              <w:t>4329</w:t>
            </w:r>
          </w:p>
        </w:tc>
        <w:tc>
          <w:tcPr>
            <w:tcW w:w="2845" w:type="dxa"/>
            <w:vAlign w:val="center"/>
          </w:tcPr>
          <w:p w14:paraId="2A61C210" w14:textId="77777777" w:rsidR="00B2442D" w:rsidRDefault="008A645F">
            <w:pPr>
              <w:jc w:val="both"/>
              <w:rPr>
                <w:rFonts w:ascii="Arial" w:hAnsi="Arial" w:cs="Arial"/>
              </w:rPr>
            </w:pPr>
            <w:r>
              <w:rPr>
                <w:rFonts w:ascii="Arial" w:hAnsi="Arial" w:cs="Arial"/>
              </w:rPr>
              <w:t>Otras instalaciones especializadas</w:t>
            </w:r>
          </w:p>
        </w:tc>
        <w:tc>
          <w:tcPr>
            <w:tcW w:w="1276" w:type="dxa"/>
            <w:vMerge/>
            <w:vAlign w:val="center"/>
          </w:tcPr>
          <w:p w14:paraId="035EA739" w14:textId="77777777" w:rsidR="00B2442D" w:rsidRDefault="00B2442D">
            <w:pPr>
              <w:rPr>
                <w:rFonts w:ascii="Arial" w:hAnsi="Arial" w:cs="Arial"/>
              </w:rPr>
            </w:pPr>
          </w:p>
        </w:tc>
        <w:tc>
          <w:tcPr>
            <w:tcW w:w="1276" w:type="dxa"/>
            <w:vMerge/>
          </w:tcPr>
          <w:p w14:paraId="6141ED27" w14:textId="77777777" w:rsidR="00B2442D" w:rsidRDefault="00B2442D">
            <w:pPr>
              <w:rPr>
                <w:rFonts w:ascii="Arial" w:hAnsi="Arial" w:cs="Arial"/>
              </w:rPr>
            </w:pPr>
          </w:p>
        </w:tc>
      </w:tr>
      <w:tr w:rsidR="00B2442D" w14:paraId="540C9C2F" w14:textId="77777777">
        <w:tc>
          <w:tcPr>
            <w:tcW w:w="2122" w:type="dxa"/>
            <w:vAlign w:val="center"/>
          </w:tcPr>
          <w:p w14:paraId="156141FC" w14:textId="77777777" w:rsidR="00B2442D" w:rsidRDefault="00B2442D">
            <w:pPr>
              <w:rPr>
                <w:rFonts w:ascii="Arial" w:hAnsi="Arial" w:cs="Arial"/>
              </w:rPr>
            </w:pPr>
          </w:p>
        </w:tc>
        <w:tc>
          <w:tcPr>
            <w:tcW w:w="1417" w:type="dxa"/>
            <w:vAlign w:val="center"/>
          </w:tcPr>
          <w:p w14:paraId="4F2D1C44" w14:textId="77777777" w:rsidR="00B2442D" w:rsidRDefault="008A645F">
            <w:pPr>
              <w:jc w:val="center"/>
              <w:rPr>
                <w:rFonts w:ascii="Arial" w:hAnsi="Arial" w:cs="Arial"/>
              </w:rPr>
            </w:pPr>
            <w:r>
              <w:rPr>
                <w:rFonts w:ascii="Arial" w:hAnsi="Arial" w:cs="Arial"/>
              </w:rPr>
              <w:t>4330</w:t>
            </w:r>
          </w:p>
        </w:tc>
        <w:tc>
          <w:tcPr>
            <w:tcW w:w="2845" w:type="dxa"/>
          </w:tcPr>
          <w:p w14:paraId="10A22DA1" w14:textId="77777777" w:rsidR="00B2442D" w:rsidRDefault="008A645F">
            <w:pPr>
              <w:jc w:val="both"/>
              <w:rPr>
                <w:rFonts w:ascii="Arial" w:hAnsi="Arial" w:cs="Arial"/>
              </w:rPr>
            </w:pPr>
            <w:r>
              <w:rPr>
                <w:rFonts w:ascii="Arial" w:hAnsi="Arial" w:cs="Arial"/>
              </w:rPr>
              <w:t>Terminación y acabado de edificios y obras de ingeniería civil</w:t>
            </w:r>
          </w:p>
        </w:tc>
        <w:tc>
          <w:tcPr>
            <w:tcW w:w="1276" w:type="dxa"/>
            <w:vMerge/>
            <w:vAlign w:val="center"/>
          </w:tcPr>
          <w:p w14:paraId="38BD338F" w14:textId="77777777" w:rsidR="00B2442D" w:rsidRDefault="00B2442D">
            <w:pPr>
              <w:rPr>
                <w:rFonts w:ascii="Arial" w:hAnsi="Arial" w:cs="Arial"/>
              </w:rPr>
            </w:pPr>
          </w:p>
        </w:tc>
        <w:tc>
          <w:tcPr>
            <w:tcW w:w="1276" w:type="dxa"/>
            <w:vMerge/>
          </w:tcPr>
          <w:p w14:paraId="4D6FC605" w14:textId="77777777" w:rsidR="00B2442D" w:rsidRDefault="00B2442D">
            <w:pPr>
              <w:rPr>
                <w:rFonts w:ascii="Arial" w:hAnsi="Arial" w:cs="Arial"/>
              </w:rPr>
            </w:pPr>
          </w:p>
        </w:tc>
      </w:tr>
      <w:tr w:rsidR="00B2442D" w14:paraId="64336E68" w14:textId="77777777">
        <w:tc>
          <w:tcPr>
            <w:tcW w:w="2122" w:type="dxa"/>
            <w:vAlign w:val="center"/>
          </w:tcPr>
          <w:p w14:paraId="02D0A646" w14:textId="77777777" w:rsidR="00B2442D" w:rsidRDefault="00B2442D">
            <w:pPr>
              <w:rPr>
                <w:rFonts w:ascii="Arial" w:hAnsi="Arial" w:cs="Arial"/>
              </w:rPr>
            </w:pPr>
          </w:p>
        </w:tc>
        <w:tc>
          <w:tcPr>
            <w:tcW w:w="1417" w:type="dxa"/>
            <w:vAlign w:val="center"/>
          </w:tcPr>
          <w:p w14:paraId="19876DD3" w14:textId="77777777" w:rsidR="00B2442D" w:rsidRDefault="008A645F">
            <w:pPr>
              <w:jc w:val="center"/>
              <w:rPr>
                <w:rFonts w:ascii="Arial" w:hAnsi="Arial" w:cs="Arial"/>
              </w:rPr>
            </w:pPr>
            <w:r>
              <w:rPr>
                <w:rFonts w:ascii="Arial" w:hAnsi="Arial" w:cs="Arial"/>
              </w:rPr>
              <w:t>4390</w:t>
            </w:r>
          </w:p>
        </w:tc>
        <w:tc>
          <w:tcPr>
            <w:tcW w:w="2845" w:type="dxa"/>
          </w:tcPr>
          <w:p w14:paraId="7B8CF970" w14:textId="77777777" w:rsidR="00B2442D" w:rsidRDefault="008A645F">
            <w:pPr>
              <w:jc w:val="both"/>
              <w:rPr>
                <w:rFonts w:ascii="Arial" w:hAnsi="Arial" w:cs="Arial"/>
              </w:rPr>
            </w:pPr>
            <w:r>
              <w:rPr>
                <w:rFonts w:ascii="Arial" w:hAnsi="Arial" w:cs="Arial"/>
              </w:rPr>
              <w:t>Otras actividades especializadas para la construcción de edificios y obras de ingeniería civil</w:t>
            </w:r>
          </w:p>
        </w:tc>
        <w:tc>
          <w:tcPr>
            <w:tcW w:w="1276" w:type="dxa"/>
            <w:vMerge/>
            <w:vAlign w:val="center"/>
          </w:tcPr>
          <w:p w14:paraId="6A4A40F6" w14:textId="77777777" w:rsidR="00B2442D" w:rsidRDefault="00B2442D">
            <w:pPr>
              <w:rPr>
                <w:rFonts w:ascii="Arial" w:hAnsi="Arial" w:cs="Arial"/>
              </w:rPr>
            </w:pPr>
          </w:p>
        </w:tc>
        <w:tc>
          <w:tcPr>
            <w:tcW w:w="1276" w:type="dxa"/>
            <w:vMerge/>
          </w:tcPr>
          <w:p w14:paraId="3DAB0033" w14:textId="77777777" w:rsidR="00B2442D" w:rsidRDefault="00B2442D">
            <w:pPr>
              <w:rPr>
                <w:rFonts w:ascii="Arial" w:hAnsi="Arial" w:cs="Arial"/>
              </w:rPr>
            </w:pPr>
          </w:p>
        </w:tc>
      </w:tr>
      <w:tr w:rsidR="00B2442D" w14:paraId="7218DE99" w14:textId="77777777">
        <w:tc>
          <w:tcPr>
            <w:tcW w:w="2122" w:type="dxa"/>
            <w:vAlign w:val="center"/>
          </w:tcPr>
          <w:p w14:paraId="241F695E" w14:textId="77777777" w:rsidR="00B2442D" w:rsidRDefault="008A645F">
            <w:pPr>
              <w:rPr>
                <w:rFonts w:ascii="Arial" w:hAnsi="Arial" w:cs="Arial"/>
                <w:b/>
                <w:bCs/>
              </w:rPr>
            </w:pPr>
            <w:r>
              <w:rPr>
                <w:rFonts w:ascii="Arial" w:hAnsi="Arial" w:cs="Arial"/>
                <w:b/>
                <w:bCs/>
              </w:rPr>
              <w:t>Electricidad, gas</w:t>
            </w:r>
            <w:r>
              <w:rPr>
                <w:rFonts w:ascii="Arial" w:hAnsi="Arial" w:cs="Arial"/>
                <w:b/>
                <w:bCs/>
              </w:rPr>
              <w:br/>
              <w:t>y vapor</w:t>
            </w:r>
          </w:p>
        </w:tc>
        <w:tc>
          <w:tcPr>
            <w:tcW w:w="1417" w:type="dxa"/>
          </w:tcPr>
          <w:p w14:paraId="641A0FF7" w14:textId="77777777" w:rsidR="00B2442D" w:rsidRDefault="008A645F">
            <w:pPr>
              <w:jc w:val="center"/>
              <w:rPr>
                <w:rFonts w:ascii="Arial" w:hAnsi="Arial" w:cs="Arial"/>
              </w:rPr>
            </w:pPr>
            <w:r>
              <w:rPr>
                <w:rFonts w:ascii="Arial" w:hAnsi="Arial" w:cs="Arial"/>
              </w:rPr>
              <w:t>3520</w:t>
            </w:r>
          </w:p>
        </w:tc>
        <w:tc>
          <w:tcPr>
            <w:tcW w:w="2845" w:type="dxa"/>
          </w:tcPr>
          <w:p w14:paraId="56E3683F" w14:textId="77777777" w:rsidR="00B2442D" w:rsidRDefault="008A645F">
            <w:pPr>
              <w:jc w:val="both"/>
              <w:rPr>
                <w:rFonts w:ascii="Arial" w:hAnsi="Arial" w:cs="Arial"/>
              </w:rPr>
            </w:pPr>
            <w:r>
              <w:rPr>
                <w:rFonts w:ascii="Arial" w:hAnsi="Arial" w:cs="Arial"/>
              </w:rPr>
              <w:t>Producción de gas; distribución de combustibles gaseosos por tuberías</w:t>
            </w:r>
          </w:p>
        </w:tc>
        <w:tc>
          <w:tcPr>
            <w:tcW w:w="1276" w:type="dxa"/>
            <w:vMerge w:val="restart"/>
            <w:vAlign w:val="center"/>
          </w:tcPr>
          <w:p w14:paraId="6D2319D7" w14:textId="77777777" w:rsidR="00B2442D" w:rsidRDefault="008A645F">
            <w:pPr>
              <w:rPr>
                <w:rFonts w:ascii="Arial" w:hAnsi="Arial" w:cs="Arial"/>
              </w:rPr>
            </w:pPr>
            <w:r>
              <w:rPr>
                <w:rFonts w:ascii="Arial" w:hAnsi="Arial" w:cs="Arial"/>
              </w:rPr>
              <w:t>3.934</w:t>
            </w:r>
            <w:r>
              <w:rPr>
                <w:rFonts w:ascii="Arial" w:hAnsi="Arial" w:cs="Arial"/>
              </w:rPr>
              <w:br/>
              <w:t>UVT</w:t>
            </w:r>
          </w:p>
        </w:tc>
        <w:tc>
          <w:tcPr>
            <w:tcW w:w="1276" w:type="dxa"/>
            <w:vMerge w:val="restart"/>
            <w:vAlign w:val="center"/>
          </w:tcPr>
          <w:p w14:paraId="76A34EF4" w14:textId="77777777" w:rsidR="00B2442D" w:rsidRDefault="008A645F">
            <w:pPr>
              <w:rPr>
                <w:rFonts w:ascii="Arial" w:hAnsi="Arial" w:cs="Arial"/>
              </w:rPr>
            </w:pPr>
            <w:r>
              <w:rPr>
                <w:rFonts w:ascii="Arial" w:hAnsi="Arial" w:cs="Arial"/>
              </w:rPr>
              <w:t>2,97% * (RGA</w:t>
            </w:r>
            <w:r>
              <w:rPr>
                <w:rFonts w:ascii="Arial" w:hAnsi="Arial" w:cs="Arial"/>
              </w:rPr>
              <w:br/>
              <w:t>en UVT –</w:t>
            </w:r>
            <w:r>
              <w:rPr>
                <w:rFonts w:ascii="Arial" w:hAnsi="Arial" w:cs="Arial"/>
              </w:rPr>
              <w:br/>
              <w:t>3.934)</w:t>
            </w:r>
          </w:p>
        </w:tc>
      </w:tr>
      <w:tr w:rsidR="00B2442D" w14:paraId="06287C93" w14:textId="77777777">
        <w:tc>
          <w:tcPr>
            <w:tcW w:w="2122" w:type="dxa"/>
            <w:vAlign w:val="center"/>
          </w:tcPr>
          <w:p w14:paraId="3F208C71" w14:textId="77777777" w:rsidR="00B2442D" w:rsidRDefault="00B2442D">
            <w:pPr>
              <w:rPr>
                <w:rFonts w:ascii="Arial" w:hAnsi="Arial" w:cs="Arial"/>
              </w:rPr>
            </w:pPr>
          </w:p>
        </w:tc>
        <w:tc>
          <w:tcPr>
            <w:tcW w:w="1417" w:type="dxa"/>
            <w:vAlign w:val="center"/>
          </w:tcPr>
          <w:p w14:paraId="5EB8A470" w14:textId="77777777" w:rsidR="00B2442D" w:rsidRDefault="008A645F">
            <w:pPr>
              <w:jc w:val="center"/>
              <w:rPr>
                <w:rFonts w:ascii="Arial" w:hAnsi="Arial" w:cs="Arial"/>
              </w:rPr>
            </w:pPr>
            <w:r>
              <w:rPr>
                <w:rFonts w:ascii="Arial" w:hAnsi="Arial" w:cs="Arial"/>
              </w:rPr>
              <w:t>3530</w:t>
            </w:r>
          </w:p>
        </w:tc>
        <w:tc>
          <w:tcPr>
            <w:tcW w:w="2845" w:type="dxa"/>
            <w:vAlign w:val="center"/>
          </w:tcPr>
          <w:p w14:paraId="6C895146" w14:textId="77777777" w:rsidR="00B2442D" w:rsidRDefault="008A645F">
            <w:pPr>
              <w:jc w:val="both"/>
              <w:rPr>
                <w:rFonts w:ascii="Arial" w:hAnsi="Arial" w:cs="Arial"/>
              </w:rPr>
            </w:pPr>
            <w:r>
              <w:rPr>
                <w:rFonts w:ascii="Arial" w:hAnsi="Arial" w:cs="Arial"/>
              </w:rPr>
              <w:t>Suministro de vapor y aire acondicionado</w:t>
            </w:r>
          </w:p>
        </w:tc>
        <w:tc>
          <w:tcPr>
            <w:tcW w:w="1276" w:type="dxa"/>
            <w:vMerge/>
            <w:vAlign w:val="center"/>
          </w:tcPr>
          <w:p w14:paraId="6AFFDC8B" w14:textId="77777777" w:rsidR="00B2442D" w:rsidRDefault="00B2442D">
            <w:pPr>
              <w:rPr>
                <w:rFonts w:ascii="Arial" w:hAnsi="Arial" w:cs="Arial"/>
              </w:rPr>
            </w:pPr>
          </w:p>
        </w:tc>
        <w:tc>
          <w:tcPr>
            <w:tcW w:w="1276" w:type="dxa"/>
            <w:vMerge/>
          </w:tcPr>
          <w:p w14:paraId="74BCB2E9" w14:textId="77777777" w:rsidR="00B2442D" w:rsidRDefault="00B2442D">
            <w:pPr>
              <w:rPr>
                <w:rFonts w:ascii="Arial" w:hAnsi="Arial" w:cs="Arial"/>
              </w:rPr>
            </w:pPr>
          </w:p>
        </w:tc>
      </w:tr>
      <w:tr w:rsidR="00B2442D" w14:paraId="0199F261" w14:textId="77777777">
        <w:tc>
          <w:tcPr>
            <w:tcW w:w="2122" w:type="dxa"/>
            <w:vAlign w:val="center"/>
          </w:tcPr>
          <w:p w14:paraId="5A3FC47B" w14:textId="77777777" w:rsidR="00B2442D" w:rsidRDefault="008A645F">
            <w:pPr>
              <w:rPr>
                <w:rFonts w:ascii="Arial" w:hAnsi="Arial" w:cs="Arial"/>
                <w:b/>
                <w:bCs/>
              </w:rPr>
            </w:pPr>
            <w:r>
              <w:rPr>
                <w:rFonts w:ascii="Arial" w:hAnsi="Arial" w:cs="Arial"/>
                <w:b/>
                <w:bCs/>
              </w:rPr>
              <w:t>Fabricación de</w:t>
            </w:r>
            <w:r>
              <w:rPr>
                <w:rFonts w:ascii="Arial" w:hAnsi="Arial" w:cs="Arial"/>
                <w:b/>
                <w:bCs/>
              </w:rPr>
              <w:br/>
              <w:t>productos minerales y otros</w:t>
            </w:r>
          </w:p>
        </w:tc>
        <w:tc>
          <w:tcPr>
            <w:tcW w:w="1417" w:type="dxa"/>
            <w:vAlign w:val="center"/>
          </w:tcPr>
          <w:p w14:paraId="5B617B8C" w14:textId="77777777" w:rsidR="00B2442D" w:rsidRDefault="008A645F">
            <w:pPr>
              <w:jc w:val="center"/>
              <w:rPr>
                <w:rFonts w:ascii="Arial" w:hAnsi="Arial" w:cs="Arial"/>
              </w:rPr>
            </w:pPr>
            <w:r>
              <w:rPr>
                <w:rFonts w:ascii="Arial" w:hAnsi="Arial" w:cs="Arial"/>
              </w:rPr>
              <w:t>2310</w:t>
            </w:r>
          </w:p>
        </w:tc>
        <w:tc>
          <w:tcPr>
            <w:tcW w:w="2845" w:type="dxa"/>
            <w:vAlign w:val="center"/>
          </w:tcPr>
          <w:p w14:paraId="45CD9408" w14:textId="77777777" w:rsidR="00B2442D" w:rsidRDefault="008A645F">
            <w:pPr>
              <w:jc w:val="both"/>
              <w:rPr>
                <w:rFonts w:ascii="Arial" w:hAnsi="Arial" w:cs="Arial"/>
              </w:rPr>
            </w:pPr>
            <w:r>
              <w:rPr>
                <w:rFonts w:ascii="Arial" w:hAnsi="Arial" w:cs="Arial"/>
              </w:rPr>
              <w:t>Fabricación de vidrio y productos de vidrio</w:t>
            </w:r>
          </w:p>
        </w:tc>
        <w:tc>
          <w:tcPr>
            <w:tcW w:w="1276" w:type="dxa"/>
            <w:vMerge w:val="restart"/>
            <w:vAlign w:val="center"/>
          </w:tcPr>
          <w:p w14:paraId="7AB4DF81" w14:textId="77777777" w:rsidR="00B2442D" w:rsidRDefault="008A645F">
            <w:pPr>
              <w:rPr>
                <w:rFonts w:ascii="Arial" w:hAnsi="Arial" w:cs="Arial"/>
              </w:rPr>
            </w:pPr>
            <w:r>
              <w:rPr>
                <w:rFonts w:ascii="Arial" w:hAnsi="Arial" w:cs="Arial"/>
              </w:rPr>
              <w:t>4.795</w:t>
            </w:r>
            <w:r>
              <w:rPr>
                <w:rFonts w:ascii="Arial" w:hAnsi="Arial" w:cs="Arial"/>
              </w:rPr>
              <w:br/>
              <w:t>UVT</w:t>
            </w:r>
          </w:p>
        </w:tc>
        <w:tc>
          <w:tcPr>
            <w:tcW w:w="1276" w:type="dxa"/>
            <w:vMerge w:val="restart"/>
            <w:vAlign w:val="center"/>
          </w:tcPr>
          <w:p w14:paraId="07EF4796" w14:textId="77777777" w:rsidR="00B2442D" w:rsidRDefault="008A645F">
            <w:pPr>
              <w:rPr>
                <w:rFonts w:ascii="Arial" w:hAnsi="Arial" w:cs="Arial"/>
              </w:rPr>
            </w:pPr>
            <w:r>
              <w:rPr>
                <w:rFonts w:ascii="Arial" w:hAnsi="Arial" w:cs="Arial"/>
              </w:rPr>
              <w:t>2,18% * (RGA</w:t>
            </w:r>
            <w:r>
              <w:rPr>
                <w:rFonts w:ascii="Arial" w:hAnsi="Arial" w:cs="Arial"/>
              </w:rPr>
              <w:br/>
              <w:t>en UVT –</w:t>
            </w:r>
            <w:r>
              <w:rPr>
                <w:rFonts w:ascii="Arial" w:hAnsi="Arial" w:cs="Arial"/>
              </w:rPr>
              <w:br/>
              <w:t>4.795)</w:t>
            </w:r>
          </w:p>
        </w:tc>
      </w:tr>
      <w:tr w:rsidR="00B2442D" w14:paraId="09411718" w14:textId="77777777">
        <w:tc>
          <w:tcPr>
            <w:tcW w:w="2122" w:type="dxa"/>
            <w:vAlign w:val="center"/>
          </w:tcPr>
          <w:p w14:paraId="09F41F26" w14:textId="77777777" w:rsidR="00B2442D" w:rsidRDefault="00B2442D">
            <w:pPr>
              <w:rPr>
                <w:rFonts w:ascii="Arial" w:hAnsi="Arial" w:cs="Arial"/>
              </w:rPr>
            </w:pPr>
          </w:p>
        </w:tc>
        <w:tc>
          <w:tcPr>
            <w:tcW w:w="1417" w:type="dxa"/>
            <w:vAlign w:val="center"/>
          </w:tcPr>
          <w:p w14:paraId="755BB936" w14:textId="77777777" w:rsidR="00B2442D" w:rsidRDefault="008A645F">
            <w:pPr>
              <w:jc w:val="center"/>
              <w:rPr>
                <w:rFonts w:ascii="Arial" w:hAnsi="Arial" w:cs="Arial"/>
              </w:rPr>
            </w:pPr>
            <w:r>
              <w:rPr>
                <w:rFonts w:ascii="Arial" w:hAnsi="Arial" w:cs="Arial"/>
              </w:rPr>
              <w:t>2391</w:t>
            </w:r>
          </w:p>
        </w:tc>
        <w:tc>
          <w:tcPr>
            <w:tcW w:w="2845" w:type="dxa"/>
            <w:vAlign w:val="center"/>
          </w:tcPr>
          <w:p w14:paraId="5ADD521A" w14:textId="77777777" w:rsidR="00B2442D" w:rsidRDefault="008A645F">
            <w:pPr>
              <w:jc w:val="both"/>
              <w:rPr>
                <w:rFonts w:ascii="Arial" w:hAnsi="Arial" w:cs="Arial"/>
              </w:rPr>
            </w:pPr>
            <w:r>
              <w:rPr>
                <w:rFonts w:ascii="Arial" w:hAnsi="Arial" w:cs="Arial"/>
              </w:rPr>
              <w:t>Fabricación de productos refractarios</w:t>
            </w:r>
          </w:p>
        </w:tc>
        <w:tc>
          <w:tcPr>
            <w:tcW w:w="1276" w:type="dxa"/>
            <w:vMerge/>
            <w:vAlign w:val="center"/>
          </w:tcPr>
          <w:p w14:paraId="77A38CE1" w14:textId="77777777" w:rsidR="00B2442D" w:rsidRDefault="00B2442D">
            <w:pPr>
              <w:rPr>
                <w:rFonts w:ascii="Arial" w:hAnsi="Arial" w:cs="Arial"/>
              </w:rPr>
            </w:pPr>
          </w:p>
        </w:tc>
        <w:tc>
          <w:tcPr>
            <w:tcW w:w="1276" w:type="dxa"/>
            <w:vMerge/>
          </w:tcPr>
          <w:p w14:paraId="586080FC" w14:textId="77777777" w:rsidR="00B2442D" w:rsidRDefault="00B2442D">
            <w:pPr>
              <w:rPr>
                <w:rFonts w:ascii="Arial" w:hAnsi="Arial" w:cs="Arial"/>
              </w:rPr>
            </w:pPr>
          </w:p>
        </w:tc>
      </w:tr>
      <w:tr w:rsidR="00B2442D" w14:paraId="40AF49F0" w14:textId="77777777">
        <w:tc>
          <w:tcPr>
            <w:tcW w:w="2122" w:type="dxa"/>
            <w:vAlign w:val="center"/>
          </w:tcPr>
          <w:p w14:paraId="211FBB81" w14:textId="77777777" w:rsidR="00B2442D" w:rsidRDefault="00B2442D">
            <w:pPr>
              <w:rPr>
                <w:rFonts w:ascii="Arial" w:hAnsi="Arial" w:cs="Arial"/>
              </w:rPr>
            </w:pPr>
          </w:p>
        </w:tc>
        <w:tc>
          <w:tcPr>
            <w:tcW w:w="1417" w:type="dxa"/>
            <w:vAlign w:val="center"/>
          </w:tcPr>
          <w:p w14:paraId="5968F7CA" w14:textId="77777777" w:rsidR="00B2442D" w:rsidRDefault="008A645F">
            <w:pPr>
              <w:jc w:val="center"/>
              <w:rPr>
                <w:rFonts w:ascii="Arial" w:hAnsi="Arial" w:cs="Arial"/>
              </w:rPr>
            </w:pPr>
            <w:r>
              <w:rPr>
                <w:rFonts w:ascii="Arial" w:hAnsi="Arial" w:cs="Arial"/>
              </w:rPr>
              <w:t>2392</w:t>
            </w:r>
          </w:p>
        </w:tc>
        <w:tc>
          <w:tcPr>
            <w:tcW w:w="2845" w:type="dxa"/>
          </w:tcPr>
          <w:p w14:paraId="2AF6D581" w14:textId="77777777" w:rsidR="00B2442D" w:rsidRDefault="008A645F">
            <w:pPr>
              <w:jc w:val="both"/>
              <w:rPr>
                <w:rFonts w:ascii="Arial" w:hAnsi="Arial" w:cs="Arial"/>
              </w:rPr>
            </w:pPr>
            <w:r>
              <w:rPr>
                <w:rFonts w:ascii="Arial" w:hAnsi="Arial" w:cs="Arial"/>
              </w:rPr>
              <w:t xml:space="preserve">Fabricación de </w:t>
            </w:r>
            <w:r>
              <w:rPr>
                <w:rFonts w:ascii="Arial" w:hAnsi="Arial" w:cs="Arial"/>
              </w:rPr>
              <w:t>materiales de arcilla para la</w:t>
            </w:r>
            <w:r>
              <w:rPr>
                <w:rFonts w:ascii="Arial" w:hAnsi="Arial" w:cs="Arial"/>
              </w:rPr>
              <w:br/>
              <w:t>construcción</w:t>
            </w:r>
          </w:p>
        </w:tc>
        <w:tc>
          <w:tcPr>
            <w:tcW w:w="1276" w:type="dxa"/>
            <w:vMerge/>
            <w:vAlign w:val="center"/>
          </w:tcPr>
          <w:p w14:paraId="5A697686" w14:textId="77777777" w:rsidR="00B2442D" w:rsidRDefault="00B2442D">
            <w:pPr>
              <w:rPr>
                <w:rFonts w:ascii="Arial" w:hAnsi="Arial" w:cs="Arial"/>
              </w:rPr>
            </w:pPr>
          </w:p>
        </w:tc>
        <w:tc>
          <w:tcPr>
            <w:tcW w:w="1276" w:type="dxa"/>
            <w:vMerge/>
          </w:tcPr>
          <w:p w14:paraId="1AF4E985" w14:textId="77777777" w:rsidR="00B2442D" w:rsidRDefault="00B2442D">
            <w:pPr>
              <w:rPr>
                <w:rFonts w:ascii="Arial" w:hAnsi="Arial" w:cs="Arial"/>
              </w:rPr>
            </w:pPr>
          </w:p>
        </w:tc>
      </w:tr>
      <w:tr w:rsidR="00B2442D" w14:paraId="2357486E" w14:textId="77777777">
        <w:tc>
          <w:tcPr>
            <w:tcW w:w="2122" w:type="dxa"/>
            <w:vAlign w:val="center"/>
          </w:tcPr>
          <w:p w14:paraId="1FB465FD" w14:textId="77777777" w:rsidR="00B2442D" w:rsidRDefault="00B2442D">
            <w:pPr>
              <w:rPr>
                <w:rFonts w:ascii="Arial" w:hAnsi="Arial" w:cs="Arial"/>
              </w:rPr>
            </w:pPr>
          </w:p>
        </w:tc>
        <w:tc>
          <w:tcPr>
            <w:tcW w:w="1417" w:type="dxa"/>
            <w:vAlign w:val="center"/>
          </w:tcPr>
          <w:p w14:paraId="66B960AB" w14:textId="77777777" w:rsidR="00B2442D" w:rsidRDefault="008A645F">
            <w:pPr>
              <w:jc w:val="center"/>
              <w:rPr>
                <w:rFonts w:ascii="Arial" w:hAnsi="Arial" w:cs="Arial"/>
              </w:rPr>
            </w:pPr>
            <w:r>
              <w:rPr>
                <w:rFonts w:ascii="Arial" w:hAnsi="Arial" w:cs="Arial"/>
              </w:rPr>
              <w:t>2393</w:t>
            </w:r>
          </w:p>
        </w:tc>
        <w:tc>
          <w:tcPr>
            <w:tcW w:w="2845" w:type="dxa"/>
          </w:tcPr>
          <w:p w14:paraId="70BE5E14" w14:textId="77777777" w:rsidR="00B2442D" w:rsidRDefault="008A645F">
            <w:pPr>
              <w:jc w:val="both"/>
              <w:rPr>
                <w:rFonts w:ascii="Arial" w:hAnsi="Arial" w:cs="Arial"/>
              </w:rPr>
            </w:pPr>
            <w:r>
              <w:rPr>
                <w:rFonts w:ascii="Arial" w:hAnsi="Arial" w:cs="Arial"/>
              </w:rPr>
              <w:t>Fabricación de otros productos de cerámica y porcelana</w:t>
            </w:r>
          </w:p>
        </w:tc>
        <w:tc>
          <w:tcPr>
            <w:tcW w:w="1276" w:type="dxa"/>
            <w:vMerge/>
            <w:vAlign w:val="center"/>
          </w:tcPr>
          <w:p w14:paraId="522C1CED" w14:textId="77777777" w:rsidR="00B2442D" w:rsidRDefault="00B2442D">
            <w:pPr>
              <w:rPr>
                <w:rFonts w:ascii="Arial" w:hAnsi="Arial" w:cs="Arial"/>
              </w:rPr>
            </w:pPr>
          </w:p>
        </w:tc>
        <w:tc>
          <w:tcPr>
            <w:tcW w:w="1276" w:type="dxa"/>
            <w:vMerge/>
          </w:tcPr>
          <w:p w14:paraId="015E8D16" w14:textId="77777777" w:rsidR="00B2442D" w:rsidRDefault="00B2442D">
            <w:pPr>
              <w:rPr>
                <w:rFonts w:ascii="Arial" w:hAnsi="Arial" w:cs="Arial"/>
              </w:rPr>
            </w:pPr>
          </w:p>
        </w:tc>
      </w:tr>
      <w:tr w:rsidR="00B2442D" w14:paraId="139FE7E8" w14:textId="77777777">
        <w:tc>
          <w:tcPr>
            <w:tcW w:w="2122" w:type="dxa"/>
            <w:vAlign w:val="center"/>
          </w:tcPr>
          <w:p w14:paraId="668269B8" w14:textId="77777777" w:rsidR="00B2442D" w:rsidRDefault="00B2442D">
            <w:pPr>
              <w:rPr>
                <w:rFonts w:ascii="Arial" w:hAnsi="Arial" w:cs="Arial"/>
              </w:rPr>
            </w:pPr>
          </w:p>
        </w:tc>
        <w:tc>
          <w:tcPr>
            <w:tcW w:w="1417" w:type="dxa"/>
            <w:vAlign w:val="center"/>
          </w:tcPr>
          <w:p w14:paraId="341EA14E" w14:textId="77777777" w:rsidR="00B2442D" w:rsidRDefault="008A645F">
            <w:pPr>
              <w:jc w:val="center"/>
              <w:rPr>
                <w:rFonts w:ascii="Arial" w:hAnsi="Arial" w:cs="Arial"/>
              </w:rPr>
            </w:pPr>
            <w:r>
              <w:rPr>
                <w:rFonts w:ascii="Arial" w:hAnsi="Arial" w:cs="Arial"/>
              </w:rPr>
              <w:t>2394</w:t>
            </w:r>
          </w:p>
        </w:tc>
        <w:tc>
          <w:tcPr>
            <w:tcW w:w="2845" w:type="dxa"/>
            <w:vAlign w:val="center"/>
          </w:tcPr>
          <w:p w14:paraId="161F0D3F" w14:textId="77777777" w:rsidR="00B2442D" w:rsidRDefault="008A645F">
            <w:pPr>
              <w:jc w:val="both"/>
              <w:rPr>
                <w:rFonts w:ascii="Arial" w:hAnsi="Arial" w:cs="Arial"/>
              </w:rPr>
            </w:pPr>
            <w:r>
              <w:rPr>
                <w:rFonts w:ascii="Arial" w:hAnsi="Arial" w:cs="Arial"/>
              </w:rPr>
              <w:t>Fabricación de cemento, cal y yeso</w:t>
            </w:r>
          </w:p>
        </w:tc>
        <w:tc>
          <w:tcPr>
            <w:tcW w:w="1276" w:type="dxa"/>
            <w:vMerge/>
            <w:vAlign w:val="center"/>
          </w:tcPr>
          <w:p w14:paraId="404BF08B" w14:textId="77777777" w:rsidR="00B2442D" w:rsidRDefault="00B2442D">
            <w:pPr>
              <w:rPr>
                <w:rFonts w:ascii="Arial" w:hAnsi="Arial" w:cs="Arial"/>
              </w:rPr>
            </w:pPr>
          </w:p>
        </w:tc>
        <w:tc>
          <w:tcPr>
            <w:tcW w:w="1276" w:type="dxa"/>
            <w:vMerge/>
          </w:tcPr>
          <w:p w14:paraId="3C57E95A" w14:textId="77777777" w:rsidR="00B2442D" w:rsidRDefault="00B2442D">
            <w:pPr>
              <w:rPr>
                <w:rFonts w:ascii="Arial" w:hAnsi="Arial" w:cs="Arial"/>
              </w:rPr>
            </w:pPr>
          </w:p>
        </w:tc>
      </w:tr>
      <w:tr w:rsidR="00B2442D" w14:paraId="790E905B" w14:textId="77777777">
        <w:tc>
          <w:tcPr>
            <w:tcW w:w="2122" w:type="dxa"/>
            <w:vAlign w:val="center"/>
          </w:tcPr>
          <w:p w14:paraId="78906A52" w14:textId="77777777" w:rsidR="00B2442D" w:rsidRDefault="00B2442D">
            <w:pPr>
              <w:rPr>
                <w:rFonts w:ascii="Arial" w:hAnsi="Arial" w:cs="Arial"/>
              </w:rPr>
            </w:pPr>
          </w:p>
        </w:tc>
        <w:tc>
          <w:tcPr>
            <w:tcW w:w="1417" w:type="dxa"/>
            <w:vAlign w:val="center"/>
          </w:tcPr>
          <w:p w14:paraId="574BD116" w14:textId="77777777" w:rsidR="00B2442D" w:rsidRDefault="008A645F">
            <w:pPr>
              <w:jc w:val="center"/>
              <w:rPr>
                <w:rFonts w:ascii="Arial" w:hAnsi="Arial" w:cs="Arial"/>
              </w:rPr>
            </w:pPr>
            <w:r>
              <w:rPr>
                <w:rFonts w:ascii="Arial" w:hAnsi="Arial" w:cs="Arial"/>
              </w:rPr>
              <w:t>2395</w:t>
            </w:r>
          </w:p>
        </w:tc>
        <w:tc>
          <w:tcPr>
            <w:tcW w:w="2845" w:type="dxa"/>
          </w:tcPr>
          <w:p w14:paraId="12A1183B" w14:textId="77777777" w:rsidR="00B2442D" w:rsidRDefault="008A645F">
            <w:pPr>
              <w:jc w:val="both"/>
              <w:rPr>
                <w:rFonts w:ascii="Arial" w:hAnsi="Arial" w:cs="Arial"/>
              </w:rPr>
            </w:pPr>
            <w:r>
              <w:rPr>
                <w:rFonts w:ascii="Arial" w:hAnsi="Arial" w:cs="Arial"/>
              </w:rPr>
              <w:t>Fabricación de artículos de hormigón, cemento y yeso</w:t>
            </w:r>
          </w:p>
        </w:tc>
        <w:tc>
          <w:tcPr>
            <w:tcW w:w="1276" w:type="dxa"/>
            <w:vMerge/>
            <w:vAlign w:val="center"/>
          </w:tcPr>
          <w:p w14:paraId="492B3DBD" w14:textId="77777777" w:rsidR="00B2442D" w:rsidRDefault="00B2442D">
            <w:pPr>
              <w:rPr>
                <w:rFonts w:ascii="Arial" w:hAnsi="Arial" w:cs="Arial"/>
              </w:rPr>
            </w:pPr>
          </w:p>
        </w:tc>
        <w:tc>
          <w:tcPr>
            <w:tcW w:w="1276" w:type="dxa"/>
            <w:vMerge/>
          </w:tcPr>
          <w:p w14:paraId="1AEC5F3E" w14:textId="77777777" w:rsidR="00B2442D" w:rsidRDefault="00B2442D">
            <w:pPr>
              <w:rPr>
                <w:rFonts w:ascii="Arial" w:hAnsi="Arial" w:cs="Arial"/>
              </w:rPr>
            </w:pPr>
          </w:p>
        </w:tc>
      </w:tr>
      <w:tr w:rsidR="00B2442D" w14:paraId="624F3826" w14:textId="77777777">
        <w:tc>
          <w:tcPr>
            <w:tcW w:w="2122" w:type="dxa"/>
            <w:vAlign w:val="center"/>
          </w:tcPr>
          <w:p w14:paraId="3EC4F429" w14:textId="77777777" w:rsidR="00B2442D" w:rsidRDefault="00B2442D">
            <w:pPr>
              <w:rPr>
                <w:rFonts w:ascii="Arial" w:hAnsi="Arial" w:cs="Arial"/>
              </w:rPr>
            </w:pPr>
          </w:p>
        </w:tc>
        <w:tc>
          <w:tcPr>
            <w:tcW w:w="1417" w:type="dxa"/>
            <w:vAlign w:val="center"/>
          </w:tcPr>
          <w:p w14:paraId="24D7A189" w14:textId="77777777" w:rsidR="00B2442D" w:rsidRDefault="008A645F">
            <w:pPr>
              <w:jc w:val="center"/>
              <w:rPr>
                <w:rFonts w:ascii="Arial" w:hAnsi="Arial" w:cs="Arial"/>
              </w:rPr>
            </w:pPr>
            <w:r>
              <w:rPr>
                <w:rFonts w:ascii="Arial" w:hAnsi="Arial" w:cs="Arial"/>
              </w:rPr>
              <w:t>2396</w:t>
            </w:r>
          </w:p>
        </w:tc>
        <w:tc>
          <w:tcPr>
            <w:tcW w:w="2845" w:type="dxa"/>
            <w:vAlign w:val="center"/>
          </w:tcPr>
          <w:p w14:paraId="7F5CDA09" w14:textId="77777777" w:rsidR="00B2442D" w:rsidRDefault="008A645F">
            <w:pPr>
              <w:jc w:val="both"/>
              <w:rPr>
                <w:rFonts w:ascii="Arial" w:hAnsi="Arial" w:cs="Arial"/>
              </w:rPr>
            </w:pPr>
            <w:r>
              <w:rPr>
                <w:rFonts w:ascii="Arial" w:hAnsi="Arial" w:cs="Arial"/>
              </w:rPr>
              <w:t xml:space="preserve">Corte, tallado y acabado de la </w:t>
            </w:r>
            <w:r>
              <w:rPr>
                <w:rFonts w:ascii="Arial" w:hAnsi="Arial" w:cs="Arial"/>
              </w:rPr>
              <w:t>piedra</w:t>
            </w:r>
          </w:p>
        </w:tc>
        <w:tc>
          <w:tcPr>
            <w:tcW w:w="1276" w:type="dxa"/>
            <w:vMerge/>
            <w:vAlign w:val="center"/>
          </w:tcPr>
          <w:p w14:paraId="2825803C" w14:textId="77777777" w:rsidR="00B2442D" w:rsidRDefault="00B2442D">
            <w:pPr>
              <w:rPr>
                <w:rFonts w:ascii="Arial" w:hAnsi="Arial" w:cs="Arial"/>
              </w:rPr>
            </w:pPr>
          </w:p>
        </w:tc>
        <w:tc>
          <w:tcPr>
            <w:tcW w:w="1276" w:type="dxa"/>
            <w:vMerge/>
          </w:tcPr>
          <w:p w14:paraId="41B5461A" w14:textId="77777777" w:rsidR="00B2442D" w:rsidRDefault="00B2442D">
            <w:pPr>
              <w:rPr>
                <w:rFonts w:ascii="Arial" w:hAnsi="Arial" w:cs="Arial"/>
              </w:rPr>
            </w:pPr>
          </w:p>
        </w:tc>
      </w:tr>
      <w:tr w:rsidR="00B2442D" w14:paraId="04079AC6" w14:textId="77777777">
        <w:tc>
          <w:tcPr>
            <w:tcW w:w="2122" w:type="dxa"/>
            <w:vAlign w:val="center"/>
          </w:tcPr>
          <w:p w14:paraId="1429E871" w14:textId="77777777" w:rsidR="00B2442D" w:rsidRDefault="00B2442D">
            <w:pPr>
              <w:rPr>
                <w:rFonts w:ascii="Arial" w:hAnsi="Arial" w:cs="Arial"/>
              </w:rPr>
            </w:pPr>
          </w:p>
        </w:tc>
        <w:tc>
          <w:tcPr>
            <w:tcW w:w="1417" w:type="dxa"/>
            <w:vAlign w:val="center"/>
          </w:tcPr>
          <w:p w14:paraId="26C6FA57" w14:textId="77777777" w:rsidR="00B2442D" w:rsidRDefault="008A645F">
            <w:pPr>
              <w:jc w:val="center"/>
              <w:rPr>
                <w:rFonts w:ascii="Arial" w:hAnsi="Arial" w:cs="Arial"/>
              </w:rPr>
            </w:pPr>
            <w:r>
              <w:rPr>
                <w:rFonts w:ascii="Arial" w:hAnsi="Arial" w:cs="Arial"/>
              </w:rPr>
              <w:t>2399</w:t>
            </w:r>
          </w:p>
        </w:tc>
        <w:tc>
          <w:tcPr>
            <w:tcW w:w="2845" w:type="dxa"/>
          </w:tcPr>
          <w:p w14:paraId="3A7E936D" w14:textId="77777777" w:rsidR="00B2442D" w:rsidRDefault="008A645F">
            <w:pPr>
              <w:jc w:val="both"/>
              <w:rPr>
                <w:rFonts w:ascii="Arial" w:hAnsi="Arial" w:cs="Arial"/>
              </w:rPr>
            </w:pPr>
            <w:r>
              <w:rPr>
                <w:rFonts w:ascii="Arial" w:hAnsi="Arial" w:cs="Arial"/>
              </w:rPr>
              <w:t>Fabricación de otros productos minerales no</w:t>
            </w:r>
            <w:r>
              <w:rPr>
                <w:rFonts w:ascii="Arial" w:hAnsi="Arial" w:cs="Arial"/>
              </w:rPr>
              <w:br/>
              <w:t>metálicos n.c.p.</w:t>
            </w:r>
          </w:p>
        </w:tc>
        <w:tc>
          <w:tcPr>
            <w:tcW w:w="1276" w:type="dxa"/>
            <w:vMerge/>
            <w:vAlign w:val="center"/>
          </w:tcPr>
          <w:p w14:paraId="24EAA2CD" w14:textId="77777777" w:rsidR="00B2442D" w:rsidRDefault="00B2442D">
            <w:pPr>
              <w:rPr>
                <w:rFonts w:ascii="Arial" w:hAnsi="Arial" w:cs="Arial"/>
              </w:rPr>
            </w:pPr>
          </w:p>
        </w:tc>
        <w:tc>
          <w:tcPr>
            <w:tcW w:w="1276" w:type="dxa"/>
            <w:vMerge/>
          </w:tcPr>
          <w:p w14:paraId="58746305" w14:textId="77777777" w:rsidR="00B2442D" w:rsidRDefault="00B2442D">
            <w:pPr>
              <w:rPr>
                <w:rFonts w:ascii="Arial" w:hAnsi="Arial" w:cs="Arial"/>
              </w:rPr>
            </w:pPr>
          </w:p>
        </w:tc>
      </w:tr>
      <w:tr w:rsidR="00B2442D" w14:paraId="13986766" w14:textId="77777777">
        <w:tc>
          <w:tcPr>
            <w:tcW w:w="2122" w:type="dxa"/>
            <w:vAlign w:val="center"/>
          </w:tcPr>
          <w:p w14:paraId="32C95D3F" w14:textId="77777777" w:rsidR="00B2442D" w:rsidRDefault="00B2442D">
            <w:pPr>
              <w:rPr>
                <w:rFonts w:ascii="Arial" w:hAnsi="Arial" w:cs="Arial"/>
              </w:rPr>
            </w:pPr>
          </w:p>
        </w:tc>
        <w:tc>
          <w:tcPr>
            <w:tcW w:w="1417" w:type="dxa"/>
            <w:vAlign w:val="center"/>
          </w:tcPr>
          <w:p w14:paraId="720B0004" w14:textId="77777777" w:rsidR="00B2442D" w:rsidRDefault="008A645F">
            <w:pPr>
              <w:jc w:val="center"/>
              <w:rPr>
                <w:rFonts w:ascii="Arial" w:hAnsi="Arial" w:cs="Arial"/>
              </w:rPr>
            </w:pPr>
            <w:r>
              <w:rPr>
                <w:rFonts w:ascii="Arial" w:hAnsi="Arial" w:cs="Arial"/>
              </w:rPr>
              <w:t>2410</w:t>
            </w:r>
          </w:p>
        </w:tc>
        <w:tc>
          <w:tcPr>
            <w:tcW w:w="2845" w:type="dxa"/>
            <w:vAlign w:val="center"/>
          </w:tcPr>
          <w:p w14:paraId="2B0C9A42" w14:textId="77777777" w:rsidR="00B2442D" w:rsidRDefault="008A645F">
            <w:pPr>
              <w:jc w:val="both"/>
              <w:rPr>
                <w:rFonts w:ascii="Arial" w:hAnsi="Arial" w:cs="Arial"/>
              </w:rPr>
            </w:pPr>
            <w:r>
              <w:rPr>
                <w:rFonts w:ascii="Arial" w:hAnsi="Arial" w:cs="Arial"/>
              </w:rPr>
              <w:t>Industrias básicas de hierro y de acero</w:t>
            </w:r>
          </w:p>
        </w:tc>
        <w:tc>
          <w:tcPr>
            <w:tcW w:w="1276" w:type="dxa"/>
            <w:vMerge/>
            <w:vAlign w:val="center"/>
          </w:tcPr>
          <w:p w14:paraId="1D8692BF" w14:textId="77777777" w:rsidR="00B2442D" w:rsidRDefault="00B2442D">
            <w:pPr>
              <w:rPr>
                <w:rFonts w:ascii="Arial" w:hAnsi="Arial" w:cs="Arial"/>
              </w:rPr>
            </w:pPr>
          </w:p>
        </w:tc>
        <w:tc>
          <w:tcPr>
            <w:tcW w:w="1276" w:type="dxa"/>
            <w:vMerge/>
          </w:tcPr>
          <w:p w14:paraId="4EB868C7" w14:textId="77777777" w:rsidR="00B2442D" w:rsidRDefault="00B2442D">
            <w:pPr>
              <w:rPr>
                <w:rFonts w:ascii="Arial" w:hAnsi="Arial" w:cs="Arial"/>
              </w:rPr>
            </w:pPr>
          </w:p>
        </w:tc>
      </w:tr>
      <w:tr w:rsidR="00B2442D" w14:paraId="25F7452E" w14:textId="77777777">
        <w:tc>
          <w:tcPr>
            <w:tcW w:w="2122" w:type="dxa"/>
            <w:vAlign w:val="center"/>
          </w:tcPr>
          <w:p w14:paraId="58C36402" w14:textId="77777777" w:rsidR="00B2442D" w:rsidRDefault="00B2442D">
            <w:pPr>
              <w:rPr>
                <w:rFonts w:ascii="Arial" w:hAnsi="Arial" w:cs="Arial"/>
              </w:rPr>
            </w:pPr>
          </w:p>
        </w:tc>
        <w:tc>
          <w:tcPr>
            <w:tcW w:w="1417" w:type="dxa"/>
            <w:vAlign w:val="center"/>
          </w:tcPr>
          <w:p w14:paraId="5AE08428" w14:textId="77777777" w:rsidR="00B2442D" w:rsidRDefault="008A645F">
            <w:pPr>
              <w:jc w:val="center"/>
              <w:rPr>
                <w:rFonts w:ascii="Arial" w:hAnsi="Arial" w:cs="Arial"/>
              </w:rPr>
            </w:pPr>
            <w:r>
              <w:rPr>
                <w:rFonts w:ascii="Arial" w:hAnsi="Arial" w:cs="Arial"/>
              </w:rPr>
              <w:t>2421</w:t>
            </w:r>
          </w:p>
        </w:tc>
        <w:tc>
          <w:tcPr>
            <w:tcW w:w="2845" w:type="dxa"/>
            <w:vAlign w:val="center"/>
          </w:tcPr>
          <w:p w14:paraId="723ACDCB" w14:textId="77777777" w:rsidR="00B2442D" w:rsidRDefault="008A645F">
            <w:pPr>
              <w:jc w:val="both"/>
              <w:rPr>
                <w:rFonts w:ascii="Arial" w:hAnsi="Arial" w:cs="Arial"/>
              </w:rPr>
            </w:pPr>
            <w:r>
              <w:rPr>
                <w:rFonts w:ascii="Arial" w:hAnsi="Arial" w:cs="Arial"/>
              </w:rPr>
              <w:t>Industrias básicas de metales preciosos</w:t>
            </w:r>
          </w:p>
        </w:tc>
        <w:tc>
          <w:tcPr>
            <w:tcW w:w="1276" w:type="dxa"/>
            <w:vMerge/>
            <w:vAlign w:val="center"/>
          </w:tcPr>
          <w:p w14:paraId="54F5C7BA" w14:textId="77777777" w:rsidR="00B2442D" w:rsidRDefault="00B2442D">
            <w:pPr>
              <w:rPr>
                <w:rFonts w:ascii="Arial" w:hAnsi="Arial" w:cs="Arial"/>
              </w:rPr>
            </w:pPr>
          </w:p>
        </w:tc>
        <w:tc>
          <w:tcPr>
            <w:tcW w:w="1276" w:type="dxa"/>
            <w:vMerge/>
          </w:tcPr>
          <w:p w14:paraId="73FC0275" w14:textId="77777777" w:rsidR="00B2442D" w:rsidRDefault="00B2442D">
            <w:pPr>
              <w:rPr>
                <w:rFonts w:ascii="Arial" w:hAnsi="Arial" w:cs="Arial"/>
              </w:rPr>
            </w:pPr>
          </w:p>
        </w:tc>
      </w:tr>
      <w:tr w:rsidR="00B2442D" w14:paraId="08E16106" w14:textId="77777777">
        <w:tc>
          <w:tcPr>
            <w:tcW w:w="2122" w:type="dxa"/>
            <w:vAlign w:val="center"/>
          </w:tcPr>
          <w:p w14:paraId="1A25C729" w14:textId="77777777" w:rsidR="00B2442D" w:rsidRDefault="00B2442D">
            <w:pPr>
              <w:rPr>
                <w:rFonts w:ascii="Arial" w:hAnsi="Arial" w:cs="Arial"/>
              </w:rPr>
            </w:pPr>
          </w:p>
        </w:tc>
        <w:tc>
          <w:tcPr>
            <w:tcW w:w="1417" w:type="dxa"/>
            <w:vAlign w:val="center"/>
          </w:tcPr>
          <w:p w14:paraId="36563461" w14:textId="77777777" w:rsidR="00B2442D" w:rsidRDefault="008A645F">
            <w:pPr>
              <w:jc w:val="center"/>
              <w:rPr>
                <w:rFonts w:ascii="Arial" w:hAnsi="Arial" w:cs="Arial"/>
              </w:rPr>
            </w:pPr>
            <w:r>
              <w:rPr>
                <w:rFonts w:ascii="Arial" w:hAnsi="Arial" w:cs="Arial"/>
              </w:rPr>
              <w:t>2429</w:t>
            </w:r>
          </w:p>
        </w:tc>
        <w:tc>
          <w:tcPr>
            <w:tcW w:w="2845" w:type="dxa"/>
            <w:vAlign w:val="center"/>
          </w:tcPr>
          <w:p w14:paraId="242447D4" w14:textId="77777777" w:rsidR="00B2442D" w:rsidRDefault="008A645F">
            <w:pPr>
              <w:jc w:val="both"/>
              <w:rPr>
                <w:rFonts w:ascii="Arial" w:hAnsi="Arial" w:cs="Arial"/>
              </w:rPr>
            </w:pPr>
            <w:r>
              <w:rPr>
                <w:rFonts w:ascii="Arial" w:hAnsi="Arial" w:cs="Arial"/>
              </w:rPr>
              <w:t>Industrias básicas de otros metales no ferrosos</w:t>
            </w:r>
          </w:p>
        </w:tc>
        <w:tc>
          <w:tcPr>
            <w:tcW w:w="1276" w:type="dxa"/>
            <w:vMerge/>
            <w:vAlign w:val="center"/>
          </w:tcPr>
          <w:p w14:paraId="1EE45AA6" w14:textId="77777777" w:rsidR="00B2442D" w:rsidRDefault="00B2442D">
            <w:pPr>
              <w:rPr>
                <w:rFonts w:ascii="Arial" w:hAnsi="Arial" w:cs="Arial"/>
              </w:rPr>
            </w:pPr>
          </w:p>
        </w:tc>
        <w:tc>
          <w:tcPr>
            <w:tcW w:w="1276" w:type="dxa"/>
            <w:vMerge/>
          </w:tcPr>
          <w:p w14:paraId="3976427C" w14:textId="77777777" w:rsidR="00B2442D" w:rsidRDefault="00B2442D">
            <w:pPr>
              <w:rPr>
                <w:rFonts w:ascii="Arial" w:hAnsi="Arial" w:cs="Arial"/>
              </w:rPr>
            </w:pPr>
          </w:p>
        </w:tc>
      </w:tr>
      <w:tr w:rsidR="00B2442D" w14:paraId="157AE633" w14:textId="77777777">
        <w:tc>
          <w:tcPr>
            <w:tcW w:w="2122" w:type="dxa"/>
            <w:vAlign w:val="center"/>
          </w:tcPr>
          <w:p w14:paraId="4953CBB7" w14:textId="77777777" w:rsidR="00B2442D" w:rsidRDefault="00B2442D">
            <w:pPr>
              <w:rPr>
                <w:rFonts w:ascii="Arial" w:hAnsi="Arial" w:cs="Arial"/>
              </w:rPr>
            </w:pPr>
          </w:p>
        </w:tc>
        <w:tc>
          <w:tcPr>
            <w:tcW w:w="1417" w:type="dxa"/>
            <w:vAlign w:val="center"/>
          </w:tcPr>
          <w:p w14:paraId="2EBB0F96" w14:textId="77777777" w:rsidR="00B2442D" w:rsidRDefault="008A645F">
            <w:pPr>
              <w:jc w:val="center"/>
              <w:rPr>
                <w:rFonts w:ascii="Arial" w:hAnsi="Arial" w:cs="Arial"/>
              </w:rPr>
            </w:pPr>
            <w:r>
              <w:rPr>
                <w:rFonts w:ascii="Arial" w:hAnsi="Arial" w:cs="Arial"/>
              </w:rPr>
              <w:t>2431</w:t>
            </w:r>
          </w:p>
        </w:tc>
        <w:tc>
          <w:tcPr>
            <w:tcW w:w="2845" w:type="dxa"/>
            <w:vAlign w:val="center"/>
          </w:tcPr>
          <w:p w14:paraId="5951BABE" w14:textId="77777777" w:rsidR="00B2442D" w:rsidRDefault="008A645F">
            <w:pPr>
              <w:jc w:val="both"/>
              <w:rPr>
                <w:rFonts w:ascii="Arial" w:hAnsi="Arial" w:cs="Arial"/>
              </w:rPr>
            </w:pPr>
            <w:r>
              <w:rPr>
                <w:rFonts w:ascii="Arial" w:hAnsi="Arial" w:cs="Arial"/>
              </w:rPr>
              <w:t>Fundición de hierro y de acero</w:t>
            </w:r>
          </w:p>
        </w:tc>
        <w:tc>
          <w:tcPr>
            <w:tcW w:w="1276" w:type="dxa"/>
            <w:vMerge/>
            <w:vAlign w:val="center"/>
          </w:tcPr>
          <w:p w14:paraId="2F75EF47" w14:textId="77777777" w:rsidR="00B2442D" w:rsidRDefault="00B2442D">
            <w:pPr>
              <w:rPr>
                <w:rFonts w:ascii="Arial" w:hAnsi="Arial" w:cs="Arial"/>
              </w:rPr>
            </w:pPr>
          </w:p>
        </w:tc>
        <w:tc>
          <w:tcPr>
            <w:tcW w:w="1276" w:type="dxa"/>
            <w:vMerge/>
          </w:tcPr>
          <w:p w14:paraId="5A6951FB" w14:textId="77777777" w:rsidR="00B2442D" w:rsidRDefault="00B2442D">
            <w:pPr>
              <w:rPr>
                <w:rFonts w:ascii="Arial" w:hAnsi="Arial" w:cs="Arial"/>
              </w:rPr>
            </w:pPr>
          </w:p>
        </w:tc>
      </w:tr>
      <w:tr w:rsidR="00B2442D" w14:paraId="4E8FF163" w14:textId="77777777">
        <w:tc>
          <w:tcPr>
            <w:tcW w:w="2122" w:type="dxa"/>
            <w:vAlign w:val="center"/>
          </w:tcPr>
          <w:p w14:paraId="26DDE81A" w14:textId="77777777" w:rsidR="00B2442D" w:rsidRDefault="00B2442D">
            <w:pPr>
              <w:rPr>
                <w:rFonts w:ascii="Arial" w:hAnsi="Arial" w:cs="Arial"/>
              </w:rPr>
            </w:pPr>
          </w:p>
        </w:tc>
        <w:tc>
          <w:tcPr>
            <w:tcW w:w="1417" w:type="dxa"/>
            <w:vAlign w:val="center"/>
          </w:tcPr>
          <w:p w14:paraId="2A1E026A" w14:textId="77777777" w:rsidR="00B2442D" w:rsidRDefault="008A645F">
            <w:pPr>
              <w:jc w:val="center"/>
              <w:rPr>
                <w:rFonts w:ascii="Arial" w:hAnsi="Arial" w:cs="Arial"/>
              </w:rPr>
            </w:pPr>
            <w:r>
              <w:rPr>
                <w:rFonts w:ascii="Arial" w:hAnsi="Arial" w:cs="Arial"/>
              </w:rPr>
              <w:t>2432</w:t>
            </w:r>
          </w:p>
        </w:tc>
        <w:tc>
          <w:tcPr>
            <w:tcW w:w="2845" w:type="dxa"/>
            <w:vAlign w:val="center"/>
          </w:tcPr>
          <w:p w14:paraId="5C4F7599" w14:textId="77777777" w:rsidR="00B2442D" w:rsidRDefault="008A645F">
            <w:pPr>
              <w:jc w:val="both"/>
              <w:rPr>
                <w:rFonts w:ascii="Arial" w:hAnsi="Arial" w:cs="Arial"/>
              </w:rPr>
            </w:pPr>
            <w:r>
              <w:rPr>
                <w:rFonts w:ascii="Arial" w:hAnsi="Arial" w:cs="Arial"/>
              </w:rPr>
              <w:t>Fundición de metales no ferrosos</w:t>
            </w:r>
          </w:p>
        </w:tc>
        <w:tc>
          <w:tcPr>
            <w:tcW w:w="1276" w:type="dxa"/>
            <w:vMerge/>
            <w:vAlign w:val="center"/>
          </w:tcPr>
          <w:p w14:paraId="6F5F474B" w14:textId="77777777" w:rsidR="00B2442D" w:rsidRDefault="00B2442D">
            <w:pPr>
              <w:rPr>
                <w:rFonts w:ascii="Arial" w:hAnsi="Arial" w:cs="Arial"/>
              </w:rPr>
            </w:pPr>
          </w:p>
        </w:tc>
        <w:tc>
          <w:tcPr>
            <w:tcW w:w="1276" w:type="dxa"/>
            <w:vMerge/>
          </w:tcPr>
          <w:p w14:paraId="353F0AD9" w14:textId="77777777" w:rsidR="00B2442D" w:rsidRDefault="00B2442D">
            <w:pPr>
              <w:rPr>
                <w:rFonts w:ascii="Arial" w:hAnsi="Arial" w:cs="Arial"/>
              </w:rPr>
            </w:pPr>
          </w:p>
        </w:tc>
      </w:tr>
      <w:tr w:rsidR="00B2442D" w14:paraId="6BB2B60A" w14:textId="77777777">
        <w:tc>
          <w:tcPr>
            <w:tcW w:w="2122" w:type="dxa"/>
            <w:vAlign w:val="center"/>
          </w:tcPr>
          <w:p w14:paraId="032C328B" w14:textId="77777777" w:rsidR="00B2442D" w:rsidRDefault="008A645F">
            <w:pPr>
              <w:rPr>
                <w:rFonts w:ascii="Arial" w:hAnsi="Arial" w:cs="Arial"/>
                <w:b/>
                <w:bCs/>
              </w:rPr>
            </w:pPr>
            <w:r>
              <w:rPr>
                <w:rFonts w:ascii="Arial" w:hAnsi="Arial" w:cs="Arial"/>
                <w:b/>
                <w:bCs/>
              </w:rPr>
              <w:t>Fabricación</w:t>
            </w:r>
            <w:r>
              <w:rPr>
                <w:rFonts w:ascii="Arial" w:hAnsi="Arial" w:cs="Arial"/>
                <w:b/>
                <w:bCs/>
              </w:rPr>
              <w:br/>
              <w:t>de sustancias</w:t>
            </w:r>
            <w:r>
              <w:rPr>
                <w:rFonts w:ascii="Arial" w:hAnsi="Arial" w:cs="Arial"/>
                <w:b/>
                <w:bCs/>
              </w:rPr>
              <w:br/>
              <w:t>químicas</w:t>
            </w:r>
          </w:p>
        </w:tc>
        <w:tc>
          <w:tcPr>
            <w:tcW w:w="1417" w:type="dxa"/>
            <w:vAlign w:val="center"/>
          </w:tcPr>
          <w:p w14:paraId="519BAE3A" w14:textId="77777777" w:rsidR="00B2442D" w:rsidRDefault="008A645F">
            <w:pPr>
              <w:jc w:val="center"/>
              <w:rPr>
                <w:rFonts w:ascii="Arial" w:hAnsi="Arial" w:cs="Arial"/>
              </w:rPr>
            </w:pPr>
            <w:r>
              <w:rPr>
                <w:rFonts w:ascii="Arial" w:hAnsi="Arial" w:cs="Arial"/>
              </w:rPr>
              <w:t>2011</w:t>
            </w:r>
          </w:p>
        </w:tc>
        <w:tc>
          <w:tcPr>
            <w:tcW w:w="2845" w:type="dxa"/>
          </w:tcPr>
          <w:p w14:paraId="5C77B599" w14:textId="77777777" w:rsidR="00B2442D" w:rsidRDefault="008A645F">
            <w:pPr>
              <w:jc w:val="both"/>
              <w:rPr>
                <w:rFonts w:ascii="Arial" w:hAnsi="Arial" w:cs="Arial"/>
              </w:rPr>
            </w:pPr>
            <w:r>
              <w:rPr>
                <w:rFonts w:ascii="Arial" w:hAnsi="Arial" w:cs="Arial"/>
              </w:rPr>
              <w:t>Fabricación de sustancias productos químicos básicos</w:t>
            </w:r>
          </w:p>
        </w:tc>
        <w:tc>
          <w:tcPr>
            <w:tcW w:w="1276" w:type="dxa"/>
            <w:vMerge w:val="restart"/>
            <w:vAlign w:val="center"/>
          </w:tcPr>
          <w:p w14:paraId="777E86D8" w14:textId="77777777" w:rsidR="00B2442D" w:rsidRDefault="008A645F">
            <w:pPr>
              <w:rPr>
                <w:rFonts w:ascii="Arial" w:hAnsi="Arial" w:cs="Arial"/>
              </w:rPr>
            </w:pPr>
            <w:r>
              <w:rPr>
                <w:rFonts w:ascii="Arial" w:hAnsi="Arial" w:cs="Arial"/>
              </w:rPr>
              <w:t>4.549</w:t>
            </w:r>
            <w:r>
              <w:rPr>
                <w:rFonts w:ascii="Arial" w:hAnsi="Arial" w:cs="Arial"/>
              </w:rPr>
              <w:br/>
              <w:t>UVT</w:t>
            </w:r>
          </w:p>
        </w:tc>
        <w:tc>
          <w:tcPr>
            <w:tcW w:w="1276" w:type="dxa"/>
            <w:vMerge w:val="restart"/>
            <w:vAlign w:val="center"/>
          </w:tcPr>
          <w:p w14:paraId="4C080B9F" w14:textId="77777777" w:rsidR="00B2442D" w:rsidRDefault="008A645F">
            <w:pPr>
              <w:rPr>
                <w:rFonts w:ascii="Arial" w:hAnsi="Arial" w:cs="Arial"/>
              </w:rPr>
            </w:pPr>
            <w:r>
              <w:rPr>
                <w:rFonts w:ascii="Arial" w:hAnsi="Arial" w:cs="Arial"/>
              </w:rPr>
              <w:t>2,77% * (RGA</w:t>
            </w:r>
            <w:r>
              <w:rPr>
                <w:rFonts w:ascii="Arial" w:hAnsi="Arial" w:cs="Arial"/>
              </w:rPr>
              <w:br/>
              <w:t>en UVT –</w:t>
            </w:r>
            <w:r>
              <w:rPr>
                <w:rFonts w:ascii="Arial" w:hAnsi="Arial" w:cs="Arial"/>
              </w:rPr>
              <w:br/>
              <w:t>4.549)</w:t>
            </w:r>
          </w:p>
        </w:tc>
      </w:tr>
      <w:tr w:rsidR="00B2442D" w14:paraId="54BB96BF" w14:textId="77777777">
        <w:tc>
          <w:tcPr>
            <w:tcW w:w="2122" w:type="dxa"/>
            <w:vAlign w:val="center"/>
          </w:tcPr>
          <w:p w14:paraId="41FE9153" w14:textId="77777777" w:rsidR="00B2442D" w:rsidRDefault="00B2442D">
            <w:pPr>
              <w:rPr>
                <w:rFonts w:ascii="Arial" w:hAnsi="Arial" w:cs="Arial"/>
              </w:rPr>
            </w:pPr>
          </w:p>
        </w:tc>
        <w:tc>
          <w:tcPr>
            <w:tcW w:w="1417" w:type="dxa"/>
            <w:vAlign w:val="center"/>
          </w:tcPr>
          <w:p w14:paraId="5E19E203" w14:textId="77777777" w:rsidR="00B2442D" w:rsidRDefault="008A645F">
            <w:pPr>
              <w:jc w:val="center"/>
              <w:rPr>
                <w:rFonts w:ascii="Arial" w:hAnsi="Arial" w:cs="Arial"/>
              </w:rPr>
            </w:pPr>
            <w:r>
              <w:rPr>
                <w:rFonts w:ascii="Arial" w:hAnsi="Arial" w:cs="Arial"/>
              </w:rPr>
              <w:t>2012</w:t>
            </w:r>
          </w:p>
        </w:tc>
        <w:tc>
          <w:tcPr>
            <w:tcW w:w="2845" w:type="dxa"/>
          </w:tcPr>
          <w:p w14:paraId="22006429" w14:textId="77777777" w:rsidR="00B2442D" w:rsidRDefault="008A645F">
            <w:pPr>
              <w:jc w:val="both"/>
              <w:rPr>
                <w:rFonts w:ascii="Arial" w:hAnsi="Arial" w:cs="Arial"/>
              </w:rPr>
            </w:pPr>
            <w:r>
              <w:rPr>
                <w:rFonts w:ascii="Arial" w:hAnsi="Arial" w:cs="Arial"/>
              </w:rPr>
              <w:t xml:space="preserve">Fabricación de abonos y </w:t>
            </w:r>
            <w:r>
              <w:rPr>
                <w:rFonts w:ascii="Arial" w:hAnsi="Arial" w:cs="Arial"/>
              </w:rPr>
              <w:t>compuestos inorgánicos nitrogenados</w:t>
            </w:r>
          </w:p>
        </w:tc>
        <w:tc>
          <w:tcPr>
            <w:tcW w:w="1276" w:type="dxa"/>
            <w:vMerge/>
            <w:vAlign w:val="center"/>
          </w:tcPr>
          <w:p w14:paraId="040F2EEC" w14:textId="77777777" w:rsidR="00B2442D" w:rsidRDefault="00B2442D">
            <w:pPr>
              <w:rPr>
                <w:rFonts w:ascii="Arial" w:hAnsi="Arial" w:cs="Arial"/>
              </w:rPr>
            </w:pPr>
          </w:p>
        </w:tc>
        <w:tc>
          <w:tcPr>
            <w:tcW w:w="1276" w:type="dxa"/>
            <w:vMerge/>
          </w:tcPr>
          <w:p w14:paraId="5587C5C9" w14:textId="77777777" w:rsidR="00B2442D" w:rsidRDefault="00B2442D">
            <w:pPr>
              <w:rPr>
                <w:rFonts w:ascii="Arial" w:hAnsi="Arial" w:cs="Arial"/>
              </w:rPr>
            </w:pPr>
          </w:p>
        </w:tc>
      </w:tr>
      <w:tr w:rsidR="00B2442D" w14:paraId="73635972" w14:textId="77777777">
        <w:tc>
          <w:tcPr>
            <w:tcW w:w="2122" w:type="dxa"/>
            <w:vAlign w:val="center"/>
          </w:tcPr>
          <w:p w14:paraId="3B92F85A" w14:textId="77777777" w:rsidR="00B2442D" w:rsidRDefault="00B2442D">
            <w:pPr>
              <w:rPr>
                <w:rFonts w:ascii="Arial" w:hAnsi="Arial" w:cs="Arial"/>
              </w:rPr>
            </w:pPr>
          </w:p>
        </w:tc>
        <w:tc>
          <w:tcPr>
            <w:tcW w:w="1417" w:type="dxa"/>
            <w:vAlign w:val="center"/>
          </w:tcPr>
          <w:p w14:paraId="104E5BCE" w14:textId="77777777" w:rsidR="00B2442D" w:rsidRDefault="008A645F">
            <w:pPr>
              <w:jc w:val="center"/>
              <w:rPr>
                <w:rFonts w:ascii="Arial" w:hAnsi="Arial" w:cs="Arial"/>
              </w:rPr>
            </w:pPr>
            <w:r>
              <w:rPr>
                <w:rFonts w:ascii="Arial" w:hAnsi="Arial" w:cs="Arial"/>
              </w:rPr>
              <w:t>2013</w:t>
            </w:r>
          </w:p>
        </w:tc>
        <w:tc>
          <w:tcPr>
            <w:tcW w:w="2845" w:type="dxa"/>
            <w:vAlign w:val="center"/>
          </w:tcPr>
          <w:p w14:paraId="2924AFC6" w14:textId="77777777" w:rsidR="00B2442D" w:rsidRDefault="008A645F">
            <w:pPr>
              <w:jc w:val="both"/>
              <w:rPr>
                <w:rFonts w:ascii="Arial" w:hAnsi="Arial" w:cs="Arial"/>
              </w:rPr>
            </w:pPr>
            <w:r>
              <w:rPr>
                <w:rFonts w:ascii="Arial" w:hAnsi="Arial" w:cs="Arial"/>
              </w:rPr>
              <w:t>Fabricación de plásticos en formas primarias</w:t>
            </w:r>
          </w:p>
        </w:tc>
        <w:tc>
          <w:tcPr>
            <w:tcW w:w="1276" w:type="dxa"/>
            <w:vMerge/>
            <w:vAlign w:val="center"/>
          </w:tcPr>
          <w:p w14:paraId="7F7812C5" w14:textId="77777777" w:rsidR="00B2442D" w:rsidRDefault="00B2442D">
            <w:pPr>
              <w:rPr>
                <w:rFonts w:ascii="Arial" w:hAnsi="Arial" w:cs="Arial"/>
              </w:rPr>
            </w:pPr>
          </w:p>
        </w:tc>
        <w:tc>
          <w:tcPr>
            <w:tcW w:w="1276" w:type="dxa"/>
            <w:vMerge/>
          </w:tcPr>
          <w:p w14:paraId="3C751996" w14:textId="77777777" w:rsidR="00B2442D" w:rsidRDefault="00B2442D">
            <w:pPr>
              <w:rPr>
                <w:rFonts w:ascii="Arial" w:hAnsi="Arial" w:cs="Arial"/>
              </w:rPr>
            </w:pPr>
          </w:p>
        </w:tc>
      </w:tr>
      <w:tr w:rsidR="00B2442D" w14:paraId="4B58EF8A" w14:textId="77777777">
        <w:tc>
          <w:tcPr>
            <w:tcW w:w="2122" w:type="dxa"/>
            <w:vAlign w:val="center"/>
          </w:tcPr>
          <w:p w14:paraId="456B4EF8" w14:textId="77777777" w:rsidR="00B2442D" w:rsidRDefault="00B2442D">
            <w:pPr>
              <w:rPr>
                <w:rFonts w:ascii="Arial" w:hAnsi="Arial" w:cs="Arial"/>
              </w:rPr>
            </w:pPr>
          </w:p>
        </w:tc>
        <w:tc>
          <w:tcPr>
            <w:tcW w:w="1417" w:type="dxa"/>
            <w:vAlign w:val="center"/>
          </w:tcPr>
          <w:p w14:paraId="40C150F1" w14:textId="77777777" w:rsidR="00B2442D" w:rsidRDefault="008A645F">
            <w:pPr>
              <w:jc w:val="center"/>
              <w:rPr>
                <w:rFonts w:ascii="Arial" w:hAnsi="Arial" w:cs="Arial"/>
              </w:rPr>
            </w:pPr>
            <w:r>
              <w:rPr>
                <w:rFonts w:ascii="Arial" w:hAnsi="Arial" w:cs="Arial"/>
              </w:rPr>
              <w:t>2014</w:t>
            </w:r>
          </w:p>
        </w:tc>
        <w:tc>
          <w:tcPr>
            <w:tcW w:w="2845" w:type="dxa"/>
            <w:vAlign w:val="center"/>
          </w:tcPr>
          <w:p w14:paraId="534B0704" w14:textId="77777777" w:rsidR="00B2442D" w:rsidRDefault="008A645F">
            <w:pPr>
              <w:jc w:val="both"/>
              <w:rPr>
                <w:rFonts w:ascii="Arial" w:hAnsi="Arial" w:cs="Arial"/>
              </w:rPr>
            </w:pPr>
            <w:r>
              <w:rPr>
                <w:rFonts w:ascii="Arial" w:hAnsi="Arial" w:cs="Arial"/>
              </w:rPr>
              <w:t>Fabricación de caucho sintético en formas primarias</w:t>
            </w:r>
          </w:p>
        </w:tc>
        <w:tc>
          <w:tcPr>
            <w:tcW w:w="1276" w:type="dxa"/>
            <w:vMerge/>
            <w:vAlign w:val="center"/>
          </w:tcPr>
          <w:p w14:paraId="0058F9A7" w14:textId="77777777" w:rsidR="00B2442D" w:rsidRDefault="00B2442D">
            <w:pPr>
              <w:rPr>
                <w:rFonts w:ascii="Arial" w:hAnsi="Arial" w:cs="Arial"/>
              </w:rPr>
            </w:pPr>
          </w:p>
        </w:tc>
        <w:tc>
          <w:tcPr>
            <w:tcW w:w="1276" w:type="dxa"/>
            <w:vMerge/>
          </w:tcPr>
          <w:p w14:paraId="706E1CEF" w14:textId="77777777" w:rsidR="00B2442D" w:rsidRDefault="00B2442D">
            <w:pPr>
              <w:rPr>
                <w:rFonts w:ascii="Arial" w:hAnsi="Arial" w:cs="Arial"/>
              </w:rPr>
            </w:pPr>
          </w:p>
        </w:tc>
      </w:tr>
      <w:tr w:rsidR="00B2442D" w14:paraId="683DC311" w14:textId="77777777">
        <w:tc>
          <w:tcPr>
            <w:tcW w:w="2122" w:type="dxa"/>
            <w:vAlign w:val="center"/>
          </w:tcPr>
          <w:p w14:paraId="2DEA6CF5" w14:textId="77777777" w:rsidR="00B2442D" w:rsidRDefault="00B2442D">
            <w:pPr>
              <w:rPr>
                <w:rFonts w:ascii="Arial" w:hAnsi="Arial" w:cs="Arial"/>
              </w:rPr>
            </w:pPr>
          </w:p>
        </w:tc>
        <w:tc>
          <w:tcPr>
            <w:tcW w:w="1417" w:type="dxa"/>
            <w:vAlign w:val="center"/>
          </w:tcPr>
          <w:p w14:paraId="1562B518" w14:textId="77777777" w:rsidR="00B2442D" w:rsidRDefault="008A645F">
            <w:pPr>
              <w:jc w:val="center"/>
              <w:rPr>
                <w:rFonts w:ascii="Arial" w:hAnsi="Arial" w:cs="Arial"/>
              </w:rPr>
            </w:pPr>
            <w:r>
              <w:rPr>
                <w:rFonts w:ascii="Arial" w:hAnsi="Arial" w:cs="Arial"/>
              </w:rPr>
              <w:t>2021</w:t>
            </w:r>
          </w:p>
        </w:tc>
        <w:tc>
          <w:tcPr>
            <w:tcW w:w="2845" w:type="dxa"/>
          </w:tcPr>
          <w:p w14:paraId="06CA1524" w14:textId="77777777" w:rsidR="00B2442D" w:rsidRDefault="008A645F">
            <w:pPr>
              <w:jc w:val="both"/>
              <w:rPr>
                <w:rFonts w:ascii="Arial" w:hAnsi="Arial" w:cs="Arial"/>
              </w:rPr>
            </w:pPr>
            <w:r>
              <w:rPr>
                <w:rFonts w:ascii="Arial" w:hAnsi="Arial" w:cs="Arial"/>
              </w:rPr>
              <w:t>Fabricación de plaguicidas y otros productos</w:t>
            </w:r>
            <w:r>
              <w:rPr>
                <w:rFonts w:ascii="Arial" w:hAnsi="Arial" w:cs="Arial"/>
              </w:rPr>
              <w:br/>
              <w:t>químicos de uso agropecuario</w:t>
            </w:r>
          </w:p>
        </w:tc>
        <w:tc>
          <w:tcPr>
            <w:tcW w:w="1276" w:type="dxa"/>
            <w:vMerge/>
            <w:vAlign w:val="center"/>
          </w:tcPr>
          <w:p w14:paraId="1199BB21" w14:textId="77777777" w:rsidR="00B2442D" w:rsidRDefault="00B2442D">
            <w:pPr>
              <w:rPr>
                <w:rFonts w:ascii="Arial" w:hAnsi="Arial" w:cs="Arial"/>
              </w:rPr>
            </w:pPr>
          </w:p>
        </w:tc>
        <w:tc>
          <w:tcPr>
            <w:tcW w:w="1276" w:type="dxa"/>
            <w:vMerge/>
          </w:tcPr>
          <w:p w14:paraId="51ACAB8B" w14:textId="77777777" w:rsidR="00B2442D" w:rsidRDefault="00B2442D">
            <w:pPr>
              <w:rPr>
                <w:rFonts w:ascii="Arial" w:hAnsi="Arial" w:cs="Arial"/>
              </w:rPr>
            </w:pPr>
          </w:p>
        </w:tc>
      </w:tr>
      <w:tr w:rsidR="00B2442D" w14:paraId="6845208E" w14:textId="77777777">
        <w:tc>
          <w:tcPr>
            <w:tcW w:w="2122" w:type="dxa"/>
            <w:vAlign w:val="center"/>
          </w:tcPr>
          <w:p w14:paraId="24715FA2" w14:textId="77777777" w:rsidR="00B2442D" w:rsidRDefault="00B2442D">
            <w:pPr>
              <w:rPr>
                <w:rFonts w:ascii="Arial" w:hAnsi="Arial" w:cs="Arial"/>
              </w:rPr>
            </w:pPr>
          </w:p>
        </w:tc>
        <w:tc>
          <w:tcPr>
            <w:tcW w:w="1417" w:type="dxa"/>
            <w:vAlign w:val="center"/>
          </w:tcPr>
          <w:p w14:paraId="2C6E9861" w14:textId="77777777" w:rsidR="00B2442D" w:rsidRDefault="008A645F">
            <w:pPr>
              <w:jc w:val="center"/>
              <w:rPr>
                <w:rFonts w:ascii="Arial" w:hAnsi="Arial" w:cs="Arial"/>
              </w:rPr>
            </w:pPr>
            <w:r>
              <w:rPr>
                <w:rFonts w:ascii="Arial" w:hAnsi="Arial" w:cs="Arial"/>
              </w:rPr>
              <w:t>2022</w:t>
            </w:r>
          </w:p>
        </w:tc>
        <w:tc>
          <w:tcPr>
            <w:tcW w:w="2845" w:type="dxa"/>
          </w:tcPr>
          <w:p w14:paraId="29D88281" w14:textId="77777777" w:rsidR="00B2442D" w:rsidRDefault="008A645F">
            <w:pPr>
              <w:jc w:val="both"/>
              <w:rPr>
                <w:rFonts w:ascii="Arial" w:hAnsi="Arial" w:cs="Arial"/>
              </w:rPr>
            </w:pPr>
            <w:r>
              <w:rPr>
                <w:rFonts w:ascii="Arial" w:hAnsi="Arial" w:cs="Arial"/>
              </w:rPr>
              <w:t>Fabricación de pinturas, barnices y revestimientos similares, tintas para impresión y masillas</w:t>
            </w:r>
          </w:p>
        </w:tc>
        <w:tc>
          <w:tcPr>
            <w:tcW w:w="1276" w:type="dxa"/>
            <w:vMerge/>
            <w:vAlign w:val="center"/>
          </w:tcPr>
          <w:p w14:paraId="72134A5B" w14:textId="77777777" w:rsidR="00B2442D" w:rsidRDefault="00B2442D">
            <w:pPr>
              <w:rPr>
                <w:rFonts w:ascii="Arial" w:hAnsi="Arial" w:cs="Arial"/>
              </w:rPr>
            </w:pPr>
          </w:p>
        </w:tc>
        <w:tc>
          <w:tcPr>
            <w:tcW w:w="1276" w:type="dxa"/>
            <w:vMerge/>
          </w:tcPr>
          <w:p w14:paraId="69186770" w14:textId="77777777" w:rsidR="00B2442D" w:rsidRDefault="00B2442D">
            <w:pPr>
              <w:rPr>
                <w:rFonts w:ascii="Arial" w:hAnsi="Arial" w:cs="Arial"/>
              </w:rPr>
            </w:pPr>
          </w:p>
        </w:tc>
      </w:tr>
      <w:tr w:rsidR="00B2442D" w14:paraId="2F48B1AA" w14:textId="77777777">
        <w:tc>
          <w:tcPr>
            <w:tcW w:w="2122" w:type="dxa"/>
            <w:vAlign w:val="center"/>
          </w:tcPr>
          <w:p w14:paraId="3EFEE4DE" w14:textId="77777777" w:rsidR="00B2442D" w:rsidRDefault="00B2442D">
            <w:pPr>
              <w:rPr>
                <w:rFonts w:ascii="Arial" w:hAnsi="Arial" w:cs="Arial"/>
              </w:rPr>
            </w:pPr>
          </w:p>
        </w:tc>
        <w:tc>
          <w:tcPr>
            <w:tcW w:w="1417" w:type="dxa"/>
            <w:vAlign w:val="center"/>
          </w:tcPr>
          <w:p w14:paraId="539EE719" w14:textId="77777777" w:rsidR="00B2442D" w:rsidRDefault="008A645F">
            <w:pPr>
              <w:jc w:val="center"/>
              <w:rPr>
                <w:rFonts w:ascii="Arial" w:hAnsi="Arial" w:cs="Arial"/>
              </w:rPr>
            </w:pPr>
            <w:r>
              <w:rPr>
                <w:rFonts w:ascii="Arial" w:hAnsi="Arial" w:cs="Arial"/>
              </w:rPr>
              <w:t>2023</w:t>
            </w:r>
          </w:p>
        </w:tc>
        <w:tc>
          <w:tcPr>
            <w:tcW w:w="2845" w:type="dxa"/>
          </w:tcPr>
          <w:p w14:paraId="12148ABE" w14:textId="77777777" w:rsidR="00B2442D" w:rsidRDefault="008A645F">
            <w:pPr>
              <w:jc w:val="both"/>
              <w:rPr>
                <w:rFonts w:ascii="Arial" w:hAnsi="Arial" w:cs="Arial"/>
              </w:rPr>
            </w:pPr>
            <w:r>
              <w:rPr>
                <w:rFonts w:ascii="Arial" w:hAnsi="Arial" w:cs="Arial"/>
              </w:rPr>
              <w:t>Fabricación de jabones y detergentes, preparados para limpiar y pulir; perfumes y preparados de tocador</w:t>
            </w:r>
          </w:p>
        </w:tc>
        <w:tc>
          <w:tcPr>
            <w:tcW w:w="1276" w:type="dxa"/>
            <w:vMerge/>
          </w:tcPr>
          <w:p w14:paraId="391B5AA3" w14:textId="77777777" w:rsidR="00B2442D" w:rsidRDefault="00B2442D">
            <w:pPr>
              <w:rPr>
                <w:rFonts w:ascii="Arial" w:hAnsi="Arial" w:cs="Arial"/>
              </w:rPr>
            </w:pPr>
          </w:p>
        </w:tc>
        <w:tc>
          <w:tcPr>
            <w:tcW w:w="1276" w:type="dxa"/>
            <w:vMerge/>
          </w:tcPr>
          <w:p w14:paraId="69710138" w14:textId="77777777" w:rsidR="00B2442D" w:rsidRDefault="00B2442D">
            <w:pPr>
              <w:rPr>
                <w:rFonts w:ascii="Arial" w:hAnsi="Arial" w:cs="Arial"/>
              </w:rPr>
            </w:pPr>
          </w:p>
        </w:tc>
      </w:tr>
      <w:tr w:rsidR="00B2442D" w14:paraId="17BF6E0C" w14:textId="77777777">
        <w:tc>
          <w:tcPr>
            <w:tcW w:w="2122" w:type="dxa"/>
            <w:vAlign w:val="center"/>
          </w:tcPr>
          <w:p w14:paraId="12D484F4" w14:textId="77777777" w:rsidR="00B2442D" w:rsidRDefault="00B2442D">
            <w:pPr>
              <w:rPr>
                <w:rFonts w:ascii="Arial" w:hAnsi="Arial" w:cs="Arial"/>
              </w:rPr>
            </w:pPr>
          </w:p>
        </w:tc>
        <w:tc>
          <w:tcPr>
            <w:tcW w:w="1417" w:type="dxa"/>
            <w:vAlign w:val="center"/>
          </w:tcPr>
          <w:p w14:paraId="7DFD2EF9" w14:textId="77777777" w:rsidR="00B2442D" w:rsidRDefault="008A645F">
            <w:pPr>
              <w:jc w:val="center"/>
              <w:rPr>
                <w:rFonts w:ascii="Arial" w:hAnsi="Arial" w:cs="Arial"/>
              </w:rPr>
            </w:pPr>
            <w:r>
              <w:rPr>
                <w:rFonts w:ascii="Arial" w:hAnsi="Arial" w:cs="Arial"/>
              </w:rPr>
              <w:t>2029</w:t>
            </w:r>
          </w:p>
        </w:tc>
        <w:tc>
          <w:tcPr>
            <w:tcW w:w="2845" w:type="dxa"/>
            <w:vAlign w:val="center"/>
          </w:tcPr>
          <w:p w14:paraId="74FFF858" w14:textId="77777777" w:rsidR="00B2442D" w:rsidRDefault="008A645F">
            <w:pPr>
              <w:jc w:val="both"/>
              <w:rPr>
                <w:rFonts w:ascii="Arial" w:hAnsi="Arial" w:cs="Arial"/>
              </w:rPr>
            </w:pPr>
            <w:r>
              <w:rPr>
                <w:rFonts w:ascii="Arial" w:hAnsi="Arial" w:cs="Arial"/>
              </w:rPr>
              <w:t xml:space="preserve">Fabricación de otros productos </w:t>
            </w:r>
            <w:r>
              <w:rPr>
                <w:rFonts w:ascii="Arial" w:hAnsi="Arial" w:cs="Arial"/>
              </w:rPr>
              <w:t>químicos n.c.p.</w:t>
            </w:r>
          </w:p>
        </w:tc>
        <w:tc>
          <w:tcPr>
            <w:tcW w:w="1276" w:type="dxa"/>
            <w:vMerge/>
            <w:vAlign w:val="center"/>
          </w:tcPr>
          <w:p w14:paraId="1AE74BC5" w14:textId="77777777" w:rsidR="00B2442D" w:rsidRDefault="00B2442D">
            <w:pPr>
              <w:rPr>
                <w:rFonts w:ascii="Arial" w:hAnsi="Arial" w:cs="Arial"/>
              </w:rPr>
            </w:pPr>
          </w:p>
        </w:tc>
        <w:tc>
          <w:tcPr>
            <w:tcW w:w="1276" w:type="dxa"/>
            <w:vMerge/>
          </w:tcPr>
          <w:p w14:paraId="36528B86" w14:textId="77777777" w:rsidR="00B2442D" w:rsidRDefault="00B2442D">
            <w:pPr>
              <w:rPr>
                <w:rFonts w:ascii="Arial" w:hAnsi="Arial" w:cs="Arial"/>
              </w:rPr>
            </w:pPr>
          </w:p>
        </w:tc>
      </w:tr>
      <w:tr w:rsidR="00B2442D" w14:paraId="4630CB0E" w14:textId="77777777">
        <w:tc>
          <w:tcPr>
            <w:tcW w:w="2122" w:type="dxa"/>
            <w:vAlign w:val="center"/>
          </w:tcPr>
          <w:p w14:paraId="25ED7816" w14:textId="77777777" w:rsidR="00B2442D" w:rsidRDefault="00B2442D">
            <w:pPr>
              <w:rPr>
                <w:rFonts w:ascii="Arial" w:hAnsi="Arial" w:cs="Arial"/>
              </w:rPr>
            </w:pPr>
          </w:p>
        </w:tc>
        <w:tc>
          <w:tcPr>
            <w:tcW w:w="1417" w:type="dxa"/>
            <w:vAlign w:val="center"/>
          </w:tcPr>
          <w:p w14:paraId="2224A089" w14:textId="77777777" w:rsidR="00B2442D" w:rsidRDefault="008A645F">
            <w:pPr>
              <w:jc w:val="center"/>
              <w:rPr>
                <w:rFonts w:ascii="Arial" w:hAnsi="Arial" w:cs="Arial"/>
              </w:rPr>
            </w:pPr>
            <w:r>
              <w:rPr>
                <w:rFonts w:ascii="Arial" w:hAnsi="Arial" w:cs="Arial"/>
              </w:rPr>
              <w:t>2030</w:t>
            </w:r>
          </w:p>
        </w:tc>
        <w:tc>
          <w:tcPr>
            <w:tcW w:w="2845" w:type="dxa"/>
            <w:vAlign w:val="center"/>
          </w:tcPr>
          <w:p w14:paraId="722F789D" w14:textId="77777777" w:rsidR="00B2442D" w:rsidRDefault="008A645F">
            <w:pPr>
              <w:jc w:val="both"/>
              <w:rPr>
                <w:rFonts w:ascii="Arial" w:hAnsi="Arial" w:cs="Arial"/>
              </w:rPr>
            </w:pPr>
            <w:r>
              <w:rPr>
                <w:rFonts w:ascii="Arial" w:hAnsi="Arial" w:cs="Arial"/>
              </w:rPr>
              <w:t>Fabricación de fibras sintéticas y artificiales</w:t>
            </w:r>
          </w:p>
        </w:tc>
        <w:tc>
          <w:tcPr>
            <w:tcW w:w="1276" w:type="dxa"/>
            <w:vMerge/>
            <w:vAlign w:val="center"/>
          </w:tcPr>
          <w:p w14:paraId="22331EDD" w14:textId="77777777" w:rsidR="00B2442D" w:rsidRDefault="00B2442D">
            <w:pPr>
              <w:rPr>
                <w:rFonts w:ascii="Arial" w:hAnsi="Arial" w:cs="Arial"/>
              </w:rPr>
            </w:pPr>
          </w:p>
        </w:tc>
        <w:tc>
          <w:tcPr>
            <w:tcW w:w="1276" w:type="dxa"/>
            <w:vMerge/>
          </w:tcPr>
          <w:p w14:paraId="1E33D9A2" w14:textId="77777777" w:rsidR="00B2442D" w:rsidRDefault="00B2442D">
            <w:pPr>
              <w:rPr>
                <w:rFonts w:ascii="Arial" w:hAnsi="Arial" w:cs="Arial"/>
              </w:rPr>
            </w:pPr>
          </w:p>
        </w:tc>
      </w:tr>
      <w:tr w:rsidR="00B2442D" w14:paraId="6E167E62" w14:textId="77777777">
        <w:tc>
          <w:tcPr>
            <w:tcW w:w="2122" w:type="dxa"/>
            <w:vAlign w:val="center"/>
          </w:tcPr>
          <w:p w14:paraId="58EAC28F" w14:textId="77777777" w:rsidR="00B2442D" w:rsidRDefault="00B2442D">
            <w:pPr>
              <w:rPr>
                <w:rFonts w:ascii="Arial" w:hAnsi="Arial" w:cs="Arial"/>
              </w:rPr>
            </w:pPr>
          </w:p>
        </w:tc>
        <w:tc>
          <w:tcPr>
            <w:tcW w:w="1417" w:type="dxa"/>
            <w:vAlign w:val="center"/>
          </w:tcPr>
          <w:p w14:paraId="4136C60F" w14:textId="77777777" w:rsidR="00B2442D" w:rsidRDefault="008A645F">
            <w:pPr>
              <w:jc w:val="center"/>
              <w:rPr>
                <w:rFonts w:ascii="Arial" w:hAnsi="Arial" w:cs="Arial"/>
              </w:rPr>
            </w:pPr>
            <w:r>
              <w:rPr>
                <w:rFonts w:ascii="Arial" w:hAnsi="Arial" w:cs="Arial"/>
              </w:rPr>
              <w:t>2100</w:t>
            </w:r>
          </w:p>
        </w:tc>
        <w:tc>
          <w:tcPr>
            <w:tcW w:w="2845" w:type="dxa"/>
          </w:tcPr>
          <w:p w14:paraId="6D590CAE" w14:textId="77777777" w:rsidR="00B2442D" w:rsidRDefault="008A645F">
            <w:pPr>
              <w:jc w:val="both"/>
              <w:rPr>
                <w:rFonts w:ascii="Arial" w:hAnsi="Arial" w:cs="Arial"/>
              </w:rPr>
            </w:pPr>
            <w:r>
              <w:rPr>
                <w:rFonts w:ascii="Arial" w:hAnsi="Arial" w:cs="Arial"/>
              </w:rPr>
              <w:t>Fabricación de productos farmacéuticos, sustancias químicas medicinales y productos botánicos de uso farmacéutico</w:t>
            </w:r>
          </w:p>
        </w:tc>
        <w:tc>
          <w:tcPr>
            <w:tcW w:w="1276" w:type="dxa"/>
            <w:vMerge/>
          </w:tcPr>
          <w:p w14:paraId="0C486A3F" w14:textId="77777777" w:rsidR="00B2442D" w:rsidRDefault="00B2442D">
            <w:pPr>
              <w:rPr>
                <w:rFonts w:ascii="Arial" w:hAnsi="Arial" w:cs="Arial"/>
              </w:rPr>
            </w:pPr>
          </w:p>
        </w:tc>
        <w:tc>
          <w:tcPr>
            <w:tcW w:w="1276" w:type="dxa"/>
            <w:vMerge/>
          </w:tcPr>
          <w:p w14:paraId="5120B041" w14:textId="77777777" w:rsidR="00B2442D" w:rsidRDefault="00B2442D">
            <w:pPr>
              <w:rPr>
                <w:rFonts w:ascii="Arial" w:hAnsi="Arial" w:cs="Arial"/>
              </w:rPr>
            </w:pPr>
          </w:p>
        </w:tc>
      </w:tr>
      <w:tr w:rsidR="00B2442D" w14:paraId="6676D774" w14:textId="77777777">
        <w:tc>
          <w:tcPr>
            <w:tcW w:w="2122" w:type="dxa"/>
            <w:vAlign w:val="center"/>
          </w:tcPr>
          <w:p w14:paraId="6FFB6E75" w14:textId="77777777" w:rsidR="00B2442D" w:rsidRDefault="008A645F">
            <w:pPr>
              <w:rPr>
                <w:rFonts w:ascii="Arial" w:hAnsi="Arial" w:cs="Arial"/>
                <w:b/>
                <w:bCs/>
              </w:rPr>
            </w:pPr>
            <w:r>
              <w:rPr>
                <w:rFonts w:ascii="Arial" w:hAnsi="Arial" w:cs="Arial"/>
                <w:b/>
                <w:bCs/>
              </w:rPr>
              <w:t>Industria de la</w:t>
            </w:r>
            <w:r>
              <w:rPr>
                <w:rFonts w:ascii="Arial" w:hAnsi="Arial" w:cs="Arial"/>
                <w:b/>
                <w:bCs/>
              </w:rPr>
              <w:br/>
              <w:t>madera, corcho</w:t>
            </w:r>
            <w:r>
              <w:rPr>
                <w:rFonts w:ascii="Arial" w:hAnsi="Arial" w:cs="Arial"/>
                <w:b/>
                <w:bCs/>
              </w:rPr>
              <w:br/>
              <w:t>y papel</w:t>
            </w:r>
          </w:p>
        </w:tc>
        <w:tc>
          <w:tcPr>
            <w:tcW w:w="1417" w:type="dxa"/>
            <w:vAlign w:val="center"/>
          </w:tcPr>
          <w:p w14:paraId="1BC97E42" w14:textId="77777777" w:rsidR="00B2442D" w:rsidRDefault="008A645F">
            <w:pPr>
              <w:jc w:val="center"/>
              <w:rPr>
                <w:rFonts w:ascii="Arial" w:hAnsi="Arial" w:cs="Arial"/>
              </w:rPr>
            </w:pPr>
            <w:r>
              <w:rPr>
                <w:rFonts w:ascii="Arial" w:hAnsi="Arial" w:cs="Arial"/>
              </w:rPr>
              <w:t>1610</w:t>
            </w:r>
          </w:p>
        </w:tc>
        <w:tc>
          <w:tcPr>
            <w:tcW w:w="2845" w:type="dxa"/>
            <w:vAlign w:val="center"/>
          </w:tcPr>
          <w:p w14:paraId="1BFD7847" w14:textId="77777777" w:rsidR="00B2442D" w:rsidRDefault="008A645F">
            <w:pPr>
              <w:jc w:val="both"/>
              <w:rPr>
                <w:rFonts w:ascii="Arial" w:hAnsi="Arial" w:cs="Arial"/>
              </w:rPr>
            </w:pPr>
            <w:r>
              <w:rPr>
                <w:rFonts w:ascii="Arial" w:hAnsi="Arial" w:cs="Arial"/>
              </w:rPr>
              <w:t>Aserrado, acepillado e impregnación de la madera</w:t>
            </w:r>
          </w:p>
        </w:tc>
        <w:tc>
          <w:tcPr>
            <w:tcW w:w="1276" w:type="dxa"/>
            <w:vMerge w:val="restart"/>
            <w:vAlign w:val="center"/>
          </w:tcPr>
          <w:p w14:paraId="65FC0E83" w14:textId="77777777" w:rsidR="00B2442D" w:rsidRDefault="008A645F">
            <w:pPr>
              <w:rPr>
                <w:rFonts w:ascii="Arial" w:hAnsi="Arial" w:cs="Arial"/>
              </w:rPr>
            </w:pPr>
            <w:r>
              <w:rPr>
                <w:rFonts w:ascii="Arial" w:hAnsi="Arial" w:cs="Arial"/>
              </w:rPr>
              <w:t>4.549</w:t>
            </w:r>
            <w:r>
              <w:rPr>
                <w:rFonts w:ascii="Arial" w:hAnsi="Arial" w:cs="Arial"/>
              </w:rPr>
              <w:br/>
              <w:t>UVT</w:t>
            </w:r>
          </w:p>
        </w:tc>
        <w:tc>
          <w:tcPr>
            <w:tcW w:w="1276" w:type="dxa"/>
            <w:vMerge w:val="restart"/>
            <w:vAlign w:val="center"/>
          </w:tcPr>
          <w:p w14:paraId="11C5A5D0" w14:textId="77777777" w:rsidR="00B2442D" w:rsidRDefault="008A645F">
            <w:pPr>
              <w:rPr>
                <w:rFonts w:ascii="Arial" w:hAnsi="Arial" w:cs="Arial"/>
              </w:rPr>
            </w:pPr>
            <w:r>
              <w:rPr>
                <w:rFonts w:ascii="Arial" w:hAnsi="Arial" w:cs="Arial"/>
              </w:rPr>
              <w:t>2,3% * (RGA en</w:t>
            </w:r>
            <w:r>
              <w:rPr>
                <w:rFonts w:ascii="Arial" w:hAnsi="Arial" w:cs="Arial"/>
              </w:rPr>
              <w:br/>
              <w:t>UVT–4.549)</w:t>
            </w:r>
          </w:p>
        </w:tc>
      </w:tr>
      <w:tr w:rsidR="00B2442D" w14:paraId="5CADC883" w14:textId="77777777">
        <w:tc>
          <w:tcPr>
            <w:tcW w:w="2122" w:type="dxa"/>
            <w:vAlign w:val="center"/>
          </w:tcPr>
          <w:p w14:paraId="78347480" w14:textId="77777777" w:rsidR="00B2442D" w:rsidRDefault="00B2442D">
            <w:pPr>
              <w:rPr>
                <w:rFonts w:ascii="Arial" w:hAnsi="Arial" w:cs="Arial"/>
              </w:rPr>
            </w:pPr>
          </w:p>
        </w:tc>
        <w:tc>
          <w:tcPr>
            <w:tcW w:w="1417" w:type="dxa"/>
            <w:vAlign w:val="center"/>
          </w:tcPr>
          <w:p w14:paraId="0F6639E8" w14:textId="77777777" w:rsidR="00B2442D" w:rsidRDefault="008A645F">
            <w:pPr>
              <w:jc w:val="center"/>
              <w:rPr>
                <w:rFonts w:ascii="Arial" w:hAnsi="Arial" w:cs="Arial"/>
              </w:rPr>
            </w:pPr>
            <w:r>
              <w:rPr>
                <w:rFonts w:ascii="Arial" w:hAnsi="Arial" w:cs="Arial"/>
              </w:rPr>
              <w:t>1620</w:t>
            </w:r>
          </w:p>
        </w:tc>
        <w:tc>
          <w:tcPr>
            <w:tcW w:w="2845" w:type="dxa"/>
          </w:tcPr>
          <w:p w14:paraId="5FC81FDE" w14:textId="77777777" w:rsidR="00B2442D" w:rsidRDefault="008A645F">
            <w:pPr>
              <w:jc w:val="both"/>
              <w:rPr>
                <w:rFonts w:ascii="Arial" w:hAnsi="Arial" w:cs="Arial"/>
              </w:rPr>
            </w:pPr>
            <w:r>
              <w:rPr>
                <w:rFonts w:ascii="Arial" w:hAnsi="Arial" w:cs="Arial"/>
              </w:rPr>
              <w:t>Fabricación de hojas de madera para enchapado; fabricación de tableros contrachapados, tableros laminados, tableros de partículas y otros tableros y páneles</w:t>
            </w:r>
          </w:p>
        </w:tc>
        <w:tc>
          <w:tcPr>
            <w:tcW w:w="1276" w:type="dxa"/>
            <w:vMerge/>
          </w:tcPr>
          <w:p w14:paraId="1B7B7665" w14:textId="77777777" w:rsidR="00B2442D" w:rsidRDefault="00B2442D">
            <w:pPr>
              <w:rPr>
                <w:rFonts w:ascii="Arial" w:hAnsi="Arial" w:cs="Arial"/>
              </w:rPr>
            </w:pPr>
          </w:p>
        </w:tc>
        <w:tc>
          <w:tcPr>
            <w:tcW w:w="1276" w:type="dxa"/>
            <w:vMerge/>
          </w:tcPr>
          <w:p w14:paraId="6A79C5FF" w14:textId="77777777" w:rsidR="00B2442D" w:rsidRDefault="00B2442D">
            <w:pPr>
              <w:rPr>
                <w:rFonts w:ascii="Arial" w:hAnsi="Arial" w:cs="Arial"/>
              </w:rPr>
            </w:pPr>
          </w:p>
        </w:tc>
      </w:tr>
      <w:tr w:rsidR="00B2442D" w14:paraId="6597FDB4" w14:textId="77777777">
        <w:tc>
          <w:tcPr>
            <w:tcW w:w="2122" w:type="dxa"/>
            <w:vAlign w:val="center"/>
          </w:tcPr>
          <w:p w14:paraId="11F2339E" w14:textId="77777777" w:rsidR="00B2442D" w:rsidRDefault="00B2442D">
            <w:pPr>
              <w:rPr>
                <w:rFonts w:ascii="Arial" w:hAnsi="Arial" w:cs="Arial"/>
              </w:rPr>
            </w:pPr>
          </w:p>
        </w:tc>
        <w:tc>
          <w:tcPr>
            <w:tcW w:w="1417" w:type="dxa"/>
            <w:vAlign w:val="center"/>
          </w:tcPr>
          <w:p w14:paraId="13B2E8B4" w14:textId="77777777" w:rsidR="00B2442D" w:rsidRDefault="008A645F">
            <w:pPr>
              <w:jc w:val="center"/>
              <w:rPr>
                <w:rFonts w:ascii="Arial" w:hAnsi="Arial" w:cs="Arial"/>
              </w:rPr>
            </w:pPr>
            <w:r>
              <w:rPr>
                <w:rFonts w:ascii="Arial" w:hAnsi="Arial" w:cs="Arial"/>
              </w:rPr>
              <w:t>1630</w:t>
            </w:r>
          </w:p>
        </w:tc>
        <w:tc>
          <w:tcPr>
            <w:tcW w:w="2845" w:type="dxa"/>
          </w:tcPr>
          <w:p w14:paraId="5195ECA0" w14:textId="77777777" w:rsidR="00B2442D" w:rsidRDefault="008A645F">
            <w:pPr>
              <w:jc w:val="both"/>
              <w:rPr>
                <w:rFonts w:ascii="Arial" w:hAnsi="Arial" w:cs="Arial"/>
              </w:rPr>
            </w:pPr>
            <w:r>
              <w:rPr>
                <w:rFonts w:ascii="Arial" w:hAnsi="Arial" w:cs="Arial"/>
              </w:rPr>
              <w:t>Fabricación de partes y piezas de madera, de carpintería y ebanistería para la construcción</w:t>
            </w:r>
          </w:p>
        </w:tc>
        <w:tc>
          <w:tcPr>
            <w:tcW w:w="1276" w:type="dxa"/>
            <w:vMerge/>
            <w:vAlign w:val="center"/>
          </w:tcPr>
          <w:p w14:paraId="7FA3888B" w14:textId="77777777" w:rsidR="00B2442D" w:rsidRDefault="00B2442D">
            <w:pPr>
              <w:rPr>
                <w:rFonts w:ascii="Arial" w:hAnsi="Arial" w:cs="Arial"/>
              </w:rPr>
            </w:pPr>
          </w:p>
        </w:tc>
        <w:tc>
          <w:tcPr>
            <w:tcW w:w="1276" w:type="dxa"/>
            <w:vMerge/>
          </w:tcPr>
          <w:p w14:paraId="3FBA3535" w14:textId="77777777" w:rsidR="00B2442D" w:rsidRDefault="00B2442D">
            <w:pPr>
              <w:rPr>
                <w:rFonts w:ascii="Arial" w:hAnsi="Arial" w:cs="Arial"/>
              </w:rPr>
            </w:pPr>
          </w:p>
        </w:tc>
      </w:tr>
      <w:tr w:rsidR="00B2442D" w14:paraId="3A6798EF" w14:textId="77777777">
        <w:tc>
          <w:tcPr>
            <w:tcW w:w="2122" w:type="dxa"/>
            <w:vAlign w:val="center"/>
          </w:tcPr>
          <w:p w14:paraId="12ECDF39" w14:textId="77777777" w:rsidR="00B2442D" w:rsidRDefault="00B2442D">
            <w:pPr>
              <w:rPr>
                <w:rFonts w:ascii="Arial" w:hAnsi="Arial" w:cs="Arial"/>
              </w:rPr>
            </w:pPr>
          </w:p>
        </w:tc>
        <w:tc>
          <w:tcPr>
            <w:tcW w:w="1417" w:type="dxa"/>
            <w:vAlign w:val="center"/>
          </w:tcPr>
          <w:p w14:paraId="243C58B6" w14:textId="77777777" w:rsidR="00B2442D" w:rsidRDefault="008A645F">
            <w:pPr>
              <w:jc w:val="center"/>
              <w:rPr>
                <w:rFonts w:ascii="Arial" w:hAnsi="Arial" w:cs="Arial"/>
              </w:rPr>
            </w:pPr>
            <w:r>
              <w:rPr>
                <w:rFonts w:ascii="Arial" w:hAnsi="Arial" w:cs="Arial"/>
              </w:rPr>
              <w:t>1640</w:t>
            </w:r>
          </w:p>
        </w:tc>
        <w:tc>
          <w:tcPr>
            <w:tcW w:w="2845" w:type="dxa"/>
            <w:vAlign w:val="center"/>
          </w:tcPr>
          <w:p w14:paraId="3A241123" w14:textId="77777777" w:rsidR="00B2442D" w:rsidRDefault="008A645F">
            <w:pPr>
              <w:jc w:val="both"/>
              <w:rPr>
                <w:rFonts w:ascii="Arial" w:hAnsi="Arial" w:cs="Arial"/>
              </w:rPr>
            </w:pPr>
            <w:r>
              <w:rPr>
                <w:rFonts w:ascii="Arial" w:hAnsi="Arial" w:cs="Arial"/>
              </w:rPr>
              <w:t>Fabricación de recipientes de madera</w:t>
            </w:r>
          </w:p>
        </w:tc>
        <w:tc>
          <w:tcPr>
            <w:tcW w:w="1276" w:type="dxa"/>
            <w:vMerge/>
            <w:vAlign w:val="center"/>
          </w:tcPr>
          <w:p w14:paraId="14B24F73" w14:textId="77777777" w:rsidR="00B2442D" w:rsidRDefault="00B2442D">
            <w:pPr>
              <w:rPr>
                <w:rFonts w:ascii="Arial" w:hAnsi="Arial" w:cs="Arial"/>
              </w:rPr>
            </w:pPr>
          </w:p>
        </w:tc>
        <w:tc>
          <w:tcPr>
            <w:tcW w:w="1276" w:type="dxa"/>
            <w:vMerge/>
          </w:tcPr>
          <w:p w14:paraId="179E9931" w14:textId="77777777" w:rsidR="00B2442D" w:rsidRDefault="00B2442D">
            <w:pPr>
              <w:rPr>
                <w:rFonts w:ascii="Arial" w:hAnsi="Arial" w:cs="Arial"/>
              </w:rPr>
            </w:pPr>
          </w:p>
        </w:tc>
      </w:tr>
      <w:tr w:rsidR="00B2442D" w14:paraId="29A9A3D3" w14:textId="77777777">
        <w:tc>
          <w:tcPr>
            <w:tcW w:w="2122" w:type="dxa"/>
            <w:vAlign w:val="center"/>
          </w:tcPr>
          <w:p w14:paraId="3362E224" w14:textId="77777777" w:rsidR="00B2442D" w:rsidRDefault="00B2442D">
            <w:pPr>
              <w:rPr>
                <w:rFonts w:ascii="Arial" w:hAnsi="Arial" w:cs="Arial"/>
              </w:rPr>
            </w:pPr>
          </w:p>
        </w:tc>
        <w:tc>
          <w:tcPr>
            <w:tcW w:w="1417" w:type="dxa"/>
            <w:vAlign w:val="center"/>
          </w:tcPr>
          <w:p w14:paraId="738A4655" w14:textId="77777777" w:rsidR="00B2442D" w:rsidRDefault="008A645F">
            <w:pPr>
              <w:jc w:val="center"/>
              <w:rPr>
                <w:rFonts w:ascii="Arial" w:hAnsi="Arial" w:cs="Arial"/>
              </w:rPr>
            </w:pPr>
            <w:r>
              <w:rPr>
                <w:rFonts w:ascii="Arial" w:hAnsi="Arial" w:cs="Arial"/>
              </w:rPr>
              <w:t>1690</w:t>
            </w:r>
          </w:p>
        </w:tc>
        <w:tc>
          <w:tcPr>
            <w:tcW w:w="2845" w:type="dxa"/>
          </w:tcPr>
          <w:p w14:paraId="1AB9211E" w14:textId="77777777" w:rsidR="00B2442D" w:rsidRDefault="008A645F">
            <w:pPr>
              <w:jc w:val="both"/>
              <w:rPr>
                <w:rFonts w:ascii="Arial" w:hAnsi="Arial" w:cs="Arial"/>
              </w:rPr>
            </w:pPr>
            <w:r>
              <w:rPr>
                <w:rFonts w:ascii="Arial" w:hAnsi="Arial" w:cs="Arial"/>
              </w:rPr>
              <w:t>Fabricación de otros productos de madera; fabricación de artículos de corcho, cestería y</w:t>
            </w:r>
            <w:r>
              <w:rPr>
                <w:rFonts w:ascii="Arial" w:hAnsi="Arial" w:cs="Arial"/>
              </w:rPr>
              <w:br/>
            </w:r>
            <w:r>
              <w:rPr>
                <w:rFonts w:ascii="Arial" w:hAnsi="Arial" w:cs="Arial"/>
              </w:rPr>
              <w:t>espartería</w:t>
            </w:r>
          </w:p>
        </w:tc>
        <w:tc>
          <w:tcPr>
            <w:tcW w:w="1276" w:type="dxa"/>
            <w:vMerge/>
            <w:vAlign w:val="center"/>
          </w:tcPr>
          <w:p w14:paraId="4B3847A7" w14:textId="77777777" w:rsidR="00B2442D" w:rsidRDefault="00B2442D">
            <w:pPr>
              <w:rPr>
                <w:rFonts w:ascii="Arial" w:hAnsi="Arial" w:cs="Arial"/>
              </w:rPr>
            </w:pPr>
          </w:p>
        </w:tc>
        <w:tc>
          <w:tcPr>
            <w:tcW w:w="1276" w:type="dxa"/>
            <w:vMerge/>
          </w:tcPr>
          <w:p w14:paraId="49219DA5" w14:textId="77777777" w:rsidR="00B2442D" w:rsidRDefault="00B2442D">
            <w:pPr>
              <w:rPr>
                <w:rFonts w:ascii="Arial" w:hAnsi="Arial" w:cs="Arial"/>
              </w:rPr>
            </w:pPr>
          </w:p>
        </w:tc>
      </w:tr>
      <w:tr w:rsidR="00B2442D" w14:paraId="159E763E" w14:textId="77777777">
        <w:tc>
          <w:tcPr>
            <w:tcW w:w="2122" w:type="dxa"/>
            <w:vAlign w:val="center"/>
          </w:tcPr>
          <w:p w14:paraId="6BFEAA2B" w14:textId="77777777" w:rsidR="00B2442D" w:rsidRDefault="00B2442D">
            <w:pPr>
              <w:rPr>
                <w:rFonts w:ascii="Arial" w:hAnsi="Arial" w:cs="Arial"/>
              </w:rPr>
            </w:pPr>
          </w:p>
        </w:tc>
        <w:tc>
          <w:tcPr>
            <w:tcW w:w="1417" w:type="dxa"/>
            <w:vAlign w:val="center"/>
          </w:tcPr>
          <w:p w14:paraId="23D32FA1" w14:textId="77777777" w:rsidR="00B2442D" w:rsidRDefault="008A645F">
            <w:pPr>
              <w:jc w:val="center"/>
              <w:rPr>
                <w:rFonts w:ascii="Arial" w:hAnsi="Arial" w:cs="Arial"/>
              </w:rPr>
            </w:pPr>
            <w:r>
              <w:rPr>
                <w:rFonts w:ascii="Arial" w:hAnsi="Arial" w:cs="Arial"/>
              </w:rPr>
              <w:t>1701</w:t>
            </w:r>
          </w:p>
        </w:tc>
        <w:tc>
          <w:tcPr>
            <w:tcW w:w="2845" w:type="dxa"/>
          </w:tcPr>
          <w:p w14:paraId="77D6FEA3" w14:textId="77777777" w:rsidR="00B2442D" w:rsidRDefault="008A645F">
            <w:pPr>
              <w:jc w:val="both"/>
              <w:rPr>
                <w:rFonts w:ascii="Arial" w:hAnsi="Arial" w:cs="Arial"/>
              </w:rPr>
            </w:pPr>
            <w:r>
              <w:rPr>
                <w:rFonts w:ascii="Arial" w:hAnsi="Arial" w:cs="Arial"/>
              </w:rPr>
              <w:t>Fabricación de pulpas (pastas) celulósicas; papel y cartón</w:t>
            </w:r>
          </w:p>
        </w:tc>
        <w:tc>
          <w:tcPr>
            <w:tcW w:w="1276" w:type="dxa"/>
            <w:vMerge/>
            <w:vAlign w:val="center"/>
          </w:tcPr>
          <w:p w14:paraId="0DF3BA8A" w14:textId="77777777" w:rsidR="00B2442D" w:rsidRDefault="00B2442D">
            <w:pPr>
              <w:rPr>
                <w:rFonts w:ascii="Arial" w:hAnsi="Arial" w:cs="Arial"/>
              </w:rPr>
            </w:pPr>
          </w:p>
        </w:tc>
        <w:tc>
          <w:tcPr>
            <w:tcW w:w="1276" w:type="dxa"/>
            <w:vMerge/>
          </w:tcPr>
          <w:p w14:paraId="5A47F568" w14:textId="77777777" w:rsidR="00B2442D" w:rsidRDefault="00B2442D">
            <w:pPr>
              <w:rPr>
                <w:rFonts w:ascii="Arial" w:hAnsi="Arial" w:cs="Arial"/>
              </w:rPr>
            </w:pPr>
          </w:p>
        </w:tc>
      </w:tr>
      <w:tr w:rsidR="00B2442D" w14:paraId="497C835B" w14:textId="77777777">
        <w:tc>
          <w:tcPr>
            <w:tcW w:w="2122" w:type="dxa"/>
            <w:vAlign w:val="center"/>
          </w:tcPr>
          <w:p w14:paraId="7B2AEBBB" w14:textId="77777777" w:rsidR="00B2442D" w:rsidRDefault="00B2442D">
            <w:pPr>
              <w:rPr>
                <w:rFonts w:ascii="Arial" w:hAnsi="Arial" w:cs="Arial"/>
              </w:rPr>
            </w:pPr>
          </w:p>
        </w:tc>
        <w:tc>
          <w:tcPr>
            <w:tcW w:w="1417" w:type="dxa"/>
            <w:vAlign w:val="center"/>
          </w:tcPr>
          <w:p w14:paraId="38A26284" w14:textId="77777777" w:rsidR="00B2442D" w:rsidRDefault="008A645F">
            <w:pPr>
              <w:jc w:val="center"/>
              <w:rPr>
                <w:rFonts w:ascii="Arial" w:hAnsi="Arial" w:cs="Arial"/>
              </w:rPr>
            </w:pPr>
            <w:r>
              <w:rPr>
                <w:rFonts w:ascii="Arial" w:hAnsi="Arial" w:cs="Arial"/>
              </w:rPr>
              <w:t>1702</w:t>
            </w:r>
          </w:p>
        </w:tc>
        <w:tc>
          <w:tcPr>
            <w:tcW w:w="2845" w:type="dxa"/>
          </w:tcPr>
          <w:p w14:paraId="48AA25EA" w14:textId="77777777" w:rsidR="00B2442D" w:rsidRDefault="008A645F">
            <w:pPr>
              <w:jc w:val="both"/>
              <w:rPr>
                <w:rFonts w:ascii="Arial" w:hAnsi="Arial" w:cs="Arial"/>
              </w:rPr>
            </w:pPr>
            <w:r>
              <w:rPr>
                <w:rFonts w:ascii="Arial" w:hAnsi="Arial" w:cs="Arial"/>
              </w:rPr>
              <w:t>Fabricación de papel y cartón ondulado (corrugado); fabricación de envases, empaques y de embalajes de papel y cartón</w:t>
            </w:r>
          </w:p>
        </w:tc>
        <w:tc>
          <w:tcPr>
            <w:tcW w:w="1276" w:type="dxa"/>
            <w:vMerge/>
          </w:tcPr>
          <w:p w14:paraId="427D522E" w14:textId="77777777" w:rsidR="00B2442D" w:rsidRDefault="00B2442D">
            <w:pPr>
              <w:rPr>
                <w:rFonts w:ascii="Arial" w:hAnsi="Arial" w:cs="Arial"/>
              </w:rPr>
            </w:pPr>
          </w:p>
        </w:tc>
        <w:tc>
          <w:tcPr>
            <w:tcW w:w="1276" w:type="dxa"/>
            <w:vMerge/>
          </w:tcPr>
          <w:p w14:paraId="5CC6962F" w14:textId="77777777" w:rsidR="00B2442D" w:rsidRDefault="00B2442D">
            <w:pPr>
              <w:rPr>
                <w:rFonts w:ascii="Arial" w:hAnsi="Arial" w:cs="Arial"/>
              </w:rPr>
            </w:pPr>
          </w:p>
        </w:tc>
      </w:tr>
      <w:tr w:rsidR="00B2442D" w14:paraId="7301D3F9" w14:textId="77777777">
        <w:tc>
          <w:tcPr>
            <w:tcW w:w="2122" w:type="dxa"/>
            <w:vAlign w:val="center"/>
          </w:tcPr>
          <w:p w14:paraId="48C824AE" w14:textId="77777777" w:rsidR="00B2442D" w:rsidRDefault="00B2442D">
            <w:pPr>
              <w:rPr>
                <w:rFonts w:ascii="Arial" w:hAnsi="Arial" w:cs="Arial"/>
              </w:rPr>
            </w:pPr>
          </w:p>
        </w:tc>
        <w:tc>
          <w:tcPr>
            <w:tcW w:w="1417" w:type="dxa"/>
            <w:vAlign w:val="center"/>
          </w:tcPr>
          <w:p w14:paraId="41341342" w14:textId="77777777" w:rsidR="00B2442D" w:rsidRDefault="008A645F">
            <w:pPr>
              <w:jc w:val="center"/>
              <w:rPr>
                <w:rFonts w:ascii="Arial" w:hAnsi="Arial" w:cs="Arial"/>
              </w:rPr>
            </w:pPr>
            <w:r>
              <w:rPr>
                <w:rFonts w:ascii="Arial" w:hAnsi="Arial" w:cs="Arial"/>
              </w:rPr>
              <w:t>1709</w:t>
            </w:r>
          </w:p>
        </w:tc>
        <w:tc>
          <w:tcPr>
            <w:tcW w:w="2845" w:type="dxa"/>
            <w:vAlign w:val="center"/>
          </w:tcPr>
          <w:p w14:paraId="05D3A1F9" w14:textId="77777777" w:rsidR="00B2442D" w:rsidRDefault="008A645F">
            <w:pPr>
              <w:jc w:val="both"/>
              <w:rPr>
                <w:rFonts w:ascii="Arial" w:hAnsi="Arial" w:cs="Arial"/>
              </w:rPr>
            </w:pPr>
            <w:r>
              <w:rPr>
                <w:rFonts w:ascii="Arial" w:hAnsi="Arial" w:cs="Arial"/>
              </w:rPr>
              <w:t xml:space="preserve">Fabricación de otros artículos de </w:t>
            </w:r>
            <w:r>
              <w:rPr>
                <w:rFonts w:ascii="Arial" w:hAnsi="Arial" w:cs="Arial"/>
              </w:rPr>
              <w:t>papel y cartón</w:t>
            </w:r>
          </w:p>
        </w:tc>
        <w:tc>
          <w:tcPr>
            <w:tcW w:w="1276" w:type="dxa"/>
            <w:vMerge/>
          </w:tcPr>
          <w:p w14:paraId="22F97C84" w14:textId="77777777" w:rsidR="00B2442D" w:rsidRDefault="00B2442D">
            <w:pPr>
              <w:rPr>
                <w:rFonts w:ascii="Arial" w:hAnsi="Arial" w:cs="Arial"/>
              </w:rPr>
            </w:pPr>
          </w:p>
        </w:tc>
        <w:tc>
          <w:tcPr>
            <w:tcW w:w="1276" w:type="dxa"/>
            <w:vMerge/>
          </w:tcPr>
          <w:p w14:paraId="582A8A20" w14:textId="77777777" w:rsidR="00B2442D" w:rsidRDefault="00B2442D">
            <w:pPr>
              <w:rPr>
                <w:rFonts w:ascii="Arial" w:hAnsi="Arial" w:cs="Arial"/>
              </w:rPr>
            </w:pPr>
          </w:p>
        </w:tc>
      </w:tr>
      <w:tr w:rsidR="00B2442D" w14:paraId="1F0D6408" w14:textId="77777777">
        <w:tc>
          <w:tcPr>
            <w:tcW w:w="2122" w:type="dxa"/>
          </w:tcPr>
          <w:p w14:paraId="282DFC4F" w14:textId="77777777" w:rsidR="00B2442D" w:rsidRDefault="00B2442D">
            <w:pPr>
              <w:rPr>
                <w:rFonts w:ascii="Arial" w:hAnsi="Arial" w:cs="Arial"/>
              </w:rPr>
            </w:pPr>
          </w:p>
        </w:tc>
        <w:tc>
          <w:tcPr>
            <w:tcW w:w="1417" w:type="dxa"/>
            <w:vAlign w:val="center"/>
          </w:tcPr>
          <w:p w14:paraId="07351820" w14:textId="77777777" w:rsidR="00B2442D" w:rsidRDefault="008A645F">
            <w:pPr>
              <w:jc w:val="center"/>
              <w:rPr>
                <w:rFonts w:ascii="Arial" w:hAnsi="Arial" w:cs="Arial"/>
              </w:rPr>
            </w:pPr>
            <w:r>
              <w:rPr>
                <w:rFonts w:ascii="Arial" w:hAnsi="Arial" w:cs="Arial"/>
              </w:rPr>
              <w:t>1811</w:t>
            </w:r>
          </w:p>
        </w:tc>
        <w:tc>
          <w:tcPr>
            <w:tcW w:w="2845" w:type="dxa"/>
            <w:vAlign w:val="center"/>
          </w:tcPr>
          <w:p w14:paraId="1AEB4AA9" w14:textId="77777777" w:rsidR="00B2442D" w:rsidRDefault="008A645F">
            <w:pPr>
              <w:jc w:val="both"/>
              <w:rPr>
                <w:rFonts w:ascii="Arial" w:hAnsi="Arial" w:cs="Arial"/>
              </w:rPr>
            </w:pPr>
            <w:r>
              <w:rPr>
                <w:rFonts w:ascii="Arial" w:hAnsi="Arial" w:cs="Arial"/>
              </w:rPr>
              <w:t>Actividades de impresión</w:t>
            </w:r>
          </w:p>
        </w:tc>
        <w:tc>
          <w:tcPr>
            <w:tcW w:w="1276" w:type="dxa"/>
            <w:vMerge/>
          </w:tcPr>
          <w:p w14:paraId="4F9BF05D" w14:textId="77777777" w:rsidR="00B2442D" w:rsidRDefault="00B2442D">
            <w:pPr>
              <w:rPr>
                <w:rFonts w:ascii="Arial" w:hAnsi="Arial" w:cs="Arial"/>
              </w:rPr>
            </w:pPr>
          </w:p>
        </w:tc>
        <w:tc>
          <w:tcPr>
            <w:tcW w:w="1276" w:type="dxa"/>
            <w:vMerge/>
          </w:tcPr>
          <w:p w14:paraId="2C60F7C1" w14:textId="77777777" w:rsidR="00B2442D" w:rsidRDefault="00B2442D">
            <w:pPr>
              <w:rPr>
                <w:rFonts w:ascii="Arial" w:hAnsi="Arial" w:cs="Arial"/>
              </w:rPr>
            </w:pPr>
          </w:p>
        </w:tc>
      </w:tr>
      <w:tr w:rsidR="00B2442D" w14:paraId="06652475" w14:textId="77777777">
        <w:tc>
          <w:tcPr>
            <w:tcW w:w="2122" w:type="dxa"/>
          </w:tcPr>
          <w:p w14:paraId="5FC3543B" w14:textId="77777777" w:rsidR="00B2442D" w:rsidRDefault="00B2442D">
            <w:pPr>
              <w:rPr>
                <w:rFonts w:ascii="Arial" w:hAnsi="Arial" w:cs="Arial"/>
              </w:rPr>
            </w:pPr>
          </w:p>
        </w:tc>
        <w:tc>
          <w:tcPr>
            <w:tcW w:w="1417" w:type="dxa"/>
            <w:vAlign w:val="center"/>
          </w:tcPr>
          <w:p w14:paraId="638346A7" w14:textId="77777777" w:rsidR="00B2442D" w:rsidRDefault="008A645F">
            <w:pPr>
              <w:jc w:val="center"/>
              <w:rPr>
                <w:rFonts w:ascii="Arial" w:hAnsi="Arial" w:cs="Arial"/>
              </w:rPr>
            </w:pPr>
            <w:r>
              <w:rPr>
                <w:rFonts w:ascii="Arial" w:hAnsi="Arial" w:cs="Arial"/>
              </w:rPr>
              <w:t>1812</w:t>
            </w:r>
          </w:p>
        </w:tc>
        <w:tc>
          <w:tcPr>
            <w:tcW w:w="2845" w:type="dxa"/>
          </w:tcPr>
          <w:p w14:paraId="3E3A7219" w14:textId="77777777" w:rsidR="00B2442D" w:rsidRDefault="008A645F">
            <w:pPr>
              <w:jc w:val="both"/>
              <w:rPr>
                <w:rFonts w:ascii="Arial" w:hAnsi="Arial" w:cs="Arial"/>
              </w:rPr>
            </w:pPr>
            <w:r>
              <w:rPr>
                <w:rFonts w:ascii="Arial" w:hAnsi="Arial" w:cs="Arial"/>
              </w:rPr>
              <w:t>Actividades de servicios relacionados con la impresión</w:t>
            </w:r>
          </w:p>
        </w:tc>
        <w:tc>
          <w:tcPr>
            <w:tcW w:w="1276" w:type="dxa"/>
            <w:vMerge/>
          </w:tcPr>
          <w:p w14:paraId="63380577" w14:textId="77777777" w:rsidR="00B2442D" w:rsidRDefault="00B2442D">
            <w:pPr>
              <w:rPr>
                <w:rFonts w:ascii="Arial" w:hAnsi="Arial" w:cs="Arial"/>
              </w:rPr>
            </w:pPr>
          </w:p>
        </w:tc>
        <w:tc>
          <w:tcPr>
            <w:tcW w:w="1276" w:type="dxa"/>
            <w:vMerge/>
          </w:tcPr>
          <w:p w14:paraId="7736A502" w14:textId="77777777" w:rsidR="00B2442D" w:rsidRDefault="00B2442D">
            <w:pPr>
              <w:rPr>
                <w:rFonts w:ascii="Arial" w:hAnsi="Arial" w:cs="Arial"/>
              </w:rPr>
            </w:pPr>
          </w:p>
        </w:tc>
      </w:tr>
      <w:tr w:rsidR="00B2442D" w14:paraId="28638D2D" w14:textId="77777777">
        <w:tc>
          <w:tcPr>
            <w:tcW w:w="2122" w:type="dxa"/>
          </w:tcPr>
          <w:p w14:paraId="7134512D" w14:textId="77777777" w:rsidR="00B2442D" w:rsidRDefault="00B2442D">
            <w:pPr>
              <w:rPr>
                <w:rFonts w:ascii="Arial" w:hAnsi="Arial" w:cs="Arial"/>
              </w:rPr>
            </w:pPr>
          </w:p>
        </w:tc>
        <w:tc>
          <w:tcPr>
            <w:tcW w:w="1417" w:type="dxa"/>
            <w:vAlign w:val="center"/>
          </w:tcPr>
          <w:p w14:paraId="7F1B1FC8" w14:textId="77777777" w:rsidR="00B2442D" w:rsidRDefault="008A645F">
            <w:pPr>
              <w:jc w:val="center"/>
              <w:rPr>
                <w:rFonts w:ascii="Arial" w:hAnsi="Arial" w:cs="Arial"/>
              </w:rPr>
            </w:pPr>
            <w:r>
              <w:rPr>
                <w:rFonts w:ascii="Arial" w:hAnsi="Arial" w:cs="Arial"/>
              </w:rPr>
              <w:t>1820</w:t>
            </w:r>
          </w:p>
        </w:tc>
        <w:tc>
          <w:tcPr>
            <w:tcW w:w="2845" w:type="dxa"/>
          </w:tcPr>
          <w:p w14:paraId="4E9F4659" w14:textId="77777777" w:rsidR="00B2442D" w:rsidRDefault="008A645F">
            <w:pPr>
              <w:jc w:val="both"/>
              <w:rPr>
                <w:rFonts w:ascii="Arial" w:hAnsi="Arial" w:cs="Arial"/>
              </w:rPr>
            </w:pPr>
            <w:r>
              <w:rPr>
                <w:rFonts w:ascii="Arial" w:hAnsi="Arial" w:cs="Arial"/>
              </w:rPr>
              <w:t>Producción de copias a partir de grabaciones originales</w:t>
            </w:r>
          </w:p>
        </w:tc>
        <w:tc>
          <w:tcPr>
            <w:tcW w:w="1276" w:type="dxa"/>
            <w:vMerge/>
          </w:tcPr>
          <w:p w14:paraId="4F5AA690" w14:textId="77777777" w:rsidR="00B2442D" w:rsidRDefault="00B2442D">
            <w:pPr>
              <w:rPr>
                <w:rFonts w:ascii="Arial" w:hAnsi="Arial" w:cs="Arial"/>
              </w:rPr>
            </w:pPr>
          </w:p>
        </w:tc>
        <w:tc>
          <w:tcPr>
            <w:tcW w:w="1276" w:type="dxa"/>
            <w:vMerge/>
          </w:tcPr>
          <w:p w14:paraId="63B4C12B" w14:textId="77777777" w:rsidR="00B2442D" w:rsidRDefault="00B2442D">
            <w:pPr>
              <w:rPr>
                <w:rFonts w:ascii="Arial" w:hAnsi="Arial" w:cs="Arial"/>
              </w:rPr>
            </w:pPr>
          </w:p>
        </w:tc>
      </w:tr>
    </w:tbl>
    <w:p w14:paraId="0E2BC92C" w14:textId="77777777" w:rsidR="00B2442D" w:rsidRDefault="00B2442D">
      <w:pP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417"/>
        <w:gridCol w:w="2845"/>
        <w:gridCol w:w="1276"/>
        <w:gridCol w:w="1276"/>
      </w:tblGrid>
      <w:tr w:rsidR="00B2442D" w14:paraId="2AF5C73F" w14:textId="77777777">
        <w:tc>
          <w:tcPr>
            <w:tcW w:w="2122" w:type="dxa"/>
            <w:vAlign w:val="center"/>
          </w:tcPr>
          <w:p w14:paraId="40D15DF3" w14:textId="77777777" w:rsidR="00B2442D" w:rsidRDefault="008A645F">
            <w:pPr>
              <w:jc w:val="center"/>
              <w:rPr>
                <w:rFonts w:ascii="Arial" w:hAnsi="Arial" w:cs="Arial"/>
                <w:b/>
                <w:bCs/>
              </w:rPr>
            </w:pPr>
            <w:r>
              <w:rPr>
                <w:rFonts w:ascii="Arial" w:hAnsi="Arial" w:cs="Arial"/>
                <w:b/>
                <w:bCs/>
              </w:rPr>
              <w:t>Actividad</w:t>
            </w:r>
          </w:p>
        </w:tc>
        <w:tc>
          <w:tcPr>
            <w:tcW w:w="1417" w:type="dxa"/>
          </w:tcPr>
          <w:p w14:paraId="3B0DF943" w14:textId="77777777" w:rsidR="00B2442D" w:rsidRDefault="008A645F">
            <w:pPr>
              <w:jc w:val="center"/>
              <w:rPr>
                <w:rFonts w:ascii="Arial" w:hAnsi="Arial" w:cs="Arial"/>
                <w:b/>
                <w:bCs/>
              </w:rPr>
            </w:pPr>
            <w:r>
              <w:rPr>
                <w:rFonts w:ascii="Arial" w:hAnsi="Arial" w:cs="Arial"/>
                <w:b/>
                <w:bCs/>
              </w:rPr>
              <w:t>Código</w:t>
            </w:r>
            <w:r>
              <w:rPr>
                <w:rFonts w:ascii="Arial" w:hAnsi="Arial" w:cs="Arial"/>
                <w:b/>
                <w:bCs/>
              </w:rPr>
              <w:br/>
              <w:t>actividad</w:t>
            </w:r>
            <w:r>
              <w:rPr>
                <w:rFonts w:ascii="Arial" w:hAnsi="Arial" w:cs="Arial"/>
                <w:b/>
                <w:bCs/>
              </w:rPr>
              <w:br/>
              <w:t>económica</w:t>
            </w:r>
          </w:p>
        </w:tc>
        <w:tc>
          <w:tcPr>
            <w:tcW w:w="2845" w:type="dxa"/>
          </w:tcPr>
          <w:p w14:paraId="22204BD8" w14:textId="77777777" w:rsidR="00B2442D" w:rsidRDefault="00B2442D">
            <w:pPr>
              <w:jc w:val="center"/>
              <w:rPr>
                <w:rFonts w:ascii="Arial" w:hAnsi="Arial" w:cs="Arial"/>
                <w:b/>
                <w:bCs/>
              </w:rPr>
            </w:pPr>
          </w:p>
          <w:p w14:paraId="4C0A6267" w14:textId="77777777" w:rsidR="00B2442D" w:rsidRDefault="008A645F">
            <w:pPr>
              <w:jc w:val="center"/>
              <w:rPr>
                <w:rFonts w:ascii="Arial" w:hAnsi="Arial" w:cs="Arial"/>
                <w:b/>
                <w:bCs/>
              </w:rPr>
            </w:pPr>
            <w:r>
              <w:rPr>
                <w:rFonts w:ascii="Arial" w:hAnsi="Arial" w:cs="Arial"/>
                <w:b/>
                <w:bCs/>
              </w:rPr>
              <w:t>Nombre actividad económica</w:t>
            </w:r>
          </w:p>
        </w:tc>
        <w:tc>
          <w:tcPr>
            <w:tcW w:w="1276" w:type="dxa"/>
          </w:tcPr>
          <w:p w14:paraId="456DE774" w14:textId="77777777" w:rsidR="00B2442D" w:rsidRDefault="008A645F">
            <w:pPr>
              <w:jc w:val="center"/>
              <w:rPr>
                <w:rFonts w:ascii="Arial" w:hAnsi="Arial" w:cs="Arial"/>
                <w:b/>
                <w:bCs/>
              </w:rPr>
            </w:pPr>
            <w:r>
              <w:rPr>
                <w:rFonts w:ascii="Arial" w:hAnsi="Arial" w:cs="Arial"/>
                <w:b/>
                <w:bCs/>
              </w:rPr>
              <w:t>Para</w:t>
            </w:r>
            <w:r>
              <w:rPr>
                <w:rFonts w:ascii="Arial" w:hAnsi="Arial" w:cs="Arial"/>
                <w:b/>
                <w:bCs/>
              </w:rPr>
              <w:br/>
            </w:r>
            <w:r>
              <w:rPr>
                <w:rFonts w:ascii="Arial" w:hAnsi="Arial" w:cs="Arial"/>
                <w:b/>
                <w:bCs/>
              </w:rPr>
              <w:t>RGA</w:t>
            </w:r>
            <w:r>
              <w:rPr>
                <w:rFonts w:ascii="Arial" w:hAnsi="Arial" w:cs="Arial"/>
                <w:b/>
                <w:bCs/>
              </w:rPr>
              <w:br/>
              <w:t>desde</w:t>
            </w:r>
          </w:p>
        </w:tc>
        <w:tc>
          <w:tcPr>
            <w:tcW w:w="1276" w:type="dxa"/>
          </w:tcPr>
          <w:p w14:paraId="24552568" w14:textId="77777777" w:rsidR="00B2442D" w:rsidRDefault="00B2442D">
            <w:pPr>
              <w:jc w:val="center"/>
              <w:rPr>
                <w:rFonts w:ascii="Arial" w:hAnsi="Arial" w:cs="Arial"/>
                <w:b/>
                <w:bCs/>
              </w:rPr>
            </w:pPr>
          </w:p>
          <w:p w14:paraId="7188DF92" w14:textId="77777777" w:rsidR="00B2442D" w:rsidRDefault="008A645F">
            <w:pPr>
              <w:jc w:val="center"/>
              <w:rPr>
                <w:rFonts w:ascii="Arial" w:hAnsi="Arial" w:cs="Arial"/>
                <w:b/>
                <w:bCs/>
              </w:rPr>
            </w:pPr>
            <w:r>
              <w:rPr>
                <w:rFonts w:ascii="Arial" w:hAnsi="Arial" w:cs="Arial"/>
                <w:b/>
                <w:bCs/>
              </w:rPr>
              <w:t>IMAS</w:t>
            </w:r>
          </w:p>
        </w:tc>
      </w:tr>
      <w:tr w:rsidR="00B2442D" w14:paraId="13203687" w14:textId="77777777">
        <w:tc>
          <w:tcPr>
            <w:tcW w:w="2122" w:type="dxa"/>
            <w:vAlign w:val="center"/>
          </w:tcPr>
          <w:p w14:paraId="31E9823F" w14:textId="77777777" w:rsidR="00B2442D" w:rsidRDefault="008A645F">
            <w:pPr>
              <w:jc w:val="center"/>
              <w:rPr>
                <w:rFonts w:ascii="Arial" w:hAnsi="Arial" w:cs="Arial"/>
                <w:b/>
              </w:rPr>
            </w:pPr>
            <w:r>
              <w:rPr>
                <w:rFonts w:ascii="Arial" w:hAnsi="Arial" w:cs="Arial"/>
                <w:b/>
              </w:rPr>
              <w:t>Manufactura</w:t>
            </w:r>
            <w:r>
              <w:rPr>
                <w:rFonts w:ascii="Arial" w:hAnsi="Arial" w:cs="Arial"/>
                <w:b/>
              </w:rPr>
              <w:br/>
              <w:t>alimentos</w:t>
            </w:r>
          </w:p>
        </w:tc>
        <w:tc>
          <w:tcPr>
            <w:tcW w:w="1417" w:type="dxa"/>
          </w:tcPr>
          <w:p w14:paraId="663673DD" w14:textId="77777777" w:rsidR="00B2442D" w:rsidRDefault="008A645F">
            <w:pPr>
              <w:jc w:val="center"/>
              <w:rPr>
                <w:rFonts w:ascii="Arial" w:hAnsi="Arial" w:cs="Arial"/>
              </w:rPr>
            </w:pPr>
            <w:r>
              <w:rPr>
                <w:rFonts w:ascii="Arial" w:hAnsi="Arial" w:cs="Arial"/>
              </w:rPr>
              <w:t>1011</w:t>
            </w:r>
          </w:p>
        </w:tc>
        <w:tc>
          <w:tcPr>
            <w:tcW w:w="2845" w:type="dxa"/>
          </w:tcPr>
          <w:p w14:paraId="5207E257" w14:textId="77777777" w:rsidR="00B2442D" w:rsidRDefault="008A645F">
            <w:pPr>
              <w:jc w:val="both"/>
              <w:rPr>
                <w:rFonts w:ascii="Arial" w:hAnsi="Arial" w:cs="Arial"/>
              </w:rPr>
            </w:pPr>
            <w:r>
              <w:rPr>
                <w:rFonts w:ascii="Arial" w:hAnsi="Arial" w:cs="Arial"/>
              </w:rPr>
              <w:t>Procesamiento y conservación de carne y productos cárnicos</w:t>
            </w:r>
          </w:p>
        </w:tc>
        <w:tc>
          <w:tcPr>
            <w:tcW w:w="1276" w:type="dxa"/>
            <w:vMerge w:val="restart"/>
            <w:vAlign w:val="center"/>
          </w:tcPr>
          <w:p w14:paraId="13830384" w14:textId="77777777" w:rsidR="00B2442D" w:rsidRDefault="008A645F">
            <w:pPr>
              <w:rPr>
                <w:rFonts w:ascii="Arial" w:hAnsi="Arial" w:cs="Arial"/>
              </w:rPr>
            </w:pPr>
            <w:r>
              <w:rPr>
                <w:rFonts w:ascii="Arial" w:hAnsi="Arial" w:cs="Arial"/>
              </w:rPr>
              <w:t>4.549</w:t>
            </w:r>
            <w:r>
              <w:rPr>
                <w:rFonts w:ascii="Arial" w:hAnsi="Arial" w:cs="Arial"/>
              </w:rPr>
              <w:br/>
              <w:t>UVT</w:t>
            </w:r>
          </w:p>
        </w:tc>
        <w:tc>
          <w:tcPr>
            <w:tcW w:w="1276" w:type="dxa"/>
            <w:vMerge w:val="restart"/>
            <w:vAlign w:val="center"/>
          </w:tcPr>
          <w:p w14:paraId="242AA59D" w14:textId="77777777" w:rsidR="00B2442D" w:rsidRDefault="008A645F">
            <w:pPr>
              <w:rPr>
                <w:rFonts w:ascii="Arial" w:hAnsi="Arial" w:cs="Arial"/>
              </w:rPr>
            </w:pPr>
            <w:r>
              <w:rPr>
                <w:rFonts w:ascii="Arial" w:hAnsi="Arial" w:cs="Arial"/>
              </w:rPr>
              <w:t>1,13% *(RGA</w:t>
            </w:r>
            <w:r>
              <w:rPr>
                <w:rFonts w:ascii="Arial" w:hAnsi="Arial" w:cs="Arial"/>
              </w:rPr>
              <w:br/>
              <w:t>en UVT- 4.549)</w:t>
            </w:r>
          </w:p>
        </w:tc>
      </w:tr>
      <w:tr w:rsidR="00B2442D" w14:paraId="479178C9" w14:textId="77777777">
        <w:tc>
          <w:tcPr>
            <w:tcW w:w="2122" w:type="dxa"/>
            <w:vAlign w:val="center"/>
          </w:tcPr>
          <w:p w14:paraId="55D89F40" w14:textId="77777777" w:rsidR="00B2442D" w:rsidRDefault="00B2442D">
            <w:pPr>
              <w:rPr>
                <w:rFonts w:ascii="Arial" w:hAnsi="Arial" w:cs="Arial"/>
              </w:rPr>
            </w:pPr>
          </w:p>
        </w:tc>
        <w:tc>
          <w:tcPr>
            <w:tcW w:w="1417" w:type="dxa"/>
            <w:vAlign w:val="center"/>
          </w:tcPr>
          <w:p w14:paraId="72623BA7" w14:textId="77777777" w:rsidR="00B2442D" w:rsidRDefault="008A645F">
            <w:pPr>
              <w:jc w:val="center"/>
              <w:rPr>
                <w:rFonts w:ascii="Arial" w:hAnsi="Arial" w:cs="Arial"/>
              </w:rPr>
            </w:pPr>
            <w:r>
              <w:rPr>
                <w:rFonts w:ascii="Arial" w:hAnsi="Arial" w:cs="Arial"/>
              </w:rPr>
              <w:t>1012</w:t>
            </w:r>
          </w:p>
        </w:tc>
        <w:tc>
          <w:tcPr>
            <w:tcW w:w="2845" w:type="dxa"/>
          </w:tcPr>
          <w:p w14:paraId="3D977AF7" w14:textId="77777777" w:rsidR="00B2442D" w:rsidRDefault="008A645F">
            <w:pPr>
              <w:jc w:val="both"/>
              <w:rPr>
                <w:rFonts w:ascii="Arial" w:hAnsi="Arial" w:cs="Arial"/>
              </w:rPr>
            </w:pPr>
            <w:r>
              <w:rPr>
                <w:rFonts w:ascii="Arial" w:hAnsi="Arial" w:cs="Arial"/>
              </w:rPr>
              <w:t>Procesamiento y conservación de pescados,</w:t>
            </w:r>
            <w:r>
              <w:rPr>
                <w:rFonts w:ascii="Arial" w:hAnsi="Arial" w:cs="Arial"/>
              </w:rPr>
              <w:br/>
              <w:t>crustáceos y moluscos</w:t>
            </w:r>
          </w:p>
        </w:tc>
        <w:tc>
          <w:tcPr>
            <w:tcW w:w="1276" w:type="dxa"/>
            <w:vMerge/>
            <w:vAlign w:val="center"/>
          </w:tcPr>
          <w:p w14:paraId="775534F6" w14:textId="77777777" w:rsidR="00B2442D" w:rsidRDefault="00B2442D">
            <w:pPr>
              <w:rPr>
                <w:rFonts w:ascii="Arial" w:hAnsi="Arial" w:cs="Arial"/>
              </w:rPr>
            </w:pPr>
          </w:p>
        </w:tc>
        <w:tc>
          <w:tcPr>
            <w:tcW w:w="1276" w:type="dxa"/>
            <w:vMerge/>
          </w:tcPr>
          <w:p w14:paraId="1ADDBC67" w14:textId="77777777" w:rsidR="00B2442D" w:rsidRDefault="00B2442D">
            <w:pPr>
              <w:rPr>
                <w:rFonts w:ascii="Arial" w:hAnsi="Arial" w:cs="Arial"/>
              </w:rPr>
            </w:pPr>
          </w:p>
        </w:tc>
      </w:tr>
      <w:tr w:rsidR="00B2442D" w14:paraId="62CD00FF" w14:textId="77777777">
        <w:tc>
          <w:tcPr>
            <w:tcW w:w="2122" w:type="dxa"/>
            <w:vAlign w:val="center"/>
          </w:tcPr>
          <w:p w14:paraId="32D387CB" w14:textId="77777777" w:rsidR="00B2442D" w:rsidRDefault="00B2442D">
            <w:pPr>
              <w:rPr>
                <w:rFonts w:ascii="Arial" w:hAnsi="Arial" w:cs="Arial"/>
              </w:rPr>
            </w:pPr>
          </w:p>
        </w:tc>
        <w:tc>
          <w:tcPr>
            <w:tcW w:w="1417" w:type="dxa"/>
            <w:vAlign w:val="center"/>
          </w:tcPr>
          <w:p w14:paraId="780D493D" w14:textId="77777777" w:rsidR="00B2442D" w:rsidRDefault="008A645F">
            <w:pPr>
              <w:jc w:val="center"/>
              <w:rPr>
                <w:rFonts w:ascii="Arial" w:hAnsi="Arial" w:cs="Arial"/>
                <w:b/>
                <w:bCs/>
              </w:rPr>
            </w:pPr>
            <w:r>
              <w:rPr>
                <w:rFonts w:ascii="Arial" w:hAnsi="Arial" w:cs="Arial"/>
                <w:b/>
                <w:bCs/>
              </w:rPr>
              <w:t>1020</w:t>
            </w:r>
          </w:p>
        </w:tc>
        <w:tc>
          <w:tcPr>
            <w:tcW w:w="2845" w:type="dxa"/>
          </w:tcPr>
          <w:p w14:paraId="30BFA8D7" w14:textId="77777777" w:rsidR="00B2442D" w:rsidRDefault="008A645F">
            <w:pPr>
              <w:jc w:val="both"/>
              <w:rPr>
                <w:rFonts w:ascii="Arial" w:hAnsi="Arial" w:cs="Arial"/>
              </w:rPr>
            </w:pPr>
            <w:r>
              <w:rPr>
                <w:rFonts w:ascii="Arial" w:hAnsi="Arial" w:cs="Arial"/>
              </w:rPr>
              <w:t xml:space="preserve">Procesamiento y </w:t>
            </w:r>
            <w:r>
              <w:rPr>
                <w:rFonts w:ascii="Arial" w:hAnsi="Arial" w:cs="Arial"/>
              </w:rPr>
              <w:t>conservación de frutas, legumbres, hortalizas y tubérculos</w:t>
            </w:r>
          </w:p>
        </w:tc>
        <w:tc>
          <w:tcPr>
            <w:tcW w:w="1276" w:type="dxa"/>
            <w:vMerge/>
          </w:tcPr>
          <w:p w14:paraId="43BD075D" w14:textId="77777777" w:rsidR="00B2442D" w:rsidRDefault="00B2442D">
            <w:pPr>
              <w:rPr>
                <w:rFonts w:ascii="Arial" w:hAnsi="Arial" w:cs="Arial"/>
              </w:rPr>
            </w:pPr>
          </w:p>
        </w:tc>
        <w:tc>
          <w:tcPr>
            <w:tcW w:w="1276" w:type="dxa"/>
            <w:vMerge/>
          </w:tcPr>
          <w:p w14:paraId="45D04AA9" w14:textId="77777777" w:rsidR="00B2442D" w:rsidRDefault="00B2442D">
            <w:pPr>
              <w:rPr>
                <w:rFonts w:ascii="Arial" w:hAnsi="Arial" w:cs="Arial"/>
              </w:rPr>
            </w:pPr>
          </w:p>
        </w:tc>
      </w:tr>
      <w:tr w:rsidR="00B2442D" w14:paraId="409261DA" w14:textId="77777777">
        <w:tc>
          <w:tcPr>
            <w:tcW w:w="2122" w:type="dxa"/>
            <w:vAlign w:val="center"/>
          </w:tcPr>
          <w:p w14:paraId="6DAC1B0A" w14:textId="77777777" w:rsidR="00B2442D" w:rsidRDefault="00B2442D">
            <w:pPr>
              <w:rPr>
                <w:rFonts w:ascii="Arial" w:hAnsi="Arial" w:cs="Arial"/>
              </w:rPr>
            </w:pPr>
          </w:p>
        </w:tc>
        <w:tc>
          <w:tcPr>
            <w:tcW w:w="1417" w:type="dxa"/>
            <w:vAlign w:val="center"/>
          </w:tcPr>
          <w:p w14:paraId="7E9637C1" w14:textId="77777777" w:rsidR="00B2442D" w:rsidRDefault="008A645F">
            <w:pPr>
              <w:jc w:val="center"/>
              <w:rPr>
                <w:rFonts w:ascii="Arial" w:hAnsi="Arial" w:cs="Arial"/>
                <w:b/>
                <w:bCs/>
              </w:rPr>
            </w:pPr>
            <w:r>
              <w:rPr>
                <w:rFonts w:ascii="Arial" w:hAnsi="Arial" w:cs="Arial"/>
                <w:b/>
                <w:bCs/>
              </w:rPr>
              <w:t>1030</w:t>
            </w:r>
          </w:p>
        </w:tc>
        <w:tc>
          <w:tcPr>
            <w:tcW w:w="2845" w:type="dxa"/>
          </w:tcPr>
          <w:p w14:paraId="63E5E152" w14:textId="77777777" w:rsidR="00B2442D" w:rsidRDefault="008A645F">
            <w:pPr>
              <w:jc w:val="both"/>
              <w:rPr>
                <w:rFonts w:ascii="Arial" w:hAnsi="Arial" w:cs="Arial"/>
              </w:rPr>
            </w:pPr>
            <w:r>
              <w:rPr>
                <w:rFonts w:ascii="Arial" w:hAnsi="Arial" w:cs="Arial"/>
              </w:rPr>
              <w:t>Elaboración de aceites y grasas de origen vegetal y animal</w:t>
            </w:r>
          </w:p>
        </w:tc>
        <w:tc>
          <w:tcPr>
            <w:tcW w:w="1276" w:type="dxa"/>
            <w:vMerge/>
          </w:tcPr>
          <w:p w14:paraId="0501EA86" w14:textId="77777777" w:rsidR="00B2442D" w:rsidRDefault="00B2442D">
            <w:pPr>
              <w:rPr>
                <w:rFonts w:ascii="Arial" w:hAnsi="Arial" w:cs="Arial"/>
              </w:rPr>
            </w:pPr>
          </w:p>
        </w:tc>
        <w:tc>
          <w:tcPr>
            <w:tcW w:w="1276" w:type="dxa"/>
            <w:vMerge/>
          </w:tcPr>
          <w:p w14:paraId="358EC117" w14:textId="77777777" w:rsidR="00B2442D" w:rsidRDefault="00B2442D">
            <w:pPr>
              <w:rPr>
                <w:rFonts w:ascii="Arial" w:hAnsi="Arial" w:cs="Arial"/>
              </w:rPr>
            </w:pPr>
          </w:p>
        </w:tc>
      </w:tr>
      <w:tr w:rsidR="00B2442D" w14:paraId="50A05EFE" w14:textId="77777777">
        <w:tc>
          <w:tcPr>
            <w:tcW w:w="2122" w:type="dxa"/>
            <w:vAlign w:val="center"/>
          </w:tcPr>
          <w:p w14:paraId="4AC0C182" w14:textId="77777777" w:rsidR="00B2442D" w:rsidRDefault="00B2442D">
            <w:pPr>
              <w:rPr>
                <w:rFonts w:ascii="Arial" w:hAnsi="Arial" w:cs="Arial"/>
              </w:rPr>
            </w:pPr>
          </w:p>
        </w:tc>
        <w:tc>
          <w:tcPr>
            <w:tcW w:w="1417" w:type="dxa"/>
            <w:vAlign w:val="center"/>
          </w:tcPr>
          <w:p w14:paraId="5FCC85D8" w14:textId="77777777" w:rsidR="00B2442D" w:rsidRDefault="008A645F">
            <w:pPr>
              <w:jc w:val="center"/>
              <w:rPr>
                <w:rFonts w:ascii="Arial" w:hAnsi="Arial" w:cs="Arial"/>
                <w:b/>
                <w:bCs/>
              </w:rPr>
            </w:pPr>
            <w:r>
              <w:rPr>
                <w:rFonts w:ascii="Arial" w:hAnsi="Arial" w:cs="Arial"/>
                <w:b/>
                <w:bCs/>
              </w:rPr>
              <w:t>1040</w:t>
            </w:r>
          </w:p>
        </w:tc>
        <w:tc>
          <w:tcPr>
            <w:tcW w:w="2845" w:type="dxa"/>
            <w:vAlign w:val="center"/>
          </w:tcPr>
          <w:p w14:paraId="4437A5B5" w14:textId="77777777" w:rsidR="00B2442D" w:rsidRDefault="008A645F">
            <w:pPr>
              <w:jc w:val="both"/>
              <w:rPr>
                <w:rFonts w:ascii="Arial" w:hAnsi="Arial" w:cs="Arial"/>
              </w:rPr>
            </w:pPr>
            <w:r>
              <w:rPr>
                <w:rFonts w:ascii="Arial" w:hAnsi="Arial" w:cs="Arial"/>
              </w:rPr>
              <w:t>Elaboración de productos lácteos</w:t>
            </w:r>
          </w:p>
        </w:tc>
        <w:tc>
          <w:tcPr>
            <w:tcW w:w="1276" w:type="dxa"/>
            <w:vMerge/>
          </w:tcPr>
          <w:p w14:paraId="25DCDC5C" w14:textId="77777777" w:rsidR="00B2442D" w:rsidRDefault="00B2442D">
            <w:pPr>
              <w:rPr>
                <w:rFonts w:ascii="Arial" w:hAnsi="Arial" w:cs="Arial"/>
              </w:rPr>
            </w:pPr>
          </w:p>
        </w:tc>
        <w:tc>
          <w:tcPr>
            <w:tcW w:w="1276" w:type="dxa"/>
            <w:vMerge/>
          </w:tcPr>
          <w:p w14:paraId="24FE7377" w14:textId="77777777" w:rsidR="00B2442D" w:rsidRDefault="00B2442D">
            <w:pPr>
              <w:rPr>
                <w:rFonts w:ascii="Arial" w:hAnsi="Arial" w:cs="Arial"/>
              </w:rPr>
            </w:pPr>
          </w:p>
        </w:tc>
      </w:tr>
      <w:tr w:rsidR="00B2442D" w14:paraId="05D2E04E" w14:textId="77777777">
        <w:tc>
          <w:tcPr>
            <w:tcW w:w="2122" w:type="dxa"/>
            <w:vAlign w:val="center"/>
          </w:tcPr>
          <w:p w14:paraId="33690A0B" w14:textId="77777777" w:rsidR="00B2442D" w:rsidRDefault="00B2442D">
            <w:pPr>
              <w:rPr>
                <w:rFonts w:ascii="Arial" w:hAnsi="Arial" w:cs="Arial"/>
              </w:rPr>
            </w:pPr>
          </w:p>
        </w:tc>
        <w:tc>
          <w:tcPr>
            <w:tcW w:w="1417" w:type="dxa"/>
            <w:vAlign w:val="center"/>
          </w:tcPr>
          <w:p w14:paraId="5FB324AE" w14:textId="77777777" w:rsidR="00B2442D" w:rsidRDefault="008A645F">
            <w:pPr>
              <w:jc w:val="center"/>
              <w:rPr>
                <w:rFonts w:ascii="Arial" w:hAnsi="Arial" w:cs="Arial"/>
              </w:rPr>
            </w:pPr>
            <w:r>
              <w:rPr>
                <w:rFonts w:ascii="Arial" w:hAnsi="Arial" w:cs="Arial"/>
              </w:rPr>
              <w:t>1051</w:t>
            </w:r>
          </w:p>
        </w:tc>
        <w:tc>
          <w:tcPr>
            <w:tcW w:w="2845" w:type="dxa"/>
            <w:vAlign w:val="center"/>
          </w:tcPr>
          <w:p w14:paraId="76931B7F" w14:textId="77777777" w:rsidR="00B2442D" w:rsidRDefault="008A645F">
            <w:pPr>
              <w:jc w:val="both"/>
              <w:rPr>
                <w:rFonts w:ascii="Arial" w:hAnsi="Arial" w:cs="Arial"/>
              </w:rPr>
            </w:pPr>
            <w:r>
              <w:rPr>
                <w:rFonts w:ascii="Arial" w:hAnsi="Arial" w:cs="Arial"/>
              </w:rPr>
              <w:t>Elaboración de productos de molinería</w:t>
            </w:r>
          </w:p>
        </w:tc>
        <w:tc>
          <w:tcPr>
            <w:tcW w:w="1276" w:type="dxa"/>
            <w:vMerge/>
          </w:tcPr>
          <w:p w14:paraId="0492D3BF" w14:textId="77777777" w:rsidR="00B2442D" w:rsidRDefault="00B2442D">
            <w:pPr>
              <w:rPr>
                <w:rFonts w:ascii="Arial" w:hAnsi="Arial" w:cs="Arial"/>
              </w:rPr>
            </w:pPr>
          </w:p>
        </w:tc>
        <w:tc>
          <w:tcPr>
            <w:tcW w:w="1276" w:type="dxa"/>
            <w:vMerge/>
          </w:tcPr>
          <w:p w14:paraId="0FD1FC90" w14:textId="77777777" w:rsidR="00B2442D" w:rsidRDefault="00B2442D">
            <w:pPr>
              <w:rPr>
                <w:rFonts w:ascii="Arial" w:hAnsi="Arial" w:cs="Arial"/>
              </w:rPr>
            </w:pPr>
          </w:p>
        </w:tc>
      </w:tr>
      <w:tr w:rsidR="00B2442D" w14:paraId="423F9AA8" w14:textId="77777777">
        <w:tc>
          <w:tcPr>
            <w:tcW w:w="2122" w:type="dxa"/>
            <w:vAlign w:val="center"/>
          </w:tcPr>
          <w:p w14:paraId="05F3C876" w14:textId="77777777" w:rsidR="00B2442D" w:rsidRDefault="00B2442D">
            <w:pPr>
              <w:rPr>
                <w:rFonts w:ascii="Arial" w:hAnsi="Arial" w:cs="Arial"/>
              </w:rPr>
            </w:pPr>
          </w:p>
        </w:tc>
        <w:tc>
          <w:tcPr>
            <w:tcW w:w="1417" w:type="dxa"/>
            <w:vAlign w:val="center"/>
          </w:tcPr>
          <w:p w14:paraId="745E0C37" w14:textId="77777777" w:rsidR="00B2442D" w:rsidRDefault="008A645F">
            <w:pPr>
              <w:jc w:val="center"/>
              <w:rPr>
                <w:rFonts w:ascii="Arial" w:hAnsi="Arial" w:cs="Arial"/>
              </w:rPr>
            </w:pPr>
            <w:r>
              <w:rPr>
                <w:rFonts w:ascii="Arial" w:hAnsi="Arial" w:cs="Arial"/>
              </w:rPr>
              <w:t>1052</w:t>
            </w:r>
          </w:p>
        </w:tc>
        <w:tc>
          <w:tcPr>
            <w:tcW w:w="2845" w:type="dxa"/>
          </w:tcPr>
          <w:p w14:paraId="57078068" w14:textId="77777777" w:rsidR="00B2442D" w:rsidRDefault="008A645F">
            <w:pPr>
              <w:jc w:val="both"/>
              <w:rPr>
                <w:rFonts w:ascii="Arial" w:hAnsi="Arial" w:cs="Arial"/>
              </w:rPr>
            </w:pPr>
            <w:r>
              <w:rPr>
                <w:rFonts w:ascii="Arial" w:hAnsi="Arial" w:cs="Arial"/>
              </w:rPr>
              <w:t xml:space="preserve">Elaboración de </w:t>
            </w:r>
            <w:r>
              <w:rPr>
                <w:rFonts w:ascii="Arial" w:hAnsi="Arial" w:cs="Arial"/>
              </w:rPr>
              <w:t>almidones y productos derivados del almidón</w:t>
            </w:r>
          </w:p>
        </w:tc>
        <w:tc>
          <w:tcPr>
            <w:tcW w:w="1276" w:type="dxa"/>
            <w:vMerge/>
          </w:tcPr>
          <w:p w14:paraId="55D5FB4F" w14:textId="77777777" w:rsidR="00B2442D" w:rsidRDefault="00B2442D">
            <w:pPr>
              <w:rPr>
                <w:rFonts w:ascii="Arial" w:hAnsi="Arial" w:cs="Arial"/>
              </w:rPr>
            </w:pPr>
          </w:p>
        </w:tc>
        <w:tc>
          <w:tcPr>
            <w:tcW w:w="1276" w:type="dxa"/>
            <w:vMerge/>
          </w:tcPr>
          <w:p w14:paraId="0D16E443" w14:textId="77777777" w:rsidR="00B2442D" w:rsidRDefault="00B2442D">
            <w:pPr>
              <w:rPr>
                <w:rFonts w:ascii="Arial" w:hAnsi="Arial" w:cs="Arial"/>
              </w:rPr>
            </w:pPr>
          </w:p>
        </w:tc>
      </w:tr>
      <w:tr w:rsidR="00B2442D" w14:paraId="30347BAA" w14:textId="77777777">
        <w:tc>
          <w:tcPr>
            <w:tcW w:w="2122" w:type="dxa"/>
            <w:vAlign w:val="center"/>
          </w:tcPr>
          <w:p w14:paraId="1D1D0157" w14:textId="77777777" w:rsidR="00B2442D" w:rsidRDefault="00B2442D">
            <w:pPr>
              <w:rPr>
                <w:rFonts w:ascii="Arial" w:hAnsi="Arial" w:cs="Arial"/>
              </w:rPr>
            </w:pPr>
          </w:p>
        </w:tc>
        <w:tc>
          <w:tcPr>
            <w:tcW w:w="1417" w:type="dxa"/>
            <w:vAlign w:val="center"/>
          </w:tcPr>
          <w:p w14:paraId="7CC92611" w14:textId="77777777" w:rsidR="00B2442D" w:rsidRDefault="008A645F">
            <w:pPr>
              <w:jc w:val="center"/>
              <w:rPr>
                <w:rFonts w:ascii="Arial" w:hAnsi="Arial" w:cs="Arial"/>
              </w:rPr>
            </w:pPr>
            <w:r>
              <w:rPr>
                <w:rFonts w:ascii="Arial" w:hAnsi="Arial" w:cs="Arial"/>
              </w:rPr>
              <w:t>1061</w:t>
            </w:r>
          </w:p>
        </w:tc>
        <w:tc>
          <w:tcPr>
            <w:tcW w:w="2845" w:type="dxa"/>
            <w:vAlign w:val="center"/>
          </w:tcPr>
          <w:p w14:paraId="4BC6549C" w14:textId="77777777" w:rsidR="00B2442D" w:rsidRDefault="008A645F">
            <w:pPr>
              <w:jc w:val="both"/>
              <w:rPr>
                <w:rFonts w:ascii="Arial" w:hAnsi="Arial" w:cs="Arial"/>
              </w:rPr>
            </w:pPr>
            <w:r>
              <w:rPr>
                <w:rFonts w:ascii="Arial" w:hAnsi="Arial" w:cs="Arial"/>
              </w:rPr>
              <w:t>Trilla de café</w:t>
            </w:r>
          </w:p>
        </w:tc>
        <w:tc>
          <w:tcPr>
            <w:tcW w:w="1276" w:type="dxa"/>
            <w:vMerge/>
          </w:tcPr>
          <w:p w14:paraId="12A8B705" w14:textId="77777777" w:rsidR="00B2442D" w:rsidRDefault="00B2442D">
            <w:pPr>
              <w:rPr>
                <w:rFonts w:ascii="Arial" w:hAnsi="Arial" w:cs="Arial"/>
              </w:rPr>
            </w:pPr>
          </w:p>
        </w:tc>
        <w:tc>
          <w:tcPr>
            <w:tcW w:w="1276" w:type="dxa"/>
            <w:vMerge/>
          </w:tcPr>
          <w:p w14:paraId="6D820631" w14:textId="77777777" w:rsidR="00B2442D" w:rsidRDefault="00B2442D">
            <w:pPr>
              <w:rPr>
                <w:rFonts w:ascii="Arial" w:hAnsi="Arial" w:cs="Arial"/>
              </w:rPr>
            </w:pPr>
          </w:p>
        </w:tc>
      </w:tr>
      <w:tr w:rsidR="00B2442D" w14:paraId="67965BAD" w14:textId="77777777">
        <w:trPr>
          <w:trHeight w:val="158"/>
        </w:trPr>
        <w:tc>
          <w:tcPr>
            <w:tcW w:w="2122" w:type="dxa"/>
            <w:vAlign w:val="center"/>
          </w:tcPr>
          <w:p w14:paraId="6878F7F4" w14:textId="77777777" w:rsidR="00B2442D" w:rsidRDefault="00B2442D">
            <w:pPr>
              <w:rPr>
                <w:rFonts w:ascii="Arial" w:hAnsi="Arial" w:cs="Arial"/>
              </w:rPr>
            </w:pPr>
          </w:p>
        </w:tc>
        <w:tc>
          <w:tcPr>
            <w:tcW w:w="1417" w:type="dxa"/>
            <w:vAlign w:val="center"/>
          </w:tcPr>
          <w:p w14:paraId="03CD4B9F" w14:textId="77777777" w:rsidR="00B2442D" w:rsidRDefault="008A645F">
            <w:pPr>
              <w:jc w:val="center"/>
              <w:rPr>
                <w:rFonts w:ascii="Arial" w:hAnsi="Arial" w:cs="Arial"/>
              </w:rPr>
            </w:pPr>
            <w:r>
              <w:rPr>
                <w:rFonts w:ascii="Arial" w:hAnsi="Arial" w:cs="Arial"/>
              </w:rPr>
              <w:t>1062</w:t>
            </w:r>
          </w:p>
        </w:tc>
        <w:tc>
          <w:tcPr>
            <w:tcW w:w="2845" w:type="dxa"/>
            <w:vAlign w:val="center"/>
          </w:tcPr>
          <w:p w14:paraId="75DACF87" w14:textId="77777777" w:rsidR="00B2442D" w:rsidRDefault="008A645F">
            <w:pPr>
              <w:jc w:val="both"/>
              <w:rPr>
                <w:rFonts w:ascii="Arial" w:hAnsi="Arial" w:cs="Arial"/>
              </w:rPr>
            </w:pPr>
            <w:r>
              <w:rPr>
                <w:rFonts w:ascii="Arial" w:hAnsi="Arial" w:cs="Arial"/>
              </w:rPr>
              <w:t>Descafeinado, tostión y molienda del café</w:t>
            </w:r>
          </w:p>
        </w:tc>
        <w:tc>
          <w:tcPr>
            <w:tcW w:w="1276" w:type="dxa"/>
            <w:vMerge/>
          </w:tcPr>
          <w:p w14:paraId="665853CB" w14:textId="77777777" w:rsidR="00B2442D" w:rsidRDefault="00B2442D">
            <w:pPr>
              <w:rPr>
                <w:rFonts w:ascii="Arial" w:hAnsi="Arial" w:cs="Arial"/>
              </w:rPr>
            </w:pPr>
          </w:p>
        </w:tc>
        <w:tc>
          <w:tcPr>
            <w:tcW w:w="1276" w:type="dxa"/>
            <w:vMerge/>
          </w:tcPr>
          <w:p w14:paraId="6593865C" w14:textId="77777777" w:rsidR="00B2442D" w:rsidRDefault="00B2442D">
            <w:pPr>
              <w:rPr>
                <w:rFonts w:ascii="Arial" w:hAnsi="Arial" w:cs="Arial"/>
              </w:rPr>
            </w:pPr>
          </w:p>
        </w:tc>
      </w:tr>
      <w:tr w:rsidR="00B2442D" w14:paraId="49E12726" w14:textId="77777777">
        <w:tc>
          <w:tcPr>
            <w:tcW w:w="2122" w:type="dxa"/>
            <w:vAlign w:val="center"/>
          </w:tcPr>
          <w:p w14:paraId="0E47D70A" w14:textId="77777777" w:rsidR="00B2442D" w:rsidRDefault="00B2442D">
            <w:pPr>
              <w:rPr>
                <w:rFonts w:ascii="Arial" w:hAnsi="Arial" w:cs="Arial"/>
              </w:rPr>
            </w:pPr>
          </w:p>
        </w:tc>
        <w:tc>
          <w:tcPr>
            <w:tcW w:w="1417" w:type="dxa"/>
            <w:vAlign w:val="center"/>
          </w:tcPr>
          <w:p w14:paraId="75115047" w14:textId="77777777" w:rsidR="00B2442D" w:rsidRDefault="008A645F">
            <w:pPr>
              <w:jc w:val="center"/>
              <w:rPr>
                <w:rFonts w:ascii="Arial" w:hAnsi="Arial" w:cs="Arial"/>
              </w:rPr>
            </w:pPr>
            <w:r>
              <w:rPr>
                <w:rFonts w:ascii="Arial" w:hAnsi="Arial" w:cs="Arial"/>
              </w:rPr>
              <w:t>1063</w:t>
            </w:r>
          </w:p>
        </w:tc>
        <w:tc>
          <w:tcPr>
            <w:tcW w:w="2845" w:type="dxa"/>
            <w:vAlign w:val="center"/>
          </w:tcPr>
          <w:p w14:paraId="3441B618" w14:textId="77777777" w:rsidR="00B2442D" w:rsidRDefault="008A645F">
            <w:pPr>
              <w:jc w:val="both"/>
              <w:rPr>
                <w:rFonts w:ascii="Arial" w:hAnsi="Arial" w:cs="Arial"/>
              </w:rPr>
            </w:pPr>
            <w:r>
              <w:rPr>
                <w:rFonts w:ascii="Arial" w:hAnsi="Arial" w:cs="Arial"/>
              </w:rPr>
              <w:t>Otros derivados del café</w:t>
            </w:r>
          </w:p>
        </w:tc>
        <w:tc>
          <w:tcPr>
            <w:tcW w:w="1276" w:type="dxa"/>
            <w:vMerge/>
          </w:tcPr>
          <w:p w14:paraId="57F38BC3" w14:textId="77777777" w:rsidR="00B2442D" w:rsidRDefault="00B2442D">
            <w:pPr>
              <w:rPr>
                <w:rFonts w:ascii="Arial" w:hAnsi="Arial" w:cs="Arial"/>
              </w:rPr>
            </w:pPr>
          </w:p>
        </w:tc>
        <w:tc>
          <w:tcPr>
            <w:tcW w:w="1276" w:type="dxa"/>
            <w:vMerge/>
          </w:tcPr>
          <w:p w14:paraId="354597E6" w14:textId="77777777" w:rsidR="00B2442D" w:rsidRDefault="00B2442D">
            <w:pPr>
              <w:rPr>
                <w:rFonts w:ascii="Arial" w:hAnsi="Arial" w:cs="Arial"/>
              </w:rPr>
            </w:pPr>
          </w:p>
        </w:tc>
      </w:tr>
      <w:tr w:rsidR="00B2442D" w14:paraId="3BAEE34C" w14:textId="77777777">
        <w:tc>
          <w:tcPr>
            <w:tcW w:w="2122" w:type="dxa"/>
            <w:vAlign w:val="center"/>
          </w:tcPr>
          <w:p w14:paraId="5DA7B96A" w14:textId="77777777" w:rsidR="00B2442D" w:rsidRDefault="00B2442D">
            <w:pPr>
              <w:rPr>
                <w:rFonts w:ascii="Arial" w:hAnsi="Arial" w:cs="Arial"/>
              </w:rPr>
            </w:pPr>
          </w:p>
        </w:tc>
        <w:tc>
          <w:tcPr>
            <w:tcW w:w="1417" w:type="dxa"/>
            <w:vAlign w:val="center"/>
          </w:tcPr>
          <w:p w14:paraId="068104D5" w14:textId="77777777" w:rsidR="00B2442D" w:rsidRDefault="008A645F">
            <w:pPr>
              <w:jc w:val="center"/>
              <w:rPr>
                <w:rFonts w:ascii="Arial" w:hAnsi="Arial" w:cs="Arial"/>
              </w:rPr>
            </w:pPr>
            <w:r>
              <w:rPr>
                <w:rFonts w:ascii="Arial" w:hAnsi="Arial" w:cs="Arial"/>
              </w:rPr>
              <w:t>1071</w:t>
            </w:r>
          </w:p>
        </w:tc>
        <w:tc>
          <w:tcPr>
            <w:tcW w:w="2845" w:type="dxa"/>
            <w:vAlign w:val="center"/>
          </w:tcPr>
          <w:p w14:paraId="1EA31362" w14:textId="77777777" w:rsidR="00B2442D" w:rsidRDefault="008A645F">
            <w:pPr>
              <w:jc w:val="both"/>
              <w:rPr>
                <w:rFonts w:ascii="Arial" w:hAnsi="Arial" w:cs="Arial"/>
              </w:rPr>
            </w:pPr>
            <w:r>
              <w:rPr>
                <w:rFonts w:ascii="Arial" w:hAnsi="Arial" w:cs="Arial"/>
              </w:rPr>
              <w:t>Elaboración y refinación de azúcar</w:t>
            </w:r>
          </w:p>
        </w:tc>
        <w:tc>
          <w:tcPr>
            <w:tcW w:w="1276" w:type="dxa"/>
            <w:vMerge/>
          </w:tcPr>
          <w:p w14:paraId="712B4C53" w14:textId="77777777" w:rsidR="00B2442D" w:rsidRDefault="00B2442D">
            <w:pPr>
              <w:rPr>
                <w:rFonts w:ascii="Arial" w:hAnsi="Arial" w:cs="Arial"/>
              </w:rPr>
            </w:pPr>
          </w:p>
        </w:tc>
        <w:tc>
          <w:tcPr>
            <w:tcW w:w="1276" w:type="dxa"/>
            <w:vMerge/>
          </w:tcPr>
          <w:p w14:paraId="251BEF0F" w14:textId="77777777" w:rsidR="00B2442D" w:rsidRDefault="00B2442D">
            <w:pPr>
              <w:rPr>
                <w:rFonts w:ascii="Arial" w:hAnsi="Arial" w:cs="Arial"/>
              </w:rPr>
            </w:pPr>
          </w:p>
        </w:tc>
      </w:tr>
      <w:tr w:rsidR="00B2442D" w14:paraId="289C28F0" w14:textId="77777777">
        <w:tc>
          <w:tcPr>
            <w:tcW w:w="2122" w:type="dxa"/>
            <w:vAlign w:val="center"/>
          </w:tcPr>
          <w:p w14:paraId="3F52B413" w14:textId="77777777" w:rsidR="00B2442D" w:rsidRDefault="00B2442D">
            <w:pPr>
              <w:rPr>
                <w:rFonts w:ascii="Arial" w:hAnsi="Arial" w:cs="Arial"/>
              </w:rPr>
            </w:pPr>
          </w:p>
        </w:tc>
        <w:tc>
          <w:tcPr>
            <w:tcW w:w="1417" w:type="dxa"/>
            <w:vAlign w:val="center"/>
          </w:tcPr>
          <w:p w14:paraId="62D31218" w14:textId="77777777" w:rsidR="00B2442D" w:rsidRDefault="008A645F">
            <w:pPr>
              <w:jc w:val="center"/>
              <w:rPr>
                <w:rFonts w:ascii="Arial" w:hAnsi="Arial" w:cs="Arial"/>
              </w:rPr>
            </w:pPr>
            <w:r>
              <w:rPr>
                <w:rFonts w:ascii="Arial" w:hAnsi="Arial" w:cs="Arial"/>
              </w:rPr>
              <w:t>1072</w:t>
            </w:r>
          </w:p>
        </w:tc>
        <w:tc>
          <w:tcPr>
            <w:tcW w:w="2845" w:type="dxa"/>
            <w:vAlign w:val="center"/>
          </w:tcPr>
          <w:p w14:paraId="566A10B6" w14:textId="77777777" w:rsidR="00B2442D" w:rsidRDefault="008A645F">
            <w:pPr>
              <w:jc w:val="both"/>
              <w:rPr>
                <w:rFonts w:ascii="Arial" w:hAnsi="Arial" w:cs="Arial"/>
              </w:rPr>
            </w:pPr>
            <w:r>
              <w:rPr>
                <w:rFonts w:ascii="Arial" w:hAnsi="Arial" w:cs="Arial"/>
              </w:rPr>
              <w:t>Elaboración de panela</w:t>
            </w:r>
          </w:p>
        </w:tc>
        <w:tc>
          <w:tcPr>
            <w:tcW w:w="1276" w:type="dxa"/>
            <w:vMerge/>
          </w:tcPr>
          <w:p w14:paraId="3E1008D5" w14:textId="77777777" w:rsidR="00B2442D" w:rsidRDefault="00B2442D">
            <w:pPr>
              <w:rPr>
                <w:rFonts w:ascii="Arial" w:hAnsi="Arial" w:cs="Arial"/>
              </w:rPr>
            </w:pPr>
          </w:p>
        </w:tc>
        <w:tc>
          <w:tcPr>
            <w:tcW w:w="1276" w:type="dxa"/>
            <w:vMerge/>
          </w:tcPr>
          <w:p w14:paraId="082FB0BE" w14:textId="77777777" w:rsidR="00B2442D" w:rsidRDefault="00B2442D">
            <w:pPr>
              <w:rPr>
                <w:rFonts w:ascii="Arial" w:hAnsi="Arial" w:cs="Arial"/>
              </w:rPr>
            </w:pPr>
          </w:p>
        </w:tc>
      </w:tr>
      <w:tr w:rsidR="00B2442D" w14:paraId="182E6A63" w14:textId="77777777">
        <w:tc>
          <w:tcPr>
            <w:tcW w:w="2122" w:type="dxa"/>
            <w:vAlign w:val="center"/>
          </w:tcPr>
          <w:p w14:paraId="09DB56B5" w14:textId="77777777" w:rsidR="00B2442D" w:rsidRDefault="00B2442D">
            <w:pPr>
              <w:rPr>
                <w:rFonts w:ascii="Arial" w:hAnsi="Arial" w:cs="Arial"/>
              </w:rPr>
            </w:pPr>
          </w:p>
        </w:tc>
        <w:tc>
          <w:tcPr>
            <w:tcW w:w="1417" w:type="dxa"/>
            <w:vAlign w:val="center"/>
          </w:tcPr>
          <w:p w14:paraId="3E9A1739" w14:textId="77777777" w:rsidR="00B2442D" w:rsidRDefault="008A645F">
            <w:pPr>
              <w:jc w:val="center"/>
              <w:rPr>
                <w:rFonts w:ascii="Arial" w:hAnsi="Arial" w:cs="Arial"/>
                <w:b/>
                <w:bCs/>
              </w:rPr>
            </w:pPr>
            <w:r>
              <w:rPr>
                <w:rFonts w:ascii="Arial" w:hAnsi="Arial" w:cs="Arial"/>
                <w:b/>
                <w:bCs/>
              </w:rPr>
              <w:t>1081</w:t>
            </w:r>
          </w:p>
        </w:tc>
        <w:tc>
          <w:tcPr>
            <w:tcW w:w="2845" w:type="dxa"/>
            <w:vAlign w:val="center"/>
          </w:tcPr>
          <w:p w14:paraId="3879CBC3" w14:textId="77777777" w:rsidR="00B2442D" w:rsidRDefault="008A645F">
            <w:pPr>
              <w:jc w:val="both"/>
              <w:rPr>
                <w:rFonts w:ascii="Arial" w:hAnsi="Arial" w:cs="Arial"/>
              </w:rPr>
            </w:pPr>
            <w:r>
              <w:rPr>
                <w:rFonts w:ascii="Arial" w:hAnsi="Arial" w:cs="Arial"/>
              </w:rPr>
              <w:t>Elaboración de productos de panadería</w:t>
            </w:r>
          </w:p>
        </w:tc>
        <w:tc>
          <w:tcPr>
            <w:tcW w:w="1276" w:type="dxa"/>
            <w:vMerge/>
          </w:tcPr>
          <w:p w14:paraId="338ABA74" w14:textId="77777777" w:rsidR="00B2442D" w:rsidRDefault="00B2442D">
            <w:pPr>
              <w:rPr>
                <w:rFonts w:ascii="Arial" w:hAnsi="Arial" w:cs="Arial"/>
              </w:rPr>
            </w:pPr>
          </w:p>
        </w:tc>
        <w:tc>
          <w:tcPr>
            <w:tcW w:w="1276" w:type="dxa"/>
            <w:vMerge/>
          </w:tcPr>
          <w:p w14:paraId="6C1FB9F9" w14:textId="77777777" w:rsidR="00B2442D" w:rsidRDefault="00B2442D">
            <w:pPr>
              <w:rPr>
                <w:rFonts w:ascii="Arial" w:hAnsi="Arial" w:cs="Arial"/>
              </w:rPr>
            </w:pPr>
          </w:p>
        </w:tc>
      </w:tr>
      <w:tr w:rsidR="00B2442D" w14:paraId="38A9706F" w14:textId="77777777">
        <w:tc>
          <w:tcPr>
            <w:tcW w:w="2122" w:type="dxa"/>
            <w:vAlign w:val="center"/>
          </w:tcPr>
          <w:p w14:paraId="47B42537" w14:textId="77777777" w:rsidR="00B2442D" w:rsidRDefault="00B2442D">
            <w:pPr>
              <w:rPr>
                <w:rFonts w:ascii="Arial" w:hAnsi="Arial" w:cs="Arial"/>
              </w:rPr>
            </w:pPr>
          </w:p>
        </w:tc>
        <w:tc>
          <w:tcPr>
            <w:tcW w:w="1417" w:type="dxa"/>
            <w:vAlign w:val="center"/>
          </w:tcPr>
          <w:p w14:paraId="6504933C" w14:textId="77777777" w:rsidR="00B2442D" w:rsidRDefault="008A645F">
            <w:pPr>
              <w:jc w:val="center"/>
              <w:rPr>
                <w:rFonts w:ascii="Arial" w:hAnsi="Arial" w:cs="Arial"/>
                <w:b/>
                <w:bCs/>
              </w:rPr>
            </w:pPr>
            <w:r>
              <w:rPr>
                <w:rFonts w:ascii="Arial" w:hAnsi="Arial" w:cs="Arial"/>
                <w:b/>
                <w:bCs/>
              </w:rPr>
              <w:t>1082</w:t>
            </w:r>
          </w:p>
        </w:tc>
        <w:tc>
          <w:tcPr>
            <w:tcW w:w="2845" w:type="dxa"/>
          </w:tcPr>
          <w:p w14:paraId="7B913FFB" w14:textId="77777777" w:rsidR="00B2442D" w:rsidRDefault="008A645F">
            <w:pPr>
              <w:jc w:val="both"/>
              <w:rPr>
                <w:rFonts w:ascii="Arial" w:hAnsi="Arial" w:cs="Arial"/>
              </w:rPr>
            </w:pPr>
            <w:r>
              <w:rPr>
                <w:rFonts w:ascii="Arial" w:hAnsi="Arial" w:cs="Arial"/>
              </w:rPr>
              <w:t>Elaboración de cacao, chocolate y productos de confitería</w:t>
            </w:r>
          </w:p>
        </w:tc>
        <w:tc>
          <w:tcPr>
            <w:tcW w:w="1276" w:type="dxa"/>
            <w:vMerge/>
          </w:tcPr>
          <w:p w14:paraId="0E508290" w14:textId="77777777" w:rsidR="00B2442D" w:rsidRDefault="00B2442D">
            <w:pPr>
              <w:rPr>
                <w:rFonts w:ascii="Arial" w:hAnsi="Arial" w:cs="Arial"/>
              </w:rPr>
            </w:pPr>
          </w:p>
        </w:tc>
        <w:tc>
          <w:tcPr>
            <w:tcW w:w="1276" w:type="dxa"/>
            <w:vMerge/>
          </w:tcPr>
          <w:p w14:paraId="41AD83E3" w14:textId="77777777" w:rsidR="00B2442D" w:rsidRDefault="00B2442D">
            <w:pPr>
              <w:rPr>
                <w:rFonts w:ascii="Arial" w:hAnsi="Arial" w:cs="Arial"/>
              </w:rPr>
            </w:pPr>
          </w:p>
        </w:tc>
      </w:tr>
      <w:tr w:rsidR="00B2442D" w14:paraId="2B367CB8" w14:textId="77777777">
        <w:tc>
          <w:tcPr>
            <w:tcW w:w="2122" w:type="dxa"/>
            <w:vAlign w:val="center"/>
          </w:tcPr>
          <w:p w14:paraId="574B2B6A" w14:textId="77777777" w:rsidR="00B2442D" w:rsidRDefault="00B2442D">
            <w:pPr>
              <w:rPr>
                <w:rFonts w:ascii="Arial" w:hAnsi="Arial" w:cs="Arial"/>
              </w:rPr>
            </w:pPr>
          </w:p>
        </w:tc>
        <w:tc>
          <w:tcPr>
            <w:tcW w:w="1417" w:type="dxa"/>
            <w:vAlign w:val="center"/>
          </w:tcPr>
          <w:p w14:paraId="79CD5A38" w14:textId="77777777" w:rsidR="00B2442D" w:rsidRDefault="008A645F">
            <w:pPr>
              <w:jc w:val="center"/>
              <w:rPr>
                <w:rFonts w:ascii="Arial" w:hAnsi="Arial" w:cs="Arial"/>
                <w:b/>
                <w:bCs/>
              </w:rPr>
            </w:pPr>
            <w:r>
              <w:rPr>
                <w:rFonts w:ascii="Arial" w:hAnsi="Arial" w:cs="Arial"/>
                <w:b/>
                <w:bCs/>
              </w:rPr>
              <w:t>1083</w:t>
            </w:r>
          </w:p>
        </w:tc>
        <w:tc>
          <w:tcPr>
            <w:tcW w:w="2845" w:type="dxa"/>
          </w:tcPr>
          <w:p w14:paraId="560B18F1" w14:textId="77777777" w:rsidR="00B2442D" w:rsidRDefault="008A645F">
            <w:pPr>
              <w:jc w:val="both"/>
              <w:rPr>
                <w:rFonts w:ascii="Arial" w:hAnsi="Arial" w:cs="Arial"/>
              </w:rPr>
            </w:pPr>
            <w:r>
              <w:rPr>
                <w:rFonts w:ascii="Arial" w:hAnsi="Arial" w:cs="Arial"/>
              </w:rPr>
              <w:t>Elaboración de macarrones, fideos, alcuzcuz y productos farináceos similares</w:t>
            </w:r>
          </w:p>
        </w:tc>
        <w:tc>
          <w:tcPr>
            <w:tcW w:w="1276" w:type="dxa"/>
            <w:vMerge/>
          </w:tcPr>
          <w:p w14:paraId="02C8C679" w14:textId="77777777" w:rsidR="00B2442D" w:rsidRDefault="00B2442D">
            <w:pPr>
              <w:rPr>
                <w:rFonts w:ascii="Arial" w:hAnsi="Arial" w:cs="Arial"/>
              </w:rPr>
            </w:pPr>
          </w:p>
        </w:tc>
        <w:tc>
          <w:tcPr>
            <w:tcW w:w="1276" w:type="dxa"/>
            <w:vMerge/>
          </w:tcPr>
          <w:p w14:paraId="6B72B92A" w14:textId="77777777" w:rsidR="00B2442D" w:rsidRDefault="00B2442D">
            <w:pPr>
              <w:rPr>
                <w:rFonts w:ascii="Arial" w:hAnsi="Arial" w:cs="Arial"/>
              </w:rPr>
            </w:pPr>
          </w:p>
        </w:tc>
      </w:tr>
      <w:tr w:rsidR="00B2442D" w14:paraId="3A682853" w14:textId="77777777">
        <w:tc>
          <w:tcPr>
            <w:tcW w:w="2122" w:type="dxa"/>
            <w:vAlign w:val="center"/>
          </w:tcPr>
          <w:p w14:paraId="645B5E02" w14:textId="77777777" w:rsidR="00B2442D" w:rsidRDefault="00B2442D">
            <w:pPr>
              <w:rPr>
                <w:rFonts w:ascii="Arial" w:hAnsi="Arial" w:cs="Arial"/>
              </w:rPr>
            </w:pPr>
          </w:p>
        </w:tc>
        <w:tc>
          <w:tcPr>
            <w:tcW w:w="1417" w:type="dxa"/>
            <w:vAlign w:val="center"/>
          </w:tcPr>
          <w:p w14:paraId="2032514A" w14:textId="77777777" w:rsidR="00B2442D" w:rsidRDefault="008A645F">
            <w:pPr>
              <w:jc w:val="center"/>
              <w:rPr>
                <w:rFonts w:ascii="Arial" w:hAnsi="Arial" w:cs="Arial"/>
                <w:b/>
                <w:bCs/>
              </w:rPr>
            </w:pPr>
            <w:r>
              <w:rPr>
                <w:rFonts w:ascii="Arial" w:hAnsi="Arial" w:cs="Arial"/>
                <w:b/>
                <w:bCs/>
              </w:rPr>
              <w:t>1084</w:t>
            </w:r>
          </w:p>
        </w:tc>
        <w:tc>
          <w:tcPr>
            <w:tcW w:w="2845" w:type="dxa"/>
            <w:vAlign w:val="center"/>
          </w:tcPr>
          <w:p w14:paraId="45654033" w14:textId="77777777" w:rsidR="00B2442D" w:rsidRDefault="008A645F">
            <w:pPr>
              <w:jc w:val="both"/>
              <w:rPr>
                <w:rFonts w:ascii="Arial" w:hAnsi="Arial" w:cs="Arial"/>
              </w:rPr>
            </w:pPr>
            <w:r>
              <w:rPr>
                <w:rFonts w:ascii="Arial" w:hAnsi="Arial" w:cs="Arial"/>
              </w:rPr>
              <w:t>Elaboración de comidas y platos preparados</w:t>
            </w:r>
          </w:p>
        </w:tc>
        <w:tc>
          <w:tcPr>
            <w:tcW w:w="1276" w:type="dxa"/>
            <w:vMerge/>
          </w:tcPr>
          <w:p w14:paraId="585CC6D5" w14:textId="77777777" w:rsidR="00B2442D" w:rsidRDefault="00B2442D">
            <w:pPr>
              <w:rPr>
                <w:rFonts w:ascii="Arial" w:hAnsi="Arial" w:cs="Arial"/>
              </w:rPr>
            </w:pPr>
          </w:p>
        </w:tc>
        <w:tc>
          <w:tcPr>
            <w:tcW w:w="1276" w:type="dxa"/>
            <w:vMerge/>
          </w:tcPr>
          <w:p w14:paraId="7A44BF34" w14:textId="77777777" w:rsidR="00B2442D" w:rsidRDefault="00B2442D">
            <w:pPr>
              <w:rPr>
                <w:rFonts w:ascii="Arial" w:hAnsi="Arial" w:cs="Arial"/>
              </w:rPr>
            </w:pPr>
          </w:p>
        </w:tc>
      </w:tr>
      <w:tr w:rsidR="00B2442D" w14:paraId="2379C283" w14:textId="77777777">
        <w:tc>
          <w:tcPr>
            <w:tcW w:w="2122" w:type="dxa"/>
            <w:vAlign w:val="center"/>
          </w:tcPr>
          <w:p w14:paraId="48DFCA80" w14:textId="77777777" w:rsidR="00B2442D" w:rsidRDefault="00B2442D">
            <w:pPr>
              <w:rPr>
                <w:rFonts w:ascii="Arial" w:hAnsi="Arial" w:cs="Arial"/>
              </w:rPr>
            </w:pPr>
          </w:p>
        </w:tc>
        <w:tc>
          <w:tcPr>
            <w:tcW w:w="1417" w:type="dxa"/>
            <w:vAlign w:val="center"/>
          </w:tcPr>
          <w:p w14:paraId="4C685BE1" w14:textId="77777777" w:rsidR="00B2442D" w:rsidRDefault="008A645F">
            <w:pPr>
              <w:jc w:val="center"/>
              <w:rPr>
                <w:rFonts w:ascii="Arial" w:hAnsi="Arial" w:cs="Arial"/>
                <w:b/>
                <w:bCs/>
              </w:rPr>
            </w:pPr>
            <w:r>
              <w:rPr>
                <w:rFonts w:ascii="Arial" w:hAnsi="Arial" w:cs="Arial"/>
                <w:b/>
                <w:bCs/>
              </w:rPr>
              <w:t>1089</w:t>
            </w:r>
          </w:p>
        </w:tc>
        <w:tc>
          <w:tcPr>
            <w:tcW w:w="2845" w:type="dxa"/>
            <w:vAlign w:val="center"/>
          </w:tcPr>
          <w:p w14:paraId="5A99963C" w14:textId="77777777" w:rsidR="00B2442D" w:rsidRDefault="008A645F">
            <w:pPr>
              <w:jc w:val="both"/>
              <w:rPr>
                <w:rFonts w:ascii="Arial" w:hAnsi="Arial" w:cs="Arial"/>
              </w:rPr>
            </w:pPr>
            <w:r>
              <w:rPr>
                <w:rFonts w:ascii="Arial" w:hAnsi="Arial" w:cs="Arial"/>
              </w:rPr>
              <w:t>Elaboración de otros productos alimenticios n.c.p.</w:t>
            </w:r>
          </w:p>
        </w:tc>
        <w:tc>
          <w:tcPr>
            <w:tcW w:w="1276" w:type="dxa"/>
            <w:vMerge/>
          </w:tcPr>
          <w:p w14:paraId="51257149" w14:textId="77777777" w:rsidR="00B2442D" w:rsidRDefault="00B2442D">
            <w:pPr>
              <w:rPr>
                <w:rFonts w:ascii="Arial" w:hAnsi="Arial" w:cs="Arial"/>
              </w:rPr>
            </w:pPr>
          </w:p>
        </w:tc>
        <w:tc>
          <w:tcPr>
            <w:tcW w:w="1276" w:type="dxa"/>
            <w:vMerge/>
          </w:tcPr>
          <w:p w14:paraId="2477D02B" w14:textId="77777777" w:rsidR="00B2442D" w:rsidRDefault="00B2442D">
            <w:pPr>
              <w:rPr>
                <w:rFonts w:ascii="Arial" w:hAnsi="Arial" w:cs="Arial"/>
              </w:rPr>
            </w:pPr>
          </w:p>
        </w:tc>
      </w:tr>
      <w:tr w:rsidR="00B2442D" w14:paraId="17596356" w14:textId="77777777">
        <w:tc>
          <w:tcPr>
            <w:tcW w:w="2122" w:type="dxa"/>
            <w:vAlign w:val="center"/>
          </w:tcPr>
          <w:p w14:paraId="1127DA9C" w14:textId="77777777" w:rsidR="00B2442D" w:rsidRDefault="00B2442D">
            <w:pPr>
              <w:rPr>
                <w:rFonts w:ascii="Arial" w:hAnsi="Arial" w:cs="Arial"/>
              </w:rPr>
            </w:pPr>
          </w:p>
        </w:tc>
        <w:tc>
          <w:tcPr>
            <w:tcW w:w="1417" w:type="dxa"/>
            <w:vAlign w:val="center"/>
          </w:tcPr>
          <w:p w14:paraId="40FA3CEF" w14:textId="77777777" w:rsidR="00B2442D" w:rsidRDefault="008A645F">
            <w:pPr>
              <w:jc w:val="center"/>
              <w:rPr>
                <w:rFonts w:ascii="Arial" w:hAnsi="Arial" w:cs="Arial"/>
                <w:b/>
                <w:bCs/>
              </w:rPr>
            </w:pPr>
            <w:r>
              <w:rPr>
                <w:rFonts w:ascii="Arial" w:hAnsi="Arial" w:cs="Arial"/>
                <w:b/>
                <w:bCs/>
              </w:rPr>
              <w:t>1090</w:t>
            </w:r>
          </w:p>
        </w:tc>
        <w:tc>
          <w:tcPr>
            <w:tcW w:w="2845" w:type="dxa"/>
            <w:vAlign w:val="center"/>
          </w:tcPr>
          <w:p w14:paraId="5B006162" w14:textId="77777777" w:rsidR="00B2442D" w:rsidRDefault="008A645F">
            <w:pPr>
              <w:jc w:val="both"/>
              <w:rPr>
                <w:rFonts w:ascii="Arial" w:hAnsi="Arial" w:cs="Arial"/>
              </w:rPr>
            </w:pPr>
            <w:r>
              <w:rPr>
                <w:rFonts w:ascii="Arial" w:hAnsi="Arial" w:cs="Arial"/>
              </w:rPr>
              <w:t>Elaboración de alimentos preparados para animales</w:t>
            </w:r>
          </w:p>
        </w:tc>
        <w:tc>
          <w:tcPr>
            <w:tcW w:w="1276" w:type="dxa"/>
            <w:vMerge/>
          </w:tcPr>
          <w:p w14:paraId="38A4CE29" w14:textId="77777777" w:rsidR="00B2442D" w:rsidRDefault="00B2442D">
            <w:pPr>
              <w:rPr>
                <w:rFonts w:ascii="Arial" w:hAnsi="Arial" w:cs="Arial"/>
              </w:rPr>
            </w:pPr>
          </w:p>
        </w:tc>
        <w:tc>
          <w:tcPr>
            <w:tcW w:w="1276" w:type="dxa"/>
            <w:vMerge/>
          </w:tcPr>
          <w:p w14:paraId="2585C167" w14:textId="77777777" w:rsidR="00B2442D" w:rsidRDefault="00B2442D">
            <w:pPr>
              <w:rPr>
                <w:rFonts w:ascii="Arial" w:hAnsi="Arial" w:cs="Arial"/>
              </w:rPr>
            </w:pPr>
          </w:p>
        </w:tc>
      </w:tr>
      <w:tr w:rsidR="00B2442D" w14:paraId="7D0ADF8F" w14:textId="77777777">
        <w:tc>
          <w:tcPr>
            <w:tcW w:w="2122" w:type="dxa"/>
            <w:vAlign w:val="center"/>
          </w:tcPr>
          <w:p w14:paraId="5B44A8B1" w14:textId="77777777" w:rsidR="00B2442D" w:rsidRDefault="00B2442D">
            <w:pPr>
              <w:rPr>
                <w:rFonts w:ascii="Arial" w:hAnsi="Arial" w:cs="Arial"/>
              </w:rPr>
            </w:pPr>
          </w:p>
        </w:tc>
        <w:tc>
          <w:tcPr>
            <w:tcW w:w="1417" w:type="dxa"/>
            <w:vAlign w:val="center"/>
          </w:tcPr>
          <w:p w14:paraId="74086EF5" w14:textId="77777777" w:rsidR="00B2442D" w:rsidRDefault="008A645F">
            <w:pPr>
              <w:jc w:val="center"/>
              <w:rPr>
                <w:rFonts w:ascii="Arial" w:hAnsi="Arial" w:cs="Arial"/>
              </w:rPr>
            </w:pPr>
            <w:r>
              <w:rPr>
                <w:rFonts w:ascii="Arial" w:hAnsi="Arial" w:cs="Arial"/>
              </w:rPr>
              <w:t>1101</w:t>
            </w:r>
          </w:p>
        </w:tc>
        <w:tc>
          <w:tcPr>
            <w:tcW w:w="2845" w:type="dxa"/>
          </w:tcPr>
          <w:p w14:paraId="029592FC" w14:textId="77777777" w:rsidR="00B2442D" w:rsidRDefault="008A645F">
            <w:pPr>
              <w:jc w:val="both"/>
              <w:rPr>
                <w:rFonts w:ascii="Arial" w:hAnsi="Arial" w:cs="Arial"/>
              </w:rPr>
            </w:pPr>
            <w:r>
              <w:rPr>
                <w:rFonts w:ascii="Arial" w:hAnsi="Arial" w:cs="Arial"/>
              </w:rPr>
              <w:t>Destilación, rectificación y mezcla de bebidas</w:t>
            </w:r>
            <w:r>
              <w:rPr>
                <w:rFonts w:ascii="Arial" w:hAnsi="Arial" w:cs="Arial"/>
              </w:rPr>
              <w:br/>
              <w:t>alcohólicas</w:t>
            </w:r>
          </w:p>
        </w:tc>
        <w:tc>
          <w:tcPr>
            <w:tcW w:w="1276" w:type="dxa"/>
            <w:vMerge/>
          </w:tcPr>
          <w:p w14:paraId="3F348944" w14:textId="77777777" w:rsidR="00B2442D" w:rsidRDefault="00B2442D">
            <w:pPr>
              <w:rPr>
                <w:rFonts w:ascii="Arial" w:hAnsi="Arial" w:cs="Arial"/>
              </w:rPr>
            </w:pPr>
          </w:p>
        </w:tc>
        <w:tc>
          <w:tcPr>
            <w:tcW w:w="1276" w:type="dxa"/>
            <w:vMerge/>
          </w:tcPr>
          <w:p w14:paraId="5D82C6A0" w14:textId="77777777" w:rsidR="00B2442D" w:rsidRDefault="00B2442D">
            <w:pPr>
              <w:rPr>
                <w:rFonts w:ascii="Arial" w:hAnsi="Arial" w:cs="Arial"/>
              </w:rPr>
            </w:pPr>
          </w:p>
        </w:tc>
      </w:tr>
      <w:tr w:rsidR="00B2442D" w14:paraId="2870FDBF" w14:textId="77777777">
        <w:tc>
          <w:tcPr>
            <w:tcW w:w="2122" w:type="dxa"/>
            <w:vAlign w:val="center"/>
          </w:tcPr>
          <w:p w14:paraId="252F5F52" w14:textId="77777777" w:rsidR="00B2442D" w:rsidRDefault="00B2442D">
            <w:pPr>
              <w:rPr>
                <w:rFonts w:ascii="Arial" w:hAnsi="Arial" w:cs="Arial"/>
              </w:rPr>
            </w:pPr>
          </w:p>
        </w:tc>
        <w:tc>
          <w:tcPr>
            <w:tcW w:w="1417" w:type="dxa"/>
            <w:vAlign w:val="center"/>
          </w:tcPr>
          <w:p w14:paraId="256895B2" w14:textId="77777777" w:rsidR="00B2442D" w:rsidRDefault="008A645F">
            <w:pPr>
              <w:jc w:val="center"/>
              <w:rPr>
                <w:rFonts w:ascii="Arial" w:hAnsi="Arial" w:cs="Arial"/>
              </w:rPr>
            </w:pPr>
            <w:r>
              <w:rPr>
                <w:rFonts w:ascii="Arial" w:hAnsi="Arial" w:cs="Arial"/>
              </w:rPr>
              <w:t>1102</w:t>
            </w:r>
          </w:p>
        </w:tc>
        <w:tc>
          <w:tcPr>
            <w:tcW w:w="2845" w:type="dxa"/>
            <w:vAlign w:val="center"/>
          </w:tcPr>
          <w:p w14:paraId="38439D63" w14:textId="77777777" w:rsidR="00B2442D" w:rsidRDefault="008A645F">
            <w:pPr>
              <w:jc w:val="both"/>
              <w:rPr>
                <w:rFonts w:ascii="Arial" w:hAnsi="Arial" w:cs="Arial"/>
              </w:rPr>
            </w:pPr>
            <w:r>
              <w:rPr>
                <w:rFonts w:ascii="Arial" w:hAnsi="Arial" w:cs="Arial"/>
              </w:rPr>
              <w:t>Elaboración de bebidas fermentadas no destiladas</w:t>
            </w:r>
          </w:p>
        </w:tc>
        <w:tc>
          <w:tcPr>
            <w:tcW w:w="1276" w:type="dxa"/>
            <w:vMerge/>
          </w:tcPr>
          <w:p w14:paraId="14F9C2FF" w14:textId="77777777" w:rsidR="00B2442D" w:rsidRDefault="00B2442D">
            <w:pPr>
              <w:rPr>
                <w:rFonts w:ascii="Arial" w:hAnsi="Arial" w:cs="Arial"/>
              </w:rPr>
            </w:pPr>
          </w:p>
        </w:tc>
        <w:tc>
          <w:tcPr>
            <w:tcW w:w="1276" w:type="dxa"/>
            <w:vMerge/>
          </w:tcPr>
          <w:p w14:paraId="4CBA76EB" w14:textId="77777777" w:rsidR="00B2442D" w:rsidRDefault="00B2442D">
            <w:pPr>
              <w:rPr>
                <w:rFonts w:ascii="Arial" w:hAnsi="Arial" w:cs="Arial"/>
              </w:rPr>
            </w:pPr>
          </w:p>
        </w:tc>
      </w:tr>
      <w:tr w:rsidR="00B2442D" w14:paraId="75FDE27B" w14:textId="77777777">
        <w:tc>
          <w:tcPr>
            <w:tcW w:w="2122" w:type="dxa"/>
            <w:vAlign w:val="center"/>
          </w:tcPr>
          <w:p w14:paraId="11C36334" w14:textId="77777777" w:rsidR="00B2442D" w:rsidRDefault="00B2442D">
            <w:pPr>
              <w:rPr>
                <w:rFonts w:ascii="Arial" w:hAnsi="Arial" w:cs="Arial"/>
              </w:rPr>
            </w:pPr>
          </w:p>
        </w:tc>
        <w:tc>
          <w:tcPr>
            <w:tcW w:w="1417" w:type="dxa"/>
            <w:vAlign w:val="center"/>
          </w:tcPr>
          <w:p w14:paraId="0FC17B10" w14:textId="77777777" w:rsidR="00B2442D" w:rsidRDefault="008A645F">
            <w:pPr>
              <w:jc w:val="center"/>
              <w:rPr>
                <w:rFonts w:ascii="Arial" w:hAnsi="Arial" w:cs="Arial"/>
              </w:rPr>
            </w:pPr>
            <w:r>
              <w:rPr>
                <w:rFonts w:ascii="Arial" w:hAnsi="Arial" w:cs="Arial"/>
              </w:rPr>
              <w:t>1103</w:t>
            </w:r>
          </w:p>
        </w:tc>
        <w:tc>
          <w:tcPr>
            <w:tcW w:w="2845" w:type="dxa"/>
          </w:tcPr>
          <w:p w14:paraId="0C9ADEFF" w14:textId="77777777" w:rsidR="00B2442D" w:rsidRDefault="008A645F">
            <w:pPr>
              <w:jc w:val="both"/>
              <w:rPr>
                <w:rFonts w:ascii="Arial" w:hAnsi="Arial" w:cs="Arial"/>
              </w:rPr>
            </w:pPr>
            <w:r>
              <w:rPr>
                <w:rFonts w:ascii="Arial" w:hAnsi="Arial" w:cs="Arial"/>
              </w:rPr>
              <w:t>Producción de malta, elaboración de cervezas y otras bebidas malteadas</w:t>
            </w:r>
          </w:p>
        </w:tc>
        <w:tc>
          <w:tcPr>
            <w:tcW w:w="1276" w:type="dxa"/>
            <w:vMerge/>
          </w:tcPr>
          <w:p w14:paraId="2C69895F" w14:textId="77777777" w:rsidR="00B2442D" w:rsidRDefault="00B2442D">
            <w:pPr>
              <w:rPr>
                <w:rFonts w:ascii="Arial" w:hAnsi="Arial" w:cs="Arial"/>
              </w:rPr>
            </w:pPr>
          </w:p>
        </w:tc>
        <w:tc>
          <w:tcPr>
            <w:tcW w:w="1276" w:type="dxa"/>
            <w:vMerge/>
          </w:tcPr>
          <w:p w14:paraId="67C7C5D8" w14:textId="77777777" w:rsidR="00B2442D" w:rsidRDefault="00B2442D">
            <w:pPr>
              <w:rPr>
                <w:rFonts w:ascii="Arial" w:hAnsi="Arial" w:cs="Arial"/>
              </w:rPr>
            </w:pPr>
          </w:p>
        </w:tc>
      </w:tr>
      <w:tr w:rsidR="00B2442D" w14:paraId="07B4C39A" w14:textId="77777777">
        <w:tc>
          <w:tcPr>
            <w:tcW w:w="2122" w:type="dxa"/>
            <w:vAlign w:val="center"/>
          </w:tcPr>
          <w:p w14:paraId="27E681EB" w14:textId="77777777" w:rsidR="00B2442D" w:rsidRDefault="00B2442D">
            <w:pPr>
              <w:rPr>
                <w:rFonts w:ascii="Arial" w:hAnsi="Arial" w:cs="Arial"/>
              </w:rPr>
            </w:pPr>
          </w:p>
        </w:tc>
        <w:tc>
          <w:tcPr>
            <w:tcW w:w="1417" w:type="dxa"/>
            <w:vAlign w:val="center"/>
          </w:tcPr>
          <w:p w14:paraId="5112EA50" w14:textId="77777777" w:rsidR="00B2442D" w:rsidRDefault="008A645F">
            <w:pPr>
              <w:jc w:val="center"/>
              <w:rPr>
                <w:rFonts w:ascii="Arial" w:hAnsi="Arial" w:cs="Arial"/>
              </w:rPr>
            </w:pPr>
            <w:r>
              <w:rPr>
                <w:rFonts w:ascii="Arial" w:hAnsi="Arial" w:cs="Arial"/>
              </w:rPr>
              <w:t>1104</w:t>
            </w:r>
          </w:p>
        </w:tc>
        <w:tc>
          <w:tcPr>
            <w:tcW w:w="2845" w:type="dxa"/>
          </w:tcPr>
          <w:p w14:paraId="5DB3E603" w14:textId="77777777" w:rsidR="00B2442D" w:rsidRDefault="008A645F">
            <w:pPr>
              <w:jc w:val="both"/>
              <w:rPr>
                <w:rFonts w:ascii="Arial" w:hAnsi="Arial" w:cs="Arial"/>
              </w:rPr>
            </w:pPr>
            <w:r>
              <w:rPr>
                <w:rFonts w:ascii="Arial" w:hAnsi="Arial" w:cs="Arial"/>
              </w:rPr>
              <w:t>Elaboración de bebidas no alcohólicas, producción de aguas minerales y de otras aguas embotelladas</w:t>
            </w:r>
          </w:p>
        </w:tc>
        <w:tc>
          <w:tcPr>
            <w:tcW w:w="1276" w:type="dxa"/>
            <w:vMerge/>
          </w:tcPr>
          <w:p w14:paraId="598BF0F5" w14:textId="77777777" w:rsidR="00B2442D" w:rsidRDefault="00B2442D">
            <w:pPr>
              <w:rPr>
                <w:rFonts w:ascii="Arial" w:hAnsi="Arial" w:cs="Arial"/>
              </w:rPr>
            </w:pPr>
          </w:p>
        </w:tc>
        <w:tc>
          <w:tcPr>
            <w:tcW w:w="1276" w:type="dxa"/>
            <w:vMerge/>
          </w:tcPr>
          <w:p w14:paraId="68A7C81C" w14:textId="77777777" w:rsidR="00B2442D" w:rsidRDefault="00B2442D">
            <w:pPr>
              <w:rPr>
                <w:rFonts w:ascii="Arial" w:hAnsi="Arial" w:cs="Arial"/>
              </w:rPr>
            </w:pPr>
          </w:p>
        </w:tc>
      </w:tr>
      <w:tr w:rsidR="00B2442D" w14:paraId="29262CAB" w14:textId="77777777">
        <w:tc>
          <w:tcPr>
            <w:tcW w:w="2122" w:type="dxa"/>
            <w:vAlign w:val="center"/>
          </w:tcPr>
          <w:p w14:paraId="3CC08DDD" w14:textId="77777777" w:rsidR="00B2442D" w:rsidRDefault="008A645F">
            <w:pPr>
              <w:rPr>
                <w:rFonts w:ascii="Arial" w:hAnsi="Arial" w:cs="Arial"/>
              </w:rPr>
            </w:pPr>
            <w:r>
              <w:rPr>
                <w:rFonts w:ascii="Arial" w:hAnsi="Arial" w:cs="Arial"/>
              </w:rPr>
              <w:t>Manufactura</w:t>
            </w:r>
            <w:r>
              <w:rPr>
                <w:rFonts w:ascii="Arial" w:hAnsi="Arial" w:cs="Arial"/>
              </w:rPr>
              <w:br/>
              <w:t>textiles, prendas</w:t>
            </w:r>
            <w:r>
              <w:rPr>
                <w:rFonts w:ascii="Arial" w:hAnsi="Arial" w:cs="Arial"/>
              </w:rPr>
              <w:br/>
              <w:t>de vestir y cuero</w:t>
            </w:r>
          </w:p>
        </w:tc>
        <w:tc>
          <w:tcPr>
            <w:tcW w:w="1417" w:type="dxa"/>
          </w:tcPr>
          <w:p w14:paraId="420F237D" w14:textId="77777777" w:rsidR="00B2442D" w:rsidRDefault="008A645F">
            <w:pPr>
              <w:jc w:val="center"/>
              <w:rPr>
                <w:rFonts w:ascii="Arial" w:hAnsi="Arial" w:cs="Arial"/>
              </w:rPr>
            </w:pPr>
            <w:r>
              <w:rPr>
                <w:rFonts w:ascii="Arial" w:hAnsi="Arial" w:cs="Arial"/>
              </w:rPr>
              <w:t>1311</w:t>
            </w:r>
          </w:p>
        </w:tc>
        <w:tc>
          <w:tcPr>
            <w:tcW w:w="2845" w:type="dxa"/>
            <w:vAlign w:val="center"/>
          </w:tcPr>
          <w:p w14:paraId="59D141D5" w14:textId="77777777" w:rsidR="00B2442D" w:rsidRDefault="008A645F">
            <w:pPr>
              <w:jc w:val="both"/>
              <w:rPr>
                <w:rFonts w:ascii="Arial" w:hAnsi="Arial" w:cs="Arial"/>
              </w:rPr>
            </w:pPr>
            <w:r>
              <w:rPr>
                <w:rFonts w:ascii="Arial" w:hAnsi="Arial" w:cs="Arial"/>
              </w:rPr>
              <w:t>Preparación e hilatura de fibras textiles</w:t>
            </w:r>
          </w:p>
        </w:tc>
        <w:tc>
          <w:tcPr>
            <w:tcW w:w="1276" w:type="dxa"/>
            <w:vMerge w:val="restart"/>
            <w:vAlign w:val="center"/>
          </w:tcPr>
          <w:p w14:paraId="4BD776E6" w14:textId="77777777" w:rsidR="00B2442D" w:rsidRDefault="008A645F">
            <w:pPr>
              <w:rPr>
                <w:rFonts w:ascii="Arial" w:hAnsi="Arial" w:cs="Arial"/>
              </w:rPr>
            </w:pPr>
            <w:r>
              <w:rPr>
                <w:rFonts w:ascii="Arial" w:hAnsi="Arial" w:cs="Arial"/>
              </w:rPr>
              <w:t>4.303</w:t>
            </w:r>
            <w:r>
              <w:rPr>
                <w:rFonts w:ascii="Arial" w:hAnsi="Arial" w:cs="Arial"/>
              </w:rPr>
              <w:br/>
              <w:t>WT</w:t>
            </w:r>
          </w:p>
        </w:tc>
        <w:tc>
          <w:tcPr>
            <w:tcW w:w="1276" w:type="dxa"/>
            <w:vMerge w:val="restart"/>
            <w:vAlign w:val="center"/>
          </w:tcPr>
          <w:p w14:paraId="23F92C53" w14:textId="77777777" w:rsidR="00B2442D" w:rsidRDefault="008A645F">
            <w:pPr>
              <w:rPr>
                <w:rFonts w:ascii="Arial" w:hAnsi="Arial" w:cs="Arial"/>
              </w:rPr>
            </w:pPr>
            <w:r>
              <w:rPr>
                <w:rFonts w:ascii="Arial" w:hAnsi="Arial" w:cs="Arial"/>
              </w:rPr>
              <w:t>2,93% *(RGA</w:t>
            </w:r>
            <w:r>
              <w:rPr>
                <w:rFonts w:ascii="Arial" w:hAnsi="Arial" w:cs="Arial"/>
              </w:rPr>
              <w:br/>
              <w:t>WT - 4.303)</w:t>
            </w:r>
          </w:p>
        </w:tc>
      </w:tr>
      <w:tr w:rsidR="00B2442D" w14:paraId="698B5DC6" w14:textId="77777777">
        <w:tc>
          <w:tcPr>
            <w:tcW w:w="2122" w:type="dxa"/>
            <w:vAlign w:val="center"/>
          </w:tcPr>
          <w:p w14:paraId="388C5EA8" w14:textId="77777777" w:rsidR="00B2442D" w:rsidRDefault="00B2442D">
            <w:pPr>
              <w:rPr>
                <w:rFonts w:ascii="Arial" w:hAnsi="Arial" w:cs="Arial"/>
              </w:rPr>
            </w:pPr>
          </w:p>
        </w:tc>
        <w:tc>
          <w:tcPr>
            <w:tcW w:w="1417" w:type="dxa"/>
            <w:vAlign w:val="center"/>
          </w:tcPr>
          <w:p w14:paraId="7C183842" w14:textId="77777777" w:rsidR="00B2442D" w:rsidRDefault="008A645F">
            <w:pPr>
              <w:jc w:val="center"/>
              <w:rPr>
                <w:rFonts w:ascii="Arial" w:hAnsi="Arial" w:cs="Arial"/>
              </w:rPr>
            </w:pPr>
            <w:r>
              <w:rPr>
                <w:rFonts w:ascii="Arial" w:hAnsi="Arial" w:cs="Arial"/>
              </w:rPr>
              <w:t>1312</w:t>
            </w:r>
          </w:p>
        </w:tc>
        <w:tc>
          <w:tcPr>
            <w:tcW w:w="2845" w:type="dxa"/>
            <w:vAlign w:val="center"/>
          </w:tcPr>
          <w:p w14:paraId="48332507" w14:textId="77777777" w:rsidR="00B2442D" w:rsidRDefault="008A645F">
            <w:pPr>
              <w:jc w:val="both"/>
              <w:rPr>
                <w:rFonts w:ascii="Arial" w:hAnsi="Arial" w:cs="Arial"/>
              </w:rPr>
            </w:pPr>
            <w:r>
              <w:rPr>
                <w:rFonts w:ascii="Arial" w:hAnsi="Arial" w:cs="Arial"/>
              </w:rPr>
              <w:t>Tejeduria de productos textiles</w:t>
            </w:r>
          </w:p>
        </w:tc>
        <w:tc>
          <w:tcPr>
            <w:tcW w:w="1276" w:type="dxa"/>
            <w:vMerge/>
          </w:tcPr>
          <w:p w14:paraId="6D204A7E" w14:textId="77777777" w:rsidR="00B2442D" w:rsidRDefault="00B2442D">
            <w:pPr>
              <w:rPr>
                <w:rFonts w:ascii="Arial" w:hAnsi="Arial" w:cs="Arial"/>
              </w:rPr>
            </w:pPr>
          </w:p>
        </w:tc>
        <w:tc>
          <w:tcPr>
            <w:tcW w:w="1276" w:type="dxa"/>
            <w:vMerge/>
          </w:tcPr>
          <w:p w14:paraId="0AD6B285" w14:textId="77777777" w:rsidR="00B2442D" w:rsidRDefault="00B2442D">
            <w:pPr>
              <w:rPr>
                <w:rFonts w:ascii="Arial" w:hAnsi="Arial" w:cs="Arial"/>
              </w:rPr>
            </w:pPr>
          </w:p>
        </w:tc>
      </w:tr>
      <w:tr w:rsidR="00B2442D" w14:paraId="2FED844A" w14:textId="77777777">
        <w:tc>
          <w:tcPr>
            <w:tcW w:w="2122" w:type="dxa"/>
            <w:vAlign w:val="center"/>
          </w:tcPr>
          <w:p w14:paraId="22995D62" w14:textId="77777777" w:rsidR="00B2442D" w:rsidRDefault="00B2442D">
            <w:pPr>
              <w:rPr>
                <w:rFonts w:ascii="Arial" w:hAnsi="Arial" w:cs="Arial"/>
              </w:rPr>
            </w:pPr>
          </w:p>
        </w:tc>
        <w:tc>
          <w:tcPr>
            <w:tcW w:w="1417" w:type="dxa"/>
            <w:vAlign w:val="center"/>
          </w:tcPr>
          <w:p w14:paraId="70A03404" w14:textId="77777777" w:rsidR="00B2442D" w:rsidRDefault="008A645F">
            <w:pPr>
              <w:jc w:val="center"/>
              <w:rPr>
                <w:rFonts w:ascii="Arial" w:hAnsi="Arial" w:cs="Arial"/>
              </w:rPr>
            </w:pPr>
            <w:r>
              <w:rPr>
                <w:rFonts w:ascii="Arial" w:hAnsi="Arial" w:cs="Arial"/>
              </w:rPr>
              <w:t>1313</w:t>
            </w:r>
          </w:p>
        </w:tc>
        <w:tc>
          <w:tcPr>
            <w:tcW w:w="2845" w:type="dxa"/>
            <w:vAlign w:val="center"/>
          </w:tcPr>
          <w:p w14:paraId="4CF87F3A" w14:textId="77777777" w:rsidR="00B2442D" w:rsidRDefault="008A645F">
            <w:pPr>
              <w:jc w:val="both"/>
              <w:rPr>
                <w:rFonts w:ascii="Arial" w:hAnsi="Arial" w:cs="Arial"/>
              </w:rPr>
            </w:pPr>
            <w:r>
              <w:rPr>
                <w:rFonts w:ascii="Arial" w:hAnsi="Arial" w:cs="Arial"/>
              </w:rPr>
              <w:t>Acabado de productos textiles</w:t>
            </w:r>
          </w:p>
        </w:tc>
        <w:tc>
          <w:tcPr>
            <w:tcW w:w="1276" w:type="dxa"/>
            <w:vMerge/>
          </w:tcPr>
          <w:p w14:paraId="7435C4FC" w14:textId="77777777" w:rsidR="00B2442D" w:rsidRDefault="00B2442D">
            <w:pPr>
              <w:rPr>
                <w:rFonts w:ascii="Arial" w:hAnsi="Arial" w:cs="Arial"/>
              </w:rPr>
            </w:pPr>
          </w:p>
        </w:tc>
        <w:tc>
          <w:tcPr>
            <w:tcW w:w="1276" w:type="dxa"/>
            <w:vMerge/>
          </w:tcPr>
          <w:p w14:paraId="4DD2ED7C" w14:textId="77777777" w:rsidR="00B2442D" w:rsidRDefault="00B2442D">
            <w:pPr>
              <w:rPr>
                <w:rFonts w:ascii="Arial" w:hAnsi="Arial" w:cs="Arial"/>
              </w:rPr>
            </w:pPr>
          </w:p>
        </w:tc>
      </w:tr>
      <w:tr w:rsidR="00B2442D" w14:paraId="4178B600" w14:textId="77777777">
        <w:tc>
          <w:tcPr>
            <w:tcW w:w="2122" w:type="dxa"/>
            <w:vAlign w:val="center"/>
          </w:tcPr>
          <w:p w14:paraId="45F8E758" w14:textId="77777777" w:rsidR="00B2442D" w:rsidRDefault="00B2442D">
            <w:pPr>
              <w:rPr>
                <w:rFonts w:ascii="Arial" w:hAnsi="Arial" w:cs="Arial"/>
              </w:rPr>
            </w:pPr>
          </w:p>
        </w:tc>
        <w:tc>
          <w:tcPr>
            <w:tcW w:w="1417" w:type="dxa"/>
            <w:vAlign w:val="center"/>
          </w:tcPr>
          <w:p w14:paraId="78CFFA59" w14:textId="77777777" w:rsidR="00B2442D" w:rsidRDefault="008A645F">
            <w:pPr>
              <w:jc w:val="center"/>
              <w:rPr>
                <w:rFonts w:ascii="Arial" w:hAnsi="Arial" w:cs="Arial"/>
              </w:rPr>
            </w:pPr>
            <w:r>
              <w:rPr>
                <w:rFonts w:ascii="Arial" w:hAnsi="Arial" w:cs="Arial"/>
              </w:rPr>
              <w:t>1391</w:t>
            </w:r>
          </w:p>
        </w:tc>
        <w:tc>
          <w:tcPr>
            <w:tcW w:w="2845" w:type="dxa"/>
            <w:vAlign w:val="center"/>
          </w:tcPr>
          <w:p w14:paraId="5DC4314D" w14:textId="77777777" w:rsidR="00B2442D" w:rsidRDefault="008A645F">
            <w:pPr>
              <w:jc w:val="both"/>
              <w:rPr>
                <w:rFonts w:ascii="Arial" w:hAnsi="Arial" w:cs="Arial"/>
              </w:rPr>
            </w:pPr>
            <w:r>
              <w:rPr>
                <w:rFonts w:ascii="Arial" w:hAnsi="Arial" w:cs="Arial"/>
              </w:rPr>
              <w:t>Fabricación de tejidos de punto y ganchillo</w:t>
            </w:r>
          </w:p>
        </w:tc>
        <w:tc>
          <w:tcPr>
            <w:tcW w:w="1276" w:type="dxa"/>
            <w:vMerge/>
          </w:tcPr>
          <w:p w14:paraId="4AA4324F" w14:textId="77777777" w:rsidR="00B2442D" w:rsidRDefault="00B2442D">
            <w:pPr>
              <w:rPr>
                <w:rFonts w:ascii="Arial" w:hAnsi="Arial" w:cs="Arial"/>
              </w:rPr>
            </w:pPr>
          </w:p>
        </w:tc>
        <w:tc>
          <w:tcPr>
            <w:tcW w:w="1276" w:type="dxa"/>
            <w:vMerge/>
          </w:tcPr>
          <w:p w14:paraId="182AEAA7" w14:textId="77777777" w:rsidR="00B2442D" w:rsidRDefault="00B2442D">
            <w:pPr>
              <w:rPr>
                <w:rFonts w:ascii="Arial" w:hAnsi="Arial" w:cs="Arial"/>
              </w:rPr>
            </w:pPr>
          </w:p>
        </w:tc>
      </w:tr>
      <w:tr w:rsidR="00B2442D" w14:paraId="780EEB31" w14:textId="77777777">
        <w:tc>
          <w:tcPr>
            <w:tcW w:w="2122" w:type="dxa"/>
            <w:vAlign w:val="center"/>
          </w:tcPr>
          <w:p w14:paraId="4EEAF3B8" w14:textId="77777777" w:rsidR="00B2442D" w:rsidRDefault="00B2442D">
            <w:pPr>
              <w:rPr>
                <w:rFonts w:ascii="Arial" w:hAnsi="Arial" w:cs="Arial"/>
              </w:rPr>
            </w:pPr>
          </w:p>
        </w:tc>
        <w:tc>
          <w:tcPr>
            <w:tcW w:w="1417" w:type="dxa"/>
            <w:vAlign w:val="center"/>
          </w:tcPr>
          <w:p w14:paraId="2694ABE4" w14:textId="77777777" w:rsidR="00B2442D" w:rsidRDefault="008A645F">
            <w:pPr>
              <w:jc w:val="center"/>
              <w:rPr>
                <w:rFonts w:ascii="Arial" w:hAnsi="Arial" w:cs="Arial"/>
              </w:rPr>
            </w:pPr>
            <w:r>
              <w:rPr>
                <w:rFonts w:ascii="Arial" w:hAnsi="Arial" w:cs="Arial"/>
              </w:rPr>
              <w:t>1392</w:t>
            </w:r>
          </w:p>
        </w:tc>
        <w:tc>
          <w:tcPr>
            <w:tcW w:w="2845" w:type="dxa"/>
          </w:tcPr>
          <w:p w14:paraId="30931FB2" w14:textId="77777777" w:rsidR="00B2442D" w:rsidRDefault="008A645F">
            <w:pPr>
              <w:jc w:val="both"/>
              <w:rPr>
                <w:rFonts w:ascii="Arial" w:hAnsi="Arial" w:cs="Arial"/>
              </w:rPr>
            </w:pPr>
            <w:r>
              <w:rPr>
                <w:rFonts w:ascii="Arial" w:hAnsi="Arial" w:cs="Arial"/>
              </w:rPr>
              <w:t xml:space="preserve">Confección de artículos con </w:t>
            </w:r>
            <w:r>
              <w:rPr>
                <w:rFonts w:ascii="Arial" w:hAnsi="Arial" w:cs="Arial"/>
              </w:rPr>
              <w:t>materiales textiles, excepto prendas de vestir</w:t>
            </w:r>
          </w:p>
        </w:tc>
        <w:tc>
          <w:tcPr>
            <w:tcW w:w="1276" w:type="dxa"/>
            <w:vMerge/>
          </w:tcPr>
          <w:p w14:paraId="1733CFA6" w14:textId="77777777" w:rsidR="00B2442D" w:rsidRDefault="00B2442D">
            <w:pPr>
              <w:rPr>
                <w:rFonts w:ascii="Arial" w:hAnsi="Arial" w:cs="Arial"/>
              </w:rPr>
            </w:pPr>
          </w:p>
        </w:tc>
        <w:tc>
          <w:tcPr>
            <w:tcW w:w="1276" w:type="dxa"/>
            <w:vMerge/>
          </w:tcPr>
          <w:p w14:paraId="39B1E0EE" w14:textId="77777777" w:rsidR="00B2442D" w:rsidRDefault="00B2442D">
            <w:pPr>
              <w:rPr>
                <w:rFonts w:ascii="Arial" w:hAnsi="Arial" w:cs="Arial"/>
              </w:rPr>
            </w:pPr>
          </w:p>
        </w:tc>
      </w:tr>
      <w:tr w:rsidR="00B2442D" w14:paraId="42C9F0EB" w14:textId="77777777">
        <w:tc>
          <w:tcPr>
            <w:tcW w:w="2122" w:type="dxa"/>
            <w:vAlign w:val="center"/>
          </w:tcPr>
          <w:p w14:paraId="6F61A3BE" w14:textId="77777777" w:rsidR="00B2442D" w:rsidRDefault="00B2442D">
            <w:pPr>
              <w:rPr>
                <w:rFonts w:ascii="Arial" w:hAnsi="Arial" w:cs="Arial"/>
              </w:rPr>
            </w:pPr>
          </w:p>
        </w:tc>
        <w:tc>
          <w:tcPr>
            <w:tcW w:w="1417" w:type="dxa"/>
            <w:vAlign w:val="center"/>
          </w:tcPr>
          <w:p w14:paraId="0FD3B46D" w14:textId="77777777" w:rsidR="00B2442D" w:rsidRDefault="008A645F">
            <w:pPr>
              <w:jc w:val="center"/>
              <w:rPr>
                <w:rFonts w:ascii="Arial" w:hAnsi="Arial" w:cs="Arial"/>
              </w:rPr>
            </w:pPr>
            <w:r>
              <w:rPr>
                <w:rFonts w:ascii="Arial" w:hAnsi="Arial" w:cs="Arial"/>
              </w:rPr>
              <w:t>1393</w:t>
            </w:r>
          </w:p>
        </w:tc>
        <w:tc>
          <w:tcPr>
            <w:tcW w:w="2845" w:type="dxa"/>
            <w:vAlign w:val="center"/>
          </w:tcPr>
          <w:p w14:paraId="47BD6B93" w14:textId="77777777" w:rsidR="00B2442D" w:rsidRDefault="008A645F">
            <w:pPr>
              <w:jc w:val="both"/>
              <w:rPr>
                <w:rFonts w:ascii="Arial" w:hAnsi="Arial" w:cs="Arial"/>
              </w:rPr>
            </w:pPr>
            <w:r>
              <w:rPr>
                <w:rFonts w:ascii="Arial" w:hAnsi="Arial" w:cs="Arial"/>
              </w:rPr>
              <w:t>Fabricación de tapetes y alfombras para pisos</w:t>
            </w:r>
          </w:p>
        </w:tc>
        <w:tc>
          <w:tcPr>
            <w:tcW w:w="1276" w:type="dxa"/>
            <w:vMerge/>
          </w:tcPr>
          <w:p w14:paraId="48D4C629" w14:textId="77777777" w:rsidR="00B2442D" w:rsidRDefault="00B2442D">
            <w:pPr>
              <w:rPr>
                <w:rFonts w:ascii="Arial" w:hAnsi="Arial" w:cs="Arial"/>
              </w:rPr>
            </w:pPr>
          </w:p>
        </w:tc>
        <w:tc>
          <w:tcPr>
            <w:tcW w:w="1276" w:type="dxa"/>
            <w:vMerge/>
          </w:tcPr>
          <w:p w14:paraId="25C2F1FB" w14:textId="77777777" w:rsidR="00B2442D" w:rsidRDefault="00B2442D">
            <w:pPr>
              <w:rPr>
                <w:rFonts w:ascii="Arial" w:hAnsi="Arial" w:cs="Arial"/>
              </w:rPr>
            </w:pPr>
          </w:p>
        </w:tc>
      </w:tr>
      <w:tr w:rsidR="00B2442D" w14:paraId="1A44E573" w14:textId="77777777">
        <w:tc>
          <w:tcPr>
            <w:tcW w:w="2122" w:type="dxa"/>
            <w:vAlign w:val="center"/>
          </w:tcPr>
          <w:p w14:paraId="582C2CD4" w14:textId="77777777" w:rsidR="00B2442D" w:rsidRDefault="00B2442D">
            <w:pPr>
              <w:rPr>
                <w:rFonts w:ascii="Arial" w:hAnsi="Arial" w:cs="Arial"/>
              </w:rPr>
            </w:pPr>
          </w:p>
        </w:tc>
        <w:tc>
          <w:tcPr>
            <w:tcW w:w="1417" w:type="dxa"/>
            <w:vAlign w:val="center"/>
          </w:tcPr>
          <w:p w14:paraId="31C0A978" w14:textId="77777777" w:rsidR="00B2442D" w:rsidRDefault="008A645F">
            <w:pPr>
              <w:jc w:val="center"/>
              <w:rPr>
                <w:rFonts w:ascii="Arial" w:hAnsi="Arial" w:cs="Arial"/>
              </w:rPr>
            </w:pPr>
            <w:r>
              <w:rPr>
                <w:rFonts w:ascii="Arial" w:hAnsi="Arial" w:cs="Arial"/>
              </w:rPr>
              <w:t>1394</w:t>
            </w:r>
          </w:p>
        </w:tc>
        <w:tc>
          <w:tcPr>
            <w:tcW w:w="2845" w:type="dxa"/>
          </w:tcPr>
          <w:p w14:paraId="47321C03" w14:textId="77777777" w:rsidR="00B2442D" w:rsidRDefault="008A645F">
            <w:pPr>
              <w:jc w:val="both"/>
              <w:rPr>
                <w:rFonts w:ascii="Arial" w:hAnsi="Arial" w:cs="Arial"/>
              </w:rPr>
            </w:pPr>
            <w:r>
              <w:rPr>
                <w:rFonts w:ascii="Arial" w:hAnsi="Arial" w:cs="Arial"/>
              </w:rPr>
              <w:t>Fabricación de cuerdas, cordeles, cables, bramantes y redes</w:t>
            </w:r>
          </w:p>
        </w:tc>
        <w:tc>
          <w:tcPr>
            <w:tcW w:w="1276" w:type="dxa"/>
            <w:vMerge/>
          </w:tcPr>
          <w:p w14:paraId="68697A80" w14:textId="77777777" w:rsidR="00B2442D" w:rsidRDefault="00B2442D">
            <w:pPr>
              <w:rPr>
                <w:rFonts w:ascii="Arial" w:hAnsi="Arial" w:cs="Arial"/>
              </w:rPr>
            </w:pPr>
          </w:p>
        </w:tc>
        <w:tc>
          <w:tcPr>
            <w:tcW w:w="1276" w:type="dxa"/>
            <w:vMerge/>
          </w:tcPr>
          <w:p w14:paraId="318D716B" w14:textId="77777777" w:rsidR="00B2442D" w:rsidRDefault="00B2442D">
            <w:pPr>
              <w:rPr>
                <w:rFonts w:ascii="Arial" w:hAnsi="Arial" w:cs="Arial"/>
              </w:rPr>
            </w:pPr>
          </w:p>
        </w:tc>
      </w:tr>
      <w:tr w:rsidR="00B2442D" w14:paraId="72C57BDB" w14:textId="77777777">
        <w:tc>
          <w:tcPr>
            <w:tcW w:w="2122" w:type="dxa"/>
            <w:vAlign w:val="center"/>
          </w:tcPr>
          <w:p w14:paraId="60231C81" w14:textId="77777777" w:rsidR="00B2442D" w:rsidRDefault="00B2442D">
            <w:pPr>
              <w:rPr>
                <w:rFonts w:ascii="Arial" w:hAnsi="Arial" w:cs="Arial"/>
              </w:rPr>
            </w:pPr>
          </w:p>
        </w:tc>
        <w:tc>
          <w:tcPr>
            <w:tcW w:w="1417" w:type="dxa"/>
            <w:vAlign w:val="center"/>
          </w:tcPr>
          <w:p w14:paraId="3E0975C0" w14:textId="77777777" w:rsidR="00B2442D" w:rsidRDefault="008A645F">
            <w:pPr>
              <w:jc w:val="center"/>
              <w:rPr>
                <w:rFonts w:ascii="Arial" w:hAnsi="Arial" w:cs="Arial"/>
              </w:rPr>
            </w:pPr>
            <w:r>
              <w:rPr>
                <w:rFonts w:ascii="Arial" w:hAnsi="Arial" w:cs="Arial"/>
              </w:rPr>
              <w:t>1399</w:t>
            </w:r>
          </w:p>
        </w:tc>
        <w:tc>
          <w:tcPr>
            <w:tcW w:w="2845" w:type="dxa"/>
            <w:vAlign w:val="center"/>
          </w:tcPr>
          <w:p w14:paraId="0BF72E61" w14:textId="77777777" w:rsidR="00B2442D" w:rsidRDefault="008A645F">
            <w:pPr>
              <w:jc w:val="both"/>
              <w:rPr>
                <w:rFonts w:ascii="Arial" w:hAnsi="Arial" w:cs="Arial"/>
              </w:rPr>
            </w:pPr>
            <w:r>
              <w:rPr>
                <w:rFonts w:ascii="Arial" w:hAnsi="Arial" w:cs="Arial"/>
              </w:rPr>
              <w:t>Fabricación de otros artículos textiles n.c.p.</w:t>
            </w:r>
          </w:p>
        </w:tc>
        <w:tc>
          <w:tcPr>
            <w:tcW w:w="1276" w:type="dxa"/>
            <w:vMerge/>
          </w:tcPr>
          <w:p w14:paraId="24BAFABC" w14:textId="77777777" w:rsidR="00B2442D" w:rsidRDefault="00B2442D">
            <w:pPr>
              <w:rPr>
                <w:rFonts w:ascii="Arial" w:hAnsi="Arial" w:cs="Arial"/>
              </w:rPr>
            </w:pPr>
          </w:p>
        </w:tc>
        <w:tc>
          <w:tcPr>
            <w:tcW w:w="1276" w:type="dxa"/>
            <w:vMerge/>
          </w:tcPr>
          <w:p w14:paraId="3431BA51" w14:textId="77777777" w:rsidR="00B2442D" w:rsidRDefault="00B2442D">
            <w:pPr>
              <w:rPr>
                <w:rFonts w:ascii="Arial" w:hAnsi="Arial" w:cs="Arial"/>
              </w:rPr>
            </w:pPr>
          </w:p>
        </w:tc>
      </w:tr>
      <w:tr w:rsidR="00B2442D" w14:paraId="6108892E" w14:textId="77777777">
        <w:tc>
          <w:tcPr>
            <w:tcW w:w="2122" w:type="dxa"/>
            <w:vAlign w:val="center"/>
          </w:tcPr>
          <w:p w14:paraId="1D2D76DF" w14:textId="77777777" w:rsidR="00B2442D" w:rsidRDefault="00B2442D">
            <w:pPr>
              <w:rPr>
                <w:rFonts w:ascii="Arial" w:hAnsi="Arial" w:cs="Arial"/>
              </w:rPr>
            </w:pPr>
          </w:p>
        </w:tc>
        <w:tc>
          <w:tcPr>
            <w:tcW w:w="1417" w:type="dxa"/>
            <w:vAlign w:val="center"/>
          </w:tcPr>
          <w:p w14:paraId="74361BA8" w14:textId="77777777" w:rsidR="00B2442D" w:rsidRDefault="008A645F">
            <w:pPr>
              <w:jc w:val="center"/>
              <w:rPr>
                <w:rFonts w:ascii="Arial" w:hAnsi="Arial" w:cs="Arial"/>
              </w:rPr>
            </w:pPr>
            <w:r>
              <w:rPr>
                <w:rFonts w:ascii="Arial" w:hAnsi="Arial" w:cs="Arial"/>
              </w:rPr>
              <w:t>1410</w:t>
            </w:r>
          </w:p>
        </w:tc>
        <w:tc>
          <w:tcPr>
            <w:tcW w:w="2845" w:type="dxa"/>
          </w:tcPr>
          <w:p w14:paraId="5ACFE348" w14:textId="77777777" w:rsidR="00B2442D" w:rsidRDefault="008A645F">
            <w:pPr>
              <w:jc w:val="both"/>
              <w:rPr>
                <w:rFonts w:ascii="Arial" w:hAnsi="Arial" w:cs="Arial"/>
              </w:rPr>
            </w:pPr>
            <w:r>
              <w:rPr>
                <w:rFonts w:ascii="Arial" w:hAnsi="Arial" w:cs="Arial"/>
              </w:rPr>
              <w:t xml:space="preserve">Confección de </w:t>
            </w:r>
            <w:r>
              <w:rPr>
                <w:rFonts w:ascii="Arial" w:hAnsi="Arial" w:cs="Arial"/>
              </w:rPr>
              <w:t>prendas de vestir, excepto prendas de piel</w:t>
            </w:r>
          </w:p>
        </w:tc>
        <w:tc>
          <w:tcPr>
            <w:tcW w:w="1276" w:type="dxa"/>
            <w:vMerge/>
          </w:tcPr>
          <w:p w14:paraId="744F26AE" w14:textId="77777777" w:rsidR="00B2442D" w:rsidRDefault="00B2442D">
            <w:pPr>
              <w:rPr>
                <w:rFonts w:ascii="Arial" w:hAnsi="Arial" w:cs="Arial"/>
              </w:rPr>
            </w:pPr>
          </w:p>
        </w:tc>
        <w:tc>
          <w:tcPr>
            <w:tcW w:w="1276" w:type="dxa"/>
            <w:vMerge/>
          </w:tcPr>
          <w:p w14:paraId="1B8BE623" w14:textId="77777777" w:rsidR="00B2442D" w:rsidRDefault="00B2442D">
            <w:pPr>
              <w:rPr>
                <w:rFonts w:ascii="Arial" w:hAnsi="Arial" w:cs="Arial"/>
              </w:rPr>
            </w:pPr>
          </w:p>
        </w:tc>
      </w:tr>
      <w:tr w:rsidR="00B2442D" w14:paraId="64FE6F90" w14:textId="77777777">
        <w:tc>
          <w:tcPr>
            <w:tcW w:w="2122" w:type="dxa"/>
            <w:vAlign w:val="center"/>
          </w:tcPr>
          <w:p w14:paraId="1F8399F5" w14:textId="77777777" w:rsidR="00B2442D" w:rsidRDefault="00B2442D">
            <w:pPr>
              <w:rPr>
                <w:rFonts w:ascii="Arial" w:hAnsi="Arial" w:cs="Arial"/>
              </w:rPr>
            </w:pPr>
          </w:p>
        </w:tc>
        <w:tc>
          <w:tcPr>
            <w:tcW w:w="1417" w:type="dxa"/>
            <w:vAlign w:val="center"/>
          </w:tcPr>
          <w:p w14:paraId="16B6033B" w14:textId="77777777" w:rsidR="00B2442D" w:rsidRDefault="008A645F">
            <w:pPr>
              <w:jc w:val="center"/>
              <w:rPr>
                <w:rFonts w:ascii="Arial" w:hAnsi="Arial" w:cs="Arial"/>
              </w:rPr>
            </w:pPr>
            <w:r>
              <w:rPr>
                <w:rFonts w:ascii="Arial" w:hAnsi="Arial" w:cs="Arial"/>
              </w:rPr>
              <w:t>1420</w:t>
            </w:r>
          </w:p>
        </w:tc>
        <w:tc>
          <w:tcPr>
            <w:tcW w:w="2845" w:type="dxa"/>
            <w:vAlign w:val="center"/>
          </w:tcPr>
          <w:p w14:paraId="5FA69CE3" w14:textId="77777777" w:rsidR="00B2442D" w:rsidRDefault="008A645F">
            <w:pPr>
              <w:jc w:val="both"/>
              <w:rPr>
                <w:rFonts w:ascii="Arial" w:hAnsi="Arial" w:cs="Arial"/>
              </w:rPr>
            </w:pPr>
            <w:r>
              <w:rPr>
                <w:rFonts w:ascii="Arial" w:hAnsi="Arial" w:cs="Arial"/>
              </w:rPr>
              <w:t>Fabricación de artículos de piel</w:t>
            </w:r>
          </w:p>
        </w:tc>
        <w:tc>
          <w:tcPr>
            <w:tcW w:w="1276" w:type="dxa"/>
            <w:vMerge/>
          </w:tcPr>
          <w:p w14:paraId="15DDA1FC" w14:textId="77777777" w:rsidR="00B2442D" w:rsidRDefault="00B2442D">
            <w:pPr>
              <w:rPr>
                <w:rFonts w:ascii="Arial" w:hAnsi="Arial" w:cs="Arial"/>
              </w:rPr>
            </w:pPr>
          </w:p>
        </w:tc>
        <w:tc>
          <w:tcPr>
            <w:tcW w:w="1276" w:type="dxa"/>
            <w:vMerge/>
          </w:tcPr>
          <w:p w14:paraId="729BFB23" w14:textId="77777777" w:rsidR="00B2442D" w:rsidRDefault="00B2442D">
            <w:pPr>
              <w:rPr>
                <w:rFonts w:ascii="Arial" w:hAnsi="Arial" w:cs="Arial"/>
              </w:rPr>
            </w:pPr>
          </w:p>
        </w:tc>
      </w:tr>
      <w:tr w:rsidR="00B2442D" w14:paraId="7D407A7F" w14:textId="77777777">
        <w:tc>
          <w:tcPr>
            <w:tcW w:w="2122" w:type="dxa"/>
            <w:vAlign w:val="center"/>
          </w:tcPr>
          <w:p w14:paraId="100ADF47" w14:textId="77777777" w:rsidR="00B2442D" w:rsidRDefault="00B2442D">
            <w:pPr>
              <w:rPr>
                <w:rFonts w:ascii="Arial" w:hAnsi="Arial" w:cs="Arial"/>
              </w:rPr>
            </w:pPr>
          </w:p>
        </w:tc>
        <w:tc>
          <w:tcPr>
            <w:tcW w:w="1417" w:type="dxa"/>
            <w:vAlign w:val="center"/>
          </w:tcPr>
          <w:p w14:paraId="0C2452DB" w14:textId="77777777" w:rsidR="00B2442D" w:rsidRDefault="008A645F">
            <w:pPr>
              <w:jc w:val="center"/>
              <w:rPr>
                <w:rFonts w:ascii="Arial" w:hAnsi="Arial" w:cs="Arial"/>
              </w:rPr>
            </w:pPr>
            <w:r>
              <w:rPr>
                <w:rFonts w:ascii="Arial" w:hAnsi="Arial" w:cs="Arial"/>
              </w:rPr>
              <w:t>1430</w:t>
            </w:r>
          </w:p>
        </w:tc>
        <w:tc>
          <w:tcPr>
            <w:tcW w:w="2845" w:type="dxa"/>
            <w:vAlign w:val="center"/>
          </w:tcPr>
          <w:p w14:paraId="688B478A" w14:textId="77777777" w:rsidR="00B2442D" w:rsidRDefault="008A645F">
            <w:pPr>
              <w:jc w:val="both"/>
              <w:rPr>
                <w:rFonts w:ascii="Arial" w:hAnsi="Arial" w:cs="Arial"/>
              </w:rPr>
            </w:pPr>
            <w:r>
              <w:rPr>
                <w:rFonts w:ascii="Arial" w:hAnsi="Arial" w:cs="Arial"/>
              </w:rPr>
              <w:t>Fabricación de artículos de punto y ganchillo</w:t>
            </w:r>
          </w:p>
        </w:tc>
        <w:tc>
          <w:tcPr>
            <w:tcW w:w="1276" w:type="dxa"/>
            <w:vMerge/>
          </w:tcPr>
          <w:p w14:paraId="42446AE0" w14:textId="77777777" w:rsidR="00B2442D" w:rsidRDefault="00B2442D">
            <w:pPr>
              <w:rPr>
                <w:rFonts w:ascii="Arial" w:hAnsi="Arial" w:cs="Arial"/>
              </w:rPr>
            </w:pPr>
          </w:p>
        </w:tc>
        <w:tc>
          <w:tcPr>
            <w:tcW w:w="1276" w:type="dxa"/>
            <w:vMerge/>
          </w:tcPr>
          <w:p w14:paraId="55C4E2DF" w14:textId="77777777" w:rsidR="00B2442D" w:rsidRDefault="00B2442D">
            <w:pPr>
              <w:rPr>
                <w:rFonts w:ascii="Arial" w:hAnsi="Arial" w:cs="Arial"/>
              </w:rPr>
            </w:pPr>
          </w:p>
        </w:tc>
      </w:tr>
      <w:tr w:rsidR="00B2442D" w14:paraId="22F93BE6" w14:textId="77777777">
        <w:tc>
          <w:tcPr>
            <w:tcW w:w="2122" w:type="dxa"/>
            <w:vAlign w:val="center"/>
          </w:tcPr>
          <w:p w14:paraId="2DA85326" w14:textId="77777777" w:rsidR="00B2442D" w:rsidRDefault="00B2442D">
            <w:pPr>
              <w:rPr>
                <w:rFonts w:ascii="Arial" w:hAnsi="Arial" w:cs="Arial"/>
              </w:rPr>
            </w:pPr>
          </w:p>
        </w:tc>
        <w:tc>
          <w:tcPr>
            <w:tcW w:w="1417" w:type="dxa"/>
            <w:vAlign w:val="center"/>
          </w:tcPr>
          <w:p w14:paraId="2D8A99C5" w14:textId="77777777" w:rsidR="00B2442D" w:rsidRDefault="008A645F">
            <w:pPr>
              <w:jc w:val="center"/>
              <w:rPr>
                <w:rFonts w:ascii="Arial" w:hAnsi="Arial" w:cs="Arial"/>
              </w:rPr>
            </w:pPr>
            <w:r>
              <w:rPr>
                <w:rFonts w:ascii="Arial" w:hAnsi="Arial" w:cs="Arial"/>
              </w:rPr>
              <w:t>1511</w:t>
            </w:r>
          </w:p>
        </w:tc>
        <w:tc>
          <w:tcPr>
            <w:tcW w:w="2845" w:type="dxa"/>
          </w:tcPr>
          <w:p w14:paraId="3939E08D" w14:textId="77777777" w:rsidR="00B2442D" w:rsidRDefault="008A645F">
            <w:pPr>
              <w:jc w:val="both"/>
              <w:rPr>
                <w:rFonts w:ascii="Arial" w:hAnsi="Arial" w:cs="Arial"/>
              </w:rPr>
            </w:pPr>
            <w:r>
              <w:rPr>
                <w:rFonts w:ascii="Arial" w:hAnsi="Arial" w:cs="Arial"/>
              </w:rPr>
              <w:t>Curtido y recurtido de cueros; recurtido y teñido de pieles</w:t>
            </w:r>
          </w:p>
        </w:tc>
        <w:tc>
          <w:tcPr>
            <w:tcW w:w="1276" w:type="dxa"/>
            <w:vMerge/>
          </w:tcPr>
          <w:p w14:paraId="7C684DB9" w14:textId="77777777" w:rsidR="00B2442D" w:rsidRDefault="00B2442D">
            <w:pPr>
              <w:rPr>
                <w:rFonts w:ascii="Arial" w:hAnsi="Arial" w:cs="Arial"/>
              </w:rPr>
            </w:pPr>
          </w:p>
        </w:tc>
        <w:tc>
          <w:tcPr>
            <w:tcW w:w="1276" w:type="dxa"/>
            <w:vMerge/>
          </w:tcPr>
          <w:p w14:paraId="487A9D81" w14:textId="77777777" w:rsidR="00B2442D" w:rsidRDefault="00B2442D">
            <w:pPr>
              <w:rPr>
                <w:rFonts w:ascii="Arial" w:hAnsi="Arial" w:cs="Arial"/>
              </w:rPr>
            </w:pPr>
          </w:p>
        </w:tc>
      </w:tr>
      <w:tr w:rsidR="00B2442D" w14:paraId="6079C179" w14:textId="77777777">
        <w:tc>
          <w:tcPr>
            <w:tcW w:w="2122" w:type="dxa"/>
            <w:vAlign w:val="center"/>
          </w:tcPr>
          <w:p w14:paraId="4E7BBED2" w14:textId="77777777" w:rsidR="00B2442D" w:rsidRDefault="00B2442D">
            <w:pPr>
              <w:rPr>
                <w:rFonts w:ascii="Arial" w:hAnsi="Arial" w:cs="Arial"/>
              </w:rPr>
            </w:pPr>
          </w:p>
        </w:tc>
        <w:tc>
          <w:tcPr>
            <w:tcW w:w="1417" w:type="dxa"/>
            <w:vAlign w:val="center"/>
          </w:tcPr>
          <w:p w14:paraId="7C545713" w14:textId="77777777" w:rsidR="00B2442D" w:rsidRDefault="008A645F">
            <w:pPr>
              <w:jc w:val="center"/>
              <w:rPr>
                <w:rFonts w:ascii="Arial" w:hAnsi="Arial" w:cs="Arial"/>
              </w:rPr>
            </w:pPr>
            <w:r>
              <w:rPr>
                <w:rFonts w:ascii="Arial" w:hAnsi="Arial" w:cs="Arial"/>
              </w:rPr>
              <w:t>1512</w:t>
            </w:r>
          </w:p>
        </w:tc>
        <w:tc>
          <w:tcPr>
            <w:tcW w:w="2845" w:type="dxa"/>
          </w:tcPr>
          <w:p w14:paraId="4A9D7D78" w14:textId="77777777" w:rsidR="00B2442D" w:rsidRDefault="008A645F">
            <w:pPr>
              <w:jc w:val="both"/>
              <w:rPr>
                <w:rFonts w:ascii="Arial" w:hAnsi="Arial" w:cs="Arial"/>
              </w:rPr>
            </w:pPr>
            <w:r>
              <w:rPr>
                <w:rFonts w:ascii="Arial" w:hAnsi="Arial" w:cs="Arial"/>
              </w:rPr>
              <w:t xml:space="preserve">Fabricación de artículos de </w:t>
            </w:r>
            <w:r>
              <w:rPr>
                <w:rFonts w:ascii="Arial" w:hAnsi="Arial" w:cs="Arial"/>
              </w:rPr>
              <w:t>viaje, bolsos de mano y artículos similares elaborados en cuero, y fabricación de artículos de talabarteria yguamicioneria</w:t>
            </w:r>
          </w:p>
        </w:tc>
        <w:tc>
          <w:tcPr>
            <w:tcW w:w="1276" w:type="dxa"/>
            <w:vMerge/>
          </w:tcPr>
          <w:p w14:paraId="16E35151" w14:textId="77777777" w:rsidR="00B2442D" w:rsidRDefault="00B2442D">
            <w:pPr>
              <w:rPr>
                <w:rFonts w:ascii="Arial" w:hAnsi="Arial" w:cs="Arial"/>
              </w:rPr>
            </w:pPr>
          </w:p>
        </w:tc>
        <w:tc>
          <w:tcPr>
            <w:tcW w:w="1276" w:type="dxa"/>
            <w:vMerge/>
          </w:tcPr>
          <w:p w14:paraId="29B35968" w14:textId="77777777" w:rsidR="00B2442D" w:rsidRDefault="00B2442D">
            <w:pPr>
              <w:rPr>
                <w:rFonts w:ascii="Arial" w:hAnsi="Arial" w:cs="Arial"/>
              </w:rPr>
            </w:pPr>
          </w:p>
        </w:tc>
      </w:tr>
      <w:tr w:rsidR="00B2442D" w14:paraId="30ABE549" w14:textId="77777777">
        <w:tc>
          <w:tcPr>
            <w:tcW w:w="2122" w:type="dxa"/>
            <w:vAlign w:val="center"/>
          </w:tcPr>
          <w:p w14:paraId="3A001EDE" w14:textId="77777777" w:rsidR="00B2442D" w:rsidRDefault="00B2442D">
            <w:pPr>
              <w:rPr>
                <w:rFonts w:ascii="Arial" w:hAnsi="Arial" w:cs="Arial"/>
              </w:rPr>
            </w:pPr>
          </w:p>
        </w:tc>
        <w:tc>
          <w:tcPr>
            <w:tcW w:w="1417" w:type="dxa"/>
            <w:vAlign w:val="center"/>
          </w:tcPr>
          <w:p w14:paraId="31ACF14F" w14:textId="77777777" w:rsidR="00B2442D" w:rsidRDefault="008A645F">
            <w:pPr>
              <w:jc w:val="center"/>
              <w:rPr>
                <w:rFonts w:ascii="Arial" w:hAnsi="Arial" w:cs="Arial"/>
              </w:rPr>
            </w:pPr>
            <w:r>
              <w:rPr>
                <w:rFonts w:ascii="Arial" w:hAnsi="Arial" w:cs="Arial"/>
              </w:rPr>
              <w:t>1513</w:t>
            </w:r>
          </w:p>
        </w:tc>
        <w:tc>
          <w:tcPr>
            <w:tcW w:w="2845" w:type="dxa"/>
          </w:tcPr>
          <w:p w14:paraId="52B22230" w14:textId="77777777" w:rsidR="00B2442D" w:rsidRDefault="008A645F">
            <w:pPr>
              <w:jc w:val="both"/>
              <w:rPr>
                <w:rFonts w:ascii="Arial" w:hAnsi="Arial" w:cs="Arial"/>
              </w:rPr>
            </w:pPr>
            <w:r>
              <w:rPr>
                <w:rFonts w:ascii="Arial" w:hAnsi="Arial" w:cs="Arial"/>
              </w:rPr>
              <w:t>Fabricación de artículos de viaje, bolsos de mano y artículos similares; artículos de talabarteria y uarnicioneria elaborado</w:t>
            </w:r>
            <w:r>
              <w:rPr>
                <w:rFonts w:ascii="Arial" w:hAnsi="Arial" w:cs="Arial"/>
              </w:rPr>
              <w:t>s en otros materiales</w:t>
            </w:r>
          </w:p>
        </w:tc>
        <w:tc>
          <w:tcPr>
            <w:tcW w:w="1276" w:type="dxa"/>
            <w:vMerge/>
          </w:tcPr>
          <w:p w14:paraId="16D67803" w14:textId="77777777" w:rsidR="00B2442D" w:rsidRDefault="00B2442D">
            <w:pPr>
              <w:rPr>
                <w:rFonts w:ascii="Arial" w:hAnsi="Arial" w:cs="Arial"/>
              </w:rPr>
            </w:pPr>
          </w:p>
        </w:tc>
        <w:tc>
          <w:tcPr>
            <w:tcW w:w="1276" w:type="dxa"/>
            <w:vMerge/>
          </w:tcPr>
          <w:p w14:paraId="3CC6C622" w14:textId="77777777" w:rsidR="00B2442D" w:rsidRDefault="00B2442D">
            <w:pPr>
              <w:rPr>
                <w:rFonts w:ascii="Arial" w:hAnsi="Arial" w:cs="Arial"/>
              </w:rPr>
            </w:pPr>
          </w:p>
        </w:tc>
      </w:tr>
      <w:tr w:rsidR="00B2442D" w14:paraId="49BBC7AF" w14:textId="77777777">
        <w:tc>
          <w:tcPr>
            <w:tcW w:w="2122" w:type="dxa"/>
            <w:vAlign w:val="center"/>
          </w:tcPr>
          <w:p w14:paraId="4D8800AE" w14:textId="77777777" w:rsidR="00B2442D" w:rsidRDefault="00B2442D">
            <w:pPr>
              <w:rPr>
                <w:rFonts w:ascii="Arial" w:hAnsi="Arial" w:cs="Arial"/>
              </w:rPr>
            </w:pPr>
          </w:p>
        </w:tc>
        <w:tc>
          <w:tcPr>
            <w:tcW w:w="1417" w:type="dxa"/>
            <w:vAlign w:val="center"/>
          </w:tcPr>
          <w:p w14:paraId="758EE0E9" w14:textId="77777777" w:rsidR="00B2442D" w:rsidRDefault="008A645F">
            <w:pPr>
              <w:jc w:val="center"/>
              <w:rPr>
                <w:rFonts w:ascii="Arial" w:hAnsi="Arial" w:cs="Arial"/>
              </w:rPr>
            </w:pPr>
            <w:r>
              <w:rPr>
                <w:rFonts w:ascii="Arial" w:hAnsi="Arial" w:cs="Arial"/>
              </w:rPr>
              <w:t>1521</w:t>
            </w:r>
          </w:p>
        </w:tc>
        <w:tc>
          <w:tcPr>
            <w:tcW w:w="2845" w:type="dxa"/>
          </w:tcPr>
          <w:p w14:paraId="05573259" w14:textId="77777777" w:rsidR="00B2442D" w:rsidRDefault="008A645F">
            <w:pPr>
              <w:jc w:val="both"/>
              <w:rPr>
                <w:rFonts w:ascii="Arial" w:hAnsi="Arial" w:cs="Arial"/>
              </w:rPr>
            </w:pPr>
            <w:r>
              <w:rPr>
                <w:rFonts w:ascii="Arial" w:hAnsi="Arial" w:cs="Arial"/>
              </w:rPr>
              <w:t>Fabricación de calzado de cuero y piel, con cualquier tipo de suela</w:t>
            </w:r>
          </w:p>
        </w:tc>
        <w:tc>
          <w:tcPr>
            <w:tcW w:w="1276" w:type="dxa"/>
            <w:vMerge/>
          </w:tcPr>
          <w:p w14:paraId="7D3342CA" w14:textId="77777777" w:rsidR="00B2442D" w:rsidRDefault="00B2442D">
            <w:pPr>
              <w:rPr>
                <w:rFonts w:ascii="Arial" w:hAnsi="Arial" w:cs="Arial"/>
              </w:rPr>
            </w:pPr>
          </w:p>
        </w:tc>
        <w:tc>
          <w:tcPr>
            <w:tcW w:w="1276" w:type="dxa"/>
            <w:vMerge/>
          </w:tcPr>
          <w:p w14:paraId="32964402" w14:textId="77777777" w:rsidR="00B2442D" w:rsidRDefault="00B2442D">
            <w:pPr>
              <w:rPr>
                <w:rFonts w:ascii="Arial" w:hAnsi="Arial" w:cs="Arial"/>
              </w:rPr>
            </w:pPr>
          </w:p>
        </w:tc>
      </w:tr>
      <w:tr w:rsidR="00B2442D" w14:paraId="71A9097B" w14:textId="77777777">
        <w:tc>
          <w:tcPr>
            <w:tcW w:w="2122" w:type="dxa"/>
            <w:vAlign w:val="center"/>
          </w:tcPr>
          <w:p w14:paraId="43E85EF0" w14:textId="77777777" w:rsidR="00B2442D" w:rsidRDefault="00B2442D">
            <w:pPr>
              <w:rPr>
                <w:rFonts w:ascii="Arial" w:hAnsi="Arial" w:cs="Arial"/>
              </w:rPr>
            </w:pPr>
          </w:p>
        </w:tc>
        <w:tc>
          <w:tcPr>
            <w:tcW w:w="1417" w:type="dxa"/>
            <w:vAlign w:val="center"/>
          </w:tcPr>
          <w:p w14:paraId="448EF946" w14:textId="77777777" w:rsidR="00B2442D" w:rsidRDefault="008A645F">
            <w:pPr>
              <w:jc w:val="center"/>
              <w:rPr>
                <w:rFonts w:ascii="Arial" w:hAnsi="Arial" w:cs="Arial"/>
              </w:rPr>
            </w:pPr>
            <w:r>
              <w:rPr>
                <w:rFonts w:ascii="Arial" w:hAnsi="Arial" w:cs="Arial"/>
              </w:rPr>
              <w:t>1522</w:t>
            </w:r>
          </w:p>
        </w:tc>
        <w:tc>
          <w:tcPr>
            <w:tcW w:w="2845" w:type="dxa"/>
          </w:tcPr>
          <w:p w14:paraId="3BFDD556" w14:textId="77777777" w:rsidR="00B2442D" w:rsidRDefault="008A645F">
            <w:pPr>
              <w:jc w:val="both"/>
              <w:rPr>
                <w:rFonts w:ascii="Arial" w:hAnsi="Arial" w:cs="Arial"/>
              </w:rPr>
            </w:pPr>
            <w:r>
              <w:rPr>
                <w:rFonts w:ascii="Arial" w:hAnsi="Arial" w:cs="Arial"/>
              </w:rPr>
              <w:t>Fabricación de otros tipos de calzado, excepto calzado de cuero y piel</w:t>
            </w:r>
          </w:p>
        </w:tc>
        <w:tc>
          <w:tcPr>
            <w:tcW w:w="1276" w:type="dxa"/>
            <w:vMerge/>
          </w:tcPr>
          <w:p w14:paraId="13EE1518" w14:textId="77777777" w:rsidR="00B2442D" w:rsidRDefault="00B2442D">
            <w:pPr>
              <w:rPr>
                <w:rFonts w:ascii="Arial" w:hAnsi="Arial" w:cs="Arial"/>
              </w:rPr>
            </w:pPr>
          </w:p>
        </w:tc>
        <w:tc>
          <w:tcPr>
            <w:tcW w:w="1276" w:type="dxa"/>
            <w:vMerge/>
          </w:tcPr>
          <w:p w14:paraId="2FABECD2" w14:textId="77777777" w:rsidR="00B2442D" w:rsidRDefault="00B2442D">
            <w:pPr>
              <w:rPr>
                <w:rFonts w:ascii="Arial" w:hAnsi="Arial" w:cs="Arial"/>
              </w:rPr>
            </w:pPr>
          </w:p>
        </w:tc>
      </w:tr>
      <w:tr w:rsidR="00B2442D" w14:paraId="783B0017" w14:textId="77777777">
        <w:tc>
          <w:tcPr>
            <w:tcW w:w="2122" w:type="dxa"/>
            <w:vAlign w:val="center"/>
          </w:tcPr>
          <w:p w14:paraId="7CDDA1AD" w14:textId="77777777" w:rsidR="00B2442D" w:rsidRDefault="00B2442D">
            <w:pPr>
              <w:rPr>
                <w:rFonts w:ascii="Arial" w:hAnsi="Arial" w:cs="Arial"/>
              </w:rPr>
            </w:pPr>
          </w:p>
        </w:tc>
        <w:tc>
          <w:tcPr>
            <w:tcW w:w="1417" w:type="dxa"/>
            <w:vAlign w:val="center"/>
          </w:tcPr>
          <w:p w14:paraId="5D905C90" w14:textId="77777777" w:rsidR="00B2442D" w:rsidRDefault="008A645F">
            <w:pPr>
              <w:jc w:val="center"/>
              <w:rPr>
                <w:rFonts w:ascii="Arial" w:hAnsi="Arial" w:cs="Arial"/>
              </w:rPr>
            </w:pPr>
            <w:r>
              <w:rPr>
                <w:rFonts w:ascii="Arial" w:hAnsi="Arial" w:cs="Arial"/>
              </w:rPr>
              <w:t>1523</w:t>
            </w:r>
          </w:p>
        </w:tc>
        <w:tc>
          <w:tcPr>
            <w:tcW w:w="2845" w:type="dxa"/>
            <w:vAlign w:val="center"/>
          </w:tcPr>
          <w:p w14:paraId="063BDDC0" w14:textId="77777777" w:rsidR="00B2442D" w:rsidRDefault="008A645F">
            <w:pPr>
              <w:jc w:val="both"/>
              <w:rPr>
                <w:rFonts w:ascii="Arial" w:hAnsi="Arial" w:cs="Arial"/>
              </w:rPr>
            </w:pPr>
            <w:r>
              <w:rPr>
                <w:rFonts w:ascii="Arial" w:hAnsi="Arial" w:cs="Arial"/>
              </w:rPr>
              <w:t>Fabricación de partes del calzado</w:t>
            </w:r>
          </w:p>
        </w:tc>
        <w:tc>
          <w:tcPr>
            <w:tcW w:w="1276" w:type="dxa"/>
            <w:vMerge/>
          </w:tcPr>
          <w:p w14:paraId="41B6D5A2" w14:textId="77777777" w:rsidR="00B2442D" w:rsidRDefault="00B2442D">
            <w:pPr>
              <w:rPr>
                <w:rFonts w:ascii="Arial" w:hAnsi="Arial" w:cs="Arial"/>
              </w:rPr>
            </w:pPr>
          </w:p>
        </w:tc>
        <w:tc>
          <w:tcPr>
            <w:tcW w:w="1276" w:type="dxa"/>
            <w:vMerge/>
          </w:tcPr>
          <w:p w14:paraId="1E2E7B40" w14:textId="77777777" w:rsidR="00B2442D" w:rsidRDefault="00B2442D">
            <w:pPr>
              <w:rPr>
                <w:rFonts w:ascii="Arial" w:hAnsi="Arial" w:cs="Arial"/>
              </w:rPr>
            </w:pPr>
          </w:p>
        </w:tc>
      </w:tr>
      <w:tr w:rsidR="00B2442D" w14:paraId="2EA32FE9" w14:textId="77777777">
        <w:tc>
          <w:tcPr>
            <w:tcW w:w="2122" w:type="dxa"/>
            <w:vAlign w:val="center"/>
          </w:tcPr>
          <w:p w14:paraId="0A7F7B41" w14:textId="77777777" w:rsidR="00B2442D" w:rsidRDefault="008A645F">
            <w:pPr>
              <w:rPr>
                <w:rFonts w:ascii="Arial" w:hAnsi="Arial" w:cs="Arial"/>
                <w:b/>
                <w:bCs/>
              </w:rPr>
            </w:pPr>
            <w:r>
              <w:rPr>
                <w:rFonts w:ascii="Arial" w:hAnsi="Arial" w:cs="Arial"/>
                <w:b/>
                <w:bCs/>
              </w:rPr>
              <w:t>Minería</w:t>
            </w:r>
          </w:p>
        </w:tc>
        <w:tc>
          <w:tcPr>
            <w:tcW w:w="1417" w:type="dxa"/>
          </w:tcPr>
          <w:p w14:paraId="57A81AB1" w14:textId="77777777" w:rsidR="00B2442D" w:rsidRDefault="008A645F">
            <w:pPr>
              <w:jc w:val="center"/>
              <w:rPr>
                <w:rFonts w:ascii="Arial" w:hAnsi="Arial" w:cs="Arial"/>
                <w:b/>
                <w:bCs/>
              </w:rPr>
            </w:pPr>
            <w:r>
              <w:rPr>
                <w:rFonts w:ascii="Arial" w:hAnsi="Arial" w:cs="Arial"/>
                <w:b/>
                <w:bCs/>
              </w:rPr>
              <w:t>0510</w:t>
            </w:r>
          </w:p>
        </w:tc>
        <w:tc>
          <w:tcPr>
            <w:tcW w:w="2845" w:type="dxa"/>
          </w:tcPr>
          <w:p w14:paraId="6714ED56" w14:textId="77777777" w:rsidR="00B2442D" w:rsidRDefault="008A645F">
            <w:pPr>
              <w:jc w:val="both"/>
              <w:rPr>
                <w:rFonts w:ascii="Arial" w:hAnsi="Arial" w:cs="Arial"/>
              </w:rPr>
            </w:pPr>
            <w:r>
              <w:rPr>
                <w:rFonts w:ascii="Arial" w:hAnsi="Arial" w:cs="Arial"/>
              </w:rPr>
              <w:t>Extracción de hulla (carbón de</w:t>
            </w:r>
            <w:r>
              <w:rPr>
                <w:rFonts w:ascii="Arial" w:hAnsi="Arial" w:cs="Arial"/>
              </w:rPr>
              <w:br/>
              <w:t>_piedra)</w:t>
            </w:r>
          </w:p>
        </w:tc>
        <w:tc>
          <w:tcPr>
            <w:tcW w:w="1276" w:type="dxa"/>
            <w:vMerge w:val="restart"/>
            <w:vAlign w:val="center"/>
          </w:tcPr>
          <w:p w14:paraId="28E1F1CE" w14:textId="77777777" w:rsidR="00B2442D" w:rsidRDefault="008A645F">
            <w:pPr>
              <w:rPr>
                <w:rFonts w:ascii="Arial" w:hAnsi="Arial" w:cs="Arial"/>
              </w:rPr>
            </w:pPr>
            <w:r>
              <w:rPr>
                <w:rFonts w:ascii="Arial" w:hAnsi="Arial" w:cs="Arial"/>
              </w:rPr>
              <w:t>4.057</w:t>
            </w:r>
            <w:r>
              <w:rPr>
                <w:rFonts w:ascii="Arial" w:hAnsi="Arial" w:cs="Arial"/>
              </w:rPr>
              <w:br/>
              <w:t>UVT</w:t>
            </w:r>
          </w:p>
        </w:tc>
        <w:tc>
          <w:tcPr>
            <w:tcW w:w="1276" w:type="dxa"/>
            <w:vMerge w:val="restart"/>
            <w:vAlign w:val="center"/>
          </w:tcPr>
          <w:p w14:paraId="7F064572" w14:textId="77777777" w:rsidR="00B2442D" w:rsidRDefault="008A645F">
            <w:pPr>
              <w:rPr>
                <w:rFonts w:ascii="Arial" w:hAnsi="Arial" w:cs="Arial"/>
              </w:rPr>
            </w:pPr>
            <w:r>
              <w:rPr>
                <w:rFonts w:ascii="Arial" w:hAnsi="Arial" w:cs="Arial"/>
              </w:rPr>
              <w:t>4,96% *(RGA</w:t>
            </w:r>
            <w:r>
              <w:rPr>
                <w:rFonts w:ascii="Arial" w:hAnsi="Arial" w:cs="Arial"/>
              </w:rPr>
              <w:br/>
              <w:t>en UVT- 4.057)</w:t>
            </w:r>
          </w:p>
        </w:tc>
      </w:tr>
      <w:tr w:rsidR="00B2442D" w14:paraId="27AB83BC" w14:textId="77777777">
        <w:tc>
          <w:tcPr>
            <w:tcW w:w="2122" w:type="dxa"/>
            <w:vAlign w:val="center"/>
          </w:tcPr>
          <w:p w14:paraId="4571BD1C" w14:textId="77777777" w:rsidR="00B2442D" w:rsidRDefault="00B2442D">
            <w:pPr>
              <w:rPr>
                <w:rFonts w:ascii="Arial" w:hAnsi="Arial" w:cs="Arial"/>
              </w:rPr>
            </w:pPr>
          </w:p>
        </w:tc>
        <w:tc>
          <w:tcPr>
            <w:tcW w:w="1417" w:type="dxa"/>
            <w:vAlign w:val="center"/>
          </w:tcPr>
          <w:p w14:paraId="3770AF3E" w14:textId="77777777" w:rsidR="00B2442D" w:rsidRDefault="008A645F">
            <w:pPr>
              <w:jc w:val="center"/>
              <w:rPr>
                <w:rFonts w:ascii="Arial" w:hAnsi="Arial" w:cs="Arial"/>
                <w:b/>
                <w:bCs/>
              </w:rPr>
            </w:pPr>
            <w:r>
              <w:rPr>
                <w:rFonts w:ascii="Arial" w:hAnsi="Arial" w:cs="Arial"/>
                <w:b/>
                <w:bCs/>
              </w:rPr>
              <w:t>0520</w:t>
            </w:r>
          </w:p>
        </w:tc>
        <w:tc>
          <w:tcPr>
            <w:tcW w:w="2845" w:type="dxa"/>
            <w:vAlign w:val="center"/>
          </w:tcPr>
          <w:p w14:paraId="78FFAFB7" w14:textId="77777777" w:rsidR="00B2442D" w:rsidRDefault="008A645F">
            <w:pPr>
              <w:jc w:val="both"/>
              <w:rPr>
                <w:rFonts w:ascii="Arial" w:hAnsi="Arial" w:cs="Arial"/>
              </w:rPr>
            </w:pPr>
            <w:r>
              <w:rPr>
                <w:rFonts w:ascii="Arial" w:hAnsi="Arial" w:cs="Arial"/>
              </w:rPr>
              <w:t>Extracción de carbón lipnito</w:t>
            </w:r>
          </w:p>
        </w:tc>
        <w:tc>
          <w:tcPr>
            <w:tcW w:w="1276" w:type="dxa"/>
            <w:vMerge/>
            <w:vAlign w:val="center"/>
          </w:tcPr>
          <w:p w14:paraId="040509A7" w14:textId="77777777" w:rsidR="00B2442D" w:rsidRDefault="00B2442D">
            <w:pPr>
              <w:rPr>
                <w:rFonts w:ascii="Arial" w:hAnsi="Arial" w:cs="Arial"/>
              </w:rPr>
            </w:pPr>
          </w:p>
        </w:tc>
        <w:tc>
          <w:tcPr>
            <w:tcW w:w="1276" w:type="dxa"/>
            <w:vMerge/>
          </w:tcPr>
          <w:p w14:paraId="504FFD0C" w14:textId="77777777" w:rsidR="00B2442D" w:rsidRDefault="00B2442D">
            <w:pPr>
              <w:rPr>
                <w:rFonts w:ascii="Arial" w:hAnsi="Arial" w:cs="Arial"/>
              </w:rPr>
            </w:pPr>
          </w:p>
        </w:tc>
      </w:tr>
      <w:tr w:rsidR="00B2442D" w14:paraId="6A059C98" w14:textId="77777777">
        <w:tc>
          <w:tcPr>
            <w:tcW w:w="2122" w:type="dxa"/>
            <w:vAlign w:val="center"/>
          </w:tcPr>
          <w:p w14:paraId="79E99CFC" w14:textId="77777777" w:rsidR="00B2442D" w:rsidRDefault="00B2442D">
            <w:pPr>
              <w:rPr>
                <w:rFonts w:ascii="Arial" w:hAnsi="Arial" w:cs="Arial"/>
              </w:rPr>
            </w:pPr>
          </w:p>
        </w:tc>
        <w:tc>
          <w:tcPr>
            <w:tcW w:w="1417" w:type="dxa"/>
            <w:vAlign w:val="center"/>
          </w:tcPr>
          <w:p w14:paraId="123859A6" w14:textId="77777777" w:rsidR="00B2442D" w:rsidRDefault="008A645F">
            <w:pPr>
              <w:jc w:val="center"/>
              <w:rPr>
                <w:rFonts w:ascii="Arial" w:hAnsi="Arial" w:cs="Arial"/>
                <w:b/>
                <w:bCs/>
              </w:rPr>
            </w:pPr>
            <w:r>
              <w:rPr>
                <w:rFonts w:ascii="Arial" w:hAnsi="Arial" w:cs="Arial"/>
                <w:b/>
                <w:bCs/>
              </w:rPr>
              <w:t>0610</w:t>
            </w:r>
          </w:p>
        </w:tc>
        <w:tc>
          <w:tcPr>
            <w:tcW w:w="2845" w:type="dxa"/>
            <w:vAlign w:val="center"/>
          </w:tcPr>
          <w:p w14:paraId="16D3F093" w14:textId="77777777" w:rsidR="00B2442D" w:rsidRDefault="008A645F">
            <w:pPr>
              <w:jc w:val="both"/>
              <w:rPr>
                <w:rFonts w:ascii="Arial" w:hAnsi="Arial" w:cs="Arial"/>
              </w:rPr>
            </w:pPr>
            <w:r>
              <w:rPr>
                <w:rFonts w:ascii="Arial" w:hAnsi="Arial" w:cs="Arial"/>
              </w:rPr>
              <w:t>Extracción de petróleo crudo</w:t>
            </w:r>
          </w:p>
        </w:tc>
        <w:tc>
          <w:tcPr>
            <w:tcW w:w="1276" w:type="dxa"/>
            <w:vMerge/>
            <w:vAlign w:val="center"/>
          </w:tcPr>
          <w:p w14:paraId="5BC104E0" w14:textId="77777777" w:rsidR="00B2442D" w:rsidRDefault="00B2442D">
            <w:pPr>
              <w:rPr>
                <w:rFonts w:ascii="Arial" w:hAnsi="Arial" w:cs="Arial"/>
              </w:rPr>
            </w:pPr>
          </w:p>
        </w:tc>
        <w:tc>
          <w:tcPr>
            <w:tcW w:w="1276" w:type="dxa"/>
            <w:vMerge/>
          </w:tcPr>
          <w:p w14:paraId="16E4FE89" w14:textId="77777777" w:rsidR="00B2442D" w:rsidRDefault="00B2442D">
            <w:pPr>
              <w:rPr>
                <w:rFonts w:ascii="Arial" w:hAnsi="Arial" w:cs="Arial"/>
              </w:rPr>
            </w:pPr>
          </w:p>
        </w:tc>
      </w:tr>
      <w:tr w:rsidR="00B2442D" w14:paraId="5C49702E" w14:textId="77777777">
        <w:tc>
          <w:tcPr>
            <w:tcW w:w="2122" w:type="dxa"/>
            <w:vAlign w:val="center"/>
          </w:tcPr>
          <w:p w14:paraId="7455505A" w14:textId="77777777" w:rsidR="00B2442D" w:rsidRDefault="00B2442D">
            <w:pPr>
              <w:rPr>
                <w:rFonts w:ascii="Arial" w:hAnsi="Arial" w:cs="Arial"/>
              </w:rPr>
            </w:pPr>
          </w:p>
        </w:tc>
        <w:tc>
          <w:tcPr>
            <w:tcW w:w="1417" w:type="dxa"/>
            <w:vAlign w:val="center"/>
          </w:tcPr>
          <w:p w14:paraId="07F8846F" w14:textId="77777777" w:rsidR="00B2442D" w:rsidRDefault="008A645F">
            <w:pPr>
              <w:jc w:val="center"/>
              <w:rPr>
                <w:rFonts w:ascii="Arial" w:hAnsi="Arial" w:cs="Arial"/>
                <w:b/>
                <w:bCs/>
              </w:rPr>
            </w:pPr>
            <w:r>
              <w:rPr>
                <w:rFonts w:ascii="Arial" w:hAnsi="Arial" w:cs="Arial"/>
                <w:b/>
                <w:bCs/>
              </w:rPr>
              <w:t>0620</w:t>
            </w:r>
          </w:p>
        </w:tc>
        <w:tc>
          <w:tcPr>
            <w:tcW w:w="2845" w:type="dxa"/>
            <w:vAlign w:val="center"/>
          </w:tcPr>
          <w:p w14:paraId="63FD53FD" w14:textId="77777777" w:rsidR="00B2442D" w:rsidRDefault="008A645F">
            <w:pPr>
              <w:jc w:val="both"/>
              <w:rPr>
                <w:rFonts w:ascii="Arial" w:hAnsi="Arial" w:cs="Arial"/>
              </w:rPr>
            </w:pPr>
            <w:r>
              <w:rPr>
                <w:rFonts w:ascii="Arial" w:hAnsi="Arial" w:cs="Arial"/>
              </w:rPr>
              <w:t>Extracción de gas natural</w:t>
            </w:r>
          </w:p>
        </w:tc>
        <w:tc>
          <w:tcPr>
            <w:tcW w:w="1276" w:type="dxa"/>
            <w:vMerge/>
            <w:vAlign w:val="center"/>
          </w:tcPr>
          <w:p w14:paraId="088BFD8F" w14:textId="77777777" w:rsidR="00B2442D" w:rsidRDefault="00B2442D">
            <w:pPr>
              <w:rPr>
                <w:rFonts w:ascii="Arial" w:hAnsi="Arial" w:cs="Arial"/>
              </w:rPr>
            </w:pPr>
          </w:p>
        </w:tc>
        <w:tc>
          <w:tcPr>
            <w:tcW w:w="1276" w:type="dxa"/>
            <w:vMerge/>
          </w:tcPr>
          <w:p w14:paraId="7D8B18F5" w14:textId="77777777" w:rsidR="00B2442D" w:rsidRDefault="00B2442D">
            <w:pPr>
              <w:rPr>
                <w:rFonts w:ascii="Arial" w:hAnsi="Arial" w:cs="Arial"/>
              </w:rPr>
            </w:pPr>
          </w:p>
        </w:tc>
      </w:tr>
      <w:tr w:rsidR="00B2442D" w14:paraId="1BF0B66F" w14:textId="77777777">
        <w:tc>
          <w:tcPr>
            <w:tcW w:w="2122" w:type="dxa"/>
            <w:vAlign w:val="center"/>
          </w:tcPr>
          <w:p w14:paraId="08617440" w14:textId="77777777" w:rsidR="00B2442D" w:rsidRDefault="00B2442D">
            <w:pPr>
              <w:rPr>
                <w:rFonts w:ascii="Arial" w:hAnsi="Arial" w:cs="Arial"/>
              </w:rPr>
            </w:pPr>
          </w:p>
        </w:tc>
        <w:tc>
          <w:tcPr>
            <w:tcW w:w="1417" w:type="dxa"/>
            <w:vAlign w:val="center"/>
          </w:tcPr>
          <w:p w14:paraId="1DB55F11" w14:textId="77777777" w:rsidR="00B2442D" w:rsidRDefault="008A645F">
            <w:pPr>
              <w:jc w:val="center"/>
              <w:rPr>
                <w:rFonts w:ascii="Arial" w:hAnsi="Arial" w:cs="Arial"/>
                <w:b/>
                <w:bCs/>
              </w:rPr>
            </w:pPr>
            <w:r>
              <w:rPr>
                <w:rFonts w:ascii="Arial" w:hAnsi="Arial" w:cs="Arial"/>
                <w:b/>
                <w:bCs/>
              </w:rPr>
              <w:t>0710</w:t>
            </w:r>
          </w:p>
        </w:tc>
        <w:tc>
          <w:tcPr>
            <w:tcW w:w="2845" w:type="dxa"/>
            <w:vAlign w:val="center"/>
          </w:tcPr>
          <w:p w14:paraId="520CE245" w14:textId="77777777" w:rsidR="00B2442D" w:rsidRDefault="008A645F">
            <w:pPr>
              <w:jc w:val="both"/>
              <w:rPr>
                <w:rFonts w:ascii="Arial" w:hAnsi="Arial" w:cs="Arial"/>
              </w:rPr>
            </w:pPr>
            <w:r>
              <w:rPr>
                <w:rFonts w:ascii="Arial" w:hAnsi="Arial" w:cs="Arial"/>
              </w:rPr>
              <w:t>Extracción de minerales de hierro</w:t>
            </w:r>
          </w:p>
        </w:tc>
        <w:tc>
          <w:tcPr>
            <w:tcW w:w="1276" w:type="dxa"/>
            <w:vMerge/>
            <w:vAlign w:val="center"/>
          </w:tcPr>
          <w:p w14:paraId="53515BC3" w14:textId="77777777" w:rsidR="00B2442D" w:rsidRDefault="00B2442D">
            <w:pPr>
              <w:rPr>
                <w:rFonts w:ascii="Arial" w:hAnsi="Arial" w:cs="Arial"/>
              </w:rPr>
            </w:pPr>
          </w:p>
        </w:tc>
        <w:tc>
          <w:tcPr>
            <w:tcW w:w="1276" w:type="dxa"/>
            <w:vMerge/>
          </w:tcPr>
          <w:p w14:paraId="733A3ADA" w14:textId="77777777" w:rsidR="00B2442D" w:rsidRDefault="00B2442D">
            <w:pPr>
              <w:rPr>
                <w:rFonts w:ascii="Arial" w:hAnsi="Arial" w:cs="Arial"/>
              </w:rPr>
            </w:pPr>
          </w:p>
        </w:tc>
      </w:tr>
      <w:tr w:rsidR="00B2442D" w14:paraId="0F11D611" w14:textId="77777777">
        <w:tc>
          <w:tcPr>
            <w:tcW w:w="2122" w:type="dxa"/>
            <w:vAlign w:val="center"/>
          </w:tcPr>
          <w:p w14:paraId="7C936FE6" w14:textId="77777777" w:rsidR="00B2442D" w:rsidRDefault="00B2442D">
            <w:pPr>
              <w:rPr>
                <w:rFonts w:ascii="Arial" w:hAnsi="Arial" w:cs="Arial"/>
              </w:rPr>
            </w:pPr>
          </w:p>
        </w:tc>
        <w:tc>
          <w:tcPr>
            <w:tcW w:w="1417" w:type="dxa"/>
            <w:vAlign w:val="center"/>
          </w:tcPr>
          <w:p w14:paraId="3F38D7DF" w14:textId="77777777" w:rsidR="00B2442D" w:rsidRDefault="008A645F">
            <w:pPr>
              <w:jc w:val="center"/>
              <w:rPr>
                <w:rFonts w:ascii="Arial" w:hAnsi="Arial" w:cs="Arial"/>
              </w:rPr>
            </w:pPr>
            <w:r>
              <w:rPr>
                <w:rFonts w:ascii="Arial" w:hAnsi="Arial" w:cs="Arial"/>
              </w:rPr>
              <w:t>0721</w:t>
            </w:r>
          </w:p>
        </w:tc>
        <w:tc>
          <w:tcPr>
            <w:tcW w:w="2845" w:type="dxa"/>
            <w:vAlign w:val="center"/>
          </w:tcPr>
          <w:p w14:paraId="02BE4FAC" w14:textId="77777777" w:rsidR="00B2442D" w:rsidRDefault="008A645F">
            <w:pPr>
              <w:jc w:val="both"/>
              <w:rPr>
                <w:rFonts w:ascii="Arial" w:hAnsi="Arial" w:cs="Arial"/>
              </w:rPr>
            </w:pPr>
            <w:r>
              <w:rPr>
                <w:rFonts w:ascii="Arial" w:hAnsi="Arial" w:cs="Arial"/>
              </w:rPr>
              <w:t>Extracción de minerales de uranio y de torio</w:t>
            </w:r>
          </w:p>
        </w:tc>
        <w:tc>
          <w:tcPr>
            <w:tcW w:w="1276" w:type="dxa"/>
            <w:vMerge/>
            <w:vAlign w:val="center"/>
          </w:tcPr>
          <w:p w14:paraId="5A031BCD" w14:textId="77777777" w:rsidR="00B2442D" w:rsidRDefault="00B2442D">
            <w:pPr>
              <w:rPr>
                <w:rFonts w:ascii="Arial" w:hAnsi="Arial" w:cs="Arial"/>
              </w:rPr>
            </w:pPr>
          </w:p>
        </w:tc>
        <w:tc>
          <w:tcPr>
            <w:tcW w:w="1276" w:type="dxa"/>
            <w:vMerge/>
          </w:tcPr>
          <w:p w14:paraId="444E68A8" w14:textId="77777777" w:rsidR="00B2442D" w:rsidRDefault="00B2442D">
            <w:pPr>
              <w:rPr>
                <w:rFonts w:ascii="Arial" w:hAnsi="Arial" w:cs="Arial"/>
              </w:rPr>
            </w:pPr>
          </w:p>
        </w:tc>
      </w:tr>
      <w:tr w:rsidR="00B2442D" w14:paraId="72487AD9" w14:textId="77777777">
        <w:tc>
          <w:tcPr>
            <w:tcW w:w="2122" w:type="dxa"/>
            <w:vAlign w:val="center"/>
          </w:tcPr>
          <w:p w14:paraId="3A4E0645" w14:textId="77777777" w:rsidR="00B2442D" w:rsidRDefault="00B2442D">
            <w:pPr>
              <w:rPr>
                <w:rFonts w:ascii="Arial" w:hAnsi="Arial" w:cs="Arial"/>
              </w:rPr>
            </w:pPr>
          </w:p>
        </w:tc>
        <w:tc>
          <w:tcPr>
            <w:tcW w:w="1417" w:type="dxa"/>
            <w:vAlign w:val="center"/>
          </w:tcPr>
          <w:p w14:paraId="5E535277" w14:textId="77777777" w:rsidR="00B2442D" w:rsidRDefault="008A645F">
            <w:pPr>
              <w:jc w:val="center"/>
              <w:rPr>
                <w:rFonts w:ascii="Arial" w:hAnsi="Arial" w:cs="Arial"/>
              </w:rPr>
            </w:pPr>
            <w:r>
              <w:rPr>
                <w:rFonts w:ascii="Arial" w:hAnsi="Arial" w:cs="Arial"/>
              </w:rPr>
              <w:t>0722</w:t>
            </w:r>
          </w:p>
        </w:tc>
        <w:tc>
          <w:tcPr>
            <w:tcW w:w="2845" w:type="dxa"/>
            <w:vAlign w:val="center"/>
          </w:tcPr>
          <w:p w14:paraId="3D8F916C" w14:textId="77777777" w:rsidR="00B2442D" w:rsidRDefault="008A645F">
            <w:pPr>
              <w:jc w:val="both"/>
              <w:rPr>
                <w:rFonts w:ascii="Arial" w:hAnsi="Arial" w:cs="Arial"/>
              </w:rPr>
            </w:pPr>
            <w:r>
              <w:rPr>
                <w:rFonts w:ascii="Arial" w:hAnsi="Arial" w:cs="Arial"/>
              </w:rPr>
              <w:t>Extracción de oro y otros metales preciosos</w:t>
            </w:r>
          </w:p>
        </w:tc>
        <w:tc>
          <w:tcPr>
            <w:tcW w:w="1276" w:type="dxa"/>
            <w:vMerge/>
            <w:vAlign w:val="center"/>
          </w:tcPr>
          <w:p w14:paraId="47CAAF2E" w14:textId="77777777" w:rsidR="00B2442D" w:rsidRDefault="00B2442D">
            <w:pPr>
              <w:rPr>
                <w:rFonts w:ascii="Arial" w:hAnsi="Arial" w:cs="Arial"/>
              </w:rPr>
            </w:pPr>
          </w:p>
        </w:tc>
        <w:tc>
          <w:tcPr>
            <w:tcW w:w="1276" w:type="dxa"/>
            <w:vMerge/>
          </w:tcPr>
          <w:p w14:paraId="45AF5479" w14:textId="77777777" w:rsidR="00B2442D" w:rsidRDefault="00B2442D">
            <w:pPr>
              <w:rPr>
                <w:rFonts w:ascii="Arial" w:hAnsi="Arial" w:cs="Arial"/>
              </w:rPr>
            </w:pPr>
          </w:p>
        </w:tc>
      </w:tr>
      <w:tr w:rsidR="00B2442D" w14:paraId="52EC8CC1" w14:textId="77777777">
        <w:tc>
          <w:tcPr>
            <w:tcW w:w="2122" w:type="dxa"/>
            <w:vAlign w:val="center"/>
          </w:tcPr>
          <w:p w14:paraId="619DCF51" w14:textId="77777777" w:rsidR="00B2442D" w:rsidRDefault="00B2442D">
            <w:pPr>
              <w:rPr>
                <w:rFonts w:ascii="Arial" w:hAnsi="Arial" w:cs="Arial"/>
              </w:rPr>
            </w:pPr>
          </w:p>
        </w:tc>
        <w:tc>
          <w:tcPr>
            <w:tcW w:w="1417" w:type="dxa"/>
            <w:vAlign w:val="center"/>
          </w:tcPr>
          <w:p w14:paraId="7E273342" w14:textId="77777777" w:rsidR="00B2442D" w:rsidRDefault="008A645F">
            <w:pPr>
              <w:jc w:val="center"/>
              <w:rPr>
                <w:rFonts w:ascii="Arial" w:hAnsi="Arial" w:cs="Arial"/>
              </w:rPr>
            </w:pPr>
            <w:r>
              <w:rPr>
                <w:rFonts w:ascii="Arial" w:hAnsi="Arial" w:cs="Arial"/>
              </w:rPr>
              <w:t>0723</w:t>
            </w:r>
          </w:p>
        </w:tc>
        <w:tc>
          <w:tcPr>
            <w:tcW w:w="2845" w:type="dxa"/>
            <w:vAlign w:val="center"/>
          </w:tcPr>
          <w:p w14:paraId="40E66D34" w14:textId="77777777" w:rsidR="00B2442D" w:rsidRDefault="008A645F">
            <w:pPr>
              <w:jc w:val="both"/>
              <w:rPr>
                <w:rFonts w:ascii="Arial" w:hAnsi="Arial" w:cs="Arial"/>
              </w:rPr>
            </w:pPr>
            <w:r>
              <w:rPr>
                <w:rFonts w:ascii="Arial" w:hAnsi="Arial" w:cs="Arial"/>
              </w:rPr>
              <w:t>Extracción de minerales de níquel</w:t>
            </w:r>
          </w:p>
        </w:tc>
        <w:tc>
          <w:tcPr>
            <w:tcW w:w="1276" w:type="dxa"/>
            <w:vMerge/>
            <w:vAlign w:val="center"/>
          </w:tcPr>
          <w:p w14:paraId="62F8320A" w14:textId="77777777" w:rsidR="00B2442D" w:rsidRDefault="00B2442D">
            <w:pPr>
              <w:rPr>
                <w:rFonts w:ascii="Arial" w:hAnsi="Arial" w:cs="Arial"/>
              </w:rPr>
            </w:pPr>
          </w:p>
        </w:tc>
        <w:tc>
          <w:tcPr>
            <w:tcW w:w="1276" w:type="dxa"/>
            <w:vMerge/>
          </w:tcPr>
          <w:p w14:paraId="66A494C7" w14:textId="77777777" w:rsidR="00B2442D" w:rsidRDefault="00B2442D">
            <w:pPr>
              <w:rPr>
                <w:rFonts w:ascii="Arial" w:hAnsi="Arial" w:cs="Arial"/>
              </w:rPr>
            </w:pPr>
          </w:p>
        </w:tc>
      </w:tr>
      <w:tr w:rsidR="00B2442D" w14:paraId="62A65691" w14:textId="77777777">
        <w:tc>
          <w:tcPr>
            <w:tcW w:w="2122" w:type="dxa"/>
            <w:vAlign w:val="center"/>
          </w:tcPr>
          <w:p w14:paraId="57E0A89F" w14:textId="77777777" w:rsidR="00B2442D" w:rsidRDefault="00B2442D">
            <w:pPr>
              <w:rPr>
                <w:rFonts w:ascii="Arial" w:hAnsi="Arial" w:cs="Arial"/>
              </w:rPr>
            </w:pPr>
          </w:p>
        </w:tc>
        <w:tc>
          <w:tcPr>
            <w:tcW w:w="1417" w:type="dxa"/>
            <w:vAlign w:val="center"/>
          </w:tcPr>
          <w:p w14:paraId="60B1B3CD" w14:textId="77777777" w:rsidR="00B2442D" w:rsidRDefault="008A645F">
            <w:pPr>
              <w:jc w:val="center"/>
              <w:rPr>
                <w:rFonts w:ascii="Arial" w:hAnsi="Arial" w:cs="Arial"/>
              </w:rPr>
            </w:pPr>
            <w:r>
              <w:rPr>
                <w:rFonts w:ascii="Arial" w:hAnsi="Arial" w:cs="Arial"/>
              </w:rPr>
              <w:t>0729</w:t>
            </w:r>
          </w:p>
        </w:tc>
        <w:tc>
          <w:tcPr>
            <w:tcW w:w="2845" w:type="dxa"/>
          </w:tcPr>
          <w:p w14:paraId="1C4BA9B9" w14:textId="77777777" w:rsidR="00B2442D" w:rsidRDefault="008A645F">
            <w:pPr>
              <w:jc w:val="both"/>
              <w:rPr>
                <w:rFonts w:ascii="Arial" w:hAnsi="Arial" w:cs="Arial"/>
              </w:rPr>
            </w:pPr>
            <w:r>
              <w:rPr>
                <w:rFonts w:ascii="Arial" w:hAnsi="Arial" w:cs="Arial"/>
              </w:rPr>
              <w:t>Extracción de  otros minerales metalíferos no</w:t>
            </w:r>
            <w:r>
              <w:rPr>
                <w:rFonts w:ascii="Arial" w:hAnsi="Arial" w:cs="Arial"/>
              </w:rPr>
              <w:br/>
              <w:t>ferrosos n.c.p.</w:t>
            </w:r>
          </w:p>
        </w:tc>
        <w:tc>
          <w:tcPr>
            <w:tcW w:w="1276" w:type="dxa"/>
            <w:vMerge/>
            <w:vAlign w:val="center"/>
          </w:tcPr>
          <w:p w14:paraId="1DBAE76A" w14:textId="77777777" w:rsidR="00B2442D" w:rsidRDefault="00B2442D">
            <w:pPr>
              <w:rPr>
                <w:rFonts w:ascii="Arial" w:hAnsi="Arial" w:cs="Arial"/>
              </w:rPr>
            </w:pPr>
          </w:p>
        </w:tc>
        <w:tc>
          <w:tcPr>
            <w:tcW w:w="1276" w:type="dxa"/>
            <w:vMerge/>
          </w:tcPr>
          <w:p w14:paraId="264C92BE" w14:textId="77777777" w:rsidR="00B2442D" w:rsidRDefault="00B2442D">
            <w:pPr>
              <w:rPr>
                <w:rFonts w:ascii="Arial" w:hAnsi="Arial" w:cs="Arial"/>
              </w:rPr>
            </w:pPr>
          </w:p>
        </w:tc>
      </w:tr>
      <w:tr w:rsidR="00B2442D" w14:paraId="71879CDA" w14:textId="77777777">
        <w:tc>
          <w:tcPr>
            <w:tcW w:w="2122" w:type="dxa"/>
            <w:vAlign w:val="center"/>
          </w:tcPr>
          <w:p w14:paraId="2253E6D3" w14:textId="77777777" w:rsidR="00B2442D" w:rsidRDefault="00B2442D">
            <w:pPr>
              <w:rPr>
                <w:rFonts w:ascii="Arial" w:hAnsi="Arial" w:cs="Arial"/>
              </w:rPr>
            </w:pPr>
          </w:p>
        </w:tc>
        <w:tc>
          <w:tcPr>
            <w:tcW w:w="1417" w:type="dxa"/>
            <w:vAlign w:val="center"/>
          </w:tcPr>
          <w:p w14:paraId="07CAE095" w14:textId="77777777" w:rsidR="00B2442D" w:rsidRDefault="008A645F">
            <w:pPr>
              <w:jc w:val="center"/>
              <w:rPr>
                <w:rFonts w:ascii="Arial" w:hAnsi="Arial" w:cs="Arial"/>
                <w:b/>
                <w:bCs/>
              </w:rPr>
            </w:pPr>
            <w:r>
              <w:rPr>
                <w:rFonts w:ascii="Arial" w:hAnsi="Arial" w:cs="Arial"/>
                <w:b/>
                <w:bCs/>
              </w:rPr>
              <w:t>0811</w:t>
            </w:r>
          </w:p>
        </w:tc>
        <w:tc>
          <w:tcPr>
            <w:tcW w:w="2845" w:type="dxa"/>
          </w:tcPr>
          <w:p w14:paraId="0D1662E3" w14:textId="77777777" w:rsidR="00B2442D" w:rsidRDefault="008A645F">
            <w:pPr>
              <w:jc w:val="both"/>
              <w:rPr>
                <w:rFonts w:ascii="Arial" w:hAnsi="Arial" w:cs="Arial"/>
              </w:rPr>
            </w:pPr>
            <w:r>
              <w:rPr>
                <w:rFonts w:ascii="Arial" w:hAnsi="Arial" w:cs="Arial"/>
              </w:rPr>
              <w:t xml:space="preserve">Extracción de piedra, arena, </w:t>
            </w:r>
            <w:r>
              <w:rPr>
                <w:rFonts w:ascii="Arial" w:hAnsi="Arial" w:cs="Arial"/>
              </w:rPr>
              <w:t>arcillas comunes, yeso y anhidrita</w:t>
            </w:r>
          </w:p>
        </w:tc>
        <w:tc>
          <w:tcPr>
            <w:tcW w:w="1276" w:type="dxa"/>
            <w:vMerge/>
            <w:vAlign w:val="center"/>
          </w:tcPr>
          <w:p w14:paraId="2EDC5F21" w14:textId="77777777" w:rsidR="00B2442D" w:rsidRDefault="00B2442D">
            <w:pPr>
              <w:rPr>
                <w:rFonts w:ascii="Arial" w:hAnsi="Arial" w:cs="Arial"/>
              </w:rPr>
            </w:pPr>
          </w:p>
        </w:tc>
        <w:tc>
          <w:tcPr>
            <w:tcW w:w="1276" w:type="dxa"/>
            <w:vMerge/>
          </w:tcPr>
          <w:p w14:paraId="573A4576" w14:textId="77777777" w:rsidR="00B2442D" w:rsidRDefault="00B2442D">
            <w:pPr>
              <w:rPr>
                <w:rFonts w:ascii="Arial" w:hAnsi="Arial" w:cs="Arial"/>
              </w:rPr>
            </w:pPr>
          </w:p>
        </w:tc>
      </w:tr>
      <w:tr w:rsidR="00B2442D" w14:paraId="3AB0F1B0" w14:textId="77777777">
        <w:tc>
          <w:tcPr>
            <w:tcW w:w="2122" w:type="dxa"/>
            <w:vAlign w:val="center"/>
          </w:tcPr>
          <w:p w14:paraId="7A9940FE" w14:textId="77777777" w:rsidR="00B2442D" w:rsidRDefault="00B2442D">
            <w:pPr>
              <w:rPr>
                <w:rFonts w:ascii="Arial" w:hAnsi="Arial" w:cs="Arial"/>
              </w:rPr>
            </w:pPr>
          </w:p>
        </w:tc>
        <w:tc>
          <w:tcPr>
            <w:tcW w:w="1417" w:type="dxa"/>
            <w:vAlign w:val="center"/>
          </w:tcPr>
          <w:p w14:paraId="645F3C65" w14:textId="77777777" w:rsidR="00B2442D" w:rsidRDefault="008A645F">
            <w:pPr>
              <w:jc w:val="center"/>
              <w:rPr>
                <w:rFonts w:ascii="Arial" w:hAnsi="Arial" w:cs="Arial"/>
                <w:b/>
                <w:bCs/>
              </w:rPr>
            </w:pPr>
            <w:r>
              <w:rPr>
                <w:rFonts w:ascii="Arial" w:hAnsi="Arial" w:cs="Arial"/>
                <w:b/>
                <w:bCs/>
              </w:rPr>
              <w:t>0812</w:t>
            </w:r>
          </w:p>
        </w:tc>
        <w:tc>
          <w:tcPr>
            <w:tcW w:w="2845" w:type="dxa"/>
          </w:tcPr>
          <w:p w14:paraId="349CCCBA" w14:textId="77777777" w:rsidR="00B2442D" w:rsidRDefault="008A645F">
            <w:pPr>
              <w:jc w:val="both"/>
              <w:rPr>
                <w:rFonts w:ascii="Arial" w:hAnsi="Arial" w:cs="Arial"/>
              </w:rPr>
            </w:pPr>
            <w:r>
              <w:rPr>
                <w:rFonts w:ascii="Arial" w:hAnsi="Arial" w:cs="Arial"/>
              </w:rPr>
              <w:t>Extracción de arcillas de uso industrial, caliza, caolín y bentonitas</w:t>
            </w:r>
          </w:p>
        </w:tc>
        <w:tc>
          <w:tcPr>
            <w:tcW w:w="1276" w:type="dxa"/>
            <w:vMerge/>
            <w:vAlign w:val="center"/>
          </w:tcPr>
          <w:p w14:paraId="7E66D3D5" w14:textId="77777777" w:rsidR="00B2442D" w:rsidRDefault="00B2442D">
            <w:pPr>
              <w:rPr>
                <w:rFonts w:ascii="Arial" w:hAnsi="Arial" w:cs="Arial"/>
              </w:rPr>
            </w:pPr>
          </w:p>
        </w:tc>
        <w:tc>
          <w:tcPr>
            <w:tcW w:w="1276" w:type="dxa"/>
            <w:vMerge/>
          </w:tcPr>
          <w:p w14:paraId="49D99188" w14:textId="77777777" w:rsidR="00B2442D" w:rsidRDefault="00B2442D">
            <w:pPr>
              <w:rPr>
                <w:rFonts w:ascii="Arial" w:hAnsi="Arial" w:cs="Arial"/>
              </w:rPr>
            </w:pPr>
          </w:p>
        </w:tc>
      </w:tr>
      <w:tr w:rsidR="00B2442D" w14:paraId="14BE79DD" w14:textId="77777777">
        <w:tc>
          <w:tcPr>
            <w:tcW w:w="2122" w:type="dxa"/>
            <w:vAlign w:val="center"/>
          </w:tcPr>
          <w:p w14:paraId="3134BA44" w14:textId="77777777" w:rsidR="00B2442D" w:rsidRDefault="00B2442D">
            <w:pPr>
              <w:rPr>
                <w:rFonts w:ascii="Arial" w:hAnsi="Arial" w:cs="Arial"/>
              </w:rPr>
            </w:pPr>
          </w:p>
        </w:tc>
        <w:tc>
          <w:tcPr>
            <w:tcW w:w="1417" w:type="dxa"/>
            <w:vAlign w:val="center"/>
          </w:tcPr>
          <w:p w14:paraId="4EDA8790" w14:textId="77777777" w:rsidR="00B2442D" w:rsidRDefault="008A645F">
            <w:pPr>
              <w:jc w:val="center"/>
              <w:rPr>
                <w:rFonts w:ascii="Arial" w:hAnsi="Arial" w:cs="Arial"/>
                <w:b/>
                <w:bCs/>
              </w:rPr>
            </w:pPr>
            <w:r>
              <w:rPr>
                <w:rFonts w:ascii="Arial" w:hAnsi="Arial" w:cs="Arial"/>
                <w:b/>
                <w:bCs/>
              </w:rPr>
              <w:t>0820</w:t>
            </w:r>
          </w:p>
        </w:tc>
        <w:tc>
          <w:tcPr>
            <w:tcW w:w="2845" w:type="dxa"/>
          </w:tcPr>
          <w:p w14:paraId="308F7661" w14:textId="77777777" w:rsidR="00B2442D" w:rsidRDefault="008A645F">
            <w:pPr>
              <w:jc w:val="both"/>
              <w:rPr>
                <w:rFonts w:ascii="Arial" w:hAnsi="Arial" w:cs="Arial"/>
              </w:rPr>
            </w:pPr>
            <w:r>
              <w:rPr>
                <w:rFonts w:ascii="Arial" w:hAnsi="Arial" w:cs="Arial"/>
              </w:rPr>
              <w:t>Extracción de esmeraldas, piedras preciosas y</w:t>
            </w:r>
            <w:r>
              <w:rPr>
                <w:rFonts w:ascii="Arial" w:hAnsi="Arial" w:cs="Arial"/>
              </w:rPr>
              <w:br/>
              <w:t>semipreciosas</w:t>
            </w:r>
          </w:p>
        </w:tc>
        <w:tc>
          <w:tcPr>
            <w:tcW w:w="1276" w:type="dxa"/>
            <w:vMerge/>
            <w:vAlign w:val="center"/>
          </w:tcPr>
          <w:p w14:paraId="0ABD43A1" w14:textId="77777777" w:rsidR="00B2442D" w:rsidRDefault="00B2442D">
            <w:pPr>
              <w:rPr>
                <w:rFonts w:ascii="Arial" w:hAnsi="Arial" w:cs="Arial"/>
              </w:rPr>
            </w:pPr>
          </w:p>
        </w:tc>
        <w:tc>
          <w:tcPr>
            <w:tcW w:w="1276" w:type="dxa"/>
            <w:vMerge/>
          </w:tcPr>
          <w:p w14:paraId="19D8298B" w14:textId="77777777" w:rsidR="00B2442D" w:rsidRDefault="00B2442D">
            <w:pPr>
              <w:rPr>
                <w:rFonts w:ascii="Arial" w:hAnsi="Arial" w:cs="Arial"/>
              </w:rPr>
            </w:pPr>
          </w:p>
        </w:tc>
      </w:tr>
      <w:tr w:rsidR="00B2442D" w14:paraId="26441721" w14:textId="77777777">
        <w:tc>
          <w:tcPr>
            <w:tcW w:w="2122" w:type="dxa"/>
            <w:vAlign w:val="center"/>
          </w:tcPr>
          <w:p w14:paraId="6A55C7E2" w14:textId="77777777" w:rsidR="00B2442D" w:rsidRDefault="00B2442D">
            <w:pPr>
              <w:rPr>
                <w:rFonts w:ascii="Arial" w:hAnsi="Arial" w:cs="Arial"/>
              </w:rPr>
            </w:pPr>
          </w:p>
        </w:tc>
        <w:tc>
          <w:tcPr>
            <w:tcW w:w="1417" w:type="dxa"/>
            <w:vAlign w:val="center"/>
          </w:tcPr>
          <w:p w14:paraId="77E21692" w14:textId="77777777" w:rsidR="00B2442D" w:rsidRDefault="008A645F">
            <w:pPr>
              <w:jc w:val="center"/>
              <w:rPr>
                <w:rFonts w:ascii="Arial" w:hAnsi="Arial" w:cs="Arial"/>
                <w:b/>
                <w:bCs/>
              </w:rPr>
            </w:pPr>
            <w:r>
              <w:rPr>
                <w:rFonts w:ascii="Arial" w:hAnsi="Arial" w:cs="Arial"/>
                <w:b/>
                <w:bCs/>
              </w:rPr>
              <w:t>0891</w:t>
            </w:r>
          </w:p>
        </w:tc>
        <w:tc>
          <w:tcPr>
            <w:tcW w:w="2845" w:type="dxa"/>
          </w:tcPr>
          <w:p w14:paraId="3788C757" w14:textId="77777777" w:rsidR="00B2442D" w:rsidRDefault="008A645F">
            <w:pPr>
              <w:jc w:val="both"/>
              <w:rPr>
                <w:rFonts w:ascii="Arial" w:hAnsi="Arial" w:cs="Arial"/>
              </w:rPr>
            </w:pPr>
            <w:r>
              <w:rPr>
                <w:rFonts w:ascii="Arial" w:hAnsi="Arial" w:cs="Arial"/>
              </w:rPr>
              <w:t xml:space="preserve">Extracción de minerales para la fabricación de abonos y </w:t>
            </w:r>
            <w:r>
              <w:rPr>
                <w:rFonts w:ascii="Arial" w:hAnsi="Arial" w:cs="Arial"/>
              </w:rPr>
              <w:t>productos químicos</w:t>
            </w:r>
          </w:p>
        </w:tc>
        <w:tc>
          <w:tcPr>
            <w:tcW w:w="1276" w:type="dxa"/>
            <w:vMerge/>
            <w:vAlign w:val="center"/>
          </w:tcPr>
          <w:p w14:paraId="15542874" w14:textId="77777777" w:rsidR="00B2442D" w:rsidRDefault="00B2442D">
            <w:pPr>
              <w:rPr>
                <w:rFonts w:ascii="Arial" w:hAnsi="Arial" w:cs="Arial"/>
              </w:rPr>
            </w:pPr>
          </w:p>
        </w:tc>
        <w:tc>
          <w:tcPr>
            <w:tcW w:w="1276" w:type="dxa"/>
            <w:vMerge/>
          </w:tcPr>
          <w:p w14:paraId="58A0A76E" w14:textId="77777777" w:rsidR="00B2442D" w:rsidRDefault="00B2442D">
            <w:pPr>
              <w:rPr>
                <w:rFonts w:ascii="Arial" w:hAnsi="Arial" w:cs="Arial"/>
              </w:rPr>
            </w:pPr>
          </w:p>
        </w:tc>
      </w:tr>
      <w:tr w:rsidR="00B2442D" w14:paraId="35C65A4B" w14:textId="77777777">
        <w:tc>
          <w:tcPr>
            <w:tcW w:w="2122" w:type="dxa"/>
            <w:vAlign w:val="center"/>
          </w:tcPr>
          <w:p w14:paraId="1D38239C" w14:textId="77777777" w:rsidR="00B2442D" w:rsidRDefault="00B2442D">
            <w:pPr>
              <w:rPr>
                <w:rFonts w:ascii="Arial" w:hAnsi="Arial" w:cs="Arial"/>
              </w:rPr>
            </w:pPr>
          </w:p>
        </w:tc>
        <w:tc>
          <w:tcPr>
            <w:tcW w:w="1417" w:type="dxa"/>
            <w:vAlign w:val="center"/>
          </w:tcPr>
          <w:p w14:paraId="0DBACA40" w14:textId="77777777" w:rsidR="00B2442D" w:rsidRDefault="008A645F">
            <w:pPr>
              <w:jc w:val="center"/>
              <w:rPr>
                <w:rFonts w:ascii="Arial" w:hAnsi="Arial" w:cs="Arial"/>
                <w:b/>
                <w:bCs/>
              </w:rPr>
            </w:pPr>
            <w:r>
              <w:rPr>
                <w:rFonts w:ascii="Arial" w:hAnsi="Arial" w:cs="Arial"/>
                <w:b/>
                <w:bCs/>
              </w:rPr>
              <w:t>0892</w:t>
            </w:r>
          </w:p>
        </w:tc>
        <w:tc>
          <w:tcPr>
            <w:tcW w:w="2845" w:type="dxa"/>
            <w:vAlign w:val="center"/>
          </w:tcPr>
          <w:p w14:paraId="51EDC407" w14:textId="77777777" w:rsidR="00B2442D" w:rsidRDefault="008A645F">
            <w:pPr>
              <w:jc w:val="both"/>
              <w:rPr>
                <w:rFonts w:ascii="Arial" w:hAnsi="Arial" w:cs="Arial"/>
              </w:rPr>
            </w:pPr>
            <w:r>
              <w:rPr>
                <w:rFonts w:ascii="Arial" w:hAnsi="Arial" w:cs="Arial"/>
              </w:rPr>
              <w:t>Extracción de halita (sal)</w:t>
            </w:r>
          </w:p>
        </w:tc>
        <w:tc>
          <w:tcPr>
            <w:tcW w:w="1276" w:type="dxa"/>
            <w:vMerge/>
            <w:vAlign w:val="center"/>
          </w:tcPr>
          <w:p w14:paraId="29862506" w14:textId="77777777" w:rsidR="00B2442D" w:rsidRDefault="00B2442D">
            <w:pPr>
              <w:rPr>
                <w:rFonts w:ascii="Arial" w:hAnsi="Arial" w:cs="Arial"/>
              </w:rPr>
            </w:pPr>
          </w:p>
        </w:tc>
        <w:tc>
          <w:tcPr>
            <w:tcW w:w="1276" w:type="dxa"/>
            <w:vMerge/>
          </w:tcPr>
          <w:p w14:paraId="1A4720E9" w14:textId="77777777" w:rsidR="00B2442D" w:rsidRDefault="00B2442D">
            <w:pPr>
              <w:rPr>
                <w:rFonts w:ascii="Arial" w:hAnsi="Arial" w:cs="Arial"/>
              </w:rPr>
            </w:pPr>
          </w:p>
        </w:tc>
      </w:tr>
      <w:tr w:rsidR="00B2442D" w14:paraId="3F3D8359" w14:textId="77777777">
        <w:tc>
          <w:tcPr>
            <w:tcW w:w="2122" w:type="dxa"/>
            <w:vAlign w:val="center"/>
          </w:tcPr>
          <w:p w14:paraId="1582CC4F" w14:textId="77777777" w:rsidR="00B2442D" w:rsidRDefault="00B2442D">
            <w:pPr>
              <w:rPr>
                <w:rFonts w:ascii="Arial" w:hAnsi="Arial" w:cs="Arial"/>
              </w:rPr>
            </w:pPr>
          </w:p>
        </w:tc>
        <w:tc>
          <w:tcPr>
            <w:tcW w:w="1417" w:type="dxa"/>
            <w:vAlign w:val="center"/>
          </w:tcPr>
          <w:p w14:paraId="55E4BD1A" w14:textId="77777777" w:rsidR="00B2442D" w:rsidRDefault="008A645F">
            <w:pPr>
              <w:jc w:val="center"/>
              <w:rPr>
                <w:rFonts w:ascii="Arial" w:hAnsi="Arial" w:cs="Arial"/>
                <w:b/>
                <w:bCs/>
              </w:rPr>
            </w:pPr>
            <w:r>
              <w:rPr>
                <w:rFonts w:ascii="Arial" w:hAnsi="Arial" w:cs="Arial"/>
                <w:b/>
                <w:bCs/>
              </w:rPr>
              <w:t>0899</w:t>
            </w:r>
          </w:p>
        </w:tc>
        <w:tc>
          <w:tcPr>
            <w:tcW w:w="2845" w:type="dxa"/>
            <w:vAlign w:val="center"/>
          </w:tcPr>
          <w:p w14:paraId="43377672" w14:textId="77777777" w:rsidR="00B2442D" w:rsidRDefault="008A645F">
            <w:pPr>
              <w:jc w:val="both"/>
              <w:rPr>
                <w:rFonts w:ascii="Arial" w:hAnsi="Arial" w:cs="Arial"/>
              </w:rPr>
            </w:pPr>
            <w:r>
              <w:rPr>
                <w:rFonts w:ascii="Arial" w:hAnsi="Arial" w:cs="Arial"/>
              </w:rPr>
              <w:t>Extracción de otros minerales no metálicos n.c.p.</w:t>
            </w:r>
          </w:p>
        </w:tc>
        <w:tc>
          <w:tcPr>
            <w:tcW w:w="1276" w:type="dxa"/>
            <w:vMerge/>
            <w:vAlign w:val="center"/>
          </w:tcPr>
          <w:p w14:paraId="41C7D1C0" w14:textId="77777777" w:rsidR="00B2442D" w:rsidRDefault="00B2442D">
            <w:pPr>
              <w:rPr>
                <w:rFonts w:ascii="Arial" w:hAnsi="Arial" w:cs="Arial"/>
              </w:rPr>
            </w:pPr>
          </w:p>
        </w:tc>
        <w:tc>
          <w:tcPr>
            <w:tcW w:w="1276" w:type="dxa"/>
            <w:vMerge/>
          </w:tcPr>
          <w:p w14:paraId="29C68087" w14:textId="77777777" w:rsidR="00B2442D" w:rsidRDefault="00B2442D">
            <w:pPr>
              <w:rPr>
                <w:rFonts w:ascii="Arial" w:hAnsi="Arial" w:cs="Arial"/>
              </w:rPr>
            </w:pPr>
          </w:p>
        </w:tc>
      </w:tr>
      <w:tr w:rsidR="00B2442D" w14:paraId="52436E0B" w14:textId="77777777">
        <w:tc>
          <w:tcPr>
            <w:tcW w:w="2122" w:type="dxa"/>
            <w:vAlign w:val="center"/>
          </w:tcPr>
          <w:p w14:paraId="35E4D209" w14:textId="77777777" w:rsidR="00B2442D" w:rsidRDefault="00B2442D">
            <w:pPr>
              <w:rPr>
                <w:rFonts w:ascii="Arial" w:hAnsi="Arial" w:cs="Arial"/>
              </w:rPr>
            </w:pPr>
          </w:p>
        </w:tc>
        <w:tc>
          <w:tcPr>
            <w:tcW w:w="1417" w:type="dxa"/>
            <w:vAlign w:val="center"/>
          </w:tcPr>
          <w:p w14:paraId="265A81E8" w14:textId="77777777" w:rsidR="00B2442D" w:rsidRDefault="008A645F">
            <w:pPr>
              <w:jc w:val="center"/>
              <w:rPr>
                <w:rFonts w:ascii="Arial" w:hAnsi="Arial" w:cs="Arial"/>
                <w:b/>
                <w:bCs/>
              </w:rPr>
            </w:pPr>
            <w:r>
              <w:rPr>
                <w:rFonts w:ascii="Arial" w:hAnsi="Arial" w:cs="Arial"/>
                <w:b/>
                <w:bCs/>
              </w:rPr>
              <w:t>0910</w:t>
            </w:r>
          </w:p>
        </w:tc>
        <w:tc>
          <w:tcPr>
            <w:tcW w:w="2845" w:type="dxa"/>
          </w:tcPr>
          <w:p w14:paraId="79366490" w14:textId="77777777" w:rsidR="00B2442D" w:rsidRDefault="008A645F">
            <w:pPr>
              <w:jc w:val="both"/>
              <w:rPr>
                <w:rFonts w:ascii="Arial" w:hAnsi="Arial" w:cs="Arial"/>
              </w:rPr>
            </w:pPr>
            <w:r>
              <w:rPr>
                <w:rFonts w:ascii="Arial" w:hAnsi="Arial" w:cs="Arial"/>
              </w:rPr>
              <w:t>Actividades de apoyo para la extracción de petróleo y de gas natural</w:t>
            </w:r>
          </w:p>
        </w:tc>
        <w:tc>
          <w:tcPr>
            <w:tcW w:w="1276" w:type="dxa"/>
            <w:vMerge/>
            <w:vAlign w:val="center"/>
          </w:tcPr>
          <w:p w14:paraId="36BCECDD" w14:textId="77777777" w:rsidR="00B2442D" w:rsidRDefault="00B2442D">
            <w:pPr>
              <w:rPr>
                <w:rFonts w:ascii="Arial" w:hAnsi="Arial" w:cs="Arial"/>
              </w:rPr>
            </w:pPr>
          </w:p>
        </w:tc>
        <w:tc>
          <w:tcPr>
            <w:tcW w:w="1276" w:type="dxa"/>
            <w:vMerge/>
          </w:tcPr>
          <w:p w14:paraId="08D79A34" w14:textId="77777777" w:rsidR="00B2442D" w:rsidRDefault="00B2442D">
            <w:pPr>
              <w:rPr>
                <w:rFonts w:ascii="Arial" w:hAnsi="Arial" w:cs="Arial"/>
              </w:rPr>
            </w:pPr>
          </w:p>
        </w:tc>
      </w:tr>
      <w:tr w:rsidR="00B2442D" w14:paraId="67A0BD0A" w14:textId="77777777">
        <w:tc>
          <w:tcPr>
            <w:tcW w:w="2122" w:type="dxa"/>
            <w:vAlign w:val="center"/>
          </w:tcPr>
          <w:p w14:paraId="7FE17BD3" w14:textId="77777777" w:rsidR="00B2442D" w:rsidRDefault="00B2442D">
            <w:pPr>
              <w:rPr>
                <w:rFonts w:ascii="Arial" w:hAnsi="Arial" w:cs="Arial"/>
              </w:rPr>
            </w:pPr>
          </w:p>
        </w:tc>
        <w:tc>
          <w:tcPr>
            <w:tcW w:w="1417" w:type="dxa"/>
            <w:vAlign w:val="center"/>
          </w:tcPr>
          <w:p w14:paraId="08585A12" w14:textId="77777777" w:rsidR="00B2442D" w:rsidRDefault="008A645F">
            <w:pPr>
              <w:jc w:val="center"/>
              <w:rPr>
                <w:rFonts w:ascii="Arial" w:hAnsi="Arial" w:cs="Arial"/>
                <w:b/>
                <w:bCs/>
              </w:rPr>
            </w:pPr>
            <w:r>
              <w:rPr>
                <w:rFonts w:ascii="Arial" w:hAnsi="Arial" w:cs="Arial"/>
                <w:b/>
                <w:bCs/>
              </w:rPr>
              <w:t>0990</w:t>
            </w:r>
          </w:p>
        </w:tc>
        <w:tc>
          <w:tcPr>
            <w:tcW w:w="2845" w:type="dxa"/>
          </w:tcPr>
          <w:p w14:paraId="4084274D" w14:textId="77777777" w:rsidR="00B2442D" w:rsidRDefault="008A645F">
            <w:pPr>
              <w:jc w:val="both"/>
              <w:rPr>
                <w:rFonts w:ascii="Arial" w:hAnsi="Arial" w:cs="Arial"/>
              </w:rPr>
            </w:pPr>
            <w:r>
              <w:rPr>
                <w:rFonts w:ascii="Arial" w:hAnsi="Arial" w:cs="Arial"/>
              </w:rPr>
              <w:t xml:space="preserve">Actividades de apoyo para otras actividades de </w:t>
            </w:r>
            <w:r>
              <w:rPr>
                <w:rFonts w:ascii="Arial" w:hAnsi="Arial" w:cs="Arial"/>
              </w:rPr>
              <w:t>explotación de minas y canteras</w:t>
            </w:r>
          </w:p>
        </w:tc>
        <w:tc>
          <w:tcPr>
            <w:tcW w:w="1276" w:type="dxa"/>
            <w:vMerge/>
            <w:vAlign w:val="center"/>
          </w:tcPr>
          <w:p w14:paraId="28E488BF" w14:textId="77777777" w:rsidR="00B2442D" w:rsidRDefault="00B2442D">
            <w:pPr>
              <w:rPr>
                <w:rFonts w:ascii="Arial" w:hAnsi="Arial" w:cs="Arial"/>
              </w:rPr>
            </w:pPr>
          </w:p>
        </w:tc>
        <w:tc>
          <w:tcPr>
            <w:tcW w:w="1276" w:type="dxa"/>
            <w:vMerge/>
          </w:tcPr>
          <w:p w14:paraId="625EBDB5" w14:textId="77777777" w:rsidR="00B2442D" w:rsidRDefault="00B2442D">
            <w:pPr>
              <w:rPr>
                <w:rFonts w:ascii="Arial" w:hAnsi="Arial" w:cs="Arial"/>
              </w:rPr>
            </w:pPr>
          </w:p>
        </w:tc>
      </w:tr>
    </w:tbl>
    <w:p w14:paraId="1C81253E" w14:textId="77777777" w:rsidR="00B2442D" w:rsidRDefault="00B2442D">
      <w:pPr>
        <w:rPr>
          <w:rFonts w:ascii="Arial" w:hAnsi="Arial" w:cs="Arial"/>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417"/>
        <w:gridCol w:w="2845"/>
        <w:gridCol w:w="1276"/>
        <w:gridCol w:w="1276"/>
      </w:tblGrid>
      <w:tr w:rsidR="00B2442D" w14:paraId="2A3224A7" w14:textId="77777777">
        <w:tc>
          <w:tcPr>
            <w:tcW w:w="2122" w:type="dxa"/>
            <w:vAlign w:val="center"/>
          </w:tcPr>
          <w:p w14:paraId="217E71A0" w14:textId="77777777" w:rsidR="00B2442D" w:rsidRDefault="008A645F">
            <w:pPr>
              <w:jc w:val="center"/>
              <w:rPr>
                <w:rFonts w:ascii="Arial" w:hAnsi="Arial" w:cs="Arial"/>
                <w:b/>
                <w:bCs/>
              </w:rPr>
            </w:pPr>
            <w:r>
              <w:rPr>
                <w:rFonts w:ascii="Arial" w:hAnsi="Arial" w:cs="Arial"/>
                <w:b/>
                <w:bCs/>
              </w:rPr>
              <w:t>Actividad</w:t>
            </w:r>
          </w:p>
        </w:tc>
        <w:tc>
          <w:tcPr>
            <w:tcW w:w="1417" w:type="dxa"/>
          </w:tcPr>
          <w:p w14:paraId="0AD9C026" w14:textId="77777777" w:rsidR="00B2442D" w:rsidRDefault="008A645F">
            <w:pPr>
              <w:jc w:val="center"/>
              <w:rPr>
                <w:rFonts w:ascii="Arial" w:hAnsi="Arial" w:cs="Arial"/>
                <w:b/>
                <w:bCs/>
              </w:rPr>
            </w:pPr>
            <w:r>
              <w:rPr>
                <w:rFonts w:ascii="Arial" w:hAnsi="Arial" w:cs="Arial"/>
                <w:b/>
                <w:bCs/>
              </w:rPr>
              <w:t>Código</w:t>
            </w:r>
            <w:r>
              <w:rPr>
                <w:rFonts w:ascii="Arial" w:hAnsi="Arial" w:cs="Arial"/>
                <w:b/>
                <w:bCs/>
              </w:rPr>
              <w:br/>
              <w:t>actividad</w:t>
            </w:r>
            <w:r>
              <w:rPr>
                <w:rFonts w:ascii="Arial" w:hAnsi="Arial" w:cs="Arial"/>
                <w:b/>
                <w:bCs/>
              </w:rPr>
              <w:br/>
              <w:t>económica</w:t>
            </w:r>
          </w:p>
        </w:tc>
        <w:tc>
          <w:tcPr>
            <w:tcW w:w="2845" w:type="dxa"/>
            <w:vAlign w:val="center"/>
          </w:tcPr>
          <w:p w14:paraId="5EAD2E0C" w14:textId="77777777" w:rsidR="00B2442D" w:rsidRDefault="008A645F">
            <w:pPr>
              <w:jc w:val="both"/>
              <w:rPr>
                <w:rFonts w:ascii="Arial" w:hAnsi="Arial" w:cs="Arial"/>
              </w:rPr>
            </w:pPr>
            <w:r>
              <w:rPr>
                <w:rFonts w:ascii="Arial" w:hAnsi="Arial" w:cs="Arial"/>
              </w:rPr>
              <w:t>Transporte férreo de pasajeros</w:t>
            </w:r>
          </w:p>
        </w:tc>
        <w:tc>
          <w:tcPr>
            <w:tcW w:w="1276" w:type="dxa"/>
          </w:tcPr>
          <w:p w14:paraId="34CC5DB3" w14:textId="77777777" w:rsidR="00B2442D" w:rsidRDefault="008A645F">
            <w:pPr>
              <w:jc w:val="center"/>
              <w:rPr>
                <w:rFonts w:ascii="Arial" w:hAnsi="Arial" w:cs="Arial"/>
                <w:b/>
                <w:bCs/>
              </w:rPr>
            </w:pPr>
            <w:r>
              <w:rPr>
                <w:rFonts w:ascii="Arial" w:hAnsi="Arial" w:cs="Arial"/>
                <w:b/>
                <w:bCs/>
              </w:rPr>
              <w:t>Para</w:t>
            </w:r>
            <w:r>
              <w:rPr>
                <w:rFonts w:ascii="Arial" w:hAnsi="Arial" w:cs="Arial"/>
                <w:b/>
                <w:bCs/>
              </w:rPr>
              <w:br/>
              <w:t>RGA</w:t>
            </w:r>
            <w:r>
              <w:rPr>
                <w:rFonts w:ascii="Arial" w:hAnsi="Arial" w:cs="Arial"/>
                <w:b/>
                <w:bCs/>
              </w:rPr>
              <w:br/>
              <w:t>desde</w:t>
            </w:r>
          </w:p>
        </w:tc>
        <w:tc>
          <w:tcPr>
            <w:tcW w:w="1276" w:type="dxa"/>
          </w:tcPr>
          <w:p w14:paraId="1F335F9D" w14:textId="77777777" w:rsidR="00B2442D" w:rsidRDefault="00B2442D">
            <w:pPr>
              <w:jc w:val="center"/>
              <w:rPr>
                <w:rFonts w:ascii="Arial" w:hAnsi="Arial" w:cs="Arial"/>
                <w:b/>
                <w:bCs/>
              </w:rPr>
            </w:pPr>
          </w:p>
          <w:p w14:paraId="10E7DDBC" w14:textId="77777777" w:rsidR="00B2442D" w:rsidRDefault="008A645F">
            <w:pPr>
              <w:jc w:val="center"/>
              <w:rPr>
                <w:rFonts w:ascii="Arial" w:hAnsi="Arial" w:cs="Arial"/>
                <w:b/>
                <w:bCs/>
              </w:rPr>
            </w:pPr>
            <w:r>
              <w:rPr>
                <w:rFonts w:ascii="Arial" w:hAnsi="Arial" w:cs="Arial"/>
                <w:b/>
                <w:bCs/>
              </w:rPr>
              <w:t>IMAS</w:t>
            </w:r>
          </w:p>
        </w:tc>
      </w:tr>
      <w:tr w:rsidR="00B2442D" w14:paraId="11429B17" w14:textId="77777777">
        <w:tc>
          <w:tcPr>
            <w:tcW w:w="2122" w:type="dxa"/>
            <w:vAlign w:val="center"/>
          </w:tcPr>
          <w:p w14:paraId="60B4ECB6" w14:textId="77777777" w:rsidR="00B2442D" w:rsidRDefault="008A645F">
            <w:pPr>
              <w:jc w:val="center"/>
              <w:rPr>
                <w:rFonts w:ascii="Arial" w:hAnsi="Arial" w:cs="Arial"/>
                <w:b/>
                <w:bCs/>
              </w:rPr>
            </w:pPr>
            <w:r>
              <w:rPr>
                <w:rFonts w:ascii="Arial" w:hAnsi="Arial" w:cs="Arial"/>
                <w:b/>
                <w:bCs/>
              </w:rPr>
              <w:t>Servicio de</w:t>
            </w:r>
            <w:r>
              <w:rPr>
                <w:rFonts w:ascii="Arial" w:hAnsi="Arial" w:cs="Arial"/>
                <w:b/>
                <w:bCs/>
              </w:rPr>
              <w:br/>
              <w:t>transporte,</w:t>
            </w:r>
            <w:r>
              <w:rPr>
                <w:rFonts w:ascii="Arial" w:hAnsi="Arial" w:cs="Arial"/>
                <w:b/>
                <w:bCs/>
              </w:rPr>
              <w:br/>
              <w:t>almacenamiento</w:t>
            </w:r>
            <w:r>
              <w:rPr>
                <w:rFonts w:ascii="Arial" w:hAnsi="Arial" w:cs="Arial"/>
                <w:b/>
                <w:bCs/>
              </w:rPr>
              <w:br/>
            </w:r>
            <w:r>
              <w:rPr>
                <w:rFonts w:ascii="Arial" w:hAnsi="Arial" w:cs="Arial"/>
                <w:b/>
                <w:bCs/>
                <w:vertAlign w:val="subscript"/>
              </w:rPr>
              <w:t>y</w:t>
            </w:r>
            <w:r>
              <w:rPr>
                <w:rFonts w:ascii="Arial" w:hAnsi="Arial" w:cs="Arial"/>
                <w:b/>
                <w:bCs/>
              </w:rPr>
              <w:br/>
              <w:t>comunicaciones</w:t>
            </w:r>
          </w:p>
        </w:tc>
        <w:tc>
          <w:tcPr>
            <w:tcW w:w="1417" w:type="dxa"/>
          </w:tcPr>
          <w:p w14:paraId="17E9FE5A" w14:textId="77777777" w:rsidR="00B2442D" w:rsidRDefault="008A645F">
            <w:pPr>
              <w:jc w:val="center"/>
              <w:rPr>
                <w:rFonts w:ascii="Arial" w:hAnsi="Arial" w:cs="Arial"/>
              </w:rPr>
            </w:pPr>
            <w:r>
              <w:rPr>
                <w:rFonts w:ascii="Arial" w:hAnsi="Arial" w:cs="Arial"/>
              </w:rPr>
              <w:t>4911</w:t>
            </w:r>
          </w:p>
        </w:tc>
        <w:tc>
          <w:tcPr>
            <w:tcW w:w="2845" w:type="dxa"/>
            <w:vAlign w:val="center"/>
          </w:tcPr>
          <w:p w14:paraId="06CF7C52" w14:textId="77777777" w:rsidR="00B2442D" w:rsidRDefault="008A645F">
            <w:pPr>
              <w:jc w:val="both"/>
              <w:rPr>
                <w:rFonts w:ascii="Arial" w:hAnsi="Arial" w:cs="Arial"/>
              </w:rPr>
            </w:pPr>
            <w:r>
              <w:rPr>
                <w:rFonts w:ascii="Arial" w:hAnsi="Arial" w:cs="Arial"/>
              </w:rPr>
              <w:t>Transporte férreo de carga</w:t>
            </w:r>
          </w:p>
        </w:tc>
        <w:tc>
          <w:tcPr>
            <w:tcW w:w="1276" w:type="dxa"/>
            <w:vMerge w:val="restart"/>
            <w:vAlign w:val="center"/>
          </w:tcPr>
          <w:p w14:paraId="60E0FD0D" w14:textId="77777777" w:rsidR="00B2442D" w:rsidRDefault="008A645F">
            <w:pPr>
              <w:rPr>
                <w:rFonts w:ascii="Arial" w:hAnsi="Arial" w:cs="Arial"/>
              </w:rPr>
            </w:pPr>
            <w:r>
              <w:rPr>
                <w:rFonts w:ascii="Arial" w:hAnsi="Arial" w:cs="Arial"/>
              </w:rPr>
              <w:t>4.795</w:t>
            </w:r>
            <w:r>
              <w:rPr>
                <w:rFonts w:ascii="Arial" w:hAnsi="Arial" w:cs="Arial"/>
              </w:rPr>
              <w:br/>
              <w:t>UVT</w:t>
            </w:r>
          </w:p>
        </w:tc>
        <w:tc>
          <w:tcPr>
            <w:tcW w:w="1276" w:type="dxa"/>
            <w:vMerge w:val="restart"/>
            <w:vAlign w:val="center"/>
          </w:tcPr>
          <w:p w14:paraId="3258BC75" w14:textId="77777777" w:rsidR="00B2442D" w:rsidRDefault="008A645F">
            <w:pPr>
              <w:rPr>
                <w:rFonts w:ascii="Arial" w:hAnsi="Arial" w:cs="Arial"/>
              </w:rPr>
            </w:pPr>
            <w:r>
              <w:rPr>
                <w:rFonts w:ascii="Arial" w:hAnsi="Arial" w:cs="Arial"/>
              </w:rPr>
              <w:t>2,79% *(RGA</w:t>
            </w:r>
            <w:r>
              <w:rPr>
                <w:rFonts w:ascii="Arial" w:hAnsi="Arial" w:cs="Arial"/>
              </w:rPr>
              <w:br/>
              <w:t>en UVT- 4.795)</w:t>
            </w:r>
          </w:p>
        </w:tc>
      </w:tr>
      <w:tr w:rsidR="00B2442D" w14:paraId="2CE0A725" w14:textId="77777777">
        <w:tc>
          <w:tcPr>
            <w:tcW w:w="2122" w:type="dxa"/>
            <w:vAlign w:val="center"/>
          </w:tcPr>
          <w:p w14:paraId="434478E1" w14:textId="77777777" w:rsidR="00B2442D" w:rsidRDefault="00B2442D">
            <w:pPr>
              <w:rPr>
                <w:rFonts w:ascii="Arial" w:hAnsi="Arial" w:cs="Arial"/>
              </w:rPr>
            </w:pPr>
          </w:p>
        </w:tc>
        <w:tc>
          <w:tcPr>
            <w:tcW w:w="1417" w:type="dxa"/>
            <w:vAlign w:val="center"/>
          </w:tcPr>
          <w:p w14:paraId="34DE1A11" w14:textId="77777777" w:rsidR="00B2442D" w:rsidRDefault="008A645F">
            <w:pPr>
              <w:jc w:val="center"/>
              <w:rPr>
                <w:rFonts w:ascii="Arial" w:hAnsi="Arial" w:cs="Arial"/>
              </w:rPr>
            </w:pPr>
            <w:r>
              <w:rPr>
                <w:rFonts w:ascii="Arial" w:hAnsi="Arial" w:cs="Arial"/>
              </w:rPr>
              <w:t>4912</w:t>
            </w:r>
          </w:p>
        </w:tc>
        <w:tc>
          <w:tcPr>
            <w:tcW w:w="2845" w:type="dxa"/>
            <w:vAlign w:val="center"/>
          </w:tcPr>
          <w:p w14:paraId="479ADF35" w14:textId="77777777" w:rsidR="00B2442D" w:rsidRDefault="008A645F">
            <w:pPr>
              <w:jc w:val="both"/>
              <w:rPr>
                <w:rFonts w:ascii="Arial" w:hAnsi="Arial" w:cs="Arial"/>
              </w:rPr>
            </w:pPr>
            <w:r>
              <w:rPr>
                <w:rFonts w:ascii="Arial" w:hAnsi="Arial" w:cs="Arial"/>
              </w:rPr>
              <w:t>Transporte de pasajeros</w:t>
            </w:r>
          </w:p>
        </w:tc>
        <w:tc>
          <w:tcPr>
            <w:tcW w:w="1276" w:type="dxa"/>
            <w:vMerge/>
          </w:tcPr>
          <w:p w14:paraId="1B71D6B6" w14:textId="77777777" w:rsidR="00B2442D" w:rsidRDefault="00B2442D">
            <w:pPr>
              <w:rPr>
                <w:rFonts w:ascii="Arial" w:hAnsi="Arial" w:cs="Arial"/>
              </w:rPr>
            </w:pPr>
          </w:p>
        </w:tc>
        <w:tc>
          <w:tcPr>
            <w:tcW w:w="1276" w:type="dxa"/>
            <w:vMerge/>
          </w:tcPr>
          <w:p w14:paraId="7946D184" w14:textId="77777777" w:rsidR="00B2442D" w:rsidRDefault="00B2442D">
            <w:pPr>
              <w:rPr>
                <w:rFonts w:ascii="Arial" w:hAnsi="Arial" w:cs="Arial"/>
              </w:rPr>
            </w:pPr>
          </w:p>
        </w:tc>
      </w:tr>
      <w:tr w:rsidR="00B2442D" w14:paraId="3694DC45" w14:textId="77777777">
        <w:tc>
          <w:tcPr>
            <w:tcW w:w="2122" w:type="dxa"/>
            <w:vAlign w:val="center"/>
          </w:tcPr>
          <w:p w14:paraId="41790963" w14:textId="77777777" w:rsidR="00B2442D" w:rsidRDefault="00B2442D">
            <w:pPr>
              <w:rPr>
                <w:rFonts w:ascii="Arial" w:hAnsi="Arial" w:cs="Arial"/>
              </w:rPr>
            </w:pPr>
          </w:p>
        </w:tc>
        <w:tc>
          <w:tcPr>
            <w:tcW w:w="1417" w:type="dxa"/>
            <w:vAlign w:val="center"/>
          </w:tcPr>
          <w:p w14:paraId="5B69F7BA" w14:textId="77777777" w:rsidR="00B2442D" w:rsidRDefault="008A645F">
            <w:pPr>
              <w:jc w:val="center"/>
              <w:rPr>
                <w:rFonts w:ascii="Arial" w:hAnsi="Arial" w:cs="Arial"/>
              </w:rPr>
            </w:pPr>
            <w:r>
              <w:rPr>
                <w:rFonts w:ascii="Arial" w:hAnsi="Arial" w:cs="Arial"/>
              </w:rPr>
              <w:t>4921</w:t>
            </w:r>
          </w:p>
        </w:tc>
        <w:tc>
          <w:tcPr>
            <w:tcW w:w="2845" w:type="dxa"/>
            <w:vAlign w:val="center"/>
          </w:tcPr>
          <w:p w14:paraId="0B516F78" w14:textId="77777777" w:rsidR="00B2442D" w:rsidRDefault="008A645F">
            <w:pPr>
              <w:jc w:val="both"/>
              <w:rPr>
                <w:rFonts w:ascii="Arial" w:hAnsi="Arial" w:cs="Arial"/>
              </w:rPr>
            </w:pPr>
            <w:r>
              <w:rPr>
                <w:rFonts w:ascii="Arial" w:hAnsi="Arial" w:cs="Arial"/>
              </w:rPr>
              <w:t>Transporte mixto</w:t>
            </w:r>
          </w:p>
        </w:tc>
        <w:tc>
          <w:tcPr>
            <w:tcW w:w="1276" w:type="dxa"/>
            <w:vMerge/>
          </w:tcPr>
          <w:p w14:paraId="4E2DFA5A" w14:textId="77777777" w:rsidR="00B2442D" w:rsidRDefault="00B2442D">
            <w:pPr>
              <w:rPr>
                <w:rFonts w:ascii="Arial" w:hAnsi="Arial" w:cs="Arial"/>
              </w:rPr>
            </w:pPr>
          </w:p>
        </w:tc>
        <w:tc>
          <w:tcPr>
            <w:tcW w:w="1276" w:type="dxa"/>
            <w:vMerge/>
          </w:tcPr>
          <w:p w14:paraId="54EA2B88" w14:textId="77777777" w:rsidR="00B2442D" w:rsidRDefault="00B2442D">
            <w:pPr>
              <w:rPr>
                <w:rFonts w:ascii="Arial" w:hAnsi="Arial" w:cs="Arial"/>
              </w:rPr>
            </w:pPr>
          </w:p>
        </w:tc>
      </w:tr>
      <w:tr w:rsidR="00B2442D" w14:paraId="039ACC92" w14:textId="77777777">
        <w:tc>
          <w:tcPr>
            <w:tcW w:w="2122" w:type="dxa"/>
            <w:vAlign w:val="center"/>
          </w:tcPr>
          <w:p w14:paraId="07D31112" w14:textId="77777777" w:rsidR="00B2442D" w:rsidRDefault="00B2442D">
            <w:pPr>
              <w:rPr>
                <w:rFonts w:ascii="Arial" w:hAnsi="Arial" w:cs="Arial"/>
              </w:rPr>
            </w:pPr>
          </w:p>
        </w:tc>
        <w:tc>
          <w:tcPr>
            <w:tcW w:w="1417" w:type="dxa"/>
            <w:vAlign w:val="center"/>
          </w:tcPr>
          <w:p w14:paraId="47429663" w14:textId="77777777" w:rsidR="00B2442D" w:rsidRDefault="008A645F">
            <w:pPr>
              <w:jc w:val="center"/>
              <w:rPr>
                <w:rFonts w:ascii="Arial" w:hAnsi="Arial" w:cs="Arial"/>
              </w:rPr>
            </w:pPr>
            <w:r>
              <w:rPr>
                <w:rFonts w:ascii="Arial" w:hAnsi="Arial" w:cs="Arial"/>
              </w:rPr>
              <w:t>4922</w:t>
            </w:r>
          </w:p>
        </w:tc>
        <w:tc>
          <w:tcPr>
            <w:tcW w:w="2845" w:type="dxa"/>
            <w:vAlign w:val="center"/>
          </w:tcPr>
          <w:p w14:paraId="60902C4E" w14:textId="77777777" w:rsidR="00B2442D" w:rsidRDefault="008A645F">
            <w:pPr>
              <w:jc w:val="both"/>
              <w:rPr>
                <w:rFonts w:ascii="Arial" w:hAnsi="Arial" w:cs="Arial"/>
              </w:rPr>
            </w:pPr>
            <w:r>
              <w:rPr>
                <w:rFonts w:ascii="Arial" w:hAnsi="Arial" w:cs="Arial"/>
              </w:rPr>
              <w:t>Transporte de carga por carretera</w:t>
            </w:r>
          </w:p>
        </w:tc>
        <w:tc>
          <w:tcPr>
            <w:tcW w:w="1276" w:type="dxa"/>
            <w:vMerge/>
          </w:tcPr>
          <w:p w14:paraId="16008C19" w14:textId="77777777" w:rsidR="00B2442D" w:rsidRDefault="00B2442D">
            <w:pPr>
              <w:rPr>
                <w:rFonts w:ascii="Arial" w:hAnsi="Arial" w:cs="Arial"/>
              </w:rPr>
            </w:pPr>
          </w:p>
        </w:tc>
        <w:tc>
          <w:tcPr>
            <w:tcW w:w="1276" w:type="dxa"/>
            <w:vMerge/>
          </w:tcPr>
          <w:p w14:paraId="2E0B53CE" w14:textId="77777777" w:rsidR="00B2442D" w:rsidRDefault="00B2442D">
            <w:pPr>
              <w:rPr>
                <w:rFonts w:ascii="Arial" w:hAnsi="Arial" w:cs="Arial"/>
              </w:rPr>
            </w:pPr>
          </w:p>
        </w:tc>
      </w:tr>
      <w:tr w:rsidR="00B2442D" w14:paraId="412B72A5" w14:textId="77777777">
        <w:tc>
          <w:tcPr>
            <w:tcW w:w="2122" w:type="dxa"/>
            <w:vAlign w:val="center"/>
          </w:tcPr>
          <w:p w14:paraId="64A6C27F" w14:textId="77777777" w:rsidR="00B2442D" w:rsidRDefault="00B2442D">
            <w:pPr>
              <w:rPr>
                <w:rFonts w:ascii="Arial" w:hAnsi="Arial" w:cs="Arial"/>
              </w:rPr>
            </w:pPr>
          </w:p>
        </w:tc>
        <w:tc>
          <w:tcPr>
            <w:tcW w:w="1417" w:type="dxa"/>
            <w:vAlign w:val="center"/>
          </w:tcPr>
          <w:p w14:paraId="6C806A96" w14:textId="77777777" w:rsidR="00B2442D" w:rsidRDefault="008A645F">
            <w:pPr>
              <w:jc w:val="center"/>
              <w:rPr>
                <w:rFonts w:ascii="Arial" w:hAnsi="Arial" w:cs="Arial"/>
              </w:rPr>
            </w:pPr>
            <w:r>
              <w:rPr>
                <w:rFonts w:ascii="Arial" w:hAnsi="Arial" w:cs="Arial"/>
              </w:rPr>
              <w:t>4923</w:t>
            </w:r>
          </w:p>
        </w:tc>
        <w:tc>
          <w:tcPr>
            <w:tcW w:w="2845" w:type="dxa"/>
            <w:vAlign w:val="center"/>
          </w:tcPr>
          <w:p w14:paraId="1585DE47" w14:textId="77777777" w:rsidR="00B2442D" w:rsidRDefault="008A645F">
            <w:pPr>
              <w:jc w:val="both"/>
              <w:rPr>
                <w:rFonts w:ascii="Arial" w:hAnsi="Arial" w:cs="Arial"/>
              </w:rPr>
            </w:pPr>
            <w:r>
              <w:rPr>
                <w:rFonts w:ascii="Arial" w:hAnsi="Arial" w:cs="Arial"/>
              </w:rPr>
              <w:t>Transporte por tuberías</w:t>
            </w:r>
          </w:p>
        </w:tc>
        <w:tc>
          <w:tcPr>
            <w:tcW w:w="1276" w:type="dxa"/>
            <w:vMerge/>
          </w:tcPr>
          <w:p w14:paraId="4BACFEEB" w14:textId="77777777" w:rsidR="00B2442D" w:rsidRDefault="00B2442D">
            <w:pPr>
              <w:rPr>
                <w:rFonts w:ascii="Arial" w:hAnsi="Arial" w:cs="Arial"/>
              </w:rPr>
            </w:pPr>
          </w:p>
        </w:tc>
        <w:tc>
          <w:tcPr>
            <w:tcW w:w="1276" w:type="dxa"/>
            <w:vMerge/>
          </w:tcPr>
          <w:p w14:paraId="46BC4EE5" w14:textId="77777777" w:rsidR="00B2442D" w:rsidRDefault="00B2442D">
            <w:pPr>
              <w:rPr>
                <w:rFonts w:ascii="Arial" w:hAnsi="Arial" w:cs="Arial"/>
              </w:rPr>
            </w:pPr>
          </w:p>
        </w:tc>
      </w:tr>
      <w:tr w:rsidR="00B2442D" w14:paraId="7B81045E" w14:textId="77777777">
        <w:tc>
          <w:tcPr>
            <w:tcW w:w="2122" w:type="dxa"/>
            <w:vAlign w:val="center"/>
          </w:tcPr>
          <w:p w14:paraId="3AD9FA69" w14:textId="77777777" w:rsidR="00B2442D" w:rsidRDefault="00B2442D">
            <w:pPr>
              <w:rPr>
                <w:rFonts w:ascii="Arial" w:hAnsi="Arial" w:cs="Arial"/>
              </w:rPr>
            </w:pPr>
          </w:p>
        </w:tc>
        <w:tc>
          <w:tcPr>
            <w:tcW w:w="1417" w:type="dxa"/>
            <w:vAlign w:val="center"/>
          </w:tcPr>
          <w:p w14:paraId="57685926" w14:textId="77777777" w:rsidR="00B2442D" w:rsidRDefault="008A645F">
            <w:pPr>
              <w:jc w:val="center"/>
              <w:rPr>
                <w:rFonts w:ascii="Arial" w:hAnsi="Arial" w:cs="Arial"/>
              </w:rPr>
            </w:pPr>
            <w:r>
              <w:rPr>
                <w:rFonts w:ascii="Arial" w:hAnsi="Arial" w:cs="Arial"/>
              </w:rPr>
              <w:t>4930</w:t>
            </w:r>
          </w:p>
        </w:tc>
        <w:tc>
          <w:tcPr>
            <w:tcW w:w="2845" w:type="dxa"/>
            <w:vAlign w:val="center"/>
          </w:tcPr>
          <w:p w14:paraId="5930D9D3" w14:textId="77777777" w:rsidR="00B2442D" w:rsidRDefault="008A645F">
            <w:pPr>
              <w:jc w:val="both"/>
              <w:rPr>
                <w:rFonts w:ascii="Arial" w:hAnsi="Arial" w:cs="Arial"/>
              </w:rPr>
            </w:pPr>
            <w:r>
              <w:rPr>
                <w:rFonts w:ascii="Arial" w:hAnsi="Arial" w:cs="Arial"/>
              </w:rPr>
              <w:t>Transporte de pasajeros marítimo y de cabotaje</w:t>
            </w:r>
          </w:p>
        </w:tc>
        <w:tc>
          <w:tcPr>
            <w:tcW w:w="1276" w:type="dxa"/>
            <w:vMerge/>
          </w:tcPr>
          <w:p w14:paraId="42215762" w14:textId="77777777" w:rsidR="00B2442D" w:rsidRDefault="00B2442D">
            <w:pPr>
              <w:rPr>
                <w:rFonts w:ascii="Arial" w:hAnsi="Arial" w:cs="Arial"/>
              </w:rPr>
            </w:pPr>
          </w:p>
        </w:tc>
        <w:tc>
          <w:tcPr>
            <w:tcW w:w="1276" w:type="dxa"/>
            <w:vMerge/>
          </w:tcPr>
          <w:p w14:paraId="14221B61" w14:textId="77777777" w:rsidR="00B2442D" w:rsidRDefault="00B2442D">
            <w:pPr>
              <w:rPr>
                <w:rFonts w:ascii="Arial" w:hAnsi="Arial" w:cs="Arial"/>
              </w:rPr>
            </w:pPr>
          </w:p>
        </w:tc>
      </w:tr>
      <w:tr w:rsidR="00B2442D" w14:paraId="61134DFA" w14:textId="77777777">
        <w:tc>
          <w:tcPr>
            <w:tcW w:w="2122" w:type="dxa"/>
            <w:vAlign w:val="center"/>
          </w:tcPr>
          <w:p w14:paraId="1F9189D4" w14:textId="77777777" w:rsidR="00B2442D" w:rsidRDefault="00B2442D">
            <w:pPr>
              <w:rPr>
                <w:rFonts w:ascii="Arial" w:hAnsi="Arial" w:cs="Arial"/>
              </w:rPr>
            </w:pPr>
          </w:p>
        </w:tc>
        <w:tc>
          <w:tcPr>
            <w:tcW w:w="1417" w:type="dxa"/>
            <w:vAlign w:val="center"/>
          </w:tcPr>
          <w:p w14:paraId="2D615146" w14:textId="77777777" w:rsidR="00B2442D" w:rsidRDefault="008A645F">
            <w:pPr>
              <w:jc w:val="center"/>
              <w:rPr>
                <w:rFonts w:ascii="Arial" w:hAnsi="Arial" w:cs="Arial"/>
              </w:rPr>
            </w:pPr>
            <w:r>
              <w:rPr>
                <w:rFonts w:ascii="Arial" w:hAnsi="Arial" w:cs="Arial"/>
              </w:rPr>
              <w:t>5011</w:t>
            </w:r>
          </w:p>
        </w:tc>
        <w:tc>
          <w:tcPr>
            <w:tcW w:w="2845" w:type="dxa"/>
            <w:vAlign w:val="center"/>
          </w:tcPr>
          <w:p w14:paraId="0977BA4F" w14:textId="77777777" w:rsidR="00B2442D" w:rsidRDefault="008A645F">
            <w:pPr>
              <w:jc w:val="both"/>
              <w:rPr>
                <w:rFonts w:ascii="Arial" w:hAnsi="Arial" w:cs="Arial"/>
              </w:rPr>
            </w:pPr>
            <w:r>
              <w:rPr>
                <w:rFonts w:ascii="Arial" w:hAnsi="Arial" w:cs="Arial"/>
              </w:rPr>
              <w:t>Transporte de carga marítimo y de cabotaje</w:t>
            </w:r>
          </w:p>
        </w:tc>
        <w:tc>
          <w:tcPr>
            <w:tcW w:w="1276" w:type="dxa"/>
            <w:vMerge/>
          </w:tcPr>
          <w:p w14:paraId="51330DF0" w14:textId="77777777" w:rsidR="00B2442D" w:rsidRDefault="00B2442D">
            <w:pPr>
              <w:rPr>
                <w:rFonts w:ascii="Arial" w:hAnsi="Arial" w:cs="Arial"/>
              </w:rPr>
            </w:pPr>
          </w:p>
        </w:tc>
        <w:tc>
          <w:tcPr>
            <w:tcW w:w="1276" w:type="dxa"/>
            <w:vMerge/>
          </w:tcPr>
          <w:p w14:paraId="2EAA9498" w14:textId="77777777" w:rsidR="00B2442D" w:rsidRDefault="00B2442D">
            <w:pPr>
              <w:rPr>
                <w:rFonts w:ascii="Arial" w:hAnsi="Arial" w:cs="Arial"/>
              </w:rPr>
            </w:pPr>
          </w:p>
        </w:tc>
      </w:tr>
      <w:tr w:rsidR="00B2442D" w14:paraId="48A7E723" w14:textId="77777777">
        <w:tc>
          <w:tcPr>
            <w:tcW w:w="2122" w:type="dxa"/>
            <w:vAlign w:val="center"/>
          </w:tcPr>
          <w:p w14:paraId="3CA369F4" w14:textId="77777777" w:rsidR="00B2442D" w:rsidRDefault="00B2442D">
            <w:pPr>
              <w:rPr>
                <w:rFonts w:ascii="Arial" w:hAnsi="Arial" w:cs="Arial"/>
              </w:rPr>
            </w:pPr>
          </w:p>
        </w:tc>
        <w:tc>
          <w:tcPr>
            <w:tcW w:w="1417" w:type="dxa"/>
            <w:vAlign w:val="center"/>
          </w:tcPr>
          <w:p w14:paraId="64249253" w14:textId="77777777" w:rsidR="00B2442D" w:rsidRDefault="008A645F">
            <w:pPr>
              <w:jc w:val="center"/>
              <w:rPr>
                <w:rFonts w:ascii="Arial" w:hAnsi="Arial" w:cs="Arial"/>
              </w:rPr>
            </w:pPr>
            <w:r>
              <w:rPr>
                <w:rFonts w:ascii="Arial" w:hAnsi="Arial" w:cs="Arial"/>
              </w:rPr>
              <w:t>5012</w:t>
            </w:r>
          </w:p>
        </w:tc>
        <w:tc>
          <w:tcPr>
            <w:tcW w:w="2845" w:type="dxa"/>
            <w:vAlign w:val="center"/>
          </w:tcPr>
          <w:p w14:paraId="6A0E6E70" w14:textId="77777777" w:rsidR="00B2442D" w:rsidRDefault="008A645F">
            <w:pPr>
              <w:jc w:val="both"/>
              <w:rPr>
                <w:rFonts w:ascii="Arial" w:hAnsi="Arial" w:cs="Arial"/>
              </w:rPr>
            </w:pPr>
            <w:r>
              <w:rPr>
                <w:rFonts w:ascii="Arial" w:hAnsi="Arial" w:cs="Arial"/>
              </w:rPr>
              <w:t>Transporte fluvial de pasajeros</w:t>
            </w:r>
          </w:p>
        </w:tc>
        <w:tc>
          <w:tcPr>
            <w:tcW w:w="1276" w:type="dxa"/>
            <w:vMerge/>
          </w:tcPr>
          <w:p w14:paraId="46AFBB4B" w14:textId="77777777" w:rsidR="00B2442D" w:rsidRDefault="00B2442D">
            <w:pPr>
              <w:rPr>
                <w:rFonts w:ascii="Arial" w:hAnsi="Arial" w:cs="Arial"/>
              </w:rPr>
            </w:pPr>
          </w:p>
        </w:tc>
        <w:tc>
          <w:tcPr>
            <w:tcW w:w="1276" w:type="dxa"/>
            <w:vMerge/>
          </w:tcPr>
          <w:p w14:paraId="5EB108B5" w14:textId="77777777" w:rsidR="00B2442D" w:rsidRDefault="00B2442D">
            <w:pPr>
              <w:rPr>
                <w:rFonts w:ascii="Arial" w:hAnsi="Arial" w:cs="Arial"/>
              </w:rPr>
            </w:pPr>
          </w:p>
        </w:tc>
      </w:tr>
      <w:tr w:rsidR="00B2442D" w14:paraId="0510B57D" w14:textId="77777777">
        <w:tc>
          <w:tcPr>
            <w:tcW w:w="2122" w:type="dxa"/>
            <w:vAlign w:val="center"/>
          </w:tcPr>
          <w:p w14:paraId="6C5B0C51" w14:textId="77777777" w:rsidR="00B2442D" w:rsidRDefault="00B2442D">
            <w:pPr>
              <w:rPr>
                <w:rFonts w:ascii="Arial" w:hAnsi="Arial" w:cs="Arial"/>
              </w:rPr>
            </w:pPr>
          </w:p>
        </w:tc>
        <w:tc>
          <w:tcPr>
            <w:tcW w:w="1417" w:type="dxa"/>
            <w:vAlign w:val="center"/>
          </w:tcPr>
          <w:p w14:paraId="7BF48120" w14:textId="77777777" w:rsidR="00B2442D" w:rsidRDefault="008A645F">
            <w:pPr>
              <w:jc w:val="center"/>
              <w:rPr>
                <w:rFonts w:ascii="Arial" w:hAnsi="Arial" w:cs="Arial"/>
              </w:rPr>
            </w:pPr>
            <w:r>
              <w:rPr>
                <w:rFonts w:ascii="Arial" w:hAnsi="Arial" w:cs="Arial"/>
              </w:rPr>
              <w:t>5021</w:t>
            </w:r>
          </w:p>
        </w:tc>
        <w:tc>
          <w:tcPr>
            <w:tcW w:w="2845" w:type="dxa"/>
            <w:vAlign w:val="center"/>
          </w:tcPr>
          <w:p w14:paraId="6E0A92A5" w14:textId="77777777" w:rsidR="00B2442D" w:rsidRDefault="008A645F">
            <w:pPr>
              <w:jc w:val="both"/>
              <w:rPr>
                <w:rFonts w:ascii="Arial" w:hAnsi="Arial" w:cs="Arial"/>
              </w:rPr>
            </w:pPr>
            <w:r>
              <w:rPr>
                <w:rFonts w:ascii="Arial" w:hAnsi="Arial" w:cs="Arial"/>
              </w:rPr>
              <w:t>Transporte fluvial de carga</w:t>
            </w:r>
          </w:p>
        </w:tc>
        <w:tc>
          <w:tcPr>
            <w:tcW w:w="1276" w:type="dxa"/>
            <w:vMerge/>
          </w:tcPr>
          <w:p w14:paraId="26A8C50B" w14:textId="77777777" w:rsidR="00B2442D" w:rsidRDefault="00B2442D">
            <w:pPr>
              <w:rPr>
                <w:rFonts w:ascii="Arial" w:hAnsi="Arial" w:cs="Arial"/>
              </w:rPr>
            </w:pPr>
          </w:p>
        </w:tc>
        <w:tc>
          <w:tcPr>
            <w:tcW w:w="1276" w:type="dxa"/>
            <w:vMerge/>
          </w:tcPr>
          <w:p w14:paraId="339C0FA3" w14:textId="77777777" w:rsidR="00B2442D" w:rsidRDefault="00B2442D">
            <w:pPr>
              <w:rPr>
                <w:rFonts w:ascii="Arial" w:hAnsi="Arial" w:cs="Arial"/>
              </w:rPr>
            </w:pPr>
          </w:p>
        </w:tc>
      </w:tr>
      <w:tr w:rsidR="00B2442D" w14:paraId="2D3B3416" w14:textId="77777777">
        <w:tc>
          <w:tcPr>
            <w:tcW w:w="2122" w:type="dxa"/>
            <w:vAlign w:val="center"/>
          </w:tcPr>
          <w:p w14:paraId="6D0F24A5" w14:textId="77777777" w:rsidR="00B2442D" w:rsidRDefault="00B2442D">
            <w:pPr>
              <w:rPr>
                <w:rFonts w:ascii="Arial" w:hAnsi="Arial" w:cs="Arial"/>
              </w:rPr>
            </w:pPr>
          </w:p>
        </w:tc>
        <w:tc>
          <w:tcPr>
            <w:tcW w:w="1417" w:type="dxa"/>
            <w:vAlign w:val="center"/>
          </w:tcPr>
          <w:p w14:paraId="78FDBC88" w14:textId="77777777" w:rsidR="00B2442D" w:rsidRDefault="008A645F">
            <w:pPr>
              <w:jc w:val="center"/>
              <w:rPr>
                <w:rFonts w:ascii="Arial" w:hAnsi="Arial" w:cs="Arial"/>
              </w:rPr>
            </w:pPr>
            <w:r>
              <w:rPr>
                <w:rFonts w:ascii="Arial" w:hAnsi="Arial" w:cs="Arial"/>
              </w:rPr>
              <w:t>5022</w:t>
            </w:r>
          </w:p>
        </w:tc>
        <w:tc>
          <w:tcPr>
            <w:tcW w:w="2845" w:type="dxa"/>
            <w:vAlign w:val="center"/>
          </w:tcPr>
          <w:p w14:paraId="3936B181" w14:textId="77777777" w:rsidR="00B2442D" w:rsidRDefault="008A645F">
            <w:pPr>
              <w:jc w:val="both"/>
              <w:rPr>
                <w:rFonts w:ascii="Arial" w:hAnsi="Arial" w:cs="Arial"/>
              </w:rPr>
            </w:pPr>
            <w:r>
              <w:rPr>
                <w:rFonts w:ascii="Arial" w:hAnsi="Arial" w:cs="Arial"/>
              </w:rPr>
              <w:t>Transporte aéreo nacional de pasajeros</w:t>
            </w:r>
          </w:p>
        </w:tc>
        <w:tc>
          <w:tcPr>
            <w:tcW w:w="1276" w:type="dxa"/>
            <w:vMerge/>
          </w:tcPr>
          <w:p w14:paraId="024484B3" w14:textId="77777777" w:rsidR="00B2442D" w:rsidRDefault="00B2442D">
            <w:pPr>
              <w:rPr>
                <w:rFonts w:ascii="Arial" w:hAnsi="Arial" w:cs="Arial"/>
              </w:rPr>
            </w:pPr>
          </w:p>
        </w:tc>
        <w:tc>
          <w:tcPr>
            <w:tcW w:w="1276" w:type="dxa"/>
            <w:vMerge/>
          </w:tcPr>
          <w:p w14:paraId="19A36A8C" w14:textId="77777777" w:rsidR="00B2442D" w:rsidRDefault="00B2442D">
            <w:pPr>
              <w:rPr>
                <w:rFonts w:ascii="Arial" w:hAnsi="Arial" w:cs="Arial"/>
              </w:rPr>
            </w:pPr>
          </w:p>
        </w:tc>
      </w:tr>
      <w:tr w:rsidR="00B2442D" w14:paraId="2F3E64A5" w14:textId="77777777">
        <w:tc>
          <w:tcPr>
            <w:tcW w:w="2122" w:type="dxa"/>
            <w:vAlign w:val="center"/>
          </w:tcPr>
          <w:p w14:paraId="5349F573" w14:textId="77777777" w:rsidR="00B2442D" w:rsidRDefault="00B2442D">
            <w:pPr>
              <w:rPr>
                <w:rFonts w:ascii="Arial" w:hAnsi="Arial" w:cs="Arial"/>
              </w:rPr>
            </w:pPr>
          </w:p>
        </w:tc>
        <w:tc>
          <w:tcPr>
            <w:tcW w:w="1417" w:type="dxa"/>
            <w:vAlign w:val="center"/>
          </w:tcPr>
          <w:p w14:paraId="575A253A" w14:textId="77777777" w:rsidR="00B2442D" w:rsidRDefault="008A645F">
            <w:pPr>
              <w:jc w:val="center"/>
              <w:rPr>
                <w:rFonts w:ascii="Arial" w:hAnsi="Arial" w:cs="Arial"/>
              </w:rPr>
            </w:pPr>
            <w:r>
              <w:rPr>
                <w:rFonts w:ascii="Arial" w:hAnsi="Arial" w:cs="Arial"/>
              </w:rPr>
              <w:t>5111</w:t>
            </w:r>
          </w:p>
        </w:tc>
        <w:tc>
          <w:tcPr>
            <w:tcW w:w="2845" w:type="dxa"/>
            <w:vAlign w:val="center"/>
          </w:tcPr>
          <w:p w14:paraId="385303DA" w14:textId="77777777" w:rsidR="00B2442D" w:rsidRDefault="008A645F">
            <w:pPr>
              <w:jc w:val="both"/>
              <w:rPr>
                <w:rFonts w:ascii="Arial" w:hAnsi="Arial" w:cs="Arial"/>
              </w:rPr>
            </w:pPr>
            <w:r>
              <w:rPr>
                <w:rFonts w:ascii="Arial" w:hAnsi="Arial" w:cs="Arial"/>
              </w:rPr>
              <w:t>Transporte aéreo internacional de pasajeros</w:t>
            </w:r>
          </w:p>
        </w:tc>
        <w:tc>
          <w:tcPr>
            <w:tcW w:w="1276" w:type="dxa"/>
            <w:vMerge/>
          </w:tcPr>
          <w:p w14:paraId="63C79D9B" w14:textId="77777777" w:rsidR="00B2442D" w:rsidRDefault="00B2442D">
            <w:pPr>
              <w:rPr>
                <w:rFonts w:ascii="Arial" w:hAnsi="Arial" w:cs="Arial"/>
              </w:rPr>
            </w:pPr>
          </w:p>
        </w:tc>
        <w:tc>
          <w:tcPr>
            <w:tcW w:w="1276" w:type="dxa"/>
            <w:vMerge/>
          </w:tcPr>
          <w:p w14:paraId="7BF63439" w14:textId="77777777" w:rsidR="00B2442D" w:rsidRDefault="00B2442D">
            <w:pPr>
              <w:rPr>
                <w:rFonts w:ascii="Arial" w:hAnsi="Arial" w:cs="Arial"/>
              </w:rPr>
            </w:pPr>
          </w:p>
        </w:tc>
      </w:tr>
      <w:tr w:rsidR="00B2442D" w14:paraId="00C7DDBB" w14:textId="77777777">
        <w:tc>
          <w:tcPr>
            <w:tcW w:w="2122" w:type="dxa"/>
            <w:vAlign w:val="center"/>
          </w:tcPr>
          <w:p w14:paraId="07A7E430" w14:textId="77777777" w:rsidR="00B2442D" w:rsidRDefault="00B2442D">
            <w:pPr>
              <w:rPr>
                <w:rFonts w:ascii="Arial" w:hAnsi="Arial" w:cs="Arial"/>
              </w:rPr>
            </w:pPr>
          </w:p>
        </w:tc>
        <w:tc>
          <w:tcPr>
            <w:tcW w:w="1417" w:type="dxa"/>
            <w:vAlign w:val="center"/>
          </w:tcPr>
          <w:p w14:paraId="4EE9BB89" w14:textId="77777777" w:rsidR="00B2442D" w:rsidRDefault="008A645F">
            <w:pPr>
              <w:jc w:val="center"/>
              <w:rPr>
                <w:rFonts w:ascii="Arial" w:hAnsi="Arial" w:cs="Arial"/>
              </w:rPr>
            </w:pPr>
            <w:r>
              <w:rPr>
                <w:rFonts w:ascii="Arial" w:hAnsi="Arial" w:cs="Arial"/>
              </w:rPr>
              <w:t>5112</w:t>
            </w:r>
          </w:p>
        </w:tc>
        <w:tc>
          <w:tcPr>
            <w:tcW w:w="2845" w:type="dxa"/>
            <w:vAlign w:val="center"/>
          </w:tcPr>
          <w:p w14:paraId="77CC5626" w14:textId="77777777" w:rsidR="00B2442D" w:rsidRDefault="008A645F">
            <w:pPr>
              <w:jc w:val="both"/>
              <w:rPr>
                <w:rFonts w:ascii="Arial" w:hAnsi="Arial" w:cs="Arial"/>
              </w:rPr>
            </w:pPr>
            <w:r>
              <w:rPr>
                <w:rFonts w:ascii="Arial" w:hAnsi="Arial" w:cs="Arial"/>
              </w:rPr>
              <w:t>Transporte aéreo nacional de carga</w:t>
            </w:r>
          </w:p>
        </w:tc>
        <w:tc>
          <w:tcPr>
            <w:tcW w:w="1276" w:type="dxa"/>
            <w:vMerge/>
          </w:tcPr>
          <w:p w14:paraId="7511F8C5" w14:textId="77777777" w:rsidR="00B2442D" w:rsidRDefault="00B2442D">
            <w:pPr>
              <w:rPr>
                <w:rFonts w:ascii="Arial" w:hAnsi="Arial" w:cs="Arial"/>
              </w:rPr>
            </w:pPr>
          </w:p>
        </w:tc>
        <w:tc>
          <w:tcPr>
            <w:tcW w:w="1276" w:type="dxa"/>
            <w:vMerge/>
          </w:tcPr>
          <w:p w14:paraId="4D819F44" w14:textId="77777777" w:rsidR="00B2442D" w:rsidRDefault="00B2442D">
            <w:pPr>
              <w:rPr>
                <w:rFonts w:ascii="Arial" w:hAnsi="Arial" w:cs="Arial"/>
              </w:rPr>
            </w:pPr>
          </w:p>
        </w:tc>
      </w:tr>
      <w:tr w:rsidR="00B2442D" w14:paraId="37524345" w14:textId="77777777">
        <w:tc>
          <w:tcPr>
            <w:tcW w:w="2122" w:type="dxa"/>
            <w:vAlign w:val="center"/>
          </w:tcPr>
          <w:p w14:paraId="0E92033D" w14:textId="77777777" w:rsidR="00B2442D" w:rsidRDefault="00B2442D">
            <w:pPr>
              <w:rPr>
                <w:rFonts w:ascii="Arial" w:hAnsi="Arial" w:cs="Arial"/>
              </w:rPr>
            </w:pPr>
          </w:p>
        </w:tc>
        <w:tc>
          <w:tcPr>
            <w:tcW w:w="1417" w:type="dxa"/>
            <w:vAlign w:val="center"/>
          </w:tcPr>
          <w:p w14:paraId="1292E666" w14:textId="77777777" w:rsidR="00B2442D" w:rsidRDefault="008A645F">
            <w:pPr>
              <w:jc w:val="center"/>
              <w:rPr>
                <w:rFonts w:ascii="Arial" w:hAnsi="Arial" w:cs="Arial"/>
              </w:rPr>
            </w:pPr>
            <w:r>
              <w:rPr>
                <w:rFonts w:ascii="Arial" w:hAnsi="Arial" w:cs="Arial"/>
              </w:rPr>
              <w:t>5121</w:t>
            </w:r>
          </w:p>
        </w:tc>
        <w:tc>
          <w:tcPr>
            <w:tcW w:w="2845" w:type="dxa"/>
            <w:vAlign w:val="center"/>
          </w:tcPr>
          <w:p w14:paraId="289D8E9E" w14:textId="77777777" w:rsidR="00B2442D" w:rsidRDefault="008A645F">
            <w:pPr>
              <w:jc w:val="both"/>
              <w:rPr>
                <w:rFonts w:ascii="Arial" w:hAnsi="Arial" w:cs="Arial"/>
              </w:rPr>
            </w:pPr>
            <w:r>
              <w:rPr>
                <w:rFonts w:ascii="Arial" w:hAnsi="Arial" w:cs="Arial"/>
              </w:rPr>
              <w:t xml:space="preserve">Transporte aéreo </w:t>
            </w:r>
            <w:r>
              <w:rPr>
                <w:rFonts w:ascii="Arial" w:hAnsi="Arial" w:cs="Arial"/>
              </w:rPr>
              <w:t>internacional de carga</w:t>
            </w:r>
          </w:p>
        </w:tc>
        <w:tc>
          <w:tcPr>
            <w:tcW w:w="1276" w:type="dxa"/>
            <w:vMerge/>
          </w:tcPr>
          <w:p w14:paraId="3F74FE08" w14:textId="77777777" w:rsidR="00B2442D" w:rsidRDefault="00B2442D">
            <w:pPr>
              <w:rPr>
                <w:rFonts w:ascii="Arial" w:hAnsi="Arial" w:cs="Arial"/>
              </w:rPr>
            </w:pPr>
          </w:p>
        </w:tc>
        <w:tc>
          <w:tcPr>
            <w:tcW w:w="1276" w:type="dxa"/>
            <w:vMerge/>
          </w:tcPr>
          <w:p w14:paraId="064244B3" w14:textId="77777777" w:rsidR="00B2442D" w:rsidRDefault="00B2442D">
            <w:pPr>
              <w:rPr>
                <w:rFonts w:ascii="Arial" w:hAnsi="Arial" w:cs="Arial"/>
              </w:rPr>
            </w:pPr>
          </w:p>
        </w:tc>
      </w:tr>
      <w:tr w:rsidR="00B2442D" w14:paraId="53E460EA" w14:textId="77777777">
        <w:tc>
          <w:tcPr>
            <w:tcW w:w="2122" w:type="dxa"/>
            <w:vAlign w:val="center"/>
          </w:tcPr>
          <w:p w14:paraId="69EB8967" w14:textId="77777777" w:rsidR="00B2442D" w:rsidRDefault="00B2442D">
            <w:pPr>
              <w:rPr>
                <w:rFonts w:ascii="Arial" w:hAnsi="Arial" w:cs="Arial"/>
              </w:rPr>
            </w:pPr>
          </w:p>
        </w:tc>
        <w:tc>
          <w:tcPr>
            <w:tcW w:w="1417" w:type="dxa"/>
            <w:vAlign w:val="center"/>
          </w:tcPr>
          <w:p w14:paraId="0C031E5F" w14:textId="77777777" w:rsidR="00B2442D" w:rsidRDefault="008A645F">
            <w:pPr>
              <w:jc w:val="center"/>
              <w:rPr>
                <w:rFonts w:ascii="Arial" w:hAnsi="Arial" w:cs="Arial"/>
              </w:rPr>
            </w:pPr>
            <w:r>
              <w:rPr>
                <w:rFonts w:ascii="Arial" w:hAnsi="Arial" w:cs="Arial"/>
              </w:rPr>
              <w:t>5122</w:t>
            </w:r>
          </w:p>
        </w:tc>
        <w:tc>
          <w:tcPr>
            <w:tcW w:w="2845" w:type="dxa"/>
            <w:vAlign w:val="center"/>
          </w:tcPr>
          <w:p w14:paraId="6EB0CFD7" w14:textId="77777777" w:rsidR="00B2442D" w:rsidRDefault="008A645F">
            <w:pPr>
              <w:jc w:val="both"/>
              <w:rPr>
                <w:rFonts w:ascii="Arial" w:hAnsi="Arial" w:cs="Arial"/>
              </w:rPr>
            </w:pPr>
            <w:r>
              <w:rPr>
                <w:rFonts w:ascii="Arial" w:hAnsi="Arial" w:cs="Arial"/>
              </w:rPr>
              <w:t>Almacenamiento y depósito</w:t>
            </w:r>
          </w:p>
        </w:tc>
        <w:tc>
          <w:tcPr>
            <w:tcW w:w="1276" w:type="dxa"/>
            <w:vMerge/>
          </w:tcPr>
          <w:p w14:paraId="10226731" w14:textId="77777777" w:rsidR="00B2442D" w:rsidRDefault="00B2442D">
            <w:pPr>
              <w:rPr>
                <w:rFonts w:ascii="Arial" w:hAnsi="Arial" w:cs="Arial"/>
              </w:rPr>
            </w:pPr>
          </w:p>
        </w:tc>
        <w:tc>
          <w:tcPr>
            <w:tcW w:w="1276" w:type="dxa"/>
            <w:vMerge/>
          </w:tcPr>
          <w:p w14:paraId="12DD6E7D" w14:textId="77777777" w:rsidR="00B2442D" w:rsidRDefault="00B2442D">
            <w:pPr>
              <w:rPr>
                <w:rFonts w:ascii="Arial" w:hAnsi="Arial" w:cs="Arial"/>
              </w:rPr>
            </w:pPr>
          </w:p>
        </w:tc>
      </w:tr>
      <w:tr w:rsidR="00B2442D" w14:paraId="41BC8A4D" w14:textId="77777777">
        <w:tc>
          <w:tcPr>
            <w:tcW w:w="2122" w:type="dxa"/>
            <w:vAlign w:val="center"/>
          </w:tcPr>
          <w:p w14:paraId="7B66D0FD" w14:textId="77777777" w:rsidR="00B2442D" w:rsidRDefault="00B2442D">
            <w:pPr>
              <w:rPr>
                <w:rFonts w:ascii="Arial" w:hAnsi="Arial" w:cs="Arial"/>
              </w:rPr>
            </w:pPr>
          </w:p>
        </w:tc>
        <w:tc>
          <w:tcPr>
            <w:tcW w:w="1417" w:type="dxa"/>
            <w:vAlign w:val="center"/>
          </w:tcPr>
          <w:p w14:paraId="326C6DE6" w14:textId="77777777" w:rsidR="00B2442D" w:rsidRDefault="008A645F">
            <w:pPr>
              <w:jc w:val="center"/>
              <w:rPr>
                <w:rFonts w:ascii="Arial" w:hAnsi="Arial" w:cs="Arial"/>
              </w:rPr>
            </w:pPr>
            <w:r>
              <w:rPr>
                <w:rFonts w:ascii="Arial" w:hAnsi="Arial" w:cs="Arial"/>
              </w:rPr>
              <w:t>5210</w:t>
            </w:r>
          </w:p>
        </w:tc>
        <w:tc>
          <w:tcPr>
            <w:tcW w:w="2845" w:type="dxa"/>
          </w:tcPr>
          <w:p w14:paraId="04C0F14B" w14:textId="77777777" w:rsidR="00B2442D" w:rsidRDefault="008A645F">
            <w:pPr>
              <w:jc w:val="both"/>
              <w:rPr>
                <w:rFonts w:ascii="Arial" w:hAnsi="Arial" w:cs="Arial"/>
              </w:rPr>
            </w:pPr>
            <w:r>
              <w:rPr>
                <w:rFonts w:ascii="Arial" w:hAnsi="Arial" w:cs="Arial"/>
              </w:rPr>
              <w:t>Actividades de estaciones, vías y servicios</w:t>
            </w:r>
            <w:r>
              <w:rPr>
                <w:rFonts w:ascii="Arial" w:hAnsi="Arial" w:cs="Arial"/>
              </w:rPr>
              <w:br/>
              <w:t>complementarios para el transporte terrestre</w:t>
            </w:r>
          </w:p>
        </w:tc>
        <w:tc>
          <w:tcPr>
            <w:tcW w:w="1276" w:type="dxa"/>
            <w:vMerge/>
          </w:tcPr>
          <w:p w14:paraId="78F56A76" w14:textId="77777777" w:rsidR="00B2442D" w:rsidRDefault="00B2442D">
            <w:pPr>
              <w:rPr>
                <w:rFonts w:ascii="Arial" w:hAnsi="Arial" w:cs="Arial"/>
              </w:rPr>
            </w:pPr>
          </w:p>
        </w:tc>
        <w:tc>
          <w:tcPr>
            <w:tcW w:w="1276" w:type="dxa"/>
            <w:vMerge/>
          </w:tcPr>
          <w:p w14:paraId="7A02351D" w14:textId="77777777" w:rsidR="00B2442D" w:rsidRDefault="00B2442D">
            <w:pPr>
              <w:rPr>
                <w:rFonts w:ascii="Arial" w:hAnsi="Arial" w:cs="Arial"/>
              </w:rPr>
            </w:pPr>
          </w:p>
        </w:tc>
      </w:tr>
      <w:tr w:rsidR="00B2442D" w14:paraId="0D0C3ECB" w14:textId="77777777">
        <w:tc>
          <w:tcPr>
            <w:tcW w:w="2122" w:type="dxa"/>
            <w:vAlign w:val="center"/>
          </w:tcPr>
          <w:p w14:paraId="7912940B" w14:textId="77777777" w:rsidR="00B2442D" w:rsidRDefault="00B2442D">
            <w:pPr>
              <w:rPr>
                <w:rFonts w:ascii="Arial" w:hAnsi="Arial" w:cs="Arial"/>
              </w:rPr>
            </w:pPr>
          </w:p>
        </w:tc>
        <w:tc>
          <w:tcPr>
            <w:tcW w:w="1417" w:type="dxa"/>
            <w:vAlign w:val="center"/>
          </w:tcPr>
          <w:p w14:paraId="58C675A9" w14:textId="77777777" w:rsidR="00B2442D" w:rsidRDefault="008A645F">
            <w:pPr>
              <w:jc w:val="center"/>
              <w:rPr>
                <w:rFonts w:ascii="Arial" w:hAnsi="Arial" w:cs="Arial"/>
              </w:rPr>
            </w:pPr>
            <w:r>
              <w:rPr>
                <w:rFonts w:ascii="Arial" w:hAnsi="Arial" w:cs="Arial"/>
              </w:rPr>
              <w:t>5221</w:t>
            </w:r>
          </w:p>
        </w:tc>
        <w:tc>
          <w:tcPr>
            <w:tcW w:w="2845" w:type="dxa"/>
          </w:tcPr>
          <w:p w14:paraId="509CC469" w14:textId="77777777" w:rsidR="00B2442D" w:rsidRDefault="008A645F">
            <w:pPr>
              <w:jc w:val="both"/>
              <w:rPr>
                <w:rFonts w:ascii="Arial" w:hAnsi="Arial" w:cs="Arial"/>
              </w:rPr>
            </w:pPr>
            <w:r>
              <w:rPr>
                <w:rFonts w:ascii="Arial" w:hAnsi="Arial" w:cs="Arial"/>
              </w:rPr>
              <w:t>Actividades de puertos y servicios complementarios para el transporte acuático</w:t>
            </w:r>
          </w:p>
        </w:tc>
        <w:tc>
          <w:tcPr>
            <w:tcW w:w="1276" w:type="dxa"/>
            <w:vMerge/>
          </w:tcPr>
          <w:p w14:paraId="2927DF31" w14:textId="77777777" w:rsidR="00B2442D" w:rsidRDefault="00B2442D">
            <w:pPr>
              <w:rPr>
                <w:rFonts w:ascii="Arial" w:hAnsi="Arial" w:cs="Arial"/>
              </w:rPr>
            </w:pPr>
          </w:p>
        </w:tc>
        <w:tc>
          <w:tcPr>
            <w:tcW w:w="1276" w:type="dxa"/>
            <w:vMerge/>
          </w:tcPr>
          <w:p w14:paraId="79AA159E" w14:textId="77777777" w:rsidR="00B2442D" w:rsidRDefault="00B2442D">
            <w:pPr>
              <w:rPr>
                <w:rFonts w:ascii="Arial" w:hAnsi="Arial" w:cs="Arial"/>
              </w:rPr>
            </w:pPr>
          </w:p>
        </w:tc>
      </w:tr>
      <w:tr w:rsidR="00B2442D" w14:paraId="7C14BE74" w14:textId="77777777">
        <w:tc>
          <w:tcPr>
            <w:tcW w:w="2122" w:type="dxa"/>
            <w:vAlign w:val="center"/>
          </w:tcPr>
          <w:p w14:paraId="29D1B6E8" w14:textId="77777777" w:rsidR="00B2442D" w:rsidRDefault="00B2442D">
            <w:pPr>
              <w:rPr>
                <w:rFonts w:ascii="Arial" w:hAnsi="Arial" w:cs="Arial"/>
              </w:rPr>
            </w:pPr>
          </w:p>
        </w:tc>
        <w:tc>
          <w:tcPr>
            <w:tcW w:w="1417" w:type="dxa"/>
            <w:vAlign w:val="center"/>
          </w:tcPr>
          <w:p w14:paraId="6D62AEDB" w14:textId="77777777" w:rsidR="00B2442D" w:rsidRDefault="008A645F">
            <w:pPr>
              <w:jc w:val="center"/>
              <w:rPr>
                <w:rFonts w:ascii="Arial" w:hAnsi="Arial" w:cs="Arial"/>
              </w:rPr>
            </w:pPr>
            <w:r>
              <w:rPr>
                <w:rFonts w:ascii="Arial" w:hAnsi="Arial" w:cs="Arial"/>
              </w:rPr>
              <w:t>5222</w:t>
            </w:r>
          </w:p>
        </w:tc>
        <w:tc>
          <w:tcPr>
            <w:tcW w:w="2845" w:type="dxa"/>
          </w:tcPr>
          <w:p w14:paraId="7DDAF9D2" w14:textId="77777777" w:rsidR="00B2442D" w:rsidRDefault="008A645F">
            <w:pPr>
              <w:jc w:val="both"/>
              <w:rPr>
                <w:rFonts w:ascii="Arial" w:hAnsi="Arial" w:cs="Arial"/>
              </w:rPr>
            </w:pPr>
            <w:r>
              <w:rPr>
                <w:rFonts w:ascii="Arial" w:hAnsi="Arial" w:cs="Arial"/>
              </w:rPr>
              <w:t>Actividades de aeropuertos, servicios de navegación aérea y demás actividades conexas al transporte aéreo</w:t>
            </w:r>
          </w:p>
        </w:tc>
        <w:tc>
          <w:tcPr>
            <w:tcW w:w="1276" w:type="dxa"/>
            <w:vMerge/>
          </w:tcPr>
          <w:p w14:paraId="54AEEDA4" w14:textId="77777777" w:rsidR="00B2442D" w:rsidRDefault="00B2442D">
            <w:pPr>
              <w:rPr>
                <w:rFonts w:ascii="Arial" w:hAnsi="Arial" w:cs="Arial"/>
              </w:rPr>
            </w:pPr>
          </w:p>
        </w:tc>
        <w:tc>
          <w:tcPr>
            <w:tcW w:w="1276" w:type="dxa"/>
            <w:vMerge/>
          </w:tcPr>
          <w:p w14:paraId="55DF8C43" w14:textId="77777777" w:rsidR="00B2442D" w:rsidRDefault="00B2442D">
            <w:pPr>
              <w:rPr>
                <w:rFonts w:ascii="Arial" w:hAnsi="Arial" w:cs="Arial"/>
              </w:rPr>
            </w:pPr>
          </w:p>
        </w:tc>
      </w:tr>
      <w:tr w:rsidR="00B2442D" w14:paraId="7A359455" w14:textId="77777777">
        <w:tc>
          <w:tcPr>
            <w:tcW w:w="2122" w:type="dxa"/>
            <w:vAlign w:val="center"/>
          </w:tcPr>
          <w:p w14:paraId="42DB595C" w14:textId="77777777" w:rsidR="00B2442D" w:rsidRDefault="00B2442D">
            <w:pPr>
              <w:rPr>
                <w:rFonts w:ascii="Arial" w:hAnsi="Arial" w:cs="Arial"/>
              </w:rPr>
            </w:pPr>
          </w:p>
        </w:tc>
        <w:tc>
          <w:tcPr>
            <w:tcW w:w="1417" w:type="dxa"/>
            <w:vAlign w:val="center"/>
          </w:tcPr>
          <w:p w14:paraId="73FFE394" w14:textId="77777777" w:rsidR="00B2442D" w:rsidRDefault="008A645F">
            <w:pPr>
              <w:jc w:val="center"/>
              <w:rPr>
                <w:rFonts w:ascii="Arial" w:hAnsi="Arial" w:cs="Arial"/>
              </w:rPr>
            </w:pPr>
            <w:r>
              <w:rPr>
                <w:rFonts w:ascii="Arial" w:hAnsi="Arial" w:cs="Arial"/>
              </w:rPr>
              <w:t>5223</w:t>
            </w:r>
          </w:p>
        </w:tc>
        <w:tc>
          <w:tcPr>
            <w:tcW w:w="2845" w:type="dxa"/>
            <w:vAlign w:val="center"/>
          </w:tcPr>
          <w:p w14:paraId="3ACA97B5" w14:textId="77777777" w:rsidR="00B2442D" w:rsidRDefault="008A645F">
            <w:pPr>
              <w:jc w:val="both"/>
              <w:rPr>
                <w:rFonts w:ascii="Arial" w:hAnsi="Arial" w:cs="Arial"/>
              </w:rPr>
            </w:pPr>
            <w:r>
              <w:rPr>
                <w:rFonts w:ascii="Arial" w:hAnsi="Arial" w:cs="Arial"/>
              </w:rPr>
              <w:t>Manipulación de carga</w:t>
            </w:r>
          </w:p>
        </w:tc>
        <w:tc>
          <w:tcPr>
            <w:tcW w:w="1276" w:type="dxa"/>
            <w:vMerge/>
          </w:tcPr>
          <w:p w14:paraId="092AC6CF" w14:textId="77777777" w:rsidR="00B2442D" w:rsidRDefault="00B2442D">
            <w:pPr>
              <w:rPr>
                <w:rFonts w:ascii="Arial" w:hAnsi="Arial" w:cs="Arial"/>
              </w:rPr>
            </w:pPr>
          </w:p>
        </w:tc>
        <w:tc>
          <w:tcPr>
            <w:tcW w:w="1276" w:type="dxa"/>
            <w:vMerge/>
          </w:tcPr>
          <w:p w14:paraId="4919B4B0" w14:textId="77777777" w:rsidR="00B2442D" w:rsidRDefault="00B2442D">
            <w:pPr>
              <w:rPr>
                <w:rFonts w:ascii="Arial" w:hAnsi="Arial" w:cs="Arial"/>
              </w:rPr>
            </w:pPr>
          </w:p>
        </w:tc>
      </w:tr>
      <w:tr w:rsidR="00B2442D" w14:paraId="26B9DD7F" w14:textId="77777777">
        <w:tc>
          <w:tcPr>
            <w:tcW w:w="2122" w:type="dxa"/>
            <w:vAlign w:val="center"/>
          </w:tcPr>
          <w:p w14:paraId="74887D42" w14:textId="77777777" w:rsidR="00B2442D" w:rsidRDefault="00B2442D">
            <w:pPr>
              <w:rPr>
                <w:rFonts w:ascii="Arial" w:hAnsi="Arial" w:cs="Arial"/>
              </w:rPr>
            </w:pPr>
          </w:p>
        </w:tc>
        <w:tc>
          <w:tcPr>
            <w:tcW w:w="1417" w:type="dxa"/>
            <w:vAlign w:val="center"/>
          </w:tcPr>
          <w:p w14:paraId="333A3AE6" w14:textId="77777777" w:rsidR="00B2442D" w:rsidRDefault="008A645F">
            <w:pPr>
              <w:jc w:val="center"/>
              <w:rPr>
                <w:rFonts w:ascii="Arial" w:hAnsi="Arial" w:cs="Arial"/>
              </w:rPr>
            </w:pPr>
            <w:r>
              <w:rPr>
                <w:rFonts w:ascii="Arial" w:hAnsi="Arial" w:cs="Arial"/>
              </w:rPr>
              <w:t>5224</w:t>
            </w:r>
          </w:p>
        </w:tc>
        <w:tc>
          <w:tcPr>
            <w:tcW w:w="2845" w:type="dxa"/>
            <w:vAlign w:val="center"/>
          </w:tcPr>
          <w:p w14:paraId="5BF24F03" w14:textId="77777777" w:rsidR="00B2442D" w:rsidRDefault="008A645F">
            <w:pPr>
              <w:jc w:val="both"/>
              <w:rPr>
                <w:rFonts w:ascii="Arial" w:hAnsi="Arial" w:cs="Arial"/>
              </w:rPr>
            </w:pPr>
            <w:r>
              <w:rPr>
                <w:rFonts w:ascii="Arial" w:hAnsi="Arial" w:cs="Arial"/>
              </w:rPr>
              <w:t>Otras actividades complementarias al transporte</w:t>
            </w:r>
          </w:p>
        </w:tc>
        <w:tc>
          <w:tcPr>
            <w:tcW w:w="1276" w:type="dxa"/>
            <w:vMerge/>
          </w:tcPr>
          <w:p w14:paraId="79CE0E89" w14:textId="77777777" w:rsidR="00B2442D" w:rsidRDefault="00B2442D">
            <w:pPr>
              <w:rPr>
                <w:rFonts w:ascii="Arial" w:hAnsi="Arial" w:cs="Arial"/>
              </w:rPr>
            </w:pPr>
          </w:p>
        </w:tc>
        <w:tc>
          <w:tcPr>
            <w:tcW w:w="1276" w:type="dxa"/>
            <w:vMerge/>
          </w:tcPr>
          <w:p w14:paraId="7110A5E9" w14:textId="77777777" w:rsidR="00B2442D" w:rsidRDefault="00B2442D">
            <w:pPr>
              <w:rPr>
                <w:rFonts w:ascii="Arial" w:hAnsi="Arial" w:cs="Arial"/>
              </w:rPr>
            </w:pPr>
          </w:p>
        </w:tc>
      </w:tr>
      <w:tr w:rsidR="00B2442D" w14:paraId="768596BD" w14:textId="77777777">
        <w:tc>
          <w:tcPr>
            <w:tcW w:w="2122" w:type="dxa"/>
            <w:vAlign w:val="center"/>
          </w:tcPr>
          <w:p w14:paraId="437322BC" w14:textId="77777777" w:rsidR="00B2442D" w:rsidRDefault="00B2442D">
            <w:pPr>
              <w:rPr>
                <w:rFonts w:ascii="Arial" w:hAnsi="Arial" w:cs="Arial"/>
              </w:rPr>
            </w:pPr>
          </w:p>
        </w:tc>
        <w:tc>
          <w:tcPr>
            <w:tcW w:w="1417" w:type="dxa"/>
            <w:vAlign w:val="center"/>
          </w:tcPr>
          <w:p w14:paraId="330858B8" w14:textId="77777777" w:rsidR="00B2442D" w:rsidRDefault="008A645F">
            <w:pPr>
              <w:jc w:val="center"/>
              <w:rPr>
                <w:rFonts w:ascii="Arial" w:hAnsi="Arial" w:cs="Arial"/>
              </w:rPr>
            </w:pPr>
            <w:r>
              <w:rPr>
                <w:rFonts w:ascii="Arial" w:hAnsi="Arial" w:cs="Arial"/>
              </w:rPr>
              <w:t>5229</w:t>
            </w:r>
          </w:p>
        </w:tc>
        <w:tc>
          <w:tcPr>
            <w:tcW w:w="2845" w:type="dxa"/>
            <w:vAlign w:val="center"/>
          </w:tcPr>
          <w:p w14:paraId="62405D30" w14:textId="77777777" w:rsidR="00B2442D" w:rsidRDefault="008A645F">
            <w:pPr>
              <w:jc w:val="both"/>
              <w:rPr>
                <w:rFonts w:ascii="Arial" w:hAnsi="Arial" w:cs="Arial"/>
              </w:rPr>
            </w:pPr>
            <w:r>
              <w:rPr>
                <w:rFonts w:ascii="Arial" w:hAnsi="Arial" w:cs="Arial"/>
              </w:rPr>
              <w:t>Actividades postales nacionales</w:t>
            </w:r>
          </w:p>
        </w:tc>
        <w:tc>
          <w:tcPr>
            <w:tcW w:w="1276" w:type="dxa"/>
            <w:vMerge/>
          </w:tcPr>
          <w:p w14:paraId="5A43EC2D" w14:textId="77777777" w:rsidR="00B2442D" w:rsidRDefault="00B2442D">
            <w:pPr>
              <w:rPr>
                <w:rFonts w:ascii="Arial" w:hAnsi="Arial" w:cs="Arial"/>
              </w:rPr>
            </w:pPr>
          </w:p>
        </w:tc>
        <w:tc>
          <w:tcPr>
            <w:tcW w:w="1276" w:type="dxa"/>
            <w:vMerge/>
          </w:tcPr>
          <w:p w14:paraId="7AC87035" w14:textId="77777777" w:rsidR="00B2442D" w:rsidRDefault="00B2442D">
            <w:pPr>
              <w:rPr>
                <w:rFonts w:ascii="Arial" w:hAnsi="Arial" w:cs="Arial"/>
              </w:rPr>
            </w:pPr>
          </w:p>
        </w:tc>
      </w:tr>
      <w:tr w:rsidR="00B2442D" w14:paraId="392DAE28" w14:textId="77777777">
        <w:tc>
          <w:tcPr>
            <w:tcW w:w="2122" w:type="dxa"/>
            <w:vAlign w:val="center"/>
          </w:tcPr>
          <w:p w14:paraId="7DF4C9AA" w14:textId="77777777" w:rsidR="00B2442D" w:rsidRDefault="00B2442D">
            <w:pPr>
              <w:rPr>
                <w:rFonts w:ascii="Arial" w:hAnsi="Arial" w:cs="Arial"/>
              </w:rPr>
            </w:pPr>
          </w:p>
        </w:tc>
        <w:tc>
          <w:tcPr>
            <w:tcW w:w="1417" w:type="dxa"/>
            <w:vAlign w:val="center"/>
          </w:tcPr>
          <w:p w14:paraId="32E98C73" w14:textId="77777777" w:rsidR="00B2442D" w:rsidRDefault="008A645F">
            <w:pPr>
              <w:jc w:val="center"/>
              <w:rPr>
                <w:rFonts w:ascii="Arial" w:hAnsi="Arial" w:cs="Arial"/>
              </w:rPr>
            </w:pPr>
            <w:r>
              <w:rPr>
                <w:rFonts w:ascii="Arial" w:hAnsi="Arial" w:cs="Arial"/>
              </w:rPr>
              <w:t>5310</w:t>
            </w:r>
          </w:p>
        </w:tc>
        <w:tc>
          <w:tcPr>
            <w:tcW w:w="2845" w:type="dxa"/>
            <w:vAlign w:val="center"/>
          </w:tcPr>
          <w:p w14:paraId="44BDDDD6" w14:textId="77777777" w:rsidR="00B2442D" w:rsidRDefault="008A645F">
            <w:pPr>
              <w:jc w:val="both"/>
              <w:rPr>
                <w:rFonts w:ascii="Arial" w:hAnsi="Arial" w:cs="Arial"/>
              </w:rPr>
            </w:pPr>
            <w:r>
              <w:rPr>
                <w:rFonts w:ascii="Arial" w:hAnsi="Arial" w:cs="Arial"/>
              </w:rPr>
              <w:t>Actividades de mensajería</w:t>
            </w:r>
          </w:p>
        </w:tc>
        <w:tc>
          <w:tcPr>
            <w:tcW w:w="1276" w:type="dxa"/>
            <w:vMerge/>
          </w:tcPr>
          <w:p w14:paraId="42F42E36" w14:textId="77777777" w:rsidR="00B2442D" w:rsidRDefault="00B2442D">
            <w:pPr>
              <w:rPr>
                <w:rFonts w:ascii="Arial" w:hAnsi="Arial" w:cs="Arial"/>
              </w:rPr>
            </w:pPr>
          </w:p>
        </w:tc>
        <w:tc>
          <w:tcPr>
            <w:tcW w:w="1276" w:type="dxa"/>
            <w:vMerge/>
          </w:tcPr>
          <w:p w14:paraId="2C9DB4CC" w14:textId="77777777" w:rsidR="00B2442D" w:rsidRDefault="00B2442D">
            <w:pPr>
              <w:rPr>
                <w:rFonts w:ascii="Arial" w:hAnsi="Arial" w:cs="Arial"/>
              </w:rPr>
            </w:pPr>
          </w:p>
        </w:tc>
      </w:tr>
      <w:tr w:rsidR="00B2442D" w14:paraId="51F24151" w14:textId="77777777">
        <w:tc>
          <w:tcPr>
            <w:tcW w:w="2122" w:type="dxa"/>
            <w:vAlign w:val="center"/>
          </w:tcPr>
          <w:p w14:paraId="287F0947" w14:textId="77777777" w:rsidR="00B2442D" w:rsidRDefault="00B2442D">
            <w:pPr>
              <w:rPr>
                <w:rFonts w:ascii="Arial" w:hAnsi="Arial" w:cs="Arial"/>
              </w:rPr>
            </w:pPr>
          </w:p>
        </w:tc>
        <w:tc>
          <w:tcPr>
            <w:tcW w:w="1417" w:type="dxa"/>
            <w:vAlign w:val="center"/>
          </w:tcPr>
          <w:p w14:paraId="2C93ACFB" w14:textId="77777777" w:rsidR="00B2442D" w:rsidRDefault="008A645F">
            <w:pPr>
              <w:jc w:val="center"/>
              <w:rPr>
                <w:rFonts w:ascii="Arial" w:hAnsi="Arial" w:cs="Arial"/>
              </w:rPr>
            </w:pPr>
            <w:r>
              <w:rPr>
                <w:rFonts w:ascii="Arial" w:hAnsi="Arial" w:cs="Arial"/>
              </w:rPr>
              <w:t>5320</w:t>
            </w:r>
          </w:p>
        </w:tc>
        <w:tc>
          <w:tcPr>
            <w:tcW w:w="2845" w:type="dxa"/>
            <w:vAlign w:val="center"/>
          </w:tcPr>
          <w:p w14:paraId="385FD7E6" w14:textId="77777777" w:rsidR="00B2442D" w:rsidRDefault="008A645F">
            <w:pPr>
              <w:jc w:val="both"/>
              <w:rPr>
                <w:rFonts w:ascii="Arial" w:hAnsi="Arial" w:cs="Arial"/>
              </w:rPr>
            </w:pPr>
            <w:r>
              <w:rPr>
                <w:rFonts w:ascii="Arial" w:hAnsi="Arial" w:cs="Arial"/>
              </w:rPr>
              <w:t>Actividades de telecomunicaciones alámbricas</w:t>
            </w:r>
          </w:p>
        </w:tc>
        <w:tc>
          <w:tcPr>
            <w:tcW w:w="1276" w:type="dxa"/>
            <w:vMerge/>
          </w:tcPr>
          <w:p w14:paraId="4FEA6DAB" w14:textId="77777777" w:rsidR="00B2442D" w:rsidRDefault="00B2442D">
            <w:pPr>
              <w:rPr>
                <w:rFonts w:ascii="Arial" w:hAnsi="Arial" w:cs="Arial"/>
              </w:rPr>
            </w:pPr>
          </w:p>
        </w:tc>
        <w:tc>
          <w:tcPr>
            <w:tcW w:w="1276" w:type="dxa"/>
            <w:vMerge/>
          </w:tcPr>
          <w:p w14:paraId="6F7E0E2A" w14:textId="77777777" w:rsidR="00B2442D" w:rsidRDefault="00B2442D">
            <w:pPr>
              <w:rPr>
                <w:rFonts w:ascii="Arial" w:hAnsi="Arial" w:cs="Arial"/>
              </w:rPr>
            </w:pPr>
          </w:p>
        </w:tc>
      </w:tr>
      <w:tr w:rsidR="00B2442D" w14:paraId="1502F066" w14:textId="77777777">
        <w:tc>
          <w:tcPr>
            <w:tcW w:w="2122" w:type="dxa"/>
            <w:vAlign w:val="center"/>
          </w:tcPr>
          <w:p w14:paraId="55C0952B" w14:textId="77777777" w:rsidR="00B2442D" w:rsidRDefault="00B2442D">
            <w:pPr>
              <w:rPr>
                <w:rFonts w:ascii="Arial" w:hAnsi="Arial" w:cs="Arial"/>
              </w:rPr>
            </w:pPr>
          </w:p>
        </w:tc>
        <w:tc>
          <w:tcPr>
            <w:tcW w:w="1417" w:type="dxa"/>
            <w:vAlign w:val="center"/>
          </w:tcPr>
          <w:p w14:paraId="58277D2B" w14:textId="77777777" w:rsidR="00B2442D" w:rsidRDefault="008A645F">
            <w:pPr>
              <w:jc w:val="center"/>
              <w:rPr>
                <w:rFonts w:ascii="Arial" w:hAnsi="Arial" w:cs="Arial"/>
              </w:rPr>
            </w:pPr>
            <w:r>
              <w:rPr>
                <w:rFonts w:ascii="Arial" w:hAnsi="Arial" w:cs="Arial"/>
              </w:rPr>
              <w:t>6110</w:t>
            </w:r>
          </w:p>
        </w:tc>
        <w:tc>
          <w:tcPr>
            <w:tcW w:w="2845" w:type="dxa"/>
            <w:vAlign w:val="center"/>
          </w:tcPr>
          <w:p w14:paraId="7DF9BFB2" w14:textId="77777777" w:rsidR="00B2442D" w:rsidRDefault="008A645F">
            <w:pPr>
              <w:jc w:val="both"/>
              <w:rPr>
                <w:rFonts w:ascii="Arial" w:hAnsi="Arial" w:cs="Arial"/>
              </w:rPr>
            </w:pPr>
            <w:r>
              <w:rPr>
                <w:rFonts w:ascii="Arial" w:hAnsi="Arial" w:cs="Arial"/>
              </w:rPr>
              <w:t>Actividades de telecomunicaciones inalámbricas</w:t>
            </w:r>
          </w:p>
        </w:tc>
        <w:tc>
          <w:tcPr>
            <w:tcW w:w="1276" w:type="dxa"/>
            <w:vMerge/>
          </w:tcPr>
          <w:p w14:paraId="713C1123" w14:textId="77777777" w:rsidR="00B2442D" w:rsidRDefault="00B2442D">
            <w:pPr>
              <w:rPr>
                <w:rFonts w:ascii="Arial" w:hAnsi="Arial" w:cs="Arial"/>
              </w:rPr>
            </w:pPr>
          </w:p>
        </w:tc>
        <w:tc>
          <w:tcPr>
            <w:tcW w:w="1276" w:type="dxa"/>
            <w:vMerge/>
          </w:tcPr>
          <w:p w14:paraId="286A6720" w14:textId="77777777" w:rsidR="00B2442D" w:rsidRDefault="00B2442D">
            <w:pPr>
              <w:rPr>
                <w:rFonts w:ascii="Arial" w:hAnsi="Arial" w:cs="Arial"/>
              </w:rPr>
            </w:pPr>
          </w:p>
        </w:tc>
      </w:tr>
      <w:tr w:rsidR="00B2442D" w14:paraId="51A211C2" w14:textId="77777777">
        <w:tc>
          <w:tcPr>
            <w:tcW w:w="2122" w:type="dxa"/>
            <w:vAlign w:val="center"/>
          </w:tcPr>
          <w:p w14:paraId="2CCD2E41" w14:textId="77777777" w:rsidR="00B2442D" w:rsidRDefault="00B2442D">
            <w:pPr>
              <w:rPr>
                <w:rFonts w:ascii="Arial" w:hAnsi="Arial" w:cs="Arial"/>
              </w:rPr>
            </w:pPr>
          </w:p>
        </w:tc>
        <w:tc>
          <w:tcPr>
            <w:tcW w:w="1417" w:type="dxa"/>
            <w:vAlign w:val="center"/>
          </w:tcPr>
          <w:p w14:paraId="56744C1A" w14:textId="77777777" w:rsidR="00B2442D" w:rsidRDefault="008A645F">
            <w:pPr>
              <w:jc w:val="center"/>
              <w:rPr>
                <w:rFonts w:ascii="Arial" w:hAnsi="Arial" w:cs="Arial"/>
              </w:rPr>
            </w:pPr>
            <w:r>
              <w:rPr>
                <w:rFonts w:ascii="Arial" w:hAnsi="Arial" w:cs="Arial"/>
              </w:rPr>
              <w:t>6120</w:t>
            </w:r>
          </w:p>
        </w:tc>
        <w:tc>
          <w:tcPr>
            <w:tcW w:w="2845" w:type="dxa"/>
            <w:vAlign w:val="center"/>
          </w:tcPr>
          <w:p w14:paraId="46986F24" w14:textId="77777777" w:rsidR="00B2442D" w:rsidRDefault="008A645F">
            <w:pPr>
              <w:jc w:val="both"/>
              <w:rPr>
                <w:rFonts w:ascii="Arial" w:hAnsi="Arial" w:cs="Arial"/>
              </w:rPr>
            </w:pPr>
            <w:r>
              <w:rPr>
                <w:rFonts w:ascii="Arial" w:hAnsi="Arial" w:cs="Arial"/>
              </w:rPr>
              <w:t>Actividades de telecomunicación satelital</w:t>
            </w:r>
          </w:p>
        </w:tc>
        <w:tc>
          <w:tcPr>
            <w:tcW w:w="1276" w:type="dxa"/>
            <w:vMerge/>
          </w:tcPr>
          <w:p w14:paraId="60EC8EEB" w14:textId="77777777" w:rsidR="00B2442D" w:rsidRDefault="00B2442D">
            <w:pPr>
              <w:rPr>
                <w:rFonts w:ascii="Arial" w:hAnsi="Arial" w:cs="Arial"/>
              </w:rPr>
            </w:pPr>
          </w:p>
        </w:tc>
        <w:tc>
          <w:tcPr>
            <w:tcW w:w="1276" w:type="dxa"/>
            <w:vMerge/>
          </w:tcPr>
          <w:p w14:paraId="6E33BB37" w14:textId="77777777" w:rsidR="00B2442D" w:rsidRDefault="00B2442D">
            <w:pPr>
              <w:rPr>
                <w:rFonts w:ascii="Arial" w:hAnsi="Arial" w:cs="Arial"/>
              </w:rPr>
            </w:pPr>
          </w:p>
        </w:tc>
      </w:tr>
      <w:tr w:rsidR="00B2442D" w14:paraId="27862C36" w14:textId="77777777">
        <w:tc>
          <w:tcPr>
            <w:tcW w:w="2122" w:type="dxa"/>
            <w:vAlign w:val="center"/>
          </w:tcPr>
          <w:p w14:paraId="51902527" w14:textId="77777777" w:rsidR="00B2442D" w:rsidRDefault="00B2442D">
            <w:pPr>
              <w:rPr>
                <w:rFonts w:ascii="Arial" w:hAnsi="Arial" w:cs="Arial"/>
              </w:rPr>
            </w:pPr>
          </w:p>
        </w:tc>
        <w:tc>
          <w:tcPr>
            <w:tcW w:w="1417" w:type="dxa"/>
            <w:vAlign w:val="center"/>
          </w:tcPr>
          <w:p w14:paraId="21EE35AB" w14:textId="77777777" w:rsidR="00B2442D" w:rsidRDefault="008A645F">
            <w:pPr>
              <w:jc w:val="center"/>
              <w:rPr>
                <w:rFonts w:ascii="Arial" w:hAnsi="Arial" w:cs="Arial"/>
              </w:rPr>
            </w:pPr>
            <w:r>
              <w:rPr>
                <w:rFonts w:ascii="Arial" w:hAnsi="Arial" w:cs="Arial"/>
              </w:rPr>
              <w:t>6130</w:t>
            </w:r>
          </w:p>
        </w:tc>
        <w:tc>
          <w:tcPr>
            <w:tcW w:w="2845" w:type="dxa"/>
            <w:vAlign w:val="center"/>
          </w:tcPr>
          <w:p w14:paraId="4A8D9532" w14:textId="77777777" w:rsidR="00B2442D" w:rsidRDefault="008A645F">
            <w:pPr>
              <w:jc w:val="both"/>
              <w:rPr>
                <w:rFonts w:ascii="Arial" w:hAnsi="Arial" w:cs="Arial"/>
              </w:rPr>
            </w:pPr>
            <w:r>
              <w:rPr>
                <w:rFonts w:ascii="Arial" w:hAnsi="Arial" w:cs="Arial"/>
              </w:rPr>
              <w:t>Otras actividades de telecomunicaciones</w:t>
            </w:r>
          </w:p>
        </w:tc>
        <w:tc>
          <w:tcPr>
            <w:tcW w:w="1276" w:type="dxa"/>
            <w:vMerge/>
          </w:tcPr>
          <w:p w14:paraId="34A18238" w14:textId="77777777" w:rsidR="00B2442D" w:rsidRDefault="00B2442D">
            <w:pPr>
              <w:rPr>
                <w:rFonts w:ascii="Arial" w:hAnsi="Arial" w:cs="Arial"/>
              </w:rPr>
            </w:pPr>
          </w:p>
        </w:tc>
        <w:tc>
          <w:tcPr>
            <w:tcW w:w="1276" w:type="dxa"/>
            <w:vMerge/>
          </w:tcPr>
          <w:p w14:paraId="330D7D21" w14:textId="77777777" w:rsidR="00B2442D" w:rsidRDefault="00B2442D">
            <w:pPr>
              <w:rPr>
                <w:rFonts w:ascii="Arial" w:hAnsi="Arial" w:cs="Arial"/>
              </w:rPr>
            </w:pPr>
          </w:p>
        </w:tc>
      </w:tr>
      <w:tr w:rsidR="00B2442D" w14:paraId="18F568F3" w14:textId="77777777">
        <w:tc>
          <w:tcPr>
            <w:tcW w:w="2122" w:type="dxa"/>
            <w:vAlign w:val="center"/>
          </w:tcPr>
          <w:p w14:paraId="615AE98F" w14:textId="77777777" w:rsidR="00B2442D" w:rsidRDefault="00B2442D">
            <w:pPr>
              <w:rPr>
                <w:rFonts w:ascii="Arial" w:hAnsi="Arial" w:cs="Arial"/>
              </w:rPr>
            </w:pPr>
          </w:p>
        </w:tc>
        <w:tc>
          <w:tcPr>
            <w:tcW w:w="1417" w:type="dxa"/>
            <w:vAlign w:val="center"/>
          </w:tcPr>
          <w:p w14:paraId="77BEF9E6" w14:textId="77777777" w:rsidR="00B2442D" w:rsidRDefault="008A645F">
            <w:pPr>
              <w:jc w:val="center"/>
              <w:rPr>
                <w:rFonts w:ascii="Arial" w:hAnsi="Arial" w:cs="Arial"/>
              </w:rPr>
            </w:pPr>
            <w:r>
              <w:rPr>
                <w:rFonts w:ascii="Arial" w:hAnsi="Arial" w:cs="Arial"/>
              </w:rPr>
              <w:t>6190</w:t>
            </w:r>
          </w:p>
        </w:tc>
        <w:tc>
          <w:tcPr>
            <w:tcW w:w="2845" w:type="dxa"/>
            <w:vAlign w:val="center"/>
          </w:tcPr>
          <w:p w14:paraId="7485DC6B" w14:textId="77777777" w:rsidR="00B2442D" w:rsidRDefault="008A645F">
            <w:pPr>
              <w:jc w:val="both"/>
              <w:rPr>
                <w:rFonts w:ascii="Arial" w:hAnsi="Arial" w:cs="Arial"/>
              </w:rPr>
            </w:pPr>
            <w:r>
              <w:rPr>
                <w:rFonts w:ascii="Arial" w:hAnsi="Arial" w:cs="Arial"/>
              </w:rPr>
              <w:t>Alojamiento en hoteles</w:t>
            </w:r>
          </w:p>
        </w:tc>
        <w:tc>
          <w:tcPr>
            <w:tcW w:w="1276" w:type="dxa"/>
            <w:vMerge/>
          </w:tcPr>
          <w:p w14:paraId="4E65FC6A" w14:textId="77777777" w:rsidR="00B2442D" w:rsidRDefault="00B2442D">
            <w:pPr>
              <w:rPr>
                <w:rFonts w:ascii="Arial" w:hAnsi="Arial" w:cs="Arial"/>
              </w:rPr>
            </w:pPr>
          </w:p>
        </w:tc>
        <w:tc>
          <w:tcPr>
            <w:tcW w:w="1276" w:type="dxa"/>
            <w:vMerge/>
          </w:tcPr>
          <w:p w14:paraId="39915EFA" w14:textId="77777777" w:rsidR="00B2442D" w:rsidRDefault="00B2442D">
            <w:pPr>
              <w:rPr>
                <w:rFonts w:ascii="Arial" w:hAnsi="Arial" w:cs="Arial"/>
              </w:rPr>
            </w:pPr>
          </w:p>
        </w:tc>
      </w:tr>
      <w:tr w:rsidR="00B2442D" w14:paraId="622C927B" w14:textId="77777777">
        <w:tc>
          <w:tcPr>
            <w:tcW w:w="2122" w:type="dxa"/>
            <w:vAlign w:val="center"/>
          </w:tcPr>
          <w:p w14:paraId="19C7FABC" w14:textId="77777777" w:rsidR="00B2442D" w:rsidRDefault="008A645F">
            <w:pPr>
              <w:rPr>
                <w:rFonts w:ascii="Arial" w:hAnsi="Arial" w:cs="Arial"/>
                <w:b/>
                <w:bCs/>
              </w:rPr>
            </w:pPr>
            <w:r>
              <w:rPr>
                <w:rFonts w:ascii="Arial" w:hAnsi="Arial" w:cs="Arial"/>
                <w:b/>
                <w:bCs/>
              </w:rPr>
              <w:t>Servicios</w:t>
            </w:r>
            <w:r>
              <w:rPr>
                <w:rFonts w:ascii="Arial" w:hAnsi="Arial" w:cs="Arial"/>
                <w:b/>
                <w:bCs/>
              </w:rPr>
              <w:br/>
              <w:t>de hoteles,</w:t>
            </w:r>
            <w:r>
              <w:rPr>
                <w:rFonts w:ascii="Arial" w:hAnsi="Arial" w:cs="Arial"/>
                <w:b/>
                <w:bCs/>
              </w:rPr>
              <w:br/>
              <w:t>restaurantes y</w:t>
            </w:r>
            <w:r>
              <w:rPr>
                <w:rFonts w:ascii="Arial" w:hAnsi="Arial" w:cs="Arial"/>
                <w:b/>
                <w:bCs/>
              </w:rPr>
              <w:br/>
              <w:t>similares</w:t>
            </w:r>
          </w:p>
        </w:tc>
        <w:tc>
          <w:tcPr>
            <w:tcW w:w="1417" w:type="dxa"/>
          </w:tcPr>
          <w:p w14:paraId="27EACA93" w14:textId="77777777" w:rsidR="00B2442D" w:rsidRDefault="008A645F">
            <w:pPr>
              <w:jc w:val="center"/>
              <w:rPr>
                <w:rFonts w:ascii="Arial" w:hAnsi="Arial" w:cs="Arial"/>
              </w:rPr>
            </w:pPr>
            <w:r>
              <w:rPr>
                <w:rFonts w:ascii="Arial" w:hAnsi="Arial" w:cs="Arial"/>
              </w:rPr>
              <w:t>5511</w:t>
            </w:r>
          </w:p>
        </w:tc>
        <w:tc>
          <w:tcPr>
            <w:tcW w:w="2845" w:type="dxa"/>
            <w:vAlign w:val="center"/>
          </w:tcPr>
          <w:p w14:paraId="756A3FCB" w14:textId="77777777" w:rsidR="00B2442D" w:rsidRDefault="008A645F">
            <w:pPr>
              <w:jc w:val="both"/>
              <w:rPr>
                <w:rFonts w:ascii="Arial" w:hAnsi="Arial" w:cs="Arial"/>
              </w:rPr>
            </w:pPr>
            <w:r>
              <w:rPr>
                <w:rFonts w:ascii="Arial" w:hAnsi="Arial" w:cs="Arial"/>
              </w:rPr>
              <w:t>Alojamiento en apartahoteles</w:t>
            </w:r>
          </w:p>
        </w:tc>
        <w:tc>
          <w:tcPr>
            <w:tcW w:w="1276" w:type="dxa"/>
            <w:vMerge w:val="restart"/>
            <w:vAlign w:val="center"/>
          </w:tcPr>
          <w:p w14:paraId="081E3926" w14:textId="77777777" w:rsidR="00B2442D" w:rsidRDefault="008A645F">
            <w:pPr>
              <w:rPr>
                <w:rFonts w:ascii="Arial" w:hAnsi="Arial" w:cs="Arial"/>
              </w:rPr>
            </w:pPr>
            <w:r>
              <w:rPr>
                <w:rFonts w:ascii="Arial" w:hAnsi="Arial" w:cs="Arial"/>
              </w:rPr>
              <w:t>3.934</w:t>
            </w:r>
            <w:r>
              <w:rPr>
                <w:rFonts w:ascii="Arial" w:hAnsi="Arial" w:cs="Arial"/>
              </w:rPr>
              <w:br/>
              <w:t>WT</w:t>
            </w:r>
          </w:p>
        </w:tc>
        <w:tc>
          <w:tcPr>
            <w:tcW w:w="1276" w:type="dxa"/>
            <w:vMerge w:val="restart"/>
            <w:vAlign w:val="center"/>
          </w:tcPr>
          <w:p w14:paraId="0A831796" w14:textId="77777777" w:rsidR="00B2442D" w:rsidRDefault="008A645F">
            <w:pPr>
              <w:rPr>
                <w:rFonts w:ascii="Arial" w:hAnsi="Arial" w:cs="Arial"/>
              </w:rPr>
            </w:pPr>
            <w:r>
              <w:rPr>
                <w:rFonts w:ascii="Arial" w:hAnsi="Arial" w:cs="Arial"/>
              </w:rPr>
              <w:t>1,55% *(RGA</w:t>
            </w:r>
            <w:r>
              <w:rPr>
                <w:rFonts w:ascii="Arial" w:hAnsi="Arial" w:cs="Arial"/>
              </w:rPr>
              <w:br/>
              <w:t>en UVT- 3.934)</w:t>
            </w:r>
          </w:p>
        </w:tc>
      </w:tr>
      <w:tr w:rsidR="00B2442D" w14:paraId="49993C15" w14:textId="77777777">
        <w:tc>
          <w:tcPr>
            <w:tcW w:w="2122" w:type="dxa"/>
            <w:vAlign w:val="center"/>
          </w:tcPr>
          <w:p w14:paraId="62FC7357" w14:textId="77777777" w:rsidR="00B2442D" w:rsidRDefault="00B2442D">
            <w:pPr>
              <w:rPr>
                <w:rFonts w:ascii="Arial" w:hAnsi="Arial" w:cs="Arial"/>
              </w:rPr>
            </w:pPr>
          </w:p>
        </w:tc>
        <w:tc>
          <w:tcPr>
            <w:tcW w:w="1417" w:type="dxa"/>
            <w:vAlign w:val="center"/>
          </w:tcPr>
          <w:p w14:paraId="09E1B7B6" w14:textId="77777777" w:rsidR="00B2442D" w:rsidRDefault="008A645F">
            <w:pPr>
              <w:jc w:val="center"/>
              <w:rPr>
                <w:rFonts w:ascii="Arial" w:hAnsi="Arial" w:cs="Arial"/>
              </w:rPr>
            </w:pPr>
            <w:r>
              <w:rPr>
                <w:rFonts w:ascii="Arial" w:hAnsi="Arial" w:cs="Arial"/>
              </w:rPr>
              <w:t>5512</w:t>
            </w:r>
          </w:p>
        </w:tc>
        <w:tc>
          <w:tcPr>
            <w:tcW w:w="2845" w:type="dxa"/>
            <w:vAlign w:val="center"/>
          </w:tcPr>
          <w:p w14:paraId="33517232" w14:textId="77777777" w:rsidR="00B2442D" w:rsidRDefault="008A645F">
            <w:pPr>
              <w:jc w:val="both"/>
              <w:rPr>
                <w:rFonts w:ascii="Arial" w:hAnsi="Arial" w:cs="Arial"/>
              </w:rPr>
            </w:pPr>
            <w:r>
              <w:rPr>
                <w:rFonts w:ascii="Arial" w:hAnsi="Arial" w:cs="Arial"/>
              </w:rPr>
              <w:t>Alojamiento en centros vacacionales</w:t>
            </w:r>
          </w:p>
        </w:tc>
        <w:tc>
          <w:tcPr>
            <w:tcW w:w="1276" w:type="dxa"/>
            <w:vMerge/>
          </w:tcPr>
          <w:p w14:paraId="5696C107" w14:textId="77777777" w:rsidR="00B2442D" w:rsidRDefault="00B2442D">
            <w:pPr>
              <w:rPr>
                <w:rFonts w:ascii="Arial" w:hAnsi="Arial" w:cs="Arial"/>
              </w:rPr>
            </w:pPr>
          </w:p>
        </w:tc>
        <w:tc>
          <w:tcPr>
            <w:tcW w:w="1276" w:type="dxa"/>
            <w:vMerge/>
          </w:tcPr>
          <w:p w14:paraId="707813B7" w14:textId="77777777" w:rsidR="00B2442D" w:rsidRDefault="00B2442D">
            <w:pPr>
              <w:rPr>
                <w:rFonts w:ascii="Arial" w:hAnsi="Arial" w:cs="Arial"/>
              </w:rPr>
            </w:pPr>
          </w:p>
        </w:tc>
      </w:tr>
      <w:tr w:rsidR="00B2442D" w14:paraId="59735D92" w14:textId="77777777">
        <w:tc>
          <w:tcPr>
            <w:tcW w:w="2122" w:type="dxa"/>
            <w:vAlign w:val="center"/>
          </w:tcPr>
          <w:p w14:paraId="16A2BAFD" w14:textId="77777777" w:rsidR="00B2442D" w:rsidRDefault="00B2442D">
            <w:pPr>
              <w:rPr>
                <w:rFonts w:ascii="Arial" w:hAnsi="Arial" w:cs="Arial"/>
              </w:rPr>
            </w:pPr>
          </w:p>
        </w:tc>
        <w:tc>
          <w:tcPr>
            <w:tcW w:w="1417" w:type="dxa"/>
            <w:vAlign w:val="center"/>
          </w:tcPr>
          <w:p w14:paraId="7BEC28B7" w14:textId="77777777" w:rsidR="00B2442D" w:rsidRDefault="008A645F">
            <w:pPr>
              <w:jc w:val="center"/>
              <w:rPr>
                <w:rFonts w:ascii="Arial" w:hAnsi="Arial" w:cs="Arial"/>
              </w:rPr>
            </w:pPr>
            <w:r>
              <w:rPr>
                <w:rFonts w:ascii="Arial" w:hAnsi="Arial" w:cs="Arial"/>
              </w:rPr>
              <w:t>5513</w:t>
            </w:r>
          </w:p>
        </w:tc>
        <w:tc>
          <w:tcPr>
            <w:tcW w:w="2845" w:type="dxa"/>
            <w:vAlign w:val="center"/>
          </w:tcPr>
          <w:p w14:paraId="2DE2E626" w14:textId="77777777" w:rsidR="00B2442D" w:rsidRDefault="008A645F">
            <w:pPr>
              <w:jc w:val="both"/>
              <w:rPr>
                <w:rFonts w:ascii="Arial" w:hAnsi="Arial" w:cs="Arial"/>
              </w:rPr>
            </w:pPr>
            <w:r>
              <w:rPr>
                <w:rFonts w:ascii="Arial" w:hAnsi="Arial" w:cs="Arial"/>
              </w:rPr>
              <w:t>Alojamiento rural</w:t>
            </w:r>
          </w:p>
        </w:tc>
        <w:tc>
          <w:tcPr>
            <w:tcW w:w="1276" w:type="dxa"/>
            <w:vMerge/>
          </w:tcPr>
          <w:p w14:paraId="74A40868" w14:textId="77777777" w:rsidR="00B2442D" w:rsidRDefault="00B2442D">
            <w:pPr>
              <w:rPr>
                <w:rFonts w:ascii="Arial" w:hAnsi="Arial" w:cs="Arial"/>
              </w:rPr>
            </w:pPr>
          </w:p>
        </w:tc>
        <w:tc>
          <w:tcPr>
            <w:tcW w:w="1276" w:type="dxa"/>
            <w:vMerge/>
          </w:tcPr>
          <w:p w14:paraId="53E37E5B" w14:textId="77777777" w:rsidR="00B2442D" w:rsidRDefault="00B2442D">
            <w:pPr>
              <w:rPr>
                <w:rFonts w:ascii="Arial" w:hAnsi="Arial" w:cs="Arial"/>
              </w:rPr>
            </w:pPr>
          </w:p>
        </w:tc>
      </w:tr>
      <w:tr w:rsidR="00B2442D" w14:paraId="40C8A7B2" w14:textId="77777777">
        <w:tc>
          <w:tcPr>
            <w:tcW w:w="2122" w:type="dxa"/>
            <w:vAlign w:val="center"/>
          </w:tcPr>
          <w:p w14:paraId="39D99530" w14:textId="77777777" w:rsidR="00B2442D" w:rsidRDefault="00B2442D">
            <w:pPr>
              <w:rPr>
                <w:rFonts w:ascii="Arial" w:hAnsi="Arial" w:cs="Arial"/>
              </w:rPr>
            </w:pPr>
          </w:p>
        </w:tc>
        <w:tc>
          <w:tcPr>
            <w:tcW w:w="1417" w:type="dxa"/>
            <w:vAlign w:val="center"/>
          </w:tcPr>
          <w:p w14:paraId="6B3D2289" w14:textId="77777777" w:rsidR="00B2442D" w:rsidRDefault="008A645F">
            <w:pPr>
              <w:jc w:val="center"/>
              <w:rPr>
                <w:rFonts w:ascii="Arial" w:hAnsi="Arial" w:cs="Arial"/>
              </w:rPr>
            </w:pPr>
            <w:r>
              <w:rPr>
                <w:rFonts w:ascii="Arial" w:hAnsi="Arial" w:cs="Arial"/>
              </w:rPr>
              <w:t>5514</w:t>
            </w:r>
          </w:p>
        </w:tc>
        <w:tc>
          <w:tcPr>
            <w:tcW w:w="2845" w:type="dxa"/>
            <w:vAlign w:val="center"/>
          </w:tcPr>
          <w:p w14:paraId="2362C247" w14:textId="77777777" w:rsidR="00B2442D" w:rsidRDefault="008A645F">
            <w:pPr>
              <w:jc w:val="both"/>
              <w:rPr>
                <w:rFonts w:ascii="Arial" w:hAnsi="Arial" w:cs="Arial"/>
              </w:rPr>
            </w:pPr>
            <w:r>
              <w:rPr>
                <w:rFonts w:ascii="Arial" w:hAnsi="Arial" w:cs="Arial"/>
              </w:rPr>
              <w:t xml:space="preserve">Otros tipos de </w:t>
            </w:r>
            <w:r>
              <w:rPr>
                <w:rFonts w:ascii="Arial" w:hAnsi="Arial" w:cs="Arial"/>
              </w:rPr>
              <w:t>alojamientos para visitantes</w:t>
            </w:r>
          </w:p>
        </w:tc>
        <w:tc>
          <w:tcPr>
            <w:tcW w:w="1276" w:type="dxa"/>
            <w:vMerge/>
          </w:tcPr>
          <w:p w14:paraId="1EC3F5D6" w14:textId="77777777" w:rsidR="00B2442D" w:rsidRDefault="00B2442D">
            <w:pPr>
              <w:rPr>
                <w:rFonts w:ascii="Arial" w:hAnsi="Arial" w:cs="Arial"/>
              </w:rPr>
            </w:pPr>
          </w:p>
        </w:tc>
        <w:tc>
          <w:tcPr>
            <w:tcW w:w="1276" w:type="dxa"/>
            <w:vMerge/>
          </w:tcPr>
          <w:p w14:paraId="5EBAD6A0" w14:textId="77777777" w:rsidR="00B2442D" w:rsidRDefault="00B2442D">
            <w:pPr>
              <w:rPr>
                <w:rFonts w:ascii="Arial" w:hAnsi="Arial" w:cs="Arial"/>
              </w:rPr>
            </w:pPr>
          </w:p>
        </w:tc>
      </w:tr>
      <w:tr w:rsidR="00B2442D" w14:paraId="7E6C401F" w14:textId="77777777">
        <w:tc>
          <w:tcPr>
            <w:tcW w:w="2122" w:type="dxa"/>
            <w:vAlign w:val="center"/>
          </w:tcPr>
          <w:p w14:paraId="6CD61CE5" w14:textId="77777777" w:rsidR="00B2442D" w:rsidRDefault="00B2442D">
            <w:pPr>
              <w:rPr>
                <w:rFonts w:ascii="Arial" w:hAnsi="Arial" w:cs="Arial"/>
              </w:rPr>
            </w:pPr>
          </w:p>
        </w:tc>
        <w:tc>
          <w:tcPr>
            <w:tcW w:w="1417" w:type="dxa"/>
            <w:vAlign w:val="center"/>
          </w:tcPr>
          <w:p w14:paraId="6D1F7719" w14:textId="77777777" w:rsidR="00B2442D" w:rsidRDefault="008A645F">
            <w:pPr>
              <w:jc w:val="center"/>
              <w:rPr>
                <w:rFonts w:ascii="Arial" w:hAnsi="Arial" w:cs="Arial"/>
              </w:rPr>
            </w:pPr>
            <w:r>
              <w:rPr>
                <w:rFonts w:ascii="Arial" w:hAnsi="Arial" w:cs="Arial"/>
              </w:rPr>
              <w:t>5519</w:t>
            </w:r>
          </w:p>
        </w:tc>
        <w:tc>
          <w:tcPr>
            <w:tcW w:w="2845" w:type="dxa"/>
          </w:tcPr>
          <w:p w14:paraId="6B28E84D" w14:textId="77777777" w:rsidR="00B2442D" w:rsidRDefault="008A645F">
            <w:pPr>
              <w:jc w:val="both"/>
              <w:rPr>
                <w:rFonts w:ascii="Arial" w:hAnsi="Arial" w:cs="Arial"/>
              </w:rPr>
            </w:pPr>
            <w:r>
              <w:rPr>
                <w:rFonts w:ascii="Arial" w:hAnsi="Arial" w:cs="Arial"/>
              </w:rPr>
              <w:t>Actividades de zonas de camping y parques para vehículos recreacionales</w:t>
            </w:r>
          </w:p>
        </w:tc>
        <w:tc>
          <w:tcPr>
            <w:tcW w:w="1276" w:type="dxa"/>
            <w:vMerge/>
          </w:tcPr>
          <w:p w14:paraId="1B64B34F" w14:textId="77777777" w:rsidR="00B2442D" w:rsidRDefault="00B2442D">
            <w:pPr>
              <w:rPr>
                <w:rFonts w:ascii="Arial" w:hAnsi="Arial" w:cs="Arial"/>
              </w:rPr>
            </w:pPr>
          </w:p>
        </w:tc>
        <w:tc>
          <w:tcPr>
            <w:tcW w:w="1276" w:type="dxa"/>
            <w:vMerge/>
          </w:tcPr>
          <w:p w14:paraId="013F8F61" w14:textId="77777777" w:rsidR="00B2442D" w:rsidRDefault="00B2442D">
            <w:pPr>
              <w:rPr>
                <w:rFonts w:ascii="Arial" w:hAnsi="Arial" w:cs="Arial"/>
              </w:rPr>
            </w:pPr>
          </w:p>
        </w:tc>
      </w:tr>
      <w:tr w:rsidR="00B2442D" w14:paraId="33EAFCEB" w14:textId="77777777">
        <w:tc>
          <w:tcPr>
            <w:tcW w:w="2122" w:type="dxa"/>
            <w:vAlign w:val="center"/>
          </w:tcPr>
          <w:p w14:paraId="19E4D4D5" w14:textId="77777777" w:rsidR="00B2442D" w:rsidRDefault="00B2442D">
            <w:pPr>
              <w:rPr>
                <w:rFonts w:ascii="Arial" w:hAnsi="Arial" w:cs="Arial"/>
              </w:rPr>
            </w:pPr>
          </w:p>
        </w:tc>
        <w:tc>
          <w:tcPr>
            <w:tcW w:w="1417" w:type="dxa"/>
            <w:vAlign w:val="center"/>
          </w:tcPr>
          <w:p w14:paraId="7AC5C039" w14:textId="77777777" w:rsidR="00B2442D" w:rsidRDefault="008A645F">
            <w:pPr>
              <w:jc w:val="center"/>
              <w:rPr>
                <w:rFonts w:ascii="Arial" w:hAnsi="Arial" w:cs="Arial"/>
              </w:rPr>
            </w:pPr>
            <w:r>
              <w:rPr>
                <w:rFonts w:ascii="Arial" w:hAnsi="Arial" w:cs="Arial"/>
              </w:rPr>
              <w:t>5520</w:t>
            </w:r>
          </w:p>
        </w:tc>
        <w:tc>
          <w:tcPr>
            <w:tcW w:w="2845" w:type="dxa"/>
            <w:vAlign w:val="center"/>
          </w:tcPr>
          <w:p w14:paraId="0F6C4A8A" w14:textId="77777777" w:rsidR="00B2442D" w:rsidRDefault="008A645F">
            <w:pPr>
              <w:jc w:val="both"/>
              <w:rPr>
                <w:rFonts w:ascii="Arial" w:hAnsi="Arial" w:cs="Arial"/>
              </w:rPr>
            </w:pPr>
            <w:r>
              <w:rPr>
                <w:rFonts w:ascii="Arial" w:hAnsi="Arial" w:cs="Arial"/>
              </w:rPr>
              <w:t>Servicio por horas</w:t>
            </w:r>
          </w:p>
        </w:tc>
        <w:tc>
          <w:tcPr>
            <w:tcW w:w="1276" w:type="dxa"/>
            <w:vMerge/>
          </w:tcPr>
          <w:p w14:paraId="48743F1D" w14:textId="77777777" w:rsidR="00B2442D" w:rsidRDefault="00B2442D">
            <w:pPr>
              <w:rPr>
                <w:rFonts w:ascii="Arial" w:hAnsi="Arial" w:cs="Arial"/>
              </w:rPr>
            </w:pPr>
          </w:p>
        </w:tc>
        <w:tc>
          <w:tcPr>
            <w:tcW w:w="1276" w:type="dxa"/>
            <w:vMerge/>
          </w:tcPr>
          <w:p w14:paraId="2EA6111B" w14:textId="77777777" w:rsidR="00B2442D" w:rsidRDefault="00B2442D">
            <w:pPr>
              <w:rPr>
                <w:rFonts w:ascii="Arial" w:hAnsi="Arial" w:cs="Arial"/>
              </w:rPr>
            </w:pPr>
          </w:p>
        </w:tc>
      </w:tr>
      <w:tr w:rsidR="00B2442D" w14:paraId="47AB0DAA" w14:textId="77777777">
        <w:tc>
          <w:tcPr>
            <w:tcW w:w="2122" w:type="dxa"/>
            <w:vAlign w:val="center"/>
          </w:tcPr>
          <w:p w14:paraId="58F5A17B" w14:textId="77777777" w:rsidR="00B2442D" w:rsidRDefault="00B2442D">
            <w:pPr>
              <w:rPr>
                <w:rFonts w:ascii="Arial" w:hAnsi="Arial" w:cs="Arial"/>
              </w:rPr>
            </w:pPr>
          </w:p>
        </w:tc>
        <w:tc>
          <w:tcPr>
            <w:tcW w:w="1417" w:type="dxa"/>
            <w:vAlign w:val="center"/>
          </w:tcPr>
          <w:p w14:paraId="6240CAEA" w14:textId="77777777" w:rsidR="00B2442D" w:rsidRDefault="008A645F">
            <w:pPr>
              <w:jc w:val="center"/>
              <w:rPr>
                <w:rFonts w:ascii="Arial" w:hAnsi="Arial" w:cs="Arial"/>
              </w:rPr>
            </w:pPr>
            <w:r>
              <w:rPr>
                <w:rFonts w:ascii="Arial" w:hAnsi="Arial" w:cs="Arial"/>
              </w:rPr>
              <w:t>5530</w:t>
            </w:r>
          </w:p>
        </w:tc>
        <w:tc>
          <w:tcPr>
            <w:tcW w:w="2845" w:type="dxa"/>
            <w:vAlign w:val="center"/>
          </w:tcPr>
          <w:p w14:paraId="6AB56E0A" w14:textId="77777777" w:rsidR="00B2442D" w:rsidRDefault="008A645F">
            <w:pPr>
              <w:jc w:val="both"/>
              <w:rPr>
                <w:rFonts w:ascii="Arial" w:hAnsi="Arial" w:cs="Arial"/>
              </w:rPr>
            </w:pPr>
            <w:r>
              <w:rPr>
                <w:rFonts w:ascii="Arial" w:hAnsi="Arial" w:cs="Arial"/>
              </w:rPr>
              <w:t>Otros tipos de alojamiento n.c.p.</w:t>
            </w:r>
          </w:p>
        </w:tc>
        <w:tc>
          <w:tcPr>
            <w:tcW w:w="1276" w:type="dxa"/>
            <w:vMerge/>
          </w:tcPr>
          <w:p w14:paraId="4D4B5936" w14:textId="77777777" w:rsidR="00B2442D" w:rsidRDefault="00B2442D">
            <w:pPr>
              <w:rPr>
                <w:rFonts w:ascii="Arial" w:hAnsi="Arial" w:cs="Arial"/>
              </w:rPr>
            </w:pPr>
          </w:p>
        </w:tc>
        <w:tc>
          <w:tcPr>
            <w:tcW w:w="1276" w:type="dxa"/>
            <w:vMerge/>
          </w:tcPr>
          <w:p w14:paraId="5EAA55D1" w14:textId="77777777" w:rsidR="00B2442D" w:rsidRDefault="00B2442D">
            <w:pPr>
              <w:rPr>
                <w:rFonts w:ascii="Arial" w:hAnsi="Arial" w:cs="Arial"/>
              </w:rPr>
            </w:pPr>
          </w:p>
        </w:tc>
      </w:tr>
      <w:tr w:rsidR="00B2442D" w14:paraId="3CB3893D" w14:textId="77777777">
        <w:tc>
          <w:tcPr>
            <w:tcW w:w="2122" w:type="dxa"/>
            <w:vAlign w:val="center"/>
          </w:tcPr>
          <w:p w14:paraId="08380B54" w14:textId="77777777" w:rsidR="00B2442D" w:rsidRDefault="00B2442D">
            <w:pPr>
              <w:rPr>
                <w:rFonts w:ascii="Arial" w:hAnsi="Arial" w:cs="Arial"/>
              </w:rPr>
            </w:pPr>
          </w:p>
        </w:tc>
        <w:tc>
          <w:tcPr>
            <w:tcW w:w="1417" w:type="dxa"/>
            <w:vAlign w:val="center"/>
          </w:tcPr>
          <w:p w14:paraId="69173D73" w14:textId="77777777" w:rsidR="00B2442D" w:rsidRDefault="008A645F">
            <w:pPr>
              <w:jc w:val="center"/>
              <w:rPr>
                <w:rFonts w:ascii="Arial" w:hAnsi="Arial" w:cs="Arial"/>
              </w:rPr>
            </w:pPr>
            <w:r>
              <w:rPr>
                <w:rFonts w:ascii="Arial" w:hAnsi="Arial" w:cs="Arial"/>
              </w:rPr>
              <w:t>5590</w:t>
            </w:r>
          </w:p>
        </w:tc>
        <w:tc>
          <w:tcPr>
            <w:tcW w:w="2845" w:type="dxa"/>
            <w:vAlign w:val="center"/>
          </w:tcPr>
          <w:p w14:paraId="3B9D5DDD" w14:textId="77777777" w:rsidR="00B2442D" w:rsidRDefault="008A645F">
            <w:pPr>
              <w:jc w:val="both"/>
              <w:rPr>
                <w:rFonts w:ascii="Arial" w:hAnsi="Arial" w:cs="Arial"/>
              </w:rPr>
            </w:pPr>
            <w:r>
              <w:rPr>
                <w:rFonts w:ascii="Arial" w:hAnsi="Arial" w:cs="Arial"/>
              </w:rPr>
              <w:t>Expendio a la mesa de comidas preparadas</w:t>
            </w:r>
          </w:p>
        </w:tc>
        <w:tc>
          <w:tcPr>
            <w:tcW w:w="1276" w:type="dxa"/>
            <w:vMerge/>
          </w:tcPr>
          <w:p w14:paraId="1F26AF25" w14:textId="77777777" w:rsidR="00B2442D" w:rsidRDefault="00B2442D">
            <w:pPr>
              <w:rPr>
                <w:rFonts w:ascii="Arial" w:hAnsi="Arial" w:cs="Arial"/>
              </w:rPr>
            </w:pPr>
          </w:p>
        </w:tc>
        <w:tc>
          <w:tcPr>
            <w:tcW w:w="1276" w:type="dxa"/>
            <w:vMerge/>
          </w:tcPr>
          <w:p w14:paraId="2A19D956" w14:textId="77777777" w:rsidR="00B2442D" w:rsidRDefault="00B2442D">
            <w:pPr>
              <w:rPr>
                <w:rFonts w:ascii="Arial" w:hAnsi="Arial" w:cs="Arial"/>
              </w:rPr>
            </w:pPr>
          </w:p>
        </w:tc>
      </w:tr>
      <w:tr w:rsidR="00B2442D" w14:paraId="6565CA12" w14:textId="77777777">
        <w:tc>
          <w:tcPr>
            <w:tcW w:w="2122" w:type="dxa"/>
            <w:vAlign w:val="center"/>
          </w:tcPr>
          <w:p w14:paraId="4EA4D090" w14:textId="77777777" w:rsidR="00B2442D" w:rsidRDefault="00B2442D">
            <w:pPr>
              <w:rPr>
                <w:rFonts w:ascii="Arial" w:hAnsi="Arial" w:cs="Arial"/>
              </w:rPr>
            </w:pPr>
          </w:p>
        </w:tc>
        <w:tc>
          <w:tcPr>
            <w:tcW w:w="1417" w:type="dxa"/>
            <w:vAlign w:val="center"/>
          </w:tcPr>
          <w:p w14:paraId="23E1F144" w14:textId="77777777" w:rsidR="00B2442D" w:rsidRDefault="008A645F">
            <w:pPr>
              <w:jc w:val="center"/>
              <w:rPr>
                <w:rFonts w:ascii="Arial" w:hAnsi="Arial" w:cs="Arial"/>
              </w:rPr>
            </w:pPr>
            <w:r>
              <w:rPr>
                <w:rFonts w:ascii="Arial" w:hAnsi="Arial" w:cs="Arial"/>
              </w:rPr>
              <w:t>5611</w:t>
            </w:r>
          </w:p>
        </w:tc>
        <w:tc>
          <w:tcPr>
            <w:tcW w:w="2845" w:type="dxa"/>
            <w:vAlign w:val="center"/>
          </w:tcPr>
          <w:p w14:paraId="2DF18616" w14:textId="77777777" w:rsidR="00B2442D" w:rsidRDefault="008A645F">
            <w:pPr>
              <w:jc w:val="both"/>
              <w:rPr>
                <w:rFonts w:ascii="Arial" w:hAnsi="Arial" w:cs="Arial"/>
              </w:rPr>
            </w:pPr>
            <w:r>
              <w:rPr>
                <w:rFonts w:ascii="Arial" w:hAnsi="Arial" w:cs="Arial"/>
              </w:rPr>
              <w:t xml:space="preserve">Expendio por </w:t>
            </w:r>
            <w:r>
              <w:rPr>
                <w:rFonts w:ascii="Arial" w:hAnsi="Arial" w:cs="Arial"/>
              </w:rPr>
              <w:t>autoservicio de comidas preparadas</w:t>
            </w:r>
          </w:p>
        </w:tc>
        <w:tc>
          <w:tcPr>
            <w:tcW w:w="1276" w:type="dxa"/>
            <w:vMerge/>
          </w:tcPr>
          <w:p w14:paraId="25B1BF4E" w14:textId="77777777" w:rsidR="00B2442D" w:rsidRDefault="00B2442D">
            <w:pPr>
              <w:rPr>
                <w:rFonts w:ascii="Arial" w:hAnsi="Arial" w:cs="Arial"/>
              </w:rPr>
            </w:pPr>
          </w:p>
        </w:tc>
        <w:tc>
          <w:tcPr>
            <w:tcW w:w="1276" w:type="dxa"/>
            <w:vMerge/>
          </w:tcPr>
          <w:p w14:paraId="2F04C77D" w14:textId="77777777" w:rsidR="00B2442D" w:rsidRDefault="00B2442D">
            <w:pPr>
              <w:rPr>
                <w:rFonts w:ascii="Arial" w:hAnsi="Arial" w:cs="Arial"/>
              </w:rPr>
            </w:pPr>
          </w:p>
        </w:tc>
      </w:tr>
      <w:tr w:rsidR="00B2442D" w14:paraId="0A3EA0A7" w14:textId="77777777">
        <w:tc>
          <w:tcPr>
            <w:tcW w:w="2122" w:type="dxa"/>
            <w:vAlign w:val="center"/>
          </w:tcPr>
          <w:p w14:paraId="0D05EF35" w14:textId="77777777" w:rsidR="00B2442D" w:rsidRDefault="00B2442D">
            <w:pPr>
              <w:rPr>
                <w:rFonts w:ascii="Arial" w:hAnsi="Arial" w:cs="Arial"/>
              </w:rPr>
            </w:pPr>
          </w:p>
        </w:tc>
        <w:tc>
          <w:tcPr>
            <w:tcW w:w="1417" w:type="dxa"/>
            <w:vAlign w:val="center"/>
          </w:tcPr>
          <w:p w14:paraId="37B66F7D" w14:textId="77777777" w:rsidR="00B2442D" w:rsidRDefault="008A645F">
            <w:pPr>
              <w:jc w:val="center"/>
              <w:rPr>
                <w:rFonts w:ascii="Arial" w:hAnsi="Arial" w:cs="Arial"/>
              </w:rPr>
            </w:pPr>
            <w:r>
              <w:rPr>
                <w:rFonts w:ascii="Arial" w:hAnsi="Arial" w:cs="Arial"/>
              </w:rPr>
              <w:t>5612</w:t>
            </w:r>
          </w:p>
        </w:tc>
        <w:tc>
          <w:tcPr>
            <w:tcW w:w="2845" w:type="dxa"/>
            <w:vAlign w:val="center"/>
          </w:tcPr>
          <w:p w14:paraId="6CDFE0D4" w14:textId="77777777" w:rsidR="00B2442D" w:rsidRDefault="008A645F">
            <w:pPr>
              <w:jc w:val="both"/>
              <w:rPr>
                <w:rFonts w:ascii="Arial" w:hAnsi="Arial" w:cs="Arial"/>
              </w:rPr>
            </w:pPr>
            <w:r>
              <w:rPr>
                <w:rFonts w:ascii="Arial" w:hAnsi="Arial" w:cs="Arial"/>
              </w:rPr>
              <w:t>Expendio de comidas preparadas en cafeterías</w:t>
            </w:r>
          </w:p>
        </w:tc>
        <w:tc>
          <w:tcPr>
            <w:tcW w:w="1276" w:type="dxa"/>
            <w:vMerge/>
          </w:tcPr>
          <w:p w14:paraId="63C11DB9" w14:textId="77777777" w:rsidR="00B2442D" w:rsidRDefault="00B2442D">
            <w:pPr>
              <w:rPr>
                <w:rFonts w:ascii="Arial" w:hAnsi="Arial" w:cs="Arial"/>
              </w:rPr>
            </w:pPr>
          </w:p>
        </w:tc>
        <w:tc>
          <w:tcPr>
            <w:tcW w:w="1276" w:type="dxa"/>
            <w:vMerge/>
          </w:tcPr>
          <w:p w14:paraId="029E3407" w14:textId="77777777" w:rsidR="00B2442D" w:rsidRDefault="00B2442D">
            <w:pPr>
              <w:rPr>
                <w:rFonts w:ascii="Arial" w:hAnsi="Arial" w:cs="Arial"/>
              </w:rPr>
            </w:pPr>
          </w:p>
        </w:tc>
      </w:tr>
      <w:tr w:rsidR="00B2442D" w14:paraId="3AC3401D" w14:textId="77777777">
        <w:tc>
          <w:tcPr>
            <w:tcW w:w="2122" w:type="dxa"/>
            <w:vAlign w:val="center"/>
          </w:tcPr>
          <w:p w14:paraId="1FA5CB50" w14:textId="77777777" w:rsidR="00B2442D" w:rsidRDefault="00B2442D">
            <w:pPr>
              <w:rPr>
                <w:rFonts w:ascii="Arial" w:hAnsi="Arial" w:cs="Arial"/>
              </w:rPr>
            </w:pPr>
          </w:p>
        </w:tc>
        <w:tc>
          <w:tcPr>
            <w:tcW w:w="1417" w:type="dxa"/>
            <w:vAlign w:val="center"/>
          </w:tcPr>
          <w:p w14:paraId="36757FB7" w14:textId="77777777" w:rsidR="00B2442D" w:rsidRDefault="008A645F">
            <w:pPr>
              <w:jc w:val="center"/>
              <w:rPr>
                <w:rFonts w:ascii="Arial" w:hAnsi="Arial" w:cs="Arial"/>
              </w:rPr>
            </w:pPr>
            <w:r>
              <w:rPr>
                <w:rFonts w:ascii="Arial" w:hAnsi="Arial" w:cs="Arial"/>
              </w:rPr>
              <w:t>5613</w:t>
            </w:r>
          </w:p>
        </w:tc>
        <w:tc>
          <w:tcPr>
            <w:tcW w:w="2845" w:type="dxa"/>
            <w:vAlign w:val="center"/>
          </w:tcPr>
          <w:p w14:paraId="54B15AE5" w14:textId="77777777" w:rsidR="00B2442D" w:rsidRDefault="008A645F">
            <w:pPr>
              <w:jc w:val="both"/>
              <w:rPr>
                <w:rFonts w:ascii="Arial" w:hAnsi="Arial" w:cs="Arial"/>
              </w:rPr>
            </w:pPr>
            <w:r>
              <w:rPr>
                <w:rFonts w:ascii="Arial" w:hAnsi="Arial" w:cs="Arial"/>
              </w:rPr>
              <w:t>Otros tipos de expendio de comidas preparadas n.c.p.</w:t>
            </w:r>
          </w:p>
        </w:tc>
        <w:tc>
          <w:tcPr>
            <w:tcW w:w="1276" w:type="dxa"/>
            <w:vMerge/>
          </w:tcPr>
          <w:p w14:paraId="32F8E965" w14:textId="77777777" w:rsidR="00B2442D" w:rsidRDefault="00B2442D">
            <w:pPr>
              <w:rPr>
                <w:rFonts w:ascii="Arial" w:hAnsi="Arial" w:cs="Arial"/>
              </w:rPr>
            </w:pPr>
          </w:p>
        </w:tc>
        <w:tc>
          <w:tcPr>
            <w:tcW w:w="1276" w:type="dxa"/>
            <w:vMerge/>
          </w:tcPr>
          <w:p w14:paraId="121E983E" w14:textId="77777777" w:rsidR="00B2442D" w:rsidRDefault="00B2442D">
            <w:pPr>
              <w:rPr>
                <w:rFonts w:ascii="Arial" w:hAnsi="Arial" w:cs="Arial"/>
              </w:rPr>
            </w:pPr>
          </w:p>
        </w:tc>
      </w:tr>
      <w:tr w:rsidR="00B2442D" w14:paraId="7AB4A318" w14:textId="77777777">
        <w:tc>
          <w:tcPr>
            <w:tcW w:w="2122" w:type="dxa"/>
            <w:vAlign w:val="center"/>
          </w:tcPr>
          <w:p w14:paraId="6F7F7E36" w14:textId="77777777" w:rsidR="00B2442D" w:rsidRDefault="00B2442D">
            <w:pPr>
              <w:rPr>
                <w:rFonts w:ascii="Arial" w:hAnsi="Arial" w:cs="Arial"/>
              </w:rPr>
            </w:pPr>
          </w:p>
        </w:tc>
        <w:tc>
          <w:tcPr>
            <w:tcW w:w="1417" w:type="dxa"/>
            <w:vAlign w:val="center"/>
          </w:tcPr>
          <w:p w14:paraId="0919CA1E" w14:textId="77777777" w:rsidR="00B2442D" w:rsidRDefault="008A645F">
            <w:pPr>
              <w:jc w:val="center"/>
              <w:rPr>
                <w:rFonts w:ascii="Arial" w:hAnsi="Arial" w:cs="Arial"/>
              </w:rPr>
            </w:pPr>
            <w:r>
              <w:rPr>
                <w:rFonts w:ascii="Arial" w:hAnsi="Arial" w:cs="Arial"/>
              </w:rPr>
              <w:t>5619</w:t>
            </w:r>
          </w:p>
        </w:tc>
        <w:tc>
          <w:tcPr>
            <w:tcW w:w="2845" w:type="dxa"/>
            <w:vAlign w:val="center"/>
          </w:tcPr>
          <w:p w14:paraId="3D6B94F9" w14:textId="77777777" w:rsidR="00B2442D" w:rsidRDefault="008A645F">
            <w:pPr>
              <w:jc w:val="both"/>
              <w:rPr>
                <w:rFonts w:ascii="Arial" w:hAnsi="Arial" w:cs="Arial"/>
              </w:rPr>
            </w:pPr>
            <w:r>
              <w:rPr>
                <w:rFonts w:ascii="Arial" w:hAnsi="Arial" w:cs="Arial"/>
              </w:rPr>
              <w:t>Catering para eventos</w:t>
            </w:r>
          </w:p>
        </w:tc>
        <w:tc>
          <w:tcPr>
            <w:tcW w:w="1276" w:type="dxa"/>
            <w:vMerge/>
          </w:tcPr>
          <w:p w14:paraId="633EF783" w14:textId="77777777" w:rsidR="00B2442D" w:rsidRDefault="00B2442D">
            <w:pPr>
              <w:rPr>
                <w:rFonts w:ascii="Arial" w:hAnsi="Arial" w:cs="Arial"/>
              </w:rPr>
            </w:pPr>
          </w:p>
        </w:tc>
        <w:tc>
          <w:tcPr>
            <w:tcW w:w="1276" w:type="dxa"/>
            <w:vMerge/>
          </w:tcPr>
          <w:p w14:paraId="01AA3B61" w14:textId="77777777" w:rsidR="00B2442D" w:rsidRDefault="00B2442D">
            <w:pPr>
              <w:rPr>
                <w:rFonts w:ascii="Arial" w:hAnsi="Arial" w:cs="Arial"/>
              </w:rPr>
            </w:pPr>
          </w:p>
        </w:tc>
      </w:tr>
      <w:tr w:rsidR="00B2442D" w14:paraId="396BE1C0" w14:textId="77777777">
        <w:tc>
          <w:tcPr>
            <w:tcW w:w="2122" w:type="dxa"/>
            <w:vAlign w:val="center"/>
          </w:tcPr>
          <w:p w14:paraId="7EE1CC06" w14:textId="77777777" w:rsidR="00B2442D" w:rsidRDefault="00B2442D">
            <w:pPr>
              <w:rPr>
                <w:rFonts w:ascii="Arial" w:hAnsi="Arial" w:cs="Arial"/>
              </w:rPr>
            </w:pPr>
          </w:p>
        </w:tc>
        <w:tc>
          <w:tcPr>
            <w:tcW w:w="1417" w:type="dxa"/>
            <w:vAlign w:val="center"/>
          </w:tcPr>
          <w:p w14:paraId="375CF4BF" w14:textId="77777777" w:rsidR="00B2442D" w:rsidRDefault="008A645F">
            <w:pPr>
              <w:jc w:val="center"/>
              <w:rPr>
                <w:rFonts w:ascii="Arial" w:hAnsi="Arial" w:cs="Arial"/>
              </w:rPr>
            </w:pPr>
            <w:r>
              <w:rPr>
                <w:rFonts w:ascii="Arial" w:hAnsi="Arial" w:cs="Arial"/>
              </w:rPr>
              <w:t>5621</w:t>
            </w:r>
          </w:p>
        </w:tc>
        <w:tc>
          <w:tcPr>
            <w:tcW w:w="2845" w:type="dxa"/>
            <w:vAlign w:val="center"/>
          </w:tcPr>
          <w:p w14:paraId="042612E4" w14:textId="77777777" w:rsidR="00B2442D" w:rsidRDefault="008A645F">
            <w:pPr>
              <w:jc w:val="both"/>
              <w:rPr>
                <w:rFonts w:ascii="Arial" w:hAnsi="Arial" w:cs="Arial"/>
              </w:rPr>
            </w:pPr>
            <w:r>
              <w:rPr>
                <w:rFonts w:ascii="Arial" w:hAnsi="Arial" w:cs="Arial"/>
              </w:rPr>
              <w:t>Actividades de otros servicios de comidas</w:t>
            </w:r>
          </w:p>
        </w:tc>
        <w:tc>
          <w:tcPr>
            <w:tcW w:w="1276" w:type="dxa"/>
            <w:vMerge/>
          </w:tcPr>
          <w:p w14:paraId="43AF5D97" w14:textId="77777777" w:rsidR="00B2442D" w:rsidRDefault="00B2442D">
            <w:pPr>
              <w:rPr>
                <w:rFonts w:ascii="Arial" w:hAnsi="Arial" w:cs="Arial"/>
              </w:rPr>
            </w:pPr>
          </w:p>
        </w:tc>
        <w:tc>
          <w:tcPr>
            <w:tcW w:w="1276" w:type="dxa"/>
            <w:vMerge/>
          </w:tcPr>
          <w:p w14:paraId="39A63C81" w14:textId="77777777" w:rsidR="00B2442D" w:rsidRDefault="00B2442D">
            <w:pPr>
              <w:rPr>
                <w:rFonts w:ascii="Arial" w:hAnsi="Arial" w:cs="Arial"/>
              </w:rPr>
            </w:pPr>
          </w:p>
        </w:tc>
      </w:tr>
      <w:tr w:rsidR="00B2442D" w14:paraId="1896D064" w14:textId="77777777">
        <w:tc>
          <w:tcPr>
            <w:tcW w:w="2122" w:type="dxa"/>
            <w:vAlign w:val="center"/>
          </w:tcPr>
          <w:p w14:paraId="7AC06820" w14:textId="77777777" w:rsidR="00B2442D" w:rsidRDefault="00B2442D">
            <w:pPr>
              <w:rPr>
                <w:rFonts w:ascii="Arial" w:hAnsi="Arial" w:cs="Arial"/>
              </w:rPr>
            </w:pPr>
          </w:p>
        </w:tc>
        <w:tc>
          <w:tcPr>
            <w:tcW w:w="1417" w:type="dxa"/>
            <w:vAlign w:val="center"/>
          </w:tcPr>
          <w:p w14:paraId="42678A9C" w14:textId="77777777" w:rsidR="00B2442D" w:rsidRDefault="008A645F">
            <w:pPr>
              <w:jc w:val="center"/>
              <w:rPr>
                <w:rFonts w:ascii="Arial" w:hAnsi="Arial" w:cs="Arial"/>
              </w:rPr>
            </w:pPr>
            <w:r>
              <w:rPr>
                <w:rFonts w:ascii="Arial" w:hAnsi="Arial" w:cs="Arial"/>
              </w:rPr>
              <w:t>5629</w:t>
            </w:r>
          </w:p>
        </w:tc>
        <w:tc>
          <w:tcPr>
            <w:tcW w:w="2845" w:type="dxa"/>
          </w:tcPr>
          <w:p w14:paraId="193D6D99" w14:textId="77777777" w:rsidR="00B2442D" w:rsidRDefault="008A645F">
            <w:pPr>
              <w:jc w:val="both"/>
              <w:rPr>
                <w:rFonts w:ascii="Arial" w:hAnsi="Arial" w:cs="Arial"/>
              </w:rPr>
            </w:pPr>
            <w:r>
              <w:rPr>
                <w:rFonts w:ascii="Arial" w:hAnsi="Arial" w:cs="Arial"/>
              </w:rPr>
              <w:t>Expendio de bebidas alcohólicas para el consumo dentro del establecimiento</w:t>
            </w:r>
          </w:p>
        </w:tc>
        <w:tc>
          <w:tcPr>
            <w:tcW w:w="1276" w:type="dxa"/>
            <w:vMerge/>
          </w:tcPr>
          <w:p w14:paraId="64A241C6" w14:textId="77777777" w:rsidR="00B2442D" w:rsidRDefault="00B2442D">
            <w:pPr>
              <w:rPr>
                <w:rFonts w:ascii="Arial" w:hAnsi="Arial" w:cs="Arial"/>
              </w:rPr>
            </w:pPr>
          </w:p>
        </w:tc>
        <w:tc>
          <w:tcPr>
            <w:tcW w:w="1276" w:type="dxa"/>
            <w:vMerge/>
          </w:tcPr>
          <w:p w14:paraId="3FC235CD" w14:textId="77777777" w:rsidR="00B2442D" w:rsidRDefault="00B2442D">
            <w:pPr>
              <w:rPr>
                <w:rFonts w:ascii="Arial" w:hAnsi="Arial" w:cs="Arial"/>
              </w:rPr>
            </w:pPr>
          </w:p>
        </w:tc>
      </w:tr>
      <w:tr w:rsidR="00B2442D" w14:paraId="6D3E0583" w14:textId="77777777">
        <w:tc>
          <w:tcPr>
            <w:tcW w:w="2122" w:type="dxa"/>
            <w:vAlign w:val="center"/>
          </w:tcPr>
          <w:p w14:paraId="6CC55AC7" w14:textId="77777777" w:rsidR="00B2442D" w:rsidRDefault="00B2442D">
            <w:pPr>
              <w:rPr>
                <w:rFonts w:ascii="Arial" w:hAnsi="Arial" w:cs="Arial"/>
              </w:rPr>
            </w:pPr>
          </w:p>
        </w:tc>
        <w:tc>
          <w:tcPr>
            <w:tcW w:w="1417" w:type="dxa"/>
            <w:vAlign w:val="center"/>
          </w:tcPr>
          <w:p w14:paraId="6A3864F3" w14:textId="77777777" w:rsidR="00B2442D" w:rsidRDefault="008A645F">
            <w:pPr>
              <w:jc w:val="center"/>
              <w:rPr>
                <w:rFonts w:ascii="Arial" w:hAnsi="Arial" w:cs="Arial"/>
              </w:rPr>
            </w:pPr>
            <w:r>
              <w:rPr>
                <w:rFonts w:ascii="Arial" w:hAnsi="Arial" w:cs="Arial"/>
              </w:rPr>
              <w:t>5630</w:t>
            </w:r>
          </w:p>
        </w:tc>
        <w:tc>
          <w:tcPr>
            <w:tcW w:w="2845" w:type="dxa"/>
            <w:vAlign w:val="center"/>
          </w:tcPr>
          <w:p w14:paraId="1085A468" w14:textId="77777777" w:rsidR="00B2442D" w:rsidRDefault="008A645F">
            <w:pPr>
              <w:jc w:val="both"/>
              <w:rPr>
                <w:rFonts w:ascii="Arial" w:hAnsi="Arial" w:cs="Arial"/>
              </w:rPr>
            </w:pPr>
            <w:r>
              <w:rPr>
                <w:rFonts w:ascii="Arial" w:hAnsi="Arial" w:cs="Arial"/>
              </w:rPr>
              <w:t xml:space="preserve">Actividades de compra de cartera o </w:t>
            </w:r>
            <w:r>
              <w:rPr>
                <w:rFonts w:ascii="Arial" w:hAnsi="Arial" w:cs="Arial"/>
                <w:i/>
              </w:rPr>
              <w:t>factoring</w:t>
            </w:r>
          </w:p>
        </w:tc>
        <w:tc>
          <w:tcPr>
            <w:tcW w:w="1276" w:type="dxa"/>
            <w:vMerge/>
          </w:tcPr>
          <w:p w14:paraId="7200F35C" w14:textId="77777777" w:rsidR="00B2442D" w:rsidRDefault="00B2442D">
            <w:pPr>
              <w:rPr>
                <w:rFonts w:ascii="Arial" w:hAnsi="Arial" w:cs="Arial"/>
              </w:rPr>
            </w:pPr>
          </w:p>
        </w:tc>
        <w:tc>
          <w:tcPr>
            <w:tcW w:w="1276" w:type="dxa"/>
            <w:vMerge/>
          </w:tcPr>
          <w:p w14:paraId="2984F880" w14:textId="77777777" w:rsidR="00B2442D" w:rsidRDefault="00B2442D">
            <w:pPr>
              <w:rPr>
                <w:rFonts w:ascii="Arial" w:hAnsi="Arial" w:cs="Arial"/>
              </w:rPr>
            </w:pPr>
          </w:p>
        </w:tc>
      </w:tr>
      <w:tr w:rsidR="00B2442D" w14:paraId="56A579A6" w14:textId="77777777">
        <w:tc>
          <w:tcPr>
            <w:tcW w:w="2122" w:type="dxa"/>
            <w:vAlign w:val="center"/>
          </w:tcPr>
          <w:p w14:paraId="7F666993" w14:textId="77777777" w:rsidR="00B2442D" w:rsidRDefault="008A645F">
            <w:pPr>
              <w:jc w:val="center"/>
              <w:rPr>
                <w:rFonts w:ascii="Arial" w:hAnsi="Arial" w:cs="Arial"/>
                <w:b/>
                <w:bCs/>
              </w:rPr>
            </w:pPr>
            <w:r>
              <w:rPr>
                <w:rFonts w:ascii="Arial" w:hAnsi="Arial" w:cs="Arial"/>
                <w:b/>
                <w:bCs/>
              </w:rPr>
              <w:t>Servicios</w:t>
            </w:r>
            <w:r>
              <w:rPr>
                <w:rFonts w:ascii="Arial" w:hAnsi="Arial" w:cs="Arial"/>
                <w:b/>
                <w:bCs/>
              </w:rPr>
              <w:br/>
              <w:t>financieros</w:t>
            </w:r>
          </w:p>
        </w:tc>
        <w:tc>
          <w:tcPr>
            <w:tcW w:w="1417" w:type="dxa"/>
          </w:tcPr>
          <w:p w14:paraId="16ED1754" w14:textId="77777777" w:rsidR="00B2442D" w:rsidRDefault="008A645F">
            <w:pPr>
              <w:jc w:val="center"/>
              <w:rPr>
                <w:rFonts w:ascii="Arial" w:hAnsi="Arial" w:cs="Arial"/>
              </w:rPr>
            </w:pPr>
            <w:r>
              <w:rPr>
                <w:rFonts w:ascii="Arial" w:hAnsi="Arial" w:cs="Arial"/>
              </w:rPr>
              <w:t>6493</w:t>
            </w:r>
          </w:p>
        </w:tc>
        <w:tc>
          <w:tcPr>
            <w:tcW w:w="2845" w:type="dxa"/>
          </w:tcPr>
          <w:p w14:paraId="20A4ACC9" w14:textId="77777777" w:rsidR="00B2442D" w:rsidRDefault="008A645F">
            <w:pPr>
              <w:jc w:val="both"/>
              <w:rPr>
                <w:rFonts w:ascii="Arial" w:hAnsi="Arial" w:cs="Arial"/>
              </w:rPr>
            </w:pPr>
            <w:r>
              <w:rPr>
                <w:rFonts w:ascii="Arial" w:hAnsi="Arial" w:cs="Arial"/>
              </w:rPr>
              <w:t>Corretaje de valores y de contratos de productos básicos</w:t>
            </w:r>
          </w:p>
        </w:tc>
        <w:tc>
          <w:tcPr>
            <w:tcW w:w="1276" w:type="dxa"/>
            <w:vMerge w:val="restart"/>
            <w:vAlign w:val="center"/>
          </w:tcPr>
          <w:p w14:paraId="6885687E" w14:textId="77777777" w:rsidR="00B2442D" w:rsidRDefault="008A645F">
            <w:pPr>
              <w:jc w:val="center"/>
              <w:rPr>
                <w:rFonts w:ascii="Arial" w:hAnsi="Arial" w:cs="Arial"/>
              </w:rPr>
            </w:pPr>
            <w:r>
              <w:rPr>
                <w:rFonts w:ascii="Arial" w:hAnsi="Arial" w:cs="Arial"/>
              </w:rPr>
              <w:t>1.844</w:t>
            </w:r>
            <w:r>
              <w:rPr>
                <w:rFonts w:ascii="Arial" w:hAnsi="Arial" w:cs="Arial"/>
              </w:rPr>
              <w:br/>
              <w:t>WT</w:t>
            </w:r>
          </w:p>
        </w:tc>
        <w:tc>
          <w:tcPr>
            <w:tcW w:w="1276" w:type="dxa"/>
            <w:vMerge w:val="restart"/>
            <w:vAlign w:val="center"/>
          </w:tcPr>
          <w:p w14:paraId="6106A2EE" w14:textId="77777777" w:rsidR="00B2442D" w:rsidRDefault="008A645F">
            <w:pPr>
              <w:jc w:val="center"/>
              <w:rPr>
                <w:rFonts w:ascii="Arial" w:hAnsi="Arial" w:cs="Arial"/>
              </w:rPr>
            </w:pPr>
            <w:r>
              <w:rPr>
                <w:rFonts w:ascii="Arial" w:hAnsi="Arial" w:cs="Arial"/>
              </w:rPr>
              <w:t>6,4% *(RGA en</w:t>
            </w:r>
            <w:r>
              <w:rPr>
                <w:rFonts w:ascii="Arial" w:hAnsi="Arial" w:cs="Arial"/>
              </w:rPr>
              <w:br/>
            </w:r>
            <w:r>
              <w:rPr>
                <w:rFonts w:ascii="Arial" w:hAnsi="Arial" w:cs="Arial"/>
              </w:rPr>
              <w:t>UVT-1.844)</w:t>
            </w:r>
          </w:p>
        </w:tc>
      </w:tr>
      <w:tr w:rsidR="00B2442D" w14:paraId="552EC625" w14:textId="77777777">
        <w:tc>
          <w:tcPr>
            <w:tcW w:w="2122" w:type="dxa"/>
            <w:vAlign w:val="center"/>
          </w:tcPr>
          <w:p w14:paraId="2538B271" w14:textId="77777777" w:rsidR="00B2442D" w:rsidRDefault="00B2442D">
            <w:pPr>
              <w:rPr>
                <w:rFonts w:ascii="Arial" w:hAnsi="Arial" w:cs="Arial"/>
              </w:rPr>
            </w:pPr>
          </w:p>
        </w:tc>
        <w:tc>
          <w:tcPr>
            <w:tcW w:w="1417" w:type="dxa"/>
            <w:vAlign w:val="center"/>
          </w:tcPr>
          <w:p w14:paraId="0B226A6D" w14:textId="77777777" w:rsidR="00B2442D" w:rsidRDefault="008A645F">
            <w:pPr>
              <w:jc w:val="center"/>
              <w:rPr>
                <w:rFonts w:ascii="Arial" w:hAnsi="Arial" w:cs="Arial"/>
              </w:rPr>
            </w:pPr>
            <w:r>
              <w:rPr>
                <w:rFonts w:ascii="Arial" w:hAnsi="Arial" w:cs="Arial"/>
              </w:rPr>
              <w:t>6612</w:t>
            </w:r>
          </w:p>
        </w:tc>
        <w:tc>
          <w:tcPr>
            <w:tcW w:w="2845" w:type="dxa"/>
            <w:vAlign w:val="center"/>
          </w:tcPr>
          <w:p w14:paraId="4259951D" w14:textId="77777777" w:rsidR="00B2442D" w:rsidRDefault="008A645F">
            <w:pPr>
              <w:jc w:val="both"/>
              <w:rPr>
                <w:rFonts w:ascii="Arial" w:hAnsi="Arial" w:cs="Arial"/>
              </w:rPr>
            </w:pPr>
            <w:r>
              <w:rPr>
                <w:rFonts w:ascii="Arial" w:hAnsi="Arial" w:cs="Arial"/>
              </w:rPr>
              <w:t>Actividades de agentes y corredores de seguros</w:t>
            </w:r>
          </w:p>
        </w:tc>
        <w:tc>
          <w:tcPr>
            <w:tcW w:w="1276" w:type="dxa"/>
            <w:vMerge/>
          </w:tcPr>
          <w:p w14:paraId="01BA5840" w14:textId="77777777" w:rsidR="00B2442D" w:rsidRDefault="00B2442D">
            <w:pPr>
              <w:rPr>
                <w:rFonts w:ascii="Arial" w:hAnsi="Arial" w:cs="Arial"/>
              </w:rPr>
            </w:pPr>
          </w:p>
        </w:tc>
        <w:tc>
          <w:tcPr>
            <w:tcW w:w="1276" w:type="dxa"/>
            <w:vMerge/>
          </w:tcPr>
          <w:p w14:paraId="64D83324" w14:textId="77777777" w:rsidR="00B2442D" w:rsidRDefault="00B2442D">
            <w:pPr>
              <w:rPr>
                <w:rFonts w:ascii="Arial" w:hAnsi="Arial" w:cs="Arial"/>
              </w:rPr>
            </w:pPr>
          </w:p>
        </w:tc>
      </w:tr>
      <w:tr w:rsidR="00B2442D" w14:paraId="5C7CD8E1" w14:textId="77777777">
        <w:tc>
          <w:tcPr>
            <w:tcW w:w="2122" w:type="dxa"/>
            <w:vAlign w:val="center"/>
          </w:tcPr>
          <w:p w14:paraId="7E7450A8" w14:textId="77777777" w:rsidR="00B2442D" w:rsidRDefault="00B2442D">
            <w:pPr>
              <w:rPr>
                <w:rFonts w:ascii="Arial" w:hAnsi="Arial" w:cs="Arial"/>
              </w:rPr>
            </w:pPr>
          </w:p>
        </w:tc>
        <w:tc>
          <w:tcPr>
            <w:tcW w:w="1417" w:type="dxa"/>
            <w:vAlign w:val="center"/>
          </w:tcPr>
          <w:p w14:paraId="4F47275B" w14:textId="77777777" w:rsidR="00B2442D" w:rsidRDefault="008A645F">
            <w:pPr>
              <w:jc w:val="center"/>
              <w:rPr>
                <w:rFonts w:ascii="Arial" w:hAnsi="Arial" w:cs="Arial"/>
              </w:rPr>
            </w:pPr>
            <w:r>
              <w:rPr>
                <w:rFonts w:ascii="Arial" w:hAnsi="Arial" w:cs="Arial"/>
              </w:rPr>
              <w:t>6621</w:t>
            </w:r>
          </w:p>
        </w:tc>
        <w:tc>
          <w:tcPr>
            <w:tcW w:w="2845" w:type="dxa"/>
          </w:tcPr>
          <w:p w14:paraId="77BD9E4E" w14:textId="77777777" w:rsidR="00B2442D" w:rsidRDefault="008A645F">
            <w:pPr>
              <w:jc w:val="both"/>
              <w:rPr>
                <w:rFonts w:ascii="Arial" w:hAnsi="Arial" w:cs="Arial"/>
              </w:rPr>
            </w:pPr>
            <w:r>
              <w:rPr>
                <w:rFonts w:ascii="Arial" w:hAnsi="Arial" w:cs="Arial"/>
              </w:rPr>
              <w:t>Evaluación de riesgos y daños, y otras actividades de servicios auxiliares</w:t>
            </w:r>
          </w:p>
        </w:tc>
        <w:tc>
          <w:tcPr>
            <w:tcW w:w="1276" w:type="dxa"/>
            <w:vMerge/>
          </w:tcPr>
          <w:p w14:paraId="406F04C8" w14:textId="77777777" w:rsidR="00B2442D" w:rsidRDefault="00B2442D">
            <w:pPr>
              <w:rPr>
                <w:rFonts w:ascii="Arial" w:hAnsi="Arial" w:cs="Arial"/>
              </w:rPr>
            </w:pPr>
          </w:p>
        </w:tc>
        <w:tc>
          <w:tcPr>
            <w:tcW w:w="1276" w:type="dxa"/>
            <w:vMerge/>
          </w:tcPr>
          <w:p w14:paraId="7E173C9A" w14:textId="77777777" w:rsidR="00B2442D" w:rsidRDefault="00B2442D">
            <w:pPr>
              <w:rPr>
                <w:rFonts w:ascii="Arial" w:hAnsi="Arial" w:cs="Arial"/>
              </w:rPr>
            </w:pPr>
          </w:p>
        </w:tc>
      </w:tr>
      <w:tr w:rsidR="00B2442D" w14:paraId="53D182C9" w14:textId="77777777">
        <w:tc>
          <w:tcPr>
            <w:tcW w:w="2122" w:type="dxa"/>
            <w:vAlign w:val="center"/>
          </w:tcPr>
          <w:p w14:paraId="3C99102C" w14:textId="77777777" w:rsidR="00B2442D" w:rsidRDefault="00B2442D">
            <w:pPr>
              <w:rPr>
                <w:rFonts w:ascii="Arial" w:hAnsi="Arial" w:cs="Arial"/>
              </w:rPr>
            </w:pPr>
          </w:p>
        </w:tc>
        <w:tc>
          <w:tcPr>
            <w:tcW w:w="1417" w:type="dxa"/>
            <w:vAlign w:val="center"/>
          </w:tcPr>
          <w:p w14:paraId="570E390E" w14:textId="77777777" w:rsidR="00B2442D" w:rsidRDefault="008A645F">
            <w:pPr>
              <w:jc w:val="center"/>
              <w:rPr>
                <w:rFonts w:ascii="Arial" w:hAnsi="Arial" w:cs="Arial"/>
              </w:rPr>
            </w:pPr>
            <w:r>
              <w:rPr>
                <w:rFonts w:ascii="Arial" w:hAnsi="Arial" w:cs="Arial"/>
              </w:rPr>
              <w:t>6629</w:t>
            </w:r>
          </w:p>
        </w:tc>
        <w:tc>
          <w:tcPr>
            <w:tcW w:w="2845" w:type="dxa"/>
          </w:tcPr>
          <w:p w14:paraId="57AFBC74" w14:textId="77777777" w:rsidR="00B2442D" w:rsidRDefault="00B2442D">
            <w:pPr>
              <w:jc w:val="both"/>
              <w:rPr>
                <w:rFonts w:ascii="Arial" w:hAnsi="Arial" w:cs="Arial"/>
              </w:rPr>
            </w:pPr>
          </w:p>
        </w:tc>
        <w:tc>
          <w:tcPr>
            <w:tcW w:w="1276" w:type="dxa"/>
            <w:vMerge/>
          </w:tcPr>
          <w:p w14:paraId="0BDD9D56" w14:textId="77777777" w:rsidR="00B2442D" w:rsidRDefault="00B2442D">
            <w:pPr>
              <w:rPr>
                <w:rFonts w:ascii="Arial" w:hAnsi="Arial" w:cs="Arial"/>
              </w:rPr>
            </w:pPr>
          </w:p>
        </w:tc>
        <w:tc>
          <w:tcPr>
            <w:tcW w:w="1276" w:type="dxa"/>
            <w:vMerge/>
          </w:tcPr>
          <w:p w14:paraId="4FE9B4FF" w14:textId="77777777" w:rsidR="00B2442D" w:rsidRDefault="00B2442D">
            <w:pPr>
              <w:rPr>
                <w:rFonts w:ascii="Arial" w:hAnsi="Arial" w:cs="Arial"/>
              </w:rPr>
            </w:pPr>
          </w:p>
        </w:tc>
      </w:tr>
    </w:tbl>
    <w:p w14:paraId="2793454B" w14:textId="77777777" w:rsidR="00B2442D" w:rsidRDefault="00B2442D">
      <w:pPr>
        <w:jc w:val="center"/>
        <w:rPr>
          <w:rFonts w:ascii="Arial" w:hAnsi="Arial" w:cs="Arial"/>
        </w:rPr>
      </w:pPr>
    </w:p>
    <w:p w14:paraId="57D613C7" w14:textId="77777777" w:rsidR="00B2442D" w:rsidRDefault="008A645F">
      <w:pPr>
        <w:rPr>
          <w:rFonts w:ascii="Arial" w:hAnsi="Arial" w:cs="Arial"/>
          <w:i/>
        </w:rPr>
      </w:pPr>
      <w:r>
        <w:rPr>
          <w:rFonts w:ascii="Arial" w:hAnsi="Arial" w:cs="Arial"/>
          <w:i/>
        </w:rPr>
        <w:t>(Art. 1, Decreto 1473 de 2014)</w:t>
      </w:r>
    </w:p>
    <w:p w14:paraId="4AC1A8B6" w14:textId="77777777" w:rsidR="00B2442D" w:rsidRDefault="00B2442D">
      <w:pPr>
        <w:jc w:val="both"/>
        <w:rPr>
          <w:rFonts w:ascii="Arial" w:hAnsi="Arial" w:cs="Arial"/>
          <w:lang w:val="es-CO"/>
        </w:rPr>
      </w:pPr>
    </w:p>
    <w:p w14:paraId="02722BC8" w14:textId="77777777" w:rsidR="00B2442D" w:rsidRDefault="008A645F">
      <w:pPr>
        <w:pStyle w:val="Ttulo4"/>
        <w:rPr>
          <w:lang w:val="es-CO"/>
        </w:rPr>
      </w:pPr>
      <w:r>
        <w:rPr>
          <w:lang w:val="es-CO"/>
        </w:rPr>
        <w:t>CAPÍTULO 21</w:t>
      </w:r>
    </w:p>
    <w:p w14:paraId="71064D14" w14:textId="77777777" w:rsidR="00B2442D" w:rsidRDefault="008A645F">
      <w:pPr>
        <w:pStyle w:val="Ttulo4"/>
        <w:rPr>
          <w:lang w:val="es-CO"/>
        </w:rPr>
      </w:pPr>
      <w:r>
        <w:rPr>
          <w:lang w:val="es-CO"/>
        </w:rPr>
        <w:t>Rentas líquidas</w:t>
      </w:r>
    </w:p>
    <w:p w14:paraId="19C7E5AA" w14:textId="77777777" w:rsidR="00B2442D" w:rsidRDefault="00B2442D">
      <w:pPr>
        <w:rPr>
          <w:rFonts w:ascii="Arial" w:hAnsi="Arial" w:cs="Arial"/>
          <w:lang w:val="es-CO"/>
        </w:rPr>
      </w:pPr>
    </w:p>
    <w:p w14:paraId="24C27CCE" w14:textId="77777777" w:rsidR="00B2442D" w:rsidRDefault="008A645F">
      <w:pPr>
        <w:pStyle w:val="Prrafodelista"/>
        <w:numPr>
          <w:ilvl w:val="0"/>
          <w:numId w:val="36"/>
        </w:numPr>
        <w:ind w:left="0" w:firstLine="0"/>
        <w:jc w:val="both"/>
        <w:rPr>
          <w:rFonts w:ascii="Arial" w:hAnsi="Arial" w:cs="Arial"/>
          <w:lang w:val="es-CO"/>
        </w:rPr>
      </w:pPr>
      <w:r>
        <w:rPr>
          <w:rFonts w:ascii="Arial" w:hAnsi="Arial" w:cs="Arial"/>
          <w:b/>
          <w:i/>
          <w:lang w:val="es-CO"/>
        </w:rPr>
        <w:t xml:space="preserve">Opciones para la determinación de la renta líquida en los contratos de servicios autónomos. </w:t>
      </w:r>
      <w:r>
        <w:rPr>
          <w:rFonts w:ascii="Arial" w:hAnsi="Arial" w:cs="Arial"/>
          <w:lang w:val="es-CO"/>
        </w:rPr>
        <w:t>En los contratos de servicios autónomos, cuando el pago de los servicios se haga por cuotas y estas correspondan a más de un (1) año o período gravable, en la deter</w:t>
      </w:r>
      <w:r>
        <w:rPr>
          <w:rFonts w:ascii="Arial" w:hAnsi="Arial" w:cs="Arial"/>
          <w:lang w:val="es-CO"/>
        </w:rPr>
        <w:t xml:space="preserve">minación de su renta líquida el contribuyente deberá optar por uno de los siguientes sistemas: </w:t>
      </w:r>
    </w:p>
    <w:p w14:paraId="543AC0B4" w14:textId="77777777" w:rsidR="00B2442D" w:rsidRDefault="00B2442D">
      <w:pPr>
        <w:jc w:val="both"/>
        <w:rPr>
          <w:rFonts w:ascii="Arial" w:hAnsi="Arial" w:cs="Arial"/>
          <w:lang w:val="es-CO"/>
        </w:rPr>
      </w:pPr>
    </w:p>
    <w:p w14:paraId="6CFF995F" w14:textId="77777777" w:rsidR="00B2442D" w:rsidRDefault="008A645F">
      <w:pPr>
        <w:jc w:val="both"/>
        <w:rPr>
          <w:rFonts w:ascii="Arial" w:hAnsi="Arial" w:cs="Arial"/>
          <w:lang w:val="es-CO"/>
        </w:rPr>
      </w:pPr>
      <w:r>
        <w:rPr>
          <w:rFonts w:ascii="Arial" w:hAnsi="Arial" w:cs="Arial"/>
          <w:lang w:val="es-CO"/>
        </w:rPr>
        <w:t>1. Elaborar al comienzo de la ejecución del contrato un presupuesto de ingresos, costos y deducciones totales del contrato y atribuir en cada año o periodo gra</w:t>
      </w:r>
      <w:r>
        <w:rPr>
          <w:rFonts w:ascii="Arial" w:hAnsi="Arial" w:cs="Arial"/>
          <w:lang w:val="es-CO"/>
        </w:rPr>
        <w:t>vable, la parte proporcional de los ingresos del contrato que correspondan a los costos y deducciones efectivamente realizados durante el año. La diferencia entre la parte del ingreso así calculada y los costos y deducciones efectivamente realizados consti</w:t>
      </w:r>
      <w:r>
        <w:rPr>
          <w:rFonts w:ascii="Arial" w:hAnsi="Arial" w:cs="Arial"/>
          <w:lang w:val="es-CO"/>
        </w:rPr>
        <w:t xml:space="preserve">tuye la renta líquida del respectivo año o periodo gravable. Al terminar la ejecución del contrato deben hacerse los ajustes que fueren necesarios. </w:t>
      </w:r>
    </w:p>
    <w:p w14:paraId="24ABC581" w14:textId="77777777" w:rsidR="00B2442D" w:rsidRDefault="00B2442D">
      <w:pPr>
        <w:jc w:val="both"/>
        <w:rPr>
          <w:rFonts w:ascii="Arial" w:hAnsi="Arial" w:cs="Arial"/>
          <w:lang w:val="es-CO"/>
        </w:rPr>
      </w:pPr>
    </w:p>
    <w:p w14:paraId="6CC4A03B" w14:textId="77777777" w:rsidR="00B2442D" w:rsidRDefault="008A645F">
      <w:pPr>
        <w:jc w:val="both"/>
        <w:rPr>
          <w:rFonts w:ascii="Arial" w:hAnsi="Arial" w:cs="Arial"/>
          <w:lang w:val="es-CO"/>
        </w:rPr>
      </w:pPr>
      <w:r>
        <w:rPr>
          <w:rFonts w:ascii="Arial" w:hAnsi="Arial" w:cs="Arial"/>
          <w:lang w:val="es-CO"/>
        </w:rPr>
        <w:t>Los contribuyentes que se acojan a esta opción deberán ajustar anualmente el presupuesto para las siguient</w:t>
      </w:r>
      <w:r>
        <w:rPr>
          <w:rFonts w:ascii="Arial" w:hAnsi="Arial" w:cs="Arial"/>
          <w:lang w:val="es-CO"/>
        </w:rPr>
        <w:t>es vigencias.</w:t>
      </w:r>
    </w:p>
    <w:p w14:paraId="4E43E461" w14:textId="77777777" w:rsidR="00B2442D" w:rsidRDefault="00B2442D">
      <w:pPr>
        <w:jc w:val="both"/>
        <w:rPr>
          <w:rFonts w:ascii="Arial" w:hAnsi="Arial" w:cs="Arial"/>
          <w:lang w:val="es-CO"/>
        </w:rPr>
      </w:pPr>
    </w:p>
    <w:p w14:paraId="1D9D3B47" w14:textId="77777777" w:rsidR="00B2442D" w:rsidRDefault="008A645F">
      <w:pPr>
        <w:jc w:val="both"/>
        <w:rPr>
          <w:rFonts w:ascii="Arial" w:hAnsi="Arial" w:cs="Arial"/>
          <w:lang w:val="es-CO"/>
        </w:rPr>
      </w:pPr>
      <w:r>
        <w:rPr>
          <w:rFonts w:ascii="Arial" w:hAnsi="Arial" w:cs="Arial"/>
          <w:lang w:val="es-CO"/>
        </w:rPr>
        <w:t>Para los efectos de este numeral, los contribuyentes deberán elaborar al comienzo de la ejecución del contrato un presupuesto de ingresos, costos y deducciones totales del contrato, el cual deberá estar suscrito por arquitecto, ingeniero u o</w:t>
      </w:r>
      <w:r>
        <w:rPr>
          <w:rFonts w:ascii="Arial" w:hAnsi="Arial" w:cs="Arial"/>
          <w:lang w:val="es-CO"/>
        </w:rPr>
        <w:t xml:space="preserve">tro profesional especializado en la materia con licencia para ejercer.  </w:t>
      </w:r>
    </w:p>
    <w:p w14:paraId="33F7C4B2" w14:textId="77777777" w:rsidR="00B2442D" w:rsidRDefault="00B2442D">
      <w:pPr>
        <w:jc w:val="both"/>
        <w:rPr>
          <w:rFonts w:ascii="Arial" w:hAnsi="Arial" w:cs="Arial"/>
          <w:lang w:val="es-CO"/>
        </w:rPr>
      </w:pPr>
    </w:p>
    <w:p w14:paraId="4341B974" w14:textId="77777777" w:rsidR="00B2442D" w:rsidRDefault="008A645F">
      <w:pPr>
        <w:jc w:val="both"/>
        <w:rPr>
          <w:rFonts w:ascii="Arial" w:hAnsi="Arial" w:cs="Arial"/>
          <w:lang w:val="es-CO"/>
        </w:rPr>
      </w:pPr>
      <w:r>
        <w:rPr>
          <w:rFonts w:ascii="Arial" w:hAnsi="Arial" w:cs="Arial"/>
          <w:lang w:val="es-CO"/>
        </w:rPr>
        <w:t xml:space="preserve">Con base en el precio total del contrato y el presupuesto de costos y gastos se estimará su utilidad bruta potencial. Al final de cada periodo se determinará el porcentaje de avance </w:t>
      </w:r>
      <w:r>
        <w:rPr>
          <w:rFonts w:ascii="Arial" w:hAnsi="Arial" w:cs="Arial"/>
          <w:lang w:val="es-CO"/>
        </w:rPr>
        <w:t>de obra, comparando los costos y gastos incurridos en el desarrollo del respectivo contrato, con los costos totales estimados para la ejecución del mismo. El porcentaje que representen los costos y gastos, de cada contrato en que se haya incurrido hasta el</w:t>
      </w:r>
      <w:r>
        <w:rPr>
          <w:rFonts w:ascii="Arial" w:hAnsi="Arial" w:cs="Arial"/>
          <w:lang w:val="es-CO"/>
        </w:rPr>
        <w:t xml:space="preserve"> final del ejercicio fiscal frente a los costos totales estimados se aplica a la utilidad potencial calculada. A este resultado se le resta la utilidad declarada en periodos anteriores en relación con el mismo contrato, para obtener así la utilidad del res</w:t>
      </w:r>
      <w:r>
        <w:rPr>
          <w:rFonts w:ascii="Arial" w:hAnsi="Arial" w:cs="Arial"/>
          <w:lang w:val="es-CO"/>
        </w:rPr>
        <w:t xml:space="preserve">pectivo periodo fiscal. </w:t>
      </w:r>
    </w:p>
    <w:p w14:paraId="4B747A58" w14:textId="77777777" w:rsidR="00B2442D" w:rsidRDefault="008A645F">
      <w:pPr>
        <w:jc w:val="both"/>
        <w:rPr>
          <w:rFonts w:ascii="Arial" w:hAnsi="Arial" w:cs="Arial"/>
          <w:lang w:val="es-CO"/>
        </w:rPr>
      </w:pPr>
      <w:r>
        <w:rPr>
          <w:rFonts w:ascii="Arial" w:hAnsi="Arial" w:cs="Arial"/>
          <w:lang w:val="es-CO"/>
        </w:rPr>
        <w:t xml:space="preserve"> </w:t>
      </w:r>
    </w:p>
    <w:p w14:paraId="4E866EB0" w14:textId="77777777" w:rsidR="00B2442D" w:rsidRDefault="008A645F">
      <w:pPr>
        <w:jc w:val="both"/>
        <w:rPr>
          <w:rFonts w:ascii="Arial" w:hAnsi="Arial" w:cs="Arial"/>
          <w:lang w:val="es-CO"/>
        </w:rPr>
      </w:pPr>
      <w:r>
        <w:rPr>
          <w:rFonts w:ascii="Arial" w:hAnsi="Arial" w:cs="Arial"/>
          <w:lang w:val="es-CO"/>
        </w:rPr>
        <w:t xml:space="preserve">Si el resultado atribuible al periodo fiscal, es negativo, se tratará como pérdida fiscal deducible de otros ingresos del mismo periodo, o como pérdida acumulable para amortizar en el futuro, según corresponda. </w:t>
      </w:r>
    </w:p>
    <w:p w14:paraId="16514549" w14:textId="77777777" w:rsidR="00B2442D" w:rsidRDefault="00B2442D">
      <w:pPr>
        <w:jc w:val="both"/>
        <w:rPr>
          <w:rFonts w:ascii="Arial" w:hAnsi="Arial" w:cs="Arial"/>
          <w:lang w:val="es-CO"/>
        </w:rPr>
      </w:pPr>
    </w:p>
    <w:p w14:paraId="46DBB1D9" w14:textId="77777777" w:rsidR="00B2442D" w:rsidRDefault="008A645F">
      <w:pPr>
        <w:jc w:val="both"/>
        <w:rPr>
          <w:rFonts w:ascii="Arial" w:hAnsi="Arial" w:cs="Arial"/>
          <w:lang w:val="es-CO"/>
        </w:rPr>
      </w:pPr>
      <w:r>
        <w:rPr>
          <w:rFonts w:ascii="Arial" w:hAnsi="Arial" w:cs="Arial"/>
          <w:lang w:val="es-CO"/>
        </w:rPr>
        <w:t>Para los años si</w:t>
      </w:r>
      <w:r>
        <w:rPr>
          <w:rFonts w:ascii="Arial" w:hAnsi="Arial" w:cs="Arial"/>
          <w:lang w:val="es-CO"/>
        </w:rPr>
        <w:t xml:space="preserve">guientes al inicial, la renta líquida se calculará con base en el presupuesto ajustado. </w:t>
      </w:r>
    </w:p>
    <w:p w14:paraId="7542B1BD" w14:textId="77777777" w:rsidR="00B2442D" w:rsidRDefault="00B2442D">
      <w:pPr>
        <w:jc w:val="both"/>
        <w:rPr>
          <w:rFonts w:ascii="Arial" w:hAnsi="Arial" w:cs="Arial"/>
          <w:lang w:val="es-CO"/>
        </w:rPr>
      </w:pPr>
    </w:p>
    <w:p w14:paraId="1AA98CAF" w14:textId="77777777" w:rsidR="00B2442D" w:rsidRDefault="008A645F">
      <w:pPr>
        <w:jc w:val="both"/>
        <w:rPr>
          <w:rFonts w:ascii="Arial" w:hAnsi="Arial" w:cs="Arial"/>
          <w:lang w:val="es-CO"/>
        </w:rPr>
      </w:pPr>
      <w:r>
        <w:rPr>
          <w:rFonts w:ascii="Arial" w:hAnsi="Arial" w:cs="Arial"/>
          <w:lang w:val="es-CO"/>
        </w:rPr>
        <w:t xml:space="preserve">2. Diferir los costos y deducciones efectivamente incurridos, hasta la realización de los ingresos a los que proporcionalmente correspondan. Los anticipos y créditos </w:t>
      </w:r>
      <w:r>
        <w:rPr>
          <w:rFonts w:ascii="Arial" w:hAnsi="Arial" w:cs="Arial"/>
          <w:lang w:val="es-CO"/>
        </w:rPr>
        <w:t>recibidos por el contribuyente, se irán realizando como ingresos a medida que se ejecute el contrato. En los contratos de obra pública que se rigen por el Decreto 222 de 1983, se entiende por realización de los ingresos, el pago que se haga de las respecti</w:t>
      </w:r>
      <w:r>
        <w:rPr>
          <w:rFonts w:ascii="Arial" w:hAnsi="Arial" w:cs="Arial"/>
          <w:lang w:val="es-CO"/>
        </w:rPr>
        <w:t>vas actas de entrega.</w:t>
      </w:r>
    </w:p>
    <w:p w14:paraId="7586D423" w14:textId="77777777" w:rsidR="00B2442D" w:rsidRDefault="00B2442D">
      <w:pPr>
        <w:jc w:val="both"/>
        <w:rPr>
          <w:rFonts w:ascii="Arial" w:hAnsi="Arial" w:cs="Arial"/>
          <w:i/>
          <w:lang w:val="es-CO"/>
        </w:rPr>
      </w:pPr>
    </w:p>
    <w:p w14:paraId="50853641" w14:textId="77777777" w:rsidR="00B2442D" w:rsidRDefault="008A645F">
      <w:pPr>
        <w:jc w:val="both"/>
        <w:rPr>
          <w:rFonts w:ascii="Arial" w:hAnsi="Arial" w:cs="Arial"/>
          <w:i/>
          <w:lang w:val="es-CO"/>
        </w:rPr>
      </w:pPr>
      <w:r>
        <w:rPr>
          <w:rFonts w:ascii="Arial" w:hAnsi="Arial" w:cs="Arial"/>
          <w:i/>
          <w:lang w:val="es-CO"/>
        </w:rPr>
        <w:t>(Art. 37, Decreto 0836 de 1991)</w:t>
      </w:r>
    </w:p>
    <w:p w14:paraId="217F390D" w14:textId="77777777" w:rsidR="00B2442D" w:rsidRDefault="00B2442D">
      <w:pPr>
        <w:jc w:val="both"/>
        <w:rPr>
          <w:rFonts w:ascii="Arial" w:hAnsi="Arial" w:cs="Arial"/>
          <w:lang w:val="es-CO"/>
        </w:rPr>
      </w:pPr>
    </w:p>
    <w:p w14:paraId="28BC6E9B" w14:textId="77777777" w:rsidR="00B2442D" w:rsidRDefault="008A645F">
      <w:pPr>
        <w:pStyle w:val="Prrafodelista"/>
        <w:numPr>
          <w:ilvl w:val="0"/>
          <w:numId w:val="36"/>
        </w:numPr>
        <w:ind w:left="0" w:firstLine="0"/>
        <w:jc w:val="both"/>
        <w:rPr>
          <w:rFonts w:ascii="Arial" w:hAnsi="Arial" w:cs="Arial"/>
          <w:lang w:val="es-CO"/>
        </w:rPr>
      </w:pPr>
      <w:r>
        <w:rPr>
          <w:rFonts w:ascii="Arial" w:hAnsi="Arial" w:cs="Arial"/>
          <w:b/>
          <w:i/>
          <w:lang w:val="es-CO"/>
        </w:rPr>
        <w:t>Recuperación de deducciones por deudas manifiestamente perdidas o sin valor.</w:t>
      </w:r>
      <w:r>
        <w:rPr>
          <w:rFonts w:ascii="Arial" w:hAnsi="Arial" w:cs="Arial"/>
          <w:lang w:val="es-CO"/>
        </w:rPr>
        <w:t xml:space="preserve"> La recuperación total o parcial de la deuda cuya deducción se hubiere obtenido por considerarla manifiestamente perdida o s</w:t>
      </w:r>
      <w:r>
        <w:rPr>
          <w:rFonts w:ascii="Arial" w:hAnsi="Arial" w:cs="Arial"/>
          <w:lang w:val="es-CO"/>
        </w:rPr>
        <w:t>in valor constituye renta líquida en el año en que se produzca.</w:t>
      </w:r>
    </w:p>
    <w:p w14:paraId="5FEC03B4" w14:textId="77777777" w:rsidR="00B2442D" w:rsidRDefault="00B2442D">
      <w:pPr>
        <w:jc w:val="both"/>
        <w:rPr>
          <w:rFonts w:ascii="Arial" w:hAnsi="Arial" w:cs="Arial"/>
          <w:i/>
          <w:lang w:val="es-CO"/>
        </w:rPr>
      </w:pPr>
    </w:p>
    <w:p w14:paraId="7C56F098" w14:textId="77777777" w:rsidR="00B2442D" w:rsidRDefault="008A645F">
      <w:pPr>
        <w:jc w:val="both"/>
        <w:rPr>
          <w:rFonts w:ascii="Arial" w:hAnsi="Arial" w:cs="Arial"/>
          <w:i/>
          <w:lang w:val="es-CO"/>
        </w:rPr>
      </w:pPr>
      <w:r>
        <w:rPr>
          <w:rFonts w:ascii="Arial" w:hAnsi="Arial" w:cs="Arial"/>
          <w:i/>
          <w:lang w:val="es-CO"/>
        </w:rPr>
        <w:t>(Art. 82, Decreto 187 de 1975) (Vigencia del Decreto 187 de 1975. El Decreto 187 de 1975 se aplicará a partir del ejercicio impositivo de 1974 salvo los casos expresamente exceptuados en el m</w:t>
      </w:r>
      <w:r>
        <w:rPr>
          <w:rFonts w:ascii="Arial" w:hAnsi="Arial" w:cs="Arial"/>
          <w:i/>
          <w:lang w:val="es-CO"/>
        </w:rPr>
        <w:t>ismo o en las normas sustantivas y procedimentales del impuesto sobre la renta y complementario. (Art. 117, Decreto 187 de 1975))</w:t>
      </w:r>
    </w:p>
    <w:p w14:paraId="2E59001D" w14:textId="77777777" w:rsidR="00B2442D" w:rsidRDefault="00B2442D">
      <w:pPr>
        <w:jc w:val="both"/>
        <w:rPr>
          <w:rFonts w:ascii="Arial" w:hAnsi="Arial" w:cs="Arial"/>
          <w:b/>
          <w:lang w:val="es-CO"/>
        </w:rPr>
      </w:pPr>
    </w:p>
    <w:p w14:paraId="27662CFB" w14:textId="77777777" w:rsidR="00B2442D" w:rsidRDefault="008A645F">
      <w:pPr>
        <w:pStyle w:val="Prrafodelista"/>
        <w:numPr>
          <w:ilvl w:val="0"/>
          <w:numId w:val="36"/>
        </w:numPr>
        <w:ind w:left="0" w:firstLine="0"/>
        <w:jc w:val="both"/>
        <w:rPr>
          <w:rFonts w:ascii="Arial" w:hAnsi="Arial" w:cs="Arial"/>
          <w:lang w:val="es-CO"/>
        </w:rPr>
      </w:pPr>
      <w:r>
        <w:rPr>
          <w:rFonts w:ascii="Arial" w:hAnsi="Arial" w:cs="Arial"/>
          <w:b/>
          <w:i/>
          <w:lang w:val="es-CO"/>
        </w:rPr>
        <w:t>Recuperación de deducciones.</w:t>
      </w:r>
      <w:r>
        <w:rPr>
          <w:rFonts w:ascii="Arial" w:hAnsi="Arial" w:cs="Arial"/>
          <w:lang w:val="es-CO"/>
        </w:rPr>
        <w:t xml:space="preserve"> De conformidad con lo establecido en el artículo 195 del Estatuto Tributario, constituye renta l</w:t>
      </w:r>
      <w:r>
        <w:rPr>
          <w:rFonts w:ascii="Arial" w:hAnsi="Arial" w:cs="Arial"/>
          <w:lang w:val="es-CO"/>
        </w:rPr>
        <w:t>íquida la recuperación de las cantidades concedidas en uno (1) o varios años o períodos gravables como deducción de la renta bruta, por concepto de provisión individual de cartera de créditos sobre la universalidad a partir de la cual se realiza la titular</w:t>
      </w:r>
      <w:r>
        <w:rPr>
          <w:rFonts w:ascii="Arial" w:hAnsi="Arial" w:cs="Arial"/>
          <w:lang w:val="es-CO"/>
        </w:rPr>
        <w:t>ización y por concepto de las deducciones a que se refiere el 1.2.1.18.26 de este Decreto.</w:t>
      </w:r>
    </w:p>
    <w:p w14:paraId="15D867DC" w14:textId="77777777" w:rsidR="00B2442D" w:rsidRDefault="00B2442D">
      <w:pPr>
        <w:jc w:val="both"/>
        <w:rPr>
          <w:rFonts w:ascii="Arial" w:hAnsi="Arial" w:cs="Arial"/>
          <w:lang w:val="es-CO"/>
        </w:rPr>
      </w:pPr>
    </w:p>
    <w:p w14:paraId="2A15321F" w14:textId="77777777" w:rsidR="00B2442D" w:rsidRDefault="008A645F">
      <w:pPr>
        <w:jc w:val="both"/>
        <w:rPr>
          <w:rFonts w:ascii="Arial" w:hAnsi="Arial" w:cs="Arial"/>
          <w:i/>
          <w:lang w:val="es-CO"/>
        </w:rPr>
      </w:pPr>
      <w:r>
        <w:rPr>
          <w:rFonts w:ascii="Arial" w:hAnsi="Arial" w:cs="Arial"/>
          <w:i/>
          <w:lang w:val="es-CO"/>
        </w:rPr>
        <w:t>(Art. 2, Decreto 2000 de 2004)</w:t>
      </w:r>
    </w:p>
    <w:p w14:paraId="0A30A8E1" w14:textId="77777777" w:rsidR="00B2442D" w:rsidRDefault="00B2442D">
      <w:pPr>
        <w:jc w:val="both"/>
        <w:rPr>
          <w:rFonts w:ascii="Arial" w:hAnsi="Arial" w:cs="Arial"/>
          <w:lang w:val="es-CO"/>
        </w:rPr>
      </w:pPr>
    </w:p>
    <w:p w14:paraId="07CB7C82" w14:textId="77777777" w:rsidR="00B2442D" w:rsidRDefault="008A645F">
      <w:pPr>
        <w:pStyle w:val="Ttulo4"/>
        <w:rPr>
          <w:lang w:val="es-CO"/>
        </w:rPr>
      </w:pPr>
      <w:r>
        <w:rPr>
          <w:lang w:val="es-CO"/>
        </w:rPr>
        <w:t>CAPÍTULO 22</w:t>
      </w:r>
    </w:p>
    <w:p w14:paraId="2474469E" w14:textId="77777777" w:rsidR="00B2442D" w:rsidRDefault="008A645F">
      <w:pPr>
        <w:pStyle w:val="Ttulo4"/>
        <w:rPr>
          <w:lang w:val="es-CO"/>
        </w:rPr>
      </w:pPr>
      <w:r>
        <w:rPr>
          <w:lang w:val="es-CO"/>
        </w:rPr>
        <w:t>Rentas exentas</w:t>
      </w:r>
    </w:p>
    <w:p w14:paraId="1BC5E881" w14:textId="77777777" w:rsidR="00B2442D" w:rsidRDefault="00B2442D">
      <w:pPr>
        <w:rPr>
          <w:rFonts w:ascii="Arial" w:hAnsi="Arial" w:cs="Arial"/>
          <w:lang w:val="es-CO"/>
        </w:rPr>
      </w:pPr>
    </w:p>
    <w:p w14:paraId="12754CD2"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Exención por gastos de representación para fiscales.</w:t>
      </w:r>
      <w:r>
        <w:rPr>
          <w:rFonts w:ascii="Arial" w:hAnsi="Arial" w:cs="Arial"/>
          <w:lang w:val="es-CO"/>
        </w:rPr>
        <w:t xml:space="preserve"> Conforme a lo previsto en el artículo 142 de la Constitución Política, los fiscales o quienes hagan sus veces ante los Despachos Judiciales, tendrán derecho a la exención por gastos de representación de que trata el numeral 7° del artículo 35 de la Ley 75</w:t>
      </w:r>
      <w:r>
        <w:rPr>
          <w:rFonts w:ascii="Arial" w:hAnsi="Arial" w:cs="Arial"/>
          <w:lang w:val="es-CO"/>
        </w:rPr>
        <w:t xml:space="preserve"> de 1986 (hoy numeral 7 del artículo 206 del Estatuto Tributario) en el mismo porcentaje aplicable a los jueces ante quienes ejercen sus funciones.</w:t>
      </w:r>
    </w:p>
    <w:p w14:paraId="3910D15B" w14:textId="77777777" w:rsidR="00B2442D" w:rsidRDefault="00B2442D">
      <w:pPr>
        <w:jc w:val="both"/>
        <w:rPr>
          <w:rFonts w:ascii="Arial" w:hAnsi="Arial" w:cs="Arial"/>
          <w:i/>
          <w:lang w:val="es-CO"/>
        </w:rPr>
      </w:pPr>
    </w:p>
    <w:p w14:paraId="553C6B52" w14:textId="77777777" w:rsidR="00B2442D" w:rsidRDefault="008A645F">
      <w:pPr>
        <w:jc w:val="both"/>
        <w:rPr>
          <w:rFonts w:ascii="Arial" w:hAnsi="Arial" w:cs="Arial"/>
          <w:i/>
          <w:lang w:val="es-CO"/>
        </w:rPr>
      </w:pPr>
      <w:r>
        <w:rPr>
          <w:rFonts w:ascii="Arial" w:hAnsi="Arial" w:cs="Arial"/>
          <w:i/>
          <w:lang w:val="es-CO"/>
        </w:rPr>
        <w:t>(Art. 13, Decreto 535 de 1987)</w:t>
      </w:r>
    </w:p>
    <w:p w14:paraId="09EE0BC6" w14:textId="77777777" w:rsidR="00B2442D" w:rsidRDefault="00B2442D">
      <w:pPr>
        <w:jc w:val="both"/>
        <w:rPr>
          <w:rFonts w:ascii="Arial" w:hAnsi="Arial" w:cs="Arial"/>
          <w:b/>
          <w:lang w:val="es-CO"/>
        </w:rPr>
      </w:pPr>
    </w:p>
    <w:p w14:paraId="0C465C63"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Exención de impuestos.</w:t>
      </w:r>
      <w:r>
        <w:rPr>
          <w:rFonts w:ascii="Arial" w:hAnsi="Arial" w:cs="Arial"/>
          <w:lang w:val="es-CO"/>
        </w:rPr>
        <w:t xml:space="preserve"> De conformidad con el artículo 135 de la Ley 100 de </w:t>
      </w:r>
      <w:r>
        <w:rPr>
          <w:rFonts w:ascii="Arial" w:hAnsi="Arial" w:cs="Arial"/>
          <w:lang w:val="es-CO"/>
        </w:rPr>
        <w:t>1993, gozarán de exención de impuestos, tasas y contribuciones del orden nacional, los recursos de los Fondos de Pensiones del Régimen de Ahorro Individual con Solidaridad, de los fondos de reparto del régimen de prima media con prestación definida, de los</w:t>
      </w:r>
      <w:r>
        <w:rPr>
          <w:rFonts w:ascii="Arial" w:hAnsi="Arial" w:cs="Arial"/>
          <w:lang w:val="es-CO"/>
        </w:rPr>
        <w:t xml:space="preserve"> fondos para el pago de los bonos y cuotas partes de bonos pensionales, del fondo de solidaridad pensional, de los fondos de pensiones de que trata el Decreto 2513 de 1987, y las reservas matemáticas de los seguros de pensiones de jubilación o vejez, inval</w:t>
      </w:r>
      <w:r>
        <w:rPr>
          <w:rFonts w:ascii="Arial" w:hAnsi="Arial" w:cs="Arial"/>
          <w:lang w:val="es-CO"/>
        </w:rPr>
        <w:t xml:space="preserve">idez y sobrevivientes, así como sus rendimientos. </w:t>
      </w:r>
    </w:p>
    <w:p w14:paraId="0252F0F3" w14:textId="77777777" w:rsidR="00B2442D" w:rsidRDefault="008A645F">
      <w:pPr>
        <w:jc w:val="both"/>
        <w:rPr>
          <w:rFonts w:ascii="Arial" w:hAnsi="Arial" w:cs="Arial"/>
          <w:lang w:val="es-CO"/>
        </w:rPr>
      </w:pPr>
      <w:r>
        <w:rPr>
          <w:rFonts w:ascii="Arial" w:hAnsi="Arial" w:cs="Arial"/>
          <w:lang w:val="es-CO"/>
        </w:rPr>
        <w:t xml:space="preserve"> </w:t>
      </w:r>
    </w:p>
    <w:p w14:paraId="42F2497B" w14:textId="77777777" w:rsidR="00B2442D" w:rsidRDefault="008A645F">
      <w:pPr>
        <w:jc w:val="both"/>
        <w:rPr>
          <w:rFonts w:ascii="Arial" w:hAnsi="Arial" w:cs="Arial"/>
          <w:lang w:val="es-CO"/>
        </w:rPr>
      </w:pPr>
      <w:r>
        <w:rPr>
          <w:rFonts w:ascii="Arial" w:hAnsi="Arial" w:cs="Arial"/>
          <w:lang w:val="es-CO"/>
        </w:rPr>
        <w:t>Para que no se efectúe retención en la fuente sobre los pagos generados por las inversiones de los recursos y reservas a que se refiere el inciso anterior, las sociedades fiduciarias, las administradoras</w:t>
      </w:r>
      <w:r>
        <w:rPr>
          <w:rFonts w:ascii="Arial" w:hAnsi="Arial" w:cs="Arial"/>
          <w:lang w:val="es-CO"/>
        </w:rPr>
        <w:t xml:space="preserve"> del Régimen de Prima Media con Prestación Definida, las sociedades administradoras de fondos de pensiones y cesantías, las sociedades administradoras de fondos de pensiones y las compañías de seguros, deberán certificar al momento de la inversión a las en</w:t>
      </w:r>
      <w:r>
        <w:rPr>
          <w:rFonts w:ascii="Arial" w:hAnsi="Arial" w:cs="Arial"/>
          <w:lang w:val="es-CO"/>
        </w:rPr>
        <w:t xml:space="preserve">tidades que efectúen los respectivos pagos o abonos en cuenta, que las inversiones son realizadas con recursos o reservas a que se refiere el inciso primero de este artículo. </w:t>
      </w:r>
    </w:p>
    <w:p w14:paraId="63F9DE28" w14:textId="77777777" w:rsidR="00B2442D" w:rsidRDefault="008A645F">
      <w:pPr>
        <w:jc w:val="both"/>
        <w:rPr>
          <w:rFonts w:ascii="Arial" w:hAnsi="Arial" w:cs="Arial"/>
          <w:lang w:val="es-CO"/>
        </w:rPr>
      </w:pPr>
      <w:r>
        <w:rPr>
          <w:rFonts w:ascii="Arial" w:hAnsi="Arial" w:cs="Arial"/>
          <w:lang w:val="es-CO"/>
        </w:rPr>
        <w:t xml:space="preserve"> </w:t>
      </w:r>
    </w:p>
    <w:p w14:paraId="03CC99A6"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sociedades administradoras de los fondos de pensiones y cesantías, las sociedades administradoras de fondos de pensiones, las sociedades fiduciarias y las compañías de seguros continuarán sometidas al régimen previsto en el Estatuto Tributario y demás</w:t>
      </w:r>
      <w:r>
        <w:rPr>
          <w:rFonts w:ascii="Arial" w:hAnsi="Arial" w:cs="Arial"/>
          <w:lang w:val="es-CO"/>
        </w:rPr>
        <w:t xml:space="preserve"> normas concordantes, en lo que se refiere a retención en la fuente. </w:t>
      </w:r>
    </w:p>
    <w:p w14:paraId="5B2F251C" w14:textId="77777777" w:rsidR="00B2442D" w:rsidRDefault="008A645F">
      <w:pPr>
        <w:jc w:val="both"/>
        <w:rPr>
          <w:rFonts w:ascii="Arial" w:hAnsi="Arial" w:cs="Arial"/>
          <w:lang w:val="es-CO"/>
        </w:rPr>
      </w:pPr>
      <w:r>
        <w:rPr>
          <w:rFonts w:ascii="Arial" w:hAnsi="Arial" w:cs="Arial"/>
          <w:lang w:val="es-CO"/>
        </w:rPr>
        <w:t xml:space="preserve"> </w:t>
      </w:r>
    </w:p>
    <w:p w14:paraId="3AAF78A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De conformidad con lo dispuesto en el artículo 191 del Estatuto Tributario, los fondos a que se refiere el inciso primero del presente artículo no están sujetos a la renta</w:t>
      </w:r>
      <w:r>
        <w:rPr>
          <w:rFonts w:ascii="Arial" w:hAnsi="Arial" w:cs="Arial"/>
          <w:lang w:val="es-CO"/>
        </w:rPr>
        <w:t xml:space="preserve"> presuntiva de que trata el artículo 188 del Estatuto Tributario.</w:t>
      </w:r>
    </w:p>
    <w:p w14:paraId="78B4F542" w14:textId="77777777" w:rsidR="00B2442D" w:rsidRDefault="00B2442D">
      <w:pPr>
        <w:jc w:val="both"/>
        <w:rPr>
          <w:rFonts w:ascii="Arial" w:hAnsi="Arial" w:cs="Arial"/>
          <w:i/>
          <w:lang w:val="es-CO"/>
        </w:rPr>
      </w:pPr>
    </w:p>
    <w:p w14:paraId="5131ED92" w14:textId="77777777" w:rsidR="00B2442D" w:rsidRDefault="008A645F">
      <w:pPr>
        <w:jc w:val="both"/>
        <w:rPr>
          <w:rFonts w:ascii="Arial" w:hAnsi="Arial" w:cs="Arial"/>
          <w:i/>
          <w:lang w:val="es-CO"/>
        </w:rPr>
      </w:pPr>
      <w:r>
        <w:rPr>
          <w:rFonts w:ascii="Arial" w:hAnsi="Arial" w:cs="Arial"/>
          <w:i/>
          <w:lang w:val="es-CO"/>
        </w:rPr>
        <w:t>(Art. 4, Decreto 841 de 1998)</w:t>
      </w:r>
      <w:r>
        <w:rPr>
          <w:rFonts w:ascii="Arial" w:hAnsi="Arial" w:cs="Arial"/>
        </w:rPr>
        <w:t xml:space="preserve"> </w:t>
      </w:r>
      <w:r>
        <w:rPr>
          <w:rFonts w:ascii="Arial" w:hAnsi="Arial" w:cs="Arial"/>
          <w:i/>
          <w:lang w:val="es-CO"/>
        </w:rPr>
        <w:t>(El Decreto 841 de 1998 rige a partir del primero de mayo y deroga el Decreto 163 de 1997, y las demás normas que le sean contrarias. Art. 24, Decreto 841 de 1</w:t>
      </w:r>
      <w:r>
        <w:rPr>
          <w:rFonts w:ascii="Arial" w:hAnsi="Arial" w:cs="Arial"/>
          <w:i/>
          <w:lang w:val="es-CO"/>
        </w:rPr>
        <w:t>998)</w:t>
      </w:r>
    </w:p>
    <w:p w14:paraId="0373D8FA" w14:textId="77777777" w:rsidR="00B2442D" w:rsidRDefault="00B2442D">
      <w:pPr>
        <w:jc w:val="both"/>
        <w:rPr>
          <w:rFonts w:ascii="Arial" w:hAnsi="Arial" w:cs="Arial"/>
          <w:lang w:val="es-CO"/>
        </w:rPr>
      </w:pPr>
    </w:p>
    <w:p w14:paraId="0E57A79F"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Fondo de Solidaridad y Garantía.</w:t>
      </w:r>
      <w:r>
        <w:rPr>
          <w:rFonts w:ascii="Arial" w:hAnsi="Arial" w:cs="Arial"/>
          <w:lang w:val="es-CO"/>
        </w:rPr>
        <w:t xml:space="preserve"> Los recursos del Fondo de Solidaridad y Garantía están, exentos de toda clase de impuestos, tasas y contribuciones del orden nacional. </w:t>
      </w:r>
    </w:p>
    <w:p w14:paraId="53C62619" w14:textId="77777777" w:rsidR="00B2442D" w:rsidRDefault="008A645F">
      <w:pPr>
        <w:jc w:val="both"/>
        <w:rPr>
          <w:rFonts w:ascii="Arial" w:hAnsi="Arial" w:cs="Arial"/>
          <w:lang w:val="es-CO"/>
        </w:rPr>
      </w:pPr>
      <w:r>
        <w:rPr>
          <w:rFonts w:ascii="Arial" w:hAnsi="Arial" w:cs="Arial"/>
          <w:lang w:val="es-CO"/>
        </w:rPr>
        <w:t xml:space="preserve"> </w:t>
      </w:r>
    </w:p>
    <w:p w14:paraId="73B074C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De conformidad con lo dispuesto en el presente artículo, el recaud</w:t>
      </w:r>
      <w:r>
        <w:rPr>
          <w:rFonts w:ascii="Arial" w:hAnsi="Arial" w:cs="Arial"/>
          <w:lang w:val="es-CO"/>
        </w:rPr>
        <w:t xml:space="preserve">o de cotizaciones que se haga por delegación del Fondo de Solidaridad y Garantía está exceptuado del impuesto sobre las ventas. </w:t>
      </w:r>
    </w:p>
    <w:p w14:paraId="537D057B" w14:textId="77777777" w:rsidR="00B2442D" w:rsidRDefault="008A645F">
      <w:pPr>
        <w:jc w:val="both"/>
        <w:rPr>
          <w:rFonts w:ascii="Arial" w:hAnsi="Arial" w:cs="Arial"/>
          <w:lang w:val="es-CO"/>
        </w:rPr>
      </w:pPr>
      <w:r>
        <w:rPr>
          <w:rFonts w:ascii="Arial" w:hAnsi="Arial" w:cs="Arial"/>
          <w:lang w:val="es-CO"/>
        </w:rPr>
        <w:t xml:space="preserve"> </w:t>
      </w:r>
    </w:p>
    <w:p w14:paraId="7E481E04"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Las transferencias que realicen el Fondo de Solidaridad y Garantía y las entidades territoriales, de recursos de</w:t>
      </w:r>
      <w:r>
        <w:rPr>
          <w:rFonts w:ascii="Arial" w:hAnsi="Arial" w:cs="Arial"/>
          <w:lang w:val="es-CO"/>
        </w:rPr>
        <w:t>stinados a cubrir el valor del Plan Obligatorio de Salud, tanto en el régimen subsidiado como en el contributivo y el de las incapacidades por enfermedad general, no están sometidas a retención en la fuente a título de impuesto sobre la renta y complementa</w:t>
      </w:r>
      <w:r>
        <w:rPr>
          <w:rFonts w:ascii="Arial" w:hAnsi="Arial" w:cs="Arial"/>
          <w:lang w:val="es-CO"/>
        </w:rPr>
        <w:t>rio.</w:t>
      </w:r>
    </w:p>
    <w:p w14:paraId="2FB47398" w14:textId="77777777" w:rsidR="00B2442D" w:rsidRDefault="00B2442D">
      <w:pPr>
        <w:jc w:val="both"/>
        <w:rPr>
          <w:rFonts w:ascii="Arial" w:hAnsi="Arial" w:cs="Arial"/>
          <w:i/>
          <w:lang w:val="es-CO"/>
        </w:rPr>
      </w:pPr>
    </w:p>
    <w:p w14:paraId="38C356AD" w14:textId="77777777" w:rsidR="00B2442D" w:rsidRDefault="008A645F">
      <w:pPr>
        <w:jc w:val="both"/>
        <w:rPr>
          <w:rFonts w:ascii="Arial" w:hAnsi="Arial" w:cs="Arial"/>
          <w:i/>
          <w:lang w:val="es-CO"/>
        </w:rPr>
      </w:pPr>
      <w:r>
        <w:rPr>
          <w:rFonts w:ascii="Arial" w:hAnsi="Arial" w:cs="Arial"/>
          <w:i/>
          <w:lang w:val="es-CO"/>
        </w:rPr>
        <w:t>(Art. 5, Decreto 841 de 1998)</w:t>
      </w:r>
      <w:r>
        <w:rPr>
          <w:rFonts w:ascii="Arial" w:hAnsi="Arial" w:cs="Arial"/>
        </w:rPr>
        <w:t xml:space="preserve"> </w:t>
      </w:r>
      <w:r>
        <w:rPr>
          <w:rFonts w:ascii="Arial" w:hAnsi="Arial" w:cs="Arial"/>
          <w:i/>
          <w:lang w:val="es-CO"/>
        </w:rPr>
        <w:t>(El Decreto 841 de 1998 rige a partir del primero de mayo y deroga el Decreto 163 de 1997, y las demás normas que le sean contrarias. Art. 24, Decreto 841 de 1998)</w:t>
      </w:r>
    </w:p>
    <w:p w14:paraId="38E0F720" w14:textId="77777777" w:rsidR="00B2442D" w:rsidRDefault="00B2442D">
      <w:pPr>
        <w:jc w:val="both"/>
        <w:rPr>
          <w:rFonts w:ascii="Arial" w:hAnsi="Arial" w:cs="Arial"/>
          <w:i/>
          <w:lang w:val="es-CO"/>
        </w:rPr>
      </w:pPr>
    </w:p>
    <w:p w14:paraId="29755D05"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Rentas exentas provenientes de contratos de leasing hab</w:t>
      </w:r>
      <w:r>
        <w:rPr>
          <w:rFonts w:ascii="Arial" w:hAnsi="Arial" w:cs="Arial"/>
          <w:b/>
          <w:i/>
          <w:lang w:val="es-CO"/>
        </w:rPr>
        <w:t>itacional</w:t>
      </w:r>
      <w:r>
        <w:rPr>
          <w:rFonts w:ascii="Arial" w:hAnsi="Arial" w:cs="Arial"/>
          <w:b/>
          <w:lang w:val="es-CO"/>
        </w:rPr>
        <w:t xml:space="preserve">. </w:t>
      </w:r>
      <w:r>
        <w:rPr>
          <w:rFonts w:ascii="Arial" w:hAnsi="Arial" w:cs="Arial"/>
          <w:lang w:val="es-CO"/>
        </w:rPr>
        <w:t>Constituyen rentas exentas para las entidades autorizadas por la Ley para suscribir contratos de arrendamiento financiero (</w:t>
      </w:r>
      <w:r>
        <w:rPr>
          <w:rFonts w:ascii="Arial" w:hAnsi="Arial" w:cs="Arial"/>
          <w:i/>
          <w:lang w:val="es-CO"/>
        </w:rPr>
        <w:t>leasing</w:t>
      </w:r>
      <w:r>
        <w:rPr>
          <w:rFonts w:ascii="Arial" w:hAnsi="Arial" w:cs="Arial"/>
          <w:lang w:val="es-CO"/>
        </w:rPr>
        <w:t>) de conformidad con lo dispuesto en el numeral 7 del artículo 207-2 del Estatuto Tributario, los ingresos provenie</w:t>
      </w:r>
      <w:r>
        <w:rPr>
          <w:rFonts w:ascii="Arial" w:hAnsi="Arial" w:cs="Arial"/>
          <w:lang w:val="es-CO"/>
        </w:rPr>
        <w:t xml:space="preserve">ntes de contratos de </w:t>
      </w:r>
      <w:r>
        <w:rPr>
          <w:rFonts w:ascii="Arial" w:hAnsi="Arial" w:cs="Arial"/>
          <w:i/>
          <w:lang w:val="es-CO"/>
        </w:rPr>
        <w:t>leasing</w:t>
      </w:r>
      <w:r>
        <w:rPr>
          <w:rFonts w:ascii="Arial" w:hAnsi="Arial" w:cs="Arial"/>
          <w:lang w:val="es-CO"/>
        </w:rPr>
        <w:t xml:space="preserve"> sobre bienes inmuebles construidos para vivienda, que se suscriban dentro de los diez (10) años siguientes al 27 de diciembre de 2002, siempre y cuando el término de duración de los mismos no sea inferior a diez (10) años.</w:t>
      </w:r>
    </w:p>
    <w:p w14:paraId="167E4CDB" w14:textId="77777777" w:rsidR="00B2442D" w:rsidRDefault="00B2442D">
      <w:pPr>
        <w:jc w:val="both"/>
        <w:rPr>
          <w:rFonts w:ascii="Arial" w:hAnsi="Arial" w:cs="Arial"/>
          <w:lang w:val="es-CO"/>
        </w:rPr>
      </w:pPr>
    </w:p>
    <w:p w14:paraId="06571E5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la aplicación de la limitación a que se refiere el artículo 177-1 del Estatuto Tributario y de conformidad con lo dispuesto en el numeral 2 del artículo 127-1 ibídem, conforme con el cual el canon de arrendamiento incluye la part</w:t>
      </w:r>
      <w:r>
        <w:rPr>
          <w:rFonts w:ascii="Arial" w:hAnsi="Arial" w:cs="Arial"/>
          <w:lang w:val="es-CO"/>
        </w:rPr>
        <w:t>e correspondiente a intereses y/o corrección monetaria o ingreso financiero y a la amortización del capital, la renta exenta será equivalente únicamente a la sumatoria de los ingresos por concepto de los intereses o ingreso financiero de los respectivos co</w:t>
      </w:r>
      <w:r>
        <w:rPr>
          <w:rFonts w:ascii="Arial" w:hAnsi="Arial" w:cs="Arial"/>
          <w:lang w:val="es-CO"/>
        </w:rPr>
        <w:t>ntratos respecto de la cual procede la limitación prevista en el artículo 177-1 citado.</w:t>
      </w:r>
    </w:p>
    <w:p w14:paraId="5733AC99" w14:textId="77777777" w:rsidR="00B2442D" w:rsidRDefault="00B2442D">
      <w:pPr>
        <w:jc w:val="both"/>
        <w:rPr>
          <w:rFonts w:ascii="Arial" w:hAnsi="Arial" w:cs="Arial"/>
          <w:lang w:val="es-CO"/>
        </w:rPr>
      </w:pPr>
    </w:p>
    <w:p w14:paraId="74713DE0" w14:textId="77777777" w:rsidR="00B2442D" w:rsidRDefault="008A645F">
      <w:pPr>
        <w:jc w:val="both"/>
        <w:rPr>
          <w:rFonts w:ascii="Arial" w:hAnsi="Arial" w:cs="Arial"/>
          <w:lang w:val="es-CO"/>
        </w:rPr>
      </w:pPr>
      <w:r>
        <w:rPr>
          <w:rFonts w:ascii="Arial" w:hAnsi="Arial" w:cs="Arial"/>
          <w:lang w:val="es-CO"/>
        </w:rPr>
        <w:t>En consecuencia los costos y gastos imputables a los ingresos financieros serán equivalentes al costo financiero promedio anual del pasivo de la respectiva entidad aut</w:t>
      </w:r>
      <w:r>
        <w:rPr>
          <w:rFonts w:ascii="Arial" w:hAnsi="Arial" w:cs="Arial"/>
          <w:lang w:val="es-CO"/>
        </w:rPr>
        <w:t xml:space="preserve">orizada por la ley para suscribir los contratos de </w:t>
      </w:r>
      <w:r>
        <w:rPr>
          <w:rFonts w:ascii="Arial" w:hAnsi="Arial" w:cs="Arial"/>
          <w:i/>
          <w:lang w:val="es-CO"/>
        </w:rPr>
        <w:t>leasing</w:t>
      </w:r>
      <w:r>
        <w:rPr>
          <w:rFonts w:ascii="Arial" w:hAnsi="Arial" w:cs="Arial"/>
          <w:lang w:val="es-CO"/>
        </w:rPr>
        <w:t xml:space="preserve"> habitacional, en la proporción correspondiente a la generación de tales ingresos.</w:t>
      </w:r>
    </w:p>
    <w:p w14:paraId="375FA17A" w14:textId="77777777" w:rsidR="00B2442D" w:rsidRDefault="00B2442D">
      <w:pPr>
        <w:jc w:val="both"/>
        <w:rPr>
          <w:rFonts w:ascii="Arial" w:hAnsi="Arial" w:cs="Arial"/>
          <w:lang w:val="es-CO"/>
        </w:rPr>
      </w:pPr>
    </w:p>
    <w:p w14:paraId="6AC29CC2" w14:textId="77777777" w:rsidR="00B2442D" w:rsidRDefault="008A645F">
      <w:pPr>
        <w:jc w:val="both"/>
        <w:rPr>
          <w:rFonts w:ascii="Arial" w:hAnsi="Arial" w:cs="Arial"/>
          <w:i/>
          <w:lang w:val="es-CO"/>
        </w:rPr>
      </w:pPr>
      <w:r>
        <w:rPr>
          <w:rFonts w:ascii="Arial" w:hAnsi="Arial" w:cs="Arial"/>
          <w:i/>
          <w:lang w:val="es-CO"/>
        </w:rPr>
        <w:t>(Art. 9, Decreto 779 de 2003)</w:t>
      </w:r>
    </w:p>
    <w:p w14:paraId="4704BDB4" w14:textId="77777777" w:rsidR="00B2442D" w:rsidRDefault="00B2442D">
      <w:pPr>
        <w:jc w:val="both"/>
        <w:rPr>
          <w:rFonts w:ascii="Arial" w:hAnsi="Arial" w:cs="Arial"/>
          <w:i/>
          <w:lang w:val="es-CO"/>
        </w:rPr>
      </w:pPr>
    </w:p>
    <w:p w14:paraId="1BEE8C91"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Valores absolutos reexpresado en UVT para rentas exentas por auxilio de cesantía e </w:t>
      </w:r>
      <w:r>
        <w:rPr>
          <w:rFonts w:ascii="Arial" w:hAnsi="Arial" w:cs="Arial"/>
          <w:b/>
          <w:i/>
          <w:lang w:val="es-CO"/>
        </w:rPr>
        <w:t>intereses sobre cesantías.</w:t>
      </w:r>
      <w:r>
        <w:rPr>
          <w:rFonts w:ascii="Arial" w:hAnsi="Arial" w:cs="Arial"/>
          <w:lang w:val="es-CO"/>
        </w:rPr>
        <w:t xml:space="preserve"> Para efectos de la reexpresión en Unidades de Valor Tributario, UVT, de los valores a que se refiere el artículo 51 de la Ley 1111 de 2006, respecto de la exención del impuesto sobre la renta del auxilio de cesantía e intereses s</w:t>
      </w:r>
      <w:r>
        <w:rPr>
          <w:rFonts w:ascii="Arial" w:hAnsi="Arial" w:cs="Arial"/>
          <w:lang w:val="es-CO"/>
        </w:rPr>
        <w:t>obre cesantías contenida en el numeral 4 del artículo 206 del Estatuto Tributario, deberán tenerse en cuenta los siguientes:</w:t>
      </w:r>
    </w:p>
    <w:p w14:paraId="299358EA" w14:textId="77777777" w:rsidR="00B2442D" w:rsidRDefault="00B2442D">
      <w:pPr>
        <w:jc w:val="both"/>
        <w:rPr>
          <w:rFonts w:ascii="Arial" w:hAnsi="Arial" w:cs="Arial"/>
          <w:lang w:val="es-CO"/>
        </w:rPr>
      </w:pPr>
    </w:p>
    <w:tbl>
      <w:tblPr>
        <w:tblW w:w="0" w:type="auto"/>
        <w:jc w:val="center"/>
        <w:tblLayout w:type="fixed"/>
        <w:tblLook w:val="04A0" w:firstRow="1" w:lastRow="0" w:firstColumn="1" w:lastColumn="0" w:noHBand="0" w:noVBand="1"/>
      </w:tblPr>
      <w:tblGrid>
        <w:gridCol w:w="6204"/>
        <w:gridCol w:w="2214"/>
      </w:tblGrid>
      <w:tr w:rsidR="00B2442D" w14:paraId="066E5B95" w14:textId="77777777">
        <w:trPr>
          <w:trHeight w:val="1018"/>
          <w:jc w:val="center"/>
        </w:trPr>
        <w:tc>
          <w:tcPr>
            <w:tcW w:w="6204" w:type="dxa"/>
          </w:tcPr>
          <w:p w14:paraId="14C6D25E" w14:textId="77777777" w:rsidR="00B2442D" w:rsidRDefault="008A645F">
            <w:pPr>
              <w:pStyle w:val="Sinespaciado"/>
              <w:spacing w:line="40" w:lineRule="atLeast"/>
              <w:rPr>
                <w:rFonts w:ascii="Arial" w:hAnsi="Arial" w:cs="Arial"/>
                <w:b/>
                <w:lang w:val="es-ES_tradnl"/>
              </w:rPr>
            </w:pPr>
            <w:r>
              <w:rPr>
                <w:rFonts w:ascii="Arial" w:hAnsi="Arial" w:cs="Arial"/>
                <w:b/>
                <w:lang w:val="es-ES_tradnl"/>
              </w:rPr>
              <w:t xml:space="preserve">ART. 206 E.T. </w:t>
            </w:r>
          </w:p>
          <w:p w14:paraId="2A810CF5" w14:textId="77777777" w:rsidR="00B2442D" w:rsidRDefault="008A645F">
            <w:pPr>
              <w:pStyle w:val="Sinespaciado"/>
              <w:spacing w:line="40" w:lineRule="atLeast"/>
              <w:rPr>
                <w:rFonts w:ascii="Arial" w:hAnsi="Arial" w:cs="Arial"/>
                <w:b/>
                <w:lang w:val="es-ES_tradnl"/>
              </w:rPr>
            </w:pPr>
            <w:r>
              <w:rPr>
                <w:rFonts w:ascii="Arial" w:hAnsi="Arial" w:cs="Arial"/>
                <w:b/>
                <w:lang w:val="es-ES_tradnl"/>
              </w:rPr>
              <w:t>Numeral 4°</w:t>
            </w:r>
          </w:p>
          <w:p w14:paraId="33DADE4F" w14:textId="77777777" w:rsidR="00B2442D" w:rsidRDefault="00B2442D">
            <w:pPr>
              <w:pStyle w:val="Sinespaciado"/>
              <w:spacing w:line="40" w:lineRule="atLeast"/>
              <w:rPr>
                <w:rFonts w:ascii="Arial" w:hAnsi="Arial" w:cs="Arial"/>
                <w:lang w:val="es-ES_tradnl"/>
              </w:rPr>
            </w:pPr>
          </w:p>
          <w:p w14:paraId="6E8F453A" w14:textId="77777777" w:rsidR="00B2442D" w:rsidRDefault="008A645F">
            <w:pPr>
              <w:pStyle w:val="Sinespaciado"/>
              <w:spacing w:line="40" w:lineRule="atLeast"/>
              <w:jc w:val="both"/>
              <w:rPr>
                <w:rFonts w:ascii="Arial" w:hAnsi="Arial" w:cs="Arial"/>
              </w:rPr>
            </w:pPr>
            <w:r>
              <w:rPr>
                <w:rFonts w:ascii="Arial" w:hAnsi="Arial" w:cs="Arial"/>
                <w:lang w:val="es-ES_tradnl"/>
              </w:rPr>
              <w:t>El auxilio de cesant</w:t>
            </w:r>
            <w:r>
              <w:rPr>
                <w:rFonts w:ascii="Arial" w:eastAsia="Times New Roman" w:hAnsi="Arial" w:cs="Arial"/>
                <w:lang w:val="es-ES_tradnl"/>
              </w:rPr>
              <w:t xml:space="preserve">ía y los intereses sobre cesantías, siempre y </w:t>
            </w:r>
            <w:r>
              <w:rPr>
                <w:rFonts w:ascii="Arial" w:hAnsi="Arial" w:cs="Arial"/>
                <w:lang w:val="es-ES_tradnl"/>
              </w:rPr>
              <w:t xml:space="preserve">cuando sean recibidas por trabajadores cuyo ingreso mensual </w:t>
            </w:r>
            <w:r>
              <w:rPr>
                <w:rFonts w:ascii="Arial" w:hAnsi="Arial" w:cs="Arial"/>
              </w:rPr>
              <w:t>p</w:t>
            </w:r>
            <w:r>
              <w:rPr>
                <w:rFonts w:ascii="Arial" w:hAnsi="Arial" w:cs="Arial"/>
                <w:lang w:val="es-ES_tradnl"/>
              </w:rPr>
              <w:t xml:space="preserve">romedio en los seis (6) </w:t>
            </w:r>
            <w:r>
              <w:rPr>
                <w:rFonts w:ascii="Arial" w:eastAsia="Times New Roman" w:hAnsi="Arial" w:cs="Arial"/>
                <w:lang w:val="es-ES_tradnl"/>
              </w:rPr>
              <w:t>últimos meses de vinculación laboral no exceda de………………….………………</w:t>
            </w:r>
          </w:p>
        </w:tc>
        <w:tc>
          <w:tcPr>
            <w:tcW w:w="2214" w:type="dxa"/>
          </w:tcPr>
          <w:p w14:paraId="095FBBAF" w14:textId="77777777" w:rsidR="00B2442D" w:rsidRDefault="00B2442D">
            <w:pPr>
              <w:pStyle w:val="Sinespaciado"/>
              <w:spacing w:line="40" w:lineRule="atLeast"/>
              <w:jc w:val="center"/>
              <w:rPr>
                <w:rFonts w:ascii="Arial" w:hAnsi="Arial" w:cs="Arial"/>
                <w:lang w:val="es-ES_tradnl"/>
              </w:rPr>
            </w:pPr>
          </w:p>
          <w:p w14:paraId="38AFD48F" w14:textId="77777777" w:rsidR="00B2442D" w:rsidRDefault="00B2442D">
            <w:pPr>
              <w:pStyle w:val="Sinespaciado"/>
              <w:spacing w:line="40" w:lineRule="atLeast"/>
              <w:jc w:val="center"/>
              <w:rPr>
                <w:rFonts w:ascii="Arial" w:hAnsi="Arial" w:cs="Arial"/>
                <w:lang w:val="es-ES_tradnl"/>
              </w:rPr>
            </w:pPr>
          </w:p>
          <w:p w14:paraId="4C7A3D54" w14:textId="77777777" w:rsidR="00B2442D" w:rsidRDefault="00B2442D">
            <w:pPr>
              <w:pStyle w:val="Sinespaciado"/>
              <w:spacing w:line="40" w:lineRule="atLeast"/>
              <w:jc w:val="center"/>
              <w:rPr>
                <w:rFonts w:ascii="Arial" w:hAnsi="Arial" w:cs="Arial"/>
                <w:lang w:val="es-ES_tradnl"/>
              </w:rPr>
            </w:pPr>
          </w:p>
          <w:p w14:paraId="088F8F05" w14:textId="77777777" w:rsidR="00B2442D" w:rsidRDefault="008A645F">
            <w:pPr>
              <w:pStyle w:val="Sinespaciado"/>
              <w:spacing w:line="40" w:lineRule="atLeast"/>
              <w:jc w:val="center"/>
              <w:rPr>
                <w:rFonts w:ascii="Arial" w:hAnsi="Arial" w:cs="Arial"/>
              </w:rPr>
            </w:pPr>
            <w:r>
              <w:rPr>
                <w:rFonts w:ascii="Arial" w:hAnsi="Arial" w:cs="Arial"/>
                <w:lang w:val="es-ES_tradnl"/>
              </w:rPr>
              <w:t>350 UVT</w:t>
            </w:r>
          </w:p>
        </w:tc>
      </w:tr>
      <w:tr w:rsidR="00B2442D" w14:paraId="0EA5B12A" w14:textId="77777777">
        <w:trPr>
          <w:jc w:val="center"/>
        </w:trPr>
        <w:tc>
          <w:tcPr>
            <w:tcW w:w="6204" w:type="dxa"/>
            <w:tcBorders>
              <w:bottom w:val="single" w:sz="4" w:space="0" w:color="auto"/>
            </w:tcBorders>
          </w:tcPr>
          <w:p w14:paraId="52BC0F69" w14:textId="77777777" w:rsidR="00B2442D" w:rsidRDefault="008A645F">
            <w:pPr>
              <w:pStyle w:val="Sinespaciado"/>
              <w:spacing w:line="40" w:lineRule="atLeast"/>
              <w:jc w:val="both"/>
              <w:rPr>
                <w:rFonts w:ascii="Arial" w:hAnsi="Arial" w:cs="Arial"/>
              </w:rPr>
            </w:pPr>
            <w:r>
              <w:rPr>
                <w:rFonts w:ascii="Arial" w:hAnsi="Arial" w:cs="Arial"/>
                <w:lang w:val="es-ES_tradnl"/>
              </w:rPr>
              <w:t xml:space="preserve">Cuando el salario mensual promedio a que se </w:t>
            </w:r>
            <w:r>
              <w:rPr>
                <w:rFonts w:ascii="Arial" w:hAnsi="Arial" w:cs="Arial"/>
                <w:lang w:val="es-ES_tradnl"/>
              </w:rPr>
              <w:t>refiere este numeral exceda de.........................................................</w:t>
            </w:r>
          </w:p>
        </w:tc>
        <w:tc>
          <w:tcPr>
            <w:tcW w:w="2214" w:type="dxa"/>
            <w:tcBorders>
              <w:bottom w:val="single" w:sz="4" w:space="0" w:color="auto"/>
            </w:tcBorders>
          </w:tcPr>
          <w:p w14:paraId="13A81666" w14:textId="77777777" w:rsidR="00B2442D" w:rsidRDefault="00B2442D">
            <w:pPr>
              <w:pStyle w:val="Sinespaciado"/>
              <w:spacing w:line="40" w:lineRule="atLeast"/>
              <w:jc w:val="center"/>
              <w:rPr>
                <w:rFonts w:ascii="Arial" w:hAnsi="Arial" w:cs="Arial"/>
                <w:lang w:val="es-ES_tradnl"/>
              </w:rPr>
            </w:pPr>
          </w:p>
          <w:p w14:paraId="32700612" w14:textId="77777777" w:rsidR="00B2442D" w:rsidRDefault="008A645F">
            <w:pPr>
              <w:pStyle w:val="Sinespaciado"/>
              <w:spacing w:line="40" w:lineRule="atLeast"/>
              <w:jc w:val="center"/>
              <w:rPr>
                <w:rFonts w:ascii="Arial" w:hAnsi="Arial" w:cs="Arial"/>
              </w:rPr>
            </w:pPr>
            <w:r>
              <w:rPr>
                <w:rFonts w:ascii="Arial" w:hAnsi="Arial" w:cs="Arial"/>
                <w:lang w:val="es-ES_tradnl"/>
              </w:rPr>
              <w:t>350 UVT</w:t>
            </w:r>
          </w:p>
        </w:tc>
      </w:tr>
      <w:tr w:rsidR="00B2442D" w14:paraId="2D4E1E8E" w14:textId="77777777">
        <w:trPr>
          <w:jc w:val="center"/>
        </w:trPr>
        <w:tc>
          <w:tcPr>
            <w:tcW w:w="6204" w:type="dxa"/>
            <w:tcBorders>
              <w:top w:val="single" w:sz="4" w:space="0" w:color="auto"/>
              <w:left w:val="single" w:sz="4" w:space="0" w:color="auto"/>
              <w:bottom w:val="single" w:sz="4" w:space="0" w:color="auto"/>
              <w:right w:val="nil"/>
            </w:tcBorders>
          </w:tcPr>
          <w:p w14:paraId="058A5CD2" w14:textId="77777777" w:rsidR="00B2442D" w:rsidRDefault="008A645F">
            <w:pPr>
              <w:pStyle w:val="Sinespaciado"/>
              <w:spacing w:line="40" w:lineRule="atLeast"/>
              <w:rPr>
                <w:rFonts w:ascii="Arial" w:hAnsi="Arial" w:cs="Arial"/>
                <w:lang w:val="es-ES_tradnl"/>
              </w:rPr>
            </w:pPr>
            <w:r>
              <w:rPr>
                <w:rFonts w:ascii="Arial" w:hAnsi="Arial" w:cs="Arial"/>
                <w:lang w:val="es-ES_tradnl"/>
              </w:rPr>
              <w:t>La parte no gravada se determinará así:</w:t>
            </w:r>
          </w:p>
        </w:tc>
        <w:tc>
          <w:tcPr>
            <w:tcW w:w="2214" w:type="dxa"/>
            <w:tcBorders>
              <w:top w:val="single" w:sz="4" w:space="0" w:color="auto"/>
              <w:left w:val="nil"/>
              <w:bottom w:val="single" w:sz="4" w:space="0" w:color="auto"/>
              <w:right w:val="single" w:sz="4" w:space="0" w:color="auto"/>
            </w:tcBorders>
          </w:tcPr>
          <w:p w14:paraId="28179F7C" w14:textId="77777777" w:rsidR="00B2442D" w:rsidRDefault="00B2442D">
            <w:pPr>
              <w:pStyle w:val="Sinespaciado"/>
              <w:spacing w:line="40" w:lineRule="atLeast"/>
              <w:rPr>
                <w:rFonts w:ascii="Arial" w:hAnsi="Arial" w:cs="Arial"/>
                <w:lang w:val="es-ES_tradnl"/>
              </w:rPr>
            </w:pPr>
          </w:p>
        </w:tc>
      </w:tr>
      <w:tr w:rsidR="00B2442D" w14:paraId="4F9D6A4B" w14:textId="77777777">
        <w:trPr>
          <w:jc w:val="center"/>
        </w:trPr>
        <w:tc>
          <w:tcPr>
            <w:tcW w:w="6204" w:type="dxa"/>
            <w:tcBorders>
              <w:top w:val="single" w:sz="4" w:space="0" w:color="auto"/>
            </w:tcBorders>
          </w:tcPr>
          <w:p w14:paraId="28F70481" w14:textId="77777777" w:rsidR="00B2442D" w:rsidRDefault="00B2442D">
            <w:pPr>
              <w:pStyle w:val="Sinespaciado"/>
              <w:spacing w:line="40" w:lineRule="atLeast"/>
              <w:jc w:val="center"/>
              <w:rPr>
                <w:rFonts w:ascii="Arial" w:hAnsi="Arial" w:cs="Arial"/>
                <w:b/>
                <w:lang w:val="es-ES_tradnl"/>
              </w:rPr>
            </w:pPr>
          </w:p>
          <w:p w14:paraId="27749751" w14:textId="77777777" w:rsidR="00B2442D" w:rsidRDefault="008A645F">
            <w:pPr>
              <w:pStyle w:val="Sinespaciado"/>
              <w:spacing w:line="40" w:lineRule="atLeast"/>
              <w:jc w:val="center"/>
              <w:rPr>
                <w:rFonts w:ascii="Arial" w:hAnsi="Arial" w:cs="Arial"/>
                <w:b/>
                <w:lang w:val="es-ES_tradnl"/>
              </w:rPr>
            </w:pPr>
            <w:r>
              <w:rPr>
                <w:rFonts w:ascii="Arial" w:hAnsi="Arial" w:cs="Arial"/>
                <w:b/>
                <w:lang w:val="es-ES_tradnl"/>
              </w:rPr>
              <w:t>Salario mensual promedio en UVT</w:t>
            </w:r>
          </w:p>
        </w:tc>
        <w:tc>
          <w:tcPr>
            <w:tcW w:w="2214" w:type="dxa"/>
            <w:tcBorders>
              <w:top w:val="single" w:sz="4" w:space="0" w:color="auto"/>
            </w:tcBorders>
          </w:tcPr>
          <w:p w14:paraId="3EDDB8B8" w14:textId="77777777" w:rsidR="00B2442D" w:rsidRDefault="00B2442D">
            <w:pPr>
              <w:pStyle w:val="Sinespaciado"/>
              <w:spacing w:line="40" w:lineRule="atLeast"/>
              <w:jc w:val="center"/>
              <w:rPr>
                <w:rFonts w:ascii="Arial" w:hAnsi="Arial" w:cs="Arial"/>
                <w:b/>
                <w:lang w:val="es-ES_tradnl"/>
              </w:rPr>
            </w:pPr>
          </w:p>
          <w:p w14:paraId="5B0450D2" w14:textId="77777777" w:rsidR="00B2442D" w:rsidRDefault="008A645F">
            <w:pPr>
              <w:pStyle w:val="Sinespaciado"/>
              <w:spacing w:line="40" w:lineRule="atLeast"/>
              <w:jc w:val="center"/>
              <w:rPr>
                <w:rFonts w:ascii="Arial" w:hAnsi="Arial" w:cs="Arial"/>
                <w:b/>
                <w:lang w:val="es-ES_tradnl"/>
              </w:rPr>
            </w:pPr>
            <w:r>
              <w:rPr>
                <w:rFonts w:ascii="Arial" w:hAnsi="Arial" w:cs="Arial"/>
                <w:b/>
                <w:lang w:val="es-ES_tradnl"/>
              </w:rPr>
              <w:t>Parte no gravada</w:t>
            </w:r>
          </w:p>
        </w:tc>
      </w:tr>
      <w:tr w:rsidR="00B2442D" w14:paraId="2D9B1459" w14:textId="77777777">
        <w:trPr>
          <w:jc w:val="center"/>
        </w:trPr>
        <w:tc>
          <w:tcPr>
            <w:tcW w:w="6204" w:type="dxa"/>
          </w:tcPr>
          <w:p w14:paraId="6503AF90" w14:textId="77777777" w:rsidR="00B2442D" w:rsidRDefault="008A645F">
            <w:pPr>
              <w:pStyle w:val="Sinespaciado"/>
              <w:spacing w:line="40" w:lineRule="atLeast"/>
              <w:rPr>
                <w:rFonts w:ascii="Arial" w:hAnsi="Arial" w:cs="Arial"/>
              </w:rPr>
            </w:pPr>
            <w:r>
              <w:rPr>
                <w:rFonts w:ascii="Arial" w:hAnsi="Arial" w:cs="Arial"/>
                <w:lang w:val="es-ES_tradnl"/>
              </w:rPr>
              <w:t>Mayor de 350 UVT hasta 410 UVT</w:t>
            </w:r>
          </w:p>
        </w:tc>
        <w:tc>
          <w:tcPr>
            <w:tcW w:w="2214" w:type="dxa"/>
          </w:tcPr>
          <w:p w14:paraId="59730BDD" w14:textId="77777777" w:rsidR="00B2442D" w:rsidRDefault="008A645F">
            <w:pPr>
              <w:pStyle w:val="Sinespaciado"/>
              <w:spacing w:line="40" w:lineRule="atLeast"/>
              <w:jc w:val="center"/>
              <w:rPr>
                <w:rFonts w:ascii="Arial" w:hAnsi="Arial" w:cs="Arial"/>
              </w:rPr>
            </w:pPr>
            <w:r>
              <w:rPr>
                <w:rFonts w:ascii="Arial" w:hAnsi="Arial" w:cs="Arial"/>
                <w:lang w:val="es-ES_tradnl"/>
              </w:rPr>
              <w:t>el 90%</w:t>
            </w:r>
          </w:p>
        </w:tc>
      </w:tr>
      <w:tr w:rsidR="00B2442D" w14:paraId="00E73E4F" w14:textId="77777777">
        <w:trPr>
          <w:jc w:val="center"/>
        </w:trPr>
        <w:tc>
          <w:tcPr>
            <w:tcW w:w="6204" w:type="dxa"/>
          </w:tcPr>
          <w:p w14:paraId="316865DC" w14:textId="77777777" w:rsidR="00B2442D" w:rsidRDefault="008A645F">
            <w:pPr>
              <w:pStyle w:val="Sinespaciado"/>
              <w:spacing w:line="40" w:lineRule="atLeast"/>
              <w:rPr>
                <w:rFonts w:ascii="Arial" w:hAnsi="Arial" w:cs="Arial"/>
              </w:rPr>
            </w:pPr>
            <w:r>
              <w:rPr>
                <w:rFonts w:ascii="Arial" w:hAnsi="Arial" w:cs="Arial"/>
                <w:lang w:val="es-ES_tradnl"/>
              </w:rPr>
              <w:t xml:space="preserve">Mayor de 410 UVT </w:t>
            </w:r>
            <w:r>
              <w:rPr>
                <w:rFonts w:ascii="Arial" w:hAnsi="Arial" w:cs="Arial"/>
                <w:lang w:val="es-ES_tradnl"/>
              </w:rPr>
              <w:t>hasta 470 UVT</w:t>
            </w:r>
          </w:p>
        </w:tc>
        <w:tc>
          <w:tcPr>
            <w:tcW w:w="2214" w:type="dxa"/>
          </w:tcPr>
          <w:p w14:paraId="0D18865C" w14:textId="77777777" w:rsidR="00B2442D" w:rsidRDefault="008A645F">
            <w:pPr>
              <w:pStyle w:val="Sinespaciado"/>
              <w:spacing w:line="40" w:lineRule="atLeast"/>
              <w:jc w:val="center"/>
              <w:rPr>
                <w:rFonts w:ascii="Arial" w:hAnsi="Arial" w:cs="Arial"/>
              </w:rPr>
            </w:pPr>
            <w:r>
              <w:rPr>
                <w:rFonts w:ascii="Arial" w:hAnsi="Arial" w:cs="Arial"/>
                <w:lang w:val="es-ES_tradnl"/>
              </w:rPr>
              <w:t>el 80%</w:t>
            </w:r>
          </w:p>
        </w:tc>
      </w:tr>
      <w:tr w:rsidR="00B2442D" w14:paraId="6DFBF212" w14:textId="77777777">
        <w:trPr>
          <w:jc w:val="center"/>
        </w:trPr>
        <w:tc>
          <w:tcPr>
            <w:tcW w:w="6204" w:type="dxa"/>
          </w:tcPr>
          <w:p w14:paraId="424E09BB" w14:textId="77777777" w:rsidR="00B2442D" w:rsidRDefault="008A645F">
            <w:pPr>
              <w:pStyle w:val="Sinespaciado"/>
              <w:spacing w:line="40" w:lineRule="atLeast"/>
              <w:rPr>
                <w:rFonts w:ascii="Arial" w:hAnsi="Arial" w:cs="Arial"/>
              </w:rPr>
            </w:pPr>
            <w:r>
              <w:rPr>
                <w:rFonts w:ascii="Arial" w:hAnsi="Arial" w:cs="Arial"/>
                <w:lang w:val="es-ES_tradnl"/>
              </w:rPr>
              <w:t>Mayor de 470 UVT hasta 530 UVT</w:t>
            </w:r>
          </w:p>
        </w:tc>
        <w:tc>
          <w:tcPr>
            <w:tcW w:w="2214" w:type="dxa"/>
          </w:tcPr>
          <w:p w14:paraId="46D82B25" w14:textId="77777777" w:rsidR="00B2442D" w:rsidRDefault="008A645F">
            <w:pPr>
              <w:pStyle w:val="Sinespaciado"/>
              <w:spacing w:line="40" w:lineRule="atLeast"/>
              <w:jc w:val="center"/>
              <w:rPr>
                <w:rFonts w:ascii="Arial" w:hAnsi="Arial" w:cs="Arial"/>
              </w:rPr>
            </w:pPr>
            <w:r>
              <w:rPr>
                <w:rFonts w:ascii="Arial" w:hAnsi="Arial" w:cs="Arial"/>
                <w:lang w:val="es-ES_tradnl"/>
              </w:rPr>
              <w:t>el 60%</w:t>
            </w:r>
          </w:p>
        </w:tc>
      </w:tr>
      <w:tr w:rsidR="00B2442D" w14:paraId="255C4FAF" w14:textId="77777777">
        <w:trPr>
          <w:jc w:val="center"/>
        </w:trPr>
        <w:tc>
          <w:tcPr>
            <w:tcW w:w="6204" w:type="dxa"/>
          </w:tcPr>
          <w:p w14:paraId="75828F40" w14:textId="77777777" w:rsidR="00B2442D" w:rsidRDefault="008A645F">
            <w:pPr>
              <w:pStyle w:val="Sinespaciado"/>
              <w:spacing w:line="40" w:lineRule="atLeast"/>
              <w:rPr>
                <w:rFonts w:ascii="Arial" w:hAnsi="Arial" w:cs="Arial"/>
              </w:rPr>
            </w:pPr>
            <w:r>
              <w:rPr>
                <w:rFonts w:ascii="Arial" w:hAnsi="Arial" w:cs="Arial"/>
                <w:lang w:val="es-ES_tradnl"/>
              </w:rPr>
              <w:t>Mayor de 530 UVT hasta 590 UVT</w:t>
            </w:r>
          </w:p>
        </w:tc>
        <w:tc>
          <w:tcPr>
            <w:tcW w:w="2214" w:type="dxa"/>
          </w:tcPr>
          <w:p w14:paraId="2CBE8E0D" w14:textId="77777777" w:rsidR="00B2442D" w:rsidRDefault="008A645F">
            <w:pPr>
              <w:pStyle w:val="Sinespaciado"/>
              <w:spacing w:line="40" w:lineRule="atLeast"/>
              <w:jc w:val="center"/>
              <w:rPr>
                <w:rFonts w:ascii="Arial" w:hAnsi="Arial" w:cs="Arial"/>
              </w:rPr>
            </w:pPr>
            <w:r>
              <w:rPr>
                <w:rFonts w:ascii="Arial" w:hAnsi="Arial" w:cs="Arial"/>
                <w:lang w:val="es-ES_tradnl"/>
              </w:rPr>
              <w:t>el 40%</w:t>
            </w:r>
          </w:p>
        </w:tc>
      </w:tr>
      <w:tr w:rsidR="00B2442D" w14:paraId="7B8CB550" w14:textId="77777777">
        <w:trPr>
          <w:jc w:val="center"/>
        </w:trPr>
        <w:tc>
          <w:tcPr>
            <w:tcW w:w="6204" w:type="dxa"/>
          </w:tcPr>
          <w:p w14:paraId="6169A093" w14:textId="77777777" w:rsidR="00B2442D" w:rsidRDefault="008A645F">
            <w:pPr>
              <w:pStyle w:val="Sinespaciado"/>
              <w:spacing w:line="40" w:lineRule="atLeast"/>
              <w:rPr>
                <w:rFonts w:ascii="Arial" w:hAnsi="Arial" w:cs="Arial"/>
              </w:rPr>
            </w:pPr>
            <w:r>
              <w:rPr>
                <w:rFonts w:ascii="Arial" w:hAnsi="Arial" w:cs="Arial"/>
                <w:lang w:val="es-ES_tradnl"/>
              </w:rPr>
              <w:t>Mayor de 590 UVT hasta 650 UVT</w:t>
            </w:r>
          </w:p>
        </w:tc>
        <w:tc>
          <w:tcPr>
            <w:tcW w:w="2214" w:type="dxa"/>
          </w:tcPr>
          <w:p w14:paraId="2C42037E" w14:textId="77777777" w:rsidR="00B2442D" w:rsidRDefault="008A645F">
            <w:pPr>
              <w:pStyle w:val="Sinespaciado"/>
              <w:spacing w:line="40" w:lineRule="atLeast"/>
              <w:jc w:val="center"/>
              <w:rPr>
                <w:rFonts w:ascii="Arial" w:hAnsi="Arial" w:cs="Arial"/>
              </w:rPr>
            </w:pPr>
            <w:r>
              <w:rPr>
                <w:rFonts w:ascii="Arial" w:hAnsi="Arial" w:cs="Arial"/>
                <w:lang w:val="es-ES_tradnl"/>
              </w:rPr>
              <w:t>el 20%</w:t>
            </w:r>
          </w:p>
        </w:tc>
      </w:tr>
      <w:tr w:rsidR="00B2442D" w14:paraId="2E536142" w14:textId="77777777">
        <w:trPr>
          <w:jc w:val="center"/>
        </w:trPr>
        <w:tc>
          <w:tcPr>
            <w:tcW w:w="6204" w:type="dxa"/>
          </w:tcPr>
          <w:p w14:paraId="6014B546" w14:textId="77777777" w:rsidR="00B2442D" w:rsidRDefault="008A645F">
            <w:pPr>
              <w:pStyle w:val="Sinespaciado"/>
              <w:spacing w:line="40" w:lineRule="atLeast"/>
              <w:rPr>
                <w:rFonts w:ascii="Arial" w:hAnsi="Arial" w:cs="Arial"/>
              </w:rPr>
            </w:pPr>
            <w:r>
              <w:rPr>
                <w:rFonts w:ascii="Arial" w:hAnsi="Arial" w:cs="Arial"/>
                <w:lang w:val="es-ES_tradnl"/>
              </w:rPr>
              <w:t>Mayor de 650 UVT en adelante</w:t>
            </w:r>
          </w:p>
        </w:tc>
        <w:tc>
          <w:tcPr>
            <w:tcW w:w="2214" w:type="dxa"/>
          </w:tcPr>
          <w:p w14:paraId="157B17F9" w14:textId="77777777" w:rsidR="00B2442D" w:rsidRDefault="008A645F">
            <w:pPr>
              <w:pStyle w:val="Sinespaciado"/>
              <w:spacing w:line="40" w:lineRule="atLeast"/>
              <w:jc w:val="center"/>
              <w:rPr>
                <w:rFonts w:ascii="Arial" w:hAnsi="Arial" w:cs="Arial"/>
              </w:rPr>
            </w:pPr>
            <w:r>
              <w:rPr>
                <w:rFonts w:ascii="Arial" w:hAnsi="Arial" w:cs="Arial"/>
                <w:lang w:val="es-ES_tradnl"/>
              </w:rPr>
              <w:t>el   0%</w:t>
            </w:r>
          </w:p>
        </w:tc>
      </w:tr>
    </w:tbl>
    <w:p w14:paraId="4FC6E47C" w14:textId="77777777" w:rsidR="00B2442D" w:rsidRDefault="00B2442D">
      <w:pPr>
        <w:jc w:val="both"/>
        <w:rPr>
          <w:rFonts w:ascii="Arial" w:hAnsi="Arial" w:cs="Arial"/>
          <w:lang w:val="es-CO"/>
        </w:rPr>
      </w:pPr>
    </w:p>
    <w:p w14:paraId="1C385C24" w14:textId="77777777" w:rsidR="00B2442D" w:rsidRDefault="008A645F">
      <w:pPr>
        <w:jc w:val="both"/>
        <w:rPr>
          <w:rFonts w:ascii="Arial" w:hAnsi="Arial" w:cs="Arial"/>
          <w:i/>
          <w:lang w:val="es-CO"/>
        </w:rPr>
      </w:pPr>
      <w:r>
        <w:rPr>
          <w:rFonts w:ascii="Arial" w:hAnsi="Arial" w:cs="Arial"/>
          <w:i/>
          <w:lang w:val="es-CO"/>
        </w:rPr>
        <w:t>(Art. 4, Decreto 379 de 2007)</w:t>
      </w:r>
      <w:r>
        <w:rPr>
          <w:rFonts w:ascii="Arial" w:hAnsi="Arial" w:cs="Arial"/>
        </w:rPr>
        <w:t xml:space="preserve"> (</w:t>
      </w:r>
      <w:r>
        <w:rPr>
          <w:rFonts w:ascii="Arial" w:hAnsi="Arial" w:cs="Arial"/>
          <w:i/>
          <w:lang w:val="es-CO"/>
        </w:rPr>
        <w:t xml:space="preserve">El Decreto 379 de 2007 rige a partir de su </w:t>
      </w:r>
      <w:r>
        <w:rPr>
          <w:rFonts w:ascii="Arial" w:hAnsi="Arial" w:cs="Arial"/>
          <w:i/>
          <w:lang w:val="es-CO"/>
        </w:rPr>
        <w:t>publicación y deroga las disposiciones que le sean contrarias, en especial el parágrafo 2° del artículo 6° del Decreto 4583 de 2006. Art. 12, Decreto 379 de 2007)</w:t>
      </w:r>
    </w:p>
    <w:p w14:paraId="3933848E" w14:textId="77777777" w:rsidR="00B2442D" w:rsidRDefault="00B2442D">
      <w:pPr>
        <w:jc w:val="both"/>
        <w:rPr>
          <w:rFonts w:ascii="Arial" w:hAnsi="Arial" w:cs="Arial"/>
          <w:lang w:val="es-CO"/>
        </w:rPr>
      </w:pPr>
    </w:p>
    <w:p w14:paraId="08710D43"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Gastos de representación exentos.</w:t>
      </w:r>
      <w:r>
        <w:rPr>
          <w:rFonts w:ascii="Arial" w:hAnsi="Arial" w:cs="Arial"/>
          <w:lang w:val="es-CO"/>
        </w:rPr>
        <w:t xml:space="preserve"> En los términos previstos en el inciso 3° del numeral 7 del artículo 206 del Estatuto Tributario, se encuentran exentos de gastos de representación un porcentaje equivalente al cincuenta por ciento (50%) de su salario que perciban en razón de sus funcione</w:t>
      </w:r>
      <w:r>
        <w:rPr>
          <w:rFonts w:ascii="Arial" w:hAnsi="Arial" w:cs="Arial"/>
          <w:lang w:val="es-CO"/>
        </w:rPr>
        <w:t>s los Magistrados titulares de la Corte Constitucional, la Corte Suprema de Justicia, el Consejo de Estado, el Consejo Superior de la Judicatura.</w:t>
      </w:r>
    </w:p>
    <w:p w14:paraId="7416765D" w14:textId="77777777" w:rsidR="00B2442D" w:rsidRDefault="00B2442D">
      <w:pPr>
        <w:jc w:val="both"/>
        <w:rPr>
          <w:rFonts w:ascii="Arial" w:hAnsi="Arial" w:cs="Arial"/>
          <w:lang w:val="es-CO"/>
        </w:rPr>
      </w:pPr>
    </w:p>
    <w:p w14:paraId="1CC7C260" w14:textId="77777777" w:rsidR="00B2442D" w:rsidRDefault="008A645F">
      <w:pPr>
        <w:jc w:val="both"/>
        <w:rPr>
          <w:rFonts w:ascii="Arial" w:hAnsi="Arial" w:cs="Arial"/>
          <w:lang w:val="es-CO"/>
        </w:rPr>
      </w:pPr>
      <w:r>
        <w:rPr>
          <w:rFonts w:ascii="Arial" w:hAnsi="Arial" w:cs="Arial"/>
          <w:lang w:val="es-CO"/>
        </w:rPr>
        <w:t>Para los jueces de la República el porcentaje exento será del veinticinco por ciento (25%) sobre su salario.</w:t>
      </w:r>
    </w:p>
    <w:p w14:paraId="3678A8A1" w14:textId="77777777" w:rsidR="00B2442D" w:rsidRDefault="00B2442D">
      <w:pPr>
        <w:jc w:val="both"/>
        <w:rPr>
          <w:rFonts w:ascii="Arial" w:hAnsi="Arial" w:cs="Arial"/>
          <w:lang w:val="es-CO"/>
        </w:rPr>
      </w:pPr>
    </w:p>
    <w:p w14:paraId="4DE9F477" w14:textId="77777777" w:rsidR="00B2442D" w:rsidRDefault="008A645F">
      <w:pPr>
        <w:jc w:val="both"/>
        <w:rPr>
          <w:rFonts w:ascii="Arial" w:hAnsi="Arial" w:cs="Arial"/>
          <w:i/>
          <w:lang w:val="es-CO"/>
        </w:rPr>
      </w:pPr>
      <w:r>
        <w:rPr>
          <w:rFonts w:ascii="Arial" w:hAnsi="Arial" w:cs="Arial"/>
          <w:i/>
          <w:lang w:val="es-CO"/>
        </w:rPr>
        <w:t>(Art. 1, Decreto 2921 de 2010)</w:t>
      </w:r>
    </w:p>
    <w:p w14:paraId="23545A1D" w14:textId="77777777" w:rsidR="00B2442D" w:rsidRDefault="00B2442D">
      <w:pPr>
        <w:jc w:val="both"/>
        <w:rPr>
          <w:rFonts w:ascii="Arial" w:hAnsi="Arial" w:cs="Arial"/>
          <w:b/>
          <w:lang w:val="es-CO"/>
        </w:rPr>
      </w:pPr>
    </w:p>
    <w:p w14:paraId="7611DF0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 exenta en la venta de energía eléctrica generada con base en los recursos eólicos, biomasa o residuos agrícolas.</w:t>
      </w:r>
      <w:r>
        <w:rPr>
          <w:rFonts w:ascii="Arial" w:hAnsi="Arial" w:cs="Arial"/>
          <w:lang w:val="es-CO"/>
        </w:rPr>
        <w:t xml:space="preserve"> De conformidad con lo dispuesto en el numeral 1 del artículo 207-2 del Estatuto Tributario, las rentas p</w:t>
      </w:r>
      <w:r>
        <w:rPr>
          <w:rFonts w:ascii="Arial" w:hAnsi="Arial" w:cs="Arial"/>
          <w:lang w:val="es-CO"/>
        </w:rPr>
        <w:t xml:space="preserve">rovenientes de la venta de energía eléctrica obtenida exclusivamente con base en recursos eólicos, biomasa o residuos agrícolas por parte de empresas generadoras, tienen el carácter de exentas por el término de quince (15) años contados a partir del 1º de </w:t>
      </w:r>
      <w:r>
        <w:rPr>
          <w:rFonts w:ascii="Arial" w:hAnsi="Arial" w:cs="Arial"/>
          <w:lang w:val="es-CO"/>
        </w:rPr>
        <w:t xml:space="preserve">enero de 2003. </w:t>
      </w:r>
    </w:p>
    <w:p w14:paraId="26A6F1BB" w14:textId="77777777" w:rsidR="00B2442D" w:rsidRDefault="00B2442D">
      <w:pPr>
        <w:jc w:val="both"/>
        <w:rPr>
          <w:rFonts w:ascii="Arial" w:hAnsi="Arial" w:cs="Arial"/>
          <w:lang w:val="es-CO"/>
        </w:rPr>
      </w:pPr>
    </w:p>
    <w:p w14:paraId="6D945E16" w14:textId="77777777" w:rsidR="00B2442D" w:rsidRDefault="008A645F">
      <w:pPr>
        <w:jc w:val="both"/>
        <w:rPr>
          <w:rFonts w:ascii="Arial" w:hAnsi="Arial" w:cs="Arial"/>
          <w:lang w:val="es-CO"/>
        </w:rPr>
      </w:pPr>
      <w:r>
        <w:rPr>
          <w:rFonts w:ascii="Arial" w:hAnsi="Arial" w:cs="Arial"/>
          <w:lang w:val="es-CO"/>
        </w:rPr>
        <w:t xml:space="preserve">La exención operará siempre que se tramiten, obtengan y vendan certificados de emisión de bióxido de carbono de acuerdo con los términos del Protocolo de Kyoto y se invierta al menos el cincuenta por ciento (50%) de los recursos obtenidos </w:t>
      </w:r>
      <w:r>
        <w:rPr>
          <w:rFonts w:ascii="Arial" w:hAnsi="Arial" w:cs="Arial"/>
          <w:lang w:val="es-CO"/>
        </w:rPr>
        <w:t>por la venta de dichos certificados en obras de beneficio social, en la región donde opera el generador. La inversión que da derecho al beneficio será realizada de acuerdo con la proporción de afectación de cada municipio por la construcción y operación de</w:t>
      </w:r>
      <w:r>
        <w:rPr>
          <w:rFonts w:ascii="Arial" w:hAnsi="Arial" w:cs="Arial"/>
          <w:lang w:val="es-CO"/>
        </w:rPr>
        <w:t xml:space="preserve"> la central generadora.</w:t>
      </w:r>
    </w:p>
    <w:p w14:paraId="6FEA52F2" w14:textId="77777777" w:rsidR="00B2442D" w:rsidRDefault="00B2442D">
      <w:pPr>
        <w:jc w:val="both"/>
        <w:rPr>
          <w:rFonts w:ascii="Arial" w:hAnsi="Arial" w:cs="Arial"/>
          <w:lang w:val="es-CO"/>
        </w:rPr>
      </w:pPr>
    </w:p>
    <w:p w14:paraId="0B7D0FEB" w14:textId="77777777" w:rsidR="00B2442D" w:rsidRDefault="008A645F">
      <w:pPr>
        <w:jc w:val="both"/>
        <w:rPr>
          <w:rFonts w:ascii="Arial" w:hAnsi="Arial" w:cs="Arial"/>
          <w:lang w:val="es-CO"/>
        </w:rPr>
      </w:pPr>
      <w:r>
        <w:rPr>
          <w:rFonts w:ascii="Arial" w:hAnsi="Arial" w:cs="Arial"/>
          <w:lang w:val="es-CO"/>
        </w:rPr>
        <w:t>Para los efectos del presente Decreto, se entiende por:</w:t>
      </w:r>
    </w:p>
    <w:p w14:paraId="57D8638A" w14:textId="77777777" w:rsidR="00B2442D" w:rsidRDefault="00B2442D">
      <w:pPr>
        <w:jc w:val="both"/>
        <w:rPr>
          <w:rFonts w:ascii="Arial" w:hAnsi="Arial" w:cs="Arial"/>
          <w:lang w:val="es-CO"/>
        </w:rPr>
      </w:pPr>
    </w:p>
    <w:p w14:paraId="236F95AD" w14:textId="77777777" w:rsidR="00B2442D" w:rsidRDefault="008A645F">
      <w:pPr>
        <w:jc w:val="both"/>
        <w:rPr>
          <w:rFonts w:ascii="Arial" w:hAnsi="Arial" w:cs="Arial"/>
          <w:lang w:val="es-CO"/>
        </w:rPr>
      </w:pPr>
      <w:r>
        <w:rPr>
          <w:rFonts w:ascii="Arial" w:hAnsi="Arial" w:cs="Arial"/>
          <w:lang w:val="es-CO"/>
        </w:rPr>
        <w:t xml:space="preserve">Certificado de emisión de bióxido de carbono: Las reducciones certificadas de emisiones – RCE, que son unidades expedidas de conformidad con lo establecido en el artículo 12 </w:t>
      </w:r>
      <w:r>
        <w:rPr>
          <w:rFonts w:ascii="Arial" w:hAnsi="Arial" w:cs="Arial"/>
          <w:lang w:val="es-CO"/>
        </w:rPr>
        <w:t xml:space="preserve">del Protocolo de Kyoto, así como en las disposiciones pertinentes de las modalidades y procedimientos previstos por la Decisión 17/CP.7, de la Séptima Conferencia de las Partes de la Convención Marco de las Naciones Unidas sobre Cambio Climático, o de las </w:t>
      </w:r>
      <w:r>
        <w:rPr>
          <w:rFonts w:ascii="Arial" w:hAnsi="Arial" w:cs="Arial"/>
          <w:lang w:val="es-CO"/>
        </w:rPr>
        <w:t xml:space="preserve">que se expidan en el marco del mismo protocolo. </w:t>
      </w:r>
    </w:p>
    <w:p w14:paraId="0ACDE0F2" w14:textId="77777777" w:rsidR="00B2442D" w:rsidRDefault="00B2442D">
      <w:pPr>
        <w:jc w:val="both"/>
        <w:rPr>
          <w:rFonts w:ascii="Arial" w:hAnsi="Arial" w:cs="Arial"/>
          <w:lang w:val="es-CO"/>
        </w:rPr>
      </w:pPr>
    </w:p>
    <w:p w14:paraId="173B6840" w14:textId="77777777" w:rsidR="00B2442D" w:rsidRDefault="008A645F">
      <w:pPr>
        <w:jc w:val="both"/>
        <w:rPr>
          <w:rFonts w:ascii="Arial" w:hAnsi="Arial" w:cs="Arial"/>
          <w:lang w:val="es-CO"/>
        </w:rPr>
      </w:pPr>
      <w:r>
        <w:rPr>
          <w:rFonts w:ascii="Arial" w:hAnsi="Arial" w:cs="Arial"/>
          <w:lang w:val="es-CO"/>
        </w:rPr>
        <w:t>Empresa generadora: Aquella que produce la energía de conformidad con lo dispuesto en la Ley 143 de 1994, en las Resoluciones de la Comisión de Regulación de Energía y Gas (CREG) y en las demás normas que l</w:t>
      </w:r>
      <w:r>
        <w:rPr>
          <w:rFonts w:ascii="Arial" w:hAnsi="Arial" w:cs="Arial"/>
          <w:lang w:val="es-CO"/>
        </w:rPr>
        <w:t>as complementen, sustituyan o modifiquen.</w:t>
      </w:r>
    </w:p>
    <w:p w14:paraId="5D1B2BE6" w14:textId="77777777" w:rsidR="00B2442D" w:rsidRDefault="00B2442D">
      <w:pPr>
        <w:jc w:val="both"/>
        <w:rPr>
          <w:rFonts w:ascii="Arial" w:hAnsi="Arial" w:cs="Arial"/>
          <w:lang w:val="es-CO"/>
        </w:rPr>
      </w:pPr>
    </w:p>
    <w:p w14:paraId="76700FC9" w14:textId="77777777" w:rsidR="00B2442D" w:rsidRDefault="008A645F">
      <w:pPr>
        <w:jc w:val="both"/>
        <w:rPr>
          <w:rFonts w:ascii="Arial" w:hAnsi="Arial" w:cs="Arial"/>
          <w:lang w:val="es-CO"/>
        </w:rPr>
      </w:pPr>
      <w:r>
        <w:rPr>
          <w:rFonts w:ascii="Arial" w:hAnsi="Arial" w:cs="Arial"/>
          <w:lang w:val="es-CO"/>
        </w:rPr>
        <w:t>Energía eléctrica generada con base en recursos eólicos: es aquella que puede obtenerse de las corrientes de viento, de conformidad con el numeral 11 del artículo 3° de la Ley 697 de 2001.</w:t>
      </w:r>
    </w:p>
    <w:p w14:paraId="441A8E2D" w14:textId="77777777" w:rsidR="00B2442D" w:rsidRDefault="00B2442D">
      <w:pPr>
        <w:jc w:val="both"/>
        <w:rPr>
          <w:rFonts w:ascii="Arial" w:hAnsi="Arial" w:cs="Arial"/>
          <w:lang w:val="es-CO"/>
        </w:rPr>
      </w:pPr>
    </w:p>
    <w:p w14:paraId="49CD2D70" w14:textId="77777777" w:rsidR="00B2442D" w:rsidRDefault="008A645F">
      <w:pPr>
        <w:jc w:val="both"/>
        <w:rPr>
          <w:rFonts w:ascii="Arial" w:hAnsi="Arial" w:cs="Arial"/>
          <w:lang w:val="es-CO"/>
        </w:rPr>
      </w:pPr>
      <w:r>
        <w:rPr>
          <w:rFonts w:ascii="Arial" w:hAnsi="Arial" w:cs="Arial"/>
          <w:lang w:val="es-CO"/>
        </w:rPr>
        <w:t>Energía eléctrica gener</w:t>
      </w:r>
      <w:r>
        <w:rPr>
          <w:rFonts w:ascii="Arial" w:hAnsi="Arial" w:cs="Arial"/>
          <w:lang w:val="es-CO"/>
        </w:rPr>
        <w:t>ada con base en biomasa: es aquella que se produce con cualquier tipo de materia orgánica que ha tenido su origen inmediato como consecuencia de un proceso biológico y toda materia vegetal originada en el proceso de fotosíntesis, así como en los procesos m</w:t>
      </w:r>
      <w:r>
        <w:rPr>
          <w:rFonts w:ascii="Arial" w:hAnsi="Arial" w:cs="Arial"/>
          <w:lang w:val="es-CO"/>
        </w:rPr>
        <w:t>etabólicos de los organismos heterótrofos, de conformidad con el numeral 13 del artículo 3° de la Ley 697 de 2001. No incluye la energía eléctrica generada con combustibles fósiles o con los productos derivados de ellos.</w:t>
      </w:r>
    </w:p>
    <w:p w14:paraId="5F54FA67" w14:textId="77777777" w:rsidR="00B2442D" w:rsidRDefault="00B2442D">
      <w:pPr>
        <w:jc w:val="both"/>
        <w:rPr>
          <w:rFonts w:ascii="Arial" w:hAnsi="Arial" w:cs="Arial"/>
          <w:lang w:val="es-CO"/>
        </w:rPr>
      </w:pPr>
    </w:p>
    <w:p w14:paraId="5A171DA7" w14:textId="77777777" w:rsidR="00B2442D" w:rsidRDefault="008A645F">
      <w:pPr>
        <w:jc w:val="both"/>
        <w:rPr>
          <w:rFonts w:ascii="Arial" w:hAnsi="Arial" w:cs="Arial"/>
          <w:lang w:val="es-CO"/>
        </w:rPr>
      </w:pPr>
      <w:r>
        <w:rPr>
          <w:rFonts w:ascii="Arial" w:hAnsi="Arial" w:cs="Arial"/>
          <w:lang w:val="es-CO"/>
        </w:rPr>
        <w:t>Energía eléctrica generada con bas</w:t>
      </w:r>
      <w:r>
        <w:rPr>
          <w:rFonts w:ascii="Arial" w:hAnsi="Arial" w:cs="Arial"/>
          <w:lang w:val="es-CO"/>
        </w:rPr>
        <w:t>e en residuos agrícolas: es aquella que se produce con un tipo de biomasa, referido a la fracción de un cultivo que no constituye la cosecha propiamente dicha y/o la que se produce con aquella parte de la cosecha que no cumple con los requisitos de calidad</w:t>
      </w:r>
      <w:r>
        <w:rPr>
          <w:rFonts w:ascii="Arial" w:hAnsi="Arial" w:cs="Arial"/>
          <w:lang w:val="es-CO"/>
        </w:rPr>
        <w:t xml:space="preserve"> mínima para ser comercializada como tal.</w:t>
      </w:r>
    </w:p>
    <w:p w14:paraId="43D98083" w14:textId="77777777" w:rsidR="00B2442D" w:rsidRDefault="00B2442D">
      <w:pPr>
        <w:jc w:val="both"/>
        <w:rPr>
          <w:rFonts w:ascii="Arial" w:hAnsi="Arial" w:cs="Arial"/>
          <w:lang w:val="es-CO"/>
        </w:rPr>
      </w:pPr>
    </w:p>
    <w:p w14:paraId="0A23EA33" w14:textId="77777777" w:rsidR="00B2442D" w:rsidRDefault="008A645F">
      <w:pPr>
        <w:jc w:val="both"/>
        <w:rPr>
          <w:rFonts w:ascii="Arial" w:hAnsi="Arial" w:cs="Arial"/>
          <w:lang w:val="es-CO"/>
        </w:rPr>
      </w:pPr>
      <w:r>
        <w:rPr>
          <w:rFonts w:ascii="Arial" w:hAnsi="Arial" w:cs="Arial"/>
          <w:lang w:val="es-CO"/>
        </w:rPr>
        <w:t>Obras de beneficio social: aquellas realizadas en áreas de salud, educación, saneamiento básico, agua potable, saneamiento y preservación del medio ambiente y/o vivienda de interés social.</w:t>
      </w:r>
    </w:p>
    <w:p w14:paraId="1EDC5A61" w14:textId="77777777" w:rsidR="00B2442D" w:rsidRDefault="00B2442D">
      <w:pPr>
        <w:jc w:val="both"/>
        <w:rPr>
          <w:rFonts w:ascii="Arial" w:hAnsi="Arial" w:cs="Arial"/>
          <w:lang w:val="es-CO"/>
        </w:rPr>
      </w:pPr>
    </w:p>
    <w:p w14:paraId="06840964" w14:textId="77777777" w:rsidR="00B2442D" w:rsidRDefault="008A645F">
      <w:pPr>
        <w:jc w:val="both"/>
        <w:rPr>
          <w:rFonts w:ascii="Arial" w:hAnsi="Arial" w:cs="Arial"/>
          <w:lang w:val="es-CO"/>
        </w:rPr>
      </w:pPr>
      <w:r>
        <w:rPr>
          <w:rFonts w:ascii="Arial" w:hAnsi="Arial" w:cs="Arial"/>
          <w:lang w:val="es-CO"/>
        </w:rPr>
        <w:t>Región donde opera el g</w:t>
      </w:r>
      <w:r>
        <w:rPr>
          <w:rFonts w:ascii="Arial" w:hAnsi="Arial" w:cs="Arial"/>
          <w:lang w:val="es-CO"/>
        </w:rPr>
        <w:t>enerador: La región donde se localiza la planta generadora y donde se extrae la biomasa o los residuos agrícolas usados como combustible la central  generadora.</w:t>
      </w:r>
    </w:p>
    <w:p w14:paraId="1269061E" w14:textId="77777777" w:rsidR="00B2442D" w:rsidRDefault="00B2442D">
      <w:pPr>
        <w:jc w:val="both"/>
        <w:rPr>
          <w:rFonts w:ascii="Arial" w:hAnsi="Arial" w:cs="Arial"/>
          <w:lang w:val="es-CO"/>
        </w:rPr>
      </w:pPr>
    </w:p>
    <w:p w14:paraId="621C56A2" w14:textId="77777777" w:rsidR="00B2442D" w:rsidRDefault="008A645F">
      <w:pPr>
        <w:jc w:val="both"/>
        <w:rPr>
          <w:rFonts w:ascii="Arial" w:hAnsi="Arial" w:cs="Arial"/>
          <w:i/>
          <w:lang w:val="es-CO"/>
        </w:rPr>
      </w:pPr>
      <w:r>
        <w:rPr>
          <w:rFonts w:ascii="Arial" w:hAnsi="Arial" w:cs="Arial"/>
          <w:i/>
          <w:lang w:val="es-CO"/>
        </w:rPr>
        <w:t>(Art. 1, Decreto 2755 de 2003)</w:t>
      </w:r>
    </w:p>
    <w:p w14:paraId="7434655B" w14:textId="77777777" w:rsidR="00B2442D" w:rsidRDefault="00B2442D">
      <w:pPr>
        <w:jc w:val="both"/>
        <w:rPr>
          <w:rFonts w:ascii="Arial" w:hAnsi="Arial" w:cs="Arial"/>
          <w:i/>
          <w:lang w:val="es-CO"/>
        </w:rPr>
      </w:pPr>
    </w:p>
    <w:p w14:paraId="19215277"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la procedencia de la exención.</w:t>
      </w:r>
      <w:r>
        <w:rPr>
          <w:rFonts w:ascii="Arial" w:hAnsi="Arial" w:cs="Arial"/>
          <w:lang w:val="es-CO"/>
        </w:rPr>
        <w:t xml:space="preserve"> Para la procedencia del beneficio señalado en el artículo anterior, las empresas generadoras de energía eléctrica con base en recursos eólicos, biomasa o residuos agrícolas, deben acreditar, los siguientes requisitos cuando la Unidad Administrativa Especi</w:t>
      </w:r>
      <w:r>
        <w:rPr>
          <w:rFonts w:ascii="Arial" w:hAnsi="Arial" w:cs="Arial"/>
          <w:lang w:val="es-CO"/>
        </w:rPr>
        <w:t xml:space="preserve">al Dirección de Impuestos y Aduanas Nacionales- DIAN los exija: </w:t>
      </w:r>
    </w:p>
    <w:p w14:paraId="2E656331" w14:textId="77777777" w:rsidR="00B2442D" w:rsidRDefault="00B2442D">
      <w:pPr>
        <w:jc w:val="both"/>
        <w:rPr>
          <w:rFonts w:ascii="Arial" w:hAnsi="Arial" w:cs="Arial"/>
          <w:lang w:val="es-CO"/>
        </w:rPr>
      </w:pPr>
    </w:p>
    <w:p w14:paraId="029B1EFA"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Certificación del Ministerio de Minas y Energía en la que conste:</w:t>
      </w:r>
    </w:p>
    <w:p w14:paraId="14001DF0" w14:textId="77777777" w:rsidR="00B2442D" w:rsidRDefault="00B2442D">
      <w:pPr>
        <w:ind w:left="284" w:hanging="284"/>
        <w:jc w:val="both"/>
        <w:rPr>
          <w:rFonts w:ascii="Arial" w:hAnsi="Arial" w:cs="Arial"/>
          <w:lang w:val="es-CO"/>
        </w:rPr>
      </w:pPr>
    </w:p>
    <w:p w14:paraId="63892DBF" w14:textId="77777777" w:rsidR="00B2442D" w:rsidRDefault="008A645F">
      <w:pPr>
        <w:ind w:left="284" w:hanging="284"/>
        <w:jc w:val="both"/>
        <w:rPr>
          <w:rFonts w:ascii="Arial" w:hAnsi="Arial" w:cs="Arial"/>
          <w:lang w:val="es-CO"/>
        </w:rPr>
      </w:pPr>
      <w:r>
        <w:rPr>
          <w:rFonts w:ascii="Arial" w:hAnsi="Arial" w:cs="Arial"/>
          <w:lang w:val="es-CO"/>
        </w:rPr>
        <w:t xml:space="preserve">a) </w:t>
      </w:r>
      <w:r>
        <w:rPr>
          <w:rFonts w:ascii="Arial" w:hAnsi="Arial" w:cs="Arial"/>
          <w:lang w:val="es-CO"/>
        </w:rPr>
        <w:tab/>
        <w:t>Que se trata de una empresa generadora de energía eléctrica.</w:t>
      </w:r>
    </w:p>
    <w:p w14:paraId="20ACD3A7" w14:textId="77777777" w:rsidR="00B2442D" w:rsidRDefault="00B2442D">
      <w:pPr>
        <w:ind w:left="284" w:hanging="284"/>
        <w:jc w:val="both"/>
        <w:rPr>
          <w:rFonts w:ascii="Arial" w:hAnsi="Arial" w:cs="Arial"/>
          <w:lang w:val="es-CO"/>
        </w:rPr>
      </w:pPr>
    </w:p>
    <w:p w14:paraId="21406A4A"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Que la energía eléctrica ha sido generada con base </w:t>
      </w:r>
      <w:r>
        <w:rPr>
          <w:rFonts w:ascii="Arial" w:hAnsi="Arial" w:cs="Arial"/>
          <w:lang w:val="es-CO"/>
        </w:rPr>
        <w:t>en recursos eólicos, biomasa o residuos agrícolas.</w:t>
      </w:r>
    </w:p>
    <w:p w14:paraId="3F3A4A56" w14:textId="77777777" w:rsidR="00B2442D" w:rsidRDefault="00B2442D">
      <w:pPr>
        <w:ind w:left="284" w:hanging="284"/>
        <w:jc w:val="both"/>
        <w:rPr>
          <w:rFonts w:ascii="Arial" w:hAnsi="Arial" w:cs="Arial"/>
          <w:lang w:val="es-CO"/>
        </w:rPr>
      </w:pPr>
    </w:p>
    <w:p w14:paraId="3A429A96"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Certificación del Ministerio de Ambiente y Desarrollo Sostenible sobre trámite y obtención de las reducciones certificadas de emisiones-RCE-, de acuerdo con la Decisión 17/CP.7, de la Séptima Conferenc</w:t>
      </w:r>
      <w:r>
        <w:rPr>
          <w:rFonts w:ascii="Arial" w:hAnsi="Arial" w:cs="Arial"/>
          <w:lang w:val="es-CO"/>
        </w:rPr>
        <w:t xml:space="preserve">ia de las Partes de la Convención Marco de las Naciones Unidas sobre Cambio Climático, o  las decisiones que los sustituyan, complementen o modifiquen. Para el efecto el contribuyente deberá presentar ante ese Ministerio la siguiente documentación: </w:t>
      </w:r>
    </w:p>
    <w:p w14:paraId="28314210" w14:textId="77777777" w:rsidR="00B2442D" w:rsidRDefault="00B2442D">
      <w:pPr>
        <w:ind w:left="284" w:hanging="284"/>
        <w:jc w:val="both"/>
        <w:rPr>
          <w:rFonts w:ascii="Arial" w:hAnsi="Arial" w:cs="Arial"/>
          <w:lang w:val="es-CO"/>
        </w:rPr>
      </w:pPr>
    </w:p>
    <w:p w14:paraId="04C023ED"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Co</w:t>
      </w:r>
      <w:r>
        <w:rPr>
          <w:rFonts w:ascii="Arial" w:hAnsi="Arial" w:cs="Arial"/>
          <w:lang w:val="es-CO"/>
        </w:rPr>
        <w:t>pia del documento contentivo del proyecto validado y registrado ante la Junta Ejecutiva del Mecanismo de Desarrollo Limpio del Protocolo de Kyoto de conformidad con los párrafos 35, 36, 37 y Apéndice B del anexo del proyecto de decisión /CMP.1 (Artículo 12</w:t>
      </w:r>
      <w:r>
        <w:rPr>
          <w:rFonts w:ascii="Arial" w:hAnsi="Arial" w:cs="Arial"/>
          <w:lang w:val="es-CO"/>
        </w:rPr>
        <w:t>) de la Decisión 17/CP.7, de la Séptima Conferencia de la Partes de la Convención Marco de las Naciones Unidas sobre Cambio Climático, o las decisiones que lo sustituyan o modifiquen. El documento deberá contener información suficiente, que junto con la qu</w:t>
      </w:r>
      <w:r>
        <w:rPr>
          <w:rFonts w:ascii="Arial" w:hAnsi="Arial" w:cs="Arial"/>
          <w:lang w:val="es-CO"/>
        </w:rPr>
        <w:t>e solicite el  Ministerio, le permita evaluar conforme con la reglamentación que expida para el efecto, si al menos el cincuenta por ciento (50%) de los recursos obtenidos de la venta de las reducciones certificadas de emisiones – RCE, están invertidos por</w:t>
      </w:r>
      <w:r>
        <w:rPr>
          <w:rFonts w:ascii="Arial" w:hAnsi="Arial" w:cs="Arial"/>
          <w:lang w:val="es-CO"/>
        </w:rPr>
        <w:t xml:space="preserve"> la empresa generadora en obras de beneficio social en la región de influencia del proyecto.</w:t>
      </w:r>
    </w:p>
    <w:p w14:paraId="5A2EF2D8" w14:textId="77777777" w:rsidR="00B2442D" w:rsidRDefault="00B2442D">
      <w:pPr>
        <w:ind w:left="284" w:hanging="284"/>
        <w:jc w:val="both"/>
        <w:rPr>
          <w:rFonts w:ascii="Arial" w:hAnsi="Arial" w:cs="Arial"/>
          <w:lang w:val="es-CO"/>
        </w:rPr>
      </w:pPr>
    </w:p>
    <w:p w14:paraId="562727B4"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Copia de la decisión relativa a la aprobación de la expedición de reducción certificadas de emisiones - RCE del proyecto, junto con sus fundamentos, que emite </w:t>
      </w:r>
      <w:r>
        <w:rPr>
          <w:rFonts w:ascii="Arial" w:hAnsi="Arial" w:cs="Arial"/>
          <w:lang w:val="es-CO"/>
        </w:rPr>
        <w:t>la Junta Ejecutiva del Mecanismo de Desarrollo Limpio del Protocolo de Kyoto, a que hacen referencia los párrafos 1 a) y 65 c) del anexo del proyecto de decisión /CMP.1 (Artículo 12) de la Decisión 17/CP.7, de los Acuerdos de la Séptima Conferencia de la P</w:t>
      </w:r>
      <w:r>
        <w:rPr>
          <w:rFonts w:ascii="Arial" w:hAnsi="Arial" w:cs="Arial"/>
          <w:lang w:val="es-CO"/>
        </w:rPr>
        <w:t>artes de la Convención Marco de las Naciones Unidas sobre Cambio Climático en el 2001, o de los que lo sustituyan o modifiquen.</w:t>
      </w:r>
    </w:p>
    <w:p w14:paraId="372AF90F" w14:textId="77777777" w:rsidR="00B2442D" w:rsidRDefault="00B2442D">
      <w:pPr>
        <w:ind w:left="284" w:hanging="284"/>
        <w:jc w:val="both"/>
        <w:rPr>
          <w:rFonts w:ascii="Arial" w:hAnsi="Arial" w:cs="Arial"/>
          <w:lang w:val="es-CO"/>
        </w:rPr>
      </w:pPr>
    </w:p>
    <w:p w14:paraId="06A19808"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Copia del contrato de compra-venta y de documentos que soporten la venta de los certificados de reducción certificada de emi</w:t>
      </w:r>
      <w:r>
        <w:rPr>
          <w:rFonts w:ascii="Arial" w:hAnsi="Arial" w:cs="Arial"/>
          <w:lang w:val="es-CO"/>
        </w:rPr>
        <w:t>siones – RCE.</w:t>
      </w:r>
    </w:p>
    <w:p w14:paraId="00522DBF" w14:textId="77777777" w:rsidR="00B2442D" w:rsidRDefault="00B2442D">
      <w:pPr>
        <w:ind w:left="284" w:hanging="284"/>
        <w:jc w:val="both"/>
        <w:rPr>
          <w:rFonts w:ascii="Arial" w:hAnsi="Arial" w:cs="Arial"/>
          <w:lang w:val="es-CO"/>
        </w:rPr>
      </w:pPr>
    </w:p>
    <w:p w14:paraId="6BB1ACC2"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Certificación de la Gobernación respectiva en la que se indique la proporción de afectación de cada uno de los municipios de su jurisdicción por la construcción y operación de la central generadora. </w:t>
      </w:r>
    </w:p>
    <w:p w14:paraId="1A3D8D69" w14:textId="77777777" w:rsidR="00B2442D" w:rsidRDefault="00B2442D">
      <w:pPr>
        <w:ind w:left="284" w:hanging="284"/>
        <w:jc w:val="both"/>
        <w:rPr>
          <w:rFonts w:ascii="Arial" w:hAnsi="Arial" w:cs="Arial"/>
          <w:lang w:val="es-CO"/>
        </w:rPr>
      </w:pPr>
    </w:p>
    <w:p w14:paraId="4666AB78"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Certificación de la Alcaldía en la</w:t>
      </w:r>
      <w:r>
        <w:rPr>
          <w:rFonts w:ascii="Arial" w:hAnsi="Arial" w:cs="Arial"/>
          <w:lang w:val="es-CO"/>
        </w:rPr>
        <w:t xml:space="preserve"> que se indique el valor y el concepto de las obras de beneficio social realizadas en el respectivo municipio.</w:t>
      </w:r>
    </w:p>
    <w:p w14:paraId="6BCCE884" w14:textId="77777777" w:rsidR="00B2442D" w:rsidRDefault="00B2442D">
      <w:pPr>
        <w:ind w:left="284" w:hanging="284"/>
        <w:jc w:val="both"/>
        <w:rPr>
          <w:rFonts w:ascii="Arial" w:hAnsi="Arial" w:cs="Arial"/>
          <w:lang w:val="es-CO"/>
        </w:rPr>
      </w:pPr>
    </w:p>
    <w:p w14:paraId="2F010C8F"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t>Certificación del representante legal y del revisor fiscal y/o contador Público de la empresa generadora de energía eléctrica en la que const</w:t>
      </w:r>
      <w:r>
        <w:rPr>
          <w:rFonts w:ascii="Arial" w:hAnsi="Arial" w:cs="Arial"/>
          <w:lang w:val="es-CO"/>
        </w:rPr>
        <w:t xml:space="preserve">e: </w:t>
      </w:r>
    </w:p>
    <w:p w14:paraId="564BA67C" w14:textId="77777777" w:rsidR="00B2442D" w:rsidRDefault="00B2442D">
      <w:pPr>
        <w:ind w:left="284" w:hanging="284"/>
        <w:jc w:val="both"/>
        <w:rPr>
          <w:rFonts w:ascii="Arial" w:hAnsi="Arial" w:cs="Arial"/>
          <w:lang w:val="es-CO"/>
        </w:rPr>
      </w:pPr>
    </w:p>
    <w:p w14:paraId="2F3EC966"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Ubicación del proyecto u obra generadora de la energía eléctrica.</w:t>
      </w:r>
    </w:p>
    <w:p w14:paraId="16C12C8B"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Valor de las ventas de energía eléctrica realizadas durante el respectivo año gravable.</w:t>
      </w:r>
    </w:p>
    <w:p w14:paraId="0BD685D9"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Valor de los certificados adquiridos en el año gravable.</w:t>
      </w:r>
    </w:p>
    <w:p w14:paraId="3FD995E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Valor de los </w:t>
      </w:r>
      <w:r>
        <w:rPr>
          <w:rFonts w:ascii="Arial" w:hAnsi="Arial" w:cs="Arial"/>
          <w:lang w:val="es-CO"/>
        </w:rPr>
        <w:t>certificados vendidos dentro del año gravable.</w:t>
      </w:r>
    </w:p>
    <w:p w14:paraId="195857A6"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Valor de la inversión y ubicación de las obras de beneficio social realizadas por la empresa en el año gravable en que solicita la exención. </w:t>
      </w:r>
    </w:p>
    <w:p w14:paraId="6D272C88" w14:textId="77777777" w:rsidR="00B2442D" w:rsidRDefault="00B2442D">
      <w:pPr>
        <w:ind w:left="284" w:hanging="284"/>
        <w:jc w:val="both"/>
        <w:rPr>
          <w:rFonts w:ascii="Arial" w:hAnsi="Arial" w:cs="Arial"/>
          <w:lang w:val="es-CO"/>
        </w:rPr>
      </w:pPr>
    </w:p>
    <w:p w14:paraId="12E44436" w14:textId="77777777" w:rsidR="00B2442D" w:rsidRDefault="008A645F">
      <w:pPr>
        <w:ind w:left="284" w:hanging="284"/>
        <w:jc w:val="both"/>
        <w:rPr>
          <w:rFonts w:ascii="Arial" w:hAnsi="Arial" w:cs="Arial"/>
          <w:lang w:val="es-CO"/>
        </w:rPr>
      </w:pPr>
      <w:r>
        <w:rPr>
          <w:rFonts w:ascii="Arial" w:hAnsi="Arial" w:cs="Arial"/>
          <w:lang w:val="es-CO"/>
        </w:rPr>
        <w:t>7.</w:t>
      </w:r>
      <w:r>
        <w:rPr>
          <w:rFonts w:ascii="Arial" w:hAnsi="Arial" w:cs="Arial"/>
          <w:lang w:val="es-CO"/>
        </w:rPr>
        <w:tab/>
        <w:t xml:space="preserve">Certificación del revisor fiscal y/o contador público de la </w:t>
      </w:r>
      <w:r>
        <w:rPr>
          <w:rFonts w:ascii="Arial" w:hAnsi="Arial" w:cs="Arial"/>
          <w:lang w:val="es-CO"/>
        </w:rPr>
        <w:t>empresa en la que se acredite que se lleva contabilidad separada de los ingresos generados por las ventas de energía eléctrica con base en recursos eólicos, biomasa o residuos agrícolas y de los ingresos originados en otras actividades desarrolladas por la</w:t>
      </w:r>
      <w:r>
        <w:rPr>
          <w:rFonts w:ascii="Arial" w:hAnsi="Arial" w:cs="Arial"/>
          <w:lang w:val="es-CO"/>
        </w:rPr>
        <w:t xml:space="preserve"> empresa.</w:t>
      </w:r>
    </w:p>
    <w:p w14:paraId="5A19872F" w14:textId="77777777" w:rsidR="00B2442D" w:rsidRDefault="00B2442D">
      <w:pPr>
        <w:ind w:left="284" w:hanging="284"/>
        <w:jc w:val="both"/>
        <w:rPr>
          <w:rFonts w:ascii="Arial" w:hAnsi="Arial" w:cs="Arial"/>
          <w:lang w:val="es-CO"/>
        </w:rPr>
      </w:pPr>
    </w:p>
    <w:p w14:paraId="2063FF6D" w14:textId="77777777" w:rsidR="00B2442D" w:rsidRDefault="008A645F">
      <w:pPr>
        <w:jc w:val="both"/>
        <w:rPr>
          <w:rFonts w:ascii="Arial" w:hAnsi="Arial" w:cs="Arial"/>
          <w:i/>
          <w:lang w:val="es-CO"/>
        </w:rPr>
      </w:pPr>
      <w:r>
        <w:rPr>
          <w:rFonts w:ascii="Arial" w:hAnsi="Arial" w:cs="Arial"/>
          <w:i/>
          <w:lang w:val="es-CO"/>
        </w:rPr>
        <w:t>(Art. 2, Decreto 2755 de 2003)</w:t>
      </w:r>
    </w:p>
    <w:p w14:paraId="374ABAE9" w14:textId="77777777" w:rsidR="00B2442D" w:rsidRDefault="00B2442D">
      <w:pPr>
        <w:jc w:val="both"/>
        <w:rPr>
          <w:rFonts w:ascii="Arial" w:hAnsi="Arial" w:cs="Arial"/>
          <w:lang w:val="es-CO"/>
        </w:rPr>
      </w:pPr>
    </w:p>
    <w:p w14:paraId="48F14CF8"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 exenta en la prestación del servicio de transporte fluvial.</w:t>
      </w:r>
      <w:r>
        <w:rPr>
          <w:rFonts w:ascii="Arial" w:hAnsi="Arial" w:cs="Arial"/>
          <w:lang w:val="es-CO"/>
        </w:rPr>
        <w:t xml:space="preserve"> Las rentas provenientes de la prestación del servicio de transporte fluvial de personas, animales o cosas con embarcaciones y planchones de bajo ca</w:t>
      </w:r>
      <w:r>
        <w:rPr>
          <w:rFonts w:ascii="Arial" w:hAnsi="Arial" w:cs="Arial"/>
          <w:lang w:val="es-CO"/>
        </w:rPr>
        <w:t>lado, están exentas del impuesto sobre la renta por un término de quince (15) años contados a partir del 1º de enero de 2003. Para tal efecto se consideran embarcaciones y planchones de bajo calado aquellas que con carga tengan un calado igual o inferior a</w:t>
      </w:r>
      <w:r>
        <w:rPr>
          <w:rFonts w:ascii="Arial" w:hAnsi="Arial" w:cs="Arial"/>
          <w:lang w:val="es-CO"/>
        </w:rPr>
        <w:t xml:space="preserve"> 4.5 pies, o las que cumplan con las características definidas por el Ministerio de Transporte.</w:t>
      </w:r>
    </w:p>
    <w:p w14:paraId="6C229524" w14:textId="77777777" w:rsidR="00B2442D" w:rsidRDefault="00B2442D">
      <w:pPr>
        <w:jc w:val="both"/>
        <w:rPr>
          <w:rFonts w:ascii="Arial" w:hAnsi="Arial" w:cs="Arial"/>
          <w:lang w:val="es-CO"/>
        </w:rPr>
      </w:pPr>
    </w:p>
    <w:p w14:paraId="05C0781F" w14:textId="77777777" w:rsidR="00B2442D" w:rsidRDefault="008A645F">
      <w:pPr>
        <w:jc w:val="both"/>
        <w:rPr>
          <w:rFonts w:ascii="Arial" w:hAnsi="Arial" w:cs="Arial"/>
          <w:lang w:val="es-CO"/>
        </w:rPr>
      </w:pPr>
      <w:r>
        <w:rPr>
          <w:rFonts w:ascii="Arial" w:hAnsi="Arial" w:cs="Arial"/>
          <w:lang w:val="es-CO"/>
        </w:rPr>
        <w:t>Para la procedencia de la exención el contribuyente deberá acreditar el cumplimiento de los siguientes requisitos cuando la Unidad Administrativa Especial Dire</w:t>
      </w:r>
      <w:r>
        <w:rPr>
          <w:rFonts w:ascii="Arial" w:hAnsi="Arial" w:cs="Arial"/>
          <w:lang w:val="es-CO"/>
        </w:rPr>
        <w:t>cción de Impuestos y Aduanas Nacionales- DIAN los exija:</w:t>
      </w:r>
    </w:p>
    <w:p w14:paraId="43CD026C" w14:textId="77777777" w:rsidR="00B2442D" w:rsidRDefault="00B2442D">
      <w:pPr>
        <w:jc w:val="both"/>
        <w:rPr>
          <w:rFonts w:ascii="Arial" w:hAnsi="Arial" w:cs="Arial"/>
          <w:lang w:val="es-CO"/>
        </w:rPr>
      </w:pPr>
    </w:p>
    <w:p w14:paraId="2AE2B5D0"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Registro ante el Ministerio de Transporte o autoridad competente como empresa prestadora del servicio de transporte fluvial.</w:t>
      </w:r>
    </w:p>
    <w:p w14:paraId="5665B877" w14:textId="77777777" w:rsidR="00B2442D" w:rsidRDefault="00B2442D">
      <w:pPr>
        <w:ind w:left="284" w:hanging="284"/>
        <w:jc w:val="both"/>
        <w:rPr>
          <w:rFonts w:ascii="Arial" w:hAnsi="Arial" w:cs="Arial"/>
          <w:lang w:val="es-CO"/>
        </w:rPr>
      </w:pPr>
    </w:p>
    <w:p w14:paraId="17628726"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Certificación del Ministerio de Transporte o autoridad competente </w:t>
      </w:r>
      <w:r>
        <w:rPr>
          <w:rFonts w:ascii="Arial" w:hAnsi="Arial" w:cs="Arial"/>
          <w:lang w:val="es-CO"/>
        </w:rPr>
        <w:t>en la que se haga constar el cumplimiento de los requisitos establecidos para la prestación de este tipo de servicio.</w:t>
      </w:r>
    </w:p>
    <w:p w14:paraId="39E76F15" w14:textId="77777777" w:rsidR="00B2442D" w:rsidRDefault="00B2442D">
      <w:pPr>
        <w:ind w:left="284" w:hanging="284"/>
        <w:jc w:val="both"/>
        <w:rPr>
          <w:rFonts w:ascii="Arial" w:hAnsi="Arial" w:cs="Arial"/>
          <w:lang w:val="es-CO"/>
        </w:rPr>
      </w:pPr>
    </w:p>
    <w:p w14:paraId="7E9D4DE5"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Certificación de contador público y/o revisor fiscal en la cual se haga constar el valor de las rentas obtenidas por este servicio dur</w:t>
      </w:r>
      <w:r>
        <w:rPr>
          <w:rFonts w:ascii="Arial" w:hAnsi="Arial" w:cs="Arial"/>
          <w:lang w:val="es-CO"/>
        </w:rPr>
        <w:t>ante el respectivo año gravable.</w:t>
      </w:r>
    </w:p>
    <w:p w14:paraId="73C23F27" w14:textId="77777777" w:rsidR="00B2442D" w:rsidRDefault="00B2442D">
      <w:pPr>
        <w:ind w:left="284" w:hanging="284"/>
        <w:jc w:val="both"/>
        <w:rPr>
          <w:rFonts w:ascii="Arial" w:hAnsi="Arial" w:cs="Arial"/>
          <w:lang w:val="es-CO"/>
        </w:rPr>
      </w:pPr>
    </w:p>
    <w:p w14:paraId="7DFDA9D5"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Certificación del revisor fiscal y/o contador público de la empresa en la que se acredite que se lleva contabilidad separada de los ingresos generados por la prestación de servicios de transporte fluvial exentos del imp</w:t>
      </w:r>
      <w:r>
        <w:rPr>
          <w:rFonts w:ascii="Arial" w:hAnsi="Arial" w:cs="Arial"/>
          <w:lang w:val="es-CO"/>
        </w:rPr>
        <w:t>uesto sobre la renta y de los ingresos originados en otras actividades desarrolladas por la empresa.</w:t>
      </w:r>
    </w:p>
    <w:p w14:paraId="07695B86" w14:textId="77777777" w:rsidR="00B2442D" w:rsidRDefault="00B2442D">
      <w:pPr>
        <w:jc w:val="both"/>
        <w:rPr>
          <w:rFonts w:ascii="Arial" w:hAnsi="Arial" w:cs="Arial"/>
          <w:lang w:val="es-CO"/>
        </w:rPr>
      </w:pPr>
    </w:p>
    <w:p w14:paraId="6FE8E2FE" w14:textId="77777777" w:rsidR="00B2442D" w:rsidRDefault="008A645F">
      <w:pPr>
        <w:jc w:val="both"/>
        <w:rPr>
          <w:rFonts w:ascii="Arial" w:hAnsi="Arial" w:cs="Arial"/>
          <w:i/>
          <w:lang w:val="es-CO"/>
        </w:rPr>
      </w:pPr>
      <w:r>
        <w:rPr>
          <w:rFonts w:ascii="Arial" w:hAnsi="Arial" w:cs="Arial"/>
          <w:i/>
          <w:lang w:val="es-CO"/>
        </w:rPr>
        <w:t>(Art. 3, Decreto 2755 de 2003)</w:t>
      </w:r>
    </w:p>
    <w:p w14:paraId="545916C5" w14:textId="77777777" w:rsidR="00B2442D" w:rsidRDefault="00B2442D">
      <w:pPr>
        <w:jc w:val="both"/>
        <w:rPr>
          <w:rFonts w:ascii="Arial" w:hAnsi="Arial" w:cs="Arial"/>
          <w:lang w:val="es-CO"/>
        </w:rPr>
      </w:pPr>
    </w:p>
    <w:p w14:paraId="78CB5E00"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 exenta en servicios hoteleros prestados en nuevos hoteles.</w:t>
      </w:r>
      <w:r>
        <w:rPr>
          <w:rFonts w:ascii="Arial" w:hAnsi="Arial" w:cs="Arial"/>
          <w:lang w:val="es-CO"/>
        </w:rPr>
        <w:t xml:space="preserve"> Las rentas provenientes de servicios hoteleros prestados </w:t>
      </w:r>
      <w:r>
        <w:rPr>
          <w:rFonts w:ascii="Arial" w:hAnsi="Arial" w:cs="Arial"/>
          <w:lang w:val="es-CO"/>
        </w:rPr>
        <w:t xml:space="preserve">en nuevos hoteles cuya construcción se inicie antes del 31 de diciembre de 2017, obtenidas por el establecimiento hotelero o por el operador según el caso, estarán exentas del impuesto sobre la renta por un término de treinta (30) años contados partir del </w:t>
      </w:r>
      <w:r>
        <w:rPr>
          <w:rFonts w:ascii="Arial" w:hAnsi="Arial" w:cs="Arial"/>
          <w:lang w:val="es-CO"/>
        </w:rPr>
        <w:t>año gravable en que se inicien las operaciones.</w:t>
      </w:r>
    </w:p>
    <w:p w14:paraId="2CE22F6C" w14:textId="77777777" w:rsidR="00B2442D" w:rsidRDefault="00B2442D">
      <w:pPr>
        <w:jc w:val="both"/>
        <w:rPr>
          <w:rFonts w:ascii="Arial" w:hAnsi="Arial" w:cs="Arial"/>
          <w:lang w:val="es-CO"/>
        </w:rPr>
      </w:pPr>
    </w:p>
    <w:p w14:paraId="7C41FACD" w14:textId="77777777" w:rsidR="00B2442D" w:rsidRDefault="008A645F">
      <w:pPr>
        <w:jc w:val="both"/>
        <w:rPr>
          <w:rFonts w:ascii="Arial" w:hAnsi="Arial" w:cs="Arial"/>
          <w:lang w:val="es-CO"/>
        </w:rPr>
      </w:pPr>
      <w:r>
        <w:rPr>
          <w:rFonts w:ascii="Arial" w:hAnsi="Arial" w:cs="Arial"/>
          <w:lang w:val="es-CO"/>
        </w:rPr>
        <w:t>Para tal efecto, se consideran nuevos hoteles únicamente aquellos hoteles construidos o que demuestren un avance de por lo menos el sesenta y uno por ciento (61%) en la construcción de la infraestructura hot</w:t>
      </w:r>
      <w:r>
        <w:rPr>
          <w:rFonts w:ascii="Arial" w:hAnsi="Arial" w:cs="Arial"/>
          <w:lang w:val="es-CO"/>
        </w:rPr>
        <w:t>elera entre el 1o de enero del año 2003 y el 31 de diciembre del año 2017.</w:t>
      </w:r>
    </w:p>
    <w:p w14:paraId="0A3F9000" w14:textId="77777777" w:rsidR="00B2442D" w:rsidRDefault="00B2442D">
      <w:pPr>
        <w:jc w:val="both"/>
        <w:rPr>
          <w:rFonts w:ascii="Arial" w:hAnsi="Arial" w:cs="Arial"/>
          <w:lang w:val="es-CO"/>
        </w:rPr>
      </w:pPr>
    </w:p>
    <w:p w14:paraId="4383F77D"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Los ingresos provenientes de los servicios de moteles, residencias y establecimientos similares no se encuentran amparados por la exención prevista en este artículo.</w:t>
      </w:r>
    </w:p>
    <w:p w14:paraId="38BA45AF" w14:textId="77777777" w:rsidR="00B2442D" w:rsidRDefault="00B2442D">
      <w:pPr>
        <w:jc w:val="both"/>
        <w:rPr>
          <w:rFonts w:ascii="Arial" w:hAnsi="Arial" w:cs="Arial"/>
          <w:lang w:val="es-CO"/>
        </w:rPr>
      </w:pPr>
    </w:p>
    <w:p w14:paraId="5D102B28" w14:textId="77777777" w:rsidR="00B2442D" w:rsidRDefault="008A645F">
      <w:pPr>
        <w:jc w:val="both"/>
        <w:rPr>
          <w:rFonts w:ascii="Arial" w:hAnsi="Arial" w:cs="Arial"/>
          <w:lang w:val="es-CO"/>
        </w:rPr>
      </w:pPr>
      <w:r>
        <w:rPr>
          <w:rFonts w:ascii="Arial" w:hAnsi="Arial" w:cs="Arial"/>
          <w:b/>
          <w:lang w:val="es-CO"/>
        </w:rPr>
        <w:t xml:space="preserve">Parágrafo 2o. </w:t>
      </w:r>
      <w:r>
        <w:rPr>
          <w:rFonts w:ascii="Arial" w:hAnsi="Arial" w:cs="Arial"/>
          <w:lang w:val="es-CO"/>
        </w:rPr>
        <w:t>El Ministerio de Comercio, Industria y Turismo certificará a través del ár</w:t>
      </w:r>
      <w:r>
        <w:rPr>
          <w:rFonts w:ascii="Arial" w:hAnsi="Arial" w:cs="Arial"/>
          <w:lang w:val="es-CO"/>
        </w:rPr>
        <w:t>ea que se designe para tales efectos, a la Unidad Administrativa Especial Dirección de Impuestos y Aduanas Nacionales– DIAN el avance de que trata el inciso segundo de este artículo.</w:t>
      </w:r>
    </w:p>
    <w:p w14:paraId="50547C8A" w14:textId="77777777" w:rsidR="00B2442D" w:rsidRDefault="00B2442D">
      <w:pPr>
        <w:jc w:val="both"/>
        <w:rPr>
          <w:rFonts w:ascii="Arial" w:hAnsi="Arial" w:cs="Arial"/>
          <w:lang w:val="es-CO"/>
        </w:rPr>
      </w:pPr>
    </w:p>
    <w:p w14:paraId="543AA042"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En todo caso para la procedencia de la exención en servici</w:t>
      </w:r>
      <w:r>
        <w:rPr>
          <w:rFonts w:ascii="Arial" w:hAnsi="Arial" w:cs="Arial"/>
          <w:lang w:val="es-CO"/>
        </w:rPr>
        <w:t>os hoteleros prestados en nuevos hoteles se deberá dar cumplimiento a lo dispuesto en el artículo 1.2.1.22.11 del presente decreto.</w:t>
      </w:r>
    </w:p>
    <w:p w14:paraId="6822F3EB" w14:textId="77777777" w:rsidR="00B2442D" w:rsidRDefault="00B2442D">
      <w:pPr>
        <w:jc w:val="both"/>
        <w:rPr>
          <w:rFonts w:ascii="Arial" w:hAnsi="Arial" w:cs="Arial"/>
          <w:lang w:val="es-CO"/>
        </w:rPr>
      </w:pPr>
    </w:p>
    <w:p w14:paraId="1FF46673" w14:textId="77777777" w:rsidR="00B2442D" w:rsidRDefault="008A645F">
      <w:pPr>
        <w:jc w:val="both"/>
        <w:rPr>
          <w:rFonts w:ascii="Arial" w:hAnsi="Arial" w:cs="Arial"/>
          <w:i/>
          <w:lang w:val="es-CO"/>
        </w:rPr>
      </w:pPr>
      <w:r>
        <w:rPr>
          <w:rFonts w:ascii="Arial" w:hAnsi="Arial" w:cs="Arial"/>
          <w:i/>
          <w:lang w:val="es-CO"/>
        </w:rPr>
        <w:t>(Art. 4, Decreto 2755 de 2003, modificado por el art. 1 del Decreto 920 de 2009 y el art. 1 del Decreto 463 de 2016)</w:t>
      </w:r>
    </w:p>
    <w:p w14:paraId="7E0B08B7" w14:textId="77777777" w:rsidR="00B2442D" w:rsidRDefault="00B2442D">
      <w:pPr>
        <w:jc w:val="both"/>
        <w:rPr>
          <w:rFonts w:ascii="Arial" w:hAnsi="Arial" w:cs="Arial"/>
          <w:lang w:val="es-CO"/>
        </w:rPr>
      </w:pPr>
    </w:p>
    <w:p w14:paraId="085A4481"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w:t>
      </w:r>
      <w:r>
        <w:rPr>
          <w:rFonts w:ascii="Arial" w:hAnsi="Arial" w:cs="Arial"/>
          <w:b/>
          <w:i/>
          <w:lang w:val="es-CO"/>
        </w:rPr>
        <w:t>sitos para la procedencia de la exención en servicios hoteleros prestados en nuevos hoteles.</w:t>
      </w:r>
      <w:r>
        <w:rPr>
          <w:rFonts w:ascii="Arial" w:hAnsi="Arial" w:cs="Arial"/>
          <w:lang w:val="es-CO"/>
        </w:rPr>
        <w:t xml:space="preserve"> Para la procedencia de la exención, el contribuyente deberá acreditar el cumplimiento de los siguientes requisitos cuando la Unidad Administrativa Especial Direcci</w:t>
      </w:r>
      <w:r>
        <w:rPr>
          <w:rFonts w:ascii="Arial" w:hAnsi="Arial" w:cs="Arial"/>
          <w:lang w:val="es-CO"/>
        </w:rPr>
        <w:t>ón de Impuestos y Aduanas Nacionales-DIAN, los exija:</w:t>
      </w:r>
    </w:p>
    <w:p w14:paraId="0A02AB42" w14:textId="77777777" w:rsidR="00B2442D" w:rsidRDefault="00B2442D">
      <w:pPr>
        <w:ind w:left="567" w:hanging="567"/>
        <w:jc w:val="both"/>
        <w:rPr>
          <w:rFonts w:ascii="Arial" w:hAnsi="Arial" w:cs="Arial"/>
          <w:lang w:val="es-CO"/>
        </w:rPr>
      </w:pPr>
    </w:p>
    <w:p w14:paraId="2370C4C4" w14:textId="77777777" w:rsidR="00B2442D" w:rsidRDefault="008A645F">
      <w:pPr>
        <w:ind w:left="567" w:hanging="567"/>
        <w:jc w:val="both"/>
        <w:rPr>
          <w:rFonts w:ascii="Arial" w:hAnsi="Arial" w:cs="Arial"/>
          <w:lang w:val="es-CO"/>
        </w:rPr>
      </w:pPr>
      <w:r>
        <w:rPr>
          <w:rFonts w:ascii="Arial" w:hAnsi="Arial" w:cs="Arial"/>
          <w:lang w:val="es-CO"/>
        </w:rPr>
        <w:t>1.</w:t>
      </w:r>
      <w:r>
        <w:rPr>
          <w:rFonts w:ascii="Arial" w:hAnsi="Arial" w:cs="Arial"/>
          <w:lang w:val="es-CO"/>
        </w:rPr>
        <w:tab/>
        <w:t>Inscripción en el Registro Nacional de Turismo del Ministerio de Comercio, Industria y Turismo o el que haga sus veces.</w:t>
      </w:r>
    </w:p>
    <w:p w14:paraId="3839591D" w14:textId="77777777" w:rsidR="00B2442D" w:rsidRDefault="00B2442D">
      <w:pPr>
        <w:ind w:left="567" w:hanging="567"/>
        <w:jc w:val="both"/>
        <w:rPr>
          <w:rFonts w:ascii="Arial" w:hAnsi="Arial" w:cs="Arial"/>
          <w:lang w:val="es-CO"/>
        </w:rPr>
      </w:pPr>
    </w:p>
    <w:p w14:paraId="0B1C7312" w14:textId="77777777" w:rsidR="00B2442D" w:rsidRDefault="008A645F">
      <w:pPr>
        <w:ind w:left="567" w:hanging="567"/>
        <w:jc w:val="both"/>
        <w:rPr>
          <w:rFonts w:ascii="Arial" w:hAnsi="Arial" w:cs="Arial"/>
          <w:lang w:val="es-CO"/>
        </w:rPr>
      </w:pPr>
      <w:r>
        <w:rPr>
          <w:rFonts w:ascii="Arial" w:hAnsi="Arial" w:cs="Arial"/>
          <w:lang w:val="es-CO"/>
        </w:rPr>
        <w:t>2.</w:t>
      </w:r>
      <w:r>
        <w:rPr>
          <w:rFonts w:ascii="Arial" w:hAnsi="Arial" w:cs="Arial"/>
          <w:lang w:val="es-CO"/>
        </w:rPr>
        <w:tab/>
        <w:t>Certificación expedida por el Ministerio de Comercio, Industria y Turismo,</w:t>
      </w:r>
      <w:r>
        <w:rPr>
          <w:rFonts w:ascii="Arial" w:hAnsi="Arial" w:cs="Arial"/>
          <w:lang w:val="es-CO"/>
        </w:rPr>
        <w:t xml:space="preserve"> sobre la prestación de servicios hoteleros en el nuevo establecimiento hotelero.</w:t>
      </w:r>
    </w:p>
    <w:p w14:paraId="5D774298" w14:textId="77777777" w:rsidR="00B2442D" w:rsidRDefault="00B2442D">
      <w:pPr>
        <w:ind w:left="567" w:hanging="567"/>
        <w:jc w:val="both"/>
        <w:rPr>
          <w:rFonts w:ascii="Arial" w:hAnsi="Arial" w:cs="Arial"/>
          <w:lang w:val="es-CO"/>
        </w:rPr>
      </w:pPr>
    </w:p>
    <w:p w14:paraId="43429EE1" w14:textId="77777777" w:rsidR="00B2442D" w:rsidRDefault="008A645F">
      <w:pPr>
        <w:ind w:left="567" w:hanging="567"/>
        <w:jc w:val="both"/>
        <w:rPr>
          <w:rFonts w:ascii="Arial" w:hAnsi="Arial" w:cs="Arial"/>
          <w:lang w:val="es-CO"/>
        </w:rPr>
      </w:pPr>
      <w:r>
        <w:rPr>
          <w:rFonts w:ascii="Arial" w:hAnsi="Arial" w:cs="Arial"/>
          <w:lang w:val="es-CO"/>
        </w:rPr>
        <w:t>3.</w:t>
      </w:r>
      <w:r>
        <w:rPr>
          <w:rFonts w:ascii="Arial" w:hAnsi="Arial" w:cs="Arial"/>
          <w:lang w:val="es-CO"/>
        </w:rPr>
        <w:tab/>
        <w:t>Certificación expedida por la Curaduría Urbana, por la Secretaría de Planeación o por la entidad que haga sus veces del domicilio del inmueble, en la cual conste la aprob</w:t>
      </w:r>
      <w:r>
        <w:rPr>
          <w:rFonts w:ascii="Arial" w:hAnsi="Arial" w:cs="Arial"/>
          <w:lang w:val="es-CO"/>
        </w:rPr>
        <w:t>ación del proyecto de construcción del nuevo establecimiento hotelero.</w:t>
      </w:r>
    </w:p>
    <w:p w14:paraId="6DD5F986" w14:textId="77777777" w:rsidR="00B2442D" w:rsidRDefault="00B2442D">
      <w:pPr>
        <w:ind w:left="567" w:hanging="567"/>
        <w:jc w:val="both"/>
        <w:rPr>
          <w:rFonts w:ascii="Arial" w:hAnsi="Arial" w:cs="Arial"/>
          <w:lang w:val="es-CO"/>
        </w:rPr>
      </w:pPr>
    </w:p>
    <w:p w14:paraId="44D27713" w14:textId="77777777" w:rsidR="00B2442D" w:rsidRDefault="008A645F">
      <w:pPr>
        <w:ind w:left="567" w:hanging="567"/>
        <w:jc w:val="both"/>
        <w:rPr>
          <w:rFonts w:ascii="Arial" w:hAnsi="Arial" w:cs="Arial"/>
          <w:lang w:val="es-CO"/>
        </w:rPr>
      </w:pPr>
      <w:r>
        <w:rPr>
          <w:rFonts w:ascii="Arial" w:hAnsi="Arial" w:cs="Arial"/>
          <w:lang w:val="es-CO"/>
        </w:rPr>
        <w:t>4.</w:t>
      </w:r>
      <w:r>
        <w:rPr>
          <w:rFonts w:ascii="Arial" w:hAnsi="Arial" w:cs="Arial"/>
          <w:lang w:val="es-CO"/>
        </w:rPr>
        <w:tab/>
        <w:t xml:space="preserve">Certificación del representante legal y del revisor fiscal y/o contador público, según el caso, en la cual conste: </w:t>
      </w:r>
    </w:p>
    <w:p w14:paraId="592EF53C" w14:textId="77777777" w:rsidR="00B2442D" w:rsidRDefault="00B2442D">
      <w:pPr>
        <w:jc w:val="both"/>
        <w:rPr>
          <w:rFonts w:ascii="Arial" w:hAnsi="Arial" w:cs="Arial"/>
          <w:lang w:val="es-CO"/>
        </w:rPr>
      </w:pPr>
    </w:p>
    <w:p w14:paraId="7982D6C2" w14:textId="77777777" w:rsidR="00B2442D" w:rsidRDefault="008A645F">
      <w:pPr>
        <w:ind w:left="993" w:hanging="426"/>
        <w:jc w:val="both"/>
        <w:rPr>
          <w:rFonts w:ascii="Arial" w:hAnsi="Arial" w:cs="Arial"/>
          <w:lang w:val="es-CO"/>
        </w:rPr>
      </w:pPr>
      <w:r>
        <w:rPr>
          <w:rFonts w:ascii="Arial" w:hAnsi="Arial" w:cs="Arial"/>
          <w:lang w:val="es-CO"/>
        </w:rPr>
        <w:t>a)</w:t>
      </w:r>
      <w:r>
        <w:rPr>
          <w:rFonts w:ascii="Arial" w:hAnsi="Arial" w:cs="Arial"/>
          <w:lang w:val="es-CO"/>
        </w:rPr>
        <w:tab/>
        <w:t>Que la actividad prestada corresponde a servicios hoteleros d</w:t>
      </w:r>
      <w:r>
        <w:rPr>
          <w:rFonts w:ascii="Arial" w:hAnsi="Arial" w:cs="Arial"/>
          <w:lang w:val="es-CO"/>
        </w:rPr>
        <w:t>ebidamente autorizados.</w:t>
      </w:r>
    </w:p>
    <w:p w14:paraId="2B75DA1F" w14:textId="77777777" w:rsidR="00B2442D" w:rsidRDefault="00B2442D">
      <w:pPr>
        <w:ind w:left="993" w:hanging="426"/>
        <w:jc w:val="both"/>
        <w:rPr>
          <w:rFonts w:ascii="Arial" w:hAnsi="Arial" w:cs="Arial"/>
          <w:lang w:val="es-CO"/>
        </w:rPr>
      </w:pPr>
    </w:p>
    <w:p w14:paraId="633DA4A9" w14:textId="77777777" w:rsidR="00B2442D" w:rsidRDefault="008A645F">
      <w:pPr>
        <w:ind w:left="993" w:hanging="426"/>
        <w:jc w:val="both"/>
        <w:rPr>
          <w:rFonts w:ascii="Arial" w:hAnsi="Arial" w:cs="Arial"/>
          <w:lang w:val="es-CO"/>
        </w:rPr>
      </w:pPr>
      <w:r>
        <w:rPr>
          <w:rFonts w:ascii="Arial" w:hAnsi="Arial" w:cs="Arial"/>
          <w:lang w:val="es-CO"/>
        </w:rPr>
        <w:t>b)</w:t>
      </w:r>
      <w:r>
        <w:rPr>
          <w:rFonts w:ascii="Arial" w:hAnsi="Arial" w:cs="Arial"/>
          <w:lang w:val="es-CO"/>
        </w:rPr>
        <w:tab/>
        <w:t>Que el valor de las rentas solicitadas como exentas en el respectivo año gravable corresponden a servicios hoteleros prestados en nuevos hoteles construidos a partir del 1° de enero de 2003.</w:t>
      </w:r>
    </w:p>
    <w:p w14:paraId="4EE2D996" w14:textId="77777777" w:rsidR="00B2442D" w:rsidRDefault="00B2442D">
      <w:pPr>
        <w:ind w:left="993" w:hanging="426"/>
        <w:jc w:val="both"/>
        <w:rPr>
          <w:rFonts w:ascii="Arial" w:hAnsi="Arial" w:cs="Arial"/>
          <w:lang w:val="es-CO"/>
        </w:rPr>
      </w:pPr>
    </w:p>
    <w:p w14:paraId="6FC2226F" w14:textId="77777777" w:rsidR="00B2442D" w:rsidRDefault="008A645F">
      <w:pPr>
        <w:ind w:left="993" w:hanging="426"/>
        <w:jc w:val="both"/>
        <w:rPr>
          <w:rFonts w:ascii="Arial" w:hAnsi="Arial" w:cs="Arial"/>
          <w:lang w:val="es-CO"/>
        </w:rPr>
      </w:pPr>
      <w:r>
        <w:rPr>
          <w:rFonts w:ascii="Arial" w:hAnsi="Arial" w:cs="Arial"/>
          <w:lang w:val="es-CO"/>
        </w:rPr>
        <w:t>c)</w:t>
      </w:r>
      <w:r>
        <w:rPr>
          <w:rFonts w:ascii="Arial" w:hAnsi="Arial" w:cs="Arial"/>
          <w:lang w:val="es-CO"/>
        </w:rPr>
        <w:tab/>
        <w:t>Que lleva contabilidad separada d</w:t>
      </w:r>
      <w:r>
        <w:rPr>
          <w:rFonts w:ascii="Arial" w:hAnsi="Arial" w:cs="Arial"/>
          <w:lang w:val="es-CO"/>
        </w:rPr>
        <w:t>e los ingresos por servicios hoteleros y de los originados en otras actividades.</w:t>
      </w:r>
    </w:p>
    <w:p w14:paraId="05AFFF74" w14:textId="77777777" w:rsidR="00B2442D" w:rsidRDefault="00B2442D">
      <w:pPr>
        <w:jc w:val="both"/>
        <w:rPr>
          <w:rFonts w:ascii="Arial" w:hAnsi="Arial" w:cs="Arial"/>
          <w:lang w:val="es-CO"/>
        </w:rPr>
      </w:pPr>
    </w:p>
    <w:p w14:paraId="4BE7B3D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Se entiende por servicios hoteleros, el alojamiento, la alimentación y todos los demás servicios básicos y/o complementarios o accesorios prestados por el operador del establecimiento hotelero.</w:t>
      </w:r>
    </w:p>
    <w:p w14:paraId="12EA5F5A" w14:textId="77777777" w:rsidR="00B2442D" w:rsidRDefault="00B2442D">
      <w:pPr>
        <w:jc w:val="both"/>
        <w:rPr>
          <w:rFonts w:ascii="Arial" w:hAnsi="Arial" w:cs="Arial"/>
          <w:lang w:val="es-CO"/>
        </w:rPr>
      </w:pPr>
    </w:p>
    <w:p w14:paraId="4458ADED" w14:textId="77777777" w:rsidR="00B2442D" w:rsidRDefault="008A645F">
      <w:pPr>
        <w:jc w:val="both"/>
        <w:rPr>
          <w:rFonts w:ascii="Arial" w:hAnsi="Arial" w:cs="Arial"/>
          <w:i/>
          <w:lang w:val="es-CO"/>
        </w:rPr>
      </w:pPr>
      <w:r>
        <w:rPr>
          <w:rFonts w:ascii="Arial" w:hAnsi="Arial" w:cs="Arial"/>
          <w:i/>
          <w:lang w:val="es-CO"/>
        </w:rPr>
        <w:t>(Art. 5, Decreto 2755 de 2003)</w:t>
      </w:r>
    </w:p>
    <w:p w14:paraId="191539B6" w14:textId="77777777" w:rsidR="00B2442D" w:rsidRDefault="00B2442D">
      <w:pPr>
        <w:jc w:val="both"/>
        <w:rPr>
          <w:rFonts w:ascii="Arial" w:hAnsi="Arial" w:cs="Arial"/>
          <w:lang w:val="es-CO"/>
        </w:rPr>
      </w:pPr>
    </w:p>
    <w:p w14:paraId="5E53C213"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Renta exenta para servicios </w:t>
      </w:r>
      <w:r>
        <w:rPr>
          <w:rFonts w:ascii="Arial" w:hAnsi="Arial" w:cs="Arial"/>
          <w:b/>
          <w:i/>
          <w:lang w:val="es-CO"/>
        </w:rPr>
        <w:t>hoteleros prestados en hoteles que se remodelen y/o amplíen.</w:t>
      </w:r>
      <w:r>
        <w:rPr>
          <w:rFonts w:ascii="Arial" w:hAnsi="Arial" w:cs="Arial"/>
          <w:lang w:val="es-CO"/>
        </w:rPr>
        <w:t xml:space="preserve"> Las rentas provenientes de los servicios hoteleros prestados en hoteles que se remodelen y/o amplíen entre el 1o. de enero del año 2003 y el 31 de diciembre del año 2017, obtenidas por el estable</w:t>
      </w:r>
      <w:r>
        <w:rPr>
          <w:rFonts w:ascii="Arial" w:hAnsi="Arial" w:cs="Arial"/>
          <w:lang w:val="es-CO"/>
        </w:rPr>
        <w:t>cimiento hotelero o por el operador, estarán exentas del impuesto sobre la renta por un término de treinta (30) años contados a partir del año gravable en que se inicien las operaciones de prestación de servicios en el área remodelada o ampliada.</w:t>
      </w:r>
    </w:p>
    <w:p w14:paraId="4E492D44" w14:textId="77777777" w:rsidR="00B2442D" w:rsidRDefault="00B2442D">
      <w:pPr>
        <w:jc w:val="both"/>
        <w:rPr>
          <w:rFonts w:ascii="Arial" w:hAnsi="Arial" w:cs="Arial"/>
          <w:lang w:val="es-CO"/>
        </w:rPr>
      </w:pPr>
    </w:p>
    <w:p w14:paraId="685A65CA" w14:textId="77777777" w:rsidR="00B2442D" w:rsidRDefault="008A645F">
      <w:pPr>
        <w:jc w:val="both"/>
        <w:rPr>
          <w:rFonts w:ascii="Arial" w:hAnsi="Arial" w:cs="Arial"/>
          <w:lang w:val="es-CO"/>
        </w:rPr>
      </w:pPr>
      <w:r>
        <w:rPr>
          <w:rFonts w:ascii="Arial" w:hAnsi="Arial" w:cs="Arial"/>
          <w:lang w:val="es-CO"/>
        </w:rPr>
        <w:t>La exenc</w:t>
      </w:r>
      <w:r>
        <w:rPr>
          <w:rFonts w:ascii="Arial" w:hAnsi="Arial" w:cs="Arial"/>
          <w:lang w:val="es-CO"/>
        </w:rPr>
        <w:t>ión corresponderá a la proporción que represente el valor de la remodelación y/o ampliación en el costo fiscal del inmueble remodelado y/o ampliado.</w:t>
      </w:r>
    </w:p>
    <w:p w14:paraId="6EFFD949" w14:textId="77777777" w:rsidR="00B2442D" w:rsidRDefault="00B2442D">
      <w:pPr>
        <w:jc w:val="both"/>
        <w:rPr>
          <w:rFonts w:ascii="Arial" w:hAnsi="Arial" w:cs="Arial"/>
          <w:lang w:val="es-CO"/>
        </w:rPr>
      </w:pPr>
    </w:p>
    <w:p w14:paraId="683FBCB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ingresos provenientes de los servicios de moteles, residencias y establecimientos similares</w:t>
      </w:r>
      <w:r>
        <w:rPr>
          <w:rFonts w:ascii="Arial" w:hAnsi="Arial" w:cs="Arial"/>
          <w:lang w:val="es-CO"/>
        </w:rPr>
        <w:t xml:space="preserve"> no se encuentran amparados por la exención prevista en este artículo</w:t>
      </w:r>
    </w:p>
    <w:p w14:paraId="70382B78" w14:textId="77777777" w:rsidR="00B2442D" w:rsidRDefault="00B2442D">
      <w:pPr>
        <w:jc w:val="both"/>
        <w:rPr>
          <w:rFonts w:ascii="Arial" w:hAnsi="Arial" w:cs="Arial"/>
          <w:lang w:val="es-CO"/>
        </w:rPr>
      </w:pPr>
    </w:p>
    <w:p w14:paraId="35E89D1F" w14:textId="77777777" w:rsidR="00B2442D" w:rsidRDefault="008A645F">
      <w:pPr>
        <w:jc w:val="both"/>
        <w:rPr>
          <w:rFonts w:ascii="Arial" w:hAnsi="Arial" w:cs="Arial"/>
          <w:i/>
          <w:lang w:val="es-CO"/>
        </w:rPr>
      </w:pPr>
      <w:r>
        <w:rPr>
          <w:rFonts w:ascii="Arial" w:hAnsi="Arial" w:cs="Arial"/>
          <w:i/>
          <w:lang w:val="es-CO"/>
        </w:rPr>
        <w:t>(Art. 6, Decreto 2755 de 2003, modificado por el art. 2 del Decreto 920 de 2009)</w:t>
      </w:r>
    </w:p>
    <w:p w14:paraId="37E071EC" w14:textId="77777777" w:rsidR="00B2442D" w:rsidRDefault="00B2442D">
      <w:pPr>
        <w:jc w:val="both"/>
        <w:rPr>
          <w:rFonts w:ascii="Arial" w:hAnsi="Arial" w:cs="Arial"/>
          <w:lang w:val="es-CO"/>
        </w:rPr>
      </w:pPr>
    </w:p>
    <w:p w14:paraId="387F4566"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Requisitos para la procedencia de la exención por servicios hoteleros prestados en hoteles que se </w:t>
      </w:r>
      <w:r>
        <w:rPr>
          <w:rFonts w:ascii="Arial" w:hAnsi="Arial" w:cs="Arial"/>
          <w:b/>
          <w:i/>
          <w:lang w:val="es-CO"/>
        </w:rPr>
        <w:t>remodelen y/o amplíen.</w:t>
      </w:r>
      <w:r>
        <w:rPr>
          <w:rFonts w:ascii="Arial" w:hAnsi="Arial" w:cs="Arial"/>
          <w:lang w:val="es-CO"/>
        </w:rPr>
        <w:t xml:space="preserve"> Para la procedencia de la exención por concepto de servicios hoteleros prestados en hoteles que se remodelen y/o amplíen, el contribuyente deberá acreditar el cumplimiento de los siguientes requisitos cuando la Unidad Administrativa </w:t>
      </w:r>
      <w:r>
        <w:rPr>
          <w:rFonts w:ascii="Arial" w:hAnsi="Arial" w:cs="Arial"/>
          <w:lang w:val="es-CO"/>
        </w:rPr>
        <w:t>Especial Dirección de Impuestos y Aduanas Nacionales- DIAN los exija:</w:t>
      </w:r>
    </w:p>
    <w:p w14:paraId="05962BA8" w14:textId="77777777" w:rsidR="00B2442D" w:rsidRDefault="00B2442D">
      <w:pPr>
        <w:jc w:val="both"/>
        <w:rPr>
          <w:rFonts w:ascii="Arial" w:hAnsi="Arial" w:cs="Arial"/>
          <w:lang w:val="es-CO"/>
        </w:rPr>
      </w:pPr>
    </w:p>
    <w:p w14:paraId="6D157816"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Inscripción en el Registro Nacional de Turismo del Ministerio de Comercio, Industria y Turismo o el que haga sus veces.</w:t>
      </w:r>
    </w:p>
    <w:p w14:paraId="6BACDCB3" w14:textId="77777777" w:rsidR="00B2442D" w:rsidRDefault="00B2442D">
      <w:pPr>
        <w:ind w:left="284" w:hanging="284"/>
        <w:jc w:val="both"/>
        <w:rPr>
          <w:rFonts w:ascii="Arial" w:hAnsi="Arial" w:cs="Arial"/>
          <w:lang w:val="es-CO"/>
        </w:rPr>
      </w:pPr>
    </w:p>
    <w:p w14:paraId="619BB0D7"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Certificación expedida por la Curaduría Urbana del domicil</w:t>
      </w:r>
      <w:r>
        <w:rPr>
          <w:rFonts w:ascii="Arial" w:hAnsi="Arial" w:cs="Arial"/>
          <w:lang w:val="es-CO"/>
        </w:rPr>
        <w:t>io del inmueble o por la entidad que haga sus veces, en la cual conste la aprobación del proyecto de remodelación y/o ampliación del hotel correspondiente.</w:t>
      </w:r>
    </w:p>
    <w:p w14:paraId="2CDC2503" w14:textId="77777777" w:rsidR="00B2442D" w:rsidRDefault="00B2442D">
      <w:pPr>
        <w:ind w:left="284" w:hanging="284"/>
        <w:jc w:val="both"/>
        <w:rPr>
          <w:rFonts w:ascii="Arial" w:hAnsi="Arial" w:cs="Arial"/>
          <w:lang w:val="es-CO"/>
        </w:rPr>
      </w:pPr>
    </w:p>
    <w:p w14:paraId="1484B610"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Certificación expedida por la Alcaldía Municipal del domicilio del inmueble en la cual conste la</w:t>
      </w:r>
      <w:r>
        <w:rPr>
          <w:rFonts w:ascii="Arial" w:hAnsi="Arial" w:cs="Arial"/>
          <w:lang w:val="es-CO"/>
        </w:rPr>
        <w:t xml:space="preserve"> aprobación del proyecto de remodelación y/o ampliación del hotel correspondiente.</w:t>
      </w:r>
    </w:p>
    <w:p w14:paraId="424952B6" w14:textId="77777777" w:rsidR="00B2442D" w:rsidRDefault="00B2442D">
      <w:pPr>
        <w:ind w:left="284" w:hanging="284"/>
        <w:jc w:val="both"/>
        <w:rPr>
          <w:rFonts w:ascii="Arial" w:hAnsi="Arial" w:cs="Arial"/>
          <w:lang w:val="es-CO"/>
        </w:rPr>
      </w:pPr>
    </w:p>
    <w:p w14:paraId="11F6F439"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Certificación sobre la prestación de servicios hoteleros en establecimientos remodelados y/o ampliados, expedida por el Ministerio de Comercio, Industria y Turismo.</w:t>
      </w:r>
    </w:p>
    <w:p w14:paraId="4A03FBF5" w14:textId="77777777" w:rsidR="00B2442D" w:rsidRDefault="00B2442D">
      <w:pPr>
        <w:ind w:left="284" w:hanging="284"/>
        <w:jc w:val="both"/>
        <w:rPr>
          <w:rFonts w:ascii="Arial" w:hAnsi="Arial" w:cs="Arial"/>
          <w:lang w:val="es-CO"/>
        </w:rPr>
      </w:pPr>
    </w:p>
    <w:p w14:paraId="15E5CA43"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r>
      <w:r>
        <w:rPr>
          <w:rFonts w:ascii="Arial" w:hAnsi="Arial" w:cs="Arial"/>
          <w:lang w:val="es-CO"/>
        </w:rPr>
        <w:t>Certificación suscrita por un arquitecto o ingeniero civil con matrícula profesional vigente en la que se haga constar la remodelación y/o ampliación realizada, cuando estas no requieran licencia de construcción y licencia de urbanismo.</w:t>
      </w:r>
    </w:p>
    <w:p w14:paraId="2B8D212A" w14:textId="77777777" w:rsidR="00B2442D" w:rsidRDefault="00B2442D">
      <w:pPr>
        <w:ind w:left="284" w:hanging="284"/>
        <w:jc w:val="both"/>
        <w:rPr>
          <w:rFonts w:ascii="Arial" w:hAnsi="Arial" w:cs="Arial"/>
          <w:lang w:val="es-CO"/>
        </w:rPr>
      </w:pPr>
    </w:p>
    <w:p w14:paraId="603E2445"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r>
      <w:r>
        <w:rPr>
          <w:rFonts w:ascii="Arial" w:hAnsi="Arial" w:cs="Arial"/>
          <w:lang w:val="es-CO"/>
        </w:rPr>
        <w:t>Certificación del representante legal y del revisor fiscal y/o contador público del contribuyente beneficiario de la exención en la que se establezca:</w:t>
      </w:r>
    </w:p>
    <w:p w14:paraId="4B024701" w14:textId="77777777" w:rsidR="00B2442D" w:rsidRDefault="00B2442D">
      <w:pPr>
        <w:jc w:val="both"/>
        <w:rPr>
          <w:rFonts w:ascii="Arial" w:hAnsi="Arial" w:cs="Arial"/>
          <w:lang w:val="es-CO"/>
        </w:rPr>
      </w:pPr>
    </w:p>
    <w:p w14:paraId="316AC655" w14:textId="77777777" w:rsidR="00B2442D" w:rsidRDefault="008A645F">
      <w:pPr>
        <w:ind w:left="567" w:hanging="283"/>
        <w:jc w:val="both"/>
        <w:rPr>
          <w:rFonts w:ascii="Arial" w:hAnsi="Arial" w:cs="Arial"/>
          <w:lang w:val="es-CO"/>
        </w:rPr>
      </w:pPr>
      <w:r>
        <w:rPr>
          <w:rFonts w:ascii="Arial" w:hAnsi="Arial" w:cs="Arial"/>
          <w:lang w:val="es-CO"/>
        </w:rPr>
        <w:t>a)</w:t>
      </w:r>
      <w:r>
        <w:rPr>
          <w:rFonts w:ascii="Arial" w:hAnsi="Arial" w:cs="Arial"/>
          <w:lang w:val="es-CO"/>
        </w:rPr>
        <w:tab/>
        <w:t>Costo fiscal del inmueble remodelado y/o ampliado.</w:t>
      </w:r>
    </w:p>
    <w:p w14:paraId="684783F7" w14:textId="77777777" w:rsidR="00B2442D" w:rsidRDefault="00B2442D">
      <w:pPr>
        <w:ind w:left="567" w:hanging="283"/>
        <w:jc w:val="both"/>
        <w:rPr>
          <w:rFonts w:ascii="Arial" w:hAnsi="Arial" w:cs="Arial"/>
          <w:lang w:val="es-CO"/>
        </w:rPr>
      </w:pPr>
    </w:p>
    <w:p w14:paraId="1A9E99D0" w14:textId="77777777" w:rsidR="00B2442D" w:rsidRDefault="008A645F">
      <w:pPr>
        <w:ind w:left="567" w:hanging="283"/>
        <w:jc w:val="both"/>
        <w:rPr>
          <w:rFonts w:ascii="Arial" w:hAnsi="Arial" w:cs="Arial"/>
          <w:lang w:val="es-CO"/>
        </w:rPr>
      </w:pPr>
      <w:r>
        <w:rPr>
          <w:rFonts w:ascii="Arial" w:hAnsi="Arial" w:cs="Arial"/>
          <w:lang w:val="es-CO"/>
        </w:rPr>
        <w:t>b)</w:t>
      </w:r>
      <w:r>
        <w:rPr>
          <w:rFonts w:ascii="Arial" w:hAnsi="Arial" w:cs="Arial"/>
          <w:lang w:val="es-CO"/>
        </w:rPr>
        <w:tab/>
        <w:t>Valor total de la inversión por concepto de re</w:t>
      </w:r>
      <w:r>
        <w:rPr>
          <w:rFonts w:ascii="Arial" w:hAnsi="Arial" w:cs="Arial"/>
          <w:lang w:val="es-CO"/>
        </w:rPr>
        <w:t>modelación y/o ampliación.</w:t>
      </w:r>
    </w:p>
    <w:p w14:paraId="517F766F" w14:textId="77777777" w:rsidR="00B2442D" w:rsidRDefault="00B2442D">
      <w:pPr>
        <w:ind w:left="567" w:hanging="283"/>
        <w:jc w:val="both"/>
        <w:rPr>
          <w:rFonts w:ascii="Arial" w:hAnsi="Arial" w:cs="Arial"/>
          <w:lang w:val="es-CO"/>
        </w:rPr>
      </w:pPr>
    </w:p>
    <w:p w14:paraId="21EF712B" w14:textId="77777777" w:rsidR="00B2442D" w:rsidRDefault="008A645F">
      <w:pPr>
        <w:ind w:left="567" w:hanging="283"/>
        <w:jc w:val="both"/>
        <w:rPr>
          <w:rFonts w:ascii="Arial" w:hAnsi="Arial" w:cs="Arial"/>
          <w:lang w:val="es-CO"/>
        </w:rPr>
      </w:pPr>
      <w:r>
        <w:rPr>
          <w:rFonts w:ascii="Arial" w:hAnsi="Arial" w:cs="Arial"/>
          <w:lang w:val="es-CO"/>
        </w:rPr>
        <w:t>c)</w:t>
      </w:r>
      <w:r>
        <w:rPr>
          <w:rFonts w:ascii="Arial" w:hAnsi="Arial" w:cs="Arial"/>
          <w:lang w:val="es-CO"/>
        </w:rPr>
        <w:tab/>
        <w:t>Proporción que representa el valor de la remodelación y/o ampliación en el costo fiscal del inmueble remodelado y/o ampliado.</w:t>
      </w:r>
    </w:p>
    <w:p w14:paraId="79D54739" w14:textId="77777777" w:rsidR="00B2442D" w:rsidRDefault="00B2442D">
      <w:pPr>
        <w:ind w:left="567" w:hanging="283"/>
        <w:jc w:val="both"/>
        <w:rPr>
          <w:rFonts w:ascii="Arial" w:hAnsi="Arial" w:cs="Arial"/>
          <w:lang w:val="es-CO"/>
        </w:rPr>
      </w:pPr>
    </w:p>
    <w:p w14:paraId="061A564A" w14:textId="77777777" w:rsidR="00B2442D" w:rsidRDefault="008A645F">
      <w:pPr>
        <w:ind w:left="567" w:hanging="283"/>
        <w:jc w:val="both"/>
        <w:rPr>
          <w:rFonts w:ascii="Arial" w:hAnsi="Arial" w:cs="Arial"/>
          <w:lang w:val="es-CO"/>
        </w:rPr>
      </w:pPr>
      <w:r>
        <w:rPr>
          <w:rFonts w:ascii="Arial" w:hAnsi="Arial" w:cs="Arial"/>
          <w:lang w:val="es-CO"/>
        </w:rPr>
        <w:t>d)</w:t>
      </w:r>
      <w:r>
        <w:rPr>
          <w:rFonts w:ascii="Arial" w:hAnsi="Arial" w:cs="Arial"/>
          <w:lang w:val="es-CO"/>
        </w:rPr>
        <w:tab/>
        <w:t xml:space="preserve">Que lleva contabilidad separada de los ingresos por servicios hoteleros y de los originados en </w:t>
      </w:r>
      <w:r>
        <w:rPr>
          <w:rFonts w:ascii="Arial" w:hAnsi="Arial" w:cs="Arial"/>
          <w:lang w:val="es-CO"/>
        </w:rPr>
        <w:t>otras actividades.</w:t>
      </w:r>
    </w:p>
    <w:p w14:paraId="3B6CFCAC" w14:textId="77777777" w:rsidR="00B2442D" w:rsidRDefault="00B2442D">
      <w:pPr>
        <w:jc w:val="both"/>
        <w:rPr>
          <w:rFonts w:ascii="Arial" w:hAnsi="Arial" w:cs="Arial"/>
          <w:lang w:val="es-CO"/>
        </w:rPr>
      </w:pPr>
    </w:p>
    <w:p w14:paraId="5F261744" w14:textId="77777777" w:rsidR="00B2442D" w:rsidRDefault="008A645F">
      <w:pPr>
        <w:jc w:val="both"/>
        <w:rPr>
          <w:rFonts w:ascii="Arial" w:hAnsi="Arial" w:cs="Arial"/>
          <w:i/>
          <w:lang w:val="es-CO"/>
        </w:rPr>
      </w:pPr>
      <w:r>
        <w:rPr>
          <w:rFonts w:ascii="Arial" w:hAnsi="Arial" w:cs="Arial"/>
          <w:i/>
          <w:lang w:val="es-CO"/>
        </w:rPr>
        <w:t>(Art. 7, Decreto 2755 de 2003)</w:t>
      </w:r>
    </w:p>
    <w:p w14:paraId="5357822A" w14:textId="77777777" w:rsidR="00B2442D" w:rsidRDefault="00B2442D">
      <w:pPr>
        <w:jc w:val="both"/>
        <w:rPr>
          <w:rFonts w:ascii="Arial" w:hAnsi="Arial" w:cs="Arial"/>
          <w:lang w:val="es-CO"/>
        </w:rPr>
      </w:pPr>
    </w:p>
    <w:p w14:paraId="5F2965C4"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Trámite para obtención de la certificación ante el Ministerio de Comercio, Industria y Turismo. </w:t>
      </w:r>
      <w:r>
        <w:rPr>
          <w:rFonts w:ascii="Arial" w:hAnsi="Arial" w:cs="Arial"/>
          <w:lang w:val="es-CO"/>
        </w:rPr>
        <w:t>Para efectos de la expedición de la certificación a que se refiere el numeral 2 del artículo 1.2.1.22.11 y e</w:t>
      </w:r>
      <w:r>
        <w:rPr>
          <w:rFonts w:ascii="Arial" w:hAnsi="Arial" w:cs="Arial"/>
          <w:lang w:val="es-CO"/>
        </w:rPr>
        <w:t>l numeral 4 del artículo 1.2.1.22.13 de este Decreto, el contribuyente deberá solicitar anualmente al Ministerio de Comercio, Industria y Turismo, la verificación de la prestación de servicios hoteleros en las instalaciones de los hoteles nuevos, remodelad</w:t>
      </w:r>
      <w:r>
        <w:rPr>
          <w:rFonts w:ascii="Arial" w:hAnsi="Arial" w:cs="Arial"/>
          <w:lang w:val="es-CO"/>
        </w:rPr>
        <w:t>os o ampliados, de lo cual se levantará un acta que será suscrita por las partes, en los términos y condiciones que establezca dicho Ministerio.</w:t>
      </w:r>
    </w:p>
    <w:p w14:paraId="5231E83E" w14:textId="77777777" w:rsidR="00B2442D" w:rsidRDefault="00B2442D">
      <w:pPr>
        <w:jc w:val="both"/>
        <w:rPr>
          <w:rFonts w:ascii="Arial" w:hAnsi="Arial" w:cs="Arial"/>
          <w:lang w:val="es-CO"/>
        </w:rPr>
      </w:pPr>
    </w:p>
    <w:p w14:paraId="5FA77CC5" w14:textId="77777777" w:rsidR="00B2442D" w:rsidRDefault="008A645F">
      <w:pPr>
        <w:jc w:val="both"/>
        <w:rPr>
          <w:rFonts w:ascii="Arial" w:hAnsi="Arial" w:cs="Arial"/>
          <w:lang w:val="es-CO"/>
        </w:rPr>
      </w:pPr>
      <w:r>
        <w:rPr>
          <w:rFonts w:ascii="Arial" w:hAnsi="Arial" w:cs="Arial"/>
          <w:lang w:val="es-CO"/>
        </w:rPr>
        <w:t>El Ministerio de Comercio, Industria y Turismo podrá delegar la verificación a que se refiere este artículo, e</w:t>
      </w:r>
      <w:r>
        <w:rPr>
          <w:rFonts w:ascii="Arial" w:hAnsi="Arial" w:cs="Arial"/>
          <w:lang w:val="es-CO"/>
        </w:rPr>
        <w:t>n las alcaldías municipales o distritales, previa la celebración de los convenios de que trata el artículo 14 de la Ley 489 de 1998.</w:t>
      </w:r>
    </w:p>
    <w:p w14:paraId="376A8123" w14:textId="77777777" w:rsidR="00B2442D" w:rsidRDefault="00B2442D">
      <w:pPr>
        <w:jc w:val="both"/>
        <w:rPr>
          <w:rFonts w:ascii="Arial" w:hAnsi="Arial" w:cs="Arial"/>
          <w:lang w:val="es-CO"/>
        </w:rPr>
      </w:pPr>
    </w:p>
    <w:p w14:paraId="0BE8E0F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relación con los hoteles que hayan sido construido, ampliados y/o remodelados en el período comprendido entr</w:t>
      </w:r>
      <w:r>
        <w:rPr>
          <w:rFonts w:ascii="Arial" w:hAnsi="Arial" w:cs="Arial"/>
          <w:lang w:val="es-CO"/>
        </w:rPr>
        <w:t>e la fecha de entrada en vigencia de la Ley 788 de 2002 y la de publicación del Decreto 2755 de 2003, los interesados deberán presentar a la Dirección de Turismo del Ministerio de Comercio, Industria y Turismo la solicitud a que se refiere este artículo co</w:t>
      </w:r>
      <w:r>
        <w:rPr>
          <w:rFonts w:ascii="Arial" w:hAnsi="Arial" w:cs="Arial"/>
          <w:lang w:val="es-CO"/>
        </w:rPr>
        <w:t>n el fin de verificar la prestación de servicios hoteleros en las instalaciones de los nuevos hoteles o de los hoteles remodelados y/o ampliados, de lo cual se levantará un acta que será suscrita por las partes, en los términos y condiciones que establezca</w:t>
      </w:r>
      <w:r>
        <w:rPr>
          <w:rFonts w:ascii="Arial" w:hAnsi="Arial" w:cs="Arial"/>
          <w:lang w:val="es-CO"/>
        </w:rPr>
        <w:t xml:space="preserve"> dicho Ministerio.</w:t>
      </w:r>
    </w:p>
    <w:p w14:paraId="000A9DD4" w14:textId="77777777" w:rsidR="00B2442D" w:rsidRDefault="00B2442D">
      <w:pPr>
        <w:jc w:val="both"/>
        <w:rPr>
          <w:rFonts w:ascii="Arial" w:hAnsi="Arial" w:cs="Arial"/>
          <w:lang w:val="es-CO"/>
        </w:rPr>
      </w:pPr>
    </w:p>
    <w:p w14:paraId="32556F6F" w14:textId="77777777" w:rsidR="00B2442D" w:rsidRDefault="008A645F">
      <w:pPr>
        <w:jc w:val="both"/>
        <w:rPr>
          <w:rFonts w:ascii="Arial" w:hAnsi="Arial" w:cs="Arial"/>
          <w:i/>
          <w:lang w:val="es-CO"/>
        </w:rPr>
      </w:pPr>
      <w:r>
        <w:rPr>
          <w:rFonts w:ascii="Arial" w:hAnsi="Arial" w:cs="Arial"/>
          <w:i/>
          <w:lang w:val="es-CO"/>
        </w:rPr>
        <w:t>(Art. 8, Decreto 2755 de 2003. Inciso 1 modificado por el art. 1 del Decreto 4350 de 2010)</w:t>
      </w:r>
    </w:p>
    <w:p w14:paraId="12A0CF9E" w14:textId="77777777" w:rsidR="00B2442D" w:rsidRDefault="00B2442D">
      <w:pPr>
        <w:jc w:val="both"/>
        <w:rPr>
          <w:rFonts w:ascii="Arial" w:hAnsi="Arial" w:cs="Arial"/>
          <w:lang w:val="es-CO"/>
        </w:rPr>
      </w:pPr>
    </w:p>
    <w:p w14:paraId="3E499CCB"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Servicios hoteleros.</w:t>
      </w:r>
      <w:r>
        <w:rPr>
          <w:rFonts w:ascii="Arial" w:hAnsi="Arial" w:cs="Arial"/>
          <w:lang w:val="es-CO"/>
        </w:rPr>
        <w:t xml:space="preserve"> Para efectos de la exención a que se refieren los artículos 1.2.1.22.10 y 1.2.1.22.12 del presente Decreto, se entiende por</w:t>
      </w:r>
      <w:r>
        <w:rPr>
          <w:rFonts w:ascii="Arial" w:hAnsi="Arial" w:cs="Arial"/>
          <w:lang w:val="es-CO"/>
        </w:rPr>
        <w:t xml:space="preserve"> servicios hoteleros, el alojamiento, la alimentación y todos los demás servicios básicos y/o complementarios o accesorios prestados directamente por el establecimiento hotelero o por el operador del mismo.</w:t>
      </w:r>
    </w:p>
    <w:p w14:paraId="2910DAA9" w14:textId="77777777" w:rsidR="00B2442D" w:rsidRDefault="00B2442D">
      <w:pPr>
        <w:jc w:val="both"/>
        <w:rPr>
          <w:rFonts w:ascii="Arial" w:hAnsi="Arial" w:cs="Arial"/>
          <w:lang w:val="es-CO"/>
        </w:rPr>
      </w:pPr>
    </w:p>
    <w:p w14:paraId="06A140BE" w14:textId="77777777" w:rsidR="00B2442D" w:rsidRDefault="008A645F">
      <w:pPr>
        <w:jc w:val="both"/>
        <w:rPr>
          <w:rFonts w:ascii="Arial" w:hAnsi="Arial" w:cs="Arial"/>
          <w:i/>
          <w:lang w:val="es-CO"/>
        </w:rPr>
      </w:pPr>
      <w:r>
        <w:rPr>
          <w:rFonts w:ascii="Arial" w:hAnsi="Arial" w:cs="Arial"/>
          <w:i/>
          <w:lang w:val="es-CO"/>
        </w:rPr>
        <w:t>(Art. 9, Decreto 2755 de 2003)</w:t>
      </w:r>
    </w:p>
    <w:p w14:paraId="733D671A" w14:textId="77777777" w:rsidR="00B2442D" w:rsidRDefault="00B2442D">
      <w:pPr>
        <w:jc w:val="both"/>
        <w:rPr>
          <w:rFonts w:ascii="Arial" w:hAnsi="Arial" w:cs="Arial"/>
          <w:lang w:val="es-CO"/>
        </w:rPr>
      </w:pPr>
    </w:p>
    <w:p w14:paraId="15A9457C"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Rentas </w:t>
      </w:r>
      <w:r>
        <w:rPr>
          <w:rFonts w:ascii="Arial" w:hAnsi="Arial" w:cs="Arial"/>
          <w:b/>
          <w:i/>
          <w:lang w:val="es-CO"/>
        </w:rPr>
        <w:t>exentas provenientes de los servicios de ecoturismo.</w:t>
      </w:r>
      <w:r>
        <w:rPr>
          <w:rFonts w:ascii="Arial" w:hAnsi="Arial" w:cs="Arial"/>
          <w:lang w:val="es-CO"/>
        </w:rPr>
        <w:t xml:space="preserve"> Las rentas provenientes de los servicios de ecoturismo prestados dentro del territorio nacional, están exentas del impuesto sobre la renta por el término de veinte (20) años, a partir del 1 de enero de 2</w:t>
      </w:r>
      <w:r>
        <w:rPr>
          <w:rFonts w:ascii="Arial" w:hAnsi="Arial" w:cs="Arial"/>
          <w:lang w:val="es-CO"/>
        </w:rPr>
        <w:t>003, siempre que se cumplan los requisitos establecidos en el artículo 1.2.1.22.18 del presente Decreto.</w:t>
      </w:r>
    </w:p>
    <w:p w14:paraId="19DB7566" w14:textId="77777777" w:rsidR="00B2442D" w:rsidRDefault="00B2442D">
      <w:pPr>
        <w:jc w:val="both"/>
        <w:rPr>
          <w:rFonts w:ascii="Arial" w:hAnsi="Arial" w:cs="Arial"/>
          <w:lang w:val="es-CO"/>
        </w:rPr>
      </w:pPr>
    </w:p>
    <w:p w14:paraId="13338B3F" w14:textId="77777777" w:rsidR="00B2442D" w:rsidRDefault="008A645F">
      <w:pPr>
        <w:jc w:val="both"/>
        <w:rPr>
          <w:rFonts w:ascii="Arial" w:hAnsi="Arial" w:cs="Arial"/>
          <w:i/>
          <w:lang w:val="es-CO"/>
        </w:rPr>
      </w:pPr>
      <w:r>
        <w:rPr>
          <w:rFonts w:ascii="Arial" w:hAnsi="Arial" w:cs="Arial"/>
          <w:i/>
          <w:lang w:val="es-CO"/>
        </w:rPr>
        <w:t>(Art. 10, Decreto 2755 de 2003)</w:t>
      </w:r>
    </w:p>
    <w:p w14:paraId="3B71A469" w14:textId="77777777" w:rsidR="00B2442D" w:rsidRDefault="00B2442D">
      <w:pPr>
        <w:jc w:val="both"/>
        <w:rPr>
          <w:rFonts w:ascii="Arial" w:hAnsi="Arial" w:cs="Arial"/>
          <w:lang w:val="es-CO"/>
        </w:rPr>
      </w:pPr>
    </w:p>
    <w:p w14:paraId="11BD36A6"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Servicios de ecoturismo.</w:t>
      </w:r>
      <w:r>
        <w:rPr>
          <w:rFonts w:ascii="Arial" w:hAnsi="Arial" w:cs="Arial"/>
          <w:lang w:val="es-CO"/>
        </w:rPr>
        <w:t xml:space="preserve"> Para efectos de la exención a que se refiere el artículo 1.2.1.22.16. se entiende por servic</w:t>
      </w:r>
      <w:r>
        <w:rPr>
          <w:rFonts w:ascii="Arial" w:hAnsi="Arial" w:cs="Arial"/>
          <w:lang w:val="es-CO"/>
        </w:rPr>
        <w:t>ios de ecoturismo las actividades organizadas, directamente relacionadas con la atención y formación de los visitantes en áreas con atractivo natural especial, que comprenden:</w:t>
      </w:r>
    </w:p>
    <w:p w14:paraId="22E6445D" w14:textId="77777777" w:rsidR="00B2442D" w:rsidRDefault="00B2442D">
      <w:pPr>
        <w:jc w:val="both"/>
        <w:rPr>
          <w:rFonts w:ascii="Arial" w:hAnsi="Arial" w:cs="Arial"/>
          <w:lang w:val="es-CO"/>
        </w:rPr>
      </w:pPr>
    </w:p>
    <w:p w14:paraId="76D97741"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Alojamiento y servicios de hospedaje: Es el alojamiento y hospedaje prestado</w:t>
      </w:r>
      <w:r>
        <w:rPr>
          <w:rFonts w:ascii="Arial" w:hAnsi="Arial" w:cs="Arial"/>
          <w:lang w:val="es-CO"/>
        </w:rPr>
        <w:t xml:space="preserve"> en infraestructura cuya construcción y operación se rige por la sostenibilidad y bajo impacto ambiental, entre otros aspectos, en el diseño, materiales utilizados en la construcción y mantenimiento, generación de energía, manejo de aguas residuales y resi</w:t>
      </w:r>
      <w:r>
        <w:rPr>
          <w:rFonts w:ascii="Arial" w:hAnsi="Arial" w:cs="Arial"/>
          <w:lang w:val="es-CO"/>
        </w:rPr>
        <w:t>duos sólidos y uso de insumos.</w:t>
      </w:r>
    </w:p>
    <w:p w14:paraId="0FC0DFCB" w14:textId="77777777" w:rsidR="00B2442D" w:rsidRDefault="00B2442D">
      <w:pPr>
        <w:ind w:left="284" w:hanging="284"/>
        <w:jc w:val="both"/>
        <w:rPr>
          <w:rFonts w:ascii="Arial" w:hAnsi="Arial" w:cs="Arial"/>
          <w:lang w:val="es-CO"/>
        </w:rPr>
      </w:pPr>
    </w:p>
    <w:p w14:paraId="755626DD"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Interpretación del patrimonio natural: Es el proceso de comunicación diseñado para revelar significados e interrelaciones del patrimonio natural y las manifestaciones culturales asociadas a este. Este proceso puede apoyar</w:t>
      </w:r>
      <w:r>
        <w:rPr>
          <w:rFonts w:ascii="Arial" w:hAnsi="Arial" w:cs="Arial"/>
          <w:lang w:val="es-CO"/>
        </w:rPr>
        <w:t>se en infraestructura como senderos, centros de interpretación ambiental, del patrimonio, de manejo sostenible de recursos naturales y conocimiento de la naturaleza. La interpretación del patrimonio natural debe desarrollarse en infraestructuras cuyo diseñ</w:t>
      </w:r>
      <w:r>
        <w:rPr>
          <w:rFonts w:ascii="Arial" w:hAnsi="Arial" w:cs="Arial"/>
          <w:lang w:val="es-CO"/>
        </w:rPr>
        <w:t xml:space="preserve">o, construcción y operación se rige por la sostenibilidad y bajo impacto ambiental, así mismo los intérpretes deben estar capacitados en el conocimiento de la dinámica de los ecosistemas del área y su conservación. </w:t>
      </w:r>
    </w:p>
    <w:p w14:paraId="051DEE5D" w14:textId="77777777" w:rsidR="00B2442D" w:rsidRDefault="00B2442D">
      <w:pPr>
        <w:ind w:left="284" w:hanging="284"/>
        <w:jc w:val="both"/>
        <w:rPr>
          <w:rFonts w:ascii="Arial" w:hAnsi="Arial" w:cs="Arial"/>
          <w:lang w:val="es-CO"/>
        </w:rPr>
      </w:pPr>
    </w:p>
    <w:p w14:paraId="684E25D9"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Transporte: Es aquel desarrollado co</w:t>
      </w:r>
      <w:r>
        <w:rPr>
          <w:rFonts w:ascii="Arial" w:hAnsi="Arial" w:cs="Arial"/>
          <w:lang w:val="es-CO"/>
        </w:rPr>
        <w:t>mo parte de la actividad ecoturística en el área natural y de acceso directo a la misma, que opere utilizando sistemas y combustibles de bajo impacto ambiental sonoro, atmosférico y terrestre, de conformidad con las normas que regulen la materia.</w:t>
      </w:r>
    </w:p>
    <w:p w14:paraId="190EDB4A" w14:textId="77777777" w:rsidR="00B2442D" w:rsidRDefault="00B2442D">
      <w:pPr>
        <w:ind w:left="284" w:hanging="284"/>
        <w:jc w:val="both"/>
        <w:rPr>
          <w:rFonts w:ascii="Arial" w:hAnsi="Arial" w:cs="Arial"/>
          <w:lang w:val="es-CO"/>
        </w:rPr>
      </w:pPr>
    </w:p>
    <w:p w14:paraId="69FF571C" w14:textId="77777777" w:rsidR="00B2442D" w:rsidRDefault="008A645F">
      <w:pPr>
        <w:ind w:left="284" w:hanging="284"/>
        <w:jc w:val="both"/>
        <w:rPr>
          <w:rFonts w:ascii="Arial" w:hAnsi="Arial" w:cs="Arial"/>
          <w:lang w:val="es-CO"/>
        </w:rPr>
      </w:pPr>
      <w:r>
        <w:rPr>
          <w:rFonts w:ascii="Arial" w:hAnsi="Arial" w:cs="Arial"/>
          <w:lang w:val="es-CO"/>
        </w:rPr>
        <w:t xml:space="preserve">4. </w:t>
      </w:r>
      <w:r>
        <w:rPr>
          <w:rFonts w:ascii="Arial" w:hAnsi="Arial" w:cs="Arial"/>
          <w:lang w:val="es-CO"/>
        </w:rPr>
        <w:tab/>
        <w:t>Alim</w:t>
      </w:r>
      <w:r>
        <w:rPr>
          <w:rFonts w:ascii="Arial" w:hAnsi="Arial" w:cs="Arial"/>
          <w:lang w:val="es-CO"/>
        </w:rPr>
        <w:t>entación: Es el suministro a los visitantes de productos alimenticios elaborados o naturales cuyo origen sea local o de las zonas aledañas al área natural y que para su elaboración o producción preferiblemente utilicen métodos orgánicos o de bajo impacto a</w:t>
      </w:r>
      <w:r>
        <w:rPr>
          <w:rFonts w:ascii="Arial" w:hAnsi="Arial" w:cs="Arial"/>
          <w:lang w:val="es-CO"/>
        </w:rPr>
        <w:t>mbiental.</w:t>
      </w:r>
    </w:p>
    <w:p w14:paraId="03BDB3FA" w14:textId="77777777" w:rsidR="00B2442D" w:rsidRDefault="00B2442D">
      <w:pPr>
        <w:ind w:left="284" w:hanging="284"/>
        <w:jc w:val="both"/>
        <w:rPr>
          <w:rFonts w:ascii="Arial" w:hAnsi="Arial" w:cs="Arial"/>
          <w:lang w:val="es-CO"/>
        </w:rPr>
      </w:pPr>
    </w:p>
    <w:p w14:paraId="1FAE3964"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Ecoactividades: Son aquellas diseñadas en el marco de un viaje ecoturístico para ofrecer a los visitantes recreación, debidamente coordinadas por un guía o profesional de la actividad y ambientalmente compatibles con los valores naturales del</w:t>
      </w:r>
      <w:r>
        <w:rPr>
          <w:rFonts w:ascii="Arial" w:hAnsi="Arial" w:cs="Arial"/>
          <w:lang w:val="es-CO"/>
        </w:rPr>
        <w:t xml:space="preserve"> área respectiva.</w:t>
      </w:r>
    </w:p>
    <w:p w14:paraId="79DC7450" w14:textId="77777777" w:rsidR="00B2442D" w:rsidRDefault="00B2442D">
      <w:pPr>
        <w:jc w:val="both"/>
        <w:rPr>
          <w:rFonts w:ascii="Arial" w:hAnsi="Arial" w:cs="Arial"/>
          <w:lang w:val="es-CO"/>
        </w:rPr>
      </w:pPr>
    </w:p>
    <w:p w14:paraId="196709B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los efectos de lo dispuesto en los artículos 1.2.1.22.17 y 1.2.1.22.18 del presente Decreto se entiende por áreas con un atractivo natural especial, aquellas que conserven una muestra de un ecosistema natural, entendido c</w:t>
      </w:r>
      <w:r>
        <w:rPr>
          <w:rFonts w:ascii="Arial" w:hAnsi="Arial" w:cs="Arial"/>
          <w:lang w:val="es-CO"/>
        </w:rPr>
        <w:t>omo la unidad funcional compuesta de elementos bióticos y abióticos que ha evolucionado naturalmente y mantiene la estructura, composición dinámica y funciones ecológicas características del mismo y cuyas condiciones constituyen un atractivo especial.</w:t>
      </w:r>
    </w:p>
    <w:p w14:paraId="20ED680F" w14:textId="77777777" w:rsidR="00B2442D" w:rsidRDefault="00B2442D">
      <w:pPr>
        <w:jc w:val="both"/>
        <w:rPr>
          <w:rFonts w:ascii="Arial" w:hAnsi="Arial" w:cs="Arial"/>
          <w:lang w:val="es-CO"/>
        </w:rPr>
      </w:pPr>
    </w:p>
    <w:p w14:paraId="4EBDDD77"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11, Decreto 2755 de 2003. La expresión “por ecoturismo la definición contenida en el artículo 26 de la Ley 300 de 1996 y”, contenida en el inciso 1, tiene decaimiento, en virtud de la modificación que el artículo 4 de la Ley 1558/12, hiciera al artículo</w:t>
      </w:r>
      <w:r>
        <w:rPr>
          <w:rFonts w:ascii="Arial" w:hAnsi="Arial" w:cs="Arial"/>
          <w:i/>
          <w:lang w:val="es-CO"/>
        </w:rPr>
        <w:t xml:space="preserve"> 26 de la Ley 300 de 1996)</w:t>
      </w:r>
    </w:p>
    <w:p w14:paraId="64E60C26" w14:textId="77777777" w:rsidR="00B2442D" w:rsidRDefault="00B2442D">
      <w:pPr>
        <w:jc w:val="both"/>
        <w:rPr>
          <w:rFonts w:ascii="Arial" w:hAnsi="Arial" w:cs="Arial"/>
          <w:lang w:val="es-CO"/>
        </w:rPr>
      </w:pPr>
    </w:p>
    <w:p w14:paraId="686CF98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la procedencia de la exención en la prestación de servicios de ecoturismo.</w:t>
      </w:r>
      <w:r>
        <w:rPr>
          <w:rFonts w:ascii="Arial" w:hAnsi="Arial" w:cs="Arial"/>
          <w:lang w:val="es-CO"/>
        </w:rPr>
        <w:t xml:space="preserve"> Para la procedencia de la exención por concepto de servicios de ecoturismo, el contribuyente deberá acreditar el cumplimiento de los sigu</w:t>
      </w:r>
      <w:r>
        <w:rPr>
          <w:rFonts w:ascii="Arial" w:hAnsi="Arial" w:cs="Arial"/>
          <w:lang w:val="es-CO"/>
        </w:rPr>
        <w:t>ientes requisitos cuando la Unidad Administrativa Especial Dirección de Impuestos y Aduanas Nacionales, DIAN, los exija:</w:t>
      </w:r>
    </w:p>
    <w:p w14:paraId="37AE77B5" w14:textId="77777777" w:rsidR="00B2442D" w:rsidRDefault="00B2442D">
      <w:pPr>
        <w:jc w:val="both"/>
        <w:rPr>
          <w:rFonts w:ascii="Arial" w:hAnsi="Arial" w:cs="Arial"/>
          <w:lang w:val="es-CO"/>
        </w:rPr>
      </w:pPr>
    </w:p>
    <w:p w14:paraId="3B331A4B"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r>
      <w:r>
        <w:rPr>
          <w:rFonts w:ascii="Arial" w:hAnsi="Arial" w:cs="Arial"/>
          <w:lang w:val="es-CO"/>
        </w:rPr>
        <w:t xml:space="preserve">Inscripción en el Registro Nacional de Turismo o el que haga sus veces, cuando  la actividad sea desarrollada por prestadores de servicios turísticos, de conformidad con lo establecido en la Ley 300 de 1996 y sus decretos reglamentarios. </w:t>
      </w:r>
    </w:p>
    <w:p w14:paraId="32848A49" w14:textId="77777777" w:rsidR="00B2442D" w:rsidRDefault="00B2442D">
      <w:pPr>
        <w:ind w:left="284" w:hanging="284"/>
        <w:jc w:val="both"/>
        <w:rPr>
          <w:rFonts w:ascii="Arial" w:hAnsi="Arial" w:cs="Arial"/>
          <w:lang w:val="es-CO"/>
        </w:rPr>
      </w:pPr>
    </w:p>
    <w:p w14:paraId="21B9E099"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Certificación</w:t>
      </w:r>
      <w:r>
        <w:rPr>
          <w:rFonts w:ascii="Arial" w:hAnsi="Arial" w:cs="Arial"/>
          <w:lang w:val="es-CO"/>
        </w:rPr>
        <w:t xml:space="preserve"> en la que conste que el servicio de ecoturismo prestado cumple con los fines previstos en el presente decreto para lo cual el contribuyente deberá solicitar anualmente la correspondiente certificación al Ministerio de Ambiente y Desarrollo Sostenible comp</w:t>
      </w:r>
      <w:r>
        <w:rPr>
          <w:rFonts w:ascii="Arial" w:hAnsi="Arial" w:cs="Arial"/>
          <w:lang w:val="es-CO"/>
        </w:rPr>
        <w:t>etente así:</w:t>
      </w:r>
    </w:p>
    <w:p w14:paraId="72EA0B65" w14:textId="77777777" w:rsidR="00B2442D" w:rsidRDefault="00B2442D">
      <w:pPr>
        <w:jc w:val="both"/>
        <w:rPr>
          <w:rFonts w:ascii="Arial" w:hAnsi="Arial" w:cs="Arial"/>
          <w:lang w:val="es-CO"/>
        </w:rPr>
      </w:pPr>
    </w:p>
    <w:p w14:paraId="17C41C47" w14:textId="77777777" w:rsidR="00B2442D" w:rsidRDefault="008A645F">
      <w:pPr>
        <w:ind w:left="709" w:hanging="425"/>
        <w:jc w:val="both"/>
        <w:rPr>
          <w:rFonts w:ascii="Arial" w:hAnsi="Arial" w:cs="Arial"/>
          <w:lang w:val="es-CO"/>
        </w:rPr>
      </w:pPr>
      <w:r>
        <w:rPr>
          <w:rFonts w:ascii="Arial" w:hAnsi="Arial" w:cs="Arial"/>
          <w:lang w:val="es-CO"/>
        </w:rPr>
        <w:t>a)</w:t>
      </w:r>
      <w:r>
        <w:rPr>
          <w:rFonts w:ascii="Arial" w:hAnsi="Arial" w:cs="Arial"/>
          <w:lang w:val="es-CO"/>
        </w:rPr>
        <w:tab/>
        <w:t xml:space="preserve">Cuando los servicios de ecoturismo se presten total o parcialmente en áreas del Sistema de Parques Nacionales Naturales o en las Reservas Naturales de la Sociedad Civil debidamente registradas, la certificación será expedida por parte </w:t>
      </w:r>
      <w:r>
        <w:rPr>
          <w:rFonts w:ascii="Arial" w:hAnsi="Arial" w:cs="Arial"/>
          <w:lang w:val="es-CO"/>
        </w:rPr>
        <w:t>Ministerio de Ambiente y Desarrollo Sostenible a través de la Unidad Administrativa Especial del Sistema de Parques Nacionales Naturales.</w:t>
      </w:r>
    </w:p>
    <w:p w14:paraId="597D8990" w14:textId="77777777" w:rsidR="00B2442D" w:rsidRDefault="00B2442D">
      <w:pPr>
        <w:ind w:left="709" w:hanging="425"/>
        <w:jc w:val="both"/>
        <w:rPr>
          <w:rFonts w:ascii="Arial" w:hAnsi="Arial" w:cs="Arial"/>
          <w:lang w:val="es-CO"/>
        </w:rPr>
      </w:pPr>
    </w:p>
    <w:p w14:paraId="401334E0" w14:textId="77777777" w:rsidR="00B2442D" w:rsidRDefault="008A645F">
      <w:pPr>
        <w:ind w:left="709" w:hanging="425"/>
        <w:jc w:val="both"/>
        <w:rPr>
          <w:rFonts w:ascii="Arial" w:hAnsi="Arial" w:cs="Arial"/>
          <w:lang w:val="es-CO"/>
        </w:rPr>
      </w:pPr>
      <w:r>
        <w:rPr>
          <w:rFonts w:ascii="Arial" w:hAnsi="Arial" w:cs="Arial"/>
          <w:lang w:val="es-CO"/>
        </w:rPr>
        <w:t>b)</w:t>
      </w:r>
      <w:r>
        <w:rPr>
          <w:rFonts w:ascii="Arial" w:hAnsi="Arial" w:cs="Arial"/>
          <w:lang w:val="es-CO"/>
        </w:rPr>
        <w:tab/>
        <w:t>Cuando los servicios de ecoturismo se presten en áreas naturales protegidas de carácter municipal, regional o depa</w:t>
      </w:r>
      <w:r>
        <w:rPr>
          <w:rFonts w:ascii="Arial" w:hAnsi="Arial" w:cs="Arial"/>
          <w:lang w:val="es-CO"/>
        </w:rPr>
        <w:t>rtamental así como en las demás áreas con atractivo natural especial, la certificación será expedida por la Corporación Autónoma Regional o de Desarrollo Sostenible, por las autoridades ambientales de los Grandes Centros Urbanos o por las autoridades ambie</w:t>
      </w:r>
      <w:r>
        <w:rPr>
          <w:rFonts w:ascii="Arial" w:hAnsi="Arial" w:cs="Arial"/>
          <w:lang w:val="es-CO"/>
        </w:rPr>
        <w:t>ntales Distritales de que trata la Ley 768 de 2002 en el área de su jurisdicción respectiva. En el caso en que dichas actividades se desarrollen en jurisdicción de más de una de estas autoridades, el contribuyente podrá solicitar la certificación ante cual</w:t>
      </w:r>
      <w:r>
        <w:rPr>
          <w:rFonts w:ascii="Arial" w:hAnsi="Arial" w:cs="Arial"/>
          <w:lang w:val="es-CO"/>
        </w:rPr>
        <w:t xml:space="preserve">quiera de ellas. En este caso la autoridad ambiental deberá solicitar concepto favorable a las demás autoridades ambientales competentes en el área donde se presten los mencionados servicios ecoturísticos. </w:t>
      </w:r>
    </w:p>
    <w:p w14:paraId="3BE04DDE" w14:textId="77777777" w:rsidR="00B2442D" w:rsidRDefault="00B2442D">
      <w:pPr>
        <w:ind w:left="709" w:hanging="425"/>
        <w:jc w:val="both"/>
        <w:rPr>
          <w:rFonts w:ascii="Arial" w:hAnsi="Arial" w:cs="Arial"/>
          <w:lang w:val="es-CO"/>
        </w:rPr>
      </w:pPr>
    </w:p>
    <w:p w14:paraId="271804FB" w14:textId="77777777" w:rsidR="00B2442D" w:rsidRDefault="008A645F">
      <w:pPr>
        <w:ind w:left="709" w:hanging="425"/>
        <w:jc w:val="both"/>
        <w:rPr>
          <w:rFonts w:ascii="Arial" w:hAnsi="Arial" w:cs="Arial"/>
          <w:lang w:val="es-CO"/>
        </w:rPr>
      </w:pPr>
      <w:r>
        <w:rPr>
          <w:rFonts w:ascii="Arial" w:hAnsi="Arial" w:cs="Arial"/>
          <w:lang w:val="es-CO"/>
        </w:rPr>
        <w:t>c)</w:t>
      </w:r>
      <w:r>
        <w:rPr>
          <w:rFonts w:ascii="Arial" w:hAnsi="Arial" w:cs="Arial"/>
          <w:lang w:val="es-CO"/>
        </w:rPr>
        <w:tab/>
        <w:t>Certificación expedida por el representante l</w:t>
      </w:r>
      <w:r>
        <w:rPr>
          <w:rFonts w:ascii="Arial" w:hAnsi="Arial" w:cs="Arial"/>
          <w:lang w:val="es-CO"/>
        </w:rPr>
        <w:t>egal y por el revisor fiscal y/o contador público, según el caso, sobre el valor de la renta obtenida en la prestación de servicios de ecoturismo durante el respectivo año gravable.</w:t>
      </w:r>
    </w:p>
    <w:p w14:paraId="5F83E806" w14:textId="77777777" w:rsidR="00B2442D" w:rsidRDefault="00B2442D">
      <w:pPr>
        <w:jc w:val="both"/>
        <w:rPr>
          <w:rFonts w:ascii="Arial" w:hAnsi="Arial" w:cs="Arial"/>
          <w:lang w:val="es-CO"/>
        </w:rPr>
      </w:pPr>
    </w:p>
    <w:p w14:paraId="62691C06"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Certificación del revisor fiscal y/o contador público de la empresa en</w:t>
      </w:r>
      <w:r>
        <w:rPr>
          <w:rFonts w:ascii="Arial" w:hAnsi="Arial" w:cs="Arial"/>
          <w:lang w:val="es-CO"/>
        </w:rPr>
        <w:t xml:space="preserve"> la que se acredite que se lleva contabilidad separada de los ingresos generados por la prestación de servicios de ecoturismo exentos del impuesto sobre la renta y de los ingresos originados en otras actividades desarrolladas por la empresa.</w:t>
      </w:r>
    </w:p>
    <w:p w14:paraId="7564F6F5" w14:textId="77777777" w:rsidR="00B2442D" w:rsidRDefault="00B2442D">
      <w:pPr>
        <w:jc w:val="both"/>
        <w:rPr>
          <w:rFonts w:ascii="Arial" w:hAnsi="Arial" w:cs="Arial"/>
          <w:lang w:val="es-CO"/>
        </w:rPr>
      </w:pPr>
    </w:p>
    <w:p w14:paraId="3D62FA9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w:t>
      </w:r>
      <w:r>
        <w:rPr>
          <w:rFonts w:ascii="Arial" w:hAnsi="Arial" w:cs="Arial"/>
          <w:lang w:val="es-CO"/>
        </w:rPr>
        <w:t xml:space="preserve"> Ministerio de Ambiente y Desarrollo Sostenible establecerá la forma y requisitos para presentar a consideración de las autoridades ambientales competentes, las solicitudes de acreditación de que trata este artículo. </w:t>
      </w:r>
    </w:p>
    <w:p w14:paraId="1934F1D7" w14:textId="77777777" w:rsidR="00B2442D" w:rsidRDefault="00B2442D">
      <w:pPr>
        <w:jc w:val="both"/>
        <w:rPr>
          <w:rFonts w:ascii="Arial" w:hAnsi="Arial" w:cs="Arial"/>
          <w:lang w:val="es-CO"/>
        </w:rPr>
      </w:pPr>
    </w:p>
    <w:p w14:paraId="1F2E7D4E" w14:textId="77777777" w:rsidR="00B2442D" w:rsidRDefault="008A645F">
      <w:pPr>
        <w:jc w:val="both"/>
        <w:rPr>
          <w:rFonts w:ascii="Arial" w:hAnsi="Arial" w:cs="Arial"/>
          <w:lang w:val="es-CO"/>
        </w:rPr>
      </w:pPr>
      <w:r>
        <w:rPr>
          <w:rFonts w:ascii="Arial" w:hAnsi="Arial" w:cs="Arial"/>
          <w:lang w:val="es-CO"/>
        </w:rPr>
        <w:t>Los Ministerios Ambiente y Desarrollo</w:t>
      </w:r>
      <w:r>
        <w:rPr>
          <w:rFonts w:ascii="Arial" w:hAnsi="Arial" w:cs="Arial"/>
          <w:lang w:val="es-CO"/>
        </w:rPr>
        <w:t xml:space="preserve"> Sostenible y de Comercio, Industria y Turismo establecerán los criterios técnicos de las diferentes actividades o servicios ecoturísticos.</w:t>
      </w:r>
    </w:p>
    <w:p w14:paraId="5589D5A7" w14:textId="77777777" w:rsidR="00B2442D" w:rsidRDefault="00B2442D">
      <w:pPr>
        <w:jc w:val="both"/>
        <w:rPr>
          <w:rFonts w:ascii="Arial" w:hAnsi="Arial" w:cs="Arial"/>
          <w:lang w:val="es-CO"/>
        </w:rPr>
      </w:pPr>
    </w:p>
    <w:p w14:paraId="23D649FA" w14:textId="77777777" w:rsidR="00B2442D" w:rsidRDefault="008A645F">
      <w:pPr>
        <w:jc w:val="both"/>
        <w:rPr>
          <w:rFonts w:ascii="Arial" w:hAnsi="Arial" w:cs="Arial"/>
          <w:i/>
          <w:lang w:val="es-CO"/>
        </w:rPr>
      </w:pPr>
      <w:r>
        <w:rPr>
          <w:rFonts w:ascii="Arial" w:hAnsi="Arial" w:cs="Arial"/>
          <w:i/>
          <w:lang w:val="es-CO"/>
        </w:rPr>
        <w:t>(Art. 12, Decreto 2755 de 2003)</w:t>
      </w:r>
    </w:p>
    <w:p w14:paraId="6EE0BB48" w14:textId="77777777" w:rsidR="00B2442D" w:rsidRDefault="00B2442D">
      <w:pPr>
        <w:jc w:val="both"/>
        <w:rPr>
          <w:rFonts w:ascii="Arial" w:hAnsi="Arial" w:cs="Arial"/>
          <w:lang w:val="es-CO"/>
        </w:rPr>
      </w:pPr>
    </w:p>
    <w:p w14:paraId="3E7DB397"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 exenta por aprovechamiento de plantaciones forestales.</w:t>
      </w:r>
      <w:r>
        <w:rPr>
          <w:rFonts w:ascii="Arial" w:hAnsi="Arial" w:cs="Arial"/>
          <w:lang w:val="es-CO"/>
        </w:rPr>
        <w:t xml:space="preserve"> Las rentas relativas </w:t>
      </w:r>
      <w:r>
        <w:rPr>
          <w:rFonts w:ascii="Arial" w:hAnsi="Arial" w:cs="Arial"/>
          <w:lang w:val="es-CO"/>
        </w:rPr>
        <w:t>a los ingresos provenientes del aprovechamiento de nuevas plantaciones forestales, incluida la guadua, están exentas del impuesto sobre la renta, a partir del 1° de enero de 2003.</w:t>
      </w:r>
    </w:p>
    <w:p w14:paraId="775F7A33" w14:textId="77777777" w:rsidR="00B2442D" w:rsidRDefault="00B2442D">
      <w:pPr>
        <w:jc w:val="both"/>
        <w:rPr>
          <w:rFonts w:ascii="Arial" w:hAnsi="Arial" w:cs="Arial"/>
          <w:lang w:val="es-CO"/>
        </w:rPr>
      </w:pPr>
    </w:p>
    <w:p w14:paraId="24DFE845" w14:textId="77777777" w:rsidR="00B2442D" w:rsidRDefault="008A645F">
      <w:pPr>
        <w:jc w:val="both"/>
        <w:rPr>
          <w:rFonts w:ascii="Arial" w:hAnsi="Arial" w:cs="Arial"/>
          <w:lang w:val="es-CO"/>
        </w:rPr>
      </w:pPr>
      <w:r>
        <w:rPr>
          <w:rFonts w:ascii="Arial" w:hAnsi="Arial" w:cs="Arial"/>
          <w:lang w:val="es-CO"/>
        </w:rPr>
        <w:t>También gozarán de esta exención los contribuyentes que a partir de la fech</w:t>
      </w:r>
      <w:r>
        <w:rPr>
          <w:rFonts w:ascii="Arial" w:hAnsi="Arial" w:cs="Arial"/>
          <w:lang w:val="es-CO"/>
        </w:rPr>
        <w:t>a de la entrada en vigencia de la Ley 788 de 2002, realicen inversiones en nuevos aserríos vinculados directamente al aprovechamiento de las nuevas plantaciones forestales, y/o al aprovechamiento de plantaciones forestales debidamente registradas ante la a</w:t>
      </w:r>
      <w:r>
        <w:rPr>
          <w:rFonts w:ascii="Arial" w:hAnsi="Arial" w:cs="Arial"/>
          <w:lang w:val="es-CO"/>
        </w:rPr>
        <w:t xml:space="preserve">utoridad competente antes del 27 de diciembre de 2002. </w:t>
      </w:r>
    </w:p>
    <w:p w14:paraId="3CDE6EB7" w14:textId="77777777" w:rsidR="00B2442D" w:rsidRDefault="00B2442D">
      <w:pPr>
        <w:jc w:val="both"/>
        <w:rPr>
          <w:rFonts w:ascii="Arial" w:hAnsi="Arial" w:cs="Arial"/>
          <w:lang w:val="es-CO"/>
        </w:rPr>
      </w:pPr>
    </w:p>
    <w:p w14:paraId="3C4A3F8B" w14:textId="77777777" w:rsidR="00B2442D" w:rsidRDefault="008A645F">
      <w:pPr>
        <w:jc w:val="both"/>
        <w:rPr>
          <w:rFonts w:ascii="Arial" w:hAnsi="Arial" w:cs="Arial"/>
          <w:lang w:val="es-CO"/>
        </w:rPr>
      </w:pPr>
      <w:r>
        <w:rPr>
          <w:rFonts w:ascii="Arial" w:hAnsi="Arial" w:cs="Arial"/>
          <w:lang w:val="es-CO"/>
        </w:rPr>
        <w:t>Los contribuyentes que posean plantaciones de árboles maderables registrados ante la autoridad competente antes de la entrada en vigencia de la Ley 788 de 2002, también gozarán de la exención a que s</w:t>
      </w:r>
      <w:r>
        <w:rPr>
          <w:rFonts w:ascii="Arial" w:hAnsi="Arial" w:cs="Arial"/>
          <w:lang w:val="es-CO"/>
        </w:rPr>
        <w:t xml:space="preserve">e refiere el presente artículo, siempre que se demuestre que se efectuó la renovación técnica de los cultivos. </w:t>
      </w:r>
    </w:p>
    <w:p w14:paraId="077481E7" w14:textId="77777777" w:rsidR="00B2442D" w:rsidRDefault="00B2442D">
      <w:pPr>
        <w:jc w:val="both"/>
        <w:rPr>
          <w:rFonts w:ascii="Arial" w:hAnsi="Arial" w:cs="Arial"/>
          <w:lang w:val="es-CO"/>
        </w:rPr>
      </w:pPr>
    </w:p>
    <w:p w14:paraId="1BA83C8F" w14:textId="77777777" w:rsidR="00B2442D" w:rsidRDefault="008A645F">
      <w:pPr>
        <w:jc w:val="both"/>
        <w:rPr>
          <w:rFonts w:ascii="Arial" w:hAnsi="Arial" w:cs="Arial"/>
          <w:lang w:val="es-CO"/>
        </w:rPr>
      </w:pPr>
      <w:r>
        <w:rPr>
          <w:rFonts w:ascii="Arial" w:hAnsi="Arial" w:cs="Arial"/>
          <w:lang w:val="es-CO"/>
        </w:rPr>
        <w:t>Para efectos de la exención a que se refiere el presente artículo se tendrán en cuenta las siguientes definiciones:</w:t>
      </w:r>
    </w:p>
    <w:p w14:paraId="2027F1EC" w14:textId="77777777" w:rsidR="00B2442D" w:rsidRDefault="00B2442D">
      <w:pPr>
        <w:jc w:val="both"/>
        <w:rPr>
          <w:rFonts w:ascii="Arial" w:hAnsi="Arial" w:cs="Arial"/>
          <w:lang w:val="es-CO"/>
        </w:rPr>
      </w:pPr>
    </w:p>
    <w:p w14:paraId="3778B883" w14:textId="77777777" w:rsidR="00B2442D" w:rsidRDefault="008A645F">
      <w:pPr>
        <w:jc w:val="both"/>
        <w:rPr>
          <w:rFonts w:ascii="Arial" w:hAnsi="Arial" w:cs="Arial"/>
          <w:lang w:val="es-CO"/>
        </w:rPr>
      </w:pPr>
      <w:r>
        <w:rPr>
          <w:rFonts w:ascii="Arial" w:hAnsi="Arial" w:cs="Arial"/>
          <w:lang w:val="es-CO"/>
        </w:rPr>
        <w:t>Nueva plantación forestal:</w:t>
      </w:r>
      <w:r>
        <w:rPr>
          <w:rFonts w:ascii="Arial" w:hAnsi="Arial" w:cs="Arial"/>
          <w:lang w:val="es-CO"/>
        </w:rPr>
        <w:t xml:space="preserve"> Son todos aquellos cultivos realizados con especies arbóreas maderables, incluida la guadua, que se establezcan en el territorio nacional a partir de la entrada en vigencia de la Ley 788 de 2002, bien sea que corresponda a primer turno, rebrote o a renova</w:t>
      </w:r>
      <w:r>
        <w:rPr>
          <w:rFonts w:ascii="Arial" w:hAnsi="Arial" w:cs="Arial"/>
          <w:lang w:val="es-CO"/>
        </w:rPr>
        <w:t>ción técnica del cultivo forestal en los turnos siguientes.</w:t>
      </w:r>
    </w:p>
    <w:p w14:paraId="2D4B41E6" w14:textId="77777777" w:rsidR="00B2442D" w:rsidRDefault="00B2442D">
      <w:pPr>
        <w:jc w:val="both"/>
        <w:rPr>
          <w:rFonts w:ascii="Arial" w:hAnsi="Arial" w:cs="Arial"/>
          <w:lang w:val="es-CO"/>
        </w:rPr>
      </w:pPr>
    </w:p>
    <w:p w14:paraId="3B2BD2E5" w14:textId="77777777" w:rsidR="00B2442D" w:rsidRDefault="008A645F">
      <w:pPr>
        <w:jc w:val="both"/>
        <w:rPr>
          <w:rFonts w:ascii="Arial" w:hAnsi="Arial" w:cs="Arial"/>
          <w:lang w:val="es-CO"/>
        </w:rPr>
      </w:pPr>
      <w:r>
        <w:rPr>
          <w:rFonts w:ascii="Arial" w:hAnsi="Arial" w:cs="Arial"/>
          <w:lang w:val="es-CO"/>
        </w:rPr>
        <w:t xml:space="preserve">Aprovechamiento: Es la obtención de una renta, por parte del propietario del cultivo forestal con fines comerciales debidamente registrado, como resultado de la venta del vuelo forestal, de la </w:t>
      </w:r>
      <w:r>
        <w:rPr>
          <w:rFonts w:ascii="Arial" w:hAnsi="Arial" w:cs="Arial"/>
          <w:lang w:val="es-CO"/>
        </w:rPr>
        <w:t xml:space="preserve">extracción de los recursos maderables y no maderables de las plantaciones forestales, siendo los primeros: ramas, troncos o fustes, y los segundos: follaje, gomas, resinas, aceites esenciales, lacas, cortezas, entre otros. No constituye aprovechamiento de </w:t>
      </w:r>
      <w:r>
        <w:rPr>
          <w:rFonts w:ascii="Arial" w:hAnsi="Arial" w:cs="Arial"/>
          <w:lang w:val="es-CO"/>
        </w:rPr>
        <w:t>cultivos forestales, la obtención de la renta, proveniente de procesos de titularización de dichos cultivos.</w:t>
      </w:r>
    </w:p>
    <w:p w14:paraId="1B4679D4" w14:textId="77777777" w:rsidR="00B2442D" w:rsidRDefault="00B2442D">
      <w:pPr>
        <w:jc w:val="both"/>
        <w:rPr>
          <w:rFonts w:ascii="Arial" w:hAnsi="Arial" w:cs="Arial"/>
          <w:lang w:val="es-CO"/>
        </w:rPr>
      </w:pPr>
    </w:p>
    <w:p w14:paraId="79BC7D4C" w14:textId="77777777" w:rsidR="00B2442D" w:rsidRDefault="008A645F">
      <w:pPr>
        <w:jc w:val="both"/>
        <w:rPr>
          <w:rFonts w:ascii="Arial" w:hAnsi="Arial" w:cs="Arial"/>
          <w:lang w:val="es-CO"/>
        </w:rPr>
      </w:pPr>
      <w:r>
        <w:rPr>
          <w:rFonts w:ascii="Arial" w:hAnsi="Arial" w:cs="Arial"/>
          <w:lang w:val="es-CO"/>
        </w:rPr>
        <w:t>Vuelo forestal: Es el conjunto de árboles resultante del proceso de establecimiento y manejo forestal.</w:t>
      </w:r>
    </w:p>
    <w:p w14:paraId="4F1FD128" w14:textId="77777777" w:rsidR="00B2442D" w:rsidRDefault="00B2442D">
      <w:pPr>
        <w:jc w:val="both"/>
        <w:rPr>
          <w:rFonts w:ascii="Arial" w:hAnsi="Arial" w:cs="Arial"/>
          <w:lang w:val="es-CO"/>
        </w:rPr>
      </w:pPr>
    </w:p>
    <w:p w14:paraId="12A7D1D0" w14:textId="77777777" w:rsidR="00B2442D" w:rsidRDefault="008A645F">
      <w:pPr>
        <w:jc w:val="both"/>
        <w:rPr>
          <w:rFonts w:ascii="Arial" w:hAnsi="Arial" w:cs="Arial"/>
          <w:lang w:val="es-CO"/>
        </w:rPr>
      </w:pPr>
      <w:r>
        <w:rPr>
          <w:rFonts w:ascii="Arial" w:hAnsi="Arial" w:cs="Arial"/>
          <w:lang w:val="es-CO"/>
        </w:rPr>
        <w:t>Turno: Es el ciclo productivo de una plant</w:t>
      </w:r>
      <w:r>
        <w:rPr>
          <w:rFonts w:ascii="Arial" w:hAnsi="Arial" w:cs="Arial"/>
          <w:lang w:val="es-CO"/>
        </w:rPr>
        <w:t>ación que se inicia con las actividades de forestación y/o reforestación por cualquier sistema silvicultural y termina con su aprovechamiento final.</w:t>
      </w:r>
    </w:p>
    <w:p w14:paraId="4B28C9B7" w14:textId="77777777" w:rsidR="00B2442D" w:rsidRDefault="00B2442D">
      <w:pPr>
        <w:jc w:val="both"/>
        <w:rPr>
          <w:rFonts w:ascii="Arial" w:hAnsi="Arial" w:cs="Arial"/>
          <w:lang w:val="es-CO"/>
        </w:rPr>
      </w:pPr>
    </w:p>
    <w:p w14:paraId="76CF5150" w14:textId="77777777" w:rsidR="00B2442D" w:rsidRDefault="008A645F">
      <w:pPr>
        <w:jc w:val="both"/>
        <w:rPr>
          <w:rFonts w:ascii="Arial" w:hAnsi="Arial" w:cs="Arial"/>
          <w:lang w:val="es-CO"/>
        </w:rPr>
      </w:pPr>
      <w:r>
        <w:rPr>
          <w:rFonts w:ascii="Arial" w:hAnsi="Arial" w:cs="Arial"/>
          <w:lang w:val="es-CO"/>
        </w:rPr>
        <w:t>Nuevo aserrío: Conjunto, fijo o móvil de maquinaria, equipo y demás herramientas, instrumentos y elementos</w:t>
      </w:r>
      <w:r>
        <w:rPr>
          <w:rFonts w:ascii="Arial" w:hAnsi="Arial" w:cs="Arial"/>
          <w:lang w:val="es-CO"/>
        </w:rPr>
        <w:t>, para la producción de madera aserrada, adquirido a partir del 27 de diciembre de 2002, que esté vinculado directamente al aprovechamiento de las nuevas plantaciones forestales y/o a plantaciones forestales registradas ante la autoridad competente antes d</w:t>
      </w:r>
      <w:r>
        <w:rPr>
          <w:rFonts w:ascii="Arial" w:hAnsi="Arial" w:cs="Arial"/>
          <w:lang w:val="es-CO"/>
        </w:rPr>
        <w:t>el 27 de diciembre de 2002.</w:t>
      </w:r>
    </w:p>
    <w:p w14:paraId="0A6F501E" w14:textId="77777777" w:rsidR="00B2442D" w:rsidRDefault="00B2442D">
      <w:pPr>
        <w:jc w:val="both"/>
        <w:rPr>
          <w:rFonts w:ascii="Arial" w:hAnsi="Arial" w:cs="Arial"/>
          <w:lang w:val="es-CO"/>
        </w:rPr>
      </w:pPr>
    </w:p>
    <w:p w14:paraId="6B6151A8" w14:textId="77777777" w:rsidR="00B2442D" w:rsidRDefault="008A645F">
      <w:pPr>
        <w:jc w:val="both"/>
        <w:rPr>
          <w:rFonts w:ascii="Arial" w:hAnsi="Arial" w:cs="Arial"/>
          <w:lang w:val="es-CO"/>
        </w:rPr>
      </w:pPr>
      <w:r>
        <w:rPr>
          <w:rFonts w:ascii="Arial" w:hAnsi="Arial" w:cs="Arial"/>
          <w:lang w:val="es-CO"/>
        </w:rPr>
        <w:t xml:space="preserve">Aserrado: Es el procesamiento al cual se somete la madera para la obtención de productos resultado de la operación del aserrío, tales como piezas, bloques, polines, tablones, tablas y madera aserrada en general. </w:t>
      </w:r>
    </w:p>
    <w:p w14:paraId="0F86942B" w14:textId="77777777" w:rsidR="00B2442D" w:rsidRDefault="00B2442D">
      <w:pPr>
        <w:jc w:val="both"/>
        <w:rPr>
          <w:rFonts w:ascii="Arial" w:hAnsi="Arial" w:cs="Arial"/>
          <w:lang w:val="es-CO"/>
        </w:rPr>
      </w:pPr>
    </w:p>
    <w:p w14:paraId="38EEEC18" w14:textId="77777777" w:rsidR="00B2442D" w:rsidRDefault="008A645F">
      <w:pPr>
        <w:jc w:val="both"/>
        <w:rPr>
          <w:rFonts w:ascii="Arial" w:hAnsi="Arial" w:cs="Arial"/>
          <w:lang w:val="es-CO"/>
        </w:rPr>
      </w:pPr>
      <w:r>
        <w:rPr>
          <w:rFonts w:ascii="Arial" w:hAnsi="Arial" w:cs="Arial"/>
          <w:lang w:val="es-CO"/>
        </w:rPr>
        <w:t>Renovación té</w:t>
      </w:r>
      <w:r>
        <w:rPr>
          <w:rFonts w:ascii="Arial" w:hAnsi="Arial" w:cs="Arial"/>
          <w:lang w:val="es-CO"/>
        </w:rPr>
        <w:t>cnica del cultivo forestal</w:t>
      </w:r>
      <w:r>
        <w:rPr>
          <w:rFonts w:ascii="Arial" w:hAnsi="Arial" w:cs="Arial"/>
          <w:b/>
          <w:lang w:val="es-CO"/>
        </w:rPr>
        <w:t>:</w:t>
      </w:r>
      <w:r>
        <w:rPr>
          <w:rFonts w:ascii="Arial" w:hAnsi="Arial" w:cs="Arial"/>
          <w:lang w:val="es-CO"/>
        </w:rPr>
        <w:t xml:space="preserve"> Es el proceso productivo que hace uso de tecnologías silvícolas para establecer y manejar nuevamente una plantación o cultivo forestal.</w:t>
      </w:r>
    </w:p>
    <w:p w14:paraId="40E43095" w14:textId="77777777" w:rsidR="00B2442D" w:rsidRDefault="00B2442D">
      <w:pPr>
        <w:jc w:val="both"/>
        <w:rPr>
          <w:rFonts w:ascii="Arial" w:hAnsi="Arial" w:cs="Arial"/>
          <w:lang w:val="es-CO"/>
        </w:rPr>
      </w:pPr>
    </w:p>
    <w:p w14:paraId="0D289222" w14:textId="77777777" w:rsidR="00B2442D" w:rsidRDefault="008A645F">
      <w:pPr>
        <w:jc w:val="both"/>
        <w:rPr>
          <w:rFonts w:ascii="Arial" w:hAnsi="Arial" w:cs="Arial"/>
          <w:i/>
          <w:lang w:val="es-CO"/>
        </w:rPr>
      </w:pPr>
      <w:r>
        <w:rPr>
          <w:rFonts w:ascii="Arial" w:hAnsi="Arial" w:cs="Arial"/>
          <w:i/>
          <w:lang w:val="es-CO"/>
        </w:rPr>
        <w:t>(Art. 13, Decreto 2755 de 2003, modificado por el art. 1 del Decreto 2755 de 2005. El incis</w:t>
      </w:r>
      <w:r>
        <w:rPr>
          <w:rFonts w:ascii="Arial" w:hAnsi="Arial" w:cs="Arial"/>
          <w:i/>
          <w:lang w:val="es-CO"/>
        </w:rPr>
        <w:t>o  segundo del inciso 4° modificado por el art. 1 del Decreto 213 de 2009)</w:t>
      </w:r>
    </w:p>
    <w:p w14:paraId="687AD932" w14:textId="77777777" w:rsidR="00B2442D" w:rsidRDefault="00B2442D">
      <w:pPr>
        <w:jc w:val="both"/>
        <w:rPr>
          <w:rFonts w:ascii="Arial" w:hAnsi="Arial" w:cs="Arial"/>
          <w:lang w:val="es-CO"/>
        </w:rPr>
      </w:pPr>
    </w:p>
    <w:p w14:paraId="4BEB51DE"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la obtención de la exención por aprovechamiento de plantaciones forestales, inversión en nuevos aserríos y plantaciones de árboles maderables.</w:t>
      </w:r>
      <w:r>
        <w:rPr>
          <w:rFonts w:ascii="Arial" w:hAnsi="Arial" w:cs="Arial"/>
          <w:lang w:val="es-CO"/>
        </w:rPr>
        <w:t xml:space="preserve"> Para la procedencia d</w:t>
      </w:r>
      <w:r>
        <w:rPr>
          <w:rFonts w:ascii="Arial" w:hAnsi="Arial" w:cs="Arial"/>
          <w:lang w:val="es-CO"/>
        </w:rPr>
        <w:t>e la exención a que se refiere el numeral 6° del artículo 207-2 del Estatuto Tributario, el contribuyente deberá acreditar el cumplimiento de los siguientes requisitos cuando la Unidad Administrativa Especial Dirección de Impuestos y Aduanas Nacionales-DIA</w:t>
      </w:r>
      <w:r>
        <w:rPr>
          <w:rFonts w:ascii="Arial" w:hAnsi="Arial" w:cs="Arial"/>
          <w:lang w:val="es-CO"/>
        </w:rPr>
        <w:t>N, los exija:</w:t>
      </w:r>
    </w:p>
    <w:p w14:paraId="1DB09169" w14:textId="77777777" w:rsidR="00B2442D" w:rsidRDefault="00B2442D">
      <w:pPr>
        <w:jc w:val="both"/>
        <w:rPr>
          <w:rFonts w:ascii="Arial" w:hAnsi="Arial" w:cs="Arial"/>
          <w:lang w:val="es-CO"/>
        </w:rPr>
      </w:pPr>
    </w:p>
    <w:p w14:paraId="19C721DE"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 xml:space="preserve">Cuando se trate de rentas obtenidas por concepto de aprovechamiento de nuevas plantaciones forestales será necesario acreditar: </w:t>
      </w:r>
    </w:p>
    <w:p w14:paraId="076B0862" w14:textId="77777777" w:rsidR="00B2442D" w:rsidRDefault="00B2442D">
      <w:pPr>
        <w:ind w:left="426" w:hanging="426"/>
        <w:jc w:val="both"/>
        <w:rPr>
          <w:rFonts w:ascii="Arial" w:hAnsi="Arial" w:cs="Arial"/>
          <w:lang w:val="es-CO"/>
        </w:rPr>
      </w:pPr>
    </w:p>
    <w:p w14:paraId="302D5D10"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Registro de la nueva plantación ante la autoridad competente;</w:t>
      </w:r>
    </w:p>
    <w:p w14:paraId="5757F0E6" w14:textId="77777777" w:rsidR="00B2442D" w:rsidRDefault="00B2442D">
      <w:pPr>
        <w:ind w:left="426" w:hanging="426"/>
        <w:jc w:val="both"/>
        <w:rPr>
          <w:rFonts w:ascii="Arial" w:hAnsi="Arial" w:cs="Arial"/>
          <w:lang w:val="es-CO"/>
        </w:rPr>
      </w:pPr>
    </w:p>
    <w:p w14:paraId="63C18956"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Certificado de tradición y libertad del</w:t>
      </w:r>
      <w:r>
        <w:rPr>
          <w:rFonts w:ascii="Arial" w:hAnsi="Arial" w:cs="Arial"/>
          <w:lang w:val="es-CO"/>
        </w:rPr>
        <w:t xml:space="preserve"> predio en el cual se encuentra la plantación, o en su defecto, el contrato de arrendamiento del inmueble o el documento que acredite cualquier otra forma de tenencia o de formas contractuales de explotación; </w:t>
      </w:r>
    </w:p>
    <w:p w14:paraId="12BE83A8" w14:textId="77777777" w:rsidR="00B2442D" w:rsidRDefault="00B2442D">
      <w:pPr>
        <w:ind w:left="426" w:hanging="426"/>
        <w:jc w:val="both"/>
        <w:rPr>
          <w:rFonts w:ascii="Arial" w:hAnsi="Arial" w:cs="Arial"/>
          <w:lang w:val="es-CO"/>
        </w:rPr>
      </w:pPr>
    </w:p>
    <w:p w14:paraId="31CD8E96"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Certificación expedida por la Corporación </w:t>
      </w:r>
      <w:r>
        <w:rPr>
          <w:rFonts w:ascii="Arial" w:hAnsi="Arial" w:cs="Arial"/>
          <w:lang w:val="es-CO"/>
        </w:rPr>
        <w:t xml:space="preserve">Autónoma Regional o la entidad competente, en la cual conste que la plantación objeto de aprovechamiento en el respectivo año gravable cumple la condición de ser nueva, con base en la información aportada sobre la misma en el acto de su registro, según lo </w:t>
      </w:r>
      <w:r>
        <w:rPr>
          <w:rFonts w:ascii="Arial" w:hAnsi="Arial" w:cs="Arial"/>
          <w:lang w:val="es-CO"/>
        </w:rPr>
        <w:t xml:space="preserve">previsto en el artículo 2.2.1.1.12.2 del Decreto 1076 de 2015, Régimen de Aprovechamiento Forestal; </w:t>
      </w:r>
    </w:p>
    <w:p w14:paraId="35E3E011" w14:textId="77777777" w:rsidR="00B2442D" w:rsidRDefault="00B2442D">
      <w:pPr>
        <w:ind w:left="426" w:hanging="426"/>
        <w:jc w:val="both"/>
        <w:rPr>
          <w:rFonts w:ascii="Arial" w:hAnsi="Arial" w:cs="Arial"/>
          <w:lang w:val="es-CO"/>
        </w:rPr>
      </w:pPr>
    </w:p>
    <w:p w14:paraId="0217C246"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r>
      <w:r>
        <w:rPr>
          <w:rFonts w:ascii="Arial" w:hAnsi="Arial" w:cs="Arial"/>
          <w:lang w:val="es-CO"/>
        </w:rPr>
        <w:t xml:space="preserve">Certificación del representante legal y del revisor fiscal y/o contador público según el caso, en la que conste el valor de las rentas obtenidas por concepto de aprovechamiento de las nuevas plantaciones forestales; </w:t>
      </w:r>
    </w:p>
    <w:p w14:paraId="64849F97" w14:textId="77777777" w:rsidR="00B2442D" w:rsidRDefault="00B2442D">
      <w:pPr>
        <w:ind w:left="426" w:hanging="426"/>
        <w:jc w:val="both"/>
        <w:rPr>
          <w:rFonts w:ascii="Arial" w:hAnsi="Arial" w:cs="Arial"/>
          <w:lang w:val="es-CO"/>
        </w:rPr>
      </w:pPr>
    </w:p>
    <w:p w14:paraId="4EEB4B7C"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Certificación del revisor fiscal y/</w:t>
      </w:r>
      <w:r>
        <w:rPr>
          <w:rFonts w:ascii="Arial" w:hAnsi="Arial" w:cs="Arial"/>
          <w:lang w:val="es-CO"/>
        </w:rPr>
        <w:t>o contador público de la empresa en la que se acredite que se lleva en la contabilidad cuentas separadas de los ingresos generados por el aprovechamiento de nuevas plantaciones forestales que dan lugar a las rentas exentas del impuesto sobre la renta, resp</w:t>
      </w:r>
      <w:r>
        <w:rPr>
          <w:rFonts w:ascii="Arial" w:hAnsi="Arial" w:cs="Arial"/>
          <w:lang w:val="es-CO"/>
        </w:rPr>
        <w:t>ecto de los ingresos originados en otras actividades desarrolladas por la empresa, sin perjuicio de lo ordenado en el artículo 2.2.1.1.11.3 del Decreto 1076 de 2015.</w:t>
      </w:r>
    </w:p>
    <w:p w14:paraId="33BBA68B" w14:textId="77777777" w:rsidR="00B2442D" w:rsidRDefault="00B2442D">
      <w:pPr>
        <w:ind w:left="426" w:hanging="426"/>
        <w:jc w:val="both"/>
        <w:rPr>
          <w:rFonts w:ascii="Arial" w:hAnsi="Arial" w:cs="Arial"/>
          <w:lang w:val="es-CO"/>
        </w:rPr>
      </w:pPr>
    </w:p>
    <w:p w14:paraId="40F0FBD0" w14:textId="77777777" w:rsidR="00B2442D" w:rsidRDefault="008A645F">
      <w:pPr>
        <w:ind w:left="426" w:hanging="426"/>
        <w:jc w:val="both"/>
        <w:rPr>
          <w:rFonts w:ascii="Arial" w:hAnsi="Arial" w:cs="Arial"/>
          <w:lang w:val="es-CO"/>
        </w:rPr>
      </w:pPr>
      <w:r>
        <w:rPr>
          <w:rFonts w:ascii="Arial" w:hAnsi="Arial" w:cs="Arial"/>
          <w:lang w:val="es-CO"/>
        </w:rPr>
        <w:t>2. Cuando se trate de rentas provenientes de inversiones en nuevos aserríos vinculados di</w:t>
      </w:r>
      <w:r>
        <w:rPr>
          <w:rFonts w:ascii="Arial" w:hAnsi="Arial" w:cs="Arial"/>
          <w:lang w:val="es-CO"/>
        </w:rPr>
        <w:t xml:space="preserve">rectamente al aprovechamiento de nuevas plantaciones forestales o de plantaciones registradas ante la autoridad competente antes del 27 de diciembre de 2002, será necesario acreditar: </w:t>
      </w:r>
    </w:p>
    <w:p w14:paraId="77F921D1" w14:textId="77777777" w:rsidR="00B2442D" w:rsidRDefault="00B2442D">
      <w:pPr>
        <w:ind w:left="426" w:hanging="426"/>
        <w:jc w:val="both"/>
        <w:rPr>
          <w:rFonts w:ascii="Arial" w:hAnsi="Arial" w:cs="Arial"/>
          <w:lang w:val="es-CO"/>
        </w:rPr>
      </w:pPr>
    </w:p>
    <w:p w14:paraId="2B93452A"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Facturas de compra del nuevo aserrío y su maquinaria complementaria</w:t>
      </w:r>
      <w:r>
        <w:rPr>
          <w:rFonts w:ascii="Arial" w:hAnsi="Arial" w:cs="Arial"/>
          <w:lang w:val="es-CO"/>
        </w:rPr>
        <w:t>, adquiridos a partir de la fecha de la entrada en vigencia de la Ley 788 de 2002.</w:t>
      </w:r>
    </w:p>
    <w:p w14:paraId="4BD12803" w14:textId="77777777" w:rsidR="00B2442D" w:rsidRDefault="00B2442D">
      <w:pPr>
        <w:ind w:left="426" w:hanging="426"/>
        <w:jc w:val="both"/>
        <w:rPr>
          <w:rFonts w:ascii="Arial" w:hAnsi="Arial" w:cs="Arial"/>
          <w:lang w:val="es-CO"/>
        </w:rPr>
      </w:pPr>
    </w:p>
    <w:p w14:paraId="31F8C711"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Contrato suscrito entre el propietario de la plantación forestal con fines comerciales debidamente registrada y el dueño del nuevo aserrío en el que conste que el nuevo </w:t>
      </w:r>
      <w:r>
        <w:rPr>
          <w:rFonts w:ascii="Arial" w:hAnsi="Arial" w:cs="Arial"/>
          <w:lang w:val="es-CO"/>
        </w:rPr>
        <w:t>aserrío se encuentra vinculado a dichas plantaciones debidamente registradas, por compra del vuelo forestal y/o por la prestación de los servicios de aserrado, cuando sea del caso.</w:t>
      </w:r>
    </w:p>
    <w:p w14:paraId="2FF9B80F" w14:textId="77777777" w:rsidR="00B2442D" w:rsidRDefault="00B2442D">
      <w:pPr>
        <w:ind w:left="426" w:hanging="426"/>
        <w:jc w:val="both"/>
        <w:rPr>
          <w:rFonts w:ascii="Arial" w:hAnsi="Arial" w:cs="Arial"/>
          <w:lang w:val="es-CO"/>
        </w:rPr>
      </w:pPr>
    </w:p>
    <w:p w14:paraId="1A16EBF9" w14:textId="77777777" w:rsidR="00B2442D" w:rsidRDefault="008A645F">
      <w:pPr>
        <w:ind w:left="426"/>
        <w:jc w:val="both"/>
        <w:rPr>
          <w:rFonts w:ascii="Arial" w:hAnsi="Arial" w:cs="Arial"/>
          <w:lang w:val="es-CO"/>
        </w:rPr>
      </w:pPr>
      <w:r>
        <w:rPr>
          <w:rFonts w:ascii="Arial" w:hAnsi="Arial" w:cs="Arial"/>
          <w:lang w:val="es-CO"/>
        </w:rPr>
        <w:t>No será necesario acreditar este requisito cuando el contribuyente reúna l</w:t>
      </w:r>
      <w:r>
        <w:rPr>
          <w:rFonts w:ascii="Arial" w:hAnsi="Arial" w:cs="Arial"/>
          <w:lang w:val="es-CO"/>
        </w:rPr>
        <w:t>a doble condición de propietario de la plantación con fines comerciales y propietario del nuevo aserrío, debiendo en todo caso cumplir los requisitos previstos en los numerales 1 y 3 del presente artículo.</w:t>
      </w:r>
    </w:p>
    <w:p w14:paraId="7C675EBC" w14:textId="77777777" w:rsidR="00B2442D" w:rsidRDefault="00B2442D">
      <w:pPr>
        <w:ind w:left="426" w:hanging="426"/>
        <w:jc w:val="both"/>
        <w:rPr>
          <w:rFonts w:ascii="Arial" w:hAnsi="Arial" w:cs="Arial"/>
          <w:lang w:val="es-CO"/>
        </w:rPr>
      </w:pPr>
    </w:p>
    <w:p w14:paraId="24AA43BE"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Certificación del representante legal y del re</w:t>
      </w:r>
      <w:r>
        <w:rPr>
          <w:rFonts w:ascii="Arial" w:hAnsi="Arial" w:cs="Arial"/>
          <w:lang w:val="es-CO"/>
        </w:rPr>
        <w:t xml:space="preserve">visor fiscal y/o contador público según el caso, en la que conste el valor de la renta obtenida en el nuevo aserrío; </w:t>
      </w:r>
    </w:p>
    <w:p w14:paraId="32F583CD" w14:textId="77777777" w:rsidR="00B2442D" w:rsidRDefault="00B2442D">
      <w:pPr>
        <w:ind w:left="426" w:hanging="426"/>
        <w:jc w:val="both"/>
        <w:rPr>
          <w:rFonts w:ascii="Arial" w:hAnsi="Arial" w:cs="Arial"/>
          <w:lang w:val="es-CO"/>
        </w:rPr>
      </w:pPr>
    </w:p>
    <w:p w14:paraId="0FCE16A8"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Certificación del revisor fiscal y/o contador público de la empresa en la que se acredite que se lleva en la contabilidad </w:t>
      </w:r>
      <w:r>
        <w:rPr>
          <w:rFonts w:ascii="Arial" w:hAnsi="Arial" w:cs="Arial"/>
          <w:lang w:val="es-CO"/>
        </w:rPr>
        <w:t>cuentas separadas de los ingresos generados por el nuevo aserrío que dan lugar a las rentas exentas del impuesto, respecto de los ingresos originados en otras actividades desarrolladas por la empresa, sin perjuicio de lo ordenado en el artículo 2.2.1.1.11.</w:t>
      </w:r>
      <w:r>
        <w:rPr>
          <w:rFonts w:ascii="Arial" w:hAnsi="Arial" w:cs="Arial"/>
          <w:lang w:val="es-CO"/>
        </w:rPr>
        <w:t>3 del Decreto 1076 de 2015.</w:t>
      </w:r>
    </w:p>
    <w:p w14:paraId="7047F3EF" w14:textId="77777777" w:rsidR="00B2442D" w:rsidRDefault="00B2442D">
      <w:pPr>
        <w:ind w:left="426" w:hanging="426"/>
        <w:jc w:val="both"/>
        <w:rPr>
          <w:rFonts w:ascii="Arial" w:hAnsi="Arial" w:cs="Arial"/>
          <w:lang w:val="es-CO"/>
        </w:rPr>
      </w:pPr>
    </w:p>
    <w:p w14:paraId="13660DEA" w14:textId="77777777" w:rsidR="00B2442D" w:rsidRDefault="008A645F">
      <w:pPr>
        <w:ind w:left="426" w:hanging="426"/>
        <w:jc w:val="both"/>
        <w:rPr>
          <w:rFonts w:ascii="Arial" w:hAnsi="Arial" w:cs="Arial"/>
          <w:lang w:val="es-CO"/>
        </w:rPr>
      </w:pPr>
      <w:r>
        <w:rPr>
          <w:rFonts w:ascii="Arial" w:hAnsi="Arial" w:cs="Arial"/>
          <w:lang w:val="es-CO"/>
        </w:rPr>
        <w:t>3. Cuando se trate de rentas obtenidas por concepto de aprovechamiento de plantaciones de árboles maderables, registradas antes de la fecha de entrada en vigencia de la Ley 788 de 2002, será necesario acreditar:</w:t>
      </w:r>
    </w:p>
    <w:p w14:paraId="4D3087AC" w14:textId="77777777" w:rsidR="00B2442D" w:rsidRDefault="00B2442D">
      <w:pPr>
        <w:ind w:left="426" w:hanging="426"/>
        <w:jc w:val="both"/>
        <w:rPr>
          <w:rFonts w:ascii="Arial" w:hAnsi="Arial" w:cs="Arial"/>
          <w:lang w:val="es-CO"/>
        </w:rPr>
      </w:pPr>
    </w:p>
    <w:p w14:paraId="59D1BE21"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Registro de</w:t>
      </w:r>
      <w:r>
        <w:rPr>
          <w:rFonts w:ascii="Arial" w:hAnsi="Arial" w:cs="Arial"/>
          <w:lang w:val="es-CO"/>
        </w:rPr>
        <w:t xml:space="preserve"> la plantación ante la autoridad competente; </w:t>
      </w:r>
    </w:p>
    <w:p w14:paraId="5E77E05D" w14:textId="77777777" w:rsidR="00B2442D" w:rsidRDefault="00B2442D">
      <w:pPr>
        <w:ind w:left="426" w:hanging="426"/>
        <w:jc w:val="both"/>
        <w:rPr>
          <w:rFonts w:ascii="Arial" w:hAnsi="Arial" w:cs="Arial"/>
          <w:lang w:val="es-CO"/>
        </w:rPr>
      </w:pPr>
    </w:p>
    <w:p w14:paraId="37E72A99"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Certificación de la Corporación Autónoma Regional o de la entidad competente, en la cual conste que la plantación forestal fue establecida, se encontraba y encuentra registrada, de conformidad con lo previs</w:t>
      </w:r>
      <w:r>
        <w:rPr>
          <w:rFonts w:ascii="Arial" w:hAnsi="Arial" w:cs="Arial"/>
          <w:lang w:val="es-CO"/>
        </w:rPr>
        <w:t xml:space="preserve">to en el artículo 2.2.1.1.12.2 del Decreto 1076 de 2015 o disposiciones vigentes, antes del 27 de diciembre de 2002, y que a la fecha de expedirse la certificación, la plantación forestal no ha completado su turno; </w:t>
      </w:r>
    </w:p>
    <w:p w14:paraId="3A5A0F1E" w14:textId="77777777" w:rsidR="00B2442D" w:rsidRDefault="00B2442D">
      <w:pPr>
        <w:ind w:left="426" w:hanging="426"/>
        <w:jc w:val="both"/>
        <w:rPr>
          <w:rFonts w:ascii="Arial" w:hAnsi="Arial" w:cs="Arial"/>
          <w:lang w:val="es-CO"/>
        </w:rPr>
      </w:pPr>
    </w:p>
    <w:p w14:paraId="2C02BC14"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Certificación de la Corporación Autó</w:t>
      </w:r>
      <w:r>
        <w:rPr>
          <w:rFonts w:ascii="Arial" w:hAnsi="Arial" w:cs="Arial"/>
          <w:lang w:val="es-CO"/>
        </w:rPr>
        <w:t>noma Regional o de la entidad competente, en la cual conste que el establecimiento del nuevo cultivo se hizo en el área objeto del aprovechamiento forestal o en un área sustituta. Por lo tanto, esta certificación sólo podrá expedirse después de seis (6) me</w:t>
      </w:r>
      <w:r>
        <w:rPr>
          <w:rFonts w:ascii="Arial" w:hAnsi="Arial" w:cs="Arial"/>
          <w:lang w:val="es-CO"/>
        </w:rPr>
        <w:t xml:space="preserve">ses de realizadas las actividades del nuevo establecimiento, de modo que garantice la persistencia de la nueva plantación; </w:t>
      </w:r>
    </w:p>
    <w:p w14:paraId="7FF61E5C" w14:textId="77777777" w:rsidR="00B2442D" w:rsidRDefault="00B2442D">
      <w:pPr>
        <w:ind w:left="426" w:hanging="426"/>
        <w:jc w:val="both"/>
        <w:rPr>
          <w:rFonts w:ascii="Arial" w:hAnsi="Arial" w:cs="Arial"/>
          <w:lang w:val="es-CO"/>
        </w:rPr>
      </w:pPr>
    </w:p>
    <w:p w14:paraId="1FF79A1F"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Certificación del representante legal y del revisor fiscal y/o contador público, según el caso, en la que conste el valor de la </w:t>
      </w:r>
      <w:r>
        <w:rPr>
          <w:rFonts w:ascii="Arial" w:hAnsi="Arial" w:cs="Arial"/>
          <w:lang w:val="es-CO"/>
        </w:rPr>
        <w:t xml:space="preserve">renta obtenida por aprovechamiento de las plantaciones de árboles maderables cuyo registro se surtió antes de la fecha de entrada en vigencia de la Ley 788 de 2002; </w:t>
      </w:r>
    </w:p>
    <w:p w14:paraId="78E063E9" w14:textId="77777777" w:rsidR="00B2442D" w:rsidRDefault="00B2442D">
      <w:pPr>
        <w:ind w:left="426" w:hanging="426"/>
        <w:jc w:val="both"/>
        <w:rPr>
          <w:rFonts w:ascii="Arial" w:hAnsi="Arial" w:cs="Arial"/>
          <w:lang w:val="es-CO"/>
        </w:rPr>
      </w:pPr>
    </w:p>
    <w:p w14:paraId="5365DAE1"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Certificación del revisor fiscal y/o contador público de la empresa en la que se acred</w:t>
      </w:r>
      <w:r>
        <w:rPr>
          <w:rFonts w:ascii="Arial" w:hAnsi="Arial" w:cs="Arial"/>
          <w:lang w:val="es-CO"/>
        </w:rPr>
        <w:t>ite que se lleva en la contabilidad cuentas separadas de los ingresos generados por el aprovechamiento de plantaciones de árboles maderables registradas antes de la fecha de entrada en vigencia de la Ley 788 de 2002, exento del impuesto sobre la renta y de</w:t>
      </w:r>
      <w:r>
        <w:rPr>
          <w:rFonts w:ascii="Arial" w:hAnsi="Arial" w:cs="Arial"/>
          <w:lang w:val="es-CO"/>
        </w:rPr>
        <w:t xml:space="preserve"> los ingresos originados en otras actividades desarrolladas por la empresa, sin perjuicio de lo ordenado en el artículo 2.2.1.1.11.3 del Decreto 1076 de 2015.</w:t>
      </w:r>
    </w:p>
    <w:p w14:paraId="058ABFAF" w14:textId="77777777" w:rsidR="00B2442D" w:rsidRDefault="00B2442D">
      <w:pPr>
        <w:jc w:val="both"/>
        <w:rPr>
          <w:rFonts w:ascii="Arial" w:hAnsi="Arial" w:cs="Arial"/>
          <w:lang w:val="es-CO"/>
        </w:rPr>
      </w:pPr>
    </w:p>
    <w:p w14:paraId="36E85D2A" w14:textId="77777777" w:rsidR="00B2442D" w:rsidRDefault="008A645F">
      <w:pPr>
        <w:jc w:val="both"/>
        <w:rPr>
          <w:rFonts w:ascii="Arial" w:hAnsi="Arial" w:cs="Arial"/>
          <w:i/>
          <w:lang w:val="es-CO"/>
        </w:rPr>
      </w:pPr>
      <w:r>
        <w:rPr>
          <w:rFonts w:ascii="Arial" w:hAnsi="Arial" w:cs="Arial"/>
          <w:i/>
          <w:lang w:val="es-CO"/>
        </w:rPr>
        <w:t xml:space="preserve">(Art. 14, Decreto 2755 de 2003, modificado por el art. 2 del Decreto 2755 de 2005. El </w:t>
      </w:r>
      <w:r>
        <w:rPr>
          <w:rFonts w:ascii="Arial" w:hAnsi="Arial" w:cs="Arial"/>
          <w:i/>
          <w:lang w:val="es-CO"/>
        </w:rPr>
        <w:t>literal b) del numeral 2° modificado por el art. 2 del Decreto 213 de 2009)</w:t>
      </w:r>
    </w:p>
    <w:p w14:paraId="0B4ADDC4" w14:textId="77777777" w:rsidR="00B2442D" w:rsidRDefault="00B2442D">
      <w:pPr>
        <w:jc w:val="both"/>
        <w:rPr>
          <w:rFonts w:ascii="Arial" w:hAnsi="Arial" w:cs="Arial"/>
          <w:lang w:val="es-CO"/>
        </w:rPr>
      </w:pPr>
    </w:p>
    <w:p w14:paraId="522A62F2"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 exenta por la producción de software elaborado en Colombia.</w:t>
      </w:r>
      <w:r>
        <w:rPr>
          <w:rFonts w:ascii="Arial" w:hAnsi="Arial" w:cs="Arial"/>
          <w:lang w:val="es-CO"/>
        </w:rPr>
        <w:t xml:space="preserve"> La renta originada por la producción de software elaborado en Colombia, comprende la explotación del mismo a trav</w:t>
      </w:r>
      <w:r>
        <w:rPr>
          <w:rFonts w:ascii="Arial" w:hAnsi="Arial" w:cs="Arial"/>
          <w:lang w:val="es-CO"/>
        </w:rPr>
        <w:t>és de actividades como la elaboración, enajenación, comercialización o licenciamiento del software certificado.</w:t>
      </w:r>
    </w:p>
    <w:p w14:paraId="3F22C757" w14:textId="77777777" w:rsidR="00B2442D" w:rsidRDefault="00B2442D">
      <w:pPr>
        <w:jc w:val="both"/>
        <w:rPr>
          <w:rFonts w:ascii="Arial" w:hAnsi="Arial" w:cs="Arial"/>
          <w:lang w:val="es-CO"/>
        </w:rPr>
      </w:pPr>
    </w:p>
    <w:p w14:paraId="34461DE3" w14:textId="77777777" w:rsidR="00B2442D" w:rsidRDefault="008A645F">
      <w:pPr>
        <w:jc w:val="both"/>
        <w:rPr>
          <w:rFonts w:ascii="Arial" w:hAnsi="Arial" w:cs="Arial"/>
          <w:i/>
          <w:lang w:val="es-CO"/>
        </w:rPr>
      </w:pPr>
      <w:r>
        <w:rPr>
          <w:rFonts w:ascii="Arial" w:hAnsi="Arial" w:cs="Arial"/>
          <w:i/>
          <w:lang w:val="es-CO"/>
        </w:rPr>
        <w:t>(Art. 15, Decreto 2755 de 2003. Inciso 1° tiene pérdida de vigencia por cumplimiento del plazo)</w:t>
      </w:r>
    </w:p>
    <w:p w14:paraId="00F559AC" w14:textId="77777777" w:rsidR="00B2442D" w:rsidRDefault="00B2442D">
      <w:pPr>
        <w:jc w:val="both"/>
        <w:rPr>
          <w:rFonts w:ascii="Arial" w:hAnsi="Arial" w:cs="Arial"/>
          <w:lang w:val="es-CO"/>
        </w:rPr>
      </w:pPr>
    </w:p>
    <w:p w14:paraId="5F7DC48B"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Definición de software.</w:t>
      </w:r>
      <w:r>
        <w:rPr>
          <w:rFonts w:ascii="Arial" w:hAnsi="Arial" w:cs="Arial"/>
          <w:lang w:val="es-CO"/>
        </w:rPr>
        <w:t xml:space="preserve"> Para efectos de lo dis</w:t>
      </w:r>
      <w:r>
        <w:rPr>
          <w:rFonts w:ascii="Arial" w:hAnsi="Arial" w:cs="Arial"/>
          <w:lang w:val="es-CO"/>
        </w:rPr>
        <w:t>puesto en el numeral 8° del artículo 207-2 del Estatuto Tributario, se entiende por software la definición contenida en los artículos 2.6.1.3.1 al 2.6.1.3.7 del Decreto 1066 de 2015 y demás normas que lo modifiquen o adicionen.</w:t>
      </w:r>
    </w:p>
    <w:p w14:paraId="76E9F703" w14:textId="77777777" w:rsidR="00B2442D" w:rsidRDefault="00B2442D">
      <w:pPr>
        <w:jc w:val="both"/>
        <w:rPr>
          <w:rFonts w:ascii="Arial" w:hAnsi="Arial" w:cs="Arial"/>
          <w:lang w:val="es-CO"/>
        </w:rPr>
      </w:pPr>
    </w:p>
    <w:p w14:paraId="08B636B0" w14:textId="77777777" w:rsidR="00B2442D" w:rsidRDefault="008A645F">
      <w:pPr>
        <w:jc w:val="both"/>
        <w:rPr>
          <w:rFonts w:ascii="Arial" w:hAnsi="Arial" w:cs="Arial"/>
          <w:i/>
          <w:lang w:val="es-CO"/>
        </w:rPr>
      </w:pPr>
      <w:r>
        <w:rPr>
          <w:rFonts w:ascii="Arial" w:hAnsi="Arial" w:cs="Arial"/>
          <w:i/>
          <w:lang w:val="es-CO"/>
        </w:rPr>
        <w:t>(Art. 16, Decreto 2755 de 2</w:t>
      </w:r>
      <w:r>
        <w:rPr>
          <w:rFonts w:ascii="Arial" w:hAnsi="Arial" w:cs="Arial"/>
          <w:i/>
          <w:lang w:val="es-CO"/>
        </w:rPr>
        <w:t>003)</w:t>
      </w:r>
    </w:p>
    <w:p w14:paraId="515CB682" w14:textId="77777777" w:rsidR="00B2442D" w:rsidRDefault="00B2442D">
      <w:pPr>
        <w:jc w:val="both"/>
        <w:rPr>
          <w:rFonts w:ascii="Arial" w:hAnsi="Arial" w:cs="Arial"/>
          <w:lang w:val="es-CO"/>
        </w:rPr>
      </w:pPr>
    </w:p>
    <w:p w14:paraId="6CD27862"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la obtención del beneficio.</w:t>
      </w:r>
      <w:r>
        <w:rPr>
          <w:rFonts w:ascii="Arial" w:hAnsi="Arial" w:cs="Arial"/>
          <w:lang w:val="es-CO"/>
        </w:rPr>
        <w:t xml:space="preserve"> Para efectos de acceder al beneficio por concepto de producción de software elaborado en Colombia, el contribuyente deberá acreditar el cumplimiento de los siguientes requisitos cuando la Unidad Administrat</w:t>
      </w:r>
      <w:r>
        <w:rPr>
          <w:rFonts w:ascii="Arial" w:hAnsi="Arial" w:cs="Arial"/>
          <w:lang w:val="es-CO"/>
        </w:rPr>
        <w:t>iva Especial Dirección de Impuestos y Aduanas Nacionales, DIAN, los exija:</w:t>
      </w:r>
    </w:p>
    <w:p w14:paraId="61613BAA" w14:textId="77777777" w:rsidR="00B2442D" w:rsidRDefault="008A645F">
      <w:pPr>
        <w:jc w:val="both"/>
        <w:rPr>
          <w:rFonts w:ascii="Arial" w:hAnsi="Arial" w:cs="Arial"/>
          <w:lang w:val="es-CO"/>
        </w:rPr>
      </w:pPr>
      <w:r>
        <w:rPr>
          <w:rFonts w:ascii="Arial" w:hAnsi="Arial" w:cs="Arial"/>
          <w:lang w:val="es-CO"/>
        </w:rPr>
        <w:t xml:space="preserve"> </w:t>
      </w:r>
    </w:p>
    <w:p w14:paraId="6A3AD088"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Que el nuevo software haya sido producido y/o elaborado con posterioridad a la fecha de entrada en vigencia de la Ley 788 de 2002.</w:t>
      </w:r>
    </w:p>
    <w:p w14:paraId="6D5EE132" w14:textId="77777777" w:rsidR="00B2442D" w:rsidRDefault="00B2442D">
      <w:pPr>
        <w:ind w:left="284" w:hanging="284"/>
        <w:jc w:val="both"/>
        <w:rPr>
          <w:rFonts w:ascii="Arial" w:hAnsi="Arial" w:cs="Arial"/>
          <w:lang w:val="es-CO"/>
        </w:rPr>
      </w:pPr>
    </w:p>
    <w:p w14:paraId="6BF23BAA"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Que el nuevo software haya sido producido</w:t>
      </w:r>
      <w:r>
        <w:rPr>
          <w:rFonts w:ascii="Arial" w:hAnsi="Arial" w:cs="Arial"/>
          <w:lang w:val="es-CO"/>
        </w:rPr>
        <w:t xml:space="preserve"> y/o elaborado en Colombia. Se entiende que el software ha sido elaborado en Colombia cuando dicha elaboración y/o producción se realice dentro de los límites del territorio nacional.</w:t>
      </w:r>
    </w:p>
    <w:p w14:paraId="46E7D661" w14:textId="77777777" w:rsidR="00B2442D" w:rsidRDefault="00B2442D">
      <w:pPr>
        <w:ind w:left="284" w:hanging="284"/>
        <w:jc w:val="both"/>
        <w:rPr>
          <w:rFonts w:ascii="Arial" w:hAnsi="Arial" w:cs="Arial"/>
          <w:lang w:val="es-CO"/>
        </w:rPr>
      </w:pPr>
    </w:p>
    <w:p w14:paraId="47181730"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Que el nuevo software se registre ante la Oficina de Registro de la </w:t>
      </w:r>
      <w:r>
        <w:rPr>
          <w:rFonts w:ascii="Arial" w:hAnsi="Arial" w:cs="Arial"/>
          <w:lang w:val="es-CO"/>
        </w:rPr>
        <w:t xml:space="preserve">Dirección Nacional de Derechos de Autor del Ministerio del Interior. </w:t>
      </w:r>
    </w:p>
    <w:p w14:paraId="023E5F03" w14:textId="77777777" w:rsidR="00B2442D" w:rsidRDefault="00B2442D">
      <w:pPr>
        <w:ind w:left="284" w:hanging="284"/>
        <w:jc w:val="both"/>
        <w:rPr>
          <w:rFonts w:ascii="Arial" w:hAnsi="Arial" w:cs="Arial"/>
          <w:lang w:val="es-CO"/>
        </w:rPr>
      </w:pPr>
    </w:p>
    <w:p w14:paraId="2DCFB003"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Que en el nuevo software se haya incorporado un alto contenido de investigación científica y/o tecnológica nacional, lo cual deberá ser certificado por COLCIENCIAS o la entidad que h</w:t>
      </w:r>
      <w:r>
        <w:rPr>
          <w:rFonts w:ascii="Arial" w:hAnsi="Arial" w:cs="Arial"/>
          <w:lang w:val="es-CO"/>
        </w:rPr>
        <w:t>aga sus veces.</w:t>
      </w:r>
    </w:p>
    <w:p w14:paraId="13A0263B" w14:textId="77777777" w:rsidR="00B2442D" w:rsidRDefault="00B2442D">
      <w:pPr>
        <w:ind w:left="284" w:hanging="284"/>
        <w:jc w:val="both"/>
        <w:rPr>
          <w:rFonts w:ascii="Arial" w:hAnsi="Arial" w:cs="Arial"/>
          <w:lang w:val="es-CO"/>
        </w:rPr>
      </w:pPr>
    </w:p>
    <w:p w14:paraId="01E76653"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 xml:space="preserve">Que el nuevo software sea el resultado de un proyecto de investigación. </w:t>
      </w:r>
    </w:p>
    <w:p w14:paraId="254D3D2B" w14:textId="77777777" w:rsidR="00B2442D" w:rsidRDefault="00B2442D">
      <w:pPr>
        <w:jc w:val="both"/>
        <w:rPr>
          <w:rFonts w:ascii="Arial" w:hAnsi="Arial" w:cs="Arial"/>
          <w:i/>
          <w:lang w:val="es-CO"/>
        </w:rPr>
      </w:pPr>
    </w:p>
    <w:p w14:paraId="1F306B40" w14:textId="77777777" w:rsidR="00B2442D" w:rsidRDefault="008A645F">
      <w:pPr>
        <w:jc w:val="both"/>
        <w:rPr>
          <w:rFonts w:ascii="Arial" w:hAnsi="Arial" w:cs="Arial"/>
          <w:i/>
          <w:lang w:val="es-CO"/>
        </w:rPr>
      </w:pPr>
      <w:r>
        <w:rPr>
          <w:rFonts w:ascii="Arial" w:hAnsi="Arial" w:cs="Arial"/>
          <w:i/>
          <w:lang w:val="es-CO"/>
        </w:rPr>
        <w:t>(Art. 17, Decreto 2755 de 2003. La expresión “de conformidad con lo dispuesto en el Decreto 2076 de 1992”, tiene decaimiento en virtud de la derogatoria que efectu</w:t>
      </w:r>
      <w:r>
        <w:rPr>
          <w:rFonts w:ascii="Arial" w:hAnsi="Arial" w:cs="Arial"/>
          <w:i/>
          <w:lang w:val="es-CO"/>
        </w:rPr>
        <w:t>ó el artículo 12 del Decreto 121 de 2014 a los artículos 6, 7 y 8 del mencionado decreto.)</w:t>
      </w:r>
    </w:p>
    <w:p w14:paraId="1F8F2B74" w14:textId="77777777" w:rsidR="00B2442D" w:rsidRDefault="00B2442D">
      <w:pPr>
        <w:jc w:val="both"/>
        <w:rPr>
          <w:rFonts w:ascii="Arial" w:hAnsi="Arial" w:cs="Arial"/>
          <w:lang w:val="es-CO"/>
        </w:rPr>
      </w:pPr>
    </w:p>
    <w:p w14:paraId="5282B344"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Solicitud de certificación a COLCIENCIAS sobre nuevo software.</w:t>
      </w:r>
      <w:r>
        <w:rPr>
          <w:rFonts w:ascii="Arial" w:hAnsi="Arial" w:cs="Arial"/>
          <w:lang w:val="es-CO"/>
        </w:rPr>
        <w:t xml:space="preserve"> Para efectos de la certificación que debe expedir COLCIENCIAS o la entidad que haga sus veces, el solicitante deberá presentar: </w:t>
      </w:r>
    </w:p>
    <w:p w14:paraId="7B242565" w14:textId="77777777" w:rsidR="00B2442D" w:rsidRDefault="00B2442D">
      <w:pPr>
        <w:ind w:left="426" w:hanging="426"/>
        <w:jc w:val="both"/>
        <w:rPr>
          <w:rFonts w:ascii="Arial" w:hAnsi="Arial" w:cs="Arial"/>
          <w:lang w:val="es-CO"/>
        </w:rPr>
      </w:pPr>
    </w:p>
    <w:p w14:paraId="34BB90E6"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El soporte lógico junto con sus manuales e instructivos.</w:t>
      </w:r>
    </w:p>
    <w:p w14:paraId="1AB28F1D" w14:textId="77777777" w:rsidR="00B2442D" w:rsidRDefault="00B2442D">
      <w:pPr>
        <w:ind w:left="426" w:hanging="426"/>
        <w:jc w:val="both"/>
        <w:rPr>
          <w:rFonts w:ascii="Arial" w:hAnsi="Arial" w:cs="Arial"/>
          <w:lang w:val="es-CO"/>
        </w:rPr>
      </w:pPr>
    </w:p>
    <w:p w14:paraId="4F2910EB"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Certificación sobre existencia y representación legal de la e</w:t>
      </w:r>
      <w:r>
        <w:rPr>
          <w:rFonts w:ascii="Arial" w:hAnsi="Arial" w:cs="Arial"/>
          <w:lang w:val="es-CO"/>
        </w:rPr>
        <w:t>mpresa solicitante expedida por la Cámara de Comercio del domicilio.</w:t>
      </w:r>
    </w:p>
    <w:p w14:paraId="757AE8DA" w14:textId="77777777" w:rsidR="00B2442D" w:rsidRDefault="00B2442D">
      <w:pPr>
        <w:ind w:left="426" w:hanging="426"/>
        <w:jc w:val="both"/>
        <w:rPr>
          <w:rFonts w:ascii="Arial" w:hAnsi="Arial" w:cs="Arial"/>
          <w:lang w:val="es-CO"/>
        </w:rPr>
      </w:pPr>
    </w:p>
    <w:p w14:paraId="0743D91A"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Copia del certificado expedido por la Oficina de Registro de la Dirección Nacional de Derechos de Autor del Ministerio del Interior.</w:t>
      </w:r>
    </w:p>
    <w:p w14:paraId="50EC6F1F" w14:textId="77777777" w:rsidR="00B2442D" w:rsidRDefault="00B2442D">
      <w:pPr>
        <w:ind w:left="426" w:hanging="426"/>
        <w:jc w:val="both"/>
        <w:rPr>
          <w:rFonts w:ascii="Arial" w:hAnsi="Arial" w:cs="Arial"/>
          <w:lang w:val="es-CO"/>
        </w:rPr>
      </w:pPr>
    </w:p>
    <w:p w14:paraId="196FC657"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Certificación expedida por el representante le</w:t>
      </w:r>
      <w:r>
        <w:rPr>
          <w:rFonts w:ascii="Arial" w:hAnsi="Arial" w:cs="Arial"/>
          <w:lang w:val="es-CO"/>
        </w:rPr>
        <w:t xml:space="preserve">gal y el revisor fiscal y/o contador público, según el caso, de la empresa interesada, en la cual se declare que el software fue elaborado en Colombia. </w:t>
      </w:r>
    </w:p>
    <w:p w14:paraId="7018B56B" w14:textId="77777777" w:rsidR="00B2442D" w:rsidRDefault="00B2442D">
      <w:pPr>
        <w:ind w:left="426" w:hanging="426"/>
        <w:jc w:val="both"/>
        <w:rPr>
          <w:rFonts w:ascii="Arial" w:hAnsi="Arial" w:cs="Arial"/>
          <w:lang w:val="es-CO"/>
        </w:rPr>
      </w:pPr>
    </w:p>
    <w:p w14:paraId="7EF4C473"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Los documentos necesarios que acrediten un alto contenido de investigación científica y/o tecnologí</w:t>
      </w:r>
      <w:r>
        <w:rPr>
          <w:rFonts w:ascii="Arial" w:hAnsi="Arial" w:cs="Arial"/>
          <w:lang w:val="es-CO"/>
        </w:rPr>
        <w:t>a nacional en la producción del software correspondiente.</w:t>
      </w:r>
    </w:p>
    <w:p w14:paraId="0F217647" w14:textId="77777777" w:rsidR="00B2442D" w:rsidRDefault="00B2442D">
      <w:pPr>
        <w:jc w:val="both"/>
        <w:rPr>
          <w:rFonts w:ascii="Arial" w:hAnsi="Arial" w:cs="Arial"/>
          <w:lang w:val="es-CO"/>
        </w:rPr>
      </w:pPr>
    </w:p>
    <w:p w14:paraId="11C33712" w14:textId="77777777" w:rsidR="00B2442D" w:rsidRDefault="008A645F">
      <w:pPr>
        <w:jc w:val="both"/>
        <w:rPr>
          <w:rFonts w:ascii="Arial" w:hAnsi="Arial" w:cs="Arial"/>
          <w:i/>
          <w:lang w:val="es-CO"/>
        </w:rPr>
      </w:pPr>
      <w:r>
        <w:rPr>
          <w:rFonts w:ascii="Arial" w:hAnsi="Arial" w:cs="Arial"/>
          <w:i/>
          <w:lang w:val="es-CO"/>
        </w:rPr>
        <w:t>(Art. 18, Decreto 2755 de 2003)</w:t>
      </w:r>
    </w:p>
    <w:p w14:paraId="092466A3" w14:textId="77777777" w:rsidR="00B2442D" w:rsidRDefault="00B2442D">
      <w:pPr>
        <w:jc w:val="both"/>
        <w:rPr>
          <w:rFonts w:ascii="Arial" w:hAnsi="Arial" w:cs="Arial"/>
          <w:lang w:val="es-CO"/>
        </w:rPr>
      </w:pPr>
    </w:p>
    <w:p w14:paraId="54823E6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Rentas exentas en la enajenación de predios destinados a fines de utilidad pública.</w:t>
      </w:r>
      <w:r>
        <w:rPr>
          <w:rFonts w:ascii="Arial" w:hAnsi="Arial" w:cs="Arial"/>
          <w:lang w:val="es-CO"/>
        </w:rPr>
        <w:t xml:space="preserve"> De conformidad con lo dispuesto en el numeral 9 del artículo 207-2 del Estatuto </w:t>
      </w:r>
      <w:r>
        <w:rPr>
          <w:rFonts w:ascii="Arial" w:hAnsi="Arial" w:cs="Arial"/>
          <w:lang w:val="es-CO"/>
        </w:rPr>
        <w:t>Tributario, la utilidad obtenida por el patrimonio autónomo en la enajenación de los predios resultantes de la ejecución de proyectos a que se refieren los literales b) y c) del artículo 58 de la Ley 388 de 1997, estará exenta del impuesto sobre la renta p</w:t>
      </w:r>
      <w:r>
        <w:rPr>
          <w:rFonts w:ascii="Arial" w:hAnsi="Arial" w:cs="Arial"/>
          <w:lang w:val="es-CO"/>
        </w:rPr>
        <w:t>or un  término igual al de la ejecución del proyecto y su liquidación, sin que exceda en ningún caso de diez (10) años. También estarán exentos los patrimonios autónomos que se constituyan exclusivamente para el desarrollo de los fines aquí previstos.</w:t>
      </w:r>
    </w:p>
    <w:p w14:paraId="23A1B2D1" w14:textId="77777777" w:rsidR="00B2442D" w:rsidRDefault="00B2442D">
      <w:pPr>
        <w:jc w:val="both"/>
        <w:rPr>
          <w:rFonts w:ascii="Arial" w:hAnsi="Arial" w:cs="Arial"/>
          <w:lang w:val="es-CO"/>
        </w:rPr>
      </w:pPr>
    </w:p>
    <w:p w14:paraId="0D55BFE4"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23, Decreto 2755 de 2003)</w:t>
      </w:r>
    </w:p>
    <w:p w14:paraId="2DAF37A4" w14:textId="77777777" w:rsidR="00B2442D" w:rsidRDefault="00B2442D">
      <w:pPr>
        <w:jc w:val="both"/>
        <w:rPr>
          <w:rFonts w:ascii="Arial" w:hAnsi="Arial" w:cs="Arial"/>
          <w:lang w:val="es-CO"/>
        </w:rPr>
      </w:pPr>
    </w:p>
    <w:p w14:paraId="35F64FB1"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la procedencia de la exención en la enajenación de predios destinados a fines de utilidad pública.</w:t>
      </w:r>
      <w:r>
        <w:rPr>
          <w:rFonts w:ascii="Arial" w:hAnsi="Arial" w:cs="Arial"/>
          <w:lang w:val="es-CO"/>
        </w:rPr>
        <w:t xml:space="preserve"> Para la procedencia de la exención  en la enajenación de los predios resultantes de la ejecución de proyectos  </w:t>
      </w:r>
      <w:r>
        <w:rPr>
          <w:rFonts w:ascii="Arial" w:hAnsi="Arial" w:cs="Arial"/>
          <w:lang w:val="es-CO"/>
        </w:rPr>
        <w:t>destinados a fines de utilidad pública a que se refieren los literales b) y c) del artículo 58 de la Ley 388 de 1997, deberán acreditarse los siguientes requisitos cuando la Unidad Administrativa Especial Dirección de Impuestos y Aduanas Nacionales- DIAN l</w:t>
      </w:r>
      <w:r>
        <w:rPr>
          <w:rFonts w:ascii="Arial" w:hAnsi="Arial" w:cs="Arial"/>
          <w:lang w:val="es-CO"/>
        </w:rPr>
        <w:t>os solicite:</w:t>
      </w:r>
    </w:p>
    <w:p w14:paraId="455C0D38" w14:textId="77777777" w:rsidR="00B2442D" w:rsidRDefault="00B2442D">
      <w:pPr>
        <w:jc w:val="both"/>
        <w:rPr>
          <w:rFonts w:ascii="Arial" w:hAnsi="Arial" w:cs="Arial"/>
          <w:lang w:val="es-CO"/>
        </w:rPr>
      </w:pPr>
    </w:p>
    <w:p w14:paraId="777407F7"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Acto de constitución del patrimonio autónomo en el cual conste que su  finalidad exclusiva es el desarrollo de proyectos destinados a cualquiera de los fines de utilidad pública de que tratan los literales b) y c) del artículo 58 de la Ley</w:t>
      </w:r>
      <w:r>
        <w:rPr>
          <w:rFonts w:ascii="Arial" w:hAnsi="Arial" w:cs="Arial"/>
          <w:lang w:val="es-CO"/>
        </w:rPr>
        <w:t xml:space="preserve"> 388 de 1997.</w:t>
      </w:r>
    </w:p>
    <w:p w14:paraId="39627AC7" w14:textId="77777777" w:rsidR="00B2442D" w:rsidRDefault="00B2442D">
      <w:pPr>
        <w:ind w:left="284" w:hanging="284"/>
        <w:jc w:val="both"/>
        <w:rPr>
          <w:rFonts w:ascii="Arial" w:hAnsi="Arial" w:cs="Arial"/>
          <w:lang w:val="es-CO"/>
        </w:rPr>
      </w:pPr>
    </w:p>
    <w:p w14:paraId="120CFB70"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Certificación expedida por el representante legal de la sociedad fiduciaria o entidad que administre el patrimonio autónomo, en la cual conste que los predios fueron aportados para el desarrollo de los proyectos señalados en el numeral an</w:t>
      </w:r>
      <w:r>
        <w:rPr>
          <w:rFonts w:ascii="Arial" w:hAnsi="Arial" w:cs="Arial"/>
          <w:lang w:val="es-CO"/>
        </w:rPr>
        <w:t>terior.</w:t>
      </w:r>
    </w:p>
    <w:p w14:paraId="1716B4AF" w14:textId="77777777" w:rsidR="00B2442D" w:rsidRDefault="00B2442D">
      <w:pPr>
        <w:ind w:left="284" w:hanging="284"/>
        <w:jc w:val="both"/>
        <w:rPr>
          <w:rFonts w:ascii="Arial" w:hAnsi="Arial" w:cs="Arial"/>
          <w:lang w:val="es-CO"/>
        </w:rPr>
      </w:pPr>
    </w:p>
    <w:p w14:paraId="5D1E4B81"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Copia de la correspondiente licencia urbanística en la cual se especifique que el proyecto a ejecutar se ajusta a lo dispuesto en los literales b) y c) del artículo 58 de la Ley 388 de 1997, de conformidad con la definición de </w:t>
      </w:r>
      <w:r>
        <w:rPr>
          <w:rFonts w:ascii="Arial" w:hAnsi="Arial" w:cs="Arial"/>
          <w:lang w:val="es-CO"/>
        </w:rPr>
        <w:t>tratamientos urbanísticos adoptada en el correspondiente Plan de Ordenamiento Territorial del municipio o distrito.</w:t>
      </w:r>
    </w:p>
    <w:p w14:paraId="6E437AF6" w14:textId="77777777" w:rsidR="00B2442D" w:rsidRDefault="00B2442D">
      <w:pPr>
        <w:ind w:left="284" w:hanging="284"/>
        <w:jc w:val="both"/>
        <w:rPr>
          <w:rFonts w:ascii="Arial" w:hAnsi="Arial" w:cs="Arial"/>
          <w:lang w:val="es-CO"/>
        </w:rPr>
      </w:pPr>
    </w:p>
    <w:p w14:paraId="2DD12D2C"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Certificación expedida por el contador público y/o revisor fiscal de la sociedad fiduciaria o entidad que administre el </w:t>
      </w:r>
      <w:r>
        <w:rPr>
          <w:rFonts w:ascii="Arial" w:hAnsi="Arial" w:cs="Arial"/>
          <w:lang w:val="es-CO"/>
        </w:rPr>
        <w:t>patrimonio autónomo, en la cual se haga constar el valor de las utilidades obtenidas durante el respectivo ejercicio gravable, por concepto de la enajenación de los predios a que se refiere este artículo.</w:t>
      </w:r>
    </w:p>
    <w:p w14:paraId="4CBEC9EC" w14:textId="77777777" w:rsidR="00B2442D" w:rsidRDefault="00B2442D">
      <w:pPr>
        <w:jc w:val="both"/>
        <w:rPr>
          <w:rFonts w:ascii="Arial" w:hAnsi="Arial" w:cs="Arial"/>
          <w:lang w:val="es-CO"/>
        </w:rPr>
      </w:pPr>
    </w:p>
    <w:p w14:paraId="4E5553E0" w14:textId="77777777" w:rsidR="00B2442D" w:rsidRDefault="008A645F">
      <w:pPr>
        <w:jc w:val="both"/>
        <w:rPr>
          <w:rFonts w:ascii="Arial" w:hAnsi="Arial" w:cs="Arial"/>
          <w:i/>
          <w:lang w:val="es-CO"/>
        </w:rPr>
      </w:pPr>
      <w:r>
        <w:rPr>
          <w:rFonts w:ascii="Arial" w:hAnsi="Arial" w:cs="Arial"/>
          <w:i/>
          <w:lang w:val="es-CO"/>
        </w:rPr>
        <w:t>(Art. 24, Decreto 2755 de 2003)</w:t>
      </w:r>
    </w:p>
    <w:p w14:paraId="3A7F9CDB" w14:textId="77777777" w:rsidR="00B2442D" w:rsidRDefault="00B2442D">
      <w:pPr>
        <w:jc w:val="both"/>
        <w:rPr>
          <w:rFonts w:ascii="Arial" w:hAnsi="Arial" w:cs="Arial"/>
          <w:lang w:val="es-CO"/>
        </w:rPr>
      </w:pPr>
    </w:p>
    <w:p w14:paraId="4CB1474A"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Rentas exentas pa</w:t>
      </w:r>
      <w:r>
        <w:rPr>
          <w:rFonts w:ascii="Arial" w:hAnsi="Arial" w:cs="Arial"/>
          <w:b/>
          <w:i/>
          <w:lang w:val="es-CO"/>
        </w:rPr>
        <w:t>ra sociedades.</w:t>
      </w:r>
      <w:r>
        <w:rPr>
          <w:rFonts w:ascii="Arial" w:hAnsi="Arial" w:cs="Arial"/>
          <w:lang w:val="es-CO"/>
        </w:rPr>
        <w:t xml:space="preserve"> Las rentas provenientes de las actividades económicas a que se refieren los artículos 1.2.1.22.7.  al 1.2.1.22.27. , del presente Decreto, estarán exentas en cabeza de la sociedad que las obtenga, con el cumplimiento de los requisitos aquí e</w:t>
      </w:r>
      <w:r>
        <w:rPr>
          <w:rFonts w:ascii="Arial" w:hAnsi="Arial" w:cs="Arial"/>
          <w:lang w:val="es-CO"/>
        </w:rPr>
        <w:t>stablecidos.</w:t>
      </w:r>
    </w:p>
    <w:p w14:paraId="4808B188" w14:textId="77777777" w:rsidR="00B2442D" w:rsidRDefault="00B2442D">
      <w:pPr>
        <w:jc w:val="both"/>
        <w:rPr>
          <w:rFonts w:ascii="Arial" w:hAnsi="Arial" w:cs="Arial"/>
          <w:lang w:val="es-CO"/>
        </w:rPr>
      </w:pPr>
    </w:p>
    <w:p w14:paraId="108F8B78" w14:textId="77777777" w:rsidR="00B2442D" w:rsidRDefault="008A645F">
      <w:pPr>
        <w:jc w:val="both"/>
        <w:rPr>
          <w:rFonts w:ascii="Arial" w:hAnsi="Arial" w:cs="Arial"/>
          <w:lang w:val="es-CO"/>
        </w:rPr>
      </w:pPr>
      <w:r>
        <w:rPr>
          <w:rFonts w:ascii="Arial" w:hAnsi="Arial" w:cs="Arial"/>
          <w:lang w:val="es-CO"/>
        </w:rPr>
        <w:t xml:space="preserve">Las utilidades que se distribuyan a socios o accionistas por parte de la sociedad beneficiaria de la exención, tendrán el carácter de ingreso no constitutivo de renta ni ganancia ocasional, cuando dicha distribución se realice de conformidad </w:t>
      </w:r>
      <w:r>
        <w:rPr>
          <w:rFonts w:ascii="Arial" w:hAnsi="Arial" w:cs="Arial"/>
          <w:lang w:val="es-CO"/>
        </w:rPr>
        <w:t>con lo establecido en el artículo 36-3 del Estatuto Tributario. Así mismo, cuando la distribución se realice a socios o accionistas en los términos del artículo 245 del Estatuto Tributario, la sociedad deberá expedir al beneficiario la respectiva certifica</w:t>
      </w:r>
      <w:r>
        <w:rPr>
          <w:rFonts w:ascii="Arial" w:hAnsi="Arial" w:cs="Arial"/>
          <w:lang w:val="es-CO"/>
        </w:rPr>
        <w:t>ción sobre la retención en la fuente practicada dentro del mes siguiente al reparto, para fines del crédito tributario a que tenga derecho en su país de origen.</w:t>
      </w:r>
    </w:p>
    <w:p w14:paraId="6DE644FF" w14:textId="77777777" w:rsidR="00B2442D" w:rsidRDefault="00B2442D">
      <w:pPr>
        <w:jc w:val="both"/>
        <w:rPr>
          <w:rFonts w:ascii="Arial" w:hAnsi="Arial" w:cs="Arial"/>
          <w:lang w:val="es-CO"/>
        </w:rPr>
      </w:pPr>
    </w:p>
    <w:p w14:paraId="35F1D2A3" w14:textId="77777777" w:rsidR="00B2442D" w:rsidRDefault="008A645F">
      <w:pPr>
        <w:jc w:val="both"/>
        <w:rPr>
          <w:rFonts w:ascii="Arial" w:hAnsi="Arial" w:cs="Arial"/>
          <w:i/>
          <w:lang w:val="es-CO"/>
        </w:rPr>
      </w:pPr>
      <w:r>
        <w:rPr>
          <w:rFonts w:ascii="Arial" w:hAnsi="Arial" w:cs="Arial"/>
          <w:i/>
          <w:lang w:val="es-CO"/>
        </w:rPr>
        <w:t>(Art. 27, Decreto 2755 de 2003. La expresión “extranjeros” del inciso segundo tiene decaimient</w:t>
      </w:r>
      <w:r>
        <w:rPr>
          <w:rFonts w:ascii="Arial" w:hAnsi="Arial" w:cs="Arial"/>
          <w:i/>
          <w:lang w:val="es-CO"/>
        </w:rPr>
        <w:t>o en virtud de la modificación del artículo 245 del Estatuto Tributario por el artículo 95 de la Ley 1607 de 2012. )</w:t>
      </w:r>
    </w:p>
    <w:p w14:paraId="192A958D" w14:textId="77777777" w:rsidR="00B2442D" w:rsidRDefault="00B2442D">
      <w:pPr>
        <w:rPr>
          <w:rFonts w:ascii="Arial" w:hAnsi="Arial" w:cs="Arial"/>
          <w:lang w:val="es-CO"/>
        </w:rPr>
      </w:pPr>
    </w:p>
    <w:p w14:paraId="11B81000"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Contribuyentes beneficiarios de la exención del impuesto sobre la renta y complementario.</w:t>
      </w:r>
      <w:r>
        <w:rPr>
          <w:rFonts w:ascii="Arial" w:hAnsi="Arial" w:cs="Arial"/>
          <w:lang w:val="es-CO"/>
        </w:rPr>
        <w:t xml:space="preserve"> Son beneficiarios de la exención del impuesto so</w:t>
      </w:r>
      <w:r>
        <w:rPr>
          <w:rFonts w:ascii="Arial" w:hAnsi="Arial" w:cs="Arial"/>
          <w:lang w:val="es-CO"/>
        </w:rPr>
        <w:t xml:space="preserve">bre la renta y complementado a que se refiere el artículo 150 de la Ley 1607 de 2012, las nuevas empresas desarrolladas por personas naturales residentes; por nuevas personas jurídicas o sociedades de hecho nacionales; por personas naturales no residentes </w:t>
      </w:r>
      <w:r>
        <w:rPr>
          <w:rFonts w:ascii="Arial" w:hAnsi="Arial" w:cs="Arial"/>
          <w:lang w:val="es-CO"/>
        </w:rPr>
        <w:t>en el país o por personas jurídicas o entidades extranjeras mediante nuevos establecimientos permanentes; que se constituyan e instalen efectivamente a partir del 1° de enero de 2013, se inscriban en el registro mercantil, se inscriban en el Registro Único</w:t>
      </w:r>
      <w:r>
        <w:rPr>
          <w:rFonts w:ascii="Arial" w:hAnsi="Arial" w:cs="Arial"/>
          <w:lang w:val="es-CO"/>
        </w:rPr>
        <w:t xml:space="preserve"> Tributario - RUT y desarrollen la totalidad de su actividad económica de producción o prestación de servicios únicamente en el Departamento Archipiélago de San Andrés, Providencia y Santa Catalina.</w:t>
      </w:r>
    </w:p>
    <w:p w14:paraId="5D4A984E" w14:textId="77777777" w:rsidR="00B2442D" w:rsidRDefault="00B2442D">
      <w:pPr>
        <w:jc w:val="both"/>
        <w:rPr>
          <w:rFonts w:ascii="Arial" w:hAnsi="Arial" w:cs="Arial"/>
          <w:lang w:val="es-CO"/>
        </w:rPr>
      </w:pPr>
    </w:p>
    <w:p w14:paraId="11C1CD0B" w14:textId="77777777" w:rsidR="00B2442D" w:rsidRDefault="008A645F">
      <w:pPr>
        <w:jc w:val="both"/>
        <w:rPr>
          <w:rFonts w:ascii="Arial" w:hAnsi="Arial" w:cs="Arial"/>
          <w:lang w:val="es-CO"/>
        </w:rPr>
      </w:pPr>
      <w:r>
        <w:rPr>
          <w:rFonts w:ascii="Arial" w:hAnsi="Arial" w:cs="Arial"/>
          <w:lang w:val="es-CO"/>
        </w:rPr>
        <w:t>Para estos efectos, el objeto social principal o activid</w:t>
      </w:r>
      <w:r>
        <w:rPr>
          <w:rFonts w:ascii="Arial" w:hAnsi="Arial" w:cs="Arial"/>
          <w:lang w:val="es-CO"/>
        </w:rPr>
        <w:t>ad principal debe corresponder a una de la siguientes actividades económicas: prestación de servicios turísticos; producción agropecuaria, piscícola, maricultura, mantenimiento y reparación de naves, servicios de salud, servicios de procesamiento de datos,</w:t>
      </w:r>
      <w:r>
        <w:rPr>
          <w:rFonts w:ascii="Arial" w:hAnsi="Arial" w:cs="Arial"/>
          <w:lang w:val="es-CO"/>
        </w:rPr>
        <w:t xml:space="preserve"> servicios de </w:t>
      </w:r>
      <w:r>
        <w:rPr>
          <w:rFonts w:ascii="Arial" w:hAnsi="Arial" w:cs="Arial"/>
          <w:i/>
          <w:lang w:val="es-CO"/>
        </w:rPr>
        <w:t>call</w:t>
      </w:r>
      <w:r>
        <w:rPr>
          <w:rFonts w:ascii="Arial" w:hAnsi="Arial" w:cs="Arial"/>
          <w:lang w:val="es-CO"/>
        </w:rPr>
        <w:t xml:space="preserve"> center, corretaje en servicios financieros, programas de desarrollo tecnológico aprobados por Colciencias, servicios de educación y servicios de maquila.</w:t>
      </w:r>
    </w:p>
    <w:p w14:paraId="52E3D744" w14:textId="77777777" w:rsidR="00B2442D" w:rsidRDefault="00B2442D">
      <w:pPr>
        <w:jc w:val="both"/>
        <w:rPr>
          <w:rFonts w:ascii="Arial" w:hAnsi="Arial" w:cs="Arial"/>
          <w:lang w:val="es-CO"/>
        </w:rPr>
      </w:pPr>
    </w:p>
    <w:p w14:paraId="09C6355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exención de que trata el presente artículo regirá únicamente por </w:t>
      </w:r>
      <w:r>
        <w:rPr>
          <w:rFonts w:ascii="Arial" w:hAnsi="Arial" w:cs="Arial"/>
          <w:lang w:val="es-CO"/>
        </w:rPr>
        <w:t>los años gravables 2013, 2014, 2015, 2016 y 2017, y comenzará a regir a partir del año gravable en que la empresa se constituya e instale efectivamente y desarrolle la actividad económica.</w:t>
      </w:r>
    </w:p>
    <w:p w14:paraId="13F99BE2" w14:textId="77777777" w:rsidR="00B2442D" w:rsidRDefault="00B2442D">
      <w:pPr>
        <w:jc w:val="both"/>
        <w:rPr>
          <w:rFonts w:ascii="Arial" w:hAnsi="Arial" w:cs="Arial"/>
          <w:lang w:val="es-CO"/>
        </w:rPr>
      </w:pPr>
    </w:p>
    <w:p w14:paraId="69DDECF0"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producción de bienes por parte de las empresas be</w:t>
      </w:r>
      <w:r>
        <w:rPr>
          <w:rFonts w:ascii="Arial" w:hAnsi="Arial" w:cs="Arial"/>
          <w:lang w:val="es-CO"/>
        </w:rPr>
        <w:t>neficiarías de la exención debe realizarse totalmente en el Departamento Archipiélago de San Andrés, Providencia y Santa Catalina; la comercialización de los bienes producidos en el departamento puede realizarse dentro y/o fuera del departamento, o fuera d</w:t>
      </w:r>
      <w:r>
        <w:rPr>
          <w:rFonts w:ascii="Arial" w:hAnsi="Arial" w:cs="Arial"/>
          <w:lang w:val="es-CO"/>
        </w:rPr>
        <w:t>el país.</w:t>
      </w:r>
    </w:p>
    <w:p w14:paraId="01D7AA1A" w14:textId="77777777" w:rsidR="00B2442D" w:rsidRDefault="00B2442D">
      <w:pPr>
        <w:jc w:val="both"/>
        <w:rPr>
          <w:rFonts w:ascii="Arial" w:hAnsi="Arial" w:cs="Arial"/>
          <w:lang w:val="es-CO"/>
        </w:rPr>
      </w:pPr>
    </w:p>
    <w:p w14:paraId="49A56509"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Tratándose de servicios, deben ser prestados en su totalidad en el territorio del Departamento Archipiélago de San Andrés, Providencia y Santa Catalina, excepto los servicios de </w:t>
      </w:r>
      <w:r>
        <w:rPr>
          <w:rFonts w:ascii="Arial" w:hAnsi="Arial" w:cs="Arial"/>
          <w:i/>
          <w:lang w:val="es-CO"/>
        </w:rPr>
        <w:t>call</w:t>
      </w:r>
      <w:r>
        <w:rPr>
          <w:rFonts w:ascii="Arial" w:hAnsi="Arial" w:cs="Arial"/>
          <w:lang w:val="es-CO"/>
        </w:rPr>
        <w:t xml:space="preserve"> center que pueden ser prestados en el departament</w:t>
      </w:r>
      <w:r>
        <w:rPr>
          <w:rFonts w:ascii="Arial" w:hAnsi="Arial" w:cs="Arial"/>
          <w:lang w:val="es-CO"/>
        </w:rPr>
        <w:t>o o desde el departamento al resto del territorio nacional o al exterior.</w:t>
      </w:r>
    </w:p>
    <w:p w14:paraId="6921EFF3" w14:textId="77777777" w:rsidR="00B2442D" w:rsidRDefault="00B2442D">
      <w:pPr>
        <w:jc w:val="both"/>
        <w:rPr>
          <w:rFonts w:ascii="Arial" w:hAnsi="Arial" w:cs="Arial"/>
          <w:lang w:val="es-CO"/>
        </w:rPr>
      </w:pPr>
    </w:p>
    <w:p w14:paraId="55FF1A6A" w14:textId="77777777" w:rsidR="00B2442D" w:rsidRDefault="008A645F">
      <w:pPr>
        <w:jc w:val="both"/>
        <w:rPr>
          <w:rFonts w:ascii="Arial" w:hAnsi="Arial" w:cs="Arial"/>
          <w:i/>
          <w:lang w:val="es-CO"/>
        </w:rPr>
      </w:pPr>
      <w:r>
        <w:rPr>
          <w:rFonts w:ascii="Arial" w:hAnsi="Arial" w:cs="Arial"/>
          <w:i/>
          <w:lang w:val="es-CO"/>
        </w:rPr>
        <w:t>(Art. 1, Decreto 2763 de 2012)</w:t>
      </w:r>
    </w:p>
    <w:p w14:paraId="36A525E1" w14:textId="77777777" w:rsidR="00B2442D" w:rsidRDefault="00B2442D">
      <w:pPr>
        <w:jc w:val="both"/>
        <w:rPr>
          <w:rFonts w:ascii="Arial" w:hAnsi="Arial" w:cs="Arial"/>
          <w:lang w:val="es-CO"/>
        </w:rPr>
      </w:pPr>
    </w:p>
    <w:p w14:paraId="78AB0C9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Definiciones.</w:t>
      </w:r>
      <w:r>
        <w:rPr>
          <w:rFonts w:ascii="Arial" w:hAnsi="Arial" w:cs="Arial"/>
          <w:lang w:val="es-CO"/>
        </w:rPr>
        <w:t xml:space="preserve"> Para efectos de la exención del impuesto sobre la renta y complementario a que se refieren los artículos 1.2.1.22.28 al 1.2.1.22.40, 1.</w:t>
      </w:r>
      <w:r>
        <w:rPr>
          <w:rFonts w:ascii="Arial" w:hAnsi="Arial" w:cs="Arial"/>
          <w:lang w:val="es-CO"/>
        </w:rPr>
        <w:t>6.1.4.11 y 1.6.1.4.12 del presente Decreto, deben tenerse en cuenta las siguientes definiciones:</w:t>
      </w:r>
    </w:p>
    <w:p w14:paraId="550FE81B" w14:textId="77777777" w:rsidR="00B2442D" w:rsidRDefault="00B2442D">
      <w:pPr>
        <w:jc w:val="both"/>
        <w:rPr>
          <w:rFonts w:ascii="Arial" w:hAnsi="Arial" w:cs="Arial"/>
          <w:lang w:val="es-CO"/>
        </w:rPr>
      </w:pPr>
    </w:p>
    <w:p w14:paraId="5E48446D" w14:textId="77777777" w:rsidR="00B2442D" w:rsidRDefault="008A645F">
      <w:pPr>
        <w:jc w:val="both"/>
        <w:rPr>
          <w:rFonts w:ascii="Arial" w:hAnsi="Arial" w:cs="Arial"/>
          <w:lang w:val="es-CO"/>
        </w:rPr>
      </w:pPr>
      <w:r>
        <w:rPr>
          <w:rFonts w:ascii="Arial" w:hAnsi="Arial" w:cs="Arial"/>
          <w:lang w:val="es-CO"/>
        </w:rPr>
        <w:t xml:space="preserve">Empresa: Para los efectos previstos en los artículos 1.2.1.22.28 al 1.2.1.22.40, 1.6.1.4.11 y 1.6.1.4.12 del presente Decreto, se entiende por empresa la </w:t>
      </w:r>
      <w:r>
        <w:rPr>
          <w:rFonts w:ascii="Arial" w:hAnsi="Arial" w:cs="Arial"/>
          <w:lang w:val="es-CO"/>
        </w:rPr>
        <w:t>actividad económica organizada para la producción de bienes o prestación de servicios a los que se refiere el artículo 150 de la Ley 1607 de 2012, desarrollada por persona natural o jurídica y realizada mediante uno o más establecimientos de comercio o lug</w:t>
      </w:r>
      <w:r>
        <w:rPr>
          <w:rFonts w:ascii="Arial" w:hAnsi="Arial" w:cs="Arial"/>
          <w:lang w:val="es-CO"/>
        </w:rPr>
        <w:t>ares o locales en los cuales se desarrolle la actividad de que se trate, única y exclusivamente en relación con las siguientes actividades económicas:</w:t>
      </w:r>
    </w:p>
    <w:p w14:paraId="1575E3AA" w14:textId="77777777" w:rsidR="00B2442D" w:rsidRDefault="00B2442D">
      <w:pPr>
        <w:jc w:val="both"/>
        <w:rPr>
          <w:rFonts w:ascii="Arial" w:hAnsi="Arial" w:cs="Arial"/>
          <w:lang w:val="es-CO"/>
        </w:rPr>
      </w:pPr>
    </w:p>
    <w:p w14:paraId="66ABB0F8" w14:textId="77777777" w:rsidR="00B2442D" w:rsidRDefault="008A645F">
      <w:pPr>
        <w:jc w:val="both"/>
        <w:rPr>
          <w:rFonts w:ascii="Arial" w:hAnsi="Arial" w:cs="Arial"/>
          <w:lang w:val="es-CO"/>
        </w:rPr>
      </w:pPr>
      <w:r>
        <w:rPr>
          <w:rFonts w:ascii="Arial" w:hAnsi="Arial" w:cs="Arial"/>
          <w:lang w:val="es-CO"/>
        </w:rPr>
        <w:t xml:space="preserve">Prestación de servicios turísticos; producción agropecuaria, piscícola, y de maricultura: prestación de </w:t>
      </w:r>
      <w:r>
        <w:rPr>
          <w:rFonts w:ascii="Arial" w:hAnsi="Arial" w:cs="Arial"/>
          <w:lang w:val="es-CO"/>
        </w:rPr>
        <w:t>servicios de mantenimiento y reparación de naves; prestación de servicios de salud; prestación de servicios de procesamiento de datos: prestación de servicios de call center; prestación de servicios corretaje en servicios financieros y en ningún caso proce</w:t>
      </w:r>
      <w:r>
        <w:rPr>
          <w:rFonts w:ascii="Arial" w:hAnsi="Arial" w:cs="Arial"/>
          <w:lang w:val="es-CO"/>
        </w:rPr>
        <w:t>derá el beneficio en relación con servicios del sector financiero distintos al servicio de corretaje aquí previsto; programas de desarrollo tecnológico aprobados por Colciencias; prestación de servicios de educación, y prestación de servicios de maquila.</w:t>
      </w:r>
    </w:p>
    <w:p w14:paraId="63B10D7B" w14:textId="77777777" w:rsidR="00B2442D" w:rsidRDefault="00B2442D">
      <w:pPr>
        <w:jc w:val="both"/>
        <w:rPr>
          <w:rFonts w:ascii="Arial" w:hAnsi="Arial" w:cs="Arial"/>
          <w:lang w:val="es-CO"/>
        </w:rPr>
      </w:pPr>
    </w:p>
    <w:p w14:paraId="1A5F1D66" w14:textId="77777777" w:rsidR="00B2442D" w:rsidRDefault="008A645F">
      <w:pPr>
        <w:jc w:val="both"/>
        <w:rPr>
          <w:rFonts w:ascii="Arial" w:hAnsi="Arial" w:cs="Arial"/>
          <w:lang w:val="es-CO"/>
        </w:rPr>
      </w:pPr>
      <w:r>
        <w:rPr>
          <w:rFonts w:ascii="Arial" w:hAnsi="Arial" w:cs="Arial"/>
          <w:lang w:val="es-CO"/>
        </w:rPr>
        <w:t>Tratándose de personas naturales, se entiende constituida e instalada efectivamente la empresa cuando la persona, debidamente matriculada e inscrita en el registro mercantil de la correspondiente Cámara de Comercio de la jurisdicción del Departamento Archi</w:t>
      </w:r>
      <w:r>
        <w:rPr>
          <w:rFonts w:ascii="Arial" w:hAnsi="Arial" w:cs="Arial"/>
          <w:lang w:val="es-CO"/>
        </w:rPr>
        <w:t>piélago de San Andrés, Providencia y Santa Catalina, así como en el Registro Único Tributario -RUT, tenga dispuestos todos los activos y el personal necesarios para el desarrollo de la actividad productora de renta de que se trate.</w:t>
      </w:r>
    </w:p>
    <w:p w14:paraId="4DF7933E" w14:textId="77777777" w:rsidR="00B2442D" w:rsidRDefault="00B2442D">
      <w:pPr>
        <w:jc w:val="both"/>
        <w:rPr>
          <w:rFonts w:ascii="Arial" w:hAnsi="Arial" w:cs="Arial"/>
          <w:lang w:val="es-CO"/>
        </w:rPr>
      </w:pPr>
    </w:p>
    <w:p w14:paraId="2DD88C6A" w14:textId="77777777" w:rsidR="00B2442D" w:rsidRDefault="008A645F">
      <w:pPr>
        <w:jc w:val="both"/>
        <w:rPr>
          <w:rFonts w:ascii="Arial" w:hAnsi="Arial" w:cs="Arial"/>
          <w:lang w:val="es-CO"/>
        </w:rPr>
      </w:pPr>
      <w:r>
        <w:rPr>
          <w:rFonts w:ascii="Arial" w:hAnsi="Arial" w:cs="Arial"/>
          <w:lang w:val="es-CO"/>
        </w:rPr>
        <w:t xml:space="preserve">Tratándose de personas </w:t>
      </w:r>
      <w:r>
        <w:rPr>
          <w:rFonts w:ascii="Arial" w:hAnsi="Arial" w:cs="Arial"/>
          <w:lang w:val="es-CO"/>
        </w:rPr>
        <w:t>jurídicas y asimiladas a estas, se entienden constituidas e instaladas efectivamente, cuando protocolizada la escritura de su constitución en notaría de los círculos notariales de la jurisdicción del Departamento Archipiélago de San Andrés, Providencia y S</w:t>
      </w:r>
      <w:r>
        <w:rPr>
          <w:rFonts w:ascii="Arial" w:hAnsi="Arial" w:cs="Arial"/>
          <w:lang w:val="es-CO"/>
        </w:rPr>
        <w:t>anta Catalina, la sociedad esté debidamente matriculada e inscrita en el registro mercantil de la correspondiente Cámara de Comercio de la jurisdicción del Departamento Archipiélago de San Andrés, Providencia y Santa Catalina, como también inscrita en el R</w:t>
      </w:r>
      <w:r>
        <w:rPr>
          <w:rFonts w:ascii="Arial" w:hAnsi="Arial" w:cs="Arial"/>
          <w:lang w:val="es-CO"/>
        </w:rPr>
        <w:t>egistro Único Tributario - RUT, siempre y cuando tenga dispuestos todos los activos y el personal necesarios para el desarrollo de la actividad productora de renta de que se trate. Cuando se trate de sociedades de hecho, basta la prueba de la existencia de</w:t>
      </w:r>
      <w:r>
        <w:rPr>
          <w:rFonts w:ascii="Arial" w:hAnsi="Arial" w:cs="Arial"/>
          <w:lang w:val="es-CO"/>
        </w:rPr>
        <w:t>l documento de constitución, de la matrícula e inscripción en la Cámara de Comercio y en el Registro Único Tributario -RUT.</w:t>
      </w:r>
    </w:p>
    <w:p w14:paraId="678F7EA5" w14:textId="77777777" w:rsidR="00B2442D" w:rsidRDefault="00B2442D">
      <w:pPr>
        <w:jc w:val="both"/>
        <w:rPr>
          <w:rFonts w:ascii="Arial" w:hAnsi="Arial" w:cs="Arial"/>
          <w:lang w:val="es-CO"/>
        </w:rPr>
      </w:pPr>
    </w:p>
    <w:p w14:paraId="06FA6C5E" w14:textId="77777777" w:rsidR="00B2442D" w:rsidRDefault="008A645F">
      <w:pPr>
        <w:jc w:val="both"/>
        <w:rPr>
          <w:rFonts w:ascii="Arial" w:hAnsi="Arial" w:cs="Arial"/>
          <w:lang w:val="es-CO"/>
        </w:rPr>
      </w:pPr>
      <w:r>
        <w:rPr>
          <w:rFonts w:ascii="Arial" w:hAnsi="Arial" w:cs="Arial"/>
          <w:lang w:val="es-CO"/>
        </w:rPr>
        <w:t>La Administración Tributaria verificará la constitución e instalación efectiva de las empresas.</w:t>
      </w:r>
    </w:p>
    <w:p w14:paraId="501BFF41" w14:textId="77777777" w:rsidR="00B2442D" w:rsidRDefault="00B2442D">
      <w:pPr>
        <w:jc w:val="both"/>
        <w:rPr>
          <w:rFonts w:ascii="Arial" w:hAnsi="Arial" w:cs="Arial"/>
          <w:lang w:val="es-CO"/>
        </w:rPr>
      </w:pPr>
    </w:p>
    <w:p w14:paraId="5D1C47CA" w14:textId="77777777" w:rsidR="00B2442D" w:rsidRDefault="008A645F">
      <w:pPr>
        <w:jc w:val="both"/>
        <w:rPr>
          <w:rFonts w:ascii="Arial" w:hAnsi="Arial" w:cs="Arial"/>
          <w:i/>
          <w:lang w:val="es-CO"/>
        </w:rPr>
      </w:pPr>
      <w:r>
        <w:rPr>
          <w:rFonts w:ascii="Arial" w:hAnsi="Arial" w:cs="Arial"/>
          <w:i/>
          <w:lang w:val="es-CO"/>
        </w:rPr>
        <w:t>(Art. 2, Decreto 2763 de 2012)</w:t>
      </w:r>
    </w:p>
    <w:p w14:paraId="20FAEECB" w14:textId="77777777" w:rsidR="00B2442D" w:rsidRDefault="00B2442D">
      <w:pPr>
        <w:jc w:val="both"/>
        <w:rPr>
          <w:rFonts w:ascii="Arial" w:hAnsi="Arial" w:cs="Arial"/>
          <w:lang w:val="es-CO"/>
        </w:rPr>
      </w:pPr>
    </w:p>
    <w:p w14:paraId="55A7B67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w:t>
      </w:r>
      <w:r>
        <w:rPr>
          <w:rFonts w:ascii="Arial" w:hAnsi="Arial" w:cs="Arial"/>
          <w:b/>
          <w:i/>
          <w:lang w:val="es-CO"/>
        </w:rPr>
        <w:t>ntas respecto de las cuales procede la exención del impuesto sobre la renta y complementario.</w:t>
      </w:r>
      <w:r>
        <w:rPr>
          <w:rFonts w:ascii="Arial" w:hAnsi="Arial" w:cs="Arial"/>
          <w:lang w:val="es-CO"/>
        </w:rPr>
        <w:t xml:space="preserve"> Las rentas objeto del beneficio a que se refiere el artículo 150 de la Ley 1607 de 2012, son exclusivamente las relativas a los ingresos operacionales u ordinario</w:t>
      </w:r>
      <w:r>
        <w:rPr>
          <w:rFonts w:ascii="Arial" w:hAnsi="Arial" w:cs="Arial"/>
          <w:lang w:val="es-CO"/>
        </w:rPr>
        <w:t>s que perciban los contribuyentes a que se refiere el artículo 1.2.1.22.28 de este decreto, provenientes del desarrollo de la actividad económica de producción o prestación de servicios a que se refiere el artículo 1.2.1.22.29 de este decreto, en la jurisd</w:t>
      </w:r>
      <w:r>
        <w:rPr>
          <w:rFonts w:ascii="Arial" w:hAnsi="Arial" w:cs="Arial"/>
          <w:lang w:val="es-CO"/>
        </w:rPr>
        <w:t>icción del Departamento Archipiélago de San Andrés, Providencia y Santa Catalina, que perciban a partir del año gravable de su instalación, sin que en ningún caso el beneficio de exención sobrepase el año gravable 2017, conforme con el artículo 150 de la L</w:t>
      </w:r>
      <w:r>
        <w:rPr>
          <w:rFonts w:ascii="Arial" w:hAnsi="Arial" w:cs="Arial"/>
          <w:lang w:val="es-CO"/>
        </w:rPr>
        <w:t>ey 1607 de 2012.</w:t>
      </w:r>
    </w:p>
    <w:p w14:paraId="1E10C3F6" w14:textId="77777777" w:rsidR="00B2442D" w:rsidRDefault="00B2442D">
      <w:pPr>
        <w:jc w:val="both"/>
        <w:rPr>
          <w:rFonts w:ascii="Arial" w:hAnsi="Arial" w:cs="Arial"/>
          <w:lang w:val="es-CO"/>
        </w:rPr>
      </w:pPr>
    </w:p>
    <w:p w14:paraId="043A7316" w14:textId="77777777" w:rsidR="00B2442D" w:rsidRDefault="008A645F">
      <w:pPr>
        <w:jc w:val="both"/>
        <w:rPr>
          <w:rFonts w:ascii="Arial" w:hAnsi="Arial" w:cs="Arial"/>
          <w:lang w:val="es-CO"/>
        </w:rPr>
      </w:pPr>
      <w:r>
        <w:rPr>
          <w:rFonts w:ascii="Arial" w:hAnsi="Arial" w:cs="Arial"/>
          <w:lang w:val="es-CO"/>
        </w:rPr>
        <w:t>Por lo precedente, en cada caso en particular, los años gravables por los cuales procede la exención del impuesto sobre la renta dependerán del año gravable en el cual la nueva empresa que se acoge al beneficio se constituya e instale efe</w:t>
      </w:r>
      <w:r>
        <w:rPr>
          <w:rFonts w:ascii="Arial" w:hAnsi="Arial" w:cs="Arial"/>
          <w:lang w:val="es-CO"/>
        </w:rPr>
        <w:t>ctivamente en cualquiera de los municipios o zonas del territorio del Departamento Archipiélago de San Andrés, Providencia y Santa Catalina.</w:t>
      </w:r>
    </w:p>
    <w:p w14:paraId="515DC7BE" w14:textId="77777777" w:rsidR="00B2442D" w:rsidRDefault="00B2442D">
      <w:pPr>
        <w:jc w:val="both"/>
        <w:rPr>
          <w:rFonts w:ascii="Arial" w:hAnsi="Arial" w:cs="Arial"/>
          <w:lang w:val="es-CO"/>
        </w:rPr>
      </w:pPr>
    </w:p>
    <w:p w14:paraId="15C49912" w14:textId="77777777" w:rsidR="00B2442D" w:rsidRDefault="008A645F">
      <w:pPr>
        <w:jc w:val="both"/>
        <w:rPr>
          <w:rFonts w:ascii="Arial" w:hAnsi="Arial" w:cs="Arial"/>
          <w:lang w:val="es-CO"/>
        </w:rPr>
      </w:pPr>
      <w:r>
        <w:rPr>
          <w:rFonts w:ascii="Arial" w:hAnsi="Arial" w:cs="Arial"/>
          <w:lang w:val="es-CO"/>
        </w:rPr>
        <w:t>Igual tratamiento tienen las ganancias ocasionales relacionadas con la enajenación de los activos fijos utilizados</w:t>
      </w:r>
      <w:r>
        <w:rPr>
          <w:rFonts w:ascii="Arial" w:hAnsi="Arial" w:cs="Arial"/>
          <w:lang w:val="es-CO"/>
        </w:rPr>
        <w:t xml:space="preserve"> en desarrollo de la actividad económica principal, cuya utilidad corresponda y pueda ser tratada como impuesto complementario de ganancias ocasionales de acuerdo con las disposiciones del Estatuto Tributario que regulan ese impuesto complementario del imp</w:t>
      </w:r>
      <w:r>
        <w:rPr>
          <w:rFonts w:ascii="Arial" w:hAnsi="Arial" w:cs="Arial"/>
          <w:lang w:val="es-CO"/>
        </w:rPr>
        <w:t>uesto sobre la renta. Lo anterior debe entenderse que procede sin perjuicio de la aplicación de los artículos 195 y siguientes del Estatuto Tributario en relación con la recuperación de deducciones de los activos fijos enajenados.</w:t>
      </w:r>
    </w:p>
    <w:p w14:paraId="3231013C" w14:textId="77777777" w:rsidR="00B2442D" w:rsidRDefault="00B2442D">
      <w:pPr>
        <w:jc w:val="both"/>
        <w:rPr>
          <w:rFonts w:ascii="Arial" w:hAnsi="Arial" w:cs="Arial"/>
          <w:lang w:val="es-CO"/>
        </w:rPr>
      </w:pPr>
    </w:p>
    <w:p w14:paraId="1D092F65" w14:textId="77777777" w:rsidR="00B2442D" w:rsidRDefault="008A645F">
      <w:pPr>
        <w:jc w:val="both"/>
        <w:rPr>
          <w:rFonts w:ascii="Arial" w:hAnsi="Arial" w:cs="Arial"/>
          <w:lang w:val="es-CO"/>
        </w:rPr>
      </w:pPr>
      <w:r>
        <w:rPr>
          <w:rFonts w:ascii="Arial" w:hAnsi="Arial" w:cs="Arial"/>
          <w:lang w:val="es-CO"/>
        </w:rPr>
        <w:t>Las rentas relativas a i</w:t>
      </w:r>
      <w:r>
        <w:rPr>
          <w:rFonts w:ascii="Arial" w:hAnsi="Arial" w:cs="Arial"/>
          <w:lang w:val="es-CO"/>
        </w:rPr>
        <w:t>ngresos de origen distinto a los mencionados en los incisos anteriores, no gozan del beneficio a que se refieren los artículos 1.2.1.22.28 al 1.2.1.22.40, 1.6.1.4.11 y 1.6.1.4.12 del presente Decreto y serán tratadas conforme a las normas del Estatuto Trib</w:t>
      </w:r>
      <w:r>
        <w:rPr>
          <w:rFonts w:ascii="Arial" w:hAnsi="Arial" w:cs="Arial"/>
          <w:lang w:val="es-CO"/>
        </w:rPr>
        <w:t>utario y demás disposiciones que regulan el impuesto sobre la renta y complementario para la generalidad de los contribuyentes residenciados o domiciliados en el Departamento Archipiélago de San Andrés, Providencia y Santa Catalina que no se acojan al bene</w:t>
      </w:r>
      <w:r>
        <w:rPr>
          <w:rFonts w:ascii="Arial" w:hAnsi="Arial" w:cs="Arial"/>
          <w:lang w:val="es-CO"/>
        </w:rPr>
        <w:t>ficio del artículo 150 de la Ley 1607 de 2012 objeto de este reglamento. Para el efecto, en todos los casos los contribuyentes deberán llevar contabilidad, y en ella, cuentas separadas en las que se identifiquen los costos y gastos asociados a los ingresos</w:t>
      </w:r>
      <w:r>
        <w:rPr>
          <w:rFonts w:ascii="Arial" w:hAnsi="Arial" w:cs="Arial"/>
          <w:lang w:val="es-CO"/>
        </w:rPr>
        <w:t xml:space="preserve"> y rentas objeto del beneficio de exención, como de los ingresos que tengan origen distinto al desarrollo de la actividad económica y de sus respectivos costos y gastos.</w:t>
      </w:r>
    </w:p>
    <w:p w14:paraId="046BEBF2" w14:textId="77777777" w:rsidR="00B2442D" w:rsidRDefault="00B2442D">
      <w:pPr>
        <w:jc w:val="both"/>
        <w:rPr>
          <w:rFonts w:ascii="Arial" w:hAnsi="Arial" w:cs="Arial"/>
          <w:lang w:val="es-CO"/>
        </w:rPr>
      </w:pPr>
    </w:p>
    <w:p w14:paraId="3B474382" w14:textId="77777777" w:rsidR="00B2442D" w:rsidRDefault="008A645F">
      <w:pPr>
        <w:jc w:val="both"/>
        <w:rPr>
          <w:rFonts w:ascii="Arial" w:hAnsi="Arial" w:cs="Arial"/>
          <w:i/>
          <w:lang w:val="es-CO"/>
        </w:rPr>
      </w:pPr>
      <w:r>
        <w:rPr>
          <w:rFonts w:ascii="Arial" w:hAnsi="Arial" w:cs="Arial"/>
          <w:i/>
          <w:lang w:val="es-CO"/>
        </w:rPr>
        <w:t>(Art. 3, Decreto 2763 de 2012)</w:t>
      </w:r>
    </w:p>
    <w:p w14:paraId="37F5AC97" w14:textId="77777777" w:rsidR="00B2442D" w:rsidRDefault="00B2442D">
      <w:pPr>
        <w:jc w:val="both"/>
        <w:rPr>
          <w:rFonts w:ascii="Arial" w:hAnsi="Arial" w:cs="Arial"/>
          <w:lang w:val="es-CO"/>
        </w:rPr>
      </w:pPr>
    </w:p>
    <w:p w14:paraId="66EAF8F1"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Régimen de retenciones en la fuente.</w:t>
      </w:r>
      <w:r>
        <w:rPr>
          <w:rFonts w:ascii="Arial" w:hAnsi="Arial" w:cs="Arial"/>
          <w:lang w:val="es-CO"/>
        </w:rPr>
        <w:t xml:space="preserve"> Considerando que</w:t>
      </w:r>
      <w:r>
        <w:rPr>
          <w:rFonts w:ascii="Arial" w:hAnsi="Arial" w:cs="Arial"/>
          <w:lang w:val="es-CO"/>
        </w:rPr>
        <w:t xml:space="preserve"> el beneficio de exención del impuesto sobre la renta de que tratan los artículos 1.2.1.22.28 al 1.2.1.22.40, 1.6.1.4.11 y 1.6.1.4.12 del presente Decreto está condicionado al cumplimiento de requisitos generales, y que los requisitos que por cada año grav</w:t>
      </w:r>
      <w:r>
        <w:rPr>
          <w:rFonts w:ascii="Arial" w:hAnsi="Arial" w:cs="Arial"/>
          <w:lang w:val="es-CO"/>
        </w:rPr>
        <w:t>able en que se solicite la exención deben cumplirse y tal cumplimiento solo puede verificarse al finalizar el respetivo periodo fiscal, los pagos o abonos en cuenta que se realicen a las empresas beneficiarías de la exención estarán sometidos a retención e</w:t>
      </w:r>
      <w:r>
        <w:rPr>
          <w:rFonts w:ascii="Arial" w:hAnsi="Arial" w:cs="Arial"/>
          <w:lang w:val="es-CO"/>
        </w:rPr>
        <w:t>n la fuente de acuerdo con las normas generales del Estatuto Tributario. Los saldos a favor que en las declaraciones del impuesto sobre la renta se determinen, serán susceptibles de devolución, previa comprobación de la procedencia de la exención, dentro d</w:t>
      </w:r>
      <w:r>
        <w:rPr>
          <w:rFonts w:ascii="Arial" w:hAnsi="Arial" w:cs="Arial"/>
          <w:lang w:val="es-CO"/>
        </w:rPr>
        <w:t>e los términos y de acuerdo con el procedimiento previsto en el Estatuto Tributario.</w:t>
      </w:r>
    </w:p>
    <w:p w14:paraId="5F5D1874" w14:textId="77777777" w:rsidR="00B2442D" w:rsidRDefault="00B2442D">
      <w:pPr>
        <w:jc w:val="both"/>
        <w:rPr>
          <w:rFonts w:ascii="Arial" w:hAnsi="Arial" w:cs="Arial"/>
          <w:lang w:val="es-CO"/>
        </w:rPr>
      </w:pPr>
    </w:p>
    <w:p w14:paraId="1180115B" w14:textId="77777777" w:rsidR="00B2442D" w:rsidRDefault="008A645F">
      <w:pPr>
        <w:jc w:val="both"/>
        <w:rPr>
          <w:rFonts w:ascii="Arial" w:hAnsi="Arial" w:cs="Arial"/>
          <w:i/>
          <w:lang w:val="es-CO"/>
        </w:rPr>
      </w:pPr>
      <w:r>
        <w:rPr>
          <w:rFonts w:ascii="Arial" w:hAnsi="Arial" w:cs="Arial"/>
          <w:i/>
          <w:lang w:val="es-CO"/>
        </w:rPr>
        <w:t>(Art. 4, Decreto 2763 de 2012)</w:t>
      </w:r>
    </w:p>
    <w:p w14:paraId="79268328" w14:textId="77777777" w:rsidR="00B2442D" w:rsidRDefault="00B2442D">
      <w:pPr>
        <w:jc w:val="both"/>
        <w:rPr>
          <w:rFonts w:ascii="Arial" w:hAnsi="Arial" w:cs="Arial"/>
          <w:lang w:val="es-CO"/>
        </w:rPr>
      </w:pPr>
    </w:p>
    <w:p w14:paraId="55829116"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Prohibición para acceder a la exención del impuesto sobre la renta y complementario.</w:t>
      </w:r>
      <w:r>
        <w:rPr>
          <w:rFonts w:ascii="Arial" w:hAnsi="Arial" w:cs="Arial"/>
          <w:lang w:val="es-CO"/>
        </w:rPr>
        <w:t xml:space="preserve"> Las empresas constituidas e instaladas con posterioridad a la entrada en vigencia de la Ley 1607 de 2012 citada, respecto de las cuales el objeto social, la actividad, la nómina, el o los establecimientos de comercio, el domicilio, los intangibles o los a</w:t>
      </w:r>
      <w:r>
        <w:rPr>
          <w:rFonts w:ascii="Arial" w:hAnsi="Arial" w:cs="Arial"/>
          <w:lang w:val="es-CO"/>
        </w:rPr>
        <w:t>ctivos que conformen su unidad de explotación económica sean los mismos de una empresa que haya sido disuelta, liquidada, escindida con posterioridad a la entrada en vigencia de esa misma ley, en ningún caso se consideran nuevas empresas y no podrán accede</w:t>
      </w:r>
      <w:r>
        <w:rPr>
          <w:rFonts w:ascii="Arial" w:hAnsi="Arial" w:cs="Arial"/>
          <w:lang w:val="es-CO"/>
        </w:rPr>
        <w:t>r al beneficio de exención del impuesto sobre la renta y complementario contemplado en el artículo 150 de la Ley 1607 de 2012 antes citada. Las empresas que se acojan o hayan acogido al beneficio sin tener derecho a él o incumplan los requisitos para que p</w:t>
      </w:r>
      <w:r>
        <w:rPr>
          <w:rFonts w:ascii="Arial" w:hAnsi="Arial" w:cs="Arial"/>
          <w:lang w:val="es-CO"/>
        </w:rPr>
        <w:t>roceda el beneficio, serán objeto de investigación integral con base en las amplias facultades de fiscalización e investigación atribuidas a la Administración Tributaria por el artículo 684 del Estatuto Tributario, para que en ejercicio de su respectiva co</w:t>
      </w:r>
      <w:r>
        <w:rPr>
          <w:rFonts w:ascii="Arial" w:hAnsi="Arial" w:cs="Arial"/>
          <w:lang w:val="es-CO"/>
        </w:rPr>
        <w:t>mpetencia funcional, adelante las actuaciones encaminadas a la restitución de los beneficios obtenidos que sean improcedentes, para lo cual aplicará el procedimiento consagrado en el Estatuto Tributario.</w:t>
      </w:r>
    </w:p>
    <w:p w14:paraId="0D04E711" w14:textId="77777777" w:rsidR="00B2442D" w:rsidRDefault="00B2442D">
      <w:pPr>
        <w:jc w:val="both"/>
        <w:rPr>
          <w:rFonts w:ascii="Arial" w:hAnsi="Arial" w:cs="Arial"/>
          <w:lang w:val="es-CO"/>
        </w:rPr>
      </w:pPr>
    </w:p>
    <w:p w14:paraId="10212423" w14:textId="77777777" w:rsidR="00B2442D" w:rsidRDefault="008A645F">
      <w:pPr>
        <w:jc w:val="both"/>
        <w:rPr>
          <w:rFonts w:ascii="Arial" w:hAnsi="Arial" w:cs="Arial"/>
          <w:i/>
          <w:lang w:val="es-CO"/>
        </w:rPr>
      </w:pPr>
      <w:r>
        <w:rPr>
          <w:rFonts w:ascii="Arial" w:hAnsi="Arial" w:cs="Arial"/>
          <w:i/>
          <w:lang w:val="es-CO"/>
        </w:rPr>
        <w:t>(Art. 5, Decreto 2763 de 2012)</w:t>
      </w:r>
    </w:p>
    <w:p w14:paraId="62740597" w14:textId="77777777" w:rsidR="00B2442D" w:rsidRDefault="00B2442D">
      <w:pPr>
        <w:jc w:val="both"/>
        <w:rPr>
          <w:rFonts w:ascii="Arial" w:hAnsi="Arial" w:cs="Arial"/>
          <w:lang w:val="es-CO"/>
        </w:rPr>
      </w:pPr>
    </w:p>
    <w:p w14:paraId="18075883"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generales que deben cumplir las nuevas empresas para acceder a la exención del impuesto sobre la renta y complementario</w:t>
      </w:r>
      <w:r>
        <w:rPr>
          <w:rFonts w:ascii="Arial" w:hAnsi="Arial" w:cs="Arial"/>
          <w:lang w:val="es-CO"/>
        </w:rPr>
        <w:t>. Sin perjuicio del cumplimiento de las obligaciones de matrícula e inscripción en el registro mercantil y de la inscripción e</w:t>
      </w:r>
      <w:r>
        <w:rPr>
          <w:rFonts w:ascii="Arial" w:hAnsi="Arial" w:cs="Arial"/>
          <w:lang w:val="es-CO"/>
        </w:rPr>
        <w:t>n el Registro Único Tributario -RUT, para efectos de control las nuevas empresas que pretendan acogerse al beneficio a que se refiere el artículo 150 de la Ley 1607 de 2012, deberán cumplir los siguientes requisitos:</w:t>
      </w:r>
    </w:p>
    <w:p w14:paraId="6CDB4738" w14:textId="77777777" w:rsidR="00B2442D" w:rsidRDefault="00B2442D">
      <w:pPr>
        <w:jc w:val="both"/>
        <w:rPr>
          <w:rFonts w:ascii="Arial" w:hAnsi="Arial" w:cs="Arial"/>
          <w:lang w:val="es-CO"/>
        </w:rPr>
      </w:pPr>
    </w:p>
    <w:p w14:paraId="334820F0" w14:textId="77777777" w:rsidR="00B2442D" w:rsidRDefault="008A645F">
      <w:pPr>
        <w:jc w:val="both"/>
        <w:rPr>
          <w:rFonts w:ascii="Arial" w:hAnsi="Arial" w:cs="Arial"/>
          <w:lang w:val="es-CO"/>
        </w:rPr>
      </w:pPr>
      <w:r>
        <w:rPr>
          <w:rFonts w:ascii="Arial" w:hAnsi="Arial" w:cs="Arial"/>
          <w:lang w:val="es-CO"/>
        </w:rPr>
        <w:t>1. Presentar personalmente por el cont</w:t>
      </w:r>
      <w:r>
        <w:rPr>
          <w:rFonts w:ascii="Arial" w:hAnsi="Arial" w:cs="Arial"/>
          <w:lang w:val="es-CO"/>
        </w:rPr>
        <w:t>ribuyente o representante legal de la empresa antes del 31 de diciembre del correspondiente año de inicio del beneficio de exención, ante la División de Gestión de Fiscalización, o la dependencia que haga sus veces, de la Dirección Seccional de Impuestos y</w:t>
      </w:r>
      <w:r>
        <w:rPr>
          <w:rFonts w:ascii="Arial" w:hAnsi="Arial" w:cs="Arial"/>
          <w:lang w:val="es-CO"/>
        </w:rPr>
        <w:t xml:space="preserve"> Aduanas de San Andrés, los siguientes documentos:</w:t>
      </w:r>
    </w:p>
    <w:p w14:paraId="712458BF" w14:textId="77777777" w:rsidR="00B2442D" w:rsidRDefault="00B2442D">
      <w:pPr>
        <w:jc w:val="both"/>
        <w:rPr>
          <w:rFonts w:ascii="Arial" w:hAnsi="Arial" w:cs="Arial"/>
          <w:lang w:val="es-CO"/>
        </w:rPr>
      </w:pPr>
    </w:p>
    <w:p w14:paraId="1A6D951E" w14:textId="77777777" w:rsidR="00B2442D" w:rsidRDefault="008A645F">
      <w:pPr>
        <w:ind w:left="284" w:hanging="284"/>
        <w:jc w:val="both"/>
        <w:rPr>
          <w:rFonts w:ascii="Arial" w:hAnsi="Arial" w:cs="Arial"/>
          <w:lang w:val="es-CO"/>
        </w:rPr>
      </w:pPr>
      <w:r>
        <w:rPr>
          <w:rFonts w:ascii="Arial" w:hAnsi="Arial" w:cs="Arial"/>
          <w:lang w:val="es-CO"/>
        </w:rPr>
        <w:t>a) Tratándose de personas jurídicas y asimiladas a estas, certificado de existencia y representación legal expedido por la correspondiente Cámara de Comercio en el que conste la fecha de inscripción en el</w:t>
      </w:r>
      <w:r>
        <w:rPr>
          <w:rFonts w:ascii="Arial" w:hAnsi="Arial" w:cs="Arial"/>
          <w:lang w:val="es-CO"/>
        </w:rPr>
        <w:t xml:space="preserve"> Registro Mercantil y la condición de nueva empresa; o de la inscripción en el Registro Mercantil cuando se trate de una nueva empresa desarrollada por persona natural;</w:t>
      </w:r>
    </w:p>
    <w:p w14:paraId="78FE71F1" w14:textId="77777777" w:rsidR="00B2442D" w:rsidRDefault="00B2442D">
      <w:pPr>
        <w:ind w:left="284" w:hanging="284"/>
        <w:jc w:val="both"/>
        <w:rPr>
          <w:rFonts w:ascii="Arial" w:hAnsi="Arial" w:cs="Arial"/>
          <w:lang w:val="es-CO"/>
        </w:rPr>
      </w:pPr>
    </w:p>
    <w:p w14:paraId="546626C8" w14:textId="77777777" w:rsidR="00B2442D" w:rsidRDefault="008A645F">
      <w:pPr>
        <w:ind w:left="284" w:hanging="284"/>
        <w:jc w:val="both"/>
        <w:rPr>
          <w:rFonts w:ascii="Arial" w:hAnsi="Arial" w:cs="Arial"/>
          <w:lang w:val="es-CO"/>
        </w:rPr>
      </w:pPr>
      <w:r>
        <w:rPr>
          <w:rFonts w:ascii="Arial" w:hAnsi="Arial" w:cs="Arial"/>
          <w:lang w:val="es-CO"/>
        </w:rPr>
        <w:t>b) Certificación escrita del contribuyente, o representante legal de la empresa cuando</w:t>
      </w:r>
      <w:r>
        <w:rPr>
          <w:rFonts w:ascii="Arial" w:hAnsi="Arial" w:cs="Arial"/>
          <w:lang w:val="es-CO"/>
        </w:rPr>
        <w:t xml:space="preserve"> se trate de persona jurídica, que se entenderá expedida bajo la gravedad del juramento, en la que manifieste:</w:t>
      </w:r>
    </w:p>
    <w:p w14:paraId="6DEAA6C9" w14:textId="77777777" w:rsidR="00B2442D" w:rsidRDefault="00B2442D">
      <w:pPr>
        <w:jc w:val="both"/>
        <w:rPr>
          <w:rFonts w:ascii="Arial" w:hAnsi="Arial" w:cs="Arial"/>
          <w:lang w:val="es-CO"/>
        </w:rPr>
      </w:pPr>
    </w:p>
    <w:p w14:paraId="5E0D6EF2" w14:textId="77777777" w:rsidR="00B2442D" w:rsidRDefault="008A645F">
      <w:pPr>
        <w:ind w:left="567" w:hanging="283"/>
        <w:jc w:val="both"/>
        <w:rPr>
          <w:rFonts w:ascii="Arial" w:hAnsi="Arial" w:cs="Arial"/>
          <w:lang w:val="es-CO"/>
        </w:rPr>
      </w:pPr>
      <w:r>
        <w:rPr>
          <w:rFonts w:ascii="Arial" w:hAnsi="Arial" w:cs="Arial"/>
          <w:lang w:val="es-CO"/>
        </w:rPr>
        <w:t>1. Que la empresa se encuentra debidamente constituida, instalada efectivamente e inscrita en el Registro Mercantil, y que desarrollará la total</w:t>
      </w:r>
      <w:r>
        <w:rPr>
          <w:rFonts w:ascii="Arial" w:hAnsi="Arial" w:cs="Arial"/>
          <w:lang w:val="es-CO"/>
        </w:rPr>
        <w:t>idad de su actividad económica únicamente en el Departamento Archipiélago de San Andrés, Providencia y Santa Catalina, por lo cual manifiesta igualmente la intención de acogerse al beneficio otorgado por el artículo 150 de la Ley 1607 de 2012, detallando l</w:t>
      </w:r>
      <w:r>
        <w:rPr>
          <w:rFonts w:ascii="Arial" w:hAnsi="Arial" w:cs="Arial"/>
          <w:lang w:val="es-CO"/>
        </w:rPr>
        <w:t>a actividad económica principal a la que se dedica y la dirección en la cual se encuentre ubicada la planta física o el lugar del desarrollo de la actividad económica y el domicilio principal.</w:t>
      </w:r>
    </w:p>
    <w:p w14:paraId="4466128E" w14:textId="77777777" w:rsidR="00B2442D" w:rsidRDefault="00B2442D">
      <w:pPr>
        <w:ind w:left="567" w:hanging="283"/>
        <w:jc w:val="both"/>
        <w:rPr>
          <w:rFonts w:ascii="Arial" w:hAnsi="Arial" w:cs="Arial"/>
          <w:lang w:val="es-CO"/>
        </w:rPr>
      </w:pPr>
    </w:p>
    <w:p w14:paraId="1AE2A6DB" w14:textId="77777777" w:rsidR="00B2442D" w:rsidRDefault="008A645F">
      <w:pPr>
        <w:ind w:left="567" w:hanging="283"/>
        <w:jc w:val="both"/>
        <w:rPr>
          <w:rFonts w:ascii="Arial" w:hAnsi="Arial" w:cs="Arial"/>
          <w:lang w:val="es-CO"/>
        </w:rPr>
      </w:pPr>
      <w:r>
        <w:rPr>
          <w:rFonts w:ascii="Arial" w:hAnsi="Arial" w:cs="Arial"/>
          <w:lang w:val="es-CO"/>
        </w:rPr>
        <w:t>2. El monto de los activos totales.</w:t>
      </w:r>
    </w:p>
    <w:p w14:paraId="0427EE2A" w14:textId="77777777" w:rsidR="00B2442D" w:rsidRDefault="00B2442D">
      <w:pPr>
        <w:ind w:left="567" w:hanging="283"/>
        <w:jc w:val="both"/>
        <w:rPr>
          <w:rFonts w:ascii="Arial" w:hAnsi="Arial" w:cs="Arial"/>
          <w:lang w:val="es-CO"/>
        </w:rPr>
      </w:pPr>
    </w:p>
    <w:p w14:paraId="0AE86321" w14:textId="77777777" w:rsidR="00B2442D" w:rsidRDefault="008A645F">
      <w:pPr>
        <w:ind w:left="567" w:hanging="283"/>
        <w:jc w:val="both"/>
        <w:rPr>
          <w:rFonts w:ascii="Arial" w:hAnsi="Arial" w:cs="Arial"/>
          <w:lang w:val="es-CO"/>
        </w:rPr>
      </w:pPr>
      <w:r>
        <w:rPr>
          <w:rFonts w:ascii="Arial" w:hAnsi="Arial" w:cs="Arial"/>
          <w:lang w:val="es-CO"/>
        </w:rPr>
        <w:t>3. El número de trabajado</w:t>
      </w:r>
      <w:r>
        <w:rPr>
          <w:rFonts w:ascii="Arial" w:hAnsi="Arial" w:cs="Arial"/>
          <w:lang w:val="es-CO"/>
        </w:rPr>
        <w:t>res con relación laboral al momento del inicio de la actividad económica y tipo de vinculación, manifestando expresamente que los trabajadores vinculados son raizales y residentes del Departamento Archipiélago de San Andrés, Providencia y Santa Catalina qu</w:t>
      </w:r>
      <w:r>
        <w:rPr>
          <w:rFonts w:ascii="Arial" w:hAnsi="Arial" w:cs="Arial"/>
          <w:lang w:val="es-CO"/>
        </w:rPr>
        <w:t>e cuentan con la respectiva tarjeta de residencia expedida por la respectiva autoridad departamental.</w:t>
      </w:r>
    </w:p>
    <w:p w14:paraId="102FA05D" w14:textId="77777777" w:rsidR="00B2442D" w:rsidRDefault="00B2442D">
      <w:pPr>
        <w:ind w:left="567" w:hanging="283"/>
        <w:jc w:val="both"/>
        <w:rPr>
          <w:rFonts w:ascii="Arial" w:hAnsi="Arial" w:cs="Arial"/>
          <w:lang w:val="es-CO"/>
        </w:rPr>
      </w:pPr>
    </w:p>
    <w:p w14:paraId="0E27CC2E" w14:textId="77777777" w:rsidR="00B2442D" w:rsidRDefault="008A645F">
      <w:pPr>
        <w:ind w:left="567" w:hanging="283"/>
        <w:jc w:val="both"/>
        <w:rPr>
          <w:rFonts w:ascii="Arial" w:hAnsi="Arial" w:cs="Arial"/>
          <w:lang w:val="es-CO"/>
        </w:rPr>
      </w:pPr>
      <w:r>
        <w:rPr>
          <w:rFonts w:ascii="Arial" w:hAnsi="Arial" w:cs="Arial"/>
          <w:lang w:val="es-CO"/>
        </w:rPr>
        <w:t>4. La existencia de la instalación física de la empresa, indicando la dirección y el municipio o distrito donde está ubicada.</w:t>
      </w:r>
    </w:p>
    <w:p w14:paraId="27D0C3A0" w14:textId="77777777" w:rsidR="00B2442D" w:rsidRDefault="00B2442D">
      <w:pPr>
        <w:jc w:val="both"/>
        <w:rPr>
          <w:rFonts w:ascii="Arial" w:hAnsi="Arial" w:cs="Arial"/>
          <w:lang w:val="es-CO"/>
        </w:rPr>
      </w:pPr>
    </w:p>
    <w:p w14:paraId="0EED8C79" w14:textId="77777777" w:rsidR="00B2442D" w:rsidRDefault="008A645F">
      <w:pPr>
        <w:jc w:val="both"/>
        <w:rPr>
          <w:rFonts w:ascii="Arial" w:hAnsi="Arial" w:cs="Arial"/>
          <w:lang w:val="es-CO"/>
        </w:rPr>
      </w:pPr>
      <w:r>
        <w:rPr>
          <w:rFonts w:ascii="Arial" w:hAnsi="Arial" w:cs="Arial"/>
          <w:lang w:val="es-CO"/>
        </w:rPr>
        <w:t>c) Copia de la escritura o</w:t>
      </w:r>
      <w:r>
        <w:rPr>
          <w:rFonts w:ascii="Arial" w:hAnsi="Arial" w:cs="Arial"/>
          <w:lang w:val="es-CO"/>
        </w:rPr>
        <w:t xml:space="preserve"> documento que pruebe su constitución o registro de existencia de la empresa.</w:t>
      </w:r>
    </w:p>
    <w:p w14:paraId="4A32AC0A" w14:textId="77777777" w:rsidR="00B2442D" w:rsidRDefault="00B2442D">
      <w:pPr>
        <w:jc w:val="both"/>
        <w:rPr>
          <w:rFonts w:ascii="Arial" w:hAnsi="Arial" w:cs="Arial"/>
          <w:lang w:val="es-CO"/>
        </w:rPr>
      </w:pPr>
    </w:p>
    <w:p w14:paraId="14FECA4F" w14:textId="77777777" w:rsidR="00B2442D" w:rsidRDefault="008A645F">
      <w:pPr>
        <w:ind w:left="284" w:hanging="284"/>
        <w:jc w:val="both"/>
        <w:rPr>
          <w:rFonts w:ascii="Arial" w:hAnsi="Arial" w:cs="Arial"/>
          <w:lang w:val="es-CO"/>
        </w:rPr>
      </w:pPr>
      <w:r>
        <w:rPr>
          <w:rFonts w:ascii="Arial" w:hAnsi="Arial" w:cs="Arial"/>
          <w:lang w:val="es-CO"/>
        </w:rPr>
        <w:t>2. Vincular, en el primer año de inicio de las actividades económicas, mediante contrato laboral un mínimo de veinte (20) empleados que deben ser raizales y residentes del Archi</w:t>
      </w:r>
      <w:r>
        <w:rPr>
          <w:rFonts w:ascii="Arial" w:hAnsi="Arial" w:cs="Arial"/>
          <w:lang w:val="es-CO"/>
        </w:rPr>
        <w:t>piélago. Se considera residente quien cuente con la tarjeta de residencia expedida por la respectiva autoridad departamental. El número inicial de empleados contratados deberá ser incrementado anualmente en un diez por ciento (10%) para igual número de nue</w:t>
      </w:r>
      <w:r>
        <w:rPr>
          <w:rFonts w:ascii="Arial" w:hAnsi="Arial" w:cs="Arial"/>
          <w:lang w:val="es-CO"/>
        </w:rPr>
        <w:t>vos puestos de trabajo, en relación con el número de trabajadores del año inmediatamente anterior.</w:t>
      </w:r>
    </w:p>
    <w:p w14:paraId="0DA407E7" w14:textId="77777777" w:rsidR="00B2442D" w:rsidRDefault="00B2442D">
      <w:pPr>
        <w:jc w:val="both"/>
        <w:rPr>
          <w:rFonts w:ascii="Arial" w:hAnsi="Arial" w:cs="Arial"/>
          <w:lang w:val="es-CO"/>
        </w:rPr>
      </w:pPr>
    </w:p>
    <w:p w14:paraId="68CFDC2B" w14:textId="77777777" w:rsidR="00B2442D" w:rsidRDefault="008A645F">
      <w:pPr>
        <w:jc w:val="both"/>
        <w:rPr>
          <w:rFonts w:ascii="Arial" w:hAnsi="Arial" w:cs="Arial"/>
          <w:lang w:val="es-CO"/>
        </w:rPr>
      </w:pPr>
      <w:r>
        <w:rPr>
          <w:rFonts w:ascii="Arial" w:hAnsi="Arial" w:cs="Arial"/>
          <w:lang w:val="es-CO"/>
        </w:rPr>
        <w:t xml:space="preserve">Tratándose de corretaje en servicios financieros, el número mínimo inicial de empleados raizales y residentes a vincular es de cincuenta (50) y deberá </w:t>
      </w:r>
      <w:r>
        <w:rPr>
          <w:rFonts w:ascii="Arial" w:hAnsi="Arial" w:cs="Arial"/>
          <w:lang w:val="es-CO"/>
        </w:rPr>
        <w:t>ser incrementado anualmente en un diez por ciento (10%) para igual número de nuevos puestos de trabajo, en relación con el número de trabajadores del año inmediatamente anterior.</w:t>
      </w:r>
    </w:p>
    <w:p w14:paraId="093E40C1" w14:textId="77777777" w:rsidR="00B2442D" w:rsidRDefault="00B2442D">
      <w:pPr>
        <w:jc w:val="both"/>
        <w:rPr>
          <w:rFonts w:ascii="Arial" w:hAnsi="Arial" w:cs="Arial"/>
          <w:lang w:val="es-CO"/>
        </w:rPr>
      </w:pPr>
    </w:p>
    <w:p w14:paraId="3446EB81" w14:textId="77777777" w:rsidR="00B2442D" w:rsidRDefault="008A645F">
      <w:pPr>
        <w:jc w:val="both"/>
        <w:rPr>
          <w:rFonts w:ascii="Arial" w:hAnsi="Arial" w:cs="Arial"/>
          <w:lang w:val="es-CO"/>
        </w:rPr>
      </w:pPr>
      <w:r>
        <w:rPr>
          <w:rFonts w:ascii="Arial" w:hAnsi="Arial" w:cs="Arial"/>
          <w:lang w:val="es-CO"/>
        </w:rPr>
        <w:t>Para la procedencia de la exención de que trata el presente artículo los emp</w:t>
      </w:r>
      <w:r>
        <w:rPr>
          <w:rFonts w:ascii="Arial" w:hAnsi="Arial" w:cs="Arial"/>
          <w:lang w:val="es-CO"/>
        </w:rPr>
        <w:t>leadores deberán cumplir con todas las obligaciones relacionadas con la seguridad social de sus trabajadores, y comprobarlo ante la Administración Tributaria cuando así lo exija.</w:t>
      </w:r>
    </w:p>
    <w:p w14:paraId="1FC580F7" w14:textId="77777777" w:rsidR="00B2442D" w:rsidRDefault="00B2442D">
      <w:pPr>
        <w:jc w:val="both"/>
        <w:rPr>
          <w:rFonts w:ascii="Arial" w:hAnsi="Arial" w:cs="Arial"/>
          <w:lang w:val="es-CO"/>
        </w:rPr>
      </w:pPr>
    </w:p>
    <w:p w14:paraId="76F15A0B" w14:textId="77777777" w:rsidR="00B2442D" w:rsidRDefault="008A645F">
      <w:pPr>
        <w:jc w:val="both"/>
        <w:rPr>
          <w:rFonts w:ascii="Arial" w:hAnsi="Arial" w:cs="Arial"/>
          <w:lang w:val="es-CO"/>
        </w:rPr>
      </w:pPr>
      <w:r>
        <w:rPr>
          <w:rFonts w:ascii="Arial" w:hAnsi="Arial" w:cs="Arial"/>
          <w:lang w:val="es-CO"/>
        </w:rPr>
        <w:t>El cumplimiento de los requisitos a que se refiere este numeral 2, deberá se</w:t>
      </w:r>
      <w:r>
        <w:rPr>
          <w:rFonts w:ascii="Arial" w:hAnsi="Arial" w:cs="Arial"/>
          <w:lang w:val="es-CO"/>
        </w:rPr>
        <w:t>r certificado bajo la gravedad del juramento por el contribuyente o representante legal de la empresa, sin perjuicio de las comprobaciones sobre la veracidad de lo certificado.</w:t>
      </w:r>
    </w:p>
    <w:p w14:paraId="241861CB" w14:textId="77777777" w:rsidR="00B2442D" w:rsidRDefault="00B2442D">
      <w:pPr>
        <w:jc w:val="both"/>
        <w:rPr>
          <w:rFonts w:ascii="Arial" w:hAnsi="Arial" w:cs="Arial"/>
          <w:lang w:val="es-CO"/>
        </w:rPr>
      </w:pPr>
    </w:p>
    <w:p w14:paraId="566C5DB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Estos requisitos se verificarán por la respectiva Dirección Secc</w:t>
      </w:r>
      <w:r>
        <w:rPr>
          <w:rFonts w:ascii="Arial" w:hAnsi="Arial" w:cs="Arial"/>
          <w:lang w:val="es-CO"/>
        </w:rPr>
        <w:t>ional de Impuestos y Aduanas, quien ejercerá estricta vigilancia y control de acuerdo con sus amplias facultades de fiscalización e investigación consagradas en el artículo 684 del Estatuto Tributario.</w:t>
      </w:r>
    </w:p>
    <w:p w14:paraId="165445CC" w14:textId="77777777" w:rsidR="00B2442D" w:rsidRDefault="00B2442D">
      <w:pPr>
        <w:jc w:val="both"/>
        <w:rPr>
          <w:rFonts w:ascii="Arial" w:hAnsi="Arial" w:cs="Arial"/>
          <w:lang w:val="es-CO"/>
        </w:rPr>
      </w:pPr>
    </w:p>
    <w:p w14:paraId="3A06507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En todo caso, la exención también será </w:t>
      </w:r>
      <w:r>
        <w:rPr>
          <w:rFonts w:ascii="Arial" w:hAnsi="Arial" w:cs="Arial"/>
          <w:lang w:val="es-CO"/>
        </w:rPr>
        <w:t>procedente si el número mínimo inicial de empleados raizales es al menos de diez (10).</w:t>
      </w:r>
    </w:p>
    <w:p w14:paraId="1F48D4C5" w14:textId="77777777" w:rsidR="00B2442D" w:rsidRDefault="00B2442D">
      <w:pPr>
        <w:jc w:val="both"/>
        <w:rPr>
          <w:rFonts w:ascii="Arial" w:hAnsi="Arial" w:cs="Arial"/>
          <w:lang w:val="es-CO"/>
        </w:rPr>
      </w:pPr>
    </w:p>
    <w:p w14:paraId="48175B9D" w14:textId="77777777" w:rsidR="00B2442D" w:rsidRDefault="008A645F">
      <w:pPr>
        <w:jc w:val="both"/>
        <w:rPr>
          <w:rFonts w:ascii="Arial" w:hAnsi="Arial" w:cs="Arial"/>
          <w:i/>
          <w:lang w:val="es-CO"/>
        </w:rPr>
      </w:pPr>
      <w:r>
        <w:rPr>
          <w:rFonts w:ascii="Arial" w:hAnsi="Arial" w:cs="Arial"/>
          <w:i/>
          <w:lang w:val="es-CO"/>
        </w:rPr>
        <w:t>(Art. 6, Decreto 2763 de 2012. Parágrafo transitorio tiene pérdida de vigencia por cumplimiento del plazo. Numeral 4 del literal b) del numeral 1 eliminado en virtud de</w:t>
      </w:r>
      <w:r>
        <w:rPr>
          <w:rFonts w:ascii="Arial" w:hAnsi="Arial" w:cs="Arial"/>
          <w:i/>
          <w:lang w:val="es-CO"/>
        </w:rPr>
        <w:t xml:space="preserve"> la modificación del numeral 7 del art. 28 del Código de Comercio por el art. 175 Decreto Ley 19 de 2012)</w:t>
      </w:r>
    </w:p>
    <w:p w14:paraId="43226BE7" w14:textId="77777777" w:rsidR="00B2442D" w:rsidRDefault="00B2442D">
      <w:pPr>
        <w:jc w:val="both"/>
        <w:rPr>
          <w:rFonts w:ascii="Arial" w:hAnsi="Arial" w:cs="Arial"/>
          <w:b/>
          <w:i/>
          <w:lang w:val="es-CO"/>
        </w:rPr>
      </w:pPr>
    </w:p>
    <w:p w14:paraId="1A925CE7"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Requisitos para cada año gravable en que se solicite el beneficio de exención del impuesto sobre la renta y complementario.</w:t>
      </w:r>
      <w:r>
        <w:rPr>
          <w:rFonts w:ascii="Arial" w:hAnsi="Arial" w:cs="Arial"/>
          <w:lang w:val="es-CO"/>
        </w:rPr>
        <w:t xml:space="preserve"> Para que proceda el benef</w:t>
      </w:r>
      <w:r>
        <w:rPr>
          <w:rFonts w:ascii="Arial" w:hAnsi="Arial" w:cs="Arial"/>
          <w:lang w:val="es-CO"/>
        </w:rPr>
        <w:t>icio de exención del impuesto sobre la renta y complementario a que se refiere el artículo 150 de la Ley 1607 de 2012, las empresas deberán cumplir, por cada año gravable en que se solicite el beneficio, con los siguientes requisitos:</w:t>
      </w:r>
    </w:p>
    <w:p w14:paraId="7C02D78A" w14:textId="77777777" w:rsidR="00B2442D" w:rsidRDefault="00B2442D">
      <w:pPr>
        <w:jc w:val="both"/>
        <w:rPr>
          <w:rFonts w:ascii="Arial" w:hAnsi="Arial" w:cs="Arial"/>
          <w:lang w:val="es-CO"/>
        </w:rPr>
      </w:pPr>
    </w:p>
    <w:p w14:paraId="1413D03B" w14:textId="77777777" w:rsidR="00B2442D" w:rsidRDefault="008A645F">
      <w:pPr>
        <w:ind w:left="284" w:hanging="284"/>
        <w:jc w:val="both"/>
        <w:rPr>
          <w:rFonts w:ascii="Arial" w:hAnsi="Arial" w:cs="Arial"/>
          <w:lang w:val="es-CO"/>
        </w:rPr>
      </w:pPr>
      <w:r>
        <w:rPr>
          <w:rFonts w:ascii="Arial" w:hAnsi="Arial" w:cs="Arial"/>
          <w:lang w:val="es-CO"/>
        </w:rPr>
        <w:t>1. Presentar persona</w:t>
      </w:r>
      <w:r>
        <w:rPr>
          <w:rFonts w:ascii="Arial" w:hAnsi="Arial" w:cs="Arial"/>
          <w:lang w:val="es-CO"/>
        </w:rPr>
        <w:t>lmente antes del 30 de marzo siguiente al año gravable por el cual se pretende la exención, un memorial del contribuyente o representante legal de la empresa cuando se trate de persona jurídica, que se entenderá expedido bajo la gravedad del juramento, ant</w:t>
      </w:r>
      <w:r>
        <w:rPr>
          <w:rFonts w:ascii="Arial" w:hAnsi="Arial" w:cs="Arial"/>
          <w:lang w:val="es-CO"/>
        </w:rPr>
        <w:t>e la División de Gestión de Fiscalización o a la dependencia que haga sus veces, de la Dirección Seccional de Impuestos y Aduanas de San Andrés, en el cual manifieste expresamente:</w:t>
      </w:r>
    </w:p>
    <w:p w14:paraId="57282E17" w14:textId="77777777" w:rsidR="00B2442D" w:rsidRDefault="00B2442D">
      <w:pPr>
        <w:jc w:val="both"/>
        <w:rPr>
          <w:rFonts w:ascii="Arial" w:hAnsi="Arial" w:cs="Arial"/>
          <w:lang w:val="es-CO"/>
        </w:rPr>
      </w:pPr>
    </w:p>
    <w:p w14:paraId="3B7D0D36" w14:textId="77777777" w:rsidR="00B2442D" w:rsidRDefault="008A645F">
      <w:pPr>
        <w:ind w:left="567" w:hanging="283"/>
        <w:jc w:val="both"/>
        <w:rPr>
          <w:rFonts w:ascii="Arial" w:hAnsi="Arial" w:cs="Arial"/>
          <w:lang w:val="es-CO"/>
        </w:rPr>
      </w:pPr>
      <w:r>
        <w:rPr>
          <w:rFonts w:ascii="Arial" w:hAnsi="Arial" w:cs="Arial"/>
          <w:lang w:val="es-CO"/>
        </w:rPr>
        <w:t xml:space="preserve">a) La intención de acogerse por ese año gravable al beneficio de exención </w:t>
      </w:r>
      <w:r>
        <w:rPr>
          <w:rFonts w:ascii="Arial" w:hAnsi="Arial" w:cs="Arial"/>
          <w:lang w:val="es-CO"/>
        </w:rPr>
        <w:t>del impuesto de renta y complementarios otorgado por el artículo 150 de la Ley 1607 de 2012, indicando la calidad de beneficiario en su condición de nueva empresa, persona jurídica o persona natural, según corresponda;</w:t>
      </w:r>
    </w:p>
    <w:p w14:paraId="477096D3" w14:textId="77777777" w:rsidR="00B2442D" w:rsidRDefault="00B2442D">
      <w:pPr>
        <w:ind w:left="567" w:hanging="283"/>
        <w:jc w:val="both"/>
        <w:rPr>
          <w:rFonts w:ascii="Arial" w:hAnsi="Arial" w:cs="Arial"/>
          <w:lang w:val="es-CO"/>
        </w:rPr>
      </w:pPr>
    </w:p>
    <w:p w14:paraId="4556FE0F" w14:textId="77777777" w:rsidR="00B2442D" w:rsidRDefault="008A645F">
      <w:pPr>
        <w:ind w:left="567" w:hanging="283"/>
        <w:jc w:val="both"/>
        <w:rPr>
          <w:rFonts w:ascii="Arial" w:hAnsi="Arial" w:cs="Arial"/>
          <w:lang w:val="es-CO"/>
        </w:rPr>
      </w:pPr>
      <w:r>
        <w:rPr>
          <w:rFonts w:ascii="Arial" w:hAnsi="Arial" w:cs="Arial"/>
          <w:lang w:val="es-CO"/>
        </w:rPr>
        <w:t xml:space="preserve">b) La actividad económica a la cual </w:t>
      </w:r>
      <w:r>
        <w:rPr>
          <w:rFonts w:ascii="Arial" w:hAnsi="Arial" w:cs="Arial"/>
          <w:lang w:val="es-CO"/>
        </w:rPr>
        <w:t>se dedica;</w:t>
      </w:r>
    </w:p>
    <w:p w14:paraId="355D6462" w14:textId="77777777" w:rsidR="00B2442D" w:rsidRDefault="00B2442D">
      <w:pPr>
        <w:ind w:left="567" w:hanging="283"/>
        <w:jc w:val="both"/>
        <w:rPr>
          <w:rFonts w:ascii="Arial" w:hAnsi="Arial" w:cs="Arial"/>
          <w:lang w:val="es-CO"/>
        </w:rPr>
      </w:pPr>
    </w:p>
    <w:p w14:paraId="5AE0E2C2" w14:textId="77777777" w:rsidR="00B2442D" w:rsidRDefault="008A645F">
      <w:pPr>
        <w:ind w:left="567" w:hanging="283"/>
        <w:jc w:val="both"/>
        <w:rPr>
          <w:rFonts w:ascii="Arial" w:hAnsi="Arial" w:cs="Arial"/>
          <w:lang w:val="es-CO"/>
        </w:rPr>
      </w:pPr>
      <w:r>
        <w:rPr>
          <w:rFonts w:ascii="Arial" w:hAnsi="Arial" w:cs="Arial"/>
          <w:lang w:val="es-CO"/>
        </w:rPr>
        <w:t>c) El monto de los activos totales a 31 de diciembre de cada año gravable;</w:t>
      </w:r>
    </w:p>
    <w:p w14:paraId="0068208B" w14:textId="77777777" w:rsidR="00B2442D" w:rsidRDefault="00B2442D">
      <w:pPr>
        <w:ind w:left="567" w:hanging="283"/>
        <w:jc w:val="both"/>
        <w:rPr>
          <w:rFonts w:ascii="Arial" w:hAnsi="Arial" w:cs="Arial"/>
          <w:lang w:val="es-CO"/>
        </w:rPr>
      </w:pPr>
    </w:p>
    <w:p w14:paraId="35B535D6" w14:textId="77777777" w:rsidR="00B2442D" w:rsidRDefault="008A645F">
      <w:pPr>
        <w:ind w:left="567" w:hanging="283"/>
        <w:jc w:val="both"/>
        <w:rPr>
          <w:rFonts w:ascii="Arial" w:hAnsi="Arial" w:cs="Arial"/>
          <w:lang w:val="es-CO"/>
        </w:rPr>
      </w:pPr>
      <w:r>
        <w:rPr>
          <w:rFonts w:ascii="Arial" w:hAnsi="Arial" w:cs="Arial"/>
          <w:lang w:val="es-CO"/>
        </w:rPr>
        <w:t>d) La dirección del lugar de ubicación de la planta física o inmueble donde desarrolla la actividad económica, y</w:t>
      </w:r>
    </w:p>
    <w:p w14:paraId="03DF1536" w14:textId="77777777" w:rsidR="00B2442D" w:rsidRDefault="00B2442D">
      <w:pPr>
        <w:ind w:left="567" w:hanging="283"/>
        <w:jc w:val="both"/>
        <w:rPr>
          <w:rFonts w:ascii="Arial" w:hAnsi="Arial" w:cs="Arial"/>
          <w:lang w:val="es-CO"/>
        </w:rPr>
      </w:pPr>
    </w:p>
    <w:p w14:paraId="203D588A" w14:textId="77777777" w:rsidR="00B2442D" w:rsidRDefault="008A645F">
      <w:pPr>
        <w:ind w:left="567" w:hanging="283"/>
        <w:jc w:val="both"/>
        <w:rPr>
          <w:rFonts w:ascii="Arial" w:hAnsi="Arial" w:cs="Arial"/>
          <w:lang w:val="es-CO"/>
        </w:rPr>
      </w:pPr>
      <w:r>
        <w:rPr>
          <w:rFonts w:ascii="Arial" w:hAnsi="Arial" w:cs="Arial"/>
          <w:lang w:val="es-CO"/>
        </w:rPr>
        <w:t xml:space="preserve">e) El número de trabajadores raizales y </w:t>
      </w:r>
      <w:r>
        <w:rPr>
          <w:rFonts w:ascii="Arial" w:hAnsi="Arial" w:cs="Arial"/>
          <w:lang w:val="es-CO"/>
        </w:rPr>
        <w:t>residentes con contrato de trabajo a 31 de diciembre de cada año gravable.</w:t>
      </w:r>
    </w:p>
    <w:p w14:paraId="6C7A6824" w14:textId="77777777" w:rsidR="00B2442D" w:rsidRDefault="00B2442D">
      <w:pPr>
        <w:jc w:val="both"/>
        <w:rPr>
          <w:rFonts w:ascii="Arial" w:hAnsi="Arial" w:cs="Arial"/>
          <w:lang w:val="es-CO"/>
        </w:rPr>
      </w:pPr>
    </w:p>
    <w:p w14:paraId="2EFA2E42" w14:textId="77777777" w:rsidR="00B2442D" w:rsidRDefault="008A645F">
      <w:pPr>
        <w:ind w:left="284" w:hanging="284"/>
        <w:jc w:val="both"/>
        <w:rPr>
          <w:rFonts w:ascii="Arial" w:hAnsi="Arial" w:cs="Arial"/>
          <w:lang w:val="es-CO"/>
        </w:rPr>
      </w:pPr>
      <w:r>
        <w:rPr>
          <w:rFonts w:ascii="Arial" w:hAnsi="Arial" w:cs="Arial"/>
          <w:lang w:val="es-CO"/>
        </w:rPr>
        <w:t>2. Cuando se trate de empresa desarrollada por persona jurídica, anexar una copia del certificado actualizado de existencia y representación legal y de la renovación de la matrícul</w:t>
      </w:r>
      <w:r>
        <w:rPr>
          <w:rFonts w:ascii="Arial" w:hAnsi="Arial" w:cs="Arial"/>
          <w:lang w:val="es-CO"/>
        </w:rPr>
        <w:t>a en el Registro Mercantil expedido por la Cámara de Comercio.</w:t>
      </w:r>
    </w:p>
    <w:p w14:paraId="4ECD5325" w14:textId="77777777" w:rsidR="00B2442D" w:rsidRDefault="00B2442D">
      <w:pPr>
        <w:ind w:left="284" w:hanging="284"/>
        <w:jc w:val="both"/>
        <w:rPr>
          <w:rFonts w:ascii="Arial" w:hAnsi="Arial" w:cs="Arial"/>
          <w:lang w:val="es-CO"/>
        </w:rPr>
      </w:pPr>
    </w:p>
    <w:p w14:paraId="35FBA2FC" w14:textId="77777777" w:rsidR="00B2442D" w:rsidRDefault="008A645F">
      <w:pPr>
        <w:ind w:left="284" w:hanging="284"/>
        <w:jc w:val="both"/>
        <w:rPr>
          <w:rFonts w:ascii="Arial" w:hAnsi="Arial" w:cs="Arial"/>
          <w:lang w:val="es-CO"/>
        </w:rPr>
      </w:pPr>
      <w:r>
        <w:rPr>
          <w:rFonts w:ascii="Arial" w:hAnsi="Arial" w:cs="Arial"/>
          <w:lang w:val="es-CO"/>
        </w:rPr>
        <w:t>3. Cuando se trate de empresa desarrollada por persona natural, anexar una copia del certificado actualizado en el que conste la renovación de la matrícula en el registro mercantil expedido po</w:t>
      </w:r>
      <w:r>
        <w:rPr>
          <w:rFonts w:ascii="Arial" w:hAnsi="Arial" w:cs="Arial"/>
          <w:lang w:val="es-CO"/>
        </w:rPr>
        <w:t>r la Cámara de Comercio y sobre el registro del establecimiento de comercio, cuando a ello haya lugar.</w:t>
      </w:r>
    </w:p>
    <w:p w14:paraId="11A870A5" w14:textId="77777777" w:rsidR="00B2442D" w:rsidRDefault="00B2442D">
      <w:pPr>
        <w:ind w:left="284" w:hanging="284"/>
        <w:jc w:val="both"/>
        <w:rPr>
          <w:rFonts w:ascii="Arial" w:hAnsi="Arial" w:cs="Arial"/>
          <w:lang w:val="es-CO"/>
        </w:rPr>
      </w:pPr>
    </w:p>
    <w:p w14:paraId="05F62E48" w14:textId="77777777" w:rsidR="00B2442D" w:rsidRDefault="008A645F">
      <w:pPr>
        <w:ind w:left="284" w:hanging="284"/>
        <w:jc w:val="both"/>
        <w:rPr>
          <w:rFonts w:ascii="Arial" w:hAnsi="Arial" w:cs="Arial"/>
          <w:lang w:val="es-CO"/>
        </w:rPr>
      </w:pPr>
      <w:r>
        <w:rPr>
          <w:rFonts w:ascii="Arial" w:hAnsi="Arial" w:cs="Arial"/>
          <w:lang w:val="es-CO"/>
        </w:rPr>
        <w:t>4. Cuando se realicen reformas estatutarias, deberá informarse a la Dirección Seccional de Impuestos y Aduanas correspondiente, dentro del mes inmediata</w:t>
      </w:r>
      <w:r>
        <w:rPr>
          <w:rFonts w:ascii="Arial" w:hAnsi="Arial" w:cs="Arial"/>
          <w:lang w:val="es-CO"/>
        </w:rPr>
        <w:t>mente siguiente a la reforma estatutaria.</w:t>
      </w:r>
    </w:p>
    <w:p w14:paraId="505A2672" w14:textId="77777777" w:rsidR="00B2442D" w:rsidRDefault="00B2442D">
      <w:pPr>
        <w:jc w:val="both"/>
        <w:rPr>
          <w:rFonts w:ascii="Arial" w:hAnsi="Arial" w:cs="Arial"/>
          <w:lang w:val="es-CO"/>
        </w:rPr>
      </w:pPr>
    </w:p>
    <w:p w14:paraId="2D81B64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A partir del año gravable en que no se presenten o no se cumplan oportunamente los requisitos exigidos, no procederá el beneficio de exención del impuesto sobre la renta y complementario, caso en el cua</w:t>
      </w:r>
      <w:r>
        <w:rPr>
          <w:rFonts w:ascii="Arial" w:hAnsi="Arial" w:cs="Arial"/>
          <w:lang w:val="es-CO"/>
        </w:rPr>
        <w:t>l, la Dirección Seccional de Impuestos y Aduanas de San Andrés por intermedio del área de fiscalización, una vez establezca la omisión o incumplimiento, deberá verificar y revisar la situación integral de la empresa que pretendía el beneficio.</w:t>
      </w:r>
    </w:p>
    <w:p w14:paraId="643AE44F" w14:textId="77777777" w:rsidR="00B2442D" w:rsidRDefault="00B2442D">
      <w:pPr>
        <w:jc w:val="both"/>
        <w:rPr>
          <w:rFonts w:ascii="Arial" w:hAnsi="Arial" w:cs="Arial"/>
          <w:lang w:val="es-CO"/>
        </w:rPr>
      </w:pPr>
    </w:p>
    <w:p w14:paraId="4255AA14" w14:textId="77777777" w:rsidR="00B2442D" w:rsidRDefault="008A645F">
      <w:pPr>
        <w:jc w:val="both"/>
        <w:rPr>
          <w:rFonts w:ascii="Arial" w:hAnsi="Arial" w:cs="Arial"/>
          <w:i/>
          <w:lang w:val="es-CO"/>
        </w:rPr>
      </w:pPr>
      <w:r>
        <w:rPr>
          <w:rFonts w:ascii="Arial" w:hAnsi="Arial" w:cs="Arial"/>
          <w:i/>
          <w:lang w:val="es-CO"/>
        </w:rPr>
        <w:t>(Art. 7, De</w:t>
      </w:r>
      <w:r>
        <w:rPr>
          <w:rFonts w:ascii="Arial" w:hAnsi="Arial" w:cs="Arial"/>
          <w:i/>
          <w:lang w:val="es-CO"/>
        </w:rPr>
        <w:t>creto 2763 de 2012)</w:t>
      </w:r>
    </w:p>
    <w:p w14:paraId="6B6A9303" w14:textId="77777777" w:rsidR="00B2442D" w:rsidRDefault="00B2442D">
      <w:pPr>
        <w:jc w:val="both"/>
        <w:rPr>
          <w:rFonts w:ascii="Arial" w:hAnsi="Arial" w:cs="Arial"/>
          <w:lang w:val="es-CO"/>
        </w:rPr>
      </w:pPr>
    </w:p>
    <w:p w14:paraId="7296BA72"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Empadronamiento de beneficiarios.</w:t>
      </w:r>
      <w:r>
        <w:rPr>
          <w:rFonts w:ascii="Arial" w:hAnsi="Arial" w:cs="Arial"/>
          <w:lang w:val="es-CO"/>
        </w:rPr>
        <w:t xml:space="preserve"> La División de Gestión de Fiscalización, o quien haga sus veces, de la Dirección Seccional de Impuestos y Aduanas de San Andrés, elaborará un registro de beneficiarios de la exención a que se refiere el artículo 150 de la Ley 1607 de 2012 en forma separad</w:t>
      </w:r>
      <w:r>
        <w:rPr>
          <w:rFonts w:ascii="Arial" w:hAnsi="Arial" w:cs="Arial"/>
          <w:lang w:val="es-CO"/>
        </w:rPr>
        <w:t xml:space="preserve">a, de las nuevas empresas de personas jurídicas y los socios o accionistas de las anteriores, y de las empresas de personas naturales, en el cual, como mínimo, se incorporará la siguiente información: </w:t>
      </w:r>
    </w:p>
    <w:p w14:paraId="1B7B9809" w14:textId="77777777" w:rsidR="00B2442D" w:rsidRDefault="00B2442D">
      <w:pPr>
        <w:jc w:val="both"/>
        <w:rPr>
          <w:rFonts w:ascii="Arial" w:hAnsi="Arial" w:cs="Arial"/>
          <w:lang w:val="es-CO"/>
        </w:rPr>
      </w:pPr>
    </w:p>
    <w:p w14:paraId="6F84450B" w14:textId="77777777" w:rsidR="00B2442D" w:rsidRDefault="008A645F">
      <w:pPr>
        <w:ind w:left="284" w:hanging="284"/>
        <w:jc w:val="both"/>
        <w:rPr>
          <w:rFonts w:ascii="Arial" w:hAnsi="Arial" w:cs="Arial"/>
          <w:lang w:val="es-CO"/>
        </w:rPr>
      </w:pPr>
      <w:r>
        <w:rPr>
          <w:rFonts w:ascii="Arial" w:hAnsi="Arial" w:cs="Arial"/>
          <w:lang w:val="es-CO"/>
        </w:rPr>
        <w:t>a) Nombre o razón Social y NIT del contribuyente;</w:t>
      </w:r>
    </w:p>
    <w:p w14:paraId="4059A48B" w14:textId="77777777" w:rsidR="00B2442D" w:rsidRDefault="00B2442D">
      <w:pPr>
        <w:ind w:left="284" w:hanging="284"/>
        <w:jc w:val="both"/>
        <w:rPr>
          <w:rFonts w:ascii="Arial" w:hAnsi="Arial" w:cs="Arial"/>
          <w:lang w:val="es-CO"/>
        </w:rPr>
      </w:pPr>
    </w:p>
    <w:p w14:paraId="4A0A318D"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 xml:space="preserve"> Descripción del objeto social;</w:t>
      </w:r>
    </w:p>
    <w:p w14:paraId="041BCBE3" w14:textId="77777777" w:rsidR="00B2442D" w:rsidRDefault="00B2442D">
      <w:pPr>
        <w:ind w:left="284" w:hanging="284"/>
        <w:jc w:val="both"/>
        <w:rPr>
          <w:rFonts w:ascii="Arial" w:hAnsi="Arial" w:cs="Arial"/>
          <w:lang w:val="es-CO"/>
        </w:rPr>
      </w:pPr>
    </w:p>
    <w:p w14:paraId="396978E4" w14:textId="77777777" w:rsidR="00B2442D" w:rsidRDefault="008A645F">
      <w:pPr>
        <w:ind w:left="284" w:hanging="284"/>
        <w:jc w:val="both"/>
        <w:rPr>
          <w:rFonts w:ascii="Arial" w:hAnsi="Arial" w:cs="Arial"/>
          <w:lang w:val="es-CO"/>
        </w:rPr>
      </w:pPr>
      <w:r>
        <w:rPr>
          <w:rFonts w:ascii="Arial" w:hAnsi="Arial" w:cs="Arial"/>
          <w:lang w:val="es-CO"/>
        </w:rPr>
        <w:t>c) Capital autorizado, suscrito y pagado, o monto de los activos destinados al desarrollo de la actividad económica en el caso de empresas nuevas de personas naturales, al inicio de la actividad económica;</w:t>
      </w:r>
    </w:p>
    <w:p w14:paraId="1E4F89DD" w14:textId="77777777" w:rsidR="00B2442D" w:rsidRDefault="00B2442D">
      <w:pPr>
        <w:ind w:left="284" w:hanging="284"/>
        <w:jc w:val="both"/>
        <w:rPr>
          <w:rFonts w:ascii="Arial" w:hAnsi="Arial" w:cs="Arial"/>
          <w:lang w:val="es-CO"/>
        </w:rPr>
      </w:pPr>
    </w:p>
    <w:p w14:paraId="6C689E40" w14:textId="77777777" w:rsidR="00B2442D" w:rsidRDefault="008A645F">
      <w:pPr>
        <w:ind w:left="284" w:hanging="284"/>
        <w:jc w:val="both"/>
        <w:rPr>
          <w:rFonts w:ascii="Arial" w:hAnsi="Arial" w:cs="Arial"/>
          <w:lang w:val="es-CO"/>
        </w:rPr>
      </w:pPr>
      <w:r>
        <w:rPr>
          <w:rFonts w:ascii="Arial" w:hAnsi="Arial" w:cs="Arial"/>
          <w:lang w:val="es-CO"/>
        </w:rPr>
        <w:t>d) Relación de a</w:t>
      </w:r>
      <w:r>
        <w:rPr>
          <w:rFonts w:ascii="Arial" w:hAnsi="Arial" w:cs="Arial"/>
          <w:lang w:val="es-CO"/>
        </w:rPr>
        <w:t>ccionistas o socios, con indicación del nombre o razón social, NIT, cantidad de acciones o cuotas de interés social y valor aportado por cada uno de ellos, cuando se trate de personas jurídicas;</w:t>
      </w:r>
    </w:p>
    <w:p w14:paraId="048BFB95" w14:textId="77777777" w:rsidR="00B2442D" w:rsidRDefault="00B2442D">
      <w:pPr>
        <w:ind w:left="284" w:hanging="284"/>
        <w:jc w:val="both"/>
        <w:rPr>
          <w:rFonts w:ascii="Arial" w:hAnsi="Arial" w:cs="Arial"/>
          <w:lang w:val="es-CO"/>
        </w:rPr>
      </w:pPr>
    </w:p>
    <w:p w14:paraId="093F4033" w14:textId="77777777" w:rsidR="00B2442D" w:rsidRDefault="008A645F">
      <w:pPr>
        <w:ind w:left="284" w:hanging="284"/>
        <w:jc w:val="both"/>
        <w:rPr>
          <w:rFonts w:ascii="Arial" w:hAnsi="Arial" w:cs="Arial"/>
          <w:lang w:val="es-CO"/>
        </w:rPr>
      </w:pPr>
      <w:r>
        <w:rPr>
          <w:rFonts w:ascii="Arial" w:hAnsi="Arial" w:cs="Arial"/>
          <w:lang w:val="es-CO"/>
        </w:rPr>
        <w:t>e) Fecha de inscripción de la Matrícula en el Registro Merca</w:t>
      </w:r>
      <w:r>
        <w:rPr>
          <w:rFonts w:ascii="Arial" w:hAnsi="Arial" w:cs="Arial"/>
          <w:lang w:val="es-CO"/>
        </w:rPr>
        <w:t>ntil;</w:t>
      </w:r>
    </w:p>
    <w:p w14:paraId="5A8E996D" w14:textId="77777777" w:rsidR="00B2442D" w:rsidRDefault="00B2442D">
      <w:pPr>
        <w:ind w:left="284" w:hanging="284"/>
        <w:jc w:val="both"/>
        <w:rPr>
          <w:rFonts w:ascii="Arial" w:hAnsi="Arial" w:cs="Arial"/>
          <w:lang w:val="es-CO"/>
        </w:rPr>
      </w:pPr>
    </w:p>
    <w:p w14:paraId="2BA0CD94" w14:textId="77777777" w:rsidR="00B2442D" w:rsidRDefault="008A645F">
      <w:pPr>
        <w:ind w:left="284" w:hanging="284"/>
        <w:jc w:val="both"/>
        <w:rPr>
          <w:rFonts w:ascii="Arial" w:hAnsi="Arial" w:cs="Arial"/>
          <w:lang w:val="es-CO"/>
        </w:rPr>
      </w:pPr>
      <w:r>
        <w:rPr>
          <w:rFonts w:ascii="Arial" w:hAnsi="Arial" w:cs="Arial"/>
          <w:lang w:val="es-CO"/>
        </w:rPr>
        <w:t>f) Fecha de Inscripción en el RUT;</w:t>
      </w:r>
    </w:p>
    <w:p w14:paraId="52FB7E95" w14:textId="77777777" w:rsidR="00B2442D" w:rsidRDefault="00B2442D">
      <w:pPr>
        <w:ind w:left="284" w:hanging="284"/>
        <w:jc w:val="both"/>
        <w:rPr>
          <w:rFonts w:ascii="Arial" w:hAnsi="Arial" w:cs="Arial"/>
          <w:lang w:val="es-CO"/>
        </w:rPr>
      </w:pPr>
    </w:p>
    <w:p w14:paraId="1533EF7A" w14:textId="77777777" w:rsidR="00B2442D" w:rsidRDefault="008A645F">
      <w:pPr>
        <w:ind w:left="284" w:hanging="284"/>
        <w:jc w:val="both"/>
        <w:rPr>
          <w:rFonts w:ascii="Arial" w:hAnsi="Arial" w:cs="Arial"/>
          <w:lang w:val="es-CO"/>
        </w:rPr>
      </w:pPr>
      <w:r>
        <w:rPr>
          <w:rFonts w:ascii="Arial" w:hAnsi="Arial" w:cs="Arial"/>
          <w:lang w:val="es-CO"/>
        </w:rPr>
        <w:t>g) Número de trabajadores al inicio o al reinicio de la actividad económica;</w:t>
      </w:r>
    </w:p>
    <w:p w14:paraId="0476CA87" w14:textId="77777777" w:rsidR="00B2442D" w:rsidRDefault="00B2442D">
      <w:pPr>
        <w:ind w:left="284" w:hanging="284"/>
        <w:jc w:val="both"/>
        <w:rPr>
          <w:rFonts w:ascii="Arial" w:hAnsi="Arial" w:cs="Arial"/>
          <w:lang w:val="es-CO"/>
        </w:rPr>
      </w:pPr>
    </w:p>
    <w:p w14:paraId="5C446127" w14:textId="77777777" w:rsidR="00B2442D" w:rsidRDefault="008A645F">
      <w:pPr>
        <w:ind w:left="284" w:hanging="284"/>
        <w:jc w:val="both"/>
        <w:rPr>
          <w:rFonts w:ascii="Arial" w:hAnsi="Arial" w:cs="Arial"/>
          <w:lang w:val="es-CO"/>
        </w:rPr>
      </w:pPr>
      <w:r>
        <w:rPr>
          <w:rFonts w:ascii="Arial" w:hAnsi="Arial" w:cs="Arial"/>
          <w:lang w:val="es-CO"/>
        </w:rPr>
        <w:t>h) Monto de los activos totales al inicio de la actividad económica.</w:t>
      </w:r>
    </w:p>
    <w:p w14:paraId="464FF347" w14:textId="77777777" w:rsidR="00B2442D" w:rsidRDefault="00B2442D">
      <w:pPr>
        <w:jc w:val="both"/>
        <w:rPr>
          <w:rFonts w:ascii="Arial" w:hAnsi="Arial" w:cs="Arial"/>
          <w:lang w:val="es-CO"/>
        </w:rPr>
      </w:pPr>
    </w:p>
    <w:p w14:paraId="0434CA08" w14:textId="77777777" w:rsidR="00B2442D" w:rsidRDefault="008A645F">
      <w:pPr>
        <w:jc w:val="both"/>
        <w:rPr>
          <w:rFonts w:ascii="Arial" w:hAnsi="Arial" w:cs="Arial"/>
          <w:lang w:val="es-CO"/>
        </w:rPr>
      </w:pPr>
      <w:r>
        <w:rPr>
          <w:rFonts w:ascii="Arial" w:hAnsi="Arial" w:cs="Arial"/>
          <w:lang w:val="es-CO"/>
        </w:rPr>
        <w:t xml:space="preserve">El registro deberá actualizarse anualmente con la </w:t>
      </w:r>
      <w:r>
        <w:rPr>
          <w:rFonts w:ascii="Arial" w:hAnsi="Arial" w:cs="Arial"/>
          <w:lang w:val="es-CO"/>
        </w:rPr>
        <w:t>información que de acuerdo con el artículo 1.2.1.22.34 del presente decreto está obligado a entregar el contribuyente por cada año gravable en el que se solicite el beneficio.</w:t>
      </w:r>
    </w:p>
    <w:p w14:paraId="78374335" w14:textId="77777777" w:rsidR="00B2442D" w:rsidRDefault="00B2442D">
      <w:pPr>
        <w:jc w:val="both"/>
        <w:rPr>
          <w:rFonts w:ascii="Arial" w:hAnsi="Arial" w:cs="Arial"/>
          <w:lang w:val="es-CO"/>
        </w:rPr>
      </w:pPr>
    </w:p>
    <w:p w14:paraId="7B1A5232" w14:textId="77777777" w:rsidR="00B2442D" w:rsidRDefault="008A645F">
      <w:pPr>
        <w:jc w:val="both"/>
        <w:rPr>
          <w:rFonts w:ascii="Arial" w:hAnsi="Arial" w:cs="Arial"/>
          <w:lang w:val="es-CO"/>
        </w:rPr>
      </w:pPr>
      <w:r>
        <w:rPr>
          <w:rFonts w:ascii="Arial" w:hAnsi="Arial" w:cs="Arial"/>
          <w:lang w:val="es-CO"/>
        </w:rPr>
        <w:t>Sin perjuicio de lo anterior, cuando se realicen las reformas estatutarias a qu</w:t>
      </w:r>
      <w:r>
        <w:rPr>
          <w:rFonts w:ascii="Arial" w:hAnsi="Arial" w:cs="Arial"/>
          <w:lang w:val="es-CO"/>
        </w:rPr>
        <w:t>e se refiere el numeral 4 del artículo 1.2.1.22.34 de este decreto, se actualizará este registro en lo pertinente para su verificación.</w:t>
      </w:r>
    </w:p>
    <w:p w14:paraId="3BD03170" w14:textId="77777777" w:rsidR="00B2442D" w:rsidRDefault="00B2442D">
      <w:pPr>
        <w:jc w:val="both"/>
        <w:rPr>
          <w:rFonts w:ascii="Arial" w:hAnsi="Arial" w:cs="Arial"/>
          <w:lang w:val="es-CO"/>
        </w:rPr>
      </w:pPr>
    </w:p>
    <w:p w14:paraId="3D057778" w14:textId="77777777" w:rsidR="00B2442D" w:rsidRDefault="008A645F">
      <w:pPr>
        <w:jc w:val="both"/>
        <w:rPr>
          <w:rFonts w:ascii="Arial" w:hAnsi="Arial" w:cs="Arial"/>
          <w:lang w:val="es-CO"/>
        </w:rPr>
      </w:pPr>
      <w:r>
        <w:rPr>
          <w:rFonts w:ascii="Arial" w:hAnsi="Arial" w:cs="Arial"/>
          <w:lang w:val="es-CO"/>
        </w:rPr>
        <w:t>La División de Gestión de Fiscalización, de la Dirección Seccional de Impuestos y Aduanas de San Andrés, deberá reporta</w:t>
      </w:r>
      <w:r>
        <w:rPr>
          <w:rFonts w:ascii="Arial" w:hAnsi="Arial" w:cs="Arial"/>
          <w:lang w:val="es-CO"/>
        </w:rPr>
        <w:t>r dicha información ante la Subdirección de Gestión de Análisis Operacional de la Dirección de Gestión Organizacional de la Unidad Administrativa Especial Dirección de Impuestos y Aduanas Nacionales- DIAN para determinar el gasto tributario en relación con</w:t>
      </w:r>
      <w:r>
        <w:rPr>
          <w:rFonts w:ascii="Arial" w:hAnsi="Arial" w:cs="Arial"/>
          <w:lang w:val="es-CO"/>
        </w:rPr>
        <w:t xml:space="preserve"> el monto de los beneficios tributarios solicitados por dichas empresas, establecer el impacto fiscal relativo al uso de los beneficios fiscales y adelantar los programas de verificación y control que establezcan las Direcciones de Gestión Organizacional y</w:t>
      </w:r>
      <w:r>
        <w:rPr>
          <w:rFonts w:ascii="Arial" w:hAnsi="Arial" w:cs="Arial"/>
          <w:lang w:val="es-CO"/>
        </w:rPr>
        <w:t xml:space="preserve"> de Gestión de Fiscalización, o las dependencias que hagan sus veces, de la Unidad Administrativa Especial Dirección de Impuestos y Aduanas Nacionales- DIAN.</w:t>
      </w:r>
    </w:p>
    <w:p w14:paraId="15C51202" w14:textId="77777777" w:rsidR="00B2442D" w:rsidRDefault="00B2442D">
      <w:pPr>
        <w:jc w:val="both"/>
        <w:rPr>
          <w:rFonts w:ascii="Arial" w:hAnsi="Arial" w:cs="Arial"/>
          <w:lang w:val="es-CO"/>
        </w:rPr>
      </w:pPr>
    </w:p>
    <w:p w14:paraId="4450A148" w14:textId="77777777" w:rsidR="00B2442D" w:rsidRDefault="008A645F">
      <w:pPr>
        <w:jc w:val="both"/>
        <w:rPr>
          <w:rFonts w:ascii="Arial" w:hAnsi="Arial" w:cs="Arial"/>
          <w:i/>
          <w:lang w:val="es-CO"/>
        </w:rPr>
      </w:pPr>
      <w:r>
        <w:rPr>
          <w:rFonts w:ascii="Arial" w:hAnsi="Arial" w:cs="Arial"/>
          <w:i/>
          <w:lang w:val="es-CO"/>
        </w:rPr>
        <w:t>(Art. 8, Decreto 2763 de 2012)</w:t>
      </w:r>
    </w:p>
    <w:p w14:paraId="644816BA" w14:textId="77777777" w:rsidR="00B2442D" w:rsidRDefault="00B2442D">
      <w:pPr>
        <w:jc w:val="both"/>
        <w:rPr>
          <w:rFonts w:ascii="Arial" w:hAnsi="Arial" w:cs="Arial"/>
          <w:lang w:val="es-CO"/>
        </w:rPr>
      </w:pPr>
    </w:p>
    <w:p w14:paraId="3C9CDA07"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Pérdida o improcedencia de la exención del impuesto sobre la rent</w:t>
      </w:r>
      <w:r>
        <w:rPr>
          <w:rFonts w:ascii="Arial" w:hAnsi="Arial" w:cs="Arial"/>
          <w:b/>
          <w:i/>
          <w:lang w:val="es-CO"/>
        </w:rPr>
        <w:t>a y complementario.</w:t>
      </w:r>
      <w:r>
        <w:rPr>
          <w:rFonts w:ascii="Arial" w:hAnsi="Arial" w:cs="Arial"/>
          <w:lang w:val="es-CO"/>
        </w:rPr>
        <w:t xml:space="preserve"> Sin perjuicio de lo previsto en el artículo 1.2.1.22.34 del presente decreto, para efectos de la procedencia del beneficio de que trata el artículo 150 de la Ley 1607 de 2012, las empresas beneficiarías de la exención deberán mantener e</w:t>
      </w:r>
      <w:r>
        <w:rPr>
          <w:rFonts w:ascii="Arial" w:hAnsi="Arial" w:cs="Arial"/>
          <w:lang w:val="es-CO"/>
        </w:rPr>
        <w:t>n el respectivo año gravable y hasta el 31 de diciembre inclusive, las condiciones relativas al número de trabajadores y el incremento del número de trabajadores exigido para cada año a que se refiere el artículo 150 de la Ley 1607 de 2012. En caso de incu</w:t>
      </w:r>
      <w:r>
        <w:rPr>
          <w:rFonts w:ascii="Arial" w:hAnsi="Arial" w:cs="Arial"/>
          <w:lang w:val="es-CO"/>
        </w:rPr>
        <w:t>mplir alguna de las condiciones señaladas, el beneficio se torna improcedente a partir del año gravable en que esto ocurra.</w:t>
      </w:r>
    </w:p>
    <w:p w14:paraId="68650D11" w14:textId="77777777" w:rsidR="00B2442D" w:rsidRDefault="00B2442D">
      <w:pPr>
        <w:jc w:val="both"/>
        <w:rPr>
          <w:rFonts w:ascii="Arial" w:hAnsi="Arial" w:cs="Arial"/>
          <w:lang w:val="es-CO"/>
        </w:rPr>
      </w:pPr>
    </w:p>
    <w:p w14:paraId="07B32CCE" w14:textId="77777777" w:rsidR="00B2442D" w:rsidRDefault="008A645F">
      <w:pPr>
        <w:jc w:val="both"/>
        <w:rPr>
          <w:rFonts w:ascii="Arial" w:hAnsi="Arial" w:cs="Arial"/>
          <w:lang w:val="es-CO"/>
        </w:rPr>
      </w:pPr>
      <w:r>
        <w:rPr>
          <w:rFonts w:ascii="Arial" w:hAnsi="Arial" w:cs="Arial"/>
          <w:lang w:val="es-CO"/>
        </w:rPr>
        <w:t>Tampoco procederá el beneficio de exención del Impuesto sobre la renta y complementario, cuando se incumpla con los pagos relativos</w:t>
      </w:r>
      <w:r>
        <w:rPr>
          <w:rFonts w:ascii="Arial" w:hAnsi="Arial" w:cs="Arial"/>
          <w:lang w:val="es-CO"/>
        </w:rPr>
        <w:t xml:space="preserve"> a la seguridad social que ampara a los trabajadores, y cuando no se cumpla con el deber legal de presentar las declaraciones del impuesto sobre la renta y complementario y de realizar los pagos de los valores a cargo en ellas determinados, auto liquidados</w:t>
      </w:r>
      <w:r>
        <w:rPr>
          <w:rFonts w:ascii="Arial" w:hAnsi="Arial" w:cs="Arial"/>
          <w:lang w:val="es-CO"/>
        </w:rPr>
        <w:t xml:space="preserve"> o liquidados por la Administración Tributaria, dentro de los plazos señalados para el efecto.</w:t>
      </w:r>
    </w:p>
    <w:p w14:paraId="7FCA9653" w14:textId="77777777" w:rsidR="00B2442D" w:rsidRDefault="00B2442D">
      <w:pPr>
        <w:jc w:val="both"/>
        <w:rPr>
          <w:rFonts w:ascii="Arial" w:hAnsi="Arial" w:cs="Arial"/>
          <w:lang w:val="es-CO"/>
        </w:rPr>
      </w:pPr>
    </w:p>
    <w:p w14:paraId="19F5F6E6" w14:textId="77777777" w:rsidR="00B2442D" w:rsidRDefault="008A645F">
      <w:pPr>
        <w:jc w:val="both"/>
        <w:rPr>
          <w:rFonts w:ascii="Arial" w:hAnsi="Arial" w:cs="Arial"/>
          <w:i/>
          <w:lang w:val="es-CO"/>
        </w:rPr>
      </w:pPr>
      <w:r>
        <w:rPr>
          <w:rFonts w:ascii="Arial" w:hAnsi="Arial" w:cs="Arial"/>
          <w:i/>
          <w:lang w:val="es-CO"/>
        </w:rPr>
        <w:t>(Art. 9, Decreto 2763 de 2012)</w:t>
      </w:r>
    </w:p>
    <w:p w14:paraId="0C0D9C11" w14:textId="77777777" w:rsidR="00B2442D" w:rsidRDefault="00B2442D">
      <w:pPr>
        <w:jc w:val="both"/>
        <w:rPr>
          <w:rFonts w:ascii="Arial" w:hAnsi="Arial" w:cs="Arial"/>
          <w:lang w:val="es-CO"/>
        </w:rPr>
      </w:pPr>
    </w:p>
    <w:p w14:paraId="0128E8BC"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Restitución del beneficio de exención del impuesto sobre la renta y complementario.</w:t>
      </w:r>
      <w:r>
        <w:rPr>
          <w:rFonts w:ascii="Arial" w:hAnsi="Arial" w:cs="Arial"/>
          <w:lang w:val="es-CO"/>
        </w:rPr>
        <w:t xml:space="preserve"> Cuando por cualquier causa el beneficio de e</w:t>
      </w:r>
      <w:r>
        <w:rPr>
          <w:rFonts w:ascii="Arial" w:hAnsi="Arial" w:cs="Arial"/>
          <w:lang w:val="es-CO"/>
        </w:rPr>
        <w:t xml:space="preserve">xención utilizado sea o se torne improcedente, el contribuyente deberá reintegrar el valor del beneficio. Para el efecto, deberá corregir la declaración del respectivo periodo fiscal, adicionando como impuesto a cargo el monto del impuesto que con ocasión </w:t>
      </w:r>
      <w:r>
        <w:rPr>
          <w:rFonts w:ascii="Arial" w:hAnsi="Arial" w:cs="Arial"/>
          <w:lang w:val="es-CO"/>
        </w:rPr>
        <w:t>de la aplicación del beneficio improcedente dejó de pagar, liquidando las sanciones y los intereses moratorios a que haya lugar en los términos y condiciones previstas en el Estatuto Tributario.</w:t>
      </w:r>
    </w:p>
    <w:p w14:paraId="19751C63" w14:textId="77777777" w:rsidR="00B2442D" w:rsidRDefault="00B2442D">
      <w:pPr>
        <w:jc w:val="both"/>
        <w:rPr>
          <w:rFonts w:ascii="Arial" w:hAnsi="Arial" w:cs="Arial"/>
          <w:lang w:val="es-CO"/>
        </w:rPr>
      </w:pPr>
    </w:p>
    <w:p w14:paraId="3CCEBC43" w14:textId="77777777" w:rsidR="00B2442D" w:rsidRDefault="008A645F">
      <w:pPr>
        <w:jc w:val="both"/>
        <w:rPr>
          <w:rFonts w:ascii="Arial" w:hAnsi="Arial" w:cs="Arial"/>
          <w:lang w:val="es-CO"/>
        </w:rPr>
      </w:pPr>
      <w:r>
        <w:rPr>
          <w:rFonts w:ascii="Arial" w:hAnsi="Arial" w:cs="Arial"/>
          <w:lang w:val="es-CO"/>
        </w:rPr>
        <w:t>Lo anterior debe entenderse sin perjuicio de la sanción a qu</w:t>
      </w:r>
      <w:r>
        <w:rPr>
          <w:rFonts w:ascii="Arial" w:hAnsi="Arial" w:cs="Arial"/>
          <w:lang w:val="es-CO"/>
        </w:rPr>
        <w:t>e se refiere el artículo 1.2.1.22.39 del presente decreto, cuando los beneficios solicitados estén fundamentados en información falsa.</w:t>
      </w:r>
    </w:p>
    <w:p w14:paraId="62192174" w14:textId="77777777" w:rsidR="00B2442D" w:rsidRDefault="00B2442D">
      <w:pPr>
        <w:jc w:val="both"/>
        <w:rPr>
          <w:rFonts w:ascii="Arial" w:hAnsi="Arial" w:cs="Arial"/>
          <w:lang w:val="es-CO"/>
        </w:rPr>
      </w:pPr>
    </w:p>
    <w:p w14:paraId="79254FD4" w14:textId="77777777" w:rsidR="00B2442D" w:rsidRDefault="008A645F">
      <w:pPr>
        <w:jc w:val="both"/>
        <w:rPr>
          <w:rFonts w:ascii="Arial" w:hAnsi="Arial" w:cs="Arial"/>
          <w:i/>
          <w:lang w:val="es-CO"/>
        </w:rPr>
      </w:pPr>
      <w:r>
        <w:rPr>
          <w:rFonts w:ascii="Arial" w:hAnsi="Arial" w:cs="Arial"/>
          <w:i/>
          <w:lang w:val="es-CO"/>
        </w:rPr>
        <w:t>(Art. 10, Decreto 2763 de 2012)</w:t>
      </w:r>
    </w:p>
    <w:p w14:paraId="27747F6A" w14:textId="77777777" w:rsidR="00B2442D" w:rsidRDefault="00B2442D">
      <w:pPr>
        <w:jc w:val="both"/>
        <w:rPr>
          <w:rFonts w:ascii="Arial" w:hAnsi="Arial" w:cs="Arial"/>
          <w:lang w:val="es-CO"/>
        </w:rPr>
      </w:pPr>
    </w:p>
    <w:p w14:paraId="3B48C1A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 xml:space="preserve">Otras condiciones a tener en cuenta para que las empresas puedan </w:t>
      </w:r>
      <w:r>
        <w:rPr>
          <w:rFonts w:ascii="Arial" w:hAnsi="Arial" w:cs="Arial"/>
          <w:b/>
          <w:i/>
          <w:lang w:val="es-CO"/>
        </w:rPr>
        <w:t>beneficiarse de la exención del impuesto sobre la renta y complementario.</w:t>
      </w:r>
      <w:r>
        <w:rPr>
          <w:rFonts w:ascii="Arial" w:hAnsi="Arial" w:cs="Arial"/>
          <w:lang w:val="es-CO"/>
        </w:rPr>
        <w:t xml:space="preserve"> Sin perjuicio de lo previsto en los artículos anteriores, los contribuyentes que pretendan beneficiarse de la exención de que trata el artículo 150 de la Ley 1607 de 2012, deben cump</w:t>
      </w:r>
      <w:r>
        <w:rPr>
          <w:rFonts w:ascii="Arial" w:hAnsi="Arial" w:cs="Arial"/>
          <w:lang w:val="es-CO"/>
        </w:rPr>
        <w:t>lir, además, los siguientes requisitos:</w:t>
      </w:r>
    </w:p>
    <w:p w14:paraId="713ADE37" w14:textId="77777777" w:rsidR="00B2442D" w:rsidRDefault="00B2442D">
      <w:pPr>
        <w:jc w:val="both"/>
        <w:rPr>
          <w:rFonts w:ascii="Arial" w:hAnsi="Arial" w:cs="Arial"/>
          <w:lang w:val="es-CO"/>
        </w:rPr>
      </w:pPr>
    </w:p>
    <w:p w14:paraId="7A6BD20C" w14:textId="77777777" w:rsidR="00B2442D" w:rsidRDefault="008A645F">
      <w:pPr>
        <w:ind w:left="284" w:hanging="284"/>
        <w:jc w:val="both"/>
        <w:rPr>
          <w:rFonts w:ascii="Arial" w:hAnsi="Arial" w:cs="Arial"/>
          <w:lang w:val="es-CO"/>
        </w:rPr>
      </w:pPr>
      <w:r>
        <w:rPr>
          <w:rFonts w:ascii="Arial" w:hAnsi="Arial" w:cs="Arial"/>
          <w:lang w:val="es-CO"/>
        </w:rPr>
        <w:t>1. Cumplir y verificar a satisfacción las obligaciones relativas al sistema general de seguridad social respecto de la totalidad de los trabajadores de la empresa.</w:t>
      </w:r>
    </w:p>
    <w:p w14:paraId="1566101F" w14:textId="77777777" w:rsidR="00B2442D" w:rsidRDefault="00B2442D">
      <w:pPr>
        <w:ind w:left="284" w:hanging="284"/>
        <w:jc w:val="both"/>
        <w:rPr>
          <w:rFonts w:ascii="Arial" w:hAnsi="Arial" w:cs="Arial"/>
          <w:lang w:val="es-CO"/>
        </w:rPr>
      </w:pPr>
    </w:p>
    <w:p w14:paraId="07852F2F" w14:textId="77777777" w:rsidR="00B2442D" w:rsidRDefault="008A645F">
      <w:pPr>
        <w:ind w:left="284" w:hanging="284"/>
        <w:jc w:val="both"/>
        <w:rPr>
          <w:rFonts w:ascii="Arial" w:hAnsi="Arial" w:cs="Arial"/>
          <w:lang w:val="es-CO"/>
        </w:rPr>
      </w:pPr>
      <w:r>
        <w:rPr>
          <w:rFonts w:ascii="Arial" w:hAnsi="Arial" w:cs="Arial"/>
          <w:lang w:val="es-CO"/>
        </w:rPr>
        <w:t>2. Que la vinculación de nuevos trabajadores no se</w:t>
      </w:r>
      <w:r>
        <w:rPr>
          <w:rFonts w:ascii="Arial" w:hAnsi="Arial" w:cs="Arial"/>
          <w:lang w:val="es-CO"/>
        </w:rPr>
        <w:t xml:space="preserve"> efectúe a través de empresas temporales de empleo.</w:t>
      </w:r>
    </w:p>
    <w:p w14:paraId="1B6FE136" w14:textId="77777777" w:rsidR="00B2442D" w:rsidRDefault="00B2442D">
      <w:pPr>
        <w:ind w:left="284" w:hanging="284"/>
        <w:jc w:val="both"/>
        <w:rPr>
          <w:rFonts w:ascii="Arial" w:hAnsi="Arial" w:cs="Arial"/>
          <w:lang w:val="es-CO"/>
        </w:rPr>
      </w:pPr>
    </w:p>
    <w:p w14:paraId="2E1FA4DE" w14:textId="77777777" w:rsidR="00B2442D" w:rsidRDefault="008A645F">
      <w:pPr>
        <w:ind w:left="284" w:hanging="284"/>
        <w:jc w:val="both"/>
        <w:rPr>
          <w:rFonts w:ascii="Arial" w:hAnsi="Arial" w:cs="Arial"/>
          <w:lang w:val="es-CO"/>
        </w:rPr>
      </w:pPr>
      <w:r>
        <w:rPr>
          <w:rFonts w:ascii="Arial" w:hAnsi="Arial" w:cs="Arial"/>
          <w:lang w:val="es-CO"/>
        </w:rPr>
        <w:t>3. Que los nuevos trabajadores vinculados no hayan laborado en el año de su contratación o en el año inmediatamente anterior en empresas con las cuales el contribuyente tenga vinculación económica en los</w:t>
      </w:r>
      <w:r>
        <w:rPr>
          <w:rFonts w:ascii="Arial" w:hAnsi="Arial" w:cs="Arial"/>
          <w:lang w:val="es-CO"/>
        </w:rPr>
        <w:t xml:space="preserve"> términos previstos en el artículo 260-1 (hoy artículos 260-1 y 260-2) del Estatuto Tributario.</w:t>
      </w:r>
    </w:p>
    <w:p w14:paraId="0F04A0BC" w14:textId="77777777" w:rsidR="00B2442D" w:rsidRDefault="00B2442D">
      <w:pPr>
        <w:jc w:val="both"/>
        <w:rPr>
          <w:rFonts w:ascii="Arial" w:hAnsi="Arial" w:cs="Arial"/>
          <w:lang w:val="es-CO"/>
        </w:rPr>
      </w:pPr>
    </w:p>
    <w:p w14:paraId="3F96F5BC" w14:textId="77777777" w:rsidR="00B2442D" w:rsidRDefault="008A645F">
      <w:pPr>
        <w:jc w:val="both"/>
        <w:rPr>
          <w:rFonts w:ascii="Arial" w:hAnsi="Arial" w:cs="Arial"/>
          <w:i/>
          <w:lang w:val="es-CO"/>
        </w:rPr>
      </w:pPr>
      <w:r>
        <w:rPr>
          <w:rFonts w:ascii="Arial" w:hAnsi="Arial" w:cs="Arial"/>
          <w:i/>
          <w:lang w:val="es-CO"/>
        </w:rPr>
        <w:t>(Art. 11, Decreto 2763 de 2012)</w:t>
      </w:r>
    </w:p>
    <w:p w14:paraId="1D5DF1EF" w14:textId="77777777" w:rsidR="00B2442D" w:rsidRDefault="00B2442D">
      <w:pPr>
        <w:jc w:val="both"/>
        <w:rPr>
          <w:rFonts w:ascii="Arial" w:hAnsi="Arial" w:cs="Arial"/>
          <w:lang w:val="es-CO"/>
        </w:rPr>
      </w:pPr>
    </w:p>
    <w:p w14:paraId="38171FFD"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Sanciones por el suministro de información falsa.</w:t>
      </w:r>
      <w:r>
        <w:rPr>
          <w:rFonts w:ascii="Arial" w:hAnsi="Arial" w:cs="Arial"/>
          <w:lang w:val="es-CO"/>
        </w:rPr>
        <w:t xml:space="preserve"> Sin perjuicio de las denuncias penales a que haya lugar por la configuración</w:t>
      </w:r>
      <w:r>
        <w:rPr>
          <w:rFonts w:ascii="Arial" w:hAnsi="Arial" w:cs="Arial"/>
          <w:lang w:val="es-CO"/>
        </w:rPr>
        <w:t>, entre otros, de los tipos penales de falsedad ideológica o material, según corresponda, e igualmente sin perjuicio de las acciones y sanciones pecuniarias a que haya lugar por improcedencia de los beneficios de acuerdo con las normas generales del Estatu</w:t>
      </w:r>
      <w:r>
        <w:rPr>
          <w:rFonts w:ascii="Arial" w:hAnsi="Arial" w:cs="Arial"/>
          <w:lang w:val="es-CO"/>
        </w:rPr>
        <w:t xml:space="preserve">to Tributario, quienes suministren información falsa con el propósito de obtener el beneficio previsto en el artículos 150 de la Ley 1607 de 2012, deberán restituir los impuestos dejados de pagar por los beneficios solicitados de manera improcedente, para </w:t>
      </w:r>
      <w:r>
        <w:rPr>
          <w:rFonts w:ascii="Arial" w:hAnsi="Arial" w:cs="Arial"/>
          <w:lang w:val="es-CO"/>
        </w:rPr>
        <w:t>lo cual, la Administración Tributaria, de acuerdo con las disposiciones procedimentales consagradas en el Estatuto Tributario exigirá el reintegro de los impuestos dejados de pagar por efectos de la aplicación de la exención del impuesto de renta y complem</w:t>
      </w:r>
      <w:r>
        <w:rPr>
          <w:rFonts w:ascii="Arial" w:hAnsi="Arial" w:cs="Arial"/>
          <w:lang w:val="es-CO"/>
        </w:rPr>
        <w:t>entario solicitada indebidamente, junto con los interés moratorios y demás sanciones a que haya lugar.</w:t>
      </w:r>
    </w:p>
    <w:p w14:paraId="6A32EF4B" w14:textId="77777777" w:rsidR="00B2442D" w:rsidRDefault="00B2442D">
      <w:pPr>
        <w:jc w:val="both"/>
        <w:rPr>
          <w:rFonts w:ascii="Arial" w:hAnsi="Arial" w:cs="Arial"/>
          <w:lang w:val="es-CO"/>
        </w:rPr>
      </w:pPr>
    </w:p>
    <w:p w14:paraId="3F130DE7" w14:textId="77777777" w:rsidR="00B2442D" w:rsidRDefault="008A645F">
      <w:pPr>
        <w:jc w:val="both"/>
        <w:rPr>
          <w:rFonts w:ascii="Arial" w:hAnsi="Arial" w:cs="Arial"/>
          <w:lang w:val="es-CO"/>
        </w:rPr>
      </w:pPr>
      <w:r>
        <w:rPr>
          <w:rFonts w:ascii="Arial" w:hAnsi="Arial" w:cs="Arial"/>
          <w:lang w:val="es-CO"/>
        </w:rPr>
        <w:t xml:space="preserve">El reintegro consistirá en adicionar en la declaración del respectivo periodo fiscal, como mayor impuesto a pagar el monto del impuesto que con ocasión </w:t>
      </w:r>
      <w:r>
        <w:rPr>
          <w:rFonts w:ascii="Arial" w:hAnsi="Arial" w:cs="Arial"/>
          <w:lang w:val="es-CO"/>
        </w:rPr>
        <w:t>de la aplicación del beneficio improcedente dejó de pagar, junto con el interés moratorio mencionado en el inciso anterior y demás sanciones, en los términos y condiciones previstos en el Estatuto Tributario.</w:t>
      </w:r>
    </w:p>
    <w:p w14:paraId="590921D8" w14:textId="77777777" w:rsidR="00B2442D" w:rsidRDefault="00B2442D">
      <w:pPr>
        <w:jc w:val="both"/>
        <w:rPr>
          <w:rFonts w:ascii="Arial" w:hAnsi="Arial" w:cs="Arial"/>
          <w:lang w:val="es-CO"/>
        </w:rPr>
      </w:pPr>
    </w:p>
    <w:p w14:paraId="4E644DE2" w14:textId="77777777" w:rsidR="00B2442D" w:rsidRDefault="008A645F">
      <w:pPr>
        <w:jc w:val="both"/>
        <w:rPr>
          <w:rFonts w:ascii="Arial" w:hAnsi="Arial" w:cs="Arial"/>
          <w:lang w:val="es-CO"/>
        </w:rPr>
      </w:pPr>
      <w:r>
        <w:rPr>
          <w:rFonts w:ascii="Arial" w:hAnsi="Arial" w:cs="Arial"/>
          <w:lang w:val="es-CO"/>
        </w:rPr>
        <w:t>Lo anterior debe entenderse sin perjuicio de l</w:t>
      </w:r>
      <w:r>
        <w:rPr>
          <w:rFonts w:ascii="Arial" w:hAnsi="Arial" w:cs="Arial"/>
          <w:lang w:val="es-CO"/>
        </w:rPr>
        <w:t>a facultad de investigación y revisión que tiene la Administración Tributaria en los demás aspectos de las declaraciones tributarias del contribuyente que solicitó indebidamente los beneficios.</w:t>
      </w:r>
    </w:p>
    <w:p w14:paraId="790CBEF3" w14:textId="77777777" w:rsidR="00B2442D" w:rsidRDefault="008A645F">
      <w:pPr>
        <w:tabs>
          <w:tab w:val="left" w:pos="2282"/>
        </w:tabs>
        <w:jc w:val="both"/>
        <w:rPr>
          <w:rFonts w:ascii="Arial" w:hAnsi="Arial" w:cs="Arial"/>
          <w:lang w:val="es-CO"/>
        </w:rPr>
      </w:pPr>
      <w:r>
        <w:rPr>
          <w:rFonts w:ascii="Arial" w:hAnsi="Arial" w:cs="Arial"/>
          <w:lang w:val="es-CO"/>
        </w:rPr>
        <w:tab/>
      </w:r>
    </w:p>
    <w:p w14:paraId="79066709" w14:textId="77777777" w:rsidR="00B2442D" w:rsidRDefault="008A645F">
      <w:pPr>
        <w:jc w:val="both"/>
        <w:rPr>
          <w:rFonts w:ascii="Arial" w:hAnsi="Arial" w:cs="Arial"/>
          <w:i/>
          <w:lang w:val="es-CO"/>
        </w:rPr>
      </w:pPr>
      <w:r>
        <w:rPr>
          <w:rFonts w:ascii="Arial" w:hAnsi="Arial" w:cs="Arial"/>
          <w:i/>
          <w:lang w:val="es-CO"/>
        </w:rPr>
        <w:t>(Art. 12, Decreto 2763 de 2012)</w:t>
      </w:r>
    </w:p>
    <w:p w14:paraId="05ABC0BB" w14:textId="77777777" w:rsidR="00B2442D" w:rsidRDefault="00B2442D">
      <w:pPr>
        <w:jc w:val="both"/>
        <w:rPr>
          <w:rFonts w:ascii="Arial" w:hAnsi="Arial" w:cs="Arial"/>
          <w:lang w:val="es-CO"/>
        </w:rPr>
      </w:pPr>
    </w:p>
    <w:p w14:paraId="290D6E2C" w14:textId="77777777" w:rsidR="00B2442D" w:rsidRDefault="008A645F">
      <w:pPr>
        <w:pStyle w:val="Prrafodelista"/>
        <w:numPr>
          <w:ilvl w:val="0"/>
          <w:numId w:val="37"/>
        </w:numPr>
        <w:ind w:left="0" w:firstLine="0"/>
        <w:jc w:val="both"/>
        <w:rPr>
          <w:rFonts w:ascii="Arial" w:hAnsi="Arial" w:cs="Arial"/>
          <w:lang w:val="es-CO"/>
        </w:rPr>
      </w:pPr>
      <w:r>
        <w:rPr>
          <w:rFonts w:ascii="Arial" w:hAnsi="Arial" w:cs="Arial"/>
          <w:b/>
          <w:i/>
          <w:lang w:val="es-CO"/>
        </w:rPr>
        <w:t>Obligaciones relacionadas c</w:t>
      </w:r>
      <w:r>
        <w:rPr>
          <w:rFonts w:ascii="Arial" w:hAnsi="Arial" w:cs="Arial"/>
          <w:b/>
          <w:i/>
          <w:lang w:val="es-CO"/>
        </w:rPr>
        <w:t>on la seguridad social.</w:t>
      </w:r>
      <w:r>
        <w:rPr>
          <w:rFonts w:ascii="Arial" w:hAnsi="Arial" w:cs="Arial"/>
          <w:lang w:val="es-CO"/>
        </w:rPr>
        <w:t xml:space="preserve"> Los contribuyentes a los que se refiere el artículo 1.2.1.22.37 de este decreto deben cumplir integralmente las obligaciones relacionadas con la seguridad social de sus trabajadores y con la presentación de las declaraciones tributa</w:t>
      </w:r>
      <w:r>
        <w:rPr>
          <w:rFonts w:ascii="Arial" w:hAnsi="Arial" w:cs="Arial"/>
          <w:lang w:val="es-CO"/>
        </w:rPr>
        <w:t>rias y de realizar los pagos de los valores a cargo, en los plazos previstos en el decreto anual mediante el cual el Gobierno Nacional de manera general establece los lugares y plazos para la presentación de las declaraciones y pago de los impuestos admini</w:t>
      </w:r>
      <w:r>
        <w:rPr>
          <w:rFonts w:ascii="Arial" w:hAnsi="Arial" w:cs="Arial"/>
          <w:lang w:val="es-CO"/>
        </w:rPr>
        <w:t>strados por la Unidad Administrativa Especial Dirección de Impuestos y Aduanas Nacionales- DIAN.</w:t>
      </w:r>
    </w:p>
    <w:p w14:paraId="03485638" w14:textId="77777777" w:rsidR="00B2442D" w:rsidRDefault="00B2442D">
      <w:pPr>
        <w:jc w:val="both"/>
        <w:rPr>
          <w:rFonts w:ascii="Arial" w:hAnsi="Arial" w:cs="Arial"/>
          <w:lang w:val="es-CO"/>
        </w:rPr>
      </w:pPr>
    </w:p>
    <w:p w14:paraId="092059B8" w14:textId="77777777" w:rsidR="00B2442D" w:rsidRDefault="008A645F">
      <w:pPr>
        <w:jc w:val="both"/>
        <w:rPr>
          <w:rFonts w:ascii="Arial" w:hAnsi="Arial" w:cs="Arial"/>
          <w:i/>
          <w:lang w:val="es-CO"/>
        </w:rPr>
      </w:pPr>
      <w:r>
        <w:rPr>
          <w:rFonts w:ascii="Arial" w:hAnsi="Arial" w:cs="Arial"/>
          <w:i/>
          <w:lang w:val="es-CO"/>
        </w:rPr>
        <w:t>(Art. 13, Decreto 2763 de 2012)</w:t>
      </w:r>
    </w:p>
    <w:p w14:paraId="391EA43D" w14:textId="77777777" w:rsidR="00B2442D" w:rsidRDefault="00B2442D">
      <w:pPr>
        <w:jc w:val="both"/>
        <w:rPr>
          <w:rFonts w:ascii="Arial" w:hAnsi="Arial" w:cs="Arial"/>
          <w:i/>
          <w:lang w:val="es-CO"/>
        </w:rPr>
      </w:pPr>
    </w:p>
    <w:p w14:paraId="678F9210" w14:textId="77777777" w:rsidR="00B2442D" w:rsidRDefault="008A645F">
      <w:pPr>
        <w:pStyle w:val="Ttulo4"/>
        <w:rPr>
          <w:lang w:val="es-CO"/>
        </w:rPr>
      </w:pPr>
      <w:r>
        <w:rPr>
          <w:lang w:val="es-CO"/>
        </w:rPr>
        <w:t>CAPÍTULO 23</w:t>
      </w:r>
    </w:p>
    <w:p w14:paraId="09E35F89" w14:textId="77777777" w:rsidR="00B2442D" w:rsidRDefault="008A645F">
      <w:pPr>
        <w:pStyle w:val="Ttulo4"/>
        <w:rPr>
          <w:lang w:val="es-CO"/>
        </w:rPr>
      </w:pPr>
      <w:r>
        <w:rPr>
          <w:lang w:val="es-CO"/>
        </w:rPr>
        <w:t xml:space="preserve">Contribuyentes beneficiarios de la progresividad en el pago del impuesto sobre la renta y complementario, descuento tributario y otros tratamientos </w:t>
      </w:r>
    </w:p>
    <w:p w14:paraId="72D4B793" w14:textId="77777777" w:rsidR="00B2442D" w:rsidRDefault="00B2442D">
      <w:pPr>
        <w:jc w:val="both"/>
        <w:rPr>
          <w:rFonts w:ascii="Arial" w:hAnsi="Arial" w:cs="Arial"/>
          <w:lang w:val="es-CO"/>
        </w:rPr>
      </w:pPr>
    </w:p>
    <w:p w14:paraId="65937411"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Contribuyentes beneficiarios de la progresividad en el pago del impuesto sobre la renta y complementario.</w:t>
      </w:r>
      <w:r>
        <w:rPr>
          <w:rFonts w:ascii="Arial" w:hAnsi="Arial" w:cs="Arial"/>
          <w:lang w:val="es-CO"/>
        </w:rPr>
        <w:t xml:space="preserve"> </w:t>
      </w:r>
      <w:r>
        <w:rPr>
          <w:rFonts w:ascii="Arial" w:hAnsi="Arial" w:cs="Arial"/>
          <w:lang w:val="es-CO"/>
        </w:rPr>
        <w:t>Son beneficiarios de la progresividad en el pago del impuesto sobre la renta y complementario conforme con el artículo 4o y parágrafo 4o del artículo 50 de la Ley 1429 de 2010:</w:t>
      </w:r>
    </w:p>
    <w:p w14:paraId="64D89F25" w14:textId="77777777" w:rsidR="00B2442D" w:rsidRDefault="00B2442D">
      <w:pPr>
        <w:jc w:val="both"/>
        <w:rPr>
          <w:rFonts w:ascii="Arial" w:hAnsi="Arial" w:cs="Arial"/>
          <w:lang w:val="es-CO"/>
        </w:rPr>
      </w:pPr>
    </w:p>
    <w:p w14:paraId="655E28A7" w14:textId="77777777" w:rsidR="00B2442D" w:rsidRDefault="008A645F">
      <w:pPr>
        <w:jc w:val="both"/>
        <w:rPr>
          <w:rFonts w:ascii="Arial" w:hAnsi="Arial" w:cs="Arial"/>
          <w:lang w:val="es-CO"/>
        </w:rPr>
      </w:pPr>
      <w:r>
        <w:rPr>
          <w:rFonts w:ascii="Arial" w:hAnsi="Arial" w:cs="Arial"/>
          <w:lang w:val="es-CO"/>
        </w:rPr>
        <w:t>a) Las personas naturales, jurídicas o sociedades de hecho, obligadas a matric</w:t>
      </w:r>
      <w:r>
        <w:rPr>
          <w:rFonts w:ascii="Arial" w:hAnsi="Arial" w:cs="Arial"/>
          <w:lang w:val="es-CO"/>
        </w:rPr>
        <w:t>ularse en el Registro Mercantil, que inicien el desarrollo de su actividad económica principal a partir de la promulgación de la Ley 1429 de 2010, cuyo personal no sea superior a cincuenta (50) trabajadores y cuyos activos totales no superen cinco mil sala</w:t>
      </w:r>
      <w:r>
        <w:rPr>
          <w:rFonts w:ascii="Arial" w:hAnsi="Arial" w:cs="Arial"/>
          <w:lang w:val="es-CO"/>
        </w:rPr>
        <w:t>rios mínimos mensuales legales vigentes (5.000 smmlv), que a partir de esa misma fecha se matriculen por primera vez en el registro mercantil de la correspondiente Cámara de Comercio.</w:t>
      </w:r>
    </w:p>
    <w:p w14:paraId="684A832E" w14:textId="77777777" w:rsidR="00B2442D" w:rsidRDefault="00B2442D">
      <w:pPr>
        <w:jc w:val="both"/>
        <w:rPr>
          <w:rFonts w:ascii="Arial" w:hAnsi="Arial" w:cs="Arial"/>
          <w:lang w:val="es-CO"/>
        </w:rPr>
      </w:pPr>
    </w:p>
    <w:p w14:paraId="0D9766DD" w14:textId="77777777" w:rsidR="00B2442D" w:rsidRDefault="008A645F">
      <w:pPr>
        <w:jc w:val="both"/>
        <w:rPr>
          <w:rFonts w:ascii="Arial" w:hAnsi="Arial" w:cs="Arial"/>
          <w:lang w:val="es-CO"/>
        </w:rPr>
      </w:pPr>
      <w:r>
        <w:rPr>
          <w:rFonts w:ascii="Arial" w:hAnsi="Arial" w:cs="Arial"/>
          <w:lang w:val="es-CO"/>
        </w:rPr>
        <w:t>Estos contribuyentes, en adelante denominados Nuevas Pequeñas Empresas,</w:t>
      </w:r>
      <w:r>
        <w:rPr>
          <w:rFonts w:ascii="Arial" w:hAnsi="Arial" w:cs="Arial"/>
          <w:lang w:val="es-CO"/>
        </w:rPr>
        <w:t xml:space="preserve"> comprenden igualmente aquellos contribuyentes que previamente a la inscripción en el Registro Mercantil hayan operado como empresas informales.</w:t>
      </w:r>
    </w:p>
    <w:p w14:paraId="0451D606" w14:textId="77777777" w:rsidR="00B2442D" w:rsidRDefault="00B2442D">
      <w:pPr>
        <w:jc w:val="both"/>
        <w:rPr>
          <w:rFonts w:ascii="Arial" w:hAnsi="Arial" w:cs="Arial"/>
          <w:lang w:val="es-CO"/>
        </w:rPr>
      </w:pPr>
    </w:p>
    <w:p w14:paraId="528C5E53" w14:textId="77777777" w:rsidR="00B2442D" w:rsidRDefault="008A645F">
      <w:pPr>
        <w:jc w:val="both"/>
        <w:rPr>
          <w:rFonts w:ascii="Arial" w:hAnsi="Arial" w:cs="Arial"/>
          <w:lang w:val="es-CO"/>
        </w:rPr>
      </w:pPr>
      <w:r>
        <w:rPr>
          <w:rFonts w:ascii="Arial" w:hAnsi="Arial" w:cs="Arial"/>
          <w:lang w:val="es-CO"/>
        </w:rPr>
        <w:t>Se entiende por empresa informal, la actividad económica desarrollada por una pequeña empresa, que para el eje</w:t>
      </w:r>
      <w:r>
        <w:rPr>
          <w:rFonts w:ascii="Arial" w:hAnsi="Arial" w:cs="Arial"/>
          <w:lang w:val="es-CO"/>
        </w:rPr>
        <w:t>rcicio de su actividad no cumplió, antes de la vigencia de la Ley 1429 de 2010, con la obligación de su inscripción en el Registro Mercantil, de la correspondiente Cámara de Comercio.</w:t>
      </w:r>
    </w:p>
    <w:p w14:paraId="6E0B6E31" w14:textId="77777777" w:rsidR="00B2442D" w:rsidRDefault="00B2442D">
      <w:pPr>
        <w:jc w:val="both"/>
        <w:rPr>
          <w:rFonts w:ascii="Arial" w:hAnsi="Arial" w:cs="Arial"/>
          <w:lang w:val="es-CO"/>
        </w:rPr>
      </w:pPr>
    </w:p>
    <w:p w14:paraId="478F380D" w14:textId="77777777" w:rsidR="00B2442D" w:rsidRDefault="008A645F">
      <w:pPr>
        <w:jc w:val="both"/>
        <w:rPr>
          <w:rFonts w:ascii="Arial" w:hAnsi="Arial" w:cs="Arial"/>
          <w:lang w:val="es-CO"/>
        </w:rPr>
      </w:pPr>
      <w:r>
        <w:rPr>
          <w:rFonts w:ascii="Arial" w:hAnsi="Arial" w:cs="Arial"/>
          <w:lang w:val="es-CO"/>
        </w:rPr>
        <w:t>b) Las personas naturales, jurídicas o sociedades de hecho, obligadas a</w:t>
      </w:r>
      <w:r>
        <w:rPr>
          <w:rFonts w:ascii="Arial" w:hAnsi="Arial" w:cs="Arial"/>
          <w:lang w:val="es-CO"/>
        </w:rPr>
        <w:t xml:space="preserve"> matricularse en el Registro Mercantil, cuyo personal no sea o no haya sido superior a cincuenta (50) trabajadores y cuyos activos totales no superen cinco mil salarios mínimos mensuales legales vigentes (5.000 smmlv), que preexistiendo y habiendo desarrol</w:t>
      </w:r>
      <w:r>
        <w:rPr>
          <w:rFonts w:ascii="Arial" w:hAnsi="Arial" w:cs="Arial"/>
          <w:lang w:val="es-CO"/>
        </w:rPr>
        <w:t>lado su actividad económica principal con anterioridad a la vigencia de la Ley 1429 de 2010, a la vigencia de esa misma Ley se encontraban inactivas, siempre y cuando:</w:t>
      </w:r>
    </w:p>
    <w:p w14:paraId="5C661413" w14:textId="77777777" w:rsidR="00B2442D" w:rsidRDefault="00B2442D">
      <w:pPr>
        <w:jc w:val="both"/>
        <w:rPr>
          <w:rFonts w:ascii="Arial" w:hAnsi="Arial" w:cs="Arial"/>
          <w:lang w:val="es-CO"/>
        </w:rPr>
      </w:pPr>
    </w:p>
    <w:p w14:paraId="531D166F"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Hayan renovado su Matrícula Mercantil dentro de los seis (6) meses siguientes a la </w:t>
      </w:r>
      <w:r>
        <w:rPr>
          <w:rFonts w:ascii="Arial" w:hAnsi="Arial" w:cs="Arial"/>
          <w:lang w:val="es-CO"/>
        </w:rPr>
        <w:t>vigencia de la Ley 1429 de 2010, o la renueven dentro de los doce (12) meses siguientes a la vigencia de la citada Ley cuando se trate de los contribuyentes a los que se refieren los Parágrafos 1o y 2o del artículo 50 de la Ley 1429 de 2010.</w:t>
      </w:r>
    </w:p>
    <w:p w14:paraId="1DF291FE" w14:textId="77777777" w:rsidR="00B2442D" w:rsidRDefault="00B2442D">
      <w:pPr>
        <w:ind w:left="284" w:hanging="284"/>
        <w:jc w:val="both"/>
        <w:rPr>
          <w:rFonts w:ascii="Arial" w:hAnsi="Arial" w:cs="Arial"/>
          <w:lang w:val="es-CO"/>
        </w:rPr>
      </w:pPr>
    </w:p>
    <w:p w14:paraId="7DD785CD"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Reactiven</w:t>
      </w:r>
      <w:r>
        <w:rPr>
          <w:rFonts w:ascii="Arial" w:hAnsi="Arial" w:cs="Arial"/>
          <w:lang w:val="es-CO"/>
        </w:rPr>
        <w:t xml:space="preserve"> su actividad económica, y</w:t>
      </w:r>
    </w:p>
    <w:p w14:paraId="50350315" w14:textId="77777777" w:rsidR="00B2442D" w:rsidRDefault="00B2442D">
      <w:pPr>
        <w:ind w:left="284" w:hanging="284"/>
        <w:jc w:val="both"/>
        <w:rPr>
          <w:rFonts w:ascii="Arial" w:hAnsi="Arial" w:cs="Arial"/>
          <w:lang w:val="es-CO"/>
        </w:rPr>
      </w:pPr>
    </w:p>
    <w:p w14:paraId="1CC40EFA"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Dentro de los doce (12) meses siguientes a la entrada en vigencia de la Ley 1429 de 2010 se pongan al día en todas sus obligaciones formales y sustanciales de carácter legal y tributario del orden nacional y territorial.</w:t>
      </w:r>
    </w:p>
    <w:p w14:paraId="287F5833" w14:textId="77777777" w:rsidR="00B2442D" w:rsidRDefault="00B2442D">
      <w:pPr>
        <w:jc w:val="both"/>
        <w:rPr>
          <w:rFonts w:ascii="Arial" w:hAnsi="Arial" w:cs="Arial"/>
          <w:lang w:val="es-CO"/>
        </w:rPr>
      </w:pPr>
    </w:p>
    <w:p w14:paraId="38676C07" w14:textId="77777777" w:rsidR="00B2442D" w:rsidRDefault="008A645F">
      <w:pPr>
        <w:jc w:val="both"/>
        <w:rPr>
          <w:rFonts w:ascii="Arial" w:hAnsi="Arial" w:cs="Arial"/>
          <w:lang w:val="es-CO"/>
        </w:rPr>
      </w:pPr>
      <w:r>
        <w:rPr>
          <w:rFonts w:ascii="Arial" w:hAnsi="Arial" w:cs="Arial"/>
          <w:lang w:val="es-CO"/>
        </w:rPr>
        <w:t>Es</w:t>
      </w:r>
      <w:r>
        <w:rPr>
          <w:rFonts w:ascii="Arial" w:hAnsi="Arial" w:cs="Arial"/>
          <w:lang w:val="es-CO"/>
        </w:rPr>
        <w:t>tos contribuyentes en adelante se denominan Pequeñas Empresas Preexistentes.</w:t>
      </w:r>
    </w:p>
    <w:p w14:paraId="72A817AA" w14:textId="77777777" w:rsidR="00B2442D" w:rsidRDefault="00B2442D">
      <w:pPr>
        <w:jc w:val="both"/>
        <w:rPr>
          <w:rFonts w:ascii="Arial" w:hAnsi="Arial" w:cs="Arial"/>
          <w:lang w:val="es-CO"/>
        </w:rPr>
      </w:pPr>
    </w:p>
    <w:p w14:paraId="35A0CDC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contribuyentes que por aplicación de los regímenes especiales del impuesto sobre la renta y complementario están sometidos a tarifas del impuesto diferentes a las </w:t>
      </w:r>
      <w:r>
        <w:rPr>
          <w:rFonts w:ascii="Arial" w:hAnsi="Arial" w:cs="Arial"/>
          <w:lang w:val="es-CO"/>
        </w:rPr>
        <w:t>que se refieren los artículos 240 y 241 del Estatuto Tributario, no son beneficiarios de la progresividad en el pago del impuesto sobre la renta y complementario.</w:t>
      </w:r>
    </w:p>
    <w:p w14:paraId="7502BF87" w14:textId="77777777" w:rsidR="00B2442D" w:rsidRDefault="00B2442D">
      <w:pPr>
        <w:jc w:val="both"/>
        <w:rPr>
          <w:rFonts w:ascii="Arial" w:hAnsi="Arial" w:cs="Arial"/>
          <w:lang w:val="es-CO"/>
        </w:rPr>
      </w:pPr>
    </w:p>
    <w:p w14:paraId="057A8A65" w14:textId="77777777" w:rsidR="00B2442D" w:rsidRDefault="008A645F">
      <w:pPr>
        <w:jc w:val="both"/>
        <w:rPr>
          <w:rFonts w:ascii="Arial" w:hAnsi="Arial" w:cs="Arial"/>
          <w:i/>
          <w:lang w:val="es-CO"/>
        </w:rPr>
      </w:pPr>
      <w:r>
        <w:rPr>
          <w:rFonts w:ascii="Arial" w:hAnsi="Arial" w:cs="Arial"/>
          <w:i/>
          <w:lang w:val="es-CO"/>
        </w:rPr>
        <w:t>(Art. 1, Decreto 4910 de 2011)</w:t>
      </w:r>
    </w:p>
    <w:p w14:paraId="491BEAFB" w14:textId="77777777" w:rsidR="00B2442D" w:rsidRDefault="00B2442D">
      <w:pPr>
        <w:jc w:val="both"/>
        <w:rPr>
          <w:rFonts w:ascii="Arial" w:hAnsi="Arial" w:cs="Arial"/>
          <w:lang w:val="es-CO"/>
        </w:rPr>
      </w:pPr>
    </w:p>
    <w:p w14:paraId="4F12720E"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Rentas respecto de las cuales procede el beneficio de progre</w:t>
      </w:r>
      <w:r>
        <w:rPr>
          <w:rFonts w:ascii="Arial" w:hAnsi="Arial" w:cs="Arial"/>
          <w:b/>
          <w:i/>
          <w:lang w:val="es-CO"/>
        </w:rPr>
        <w:t xml:space="preserve">sividad en el pago del impuesto sobre la renta y complementario. </w:t>
      </w:r>
      <w:r>
        <w:rPr>
          <w:rFonts w:ascii="Arial" w:hAnsi="Arial" w:cs="Arial"/>
          <w:lang w:val="es-CO"/>
        </w:rPr>
        <w:t>Las rentas objeto del beneficio a que se refiere el artículo 4° de la Ley 1429 de 2010, son las rentas relativas a los ingresos que perciban los contribuyentes a que se refieren los literales</w:t>
      </w:r>
      <w:r>
        <w:rPr>
          <w:rFonts w:ascii="Arial" w:hAnsi="Arial" w:cs="Arial"/>
          <w:lang w:val="es-CO"/>
        </w:rPr>
        <w:t xml:space="preserve"> a) y b) del artículo 1.2.1.23.1 del presente Decreto, que se perciban a partir del año gravable en que se realice la inscripción en el Registro Mercantil en la correspondiente Cámara de Comercio.</w:t>
      </w:r>
    </w:p>
    <w:p w14:paraId="11AE58E2" w14:textId="77777777" w:rsidR="00B2442D" w:rsidRDefault="00B2442D">
      <w:pPr>
        <w:jc w:val="both"/>
        <w:rPr>
          <w:rFonts w:ascii="Arial" w:hAnsi="Arial" w:cs="Arial"/>
          <w:lang w:val="es-CO"/>
        </w:rPr>
      </w:pPr>
    </w:p>
    <w:p w14:paraId="689488C0" w14:textId="77777777" w:rsidR="00B2442D" w:rsidRDefault="008A645F">
      <w:pPr>
        <w:jc w:val="both"/>
        <w:rPr>
          <w:rFonts w:ascii="Arial" w:hAnsi="Arial" w:cs="Arial"/>
          <w:lang w:val="es-CO"/>
        </w:rPr>
      </w:pPr>
      <w:r>
        <w:rPr>
          <w:rFonts w:ascii="Arial" w:hAnsi="Arial" w:cs="Arial"/>
          <w:lang w:val="es-CO"/>
        </w:rPr>
        <w:t xml:space="preserve">En el caso de Pequeñas Empresas Preexistentes el </w:t>
      </w:r>
      <w:r>
        <w:rPr>
          <w:rFonts w:ascii="Arial" w:hAnsi="Arial" w:cs="Arial"/>
          <w:lang w:val="es-CO"/>
        </w:rPr>
        <w:t>beneficio de la progresividad en el pago del impuesto sobre la renta y complementario a que se refiere el artículo 4° de la Ley 1429 de 2010 operará respecto de las rentas relativas a los ingresos que perciban a partir del año gravable en el que se cumplan</w:t>
      </w:r>
      <w:r>
        <w:rPr>
          <w:rFonts w:ascii="Arial" w:hAnsi="Arial" w:cs="Arial"/>
          <w:lang w:val="es-CO"/>
        </w:rPr>
        <w:t xml:space="preserve"> los requisitos a que se refiere el literal b) del artículo 1.2.1.23.1 del presente Decreto.</w:t>
      </w:r>
    </w:p>
    <w:p w14:paraId="254F25DD" w14:textId="77777777" w:rsidR="00B2442D" w:rsidRDefault="00B2442D">
      <w:pPr>
        <w:jc w:val="both"/>
        <w:rPr>
          <w:rFonts w:ascii="Arial" w:hAnsi="Arial" w:cs="Arial"/>
          <w:lang w:val="es-CO"/>
        </w:rPr>
      </w:pPr>
    </w:p>
    <w:p w14:paraId="686C4947" w14:textId="77777777" w:rsidR="00B2442D" w:rsidRDefault="008A645F">
      <w:pPr>
        <w:jc w:val="both"/>
        <w:rPr>
          <w:rFonts w:ascii="Arial" w:hAnsi="Arial" w:cs="Arial"/>
          <w:i/>
          <w:lang w:val="es-CO"/>
        </w:rPr>
      </w:pPr>
      <w:r>
        <w:rPr>
          <w:rFonts w:ascii="Arial" w:hAnsi="Arial" w:cs="Arial"/>
          <w:i/>
          <w:lang w:val="es-CO"/>
        </w:rPr>
        <w:t>(Art. 2, Decreto 4910 de 2011, declarado nulo parcialmente: inciso 2 y las frases “exclusivamente” y “provenientes del desarrollo de la actividad mercantil” de lo</w:t>
      </w:r>
      <w:r>
        <w:rPr>
          <w:rFonts w:ascii="Arial" w:hAnsi="Arial" w:cs="Arial"/>
          <w:i/>
          <w:lang w:val="es-CO"/>
        </w:rPr>
        <w:t>s incisos 1 y 3, y la frase “operacionales u ordinarios” del inciso 1, mediante sentencia del 23 de mayo de 2013 del Consejo de Estado, Sección Cuarta, Expediente No. 19306)</w:t>
      </w:r>
    </w:p>
    <w:p w14:paraId="1D441943" w14:textId="77777777" w:rsidR="00B2442D" w:rsidRDefault="00B2442D">
      <w:pPr>
        <w:jc w:val="both"/>
        <w:rPr>
          <w:rFonts w:ascii="Arial" w:hAnsi="Arial" w:cs="Arial"/>
          <w:lang w:val="es-CO"/>
        </w:rPr>
      </w:pPr>
    </w:p>
    <w:p w14:paraId="5889EB77"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Progresividad en el pago del impuesto sobre la renta y complementario.</w:t>
      </w:r>
      <w:r>
        <w:rPr>
          <w:rFonts w:ascii="Arial" w:hAnsi="Arial" w:cs="Arial"/>
          <w:lang w:val="es-CO"/>
        </w:rPr>
        <w:t xml:space="preserve"> La progres</w:t>
      </w:r>
      <w:r>
        <w:rPr>
          <w:rFonts w:ascii="Arial" w:hAnsi="Arial" w:cs="Arial"/>
          <w:lang w:val="es-CO"/>
        </w:rPr>
        <w:t>ividad regirá por los periodos gravables que establece la Ley contados a partir del año gravable en que se realice la inscripción en el Registro Mercantil en la correspondiente Cámara de Comercio, o contados a partir del año gravable en el que se hayan cum</w:t>
      </w:r>
      <w:r>
        <w:rPr>
          <w:rFonts w:ascii="Arial" w:hAnsi="Arial" w:cs="Arial"/>
          <w:lang w:val="es-CO"/>
        </w:rPr>
        <w:t>plido los requisitos a que se refiere el literal b) del artículo 1.2.1.23.1 del presente Decreto, respectivamente, según se trate de Nuevas Pequeñas Empresas o Pequeñas Empresas Preexistentes, en los siguientes porcentajes:</w:t>
      </w:r>
    </w:p>
    <w:p w14:paraId="3E1B230D" w14:textId="77777777" w:rsidR="00B2442D" w:rsidRDefault="00B2442D">
      <w:pPr>
        <w:jc w:val="both"/>
        <w:rPr>
          <w:rFonts w:ascii="Arial" w:hAnsi="Arial" w:cs="Arial"/>
          <w:lang w:val="es-CO"/>
        </w:rPr>
      </w:pPr>
    </w:p>
    <w:tbl>
      <w:tblPr>
        <w:tblW w:w="0" w:type="auto"/>
        <w:tblInd w:w="959" w:type="dxa"/>
        <w:tblLook w:val="04A0" w:firstRow="1" w:lastRow="0" w:firstColumn="1" w:lastColumn="0" w:noHBand="0" w:noVBand="1"/>
      </w:tblPr>
      <w:tblGrid>
        <w:gridCol w:w="3656"/>
        <w:gridCol w:w="4223"/>
      </w:tblGrid>
      <w:tr w:rsidR="00B2442D" w14:paraId="723F98B6" w14:textId="77777777">
        <w:tc>
          <w:tcPr>
            <w:tcW w:w="3685" w:type="dxa"/>
          </w:tcPr>
          <w:p w14:paraId="321C7600" w14:textId="77777777" w:rsidR="00B2442D" w:rsidRDefault="008A645F">
            <w:pPr>
              <w:rPr>
                <w:rFonts w:ascii="Arial" w:hAnsi="Arial" w:cs="Arial"/>
                <w:b/>
                <w:lang w:val="es-CO"/>
              </w:rPr>
            </w:pPr>
            <w:r>
              <w:rPr>
                <w:rFonts w:ascii="Arial" w:hAnsi="Arial" w:cs="Arial"/>
                <w:b/>
                <w:lang w:val="es-CO"/>
              </w:rPr>
              <w:t>AÑO</w:t>
            </w:r>
          </w:p>
        </w:tc>
        <w:tc>
          <w:tcPr>
            <w:tcW w:w="4253" w:type="dxa"/>
          </w:tcPr>
          <w:p w14:paraId="08E7B465" w14:textId="77777777" w:rsidR="00B2442D" w:rsidRDefault="008A645F">
            <w:pPr>
              <w:rPr>
                <w:rFonts w:ascii="Arial" w:hAnsi="Arial" w:cs="Arial"/>
                <w:b/>
                <w:lang w:val="es-CO"/>
              </w:rPr>
            </w:pPr>
            <w:r>
              <w:rPr>
                <w:rFonts w:ascii="Arial" w:hAnsi="Arial" w:cs="Arial"/>
                <w:b/>
                <w:lang w:val="es-CO"/>
              </w:rPr>
              <w:t>PORCENTAJE</w:t>
            </w:r>
          </w:p>
          <w:p w14:paraId="3C004ABA" w14:textId="77777777" w:rsidR="00B2442D" w:rsidRDefault="00B2442D">
            <w:pPr>
              <w:jc w:val="center"/>
              <w:rPr>
                <w:rFonts w:ascii="Arial" w:hAnsi="Arial" w:cs="Arial"/>
                <w:b/>
                <w:lang w:val="es-CO"/>
              </w:rPr>
            </w:pPr>
          </w:p>
        </w:tc>
      </w:tr>
      <w:tr w:rsidR="00B2442D" w14:paraId="4FAAC518" w14:textId="77777777">
        <w:tc>
          <w:tcPr>
            <w:tcW w:w="3685" w:type="dxa"/>
          </w:tcPr>
          <w:p w14:paraId="0CD2617A" w14:textId="77777777" w:rsidR="00B2442D" w:rsidRDefault="008A645F">
            <w:pPr>
              <w:jc w:val="both"/>
              <w:rPr>
                <w:rFonts w:ascii="Arial" w:hAnsi="Arial" w:cs="Arial"/>
                <w:lang w:val="es-CO"/>
              </w:rPr>
            </w:pPr>
            <w:r>
              <w:rPr>
                <w:rFonts w:ascii="Arial" w:hAnsi="Arial" w:cs="Arial"/>
                <w:lang w:val="es-CO"/>
              </w:rPr>
              <w:t>1° y 2°</w:t>
            </w:r>
          </w:p>
        </w:tc>
        <w:tc>
          <w:tcPr>
            <w:tcW w:w="4253" w:type="dxa"/>
          </w:tcPr>
          <w:p w14:paraId="7DF23366" w14:textId="77777777" w:rsidR="00B2442D" w:rsidRDefault="008A645F">
            <w:pPr>
              <w:jc w:val="both"/>
              <w:rPr>
                <w:rFonts w:ascii="Arial" w:hAnsi="Arial" w:cs="Arial"/>
                <w:lang w:val="es-CO"/>
              </w:rPr>
            </w:pPr>
            <w:r>
              <w:rPr>
                <w:rFonts w:ascii="Arial" w:hAnsi="Arial" w:cs="Arial"/>
                <w:lang w:val="es-CO"/>
              </w:rPr>
              <w:t>Cero p</w:t>
            </w:r>
            <w:r>
              <w:rPr>
                <w:rFonts w:ascii="Arial" w:hAnsi="Arial" w:cs="Arial"/>
                <w:lang w:val="es-CO"/>
              </w:rPr>
              <w:t>or ciento (0%)</w:t>
            </w:r>
          </w:p>
        </w:tc>
      </w:tr>
      <w:tr w:rsidR="00B2442D" w14:paraId="06BF0276" w14:textId="77777777">
        <w:tc>
          <w:tcPr>
            <w:tcW w:w="3685" w:type="dxa"/>
          </w:tcPr>
          <w:p w14:paraId="6557F911" w14:textId="77777777" w:rsidR="00B2442D" w:rsidRDefault="008A645F">
            <w:pPr>
              <w:jc w:val="both"/>
              <w:rPr>
                <w:rFonts w:ascii="Arial" w:hAnsi="Arial" w:cs="Arial"/>
                <w:lang w:val="es-CO"/>
              </w:rPr>
            </w:pPr>
            <w:r>
              <w:rPr>
                <w:rFonts w:ascii="Arial" w:hAnsi="Arial" w:cs="Arial"/>
                <w:lang w:val="es-CO"/>
              </w:rPr>
              <w:t>3°</w:t>
            </w:r>
          </w:p>
        </w:tc>
        <w:tc>
          <w:tcPr>
            <w:tcW w:w="4253" w:type="dxa"/>
          </w:tcPr>
          <w:p w14:paraId="7AFAE8B9" w14:textId="77777777" w:rsidR="00B2442D" w:rsidRDefault="008A645F">
            <w:pPr>
              <w:jc w:val="both"/>
              <w:rPr>
                <w:rFonts w:ascii="Arial" w:hAnsi="Arial" w:cs="Arial"/>
                <w:lang w:val="es-CO"/>
              </w:rPr>
            </w:pPr>
            <w:r>
              <w:rPr>
                <w:rFonts w:ascii="Arial" w:hAnsi="Arial" w:cs="Arial"/>
                <w:lang w:val="es-CO"/>
              </w:rPr>
              <w:t>Veinticinco por ciento (25%)</w:t>
            </w:r>
          </w:p>
        </w:tc>
      </w:tr>
      <w:tr w:rsidR="00B2442D" w14:paraId="63001761" w14:textId="77777777">
        <w:tc>
          <w:tcPr>
            <w:tcW w:w="3685" w:type="dxa"/>
          </w:tcPr>
          <w:p w14:paraId="68CE2914" w14:textId="77777777" w:rsidR="00B2442D" w:rsidRDefault="008A645F">
            <w:pPr>
              <w:jc w:val="both"/>
              <w:rPr>
                <w:rFonts w:ascii="Arial" w:hAnsi="Arial" w:cs="Arial"/>
                <w:lang w:val="es-CO"/>
              </w:rPr>
            </w:pPr>
            <w:r>
              <w:rPr>
                <w:rFonts w:ascii="Arial" w:hAnsi="Arial" w:cs="Arial"/>
                <w:lang w:val="es-CO"/>
              </w:rPr>
              <w:t>4°</w:t>
            </w:r>
          </w:p>
        </w:tc>
        <w:tc>
          <w:tcPr>
            <w:tcW w:w="4253" w:type="dxa"/>
          </w:tcPr>
          <w:p w14:paraId="480AD7A8" w14:textId="77777777" w:rsidR="00B2442D" w:rsidRDefault="008A645F">
            <w:pPr>
              <w:jc w:val="both"/>
              <w:rPr>
                <w:rFonts w:ascii="Arial" w:hAnsi="Arial" w:cs="Arial"/>
                <w:lang w:val="es-CO"/>
              </w:rPr>
            </w:pPr>
            <w:r>
              <w:rPr>
                <w:rFonts w:ascii="Arial" w:hAnsi="Arial" w:cs="Arial"/>
                <w:lang w:val="es-CO"/>
              </w:rPr>
              <w:t>Cincuenta por ciento (50%)</w:t>
            </w:r>
          </w:p>
        </w:tc>
      </w:tr>
      <w:tr w:rsidR="00B2442D" w14:paraId="70B54091" w14:textId="77777777">
        <w:tc>
          <w:tcPr>
            <w:tcW w:w="3685" w:type="dxa"/>
          </w:tcPr>
          <w:p w14:paraId="158DCBCB" w14:textId="77777777" w:rsidR="00B2442D" w:rsidRDefault="008A645F">
            <w:pPr>
              <w:jc w:val="both"/>
              <w:rPr>
                <w:rFonts w:ascii="Arial" w:hAnsi="Arial" w:cs="Arial"/>
                <w:lang w:val="es-CO"/>
              </w:rPr>
            </w:pPr>
            <w:r>
              <w:rPr>
                <w:rFonts w:ascii="Arial" w:hAnsi="Arial" w:cs="Arial"/>
                <w:lang w:val="es-CO"/>
              </w:rPr>
              <w:t>5°</w:t>
            </w:r>
          </w:p>
        </w:tc>
        <w:tc>
          <w:tcPr>
            <w:tcW w:w="4253" w:type="dxa"/>
          </w:tcPr>
          <w:p w14:paraId="7BCFDF44" w14:textId="77777777" w:rsidR="00B2442D" w:rsidRDefault="008A645F">
            <w:pPr>
              <w:jc w:val="both"/>
              <w:rPr>
                <w:rFonts w:ascii="Arial" w:hAnsi="Arial" w:cs="Arial"/>
                <w:lang w:val="es-CO"/>
              </w:rPr>
            </w:pPr>
            <w:r>
              <w:rPr>
                <w:rFonts w:ascii="Arial" w:hAnsi="Arial" w:cs="Arial"/>
                <w:lang w:val="es-CO"/>
              </w:rPr>
              <w:t>Setenta y cinco por ciento (75%)</w:t>
            </w:r>
          </w:p>
        </w:tc>
      </w:tr>
      <w:tr w:rsidR="00B2442D" w14:paraId="6FE05158" w14:textId="77777777">
        <w:tc>
          <w:tcPr>
            <w:tcW w:w="3685" w:type="dxa"/>
          </w:tcPr>
          <w:p w14:paraId="747AE718" w14:textId="77777777" w:rsidR="00B2442D" w:rsidRDefault="008A645F">
            <w:pPr>
              <w:jc w:val="both"/>
              <w:rPr>
                <w:rFonts w:ascii="Arial" w:hAnsi="Arial" w:cs="Arial"/>
                <w:lang w:val="es-CO"/>
              </w:rPr>
            </w:pPr>
            <w:r>
              <w:rPr>
                <w:rFonts w:ascii="Arial" w:hAnsi="Arial" w:cs="Arial"/>
                <w:lang w:val="es-CO"/>
              </w:rPr>
              <w:t>6° año y siguientes</w:t>
            </w:r>
          </w:p>
        </w:tc>
        <w:tc>
          <w:tcPr>
            <w:tcW w:w="4253" w:type="dxa"/>
          </w:tcPr>
          <w:p w14:paraId="2A007DA1" w14:textId="77777777" w:rsidR="00B2442D" w:rsidRDefault="008A645F">
            <w:pPr>
              <w:jc w:val="both"/>
              <w:rPr>
                <w:rFonts w:ascii="Arial" w:hAnsi="Arial" w:cs="Arial"/>
                <w:lang w:val="es-CO"/>
              </w:rPr>
            </w:pPr>
            <w:r>
              <w:rPr>
                <w:rFonts w:ascii="Arial" w:hAnsi="Arial" w:cs="Arial"/>
                <w:lang w:val="es-CO"/>
              </w:rPr>
              <w:t>Ciento por ciento (100%)</w:t>
            </w:r>
          </w:p>
        </w:tc>
      </w:tr>
    </w:tbl>
    <w:p w14:paraId="0B9D7E3B" w14:textId="77777777" w:rsidR="00B2442D" w:rsidRDefault="00B2442D">
      <w:pPr>
        <w:jc w:val="both"/>
        <w:rPr>
          <w:rFonts w:ascii="Arial" w:hAnsi="Arial" w:cs="Arial"/>
          <w:lang w:val="es-CO"/>
        </w:rPr>
      </w:pPr>
    </w:p>
    <w:p w14:paraId="34004838" w14:textId="77777777" w:rsidR="00B2442D" w:rsidRDefault="008A645F">
      <w:pPr>
        <w:jc w:val="both"/>
        <w:rPr>
          <w:rFonts w:ascii="Arial" w:hAnsi="Arial" w:cs="Arial"/>
          <w:lang w:val="es-CO"/>
        </w:rPr>
      </w:pPr>
      <w:r>
        <w:rPr>
          <w:rFonts w:ascii="Arial" w:hAnsi="Arial" w:cs="Arial"/>
          <w:lang w:val="es-CO"/>
        </w:rPr>
        <w:t xml:space="preserve">De la tarifa general del treinta y tres por ciento (33%) (hoy veinticinco por ciento </w:t>
      </w:r>
      <w:r>
        <w:rPr>
          <w:rFonts w:ascii="Arial" w:hAnsi="Arial" w:cs="Arial"/>
          <w:lang w:val="es-CO"/>
        </w:rPr>
        <w:t xml:space="preserve">25%) del impuesto sobre la renta gravable a que se refiere el artículo 240 del Estatuto Tributario o la norma que lo modifique o sustituya cuando se trate de Nueva Pequeña Empresa o Pequeña Empresa Preexistente que sea persona jurídica o asimilada a esta, </w:t>
      </w:r>
      <w:r>
        <w:rPr>
          <w:rFonts w:ascii="Arial" w:hAnsi="Arial" w:cs="Arial"/>
          <w:lang w:val="es-CO"/>
        </w:rPr>
        <w:t>o de la tarifa marginal que corresponda a la renta gravable según la tabla del impuesto sobre la renta y complementario contenida en el artículo 241 del mismo Estatuto o la norma que lo modifique o sustituya cuando se trate de Nueva Pequeña Empresa o Peque</w:t>
      </w:r>
      <w:r>
        <w:rPr>
          <w:rFonts w:ascii="Arial" w:hAnsi="Arial" w:cs="Arial"/>
          <w:lang w:val="es-CO"/>
        </w:rPr>
        <w:t>ña Empresa Preexistente que sea persona natural.</w:t>
      </w:r>
    </w:p>
    <w:p w14:paraId="09DF5B52" w14:textId="77777777" w:rsidR="00B2442D" w:rsidRDefault="00B2442D">
      <w:pPr>
        <w:jc w:val="both"/>
        <w:rPr>
          <w:rFonts w:ascii="Arial" w:hAnsi="Arial" w:cs="Arial"/>
          <w:lang w:val="es-CO"/>
        </w:rPr>
      </w:pPr>
    </w:p>
    <w:p w14:paraId="58BF1D7F" w14:textId="77777777" w:rsidR="00B2442D" w:rsidRDefault="008A645F">
      <w:pPr>
        <w:jc w:val="both"/>
        <w:rPr>
          <w:rFonts w:ascii="Arial" w:hAnsi="Arial" w:cs="Arial"/>
          <w:lang w:val="es-CO"/>
        </w:rPr>
      </w:pPr>
      <w:r>
        <w:rPr>
          <w:rFonts w:ascii="Arial" w:hAnsi="Arial" w:cs="Arial"/>
          <w:lang w:val="es-CO"/>
        </w:rPr>
        <w:t>Tratándose de Nuevas Pequeñas Empresas o Pequeñas Empresas Preexistentes que tengan su domicilio principal y desarrollen toda su actividad económica en los departamentos de Amazonas, Guainía y Vaupés, la pr</w:t>
      </w:r>
      <w:r>
        <w:rPr>
          <w:rFonts w:ascii="Arial" w:hAnsi="Arial" w:cs="Arial"/>
          <w:lang w:val="es-CO"/>
        </w:rPr>
        <w:t>ogresividad regirá por los periodos gravables que establece la Ley contados a partir del año gravable en que se realice la inscripción en el Registro Mercantil en la correspondiente Cámara de Comercio, o contados a partir del año gravable en que se cumplan</w:t>
      </w:r>
      <w:r>
        <w:rPr>
          <w:rFonts w:ascii="Arial" w:hAnsi="Arial" w:cs="Arial"/>
          <w:lang w:val="es-CO"/>
        </w:rPr>
        <w:t xml:space="preserve"> los requisitos a que se refiere el  literal b) del artículo 1.2.1.23.1 del presente Decreto, respectivamente, según se trate de Nuevas Pequeñas Empresas o Pequeñas Empresas Preexistentes, en los siguientes porcentajes:</w:t>
      </w:r>
    </w:p>
    <w:p w14:paraId="36DB80A2" w14:textId="77777777" w:rsidR="00B2442D" w:rsidRDefault="00B2442D">
      <w:pPr>
        <w:jc w:val="both"/>
        <w:rPr>
          <w:rFonts w:ascii="Arial" w:hAnsi="Arial" w:cs="Arial"/>
          <w:lang w:val="es-CO"/>
        </w:rPr>
      </w:pPr>
    </w:p>
    <w:tbl>
      <w:tblPr>
        <w:tblStyle w:val="Tablaconcuadrcula"/>
        <w:tblW w:w="0" w:type="auto"/>
        <w:jc w:val="center"/>
        <w:tblLook w:val="04A0" w:firstRow="1" w:lastRow="0" w:firstColumn="1" w:lastColumn="0" w:noHBand="0" w:noVBand="1"/>
      </w:tblPr>
      <w:tblGrid>
        <w:gridCol w:w="3685"/>
        <w:gridCol w:w="4253"/>
      </w:tblGrid>
      <w:tr w:rsidR="00B2442D" w14:paraId="79545C70" w14:textId="77777777">
        <w:trPr>
          <w:jc w:val="center"/>
        </w:trPr>
        <w:tc>
          <w:tcPr>
            <w:tcW w:w="3685" w:type="dxa"/>
          </w:tcPr>
          <w:p w14:paraId="1DE2851F" w14:textId="77777777" w:rsidR="00B2442D" w:rsidRDefault="008A645F">
            <w:pPr>
              <w:jc w:val="center"/>
              <w:rPr>
                <w:rFonts w:ascii="Arial" w:hAnsi="Arial" w:cs="Arial"/>
                <w:b/>
                <w:lang w:val="es-CO"/>
              </w:rPr>
            </w:pPr>
            <w:r>
              <w:rPr>
                <w:rFonts w:ascii="Arial" w:hAnsi="Arial" w:cs="Arial"/>
                <w:b/>
                <w:lang w:val="es-CO"/>
              </w:rPr>
              <w:t>AÑO</w:t>
            </w:r>
          </w:p>
        </w:tc>
        <w:tc>
          <w:tcPr>
            <w:tcW w:w="4253" w:type="dxa"/>
          </w:tcPr>
          <w:p w14:paraId="1619A791" w14:textId="77777777" w:rsidR="00B2442D" w:rsidRDefault="008A645F">
            <w:pPr>
              <w:jc w:val="center"/>
              <w:rPr>
                <w:rFonts w:ascii="Arial" w:hAnsi="Arial" w:cs="Arial"/>
                <w:b/>
                <w:lang w:val="es-CO"/>
              </w:rPr>
            </w:pPr>
            <w:r>
              <w:rPr>
                <w:rFonts w:ascii="Arial" w:hAnsi="Arial" w:cs="Arial"/>
                <w:b/>
                <w:lang w:val="es-CO"/>
              </w:rPr>
              <w:t>PORCENTAJE</w:t>
            </w:r>
          </w:p>
          <w:p w14:paraId="713E2D14" w14:textId="77777777" w:rsidR="00B2442D" w:rsidRDefault="00B2442D">
            <w:pPr>
              <w:jc w:val="center"/>
              <w:rPr>
                <w:rFonts w:ascii="Arial" w:hAnsi="Arial" w:cs="Arial"/>
                <w:b/>
                <w:lang w:val="es-CO"/>
              </w:rPr>
            </w:pPr>
          </w:p>
        </w:tc>
      </w:tr>
      <w:tr w:rsidR="00B2442D" w14:paraId="53A8308F" w14:textId="77777777">
        <w:trPr>
          <w:jc w:val="center"/>
        </w:trPr>
        <w:tc>
          <w:tcPr>
            <w:tcW w:w="3685" w:type="dxa"/>
          </w:tcPr>
          <w:p w14:paraId="346B1E6A" w14:textId="77777777" w:rsidR="00B2442D" w:rsidRDefault="008A645F">
            <w:pPr>
              <w:jc w:val="center"/>
              <w:rPr>
                <w:rFonts w:ascii="Arial" w:hAnsi="Arial" w:cs="Arial"/>
                <w:lang w:val="es-CO"/>
              </w:rPr>
            </w:pPr>
            <w:r>
              <w:rPr>
                <w:rFonts w:ascii="Arial" w:hAnsi="Arial" w:cs="Arial"/>
                <w:lang w:val="es-CO"/>
              </w:rPr>
              <w:t xml:space="preserve">1°, 2°, 3°, 4°, </w:t>
            </w:r>
            <w:r>
              <w:rPr>
                <w:rFonts w:ascii="Arial" w:hAnsi="Arial" w:cs="Arial"/>
                <w:lang w:val="es-CO"/>
              </w:rPr>
              <w:t>5°, 6°, 7° y 8°</w:t>
            </w:r>
          </w:p>
        </w:tc>
        <w:tc>
          <w:tcPr>
            <w:tcW w:w="4253" w:type="dxa"/>
          </w:tcPr>
          <w:p w14:paraId="0C7A8760" w14:textId="77777777" w:rsidR="00B2442D" w:rsidRDefault="008A645F">
            <w:pPr>
              <w:jc w:val="center"/>
              <w:rPr>
                <w:rFonts w:ascii="Arial" w:hAnsi="Arial" w:cs="Arial"/>
                <w:lang w:val="es-CO"/>
              </w:rPr>
            </w:pPr>
            <w:r>
              <w:rPr>
                <w:rFonts w:ascii="Arial" w:hAnsi="Arial" w:cs="Arial"/>
                <w:lang w:val="es-CO"/>
              </w:rPr>
              <w:t>Cero por ciento (0%)</w:t>
            </w:r>
          </w:p>
        </w:tc>
      </w:tr>
      <w:tr w:rsidR="00B2442D" w14:paraId="1BCD8715" w14:textId="77777777">
        <w:trPr>
          <w:jc w:val="center"/>
        </w:trPr>
        <w:tc>
          <w:tcPr>
            <w:tcW w:w="3685" w:type="dxa"/>
          </w:tcPr>
          <w:p w14:paraId="765BD11C" w14:textId="77777777" w:rsidR="00B2442D" w:rsidRDefault="008A645F">
            <w:pPr>
              <w:jc w:val="center"/>
              <w:rPr>
                <w:rFonts w:ascii="Arial" w:hAnsi="Arial" w:cs="Arial"/>
                <w:lang w:val="es-CO"/>
              </w:rPr>
            </w:pPr>
            <w:r>
              <w:rPr>
                <w:rFonts w:ascii="Arial" w:hAnsi="Arial" w:cs="Arial"/>
                <w:lang w:val="es-CO"/>
              </w:rPr>
              <w:t>9°</w:t>
            </w:r>
          </w:p>
        </w:tc>
        <w:tc>
          <w:tcPr>
            <w:tcW w:w="4253" w:type="dxa"/>
          </w:tcPr>
          <w:p w14:paraId="3B722658" w14:textId="77777777" w:rsidR="00B2442D" w:rsidRDefault="008A645F">
            <w:pPr>
              <w:jc w:val="center"/>
              <w:rPr>
                <w:rFonts w:ascii="Arial" w:hAnsi="Arial" w:cs="Arial"/>
                <w:lang w:val="es-CO"/>
              </w:rPr>
            </w:pPr>
            <w:r>
              <w:rPr>
                <w:rFonts w:ascii="Arial" w:hAnsi="Arial" w:cs="Arial"/>
                <w:lang w:val="es-CO"/>
              </w:rPr>
              <w:t>Cincuenta por ciento (50%)</w:t>
            </w:r>
          </w:p>
          <w:p w14:paraId="2535CB86" w14:textId="77777777" w:rsidR="00B2442D" w:rsidRDefault="00B2442D">
            <w:pPr>
              <w:jc w:val="center"/>
              <w:rPr>
                <w:rFonts w:ascii="Arial" w:hAnsi="Arial" w:cs="Arial"/>
                <w:lang w:val="es-CO"/>
              </w:rPr>
            </w:pPr>
          </w:p>
        </w:tc>
      </w:tr>
      <w:tr w:rsidR="00B2442D" w14:paraId="3573CF2E" w14:textId="77777777">
        <w:trPr>
          <w:jc w:val="center"/>
        </w:trPr>
        <w:tc>
          <w:tcPr>
            <w:tcW w:w="3685" w:type="dxa"/>
          </w:tcPr>
          <w:p w14:paraId="36C3FB55" w14:textId="77777777" w:rsidR="00B2442D" w:rsidRDefault="008A645F">
            <w:pPr>
              <w:jc w:val="center"/>
              <w:rPr>
                <w:rFonts w:ascii="Arial" w:hAnsi="Arial" w:cs="Arial"/>
                <w:lang w:val="es-CO"/>
              </w:rPr>
            </w:pPr>
            <w:r>
              <w:rPr>
                <w:rFonts w:ascii="Arial" w:hAnsi="Arial" w:cs="Arial"/>
                <w:lang w:val="es-CO"/>
              </w:rPr>
              <w:t>10°</w:t>
            </w:r>
          </w:p>
        </w:tc>
        <w:tc>
          <w:tcPr>
            <w:tcW w:w="4253" w:type="dxa"/>
          </w:tcPr>
          <w:p w14:paraId="178DC964" w14:textId="77777777" w:rsidR="00B2442D" w:rsidRDefault="008A645F">
            <w:pPr>
              <w:jc w:val="center"/>
              <w:rPr>
                <w:rFonts w:ascii="Arial" w:hAnsi="Arial" w:cs="Arial"/>
                <w:lang w:val="es-CO"/>
              </w:rPr>
            </w:pPr>
            <w:r>
              <w:rPr>
                <w:rFonts w:ascii="Arial" w:hAnsi="Arial" w:cs="Arial"/>
                <w:lang w:val="es-CO"/>
              </w:rPr>
              <w:t>Setenta y cinco por ciento (75%)</w:t>
            </w:r>
          </w:p>
        </w:tc>
      </w:tr>
      <w:tr w:rsidR="00B2442D" w14:paraId="7D68FAFE" w14:textId="77777777">
        <w:trPr>
          <w:jc w:val="center"/>
        </w:trPr>
        <w:tc>
          <w:tcPr>
            <w:tcW w:w="3685" w:type="dxa"/>
          </w:tcPr>
          <w:p w14:paraId="36DFE6FC" w14:textId="77777777" w:rsidR="00B2442D" w:rsidRDefault="008A645F">
            <w:pPr>
              <w:jc w:val="center"/>
              <w:rPr>
                <w:rFonts w:ascii="Arial" w:hAnsi="Arial" w:cs="Arial"/>
                <w:lang w:val="es-CO"/>
              </w:rPr>
            </w:pPr>
            <w:r>
              <w:rPr>
                <w:rFonts w:ascii="Arial" w:hAnsi="Arial" w:cs="Arial"/>
                <w:lang w:val="es-CO"/>
              </w:rPr>
              <w:t>11° año y siguientes</w:t>
            </w:r>
          </w:p>
        </w:tc>
        <w:tc>
          <w:tcPr>
            <w:tcW w:w="4253" w:type="dxa"/>
          </w:tcPr>
          <w:p w14:paraId="46AD3221" w14:textId="77777777" w:rsidR="00B2442D" w:rsidRDefault="008A645F">
            <w:pPr>
              <w:jc w:val="center"/>
              <w:rPr>
                <w:rFonts w:ascii="Arial" w:hAnsi="Arial" w:cs="Arial"/>
                <w:lang w:val="es-CO"/>
              </w:rPr>
            </w:pPr>
            <w:r>
              <w:rPr>
                <w:rFonts w:ascii="Arial" w:hAnsi="Arial" w:cs="Arial"/>
                <w:lang w:val="es-CO"/>
              </w:rPr>
              <w:t>Ciento por ciento (100%)</w:t>
            </w:r>
          </w:p>
        </w:tc>
      </w:tr>
    </w:tbl>
    <w:p w14:paraId="3F71EEC4" w14:textId="77777777" w:rsidR="00B2442D" w:rsidRDefault="00B2442D">
      <w:pPr>
        <w:jc w:val="both"/>
        <w:rPr>
          <w:rFonts w:ascii="Arial" w:hAnsi="Arial" w:cs="Arial"/>
          <w:lang w:val="es-CO"/>
        </w:rPr>
      </w:pPr>
    </w:p>
    <w:p w14:paraId="10E19EDC" w14:textId="77777777" w:rsidR="00B2442D" w:rsidRDefault="008A645F">
      <w:pPr>
        <w:jc w:val="both"/>
        <w:rPr>
          <w:rFonts w:ascii="Arial" w:hAnsi="Arial" w:cs="Arial"/>
          <w:lang w:val="es-CO"/>
        </w:rPr>
      </w:pPr>
      <w:r>
        <w:rPr>
          <w:rFonts w:ascii="Arial" w:hAnsi="Arial" w:cs="Arial"/>
          <w:lang w:val="es-CO"/>
        </w:rPr>
        <w:t>De la tarifa general del treinta y tres por ciento (33%) (hoy veinticinco por ciento 25%) del impues</w:t>
      </w:r>
      <w:r>
        <w:rPr>
          <w:rFonts w:ascii="Arial" w:hAnsi="Arial" w:cs="Arial"/>
          <w:lang w:val="es-CO"/>
        </w:rPr>
        <w:t xml:space="preserve">to sobre la renta gravable a que se refiere el artículo 240 del Estatuto Tributario o la norma que lo modifique o sustituya cuando se trate de Nueva Pequeña Empresa o Pequeña Empresa Preexistente que sea persona jurídica o asimilada a esta, o de la tarifa </w:t>
      </w:r>
      <w:r>
        <w:rPr>
          <w:rFonts w:ascii="Arial" w:hAnsi="Arial" w:cs="Arial"/>
          <w:lang w:val="es-CO"/>
        </w:rPr>
        <w:t>marginal que corresponda a la renta gravable según la tabla del impuesto sobre la renta y complementarios contenida en el artículo 241 del mismo Estatuto o la norma que lo modifique o sustituya cuando se trate de Nueva Pequeña Empresa o Pequeña Empresa Pre</w:t>
      </w:r>
      <w:r>
        <w:rPr>
          <w:rFonts w:ascii="Arial" w:hAnsi="Arial" w:cs="Arial"/>
          <w:lang w:val="es-CO"/>
        </w:rPr>
        <w:t>existente que sea persona natural.</w:t>
      </w:r>
    </w:p>
    <w:p w14:paraId="3A98269A" w14:textId="77777777" w:rsidR="00B2442D" w:rsidRDefault="00B2442D">
      <w:pPr>
        <w:jc w:val="both"/>
        <w:rPr>
          <w:rFonts w:ascii="Arial" w:hAnsi="Arial" w:cs="Arial"/>
          <w:lang w:val="es-CO"/>
        </w:rPr>
      </w:pPr>
    </w:p>
    <w:p w14:paraId="7A0DC320"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el contribuyente sea una persona natural titular de una Nueva Pequeña Empresa o de una Pequeña Empresa Preexistente, para determinar el beneficio de progresividad en el pago del impuesto de renta proc</w:t>
      </w:r>
      <w:r>
        <w:rPr>
          <w:rFonts w:ascii="Arial" w:hAnsi="Arial" w:cs="Arial"/>
          <w:lang w:val="es-CO"/>
        </w:rPr>
        <w:t>ederá así:</w:t>
      </w:r>
    </w:p>
    <w:p w14:paraId="7D039304" w14:textId="77777777" w:rsidR="00B2442D" w:rsidRDefault="00B2442D">
      <w:pPr>
        <w:jc w:val="both"/>
        <w:rPr>
          <w:rFonts w:ascii="Arial" w:hAnsi="Arial" w:cs="Arial"/>
          <w:lang w:val="es-CO"/>
        </w:rPr>
      </w:pPr>
    </w:p>
    <w:p w14:paraId="0D2BEBFB" w14:textId="77777777" w:rsidR="00B2442D" w:rsidRDefault="008A645F">
      <w:pPr>
        <w:jc w:val="both"/>
        <w:rPr>
          <w:rFonts w:ascii="Arial" w:hAnsi="Arial" w:cs="Arial"/>
          <w:lang w:val="es-CO"/>
        </w:rPr>
      </w:pPr>
      <w:r>
        <w:rPr>
          <w:rFonts w:ascii="Arial" w:hAnsi="Arial" w:cs="Arial"/>
          <w:lang w:val="es-CO"/>
        </w:rPr>
        <w:t>Con el resultado de la sumatoria las rentas gravables objeto del beneficio y de las rentas gravables que no lo tienen determinará el impuesto en forma teórica con fundamento en el artículo 241 del Estatuto Tributario.</w:t>
      </w:r>
    </w:p>
    <w:p w14:paraId="6908A278" w14:textId="77777777" w:rsidR="00B2442D" w:rsidRDefault="00B2442D">
      <w:pPr>
        <w:jc w:val="both"/>
        <w:rPr>
          <w:rFonts w:ascii="Arial" w:hAnsi="Arial" w:cs="Arial"/>
          <w:lang w:val="es-CO"/>
        </w:rPr>
      </w:pPr>
    </w:p>
    <w:p w14:paraId="0B4DCED5" w14:textId="77777777" w:rsidR="00B2442D" w:rsidRDefault="008A645F">
      <w:pPr>
        <w:jc w:val="both"/>
        <w:rPr>
          <w:rFonts w:ascii="Arial" w:hAnsi="Arial" w:cs="Arial"/>
          <w:lang w:val="es-CO"/>
        </w:rPr>
      </w:pPr>
      <w:r>
        <w:rPr>
          <w:rFonts w:ascii="Arial" w:hAnsi="Arial" w:cs="Arial"/>
          <w:lang w:val="es-CO"/>
        </w:rPr>
        <w:t>Establecido el impuesto e</w:t>
      </w:r>
      <w:r>
        <w:rPr>
          <w:rFonts w:ascii="Arial" w:hAnsi="Arial" w:cs="Arial"/>
          <w:lang w:val="es-CO"/>
        </w:rPr>
        <w:t>n la forma indicada, deberá determinarse el monto del impuesto atribuible a las rentas objeto del beneficio, para lo cual deberá tenerse en cuenta la misma proporción que estas representen dentro del total de las rentas gravables del ejercicio.</w:t>
      </w:r>
    </w:p>
    <w:p w14:paraId="430470CF" w14:textId="77777777" w:rsidR="00B2442D" w:rsidRDefault="00B2442D">
      <w:pPr>
        <w:jc w:val="both"/>
        <w:rPr>
          <w:rFonts w:ascii="Arial" w:hAnsi="Arial" w:cs="Arial"/>
          <w:lang w:val="es-CO"/>
        </w:rPr>
      </w:pPr>
    </w:p>
    <w:p w14:paraId="1C688E37" w14:textId="77777777" w:rsidR="00B2442D" w:rsidRDefault="008A645F">
      <w:pPr>
        <w:jc w:val="both"/>
        <w:rPr>
          <w:rFonts w:ascii="Arial" w:hAnsi="Arial" w:cs="Arial"/>
          <w:lang w:val="es-CO"/>
        </w:rPr>
      </w:pPr>
      <w:r>
        <w:rPr>
          <w:rFonts w:ascii="Arial" w:hAnsi="Arial" w:cs="Arial"/>
          <w:lang w:val="es-CO"/>
        </w:rPr>
        <w:t xml:space="preserve">Una vez </w:t>
      </w:r>
      <w:r>
        <w:rPr>
          <w:rFonts w:ascii="Arial" w:hAnsi="Arial" w:cs="Arial"/>
          <w:lang w:val="es-CO"/>
        </w:rPr>
        <w:t>determinado el monto del impuesto atribuible a las rentas objeto del beneficio, este impuesto se restará del impuesto teórico en los siguientes porcentajes, según el año gravable al que correspondan las rentas contado a partir del año gravable en que se re</w:t>
      </w:r>
      <w:r>
        <w:rPr>
          <w:rFonts w:ascii="Arial" w:hAnsi="Arial" w:cs="Arial"/>
          <w:lang w:val="es-CO"/>
        </w:rPr>
        <w:t>alice la inscripción en el Registro Mercantil en la correspondiente Cámara de Comercio, o contado a partir del año gravable en el que se hayan cumplido los requisitos a que se refiere el literal b) del artículo 1.2.1.23.1 del presente decreto, respectivame</w:t>
      </w:r>
      <w:r>
        <w:rPr>
          <w:rFonts w:ascii="Arial" w:hAnsi="Arial" w:cs="Arial"/>
          <w:lang w:val="es-CO"/>
        </w:rPr>
        <w:t>nte, según se trate de Nuevas Pequeñas Empresas o Pequeñas Empresas Preexistentes:</w:t>
      </w:r>
    </w:p>
    <w:p w14:paraId="7224A5B9" w14:textId="77777777" w:rsidR="00B2442D" w:rsidRDefault="00B2442D">
      <w:pPr>
        <w:jc w:val="both"/>
        <w:rPr>
          <w:rFonts w:ascii="Arial" w:hAnsi="Arial" w:cs="Arial"/>
          <w:lang w:val="es-CO"/>
        </w:rPr>
      </w:pPr>
    </w:p>
    <w:p w14:paraId="02F6B0EF" w14:textId="77777777" w:rsidR="00B2442D" w:rsidRDefault="00B2442D">
      <w:pPr>
        <w:jc w:val="both"/>
        <w:rPr>
          <w:rFonts w:ascii="Arial" w:hAnsi="Arial" w:cs="Arial"/>
          <w:lang w:val="es-CO"/>
        </w:rPr>
      </w:pPr>
    </w:p>
    <w:tbl>
      <w:tblPr>
        <w:tblW w:w="0" w:type="auto"/>
        <w:tblInd w:w="959" w:type="dxa"/>
        <w:tblLook w:val="04A0" w:firstRow="1" w:lastRow="0" w:firstColumn="1" w:lastColumn="0" w:noHBand="0" w:noVBand="1"/>
      </w:tblPr>
      <w:tblGrid>
        <w:gridCol w:w="3656"/>
        <w:gridCol w:w="4223"/>
      </w:tblGrid>
      <w:tr w:rsidR="00B2442D" w14:paraId="6E99F739" w14:textId="77777777">
        <w:tc>
          <w:tcPr>
            <w:tcW w:w="3685" w:type="dxa"/>
          </w:tcPr>
          <w:p w14:paraId="4CEE64B7" w14:textId="77777777" w:rsidR="00B2442D" w:rsidRDefault="008A645F">
            <w:pPr>
              <w:jc w:val="center"/>
              <w:rPr>
                <w:rFonts w:ascii="Arial" w:hAnsi="Arial" w:cs="Arial"/>
                <w:b/>
                <w:lang w:val="es-CO"/>
              </w:rPr>
            </w:pPr>
            <w:r>
              <w:rPr>
                <w:rFonts w:ascii="Arial" w:hAnsi="Arial" w:cs="Arial"/>
                <w:b/>
                <w:lang w:val="es-CO"/>
              </w:rPr>
              <w:t>AÑO</w:t>
            </w:r>
          </w:p>
        </w:tc>
        <w:tc>
          <w:tcPr>
            <w:tcW w:w="4253" w:type="dxa"/>
          </w:tcPr>
          <w:p w14:paraId="709A9A8B" w14:textId="77777777" w:rsidR="00B2442D" w:rsidRDefault="008A645F">
            <w:pPr>
              <w:jc w:val="center"/>
              <w:rPr>
                <w:rFonts w:ascii="Arial" w:hAnsi="Arial" w:cs="Arial"/>
                <w:b/>
                <w:lang w:val="es-CO"/>
              </w:rPr>
            </w:pPr>
            <w:r>
              <w:rPr>
                <w:rFonts w:ascii="Arial" w:hAnsi="Arial" w:cs="Arial"/>
                <w:b/>
                <w:lang w:val="es-CO"/>
              </w:rPr>
              <w:t>PORCENTAJE</w:t>
            </w:r>
          </w:p>
          <w:p w14:paraId="7627C413" w14:textId="77777777" w:rsidR="00B2442D" w:rsidRDefault="00B2442D">
            <w:pPr>
              <w:jc w:val="center"/>
              <w:rPr>
                <w:rFonts w:ascii="Arial" w:hAnsi="Arial" w:cs="Arial"/>
                <w:b/>
                <w:lang w:val="es-CO"/>
              </w:rPr>
            </w:pPr>
          </w:p>
        </w:tc>
      </w:tr>
      <w:tr w:rsidR="00B2442D" w14:paraId="15EB63AF" w14:textId="77777777">
        <w:tc>
          <w:tcPr>
            <w:tcW w:w="3685" w:type="dxa"/>
          </w:tcPr>
          <w:p w14:paraId="23AE3C52" w14:textId="77777777" w:rsidR="00B2442D" w:rsidRDefault="008A645F">
            <w:pPr>
              <w:jc w:val="both"/>
              <w:rPr>
                <w:rFonts w:ascii="Arial" w:hAnsi="Arial" w:cs="Arial"/>
                <w:lang w:val="es-CO"/>
              </w:rPr>
            </w:pPr>
            <w:r>
              <w:rPr>
                <w:rFonts w:ascii="Arial" w:hAnsi="Arial" w:cs="Arial"/>
                <w:lang w:val="es-CO"/>
              </w:rPr>
              <w:t>1° y 2°</w:t>
            </w:r>
          </w:p>
        </w:tc>
        <w:tc>
          <w:tcPr>
            <w:tcW w:w="4253" w:type="dxa"/>
          </w:tcPr>
          <w:p w14:paraId="6E4CDDF1" w14:textId="77777777" w:rsidR="00B2442D" w:rsidRDefault="008A645F">
            <w:pPr>
              <w:jc w:val="both"/>
              <w:rPr>
                <w:rFonts w:ascii="Arial" w:hAnsi="Arial" w:cs="Arial"/>
                <w:lang w:val="es-CO"/>
              </w:rPr>
            </w:pPr>
            <w:r>
              <w:rPr>
                <w:rFonts w:ascii="Arial" w:hAnsi="Arial" w:cs="Arial"/>
                <w:lang w:val="es-CO"/>
              </w:rPr>
              <w:t>Ciento por ciento (100%)</w:t>
            </w:r>
          </w:p>
        </w:tc>
      </w:tr>
      <w:tr w:rsidR="00B2442D" w14:paraId="3E7400D7" w14:textId="77777777">
        <w:tc>
          <w:tcPr>
            <w:tcW w:w="3685" w:type="dxa"/>
          </w:tcPr>
          <w:p w14:paraId="025BF13E" w14:textId="77777777" w:rsidR="00B2442D" w:rsidRDefault="008A645F">
            <w:pPr>
              <w:jc w:val="both"/>
              <w:rPr>
                <w:rFonts w:ascii="Arial" w:hAnsi="Arial" w:cs="Arial"/>
                <w:lang w:val="es-CO"/>
              </w:rPr>
            </w:pPr>
            <w:r>
              <w:rPr>
                <w:rFonts w:ascii="Arial" w:hAnsi="Arial" w:cs="Arial"/>
                <w:lang w:val="es-CO"/>
              </w:rPr>
              <w:t>3°</w:t>
            </w:r>
          </w:p>
        </w:tc>
        <w:tc>
          <w:tcPr>
            <w:tcW w:w="4253" w:type="dxa"/>
          </w:tcPr>
          <w:p w14:paraId="1C4281A3" w14:textId="77777777" w:rsidR="00B2442D" w:rsidRDefault="008A645F">
            <w:pPr>
              <w:jc w:val="both"/>
              <w:rPr>
                <w:rFonts w:ascii="Arial" w:hAnsi="Arial" w:cs="Arial"/>
                <w:lang w:val="es-CO"/>
              </w:rPr>
            </w:pPr>
            <w:r>
              <w:rPr>
                <w:rFonts w:ascii="Arial" w:hAnsi="Arial" w:cs="Arial"/>
                <w:lang w:val="es-CO"/>
              </w:rPr>
              <w:t>Setenta y cinco por ciento (75%)</w:t>
            </w:r>
          </w:p>
        </w:tc>
      </w:tr>
      <w:tr w:rsidR="00B2442D" w14:paraId="5A7C9D02" w14:textId="77777777">
        <w:tc>
          <w:tcPr>
            <w:tcW w:w="3685" w:type="dxa"/>
          </w:tcPr>
          <w:p w14:paraId="0351128C" w14:textId="77777777" w:rsidR="00B2442D" w:rsidRDefault="008A645F">
            <w:pPr>
              <w:jc w:val="both"/>
              <w:rPr>
                <w:rFonts w:ascii="Arial" w:hAnsi="Arial" w:cs="Arial"/>
                <w:lang w:val="es-CO"/>
              </w:rPr>
            </w:pPr>
            <w:r>
              <w:rPr>
                <w:rFonts w:ascii="Arial" w:hAnsi="Arial" w:cs="Arial"/>
                <w:lang w:val="es-CO"/>
              </w:rPr>
              <w:t>4°</w:t>
            </w:r>
          </w:p>
        </w:tc>
        <w:tc>
          <w:tcPr>
            <w:tcW w:w="4253" w:type="dxa"/>
          </w:tcPr>
          <w:p w14:paraId="5841418D" w14:textId="77777777" w:rsidR="00B2442D" w:rsidRDefault="008A645F">
            <w:pPr>
              <w:jc w:val="both"/>
              <w:rPr>
                <w:rFonts w:ascii="Arial" w:hAnsi="Arial" w:cs="Arial"/>
                <w:lang w:val="es-CO"/>
              </w:rPr>
            </w:pPr>
            <w:r>
              <w:rPr>
                <w:rFonts w:ascii="Arial" w:hAnsi="Arial" w:cs="Arial"/>
                <w:lang w:val="es-CO"/>
              </w:rPr>
              <w:t>Cincuenta por ciento (50%)</w:t>
            </w:r>
          </w:p>
        </w:tc>
      </w:tr>
      <w:tr w:rsidR="00B2442D" w14:paraId="1EB65DE2" w14:textId="77777777">
        <w:tc>
          <w:tcPr>
            <w:tcW w:w="3685" w:type="dxa"/>
          </w:tcPr>
          <w:p w14:paraId="79A03DF3" w14:textId="77777777" w:rsidR="00B2442D" w:rsidRDefault="008A645F">
            <w:pPr>
              <w:jc w:val="both"/>
              <w:rPr>
                <w:rFonts w:ascii="Arial" w:hAnsi="Arial" w:cs="Arial"/>
                <w:lang w:val="es-CO"/>
              </w:rPr>
            </w:pPr>
            <w:r>
              <w:rPr>
                <w:rFonts w:ascii="Arial" w:hAnsi="Arial" w:cs="Arial"/>
                <w:lang w:val="es-CO"/>
              </w:rPr>
              <w:t>5°</w:t>
            </w:r>
          </w:p>
        </w:tc>
        <w:tc>
          <w:tcPr>
            <w:tcW w:w="4253" w:type="dxa"/>
          </w:tcPr>
          <w:p w14:paraId="13758685" w14:textId="77777777" w:rsidR="00B2442D" w:rsidRDefault="008A645F">
            <w:pPr>
              <w:jc w:val="both"/>
              <w:rPr>
                <w:rFonts w:ascii="Arial" w:hAnsi="Arial" w:cs="Arial"/>
                <w:lang w:val="es-CO"/>
              </w:rPr>
            </w:pPr>
            <w:r>
              <w:rPr>
                <w:rFonts w:ascii="Arial" w:hAnsi="Arial" w:cs="Arial"/>
                <w:lang w:val="es-CO"/>
              </w:rPr>
              <w:t>Veinticinco por ciento (25%)</w:t>
            </w:r>
          </w:p>
        </w:tc>
      </w:tr>
      <w:tr w:rsidR="00B2442D" w14:paraId="126F48B0" w14:textId="77777777">
        <w:tc>
          <w:tcPr>
            <w:tcW w:w="3685" w:type="dxa"/>
          </w:tcPr>
          <w:p w14:paraId="553C581B" w14:textId="77777777" w:rsidR="00B2442D" w:rsidRDefault="008A645F">
            <w:pPr>
              <w:jc w:val="both"/>
              <w:rPr>
                <w:rFonts w:ascii="Arial" w:hAnsi="Arial" w:cs="Arial"/>
                <w:lang w:val="es-CO"/>
              </w:rPr>
            </w:pPr>
            <w:r>
              <w:rPr>
                <w:rFonts w:ascii="Arial" w:hAnsi="Arial" w:cs="Arial"/>
                <w:lang w:val="es-CO"/>
              </w:rPr>
              <w:t xml:space="preserve">6° año y </w:t>
            </w:r>
            <w:r>
              <w:rPr>
                <w:rFonts w:ascii="Arial" w:hAnsi="Arial" w:cs="Arial"/>
                <w:lang w:val="es-CO"/>
              </w:rPr>
              <w:t>siguientes</w:t>
            </w:r>
          </w:p>
        </w:tc>
        <w:tc>
          <w:tcPr>
            <w:tcW w:w="4253" w:type="dxa"/>
          </w:tcPr>
          <w:p w14:paraId="070CD5B6" w14:textId="77777777" w:rsidR="00B2442D" w:rsidRDefault="008A645F">
            <w:pPr>
              <w:jc w:val="both"/>
              <w:rPr>
                <w:rFonts w:ascii="Arial" w:hAnsi="Arial" w:cs="Arial"/>
                <w:lang w:val="es-CO"/>
              </w:rPr>
            </w:pPr>
            <w:r>
              <w:rPr>
                <w:rFonts w:ascii="Arial" w:hAnsi="Arial" w:cs="Arial"/>
                <w:lang w:val="es-CO"/>
              </w:rPr>
              <w:t>Cero por ciento (0%)</w:t>
            </w:r>
          </w:p>
        </w:tc>
      </w:tr>
    </w:tbl>
    <w:p w14:paraId="524449CC" w14:textId="77777777" w:rsidR="00B2442D" w:rsidRDefault="00B2442D">
      <w:pPr>
        <w:jc w:val="both"/>
        <w:rPr>
          <w:rFonts w:ascii="Arial" w:hAnsi="Arial" w:cs="Arial"/>
          <w:lang w:val="es-CO"/>
        </w:rPr>
      </w:pPr>
    </w:p>
    <w:p w14:paraId="20D00A5A" w14:textId="77777777" w:rsidR="00B2442D" w:rsidRDefault="008A645F">
      <w:pPr>
        <w:jc w:val="both"/>
        <w:rPr>
          <w:rFonts w:ascii="Arial" w:hAnsi="Arial" w:cs="Arial"/>
          <w:lang w:val="es-CO"/>
        </w:rPr>
      </w:pPr>
      <w:r>
        <w:rPr>
          <w:rFonts w:ascii="Arial" w:hAnsi="Arial" w:cs="Arial"/>
          <w:lang w:val="es-CO"/>
        </w:rPr>
        <w:t>Para las Empresas que tengan su domicilio principal y desarrollen toda su actividad económica en los departamentos de Amazonas, Guainía y Vaupés, los porcentajes serán los siguientes:</w:t>
      </w:r>
    </w:p>
    <w:p w14:paraId="6829E01B" w14:textId="77777777" w:rsidR="00B2442D" w:rsidRDefault="00B2442D">
      <w:pPr>
        <w:jc w:val="both"/>
        <w:rPr>
          <w:rFonts w:ascii="Arial" w:hAnsi="Arial" w:cs="Arial"/>
          <w:lang w:val="es-CO"/>
        </w:rPr>
      </w:pPr>
    </w:p>
    <w:tbl>
      <w:tblPr>
        <w:tblW w:w="0" w:type="auto"/>
        <w:tblInd w:w="959" w:type="dxa"/>
        <w:tblLook w:val="04A0" w:firstRow="1" w:lastRow="0" w:firstColumn="1" w:lastColumn="0" w:noHBand="0" w:noVBand="1"/>
      </w:tblPr>
      <w:tblGrid>
        <w:gridCol w:w="3656"/>
        <w:gridCol w:w="4223"/>
      </w:tblGrid>
      <w:tr w:rsidR="00B2442D" w14:paraId="4A651341" w14:textId="77777777">
        <w:tc>
          <w:tcPr>
            <w:tcW w:w="3685" w:type="dxa"/>
          </w:tcPr>
          <w:p w14:paraId="29875B9A" w14:textId="77777777" w:rsidR="00B2442D" w:rsidRDefault="008A645F">
            <w:pPr>
              <w:jc w:val="center"/>
              <w:rPr>
                <w:rFonts w:ascii="Arial" w:hAnsi="Arial" w:cs="Arial"/>
                <w:b/>
                <w:lang w:val="es-CO"/>
              </w:rPr>
            </w:pPr>
            <w:r>
              <w:rPr>
                <w:rFonts w:ascii="Arial" w:hAnsi="Arial" w:cs="Arial"/>
                <w:b/>
                <w:lang w:val="es-CO"/>
              </w:rPr>
              <w:t>AÑO</w:t>
            </w:r>
          </w:p>
        </w:tc>
        <w:tc>
          <w:tcPr>
            <w:tcW w:w="4253" w:type="dxa"/>
          </w:tcPr>
          <w:p w14:paraId="48D1FD15" w14:textId="77777777" w:rsidR="00B2442D" w:rsidRDefault="008A645F">
            <w:pPr>
              <w:jc w:val="center"/>
              <w:rPr>
                <w:rFonts w:ascii="Arial" w:hAnsi="Arial" w:cs="Arial"/>
                <w:b/>
                <w:lang w:val="es-CO"/>
              </w:rPr>
            </w:pPr>
            <w:r>
              <w:rPr>
                <w:rFonts w:ascii="Arial" w:hAnsi="Arial" w:cs="Arial"/>
                <w:b/>
                <w:lang w:val="es-CO"/>
              </w:rPr>
              <w:t>PORCENTAJE</w:t>
            </w:r>
          </w:p>
          <w:p w14:paraId="3AE6FC2D" w14:textId="77777777" w:rsidR="00B2442D" w:rsidRDefault="00B2442D">
            <w:pPr>
              <w:jc w:val="center"/>
              <w:rPr>
                <w:rFonts w:ascii="Arial" w:hAnsi="Arial" w:cs="Arial"/>
                <w:b/>
                <w:lang w:val="es-CO"/>
              </w:rPr>
            </w:pPr>
          </w:p>
        </w:tc>
      </w:tr>
      <w:tr w:rsidR="00B2442D" w14:paraId="789DA2B6" w14:textId="77777777">
        <w:tc>
          <w:tcPr>
            <w:tcW w:w="3685" w:type="dxa"/>
          </w:tcPr>
          <w:p w14:paraId="22A07457" w14:textId="77777777" w:rsidR="00B2442D" w:rsidRDefault="008A645F">
            <w:pPr>
              <w:jc w:val="both"/>
              <w:rPr>
                <w:rFonts w:ascii="Arial" w:hAnsi="Arial" w:cs="Arial"/>
                <w:lang w:val="es-CO"/>
              </w:rPr>
            </w:pPr>
            <w:r>
              <w:rPr>
                <w:rFonts w:ascii="Arial" w:hAnsi="Arial" w:cs="Arial"/>
                <w:lang w:val="es-CO"/>
              </w:rPr>
              <w:t xml:space="preserve">1°, 2°, 3°, 4°, </w:t>
            </w:r>
            <w:r>
              <w:rPr>
                <w:rFonts w:ascii="Arial" w:hAnsi="Arial" w:cs="Arial"/>
                <w:lang w:val="es-CO"/>
              </w:rPr>
              <w:t>5°, 6°, 7° y 8°</w:t>
            </w:r>
          </w:p>
        </w:tc>
        <w:tc>
          <w:tcPr>
            <w:tcW w:w="4253" w:type="dxa"/>
          </w:tcPr>
          <w:p w14:paraId="009BEB47" w14:textId="77777777" w:rsidR="00B2442D" w:rsidRDefault="008A645F">
            <w:pPr>
              <w:jc w:val="both"/>
              <w:rPr>
                <w:rFonts w:ascii="Arial" w:hAnsi="Arial" w:cs="Arial"/>
                <w:lang w:val="es-CO"/>
              </w:rPr>
            </w:pPr>
            <w:r>
              <w:rPr>
                <w:rFonts w:ascii="Arial" w:hAnsi="Arial" w:cs="Arial"/>
                <w:lang w:val="es-CO"/>
              </w:rPr>
              <w:t>Ciento por ciento (100%)</w:t>
            </w:r>
          </w:p>
        </w:tc>
      </w:tr>
      <w:tr w:rsidR="00B2442D" w14:paraId="037679FC" w14:textId="77777777">
        <w:tc>
          <w:tcPr>
            <w:tcW w:w="3685" w:type="dxa"/>
          </w:tcPr>
          <w:p w14:paraId="5278087E" w14:textId="77777777" w:rsidR="00B2442D" w:rsidRDefault="008A645F">
            <w:pPr>
              <w:jc w:val="both"/>
              <w:rPr>
                <w:rFonts w:ascii="Arial" w:hAnsi="Arial" w:cs="Arial"/>
                <w:lang w:val="es-CO"/>
              </w:rPr>
            </w:pPr>
            <w:r>
              <w:rPr>
                <w:rFonts w:ascii="Arial" w:hAnsi="Arial" w:cs="Arial"/>
                <w:lang w:val="es-CO"/>
              </w:rPr>
              <w:t>9°</w:t>
            </w:r>
          </w:p>
        </w:tc>
        <w:tc>
          <w:tcPr>
            <w:tcW w:w="4253" w:type="dxa"/>
          </w:tcPr>
          <w:p w14:paraId="61EAB033" w14:textId="77777777" w:rsidR="00B2442D" w:rsidRDefault="008A645F">
            <w:pPr>
              <w:jc w:val="both"/>
              <w:rPr>
                <w:rFonts w:ascii="Arial" w:hAnsi="Arial" w:cs="Arial"/>
                <w:lang w:val="es-CO"/>
              </w:rPr>
            </w:pPr>
            <w:r>
              <w:rPr>
                <w:rFonts w:ascii="Arial" w:hAnsi="Arial" w:cs="Arial"/>
                <w:lang w:val="es-CO"/>
              </w:rPr>
              <w:t>Cincuenta por ciento (50%)</w:t>
            </w:r>
          </w:p>
        </w:tc>
      </w:tr>
      <w:tr w:rsidR="00B2442D" w14:paraId="4C6562DD" w14:textId="77777777">
        <w:tc>
          <w:tcPr>
            <w:tcW w:w="3685" w:type="dxa"/>
          </w:tcPr>
          <w:p w14:paraId="733269C6" w14:textId="77777777" w:rsidR="00B2442D" w:rsidRDefault="008A645F">
            <w:pPr>
              <w:jc w:val="both"/>
              <w:rPr>
                <w:rFonts w:ascii="Arial" w:hAnsi="Arial" w:cs="Arial"/>
                <w:lang w:val="es-CO"/>
              </w:rPr>
            </w:pPr>
            <w:r>
              <w:rPr>
                <w:rFonts w:ascii="Arial" w:hAnsi="Arial" w:cs="Arial"/>
                <w:lang w:val="es-CO"/>
              </w:rPr>
              <w:t>10°</w:t>
            </w:r>
          </w:p>
        </w:tc>
        <w:tc>
          <w:tcPr>
            <w:tcW w:w="4253" w:type="dxa"/>
          </w:tcPr>
          <w:p w14:paraId="7010B7BB" w14:textId="77777777" w:rsidR="00B2442D" w:rsidRDefault="008A645F">
            <w:pPr>
              <w:jc w:val="both"/>
              <w:rPr>
                <w:rFonts w:ascii="Arial" w:hAnsi="Arial" w:cs="Arial"/>
                <w:lang w:val="es-CO"/>
              </w:rPr>
            </w:pPr>
            <w:r>
              <w:rPr>
                <w:rFonts w:ascii="Arial" w:hAnsi="Arial" w:cs="Arial"/>
                <w:lang w:val="es-CO"/>
              </w:rPr>
              <w:t>Veinticinco por ciento (25%)</w:t>
            </w:r>
          </w:p>
        </w:tc>
      </w:tr>
      <w:tr w:rsidR="00B2442D" w14:paraId="6EBCF141" w14:textId="77777777">
        <w:tc>
          <w:tcPr>
            <w:tcW w:w="3685" w:type="dxa"/>
          </w:tcPr>
          <w:p w14:paraId="688EA1B5" w14:textId="77777777" w:rsidR="00B2442D" w:rsidRDefault="008A645F">
            <w:pPr>
              <w:jc w:val="both"/>
              <w:rPr>
                <w:rFonts w:ascii="Arial" w:hAnsi="Arial" w:cs="Arial"/>
                <w:lang w:val="es-CO"/>
              </w:rPr>
            </w:pPr>
            <w:r>
              <w:rPr>
                <w:rFonts w:ascii="Arial" w:hAnsi="Arial" w:cs="Arial"/>
                <w:lang w:val="es-CO"/>
              </w:rPr>
              <w:t>11° año y siguientes</w:t>
            </w:r>
          </w:p>
        </w:tc>
        <w:tc>
          <w:tcPr>
            <w:tcW w:w="4253" w:type="dxa"/>
          </w:tcPr>
          <w:p w14:paraId="42DE8C66" w14:textId="77777777" w:rsidR="00B2442D" w:rsidRDefault="008A645F">
            <w:pPr>
              <w:jc w:val="both"/>
              <w:rPr>
                <w:rFonts w:ascii="Arial" w:hAnsi="Arial" w:cs="Arial"/>
                <w:lang w:val="es-CO"/>
              </w:rPr>
            </w:pPr>
            <w:r>
              <w:rPr>
                <w:rFonts w:ascii="Arial" w:hAnsi="Arial" w:cs="Arial"/>
                <w:lang w:val="es-CO"/>
              </w:rPr>
              <w:t>Cero por ciento (0%)</w:t>
            </w:r>
          </w:p>
        </w:tc>
      </w:tr>
    </w:tbl>
    <w:p w14:paraId="61804066" w14:textId="77777777" w:rsidR="00B2442D" w:rsidRDefault="00B2442D">
      <w:pPr>
        <w:jc w:val="both"/>
        <w:rPr>
          <w:rFonts w:ascii="Arial" w:hAnsi="Arial" w:cs="Arial"/>
          <w:lang w:val="es-CO"/>
        </w:rPr>
      </w:pPr>
    </w:p>
    <w:p w14:paraId="10337794" w14:textId="77777777" w:rsidR="00B2442D" w:rsidRDefault="008A645F">
      <w:pPr>
        <w:jc w:val="both"/>
        <w:rPr>
          <w:rFonts w:ascii="Arial" w:hAnsi="Arial" w:cs="Arial"/>
          <w:lang w:val="es-CO"/>
        </w:rPr>
      </w:pPr>
      <w:r>
        <w:rPr>
          <w:rFonts w:ascii="Arial" w:hAnsi="Arial" w:cs="Arial"/>
          <w:lang w:val="es-CO"/>
        </w:rPr>
        <w:t xml:space="preserve">El resultado de la operación anterior será el impuesto a cargo en el correspondiente periodo </w:t>
      </w:r>
      <w:r>
        <w:rPr>
          <w:rFonts w:ascii="Arial" w:hAnsi="Arial" w:cs="Arial"/>
          <w:lang w:val="es-CO"/>
        </w:rPr>
        <w:t>gravable.</w:t>
      </w:r>
    </w:p>
    <w:p w14:paraId="217F192C" w14:textId="77777777" w:rsidR="00B2442D" w:rsidRDefault="00B2442D">
      <w:pPr>
        <w:jc w:val="both"/>
        <w:rPr>
          <w:rFonts w:ascii="Arial" w:hAnsi="Arial" w:cs="Arial"/>
          <w:lang w:val="es-CO"/>
        </w:rPr>
      </w:pPr>
    </w:p>
    <w:p w14:paraId="23F56D80"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A las Nuevas Pequeñas Empresas o Pequeñas Empresas Preexistentes que en el quinto (5°) año contado a partir del año gravable en que se realizó la inscripción en el Registro Mercantil en la correspondiente Cámara de Comercio, o conta</w:t>
      </w:r>
      <w:r>
        <w:rPr>
          <w:rFonts w:ascii="Arial" w:hAnsi="Arial" w:cs="Arial"/>
          <w:lang w:val="es-CO"/>
        </w:rPr>
        <w:t>do a partir del año gravable en que se hayan cumplido los requisitos a que se refiere el literal b) del artículo 1.2.1.23.1 del presente Decreto, según se trate de Nuevas Pequeñas Empresas o Pequeñas Empresas Preexistentes, hubieren obtenido ingresos bruto</w:t>
      </w:r>
      <w:r>
        <w:rPr>
          <w:rFonts w:ascii="Arial" w:hAnsi="Arial" w:cs="Arial"/>
          <w:lang w:val="es-CO"/>
        </w:rPr>
        <w:t xml:space="preserve">s totales provenientes de la actividad económica mercantil, inferiores a mil (1.000) UVT se les aplicará en el sexto (6°) año, sobre la renta objeto del beneficio, el cincuenta por ciento (50%) de la tarifa general del artículo 240 del Estatuto Tributario </w:t>
      </w:r>
      <w:r>
        <w:rPr>
          <w:rFonts w:ascii="Arial" w:hAnsi="Arial" w:cs="Arial"/>
          <w:lang w:val="es-CO"/>
        </w:rPr>
        <w:t>o el cincuenta por ciento (50%) de la tarifa marginal que corresponda en la tabla del impuesto sobre la renta y complementario contenida en el artículo 241 del mismo Estatuto, según se trate de Nueva Pequeña Empresa o Pequeña Empresa Preexistente persona j</w:t>
      </w:r>
      <w:r>
        <w:rPr>
          <w:rFonts w:ascii="Arial" w:hAnsi="Arial" w:cs="Arial"/>
          <w:lang w:val="es-CO"/>
        </w:rPr>
        <w:t>urídica o de persona natural. Tratándose de pequeñas empresas de personas naturales, para el efecto se utilizará el procedimiento previsto en el parágrafo 1° del presente artículo.</w:t>
      </w:r>
    </w:p>
    <w:p w14:paraId="19768A0A" w14:textId="77777777" w:rsidR="00B2442D" w:rsidRDefault="00B2442D">
      <w:pPr>
        <w:jc w:val="both"/>
        <w:rPr>
          <w:rFonts w:ascii="Arial" w:hAnsi="Arial" w:cs="Arial"/>
          <w:lang w:val="es-CO"/>
        </w:rPr>
      </w:pPr>
    </w:p>
    <w:p w14:paraId="739A607F"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A las Nuevas Pequeñas Empresas o Pequeñas Empresas Preexisten</w:t>
      </w:r>
      <w:r>
        <w:rPr>
          <w:rFonts w:ascii="Arial" w:hAnsi="Arial" w:cs="Arial"/>
          <w:lang w:val="es-CO"/>
        </w:rPr>
        <w:t>tes que tengan su domicilio principal y desarrollen toda su actividad económica en los departamentos de Amazonas, Guainía y Vaupés que en el décimo (10) año contado a partir del año gravable en que se realizó la inscripción en el Registro Mercantil en la c</w:t>
      </w:r>
      <w:r>
        <w:rPr>
          <w:rFonts w:ascii="Arial" w:hAnsi="Arial" w:cs="Arial"/>
          <w:lang w:val="es-CO"/>
        </w:rPr>
        <w:t>orrespondiente Cámara de Comercio, o contado a partir del año gravable en que se hayan cumplido los requisitos a que se refiere el literal b) del artículo 1.2.1.23.1 del presente decreto, según se trate de Nuevas Pequeñas Empresas o Pequeñas Empresas Preex</w:t>
      </w:r>
      <w:r>
        <w:rPr>
          <w:rFonts w:ascii="Arial" w:hAnsi="Arial" w:cs="Arial"/>
          <w:lang w:val="es-CO"/>
        </w:rPr>
        <w:t>istentes, hubieren obtenido ingresos brutos totales provenientes de la actividad económica mercantil, inferiores a mil (1.000) UVT, se les aplicará en el undécimo (11) año sobre la renta objeto del beneficio el cincuenta por ciento (50%) de la tarifa gener</w:t>
      </w:r>
      <w:r>
        <w:rPr>
          <w:rFonts w:ascii="Arial" w:hAnsi="Arial" w:cs="Arial"/>
          <w:lang w:val="es-CO"/>
        </w:rPr>
        <w:t>al del artículo 240 del Estatuto Tributario o el cincuenta por ciento (50%) de la tarifa marginal que corresponda en la tabla del impuesto sobre la renta y complementario contenida en el artículo 241 del mismo Estatuto, según se trate de Nueva Pequeña Empr</w:t>
      </w:r>
      <w:r>
        <w:rPr>
          <w:rFonts w:ascii="Arial" w:hAnsi="Arial" w:cs="Arial"/>
          <w:lang w:val="es-CO"/>
        </w:rPr>
        <w:t>esa o Pequeña Empresa Preexistente persona jurídica o de persona natural. Tratándose de pequeñas empresas de personas naturales, para el efecto se utilizará el procedimiento previsto en el parágrafo 1° del presente artículo.</w:t>
      </w:r>
    </w:p>
    <w:p w14:paraId="0474D131" w14:textId="77777777" w:rsidR="00B2442D" w:rsidRDefault="00B2442D">
      <w:pPr>
        <w:jc w:val="both"/>
        <w:rPr>
          <w:rFonts w:ascii="Arial" w:hAnsi="Arial" w:cs="Arial"/>
          <w:lang w:val="es-CO"/>
        </w:rPr>
      </w:pPr>
    </w:p>
    <w:p w14:paraId="1089EB64"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Las Nuevas Pequeñ</w:t>
      </w:r>
      <w:r>
        <w:rPr>
          <w:rFonts w:ascii="Arial" w:hAnsi="Arial" w:cs="Arial"/>
          <w:lang w:val="es-CO"/>
        </w:rPr>
        <w:t>as Empresas y las Pequeñas Empresas Preexistentes personas jurídicas y asimiladas, en la determinación de los dividendos y participaciones susceptibles de distribuirse como no gravados observarán lo dispuesto en los artículos 48 y 49 del Estatuto Tributari</w:t>
      </w:r>
      <w:r>
        <w:rPr>
          <w:rFonts w:ascii="Arial" w:hAnsi="Arial" w:cs="Arial"/>
          <w:lang w:val="es-CO"/>
        </w:rPr>
        <w:t>o.</w:t>
      </w:r>
    </w:p>
    <w:p w14:paraId="161823B6" w14:textId="77777777" w:rsidR="00B2442D" w:rsidRDefault="00B2442D">
      <w:pPr>
        <w:jc w:val="both"/>
        <w:rPr>
          <w:rFonts w:ascii="Arial" w:hAnsi="Arial" w:cs="Arial"/>
          <w:i/>
          <w:lang w:val="es-CO"/>
        </w:rPr>
      </w:pPr>
    </w:p>
    <w:p w14:paraId="371EC26D" w14:textId="77777777" w:rsidR="00B2442D" w:rsidRDefault="008A645F">
      <w:pPr>
        <w:jc w:val="both"/>
        <w:rPr>
          <w:rFonts w:ascii="Arial" w:hAnsi="Arial" w:cs="Arial"/>
          <w:i/>
          <w:lang w:val="es-CO"/>
        </w:rPr>
      </w:pPr>
      <w:r>
        <w:rPr>
          <w:rFonts w:ascii="Arial" w:hAnsi="Arial" w:cs="Arial"/>
          <w:i/>
          <w:lang w:val="es-CO"/>
        </w:rPr>
        <w:t>(Art. 3, Decreto 4910 de 2011)</w:t>
      </w:r>
    </w:p>
    <w:p w14:paraId="3215AA1D" w14:textId="77777777" w:rsidR="00B2442D" w:rsidRDefault="00B2442D">
      <w:pPr>
        <w:jc w:val="both"/>
        <w:rPr>
          <w:rFonts w:ascii="Arial" w:hAnsi="Arial" w:cs="Arial"/>
          <w:lang w:val="es-CO"/>
        </w:rPr>
      </w:pPr>
    </w:p>
    <w:p w14:paraId="042BDE33"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 xml:space="preserve">Régimen de retenciones en la fuente, renta presuntiva y efecto de las pérdidas fiscales. </w:t>
      </w:r>
      <w:r>
        <w:rPr>
          <w:rFonts w:ascii="Arial" w:hAnsi="Arial" w:cs="Arial"/>
          <w:lang w:val="es-CO"/>
        </w:rPr>
        <w:t>Conforme con los parágrafos 2°, 3° y 5° del artículo 4° de la Ley 1429 de 2010, las Nuevas Pequeñas Empresas o Pequeñas Empresas Pr</w:t>
      </w:r>
      <w:r>
        <w:rPr>
          <w:rFonts w:ascii="Arial" w:hAnsi="Arial" w:cs="Arial"/>
          <w:lang w:val="es-CO"/>
        </w:rPr>
        <w:t>eexistentes que cumplan la totalidad de los requisitos y condiciones exigidos para acceder al beneficio de progresividad en el pago del impuesto sobre la renta y complementario a que se refiere el artículo anterior, tienen, además, los siguientes beneficio</w:t>
      </w:r>
      <w:r>
        <w:rPr>
          <w:rFonts w:ascii="Arial" w:hAnsi="Arial" w:cs="Arial"/>
          <w:lang w:val="es-CO"/>
        </w:rPr>
        <w:t>s:</w:t>
      </w:r>
    </w:p>
    <w:p w14:paraId="21F7FED4" w14:textId="77777777" w:rsidR="00B2442D" w:rsidRDefault="00B2442D">
      <w:pPr>
        <w:jc w:val="both"/>
        <w:rPr>
          <w:rFonts w:ascii="Arial" w:hAnsi="Arial" w:cs="Arial"/>
          <w:lang w:val="es-CO"/>
        </w:rPr>
      </w:pPr>
    </w:p>
    <w:p w14:paraId="41F7DC9D" w14:textId="77777777" w:rsidR="00B2442D" w:rsidRDefault="008A645F">
      <w:pPr>
        <w:jc w:val="both"/>
        <w:rPr>
          <w:rFonts w:ascii="Arial" w:hAnsi="Arial" w:cs="Arial"/>
          <w:lang w:val="es-CO"/>
        </w:rPr>
      </w:pPr>
      <w:r>
        <w:rPr>
          <w:rFonts w:ascii="Arial" w:hAnsi="Arial" w:cs="Arial"/>
          <w:lang w:val="es-CO"/>
        </w:rPr>
        <w:t>1. No son sujetos pasivos de retenciones en la fuente a título del impuesto sobre la renta y complementario en los cinco (5) primeros años gravables contados a partir del año gravable en que se realice la inscripción en el registro mercantil en la corr</w:t>
      </w:r>
      <w:r>
        <w:rPr>
          <w:rFonts w:ascii="Arial" w:hAnsi="Arial" w:cs="Arial"/>
          <w:lang w:val="es-CO"/>
        </w:rPr>
        <w:t>espondiente Cámara de Comercio, o contados a partir del año gravable en que se hayan cumplido los requisitos a que se refiere el literal b) del artículo 1.2.1.23.1 del presente decreto, según se trate de Nuevas Pequeñas Empresas o Pequeñas Empresas Preexis</w:t>
      </w:r>
      <w:r>
        <w:rPr>
          <w:rFonts w:ascii="Arial" w:hAnsi="Arial" w:cs="Arial"/>
          <w:lang w:val="es-CO"/>
        </w:rPr>
        <w:t xml:space="preserve">tentes, y por estos mismos primeros cinco (5) años gravables no están sujetos al sistema de renta presuntiva de que trata el artículo 188 del Estatuto Tributario. A partir del sexto (6°) año gravable están sometidas a retenciones en la fuente y al sistema </w:t>
      </w:r>
      <w:r>
        <w:rPr>
          <w:rFonts w:ascii="Arial" w:hAnsi="Arial" w:cs="Arial"/>
          <w:lang w:val="es-CO"/>
        </w:rPr>
        <w:t>de renta presuntiva.</w:t>
      </w:r>
    </w:p>
    <w:p w14:paraId="5CD74574" w14:textId="77777777" w:rsidR="00B2442D" w:rsidRDefault="00B2442D">
      <w:pPr>
        <w:jc w:val="both"/>
        <w:rPr>
          <w:rFonts w:ascii="Arial" w:hAnsi="Arial" w:cs="Arial"/>
          <w:lang w:val="es-CO"/>
        </w:rPr>
      </w:pPr>
    </w:p>
    <w:p w14:paraId="49906BDA" w14:textId="77777777" w:rsidR="00B2442D" w:rsidRDefault="008A645F">
      <w:pPr>
        <w:jc w:val="both"/>
        <w:rPr>
          <w:rFonts w:ascii="Arial" w:hAnsi="Arial" w:cs="Arial"/>
          <w:lang w:val="es-CO"/>
        </w:rPr>
      </w:pPr>
      <w:r>
        <w:rPr>
          <w:rFonts w:ascii="Arial" w:hAnsi="Arial" w:cs="Arial"/>
          <w:lang w:val="es-CO"/>
        </w:rPr>
        <w:t>Tratándose de Nuevas Pequeñas Empresas o Pequeñas Empresas Preexistentes que tengan su domicilio principal y desarrollen toda su actividad económica en los departamentos de Amazonas, Guainía y Vaupés, no son sujetos pasivos de retenci</w:t>
      </w:r>
      <w:r>
        <w:rPr>
          <w:rFonts w:ascii="Arial" w:hAnsi="Arial" w:cs="Arial"/>
          <w:lang w:val="es-CO"/>
        </w:rPr>
        <w:t>ones en la fuente a título del impuesto sobre la renta y complementario en los diez (10) primeros años gravables contados a partir del año gravable en que se realice la inscripción en el registro mercantil en la correspondiente Cámara de Comercio, o contad</w:t>
      </w:r>
      <w:r>
        <w:rPr>
          <w:rFonts w:ascii="Arial" w:hAnsi="Arial" w:cs="Arial"/>
          <w:lang w:val="es-CO"/>
        </w:rPr>
        <w:t>os a partir del año gravable en que se hayan cumplido los requisitos a que se refiere el literal b) del artículo 1.2.1.23.1  del presente decreto, según se trate de Nuevas Pequeñas Empresas o Pequeñas Empresas Preexistentes. Y por estos mismos diez (10) pr</w:t>
      </w:r>
      <w:r>
        <w:rPr>
          <w:rFonts w:ascii="Arial" w:hAnsi="Arial" w:cs="Arial"/>
          <w:lang w:val="es-CO"/>
        </w:rPr>
        <w:t>imeros años gravables no están sujetas al sistema de renta presuntiva de que trata el artículo 188 del Estatuto Tributario. A partir del undécimo (11) año gravable están sometidas a retenciones en la fuente y al sistema de renta presuntiva.</w:t>
      </w:r>
    </w:p>
    <w:p w14:paraId="44865593" w14:textId="77777777" w:rsidR="00B2442D" w:rsidRDefault="00B2442D">
      <w:pPr>
        <w:jc w:val="both"/>
        <w:rPr>
          <w:rFonts w:ascii="Arial" w:hAnsi="Arial" w:cs="Arial"/>
          <w:lang w:val="es-CO"/>
        </w:rPr>
      </w:pPr>
    </w:p>
    <w:p w14:paraId="708DB7E6" w14:textId="77777777" w:rsidR="00B2442D" w:rsidRDefault="008A645F">
      <w:pPr>
        <w:jc w:val="both"/>
        <w:rPr>
          <w:rFonts w:ascii="Arial" w:hAnsi="Arial" w:cs="Arial"/>
          <w:lang w:val="es-CO"/>
        </w:rPr>
      </w:pPr>
      <w:r>
        <w:rPr>
          <w:rFonts w:ascii="Arial" w:hAnsi="Arial" w:cs="Arial"/>
          <w:lang w:val="es-CO"/>
        </w:rPr>
        <w:t>Para efectos d</w:t>
      </w:r>
      <w:r>
        <w:rPr>
          <w:rFonts w:ascii="Arial" w:hAnsi="Arial" w:cs="Arial"/>
          <w:lang w:val="es-CO"/>
        </w:rPr>
        <w:t>el no sometimiento a retenciones en la fuente a título del impuesto sobre la renta, las nuevas pequeñas empresas creadas en el período gravable, deberán probar ante el agente retenedor la calidad de beneficiarios de la Ley 1429 de 2010, mediante certificad</w:t>
      </w:r>
      <w:r>
        <w:rPr>
          <w:rFonts w:ascii="Arial" w:hAnsi="Arial" w:cs="Arial"/>
          <w:lang w:val="es-CO"/>
        </w:rPr>
        <w:t xml:space="preserve">o suscrito por el representante legal de la empresa cuando esta corresponda a persona jurídica o por el contribuyente cuando corresponda a persona natural, en el que haga constar bajo la gravedad del juramento, que ostenta la calidad de beneficiario de la </w:t>
      </w:r>
      <w:r>
        <w:rPr>
          <w:rFonts w:ascii="Arial" w:hAnsi="Arial" w:cs="Arial"/>
          <w:lang w:val="es-CO"/>
        </w:rPr>
        <w:t xml:space="preserve">Ley 1429 de 2010 porque cumple todos los requisitos exigidos en la ley y los reglamentos, anexando certificado de la cámara de comercio en el que se constate la fecha del inicio de su actividad económica empresarial conforme con el artículo 1.2.1.23.1 del </w:t>
      </w:r>
      <w:r>
        <w:rPr>
          <w:rFonts w:ascii="Arial" w:hAnsi="Arial" w:cs="Arial"/>
          <w:lang w:val="es-CO"/>
        </w:rPr>
        <w:t>presente decreto o sea, la fecha de inscripción en el Registro Mercantil o su renovación y/o copia del RUT en la que conste que la fecha de inicio de actividades corresponde al mismo año gravable en que se realiza la respectiva operación.</w:t>
      </w:r>
    </w:p>
    <w:p w14:paraId="07D4E80C" w14:textId="77777777" w:rsidR="00B2442D" w:rsidRDefault="00B2442D">
      <w:pPr>
        <w:jc w:val="both"/>
        <w:rPr>
          <w:rFonts w:ascii="Arial" w:hAnsi="Arial" w:cs="Arial"/>
          <w:lang w:val="es-CO"/>
        </w:rPr>
      </w:pPr>
    </w:p>
    <w:p w14:paraId="0DD6C0A5" w14:textId="77777777" w:rsidR="00B2442D" w:rsidRDefault="008A645F">
      <w:pPr>
        <w:jc w:val="both"/>
        <w:rPr>
          <w:rFonts w:ascii="Arial" w:hAnsi="Arial" w:cs="Arial"/>
          <w:lang w:val="es-CO"/>
        </w:rPr>
      </w:pPr>
      <w:r>
        <w:rPr>
          <w:rFonts w:ascii="Arial" w:hAnsi="Arial" w:cs="Arial"/>
          <w:lang w:val="es-CO"/>
        </w:rPr>
        <w:t>En el caso de la</w:t>
      </w:r>
      <w:r>
        <w:rPr>
          <w:rFonts w:ascii="Arial" w:hAnsi="Arial" w:cs="Arial"/>
          <w:lang w:val="es-CO"/>
        </w:rPr>
        <w:t>s demás nuevas pequeñas empresas o de las pequeñas empresas preexistentes, para efectos del no sometimiento a retenciones en la fuente a título del impuesto sobre la renta en el respectivo año gravable, el agente retenedor deberá, consultar el Número de Id</w:t>
      </w:r>
      <w:r>
        <w:rPr>
          <w:rFonts w:ascii="Arial" w:hAnsi="Arial" w:cs="Arial"/>
          <w:lang w:val="es-CO"/>
        </w:rPr>
        <w:t>entificación Tributaria (NIT) en la página web de la Unidad Administrativa Especial - Dirección de Impuestos y Aduanas Nacionales(DIAN), para comprobar si la empresa conserva o no la calidad de beneficiaria de la Ley 1429 de 2010. En caso de no obtener res</w:t>
      </w:r>
      <w:r>
        <w:rPr>
          <w:rFonts w:ascii="Arial" w:hAnsi="Arial" w:cs="Arial"/>
          <w:lang w:val="es-CO"/>
        </w:rPr>
        <w:t>ultado en dicha consulta, el beneficiario deberá adjuntar los documentos mencionados en el inciso anterior, para efectos de acreditar su calidad de beneficiario del no sometimiento a retenciones en la fuente a título de impuesto sobre la renta.</w:t>
      </w:r>
    </w:p>
    <w:p w14:paraId="02A93AD5" w14:textId="77777777" w:rsidR="00B2442D" w:rsidRDefault="00B2442D">
      <w:pPr>
        <w:jc w:val="both"/>
        <w:rPr>
          <w:rFonts w:ascii="Arial" w:hAnsi="Arial" w:cs="Arial"/>
          <w:lang w:val="es-CO"/>
        </w:rPr>
      </w:pPr>
    </w:p>
    <w:p w14:paraId="3142BC65" w14:textId="77777777" w:rsidR="00B2442D" w:rsidRDefault="008A645F">
      <w:pPr>
        <w:jc w:val="both"/>
        <w:rPr>
          <w:rFonts w:ascii="Arial" w:hAnsi="Arial" w:cs="Arial"/>
          <w:lang w:val="es-CO"/>
        </w:rPr>
      </w:pPr>
      <w:r>
        <w:rPr>
          <w:rFonts w:ascii="Arial" w:hAnsi="Arial" w:cs="Arial"/>
          <w:lang w:val="es-CO"/>
        </w:rPr>
        <w:t>2. De acue</w:t>
      </w:r>
      <w:r>
        <w:rPr>
          <w:rFonts w:ascii="Arial" w:hAnsi="Arial" w:cs="Arial"/>
          <w:lang w:val="es-CO"/>
        </w:rPr>
        <w:t>rdo con lo previsto en el parágrafo 5° del artículo 4° de la Ley 1429 de 2010, cuando las Nuevas Pequeñas Empresas o Pequeñas Empresas Preexistentes generen pérdidas fiscales, podrán diferir la aplicación de la tarifa reducida del impuesto de renta que cor</w:t>
      </w:r>
      <w:r>
        <w:rPr>
          <w:rFonts w:ascii="Arial" w:hAnsi="Arial" w:cs="Arial"/>
          <w:lang w:val="es-CO"/>
        </w:rPr>
        <w:t xml:space="preserve">respondería aplicar si no hubiere ocurrido la pérdida, hasta el año inmediatamente siguiente en que se obtenga renta líquida gravable. Independientemente del año en que se inicie la aplicación de la tarifa reducida a que se refiere este decreto y/o de las </w:t>
      </w:r>
      <w:r>
        <w:rPr>
          <w:rFonts w:ascii="Arial" w:hAnsi="Arial" w:cs="Arial"/>
          <w:lang w:val="es-CO"/>
        </w:rPr>
        <w:t>veces que se difiera, en ningún caso el diferimiento podrá superar los cinco (5) años contados a partir del año gravable en que se realice la inscripción en el registro mercantil en la correspondiente Cámara de Comercio, o contados a partir del año gravabl</w:t>
      </w:r>
      <w:r>
        <w:rPr>
          <w:rFonts w:ascii="Arial" w:hAnsi="Arial" w:cs="Arial"/>
          <w:lang w:val="es-CO"/>
        </w:rPr>
        <w:t>e en que se hayan cumplido los requisitos a que se refiere el literal b) del artículo 1.2.1.23.1 del presente decreto, según se trate de Nuevas Pequeñas Empresas o Pequeñas Empresas Preexistentes.</w:t>
      </w:r>
    </w:p>
    <w:p w14:paraId="68423F51" w14:textId="77777777" w:rsidR="00B2442D" w:rsidRDefault="00B2442D">
      <w:pPr>
        <w:jc w:val="both"/>
        <w:rPr>
          <w:rFonts w:ascii="Arial" w:hAnsi="Arial" w:cs="Arial"/>
          <w:lang w:val="es-CO"/>
        </w:rPr>
      </w:pPr>
    </w:p>
    <w:p w14:paraId="5083E1FD" w14:textId="77777777" w:rsidR="00B2442D" w:rsidRDefault="008A645F">
      <w:pPr>
        <w:jc w:val="both"/>
        <w:rPr>
          <w:rFonts w:ascii="Arial" w:hAnsi="Arial" w:cs="Arial"/>
          <w:lang w:val="es-CO"/>
        </w:rPr>
      </w:pPr>
      <w:r>
        <w:rPr>
          <w:rFonts w:ascii="Arial" w:hAnsi="Arial" w:cs="Arial"/>
          <w:lang w:val="es-CO"/>
        </w:rPr>
        <w:t>Para las Nuevas Pequeñas Empresas o Pequeñas Empresas Pree</w:t>
      </w:r>
      <w:r>
        <w:rPr>
          <w:rFonts w:ascii="Arial" w:hAnsi="Arial" w:cs="Arial"/>
          <w:lang w:val="es-CO"/>
        </w:rPr>
        <w:t>xistentes que tengan su domicilio principal y desarrollen toda su actividad económica en los departamentos de Amazonas, Guainía y Vaupés, independientemente del año en que se inicie la aplicación de la tarifa reducida a que se refiere este decreto y/o de l</w:t>
      </w:r>
      <w:r>
        <w:rPr>
          <w:rFonts w:ascii="Arial" w:hAnsi="Arial" w:cs="Arial"/>
          <w:lang w:val="es-CO"/>
        </w:rPr>
        <w:t>as veces que se difiera, en ningún caso el diferimiento podrá superar los diez (10) años contados a partir del año gravable en que se realice la inscripción en el registro mercantil en la correspondiente Cámara de Comercio, o contados a partir del año grav</w:t>
      </w:r>
      <w:r>
        <w:rPr>
          <w:rFonts w:ascii="Arial" w:hAnsi="Arial" w:cs="Arial"/>
          <w:lang w:val="es-CO"/>
        </w:rPr>
        <w:t>able en que se hayan cumplido los requisitos a que se refiere el literal b) del artículo 1.2.1.23.1 del presente decreto, según se trate de Nuevas Pequeñas Empresas o Pequeñas Empresas Preexistentes.</w:t>
      </w:r>
    </w:p>
    <w:p w14:paraId="6E817F66" w14:textId="77777777" w:rsidR="00B2442D" w:rsidRDefault="00B2442D">
      <w:pPr>
        <w:jc w:val="both"/>
        <w:rPr>
          <w:rFonts w:ascii="Arial" w:hAnsi="Arial" w:cs="Arial"/>
          <w:lang w:val="es-CO"/>
        </w:rPr>
      </w:pPr>
    </w:p>
    <w:p w14:paraId="790159BF" w14:textId="77777777" w:rsidR="00B2442D" w:rsidRDefault="008A645F">
      <w:pPr>
        <w:jc w:val="both"/>
        <w:rPr>
          <w:rFonts w:ascii="Arial" w:hAnsi="Arial" w:cs="Arial"/>
          <w:lang w:val="es-CO"/>
        </w:rPr>
      </w:pPr>
      <w:r>
        <w:rPr>
          <w:rFonts w:ascii="Arial" w:hAnsi="Arial" w:cs="Arial"/>
          <w:lang w:val="es-CO"/>
        </w:rPr>
        <w:t>Lo anterior sin perjuicio de lo establecido para las so</w:t>
      </w:r>
      <w:r>
        <w:rPr>
          <w:rFonts w:ascii="Arial" w:hAnsi="Arial" w:cs="Arial"/>
          <w:lang w:val="es-CO"/>
        </w:rPr>
        <w:t>ciedades por el inciso 1° del artículo 147 del Estatuto Tributario, en relación con la compensación de pérdidas fiscales.</w:t>
      </w:r>
    </w:p>
    <w:p w14:paraId="43DCF198" w14:textId="77777777" w:rsidR="00B2442D" w:rsidRDefault="00B2442D">
      <w:pPr>
        <w:jc w:val="both"/>
        <w:rPr>
          <w:rFonts w:ascii="Arial" w:hAnsi="Arial" w:cs="Arial"/>
          <w:b/>
          <w:lang w:val="es-CO"/>
        </w:rPr>
      </w:pPr>
    </w:p>
    <w:p w14:paraId="0E2D1BC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 dispuesto en el numeral 1 del presente artículo no aplica para la autorretención a título del impuesto sobre la renta para la equidad (CREE) que en todos los casos debe practicarse por parte de los sujetos pasivos de dicho impuesto, independientemente </w:t>
      </w:r>
      <w:r>
        <w:rPr>
          <w:rFonts w:ascii="Arial" w:hAnsi="Arial" w:cs="Arial"/>
          <w:lang w:val="es-CO"/>
        </w:rPr>
        <w:t>de si son o no beneficiarios de la Ley 1429 de 2010.</w:t>
      </w:r>
    </w:p>
    <w:p w14:paraId="738F66AC" w14:textId="77777777" w:rsidR="00B2442D" w:rsidRDefault="00B2442D">
      <w:pPr>
        <w:jc w:val="both"/>
        <w:rPr>
          <w:rFonts w:ascii="Arial" w:hAnsi="Arial" w:cs="Arial"/>
          <w:i/>
          <w:lang w:val="es-CO"/>
        </w:rPr>
      </w:pPr>
    </w:p>
    <w:p w14:paraId="5F62DC54" w14:textId="77777777" w:rsidR="00B2442D" w:rsidRDefault="008A645F">
      <w:pPr>
        <w:jc w:val="both"/>
        <w:rPr>
          <w:rFonts w:ascii="Arial" w:hAnsi="Arial" w:cs="Arial"/>
          <w:i/>
          <w:lang w:val="es-CO"/>
        </w:rPr>
      </w:pPr>
      <w:r>
        <w:rPr>
          <w:rFonts w:ascii="Arial" w:hAnsi="Arial" w:cs="Arial"/>
          <w:i/>
          <w:lang w:val="es-CO"/>
        </w:rPr>
        <w:t>(Art. 4, Decreto 4910 de 2011, modificado el inciso tercero del numeral 1, adicionado un cuarto inciso al numeral 1 y  adicionado un parágrafo por los arts. 1, 2 y 3 del Decreto 1020 de 2014)</w:t>
      </w:r>
    </w:p>
    <w:p w14:paraId="6EAB687E" w14:textId="77777777" w:rsidR="00B2442D" w:rsidRDefault="00B2442D">
      <w:pPr>
        <w:jc w:val="both"/>
        <w:rPr>
          <w:rFonts w:ascii="Arial" w:hAnsi="Arial" w:cs="Arial"/>
          <w:lang w:val="es-CO"/>
        </w:rPr>
      </w:pPr>
    </w:p>
    <w:p w14:paraId="40D48BC8"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Prohibici</w:t>
      </w:r>
      <w:r>
        <w:rPr>
          <w:rFonts w:ascii="Arial" w:hAnsi="Arial" w:cs="Arial"/>
          <w:b/>
          <w:i/>
          <w:lang w:val="es-CO"/>
        </w:rPr>
        <w:t>ón para acceder al beneficio de progresividad en el pago del impuesto sobre la renta y complementario.</w:t>
      </w:r>
      <w:r>
        <w:rPr>
          <w:rFonts w:ascii="Arial" w:hAnsi="Arial" w:cs="Arial"/>
          <w:lang w:val="es-CO"/>
        </w:rPr>
        <w:t xml:space="preserve"> Conforme con lo dispuesto en el artículo 48 de la Ley 1429 de 2010 y sin perjuicio de lo previsto en el artículo 2.2.2.42.5 del Decreto 1074 de 2015, las</w:t>
      </w:r>
      <w:r>
        <w:rPr>
          <w:rFonts w:ascii="Arial" w:hAnsi="Arial" w:cs="Arial"/>
          <w:lang w:val="es-CO"/>
        </w:rPr>
        <w:t xml:space="preserve"> Pequeñas Empresas constituidas con posterioridad a la entrada en vigencia de la Ley 1429 de 2010, en las cuales el objeto social, la actividad, la nómina, el o los establecimientos de comercio, el domicilio, los intangibles o los activos que conformen su </w:t>
      </w:r>
      <w:r>
        <w:rPr>
          <w:rFonts w:ascii="Arial" w:hAnsi="Arial" w:cs="Arial"/>
          <w:lang w:val="es-CO"/>
        </w:rPr>
        <w:t>unidad de explotación económica sean los mismos de una empresa que haya sido disuelta, liquidada, escindida o inactiva con posterioridad a la entrada en vigencia de esa misma Ley, en ningún caso podrán acceder al beneficio de progresividad en el pago del i</w:t>
      </w:r>
      <w:r>
        <w:rPr>
          <w:rFonts w:ascii="Arial" w:hAnsi="Arial" w:cs="Arial"/>
          <w:lang w:val="es-CO"/>
        </w:rPr>
        <w:t>mpuesto sobre la renta y complementario contemplado en el artículo 4o de la citada Ley.</w:t>
      </w:r>
    </w:p>
    <w:p w14:paraId="3503419D" w14:textId="77777777" w:rsidR="00B2442D" w:rsidRDefault="00B2442D">
      <w:pPr>
        <w:jc w:val="both"/>
        <w:rPr>
          <w:rFonts w:ascii="Arial" w:hAnsi="Arial" w:cs="Arial"/>
          <w:lang w:val="es-CO"/>
        </w:rPr>
      </w:pPr>
    </w:p>
    <w:p w14:paraId="58F8E239" w14:textId="77777777" w:rsidR="00B2442D" w:rsidRDefault="008A645F">
      <w:pPr>
        <w:jc w:val="both"/>
        <w:rPr>
          <w:rFonts w:ascii="Arial" w:hAnsi="Arial" w:cs="Arial"/>
          <w:lang w:val="es-CO"/>
        </w:rPr>
      </w:pPr>
      <w:r>
        <w:rPr>
          <w:rFonts w:ascii="Arial" w:hAnsi="Arial" w:cs="Arial"/>
          <w:lang w:val="es-CO"/>
        </w:rPr>
        <w:t xml:space="preserve">Las pequeñas empresas que se hayan acogido al beneficio y adquieran la calidad de inactivas serán reportadas por las Cámaras de Comercio ante la Unidad Administrativa </w:t>
      </w:r>
      <w:r>
        <w:rPr>
          <w:rFonts w:ascii="Arial" w:hAnsi="Arial" w:cs="Arial"/>
          <w:lang w:val="es-CO"/>
        </w:rPr>
        <w:t>Especial Dirección de Impuestos y Aduanas Nacionales– DIAN y ante las entidades destinatarias de los aportes parafiscales, para que en ejercicio de sus respectivas competencias funcionales adelanten las actuaciones encaminadas a la restitución de los benef</w:t>
      </w:r>
      <w:r>
        <w:rPr>
          <w:rFonts w:ascii="Arial" w:hAnsi="Arial" w:cs="Arial"/>
          <w:lang w:val="es-CO"/>
        </w:rPr>
        <w:t>icios obtenidos violando la prohibición a que se refiere el artículo 48 ibídem, en concordancia con lo dispuesto en el presente artículo.</w:t>
      </w:r>
    </w:p>
    <w:p w14:paraId="5F0B9BC4" w14:textId="77777777" w:rsidR="00B2442D" w:rsidRDefault="00B2442D">
      <w:pPr>
        <w:jc w:val="both"/>
        <w:rPr>
          <w:rFonts w:ascii="Arial" w:hAnsi="Arial" w:cs="Arial"/>
          <w:lang w:val="es-CO"/>
        </w:rPr>
      </w:pPr>
    </w:p>
    <w:p w14:paraId="5B63A018" w14:textId="77777777" w:rsidR="00B2442D" w:rsidRDefault="008A645F">
      <w:pPr>
        <w:jc w:val="both"/>
        <w:rPr>
          <w:rFonts w:ascii="Arial" w:hAnsi="Arial" w:cs="Arial"/>
          <w:lang w:val="es-CO"/>
        </w:rPr>
      </w:pPr>
      <w:r>
        <w:rPr>
          <w:rFonts w:ascii="Arial" w:hAnsi="Arial" w:cs="Arial"/>
          <w:lang w:val="es-CO"/>
        </w:rPr>
        <w:t>Igualmente para efectos de lo previsto en este artículo, y sin perjuicio de las amplias facultades de fiscalización e</w:t>
      </w:r>
      <w:r>
        <w:rPr>
          <w:rFonts w:ascii="Arial" w:hAnsi="Arial" w:cs="Arial"/>
          <w:lang w:val="es-CO"/>
        </w:rPr>
        <w:t xml:space="preserve"> investigación atribuidas a la Administración Tributaria por el artículo 684 del Estatuto Tributario, la Unidad Administrativa Especial de Gestión Pensional y Contribuciones Parafiscales de la Protección Social (UGPP) hará especial seguimiento con el fin d</w:t>
      </w:r>
      <w:r>
        <w:rPr>
          <w:rFonts w:ascii="Arial" w:hAnsi="Arial" w:cs="Arial"/>
          <w:lang w:val="es-CO"/>
        </w:rPr>
        <w:t>e establecer y comunicar a la DIAN la inobservancia de esta prohibición.</w:t>
      </w:r>
    </w:p>
    <w:p w14:paraId="18019628" w14:textId="77777777" w:rsidR="00B2442D" w:rsidRDefault="00B2442D">
      <w:pPr>
        <w:jc w:val="both"/>
        <w:rPr>
          <w:rFonts w:ascii="Arial" w:hAnsi="Arial" w:cs="Arial"/>
          <w:lang w:val="es-CO"/>
        </w:rPr>
      </w:pPr>
    </w:p>
    <w:p w14:paraId="0FEA436B" w14:textId="77777777" w:rsidR="00B2442D" w:rsidRDefault="008A645F">
      <w:pPr>
        <w:jc w:val="both"/>
        <w:rPr>
          <w:rFonts w:ascii="Arial" w:hAnsi="Arial" w:cs="Arial"/>
          <w:lang w:val="es-CO"/>
        </w:rPr>
      </w:pPr>
      <w:r>
        <w:rPr>
          <w:rFonts w:ascii="Arial" w:hAnsi="Arial" w:cs="Arial"/>
          <w:lang w:val="es-CO"/>
        </w:rPr>
        <w:t>En lo concerniente al suministro de información, se aplicará lo dispuesto en el artículo 1.2.1.23.14 del presente decreto.</w:t>
      </w:r>
    </w:p>
    <w:p w14:paraId="29290CE8" w14:textId="77777777" w:rsidR="00B2442D" w:rsidRDefault="00B2442D">
      <w:pPr>
        <w:jc w:val="both"/>
        <w:rPr>
          <w:rFonts w:ascii="Arial" w:hAnsi="Arial" w:cs="Arial"/>
          <w:lang w:val="es-CO"/>
        </w:rPr>
      </w:pPr>
    </w:p>
    <w:p w14:paraId="26E0DA21" w14:textId="77777777" w:rsidR="00B2442D" w:rsidRDefault="008A645F">
      <w:pPr>
        <w:jc w:val="both"/>
        <w:rPr>
          <w:rFonts w:ascii="Arial" w:hAnsi="Arial" w:cs="Arial"/>
          <w:i/>
          <w:lang w:val="es-CO"/>
        </w:rPr>
      </w:pPr>
      <w:r>
        <w:rPr>
          <w:rFonts w:ascii="Arial" w:hAnsi="Arial" w:cs="Arial"/>
          <w:i/>
          <w:lang w:val="es-CO"/>
        </w:rPr>
        <w:t>(Art. 5, Decreto 4910 de 2011)</w:t>
      </w:r>
    </w:p>
    <w:p w14:paraId="1B1CE029" w14:textId="77777777" w:rsidR="00B2442D" w:rsidRDefault="00B2442D">
      <w:pPr>
        <w:jc w:val="both"/>
        <w:rPr>
          <w:rFonts w:ascii="Arial" w:hAnsi="Arial" w:cs="Arial"/>
          <w:lang w:val="es-CO"/>
        </w:rPr>
      </w:pPr>
    </w:p>
    <w:p w14:paraId="3DD032E7"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Requisitos generales que d</w:t>
      </w:r>
      <w:r>
        <w:rPr>
          <w:rFonts w:ascii="Arial" w:hAnsi="Arial" w:cs="Arial"/>
          <w:b/>
          <w:i/>
          <w:lang w:val="es-CO"/>
        </w:rPr>
        <w:t>eben cumplirse para acceder a la progresividad en el pago del impuesto sobre la renta y complementario.</w:t>
      </w:r>
      <w:r>
        <w:rPr>
          <w:rFonts w:ascii="Arial" w:hAnsi="Arial" w:cs="Arial"/>
          <w:lang w:val="es-CO"/>
        </w:rPr>
        <w:t xml:space="preserve"> Sin perjuicio del cumplimiento de las obligaciones de inscripción y sus actualizaciones en el Registro Único Tributario (RUT), para efectos de control l</w:t>
      </w:r>
      <w:r>
        <w:rPr>
          <w:rFonts w:ascii="Arial" w:hAnsi="Arial" w:cs="Arial"/>
          <w:lang w:val="es-CO"/>
        </w:rPr>
        <w:t>as Nuevas Pequeñas Empresas o Pequeñas Empresas Preexistentes que pretendan acogerse al beneficio a que se refiere el artículo 4o de la Ley 1429 de 2010, deberán cumplir los siguientes requisitos:</w:t>
      </w:r>
    </w:p>
    <w:p w14:paraId="773D8F9F" w14:textId="77777777" w:rsidR="00B2442D" w:rsidRDefault="00B2442D">
      <w:pPr>
        <w:jc w:val="both"/>
        <w:rPr>
          <w:rFonts w:ascii="Arial" w:hAnsi="Arial" w:cs="Arial"/>
          <w:lang w:val="es-CO"/>
        </w:rPr>
      </w:pPr>
    </w:p>
    <w:p w14:paraId="0FBBC073" w14:textId="77777777" w:rsidR="00B2442D" w:rsidRDefault="008A645F">
      <w:pPr>
        <w:ind w:left="284" w:hanging="284"/>
        <w:jc w:val="both"/>
        <w:rPr>
          <w:rFonts w:ascii="Arial" w:hAnsi="Arial" w:cs="Arial"/>
          <w:lang w:val="es-CO"/>
        </w:rPr>
      </w:pPr>
      <w:r>
        <w:rPr>
          <w:rFonts w:ascii="Arial" w:hAnsi="Arial" w:cs="Arial"/>
          <w:lang w:val="es-CO"/>
        </w:rPr>
        <w:t xml:space="preserve">1. Cuando se trate de Nuevas Pequeñas Empresas: Presentar </w:t>
      </w:r>
      <w:r>
        <w:rPr>
          <w:rFonts w:ascii="Arial" w:hAnsi="Arial" w:cs="Arial"/>
          <w:lang w:val="es-CO"/>
        </w:rPr>
        <w:t>personalmente antes del 31 de diciembre del correspondiente año de inicio del beneficio de progresividad, ante la División de Gestión de Fiscalización, o la dependencia que haga sus veces, de la Dirección Seccional de Impuestos o de Impuestos y Aduanas - a</w:t>
      </w:r>
      <w:r>
        <w:rPr>
          <w:rFonts w:ascii="Arial" w:hAnsi="Arial" w:cs="Arial"/>
          <w:lang w:val="es-CO"/>
        </w:rPr>
        <w:t xml:space="preserve"> la que corresponda de acuerdo con el domicilio fiscal, los siguientes documentos:</w:t>
      </w:r>
    </w:p>
    <w:p w14:paraId="30D2AEA8" w14:textId="77777777" w:rsidR="00B2442D" w:rsidRDefault="00B2442D">
      <w:pPr>
        <w:jc w:val="both"/>
        <w:rPr>
          <w:rFonts w:ascii="Arial" w:hAnsi="Arial" w:cs="Arial"/>
          <w:lang w:val="es-CO"/>
        </w:rPr>
      </w:pPr>
    </w:p>
    <w:p w14:paraId="1D832352"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Certificado de existencia y representación legal expedido por la correspondiente Cámara de Comercio en el que conste la fecha de inscripción en el Registro Mercantil y </w:t>
      </w:r>
      <w:r>
        <w:rPr>
          <w:rFonts w:ascii="Arial" w:hAnsi="Arial" w:cs="Arial"/>
          <w:lang w:val="es-CO"/>
        </w:rPr>
        <w:t>la condición de Nueva Pequeña Empresa.</w:t>
      </w:r>
    </w:p>
    <w:p w14:paraId="4AEED4C9" w14:textId="77777777" w:rsidR="00B2442D" w:rsidRDefault="00B2442D">
      <w:pPr>
        <w:ind w:left="284" w:hanging="284"/>
        <w:jc w:val="both"/>
        <w:rPr>
          <w:rFonts w:ascii="Arial" w:hAnsi="Arial" w:cs="Arial"/>
          <w:lang w:val="es-CO"/>
        </w:rPr>
      </w:pPr>
    </w:p>
    <w:p w14:paraId="4765EE3F"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Certificación escrita del contribuyente o representante legal de la empresa, cuando se trate de persona jurídica, que se entenderá expedida bajo la gravedad del juramento, en la que manifieste:</w:t>
      </w:r>
    </w:p>
    <w:p w14:paraId="2C71CED0" w14:textId="77777777" w:rsidR="00B2442D" w:rsidRDefault="00B2442D">
      <w:pPr>
        <w:jc w:val="both"/>
        <w:rPr>
          <w:rFonts w:ascii="Arial" w:hAnsi="Arial" w:cs="Arial"/>
          <w:lang w:val="es-CO"/>
        </w:rPr>
      </w:pPr>
    </w:p>
    <w:p w14:paraId="2517D8EE" w14:textId="77777777" w:rsidR="00B2442D" w:rsidRDefault="008A645F">
      <w:pPr>
        <w:ind w:left="567" w:hanging="283"/>
        <w:jc w:val="both"/>
        <w:rPr>
          <w:rFonts w:ascii="Arial" w:hAnsi="Arial" w:cs="Arial"/>
          <w:lang w:val="es-CO"/>
        </w:rPr>
      </w:pPr>
      <w:r>
        <w:rPr>
          <w:rFonts w:ascii="Arial" w:hAnsi="Arial" w:cs="Arial"/>
          <w:lang w:val="es-CO"/>
        </w:rPr>
        <w:t>1.</w:t>
      </w:r>
      <w:r>
        <w:rPr>
          <w:rFonts w:ascii="Arial" w:hAnsi="Arial" w:cs="Arial"/>
          <w:lang w:val="es-CO"/>
        </w:rPr>
        <w:tab/>
        <w:t>La intención d</w:t>
      </w:r>
      <w:r>
        <w:rPr>
          <w:rFonts w:ascii="Arial" w:hAnsi="Arial" w:cs="Arial"/>
          <w:lang w:val="es-CO"/>
        </w:rPr>
        <w:t>e acogerse al beneficio otorgado por el artículo 4o de la Ley 1429 de 2010, detallando la actividad económica principal a la que se dedica y la dirección en la cual se encuentre ubicada la planta física o el lugar del desarrollo de la actividad económica y</w:t>
      </w:r>
      <w:r>
        <w:rPr>
          <w:rFonts w:ascii="Arial" w:hAnsi="Arial" w:cs="Arial"/>
          <w:lang w:val="es-CO"/>
        </w:rPr>
        <w:t xml:space="preserve"> el domicilio principal.</w:t>
      </w:r>
    </w:p>
    <w:p w14:paraId="1EE9F45C" w14:textId="77777777" w:rsidR="00B2442D" w:rsidRDefault="00B2442D">
      <w:pPr>
        <w:ind w:left="567" w:hanging="283"/>
        <w:jc w:val="both"/>
        <w:rPr>
          <w:rFonts w:ascii="Arial" w:hAnsi="Arial" w:cs="Arial"/>
          <w:lang w:val="es-CO"/>
        </w:rPr>
      </w:pPr>
    </w:p>
    <w:p w14:paraId="1050355B" w14:textId="77777777" w:rsidR="00B2442D" w:rsidRDefault="008A645F">
      <w:pPr>
        <w:ind w:left="567" w:hanging="283"/>
        <w:jc w:val="both"/>
        <w:rPr>
          <w:rFonts w:ascii="Arial" w:hAnsi="Arial" w:cs="Arial"/>
          <w:lang w:val="es-CO"/>
        </w:rPr>
      </w:pPr>
      <w:r>
        <w:rPr>
          <w:rFonts w:ascii="Arial" w:hAnsi="Arial" w:cs="Arial"/>
          <w:lang w:val="es-CO"/>
        </w:rPr>
        <w:t>2.</w:t>
      </w:r>
      <w:r>
        <w:rPr>
          <w:rFonts w:ascii="Arial" w:hAnsi="Arial" w:cs="Arial"/>
          <w:lang w:val="es-CO"/>
        </w:rPr>
        <w:tab/>
        <w:t>El monto de los activos totales.</w:t>
      </w:r>
    </w:p>
    <w:p w14:paraId="701BA5EB" w14:textId="77777777" w:rsidR="00B2442D" w:rsidRDefault="00B2442D">
      <w:pPr>
        <w:ind w:left="567" w:hanging="283"/>
        <w:jc w:val="both"/>
        <w:rPr>
          <w:rFonts w:ascii="Arial" w:hAnsi="Arial" w:cs="Arial"/>
          <w:lang w:val="es-CO"/>
        </w:rPr>
      </w:pPr>
    </w:p>
    <w:p w14:paraId="6FB91B9C" w14:textId="77777777" w:rsidR="00B2442D" w:rsidRDefault="008A645F">
      <w:pPr>
        <w:ind w:left="567" w:hanging="283"/>
        <w:jc w:val="both"/>
        <w:rPr>
          <w:rFonts w:ascii="Arial" w:hAnsi="Arial" w:cs="Arial"/>
          <w:lang w:val="es-CO"/>
        </w:rPr>
      </w:pPr>
      <w:r>
        <w:rPr>
          <w:rFonts w:ascii="Arial" w:hAnsi="Arial" w:cs="Arial"/>
          <w:lang w:val="es-CO"/>
        </w:rPr>
        <w:t>3.</w:t>
      </w:r>
      <w:r>
        <w:rPr>
          <w:rFonts w:ascii="Arial" w:hAnsi="Arial" w:cs="Arial"/>
          <w:lang w:val="es-CO"/>
        </w:rPr>
        <w:tab/>
        <w:t>El número de trabajadores con relación laboral al momento del inicio de la actividad económica y tipo de vinculación.</w:t>
      </w:r>
    </w:p>
    <w:p w14:paraId="2B651799" w14:textId="77777777" w:rsidR="00B2442D" w:rsidRDefault="00B2442D">
      <w:pPr>
        <w:ind w:left="567" w:hanging="283"/>
        <w:jc w:val="both"/>
        <w:rPr>
          <w:rFonts w:ascii="Arial" w:hAnsi="Arial" w:cs="Arial"/>
          <w:lang w:val="es-CO"/>
        </w:rPr>
      </w:pPr>
    </w:p>
    <w:p w14:paraId="60472006" w14:textId="77777777" w:rsidR="00B2442D" w:rsidRDefault="008A645F">
      <w:pPr>
        <w:ind w:left="567" w:hanging="283"/>
        <w:jc w:val="both"/>
        <w:rPr>
          <w:rFonts w:ascii="Arial" w:hAnsi="Arial" w:cs="Arial"/>
          <w:lang w:val="es-CO"/>
        </w:rPr>
      </w:pPr>
      <w:r>
        <w:rPr>
          <w:rFonts w:ascii="Arial" w:hAnsi="Arial" w:cs="Arial"/>
          <w:lang w:val="es-CO"/>
        </w:rPr>
        <w:t>4.</w:t>
      </w:r>
      <w:r>
        <w:rPr>
          <w:rFonts w:ascii="Arial" w:hAnsi="Arial" w:cs="Arial"/>
          <w:lang w:val="es-CO"/>
        </w:rPr>
        <w:tab/>
        <w:t xml:space="preserve">La existencia de la instalación física de la empresa, </w:t>
      </w:r>
      <w:r>
        <w:rPr>
          <w:rFonts w:ascii="Arial" w:hAnsi="Arial" w:cs="Arial"/>
          <w:lang w:val="es-CO"/>
        </w:rPr>
        <w:t>indicando la dirección y el municipio o Distrito donde está ubicada.</w:t>
      </w:r>
    </w:p>
    <w:p w14:paraId="23A45F0C" w14:textId="77777777" w:rsidR="00B2442D" w:rsidRDefault="00B2442D">
      <w:pPr>
        <w:jc w:val="both"/>
        <w:rPr>
          <w:rFonts w:ascii="Arial" w:hAnsi="Arial" w:cs="Arial"/>
          <w:lang w:val="es-CO"/>
        </w:rPr>
      </w:pPr>
    </w:p>
    <w:p w14:paraId="73DF132B" w14:textId="77777777" w:rsidR="00B2442D" w:rsidRDefault="008A645F">
      <w:pPr>
        <w:jc w:val="both"/>
        <w:rPr>
          <w:rFonts w:ascii="Arial" w:hAnsi="Arial" w:cs="Arial"/>
          <w:lang w:val="es-CO"/>
        </w:rPr>
      </w:pPr>
      <w:r>
        <w:rPr>
          <w:rFonts w:ascii="Arial" w:hAnsi="Arial" w:cs="Arial"/>
          <w:lang w:val="es-CO"/>
        </w:rPr>
        <w:t>c) Copia de la escritura o documento que pruebe su constitución o existencia.</w:t>
      </w:r>
    </w:p>
    <w:p w14:paraId="4FEF4138" w14:textId="77777777" w:rsidR="00B2442D" w:rsidRDefault="00B2442D">
      <w:pPr>
        <w:jc w:val="both"/>
        <w:rPr>
          <w:rFonts w:ascii="Arial" w:hAnsi="Arial" w:cs="Arial"/>
          <w:lang w:val="es-CO"/>
        </w:rPr>
      </w:pPr>
    </w:p>
    <w:p w14:paraId="28A5F110" w14:textId="77777777" w:rsidR="00B2442D" w:rsidRDefault="008A645F">
      <w:pPr>
        <w:jc w:val="both"/>
        <w:rPr>
          <w:rFonts w:ascii="Arial" w:hAnsi="Arial" w:cs="Arial"/>
          <w:lang w:val="es-CO"/>
        </w:rPr>
      </w:pPr>
      <w:r>
        <w:rPr>
          <w:rFonts w:ascii="Arial" w:hAnsi="Arial" w:cs="Arial"/>
          <w:lang w:val="es-CO"/>
        </w:rPr>
        <w:t>2. Cuando se trate de Pequeñas Empresas Preexistentes:</w:t>
      </w:r>
    </w:p>
    <w:p w14:paraId="011DC5FD" w14:textId="77777777" w:rsidR="00B2442D" w:rsidRDefault="00B2442D">
      <w:pPr>
        <w:jc w:val="both"/>
        <w:rPr>
          <w:rFonts w:ascii="Arial" w:hAnsi="Arial" w:cs="Arial"/>
          <w:lang w:val="es-CO"/>
        </w:rPr>
      </w:pPr>
    </w:p>
    <w:p w14:paraId="6E411FD9" w14:textId="77777777" w:rsidR="00B2442D" w:rsidRDefault="008A645F">
      <w:pPr>
        <w:jc w:val="both"/>
        <w:rPr>
          <w:rFonts w:ascii="Arial" w:hAnsi="Arial" w:cs="Arial"/>
          <w:lang w:val="es-CO"/>
        </w:rPr>
      </w:pPr>
      <w:r>
        <w:rPr>
          <w:rFonts w:ascii="Arial" w:hAnsi="Arial" w:cs="Arial"/>
          <w:lang w:val="es-CO"/>
        </w:rPr>
        <w:t>Presentar personalmente antes del 31 de marzo del a</w:t>
      </w:r>
      <w:r>
        <w:rPr>
          <w:rFonts w:ascii="Arial" w:hAnsi="Arial" w:cs="Arial"/>
          <w:lang w:val="es-CO"/>
        </w:rPr>
        <w:t>ño 2012, ante la División de Gestión de Fiscalización, o la dependencia que haga sus veces, de la Dirección Seccional de Impuestos o de Impuestos y Aduanas a la que corresponda de acuerdo con el domicilio fiscal, los siguientes documentos:</w:t>
      </w:r>
    </w:p>
    <w:p w14:paraId="536FB6BA" w14:textId="77777777" w:rsidR="00B2442D" w:rsidRDefault="00B2442D">
      <w:pPr>
        <w:jc w:val="both"/>
        <w:rPr>
          <w:rFonts w:ascii="Arial" w:hAnsi="Arial" w:cs="Arial"/>
          <w:lang w:val="es-CO"/>
        </w:rPr>
      </w:pPr>
    </w:p>
    <w:p w14:paraId="7FC1DC5A"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Certificado </w:t>
      </w:r>
      <w:r>
        <w:rPr>
          <w:rFonts w:ascii="Arial" w:hAnsi="Arial" w:cs="Arial"/>
          <w:lang w:val="es-CO"/>
        </w:rPr>
        <w:t>de existencia y representación legal expedido por la correspondiente Cámara de Comercio en el que conste la fecha de renovación de la Matrícula Mercantil en la correspondiente Cámara de Comercio.</w:t>
      </w:r>
    </w:p>
    <w:p w14:paraId="4B2F6048" w14:textId="77777777" w:rsidR="00B2442D" w:rsidRDefault="00B2442D">
      <w:pPr>
        <w:ind w:left="426" w:hanging="426"/>
        <w:jc w:val="both"/>
        <w:rPr>
          <w:rFonts w:ascii="Arial" w:hAnsi="Arial" w:cs="Arial"/>
          <w:lang w:val="es-CO"/>
        </w:rPr>
      </w:pPr>
    </w:p>
    <w:p w14:paraId="738D8019"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Certificación escrita del contribuyente o representante </w:t>
      </w:r>
      <w:r>
        <w:rPr>
          <w:rFonts w:ascii="Arial" w:hAnsi="Arial" w:cs="Arial"/>
          <w:lang w:val="es-CO"/>
        </w:rPr>
        <w:t>legal de la empresa, cuando se trate de persona jurídica, que se entenderá expedida bajo la gravedad del juramento, en la que manifieste:</w:t>
      </w:r>
    </w:p>
    <w:p w14:paraId="16782609" w14:textId="77777777" w:rsidR="00B2442D" w:rsidRDefault="00B2442D">
      <w:pPr>
        <w:jc w:val="both"/>
        <w:rPr>
          <w:rFonts w:ascii="Arial" w:hAnsi="Arial" w:cs="Arial"/>
          <w:lang w:val="es-CO"/>
        </w:rPr>
      </w:pPr>
    </w:p>
    <w:p w14:paraId="1A57F0ED" w14:textId="77777777" w:rsidR="00B2442D" w:rsidRDefault="008A645F">
      <w:pPr>
        <w:ind w:left="709" w:hanging="283"/>
        <w:jc w:val="both"/>
        <w:rPr>
          <w:rFonts w:ascii="Arial" w:hAnsi="Arial" w:cs="Arial"/>
          <w:lang w:val="es-CO"/>
        </w:rPr>
      </w:pPr>
      <w:r>
        <w:rPr>
          <w:rFonts w:ascii="Arial" w:hAnsi="Arial" w:cs="Arial"/>
          <w:lang w:val="es-CO"/>
        </w:rPr>
        <w:t>1.</w:t>
      </w:r>
      <w:r>
        <w:rPr>
          <w:rFonts w:ascii="Arial" w:hAnsi="Arial" w:cs="Arial"/>
          <w:lang w:val="es-CO"/>
        </w:rPr>
        <w:tab/>
        <w:t xml:space="preserve">La intención de acogerse al beneficio otorgado por el artículo 4o de la Ley 1429 de 2010, detallando la actividad </w:t>
      </w:r>
      <w:r>
        <w:rPr>
          <w:rFonts w:ascii="Arial" w:hAnsi="Arial" w:cs="Arial"/>
          <w:lang w:val="es-CO"/>
        </w:rPr>
        <w:t>económica principal a la que se dedica y la dirección en la cual se encuentre ubicada la planta física o el lugar del desarrollo de la actividad económica y el domicilio principal.</w:t>
      </w:r>
    </w:p>
    <w:p w14:paraId="3AC27CC7" w14:textId="77777777" w:rsidR="00B2442D" w:rsidRDefault="00B2442D">
      <w:pPr>
        <w:ind w:left="709" w:hanging="283"/>
        <w:jc w:val="both"/>
        <w:rPr>
          <w:rFonts w:ascii="Arial" w:hAnsi="Arial" w:cs="Arial"/>
          <w:lang w:val="es-CO"/>
        </w:rPr>
      </w:pPr>
    </w:p>
    <w:p w14:paraId="5239BF79" w14:textId="77777777" w:rsidR="00B2442D" w:rsidRDefault="008A645F">
      <w:pPr>
        <w:ind w:left="709" w:hanging="283"/>
        <w:jc w:val="both"/>
        <w:rPr>
          <w:rFonts w:ascii="Arial" w:hAnsi="Arial" w:cs="Arial"/>
          <w:lang w:val="es-CO"/>
        </w:rPr>
      </w:pPr>
      <w:r>
        <w:rPr>
          <w:rFonts w:ascii="Arial" w:hAnsi="Arial" w:cs="Arial"/>
          <w:lang w:val="es-CO"/>
        </w:rPr>
        <w:t>2.</w:t>
      </w:r>
      <w:r>
        <w:rPr>
          <w:rFonts w:ascii="Arial" w:hAnsi="Arial" w:cs="Arial"/>
          <w:lang w:val="es-CO"/>
        </w:rPr>
        <w:tab/>
        <w:t>El monto de los activos totales.</w:t>
      </w:r>
    </w:p>
    <w:p w14:paraId="0C73755A" w14:textId="77777777" w:rsidR="00B2442D" w:rsidRDefault="00B2442D">
      <w:pPr>
        <w:ind w:left="709" w:hanging="283"/>
        <w:jc w:val="both"/>
        <w:rPr>
          <w:rFonts w:ascii="Arial" w:hAnsi="Arial" w:cs="Arial"/>
          <w:lang w:val="es-CO"/>
        </w:rPr>
      </w:pPr>
    </w:p>
    <w:p w14:paraId="4469C2DB" w14:textId="77777777" w:rsidR="00B2442D" w:rsidRDefault="008A645F">
      <w:pPr>
        <w:ind w:left="709" w:hanging="283"/>
        <w:jc w:val="both"/>
        <w:rPr>
          <w:rFonts w:ascii="Arial" w:hAnsi="Arial" w:cs="Arial"/>
          <w:lang w:val="es-CO"/>
        </w:rPr>
      </w:pPr>
      <w:r>
        <w:rPr>
          <w:rFonts w:ascii="Arial" w:hAnsi="Arial" w:cs="Arial"/>
          <w:lang w:val="es-CO"/>
        </w:rPr>
        <w:t>3.</w:t>
      </w:r>
      <w:r>
        <w:rPr>
          <w:rFonts w:ascii="Arial" w:hAnsi="Arial" w:cs="Arial"/>
          <w:lang w:val="es-CO"/>
        </w:rPr>
        <w:tab/>
        <w:t>El número de trabajadores con rela</w:t>
      </w:r>
      <w:r>
        <w:rPr>
          <w:rFonts w:ascii="Arial" w:hAnsi="Arial" w:cs="Arial"/>
          <w:lang w:val="es-CO"/>
        </w:rPr>
        <w:t>ción laboral al momento del inicio de la actividad económica y tipo de vinculación.</w:t>
      </w:r>
    </w:p>
    <w:p w14:paraId="28651823" w14:textId="77777777" w:rsidR="00B2442D" w:rsidRDefault="00B2442D">
      <w:pPr>
        <w:ind w:left="709" w:hanging="283"/>
        <w:jc w:val="both"/>
        <w:rPr>
          <w:rFonts w:ascii="Arial" w:hAnsi="Arial" w:cs="Arial"/>
          <w:lang w:val="es-CO"/>
        </w:rPr>
      </w:pPr>
    </w:p>
    <w:p w14:paraId="495BC29E" w14:textId="77777777" w:rsidR="00B2442D" w:rsidRDefault="008A645F">
      <w:pPr>
        <w:ind w:left="709" w:hanging="283"/>
        <w:jc w:val="both"/>
        <w:rPr>
          <w:rFonts w:ascii="Arial" w:hAnsi="Arial" w:cs="Arial"/>
          <w:lang w:val="es-CO"/>
        </w:rPr>
      </w:pPr>
      <w:r>
        <w:rPr>
          <w:rFonts w:ascii="Arial" w:hAnsi="Arial" w:cs="Arial"/>
          <w:lang w:val="es-CO"/>
        </w:rPr>
        <w:t>4.</w:t>
      </w:r>
      <w:r>
        <w:rPr>
          <w:rFonts w:ascii="Arial" w:hAnsi="Arial" w:cs="Arial"/>
          <w:lang w:val="es-CO"/>
        </w:rPr>
        <w:tab/>
        <w:t>Que reinició el desarrollo de la actividad económica dentro de los doce (12) meses siguientes a la entrada en vigencia de la Ley 1429 de 2010.</w:t>
      </w:r>
    </w:p>
    <w:p w14:paraId="60460150" w14:textId="77777777" w:rsidR="00B2442D" w:rsidRDefault="00B2442D">
      <w:pPr>
        <w:ind w:left="709" w:hanging="283"/>
        <w:jc w:val="both"/>
        <w:rPr>
          <w:rFonts w:ascii="Arial" w:hAnsi="Arial" w:cs="Arial"/>
          <w:lang w:val="es-CO"/>
        </w:rPr>
      </w:pPr>
    </w:p>
    <w:p w14:paraId="78AD32B3" w14:textId="77777777" w:rsidR="00B2442D" w:rsidRDefault="008A645F">
      <w:pPr>
        <w:ind w:left="709" w:hanging="283"/>
        <w:jc w:val="both"/>
        <w:rPr>
          <w:rFonts w:ascii="Arial" w:hAnsi="Arial" w:cs="Arial"/>
          <w:lang w:val="es-CO"/>
        </w:rPr>
      </w:pPr>
      <w:r>
        <w:rPr>
          <w:rFonts w:ascii="Arial" w:hAnsi="Arial" w:cs="Arial"/>
          <w:lang w:val="es-CO"/>
        </w:rPr>
        <w:t>5.</w:t>
      </w:r>
      <w:r>
        <w:rPr>
          <w:rFonts w:ascii="Arial" w:hAnsi="Arial" w:cs="Arial"/>
          <w:lang w:val="es-CO"/>
        </w:rPr>
        <w:tab/>
        <w:t xml:space="preserve">Que dentro de </w:t>
      </w:r>
      <w:r>
        <w:rPr>
          <w:rFonts w:ascii="Arial" w:hAnsi="Arial" w:cs="Arial"/>
          <w:lang w:val="es-CO"/>
        </w:rPr>
        <w:t>este mismo término de 12 meses se ha puesto al día en todas sus obligaciones formales y sustanciales de carácter legal y tributario de orden nacional y territorial. Para el efecto, en el caso de deudas por impuestos administrados por la DIAN podrán suscrib</w:t>
      </w:r>
      <w:r>
        <w:rPr>
          <w:rFonts w:ascii="Arial" w:hAnsi="Arial" w:cs="Arial"/>
          <w:lang w:val="es-CO"/>
        </w:rPr>
        <w:t>ir facilidades de pago en los términos y condiciones previstos en el artículo 814 del Estatuto Tributario.</w:t>
      </w:r>
    </w:p>
    <w:p w14:paraId="277EF8A9" w14:textId="77777777" w:rsidR="00B2442D" w:rsidRDefault="00B2442D">
      <w:pPr>
        <w:ind w:left="709" w:hanging="283"/>
        <w:jc w:val="both"/>
        <w:rPr>
          <w:rFonts w:ascii="Arial" w:hAnsi="Arial" w:cs="Arial"/>
          <w:lang w:val="es-CO"/>
        </w:rPr>
      </w:pPr>
    </w:p>
    <w:p w14:paraId="4D163A25" w14:textId="77777777" w:rsidR="00B2442D" w:rsidRDefault="008A645F">
      <w:pPr>
        <w:ind w:left="709" w:hanging="283"/>
        <w:jc w:val="both"/>
        <w:rPr>
          <w:rFonts w:ascii="Arial" w:hAnsi="Arial" w:cs="Arial"/>
          <w:lang w:val="es-CO"/>
        </w:rPr>
      </w:pPr>
      <w:r>
        <w:rPr>
          <w:rFonts w:ascii="Arial" w:hAnsi="Arial" w:cs="Arial"/>
          <w:lang w:val="es-CO"/>
        </w:rPr>
        <w:t>6.       La existencia de la instalación física de la empresa, indicando la dirección y el municipio o Distrito donde está ubicada.</w:t>
      </w:r>
    </w:p>
    <w:p w14:paraId="68C1739B" w14:textId="77777777" w:rsidR="00B2442D" w:rsidRDefault="00B2442D">
      <w:pPr>
        <w:jc w:val="both"/>
        <w:rPr>
          <w:rFonts w:ascii="Arial" w:hAnsi="Arial" w:cs="Arial"/>
          <w:lang w:val="es-CO"/>
        </w:rPr>
      </w:pPr>
    </w:p>
    <w:p w14:paraId="607CFD2A" w14:textId="77777777" w:rsidR="00B2442D" w:rsidRDefault="008A645F">
      <w:pPr>
        <w:jc w:val="both"/>
        <w:rPr>
          <w:rFonts w:ascii="Arial" w:hAnsi="Arial" w:cs="Arial"/>
          <w:lang w:val="es-CO"/>
        </w:rPr>
      </w:pPr>
      <w:r>
        <w:rPr>
          <w:rFonts w:ascii="Arial" w:hAnsi="Arial" w:cs="Arial"/>
          <w:lang w:val="es-CO"/>
        </w:rPr>
        <w:t xml:space="preserve">c) Copia de la </w:t>
      </w:r>
      <w:r>
        <w:rPr>
          <w:rFonts w:ascii="Arial" w:hAnsi="Arial" w:cs="Arial"/>
          <w:lang w:val="es-CO"/>
        </w:rPr>
        <w:t>escritura o documento que pruebe su constitución.</w:t>
      </w:r>
    </w:p>
    <w:p w14:paraId="360917C3" w14:textId="77777777" w:rsidR="00B2442D" w:rsidRDefault="00B2442D">
      <w:pPr>
        <w:jc w:val="both"/>
        <w:rPr>
          <w:rFonts w:ascii="Arial" w:hAnsi="Arial" w:cs="Arial"/>
          <w:lang w:val="es-CO"/>
        </w:rPr>
      </w:pPr>
    </w:p>
    <w:p w14:paraId="15E17613" w14:textId="77777777" w:rsidR="00B2442D" w:rsidRDefault="008A645F">
      <w:pPr>
        <w:jc w:val="both"/>
        <w:rPr>
          <w:rFonts w:ascii="Arial" w:hAnsi="Arial" w:cs="Arial"/>
          <w:lang w:val="es-CO"/>
        </w:rPr>
      </w:pPr>
      <w:r>
        <w:rPr>
          <w:rFonts w:ascii="Arial" w:hAnsi="Arial" w:cs="Arial"/>
          <w:lang w:val="es-CO"/>
        </w:rPr>
        <w:t>Estos requisitos se verificarán por la respectiva Dirección Seccional de Impuestos o de Impuestos y Aduanas, quien ejercerá vigilancia y control de acuerdo con sus amplias facultades de fiscalización e inv</w:t>
      </w:r>
      <w:r>
        <w:rPr>
          <w:rFonts w:ascii="Arial" w:hAnsi="Arial" w:cs="Arial"/>
          <w:lang w:val="es-CO"/>
        </w:rPr>
        <w:t>estigación consagradas en el artículo 684 del Estatuto Tributario.</w:t>
      </w:r>
    </w:p>
    <w:p w14:paraId="057B6F67" w14:textId="77777777" w:rsidR="00B2442D" w:rsidRDefault="00B2442D">
      <w:pPr>
        <w:jc w:val="both"/>
        <w:rPr>
          <w:rFonts w:ascii="Arial" w:hAnsi="Arial" w:cs="Arial"/>
          <w:lang w:val="es-CO"/>
        </w:rPr>
      </w:pPr>
    </w:p>
    <w:p w14:paraId="6B6D743E" w14:textId="77777777" w:rsidR="00B2442D" w:rsidRDefault="008A645F">
      <w:pPr>
        <w:jc w:val="both"/>
        <w:rPr>
          <w:rFonts w:ascii="Arial" w:hAnsi="Arial" w:cs="Arial"/>
          <w:i/>
          <w:lang w:val="es-CO"/>
        </w:rPr>
      </w:pPr>
      <w:r>
        <w:rPr>
          <w:rFonts w:ascii="Arial" w:hAnsi="Arial" w:cs="Arial"/>
          <w:i/>
          <w:lang w:val="es-CO"/>
        </w:rPr>
        <w:t>(Art. 6, Decreto 4910 de 2011. El numeral 4 del literal b) del numeral primero y el numeral 6 del literal b) del numeral segundo, tienen decaimiento, en virtud de lo dispuesto en el artícu</w:t>
      </w:r>
      <w:r>
        <w:rPr>
          <w:rFonts w:ascii="Arial" w:hAnsi="Arial" w:cs="Arial"/>
          <w:i/>
          <w:lang w:val="es-CO"/>
        </w:rPr>
        <w:t>lo 175 del Decreto Ley 19 de 2012; parágrafo transitorio tiene pérdida de vigencia por cumplimiento del plazo)</w:t>
      </w:r>
    </w:p>
    <w:p w14:paraId="611166B5" w14:textId="77777777" w:rsidR="00B2442D" w:rsidRDefault="00B2442D">
      <w:pPr>
        <w:jc w:val="both"/>
        <w:rPr>
          <w:rFonts w:ascii="Arial" w:hAnsi="Arial" w:cs="Arial"/>
          <w:lang w:val="es-CO"/>
        </w:rPr>
      </w:pPr>
    </w:p>
    <w:p w14:paraId="739E1514"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Empadronamiento de beneficiarios.</w:t>
      </w:r>
      <w:r>
        <w:rPr>
          <w:rFonts w:ascii="Arial" w:hAnsi="Arial" w:cs="Arial"/>
          <w:lang w:val="es-CO"/>
        </w:rPr>
        <w:t xml:space="preserve"> La División de Gestión de Fiscalización, o quien haga sus veces, de la Dirección Seccional de Impuestos o de I</w:t>
      </w:r>
      <w:r>
        <w:rPr>
          <w:rFonts w:ascii="Arial" w:hAnsi="Arial" w:cs="Arial"/>
          <w:lang w:val="es-CO"/>
        </w:rPr>
        <w:t>mpuestos y Aduanas a la cual pertenezca la Nueva Pequeña Empresa o Pequeña Empresa Preexistente solicitante de los beneficios establecidos en la Ley 1429 de 2010, elaborará un registro de beneficiarios en forma separada, de las Nuevas Pequeñas Empresas, de</w:t>
      </w:r>
      <w:r>
        <w:rPr>
          <w:rFonts w:ascii="Arial" w:hAnsi="Arial" w:cs="Arial"/>
          <w:lang w:val="es-CO"/>
        </w:rPr>
        <w:t xml:space="preserve"> las Pequeñas Empresas preexistentes, de los socios o accionistas de las anteriores, en el cual, como mínimo, se incorporará la siguiente información:</w:t>
      </w:r>
    </w:p>
    <w:p w14:paraId="129B8C9D" w14:textId="77777777" w:rsidR="00B2442D" w:rsidRDefault="00B2442D">
      <w:pPr>
        <w:jc w:val="both"/>
        <w:rPr>
          <w:rFonts w:ascii="Arial" w:hAnsi="Arial" w:cs="Arial"/>
          <w:lang w:val="es-CO"/>
        </w:rPr>
      </w:pPr>
    </w:p>
    <w:p w14:paraId="746E2FAF" w14:textId="77777777" w:rsidR="00B2442D" w:rsidRDefault="008A645F">
      <w:pPr>
        <w:ind w:left="284" w:hanging="284"/>
        <w:jc w:val="both"/>
        <w:rPr>
          <w:rFonts w:ascii="Arial" w:hAnsi="Arial" w:cs="Arial"/>
          <w:lang w:val="es-CO"/>
        </w:rPr>
      </w:pPr>
      <w:r>
        <w:rPr>
          <w:rFonts w:ascii="Arial" w:hAnsi="Arial" w:cs="Arial"/>
          <w:lang w:val="es-CO"/>
        </w:rPr>
        <w:t>a) Nombre o razón Social y NIT del contribuyente;</w:t>
      </w:r>
    </w:p>
    <w:p w14:paraId="422845CF" w14:textId="77777777" w:rsidR="00B2442D" w:rsidRDefault="00B2442D">
      <w:pPr>
        <w:ind w:left="284" w:hanging="284"/>
        <w:jc w:val="both"/>
        <w:rPr>
          <w:rFonts w:ascii="Arial" w:hAnsi="Arial" w:cs="Arial"/>
          <w:lang w:val="es-CO"/>
        </w:rPr>
      </w:pPr>
    </w:p>
    <w:p w14:paraId="1E0AEC25" w14:textId="77777777" w:rsidR="00B2442D" w:rsidRDefault="008A645F">
      <w:pPr>
        <w:ind w:left="284" w:hanging="284"/>
        <w:jc w:val="both"/>
        <w:rPr>
          <w:rFonts w:ascii="Arial" w:hAnsi="Arial" w:cs="Arial"/>
          <w:lang w:val="es-CO"/>
        </w:rPr>
      </w:pPr>
      <w:r>
        <w:rPr>
          <w:rFonts w:ascii="Arial" w:hAnsi="Arial" w:cs="Arial"/>
          <w:lang w:val="es-CO"/>
        </w:rPr>
        <w:t>b) Descripción del objeto social;</w:t>
      </w:r>
    </w:p>
    <w:p w14:paraId="24120808" w14:textId="77777777" w:rsidR="00B2442D" w:rsidRDefault="00B2442D">
      <w:pPr>
        <w:ind w:left="284" w:hanging="284"/>
        <w:jc w:val="both"/>
        <w:rPr>
          <w:rFonts w:ascii="Arial" w:hAnsi="Arial" w:cs="Arial"/>
          <w:lang w:val="es-CO"/>
        </w:rPr>
      </w:pPr>
    </w:p>
    <w:p w14:paraId="62CAE469" w14:textId="77777777" w:rsidR="00B2442D" w:rsidRDefault="008A645F">
      <w:pPr>
        <w:ind w:left="284" w:hanging="284"/>
        <w:jc w:val="both"/>
        <w:rPr>
          <w:rFonts w:ascii="Arial" w:hAnsi="Arial" w:cs="Arial"/>
          <w:lang w:val="es-CO"/>
        </w:rPr>
      </w:pPr>
      <w:r>
        <w:rPr>
          <w:rFonts w:ascii="Arial" w:hAnsi="Arial" w:cs="Arial"/>
          <w:lang w:val="es-CO"/>
        </w:rPr>
        <w:t>c) Capital autoriz</w:t>
      </w:r>
      <w:r>
        <w:rPr>
          <w:rFonts w:ascii="Arial" w:hAnsi="Arial" w:cs="Arial"/>
          <w:lang w:val="es-CO"/>
        </w:rPr>
        <w:t>ado, suscrito y pagado, o monto de los activos destinados al desarrollo de la actividad económica en el caso de empresas de personas naturales, al inicio, o al reinicio de la actividad económica, según se trate de Nueva Pequeña Empresa o Pequeña Empresa Pr</w:t>
      </w:r>
      <w:r>
        <w:rPr>
          <w:rFonts w:ascii="Arial" w:hAnsi="Arial" w:cs="Arial"/>
          <w:lang w:val="es-CO"/>
        </w:rPr>
        <w:t>eexistente;</w:t>
      </w:r>
    </w:p>
    <w:p w14:paraId="1CA97141" w14:textId="77777777" w:rsidR="00B2442D" w:rsidRDefault="00B2442D">
      <w:pPr>
        <w:ind w:left="284" w:hanging="284"/>
        <w:jc w:val="both"/>
        <w:rPr>
          <w:rFonts w:ascii="Arial" w:hAnsi="Arial" w:cs="Arial"/>
          <w:lang w:val="es-CO"/>
        </w:rPr>
      </w:pPr>
    </w:p>
    <w:p w14:paraId="2B6A8DAD" w14:textId="77777777" w:rsidR="00B2442D" w:rsidRDefault="008A645F">
      <w:pPr>
        <w:ind w:left="284" w:hanging="284"/>
        <w:jc w:val="both"/>
        <w:rPr>
          <w:rFonts w:ascii="Arial" w:hAnsi="Arial" w:cs="Arial"/>
          <w:lang w:val="es-CO"/>
        </w:rPr>
      </w:pPr>
      <w:r>
        <w:rPr>
          <w:rFonts w:ascii="Arial" w:hAnsi="Arial" w:cs="Arial"/>
          <w:lang w:val="es-CO"/>
        </w:rPr>
        <w:t>d) Relación de accionistas o socios, con indicación del nombre o razón social, NIT,  cantidad de acciones o cuotas de interés social y valor aportado por cada uno de ellos, cuando se trate de personas jurídicas;</w:t>
      </w:r>
    </w:p>
    <w:p w14:paraId="31C9EF21" w14:textId="77777777" w:rsidR="00B2442D" w:rsidRDefault="00B2442D">
      <w:pPr>
        <w:ind w:left="284" w:hanging="284"/>
        <w:jc w:val="both"/>
        <w:rPr>
          <w:rFonts w:ascii="Arial" w:hAnsi="Arial" w:cs="Arial"/>
          <w:lang w:val="es-CO"/>
        </w:rPr>
      </w:pPr>
    </w:p>
    <w:p w14:paraId="2AE79131" w14:textId="77777777" w:rsidR="00B2442D" w:rsidRDefault="008A645F">
      <w:pPr>
        <w:ind w:left="284" w:hanging="284"/>
        <w:jc w:val="both"/>
        <w:rPr>
          <w:rFonts w:ascii="Arial" w:hAnsi="Arial" w:cs="Arial"/>
          <w:lang w:val="es-CO"/>
        </w:rPr>
      </w:pPr>
      <w:r>
        <w:rPr>
          <w:rFonts w:ascii="Arial" w:hAnsi="Arial" w:cs="Arial"/>
          <w:lang w:val="es-CO"/>
        </w:rPr>
        <w:t xml:space="preserve">e) Fecha de </w:t>
      </w:r>
      <w:r>
        <w:rPr>
          <w:rFonts w:ascii="Arial" w:hAnsi="Arial" w:cs="Arial"/>
          <w:lang w:val="es-CO"/>
        </w:rPr>
        <w:t>inscripción y/o renovación de la Matrícula en el Registro Mercantil;</w:t>
      </w:r>
    </w:p>
    <w:p w14:paraId="10B9D43A" w14:textId="77777777" w:rsidR="00B2442D" w:rsidRDefault="008A645F">
      <w:pPr>
        <w:tabs>
          <w:tab w:val="left" w:pos="2608"/>
        </w:tabs>
        <w:ind w:left="284" w:hanging="284"/>
        <w:jc w:val="both"/>
        <w:rPr>
          <w:rFonts w:ascii="Arial" w:hAnsi="Arial" w:cs="Arial"/>
          <w:lang w:val="es-CO"/>
        </w:rPr>
      </w:pPr>
      <w:r>
        <w:rPr>
          <w:rFonts w:ascii="Arial" w:hAnsi="Arial" w:cs="Arial"/>
          <w:lang w:val="es-CO"/>
        </w:rPr>
        <w:tab/>
      </w:r>
    </w:p>
    <w:p w14:paraId="440F7D3A" w14:textId="77777777" w:rsidR="00B2442D" w:rsidRDefault="008A645F">
      <w:pPr>
        <w:ind w:left="284" w:hanging="284"/>
        <w:jc w:val="both"/>
        <w:rPr>
          <w:rFonts w:ascii="Arial" w:hAnsi="Arial" w:cs="Arial"/>
          <w:lang w:val="es-CO"/>
        </w:rPr>
      </w:pPr>
      <w:r>
        <w:rPr>
          <w:rFonts w:ascii="Arial" w:hAnsi="Arial" w:cs="Arial"/>
          <w:lang w:val="es-CO"/>
        </w:rPr>
        <w:t>f) Fecha de Inscripción en el RUT;</w:t>
      </w:r>
    </w:p>
    <w:p w14:paraId="2143F0D7" w14:textId="77777777" w:rsidR="00B2442D" w:rsidRDefault="00B2442D">
      <w:pPr>
        <w:ind w:left="284" w:hanging="284"/>
        <w:jc w:val="both"/>
        <w:rPr>
          <w:rFonts w:ascii="Arial" w:hAnsi="Arial" w:cs="Arial"/>
          <w:lang w:val="es-CO"/>
        </w:rPr>
      </w:pPr>
    </w:p>
    <w:p w14:paraId="467B289E" w14:textId="77777777" w:rsidR="00B2442D" w:rsidRDefault="008A645F">
      <w:pPr>
        <w:ind w:left="284" w:hanging="284"/>
        <w:jc w:val="both"/>
        <w:rPr>
          <w:rFonts w:ascii="Arial" w:hAnsi="Arial" w:cs="Arial"/>
          <w:lang w:val="es-CO"/>
        </w:rPr>
      </w:pPr>
      <w:r>
        <w:rPr>
          <w:rFonts w:ascii="Arial" w:hAnsi="Arial" w:cs="Arial"/>
          <w:lang w:val="es-CO"/>
        </w:rPr>
        <w:t xml:space="preserve">g) Número de trabajadores al inicio o al reinicio de la actividad económica, según se trate de Nueva Pequeña Empresa o Pequeña Empresa </w:t>
      </w:r>
      <w:r>
        <w:rPr>
          <w:rFonts w:ascii="Arial" w:hAnsi="Arial" w:cs="Arial"/>
          <w:lang w:val="es-CO"/>
        </w:rPr>
        <w:t>Preexistente;</w:t>
      </w:r>
    </w:p>
    <w:p w14:paraId="7DD21E4B" w14:textId="77777777" w:rsidR="00B2442D" w:rsidRDefault="00B2442D">
      <w:pPr>
        <w:ind w:left="284" w:hanging="284"/>
        <w:jc w:val="both"/>
        <w:rPr>
          <w:rFonts w:ascii="Arial" w:hAnsi="Arial" w:cs="Arial"/>
          <w:lang w:val="es-CO"/>
        </w:rPr>
      </w:pPr>
    </w:p>
    <w:p w14:paraId="00E12ED7" w14:textId="77777777" w:rsidR="00B2442D" w:rsidRDefault="008A645F">
      <w:pPr>
        <w:ind w:left="284" w:hanging="284"/>
        <w:jc w:val="both"/>
        <w:rPr>
          <w:rFonts w:ascii="Arial" w:hAnsi="Arial" w:cs="Arial"/>
          <w:lang w:val="es-CO"/>
        </w:rPr>
      </w:pPr>
      <w:r>
        <w:rPr>
          <w:rFonts w:ascii="Arial" w:hAnsi="Arial" w:cs="Arial"/>
          <w:lang w:val="es-CO"/>
        </w:rPr>
        <w:t>h) Monto de los activos totales al inicio o al reinicio de la actividad económica, según se trate de Nueva Pequeña Empresa o Pequeña Empresa Preexistente.</w:t>
      </w:r>
    </w:p>
    <w:p w14:paraId="59CEB0DE" w14:textId="77777777" w:rsidR="00B2442D" w:rsidRDefault="00B2442D">
      <w:pPr>
        <w:jc w:val="both"/>
        <w:rPr>
          <w:rFonts w:ascii="Arial" w:hAnsi="Arial" w:cs="Arial"/>
          <w:lang w:val="es-CO"/>
        </w:rPr>
      </w:pPr>
    </w:p>
    <w:p w14:paraId="6964086B" w14:textId="77777777" w:rsidR="00B2442D" w:rsidRDefault="008A645F">
      <w:pPr>
        <w:jc w:val="both"/>
        <w:rPr>
          <w:rFonts w:ascii="Arial" w:hAnsi="Arial" w:cs="Arial"/>
          <w:lang w:val="es-CO"/>
        </w:rPr>
      </w:pPr>
      <w:r>
        <w:rPr>
          <w:rFonts w:ascii="Arial" w:hAnsi="Arial" w:cs="Arial"/>
          <w:lang w:val="es-CO"/>
        </w:rPr>
        <w:t xml:space="preserve">La División de Gestión de Fiscalización, de la Dirección Seccional de Impuestos o de </w:t>
      </w:r>
      <w:r>
        <w:rPr>
          <w:rFonts w:ascii="Arial" w:hAnsi="Arial" w:cs="Arial"/>
          <w:lang w:val="es-CO"/>
        </w:rPr>
        <w:t>Impuestos y Aduanas a la cual pertenezca la Nueva Pequeña Empresa o Pequeña Empresa Preexistente solicitante de los beneficios, deberá reportar dicha información ante la Subdirección de Gestión de Análisis Operacional de la Dirección de Gestión Organizacio</w:t>
      </w:r>
      <w:r>
        <w:rPr>
          <w:rFonts w:ascii="Arial" w:hAnsi="Arial" w:cs="Arial"/>
          <w:lang w:val="es-CO"/>
        </w:rPr>
        <w:t>nal de la Unidad Administrativa Especial Dirección de Impuestos y Aduanas Nacionales, DIAN, para determinar el monto de los beneficios tributarios solicitados por dichas empresas, establecer el impacto fiscal relativo al uso de los beneficios fiscales y ad</w:t>
      </w:r>
      <w:r>
        <w:rPr>
          <w:rFonts w:ascii="Arial" w:hAnsi="Arial" w:cs="Arial"/>
          <w:lang w:val="es-CO"/>
        </w:rPr>
        <w:t>elantar los programas de verificación y control que establezcan las Direcciones de Gestión Organizacional y de Gestión de Fiscalización, o las dependencias que hagan sus veces, de la Unidad Administrativa Especial Dirección de Impuestos y Aduanas Nacionale</w:t>
      </w:r>
      <w:r>
        <w:rPr>
          <w:rFonts w:ascii="Arial" w:hAnsi="Arial" w:cs="Arial"/>
          <w:lang w:val="es-CO"/>
        </w:rPr>
        <w:t>s, DIAN.</w:t>
      </w:r>
    </w:p>
    <w:p w14:paraId="3DA3D906" w14:textId="77777777" w:rsidR="00B2442D" w:rsidRDefault="00B2442D">
      <w:pPr>
        <w:jc w:val="both"/>
        <w:rPr>
          <w:rFonts w:ascii="Arial" w:hAnsi="Arial" w:cs="Arial"/>
          <w:lang w:val="es-CO"/>
        </w:rPr>
      </w:pPr>
    </w:p>
    <w:p w14:paraId="51C98116" w14:textId="77777777" w:rsidR="00B2442D" w:rsidRDefault="008A645F">
      <w:pPr>
        <w:jc w:val="both"/>
        <w:rPr>
          <w:rFonts w:ascii="Arial" w:hAnsi="Arial" w:cs="Arial"/>
          <w:lang w:val="es-CO"/>
        </w:rPr>
      </w:pPr>
      <w:r>
        <w:rPr>
          <w:rFonts w:ascii="Arial" w:hAnsi="Arial" w:cs="Arial"/>
          <w:lang w:val="es-CO"/>
        </w:rPr>
        <w:t>A esa misma dependencia deberán reportar la información a que están obligadas a suministrar las Cámaras de Comercio, el Ministerio de Salud y Protección Social y la Unidad Administrativa Especial de Gestión Pensional y Contribuciones Parafiscales</w:t>
      </w:r>
      <w:r>
        <w:rPr>
          <w:rFonts w:ascii="Arial" w:hAnsi="Arial" w:cs="Arial"/>
          <w:lang w:val="es-CO"/>
        </w:rPr>
        <w:t xml:space="preserve"> de la Protección Social (UGPP).</w:t>
      </w:r>
    </w:p>
    <w:p w14:paraId="3A6A14E4" w14:textId="77777777" w:rsidR="00B2442D" w:rsidRDefault="00B2442D">
      <w:pPr>
        <w:jc w:val="both"/>
        <w:rPr>
          <w:rFonts w:ascii="Arial" w:hAnsi="Arial" w:cs="Arial"/>
          <w:lang w:val="es-CO"/>
        </w:rPr>
      </w:pPr>
    </w:p>
    <w:p w14:paraId="12B037E3" w14:textId="77777777" w:rsidR="00B2442D" w:rsidRDefault="008A645F">
      <w:pPr>
        <w:jc w:val="both"/>
        <w:rPr>
          <w:rFonts w:ascii="Arial" w:hAnsi="Arial" w:cs="Arial"/>
          <w:i/>
          <w:lang w:val="es-CO"/>
        </w:rPr>
      </w:pPr>
      <w:r>
        <w:rPr>
          <w:rFonts w:ascii="Arial" w:hAnsi="Arial" w:cs="Arial"/>
          <w:i/>
          <w:lang w:val="es-CO"/>
        </w:rPr>
        <w:t>(Art. 8, Decreto 4910 de 2011. Incisos 2 y 3 eliminados como consecuencia de la suspensión de los efectos del artículo 7 del Decreto 4910 de 2011.)</w:t>
      </w:r>
    </w:p>
    <w:p w14:paraId="0D5CB6C4" w14:textId="77777777" w:rsidR="00B2442D" w:rsidRDefault="00B2442D">
      <w:pPr>
        <w:jc w:val="both"/>
        <w:rPr>
          <w:rFonts w:ascii="Arial" w:hAnsi="Arial" w:cs="Arial"/>
          <w:b/>
          <w:lang w:val="es-CO"/>
        </w:rPr>
      </w:pPr>
    </w:p>
    <w:p w14:paraId="38DC32A1"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 xml:space="preserve">Pérdida o improcedencia del beneficio de la progresividad en el impuesto </w:t>
      </w:r>
      <w:r>
        <w:rPr>
          <w:rFonts w:ascii="Arial" w:hAnsi="Arial" w:cs="Arial"/>
          <w:b/>
          <w:i/>
          <w:lang w:val="es-CO"/>
        </w:rPr>
        <w:t xml:space="preserve">sobre la renta y complementario. </w:t>
      </w:r>
      <w:r>
        <w:rPr>
          <w:rFonts w:ascii="Arial" w:hAnsi="Arial" w:cs="Arial"/>
          <w:lang w:val="es-CO"/>
        </w:rPr>
        <w:t>Para efectos de la procedencia del beneficio de que trata el artículo 4° de la Ley 1429 de 2010, las pequeñas empresas beneficiarias deberán mantener en el respectivo año gravable y hasta el 31 de diciembre inclusive, las c</w:t>
      </w:r>
      <w:r>
        <w:rPr>
          <w:rFonts w:ascii="Arial" w:hAnsi="Arial" w:cs="Arial"/>
          <w:lang w:val="es-CO"/>
        </w:rPr>
        <w:t>ondiciones relativas al número de trabajadores y al monto de los activos totales a que se refiere el numeral 1 del artículo 2C de la citada Ley. En caso de incumplir alguna de las condiciones señaladas, el beneficio se torna improcedente a partir del año g</w:t>
      </w:r>
      <w:r>
        <w:rPr>
          <w:rFonts w:ascii="Arial" w:hAnsi="Arial" w:cs="Arial"/>
          <w:lang w:val="es-CO"/>
        </w:rPr>
        <w:t>ravable en que esto ocurra.</w:t>
      </w:r>
    </w:p>
    <w:p w14:paraId="728F1184" w14:textId="77777777" w:rsidR="00B2442D" w:rsidRDefault="00B2442D">
      <w:pPr>
        <w:jc w:val="both"/>
        <w:rPr>
          <w:rFonts w:ascii="Arial" w:hAnsi="Arial" w:cs="Arial"/>
          <w:lang w:val="es-CO"/>
        </w:rPr>
      </w:pPr>
    </w:p>
    <w:p w14:paraId="759FFCA5" w14:textId="77777777" w:rsidR="00B2442D" w:rsidRDefault="008A645F">
      <w:pPr>
        <w:jc w:val="both"/>
        <w:rPr>
          <w:rFonts w:ascii="Arial" w:hAnsi="Arial" w:cs="Arial"/>
          <w:lang w:val="es-CO"/>
        </w:rPr>
      </w:pPr>
      <w:r>
        <w:rPr>
          <w:rFonts w:ascii="Arial" w:hAnsi="Arial" w:cs="Arial"/>
          <w:lang w:val="es-CO"/>
        </w:rPr>
        <w:t>Tampoco procederá el beneficio de progresividad en el impuesto sobre la renta y complementarios, cuando se incumpla con la renovación de la matrícula mercantil dentro de los tres primeros meses del año, cuando no se paguen en s</w:t>
      </w:r>
      <w:r>
        <w:rPr>
          <w:rFonts w:ascii="Arial" w:hAnsi="Arial" w:cs="Arial"/>
          <w:lang w:val="es-CO"/>
        </w:rPr>
        <w:t>u oportunidad legal los aportes a salud y demás contribuciones de nómina, o cuando no se cumpla con el deber legal de presentar las declaraciones tributarias de orden nacional y territorial y de realizar los pagos de los valores a cargo en ellas determinad</w:t>
      </w:r>
      <w:r>
        <w:rPr>
          <w:rFonts w:ascii="Arial" w:hAnsi="Arial" w:cs="Arial"/>
          <w:lang w:val="es-CO"/>
        </w:rPr>
        <w:t>os, autoliquidados o liquidados por la Administración, dentro de los plazos señalados para el efecto.</w:t>
      </w:r>
    </w:p>
    <w:p w14:paraId="15AC4459" w14:textId="77777777" w:rsidR="00B2442D" w:rsidRDefault="00B2442D">
      <w:pPr>
        <w:jc w:val="both"/>
        <w:rPr>
          <w:rFonts w:ascii="Arial" w:hAnsi="Arial" w:cs="Arial"/>
          <w:lang w:val="es-CO"/>
        </w:rPr>
      </w:pPr>
    </w:p>
    <w:p w14:paraId="0CC6CE4C" w14:textId="77777777" w:rsidR="00B2442D" w:rsidRDefault="008A645F">
      <w:pPr>
        <w:jc w:val="both"/>
        <w:rPr>
          <w:rFonts w:ascii="Arial" w:hAnsi="Arial" w:cs="Arial"/>
          <w:i/>
          <w:lang w:val="es-CO"/>
        </w:rPr>
      </w:pPr>
      <w:r>
        <w:rPr>
          <w:rFonts w:ascii="Arial" w:hAnsi="Arial" w:cs="Arial"/>
          <w:i/>
          <w:lang w:val="es-CO"/>
        </w:rPr>
        <w:t>(Art. 9, Decreto 4910 de 2011. El Consejo de Estado Sección Cuarta, expediente 20731 M.P. Jorge Octavio Ramírez Ramírez mediante auto del 28-01-14 decret</w:t>
      </w:r>
      <w:r>
        <w:rPr>
          <w:rFonts w:ascii="Arial" w:hAnsi="Arial" w:cs="Arial"/>
          <w:i/>
          <w:lang w:val="es-CO"/>
        </w:rPr>
        <w:t>ó la suspensión provisional de los efectos del artículo 7 del Decreto 4910 de 2011. En consecuencia, la expresión “sin perjuicio de lo previsto en el artículo 7° del presente decreto”, se encuentra suspendida)</w:t>
      </w:r>
    </w:p>
    <w:p w14:paraId="41E4E36B" w14:textId="77777777" w:rsidR="00B2442D" w:rsidRDefault="00B2442D">
      <w:pPr>
        <w:jc w:val="both"/>
        <w:rPr>
          <w:rFonts w:ascii="Arial" w:hAnsi="Arial" w:cs="Arial"/>
          <w:lang w:val="es-CO"/>
        </w:rPr>
      </w:pPr>
    </w:p>
    <w:p w14:paraId="04F5675A"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Reintegro de los valores no pagados por benef</w:t>
      </w:r>
      <w:r>
        <w:rPr>
          <w:rFonts w:ascii="Arial" w:hAnsi="Arial" w:cs="Arial"/>
          <w:b/>
          <w:i/>
          <w:lang w:val="es-CO"/>
        </w:rPr>
        <w:t>icio de progresividad improcedente.</w:t>
      </w:r>
      <w:r>
        <w:rPr>
          <w:rFonts w:ascii="Arial" w:hAnsi="Arial" w:cs="Arial"/>
          <w:lang w:val="es-CO"/>
        </w:rPr>
        <w:t xml:space="preserve"> Cuando por cualquier causa el beneficio utilizado sea o se torne improcedente, el contribuyente deberá reintegrar el valor del beneficio. Para el efecto, deberá corregir la declaración del respectivo periodo fiscal, adic</w:t>
      </w:r>
      <w:r>
        <w:rPr>
          <w:rFonts w:ascii="Arial" w:hAnsi="Arial" w:cs="Arial"/>
          <w:lang w:val="es-CO"/>
        </w:rPr>
        <w:t>ionando como impuesto a cargo el monto del impuesto que con ocasión de la aplicación del beneficio improcedente dejó de pagar liquidando las sanciones y los intereses moratorios a que haya lugar en los términos y condiciones previstas en el Estatuto Tribut</w:t>
      </w:r>
      <w:r>
        <w:rPr>
          <w:rFonts w:ascii="Arial" w:hAnsi="Arial" w:cs="Arial"/>
          <w:lang w:val="es-CO"/>
        </w:rPr>
        <w:t>ario.</w:t>
      </w:r>
    </w:p>
    <w:p w14:paraId="558A9540" w14:textId="77777777" w:rsidR="00B2442D" w:rsidRDefault="00B2442D">
      <w:pPr>
        <w:jc w:val="both"/>
        <w:rPr>
          <w:rFonts w:ascii="Arial" w:hAnsi="Arial" w:cs="Arial"/>
          <w:lang w:val="es-CO"/>
        </w:rPr>
      </w:pPr>
    </w:p>
    <w:p w14:paraId="408CA2E0" w14:textId="77777777" w:rsidR="00B2442D" w:rsidRDefault="008A645F">
      <w:pPr>
        <w:jc w:val="both"/>
        <w:rPr>
          <w:rFonts w:ascii="Arial" w:hAnsi="Arial" w:cs="Arial"/>
          <w:lang w:val="es-CO"/>
        </w:rPr>
      </w:pPr>
      <w:r>
        <w:rPr>
          <w:rFonts w:ascii="Arial" w:hAnsi="Arial" w:cs="Arial"/>
          <w:lang w:val="es-CO"/>
        </w:rPr>
        <w:t>Lo anterior debe entenderse sin perjuicio de la sanción a que se refiere el artículo 1.2.1.23.16 del presente decreto, cuando los beneficios solicitados estén fundamentados en información falsa.</w:t>
      </w:r>
    </w:p>
    <w:p w14:paraId="6E51310E" w14:textId="77777777" w:rsidR="00B2442D" w:rsidRDefault="00B2442D">
      <w:pPr>
        <w:jc w:val="both"/>
        <w:rPr>
          <w:rFonts w:ascii="Arial" w:hAnsi="Arial" w:cs="Arial"/>
          <w:lang w:val="es-CO"/>
        </w:rPr>
      </w:pPr>
    </w:p>
    <w:p w14:paraId="3BD3E371" w14:textId="77777777" w:rsidR="00B2442D" w:rsidRDefault="008A645F">
      <w:pPr>
        <w:jc w:val="both"/>
        <w:rPr>
          <w:rFonts w:ascii="Arial" w:hAnsi="Arial" w:cs="Arial"/>
          <w:i/>
          <w:lang w:val="es-CO"/>
        </w:rPr>
      </w:pPr>
      <w:r>
        <w:rPr>
          <w:rFonts w:ascii="Arial" w:hAnsi="Arial" w:cs="Arial"/>
          <w:i/>
          <w:lang w:val="es-CO"/>
        </w:rPr>
        <w:t>(Art. 10, Decreto 4910 de 2011)</w:t>
      </w:r>
    </w:p>
    <w:p w14:paraId="4AC93B8B" w14:textId="77777777" w:rsidR="00B2442D" w:rsidRDefault="00B2442D">
      <w:pPr>
        <w:jc w:val="both"/>
        <w:rPr>
          <w:rFonts w:ascii="Arial" w:hAnsi="Arial" w:cs="Arial"/>
          <w:lang w:val="es-CO"/>
        </w:rPr>
      </w:pPr>
    </w:p>
    <w:p w14:paraId="24FE2701"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Descuento en el impu</w:t>
      </w:r>
      <w:r>
        <w:rPr>
          <w:rFonts w:ascii="Arial" w:hAnsi="Arial" w:cs="Arial"/>
          <w:b/>
          <w:i/>
          <w:lang w:val="es-CO"/>
        </w:rPr>
        <w:t>esto sobre la renta y complementario de los aportes parafiscales y otras contribuciones de nómina.</w:t>
      </w:r>
      <w:r>
        <w:rPr>
          <w:rFonts w:ascii="Arial" w:hAnsi="Arial" w:cs="Arial"/>
          <w:lang w:val="es-CO"/>
        </w:rPr>
        <w:t xml:space="preserve"> De acuerdo con los artículos 9, 10, 11 y 13 de la Ley 1429 de 2010, los contribuyentes del impuesto sobre la renta obligados a presentar declaración de renta</w:t>
      </w:r>
      <w:r>
        <w:rPr>
          <w:rFonts w:ascii="Arial" w:hAnsi="Arial" w:cs="Arial"/>
          <w:lang w:val="es-CO"/>
        </w:rPr>
        <w:t xml:space="preserve"> y complementario, tienen derecho a tratar como descuento tributario el monto de los aportes a cargo del empleador al SENA, ICBF y cajas de compensación familiar, así como el aporte en salud a la subcuenta de solidaridad del Fosyga y el aporte al Fondo de </w:t>
      </w:r>
      <w:r>
        <w:rPr>
          <w:rFonts w:ascii="Arial" w:hAnsi="Arial" w:cs="Arial"/>
          <w:lang w:val="es-CO"/>
        </w:rPr>
        <w:t>Garantía de Pensión Mínima, respecto de los nuevos empleos que correspondan a las personas a continuación relacionadas:</w:t>
      </w:r>
    </w:p>
    <w:p w14:paraId="452B0D3B" w14:textId="77777777" w:rsidR="00B2442D" w:rsidRDefault="00B2442D">
      <w:pPr>
        <w:jc w:val="both"/>
        <w:rPr>
          <w:rFonts w:ascii="Arial" w:hAnsi="Arial" w:cs="Arial"/>
          <w:lang w:val="es-CO"/>
        </w:rPr>
      </w:pPr>
    </w:p>
    <w:p w14:paraId="1FA76F4C"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Personas menores de veintiocho (28) años a la fecha del inicio del contrato de trabajo.</w:t>
      </w:r>
    </w:p>
    <w:p w14:paraId="7565686F" w14:textId="77777777" w:rsidR="00B2442D" w:rsidRDefault="00B2442D">
      <w:pPr>
        <w:ind w:left="426" w:hanging="426"/>
        <w:jc w:val="both"/>
        <w:rPr>
          <w:rFonts w:ascii="Arial" w:hAnsi="Arial" w:cs="Arial"/>
          <w:lang w:val="es-CO"/>
        </w:rPr>
      </w:pPr>
    </w:p>
    <w:p w14:paraId="4E646282"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Personas cabezas de familia de los </w:t>
      </w:r>
      <w:r>
        <w:rPr>
          <w:rFonts w:ascii="Arial" w:hAnsi="Arial" w:cs="Arial"/>
          <w:lang w:val="es-CO"/>
        </w:rPr>
        <w:t>niveles 1o y 2o del Sisbén.</w:t>
      </w:r>
    </w:p>
    <w:p w14:paraId="7C23FC8D" w14:textId="77777777" w:rsidR="00B2442D" w:rsidRDefault="00B2442D">
      <w:pPr>
        <w:ind w:left="426" w:hanging="426"/>
        <w:jc w:val="both"/>
        <w:rPr>
          <w:rFonts w:ascii="Arial" w:hAnsi="Arial" w:cs="Arial"/>
          <w:lang w:val="es-CO"/>
        </w:rPr>
      </w:pPr>
    </w:p>
    <w:p w14:paraId="0B9C9993"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Personas en situación de desplazamiento.</w:t>
      </w:r>
    </w:p>
    <w:p w14:paraId="11BC42B2" w14:textId="77777777" w:rsidR="00B2442D" w:rsidRDefault="00B2442D">
      <w:pPr>
        <w:ind w:left="426" w:hanging="426"/>
        <w:jc w:val="both"/>
        <w:rPr>
          <w:rFonts w:ascii="Arial" w:hAnsi="Arial" w:cs="Arial"/>
          <w:lang w:val="es-CO"/>
        </w:rPr>
      </w:pPr>
    </w:p>
    <w:p w14:paraId="7E57532B"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Personas en situación de proceso de reintegración.</w:t>
      </w:r>
    </w:p>
    <w:p w14:paraId="771E94C6" w14:textId="77777777" w:rsidR="00B2442D" w:rsidRDefault="00B2442D">
      <w:pPr>
        <w:ind w:left="426" w:hanging="426"/>
        <w:jc w:val="both"/>
        <w:rPr>
          <w:rFonts w:ascii="Arial" w:hAnsi="Arial" w:cs="Arial"/>
          <w:lang w:val="es-CO"/>
        </w:rPr>
      </w:pPr>
    </w:p>
    <w:p w14:paraId="6B3E6F61"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Personas en condición de discapacidad.</w:t>
      </w:r>
    </w:p>
    <w:p w14:paraId="5543DB64" w14:textId="77777777" w:rsidR="00B2442D" w:rsidRDefault="00B2442D">
      <w:pPr>
        <w:ind w:left="426" w:hanging="426"/>
        <w:jc w:val="both"/>
        <w:rPr>
          <w:rFonts w:ascii="Arial" w:hAnsi="Arial" w:cs="Arial"/>
          <w:lang w:val="es-CO"/>
        </w:rPr>
      </w:pPr>
    </w:p>
    <w:p w14:paraId="27446E9C"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Mujeres que al momento del inicio del contrato de trabajo sean mayores de cuarent</w:t>
      </w:r>
      <w:r>
        <w:rPr>
          <w:rFonts w:ascii="Arial" w:hAnsi="Arial" w:cs="Arial"/>
          <w:lang w:val="es-CO"/>
        </w:rPr>
        <w:t>a (40) años y que durante los últimos doce (12) meses anteriores a la vinculación hayan estado sin contrato de trabajo, y</w:t>
      </w:r>
    </w:p>
    <w:p w14:paraId="07542400" w14:textId="77777777" w:rsidR="00B2442D" w:rsidRDefault="00B2442D">
      <w:pPr>
        <w:ind w:left="426" w:hanging="426"/>
        <w:jc w:val="both"/>
        <w:rPr>
          <w:rFonts w:ascii="Arial" w:hAnsi="Arial" w:cs="Arial"/>
          <w:lang w:val="es-CO"/>
        </w:rPr>
      </w:pPr>
    </w:p>
    <w:p w14:paraId="41F5D8DC"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Nuevos empleados que devenguen menos de uno punto cinco (1.5) salarios mínimos mensuales legales vigentes (smmlv) que aparezcan po</w:t>
      </w:r>
      <w:r>
        <w:rPr>
          <w:rFonts w:ascii="Arial" w:hAnsi="Arial" w:cs="Arial"/>
          <w:lang w:val="es-CO"/>
        </w:rPr>
        <w:t>r primera vez en la base de datos de la Planilla Integrada de Liquidación de Aportes (PILA), salvo que lo hayan estado en condición de trabajadores independientes.</w:t>
      </w:r>
    </w:p>
    <w:p w14:paraId="0F8D46FE" w14:textId="77777777" w:rsidR="00B2442D" w:rsidRDefault="00B2442D">
      <w:pPr>
        <w:jc w:val="both"/>
        <w:rPr>
          <w:rFonts w:ascii="Arial" w:hAnsi="Arial" w:cs="Arial"/>
          <w:lang w:val="es-CO"/>
        </w:rPr>
      </w:pPr>
    </w:p>
    <w:p w14:paraId="39E9344C" w14:textId="77777777" w:rsidR="00B2442D" w:rsidRDefault="008A645F">
      <w:pPr>
        <w:jc w:val="both"/>
        <w:rPr>
          <w:rFonts w:ascii="Arial" w:hAnsi="Arial" w:cs="Arial"/>
          <w:lang w:val="es-CO"/>
        </w:rPr>
      </w:pPr>
      <w:r>
        <w:rPr>
          <w:rFonts w:ascii="Arial" w:hAnsi="Arial" w:cs="Arial"/>
          <w:lang w:val="es-CO"/>
        </w:rPr>
        <w:t>El descuento tributario procederá, siempre y cuando se cumplan los siguientes requisitos:</w:t>
      </w:r>
    </w:p>
    <w:p w14:paraId="42882006" w14:textId="77777777" w:rsidR="00B2442D" w:rsidRDefault="00B2442D">
      <w:pPr>
        <w:jc w:val="both"/>
        <w:rPr>
          <w:rFonts w:ascii="Arial" w:hAnsi="Arial" w:cs="Arial"/>
          <w:lang w:val="es-CO"/>
        </w:rPr>
      </w:pPr>
    </w:p>
    <w:p w14:paraId="7B416CE7"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Que los aportes hayan sido efectiva y oportunamente pagados.</w:t>
      </w:r>
    </w:p>
    <w:p w14:paraId="17FBDB3F" w14:textId="77777777" w:rsidR="00B2442D" w:rsidRDefault="00B2442D">
      <w:pPr>
        <w:ind w:left="426" w:hanging="426"/>
        <w:jc w:val="both"/>
        <w:rPr>
          <w:rFonts w:ascii="Arial" w:hAnsi="Arial" w:cs="Arial"/>
          <w:lang w:val="es-CO"/>
        </w:rPr>
      </w:pPr>
    </w:p>
    <w:p w14:paraId="3416C725"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Que el contribuyente empleador incremente el número de empleados con relación al número que cotizaban a diciembre del año inmediatamente anterior.</w:t>
      </w:r>
    </w:p>
    <w:p w14:paraId="68E2A650" w14:textId="77777777" w:rsidR="00B2442D" w:rsidRDefault="00B2442D">
      <w:pPr>
        <w:ind w:left="426" w:hanging="426"/>
        <w:jc w:val="both"/>
        <w:rPr>
          <w:rFonts w:ascii="Arial" w:hAnsi="Arial" w:cs="Arial"/>
          <w:lang w:val="es-CO"/>
        </w:rPr>
      </w:pPr>
    </w:p>
    <w:p w14:paraId="5A133D07"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Que el contribuyente empleador increm</w:t>
      </w:r>
      <w:r>
        <w:rPr>
          <w:rFonts w:ascii="Arial" w:hAnsi="Arial" w:cs="Arial"/>
          <w:lang w:val="es-CO"/>
        </w:rPr>
        <w:t xml:space="preserve">ente el valor total de la nómina (la suma de los ingresos bases de cotización de todos sus empleados) con relación al valor de dicha nómina del mes de diciembre del año gravable inmediatamente anterior al que se va a solicitar el correspondiente descuento </w:t>
      </w:r>
      <w:r>
        <w:rPr>
          <w:rFonts w:ascii="Arial" w:hAnsi="Arial" w:cs="Arial"/>
          <w:lang w:val="es-CO"/>
        </w:rPr>
        <w:t>tributario.</w:t>
      </w:r>
    </w:p>
    <w:p w14:paraId="2F1919F3" w14:textId="77777777" w:rsidR="00B2442D" w:rsidRDefault="00B2442D">
      <w:pPr>
        <w:jc w:val="both"/>
        <w:rPr>
          <w:rFonts w:ascii="Arial" w:hAnsi="Arial" w:cs="Arial"/>
          <w:lang w:val="es-CO"/>
        </w:rPr>
      </w:pPr>
    </w:p>
    <w:p w14:paraId="71054209" w14:textId="77777777" w:rsidR="00B2442D" w:rsidRDefault="008A645F">
      <w:pPr>
        <w:jc w:val="both"/>
        <w:rPr>
          <w:rFonts w:ascii="Arial" w:hAnsi="Arial" w:cs="Arial"/>
          <w:lang w:val="es-CO"/>
        </w:rPr>
      </w:pPr>
      <w:r>
        <w:rPr>
          <w:rFonts w:ascii="Arial" w:hAnsi="Arial" w:cs="Arial"/>
          <w:lang w:val="es-CO"/>
        </w:rPr>
        <w:t>El descuento tributario de que trata este artículo sólo aplica para nuevos empleos, sin que puedan interpretarse como nuevos empleos aquellos que surgen luego de la fusión de empresas, y procede de la siguiente manera:</w:t>
      </w:r>
    </w:p>
    <w:p w14:paraId="71C34D66" w14:textId="77777777" w:rsidR="00B2442D" w:rsidRDefault="00B2442D">
      <w:pPr>
        <w:jc w:val="both"/>
        <w:rPr>
          <w:rFonts w:ascii="Arial" w:hAnsi="Arial" w:cs="Arial"/>
          <w:lang w:val="es-CO"/>
        </w:rPr>
      </w:pPr>
    </w:p>
    <w:p w14:paraId="6C7D4540"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Respecto de los emple</w:t>
      </w:r>
      <w:r>
        <w:rPr>
          <w:rFonts w:ascii="Arial" w:hAnsi="Arial" w:cs="Arial"/>
          <w:lang w:val="es-CO"/>
        </w:rPr>
        <w:t>ados a que se refieren los literales a), b), f) y g) del presente artículo máximo por dos (2) años gravables consecutivos por empleado, a partir del año gravable de vinculación, y únicamente por el monto efectivamente pagado en el respectivo año gravable.</w:t>
      </w:r>
    </w:p>
    <w:p w14:paraId="1CD6AA8E" w14:textId="77777777" w:rsidR="00B2442D" w:rsidRDefault="00B2442D">
      <w:pPr>
        <w:ind w:left="284" w:hanging="284"/>
        <w:jc w:val="both"/>
        <w:rPr>
          <w:rFonts w:ascii="Arial" w:hAnsi="Arial" w:cs="Arial"/>
          <w:lang w:val="es-CO"/>
        </w:rPr>
      </w:pPr>
    </w:p>
    <w:p w14:paraId="7259B843"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Respecto de los empleados a que se refieren los literales c), d) y e), del presente artículo máximo por tres (3) años gravables consecutivos por empleado, a partir del año gravable de vinculación, y únicamente por el monto efectivamente pagado en el res</w:t>
      </w:r>
      <w:r>
        <w:rPr>
          <w:rFonts w:ascii="Arial" w:hAnsi="Arial" w:cs="Arial"/>
          <w:lang w:val="es-CO"/>
        </w:rPr>
        <w:t>pectivo año gravable.</w:t>
      </w:r>
    </w:p>
    <w:p w14:paraId="76FEE8C2" w14:textId="77777777" w:rsidR="00B2442D" w:rsidRDefault="00B2442D">
      <w:pPr>
        <w:jc w:val="both"/>
        <w:rPr>
          <w:rFonts w:ascii="Arial" w:hAnsi="Arial" w:cs="Arial"/>
          <w:lang w:val="es-CO"/>
        </w:rPr>
      </w:pPr>
    </w:p>
    <w:p w14:paraId="2C345596" w14:textId="77777777" w:rsidR="00B2442D" w:rsidRDefault="008A645F">
      <w:pPr>
        <w:jc w:val="both"/>
        <w:rPr>
          <w:rFonts w:ascii="Arial" w:hAnsi="Arial" w:cs="Arial"/>
          <w:i/>
          <w:lang w:val="es-CO"/>
        </w:rPr>
      </w:pPr>
      <w:r>
        <w:rPr>
          <w:rFonts w:ascii="Arial" w:hAnsi="Arial" w:cs="Arial"/>
          <w:i/>
          <w:lang w:val="es-CO"/>
        </w:rPr>
        <w:t>(Art. 11, Decreto 4910 de 2011)</w:t>
      </w:r>
    </w:p>
    <w:p w14:paraId="6EC41FC0" w14:textId="77777777" w:rsidR="00B2442D" w:rsidRDefault="00B2442D">
      <w:pPr>
        <w:jc w:val="both"/>
        <w:rPr>
          <w:rFonts w:ascii="Arial" w:hAnsi="Arial" w:cs="Arial"/>
          <w:lang w:val="es-CO"/>
        </w:rPr>
      </w:pPr>
    </w:p>
    <w:p w14:paraId="7502F4CB"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Descuento en el impuesto sobre la renta y complementario de los aportes parafiscales y otras contribuciones de nómina.</w:t>
      </w:r>
      <w:r>
        <w:rPr>
          <w:rFonts w:ascii="Arial" w:hAnsi="Arial" w:cs="Arial"/>
          <w:lang w:val="es-CO"/>
        </w:rPr>
        <w:t xml:space="preserve"> En ningún caso los valores solicitados como descuentos tributarios por concepto d</w:t>
      </w:r>
      <w:r>
        <w:rPr>
          <w:rFonts w:ascii="Arial" w:hAnsi="Arial" w:cs="Arial"/>
          <w:lang w:val="es-CO"/>
        </w:rPr>
        <w:t>e la aplicación del artículo anterior podrán ser tratados además como costo o deducción en la determinación del impuesto sobre la renta y complementario.</w:t>
      </w:r>
    </w:p>
    <w:p w14:paraId="0D760D41" w14:textId="77777777" w:rsidR="00B2442D" w:rsidRDefault="00B2442D">
      <w:pPr>
        <w:jc w:val="both"/>
        <w:rPr>
          <w:rFonts w:ascii="Arial" w:hAnsi="Arial" w:cs="Arial"/>
          <w:lang w:val="es-CO"/>
        </w:rPr>
      </w:pPr>
    </w:p>
    <w:p w14:paraId="04E733AF" w14:textId="77777777" w:rsidR="00B2442D" w:rsidRDefault="008A645F">
      <w:pPr>
        <w:jc w:val="both"/>
        <w:rPr>
          <w:rFonts w:ascii="Arial" w:hAnsi="Arial" w:cs="Arial"/>
          <w:lang w:val="es-CO"/>
        </w:rPr>
      </w:pPr>
      <w:r>
        <w:rPr>
          <w:rFonts w:ascii="Arial" w:hAnsi="Arial" w:cs="Arial"/>
          <w:lang w:val="es-CO"/>
        </w:rPr>
        <w:t xml:space="preserve">Las cooperativas de trabajo asociado no podrán ser beneficiarías de los descuentos </w:t>
      </w:r>
      <w:r>
        <w:rPr>
          <w:rFonts w:ascii="Arial" w:hAnsi="Arial" w:cs="Arial"/>
          <w:lang w:val="es-CO"/>
        </w:rPr>
        <w:t>tributarios a que se refiere el artículo anterior en relación con sus asociados.</w:t>
      </w:r>
    </w:p>
    <w:p w14:paraId="34B6757A" w14:textId="77777777" w:rsidR="00B2442D" w:rsidRDefault="00B2442D">
      <w:pPr>
        <w:jc w:val="both"/>
        <w:rPr>
          <w:rFonts w:ascii="Arial" w:hAnsi="Arial" w:cs="Arial"/>
          <w:lang w:val="es-CO"/>
        </w:rPr>
      </w:pPr>
    </w:p>
    <w:p w14:paraId="56C585F0" w14:textId="77777777" w:rsidR="00B2442D" w:rsidRDefault="008A645F">
      <w:pPr>
        <w:jc w:val="both"/>
        <w:rPr>
          <w:rFonts w:ascii="Arial" w:hAnsi="Arial" w:cs="Arial"/>
          <w:lang w:val="es-CO"/>
        </w:rPr>
      </w:pPr>
      <w:r>
        <w:rPr>
          <w:rFonts w:ascii="Arial" w:hAnsi="Arial" w:cs="Arial"/>
          <w:lang w:val="es-CO"/>
        </w:rPr>
        <w:t>En ningún caso procederá el descuento tributario respecto de los aportes de los trabajadores a que se refieren los literales a) a g) del inciso primero del artículo 1.2.1.23.</w:t>
      </w:r>
      <w:r>
        <w:rPr>
          <w:rFonts w:ascii="Arial" w:hAnsi="Arial" w:cs="Arial"/>
          <w:lang w:val="es-CO"/>
        </w:rPr>
        <w:t>10 del presente Decreto, que se vinculen para reemplazar personal contratado con anterioridad o para ocupar empleos que surgen de la fusión de empresas.</w:t>
      </w:r>
    </w:p>
    <w:p w14:paraId="72B02000" w14:textId="77777777" w:rsidR="00B2442D" w:rsidRDefault="00B2442D">
      <w:pPr>
        <w:jc w:val="both"/>
        <w:rPr>
          <w:rFonts w:ascii="Arial" w:hAnsi="Arial" w:cs="Arial"/>
          <w:lang w:val="es-CO"/>
        </w:rPr>
      </w:pPr>
    </w:p>
    <w:p w14:paraId="69C89BB4" w14:textId="77777777" w:rsidR="00B2442D" w:rsidRDefault="008A645F">
      <w:pPr>
        <w:jc w:val="both"/>
        <w:rPr>
          <w:rFonts w:ascii="Arial" w:hAnsi="Arial" w:cs="Arial"/>
          <w:lang w:val="es-CO"/>
        </w:rPr>
      </w:pPr>
      <w:r>
        <w:rPr>
          <w:rFonts w:ascii="Arial" w:hAnsi="Arial" w:cs="Arial"/>
          <w:lang w:val="es-CO"/>
        </w:rPr>
        <w:t>Cuando en una misma persona contratada para ocupar un nuevo empleo concurran dos (2) o más característ</w:t>
      </w:r>
      <w:r>
        <w:rPr>
          <w:rFonts w:ascii="Arial" w:hAnsi="Arial" w:cs="Arial"/>
          <w:lang w:val="es-CO"/>
        </w:rPr>
        <w:t>icas que permitan clasificarla en más de uno de los grupos de personas a contratar a que se refieren los literales a) a g) del inciso primero del artículo 1.2.1.23.10 del presente Decreto, solo se podrá optar por uno de los descuentos, por cuanto en ningún</w:t>
      </w:r>
      <w:r>
        <w:rPr>
          <w:rFonts w:ascii="Arial" w:hAnsi="Arial" w:cs="Arial"/>
          <w:lang w:val="es-CO"/>
        </w:rPr>
        <w:t xml:space="preserve"> caso un mismo pago de aportes da lugar a doble descuento en la determinación del impuesto a cargo del contribuyente. Por tanto, los beneficios a que se refieren los artículos 9, 10, 11 y 13 de la Ley 1429 de 2010 no son acumulables entre sí.</w:t>
      </w:r>
    </w:p>
    <w:p w14:paraId="500A4465" w14:textId="77777777" w:rsidR="00B2442D" w:rsidRDefault="00B2442D">
      <w:pPr>
        <w:jc w:val="both"/>
        <w:rPr>
          <w:rFonts w:ascii="Arial" w:hAnsi="Arial" w:cs="Arial"/>
          <w:lang w:val="es-CO"/>
        </w:rPr>
      </w:pPr>
    </w:p>
    <w:p w14:paraId="34EEC822" w14:textId="77777777" w:rsidR="00B2442D" w:rsidRDefault="008A645F">
      <w:pPr>
        <w:jc w:val="both"/>
        <w:rPr>
          <w:rFonts w:ascii="Arial" w:hAnsi="Arial" w:cs="Arial"/>
          <w:lang w:val="es-CO"/>
        </w:rPr>
      </w:pPr>
      <w:r>
        <w:rPr>
          <w:rFonts w:ascii="Arial" w:hAnsi="Arial" w:cs="Arial"/>
          <w:lang w:val="es-CO"/>
        </w:rPr>
        <w:t>De conformid</w:t>
      </w:r>
      <w:r>
        <w:rPr>
          <w:rFonts w:ascii="Arial" w:hAnsi="Arial" w:cs="Arial"/>
          <w:lang w:val="es-CO"/>
        </w:rPr>
        <w:t>ad con lo previsto en el inciso 1° del artículo 259 del Estatuto Tributario, en ningún caso los descuentos tributarios pueden exceder el impuesto básico de renta.</w:t>
      </w:r>
    </w:p>
    <w:p w14:paraId="47809A57" w14:textId="77777777" w:rsidR="00B2442D" w:rsidRDefault="00B2442D">
      <w:pPr>
        <w:jc w:val="both"/>
        <w:rPr>
          <w:rFonts w:ascii="Arial" w:hAnsi="Arial" w:cs="Arial"/>
          <w:lang w:val="es-CO"/>
        </w:rPr>
      </w:pPr>
    </w:p>
    <w:p w14:paraId="2BADDB37" w14:textId="77777777" w:rsidR="00B2442D" w:rsidRDefault="008A645F">
      <w:pPr>
        <w:jc w:val="both"/>
        <w:rPr>
          <w:rFonts w:ascii="Arial" w:hAnsi="Arial" w:cs="Arial"/>
          <w:i/>
          <w:lang w:val="es-CO"/>
        </w:rPr>
      </w:pPr>
      <w:r>
        <w:rPr>
          <w:rFonts w:ascii="Arial" w:hAnsi="Arial" w:cs="Arial"/>
          <w:i/>
          <w:lang w:val="es-CO"/>
        </w:rPr>
        <w:t>(Art. 12, Decreto 4910 de 2011)</w:t>
      </w:r>
    </w:p>
    <w:p w14:paraId="47BF9E21" w14:textId="77777777" w:rsidR="00B2442D" w:rsidRDefault="00B2442D">
      <w:pPr>
        <w:jc w:val="both"/>
        <w:rPr>
          <w:rFonts w:ascii="Arial" w:hAnsi="Arial" w:cs="Arial"/>
          <w:lang w:val="es-CO"/>
        </w:rPr>
      </w:pPr>
    </w:p>
    <w:p w14:paraId="1D2226F7"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Otras condiciones a tener en cuenta para que las empresas p</w:t>
      </w:r>
      <w:r>
        <w:rPr>
          <w:rFonts w:ascii="Arial" w:hAnsi="Arial" w:cs="Arial"/>
          <w:b/>
          <w:i/>
          <w:lang w:val="es-CO"/>
        </w:rPr>
        <w:t>uedan beneficiarse del descuento tributario de aportes parafiscales.</w:t>
      </w:r>
      <w:r>
        <w:rPr>
          <w:rFonts w:ascii="Arial" w:hAnsi="Arial" w:cs="Arial"/>
          <w:lang w:val="es-CO"/>
        </w:rPr>
        <w:t xml:space="preserve"> Sin perjuicio de lo previsto en los artículos anteriores, los contribuyentes declarantes del impuesto a la renta que pretendan beneficiarse del descuento tributario relativo a los aportes</w:t>
      </w:r>
      <w:r>
        <w:rPr>
          <w:rFonts w:ascii="Arial" w:hAnsi="Arial" w:cs="Arial"/>
          <w:lang w:val="es-CO"/>
        </w:rPr>
        <w:t xml:space="preserve"> parafiscales de que trata la Ley 1429 de 2010, deben cumplir, además, los siguientes requisitos:</w:t>
      </w:r>
    </w:p>
    <w:p w14:paraId="423D9671" w14:textId="77777777" w:rsidR="00B2442D" w:rsidRDefault="00B2442D">
      <w:pPr>
        <w:jc w:val="both"/>
        <w:rPr>
          <w:rFonts w:ascii="Arial" w:hAnsi="Arial" w:cs="Arial"/>
          <w:lang w:val="es-CO"/>
        </w:rPr>
      </w:pPr>
    </w:p>
    <w:p w14:paraId="4FC1362E"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Cumplir las obligaciones relacionadas con el sistema general de seguridad social respecto de la totalidad de los trabajadores de la empresa.</w:t>
      </w:r>
    </w:p>
    <w:p w14:paraId="42486757" w14:textId="77777777" w:rsidR="00B2442D" w:rsidRDefault="00B2442D">
      <w:pPr>
        <w:ind w:left="284" w:hanging="284"/>
        <w:jc w:val="both"/>
        <w:rPr>
          <w:rFonts w:ascii="Arial" w:hAnsi="Arial" w:cs="Arial"/>
          <w:lang w:val="es-CO"/>
        </w:rPr>
      </w:pPr>
    </w:p>
    <w:p w14:paraId="6EB14C45"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Tratándos</w:t>
      </w:r>
      <w:r>
        <w:rPr>
          <w:rFonts w:ascii="Arial" w:hAnsi="Arial" w:cs="Arial"/>
          <w:lang w:val="es-CO"/>
        </w:rPr>
        <w:t>e de nuevas empresas, estas solo pueden gozar del beneficio a partir del período gravable siguiente al de su existencia.</w:t>
      </w:r>
    </w:p>
    <w:p w14:paraId="22C7E0D7" w14:textId="77777777" w:rsidR="00B2442D" w:rsidRDefault="00B2442D">
      <w:pPr>
        <w:ind w:left="284" w:hanging="284"/>
        <w:jc w:val="both"/>
        <w:rPr>
          <w:rFonts w:ascii="Arial" w:hAnsi="Arial" w:cs="Arial"/>
          <w:lang w:val="es-CO"/>
        </w:rPr>
      </w:pPr>
    </w:p>
    <w:p w14:paraId="69094FA0"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Que la vinculación de nuevos trabajadores no se efectúe a través de empresas temporales de empleo.</w:t>
      </w:r>
    </w:p>
    <w:p w14:paraId="25409DD2" w14:textId="77777777" w:rsidR="00B2442D" w:rsidRDefault="00B2442D">
      <w:pPr>
        <w:ind w:left="284" w:hanging="284"/>
        <w:jc w:val="both"/>
        <w:rPr>
          <w:rFonts w:ascii="Arial" w:hAnsi="Arial" w:cs="Arial"/>
          <w:lang w:val="es-CO"/>
        </w:rPr>
      </w:pPr>
    </w:p>
    <w:p w14:paraId="3AF33BF5"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Que los nuevos </w:t>
      </w:r>
      <w:r>
        <w:rPr>
          <w:rFonts w:ascii="Arial" w:hAnsi="Arial" w:cs="Arial"/>
          <w:lang w:val="es-CO"/>
        </w:rPr>
        <w:t xml:space="preserve">trabajadores vinculados no hayan laborado en el año de su contratación o en el año inmediatamente anterior en empresas con las cuales el contribuyente tenga vinculación económica en los términos previstos en el artículo 260-1 (hoy artículos 260-1 y 260-2) </w:t>
      </w:r>
      <w:r>
        <w:rPr>
          <w:rFonts w:ascii="Arial" w:hAnsi="Arial" w:cs="Arial"/>
          <w:lang w:val="es-CO"/>
        </w:rPr>
        <w:t>del Estatuto Tributario.</w:t>
      </w:r>
    </w:p>
    <w:p w14:paraId="20500876" w14:textId="77777777" w:rsidR="00B2442D" w:rsidRDefault="00B2442D">
      <w:pPr>
        <w:jc w:val="both"/>
        <w:rPr>
          <w:rFonts w:ascii="Arial" w:hAnsi="Arial" w:cs="Arial"/>
          <w:lang w:val="es-CO"/>
        </w:rPr>
      </w:pPr>
    </w:p>
    <w:p w14:paraId="39616445" w14:textId="77777777" w:rsidR="00B2442D" w:rsidRDefault="008A645F">
      <w:pPr>
        <w:jc w:val="both"/>
        <w:rPr>
          <w:rFonts w:ascii="Arial" w:hAnsi="Arial" w:cs="Arial"/>
          <w:i/>
          <w:lang w:val="es-CO"/>
        </w:rPr>
      </w:pPr>
      <w:r>
        <w:rPr>
          <w:rFonts w:ascii="Arial" w:hAnsi="Arial" w:cs="Arial"/>
          <w:i/>
          <w:lang w:val="es-CO"/>
        </w:rPr>
        <w:t>(Art. 13, Decreto 4910 de 2011)</w:t>
      </w:r>
    </w:p>
    <w:p w14:paraId="685076E4" w14:textId="77777777" w:rsidR="00B2442D" w:rsidRDefault="00B2442D">
      <w:pPr>
        <w:jc w:val="both"/>
        <w:rPr>
          <w:rFonts w:ascii="Arial" w:hAnsi="Arial" w:cs="Arial"/>
          <w:lang w:val="es-CO"/>
        </w:rPr>
      </w:pPr>
    </w:p>
    <w:p w14:paraId="71EE0222"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Información requerida para hacer uso de los descuentos tributarios.</w:t>
      </w:r>
      <w:r>
        <w:rPr>
          <w:rFonts w:ascii="Arial" w:hAnsi="Arial" w:cs="Arial"/>
          <w:lang w:val="es-CO"/>
        </w:rPr>
        <w:t xml:space="preserve"> Será responsabilidad del contribuyente declarante del impuesto sobre la renta y complementario que pretenda utilizar los descuent</w:t>
      </w:r>
      <w:r>
        <w:rPr>
          <w:rFonts w:ascii="Arial" w:hAnsi="Arial" w:cs="Arial"/>
          <w:lang w:val="es-CO"/>
        </w:rPr>
        <w:t>os tributarios de que tratan los artículos 9, 10, 11 y 13 de la Ley 1429 de 2010, solicitar al empleado, al inicio de la relación laboral, los siguientes documentos, según el caso:</w:t>
      </w:r>
    </w:p>
    <w:p w14:paraId="52D4D57A" w14:textId="77777777" w:rsidR="00B2442D" w:rsidRDefault="00B2442D">
      <w:pPr>
        <w:jc w:val="both"/>
        <w:rPr>
          <w:rFonts w:ascii="Arial" w:hAnsi="Arial" w:cs="Arial"/>
          <w:lang w:val="es-CO"/>
        </w:rPr>
      </w:pPr>
    </w:p>
    <w:p w14:paraId="4A0E7E5D"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Fotocopia del documento de identidad para los menores de veintiocho (28)</w:t>
      </w:r>
      <w:r>
        <w:rPr>
          <w:rFonts w:ascii="Arial" w:hAnsi="Arial" w:cs="Arial"/>
          <w:lang w:val="es-CO"/>
        </w:rPr>
        <w:t xml:space="preserve"> años y las mujeres mayores de cuarenta (40) años.</w:t>
      </w:r>
    </w:p>
    <w:p w14:paraId="291295D8" w14:textId="77777777" w:rsidR="00B2442D" w:rsidRDefault="00B2442D">
      <w:pPr>
        <w:ind w:left="142" w:hanging="142"/>
        <w:jc w:val="both"/>
        <w:rPr>
          <w:rFonts w:ascii="Arial" w:hAnsi="Arial" w:cs="Arial"/>
          <w:lang w:val="es-CO"/>
        </w:rPr>
      </w:pPr>
    </w:p>
    <w:p w14:paraId="490B5410"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Certificación expedida por el operador de información de la Planilla Integrada de Liquidación de Aportes (PILA) en la que conste la no vinculación laboral en los últimos doce (12) meses anteriores al de</w:t>
      </w:r>
      <w:r>
        <w:rPr>
          <w:rFonts w:ascii="Arial" w:hAnsi="Arial" w:cs="Arial"/>
          <w:lang w:val="es-CO"/>
        </w:rPr>
        <w:t xml:space="preserve"> vinculación, para mujeres mayores de cuarenta (40) años.</w:t>
      </w:r>
    </w:p>
    <w:p w14:paraId="52A4C66C" w14:textId="77777777" w:rsidR="00B2442D" w:rsidRDefault="00B2442D">
      <w:pPr>
        <w:ind w:left="142" w:hanging="142"/>
        <w:jc w:val="both"/>
        <w:rPr>
          <w:rFonts w:ascii="Arial" w:hAnsi="Arial" w:cs="Arial"/>
          <w:lang w:val="es-CO"/>
        </w:rPr>
      </w:pPr>
    </w:p>
    <w:p w14:paraId="165D0A8F"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 xml:space="preserve">Certificación que pruebe la condición de desplazamiento otorgado por el Departamento Administrativo de la Prosperidad Social o la Unidad Administrativa Especial de Atención y Reparación Integral </w:t>
      </w:r>
      <w:r>
        <w:rPr>
          <w:rFonts w:ascii="Arial" w:hAnsi="Arial" w:cs="Arial"/>
          <w:lang w:val="es-CO"/>
        </w:rPr>
        <w:t>a Víctimas, según corresponda.</w:t>
      </w:r>
    </w:p>
    <w:p w14:paraId="0A6AC3F4" w14:textId="77777777" w:rsidR="00B2442D" w:rsidRDefault="00B2442D">
      <w:pPr>
        <w:ind w:left="142" w:hanging="142"/>
        <w:jc w:val="both"/>
        <w:rPr>
          <w:rFonts w:ascii="Arial" w:hAnsi="Arial" w:cs="Arial"/>
          <w:lang w:val="es-CO"/>
        </w:rPr>
      </w:pPr>
    </w:p>
    <w:p w14:paraId="3CEC1D5D"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Certificación expedida por la Alta Consejería para la Reintegración o la Entidad que haga sus veces, para las personas en proceso de reinsertación.</w:t>
      </w:r>
    </w:p>
    <w:p w14:paraId="492F5BB1" w14:textId="77777777" w:rsidR="00B2442D" w:rsidRDefault="00B2442D">
      <w:pPr>
        <w:ind w:left="142" w:hanging="142"/>
        <w:jc w:val="both"/>
        <w:rPr>
          <w:rFonts w:ascii="Arial" w:hAnsi="Arial" w:cs="Arial"/>
          <w:lang w:val="es-CO"/>
        </w:rPr>
      </w:pPr>
    </w:p>
    <w:p w14:paraId="38DD6626"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Certificación expedida por el Ministerio de Salud y Protección Social p</w:t>
      </w:r>
      <w:r>
        <w:rPr>
          <w:rFonts w:ascii="Arial" w:hAnsi="Arial" w:cs="Arial"/>
          <w:lang w:val="es-CO"/>
        </w:rPr>
        <w:t>ara discapacitados.</w:t>
      </w:r>
    </w:p>
    <w:p w14:paraId="20A49945" w14:textId="77777777" w:rsidR="00B2442D" w:rsidRDefault="00B2442D">
      <w:pPr>
        <w:ind w:left="142" w:hanging="142"/>
        <w:jc w:val="both"/>
        <w:rPr>
          <w:rFonts w:ascii="Arial" w:hAnsi="Arial" w:cs="Arial"/>
          <w:lang w:val="es-CO"/>
        </w:rPr>
      </w:pPr>
    </w:p>
    <w:p w14:paraId="6598C142"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Certificación nivel Sisbén para personas cabeza de familia, junto con declaración juramentada ante notario en la que se declare la condición de cabeza de familia.</w:t>
      </w:r>
    </w:p>
    <w:p w14:paraId="303AEEF9" w14:textId="77777777" w:rsidR="00B2442D" w:rsidRDefault="00B2442D">
      <w:pPr>
        <w:ind w:left="142" w:hanging="142"/>
        <w:jc w:val="both"/>
        <w:rPr>
          <w:rFonts w:ascii="Arial" w:hAnsi="Arial" w:cs="Arial"/>
          <w:lang w:val="es-CO"/>
        </w:rPr>
      </w:pPr>
    </w:p>
    <w:p w14:paraId="5FEE92CF"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Certificación del operador de la información de la Planilla Integra</w:t>
      </w:r>
      <w:r>
        <w:rPr>
          <w:rFonts w:ascii="Arial" w:hAnsi="Arial" w:cs="Arial"/>
          <w:lang w:val="es-CO"/>
        </w:rPr>
        <w:t>da de Liquidación de Aportes (PILA) respecto de la condición de nuevo empleo para quienes devenguen  menos de uno punto cinco (1.5) smmlv.</w:t>
      </w:r>
    </w:p>
    <w:p w14:paraId="5E82EC8F" w14:textId="77777777" w:rsidR="00B2442D" w:rsidRDefault="00B2442D">
      <w:pPr>
        <w:ind w:left="142" w:hanging="142"/>
        <w:jc w:val="both"/>
        <w:rPr>
          <w:rFonts w:ascii="Arial" w:hAnsi="Arial" w:cs="Arial"/>
          <w:lang w:val="es-CO"/>
        </w:rPr>
      </w:pPr>
    </w:p>
    <w:p w14:paraId="5FBA103A" w14:textId="77777777" w:rsidR="00B2442D" w:rsidRDefault="008A645F">
      <w:pPr>
        <w:ind w:left="142"/>
        <w:jc w:val="both"/>
        <w:rPr>
          <w:rFonts w:ascii="Arial" w:hAnsi="Arial" w:cs="Arial"/>
          <w:lang w:val="es-CO"/>
        </w:rPr>
      </w:pPr>
      <w:r>
        <w:rPr>
          <w:rFonts w:ascii="Arial" w:hAnsi="Arial" w:cs="Arial"/>
          <w:lang w:val="es-CO"/>
        </w:rPr>
        <w:t>Los contribuyentes que hayan hecho uso del beneficio de los descuentos tributarios y con el objeto de probar tanto l</w:t>
      </w:r>
      <w:r>
        <w:rPr>
          <w:rFonts w:ascii="Arial" w:hAnsi="Arial" w:cs="Arial"/>
          <w:lang w:val="es-CO"/>
        </w:rPr>
        <w:t>a incorporación de los nuevos trabajadores a la empresa y a la base de cotizaciones y aportes, como también el incremento del número de trabajadores y del valor de la nómina, deberán conservar y poner a disposición de la Administración Tributaria para cuan</w:t>
      </w:r>
      <w:r>
        <w:rPr>
          <w:rFonts w:ascii="Arial" w:hAnsi="Arial" w:cs="Arial"/>
          <w:lang w:val="es-CO"/>
        </w:rPr>
        <w:t>do esta lo exija, además de los documentos antes mencionados, los siguientes:</w:t>
      </w:r>
    </w:p>
    <w:p w14:paraId="000D5897" w14:textId="77777777" w:rsidR="00B2442D" w:rsidRDefault="00B2442D">
      <w:pPr>
        <w:ind w:left="142" w:hanging="142"/>
        <w:jc w:val="both"/>
        <w:rPr>
          <w:rFonts w:ascii="Arial" w:hAnsi="Arial" w:cs="Arial"/>
          <w:lang w:val="es-CO"/>
        </w:rPr>
      </w:pPr>
    </w:p>
    <w:p w14:paraId="1B0C5254"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Copia de la Planilla Integrada de Liquidación de Aportes (PILA) a la Seguridad Social o del documento que haga sus veces, correspondiente al mes de diciembre del año inmediata</w:t>
      </w:r>
      <w:r>
        <w:rPr>
          <w:rFonts w:ascii="Arial" w:hAnsi="Arial" w:cs="Arial"/>
          <w:lang w:val="es-CO"/>
        </w:rPr>
        <w:t>mente anterior al de solicitud del beneficio de los descuentos tributarios.</w:t>
      </w:r>
    </w:p>
    <w:p w14:paraId="42BF2035" w14:textId="77777777" w:rsidR="00B2442D" w:rsidRDefault="00B2442D">
      <w:pPr>
        <w:ind w:left="142" w:hanging="142"/>
        <w:jc w:val="both"/>
        <w:rPr>
          <w:rFonts w:ascii="Arial" w:hAnsi="Arial" w:cs="Arial"/>
          <w:lang w:val="es-CO"/>
        </w:rPr>
      </w:pPr>
    </w:p>
    <w:p w14:paraId="39436181"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 xml:space="preserve">Copia de la Planilla Integrada de Liquidación de Aportes (PILA) a la Seguridad Social o del documento que haga sus veces, relativas a los pagos realizados desde la </w:t>
      </w:r>
      <w:r>
        <w:rPr>
          <w:rFonts w:ascii="Arial" w:hAnsi="Arial" w:cs="Arial"/>
          <w:lang w:val="es-CO"/>
        </w:rPr>
        <w:t>vinculación laboral que da lugar al beneficio y durante el respectivo año gravable, mediante la cual se prueben los pagos periódicos de los aportes parafiscales a descontar en el periodo gravable correspondiente.</w:t>
      </w:r>
    </w:p>
    <w:p w14:paraId="690059F1" w14:textId="77777777" w:rsidR="00B2442D" w:rsidRDefault="00B2442D">
      <w:pPr>
        <w:jc w:val="both"/>
        <w:rPr>
          <w:rFonts w:ascii="Arial" w:hAnsi="Arial" w:cs="Arial"/>
          <w:lang w:val="es-CO"/>
        </w:rPr>
      </w:pPr>
    </w:p>
    <w:p w14:paraId="4D8768B6" w14:textId="77777777" w:rsidR="00B2442D" w:rsidRDefault="008A645F">
      <w:pPr>
        <w:jc w:val="both"/>
        <w:rPr>
          <w:rFonts w:ascii="Arial" w:hAnsi="Arial" w:cs="Arial"/>
          <w:i/>
          <w:lang w:val="es-CO"/>
        </w:rPr>
      </w:pPr>
      <w:r>
        <w:rPr>
          <w:rFonts w:ascii="Arial" w:hAnsi="Arial" w:cs="Arial"/>
          <w:i/>
          <w:lang w:val="es-CO"/>
        </w:rPr>
        <w:t>(Art. 14, Decreto 4910 de 2011)</w:t>
      </w:r>
    </w:p>
    <w:p w14:paraId="5EC8F91D" w14:textId="77777777" w:rsidR="00B2442D" w:rsidRDefault="00B2442D">
      <w:pPr>
        <w:jc w:val="both"/>
        <w:rPr>
          <w:rFonts w:ascii="Arial" w:hAnsi="Arial" w:cs="Arial"/>
          <w:lang w:val="es-CO"/>
        </w:rPr>
      </w:pPr>
    </w:p>
    <w:p w14:paraId="5F09B60F" w14:textId="77777777" w:rsidR="00B2442D" w:rsidRDefault="008A645F">
      <w:pPr>
        <w:pStyle w:val="Prrafodelista"/>
        <w:numPr>
          <w:ilvl w:val="0"/>
          <w:numId w:val="38"/>
        </w:numPr>
        <w:ind w:left="0" w:firstLine="0"/>
        <w:jc w:val="both"/>
        <w:rPr>
          <w:rFonts w:ascii="Arial" w:hAnsi="Arial" w:cs="Arial"/>
          <w:b/>
          <w:i/>
          <w:lang w:val="es-CO"/>
        </w:rPr>
      </w:pPr>
      <w:r>
        <w:rPr>
          <w:rFonts w:ascii="Arial" w:hAnsi="Arial" w:cs="Arial"/>
          <w:b/>
          <w:i/>
          <w:lang w:val="es-CO"/>
        </w:rPr>
        <w:t xml:space="preserve">Deber de </w:t>
      </w:r>
      <w:r>
        <w:rPr>
          <w:rFonts w:ascii="Arial" w:hAnsi="Arial" w:cs="Arial"/>
          <w:b/>
          <w:i/>
          <w:lang w:val="es-CO"/>
        </w:rPr>
        <w:t>suministrar información por parte de las Cámaras de Comercio y el Ministerio de Salud y Protección Social a la Unidad Administrativa Especial Dirección de Impuestos y Aduanas Nacionales-DIAN.</w:t>
      </w:r>
    </w:p>
    <w:p w14:paraId="129A4634" w14:textId="77777777" w:rsidR="00B2442D" w:rsidRDefault="00B2442D">
      <w:pPr>
        <w:jc w:val="both"/>
        <w:rPr>
          <w:rFonts w:ascii="Arial" w:hAnsi="Arial" w:cs="Arial"/>
          <w:lang w:val="es-CO"/>
        </w:rPr>
      </w:pPr>
    </w:p>
    <w:p w14:paraId="4383E9D2" w14:textId="77777777" w:rsidR="00B2442D" w:rsidRDefault="008A645F">
      <w:pPr>
        <w:ind w:left="284" w:hanging="284"/>
        <w:jc w:val="both"/>
        <w:rPr>
          <w:rFonts w:ascii="Arial" w:hAnsi="Arial" w:cs="Arial"/>
          <w:lang w:val="es-CO"/>
        </w:rPr>
      </w:pPr>
      <w:r>
        <w:rPr>
          <w:rFonts w:ascii="Arial" w:hAnsi="Arial" w:cs="Arial"/>
          <w:lang w:val="es-CO"/>
        </w:rPr>
        <w:t xml:space="preserve">1. Por parte de las Cámaras de Comercio en relación con Nuevas </w:t>
      </w:r>
      <w:r>
        <w:rPr>
          <w:rFonts w:ascii="Arial" w:hAnsi="Arial" w:cs="Arial"/>
          <w:lang w:val="es-CO"/>
        </w:rPr>
        <w:t>Pequeñas Empresas o Pequeñas Empresas Preexistentes. Las Cámaras de Comercio conformarán el listado de las empresas inscritas en el registro mercantil que cumplan con los requisitos de activos totales y número de trabajadores que las identifica como pequeñ</w:t>
      </w:r>
      <w:r>
        <w:rPr>
          <w:rFonts w:ascii="Arial" w:hAnsi="Arial" w:cs="Arial"/>
          <w:lang w:val="es-CO"/>
        </w:rPr>
        <w:t xml:space="preserve">as empresas, según se definen en el artículo 2° de la Ley 1429 de 2010 en concordancia con el artículo 1.2.1.23.1 del presente decreto, e igualmente de las empresas que matriculadas al amparo de la Ley 1429 de 2010 se inscribieron o renovaron su matrícula </w:t>
      </w:r>
      <w:r>
        <w:rPr>
          <w:rFonts w:ascii="Arial" w:hAnsi="Arial" w:cs="Arial"/>
          <w:lang w:val="es-CO"/>
        </w:rPr>
        <w:t>mercantil antes del 31 de marzo de cada año. Las Cámaras de Comercio, a través de Confecámaras o de quien haga sus veces, enviarán la información contenida en el registro anterior a la Unidad Administrativa Especial Dirección de Impuestos y Aduanas Naciona</w:t>
      </w:r>
      <w:r>
        <w:rPr>
          <w:rFonts w:ascii="Arial" w:hAnsi="Arial" w:cs="Arial"/>
          <w:lang w:val="es-CO"/>
        </w:rPr>
        <w:t>les-DIAN, en los términos y con las especificaciones técnicas que determine la Unidad Administrativa Especial Dirección de Impuestos y Aduanas Nacionales- DIAN.</w:t>
      </w:r>
    </w:p>
    <w:p w14:paraId="36ADE838" w14:textId="77777777" w:rsidR="00B2442D" w:rsidRDefault="00B2442D">
      <w:pPr>
        <w:ind w:left="284" w:hanging="284"/>
        <w:jc w:val="both"/>
        <w:rPr>
          <w:rFonts w:ascii="Arial" w:hAnsi="Arial" w:cs="Arial"/>
          <w:lang w:val="es-CO"/>
        </w:rPr>
      </w:pPr>
    </w:p>
    <w:p w14:paraId="48B27865" w14:textId="77777777" w:rsidR="00B2442D" w:rsidRDefault="008A645F">
      <w:pPr>
        <w:ind w:left="284" w:hanging="284"/>
        <w:jc w:val="both"/>
        <w:rPr>
          <w:rFonts w:ascii="Arial" w:hAnsi="Arial" w:cs="Arial"/>
          <w:lang w:val="es-CO"/>
        </w:rPr>
      </w:pPr>
      <w:r>
        <w:rPr>
          <w:rFonts w:ascii="Arial" w:hAnsi="Arial" w:cs="Arial"/>
          <w:lang w:val="es-CO"/>
        </w:rPr>
        <w:t>2. Por parte del Ministerio de Salud y Protección Social en relación con los contribuyentes so</w:t>
      </w:r>
      <w:r>
        <w:rPr>
          <w:rFonts w:ascii="Arial" w:hAnsi="Arial" w:cs="Arial"/>
          <w:lang w:val="es-CO"/>
        </w:rPr>
        <w:t>licitantes del beneficio de los descuentos tributarios por aportes parafiscales.</w:t>
      </w:r>
    </w:p>
    <w:p w14:paraId="01C1A28C" w14:textId="77777777" w:rsidR="00B2442D" w:rsidRDefault="00B2442D">
      <w:pPr>
        <w:jc w:val="both"/>
        <w:rPr>
          <w:rFonts w:ascii="Arial" w:hAnsi="Arial" w:cs="Arial"/>
          <w:lang w:val="es-CO"/>
        </w:rPr>
      </w:pPr>
    </w:p>
    <w:p w14:paraId="7C857EE4" w14:textId="77777777" w:rsidR="00B2442D" w:rsidRDefault="008A645F">
      <w:pPr>
        <w:jc w:val="both"/>
        <w:rPr>
          <w:rFonts w:ascii="Arial" w:hAnsi="Arial" w:cs="Arial"/>
          <w:lang w:val="es-CO"/>
        </w:rPr>
      </w:pPr>
      <w:r>
        <w:rPr>
          <w:rFonts w:ascii="Arial" w:hAnsi="Arial" w:cs="Arial"/>
          <w:lang w:val="es-CO"/>
        </w:rPr>
        <w:t>El Ministerio de Salud y Protección Social enviará a la Unidad Administrativa Especial Dirección de Impuestos y Aduanas Nacionales- DIAN, en los términos y con las especifica</w:t>
      </w:r>
      <w:r>
        <w:rPr>
          <w:rFonts w:ascii="Arial" w:hAnsi="Arial" w:cs="Arial"/>
          <w:lang w:val="es-CO"/>
        </w:rPr>
        <w:t>ciones técnicas que determine esa Dirección, la siguiente información:</w:t>
      </w:r>
    </w:p>
    <w:p w14:paraId="2861ED37" w14:textId="77777777" w:rsidR="00B2442D" w:rsidRDefault="00B2442D">
      <w:pPr>
        <w:jc w:val="both"/>
        <w:rPr>
          <w:rFonts w:ascii="Arial" w:hAnsi="Arial" w:cs="Arial"/>
          <w:lang w:val="es-CO"/>
        </w:rPr>
      </w:pPr>
    </w:p>
    <w:p w14:paraId="4FD60F40" w14:textId="77777777" w:rsidR="00B2442D" w:rsidRDefault="008A645F">
      <w:pPr>
        <w:jc w:val="both"/>
        <w:rPr>
          <w:rFonts w:ascii="Arial" w:hAnsi="Arial" w:cs="Arial"/>
          <w:lang w:val="es-CO"/>
        </w:rPr>
      </w:pPr>
      <w:r>
        <w:rPr>
          <w:rFonts w:ascii="Arial" w:hAnsi="Arial" w:cs="Arial"/>
          <w:lang w:val="es-CO"/>
        </w:rPr>
        <w:t xml:space="preserve">Nombre o razón social del contribuyente, NIT, valor total de la base y de los aportes parafiscales a 31 de diciembre del respectivo año gravable y del inmediatamente anterior el monto </w:t>
      </w:r>
      <w:r>
        <w:rPr>
          <w:rFonts w:ascii="Arial" w:hAnsi="Arial" w:cs="Arial"/>
          <w:lang w:val="es-CO"/>
        </w:rPr>
        <w:t>de la base y de los aportes parafiscales correspondientes a los nuevos trabajadores que pertenezcan al grupo de personas empleadas en las condiciones que la Ley 1429 de 2010 estableció para obtener el beneficio del descuento tributario de acuerdo con el ar</w:t>
      </w:r>
      <w:r>
        <w:rPr>
          <w:rFonts w:ascii="Arial" w:hAnsi="Arial" w:cs="Arial"/>
          <w:lang w:val="es-CO"/>
        </w:rPr>
        <w:t>tículo 1.2.1.23.10 del presente decreto, apellidos y nombres e identificación de las personas vinculadas a la empresa bajo estas condiciones y demás datos que la DIAN determine y solicite mediante resolución.</w:t>
      </w:r>
    </w:p>
    <w:p w14:paraId="6213F3E6" w14:textId="77777777" w:rsidR="00B2442D" w:rsidRDefault="00B2442D">
      <w:pPr>
        <w:jc w:val="both"/>
        <w:rPr>
          <w:rFonts w:ascii="Arial" w:hAnsi="Arial" w:cs="Arial"/>
          <w:lang w:val="es-CO"/>
        </w:rPr>
      </w:pPr>
    </w:p>
    <w:p w14:paraId="32809CB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 anterior debe entenderse sin per</w:t>
      </w:r>
      <w:r>
        <w:rPr>
          <w:rFonts w:ascii="Arial" w:hAnsi="Arial" w:cs="Arial"/>
          <w:lang w:val="es-CO"/>
        </w:rPr>
        <w:t>juicio de las facultades consagradas en los artículos 631, 631 -3 y demás disposiciones del Estatuto Tributario para solicitar información.</w:t>
      </w:r>
    </w:p>
    <w:p w14:paraId="0B09E4DE" w14:textId="77777777" w:rsidR="00B2442D" w:rsidRDefault="00B2442D">
      <w:pPr>
        <w:jc w:val="both"/>
        <w:rPr>
          <w:rFonts w:ascii="Arial" w:hAnsi="Arial" w:cs="Arial"/>
          <w:lang w:val="es-CO"/>
        </w:rPr>
      </w:pPr>
    </w:p>
    <w:p w14:paraId="159DC2D6" w14:textId="77777777" w:rsidR="00B2442D" w:rsidRDefault="008A645F">
      <w:pPr>
        <w:jc w:val="both"/>
        <w:rPr>
          <w:rFonts w:ascii="Arial" w:hAnsi="Arial" w:cs="Arial"/>
          <w:i/>
          <w:lang w:val="es-CO"/>
        </w:rPr>
      </w:pPr>
      <w:r>
        <w:rPr>
          <w:rFonts w:ascii="Arial" w:hAnsi="Arial" w:cs="Arial"/>
          <w:i/>
          <w:lang w:val="es-CO"/>
        </w:rPr>
        <w:t>(Art. 15, Decreto 4910 de 2011)</w:t>
      </w:r>
    </w:p>
    <w:p w14:paraId="60484955" w14:textId="77777777" w:rsidR="00B2442D" w:rsidRDefault="00B2442D">
      <w:pPr>
        <w:jc w:val="both"/>
        <w:rPr>
          <w:rFonts w:ascii="Arial" w:hAnsi="Arial" w:cs="Arial"/>
          <w:lang w:val="es-CO"/>
        </w:rPr>
      </w:pPr>
    </w:p>
    <w:p w14:paraId="5032278E"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Apoyos económicos no constitutivos de renta ni de ganancia ocasional.</w:t>
      </w:r>
      <w:r>
        <w:rPr>
          <w:rFonts w:ascii="Arial" w:hAnsi="Arial" w:cs="Arial"/>
          <w:lang w:val="es-CO"/>
        </w:rPr>
        <w:t xml:space="preserve"> Los ingresos correspondientes a los apoyos económicos no reembolsables que el Estado entregue como capital semilla para el emprendimiento y como capital para el fortalecimiento de la empresa de conformidad con el artículo 16 de la Ley 1429 de 2010, no con</w:t>
      </w:r>
      <w:r>
        <w:rPr>
          <w:rFonts w:ascii="Arial" w:hAnsi="Arial" w:cs="Arial"/>
          <w:lang w:val="es-CO"/>
        </w:rPr>
        <w:t>stituyen renta ni ganancia ocasional para efectos del impuesto a la renta y complementario.</w:t>
      </w:r>
    </w:p>
    <w:p w14:paraId="2F245F15" w14:textId="77777777" w:rsidR="00B2442D" w:rsidRDefault="00B2442D">
      <w:pPr>
        <w:jc w:val="both"/>
        <w:rPr>
          <w:rFonts w:ascii="Arial" w:hAnsi="Arial" w:cs="Arial"/>
          <w:lang w:val="es-CO"/>
        </w:rPr>
      </w:pPr>
    </w:p>
    <w:p w14:paraId="21608312" w14:textId="77777777" w:rsidR="00B2442D" w:rsidRDefault="008A645F">
      <w:pPr>
        <w:jc w:val="both"/>
        <w:rPr>
          <w:rFonts w:ascii="Arial" w:hAnsi="Arial" w:cs="Arial"/>
          <w:lang w:val="es-CO"/>
        </w:rPr>
      </w:pPr>
      <w:r>
        <w:rPr>
          <w:rFonts w:ascii="Arial" w:hAnsi="Arial" w:cs="Arial"/>
          <w:lang w:val="es-CO"/>
        </w:rPr>
        <w:t>El anterior tratamiento tributario comprende los apoyos económicos no reembolsables que el Estado haya entregado como capital semilla para el emprendimiento y como</w:t>
      </w:r>
      <w:r>
        <w:rPr>
          <w:rFonts w:ascii="Arial" w:hAnsi="Arial" w:cs="Arial"/>
          <w:lang w:val="es-CO"/>
        </w:rPr>
        <w:t xml:space="preserve"> capital para el fortalecimiento de la empresa a partir del 1° de enero de 2010.</w:t>
      </w:r>
    </w:p>
    <w:p w14:paraId="0E91063C" w14:textId="77777777" w:rsidR="00B2442D" w:rsidRDefault="00B2442D">
      <w:pPr>
        <w:jc w:val="both"/>
        <w:rPr>
          <w:rFonts w:ascii="Arial" w:hAnsi="Arial" w:cs="Arial"/>
          <w:lang w:val="es-CO"/>
        </w:rPr>
      </w:pPr>
    </w:p>
    <w:p w14:paraId="6CA8E437" w14:textId="77777777" w:rsidR="00B2442D" w:rsidRDefault="008A645F">
      <w:pPr>
        <w:jc w:val="both"/>
        <w:rPr>
          <w:rFonts w:ascii="Arial" w:hAnsi="Arial" w:cs="Arial"/>
          <w:lang w:val="es-CO"/>
        </w:rPr>
      </w:pPr>
      <w:r>
        <w:rPr>
          <w:rFonts w:ascii="Arial" w:hAnsi="Arial" w:cs="Arial"/>
          <w:lang w:val="es-CO"/>
        </w:rPr>
        <w:t>Únicamente para efectos de lo previsto en el presente artículo deben tenerse en cuenta las siguientes definiciones:</w:t>
      </w:r>
    </w:p>
    <w:p w14:paraId="26480991" w14:textId="77777777" w:rsidR="00B2442D" w:rsidRDefault="00B2442D">
      <w:pPr>
        <w:jc w:val="both"/>
        <w:rPr>
          <w:rFonts w:ascii="Arial" w:hAnsi="Arial" w:cs="Arial"/>
          <w:lang w:val="es-CO"/>
        </w:rPr>
      </w:pPr>
    </w:p>
    <w:p w14:paraId="34A3D59F" w14:textId="77777777" w:rsidR="00B2442D" w:rsidRDefault="008A645F">
      <w:pPr>
        <w:jc w:val="both"/>
        <w:rPr>
          <w:rFonts w:ascii="Arial" w:hAnsi="Arial" w:cs="Arial"/>
          <w:lang w:val="es-CO"/>
        </w:rPr>
      </w:pPr>
      <w:r>
        <w:rPr>
          <w:rFonts w:ascii="Arial" w:hAnsi="Arial" w:cs="Arial"/>
          <w:b/>
          <w:lang w:val="es-CO"/>
        </w:rPr>
        <w:t>Capital Semilla.</w:t>
      </w:r>
      <w:r>
        <w:rPr>
          <w:rFonts w:ascii="Arial" w:hAnsi="Arial" w:cs="Arial"/>
          <w:lang w:val="es-CO"/>
        </w:rPr>
        <w:t xml:space="preserve"> Es la cantidad de dinero que el Estado entrega a través del Servicio Nacional de Aprendizaje "SENA" de los recursos provenientes del Fondo Emprender, o por intermedio de la entidad que el Estado designe cuando provengan de los demás fondos públicos creado</w:t>
      </w:r>
      <w:r>
        <w:rPr>
          <w:rFonts w:ascii="Arial" w:hAnsi="Arial" w:cs="Arial"/>
          <w:lang w:val="es-CO"/>
        </w:rPr>
        <w:t xml:space="preserve">s y destinados para cubrir, entre otros, la investigación, prueba y desarrollo de un concepto inicial de empresa; los costos de creación de empresa, compra de activos y capital de trabajo hasta alcanzar el punto de equilibrio, es decir, hasta el momento a </w:t>
      </w:r>
      <w:r>
        <w:rPr>
          <w:rFonts w:ascii="Arial" w:hAnsi="Arial" w:cs="Arial"/>
          <w:lang w:val="es-CO"/>
        </w:rPr>
        <w:t>partir del cual la empresa ya genera suficientes ingresos para cubrir sus costos y gastos.</w:t>
      </w:r>
    </w:p>
    <w:p w14:paraId="0C46F55A" w14:textId="77777777" w:rsidR="00B2442D" w:rsidRDefault="00B2442D">
      <w:pPr>
        <w:jc w:val="both"/>
        <w:rPr>
          <w:rFonts w:ascii="Arial" w:hAnsi="Arial" w:cs="Arial"/>
          <w:lang w:val="es-CO"/>
        </w:rPr>
      </w:pPr>
    </w:p>
    <w:p w14:paraId="193F4734" w14:textId="77777777" w:rsidR="00B2442D" w:rsidRDefault="008A645F">
      <w:pPr>
        <w:jc w:val="both"/>
        <w:rPr>
          <w:rFonts w:ascii="Arial" w:hAnsi="Arial" w:cs="Arial"/>
          <w:lang w:val="es-CO"/>
        </w:rPr>
      </w:pPr>
      <w:r>
        <w:rPr>
          <w:rFonts w:ascii="Arial" w:hAnsi="Arial" w:cs="Arial"/>
          <w:b/>
          <w:lang w:val="es-CO"/>
        </w:rPr>
        <w:t>Capital para el fortalecimiento de la empresa</w:t>
      </w:r>
      <w:r>
        <w:rPr>
          <w:rFonts w:ascii="Arial" w:hAnsi="Arial" w:cs="Arial"/>
          <w:lang w:val="es-CO"/>
        </w:rPr>
        <w:t>. Es la cantidad de dinero que el Estado entrega a través del Servicio Nacional de Aprendizaje "SENA" de los recursos p</w:t>
      </w:r>
      <w:r>
        <w:rPr>
          <w:rFonts w:ascii="Arial" w:hAnsi="Arial" w:cs="Arial"/>
          <w:lang w:val="es-CO"/>
        </w:rPr>
        <w:t>rovenientes del Fondo Emprender, o por intermedio de la entidad que el Estado designe cuando provengan de los demás fondos públicos creados y destinados a las empresas que ya generan suficientes ingresos para cubrir sus costos y gastos y que va dirigido, e</w:t>
      </w:r>
      <w:r>
        <w:rPr>
          <w:rFonts w:ascii="Arial" w:hAnsi="Arial" w:cs="Arial"/>
          <w:lang w:val="es-CO"/>
        </w:rPr>
        <w:t>ntre otros, a la compra de maquinaria y equipo, capital de trabajo, implementación de tecnologías y normas técnicas; diseño y mejoramiento de productos, procesos y servicios.</w:t>
      </w:r>
    </w:p>
    <w:p w14:paraId="2B9B50A3" w14:textId="77777777" w:rsidR="00B2442D" w:rsidRDefault="00B2442D">
      <w:pPr>
        <w:jc w:val="both"/>
        <w:rPr>
          <w:rFonts w:ascii="Arial" w:hAnsi="Arial" w:cs="Arial"/>
          <w:lang w:val="es-CO"/>
        </w:rPr>
      </w:pPr>
    </w:p>
    <w:p w14:paraId="00714048" w14:textId="77777777" w:rsidR="00B2442D" w:rsidRDefault="008A645F">
      <w:pPr>
        <w:jc w:val="both"/>
        <w:rPr>
          <w:rFonts w:ascii="Arial" w:hAnsi="Arial" w:cs="Arial"/>
          <w:lang w:val="es-CO"/>
        </w:rPr>
      </w:pPr>
      <w:r>
        <w:rPr>
          <w:rFonts w:ascii="Arial" w:hAnsi="Arial" w:cs="Arial"/>
          <w:lang w:val="es-CO"/>
        </w:rPr>
        <w:t>Las entidades encargadas de la entrega de los dineros relativos a los apoyos eco</w:t>
      </w:r>
      <w:r>
        <w:rPr>
          <w:rFonts w:ascii="Arial" w:hAnsi="Arial" w:cs="Arial"/>
          <w:lang w:val="es-CO"/>
        </w:rPr>
        <w:t>nómicos no reembolsables que el Estado entregue, destinados para capital semilla para el emprendimiento y/o para capital para el fortalecimiento de la empresa, deberán certificar los montos de los dineros entregados a título de Capital Semilla o Capital pa</w:t>
      </w:r>
      <w:r>
        <w:rPr>
          <w:rFonts w:ascii="Arial" w:hAnsi="Arial" w:cs="Arial"/>
          <w:lang w:val="es-CO"/>
        </w:rPr>
        <w:t>ra el Fortalecimiento de la Empresa, que esos montos corresponden única y exclusivamente a estos conceptos.</w:t>
      </w:r>
    </w:p>
    <w:p w14:paraId="13BBAD13" w14:textId="77777777" w:rsidR="00B2442D" w:rsidRDefault="00B2442D">
      <w:pPr>
        <w:jc w:val="both"/>
        <w:rPr>
          <w:rFonts w:ascii="Arial" w:hAnsi="Arial" w:cs="Arial"/>
          <w:lang w:val="es-CO"/>
        </w:rPr>
      </w:pPr>
    </w:p>
    <w:p w14:paraId="21EB7E1C" w14:textId="77777777" w:rsidR="00B2442D" w:rsidRDefault="008A645F">
      <w:pPr>
        <w:jc w:val="both"/>
        <w:rPr>
          <w:rFonts w:ascii="Arial" w:hAnsi="Arial" w:cs="Arial"/>
          <w:lang w:val="es-CO"/>
        </w:rPr>
      </w:pPr>
      <w:r>
        <w:rPr>
          <w:rFonts w:ascii="Arial" w:hAnsi="Arial" w:cs="Arial"/>
          <w:lang w:val="es-CO"/>
        </w:rPr>
        <w:t>Estas mismas entidades están obligadas a informar a la Subdirección de Gestión de Análisis Operacional de la Unidad Administrativa Especial Direcci</w:t>
      </w:r>
      <w:r>
        <w:rPr>
          <w:rFonts w:ascii="Arial" w:hAnsi="Arial" w:cs="Arial"/>
          <w:lang w:val="es-CO"/>
        </w:rPr>
        <w:t>ón de Impuestos y Aduanas Nacionales– DIAN al momento del giro, el monto, el o los beneficiarios y la entidad financiera a través de la cual se realiza la operación.</w:t>
      </w:r>
    </w:p>
    <w:p w14:paraId="6251ACBB" w14:textId="77777777" w:rsidR="00B2442D" w:rsidRDefault="00B2442D">
      <w:pPr>
        <w:jc w:val="both"/>
        <w:rPr>
          <w:rFonts w:ascii="Arial" w:hAnsi="Arial" w:cs="Arial"/>
          <w:lang w:val="es-CO"/>
        </w:rPr>
      </w:pPr>
    </w:p>
    <w:p w14:paraId="725C7F19" w14:textId="77777777" w:rsidR="00B2442D" w:rsidRDefault="008A645F">
      <w:pPr>
        <w:jc w:val="both"/>
        <w:rPr>
          <w:rFonts w:ascii="Arial" w:hAnsi="Arial" w:cs="Arial"/>
          <w:i/>
          <w:lang w:val="es-CO"/>
        </w:rPr>
      </w:pPr>
      <w:r>
        <w:rPr>
          <w:rFonts w:ascii="Arial" w:hAnsi="Arial" w:cs="Arial"/>
          <w:i/>
          <w:lang w:val="es-CO"/>
        </w:rPr>
        <w:t>(Art. 16, Decreto 4910 de 2011)</w:t>
      </w:r>
    </w:p>
    <w:p w14:paraId="6184DFA9" w14:textId="77777777" w:rsidR="00B2442D" w:rsidRDefault="00B2442D">
      <w:pPr>
        <w:jc w:val="both"/>
        <w:rPr>
          <w:rFonts w:ascii="Arial" w:hAnsi="Arial" w:cs="Arial"/>
          <w:lang w:val="es-CO"/>
        </w:rPr>
      </w:pPr>
    </w:p>
    <w:p w14:paraId="418540B8"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lang w:val="es-CO"/>
        </w:rPr>
        <w:t xml:space="preserve">Sanciones </w:t>
      </w:r>
      <w:r>
        <w:rPr>
          <w:rFonts w:ascii="Arial" w:hAnsi="Arial" w:cs="Arial"/>
          <w:b/>
          <w:i/>
          <w:lang w:val="es-CO"/>
        </w:rPr>
        <w:t>por el suministro de información falsa.</w:t>
      </w:r>
      <w:r>
        <w:rPr>
          <w:rFonts w:ascii="Arial" w:hAnsi="Arial" w:cs="Arial"/>
          <w:lang w:val="es-CO"/>
        </w:rPr>
        <w:t xml:space="preserve"> Confor</w:t>
      </w:r>
      <w:r>
        <w:rPr>
          <w:rFonts w:ascii="Arial" w:hAnsi="Arial" w:cs="Arial"/>
          <w:lang w:val="es-CO"/>
        </w:rPr>
        <w:t>me con el artículo 49 de la Ley 1429 de 2010 y sin perjuicio de las acciones y sanciones a que haya lugar por improcedencia de los beneficios, quienes suministren información falsa con el propósito de obtener los beneficios previstos en los artículos 4, 9,</w:t>
      </w:r>
      <w:r>
        <w:rPr>
          <w:rFonts w:ascii="Arial" w:hAnsi="Arial" w:cs="Arial"/>
          <w:lang w:val="es-CO"/>
        </w:rPr>
        <w:t xml:space="preserve"> 10, 11 y 13 de la Ley 1429 de 2010, deberán restituir los impuestos dejados de pagar por los beneficios solicitados de manera improcedente, para lo cual, la Administración Tributaria, de acuerdo con las disposiciones procedimentales consagradas en el Esta</w:t>
      </w:r>
      <w:r>
        <w:rPr>
          <w:rFonts w:ascii="Arial" w:hAnsi="Arial" w:cs="Arial"/>
          <w:lang w:val="es-CO"/>
        </w:rPr>
        <w:t>tuto Tributario exigirá los impuestos dejados de pagar por efectos de la aplicación de la progresividad del pago del impuesto de renta y complementario y de los descuentos tributarios obtenidos indebidamente, e impondrá la sanción correspondiente al doscie</w:t>
      </w:r>
      <w:r>
        <w:rPr>
          <w:rFonts w:ascii="Arial" w:hAnsi="Arial" w:cs="Arial"/>
          <w:lang w:val="es-CO"/>
        </w:rPr>
        <w:t>ntos por ciento (200%) del valor de tales beneficios a que se refiere el artículo 49 Ib., sin perjuicio de las denuncias ante las autoridades competentes para efectos de las sanciones penales a que haya lugar.</w:t>
      </w:r>
    </w:p>
    <w:p w14:paraId="3010A305" w14:textId="77777777" w:rsidR="00B2442D" w:rsidRDefault="00B2442D">
      <w:pPr>
        <w:jc w:val="both"/>
        <w:rPr>
          <w:rFonts w:ascii="Arial" w:hAnsi="Arial" w:cs="Arial"/>
          <w:lang w:val="es-CO"/>
        </w:rPr>
      </w:pPr>
    </w:p>
    <w:p w14:paraId="094AB7EF" w14:textId="77777777" w:rsidR="00B2442D" w:rsidRDefault="008A645F">
      <w:pPr>
        <w:jc w:val="both"/>
        <w:rPr>
          <w:rFonts w:ascii="Arial" w:hAnsi="Arial" w:cs="Arial"/>
          <w:lang w:val="es-CO"/>
        </w:rPr>
      </w:pPr>
      <w:r>
        <w:rPr>
          <w:rFonts w:ascii="Arial" w:hAnsi="Arial" w:cs="Arial"/>
          <w:lang w:val="es-CO"/>
        </w:rPr>
        <w:t>El reintegro consistirá en adicionar en la de</w:t>
      </w:r>
      <w:r>
        <w:rPr>
          <w:rFonts w:ascii="Arial" w:hAnsi="Arial" w:cs="Arial"/>
          <w:lang w:val="es-CO"/>
        </w:rPr>
        <w:t>claración del respectivo periodo fiscal como mayor impuesto a pagar el monto del impuesto que con ocasión de la aplicación del beneficio improcedente dejó de pagar, junto con la sanción mencionada en el inciso anterior y deberá pagar además los intereses m</w:t>
      </w:r>
      <w:r>
        <w:rPr>
          <w:rFonts w:ascii="Arial" w:hAnsi="Arial" w:cs="Arial"/>
          <w:lang w:val="es-CO"/>
        </w:rPr>
        <w:t>oratorios a que haya lugar en los términos y condiciones previstos en el Estatuto Tributario.</w:t>
      </w:r>
    </w:p>
    <w:p w14:paraId="127EF962" w14:textId="77777777" w:rsidR="00B2442D" w:rsidRDefault="00B2442D">
      <w:pPr>
        <w:jc w:val="both"/>
        <w:rPr>
          <w:rFonts w:ascii="Arial" w:hAnsi="Arial" w:cs="Arial"/>
          <w:lang w:val="es-CO"/>
        </w:rPr>
      </w:pPr>
    </w:p>
    <w:p w14:paraId="2C31E8DD" w14:textId="77777777" w:rsidR="00B2442D" w:rsidRDefault="008A645F">
      <w:pPr>
        <w:jc w:val="both"/>
        <w:rPr>
          <w:rFonts w:ascii="Arial" w:hAnsi="Arial" w:cs="Arial"/>
          <w:lang w:val="es-CO"/>
        </w:rPr>
      </w:pPr>
      <w:r>
        <w:rPr>
          <w:rFonts w:ascii="Arial" w:hAnsi="Arial" w:cs="Arial"/>
          <w:lang w:val="es-CO"/>
        </w:rPr>
        <w:t>Lo anterior debe entenderse sin perjuicio de la facultad de investigación y revisión que tiene la Administración Tributaria en los demás aspectos de las declarac</w:t>
      </w:r>
      <w:r>
        <w:rPr>
          <w:rFonts w:ascii="Arial" w:hAnsi="Arial" w:cs="Arial"/>
          <w:lang w:val="es-CO"/>
        </w:rPr>
        <w:t>iones tributarias del contribuyente que solicitó indebidamente los beneficios.</w:t>
      </w:r>
    </w:p>
    <w:p w14:paraId="11BF2BF9" w14:textId="77777777" w:rsidR="00B2442D" w:rsidRDefault="00B2442D">
      <w:pPr>
        <w:jc w:val="both"/>
        <w:rPr>
          <w:rFonts w:ascii="Arial" w:hAnsi="Arial" w:cs="Arial"/>
          <w:lang w:val="es-CO"/>
        </w:rPr>
      </w:pPr>
    </w:p>
    <w:p w14:paraId="6E06A015" w14:textId="77777777" w:rsidR="00B2442D" w:rsidRDefault="008A645F">
      <w:pPr>
        <w:jc w:val="both"/>
        <w:rPr>
          <w:rFonts w:ascii="Arial" w:hAnsi="Arial" w:cs="Arial"/>
          <w:i/>
          <w:lang w:val="es-CO"/>
        </w:rPr>
      </w:pPr>
      <w:r>
        <w:rPr>
          <w:rFonts w:ascii="Arial" w:hAnsi="Arial" w:cs="Arial"/>
          <w:i/>
          <w:lang w:val="es-CO"/>
        </w:rPr>
        <w:t>(Art. 17, Decreto 4910 de 2011)</w:t>
      </w:r>
    </w:p>
    <w:p w14:paraId="0F38416A" w14:textId="77777777" w:rsidR="00B2442D" w:rsidRDefault="00B2442D">
      <w:pPr>
        <w:jc w:val="both"/>
        <w:rPr>
          <w:rFonts w:ascii="Arial" w:hAnsi="Arial" w:cs="Arial"/>
          <w:lang w:val="es-CO"/>
        </w:rPr>
      </w:pPr>
    </w:p>
    <w:p w14:paraId="7C3235AD" w14:textId="77777777" w:rsidR="00B2442D" w:rsidRDefault="008A645F">
      <w:pPr>
        <w:pStyle w:val="Prrafodelista"/>
        <w:numPr>
          <w:ilvl w:val="0"/>
          <w:numId w:val="38"/>
        </w:numPr>
        <w:ind w:left="0" w:firstLine="0"/>
        <w:jc w:val="both"/>
        <w:rPr>
          <w:rFonts w:ascii="Arial" w:hAnsi="Arial" w:cs="Arial"/>
          <w:lang w:val="es-CO"/>
        </w:rPr>
      </w:pPr>
      <w:r>
        <w:rPr>
          <w:rFonts w:ascii="Arial" w:hAnsi="Arial" w:cs="Arial"/>
          <w:b/>
          <w:i/>
          <w:lang w:val="es-CO"/>
        </w:rPr>
        <w:t>Obligaciones formales y sustanciales.</w:t>
      </w:r>
      <w:r>
        <w:rPr>
          <w:rFonts w:ascii="Arial" w:hAnsi="Arial" w:cs="Arial"/>
          <w:lang w:val="es-CO"/>
        </w:rPr>
        <w:t xml:space="preserve"> De acuerdo con lo previsto en el artículo 8o de la Ley 1429 de 2010, los contribuyentes a los que se refi</w:t>
      </w:r>
      <w:r>
        <w:rPr>
          <w:rFonts w:ascii="Arial" w:hAnsi="Arial" w:cs="Arial"/>
          <w:lang w:val="es-CO"/>
        </w:rPr>
        <w:t>ere el artículo 1.2.1.23.1 de este decreto deben cumplir sus obligaciones relacionadas con la renovación de la matrícula mercantil, con las obligaciones de efectuar el pago de los aportes a salud y demás contribuciones de nómina y con la presentación de la</w:t>
      </w:r>
      <w:r>
        <w:rPr>
          <w:rFonts w:ascii="Arial" w:hAnsi="Arial" w:cs="Arial"/>
          <w:lang w:val="es-CO"/>
        </w:rPr>
        <w:t>s declaraciones tributarias de orden nacional y territorial y de realizar los pagos de los valores a cargo, en los términos y condiciones previstos en el inciso 2° del artículo 1.2.1.23.8 del presente decreto.</w:t>
      </w:r>
    </w:p>
    <w:p w14:paraId="2D423A91" w14:textId="77777777" w:rsidR="00B2442D" w:rsidRDefault="00B2442D">
      <w:pPr>
        <w:jc w:val="both"/>
        <w:rPr>
          <w:rFonts w:ascii="Arial" w:hAnsi="Arial" w:cs="Arial"/>
          <w:lang w:val="es-CO"/>
        </w:rPr>
      </w:pPr>
    </w:p>
    <w:p w14:paraId="60CD84F2" w14:textId="77777777" w:rsidR="00B2442D" w:rsidRDefault="008A645F">
      <w:pPr>
        <w:jc w:val="both"/>
        <w:rPr>
          <w:rFonts w:ascii="Arial" w:hAnsi="Arial" w:cs="Arial"/>
          <w:i/>
          <w:lang w:val="es-CO"/>
        </w:rPr>
      </w:pPr>
      <w:r>
        <w:rPr>
          <w:rFonts w:ascii="Arial" w:hAnsi="Arial" w:cs="Arial"/>
          <w:i/>
          <w:lang w:val="es-CO"/>
        </w:rPr>
        <w:t>(Art. 18, Decreto 4910 de 2011)</w:t>
      </w:r>
    </w:p>
    <w:p w14:paraId="47722190" w14:textId="77777777" w:rsidR="00B2442D" w:rsidRDefault="00B2442D">
      <w:pPr>
        <w:jc w:val="both"/>
        <w:rPr>
          <w:rFonts w:ascii="Arial" w:hAnsi="Arial" w:cs="Arial"/>
          <w:i/>
          <w:lang w:val="es-CO"/>
        </w:rPr>
      </w:pPr>
    </w:p>
    <w:p w14:paraId="007E6F80" w14:textId="77777777" w:rsidR="00B2442D" w:rsidRDefault="008A645F">
      <w:pPr>
        <w:pStyle w:val="Ttulo4"/>
      </w:pPr>
      <w:r>
        <w:t>CAPÍTULO 24</w:t>
      </w:r>
    </w:p>
    <w:p w14:paraId="0D884158" w14:textId="77777777" w:rsidR="00B2442D" w:rsidRDefault="008A645F">
      <w:pPr>
        <w:pStyle w:val="Ttulo4"/>
      </w:pPr>
      <w:r>
        <w:t>Descuentos tributarios</w:t>
      </w:r>
    </w:p>
    <w:p w14:paraId="3F3F7728" w14:textId="77777777" w:rsidR="00B2442D" w:rsidRDefault="00B2442D">
      <w:pPr>
        <w:jc w:val="both"/>
        <w:rPr>
          <w:rFonts w:ascii="Arial" w:hAnsi="Arial" w:cs="Arial"/>
          <w:b/>
          <w:lang w:val="es-CO"/>
        </w:rPr>
      </w:pPr>
    </w:p>
    <w:p w14:paraId="00CB02A1"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Ámbito de aplicación e intransferibilidad</w:t>
      </w:r>
      <w:r>
        <w:rPr>
          <w:rFonts w:ascii="Arial" w:hAnsi="Arial" w:cs="Arial"/>
          <w:lang w:val="es-CO"/>
        </w:rPr>
        <w:t xml:space="preserve">. Únicamente tendrán derecho a solicitar el descuento tributario de que trata el artículo 104 de la Ley 788 de 2002, las empresas de servicios públicos domiciliarios de cualquier orden que </w:t>
      </w:r>
      <w:r>
        <w:rPr>
          <w:rFonts w:ascii="Arial" w:hAnsi="Arial" w:cs="Arial"/>
          <w:lang w:val="es-CO"/>
        </w:rPr>
        <w:t>presten los servicios de acueducto y/o de alcantarillado de manera exclusiva o conjunta con otros servicios públicos domiciliarios, que realicen inversiones directas en empresas de acueducto y/o alcantarillado del orden regional, siempre que las mismas con</w:t>
      </w:r>
      <w:r>
        <w:rPr>
          <w:rFonts w:ascii="Arial" w:hAnsi="Arial" w:cs="Arial"/>
          <w:lang w:val="es-CO"/>
        </w:rPr>
        <w:t>lleven una ampliación de la cobertura del servicio, en los términos y condiciones previstos en el artículo 104 de la Ley 788 de 2002 y en los artículos 1.2.1.24.1 al 1.2.1.24.5 del presente Decreto.</w:t>
      </w:r>
    </w:p>
    <w:p w14:paraId="0730820E" w14:textId="77777777" w:rsidR="00B2442D" w:rsidRDefault="00B2442D">
      <w:pPr>
        <w:jc w:val="both"/>
        <w:rPr>
          <w:rFonts w:ascii="Arial" w:hAnsi="Arial" w:cs="Arial"/>
          <w:lang w:val="es-CO"/>
        </w:rPr>
      </w:pPr>
    </w:p>
    <w:p w14:paraId="6AFA02F7" w14:textId="77777777" w:rsidR="00B2442D" w:rsidRDefault="008A645F">
      <w:pPr>
        <w:jc w:val="both"/>
        <w:rPr>
          <w:rFonts w:ascii="Arial" w:hAnsi="Arial" w:cs="Arial"/>
          <w:lang w:val="es-CO"/>
        </w:rPr>
      </w:pPr>
      <w:r>
        <w:rPr>
          <w:rFonts w:ascii="Arial" w:hAnsi="Arial" w:cs="Arial"/>
          <w:lang w:val="es-CO"/>
        </w:rPr>
        <w:t>En ningún caso se podrá transferir el beneficio tributar</w:t>
      </w:r>
      <w:r>
        <w:rPr>
          <w:rFonts w:ascii="Arial" w:hAnsi="Arial" w:cs="Arial"/>
          <w:lang w:val="es-CO"/>
        </w:rPr>
        <w:t>io a terceros.</w:t>
      </w:r>
    </w:p>
    <w:p w14:paraId="1450A5B2" w14:textId="77777777" w:rsidR="00B2442D" w:rsidRDefault="00B2442D">
      <w:pPr>
        <w:jc w:val="both"/>
        <w:rPr>
          <w:rFonts w:ascii="Arial" w:hAnsi="Arial" w:cs="Arial"/>
          <w:lang w:val="es-CO"/>
        </w:rPr>
      </w:pPr>
    </w:p>
    <w:p w14:paraId="74F1655E" w14:textId="77777777" w:rsidR="00B2442D" w:rsidRDefault="008A645F">
      <w:pPr>
        <w:jc w:val="both"/>
        <w:rPr>
          <w:rFonts w:ascii="Arial" w:hAnsi="Arial" w:cs="Arial"/>
          <w:i/>
          <w:lang w:val="es-CO"/>
        </w:rPr>
      </w:pPr>
      <w:r>
        <w:rPr>
          <w:rFonts w:ascii="Arial" w:hAnsi="Arial" w:cs="Arial"/>
          <w:i/>
          <w:lang w:val="es-CO"/>
        </w:rPr>
        <w:t>(Art. 1, Decreto 912 de 2003)</w:t>
      </w:r>
    </w:p>
    <w:p w14:paraId="6BCAC0D4" w14:textId="77777777" w:rsidR="00B2442D" w:rsidRDefault="00B2442D">
      <w:pPr>
        <w:jc w:val="both"/>
        <w:rPr>
          <w:rFonts w:ascii="Arial" w:hAnsi="Arial" w:cs="Arial"/>
          <w:lang w:val="es-CO"/>
        </w:rPr>
      </w:pPr>
    </w:p>
    <w:p w14:paraId="5C54849E"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Definiciones</w:t>
      </w:r>
      <w:r>
        <w:rPr>
          <w:rFonts w:ascii="Arial" w:hAnsi="Arial" w:cs="Arial"/>
          <w:b/>
          <w:lang w:val="es-CO"/>
        </w:rPr>
        <w:t>.</w:t>
      </w:r>
      <w:r>
        <w:rPr>
          <w:rFonts w:ascii="Arial" w:hAnsi="Arial" w:cs="Arial"/>
          <w:lang w:val="es-CO"/>
        </w:rPr>
        <w:t xml:space="preserve"> Para efectos de lo previsto en el artículo 104 de la Ley 788 de 2002, se atenderán las siguientes definiciones:</w:t>
      </w:r>
    </w:p>
    <w:p w14:paraId="31708820" w14:textId="77777777" w:rsidR="00B2442D" w:rsidRDefault="00B2442D">
      <w:pPr>
        <w:jc w:val="both"/>
        <w:rPr>
          <w:rFonts w:ascii="Arial" w:hAnsi="Arial" w:cs="Arial"/>
          <w:lang w:val="es-CO"/>
        </w:rPr>
      </w:pPr>
    </w:p>
    <w:p w14:paraId="45230E97" w14:textId="77777777" w:rsidR="00B2442D" w:rsidRDefault="008A645F">
      <w:pPr>
        <w:jc w:val="both"/>
        <w:rPr>
          <w:rFonts w:ascii="Arial" w:hAnsi="Arial" w:cs="Arial"/>
          <w:lang w:val="es-CO"/>
        </w:rPr>
      </w:pPr>
      <w:r>
        <w:rPr>
          <w:rFonts w:ascii="Arial" w:hAnsi="Arial" w:cs="Arial"/>
          <w:lang w:val="es-CO"/>
        </w:rPr>
        <w:t>Empresas de acueducto y/o alcantarillado del orden regional. Son aquellas empresas</w:t>
      </w:r>
      <w:r>
        <w:rPr>
          <w:rFonts w:ascii="Arial" w:hAnsi="Arial" w:cs="Arial"/>
          <w:lang w:val="es-CO"/>
        </w:rPr>
        <w:t xml:space="preserve"> autorizadas por la Ley 142 de 1994 para prestar los servicios públicos domiciliarios de acueducto y/o alcantarillado de manera directa a los usuarios, de acuerdo con las definiciones contenidas en los numerales 14.22 y 14.23 del artículo 14 de la misma le</w:t>
      </w:r>
      <w:r>
        <w:rPr>
          <w:rFonts w:ascii="Arial" w:hAnsi="Arial" w:cs="Arial"/>
          <w:lang w:val="es-CO"/>
        </w:rPr>
        <w:t>y, en uno o más municipios o zonas rurales.</w:t>
      </w:r>
    </w:p>
    <w:p w14:paraId="6CF37DF6" w14:textId="77777777" w:rsidR="00B2442D" w:rsidRDefault="00B2442D">
      <w:pPr>
        <w:jc w:val="both"/>
        <w:rPr>
          <w:rFonts w:ascii="Arial" w:hAnsi="Arial" w:cs="Arial"/>
          <w:lang w:val="es-CO"/>
        </w:rPr>
      </w:pPr>
    </w:p>
    <w:p w14:paraId="54342EAB" w14:textId="77777777" w:rsidR="00B2442D" w:rsidRDefault="008A645F">
      <w:pPr>
        <w:jc w:val="both"/>
        <w:rPr>
          <w:rFonts w:ascii="Arial" w:hAnsi="Arial" w:cs="Arial"/>
          <w:lang w:val="es-CO"/>
        </w:rPr>
      </w:pPr>
      <w:r>
        <w:rPr>
          <w:rFonts w:ascii="Arial" w:hAnsi="Arial" w:cs="Arial"/>
          <w:lang w:val="es-CO"/>
        </w:rPr>
        <w:t>Ampliación de la cobertura del servicio de acueducto. Es el incremento del número de suscriptores atendidos con los recursos invertidos en agua potable en los términos de los artículos 1.2.1.24.1 al 1.2.1.24.5 d</w:t>
      </w:r>
      <w:r>
        <w:rPr>
          <w:rFonts w:ascii="Arial" w:hAnsi="Arial" w:cs="Arial"/>
          <w:lang w:val="es-CO"/>
        </w:rPr>
        <w:t>el presente Decreto, mediante las siguientes obras: aumento de la capacidad de captación o conducción, expansión o reposición de las redes de distribución, aumento de la capacidad de almacenamiento y/o aumento de la capacidad de producción y potabilización</w:t>
      </w:r>
      <w:r>
        <w:rPr>
          <w:rFonts w:ascii="Arial" w:hAnsi="Arial" w:cs="Arial"/>
          <w:lang w:val="es-CO"/>
        </w:rPr>
        <w:t xml:space="preserve"> del agua.</w:t>
      </w:r>
    </w:p>
    <w:p w14:paraId="70EF29F7" w14:textId="77777777" w:rsidR="00B2442D" w:rsidRDefault="00B2442D">
      <w:pPr>
        <w:jc w:val="both"/>
        <w:rPr>
          <w:rFonts w:ascii="Arial" w:hAnsi="Arial" w:cs="Arial"/>
          <w:lang w:val="es-CO"/>
        </w:rPr>
      </w:pPr>
    </w:p>
    <w:p w14:paraId="2229CC63" w14:textId="77777777" w:rsidR="00B2442D" w:rsidRDefault="008A645F">
      <w:pPr>
        <w:jc w:val="both"/>
        <w:rPr>
          <w:rFonts w:ascii="Arial" w:hAnsi="Arial" w:cs="Arial"/>
          <w:lang w:val="es-CO"/>
        </w:rPr>
      </w:pPr>
      <w:r>
        <w:rPr>
          <w:rFonts w:ascii="Arial" w:hAnsi="Arial" w:cs="Arial"/>
          <w:lang w:val="es-CO"/>
        </w:rPr>
        <w:t>Ampliación de la cobertura del servicio de alcantarillado. Es el incremento del número de suscriptores atendidos con los recursos invertidos en los términos de los artículos 1.2.1.24.1 al 1.2.1.24.5  del presente Decreto, mediante las siguiente</w:t>
      </w:r>
      <w:r>
        <w:rPr>
          <w:rFonts w:ascii="Arial" w:hAnsi="Arial" w:cs="Arial"/>
          <w:lang w:val="es-CO"/>
        </w:rPr>
        <w:t>s obras: expansión o reposición de las redes de recolección, colectores e interceptores y sistemas de tratamiento de aguas residuales.</w:t>
      </w:r>
    </w:p>
    <w:p w14:paraId="3892BBEB" w14:textId="77777777" w:rsidR="00B2442D" w:rsidRDefault="00B2442D">
      <w:pPr>
        <w:jc w:val="both"/>
        <w:rPr>
          <w:rFonts w:ascii="Arial" w:hAnsi="Arial" w:cs="Arial"/>
          <w:lang w:val="es-CO"/>
        </w:rPr>
      </w:pPr>
    </w:p>
    <w:p w14:paraId="70400AEC" w14:textId="77777777" w:rsidR="00B2442D" w:rsidRDefault="008A645F">
      <w:pPr>
        <w:jc w:val="both"/>
        <w:rPr>
          <w:rFonts w:ascii="Arial" w:hAnsi="Arial" w:cs="Arial"/>
          <w:i/>
          <w:lang w:val="es-CO"/>
        </w:rPr>
      </w:pPr>
      <w:r>
        <w:rPr>
          <w:rFonts w:ascii="Arial" w:hAnsi="Arial" w:cs="Arial"/>
          <w:i/>
          <w:lang w:val="es-CO"/>
        </w:rPr>
        <w:t>(Art. 2, Decreto 912 de 2003)</w:t>
      </w:r>
    </w:p>
    <w:p w14:paraId="63EFF6CB" w14:textId="77777777" w:rsidR="00B2442D" w:rsidRDefault="00B2442D">
      <w:pPr>
        <w:jc w:val="both"/>
        <w:rPr>
          <w:rFonts w:ascii="Arial" w:hAnsi="Arial" w:cs="Arial"/>
          <w:lang w:val="es-CO"/>
        </w:rPr>
      </w:pPr>
    </w:p>
    <w:p w14:paraId="07DBBBB7"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Inversiones aplicables.</w:t>
      </w:r>
      <w:r>
        <w:rPr>
          <w:rFonts w:ascii="Arial" w:hAnsi="Arial" w:cs="Arial"/>
          <w:lang w:val="es-CO"/>
        </w:rPr>
        <w:t xml:space="preserve"> Con el objeto de garantizar la ampliación de la cobertura del servicio público domiciliario de acueducto y/o alcantarillado del orden regional, solamente otorgarán derecho a descuento tributario las inversiones en aportes de capital en las empresas de acu</w:t>
      </w:r>
      <w:r>
        <w:rPr>
          <w:rFonts w:ascii="Arial" w:hAnsi="Arial" w:cs="Arial"/>
          <w:lang w:val="es-CO"/>
        </w:rPr>
        <w:t>educto y/o alcantarillado del orden regional que se materialicen en las obras a que se refiere el artículo 1.2.1.24.2 del presente decreto.</w:t>
      </w:r>
    </w:p>
    <w:p w14:paraId="13BD1986" w14:textId="77777777" w:rsidR="00B2442D" w:rsidRDefault="00B2442D">
      <w:pPr>
        <w:jc w:val="both"/>
        <w:rPr>
          <w:rFonts w:ascii="Arial" w:hAnsi="Arial" w:cs="Arial"/>
          <w:lang w:val="es-CO"/>
        </w:rPr>
      </w:pPr>
    </w:p>
    <w:p w14:paraId="5888EC71" w14:textId="77777777" w:rsidR="00B2442D" w:rsidRDefault="008A645F">
      <w:pPr>
        <w:jc w:val="both"/>
        <w:rPr>
          <w:rFonts w:ascii="Arial" w:hAnsi="Arial" w:cs="Arial"/>
          <w:lang w:val="es-CO"/>
        </w:rPr>
      </w:pPr>
      <w:r>
        <w:rPr>
          <w:rFonts w:ascii="Arial" w:hAnsi="Arial" w:cs="Arial"/>
          <w:lang w:val="es-CO"/>
        </w:rPr>
        <w:t>EI descuento tributario por este concepto podrá ser solicitado por el contribuyente en el periodo gravable en que s</w:t>
      </w:r>
      <w:r>
        <w:rPr>
          <w:rFonts w:ascii="Arial" w:hAnsi="Arial" w:cs="Arial"/>
          <w:lang w:val="es-CO"/>
        </w:rPr>
        <w:t>e realice la inversión, sin perjuicio de las facultades de fiscalización de la Unidad Administrativa Especial Dirección de Impuestos y Aduanas Nacionales, DIAN, para verificar la materialización de la correspondiente inversión.</w:t>
      </w:r>
    </w:p>
    <w:p w14:paraId="17E37ED3" w14:textId="77777777" w:rsidR="00B2442D" w:rsidRDefault="00B2442D">
      <w:pPr>
        <w:jc w:val="both"/>
        <w:rPr>
          <w:rFonts w:ascii="Arial" w:hAnsi="Arial" w:cs="Arial"/>
          <w:lang w:val="es-CO"/>
        </w:rPr>
      </w:pPr>
    </w:p>
    <w:p w14:paraId="0D851AF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En el evento e</w:t>
      </w:r>
      <w:r>
        <w:rPr>
          <w:rFonts w:ascii="Arial" w:hAnsi="Arial" w:cs="Arial"/>
          <w:lang w:val="es-CO"/>
        </w:rPr>
        <w:t>n que no se efectúe la materialización total o parcial de la inversión en las obras a que se refieren los artículos 1.2.1.24.1 al 1.2.1.24.5  del presente Decreto, el contribuyente deberá reintegrar el valor total o proporcional del descuento solicitado, j</w:t>
      </w:r>
      <w:r>
        <w:rPr>
          <w:rFonts w:ascii="Arial" w:hAnsi="Arial" w:cs="Arial"/>
          <w:lang w:val="es-CO"/>
        </w:rPr>
        <w:t>unto con los intereses moratorios y sanciones a que haya lugar, de conformidad con las normas generales del Estatuto Tributario, salvo en lo contemplado en el parágrafo siguiente.</w:t>
      </w:r>
    </w:p>
    <w:p w14:paraId="4668B6BF" w14:textId="77777777" w:rsidR="00B2442D" w:rsidRDefault="00B2442D">
      <w:pPr>
        <w:jc w:val="both"/>
        <w:rPr>
          <w:rFonts w:ascii="Arial" w:hAnsi="Arial" w:cs="Arial"/>
          <w:lang w:val="es-CO"/>
        </w:rPr>
      </w:pPr>
    </w:p>
    <w:p w14:paraId="3A3793A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Si dentro del término de firmeza de la declaración de renta y </w:t>
      </w:r>
      <w:r>
        <w:rPr>
          <w:rFonts w:ascii="Arial" w:hAnsi="Arial" w:cs="Arial"/>
          <w:lang w:val="es-CO"/>
        </w:rPr>
        <w:t>complementario de la empresa inversionista, correspondiente al periodo gravable en el que solicitó el descuento tributario, la empresa del orden regional no ha ejecutado el cien por ciento (100%) de los recursos objeto del beneficio fiscal, esta deberá con</w:t>
      </w:r>
      <w:r>
        <w:rPr>
          <w:rFonts w:ascii="Arial" w:hAnsi="Arial" w:cs="Arial"/>
          <w:lang w:val="es-CO"/>
        </w:rPr>
        <w:t>stituir un encargo fiduciario por el valor del saldo por ejecutar, con el fin de garantizar la ejecución de las inversiones y evitar el desconocimiento del descuento tributario al inversionista. Para efectos de la constitución del encargo fiduciario será n</w:t>
      </w:r>
      <w:r>
        <w:rPr>
          <w:rFonts w:ascii="Arial" w:hAnsi="Arial" w:cs="Arial"/>
          <w:lang w:val="es-CO"/>
        </w:rPr>
        <w:t xml:space="preserve">ecesario obtener concepto previo del Ministerio de Vivienda, Ciudad y Territorio. </w:t>
      </w:r>
    </w:p>
    <w:p w14:paraId="012763F4" w14:textId="77777777" w:rsidR="00B2442D" w:rsidRDefault="00B2442D">
      <w:pPr>
        <w:jc w:val="both"/>
        <w:rPr>
          <w:rFonts w:ascii="Arial" w:hAnsi="Arial" w:cs="Arial"/>
          <w:lang w:val="es-CO"/>
        </w:rPr>
      </w:pPr>
    </w:p>
    <w:p w14:paraId="5F3240A9"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Las empresas de servicios públicos domiciliarios que presten los servicios de acueducto y/o de alcantarillado, que realicen inversiones en empresas de acueduc</w:t>
      </w:r>
      <w:r>
        <w:rPr>
          <w:rFonts w:ascii="Arial" w:hAnsi="Arial" w:cs="Arial"/>
          <w:lang w:val="es-CO"/>
        </w:rPr>
        <w:t>to y alcantarillado, del orden regional, no podrán ser receptoras de inversiones para efectos del descuento tributario previsto en el artículo 104 de la Ley 788 de 2002</w:t>
      </w:r>
    </w:p>
    <w:p w14:paraId="25E77601" w14:textId="77777777" w:rsidR="00B2442D" w:rsidRDefault="00B2442D">
      <w:pPr>
        <w:jc w:val="both"/>
        <w:rPr>
          <w:rFonts w:ascii="Arial" w:hAnsi="Arial" w:cs="Arial"/>
          <w:lang w:val="es-CO"/>
        </w:rPr>
      </w:pPr>
    </w:p>
    <w:p w14:paraId="3BA6C4CD" w14:textId="77777777" w:rsidR="00B2442D" w:rsidRDefault="008A645F">
      <w:pPr>
        <w:jc w:val="both"/>
        <w:rPr>
          <w:rFonts w:ascii="Arial" w:hAnsi="Arial" w:cs="Arial"/>
          <w:i/>
          <w:lang w:val="es-CO"/>
        </w:rPr>
      </w:pPr>
      <w:r>
        <w:rPr>
          <w:rFonts w:ascii="Arial" w:hAnsi="Arial" w:cs="Arial"/>
          <w:i/>
          <w:lang w:val="es-CO"/>
        </w:rPr>
        <w:t>(Art. 3, Decreto 912 de 2003, modificado por el art. 1 del Decreto 1835 de 2003)</w:t>
      </w:r>
    </w:p>
    <w:p w14:paraId="07D8CE68" w14:textId="77777777" w:rsidR="00B2442D" w:rsidRDefault="00B2442D">
      <w:pPr>
        <w:jc w:val="both"/>
        <w:rPr>
          <w:rFonts w:ascii="Arial" w:hAnsi="Arial" w:cs="Arial"/>
          <w:lang w:val="es-CO"/>
        </w:rPr>
      </w:pPr>
    </w:p>
    <w:p w14:paraId="23732EC5"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Control de las inversiones.</w:t>
      </w:r>
      <w:r>
        <w:rPr>
          <w:rFonts w:ascii="Arial" w:hAnsi="Arial" w:cs="Arial"/>
          <w:lang w:val="es-CO"/>
        </w:rPr>
        <w:t xml:space="preserve"> Para efectos  de la procedencia del descuento tributario de que trata el artículo 104 de la Ley 788 de 2002, el beneficiario deberá obtener previamente a la presentación de la correspondiente declaración del impuesto sobre la re</w:t>
      </w:r>
      <w:r>
        <w:rPr>
          <w:rFonts w:ascii="Arial" w:hAnsi="Arial" w:cs="Arial"/>
          <w:lang w:val="es-CO"/>
        </w:rPr>
        <w:t>nta y complementario, un certificado  del revisor fiscal o contador público, del interventor de la obra según el caso y del representante legal de la empresa de acueducto y/o alcantarillado del orden regional, en el cual conste la forma, el monto, localiza</w:t>
      </w:r>
      <w:r>
        <w:rPr>
          <w:rFonts w:ascii="Arial" w:hAnsi="Arial" w:cs="Arial"/>
          <w:lang w:val="es-CO"/>
        </w:rPr>
        <w:t>ción de la obra y plazo, así como la destinación total de la inversión al desarrollo o ejecución de las obras tendientes a la ampliación de la cobertura del servicio público domiciliario de acueducto y/o alcantarillado en los municipios o zonas rurales, en</w:t>
      </w:r>
      <w:r>
        <w:rPr>
          <w:rFonts w:ascii="Arial" w:hAnsi="Arial" w:cs="Arial"/>
          <w:lang w:val="es-CO"/>
        </w:rPr>
        <w:t xml:space="preserve"> los términos previstos en el artículo 1.2.1.24.2 del presente Decreto.</w:t>
      </w:r>
    </w:p>
    <w:p w14:paraId="14D5FDE2" w14:textId="77777777" w:rsidR="00B2442D" w:rsidRDefault="00B2442D">
      <w:pPr>
        <w:jc w:val="both"/>
        <w:rPr>
          <w:rFonts w:ascii="Arial" w:hAnsi="Arial" w:cs="Arial"/>
          <w:lang w:val="es-CO"/>
        </w:rPr>
      </w:pPr>
    </w:p>
    <w:p w14:paraId="7079710F" w14:textId="77777777" w:rsidR="00B2442D" w:rsidRDefault="008A645F">
      <w:pPr>
        <w:jc w:val="both"/>
        <w:rPr>
          <w:rFonts w:ascii="Arial" w:hAnsi="Arial" w:cs="Arial"/>
          <w:lang w:val="es-CO"/>
        </w:rPr>
      </w:pPr>
      <w:r>
        <w:rPr>
          <w:rFonts w:ascii="Arial" w:hAnsi="Arial" w:cs="Arial"/>
          <w:lang w:val="es-CO"/>
        </w:rPr>
        <w:t>Lo anterior, sin perjuicio de las facultades de fiscalización e investigación con que cuenta la Unidad Administrativa Especial Dirección de Impuestos y Aduanas Nacionales– DIAN para v</w:t>
      </w:r>
      <w:r>
        <w:rPr>
          <w:rFonts w:ascii="Arial" w:hAnsi="Arial" w:cs="Arial"/>
          <w:lang w:val="es-CO"/>
        </w:rPr>
        <w:t>erificar la veracidad de la información suministrada y el cumplimiento de los objetivos propuestos con las inversiones.</w:t>
      </w:r>
    </w:p>
    <w:p w14:paraId="7DF341DC" w14:textId="77777777" w:rsidR="00B2442D" w:rsidRDefault="00B2442D">
      <w:pPr>
        <w:jc w:val="both"/>
        <w:rPr>
          <w:rFonts w:ascii="Arial" w:hAnsi="Arial" w:cs="Arial"/>
          <w:lang w:val="es-CO"/>
        </w:rPr>
      </w:pPr>
    </w:p>
    <w:p w14:paraId="78328709" w14:textId="77777777" w:rsidR="00B2442D" w:rsidRDefault="008A645F">
      <w:pPr>
        <w:jc w:val="both"/>
        <w:rPr>
          <w:rFonts w:ascii="Arial" w:hAnsi="Arial" w:cs="Arial"/>
          <w:i/>
          <w:lang w:val="es-CO"/>
        </w:rPr>
      </w:pPr>
      <w:r>
        <w:rPr>
          <w:rFonts w:ascii="Arial" w:hAnsi="Arial" w:cs="Arial"/>
          <w:i/>
          <w:lang w:val="es-CO"/>
        </w:rPr>
        <w:t>(Art. 4, Decreto 912 de 2003, modificado por el art. 2 del Decreto 1835 de 2003)</w:t>
      </w:r>
    </w:p>
    <w:p w14:paraId="457356AF" w14:textId="77777777" w:rsidR="00B2442D" w:rsidRDefault="00B2442D">
      <w:pPr>
        <w:jc w:val="both"/>
        <w:rPr>
          <w:rFonts w:ascii="Arial" w:hAnsi="Arial" w:cs="Arial"/>
          <w:lang w:val="es-CO"/>
        </w:rPr>
      </w:pPr>
    </w:p>
    <w:p w14:paraId="74D15F7F"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Limitaciones.</w:t>
      </w:r>
      <w:r>
        <w:rPr>
          <w:rFonts w:ascii="Arial" w:hAnsi="Arial" w:cs="Arial"/>
          <w:lang w:val="es-CO"/>
        </w:rPr>
        <w:t xml:space="preserve"> De conformidad con lo dispuesto en el a</w:t>
      </w:r>
      <w:r>
        <w:rPr>
          <w:rFonts w:ascii="Arial" w:hAnsi="Arial" w:cs="Arial"/>
          <w:lang w:val="es-CO"/>
        </w:rPr>
        <w:t>rtículo 104 de la Ley 788 de 2002, el descuento tributario por inversiones en empresas de acueducto y/o alcantarillado del orden regional será equivalente al cuarenta por ciento (40%) del valor de la inversión que se realice en el respectivo año gravable s</w:t>
      </w:r>
      <w:r>
        <w:rPr>
          <w:rFonts w:ascii="Arial" w:hAnsi="Arial" w:cs="Arial"/>
          <w:lang w:val="es-CO"/>
        </w:rPr>
        <w:t>in que exceda del cincuenta por ciento (50%) del impuesto neto de renta del respectivo período, calculado antes de incluir el descuento. En consecuencia, en este caso no será aplicable la limitación prevista en el inciso segundo del artículo 259 del Estatu</w:t>
      </w:r>
      <w:r>
        <w:rPr>
          <w:rFonts w:ascii="Arial" w:hAnsi="Arial" w:cs="Arial"/>
          <w:lang w:val="es-CO"/>
        </w:rPr>
        <w:t>to Tributario.</w:t>
      </w:r>
    </w:p>
    <w:p w14:paraId="1F4988DE" w14:textId="77777777" w:rsidR="00B2442D" w:rsidRDefault="00B2442D">
      <w:pPr>
        <w:jc w:val="both"/>
        <w:rPr>
          <w:rFonts w:ascii="Arial" w:hAnsi="Arial" w:cs="Arial"/>
          <w:lang w:val="es-CO"/>
        </w:rPr>
      </w:pPr>
    </w:p>
    <w:p w14:paraId="63147EB1" w14:textId="77777777" w:rsidR="00B2442D" w:rsidRDefault="008A645F">
      <w:pPr>
        <w:jc w:val="both"/>
        <w:rPr>
          <w:rFonts w:ascii="Arial" w:hAnsi="Arial" w:cs="Arial"/>
          <w:lang w:val="es-CO"/>
        </w:rPr>
      </w:pPr>
      <w:r>
        <w:rPr>
          <w:rFonts w:ascii="Arial" w:hAnsi="Arial" w:cs="Arial"/>
          <w:lang w:val="es-CO"/>
        </w:rPr>
        <w:t>El descuento tributario únicamente se podrá solicitar en el año gravable en el cual se haya realizado la inversión; en consecuencia, los saldos pendientes por descontar no podrán ser diferidos para ser solicitados en períodos gravables post</w:t>
      </w:r>
      <w:r>
        <w:rPr>
          <w:rFonts w:ascii="Arial" w:hAnsi="Arial" w:cs="Arial"/>
          <w:lang w:val="es-CO"/>
        </w:rPr>
        <w:t>eriores, ni podrán ser tratados como gasto deducible, pero podrán llevarse como costo de la inversión.</w:t>
      </w:r>
    </w:p>
    <w:p w14:paraId="244D4889" w14:textId="77777777" w:rsidR="00B2442D" w:rsidRDefault="00B2442D">
      <w:pPr>
        <w:jc w:val="both"/>
        <w:rPr>
          <w:rFonts w:ascii="Arial" w:hAnsi="Arial" w:cs="Arial"/>
          <w:lang w:val="es-CO"/>
        </w:rPr>
      </w:pPr>
    </w:p>
    <w:p w14:paraId="43E46964" w14:textId="77777777" w:rsidR="00B2442D" w:rsidRDefault="008A645F">
      <w:pPr>
        <w:jc w:val="both"/>
        <w:rPr>
          <w:rFonts w:ascii="Arial" w:hAnsi="Arial" w:cs="Arial"/>
          <w:lang w:val="es-CO"/>
        </w:rPr>
      </w:pPr>
      <w:r>
        <w:rPr>
          <w:rFonts w:ascii="Arial" w:hAnsi="Arial" w:cs="Arial"/>
          <w:lang w:val="es-CO"/>
        </w:rPr>
        <w:t xml:space="preserve">De conformidad con el artículo 23 de la Ley 383 de 1997, el valor solicitado como descuento tributario por concepto de las inversiones a que se refiere </w:t>
      </w:r>
      <w:r>
        <w:rPr>
          <w:rFonts w:ascii="Arial" w:hAnsi="Arial" w:cs="Arial"/>
          <w:lang w:val="es-CO"/>
        </w:rPr>
        <w:t>el artículo 104 de la Ley 788 de 2002, no podrá ser tratado como gasto deducible de la renta.</w:t>
      </w:r>
    </w:p>
    <w:p w14:paraId="2CABEEF5" w14:textId="77777777" w:rsidR="00B2442D" w:rsidRDefault="00B2442D">
      <w:pPr>
        <w:jc w:val="both"/>
        <w:rPr>
          <w:rFonts w:ascii="Arial" w:hAnsi="Arial" w:cs="Arial"/>
          <w:lang w:val="es-CO"/>
        </w:rPr>
      </w:pPr>
    </w:p>
    <w:p w14:paraId="5AFAE75F" w14:textId="77777777" w:rsidR="00B2442D" w:rsidRDefault="008A645F">
      <w:pPr>
        <w:jc w:val="both"/>
        <w:rPr>
          <w:rFonts w:ascii="Arial" w:hAnsi="Arial" w:cs="Arial"/>
          <w:i/>
          <w:lang w:val="es-CO"/>
        </w:rPr>
      </w:pPr>
      <w:r>
        <w:rPr>
          <w:rFonts w:ascii="Arial" w:hAnsi="Arial" w:cs="Arial"/>
          <w:i/>
          <w:lang w:val="es-CO"/>
        </w:rPr>
        <w:t>(Art. 5, Decreto 912 de 2003)</w:t>
      </w:r>
    </w:p>
    <w:p w14:paraId="668B1475" w14:textId="77777777" w:rsidR="00B2442D" w:rsidRDefault="00B2442D">
      <w:pPr>
        <w:jc w:val="both"/>
        <w:rPr>
          <w:rFonts w:ascii="Arial" w:hAnsi="Arial" w:cs="Arial"/>
          <w:i/>
          <w:lang w:val="es-CO"/>
        </w:rPr>
      </w:pPr>
    </w:p>
    <w:p w14:paraId="009CAA65"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 xml:space="preserve">Beneficiarios del descuento tributario del artículo 249 del Estatuto Tributario. </w:t>
      </w:r>
      <w:r>
        <w:rPr>
          <w:rFonts w:ascii="Arial" w:hAnsi="Arial" w:cs="Arial"/>
          <w:lang w:val="es-CO"/>
        </w:rPr>
        <w:t xml:space="preserve">Son beneficiarios del descuento tributario a que </w:t>
      </w:r>
      <w:r>
        <w:rPr>
          <w:rFonts w:ascii="Arial" w:hAnsi="Arial" w:cs="Arial"/>
          <w:lang w:val="es-CO"/>
        </w:rPr>
        <w:t>se refiere el artículo 249 del Estatuto Tributario, los contribuyentes declarantes del impuesto sobre la renta y complementario que inviertan en sociedades que coticen sus acciones en una Bolsa de Valores, mediante la adquisición de acciones provenientes d</w:t>
      </w:r>
      <w:r>
        <w:rPr>
          <w:rFonts w:ascii="Arial" w:hAnsi="Arial" w:cs="Arial"/>
          <w:lang w:val="es-CO"/>
        </w:rPr>
        <w:t>e una oferta pública. Tales sociedades deberán corresponder a aquellas constituidas antes de la vigencia de la Ley 1111 de 2006 o las que se constituyan a partir de su vigencia, cuyo objeto social exclusivo sea la realización de actividades de producción a</w:t>
      </w:r>
      <w:r>
        <w:rPr>
          <w:rFonts w:ascii="Arial" w:hAnsi="Arial" w:cs="Arial"/>
          <w:lang w:val="es-CO"/>
        </w:rPr>
        <w:t>gropecuaria, en las que la propiedad accionaria esté altamente democratizada.</w:t>
      </w:r>
    </w:p>
    <w:p w14:paraId="154188A9" w14:textId="77777777" w:rsidR="00B2442D" w:rsidRDefault="00B2442D">
      <w:pPr>
        <w:jc w:val="both"/>
        <w:rPr>
          <w:rFonts w:ascii="Arial" w:hAnsi="Arial" w:cs="Arial"/>
          <w:lang w:val="es-CO"/>
        </w:rPr>
      </w:pPr>
    </w:p>
    <w:p w14:paraId="0E24761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Únicamente para efectos del beneficio de que trata el presente artículo, se entiende que la propiedad accionaria está altamente democratizada, cuando por lo menos el </w:t>
      </w:r>
      <w:r>
        <w:rPr>
          <w:rFonts w:ascii="Arial" w:hAnsi="Arial" w:cs="Arial"/>
          <w:lang w:val="es-CO"/>
        </w:rPr>
        <w:t>veinte por ciento (20%) de las acciones en circulación de la sociedad pertenezca a inversionistas diferentes del grupo o personas que la controlen.</w:t>
      </w:r>
    </w:p>
    <w:p w14:paraId="27D231C6" w14:textId="77777777" w:rsidR="00B2442D" w:rsidRDefault="00B2442D">
      <w:pPr>
        <w:jc w:val="both"/>
        <w:rPr>
          <w:rFonts w:ascii="Arial" w:hAnsi="Arial" w:cs="Arial"/>
          <w:lang w:val="es-CO"/>
        </w:rPr>
      </w:pPr>
    </w:p>
    <w:p w14:paraId="45CC2E9E" w14:textId="77777777" w:rsidR="00B2442D" w:rsidRDefault="008A645F">
      <w:pPr>
        <w:jc w:val="both"/>
        <w:rPr>
          <w:rFonts w:ascii="Arial" w:hAnsi="Arial" w:cs="Arial"/>
          <w:i/>
          <w:lang w:val="es-CO"/>
        </w:rPr>
      </w:pPr>
      <w:r>
        <w:rPr>
          <w:rFonts w:ascii="Arial" w:hAnsi="Arial" w:cs="Arial"/>
          <w:i/>
          <w:lang w:val="es-CO"/>
        </w:rPr>
        <w:t>(Art. 1, Decreto 667 de 2007. Las expresiones “…la capitalización de…” y “…antes de realizar la emisión o e</w:t>
      </w:r>
      <w:r>
        <w:rPr>
          <w:rFonts w:ascii="Arial" w:hAnsi="Arial" w:cs="Arial"/>
          <w:i/>
          <w:lang w:val="es-CO"/>
        </w:rPr>
        <w:t>misiones de acciones,…” del parágrafo, declaradas nulas por sentencia 2010-00002 del 09 de diciembre de 2013 del  Consejo de Estado-Sección Cuarta. Exp. 18068 y 18254)</w:t>
      </w:r>
    </w:p>
    <w:p w14:paraId="45252FA3" w14:textId="77777777" w:rsidR="00B2442D" w:rsidRDefault="00B2442D">
      <w:pPr>
        <w:jc w:val="both"/>
        <w:rPr>
          <w:rFonts w:ascii="Arial" w:hAnsi="Arial" w:cs="Arial"/>
          <w:lang w:val="es-CO"/>
        </w:rPr>
      </w:pPr>
    </w:p>
    <w:p w14:paraId="3EA16645"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Descuento tributario del artículo 249 del Estatuto Tributario.</w:t>
      </w:r>
      <w:r>
        <w:rPr>
          <w:rFonts w:ascii="Arial" w:hAnsi="Arial" w:cs="Arial"/>
          <w:lang w:val="es-CO"/>
        </w:rPr>
        <w:t xml:space="preserve"> El beneficio tributario </w:t>
      </w:r>
      <w:r>
        <w:rPr>
          <w:rFonts w:ascii="Arial" w:hAnsi="Arial" w:cs="Arial"/>
          <w:lang w:val="es-CO"/>
        </w:rPr>
        <w:t xml:space="preserve">de que trata el artículo 249 del Estatuto Tributario corresponde a un descuento tributario equivalente al valor de la inversión realizada, sin que dicho descuento exceda del (1%) uno por ciento de la renta líquida gravable del período fiscal en el cual se </w:t>
      </w:r>
      <w:r>
        <w:rPr>
          <w:rFonts w:ascii="Arial" w:hAnsi="Arial" w:cs="Arial"/>
          <w:lang w:val="es-CO"/>
        </w:rPr>
        <w:t>realiza la inversión. En ningún caso este descuento puede exceder del impuesto básico de renta.</w:t>
      </w:r>
    </w:p>
    <w:p w14:paraId="50DD27AD" w14:textId="77777777" w:rsidR="00B2442D" w:rsidRDefault="00B2442D">
      <w:pPr>
        <w:jc w:val="both"/>
        <w:rPr>
          <w:rFonts w:ascii="Arial" w:hAnsi="Arial" w:cs="Arial"/>
          <w:lang w:val="es-CO"/>
        </w:rPr>
      </w:pPr>
    </w:p>
    <w:p w14:paraId="4F48040B" w14:textId="77777777" w:rsidR="00B2442D" w:rsidRDefault="008A645F">
      <w:pPr>
        <w:jc w:val="both"/>
        <w:rPr>
          <w:rFonts w:ascii="Arial" w:hAnsi="Arial" w:cs="Arial"/>
          <w:i/>
          <w:lang w:val="es-CO"/>
        </w:rPr>
      </w:pPr>
      <w:r>
        <w:rPr>
          <w:rFonts w:ascii="Arial" w:hAnsi="Arial" w:cs="Arial"/>
          <w:i/>
          <w:lang w:val="es-CO"/>
        </w:rPr>
        <w:t xml:space="preserve">(Art. 2, Decreto 667 de 2007. La expresión “……en la adquisición de acciones emitidas por las sociedades mencionadas en el artículo anterior,…”, declarada nula </w:t>
      </w:r>
      <w:r>
        <w:rPr>
          <w:rFonts w:ascii="Arial" w:hAnsi="Arial" w:cs="Arial"/>
          <w:i/>
          <w:lang w:val="es-CO"/>
        </w:rPr>
        <w:t>por sentencia 2010-00002 del 09 de diciembre de 2013 del  Consejo de Estado - Sección Cuarta. Exp. 18068 y 18254)</w:t>
      </w:r>
    </w:p>
    <w:p w14:paraId="18CFFEED" w14:textId="77777777" w:rsidR="00B2442D" w:rsidRDefault="00B2442D">
      <w:pPr>
        <w:jc w:val="both"/>
        <w:rPr>
          <w:rFonts w:ascii="Arial" w:hAnsi="Arial" w:cs="Arial"/>
          <w:lang w:val="es-CO"/>
        </w:rPr>
      </w:pPr>
    </w:p>
    <w:p w14:paraId="7E739745"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Descuento tributario del artículo 249 del Estatuto Tributario.</w:t>
      </w:r>
      <w:r>
        <w:rPr>
          <w:rFonts w:ascii="Arial" w:hAnsi="Arial" w:cs="Arial"/>
          <w:lang w:val="es-CO"/>
        </w:rPr>
        <w:t xml:space="preserve"> Para efectos del descuento de que trata el artículo 249 del Estatuto Tributari</w:t>
      </w:r>
      <w:r>
        <w:rPr>
          <w:rFonts w:ascii="Arial" w:hAnsi="Arial" w:cs="Arial"/>
          <w:lang w:val="es-CO"/>
        </w:rPr>
        <w:t>o son empresas exclusivamente agropecuarias, aquellas sociedades por acciones cuyo objeto social principal corresponde al desarrollo de actividades de producción de bienes agrícolas y/o pecuarios primarios convertibles en alimentos para consumo humano y an</w:t>
      </w:r>
      <w:r>
        <w:rPr>
          <w:rFonts w:ascii="Arial" w:hAnsi="Arial" w:cs="Arial"/>
          <w:lang w:val="es-CO"/>
        </w:rPr>
        <w:t>imal e igualmente susceptibles de convertirse en insumos destinados al desarrollo de actividades agropecuarias, incluidas aquellas materias primas que se originan en la actividad productiva primaria y son sometidas a procesos agroindustriales para la gener</w:t>
      </w:r>
      <w:r>
        <w:rPr>
          <w:rFonts w:ascii="Arial" w:hAnsi="Arial" w:cs="Arial"/>
          <w:lang w:val="es-CO"/>
        </w:rPr>
        <w:t>ación de bienes con valor agregado. Por tanto, la inversión relativa al descuento tributario tiene como finalidad que los recursos se destinen al desarrollo del objeto social mencionado.</w:t>
      </w:r>
    </w:p>
    <w:p w14:paraId="337F35B7" w14:textId="77777777" w:rsidR="00B2442D" w:rsidRDefault="00B2442D">
      <w:pPr>
        <w:jc w:val="both"/>
        <w:rPr>
          <w:rFonts w:ascii="Arial" w:hAnsi="Arial" w:cs="Arial"/>
          <w:lang w:val="es-CO"/>
        </w:rPr>
      </w:pPr>
    </w:p>
    <w:p w14:paraId="323C8CDE" w14:textId="77777777" w:rsidR="00B2442D" w:rsidRDefault="008A645F">
      <w:pPr>
        <w:jc w:val="both"/>
        <w:rPr>
          <w:rFonts w:ascii="Arial" w:hAnsi="Arial" w:cs="Arial"/>
          <w:i/>
          <w:lang w:val="es-CO"/>
        </w:rPr>
      </w:pPr>
      <w:r>
        <w:rPr>
          <w:rFonts w:ascii="Arial" w:hAnsi="Arial" w:cs="Arial"/>
          <w:i/>
          <w:lang w:val="es-CO"/>
        </w:rPr>
        <w:t xml:space="preserve">(Art. 3, Decreto 667 de 2007.  La expresión “…. </w:t>
      </w:r>
      <w:r>
        <w:rPr>
          <w:rFonts w:ascii="Arial" w:hAnsi="Arial" w:cs="Arial"/>
          <w:i/>
          <w:lang w:val="es-CO"/>
        </w:rPr>
        <w:t>provenientes de la colocación de acciones…”, declarada nula por Sentencia 2010-00002 del 09 de diciembre de 2013 del  Consejo de Estado - Sección Cuarta. Exp. 18068 y 18254)</w:t>
      </w:r>
    </w:p>
    <w:p w14:paraId="57F4DCE4" w14:textId="77777777" w:rsidR="00B2442D" w:rsidRDefault="00B2442D">
      <w:pPr>
        <w:jc w:val="both"/>
        <w:rPr>
          <w:rFonts w:ascii="Arial" w:hAnsi="Arial" w:cs="Arial"/>
          <w:lang w:val="es-CO"/>
        </w:rPr>
      </w:pPr>
    </w:p>
    <w:p w14:paraId="67CAF22A"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Requisitos que condicionan la procedencia del descuento tributario del artículo 2</w:t>
      </w:r>
      <w:r>
        <w:rPr>
          <w:rFonts w:ascii="Arial" w:hAnsi="Arial" w:cs="Arial"/>
          <w:b/>
          <w:i/>
          <w:lang w:val="es-CO"/>
        </w:rPr>
        <w:t>49 del Estatuto Tributario.</w:t>
      </w:r>
      <w:r>
        <w:rPr>
          <w:rFonts w:ascii="Arial" w:hAnsi="Arial" w:cs="Arial"/>
          <w:lang w:val="es-CO"/>
        </w:rPr>
        <w:t xml:space="preserve"> Son requisitos que condicionan la procedencia del descuento tributario de que trata el presente decreto, los siguientes:</w:t>
      </w:r>
    </w:p>
    <w:p w14:paraId="6FB91F34" w14:textId="77777777" w:rsidR="00B2442D" w:rsidRDefault="00B2442D">
      <w:pPr>
        <w:jc w:val="both"/>
        <w:rPr>
          <w:rFonts w:ascii="Arial" w:hAnsi="Arial" w:cs="Arial"/>
          <w:lang w:val="es-CO"/>
        </w:rPr>
      </w:pPr>
    </w:p>
    <w:p w14:paraId="2BEF07F3" w14:textId="77777777" w:rsidR="00B2442D" w:rsidRDefault="008A645F">
      <w:pPr>
        <w:ind w:left="284" w:hanging="284"/>
        <w:jc w:val="both"/>
        <w:rPr>
          <w:rFonts w:ascii="Arial" w:hAnsi="Arial" w:cs="Arial"/>
          <w:lang w:val="es-CO"/>
        </w:rPr>
      </w:pPr>
      <w:r>
        <w:rPr>
          <w:rFonts w:ascii="Arial" w:hAnsi="Arial" w:cs="Arial"/>
          <w:lang w:val="es-CO"/>
        </w:rPr>
        <w:t>1. La sociedad en la cual se realiza la inversión deberá corresponder a las que se refiere el artículo 1.2</w:t>
      </w:r>
      <w:r>
        <w:rPr>
          <w:rFonts w:ascii="Arial" w:hAnsi="Arial" w:cs="Arial"/>
          <w:lang w:val="es-CO"/>
        </w:rPr>
        <w:t>.1.24.6 de este decreto.</w:t>
      </w:r>
    </w:p>
    <w:p w14:paraId="0C10CB13" w14:textId="77777777" w:rsidR="00B2442D" w:rsidRDefault="00B2442D">
      <w:pPr>
        <w:ind w:left="284" w:hanging="284"/>
        <w:jc w:val="both"/>
        <w:rPr>
          <w:rFonts w:ascii="Arial" w:hAnsi="Arial" w:cs="Arial"/>
          <w:lang w:val="es-CO"/>
        </w:rPr>
      </w:pPr>
    </w:p>
    <w:p w14:paraId="7B4B4A8D" w14:textId="77777777" w:rsidR="00B2442D" w:rsidRDefault="008A645F">
      <w:pPr>
        <w:ind w:left="284" w:hanging="284"/>
        <w:jc w:val="both"/>
        <w:rPr>
          <w:rFonts w:ascii="Arial" w:hAnsi="Arial" w:cs="Arial"/>
          <w:lang w:val="es-CO"/>
        </w:rPr>
      </w:pPr>
      <w:r>
        <w:rPr>
          <w:rFonts w:ascii="Arial" w:hAnsi="Arial" w:cs="Arial"/>
          <w:lang w:val="es-CO"/>
        </w:rPr>
        <w:t>2. Cuando la Administración Tributaria lo exija, deberá acreditar mediante certificado expedido por el revisor fiscal de la sociedad receptora de la inversión lo siguiente:</w:t>
      </w:r>
    </w:p>
    <w:p w14:paraId="1277FB56" w14:textId="77777777" w:rsidR="00B2442D" w:rsidRDefault="00B2442D">
      <w:pPr>
        <w:jc w:val="both"/>
        <w:rPr>
          <w:rFonts w:ascii="Arial" w:hAnsi="Arial" w:cs="Arial"/>
          <w:lang w:val="es-CO"/>
        </w:rPr>
      </w:pPr>
    </w:p>
    <w:p w14:paraId="1FF1CC50"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Que por lo menos el veinte por ciento (20%) de las acc</w:t>
      </w:r>
      <w:r>
        <w:rPr>
          <w:rFonts w:ascii="Arial" w:hAnsi="Arial" w:cs="Arial"/>
          <w:lang w:val="es-CO"/>
        </w:rPr>
        <w:t>iones en circulación de la sociedad pertenece a inversionistas diferentes del grupo o personas que la controlen.</w:t>
      </w:r>
    </w:p>
    <w:p w14:paraId="1A37EA23" w14:textId="77777777" w:rsidR="00B2442D" w:rsidRDefault="00B2442D">
      <w:pPr>
        <w:ind w:left="142" w:hanging="142"/>
        <w:jc w:val="both"/>
        <w:rPr>
          <w:rFonts w:ascii="Arial" w:hAnsi="Arial" w:cs="Arial"/>
          <w:lang w:val="es-CO"/>
        </w:rPr>
      </w:pPr>
    </w:p>
    <w:p w14:paraId="6E1E08B8" w14:textId="77777777" w:rsidR="00B2442D" w:rsidRDefault="008A645F">
      <w:pPr>
        <w:ind w:left="142" w:hanging="142"/>
        <w:jc w:val="both"/>
        <w:rPr>
          <w:rFonts w:ascii="Arial" w:hAnsi="Arial" w:cs="Arial"/>
          <w:lang w:val="es-CO"/>
        </w:rPr>
      </w:pPr>
      <w:r>
        <w:rPr>
          <w:rFonts w:ascii="Arial" w:hAnsi="Arial" w:cs="Arial"/>
          <w:lang w:val="es-CO"/>
        </w:rPr>
        <w:t>-</w:t>
      </w:r>
      <w:r>
        <w:rPr>
          <w:rFonts w:ascii="Arial" w:hAnsi="Arial" w:cs="Arial"/>
          <w:lang w:val="es-CO"/>
        </w:rPr>
        <w:tab/>
        <w:t>Que la propiedad de las acciones se mantiene o se ha mantenido por un término no inferior a dos (2) años por parte del contribuyente, contad</w:t>
      </w:r>
      <w:r>
        <w:rPr>
          <w:rFonts w:ascii="Arial" w:hAnsi="Arial" w:cs="Arial"/>
          <w:lang w:val="es-CO"/>
        </w:rPr>
        <w:t>os a partir de la fecha del registro de la propiedad de las acciones en el libro de registro de acciones, que para el efecto lleve la sociedad o el administrador de las acciones.</w:t>
      </w:r>
    </w:p>
    <w:p w14:paraId="11416A0A" w14:textId="77777777" w:rsidR="00B2442D" w:rsidRDefault="00B2442D">
      <w:pPr>
        <w:jc w:val="both"/>
        <w:rPr>
          <w:rFonts w:ascii="Arial" w:hAnsi="Arial" w:cs="Arial"/>
          <w:lang w:val="es-CO"/>
        </w:rPr>
      </w:pPr>
    </w:p>
    <w:p w14:paraId="158DCA64" w14:textId="77777777" w:rsidR="00B2442D" w:rsidRDefault="008A645F">
      <w:pPr>
        <w:jc w:val="both"/>
        <w:rPr>
          <w:rFonts w:ascii="Arial" w:hAnsi="Arial" w:cs="Arial"/>
          <w:i/>
          <w:lang w:val="es-CO"/>
        </w:rPr>
      </w:pPr>
      <w:r>
        <w:rPr>
          <w:rFonts w:ascii="Arial" w:hAnsi="Arial" w:cs="Arial"/>
          <w:i/>
          <w:lang w:val="es-CO"/>
        </w:rPr>
        <w:t xml:space="preserve">(Art. 4, Decreto 667 de 2007.  Las expresiones “… emisora de las acciones…” </w:t>
      </w:r>
      <w:r>
        <w:rPr>
          <w:rFonts w:ascii="Arial" w:hAnsi="Arial" w:cs="Arial"/>
          <w:i/>
          <w:lang w:val="es-CO"/>
        </w:rPr>
        <w:t xml:space="preserve">del numeral 1 del artículo 4º, “…adquirente primario…” incluida en el ítem 2º del numeral 2º, y “…emisora...” contenida en el segundo ítem del numeral 2º, fueron declaradas nulas por Sentencia 2010-00002 del 09 de diciembre de 2013 del Consejo de Estado - </w:t>
      </w:r>
      <w:r>
        <w:rPr>
          <w:rFonts w:ascii="Arial" w:hAnsi="Arial" w:cs="Arial"/>
          <w:i/>
          <w:lang w:val="es-CO"/>
        </w:rPr>
        <w:t>Sección Cuarta. Exp. 18068 y 18254)</w:t>
      </w:r>
    </w:p>
    <w:p w14:paraId="7B9A201D" w14:textId="77777777" w:rsidR="00B2442D" w:rsidRDefault="00B2442D">
      <w:pPr>
        <w:jc w:val="both"/>
        <w:rPr>
          <w:rFonts w:ascii="Arial" w:hAnsi="Arial" w:cs="Arial"/>
          <w:lang w:val="es-CO"/>
        </w:rPr>
      </w:pPr>
    </w:p>
    <w:p w14:paraId="62CEE4CE" w14:textId="77777777" w:rsidR="00B2442D" w:rsidRDefault="008A645F">
      <w:pPr>
        <w:pStyle w:val="Prrafodelista"/>
        <w:numPr>
          <w:ilvl w:val="0"/>
          <w:numId w:val="39"/>
        </w:numPr>
        <w:ind w:left="0" w:firstLine="0"/>
        <w:jc w:val="both"/>
        <w:rPr>
          <w:rFonts w:ascii="Arial" w:hAnsi="Arial" w:cs="Arial"/>
          <w:lang w:val="es-CO"/>
        </w:rPr>
      </w:pPr>
      <w:r>
        <w:rPr>
          <w:rFonts w:ascii="Arial" w:hAnsi="Arial" w:cs="Arial"/>
          <w:b/>
          <w:i/>
          <w:lang w:val="es-CO"/>
        </w:rPr>
        <w:t>Reintegro del beneficio tributario.</w:t>
      </w:r>
      <w:r>
        <w:rPr>
          <w:rFonts w:ascii="Arial" w:hAnsi="Arial" w:cs="Arial"/>
          <w:lang w:val="es-CO"/>
        </w:rPr>
        <w:t xml:space="preserve"> En el caso de que no se cumpla con alguno de los requisitos señalados en el artículo anterior, el contribuyente inversionista deberá reintegrar en la declaración de renta correspondiente al año gravable en el cual se produzca el incumplimiento el valor de</w:t>
      </w:r>
      <w:r>
        <w:rPr>
          <w:rFonts w:ascii="Arial" w:hAnsi="Arial" w:cs="Arial"/>
          <w:lang w:val="es-CO"/>
        </w:rPr>
        <w:t>l beneficio tributario obtenido incrementando el valor del impuesto a pagar en el monto del descuento tributario improcedente, en los términos señalados en el Estatuto Tributario.</w:t>
      </w:r>
    </w:p>
    <w:p w14:paraId="362C9ECF" w14:textId="77777777" w:rsidR="00B2442D" w:rsidRDefault="00B2442D">
      <w:pPr>
        <w:jc w:val="both"/>
        <w:rPr>
          <w:rFonts w:ascii="Arial" w:hAnsi="Arial" w:cs="Arial"/>
          <w:lang w:val="es-CO"/>
        </w:rPr>
      </w:pPr>
    </w:p>
    <w:p w14:paraId="68D53B38" w14:textId="77777777" w:rsidR="00B2442D" w:rsidRDefault="008A645F">
      <w:pPr>
        <w:jc w:val="both"/>
        <w:rPr>
          <w:rFonts w:ascii="Arial" w:hAnsi="Arial" w:cs="Arial"/>
          <w:i/>
          <w:lang w:val="es-CO"/>
        </w:rPr>
      </w:pPr>
      <w:r>
        <w:rPr>
          <w:rFonts w:ascii="Arial" w:hAnsi="Arial" w:cs="Arial"/>
          <w:i/>
          <w:lang w:val="es-CO"/>
        </w:rPr>
        <w:t>(Art. 5, Decreto 667 de 2007)</w:t>
      </w:r>
    </w:p>
    <w:p w14:paraId="574DD33F" w14:textId="77777777" w:rsidR="00B2442D" w:rsidRDefault="00B2442D">
      <w:pPr>
        <w:jc w:val="both"/>
        <w:rPr>
          <w:rFonts w:ascii="Arial" w:hAnsi="Arial" w:cs="Arial"/>
          <w:lang w:val="es-CO"/>
        </w:rPr>
      </w:pPr>
    </w:p>
    <w:p w14:paraId="5FADF40C" w14:textId="77777777" w:rsidR="00B2442D" w:rsidRDefault="008A645F">
      <w:pPr>
        <w:pStyle w:val="Ttulo3"/>
      </w:pPr>
      <w:bookmarkStart w:id="8" w:name="_Toc479171163"/>
      <w:r>
        <w:t>TÍTULO 2</w:t>
      </w:r>
      <w:bookmarkEnd w:id="8"/>
    </w:p>
    <w:p w14:paraId="2F785A3C" w14:textId="77777777" w:rsidR="00B2442D" w:rsidRDefault="008A645F">
      <w:pPr>
        <w:pStyle w:val="Ttulo3"/>
      </w:pPr>
      <w:bookmarkStart w:id="9" w:name="_Toc479171164"/>
      <w:r>
        <w:t>Precios de Transferencia</w:t>
      </w:r>
      <w:bookmarkEnd w:id="9"/>
    </w:p>
    <w:p w14:paraId="372A7C86" w14:textId="77777777" w:rsidR="00B2442D" w:rsidRDefault="00B2442D">
      <w:pPr>
        <w:jc w:val="center"/>
        <w:rPr>
          <w:rFonts w:ascii="Arial" w:hAnsi="Arial" w:cs="Arial"/>
          <w:b/>
          <w:lang w:val="es-CO"/>
        </w:rPr>
      </w:pPr>
    </w:p>
    <w:p w14:paraId="73F7FA84" w14:textId="77777777" w:rsidR="00B2442D" w:rsidRDefault="008A645F">
      <w:pPr>
        <w:pStyle w:val="Ttulo4"/>
        <w:ind w:firstLine="0"/>
      </w:pPr>
      <w:r>
        <w:t xml:space="preserve">CAPÍTULO </w:t>
      </w:r>
      <w:r>
        <w:t>1</w:t>
      </w:r>
    </w:p>
    <w:p w14:paraId="0B5291FE" w14:textId="77777777" w:rsidR="00B2442D" w:rsidRDefault="008A645F">
      <w:pPr>
        <w:pStyle w:val="Ttulo4"/>
        <w:ind w:firstLine="0"/>
      </w:pPr>
      <w:r>
        <w:t>Criterios de vinculación, contribuyentes obligados, operaciones de anunciamiento</w:t>
      </w:r>
    </w:p>
    <w:p w14:paraId="79B77072" w14:textId="77777777" w:rsidR="00B2442D" w:rsidRDefault="00B2442D">
      <w:pPr>
        <w:rPr>
          <w:rFonts w:ascii="Arial" w:hAnsi="Arial" w:cs="Arial"/>
        </w:rPr>
      </w:pPr>
    </w:p>
    <w:p w14:paraId="0D61C7F1" w14:textId="77777777" w:rsidR="00B2442D" w:rsidRDefault="008A645F">
      <w:pPr>
        <w:pStyle w:val="Prrafodelista"/>
        <w:numPr>
          <w:ilvl w:val="0"/>
          <w:numId w:val="40"/>
        </w:numPr>
        <w:ind w:left="0" w:firstLine="0"/>
        <w:jc w:val="both"/>
        <w:rPr>
          <w:rFonts w:ascii="Arial" w:hAnsi="Arial" w:cs="Arial"/>
          <w:lang w:val="es-CO"/>
        </w:rPr>
      </w:pPr>
      <w:r>
        <w:rPr>
          <w:rFonts w:ascii="Arial" w:hAnsi="Arial" w:cs="Arial"/>
          <w:b/>
          <w:i/>
          <w:lang w:val="es-CO"/>
        </w:rPr>
        <w:t>Criterios de vinculación.</w:t>
      </w:r>
      <w:r>
        <w:rPr>
          <w:rFonts w:ascii="Arial" w:hAnsi="Arial" w:cs="Arial"/>
          <w:lang w:val="es-CO"/>
        </w:rPr>
        <w:t xml:space="preserve"> Para efectos del impuesto sobre la renta y complementario y sin perjuicio de lo señalado en el artículo 260-1 del Estatuto Tributario, se considera que existe vinculación cuando el contribuyente se encuentra en uno o más de los siguientes casos:</w:t>
      </w:r>
    </w:p>
    <w:p w14:paraId="7B402C35" w14:textId="77777777" w:rsidR="00B2442D" w:rsidRDefault="00B2442D">
      <w:pPr>
        <w:jc w:val="both"/>
        <w:rPr>
          <w:rFonts w:ascii="Arial" w:hAnsi="Arial" w:cs="Arial"/>
          <w:lang w:val="es-CO"/>
        </w:rPr>
      </w:pPr>
    </w:p>
    <w:p w14:paraId="67ECEE47"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De c</w:t>
      </w:r>
      <w:r>
        <w:rPr>
          <w:rFonts w:ascii="Arial" w:hAnsi="Arial" w:cs="Arial"/>
          <w:lang w:val="es-CO"/>
        </w:rPr>
        <w:t xml:space="preserve">onformidad con lo señalado en el numeral V del literal b) del numeral 1 del artículo 260-1 del Estatuto Tributario, se considera que existe vinculación, cuando en dos o más entidades una persona natural o jurídica, o una entidad o esquema de naturaleza no </w:t>
      </w:r>
      <w:r>
        <w:rPr>
          <w:rFonts w:ascii="Arial" w:hAnsi="Arial" w:cs="Arial"/>
          <w:lang w:val="es-CO"/>
        </w:rPr>
        <w:t>societaria, aunque no se encuentre vinculada por capital, tenga derecho a percibir directa o indirectamente más del cincuenta por ciento (50%) de las utilidades de una sociedad.</w:t>
      </w:r>
    </w:p>
    <w:p w14:paraId="077E11E8" w14:textId="77777777" w:rsidR="00B2442D" w:rsidRDefault="00B2442D">
      <w:pPr>
        <w:ind w:left="284" w:hanging="284"/>
        <w:jc w:val="both"/>
        <w:rPr>
          <w:rFonts w:ascii="Arial" w:hAnsi="Arial" w:cs="Arial"/>
          <w:lang w:val="es-CO"/>
        </w:rPr>
      </w:pPr>
    </w:p>
    <w:p w14:paraId="0A81AB48"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De conformidad con lo señalado en el literal b) del numeral 5° del artícu</w:t>
      </w:r>
      <w:r>
        <w:rPr>
          <w:rFonts w:ascii="Arial" w:hAnsi="Arial" w:cs="Arial"/>
          <w:lang w:val="es-CO"/>
        </w:rPr>
        <w:t xml:space="preserve">lo 260-1 del Estatuto Tributario, se considera que existe vinculación económica, cuando la operación tiene lugar entre dos subordinadas que pertenezcan directa o indirectamente en más del cincuenta por ciento (50%) a una misma persona natural o jurídica o </w:t>
      </w:r>
      <w:r>
        <w:rPr>
          <w:rFonts w:ascii="Arial" w:hAnsi="Arial" w:cs="Arial"/>
          <w:lang w:val="es-CO"/>
        </w:rPr>
        <w:t>entidades o esquemas de naturaleza no societaria.</w:t>
      </w:r>
    </w:p>
    <w:p w14:paraId="2B948CE6" w14:textId="77777777" w:rsidR="00B2442D" w:rsidRDefault="00B2442D">
      <w:pPr>
        <w:ind w:left="284" w:hanging="284"/>
        <w:jc w:val="both"/>
        <w:rPr>
          <w:rFonts w:ascii="Arial" w:hAnsi="Arial" w:cs="Arial"/>
          <w:lang w:val="es-CO"/>
        </w:rPr>
      </w:pPr>
    </w:p>
    <w:p w14:paraId="7CEE1FAE"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De conformidad con lo señalado en el literal g) del numeral 5° del artículo 260-1 del Estatuto Tributario, se considera que existe vinculación económica cuando existan consorcios, uniones temporales, c</w:t>
      </w:r>
      <w:r>
        <w:rPr>
          <w:rFonts w:ascii="Arial" w:hAnsi="Arial" w:cs="Arial"/>
          <w:lang w:val="es-CO"/>
        </w:rPr>
        <w:t>uentas en participación, otras formas asociativas que no den origen a personas jurídicas y demás contratos de colaboración empresarial, cuando los mismos celebren operaciones con vinculados de uno cualquiera de los miembros, en relación con el objeto del c</w:t>
      </w:r>
      <w:r>
        <w:rPr>
          <w:rFonts w:ascii="Arial" w:hAnsi="Arial" w:cs="Arial"/>
          <w:lang w:val="es-CO"/>
        </w:rPr>
        <w:t xml:space="preserve">onsorcio, unión temporal, cuentas en participación u otras formas asociativas, caso en el cual las obligaciones relativas al régimen de precios de transferencia deberán ser cumplidas por el miembro del consorcio, unión temporal, cuentas en participación u </w:t>
      </w:r>
      <w:r>
        <w:rPr>
          <w:rFonts w:ascii="Arial" w:hAnsi="Arial" w:cs="Arial"/>
          <w:lang w:val="es-CO"/>
        </w:rPr>
        <w:t>otras formas asociativas respecto de quien se predique la vinculación.</w:t>
      </w:r>
    </w:p>
    <w:p w14:paraId="56424507" w14:textId="77777777" w:rsidR="00B2442D" w:rsidRDefault="00B2442D">
      <w:pPr>
        <w:jc w:val="both"/>
        <w:rPr>
          <w:rFonts w:ascii="Arial" w:hAnsi="Arial" w:cs="Arial"/>
          <w:lang w:val="es-CO"/>
        </w:rPr>
      </w:pPr>
    </w:p>
    <w:p w14:paraId="475F1042" w14:textId="77777777" w:rsidR="00B2442D" w:rsidRDefault="008A645F">
      <w:pPr>
        <w:jc w:val="both"/>
        <w:rPr>
          <w:rFonts w:ascii="Arial" w:hAnsi="Arial" w:cs="Arial"/>
          <w:i/>
          <w:lang w:val="es-CO"/>
        </w:rPr>
      </w:pPr>
      <w:r>
        <w:rPr>
          <w:rFonts w:ascii="Arial" w:hAnsi="Arial" w:cs="Arial"/>
          <w:i/>
          <w:lang w:val="es-CO"/>
        </w:rPr>
        <w:t>(Art. 1,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w:t>
      </w:r>
      <w:r>
        <w:rPr>
          <w:rFonts w:ascii="Arial" w:hAnsi="Arial" w:cs="Arial"/>
          <w:i/>
          <w:lang w:val="es-CO"/>
        </w:rPr>
        <w:t>004. Art. 26, Decreto 3030 de 2013)</w:t>
      </w:r>
    </w:p>
    <w:p w14:paraId="24FF9157" w14:textId="77777777" w:rsidR="00B2442D" w:rsidRDefault="00B2442D">
      <w:pPr>
        <w:jc w:val="both"/>
        <w:rPr>
          <w:rFonts w:ascii="Arial" w:hAnsi="Arial" w:cs="Arial"/>
          <w:lang w:val="es-CO"/>
        </w:rPr>
      </w:pPr>
    </w:p>
    <w:p w14:paraId="7B777684" w14:textId="77777777" w:rsidR="00B2442D" w:rsidRDefault="008A645F">
      <w:pPr>
        <w:pStyle w:val="Prrafodelista"/>
        <w:numPr>
          <w:ilvl w:val="0"/>
          <w:numId w:val="40"/>
        </w:numPr>
        <w:ind w:left="0" w:firstLine="0"/>
        <w:jc w:val="both"/>
        <w:rPr>
          <w:rFonts w:ascii="Arial" w:hAnsi="Arial" w:cs="Arial"/>
          <w:lang w:val="es-CO"/>
        </w:rPr>
      </w:pPr>
      <w:r>
        <w:rPr>
          <w:rFonts w:ascii="Arial" w:hAnsi="Arial" w:cs="Arial"/>
          <w:b/>
          <w:i/>
          <w:lang w:val="es-CO"/>
        </w:rPr>
        <w:t xml:space="preserve">Contribuyentes obligados a presentar declaración informativa de precios de transferencia y a preparar y enviar documentación comprobatoria. </w:t>
      </w:r>
      <w:r>
        <w:rPr>
          <w:rFonts w:ascii="Arial" w:hAnsi="Arial" w:cs="Arial"/>
          <w:lang w:val="es-CO"/>
        </w:rPr>
        <w:t>Los contribuyentes del impuesto sobre la renta y complementario que celebren op</w:t>
      </w:r>
      <w:r>
        <w:rPr>
          <w:rFonts w:ascii="Arial" w:hAnsi="Arial" w:cs="Arial"/>
          <w:lang w:val="es-CO"/>
        </w:rPr>
        <w:t>eraciones con vinculados y/o estén obligados a la aplicación de las normas que regulen el régimen de precios de transferencia, deberán llevar a cabo tales operaciones en cumplimiento del Principio de Plena Competencia, entendido como aquel en el cual las o</w:t>
      </w:r>
      <w:r>
        <w:rPr>
          <w:rFonts w:ascii="Arial" w:hAnsi="Arial" w:cs="Arial"/>
          <w:lang w:val="es-CO"/>
        </w:rPr>
        <w:t>peraciones entre vinculados cumplen con las condiciones que se hubiesen observado en operaciones comparables con o entre partes independientes. Lo anterior a efectos de determinar sus ingresos ordinarios y extraordinarios, costos, deducciones, activos y pa</w:t>
      </w:r>
      <w:r>
        <w:rPr>
          <w:rFonts w:ascii="Arial" w:hAnsi="Arial" w:cs="Arial"/>
          <w:lang w:val="es-CO"/>
        </w:rPr>
        <w:t>sivos para los fines del impuesto sobre la renta y complementario.</w:t>
      </w:r>
    </w:p>
    <w:p w14:paraId="310AA3D5" w14:textId="77777777" w:rsidR="00B2442D" w:rsidRDefault="00B2442D">
      <w:pPr>
        <w:jc w:val="both"/>
        <w:rPr>
          <w:rFonts w:ascii="Arial" w:hAnsi="Arial" w:cs="Arial"/>
          <w:lang w:val="es-CO"/>
        </w:rPr>
      </w:pPr>
    </w:p>
    <w:p w14:paraId="003C0237" w14:textId="77777777" w:rsidR="00B2442D" w:rsidRDefault="008A645F">
      <w:pPr>
        <w:jc w:val="both"/>
        <w:rPr>
          <w:rFonts w:ascii="Arial" w:hAnsi="Arial" w:cs="Arial"/>
          <w:lang w:val="es-CO"/>
        </w:rPr>
      </w:pPr>
      <w:r>
        <w:rPr>
          <w:rFonts w:ascii="Arial" w:hAnsi="Arial" w:cs="Arial"/>
          <w:lang w:val="es-CO"/>
        </w:rPr>
        <w:t xml:space="preserve">Sin perjuicio de lo anterior y de conformidad con lo establecido en los artículos 260-5, 260-9 y en el parágrafo 2° del artículo 260-7 del Estatuto Tributario, están obligados a presentar </w:t>
      </w:r>
      <w:r>
        <w:rPr>
          <w:rFonts w:ascii="Arial" w:hAnsi="Arial" w:cs="Arial"/>
          <w:lang w:val="es-CO"/>
        </w:rPr>
        <w:t>declaración informativa de precios de transferencia y a preparar y enviar documentación comprobatoria:</w:t>
      </w:r>
    </w:p>
    <w:p w14:paraId="192DB7AC" w14:textId="77777777" w:rsidR="00B2442D" w:rsidRDefault="00B2442D">
      <w:pPr>
        <w:jc w:val="both"/>
        <w:rPr>
          <w:rFonts w:ascii="Arial" w:hAnsi="Arial" w:cs="Arial"/>
          <w:lang w:val="es-CO"/>
        </w:rPr>
      </w:pPr>
    </w:p>
    <w:p w14:paraId="09EC041A"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Los contribuyentes del impuesto sobre la renta y complementario que celebren operaciones con vinculados del exterior, cuyo patrimonio bruto en el úl</w:t>
      </w:r>
      <w:r>
        <w:rPr>
          <w:rFonts w:ascii="Arial" w:hAnsi="Arial" w:cs="Arial"/>
          <w:lang w:val="es-CO"/>
        </w:rPr>
        <w:t>timo día del respectivo año o período gravable sea igual o superior al equivalente a cien mil (100.000) UVT o cuyos ingresos brutos del respectivo año sean iguales o superiores al equivalente a sesenta y un mil (61.000) UVT.</w:t>
      </w:r>
    </w:p>
    <w:p w14:paraId="3E660748" w14:textId="77777777" w:rsidR="00B2442D" w:rsidRDefault="00B2442D">
      <w:pPr>
        <w:ind w:left="284" w:hanging="284"/>
        <w:jc w:val="both"/>
        <w:rPr>
          <w:rFonts w:ascii="Arial" w:hAnsi="Arial" w:cs="Arial"/>
          <w:lang w:val="es-CO"/>
        </w:rPr>
      </w:pPr>
    </w:p>
    <w:p w14:paraId="6B323D23"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Los contribuyentes del imp</w:t>
      </w:r>
      <w:r>
        <w:rPr>
          <w:rFonts w:ascii="Arial" w:hAnsi="Arial" w:cs="Arial"/>
          <w:lang w:val="es-CO"/>
        </w:rPr>
        <w:t>uesto sobre la renta y complementario ubicados, domiciliados o residentes en el Territorio Aduanero Nacional que celebren operaciones con vinculados ubicados en zona franca, cuyo patrimonio bruto en el último día del respectivo año o período gravable sea i</w:t>
      </w:r>
      <w:r>
        <w:rPr>
          <w:rFonts w:ascii="Arial" w:hAnsi="Arial" w:cs="Arial"/>
          <w:lang w:val="es-CO"/>
        </w:rPr>
        <w:t>gual o superior al equivalente a cien mil (100.000) UVT o cuyos ingresos brutos del respectivo año sean iguales o superiores al equivalente a sesenta y un mil (61.000) UVT.</w:t>
      </w:r>
    </w:p>
    <w:p w14:paraId="01604DEC" w14:textId="77777777" w:rsidR="00B2442D" w:rsidRDefault="00B2442D">
      <w:pPr>
        <w:ind w:left="284" w:hanging="284"/>
        <w:jc w:val="both"/>
        <w:rPr>
          <w:rFonts w:ascii="Arial" w:hAnsi="Arial" w:cs="Arial"/>
          <w:lang w:val="es-CO"/>
        </w:rPr>
      </w:pPr>
    </w:p>
    <w:p w14:paraId="669A00EB"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Los contribuyentes del impuesto sobre la renta y complementario que realicen o</w:t>
      </w:r>
      <w:r>
        <w:rPr>
          <w:rFonts w:ascii="Arial" w:hAnsi="Arial" w:cs="Arial"/>
          <w:lang w:val="es-CO"/>
        </w:rPr>
        <w:t>peraciones con personas, sociedades, entidades o empresas ubicadas, residentes o domiciliadas en paraísos fiscales calificados como tales por el Gobierno Nacional, aunque su patrimonio bruto en el último día del respectivo año o período gravable o sus ingr</w:t>
      </w:r>
      <w:r>
        <w:rPr>
          <w:rFonts w:ascii="Arial" w:hAnsi="Arial" w:cs="Arial"/>
          <w:lang w:val="es-CO"/>
        </w:rPr>
        <w:t>esos brutos del respectivo año o período gravable sean inferiores al equivalente a cien mil (100.000) UVT o sesenta y un mil (61.000) UVT, respectivamente.</w:t>
      </w:r>
    </w:p>
    <w:p w14:paraId="3D221B54" w14:textId="77777777" w:rsidR="00B2442D" w:rsidRDefault="00B2442D">
      <w:pPr>
        <w:ind w:left="284" w:hanging="284"/>
        <w:jc w:val="both"/>
        <w:rPr>
          <w:rFonts w:ascii="Arial" w:hAnsi="Arial" w:cs="Arial"/>
          <w:lang w:val="es-CO"/>
        </w:rPr>
      </w:pPr>
    </w:p>
    <w:p w14:paraId="607F304B" w14:textId="77777777" w:rsidR="00B2442D" w:rsidRDefault="008A645F">
      <w:pPr>
        <w:ind w:left="284"/>
        <w:jc w:val="both"/>
        <w:rPr>
          <w:rFonts w:ascii="Arial" w:hAnsi="Arial" w:cs="Arial"/>
          <w:lang w:val="es-CO"/>
        </w:rPr>
      </w:pPr>
      <w:r>
        <w:rPr>
          <w:rFonts w:ascii="Arial" w:hAnsi="Arial" w:cs="Arial"/>
          <w:lang w:val="es-CO"/>
        </w:rPr>
        <w:t>No habrá lugar a preparar y enviar documentación comprobatoria, cuando la suma de la totalidad de l</w:t>
      </w:r>
      <w:r>
        <w:rPr>
          <w:rFonts w:ascii="Arial" w:hAnsi="Arial" w:cs="Arial"/>
          <w:lang w:val="es-CO"/>
        </w:rPr>
        <w:t>as operaciones llevadas a cabo con personas, sociedades, entidades o empresas ubicadas, residentes o domiciliadas en paraísos fiscales dentro del respectivo año gravable no supere al equivalente a diez mil (10.000) UVT del período gravable al cual correspo</w:t>
      </w:r>
      <w:r>
        <w:rPr>
          <w:rFonts w:ascii="Arial" w:hAnsi="Arial" w:cs="Arial"/>
          <w:lang w:val="es-CO"/>
        </w:rPr>
        <w:t>nda la documentación comprobatoria.</w:t>
      </w:r>
    </w:p>
    <w:p w14:paraId="0A6C91BB" w14:textId="77777777" w:rsidR="00B2442D" w:rsidRDefault="00B2442D">
      <w:pPr>
        <w:ind w:left="284" w:hanging="284"/>
        <w:jc w:val="both"/>
        <w:rPr>
          <w:rFonts w:ascii="Arial" w:hAnsi="Arial" w:cs="Arial"/>
          <w:lang w:val="es-CO"/>
        </w:rPr>
      </w:pPr>
    </w:p>
    <w:p w14:paraId="021F564E"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r>
      <w:r>
        <w:rPr>
          <w:rFonts w:ascii="Arial" w:hAnsi="Arial" w:cs="Arial"/>
          <w:lang w:val="es-CO"/>
        </w:rPr>
        <w:t xml:space="preserve"> Sin perjuicio de lo señalado en el parágrafo del artículo 20-2 del Estatuto Tributario. Los establecimientos permanentes de personas naturales no residentes o de personas jurídicas o entidades extranjeras y las sucursales y agencias de sociedades extranje</w:t>
      </w:r>
      <w:r>
        <w:rPr>
          <w:rFonts w:ascii="Arial" w:hAnsi="Arial" w:cs="Arial"/>
          <w:lang w:val="es-CO"/>
        </w:rPr>
        <w:t>ras, contribuyentes del impuesto sobre la renta y complementario que celebren operaciones con vinculados del exterior, cuyo patrimonio bruto en el último día del respectivo año o período gravable sea igual o superior al equivalente a cien mil (100.000) UVT</w:t>
      </w:r>
      <w:r>
        <w:rPr>
          <w:rFonts w:ascii="Arial" w:hAnsi="Arial" w:cs="Arial"/>
          <w:lang w:val="es-CO"/>
        </w:rPr>
        <w:t xml:space="preserve"> o cuyos ingresos brutos del respectivo año sean iguales o superiores al equivalente a sesenta y un mil (61.000) UVT.</w:t>
      </w:r>
    </w:p>
    <w:p w14:paraId="073E97A0" w14:textId="77777777" w:rsidR="00B2442D" w:rsidRDefault="00B2442D">
      <w:pPr>
        <w:ind w:left="284" w:hanging="284"/>
        <w:jc w:val="both"/>
        <w:rPr>
          <w:rFonts w:ascii="Arial" w:hAnsi="Arial" w:cs="Arial"/>
          <w:lang w:val="es-CO"/>
        </w:rPr>
      </w:pPr>
    </w:p>
    <w:p w14:paraId="074B8BD4"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Sin perjuicio de lo señalado en el parágrafo del artículo 20-2 del Estatuto Tributario. Los establecimientos permanentes de personas </w:t>
      </w:r>
      <w:r>
        <w:rPr>
          <w:rFonts w:ascii="Arial" w:hAnsi="Arial" w:cs="Arial"/>
          <w:lang w:val="es-CO"/>
        </w:rPr>
        <w:t>naturales no residentes o de personas jurídicas o entidades extranjeras y las sucursales y agencias de sociedades extranjeras, contribuyentes del impuesto sobre la renta y complementario que realicen operaciones con vinculados ubicados en zona franca, cuyo</w:t>
      </w:r>
      <w:r>
        <w:rPr>
          <w:rFonts w:ascii="Arial" w:hAnsi="Arial" w:cs="Arial"/>
          <w:lang w:val="es-CO"/>
        </w:rPr>
        <w:t xml:space="preserve"> patrimonio bruto en el último día del respectivo año o período gravable sea igual o superior al equivalente a cien mil (100.000) UVT o cuyos ingresos brutos del respectivo año sean iguales o superiores al equivalente a sesenta y un mil (61.000) UVT.</w:t>
      </w:r>
    </w:p>
    <w:p w14:paraId="783FFF0C" w14:textId="77777777" w:rsidR="00B2442D" w:rsidRDefault="00B2442D">
      <w:pPr>
        <w:ind w:left="284" w:hanging="284"/>
        <w:jc w:val="both"/>
        <w:rPr>
          <w:rFonts w:ascii="Arial" w:hAnsi="Arial" w:cs="Arial"/>
          <w:lang w:val="es-CO"/>
        </w:rPr>
      </w:pPr>
    </w:p>
    <w:p w14:paraId="4A286566"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S</w:t>
      </w:r>
      <w:r>
        <w:rPr>
          <w:rFonts w:ascii="Arial" w:hAnsi="Arial" w:cs="Arial"/>
          <w:lang w:val="es-CO"/>
        </w:rPr>
        <w:t>in perjuicio de lo señalado en el parágrafo del artículo 20-2 del Estatuto Tributario. Los establecimientos permanentes de personas naturales no residentes o de personas jurídicas o entidades extranjeras y las sucursales y agencias de sociedades extranjera</w:t>
      </w:r>
      <w:r>
        <w:rPr>
          <w:rFonts w:ascii="Arial" w:hAnsi="Arial" w:cs="Arial"/>
          <w:lang w:val="es-CO"/>
        </w:rPr>
        <w:t>s, contribuyentes del impuesto sobre la renta y complementario que realicen operaciones con personas, sociedades, entidades o empresas ubicadas, residentes o domiciliadas en paraísos fiscales calificados como tales por el Gobierno Nacional, aunque su patri</w:t>
      </w:r>
      <w:r>
        <w:rPr>
          <w:rFonts w:ascii="Arial" w:hAnsi="Arial" w:cs="Arial"/>
          <w:lang w:val="es-CO"/>
        </w:rPr>
        <w:t>monio bruto en el último día del respectivo año o período gravable o sus ingresos brutos del respectivo año o período gravable sean inferiores al equivalente a cien mil (100.000) UVT o a sesenta y un mil (61.000) UVT, respectivamente.</w:t>
      </w:r>
    </w:p>
    <w:p w14:paraId="0AC6DE89" w14:textId="77777777" w:rsidR="00B2442D" w:rsidRDefault="00B2442D">
      <w:pPr>
        <w:ind w:left="284" w:hanging="284"/>
        <w:jc w:val="both"/>
        <w:rPr>
          <w:rFonts w:ascii="Arial" w:hAnsi="Arial" w:cs="Arial"/>
          <w:lang w:val="es-CO"/>
        </w:rPr>
      </w:pPr>
    </w:p>
    <w:p w14:paraId="0A53F781" w14:textId="77777777" w:rsidR="00B2442D" w:rsidRDefault="008A645F">
      <w:pPr>
        <w:ind w:left="284"/>
        <w:jc w:val="both"/>
        <w:rPr>
          <w:rFonts w:ascii="Arial" w:hAnsi="Arial" w:cs="Arial"/>
          <w:lang w:val="es-CO"/>
        </w:rPr>
      </w:pPr>
      <w:r>
        <w:rPr>
          <w:rFonts w:ascii="Arial" w:hAnsi="Arial" w:cs="Arial"/>
          <w:lang w:val="es-CO"/>
        </w:rPr>
        <w:t>No habrá lugar a pre</w:t>
      </w:r>
      <w:r>
        <w:rPr>
          <w:rFonts w:ascii="Arial" w:hAnsi="Arial" w:cs="Arial"/>
          <w:lang w:val="es-CO"/>
        </w:rPr>
        <w:t>parar y conservar documentación comprobatoria, cuando la suma de la totalidad de las operaciones llevadas a cabo con residentes o domiciliados en paraísos fiscales dentro del respectivo año o período gravable, no supere al equivalente a las diez mil (10.00</w:t>
      </w:r>
      <w:r>
        <w:rPr>
          <w:rFonts w:ascii="Arial" w:hAnsi="Arial" w:cs="Arial"/>
          <w:lang w:val="es-CO"/>
        </w:rPr>
        <w:t>0) UVT del período gravable al cual corresponda la documentación comprobatoria.</w:t>
      </w:r>
    </w:p>
    <w:p w14:paraId="524AB926" w14:textId="77777777" w:rsidR="00B2442D" w:rsidRDefault="00B2442D">
      <w:pPr>
        <w:ind w:left="284" w:hanging="284"/>
        <w:jc w:val="both"/>
        <w:rPr>
          <w:rFonts w:ascii="Arial" w:hAnsi="Arial" w:cs="Arial"/>
          <w:lang w:val="es-CO"/>
        </w:rPr>
      </w:pPr>
    </w:p>
    <w:p w14:paraId="17ADC3DE"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 Sin perjuicio de lo señalado en el parágrafo del artículo 20-2 del Estatuto Tributario y de conformidad con lo preceptuado en el artículo 260-2 del Estatuto Tributario, lo</w:t>
      </w:r>
      <w:r>
        <w:rPr>
          <w:rFonts w:ascii="Arial" w:hAnsi="Arial" w:cs="Arial"/>
          <w:lang w:val="es-CO"/>
        </w:rPr>
        <w:t>s establecimientos permanentes de personas naturales no residentes o de personas jurídicas o entidades extranjeras y las sucursales y agencias de sociedades extranjeras, contribuyentes del impuesto sobre la renta y complementario, cuando personas naturales</w:t>
      </w:r>
      <w:r>
        <w:rPr>
          <w:rFonts w:ascii="Arial" w:hAnsi="Arial" w:cs="Arial"/>
          <w:lang w:val="es-CO"/>
        </w:rPr>
        <w:t xml:space="preserve"> no residentes o personas jurídicas o entidades extranjeras celebren operaciones con otras personas naturales no residentes, personas jurídicas o entidades extranjeras a favor de dicho establecimiento permanente, cuyo patrimonio bruto en el último día del </w:t>
      </w:r>
      <w:r>
        <w:rPr>
          <w:rFonts w:ascii="Arial" w:hAnsi="Arial" w:cs="Arial"/>
          <w:lang w:val="es-CO"/>
        </w:rPr>
        <w:t>respectivo año o período gravable sea igual o superior al equivalente a cien mil (100.000) UVT o cuyos ingresos brutos del respectivo año sean iguales o superiores al equivalente a sesenta y un mil (61.000) UVT.</w:t>
      </w:r>
    </w:p>
    <w:p w14:paraId="003FE60E" w14:textId="77777777" w:rsidR="00B2442D" w:rsidRDefault="00B2442D">
      <w:pPr>
        <w:ind w:left="284" w:hanging="284"/>
        <w:jc w:val="both"/>
        <w:rPr>
          <w:rFonts w:ascii="Arial" w:hAnsi="Arial" w:cs="Arial"/>
          <w:lang w:val="es-CO"/>
        </w:rPr>
      </w:pPr>
    </w:p>
    <w:p w14:paraId="2E6968B9" w14:textId="77777777" w:rsidR="00B2442D" w:rsidRDefault="008A645F">
      <w:pPr>
        <w:ind w:left="284" w:hanging="284"/>
        <w:jc w:val="both"/>
        <w:rPr>
          <w:rFonts w:ascii="Arial" w:hAnsi="Arial" w:cs="Arial"/>
          <w:lang w:val="es-CO"/>
        </w:rPr>
      </w:pPr>
      <w:r>
        <w:rPr>
          <w:rFonts w:ascii="Arial" w:hAnsi="Arial" w:cs="Arial"/>
          <w:lang w:val="es-CO"/>
        </w:rPr>
        <w:t>h) Sin perjuicio de lo señalado en el parág</w:t>
      </w:r>
      <w:r>
        <w:rPr>
          <w:rFonts w:ascii="Arial" w:hAnsi="Arial" w:cs="Arial"/>
          <w:lang w:val="es-CO"/>
        </w:rPr>
        <w:t>rafo del artículo 20-2 del Estatuto Tributario y de conformidad con lo preceptuado en el artículo 260-2 del Estatuto Tributario, los establecimientos permanentes de personas naturales no residentes o de personas jurídicas o entidades extranjeras y las sucu</w:t>
      </w:r>
      <w:r>
        <w:rPr>
          <w:rFonts w:ascii="Arial" w:hAnsi="Arial" w:cs="Arial"/>
          <w:lang w:val="es-CO"/>
        </w:rPr>
        <w:t>rsales y agencias de sociedades extranjeras, contribuyentes del impuesto sobre la renta y complementario, cuando los vinculados ubicados en zona franca celebren operaciones con otras personas naturales no residentes, personas jurídicas o entidades extranje</w:t>
      </w:r>
      <w:r>
        <w:rPr>
          <w:rFonts w:ascii="Arial" w:hAnsi="Arial" w:cs="Arial"/>
          <w:lang w:val="es-CO"/>
        </w:rPr>
        <w:t>ras, a favor de dicho establecimiento permanente, cuyo patrimonio bruto en el último día del respectivo año o período gravable sea igual o superior al equivalente a cien mil (100.000) UVT o cuyos ingresos brutos del respectivo año sean iguales o superiores</w:t>
      </w:r>
      <w:r>
        <w:rPr>
          <w:rFonts w:ascii="Arial" w:hAnsi="Arial" w:cs="Arial"/>
          <w:lang w:val="es-CO"/>
        </w:rPr>
        <w:t xml:space="preserve"> al equivalente a sesenta y un mil (61.000) UVT.</w:t>
      </w:r>
    </w:p>
    <w:p w14:paraId="1CE35F8C" w14:textId="77777777" w:rsidR="00B2442D" w:rsidRDefault="00B2442D">
      <w:pPr>
        <w:ind w:left="284" w:hanging="284"/>
        <w:jc w:val="both"/>
        <w:rPr>
          <w:rFonts w:ascii="Arial" w:hAnsi="Arial" w:cs="Arial"/>
          <w:lang w:val="es-CO"/>
        </w:rPr>
      </w:pPr>
    </w:p>
    <w:p w14:paraId="59D533A8" w14:textId="77777777" w:rsidR="00B2442D" w:rsidRDefault="008A645F">
      <w:pPr>
        <w:ind w:left="284" w:hanging="284"/>
        <w:jc w:val="both"/>
        <w:rPr>
          <w:rFonts w:ascii="Arial" w:hAnsi="Arial" w:cs="Arial"/>
          <w:lang w:val="es-CO"/>
        </w:rPr>
      </w:pPr>
      <w:r>
        <w:rPr>
          <w:rFonts w:ascii="Arial" w:hAnsi="Arial" w:cs="Arial"/>
          <w:lang w:val="es-CO"/>
        </w:rPr>
        <w:t xml:space="preserve">i) Sin perjuicio de lo señalado en el parágrafo del artículo 20-2 del Estatuto Tributario. y de conformidad con lo preceptuado en el artículo 260-2 del Estatuto Tributario, los establecimientos permanentes </w:t>
      </w:r>
      <w:r>
        <w:rPr>
          <w:rFonts w:ascii="Arial" w:hAnsi="Arial" w:cs="Arial"/>
          <w:lang w:val="es-CO"/>
        </w:rPr>
        <w:t>de personas naturales no residentes o de personas jurídicas o entidades extranjeras y las sucursales y agencias de sociedades extranjeras, contribuyentes del impuesto sobre la renta y complementario, cuando personas naturales no residentes o personas juríd</w:t>
      </w:r>
      <w:r>
        <w:rPr>
          <w:rFonts w:ascii="Arial" w:hAnsi="Arial" w:cs="Arial"/>
          <w:lang w:val="es-CO"/>
        </w:rPr>
        <w:t>icas o entidades extranjeras ubicadas, residentes o domiciliadas en paraísos fiscales, calificados como tales por el Gobierno Nacional, celebren operaciones con otras personas naturales no residentes, personas jurídicas o entidades extranjeras a favor de d</w:t>
      </w:r>
      <w:r>
        <w:rPr>
          <w:rFonts w:ascii="Arial" w:hAnsi="Arial" w:cs="Arial"/>
          <w:lang w:val="es-CO"/>
        </w:rPr>
        <w:t>icho establecimiento permanente, aunque su patrimonio bruto en el último día del respectivo año o período gravable o sus ingresos brutos del respectivo año o período gravable sean inferiores al equivalente a cien mil (100.000) UVT o sesenta y un mil (61.00</w:t>
      </w:r>
      <w:r>
        <w:rPr>
          <w:rFonts w:ascii="Arial" w:hAnsi="Arial" w:cs="Arial"/>
          <w:lang w:val="es-CO"/>
        </w:rPr>
        <w:t>0) UVT, respectivamente.</w:t>
      </w:r>
    </w:p>
    <w:p w14:paraId="632B9DE7" w14:textId="77777777" w:rsidR="00B2442D" w:rsidRDefault="00B2442D">
      <w:pPr>
        <w:ind w:left="284" w:hanging="284"/>
        <w:jc w:val="both"/>
        <w:rPr>
          <w:rFonts w:ascii="Arial" w:hAnsi="Arial" w:cs="Arial"/>
          <w:lang w:val="es-CO"/>
        </w:rPr>
      </w:pPr>
    </w:p>
    <w:p w14:paraId="1B559A03" w14:textId="77777777" w:rsidR="00B2442D" w:rsidRDefault="008A645F">
      <w:pPr>
        <w:ind w:left="284"/>
        <w:jc w:val="both"/>
        <w:rPr>
          <w:rFonts w:ascii="Arial" w:hAnsi="Arial" w:cs="Arial"/>
          <w:lang w:val="es-CO"/>
        </w:rPr>
      </w:pPr>
      <w:r>
        <w:rPr>
          <w:rFonts w:ascii="Arial" w:hAnsi="Arial" w:cs="Arial"/>
          <w:lang w:val="es-CO"/>
        </w:rPr>
        <w:t xml:space="preserve">No habrá lugar a preparar y conservar documentación comprobatoria, cuando la suma de la totalidad de las operaciones llevadas a cabo con residentes o domiciliados en paraísos fiscales dentro del respectivo año o período gravable, </w:t>
      </w:r>
      <w:r>
        <w:rPr>
          <w:rFonts w:ascii="Arial" w:hAnsi="Arial" w:cs="Arial"/>
          <w:lang w:val="es-CO"/>
        </w:rPr>
        <w:t>no supere al equivalente a las diez mil (10.000) UVT del período gravable al cual corresponda la documentación comprobatoria.</w:t>
      </w:r>
    </w:p>
    <w:p w14:paraId="3E021891" w14:textId="77777777" w:rsidR="00B2442D" w:rsidRDefault="00B2442D">
      <w:pPr>
        <w:jc w:val="both"/>
        <w:rPr>
          <w:rFonts w:ascii="Arial" w:hAnsi="Arial" w:cs="Arial"/>
          <w:lang w:val="es-CO"/>
        </w:rPr>
      </w:pPr>
    </w:p>
    <w:p w14:paraId="71754458"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Para los literales a), b), d), e), g) y h) de este artículo, no habrá lugar a preparar y enviar documentación comprobatoria cuando la sumatoria de la totalidad de operaciones realizadas con vinculados durante el respectivo año sea inferior al equivalente </w:t>
      </w:r>
      <w:r>
        <w:rPr>
          <w:rFonts w:ascii="Arial" w:hAnsi="Arial" w:cs="Arial"/>
          <w:lang w:val="es-CO"/>
        </w:rPr>
        <w:t xml:space="preserve">a sesenta y un mil (61.000) UVT del período gravable al cual corresponda la documentación comprobatoria. Adicionalmente, no habrá lugar a preparar y enviar documentación comprobatoria por aquellos tipos de operación señalados en el artículo 1.2.2.3.2. del </w:t>
      </w:r>
      <w:r>
        <w:rPr>
          <w:rFonts w:ascii="Arial" w:hAnsi="Arial" w:cs="Arial"/>
          <w:lang w:val="es-CO"/>
        </w:rPr>
        <w:t>presente decreto, cuyo monto anual acumulado no supere el equivalente a treinta y dos mil (32.000) UVT del año o período gravable al cual corresponda la documentación comprobatoria.</w:t>
      </w:r>
    </w:p>
    <w:p w14:paraId="3ACBE3B9" w14:textId="77777777" w:rsidR="00B2442D" w:rsidRDefault="00B2442D">
      <w:pPr>
        <w:jc w:val="both"/>
        <w:rPr>
          <w:rFonts w:ascii="Arial" w:hAnsi="Arial" w:cs="Arial"/>
          <w:lang w:val="es-CO"/>
        </w:rPr>
      </w:pPr>
    </w:p>
    <w:p w14:paraId="3AEBFE82"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En el caso de operaciones de financiamiento, en particular </w:t>
      </w:r>
      <w:r>
        <w:rPr>
          <w:rFonts w:ascii="Arial" w:hAnsi="Arial" w:cs="Arial"/>
          <w:lang w:val="es-CO"/>
        </w:rPr>
        <w:t>en aquellas relacionadas con los préstamos que deban ser declarados como tipo de operación de "Intereses sobre préstamos" a que se refiere el artículo 1.2.2.3.2 de este decreto y en concordancia con el literal a) del numeral 1° del artículo 260-4 del Estat</w:t>
      </w:r>
      <w:r>
        <w:rPr>
          <w:rFonts w:ascii="Arial" w:hAnsi="Arial" w:cs="Arial"/>
          <w:lang w:val="es-CO"/>
        </w:rPr>
        <w:t>uto Tributario, para efectos de determinar si la operación supera los topes a que se refiere este artículo, deberá tenerse en cuenta el monto del principal que sea prestado entre el contribuyente del impuesto sobre la renta complementarios y sus vinculados</w:t>
      </w:r>
      <w:r>
        <w:rPr>
          <w:rFonts w:ascii="Arial" w:hAnsi="Arial" w:cs="Arial"/>
          <w:lang w:val="es-CO"/>
        </w:rPr>
        <w:t xml:space="preserve"> del exterior, vinculados ubicados en zonas francas y personas, sociedades, entidades o empresas ubicadas, residentes o domiciliadas en paraísos fiscales.</w:t>
      </w:r>
    </w:p>
    <w:p w14:paraId="0A8F93F3" w14:textId="77777777" w:rsidR="00B2442D" w:rsidRDefault="00B2442D">
      <w:pPr>
        <w:jc w:val="both"/>
        <w:rPr>
          <w:rFonts w:ascii="Arial" w:hAnsi="Arial" w:cs="Arial"/>
          <w:lang w:val="es-CO"/>
        </w:rPr>
      </w:pPr>
    </w:p>
    <w:p w14:paraId="412B9922"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Los contribuyentes del impuesto sobre la renta y complementario que de conformidad con</w:t>
      </w:r>
      <w:r>
        <w:rPr>
          <w:rFonts w:ascii="Arial" w:hAnsi="Arial" w:cs="Arial"/>
          <w:lang w:val="es-CO"/>
        </w:rPr>
        <w:t xml:space="preserve"> lo previsto en el presente artículo no estén obligados a presentar declaración informativa ni a preparar y conservar documentación comprobatoria, deberán conservar los documentos, informaciones y pruebas que respalden las operaciones con sus vinculados de</w:t>
      </w:r>
      <w:r>
        <w:rPr>
          <w:rFonts w:ascii="Arial" w:hAnsi="Arial" w:cs="Arial"/>
          <w:lang w:val="es-CO"/>
        </w:rPr>
        <w:t>l exterior, o con vinculados ubicados en zona franca, u operaciones con personas, sociedades entidades o empresas ubicadas, residentes o domiciliadas en paraísos fiscales, de acuerdo con las normas generales contenidas en el Estatuto Tributario.</w:t>
      </w:r>
    </w:p>
    <w:p w14:paraId="409E8E9C" w14:textId="77777777" w:rsidR="00B2442D" w:rsidRDefault="00B2442D">
      <w:pPr>
        <w:jc w:val="both"/>
        <w:rPr>
          <w:rFonts w:ascii="Arial" w:hAnsi="Arial" w:cs="Arial"/>
          <w:lang w:val="es-CO"/>
        </w:rPr>
      </w:pPr>
    </w:p>
    <w:p w14:paraId="1DD1C7AC" w14:textId="77777777" w:rsidR="00B2442D" w:rsidRDefault="008A645F">
      <w:pPr>
        <w:jc w:val="both"/>
        <w:rPr>
          <w:rFonts w:ascii="Arial" w:hAnsi="Arial" w:cs="Arial"/>
          <w:i/>
          <w:lang w:val="es-CO"/>
        </w:rPr>
      </w:pPr>
      <w:r>
        <w:rPr>
          <w:rFonts w:ascii="Arial" w:hAnsi="Arial" w:cs="Arial"/>
          <w:i/>
          <w:lang w:val="es-CO"/>
        </w:rPr>
        <w:t xml:space="preserve">(Art. 2, </w:t>
      </w:r>
      <w:r>
        <w:rPr>
          <w:rFonts w:ascii="Arial" w:hAnsi="Arial" w:cs="Arial"/>
          <w:i/>
          <w:lang w:val="es-CO"/>
        </w:rPr>
        <w:t>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13E5D286" w14:textId="77777777" w:rsidR="00B2442D" w:rsidRDefault="00B2442D">
      <w:pPr>
        <w:jc w:val="both"/>
        <w:rPr>
          <w:rFonts w:ascii="Arial" w:hAnsi="Arial" w:cs="Arial"/>
          <w:lang w:val="es-CO"/>
        </w:rPr>
      </w:pPr>
    </w:p>
    <w:p w14:paraId="72CA2BA1" w14:textId="77777777" w:rsidR="00B2442D" w:rsidRDefault="008A645F">
      <w:pPr>
        <w:pStyle w:val="Prrafodelista"/>
        <w:numPr>
          <w:ilvl w:val="0"/>
          <w:numId w:val="40"/>
        </w:numPr>
        <w:ind w:left="0" w:firstLine="0"/>
        <w:jc w:val="both"/>
        <w:rPr>
          <w:rFonts w:ascii="Arial" w:hAnsi="Arial" w:cs="Arial"/>
          <w:lang w:val="es-CO"/>
        </w:rPr>
      </w:pPr>
      <w:r>
        <w:rPr>
          <w:rFonts w:ascii="Arial" w:hAnsi="Arial" w:cs="Arial"/>
          <w:b/>
          <w:i/>
          <w:lang w:val="es-CO"/>
        </w:rPr>
        <w:t xml:space="preserve">Operaciones de financiamiento. </w:t>
      </w:r>
      <w:r>
        <w:rPr>
          <w:rFonts w:ascii="Arial" w:hAnsi="Arial" w:cs="Arial"/>
          <w:lang w:val="es-CO"/>
        </w:rPr>
        <w:t>Sin perjuicio de lo señalado en el artículo 118-1 del Estatuto Tributario y los demás requisitos y condiciones consagrados en el mismo Estatuto para la procedencia de la deducción de los gastos por concepto de intereses, no s</w:t>
      </w:r>
      <w:r>
        <w:rPr>
          <w:rFonts w:ascii="Arial" w:hAnsi="Arial" w:cs="Arial"/>
          <w:lang w:val="es-CO"/>
        </w:rPr>
        <w:t>erán deducibles los pagos por concepto de intereses realizados a vinculados del exterior, a vinculados ubicados en zonas francas, y/o a personas, sociedades, entidades o empresas ubicadas, residentes o domiciliadas en paraísos fiscales, respecto de los cua</w:t>
      </w:r>
      <w:r>
        <w:rPr>
          <w:rFonts w:ascii="Arial" w:hAnsi="Arial" w:cs="Arial"/>
          <w:lang w:val="es-CO"/>
        </w:rPr>
        <w:t>les no se cumplan los criterios de comparabilidad de que trata el literal a) del numeral 1 del artículo 260-4 de la misma normatividad. En consecuencia dichas operaciones no serán consideradas como préstamos ni intereses, sino como aportes de capital y ser</w:t>
      </w:r>
      <w:r>
        <w:rPr>
          <w:rFonts w:ascii="Arial" w:hAnsi="Arial" w:cs="Arial"/>
          <w:lang w:val="es-CO"/>
        </w:rPr>
        <w:t>án tratadas como dividendos.</w:t>
      </w:r>
    </w:p>
    <w:p w14:paraId="50F8AE3B" w14:textId="77777777" w:rsidR="00B2442D" w:rsidRDefault="00B2442D">
      <w:pPr>
        <w:jc w:val="both"/>
        <w:rPr>
          <w:rFonts w:ascii="Arial" w:hAnsi="Arial" w:cs="Arial"/>
          <w:lang w:val="es-CO"/>
        </w:rPr>
      </w:pPr>
    </w:p>
    <w:p w14:paraId="6F40F941" w14:textId="77777777" w:rsidR="00B2442D" w:rsidRDefault="008A645F">
      <w:pPr>
        <w:jc w:val="both"/>
        <w:rPr>
          <w:rFonts w:ascii="Arial" w:hAnsi="Arial" w:cs="Arial"/>
          <w:i/>
          <w:lang w:val="es-CO"/>
        </w:rPr>
      </w:pPr>
      <w:r>
        <w:rPr>
          <w:rFonts w:ascii="Arial" w:hAnsi="Arial" w:cs="Arial"/>
          <w:i/>
          <w:lang w:val="es-CO"/>
        </w:rPr>
        <w:t>(Art. 3,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2AA71B11" w14:textId="77777777" w:rsidR="00B2442D" w:rsidRDefault="00B2442D">
      <w:pPr>
        <w:jc w:val="center"/>
        <w:rPr>
          <w:rFonts w:ascii="Arial" w:hAnsi="Arial" w:cs="Arial"/>
          <w:lang w:val="es-CO"/>
        </w:rPr>
      </w:pPr>
    </w:p>
    <w:p w14:paraId="67C616BE" w14:textId="77777777" w:rsidR="00B2442D" w:rsidRDefault="008A645F">
      <w:pPr>
        <w:pStyle w:val="Ttulo4"/>
      </w:pPr>
      <w:r>
        <w:t>CAPÍT</w:t>
      </w:r>
      <w:r>
        <w:t>ULO 2</w:t>
      </w:r>
    </w:p>
    <w:p w14:paraId="35636060" w14:textId="77777777" w:rsidR="00B2442D" w:rsidRDefault="008A645F">
      <w:pPr>
        <w:pStyle w:val="Ttulo4"/>
      </w:pPr>
      <w:r>
        <w:t>Documentación comprobatoria</w:t>
      </w:r>
    </w:p>
    <w:p w14:paraId="40750530" w14:textId="77777777" w:rsidR="00B2442D" w:rsidRDefault="00B2442D">
      <w:pPr>
        <w:rPr>
          <w:rFonts w:ascii="Arial" w:hAnsi="Arial" w:cs="Arial"/>
        </w:rPr>
      </w:pPr>
    </w:p>
    <w:p w14:paraId="6454D2C2"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Contenido de la documentación comprobatoria.</w:t>
      </w:r>
      <w:r>
        <w:rPr>
          <w:rFonts w:ascii="Arial" w:hAnsi="Arial" w:cs="Arial"/>
          <w:lang w:val="es-CO"/>
        </w:rPr>
        <w:t xml:space="preserve"> La documentación comprobatoria a que hace referencia el artículo 260-5 del Estatuto Tributario, deberá contener los estudios, documentos y demás soportes con los cuales el cont</w:t>
      </w:r>
      <w:r>
        <w:rPr>
          <w:rFonts w:ascii="Arial" w:hAnsi="Arial" w:cs="Arial"/>
          <w:lang w:val="es-CO"/>
        </w:rPr>
        <w:t>ribuyente del impuesto sobre la renta y complementario demuestre que sus ingresos, costos, deducciones, activos y pasivos adquiridos en el respectivo año gravable, relativos a las operaciones celebradas con vinculados del exterior, o con vinculados ubicado</w:t>
      </w:r>
      <w:r>
        <w:rPr>
          <w:rFonts w:ascii="Arial" w:hAnsi="Arial" w:cs="Arial"/>
          <w:lang w:val="es-CO"/>
        </w:rPr>
        <w:t>s en zonas francas, o con personas, sociedades, entidades o empresas ubicadas, residentes o domiciliadas en paraísos fiscales. Fueron determinados considerando para esas operaciones el Principio de Plena Competencia, entendido como aquel en el cual las ope</w:t>
      </w:r>
      <w:r>
        <w:rPr>
          <w:rFonts w:ascii="Arial" w:hAnsi="Arial" w:cs="Arial"/>
          <w:lang w:val="es-CO"/>
        </w:rPr>
        <w:t>raciones entre vinculados cumplen con las condiciones que se hubiesen observado en operaciones comparables con o entre partes independientes.</w:t>
      </w:r>
    </w:p>
    <w:p w14:paraId="252651E4" w14:textId="77777777" w:rsidR="00B2442D" w:rsidRDefault="00B2442D">
      <w:pPr>
        <w:jc w:val="both"/>
        <w:rPr>
          <w:rFonts w:ascii="Arial" w:hAnsi="Arial" w:cs="Arial"/>
          <w:lang w:val="es-CO"/>
        </w:rPr>
      </w:pPr>
    </w:p>
    <w:p w14:paraId="4A206381" w14:textId="77777777" w:rsidR="00B2442D" w:rsidRDefault="008A645F">
      <w:pPr>
        <w:jc w:val="both"/>
        <w:rPr>
          <w:rFonts w:ascii="Arial" w:hAnsi="Arial" w:cs="Arial"/>
          <w:lang w:val="es-CO"/>
        </w:rPr>
      </w:pPr>
      <w:r>
        <w:rPr>
          <w:rFonts w:ascii="Arial" w:hAnsi="Arial" w:cs="Arial"/>
          <w:lang w:val="es-CO"/>
        </w:rPr>
        <w:t>La documentación por cada tipo de operación señalada en el artículo 1.2.2.3.2 de este decreto, deberá tener el ni</w:t>
      </w:r>
      <w:r>
        <w:rPr>
          <w:rFonts w:ascii="Arial" w:hAnsi="Arial" w:cs="Arial"/>
          <w:lang w:val="es-CO"/>
        </w:rPr>
        <w:t>vel de detalle requerido para demostrar la correcta aplicación de los criterios de comparabilidad de que trata el artículo 260-4 del Estatuto Tributario.</w:t>
      </w:r>
    </w:p>
    <w:p w14:paraId="5796373C" w14:textId="77777777" w:rsidR="00B2442D" w:rsidRDefault="00B2442D">
      <w:pPr>
        <w:jc w:val="both"/>
        <w:rPr>
          <w:rFonts w:ascii="Arial" w:hAnsi="Arial" w:cs="Arial"/>
          <w:lang w:val="es-CO"/>
        </w:rPr>
      </w:pPr>
    </w:p>
    <w:p w14:paraId="38D1DDCD" w14:textId="77777777" w:rsidR="00B2442D" w:rsidRDefault="008A645F">
      <w:pPr>
        <w:jc w:val="both"/>
        <w:rPr>
          <w:rFonts w:ascii="Arial" w:hAnsi="Arial" w:cs="Arial"/>
          <w:lang w:val="es-CO"/>
        </w:rPr>
      </w:pPr>
      <w:r>
        <w:rPr>
          <w:rFonts w:ascii="Arial" w:hAnsi="Arial" w:cs="Arial"/>
          <w:lang w:val="es-CO"/>
        </w:rPr>
        <w:t>La determinación bajo el Principio de Plena Competencia de los ingresos, costos, deducciones, activos</w:t>
      </w:r>
      <w:r>
        <w:rPr>
          <w:rFonts w:ascii="Arial" w:hAnsi="Arial" w:cs="Arial"/>
          <w:lang w:val="es-CO"/>
        </w:rPr>
        <w:t xml:space="preserve"> y pasivos por las operaciones entre vinculados se debe realizar por tipo de operación. En los casos en los que las operaciones separadas se encuentren estrechamente ligadas entre sí o sean continuación una de otra, no pudiendo valorarse separadamente, dic</w:t>
      </w:r>
      <w:r>
        <w:rPr>
          <w:rFonts w:ascii="Arial" w:hAnsi="Arial" w:cs="Arial"/>
          <w:lang w:val="es-CO"/>
        </w:rPr>
        <w:t>has operaciones deberán ser evaluadas conjuntamente usando el método más apropiado.</w:t>
      </w:r>
    </w:p>
    <w:p w14:paraId="6636D59D" w14:textId="77777777" w:rsidR="00B2442D" w:rsidRDefault="00B2442D">
      <w:pPr>
        <w:jc w:val="both"/>
        <w:rPr>
          <w:rFonts w:ascii="Arial" w:hAnsi="Arial" w:cs="Arial"/>
          <w:lang w:val="es-CO"/>
        </w:rPr>
      </w:pPr>
    </w:p>
    <w:p w14:paraId="60ADE790" w14:textId="77777777" w:rsidR="00B2442D" w:rsidRDefault="008A645F">
      <w:pPr>
        <w:jc w:val="both"/>
        <w:rPr>
          <w:rFonts w:ascii="Arial" w:hAnsi="Arial" w:cs="Arial"/>
          <w:lang w:val="es-CO"/>
        </w:rPr>
      </w:pPr>
      <w:r>
        <w:rPr>
          <w:rFonts w:ascii="Arial" w:hAnsi="Arial" w:cs="Arial"/>
          <w:lang w:val="es-CO"/>
        </w:rPr>
        <w:t xml:space="preserve">En aquellos casos en los que se hayan contratado varios tipos de operación como un todo, cada uno de ellos debe ser evaluado separadamente, para esta forma determinar que </w:t>
      </w:r>
      <w:r>
        <w:rPr>
          <w:rFonts w:ascii="Arial" w:hAnsi="Arial" w:cs="Arial"/>
          <w:lang w:val="es-CO"/>
        </w:rPr>
        <w:t>cumplen con las condiciones que se hubiesen observado en operaciones comparables con o entre partes independientes, para cada tipo de operación, con el fin de considerar si las condiciones que se hubiesen observado en operaciones comparables con o entre pa</w:t>
      </w:r>
      <w:r>
        <w:rPr>
          <w:rFonts w:ascii="Arial" w:hAnsi="Arial" w:cs="Arial"/>
          <w:lang w:val="es-CO"/>
        </w:rPr>
        <w:t>rtes independientes de la operación como un todo, serían las que hubiesen pactado partes independientes.</w:t>
      </w:r>
    </w:p>
    <w:p w14:paraId="0A995F00" w14:textId="77777777" w:rsidR="00B2442D" w:rsidRDefault="00B2442D">
      <w:pPr>
        <w:jc w:val="both"/>
        <w:rPr>
          <w:rFonts w:ascii="Arial" w:hAnsi="Arial" w:cs="Arial"/>
          <w:lang w:val="es-CO"/>
        </w:rPr>
      </w:pPr>
    </w:p>
    <w:p w14:paraId="38DE34C1" w14:textId="77777777" w:rsidR="00B2442D" w:rsidRDefault="008A645F">
      <w:pPr>
        <w:jc w:val="both"/>
        <w:rPr>
          <w:rFonts w:ascii="Arial" w:hAnsi="Arial" w:cs="Arial"/>
          <w:lang w:val="es-CO"/>
        </w:rPr>
      </w:pPr>
      <w:r>
        <w:rPr>
          <w:rFonts w:ascii="Arial" w:hAnsi="Arial" w:cs="Arial"/>
          <w:lang w:val="es-CO"/>
        </w:rPr>
        <w:t>Deberán analizarse por separado aquellos tipos de operación que aunque se denominen de manera idéntica o similar, presenten diferencias significativas</w:t>
      </w:r>
      <w:r>
        <w:rPr>
          <w:rFonts w:ascii="Arial" w:hAnsi="Arial" w:cs="Arial"/>
          <w:lang w:val="es-CO"/>
        </w:rPr>
        <w:t xml:space="preserve"> en relación con las funciones efectuadas, los activos utilizados y los riesgos asumidos, aun cuando se hubieren celebrado con el mismo vinculado.</w:t>
      </w:r>
    </w:p>
    <w:p w14:paraId="3F9A9AF8" w14:textId="77777777" w:rsidR="00B2442D" w:rsidRDefault="00B2442D">
      <w:pPr>
        <w:jc w:val="both"/>
        <w:rPr>
          <w:rFonts w:ascii="Arial" w:hAnsi="Arial" w:cs="Arial"/>
          <w:lang w:val="es-CO"/>
        </w:rPr>
      </w:pPr>
    </w:p>
    <w:p w14:paraId="2937E12E" w14:textId="77777777" w:rsidR="00B2442D" w:rsidRDefault="008A645F">
      <w:pPr>
        <w:jc w:val="both"/>
        <w:rPr>
          <w:rFonts w:ascii="Arial" w:hAnsi="Arial" w:cs="Arial"/>
          <w:lang w:val="es-CO"/>
        </w:rPr>
      </w:pPr>
      <w:r>
        <w:rPr>
          <w:rFonts w:ascii="Arial" w:hAnsi="Arial" w:cs="Arial"/>
          <w:lang w:val="es-CO"/>
        </w:rPr>
        <w:t xml:space="preserve">El contenido de la documentación comprobatoria, en cuanto sea compatible con el tipo de operación objeto de </w:t>
      </w:r>
      <w:r>
        <w:rPr>
          <w:rFonts w:ascii="Arial" w:hAnsi="Arial" w:cs="Arial"/>
          <w:lang w:val="es-CO"/>
        </w:rPr>
        <w:t>análisis y con el método utilizado para su evaluación, será el siguiente:</w:t>
      </w:r>
    </w:p>
    <w:p w14:paraId="5FC66751" w14:textId="77777777" w:rsidR="00B2442D" w:rsidRDefault="00B2442D">
      <w:pPr>
        <w:jc w:val="both"/>
        <w:rPr>
          <w:rFonts w:ascii="Arial" w:hAnsi="Arial" w:cs="Arial"/>
          <w:lang w:val="es-CO"/>
        </w:rPr>
      </w:pPr>
    </w:p>
    <w:p w14:paraId="597684D0" w14:textId="77777777" w:rsidR="00B2442D" w:rsidRDefault="008A645F">
      <w:pPr>
        <w:jc w:val="both"/>
        <w:rPr>
          <w:rFonts w:ascii="Arial" w:hAnsi="Arial" w:cs="Arial"/>
          <w:lang w:val="es-CO"/>
        </w:rPr>
      </w:pPr>
      <w:r>
        <w:rPr>
          <w:rFonts w:ascii="Arial" w:hAnsi="Arial" w:cs="Arial"/>
          <w:lang w:val="es-CO"/>
        </w:rPr>
        <w:t>1. Resumen ejecutivo</w:t>
      </w:r>
    </w:p>
    <w:p w14:paraId="32D1F91A" w14:textId="77777777" w:rsidR="00B2442D" w:rsidRDefault="008A645F">
      <w:pPr>
        <w:jc w:val="both"/>
        <w:rPr>
          <w:rFonts w:ascii="Arial" w:hAnsi="Arial" w:cs="Arial"/>
          <w:lang w:val="es-CO"/>
        </w:rPr>
      </w:pPr>
      <w:r>
        <w:rPr>
          <w:rFonts w:ascii="Arial" w:hAnsi="Arial" w:cs="Arial"/>
          <w:lang w:val="es-CO"/>
        </w:rPr>
        <w:t>2. Análisis funcional</w:t>
      </w:r>
    </w:p>
    <w:p w14:paraId="3C4E369C" w14:textId="77777777" w:rsidR="00B2442D" w:rsidRDefault="008A645F">
      <w:pPr>
        <w:jc w:val="both"/>
        <w:rPr>
          <w:rFonts w:ascii="Arial" w:hAnsi="Arial" w:cs="Arial"/>
          <w:lang w:val="es-CO"/>
        </w:rPr>
      </w:pPr>
      <w:r>
        <w:rPr>
          <w:rFonts w:ascii="Arial" w:hAnsi="Arial" w:cs="Arial"/>
          <w:lang w:val="es-CO"/>
        </w:rPr>
        <w:t>3. Análisis de mercado</w:t>
      </w:r>
    </w:p>
    <w:p w14:paraId="1F91C22F" w14:textId="77777777" w:rsidR="00B2442D" w:rsidRDefault="008A645F">
      <w:pPr>
        <w:jc w:val="both"/>
        <w:rPr>
          <w:rFonts w:ascii="Arial" w:hAnsi="Arial" w:cs="Arial"/>
          <w:lang w:val="es-CO"/>
        </w:rPr>
      </w:pPr>
      <w:r>
        <w:rPr>
          <w:rFonts w:ascii="Arial" w:hAnsi="Arial" w:cs="Arial"/>
          <w:lang w:val="es-CO"/>
        </w:rPr>
        <w:t xml:space="preserve">4. Análisis económico  </w:t>
      </w:r>
    </w:p>
    <w:p w14:paraId="35D351CD" w14:textId="77777777" w:rsidR="00B2442D" w:rsidRDefault="00B2442D">
      <w:pPr>
        <w:jc w:val="both"/>
        <w:rPr>
          <w:rFonts w:ascii="Arial" w:hAnsi="Arial" w:cs="Arial"/>
          <w:lang w:val="es-CO"/>
        </w:rPr>
      </w:pPr>
    </w:p>
    <w:p w14:paraId="06F5FF51" w14:textId="77777777" w:rsidR="00B2442D" w:rsidRDefault="008A645F">
      <w:pPr>
        <w:jc w:val="both"/>
        <w:rPr>
          <w:rFonts w:ascii="Arial" w:hAnsi="Arial" w:cs="Arial"/>
          <w:b/>
          <w:lang w:val="es-CO"/>
        </w:rPr>
      </w:pPr>
      <w:r>
        <w:rPr>
          <w:rFonts w:ascii="Arial" w:hAnsi="Arial" w:cs="Arial"/>
          <w:b/>
          <w:lang w:val="es-CO"/>
        </w:rPr>
        <w:t>1. Resumen ejecutivo</w:t>
      </w:r>
    </w:p>
    <w:p w14:paraId="265071BC" w14:textId="77777777" w:rsidR="00B2442D" w:rsidRDefault="00B2442D">
      <w:pPr>
        <w:jc w:val="both"/>
        <w:rPr>
          <w:rFonts w:ascii="Arial" w:hAnsi="Arial" w:cs="Arial"/>
          <w:lang w:val="es-CO"/>
        </w:rPr>
      </w:pPr>
    </w:p>
    <w:p w14:paraId="772812AF" w14:textId="77777777" w:rsidR="00B2442D" w:rsidRDefault="008A645F">
      <w:pPr>
        <w:jc w:val="both"/>
        <w:rPr>
          <w:rFonts w:ascii="Arial" w:hAnsi="Arial" w:cs="Arial"/>
          <w:lang w:val="es-CO"/>
        </w:rPr>
      </w:pPr>
      <w:r>
        <w:rPr>
          <w:rFonts w:ascii="Arial" w:hAnsi="Arial" w:cs="Arial"/>
          <w:lang w:val="es-CO"/>
        </w:rPr>
        <w:t xml:space="preserve">Este acápite deberá describir el alcance y objetivo del </w:t>
      </w:r>
      <w:r>
        <w:rPr>
          <w:rFonts w:ascii="Arial" w:hAnsi="Arial" w:cs="Arial"/>
          <w:lang w:val="es-CO"/>
        </w:rPr>
        <w:t>estudio, el contenido del mismo y las conclusiones a las que se llegó.</w:t>
      </w:r>
    </w:p>
    <w:p w14:paraId="5761B829" w14:textId="77777777" w:rsidR="00B2442D" w:rsidRDefault="00B2442D">
      <w:pPr>
        <w:jc w:val="both"/>
        <w:rPr>
          <w:rFonts w:ascii="Arial" w:hAnsi="Arial" w:cs="Arial"/>
          <w:b/>
          <w:lang w:val="es-CO"/>
        </w:rPr>
      </w:pPr>
    </w:p>
    <w:p w14:paraId="5AE2EF02" w14:textId="77777777" w:rsidR="00B2442D" w:rsidRDefault="008A645F">
      <w:pPr>
        <w:jc w:val="both"/>
        <w:rPr>
          <w:rFonts w:ascii="Arial" w:hAnsi="Arial" w:cs="Arial"/>
          <w:b/>
          <w:lang w:val="es-CO"/>
        </w:rPr>
      </w:pPr>
      <w:r>
        <w:rPr>
          <w:rFonts w:ascii="Arial" w:hAnsi="Arial" w:cs="Arial"/>
          <w:b/>
          <w:lang w:val="es-CO"/>
        </w:rPr>
        <w:t>2. Análisis funcional</w:t>
      </w:r>
    </w:p>
    <w:p w14:paraId="4EF81211" w14:textId="77777777" w:rsidR="00B2442D" w:rsidRDefault="00B2442D">
      <w:pPr>
        <w:jc w:val="both"/>
        <w:rPr>
          <w:rFonts w:ascii="Arial" w:hAnsi="Arial" w:cs="Arial"/>
          <w:b/>
          <w:lang w:val="es-CO"/>
        </w:rPr>
      </w:pPr>
    </w:p>
    <w:p w14:paraId="1DD9F70F" w14:textId="77777777" w:rsidR="00B2442D" w:rsidRDefault="008A645F">
      <w:pPr>
        <w:jc w:val="both"/>
        <w:rPr>
          <w:rFonts w:ascii="Arial" w:hAnsi="Arial" w:cs="Arial"/>
          <w:lang w:val="es-CO"/>
        </w:rPr>
      </w:pPr>
      <w:r>
        <w:rPr>
          <w:rFonts w:ascii="Arial" w:hAnsi="Arial" w:cs="Arial"/>
          <w:lang w:val="es-CO"/>
        </w:rPr>
        <w:t>Solo en la medida en que sea relevante para evaluar las condiciones de plena competencia de las operaciones realizadas por el contribuyente y que por ello result</w:t>
      </w:r>
      <w:r>
        <w:rPr>
          <w:rFonts w:ascii="Arial" w:hAnsi="Arial" w:cs="Arial"/>
          <w:lang w:val="es-CO"/>
        </w:rPr>
        <w:t>en conducentes a los fines de precios de transferencia, en el análisis funcional se deberán identificar las actividades u operaciones con incidencia económica, las funciones realizadas, los activos utilizados y los riesgos asumidos. Para ello, dicho anális</w:t>
      </w:r>
      <w:r>
        <w:rPr>
          <w:rFonts w:ascii="Arial" w:hAnsi="Arial" w:cs="Arial"/>
          <w:lang w:val="es-CO"/>
        </w:rPr>
        <w:t>is deberá contener:</w:t>
      </w:r>
    </w:p>
    <w:p w14:paraId="4DE7CEF8" w14:textId="77777777" w:rsidR="00B2442D" w:rsidRDefault="00B2442D">
      <w:pPr>
        <w:jc w:val="both"/>
        <w:rPr>
          <w:rFonts w:ascii="Arial" w:hAnsi="Arial" w:cs="Arial"/>
          <w:lang w:val="es-CO"/>
        </w:rPr>
      </w:pPr>
    </w:p>
    <w:p w14:paraId="50FBD5BC"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r>
      <w:r>
        <w:rPr>
          <w:rFonts w:ascii="Arial" w:hAnsi="Arial" w:cs="Arial"/>
          <w:lang w:val="es-CO"/>
        </w:rPr>
        <w:t xml:space="preserve"> Descripción del objeto social y de la actividad o actividades que específicamente desarrolla el contribuyente. Para ello se debe incluir una descripción general del negocio, considerando aspectos como: actividad o tipo de negocio, clases de productos o se</w:t>
      </w:r>
      <w:r>
        <w:rPr>
          <w:rFonts w:ascii="Arial" w:hAnsi="Arial" w:cs="Arial"/>
          <w:lang w:val="es-CO"/>
        </w:rPr>
        <w:t>rvicios comercializados, clases de proveedores y clientes y determinación o políticas comerciales que permitan establecer condiciones de negociación con diferentes tipos de clientes en relación con precios, volumen y plazos, entre otros;</w:t>
      </w:r>
    </w:p>
    <w:p w14:paraId="68437EBC" w14:textId="77777777" w:rsidR="00B2442D" w:rsidRDefault="00B2442D">
      <w:pPr>
        <w:ind w:left="284" w:hanging="284"/>
        <w:jc w:val="both"/>
        <w:rPr>
          <w:rFonts w:ascii="Arial" w:hAnsi="Arial" w:cs="Arial"/>
          <w:lang w:val="es-CO"/>
        </w:rPr>
      </w:pPr>
    </w:p>
    <w:p w14:paraId="0061F2A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Información g</w:t>
      </w:r>
      <w:r>
        <w:rPr>
          <w:rFonts w:ascii="Arial" w:hAnsi="Arial" w:cs="Arial"/>
          <w:lang w:val="es-CO"/>
        </w:rPr>
        <w:t>eneral sobre las estrategias comerciales: Innovación y desarrollo de nuevos productos, penetración, ampliación o mantenimiento del mercado, volumen de operaciones, políticas de créditos, formas de pago, costo de oportunidad, procesos de calidad, certificac</w:t>
      </w:r>
      <w:r>
        <w:rPr>
          <w:rFonts w:ascii="Arial" w:hAnsi="Arial" w:cs="Arial"/>
          <w:lang w:val="es-CO"/>
        </w:rPr>
        <w:t>iones nacionales e internacionales de productos o servicios, contratos de exclusividad y de garantías, entre otras, en la medida en que se encuentren relacionadas o hayan afectado los tipos de operación bajo análisis;</w:t>
      </w:r>
    </w:p>
    <w:p w14:paraId="48A6A9EA" w14:textId="77777777" w:rsidR="00B2442D" w:rsidRDefault="00B2442D">
      <w:pPr>
        <w:ind w:left="284" w:hanging="284"/>
        <w:jc w:val="both"/>
        <w:rPr>
          <w:rFonts w:ascii="Arial" w:hAnsi="Arial" w:cs="Arial"/>
          <w:lang w:val="es-CO"/>
        </w:rPr>
      </w:pPr>
    </w:p>
    <w:p w14:paraId="3CD14728"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Partes intervinientes, objeto, té</w:t>
      </w:r>
      <w:r>
        <w:rPr>
          <w:rFonts w:ascii="Arial" w:hAnsi="Arial" w:cs="Arial"/>
          <w:lang w:val="es-CO"/>
        </w:rPr>
        <w:t>rmino de duración y valor de los contratos, acuerdos o convenios celebrados entre el contribuyente y los vinculados del exterior, vinculados ubicados en zonas francas, o personas, sociedades, entidades o empresas ubicadas, residentes o domiciliadas en para</w:t>
      </w:r>
      <w:r>
        <w:rPr>
          <w:rFonts w:ascii="Arial" w:hAnsi="Arial" w:cs="Arial"/>
          <w:lang w:val="es-CO"/>
        </w:rPr>
        <w:t>ísos fiscales;</w:t>
      </w:r>
    </w:p>
    <w:p w14:paraId="43A3A6E4" w14:textId="77777777" w:rsidR="00B2442D" w:rsidRDefault="00B2442D">
      <w:pPr>
        <w:ind w:left="284" w:hanging="284"/>
        <w:jc w:val="both"/>
        <w:rPr>
          <w:rFonts w:ascii="Arial" w:hAnsi="Arial" w:cs="Arial"/>
          <w:lang w:val="es-CO"/>
        </w:rPr>
      </w:pPr>
    </w:p>
    <w:p w14:paraId="78465F1A"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Breve descripción de las funciones llevadas a cabo por las partes, precisando la relevancia económica de esas funciones en términos de su frecuencia, naturaleza, remuneración y medida de su uso, para las respectivas partes interviniente</w:t>
      </w:r>
      <w:r>
        <w:rPr>
          <w:rFonts w:ascii="Arial" w:hAnsi="Arial" w:cs="Arial"/>
          <w:lang w:val="es-CO"/>
        </w:rPr>
        <w:t>s en la transacción. La descripción de que trata este literal deberá incluir todo el detalle necesario para la parte analizada.</w:t>
      </w:r>
    </w:p>
    <w:p w14:paraId="3EBB6653" w14:textId="77777777" w:rsidR="00B2442D" w:rsidRDefault="00B2442D">
      <w:pPr>
        <w:jc w:val="both"/>
        <w:rPr>
          <w:rFonts w:ascii="Arial" w:hAnsi="Arial" w:cs="Arial"/>
          <w:lang w:val="es-CO"/>
        </w:rPr>
      </w:pPr>
    </w:p>
    <w:p w14:paraId="36515DFD" w14:textId="77777777" w:rsidR="00B2442D" w:rsidRDefault="008A645F">
      <w:pPr>
        <w:jc w:val="both"/>
        <w:rPr>
          <w:rFonts w:ascii="Arial" w:hAnsi="Arial" w:cs="Arial"/>
          <w:lang w:val="es-CO"/>
        </w:rPr>
      </w:pPr>
      <w:r>
        <w:rPr>
          <w:rFonts w:ascii="Arial" w:hAnsi="Arial" w:cs="Arial"/>
          <w:lang w:val="es-CO"/>
        </w:rPr>
        <w:t>Las funciones pueden incluir entre otras: diseño, fabricación, ensamblaje, investigación y desarrollo, servicios, compras, come</w:t>
      </w:r>
      <w:r>
        <w:rPr>
          <w:rFonts w:ascii="Arial" w:hAnsi="Arial" w:cs="Arial"/>
          <w:lang w:val="es-CO"/>
        </w:rPr>
        <w:t>rcialización, distribución, ventas, mercadeo, publicidad, transporte, financiamiento, gastos de dirección y gestión, control de calidad, operaciones financieras.</w:t>
      </w:r>
    </w:p>
    <w:p w14:paraId="6A8F7299" w14:textId="77777777" w:rsidR="00B2442D" w:rsidRDefault="00B2442D">
      <w:pPr>
        <w:jc w:val="both"/>
        <w:rPr>
          <w:rFonts w:ascii="Arial" w:hAnsi="Arial" w:cs="Arial"/>
          <w:lang w:val="es-CO"/>
        </w:rPr>
      </w:pPr>
    </w:p>
    <w:p w14:paraId="1C2C408F" w14:textId="77777777" w:rsidR="00B2442D" w:rsidRDefault="008A645F">
      <w:pPr>
        <w:jc w:val="both"/>
        <w:rPr>
          <w:rFonts w:ascii="Arial" w:hAnsi="Arial" w:cs="Arial"/>
          <w:lang w:val="es-CO"/>
        </w:rPr>
      </w:pPr>
      <w:r>
        <w:rPr>
          <w:rFonts w:ascii="Arial" w:hAnsi="Arial" w:cs="Arial"/>
          <w:lang w:val="es-CO"/>
        </w:rPr>
        <w:t>En el caso de operaciones relacionadas con intangibles, deberá incluirse una breve descripció</w:t>
      </w:r>
      <w:r>
        <w:rPr>
          <w:rFonts w:ascii="Arial" w:hAnsi="Arial" w:cs="Arial"/>
          <w:lang w:val="es-CO"/>
        </w:rPr>
        <w:t>n de las principales cláusulas contractuales en donde se indiquen objeto, derechos y obligaciones, duración, zona geográfica, exclusividad, entre otros, así como el país o lugar en el cual el vinculado con quien se realizan operaciones posee sus intangible</w:t>
      </w:r>
      <w:r>
        <w:rPr>
          <w:rFonts w:ascii="Arial" w:hAnsi="Arial" w:cs="Arial"/>
          <w:lang w:val="es-CO"/>
        </w:rPr>
        <w:t>s. Además, deberá incluirse una breve descripción de la conducta o las prácticas llevadas a cabo por las partes en relación con las operaciones relacionadas con dichos intangibles.</w:t>
      </w:r>
    </w:p>
    <w:p w14:paraId="68B573C8" w14:textId="77777777" w:rsidR="00B2442D" w:rsidRDefault="00B2442D">
      <w:pPr>
        <w:jc w:val="both"/>
        <w:rPr>
          <w:rFonts w:ascii="Arial" w:hAnsi="Arial" w:cs="Arial"/>
          <w:lang w:val="es-CO"/>
        </w:rPr>
      </w:pPr>
    </w:p>
    <w:p w14:paraId="1427A496" w14:textId="77777777" w:rsidR="00B2442D" w:rsidRDefault="008A645F">
      <w:pPr>
        <w:jc w:val="both"/>
        <w:rPr>
          <w:rFonts w:ascii="Arial" w:hAnsi="Arial" w:cs="Arial"/>
          <w:lang w:val="es-CO"/>
        </w:rPr>
      </w:pPr>
      <w:r>
        <w:rPr>
          <w:rFonts w:ascii="Arial" w:hAnsi="Arial" w:cs="Arial"/>
          <w:lang w:val="es-CO"/>
        </w:rPr>
        <w:t>Así mismo, deberá describirse la estrategia del grupo al cual se pertenece</w:t>
      </w:r>
      <w:r>
        <w:rPr>
          <w:rFonts w:ascii="Arial" w:hAnsi="Arial" w:cs="Arial"/>
          <w:lang w:val="es-CO"/>
        </w:rPr>
        <w:t xml:space="preserve"> o del vinculado del exterior, vinculados ubicados en zonas francas, o personas, sociedades, entidades o empresas ubicadas, residentes o domiciliadas en paraísos fiscales con el(los) cual(es) se realizaron operaciones, en relación al desarrollo, mejora, ma</w:t>
      </w:r>
      <w:r>
        <w:rPr>
          <w:rFonts w:ascii="Arial" w:hAnsi="Arial" w:cs="Arial"/>
          <w:lang w:val="es-CO"/>
        </w:rPr>
        <w:t>ntenimiento, protección y uso de los intangibles.</w:t>
      </w:r>
    </w:p>
    <w:p w14:paraId="4FE1DBAB" w14:textId="77777777" w:rsidR="00B2442D" w:rsidRDefault="00B2442D">
      <w:pPr>
        <w:jc w:val="both"/>
        <w:rPr>
          <w:rFonts w:ascii="Arial" w:hAnsi="Arial" w:cs="Arial"/>
          <w:lang w:val="es-CO"/>
        </w:rPr>
      </w:pPr>
    </w:p>
    <w:p w14:paraId="26B50C69" w14:textId="77777777" w:rsidR="00B2442D" w:rsidRDefault="008A645F">
      <w:pPr>
        <w:jc w:val="both"/>
        <w:rPr>
          <w:rFonts w:ascii="Arial" w:hAnsi="Arial" w:cs="Arial"/>
          <w:lang w:val="es-CO"/>
        </w:rPr>
      </w:pPr>
      <w:r>
        <w:rPr>
          <w:rFonts w:ascii="Arial" w:hAnsi="Arial" w:cs="Arial"/>
          <w:lang w:val="es-CO"/>
        </w:rPr>
        <w:t>Si durante el año gravable bajo estudio se llevaron a cabo transferencias de intangibles en las cuales haya participado el contribuyente colombiano, se deberán indicar las compensaciones efectuadas directa</w:t>
      </w:r>
      <w:r>
        <w:rPr>
          <w:rFonts w:ascii="Arial" w:hAnsi="Arial" w:cs="Arial"/>
          <w:lang w:val="es-CO"/>
        </w:rPr>
        <w:t xml:space="preserve"> o indirectamente por parte de las partes intervinientes.</w:t>
      </w:r>
    </w:p>
    <w:p w14:paraId="0AA9D118" w14:textId="77777777" w:rsidR="00B2442D" w:rsidRDefault="00B2442D">
      <w:pPr>
        <w:jc w:val="both"/>
        <w:rPr>
          <w:rFonts w:ascii="Arial" w:hAnsi="Arial" w:cs="Arial"/>
          <w:lang w:val="es-CO"/>
        </w:rPr>
      </w:pPr>
    </w:p>
    <w:p w14:paraId="2FC73AFE" w14:textId="77777777" w:rsidR="00B2442D" w:rsidRDefault="008A645F">
      <w:pPr>
        <w:jc w:val="both"/>
        <w:rPr>
          <w:rFonts w:ascii="Arial" w:hAnsi="Arial" w:cs="Arial"/>
          <w:lang w:val="es-CO"/>
        </w:rPr>
      </w:pPr>
      <w:r>
        <w:rPr>
          <w:rFonts w:ascii="Arial" w:hAnsi="Arial" w:cs="Arial"/>
          <w:lang w:val="es-CO"/>
        </w:rPr>
        <w:t>La descripción de que trata este literal deberá incluir todo el detalle necesario para la parte analizada;</w:t>
      </w:r>
    </w:p>
    <w:p w14:paraId="092F01BC" w14:textId="77777777" w:rsidR="00B2442D" w:rsidRDefault="00B2442D">
      <w:pPr>
        <w:jc w:val="both"/>
        <w:rPr>
          <w:rFonts w:ascii="Arial" w:hAnsi="Arial" w:cs="Arial"/>
          <w:lang w:val="es-CO"/>
        </w:rPr>
      </w:pPr>
    </w:p>
    <w:p w14:paraId="6B624C81"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Breve descripción del tipo de activos utilizados en las operaciones objeto de estudio</w:t>
      </w:r>
      <w:r>
        <w:rPr>
          <w:rFonts w:ascii="Arial" w:hAnsi="Arial" w:cs="Arial"/>
          <w:lang w:val="es-CO"/>
        </w:rPr>
        <w:t>, tangibles o intangibles, como: instalaciones y equipos, activos financieros, intangibles valiosos, otros intangibles, incluyendo su ubicación y derechos sobre los mismos. Adicionalmente, en el caso de intangibles, deberá indicarse la protección y duració</w:t>
      </w:r>
      <w:r>
        <w:rPr>
          <w:rFonts w:ascii="Arial" w:hAnsi="Arial" w:cs="Arial"/>
          <w:lang w:val="es-CO"/>
        </w:rPr>
        <w:t>n de los derechos.</w:t>
      </w:r>
    </w:p>
    <w:p w14:paraId="351DEE72" w14:textId="77777777" w:rsidR="00B2442D" w:rsidRDefault="00B2442D">
      <w:pPr>
        <w:jc w:val="both"/>
        <w:rPr>
          <w:rFonts w:ascii="Arial" w:hAnsi="Arial" w:cs="Arial"/>
          <w:lang w:val="es-CO"/>
        </w:rPr>
      </w:pPr>
    </w:p>
    <w:p w14:paraId="58514F5F" w14:textId="77777777" w:rsidR="00B2442D" w:rsidRDefault="008A645F">
      <w:pPr>
        <w:ind w:left="284"/>
        <w:jc w:val="both"/>
        <w:rPr>
          <w:rFonts w:ascii="Arial" w:hAnsi="Arial" w:cs="Arial"/>
          <w:lang w:val="es-CO"/>
        </w:rPr>
      </w:pPr>
      <w:r>
        <w:rPr>
          <w:rFonts w:ascii="Arial" w:hAnsi="Arial" w:cs="Arial"/>
          <w:lang w:val="es-CO"/>
        </w:rPr>
        <w:t>La descripción de que trata este literal deberá incluir todo el detalle necesario para la parte analizada;</w:t>
      </w:r>
    </w:p>
    <w:p w14:paraId="425EE60C" w14:textId="77777777" w:rsidR="00B2442D" w:rsidRDefault="008A645F">
      <w:pPr>
        <w:jc w:val="both"/>
        <w:rPr>
          <w:rFonts w:ascii="Arial" w:hAnsi="Arial" w:cs="Arial"/>
          <w:lang w:val="es-CO"/>
        </w:rPr>
      </w:pPr>
      <w:r>
        <w:rPr>
          <w:rFonts w:ascii="Arial" w:hAnsi="Arial" w:cs="Arial"/>
          <w:lang w:val="es-CO"/>
        </w:rPr>
        <w:t xml:space="preserve"> </w:t>
      </w:r>
    </w:p>
    <w:p w14:paraId="4DAC41D6"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 xml:space="preserve">Breve descripción de los riesgos inherentes al tipo de operación, asumidos por cada parte interviniente en la </w:t>
      </w:r>
      <w:r>
        <w:rPr>
          <w:rFonts w:ascii="Arial" w:hAnsi="Arial" w:cs="Arial"/>
          <w:lang w:val="es-CO"/>
        </w:rPr>
        <w:t>operación bajo estudio, o distribuidos entre ellos, entre otros identificando los riesgos comerciales, de inventarios, financieros y de pérdidas asociadas a la inversión en propiedad, planta y equipo y a su uso; los derivados del éxito o fracaso de las inv</w:t>
      </w:r>
      <w:r>
        <w:rPr>
          <w:rFonts w:ascii="Arial" w:hAnsi="Arial" w:cs="Arial"/>
          <w:lang w:val="es-CO"/>
        </w:rPr>
        <w:t>ersiones en investigación y desarrollo; los asociados a la inestabilidad de las tasas de cambio e interés y los riesgos crediticios. Este análisis debe presentarse para todos los riesgos sean o no susceptibles de valoración y/o cuantificación contable.</w:t>
      </w:r>
    </w:p>
    <w:p w14:paraId="646682A9" w14:textId="77777777" w:rsidR="00B2442D" w:rsidRDefault="00B2442D">
      <w:pPr>
        <w:jc w:val="both"/>
        <w:rPr>
          <w:rFonts w:ascii="Arial" w:hAnsi="Arial" w:cs="Arial"/>
          <w:lang w:val="es-CO"/>
        </w:rPr>
      </w:pPr>
    </w:p>
    <w:p w14:paraId="4BAF7804" w14:textId="77777777" w:rsidR="00B2442D" w:rsidRDefault="008A645F">
      <w:pPr>
        <w:ind w:left="284"/>
        <w:jc w:val="both"/>
        <w:rPr>
          <w:rFonts w:ascii="Arial" w:hAnsi="Arial" w:cs="Arial"/>
          <w:lang w:val="es-CO"/>
        </w:rPr>
      </w:pPr>
      <w:r>
        <w:rPr>
          <w:rFonts w:ascii="Arial" w:hAnsi="Arial" w:cs="Arial"/>
          <w:lang w:val="es-CO"/>
        </w:rPr>
        <w:t>La</w:t>
      </w:r>
      <w:r>
        <w:rPr>
          <w:rFonts w:ascii="Arial" w:hAnsi="Arial" w:cs="Arial"/>
          <w:lang w:val="es-CO"/>
        </w:rPr>
        <w:t xml:space="preserve"> descripción de que trata este literal deberá incluir todo el detalle necesario para la parte analizada;</w:t>
      </w:r>
    </w:p>
    <w:p w14:paraId="259C1D80" w14:textId="77777777" w:rsidR="00B2442D" w:rsidRDefault="00B2442D">
      <w:pPr>
        <w:jc w:val="both"/>
        <w:rPr>
          <w:rFonts w:ascii="Arial" w:hAnsi="Arial" w:cs="Arial"/>
          <w:lang w:val="es-CO"/>
        </w:rPr>
      </w:pPr>
    </w:p>
    <w:p w14:paraId="71248E7D"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 Identificar y describir, en el caso de existir, las estrategias relacionadas con la cobertura de riesgos, siempre y cuando afecten las operaciones</w:t>
      </w:r>
      <w:r>
        <w:rPr>
          <w:rFonts w:ascii="Arial" w:hAnsi="Arial" w:cs="Arial"/>
          <w:lang w:val="es-CO"/>
        </w:rPr>
        <w:t xml:space="preserve"> bajo estudio, bien sea por la partes intervinientes o por cualquier miembro, del grupo del cual se es parte;</w:t>
      </w:r>
    </w:p>
    <w:p w14:paraId="227B4D32" w14:textId="77777777" w:rsidR="00B2442D" w:rsidRDefault="00B2442D">
      <w:pPr>
        <w:ind w:left="284" w:hanging="284"/>
        <w:jc w:val="both"/>
        <w:rPr>
          <w:rFonts w:ascii="Arial" w:hAnsi="Arial" w:cs="Arial"/>
          <w:lang w:val="es-CO"/>
        </w:rPr>
      </w:pPr>
    </w:p>
    <w:p w14:paraId="6F4D2D56" w14:textId="77777777" w:rsidR="00B2442D" w:rsidRDefault="008A645F">
      <w:pPr>
        <w:ind w:left="284" w:hanging="284"/>
        <w:jc w:val="both"/>
        <w:rPr>
          <w:rFonts w:ascii="Arial" w:hAnsi="Arial" w:cs="Arial"/>
          <w:lang w:val="es-CO"/>
        </w:rPr>
      </w:pPr>
      <w:r>
        <w:rPr>
          <w:rFonts w:ascii="Arial" w:hAnsi="Arial" w:cs="Arial"/>
          <w:lang w:val="es-CO"/>
        </w:rPr>
        <w:t>h) En el caso de las retribuciones por compensación, la información que describa los pormenores del tipo de operación y de la evaluación de los b</w:t>
      </w:r>
      <w:r>
        <w:rPr>
          <w:rFonts w:ascii="Arial" w:hAnsi="Arial" w:cs="Arial"/>
          <w:lang w:val="es-CO"/>
        </w:rPr>
        <w:t>eneficios, contraprestación o costos que cuantifiquen la compensación.</w:t>
      </w:r>
    </w:p>
    <w:p w14:paraId="7ED12297" w14:textId="77777777" w:rsidR="00B2442D" w:rsidRDefault="00B2442D">
      <w:pPr>
        <w:ind w:left="284" w:hanging="284"/>
        <w:jc w:val="both"/>
        <w:rPr>
          <w:rFonts w:ascii="Arial" w:hAnsi="Arial" w:cs="Arial"/>
          <w:lang w:val="es-CO"/>
        </w:rPr>
      </w:pPr>
    </w:p>
    <w:p w14:paraId="3828FFDB" w14:textId="77777777" w:rsidR="00B2442D" w:rsidRDefault="008A645F">
      <w:pPr>
        <w:ind w:left="284"/>
        <w:jc w:val="both"/>
        <w:rPr>
          <w:rFonts w:ascii="Arial" w:hAnsi="Arial" w:cs="Arial"/>
          <w:lang w:val="es-CO"/>
        </w:rPr>
      </w:pPr>
      <w:r>
        <w:rPr>
          <w:rFonts w:ascii="Arial" w:hAnsi="Arial" w:cs="Arial"/>
          <w:lang w:val="es-CO"/>
        </w:rPr>
        <w:t xml:space="preserve">Para el efecto, existe compensación cuando en una operación con un vinculado del exterior, o con vinculados ubicados en zonas francas, o con personas, sociedades, entidades o empresas </w:t>
      </w:r>
      <w:r>
        <w:rPr>
          <w:rFonts w:ascii="Arial" w:hAnsi="Arial" w:cs="Arial"/>
          <w:lang w:val="es-CO"/>
        </w:rPr>
        <w:t xml:space="preserve">ubicadas, residentes o domiciliadas en paraísos fiscales, se provee un beneficio o contraprestación a la contraparte, según se trate, y este se retribuye con otro beneficio o contraprestación por la contraparte; </w:t>
      </w:r>
    </w:p>
    <w:p w14:paraId="17EC37EC" w14:textId="77777777" w:rsidR="00B2442D" w:rsidRDefault="00B2442D">
      <w:pPr>
        <w:ind w:left="284" w:hanging="284"/>
        <w:jc w:val="both"/>
        <w:rPr>
          <w:rFonts w:ascii="Arial" w:hAnsi="Arial" w:cs="Arial"/>
          <w:lang w:val="es-CO"/>
        </w:rPr>
      </w:pPr>
    </w:p>
    <w:p w14:paraId="5C2A1786" w14:textId="77777777" w:rsidR="00B2442D" w:rsidRDefault="008A645F">
      <w:pPr>
        <w:ind w:left="284" w:hanging="284"/>
        <w:jc w:val="both"/>
        <w:rPr>
          <w:rFonts w:ascii="Arial" w:hAnsi="Arial" w:cs="Arial"/>
          <w:lang w:val="es-CO"/>
        </w:rPr>
      </w:pPr>
      <w:r>
        <w:rPr>
          <w:rFonts w:ascii="Arial" w:hAnsi="Arial" w:cs="Arial"/>
          <w:lang w:val="es-CO"/>
        </w:rPr>
        <w:t>i) Estructura organizacional y funcional d</w:t>
      </w:r>
      <w:r>
        <w:rPr>
          <w:rFonts w:ascii="Arial" w:hAnsi="Arial" w:cs="Arial"/>
          <w:lang w:val="es-CO"/>
        </w:rPr>
        <w:t>e la empresa, de sus departamentos y/o divisiones, con la descripción de las actividades que realizan y su correspondiente organigrama;</w:t>
      </w:r>
    </w:p>
    <w:p w14:paraId="55D551C3" w14:textId="77777777" w:rsidR="00B2442D" w:rsidRDefault="00B2442D">
      <w:pPr>
        <w:ind w:left="284" w:hanging="284"/>
        <w:jc w:val="both"/>
        <w:rPr>
          <w:rFonts w:ascii="Arial" w:hAnsi="Arial" w:cs="Arial"/>
          <w:lang w:val="es-CO"/>
        </w:rPr>
      </w:pPr>
    </w:p>
    <w:p w14:paraId="73AE76C2" w14:textId="77777777" w:rsidR="00B2442D" w:rsidRDefault="008A645F">
      <w:pPr>
        <w:ind w:left="284" w:hanging="284"/>
        <w:jc w:val="both"/>
        <w:rPr>
          <w:rFonts w:ascii="Arial" w:hAnsi="Arial" w:cs="Arial"/>
          <w:lang w:val="es-CO"/>
        </w:rPr>
      </w:pPr>
      <w:r>
        <w:rPr>
          <w:rFonts w:ascii="Arial" w:hAnsi="Arial" w:cs="Arial"/>
          <w:lang w:val="es-CO"/>
        </w:rPr>
        <w:t>j) Cualquier otra información relacionada con el análisis funcional que se considere relevante por parte del contribuye</w:t>
      </w:r>
      <w:r>
        <w:rPr>
          <w:rFonts w:ascii="Arial" w:hAnsi="Arial" w:cs="Arial"/>
          <w:lang w:val="es-CO"/>
        </w:rPr>
        <w:t>nte.</w:t>
      </w:r>
    </w:p>
    <w:p w14:paraId="070EF747" w14:textId="77777777" w:rsidR="00B2442D" w:rsidRDefault="00B2442D">
      <w:pPr>
        <w:jc w:val="both"/>
        <w:rPr>
          <w:rFonts w:ascii="Arial" w:hAnsi="Arial" w:cs="Arial"/>
          <w:b/>
          <w:lang w:val="es-CO"/>
        </w:rPr>
      </w:pPr>
    </w:p>
    <w:p w14:paraId="64310993" w14:textId="77777777" w:rsidR="00B2442D" w:rsidRDefault="008A645F">
      <w:pPr>
        <w:jc w:val="both"/>
        <w:rPr>
          <w:rFonts w:ascii="Arial" w:hAnsi="Arial" w:cs="Arial"/>
          <w:b/>
          <w:lang w:val="es-CO"/>
        </w:rPr>
      </w:pPr>
      <w:r>
        <w:rPr>
          <w:rFonts w:ascii="Arial" w:hAnsi="Arial" w:cs="Arial"/>
          <w:b/>
          <w:lang w:val="es-CO"/>
        </w:rPr>
        <w:t>3. Análisis del mercado</w:t>
      </w:r>
    </w:p>
    <w:p w14:paraId="484941BD" w14:textId="77777777" w:rsidR="00B2442D" w:rsidRDefault="00B2442D">
      <w:pPr>
        <w:jc w:val="both"/>
        <w:rPr>
          <w:rFonts w:ascii="Arial" w:hAnsi="Arial" w:cs="Arial"/>
          <w:lang w:val="es-CO"/>
        </w:rPr>
      </w:pPr>
    </w:p>
    <w:p w14:paraId="3D6BDABC" w14:textId="77777777" w:rsidR="00B2442D" w:rsidRDefault="008A645F">
      <w:pPr>
        <w:jc w:val="both"/>
        <w:rPr>
          <w:rFonts w:ascii="Arial" w:hAnsi="Arial" w:cs="Arial"/>
          <w:lang w:val="es-CO"/>
        </w:rPr>
      </w:pPr>
      <w:r>
        <w:rPr>
          <w:rFonts w:ascii="Arial" w:hAnsi="Arial" w:cs="Arial"/>
          <w:lang w:val="es-CO"/>
        </w:rPr>
        <w:t>Solo en la medida en que sea relevante para evaluar las condiciones de plena competencia de las operaciones realizadas por el contribuyente y que por ello resulten conducentes a los fines de precios de transferencia, el acápi</w:t>
      </w:r>
      <w:r>
        <w:rPr>
          <w:rFonts w:ascii="Arial" w:hAnsi="Arial" w:cs="Arial"/>
          <w:lang w:val="es-CO"/>
        </w:rPr>
        <w:t>te correspondiente al análisis de mercado deberá contener:</w:t>
      </w:r>
    </w:p>
    <w:p w14:paraId="6DB3276D" w14:textId="77777777" w:rsidR="00B2442D" w:rsidRDefault="00B2442D">
      <w:pPr>
        <w:jc w:val="both"/>
        <w:rPr>
          <w:rFonts w:ascii="Arial" w:hAnsi="Arial" w:cs="Arial"/>
          <w:lang w:val="es-CO"/>
        </w:rPr>
      </w:pPr>
    </w:p>
    <w:p w14:paraId="0CFC653B"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Descripción general de la industria o sector o actividad económica, comportamiento y evolución, ubicación de la empresa en el mismo, señalando aspectos como situación de competencia, porcentaj</w:t>
      </w:r>
      <w:r>
        <w:rPr>
          <w:rFonts w:ascii="Arial" w:hAnsi="Arial" w:cs="Arial"/>
          <w:lang w:val="es-CO"/>
        </w:rPr>
        <w:t>e de participación en el mercado y condiciones sociales, comportamiento de oferta y demanda, situación económica, geográfica y política que influyan en la actividad de la empresa, marco legal específico, cambios políticos, modificaciones normativas u otros</w:t>
      </w:r>
      <w:r>
        <w:rPr>
          <w:rFonts w:ascii="Arial" w:hAnsi="Arial" w:cs="Arial"/>
          <w:lang w:val="es-CO"/>
        </w:rPr>
        <w:t xml:space="preserve"> factores institucionales que incidan en los tipos de operación.</w:t>
      </w:r>
    </w:p>
    <w:p w14:paraId="49C439D0" w14:textId="77777777" w:rsidR="00B2442D" w:rsidRDefault="00B2442D">
      <w:pPr>
        <w:ind w:left="284" w:hanging="284"/>
        <w:jc w:val="both"/>
        <w:rPr>
          <w:rFonts w:ascii="Arial" w:hAnsi="Arial" w:cs="Arial"/>
          <w:lang w:val="es-CO"/>
        </w:rPr>
      </w:pPr>
    </w:p>
    <w:p w14:paraId="07EAAEF1"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Descripción de bienes o servicios sustitutos.</w:t>
      </w:r>
    </w:p>
    <w:p w14:paraId="514606E0" w14:textId="77777777" w:rsidR="00B2442D" w:rsidRDefault="00B2442D">
      <w:pPr>
        <w:ind w:left="284" w:hanging="284"/>
        <w:jc w:val="both"/>
        <w:rPr>
          <w:rFonts w:ascii="Arial" w:hAnsi="Arial" w:cs="Arial"/>
          <w:lang w:val="es-CO"/>
        </w:rPr>
      </w:pPr>
    </w:p>
    <w:p w14:paraId="0682A97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En los casos de situaciones especiales y solo en la medida en que hayan afectado las operaciones objeto del estudio de precios de trans</w:t>
      </w:r>
      <w:r>
        <w:rPr>
          <w:rFonts w:ascii="Arial" w:hAnsi="Arial" w:cs="Arial"/>
          <w:lang w:val="es-CO"/>
        </w:rPr>
        <w:t>ferencia, deberán describir la forma en que estas incidieron y conservarse a disposición de la Administración Tributaria para cuando esta lo solicite, los estudios financieros y de mercado, presupuestos, proyecciones, reportes financieros por líneas de pro</w:t>
      </w:r>
      <w:r>
        <w:rPr>
          <w:rFonts w:ascii="Arial" w:hAnsi="Arial" w:cs="Arial"/>
          <w:lang w:val="es-CO"/>
        </w:rPr>
        <w:t>ductos o segmentos de mercado o negocios que se hubiesen elaborado para el ejercicio gravable bajo estudio.</w:t>
      </w:r>
    </w:p>
    <w:p w14:paraId="5DAC6896" w14:textId="77777777" w:rsidR="00B2442D" w:rsidRDefault="00B2442D">
      <w:pPr>
        <w:ind w:left="284" w:hanging="284"/>
        <w:jc w:val="both"/>
        <w:rPr>
          <w:rFonts w:ascii="Arial" w:hAnsi="Arial" w:cs="Arial"/>
          <w:lang w:val="es-CO"/>
        </w:rPr>
      </w:pPr>
    </w:p>
    <w:p w14:paraId="3A35365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r>
      <w:r>
        <w:rPr>
          <w:rFonts w:ascii="Arial" w:hAnsi="Arial" w:cs="Arial"/>
          <w:lang w:val="es-CO"/>
        </w:rPr>
        <w:t xml:space="preserve"> Describir, si es el caso: la existencia de ciclos de negocios, sean estos económicos, comerciales o del producto y la forma como los mismos afectan las operaciones bajo análisis;</w:t>
      </w:r>
    </w:p>
    <w:p w14:paraId="26722DAD" w14:textId="77777777" w:rsidR="00B2442D" w:rsidRDefault="00B2442D">
      <w:pPr>
        <w:ind w:left="284" w:hanging="284"/>
        <w:jc w:val="both"/>
        <w:rPr>
          <w:rFonts w:ascii="Arial" w:hAnsi="Arial" w:cs="Arial"/>
          <w:lang w:val="es-CO"/>
        </w:rPr>
      </w:pPr>
    </w:p>
    <w:p w14:paraId="054F14AD"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Cualquier otra información relacionada con el análisis de mercado que s</w:t>
      </w:r>
      <w:r>
        <w:rPr>
          <w:rFonts w:ascii="Arial" w:hAnsi="Arial" w:cs="Arial"/>
          <w:lang w:val="es-CO"/>
        </w:rPr>
        <w:t>e considere relevante por parte del contribuyente.</w:t>
      </w:r>
    </w:p>
    <w:p w14:paraId="45D8E79F" w14:textId="77777777" w:rsidR="00B2442D" w:rsidRDefault="00B2442D">
      <w:pPr>
        <w:jc w:val="both"/>
        <w:rPr>
          <w:rFonts w:ascii="Arial" w:hAnsi="Arial" w:cs="Arial"/>
          <w:lang w:val="es-CO"/>
        </w:rPr>
      </w:pPr>
    </w:p>
    <w:p w14:paraId="2D3A9023" w14:textId="77777777" w:rsidR="00B2442D" w:rsidRDefault="008A645F">
      <w:pPr>
        <w:jc w:val="both"/>
        <w:rPr>
          <w:rFonts w:ascii="Arial" w:hAnsi="Arial" w:cs="Arial"/>
          <w:b/>
          <w:lang w:val="es-CO"/>
        </w:rPr>
      </w:pPr>
      <w:r>
        <w:rPr>
          <w:rFonts w:ascii="Arial" w:hAnsi="Arial" w:cs="Arial"/>
          <w:b/>
          <w:lang w:val="es-CO"/>
        </w:rPr>
        <w:t>4. Análisis económico</w:t>
      </w:r>
    </w:p>
    <w:p w14:paraId="3AB84C3B" w14:textId="77777777" w:rsidR="00B2442D" w:rsidRDefault="00B2442D">
      <w:pPr>
        <w:jc w:val="both"/>
        <w:rPr>
          <w:rFonts w:ascii="Arial" w:hAnsi="Arial" w:cs="Arial"/>
          <w:lang w:val="es-CO"/>
        </w:rPr>
      </w:pPr>
    </w:p>
    <w:p w14:paraId="4B515225" w14:textId="77777777" w:rsidR="00B2442D" w:rsidRDefault="008A645F">
      <w:pPr>
        <w:jc w:val="both"/>
        <w:rPr>
          <w:rFonts w:ascii="Arial" w:hAnsi="Arial" w:cs="Arial"/>
          <w:lang w:val="es-CO"/>
        </w:rPr>
      </w:pPr>
      <w:r>
        <w:rPr>
          <w:rFonts w:ascii="Arial" w:hAnsi="Arial" w:cs="Arial"/>
          <w:lang w:val="es-CO"/>
        </w:rPr>
        <w:t>El acápite correspondiente al análisis económico deberá contener:</w:t>
      </w:r>
    </w:p>
    <w:p w14:paraId="09C91FB3" w14:textId="77777777" w:rsidR="00B2442D" w:rsidRDefault="00B2442D">
      <w:pPr>
        <w:jc w:val="both"/>
        <w:rPr>
          <w:rFonts w:ascii="Arial" w:hAnsi="Arial" w:cs="Arial"/>
          <w:lang w:val="es-CO"/>
        </w:rPr>
      </w:pPr>
    </w:p>
    <w:p w14:paraId="03D1C9BB" w14:textId="77777777" w:rsidR="00B2442D" w:rsidRDefault="008A645F">
      <w:pPr>
        <w:ind w:left="284" w:hanging="284"/>
        <w:jc w:val="both"/>
        <w:rPr>
          <w:rFonts w:ascii="Arial" w:hAnsi="Arial" w:cs="Arial"/>
          <w:lang w:val="es-CO"/>
        </w:rPr>
      </w:pPr>
      <w:r>
        <w:rPr>
          <w:rFonts w:ascii="Arial" w:hAnsi="Arial" w:cs="Arial"/>
          <w:lang w:val="es-CO"/>
        </w:rPr>
        <w:t>a) Descripción detallada de cada uno de los tipos de operación llevados a cabo en el periodo gravable objeto de es</w:t>
      </w:r>
      <w:r>
        <w:rPr>
          <w:rFonts w:ascii="Arial" w:hAnsi="Arial" w:cs="Arial"/>
          <w:lang w:val="es-CO"/>
        </w:rPr>
        <w:t>tudio, indicando para cada vinculado del exterior, o vinculado ubicado en zona franca, o personas, sociedades, entidades o empresas ubicadas, residentes o domiciliadas en paraísos fiscales, el nombre o razón social, número de identificación tributaria o fi</w:t>
      </w:r>
      <w:r>
        <w:rPr>
          <w:rFonts w:ascii="Arial" w:hAnsi="Arial" w:cs="Arial"/>
          <w:lang w:val="es-CO"/>
        </w:rPr>
        <w:t>scal, domicilio y/o residencia fiscal.</w:t>
      </w:r>
    </w:p>
    <w:p w14:paraId="2234CB26" w14:textId="77777777" w:rsidR="00B2442D" w:rsidRDefault="00B2442D">
      <w:pPr>
        <w:jc w:val="both"/>
        <w:rPr>
          <w:rFonts w:ascii="Arial" w:hAnsi="Arial" w:cs="Arial"/>
          <w:lang w:val="es-CO"/>
        </w:rPr>
      </w:pPr>
    </w:p>
    <w:p w14:paraId="5E623DD4" w14:textId="77777777" w:rsidR="00B2442D" w:rsidRDefault="008A645F">
      <w:pPr>
        <w:ind w:left="284"/>
        <w:jc w:val="both"/>
        <w:rPr>
          <w:rFonts w:ascii="Arial" w:hAnsi="Arial" w:cs="Arial"/>
          <w:lang w:val="es-CO"/>
        </w:rPr>
      </w:pPr>
      <w:r>
        <w:rPr>
          <w:rFonts w:ascii="Arial" w:hAnsi="Arial" w:cs="Arial"/>
          <w:lang w:val="es-CO"/>
        </w:rPr>
        <w:t>En el caso de operaciones de financiamiento y para efectos de comparabilidad deberá allegarse al estudio la información que permita verificar entre otros, el monto del principal, plazo, calificación del riesgo, solve</w:t>
      </w:r>
      <w:r>
        <w:rPr>
          <w:rFonts w:ascii="Arial" w:hAnsi="Arial" w:cs="Arial"/>
          <w:lang w:val="es-CO"/>
        </w:rPr>
        <w:t>ncia del deudor y tasa de interés pactada;</w:t>
      </w:r>
    </w:p>
    <w:p w14:paraId="79EAE3BA" w14:textId="77777777" w:rsidR="00B2442D" w:rsidRDefault="00B2442D">
      <w:pPr>
        <w:jc w:val="both"/>
        <w:rPr>
          <w:rFonts w:ascii="Arial" w:hAnsi="Arial" w:cs="Arial"/>
          <w:lang w:val="es-CO"/>
        </w:rPr>
      </w:pPr>
    </w:p>
    <w:p w14:paraId="432F3E1F" w14:textId="77777777" w:rsidR="00B2442D" w:rsidRDefault="008A645F">
      <w:pPr>
        <w:ind w:left="284" w:hanging="284"/>
        <w:jc w:val="both"/>
        <w:rPr>
          <w:rFonts w:ascii="Arial" w:hAnsi="Arial" w:cs="Arial"/>
          <w:lang w:val="es-CO"/>
        </w:rPr>
      </w:pPr>
      <w:r>
        <w:rPr>
          <w:rFonts w:ascii="Arial" w:hAnsi="Arial" w:cs="Arial"/>
          <w:lang w:val="es-CO"/>
        </w:rPr>
        <w:t>b) Método utilizado por el contribuyente para la determinación de los precios o márgenes de utilidad en las operaciones detalladas en el literal anterior, con indicación del criterio y elementos objetivos conside</w:t>
      </w:r>
      <w:r>
        <w:rPr>
          <w:rFonts w:ascii="Arial" w:hAnsi="Arial" w:cs="Arial"/>
          <w:lang w:val="es-CO"/>
        </w:rPr>
        <w:t>rados para concluir que el método utilizado es el más apropiado de acuerdo con las características de los tipos de operación analizados.</w:t>
      </w:r>
    </w:p>
    <w:p w14:paraId="066F064E" w14:textId="77777777" w:rsidR="00B2442D" w:rsidRDefault="00B2442D">
      <w:pPr>
        <w:ind w:left="284" w:hanging="284"/>
        <w:jc w:val="both"/>
        <w:rPr>
          <w:rFonts w:ascii="Arial" w:hAnsi="Arial" w:cs="Arial"/>
          <w:lang w:val="es-CO"/>
        </w:rPr>
      </w:pPr>
    </w:p>
    <w:p w14:paraId="6C51860C" w14:textId="77777777" w:rsidR="00B2442D" w:rsidRDefault="008A645F">
      <w:pPr>
        <w:ind w:left="284"/>
        <w:jc w:val="both"/>
        <w:rPr>
          <w:rFonts w:ascii="Arial" w:hAnsi="Arial" w:cs="Arial"/>
          <w:lang w:val="es-CO"/>
        </w:rPr>
      </w:pPr>
      <w:r>
        <w:rPr>
          <w:rFonts w:ascii="Arial" w:hAnsi="Arial" w:cs="Arial"/>
          <w:lang w:val="es-CO"/>
        </w:rPr>
        <w:t>Para determinar que el método utilizado es el más apropiado, se deben utilizar los criterios que se anuncian a continu</w:t>
      </w:r>
      <w:r>
        <w:rPr>
          <w:rFonts w:ascii="Arial" w:hAnsi="Arial" w:cs="Arial"/>
          <w:lang w:val="es-CO"/>
        </w:rPr>
        <w:t>ación:</w:t>
      </w:r>
    </w:p>
    <w:p w14:paraId="0E905E8B" w14:textId="77777777" w:rsidR="00B2442D" w:rsidRDefault="008A645F">
      <w:pPr>
        <w:jc w:val="both"/>
        <w:rPr>
          <w:rFonts w:ascii="Arial" w:hAnsi="Arial" w:cs="Arial"/>
          <w:lang w:val="es-CO"/>
        </w:rPr>
      </w:pPr>
      <w:r>
        <w:rPr>
          <w:rFonts w:ascii="Arial" w:hAnsi="Arial" w:cs="Arial"/>
          <w:lang w:val="es-CO"/>
        </w:rPr>
        <w:t xml:space="preserve"> </w:t>
      </w:r>
    </w:p>
    <w:p w14:paraId="5387A86D" w14:textId="77777777" w:rsidR="00B2442D" w:rsidRDefault="008A645F">
      <w:pPr>
        <w:ind w:left="284"/>
        <w:jc w:val="both"/>
        <w:rPr>
          <w:rFonts w:ascii="Arial" w:hAnsi="Arial" w:cs="Arial"/>
          <w:lang w:val="es-CO"/>
        </w:rPr>
      </w:pPr>
      <w:r>
        <w:rPr>
          <w:rFonts w:ascii="Arial" w:hAnsi="Arial" w:cs="Arial"/>
          <w:lang w:val="es-CO"/>
        </w:rPr>
        <w:t>i) Los hechos y circunstancias de las transacciones controladas o analizadas, con base en un análisis funcional detallado;</w:t>
      </w:r>
    </w:p>
    <w:p w14:paraId="165544B4" w14:textId="77777777" w:rsidR="00B2442D" w:rsidRDefault="00B2442D">
      <w:pPr>
        <w:ind w:left="284"/>
        <w:jc w:val="both"/>
        <w:rPr>
          <w:rFonts w:ascii="Arial" w:hAnsi="Arial" w:cs="Arial"/>
          <w:lang w:val="es-CO"/>
        </w:rPr>
      </w:pPr>
    </w:p>
    <w:p w14:paraId="60395E78" w14:textId="77777777" w:rsidR="00B2442D" w:rsidRDefault="008A645F">
      <w:pPr>
        <w:ind w:left="284"/>
        <w:jc w:val="both"/>
        <w:rPr>
          <w:rFonts w:ascii="Arial" w:hAnsi="Arial" w:cs="Arial"/>
          <w:lang w:val="es-CO"/>
        </w:rPr>
      </w:pPr>
      <w:r>
        <w:rPr>
          <w:rFonts w:ascii="Arial" w:hAnsi="Arial" w:cs="Arial"/>
          <w:lang w:val="es-CO"/>
        </w:rPr>
        <w:t>ii) La disponibilidad de información confiable, particularmente de operaciones entre terceros independientes, necesaria par</w:t>
      </w:r>
      <w:r>
        <w:rPr>
          <w:rFonts w:ascii="Arial" w:hAnsi="Arial" w:cs="Arial"/>
          <w:lang w:val="es-CO"/>
        </w:rPr>
        <w:t>a la aplicación del método;</w:t>
      </w:r>
    </w:p>
    <w:p w14:paraId="13E9FA76" w14:textId="77777777" w:rsidR="00B2442D" w:rsidRDefault="00B2442D">
      <w:pPr>
        <w:ind w:left="284"/>
        <w:jc w:val="both"/>
        <w:rPr>
          <w:rFonts w:ascii="Arial" w:hAnsi="Arial" w:cs="Arial"/>
          <w:lang w:val="es-CO"/>
        </w:rPr>
      </w:pPr>
    </w:p>
    <w:p w14:paraId="123A44AE" w14:textId="77777777" w:rsidR="00B2442D" w:rsidRDefault="008A645F">
      <w:pPr>
        <w:ind w:left="284"/>
        <w:jc w:val="both"/>
        <w:rPr>
          <w:rFonts w:ascii="Arial" w:hAnsi="Arial" w:cs="Arial"/>
          <w:lang w:val="es-CO"/>
        </w:rPr>
      </w:pPr>
      <w:r>
        <w:rPr>
          <w:rFonts w:ascii="Arial" w:hAnsi="Arial" w:cs="Arial"/>
          <w:lang w:val="es-CO"/>
        </w:rPr>
        <w:t xml:space="preserve">iii) El grado de comparabilidad de las operaciones controladas frente a las independientes, y </w:t>
      </w:r>
    </w:p>
    <w:p w14:paraId="60698972" w14:textId="77777777" w:rsidR="00B2442D" w:rsidRDefault="00B2442D">
      <w:pPr>
        <w:ind w:left="284"/>
        <w:jc w:val="both"/>
        <w:rPr>
          <w:rFonts w:ascii="Arial" w:hAnsi="Arial" w:cs="Arial"/>
          <w:lang w:val="es-CO"/>
        </w:rPr>
      </w:pPr>
    </w:p>
    <w:p w14:paraId="4BCACA22" w14:textId="77777777" w:rsidR="00B2442D" w:rsidRDefault="008A645F">
      <w:pPr>
        <w:ind w:left="284"/>
        <w:jc w:val="both"/>
        <w:rPr>
          <w:rFonts w:ascii="Arial" w:hAnsi="Arial" w:cs="Arial"/>
          <w:lang w:val="es-CO"/>
        </w:rPr>
      </w:pPr>
      <w:r>
        <w:rPr>
          <w:rFonts w:ascii="Arial" w:hAnsi="Arial" w:cs="Arial"/>
          <w:lang w:val="es-CO"/>
        </w:rPr>
        <w:t xml:space="preserve">iv) La confiabilidad de los ajustes de comparabilidad que puedan ser necesarios para eliminar las diferencias materiales entre las </w:t>
      </w:r>
      <w:r>
        <w:rPr>
          <w:rFonts w:ascii="Arial" w:hAnsi="Arial" w:cs="Arial"/>
          <w:lang w:val="es-CO"/>
        </w:rPr>
        <w:t>operaciones entre vinculados frente a las independientes.</w:t>
      </w:r>
    </w:p>
    <w:p w14:paraId="3DB94D86" w14:textId="77777777" w:rsidR="00B2442D" w:rsidRDefault="00B2442D">
      <w:pPr>
        <w:jc w:val="both"/>
        <w:rPr>
          <w:rFonts w:ascii="Arial" w:hAnsi="Arial" w:cs="Arial"/>
          <w:lang w:val="es-CO"/>
        </w:rPr>
      </w:pPr>
    </w:p>
    <w:p w14:paraId="08DFD8FC" w14:textId="77777777" w:rsidR="00B2442D" w:rsidRDefault="008A645F">
      <w:pPr>
        <w:jc w:val="both"/>
        <w:rPr>
          <w:rFonts w:ascii="Arial" w:hAnsi="Arial" w:cs="Arial"/>
          <w:lang w:val="es-CO"/>
        </w:rPr>
      </w:pPr>
      <w:r>
        <w:rPr>
          <w:rFonts w:ascii="Arial" w:hAnsi="Arial" w:cs="Arial"/>
          <w:lang w:val="es-CO"/>
        </w:rPr>
        <w:t xml:space="preserve">Cuando se trate de operaciones de adquisición de activos usados realizadas por los contribuyentes del impuesto sobre la renta y complementario a sus vinculados del exterior, vinculados ubicados en </w:t>
      </w:r>
      <w:r>
        <w:rPr>
          <w:rFonts w:ascii="Arial" w:hAnsi="Arial" w:cs="Arial"/>
          <w:lang w:val="es-CO"/>
        </w:rPr>
        <w:t>zonas francas, o personas, sociedades, entidades o empresas ubicadas, residentes o domiciliadas en paraísos fiscales, la aplicación del método de Precio Comparable no Controlado será mediante la presentación de la factura de adquisición del activo nuevo al</w:t>
      </w:r>
      <w:r>
        <w:rPr>
          <w:rFonts w:ascii="Arial" w:hAnsi="Arial" w:cs="Arial"/>
          <w:lang w:val="es-CO"/>
        </w:rPr>
        <w:t xml:space="preserve"> momento de su compra a un tercero independiente y la aplicación posterior de la depreciación que ya se ha amortizado desde la adquisición del activo, permitida de acuerdo con los principios de contabilidad generalmente aceptados en Colombia. Sin perjuicio</w:t>
      </w:r>
      <w:r>
        <w:rPr>
          <w:rFonts w:ascii="Arial" w:hAnsi="Arial" w:cs="Arial"/>
          <w:lang w:val="es-CO"/>
        </w:rPr>
        <w:t xml:space="preserve"> de lo anterior y solo en el caso de que el respectivo activo hubiese sido enajenado en un estado diferente al de su adquisición, salvo el deterioro normal por el paso del tiempo o su uso, o no se cuente con la factura del tercero, o se trate de un bien co</w:t>
      </w:r>
      <w:r>
        <w:rPr>
          <w:rFonts w:ascii="Arial" w:hAnsi="Arial" w:cs="Arial"/>
          <w:lang w:val="es-CO"/>
        </w:rPr>
        <w:t>nstruido o ensamblado a partir de varios componentes y con ello varias facturas, se podrá a los efectos de que trata este literal, en concordancia con lo señalado en el artículo 260-3 del Estatuto Tributario, acudir a un avalúo técnico realizado por un exp</w:t>
      </w:r>
      <w:r>
        <w:rPr>
          <w:rFonts w:ascii="Arial" w:hAnsi="Arial" w:cs="Arial"/>
          <w:lang w:val="es-CO"/>
        </w:rPr>
        <w:t>erto que sea un tercero independiente no vinculado laboralmente a la compañía, en el que se consignen detalladamente las características, alcance y demás condiciones que se tuvieron en cuenta para su valuación;</w:t>
      </w:r>
    </w:p>
    <w:p w14:paraId="0E940415" w14:textId="77777777" w:rsidR="00B2442D" w:rsidRDefault="00B2442D">
      <w:pPr>
        <w:jc w:val="both"/>
        <w:rPr>
          <w:rFonts w:ascii="Arial" w:hAnsi="Arial" w:cs="Arial"/>
          <w:lang w:val="es-CO"/>
        </w:rPr>
      </w:pPr>
    </w:p>
    <w:p w14:paraId="5F6D4682" w14:textId="77777777" w:rsidR="00B2442D" w:rsidRDefault="008A645F">
      <w:pPr>
        <w:ind w:left="284" w:hanging="284"/>
        <w:jc w:val="both"/>
        <w:rPr>
          <w:rFonts w:ascii="Arial" w:hAnsi="Arial" w:cs="Arial"/>
          <w:lang w:val="es-CO"/>
        </w:rPr>
      </w:pPr>
      <w:r>
        <w:rPr>
          <w:rFonts w:ascii="Arial" w:hAnsi="Arial" w:cs="Arial"/>
          <w:lang w:val="es-CO"/>
        </w:rPr>
        <w:t xml:space="preserve">c) Cuando se haya seleccionado el </w:t>
      </w:r>
      <w:r>
        <w:rPr>
          <w:rFonts w:ascii="Arial" w:hAnsi="Arial" w:cs="Arial"/>
          <w:lang w:val="es-CO"/>
        </w:rPr>
        <w:t>Método de Márgenes Transaccionales para determinar el margen de utilidad en las operaciones con vinculados, se deberá describir el indicador de rentabilidad seleccionado, el cual debe estar acorde con el tipo de actividad y demás hechos y circunstancias de</w:t>
      </w:r>
      <w:r>
        <w:rPr>
          <w:rFonts w:ascii="Arial" w:hAnsi="Arial" w:cs="Arial"/>
          <w:lang w:val="es-CO"/>
        </w:rPr>
        <w:t>l caso, la naturaleza del tipo de operación analizada y la disponibilidad y calidad de la información obtenida.</w:t>
      </w:r>
    </w:p>
    <w:p w14:paraId="7E36E1DC" w14:textId="77777777" w:rsidR="00B2442D" w:rsidRDefault="00B2442D">
      <w:pPr>
        <w:ind w:left="284" w:hanging="284"/>
        <w:jc w:val="both"/>
        <w:rPr>
          <w:rFonts w:ascii="Arial" w:hAnsi="Arial" w:cs="Arial"/>
          <w:lang w:val="es-CO"/>
        </w:rPr>
      </w:pPr>
    </w:p>
    <w:p w14:paraId="1A839FB3" w14:textId="77777777" w:rsidR="00B2442D" w:rsidRDefault="008A645F">
      <w:pPr>
        <w:ind w:left="284"/>
        <w:jc w:val="both"/>
        <w:rPr>
          <w:rFonts w:ascii="Arial" w:hAnsi="Arial" w:cs="Arial"/>
          <w:lang w:val="es-CO"/>
        </w:rPr>
      </w:pPr>
      <w:r>
        <w:rPr>
          <w:rFonts w:ascii="Arial" w:hAnsi="Arial" w:cs="Arial"/>
          <w:lang w:val="es-CO"/>
        </w:rPr>
        <w:t>Para tal efecto se deberán utilizar indicadores de rentabilidad como: margen bruto, margen operacional, margen sobre costos y gastos, rendimien</w:t>
      </w:r>
      <w:r>
        <w:rPr>
          <w:rFonts w:ascii="Arial" w:hAnsi="Arial" w:cs="Arial"/>
          <w:lang w:val="es-CO"/>
        </w:rPr>
        <w:t>tos sobre activos, retorno sobre patrimonio y Razón Berry entendida como "Utilidad bruta dividida entre los gastos de administración más los gastos de comercialización", entre otros.</w:t>
      </w:r>
    </w:p>
    <w:p w14:paraId="4692435C" w14:textId="77777777" w:rsidR="00B2442D" w:rsidRDefault="00B2442D">
      <w:pPr>
        <w:ind w:left="284" w:hanging="284"/>
        <w:jc w:val="both"/>
        <w:rPr>
          <w:rFonts w:ascii="Arial" w:hAnsi="Arial" w:cs="Arial"/>
          <w:lang w:val="es-CO"/>
        </w:rPr>
      </w:pPr>
    </w:p>
    <w:p w14:paraId="742EF623" w14:textId="77777777" w:rsidR="00B2442D" w:rsidRDefault="008A645F">
      <w:pPr>
        <w:ind w:left="284"/>
        <w:jc w:val="both"/>
        <w:rPr>
          <w:rFonts w:ascii="Arial" w:hAnsi="Arial" w:cs="Arial"/>
          <w:lang w:val="es-CO"/>
        </w:rPr>
      </w:pPr>
      <w:r>
        <w:rPr>
          <w:rFonts w:ascii="Arial" w:hAnsi="Arial" w:cs="Arial"/>
          <w:lang w:val="es-CO"/>
        </w:rPr>
        <w:t>En la determinación del indicador de rentabilidad deben tenerse en cuent</w:t>
      </w:r>
      <w:r>
        <w:rPr>
          <w:rFonts w:ascii="Arial" w:hAnsi="Arial" w:cs="Arial"/>
          <w:lang w:val="es-CO"/>
        </w:rPr>
        <w:t>a solo los elementos que estén directa o indirectamente relacionados con la operación bajo análisis y se relacionen con la explotación de la actividad económica que se realiza;</w:t>
      </w:r>
    </w:p>
    <w:p w14:paraId="48A59520" w14:textId="77777777" w:rsidR="00B2442D" w:rsidRDefault="00B2442D">
      <w:pPr>
        <w:ind w:left="284" w:hanging="284"/>
        <w:jc w:val="both"/>
        <w:rPr>
          <w:rFonts w:ascii="Arial" w:hAnsi="Arial" w:cs="Arial"/>
          <w:lang w:val="es-CO"/>
        </w:rPr>
      </w:pPr>
    </w:p>
    <w:p w14:paraId="1356C292" w14:textId="77777777" w:rsidR="00B2442D" w:rsidRDefault="008A645F">
      <w:pPr>
        <w:ind w:left="284" w:hanging="284"/>
        <w:jc w:val="both"/>
        <w:rPr>
          <w:rFonts w:ascii="Arial" w:hAnsi="Arial" w:cs="Arial"/>
          <w:lang w:val="es-CO"/>
        </w:rPr>
      </w:pPr>
      <w:r>
        <w:rPr>
          <w:rFonts w:ascii="Arial" w:hAnsi="Arial" w:cs="Arial"/>
          <w:lang w:val="es-CO"/>
        </w:rPr>
        <w:t xml:space="preserve">d) Parte analizada. La parte objeto de análisis debe ser aquella </w:t>
      </w:r>
      <w:r>
        <w:rPr>
          <w:rFonts w:ascii="Arial" w:hAnsi="Arial" w:cs="Arial"/>
          <w:lang w:val="es-CO"/>
        </w:rPr>
        <w:t>respecto de la cual pueda aplicarse el método para determinar el margen de utilidad en las operaciones con vinculados con más fiabilidad, y para la cual la calidad de los comparables sea más óptima y su análisis funcional resulte menos complejo.</w:t>
      </w:r>
    </w:p>
    <w:p w14:paraId="02731BA2" w14:textId="77777777" w:rsidR="00B2442D" w:rsidRDefault="00B2442D">
      <w:pPr>
        <w:ind w:left="284" w:hanging="284"/>
        <w:jc w:val="both"/>
        <w:rPr>
          <w:rFonts w:ascii="Arial" w:hAnsi="Arial" w:cs="Arial"/>
          <w:lang w:val="es-CO"/>
        </w:rPr>
      </w:pPr>
    </w:p>
    <w:p w14:paraId="14F7B8FF" w14:textId="77777777" w:rsidR="00B2442D" w:rsidRDefault="008A645F">
      <w:pPr>
        <w:ind w:left="284"/>
        <w:jc w:val="both"/>
        <w:rPr>
          <w:rFonts w:ascii="Arial" w:hAnsi="Arial" w:cs="Arial"/>
          <w:lang w:val="es-CO"/>
        </w:rPr>
      </w:pPr>
      <w:r>
        <w:rPr>
          <w:rFonts w:ascii="Arial" w:hAnsi="Arial" w:cs="Arial"/>
          <w:lang w:val="es-CO"/>
        </w:rPr>
        <w:t>Cuando se</w:t>
      </w:r>
      <w:r>
        <w:rPr>
          <w:rFonts w:ascii="Arial" w:hAnsi="Arial" w:cs="Arial"/>
          <w:lang w:val="es-CO"/>
        </w:rPr>
        <w:t xml:space="preserve"> haya seleccionado el Método de Precio de Reventa, el del Costo Adicionado o el de Márgenes Transaccionales de Utilidad de Operación, según se trate, para determinar que las operaciones entre el contribuyente del impuesto sobre la renta y complementario co</w:t>
      </w:r>
      <w:r>
        <w:rPr>
          <w:rFonts w:ascii="Arial" w:hAnsi="Arial" w:cs="Arial"/>
          <w:lang w:val="es-CO"/>
        </w:rPr>
        <w:t xml:space="preserve">n sus vinculados del exterior, vinculados ubicados en zonas francas, o personas, sociedades, entidades o empresas ubicadas, residentes o domiciliadas en paraísos fiscales cumplen con las condiciones que se hubieren utilizado en operaciones comparables con </w:t>
      </w:r>
      <w:r>
        <w:rPr>
          <w:rFonts w:ascii="Arial" w:hAnsi="Arial" w:cs="Arial"/>
          <w:lang w:val="es-CO"/>
        </w:rPr>
        <w:t>o entre partes independientes, la parte a analizar debe ser el contribuyente en Colombia respecto de quien se va a establecer si cumplió con el Principio de Plena Competencia; sin embargo, se podrá analizar a la contraparte con quien se llevaron a cabo las</w:t>
      </w:r>
      <w:r>
        <w:rPr>
          <w:rFonts w:ascii="Arial" w:hAnsi="Arial" w:cs="Arial"/>
          <w:lang w:val="es-CO"/>
        </w:rPr>
        <w:t xml:space="preserve"> operaciones bajo estudio y ello dependerá de si respecto de dicha parte, sus funciones resultan menos complejas, se cuenta con una mayor y mejor información y se requiere un menor nivel de ajustes. Además, se deberá tener en cuenta si la parte a analizar </w:t>
      </w:r>
      <w:r>
        <w:rPr>
          <w:rFonts w:ascii="Arial" w:hAnsi="Arial" w:cs="Arial"/>
          <w:lang w:val="es-CO"/>
        </w:rPr>
        <w:t>posee intangibles o activos de una significancia tal que conviertan a la parte bajo análisis en una empresa de no fácil comparación, todo lo cual deberá ser debidamente soportado y, en todo caso, el análisis funcional, de mercado y económico deberán corres</w:t>
      </w:r>
      <w:r>
        <w:rPr>
          <w:rFonts w:ascii="Arial" w:hAnsi="Arial" w:cs="Arial"/>
          <w:lang w:val="es-CO"/>
        </w:rPr>
        <w:t>ponder a la parte seleccionada para el correspondiente análisis como la parte analizada.</w:t>
      </w:r>
    </w:p>
    <w:p w14:paraId="7E80C961" w14:textId="77777777" w:rsidR="00B2442D" w:rsidRDefault="00B2442D">
      <w:pPr>
        <w:ind w:left="284" w:hanging="284"/>
        <w:jc w:val="both"/>
        <w:rPr>
          <w:rFonts w:ascii="Arial" w:hAnsi="Arial" w:cs="Arial"/>
          <w:lang w:val="es-CO"/>
        </w:rPr>
      </w:pPr>
    </w:p>
    <w:p w14:paraId="2DBA8EAB" w14:textId="77777777" w:rsidR="00B2442D" w:rsidRDefault="008A645F">
      <w:pPr>
        <w:ind w:left="284"/>
        <w:jc w:val="both"/>
        <w:rPr>
          <w:rFonts w:ascii="Arial" w:hAnsi="Arial" w:cs="Arial"/>
          <w:lang w:val="es-CO"/>
        </w:rPr>
      </w:pPr>
      <w:r>
        <w:rPr>
          <w:rFonts w:ascii="Arial" w:hAnsi="Arial" w:cs="Arial"/>
          <w:lang w:val="es-CO"/>
        </w:rPr>
        <w:t>Sin perjuicio de lo señalado en el inciso segundo de este literal, cuando se haya seleccionado el Método de Precio de Reventa, el del Costo adicionado o el de Márgene</w:t>
      </w:r>
      <w:r>
        <w:rPr>
          <w:rFonts w:ascii="Arial" w:hAnsi="Arial" w:cs="Arial"/>
          <w:lang w:val="es-CO"/>
        </w:rPr>
        <w:t>s Transaccionales de Utilidad de Operación, según se trate, para determinar que las operaciones entre el contribuyente del impuesto sobre la renta y complementario con sus vinculados del exterior, vinculados ubicados en zonas francas, o personas, sociedade</w:t>
      </w:r>
      <w:r>
        <w:rPr>
          <w:rFonts w:ascii="Arial" w:hAnsi="Arial" w:cs="Arial"/>
          <w:lang w:val="es-CO"/>
        </w:rPr>
        <w:t>s, entidades o empresas ubicadas, residentes o domiciliadas en paraísos fiscales cumplen con las condiciones que se hubieren utilizado en operaciones comparables con o entre partes independientes y la parte a analizar sea la del extranjero, se debe allegar</w:t>
      </w:r>
      <w:r>
        <w:rPr>
          <w:rFonts w:ascii="Arial" w:hAnsi="Arial" w:cs="Arial"/>
          <w:lang w:val="es-CO"/>
        </w:rPr>
        <w:t xml:space="preserve"> a la documentación comprobatoria toda la información adicional que resulte necesaria para que se pueda constatar la correcta aplicación del método a dicha parte.</w:t>
      </w:r>
    </w:p>
    <w:p w14:paraId="68FFF67B" w14:textId="77777777" w:rsidR="00B2442D" w:rsidRDefault="00B2442D">
      <w:pPr>
        <w:ind w:left="284" w:hanging="284"/>
        <w:jc w:val="both"/>
        <w:rPr>
          <w:rFonts w:ascii="Arial" w:hAnsi="Arial" w:cs="Arial"/>
          <w:lang w:val="es-CO"/>
        </w:rPr>
      </w:pPr>
    </w:p>
    <w:p w14:paraId="3E9FCE03" w14:textId="77777777" w:rsidR="00B2442D" w:rsidRDefault="008A645F">
      <w:pPr>
        <w:ind w:left="284"/>
        <w:jc w:val="both"/>
        <w:rPr>
          <w:rFonts w:ascii="Arial" w:hAnsi="Arial" w:cs="Arial"/>
          <w:lang w:val="es-CO"/>
        </w:rPr>
      </w:pPr>
      <w:r>
        <w:rPr>
          <w:rFonts w:ascii="Arial" w:hAnsi="Arial" w:cs="Arial"/>
          <w:lang w:val="es-CO"/>
        </w:rPr>
        <w:t>Con independencia de cuál sea la parte a analizar, a la documentación comprobatoria se deber</w:t>
      </w:r>
      <w:r>
        <w:rPr>
          <w:rFonts w:ascii="Arial" w:hAnsi="Arial" w:cs="Arial"/>
          <w:lang w:val="es-CO"/>
        </w:rPr>
        <w:t xml:space="preserve">án allegar los documentos, análisis y demás elementos probatorios que resulten suficientes para demostrar que las operaciones entre el contribuyente del impuesto sobre la renta y complementario con sus vinculados del exterior, vinculados ubicados en zonas </w:t>
      </w:r>
      <w:r>
        <w:rPr>
          <w:rFonts w:ascii="Arial" w:hAnsi="Arial" w:cs="Arial"/>
          <w:lang w:val="es-CO"/>
        </w:rPr>
        <w:t>francas, o personas, sociedades, entidades o empresas ubicadas, residentes o domiciliadas en paraísos fiscales cumplen con las condiciones que se hubieren utilizado en operaciones comparables con o entre partes independientes. Lo anterior, sin perjuicio de</w:t>
      </w:r>
      <w:r>
        <w:rPr>
          <w:rFonts w:ascii="Arial" w:hAnsi="Arial" w:cs="Arial"/>
          <w:lang w:val="es-CO"/>
        </w:rPr>
        <w:t xml:space="preserve"> las verificaciones e información que requiera o solicite la Administración Tributaria en relación a la parte analizada utilizada en tanto resulte conducente a efectos de probar el cumplimiento del Principio de Plena Competencia por parte de esta;</w:t>
      </w:r>
    </w:p>
    <w:p w14:paraId="13AF1033" w14:textId="77777777" w:rsidR="00B2442D" w:rsidRDefault="00B2442D">
      <w:pPr>
        <w:ind w:left="284" w:hanging="284"/>
        <w:jc w:val="both"/>
        <w:rPr>
          <w:rFonts w:ascii="Arial" w:hAnsi="Arial" w:cs="Arial"/>
          <w:lang w:val="es-CO"/>
        </w:rPr>
      </w:pPr>
    </w:p>
    <w:p w14:paraId="3E0D3677" w14:textId="77777777" w:rsidR="00B2442D" w:rsidRDefault="008A645F">
      <w:pPr>
        <w:ind w:left="284" w:hanging="284"/>
        <w:jc w:val="both"/>
        <w:rPr>
          <w:rFonts w:ascii="Arial" w:hAnsi="Arial" w:cs="Arial"/>
          <w:lang w:val="es-CO"/>
        </w:rPr>
      </w:pPr>
      <w:r>
        <w:rPr>
          <w:rFonts w:ascii="Arial" w:hAnsi="Arial" w:cs="Arial"/>
          <w:lang w:val="es-CO"/>
        </w:rPr>
        <w:t>e) Deta</w:t>
      </w:r>
      <w:r>
        <w:rPr>
          <w:rFonts w:ascii="Arial" w:hAnsi="Arial" w:cs="Arial"/>
          <w:lang w:val="es-CO"/>
        </w:rPr>
        <w:t>lle de los comparables seleccionados. La documentación e información a preparar y remitir por cada tipo de operación o empresa comparable, deberá tener el nivel de detalle requerido para demostrar la aplicación de los criterios de comparabilidad de que tra</w:t>
      </w:r>
      <w:r>
        <w:rPr>
          <w:rFonts w:ascii="Arial" w:hAnsi="Arial" w:cs="Arial"/>
          <w:lang w:val="es-CO"/>
        </w:rPr>
        <w:t>ta el artículo 260-4 del Estatuto Tributario, para lo cual se identificarán cada uno de los comparables seleccionados, la metodología utilizada para su determinación, las fuentes de información de las que se obtuvieron esos comparables y la fecha de consul</w:t>
      </w:r>
      <w:r>
        <w:rPr>
          <w:rFonts w:ascii="Arial" w:hAnsi="Arial" w:cs="Arial"/>
          <w:lang w:val="es-CO"/>
        </w:rPr>
        <w:t>ta a las mismas, así como la indicación de los comparables seleccionados que se desecharon, señalando los motivos que se tuvieron en consideración para ello.</w:t>
      </w:r>
    </w:p>
    <w:p w14:paraId="1BEF4714" w14:textId="77777777" w:rsidR="00B2442D" w:rsidRDefault="00B2442D">
      <w:pPr>
        <w:ind w:left="284" w:hanging="284"/>
        <w:jc w:val="both"/>
        <w:rPr>
          <w:rFonts w:ascii="Arial" w:hAnsi="Arial" w:cs="Arial"/>
          <w:lang w:val="es-CO"/>
        </w:rPr>
      </w:pPr>
    </w:p>
    <w:p w14:paraId="4586878F" w14:textId="77777777" w:rsidR="00B2442D" w:rsidRDefault="008A645F">
      <w:pPr>
        <w:ind w:left="284"/>
        <w:jc w:val="both"/>
        <w:rPr>
          <w:rFonts w:ascii="Arial" w:hAnsi="Arial" w:cs="Arial"/>
          <w:lang w:val="es-CO"/>
        </w:rPr>
      </w:pPr>
      <w:r>
        <w:rPr>
          <w:rFonts w:ascii="Arial" w:hAnsi="Arial" w:cs="Arial"/>
          <w:lang w:val="es-CO"/>
        </w:rPr>
        <w:t>La información correspondiente al contribuyente bajo análisis siempre deberá corresponder a la de</w:t>
      </w:r>
      <w:r>
        <w:rPr>
          <w:rFonts w:ascii="Arial" w:hAnsi="Arial" w:cs="Arial"/>
          <w:lang w:val="es-CO"/>
        </w:rPr>
        <w:t>l año bajo análisis. Solo en casos excepcionales se podrán utilizar datos de más de un periodo, siempre y cuando se incluyan en la documentación comprobatoria las razones económicas, financieras, técnicas o de otra índole que resulten pertinentes y conduce</w:t>
      </w:r>
      <w:r>
        <w:rPr>
          <w:rFonts w:ascii="Arial" w:hAnsi="Arial" w:cs="Arial"/>
          <w:lang w:val="es-CO"/>
        </w:rPr>
        <w:t>ntes a los fines del estudio y se encuentren debidamente justificadas.</w:t>
      </w:r>
    </w:p>
    <w:p w14:paraId="550B42C1" w14:textId="77777777" w:rsidR="00B2442D" w:rsidRDefault="00B2442D">
      <w:pPr>
        <w:ind w:left="284" w:hanging="284"/>
        <w:jc w:val="both"/>
        <w:rPr>
          <w:rFonts w:ascii="Arial" w:hAnsi="Arial" w:cs="Arial"/>
          <w:lang w:val="es-CO"/>
        </w:rPr>
      </w:pPr>
    </w:p>
    <w:p w14:paraId="2C0CBCBB" w14:textId="77777777" w:rsidR="00B2442D" w:rsidRDefault="008A645F">
      <w:pPr>
        <w:ind w:left="284"/>
        <w:jc w:val="both"/>
        <w:rPr>
          <w:rFonts w:ascii="Arial" w:hAnsi="Arial" w:cs="Arial"/>
          <w:lang w:val="es-CO"/>
        </w:rPr>
      </w:pPr>
      <w:r>
        <w:rPr>
          <w:rFonts w:ascii="Arial" w:hAnsi="Arial" w:cs="Arial"/>
          <w:lang w:val="es-CO"/>
        </w:rPr>
        <w:t xml:space="preserve">Para estos efectos, deberán ser utilizados datos que correspondan al mismo año gravable, o en su defecto de los períodos inmediatamente anteriores, o proyecciones en el caso de nuevas </w:t>
      </w:r>
      <w:r>
        <w:rPr>
          <w:rFonts w:ascii="Arial" w:hAnsi="Arial" w:cs="Arial"/>
          <w:lang w:val="es-CO"/>
        </w:rPr>
        <w:t xml:space="preserve">compañías o compañías que hayan tenido cambios significativos en sus funciones, activos y riesgos, durante el año gravable objeto de análisis, con el fin de determinar, entre otras circunstancias, el origen de las pérdidas declaradas, el ciclo de vida del </w:t>
      </w:r>
      <w:r>
        <w:rPr>
          <w:rFonts w:ascii="Arial" w:hAnsi="Arial" w:cs="Arial"/>
          <w:lang w:val="es-CO"/>
        </w:rPr>
        <w:t>producto, los negocios relevantes, los ciclos de vida de productos comparables, las condiciones económicas comparables, los criterios y métodos de distribución de costos y/o gastos, de conformidad con el manejo técnico contable para la asignación de los mi</w:t>
      </w:r>
      <w:r>
        <w:rPr>
          <w:rFonts w:ascii="Arial" w:hAnsi="Arial" w:cs="Arial"/>
          <w:lang w:val="es-CO"/>
        </w:rPr>
        <w:t>smos, las cláusulas contractuales y condiciones reales que operan entre las partes, aportando en la documentación comprobatoria los hechos, circunstancias y demás análisis que justifiquen tal decisión.</w:t>
      </w:r>
    </w:p>
    <w:p w14:paraId="7FB12ADF" w14:textId="77777777" w:rsidR="00B2442D" w:rsidRDefault="00B2442D">
      <w:pPr>
        <w:ind w:left="284" w:hanging="284"/>
        <w:jc w:val="both"/>
        <w:rPr>
          <w:rFonts w:ascii="Arial" w:hAnsi="Arial" w:cs="Arial"/>
          <w:lang w:val="es-CO"/>
        </w:rPr>
      </w:pPr>
    </w:p>
    <w:p w14:paraId="4AC69E27" w14:textId="77777777" w:rsidR="00B2442D" w:rsidRDefault="008A645F">
      <w:pPr>
        <w:ind w:left="284"/>
        <w:jc w:val="both"/>
        <w:rPr>
          <w:rFonts w:ascii="Arial" w:hAnsi="Arial" w:cs="Arial"/>
          <w:lang w:val="es-CO"/>
        </w:rPr>
      </w:pPr>
      <w:r>
        <w:rPr>
          <w:rFonts w:ascii="Arial" w:hAnsi="Arial" w:cs="Arial"/>
          <w:lang w:val="es-CO"/>
        </w:rPr>
        <w:t>Respecto de la información financiera de las comparab</w:t>
      </w:r>
      <w:r>
        <w:rPr>
          <w:rFonts w:ascii="Arial" w:hAnsi="Arial" w:cs="Arial"/>
          <w:lang w:val="es-CO"/>
        </w:rPr>
        <w:t xml:space="preserve">les, se deberá llevar a cabo el análisis con información correspondiente al periodo gravable objeto de estudio. De no contarse con dicha información, se podrá tomar en consideración información correspondiente a ejercicios anteriores al ejercicio gravable </w:t>
      </w:r>
      <w:r>
        <w:rPr>
          <w:rFonts w:ascii="Arial" w:hAnsi="Arial" w:cs="Arial"/>
          <w:lang w:val="es-CO"/>
        </w:rPr>
        <w:t>para el cual se realiza la búsqueda y el correspondiente análisis. Para ello en la documentación comprobatoria debe dejarse explícito el día, mes y año en el cual se llevó a cabo el análisis así como la fecha de actualización de la base de datos utilizada.</w:t>
      </w:r>
      <w:r>
        <w:rPr>
          <w:rFonts w:ascii="Arial" w:hAnsi="Arial" w:cs="Arial"/>
          <w:lang w:val="es-CO"/>
        </w:rPr>
        <w:t xml:space="preserve"> De ser necesario para el análisis contar con varios períodos, se deberán aportar a la documentación comprobatoria todos los análisis y explicaciones que resulten necesarios para justificar debidamente la necesidad de dicha información.</w:t>
      </w:r>
    </w:p>
    <w:p w14:paraId="40AE22CC" w14:textId="77777777" w:rsidR="00B2442D" w:rsidRDefault="00B2442D">
      <w:pPr>
        <w:ind w:left="284" w:hanging="284"/>
        <w:jc w:val="both"/>
        <w:rPr>
          <w:rFonts w:ascii="Arial" w:hAnsi="Arial" w:cs="Arial"/>
          <w:lang w:val="es-CO"/>
        </w:rPr>
      </w:pPr>
    </w:p>
    <w:p w14:paraId="7379C3C6"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 xml:space="preserve"> Descripción de</w:t>
      </w:r>
      <w:r>
        <w:rPr>
          <w:rFonts w:ascii="Arial" w:hAnsi="Arial" w:cs="Arial"/>
          <w:lang w:val="es-CO"/>
        </w:rPr>
        <w:t xml:space="preserve"> las políticas de precios de transferencia llevadas a cabo a nivel mundial por el grupo al cual se pertenece o por parte del vinculado con el cual se tiene operaciones, en tanto afecten la operación bajo análisis.</w:t>
      </w:r>
    </w:p>
    <w:p w14:paraId="215870B4" w14:textId="77777777" w:rsidR="00B2442D" w:rsidRDefault="00B2442D">
      <w:pPr>
        <w:ind w:left="284" w:hanging="284"/>
        <w:jc w:val="both"/>
        <w:rPr>
          <w:rFonts w:ascii="Arial" w:hAnsi="Arial" w:cs="Arial"/>
          <w:lang w:val="es-CO"/>
        </w:rPr>
      </w:pPr>
    </w:p>
    <w:p w14:paraId="58E860E9"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 Uso de comparables internos. En caso </w:t>
      </w:r>
      <w:r>
        <w:rPr>
          <w:rFonts w:ascii="Arial" w:hAnsi="Arial" w:cs="Arial"/>
          <w:lang w:val="es-CO"/>
        </w:rPr>
        <w:t>de existir comparables internos, estos deberán ser tenidos en cuenta de manera prioritaria en el análisis de los precios de transferencia, en la medida que no existan diferencias significativas entre las operaciones comparables o que en el caso de existir,</w:t>
      </w:r>
      <w:r>
        <w:rPr>
          <w:rFonts w:ascii="Arial" w:hAnsi="Arial" w:cs="Arial"/>
          <w:lang w:val="es-CO"/>
        </w:rPr>
        <w:t xml:space="preserve"> las mismas no afecten las condiciones analizadas, o que dado el caso se puedan realizar ajustes técnicos, económicos o contables que permitan su eliminación y optimicen la comparación. Para tal efecto deberán tenerse en cuenta, las características de los </w:t>
      </w:r>
      <w:r>
        <w:rPr>
          <w:rFonts w:ascii="Arial" w:hAnsi="Arial" w:cs="Arial"/>
          <w:lang w:val="es-CO"/>
        </w:rPr>
        <w:t>bienes o de los servicios, las funciones o actividades económicas, teniendo en cuenta los activos y riesgos asumidos, los términos contractuales, las circunstancias económicas y las estrategias de negocio;</w:t>
      </w:r>
    </w:p>
    <w:p w14:paraId="65DABB56" w14:textId="77777777" w:rsidR="00B2442D" w:rsidRDefault="00B2442D">
      <w:pPr>
        <w:ind w:left="284" w:hanging="284"/>
        <w:jc w:val="both"/>
        <w:rPr>
          <w:rFonts w:ascii="Arial" w:hAnsi="Arial" w:cs="Arial"/>
          <w:lang w:val="es-CO"/>
        </w:rPr>
      </w:pPr>
    </w:p>
    <w:p w14:paraId="1351B347" w14:textId="77777777" w:rsidR="00B2442D" w:rsidRDefault="008A645F">
      <w:pPr>
        <w:ind w:left="284" w:hanging="284"/>
        <w:jc w:val="both"/>
        <w:rPr>
          <w:rFonts w:ascii="Arial" w:hAnsi="Arial" w:cs="Arial"/>
          <w:lang w:val="es-CO"/>
        </w:rPr>
      </w:pPr>
      <w:r>
        <w:rPr>
          <w:rFonts w:ascii="Arial" w:hAnsi="Arial" w:cs="Arial"/>
          <w:lang w:val="es-CO"/>
        </w:rPr>
        <w:t xml:space="preserve">h) Descripción de la actividad económica o </w:t>
      </w:r>
      <w:r>
        <w:rPr>
          <w:rFonts w:ascii="Arial" w:hAnsi="Arial" w:cs="Arial"/>
          <w:lang w:val="es-CO"/>
        </w:rPr>
        <w:t>empresarial y características del negocio desarrolladas por los comparables seleccionados.</w:t>
      </w:r>
    </w:p>
    <w:p w14:paraId="405766E3" w14:textId="77777777" w:rsidR="00B2442D" w:rsidRDefault="00B2442D">
      <w:pPr>
        <w:ind w:left="284" w:hanging="284"/>
        <w:jc w:val="both"/>
        <w:rPr>
          <w:rFonts w:ascii="Arial" w:hAnsi="Arial" w:cs="Arial"/>
          <w:lang w:val="es-CO"/>
        </w:rPr>
      </w:pPr>
    </w:p>
    <w:p w14:paraId="7412DFDD" w14:textId="77777777" w:rsidR="00B2442D" w:rsidRDefault="008A645F">
      <w:pPr>
        <w:ind w:left="284" w:hanging="284"/>
        <w:jc w:val="both"/>
        <w:rPr>
          <w:rFonts w:ascii="Arial" w:hAnsi="Arial" w:cs="Arial"/>
          <w:lang w:val="es-CO"/>
        </w:rPr>
      </w:pPr>
      <w:r>
        <w:rPr>
          <w:rFonts w:ascii="Arial" w:hAnsi="Arial" w:cs="Arial"/>
          <w:lang w:val="es-CO"/>
        </w:rPr>
        <w:t>i) Establecimiento del rango de plena competencia y de la mediana.</w:t>
      </w:r>
    </w:p>
    <w:p w14:paraId="1323137B" w14:textId="77777777" w:rsidR="00B2442D" w:rsidRDefault="00B2442D">
      <w:pPr>
        <w:ind w:left="284" w:hanging="284"/>
        <w:jc w:val="both"/>
        <w:rPr>
          <w:rFonts w:ascii="Arial" w:hAnsi="Arial" w:cs="Arial"/>
          <w:lang w:val="es-CO"/>
        </w:rPr>
      </w:pPr>
    </w:p>
    <w:p w14:paraId="43AF0244" w14:textId="77777777" w:rsidR="00B2442D" w:rsidRDefault="008A645F">
      <w:pPr>
        <w:ind w:left="284" w:hanging="284"/>
        <w:jc w:val="both"/>
        <w:rPr>
          <w:rFonts w:ascii="Arial" w:hAnsi="Arial" w:cs="Arial"/>
          <w:lang w:val="es-CO"/>
        </w:rPr>
      </w:pPr>
      <w:r>
        <w:rPr>
          <w:rFonts w:ascii="Arial" w:hAnsi="Arial" w:cs="Arial"/>
          <w:lang w:val="es-CO"/>
        </w:rPr>
        <w:t>j) Descripción de los ajustes técnicos, económicos o contables realizados a los tipos de operaci</w:t>
      </w:r>
      <w:r>
        <w:rPr>
          <w:rFonts w:ascii="Arial" w:hAnsi="Arial" w:cs="Arial"/>
          <w:lang w:val="es-CO"/>
        </w:rPr>
        <w:t>ón o empresas comparables seleccionadas.</w:t>
      </w:r>
    </w:p>
    <w:p w14:paraId="2BF6C777" w14:textId="77777777" w:rsidR="00B2442D" w:rsidRDefault="00B2442D">
      <w:pPr>
        <w:ind w:left="284" w:hanging="284"/>
        <w:jc w:val="both"/>
        <w:rPr>
          <w:rFonts w:ascii="Arial" w:hAnsi="Arial" w:cs="Arial"/>
          <w:lang w:val="es-CO"/>
        </w:rPr>
      </w:pPr>
    </w:p>
    <w:p w14:paraId="354EF520" w14:textId="77777777" w:rsidR="00B2442D" w:rsidRDefault="008A645F">
      <w:pPr>
        <w:ind w:left="284"/>
        <w:jc w:val="both"/>
        <w:rPr>
          <w:rFonts w:ascii="Arial" w:hAnsi="Arial" w:cs="Arial"/>
          <w:lang w:val="es-CO"/>
        </w:rPr>
      </w:pPr>
      <w:r>
        <w:rPr>
          <w:rFonts w:ascii="Arial" w:hAnsi="Arial" w:cs="Arial"/>
          <w:lang w:val="es-CO"/>
        </w:rPr>
        <w:t xml:space="preserve">Para tales efectos deberá tenerse en cuenta que una operación vinculada es comparable a una operación no vinculada, si ninguna de las diferencias, si las hubiera, entre las dos operaciones que se comparan, o entre </w:t>
      </w:r>
      <w:r>
        <w:rPr>
          <w:rFonts w:ascii="Arial" w:hAnsi="Arial" w:cs="Arial"/>
          <w:lang w:val="es-CO"/>
        </w:rPr>
        <w:t>las dos empresas que llevan a cabo esas operaciones, influye significativamente en el valor normal de mercado, o que en el caso de existir, pueden realizarse ajustes lo suficientemente razonables y precisos de manera tal que puedan eliminar los efectos imp</w:t>
      </w:r>
      <w:r>
        <w:rPr>
          <w:rFonts w:ascii="Arial" w:hAnsi="Arial" w:cs="Arial"/>
          <w:lang w:val="es-CO"/>
        </w:rPr>
        <w:t>ortantes que estas provoquen.</w:t>
      </w:r>
    </w:p>
    <w:p w14:paraId="311E9EBF" w14:textId="77777777" w:rsidR="00B2442D" w:rsidRDefault="00B2442D">
      <w:pPr>
        <w:ind w:left="284" w:hanging="284"/>
        <w:jc w:val="both"/>
        <w:rPr>
          <w:rFonts w:ascii="Arial" w:hAnsi="Arial" w:cs="Arial"/>
          <w:lang w:val="es-CO"/>
        </w:rPr>
      </w:pPr>
    </w:p>
    <w:p w14:paraId="7EBCE238" w14:textId="77777777" w:rsidR="00B2442D" w:rsidRDefault="008A645F">
      <w:pPr>
        <w:ind w:left="284"/>
        <w:jc w:val="both"/>
        <w:rPr>
          <w:rFonts w:ascii="Arial" w:hAnsi="Arial" w:cs="Arial"/>
          <w:lang w:val="es-CO"/>
        </w:rPr>
      </w:pPr>
      <w:r>
        <w:rPr>
          <w:rFonts w:ascii="Arial" w:hAnsi="Arial" w:cs="Arial"/>
          <w:lang w:val="es-CO"/>
        </w:rPr>
        <w:t>Los ajustes deberán considerarse solo en la medida en que las diferencias afecten de una manera real la comparación y en la medida en que mejoren la fiabilidad de los resultados y por ende la comparabilidad. Para ello deben t</w:t>
      </w:r>
      <w:r>
        <w:rPr>
          <w:rFonts w:ascii="Arial" w:hAnsi="Arial" w:cs="Arial"/>
          <w:lang w:val="es-CO"/>
        </w:rPr>
        <w:t>enerse en cuenta la calidad de los datos sometidos al ajuste, su objeto y la fiabilidad de los criterios utilizados para realizar tales ajustes.</w:t>
      </w:r>
    </w:p>
    <w:p w14:paraId="2F3F8092" w14:textId="77777777" w:rsidR="00B2442D" w:rsidRDefault="00B2442D">
      <w:pPr>
        <w:ind w:left="284" w:hanging="284"/>
        <w:jc w:val="both"/>
        <w:rPr>
          <w:rFonts w:ascii="Arial" w:hAnsi="Arial" w:cs="Arial"/>
          <w:lang w:val="es-CO"/>
        </w:rPr>
      </w:pPr>
    </w:p>
    <w:p w14:paraId="32342F31" w14:textId="77777777" w:rsidR="00B2442D" w:rsidRDefault="008A645F">
      <w:pPr>
        <w:ind w:left="284"/>
        <w:jc w:val="both"/>
        <w:rPr>
          <w:rFonts w:ascii="Arial" w:hAnsi="Arial" w:cs="Arial"/>
          <w:lang w:val="es-CO"/>
        </w:rPr>
      </w:pPr>
      <w:r>
        <w:rPr>
          <w:rFonts w:ascii="Arial" w:hAnsi="Arial" w:cs="Arial"/>
          <w:lang w:val="es-CO"/>
        </w:rPr>
        <w:t>De manera excepcional y solo en el caso de requerirse ajustes a la parte bajo análisis. Deberán incluirse el d</w:t>
      </w:r>
      <w:r>
        <w:rPr>
          <w:rFonts w:ascii="Arial" w:hAnsi="Arial" w:cs="Arial"/>
          <w:lang w:val="es-CO"/>
        </w:rPr>
        <w:t>etalle y la justificación técnica, económica o legal que sustenten tales ajustes, incluyendo un análisis pormenorizado de su cuantificación.</w:t>
      </w:r>
    </w:p>
    <w:p w14:paraId="17032F96" w14:textId="77777777" w:rsidR="00B2442D" w:rsidRDefault="00B2442D">
      <w:pPr>
        <w:ind w:left="284" w:hanging="284"/>
        <w:jc w:val="both"/>
        <w:rPr>
          <w:rFonts w:ascii="Arial" w:hAnsi="Arial" w:cs="Arial"/>
          <w:lang w:val="es-CO"/>
        </w:rPr>
      </w:pPr>
    </w:p>
    <w:p w14:paraId="70455D97" w14:textId="77777777" w:rsidR="00B2442D" w:rsidRDefault="008A645F">
      <w:pPr>
        <w:ind w:left="284"/>
        <w:jc w:val="both"/>
        <w:rPr>
          <w:rFonts w:ascii="Arial" w:hAnsi="Arial" w:cs="Arial"/>
          <w:lang w:val="es-CO"/>
        </w:rPr>
      </w:pPr>
      <w:r>
        <w:rPr>
          <w:rFonts w:ascii="Arial" w:hAnsi="Arial" w:cs="Arial"/>
          <w:lang w:val="es-CO"/>
        </w:rPr>
        <w:t>Deberán incorporarse a la documentación comprobatoria los documentos que soporten los análisis, fórmulas y cálculo</w:t>
      </w:r>
      <w:r>
        <w:rPr>
          <w:rFonts w:ascii="Arial" w:hAnsi="Arial" w:cs="Arial"/>
          <w:lang w:val="es-CO"/>
        </w:rPr>
        <w:t>s efectuados por el contribuyente para tal efecto, las razones que llevaron a considerarlos como apropiados y la forma en que el ajuste modifica los resultados para cada comparable y mejora la comparabilidad.</w:t>
      </w:r>
    </w:p>
    <w:p w14:paraId="30244A5D" w14:textId="77777777" w:rsidR="00B2442D" w:rsidRDefault="00B2442D">
      <w:pPr>
        <w:ind w:left="284" w:hanging="284"/>
        <w:jc w:val="both"/>
        <w:rPr>
          <w:rFonts w:ascii="Arial" w:hAnsi="Arial" w:cs="Arial"/>
          <w:lang w:val="es-CO"/>
        </w:rPr>
      </w:pPr>
    </w:p>
    <w:p w14:paraId="7B45A9D3" w14:textId="77777777" w:rsidR="00B2442D" w:rsidRDefault="008A645F">
      <w:pPr>
        <w:ind w:left="284"/>
        <w:jc w:val="both"/>
        <w:rPr>
          <w:rFonts w:ascii="Arial" w:hAnsi="Arial" w:cs="Arial"/>
          <w:lang w:val="es-CO"/>
        </w:rPr>
      </w:pPr>
      <w:r>
        <w:rPr>
          <w:rFonts w:ascii="Arial" w:hAnsi="Arial" w:cs="Arial"/>
          <w:lang w:val="es-CO"/>
        </w:rPr>
        <w:t>Igualmente y de conformidad con el método util</w:t>
      </w:r>
      <w:r>
        <w:rPr>
          <w:rFonts w:ascii="Arial" w:hAnsi="Arial" w:cs="Arial"/>
          <w:lang w:val="es-CO"/>
        </w:rPr>
        <w:t>izado, y solo cuando hayan tenido incidencia en el tipo de operación bajo análisis, se deberá hacer una descripción genérica de las principales diferencias existentes en las prácticas contables de Colombia y las de los países en donde se localizan los comp</w:t>
      </w:r>
      <w:r>
        <w:rPr>
          <w:rFonts w:ascii="Arial" w:hAnsi="Arial" w:cs="Arial"/>
          <w:lang w:val="es-CO"/>
        </w:rPr>
        <w:t>arables seleccionados o los vinculados económicos con los cuales se celebraron operaciones.</w:t>
      </w:r>
    </w:p>
    <w:p w14:paraId="3A90EDE7" w14:textId="77777777" w:rsidR="00B2442D" w:rsidRDefault="00B2442D">
      <w:pPr>
        <w:ind w:left="284" w:hanging="284"/>
        <w:jc w:val="both"/>
        <w:rPr>
          <w:rFonts w:ascii="Arial" w:hAnsi="Arial" w:cs="Arial"/>
          <w:lang w:val="es-CO"/>
        </w:rPr>
      </w:pPr>
    </w:p>
    <w:p w14:paraId="65038045" w14:textId="77777777" w:rsidR="00B2442D" w:rsidRDefault="008A645F">
      <w:pPr>
        <w:ind w:left="284" w:hanging="284"/>
        <w:jc w:val="both"/>
        <w:rPr>
          <w:rFonts w:ascii="Arial" w:hAnsi="Arial" w:cs="Arial"/>
          <w:lang w:val="es-CO"/>
        </w:rPr>
      </w:pPr>
      <w:r>
        <w:rPr>
          <w:rFonts w:ascii="Arial" w:hAnsi="Arial" w:cs="Arial"/>
          <w:lang w:val="es-CO"/>
        </w:rPr>
        <w:t>k) Estados de resultados de las empresas comparables indicando fuente y fecha de obtención de dicha información.</w:t>
      </w:r>
    </w:p>
    <w:p w14:paraId="525CD099" w14:textId="77777777" w:rsidR="00B2442D" w:rsidRDefault="00B2442D">
      <w:pPr>
        <w:ind w:left="284" w:hanging="284"/>
        <w:jc w:val="both"/>
        <w:rPr>
          <w:rFonts w:ascii="Arial" w:hAnsi="Arial" w:cs="Arial"/>
          <w:lang w:val="es-CO"/>
        </w:rPr>
      </w:pPr>
    </w:p>
    <w:p w14:paraId="4DBB6F3F" w14:textId="77777777" w:rsidR="00B2442D" w:rsidRDefault="008A645F">
      <w:pPr>
        <w:ind w:left="284" w:hanging="284"/>
        <w:jc w:val="both"/>
        <w:rPr>
          <w:rFonts w:ascii="Arial" w:hAnsi="Arial" w:cs="Arial"/>
          <w:lang w:val="es-CO"/>
        </w:rPr>
      </w:pPr>
      <w:r>
        <w:rPr>
          <w:rFonts w:ascii="Arial" w:hAnsi="Arial" w:cs="Arial"/>
          <w:lang w:val="es-CO"/>
        </w:rPr>
        <w:t xml:space="preserve">l) Cualquier otra información relacionada con el </w:t>
      </w:r>
      <w:r>
        <w:rPr>
          <w:rFonts w:ascii="Arial" w:hAnsi="Arial" w:cs="Arial"/>
          <w:lang w:val="es-CO"/>
        </w:rPr>
        <w:t>análisis económico que se considere relevante por parte del contribuyente, para la determinación de las condiciones utilizadas en operaciones comparables con o entre partes independientes.</w:t>
      </w:r>
    </w:p>
    <w:p w14:paraId="2AA7B2C8" w14:textId="77777777" w:rsidR="00B2442D" w:rsidRDefault="00B2442D">
      <w:pPr>
        <w:ind w:left="284" w:hanging="284"/>
        <w:jc w:val="both"/>
        <w:rPr>
          <w:rFonts w:ascii="Arial" w:hAnsi="Arial" w:cs="Arial"/>
          <w:lang w:val="es-CO"/>
        </w:rPr>
      </w:pPr>
    </w:p>
    <w:p w14:paraId="7E8275E6" w14:textId="77777777" w:rsidR="00B2442D" w:rsidRDefault="008A645F">
      <w:pPr>
        <w:ind w:left="284" w:hanging="284"/>
        <w:jc w:val="both"/>
        <w:rPr>
          <w:rFonts w:ascii="Arial" w:hAnsi="Arial" w:cs="Arial"/>
          <w:lang w:val="es-CO"/>
        </w:rPr>
      </w:pPr>
      <w:r>
        <w:rPr>
          <w:rFonts w:ascii="Arial" w:hAnsi="Arial" w:cs="Arial"/>
          <w:lang w:val="es-CO"/>
        </w:rPr>
        <w:t>m) Conclusiones detalladas sobre la conformidad o no de los precio</w:t>
      </w:r>
      <w:r>
        <w:rPr>
          <w:rFonts w:ascii="Arial" w:hAnsi="Arial" w:cs="Arial"/>
          <w:lang w:val="es-CO"/>
        </w:rPr>
        <w:t>s o márgenes de utilidad de los tipos de operación con el Principio de Plena Competencia y demás normas que regulan el régimen de precios de transferencia.</w:t>
      </w:r>
    </w:p>
    <w:p w14:paraId="6DF1F130" w14:textId="77777777" w:rsidR="00B2442D" w:rsidRDefault="00B2442D">
      <w:pPr>
        <w:jc w:val="both"/>
        <w:rPr>
          <w:rFonts w:ascii="Arial" w:hAnsi="Arial" w:cs="Arial"/>
          <w:lang w:val="es-CO"/>
        </w:rPr>
      </w:pPr>
    </w:p>
    <w:p w14:paraId="75BEA95B"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Cuando los contribuyentes del impuesto sobre la renta y complementario celebren opera</w:t>
      </w:r>
      <w:r>
        <w:rPr>
          <w:rFonts w:ascii="Arial" w:hAnsi="Arial" w:cs="Arial"/>
          <w:lang w:val="es-CO"/>
        </w:rPr>
        <w:t>ciones con personas, sociedades, entidades o empresas ubicadas, residentes o domiciliadas en paraísos fiscales, la documentación comprobatoria deberá contener los estudios, documentos y demás soportes con los cuales el contribuyente demuestre que sus ingre</w:t>
      </w:r>
      <w:r>
        <w:rPr>
          <w:rFonts w:ascii="Arial" w:hAnsi="Arial" w:cs="Arial"/>
          <w:lang w:val="es-CO"/>
        </w:rPr>
        <w:t>sos, costos, deducciones, activos y pasivos adquiridos en el respectivo año gravable, relativos a las operaciones fueron determinados considerando para esas operaciones el Principio de Plena Competencia, entendido como aquel en el cual las operaciones entr</w:t>
      </w:r>
      <w:r>
        <w:rPr>
          <w:rFonts w:ascii="Arial" w:hAnsi="Arial" w:cs="Arial"/>
          <w:lang w:val="es-CO"/>
        </w:rPr>
        <w:t>e vinculados cumplen con las condiciones que se hubiesen observado en operaciones comparables con o entre partes independientes.</w:t>
      </w:r>
    </w:p>
    <w:p w14:paraId="2E74100E" w14:textId="77777777" w:rsidR="00B2442D" w:rsidRDefault="00B2442D">
      <w:pPr>
        <w:jc w:val="both"/>
        <w:rPr>
          <w:rFonts w:ascii="Arial" w:hAnsi="Arial" w:cs="Arial"/>
          <w:lang w:val="es-CO"/>
        </w:rPr>
      </w:pPr>
    </w:p>
    <w:p w14:paraId="3598B6A3" w14:textId="77777777" w:rsidR="00B2442D" w:rsidRDefault="008A645F">
      <w:pPr>
        <w:jc w:val="both"/>
        <w:rPr>
          <w:rFonts w:ascii="Arial" w:hAnsi="Arial" w:cs="Arial"/>
          <w:lang w:val="es-CO"/>
        </w:rPr>
      </w:pPr>
      <w:r>
        <w:rPr>
          <w:rFonts w:ascii="Arial" w:hAnsi="Arial" w:cs="Arial"/>
          <w:lang w:val="es-CO"/>
        </w:rPr>
        <w:t>Cuando los contribuyentes del impuesto sobre la renta y complementario celebren operaciones que resulten en pagos a favor de p</w:t>
      </w:r>
      <w:r>
        <w:rPr>
          <w:rFonts w:ascii="Arial" w:hAnsi="Arial" w:cs="Arial"/>
          <w:lang w:val="es-CO"/>
        </w:rPr>
        <w:t>ersonas, sociedades, entidades o empresas ubicadas, residentes o domiciliadas en un paraíso fiscal, dichos contribuyentes deberán documentar y demostrar el detalle de las funciones realizadas, activos empleados, riesgos asumidos y la totalidad de los costo</w:t>
      </w:r>
      <w:r>
        <w:rPr>
          <w:rFonts w:ascii="Arial" w:hAnsi="Arial" w:cs="Arial"/>
          <w:lang w:val="es-CO"/>
        </w:rPr>
        <w:t>s y gastos incurridos por la persona, sociedad, entidad o empresa ubicada, residente o domiciliada en el paraíso fiscal para la realización de las actividades que generaron las operaciones llevadas a cabo, so pena de que dichas operaciones sean tratadas co</w:t>
      </w:r>
      <w:r>
        <w:rPr>
          <w:rFonts w:ascii="Arial" w:hAnsi="Arial" w:cs="Arial"/>
          <w:lang w:val="es-CO"/>
        </w:rPr>
        <w:t>mo no constitutivas ni de costo ni deducción en el impuesto sobre la renta y complementario del correspondiente periodo.</w:t>
      </w:r>
    </w:p>
    <w:p w14:paraId="3EA364FB" w14:textId="77777777" w:rsidR="00B2442D" w:rsidRDefault="00B2442D">
      <w:pPr>
        <w:jc w:val="both"/>
        <w:rPr>
          <w:rFonts w:ascii="Arial" w:hAnsi="Arial" w:cs="Arial"/>
          <w:lang w:val="es-CO"/>
        </w:rPr>
      </w:pPr>
    </w:p>
    <w:p w14:paraId="1D65BBE4" w14:textId="77777777" w:rsidR="00B2442D" w:rsidRDefault="008A645F">
      <w:pPr>
        <w:jc w:val="both"/>
        <w:rPr>
          <w:rFonts w:ascii="Arial" w:hAnsi="Arial" w:cs="Arial"/>
          <w:lang w:val="es-CO"/>
        </w:rPr>
      </w:pPr>
      <w:r>
        <w:rPr>
          <w:rFonts w:ascii="Arial" w:hAnsi="Arial" w:cs="Arial"/>
          <w:lang w:val="es-CO"/>
        </w:rPr>
        <w:t xml:space="preserve">Lo preceptuado en el parágrafo tercero del artículo 260-7 del Estatuto Tributario en concordancia con el inciso anterior no será </w:t>
      </w:r>
      <w:r>
        <w:rPr>
          <w:rFonts w:ascii="Arial" w:hAnsi="Arial" w:cs="Arial"/>
          <w:lang w:val="es-CO"/>
        </w:rPr>
        <w:t>aplicable, cuando el contribuyente demuestre que no se trata de operaciones celebradas con vinculados en los términos del artículo 260-1 del Estatuto Tributario, allegando a la documentación comprobatoria las pruebas que considere pertinentes.</w:t>
      </w:r>
    </w:p>
    <w:p w14:paraId="62E5D0F9" w14:textId="77777777" w:rsidR="00B2442D" w:rsidRDefault="00B2442D">
      <w:pPr>
        <w:jc w:val="both"/>
        <w:rPr>
          <w:rFonts w:ascii="Arial" w:hAnsi="Arial" w:cs="Arial"/>
          <w:lang w:val="es-CO"/>
        </w:rPr>
      </w:pPr>
    </w:p>
    <w:p w14:paraId="258ED4AC"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b/>
          <w:lang w:val="es-CO"/>
        </w:rPr>
        <w:t>o.</w:t>
      </w:r>
      <w:r>
        <w:rPr>
          <w:rFonts w:ascii="Arial" w:hAnsi="Arial" w:cs="Arial"/>
          <w:lang w:val="es-CO"/>
        </w:rPr>
        <w:t xml:space="preserve"> La documentación comprobatoria deberá prepararse en idioma castellano, sin perjuicio de que la Unidad Administrativa Especial Dirección de Impuestos y Aduanas Nacionales– DIAN solicite que los documentos extendidos en idioma distinto que se encuentren i</w:t>
      </w:r>
      <w:r>
        <w:rPr>
          <w:rFonts w:ascii="Arial" w:hAnsi="Arial" w:cs="Arial"/>
          <w:lang w:val="es-CO"/>
        </w:rPr>
        <w:t>ncorporados en la misma, se alleguen con su correspondiente traducción oficial efectuada por el Ministerio de Relaciones Exteriores o por un intérprete oficial, dentro de los veinte (20) días hábiles siguientes a su solicitud.</w:t>
      </w:r>
    </w:p>
    <w:p w14:paraId="738199C1" w14:textId="77777777" w:rsidR="00B2442D" w:rsidRDefault="00B2442D">
      <w:pPr>
        <w:jc w:val="both"/>
        <w:rPr>
          <w:rFonts w:ascii="Arial" w:hAnsi="Arial" w:cs="Arial"/>
          <w:lang w:val="es-CO"/>
        </w:rPr>
      </w:pPr>
    </w:p>
    <w:p w14:paraId="4DF4880F"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La documentaci</w:t>
      </w:r>
      <w:r>
        <w:rPr>
          <w:rFonts w:ascii="Arial" w:hAnsi="Arial" w:cs="Arial"/>
          <w:lang w:val="es-CO"/>
        </w:rPr>
        <w:t>ón comprobatoria deberá estar acompañada de la siguiente información:</w:t>
      </w:r>
    </w:p>
    <w:p w14:paraId="39148689" w14:textId="77777777" w:rsidR="00B2442D" w:rsidRDefault="00B2442D">
      <w:pPr>
        <w:jc w:val="both"/>
        <w:rPr>
          <w:rFonts w:ascii="Arial" w:hAnsi="Arial" w:cs="Arial"/>
          <w:lang w:val="es-CO"/>
        </w:rPr>
      </w:pPr>
    </w:p>
    <w:p w14:paraId="6379FC80" w14:textId="77777777" w:rsidR="00B2442D" w:rsidRDefault="008A645F">
      <w:pPr>
        <w:ind w:left="284" w:hanging="284"/>
        <w:jc w:val="both"/>
        <w:rPr>
          <w:rFonts w:ascii="Arial" w:hAnsi="Arial" w:cs="Arial"/>
          <w:lang w:val="es-CO"/>
        </w:rPr>
      </w:pPr>
      <w:r>
        <w:rPr>
          <w:rFonts w:ascii="Arial" w:hAnsi="Arial" w:cs="Arial"/>
          <w:lang w:val="es-CO"/>
        </w:rPr>
        <w:t>1. Estados financieros comparativos a 31 de diciembre del año en estudio, preparados con base en los principios de contabilidad generalmente aceptados en Colombia.</w:t>
      </w:r>
    </w:p>
    <w:p w14:paraId="59D8A652" w14:textId="77777777" w:rsidR="00B2442D" w:rsidRDefault="00B2442D">
      <w:pPr>
        <w:ind w:left="284" w:hanging="284"/>
        <w:jc w:val="both"/>
        <w:rPr>
          <w:rFonts w:ascii="Arial" w:hAnsi="Arial" w:cs="Arial"/>
          <w:lang w:val="es-CO"/>
        </w:rPr>
      </w:pPr>
    </w:p>
    <w:p w14:paraId="6771803D"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Estados financie</w:t>
      </w:r>
      <w:r>
        <w:rPr>
          <w:rFonts w:ascii="Arial" w:hAnsi="Arial" w:cs="Arial"/>
          <w:lang w:val="es-CO"/>
        </w:rPr>
        <w:t>ros de propósito general básicos: Balance general, Estado de resultados. Estado de cambios en el patrimonio, Estado de cambios en la situación financiera, Estado de flujos de efectivo y Estados financieros consolidados cuando la matriz o controlante se enc</w:t>
      </w:r>
      <w:r>
        <w:rPr>
          <w:rFonts w:ascii="Arial" w:hAnsi="Arial" w:cs="Arial"/>
          <w:lang w:val="es-CO"/>
        </w:rPr>
        <w:t>uentre en Colombia;</w:t>
      </w:r>
    </w:p>
    <w:p w14:paraId="085185F2" w14:textId="77777777" w:rsidR="00B2442D" w:rsidRDefault="00B2442D">
      <w:pPr>
        <w:ind w:left="284" w:hanging="284"/>
        <w:jc w:val="both"/>
        <w:rPr>
          <w:rFonts w:ascii="Arial" w:hAnsi="Arial" w:cs="Arial"/>
          <w:lang w:val="es-CO"/>
        </w:rPr>
      </w:pPr>
    </w:p>
    <w:p w14:paraId="3A8C49F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Los siguientes Estados financieros de propósito especial: Balance general, Estado de resultados, Estado de costos de producción y de costo de ventas para los bienes y servicios, desagregados o segmentados por tipo de operación cuan</w:t>
      </w:r>
      <w:r>
        <w:rPr>
          <w:rFonts w:ascii="Arial" w:hAnsi="Arial" w:cs="Arial"/>
          <w:lang w:val="es-CO"/>
        </w:rPr>
        <w:t>do a ello haya lugar.</w:t>
      </w:r>
    </w:p>
    <w:p w14:paraId="32FE5349" w14:textId="77777777" w:rsidR="00B2442D" w:rsidRDefault="00B2442D">
      <w:pPr>
        <w:ind w:left="284" w:hanging="284"/>
        <w:jc w:val="both"/>
        <w:rPr>
          <w:rFonts w:ascii="Arial" w:hAnsi="Arial" w:cs="Arial"/>
          <w:lang w:val="es-CO"/>
        </w:rPr>
      </w:pPr>
    </w:p>
    <w:p w14:paraId="61CDE717"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Copia de los contratos, acuerdos o convenios celebrados por el contribuyente con sus vinculados en el exterior, en zonas francas y/o con personas, sociedades, entidades o empresas ubicadas, residentes o domiciliadas en paraísos f</w:t>
      </w:r>
      <w:r>
        <w:rPr>
          <w:rFonts w:ascii="Arial" w:hAnsi="Arial" w:cs="Arial"/>
          <w:lang w:val="es-CO"/>
        </w:rPr>
        <w:t>iscales, en tanto que los mismos hayan afectado los tipos de operación objeto de estudio, la rentabilidad de la compañía o las condiciones que se hubiesen dado en operaciones comparables con o entre partes independientes.</w:t>
      </w:r>
    </w:p>
    <w:p w14:paraId="332759D0" w14:textId="77777777" w:rsidR="00B2442D" w:rsidRDefault="00B2442D">
      <w:pPr>
        <w:ind w:left="284" w:hanging="284"/>
        <w:jc w:val="both"/>
        <w:rPr>
          <w:rFonts w:ascii="Arial" w:hAnsi="Arial" w:cs="Arial"/>
          <w:lang w:val="es-CO"/>
        </w:rPr>
      </w:pPr>
    </w:p>
    <w:p w14:paraId="07AD4F17"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Contratos sobre transferencia</w:t>
      </w:r>
      <w:r>
        <w:rPr>
          <w:rFonts w:ascii="Arial" w:hAnsi="Arial" w:cs="Arial"/>
          <w:lang w:val="es-CO"/>
        </w:rPr>
        <w:t xml:space="preserve"> de acciones, aumentos o disminuciones de capital, readquisición de acciones, fusión, escisión y otros cambios societarios relevantes, ocurridos en el año gravable objeto del estudio de precios de transferencia en tanto que los mismos hayan afectado los ti</w:t>
      </w:r>
      <w:r>
        <w:rPr>
          <w:rFonts w:ascii="Arial" w:hAnsi="Arial" w:cs="Arial"/>
          <w:lang w:val="es-CO"/>
        </w:rPr>
        <w:t>pos de operación objeto de estudio, la rentabilidad de la compañía o las condiciones que se hubiesen dado en operaciones comparables con o entre partes independientes.</w:t>
      </w:r>
    </w:p>
    <w:p w14:paraId="1EBFE69F" w14:textId="77777777" w:rsidR="00B2442D" w:rsidRDefault="00B2442D">
      <w:pPr>
        <w:jc w:val="both"/>
        <w:rPr>
          <w:rFonts w:ascii="Arial" w:hAnsi="Arial" w:cs="Arial"/>
          <w:lang w:val="es-CO"/>
        </w:rPr>
      </w:pPr>
    </w:p>
    <w:p w14:paraId="42FF1D41"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A los efectos de lo previsto en el inciso 3° del artículo 260-5 del Estatu</w:t>
      </w:r>
      <w:r>
        <w:rPr>
          <w:rFonts w:ascii="Arial" w:hAnsi="Arial" w:cs="Arial"/>
          <w:lang w:val="es-CO"/>
        </w:rPr>
        <w:t xml:space="preserve">to Tributario, cuando sea necesaria la segmentación de los estados financieros por tipo de operación para los efectos de comparabilidad entre las operaciones vinculadas y no vinculadas y la correcta aplicación del método para evaluar tales operaciones, la </w:t>
      </w:r>
      <w:r>
        <w:rPr>
          <w:rFonts w:ascii="Arial" w:hAnsi="Arial" w:cs="Arial"/>
          <w:lang w:val="es-CO"/>
        </w:rPr>
        <w:t>información financiera y contable que se utilice deberá ser preparada de conformidad con los principios de contabilidad generalmente aceptados en Colombia y deberá ser allegada a la correspondiente documentación comprobatoria dictaminada y/o certificada po</w:t>
      </w:r>
      <w:r>
        <w:rPr>
          <w:rFonts w:ascii="Arial" w:hAnsi="Arial" w:cs="Arial"/>
          <w:lang w:val="es-CO"/>
        </w:rPr>
        <w:t>r revisor fiscal.</w:t>
      </w:r>
    </w:p>
    <w:p w14:paraId="501228FE" w14:textId="77777777" w:rsidR="00B2442D" w:rsidRDefault="00B2442D">
      <w:pPr>
        <w:jc w:val="both"/>
        <w:rPr>
          <w:rFonts w:ascii="Arial" w:hAnsi="Arial" w:cs="Arial"/>
          <w:lang w:val="es-CO"/>
        </w:rPr>
      </w:pPr>
    </w:p>
    <w:p w14:paraId="63BB8511" w14:textId="77777777" w:rsidR="00B2442D" w:rsidRDefault="008A645F">
      <w:pPr>
        <w:jc w:val="both"/>
        <w:rPr>
          <w:rFonts w:ascii="Arial" w:hAnsi="Arial" w:cs="Arial"/>
          <w:lang w:val="es-CO"/>
        </w:rPr>
      </w:pPr>
      <w:r>
        <w:rPr>
          <w:rFonts w:ascii="Arial" w:hAnsi="Arial" w:cs="Arial"/>
          <w:lang w:val="es-CO"/>
        </w:rPr>
        <w:t>En caso de que el contribuyente del impuesto sobre la renta y complementario no esté obligado a tener revisor fiscal, la certificación de que trata este parágrafo podrá ser suscrita por contador público.</w:t>
      </w:r>
    </w:p>
    <w:p w14:paraId="2BECD37D" w14:textId="77777777" w:rsidR="00B2442D" w:rsidRDefault="00B2442D">
      <w:pPr>
        <w:jc w:val="both"/>
        <w:rPr>
          <w:rFonts w:ascii="Arial" w:hAnsi="Arial" w:cs="Arial"/>
          <w:lang w:val="es-CO"/>
        </w:rPr>
      </w:pPr>
    </w:p>
    <w:p w14:paraId="377A34FB" w14:textId="77777777" w:rsidR="00B2442D" w:rsidRDefault="008A645F">
      <w:pPr>
        <w:jc w:val="both"/>
        <w:rPr>
          <w:rFonts w:ascii="Arial" w:hAnsi="Arial" w:cs="Arial"/>
          <w:lang w:val="es-CO"/>
        </w:rPr>
      </w:pPr>
      <w:r>
        <w:rPr>
          <w:rFonts w:ascii="Arial" w:hAnsi="Arial" w:cs="Arial"/>
          <w:lang w:val="es-CO"/>
        </w:rPr>
        <w:t>Así mismo, cuando la parte anali</w:t>
      </w:r>
      <w:r>
        <w:rPr>
          <w:rFonts w:ascii="Arial" w:hAnsi="Arial" w:cs="Arial"/>
          <w:lang w:val="es-CO"/>
        </w:rPr>
        <w:t>zada sea la del exterior, para efectos del cumplimiento de este requisito, dicha certificación podrá ser suscrita por el equivalente de uno u otro, o un auditor externo y anexarse a la documentación comprobatoria.</w:t>
      </w:r>
    </w:p>
    <w:p w14:paraId="664F6177" w14:textId="77777777" w:rsidR="00B2442D" w:rsidRDefault="00B2442D">
      <w:pPr>
        <w:jc w:val="both"/>
        <w:rPr>
          <w:rFonts w:ascii="Arial" w:hAnsi="Arial" w:cs="Arial"/>
          <w:lang w:val="es-CO"/>
        </w:rPr>
      </w:pPr>
    </w:p>
    <w:p w14:paraId="0E5AFBBC" w14:textId="77777777" w:rsidR="00B2442D" w:rsidRDefault="008A645F">
      <w:pPr>
        <w:jc w:val="both"/>
        <w:rPr>
          <w:rFonts w:ascii="Arial" w:hAnsi="Arial" w:cs="Arial"/>
          <w:lang w:val="es-CO"/>
        </w:rPr>
      </w:pPr>
      <w:r>
        <w:rPr>
          <w:rFonts w:ascii="Arial" w:hAnsi="Arial" w:cs="Arial"/>
          <w:lang w:val="es-CO"/>
        </w:rPr>
        <w:t xml:space="preserve">Se deberán conservar a disposición de la </w:t>
      </w:r>
      <w:r>
        <w:rPr>
          <w:rFonts w:ascii="Arial" w:hAnsi="Arial" w:cs="Arial"/>
          <w:lang w:val="es-CO"/>
        </w:rPr>
        <w:t xml:space="preserve">Administración Tributaria las hojas de trabajo y los soportes en donde se indique la forma como se llevó a cabo la respectiva segmentación, la razonabilidad de la misma, así como los procedimientos técnicos, económicos y financieros mediante los cuales se </w:t>
      </w:r>
      <w:r>
        <w:rPr>
          <w:rFonts w:ascii="Arial" w:hAnsi="Arial" w:cs="Arial"/>
          <w:lang w:val="es-CO"/>
        </w:rPr>
        <w:t>realizó la asignación de costos y gastos. Lo anterior deberá ser allegado cuando la Administración Tributaria así lo solicite.</w:t>
      </w:r>
    </w:p>
    <w:p w14:paraId="5378052E" w14:textId="77777777" w:rsidR="00B2442D" w:rsidRDefault="00B2442D">
      <w:pPr>
        <w:jc w:val="both"/>
        <w:rPr>
          <w:rFonts w:ascii="Arial" w:hAnsi="Arial" w:cs="Arial"/>
          <w:lang w:val="es-CO"/>
        </w:rPr>
      </w:pPr>
    </w:p>
    <w:p w14:paraId="3E6BA428" w14:textId="77777777" w:rsidR="00B2442D" w:rsidRDefault="008A645F">
      <w:pPr>
        <w:jc w:val="both"/>
        <w:rPr>
          <w:rFonts w:ascii="Arial" w:hAnsi="Arial" w:cs="Arial"/>
          <w:i/>
          <w:lang w:val="es-CO"/>
        </w:rPr>
      </w:pPr>
      <w:r>
        <w:rPr>
          <w:rFonts w:ascii="Arial" w:hAnsi="Arial" w:cs="Arial"/>
          <w:i/>
          <w:lang w:val="es-CO"/>
        </w:rPr>
        <w:t>(Art. 4, Decreto 3030 de 2013)</w:t>
      </w:r>
      <w:r>
        <w:rPr>
          <w:rFonts w:ascii="Arial" w:hAnsi="Arial" w:cs="Arial"/>
        </w:rPr>
        <w:t xml:space="preserve"> </w:t>
      </w:r>
      <w:r>
        <w:rPr>
          <w:rFonts w:ascii="Arial" w:hAnsi="Arial" w:cs="Arial"/>
          <w:i/>
          <w:lang w:val="es-CO"/>
        </w:rPr>
        <w:t xml:space="preserve">(El Decreto 3030 de 2013 rige a partir de la fecha de su publicación y deroga las normas que le </w:t>
      </w:r>
      <w:r>
        <w:rPr>
          <w:rFonts w:ascii="Arial" w:hAnsi="Arial" w:cs="Arial"/>
          <w:i/>
          <w:lang w:val="es-CO"/>
        </w:rPr>
        <w:t>sean contrarias, en especial, el Decreto número 4349 de 2004. Art. 26, Decreto 3030 de 2013)</w:t>
      </w:r>
    </w:p>
    <w:p w14:paraId="42856254" w14:textId="77777777" w:rsidR="00B2442D" w:rsidRDefault="00B2442D">
      <w:pPr>
        <w:jc w:val="both"/>
        <w:rPr>
          <w:rFonts w:ascii="Arial" w:hAnsi="Arial" w:cs="Arial"/>
          <w:lang w:val="es-CO"/>
        </w:rPr>
      </w:pPr>
    </w:p>
    <w:p w14:paraId="121A1B84"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Servicios intragrupo.</w:t>
      </w:r>
      <w:r>
        <w:rPr>
          <w:rFonts w:ascii="Arial" w:hAnsi="Arial" w:cs="Arial"/>
          <w:lang w:val="es-CO"/>
        </w:rPr>
        <w:t xml:space="preserve"> Sin perjuicio de los requisitos, limitantes y prohibiciones respecto de los costos y deducciones contenidos en el Estatuto Tributario, en el caso de los servicios intragrupo prestados entre el contribuyente del impuesto sobre la renta y complementarios y </w:t>
      </w:r>
      <w:r>
        <w:rPr>
          <w:rFonts w:ascii="Arial" w:hAnsi="Arial" w:cs="Arial"/>
          <w:lang w:val="es-CO"/>
        </w:rPr>
        <w:t>sus vinculados del exterior, vinculados ubicados en zonas francas, o personas, sociedades, entidades o empresas ubicadas, residentes o domiciliadas en paraísos fiscales, el contribuyente debe demostrar la prestación real del mismo y que el valor pagado o c</w:t>
      </w:r>
      <w:r>
        <w:rPr>
          <w:rFonts w:ascii="Arial" w:hAnsi="Arial" w:cs="Arial"/>
          <w:lang w:val="es-CO"/>
        </w:rPr>
        <w:t>ausado por dicho servicio, constitutivo de costo o gasto en el impuesto sobre la renta y complementarios, se encuentra cumpliendo con el Principio de Plena Competencia.</w:t>
      </w:r>
    </w:p>
    <w:p w14:paraId="0E9E591E" w14:textId="77777777" w:rsidR="00B2442D" w:rsidRDefault="00B2442D">
      <w:pPr>
        <w:jc w:val="both"/>
        <w:rPr>
          <w:rFonts w:ascii="Arial" w:hAnsi="Arial" w:cs="Arial"/>
          <w:lang w:val="es-CO"/>
        </w:rPr>
      </w:pPr>
    </w:p>
    <w:p w14:paraId="6BCD9648" w14:textId="77777777" w:rsidR="00B2442D" w:rsidRDefault="008A645F">
      <w:pPr>
        <w:jc w:val="both"/>
        <w:rPr>
          <w:rFonts w:ascii="Arial" w:hAnsi="Arial" w:cs="Arial"/>
          <w:lang w:val="es-CO"/>
        </w:rPr>
      </w:pPr>
      <w:r>
        <w:rPr>
          <w:rFonts w:ascii="Arial" w:hAnsi="Arial" w:cs="Arial"/>
          <w:lang w:val="es-CO"/>
        </w:rPr>
        <w:t>De conformidad con lo establecido en el parágrafo 2° del artículo 260-3 del Estatuto T</w:t>
      </w:r>
      <w:r>
        <w:rPr>
          <w:rFonts w:ascii="Arial" w:hAnsi="Arial" w:cs="Arial"/>
          <w:lang w:val="es-CO"/>
        </w:rPr>
        <w:t>ributario y sin perjuicio de lo señalado en el artículo 1.2.2.2.1 de este decreto, el contribuyente del impuesto sobre la renta y complementario deberá:</w:t>
      </w:r>
    </w:p>
    <w:p w14:paraId="490B45D0" w14:textId="77777777" w:rsidR="00B2442D" w:rsidRDefault="00B2442D">
      <w:pPr>
        <w:jc w:val="both"/>
        <w:rPr>
          <w:rFonts w:ascii="Arial" w:hAnsi="Arial" w:cs="Arial"/>
          <w:lang w:val="es-CO"/>
        </w:rPr>
      </w:pPr>
    </w:p>
    <w:p w14:paraId="50820791"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Detallar en la documentación comprobatoria cómo o en qué forma, la actividad de servicios llevada </w:t>
      </w:r>
      <w:r>
        <w:rPr>
          <w:rFonts w:ascii="Arial" w:hAnsi="Arial" w:cs="Arial"/>
          <w:lang w:val="es-CO"/>
        </w:rPr>
        <w:t>a cabo supone un beneficio económico o comercial para el receptor, que refuerza así su posición comercial, observando en todo caso si en circunstancias comparables, un independiente hubiera satisfecho la necesidad identificada, ejerciendo el mismo la activ</w:t>
      </w:r>
      <w:r>
        <w:rPr>
          <w:rFonts w:ascii="Arial" w:hAnsi="Arial" w:cs="Arial"/>
          <w:lang w:val="es-CO"/>
        </w:rPr>
        <w:t xml:space="preserve">idad o bien recurriendo a un tercero, así como la forma que adoptaría la remuneración en condiciones de plena competencia si la operación hubiera ocurrido entre empresas independientes que operaran en el mercado libre, considerando tanto el punto de vista </w:t>
      </w:r>
      <w:r>
        <w:rPr>
          <w:rFonts w:ascii="Arial" w:hAnsi="Arial" w:cs="Arial"/>
          <w:lang w:val="es-CO"/>
        </w:rPr>
        <w:t>del proveedor del servicio como el del beneficiario. A estos efectos, los factores relevantes comprenden el valor del servicio para el destinatario y el monto que un independiente comparable hubiera estado dispuesto a pagar por ese servicio en circunstanci</w:t>
      </w:r>
      <w:r>
        <w:rPr>
          <w:rFonts w:ascii="Arial" w:hAnsi="Arial" w:cs="Arial"/>
          <w:lang w:val="es-CO"/>
        </w:rPr>
        <w:t>as comparables. Así como los costos incurridos por el proveedor del servicio.</w:t>
      </w:r>
    </w:p>
    <w:p w14:paraId="276918B3" w14:textId="77777777" w:rsidR="00B2442D" w:rsidRDefault="00B2442D">
      <w:pPr>
        <w:ind w:left="284" w:hanging="284"/>
        <w:jc w:val="both"/>
        <w:rPr>
          <w:rFonts w:ascii="Arial" w:hAnsi="Arial" w:cs="Arial"/>
          <w:lang w:val="es-CO"/>
        </w:rPr>
      </w:pPr>
    </w:p>
    <w:p w14:paraId="05E54866"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Precisar en la documentación comprobatoria, si el monto de la contraprestación por cada una de las operaciones intragrupo realizadas se ajusta al Principio de Plena Competen</w:t>
      </w:r>
      <w:r>
        <w:rPr>
          <w:rFonts w:ascii="Arial" w:hAnsi="Arial" w:cs="Arial"/>
          <w:lang w:val="es-CO"/>
        </w:rPr>
        <w:t>cia, identificando los acuerdos, formas o métodos acordados entre las partes que permitieron la facturación del respectivo servicio</w:t>
      </w:r>
    </w:p>
    <w:p w14:paraId="48171B77" w14:textId="77777777" w:rsidR="00B2442D" w:rsidRDefault="00B2442D">
      <w:pPr>
        <w:ind w:left="284" w:hanging="284"/>
        <w:jc w:val="both"/>
        <w:rPr>
          <w:rFonts w:ascii="Arial" w:hAnsi="Arial" w:cs="Arial"/>
          <w:lang w:val="es-CO"/>
        </w:rPr>
      </w:pPr>
    </w:p>
    <w:p w14:paraId="398576B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En el caso que la contraprestación de los servicios prestados entre vinculados se haya incluido en el precio de otras o</w:t>
      </w:r>
      <w:r>
        <w:rPr>
          <w:rFonts w:ascii="Arial" w:hAnsi="Arial" w:cs="Arial"/>
          <w:lang w:val="es-CO"/>
        </w:rPr>
        <w:t xml:space="preserve">peraciones, se deberá demostrar que no se facturó ningún costo o gasto adicional por concepto de tales servicios, en cuyo caso la información que resulte pertinente y conducente deberá estar a disposición de la Administración Tributaria cuando esta así lo </w:t>
      </w:r>
      <w:r>
        <w:rPr>
          <w:rFonts w:ascii="Arial" w:hAnsi="Arial" w:cs="Arial"/>
          <w:lang w:val="es-CO"/>
        </w:rPr>
        <w:t>solicite.</w:t>
      </w:r>
    </w:p>
    <w:p w14:paraId="502896E2" w14:textId="77777777" w:rsidR="00B2442D" w:rsidRDefault="00B2442D">
      <w:pPr>
        <w:ind w:left="284" w:hanging="284"/>
        <w:jc w:val="both"/>
        <w:rPr>
          <w:rFonts w:ascii="Arial" w:hAnsi="Arial" w:cs="Arial"/>
          <w:lang w:val="es-CO"/>
        </w:rPr>
      </w:pPr>
    </w:p>
    <w:p w14:paraId="403149B9"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En el caso de que se haya pactado dentro de los términos de la prestación de los servicios una cuantía determinada para su utilización y consecuente facturación, deberá documentarse el uso efectivo de esos servicios.</w:t>
      </w:r>
    </w:p>
    <w:p w14:paraId="3DE60E15" w14:textId="77777777" w:rsidR="00B2442D" w:rsidRDefault="00B2442D">
      <w:pPr>
        <w:jc w:val="both"/>
        <w:rPr>
          <w:rFonts w:ascii="Arial" w:hAnsi="Arial" w:cs="Arial"/>
          <w:lang w:val="es-CO"/>
        </w:rPr>
      </w:pPr>
    </w:p>
    <w:p w14:paraId="3DB7073B" w14:textId="77777777" w:rsidR="00B2442D" w:rsidRDefault="008A645F">
      <w:pPr>
        <w:jc w:val="both"/>
        <w:rPr>
          <w:rFonts w:ascii="Arial" w:hAnsi="Arial" w:cs="Arial"/>
          <w:i/>
          <w:lang w:val="es-CO"/>
        </w:rPr>
      </w:pPr>
      <w:r>
        <w:rPr>
          <w:rFonts w:ascii="Arial" w:hAnsi="Arial" w:cs="Arial"/>
          <w:i/>
          <w:lang w:val="es-CO"/>
        </w:rPr>
        <w:t>(Art. 5, Decreto 3030 d</w:t>
      </w:r>
      <w:r>
        <w:rPr>
          <w:rFonts w:ascii="Arial" w:hAnsi="Arial" w:cs="Arial"/>
          <w:i/>
          <w:lang w:val="es-CO"/>
        </w:rPr>
        <w:t>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319D46D7" w14:textId="77777777" w:rsidR="00B2442D" w:rsidRDefault="00B2442D">
      <w:pPr>
        <w:jc w:val="both"/>
        <w:rPr>
          <w:rFonts w:ascii="Arial" w:hAnsi="Arial" w:cs="Arial"/>
          <w:lang w:val="es-CO"/>
        </w:rPr>
      </w:pPr>
    </w:p>
    <w:p w14:paraId="79B368DD"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Acuerdos de Costos Compartidos.</w:t>
      </w:r>
      <w:r>
        <w:rPr>
          <w:rFonts w:ascii="Arial" w:hAnsi="Arial" w:cs="Arial"/>
          <w:lang w:val="es-CO"/>
        </w:rPr>
        <w:t xml:space="preserve"> Para los efectos de este a</w:t>
      </w:r>
      <w:r>
        <w:rPr>
          <w:rFonts w:ascii="Arial" w:hAnsi="Arial" w:cs="Arial"/>
          <w:lang w:val="es-CO"/>
        </w:rPr>
        <w:t>rtículo, un Acuerdo de Costos Compartidos es un acuerdo marco que permite a las empresas repartirse los costos y los riesgos de desarrollar, producir u obtener activos, servicios o derechos y determinar la naturaleza y el alcance de los intereses de cada u</w:t>
      </w:r>
      <w:r>
        <w:rPr>
          <w:rFonts w:ascii="Arial" w:hAnsi="Arial" w:cs="Arial"/>
          <w:lang w:val="es-CO"/>
        </w:rPr>
        <w:t>no de los participantes en estos activos, servicios o derechos. Sin perjuicio de los requisitos, limitantes y prohibiciones respecto de los costos y deducciones contenidos en el Estatuto Tributario, los acuerdos de costos compartidos prestados entre vincul</w:t>
      </w:r>
      <w:r>
        <w:rPr>
          <w:rFonts w:ascii="Arial" w:hAnsi="Arial" w:cs="Arial"/>
          <w:lang w:val="es-CO"/>
        </w:rPr>
        <w:t>ados deberán cumplir con el Principio de Plena Competencia, de conformidad con lo establecido en el parágrafo 2° del artículo 260-3 del Estatuto Tributario, es decir, que los aportes efectuados por cada participante se ajusten a los que un independiente ac</w:t>
      </w:r>
      <w:r>
        <w:rPr>
          <w:rFonts w:ascii="Arial" w:hAnsi="Arial" w:cs="Arial"/>
          <w:lang w:val="es-CO"/>
        </w:rPr>
        <w:t>eptaría en circunstancias comparables, teniendo en cuenta los beneficios efectivos sobre los bienes o los servicios que cabe esperar obtener del acuerdo, y la posibilidad real de explotar o utilizar, directa o indirectamente, el derecho asignado. Para tale</w:t>
      </w:r>
      <w:r>
        <w:rPr>
          <w:rFonts w:ascii="Arial" w:hAnsi="Arial" w:cs="Arial"/>
          <w:lang w:val="es-CO"/>
        </w:rPr>
        <w:t>s efectos el contribuyente del impuesto sobre la renta y complementarios deberá, sin perjuicio de lo señalado en el artículo 1.2.2.2.1 de este decreto, en la documentación comprobatoria:</w:t>
      </w:r>
    </w:p>
    <w:p w14:paraId="72CAE06A" w14:textId="77777777" w:rsidR="00B2442D" w:rsidRDefault="00B2442D">
      <w:pPr>
        <w:jc w:val="both"/>
        <w:rPr>
          <w:rFonts w:ascii="Arial" w:hAnsi="Arial" w:cs="Arial"/>
          <w:lang w:val="es-CO"/>
        </w:rPr>
      </w:pPr>
    </w:p>
    <w:p w14:paraId="6C1045B4"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Describir y demostrar los costos o gastos anuales incurridos par</w:t>
      </w:r>
      <w:r>
        <w:rPr>
          <w:rFonts w:ascii="Arial" w:hAnsi="Arial" w:cs="Arial"/>
          <w:lang w:val="es-CO"/>
        </w:rPr>
        <w:t>a el desarrollo de la actividad del acuerdo de costos compartidos, la forma y el valor de las aportaciones que realiza cada participante durante la vigencia del mismo. Los respectivos soportes deberán estar a disposición de la Administración Tributaria cua</w:t>
      </w:r>
      <w:r>
        <w:rPr>
          <w:rFonts w:ascii="Arial" w:hAnsi="Arial" w:cs="Arial"/>
          <w:lang w:val="es-CO"/>
        </w:rPr>
        <w:t xml:space="preserve">ndo esta así lo solicite. </w:t>
      </w:r>
    </w:p>
    <w:p w14:paraId="474F0CB1" w14:textId="77777777" w:rsidR="00B2442D" w:rsidRDefault="00B2442D">
      <w:pPr>
        <w:ind w:left="284" w:hanging="284"/>
        <w:jc w:val="both"/>
        <w:rPr>
          <w:rFonts w:ascii="Arial" w:hAnsi="Arial" w:cs="Arial"/>
          <w:lang w:val="es-CO"/>
        </w:rPr>
      </w:pPr>
    </w:p>
    <w:p w14:paraId="3EA6B758"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Identificar los beneficiaros directos y/o indirectos del acuerdo de costos compartidos, indicando nombre o razón social, número de identificación tributaria y país de residencia o domicilio.</w:t>
      </w:r>
    </w:p>
    <w:p w14:paraId="1CD48B07" w14:textId="77777777" w:rsidR="00B2442D" w:rsidRDefault="00B2442D">
      <w:pPr>
        <w:ind w:left="284" w:hanging="284"/>
        <w:jc w:val="both"/>
        <w:rPr>
          <w:rFonts w:ascii="Arial" w:hAnsi="Arial" w:cs="Arial"/>
          <w:lang w:val="es-CO"/>
        </w:rPr>
      </w:pPr>
    </w:p>
    <w:p w14:paraId="20E66024"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Especificar la naturaleza y </w:t>
      </w:r>
      <w:r>
        <w:rPr>
          <w:rFonts w:ascii="Arial" w:hAnsi="Arial" w:cs="Arial"/>
          <w:lang w:val="es-CO"/>
        </w:rPr>
        <w:t>la importancia del beneficio efectivo de cada participante sobre los resultados de las actividades del acuerdo de costos compartidos, el ámbito de las actividades y proyectos específicos cubiertos, la duración del acuerdo y las obligaciones y responsabilid</w:t>
      </w:r>
      <w:r>
        <w:rPr>
          <w:rFonts w:ascii="Arial" w:hAnsi="Arial" w:cs="Arial"/>
          <w:lang w:val="es-CO"/>
        </w:rPr>
        <w:t>ades derivadas del mismo.</w:t>
      </w:r>
    </w:p>
    <w:p w14:paraId="4102FB54" w14:textId="77777777" w:rsidR="00B2442D" w:rsidRDefault="00B2442D">
      <w:pPr>
        <w:ind w:left="284" w:hanging="284"/>
        <w:jc w:val="both"/>
        <w:rPr>
          <w:rFonts w:ascii="Arial" w:hAnsi="Arial" w:cs="Arial"/>
          <w:lang w:val="es-CO"/>
        </w:rPr>
      </w:pPr>
    </w:p>
    <w:p w14:paraId="2A708C79"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Indicar si se realizó algún pago distinto a las aportaciones relacionadas con el acuerdo de costos compartidos, que correspondan para la adquisición del beneficio efectivo sobre los activos, servicios o derechos obtenidos a t</w:t>
      </w:r>
      <w:r>
        <w:rPr>
          <w:rFonts w:ascii="Arial" w:hAnsi="Arial" w:cs="Arial"/>
          <w:lang w:val="es-CO"/>
        </w:rPr>
        <w:t>ravés del mismo.</w:t>
      </w:r>
    </w:p>
    <w:p w14:paraId="3AC9D852" w14:textId="77777777" w:rsidR="00B2442D" w:rsidRDefault="00B2442D">
      <w:pPr>
        <w:ind w:left="284" w:hanging="284"/>
        <w:jc w:val="both"/>
        <w:rPr>
          <w:rFonts w:ascii="Arial" w:hAnsi="Arial" w:cs="Arial"/>
          <w:lang w:val="es-CO"/>
        </w:rPr>
      </w:pPr>
    </w:p>
    <w:p w14:paraId="6C7C9DE0"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Detallar el método de atribución, criterios, circunstancias y ajustes, si los hubo, que reflejen la cuota de participación y su cuantificación en los beneficios que se espera obtener del acuerdo, comparando las previsiones utilizadas </w:t>
      </w:r>
      <w:r>
        <w:rPr>
          <w:rFonts w:ascii="Arial" w:hAnsi="Arial" w:cs="Arial"/>
          <w:lang w:val="es-CO"/>
        </w:rPr>
        <w:t>para determinar los beneficios esperados frente a los resultados reales.</w:t>
      </w:r>
    </w:p>
    <w:p w14:paraId="03C17D49" w14:textId="77777777" w:rsidR="00B2442D" w:rsidRDefault="00B2442D">
      <w:pPr>
        <w:ind w:left="284" w:hanging="284"/>
        <w:jc w:val="both"/>
        <w:rPr>
          <w:rFonts w:ascii="Arial" w:hAnsi="Arial" w:cs="Arial"/>
          <w:lang w:val="es-CO"/>
        </w:rPr>
      </w:pPr>
    </w:p>
    <w:p w14:paraId="30F00401"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 xml:space="preserve">Detallar los procedimientos para la adhesión o retiro de un participante en el acuerdo de costos compartidos y sus consecuencias, así como los procedimientos y </w:t>
      </w:r>
      <w:r>
        <w:rPr>
          <w:rFonts w:ascii="Arial" w:hAnsi="Arial" w:cs="Arial"/>
          <w:lang w:val="es-CO"/>
        </w:rPr>
        <w:t>consecuencias en caso de su rescisión.</w:t>
      </w:r>
    </w:p>
    <w:p w14:paraId="02D673D5" w14:textId="77777777" w:rsidR="00B2442D" w:rsidRDefault="00B2442D">
      <w:pPr>
        <w:jc w:val="both"/>
        <w:rPr>
          <w:rFonts w:ascii="Arial" w:hAnsi="Arial" w:cs="Arial"/>
          <w:lang w:val="es-CO"/>
        </w:rPr>
      </w:pPr>
    </w:p>
    <w:p w14:paraId="78266135" w14:textId="77777777" w:rsidR="00B2442D" w:rsidRDefault="008A645F">
      <w:pPr>
        <w:jc w:val="both"/>
        <w:rPr>
          <w:rFonts w:ascii="Arial" w:hAnsi="Arial" w:cs="Arial"/>
          <w:i/>
          <w:lang w:val="es-CO"/>
        </w:rPr>
      </w:pPr>
      <w:r>
        <w:rPr>
          <w:rFonts w:ascii="Arial" w:hAnsi="Arial" w:cs="Arial"/>
          <w:i/>
          <w:lang w:val="es-CO"/>
        </w:rPr>
        <w:t>(Art. 6,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w:t>
      </w:r>
      <w:r>
        <w:rPr>
          <w:rFonts w:ascii="Arial" w:hAnsi="Arial" w:cs="Arial"/>
          <w:i/>
          <w:lang w:val="es-CO"/>
        </w:rPr>
        <w:t>13)</w:t>
      </w:r>
    </w:p>
    <w:p w14:paraId="736C1C40" w14:textId="77777777" w:rsidR="00B2442D" w:rsidRDefault="00B2442D">
      <w:pPr>
        <w:jc w:val="both"/>
        <w:rPr>
          <w:rFonts w:ascii="Arial" w:hAnsi="Arial" w:cs="Arial"/>
          <w:lang w:val="es-CO"/>
        </w:rPr>
      </w:pPr>
    </w:p>
    <w:p w14:paraId="1584A6AF"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Reestructuraciones empresariales.</w:t>
      </w:r>
      <w:r>
        <w:rPr>
          <w:rFonts w:ascii="Arial" w:hAnsi="Arial" w:cs="Arial"/>
          <w:lang w:val="es-CO"/>
        </w:rPr>
        <w:t xml:space="preserve"> Para efectos de la aplicación del parágrafo 3° del artículo 260-3 del Estatuto Tributario, la redistribución de funciones, activos y riesgos llevada a cabo entre los contribuyentes del impuesto sobre la renta y comple</w:t>
      </w:r>
      <w:r>
        <w:rPr>
          <w:rFonts w:ascii="Arial" w:hAnsi="Arial" w:cs="Arial"/>
          <w:lang w:val="es-CO"/>
        </w:rPr>
        <w:t>mentarios en Colombia y sus vinculados en el exterior deberá estar retribuida en cumplimiento del Principio de Plena Competencia. Para tales efectos el contribuyente del impuesto sobre la renta y complementarios deberá, sin perjuicio de lo señalado en el a</w:t>
      </w:r>
      <w:r>
        <w:rPr>
          <w:rFonts w:ascii="Arial" w:hAnsi="Arial" w:cs="Arial"/>
          <w:lang w:val="es-CO"/>
        </w:rPr>
        <w:t>rtículo 1.2.2.2.1 de este decreto, en la documentación comprobatoria:</w:t>
      </w:r>
    </w:p>
    <w:p w14:paraId="1CFB3C8D" w14:textId="77777777" w:rsidR="00B2442D" w:rsidRDefault="00B2442D">
      <w:pPr>
        <w:jc w:val="both"/>
        <w:rPr>
          <w:rFonts w:ascii="Arial" w:hAnsi="Arial" w:cs="Arial"/>
          <w:lang w:val="es-CO"/>
        </w:rPr>
      </w:pPr>
    </w:p>
    <w:p w14:paraId="6D4EB0CE"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Identificar el objeto de la reestructuración, operaciones, términos contractuales y forma como esta se llevó a cabo.</w:t>
      </w:r>
    </w:p>
    <w:p w14:paraId="7EE1C8E4" w14:textId="77777777" w:rsidR="00B2442D" w:rsidRDefault="00B2442D">
      <w:pPr>
        <w:ind w:left="426" w:hanging="426"/>
        <w:jc w:val="both"/>
        <w:rPr>
          <w:rFonts w:ascii="Arial" w:hAnsi="Arial" w:cs="Arial"/>
          <w:lang w:val="es-CO"/>
        </w:rPr>
      </w:pPr>
    </w:p>
    <w:p w14:paraId="36E4CEFC"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Identificar activos, funciones y riesgos antes y después de</w:t>
      </w:r>
      <w:r>
        <w:rPr>
          <w:rFonts w:ascii="Arial" w:hAnsi="Arial" w:cs="Arial"/>
          <w:lang w:val="es-CO"/>
        </w:rPr>
        <w:t>l proceso de reestructuración.</w:t>
      </w:r>
    </w:p>
    <w:p w14:paraId="02E572A4" w14:textId="77777777" w:rsidR="00B2442D" w:rsidRDefault="00B2442D">
      <w:pPr>
        <w:ind w:left="426" w:hanging="426"/>
        <w:jc w:val="both"/>
        <w:rPr>
          <w:rFonts w:ascii="Arial" w:hAnsi="Arial" w:cs="Arial"/>
          <w:lang w:val="es-CO"/>
        </w:rPr>
      </w:pPr>
    </w:p>
    <w:p w14:paraId="376BAFEE"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 Identificar los derechos y obligaciones, de acuerdo con la conducta de las partes y el marco legal y contractual que operaba antes de la reestructuración y los cambios producidos a partir de la misma, para las partes int</w:t>
      </w:r>
      <w:r>
        <w:rPr>
          <w:rFonts w:ascii="Arial" w:hAnsi="Arial" w:cs="Arial"/>
          <w:lang w:val="es-CO"/>
        </w:rPr>
        <w:t>ervinientes.</w:t>
      </w:r>
    </w:p>
    <w:p w14:paraId="394919B3" w14:textId="77777777" w:rsidR="00B2442D" w:rsidRDefault="00B2442D">
      <w:pPr>
        <w:ind w:left="426" w:hanging="426"/>
        <w:jc w:val="both"/>
        <w:rPr>
          <w:rFonts w:ascii="Arial" w:hAnsi="Arial" w:cs="Arial"/>
          <w:lang w:val="es-CO"/>
        </w:rPr>
      </w:pPr>
    </w:p>
    <w:p w14:paraId="446BC982"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 Detallar en forma pormenorizada la distribución de riesgos llevada a cabo entre las partes.</w:t>
      </w:r>
    </w:p>
    <w:p w14:paraId="761E6620" w14:textId="77777777" w:rsidR="00B2442D" w:rsidRDefault="00B2442D">
      <w:pPr>
        <w:ind w:left="426" w:hanging="426"/>
        <w:jc w:val="both"/>
        <w:rPr>
          <w:rFonts w:ascii="Arial" w:hAnsi="Arial" w:cs="Arial"/>
          <w:lang w:val="es-CO"/>
        </w:rPr>
      </w:pPr>
    </w:p>
    <w:p w14:paraId="0740DB08"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 xml:space="preserve"> Describir los beneficios potenciales para las partes, derivados de la transferencia de riesgos.</w:t>
      </w:r>
    </w:p>
    <w:p w14:paraId="5E1F69B1" w14:textId="77777777" w:rsidR="00B2442D" w:rsidRDefault="00B2442D">
      <w:pPr>
        <w:ind w:left="426" w:hanging="426"/>
        <w:jc w:val="both"/>
        <w:rPr>
          <w:rFonts w:ascii="Arial" w:hAnsi="Arial" w:cs="Arial"/>
          <w:lang w:val="es-CO"/>
        </w:rPr>
      </w:pPr>
    </w:p>
    <w:p w14:paraId="76269672"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 xml:space="preserve"> Identificar cuál de las partes intervini</w:t>
      </w:r>
      <w:r>
        <w:rPr>
          <w:rFonts w:ascii="Arial" w:hAnsi="Arial" w:cs="Arial"/>
          <w:lang w:val="es-CO"/>
        </w:rPr>
        <w:t>entes en la operación toma las decisiones tendientes a asumir el riesgo y su gestión.</w:t>
      </w:r>
    </w:p>
    <w:p w14:paraId="416689E0" w14:textId="77777777" w:rsidR="00B2442D" w:rsidRDefault="00B2442D">
      <w:pPr>
        <w:ind w:left="426" w:hanging="426"/>
        <w:jc w:val="both"/>
        <w:rPr>
          <w:rFonts w:ascii="Arial" w:hAnsi="Arial" w:cs="Arial"/>
          <w:lang w:val="es-CO"/>
        </w:rPr>
      </w:pPr>
    </w:p>
    <w:p w14:paraId="15C436F6"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 xml:space="preserve"> Describir las sinergias esperadas de la reestructuración y los análisis económicos, financieros y de otra índole que se tuvieron en cuenta para tales previsiones.</w:t>
      </w:r>
    </w:p>
    <w:p w14:paraId="237D3404" w14:textId="77777777" w:rsidR="00B2442D" w:rsidRDefault="00B2442D">
      <w:pPr>
        <w:ind w:left="426" w:hanging="426"/>
        <w:jc w:val="both"/>
        <w:rPr>
          <w:rFonts w:ascii="Arial" w:hAnsi="Arial" w:cs="Arial"/>
          <w:lang w:val="es-CO"/>
        </w:rPr>
      </w:pPr>
    </w:p>
    <w:p w14:paraId="15413D38" w14:textId="77777777" w:rsidR="00B2442D" w:rsidRDefault="008A645F">
      <w:pPr>
        <w:ind w:left="426" w:hanging="426"/>
        <w:jc w:val="both"/>
        <w:rPr>
          <w:rFonts w:ascii="Arial" w:hAnsi="Arial" w:cs="Arial"/>
          <w:lang w:val="es-CO"/>
        </w:rPr>
      </w:pPr>
      <w:r>
        <w:rPr>
          <w:rFonts w:ascii="Arial" w:hAnsi="Arial" w:cs="Arial"/>
          <w:lang w:val="es-CO"/>
        </w:rPr>
        <w:t>h</w:t>
      </w:r>
      <w:r>
        <w:rPr>
          <w:rFonts w:ascii="Arial" w:hAnsi="Arial" w:cs="Arial"/>
          <w:lang w:val="es-CO"/>
        </w:rPr>
        <w:t>) Descripción de las compensaciones o retribuciones por la reestructuración y su cuantificación.</w:t>
      </w:r>
    </w:p>
    <w:p w14:paraId="02D656ED" w14:textId="77777777" w:rsidR="00B2442D" w:rsidRDefault="00B2442D">
      <w:pPr>
        <w:jc w:val="both"/>
        <w:rPr>
          <w:rFonts w:ascii="Arial" w:hAnsi="Arial" w:cs="Arial"/>
          <w:lang w:val="es-CO"/>
        </w:rPr>
      </w:pPr>
    </w:p>
    <w:p w14:paraId="73D183CF" w14:textId="77777777" w:rsidR="00B2442D" w:rsidRDefault="008A645F">
      <w:pPr>
        <w:jc w:val="both"/>
        <w:rPr>
          <w:rFonts w:ascii="Arial" w:hAnsi="Arial" w:cs="Arial"/>
          <w:i/>
          <w:lang w:val="es-CO"/>
        </w:rPr>
      </w:pPr>
      <w:r>
        <w:rPr>
          <w:rFonts w:ascii="Arial" w:hAnsi="Arial" w:cs="Arial"/>
          <w:i/>
          <w:lang w:val="es-CO"/>
        </w:rPr>
        <w:t>(Art. 7,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w:t>
      </w:r>
      <w:r>
        <w:rPr>
          <w:rFonts w:ascii="Arial" w:hAnsi="Arial" w:cs="Arial"/>
          <w:i/>
          <w:lang w:val="es-CO"/>
        </w:rPr>
        <w:t>l Decreto número 4349 de 2004. Art. 26, Decreto 3030 de 2013)</w:t>
      </w:r>
    </w:p>
    <w:p w14:paraId="47BA8181" w14:textId="77777777" w:rsidR="00B2442D" w:rsidRDefault="00B2442D">
      <w:pPr>
        <w:jc w:val="both"/>
        <w:rPr>
          <w:rFonts w:ascii="Arial" w:hAnsi="Arial" w:cs="Arial"/>
          <w:lang w:val="es-CO"/>
        </w:rPr>
      </w:pPr>
    </w:p>
    <w:p w14:paraId="59071298"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Rango de Plena Competencia.</w:t>
      </w:r>
      <w:r>
        <w:rPr>
          <w:rFonts w:ascii="Arial" w:hAnsi="Arial" w:cs="Arial"/>
          <w:lang w:val="es-CO"/>
        </w:rPr>
        <w:t xml:space="preserve"> Cuando haya dos (2) o más operaciones independientes, y cada una de ellas sea igualmente comparable a la operación entre vinculados. Se podrá obtener un rango de indicadores financieros relevantes de precios o márgenes de utilidad, habiéndoles aplicado el</w:t>
      </w:r>
      <w:r>
        <w:rPr>
          <w:rFonts w:ascii="Arial" w:hAnsi="Arial" w:cs="Arial"/>
          <w:lang w:val="es-CO"/>
        </w:rPr>
        <w:t xml:space="preserve"> más apropiado de los métodos indicados de que trata el artículo 260-3 del Estatuto Tributario. Este rango se denominará de Plena Competencia.</w:t>
      </w:r>
    </w:p>
    <w:p w14:paraId="7F613E29" w14:textId="77777777" w:rsidR="00B2442D" w:rsidRDefault="00B2442D">
      <w:pPr>
        <w:jc w:val="both"/>
        <w:rPr>
          <w:rFonts w:ascii="Arial" w:hAnsi="Arial" w:cs="Arial"/>
          <w:lang w:val="es-CO"/>
        </w:rPr>
      </w:pPr>
    </w:p>
    <w:p w14:paraId="509AAF24" w14:textId="77777777" w:rsidR="00B2442D" w:rsidRDefault="008A645F">
      <w:pPr>
        <w:jc w:val="both"/>
        <w:rPr>
          <w:rFonts w:ascii="Arial" w:hAnsi="Arial" w:cs="Arial"/>
          <w:lang w:val="es-CO"/>
        </w:rPr>
      </w:pPr>
      <w:r>
        <w:rPr>
          <w:rFonts w:ascii="Arial" w:hAnsi="Arial" w:cs="Arial"/>
          <w:lang w:val="es-CO"/>
        </w:rPr>
        <w:t>Sin embargo, una vez realizado el proceso para seleccionar comparables y pudiendo haber limitaciones de informac</w:t>
      </w:r>
      <w:r>
        <w:rPr>
          <w:rFonts w:ascii="Arial" w:hAnsi="Arial" w:cs="Arial"/>
          <w:lang w:val="es-CO"/>
        </w:rPr>
        <w:t>ión sobre ellos, a pesar de haber tenido en cuenta las consideraciones necesarias para excluir aquellas observaciones menos confiables, las cuales no pueden identificarse o cuantificarse y por tanto no son susceptibles de ajuste, se puede llegar a un rango</w:t>
      </w:r>
      <w:r>
        <w:rPr>
          <w:rFonts w:ascii="Arial" w:hAnsi="Arial" w:cs="Arial"/>
          <w:lang w:val="es-CO"/>
        </w:rPr>
        <w:t xml:space="preserve"> de precios o márgenes de utilidad que se considera sigue generando diferencias en la comparabilidad. En tal caso, el contribuyente podrá utilizar herramientas estadísticas que consideran la tendencia central, como por ejemplo el método estadístico del ran</w:t>
      </w:r>
      <w:r>
        <w:rPr>
          <w:rFonts w:ascii="Arial" w:hAnsi="Arial" w:cs="Arial"/>
          <w:lang w:val="es-CO"/>
        </w:rPr>
        <w:t>go intercuartil u otros percentiles con el fin de mejorar la confiabilidad del análisis.</w:t>
      </w:r>
    </w:p>
    <w:p w14:paraId="593DE8D8" w14:textId="77777777" w:rsidR="00B2442D" w:rsidRDefault="00B2442D">
      <w:pPr>
        <w:jc w:val="both"/>
        <w:rPr>
          <w:rFonts w:ascii="Arial" w:hAnsi="Arial" w:cs="Arial"/>
          <w:lang w:val="es-CO"/>
        </w:rPr>
      </w:pPr>
    </w:p>
    <w:p w14:paraId="371A8E78" w14:textId="77777777" w:rsidR="00B2442D" w:rsidRDefault="008A645F">
      <w:pPr>
        <w:jc w:val="both"/>
        <w:rPr>
          <w:rFonts w:ascii="Arial" w:hAnsi="Arial" w:cs="Arial"/>
          <w:lang w:val="es-CO"/>
        </w:rPr>
      </w:pPr>
      <w:r>
        <w:rPr>
          <w:rFonts w:ascii="Arial" w:hAnsi="Arial" w:cs="Arial"/>
          <w:lang w:val="es-CO"/>
        </w:rPr>
        <w:t>El contribuyente del impuesto sobre la renta y complementario deberá manifestar, en su documentación comprobatoria, las razones técnicas que lo llevaron a seleccionar</w:t>
      </w:r>
      <w:r>
        <w:rPr>
          <w:rFonts w:ascii="Arial" w:hAnsi="Arial" w:cs="Arial"/>
          <w:lang w:val="es-CO"/>
        </w:rPr>
        <w:t xml:space="preserve"> el rango de plena competencia o un rango ajustado mediante otras herramientas estadísticas.</w:t>
      </w:r>
    </w:p>
    <w:p w14:paraId="10D86FEF" w14:textId="77777777" w:rsidR="00B2442D" w:rsidRDefault="00B2442D">
      <w:pPr>
        <w:jc w:val="both"/>
        <w:rPr>
          <w:rFonts w:ascii="Arial" w:hAnsi="Arial" w:cs="Arial"/>
          <w:lang w:val="es-CO"/>
        </w:rPr>
      </w:pPr>
    </w:p>
    <w:p w14:paraId="5A4ACB3C" w14:textId="77777777" w:rsidR="00B2442D" w:rsidRDefault="008A645F">
      <w:pPr>
        <w:jc w:val="both"/>
        <w:rPr>
          <w:rFonts w:ascii="Arial" w:hAnsi="Arial" w:cs="Arial"/>
          <w:lang w:val="es-CO"/>
        </w:rPr>
      </w:pPr>
      <w:r>
        <w:rPr>
          <w:rFonts w:ascii="Arial" w:hAnsi="Arial" w:cs="Arial"/>
          <w:lang w:val="es-CO"/>
        </w:rPr>
        <w:t>En el caso de que el contribuyente del impuesto sobre la renta y complementario opte por la aplicación de la metodología del rango intercuartil, deberá aplicar la</w:t>
      </w:r>
      <w:r>
        <w:rPr>
          <w:rFonts w:ascii="Arial" w:hAnsi="Arial" w:cs="Arial"/>
          <w:lang w:val="es-CO"/>
        </w:rPr>
        <w:t xml:space="preserve"> siguiente metodología:</w:t>
      </w:r>
    </w:p>
    <w:p w14:paraId="0263AB78" w14:textId="77777777" w:rsidR="00B2442D" w:rsidRDefault="00B2442D">
      <w:pPr>
        <w:jc w:val="both"/>
        <w:rPr>
          <w:rFonts w:ascii="Arial" w:hAnsi="Arial" w:cs="Arial"/>
          <w:lang w:val="es-CO"/>
        </w:rPr>
      </w:pPr>
    </w:p>
    <w:p w14:paraId="44B5D8EF"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Ordenar los precios, montos de contraprestación o márgenes de utilidad en forma ascendente de acuerdo con su valor.</w:t>
      </w:r>
    </w:p>
    <w:p w14:paraId="0F502777" w14:textId="77777777" w:rsidR="00B2442D" w:rsidRDefault="00B2442D">
      <w:pPr>
        <w:ind w:left="284" w:hanging="284"/>
        <w:jc w:val="both"/>
        <w:rPr>
          <w:rFonts w:ascii="Arial" w:hAnsi="Arial" w:cs="Arial"/>
          <w:lang w:val="es-CO"/>
        </w:rPr>
      </w:pPr>
    </w:p>
    <w:p w14:paraId="1106B429"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 xml:space="preserve"> Asignar a cada uno de los precios, montos de contraprestación o márgenes de utilidad, un número entero secuencial, iniciando con la unidad y terminando con el número total de elementos que integran la muestra.</w:t>
      </w:r>
    </w:p>
    <w:p w14:paraId="493A37A6" w14:textId="77777777" w:rsidR="00B2442D" w:rsidRDefault="00B2442D">
      <w:pPr>
        <w:ind w:left="284" w:hanging="284"/>
        <w:jc w:val="both"/>
        <w:rPr>
          <w:rFonts w:ascii="Arial" w:hAnsi="Arial" w:cs="Arial"/>
          <w:lang w:val="es-CO"/>
        </w:rPr>
      </w:pPr>
    </w:p>
    <w:p w14:paraId="5975C254"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Obtener la mediana adicionando la unidad</w:t>
      </w:r>
      <w:r>
        <w:rPr>
          <w:rFonts w:ascii="Arial" w:hAnsi="Arial" w:cs="Arial"/>
          <w:lang w:val="es-CO"/>
        </w:rPr>
        <w:t xml:space="preserve"> al número total de elementos que integran la muestra de precios, montos de contraprestación o márgenes de utilidad y dividiendo el resultado entre dos (2).</w:t>
      </w:r>
    </w:p>
    <w:p w14:paraId="15AD075B" w14:textId="77777777" w:rsidR="00B2442D" w:rsidRDefault="00B2442D">
      <w:pPr>
        <w:ind w:left="284" w:hanging="284"/>
        <w:jc w:val="both"/>
        <w:rPr>
          <w:rFonts w:ascii="Arial" w:hAnsi="Arial" w:cs="Arial"/>
          <w:lang w:val="es-CO"/>
        </w:rPr>
      </w:pPr>
    </w:p>
    <w:p w14:paraId="29FFE4AF"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Determinar el valor de la mediana ubicando el precio o margen de utilidad correspondiente al n</w:t>
      </w:r>
      <w:r>
        <w:rPr>
          <w:rFonts w:ascii="Arial" w:hAnsi="Arial" w:cs="Arial"/>
          <w:lang w:val="es-CO"/>
        </w:rPr>
        <w:t>úmero entero del resultado obtenido en el literal anterior.</w:t>
      </w:r>
    </w:p>
    <w:p w14:paraId="58F4D102" w14:textId="77777777" w:rsidR="00B2442D" w:rsidRDefault="00B2442D">
      <w:pPr>
        <w:ind w:left="284" w:hanging="284"/>
        <w:jc w:val="both"/>
        <w:rPr>
          <w:rFonts w:ascii="Arial" w:hAnsi="Arial" w:cs="Arial"/>
          <w:lang w:val="es-CO"/>
        </w:rPr>
      </w:pPr>
    </w:p>
    <w:p w14:paraId="430325D9" w14:textId="77777777" w:rsidR="00B2442D" w:rsidRDefault="008A645F">
      <w:pPr>
        <w:jc w:val="both"/>
        <w:rPr>
          <w:rFonts w:ascii="Arial" w:hAnsi="Arial" w:cs="Arial"/>
          <w:lang w:val="es-CO"/>
        </w:rPr>
      </w:pPr>
      <w:r>
        <w:rPr>
          <w:rFonts w:ascii="Arial" w:hAnsi="Arial" w:cs="Arial"/>
          <w:lang w:val="es-CO"/>
        </w:rPr>
        <w:t>Cuando la mediana sea un número formado por entero y decimales, el valor de la mediana se deberá determinar de la siguiente manera:</w:t>
      </w:r>
    </w:p>
    <w:p w14:paraId="6ACFD3CA" w14:textId="77777777" w:rsidR="00B2442D" w:rsidRDefault="00B2442D">
      <w:pPr>
        <w:jc w:val="both"/>
        <w:rPr>
          <w:rFonts w:ascii="Arial" w:hAnsi="Arial" w:cs="Arial"/>
          <w:lang w:val="es-CO"/>
        </w:rPr>
      </w:pPr>
    </w:p>
    <w:p w14:paraId="41FCE40B"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Obtener la diferencia entre el precio, monto de contrapres</w:t>
      </w:r>
      <w:r>
        <w:rPr>
          <w:rFonts w:ascii="Arial" w:hAnsi="Arial" w:cs="Arial"/>
          <w:lang w:val="es-CO"/>
        </w:rPr>
        <w:t>tación o margen de utilidad a que se refiere este literal, tomando como referencia el número entero de la mediana calculada de la forma prevista en el literal c), y el precio o margen de utilidad inmediato superior, considerando en ambos casos su valor.</w:t>
      </w:r>
    </w:p>
    <w:p w14:paraId="1DC556FC" w14:textId="77777777" w:rsidR="00B2442D" w:rsidRDefault="00B2442D">
      <w:pPr>
        <w:ind w:left="284" w:hanging="284"/>
        <w:jc w:val="both"/>
        <w:rPr>
          <w:rFonts w:ascii="Arial" w:hAnsi="Arial" w:cs="Arial"/>
          <w:lang w:val="es-CO"/>
        </w:rPr>
      </w:pPr>
    </w:p>
    <w:p w14:paraId="36A6C4F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w:t>
      </w:r>
      <w:r>
        <w:rPr>
          <w:rFonts w:ascii="Arial" w:hAnsi="Arial" w:cs="Arial"/>
          <w:lang w:val="es-CO"/>
        </w:rPr>
        <w:tab/>
        <w:t xml:space="preserve"> Multiplicar el resultado obtenido en el numeral anterior por el número decimal correspondiente a la mediana y adicionarle el valor del precio, monto de contraprestación o margen de utilidad que corresponda al número entero de la mediana prevista en el l</w:t>
      </w:r>
      <w:r>
        <w:rPr>
          <w:rFonts w:ascii="Arial" w:hAnsi="Arial" w:cs="Arial"/>
          <w:lang w:val="es-CO"/>
        </w:rPr>
        <w:t>iteral c).</w:t>
      </w:r>
    </w:p>
    <w:p w14:paraId="36DFBD4E" w14:textId="77777777" w:rsidR="00B2442D" w:rsidRDefault="00B2442D">
      <w:pPr>
        <w:jc w:val="both"/>
        <w:rPr>
          <w:rFonts w:ascii="Arial" w:hAnsi="Arial" w:cs="Arial"/>
          <w:lang w:val="es-CO"/>
        </w:rPr>
      </w:pPr>
    </w:p>
    <w:p w14:paraId="406E374C"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Obtener el percentil vigésimo quinto, mediante la suma de la unidad a la mediana y la división del resultado entre dos (2). Para efectos de este literal se tomará como mediana el resultado a que hace referencia el literal c).</w:t>
      </w:r>
    </w:p>
    <w:p w14:paraId="5F4C2FE8" w14:textId="77777777" w:rsidR="00B2442D" w:rsidRDefault="00B2442D">
      <w:pPr>
        <w:ind w:left="284" w:hanging="284"/>
        <w:jc w:val="both"/>
        <w:rPr>
          <w:rFonts w:ascii="Arial" w:hAnsi="Arial" w:cs="Arial"/>
          <w:lang w:val="es-CO"/>
        </w:rPr>
      </w:pPr>
    </w:p>
    <w:p w14:paraId="08D6B432"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r>
      <w:r>
        <w:rPr>
          <w:rFonts w:ascii="Arial" w:hAnsi="Arial" w:cs="Arial"/>
          <w:lang w:val="es-CO"/>
        </w:rPr>
        <w:t xml:space="preserve"> Determinar el límite inferior del rango ubicando el valor del precio, monto de contra¬ prestación o margen de utilidad correspondiente al número entero secuencial del percentil vigésimo quinto.</w:t>
      </w:r>
    </w:p>
    <w:p w14:paraId="2FCB9EA2" w14:textId="77777777" w:rsidR="00B2442D" w:rsidRDefault="00B2442D">
      <w:pPr>
        <w:jc w:val="both"/>
        <w:rPr>
          <w:rFonts w:ascii="Arial" w:hAnsi="Arial" w:cs="Arial"/>
          <w:lang w:val="es-CO"/>
        </w:rPr>
      </w:pPr>
    </w:p>
    <w:p w14:paraId="319176BB" w14:textId="77777777" w:rsidR="00B2442D" w:rsidRDefault="008A645F">
      <w:pPr>
        <w:jc w:val="both"/>
        <w:rPr>
          <w:rFonts w:ascii="Arial" w:hAnsi="Arial" w:cs="Arial"/>
          <w:lang w:val="es-CO"/>
        </w:rPr>
      </w:pPr>
      <w:r>
        <w:rPr>
          <w:rFonts w:ascii="Arial" w:hAnsi="Arial" w:cs="Arial"/>
          <w:lang w:val="es-CO"/>
        </w:rPr>
        <w:t>Cuando el percentil vigésimo quinto sea un número formado po</w:t>
      </w:r>
      <w:r>
        <w:rPr>
          <w:rFonts w:ascii="Arial" w:hAnsi="Arial" w:cs="Arial"/>
          <w:lang w:val="es-CO"/>
        </w:rPr>
        <w:t>r entero y decimales, el límite inferior del rango deberá determinarse de la siguiente manera:</w:t>
      </w:r>
    </w:p>
    <w:p w14:paraId="3484C185" w14:textId="77777777" w:rsidR="00B2442D" w:rsidRDefault="00B2442D">
      <w:pPr>
        <w:jc w:val="both"/>
        <w:rPr>
          <w:rFonts w:ascii="Arial" w:hAnsi="Arial" w:cs="Arial"/>
          <w:lang w:val="es-CO"/>
        </w:rPr>
      </w:pPr>
    </w:p>
    <w:p w14:paraId="6400E022"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Obtener la diferencia entre el precio, monto de contraprestación o margen de utilidad a que se refiere este literal, tomando como referencia el número enter</w:t>
      </w:r>
      <w:r>
        <w:rPr>
          <w:rFonts w:ascii="Arial" w:hAnsi="Arial" w:cs="Arial"/>
          <w:lang w:val="es-CO"/>
        </w:rPr>
        <w:t>o del percentil vigésimo quinto calculado de la forma prevista en el literal e), y el precio o margen de utilidad inmediato superior, considerando para ambos casos su valor.</w:t>
      </w:r>
    </w:p>
    <w:p w14:paraId="10A369DF" w14:textId="77777777" w:rsidR="00B2442D" w:rsidRDefault="00B2442D">
      <w:pPr>
        <w:ind w:left="284" w:hanging="284"/>
        <w:jc w:val="both"/>
        <w:rPr>
          <w:rFonts w:ascii="Arial" w:hAnsi="Arial" w:cs="Arial"/>
          <w:lang w:val="es-CO"/>
        </w:rPr>
      </w:pPr>
    </w:p>
    <w:p w14:paraId="68214A9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Multiplicar el resultado obtenido en el numeral anterior por el número decima</w:t>
      </w:r>
      <w:r>
        <w:rPr>
          <w:rFonts w:ascii="Arial" w:hAnsi="Arial" w:cs="Arial"/>
          <w:lang w:val="es-CO"/>
        </w:rPr>
        <w:t>l del percentil vigésimo quinto y adicionarle el valor del precio, monto de la contraprestación o margen de utilidad que corresponda al número entero del percentil vigésimo quinto previsto en el literal e).</w:t>
      </w:r>
    </w:p>
    <w:p w14:paraId="6037F7CB" w14:textId="77777777" w:rsidR="00B2442D" w:rsidRDefault="00B2442D">
      <w:pPr>
        <w:ind w:left="284" w:hanging="284"/>
        <w:jc w:val="both"/>
        <w:rPr>
          <w:rFonts w:ascii="Arial" w:hAnsi="Arial" w:cs="Arial"/>
          <w:lang w:val="es-CO"/>
        </w:rPr>
      </w:pPr>
    </w:p>
    <w:p w14:paraId="5E2A1EA1"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Obtener el percentil septuagésimo quinto, med</w:t>
      </w:r>
      <w:r>
        <w:rPr>
          <w:rFonts w:ascii="Arial" w:hAnsi="Arial" w:cs="Arial"/>
          <w:lang w:val="es-CO"/>
        </w:rPr>
        <w:t>iante la resta de la unidad a la mediana a que hace referencia el literal c), sumándole al resultado el percentil vigésimo quinto obtenido en el literal e).</w:t>
      </w:r>
    </w:p>
    <w:p w14:paraId="10E5F84F" w14:textId="77777777" w:rsidR="00B2442D" w:rsidRDefault="00B2442D">
      <w:pPr>
        <w:ind w:left="284" w:hanging="284"/>
        <w:jc w:val="both"/>
        <w:rPr>
          <w:rFonts w:ascii="Arial" w:hAnsi="Arial" w:cs="Arial"/>
          <w:lang w:val="es-CO"/>
        </w:rPr>
      </w:pPr>
    </w:p>
    <w:p w14:paraId="61739ECD" w14:textId="77777777" w:rsidR="00B2442D" w:rsidRDefault="008A645F">
      <w:pPr>
        <w:ind w:left="284" w:hanging="284"/>
        <w:jc w:val="both"/>
        <w:rPr>
          <w:rFonts w:ascii="Arial" w:hAnsi="Arial" w:cs="Arial"/>
          <w:lang w:val="es-CO"/>
        </w:rPr>
      </w:pPr>
      <w:r>
        <w:rPr>
          <w:rFonts w:ascii="Arial" w:hAnsi="Arial" w:cs="Arial"/>
          <w:lang w:val="es-CO"/>
        </w:rPr>
        <w:t>h) Determinar el límite superior del rango ubicando el valor del precio, monto de contraprestación</w:t>
      </w:r>
      <w:r>
        <w:rPr>
          <w:rFonts w:ascii="Arial" w:hAnsi="Arial" w:cs="Arial"/>
          <w:lang w:val="es-CO"/>
        </w:rPr>
        <w:t xml:space="preserve"> o margen de utilidad correspondiente al número entero secuencial del percentil septuagésimo quinto.</w:t>
      </w:r>
    </w:p>
    <w:p w14:paraId="2BA00FD7" w14:textId="77777777" w:rsidR="00B2442D" w:rsidRDefault="00B2442D">
      <w:pPr>
        <w:jc w:val="both"/>
        <w:rPr>
          <w:rFonts w:ascii="Arial" w:hAnsi="Arial" w:cs="Arial"/>
          <w:lang w:val="es-CO"/>
        </w:rPr>
      </w:pPr>
    </w:p>
    <w:p w14:paraId="368C7E20" w14:textId="77777777" w:rsidR="00B2442D" w:rsidRDefault="008A645F">
      <w:pPr>
        <w:jc w:val="both"/>
        <w:rPr>
          <w:rFonts w:ascii="Arial" w:hAnsi="Arial" w:cs="Arial"/>
          <w:lang w:val="es-CO"/>
        </w:rPr>
      </w:pPr>
      <w:r>
        <w:rPr>
          <w:rFonts w:ascii="Arial" w:hAnsi="Arial" w:cs="Arial"/>
          <w:lang w:val="es-CO"/>
        </w:rPr>
        <w:t>Cuando el percentil septuagésimo quinto sea un número formado por entero y decimales, el límite superior del rango deberá determinarse de la siguiente man</w:t>
      </w:r>
      <w:r>
        <w:rPr>
          <w:rFonts w:ascii="Arial" w:hAnsi="Arial" w:cs="Arial"/>
          <w:lang w:val="es-CO"/>
        </w:rPr>
        <w:t>era:</w:t>
      </w:r>
    </w:p>
    <w:p w14:paraId="46CF755B" w14:textId="77777777" w:rsidR="00B2442D" w:rsidRDefault="00B2442D">
      <w:pPr>
        <w:jc w:val="both"/>
        <w:rPr>
          <w:rFonts w:ascii="Arial" w:hAnsi="Arial" w:cs="Arial"/>
          <w:lang w:val="es-CO"/>
        </w:rPr>
      </w:pPr>
    </w:p>
    <w:p w14:paraId="1FD5F4D5" w14:textId="77777777" w:rsidR="00B2442D" w:rsidRDefault="008A645F">
      <w:pPr>
        <w:ind w:left="284" w:hanging="284"/>
        <w:jc w:val="both"/>
        <w:rPr>
          <w:rFonts w:ascii="Arial" w:hAnsi="Arial" w:cs="Arial"/>
          <w:lang w:val="es-CO"/>
        </w:rPr>
      </w:pPr>
      <w:r>
        <w:rPr>
          <w:rFonts w:ascii="Arial" w:hAnsi="Arial" w:cs="Arial"/>
          <w:lang w:val="es-CO"/>
        </w:rPr>
        <w:t xml:space="preserve">1. Obtener la diferencia entre el precio, monto de contraprestación o margen de utilidad a que se refiere el primer inciso de este literal, tomando como referencia el número entero del septuagésimo quinto calculado de la forma prevista en el literal </w:t>
      </w:r>
      <w:r>
        <w:rPr>
          <w:rFonts w:ascii="Arial" w:hAnsi="Arial" w:cs="Arial"/>
          <w:lang w:val="es-CO"/>
        </w:rPr>
        <w:t>g), y el precio o margen de utilidad inmediato superior, considerando para ambos casos su valor.</w:t>
      </w:r>
    </w:p>
    <w:p w14:paraId="6E1E61DF" w14:textId="77777777" w:rsidR="00B2442D" w:rsidRDefault="00B2442D">
      <w:pPr>
        <w:ind w:left="284" w:hanging="284"/>
        <w:jc w:val="both"/>
        <w:rPr>
          <w:rFonts w:ascii="Arial" w:hAnsi="Arial" w:cs="Arial"/>
          <w:lang w:val="es-CO"/>
        </w:rPr>
      </w:pPr>
    </w:p>
    <w:p w14:paraId="1E9DA7B1" w14:textId="77777777" w:rsidR="00B2442D" w:rsidRDefault="008A645F">
      <w:pPr>
        <w:ind w:left="284" w:hanging="284"/>
        <w:jc w:val="both"/>
        <w:rPr>
          <w:rFonts w:ascii="Arial" w:hAnsi="Arial" w:cs="Arial"/>
          <w:lang w:val="es-CO"/>
        </w:rPr>
      </w:pPr>
      <w:r>
        <w:rPr>
          <w:rFonts w:ascii="Arial" w:hAnsi="Arial" w:cs="Arial"/>
          <w:lang w:val="es-CO"/>
        </w:rPr>
        <w:t>2. Multiplicar el resultado obtenido conforme al numeral anterior por el número decimal del percentil septuagésimo quinto y adicionarle el valor del precio, m</w:t>
      </w:r>
      <w:r>
        <w:rPr>
          <w:rFonts w:ascii="Arial" w:hAnsi="Arial" w:cs="Arial"/>
          <w:lang w:val="es-CO"/>
        </w:rPr>
        <w:t>onto de contraprestación o margen de utilidad que corresponda al número entero del percentil septuagésimo quinto previsto en el literal g).</w:t>
      </w:r>
    </w:p>
    <w:p w14:paraId="2136F88F" w14:textId="77777777" w:rsidR="00B2442D" w:rsidRDefault="00B2442D">
      <w:pPr>
        <w:jc w:val="both"/>
        <w:rPr>
          <w:rFonts w:ascii="Arial" w:hAnsi="Arial" w:cs="Arial"/>
          <w:lang w:val="es-CO"/>
        </w:rPr>
      </w:pPr>
    </w:p>
    <w:p w14:paraId="54EA55D2" w14:textId="77777777" w:rsidR="00B2442D" w:rsidRDefault="008A645F">
      <w:pPr>
        <w:jc w:val="both"/>
        <w:rPr>
          <w:rFonts w:ascii="Arial" w:hAnsi="Arial" w:cs="Arial"/>
          <w:i/>
          <w:lang w:val="es-CO"/>
        </w:rPr>
      </w:pPr>
      <w:r>
        <w:rPr>
          <w:rFonts w:ascii="Arial" w:hAnsi="Arial" w:cs="Arial"/>
          <w:i/>
          <w:lang w:val="es-CO"/>
        </w:rPr>
        <w:t>(Art. 8, Decreto 3030 de 2013)</w:t>
      </w:r>
      <w:r>
        <w:rPr>
          <w:rFonts w:ascii="Arial" w:hAnsi="Arial" w:cs="Arial"/>
        </w:rPr>
        <w:t xml:space="preserve"> </w:t>
      </w:r>
      <w:r>
        <w:rPr>
          <w:rFonts w:ascii="Arial" w:hAnsi="Arial" w:cs="Arial"/>
          <w:i/>
          <w:lang w:val="es-CO"/>
        </w:rPr>
        <w:t>(El Decreto 3030 de 2013 rige a partir de la fecha de su publicación y deroga las no</w:t>
      </w:r>
      <w:r>
        <w:rPr>
          <w:rFonts w:ascii="Arial" w:hAnsi="Arial" w:cs="Arial"/>
          <w:i/>
          <w:lang w:val="es-CO"/>
        </w:rPr>
        <w:t>rmas que le sean contrarias, en especial, el Decreto número 4349 de 2004. Art. 26, Decreto 3030 de 2013)</w:t>
      </w:r>
    </w:p>
    <w:p w14:paraId="3CEB4B41" w14:textId="77777777" w:rsidR="00B2442D" w:rsidRDefault="00B2442D">
      <w:pPr>
        <w:jc w:val="both"/>
        <w:rPr>
          <w:rFonts w:ascii="Arial" w:hAnsi="Arial" w:cs="Arial"/>
          <w:lang w:val="es-CO"/>
        </w:rPr>
      </w:pPr>
    </w:p>
    <w:p w14:paraId="29B2E105" w14:textId="77777777" w:rsidR="00B2442D" w:rsidRDefault="008A645F">
      <w:pPr>
        <w:pStyle w:val="Prrafodelista"/>
        <w:numPr>
          <w:ilvl w:val="0"/>
          <w:numId w:val="41"/>
        </w:numPr>
        <w:ind w:left="0" w:firstLine="0"/>
        <w:jc w:val="both"/>
        <w:rPr>
          <w:rFonts w:ascii="Arial" w:hAnsi="Arial" w:cs="Arial"/>
          <w:lang w:val="es-CO"/>
        </w:rPr>
      </w:pPr>
      <w:r>
        <w:rPr>
          <w:rFonts w:ascii="Arial" w:hAnsi="Arial" w:cs="Arial"/>
          <w:b/>
          <w:i/>
          <w:lang w:val="es-CO"/>
        </w:rPr>
        <w:t xml:space="preserve">Plazo para la presentación de la documentación. </w:t>
      </w:r>
      <w:r>
        <w:rPr>
          <w:rFonts w:ascii="Arial" w:hAnsi="Arial" w:cs="Arial"/>
          <w:lang w:val="es-CO"/>
        </w:rPr>
        <w:t>La documentación comprobatoria deberá presentarse dentro del año inmediatamente siguiente al año grava</w:t>
      </w:r>
      <w:r>
        <w:rPr>
          <w:rFonts w:ascii="Arial" w:hAnsi="Arial" w:cs="Arial"/>
          <w:lang w:val="es-CO"/>
        </w:rPr>
        <w:t>ble al que corresponde la información, en las fechas que determine el Gobierno Nacional, en forma virtual a través de los servicios informáticos electrónicos de la Unidad Administrativa Especial Dirección de Impuestos y Aduanas Nacionales– DIAN y en las co</w:t>
      </w:r>
      <w:r>
        <w:rPr>
          <w:rFonts w:ascii="Arial" w:hAnsi="Arial" w:cs="Arial"/>
          <w:lang w:val="es-CO"/>
        </w:rPr>
        <w:t>ndiciones que esta determine, atendiendo al último dígito del NIT del obligado, sin el dígito de verificación.</w:t>
      </w:r>
    </w:p>
    <w:p w14:paraId="4E6F3F94" w14:textId="77777777" w:rsidR="00B2442D" w:rsidRDefault="00B2442D">
      <w:pPr>
        <w:jc w:val="both"/>
        <w:rPr>
          <w:rFonts w:ascii="Arial" w:hAnsi="Arial" w:cs="Arial"/>
          <w:lang w:val="es-CO"/>
        </w:rPr>
      </w:pPr>
    </w:p>
    <w:p w14:paraId="1CE6E48A" w14:textId="77777777" w:rsidR="00B2442D" w:rsidRDefault="008A645F">
      <w:pPr>
        <w:jc w:val="both"/>
        <w:rPr>
          <w:rFonts w:ascii="Arial" w:hAnsi="Arial" w:cs="Arial"/>
          <w:lang w:val="es-CO"/>
        </w:rPr>
      </w:pPr>
      <w:r>
        <w:rPr>
          <w:rFonts w:ascii="Arial" w:hAnsi="Arial" w:cs="Arial"/>
          <w:lang w:val="es-CO"/>
        </w:rPr>
        <w:t>Para efectos de control de las obligaciones derivadas de la aplicación del régimen de precios de transferencia, la documentación comprobatoria d</w:t>
      </w:r>
      <w:r>
        <w:rPr>
          <w:rFonts w:ascii="Arial" w:hAnsi="Arial" w:cs="Arial"/>
          <w:lang w:val="es-CO"/>
        </w:rPr>
        <w:t xml:space="preserve">eberá conservarse por un término de cinco (5) años, contados a partir del 1 de enero del año gravable siguiente al que corresponden las operaciones que dieron lugar a su elaboración, expedición o recibo, así como demás informaciones y pruebas referentes a </w:t>
      </w:r>
      <w:r>
        <w:rPr>
          <w:rFonts w:ascii="Arial" w:hAnsi="Arial" w:cs="Arial"/>
          <w:lang w:val="es-CO"/>
        </w:rPr>
        <w:t>las operaciones realizadas con vinculados del exterior, o con vinculados ubicados en zonas francas, o con personas, sociedades, entidades o empresas ubicadas, residentes o domiciliadas en paraísos fiscales.</w:t>
      </w:r>
    </w:p>
    <w:p w14:paraId="60DA3874" w14:textId="77777777" w:rsidR="00B2442D" w:rsidRDefault="00B2442D">
      <w:pPr>
        <w:jc w:val="both"/>
        <w:rPr>
          <w:rFonts w:ascii="Arial" w:hAnsi="Arial" w:cs="Arial"/>
          <w:lang w:val="es-CO"/>
        </w:rPr>
      </w:pPr>
    </w:p>
    <w:p w14:paraId="2EB4AE6E" w14:textId="77777777" w:rsidR="00B2442D" w:rsidRDefault="008A645F">
      <w:pPr>
        <w:jc w:val="both"/>
        <w:rPr>
          <w:rFonts w:ascii="Arial" w:hAnsi="Arial" w:cs="Arial"/>
          <w:i/>
          <w:lang w:val="es-CO"/>
        </w:rPr>
      </w:pPr>
      <w:r>
        <w:rPr>
          <w:rFonts w:ascii="Arial" w:hAnsi="Arial" w:cs="Arial"/>
          <w:i/>
          <w:lang w:val="es-CO"/>
        </w:rPr>
        <w:t>(Art. 9, Decreto 3030 de 2013)</w:t>
      </w:r>
      <w:r>
        <w:rPr>
          <w:rFonts w:ascii="Arial" w:hAnsi="Arial" w:cs="Arial"/>
        </w:rPr>
        <w:t xml:space="preserve"> </w:t>
      </w:r>
      <w:r>
        <w:rPr>
          <w:rFonts w:ascii="Arial" w:hAnsi="Arial" w:cs="Arial"/>
          <w:i/>
          <w:lang w:val="es-CO"/>
        </w:rPr>
        <w:t xml:space="preserve">(El Decreto 3030 </w:t>
      </w:r>
      <w:r>
        <w:rPr>
          <w:rFonts w:ascii="Arial" w:hAnsi="Arial" w:cs="Arial"/>
          <w:i/>
          <w:lang w:val="es-CO"/>
        </w:rPr>
        <w:t>de 2013 rige a partir de la fecha de su publicación y deroga las normas que le sean contrarias, en especial, el Decreto número 4349 de 2004. Art. 26, Decreto 3030 de 2013)</w:t>
      </w:r>
    </w:p>
    <w:p w14:paraId="64948834" w14:textId="77777777" w:rsidR="00B2442D" w:rsidRDefault="00B2442D">
      <w:pPr>
        <w:jc w:val="both"/>
        <w:rPr>
          <w:rFonts w:ascii="Arial" w:hAnsi="Arial" w:cs="Arial"/>
          <w:i/>
          <w:lang w:val="es-CO"/>
        </w:rPr>
      </w:pPr>
    </w:p>
    <w:p w14:paraId="313A0F5A" w14:textId="77777777" w:rsidR="00B2442D" w:rsidRDefault="008A645F">
      <w:pPr>
        <w:pStyle w:val="Ttulo4"/>
      </w:pPr>
      <w:r>
        <w:t>CAPÍTULO 3</w:t>
      </w:r>
    </w:p>
    <w:p w14:paraId="1B6BCF15" w14:textId="77777777" w:rsidR="00B2442D" w:rsidRDefault="008A645F">
      <w:pPr>
        <w:pStyle w:val="Ttulo4"/>
      </w:pPr>
      <w:r>
        <w:t>Declaración informativa</w:t>
      </w:r>
    </w:p>
    <w:p w14:paraId="11F414E0" w14:textId="77777777" w:rsidR="00B2442D" w:rsidRDefault="00B2442D">
      <w:pPr>
        <w:jc w:val="both"/>
        <w:rPr>
          <w:rFonts w:ascii="Arial" w:hAnsi="Arial" w:cs="Arial"/>
          <w:b/>
          <w:lang w:val="es-CO"/>
        </w:rPr>
      </w:pPr>
    </w:p>
    <w:p w14:paraId="5BD18A59" w14:textId="77777777" w:rsidR="00B2442D" w:rsidRDefault="008A645F">
      <w:pPr>
        <w:pStyle w:val="Prrafodelista"/>
        <w:numPr>
          <w:ilvl w:val="0"/>
          <w:numId w:val="42"/>
        </w:numPr>
        <w:ind w:left="0" w:firstLine="0"/>
        <w:jc w:val="both"/>
        <w:rPr>
          <w:rFonts w:ascii="Arial" w:hAnsi="Arial" w:cs="Arial"/>
          <w:lang w:val="es-CO"/>
        </w:rPr>
      </w:pPr>
      <w:r>
        <w:rPr>
          <w:rFonts w:ascii="Arial" w:hAnsi="Arial" w:cs="Arial"/>
          <w:b/>
          <w:i/>
          <w:lang w:val="es-CO"/>
        </w:rPr>
        <w:t xml:space="preserve">Contenido de la declaración informativa. </w:t>
      </w:r>
      <w:r>
        <w:rPr>
          <w:rFonts w:ascii="Arial" w:hAnsi="Arial" w:cs="Arial"/>
          <w:lang w:val="es-CO"/>
        </w:rPr>
        <w:t>La declaración informativa de precios de transferencia a que se refiere el artículo 260-9 del Estatuto Tributario, deberá contener:</w:t>
      </w:r>
    </w:p>
    <w:p w14:paraId="10B56249" w14:textId="77777777" w:rsidR="00B2442D" w:rsidRDefault="00B2442D">
      <w:pPr>
        <w:jc w:val="both"/>
        <w:rPr>
          <w:rFonts w:ascii="Arial" w:hAnsi="Arial" w:cs="Arial"/>
          <w:lang w:val="es-CO"/>
        </w:rPr>
      </w:pPr>
    </w:p>
    <w:p w14:paraId="198837DB"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El formulario que para el efecto señale la Unidad Administrativa Especial Dire</w:t>
      </w:r>
      <w:r>
        <w:rPr>
          <w:rFonts w:ascii="Arial" w:hAnsi="Arial" w:cs="Arial"/>
          <w:lang w:val="es-CO"/>
        </w:rPr>
        <w:t>cción de Impuestos y Aduanas Nacionales– DIAN debidamente diligenciado.</w:t>
      </w:r>
    </w:p>
    <w:p w14:paraId="19D37BEA" w14:textId="77777777" w:rsidR="00B2442D" w:rsidRDefault="00B2442D">
      <w:pPr>
        <w:ind w:left="284" w:hanging="284"/>
        <w:jc w:val="both"/>
        <w:rPr>
          <w:rFonts w:ascii="Arial" w:hAnsi="Arial" w:cs="Arial"/>
          <w:lang w:val="es-CO"/>
        </w:rPr>
      </w:pPr>
    </w:p>
    <w:p w14:paraId="6145920D"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La información necesaria para la identificación del contribuyente.</w:t>
      </w:r>
    </w:p>
    <w:p w14:paraId="4500F8F4" w14:textId="77777777" w:rsidR="00B2442D" w:rsidRDefault="00B2442D">
      <w:pPr>
        <w:ind w:left="284" w:hanging="284"/>
        <w:jc w:val="both"/>
        <w:rPr>
          <w:rFonts w:ascii="Arial" w:hAnsi="Arial" w:cs="Arial"/>
          <w:lang w:val="es-CO"/>
        </w:rPr>
      </w:pPr>
    </w:p>
    <w:p w14:paraId="515B889F"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La información necesaria para la identificación de los vinculados del exterior, los vinculados ubicados en </w:t>
      </w:r>
      <w:r>
        <w:rPr>
          <w:rFonts w:ascii="Arial" w:hAnsi="Arial" w:cs="Arial"/>
          <w:lang w:val="es-CO"/>
        </w:rPr>
        <w:t>zonas francas, o las personas, sociedades, entidades o empresas ubicadas, residentes o domiciliadas en paraísos fiscales, según el caso, con los cuales se celebraron operaciones.</w:t>
      </w:r>
    </w:p>
    <w:p w14:paraId="3F952FC0" w14:textId="77777777" w:rsidR="00B2442D" w:rsidRDefault="00B2442D">
      <w:pPr>
        <w:ind w:left="284" w:hanging="284"/>
        <w:jc w:val="both"/>
        <w:rPr>
          <w:rFonts w:ascii="Arial" w:hAnsi="Arial" w:cs="Arial"/>
          <w:lang w:val="es-CO"/>
        </w:rPr>
      </w:pPr>
    </w:p>
    <w:p w14:paraId="5955B97B"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La información necesaria para la identificación de los tipos de operació</w:t>
      </w:r>
      <w:r>
        <w:rPr>
          <w:rFonts w:ascii="Arial" w:hAnsi="Arial" w:cs="Arial"/>
          <w:lang w:val="es-CO"/>
        </w:rPr>
        <w:t>n realizados durante el año gravable por el contribuyente con vinculados del exterior, o con vinculados ubicados en zonas francas, o con personas, sociedades, entidades o empresas ubicadas, residentes o domiciliadas en paraísos fiscales, según el caso.</w:t>
      </w:r>
    </w:p>
    <w:p w14:paraId="48B990A1" w14:textId="77777777" w:rsidR="00B2442D" w:rsidRDefault="00B2442D">
      <w:pPr>
        <w:ind w:left="284" w:hanging="284"/>
        <w:jc w:val="both"/>
        <w:rPr>
          <w:rFonts w:ascii="Arial" w:hAnsi="Arial" w:cs="Arial"/>
          <w:lang w:val="es-CO"/>
        </w:rPr>
      </w:pPr>
    </w:p>
    <w:p w14:paraId="11EE4E60"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La información sobre la metodología utilizada y demás factores necesarios para la determinación de los precios o márgenes de utilidad.</w:t>
      </w:r>
    </w:p>
    <w:p w14:paraId="7E418333" w14:textId="77777777" w:rsidR="00B2442D" w:rsidRDefault="00B2442D">
      <w:pPr>
        <w:ind w:left="284" w:hanging="284"/>
        <w:jc w:val="both"/>
        <w:rPr>
          <w:rFonts w:ascii="Arial" w:hAnsi="Arial" w:cs="Arial"/>
          <w:lang w:val="es-CO"/>
        </w:rPr>
      </w:pPr>
    </w:p>
    <w:p w14:paraId="325342ED"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La información sobre acuerdos de costos compartidos y reestructuraciones empresariales.</w:t>
      </w:r>
    </w:p>
    <w:p w14:paraId="3F3B3A44" w14:textId="77777777" w:rsidR="00B2442D" w:rsidRDefault="00B2442D">
      <w:pPr>
        <w:ind w:left="284" w:hanging="284"/>
        <w:jc w:val="both"/>
        <w:rPr>
          <w:rFonts w:ascii="Arial" w:hAnsi="Arial" w:cs="Arial"/>
          <w:lang w:val="es-CO"/>
        </w:rPr>
      </w:pPr>
    </w:p>
    <w:p w14:paraId="5E371712"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r>
      <w:r>
        <w:rPr>
          <w:rFonts w:ascii="Arial" w:hAnsi="Arial" w:cs="Arial"/>
          <w:lang w:val="es-CO"/>
        </w:rPr>
        <w:t xml:space="preserve"> La liquidación de las sanciones cuando a ello haya lugar.</w:t>
      </w:r>
    </w:p>
    <w:p w14:paraId="027CFB9D" w14:textId="77777777" w:rsidR="00B2442D" w:rsidRDefault="00B2442D">
      <w:pPr>
        <w:ind w:left="284" w:hanging="284"/>
        <w:jc w:val="both"/>
        <w:rPr>
          <w:rFonts w:ascii="Arial" w:hAnsi="Arial" w:cs="Arial"/>
          <w:lang w:val="es-CO"/>
        </w:rPr>
      </w:pPr>
    </w:p>
    <w:p w14:paraId="0FCD62FF"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La firma de quien cumpla el deber formal de declarar.</w:t>
      </w:r>
    </w:p>
    <w:p w14:paraId="555B8384" w14:textId="77777777" w:rsidR="00B2442D" w:rsidRDefault="00B2442D">
      <w:pPr>
        <w:jc w:val="both"/>
        <w:rPr>
          <w:rFonts w:ascii="Arial" w:hAnsi="Arial" w:cs="Arial"/>
          <w:lang w:val="es-CO"/>
        </w:rPr>
      </w:pPr>
    </w:p>
    <w:p w14:paraId="32D1363F"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declaración informativa de precios de transferencia deberá ser firmada por:</w:t>
      </w:r>
    </w:p>
    <w:p w14:paraId="1F1AD9D1" w14:textId="77777777" w:rsidR="00B2442D" w:rsidRDefault="00B2442D">
      <w:pPr>
        <w:jc w:val="both"/>
        <w:rPr>
          <w:rFonts w:ascii="Arial" w:hAnsi="Arial" w:cs="Arial"/>
          <w:lang w:val="es-CO"/>
        </w:rPr>
      </w:pPr>
    </w:p>
    <w:p w14:paraId="6422F2FA"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 xml:space="preserve"> El contribuyente o su representante a qu</w:t>
      </w:r>
      <w:r>
        <w:rPr>
          <w:rFonts w:ascii="Arial" w:hAnsi="Arial" w:cs="Arial"/>
          <w:lang w:val="es-CO"/>
        </w:rPr>
        <w:t>e hace referencia el artículo 572 del Estatuto Tributario.</w:t>
      </w:r>
    </w:p>
    <w:p w14:paraId="2BD048AC" w14:textId="77777777" w:rsidR="00B2442D" w:rsidRDefault="00B2442D">
      <w:pPr>
        <w:jc w:val="both"/>
        <w:rPr>
          <w:rFonts w:ascii="Arial" w:hAnsi="Arial" w:cs="Arial"/>
          <w:lang w:val="es-CO"/>
        </w:rPr>
      </w:pPr>
    </w:p>
    <w:p w14:paraId="7080BEE1"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 xml:space="preserve"> Los apoderados generales y mandatarios especiales que no sean abogados a que hace relación el artículo 572-1 del Estatuto Tributario. En este caso se requiere poder otorgado mediante escritura pública.</w:t>
      </w:r>
    </w:p>
    <w:p w14:paraId="1627BA1F" w14:textId="77777777" w:rsidR="00B2442D" w:rsidRDefault="00B2442D">
      <w:pPr>
        <w:jc w:val="both"/>
        <w:rPr>
          <w:rFonts w:ascii="Arial" w:hAnsi="Arial" w:cs="Arial"/>
          <w:lang w:val="es-CO"/>
        </w:rPr>
      </w:pPr>
    </w:p>
    <w:p w14:paraId="0D1BFED2"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De conformidad con lo señalado en el a</w:t>
      </w:r>
      <w:r>
        <w:rPr>
          <w:rFonts w:ascii="Arial" w:hAnsi="Arial" w:cs="Arial"/>
          <w:lang w:val="es-CO"/>
        </w:rPr>
        <w:t>rtículo 576 del Estatuto Tributario. La declaración informativa de precios de transferencia de los contribuyentes con residencia en el exterior deberá ser presentada por:</w:t>
      </w:r>
    </w:p>
    <w:p w14:paraId="060B83AD" w14:textId="77777777" w:rsidR="00B2442D" w:rsidRDefault="00B2442D">
      <w:pPr>
        <w:jc w:val="both"/>
        <w:rPr>
          <w:rFonts w:ascii="Arial" w:hAnsi="Arial" w:cs="Arial"/>
          <w:lang w:val="es-CO"/>
        </w:rPr>
      </w:pPr>
    </w:p>
    <w:p w14:paraId="02C73EF8"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Las sucursales de sociedades extranjeras.</w:t>
      </w:r>
    </w:p>
    <w:p w14:paraId="30C76FA2" w14:textId="77777777" w:rsidR="00B2442D" w:rsidRDefault="00B2442D">
      <w:pPr>
        <w:ind w:left="426" w:hanging="426"/>
        <w:jc w:val="both"/>
        <w:rPr>
          <w:rFonts w:ascii="Arial" w:hAnsi="Arial" w:cs="Arial"/>
          <w:lang w:val="es-CO"/>
        </w:rPr>
      </w:pPr>
    </w:p>
    <w:p w14:paraId="6E1274E4"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Los establecimientos permanentes </w:t>
      </w:r>
      <w:r>
        <w:rPr>
          <w:rFonts w:ascii="Arial" w:hAnsi="Arial" w:cs="Arial"/>
          <w:lang w:val="es-CO"/>
        </w:rPr>
        <w:t>de personas naturales no residentes o de personas jurídicas o entidades extranjeras, según el caso.</w:t>
      </w:r>
    </w:p>
    <w:p w14:paraId="551B33E8" w14:textId="77777777" w:rsidR="00B2442D" w:rsidRDefault="00B2442D">
      <w:pPr>
        <w:jc w:val="both"/>
        <w:rPr>
          <w:rFonts w:ascii="Arial" w:hAnsi="Arial" w:cs="Arial"/>
          <w:lang w:val="es-CO"/>
        </w:rPr>
      </w:pPr>
    </w:p>
    <w:p w14:paraId="0FA32679" w14:textId="77777777" w:rsidR="00B2442D" w:rsidRDefault="008A645F">
      <w:pPr>
        <w:jc w:val="both"/>
        <w:rPr>
          <w:rFonts w:ascii="Arial" w:hAnsi="Arial" w:cs="Arial"/>
          <w:lang w:val="es-CO"/>
        </w:rPr>
      </w:pPr>
      <w:r>
        <w:rPr>
          <w:rFonts w:ascii="Arial" w:hAnsi="Arial" w:cs="Arial"/>
          <w:lang w:val="es-CO"/>
        </w:rPr>
        <w:t>Si quienes quedan sujetos a la obligación de presentar declaración informativa de precios de transferencia no la cumplieren, serán responsables por las san</w:t>
      </w:r>
      <w:r>
        <w:rPr>
          <w:rFonts w:ascii="Arial" w:hAnsi="Arial" w:cs="Arial"/>
          <w:lang w:val="es-CO"/>
        </w:rPr>
        <w:t>ciones a que hubiere lugar.</w:t>
      </w:r>
    </w:p>
    <w:p w14:paraId="0107A59C" w14:textId="77777777" w:rsidR="00B2442D" w:rsidRDefault="00B2442D">
      <w:pPr>
        <w:jc w:val="both"/>
        <w:rPr>
          <w:rFonts w:ascii="Arial" w:hAnsi="Arial" w:cs="Arial"/>
          <w:lang w:val="es-CO"/>
        </w:rPr>
      </w:pPr>
    </w:p>
    <w:p w14:paraId="1D69073F" w14:textId="77777777" w:rsidR="00B2442D" w:rsidRDefault="008A645F">
      <w:pPr>
        <w:jc w:val="both"/>
        <w:rPr>
          <w:rFonts w:ascii="Arial" w:hAnsi="Arial" w:cs="Arial"/>
          <w:i/>
          <w:lang w:val="es-CO"/>
        </w:rPr>
      </w:pPr>
      <w:r>
        <w:rPr>
          <w:rFonts w:ascii="Arial" w:hAnsi="Arial" w:cs="Arial"/>
          <w:i/>
          <w:lang w:val="es-CO"/>
        </w:rPr>
        <w:t>(Art. 10,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6147D0DB" w14:textId="77777777" w:rsidR="00B2442D" w:rsidRDefault="00B2442D">
      <w:pPr>
        <w:jc w:val="both"/>
        <w:rPr>
          <w:rFonts w:ascii="Arial" w:hAnsi="Arial" w:cs="Arial"/>
          <w:lang w:val="es-CO"/>
        </w:rPr>
      </w:pPr>
    </w:p>
    <w:p w14:paraId="1B244627" w14:textId="77777777" w:rsidR="00B2442D" w:rsidRDefault="008A645F">
      <w:pPr>
        <w:pStyle w:val="Prrafodelista"/>
        <w:numPr>
          <w:ilvl w:val="0"/>
          <w:numId w:val="42"/>
        </w:numPr>
        <w:ind w:left="0" w:firstLine="0"/>
        <w:jc w:val="both"/>
        <w:rPr>
          <w:rFonts w:ascii="Arial" w:hAnsi="Arial" w:cs="Arial"/>
          <w:lang w:val="es-CO"/>
        </w:rPr>
      </w:pPr>
      <w:r>
        <w:rPr>
          <w:rFonts w:ascii="Arial" w:hAnsi="Arial" w:cs="Arial"/>
          <w:b/>
          <w:i/>
          <w:lang w:val="es-CO"/>
        </w:rPr>
        <w:t>Tipos</w:t>
      </w:r>
      <w:r>
        <w:rPr>
          <w:rFonts w:ascii="Arial" w:hAnsi="Arial" w:cs="Arial"/>
          <w:b/>
          <w:i/>
          <w:lang w:val="es-CO"/>
        </w:rPr>
        <w:t xml:space="preserve"> de operación.</w:t>
      </w:r>
      <w:r>
        <w:rPr>
          <w:rFonts w:ascii="Arial" w:hAnsi="Arial" w:cs="Arial"/>
          <w:lang w:val="es-CO"/>
        </w:rPr>
        <w:t xml:space="preserve"> Se entiende por tipo de operación el conjunto de las operaciones que realiza el contribuyente mediante actividades que no presentan diferencias significativas en relación con las funciones efectuadas, los activos utilizados y los riesgos asu</w:t>
      </w:r>
      <w:r>
        <w:rPr>
          <w:rFonts w:ascii="Arial" w:hAnsi="Arial" w:cs="Arial"/>
          <w:lang w:val="es-CO"/>
        </w:rPr>
        <w:t>midos por el mismo.</w:t>
      </w:r>
    </w:p>
    <w:p w14:paraId="59A40734" w14:textId="77777777" w:rsidR="00B2442D" w:rsidRDefault="00B2442D">
      <w:pPr>
        <w:jc w:val="both"/>
        <w:rPr>
          <w:rFonts w:ascii="Arial" w:hAnsi="Arial" w:cs="Arial"/>
          <w:lang w:val="es-CO"/>
        </w:rPr>
      </w:pPr>
    </w:p>
    <w:p w14:paraId="04B54936" w14:textId="77777777" w:rsidR="00B2442D" w:rsidRDefault="008A645F">
      <w:pPr>
        <w:jc w:val="both"/>
        <w:rPr>
          <w:rFonts w:ascii="Arial" w:hAnsi="Arial" w:cs="Arial"/>
          <w:lang w:val="es-CO"/>
        </w:rPr>
      </w:pPr>
      <w:r>
        <w:rPr>
          <w:rFonts w:ascii="Arial" w:hAnsi="Arial" w:cs="Arial"/>
          <w:lang w:val="es-CO"/>
        </w:rPr>
        <w:t>Deberán declararse por separado aquellos tipos de operación que se denominen de manera idéntica o similar pero que al momento de realizarse presenten diferencias significativas en relación con las funciones efectuadas, los activos util</w:t>
      </w:r>
      <w:r>
        <w:rPr>
          <w:rFonts w:ascii="Arial" w:hAnsi="Arial" w:cs="Arial"/>
          <w:lang w:val="es-CO"/>
        </w:rPr>
        <w:t>izados y los riesgos asumidos, aun cuando se hubieren celebrado con el mismo vinculado del exterior, o vinculados ubicados en zonas francas, o personas, sociedades, entidades o empresas ubicadas, residentes o domiciliadas en paraísos fiscales.</w:t>
      </w:r>
    </w:p>
    <w:p w14:paraId="39C63EA3" w14:textId="77777777" w:rsidR="00B2442D" w:rsidRDefault="00B2442D">
      <w:pPr>
        <w:jc w:val="both"/>
        <w:rPr>
          <w:rFonts w:ascii="Arial" w:hAnsi="Arial" w:cs="Arial"/>
          <w:lang w:val="es-CO"/>
        </w:rPr>
      </w:pPr>
    </w:p>
    <w:p w14:paraId="055DB887" w14:textId="77777777" w:rsidR="00B2442D" w:rsidRDefault="008A645F">
      <w:pPr>
        <w:jc w:val="both"/>
        <w:rPr>
          <w:rFonts w:ascii="Arial" w:hAnsi="Arial" w:cs="Arial"/>
          <w:lang w:val="es-CO"/>
        </w:rPr>
      </w:pPr>
      <w:r>
        <w:rPr>
          <w:rFonts w:ascii="Arial" w:hAnsi="Arial" w:cs="Arial"/>
          <w:lang w:val="es-CO"/>
        </w:rPr>
        <w:t>Para este e</w:t>
      </w:r>
      <w:r>
        <w:rPr>
          <w:rFonts w:ascii="Arial" w:hAnsi="Arial" w:cs="Arial"/>
          <w:lang w:val="es-CO"/>
        </w:rPr>
        <w:t>fecto se debe determinar el monto acumulado en el año gravable de los siguientes tipos de operación:</w:t>
      </w:r>
    </w:p>
    <w:p w14:paraId="777CC731" w14:textId="77777777" w:rsidR="00B2442D" w:rsidRDefault="00B2442D">
      <w:pPr>
        <w:jc w:val="both"/>
        <w:rPr>
          <w:rFonts w:ascii="Arial" w:hAnsi="Arial" w:cs="Arial"/>
          <w:lang w:val="es-CO"/>
        </w:rPr>
      </w:pPr>
    </w:p>
    <w:p w14:paraId="08F28CD4" w14:textId="77777777" w:rsidR="00B2442D" w:rsidRDefault="008A645F">
      <w:pPr>
        <w:jc w:val="both"/>
        <w:rPr>
          <w:rFonts w:ascii="Arial" w:hAnsi="Arial" w:cs="Arial"/>
          <w:b/>
          <w:lang w:val="es-CO"/>
        </w:rPr>
      </w:pPr>
      <w:r>
        <w:rPr>
          <w:rFonts w:ascii="Arial" w:hAnsi="Arial" w:cs="Arial"/>
          <w:b/>
          <w:lang w:val="es-CO"/>
        </w:rPr>
        <w:t>1. Operaciones de ingreso</w:t>
      </w:r>
    </w:p>
    <w:p w14:paraId="5C115564" w14:textId="77777777" w:rsidR="00B2442D" w:rsidRDefault="00B2442D">
      <w:pPr>
        <w:jc w:val="both"/>
        <w:rPr>
          <w:rFonts w:ascii="Arial" w:hAnsi="Arial" w:cs="Arial"/>
          <w:lang w:val="es-CO"/>
        </w:rPr>
      </w:pPr>
    </w:p>
    <w:p w14:paraId="2005B5E5" w14:textId="77777777" w:rsidR="00B2442D" w:rsidRDefault="008A645F">
      <w:pPr>
        <w:jc w:val="both"/>
        <w:rPr>
          <w:rFonts w:ascii="Arial" w:hAnsi="Arial" w:cs="Arial"/>
          <w:lang w:val="es-CO"/>
        </w:rPr>
      </w:pPr>
      <w:r>
        <w:rPr>
          <w:rFonts w:ascii="Arial" w:hAnsi="Arial" w:cs="Arial"/>
          <w:lang w:val="es-CO"/>
        </w:rPr>
        <w:t>Recibidos o abonados en cuenta por concepto de:</w:t>
      </w:r>
    </w:p>
    <w:p w14:paraId="161FE07F" w14:textId="77777777" w:rsidR="00B2442D" w:rsidRDefault="00B2442D">
      <w:pPr>
        <w:jc w:val="both"/>
        <w:rPr>
          <w:rFonts w:ascii="Arial" w:hAnsi="Arial" w:cs="Arial"/>
          <w:lang w:val="es-CO"/>
        </w:rPr>
      </w:pPr>
    </w:p>
    <w:p w14:paraId="5FF4147E" w14:textId="77777777" w:rsidR="00B2442D" w:rsidRDefault="008A645F">
      <w:pPr>
        <w:jc w:val="both"/>
        <w:rPr>
          <w:rFonts w:ascii="Arial" w:hAnsi="Arial" w:cs="Arial"/>
          <w:lang w:val="es-CO"/>
        </w:rPr>
      </w:pPr>
      <w:r>
        <w:rPr>
          <w:rFonts w:ascii="Arial" w:hAnsi="Arial" w:cs="Arial"/>
          <w:lang w:val="es-CO"/>
        </w:rPr>
        <w:t>Netos por venta de inventarios producidos.</w:t>
      </w:r>
    </w:p>
    <w:p w14:paraId="31C313FF" w14:textId="77777777" w:rsidR="00B2442D" w:rsidRDefault="008A645F">
      <w:pPr>
        <w:jc w:val="both"/>
        <w:rPr>
          <w:rFonts w:ascii="Arial" w:hAnsi="Arial" w:cs="Arial"/>
          <w:lang w:val="es-CO"/>
        </w:rPr>
      </w:pPr>
      <w:r>
        <w:rPr>
          <w:rFonts w:ascii="Arial" w:hAnsi="Arial" w:cs="Arial"/>
          <w:lang w:val="es-CO"/>
        </w:rPr>
        <w:t>Netos por venta de inventarios no p</w:t>
      </w:r>
      <w:r>
        <w:rPr>
          <w:rFonts w:ascii="Arial" w:hAnsi="Arial" w:cs="Arial"/>
          <w:lang w:val="es-CO"/>
        </w:rPr>
        <w:t>roducidos.</w:t>
      </w:r>
    </w:p>
    <w:p w14:paraId="23E2D888" w14:textId="77777777" w:rsidR="00B2442D" w:rsidRDefault="008A645F">
      <w:pPr>
        <w:jc w:val="both"/>
        <w:rPr>
          <w:rFonts w:ascii="Arial" w:hAnsi="Arial" w:cs="Arial"/>
          <w:lang w:val="es-CO"/>
        </w:rPr>
      </w:pPr>
      <w:r>
        <w:rPr>
          <w:rFonts w:ascii="Arial" w:hAnsi="Arial" w:cs="Arial"/>
          <w:lang w:val="es-CO"/>
        </w:rPr>
        <w:t>Servicios intermedios de la producción - maquila.</w:t>
      </w:r>
    </w:p>
    <w:p w14:paraId="5099AA67" w14:textId="77777777" w:rsidR="00B2442D" w:rsidRDefault="008A645F">
      <w:pPr>
        <w:jc w:val="both"/>
        <w:rPr>
          <w:rFonts w:ascii="Arial" w:hAnsi="Arial" w:cs="Arial"/>
          <w:lang w:val="es-CO"/>
        </w:rPr>
      </w:pPr>
      <w:r>
        <w:rPr>
          <w:rFonts w:ascii="Arial" w:hAnsi="Arial" w:cs="Arial"/>
          <w:lang w:val="es-CO"/>
        </w:rPr>
        <w:t>Servicios administrativos.</w:t>
      </w:r>
    </w:p>
    <w:p w14:paraId="322B18D2" w14:textId="77777777" w:rsidR="00B2442D" w:rsidRDefault="008A645F">
      <w:pPr>
        <w:jc w:val="both"/>
        <w:rPr>
          <w:rFonts w:ascii="Arial" w:hAnsi="Arial" w:cs="Arial"/>
          <w:lang w:val="es-CO"/>
        </w:rPr>
      </w:pPr>
      <w:r>
        <w:rPr>
          <w:rFonts w:ascii="Arial" w:hAnsi="Arial" w:cs="Arial"/>
          <w:lang w:val="es-CO"/>
        </w:rPr>
        <w:t>Asistencia técnica.</w:t>
      </w:r>
    </w:p>
    <w:p w14:paraId="3A63FD3E" w14:textId="77777777" w:rsidR="00B2442D" w:rsidRDefault="008A645F">
      <w:pPr>
        <w:jc w:val="both"/>
        <w:rPr>
          <w:rFonts w:ascii="Arial" w:hAnsi="Arial" w:cs="Arial"/>
          <w:lang w:val="es-CO"/>
        </w:rPr>
      </w:pPr>
      <w:r>
        <w:rPr>
          <w:rFonts w:ascii="Arial" w:hAnsi="Arial" w:cs="Arial"/>
          <w:lang w:val="es-CO"/>
        </w:rPr>
        <w:t>Servicios técnicos.</w:t>
      </w:r>
    </w:p>
    <w:p w14:paraId="28F6FBE8" w14:textId="77777777" w:rsidR="00B2442D" w:rsidRDefault="008A645F">
      <w:pPr>
        <w:jc w:val="both"/>
        <w:rPr>
          <w:rFonts w:ascii="Arial" w:hAnsi="Arial" w:cs="Arial"/>
          <w:lang w:val="es-CO"/>
        </w:rPr>
      </w:pPr>
      <w:r>
        <w:rPr>
          <w:rFonts w:ascii="Arial" w:hAnsi="Arial" w:cs="Arial"/>
          <w:lang w:val="es-CO"/>
        </w:rPr>
        <w:t>Otros servicios.</w:t>
      </w:r>
    </w:p>
    <w:p w14:paraId="262AB898" w14:textId="77777777" w:rsidR="00B2442D" w:rsidRDefault="008A645F">
      <w:pPr>
        <w:jc w:val="both"/>
        <w:rPr>
          <w:rFonts w:ascii="Arial" w:hAnsi="Arial" w:cs="Arial"/>
          <w:lang w:val="es-CO"/>
        </w:rPr>
      </w:pPr>
      <w:r>
        <w:rPr>
          <w:rFonts w:ascii="Arial" w:hAnsi="Arial" w:cs="Arial"/>
          <w:lang w:val="es-CO"/>
        </w:rPr>
        <w:t>Honorarios.</w:t>
      </w:r>
    </w:p>
    <w:p w14:paraId="4FF8535E" w14:textId="77777777" w:rsidR="00B2442D" w:rsidRDefault="008A645F">
      <w:pPr>
        <w:jc w:val="both"/>
        <w:rPr>
          <w:rFonts w:ascii="Arial" w:hAnsi="Arial" w:cs="Arial"/>
          <w:lang w:val="es-CO"/>
        </w:rPr>
      </w:pPr>
      <w:r>
        <w:rPr>
          <w:rFonts w:ascii="Arial" w:hAnsi="Arial" w:cs="Arial"/>
          <w:lang w:val="es-CO"/>
        </w:rPr>
        <w:t>Comisiones.</w:t>
      </w:r>
    </w:p>
    <w:p w14:paraId="04A3272D" w14:textId="77777777" w:rsidR="00B2442D" w:rsidRDefault="008A645F">
      <w:pPr>
        <w:jc w:val="both"/>
        <w:rPr>
          <w:rFonts w:ascii="Arial" w:hAnsi="Arial" w:cs="Arial"/>
          <w:lang w:val="es-CO"/>
        </w:rPr>
      </w:pPr>
      <w:r>
        <w:rPr>
          <w:rFonts w:ascii="Arial" w:hAnsi="Arial" w:cs="Arial"/>
          <w:lang w:val="es-CO"/>
        </w:rPr>
        <w:t>Publicidad.</w:t>
      </w:r>
    </w:p>
    <w:p w14:paraId="02229DA7" w14:textId="77777777" w:rsidR="00B2442D" w:rsidRDefault="008A645F">
      <w:pPr>
        <w:jc w:val="both"/>
        <w:rPr>
          <w:rFonts w:ascii="Arial" w:hAnsi="Arial" w:cs="Arial"/>
          <w:lang w:val="es-CO"/>
        </w:rPr>
      </w:pPr>
      <w:r>
        <w:rPr>
          <w:rFonts w:ascii="Arial" w:hAnsi="Arial" w:cs="Arial"/>
          <w:lang w:val="es-CO"/>
        </w:rPr>
        <w:t>Seguros y reaseguros.</w:t>
      </w:r>
    </w:p>
    <w:p w14:paraId="0506BAE8" w14:textId="77777777" w:rsidR="00B2442D" w:rsidRDefault="008A645F">
      <w:pPr>
        <w:jc w:val="both"/>
        <w:rPr>
          <w:rFonts w:ascii="Arial" w:hAnsi="Arial" w:cs="Arial"/>
          <w:lang w:val="es-CO"/>
        </w:rPr>
      </w:pPr>
      <w:r>
        <w:rPr>
          <w:rFonts w:ascii="Arial" w:hAnsi="Arial" w:cs="Arial"/>
          <w:lang w:val="es-CO"/>
        </w:rPr>
        <w:t>Ingresos por derivados financieros.</w:t>
      </w:r>
    </w:p>
    <w:p w14:paraId="6E3D0257" w14:textId="77777777" w:rsidR="00B2442D" w:rsidRDefault="008A645F">
      <w:pPr>
        <w:jc w:val="both"/>
        <w:rPr>
          <w:rFonts w:ascii="Arial" w:hAnsi="Arial" w:cs="Arial"/>
          <w:lang w:val="es-CO"/>
        </w:rPr>
      </w:pPr>
      <w:r>
        <w:rPr>
          <w:rFonts w:ascii="Arial" w:hAnsi="Arial" w:cs="Arial"/>
          <w:lang w:val="es-CO"/>
        </w:rPr>
        <w:t>Intereses sobre préstamos.</w:t>
      </w:r>
    </w:p>
    <w:p w14:paraId="358FACF2" w14:textId="77777777" w:rsidR="00B2442D" w:rsidRDefault="008A645F">
      <w:pPr>
        <w:jc w:val="both"/>
        <w:rPr>
          <w:rFonts w:ascii="Arial" w:hAnsi="Arial" w:cs="Arial"/>
          <w:lang w:val="es-CO"/>
        </w:rPr>
      </w:pPr>
      <w:r>
        <w:rPr>
          <w:rFonts w:ascii="Arial" w:hAnsi="Arial" w:cs="Arial"/>
          <w:lang w:val="es-CO"/>
        </w:rPr>
        <w:t>Arrendamientos.</w:t>
      </w:r>
    </w:p>
    <w:p w14:paraId="63EA9974" w14:textId="77777777" w:rsidR="00B2442D" w:rsidRDefault="008A645F">
      <w:pPr>
        <w:jc w:val="both"/>
        <w:rPr>
          <w:rFonts w:ascii="Arial" w:hAnsi="Arial" w:cs="Arial"/>
          <w:lang w:val="es-CO"/>
        </w:rPr>
      </w:pPr>
      <w:r>
        <w:rPr>
          <w:rFonts w:ascii="Arial" w:hAnsi="Arial" w:cs="Arial"/>
          <w:lang w:val="es-CO"/>
        </w:rPr>
        <w:t>Arrendamientos financieros.</w:t>
      </w:r>
    </w:p>
    <w:p w14:paraId="3A0DD34E" w14:textId="77777777" w:rsidR="00B2442D" w:rsidRDefault="008A645F">
      <w:pPr>
        <w:jc w:val="both"/>
        <w:rPr>
          <w:rFonts w:ascii="Arial" w:hAnsi="Arial" w:cs="Arial"/>
          <w:lang w:val="es-CO"/>
        </w:rPr>
      </w:pPr>
      <w:r>
        <w:rPr>
          <w:rFonts w:ascii="Arial" w:hAnsi="Arial" w:cs="Arial"/>
          <w:lang w:val="es-CO"/>
        </w:rPr>
        <w:t>Prestación de otros servicios financieros.</w:t>
      </w:r>
    </w:p>
    <w:p w14:paraId="3F701AD9" w14:textId="77777777" w:rsidR="00B2442D" w:rsidRDefault="008A645F">
      <w:pPr>
        <w:jc w:val="both"/>
        <w:rPr>
          <w:rFonts w:ascii="Arial" w:hAnsi="Arial" w:cs="Arial"/>
          <w:lang w:val="es-CO"/>
        </w:rPr>
      </w:pPr>
      <w:r>
        <w:rPr>
          <w:rFonts w:ascii="Arial" w:hAnsi="Arial" w:cs="Arial"/>
          <w:lang w:val="es-CO"/>
        </w:rPr>
        <w:t>Garantías.</w:t>
      </w:r>
    </w:p>
    <w:p w14:paraId="4AC2C38F" w14:textId="77777777" w:rsidR="00B2442D" w:rsidRDefault="008A645F">
      <w:pPr>
        <w:jc w:val="both"/>
        <w:rPr>
          <w:rFonts w:ascii="Arial" w:hAnsi="Arial" w:cs="Arial"/>
          <w:lang w:val="es-CO"/>
        </w:rPr>
      </w:pPr>
      <w:r>
        <w:rPr>
          <w:rFonts w:ascii="Arial" w:hAnsi="Arial" w:cs="Arial"/>
          <w:lang w:val="es-CO"/>
        </w:rPr>
        <w:t>Enajenación de acciones (inventario).</w:t>
      </w:r>
    </w:p>
    <w:p w14:paraId="2CD51ECA" w14:textId="77777777" w:rsidR="00B2442D" w:rsidRDefault="008A645F">
      <w:pPr>
        <w:jc w:val="both"/>
        <w:rPr>
          <w:rFonts w:ascii="Arial" w:hAnsi="Arial" w:cs="Arial"/>
          <w:lang w:val="es-CO"/>
        </w:rPr>
      </w:pPr>
      <w:r>
        <w:rPr>
          <w:rFonts w:ascii="Arial" w:hAnsi="Arial" w:cs="Arial"/>
          <w:lang w:val="es-CO"/>
        </w:rPr>
        <w:t>Enajenación de acciones y aportes (activo fijo).</w:t>
      </w:r>
    </w:p>
    <w:p w14:paraId="070AFD0F" w14:textId="77777777" w:rsidR="00B2442D" w:rsidRDefault="008A645F">
      <w:pPr>
        <w:jc w:val="both"/>
        <w:rPr>
          <w:rFonts w:ascii="Arial" w:hAnsi="Arial" w:cs="Arial"/>
          <w:lang w:val="es-CO"/>
        </w:rPr>
      </w:pPr>
      <w:r>
        <w:rPr>
          <w:rFonts w:ascii="Arial" w:hAnsi="Arial" w:cs="Arial"/>
          <w:lang w:val="es-CO"/>
        </w:rPr>
        <w:t>Venta de cartera.</w:t>
      </w:r>
    </w:p>
    <w:p w14:paraId="4B9ADB7A" w14:textId="77777777" w:rsidR="00B2442D" w:rsidRDefault="008A645F">
      <w:pPr>
        <w:jc w:val="both"/>
        <w:rPr>
          <w:rFonts w:ascii="Arial" w:hAnsi="Arial" w:cs="Arial"/>
          <w:lang w:val="es-CO"/>
        </w:rPr>
      </w:pPr>
      <w:r>
        <w:rPr>
          <w:rFonts w:ascii="Arial" w:hAnsi="Arial" w:cs="Arial"/>
          <w:lang w:val="es-CO"/>
        </w:rPr>
        <w:t xml:space="preserve">Venta de activos </w:t>
      </w:r>
      <w:r>
        <w:rPr>
          <w:rFonts w:ascii="Arial" w:hAnsi="Arial" w:cs="Arial"/>
          <w:lang w:val="es-CO"/>
        </w:rPr>
        <w:t>fijos no depreciables.</w:t>
      </w:r>
    </w:p>
    <w:p w14:paraId="0EE2A58C" w14:textId="77777777" w:rsidR="00B2442D" w:rsidRDefault="008A645F">
      <w:pPr>
        <w:jc w:val="both"/>
        <w:rPr>
          <w:rFonts w:ascii="Arial" w:hAnsi="Arial" w:cs="Arial"/>
          <w:lang w:val="es-CO"/>
        </w:rPr>
      </w:pPr>
      <w:r>
        <w:rPr>
          <w:rFonts w:ascii="Arial" w:hAnsi="Arial" w:cs="Arial"/>
          <w:lang w:val="es-CO"/>
        </w:rPr>
        <w:t>Venta de activos fijos depreciables, amortizables y agotables.</w:t>
      </w:r>
    </w:p>
    <w:p w14:paraId="27F5B79D" w14:textId="77777777" w:rsidR="00B2442D" w:rsidRDefault="008A645F">
      <w:pPr>
        <w:jc w:val="both"/>
        <w:rPr>
          <w:rFonts w:ascii="Arial" w:hAnsi="Arial" w:cs="Arial"/>
          <w:lang w:val="es-CO"/>
        </w:rPr>
      </w:pPr>
      <w:r>
        <w:rPr>
          <w:rFonts w:ascii="Arial" w:hAnsi="Arial" w:cs="Arial"/>
          <w:lang w:val="es-CO"/>
        </w:rPr>
        <w:t>Venta de intangibles o derechos tales como patentes, know-how, marcas, entre otros.</w:t>
      </w:r>
    </w:p>
    <w:p w14:paraId="1891CE04" w14:textId="77777777" w:rsidR="00B2442D" w:rsidRDefault="008A645F">
      <w:pPr>
        <w:jc w:val="both"/>
        <w:rPr>
          <w:rFonts w:ascii="Arial" w:hAnsi="Arial" w:cs="Arial"/>
          <w:lang w:val="es-CO"/>
        </w:rPr>
      </w:pPr>
      <w:r>
        <w:rPr>
          <w:rFonts w:ascii="Arial" w:hAnsi="Arial" w:cs="Arial"/>
          <w:lang w:val="es-CO"/>
        </w:rPr>
        <w:t>Cesión de intangibles, derechos u obligaciones.</w:t>
      </w:r>
    </w:p>
    <w:p w14:paraId="2C9929F9" w14:textId="77777777" w:rsidR="00B2442D" w:rsidRDefault="008A645F">
      <w:pPr>
        <w:jc w:val="both"/>
        <w:rPr>
          <w:rFonts w:ascii="Arial" w:hAnsi="Arial" w:cs="Arial"/>
          <w:lang w:val="es-CO"/>
        </w:rPr>
      </w:pPr>
      <w:r>
        <w:rPr>
          <w:rFonts w:ascii="Arial" w:hAnsi="Arial" w:cs="Arial"/>
          <w:lang w:val="es-CO"/>
        </w:rPr>
        <w:t>Licenciamientos o franquicias.</w:t>
      </w:r>
    </w:p>
    <w:p w14:paraId="0AEC09FB" w14:textId="77777777" w:rsidR="00B2442D" w:rsidRDefault="008A645F">
      <w:pPr>
        <w:jc w:val="both"/>
        <w:rPr>
          <w:rFonts w:ascii="Arial" w:hAnsi="Arial" w:cs="Arial"/>
          <w:lang w:val="es-CO"/>
        </w:rPr>
      </w:pPr>
      <w:r>
        <w:rPr>
          <w:rFonts w:ascii="Arial" w:hAnsi="Arial" w:cs="Arial"/>
          <w:lang w:val="es-CO"/>
        </w:rPr>
        <w:t>Regalía</w:t>
      </w:r>
      <w:r>
        <w:rPr>
          <w:rFonts w:ascii="Arial" w:hAnsi="Arial" w:cs="Arial"/>
          <w:lang w:val="es-CO"/>
        </w:rPr>
        <w:t>s.</w:t>
      </w:r>
    </w:p>
    <w:p w14:paraId="1C479177" w14:textId="77777777" w:rsidR="00B2442D" w:rsidRDefault="008A645F">
      <w:pPr>
        <w:jc w:val="both"/>
        <w:rPr>
          <w:rFonts w:ascii="Arial" w:hAnsi="Arial" w:cs="Arial"/>
          <w:lang w:val="es-CO"/>
        </w:rPr>
      </w:pPr>
      <w:r>
        <w:rPr>
          <w:rFonts w:ascii="Arial" w:hAnsi="Arial" w:cs="Arial"/>
          <w:lang w:val="es-CO"/>
        </w:rPr>
        <w:t>Otras Inversiones.</w:t>
      </w:r>
    </w:p>
    <w:p w14:paraId="00A44D50" w14:textId="77777777" w:rsidR="00B2442D" w:rsidRDefault="008A645F">
      <w:pPr>
        <w:jc w:val="both"/>
        <w:rPr>
          <w:rFonts w:ascii="Arial" w:hAnsi="Arial" w:cs="Arial"/>
          <w:lang w:val="es-CO"/>
        </w:rPr>
      </w:pPr>
      <w:r>
        <w:rPr>
          <w:rFonts w:ascii="Arial" w:hAnsi="Arial" w:cs="Arial"/>
          <w:lang w:val="es-CO"/>
        </w:rPr>
        <w:t>Otros activos.</w:t>
      </w:r>
    </w:p>
    <w:p w14:paraId="3A36A9B0" w14:textId="77777777" w:rsidR="00B2442D" w:rsidRDefault="008A645F">
      <w:pPr>
        <w:jc w:val="both"/>
        <w:rPr>
          <w:rFonts w:ascii="Arial" w:hAnsi="Arial" w:cs="Arial"/>
          <w:lang w:val="es-CO"/>
        </w:rPr>
      </w:pPr>
      <w:r>
        <w:rPr>
          <w:rFonts w:ascii="Arial" w:hAnsi="Arial" w:cs="Arial"/>
          <w:lang w:val="es-CO"/>
        </w:rPr>
        <w:t>Otros ingresos.</w:t>
      </w:r>
    </w:p>
    <w:p w14:paraId="5E18A48C" w14:textId="77777777" w:rsidR="00B2442D" w:rsidRDefault="00B2442D">
      <w:pPr>
        <w:jc w:val="both"/>
        <w:rPr>
          <w:rFonts w:ascii="Arial" w:hAnsi="Arial" w:cs="Arial"/>
          <w:lang w:val="es-CO"/>
        </w:rPr>
      </w:pPr>
    </w:p>
    <w:p w14:paraId="726D6B78" w14:textId="77777777" w:rsidR="00B2442D" w:rsidRDefault="008A645F">
      <w:pPr>
        <w:jc w:val="both"/>
        <w:rPr>
          <w:rFonts w:ascii="Arial" w:hAnsi="Arial" w:cs="Arial"/>
          <w:b/>
          <w:lang w:val="es-CO"/>
        </w:rPr>
      </w:pPr>
      <w:r>
        <w:rPr>
          <w:rFonts w:ascii="Arial" w:hAnsi="Arial" w:cs="Arial"/>
          <w:b/>
          <w:lang w:val="es-CO"/>
        </w:rPr>
        <w:t xml:space="preserve">2. Operaciones de egreso (costos y deducciones). </w:t>
      </w:r>
    </w:p>
    <w:p w14:paraId="6AC0C7E9" w14:textId="77777777" w:rsidR="00B2442D" w:rsidRDefault="00B2442D">
      <w:pPr>
        <w:jc w:val="both"/>
        <w:rPr>
          <w:rFonts w:ascii="Arial" w:hAnsi="Arial" w:cs="Arial"/>
          <w:lang w:val="es-CO"/>
        </w:rPr>
      </w:pPr>
    </w:p>
    <w:p w14:paraId="00C23673" w14:textId="77777777" w:rsidR="00B2442D" w:rsidRDefault="008A645F">
      <w:pPr>
        <w:jc w:val="both"/>
        <w:rPr>
          <w:rFonts w:ascii="Arial" w:hAnsi="Arial" w:cs="Arial"/>
          <w:lang w:val="es-CO"/>
        </w:rPr>
      </w:pPr>
      <w:r>
        <w:rPr>
          <w:rFonts w:ascii="Arial" w:hAnsi="Arial" w:cs="Arial"/>
          <w:lang w:val="es-CO"/>
        </w:rPr>
        <w:t xml:space="preserve">Pago o abono en cuenta por concepto de: </w:t>
      </w:r>
    </w:p>
    <w:p w14:paraId="35AF9678" w14:textId="77777777" w:rsidR="00B2442D" w:rsidRDefault="00B2442D">
      <w:pPr>
        <w:jc w:val="both"/>
        <w:rPr>
          <w:rFonts w:ascii="Arial" w:hAnsi="Arial" w:cs="Arial"/>
          <w:lang w:val="es-CO"/>
        </w:rPr>
      </w:pPr>
    </w:p>
    <w:p w14:paraId="2C2C5861" w14:textId="77777777" w:rsidR="00B2442D" w:rsidRDefault="008A645F">
      <w:pPr>
        <w:jc w:val="both"/>
        <w:rPr>
          <w:rFonts w:ascii="Arial" w:hAnsi="Arial" w:cs="Arial"/>
          <w:lang w:val="es-CO"/>
        </w:rPr>
      </w:pPr>
      <w:r>
        <w:rPr>
          <w:rFonts w:ascii="Arial" w:hAnsi="Arial" w:cs="Arial"/>
          <w:lang w:val="es-CO"/>
        </w:rPr>
        <w:t>Compra neta de inventarios para producción.</w:t>
      </w:r>
    </w:p>
    <w:p w14:paraId="3C475DED" w14:textId="77777777" w:rsidR="00B2442D" w:rsidRDefault="008A645F">
      <w:pPr>
        <w:jc w:val="both"/>
        <w:rPr>
          <w:rFonts w:ascii="Arial" w:hAnsi="Arial" w:cs="Arial"/>
          <w:lang w:val="es-CO"/>
        </w:rPr>
      </w:pPr>
      <w:r>
        <w:rPr>
          <w:rFonts w:ascii="Arial" w:hAnsi="Arial" w:cs="Arial"/>
          <w:lang w:val="es-CO"/>
        </w:rPr>
        <w:t xml:space="preserve">Compra neta de inventarios para distribución. </w:t>
      </w:r>
    </w:p>
    <w:p w14:paraId="18EB1B07" w14:textId="77777777" w:rsidR="00B2442D" w:rsidRDefault="008A645F">
      <w:pPr>
        <w:jc w:val="both"/>
        <w:rPr>
          <w:rFonts w:ascii="Arial" w:hAnsi="Arial" w:cs="Arial"/>
          <w:lang w:val="es-CO"/>
        </w:rPr>
      </w:pPr>
      <w:r>
        <w:rPr>
          <w:rFonts w:ascii="Arial" w:hAnsi="Arial" w:cs="Arial"/>
          <w:lang w:val="es-CO"/>
        </w:rPr>
        <w:t xml:space="preserve">Servicios intermedios de la producción - maquila. </w:t>
      </w:r>
    </w:p>
    <w:p w14:paraId="0E788B6D" w14:textId="77777777" w:rsidR="00B2442D" w:rsidRDefault="008A645F">
      <w:pPr>
        <w:jc w:val="both"/>
        <w:rPr>
          <w:rFonts w:ascii="Arial" w:hAnsi="Arial" w:cs="Arial"/>
          <w:lang w:val="es-CO"/>
        </w:rPr>
      </w:pPr>
      <w:r>
        <w:rPr>
          <w:rFonts w:ascii="Arial" w:hAnsi="Arial" w:cs="Arial"/>
          <w:lang w:val="es-CO"/>
        </w:rPr>
        <w:t>Servicios administrativos.</w:t>
      </w:r>
    </w:p>
    <w:p w14:paraId="41898AB2" w14:textId="77777777" w:rsidR="00B2442D" w:rsidRDefault="008A645F">
      <w:pPr>
        <w:jc w:val="both"/>
        <w:rPr>
          <w:rFonts w:ascii="Arial" w:hAnsi="Arial" w:cs="Arial"/>
          <w:lang w:val="es-CO"/>
        </w:rPr>
      </w:pPr>
      <w:r>
        <w:rPr>
          <w:rFonts w:ascii="Arial" w:hAnsi="Arial" w:cs="Arial"/>
          <w:lang w:val="es-CO"/>
        </w:rPr>
        <w:t>Asistencia técnica.</w:t>
      </w:r>
    </w:p>
    <w:p w14:paraId="549AAE0C" w14:textId="77777777" w:rsidR="00B2442D" w:rsidRDefault="008A645F">
      <w:pPr>
        <w:jc w:val="both"/>
        <w:rPr>
          <w:rFonts w:ascii="Arial" w:hAnsi="Arial" w:cs="Arial"/>
          <w:lang w:val="es-CO"/>
        </w:rPr>
      </w:pPr>
      <w:r>
        <w:rPr>
          <w:rFonts w:ascii="Arial" w:hAnsi="Arial" w:cs="Arial"/>
          <w:lang w:val="es-CO"/>
        </w:rPr>
        <w:t>Servicios técnicos.</w:t>
      </w:r>
    </w:p>
    <w:p w14:paraId="4D13E4F7" w14:textId="77777777" w:rsidR="00B2442D" w:rsidRDefault="008A645F">
      <w:pPr>
        <w:jc w:val="both"/>
        <w:rPr>
          <w:rFonts w:ascii="Arial" w:hAnsi="Arial" w:cs="Arial"/>
          <w:lang w:val="es-CO"/>
        </w:rPr>
      </w:pPr>
      <w:r>
        <w:rPr>
          <w:rFonts w:ascii="Arial" w:hAnsi="Arial" w:cs="Arial"/>
          <w:lang w:val="es-CO"/>
        </w:rPr>
        <w:t>Otros servicios.</w:t>
      </w:r>
    </w:p>
    <w:p w14:paraId="0F43B312" w14:textId="77777777" w:rsidR="00B2442D" w:rsidRDefault="008A645F">
      <w:pPr>
        <w:jc w:val="both"/>
        <w:rPr>
          <w:rFonts w:ascii="Arial" w:hAnsi="Arial" w:cs="Arial"/>
          <w:lang w:val="es-CO"/>
        </w:rPr>
      </w:pPr>
      <w:r>
        <w:rPr>
          <w:rFonts w:ascii="Arial" w:hAnsi="Arial" w:cs="Arial"/>
          <w:lang w:val="es-CO"/>
        </w:rPr>
        <w:t>Honorarios.</w:t>
      </w:r>
    </w:p>
    <w:p w14:paraId="33397D20" w14:textId="77777777" w:rsidR="00B2442D" w:rsidRDefault="008A645F">
      <w:pPr>
        <w:jc w:val="both"/>
        <w:rPr>
          <w:rFonts w:ascii="Arial" w:hAnsi="Arial" w:cs="Arial"/>
          <w:lang w:val="es-CO"/>
        </w:rPr>
      </w:pPr>
      <w:r>
        <w:rPr>
          <w:rFonts w:ascii="Arial" w:hAnsi="Arial" w:cs="Arial"/>
          <w:lang w:val="es-CO"/>
        </w:rPr>
        <w:t>Comisiones.</w:t>
      </w:r>
    </w:p>
    <w:p w14:paraId="3F820852" w14:textId="77777777" w:rsidR="00B2442D" w:rsidRDefault="008A645F">
      <w:pPr>
        <w:jc w:val="both"/>
        <w:rPr>
          <w:rFonts w:ascii="Arial" w:hAnsi="Arial" w:cs="Arial"/>
          <w:lang w:val="es-CO"/>
        </w:rPr>
      </w:pPr>
      <w:r>
        <w:rPr>
          <w:rFonts w:ascii="Arial" w:hAnsi="Arial" w:cs="Arial"/>
          <w:lang w:val="es-CO"/>
        </w:rPr>
        <w:t>Publicidad.</w:t>
      </w:r>
    </w:p>
    <w:p w14:paraId="7A860781" w14:textId="77777777" w:rsidR="00B2442D" w:rsidRDefault="008A645F">
      <w:pPr>
        <w:jc w:val="both"/>
        <w:rPr>
          <w:rFonts w:ascii="Arial" w:hAnsi="Arial" w:cs="Arial"/>
          <w:lang w:val="es-CO"/>
        </w:rPr>
      </w:pPr>
      <w:r>
        <w:rPr>
          <w:rFonts w:ascii="Arial" w:hAnsi="Arial" w:cs="Arial"/>
          <w:lang w:val="es-CO"/>
        </w:rPr>
        <w:t>Seguros y reaseguros.</w:t>
      </w:r>
    </w:p>
    <w:p w14:paraId="02DAD847" w14:textId="77777777" w:rsidR="00B2442D" w:rsidRDefault="008A645F">
      <w:pPr>
        <w:jc w:val="both"/>
        <w:rPr>
          <w:rFonts w:ascii="Arial" w:hAnsi="Arial" w:cs="Arial"/>
          <w:lang w:val="es-CO"/>
        </w:rPr>
      </w:pPr>
      <w:r>
        <w:rPr>
          <w:rFonts w:ascii="Arial" w:hAnsi="Arial" w:cs="Arial"/>
          <w:lang w:val="es-CO"/>
        </w:rPr>
        <w:t>Egresos por deri</w:t>
      </w:r>
      <w:r>
        <w:rPr>
          <w:rFonts w:ascii="Arial" w:hAnsi="Arial" w:cs="Arial"/>
          <w:lang w:val="es-CO"/>
        </w:rPr>
        <w:t>vados financieros.</w:t>
      </w:r>
    </w:p>
    <w:p w14:paraId="20A7CB60" w14:textId="77777777" w:rsidR="00B2442D" w:rsidRDefault="008A645F">
      <w:pPr>
        <w:jc w:val="both"/>
        <w:rPr>
          <w:rFonts w:ascii="Arial" w:hAnsi="Arial" w:cs="Arial"/>
          <w:lang w:val="es-CO"/>
        </w:rPr>
      </w:pPr>
      <w:r>
        <w:rPr>
          <w:rFonts w:ascii="Arial" w:hAnsi="Arial" w:cs="Arial"/>
          <w:lang w:val="es-CO"/>
        </w:rPr>
        <w:t>Intereses sobre préstamos.</w:t>
      </w:r>
    </w:p>
    <w:p w14:paraId="6031E277" w14:textId="77777777" w:rsidR="00B2442D" w:rsidRDefault="008A645F">
      <w:pPr>
        <w:jc w:val="both"/>
        <w:rPr>
          <w:rFonts w:ascii="Arial" w:hAnsi="Arial" w:cs="Arial"/>
          <w:lang w:val="es-CO"/>
        </w:rPr>
      </w:pPr>
      <w:r>
        <w:rPr>
          <w:rFonts w:ascii="Arial" w:hAnsi="Arial" w:cs="Arial"/>
          <w:lang w:val="es-CO"/>
        </w:rPr>
        <w:t>Arrendamientos.</w:t>
      </w:r>
    </w:p>
    <w:p w14:paraId="74C9CFBC" w14:textId="77777777" w:rsidR="00B2442D" w:rsidRDefault="008A645F">
      <w:pPr>
        <w:jc w:val="both"/>
        <w:rPr>
          <w:rFonts w:ascii="Arial" w:hAnsi="Arial" w:cs="Arial"/>
          <w:lang w:val="es-CO"/>
        </w:rPr>
      </w:pPr>
      <w:r>
        <w:rPr>
          <w:rFonts w:ascii="Arial" w:hAnsi="Arial" w:cs="Arial"/>
          <w:lang w:val="es-CO"/>
        </w:rPr>
        <w:t>Arrendamientos financieros.</w:t>
      </w:r>
    </w:p>
    <w:p w14:paraId="7D335DB3" w14:textId="77777777" w:rsidR="00B2442D" w:rsidRDefault="008A645F">
      <w:pPr>
        <w:jc w:val="both"/>
        <w:rPr>
          <w:rFonts w:ascii="Arial" w:hAnsi="Arial" w:cs="Arial"/>
          <w:lang w:val="es-CO"/>
        </w:rPr>
      </w:pPr>
      <w:r>
        <w:rPr>
          <w:rFonts w:ascii="Arial" w:hAnsi="Arial" w:cs="Arial"/>
          <w:lang w:val="es-CO"/>
        </w:rPr>
        <w:t>Prestación de otros servicios financieros.</w:t>
      </w:r>
    </w:p>
    <w:p w14:paraId="369E865A" w14:textId="77777777" w:rsidR="00B2442D" w:rsidRDefault="008A645F">
      <w:pPr>
        <w:jc w:val="both"/>
        <w:rPr>
          <w:rFonts w:ascii="Arial" w:hAnsi="Arial" w:cs="Arial"/>
          <w:lang w:val="es-CO"/>
        </w:rPr>
      </w:pPr>
      <w:r>
        <w:rPr>
          <w:rFonts w:ascii="Arial" w:hAnsi="Arial" w:cs="Arial"/>
          <w:lang w:val="es-CO"/>
        </w:rPr>
        <w:t>Garantías.</w:t>
      </w:r>
    </w:p>
    <w:p w14:paraId="7A94FAF1" w14:textId="77777777" w:rsidR="00B2442D" w:rsidRDefault="008A645F">
      <w:pPr>
        <w:jc w:val="both"/>
        <w:rPr>
          <w:rFonts w:ascii="Arial" w:hAnsi="Arial" w:cs="Arial"/>
          <w:lang w:val="es-CO"/>
        </w:rPr>
      </w:pPr>
      <w:r>
        <w:rPr>
          <w:rFonts w:ascii="Arial" w:hAnsi="Arial" w:cs="Arial"/>
          <w:lang w:val="es-CO"/>
        </w:rPr>
        <w:t>Compra de acciones (inventario).</w:t>
      </w:r>
    </w:p>
    <w:p w14:paraId="406BDDFF" w14:textId="77777777" w:rsidR="00B2442D" w:rsidRDefault="008A645F">
      <w:pPr>
        <w:jc w:val="both"/>
        <w:rPr>
          <w:rFonts w:ascii="Arial" w:hAnsi="Arial" w:cs="Arial"/>
          <w:lang w:val="es-CO"/>
        </w:rPr>
      </w:pPr>
      <w:r>
        <w:rPr>
          <w:rFonts w:ascii="Arial" w:hAnsi="Arial" w:cs="Arial"/>
          <w:lang w:val="es-CO"/>
        </w:rPr>
        <w:t>Compra de acciones y aportes (activo fijo).</w:t>
      </w:r>
    </w:p>
    <w:p w14:paraId="05304F97" w14:textId="77777777" w:rsidR="00B2442D" w:rsidRDefault="008A645F">
      <w:pPr>
        <w:jc w:val="both"/>
        <w:rPr>
          <w:rFonts w:ascii="Arial" w:hAnsi="Arial" w:cs="Arial"/>
          <w:lang w:val="es-CO"/>
        </w:rPr>
      </w:pPr>
      <w:r>
        <w:rPr>
          <w:rFonts w:ascii="Arial" w:hAnsi="Arial" w:cs="Arial"/>
          <w:lang w:val="es-CO"/>
        </w:rPr>
        <w:t>Venta de cartera.</w:t>
      </w:r>
    </w:p>
    <w:p w14:paraId="296A0011" w14:textId="77777777" w:rsidR="00B2442D" w:rsidRDefault="008A645F">
      <w:pPr>
        <w:jc w:val="both"/>
        <w:rPr>
          <w:rFonts w:ascii="Arial" w:hAnsi="Arial" w:cs="Arial"/>
          <w:lang w:val="es-CO"/>
        </w:rPr>
      </w:pPr>
      <w:r>
        <w:rPr>
          <w:rFonts w:ascii="Arial" w:hAnsi="Arial" w:cs="Arial"/>
          <w:lang w:val="es-CO"/>
        </w:rPr>
        <w:t>Compra de activos</w:t>
      </w:r>
      <w:r>
        <w:rPr>
          <w:rFonts w:ascii="Arial" w:hAnsi="Arial" w:cs="Arial"/>
          <w:lang w:val="es-CO"/>
        </w:rPr>
        <w:t xml:space="preserve"> fijos no depreciables.</w:t>
      </w:r>
    </w:p>
    <w:p w14:paraId="62914618" w14:textId="77777777" w:rsidR="00B2442D" w:rsidRDefault="008A645F">
      <w:pPr>
        <w:jc w:val="both"/>
        <w:rPr>
          <w:rFonts w:ascii="Arial" w:hAnsi="Arial" w:cs="Arial"/>
          <w:lang w:val="es-CO"/>
        </w:rPr>
      </w:pPr>
      <w:r>
        <w:rPr>
          <w:rFonts w:ascii="Arial" w:hAnsi="Arial" w:cs="Arial"/>
          <w:lang w:val="es-CO"/>
        </w:rPr>
        <w:t>Compra de activos fijos depreciables, amortizables y agotables.</w:t>
      </w:r>
    </w:p>
    <w:p w14:paraId="7A3AF037" w14:textId="77777777" w:rsidR="00B2442D" w:rsidRDefault="008A645F">
      <w:pPr>
        <w:jc w:val="both"/>
        <w:rPr>
          <w:rFonts w:ascii="Arial" w:hAnsi="Arial" w:cs="Arial"/>
          <w:lang w:val="es-CO"/>
        </w:rPr>
      </w:pPr>
      <w:r>
        <w:rPr>
          <w:rFonts w:ascii="Arial" w:hAnsi="Arial" w:cs="Arial"/>
          <w:lang w:val="es-CO"/>
        </w:rPr>
        <w:t>Compra de intangibles o derechos tales como patentes, know-how, marcas, entre otros.</w:t>
      </w:r>
    </w:p>
    <w:p w14:paraId="421E6498" w14:textId="77777777" w:rsidR="00B2442D" w:rsidRDefault="008A645F">
      <w:pPr>
        <w:jc w:val="both"/>
        <w:rPr>
          <w:rFonts w:ascii="Arial" w:hAnsi="Arial" w:cs="Arial"/>
          <w:lang w:val="es-CO"/>
        </w:rPr>
      </w:pPr>
      <w:r>
        <w:rPr>
          <w:rFonts w:ascii="Arial" w:hAnsi="Arial" w:cs="Arial"/>
          <w:lang w:val="es-CO"/>
        </w:rPr>
        <w:t>Cesión de intangibles, derechos u obligaciones.</w:t>
      </w:r>
    </w:p>
    <w:p w14:paraId="2305E360" w14:textId="77777777" w:rsidR="00B2442D" w:rsidRDefault="008A645F">
      <w:pPr>
        <w:jc w:val="both"/>
        <w:rPr>
          <w:rFonts w:ascii="Arial" w:hAnsi="Arial" w:cs="Arial"/>
          <w:lang w:val="es-CO"/>
        </w:rPr>
      </w:pPr>
      <w:r>
        <w:rPr>
          <w:rFonts w:ascii="Arial" w:hAnsi="Arial" w:cs="Arial"/>
          <w:lang w:val="es-CO"/>
        </w:rPr>
        <w:t xml:space="preserve">Licenciamientos o </w:t>
      </w:r>
      <w:r>
        <w:rPr>
          <w:rFonts w:ascii="Arial" w:hAnsi="Arial" w:cs="Arial"/>
          <w:lang w:val="es-CO"/>
        </w:rPr>
        <w:t>franquicias.</w:t>
      </w:r>
    </w:p>
    <w:p w14:paraId="33F0B0A5" w14:textId="77777777" w:rsidR="00B2442D" w:rsidRDefault="008A645F">
      <w:pPr>
        <w:jc w:val="both"/>
        <w:rPr>
          <w:rFonts w:ascii="Arial" w:hAnsi="Arial" w:cs="Arial"/>
          <w:lang w:val="es-CO"/>
        </w:rPr>
      </w:pPr>
      <w:r>
        <w:rPr>
          <w:rFonts w:ascii="Arial" w:hAnsi="Arial" w:cs="Arial"/>
          <w:lang w:val="es-CO"/>
        </w:rPr>
        <w:t>Regalías.</w:t>
      </w:r>
    </w:p>
    <w:p w14:paraId="33B56A75" w14:textId="77777777" w:rsidR="00B2442D" w:rsidRDefault="008A645F">
      <w:pPr>
        <w:jc w:val="both"/>
        <w:rPr>
          <w:rFonts w:ascii="Arial" w:hAnsi="Arial" w:cs="Arial"/>
          <w:lang w:val="es-CO"/>
        </w:rPr>
      </w:pPr>
      <w:r>
        <w:rPr>
          <w:rFonts w:ascii="Arial" w:hAnsi="Arial" w:cs="Arial"/>
          <w:lang w:val="es-CO"/>
        </w:rPr>
        <w:t>Otras Inversiones.</w:t>
      </w:r>
    </w:p>
    <w:p w14:paraId="51C1CD0A" w14:textId="77777777" w:rsidR="00B2442D" w:rsidRDefault="008A645F">
      <w:pPr>
        <w:jc w:val="both"/>
        <w:rPr>
          <w:rFonts w:ascii="Arial" w:hAnsi="Arial" w:cs="Arial"/>
          <w:lang w:val="es-CO"/>
        </w:rPr>
      </w:pPr>
      <w:r>
        <w:rPr>
          <w:rFonts w:ascii="Arial" w:hAnsi="Arial" w:cs="Arial"/>
          <w:lang w:val="es-CO"/>
        </w:rPr>
        <w:t>Otros activos.</w:t>
      </w:r>
    </w:p>
    <w:p w14:paraId="12E3DDDD" w14:textId="77777777" w:rsidR="00B2442D" w:rsidRDefault="008A645F">
      <w:pPr>
        <w:jc w:val="both"/>
        <w:rPr>
          <w:rFonts w:ascii="Arial" w:hAnsi="Arial" w:cs="Arial"/>
          <w:lang w:val="es-CO"/>
        </w:rPr>
      </w:pPr>
      <w:r>
        <w:rPr>
          <w:rFonts w:ascii="Arial" w:hAnsi="Arial" w:cs="Arial"/>
          <w:lang w:val="es-CO"/>
        </w:rPr>
        <w:t>Otros egresos.</w:t>
      </w:r>
    </w:p>
    <w:p w14:paraId="4AC329F9" w14:textId="77777777" w:rsidR="00B2442D" w:rsidRDefault="00B2442D">
      <w:pPr>
        <w:jc w:val="both"/>
        <w:rPr>
          <w:rFonts w:ascii="Arial" w:hAnsi="Arial" w:cs="Arial"/>
          <w:b/>
          <w:lang w:val="es-CO"/>
        </w:rPr>
      </w:pPr>
    </w:p>
    <w:p w14:paraId="3C2E0242" w14:textId="77777777" w:rsidR="00B2442D" w:rsidRDefault="008A645F">
      <w:pPr>
        <w:jc w:val="both"/>
        <w:rPr>
          <w:rFonts w:ascii="Arial" w:hAnsi="Arial" w:cs="Arial"/>
          <w:b/>
          <w:lang w:val="es-CO"/>
        </w:rPr>
      </w:pPr>
      <w:r>
        <w:rPr>
          <w:rFonts w:ascii="Arial" w:hAnsi="Arial" w:cs="Arial"/>
          <w:b/>
          <w:lang w:val="es-CO"/>
        </w:rPr>
        <w:t>3. Otras operaciones:</w:t>
      </w:r>
    </w:p>
    <w:p w14:paraId="4C197EC9" w14:textId="77777777" w:rsidR="00B2442D" w:rsidRDefault="00B2442D">
      <w:pPr>
        <w:jc w:val="both"/>
        <w:rPr>
          <w:rFonts w:ascii="Arial" w:hAnsi="Arial" w:cs="Arial"/>
          <w:lang w:val="es-CO"/>
        </w:rPr>
      </w:pPr>
    </w:p>
    <w:p w14:paraId="0921B293" w14:textId="77777777" w:rsidR="00B2442D" w:rsidRDefault="008A645F">
      <w:pPr>
        <w:jc w:val="both"/>
        <w:rPr>
          <w:rFonts w:ascii="Arial" w:hAnsi="Arial" w:cs="Arial"/>
          <w:lang w:val="es-CO"/>
        </w:rPr>
      </w:pPr>
      <w:r>
        <w:rPr>
          <w:rFonts w:ascii="Arial" w:hAnsi="Arial" w:cs="Arial"/>
          <w:lang w:val="es-CO"/>
        </w:rPr>
        <w:t xml:space="preserve">Aportes en especie o en industria a sociedades o entidades extranjeras. </w:t>
      </w:r>
    </w:p>
    <w:p w14:paraId="6CCC64CD" w14:textId="77777777" w:rsidR="00B2442D" w:rsidRDefault="008A645F">
      <w:pPr>
        <w:jc w:val="both"/>
        <w:rPr>
          <w:rFonts w:ascii="Arial" w:hAnsi="Arial" w:cs="Arial"/>
          <w:lang w:val="es-CO"/>
        </w:rPr>
      </w:pPr>
      <w:r>
        <w:rPr>
          <w:rFonts w:ascii="Arial" w:hAnsi="Arial" w:cs="Arial"/>
          <w:lang w:val="es-CO"/>
        </w:rPr>
        <w:t>Aportes de intangibles a sociedades o entidades extranjeras.</w:t>
      </w:r>
    </w:p>
    <w:p w14:paraId="7843FD89" w14:textId="77777777" w:rsidR="00B2442D" w:rsidRDefault="00B2442D">
      <w:pPr>
        <w:jc w:val="both"/>
        <w:rPr>
          <w:rFonts w:ascii="Arial" w:hAnsi="Arial" w:cs="Arial"/>
          <w:lang w:val="es-CO"/>
        </w:rPr>
      </w:pPr>
    </w:p>
    <w:p w14:paraId="636274B7" w14:textId="77777777" w:rsidR="00B2442D" w:rsidRDefault="008A645F">
      <w:pPr>
        <w:jc w:val="both"/>
        <w:rPr>
          <w:rFonts w:ascii="Arial" w:hAnsi="Arial" w:cs="Arial"/>
          <w:b/>
          <w:lang w:val="es-CO"/>
        </w:rPr>
      </w:pPr>
      <w:r>
        <w:rPr>
          <w:rFonts w:ascii="Arial" w:hAnsi="Arial" w:cs="Arial"/>
          <w:b/>
          <w:lang w:val="es-CO"/>
        </w:rPr>
        <w:t xml:space="preserve">4. Información </w:t>
      </w:r>
      <w:r>
        <w:rPr>
          <w:rFonts w:ascii="Arial" w:hAnsi="Arial" w:cs="Arial"/>
          <w:b/>
          <w:lang w:val="es-CO"/>
        </w:rPr>
        <w:t>adicional.</w:t>
      </w:r>
    </w:p>
    <w:p w14:paraId="53248BBD" w14:textId="77777777" w:rsidR="00B2442D" w:rsidRDefault="00B2442D">
      <w:pPr>
        <w:jc w:val="both"/>
        <w:rPr>
          <w:rFonts w:ascii="Arial" w:hAnsi="Arial" w:cs="Arial"/>
          <w:lang w:val="es-CO"/>
        </w:rPr>
      </w:pPr>
    </w:p>
    <w:p w14:paraId="3C11A3C8" w14:textId="77777777" w:rsidR="00B2442D" w:rsidRDefault="008A645F">
      <w:pPr>
        <w:jc w:val="both"/>
        <w:rPr>
          <w:rFonts w:ascii="Arial" w:hAnsi="Arial" w:cs="Arial"/>
          <w:lang w:val="es-CO"/>
        </w:rPr>
      </w:pPr>
      <w:r>
        <w:rPr>
          <w:rFonts w:ascii="Arial" w:hAnsi="Arial" w:cs="Arial"/>
          <w:lang w:val="es-CO"/>
        </w:rPr>
        <w:t>Préstamos con vinculados que no fueron reflejados en el Estado de Resultados.</w:t>
      </w:r>
    </w:p>
    <w:p w14:paraId="0BC50C7F" w14:textId="77777777" w:rsidR="00B2442D" w:rsidRDefault="008A645F">
      <w:pPr>
        <w:jc w:val="both"/>
        <w:rPr>
          <w:rFonts w:ascii="Arial" w:hAnsi="Arial" w:cs="Arial"/>
          <w:lang w:val="es-CO"/>
        </w:rPr>
      </w:pPr>
      <w:r>
        <w:rPr>
          <w:rFonts w:ascii="Arial" w:hAnsi="Arial" w:cs="Arial"/>
          <w:lang w:val="es-CO"/>
        </w:rPr>
        <w:t>Reintegros o reembolsos de gastos con vinculados que no fueron reflejados en el Estado de Resultados.</w:t>
      </w:r>
    </w:p>
    <w:p w14:paraId="217D19A3" w14:textId="77777777" w:rsidR="00B2442D" w:rsidRDefault="008A645F">
      <w:pPr>
        <w:jc w:val="both"/>
        <w:rPr>
          <w:rFonts w:ascii="Arial" w:hAnsi="Arial" w:cs="Arial"/>
          <w:lang w:val="es-CO"/>
        </w:rPr>
      </w:pPr>
      <w:r>
        <w:rPr>
          <w:rFonts w:ascii="Arial" w:hAnsi="Arial" w:cs="Arial"/>
          <w:lang w:val="es-CO"/>
        </w:rPr>
        <w:t>Operaciones efectuadas a nombre de vinculados que no fueron refl</w:t>
      </w:r>
      <w:r>
        <w:rPr>
          <w:rFonts w:ascii="Arial" w:hAnsi="Arial" w:cs="Arial"/>
          <w:lang w:val="es-CO"/>
        </w:rPr>
        <w:t>ejados en el Estado de Resultados.</w:t>
      </w:r>
    </w:p>
    <w:p w14:paraId="574D5037" w14:textId="77777777" w:rsidR="00B2442D" w:rsidRDefault="00B2442D">
      <w:pPr>
        <w:jc w:val="both"/>
        <w:rPr>
          <w:rFonts w:ascii="Arial" w:hAnsi="Arial" w:cs="Arial"/>
          <w:lang w:val="es-CO"/>
        </w:rPr>
      </w:pPr>
    </w:p>
    <w:p w14:paraId="4C0B2B31" w14:textId="77777777" w:rsidR="00B2442D" w:rsidRDefault="008A645F">
      <w:pPr>
        <w:jc w:val="both"/>
        <w:rPr>
          <w:rFonts w:ascii="Arial" w:hAnsi="Arial" w:cs="Arial"/>
          <w:lang w:val="es-CO"/>
        </w:rPr>
      </w:pPr>
      <w:r>
        <w:rPr>
          <w:rFonts w:ascii="Arial" w:hAnsi="Arial" w:cs="Arial"/>
          <w:lang w:val="es-CO"/>
        </w:rPr>
        <w:t>La información de que trata este numeral deberá ser declarada por el contribuyente del impuesto sobre la renta y complementario en la declaración informativa, pero no documentada en la documentación comprobatoria. Además</w:t>
      </w:r>
      <w:r>
        <w:rPr>
          <w:rFonts w:ascii="Arial" w:hAnsi="Arial" w:cs="Arial"/>
          <w:lang w:val="es-CO"/>
        </w:rPr>
        <w:t>, no deberá ser tenida en cuenta para efectos de determinar si las operaciones superan los topes a que se refiere el artículo 1.2.2.1.2 de este decreto.</w:t>
      </w:r>
    </w:p>
    <w:p w14:paraId="6384CF24" w14:textId="77777777" w:rsidR="00B2442D" w:rsidRDefault="00B2442D">
      <w:pPr>
        <w:jc w:val="both"/>
        <w:rPr>
          <w:rFonts w:ascii="Arial" w:hAnsi="Arial" w:cs="Arial"/>
          <w:lang w:val="es-CO"/>
        </w:rPr>
      </w:pPr>
    </w:p>
    <w:p w14:paraId="790B77D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w:t>
      </w:r>
      <w:r>
        <w:rPr>
          <w:rFonts w:ascii="Arial" w:hAnsi="Arial" w:cs="Arial"/>
          <w:b/>
          <w:i/>
          <w:lang w:val="es-CO"/>
        </w:rPr>
        <w:t>Aportes a sociedades y entidades extranjeras.</w:t>
      </w:r>
      <w:r>
        <w:rPr>
          <w:rFonts w:ascii="Arial" w:hAnsi="Arial" w:cs="Arial"/>
          <w:lang w:val="es-CO"/>
        </w:rPr>
        <w:t xml:space="preserve"> Los aportes en especie y los aportes en indus</w:t>
      </w:r>
      <w:r>
        <w:rPr>
          <w:rFonts w:ascii="Arial" w:hAnsi="Arial" w:cs="Arial"/>
          <w:lang w:val="es-CO"/>
        </w:rPr>
        <w:t xml:space="preserve">tria que hagan personas naturales, personas jurídicas o entidades nacionales a sociedades u otras entidades extranjeras constituyen enajenación para efectos fiscales, los cuales estarán sometidos al impuesto sobre la renta y complementarios de acuerdo con </w:t>
      </w:r>
      <w:r>
        <w:rPr>
          <w:rFonts w:ascii="Arial" w:hAnsi="Arial" w:cs="Arial"/>
          <w:lang w:val="es-CO"/>
        </w:rPr>
        <w:t>las reglas generales de enajenación de activos y estarán sometidos a su vez al régimen de precios de transferencia.</w:t>
      </w:r>
    </w:p>
    <w:p w14:paraId="48012BD3" w14:textId="77777777" w:rsidR="00B2442D" w:rsidRDefault="00B2442D">
      <w:pPr>
        <w:jc w:val="both"/>
        <w:rPr>
          <w:rFonts w:ascii="Arial" w:hAnsi="Arial" w:cs="Arial"/>
          <w:lang w:val="es-CO"/>
        </w:rPr>
      </w:pPr>
    </w:p>
    <w:p w14:paraId="6FFB2AD2" w14:textId="77777777" w:rsidR="00B2442D" w:rsidRDefault="008A645F">
      <w:pPr>
        <w:jc w:val="both"/>
        <w:rPr>
          <w:rFonts w:ascii="Arial" w:hAnsi="Arial" w:cs="Arial"/>
          <w:lang w:val="es-CO"/>
        </w:rPr>
      </w:pPr>
      <w:r>
        <w:rPr>
          <w:rFonts w:ascii="Arial" w:hAnsi="Arial" w:cs="Arial"/>
          <w:lang w:val="es-CO"/>
        </w:rPr>
        <w:t>Los aportes de intangibles a sociedades u otras entidades extranjeras, independientemente de su cuantía, deberán reportarse en la declaraci</w:t>
      </w:r>
      <w:r>
        <w:rPr>
          <w:rFonts w:ascii="Arial" w:hAnsi="Arial" w:cs="Arial"/>
          <w:lang w:val="es-CO"/>
        </w:rPr>
        <w:t>ón informativa de precios de transferencia.</w:t>
      </w:r>
    </w:p>
    <w:p w14:paraId="11A6AD15" w14:textId="77777777" w:rsidR="00B2442D" w:rsidRDefault="00B2442D">
      <w:pPr>
        <w:jc w:val="both"/>
        <w:rPr>
          <w:rFonts w:ascii="Arial" w:hAnsi="Arial" w:cs="Arial"/>
          <w:lang w:val="es-CO"/>
        </w:rPr>
      </w:pPr>
    </w:p>
    <w:p w14:paraId="424ABC98" w14:textId="77777777" w:rsidR="00B2442D" w:rsidRDefault="008A645F">
      <w:pPr>
        <w:jc w:val="both"/>
        <w:rPr>
          <w:rFonts w:ascii="Arial" w:hAnsi="Arial" w:cs="Arial"/>
          <w:i/>
          <w:lang w:val="es-CO"/>
        </w:rPr>
      </w:pPr>
      <w:r>
        <w:rPr>
          <w:rFonts w:ascii="Arial" w:hAnsi="Arial" w:cs="Arial"/>
          <w:i/>
          <w:lang w:val="es-CO"/>
        </w:rPr>
        <w:t>(Art. 11,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w:t>
      </w:r>
      <w:r>
        <w:rPr>
          <w:rFonts w:ascii="Arial" w:hAnsi="Arial" w:cs="Arial"/>
          <w:i/>
          <w:lang w:val="es-CO"/>
        </w:rPr>
        <w:t xml:space="preserve"> de 2013)</w:t>
      </w:r>
    </w:p>
    <w:p w14:paraId="4831F560" w14:textId="77777777" w:rsidR="00B2442D" w:rsidRDefault="00B2442D">
      <w:pPr>
        <w:jc w:val="both"/>
        <w:rPr>
          <w:rFonts w:ascii="Arial" w:hAnsi="Arial" w:cs="Arial"/>
          <w:lang w:val="es-CO"/>
        </w:rPr>
      </w:pPr>
    </w:p>
    <w:p w14:paraId="3F9F3BC4" w14:textId="77777777" w:rsidR="00B2442D" w:rsidRDefault="008A645F">
      <w:pPr>
        <w:pStyle w:val="Prrafodelista"/>
        <w:numPr>
          <w:ilvl w:val="0"/>
          <w:numId w:val="42"/>
        </w:numPr>
        <w:ind w:left="0" w:firstLine="0"/>
        <w:jc w:val="both"/>
        <w:rPr>
          <w:rFonts w:ascii="Arial" w:hAnsi="Arial" w:cs="Arial"/>
          <w:lang w:val="es-CO"/>
        </w:rPr>
      </w:pPr>
      <w:r>
        <w:rPr>
          <w:rFonts w:ascii="Arial" w:hAnsi="Arial" w:cs="Arial"/>
          <w:b/>
          <w:i/>
          <w:lang w:val="es-CO"/>
        </w:rPr>
        <w:t>Plazo para la presentación de la declaración informativa.</w:t>
      </w:r>
      <w:r>
        <w:rPr>
          <w:rFonts w:ascii="Arial" w:hAnsi="Arial" w:cs="Arial"/>
          <w:lang w:val="es-CO"/>
        </w:rPr>
        <w:t xml:space="preserve"> La declaración informativa de que trata el artículo 260-9 del Estatuto Tributario, deberá ser presentada en las fechas que determine el Gobierno Nacional, en forma virtual a través de los</w:t>
      </w:r>
      <w:r>
        <w:rPr>
          <w:rFonts w:ascii="Arial" w:hAnsi="Arial" w:cs="Arial"/>
          <w:lang w:val="es-CO"/>
        </w:rPr>
        <w:t xml:space="preserve"> servicios informáticos electrónicos de la Unidad Administrativa Especial Dirección de Impuestos y Aduanas Nacionales- DIAN, en las condiciones técnicas que esta determine, atendiendo al último dígito del NIT del obligado, sin el dígito de verificación.</w:t>
      </w:r>
    </w:p>
    <w:p w14:paraId="5AC4AA83" w14:textId="77777777" w:rsidR="00B2442D" w:rsidRDefault="00B2442D">
      <w:pPr>
        <w:jc w:val="both"/>
        <w:rPr>
          <w:rFonts w:ascii="Arial" w:hAnsi="Arial" w:cs="Arial"/>
          <w:lang w:val="es-CO"/>
        </w:rPr>
      </w:pPr>
    </w:p>
    <w:p w14:paraId="45CE5B66" w14:textId="77777777" w:rsidR="00B2442D" w:rsidRDefault="008A645F">
      <w:pPr>
        <w:jc w:val="both"/>
        <w:rPr>
          <w:rFonts w:ascii="Arial" w:hAnsi="Arial" w:cs="Arial"/>
          <w:i/>
          <w:lang w:val="es-CO"/>
        </w:rPr>
      </w:pPr>
      <w:r>
        <w:rPr>
          <w:rFonts w:ascii="Arial" w:hAnsi="Arial" w:cs="Arial"/>
          <w:i/>
          <w:lang w:val="es-CO"/>
        </w:rPr>
        <w:t>(</w:t>
      </w:r>
      <w:r>
        <w:rPr>
          <w:rFonts w:ascii="Arial" w:hAnsi="Arial" w:cs="Arial"/>
          <w:i/>
          <w:lang w:val="es-CO"/>
        </w:rPr>
        <w:t>Art. 12,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189542E8" w14:textId="77777777" w:rsidR="00B2442D" w:rsidRDefault="00B2442D">
      <w:pPr>
        <w:jc w:val="both"/>
        <w:rPr>
          <w:rFonts w:ascii="Arial" w:hAnsi="Arial" w:cs="Arial"/>
          <w:lang w:val="es-CO"/>
        </w:rPr>
      </w:pPr>
    </w:p>
    <w:p w14:paraId="31347282" w14:textId="77777777" w:rsidR="00B2442D" w:rsidRDefault="008A645F">
      <w:pPr>
        <w:pStyle w:val="Prrafodelista"/>
        <w:numPr>
          <w:ilvl w:val="0"/>
          <w:numId w:val="42"/>
        </w:numPr>
        <w:ind w:left="0" w:firstLine="0"/>
        <w:jc w:val="both"/>
        <w:rPr>
          <w:rFonts w:ascii="Arial" w:hAnsi="Arial" w:cs="Arial"/>
          <w:lang w:val="es-CO"/>
        </w:rPr>
      </w:pPr>
      <w:r>
        <w:rPr>
          <w:rFonts w:ascii="Arial" w:hAnsi="Arial" w:cs="Arial"/>
          <w:b/>
          <w:i/>
          <w:lang w:val="es-CO"/>
        </w:rPr>
        <w:t>Previsiones.</w:t>
      </w:r>
      <w:r>
        <w:rPr>
          <w:rFonts w:ascii="Arial" w:hAnsi="Arial" w:cs="Arial"/>
          <w:lang w:val="es-CO"/>
        </w:rPr>
        <w:t xml:space="preserve"> El obligado a presentar declaración informativa y documentación comprobatoria deberá prever con suficiente anticipación el adecuado funcionamiento de los medios requeridos para asegurar el cumplimiento de sus obligaciones.</w:t>
      </w:r>
    </w:p>
    <w:p w14:paraId="4419AFDB" w14:textId="77777777" w:rsidR="00B2442D" w:rsidRDefault="00B2442D">
      <w:pPr>
        <w:jc w:val="both"/>
        <w:rPr>
          <w:rFonts w:ascii="Arial" w:hAnsi="Arial" w:cs="Arial"/>
          <w:lang w:val="es-CO"/>
        </w:rPr>
      </w:pPr>
    </w:p>
    <w:p w14:paraId="287C3B1A" w14:textId="77777777" w:rsidR="00B2442D" w:rsidRDefault="008A645F">
      <w:pPr>
        <w:jc w:val="both"/>
        <w:rPr>
          <w:rFonts w:ascii="Arial" w:hAnsi="Arial" w:cs="Arial"/>
          <w:lang w:val="es-CO"/>
        </w:rPr>
      </w:pPr>
      <w:r>
        <w:rPr>
          <w:rFonts w:ascii="Arial" w:hAnsi="Arial" w:cs="Arial"/>
          <w:lang w:val="es-CO"/>
        </w:rPr>
        <w:t>En ningún caso constituirán cau</w:t>
      </w:r>
      <w:r>
        <w:rPr>
          <w:rFonts w:ascii="Arial" w:hAnsi="Arial" w:cs="Arial"/>
          <w:lang w:val="es-CO"/>
        </w:rPr>
        <w:t xml:space="preserve">sales de justificación de la extemporaneidad en la presentación de la documentación comprobatoria, los eventuales daños en su sistema y/o equipos informáticos, falta de conexión, los daños en el mecanismo de firma con certificado digital, el no agotar los </w:t>
      </w:r>
      <w:r>
        <w:rPr>
          <w:rFonts w:ascii="Arial" w:hAnsi="Arial" w:cs="Arial"/>
          <w:lang w:val="es-CO"/>
        </w:rPr>
        <w:t>procedimientos previos a la presentación de la información, como el trámite de inscripción o actualización en el Registro Único Tributario con las responsabilidades relacionadas para el cumplimiento de la obligación y activación del mecanismo de firma digi</w:t>
      </w:r>
      <w:r>
        <w:rPr>
          <w:rFonts w:ascii="Arial" w:hAnsi="Arial" w:cs="Arial"/>
          <w:lang w:val="es-CO"/>
        </w:rPr>
        <w:t>tal, la pérdida del archivo de firma u olvido de la clave secreta del mismo por quienes deben cumplir con la obligación de informar y declarar en forma virtual o la solicitud de cambio o asignación de un nuevo mecanismo de firma amparado con certificado di</w:t>
      </w:r>
      <w:r>
        <w:rPr>
          <w:rFonts w:ascii="Arial" w:hAnsi="Arial" w:cs="Arial"/>
          <w:lang w:val="es-CO"/>
        </w:rPr>
        <w:t>gital, con una antelación inferior a tres (3) días hábiles al vencimiento.</w:t>
      </w:r>
    </w:p>
    <w:p w14:paraId="40F4266B" w14:textId="77777777" w:rsidR="00B2442D" w:rsidRDefault="00B2442D">
      <w:pPr>
        <w:jc w:val="both"/>
        <w:rPr>
          <w:rFonts w:ascii="Arial" w:hAnsi="Arial" w:cs="Arial"/>
          <w:lang w:val="es-CO"/>
        </w:rPr>
      </w:pPr>
    </w:p>
    <w:p w14:paraId="7172A5C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por fuerza mayor no imputable al obligado, no haya disponibilidad de los servicios informáticos electrónicos, deberá procederse en la siguiente forma:</w:t>
      </w:r>
    </w:p>
    <w:p w14:paraId="564E5AAB" w14:textId="77777777" w:rsidR="00B2442D" w:rsidRDefault="00B2442D">
      <w:pPr>
        <w:jc w:val="both"/>
        <w:rPr>
          <w:rFonts w:ascii="Arial" w:hAnsi="Arial" w:cs="Arial"/>
          <w:lang w:val="es-CO"/>
        </w:rPr>
      </w:pPr>
    </w:p>
    <w:p w14:paraId="16F945BD" w14:textId="77777777" w:rsidR="00B2442D" w:rsidRDefault="008A645F">
      <w:pPr>
        <w:jc w:val="both"/>
        <w:rPr>
          <w:rFonts w:ascii="Arial" w:hAnsi="Arial" w:cs="Arial"/>
          <w:lang w:val="es-CO"/>
        </w:rPr>
      </w:pPr>
      <w:r>
        <w:rPr>
          <w:rFonts w:ascii="Arial" w:hAnsi="Arial" w:cs="Arial"/>
          <w:lang w:val="es-CO"/>
        </w:rPr>
        <w:t>La declara</w:t>
      </w:r>
      <w:r>
        <w:rPr>
          <w:rFonts w:ascii="Arial" w:hAnsi="Arial" w:cs="Arial"/>
          <w:lang w:val="es-CO"/>
        </w:rPr>
        <w:t>ción informativa y/o la documentación comprobatoria se presentarán en forma virtual a través de los servicios informáticos electrónicos de la Unidad Administrativa Especial Dirección de Impuestos y Aduanas Nacionales- DIAN, haciendo uso del mecanismo de fi</w:t>
      </w:r>
      <w:r>
        <w:rPr>
          <w:rFonts w:ascii="Arial" w:hAnsi="Arial" w:cs="Arial"/>
          <w:lang w:val="es-CO"/>
        </w:rPr>
        <w:t>rma digital, al día siguiente del restablecimiento del servicio electrónico, hasta obtener el resultado exitoso de este procedimiento.</w:t>
      </w:r>
    </w:p>
    <w:p w14:paraId="73F5218C" w14:textId="77777777" w:rsidR="00B2442D" w:rsidRDefault="00B2442D">
      <w:pPr>
        <w:jc w:val="both"/>
        <w:rPr>
          <w:rFonts w:ascii="Arial" w:hAnsi="Arial" w:cs="Arial"/>
          <w:lang w:val="es-CO"/>
        </w:rPr>
      </w:pPr>
    </w:p>
    <w:p w14:paraId="1E14F96A" w14:textId="77777777" w:rsidR="00B2442D" w:rsidRDefault="008A645F">
      <w:pPr>
        <w:jc w:val="both"/>
        <w:rPr>
          <w:rFonts w:ascii="Arial" w:hAnsi="Arial" w:cs="Arial"/>
          <w:i/>
          <w:lang w:val="es-CO"/>
        </w:rPr>
      </w:pPr>
      <w:r>
        <w:rPr>
          <w:rFonts w:ascii="Arial" w:hAnsi="Arial" w:cs="Arial"/>
          <w:i/>
          <w:lang w:val="es-CO"/>
        </w:rPr>
        <w:t>(Art. 13, Decreto 3030 de 2013)</w:t>
      </w:r>
      <w:r>
        <w:rPr>
          <w:rFonts w:ascii="Arial" w:hAnsi="Arial" w:cs="Arial"/>
        </w:rPr>
        <w:t xml:space="preserve"> </w:t>
      </w:r>
      <w:r>
        <w:rPr>
          <w:rFonts w:ascii="Arial" w:hAnsi="Arial" w:cs="Arial"/>
          <w:i/>
          <w:lang w:val="es-CO"/>
        </w:rPr>
        <w:t xml:space="preserve">(El Decreto 3030 de 2013 rige a partir de la fecha de su publicación y deroga las </w:t>
      </w:r>
      <w:r>
        <w:rPr>
          <w:rFonts w:ascii="Arial" w:hAnsi="Arial" w:cs="Arial"/>
          <w:i/>
          <w:lang w:val="es-CO"/>
        </w:rPr>
        <w:t>normas que le sean contrarias, en especial, el Decreto número 4349 de 2004. Art. 26, Decreto 3030 de 2013)</w:t>
      </w:r>
    </w:p>
    <w:p w14:paraId="25B10D3C" w14:textId="77777777" w:rsidR="00B2442D" w:rsidRDefault="00B2442D">
      <w:pPr>
        <w:jc w:val="both"/>
        <w:rPr>
          <w:rFonts w:ascii="Arial" w:hAnsi="Arial" w:cs="Arial"/>
          <w:b/>
          <w:lang w:val="es-CO"/>
        </w:rPr>
      </w:pPr>
    </w:p>
    <w:p w14:paraId="14557358" w14:textId="77777777" w:rsidR="00B2442D" w:rsidRDefault="008A645F">
      <w:pPr>
        <w:pStyle w:val="Ttulo4"/>
      </w:pPr>
      <w:r>
        <w:t>CAPÍTULO 4</w:t>
      </w:r>
    </w:p>
    <w:p w14:paraId="2D36A174" w14:textId="77777777" w:rsidR="00B2442D" w:rsidRDefault="008A645F">
      <w:pPr>
        <w:pStyle w:val="Ttulo4"/>
      </w:pPr>
      <w:r>
        <w:t>Acuerdos anticipados de precios</w:t>
      </w:r>
    </w:p>
    <w:p w14:paraId="23DCB89B" w14:textId="77777777" w:rsidR="00B2442D" w:rsidRDefault="00B2442D">
      <w:pPr>
        <w:rPr>
          <w:rFonts w:ascii="Arial" w:hAnsi="Arial" w:cs="Arial"/>
        </w:rPr>
      </w:pPr>
    </w:p>
    <w:p w14:paraId="65A2E780"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Acuerdo Anticipado de Precios (APA).</w:t>
      </w:r>
      <w:r>
        <w:rPr>
          <w:rFonts w:ascii="Arial" w:hAnsi="Arial" w:cs="Arial"/>
          <w:lang w:val="es-CO"/>
        </w:rPr>
        <w:t xml:space="preserve"> Conforme con lo establecido en el artículo 260-10 del Estatuto Trib</w:t>
      </w:r>
      <w:r>
        <w:rPr>
          <w:rFonts w:ascii="Arial" w:hAnsi="Arial" w:cs="Arial"/>
          <w:lang w:val="es-CO"/>
        </w:rPr>
        <w:t xml:space="preserve">utario, se entiende por Acuerdo Anticipado de Precios (APA) el suscrito entre la Unidad Administrativa Especial Dirección de Impuestos y Aduanas Nacionales– DIAN y el contribuyente del impuesto sobre la renta, que lo solicite, en el que se determina, para </w:t>
      </w:r>
      <w:r>
        <w:rPr>
          <w:rFonts w:ascii="Arial" w:hAnsi="Arial" w:cs="Arial"/>
          <w:lang w:val="es-CO"/>
        </w:rPr>
        <w:t xml:space="preserve">efectos del impuesto sobre la renta y complementarios, un conjunto de criterios y una metodología para la fijación de los precios, montos de contraprestación o márgenes de utilidad aplicables durante determinados períodos fiscales a las operaciones que se </w:t>
      </w:r>
      <w:r>
        <w:rPr>
          <w:rFonts w:ascii="Arial" w:hAnsi="Arial" w:cs="Arial"/>
          <w:lang w:val="es-CO"/>
        </w:rPr>
        <w:t>realicen con vinculados.</w:t>
      </w:r>
    </w:p>
    <w:p w14:paraId="3598077F" w14:textId="77777777" w:rsidR="00B2442D" w:rsidRDefault="00B2442D">
      <w:pPr>
        <w:jc w:val="both"/>
        <w:rPr>
          <w:rFonts w:ascii="Arial" w:hAnsi="Arial" w:cs="Arial"/>
          <w:lang w:val="es-CO"/>
        </w:rPr>
      </w:pPr>
    </w:p>
    <w:p w14:paraId="24645F7E" w14:textId="77777777" w:rsidR="00B2442D" w:rsidRDefault="008A645F">
      <w:pPr>
        <w:jc w:val="both"/>
        <w:rPr>
          <w:rFonts w:ascii="Arial" w:hAnsi="Arial" w:cs="Arial"/>
          <w:i/>
          <w:lang w:val="es-CO"/>
        </w:rPr>
      </w:pPr>
      <w:r>
        <w:rPr>
          <w:rFonts w:ascii="Arial" w:hAnsi="Arial" w:cs="Arial"/>
          <w:i/>
          <w:lang w:val="es-CO"/>
        </w:rPr>
        <w:t>(Art. 14,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39B01BC6" w14:textId="77777777" w:rsidR="00B2442D" w:rsidRDefault="00B2442D">
      <w:pPr>
        <w:jc w:val="both"/>
        <w:rPr>
          <w:rFonts w:ascii="Arial" w:hAnsi="Arial" w:cs="Arial"/>
          <w:lang w:val="es-CO"/>
        </w:rPr>
      </w:pPr>
    </w:p>
    <w:p w14:paraId="34263AD8"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Solicitu</w:t>
      </w:r>
      <w:r>
        <w:rPr>
          <w:rFonts w:ascii="Arial" w:hAnsi="Arial" w:cs="Arial"/>
          <w:b/>
          <w:i/>
          <w:lang w:val="es-CO"/>
        </w:rPr>
        <w:t>d de Acuerdo Anticipado de Precios (APA).</w:t>
      </w:r>
      <w:r>
        <w:rPr>
          <w:rFonts w:ascii="Arial" w:hAnsi="Arial" w:cs="Arial"/>
          <w:lang w:val="es-CO"/>
        </w:rPr>
        <w:t xml:space="preserve"> Los contribuyentes del impuesto sobre la renta y complementario que realicen operaciones con vinculados podrán solicitar por escrito a la Unidad Administrativa Especial Dirección de Impuestos y Aduanas Nacionales- </w:t>
      </w:r>
      <w:r>
        <w:rPr>
          <w:rFonts w:ascii="Arial" w:hAnsi="Arial" w:cs="Arial"/>
          <w:lang w:val="es-CO"/>
        </w:rPr>
        <w:t>DIAN, la celebración de un Acuerdo Anticipado de Precios. La solicitud deberá ser suscrita por el contribuyente que realice las operaciones objeto del mismo y deberá presentarse ante el Director General de la Unidad Administrativa Especial Dirección de Imp</w:t>
      </w:r>
      <w:r>
        <w:rPr>
          <w:rFonts w:ascii="Arial" w:hAnsi="Arial" w:cs="Arial"/>
          <w:lang w:val="es-CO"/>
        </w:rPr>
        <w:t>uestos y Aduanas Nacionales– DIAN o su delegado.</w:t>
      </w:r>
    </w:p>
    <w:p w14:paraId="39AC47FC" w14:textId="77777777" w:rsidR="00B2442D" w:rsidRDefault="00B2442D">
      <w:pPr>
        <w:jc w:val="both"/>
        <w:rPr>
          <w:rFonts w:ascii="Arial" w:hAnsi="Arial" w:cs="Arial"/>
          <w:lang w:val="es-CO"/>
        </w:rPr>
      </w:pPr>
    </w:p>
    <w:p w14:paraId="21526E62" w14:textId="77777777" w:rsidR="00B2442D" w:rsidRDefault="008A645F">
      <w:pPr>
        <w:jc w:val="both"/>
        <w:rPr>
          <w:rFonts w:ascii="Arial" w:hAnsi="Arial" w:cs="Arial"/>
          <w:lang w:val="es-CO"/>
        </w:rPr>
      </w:pPr>
      <w:r>
        <w:rPr>
          <w:rFonts w:ascii="Arial" w:hAnsi="Arial" w:cs="Arial"/>
          <w:lang w:val="es-CO"/>
        </w:rPr>
        <w:t>La solicitud de un Acuerdo Anticipado de Precios deberá contener la siguiente información:</w:t>
      </w:r>
    </w:p>
    <w:p w14:paraId="7261654A" w14:textId="77777777" w:rsidR="00B2442D" w:rsidRDefault="00B2442D">
      <w:pPr>
        <w:jc w:val="both"/>
        <w:rPr>
          <w:rFonts w:ascii="Arial" w:hAnsi="Arial" w:cs="Arial"/>
          <w:lang w:val="es-CO"/>
        </w:rPr>
      </w:pPr>
    </w:p>
    <w:p w14:paraId="1D77B0DC"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 xml:space="preserve"> Nombre o razón social, número de identificación tributaria, país de residencia, domicilio y dirección del cont</w:t>
      </w:r>
      <w:r>
        <w:rPr>
          <w:rFonts w:ascii="Arial" w:hAnsi="Arial" w:cs="Arial"/>
          <w:lang w:val="es-CO"/>
        </w:rPr>
        <w:t>ribuyente y del(los) vinculado(s) cubierto(s) por el Acuerdo que se solicita.</w:t>
      </w:r>
    </w:p>
    <w:p w14:paraId="13C8ADD5" w14:textId="77777777" w:rsidR="00B2442D" w:rsidRDefault="00B2442D">
      <w:pPr>
        <w:jc w:val="both"/>
        <w:rPr>
          <w:rFonts w:ascii="Arial" w:hAnsi="Arial" w:cs="Arial"/>
          <w:lang w:val="es-CO"/>
        </w:rPr>
      </w:pPr>
    </w:p>
    <w:p w14:paraId="14C189EA"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 xml:space="preserve"> Descripción general de la actividad económica principal y de las actividades accesorias que desarrollan el solicitante y su(s) vinculado(s) con el(los) cual(es) se celebren </w:t>
      </w:r>
      <w:r>
        <w:rPr>
          <w:rFonts w:ascii="Arial" w:hAnsi="Arial" w:cs="Arial"/>
          <w:lang w:val="es-CO"/>
        </w:rPr>
        <w:t>operaciones que hayan sido incluidas como objeto del Acuerdo. Estructura organizacional nacional e internacional, composición del capital social y principales acuerdos celebrados por los vinculados intervinientes en la operación con incidencia en los estad</w:t>
      </w:r>
      <w:r>
        <w:rPr>
          <w:rFonts w:ascii="Arial" w:hAnsi="Arial" w:cs="Arial"/>
          <w:lang w:val="es-CO"/>
        </w:rPr>
        <w:t>os financieros.</w:t>
      </w:r>
    </w:p>
    <w:p w14:paraId="5FD49F10" w14:textId="77777777" w:rsidR="00B2442D" w:rsidRDefault="00B2442D">
      <w:pPr>
        <w:jc w:val="both"/>
        <w:rPr>
          <w:rFonts w:ascii="Arial" w:hAnsi="Arial" w:cs="Arial"/>
          <w:lang w:val="es-CO"/>
        </w:rPr>
      </w:pPr>
    </w:p>
    <w:p w14:paraId="7AE70678" w14:textId="77777777" w:rsidR="00B2442D" w:rsidRDefault="008A645F">
      <w:pPr>
        <w:jc w:val="both"/>
        <w:rPr>
          <w:rFonts w:ascii="Arial" w:hAnsi="Arial" w:cs="Arial"/>
          <w:lang w:val="es-CO"/>
        </w:rPr>
      </w:pPr>
      <w:r>
        <w:rPr>
          <w:rFonts w:ascii="Arial" w:hAnsi="Arial" w:cs="Arial"/>
          <w:lang w:val="es-CO"/>
        </w:rPr>
        <w:t>c)</w:t>
      </w:r>
      <w:r>
        <w:rPr>
          <w:rFonts w:ascii="Arial" w:hAnsi="Arial" w:cs="Arial"/>
          <w:lang w:val="es-CO"/>
        </w:rPr>
        <w:tab/>
      </w:r>
      <w:r>
        <w:rPr>
          <w:rFonts w:ascii="Arial" w:hAnsi="Arial" w:cs="Arial"/>
          <w:lang w:val="es-CO"/>
        </w:rPr>
        <w:t xml:space="preserve"> Descripción del contenido del Acuerdo que se pretende formular, relacionando cada uno de los tipos de operación que serán cubiertos, con indicación de la moneda en que se prevé realizar las operaciones.</w:t>
      </w:r>
    </w:p>
    <w:p w14:paraId="0BF02BBF" w14:textId="77777777" w:rsidR="00B2442D" w:rsidRDefault="00B2442D">
      <w:pPr>
        <w:jc w:val="both"/>
        <w:rPr>
          <w:rFonts w:ascii="Arial" w:hAnsi="Arial" w:cs="Arial"/>
          <w:lang w:val="es-CO"/>
        </w:rPr>
      </w:pPr>
    </w:p>
    <w:p w14:paraId="17CB057F" w14:textId="77777777" w:rsidR="00B2442D" w:rsidRDefault="008A645F">
      <w:pPr>
        <w:jc w:val="both"/>
        <w:rPr>
          <w:rFonts w:ascii="Arial" w:hAnsi="Arial" w:cs="Arial"/>
          <w:lang w:val="es-CO"/>
        </w:rPr>
      </w:pPr>
      <w:r>
        <w:rPr>
          <w:rFonts w:ascii="Arial" w:hAnsi="Arial" w:cs="Arial"/>
          <w:lang w:val="es-CO"/>
        </w:rPr>
        <w:t>d)</w:t>
      </w:r>
      <w:r>
        <w:rPr>
          <w:rFonts w:ascii="Arial" w:hAnsi="Arial" w:cs="Arial"/>
          <w:lang w:val="es-CO"/>
        </w:rPr>
        <w:tab/>
        <w:t xml:space="preserve"> Descripción y justificación de los supuestos fu</w:t>
      </w:r>
      <w:r>
        <w:rPr>
          <w:rFonts w:ascii="Arial" w:hAnsi="Arial" w:cs="Arial"/>
          <w:lang w:val="es-CO"/>
        </w:rPr>
        <w:t>ndamentales del Acuerdo, tomando en consideración, y en lo pertinente al caso específico, entre otras, las siguientes hipótesis fundamentales:</w:t>
      </w:r>
    </w:p>
    <w:p w14:paraId="629E9B12" w14:textId="77777777" w:rsidR="00B2442D" w:rsidRDefault="00B2442D">
      <w:pPr>
        <w:jc w:val="both"/>
        <w:rPr>
          <w:rFonts w:ascii="Arial" w:hAnsi="Arial" w:cs="Arial"/>
          <w:lang w:val="es-CO"/>
        </w:rPr>
      </w:pPr>
    </w:p>
    <w:p w14:paraId="79AFFBBE"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 xml:space="preserve"> La legislación tributaria colombiana y las disposiciones de los convenios internacionales si los hubiere, su</w:t>
      </w:r>
      <w:r>
        <w:rPr>
          <w:rFonts w:ascii="Arial" w:hAnsi="Arial" w:cs="Arial"/>
          <w:lang w:val="es-CO"/>
        </w:rPr>
        <w:t>scritos por Colombia con el país o los países en donde el (los) vinculado(s) tenga(n) residencia o domicilio.</w:t>
      </w:r>
    </w:p>
    <w:p w14:paraId="6F59B20A" w14:textId="77777777" w:rsidR="00B2442D" w:rsidRDefault="00B2442D">
      <w:pPr>
        <w:ind w:left="426" w:hanging="426"/>
        <w:jc w:val="both"/>
        <w:rPr>
          <w:rFonts w:ascii="Arial" w:hAnsi="Arial" w:cs="Arial"/>
          <w:lang w:val="es-CO"/>
        </w:rPr>
      </w:pPr>
    </w:p>
    <w:p w14:paraId="5F1019F3"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 xml:space="preserve"> Aranceles, derechos de aduanas, restricciones a la importación y demás regulaciones gubernamentales en materia de comercio exterior.</w:t>
      </w:r>
    </w:p>
    <w:p w14:paraId="07C063E9" w14:textId="77777777" w:rsidR="00B2442D" w:rsidRDefault="00B2442D">
      <w:pPr>
        <w:ind w:left="426" w:hanging="426"/>
        <w:jc w:val="both"/>
        <w:rPr>
          <w:rFonts w:ascii="Arial" w:hAnsi="Arial" w:cs="Arial"/>
          <w:lang w:val="es-CO"/>
        </w:rPr>
      </w:pPr>
    </w:p>
    <w:p w14:paraId="7AC592F2"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 xml:space="preserve"> Con</w:t>
      </w:r>
      <w:r>
        <w:rPr>
          <w:rFonts w:ascii="Arial" w:hAnsi="Arial" w:cs="Arial"/>
          <w:lang w:val="es-CO"/>
        </w:rPr>
        <w:t>diciones económicas, cuota y condiciones del mercado, volumen de ventas y precio de venta final.</w:t>
      </w:r>
    </w:p>
    <w:p w14:paraId="08A33BB0" w14:textId="77777777" w:rsidR="00B2442D" w:rsidRDefault="00B2442D">
      <w:pPr>
        <w:ind w:left="426" w:hanging="426"/>
        <w:jc w:val="both"/>
        <w:rPr>
          <w:rFonts w:ascii="Arial" w:hAnsi="Arial" w:cs="Arial"/>
          <w:lang w:val="es-CO"/>
        </w:rPr>
      </w:pPr>
    </w:p>
    <w:p w14:paraId="79358675" w14:textId="77777777" w:rsidR="00B2442D" w:rsidRDefault="008A645F">
      <w:pPr>
        <w:ind w:left="426" w:hanging="426"/>
        <w:jc w:val="both"/>
        <w:rPr>
          <w:rFonts w:ascii="Arial" w:hAnsi="Arial" w:cs="Arial"/>
          <w:lang w:val="es-CO"/>
        </w:rPr>
      </w:pPr>
      <w:r>
        <w:rPr>
          <w:rFonts w:ascii="Arial" w:hAnsi="Arial" w:cs="Arial"/>
          <w:lang w:val="es-CO"/>
        </w:rPr>
        <w:t>4.</w:t>
      </w:r>
      <w:r>
        <w:rPr>
          <w:rFonts w:ascii="Arial" w:hAnsi="Arial" w:cs="Arial"/>
          <w:lang w:val="es-CO"/>
        </w:rPr>
        <w:tab/>
        <w:t xml:space="preserve"> Naturaleza de las funciones, los activos utilizados y los riesgos incurridos por las empresas que participan en las operaciones cubiertas por el Acuerdo.</w:t>
      </w:r>
    </w:p>
    <w:p w14:paraId="15742733" w14:textId="77777777" w:rsidR="00B2442D" w:rsidRDefault="00B2442D">
      <w:pPr>
        <w:ind w:left="426" w:hanging="426"/>
        <w:jc w:val="both"/>
        <w:rPr>
          <w:rFonts w:ascii="Arial" w:hAnsi="Arial" w:cs="Arial"/>
          <w:lang w:val="es-CO"/>
        </w:rPr>
      </w:pPr>
    </w:p>
    <w:p w14:paraId="24108A33" w14:textId="77777777" w:rsidR="00B2442D" w:rsidRDefault="008A645F">
      <w:pPr>
        <w:ind w:left="426" w:hanging="426"/>
        <w:jc w:val="both"/>
        <w:rPr>
          <w:rFonts w:ascii="Arial" w:hAnsi="Arial" w:cs="Arial"/>
          <w:lang w:val="es-CO"/>
        </w:rPr>
      </w:pPr>
      <w:r>
        <w:rPr>
          <w:rFonts w:ascii="Arial" w:hAnsi="Arial" w:cs="Arial"/>
          <w:lang w:val="es-CO"/>
        </w:rPr>
        <w:t>5.</w:t>
      </w:r>
      <w:r>
        <w:rPr>
          <w:rFonts w:ascii="Arial" w:hAnsi="Arial" w:cs="Arial"/>
          <w:lang w:val="es-CO"/>
        </w:rPr>
        <w:tab/>
        <w:t xml:space="preserve"> Tasa de cambio, tasa de interés y clasificación crediticia.</w:t>
      </w:r>
    </w:p>
    <w:p w14:paraId="2992829F" w14:textId="77777777" w:rsidR="00B2442D" w:rsidRDefault="00B2442D">
      <w:pPr>
        <w:ind w:left="426" w:hanging="426"/>
        <w:jc w:val="both"/>
        <w:rPr>
          <w:rFonts w:ascii="Arial" w:hAnsi="Arial" w:cs="Arial"/>
          <w:lang w:val="es-CO"/>
        </w:rPr>
      </w:pPr>
    </w:p>
    <w:p w14:paraId="74A9DB29" w14:textId="77777777" w:rsidR="00B2442D" w:rsidRDefault="008A645F">
      <w:pPr>
        <w:ind w:left="426" w:hanging="426"/>
        <w:jc w:val="both"/>
        <w:rPr>
          <w:rFonts w:ascii="Arial" w:hAnsi="Arial" w:cs="Arial"/>
          <w:lang w:val="es-CO"/>
        </w:rPr>
      </w:pPr>
      <w:r>
        <w:rPr>
          <w:rFonts w:ascii="Arial" w:hAnsi="Arial" w:cs="Arial"/>
          <w:lang w:val="es-CO"/>
        </w:rPr>
        <w:t>6.</w:t>
      </w:r>
      <w:r>
        <w:rPr>
          <w:rFonts w:ascii="Arial" w:hAnsi="Arial" w:cs="Arial"/>
          <w:lang w:val="es-CO"/>
        </w:rPr>
        <w:tab/>
        <w:t xml:space="preserve"> Estructura de capital y administración.</w:t>
      </w:r>
    </w:p>
    <w:p w14:paraId="3349A616" w14:textId="77777777" w:rsidR="00B2442D" w:rsidRDefault="00B2442D">
      <w:pPr>
        <w:ind w:left="426" w:hanging="426"/>
        <w:jc w:val="both"/>
        <w:rPr>
          <w:rFonts w:ascii="Arial" w:hAnsi="Arial" w:cs="Arial"/>
          <w:lang w:val="es-CO"/>
        </w:rPr>
      </w:pPr>
    </w:p>
    <w:p w14:paraId="2B756CF0" w14:textId="77777777" w:rsidR="00B2442D" w:rsidRDefault="008A645F">
      <w:pPr>
        <w:ind w:left="426" w:hanging="426"/>
        <w:jc w:val="both"/>
        <w:rPr>
          <w:rFonts w:ascii="Arial" w:hAnsi="Arial" w:cs="Arial"/>
          <w:lang w:val="es-CO"/>
        </w:rPr>
      </w:pPr>
      <w:r>
        <w:rPr>
          <w:rFonts w:ascii="Arial" w:hAnsi="Arial" w:cs="Arial"/>
          <w:lang w:val="es-CO"/>
        </w:rPr>
        <w:t>7.</w:t>
      </w:r>
      <w:r>
        <w:rPr>
          <w:rFonts w:ascii="Arial" w:hAnsi="Arial" w:cs="Arial"/>
          <w:lang w:val="es-CO"/>
        </w:rPr>
        <w:tab/>
        <w:t xml:space="preserve"> Contabilidad financiera y clasificación de los ingresos, costos y gastos, activos y pasivos.</w:t>
      </w:r>
    </w:p>
    <w:p w14:paraId="52E10FF3" w14:textId="77777777" w:rsidR="00B2442D" w:rsidRDefault="00B2442D">
      <w:pPr>
        <w:ind w:left="426" w:hanging="426"/>
        <w:jc w:val="both"/>
        <w:rPr>
          <w:rFonts w:ascii="Arial" w:hAnsi="Arial" w:cs="Arial"/>
          <w:lang w:val="es-CO"/>
        </w:rPr>
      </w:pPr>
    </w:p>
    <w:p w14:paraId="1F2DB22C" w14:textId="77777777" w:rsidR="00B2442D" w:rsidRDefault="008A645F">
      <w:pPr>
        <w:ind w:left="426" w:hanging="426"/>
        <w:jc w:val="both"/>
        <w:rPr>
          <w:rFonts w:ascii="Arial" w:hAnsi="Arial" w:cs="Arial"/>
          <w:lang w:val="es-CO"/>
        </w:rPr>
      </w:pPr>
      <w:r>
        <w:rPr>
          <w:rFonts w:ascii="Arial" w:hAnsi="Arial" w:cs="Arial"/>
          <w:lang w:val="es-CO"/>
        </w:rPr>
        <w:t>8.</w:t>
      </w:r>
      <w:r>
        <w:rPr>
          <w:rFonts w:ascii="Arial" w:hAnsi="Arial" w:cs="Arial"/>
          <w:lang w:val="es-CO"/>
        </w:rPr>
        <w:tab/>
        <w:t xml:space="preserve"> Las empresas que operarán en países distint</w:t>
      </w:r>
      <w:r>
        <w:rPr>
          <w:rFonts w:ascii="Arial" w:hAnsi="Arial" w:cs="Arial"/>
          <w:lang w:val="es-CO"/>
        </w:rPr>
        <w:t>os a Colombia y la forma jurídica que tomarán sus operaciones.</w:t>
      </w:r>
    </w:p>
    <w:p w14:paraId="3719141B" w14:textId="77777777" w:rsidR="00B2442D" w:rsidRDefault="00B2442D">
      <w:pPr>
        <w:jc w:val="both"/>
        <w:rPr>
          <w:rFonts w:ascii="Arial" w:hAnsi="Arial" w:cs="Arial"/>
          <w:lang w:val="es-CO"/>
        </w:rPr>
      </w:pPr>
    </w:p>
    <w:p w14:paraId="58252CA5" w14:textId="77777777" w:rsidR="00B2442D" w:rsidRDefault="008A645F">
      <w:pPr>
        <w:jc w:val="both"/>
        <w:rPr>
          <w:rFonts w:ascii="Arial" w:hAnsi="Arial" w:cs="Arial"/>
          <w:lang w:val="es-CO"/>
        </w:rPr>
      </w:pPr>
      <w:r>
        <w:rPr>
          <w:rFonts w:ascii="Arial" w:hAnsi="Arial" w:cs="Arial"/>
          <w:lang w:val="es-CO"/>
        </w:rPr>
        <w:t>e)</w:t>
      </w:r>
      <w:r>
        <w:rPr>
          <w:rFonts w:ascii="Arial" w:hAnsi="Arial" w:cs="Arial"/>
          <w:lang w:val="es-CO"/>
        </w:rPr>
        <w:tab/>
        <w:t xml:space="preserve"> Explicación detallada de la metodología de precios de transferencia propuesta, ilustrando su aplicación en los tres (3) últimos ejercicios fiscales. Cuando por razones objetivas comprobabl</w:t>
      </w:r>
      <w:r>
        <w:rPr>
          <w:rFonts w:ascii="Arial" w:hAnsi="Arial" w:cs="Arial"/>
          <w:lang w:val="es-CO"/>
        </w:rPr>
        <w:t>es no exista información histórica para esta aplicación, se deberá presentar la aplicación de la metodología con base en cifras estimadas, teniendo en cuenta lo previsto en los numerales 2 y 4 del artículo 1.2.2.2.1 de este decreto. Con la solicitud del Ac</w:t>
      </w:r>
      <w:r>
        <w:rPr>
          <w:rFonts w:ascii="Arial" w:hAnsi="Arial" w:cs="Arial"/>
          <w:lang w:val="es-CO"/>
        </w:rPr>
        <w:t>uerdo Anticipado de Precios debe allegarse la información relacionada en el numeral 4° del artículo 1.2.2.2.1 de este decreto y la que se señala a continuación:</w:t>
      </w:r>
    </w:p>
    <w:p w14:paraId="252E91CE" w14:textId="77777777" w:rsidR="00B2442D" w:rsidRDefault="00B2442D">
      <w:pPr>
        <w:jc w:val="both"/>
        <w:rPr>
          <w:rFonts w:ascii="Arial" w:hAnsi="Arial" w:cs="Arial"/>
          <w:lang w:val="es-CO"/>
        </w:rPr>
      </w:pPr>
    </w:p>
    <w:p w14:paraId="069C59D7"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Información genérica respecto de este tipo de acuerdos, convenios o propuestas de valoraci</w:t>
      </w:r>
      <w:r>
        <w:rPr>
          <w:rFonts w:ascii="Arial" w:hAnsi="Arial" w:cs="Arial"/>
          <w:lang w:val="es-CO"/>
        </w:rPr>
        <w:t>ón aprobadas o en trámite ante administraciones tributarias de otros Estados.</w:t>
      </w:r>
    </w:p>
    <w:p w14:paraId="372F43F4" w14:textId="77777777" w:rsidR="00B2442D" w:rsidRDefault="00B2442D">
      <w:pPr>
        <w:ind w:left="284" w:hanging="284"/>
        <w:jc w:val="both"/>
        <w:rPr>
          <w:rFonts w:ascii="Arial" w:hAnsi="Arial" w:cs="Arial"/>
          <w:lang w:val="es-CO"/>
        </w:rPr>
      </w:pPr>
    </w:p>
    <w:p w14:paraId="2B4EBFF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Identificación genérica de otros tipos de operación realizados entre las entidades vinculadas que no serán cobijados por el Acuerdo, con una breve explicación de los motivos</w:t>
      </w:r>
      <w:r>
        <w:rPr>
          <w:rFonts w:ascii="Arial" w:hAnsi="Arial" w:cs="Arial"/>
          <w:lang w:val="es-CO"/>
        </w:rPr>
        <w:t xml:space="preserve"> por los cuales no se incluyen.</w:t>
      </w:r>
    </w:p>
    <w:p w14:paraId="0727DFF2" w14:textId="77777777" w:rsidR="00B2442D" w:rsidRDefault="00B2442D">
      <w:pPr>
        <w:ind w:left="284" w:hanging="284"/>
        <w:jc w:val="both"/>
        <w:rPr>
          <w:rFonts w:ascii="Arial" w:hAnsi="Arial" w:cs="Arial"/>
          <w:lang w:val="es-CO"/>
        </w:rPr>
      </w:pPr>
    </w:p>
    <w:p w14:paraId="1FC6FFA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Demás información que el contribuyente considere pertinente.</w:t>
      </w:r>
    </w:p>
    <w:p w14:paraId="3049D6F3" w14:textId="77777777" w:rsidR="00B2442D" w:rsidRDefault="00B2442D">
      <w:pPr>
        <w:ind w:left="284" w:hanging="284"/>
        <w:jc w:val="both"/>
        <w:rPr>
          <w:rFonts w:ascii="Arial" w:hAnsi="Arial" w:cs="Arial"/>
          <w:lang w:val="es-CO"/>
        </w:rPr>
      </w:pPr>
    </w:p>
    <w:p w14:paraId="1BC7EDBD" w14:textId="77777777" w:rsidR="00B2442D" w:rsidRDefault="008A645F">
      <w:pPr>
        <w:jc w:val="both"/>
        <w:rPr>
          <w:rFonts w:ascii="Arial" w:hAnsi="Arial" w:cs="Arial"/>
          <w:lang w:val="es-CO"/>
        </w:rPr>
      </w:pPr>
      <w:r>
        <w:rPr>
          <w:rFonts w:ascii="Arial" w:hAnsi="Arial" w:cs="Arial"/>
          <w:lang w:val="es-CO"/>
        </w:rPr>
        <w:t xml:space="preserve">Para los documentos extendidos en idioma distinto del castellano deberá observarse lo señalado en el parágrafo 2o del artículo 1.2.2.2.1 de este </w:t>
      </w:r>
      <w:r>
        <w:rPr>
          <w:rFonts w:ascii="Arial" w:hAnsi="Arial" w:cs="Arial"/>
          <w:lang w:val="es-CO"/>
        </w:rPr>
        <w:t>decreto.</w:t>
      </w:r>
    </w:p>
    <w:p w14:paraId="5FF82DBF" w14:textId="77777777" w:rsidR="00B2442D" w:rsidRDefault="00B2442D">
      <w:pPr>
        <w:jc w:val="both"/>
        <w:rPr>
          <w:rFonts w:ascii="Arial" w:hAnsi="Arial" w:cs="Arial"/>
          <w:lang w:val="es-CO"/>
        </w:rPr>
      </w:pPr>
    </w:p>
    <w:p w14:paraId="4EFFDA2B" w14:textId="77777777" w:rsidR="00B2442D" w:rsidRDefault="008A645F">
      <w:pPr>
        <w:jc w:val="both"/>
        <w:rPr>
          <w:rFonts w:ascii="Arial" w:hAnsi="Arial" w:cs="Arial"/>
          <w:i/>
          <w:lang w:val="es-CO"/>
        </w:rPr>
      </w:pPr>
      <w:r>
        <w:rPr>
          <w:rFonts w:ascii="Arial" w:hAnsi="Arial" w:cs="Arial"/>
          <w:i/>
          <w:lang w:val="es-CO"/>
        </w:rPr>
        <w:t>(Art. 15,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48617F09" w14:textId="77777777" w:rsidR="00B2442D" w:rsidRDefault="00B2442D">
      <w:pPr>
        <w:jc w:val="both"/>
        <w:rPr>
          <w:rFonts w:ascii="Arial" w:hAnsi="Arial" w:cs="Arial"/>
          <w:lang w:val="es-CO"/>
        </w:rPr>
      </w:pPr>
    </w:p>
    <w:p w14:paraId="5F5346D2"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Reserva y uso de la docu</w:t>
      </w:r>
      <w:r>
        <w:rPr>
          <w:rFonts w:ascii="Arial" w:hAnsi="Arial" w:cs="Arial"/>
          <w:b/>
          <w:i/>
          <w:lang w:val="es-CO"/>
        </w:rPr>
        <w:t>mentación e información.</w:t>
      </w:r>
      <w:r>
        <w:rPr>
          <w:rFonts w:ascii="Arial" w:hAnsi="Arial" w:cs="Arial"/>
          <w:lang w:val="es-CO"/>
        </w:rPr>
        <w:t xml:space="preserve"> La documentación e información presentada para la suscripción de los Acuerdos Anticipados de Precios tendrá efectos únicamente en relación con ese procedimiento y será utilizada exclusivamente respecto del mismo, salvo cuando el ac</w:t>
      </w:r>
      <w:r>
        <w:rPr>
          <w:rFonts w:ascii="Arial" w:hAnsi="Arial" w:cs="Arial"/>
          <w:lang w:val="es-CO"/>
        </w:rPr>
        <w:t>uerdo sea revocado o cancelado por incumplimiento.</w:t>
      </w:r>
    </w:p>
    <w:p w14:paraId="18D0DC3B" w14:textId="77777777" w:rsidR="00B2442D" w:rsidRDefault="00B2442D">
      <w:pPr>
        <w:jc w:val="both"/>
        <w:rPr>
          <w:rFonts w:ascii="Arial" w:hAnsi="Arial" w:cs="Arial"/>
          <w:lang w:val="es-CO"/>
        </w:rPr>
      </w:pPr>
    </w:p>
    <w:p w14:paraId="1F9D732A" w14:textId="77777777" w:rsidR="00B2442D" w:rsidRDefault="008A645F">
      <w:pPr>
        <w:jc w:val="both"/>
        <w:rPr>
          <w:rFonts w:ascii="Arial" w:hAnsi="Arial" w:cs="Arial"/>
          <w:lang w:val="es-CO"/>
        </w:rPr>
      </w:pPr>
      <w:r>
        <w:rPr>
          <w:rFonts w:ascii="Arial" w:hAnsi="Arial" w:cs="Arial"/>
          <w:lang w:val="es-CO"/>
        </w:rPr>
        <w:t xml:space="preserve">Los funcionarios de la Unidad Administrativa Especial Dirección de Impuestos y Aduanas Nacionales– DIAN que intervengan en ese procedimiento, deberán guardar la reserva legal contemplada en el </w:t>
      </w:r>
      <w:r>
        <w:rPr>
          <w:rFonts w:ascii="Arial" w:hAnsi="Arial" w:cs="Arial"/>
          <w:lang w:val="es-CO"/>
        </w:rPr>
        <w:t>Estatuto Tributario.</w:t>
      </w:r>
    </w:p>
    <w:p w14:paraId="7657E0C8" w14:textId="77777777" w:rsidR="00B2442D" w:rsidRDefault="00B2442D">
      <w:pPr>
        <w:jc w:val="both"/>
        <w:rPr>
          <w:rFonts w:ascii="Arial" w:hAnsi="Arial" w:cs="Arial"/>
          <w:lang w:val="es-CO"/>
        </w:rPr>
      </w:pPr>
    </w:p>
    <w:p w14:paraId="24574049" w14:textId="77777777" w:rsidR="00B2442D" w:rsidRDefault="008A645F">
      <w:pPr>
        <w:jc w:val="both"/>
        <w:rPr>
          <w:rFonts w:ascii="Arial" w:hAnsi="Arial" w:cs="Arial"/>
          <w:i/>
          <w:lang w:val="es-CO"/>
        </w:rPr>
      </w:pPr>
      <w:r>
        <w:rPr>
          <w:rFonts w:ascii="Arial" w:hAnsi="Arial" w:cs="Arial"/>
          <w:i/>
          <w:lang w:val="es-CO"/>
        </w:rPr>
        <w:t>(Art. 16,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4249EC16" w14:textId="77777777" w:rsidR="00B2442D" w:rsidRDefault="00B2442D">
      <w:pPr>
        <w:jc w:val="both"/>
        <w:rPr>
          <w:rFonts w:ascii="Arial" w:hAnsi="Arial" w:cs="Arial"/>
          <w:lang w:val="es-CO"/>
        </w:rPr>
      </w:pPr>
    </w:p>
    <w:p w14:paraId="28F2F158"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Aceptación o</w:t>
      </w:r>
      <w:r>
        <w:rPr>
          <w:rFonts w:ascii="Arial" w:hAnsi="Arial" w:cs="Arial"/>
          <w:b/>
          <w:i/>
          <w:lang w:val="es-CO"/>
        </w:rPr>
        <w:t xml:space="preserve"> rechazo de la solicitud de Acuerdo Anticipado de Precios.</w:t>
      </w:r>
      <w:r>
        <w:rPr>
          <w:rFonts w:ascii="Arial" w:hAnsi="Arial" w:cs="Arial"/>
          <w:lang w:val="es-CO"/>
        </w:rPr>
        <w:t xml:space="preserve"> Presentada la solicitud de Acuerdo Anticipado de Precios, la Unidad Administrativa Especial Dirección de Impuestos y Aduanas Nacionales– DIAN dentro del término de los nueve (9) meses siguientes a </w:t>
      </w:r>
      <w:r>
        <w:rPr>
          <w:rFonts w:ascii="Arial" w:hAnsi="Arial" w:cs="Arial"/>
          <w:lang w:val="es-CO"/>
        </w:rPr>
        <w:t>que se refiere el artículo 260-10 del Estatuto Tributario, efectuará los análisis a que haya lugar y solicitará y recibirá las modificaciones y aclaraciones pertinentes para aceptar o rechazar dicha solicitud.</w:t>
      </w:r>
    </w:p>
    <w:p w14:paraId="0B217F49" w14:textId="77777777" w:rsidR="00B2442D" w:rsidRDefault="00B2442D">
      <w:pPr>
        <w:jc w:val="both"/>
        <w:rPr>
          <w:rFonts w:ascii="Arial" w:hAnsi="Arial" w:cs="Arial"/>
          <w:lang w:val="es-CO"/>
        </w:rPr>
      </w:pPr>
    </w:p>
    <w:p w14:paraId="1F1CBD7B" w14:textId="77777777" w:rsidR="00B2442D" w:rsidRDefault="008A645F">
      <w:pPr>
        <w:jc w:val="both"/>
        <w:rPr>
          <w:rFonts w:ascii="Arial" w:hAnsi="Arial" w:cs="Arial"/>
          <w:lang w:val="es-CO"/>
        </w:rPr>
      </w:pPr>
      <w:r>
        <w:rPr>
          <w:rFonts w:ascii="Arial" w:hAnsi="Arial" w:cs="Arial"/>
          <w:lang w:val="es-CO"/>
        </w:rPr>
        <w:t>En el evento de que la solicitud sea rechazad</w:t>
      </w:r>
      <w:r>
        <w:rPr>
          <w:rFonts w:ascii="Arial" w:hAnsi="Arial" w:cs="Arial"/>
          <w:lang w:val="es-CO"/>
        </w:rPr>
        <w:t>a, procederá dentro de los quince (15) días siguientes a su notificación, el recurso de reposición de que trata el artículo 260-10 del mismo Estatuto. La Administración Tributaria tendrá un término de dos (2) meses contados a partir de su interposición par</w:t>
      </w:r>
      <w:r>
        <w:rPr>
          <w:rFonts w:ascii="Arial" w:hAnsi="Arial" w:cs="Arial"/>
          <w:lang w:val="es-CO"/>
        </w:rPr>
        <w:t>a resolver el recurso.</w:t>
      </w:r>
    </w:p>
    <w:p w14:paraId="2C9DE6BC" w14:textId="77777777" w:rsidR="00B2442D" w:rsidRDefault="00B2442D">
      <w:pPr>
        <w:jc w:val="both"/>
        <w:rPr>
          <w:rFonts w:ascii="Arial" w:hAnsi="Arial" w:cs="Arial"/>
          <w:lang w:val="es-CO"/>
        </w:rPr>
      </w:pPr>
    </w:p>
    <w:p w14:paraId="40A985FA" w14:textId="77777777" w:rsidR="00B2442D" w:rsidRDefault="008A645F">
      <w:pPr>
        <w:jc w:val="both"/>
        <w:rPr>
          <w:rFonts w:ascii="Arial" w:hAnsi="Arial" w:cs="Arial"/>
          <w:i/>
          <w:lang w:val="es-CO"/>
        </w:rPr>
      </w:pPr>
      <w:r>
        <w:rPr>
          <w:rFonts w:ascii="Arial" w:hAnsi="Arial" w:cs="Arial"/>
          <w:i/>
          <w:lang w:val="es-CO"/>
        </w:rPr>
        <w:t>(Art. 17,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42858CD4" w14:textId="77777777" w:rsidR="00B2442D" w:rsidRDefault="00B2442D">
      <w:pPr>
        <w:jc w:val="both"/>
        <w:rPr>
          <w:rFonts w:ascii="Arial" w:hAnsi="Arial" w:cs="Arial"/>
          <w:lang w:val="es-CO"/>
        </w:rPr>
      </w:pPr>
    </w:p>
    <w:p w14:paraId="18788606"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Efectos de</w:t>
      </w:r>
      <w:r>
        <w:rPr>
          <w:rFonts w:ascii="Arial" w:hAnsi="Arial" w:cs="Arial"/>
          <w:b/>
          <w:i/>
          <w:lang w:val="es-CO"/>
        </w:rPr>
        <w:t>l Acuerdo.</w:t>
      </w:r>
      <w:r>
        <w:rPr>
          <w:rFonts w:ascii="Arial" w:hAnsi="Arial" w:cs="Arial"/>
          <w:lang w:val="es-CO"/>
        </w:rPr>
        <w:t xml:space="preserve"> El Acuerdo Anticipado de Precios podrá surtir efectos en el periodo gravable en que se suscriba el acuerdo, el año inmediatamente anterior y hasta por los tres (3) períodos gravables siguientes, a la suscripción del acuerdo, según lo convenido e</w:t>
      </w:r>
      <w:r>
        <w:rPr>
          <w:rFonts w:ascii="Arial" w:hAnsi="Arial" w:cs="Arial"/>
          <w:lang w:val="es-CO"/>
        </w:rPr>
        <w:t>ntre las partes.</w:t>
      </w:r>
    </w:p>
    <w:p w14:paraId="62BA41F6" w14:textId="77777777" w:rsidR="00B2442D" w:rsidRDefault="00B2442D">
      <w:pPr>
        <w:jc w:val="both"/>
        <w:rPr>
          <w:rFonts w:ascii="Arial" w:hAnsi="Arial" w:cs="Arial"/>
          <w:lang w:val="es-CO"/>
        </w:rPr>
      </w:pPr>
    </w:p>
    <w:p w14:paraId="1E815389" w14:textId="77777777" w:rsidR="00B2442D" w:rsidRDefault="008A645F">
      <w:pPr>
        <w:jc w:val="both"/>
        <w:rPr>
          <w:rFonts w:ascii="Arial" w:hAnsi="Arial" w:cs="Arial"/>
          <w:lang w:val="es-CO"/>
        </w:rPr>
      </w:pPr>
      <w:r>
        <w:rPr>
          <w:rFonts w:ascii="Arial" w:hAnsi="Arial" w:cs="Arial"/>
          <w:lang w:val="es-CO"/>
        </w:rPr>
        <w:t>La Unidad Administrativa Especial Dirección de Impuestos y Aduanas Nacionales– DIAN aceptará los valores declarados correspondientes a las operaciones realizadas entre vinculados, cuando reflejen la realidad económica y la correcta aplica</w:t>
      </w:r>
      <w:r>
        <w:rPr>
          <w:rFonts w:ascii="Arial" w:hAnsi="Arial" w:cs="Arial"/>
          <w:lang w:val="es-CO"/>
        </w:rPr>
        <w:t>ción del Acuerdo.</w:t>
      </w:r>
    </w:p>
    <w:p w14:paraId="626E6817" w14:textId="77777777" w:rsidR="00B2442D" w:rsidRDefault="00B2442D">
      <w:pPr>
        <w:jc w:val="both"/>
        <w:rPr>
          <w:rFonts w:ascii="Arial" w:hAnsi="Arial" w:cs="Arial"/>
          <w:lang w:val="es-CO"/>
        </w:rPr>
      </w:pPr>
    </w:p>
    <w:p w14:paraId="409C127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contribuyentes con los cuales la Unidad Administrativa Especial Dirección de Impuestos y Aduanas Nacionales– DIAN celebre un Acuerdo Anticipado de Precios, y mientras el mismo surta sus efectos, no deberán preparar, por ta</w:t>
      </w:r>
      <w:r>
        <w:rPr>
          <w:rFonts w:ascii="Arial" w:hAnsi="Arial" w:cs="Arial"/>
          <w:lang w:val="es-CO"/>
        </w:rPr>
        <w:t xml:space="preserve">les operaciones, la documentación comprobatoria de que trata el artículo 260-5 del Estatuto Tributario, salvo que la Administración Tributaria le requiera para su presentación, caso en el cual deberá ser presentada dentro de los dos (2) meses siguientes a </w:t>
      </w:r>
      <w:r>
        <w:rPr>
          <w:rFonts w:ascii="Arial" w:hAnsi="Arial" w:cs="Arial"/>
          <w:lang w:val="es-CO"/>
        </w:rPr>
        <w:t>su solicitud so pena de las sanciones contempladas en el literal A. del artículo 260-11 del Estatuto Tributario.</w:t>
      </w:r>
    </w:p>
    <w:p w14:paraId="3E7D76D0" w14:textId="77777777" w:rsidR="00B2442D" w:rsidRDefault="00B2442D">
      <w:pPr>
        <w:jc w:val="both"/>
        <w:rPr>
          <w:rFonts w:ascii="Arial" w:hAnsi="Arial" w:cs="Arial"/>
          <w:lang w:val="es-CO"/>
        </w:rPr>
      </w:pPr>
    </w:p>
    <w:p w14:paraId="6E43CEA5" w14:textId="77777777" w:rsidR="00B2442D" w:rsidRDefault="008A645F">
      <w:pPr>
        <w:jc w:val="both"/>
        <w:rPr>
          <w:rFonts w:ascii="Arial" w:hAnsi="Arial" w:cs="Arial"/>
          <w:i/>
          <w:lang w:val="es-CO"/>
        </w:rPr>
      </w:pPr>
      <w:r>
        <w:rPr>
          <w:rFonts w:ascii="Arial" w:hAnsi="Arial" w:cs="Arial"/>
          <w:i/>
          <w:lang w:val="es-CO"/>
        </w:rPr>
        <w:t>(Art. 18, Decreto 3030 de 2013)</w:t>
      </w:r>
      <w:r>
        <w:rPr>
          <w:rFonts w:ascii="Arial" w:hAnsi="Arial" w:cs="Arial"/>
        </w:rPr>
        <w:t xml:space="preserve"> </w:t>
      </w:r>
      <w:r>
        <w:rPr>
          <w:rFonts w:ascii="Arial" w:hAnsi="Arial" w:cs="Arial"/>
          <w:i/>
          <w:lang w:val="es-CO"/>
        </w:rPr>
        <w:t xml:space="preserve">(El Decreto 3030 de 2013 rige a partir de la fecha de su publicación y deroga las normas que le sean </w:t>
      </w:r>
      <w:r>
        <w:rPr>
          <w:rFonts w:ascii="Arial" w:hAnsi="Arial" w:cs="Arial"/>
          <w:i/>
          <w:lang w:val="es-CO"/>
        </w:rPr>
        <w:t>contrarias, en especial, el Decreto número 4349 de 2004. Art. 26, Decreto 3030 de 2013)</w:t>
      </w:r>
    </w:p>
    <w:p w14:paraId="3A5B7BEA" w14:textId="77777777" w:rsidR="00B2442D" w:rsidRDefault="00B2442D">
      <w:pPr>
        <w:jc w:val="both"/>
        <w:rPr>
          <w:rFonts w:ascii="Arial" w:hAnsi="Arial" w:cs="Arial"/>
          <w:lang w:val="es-CO"/>
        </w:rPr>
      </w:pPr>
    </w:p>
    <w:p w14:paraId="62AD901B"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Contenido del Acuerdo Anticipado de Precios.</w:t>
      </w:r>
      <w:r>
        <w:rPr>
          <w:rFonts w:ascii="Arial" w:hAnsi="Arial" w:cs="Arial"/>
          <w:lang w:val="es-CO"/>
        </w:rPr>
        <w:t xml:space="preserve"> El Acuerdo Anticipado de Precios contendrá como mínimo:</w:t>
      </w:r>
    </w:p>
    <w:p w14:paraId="377E3C51" w14:textId="77777777" w:rsidR="00B2442D" w:rsidRDefault="00B2442D">
      <w:pPr>
        <w:jc w:val="both"/>
        <w:rPr>
          <w:rFonts w:ascii="Arial" w:hAnsi="Arial" w:cs="Arial"/>
          <w:lang w:val="es-CO"/>
        </w:rPr>
      </w:pPr>
    </w:p>
    <w:p w14:paraId="00DCC779"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Lugar y fecha de suscripción.</w:t>
      </w:r>
    </w:p>
    <w:p w14:paraId="30DD0A7B" w14:textId="77777777" w:rsidR="00B2442D" w:rsidRDefault="00B2442D">
      <w:pPr>
        <w:ind w:left="426" w:hanging="426"/>
        <w:jc w:val="both"/>
        <w:rPr>
          <w:rFonts w:ascii="Arial" w:hAnsi="Arial" w:cs="Arial"/>
          <w:lang w:val="es-CO"/>
        </w:rPr>
      </w:pPr>
    </w:p>
    <w:p w14:paraId="2AE7D9E4"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Identificación del contrib</w:t>
      </w:r>
      <w:r>
        <w:rPr>
          <w:rFonts w:ascii="Arial" w:hAnsi="Arial" w:cs="Arial"/>
          <w:lang w:val="es-CO"/>
        </w:rPr>
        <w:t>uyente que lo suscribe.</w:t>
      </w:r>
    </w:p>
    <w:p w14:paraId="1B9ED091" w14:textId="77777777" w:rsidR="00B2442D" w:rsidRDefault="00B2442D">
      <w:pPr>
        <w:ind w:left="426" w:hanging="426"/>
        <w:jc w:val="both"/>
        <w:rPr>
          <w:rFonts w:ascii="Arial" w:hAnsi="Arial" w:cs="Arial"/>
          <w:lang w:val="es-CO"/>
        </w:rPr>
      </w:pPr>
    </w:p>
    <w:p w14:paraId="36B40682"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 Motivos por los cuales la Unidad Administrativa Especial Dirección de Impuestos y Aduanas Nacionales– DIAN aprueba la propuesta.</w:t>
      </w:r>
    </w:p>
    <w:p w14:paraId="336A716C" w14:textId="77777777" w:rsidR="00B2442D" w:rsidRDefault="00B2442D">
      <w:pPr>
        <w:ind w:left="426" w:hanging="426"/>
        <w:jc w:val="both"/>
        <w:rPr>
          <w:rFonts w:ascii="Arial" w:hAnsi="Arial" w:cs="Arial"/>
          <w:lang w:val="es-CO"/>
        </w:rPr>
      </w:pPr>
    </w:p>
    <w:p w14:paraId="158E0345"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 Obligaciones del solicitante derivadas de la aplicación del Acuerdo.</w:t>
      </w:r>
    </w:p>
    <w:p w14:paraId="0420290A" w14:textId="77777777" w:rsidR="00B2442D" w:rsidRDefault="00B2442D">
      <w:pPr>
        <w:ind w:left="426" w:hanging="426"/>
        <w:jc w:val="both"/>
        <w:rPr>
          <w:rFonts w:ascii="Arial" w:hAnsi="Arial" w:cs="Arial"/>
          <w:lang w:val="es-CO"/>
        </w:rPr>
      </w:pPr>
    </w:p>
    <w:p w14:paraId="60D3163C"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 xml:space="preserve"> Los supuestos funda</w:t>
      </w:r>
      <w:r>
        <w:rPr>
          <w:rFonts w:ascii="Arial" w:hAnsi="Arial" w:cs="Arial"/>
          <w:lang w:val="es-CO"/>
        </w:rPr>
        <w:t>mentales del Acuerdo que sustentan la metodología aplicada.</w:t>
      </w:r>
    </w:p>
    <w:p w14:paraId="1D08DF14" w14:textId="77777777" w:rsidR="00B2442D" w:rsidRDefault="00B2442D">
      <w:pPr>
        <w:ind w:left="426" w:hanging="426"/>
        <w:jc w:val="both"/>
        <w:rPr>
          <w:rFonts w:ascii="Arial" w:hAnsi="Arial" w:cs="Arial"/>
          <w:lang w:val="es-CO"/>
        </w:rPr>
      </w:pPr>
    </w:p>
    <w:p w14:paraId="7862CF97"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Descripción de cada uno de los tipos de operación a los que se refiere el Acuerdo.</w:t>
      </w:r>
    </w:p>
    <w:p w14:paraId="01C2BF15" w14:textId="77777777" w:rsidR="00B2442D" w:rsidRDefault="00B2442D">
      <w:pPr>
        <w:ind w:left="426" w:hanging="426"/>
        <w:jc w:val="both"/>
        <w:rPr>
          <w:rFonts w:ascii="Arial" w:hAnsi="Arial" w:cs="Arial"/>
          <w:lang w:val="es-CO"/>
        </w:rPr>
      </w:pPr>
    </w:p>
    <w:p w14:paraId="27293969"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 xml:space="preserve"> Moneda o monedas en que se realizan las operaciones.</w:t>
      </w:r>
    </w:p>
    <w:p w14:paraId="738C2E23" w14:textId="77777777" w:rsidR="00B2442D" w:rsidRDefault="00B2442D">
      <w:pPr>
        <w:ind w:left="426" w:hanging="426"/>
        <w:jc w:val="both"/>
        <w:rPr>
          <w:rFonts w:ascii="Arial" w:hAnsi="Arial" w:cs="Arial"/>
          <w:lang w:val="es-CO"/>
        </w:rPr>
      </w:pPr>
    </w:p>
    <w:p w14:paraId="63D2E003" w14:textId="77777777" w:rsidR="00B2442D" w:rsidRDefault="008A645F">
      <w:pPr>
        <w:ind w:left="426" w:hanging="426"/>
        <w:jc w:val="both"/>
        <w:rPr>
          <w:rFonts w:ascii="Arial" w:hAnsi="Arial" w:cs="Arial"/>
          <w:lang w:val="es-CO"/>
        </w:rPr>
      </w:pPr>
      <w:r>
        <w:rPr>
          <w:rFonts w:ascii="Arial" w:hAnsi="Arial" w:cs="Arial"/>
          <w:lang w:val="es-CO"/>
        </w:rPr>
        <w:t>h)</w:t>
      </w:r>
      <w:r>
        <w:rPr>
          <w:rFonts w:ascii="Arial" w:hAnsi="Arial" w:cs="Arial"/>
          <w:lang w:val="es-CO"/>
        </w:rPr>
        <w:tab/>
        <w:t>Metodología adoptada para la determinación de l</w:t>
      </w:r>
      <w:r>
        <w:rPr>
          <w:rFonts w:ascii="Arial" w:hAnsi="Arial" w:cs="Arial"/>
          <w:lang w:val="es-CO"/>
        </w:rPr>
        <w:t>os precios de transferencia para las operaciones que cobija.</w:t>
      </w:r>
    </w:p>
    <w:p w14:paraId="2BE8B120" w14:textId="77777777" w:rsidR="00B2442D" w:rsidRDefault="00B2442D">
      <w:pPr>
        <w:ind w:left="426" w:hanging="426"/>
        <w:jc w:val="both"/>
        <w:rPr>
          <w:rFonts w:ascii="Arial" w:hAnsi="Arial" w:cs="Arial"/>
          <w:lang w:val="es-CO"/>
        </w:rPr>
      </w:pPr>
    </w:p>
    <w:p w14:paraId="18DFF0E5" w14:textId="77777777" w:rsidR="00B2442D" w:rsidRDefault="008A645F">
      <w:pPr>
        <w:ind w:left="426" w:hanging="426"/>
        <w:jc w:val="both"/>
        <w:rPr>
          <w:rFonts w:ascii="Arial" w:hAnsi="Arial" w:cs="Arial"/>
          <w:lang w:val="es-CO"/>
        </w:rPr>
      </w:pPr>
      <w:r>
        <w:rPr>
          <w:rFonts w:ascii="Arial" w:hAnsi="Arial" w:cs="Arial"/>
          <w:lang w:val="es-CO"/>
        </w:rPr>
        <w:t>i)</w:t>
      </w:r>
      <w:r>
        <w:rPr>
          <w:rFonts w:ascii="Arial" w:hAnsi="Arial" w:cs="Arial"/>
          <w:lang w:val="es-CO"/>
        </w:rPr>
        <w:tab/>
        <w:t>Periodos gravables en los que surte efectos el Acuerdo.</w:t>
      </w:r>
    </w:p>
    <w:p w14:paraId="6229339E" w14:textId="77777777" w:rsidR="00B2442D" w:rsidRDefault="00B2442D">
      <w:pPr>
        <w:ind w:left="426" w:hanging="426"/>
        <w:jc w:val="both"/>
        <w:rPr>
          <w:rFonts w:ascii="Arial" w:hAnsi="Arial" w:cs="Arial"/>
          <w:lang w:val="es-CO"/>
        </w:rPr>
      </w:pPr>
    </w:p>
    <w:p w14:paraId="61AE179A" w14:textId="77777777" w:rsidR="00B2442D" w:rsidRDefault="008A645F">
      <w:pPr>
        <w:ind w:left="426" w:hanging="426"/>
        <w:jc w:val="both"/>
        <w:rPr>
          <w:rFonts w:ascii="Arial" w:hAnsi="Arial" w:cs="Arial"/>
          <w:lang w:val="es-CO"/>
        </w:rPr>
      </w:pPr>
      <w:r>
        <w:rPr>
          <w:rFonts w:ascii="Arial" w:hAnsi="Arial" w:cs="Arial"/>
          <w:lang w:val="es-CO"/>
        </w:rPr>
        <w:t>j)</w:t>
      </w:r>
      <w:r>
        <w:rPr>
          <w:rFonts w:ascii="Arial" w:hAnsi="Arial" w:cs="Arial"/>
          <w:lang w:val="es-CO"/>
        </w:rPr>
        <w:tab/>
        <w:t>Las pautas que permitan determinar con antelación una divergencia razonable en los supuestos establecidos.</w:t>
      </w:r>
    </w:p>
    <w:p w14:paraId="6ECC5BAA" w14:textId="77777777" w:rsidR="00B2442D" w:rsidRDefault="00B2442D">
      <w:pPr>
        <w:ind w:left="426" w:hanging="426"/>
        <w:jc w:val="both"/>
        <w:rPr>
          <w:rFonts w:ascii="Arial" w:hAnsi="Arial" w:cs="Arial"/>
          <w:lang w:val="es-CO"/>
        </w:rPr>
      </w:pPr>
    </w:p>
    <w:p w14:paraId="30E5781A" w14:textId="77777777" w:rsidR="00B2442D" w:rsidRDefault="008A645F">
      <w:pPr>
        <w:ind w:left="426" w:hanging="426"/>
        <w:jc w:val="both"/>
        <w:rPr>
          <w:rFonts w:ascii="Arial" w:hAnsi="Arial" w:cs="Arial"/>
          <w:lang w:val="es-CO"/>
        </w:rPr>
      </w:pPr>
      <w:r>
        <w:rPr>
          <w:rFonts w:ascii="Arial" w:hAnsi="Arial" w:cs="Arial"/>
          <w:lang w:val="es-CO"/>
        </w:rPr>
        <w:t>k)</w:t>
      </w:r>
      <w:r>
        <w:rPr>
          <w:rFonts w:ascii="Arial" w:hAnsi="Arial" w:cs="Arial"/>
          <w:lang w:val="es-CO"/>
        </w:rPr>
        <w:tab/>
        <w:t xml:space="preserve"> Causales que dan lu</w:t>
      </w:r>
      <w:r>
        <w:rPr>
          <w:rFonts w:ascii="Arial" w:hAnsi="Arial" w:cs="Arial"/>
          <w:lang w:val="es-CO"/>
        </w:rPr>
        <w:t>gar a su cancelación o terminación.</w:t>
      </w:r>
    </w:p>
    <w:p w14:paraId="6E3D5449" w14:textId="77777777" w:rsidR="00B2442D" w:rsidRDefault="00B2442D">
      <w:pPr>
        <w:ind w:left="426" w:hanging="426"/>
        <w:jc w:val="both"/>
        <w:rPr>
          <w:rFonts w:ascii="Arial" w:hAnsi="Arial" w:cs="Arial"/>
          <w:lang w:val="es-CO"/>
        </w:rPr>
      </w:pPr>
    </w:p>
    <w:p w14:paraId="41D7625D" w14:textId="77777777" w:rsidR="00B2442D" w:rsidRDefault="008A645F">
      <w:pPr>
        <w:ind w:left="426" w:hanging="426"/>
        <w:jc w:val="both"/>
        <w:rPr>
          <w:rFonts w:ascii="Arial" w:hAnsi="Arial" w:cs="Arial"/>
          <w:lang w:val="es-CO"/>
        </w:rPr>
      </w:pPr>
      <w:r>
        <w:rPr>
          <w:rFonts w:ascii="Arial" w:hAnsi="Arial" w:cs="Arial"/>
          <w:lang w:val="es-CO"/>
        </w:rPr>
        <w:t>l)</w:t>
      </w:r>
      <w:r>
        <w:rPr>
          <w:rFonts w:ascii="Arial" w:hAnsi="Arial" w:cs="Arial"/>
          <w:lang w:val="es-CO"/>
        </w:rPr>
        <w:tab/>
        <w:t xml:space="preserve">Compromiso de remisión de informe dirigido al Director General de la Unidad Administrativa Especial Dirección de Impuestos y Aduanas Nacionales– DIAN, en el que se demuestre la conformidad de sus precios de </w:t>
      </w:r>
      <w:r>
        <w:rPr>
          <w:rFonts w:ascii="Arial" w:hAnsi="Arial" w:cs="Arial"/>
          <w:lang w:val="es-CO"/>
        </w:rPr>
        <w:t>transferencia con las condiciones previstas en el Acuerdo.</w:t>
      </w:r>
    </w:p>
    <w:p w14:paraId="7EE56EB6" w14:textId="77777777" w:rsidR="00B2442D" w:rsidRDefault="00B2442D">
      <w:pPr>
        <w:ind w:left="426" w:hanging="426"/>
        <w:jc w:val="both"/>
        <w:rPr>
          <w:rFonts w:ascii="Arial" w:hAnsi="Arial" w:cs="Arial"/>
          <w:lang w:val="es-CO"/>
        </w:rPr>
      </w:pPr>
    </w:p>
    <w:p w14:paraId="42D52FA8" w14:textId="77777777" w:rsidR="00B2442D" w:rsidRDefault="008A645F">
      <w:pPr>
        <w:ind w:left="426" w:hanging="426"/>
        <w:jc w:val="both"/>
        <w:rPr>
          <w:rFonts w:ascii="Arial" w:hAnsi="Arial" w:cs="Arial"/>
          <w:lang w:val="es-CO"/>
        </w:rPr>
      </w:pPr>
      <w:r>
        <w:rPr>
          <w:rFonts w:ascii="Arial" w:hAnsi="Arial" w:cs="Arial"/>
          <w:lang w:val="es-CO"/>
        </w:rPr>
        <w:t>m) Firma de las partes intervinientes.</w:t>
      </w:r>
    </w:p>
    <w:p w14:paraId="07921D78" w14:textId="77777777" w:rsidR="00B2442D" w:rsidRDefault="00B2442D">
      <w:pPr>
        <w:jc w:val="both"/>
        <w:rPr>
          <w:rFonts w:ascii="Arial" w:hAnsi="Arial" w:cs="Arial"/>
          <w:lang w:val="es-CO"/>
        </w:rPr>
      </w:pPr>
    </w:p>
    <w:p w14:paraId="0B814B7B" w14:textId="77777777" w:rsidR="00B2442D" w:rsidRDefault="008A645F">
      <w:pPr>
        <w:jc w:val="both"/>
        <w:rPr>
          <w:rFonts w:ascii="Arial" w:hAnsi="Arial" w:cs="Arial"/>
          <w:i/>
          <w:lang w:val="es-CO"/>
        </w:rPr>
      </w:pPr>
      <w:r>
        <w:rPr>
          <w:rFonts w:ascii="Arial" w:hAnsi="Arial" w:cs="Arial"/>
          <w:i/>
          <w:lang w:val="es-CO"/>
        </w:rPr>
        <w:t>(Art. 19,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w:t>
      </w:r>
      <w:r>
        <w:rPr>
          <w:rFonts w:ascii="Arial" w:hAnsi="Arial" w:cs="Arial"/>
          <w:i/>
          <w:lang w:val="es-CO"/>
        </w:rPr>
        <w:t>, el Decreto número 4349 de 2004. Art. 26, Decreto 3030 de 2013)</w:t>
      </w:r>
    </w:p>
    <w:p w14:paraId="7A395AB6" w14:textId="77777777" w:rsidR="00B2442D" w:rsidRDefault="00B2442D">
      <w:pPr>
        <w:jc w:val="both"/>
        <w:rPr>
          <w:rFonts w:ascii="Arial" w:hAnsi="Arial" w:cs="Arial"/>
          <w:lang w:val="es-CO"/>
        </w:rPr>
      </w:pPr>
    </w:p>
    <w:p w14:paraId="0559FEB1"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Modificación del Acuerdo Anticipado de Precios.</w:t>
      </w:r>
      <w:r>
        <w:rPr>
          <w:rFonts w:ascii="Arial" w:hAnsi="Arial" w:cs="Arial"/>
          <w:lang w:val="es-CO"/>
        </w:rPr>
        <w:t xml:space="preserve"> Cuando se presenten variaciones significativas de los supuestos considerados en el momento de la suscripción del Acuerdo, el mismo podrá ser m</w:t>
      </w:r>
      <w:r>
        <w:rPr>
          <w:rFonts w:ascii="Arial" w:hAnsi="Arial" w:cs="Arial"/>
          <w:lang w:val="es-CO"/>
        </w:rPr>
        <w:t>odificado para adecuarlo a las nuevas circunstancias, a iniciativa del contribuyente o de la Unidad Administrativa Especial Dirección de Impuestos y Aduanas Nacionales- DIAN.</w:t>
      </w:r>
    </w:p>
    <w:p w14:paraId="688C8877" w14:textId="77777777" w:rsidR="00B2442D" w:rsidRDefault="00B2442D">
      <w:pPr>
        <w:jc w:val="both"/>
        <w:rPr>
          <w:rFonts w:ascii="Arial" w:hAnsi="Arial" w:cs="Arial"/>
          <w:lang w:val="es-CO"/>
        </w:rPr>
      </w:pPr>
    </w:p>
    <w:p w14:paraId="725C37F6" w14:textId="77777777" w:rsidR="00B2442D" w:rsidRDefault="008A645F">
      <w:pPr>
        <w:jc w:val="both"/>
        <w:rPr>
          <w:rFonts w:ascii="Arial" w:hAnsi="Arial" w:cs="Arial"/>
          <w:lang w:val="es-CO"/>
        </w:rPr>
      </w:pPr>
      <w:r>
        <w:rPr>
          <w:rFonts w:ascii="Arial" w:hAnsi="Arial" w:cs="Arial"/>
          <w:lang w:val="es-CO"/>
        </w:rPr>
        <w:t>Se entenderán como variaciones significativas las derivadas de cualquier hecho o</w:t>
      </w:r>
      <w:r>
        <w:rPr>
          <w:rFonts w:ascii="Arial" w:hAnsi="Arial" w:cs="Arial"/>
          <w:lang w:val="es-CO"/>
        </w:rPr>
        <w:t xml:space="preserve"> circunstancia que representen un cambio en los supuestos básicos del Acuerdo y cuyo efecto en los precios, montos de contraprestación o márgenes de utilidad contradiga los fundamentos del mismo.</w:t>
      </w:r>
    </w:p>
    <w:p w14:paraId="56DBC670" w14:textId="77777777" w:rsidR="00B2442D" w:rsidRDefault="00B2442D">
      <w:pPr>
        <w:jc w:val="both"/>
        <w:rPr>
          <w:rFonts w:ascii="Arial" w:hAnsi="Arial" w:cs="Arial"/>
          <w:lang w:val="es-CO"/>
        </w:rPr>
      </w:pPr>
    </w:p>
    <w:p w14:paraId="48588A15"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solicitud de modificación del Acuerdo por iniciativa del contribuyente deberá ser presentada dentro de los dos (2) meses siguientes a la ocurrencia de los hechos o circunstancias que dan lugar a la solicitud.</w:t>
      </w:r>
    </w:p>
    <w:p w14:paraId="07B627D7" w14:textId="77777777" w:rsidR="00B2442D" w:rsidRDefault="00B2442D">
      <w:pPr>
        <w:jc w:val="both"/>
        <w:rPr>
          <w:rFonts w:ascii="Arial" w:hAnsi="Arial" w:cs="Arial"/>
          <w:lang w:val="es-CO"/>
        </w:rPr>
      </w:pPr>
    </w:p>
    <w:p w14:paraId="72231F45" w14:textId="77777777" w:rsidR="00B2442D" w:rsidRDefault="008A645F">
      <w:pPr>
        <w:jc w:val="both"/>
        <w:rPr>
          <w:rFonts w:ascii="Arial" w:hAnsi="Arial" w:cs="Arial"/>
          <w:lang w:val="es-CO"/>
        </w:rPr>
      </w:pPr>
      <w:r>
        <w:rPr>
          <w:rFonts w:ascii="Arial" w:hAnsi="Arial" w:cs="Arial"/>
          <w:lang w:val="es-CO"/>
        </w:rPr>
        <w:t>En la solicitud se deberán expresar las ra</w:t>
      </w:r>
      <w:r>
        <w:rPr>
          <w:rFonts w:ascii="Arial" w:hAnsi="Arial" w:cs="Arial"/>
          <w:lang w:val="es-CO"/>
        </w:rPr>
        <w:t>zones que justifican las variaciones significativas de los supuestos iníciales y proponer las modificaciones que al tenor de dichas variaciones resultan procedentes.</w:t>
      </w:r>
    </w:p>
    <w:p w14:paraId="487394CC" w14:textId="77777777" w:rsidR="00B2442D" w:rsidRDefault="00B2442D">
      <w:pPr>
        <w:jc w:val="both"/>
        <w:rPr>
          <w:rFonts w:ascii="Arial" w:hAnsi="Arial" w:cs="Arial"/>
          <w:lang w:val="es-CO"/>
        </w:rPr>
      </w:pPr>
    </w:p>
    <w:p w14:paraId="15204455" w14:textId="77777777" w:rsidR="00B2442D" w:rsidRDefault="008A645F">
      <w:pPr>
        <w:jc w:val="both"/>
        <w:rPr>
          <w:rFonts w:ascii="Arial" w:hAnsi="Arial" w:cs="Arial"/>
          <w:lang w:val="es-CO"/>
        </w:rPr>
      </w:pPr>
      <w:r>
        <w:rPr>
          <w:rFonts w:ascii="Arial" w:hAnsi="Arial" w:cs="Arial"/>
          <w:lang w:val="es-CO"/>
        </w:rPr>
        <w:t xml:space="preserve">Una vez examinada la documentación aportada, dentro de los dos (2) meses siguientes a la </w:t>
      </w:r>
      <w:r>
        <w:rPr>
          <w:rFonts w:ascii="Arial" w:hAnsi="Arial" w:cs="Arial"/>
          <w:lang w:val="es-CO"/>
        </w:rPr>
        <w:t>fecha de presentación de la solicitud, la Unidad Administrativa Especial Dirección de Impuestos y Aduanas Nacionales- DIAN podrá mediante resolución motivada:</w:t>
      </w:r>
    </w:p>
    <w:p w14:paraId="11EA2BC7" w14:textId="77777777" w:rsidR="00B2442D" w:rsidRDefault="00B2442D">
      <w:pPr>
        <w:jc w:val="both"/>
        <w:rPr>
          <w:rFonts w:ascii="Arial" w:hAnsi="Arial" w:cs="Arial"/>
          <w:lang w:val="es-CO"/>
        </w:rPr>
      </w:pPr>
    </w:p>
    <w:p w14:paraId="5F9E1BED"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Aprobar la modificación, en cuyo caso el Acuerdo modificado surtirá efectos en el periodo gr</w:t>
      </w:r>
      <w:r>
        <w:rPr>
          <w:rFonts w:ascii="Arial" w:hAnsi="Arial" w:cs="Arial"/>
          <w:lang w:val="es-CO"/>
        </w:rPr>
        <w:t>avable en el cual se solicitó la modificación y hasta la terminación del periodo de vigencia del Acuerdo inicial.</w:t>
      </w:r>
    </w:p>
    <w:p w14:paraId="4FA23A80" w14:textId="77777777" w:rsidR="00B2442D" w:rsidRDefault="00B2442D">
      <w:pPr>
        <w:ind w:left="426" w:hanging="426"/>
        <w:jc w:val="both"/>
        <w:rPr>
          <w:rFonts w:ascii="Arial" w:hAnsi="Arial" w:cs="Arial"/>
          <w:lang w:val="es-CO"/>
        </w:rPr>
      </w:pPr>
    </w:p>
    <w:p w14:paraId="1DAB0D74"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Rechazar la solicitud de modificación, en cuyo caso procederá dentro de los quince (15) días siguientes a su notificación, el recurso de </w:t>
      </w:r>
      <w:r>
        <w:rPr>
          <w:rFonts w:ascii="Arial" w:hAnsi="Arial" w:cs="Arial"/>
          <w:lang w:val="es-CO"/>
        </w:rPr>
        <w:t>reposición de que trata el artículo 260-10 del Estatuto Tributario. La Administración Tributaria tendrá un término de dos (2) meses contados a partir de su interposición para resolver el recurso.</w:t>
      </w:r>
    </w:p>
    <w:p w14:paraId="462FE385" w14:textId="77777777" w:rsidR="00B2442D" w:rsidRDefault="00B2442D">
      <w:pPr>
        <w:jc w:val="both"/>
        <w:rPr>
          <w:rFonts w:ascii="Arial" w:hAnsi="Arial" w:cs="Arial"/>
          <w:lang w:val="es-CO"/>
        </w:rPr>
      </w:pPr>
    </w:p>
    <w:p w14:paraId="363850F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la Unidad Administrativa Especial Dire</w:t>
      </w:r>
      <w:r>
        <w:rPr>
          <w:rFonts w:ascii="Arial" w:hAnsi="Arial" w:cs="Arial"/>
          <w:lang w:val="es-CO"/>
        </w:rPr>
        <w:t xml:space="preserve">cción de Impuestos y Aduanas Nacionales- DIAN establezca que se han presentado variaciones significativas en los supuestos considerados al momento de suscribir el Acuerdo, podrá notificar al contribuyente sobre tal situación. El contribuyente dispondrá de </w:t>
      </w:r>
      <w:r>
        <w:rPr>
          <w:rFonts w:ascii="Arial" w:hAnsi="Arial" w:cs="Arial"/>
          <w:lang w:val="es-CO"/>
        </w:rPr>
        <w:t>un (1) mes contado a partir de la notificación, para formular una modificación debidamente justificada o exponer y comprobar las razones que le asisten para considerar que no se han dado las variaciones sustanciales que ameritan la modificación del Acuerdo</w:t>
      </w:r>
      <w:r>
        <w:rPr>
          <w:rFonts w:ascii="Arial" w:hAnsi="Arial" w:cs="Arial"/>
          <w:lang w:val="es-CO"/>
        </w:rPr>
        <w:t xml:space="preserve"> Anticipado de Precios.</w:t>
      </w:r>
    </w:p>
    <w:p w14:paraId="2987D46D" w14:textId="77777777" w:rsidR="00B2442D" w:rsidRDefault="00B2442D">
      <w:pPr>
        <w:jc w:val="both"/>
        <w:rPr>
          <w:rFonts w:ascii="Arial" w:hAnsi="Arial" w:cs="Arial"/>
          <w:lang w:val="es-CO"/>
        </w:rPr>
      </w:pPr>
    </w:p>
    <w:p w14:paraId="5AED1D42" w14:textId="77777777" w:rsidR="00B2442D" w:rsidRDefault="008A645F">
      <w:pPr>
        <w:jc w:val="both"/>
        <w:rPr>
          <w:rFonts w:ascii="Arial" w:hAnsi="Arial" w:cs="Arial"/>
          <w:lang w:val="es-CO"/>
        </w:rPr>
      </w:pPr>
      <w:r>
        <w:rPr>
          <w:rFonts w:ascii="Arial" w:hAnsi="Arial" w:cs="Arial"/>
          <w:lang w:val="es-CO"/>
        </w:rPr>
        <w:t>Si vencido este plazo el contribuyente no presenta la correspondiente modificación o no expone por escrito y comprueba suficientemente las razones para no efectuarla, la Unidad Administrativa Especial Dirección de Impuestos y Aduan</w:t>
      </w:r>
      <w:r>
        <w:rPr>
          <w:rFonts w:ascii="Arial" w:hAnsi="Arial" w:cs="Arial"/>
          <w:lang w:val="es-CO"/>
        </w:rPr>
        <w:t>as Nacionales- DIAN cancelará el Acuerdo, mediante resolución debidamente motivada, dejándolo sin efecto en relación con las operaciones que se realicen con posterioridad a la misma.</w:t>
      </w:r>
    </w:p>
    <w:p w14:paraId="558847A4" w14:textId="77777777" w:rsidR="00B2442D" w:rsidRDefault="00B2442D">
      <w:pPr>
        <w:jc w:val="both"/>
        <w:rPr>
          <w:rFonts w:ascii="Arial" w:hAnsi="Arial" w:cs="Arial"/>
          <w:lang w:val="es-CO"/>
        </w:rPr>
      </w:pPr>
    </w:p>
    <w:p w14:paraId="6831302C" w14:textId="77777777" w:rsidR="00B2442D" w:rsidRDefault="008A645F">
      <w:pPr>
        <w:jc w:val="both"/>
        <w:rPr>
          <w:rFonts w:ascii="Arial" w:hAnsi="Arial" w:cs="Arial"/>
          <w:i/>
          <w:lang w:val="es-CO"/>
        </w:rPr>
      </w:pPr>
      <w:r>
        <w:rPr>
          <w:rFonts w:ascii="Arial" w:hAnsi="Arial" w:cs="Arial"/>
          <w:i/>
          <w:lang w:val="es-CO"/>
        </w:rPr>
        <w:t>(Art. 20, Decreto 3030 de 2013)</w:t>
      </w:r>
      <w:r>
        <w:rPr>
          <w:rFonts w:ascii="Arial" w:hAnsi="Arial" w:cs="Arial"/>
        </w:rPr>
        <w:t xml:space="preserve"> </w:t>
      </w:r>
      <w:r>
        <w:rPr>
          <w:rFonts w:ascii="Arial" w:hAnsi="Arial" w:cs="Arial"/>
          <w:i/>
          <w:lang w:val="es-CO"/>
        </w:rPr>
        <w:t xml:space="preserve">(El Decreto 3030 de 2013 rige a </w:t>
      </w:r>
      <w:r>
        <w:rPr>
          <w:rFonts w:ascii="Arial" w:hAnsi="Arial" w:cs="Arial"/>
          <w:i/>
          <w:lang w:val="es-CO"/>
        </w:rPr>
        <w:t>partir de la fecha de su publicación y deroga las normas que le sean contrarias, en especial, el Decreto número 4349 de 2004. Art. 26, Decreto 3030 de 2013)</w:t>
      </w:r>
    </w:p>
    <w:p w14:paraId="421200C5" w14:textId="77777777" w:rsidR="00B2442D" w:rsidRDefault="00B2442D">
      <w:pPr>
        <w:jc w:val="both"/>
        <w:rPr>
          <w:rFonts w:ascii="Arial" w:hAnsi="Arial" w:cs="Arial"/>
          <w:lang w:val="es-CO"/>
        </w:rPr>
      </w:pPr>
    </w:p>
    <w:p w14:paraId="47B457EA"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Formas de terminación de los Acuerdos Anticipados de Precios.</w:t>
      </w:r>
      <w:r>
        <w:rPr>
          <w:rFonts w:ascii="Arial" w:hAnsi="Arial" w:cs="Arial"/>
          <w:lang w:val="es-CO"/>
        </w:rPr>
        <w:t xml:space="preserve"> Los Acuerdos Anticipados de Precios </w:t>
      </w:r>
      <w:r>
        <w:rPr>
          <w:rFonts w:ascii="Arial" w:hAnsi="Arial" w:cs="Arial"/>
          <w:lang w:val="es-CO"/>
        </w:rPr>
        <w:t>pueden darse por terminados por:</w:t>
      </w:r>
    </w:p>
    <w:p w14:paraId="6C9D7762" w14:textId="77777777" w:rsidR="00B2442D" w:rsidRDefault="00B2442D">
      <w:pPr>
        <w:jc w:val="both"/>
        <w:rPr>
          <w:rFonts w:ascii="Arial" w:hAnsi="Arial" w:cs="Arial"/>
          <w:lang w:val="es-CO"/>
        </w:rPr>
      </w:pPr>
    </w:p>
    <w:p w14:paraId="6FF9E076" w14:textId="77777777" w:rsidR="00B2442D" w:rsidRDefault="008A645F">
      <w:pPr>
        <w:ind w:left="284" w:hanging="284"/>
        <w:jc w:val="both"/>
        <w:rPr>
          <w:rFonts w:ascii="Arial" w:hAnsi="Arial" w:cs="Arial"/>
          <w:lang w:val="es-CO"/>
        </w:rPr>
      </w:pPr>
      <w:r>
        <w:rPr>
          <w:rFonts w:ascii="Arial" w:hAnsi="Arial" w:cs="Arial"/>
          <w:b/>
          <w:lang w:val="es-CO"/>
        </w:rPr>
        <w:t>a)</w:t>
      </w:r>
      <w:r>
        <w:rPr>
          <w:rFonts w:ascii="Arial" w:hAnsi="Arial" w:cs="Arial"/>
          <w:b/>
          <w:lang w:val="es-CO"/>
        </w:rPr>
        <w:tab/>
        <w:t xml:space="preserve"> Cancelación por incumplimiento. </w:t>
      </w:r>
      <w:r>
        <w:rPr>
          <w:rFonts w:ascii="Arial" w:hAnsi="Arial" w:cs="Arial"/>
          <w:lang w:val="es-CO"/>
        </w:rPr>
        <w:t xml:space="preserve">Se presenta cuando la Unidad Administrativa Especial Dirección de Impuestos y Aduanas Nacionales- DIAN establece que el contribuyente ha incumplido alguna de las condiciones pactadas en </w:t>
      </w:r>
      <w:r>
        <w:rPr>
          <w:rFonts w:ascii="Arial" w:hAnsi="Arial" w:cs="Arial"/>
          <w:lang w:val="es-CO"/>
        </w:rPr>
        <w:t>el Acuerdo, en cuyo caso lo dejará sin efecto mediante resolución debidamente motivada, en relación con las operaciones que se realicen con posterioridad al momento en el cual el contribuyente incumplió alguna de las condiciones pactadas.</w:t>
      </w:r>
    </w:p>
    <w:p w14:paraId="6025046E" w14:textId="77777777" w:rsidR="00B2442D" w:rsidRDefault="00B2442D">
      <w:pPr>
        <w:ind w:left="284" w:hanging="284"/>
        <w:jc w:val="both"/>
        <w:rPr>
          <w:rFonts w:ascii="Arial" w:hAnsi="Arial" w:cs="Arial"/>
          <w:lang w:val="es-CO"/>
        </w:rPr>
      </w:pPr>
    </w:p>
    <w:p w14:paraId="0727C9A7" w14:textId="77777777" w:rsidR="00B2442D" w:rsidRDefault="008A645F">
      <w:pPr>
        <w:ind w:left="284" w:hanging="284"/>
        <w:jc w:val="both"/>
        <w:rPr>
          <w:rFonts w:ascii="Arial" w:hAnsi="Arial" w:cs="Arial"/>
          <w:lang w:val="es-CO"/>
        </w:rPr>
      </w:pPr>
      <w:r>
        <w:rPr>
          <w:rFonts w:ascii="Arial" w:hAnsi="Arial" w:cs="Arial"/>
          <w:b/>
          <w:lang w:val="es-CO"/>
        </w:rPr>
        <w:t>b)</w:t>
      </w:r>
      <w:r>
        <w:rPr>
          <w:rFonts w:ascii="Arial" w:hAnsi="Arial" w:cs="Arial"/>
          <w:b/>
          <w:lang w:val="es-CO"/>
        </w:rPr>
        <w:tab/>
        <w:t xml:space="preserve"> Cancelación </w:t>
      </w:r>
      <w:r>
        <w:rPr>
          <w:rFonts w:ascii="Arial" w:hAnsi="Arial" w:cs="Arial"/>
          <w:b/>
          <w:lang w:val="es-CO"/>
        </w:rPr>
        <w:t>por la no presentación de la solicitud de modificación.</w:t>
      </w:r>
      <w:r>
        <w:rPr>
          <w:rFonts w:ascii="Arial" w:hAnsi="Arial" w:cs="Arial"/>
          <w:lang w:val="es-CO"/>
        </w:rPr>
        <w:t xml:space="preserve"> Se presenta cuando la Unidad Administrativa Especial Dirección de Impuestos y Aduanas Nacionales- DIAN establece que han surgido variaciones significativas en los supuestos considerados al momento de </w:t>
      </w:r>
      <w:r>
        <w:rPr>
          <w:rFonts w:ascii="Arial" w:hAnsi="Arial" w:cs="Arial"/>
          <w:lang w:val="es-CO"/>
        </w:rPr>
        <w:t>suscribir el acuerdo y el contribuyente dentro del término establecido en el parágrafo 2o del artículo 1.2.2.4.7 del presente Decreto, no presenta la correspondiente solicitud de modificación al Acuerdo o no expone ni comprueba suficientemente, por escrito</w:t>
      </w:r>
      <w:r>
        <w:rPr>
          <w:rFonts w:ascii="Arial" w:hAnsi="Arial" w:cs="Arial"/>
          <w:lang w:val="es-CO"/>
        </w:rPr>
        <w:t xml:space="preserve"> las razones para no efectuar la modificación.</w:t>
      </w:r>
    </w:p>
    <w:p w14:paraId="1C6FCF68" w14:textId="77777777" w:rsidR="00B2442D" w:rsidRDefault="00B2442D">
      <w:pPr>
        <w:ind w:left="284" w:hanging="284"/>
        <w:jc w:val="both"/>
        <w:rPr>
          <w:rFonts w:ascii="Arial" w:hAnsi="Arial" w:cs="Arial"/>
          <w:lang w:val="es-CO"/>
        </w:rPr>
      </w:pPr>
    </w:p>
    <w:p w14:paraId="0874840E" w14:textId="77777777" w:rsidR="00B2442D" w:rsidRDefault="008A645F">
      <w:pPr>
        <w:ind w:left="284"/>
        <w:jc w:val="both"/>
        <w:rPr>
          <w:rFonts w:ascii="Arial" w:hAnsi="Arial" w:cs="Arial"/>
          <w:lang w:val="es-CO"/>
        </w:rPr>
      </w:pPr>
      <w:r>
        <w:rPr>
          <w:rFonts w:ascii="Arial" w:hAnsi="Arial" w:cs="Arial"/>
          <w:lang w:val="es-CO"/>
        </w:rPr>
        <w:t>La Unidad Administrativa Especial Dirección de Impuestos y Aduanas Nacionales- DIAN dejará sin efecto el Acuerdo mediante resolución debidamente motivada, en relación con las operaciones que se realicen con p</w:t>
      </w:r>
      <w:r>
        <w:rPr>
          <w:rFonts w:ascii="Arial" w:hAnsi="Arial" w:cs="Arial"/>
          <w:lang w:val="es-CO"/>
        </w:rPr>
        <w:t>osterioridad a las variaciones significativas en los supuestos.</w:t>
      </w:r>
    </w:p>
    <w:p w14:paraId="78FAB432" w14:textId="77777777" w:rsidR="00B2442D" w:rsidRDefault="00B2442D">
      <w:pPr>
        <w:ind w:left="284" w:hanging="284"/>
        <w:jc w:val="both"/>
        <w:rPr>
          <w:rFonts w:ascii="Arial" w:hAnsi="Arial" w:cs="Arial"/>
          <w:lang w:val="es-CO"/>
        </w:rPr>
      </w:pPr>
    </w:p>
    <w:p w14:paraId="44DFDB53" w14:textId="77777777" w:rsidR="00B2442D" w:rsidRDefault="008A645F">
      <w:pPr>
        <w:ind w:left="284" w:hanging="284"/>
        <w:jc w:val="both"/>
        <w:rPr>
          <w:rFonts w:ascii="Arial" w:hAnsi="Arial" w:cs="Arial"/>
          <w:lang w:val="es-CO"/>
        </w:rPr>
      </w:pPr>
      <w:r>
        <w:rPr>
          <w:rFonts w:ascii="Arial" w:hAnsi="Arial" w:cs="Arial"/>
          <w:b/>
          <w:lang w:val="es-CO"/>
        </w:rPr>
        <w:t>c)</w:t>
      </w:r>
      <w:r>
        <w:rPr>
          <w:rFonts w:ascii="Arial" w:hAnsi="Arial" w:cs="Arial"/>
          <w:b/>
          <w:lang w:val="es-CO"/>
        </w:rPr>
        <w:tab/>
        <w:t xml:space="preserve"> Revocatoria.</w:t>
      </w:r>
      <w:r>
        <w:rPr>
          <w:rFonts w:ascii="Arial" w:hAnsi="Arial" w:cs="Arial"/>
          <w:lang w:val="es-CO"/>
        </w:rPr>
        <w:t xml:space="preserve"> Se presenta cuando la Unidad Administrativa Especial Dirección de Impuestos y Aduanas Nacionales- DIAN establece que durante cualquiera de las etapas de negociación o de susc</w:t>
      </w:r>
      <w:r>
        <w:rPr>
          <w:rFonts w:ascii="Arial" w:hAnsi="Arial" w:cs="Arial"/>
          <w:lang w:val="es-CO"/>
        </w:rPr>
        <w:t>ripción del Acuerdo o durante la vigencia del mismo, el contribuyente suministró información que no corresponde con la realidad.</w:t>
      </w:r>
    </w:p>
    <w:p w14:paraId="5AEDCE0D" w14:textId="77777777" w:rsidR="00B2442D" w:rsidRDefault="00B2442D">
      <w:pPr>
        <w:ind w:left="284" w:hanging="284"/>
        <w:jc w:val="both"/>
        <w:rPr>
          <w:rFonts w:ascii="Arial" w:hAnsi="Arial" w:cs="Arial"/>
          <w:lang w:val="es-CO"/>
        </w:rPr>
      </w:pPr>
    </w:p>
    <w:p w14:paraId="7006ACD3" w14:textId="77777777" w:rsidR="00B2442D" w:rsidRDefault="008A645F">
      <w:pPr>
        <w:ind w:left="284"/>
        <w:jc w:val="both"/>
        <w:rPr>
          <w:rFonts w:ascii="Arial" w:hAnsi="Arial" w:cs="Arial"/>
          <w:lang w:val="es-CO"/>
        </w:rPr>
      </w:pPr>
      <w:r>
        <w:rPr>
          <w:rFonts w:ascii="Arial" w:hAnsi="Arial" w:cs="Arial"/>
          <w:lang w:val="es-CO"/>
        </w:rPr>
        <w:t>En este caso, el Acuerdo quedará sin efecto a partir de la fecha de su suscripción mediante resolución debidamente motivada.</w:t>
      </w:r>
    </w:p>
    <w:p w14:paraId="4B210E44" w14:textId="77777777" w:rsidR="00B2442D" w:rsidRDefault="00B2442D">
      <w:pPr>
        <w:ind w:left="284" w:hanging="284"/>
        <w:jc w:val="both"/>
        <w:rPr>
          <w:rFonts w:ascii="Arial" w:hAnsi="Arial" w:cs="Arial"/>
          <w:lang w:val="es-CO"/>
        </w:rPr>
      </w:pPr>
    </w:p>
    <w:p w14:paraId="4E2D2B08" w14:textId="77777777" w:rsidR="00B2442D" w:rsidRDefault="008A645F">
      <w:pPr>
        <w:ind w:left="284" w:hanging="284"/>
        <w:jc w:val="both"/>
        <w:rPr>
          <w:rFonts w:ascii="Arial" w:hAnsi="Arial" w:cs="Arial"/>
          <w:lang w:val="es-CO"/>
        </w:rPr>
      </w:pPr>
      <w:r>
        <w:rPr>
          <w:rFonts w:ascii="Arial" w:hAnsi="Arial" w:cs="Arial"/>
          <w:b/>
          <w:lang w:val="es-CO"/>
        </w:rPr>
        <w:t>d)</w:t>
      </w:r>
      <w:r>
        <w:rPr>
          <w:rFonts w:ascii="Arial" w:hAnsi="Arial" w:cs="Arial"/>
          <w:b/>
          <w:lang w:val="es-CO"/>
        </w:rPr>
        <w:tab/>
        <w:t xml:space="preserve"> Terminación por mutuo acuerdo.</w:t>
      </w:r>
      <w:r>
        <w:rPr>
          <w:rFonts w:ascii="Arial" w:hAnsi="Arial" w:cs="Arial"/>
          <w:lang w:val="es-CO"/>
        </w:rPr>
        <w:t xml:space="preserve"> Se presenta en cualquier momento durante el término de vigencia del Acuerdo, cuando las partes deciden darlo por terminado, de lo cual se dejará constancia en un Acta, contra la cual no procede recurso alguno.</w:t>
      </w:r>
    </w:p>
    <w:p w14:paraId="35D8B410" w14:textId="77777777" w:rsidR="00B2442D" w:rsidRDefault="00B2442D">
      <w:pPr>
        <w:jc w:val="both"/>
        <w:rPr>
          <w:rFonts w:ascii="Arial" w:hAnsi="Arial" w:cs="Arial"/>
          <w:lang w:val="es-CO"/>
        </w:rPr>
      </w:pPr>
    </w:p>
    <w:p w14:paraId="5580A1B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Contra las resoluciones de que tratan los literales a), b) y c) del presente artículo, procede dentro de los quince (15) días siguientes a su notificación, el recurso de reposición consagrado en el artículo 260-10 del Estatuto Tributario. La Administració</w:t>
      </w:r>
      <w:r>
        <w:rPr>
          <w:rFonts w:ascii="Arial" w:hAnsi="Arial" w:cs="Arial"/>
          <w:lang w:val="es-CO"/>
        </w:rPr>
        <w:t>n Tributaria tendrá un término de dos (2) meses contados a partir de su interposición para resolver el recurso.</w:t>
      </w:r>
    </w:p>
    <w:p w14:paraId="42C852B4" w14:textId="77777777" w:rsidR="00B2442D" w:rsidRDefault="00B2442D">
      <w:pPr>
        <w:jc w:val="both"/>
        <w:rPr>
          <w:rFonts w:ascii="Arial" w:hAnsi="Arial" w:cs="Arial"/>
          <w:lang w:val="es-CO"/>
        </w:rPr>
      </w:pPr>
    </w:p>
    <w:p w14:paraId="1A1994D7" w14:textId="77777777" w:rsidR="00B2442D" w:rsidRDefault="008A645F">
      <w:pPr>
        <w:jc w:val="both"/>
        <w:rPr>
          <w:rFonts w:ascii="Arial" w:hAnsi="Arial" w:cs="Arial"/>
          <w:i/>
          <w:lang w:val="es-CO"/>
        </w:rPr>
      </w:pPr>
      <w:r>
        <w:rPr>
          <w:rFonts w:ascii="Arial" w:hAnsi="Arial" w:cs="Arial"/>
          <w:i/>
          <w:lang w:val="es-CO"/>
        </w:rPr>
        <w:t>(Art. 21,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w:t>
      </w:r>
      <w:r>
        <w:rPr>
          <w:rFonts w:ascii="Arial" w:hAnsi="Arial" w:cs="Arial"/>
          <w:i/>
          <w:lang w:val="es-CO"/>
        </w:rPr>
        <w:t>, en especial, el Decreto número 4349 de 2004. Art. 26, Decreto 3030 de 2013)</w:t>
      </w:r>
    </w:p>
    <w:p w14:paraId="626FC097" w14:textId="77777777" w:rsidR="00B2442D" w:rsidRDefault="00B2442D">
      <w:pPr>
        <w:jc w:val="both"/>
        <w:rPr>
          <w:rFonts w:ascii="Arial" w:hAnsi="Arial" w:cs="Arial"/>
          <w:lang w:val="es-CO"/>
        </w:rPr>
      </w:pPr>
    </w:p>
    <w:p w14:paraId="743C3B71" w14:textId="77777777" w:rsidR="00B2442D" w:rsidRDefault="008A645F">
      <w:pPr>
        <w:pStyle w:val="Prrafodelista"/>
        <w:numPr>
          <w:ilvl w:val="0"/>
          <w:numId w:val="43"/>
        </w:numPr>
        <w:ind w:left="0" w:firstLine="0"/>
        <w:jc w:val="both"/>
        <w:rPr>
          <w:rFonts w:ascii="Arial" w:hAnsi="Arial" w:cs="Arial"/>
          <w:lang w:val="es-CO"/>
        </w:rPr>
      </w:pPr>
      <w:r>
        <w:rPr>
          <w:rFonts w:ascii="Arial" w:hAnsi="Arial" w:cs="Arial"/>
          <w:b/>
          <w:i/>
          <w:lang w:val="es-CO"/>
        </w:rPr>
        <w:t xml:space="preserve">Informe sobre el cumplimiento de los términos y condiciones del acuerdo. </w:t>
      </w:r>
      <w:r>
        <w:rPr>
          <w:rFonts w:ascii="Arial" w:hAnsi="Arial" w:cs="Arial"/>
          <w:lang w:val="es-CO"/>
        </w:rPr>
        <w:t>Simultáneamente en las mismas fechas que determine el Gobierno Nacional para la presentación de la decla</w:t>
      </w:r>
      <w:r>
        <w:rPr>
          <w:rFonts w:ascii="Arial" w:hAnsi="Arial" w:cs="Arial"/>
          <w:lang w:val="es-CO"/>
        </w:rPr>
        <w:t>ración informativa de precios de transferencia de que trata el artículo 260-9 del Estatuto Tributario, los contribuyentes que hayan celebrado un Acuerdo Anticipado de Precios con la Unidad Administrativa Especial Dirección de Impuestos y Aduanas Nacionales</w:t>
      </w:r>
      <w:r>
        <w:rPr>
          <w:rFonts w:ascii="Arial" w:hAnsi="Arial" w:cs="Arial"/>
          <w:lang w:val="es-CO"/>
        </w:rPr>
        <w:t xml:space="preserve">- DIAN y mientras el mismo surta sus efectos, deberán presentar, un informe dirigido al Director General de la Unidad Administrativa Especial Dirección de Impuestos y Aduanas Nacionales-DIAN, en el que se demuestre la conformidad de sus operaciones con el </w:t>
      </w:r>
      <w:r>
        <w:rPr>
          <w:rFonts w:ascii="Arial" w:hAnsi="Arial" w:cs="Arial"/>
          <w:lang w:val="es-CO"/>
        </w:rPr>
        <w:t>Principio de Plena Competencia y con las condiciones previstas en el Acuerdo. El informe deberá contener:</w:t>
      </w:r>
    </w:p>
    <w:p w14:paraId="45C14F0B" w14:textId="77777777" w:rsidR="00B2442D" w:rsidRDefault="00B2442D">
      <w:pPr>
        <w:jc w:val="both"/>
        <w:rPr>
          <w:rFonts w:ascii="Arial" w:hAnsi="Arial" w:cs="Arial"/>
          <w:lang w:val="es-CO"/>
        </w:rPr>
      </w:pPr>
    </w:p>
    <w:p w14:paraId="24022F8A"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Tipos de operación a los que ha sido aplicado el Acuerdo, que se hayan realizado en el periodo impositivo al que se refiere la declaración inform</w:t>
      </w:r>
      <w:r>
        <w:rPr>
          <w:rFonts w:ascii="Arial" w:hAnsi="Arial" w:cs="Arial"/>
          <w:lang w:val="es-CO"/>
        </w:rPr>
        <w:t>ativa.</w:t>
      </w:r>
    </w:p>
    <w:p w14:paraId="02E6931C" w14:textId="77777777" w:rsidR="00B2442D" w:rsidRDefault="00B2442D">
      <w:pPr>
        <w:ind w:left="284" w:hanging="284"/>
        <w:jc w:val="both"/>
        <w:rPr>
          <w:rFonts w:ascii="Arial" w:hAnsi="Arial" w:cs="Arial"/>
          <w:lang w:val="es-CO"/>
        </w:rPr>
      </w:pPr>
    </w:p>
    <w:p w14:paraId="62A641B5"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 xml:space="preserve"> Precios, montos de contraprestación o márgenes de utilidad a los que se han realizado los tipos de operación mencionadas en el literal anterior como resultado de la aplicación del Acuerdo.</w:t>
      </w:r>
    </w:p>
    <w:p w14:paraId="1F33A0DD" w14:textId="77777777" w:rsidR="00B2442D" w:rsidRDefault="00B2442D">
      <w:pPr>
        <w:ind w:left="284" w:hanging="284"/>
        <w:jc w:val="both"/>
        <w:rPr>
          <w:rFonts w:ascii="Arial" w:hAnsi="Arial" w:cs="Arial"/>
          <w:lang w:val="es-CO"/>
        </w:rPr>
      </w:pPr>
    </w:p>
    <w:p w14:paraId="1AAEFC2E"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Descripción de los supuestos fundamentales del acuerdo y la f</w:t>
      </w:r>
      <w:r>
        <w:rPr>
          <w:rFonts w:ascii="Arial" w:hAnsi="Arial" w:cs="Arial"/>
          <w:lang w:val="es-CO"/>
        </w:rPr>
        <w:t>orma en que se siguen cumpliendo.</w:t>
      </w:r>
    </w:p>
    <w:p w14:paraId="460D2589" w14:textId="77777777" w:rsidR="00B2442D" w:rsidRDefault="00B2442D">
      <w:pPr>
        <w:jc w:val="both"/>
        <w:rPr>
          <w:rFonts w:ascii="Arial" w:hAnsi="Arial" w:cs="Arial"/>
          <w:lang w:val="es-CO"/>
        </w:rPr>
      </w:pPr>
    </w:p>
    <w:p w14:paraId="0165D4C9" w14:textId="77777777" w:rsidR="00B2442D" w:rsidRDefault="008A645F">
      <w:pPr>
        <w:jc w:val="both"/>
        <w:rPr>
          <w:rFonts w:ascii="Arial" w:hAnsi="Arial" w:cs="Arial"/>
          <w:i/>
          <w:lang w:val="es-CO"/>
        </w:rPr>
      </w:pPr>
      <w:r>
        <w:rPr>
          <w:rFonts w:ascii="Arial" w:hAnsi="Arial" w:cs="Arial"/>
          <w:i/>
          <w:lang w:val="es-CO"/>
        </w:rPr>
        <w:t>(Art. 22,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3AA0D898" w14:textId="77777777" w:rsidR="00B2442D" w:rsidRDefault="00B2442D">
      <w:pPr>
        <w:jc w:val="both"/>
        <w:rPr>
          <w:rFonts w:ascii="Arial" w:hAnsi="Arial" w:cs="Arial"/>
          <w:lang w:val="es-CO"/>
        </w:rPr>
      </w:pPr>
    </w:p>
    <w:p w14:paraId="47A21430" w14:textId="77777777" w:rsidR="00B2442D" w:rsidRDefault="008A645F">
      <w:pPr>
        <w:pStyle w:val="Ttulo4"/>
      </w:pPr>
      <w:r>
        <w:t>CAPÍTULO 5</w:t>
      </w:r>
    </w:p>
    <w:p w14:paraId="2FED59FE" w14:textId="77777777" w:rsidR="00B2442D" w:rsidRDefault="008A645F">
      <w:pPr>
        <w:pStyle w:val="Ttulo4"/>
      </w:pPr>
      <w:r>
        <w:t>Paraísos fiscales</w:t>
      </w:r>
    </w:p>
    <w:p w14:paraId="3FA235F9" w14:textId="77777777" w:rsidR="00B2442D" w:rsidRDefault="00B2442D">
      <w:pPr>
        <w:rPr>
          <w:rFonts w:ascii="Arial" w:hAnsi="Arial" w:cs="Arial"/>
        </w:rPr>
      </w:pPr>
    </w:p>
    <w:p w14:paraId="4CFD5CFC" w14:textId="77777777" w:rsidR="00B2442D" w:rsidRDefault="008A645F">
      <w:pPr>
        <w:pStyle w:val="Prrafodelista"/>
        <w:numPr>
          <w:ilvl w:val="0"/>
          <w:numId w:val="44"/>
        </w:numPr>
        <w:ind w:left="0" w:firstLine="0"/>
        <w:jc w:val="both"/>
        <w:rPr>
          <w:rFonts w:ascii="Arial" w:hAnsi="Arial" w:cs="Arial"/>
        </w:rPr>
      </w:pPr>
      <w:r>
        <w:rPr>
          <w:rFonts w:ascii="Arial" w:hAnsi="Arial" w:cs="Arial"/>
          <w:b/>
          <w:i/>
        </w:rPr>
        <w:t>Paraísos fiscales.</w:t>
      </w:r>
      <w:r>
        <w:rPr>
          <w:rFonts w:ascii="Arial" w:hAnsi="Arial" w:cs="Arial"/>
        </w:rPr>
        <w:t xml:space="preserve"> De conformidad con los criterios señalados en el artículo 260-7 del Estatuto Tributario, a continuación se determinan los países, jurisdicciones, dominios, estados asociados o territorios que se consideran como paraísos fiscales:</w:t>
      </w:r>
    </w:p>
    <w:p w14:paraId="2EE50CFC" w14:textId="77777777" w:rsidR="00B2442D" w:rsidRDefault="00B2442D">
      <w:pPr>
        <w:pStyle w:val="Prrafodelista"/>
        <w:ind w:left="0"/>
        <w:jc w:val="both"/>
        <w:rPr>
          <w:rFonts w:ascii="Arial" w:hAnsi="Arial" w:cs="Arial"/>
        </w:rPr>
      </w:pPr>
    </w:p>
    <w:tbl>
      <w:tblPr>
        <w:tblW w:w="6320" w:type="dxa"/>
        <w:tblInd w:w="1497" w:type="dxa"/>
        <w:tblCellMar>
          <w:left w:w="70" w:type="dxa"/>
          <w:right w:w="70" w:type="dxa"/>
        </w:tblCellMar>
        <w:tblLook w:val="04A0" w:firstRow="1" w:lastRow="0" w:firstColumn="1" w:lastColumn="0" w:noHBand="0" w:noVBand="1"/>
      </w:tblPr>
      <w:tblGrid>
        <w:gridCol w:w="1007"/>
        <w:gridCol w:w="5320"/>
      </w:tblGrid>
      <w:tr w:rsidR="00B2442D" w14:paraId="2EE3CC45" w14:textId="77777777">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FE66E" w14:textId="77777777" w:rsidR="00B2442D" w:rsidRDefault="008A645F">
            <w:pPr>
              <w:jc w:val="center"/>
              <w:rPr>
                <w:rFonts w:ascii="Arial" w:eastAsia="Times New Roman" w:hAnsi="Arial" w:cs="Arial"/>
                <w:b/>
                <w:bCs/>
                <w:lang w:val="es-CO" w:eastAsia="es-CO"/>
              </w:rPr>
            </w:pPr>
            <w:r>
              <w:rPr>
                <w:rFonts w:ascii="Arial" w:eastAsia="Times New Roman" w:hAnsi="Arial" w:cs="Arial"/>
                <w:b/>
                <w:bCs/>
                <w:lang w:val="es-CO" w:eastAsia="es-CO"/>
              </w:rPr>
              <w:t>ORDEN</w:t>
            </w:r>
          </w:p>
        </w:tc>
        <w:tc>
          <w:tcPr>
            <w:tcW w:w="5320" w:type="dxa"/>
            <w:tcBorders>
              <w:top w:val="single" w:sz="4" w:space="0" w:color="auto"/>
              <w:left w:val="nil"/>
              <w:bottom w:val="single" w:sz="4" w:space="0" w:color="auto"/>
              <w:right w:val="single" w:sz="4" w:space="0" w:color="auto"/>
            </w:tcBorders>
            <w:shd w:val="clear" w:color="auto" w:fill="auto"/>
            <w:noWrap/>
            <w:vAlign w:val="bottom"/>
            <w:hideMark/>
          </w:tcPr>
          <w:p w14:paraId="5CA7DD5B" w14:textId="77777777" w:rsidR="00B2442D" w:rsidRDefault="008A645F">
            <w:pPr>
              <w:jc w:val="center"/>
              <w:rPr>
                <w:rFonts w:ascii="Arial" w:eastAsia="Times New Roman" w:hAnsi="Arial" w:cs="Arial"/>
                <w:b/>
                <w:bCs/>
                <w:lang w:val="es-CO" w:eastAsia="es-CO"/>
              </w:rPr>
            </w:pPr>
            <w:r>
              <w:rPr>
                <w:rFonts w:ascii="Arial" w:eastAsia="Times New Roman" w:hAnsi="Arial" w:cs="Arial"/>
                <w:b/>
                <w:bCs/>
                <w:lang w:val="es-CO" w:eastAsia="es-CO"/>
              </w:rPr>
              <w:t>PAÍS</w:t>
            </w:r>
          </w:p>
        </w:tc>
      </w:tr>
      <w:tr w:rsidR="00B2442D" w14:paraId="30246A7B"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4202F3B"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w:t>
            </w:r>
          </w:p>
        </w:tc>
        <w:tc>
          <w:tcPr>
            <w:tcW w:w="5320" w:type="dxa"/>
            <w:tcBorders>
              <w:top w:val="nil"/>
              <w:left w:val="nil"/>
              <w:bottom w:val="single" w:sz="4" w:space="0" w:color="auto"/>
              <w:right w:val="single" w:sz="4" w:space="0" w:color="auto"/>
            </w:tcBorders>
            <w:shd w:val="clear" w:color="auto" w:fill="auto"/>
            <w:noWrap/>
            <w:vAlign w:val="center"/>
            <w:hideMark/>
          </w:tcPr>
          <w:p w14:paraId="11C0E52B"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Antigua y Barbuda</w:t>
            </w:r>
          </w:p>
        </w:tc>
      </w:tr>
      <w:tr w:rsidR="00B2442D" w14:paraId="4DD6A93E"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015AB95"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w:t>
            </w:r>
          </w:p>
        </w:tc>
        <w:tc>
          <w:tcPr>
            <w:tcW w:w="5320" w:type="dxa"/>
            <w:tcBorders>
              <w:top w:val="nil"/>
              <w:left w:val="nil"/>
              <w:bottom w:val="single" w:sz="4" w:space="0" w:color="auto"/>
              <w:right w:val="single" w:sz="4" w:space="0" w:color="auto"/>
            </w:tcBorders>
            <w:shd w:val="clear" w:color="auto" w:fill="auto"/>
            <w:noWrap/>
            <w:vAlign w:val="center"/>
            <w:hideMark/>
          </w:tcPr>
          <w:p w14:paraId="5A641DC3"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Archipiélago de Svalbard</w:t>
            </w:r>
          </w:p>
        </w:tc>
      </w:tr>
      <w:tr w:rsidR="00B2442D" w14:paraId="386C32CD"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F278A1D"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w:t>
            </w:r>
          </w:p>
        </w:tc>
        <w:tc>
          <w:tcPr>
            <w:tcW w:w="5320" w:type="dxa"/>
            <w:tcBorders>
              <w:top w:val="nil"/>
              <w:left w:val="nil"/>
              <w:bottom w:val="single" w:sz="4" w:space="0" w:color="auto"/>
              <w:right w:val="single" w:sz="4" w:space="0" w:color="auto"/>
            </w:tcBorders>
            <w:shd w:val="clear" w:color="auto" w:fill="auto"/>
            <w:noWrap/>
            <w:vAlign w:val="center"/>
            <w:hideMark/>
          </w:tcPr>
          <w:p w14:paraId="6AEA4529"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Colectividad Territorial de San Pedro y Miguelón</w:t>
            </w:r>
          </w:p>
        </w:tc>
      </w:tr>
      <w:tr w:rsidR="00B2442D" w14:paraId="1A51730F"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9E5B485"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4.</w:t>
            </w:r>
          </w:p>
        </w:tc>
        <w:tc>
          <w:tcPr>
            <w:tcW w:w="5320" w:type="dxa"/>
            <w:tcBorders>
              <w:top w:val="nil"/>
              <w:left w:val="nil"/>
              <w:bottom w:val="single" w:sz="4" w:space="0" w:color="auto"/>
              <w:right w:val="single" w:sz="4" w:space="0" w:color="auto"/>
            </w:tcBorders>
            <w:shd w:val="clear" w:color="auto" w:fill="auto"/>
            <w:noWrap/>
            <w:vAlign w:val="center"/>
            <w:hideMark/>
          </w:tcPr>
          <w:p w14:paraId="6C4B282F"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Estado de Brunei Darussalam</w:t>
            </w:r>
          </w:p>
        </w:tc>
      </w:tr>
      <w:tr w:rsidR="00B2442D" w14:paraId="307146B0"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1B7D426"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5.</w:t>
            </w:r>
          </w:p>
        </w:tc>
        <w:tc>
          <w:tcPr>
            <w:tcW w:w="5320" w:type="dxa"/>
            <w:tcBorders>
              <w:top w:val="nil"/>
              <w:left w:val="nil"/>
              <w:bottom w:val="single" w:sz="4" w:space="0" w:color="auto"/>
              <w:right w:val="single" w:sz="4" w:space="0" w:color="auto"/>
            </w:tcBorders>
            <w:shd w:val="clear" w:color="auto" w:fill="auto"/>
            <w:noWrap/>
            <w:vAlign w:val="center"/>
            <w:hideMark/>
          </w:tcPr>
          <w:p w14:paraId="44529D81"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Estado de Kuwait</w:t>
            </w:r>
          </w:p>
        </w:tc>
      </w:tr>
      <w:tr w:rsidR="00B2442D" w14:paraId="28E29AAC"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4B1AC34"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6.</w:t>
            </w:r>
          </w:p>
        </w:tc>
        <w:tc>
          <w:tcPr>
            <w:tcW w:w="5320" w:type="dxa"/>
            <w:tcBorders>
              <w:top w:val="nil"/>
              <w:left w:val="nil"/>
              <w:bottom w:val="single" w:sz="4" w:space="0" w:color="auto"/>
              <w:right w:val="single" w:sz="4" w:space="0" w:color="auto"/>
            </w:tcBorders>
            <w:shd w:val="clear" w:color="auto" w:fill="auto"/>
            <w:noWrap/>
            <w:vAlign w:val="center"/>
            <w:hideMark/>
          </w:tcPr>
          <w:p w14:paraId="2F27E75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Estado de Qatar</w:t>
            </w:r>
          </w:p>
        </w:tc>
      </w:tr>
      <w:tr w:rsidR="00B2442D" w14:paraId="6CDDD7B6"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8547674"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7.</w:t>
            </w:r>
          </w:p>
        </w:tc>
        <w:tc>
          <w:tcPr>
            <w:tcW w:w="5320" w:type="dxa"/>
            <w:tcBorders>
              <w:top w:val="nil"/>
              <w:left w:val="nil"/>
              <w:bottom w:val="single" w:sz="4" w:space="0" w:color="auto"/>
              <w:right w:val="single" w:sz="4" w:space="0" w:color="auto"/>
            </w:tcBorders>
            <w:shd w:val="clear" w:color="auto" w:fill="auto"/>
            <w:noWrap/>
            <w:vAlign w:val="center"/>
            <w:hideMark/>
          </w:tcPr>
          <w:p w14:paraId="7B50FBEE"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Estado Independiente de Samoa Occidental</w:t>
            </w:r>
          </w:p>
        </w:tc>
      </w:tr>
      <w:tr w:rsidR="00B2442D" w14:paraId="40367069"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5A963DF"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8.</w:t>
            </w:r>
          </w:p>
        </w:tc>
        <w:tc>
          <w:tcPr>
            <w:tcW w:w="5320" w:type="dxa"/>
            <w:tcBorders>
              <w:top w:val="nil"/>
              <w:left w:val="nil"/>
              <w:bottom w:val="single" w:sz="4" w:space="0" w:color="auto"/>
              <w:right w:val="single" w:sz="4" w:space="0" w:color="auto"/>
            </w:tcBorders>
            <w:shd w:val="clear" w:color="auto" w:fill="auto"/>
            <w:noWrap/>
            <w:vAlign w:val="center"/>
            <w:hideMark/>
          </w:tcPr>
          <w:p w14:paraId="1E691424"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Granada</w:t>
            </w:r>
          </w:p>
        </w:tc>
      </w:tr>
      <w:tr w:rsidR="00B2442D" w14:paraId="6A95001B"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38342FE" w14:textId="77777777" w:rsidR="00B2442D" w:rsidRDefault="008A645F">
            <w:pPr>
              <w:jc w:val="center"/>
              <w:rPr>
                <w:rFonts w:ascii="Arial" w:eastAsia="Times New Roman" w:hAnsi="Arial" w:cs="Arial"/>
                <w:lang w:val="es-CO" w:eastAsia="es-CO"/>
              </w:rPr>
            </w:pPr>
            <w:r>
              <w:rPr>
                <w:rFonts w:ascii="Arial" w:eastAsia="Times New Roman" w:hAnsi="Arial" w:cs="Arial"/>
                <w:lang w:val="es-CO" w:eastAsia="es-CO"/>
              </w:rPr>
              <w:t>9.</w:t>
            </w:r>
          </w:p>
        </w:tc>
        <w:tc>
          <w:tcPr>
            <w:tcW w:w="5320" w:type="dxa"/>
            <w:tcBorders>
              <w:top w:val="nil"/>
              <w:left w:val="nil"/>
              <w:bottom w:val="single" w:sz="4" w:space="0" w:color="auto"/>
              <w:right w:val="single" w:sz="4" w:space="0" w:color="auto"/>
            </w:tcBorders>
            <w:shd w:val="clear" w:color="auto" w:fill="auto"/>
            <w:noWrap/>
            <w:vAlign w:val="center"/>
            <w:hideMark/>
          </w:tcPr>
          <w:p w14:paraId="5DADAB64"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Hong Kong</w:t>
            </w:r>
          </w:p>
        </w:tc>
      </w:tr>
      <w:tr w:rsidR="00B2442D" w14:paraId="42965B1E"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131F169" w14:textId="77777777" w:rsidR="00B2442D" w:rsidRDefault="008A645F">
            <w:pPr>
              <w:jc w:val="center"/>
              <w:rPr>
                <w:rFonts w:ascii="Arial" w:eastAsia="Times New Roman" w:hAnsi="Arial" w:cs="Arial"/>
                <w:lang w:val="es-CO" w:eastAsia="es-CO"/>
              </w:rPr>
            </w:pPr>
            <w:r>
              <w:rPr>
                <w:rFonts w:ascii="Arial" w:eastAsia="Times New Roman" w:hAnsi="Arial" w:cs="Arial"/>
                <w:lang w:val="es-CO" w:eastAsia="es-CO"/>
              </w:rPr>
              <w:t>10.</w:t>
            </w:r>
          </w:p>
        </w:tc>
        <w:tc>
          <w:tcPr>
            <w:tcW w:w="5320" w:type="dxa"/>
            <w:tcBorders>
              <w:top w:val="nil"/>
              <w:left w:val="nil"/>
              <w:bottom w:val="single" w:sz="4" w:space="0" w:color="auto"/>
              <w:right w:val="single" w:sz="4" w:space="0" w:color="auto"/>
            </w:tcBorders>
            <w:shd w:val="clear" w:color="auto" w:fill="auto"/>
            <w:noWrap/>
            <w:vAlign w:val="center"/>
            <w:hideMark/>
          </w:tcPr>
          <w:p w14:paraId="24072EAD"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Isla Queshm</w:t>
            </w:r>
          </w:p>
        </w:tc>
      </w:tr>
      <w:tr w:rsidR="00B2442D" w14:paraId="740AD032"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D32778D" w14:textId="77777777" w:rsidR="00B2442D" w:rsidRDefault="008A645F">
            <w:pPr>
              <w:jc w:val="center"/>
              <w:rPr>
                <w:rFonts w:ascii="Arial" w:eastAsia="Times New Roman" w:hAnsi="Arial" w:cs="Arial"/>
                <w:lang w:val="es-CO" w:eastAsia="es-CO"/>
              </w:rPr>
            </w:pPr>
            <w:r>
              <w:rPr>
                <w:rFonts w:ascii="Arial" w:eastAsia="Times New Roman" w:hAnsi="Arial" w:cs="Arial"/>
                <w:lang w:val="es-CO" w:eastAsia="es-CO"/>
              </w:rPr>
              <w:t>11.</w:t>
            </w:r>
          </w:p>
        </w:tc>
        <w:tc>
          <w:tcPr>
            <w:tcW w:w="5320" w:type="dxa"/>
            <w:tcBorders>
              <w:top w:val="nil"/>
              <w:left w:val="nil"/>
              <w:bottom w:val="single" w:sz="4" w:space="0" w:color="auto"/>
              <w:right w:val="single" w:sz="4" w:space="0" w:color="auto"/>
            </w:tcBorders>
            <w:shd w:val="clear" w:color="auto" w:fill="auto"/>
            <w:noWrap/>
            <w:vAlign w:val="center"/>
            <w:hideMark/>
          </w:tcPr>
          <w:p w14:paraId="3421140C"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Islas Cook</w:t>
            </w:r>
          </w:p>
        </w:tc>
      </w:tr>
      <w:tr w:rsidR="00B2442D" w14:paraId="14F6D01C"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DE20513"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12.</w:t>
            </w:r>
          </w:p>
        </w:tc>
        <w:tc>
          <w:tcPr>
            <w:tcW w:w="5320" w:type="dxa"/>
            <w:tcBorders>
              <w:top w:val="nil"/>
              <w:left w:val="nil"/>
              <w:bottom w:val="single" w:sz="4" w:space="0" w:color="auto"/>
              <w:right w:val="single" w:sz="4" w:space="0" w:color="auto"/>
            </w:tcBorders>
            <w:shd w:val="clear" w:color="auto" w:fill="auto"/>
            <w:noWrap/>
            <w:vAlign w:val="center"/>
            <w:hideMark/>
          </w:tcPr>
          <w:p w14:paraId="42E98DEF"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Islas Pitcairn, Henderson, Ducie y Oeno</w:t>
            </w:r>
          </w:p>
        </w:tc>
      </w:tr>
      <w:tr w:rsidR="00B2442D" w14:paraId="612CB8FF"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B9A842F"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13.</w:t>
            </w:r>
          </w:p>
        </w:tc>
        <w:tc>
          <w:tcPr>
            <w:tcW w:w="5320" w:type="dxa"/>
            <w:tcBorders>
              <w:top w:val="nil"/>
              <w:left w:val="nil"/>
              <w:bottom w:val="single" w:sz="4" w:space="0" w:color="auto"/>
              <w:right w:val="single" w:sz="4" w:space="0" w:color="auto"/>
            </w:tcBorders>
            <w:shd w:val="clear" w:color="auto" w:fill="auto"/>
            <w:noWrap/>
            <w:vAlign w:val="center"/>
            <w:hideMark/>
          </w:tcPr>
          <w:p w14:paraId="51CDD9E3"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Islas Salomón</w:t>
            </w:r>
          </w:p>
        </w:tc>
      </w:tr>
      <w:tr w:rsidR="00B2442D" w14:paraId="14137B89"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BC1FF2F"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14.</w:t>
            </w:r>
          </w:p>
        </w:tc>
        <w:tc>
          <w:tcPr>
            <w:tcW w:w="5320" w:type="dxa"/>
            <w:tcBorders>
              <w:top w:val="nil"/>
              <w:left w:val="nil"/>
              <w:bottom w:val="single" w:sz="4" w:space="0" w:color="auto"/>
              <w:right w:val="single" w:sz="4" w:space="0" w:color="auto"/>
            </w:tcBorders>
            <w:shd w:val="clear" w:color="auto" w:fill="auto"/>
            <w:noWrap/>
            <w:vAlign w:val="center"/>
            <w:hideMark/>
          </w:tcPr>
          <w:p w14:paraId="2C675ACF"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Labuán</w:t>
            </w:r>
          </w:p>
        </w:tc>
      </w:tr>
      <w:tr w:rsidR="00B2442D" w14:paraId="548EF69A"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A77036C"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15.</w:t>
            </w:r>
          </w:p>
        </w:tc>
        <w:tc>
          <w:tcPr>
            <w:tcW w:w="5320" w:type="dxa"/>
            <w:tcBorders>
              <w:top w:val="nil"/>
              <w:left w:val="nil"/>
              <w:bottom w:val="single" w:sz="4" w:space="0" w:color="auto"/>
              <w:right w:val="single" w:sz="4" w:space="0" w:color="auto"/>
            </w:tcBorders>
            <w:shd w:val="clear" w:color="auto" w:fill="auto"/>
            <w:noWrap/>
            <w:vAlign w:val="center"/>
            <w:hideMark/>
          </w:tcPr>
          <w:p w14:paraId="52CB191B"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Macao</w:t>
            </w:r>
          </w:p>
        </w:tc>
      </w:tr>
      <w:tr w:rsidR="00B2442D" w14:paraId="5D82E5E4"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B974AF7"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16.</w:t>
            </w:r>
          </w:p>
        </w:tc>
        <w:tc>
          <w:tcPr>
            <w:tcW w:w="5320" w:type="dxa"/>
            <w:tcBorders>
              <w:top w:val="nil"/>
              <w:left w:val="nil"/>
              <w:bottom w:val="single" w:sz="4" w:space="0" w:color="auto"/>
              <w:right w:val="single" w:sz="4" w:space="0" w:color="auto"/>
            </w:tcBorders>
            <w:shd w:val="clear" w:color="auto" w:fill="auto"/>
            <w:noWrap/>
            <w:vAlign w:val="center"/>
            <w:hideMark/>
          </w:tcPr>
          <w:p w14:paraId="4623911D"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Mancomunidad de Dominica</w:t>
            </w:r>
          </w:p>
        </w:tc>
      </w:tr>
      <w:tr w:rsidR="00B2442D" w14:paraId="234DDA1F"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1BA4C4D"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17.</w:t>
            </w:r>
          </w:p>
        </w:tc>
        <w:tc>
          <w:tcPr>
            <w:tcW w:w="5320" w:type="dxa"/>
            <w:tcBorders>
              <w:top w:val="nil"/>
              <w:left w:val="nil"/>
              <w:bottom w:val="single" w:sz="4" w:space="0" w:color="auto"/>
              <w:right w:val="single" w:sz="4" w:space="0" w:color="auto"/>
            </w:tcBorders>
            <w:shd w:val="clear" w:color="auto" w:fill="auto"/>
            <w:noWrap/>
            <w:vAlign w:val="center"/>
            <w:hideMark/>
          </w:tcPr>
          <w:p w14:paraId="630DCBBC"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Mancomunidad de las Bahamas</w:t>
            </w:r>
          </w:p>
        </w:tc>
      </w:tr>
      <w:tr w:rsidR="00B2442D" w14:paraId="4277227E"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CB5942D"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18.</w:t>
            </w:r>
          </w:p>
        </w:tc>
        <w:tc>
          <w:tcPr>
            <w:tcW w:w="5320" w:type="dxa"/>
            <w:tcBorders>
              <w:top w:val="nil"/>
              <w:left w:val="nil"/>
              <w:bottom w:val="single" w:sz="4" w:space="0" w:color="auto"/>
              <w:right w:val="single" w:sz="4" w:space="0" w:color="auto"/>
            </w:tcBorders>
            <w:shd w:val="clear" w:color="auto" w:fill="auto"/>
            <w:noWrap/>
            <w:vAlign w:val="center"/>
            <w:hideMark/>
          </w:tcPr>
          <w:p w14:paraId="5D027609"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Reino de Bahrein</w:t>
            </w:r>
          </w:p>
        </w:tc>
      </w:tr>
      <w:tr w:rsidR="00B2442D" w14:paraId="0F1B2044"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F7312D6"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19.</w:t>
            </w:r>
          </w:p>
        </w:tc>
        <w:tc>
          <w:tcPr>
            <w:tcW w:w="5320" w:type="dxa"/>
            <w:tcBorders>
              <w:top w:val="nil"/>
              <w:left w:val="nil"/>
              <w:bottom w:val="single" w:sz="4" w:space="0" w:color="auto"/>
              <w:right w:val="single" w:sz="4" w:space="0" w:color="auto"/>
            </w:tcBorders>
            <w:shd w:val="clear" w:color="auto" w:fill="auto"/>
            <w:noWrap/>
            <w:vAlign w:val="center"/>
            <w:hideMark/>
          </w:tcPr>
          <w:p w14:paraId="2CA69E7E"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Reino Hachemí de Jordania</w:t>
            </w:r>
          </w:p>
        </w:tc>
      </w:tr>
      <w:tr w:rsidR="00B2442D" w14:paraId="2900E805"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EB1980A"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20.</w:t>
            </w:r>
          </w:p>
        </w:tc>
        <w:tc>
          <w:tcPr>
            <w:tcW w:w="5320" w:type="dxa"/>
            <w:tcBorders>
              <w:top w:val="nil"/>
              <w:left w:val="nil"/>
              <w:bottom w:val="single" w:sz="4" w:space="0" w:color="auto"/>
              <w:right w:val="single" w:sz="4" w:space="0" w:color="auto"/>
            </w:tcBorders>
            <w:shd w:val="clear" w:color="auto" w:fill="auto"/>
            <w:noWrap/>
            <w:vAlign w:val="center"/>
            <w:hideMark/>
          </w:tcPr>
          <w:p w14:paraId="1E22681D"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 xml:space="preserve">República </w:t>
            </w:r>
            <w:r>
              <w:rPr>
                <w:rFonts w:ascii="Arial" w:eastAsia="Times New Roman" w:hAnsi="Arial" w:cs="Arial"/>
                <w:lang w:val="es-CO" w:eastAsia="es-CO"/>
              </w:rPr>
              <w:t>Cooperativa de Guyana</w:t>
            </w:r>
          </w:p>
        </w:tc>
      </w:tr>
      <w:tr w:rsidR="00B2442D" w14:paraId="1BE45DCD"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2D1C63C"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21.</w:t>
            </w:r>
          </w:p>
        </w:tc>
        <w:tc>
          <w:tcPr>
            <w:tcW w:w="5320" w:type="dxa"/>
            <w:tcBorders>
              <w:top w:val="nil"/>
              <w:left w:val="nil"/>
              <w:bottom w:val="single" w:sz="4" w:space="0" w:color="auto"/>
              <w:right w:val="single" w:sz="4" w:space="0" w:color="auto"/>
            </w:tcBorders>
            <w:shd w:val="clear" w:color="auto" w:fill="auto"/>
            <w:noWrap/>
            <w:vAlign w:val="center"/>
            <w:hideMark/>
          </w:tcPr>
          <w:p w14:paraId="64AEAB09"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Angola</w:t>
            </w:r>
          </w:p>
        </w:tc>
      </w:tr>
      <w:tr w:rsidR="00B2442D" w14:paraId="415D95C7"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2EF39AC"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22.</w:t>
            </w:r>
          </w:p>
        </w:tc>
        <w:tc>
          <w:tcPr>
            <w:tcW w:w="5320" w:type="dxa"/>
            <w:tcBorders>
              <w:top w:val="nil"/>
              <w:left w:val="nil"/>
              <w:bottom w:val="single" w:sz="4" w:space="0" w:color="auto"/>
              <w:right w:val="single" w:sz="4" w:space="0" w:color="auto"/>
            </w:tcBorders>
            <w:shd w:val="clear" w:color="auto" w:fill="auto"/>
            <w:noWrap/>
            <w:vAlign w:val="center"/>
            <w:hideMark/>
          </w:tcPr>
          <w:p w14:paraId="4E8437CD"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Cabo Verde</w:t>
            </w:r>
          </w:p>
        </w:tc>
      </w:tr>
      <w:tr w:rsidR="00B2442D" w14:paraId="6106E513"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E47D91F"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23.</w:t>
            </w:r>
          </w:p>
        </w:tc>
        <w:tc>
          <w:tcPr>
            <w:tcW w:w="5320" w:type="dxa"/>
            <w:tcBorders>
              <w:top w:val="nil"/>
              <w:left w:val="nil"/>
              <w:bottom w:val="single" w:sz="4" w:space="0" w:color="auto"/>
              <w:right w:val="single" w:sz="4" w:space="0" w:color="auto"/>
            </w:tcBorders>
            <w:shd w:val="clear" w:color="auto" w:fill="auto"/>
            <w:noWrap/>
            <w:vAlign w:val="center"/>
            <w:hideMark/>
          </w:tcPr>
          <w:p w14:paraId="65614E54"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las Islas Marshall</w:t>
            </w:r>
          </w:p>
        </w:tc>
      </w:tr>
      <w:tr w:rsidR="00B2442D" w14:paraId="0F7FA684"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08EEDB5"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24.</w:t>
            </w:r>
          </w:p>
        </w:tc>
        <w:tc>
          <w:tcPr>
            <w:tcW w:w="5320" w:type="dxa"/>
            <w:tcBorders>
              <w:top w:val="nil"/>
              <w:left w:val="nil"/>
              <w:bottom w:val="single" w:sz="4" w:space="0" w:color="auto"/>
              <w:right w:val="single" w:sz="4" w:space="0" w:color="auto"/>
            </w:tcBorders>
            <w:shd w:val="clear" w:color="auto" w:fill="auto"/>
            <w:noWrap/>
            <w:vAlign w:val="center"/>
            <w:hideMark/>
          </w:tcPr>
          <w:p w14:paraId="6642107E"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Liberia</w:t>
            </w:r>
          </w:p>
        </w:tc>
      </w:tr>
      <w:tr w:rsidR="00B2442D" w14:paraId="57291675"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F23C948"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25.</w:t>
            </w:r>
          </w:p>
        </w:tc>
        <w:tc>
          <w:tcPr>
            <w:tcW w:w="5320" w:type="dxa"/>
            <w:tcBorders>
              <w:top w:val="nil"/>
              <w:left w:val="nil"/>
              <w:bottom w:val="single" w:sz="4" w:space="0" w:color="auto"/>
              <w:right w:val="single" w:sz="4" w:space="0" w:color="auto"/>
            </w:tcBorders>
            <w:shd w:val="clear" w:color="auto" w:fill="auto"/>
            <w:noWrap/>
            <w:vAlign w:val="center"/>
            <w:hideMark/>
          </w:tcPr>
          <w:p w14:paraId="0AED92E5"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Maldivas</w:t>
            </w:r>
          </w:p>
        </w:tc>
      </w:tr>
      <w:tr w:rsidR="00B2442D" w14:paraId="0F61B208"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E4F7A57"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26.</w:t>
            </w:r>
          </w:p>
        </w:tc>
        <w:tc>
          <w:tcPr>
            <w:tcW w:w="5320" w:type="dxa"/>
            <w:tcBorders>
              <w:top w:val="nil"/>
              <w:left w:val="nil"/>
              <w:bottom w:val="single" w:sz="4" w:space="0" w:color="auto"/>
              <w:right w:val="single" w:sz="4" w:space="0" w:color="auto"/>
            </w:tcBorders>
            <w:shd w:val="clear" w:color="auto" w:fill="auto"/>
            <w:noWrap/>
            <w:vAlign w:val="center"/>
            <w:hideMark/>
          </w:tcPr>
          <w:p w14:paraId="2A1554C4"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Mauricio</w:t>
            </w:r>
          </w:p>
        </w:tc>
      </w:tr>
      <w:tr w:rsidR="00B2442D" w14:paraId="6E057701"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1F793AE"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27.</w:t>
            </w:r>
          </w:p>
        </w:tc>
        <w:tc>
          <w:tcPr>
            <w:tcW w:w="5320" w:type="dxa"/>
            <w:tcBorders>
              <w:top w:val="nil"/>
              <w:left w:val="nil"/>
              <w:bottom w:val="single" w:sz="4" w:space="0" w:color="auto"/>
              <w:right w:val="single" w:sz="4" w:space="0" w:color="auto"/>
            </w:tcBorders>
            <w:shd w:val="clear" w:color="auto" w:fill="auto"/>
            <w:noWrap/>
            <w:vAlign w:val="center"/>
            <w:hideMark/>
          </w:tcPr>
          <w:p w14:paraId="01E94B9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Nauru</w:t>
            </w:r>
          </w:p>
        </w:tc>
      </w:tr>
      <w:tr w:rsidR="00B2442D" w14:paraId="67396FC8"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2B36670"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28.</w:t>
            </w:r>
          </w:p>
        </w:tc>
        <w:tc>
          <w:tcPr>
            <w:tcW w:w="5320" w:type="dxa"/>
            <w:tcBorders>
              <w:top w:val="nil"/>
              <w:left w:val="nil"/>
              <w:bottom w:val="single" w:sz="4" w:space="0" w:color="auto"/>
              <w:right w:val="single" w:sz="4" w:space="0" w:color="auto"/>
            </w:tcBorders>
            <w:shd w:val="clear" w:color="auto" w:fill="auto"/>
            <w:noWrap/>
            <w:vAlign w:val="center"/>
            <w:hideMark/>
          </w:tcPr>
          <w:p w14:paraId="176DB80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Seychelles</w:t>
            </w:r>
          </w:p>
        </w:tc>
      </w:tr>
      <w:tr w:rsidR="00B2442D" w14:paraId="761BDECF"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1822EF0"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29.</w:t>
            </w:r>
          </w:p>
        </w:tc>
        <w:tc>
          <w:tcPr>
            <w:tcW w:w="5320" w:type="dxa"/>
            <w:tcBorders>
              <w:top w:val="nil"/>
              <w:left w:val="nil"/>
              <w:bottom w:val="single" w:sz="4" w:space="0" w:color="auto"/>
              <w:right w:val="single" w:sz="4" w:space="0" w:color="auto"/>
            </w:tcBorders>
            <w:shd w:val="clear" w:color="auto" w:fill="auto"/>
            <w:noWrap/>
            <w:vAlign w:val="center"/>
            <w:hideMark/>
          </w:tcPr>
          <w:p w14:paraId="1A4F7A84"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Trinidad y Tobago</w:t>
            </w:r>
          </w:p>
        </w:tc>
      </w:tr>
      <w:tr w:rsidR="00B2442D" w14:paraId="540E9D88"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63FA8A2"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30.</w:t>
            </w:r>
          </w:p>
        </w:tc>
        <w:tc>
          <w:tcPr>
            <w:tcW w:w="5320" w:type="dxa"/>
            <w:tcBorders>
              <w:top w:val="nil"/>
              <w:left w:val="nil"/>
              <w:bottom w:val="single" w:sz="4" w:space="0" w:color="auto"/>
              <w:right w:val="single" w:sz="4" w:space="0" w:color="auto"/>
            </w:tcBorders>
            <w:shd w:val="clear" w:color="auto" w:fill="auto"/>
            <w:noWrap/>
            <w:vAlign w:val="center"/>
            <w:hideMark/>
          </w:tcPr>
          <w:p w14:paraId="7335050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 Vanuatu</w:t>
            </w:r>
          </w:p>
        </w:tc>
      </w:tr>
      <w:tr w:rsidR="00B2442D" w14:paraId="22361E58"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FBE490A"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31.</w:t>
            </w:r>
          </w:p>
        </w:tc>
        <w:tc>
          <w:tcPr>
            <w:tcW w:w="5320" w:type="dxa"/>
            <w:tcBorders>
              <w:top w:val="nil"/>
              <w:left w:val="nil"/>
              <w:bottom w:val="single" w:sz="4" w:space="0" w:color="auto"/>
              <w:right w:val="single" w:sz="4" w:space="0" w:color="auto"/>
            </w:tcBorders>
            <w:shd w:val="clear" w:color="auto" w:fill="auto"/>
            <w:noWrap/>
            <w:vAlign w:val="center"/>
            <w:hideMark/>
          </w:tcPr>
          <w:p w14:paraId="5204EE48"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del Yemen</w:t>
            </w:r>
          </w:p>
        </w:tc>
      </w:tr>
      <w:tr w:rsidR="00B2442D" w14:paraId="66022157"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136D5D0"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32.</w:t>
            </w:r>
          </w:p>
        </w:tc>
        <w:tc>
          <w:tcPr>
            <w:tcW w:w="5320" w:type="dxa"/>
            <w:tcBorders>
              <w:top w:val="nil"/>
              <w:left w:val="nil"/>
              <w:bottom w:val="single" w:sz="4" w:space="0" w:color="auto"/>
              <w:right w:val="single" w:sz="4" w:space="0" w:color="auto"/>
            </w:tcBorders>
            <w:shd w:val="clear" w:color="auto" w:fill="auto"/>
            <w:noWrap/>
            <w:vAlign w:val="center"/>
            <w:hideMark/>
          </w:tcPr>
          <w:p w14:paraId="7FB536BE"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República Libanesa</w:t>
            </w:r>
          </w:p>
        </w:tc>
      </w:tr>
      <w:tr w:rsidR="00B2442D" w14:paraId="6CF61F09"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AC5EC6E"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33.</w:t>
            </w:r>
          </w:p>
        </w:tc>
        <w:tc>
          <w:tcPr>
            <w:tcW w:w="5320" w:type="dxa"/>
            <w:tcBorders>
              <w:top w:val="nil"/>
              <w:left w:val="nil"/>
              <w:bottom w:val="single" w:sz="4" w:space="0" w:color="auto"/>
              <w:right w:val="single" w:sz="4" w:space="0" w:color="auto"/>
            </w:tcBorders>
            <w:shd w:val="clear" w:color="auto" w:fill="auto"/>
            <w:noWrap/>
            <w:vAlign w:val="center"/>
            <w:hideMark/>
          </w:tcPr>
          <w:p w14:paraId="160C326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San Kitts &amp; Nevis</w:t>
            </w:r>
          </w:p>
        </w:tc>
      </w:tr>
      <w:tr w:rsidR="00B2442D" w14:paraId="1D64A7B9"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9118E03"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34.</w:t>
            </w:r>
          </w:p>
        </w:tc>
        <w:tc>
          <w:tcPr>
            <w:tcW w:w="5320" w:type="dxa"/>
            <w:tcBorders>
              <w:top w:val="nil"/>
              <w:left w:val="nil"/>
              <w:bottom w:val="single" w:sz="4" w:space="0" w:color="auto"/>
              <w:right w:val="single" w:sz="4" w:space="0" w:color="auto"/>
            </w:tcBorders>
            <w:shd w:val="clear" w:color="auto" w:fill="auto"/>
            <w:noWrap/>
            <w:vAlign w:val="center"/>
            <w:hideMark/>
          </w:tcPr>
          <w:p w14:paraId="7181D8BC"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San Vicente y las Granadinas</w:t>
            </w:r>
          </w:p>
        </w:tc>
      </w:tr>
      <w:tr w:rsidR="00B2442D" w14:paraId="0986BE9B"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9832EC3"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35.</w:t>
            </w:r>
          </w:p>
        </w:tc>
        <w:tc>
          <w:tcPr>
            <w:tcW w:w="5320" w:type="dxa"/>
            <w:tcBorders>
              <w:top w:val="nil"/>
              <w:left w:val="nil"/>
              <w:bottom w:val="single" w:sz="4" w:space="0" w:color="auto"/>
              <w:right w:val="single" w:sz="4" w:space="0" w:color="auto"/>
            </w:tcBorders>
            <w:shd w:val="clear" w:color="auto" w:fill="auto"/>
            <w:noWrap/>
            <w:vAlign w:val="center"/>
            <w:hideMark/>
          </w:tcPr>
          <w:p w14:paraId="78A5BE69"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Santa Elena, Ascensión y Tristan de Cunha</w:t>
            </w:r>
          </w:p>
        </w:tc>
      </w:tr>
      <w:tr w:rsidR="00B2442D" w14:paraId="725E4F17"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14AE88C"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36.</w:t>
            </w:r>
          </w:p>
        </w:tc>
        <w:tc>
          <w:tcPr>
            <w:tcW w:w="5320" w:type="dxa"/>
            <w:tcBorders>
              <w:top w:val="nil"/>
              <w:left w:val="nil"/>
              <w:bottom w:val="single" w:sz="4" w:space="0" w:color="auto"/>
              <w:right w:val="single" w:sz="4" w:space="0" w:color="auto"/>
            </w:tcBorders>
            <w:shd w:val="clear" w:color="auto" w:fill="auto"/>
            <w:noWrap/>
            <w:vAlign w:val="center"/>
            <w:hideMark/>
          </w:tcPr>
          <w:p w14:paraId="01C80B18"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Santa Lucía</w:t>
            </w:r>
          </w:p>
        </w:tc>
      </w:tr>
      <w:tr w:rsidR="00B2442D" w14:paraId="3DEF664A" w14:textId="77777777">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70D081D" w14:textId="77777777" w:rsidR="00B2442D" w:rsidRDefault="008A645F">
            <w:pPr>
              <w:jc w:val="center"/>
              <w:rPr>
                <w:rFonts w:ascii="Arial" w:eastAsia="Times New Roman" w:hAnsi="Arial" w:cs="Arial"/>
                <w:lang w:val="es-CO" w:eastAsia="es-CO"/>
              </w:rPr>
            </w:pPr>
            <w:r>
              <w:rPr>
                <w:rFonts w:ascii="Arial" w:eastAsia="Times New Roman" w:hAnsi="Arial" w:cs="Arial"/>
                <w:lang w:eastAsia="es-CO"/>
              </w:rPr>
              <w:t>37.</w:t>
            </w:r>
          </w:p>
        </w:tc>
        <w:tc>
          <w:tcPr>
            <w:tcW w:w="5320" w:type="dxa"/>
            <w:tcBorders>
              <w:top w:val="nil"/>
              <w:left w:val="nil"/>
              <w:bottom w:val="single" w:sz="4" w:space="0" w:color="auto"/>
              <w:right w:val="single" w:sz="4" w:space="0" w:color="auto"/>
            </w:tcBorders>
            <w:shd w:val="clear" w:color="auto" w:fill="auto"/>
            <w:noWrap/>
            <w:vAlign w:val="center"/>
            <w:hideMark/>
          </w:tcPr>
          <w:p w14:paraId="39FD1A86" w14:textId="77777777" w:rsidR="00B2442D" w:rsidRDefault="008A645F">
            <w:pPr>
              <w:rPr>
                <w:rFonts w:ascii="Arial" w:eastAsia="Times New Roman" w:hAnsi="Arial" w:cs="Arial"/>
                <w:lang w:val="es-CO" w:eastAsia="es-CO"/>
              </w:rPr>
            </w:pPr>
            <w:r>
              <w:rPr>
                <w:rFonts w:ascii="Arial" w:eastAsia="Times New Roman" w:hAnsi="Arial" w:cs="Arial"/>
                <w:lang w:val="es-CO" w:eastAsia="es-CO"/>
              </w:rPr>
              <w:t>Sultanía de Omán</w:t>
            </w:r>
          </w:p>
        </w:tc>
      </w:tr>
    </w:tbl>
    <w:p w14:paraId="2433F608" w14:textId="77777777" w:rsidR="00B2442D" w:rsidRDefault="00B2442D">
      <w:pPr>
        <w:rPr>
          <w:rFonts w:ascii="Arial" w:hAnsi="Arial" w:cs="Arial"/>
        </w:rPr>
      </w:pPr>
    </w:p>
    <w:p w14:paraId="78725FE1" w14:textId="77777777" w:rsidR="00B2442D" w:rsidRDefault="00B2442D">
      <w:pPr>
        <w:rPr>
          <w:rFonts w:ascii="Arial" w:hAnsi="Arial" w:cs="Arial"/>
        </w:rPr>
      </w:pPr>
    </w:p>
    <w:p w14:paraId="56D525CF" w14:textId="77777777" w:rsidR="00B2442D" w:rsidRDefault="008A645F">
      <w:pPr>
        <w:jc w:val="both"/>
        <w:rPr>
          <w:rFonts w:ascii="Arial" w:hAnsi="Arial" w:cs="Arial"/>
          <w:i/>
        </w:rPr>
      </w:pPr>
      <w:r>
        <w:rPr>
          <w:rFonts w:ascii="Arial" w:hAnsi="Arial" w:cs="Arial"/>
          <w:i/>
        </w:rPr>
        <w:t>(Art. 1, Decreto 1966 de 2014, modificado por el artículo 1 del Decreto 2095 de 2014)</w:t>
      </w:r>
      <w:r>
        <w:rPr>
          <w:rFonts w:ascii="Arial" w:hAnsi="Arial" w:cs="Arial"/>
        </w:rPr>
        <w:t xml:space="preserve"> (</w:t>
      </w:r>
      <w:r>
        <w:rPr>
          <w:rFonts w:ascii="Arial" w:hAnsi="Arial" w:cs="Arial"/>
          <w:i/>
        </w:rPr>
        <w:t>El Decreto 1966 de 2014 rige a partir de la fecha de su publicación y deroga el Decreto número 2193 del 7 de octubre de 2013.  Parágrafo. De acuerdo con lo establecido e</w:t>
      </w:r>
      <w:r>
        <w:rPr>
          <w:rFonts w:ascii="Arial" w:hAnsi="Arial" w:cs="Arial"/>
          <w:i/>
        </w:rPr>
        <w:t>n el artículo 338 de la Constitución Política, este Decreto no podrá aplicarse sino a partir del periodo fiscal siguiente con relación a los aspectos que regulen tributos cuya base sea el resultado de hechos ocurridos durante un periodo determinado. Art. 4</w:t>
      </w:r>
      <w:r>
        <w:rPr>
          <w:rFonts w:ascii="Arial" w:hAnsi="Arial" w:cs="Arial"/>
          <w:i/>
        </w:rPr>
        <w:t>, Decreto 1966 de 2014)</w:t>
      </w:r>
    </w:p>
    <w:p w14:paraId="4A1865C4" w14:textId="77777777" w:rsidR="00B2442D" w:rsidRDefault="00B2442D">
      <w:pPr>
        <w:rPr>
          <w:rFonts w:ascii="Arial" w:hAnsi="Arial" w:cs="Arial"/>
        </w:rPr>
      </w:pPr>
    </w:p>
    <w:p w14:paraId="2504FBCD" w14:textId="77777777" w:rsidR="00B2442D" w:rsidRDefault="008A645F">
      <w:pPr>
        <w:pStyle w:val="Prrafodelista"/>
        <w:numPr>
          <w:ilvl w:val="0"/>
          <w:numId w:val="44"/>
        </w:numPr>
        <w:ind w:left="0" w:firstLine="0"/>
        <w:jc w:val="both"/>
        <w:rPr>
          <w:rFonts w:ascii="Arial" w:hAnsi="Arial" w:cs="Arial"/>
        </w:rPr>
      </w:pPr>
      <w:r>
        <w:rPr>
          <w:rFonts w:ascii="Arial" w:hAnsi="Arial" w:cs="Arial"/>
          <w:b/>
          <w:i/>
        </w:rPr>
        <w:t>Revisión del listado de paraísos fiscales.</w:t>
      </w:r>
      <w:r>
        <w:rPr>
          <w:rFonts w:ascii="Arial" w:hAnsi="Arial" w:cs="Arial"/>
        </w:rPr>
        <w:t xml:space="preserve"> Transcurrido un año desde el 07 de octubre de 2014 (D. O. 49297), el Gobierno Nacional revisará el listado de paraísos fiscales atendiendo a los criterios señalados en el artículo 260-7 de</w:t>
      </w:r>
      <w:r>
        <w:rPr>
          <w:rFonts w:ascii="Arial" w:hAnsi="Arial" w:cs="Arial"/>
        </w:rPr>
        <w:t>l Estatuto Tributario, en aras de determinar si excluye a alguno de los países, jurisdicciones, dominios, estados asociados o territorios mencionados en el listado o si adiciona al listado algún otro país, jurisdicción, dominio, estado asociado o territori</w:t>
      </w:r>
      <w:r>
        <w:rPr>
          <w:rFonts w:ascii="Arial" w:hAnsi="Arial" w:cs="Arial"/>
        </w:rPr>
        <w:t xml:space="preserve">o. Para efectos de lo dispuesto en este artículo, el Gobierno nacional le solicitará a la </w:t>
      </w:r>
      <w:r>
        <w:rPr>
          <w:rFonts w:ascii="Arial" w:hAnsi="Arial" w:cs="Arial"/>
          <w:lang w:val="es-CO"/>
        </w:rPr>
        <w:t>Unidad Administrativa Especial</w:t>
      </w:r>
      <w:r>
        <w:rPr>
          <w:rFonts w:ascii="Arial" w:hAnsi="Arial" w:cs="Arial"/>
        </w:rPr>
        <w:t xml:space="preserve"> Dirección de Impuestos y Aduanas Nacionales-DIAN un informe anual acerca del efectivo intercambio de información tributaria o de relevancia tributaria, así como del estado de las negociaciones de tratados y acuerdos internacionales para el intercambio de </w:t>
      </w:r>
      <w:r>
        <w:rPr>
          <w:rFonts w:ascii="Arial" w:hAnsi="Arial" w:cs="Arial"/>
        </w:rPr>
        <w:t>dicha información, entre los países, jurisdicciones, dominios, estados asociados o territorios mencionados en el presente decreto, y el Estado colombiano.</w:t>
      </w:r>
    </w:p>
    <w:p w14:paraId="4B3CBB04" w14:textId="77777777" w:rsidR="00B2442D" w:rsidRDefault="00B2442D">
      <w:pPr>
        <w:jc w:val="both"/>
        <w:rPr>
          <w:rFonts w:ascii="Arial" w:hAnsi="Arial" w:cs="Arial"/>
        </w:rPr>
      </w:pPr>
    </w:p>
    <w:p w14:paraId="73DF7698" w14:textId="77777777" w:rsidR="00B2442D" w:rsidRDefault="008A645F">
      <w:pPr>
        <w:jc w:val="both"/>
        <w:rPr>
          <w:rFonts w:ascii="Arial" w:hAnsi="Arial" w:cs="Arial"/>
        </w:rPr>
      </w:pPr>
      <w:r>
        <w:rPr>
          <w:rFonts w:ascii="Arial" w:hAnsi="Arial" w:cs="Arial"/>
          <w:b/>
        </w:rPr>
        <w:t xml:space="preserve">Parágrafo. </w:t>
      </w:r>
      <w:r>
        <w:rPr>
          <w:rFonts w:ascii="Arial" w:hAnsi="Arial" w:cs="Arial"/>
        </w:rPr>
        <w:t>El Gobierno Nacional deberá adelantar anualmente la revisión del listado de paraísos fisc</w:t>
      </w:r>
      <w:r>
        <w:rPr>
          <w:rFonts w:ascii="Arial" w:hAnsi="Arial" w:cs="Arial"/>
        </w:rPr>
        <w:t>ales en los términos del inciso primero de este artículo.</w:t>
      </w:r>
    </w:p>
    <w:p w14:paraId="5ED5A5DE" w14:textId="77777777" w:rsidR="00B2442D" w:rsidRDefault="00B2442D">
      <w:pPr>
        <w:jc w:val="both"/>
        <w:rPr>
          <w:rFonts w:ascii="Arial" w:hAnsi="Arial" w:cs="Arial"/>
        </w:rPr>
      </w:pPr>
    </w:p>
    <w:p w14:paraId="45493135" w14:textId="77777777" w:rsidR="00B2442D" w:rsidRDefault="008A645F">
      <w:pPr>
        <w:jc w:val="both"/>
        <w:rPr>
          <w:rFonts w:ascii="Arial" w:hAnsi="Arial" w:cs="Arial"/>
          <w:i/>
        </w:rPr>
      </w:pPr>
      <w:r>
        <w:rPr>
          <w:rFonts w:ascii="Arial" w:hAnsi="Arial" w:cs="Arial"/>
          <w:i/>
        </w:rPr>
        <w:t>(Art. 2, Decreto 1966 de 2014)</w:t>
      </w:r>
      <w:r>
        <w:rPr>
          <w:rFonts w:ascii="Arial" w:hAnsi="Arial" w:cs="Arial"/>
        </w:rPr>
        <w:t xml:space="preserve"> </w:t>
      </w:r>
      <w:r>
        <w:rPr>
          <w:rFonts w:ascii="Arial" w:hAnsi="Arial" w:cs="Arial"/>
          <w:i/>
        </w:rPr>
        <w:t>(El Decreto 1966 de 2014 rige a partir de la fecha de su publicación y deroga el Decreto número 2193 del 7 de octubre de 2013.  Parágrafo. De acuerdo con lo estableci</w:t>
      </w:r>
      <w:r>
        <w:rPr>
          <w:rFonts w:ascii="Arial" w:hAnsi="Arial" w:cs="Arial"/>
          <w:i/>
        </w:rPr>
        <w:t>do en el artículo 338 de la Constitución Política, este Decreto no podrá aplicarse sino a partir del periodo fiscal siguiente con relación a los aspectos que regulen tributos cuya base sea el resultado de hechos ocurridos durante un periodo determinado. Ar</w:t>
      </w:r>
      <w:r>
        <w:rPr>
          <w:rFonts w:ascii="Arial" w:hAnsi="Arial" w:cs="Arial"/>
          <w:i/>
        </w:rPr>
        <w:t>t. 4, Decreto 1966 de 2014)</w:t>
      </w:r>
    </w:p>
    <w:p w14:paraId="23F185E3" w14:textId="77777777" w:rsidR="00B2442D" w:rsidRDefault="00B2442D">
      <w:pPr>
        <w:jc w:val="both"/>
        <w:rPr>
          <w:rFonts w:ascii="Arial" w:hAnsi="Arial" w:cs="Arial"/>
        </w:rPr>
      </w:pPr>
    </w:p>
    <w:p w14:paraId="03AA21D2" w14:textId="77777777" w:rsidR="00B2442D" w:rsidRDefault="008A645F">
      <w:pPr>
        <w:pStyle w:val="Prrafodelista"/>
        <w:numPr>
          <w:ilvl w:val="0"/>
          <w:numId w:val="44"/>
        </w:numPr>
        <w:ind w:left="0" w:firstLine="0"/>
        <w:jc w:val="both"/>
        <w:rPr>
          <w:rFonts w:ascii="Arial" w:hAnsi="Arial" w:cs="Arial"/>
        </w:rPr>
      </w:pPr>
      <w:r>
        <w:rPr>
          <w:rFonts w:ascii="Arial" w:hAnsi="Arial" w:cs="Arial"/>
          <w:b/>
          <w:i/>
        </w:rPr>
        <w:t>Remoción de la lista.</w:t>
      </w:r>
      <w:r>
        <w:rPr>
          <w:rFonts w:ascii="Arial" w:hAnsi="Arial" w:cs="Arial"/>
        </w:rPr>
        <w:t xml:space="preserve"> El Gobierno nacional podrá, en cualquier momento y mediante decreto, remover del listado contenido en el artículo 1.2.2.5.1 del presente decreto a los países, jurisdicciones, dominios, estados asociados o </w:t>
      </w:r>
      <w:r>
        <w:rPr>
          <w:rFonts w:ascii="Arial" w:hAnsi="Arial" w:cs="Arial"/>
        </w:rPr>
        <w:t>territorios a los cuales les sea aplicable o suscriban un tratado o un acuerdo internacional que permita el efectivo intercambio de información con la República de Colombia.</w:t>
      </w:r>
    </w:p>
    <w:p w14:paraId="30E02C4A" w14:textId="77777777" w:rsidR="00B2442D" w:rsidRDefault="00B2442D">
      <w:pPr>
        <w:jc w:val="both"/>
        <w:rPr>
          <w:rFonts w:ascii="Arial" w:hAnsi="Arial" w:cs="Arial"/>
        </w:rPr>
      </w:pPr>
    </w:p>
    <w:p w14:paraId="230FD2CC" w14:textId="77777777" w:rsidR="00B2442D" w:rsidRDefault="008A645F">
      <w:pPr>
        <w:jc w:val="both"/>
        <w:rPr>
          <w:rFonts w:ascii="Arial" w:hAnsi="Arial" w:cs="Arial"/>
          <w:i/>
        </w:rPr>
      </w:pPr>
      <w:r>
        <w:rPr>
          <w:rFonts w:ascii="Arial" w:hAnsi="Arial" w:cs="Arial"/>
          <w:i/>
        </w:rPr>
        <w:t>(Art. 3, Decreto 1966 de 2014)</w:t>
      </w:r>
      <w:r>
        <w:rPr>
          <w:rFonts w:ascii="Arial" w:hAnsi="Arial" w:cs="Arial"/>
        </w:rPr>
        <w:t xml:space="preserve"> </w:t>
      </w:r>
      <w:r>
        <w:rPr>
          <w:rFonts w:ascii="Arial" w:hAnsi="Arial" w:cs="Arial"/>
          <w:i/>
        </w:rPr>
        <w:t xml:space="preserve">(El Decreto 1966 de 2014 rige a partir de la </w:t>
      </w:r>
      <w:r>
        <w:rPr>
          <w:rFonts w:ascii="Arial" w:hAnsi="Arial" w:cs="Arial"/>
          <w:i/>
        </w:rPr>
        <w:t>fecha de su publicación y deroga el Decreto número 2193 del 7 de octubre de 2013.  Parágrafo. De acuerdo con lo establecido en el artículo 338 de la Constitución Política, este Decreto no podrá aplicarse sino a partir del periodo fiscal siguiente con relac</w:t>
      </w:r>
      <w:r>
        <w:rPr>
          <w:rFonts w:ascii="Arial" w:hAnsi="Arial" w:cs="Arial"/>
          <w:i/>
        </w:rPr>
        <w:t>ión a los aspectos que regulen tributos cuya base sea el resultado de hechos ocurridos durante un periodo determinado. Art. 4, Decreto 1966 de 2014)</w:t>
      </w:r>
    </w:p>
    <w:p w14:paraId="3116B3A0" w14:textId="77777777" w:rsidR="00B2442D" w:rsidRDefault="00B2442D">
      <w:pPr>
        <w:rPr>
          <w:rFonts w:ascii="Arial" w:hAnsi="Arial" w:cs="Arial"/>
          <w:i/>
        </w:rPr>
      </w:pPr>
    </w:p>
    <w:p w14:paraId="4EF5E0F5" w14:textId="77777777" w:rsidR="00B2442D" w:rsidRDefault="008A645F">
      <w:pPr>
        <w:pStyle w:val="Ttulo3"/>
      </w:pPr>
      <w:bookmarkStart w:id="10" w:name="_Toc479171165"/>
      <w:r>
        <w:t>TÍTULO 3</w:t>
      </w:r>
      <w:bookmarkEnd w:id="10"/>
      <w:r>
        <w:t xml:space="preserve"> </w:t>
      </w:r>
    </w:p>
    <w:p w14:paraId="49C3FD0E" w14:textId="77777777" w:rsidR="00B2442D" w:rsidRDefault="008A645F">
      <w:pPr>
        <w:pStyle w:val="Ttulo3"/>
      </w:pPr>
      <w:bookmarkStart w:id="11" w:name="_Toc479171166"/>
      <w:r>
        <w:t>Impuesto complementario de ganancias ocasionales</w:t>
      </w:r>
      <w:bookmarkEnd w:id="11"/>
    </w:p>
    <w:p w14:paraId="7ECFEB0F" w14:textId="77777777" w:rsidR="00B2442D" w:rsidRDefault="00B2442D">
      <w:pPr>
        <w:jc w:val="both"/>
        <w:rPr>
          <w:rFonts w:ascii="Arial" w:hAnsi="Arial" w:cs="Arial"/>
          <w:lang w:val="es-CO"/>
        </w:rPr>
      </w:pPr>
    </w:p>
    <w:p w14:paraId="09798AA6" w14:textId="77777777" w:rsidR="00B2442D" w:rsidRDefault="008A645F">
      <w:pPr>
        <w:pStyle w:val="Prrafodelista"/>
        <w:numPr>
          <w:ilvl w:val="0"/>
          <w:numId w:val="45"/>
        </w:numPr>
        <w:ind w:left="0" w:firstLine="0"/>
        <w:jc w:val="both"/>
        <w:rPr>
          <w:rFonts w:ascii="Arial" w:hAnsi="Arial" w:cs="Arial"/>
        </w:rPr>
      </w:pPr>
      <w:r>
        <w:rPr>
          <w:rFonts w:ascii="Arial" w:hAnsi="Arial" w:cs="Arial"/>
          <w:b/>
          <w:i/>
        </w:rPr>
        <w:t>Utilidad exenta en la venta de la casa o apart</w:t>
      </w:r>
      <w:r>
        <w:rPr>
          <w:rFonts w:ascii="Arial" w:hAnsi="Arial" w:cs="Arial"/>
          <w:b/>
          <w:i/>
        </w:rPr>
        <w:t xml:space="preserve">amento de habitación. </w:t>
      </w:r>
      <w:r>
        <w:rPr>
          <w:rFonts w:ascii="Arial" w:hAnsi="Arial" w:cs="Arial"/>
        </w:rPr>
        <w:t>Están exentas del impuesto de ganancia ocasional las primeras siete mil quinientas (7.500) UVT de la utilidad generada en la venta de la casa o apartamento de habitación de las personas naturales contribuyentes del impuesto sobre la r</w:t>
      </w:r>
      <w:r>
        <w:rPr>
          <w:rFonts w:ascii="Arial" w:hAnsi="Arial" w:cs="Arial"/>
        </w:rPr>
        <w:t>enta y complementario, siempre y cuando se cumpla con la totalidad de los siguientes requisitos:</w:t>
      </w:r>
    </w:p>
    <w:p w14:paraId="16C8C0DF" w14:textId="77777777" w:rsidR="00B2442D" w:rsidRDefault="00B2442D">
      <w:pPr>
        <w:jc w:val="both"/>
        <w:rPr>
          <w:rFonts w:ascii="Arial" w:hAnsi="Arial" w:cs="Arial"/>
        </w:rPr>
      </w:pPr>
    </w:p>
    <w:p w14:paraId="2E9BF830" w14:textId="77777777" w:rsidR="00B2442D" w:rsidRDefault="008A645F">
      <w:pPr>
        <w:jc w:val="both"/>
        <w:rPr>
          <w:rFonts w:ascii="Arial" w:hAnsi="Arial" w:cs="Arial"/>
        </w:rPr>
      </w:pPr>
      <w:r>
        <w:rPr>
          <w:rFonts w:ascii="Arial" w:hAnsi="Arial" w:cs="Arial"/>
        </w:rPr>
        <w:t>1.</w:t>
      </w:r>
      <w:r>
        <w:rPr>
          <w:rFonts w:ascii="Arial" w:hAnsi="Arial" w:cs="Arial"/>
        </w:rPr>
        <w:tab/>
        <w:t>Que la casa o apartamento de habitación objeto de la venta haya sido poseída dos (2) años o más.</w:t>
      </w:r>
    </w:p>
    <w:p w14:paraId="308D26B9" w14:textId="77777777" w:rsidR="00B2442D" w:rsidRDefault="00B2442D">
      <w:pPr>
        <w:jc w:val="both"/>
        <w:rPr>
          <w:rFonts w:ascii="Arial" w:hAnsi="Arial" w:cs="Arial"/>
        </w:rPr>
      </w:pPr>
    </w:p>
    <w:p w14:paraId="32136684" w14:textId="77777777" w:rsidR="00B2442D" w:rsidRDefault="008A645F">
      <w:pPr>
        <w:jc w:val="both"/>
        <w:rPr>
          <w:rFonts w:ascii="Arial" w:hAnsi="Arial" w:cs="Arial"/>
        </w:rPr>
      </w:pPr>
      <w:r>
        <w:rPr>
          <w:rFonts w:ascii="Arial" w:hAnsi="Arial" w:cs="Arial"/>
        </w:rPr>
        <w:t>2.</w:t>
      </w:r>
      <w:r>
        <w:rPr>
          <w:rFonts w:ascii="Arial" w:hAnsi="Arial" w:cs="Arial"/>
        </w:rPr>
        <w:tab/>
        <w:t>Que el valor catastral o el autoavalúo de la casa o ap</w:t>
      </w:r>
      <w:r>
        <w:rPr>
          <w:rFonts w:ascii="Arial" w:hAnsi="Arial" w:cs="Arial"/>
        </w:rPr>
        <w:t>artamento de habitación sea igual o inferior al valor equivalente a quince mil (15.000) UVT, en el año gravable en el cual se protocoliza la escritura pública de compraventa.</w:t>
      </w:r>
    </w:p>
    <w:p w14:paraId="2D50B198" w14:textId="77777777" w:rsidR="00B2442D" w:rsidRDefault="00B2442D">
      <w:pPr>
        <w:jc w:val="both"/>
        <w:rPr>
          <w:rFonts w:ascii="Arial" w:hAnsi="Arial" w:cs="Arial"/>
        </w:rPr>
      </w:pPr>
    </w:p>
    <w:p w14:paraId="0BB9CD51" w14:textId="77777777" w:rsidR="00B2442D" w:rsidRDefault="008A645F">
      <w:pPr>
        <w:jc w:val="both"/>
        <w:rPr>
          <w:rFonts w:ascii="Arial" w:hAnsi="Arial" w:cs="Arial"/>
        </w:rPr>
      </w:pPr>
      <w:r>
        <w:rPr>
          <w:rFonts w:ascii="Arial" w:hAnsi="Arial" w:cs="Arial"/>
        </w:rPr>
        <w:t>3.</w:t>
      </w:r>
      <w:r>
        <w:rPr>
          <w:rFonts w:ascii="Arial" w:hAnsi="Arial" w:cs="Arial"/>
        </w:rPr>
        <w:tab/>
        <w:t>Que la totalidad de los dineros recibidos en la venta tenga uno o varios de l</w:t>
      </w:r>
      <w:r>
        <w:rPr>
          <w:rFonts w:ascii="Arial" w:hAnsi="Arial" w:cs="Arial"/>
        </w:rPr>
        <w:t>os siguientes destinos:</w:t>
      </w:r>
    </w:p>
    <w:p w14:paraId="72065FA2" w14:textId="77777777" w:rsidR="00B2442D" w:rsidRDefault="00B2442D">
      <w:pPr>
        <w:jc w:val="both"/>
        <w:rPr>
          <w:rFonts w:ascii="Arial" w:hAnsi="Arial" w:cs="Arial"/>
        </w:rPr>
      </w:pPr>
    </w:p>
    <w:p w14:paraId="798FC76E" w14:textId="77777777" w:rsidR="00B2442D" w:rsidRDefault="008A645F">
      <w:pPr>
        <w:jc w:val="both"/>
        <w:rPr>
          <w:rFonts w:ascii="Arial" w:hAnsi="Arial" w:cs="Arial"/>
        </w:rPr>
      </w:pPr>
      <w:r>
        <w:rPr>
          <w:rFonts w:ascii="Arial" w:hAnsi="Arial" w:cs="Arial"/>
        </w:rPr>
        <w:t>a)</w:t>
      </w:r>
      <w:r>
        <w:rPr>
          <w:rFonts w:ascii="Arial" w:hAnsi="Arial" w:cs="Arial"/>
        </w:rPr>
        <w:tab/>
        <w:t>Que sean depositados en una o más cuentas de ahorro denominadas “Ahorro para el Fomento de la Construcción (AFC)”, cuyo titular sea única y exclusivamente el vendedor del inmueble;</w:t>
      </w:r>
    </w:p>
    <w:p w14:paraId="1BE2B149" w14:textId="77777777" w:rsidR="00B2442D" w:rsidRDefault="00B2442D">
      <w:pPr>
        <w:jc w:val="both"/>
        <w:rPr>
          <w:rFonts w:ascii="Arial" w:hAnsi="Arial" w:cs="Arial"/>
        </w:rPr>
      </w:pPr>
    </w:p>
    <w:p w14:paraId="62B80DC4" w14:textId="77777777" w:rsidR="00B2442D" w:rsidRDefault="008A645F">
      <w:pPr>
        <w:jc w:val="both"/>
        <w:rPr>
          <w:rFonts w:ascii="Arial" w:hAnsi="Arial" w:cs="Arial"/>
        </w:rPr>
      </w:pPr>
      <w:r>
        <w:rPr>
          <w:rFonts w:ascii="Arial" w:hAnsi="Arial" w:cs="Arial"/>
        </w:rPr>
        <w:t>b)</w:t>
      </w:r>
      <w:r>
        <w:rPr>
          <w:rFonts w:ascii="Arial" w:hAnsi="Arial" w:cs="Arial"/>
        </w:rPr>
        <w:tab/>
        <w:t>Que se destinen para el pago total o parcia</w:t>
      </w:r>
      <w:r>
        <w:rPr>
          <w:rFonts w:ascii="Arial" w:hAnsi="Arial" w:cs="Arial"/>
        </w:rPr>
        <w:t>l de uno o más créditos hipotecarios vinculados directamente con la casa o apartamento de habitación objeto de la venta.</w:t>
      </w:r>
    </w:p>
    <w:p w14:paraId="49F506A6" w14:textId="77777777" w:rsidR="00B2442D" w:rsidRDefault="00B2442D">
      <w:pPr>
        <w:jc w:val="both"/>
        <w:rPr>
          <w:rFonts w:ascii="Arial" w:hAnsi="Arial" w:cs="Arial"/>
        </w:rPr>
      </w:pPr>
    </w:p>
    <w:p w14:paraId="580CDE1A" w14:textId="77777777" w:rsidR="00B2442D" w:rsidRDefault="008A645F">
      <w:pPr>
        <w:jc w:val="both"/>
        <w:rPr>
          <w:rFonts w:ascii="Arial" w:hAnsi="Arial" w:cs="Arial"/>
        </w:rPr>
      </w:pPr>
      <w:r>
        <w:rPr>
          <w:rFonts w:ascii="Arial" w:hAnsi="Arial" w:cs="Arial"/>
        </w:rPr>
        <w:t>4.</w:t>
      </w:r>
      <w:r>
        <w:rPr>
          <w:rFonts w:ascii="Arial" w:hAnsi="Arial" w:cs="Arial"/>
        </w:rPr>
        <w:tab/>
        <w:t>Tratándose de los dineros depositados en una o más Cuentas de Ahorro para el Fomento de la Construcción (AFC), el retiro de los mis</w:t>
      </w:r>
      <w:r>
        <w:rPr>
          <w:rFonts w:ascii="Arial" w:hAnsi="Arial" w:cs="Arial"/>
        </w:rPr>
        <w:t xml:space="preserve">mos debe destinarse exclusivamente a la compra de otra casa o apartamento de habitación, tratándose de vivienda nueva o usada, sea o no financiada por entidades vigiladas por la Superintendencia Financiera de Colombia a través de crédito hipotecario, </w:t>
      </w:r>
      <w:r>
        <w:rPr>
          <w:rFonts w:ascii="Arial" w:hAnsi="Arial" w:cs="Arial"/>
          <w:i/>
        </w:rPr>
        <w:t>leasi</w:t>
      </w:r>
      <w:r>
        <w:rPr>
          <w:rFonts w:ascii="Arial" w:hAnsi="Arial" w:cs="Arial"/>
          <w:i/>
        </w:rPr>
        <w:t>ng</w:t>
      </w:r>
      <w:r>
        <w:rPr>
          <w:rFonts w:ascii="Arial" w:hAnsi="Arial" w:cs="Arial"/>
        </w:rPr>
        <w:t xml:space="preserve"> habitacional o fideicomiso inmobiliario, bajo alguna de las siguientes modalidades:</w:t>
      </w:r>
    </w:p>
    <w:p w14:paraId="00B17672" w14:textId="77777777" w:rsidR="00B2442D" w:rsidRDefault="00B2442D">
      <w:pPr>
        <w:jc w:val="both"/>
        <w:rPr>
          <w:rFonts w:ascii="Arial" w:hAnsi="Arial" w:cs="Arial"/>
        </w:rPr>
      </w:pPr>
    </w:p>
    <w:p w14:paraId="3319B594" w14:textId="77777777" w:rsidR="00B2442D" w:rsidRDefault="008A645F">
      <w:pPr>
        <w:jc w:val="both"/>
        <w:rPr>
          <w:rFonts w:ascii="Arial" w:hAnsi="Arial" w:cs="Arial"/>
        </w:rPr>
      </w:pPr>
      <w:r>
        <w:rPr>
          <w:rFonts w:ascii="Arial" w:hAnsi="Arial" w:cs="Arial"/>
        </w:rPr>
        <w:t>a)</w:t>
      </w:r>
      <w:r>
        <w:rPr>
          <w:rFonts w:ascii="Arial" w:hAnsi="Arial" w:cs="Arial"/>
        </w:rPr>
        <w:tab/>
        <w:t>Compra de contado</w:t>
      </w:r>
    </w:p>
    <w:p w14:paraId="7C57B126" w14:textId="77777777" w:rsidR="00B2442D" w:rsidRDefault="00B2442D">
      <w:pPr>
        <w:jc w:val="both"/>
        <w:rPr>
          <w:rFonts w:ascii="Arial" w:hAnsi="Arial" w:cs="Arial"/>
        </w:rPr>
      </w:pPr>
    </w:p>
    <w:p w14:paraId="4B3407F6" w14:textId="77777777" w:rsidR="00B2442D" w:rsidRDefault="008A645F">
      <w:pPr>
        <w:jc w:val="both"/>
        <w:rPr>
          <w:rFonts w:ascii="Arial" w:hAnsi="Arial" w:cs="Arial"/>
        </w:rPr>
      </w:pPr>
      <w:r>
        <w:rPr>
          <w:rFonts w:ascii="Arial" w:hAnsi="Arial" w:cs="Arial"/>
        </w:rPr>
        <w:t>b)</w:t>
      </w:r>
      <w:r>
        <w:rPr>
          <w:rFonts w:ascii="Arial" w:hAnsi="Arial" w:cs="Arial"/>
        </w:rPr>
        <w:tab/>
        <w:t xml:space="preserve">Cuota inicial y/o pago de las cuotas del crédito hipotecario, o de los cánones del </w:t>
      </w:r>
      <w:r>
        <w:rPr>
          <w:rFonts w:ascii="Arial" w:hAnsi="Arial" w:cs="Arial"/>
          <w:i/>
        </w:rPr>
        <w:t>leasing</w:t>
      </w:r>
      <w:r>
        <w:rPr>
          <w:rFonts w:ascii="Arial" w:hAnsi="Arial" w:cs="Arial"/>
        </w:rPr>
        <w:t xml:space="preserve"> habitacional, o para cubrir el valor de la opción de</w:t>
      </w:r>
      <w:r>
        <w:rPr>
          <w:rFonts w:ascii="Arial" w:hAnsi="Arial" w:cs="Arial"/>
        </w:rPr>
        <w:t xml:space="preserve"> compra del leasing habitacional;</w:t>
      </w:r>
    </w:p>
    <w:p w14:paraId="2622420F" w14:textId="77777777" w:rsidR="00B2442D" w:rsidRDefault="00B2442D">
      <w:pPr>
        <w:jc w:val="both"/>
        <w:rPr>
          <w:rFonts w:ascii="Arial" w:hAnsi="Arial" w:cs="Arial"/>
        </w:rPr>
      </w:pPr>
    </w:p>
    <w:p w14:paraId="0B4CFD30" w14:textId="77777777" w:rsidR="00B2442D" w:rsidRDefault="008A645F">
      <w:pPr>
        <w:jc w:val="both"/>
        <w:rPr>
          <w:rFonts w:ascii="Arial" w:hAnsi="Arial" w:cs="Arial"/>
        </w:rPr>
      </w:pPr>
      <w:r>
        <w:rPr>
          <w:rFonts w:ascii="Arial" w:hAnsi="Arial" w:cs="Arial"/>
        </w:rPr>
        <w:t>c)</w:t>
      </w:r>
      <w:r>
        <w:rPr>
          <w:rFonts w:ascii="Arial" w:hAnsi="Arial" w:cs="Arial"/>
        </w:rPr>
        <w:tab/>
        <w:t>Pago del precio en la etapa de preventa del proyecto en el caso del fideicomiso inmobiliario.</w:t>
      </w:r>
    </w:p>
    <w:p w14:paraId="2399D5B5" w14:textId="77777777" w:rsidR="00B2442D" w:rsidRDefault="00B2442D">
      <w:pPr>
        <w:jc w:val="both"/>
        <w:rPr>
          <w:rFonts w:ascii="Arial" w:hAnsi="Arial" w:cs="Arial"/>
        </w:rPr>
      </w:pPr>
    </w:p>
    <w:p w14:paraId="5FA84E3A" w14:textId="77777777" w:rsidR="00B2442D" w:rsidRDefault="008A645F">
      <w:pPr>
        <w:jc w:val="both"/>
        <w:rPr>
          <w:rFonts w:ascii="Arial" w:hAnsi="Arial" w:cs="Arial"/>
          <w:i/>
          <w:lang w:val="es-ES_tradnl"/>
        </w:rPr>
      </w:pPr>
      <w:r>
        <w:rPr>
          <w:rFonts w:ascii="Arial" w:hAnsi="Arial" w:cs="Arial"/>
          <w:i/>
          <w:lang w:val="es-ES_tradnl"/>
        </w:rPr>
        <w:t>(Art. 1, Decreto 2344 de 2014)</w:t>
      </w:r>
    </w:p>
    <w:p w14:paraId="56CE003A" w14:textId="77777777" w:rsidR="00B2442D" w:rsidRDefault="00B2442D">
      <w:pPr>
        <w:jc w:val="both"/>
        <w:rPr>
          <w:rFonts w:ascii="Arial" w:hAnsi="Arial" w:cs="Arial"/>
          <w:lang w:val="es-ES_tradnl"/>
        </w:rPr>
      </w:pPr>
    </w:p>
    <w:p w14:paraId="37EBA642" w14:textId="77777777" w:rsidR="00B2442D" w:rsidRDefault="008A645F">
      <w:pPr>
        <w:pStyle w:val="Prrafodelista"/>
        <w:widowControl w:val="0"/>
        <w:numPr>
          <w:ilvl w:val="0"/>
          <w:numId w:val="45"/>
        </w:numPr>
        <w:autoSpaceDE w:val="0"/>
        <w:autoSpaceDN w:val="0"/>
        <w:adjustRightInd w:val="0"/>
        <w:spacing w:line="40" w:lineRule="atLeast"/>
        <w:ind w:left="0" w:firstLine="0"/>
        <w:jc w:val="both"/>
        <w:rPr>
          <w:rFonts w:ascii="Arial" w:hAnsi="Arial" w:cs="Arial"/>
          <w:b/>
          <w:i/>
          <w:lang w:val="es-CO"/>
        </w:rPr>
      </w:pPr>
      <w:r>
        <w:rPr>
          <w:rFonts w:ascii="Arial" w:hAnsi="Arial" w:cs="Arial"/>
          <w:b/>
          <w:i/>
          <w:lang w:val="es-CO"/>
        </w:rPr>
        <w:t xml:space="preserve">Determinación de la ganancia ocasional en partición adicional. </w:t>
      </w:r>
      <w:r>
        <w:rPr>
          <w:rFonts w:ascii="Arial" w:hAnsi="Arial" w:cs="Arial"/>
          <w:lang w:val="es-CO"/>
        </w:rPr>
        <w:t xml:space="preserve">Cuando se efectúe partición adicional de conformidad con el artículo 620 del Código de Procedimiento Civil  (hoy artículo 518 del Código General del Proceso) y esta se realice en año diferente </w:t>
      </w:r>
      <w:r>
        <w:rPr>
          <w:rFonts w:ascii="Arial" w:hAnsi="Arial" w:cs="Arial"/>
          <w:lang w:val="es-CO"/>
        </w:rPr>
        <w:t xml:space="preserve">a la partición inicial, para determinar el impuesto complementario de ganancias ocasionales se procederá así: </w:t>
      </w:r>
    </w:p>
    <w:p w14:paraId="66560F1C"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0E8E9CE9"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Al valor de la nueva asignación se agregará el de la asignación anterior y el de las otras ganancias ocasionales que el asignatario hubiere per</w:t>
      </w:r>
      <w:r>
        <w:rPr>
          <w:rFonts w:ascii="Arial" w:hAnsi="Arial" w:cs="Arial"/>
          <w:lang w:val="es-CO"/>
        </w:rPr>
        <w:t xml:space="preserve">cibido en el año gravable de la partición inicial. </w:t>
      </w:r>
    </w:p>
    <w:p w14:paraId="1026542A"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2977879B" w14:textId="77777777" w:rsidR="00B2442D" w:rsidRDefault="008A645F">
      <w:pPr>
        <w:jc w:val="both"/>
        <w:rPr>
          <w:rFonts w:ascii="Arial" w:hAnsi="Arial" w:cs="Arial"/>
          <w:lang w:val="es-CO"/>
        </w:rPr>
      </w:pPr>
      <w:r>
        <w:rPr>
          <w:rFonts w:ascii="Arial" w:hAnsi="Arial" w:cs="Arial"/>
          <w:lang w:val="es-CO"/>
        </w:rPr>
        <w:t>Sobre esta suma se determinará el impuesto de ganancia ocasional, de conformidad con los artículos 103 y 104 del Decreto 2053 de 1974 (hoy artículos 6 y 7 de la Ley 20 de 1979), tomando como renta grava</w:t>
      </w:r>
      <w:r>
        <w:rPr>
          <w:rFonts w:ascii="Arial" w:hAnsi="Arial" w:cs="Arial"/>
          <w:lang w:val="es-CO"/>
        </w:rPr>
        <w:t>ble la correspondiente al ejercicio impositivo dentro del cual se llevó a cabo la partición inicial.  Al impuesto así determinado se sustraerá el inicialmente liquidado y la diferencia constituirá el impuesto de ganancia ocasional por causa de la nueva asi</w:t>
      </w:r>
      <w:r>
        <w:rPr>
          <w:rFonts w:ascii="Arial" w:hAnsi="Arial" w:cs="Arial"/>
          <w:lang w:val="es-CO"/>
        </w:rPr>
        <w:t>gnación.</w:t>
      </w:r>
    </w:p>
    <w:p w14:paraId="699A0F8F" w14:textId="77777777" w:rsidR="00B2442D" w:rsidRDefault="00B2442D">
      <w:pPr>
        <w:jc w:val="both"/>
        <w:rPr>
          <w:rFonts w:ascii="Arial" w:hAnsi="Arial" w:cs="Arial"/>
          <w:i/>
          <w:lang w:val="es-CO"/>
        </w:rPr>
      </w:pPr>
    </w:p>
    <w:p w14:paraId="5653E160" w14:textId="77777777" w:rsidR="00B2442D" w:rsidRDefault="008A645F">
      <w:pPr>
        <w:jc w:val="both"/>
        <w:rPr>
          <w:rFonts w:ascii="Arial" w:hAnsi="Arial" w:cs="Arial"/>
          <w:i/>
          <w:lang w:val="es-CO"/>
        </w:rPr>
      </w:pPr>
      <w:r>
        <w:rPr>
          <w:rFonts w:ascii="Arial" w:hAnsi="Arial" w:cs="Arial"/>
          <w:i/>
          <w:lang w:val="es-CO"/>
        </w:rPr>
        <w:t>(Art. 109, Decreto 187 de 1975) (Vigencia del Decreto 187 de 1975. El Decreto 187 de 1975 se aplicará a partir del ejercicio impositivo de 1974 salvo los casos expresamente exceptuados en el mismo o en las normas sustantivas y procedimentales del</w:t>
      </w:r>
      <w:r>
        <w:rPr>
          <w:rFonts w:ascii="Arial" w:hAnsi="Arial" w:cs="Arial"/>
          <w:i/>
          <w:lang w:val="es-CO"/>
        </w:rPr>
        <w:t xml:space="preserve"> impuesto sobre la renta y complementario. (Art. 117, Decreto 187 de 1975))</w:t>
      </w:r>
    </w:p>
    <w:p w14:paraId="6AFA0673" w14:textId="77777777" w:rsidR="00B2442D" w:rsidRDefault="00B2442D">
      <w:pPr>
        <w:jc w:val="both"/>
        <w:rPr>
          <w:rFonts w:ascii="Arial" w:hAnsi="Arial" w:cs="Arial"/>
          <w:i/>
          <w:lang w:val="es-CO"/>
        </w:rPr>
      </w:pPr>
    </w:p>
    <w:p w14:paraId="14D65D2B" w14:textId="77777777" w:rsidR="00B2442D" w:rsidRDefault="008A645F">
      <w:pPr>
        <w:pStyle w:val="Prrafodelista"/>
        <w:numPr>
          <w:ilvl w:val="0"/>
          <w:numId w:val="45"/>
        </w:numPr>
        <w:ind w:left="0" w:firstLine="0"/>
        <w:jc w:val="both"/>
        <w:rPr>
          <w:rFonts w:ascii="Arial" w:hAnsi="Arial" w:cs="Arial"/>
        </w:rPr>
      </w:pPr>
      <w:r>
        <w:rPr>
          <w:rFonts w:ascii="Arial" w:hAnsi="Arial" w:cs="Arial"/>
          <w:b/>
          <w:i/>
        </w:rPr>
        <w:t xml:space="preserve">Cuantía de las asignaciones por herencia, legado, porción conyugal o donación. </w:t>
      </w:r>
      <w:r>
        <w:rPr>
          <w:rFonts w:ascii="Arial" w:hAnsi="Arial" w:cs="Arial"/>
        </w:rPr>
        <w:t>Cuando la asignación por herencia, legado, porción conyugal o donación sea en dinero su cuantía será</w:t>
      </w:r>
      <w:r>
        <w:rPr>
          <w:rFonts w:ascii="Arial" w:hAnsi="Arial" w:cs="Arial"/>
        </w:rPr>
        <w:t xml:space="preserve"> la del valor efectivamente recibido.</w:t>
      </w:r>
    </w:p>
    <w:p w14:paraId="7EC109F7" w14:textId="77777777" w:rsidR="00B2442D" w:rsidRDefault="00B2442D">
      <w:pPr>
        <w:jc w:val="both"/>
        <w:rPr>
          <w:rFonts w:ascii="Arial" w:hAnsi="Arial" w:cs="Arial"/>
        </w:rPr>
      </w:pPr>
    </w:p>
    <w:p w14:paraId="4EA856A5" w14:textId="77777777" w:rsidR="00B2442D" w:rsidRDefault="008A645F">
      <w:pPr>
        <w:jc w:val="both"/>
        <w:rPr>
          <w:rFonts w:ascii="Arial" w:hAnsi="Arial" w:cs="Arial"/>
          <w:b/>
          <w:i/>
        </w:rPr>
      </w:pPr>
      <w:r>
        <w:rPr>
          <w:rFonts w:ascii="Arial" w:hAnsi="Arial" w:cs="Arial"/>
          <w:i/>
        </w:rPr>
        <w:t>(Art. 25, Decreto 2595 de 1979)</w:t>
      </w:r>
    </w:p>
    <w:p w14:paraId="2B10D2FB" w14:textId="77777777" w:rsidR="00B2442D" w:rsidRDefault="00B2442D">
      <w:pPr>
        <w:rPr>
          <w:rFonts w:ascii="Arial" w:hAnsi="Arial" w:cs="Arial"/>
          <w:i/>
        </w:rPr>
      </w:pPr>
    </w:p>
    <w:p w14:paraId="3F7AB542" w14:textId="77777777" w:rsidR="00B2442D" w:rsidRDefault="008A645F">
      <w:pPr>
        <w:pStyle w:val="Prrafodelista"/>
        <w:numPr>
          <w:ilvl w:val="0"/>
          <w:numId w:val="45"/>
        </w:numPr>
        <w:ind w:left="0" w:firstLine="0"/>
        <w:jc w:val="both"/>
        <w:rPr>
          <w:rFonts w:ascii="Arial" w:hAnsi="Arial" w:cs="Arial"/>
          <w:lang w:val="es-CO"/>
        </w:rPr>
      </w:pPr>
      <w:r>
        <w:rPr>
          <w:rFonts w:ascii="Arial" w:hAnsi="Arial" w:cs="Arial"/>
          <w:b/>
          <w:i/>
          <w:lang w:val="es-CO"/>
        </w:rPr>
        <w:t xml:space="preserve">Causación de la ganancia ocasional. </w:t>
      </w:r>
      <w:r>
        <w:rPr>
          <w:rFonts w:ascii="Arial" w:hAnsi="Arial" w:cs="Arial"/>
          <w:lang w:val="es-CO"/>
        </w:rPr>
        <w:t>La ganancia ocasional proveniente de herencias o legados se causa en la fecha de ejecutoria de la sentencia que apruebe la partición o adjudicación.</w:t>
      </w:r>
    </w:p>
    <w:p w14:paraId="61888927" w14:textId="77777777" w:rsidR="00B2442D" w:rsidRDefault="00B2442D">
      <w:pPr>
        <w:jc w:val="both"/>
        <w:rPr>
          <w:rFonts w:ascii="Arial" w:hAnsi="Arial" w:cs="Arial"/>
          <w:i/>
          <w:lang w:val="es-CO"/>
        </w:rPr>
      </w:pPr>
    </w:p>
    <w:p w14:paraId="4E0297C0" w14:textId="77777777" w:rsidR="00B2442D" w:rsidRDefault="008A645F">
      <w:pPr>
        <w:jc w:val="both"/>
        <w:rPr>
          <w:rFonts w:ascii="Arial" w:hAnsi="Arial" w:cs="Arial"/>
          <w:i/>
          <w:lang w:val="es-CO"/>
        </w:rPr>
      </w:pPr>
      <w:r>
        <w:rPr>
          <w:rFonts w:ascii="Arial" w:hAnsi="Arial" w:cs="Arial"/>
          <w:i/>
          <w:lang w:val="es-CO"/>
        </w:rPr>
        <w:t>(Art. 19, Decreto 825 de 1978)</w:t>
      </w:r>
    </w:p>
    <w:p w14:paraId="548480E2" w14:textId="77777777" w:rsidR="00B2442D" w:rsidRDefault="00B2442D">
      <w:pPr>
        <w:jc w:val="both"/>
        <w:rPr>
          <w:rFonts w:ascii="Arial" w:hAnsi="Arial" w:cs="Arial"/>
          <w:i/>
          <w:lang w:val="es-CO"/>
        </w:rPr>
      </w:pPr>
    </w:p>
    <w:p w14:paraId="7A5139A9" w14:textId="77777777" w:rsidR="00B2442D" w:rsidRDefault="008A645F">
      <w:pPr>
        <w:pStyle w:val="Prrafodelista"/>
        <w:numPr>
          <w:ilvl w:val="0"/>
          <w:numId w:val="45"/>
        </w:numPr>
        <w:ind w:left="0" w:firstLine="0"/>
        <w:jc w:val="both"/>
        <w:rPr>
          <w:rFonts w:ascii="Arial" w:hAnsi="Arial" w:cs="Arial"/>
          <w:lang w:val="es-CO"/>
        </w:rPr>
      </w:pPr>
      <w:r>
        <w:rPr>
          <w:rFonts w:ascii="Arial" w:hAnsi="Arial" w:cs="Arial"/>
          <w:b/>
          <w:i/>
          <w:lang w:val="es-CO"/>
        </w:rPr>
        <w:t>Determinación de la ganancia ocasional en títulos de capitalización.</w:t>
      </w:r>
      <w:r>
        <w:rPr>
          <w:rFonts w:ascii="Arial" w:hAnsi="Arial" w:cs="Arial"/>
          <w:lang w:val="es-CO"/>
        </w:rPr>
        <w:t xml:space="preserve"> Para efectos del artículo 1o. del Decreto 2348 de 1974 (hoy artículo 305 del Estatuto Tributario) se considera recibido, no solamente el valor nominal de</w:t>
      </w:r>
      <w:r>
        <w:rPr>
          <w:rFonts w:ascii="Arial" w:hAnsi="Arial" w:cs="Arial"/>
          <w:lang w:val="es-CO"/>
        </w:rPr>
        <w:t>l título favorecido, sino también su valor de rescate, cuando las condiciones del título estipulen que el suscriptor favorecido tiene derecho a recibir dicho valor de rescate en efectivo o a continuar con el plan original</w:t>
      </w:r>
    </w:p>
    <w:p w14:paraId="191E0740" w14:textId="77777777" w:rsidR="00B2442D" w:rsidRDefault="00B2442D">
      <w:pPr>
        <w:jc w:val="both"/>
        <w:rPr>
          <w:rFonts w:ascii="Arial" w:hAnsi="Arial" w:cs="Arial"/>
          <w:i/>
          <w:lang w:val="es-CO"/>
        </w:rPr>
      </w:pPr>
    </w:p>
    <w:p w14:paraId="3008E9A8" w14:textId="77777777" w:rsidR="00B2442D" w:rsidRDefault="008A645F">
      <w:pPr>
        <w:jc w:val="both"/>
        <w:rPr>
          <w:rFonts w:ascii="Arial" w:hAnsi="Arial" w:cs="Arial"/>
          <w:lang w:val="es-CO"/>
        </w:rPr>
      </w:pPr>
      <w:r>
        <w:rPr>
          <w:rFonts w:ascii="Arial" w:hAnsi="Arial" w:cs="Arial"/>
          <w:i/>
          <w:lang w:val="es-CO"/>
        </w:rPr>
        <w:t>(Art. 112, Decreto 187 de 1975) (</w:t>
      </w:r>
      <w:r>
        <w:rPr>
          <w:rFonts w:ascii="Arial" w:hAnsi="Arial" w:cs="Arial"/>
          <w:i/>
          <w:lang w:val="es-CO"/>
        </w:rPr>
        <w:t xml:space="preserve">Vigencia del Decreto 187 de 1975. El Decreto 187 de 1975 se aplicará a partir del ejercicio impositivo de 1974 salvo los casos expresamente exceptuados en el mismo o en las normas sustantivas y procedimentales del impuesto sobre la renta y complementario. </w:t>
      </w:r>
      <w:r>
        <w:rPr>
          <w:rFonts w:ascii="Arial" w:hAnsi="Arial" w:cs="Arial"/>
          <w:i/>
          <w:lang w:val="es-CO"/>
        </w:rPr>
        <w:t>(Art. 117, Decreto 187 de 1975))</w:t>
      </w:r>
    </w:p>
    <w:p w14:paraId="60F8AFD7" w14:textId="77777777" w:rsidR="00B2442D" w:rsidRDefault="00B2442D">
      <w:pPr>
        <w:jc w:val="both"/>
        <w:rPr>
          <w:rFonts w:ascii="Arial" w:hAnsi="Arial" w:cs="Arial"/>
          <w:lang w:val="es-CO"/>
        </w:rPr>
      </w:pPr>
    </w:p>
    <w:p w14:paraId="3F7EB4D4" w14:textId="77777777" w:rsidR="00B2442D" w:rsidRDefault="008A645F">
      <w:pPr>
        <w:pStyle w:val="Prrafodelista"/>
        <w:numPr>
          <w:ilvl w:val="0"/>
          <w:numId w:val="45"/>
        </w:numPr>
        <w:ind w:left="0" w:firstLine="0"/>
        <w:jc w:val="both"/>
        <w:rPr>
          <w:rFonts w:ascii="Arial" w:hAnsi="Arial" w:cs="Arial"/>
          <w:lang w:val="es-CO"/>
        </w:rPr>
      </w:pPr>
      <w:r>
        <w:rPr>
          <w:rFonts w:ascii="Arial" w:hAnsi="Arial" w:cs="Arial"/>
          <w:b/>
          <w:i/>
          <w:lang w:val="es-CO"/>
        </w:rPr>
        <w:t xml:space="preserve">Ingresos no constitutivos de renta ni ganancia ocasional. </w:t>
      </w:r>
      <w:r>
        <w:rPr>
          <w:rFonts w:ascii="Arial" w:hAnsi="Arial" w:cs="Arial"/>
          <w:lang w:val="es-CO"/>
        </w:rPr>
        <w:t xml:space="preserve">En sorteos por grupos cerrados de títulos de capitalización y en cualquier otro sorteo en el que exista certeza total de salir favorecido, lo recibido por </w:t>
      </w:r>
      <w:r>
        <w:rPr>
          <w:rFonts w:ascii="Arial" w:hAnsi="Arial" w:cs="Arial"/>
          <w:lang w:val="es-CO"/>
        </w:rPr>
        <w:t>concepto de sorteo no constituye renta ni ganancia ocasional.</w:t>
      </w:r>
    </w:p>
    <w:p w14:paraId="7AEC0E2A" w14:textId="77777777" w:rsidR="00B2442D" w:rsidRDefault="00B2442D">
      <w:pPr>
        <w:jc w:val="both"/>
        <w:rPr>
          <w:rFonts w:ascii="Arial" w:hAnsi="Arial" w:cs="Arial"/>
          <w:i/>
          <w:lang w:val="es-CO"/>
        </w:rPr>
      </w:pPr>
    </w:p>
    <w:p w14:paraId="4CE869B4" w14:textId="77777777" w:rsidR="00B2442D" w:rsidRDefault="008A645F">
      <w:pPr>
        <w:jc w:val="both"/>
        <w:rPr>
          <w:rFonts w:ascii="Arial" w:hAnsi="Arial" w:cs="Arial"/>
          <w:lang w:val="es-CO"/>
        </w:rPr>
      </w:pPr>
      <w:r>
        <w:rPr>
          <w:rFonts w:ascii="Arial" w:hAnsi="Arial" w:cs="Arial"/>
          <w:i/>
          <w:lang w:val="es-CO"/>
        </w:rPr>
        <w:t>(Art. 113, Decreto 187 de 1975, modificado por el artículo 11 del Decreto 400 de 1975) (Vigencia del Decreto 187 de 1975. El Decreto 187 de 1975 se aplicará a partir del ejercicio impositivo de</w:t>
      </w:r>
      <w:r>
        <w:rPr>
          <w:rFonts w:ascii="Arial" w:hAnsi="Arial" w:cs="Arial"/>
          <w:i/>
          <w:lang w:val="es-CO"/>
        </w:rPr>
        <w:t xml:space="preserve"> 1974 salvo los casos expresamente exceptuados en el mismo o en las normas sustantivas y procedimentales del impuesto sobre la renta y complementario. (Art. 117, Decreto 187 de 1975))</w:t>
      </w:r>
    </w:p>
    <w:p w14:paraId="0B2BEF64" w14:textId="77777777" w:rsidR="00B2442D" w:rsidRDefault="00B2442D">
      <w:pPr>
        <w:jc w:val="both"/>
        <w:rPr>
          <w:rFonts w:ascii="Arial" w:hAnsi="Arial" w:cs="Arial"/>
          <w:b/>
          <w:lang w:val="es-CO"/>
        </w:rPr>
      </w:pPr>
    </w:p>
    <w:p w14:paraId="2F8B905E" w14:textId="77777777" w:rsidR="00B2442D" w:rsidRDefault="008A645F">
      <w:pPr>
        <w:pStyle w:val="Prrafodelista"/>
        <w:numPr>
          <w:ilvl w:val="0"/>
          <w:numId w:val="45"/>
        </w:numPr>
        <w:ind w:left="0" w:firstLine="0"/>
        <w:jc w:val="both"/>
        <w:rPr>
          <w:rFonts w:ascii="Arial" w:hAnsi="Arial" w:cs="Arial"/>
          <w:lang w:val="es-CO"/>
        </w:rPr>
      </w:pPr>
      <w:r>
        <w:rPr>
          <w:rFonts w:ascii="Arial" w:hAnsi="Arial" w:cs="Arial"/>
          <w:b/>
          <w:i/>
          <w:lang w:val="es-CO"/>
        </w:rPr>
        <w:t>Los dividendos y participaciones.</w:t>
      </w:r>
      <w:r>
        <w:rPr>
          <w:rFonts w:ascii="Arial" w:hAnsi="Arial" w:cs="Arial"/>
          <w:lang w:val="es-CO"/>
        </w:rPr>
        <w:t xml:space="preserve"> Los dividendos y participaciones percibidos por los socios, accionistas, comuneros, asociados, suscriptores y similares, que sean personas naturales residentes en el país, sucesiones ilíquidas de causantes que al momento de su muerte eran residentes en el</w:t>
      </w:r>
      <w:r>
        <w:rPr>
          <w:rFonts w:ascii="Arial" w:hAnsi="Arial" w:cs="Arial"/>
          <w:lang w:val="es-CO"/>
        </w:rPr>
        <w:t xml:space="preserve"> país, o sociedades nacionales, no constituyen renta ni ganancia ocasional. </w:t>
      </w:r>
    </w:p>
    <w:p w14:paraId="182E331A" w14:textId="77777777" w:rsidR="00B2442D" w:rsidRDefault="008A645F">
      <w:pPr>
        <w:jc w:val="both"/>
        <w:rPr>
          <w:rFonts w:ascii="Arial" w:hAnsi="Arial" w:cs="Arial"/>
          <w:lang w:val="es-CO"/>
        </w:rPr>
      </w:pPr>
      <w:r>
        <w:rPr>
          <w:rFonts w:ascii="Arial" w:hAnsi="Arial" w:cs="Arial"/>
          <w:lang w:val="es-CO"/>
        </w:rPr>
        <w:t xml:space="preserve"> </w:t>
      </w:r>
    </w:p>
    <w:p w14:paraId="3F6B34D4" w14:textId="77777777" w:rsidR="00B2442D" w:rsidRDefault="008A645F">
      <w:pPr>
        <w:jc w:val="both"/>
        <w:rPr>
          <w:rFonts w:ascii="Arial" w:hAnsi="Arial" w:cs="Arial"/>
          <w:lang w:val="es-CO"/>
        </w:rPr>
      </w:pPr>
      <w:r>
        <w:rPr>
          <w:rFonts w:ascii="Arial" w:hAnsi="Arial" w:cs="Arial"/>
          <w:lang w:val="es-CO"/>
        </w:rPr>
        <w:t>Para efectos de lo dispuesto en el inciso anterior, tales dividendos y participaciones deben corresponder a utilidades que hayan sido declaradas en cabeza de la sociedad. Sin pe</w:t>
      </w:r>
      <w:r>
        <w:rPr>
          <w:rFonts w:ascii="Arial" w:hAnsi="Arial" w:cs="Arial"/>
          <w:lang w:val="es-CO"/>
        </w:rPr>
        <w:t>rjuicio de lo dispuesto en el artículo 1° del Decreto Ley 260 de 1987, si las utilidades hubieren sido obtenidas con anterioridad al primero de enero de 1986, para que los dividendos y participaciones sean un ingreso no constitutivo de renta ni de ganancia</w:t>
      </w:r>
      <w:r>
        <w:rPr>
          <w:rFonts w:ascii="Arial" w:hAnsi="Arial" w:cs="Arial"/>
          <w:lang w:val="es-CO"/>
        </w:rPr>
        <w:t xml:space="preserve"> ocasional, deberán además, figurar como utilidades retenidas en la declaración de renta de la sociedad correspondiente al año gravable de 1985, la cual deberá haber sido presentada a más tardar el 30 de julio de 1986. Para tal efecto, se entiende por util</w:t>
      </w:r>
      <w:r>
        <w:rPr>
          <w:rFonts w:ascii="Arial" w:hAnsi="Arial" w:cs="Arial"/>
          <w:lang w:val="es-CO"/>
        </w:rPr>
        <w:t>idades retenidas el monto total de las utilidades y reservas correspondientes a los años 1985 y anteriores, que formen parte del patrimonio de la sociedad a diciembre 31 de 1985, y que sean de libre disponibilidad por parte de la respectiva asamblea de acc</w:t>
      </w:r>
      <w:r>
        <w:rPr>
          <w:rFonts w:ascii="Arial" w:hAnsi="Arial" w:cs="Arial"/>
          <w:lang w:val="es-CO"/>
        </w:rPr>
        <w:t>ionistas o junta de socios.</w:t>
      </w:r>
    </w:p>
    <w:p w14:paraId="0ED66E54" w14:textId="77777777" w:rsidR="00B2442D" w:rsidRDefault="00B2442D">
      <w:pPr>
        <w:rPr>
          <w:rFonts w:ascii="Arial" w:hAnsi="Arial" w:cs="Arial"/>
          <w:i/>
          <w:lang w:val="es-CO"/>
        </w:rPr>
      </w:pPr>
    </w:p>
    <w:p w14:paraId="535340AA" w14:textId="77777777" w:rsidR="00B2442D" w:rsidRDefault="008A645F">
      <w:pPr>
        <w:jc w:val="both"/>
        <w:rPr>
          <w:rFonts w:ascii="Arial" w:hAnsi="Arial" w:cs="Arial"/>
          <w:i/>
          <w:lang w:val="es-CO"/>
        </w:rPr>
      </w:pPr>
      <w:r>
        <w:rPr>
          <w:rFonts w:ascii="Arial" w:hAnsi="Arial" w:cs="Arial"/>
          <w:i/>
          <w:lang w:val="es-CO"/>
        </w:rPr>
        <w:t xml:space="preserve">(Art. 4, Decreto 400 de 1987. Inciso 3 tiene decaimiento por la evolución normativa (Art, 71 de la Ley 223 de 1995)) (El Decreto 400 de 1987 rige a partir del día siguiente al de la fecha de su publicación y deroga el artículo </w:t>
      </w:r>
      <w:r>
        <w:rPr>
          <w:rFonts w:ascii="Arial" w:hAnsi="Arial" w:cs="Arial"/>
          <w:i/>
          <w:lang w:val="es-CO"/>
        </w:rPr>
        <w:t>5° del Decreto 3838 de 1985 y demás normas que le sean contrarias. Art. 23, Decreto 400 de 1987)</w:t>
      </w:r>
    </w:p>
    <w:p w14:paraId="3BE4A3C8" w14:textId="77777777" w:rsidR="00B2442D" w:rsidRDefault="00B2442D">
      <w:pPr>
        <w:jc w:val="both"/>
        <w:rPr>
          <w:rFonts w:ascii="Arial" w:hAnsi="Arial" w:cs="Arial"/>
          <w:lang w:val="es-CO"/>
        </w:rPr>
      </w:pPr>
    </w:p>
    <w:p w14:paraId="4D6C0A52" w14:textId="77777777" w:rsidR="00B2442D" w:rsidRDefault="008A645F">
      <w:pPr>
        <w:pStyle w:val="Prrafodelista"/>
        <w:numPr>
          <w:ilvl w:val="0"/>
          <w:numId w:val="45"/>
        </w:numPr>
        <w:ind w:left="0" w:firstLine="0"/>
        <w:jc w:val="both"/>
        <w:rPr>
          <w:rFonts w:ascii="Arial" w:hAnsi="Arial" w:cs="Arial"/>
          <w:lang w:val="es-CO"/>
        </w:rPr>
      </w:pPr>
      <w:r>
        <w:rPr>
          <w:rFonts w:ascii="Arial" w:hAnsi="Arial" w:cs="Arial"/>
          <w:b/>
          <w:i/>
          <w:lang w:val="es-CO"/>
        </w:rPr>
        <w:t>Determinación de la parte que no constituye renta ni ganancia ocasional en la enajenación de acciones.</w:t>
      </w:r>
      <w:r>
        <w:rPr>
          <w:rFonts w:ascii="Arial" w:hAnsi="Arial" w:cs="Arial"/>
          <w:lang w:val="es-CO"/>
        </w:rPr>
        <w:t xml:space="preserve"> Para efectos de lo dispuesto en el artículo 36-1 del Es</w:t>
      </w:r>
      <w:r>
        <w:rPr>
          <w:rFonts w:ascii="Arial" w:hAnsi="Arial" w:cs="Arial"/>
          <w:lang w:val="es-CO"/>
        </w:rPr>
        <w:t xml:space="preserve">tatuto Tributario, la utilidad no gravada en la enajenación de acciones o cuotas de interés social, cuya enajenación no se haya realizado a través de una bolsa de valores, se determinará así:  </w:t>
      </w:r>
    </w:p>
    <w:p w14:paraId="44D4BD63" w14:textId="77777777" w:rsidR="00B2442D" w:rsidRDefault="00B2442D">
      <w:pPr>
        <w:jc w:val="both"/>
        <w:rPr>
          <w:rFonts w:ascii="Arial" w:hAnsi="Arial" w:cs="Arial"/>
          <w:lang w:val="es-CO"/>
        </w:rPr>
      </w:pPr>
    </w:p>
    <w:p w14:paraId="30725163" w14:textId="77777777" w:rsidR="00B2442D" w:rsidRDefault="008A645F">
      <w:pPr>
        <w:jc w:val="both"/>
        <w:rPr>
          <w:rFonts w:ascii="Arial" w:hAnsi="Arial" w:cs="Arial"/>
          <w:lang w:val="es-CO"/>
        </w:rPr>
      </w:pPr>
      <w:r>
        <w:rPr>
          <w:rFonts w:ascii="Arial" w:hAnsi="Arial" w:cs="Arial"/>
          <w:lang w:val="es-CO"/>
        </w:rPr>
        <w:t>1. Se toma el incremento patrimonial proveniente de la retenc</w:t>
      </w:r>
      <w:r>
        <w:rPr>
          <w:rFonts w:ascii="Arial" w:hAnsi="Arial" w:cs="Arial"/>
          <w:lang w:val="es-CO"/>
        </w:rPr>
        <w:t>ión de utilidades susceptibles de distribuirse como no gravadas, que se haya generado entre el primero (1°) de enero del año en el cual se adquirió la acción o cuota de interés social, y el treinta y uno (31) de diciembre del año en el cual se enajena, y s</w:t>
      </w:r>
      <w:r>
        <w:rPr>
          <w:rFonts w:ascii="Arial" w:hAnsi="Arial" w:cs="Arial"/>
          <w:lang w:val="es-CO"/>
        </w:rPr>
        <w:t xml:space="preserve">e divide por el número de días comprendidos en dicho periodo. </w:t>
      </w:r>
    </w:p>
    <w:p w14:paraId="2CA91550" w14:textId="77777777" w:rsidR="00B2442D" w:rsidRDefault="00B2442D">
      <w:pPr>
        <w:jc w:val="both"/>
        <w:rPr>
          <w:rFonts w:ascii="Arial" w:hAnsi="Arial" w:cs="Arial"/>
          <w:lang w:val="es-CO"/>
        </w:rPr>
      </w:pPr>
    </w:p>
    <w:p w14:paraId="6DA36970" w14:textId="77777777" w:rsidR="00B2442D" w:rsidRDefault="008A645F">
      <w:pPr>
        <w:jc w:val="both"/>
        <w:rPr>
          <w:rFonts w:ascii="Arial" w:hAnsi="Arial" w:cs="Arial"/>
          <w:lang w:val="es-CO"/>
        </w:rPr>
      </w:pPr>
      <w:r>
        <w:rPr>
          <w:rFonts w:ascii="Arial" w:hAnsi="Arial" w:cs="Arial"/>
          <w:lang w:val="es-CO"/>
        </w:rPr>
        <w:t>2. El valor establecido de conformidad con el numeral anterior, se multiplica por el número de días en que las acciones o cuotas de interés social enajenadas hubieren estado en poder del socio</w:t>
      </w:r>
      <w:r>
        <w:rPr>
          <w:rFonts w:ascii="Arial" w:hAnsi="Arial" w:cs="Arial"/>
          <w:lang w:val="es-CO"/>
        </w:rPr>
        <w:t xml:space="preserve"> o accionista. </w:t>
      </w:r>
    </w:p>
    <w:p w14:paraId="3110E38D" w14:textId="77777777" w:rsidR="00B2442D" w:rsidRDefault="00B2442D">
      <w:pPr>
        <w:jc w:val="both"/>
        <w:rPr>
          <w:rFonts w:ascii="Arial" w:hAnsi="Arial" w:cs="Arial"/>
          <w:lang w:val="es-CO"/>
        </w:rPr>
      </w:pPr>
    </w:p>
    <w:p w14:paraId="6FF6676B" w14:textId="77777777" w:rsidR="00B2442D" w:rsidRDefault="008A645F">
      <w:pPr>
        <w:jc w:val="both"/>
        <w:rPr>
          <w:rFonts w:ascii="Arial" w:hAnsi="Arial" w:cs="Arial"/>
          <w:lang w:val="es-CO"/>
        </w:rPr>
      </w:pPr>
      <w:r>
        <w:rPr>
          <w:rFonts w:ascii="Arial" w:hAnsi="Arial" w:cs="Arial"/>
          <w:lang w:val="es-CO"/>
        </w:rPr>
        <w:t>3. El resultado así obtenido se multiplica por el porcentaje de participación al momento de la venta, de las acciones o cuotas de interés social enajenadas, dentro del capital de la sociedad y representa la parte no constitutiva de renta n</w:t>
      </w:r>
      <w:r>
        <w:rPr>
          <w:rFonts w:ascii="Arial" w:hAnsi="Arial" w:cs="Arial"/>
          <w:lang w:val="es-CO"/>
        </w:rPr>
        <w:t>i de ganancia ocasional en la enajenación de las acciones o cuotas de interés social.</w:t>
      </w:r>
    </w:p>
    <w:p w14:paraId="5AEA73D9" w14:textId="77777777" w:rsidR="00B2442D" w:rsidRDefault="00B2442D">
      <w:pPr>
        <w:jc w:val="both"/>
        <w:rPr>
          <w:rFonts w:ascii="Arial" w:hAnsi="Arial" w:cs="Arial"/>
          <w:i/>
          <w:lang w:val="es-CO"/>
        </w:rPr>
      </w:pPr>
    </w:p>
    <w:p w14:paraId="6F6B2EF6" w14:textId="77777777" w:rsidR="00B2442D" w:rsidRDefault="008A645F">
      <w:pPr>
        <w:jc w:val="both"/>
        <w:rPr>
          <w:rFonts w:ascii="Arial" w:hAnsi="Arial" w:cs="Arial"/>
          <w:i/>
          <w:lang w:val="es-CO"/>
        </w:rPr>
      </w:pPr>
      <w:r>
        <w:rPr>
          <w:rFonts w:ascii="Arial" w:hAnsi="Arial" w:cs="Arial"/>
          <w:i/>
          <w:lang w:val="es-CO"/>
        </w:rPr>
        <w:t>(Art. 8, Decreto 0836 de 1991. Último inciso tiene decaimiento por evolución normativa (Art. 2 Ley 488 de 1998)</w:t>
      </w:r>
    </w:p>
    <w:p w14:paraId="7DF5791E" w14:textId="77777777" w:rsidR="00B2442D" w:rsidRDefault="00B2442D">
      <w:pPr>
        <w:rPr>
          <w:rFonts w:ascii="Arial" w:hAnsi="Arial" w:cs="Arial"/>
          <w:b/>
          <w:lang w:val="es-CO"/>
        </w:rPr>
      </w:pPr>
    </w:p>
    <w:p w14:paraId="4D346783" w14:textId="77777777" w:rsidR="00B2442D" w:rsidRDefault="008A645F">
      <w:pPr>
        <w:pStyle w:val="Prrafodelista"/>
        <w:numPr>
          <w:ilvl w:val="0"/>
          <w:numId w:val="45"/>
        </w:numPr>
        <w:ind w:left="0" w:firstLine="0"/>
        <w:jc w:val="both"/>
        <w:rPr>
          <w:rFonts w:ascii="Arial" w:hAnsi="Arial" w:cs="Arial"/>
        </w:rPr>
      </w:pPr>
      <w:r>
        <w:rPr>
          <w:rFonts w:ascii="Arial" w:hAnsi="Arial" w:cs="Arial"/>
          <w:b/>
          <w:i/>
        </w:rPr>
        <w:t>Requisitos para el retiro de los recursos depositados en</w:t>
      </w:r>
      <w:r>
        <w:rPr>
          <w:rFonts w:ascii="Arial" w:hAnsi="Arial" w:cs="Arial"/>
          <w:b/>
          <w:i/>
        </w:rPr>
        <w:t xml:space="preserve"> la cuentas –AFC. </w:t>
      </w:r>
      <w:r>
        <w:rPr>
          <w:rFonts w:ascii="Arial" w:hAnsi="Arial" w:cs="Arial"/>
        </w:rPr>
        <w:t>Tratándose de los recursos depositados en las Cuentas de Ahorro para el Fomento de la Construcción (AFC) en virtud de la ganancia ocasional exenta establecida en el artículo 311-1 del Estatuto Tributario, estos solo pueden ser retirados p</w:t>
      </w:r>
      <w:r>
        <w:rPr>
          <w:rFonts w:ascii="Arial" w:hAnsi="Arial" w:cs="Arial"/>
        </w:rPr>
        <w:t xml:space="preserve">ara la adquisición de casa o apartamento de habitación, ya sea por compra de contado, o a través de créditos hipotecarios o contratos de </w:t>
      </w:r>
      <w:r>
        <w:rPr>
          <w:rFonts w:ascii="Arial" w:hAnsi="Arial" w:cs="Arial"/>
          <w:i/>
        </w:rPr>
        <w:t>leasing</w:t>
      </w:r>
      <w:r>
        <w:rPr>
          <w:rFonts w:ascii="Arial" w:hAnsi="Arial" w:cs="Arial"/>
        </w:rPr>
        <w:t xml:space="preserve"> habitacional otorgados por entidades sujetas a la inspección y vigilancia de la Superintendencia Financiera de </w:t>
      </w:r>
      <w:r>
        <w:rPr>
          <w:rFonts w:ascii="Arial" w:hAnsi="Arial" w:cs="Arial"/>
        </w:rPr>
        <w:t xml:space="preserve">Colombia, para atender el pago de la cuota inicial, para el pago de la opción de compra, tratándose del </w:t>
      </w:r>
      <w:r>
        <w:rPr>
          <w:rFonts w:ascii="Arial" w:hAnsi="Arial" w:cs="Arial"/>
          <w:i/>
        </w:rPr>
        <w:t>leasing</w:t>
      </w:r>
      <w:r>
        <w:rPr>
          <w:rFonts w:ascii="Arial" w:hAnsi="Arial" w:cs="Arial"/>
        </w:rPr>
        <w:t xml:space="preserve"> habitacional, o para el pago del precio en la etapa de preventa del proyecto en el caso del fideicomiso inmobiliario.</w:t>
      </w:r>
    </w:p>
    <w:p w14:paraId="6E73F0EB" w14:textId="77777777" w:rsidR="00B2442D" w:rsidRDefault="00B2442D">
      <w:pPr>
        <w:jc w:val="both"/>
        <w:rPr>
          <w:rFonts w:ascii="Arial" w:hAnsi="Arial" w:cs="Arial"/>
        </w:rPr>
      </w:pPr>
    </w:p>
    <w:p w14:paraId="70EE4986" w14:textId="77777777" w:rsidR="00B2442D" w:rsidRDefault="008A645F">
      <w:pPr>
        <w:jc w:val="both"/>
        <w:rPr>
          <w:rFonts w:ascii="Arial" w:hAnsi="Arial" w:cs="Arial"/>
        </w:rPr>
      </w:pPr>
      <w:r>
        <w:rPr>
          <w:rFonts w:ascii="Arial" w:hAnsi="Arial" w:cs="Arial"/>
        </w:rPr>
        <w:t>En el evento en que la ad</w:t>
      </w:r>
      <w:r>
        <w:rPr>
          <w:rFonts w:ascii="Arial" w:hAnsi="Arial" w:cs="Arial"/>
        </w:rPr>
        <w:t>quisición de vivienda se realice sin financiación, previamente al retiro debe acreditarse ante la entidad financiera que los recursos se destinarán a dicha adquisición, de la siguiente forma:</w:t>
      </w:r>
    </w:p>
    <w:p w14:paraId="00879817" w14:textId="77777777" w:rsidR="00B2442D" w:rsidRDefault="00B2442D">
      <w:pPr>
        <w:jc w:val="both"/>
        <w:rPr>
          <w:rFonts w:ascii="Arial" w:hAnsi="Arial" w:cs="Arial"/>
        </w:rPr>
      </w:pPr>
    </w:p>
    <w:p w14:paraId="6CE247F3" w14:textId="77777777" w:rsidR="00B2442D" w:rsidRDefault="008A645F">
      <w:pPr>
        <w:ind w:left="284" w:hanging="284"/>
        <w:jc w:val="both"/>
        <w:rPr>
          <w:rFonts w:ascii="Arial" w:hAnsi="Arial" w:cs="Arial"/>
        </w:rPr>
      </w:pPr>
      <w:r>
        <w:rPr>
          <w:rFonts w:ascii="Arial" w:hAnsi="Arial" w:cs="Arial"/>
        </w:rPr>
        <w:t>a)</w:t>
      </w:r>
      <w:r>
        <w:rPr>
          <w:rFonts w:ascii="Arial" w:hAnsi="Arial" w:cs="Arial"/>
        </w:rPr>
        <w:tab/>
        <w:t>El comprador entregará a la entidad financiera una copia aut</w:t>
      </w:r>
      <w:r>
        <w:rPr>
          <w:rFonts w:ascii="Arial" w:hAnsi="Arial" w:cs="Arial"/>
        </w:rPr>
        <w:t>éntica de la promesa de compraventa suscrita con el vendedor, donde conste las condiciones de pago de la casa o apartamento de habitación;</w:t>
      </w:r>
    </w:p>
    <w:p w14:paraId="3FEF2BD1" w14:textId="77777777" w:rsidR="00B2442D" w:rsidRDefault="00B2442D">
      <w:pPr>
        <w:ind w:left="284" w:hanging="284"/>
        <w:jc w:val="both"/>
        <w:rPr>
          <w:rFonts w:ascii="Arial" w:hAnsi="Arial" w:cs="Arial"/>
        </w:rPr>
      </w:pPr>
    </w:p>
    <w:p w14:paraId="5570BD94" w14:textId="77777777" w:rsidR="00B2442D" w:rsidRDefault="008A645F">
      <w:pPr>
        <w:ind w:left="284" w:hanging="284"/>
        <w:jc w:val="both"/>
        <w:rPr>
          <w:rFonts w:ascii="Arial" w:hAnsi="Arial" w:cs="Arial"/>
        </w:rPr>
      </w:pPr>
      <w:r>
        <w:rPr>
          <w:rFonts w:ascii="Arial" w:hAnsi="Arial" w:cs="Arial"/>
        </w:rPr>
        <w:t>b)</w:t>
      </w:r>
      <w:r>
        <w:rPr>
          <w:rFonts w:ascii="Arial" w:hAnsi="Arial" w:cs="Arial"/>
        </w:rPr>
        <w:tab/>
        <w:t xml:space="preserve">De acuerdo con las condiciones establecidas en la copia auténtica de la promesa de compraventa, la entidad </w:t>
      </w:r>
      <w:r>
        <w:rPr>
          <w:rFonts w:ascii="Arial" w:hAnsi="Arial" w:cs="Arial"/>
        </w:rPr>
        <w:t>financiera podrá girar los recursos de la cuenta AFC, manteniendo como reserva el valor equivalente a la retención en la fuente contingente que corresponda al valor del retiro;</w:t>
      </w:r>
    </w:p>
    <w:p w14:paraId="6125A9A2" w14:textId="77777777" w:rsidR="00B2442D" w:rsidRDefault="00B2442D">
      <w:pPr>
        <w:ind w:left="284" w:hanging="284"/>
        <w:jc w:val="both"/>
        <w:rPr>
          <w:rFonts w:ascii="Arial" w:hAnsi="Arial" w:cs="Arial"/>
        </w:rPr>
      </w:pPr>
    </w:p>
    <w:p w14:paraId="7CE9A801" w14:textId="77777777" w:rsidR="00B2442D" w:rsidRDefault="008A645F">
      <w:pPr>
        <w:ind w:left="284" w:hanging="284"/>
        <w:jc w:val="both"/>
        <w:rPr>
          <w:rFonts w:ascii="Arial" w:hAnsi="Arial" w:cs="Arial"/>
        </w:rPr>
      </w:pPr>
      <w:r>
        <w:rPr>
          <w:rFonts w:ascii="Arial" w:hAnsi="Arial" w:cs="Arial"/>
        </w:rPr>
        <w:t>c)</w:t>
      </w:r>
      <w:r>
        <w:rPr>
          <w:rFonts w:ascii="Arial" w:hAnsi="Arial" w:cs="Arial"/>
        </w:rPr>
        <w:tab/>
        <w:t>Dentro de un término máximo de un (1) mes siguiente a la fecha de retiro de</w:t>
      </w:r>
      <w:r>
        <w:rPr>
          <w:rFonts w:ascii="Arial" w:hAnsi="Arial" w:cs="Arial"/>
        </w:rPr>
        <w:t xml:space="preserve"> los recursos, el cuentahabiente debe aportar a la entidad financiera una copia de la escritura pública donde conste la compra de la casa o apartamento de habitación por parte del cuentahabiente;</w:t>
      </w:r>
    </w:p>
    <w:p w14:paraId="2ADF2DBE" w14:textId="77777777" w:rsidR="00B2442D" w:rsidRDefault="00B2442D">
      <w:pPr>
        <w:ind w:left="284" w:hanging="284"/>
        <w:jc w:val="both"/>
        <w:rPr>
          <w:rFonts w:ascii="Arial" w:hAnsi="Arial" w:cs="Arial"/>
        </w:rPr>
      </w:pPr>
    </w:p>
    <w:p w14:paraId="4EEAA3C5" w14:textId="77777777" w:rsidR="00B2442D" w:rsidRDefault="008A645F">
      <w:pPr>
        <w:ind w:left="284" w:hanging="284"/>
        <w:jc w:val="both"/>
        <w:rPr>
          <w:rFonts w:ascii="Arial" w:hAnsi="Arial" w:cs="Arial"/>
        </w:rPr>
      </w:pPr>
      <w:r>
        <w:rPr>
          <w:rFonts w:ascii="Arial" w:hAnsi="Arial" w:cs="Arial"/>
        </w:rPr>
        <w:t>d)</w:t>
      </w:r>
      <w:r>
        <w:rPr>
          <w:rFonts w:ascii="Arial" w:hAnsi="Arial" w:cs="Arial"/>
        </w:rPr>
        <w:tab/>
        <w:t>Si el comprador no entrega la copia de la escritura públ</w:t>
      </w:r>
      <w:r>
        <w:rPr>
          <w:rFonts w:ascii="Arial" w:hAnsi="Arial" w:cs="Arial"/>
        </w:rPr>
        <w:t>ica a la entidad financiera dentro del término establecido en el literal anterior, la entidad financiera efectuará la retención contingente y la consignará en la declaración de retención en la fuente del respectivo mes en que debió aportarse la copia de la</w:t>
      </w:r>
      <w:r>
        <w:rPr>
          <w:rFonts w:ascii="Arial" w:hAnsi="Arial" w:cs="Arial"/>
        </w:rPr>
        <w:t xml:space="preserve"> escritura pública.</w:t>
      </w:r>
    </w:p>
    <w:p w14:paraId="1A999CED" w14:textId="77777777" w:rsidR="00B2442D" w:rsidRDefault="00B2442D">
      <w:pPr>
        <w:jc w:val="both"/>
        <w:rPr>
          <w:rFonts w:ascii="Arial" w:hAnsi="Arial" w:cs="Arial"/>
        </w:rPr>
      </w:pPr>
    </w:p>
    <w:p w14:paraId="1225FA34" w14:textId="77777777" w:rsidR="00B2442D" w:rsidRDefault="008A645F">
      <w:pPr>
        <w:jc w:val="both"/>
        <w:rPr>
          <w:rFonts w:ascii="Arial" w:hAnsi="Arial" w:cs="Arial"/>
        </w:rPr>
      </w:pPr>
      <w:r>
        <w:rPr>
          <w:rFonts w:ascii="Arial" w:hAnsi="Arial" w:cs="Arial"/>
        </w:rPr>
        <w:t>En el evento en que la adquisición de vivienda se realice con financiación, previamente al retiro debe acreditarse ante la entidad financiera que los recursos se destinarán a dicha adquisición, con alguno de los siguientes documentos:</w:t>
      </w:r>
    </w:p>
    <w:p w14:paraId="55FC6904" w14:textId="77777777" w:rsidR="00B2442D" w:rsidRDefault="00B2442D">
      <w:pPr>
        <w:jc w:val="both"/>
        <w:rPr>
          <w:rFonts w:ascii="Arial" w:hAnsi="Arial" w:cs="Arial"/>
        </w:rPr>
      </w:pPr>
    </w:p>
    <w:p w14:paraId="4F55AD45" w14:textId="77777777" w:rsidR="00B2442D" w:rsidRDefault="008A645F">
      <w:pPr>
        <w:ind w:left="426" w:hanging="426"/>
        <w:jc w:val="both"/>
        <w:rPr>
          <w:rFonts w:ascii="Arial" w:hAnsi="Arial" w:cs="Arial"/>
        </w:rPr>
      </w:pPr>
      <w:r>
        <w:rPr>
          <w:rFonts w:ascii="Arial" w:hAnsi="Arial" w:cs="Arial"/>
        </w:rPr>
        <w:t>a)</w:t>
      </w:r>
      <w:r>
        <w:rPr>
          <w:rFonts w:ascii="Arial" w:hAnsi="Arial" w:cs="Arial"/>
        </w:rPr>
        <w:tab/>
        <w:t>Tratándose del retiro para pagar la cuota inicial de la casa o apartamento de habitación, nuevo o usado, el comprador deberá presentar copia de la promesa de compraventa en la cual conste la forma de pago del bien;</w:t>
      </w:r>
    </w:p>
    <w:p w14:paraId="24E522B5" w14:textId="77777777" w:rsidR="00B2442D" w:rsidRDefault="00B2442D">
      <w:pPr>
        <w:ind w:left="426" w:hanging="426"/>
        <w:jc w:val="both"/>
        <w:rPr>
          <w:rFonts w:ascii="Arial" w:hAnsi="Arial" w:cs="Arial"/>
        </w:rPr>
      </w:pPr>
    </w:p>
    <w:p w14:paraId="05715026" w14:textId="77777777" w:rsidR="00B2442D" w:rsidRDefault="008A645F">
      <w:pPr>
        <w:ind w:left="426" w:hanging="426"/>
        <w:jc w:val="both"/>
        <w:rPr>
          <w:rFonts w:ascii="Arial" w:hAnsi="Arial" w:cs="Arial"/>
        </w:rPr>
      </w:pPr>
      <w:r>
        <w:rPr>
          <w:rFonts w:ascii="Arial" w:hAnsi="Arial" w:cs="Arial"/>
        </w:rPr>
        <w:t>b)</w:t>
      </w:r>
      <w:r>
        <w:rPr>
          <w:rFonts w:ascii="Arial" w:hAnsi="Arial" w:cs="Arial"/>
        </w:rPr>
        <w:tab/>
        <w:t xml:space="preserve">Tratándose de la adquisición del </w:t>
      </w:r>
      <w:r>
        <w:rPr>
          <w:rFonts w:ascii="Arial" w:hAnsi="Arial" w:cs="Arial"/>
        </w:rPr>
        <w:t xml:space="preserve">bien inmueble a través de contratos de </w:t>
      </w:r>
      <w:r>
        <w:rPr>
          <w:rFonts w:ascii="Arial" w:hAnsi="Arial" w:cs="Arial"/>
          <w:i/>
        </w:rPr>
        <w:t>leasing</w:t>
      </w:r>
      <w:r>
        <w:rPr>
          <w:rFonts w:ascii="Arial" w:hAnsi="Arial" w:cs="Arial"/>
        </w:rPr>
        <w:t xml:space="preserve"> habitacional, y el retiro de la cuenta AFC esté destinado al pago de intereses de anticipos, sin haberse presentado activación del contrato, deberá presentarse copia del contrato de </w:t>
      </w:r>
      <w:r>
        <w:rPr>
          <w:rFonts w:ascii="Arial" w:hAnsi="Arial" w:cs="Arial"/>
          <w:i/>
        </w:rPr>
        <w:t>leasing</w:t>
      </w:r>
      <w:r>
        <w:rPr>
          <w:rFonts w:ascii="Arial" w:hAnsi="Arial" w:cs="Arial"/>
        </w:rPr>
        <w:t xml:space="preserve"> donde conste la for</w:t>
      </w:r>
      <w:r>
        <w:rPr>
          <w:rFonts w:ascii="Arial" w:hAnsi="Arial" w:cs="Arial"/>
        </w:rPr>
        <w:t>ma de pago de los intereses, y la promesa de compraventa donde consten los desembolsos de los anticipos para la adquisición del bien;</w:t>
      </w:r>
    </w:p>
    <w:p w14:paraId="671C85D6" w14:textId="77777777" w:rsidR="00B2442D" w:rsidRDefault="00B2442D">
      <w:pPr>
        <w:ind w:left="426" w:hanging="426"/>
        <w:jc w:val="both"/>
        <w:rPr>
          <w:rFonts w:ascii="Arial" w:hAnsi="Arial" w:cs="Arial"/>
        </w:rPr>
      </w:pPr>
    </w:p>
    <w:p w14:paraId="4C47603F" w14:textId="77777777" w:rsidR="00B2442D" w:rsidRDefault="008A645F">
      <w:pPr>
        <w:ind w:left="426" w:hanging="426"/>
        <w:jc w:val="both"/>
        <w:rPr>
          <w:rFonts w:ascii="Arial" w:hAnsi="Arial" w:cs="Arial"/>
        </w:rPr>
      </w:pPr>
      <w:r>
        <w:rPr>
          <w:rFonts w:ascii="Arial" w:hAnsi="Arial" w:cs="Arial"/>
        </w:rPr>
        <w:t>c)</w:t>
      </w:r>
      <w:r>
        <w:rPr>
          <w:rFonts w:ascii="Arial" w:hAnsi="Arial" w:cs="Arial"/>
        </w:rPr>
        <w:tab/>
        <w:t xml:space="preserve">Tratándose de la adquisición del bien a través de contratos de </w:t>
      </w:r>
      <w:r>
        <w:rPr>
          <w:rFonts w:ascii="Arial" w:hAnsi="Arial" w:cs="Arial"/>
          <w:i/>
        </w:rPr>
        <w:t>leasing</w:t>
      </w:r>
      <w:r>
        <w:rPr>
          <w:rFonts w:ascii="Arial" w:hAnsi="Arial" w:cs="Arial"/>
        </w:rPr>
        <w:t xml:space="preserve"> habitacional, y el retiro de la cuenta AFC esté</w:t>
      </w:r>
      <w:r>
        <w:rPr>
          <w:rFonts w:ascii="Arial" w:hAnsi="Arial" w:cs="Arial"/>
        </w:rPr>
        <w:t xml:space="preserve"> destinado al pago de cánones o de la opción de compra, deberá presentarse copia del contrato de </w:t>
      </w:r>
      <w:r>
        <w:rPr>
          <w:rFonts w:ascii="Arial" w:hAnsi="Arial" w:cs="Arial"/>
          <w:i/>
        </w:rPr>
        <w:t>leasing</w:t>
      </w:r>
      <w:r>
        <w:rPr>
          <w:rFonts w:ascii="Arial" w:hAnsi="Arial" w:cs="Arial"/>
        </w:rPr>
        <w:t xml:space="preserve"> donde conste las condiciones de pago.</w:t>
      </w:r>
    </w:p>
    <w:p w14:paraId="6944343D" w14:textId="77777777" w:rsidR="00B2442D" w:rsidRDefault="00B2442D">
      <w:pPr>
        <w:ind w:left="426" w:hanging="426"/>
        <w:jc w:val="both"/>
        <w:rPr>
          <w:rFonts w:ascii="Arial" w:hAnsi="Arial" w:cs="Arial"/>
        </w:rPr>
      </w:pPr>
    </w:p>
    <w:p w14:paraId="789502D1" w14:textId="77777777" w:rsidR="00B2442D" w:rsidRDefault="008A645F">
      <w:pPr>
        <w:ind w:left="426" w:hanging="426"/>
        <w:jc w:val="both"/>
        <w:rPr>
          <w:rFonts w:ascii="Arial" w:hAnsi="Arial" w:cs="Arial"/>
        </w:rPr>
      </w:pPr>
      <w:r>
        <w:rPr>
          <w:rFonts w:ascii="Arial" w:hAnsi="Arial" w:cs="Arial"/>
        </w:rPr>
        <w:t xml:space="preserve">d) </w:t>
      </w:r>
      <w:r>
        <w:rPr>
          <w:rFonts w:ascii="Arial" w:hAnsi="Arial" w:cs="Arial"/>
        </w:rPr>
        <w:tab/>
        <w:t>Si la compra del inmueble se realiza a través de un fideicomiso inmobiliario, y el retiro se realiza para el</w:t>
      </w:r>
      <w:r>
        <w:rPr>
          <w:rFonts w:ascii="Arial" w:hAnsi="Arial" w:cs="Arial"/>
        </w:rPr>
        <w:t xml:space="preserve"> pago del precio en la etapa de preventa del proyecto, deberá presentarse copia del documento donde consten las condiciones básicas de la adquisición de vivienda.</w:t>
      </w:r>
    </w:p>
    <w:p w14:paraId="0799F308" w14:textId="77777777" w:rsidR="00B2442D" w:rsidRDefault="00B2442D">
      <w:pPr>
        <w:jc w:val="both"/>
        <w:rPr>
          <w:rFonts w:ascii="Arial" w:hAnsi="Arial" w:cs="Arial"/>
        </w:rPr>
      </w:pPr>
    </w:p>
    <w:p w14:paraId="380D2AFC" w14:textId="77777777" w:rsidR="00B2442D" w:rsidRDefault="008A645F">
      <w:pPr>
        <w:jc w:val="both"/>
        <w:rPr>
          <w:rFonts w:ascii="Arial" w:hAnsi="Arial" w:cs="Arial"/>
        </w:rPr>
      </w:pPr>
      <w:r>
        <w:rPr>
          <w:rFonts w:ascii="Arial" w:hAnsi="Arial" w:cs="Arial"/>
        </w:rPr>
        <w:t>En este caso, la entidad financiera mantendrá como reserva el valor equivalente a la retenci</w:t>
      </w:r>
      <w:r>
        <w:rPr>
          <w:rFonts w:ascii="Arial" w:hAnsi="Arial" w:cs="Arial"/>
        </w:rPr>
        <w:t xml:space="preserve">ón en la fuente contingente que corresponda al valor de los retiros, hasta que el cuentahabiente aporte a la entidad financiera una copia de la escritura pública donde conste la adquisición de la casa o apartamento de habitación, que en todo caso no podrá </w:t>
      </w:r>
      <w:r>
        <w:rPr>
          <w:rFonts w:ascii="Arial" w:hAnsi="Arial" w:cs="Arial"/>
        </w:rPr>
        <w:t>superar el plazo establecido en el contrato de vinculación suscrito entre el cuentahabiente y la entidad fiduciaria.</w:t>
      </w:r>
    </w:p>
    <w:p w14:paraId="6C36DE69" w14:textId="77777777" w:rsidR="00B2442D" w:rsidRDefault="00B2442D">
      <w:pPr>
        <w:jc w:val="both"/>
        <w:rPr>
          <w:rFonts w:ascii="Arial" w:hAnsi="Arial" w:cs="Arial"/>
        </w:rPr>
      </w:pPr>
    </w:p>
    <w:p w14:paraId="0FFF4C52" w14:textId="77777777" w:rsidR="00B2442D" w:rsidRDefault="008A645F">
      <w:pPr>
        <w:jc w:val="both"/>
        <w:rPr>
          <w:rFonts w:ascii="Arial" w:hAnsi="Arial" w:cs="Arial"/>
        </w:rPr>
      </w:pPr>
      <w:r>
        <w:rPr>
          <w:rFonts w:ascii="Arial" w:hAnsi="Arial" w:cs="Arial"/>
        </w:rPr>
        <w:t xml:space="preserve">Si el cuentahabiente no aporta la copia de la escritura pública dentro del plazo señalado en el contrato fiduciario, la entidad </w:t>
      </w:r>
      <w:r>
        <w:rPr>
          <w:rFonts w:ascii="Arial" w:hAnsi="Arial" w:cs="Arial"/>
        </w:rPr>
        <w:t>financiera efectuará la retención contingente y la consignará en la declaración de retención en la fuente del respectivo mes en que debió aportarse la copia de la escritura pública.</w:t>
      </w:r>
    </w:p>
    <w:p w14:paraId="501FA81A" w14:textId="77777777" w:rsidR="00B2442D" w:rsidRDefault="00B2442D">
      <w:pPr>
        <w:jc w:val="both"/>
        <w:rPr>
          <w:rFonts w:ascii="Arial" w:hAnsi="Arial" w:cs="Arial"/>
        </w:rPr>
      </w:pPr>
    </w:p>
    <w:p w14:paraId="6980BDC4" w14:textId="77777777" w:rsidR="00B2442D" w:rsidRDefault="008A645F">
      <w:pPr>
        <w:jc w:val="both"/>
        <w:rPr>
          <w:rFonts w:ascii="Arial" w:hAnsi="Arial" w:cs="Arial"/>
        </w:rPr>
      </w:pPr>
      <w:r>
        <w:rPr>
          <w:rFonts w:ascii="Arial" w:hAnsi="Arial" w:cs="Arial"/>
        </w:rPr>
        <w:t xml:space="preserve">El retiro parcial o total de los recursos para cualquier otro propósito, </w:t>
      </w:r>
      <w:r>
        <w:rPr>
          <w:rFonts w:ascii="Arial" w:hAnsi="Arial" w:cs="Arial"/>
        </w:rPr>
        <w:t xml:space="preserve">o el incumplimiento de alguno de los requisitos previstos en este artículo implica que el contribuyente pierda el beneficio otorgado por el artículo 311-1 del Estatuto Tributario, y que se efectúe por parte de la respectiva entidad financiera la retención </w:t>
      </w:r>
      <w:r>
        <w:rPr>
          <w:rFonts w:ascii="Arial" w:hAnsi="Arial" w:cs="Arial"/>
        </w:rPr>
        <w:t xml:space="preserve">en la fuente dejada de efectuar por el Notario, sobre los recursos retirados sin el cumplimiento de los requisitos, de acuerdo con las normas generales en materia de retención en la fuente por enajenación de activos que corresponda a la casa o apartamento </w:t>
      </w:r>
      <w:r>
        <w:rPr>
          <w:rFonts w:ascii="Arial" w:hAnsi="Arial" w:cs="Arial"/>
        </w:rPr>
        <w:t>de habitación.</w:t>
      </w:r>
    </w:p>
    <w:p w14:paraId="0AFCFD9F" w14:textId="77777777" w:rsidR="00B2442D" w:rsidRDefault="00B2442D">
      <w:pPr>
        <w:jc w:val="both"/>
        <w:rPr>
          <w:rFonts w:ascii="Arial" w:hAnsi="Arial" w:cs="Arial"/>
        </w:rPr>
      </w:pPr>
    </w:p>
    <w:p w14:paraId="269A6214" w14:textId="77777777" w:rsidR="00B2442D" w:rsidRDefault="008A645F">
      <w:pPr>
        <w:jc w:val="both"/>
        <w:rPr>
          <w:rFonts w:ascii="Arial" w:hAnsi="Arial" w:cs="Arial"/>
          <w:i/>
          <w:lang w:val="es-ES_tradnl"/>
        </w:rPr>
      </w:pPr>
      <w:r>
        <w:rPr>
          <w:rFonts w:ascii="Arial" w:hAnsi="Arial" w:cs="Arial"/>
          <w:i/>
          <w:lang w:val="es-ES_tradnl"/>
        </w:rPr>
        <w:t>(Art. 4, Decreto 2344 de 2014)</w:t>
      </w:r>
    </w:p>
    <w:p w14:paraId="0BB15E47" w14:textId="77777777" w:rsidR="00B2442D" w:rsidRDefault="00B2442D">
      <w:pPr>
        <w:jc w:val="both"/>
        <w:rPr>
          <w:rFonts w:ascii="Arial" w:hAnsi="Arial" w:cs="Arial"/>
          <w:lang w:val="es-CO"/>
        </w:rPr>
      </w:pPr>
    </w:p>
    <w:p w14:paraId="2E7A886F" w14:textId="77777777" w:rsidR="00B2442D" w:rsidRDefault="008A645F">
      <w:pPr>
        <w:pStyle w:val="Ttulo3"/>
      </w:pPr>
      <w:bookmarkStart w:id="12" w:name="_Toc479171167"/>
      <w:r>
        <w:t>TÍTULO 4</w:t>
      </w:r>
      <w:bookmarkEnd w:id="12"/>
    </w:p>
    <w:p w14:paraId="2DD0DE78" w14:textId="77777777" w:rsidR="00B2442D" w:rsidRDefault="008A645F">
      <w:pPr>
        <w:pStyle w:val="Ttulo3"/>
      </w:pPr>
      <w:bookmarkStart w:id="13" w:name="_Toc479171168"/>
      <w:r>
        <w:t>Retención en la fuente a título de impuesto sobre la renta y complementario</w:t>
      </w:r>
      <w:bookmarkEnd w:id="13"/>
    </w:p>
    <w:p w14:paraId="40F37AC2" w14:textId="77777777" w:rsidR="00B2442D" w:rsidRDefault="00B2442D">
      <w:pPr>
        <w:rPr>
          <w:rFonts w:ascii="Arial" w:hAnsi="Arial" w:cs="Arial"/>
          <w:lang w:val="es-CO"/>
        </w:rPr>
      </w:pPr>
    </w:p>
    <w:p w14:paraId="57B94429"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Casos en que no se practica retención en la fuente.</w:t>
      </w:r>
      <w:r>
        <w:rPr>
          <w:rFonts w:ascii="Arial" w:hAnsi="Arial" w:cs="Arial"/>
          <w:b/>
          <w:lang w:val="es-CO"/>
        </w:rPr>
        <w:t xml:space="preserve"> </w:t>
      </w:r>
      <w:r>
        <w:rPr>
          <w:rFonts w:ascii="Arial" w:hAnsi="Arial" w:cs="Arial"/>
          <w:lang w:val="es-CO"/>
        </w:rPr>
        <w:t xml:space="preserve">No se hará retención en los siguientes casos: </w:t>
      </w:r>
    </w:p>
    <w:p w14:paraId="7978B102" w14:textId="77777777" w:rsidR="00B2442D" w:rsidRDefault="008A645F">
      <w:pPr>
        <w:jc w:val="both"/>
        <w:rPr>
          <w:rFonts w:ascii="Arial" w:hAnsi="Arial" w:cs="Arial"/>
          <w:lang w:val="es-CO"/>
        </w:rPr>
      </w:pPr>
      <w:r>
        <w:rPr>
          <w:rFonts w:ascii="Arial" w:hAnsi="Arial" w:cs="Arial"/>
          <w:lang w:val="es-CO"/>
        </w:rPr>
        <w:t xml:space="preserve"> </w:t>
      </w:r>
    </w:p>
    <w:p w14:paraId="262B8AF2" w14:textId="77777777" w:rsidR="00B2442D" w:rsidRDefault="008A645F">
      <w:pPr>
        <w:ind w:left="284" w:hanging="284"/>
        <w:jc w:val="both"/>
        <w:rPr>
          <w:rFonts w:ascii="Arial" w:hAnsi="Arial" w:cs="Arial"/>
          <w:lang w:val="es-CO"/>
        </w:rPr>
      </w:pPr>
      <w:r>
        <w:rPr>
          <w:rFonts w:ascii="Arial" w:hAnsi="Arial" w:cs="Arial"/>
          <w:lang w:val="es-CO"/>
        </w:rPr>
        <w:t xml:space="preserve">1. Cuando el pago o abono se efectúe a personas no contribuyentes del impuesto sobre la renta o exentas de dicho impuesto. </w:t>
      </w:r>
    </w:p>
    <w:p w14:paraId="6F7E2B12" w14:textId="77777777" w:rsidR="00B2442D" w:rsidRDefault="00B2442D">
      <w:pPr>
        <w:ind w:left="284" w:hanging="284"/>
        <w:jc w:val="both"/>
        <w:rPr>
          <w:rFonts w:ascii="Arial" w:hAnsi="Arial" w:cs="Arial"/>
          <w:lang w:val="es-CO"/>
        </w:rPr>
      </w:pPr>
    </w:p>
    <w:p w14:paraId="5647447A" w14:textId="77777777" w:rsidR="00B2442D" w:rsidRDefault="008A645F">
      <w:pPr>
        <w:ind w:left="284" w:hanging="284"/>
        <w:jc w:val="both"/>
        <w:rPr>
          <w:rFonts w:ascii="Arial" w:hAnsi="Arial" w:cs="Arial"/>
          <w:lang w:val="es-CO"/>
        </w:rPr>
      </w:pPr>
      <w:r>
        <w:rPr>
          <w:rFonts w:ascii="Arial" w:hAnsi="Arial" w:cs="Arial"/>
          <w:lang w:val="es-CO"/>
        </w:rPr>
        <w:t xml:space="preserve">2. Cuando con relación al mismo pago se efectúe retención en la fuente por virtud </w:t>
      </w:r>
      <w:r>
        <w:rPr>
          <w:rFonts w:ascii="Arial" w:hAnsi="Arial" w:cs="Arial"/>
          <w:lang w:val="es-CO"/>
        </w:rPr>
        <w:t>de disposiciones especiales.</w:t>
      </w:r>
    </w:p>
    <w:p w14:paraId="071AEEBD" w14:textId="77777777" w:rsidR="00B2442D" w:rsidRDefault="00B2442D">
      <w:pPr>
        <w:jc w:val="both"/>
        <w:rPr>
          <w:rFonts w:ascii="Arial" w:hAnsi="Arial" w:cs="Arial"/>
          <w:i/>
          <w:lang w:val="es-CO"/>
        </w:rPr>
      </w:pPr>
    </w:p>
    <w:p w14:paraId="2F458A26" w14:textId="77777777" w:rsidR="00B2442D" w:rsidRDefault="008A645F">
      <w:pPr>
        <w:jc w:val="both"/>
        <w:rPr>
          <w:rFonts w:ascii="Arial" w:hAnsi="Arial" w:cs="Arial"/>
          <w:i/>
          <w:lang w:val="es-CO"/>
        </w:rPr>
      </w:pPr>
      <w:r>
        <w:rPr>
          <w:rFonts w:ascii="Arial" w:hAnsi="Arial" w:cs="Arial"/>
          <w:i/>
          <w:lang w:val="es-CO"/>
        </w:rPr>
        <w:t>(Art. 14 Decreto 2026 de 1983. Numeral 3 tiene decaimiento por evolución normativa (Art. 108 de la Ley 75 de 1986)</w:t>
      </w:r>
      <w:r>
        <w:rPr>
          <w:rFonts w:ascii="Arial" w:hAnsi="Arial" w:cs="Arial"/>
        </w:rPr>
        <w:t xml:space="preserve"> (</w:t>
      </w:r>
      <w:r>
        <w:rPr>
          <w:rFonts w:ascii="Arial" w:hAnsi="Arial" w:cs="Arial"/>
          <w:i/>
          <w:lang w:val="es-CO"/>
        </w:rPr>
        <w:t>Sin perjuicio de lo dispuesto en el artículo 7° del Decreto 2026 de 1983, este último rige a partir de la fech</w:t>
      </w:r>
      <w:r>
        <w:rPr>
          <w:rFonts w:ascii="Arial" w:hAnsi="Arial" w:cs="Arial"/>
          <w:i/>
          <w:lang w:val="es-CO"/>
        </w:rPr>
        <w:t>a de su expedición y deroga el Decreto 1663 de 1983 y demás disposiciones que le sean contrarias. Art. 25, Decreto 2026 de 1983)</w:t>
      </w:r>
    </w:p>
    <w:p w14:paraId="19D1A435" w14:textId="77777777" w:rsidR="00B2442D" w:rsidRDefault="00B2442D">
      <w:pPr>
        <w:jc w:val="both"/>
        <w:rPr>
          <w:rFonts w:ascii="Arial" w:hAnsi="Arial" w:cs="Arial"/>
          <w:lang w:val="es-CO"/>
        </w:rPr>
      </w:pPr>
    </w:p>
    <w:p w14:paraId="1A9534E9"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Prueba de la calidad del beneficiario del pago.</w:t>
      </w:r>
      <w:r>
        <w:rPr>
          <w:rFonts w:ascii="Arial" w:hAnsi="Arial" w:cs="Arial"/>
          <w:lang w:val="es-CO"/>
        </w:rPr>
        <w:t xml:space="preserve"> Cuando el beneficiario del pago o abono sea una persona no contribuyente o exe</w:t>
      </w:r>
      <w:r>
        <w:rPr>
          <w:rFonts w:ascii="Arial" w:hAnsi="Arial" w:cs="Arial"/>
          <w:lang w:val="es-CO"/>
        </w:rPr>
        <w:t xml:space="preserve">nta del impuesto sobre la renta, deberá acreditar tal circunstancia ante el retenedor quien conservará la prueba correspondiente, para ser presentada ante la Administración de Impuestos, cuando esta lo exija. </w:t>
      </w:r>
    </w:p>
    <w:p w14:paraId="691B9633" w14:textId="77777777" w:rsidR="00B2442D" w:rsidRDefault="00B2442D">
      <w:pPr>
        <w:jc w:val="both"/>
        <w:rPr>
          <w:rFonts w:ascii="Arial" w:hAnsi="Arial" w:cs="Arial"/>
          <w:lang w:val="es-CO"/>
        </w:rPr>
      </w:pPr>
    </w:p>
    <w:p w14:paraId="625E0E46" w14:textId="77777777" w:rsidR="00B2442D" w:rsidRDefault="008A645F">
      <w:pPr>
        <w:jc w:val="both"/>
        <w:rPr>
          <w:rFonts w:ascii="Arial" w:hAnsi="Arial" w:cs="Arial"/>
          <w:lang w:val="es-CO"/>
        </w:rPr>
      </w:pPr>
      <w:r>
        <w:rPr>
          <w:rFonts w:ascii="Arial" w:hAnsi="Arial" w:cs="Arial"/>
          <w:lang w:val="es-CO"/>
        </w:rPr>
        <w:t>Tratándose de corporaciones y asociaciones si</w:t>
      </w:r>
      <w:r>
        <w:rPr>
          <w:rFonts w:ascii="Arial" w:hAnsi="Arial" w:cs="Arial"/>
          <w:lang w:val="es-CO"/>
        </w:rPr>
        <w:t>n ánimo de lucro y de fundaciones o instituciones de utilidad común, se demostrará la calidad de tal, mediante certificación expedida por el organismo oficial al cual corresponda la vigilancia y control de cada entidad, o por aquél que haya reconocido la p</w:t>
      </w:r>
      <w:r>
        <w:rPr>
          <w:rFonts w:ascii="Arial" w:hAnsi="Arial" w:cs="Arial"/>
          <w:lang w:val="es-CO"/>
        </w:rPr>
        <w:t>ersonería jurídica, caso este en el cual se deberá acreditar la vigencia de la misma.</w:t>
      </w:r>
    </w:p>
    <w:p w14:paraId="4D5674E9" w14:textId="77777777" w:rsidR="00B2442D" w:rsidRDefault="00B2442D">
      <w:pPr>
        <w:rPr>
          <w:rFonts w:ascii="Arial" w:hAnsi="Arial" w:cs="Arial"/>
          <w:i/>
          <w:lang w:val="es-CO"/>
        </w:rPr>
      </w:pPr>
    </w:p>
    <w:p w14:paraId="08CFF48D" w14:textId="77777777" w:rsidR="00B2442D" w:rsidRDefault="008A645F">
      <w:pPr>
        <w:jc w:val="both"/>
        <w:rPr>
          <w:rFonts w:ascii="Arial" w:hAnsi="Arial" w:cs="Arial"/>
          <w:b/>
          <w:lang w:val="es-CO"/>
        </w:rPr>
      </w:pPr>
      <w:r>
        <w:rPr>
          <w:rFonts w:ascii="Arial" w:hAnsi="Arial" w:cs="Arial"/>
          <w:i/>
          <w:lang w:val="es-CO"/>
        </w:rPr>
        <w:t>(Art. 15 Decreto 2026 de 1983)</w:t>
      </w:r>
      <w:r>
        <w:rPr>
          <w:rFonts w:ascii="Arial" w:hAnsi="Arial" w:cs="Arial"/>
        </w:rPr>
        <w:t xml:space="preserve"> </w:t>
      </w:r>
      <w:r>
        <w:rPr>
          <w:rFonts w:ascii="Arial" w:hAnsi="Arial" w:cs="Arial"/>
          <w:i/>
          <w:lang w:val="es-CO"/>
        </w:rPr>
        <w:t>(Sin perjuicio de lo dispuesto en el artículo 7° del Decreto 2026 de 1983, este último rige a partir de la fecha de su expedición y deroga</w:t>
      </w:r>
      <w:r>
        <w:rPr>
          <w:rFonts w:ascii="Arial" w:hAnsi="Arial" w:cs="Arial"/>
          <w:i/>
          <w:lang w:val="es-CO"/>
        </w:rPr>
        <w:t xml:space="preserve"> el Decreto 1663 de 1983 y demás disposiciones que le sean contrarias. Art. 25, Decreto 2026 de 1983)</w:t>
      </w:r>
    </w:p>
    <w:p w14:paraId="2CE579E6" w14:textId="77777777" w:rsidR="00B2442D" w:rsidRDefault="00B2442D">
      <w:pPr>
        <w:jc w:val="both"/>
        <w:rPr>
          <w:rFonts w:ascii="Arial" w:hAnsi="Arial" w:cs="Arial"/>
          <w:lang w:val="es-CO"/>
        </w:rPr>
      </w:pPr>
    </w:p>
    <w:p w14:paraId="7A823AA0"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Obligación de los agentes retenedores.</w:t>
      </w:r>
      <w:r>
        <w:rPr>
          <w:rFonts w:ascii="Arial" w:hAnsi="Arial" w:cs="Arial"/>
          <w:lang w:val="es-CO"/>
        </w:rPr>
        <w:t xml:space="preserve"> Deberán efectuar retenciones en la fuente, a título de impuesto sobre la renta, quienes hagan pagos o abonos en cu</w:t>
      </w:r>
      <w:r>
        <w:rPr>
          <w:rFonts w:ascii="Arial" w:hAnsi="Arial" w:cs="Arial"/>
          <w:lang w:val="es-CO"/>
        </w:rPr>
        <w:t>enta por concepto de rentas sujetas a impuesto en Colombia a favor de:</w:t>
      </w:r>
    </w:p>
    <w:p w14:paraId="711016AA" w14:textId="77777777" w:rsidR="00B2442D" w:rsidRDefault="00B2442D">
      <w:pPr>
        <w:jc w:val="both"/>
        <w:rPr>
          <w:rFonts w:ascii="Arial" w:hAnsi="Arial" w:cs="Arial"/>
          <w:lang w:val="es-CO"/>
        </w:rPr>
      </w:pPr>
    </w:p>
    <w:p w14:paraId="1142726B" w14:textId="77777777" w:rsidR="00B2442D" w:rsidRDefault="008A645F">
      <w:pPr>
        <w:jc w:val="both"/>
        <w:rPr>
          <w:rFonts w:ascii="Arial" w:hAnsi="Arial" w:cs="Arial"/>
          <w:lang w:val="es-CO"/>
        </w:rPr>
      </w:pPr>
      <w:r>
        <w:rPr>
          <w:rFonts w:ascii="Arial" w:hAnsi="Arial" w:cs="Arial"/>
          <w:lang w:val="es-CO"/>
        </w:rPr>
        <w:t>1. Sociedades u otras entidades extranjeras sin domicilio en el país.</w:t>
      </w:r>
    </w:p>
    <w:p w14:paraId="3D2C33AF" w14:textId="77777777" w:rsidR="00B2442D" w:rsidRDefault="00B2442D">
      <w:pPr>
        <w:jc w:val="both"/>
        <w:rPr>
          <w:rFonts w:ascii="Arial" w:hAnsi="Arial" w:cs="Arial"/>
          <w:lang w:val="es-CO"/>
        </w:rPr>
      </w:pPr>
    </w:p>
    <w:p w14:paraId="63C79EFB" w14:textId="77777777" w:rsidR="00B2442D" w:rsidRDefault="008A645F">
      <w:pPr>
        <w:jc w:val="both"/>
        <w:rPr>
          <w:rFonts w:ascii="Arial" w:hAnsi="Arial" w:cs="Arial"/>
          <w:lang w:val="es-CO"/>
        </w:rPr>
      </w:pPr>
      <w:r>
        <w:rPr>
          <w:rFonts w:ascii="Arial" w:hAnsi="Arial" w:cs="Arial"/>
          <w:lang w:val="es-CO"/>
        </w:rPr>
        <w:t>2. Personas naturales extranjeras sin residencia en Colombia.</w:t>
      </w:r>
    </w:p>
    <w:p w14:paraId="7C2AFE4A" w14:textId="77777777" w:rsidR="00B2442D" w:rsidRDefault="00B2442D">
      <w:pPr>
        <w:jc w:val="both"/>
        <w:rPr>
          <w:rFonts w:ascii="Arial" w:hAnsi="Arial" w:cs="Arial"/>
          <w:lang w:val="es-CO"/>
        </w:rPr>
      </w:pPr>
    </w:p>
    <w:p w14:paraId="186A476F" w14:textId="77777777" w:rsidR="00B2442D" w:rsidRDefault="008A645F">
      <w:pPr>
        <w:jc w:val="both"/>
        <w:rPr>
          <w:rFonts w:ascii="Arial" w:hAnsi="Arial" w:cs="Arial"/>
          <w:lang w:val="es-CO"/>
        </w:rPr>
      </w:pPr>
      <w:r>
        <w:rPr>
          <w:rFonts w:ascii="Arial" w:hAnsi="Arial" w:cs="Arial"/>
          <w:lang w:val="es-CO"/>
        </w:rPr>
        <w:t>3. Sucesiones ilíquidas de extranjeros que no eran</w:t>
      </w:r>
      <w:r>
        <w:rPr>
          <w:rFonts w:ascii="Arial" w:hAnsi="Arial" w:cs="Arial"/>
          <w:lang w:val="es-CO"/>
        </w:rPr>
        <w:t xml:space="preserve"> residentes en Colombia.</w:t>
      </w:r>
    </w:p>
    <w:p w14:paraId="40432C30" w14:textId="77777777" w:rsidR="00B2442D" w:rsidRDefault="00B2442D">
      <w:pPr>
        <w:jc w:val="both"/>
        <w:rPr>
          <w:rFonts w:ascii="Arial" w:hAnsi="Arial" w:cs="Arial"/>
          <w:i/>
          <w:lang w:val="es-CO"/>
        </w:rPr>
      </w:pPr>
    </w:p>
    <w:p w14:paraId="6C03167C" w14:textId="77777777" w:rsidR="00B2442D" w:rsidRDefault="008A645F">
      <w:pPr>
        <w:jc w:val="both"/>
        <w:rPr>
          <w:rFonts w:ascii="Arial" w:hAnsi="Arial" w:cs="Arial"/>
          <w:i/>
          <w:lang w:val="es-CO"/>
        </w:rPr>
      </w:pPr>
      <w:r>
        <w:rPr>
          <w:rFonts w:ascii="Arial" w:hAnsi="Arial" w:cs="Arial"/>
          <w:i/>
          <w:lang w:val="es-CO"/>
        </w:rPr>
        <w:t xml:space="preserve">(Art. 11 Decreto 2579 de 1983. Literales a), b), c), d) y e) del inciso 2° y el parágrafo tienen decaimiento por evolución normativa (Art. 108 de la ley 75/86, art. 10 de la Ley 75/86 y por los artículos 9 y 95 de la Ley 1607 de </w:t>
      </w:r>
      <w:r>
        <w:rPr>
          <w:rFonts w:ascii="Arial" w:hAnsi="Arial" w:cs="Arial"/>
          <w:i/>
          <w:lang w:val="es-CO"/>
        </w:rPr>
        <w:t>2012))</w:t>
      </w:r>
    </w:p>
    <w:p w14:paraId="4D828636" w14:textId="77777777" w:rsidR="00B2442D" w:rsidRDefault="00B2442D">
      <w:pPr>
        <w:jc w:val="both"/>
        <w:rPr>
          <w:rFonts w:ascii="Arial" w:hAnsi="Arial" w:cs="Arial"/>
          <w:i/>
          <w:lang w:val="es-CO"/>
        </w:rPr>
      </w:pPr>
    </w:p>
    <w:p w14:paraId="2363A680"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Casos en que no se practica retención en la fuente. </w:t>
      </w:r>
      <w:r>
        <w:rPr>
          <w:rFonts w:ascii="Arial" w:hAnsi="Arial" w:cs="Arial"/>
          <w:lang w:val="es-CO"/>
        </w:rPr>
        <w:t xml:space="preserve">En el caso de pagos o abonos, en cuenta por concepto de intereses provenientes de valores de cesión en títulos de capitalización, o de beneficios o participación de utilidades en seguros de </w:t>
      </w:r>
      <w:r>
        <w:rPr>
          <w:rFonts w:ascii="Arial" w:hAnsi="Arial" w:cs="Arial"/>
          <w:lang w:val="es-CO"/>
        </w:rPr>
        <w:t>vida, no se hará retención en la fuente cuando el pago o abono en cuenta corresponda a un interés diario inferior a cero punto cero treinta y cinco (0,035) UVT.</w:t>
      </w:r>
    </w:p>
    <w:p w14:paraId="40F75105" w14:textId="77777777" w:rsidR="00B2442D" w:rsidRDefault="00B2442D">
      <w:pPr>
        <w:jc w:val="both"/>
        <w:rPr>
          <w:rFonts w:ascii="Arial" w:hAnsi="Arial" w:cs="Arial"/>
          <w:i/>
          <w:lang w:val="es-CO"/>
        </w:rPr>
      </w:pPr>
    </w:p>
    <w:p w14:paraId="6AEC0275" w14:textId="77777777" w:rsidR="00B2442D" w:rsidRDefault="008A645F">
      <w:pPr>
        <w:jc w:val="both"/>
        <w:rPr>
          <w:rFonts w:ascii="Arial" w:hAnsi="Arial" w:cs="Arial"/>
          <w:i/>
          <w:lang w:val="es-CO"/>
        </w:rPr>
      </w:pPr>
      <w:r>
        <w:rPr>
          <w:rFonts w:ascii="Arial" w:hAnsi="Arial" w:cs="Arial"/>
          <w:i/>
          <w:lang w:val="es-CO"/>
        </w:rPr>
        <w:t>(Art. 2, Decreto 2775 de 1983, modificado por el artículo 51 de la Ley 1111 de 2006)</w:t>
      </w:r>
    </w:p>
    <w:p w14:paraId="7B2733F1" w14:textId="77777777" w:rsidR="00B2442D" w:rsidRDefault="00B2442D">
      <w:pPr>
        <w:jc w:val="both"/>
        <w:rPr>
          <w:rFonts w:ascii="Arial" w:hAnsi="Arial" w:cs="Arial"/>
          <w:i/>
          <w:lang w:val="es-CO"/>
        </w:rPr>
      </w:pPr>
    </w:p>
    <w:p w14:paraId="2A00A50E"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Descuent</w:t>
      </w:r>
      <w:r>
        <w:rPr>
          <w:rFonts w:ascii="Arial" w:hAnsi="Arial" w:cs="Arial"/>
          <w:b/>
          <w:i/>
          <w:lang w:val="es-CO"/>
        </w:rPr>
        <w:t>os efectivos no condicionados.</w:t>
      </w:r>
      <w:r>
        <w:rPr>
          <w:rFonts w:ascii="Arial" w:hAnsi="Arial" w:cs="Arial"/>
          <w:lang w:val="es-CO"/>
        </w:rPr>
        <w:t xml:space="preserve"> No forman parte de la base para aplicar la retención en la fuente, los descuentos efectivos no condicionados que consten en la respectiva factura.</w:t>
      </w:r>
    </w:p>
    <w:p w14:paraId="75C8D157" w14:textId="77777777" w:rsidR="00B2442D" w:rsidRDefault="00B2442D">
      <w:pPr>
        <w:jc w:val="both"/>
        <w:rPr>
          <w:rFonts w:ascii="Arial" w:hAnsi="Arial" w:cs="Arial"/>
          <w:i/>
          <w:lang w:val="es-CO"/>
        </w:rPr>
      </w:pPr>
    </w:p>
    <w:p w14:paraId="3413ECD8" w14:textId="77777777" w:rsidR="00B2442D" w:rsidRDefault="008A645F">
      <w:pPr>
        <w:jc w:val="both"/>
        <w:rPr>
          <w:rFonts w:ascii="Arial" w:hAnsi="Arial" w:cs="Arial"/>
          <w:i/>
          <w:lang w:val="es-CO"/>
        </w:rPr>
      </w:pPr>
      <w:r>
        <w:rPr>
          <w:rFonts w:ascii="Arial" w:hAnsi="Arial" w:cs="Arial"/>
          <w:i/>
          <w:lang w:val="es-CO"/>
        </w:rPr>
        <w:t>(Art. 1, Decreto 2509 de 1985)</w:t>
      </w:r>
    </w:p>
    <w:p w14:paraId="7B71E638" w14:textId="77777777" w:rsidR="00B2442D" w:rsidRDefault="00B2442D">
      <w:pPr>
        <w:jc w:val="both"/>
        <w:rPr>
          <w:rFonts w:ascii="Arial" w:hAnsi="Arial" w:cs="Arial"/>
          <w:lang w:val="es-CO"/>
        </w:rPr>
      </w:pPr>
    </w:p>
    <w:p w14:paraId="5B99E4AF"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 Manejo administrativo de las retenciones.</w:t>
      </w:r>
      <w:r>
        <w:rPr>
          <w:rFonts w:ascii="Arial" w:hAnsi="Arial" w:cs="Arial"/>
          <w:lang w:val="es-CO"/>
        </w:rPr>
        <w:t xml:space="preserve"> Co</w:t>
      </w:r>
      <w:r>
        <w:rPr>
          <w:rFonts w:ascii="Arial" w:hAnsi="Arial" w:cs="Arial"/>
          <w:lang w:val="es-CO"/>
        </w:rPr>
        <w:t xml:space="preserve">n el fin de facilitar el manejo administrativo de las retenciones, los retenedores podrán optar por efectuar retenciones sobre pagos o abonos cuyas cuantías sean inferiores a las cuantías mínimas establecidas en los artículos 1.2.4.4.1 y 1.2.4.9.1 de este </w:t>
      </w:r>
      <w:r>
        <w:rPr>
          <w:rFonts w:ascii="Arial" w:hAnsi="Arial" w:cs="Arial"/>
          <w:lang w:val="es-CO"/>
        </w:rPr>
        <w:t>Decreto.</w:t>
      </w:r>
    </w:p>
    <w:p w14:paraId="39E6EE9B" w14:textId="77777777" w:rsidR="00B2442D" w:rsidRDefault="00B2442D">
      <w:pPr>
        <w:jc w:val="both"/>
        <w:rPr>
          <w:rFonts w:ascii="Arial" w:hAnsi="Arial" w:cs="Arial"/>
          <w:i/>
          <w:lang w:val="es-CO"/>
        </w:rPr>
      </w:pPr>
    </w:p>
    <w:p w14:paraId="6B5C92C3" w14:textId="77777777" w:rsidR="00B2442D" w:rsidRDefault="008A645F">
      <w:pPr>
        <w:jc w:val="both"/>
        <w:rPr>
          <w:rFonts w:ascii="Arial" w:hAnsi="Arial" w:cs="Arial"/>
          <w:i/>
          <w:lang w:val="es-CO"/>
        </w:rPr>
      </w:pPr>
      <w:r>
        <w:rPr>
          <w:rFonts w:ascii="Arial" w:hAnsi="Arial" w:cs="Arial"/>
          <w:i/>
          <w:lang w:val="es-CO"/>
        </w:rPr>
        <w:t>(Art. 2, Decreto 2509 de 1985)</w:t>
      </w:r>
    </w:p>
    <w:p w14:paraId="5977369A" w14:textId="77777777" w:rsidR="00B2442D" w:rsidRDefault="00B2442D">
      <w:pPr>
        <w:jc w:val="both"/>
        <w:rPr>
          <w:rFonts w:ascii="Arial" w:hAnsi="Arial" w:cs="Arial"/>
          <w:i/>
          <w:lang w:val="es-CO"/>
        </w:rPr>
      </w:pPr>
    </w:p>
    <w:p w14:paraId="4D76A436"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Pagos o abonos en cuenta no sometidos a retención en la fuente.</w:t>
      </w:r>
      <w:r>
        <w:rPr>
          <w:rFonts w:ascii="Arial" w:hAnsi="Arial" w:cs="Arial"/>
          <w:lang w:val="es-CO"/>
        </w:rPr>
        <w:t xml:space="preserve"> No está sometida a la retención en la fuente sobre pagos o abonos en cuenta originados en la relación laboral o legal y reglamentaria, el reembolso d</w:t>
      </w:r>
      <w:r>
        <w:rPr>
          <w:rFonts w:ascii="Arial" w:hAnsi="Arial" w:cs="Arial"/>
          <w:lang w:val="es-CO"/>
        </w:rPr>
        <w:t>e gastos por concepto de manutención, alojamiento y transporte en que haya incurrido el trabajador para el desempeño de sus funciones fuera de la sede habitual de su trabajo, siempre y cuando el trabajador entregue al pagador las facturas y demás pruebas d</w:t>
      </w:r>
      <w:r>
        <w:rPr>
          <w:rFonts w:ascii="Arial" w:hAnsi="Arial" w:cs="Arial"/>
          <w:lang w:val="es-CO"/>
        </w:rPr>
        <w:t xml:space="preserve">ocumentales que sustenten el reembolso, las cuales deberán ser conservadas por el pagador y contabilizadas como un gasto propio de la empresa. </w:t>
      </w:r>
    </w:p>
    <w:p w14:paraId="5B868588" w14:textId="77777777" w:rsidR="00B2442D" w:rsidRDefault="00B2442D">
      <w:pPr>
        <w:jc w:val="both"/>
        <w:rPr>
          <w:rFonts w:ascii="Arial" w:hAnsi="Arial" w:cs="Arial"/>
          <w:lang w:val="es-CO"/>
        </w:rPr>
      </w:pPr>
    </w:p>
    <w:p w14:paraId="52BD8B0C" w14:textId="77777777" w:rsidR="00B2442D" w:rsidRDefault="008A645F">
      <w:pPr>
        <w:jc w:val="both"/>
        <w:rPr>
          <w:rFonts w:ascii="Arial" w:hAnsi="Arial" w:cs="Arial"/>
          <w:lang w:val="es-CO"/>
        </w:rPr>
      </w:pPr>
      <w:r>
        <w:rPr>
          <w:rFonts w:ascii="Arial" w:hAnsi="Arial" w:cs="Arial"/>
          <w:lang w:val="es-CO"/>
        </w:rPr>
        <w:t>Lo dispuesto en este artículo no se aplicará cuando los gastos de manutención o alojamiento correspondan a retr</w:t>
      </w:r>
      <w:r>
        <w:rPr>
          <w:rFonts w:ascii="Arial" w:hAnsi="Arial" w:cs="Arial"/>
          <w:lang w:val="es-CO"/>
        </w:rPr>
        <w:t>ibución ordinaria del servicio.</w:t>
      </w:r>
    </w:p>
    <w:p w14:paraId="4C8C20A1" w14:textId="77777777" w:rsidR="00B2442D" w:rsidRDefault="00B2442D">
      <w:pPr>
        <w:jc w:val="both"/>
        <w:rPr>
          <w:rFonts w:ascii="Arial" w:hAnsi="Arial" w:cs="Arial"/>
          <w:i/>
          <w:lang w:val="es-CO"/>
        </w:rPr>
      </w:pPr>
    </w:p>
    <w:p w14:paraId="36CC8F17" w14:textId="77777777" w:rsidR="00B2442D" w:rsidRDefault="008A645F">
      <w:pPr>
        <w:jc w:val="both"/>
        <w:rPr>
          <w:rFonts w:ascii="Arial" w:hAnsi="Arial" w:cs="Arial"/>
          <w:i/>
          <w:lang w:val="es-CO"/>
        </w:rPr>
      </w:pPr>
      <w:r>
        <w:rPr>
          <w:rFonts w:ascii="Arial" w:hAnsi="Arial" w:cs="Arial"/>
          <w:i/>
          <w:lang w:val="es-CO"/>
        </w:rPr>
        <w:t>(Art. 10, Decreto 535 de 1987)</w:t>
      </w:r>
    </w:p>
    <w:p w14:paraId="609A2D96" w14:textId="77777777" w:rsidR="00B2442D" w:rsidRDefault="00B2442D">
      <w:pPr>
        <w:jc w:val="both"/>
        <w:rPr>
          <w:rFonts w:ascii="Arial" w:hAnsi="Arial" w:cs="Arial"/>
          <w:lang w:val="es-CO"/>
        </w:rPr>
      </w:pPr>
    </w:p>
    <w:p w14:paraId="15D3B13B"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 Retención en la fuente en la anulación, rescisión o resolución de operaciones.</w:t>
      </w:r>
      <w:r>
        <w:rPr>
          <w:rFonts w:ascii="Arial" w:hAnsi="Arial" w:cs="Arial"/>
          <w:lang w:val="es-CO"/>
        </w:rPr>
        <w:t xml:space="preserve"> Cuando se anulen, rescindan o resuelvan operaciones que hayan sido sometidas a retención en la fuente por impue</w:t>
      </w:r>
      <w:r>
        <w:rPr>
          <w:rFonts w:ascii="Arial" w:hAnsi="Arial" w:cs="Arial"/>
          <w:lang w:val="es-CO"/>
        </w:rPr>
        <w:t>sto sobre la renta y complementarios, el agente retenedor podrá descontar las sumas que hubiere retenido por tales operaciones del monto de las retenciones por declarar y consignar en el período en el cual se hayan anulado, rescindido o resuelto las mismas</w:t>
      </w:r>
      <w:r>
        <w:rPr>
          <w:rFonts w:ascii="Arial" w:hAnsi="Arial" w:cs="Arial"/>
          <w:lang w:val="es-CO"/>
        </w:rPr>
        <w:t xml:space="preserve">. Si el monto de las retenciones que debieron efectuarse en tal período no fuere suficiente, con el saldo podrá afectar las de los períodos inmediatamente siguientes. </w:t>
      </w:r>
    </w:p>
    <w:p w14:paraId="7542E0D3" w14:textId="77777777" w:rsidR="00B2442D" w:rsidRDefault="00B2442D">
      <w:pPr>
        <w:jc w:val="both"/>
        <w:rPr>
          <w:rFonts w:ascii="Arial" w:hAnsi="Arial" w:cs="Arial"/>
          <w:lang w:val="es-CO"/>
        </w:rPr>
      </w:pPr>
    </w:p>
    <w:p w14:paraId="21B7E7EE" w14:textId="77777777" w:rsidR="00B2442D" w:rsidRDefault="008A645F">
      <w:pPr>
        <w:jc w:val="both"/>
        <w:rPr>
          <w:rFonts w:ascii="Arial" w:hAnsi="Arial" w:cs="Arial"/>
          <w:lang w:val="es-CO"/>
        </w:rPr>
      </w:pPr>
      <w:r>
        <w:rPr>
          <w:rFonts w:ascii="Arial" w:hAnsi="Arial" w:cs="Arial"/>
          <w:lang w:val="es-CO"/>
        </w:rPr>
        <w:t>Para que proceda el descuento el retenedor deberá anular cualquier certificado que hubi</w:t>
      </w:r>
      <w:r>
        <w:rPr>
          <w:rFonts w:ascii="Arial" w:hAnsi="Arial" w:cs="Arial"/>
          <w:lang w:val="es-CO"/>
        </w:rPr>
        <w:t xml:space="preserve">ere expedido sobre tales retenciones. </w:t>
      </w:r>
    </w:p>
    <w:p w14:paraId="274950E2" w14:textId="77777777" w:rsidR="00B2442D" w:rsidRDefault="00B2442D">
      <w:pPr>
        <w:jc w:val="both"/>
        <w:rPr>
          <w:rFonts w:ascii="Arial" w:hAnsi="Arial" w:cs="Arial"/>
          <w:lang w:val="es-CO"/>
        </w:rPr>
      </w:pPr>
    </w:p>
    <w:p w14:paraId="42B0A327" w14:textId="77777777" w:rsidR="00B2442D" w:rsidRDefault="008A645F">
      <w:pPr>
        <w:jc w:val="both"/>
        <w:rPr>
          <w:rFonts w:ascii="Arial" w:hAnsi="Arial" w:cs="Arial"/>
          <w:lang w:val="es-CO"/>
        </w:rPr>
      </w:pPr>
      <w:r>
        <w:rPr>
          <w:rFonts w:ascii="Arial" w:hAnsi="Arial" w:cs="Arial"/>
          <w:lang w:val="es-CO"/>
        </w:rPr>
        <w:t>Cuando las anulaciones, rescisiones o resoluciones se efectúen en el año fiscal siguiente a aquél en el cual se realizaron las respectivas retenciones, para que proceda el descuento el retenedor deberá además, conser</w:t>
      </w:r>
      <w:r>
        <w:rPr>
          <w:rFonts w:ascii="Arial" w:hAnsi="Arial" w:cs="Arial"/>
          <w:lang w:val="es-CO"/>
        </w:rPr>
        <w:t>var una manifestación del retenido en la cual haga constar que tal retención no ha sido ni será imputada en la respectiva declaración de renta.</w:t>
      </w:r>
    </w:p>
    <w:p w14:paraId="0D6FD9BA" w14:textId="77777777" w:rsidR="00B2442D" w:rsidRDefault="00B2442D">
      <w:pPr>
        <w:rPr>
          <w:rFonts w:ascii="Arial" w:hAnsi="Arial" w:cs="Arial"/>
          <w:i/>
          <w:lang w:val="es-CO"/>
        </w:rPr>
      </w:pPr>
    </w:p>
    <w:p w14:paraId="17005DC9" w14:textId="77777777" w:rsidR="00B2442D" w:rsidRDefault="008A645F">
      <w:pPr>
        <w:rPr>
          <w:rFonts w:ascii="Arial" w:hAnsi="Arial" w:cs="Arial"/>
          <w:i/>
          <w:lang w:val="es-CO"/>
        </w:rPr>
      </w:pPr>
      <w:r>
        <w:rPr>
          <w:rFonts w:ascii="Arial" w:hAnsi="Arial" w:cs="Arial"/>
          <w:i/>
          <w:lang w:val="es-CO"/>
        </w:rPr>
        <w:t>(Art. 5, Decreto 1189 de 1988. Se elimina la referencia al “patrimonio” conforme con lo previsto en el artículo</w:t>
      </w:r>
      <w:r>
        <w:rPr>
          <w:rFonts w:ascii="Arial" w:hAnsi="Arial" w:cs="Arial"/>
          <w:i/>
          <w:lang w:val="es-CO"/>
        </w:rPr>
        <w:t xml:space="preserve"> 140 de la Ley 6 de 1992)</w:t>
      </w:r>
    </w:p>
    <w:p w14:paraId="041A97C1" w14:textId="77777777" w:rsidR="00B2442D" w:rsidRDefault="00B2442D">
      <w:pPr>
        <w:rPr>
          <w:rFonts w:ascii="Arial" w:hAnsi="Arial" w:cs="Arial"/>
          <w:i/>
          <w:lang w:val="es-CO"/>
        </w:rPr>
      </w:pPr>
    </w:p>
    <w:p w14:paraId="0B3C6F47"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Determinación de ingresos brutos para personas naturales que son agentes de retención.</w:t>
      </w:r>
      <w:r>
        <w:rPr>
          <w:rFonts w:ascii="Arial" w:hAnsi="Arial" w:cs="Arial"/>
          <w:lang w:val="es-CO"/>
        </w:rPr>
        <w:t xml:space="preserve"> Para efectos de establecer la cuantía de los ingresos brutos a que hace referencia el artículo 368-2 del Estatuto Tributario, no se tendrán en cuenta los provenientes de ganancias ocasionales.</w:t>
      </w:r>
    </w:p>
    <w:p w14:paraId="2885B80F" w14:textId="77777777" w:rsidR="00B2442D" w:rsidRDefault="00B2442D">
      <w:pPr>
        <w:jc w:val="both"/>
        <w:rPr>
          <w:rFonts w:ascii="Arial" w:hAnsi="Arial" w:cs="Arial"/>
          <w:i/>
          <w:lang w:val="es-CO"/>
        </w:rPr>
      </w:pPr>
    </w:p>
    <w:p w14:paraId="2CF2D2F2" w14:textId="77777777" w:rsidR="00B2442D" w:rsidRDefault="008A645F">
      <w:pPr>
        <w:jc w:val="both"/>
        <w:rPr>
          <w:rFonts w:ascii="Arial" w:hAnsi="Arial" w:cs="Arial"/>
          <w:i/>
          <w:lang w:val="es-CO"/>
        </w:rPr>
      </w:pPr>
      <w:r>
        <w:rPr>
          <w:rFonts w:ascii="Arial" w:hAnsi="Arial" w:cs="Arial"/>
          <w:i/>
          <w:lang w:val="es-CO"/>
        </w:rPr>
        <w:t>(Art. 14, Decreto 0836 de 1991)</w:t>
      </w:r>
    </w:p>
    <w:p w14:paraId="7A9349EE" w14:textId="77777777" w:rsidR="00B2442D" w:rsidRDefault="00B2442D">
      <w:pPr>
        <w:jc w:val="both"/>
        <w:rPr>
          <w:rFonts w:ascii="Arial" w:hAnsi="Arial" w:cs="Arial"/>
          <w:lang w:val="es-CO"/>
        </w:rPr>
      </w:pPr>
    </w:p>
    <w:p w14:paraId="7F881C41"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Obligación de las entidades </w:t>
      </w:r>
      <w:r>
        <w:rPr>
          <w:rFonts w:ascii="Arial" w:hAnsi="Arial" w:cs="Arial"/>
          <w:b/>
          <w:i/>
          <w:lang w:val="es-CO"/>
        </w:rPr>
        <w:t>cooperativas de cumplir normas de retención en la fuente.</w:t>
      </w:r>
      <w:r>
        <w:rPr>
          <w:rFonts w:ascii="Arial" w:hAnsi="Arial" w:cs="Arial"/>
          <w:b/>
          <w:lang w:val="es-CO"/>
        </w:rPr>
        <w:t xml:space="preserve"> </w:t>
      </w:r>
      <w:r>
        <w:rPr>
          <w:rFonts w:ascii="Arial" w:hAnsi="Arial" w:cs="Arial"/>
          <w:lang w:val="es-CO"/>
        </w:rPr>
        <w:t>Las cooperativas, sus asociaciones, uniones, ligas centrales, organismos de grado superior de carácter financiero, las asociaciones mutualistas, instituciones auxiliares del cooperativismo y confede</w:t>
      </w:r>
      <w:r>
        <w:rPr>
          <w:rFonts w:ascii="Arial" w:hAnsi="Arial" w:cs="Arial"/>
          <w:lang w:val="es-CO"/>
        </w:rPr>
        <w:t>raciones cooperativas, previstas en la legislación cooperativa, continuarán aplicando las normas vigentes en materia de retención en la fuente sobre los pagos o abonos en cuenta que realicen.</w:t>
      </w:r>
    </w:p>
    <w:p w14:paraId="23B0DFED" w14:textId="77777777" w:rsidR="00B2442D" w:rsidRDefault="00B2442D">
      <w:pPr>
        <w:jc w:val="both"/>
        <w:rPr>
          <w:rFonts w:ascii="Arial" w:hAnsi="Arial" w:cs="Arial"/>
          <w:i/>
          <w:lang w:val="es-CO"/>
        </w:rPr>
      </w:pPr>
    </w:p>
    <w:p w14:paraId="538B59BE" w14:textId="77777777" w:rsidR="00B2442D" w:rsidRDefault="008A645F">
      <w:pPr>
        <w:jc w:val="both"/>
        <w:rPr>
          <w:rFonts w:ascii="Arial" w:hAnsi="Arial" w:cs="Arial"/>
          <w:i/>
          <w:lang w:val="es-CO"/>
        </w:rPr>
      </w:pPr>
      <w:r>
        <w:rPr>
          <w:rFonts w:ascii="Arial" w:hAnsi="Arial" w:cs="Arial"/>
          <w:i/>
          <w:lang w:val="es-CO"/>
        </w:rPr>
        <w:t>(Art. 23, Decreto 3050 de 1997)</w:t>
      </w:r>
      <w:r>
        <w:rPr>
          <w:rFonts w:ascii="Arial" w:hAnsi="Arial" w:cs="Arial"/>
        </w:rPr>
        <w:t xml:space="preserve"> </w:t>
      </w:r>
      <w:r>
        <w:rPr>
          <w:rFonts w:ascii="Arial" w:hAnsi="Arial" w:cs="Arial"/>
          <w:i/>
          <w:lang w:val="es-CO"/>
        </w:rPr>
        <w:t>(El Decreto 3050 de 1997 rige a</w:t>
      </w:r>
      <w:r>
        <w:rPr>
          <w:rFonts w:ascii="Arial" w:hAnsi="Arial" w:cs="Arial"/>
          <w:i/>
          <w:lang w:val="es-CO"/>
        </w:rPr>
        <w:t xml:space="preserve"> partir de la fecha de su publicación y deroga el artículo 10 del Decreto 380 de 1996, el inciso 1° del artículo 7 y el artículo 11 del Decreto 1165 de 1996, el inciso 2° del artículo 43 del Decreto 700 de 1997, el artículo 7, el parágrafo del artículo 14 </w:t>
      </w:r>
      <w:r>
        <w:rPr>
          <w:rFonts w:ascii="Arial" w:hAnsi="Arial" w:cs="Arial"/>
          <w:i/>
          <w:lang w:val="es-CO"/>
        </w:rPr>
        <w:t>y el artículo 18 del Decreto 1001 de 1997, y demás normas que le sean contrarias. Art. 34, Decreto 3050 de 1997)</w:t>
      </w:r>
    </w:p>
    <w:p w14:paraId="23FEB547" w14:textId="77777777" w:rsidR="00B2442D" w:rsidRDefault="00B2442D">
      <w:pPr>
        <w:jc w:val="both"/>
        <w:rPr>
          <w:rFonts w:ascii="Arial" w:hAnsi="Arial" w:cs="Arial"/>
          <w:lang w:val="es-CO"/>
        </w:rPr>
      </w:pPr>
    </w:p>
    <w:p w14:paraId="7D7D23CE"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Retención en la fuente en mandato.</w:t>
      </w:r>
      <w:r>
        <w:rPr>
          <w:rFonts w:ascii="Arial" w:hAnsi="Arial" w:cs="Arial"/>
          <w:lang w:val="es-CO"/>
        </w:rPr>
        <w:t xml:space="preserve"> En los contratos de mandato, incluida la administración delegada el mandatario practicará al momento del pa</w:t>
      </w:r>
      <w:r>
        <w:rPr>
          <w:rFonts w:ascii="Arial" w:hAnsi="Arial" w:cs="Arial"/>
          <w:lang w:val="es-CO"/>
        </w:rPr>
        <w:t>go o abono en cuenta, todas las retenciones del impuesto sobre la renta, ventas, y timbre establecidas en las normas vigentes, teniendo en cuenta para el efecto la calidad del mandante. Así mismo, cumplirá todas las obligaciones inherentes al agente retene</w:t>
      </w:r>
      <w:r>
        <w:rPr>
          <w:rFonts w:ascii="Arial" w:hAnsi="Arial" w:cs="Arial"/>
          <w:lang w:val="es-CO"/>
        </w:rPr>
        <w:t xml:space="preserve">dor. </w:t>
      </w:r>
    </w:p>
    <w:p w14:paraId="44D38CD2" w14:textId="77777777" w:rsidR="00B2442D" w:rsidRDefault="00B2442D">
      <w:pPr>
        <w:jc w:val="both"/>
        <w:rPr>
          <w:rFonts w:ascii="Arial" w:hAnsi="Arial" w:cs="Arial"/>
          <w:lang w:val="es-CO"/>
        </w:rPr>
      </w:pPr>
    </w:p>
    <w:p w14:paraId="02CE3F37" w14:textId="77777777" w:rsidR="00B2442D" w:rsidRDefault="008A645F">
      <w:pPr>
        <w:jc w:val="both"/>
        <w:rPr>
          <w:rFonts w:ascii="Arial" w:hAnsi="Arial" w:cs="Arial"/>
          <w:lang w:val="es-CO"/>
        </w:rPr>
      </w:pPr>
      <w:r>
        <w:rPr>
          <w:rFonts w:ascii="Arial" w:hAnsi="Arial" w:cs="Arial"/>
          <w:lang w:val="es-CO"/>
        </w:rPr>
        <w:t xml:space="preserve">Lo dispuesto en este artículo se aplicará sin perjuicio de lo consagrado en los artículos 1.2.4.2.9 al 1.2.4.2.49 del presente Decreto y demás normas concordantes que los adicionen, modifiquen o sustituyan. </w:t>
      </w:r>
    </w:p>
    <w:p w14:paraId="3D5BDC2D" w14:textId="77777777" w:rsidR="00B2442D" w:rsidRDefault="00B2442D">
      <w:pPr>
        <w:jc w:val="both"/>
        <w:rPr>
          <w:rFonts w:ascii="Arial" w:hAnsi="Arial" w:cs="Arial"/>
          <w:lang w:val="es-CO"/>
        </w:rPr>
      </w:pPr>
    </w:p>
    <w:p w14:paraId="081A70DC" w14:textId="77777777" w:rsidR="00B2442D" w:rsidRDefault="008A645F">
      <w:pPr>
        <w:jc w:val="both"/>
        <w:rPr>
          <w:rFonts w:ascii="Arial" w:hAnsi="Arial" w:cs="Arial"/>
          <w:lang w:val="es-CO"/>
        </w:rPr>
      </w:pPr>
      <w:r>
        <w:rPr>
          <w:rFonts w:ascii="Arial" w:hAnsi="Arial" w:cs="Arial"/>
          <w:lang w:val="es-CO"/>
        </w:rPr>
        <w:t>El mandante declarará los ingresos y sol</w:t>
      </w:r>
      <w:r>
        <w:rPr>
          <w:rFonts w:ascii="Arial" w:hAnsi="Arial" w:cs="Arial"/>
          <w:lang w:val="es-CO"/>
        </w:rPr>
        <w:t>icitará los respectivos costos, deducciones, impuestos descontables y retenciones en la fuente, según la información que le suministre el mandatario, el cual deberá identificar en su contabilidad los ingresos recibidos para el mandante y los pagos y retenc</w:t>
      </w:r>
      <w:r>
        <w:rPr>
          <w:rFonts w:ascii="Arial" w:hAnsi="Arial" w:cs="Arial"/>
          <w:lang w:val="es-CO"/>
        </w:rPr>
        <w:t xml:space="preserve">iones efectuadas por cuenta de este. </w:t>
      </w:r>
    </w:p>
    <w:p w14:paraId="79686F7A" w14:textId="77777777" w:rsidR="00B2442D" w:rsidRDefault="00B2442D">
      <w:pPr>
        <w:jc w:val="both"/>
        <w:rPr>
          <w:rFonts w:ascii="Arial" w:hAnsi="Arial" w:cs="Arial"/>
          <w:lang w:val="es-CO"/>
        </w:rPr>
      </w:pPr>
    </w:p>
    <w:p w14:paraId="36898711" w14:textId="77777777" w:rsidR="00B2442D" w:rsidRDefault="008A645F">
      <w:pPr>
        <w:jc w:val="both"/>
        <w:rPr>
          <w:rFonts w:ascii="Arial" w:hAnsi="Arial" w:cs="Arial"/>
          <w:lang w:val="es-CO"/>
        </w:rPr>
      </w:pPr>
      <w:r>
        <w:rPr>
          <w:rFonts w:ascii="Arial" w:hAnsi="Arial" w:cs="Arial"/>
          <w:lang w:val="es-CO"/>
        </w:rPr>
        <w:t>El mandante practicará la retención en la fuente sobre el valor de los pagos o abonos en cuenta efectuados a favor del mandatario por concepto de honorarios.</w:t>
      </w:r>
    </w:p>
    <w:p w14:paraId="550F78CE" w14:textId="77777777" w:rsidR="00B2442D" w:rsidRDefault="00B2442D">
      <w:pPr>
        <w:jc w:val="both"/>
        <w:rPr>
          <w:rFonts w:ascii="Arial" w:hAnsi="Arial" w:cs="Arial"/>
          <w:i/>
          <w:lang w:val="es-CO"/>
        </w:rPr>
      </w:pPr>
    </w:p>
    <w:p w14:paraId="4D9A6AAD" w14:textId="77777777" w:rsidR="00B2442D" w:rsidRDefault="008A645F">
      <w:pPr>
        <w:jc w:val="both"/>
        <w:rPr>
          <w:rFonts w:ascii="Arial" w:hAnsi="Arial" w:cs="Arial"/>
          <w:i/>
          <w:lang w:val="es-CO"/>
        </w:rPr>
      </w:pPr>
      <w:r>
        <w:rPr>
          <w:rFonts w:ascii="Arial" w:hAnsi="Arial" w:cs="Arial"/>
          <w:i/>
          <w:lang w:val="es-CO"/>
        </w:rPr>
        <w:t>(Art. 29, Decreto 3050 de 1997. Inciso 5º derogado expresa</w:t>
      </w:r>
      <w:r>
        <w:rPr>
          <w:rFonts w:ascii="Arial" w:hAnsi="Arial" w:cs="Arial"/>
          <w:i/>
          <w:lang w:val="es-CO"/>
        </w:rPr>
        <w:t>mente por el art. 18 del Decreto 1514 de 1998.)</w:t>
      </w:r>
      <w:r>
        <w:rPr>
          <w:rFonts w:ascii="Arial" w:hAnsi="Arial" w:cs="Arial"/>
        </w:rPr>
        <w:t xml:space="preserve"> </w:t>
      </w:r>
      <w:r>
        <w:rPr>
          <w:rFonts w:ascii="Arial" w:hAnsi="Arial" w:cs="Arial"/>
          <w:i/>
          <w:lang w:val="es-CO"/>
        </w:rPr>
        <w:t>(El Decreto 3050 de 1997 rige a partir de la fecha de su publicación y deroga el artículo 10 del Decreto 380 de 1996, el inciso 1° del artículo 7 y el artículo 11 del Decreto 1165 de 1996, el inciso 2° del ar</w:t>
      </w:r>
      <w:r>
        <w:rPr>
          <w:rFonts w:ascii="Arial" w:hAnsi="Arial" w:cs="Arial"/>
          <w:i/>
          <w:lang w:val="es-CO"/>
        </w:rPr>
        <w:t>tículo 43 del Decreto 700 de 1997, el artículo 7, el parágrafo del artículo 14 y el artículo 18 del Decreto 1001 de 1997, y demás normas que le sean contrarias. Art. 34, Decreto 3050 de 1997)</w:t>
      </w:r>
    </w:p>
    <w:p w14:paraId="37FB41A5" w14:textId="77777777" w:rsidR="00B2442D" w:rsidRDefault="00B2442D">
      <w:pPr>
        <w:jc w:val="both"/>
        <w:rPr>
          <w:rFonts w:ascii="Arial" w:hAnsi="Arial" w:cs="Arial"/>
          <w:lang w:val="es-CO"/>
        </w:rPr>
      </w:pPr>
    </w:p>
    <w:p w14:paraId="3D1225C4"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Retención en la fuente en pago a través de sociedades fiduciari</w:t>
      </w:r>
      <w:r>
        <w:rPr>
          <w:rFonts w:ascii="Arial" w:hAnsi="Arial" w:cs="Arial"/>
          <w:b/>
          <w:i/>
          <w:lang w:val="es-CO"/>
        </w:rPr>
        <w:t>as.</w:t>
      </w:r>
      <w:r>
        <w:rPr>
          <w:rFonts w:ascii="Arial" w:hAnsi="Arial" w:cs="Arial"/>
          <w:lang w:val="es-CO"/>
        </w:rPr>
        <w:t xml:space="preserve"> En el caso de pagos o abonos en cuenta por conceptos sometidos a retención en la fuente, que se efectúen a través de sociedades fiduciarias, la sociedad fiduciaria efectuará la retención teniendo en cuenta para ello los porcentajes y demás previsiones </w:t>
      </w:r>
      <w:r>
        <w:rPr>
          <w:rFonts w:ascii="Arial" w:hAnsi="Arial" w:cs="Arial"/>
          <w:lang w:val="es-CO"/>
        </w:rPr>
        <w:t>de que tratan las normas vigentes.</w:t>
      </w:r>
    </w:p>
    <w:p w14:paraId="7C3FAD56" w14:textId="77777777" w:rsidR="00B2442D" w:rsidRDefault="00B2442D">
      <w:pPr>
        <w:jc w:val="both"/>
        <w:rPr>
          <w:rFonts w:ascii="Arial" w:hAnsi="Arial" w:cs="Arial"/>
          <w:i/>
          <w:lang w:val="es-CO"/>
        </w:rPr>
      </w:pPr>
    </w:p>
    <w:p w14:paraId="31E9B3FB" w14:textId="77777777" w:rsidR="00B2442D" w:rsidRDefault="008A645F">
      <w:pPr>
        <w:jc w:val="both"/>
        <w:rPr>
          <w:rFonts w:ascii="Arial" w:hAnsi="Arial" w:cs="Arial"/>
          <w:i/>
          <w:lang w:val="es-CO"/>
        </w:rPr>
      </w:pPr>
      <w:r>
        <w:rPr>
          <w:rFonts w:ascii="Arial" w:hAnsi="Arial" w:cs="Arial"/>
          <w:i/>
          <w:lang w:val="es-CO"/>
        </w:rPr>
        <w:t>(Art. 13, Decreto 2509 de 1985)</w:t>
      </w:r>
    </w:p>
    <w:p w14:paraId="6DAA61D9" w14:textId="77777777" w:rsidR="00B2442D" w:rsidRDefault="00B2442D">
      <w:pPr>
        <w:jc w:val="both"/>
        <w:rPr>
          <w:rFonts w:ascii="Arial" w:hAnsi="Arial" w:cs="Arial"/>
          <w:lang w:val="es-CO"/>
        </w:rPr>
      </w:pPr>
    </w:p>
    <w:p w14:paraId="3C78AE7B"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Retención en la fuente de sociedades u otras entidades extranjeras.</w:t>
      </w:r>
      <w:r>
        <w:rPr>
          <w:rFonts w:ascii="Arial" w:hAnsi="Arial" w:cs="Arial"/>
          <w:lang w:val="es-CO"/>
        </w:rPr>
        <w:t xml:space="preserve"> Cuando las sociedades u otras entidades extranjeras sean beneficiarias de rentas sujetas a impuestos en Colombia, que n</w:t>
      </w:r>
      <w:r>
        <w:rPr>
          <w:rFonts w:ascii="Arial" w:hAnsi="Arial" w:cs="Arial"/>
          <w:lang w:val="es-CO"/>
        </w:rPr>
        <w:t>o correspondan a las operaciones desarrolladas en el país por su sucursal, estarán sometidas a retención en la fuente a que se refiere el artículo 1.2.4.3 de este decreto.</w:t>
      </w:r>
    </w:p>
    <w:p w14:paraId="7CCA66D8" w14:textId="77777777" w:rsidR="00B2442D" w:rsidRDefault="008A645F">
      <w:pPr>
        <w:jc w:val="both"/>
        <w:rPr>
          <w:rFonts w:ascii="Arial" w:hAnsi="Arial" w:cs="Arial"/>
          <w:i/>
          <w:lang w:val="es-CO"/>
        </w:rPr>
      </w:pPr>
      <w:r>
        <w:rPr>
          <w:rFonts w:ascii="Arial" w:hAnsi="Arial" w:cs="Arial"/>
          <w:i/>
          <w:lang w:val="es-CO"/>
        </w:rPr>
        <w:t xml:space="preserve"> </w:t>
      </w:r>
    </w:p>
    <w:p w14:paraId="7BD85537" w14:textId="77777777" w:rsidR="00B2442D" w:rsidRDefault="008A645F">
      <w:pPr>
        <w:jc w:val="both"/>
        <w:rPr>
          <w:rFonts w:ascii="Arial" w:hAnsi="Arial" w:cs="Arial"/>
          <w:lang w:val="es-CO"/>
        </w:rPr>
      </w:pPr>
      <w:r>
        <w:rPr>
          <w:rFonts w:ascii="Arial" w:hAnsi="Arial" w:cs="Arial"/>
          <w:i/>
          <w:lang w:val="es-CO"/>
        </w:rPr>
        <w:t>(Art. 12 Decreto 2579 de 1983)</w:t>
      </w:r>
    </w:p>
    <w:p w14:paraId="354A1CC9" w14:textId="77777777" w:rsidR="00B2442D" w:rsidRDefault="00B2442D">
      <w:pPr>
        <w:jc w:val="both"/>
        <w:rPr>
          <w:rFonts w:ascii="Arial" w:hAnsi="Arial" w:cs="Arial"/>
          <w:lang w:val="es-CO"/>
        </w:rPr>
      </w:pPr>
    </w:p>
    <w:p w14:paraId="773F23F5"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Retención en la fuente en pagos o abonos en </w:t>
      </w:r>
      <w:r>
        <w:rPr>
          <w:rFonts w:ascii="Arial" w:hAnsi="Arial" w:cs="Arial"/>
          <w:b/>
          <w:i/>
          <w:lang w:val="es-CO"/>
        </w:rPr>
        <w:t>cuenta a favor de beneficiarios extranjeros con domicilio o residencia en el país.</w:t>
      </w:r>
      <w:r>
        <w:rPr>
          <w:rFonts w:ascii="Arial" w:hAnsi="Arial" w:cs="Arial"/>
          <w:lang w:val="es-CO"/>
        </w:rPr>
        <w:t xml:space="preserve"> Cuando los pagos o abonos en cuenta se hagan a favor de beneficiarios extranjeros con domicilio o residencia en el país, la retención del impuesto sobre la renta se deberá h</w:t>
      </w:r>
      <w:r>
        <w:rPr>
          <w:rFonts w:ascii="Arial" w:hAnsi="Arial" w:cs="Arial"/>
          <w:lang w:val="es-CO"/>
        </w:rPr>
        <w:t>acer a las tarifas y en las condiciones aplicables a los colombianos residentes o domiciliados en el país, según las normas vigentes en el momento del respectivo pago o abono.</w:t>
      </w:r>
    </w:p>
    <w:p w14:paraId="4C535F25" w14:textId="77777777" w:rsidR="00B2442D" w:rsidRDefault="00B2442D">
      <w:pPr>
        <w:jc w:val="both"/>
        <w:rPr>
          <w:rFonts w:ascii="Arial" w:hAnsi="Arial" w:cs="Arial"/>
          <w:i/>
          <w:lang w:val="es-CO"/>
        </w:rPr>
      </w:pPr>
    </w:p>
    <w:p w14:paraId="3575F312" w14:textId="77777777" w:rsidR="00B2442D" w:rsidRDefault="008A645F">
      <w:pPr>
        <w:jc w:val="both"/>
        <w:rPr>
          <w:rFonts w:ascii="Arial" w:hAnsi="Arial" w:cs="Arial"/>
          <w:lang w:val="es-CO"/>
        </w:rPr>
      </w:pPr>
      <w:r>
        <w:rPr>
          <w:rFonts w:ascii="Arial" w:hAnsi="Arial" w:cs="Arial"/>
          <w:i/>
          <w:lang w:val="es-CO"/>
        </w:rPr>
        <w:t>(Art. 14 Decreto 2579 de 1983)</w:t>
      </w:r>
    </w:p>
    <w:p w14:paraId="08FAD135" w14:textId="77777777" w:rsidR="00B2442D" w:rsidRDefault="00B2442D">
      <w:pPr>
        <w:jc w:val="both"/>
        <w:rPr>
          <w:rFonts w:ascii="Arial" w:hAnsi="Arial" w:cs="Arial"/>
          <w:lang w:val="es-CO"/>
        </w:rPr>
      </w:pPr>
    </w:p>
    <w:p w14:paraId="1938A5AA"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Retención en la fuente en operaciones con carta</w:t>
      </w:r>
      <w:r>
        <w:rPr>
          <w:rFonts w:ascii="Arial" w:hAnsi="Arial" w:cs="Arial"/>
          <w:b/>
          <w:i/>
          <w:lang w:val="es-CO"/>
        </w:rPr>
        <w:t>s de crédito.</w:t>
      </w:r>
      <w:r>
        <w:rPr>
          <w:rFonts w:ascii="Arial" w:hAnsi="Arial" w:cs="Arial"/>
          <w:lang w:val="es-CO"/>
        </w:rPr>
        <w:t xml:space="preserve"> Cuando se utilicen cartas de crédito en operaciones sometidas a retención en la fuente, la retención se efectuará por la entidad financiera que otorga la respectiva carta de crédito.</w:t>
      </w:r>
    </w:p>
    <w:p w14:paraId="2D382235" w14:textId="77777777" w:rsidR="00B2442D" w:rsidRDefault="00B2442D">
      <w:pPr>
        <w:jc w:val="both"/>
        <w:rPr>
          <w:rFonts w:ascii="Arial" w:hAnsi="Arial" w:cs="Arial"/>
          <w:i/>
          <w:lang w:val="es-CO"/>
        </w:rPr>
      </w:pPr>
    </w:p>
    <w:p w14:paraId="5D850E9D" w14:textId="77777777" w:rsidR="00B2442D" w:rsidRDefault="008A645F">
      <w:pPr>
        <w:jc w:val="both"/>
        <w:rPr>
          <w:rFonts w:ascii="Arial" w:hAnsi="Arial" w:cs="Arial"/>
          <w:i/>
          <w:lang w:val="es-CO"/>
        </w:rPr>
      </w:pPr>
      <w:r>
        <w:rPr>
          <w:rFonts w:ascii="Arial" w:hAnsi="Arial" w:cs="Arial"/>
          <w:i/>
          <w:lang w:val="es-CO"/>
        </w:rPr>
        <w:t>(Art. 15, Decreto 2509 de 1985)</w:t>
      </w:r>
    </w:p>
    <w:p w14:paraId="548E8230" w14:textId="77777777" w:rsidR="00B2442D" w:rsidRDefault="00B2442D">
      <w:pPr>
        <w:jc w:val="both"/>
        <w:rPr>
          <w:rFonts w:ascii="Arial" w:hAnsi="Arial" w:cs="Arial"/>
          <w:lang w:val="es-CO"/>
        </w:rPr>
      </w:pPr>
    </w:p>
    <w:p w14:paraId="7A254D84"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Reintegro de valores rete</w:t>
      </w:r>
      <w:r>
        <w:rPr>
          <w:rFonts w:ascii="Arial" w:hAnsi="Arial" w:cs="Arial"/>
          <w:b/>
          <w:i/>
          <w:lang w:val="es-CO"/>
        </w:rPr>
        <w:t>nidos en exceso.</w:t>
      </w:r>
      <w:r>
        <w:rPr>
          <w:rFonts w:ascii="Arial" w:hAnsi="Arial" w:cs="Arial"/>
          <w:lang w:val="es-CO"/>
        </w:rPr>
        <w:t xml:space="preserve"> Cuando se efectúen retenciones por concepto del impuesto sobre la renta y complementarios, en un valor superior al que ha debido efectuarse, el agente retenedor podrá reintegrar los valores retenidos en exceso o indebidamente, previa solic</w:t>
      </w:r>
      <w:r>
        <w:rPr>
          <w:rFonts w:ascii="Arial" w:hAnsi="Arial" w:cs="Arial"/>
          <w:lang w:val="es-CO"/>
        </w:rPr>
        <w:t xml:space="preserve">itud escrita del afectado con la retención, acompañada de las pruebas, cuando a ello hubiere lugar. </w:t>
      </w:r>
    </w:p>
    <w:p w14:paraId="041BB83E" w14:textId="77777777" w:rsidR="00B2442D" w:rsidRDefault="00B2442D">
      <w:pPr>
        <w:jc w:val="both"/>
        <w:rPr>
          <w:rFonts w:ascii="Arial" w:hAnsi="Arial" w:cs="Arial"/>
          <w:lang w:val="es-CO"/>
        </w:rPr>
      </w:pPr>
    </w:p>
    <w:p w14:paraId="3677DC98" w14:textId="77777777" w:rsidR="00B2442D" w:rsidRDefault="008A645F">
      <w:pPr>
        <w:jc w:val="both"/>
        <w:rPr>
          <w:rFonts w:ascii="Arial" w:hAnsi="Arial" w:cs="Arial"/>
          <w:lang w:val="es-CO"/>
        </w:rPr>
      </w:pPr>
      <w:r>
        <w:rPr>
          <w:rFonts w:ascii="Arial" w:hAnsi="Arial" w:cs="Arial"/>
          <w:lang w:val="es-CO"/>
        </w:rPr>
        <w:t>En el mismo período en el cual el agente retenedor efectúe el respectivo reintegro podrá descontar este valor de las retenciones en la fuente por declarar</w:t>
      </w:r>
      <w:r>
        <w:rPr>
          <w:rFonts w:ascii="Arial" w:hAnsi="Arial" w:cs="Arial"/>
          <w:lang w:val="es-CO"/>
        </w:rPr>
        <w:t xml:space="preserve"> y consignar. Cuando el monto de las retenciones sea insuficiente podrá efectuar el descuento del saldo en los períodos siguientes.</w:t>
      </w:r>
    </w:p>
    <w:p w14:paraId="2F56844B" w14:textId="77777777" w:rsidR="00B2442D" w:rsidRDefault="00B2442D">
      <w:pPr>
        <w:jc w:val="both"/>
        <w:rPr>
          <w:rFonts w:ascii="Arial" w:hAnsi="Arial" w:cs="Arial"/>
          <w:lang w:val="es-CO"/>
        </w:rPr>
      </w:pPr>
    </w:p>
    <w:p w14:paraId="251DF941" w14:textId="77777777" w:rsidR="00B2442D" w:rsidRDefault="008A645F">
      <w:pPr>
        <w:jc w:val="both"/>
        <w:rPr>
          <w:rFonts w:ascii="Arial" w:hAnsi="Arial" w:cs="Arial"/>
          <w:lang w:val="es-CO"/>
        </w:rPr>
      </w:pPr>
      <w:r>
        <w:rPr>
          <w:rFonts w:ascii="Arial" w:hAnsi="Arial" w:cs="Arial"/>
          <w:lang w:val="es-CO"/>
        </w:rPr>
        <w:t>Para que proceda el descuento el retenedor deberá anular el certificado de retención en la fuente, si ya lo hubiere expedid</w:t>
      </w:r>
      <w:r>
        <w:rPr>
          <w:rFonts w:ascii="Arial" w:hAnsi="Arial" w:cs="Arial"/>
          <w:lang w:val="es-CO"/>
        </w:rPr>
        <w:t>o y conservarlo junto con la solicitud escrita del interesado.</w:t>
      </w:r>
    </w:p>
    <w:p w14:paraId="09EFFB72" w14:textId="77777777" w:rsidR="00B2442D" w:rsidRDefault="00B2442D">
      <w:pPr>
        <w:jc w:val="both"/>
        <w:rPr>
          <w:rFonts w:ascii="Arial" w:hAnsi="Arial" w:cs="Arial"/>
          <w:lang w:val="es-CO"/>
        </w:rPr>
      </w:pPr>
    </w:p>
    <w:p w14:paraId="568E0D2B" w14:textId="77777777" w:rsidR="00B2442D" w:rsidRDefault="008A645F">
      <w:pPr>
        <w:jc w:val="both"/>
        <w:rPr>
          <w:rFonts w:ascii="Arial" w:hAnsi="Arial" w:cs="Arial"/>
          <w:lang w:val="es-CO"/>
        </w:rPr>
      </w:pPr>
      <w:r>
        <w:rPr>
          <w:rFonts w:ascii="Arial" w:hAnsi="Arial" w:cs="Arial"/>
          <w:lang w:val="es-CO"/>
        </w:rPr>
        <w:t>Cuando el reintegro se solicita en el año fiscal siguiente a aquel en el cual se efectuó la retención, el solicitante deberá, además, manifestar expresamente en su petición que la retención no</w:t>
      </w:r>
      <w:r>
        <w:rPr>
          <w:rFonts w:ascii="Arial" w:hAnsi="Arial" w:cs="Arial"/>
          <w:lang w:val="es-CO"/>
        </w:rPr>
        <w:t xml:space="preserve"> ha sido ni será imputada en la declaración de renta correspondiente.</w:t>
      </w:r>
    </w:p>
    <w:p w14:paraId="229C12C6" w14:textId="77777777" w:rsidR="00B2442D" w:rsidRDefault="00B2442D">
      <w:pPr>
        <w:jc w:val="both"/>
        <w:rPr>
          <w:rFonts w:ascii="Arial" w:hAnsi="Arial" w:cs="Arial"/>
          <w:lang w:val="es-CO"/>
        </w:rPr>
      </w:pPr>
    </w:p>
    <w:p w14:paraId="5888FBD6" w14:textId="77777777" w:rsidR="00B2442D" w:rsidRDefault="008A645F">
      <w:pPr>
        <w:jc w:val="both"/>
        <w:rPr>
          <w:rFonts w:ascii="Arial" w:hAnsi="Arial" w:cs="Arial"/>
          <w:lang w:val="es-CO"/>
        </w:rPr>
      </w:pPr>
      <w:r>
        <w:rPr>
          <w:rFonts w:ascii="Arial" w:hAnsi="Arial" w:cs="Arial"/>
          <w:lang w:val="es-CO"/>
        </w:rPr>
        <w:t>Tratándose de retenciones en la fuente a título de impuesto de timbre nacional que se hayan practicado en exceso o indebidamente, el agente retenedor podrá, en lo pertinente, aplicar el</w:t>
      </w:r>
      <w:r>
        <w:rPr>
          <w:rFonts w:ascii="Arial" w:hAnsi="Arial" w:cs="Arial"/>
          <w:lang w:val="es-CO"/>
        </w:rPr>
        <w:t xml:space="preserve"> procedimiento previsto en este artículo. Con tal finalidad, el afectado acreditará las circunstancias y pruebas de la configuración del pago en exceso o de lo no debido en relación con el impuesto objeto de la retención que motiva la solicitud y procederá</w:t>
      </w:r>
      <w:r>
        <w:rPr>
          <w:rFonts w:ascii="Arial" w:hAnsi="Arial" w:cs="Arial"/>
          <w:lang w:val="es-CO"/>
        </w:rPr>
        <w:t xml:space="preserve"> la devolución, siempre y cuando no haya transcurrido el término de prescripción de la acción ejecutiva establecido en el artículo 2536 del Código Civil, contado a partir de la fecha en que se practicó la retención.</w:t>
      </w:r>
    </w:p>
    <w:p w14:paraId="1A322CA4" w14:textId="77777777" w:rsidR="00B2442D" w:rsidRDefault="00B2442D">
      <w:pPr>
        <w:jc w:val="both"/>
        <w:rPr>
          <w:rFonts w:ascii="Arial" w:hAnsi="Arial" w:cs="Arial"/>
          <w:lang w:val="es-CO"/>
        </w:rPr>
      </w:pPr>
    </w:p>
    <w:p w14:paraId="11E758A3" w14:textId="77777777" w:rsidR="00B2442D" w:rsidRDefault="008A645F">
      <w:pPr>
        <w:jc w:val="both"/>
        <w:rPr>
          <w:rFonts w:ascii="Arial" w:hAnsi="Arial" w:cs="Arial"/>
          <w:lang w:val="es-CO"/>
        </w:rPr>
      </w:pPr>
      <w:r>
        <w:rPr>
          <w:rFonts w:ascii="Arial" w:hAnsi="Arial" w:cs="Arial"/>
          <w:lang w:val="es-CO"/>
        </w:rPr>
        <w:t>Las sumas objeto de devolución de las r</w:t>
      </w:r>
      <w:r>
        <w:rPr>
          <w:rFonts w:ascii="Arial" w:hAnsi="Arial" w:cs="Arial"/>
          <w:lang w:val="es-CO"/>
        </w:rPr>
        <w:t>etenciones en la fuente a que se refiere el inciso anterior, podrán descontarse del monto de las retenciones que por otros impuestos estén pendientes por declarar y consignar en el periodo en el que se presente la solicitud de devolución.</w:t>
      </w:r>
    </w:p>
    <w:p w14:paraId="73401C82" w14:textId="77777777" w:rsidR="00B2442D" w:rsidRDefault="00B2442D">
      <w:pPr>
        <w:rPr>
          <w:rFonts w:ascii="Arial" w:hAnsi="Arial" w:cs="Arial"/>
          <w:i/>
          <w:lang w:val="es-CO"/>
        </w:rPr>
      </w:pPr>
    </w:p>
    <w:p w14:paraId="7D92A960" w14:textId="77777777" w:rsidR="00B2442D" w:rsidRDefault="008A645F">
      <w:pPr>
        <w:jc w:val="both"/>
        <w:rPr>
          <w:rFonts w:ascii="Arial" w:hAnsi="Arial" w:cs="Arial"/>
          <w:i/>
          <w:lang w:val="es-CO"/>
        </w:rPr>
      </w:pPr>
      <w:r>
        <w:rPr>
          <w:rFonts w:ascii="Arial" w:hAnsi="Arial" w:cs="Arial"/>
          <w:i/>
          <w:lang w:val="es-CO"/>
        </w:rPr>
        <w:t>(Art. 6, Decreto</w:t>
      </w:r>
      <w:r>
        <w:rPr>
          <w:rFonts w:ascii="Arial" w:hAnsi="Arial" w:cs="Arial"/>
          <w:i/>
          <w:lang w:val="es-CO"/>
        </w:rPr>
        <w:t xml:space="preserve"> 1189 de 1988. Adicionados dos incisos por el art. 1 del Decreto 2024 de 2012)</w:t>
      </w:r>
    </w:p>
    <w:p w14:paraId="7E78B557" w14:textId="77777777" w:rsidR="00B2442D" w:rsidRDefault="00B2442D">
      <w:pPr>
        <w:jc w:val="both"/>
        <w:rPr>
          <w:rFonts w:ascii="Arial" w:hAnsi="Arial" w:cs="Arial"/>
          <w:lang w:val="es-CO"/>
        </w:rPr>
      </w:pPr>
    </w:p>
    <w:p w14:paraId="77D1D957"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Las sociedades administradoras de fondos son agentes de retención.</w:t>
      </w:r>
      <w:r>
        <w:rPr>
          <w:rFonts w:ascii="Arial" w:hAnsi="Arial" w:cs="Arial"/>
          <w:lang w:val="es-CO"/>
        </w:rPr>
        <w:t xml:space="preserve"> En el caso de pagos o abonos en cuenta a favor de los suscriptores o partícipes de fondos de inversiones, fon</w:t>
      </w:r>
      <w:r>
        <w:rPr>
          <w:rFonts w:ascii="Arial" w:hAnsi="Arial" w:cs="Arial"/>
          <w:lang w:val="es-CO"/>
        </w:rPr>
        <w:t>dos de valores, fondos comunes, fondos de pensiones de jubilación e invalidez y fondos de cesantías, la sociedad administradora de los fondos deberá efectuar la retención en la fuente cuando ella proceda, aplicando los porcentajes que correspondan, de conf</w:t>
      </w:r>
      <w:r>
        <w:rPr>
          <w:rFonts w:ascii="Arial" w:hAnsi="Arial" w:cs="Arial"/>
          <w:lang w:val="es-CO"/>
        </w:rPr>
        <w:t>ormidad con los artículos 8° y 9° de la Ley 49 de 1990.</w:t>
      </w:r>
    </w:p>
    <w:p w14:paraId="488BDFDB" w14:textId="77777777" w:rsidR="00B2442D" w:rsidRDefault="00B2442D">
      <w:pPr>
        <w:jc w:val="both"/>
        <w:rPr>
          <w:rFonts w:ascii="Arial" w:hAnsi="Arial" w:cs="Arial"/>
          <w:i/>
          <w:lang w:val="es-CO"/>
        </w:rPr>
      </w:pPr>
    </w:p>
    <w:p w14:paraId="3917BB23" w14:textId="77777777" w:rsidR="00B2442D" w:rsidRDefault="008A645F">
      <w:pPr>
        <w:jc w:val="both"/>
        <w:rPr>
          <w:rFonts w:ascii="Arial" w:hAnsi="Arial" w:cs="Arial"/>
          <w:i/>
          <w:lang w:val="es-CO"/>
        </w:rPr>
      </w:pPr>
      <w:r>
        <w:rPr>
          <w:rFonts w:ascii="Arial" w:hAnsi="Arial" w:cs="Arial"/>
          <w:i/>
          <w:lang w:val="es-CO"/>
        </w:rPr>
        <w:t>(Art. 12, Decreto 0836 de 1991)</w:t>
      </w:r>
    </w:p>
    <w:p w14:paraId="5E72FABD" w14:textId="77777777" w:rsidR="00B2442D" w:rsidRDefault="00B2442D">
      <w:pPr>
        <w:jc w:val="both"/>
        <w:rPr>
          <w:rFonts w:ascii="Arial" w:hAnsi="Arial" w:cs="Arial"/>
          <w:i/>
          <w:lang w:val="es-CO"/>
        </w:rPr>
      </w:pPr>
    </w:p>
    <w:p w14:paraId="7C0A1A5F"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Retención en la fuente.</w:t>
      </w:r>
      <w:r>
        <w:rPr>
          <w:rFonts w:ascii="Arial" w:hAnsi="Arial" w:cs="Arial"/>
          <w:lang w:val="es-CO"/>
        </w:rPr>
        <w:t xml:space="preserve"> Los ingresos percibidos por las Cámaras de Riesgo Central de Contraparte, como recibidos para y/o por cuenta de terceros, en los términos del </w:t>
      </w:r>
      <w:r>
        <w:rPr>
          <w:rFonts w:ascii="Arial" w:hAnsi="Arial" w:cs="Arial"/>
          <w:lang w:val="es-CO"/>
        </w:rPr>
        <w:t xml:space="preserve">artículo 1.2.1.18.68 del presente decreto, no serán objeto de retención en la fuente por parte de la respectiva Cámara de Riesgo Central de Contraparte. Por tanto, estas entidades no tienen la calidad de agentes de retención, respecto de los ingresos para </w:t>
      </w:r>
      <w:r>
        <w:rPr>
          <w:rFonts w:ascii="Arial" w:hAnsi="Arial" w:cs="Arial"/>
          <w:lang w:val="es-CO"/>
        </w:rPr>
        <w:t>terceros relativos a las operaciones compensadas y liquidadas por su conducto, como tampoco se considerarán mandatarias de las partes que con ellas interactúen en este tipo de operaciones, sin perjuicio de lo previsto en el artículo 1.2.4.19 del presente d</w:t>
      </w:r>
      <w:r>
        <w:rPr>
          <w:rFonts w:ascii="Arial" w:hAnsi="Arial" w:cs="Arial"/>
          <w:lang w:val="es-CO"/>
        </w:rPr>
        <w:t>ecreto.</w:t>
      </w:r>
    </w:p>
    <w:p w14:paraId="2AA29610" w14:textId="77777777" w:rsidR="00B2442D" w:rsidRDefault="00B2442D">
      <w:pPr>
        <w:jc w:val="both"/>
        <w:rPr>
          <w:rFonts w:ascii="Arial" w:hAnsi="Arial" w:cs="Arial"/>
          <w:lang w:val="es-CO"/>
        </w:rPr>
      </w:pPr>
    </w:p>
    <w:p w14:paraId="3A63BEDA" w14:textId="77777777" w:rsidR="00B2442D" w:rsidRDefault="008A645F">
      <w:pPr>
        <w:jc w:val="both"/>
        <w:rPr>
          <w:rFonts w:ascii="Arial" w:hAnsi="Arial" w:cs="Arial"/>
          <w:lang w:val="es-CO"/>
        </w:rPr>
      </w:pPr>
      <w:r>
        <w:rPr>
          <w:rFonts w:ascii="Arial" w:hAnsi="Arial" w:cs="Arial"/>
          <w:lang w:val="es-CO"/>
        </w:rPr>
        <w:t>En relación con las operaciones que les generan ingresos propios, las Cámaras de Riesgo Central de Contraparte serán autorretenedoras del impuesto sobre la renta por todo concepto.</w:t>
      </w:r>
    </w:p>
    <w:p w14:paraId="1F9D7F46" w14:textId="77777777" w:rsidR="00B2442D" w:rsidRDefault="00B2442D">
      <w:pPr>
        <w:jc w:val="both"/>
        <w:rPr>
          <w:rFonts w:ascii="Arial" w:hAnsi="Arial" w:cs="Arial"/>
          <w:lang w:val="es-CO"/>
        </w:rPr>
      </w:pPr>
    </w:p>
    <w:p w14:paraId="78285E3E" w14:textId="77777777" w:rsidR="00B2442D" w:rsidRDefault="008A645F">
      <w:pPr>
        <w:jc w:val="both"/>
        <w:rPr>
          <w:rFonts w:ascii="Arial" w:hAnsi="Arial" w:cs="Arial"/>
          <w:lang w:val="es-CO"/>
        </w:rPr>
      </w:pPr>
      <w:r>
        <w:rPr>
          <w:rFonts w:ascii="Arial" w:hAnsi="Arial" w:cs="Arial"/>
          <w:lang w:val="es-CO"/>
        </w:rPr>
        <w:t xml:space="preserve">Las Cámaras de Riesgo Central de Contraparte además, serán </w:t>
      </w:r>
      <w:r>
        <w:rPr>
          <w:rFonts w:ascii="Arial" w:hAnsi="Arial" w:cs="Arial"/>
          <w:lang w:val="es-CO"/>
        </w:rPr>
        <w:t>agentes de retención del impuesto sobre las ventas.</w:t>
      </w:r>
    </w:p>
    <w:p w14:paraId="3FB46B1B" w14:textId="77777777" w:rsidR="00B2442D" w:rsidRDefault="00B2442D">
      <w:pPr>
        <w:jc w:val="both"/>
        <w:rPr>
          <w:rFonts w:ascii="Arial" w:hAnsi="Arial" w:cs="Arial"/>
          <w:lang w:val="es-CO"/>
        </w:rPr>
      </w:pPr>
    </w:p>
    <w:p w14:paraId="077DCAF2" w14:textId="77777777" w:rsidR="00B2442D" w:rsidRDefault="008A645F">
      <w:pPr>
        <w:jc w:val="both"/>
        <w:rPr>
          <w:rFonts w:ascii="Arial" w:hAnsi="Arial" w:cs="Arial"/>
          <w:lang w:val="es-CO"/>
        </w:rPr>
      </w:pPr>
      <w:r>
        <w:rPr>
          <w:rFonts w:ascii="Arial" w:hAnsi="Arial" w:cs="Arial"/>
          <w:lang w:val="es-CO"/>
        </w:rPr>
        <w:t>Los miembros o contrapartes liquidadores o no liquidadores que tengan la condición de residentes o domiciliados en Colombia para efectos tributarios, tendrán la calidad de agentes autorretenedores en rel</w:t>
      </w:r>
      <w:r>
        <w:rPr>
          <w:rFonts w:ascii="Arial" w:hAnsi="Arial" w:cs="Arial"/>
          <w:lang w:val="es-CO"/>
        </w:rPr>
        <w:t>ación con los ingresos originados en operaciones que se compensen y liquiden por conducto de las Cámaras de Riesgo Central de Contraparte.</w:t>
      </w:r>
    </w:p>
    <w:p w14:paraId="7FDF5B1C" w14:textId="77777777" w:rsidR="00B2442D" w:rsidRDefault="00B2442D">
      <w:pPr>
        <w:jc w:val="both"/>
        <w:rPr>
          <w:rFonts w:ascii="Arial" w:hAnsi="Arial" w:cs="Arial"/>
          <w:lang w:val="es-CO"/>
        </w:rPr>
      </w:pPr>
    </w:p>
    <w:p w14:paraId="36B74007" w14:textId="77777777" w:rsidR="00B2442D" w:rsidRDefault="008A645F">
      <w:pPr>
        <w:jc w:val="both"/>
        <w:rPr>
          <w:rFonts w:ascii="Arial" w:hAnsi="Arial" w:cs="Arial"/>
          <w:i/>
          <w:lang w:val="es-CO"/>
        </w:rPr>
      </w:pPr>
      <w:r>
        <w:rPr>
          <w:rFonts w:ascii="Arial" w:hAnsi="Arial" w:cs="Arial"/>
          <w:i/>
          <w:lang w:val="es-CO"/>
        </w:rPr>
        <w:t>(Art. 4, Decreto 1797 de 2008)</w:t>
      </w:r>
    </w:p>
    <w:p w14:paraId="2F2013F3" w14:textId="77777777" w:rsidR="00B2442D" w:rsidRDefault="00B2442D">
      <w:pPr>
        <w:jc w:val="both"/>
        <w:rPr>
          <w:rFonts w:ascii="Arial" w:hAnsi="Arial" w:cs="Arial"/>
          <w:lang w:val="es-CO"/>
        </w:rPr>
      </w:pPr>
    </w:p>
    <w:p w14:paraId="7CAA2F16"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Agentes de retención. </w:t>
      </w:r>
      <w:r>
        <w:rPr>
          <w:rFonts w:ascii="Arial" w:hAnsi="Arial" w:cs="Arial"/>
          <w:lang w:val="es-CO"/>
        </w:rPr>
        <w:t>En las operaciones compensadas y liquidadas por las Cámaras de</w:t>
      </w:r>
      <w:r>
        <w:rPr>
          <w:rFonts w:ascii="Arial" w:hAnsi="Arial" w:cs="Arial"/>
          <w:lang w:val="es-CO"/>
        </w:rPr>
        <w:t xml:space="preserve"> Riesgo Central de Contraparte, la retención en la fuente a título del impuesto sobre la renta deberá practicarse por los miembros o contrapartes liquidadores o no liquidadores, frente a sus respectivos terceros. En el caso en que los miembros o contrapart</w:t>
      </w:r>
      <w:r>
        <w:rPr>
          <w:rFonts w:ascii="Arial" w:hAnsi="Arial" w:cs="Arial"/>
          <w:lang w:val="es-CO"/>
        </w:rPr>
        <w:t>es liquidadores o no liquidadores tengan la calidad de extranjeros no residentes en Colombia, la retención en la fuente será practicada por los agentes de pago y/o agentes custodios por cuyo conducto dichos extranjeros cumplan sus obligaciones ante la resp</w:t>
      </w:r>
      <w:r>
        <w:rPr>
          <w:rFonts w:ascii="Arial" w:hAnsi="Arial" w:cs="Arial"/>
          <w:lang w:val="es-CO"/>
        </w:rPr>
        <w:t>ectiva Cámara de Riesgo Central de Contraparte. Para el efecto, de acuerdo con las normas aplicables, la retención en la fuente recaerá sobre el beneficiario efectivo de la respectiva operación, sin perjuicio de las disposiciones relativas a la autorretenc</w:t>
      </w:r>
      <w:r>
        <w:rPr>
          <w:rFonts w:ascii="Arial" w:hAnsi="Arial" w:cs="Arial"/>
          <w:lang w:val="es-CO"/>
        </w:rPr>
        <w:t>ión en la fuente y será practicada por el miembro o contraparte liquidador o no liquidador que tenga relación directa con dicho beneficiario efectivo.</w:t>
      </w:r>
    </w:p>
    <w:p w14:paraId="27DD48B8" w14:textId="77777777" w:rsidR="00B2442D" w:rsidRDefault="00B2442D">
      <w:pPr>
        <w:jc w:val="both"/>
        <w:rPr>
          <w:rFonts w:ascii="Arial" w:hAnsi="Arial" w:cs="Arial"/>
          <w:lang w:val="es-CO"/>
        </w:rPr>
      </w:pPr>
    </w:p>
    <w:p w14:paraId="6F3B79B5" w14:textId="77777777" w:rsidR="00B2442D" w:rsidRDefault="008A645F">
      <w:pPr>
        <w:jc w:val="both"/>
        <w:rPr>
          <w:rFonts w:ascii="Arial" w:hAnsi="Arial" w:cs="Arial"/>
          <w:lang w:val="es-CO"/>
        </w:rPr>
      </w:pPr>
      <w:r>
        <w:rPr>
          <w:rFonts w:ascii="Arial" w:hAnsi="Arial" w:cs="Arial"/>
          <w:lang w:val="es-CO"/>
        </w:rPr>
        <w:t>En el caso de traspasos de operaciones que ocurran entre diferentes miembros o contrapartes antes del ve</w:t>
      </w:r>
      <w:r>
        <w:rPr>
          <w:rFonts w:ascii="Arial" w:hAnsi="Arial" w:cs="Arial"/>
          <w:lang w:val="es-CO"/>
        </w:rPr>
        <w:t>ncimiento, en los términos que las Cámaras de Riesgo Central de Contraparte establezcan en su reglamentación, cada miembro o contraparte liquidador o no liquidador será responsable de practicar la retención en la fuente que le corresponda por el periodo du</w:t>
      </w:r>
      <w:r>
        <w:rPr>
          <w:rFonts w:ascii="Arial" w:hAnsi="Arial" w:cs="Arial"/>
          <w:lang w:val="es-CO"/>
        </w:rPr>
        <w:t>rante el cual tuvo a su cargo las operaciones objeto de traspaso.</w:t>
      </w:r>
    </w:p>
    <w:p w14:paraId="57B8FDCD" w14:textId="77777777" w:rsidR="00B2442D" w:rsidRDefault="00B2442D">
      <w:pPr>
        <w:jc w:val="both"/>
        <w:rPr>
          <w:rFonts w:ascii="Arial" w:hAnsi="Arial" w:cs="Arial"/>
          <w:lang w:val="es-CO"/>
        </w:rPr>
      </w:pPr>
    </w:p>
    <w:p w14:paraId="6EED94C9" w14:textId="77777777" w:rsidR="00B2442D" w:rsidRDefault="008A645F">
      <w:pPr>
        <w:jc w:val="both"/>
        <w:rPr>
          <w:rFonts w:ascii="Arial" w:hAnsi="Arial" w:cs="Arial"/>
          <w:lang w:val="es-CO"/>
        </w:rPr>
      </w:pPr>
      <w:r>
        <w:rPr>
          <w:rFonts w:ascii="Arial" w:hAnsi="Arial" w:cs="Arial"/>
          <w:lang w:val="es-CO"/>
        </w:rPr>
        <w:t>Se entiende por beneficiario efectivo de una operación aquélla persona que percibe un aprovechamiento económico real por la ejecución de la misma.</w:t>
      </w:r>
    </w:p>
    <w:p w14:paraId="2B71D1C4" w14:textId="77777777" w:rsidR="00B2442D" w:rsidRDefault="00B2442D">
      <w:pPr>
        <w:jc w:val="both"/>
        <w:rPr>
          <w:rFonts w:ascii="Arial" w:hAnsi="Arial" w:cs="Arial"/>
          <w:lang w:val="es-CO"/>
        </w:rPr>
      </w:pPr>
    </w:p>
    <w:p w14:paraId="488911A9"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Las Bolsas de Valores no ob</w:t>
      </w:r>
      <w:r>
        <w:rPr>
          <w:rFonts w:ascii="Arial" w:hAnsi="Arial" w:cs="Arial"/>
          <w:lang w:val="es-CO"/>
        </w:rPr>
        <w:t>rarán como agentes de retención por cualquier concepto en relación con las operaciones que se compensen y liquiden en sistemas de compensación y liquidación de valores o derivados administrados por otras entidades, ni por las comisiones o tarifas que se de</w:t>
      </w:r>
      <w:r>
        <w:rPr>
          <w:rFonts w:ascii="Arial" w:hAnsi="Arial" w:cs="Arial"/>
          <w:lang w:val="es-CO"/>
        </w:rPr>
        <w:t>riven de dichas operaciones, como tampoco estarán obligadas a expedir las constancias de enajenación o de valores retenidos a que se refieren las normas vigentes en tales casos. En los casos no previstos en este parágrafo, continuarán actuando como agentes</w:t>
      </w:r>
      <w:r>
        <w:rPr>
          <w:rFonts w:ascii="Arial" w:hAnsi="Arial" w:cs="Arial"/>
          <w:lang w:val="es-CO"/>
        </w:rPr>
        <w:t xml:space="preserve"> de retención según la normativa vigente.</w:t>
      </w:r>
    </w:p>
    <w:p w14:paraId="4D7768D8" w14:textId="77777777" w:rsidR="00B2442D" w:rsidRDefault="00B2442D">
      <w:pPr>
        <w:jc w:val="both"/>
        <w:rPr>
          <w:rFonts w:ascii="Arial" w:hAnsi="Arial" w:cs="Arial"/>
          <w:lang w:val="es-CO"/>
        </w:rPr>
      </w:pPr>
    </w:p>
    <w:p w14:paraId="78FE083F"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Las entidades sujetas a la vigilancia de la Superintendencia Financiera de Colombia que perciban comisiones son autorretenedoras por tales conceptos.</w:t>
      </w:r>
    </w:p>
    <w:p w14:paraId="448F5AAA" w14:textId="77777777" w:rsidR="00B2442D" w:rsidRDefault="00B2442D">
      <w:pPr>
        <w:jc w:val="both"/>
        <w:rPr>
          <w:rFonts w:ascii="Arial" w:hAnsi="Arial" w:cs="Arial"/>
          <w:lang w:val="es-CO"/>
        </w:rPr>
      </w:pPr>
    </w:p>
    <w:p w14:paraId="4A95F650"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En relación con las operaciones qu</w:t>
      </w:r>
      <w:r>
        <w:rPr>
          <w:rFonts w:ascii="Arial" w:hAnsi="Arial" w:cs="Arial"/>
          <w:lang w:val="es-CO"/>
        </w:rPr>
        <w:t xml:space="preserve">e se compensen y liquiden a través de las Cámaras de Riesgo Central de Contraparte, dichas entidades deberán comunicar a las sociedades administradoras de los depósitos centralizados de valores las órdenes de transferencia de los títulos y proveer toda la </w:t>
      </w:r>
      <w:r>
        <w:rPr>
          <w:rFonts w:ascii="Arial" w:hAnsi="Arial" w:cs="Arial"/>
          <w:lang w:val="es-CO"/>
        </w:rPr>
        <w:t>información requerida para la expedición de las constancias de enajenación, con el fin de que las mismas puedan realizar la anotación en cuenta correspondiente, según la calidad fiscal del beneficiario efectivo en los mismos términos del artículo 1.2.4.2.4</w:t>
      </w:r>
      <w:r>
        <w:rPr>
          <w:rFonts w:ascii="Arial" w:hAnsi="Arial" w:cs="Arial"/>
          <w:lang w:val="es-CO"/>
        </w:rPr>
        <w:t>0 de este Decreto.</w:t>
      </w:r>
    </w:p>
    <w:p w14:paraId="76172AA2" w14:textId="77777777" w:rsidR="00B2442D" w:rsidRDefault="00B2442D">
      <w:pPr>
        <w:jc w:val="both"/>
        <w:rPr>
          <w:rFonts w:ascii="Arial" w:hAnsi="Arial" w:cs="Arial"/>
          <w:lang w:val="es-CO"/>
        </w:rPr>
      </w:pPr>
    </w:p>
    <w:p w14:paraId="71CB854E" w14:textId="77777777" w:rsidR="00B2442D" w:rsidRDefault="008A645F">
      <w:pPr>
        <w:jc w:val="both"/>
        <w:rPr>
          <w:rFonts w:ascii="Arial" w:hAnsi="Arial" w:cs="Arial"/>
          <w:lang w:val="es-CO"/>
        </w:rPr>
      </w:pPr>
      <w:r>
        <w:rPr>
          <w:rFonts w:ascii="Arial" w:hAnsi="Arial" w:cs="Arial"/>
          <w:lang w:val="es-CO"/>
        </w:rPr>
        <w:t>El registro en cuentas o anotación en cuenta que realice la respectiva sociedad administradora del depósito centralizado de valores, con base en la transmisión de la constancia realizada por las Cámaras de Riesgo Central de Contraparte,</w:t>
      </w:r>
      <w:r>
        <w:rPr>
          <w:rFonts w:ascii="Arial" w:hAnsi="Arial" w:cs="Arial"/>
          <w:lang w:val="es-CO"/>
        </w:rPr>
        <w:t xml:space="preserve"> sustituirá la obligación de anexar el papel físico de la constancia al respectivo título, siempre y cuando la sociedad administradora consigne de manera completa la misma información en las constancias de depósito y los certificados que expida en relación</w:t>
      </w:r>
      <w:r>
        <w:rPr>
          <w:rFonts w:ascii="Arial" w:hAnsi="Arial" w:cs="Arial"/>
          <w:lang w:val="es-CO"/>
        </w:rPr>
        <w:t xml:space="preserve"> con los mismos.</w:t>
      </w:r>
    </w:p>
    <w:p w14:paraId="27C5F64D" w14:textId="77777777" w:rsidR="00B2442D" w:rsidRDefault="00B2442D">
      <w:pPr>
        <w:jc w:val="both"/>
        <w:rPr>
          <w:rFonts w:ascii="Arial" w:hAnsi="Arial" w:cs="Arial"/>
          <w:lang w:val="es-CO"/>
        </w:rPr>
      </w:pPr>
    </w:p>
    <w:p w14:paraId="7086B047" w14:textId="77777777" w:rsidR="00B2442D" w:rsidRDefault="008A645F">
      <w:pPr>
        <w:jc w:val="both"/>
        <w:rPr>
          <w:rFonts w:ascii="Arial" w:hAnsi="Arial" w:cs="Arial"/>
          <w:i/>
          <w:lang w:val="es-CO"/>
        </w:rPr>
      </w:pPr>
      <w:r>
        <w:rPr>
          <w:rFonts w:ascii="Arial" w:hAnsi="Arial" w:cs="Arial"/>
          <w:i/>
          <w:lang w:val="es-CO"/>
        </w:rPr>
        <w:t>(Art. 5, Decreto 1797 de 2008)</w:t>
      </w:r>
    </w:p>
    <w:p w14:paraId="7A25787E" w14:textId="77777777" w:rsidR="00B2442D" w:rsidRDefault="00B2442D">
      <w:pPr>
        <w:jc w:val="both"/>
        <w:rPr>
          <w:rFonts w:ascii="Arial" w:hAnsi="Arial" w:cs="Arial"/>
          <w:lang w:val="es-CO"/>
        </w:rPr>
      </w:pPr>
    </w:p>
    <w:p w14:paraId="0A8C7EC6"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Ámbito de aplicación.</w:t>
      </w:r>
      <w:r>
        <w:rPr>
          <w:rFonts w:ascii="Arial" w:hAnsi="Arial" w:cs="Arial"/>
          <w:lang w:val="es-CO"/>
        </w:rPr>
        <w:t xml:space="preserve"> Los artículos 1.2.4.20 al 1.2.4.23, 1.2.4.25 al 1.2.4.33 y 1.2.4.36 del presente Decreto aplica a los agentes de retención, que señale la Unidad Administrativa Especial Dirección de Im</w:t>
      </w:r>
      <w:r>
        <w:rPr>
          <w:rFonts w:ascii="Arial" w:hAnsi="Arial" w:cs="Arial"/>
          <w:lang w:val="es-CO"/>
        </w:rPr>
        <w:t>puestos y Aduanas Nacionales- DIAN, quienes deben realizar de forma exclusiva los pagos por conceptos sujetos a retención en la fuente, a través de cuentas de ahorro o corrientes en las entidades financieras, mediante el uso de tarjetas débito, cheques gir</w:t>
      </w:r>
      <w:r>
        <w:rPr>
          <w:rFonts w:ascii="Arial" w:hAnsi="Arial" w:cs="Arial"/>
          <w:lang w:val="es-CO"/>
        </w:rPr>
        <w:t>ados a primer beneficiario y/o transferencias directas.</w:t>
      </w:r>
    </w:p>
    <w:p w14:paraId="4AE8354A" w14:textId="77777777" w:rsidR="00B2442D" w:rsidRDefault="00B2442D">
      <w:pPr>
        <w:jc w:val="both"/>
        <w:rPr>
          <w:rFonts w:ascii="Arial" w:hAnsi="Arial" w:cs="Arial"/>
          <w:lang w:val="es-CO"/>
        </w:rPr>
      </w:pPr>
    </w:p>
    <w:p w14:paraId="49513D09" w14:textId="77777777" w:rsidR="00B2442D" w:rsidRDefault="008A645F">
      <w:pPr>
        <w:jc w:val="both"/>
        <w:rPr>
          <w:rFonts w:ascii="Arial" w:hAnsi="Arial" w:cs="Arial"/>
          <w:lang w:val="es-CO"/>
        </w:rPr>
      </w:pPr>
      <w:r>
        <w:rPr>
          <w:rFonts w:ascii="Arial" w:hAnsi="Arial" w:cs="Arial"/>
          <w:lang w:val="es-CO"/>
        </w:rPr>
        <w:t xml:space="preserve">Estos pagos deberán efectuarse de manera exclusiva desde cuentas identificadas para tal efecto, donde el titular de la cuenta es el agente de retención y el beneficiario del pago es el sujeto </w:t>
      </w:r>
      <w:r>
        <w:rPr>
          <w:rFonts w:ascii="Arial" w:hAnsi="Arial" w:cs="Arial"/>
          <w:lang w:val="es-CO"/>
        </w:rPr>
        <w:t>pasivo de la retención.</w:t>
      </w:r>
    </w:p>
    <w:p w14:paraId="4C9F645A" w14:textId="77777777" w:rsidR="00B2442D" w:rsidRDefault="00B2442D">
      <w:pPr>
        <w:jc w:val="both"/>
        <w:rPr>
          <w:rFonts w:ascii="Arial" w:hAnsi="Arial" w:cs="Arial"/>
          <w:lang w:val="es-CO"/>
        </w:rPr>
      </w:pPr>
    </w:p>
    <w:p w14:paraId="19D9A19F" w14:textId="77777777" w:rsidR="00B2442D" w:rsidRDefault="008A645F">
      <w:pPr>
        <w:jc w:val="both"/>
        <w:rPr>
          <w:rFonts w:ascii="Arial" w:hAnsi="Arial" w:cs="Arial"/>
          <w:lang w:val="es-CO"/>
        </w:rPr>
      </w:pPr>
      <w:r>
        <w:rPr>
          <w:rFonts w:ascii="Arial" w:hAnsi="Arial" w:cs="Arial"/>
          <w:lang w:val="es-CO"/>
        </w:rPr>
        <w:t>Cuando los pagos por conceptos sujetos a retención en la fuente se realicen en más de una transacción de pago, en todo caso se deben canalizar a través de las entidades financieras por las cuentas de que trata el inciso anterior, s</w:t>
      </w:r>
      <w:r>
        <w:rPr>
          <w:rFonts w:ascii="Arial" w:hAnsi="Arial" w:cs="Arial"/>
          <w:lang w:val="es-CO"/>
        </w:rPr>
        <w:t>iendo responsabilidad del agente de retención determinar para cada transacción proporcionalmente los valores de las retenciones que correspondan. En este evento, para cada transacción de pago individualmente considerada no aplicarán las cuantías mínimas no</w:t>
      </w:r>
      <w:r>
        <w:rPr>
          <w:rFonts w:ascii="Arial" w:hAnsi="Arial" w:cs="Arial"/>
          <w:lang w:val="es-CO"/>
        </w:rPr>
        <w:t xml:space="preserve"> sujetas a retención establecidas en las normas vigentes.</w:t>
      </w:r>
    </w:p>
    <w:p w14:paraId="4D1A0AD5" w14:textId="77777777" w:rsidR="00B2442D" w:rsidRDefault="00B2442D">
      <w:pPr>
        <w:jc w:val="both"/>
        <w:rPr>
          <w:rFonts w:ascii="Arial" w:hAnsi="Arial" w:cs="Arial"/>
          <w:b/>
          <w:lang w:val="es-CO"/>
        </w:rPr>
      </w:pPr>
    </w:p>
    <w:p w14:paraId="7B1E5E73"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Unidad Administrativa Especial Dirección de Impuestos y Aduanas Nacionales-DIAN mediante resolución deberá establecer los agentes de retención e indicar el período a partir del cual deberán efectuar las retenciones en la fuente de conformidad con lo pr</w:t>
      </w:r>
      <w:r>
        <w:rPr>
          <w:rFonts w:ascii="Arial" w:hAnsi="Arial" w:cs="Arial"/>
          <w:lang w:val="es-CO"/>
        </w:rPr>
        <w:t>evisto en los artículos 1.2.4.20 al 1.2.4.23, 1.2.4.25 al 1.2.4.33 y 1.2.4.36 del presente Decreto; de igual forma, podrá señalar los conceptos de retención a los cuales aplica. La resolución correspondiente se expedirá mínimo con seis (6) meses de antelac</w:t>
      </w:r>
      <w:r>
        <w:rPr>
          <w:rFonts w:ascii="Arial" w:hAnsi="Arial" w:cs="Arial"/>
          <w:lang w:val="es-CO"/>
        </w:rPr>
        <w:t>ión al período que se indique en la misma.</w:t>
      </w:r>
    </w:p>
    <w:p w14:paraId="571A5025" w14:textId="77777777" w:rsidR="00B2442D" w:rsidRDefault="00B2442D">
      <w:pPr>
        <w:jc w:val="both"/>
        <w:rPr>
          <w:rFonts w:ascii="Arial" w:hAnsi="Arial" w:cs="Arial"/>
          <w:lang w:val="es-CO"/>
        </w:rPr>
      </w:pPr>
    </w:p>
    <w:p w14:paraId="27818AB6" w14:textId="77777777" w:rsidR="00B2442D" w:rsidRDefault="008A645F">
      <w:pPr>
        <w:jc w:val="both"/>
        <w:rPr>
          <w:rFonts w:ascii="Arial" w:hAnsi="Arial" w:cs="Arial"/>
          <w:lang w:val="es-CO"/>
        </w:rPr>
      </w:pPr>
      <w:r>
        <w:rPr>
          <w:rFonts w:ascii="Arial" w:hAnsi="Arial" w:cs="Arial"/>
          <w:lang w:val="es-CO"/>
        </w:rPr>
        <w:t xml:space="preserve">A los pagos y/o retenciones en la fuente que deban efectuarse por obligaciones contraídas en períodos anteriores al que se indique en la resolución a la que se refiere el inciso primero de este parágrafo, no les </w:t>
      </w:r>
      <w:r>
        <w:rPr>
          <w:rFonts w:ascii="Arial" w:hAnsi="Arial" w:cs="Arial"/>
          <w:lang w:val="es-CO"/>
        </w:rPr>
        <w:t>será aplicable lo señalado en los artículos 1.2.4.20 al 1.2.4.23, 1.2.4.25 al 1.2.4.33 y 1.2.4.36 del presente Decreto.</w:t>
      </w:r>
    </w:p>
    <w:p w14:paraId="2FB337D8" w14:textId="77777777" w:rsidR="00B2442D" w:rsidRDefault="00B2442D">
      <w:pPr>
        <w:jc w:val="both"/>
        <w:rPr>
          <w:rFonts w:ascii="Arial" w:hAnsi="Arial" w:cs="Arial"/>
          <w:b/>
          <w:lang w:val="es-CO"/>
        </w:rPr>
      </w:pPr>
    </w:p>
    <w:p w14:paraId="0972172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el agente de retención señalado por la Unidad Administrativa Especial Dirección de Impuestos y Aduanas Nacionales–</w:t>
      </w:r>
      <w:r>
        <w:rPr>
          <w:rFonts w:ascii="Arial" w:hAnsi="Arial" w:cs="Arial"/>
          <w:lang w:val="es-CO"/>
        </w:rPr>
        <w:t xml:space="preserve"> DIAN efectúe pagos por conceptos sujetos a retención a través de mandatarios, incluida la administración delegada, el titular de las cuentas será el mandatario.</w:t>
      </w:r>
    </w:p>
    <w:p w14:paraId="78EE5FFF" w14:textId="77777777" w:rsidR="00B2442D" w:rsidRDefault="00B2442D">
      <w:pPr>
        <w:jc w:val="both"/>
        <w:rPr>
          <w:rFonts w:ascii="Arial" w:hAnsi="Arial" w:cs="Arial"/>
          <w:lang w:val="es-CO"/>
        </w:rPr>
      </w:pPr>
    </w:p>
    <w:p w14:paraId="6BE5A202" w14:textId="77777777" w:rsidR="00B2442D" w:rsidRDefault="008A645F">
      <w:pPr>
        <w:jc w:val="both"/>
        <w:rPr>
          <w:rFonts w:ascii="Arial" w:hAnsi="Arial" w:cs="Arial"/>
          <w:lang w:val="es-CO"/>
        </w:rPr>
      </w:pPr>
      <w:r>
        <w:rPr>
          <w:rFonts w:ascii="Arial" w:hAnsi="Arial" w:cs="Arial"/>
          <w:lang w:val="es-CO"/>
        </w:rPr>
        <w:t>En estos eventos, el mandatario cumplirá además todas las obligaciones que corresponden al ag</w:t>
      </w:r>
      <w:r>
        <w:rPr>
          <w:rFonts w:ascii="Arial" w:hAnsi="Arial" w:cs="Arial"/>
          <w:lang w:val="es-CO"/>
        </w:rPr>
        <w:t>ente de retención en el ámbito de los artículos 1.2.4.20 al 1.2.4.23, 1.2.4.25 al 1.2.4.33 y 1.2.4.36 del presente Decreto.</w:t>
      </w:r>
    </w:p>
    <w:p w14:paraId="638527FA" w14:textId="77777777" w:rsidR="00B2442D" w:rsidRDefault="00B2442D">
      <w:pPr>
        <w:jc w:val="both"/>
        <w:rPr>
          <w:rFonts w:ascii="Arial" w:hAnsi="Arial" w:cs="Arial"/>
          <w:lang w:val="es-CO"/>
        </w:rPr>
      </w:pPr>
    </w:p>
    <w:p w14:paraId="065B8867"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Si entre los agentes de retención fuere señalado un establecimiento bancario o el Banco de la República, los pagos po</w:t>
      </w:r>
      <w:r>
        <w:rPr>
          <w:rFonts w:ascii="Arial" w:hAnsi="Arial" w:cs="Arial"/>
          <w:lang w:val="es-CO"/>
        </w:rPr>
        <w:t>r conceptos sujetos a retención que deban efectuar estas entidades en calidad de agentes de retención, podrán canalizarse desde sus cuentas contables a través de transferencias y/o cheques de gerencia.</w:t>
      </w:r>
    </w:p>
    <w:p w14:paraId="008C7E16" w14:textId="77777777" w:rsidR="00B2442D" w:rsidRDefault="00B2442D">
      <w:pPr>
        <w:jc w:val="both"/>
        <w:rPr>
          <w:rFonts w:ascii="Arial" w:hAnsi="Arial" w:cs="Arial"/>
          <w:lang w:val="es-CO"/>
        </w:rPr>
      </w:pPr>
    </w:p>
    <w:p w14:paraId="28CDBAFB" w14:textId="77777777" w:rsidR="00B2442D" w:rsidRDefault="008A645F">
      <w:pPr>
        <w:jc w:val="both"/>
        <w:rPr>
          <w:rFonts w:ascii="Arial" w:hAnsi="Arial" w:cs="Arial"/>
          <w:lang w:val="es-CO"/>
        </w:rPr>
      </w:pPr>
      <w:r>
        <w:rPr>
          <w:rFonts w:ascii="Arial" w:hAnsi="Arial" w:cs="Arial"/>
          <w:lang w:val="es-CO"/>
        </w:rPr>
        <w:t>En el presente caso, estas entidades practicarán y co</w:t>
      </w:r>
      <w:r>
        <w:rPr>
          <w:rFonts w:ascii="Arial" w:hAnsi="Arial" w:cs="Arial"/>
          <w:lang w:val="es-CO"/>
        </w:rPr>
        <w:t>nsignarán las retenciones en la fuente, debiendo cumplir con las demás responsabilidades del agente de retención y de la entidad a través de la cual se practica la retención, conforme a lo previsto en los artículos 1.2.4.20 al 1.2.4.23, 1.2.4.25 al 1.2.4.3</w:t>
      </w:r>
      <w:r>
        <w:rPr>
          <w:rFonts w:ascii="Arial" w:hAnsi="Arial" w:cs="Arial"/>
          <w:lang w:val="es-CO"/>
        </w:rPr>
        <w:t>3 y 1.2.4.36 del presente Decreto.</w:t>
      </w:r>
    </w:p>
    <w:p w14:paraId="778AF05F" w14:textId="77777777" w:rsidR="00B2442D" w:rsidRDefault="00B2442D">
      <w:pPr>
        <w:jc w:val="both"/>
        <w:rPr>
          <w:rFonts w:ascii="Arial" w:hAnsi="Arial" w:cs="Arial"/>
          <w:lang w:val="es-CO"/>
        </w:rPr>
      </w:pPr>
    </w:p>
    <w:p w14:paraId="283452E7"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Los agentes de retención señalados por la Unidad Administrativa Especial Dirección de Impuestos y Aduanas Nacionales- DIAN, podrán identificar, entre las cuentas de ahorro o corrientes para efectuar en form</w:t>
      </w:r>
      <w:r>
        <w:rPr>
          <w:rFonts w:ascii="Arial" w:hAnsi="Arial" w:cs="Arial"/>
          <w:lang w:val="es-CO"/>
        </w:rPr>
        <w:t>a exclusiva pagos por conceptos sujetos a retención en la fuente en el marco de los artículos 1.2.4.20 al 1.2.4.23, 1.2.4.25 al 1.2.4.33 y 1.2.4.36 del presente Decreto, cuentas exentas del Gravamen a los Movimientos Financieros.</w:t>
      </w:r>
    </w:p>
    <w:p w14:paraId="7A5D36D0" w14:textId="77777777" w:rsidR="00B2442D" w:rsidRDefault="00B2442D">
      <w:pPr>
        <w:jc w:val="both"/>
        <w:rPr>
          <w:rFonts w:ascii="Arial" w:hAnsi="Arial" w:cs="Arial"/>
          <w:lang w:val="es-CO"/>
        </w:rPr>
      </w:pPr>
    </w:p>
    <w:p w14:paraId="650CD407" w14:textId="77777777" w:rsidR="00B2442D" w:rsidRDefault="008A645F">
      <w:pPr>
        <w:jc w:val="both"/>
        <w:rPr>
          <w:rFonts w:ascii="Arial" w:hAnsi="Arial" w:cs="Arial"/>
          <w:lang w:val="es-CO"/>
        </w:rPr>
      </w:pPr>
      <w:r>
        <w:rPr>
          <w:rFonts w:ascii="Arial" w:hAnsi="Arial" w:cs="Arial"/>
          <w:b/>
          <w:lang w:val="es-CO"/>
        </w:rPr>
        <w:t>Parágrafo 5°.</w:t>
      </w:r>
      <w:r>
        <w:rPr>
          <w:rFonts w:ascii="Arial" w:hAnsi="Arial" w:cs="Arial"/>
          <w:lang w:val="es-CO"/>
        </w:rPr>
        <w:t xml:space="preserve"> Los pagos q</w:t>
      </w:r>
      <w:r>
        <w:rPr>
          <w:rFonts w:ascii="Arial" w:hAnsi="Arial" w:cs="Arial"/>
          <w:lang w:val="es-CO"/>
        </w:rPr>
        <w:t>ue efectúen los agentes de retención que sean señalados por la Unidad Administrativa Especial Dirección de Impuestos y Aduanas Nacionales- DIAN, a través de los sistemas de tarjeta débito por adquisición de bienes y/o servicios gravados con el impuesto sob</w:t>
      </w:r>
      <w:r>
        <w:rPr>
          <w:rFonts w:ascii="Arial" w:hAnsi="Arial" w:cs="Arial"/>
          <w:lang w:val="es-CO"/>
        </w:rPr>
        <w:t>re las ventas y los susceptibles de constituir ingreso tributario para los contribuyentes del impuesto sobre la renta, por concepto de venta de bienes o servicios, continuarán rigiéndose por las normas vigentes para el efecto, esto es, numeral 5 del artícu</w:t>
      </w:r>
      <w:r>
        <w:rPr>
          <w:rFonts w:ascii="Arial" w:hAnsi="Arial" w:cs="Arial"/>
          <w:lang w:val="es-CO"/>
        </w:rPr>
        <w:t>lo 437- 2 del Estatuto Tributario y el artículo 1.3.2.1.8 del presente Decreto, así como las normas que los modifiquen o adicionen.</w:t>
      </w:r>
    </w:p>
    <w:p w14:paraId="382F0428" w14:textId="77777777" w:rsidR="00B2442D" w:rsidRDefault="00B2442D">
      <w:pPr>
        <w:jc w:val="both"/>
        <w:rPr>
          <w:rFonts w:ascii="Arial" w:hAnsi="Arial" w:cs="Arial"/>
          <w:lang w:val="es-CO"/>
        </w:rPr>
      </w:pPr>
    </w:p>
    <w:p w14:paraId="7EBF56C8" w14:textId="77777777" w:rsidR="00B2442D" w:rsidRDefault="008A645F">
      <w:pPr>
        <w:jc w:val="both"/>
        <w:rPr>
          <w:rFonts w:ascii="Arial" w:hAnsi="Arial" w:cs="Arial"/>
          <w:i/>
          <w:lang w:val="es-CO"/>
        </w:rPr>
      </w:pPr>
      <w:r>
        <w:rPr>
          <w:rFonts w:ascii="Arial" w:hAnsi="Arial" w:cs="Arial"/>
          <w:i/>
          <w:lang w:val="es-CO"/>
        </w:rPr>
        <w:t>(Art. 1, Decreto 1159 de 2012. El artículo 1 del Decreto 1626 de 2001 citado en el parágrafo 5 se eliminó por tener decaimi</w:t>
      </w:r>
      <w:r>
        <w:rPr>
          <w:rFonts w:ascii="Arial" w:hAnsi="Arial" w:cs="Arial"/>
          <w:i/>
          <w:lang w:val="es-CO"/>
        </w:rPr>
        <w:t>ento en virtud de la evolución legislativa (El 1° del Decreto 1626 de 2001, reglamentaba el artículo 437-1 del Estatuto Tributario el cual fue modificado por el artículo 42 de la Ley 1607 de 2012))</w:t>
      </w:r>
    </w:p>
    <w:p w14:paraId="0D713836" w14:textId="77777777" w:rsidR="00B2442D" w:rsidRDefault="00B2442D">
      <w:pPr>
        <w:jc w:val="both"/>
        <w:rPr>
          <w:rFonts w:ascii="Arial" w:hAnsi="Arial" w:cs="Arial"/>
          <w:lang w:val="es-CO"/>
        </w:rPr>
      </w:pPr>
    </w:p>
    <w:p w14:paraId="4B862557"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Transacción de pago.</w:t>
      </w:r>
      <w:r>
        <w:rPr>
          <w:rFonts w:ascii="Arial" w:hAnsi="Arial" w:cs="Arial"/>
          <w:lang w:val="es-CO"/>
        </w:rPr>
        <w:t xml:space="preserve"> Se considera transacción de pago la </w:t>
      </w:r>
      <w:r>
        <w:rPr>
          <w:rFonts w:ascii="Arial" w:hAnsi="Arial" w:cs="Arial"/>
          <w:lang w:val="es-CO"/>
        </w:rPr>
        <w:t>operación que realiza el agente de retención a través de las entidades financieras, mediante el uso de tarjetas débito, cheques girados a primer beneficiario o transferencias directas, para cubrir total o parcialmente un pago por concepto sujeto a retenció</w:t>
      </w:r>
      <w:r>
        <w:rPr>
          <w:rFonts w:ascii="Arial" w:hAnsi="Arial" w:cs="Arial"/>
          <w:lang w:val="es-CO"/>
        </w:rPr>
        <w:t>n en la fuente, desde cuentas de ahorro o corrientes identificadas para tal efecto.</w:t>
      </w:r>
    </w:p>
    <w:p w14:paraId="74535D82" w14:textId="77777777" w:rsidR="00B2442D" w:rsidRDefault="00B2442D">
      <w:pPr>
        <w:jc w:val="both"/>
        <w:rPr>
          <w:rFonts w:ascii="Arial" w:hAnsi="Arial" w:cs="Arial"/>
          <w:lang w:val="es-CO"/>
        </w:rPr>
      </w:pPr>
    </w:p>
    <w:p w14:paraId="3D373B70" w14:textId="77777777" w:rsidR="00B2442D" w:rsidRDefault="008A645F">
      <w:pPr>
        <w:jc w:val="both"/>
        <w:rPr>
          <w:rFonts w:ascii="Arial" w:hAnsi="Arial" w:cs="Arial"/>
          <w:i/>
          <w:lang w:val="es-CO"/>
        </w:rPr>
      </w:pPr>
      <w:r>
        <w:rPr>
          <w:rFonts w:ascii="Arial" w:hAnsi="Arial" w:cs="Arial"/>
          <w:i/>
          <w:lang w:val="es-CO"/>
        </w:rPr>
        <w:t>(Art. 2, Decreto 1159 de 2012)</w:t>
      </w:r>
    </w:p>
    <w:p w14:paraId="0AF0113B" w14:textId="77777777" w:rsidR="00B2442D" w:rsidRDefault="00B2442D">
      <w:pPr>
        <w:jc w:val="both"/>
        <w:rPr>
          <w:rFonts w:ascii="Arial" w:hAnsi="Arial" w:cs="Arial"/>
          <w:lang w:val="es-CO"/>
        </w:rPr>
      </w:pPr>
    </w:p>
    <w:p w14:paraId="36D1BA3C"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Momento en que se practica la retención. </w:t>
      </w:r>
      <w:r>
        <w:rPr>
          <w:rFonts w:ascii="Arial" w:hAnsi="Arial" w:cs="Arial"/>
          <w:lang w:val="es-CO"/>
        </w:rPr>
        <w:t xml:space="preserve">La retención en la fuente a título de renta y/o del impuesto sobre las ventas, deberá practicarse </w:t>
      </w:r>
      <w:r>
        <w:rPr>
          <w:rFonts w:ascii="Arial" w:hAnsi="Arial" w:cs="Arial"/>
          <w:lang w:val="es-CO"/>
        </w:rPr>
        <w:t xml:space="preserve">a través de la entidad financiera en la cual el agente de retención tenga las cuentas desde donde se canalicen los pagos por conceptos sujetos a retención, en el momento en que se efectúe el pago, independientemente de la fecha en que se haya efectuado la </w:t>
      </w:r>
      <w:r>
        <w:rPr>
          <w:rFonts w:ascii="Arial" w:hAnsi="Arial" w:cs="Arial"/>
          <w:lang w:val="es-CO"/>
        </w:rPr>
        <w:t>operación.</w:t>
      </w:r>
    </w:p>
    <w:p w14:paraId="26E2534F" w14:textId="77777777" w:rsidR="00B2442D" w:rsidRDefault="00B2442D">
      <w:pPr>
        <w:jc w:val="both"/>
        <w:rPr>
          <w:rFonts w:ascii="Arial" w:hAnsi="Arial" w:cs="Arial"/>
          <w:lang w:val="es-CO"/>
        </w:rPr>
      </w:pPr>
    </w:p>
    <w:p w14:paraId="53A2CA6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calidad de agente autorretenedor no será oponible para los efectos de los artículos 1.2.4.20 al 1.2.4.23, 1.2.4.25 al 1.2.4.33 y 1.2.4.36 del presente Decreto, y en todo caso, la entidad financiera practicará la retención en la fuente a que haya lugar.</w:t>
      </w:r>
    </w:p>
    <w:p w14:paraId="273C9170" w14:textId="77777777" w:rsidR="00B2442D" w:rsidRDefault="00B2442D">
      <w:pPr>
        <w:jc w:val="both"/>
        <w:rPr>
          <w:rFonts w:ascii="Arial" w:hAnsi="Arial" w:cs="Arial"/>
          <w:lang w:val="es-CO"/>
        </w:rPr>
      </w:pPr>
    </w:p>
    <w:p w14:paraId="59A4475C" w14:textId="77777777" w:rsidR="00B2442D" w:rsidRDefault="008A645F">
      <w:pPr>
        <w:jc w:val="both"/>
        <w:rPr>
          <w:rFonts w:ascii="Arial" w:hAnsi="Arial" w:cs="Arial"/>
          <w:i/>
          <w:lang w:val="es-CO"/>
        </w:rPr>
      </w:pPr>
      <w:r>
        <w:rPr>
          <w:rFonts w:ascii="Arial" w:hAnsi="Arial" w:cs="Arial"/>
          <w:i/>
          <w:lang w:val="es-CO"/>
        </w:rPr>
        <w:t>(Art. 3, Decreto 1159 de 2012)</w:t>
      </w:r>
    </w:p>
    <w:p w14:paraId="0E526DD1" w14:textId="77777777" w:rsidR="00B2442D" w:rsidRDefault="00B2442D">
      <w:pPr>
        <w:jc w:val="both"/>
        <w:rPr>
          <w:rFonts w:ascii="Arial" w:hAnsi="Arial" w:cs="Arial"/>
          <w:lang w:val="es-CO"/>
        </w:rPr>
      </w:pPr>
    </w:p>
    <w:p w14:paraId="0B4B92CB"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Responsabilidades del agente de retención señalado por la DIAN.</w:t>
      </w:r>
      <w:r>
        <w:rPr>
          <w:rFonts w:ascii="Arial" w:hAnsi="Arial" w:cs="Arial"/>
          <w:lang w:val="es-CO"/>
        </w:rPr>
        <w:t xml:space="preserve"> Con el fin de garantizar la correcta práctica de la retención en la fuente a título de los impuestos de renta y/o IVA y asegurar el recaudo efectivo de la mis</w:t>
      </w:r>
      <w:r>
        <w:rPr>
          <w:rFonts w:ascii="Arial" w:hAnsi="Arial" w:cs="Arial"/>
          <w:lang w:val="es-CO"/>
        </w:rPr>
        <w:t>ma, el agente de retención es responsable de:</w:t>
      </w:r>
    </w:p>
    <w:p w14:paraId="6D4B1B22" w14:textId="77777777" w:rsidR="00B2442D" w:rsidRDefault="00B2442D">
      <w:pPr>
        <w:jc w:val="both"/>
        <w:rPr>
          <w:rFonts w:ascii="Arial" w:hAnsi="Arial" w:cs="Arial"/>
          <w:lang w:val="es-CO"/>
        </w:rPr>
      </w:pPr>
    </w:p>
    <w:p w14:paraId="755CD9B0" w14:textId="77777777" w:rsidR="00B2442D" w:rsidRDefault="008A645F">
      <w:pPr>
        <w:jc w:val="both"/>
        <w:rPr>
          <w:rFonts w:ascii="Arial" w:hAnsi="Arial" w:cs="Arial"/>
          <w:lang w:val="es-CO"/>
        </w:rPr>
      </w:pPr>
      <w:r>
        <w:rPr>
          <w:rFonts w:ascii="Arial" w:hAnsi="Arial" w:cs="Arial"/>
          <w:lang w:val="es-CO"/>
        </w:rPr>
        <w:t>1. Asegurar que existan los fondos suficientes para cubrir el valor con destino al beneficiario y el valor de las retenciones a que haya lugar.</w:t>
      </w:r>
    </w:p>
    <w:p w14:paraId="06183C56" w14:textId="77777777" w:rsidR="00B2442D" w:rsidRDefault="00B2442D">
      <w:pPr>
        <w:jc w:val="both"/>
        <w:rPr>
          <w:rFonts w:ascii="Arial" w:hAnsi="Arial" w:cs="Arial"/>
          <w:lang w:val="es-CO"/>
        </w:rPr>
      </w:pPr>
    </w:p>
    <w:p w14:paraId="6ACF6B68" w14:textId="77777777" w:rsidR="00B2442D" w:rsidRDefault="008A645F">
      <w:pPr>
        <w:jc w:val="both"/>
        <w:rPr>
          <w:rFonts w:ascii="Arial" w:hAnsi="Arial" w:cs="Arial"/>
          <w:lang w:val="es-CO"/>
        </w:rPr>
      </w:pPr>
      <w:r>
        <w:rPr>
          <w:rFonts w:ascii="Arial" w:hAnsi="Arial" w:cs="Arial"/>
          <w:lang w:val="es-CO"/>
        </w:rPr>
        <w:t>2. Efectuar a través de la entidad financiera las retenciones en</w:t>
      </w:r>
      <w:r>
        <w:rPr>
          <w:rFonts w:ascii="Arial" w:hAnsi="Arial" w:cs="Arial"/>
          <w:lang w:val="es-CO"/>
        </w:rPr>
        <w:t xml:space="preserve"> la fuente a que haya lugar, lo que implica para el agente de retención suministrar la información de que trata el artículo 1.2.4.25 del presente Decreto.</w:t>
      </w:r>
    </w:p>
    <w:p w14:paraId="32586F84" w14:textId="77777777" w:rsidR="00B2442D" w:rsidRDefault="00B2442D">
      <w:pPr>
        <w:jc w:val="both"/>
        <w:rPr>
          <w:rFonts w:ascii="Arial" w:hAnsi="Arial" w:cs="Arial"/>
          <w:lang w:val="es-CO"/>
        </w:rPr>
      </w:pPr>
    </w:p>
    <w:p w14:paraId="05BAE2D0" w14:textId="77777777" w:rsidR="00B2442D" w:rsidRDefault="008A645F">
      <w:pPr>
        <w:jc w:val="both"/>
        <w:rPr>
          <w:rFonts w:ascii="Arial" w:hAnsi="Arial" w:cs="Arial"/>
          <w:lang w:val="es-CO"/>
        </w:rPr>
      </w:pPr>
      <w:r>
        <w:rPr>
          <w:rFonts w:ascii="Arial" w:hAnsi="Arial" w:cs="Arial"/>
          <w:lang w:val="es-CO"/>
        </w:rPr>
        <w:t>3. Presentar y pagar la declaración de retenciones en la fuente.</w:t>
      </w:r>
    </w:p>
    <w:p w14:paraId="6D9C0074" w14:textId="77777777" w:rsidR="00B2442D" w:rsidRDefault="00B2442D">
      <w:pPr>
        <w:jc w:val="both"/>
        <w:rPr>
          <w:rFonts w:ascii="Arial" w:hAnsi="Arial" w:cs="Arial"/>
          <w:lang w:val="es-CO"/>
        </w:rPr>
      </w:pPr>
    </w:p>
    <w:p w14:paraId="14CA5981" w14:textId="77777777" w:rsidR="00B2442D" w:rsidRDefault="008A645F">
      <w:pPr>
        <w:jc w:val="both"/>
        <w:rPr>
          <w:rFonts w:ascii="Arial" w:hAnsi="Arial" w:cs="Arial"/>
          <w:lang w:val="es-CO"/>
        </w:rPr>
      </w:pPr>
      <w:r>
        <w:rPr>
          <w:rFonts w:ascii="Arial" w:hAnsi="Arial" w:cs="Arial"/>
          <w:lang w:val="es-CO"/>
        </w:rPr>
        <w:t>4. Expedir conforme a la ley los c</w:t>
      </w:r>
      <w:r>
        <w:rPr>
          <w:rFonts w:ascii="Arial" w:hAnsi="Arial" w:cs="Arial"/>
          <w:lang w:val="es-CO"/>
        </w:rPr>
        <w:t>ertificados por concepto de salarios. Tratándose de las retenciones practicadas a través de las entidades financieras, a título de renta, por conceptos diferentes a salarios, el sujeto pasivo de la retención podrá imputar en sus declaraciones los valores d</w:t>
      </w:r>
      <w:r>
        <w:rPr>
          <w:rFonts w:ascii="Arial" w:hAnsi="Arial" w:cs="Arial"/>
          <w:lang w:val="es-CO"/>
        </w:rPr>
        <w:t>e los comprobantes informados por la entidad financiera a la Unidad Administrativa Especial Dirección de Impuestos y Aduanas Nacionales- DIAN. En este caso, el agente de retención no tendrá la obligación de expedir estos certificados.</w:t>
      </w:r>
    </w:p>
    <w:p w14:paraId="31D86AFA" w14:textId="77777777" w:rsidR="00B2442D" w:rsidRDefault="00B2442D">
      <w:pPr>
        <w:jc w:val="both"/>
        <w:rPr>
          <w:rFonts w:ascii="Arial" w:hAnsi="Arial" w:cs="Arial"/>
          <w:lang w:val="es-CO"/>
        </w:rPr>
      </w:pPr>
    </w:p>
    <w:p w14:paraId="568CCCBD" w14:textId="77777777" w:rsidR="00B2442D" w:rsidRDefault="008A645F">
      <w:pPr>
        <w:jc w:val="both"/>
        <w:rPr>
          <w:rFonts w:ascii="Arial" w:hAnsi="Arial" w:cs="Arial"/>
          <w:lang w:val="es-CO"/>
        </w:rPr>
      </w:pPr>
      <w:r>
        <w:rPr>
          <w:rFonts w:ascii="Arial" w:hAnsi="Arial" w:cs="Arial"/>
          <w:lang w:val="es-CO"/>
        </w:rPr>
        <w:t>Tratándose de las re</w:t>
      </w:r>
      <w:r>
        <w:rPr>
          <w:rFonts w:ascii="Arial" w:hAnsi="Arial" w:cs="Arial"/>
          <w:lang w:val="es-CO"/>
        </w:rPr>
        <w:t>tenciones practicadas a través de las entidades financieras, a título del impuesto sobre las ventas, el sujeto retenido podrá imputar en sus declaraciones los valores de los comprobantes informados por la entidad financiera a la Unidad Administrativa Espec</w:t>
      </w:r>
      <w:r>
        <w:rPr>
          <w:rFonts w:ascii="Arial" w:hAnsi="Arial" w:cs="Arial"/>
          <w:lang w:val="es-CO"/>
        </w:rPr>
        <w:t>ial Dirección de Impuestos y Aduanas Nacionales- DIAN. En este caso, el agente de retención no tendrá la obligación de expedir los certificados de IVA.</w:t>
      </w:r>
    </w:p>
    <w:p w14:paraId="72975948" w14:textId="77777777" w:rsidR="00B2442D" w:rsidRDefault="00B2442D">
      <w:pPr>
        <w:jc w:val="both"/>
        <w:rPr>
          <w:rFonts w:ascii="Arial" w:hAnsi="Arial" w:cs="Arial"/>
          <w:lang w:val="es-CO"/>
        </w:rPr>
      </w:pPr>
    </w:p>
    <w:p w14:paraId="33490B34" w14:textId="77777777" w:rsidR="00B2442D" w:rsidRDefault="008A645F">
      <w:pPr>
        <w:jc w:val="both"/>
        <w:rPr>
          <w:rFonts w:ascii="Arial" w:hAnsi="Arial" w:cs="Arial"/>
          <w:lang w:val="es-CO"/>
        </w:rPr>
      </w:pPr>
      <w:r>
        <w:rPr>
          <w:rFonts w:ascii="Arial" w:hAnsi="Arial" w:cs="Arial"/>
          <w:lang w:val="es-CO"/>
        </w:rPr>
        <w:t>5. Responder por las sumas dejadas de retener o retenidas por inferior valor al que corresponde.</w:t>
      </w:r>
    </w:p>
    <w:p w14:paraId="143FA109" w14:textId="77777777" w:rsidR="00B2442D" w:rsidRDefault="00B2442D">
      <w:pPr>
        <w:jc w:val="both"/>
        <w:rPr>
          <w:rFonts w:ascii="Arial" w:hAnsi="Arial" w:cs="Arial"/>
          <w:lang w:val="es-CO"/>
        </w:rPr>
      </w:pPr>
    </w:p>
    <w:p w14:paraId="68119342" w14:textId="77777777" w:rsidR="00B2442D" w:rsidRDefault="008A645F">
      <w:pPr>
        <w:jc w:val="both"/>
        <w:rPr>
          <w:rFonts w:ascii="Arial" w:hAnsi="Arial" w:cs="Arial"/>
          <w:lang w:val="es-CO"/>
        </w:rPr>
      </w:pPr>
      <w:r>
        <w:rPr>
          <w:rFonts w:ascii="Arial" w:hAnsi="Arial" w:cs="Arial"/>
          <w:lang w:val="es-CO"/>
        </w:rPr>
        <w:t>6. Cu</w:t>
      </w:r>
      <w:r>
        <w:rPr>
          <w:rFonts w:ascii="Arial" w:hAnsi="Arial" w:cs="Arial"/>
          <w:lang w:val="es-CO"/>
        </w:rPr>
        <w:t>mplir con las obligaciones propias de la calidad de agente retenedor, contempladas en los artículos 1.2.4.20 al 1.2.4.23, 1.2.4.25 al 1.2.4.33 y 1.2.4.36 del presente Decreto y en las demás normas vigentes, so pena de las sanciones que se deriven de tal in</w:t>
      </w:r>
      <w:r>
        <w:rPr>
          <w:rFonts w:ascii="Arial" w:hAnsi="Arial" w:cs="Arial"/>
          <w:lang w:val="es-CO"/>
        </w:rPr>
        <w:t>cumplimiento.</w:t>
      </w:r>
    </w:p>
    <w:p w14:paraId="054B45A3" w14:textId="77777777" w:rsidR="00B2442D" w:rsidRDefault="00B2442D">
      <w:pPr>
        <w:jc w:val="both"/>
        <w:rPr>
          <w:rFonts w:ascii="Arial" w:hAnsi="Arial" w:cs="Arial"/>
          <w:lang w:val="es-CO"/>
        </w:rPr>
      </w:pPr>
    </w:p>
    <w:p w14:paraId="33BB3EF4" w14:textId="77777777" w:rsidR="00B2442D" w:rsidRDefault="008A645F">
      <w:pPr>
        <w:jc w:val="both"/>
        <w:rPr>
          <w:rFonts w:ascii="Arial" w:hAnsi="Arial" w:cs="Arial"/>
          <w:i/>
          <w:lang w:val="es-CO"/>
        </w:rPr>
      </w:pPr>
      <w:r>
        <w:rPr>
          <w:rFonts w:ascii="Arial" w:hAnsi="Arial" w:cs="Arial"/>
          <w:i/>
          <w:lang w:val="es-CO"/>
        </w:rPr>
        <w:t>(Art. 4, Decreto 1159 de 2012)</w:t>
      </w:r>
    </w:p>
    <w:p w14:paraId="316AEE15" w14:textId="77777777" w:rsidR="00B2442D" w:rsidRDefault="00B2442D">
      <w:pPr>
        <w:jc w:val="both"/>
        <w:rPr>
          <w:rFonts w:ascii="Arial" w:hAnsi="Arial" w:cs="Arial"/>
          <w:lang w:val="es-CO"/>
        </w:rPr>
      </w:pPr>
    </w:p>
    <w:p w14:paraId="6E3C747E"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Patrimonio neto.</w:t>
      </w:r>
      <w:r>
        <w:rPr>
          <w:rFonts w:ascii="Arial" w:hAnsi="Arial" w:cs="Arial"/>
          <w:b/>
          <w:lang w:val="es-CO"/>
        </w:rPr>
        <w:t xml:space="preserve"> </w:t>
      </w:r>
      <w:r>
        <w:rPr>
          <w:rFonts w:ascii="Arial" w:hAnsi="Arial" w:cs="Arial"/>
          <w:lang w:val="es-CO"/>
        </w:rPr>
        <w:t xml:space="preserve">Para efectos del artículo 5o de la Ley 52 de 1977 (hoy artículo 372 del Estatuto Tributario), el patrimonio neto está constituido por el activo menos el pasivo externo, que está compuesto por </w:t>
      </w:r>
      <w:r>
        <w:rPr>
          <w:rFonts w:ascii="Arial" w:hAnsi="Arial" w:cs="Arial"/>
          <w:lang w:val="es-CO"/>
        </w:rPr>
        <w:t>las obligaciones a cargo de la sociedad y a favor de terceros, incluidas las debidas a los accionistas o asociados por utilidades abonadas en cuenta, en calidad de exigibles según mandato expreso del artículo 156 del Código de Comercio y las provisiones co</w:t>
      </w:r>
      <w:r>
        <w:rPr>
          <w:rFonts w:ascii="Arial" w:hAnsi="Arial" w:cs="Arial"/>
          <w:lang w:val="es-CO"/>
        </w:rPr>
        <w:t>nstituidas con cargo a pérdidas y ganancias.</w:t>
      </w:r>
    </w:p>
    <w:p w14:paraId="204DEFF3" w14:textId="77777777" w:rsidR="00B2442D" w:rsidRDefault="00B2442D">
      <w:pPr>
        <w:jc w:val="both"/>
        <w:rPr>
          <w:rFonts w:ascii="Arial" w:hAnsi="Arial" w:cs="Arial"/>
          <w:i/>
          <w:lang w:val="es-CO"/>
        </w:rPr>
      </w:pPr>
    </w:p>
    <w:p w14:paraId="68FAFF96" w14:textId="77777777" w:rsidR="00B2442D" w:rsidRDefault="008A645F">
      <w:pPr>
        <w:jc w:val="both"/>
        <w:rPr>
          <w:rFonts w:ascii="Arial" w:hAnsi="Arial" w:cs="Arial"/>
          <w:i/>
          <w:lang w:val="es-CO"/>
        </w:rPr>
      </w:pPr>
      <w:r>
        <w:rPr>
          <w:rFonts w:ascii="Arial" w:hAnsi="Arial" w:cs="Arial"/>
          <w:i/>
          <w:lang w:val="es-CO"/>
        </w:rPr>
        <w:t>(Art. 10, Decreto 825 de 1978)</w:t>
      </w:r>
    </w:p>
    <w:p w14:paraId="002C142F" w14:textId="77777777" w:rsidR="00B2442D" w:rsidRDefault="00B2442D">
      <w:pPr>
        <w:jc w:val="both"/>
        <w:rPr>
          <w:rFonts w:ascii="Arial" w:hAnsi="Arial" w:cs="Arial"/>
          <w:lang w:val="es-CO"/>
        </w:rPr>
      </w:pPr>
    </w:p>
    <w:p w14:paraId="360EF7C3"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Información a suministrar por el agente de retención a la entidad financiera.</w:t>
      </w:r>
      <w:r>
        <w:rPr>
          <w:rFonts w:ascii="Arial" w:hAnsi="Arial" w:cs="Arial"/>
          <w:lang w:val="es-CO"/>
        </w:rPr>
        <w:t xml:space="preserve"> Para efectos de practicar la retención en la fuente a través de las entidades financieras, a título de los impuestos de renta y/o IVA, el agente de retención señalado por la Unidad Administrativa Especial Dirección de Impuestos y Aduanas Nacionales- DIAN,</w:t>
      </w:r>
      <w:r>
        <w:rPr>
          <w:rFonts w:ascii="Arial" w:hAnsi="Arial" w:cs="Arial"/>
          <w:lang w:val="es-CO"/>
        </w:rPr>
        <w:t xml:space="preserve"> debe:</w:t>
      </w:r>
    </w:p>
    <w:p w14:paraId="7743BF84" w14:textId="77777777" w:rsidR="00B2442D" w:rsidRDefault="00B2442D">
      <w:pPr>
        <w:jc w:val="both"/>
        <w:rPr>
          <w:rFonts w:ascii="Arial" w:hAnsi="Arial" w:cs="Arial"/>
          <w:lang w:val="es-CO"/>
        </w:rPr>
      </w:pPr>
    </w:p>
    <w:p w14:paraId="7D1724B5" w14:textId="77777777" w:rsidR="00B2442D" w:rsidRDefault="008A645F">
      <w:pPr>
        <w:jc w:val="both"/>
        <w:rPr>
          <w:rFonts w:ascii="Arial" w:hAnsi="Arial" w:cs="Arial"/>
          <w:lang w:val="es-CO"/>
        </w:rPr>
      </w:pPr>
      <w:r>
        <w:rPr>
          <w:rFonts w:ascii="Arial" w:hAnsi="Arial" w:cs="Arial"/>
          <w:lang w:val="es-CO"/>
        </w:rPr>
        <w:t xml:space="preserve">1. Suministrar a la entidad financiera la identificación de las cuentas corrientes y/o de ahorros, a través de las cuales se canalizarán los pagos de conceptos sujetos a retención en la fuente. Esta información es prerrequisito para efectuar tales </w:t>
      </w:r>
      <w:r>
        <w:rPr>
          <w:rFonts w:ascii="Arial" w:hAnsi="Arial" w:cs="Arial"/>
          <w:lang w:val="es-CO"/>
        </w:rPr>
        <w:t>pagos. En todo caso, será responsabilidad del agente de retención, realizar de forma exclusiva a través de las cuentas identificadas, los pagos por conceptos sujetos a retención.</w:t>
      </w:r>
    </w:p>
    <w:p w14:paraId="7BE83A66" w14:textId="77777777" w:rsidR="00B2442D" w:rsidRDefault="00B2442D">
      <w:pPr>
        <w:jc w:val="both"/>
        <w:rPr>
          <w:rFonts w:ascii="Arial" w:hAnsi="Arial" w:cs="Arial"/>
          <w:lang w:val="es-CO"/>
        </w:rPr>
      </w:pPr>
    </w:p>
    <w:p w14:paraId="171544A2" w14:textId="77777777" w:rsidR="00B2442D" w:rsidRDefault="008A645F">
      <w:pPr>
        <w:jc w:val="both"/>
        <w:rPr>
          <w:rFonts w:ascii="Arial" w:hAnsi="Arial" w:cs="Arial"/>
          <w:lang w:val="es-CO"/>
        </w:rPr>
      </w:pPr>
      <w:r>
        <w:rPr>
          <w:rFonts w:ascii="Arial" w:hAnsi="Arial" w:cs="Arial"/>
          <w:lang w:val="es-CO"/>
        </w:rPr>
        <w:t>Cuando el agente de retención actúe conforme al parágrafo 2° del artículo 1.</w:t>
      </w:r>
      <w:r>
        <w:rPr>
          <w:rFonts w:ascii="Arial" w:hAnsi="Arial" w:cs="Arial"/>
          <w:lang w:val="es-CO"/>
        </w:rPr>
        <w:t>2.4.20 del presente decreto, el mandatario deberá además informar por cada mandante la cuenta o cuentas a través de las cuales se canalizarán los pagos por conceptos sujetos a retención, indicando para cada uno de ellos el nombre o razón social y NIT corre</w:t>
      </w:r>
      <w:r>
        <w:rPr>
          <w:rFonts w:ascii="Arial" w:hAnsi="Arial" w:cs="Arial"/>
          <w:lang w:val="es-CO"/>
        </w:rPr>
        <w:t>spondientes. Una misma cuenta no puede ser utilizada para canalizar pagos de distintos mandantes.</w:t>
      </w:r>
    </w:p>
    <w:p w14:paraId="25F6ABC8" w14:textId="77777777" w:rsidR="00B2442D" w:rsidRDefault="00B2442D">
      <w:pPr>
        <w:jc w:val="both"/>
        <w:rPr>
          <w:rFonts w:ascii="Arial" w:hAnsi="Arial" w:cs="Arial"/>
          <w:lang w:val="es-CO"/>
        </w:rPr>
      </w:pPr>
    </w:p>
    <w:p w14:paraId="0328E297" w14:textId="77777777" w:rsidR="00B2442D" w:rsidRDefault="008A645F">
      <w:pPr>
        <w:jc w:val="both"/>
        <w:rPr>
          <w:rFonts w:ascii="Arial" w:hAnsi="Arial" w:cs="Arial"/>
          <w:lang w:val="es-CO"/>
        </w:rPr>
      </w:pPr>
      <w:r>
        <w:rPr>
          <w:rFonts w:ascii="Arial" w:hAnsi="Arial" w:cs="Arial"/>
          <w:lang w:val="es-CO"/>
        </w:rPr>
        <w:t>2. Informar a la entidad financiera para cada transacción de pago, en forma expresa y completa los datos necesarios para practicar la retención, siendo estos</w:t>
      </w:r>
      <w:r>
        <w:rPr>
          <w:rFonts w:ascii="Arial" w:hAnsi="Arial" w:cs="Arial"/>
          <w:lang w:val="es-CO"/>
        </w:rPr>
        <w:t>:</w:t>
      </w:r>
    </w:p>
    <w:p w14:paraId="5289608B" w14:textId="77777777" w:rsidR="00B2442D" w:rsidRDefault="00B2442D">
      <w:pPr>
        <w:jc w:val="both"/>
        <w:rPr>
          <w:rFonts w:ascii="Arial" w:hAnsi="Arial" w:cs="Arial"/>
          <w:lang w:val="es-CO"/>
        </w:rPr>
      </w:pPr>
    </w:p>
    <w:p w14:paraId="7B499C59" w14:textId="77777777" w:rsidR="00B2442D" w:rsidRDefault="008A645F">
      <w:pPr>
        <w:jc w:val="both"/>
        <w:rPr>
          <w:rFonts w:ascii="Arial" w:hAnsi="Arial" w:cs="Arial"/>
          <w:lang w:val="es-CO"/>
        </w:rPr>
      </w:pPr>
      <w:r>
        <w:rPr>
          <w:rFonts w:ascii="Arial" w:hAnsi="Arial" w:cs="Arial"/>
          <w:lang w:val="es-CO"/>
        </w:rPr>
        <w:t>a) La identificación con nombres y apellidos o razón social y NIT o documento de identificación del beneficiario.</w:t>
      </w:r>
    </w:p>
    <w:p w14:paraId="51FFE9BB" w14:textId="77777777" w:rsidR="00B2442D" w:rsidRDefault="00B2442D">
      <w:pPr>
        <w:jc w:val="both"/>
        <w:rPr>
          <w:rFonts w:ascii="Arial" w:hAnsi="Arial" w:cs="Arial"/>
          <w:lang w:val="es-CO"/>
        </w:rPr>
      </w:pPr>
    </w:p>
    <w:p w14:paraId="61B69E3F" w14:textId="77777777" w:rsidR="00B2442D" w:rsidRDefault="008A645F">
      <w:pPr>
        <w:jc w:val="both"/>
        <w:rPr>
          <w:rFonts w:ascii="Arial" w:hAnsi="Arial" w:cs="Arial"/>
          <w:lang w:val="es-CO"/>
        </w:rPr>
      </w:pPr>
      <w:r>
        <w:rPr>
          <w:rFonts w:ascii="Arial" w:hAnsi="Arial" w:cs="Arial"/>
          <w:lang w:val="es-CO"/>
        </w:rPr>
        <w:t>b) El título al que debe practicarse la retención, indicando si lo es a título de renta, y/o impuesto sobre las ventas.</w:t>
      </w:r>
    </w:p>
    <w:p w14:paraId="35E1C5A2" w14:textId="77777777" w:rsidR="00B2442D" w:rsidRDefault="00B2442D">
      <w:pPr>
        <w:jc w:val="both"/>
        <w:rPr>
          <w:rFonts w:ascii="Arial" w:hAnsi="Arial" w:cs="Arial"/>
          <w:lang w:val="es-CO"/>
        </w:rPr>
      </w:pPr>
    </w:p>
    <w:p w14:paraId="31679D29" w14:textId="77777777" w:rsidR="00B2442D" w:rsidRDefault="008A645F">
      <w:pPr>
        <w:jc w:val="both"/>
        <w:rPr>
          <w:rFonts w:ascii="Arial" w:hAnsi="Arial" w:cs="Arial"/>
          <w:lang w:val="es-CO"/>
        </w:rPr>
      </w:pPr>
      <w:r>
        <w:rPr>
          <w:rFonts w:ascii="Arial" w:hAnsi="Arial" w:cs="Arial"/>
          <w:lang w:val="es-CO"/>
        </w:rPr>
        <w:t>c) Valor del pago</w:t>
      </w:r>
      <w:r>
        <w:rPr>
          <w:rFonts w:ascii="Arial" w:hAnsi="Arial" w:cs="Arial"/>
          <w:lang w:val="es-CO"/>
        </w:rPr>
        <w:t>. Corresponde al monto total o parcial que se está cancelando en la transacción por concepto de un pago sujeto a retención. Este valor no debe incluir el IVA.</w:t>
      </w:r>
    </w:p>
    <w:p w14:paraId="6F050868" w14:textId="77777777" w:rsidR="00B2442D" w:rsidRDefault="00B2442D">
      <w:pPr>
        <w:jc w:val="both"/>
        <w:rPr>
          <w:rFonts w:ascii="Arial" w:hAnsi="Arial" w:cs="Arial"/>
          <w:lang w:val="es-CO"/>
        </w:rPr>
      </w:pPr>
    </w:p>
    <w:p w14:paraId="2F2067CE" w14:textId="77777777" w:rsidR="00B2442D" w:rsidRDefault="008A645F">
      <w:pPr>
        <w:jc w:val="both"/>
        <w:rPr>
          <w:rFonts w:ascii="Arial" w:hAnsi="Arial" w:cs="Arial"/>
          <w:lang w:val="es-CO"/>
        </w:rPr>
      </w:pPr>
      <w:r>
        <w:rPr>
          <w:rFonts w:ascii="Arial" w:hAnsi="Arial" w:cs="Arial"/>
          <w:lang w:val="es-CO"/>
        </w:rPr>
        <w:t>d) Valor con destino al beneficiario. Corresponde al monto que se gira o transfiere en la transa</w:t>
      </w:r>
      <w:r>
        <w:rPr>
          <w:rFonts w:ascii="Arial" w:hAnsi="Arial" w:cs="Arial"/>
          <w:lang w:val="es-CO"/>
        </w:rPr>
        <w:t>cción al beneficiario del pago, no debe incluir las retenciones a título de renta y/o IVA.</w:t>
      </w:r>
    </w:p>
    <w:p w14:paraId="093B2494" w14:textId="77777777" w:rsidR="00B2442D" w:rsidRDefault="00B2442D">
      <w:pPr>
        <w:jc w:val="both"/>
        <w:rPr>
          <w:rFonts w:ascii="Arial" w:hAnsi="Arial" w:cs="Arial"/>
          <w:lang w:val="es-CO"/>
        </w:rPr>
      </w:pPr>
    </w:p>
    <w:p w14:paraId="3CF6F3F8" w14:textId="77777777" w:rsidR="00B2442D" w:rsidRDefault="008A645F">
      <w:pPr>
        <w:jc w:val="both"/>
        <w:rPr>
          <w:rFonts w:ascii="Arial" w:hAnsi="Arial" w:cs="Arial"/>
          <w:lang w:val="es-CO"/>
        </w:rPr>
      </w:pPr>
      <w:r>
        <w:rPr>
          <w:rFonts w:ascii="Arial" w:hAnsi="Arial" w:cs="Arial"/>
          <w:lang w:val="es-CO"/>
        </w:rPr>
        <w:t>e) Cuando la retención deba practicarse a título de renta se informará adicionalmente: el concepto objeto de retención, el valor base de cálculo de la retención, la</w:t>
      </w:r>
      <w:r>
        <w:rPr>
          <w:rFonts w:ascii="Arial" w:hAnsi="Arial" w:cs="Arial"/>
          <w:lang w:val="es-CO"/>
        </w:rPr>
        <w:t xml:space="preserve"> tarifa y el valor a retener que debe practicarse a título de retención por renta.</w:t>
      </w:r>
    </w:p>
    <w:p w14:paraId="68FA3F64" w14:textId="77777777" w:rsidR="00B2442D" w:rsidRDefault="00B2442D">
      <w:pPr>
        <w:jc w:val="both"/>
        <w:rPr>
          <w:rFonts w:ascii="Arial" w:hAnsi="Arial" w:cs="Arial"/>
          <w:lang w:val="es-CO"/>
        </w:rPr>
      </w:pPr>
    </w:p>
    <w:p w14:paraId="635ED869" w14:textId="77777777" w:rsidR="00B2442D" w:rsidRDefault="008A645F">
      <w:pPr>
        <w:jc w:val="both"/>
        <w:rPr>
          <w:rFonts w:ascii="Arial" w:hAnsi="Arial" w:cs="Arial"/>
          <w:lang w:val="es-CO"/>
        </w:rPr>
      </w:pPr>
      <w:r>
        <w:rPr>
          <w:rFonts w:ascii="Arial" w:hAnsi="Arial" w:cs="Arial"/>
          <w:lang w:val="es-CO"/>
        </w:rPr>
        <w:t>f) Cuando la retención deba practicarse a título del impuesto sobre las ventas, se informará, adicionalmente: el concepto objeto de retención, el valor del IVA base de cálc</w:t>
      </w:r>
      <w:r>
        <w:rPr>
          <w:rFonts w:ascii="Arial" w:hAnsi="Arial" w:cs="Arial"/>
          <w:lang w:val="es-CO"/>
        </w:rPr>
        <w:t>ulo de la retención, la tarifa y el valor a retener que se debe practicar a título de retención por IVA. En este caso, por concepto objeto de retención debe señalarse si la misma se practica a responsables del régimen común, si se practica por servicios pr</w:t>
      </w:r>
      <w:r>
        <w:rPr>
          <w:rFonts w:ascii="Arial" w:hAnsi="Arial" w:cs="Arial"/>
          <w:lang w:val="es-CO"/>
        </w:rPr>
        <w:t xml:space="preserve">estados por no residentes o no domiciliados en Colombia o si corresponde a una retención asumida a responsables del régimen simplificado. En este último evento el agente de retención, debe informar como valor del IVA base de cálculo de la retención, aquel </w:t>
      </w:r>
      <w:r>
        <w:rPr>
          <w:rFonts w:ascii="Arial" w:hAnsi="Arial" w:cs="Arial"/>
          <w:lang w:val="es-CO"/>
        </w:rPr>
        <w:t>que se causaría y respecto del cual debe retener.</w:t>
      </w:r>
    </w:p>
    <w:p w14:paraId="48A1225D" w14:textId="77777777" w:rsidR="00B2442D" w:rsidRDefault="00B2442D">
      <w:pPr>
        <w:jc w:val="both"/>
        <w:rPr>
          <w:rFonts w:ascii="Arial" w:hAnsi="Arial" w:cs="Arial"/>
          <w:lang w:val="es-CO"/>
        </w:rPr>
      </w:pPr>
    </w:p>
    <w:p w14:paraId="68B02B0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informar los valores a retener, bien sea a título de renta y/o del impuesto sobre las ventas, debe tenerse en cuenta, en materia de aproximaciones, lo dispuesto en el artículo 14</w:t>
      </w:r>
      <w:r>
        <w:rPr>
          <w:rFonts w:ascii="Arial" w:hAnsi="Arial" w:cs="Arial"/>
          <w:lang w:val="es-CO"/>
        </w:rPr>
        <w:t xml:space="preserve"> del Decreto Ley 81 de 1984 o las normas que lo modifiquen o sustituyan.</w:t>
      </w:r>
    </w:p>
    <w:p w14:paraId="497015FE" w14:textId="77777777" w:rsidR="00B2442D" w:rsidRDefault="00B2442D">
      <w:pPr>
        <w:jc w:val="both"/>
        <w:rPr>
          <w:rFonts w:ascii="Arial" w:hAnsi="Arial" w:cs="Arial"/>
          <w:lang w:val="es-CO"/>
        </w:rPr>
      </w:pPr>
    </w:p>
    <w:p w14:paraId="6C0898AC" w14:textId="77777777" w:rsidR="00B2442D" w:rsidRDefault="008A645F">
      <w:pPr>
        <w:jc w:val="both"/>
        <w:rPr>
          <w:rFonts w:ascii="Arial" w:hAnsi="Arial" w:cs="Arial"/>
          <w:i/>
          <w:lang w:val="es-CO"/>
        </w:rPr>
      </w:pPr>
      <w:r>
        <w:rPr>
          <w:rFonts w:ascii="Arial" w:hAnsi="Arial" w:cs="Arial"/>
          <w:i/>
          <w:lang w:val="es-CO"/>
        </w:rPr>
        <w:t>(Art. 5, Decreto 1159 de 2012)</w:t>
      </w:r>
    </w:p>
    <w:p w14:paraId="20D5F1CD" w14:textId="77777777" w:rsidR="00B2442D" w:rsidRDefault="00B2442D">
      <w:pPr>
        <w:jc w:val="both"/>
        <w:rPr>
          <w:rFonts w:ascii="Arial" w:hAnsi="Arial" w:cs="Arial"/>
          <w:lang w:val="es-CO"/>
        </w:rPr>
      </w:pPr>
    </w:p>
    <w:p w14:paraId="4AAA0DEE"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Responsabilidades de la entidad financiera a través de la cual se practica la retención.</w:t>
      </w:r>
      <w:r>
        <w:rPr>
          <w:rFonts w:ascii="Arial" w:hAnsi="Arial" w:cs="Arial"/>
          <w:lang w:val="es-CO"/>
        </w:rPr>
        <w:t xml:space="preserve"> Con el fin de garantizar la debida práctica y la efectiva con</w:t>
      </w:r>
      <w:r>
        <w:rPr>
          <w:rFonts w:ascii="Arial" w:hAnsi="Arial" w:cs="Arial"/>
          <w:lang w:val="es-CO"/>
        </w:rPr>
        <w:t>signación de la retención en la fuente, la entidad financiera es responsable de:</w:t>
      </w:r>
    </w:p>
    <w:p w14:paraId="78E52FBC" w14:textId="77777777" w:rsidR="00B2442D" w:rsidRDefault="00B2442D">
      <w:pPr>
        <w:jc w:val="both"/>
        <w:rPr>
          <w:rFonts w:ascii="Arial" w:hAnsi="Arial" w:cs="Arial"/>
          <w:lang w:val="es-CO"/>
        </w:rPr>
      </w:pPr>
    </w:p>
    <w:p w14:paraId="0B653C0E" w14:textId="77777777" w:rsidR="00B2442D" w:rsidRDefault="008A645F">
      <w:pPr>
        <w:ind w:left="284" w:hanging="284"/>
        <w:jc w:val="both"/>
        <w:rPr>
          <w:rFonts w:ascii="Arial" w:hAnsi="Arial" w:cs="Arial"/>
          <w:lang w:val="es-CO"/>
        </w:rPr>
      </w:pPr>
      <w:r>
        <w:rPr>
          <w:rFonts w:ascii="Arial" w:hAnsi="Arial" w:cs="Arial"/>
          <w:lang w:val="es-CO"/>
        </w:rPr>
        <w:t xml:space="preserve">1. Asegurar los procedimientos y condiciones necesarios para que el agente de retención pueda realizar los pagos por conceptos sujetos a retención, así como </w:t>
      </w:r>
      <w:r>
        <w:rPr>
          <w:rFonts w:ascii="Arial" w:hAnsi="Arial" w:cs="Arial"/>
          <w:lang w:val="es-CO"/>
        </w:rPr>
        <w:t>suministrar la información necesaria para practicar la retención en los términos de los artículos 1.2.4.20 al 1.2.4.23, 1.2.4.25 al 1.2.4.33 y 1.2.4.36 del presente Decreto. Las entidades financieras podrán determinar las sucursales, puntos de oficina y at</w:t>
      </w:r>
      <w:r>
        <w:rPr>
          <w:rFonts w:ascii="Arial" w:hAnsi="Arial" w:cs="Arial"/>
          <w:lang w:val="es-CO"/>
        </w:rPr>
        <w:t>ención, así como los servicios presenciales y/o virtuales a través de los cuales dispondrán de estos procedimientos y condiciones.</w:t>
      </w:r>
    </w:p>
    <w:p w14:paraId="45BDA932" w14:textId="77777777" w:rsidR="00B2442D" w:rsidRDefault="00B2442D">
      <w:pPr>
        <w:ind w:left="284" w:hanging="284"/>
        <w:jc w:val="both"/>
        <w:rPr>
          <w:rFonts w:ascii="Arial" w:hAnsi="Arial" w:cs="Arial"/>
          <w:lang w:val="es-CO"/>
        </w:rPr>
      </w:pPr>
    </w:p>
    <w:p w14:paraId="1810C147" w14:textId="77777777" w:rsidR="00B2442D" w:rsidRDefault="008A645F">
      <w:pPr>
        <w:ind w:left="284" w:hanging="284"/>
        <w:jc w:val="both"/>
        <w:rPr>
          <w:rFonts w:ascii="Arial" w:hAnsi="Arial" w:cs="Arial"/>
          <w:lang w:val="es-CO"/>
        </w:rPr>
      </w:pPr>
      <w:r>
        <w:rPr>
          <w:rFonts w:ascii="Arial" w:hAnsi="Arial" w:cs="Arial"/>
          <w:lang w:val="es-CO"/>
        </w:rPr>
        <w:t>2. Garantizar las condiciones de confiabilidad, seguridad y servicio para la práctica de las retenciones y su consignación a</w:t>
      </w:r>
      <w:r>
        <w:rPr>
          <w:rFonts w:ascii="Arial" w:hAnsi="Arial" w:cs="Arial"/>
          <w:lang w:val="es-CO"/>
        </w:rPr>
        <w:t xml:space="preserve"> la orden de la Dirección General de Crédito Público y Tesoro Nacional.</w:t>
      </w:r>
    </w:p>
    <w:p w14:paraId="55D379AA" w14:textId="77777777" w:rsidR="00B2442D" w:rsidRDefault="00B2442D">
      <w:pPr>
        <w:ind w:left="284" w:hanging="284"/>
        <w:jc w:val="both"/>
        <w:rPr>
          <w:rFonts w:ascii="Arial" w:hAnsi="Arial" w:cs="Arial"/>
          <w:lang w:val="es-CO"/>
        </w:rPr>
      </w:pPr>
    </w:p>
    <w:p w14:paraId="2CEF436E" w14:textId="77777777" w:rsidR="00B2442D" w:rsidRDefault="008A645F">
      <w:pPr>
        <w:ind w:left="284" w:hanging="284"/>
        <w:jc w:val="both"/>
        <w:rPr>
          <w:rFonts w:ascii="Arial" w:hAnsi="Arial" w:cs="Arial"/>
          <w:lang w:val="es-CO"/>
        </w:rPr>
      </w:pPr>
      <w:r>
        <w:rPr>
          <w:rFonts w:ascii="Arial" w:hAnsi="Arial" w:cs="Arial"/>
          <w:lang w:val="es-CO"/>
        </w:rPr>
        <w:t>3. Efectuar las verificaciones pertinentes que le permitan establecer la existencia de fondos suficientes para efectuar la transacción de pago y practicar las retenciones a que haya l</w:t>
      </w:r>
      <w:r>
        <w:rPr>
          <w:rFonts w:ascii="Arial" w:hAnsi="Arial" w:cs="Arial"/>
          <w:lang w:val="es-CO"/>
        </w:rPr>
        <w:t>ugar.</w:t>
      </w:r>
    </w:p>
    <w:p w14:paraId="71FA902D" w14:textId="77777777" w:rsidR="00B2442D" w:rsidRDefault="00B2442D">
      <w:pPr>
        <w:ind w:left="284" w:hanging="284"/>
        <w:jc w:val="both"/>
        <w:rPr>
          <w:rFonts w:ascii="Arial" w:hAnsi="Arial" w:cs="Arial"/>
          <w:lang w:val="es-CO"/>
        </w:rPr>
      </w:pPr>
    </w:p>
    <w:p w14:paraId="3479F78C" w14:textId="77777777" w:rsidR="00B2442D" w:rsidRDefault="008A645F">
      <w:pPr>
        <w:ind w:left="284" w:hanging="284"/>
        <w:jc w:val="both"/>
        <w:rPr>
          <w:rFonts w:ascii="Arial" w:hAnsi="Arial" w:cs="Arial"/>
          <w:lang w:val="es-CO"/>
        </w:rPr>
      </w:pPr>
      <w:r>
        <w:rPr>
          <w:rFonts w:ascii="Arial" w:hAnsi="Arial" w:cs="Arial"/>
          <w:lang w:val="es-CO"/>
        </w:rPr>
        <w:t>4. Rechazar la transacción de pago cuando no se suministre por parte del agente de retención la siguiente información conforme al artículo 1.2.4.25 del presente Decreto:</w:t>
      </w:r>
    </w:p>
    <w:p w14:paraId="461A9099" w14:textId="77777777" w:rsidR="00B2442D" w:rsidRDefault="00B2442D">
      <w:pPr>
        <w:ind w:left="284" w:hanging="284"/>
        <w:jc w:val="both"/>
        <w:rPr>
          <w:rFonts w:ascii="Arial" w:hAnsi="Arial" w:cs="Arial"/>
          <w:lang w:val="es-CO"/>
        </w:rPr>
      </w:pPr>
    </w:p>
    <w:p w14:paraId="042A1627" w14:textId="77777777" w:rsidR="00B2442D" w:rsidRDefault="008A645F">
      <w:pPr>
        <w:ind w:left="284" w:hanging="284"/>
        <w:jc w:val="both"/>
        <w:rPr>
          <w:rFonts w:ascii="Arial" w:hAnsi="Arial" w:cs="Arial"/>
          <w:lang w:val="es-CO"/>
        </w:rPr>
      </w:pPr>
      <w:r>
        <w:rPr>
          <w:rFonts w:ascii="Arial" w:hAnsi="Arial" w:cs="Arial"/>
          <w:lang w:val="es-CO"/>
        </w:rPr>
        <w:t>a) Nombres y apellidos o razón social y NIT del agente de retención.</w:t>
      </w:r>
    </w:p>
    <w:p w14:paraId="5DA07E1A" w14:textId="77777777" w:rsidR="00B2442D" w:rsidRDefault="00B2442D">
      <w:pPr>
        <w:ind w:left="284" w:hanging="284"/>
        <w:jc w:val="both"/>
        <w:rPr>
          <w:rFonts w:ascii="Arial" w:hAnsi="Arial" w:cs="Arial"/>
          <w:lang w:val="es-CO"/>
        </w:rPr>
      </w:pPr>
    </w:p>
    <w:p w14:paraId="7112A487" w14:textId="77777777" w:rsidR="00B2442D" w:rsidRDefault="008A645F">
      <w:pPr>
        <w:ind w:left="284" w:hanging="284"/>
        <w:jc w:val="both"/>
        <w:rPr>
          <w:rFonts w:ascii="Arial" w:hAnsi="Arial" w:cs="Arial"/>
          <w:lang w:val="es-CO"/>
        </w:rPr>
      </w:pPr>
      <w:r>
        <w:rPr>
          <w:rFonts w:ascii="Arial" w:hAnsi="Arial" w:cs="Arial"/>
          <w:lang w:val="es-CO"/>
        </w:rPr>
        <w:t>b) Nombr</w:t>
      </w:r>
      <w:r>
        <w:rPr>
          <w:rFonts w:ascii="Arial" w:hAnsi="Arial" w:cs="Arial"/>
          <w:lang w:val="es-CO"/>
        </w:rPr>
        <w:t>es y apellidos o razón social y NIT o documento de identificación del beneficiario del pago.</w:t>
      </w:r>
    </w:p>
    <w:p w14:paraId="733EBD42" w14:textId="77777777" w:rsidR="00B2442D" w:rsidRDefault="00B2442D">
      <w:pPr>
        <w:ind w:left="284" w:hanging="284"/>
        <w:jc w:val="both"/>
        <w:rPr>
          <w:rFonts w:ascii="Arial" w:hAnsi="Arial" w:cs="Arial"/>
          <w:lang w:val="es-CO"/>
        </w:rPr>
      </w:pPr>
    </w:p>
    <w:p w14:paraId="48EF94AC" w14:textId="77777777" w:rsidR="00B2442D" w:rsidRDefault="008A645F">
      <w:pPr>
        <w:ind w:left="284" w:hanging="284"/>
        <w:jc w:val="both"/>
        <w:rPr>
          <w:rFonts w:ascii="Arial" w:hAnsi="Arial" w:cs="Arial"/>
          <w:lang w:val="es-CO"/>
        </w:rPr>
      </w:pPr>
      <w:r>
        <w:rPr>
          <w:rFonts w:ascii="Arial" w:hAnsi="Arial" w:cs="Arial"/>
          <w:lang w:val="es-CO"/>
        </w:rPr>
        <w:t>c) Valor del pago.</w:t>
      </w:r>
    </w:p>
    <w:p w14:paraId="2A276287" w14:textId="77777777" w:rsidR="00B2442D" w:rsidRDefault="00B2442D">
      <w:pPr>
        <w:ind w:left="284" w:hanging="284"/>
        <w:jc w:val="both"/>
        <w:rPr>
          <w:rFonts w:ascii="Arial" w:hAnsi="Arial" w:cs="Arial"/>
          <w:lang w:val="es-CO"/>
        </w:rPr>
      </w:pPr>
    </w:p>
    <w:p w14:paraId="43FB98EE" w14:textId="77777777" w:rsidR="00B2442D" w:rsidRDefault="008A645F">
      <w:pPr>
        <w:ind w:left="284" w:hanging="284"/>
        <w:jc w:val="both"/>
        <w:rPr>
          <w:rFonts w:ascii="Arial" w:hAnsi="Arial" w:cs="Arial"/>
          <w:lang w:val="es-CO"/>
        </w:rPr>
      </w:pPr>
      <w:r>
        <w:rPr>
          <w:rFonts w:ascii="Arial" w:hAnsi="Arial" w:cs="Arial"/>
          <w:lang w:val="es-CO"/>
        </w:rPr>
        <w:t>d) Valor con destino al beneficiario de pago.</w:t>
      </w:r>
    </w:p>
    <w:p w14:paraId="2626ABAB" w14:textId="77777777" w:rsidR="00B2442D" w:rsidRDefault="00B2442D">
      <w:pPr>
        <w:ind w:left="284" w:hanging="284"/>
        <w:jc w:val="both"/>
        <w:rPr>
          <w:rFonts w:ascii="Arial" w:hAnsi="Arial" w:cs="Arial"/>
          <w:lang w:val="es-CO"/>
        </w:rPr>
      </w:pPr>
    </w:p>
    <w:p w14:paraId="3494845B" w14:textId="77777777" w:rsidR="00B2442D" w:rsidRDefault="008A645F">
      <w:pPr>
        <w:ind w:left="284" w:hanging="284"/>
        <w:jc w:val="both"/>
        <w:rPr>
          <w:rFonts w:ascii="Arial" w:hAnsi="Arial" w:cs="Arial"/>
          <w:lang w:val="es-CO"/>
        </w:rPr>
      </w:pPr>
      <w:r>
        <w:rPr>
          <w:rFonts w:ascii="Arial" w:hAnsi="Arial" w:cs="Arial"/>
          <w:lang w:val="es-CO"/>
        </w:rPr>
        <w:t>e) A qué título o títulos se practica la retención.</w:t>
      </w:r>
    </w:p>
    <w:p w14:paraId="40A66A9B" w14:textId="77777777" w:rsidR="00B2442D" w:rsidRDefault="00B2442D">
      <w:pPr>
        <w:ind w:left="284" w:hanging="284"/>
        <w:jc w:val="both"/>
        <w:rPr>
          <w:rFonts w:ascii="Arial" w:hAnsi="Arial" w:cs="Arial"/>
          <w:lang w:val="es-CO"/>
        </w:rPr>
      </w:pPr>
    </w:p>
    <w:p w14:paraId="4B548417" w14:textId="77777777" w:rsidR="00B2442D" w:rsidRDefault="008A645F">
      <w:pPr>
        <w:ind w:left="284" w:hanging="284"/>
        <w:jc w:val="both"/>
        <w:rPr>
          <w:rFonts w:ascii="Arial" w:hAnsi="Arial" w:cs="Arial"/>
          <w:lang w:val="es-CO"/>
        </w:rPr>
      </w:pPr>
      <w:r>
        <w:rPr>
          <w:rFonts w:ascii="Arial" w:hAnsi="Arial" w:cs="Arial"/>
          <w:lang w:val="es-CO"/>
        </w:rPr>
        <w:t>f) No se informe o no corresponda el valor</w:t>
      </w:r>
      <w:r>
        <w:rPr>
          <w:rFonts w:ascii="Arial" w:hAnsi="Arial" w:cs="Arial"/>
          <w:lang w:val="es-CO"/>
        </w:rPr>
        <w:t xml:space="preserve"> a retener informado por el agente de retención con el valor obtenido de aplicar para cada concepto, la tarifa sobre el valor base de cálculo suministrado.</w:t>
      </w:r>
    </w:p>
    <w:p w14:paraId="045C40A6" w14:textId="77777777" w:rsidR="00B2442D" w:rsidRDefault="00B2442D">
      <w:pPr>
        <w:ind w:left="284" w:hanging="284"/>
        <w:jc w:val="both"/>
        <w:rPr>
          <w:rFonts w:ascii="Arial" w:hAnsi="Arial" w:cs="Arial"/>
          <w:lang w:val="es-CO"/>
        </w:rPr>
      </w:pPr>
    </w:p>
    <w:p w14:paraId="6228CF0F" w14:textId="77777777" w:rsidR="00B2442D" w:rsidRDefault="008A645F">
      <w:pPr>
        <w:ind w:left="284"/>
        <w:jc w:val="both"/>
        <w:rPr>
          <w:rFonts w:ascii="Arial" w:hAnsi="Arial" w:cs="Arial"/>
          <w:lang w:val="es-CO"/>
        </w:rPr>
      </w:pPr>
      <w:r>
        <w:rPr>
          <w:rFonts w:ascii="Arial" w:hAnsi="Arial" w:cs="Arial"/>
          <w:lang w:val="es-CO"/>
        </w:rPr>
        <w:t>La entidad financiera debe informar oportunamente al agente de retención sobre las transacciones de</w:t>
      </w:r>
      <w:r>
        <w:rPr>
          <w:rFonts w:ascii="Arial" w:hAnsi="Arial" w:cs="Arial"/>
          <w:lang w:val="es-CO"/>
        </w:rPr>
        <w:t xml:space="preserve"> pago rechazadas, en relación con las cuales no se practicó la retención en la fuente.</w:t>
      </w:r>
    </w:p>
    <w:p w14:paraId="529C597A" w14:textId="77777777" w:rsidR="00B2442D" w:rsidRDefault="00B2442D">
      <w:pPr>
        <w:ind w:left="284" w:hanging="284"/>
        <w:jc w:val="both"/>
        <w:rPr>
          <w:rFonts w:ascii="Arial" w:hAnsi="Arial" w:cs="Arial"/>
          <w:lang w:val="es-CO"/>
        </w:rPr>
      </w:pPr>
    </w:p>
    <w:p w14:paraId="53216DCB" w14:textId="77777777" w:rsidR="00B2442D" w:rsidRDefault="008A645F">
      <w:pPr>
        <w:ind w:left="284" w:hanging="284"/>
        <w:jc w:val="both"/>
        <w:rPr>
          <w:rFonts w:ascii="Arial" w:hAnsi="Arial" w:cs="Arial"/>
          <w:lang w:val="es-CO"/>
        </w:rPr>
      </w:pPr>
      <w:r>
        <w:rPr>
          <w:rFonts w:ascii="Arial" w:hAnsi="Arial" w:cs="Arial"/>
          <w:lang w:val="es-CO"/>
        </w:rPr>
        <w:t xml:space="preserve">5. Practicar en cada transacción de pago, y a partir de la información suministrada por el agente de retención, las retenciones en la fuente a que haya lugar, teniendo </w:t>
      </w:r>
      <w:r>
        <w:rPr>
          <w:rFonts w:ascii="Arial" w:hAnsi="Arial" w:cs="Arial"/>
          <w:lang w:val="es-CO"/>
        </w:rPr>
        <w:t>en cuenta en materia de aproximaciones lo dispuesto en el en el artículo 14 del Decreto Ley 81 de 1984 o las normas que lo modifiquen o sustituyan. Por lo tanto la entidad financiera deberá:</w:t>
      </w:r>
    </w:p>
    <w:p w14:paraId="447DE1BB" w14:textId="77777777" w:rsidR="00B2442D" w:rsidRDefault="00B2442D">
      <w:pPr>
        <w:ind w:left="284" w:hanging="284"/>
        <w:jc w:val="both"/>
        <w:rPr>
          <w:rFonts w:ascii="Arial" w:hAnsi="Arial" w:cs="Arial"/>
          <w:lang w:val="es-CO"/>
        </w:rPr>
      </w:pPr>
    </w:p>
    <w:p w14:paraId="2C49ACBC" w14:textId="77777777" w:rsidR="00B2442D" w:rsidRDefault="008A645F">
      <w:pPr>
        <w:ind w:left="284" w:hanging="284"/>
        <w:jc w:val="both"/>
        <w:rPr>
          <w:rFonts w:ascii="Arial" w:hAnsi="Arial" w:cs="Arial"/>
          <w:lang w:val="es-CO"/>
        </w:rPr>
      </w:pPr>
      <w:r>
        <w:rPr>
          <w:rFonts w:ascii="Arial" w:hAnsi="Arial" w:cs="Arial"/>
          <w:lang w:val="es-CO"/>
        </w:rPr>
        <w:t>a) Verificar que el valor a retener informado por el agente de r</w:t>
      </w:r>
      <w:r>
        <w:rPr>
          <w:rFonts w:ascii="Arial" w:hAnsi="Arial" w:cs="Arial"/>
          <w:lang w:val="es-CO"/>
        </w:rPr>
        <w:t>etención corresponda al valor obtenido de aplicar la tarifa sobre el valor base de cálculo suministrado, según se trate de renta y/o ventas.</w:t>
      </w:r>
    </w:p>
    <w:p w14:paraId="21746E0F" w14:textId="77777777" w:rsidR="00B2442D" w:rsidRDefault="00B2442D">
      <w:pPr>
        <w:ind w:left="284" w:hanging="284"/>
        <w:jc w:val="both"/>
        <w:rPr>
          <w:rFonts w:ascii="Arial" w:hAnsi="Arial" w:cs="Arial"/>
          <w:lang w:val="es-CO"/>
        </w:rPr>
      </w:pPr>
    </w:p>
    <w:p w14:paraId="0AAEED0D" w14:textId="77777777" w:rsidR="00B2442D" w:rsidRDefault="008A645F">
      <w:pPr>
        <w:ind w:left="284" w:hanging="284"/>
        <w:jc w:val="both"/>
        <w:rPr>
          <w:rFonts w:ascii="Arial" w:hAnsi="Arial" w:cs="Arial"/>
          <w:lang w:val="es-CO"/>
        </w:rPr>
      </w:pPr>
      <w:r>
        <w:rPr>
          <w:rFonts w:ascii="Arial" w:hAnsi="Arial" w:cs="Arial"/>
          <w:lang w:val="es-CO"/>
        </w:rPr>
        <w:t>b) Aplicar la tarifa de retención del diez por ciento (10%) a título de renta tomando como base el valor del pago,</w:t>
      </w:r>
      <w:r>
        <w:rPr>
          <w:rFonts w:ascii="Arial" w:hAnsi="Arial" w:cs="Arial"/>
          <w:lang w:val="es-CO"/>
        </w:rPr>
        <w:t xml:space="preserve"> en los términos del literal c) numeral 2 del artículo 1.2.4.25 de este Decreto, cuando el agente de retención haya indicado expresamente que la retención opera a este título y no haya informado el concepto, la tarifa y/o la base de cálculo.</w:t>
      </w:r>
    </w:p>
    <w:p w14:paraId="73C8B6A7" w14:textId="77777777" w:rsidR="00B2442D" w:rsidRDefault="00B2442D">
      <w:pPr>
        <w:ind w:left="284" w:hanging="284"/>
        <w:jc w:val="both"/>
        <w:rPr>
          <w:rFonts w:ascii="Arial" w:hAnsi="Arial" w:cs="Arial"/>
          <w:lang w:val="es-CO"/>
        </w:rPr>
      </w:pPr>
    </w:p>
    <w:p w14:paraId="761427F0" w14:textId="77777777" w:rsidR="00B2442D" w:rsidRDefault="008A645F">
      <w:pPr>
        <w:ind w:left="284" w:hanging="284"/>
        <w:jc w:val="both"/>
        <w:rPr>
          <w:rFonts w:ascii="Arial" w:hAnsi="Arial" w:cs="Arial"/>
          <w:lang w:val="es-CO"/>
        </w:rPr>
      </w:pPr>
      <w:r>
        <w:rPr>
          <w:rFonts w:ascii="Arial" w:hAnsi="Arial" w:cs="Arial"/>
          <w:lang w:val="es-CO"/>
        </w:rPr>
        <w:t xml:space="preserve">c) </w:t>
      </w:r>
      <w:r>
        <w:rPr>
          <w:rFonts w:ascii="Arial" w:hAnsi="Arial" w:cs="Arial"/>
          <w:lang w:val="es-CO"/>
        </w:rPr>
        <w:t>Aplicar la tarifa de retención del diez por ciento (10%) a título del impuesto sobre las ventas tomando como base el valor del pago, en los términos del literal c) numeral 2 del artículo 1.2.4.25 de este decreto, cuando el agente de retención haya indicado</w:t>
      </w:r>
      <w:r>
        <w:rPr>
          <w:rFonts w:ascii="Arial" w:hAnsi="Arial" w:cs="Arial"/>
          <w:lang w:val="es-CO"/>
        </w:rPr>
        <w:t xml:space="preserve"> expresamente que la retención opera a este título y no haya informado el concepto, la tarifa y/o la base de cálculo.</w:t>
      </w:r>
    </w:p>
    <w:p w14:paraId="7E4D2B61" w14:textId="77777777" w:rsidR="00B2442D" w:rsidRDefault="00B2442D">
      <w:pPr>
        <w:ind w:left="284" w:hanging="284"/>
        <w:jc w:val="both"/>
        <w:rPr>
          <w:rFonts w:ascii="Arial" w:hAnsi="Arial" w:cs="Arial"/>
          <w:lang w:val="es-CO"/>
        </w:rPr>
      </w:pPr>
    </w:p>
    <w:p w14:paraId="7186188E" w14:textId="77777777" w:rsidR="00B2442D" w:rsidRDefault="008A645F">
      <w:pPr>
        <w:ind w:left="284" w:hanging="284"/>
        <w:jc w:val="both"/>
        <w:rPr>
          <w:rFonts w:ascii="Arial" w:hAnsi="Arial" w:cs="Arial"/>
          <w:lang w:val="es-CO"/>
        </w:rPr>
      </w:pPr>
      <w:r>
        <w:rPr>
          <w:rFonts w:ascii="Arial" w:hAnsi="Arial" w:cs="Arial"/>
          <w:lang w:val="es-CO"/>
        </w:rPr>
        <w:t>d) Debitar de la cuenta a través de la cual se canalizan los pagos sujetos a retención en la fuente, el valor de las retenciones a título</w:t>
      </w:r>
      <w:r>
        <w:rPr>
          <w:rFonts w:ascii="Arial" w:hAnsi="Arial" w:cs="Arial"/>
          <w:lang w:val="es-CO"/>
        </w:rPr>
        <w:t xml:space="preserve"> de renta y/o ventas informadas y verificadas, o de aquellas practicadas al diez por ciento (10%) por efectos de los literales b) y c) de este numeral.</w:t>
      </w:r>
    </w:p>
    <w:p w14:paraId="4068E437" w14:textId="77777777" w:rsidR="00B2442D" w:rsidRDefault="00B2442D">
      <w:pPr>
        <w:ind w:left="284" w:hanging="284"/>
        <w:jc w:val="both"/>
        <w:rPr>
          <w:rFonts w:ascii="Arial" w:hAnsi="Arial" w:cs="Arial"/>
          <w:lang w:val="es-CO"/>
        </w:rPr>
      </w:pPr>
    </w:p>
    <w:p w14:paraId="1307E9B9" w14:textId="77777777" w:rsidR="00B2442D" w:rsidRDefault="008A645F">
      <w:pPr>
        <w:ind w:left="284" w:hanging="284"/>
        <w:jc w:val="both"/>
        <w:rPr>
          <w:rFonts w:ascii="Arial" w:hAnsi="Arial" w:cs="Arial"/>
          <w:lang w:val="es-CO"/>
        </w:rPr>
      </w:pPr>
      <w:r>
        <w:rPr>
          <w:rFonts w:ascii="Arial" w:hAnsi="Arial" w:cs="Arial"/>
          <w:lang w:val="es-CO"/>
        </w:rPr>
        <w:t xml:space="preserve">6. Generar el comprobante electrónico respectivo de las retenciones practicadas en cada transacción de </w:t>
      </w:r>
      <w:r>
        <w:rPr>
          <w:rFonts w:ascii="Arial" w:hAnsi="Arial" w:cs="Arial"/>
          <w:lang w:val="es-CO"/>
        </w:rPr>
        <w:t>pago por concepto sujeto a retención, el cual deberá conservar y poner a disposición del agente de retención, a más tardar dentro de los dos (2) días hábiles siguientes a la fecha en que se practicó la retención.</w:t>
      </w:r>
    </w:p>
    <w:p w14:paraId="319E2C95" w14:textId="77777777" w:rsidR="00B2442D" w:rsidRDefault="00B2442D">
      <w:pPr>
        <w:ind w:left="284" w:hanging="284"/>
        <w:jc w:val="both"/>
        <w:rPr>
          <w:rFonts w:ascii="Arial" w:hAnsi="Arial" w:cs="Arial"/>
          <w:lang w:val="es-CO"/>
        </w:rPr>
      </w:pPr>
    </w:p>
    <w:p w14:paraId="1C2129D2" w14:textId="77777777" w:rsidR="00B2442D" w:rsidRDefault="008A645F">
      <w:pPr>
        <w:ind w:left="284" w:hanging="284"/>
        <w:jc w:val="both"/>
        <w:rPr>
          <w:rFonts w:ascii="Arial" w:hAnsi="Arial" w:cs="Arial"/>
          <w:lang w:val="es-CO"/>
        </w:rPr>
      </w:pPr>
      <w:r>
        <w:rPr>
          <w:rFonts w:ascii="Arial" w:hAnsi="Arial" w:cs="Arial"/>
          <w:lang w:val="es-CO"/>
        </w:rPr>
        <w:t xml:space="preserve">7. Consignar las retenciones practicadas: </w:t>
      </w:r>
      <w:r>
        <w:rPr>
          <w:rFonts w:ascii="Arial" w:hAnsi="Arial" w:cs="Arial"/>
          <w:lang w:val="es-CO"/>
        </w:rPr>
        <w:t>la entidad financiera a través de la cual se practica la retención, deberá depositar la totalidad de las retenciones practicadas diariamente, a la orden de la Dirección General de Crédito Público y Tesoro Nacional en el Banco de la República en la cuenta q</w:t>
      </w:r>
      <w:r>
        <w:rPr>
          <w:rFonts w:ascii="Arial" w:hAnsi="Arial" w:cs="Arial"/>
          <w:lang w:val="es-CO"/>
        </w:rPr>
        <w:t>ue disponga esta Dirección, dentro del término de siete (7) días calendario siguientes a la fecha en que se practicaron.</w:t>
      </w:r>
    </w:p>
    <w:p w14:paraId="3F4E2106" w14:textId="77777777" w:rsidR="00B2442D" w:rsidRDefault="00B2442D">
      <w:pPr>
        <w:ind w:left="284" w:hanging="284"/>
        <w:jc w:val="both"/>
        <w:rPr>
          <w:rFonts w:ascii="Arial" w:hAnsi="Arial" w:cs="Arial"/>
          <w:lang w:val="es-CO"/>
        </w:rPr>
      </w:pPr>
    </w:p>
    <w:p w14:paraId="3355C4D0" w14:textId="77777777" w:rsidR="00B2442D" w:rsidRDefault="008A645F">
      <w:pPr>
        <w:ind w:left="284"/>
        <w:jc w:val="both"/>
        <w:rPr>
          <w:rFonts w:ascii="Arial" w:hAnsi="Arial" w:cs="Arial"/>
          <w:lang w:val="es-CO"/>
        </w:rPr>
      </w:pPr>
      <w:r>
        <w:rPr>
          <w:rFonts w:ascii="Arial" w:hAnsi="Arial" w:cs="Arial"/>
          <w:lang w:val="es-CO"/>
        </w:rPr>
        <w:t>Las entidades financieras que no tengan cuenta de depósito en el Banco de la República, deberán depositar la totalidad de las retencio</w:t>
      </w:r>
      <w:r>
        <w:rPr>
          <w:rFonts w:ascii="Arial" w:hAnsi="Arial" w:cs="Arial"/>
          <w:lang w:val="es-CO"/>
        </w:rPr>
        <w:t>nes practicadas diariamente, en el establecimiento de crédito autorizado, dentro del plazo establecido en el inciso anterior.</w:t>
      </w:r>
    </w:p>
    <w:p w14:paraId="7C6C2D09" w14:textId="77777777" w:rsidR="00B2442D" w:rsidRDefault="00B2442D">
      <w:pPr>
        <w:ind w:left="284" w:hanging="284"/>
        <w:jc w:val="both"/>
        <w:rPr>
          <w:rFonts w:ascii="Arial" w:hAnsi="Arial" w:cs="Arial"/>
          <w:lang w:val="es-CO"/>
        </w:rPr>
      </w:pPr>
    </w:p>
    <w:p w14:paraId="5D08AB6D" w14:textId="77777777" w:rsidR="00B2442D" w:rsidRDefault="008A645F">
      <w:pPr>
        <w:ind w:left="284"/>
        <w:jc w:val="both"/>
        <w:rPr>
          <w:rFonts w:ascii="Arial" w:hAnsi="Arial" w:cs="Arial"/>
          <w:lang w:val="es-CO"/>
        </w:rPr>
      </w:pPr>
      <w:r>
        <w:rPr>
          <w:rFonts w:ascii="Arial" w:hAnsi="Arial" w:cs="Arial"/>
          <w:lang w:val="es-CO"/>
        </w:rPr>
        <w:t>La entidad financiera que practica la retención en la fuente responderá, en todo caso, por las sumas retenidas y los intereses mo</w:t>
      </w:r>
      <w:r>
        <w:rPr>
          <w:rFonts w:ascii="Arial" w:hAnsi="Arial" w:cs="Arial"/>
          <w:lang w:val="es-CO"/>
        </w:rPr>
        <w:t>ratorios conforme al Estatuto Tributario, en el evento que no se consignen dentro del término establecido.</w:t>
      </w:r>
    </w:p>
    <w:p w14:paraId="30A569DD" w14:textId="77777777" w:rsidR="00B2442D" w:rsidRDefault="00B2442D">
      <w:pPr>
        <w:ind w:left="284" w:hanging="284"/>
        <w:jc w:val="both"/>
        <w:rPr>
          <w:rFonts w:ascii="Arial" w:hAnsi="Arial" w:cs="Arial"/>
          <w:lang w:val="es-CO"/>
        </w:rPr>
      </w:pPr>
    </w:p>
    <w:p w14:paraId="54DB0106" w14:textId="77777777" w:rsidR="00B2442D" w:rsidRDefault="008A645F">
      <w:pPr>
        <w:ind w:left="284" w:hanging="284"/>
        <w:jc w:val="both"/>
        <w:rPr>
          <w:rFonts w:ascii="Arial" w:hAnsi="Arial" w:cs="Arial"/>
          <w:lang w:val="es-CO"/>
        </w:rPr>
      </w:pPr>
      <w:r>
        <w:rPr>
          <w:rFonts w:ascii="Arial" w:hAnsi="Arial" w:cs="Arial"/>
          <w:lang w:val="es-CO"/>
        </w:rPr>
        <w:t>8. Conciliar los valores de las retenciones practicadas cuando por razones ajenas al agente de retención, se originen faltantes o sobrantes frente a</w:t>
      </w:r>
      <w:r>
        <w:rPr>
          <w:rFonts w:ascii="Arial" w:hAnsi="Arial" w:cs="Arial"/>
          <w:lang w:val="es-CO"/>
        </w:rPr>
        <w:t xml:space="preserve"> los valores que debían retenerse, evento en el cual la entidad financiera generará, por cada retención afectada, un comprobante electrónico único de ajuste, que refleje expresamente el faltante o el sobrante, la fecha de generación del comprobante de ajus</w:t>
      </w:r>
      <w:r>
        <w:rPr>
          <w:rFonts w:ascii="Arial" w:hAnsi="Arial" w:cs="Arial"/>
          <w:lang w:val="es-CO"/>
        </w:rPr>
        <w:t>te, el número de comprobante de retención afectado y el valor del faltante o del sobrante.</w:t>
      </w:r>
    </w:p>
    <w:p w14:paraId="70C336CB" w14:textId="77777777" w:rsidR="00B2442D" w:rsidRDefault="00B2442D">
      <w:pPr>
        <w:ind w:left="284" w:hanging="284"/>
        <w:jc w:val="both"/>
        <w:rPr>
          <w:rFonts w:ascii="Arial" w:hAnsi="Arial" w:cs="Arial"/>
          <w:lang w:val="es-CO"/>
        </w:rPr>
      </w:pPr>
    </w:p>
    <w:p w14:paraId="0C19EE01" w14:textId="77777777" w:rsidR="00B2442D" w:rsidRDefault="008A645F">
      <w:pPr>
        <w:ind w:left="284"/>
        <w:jc w:val="both"/>
        <w:rPr>
          <w:rFonts w:ascii="Arial" w:hAnsi="Arial" w:cs="Arial"/>
          <w:lang w:val="es-CO"/>
        </w:rPr>
      </w:pPr>
      <w:r>
        <w:rPr>
          <w:rFonts w:ascii="Arial" w:hAnsi="Arial" w:cs="Arial"/>
          <w:lang w:val="es-CO"/>
        </w:rPr>
        <w:t xml:space="preserve">Cuando el ajuste corresponda a un faltante, la entidad financiera deberá efectuar la consignación correspondiente con los intereses moratorios, si hubiere </w:t>
      </w:r>
      <w:r>
        <w:rPr>
          <w:rFonts w:ascii="Arial" w:hAnsi="Arial" w:cs="Arial"/>
          <w:lang w:val="es-CO"/>
        </w:rPr>
        <w:t>lugar a ello, en la cuenta señalada en el numeral 7 del presente artículo.</w:t>
      </w:r>
    </w:p>
    <w:p w14:paraId="59CC5156" w14:textId="77777777" w:rsidR="00B2442D" w:rsidRDefault="00B2442D">
      <w:pPr>
        <w:ind w:left="284" w:hanging="284"/>
        <w:jc w:val="both"/>
        <w:rPr>
          <w:rFonts w:ascii="Arial" w:hAnsi="Arial" w:cs="Arial"/>
          <w:lang w:val="es-CO"/>
        </w:rPr>
      </w:pPr>
    </w:p>
    <w:p w14:paraId="0E593A32" w14:textId="77777777" w:rsidR="00B2442D" w:rsidRDefault="008A645F">
      <w:pPr>
        <w:ind w:left="284"/>
        <w:jc w:val="both"/>
        <w:rPr>
          <w:rFonts w:ascii="Arial" w:hAnsi="Arial" w:cs="Arial"/>
          <w:lang w:val="es-CO"/>
        </w:rPr>
      </w:pPr>
      <w:r>
        <w:rPr>
          <w:rFonts w:ascii="Arial" w:hAnsi="Arial" w:cs="Arial"/>
          <w:lang w:val="es-CO"/>
        </w:rPr>
        <w:t>Cuando el ajuste corresponda a un sobrante, la entidad financiera deberá informarlo al agente de retención y consignarle, a más tardar dentro de los dos (2) días hábiles siguientes</w:t>
      </w:r>
      <w:r>
        <w:rPr>
          <w:rFonts w:ascii="Arial" w:hAnsi="Arial" w:cs="Arial"/>
          <w:lang w:val="es-CO"/>
        </w:rPr>
        <w:t xml:space="preserve"> a la generación del comprobante de ajuste, el valor respectivo para que el agente de retención efectúe la devolución al beneficiario del pago, conservando los documentos soporte de esta operación. El valor del sobrante será descontado por la entidad finan</w:t>
      </w:r>
      <w:r>
        <w:rPr>
          <w:rFonts w:ascii="Arial" w:hAnsi="Arial" w:cs="Arial"/>
          <w:lang w:val="es-CO"/>
        </w:rPr>
        <w:t>ciera del monto total de retenciones a consignar diariamente.</w:t>
      </w:r>
    </w:p>
    <w:p w14:paraId="101A3D80" w14:textId="77777777" w:rsidR="00B2442D" w:rsidRDefault="00B2442D">
      <w:pPr>
        <w:ind w:left="284" w:hanging="284"/>
        <w:jc w:val="both"/>
        <w:rPr>
          <w:rFonts w:ascii="Arial" w:hAnsi="Arial" w:cs="Arial"/>
          <w:lang w:val="es-CO"/>
        </w:rPr>
      </w:pPr>
    </w:p>
    <w:p w14:paraId="59B606DA" w14:textId="77777777" w:rsidR="00B2442D" w:rsidRDefault="008A645F">
      <w:pPr>
        <w:ind w:left="284"/>
        <w:jc w:val="both"/>
        <w:rPr>
          <w:rFonts w:ascii="Arial" w:hAnsi="Arial" w:cs="Arial"/>
          <w:lang w:val="es-CO"/>
        </w:rPr>
      </w:pPr>
      <w:r>
        <w:rPr>
          <w:rFonts w:ascii="Arial" w:hAnsi="Arial" w:cs="Arial"/>
          <w:lang w:val="es-CO"/>
        </w:rPr>
        <w:t>Los comprobantes electrónicos de ajuste de que trata este artículo, deberán conservarse y ponerse a disposición del agente de retención, a más tardar el día hábil siguiente a la fecha de su gen</w:t>
      </w:r>
      <w:r>
        <w:rPr>
          <w:rFonts w:ascii="Arial" w:hAnsi="Arial" w:cs="Arial"/>
          <w:lang w:val="es-CO"/>
        </w:rPr>
        <w:t>eración.</w:t>
      </w:r>
    </w:p>
    <w:p w14:paraId="3731D19B" w14:textId="77777777" w:rsidR="00B2442D" w:rsidRDefault="00B2442D">
      <w:pPr>
        <w:ind w:left="284" w:hanging="284"/>
        <w:jc w:val="both"/>
        <w:rPr>
          <w:rFonts w:ascii="Arial" w:hAnsi="Arial" w:cs="Arial"/>
          <w:lang w:val="es-CO"/>
        </w:rPr>
      </w:pPr>
    </w:p>
    <w:p w14:paraId="0D42FD2E" w14:textId="77777777" w:rsidR="00B2442D" w:rsidRDefault="008A645F">
      <w:pPr>
        <w:ind w:left="284" w:hanging="284"/>
        <w:jc w:val="both"/>
        <w:rPr>
          <w:rFonts w:ascii="Arial" w:hAnsi="Arial" w:cs="Arial"/>
          <w:lang w:val="es-CO"/>
        </w:rPr>
      </w:pPr>
      <w:r>
        <w:rPr>
          <w:rFonts w:ascii="Arial" w:hAnsi="Arial" w:cs="Arial"/>
          <w:lang w:val="es-CO"/>
        </w:rPr>
        <w:t>9. Suministrar información a la Unidad Administrativa Especial Dirección de Impuestos y Aduanas Nacionales- DIAN, en los términos del artículo 1.2.4.28 de este decreto, so pena de la imposición de las sanciones por no informar, previstas en la no</w:t>
      </w:r>
      <w:r>
        <w:rPr>
          <w:rFonts w:ascii="Arial" w:hAnsi="Arial" w:cs="Arial"/>
          <w:lang w:val="es-CO"/>
        </w:rPr>
        <w:t>rmatividad vigente.</w:t>
      </w:r>
    </w:p>
    <w:p w14:paraId="5DF78754" w14:textId="77777777" w:rsidR="00B2442D" w:rsidRDefault="00B2442D">
      <w:pPr>
        <w:jc w:val="both"/>
        <w:rPr>
          <w:rFonts w:ascii="Arial" w:hAnsi="Arial" w:cs="Arial"/>
          <w:lang w:val="es-CO"/>
        </w:rPr>
      </w:pPr>
    </w:p>
    <w:p w14:paraId="7C0F958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entidades financieras que practiquen la retención en la fuente, no podrán cobrar a los agentes retenedores: gastos de administración, papelería, procesamiento y conservación de la información, comisiones, y en general, s</w:t>
      </w:r>
      <w:r>
        <w:rPr>
          <w:rFonts w:ascii="Arial" w:hAnsi="Arial" w:cs="Arial"/>
          <w:lang w:val="es-CO"/>
        </w:rPr>
        <w:t>uma alguna por las actividades necesarias para practicar y consignar la retención.</w:t>
      </w:r>
    </w:p>
    <w:p w14:paraId="7CE75698" w14:textId="77777777" w:rsidR="00B2442D" w:rsidRDefault="00B2442D">
      <w:pPr>
        <w:jc w:val="both"/>
        <w:rPr>
          <w:rFonts w:ascii="Arial" w:hAnsi="Arial" w:cs="Arial"/>
          <w:lang w:val="es-CO"/>
        </w:rPr>
      </w:pPr>
    </w:p>
    <w:p w14:paraId="51F1F23D" w14:textId="77777777" w:rsidR="00B2442D" w:rsidRDefault="008A645F">
      <w:pPr>
        <w:jc w:val="both"/>
        <w:rPr>
          <w:rFonts w:ascii="Arial" w:hAnsi="Arial" w:cs="Arial"/>
          <w:i/>
          <w:lang w:val="es-CO"/>
        </w:rPr>
      </w:pPr>
      <w:r>
        <w:rPr>
          <w:rFonts w:ascii="Arial" w:hAnsi="Arial" w:cs="Arial"/>
          <w:i/>
          <w:lang w:val="es-CO"/>
        </w:rPr>
        <w:t>(Art. 6, Decreto 1159 de 2012)</w:t>
      </w:r>
    </w:p>
    <w:p w14:paraId="49E6F317" w14:textId="77777777" w:rsidR="00B2442D" w:rsidRDefault="00B2442D">
      <w:pPr>
        <w:jc w:val="both"/>
        <w:rPr>
          <w:rFonts w:ascii="Arial" w:hAnsi="Arial" w:cs="Arial"/>
          <w:lang w:val="es-CO"/>
        </w:rPr>
      </w:pPr>
    </w:p>
    <w:p w14:paraId="3C088688"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Información mínima que debe contener el comprobante electrónico de retenciones practicadas a través de entidades financieras.</w:t>
      </w:r>
      <w:r>
        <w:rPr>
          <w:rFonts w:ascii="Arial" w:hAnsi="Arial" w:cs="Arial"/>
          <w:lang w:val="es-CO"/>
        </w:rPr>
        <w:t xml:space="preserve"> La información mínima que debe contener el comprobante electrónico a que se refiere el numeral 6 del artículo 1.2.4.26 del presente decreto, es la siguiente:</w:t>
      </w:r>
    </w:p>
    <w:p w14:paraId="2E1DECB2" w14:textId="77777777" w:rsidR="00B2442D" w:rsidRDefault="00B2442D">
      <w:pPr>
        <w:jc w:val="both"/>
        <w:rPr>
          <w:rFonts w:ascii="Arial" w:hAnsi="Arial" w:cs="Arial"/>
          <w:lang w:val="es-CO"/>
        </w:rPr>
      </w:pPr>
    </w:p>
    <w:p w14:paraId="4D0E219C" w14:textId="77777777" w:rsidR="00B2442D" w:rsidRDefault="008A645F">
      <w:pPr>
        <w:ind w:left="284" w:hanging="284"/>
        <w:jc w:val="both"/>
        <w:rPr>
          <w:rFonts w:ascii="Arial" w:hAnsi="Arial" w:cs="Arial"/>
          <w:lang w:val="es-CO"/>
        </w:rPr>
      </w:pPr>
      <w:r>
        <w:rPr>
          <w:rFonts w:ascii="Arial" w:hAnsi="Arial" w:cs="Arial"/>
          <w:lang w:val="es-CO"/>
        </w:rPr>
        <w:t>1. Información general:</w:t>
      </w:r>
    </w:p>
    <w:p w14:paraId="322C394F" w14:textId="77777777" w:rsidR="00B2442D" w:rsidRDefault="00B2442D">
      <w:pPr>
        <w:ind w:left="284" w:hanging="284"/>
        <w:jc w:val="both"/>
        <w:rPr>
          <w:rFonts w:ascii="Arial" w:hAnsi="Arial" w:cs="Arial"/>
          <w:lang w:val="es-CO"/>
        </w:rPr>
      </w:pPr>
    </w:p>
    <w:p w14:paraId="659F6B28" w14:textId="77777777" w:rsidR="00B2442D" w:rsidRDefault="008A645F">
      <w:pPr>
        <w:ind w:left="284" w:hanging="284"/>
        <w:jc w:val="both"/>
        <w:rPr>
          <w:rFonts w:ascii="Arial" w:hAnsi="Arial" w:cs="Arial"/>
          <w:lang w:val="es-CO"/>
        </w:rPr>
      </w:pPr>
      <w:r>
        <w:rPr>
          <w:rFonts w:ascii="Arial" w:hAnsi="Arial" w:cs="Arial"/>
          <w:lang w:val="es-CO"/>
        </w:rPr>
        <w:t>a) Razón social y NIT de la entidad financiera a través de la cual se p</w:t>
      </w:r>
      <w:r>
        <w:rPr>
          <w:rFonts w:ascii="Arial" w:hAnsi="Arial" w:cs="Arial"/>
          <w:lang w:val="es-CO"/>
        </w:rPr>
        <w:t>ractica la retención.</w:t>
      </w:r>
    </w:p>
    <w:p w14:paraId="2FDEC71B" w14:textId="77777777" w:rsidR="00B2442D" w:rsidRDefault="00B2442D">
      <w:pPr>
        <w:ind w:left="284" w:hanging="284"/>
        <w:jc w:val="both"/>
        <w:rPr>
          <w:rFonts w:ascii="Arial" w:hAnsi="Arial" w:cs="Arial"/>
          <w:lang w:val="es-CO"/>
        </w:rPr>
      </w:pPr>
    </w:p>
    <w:p w14:paraId="10892E07" w14:textId="77777777" w:rsidR="00B2442D" w:rsidRDefault="008A645F">
      <w:pPr>
        <w:ind w:left="284" w:hanging="284"/>
        <w:jc w:val="both"/>
        <w:rPr>
          <w:rFonts w:ascii="Arial" w:hAnsi="Arial" w:cs="Arial"/>
          <w:lang w:val="es-CO"/>
        </w:rPr>
      </w:pPr>
      <w:r>
        <w:rPr>
          <w:rFonts w:ascii="Arial" w:hAnsi="Arial" w:cs="Arial"/>
          <w:lang w:val="es-CO"/>
        </w:rPr>
        <w:t>b) Número único de comprobante generado por la entidad financiera a través de la cual se practica la retención.</w:t>
      </w:r>
    </w:p>
    <w:p w14:paraId="79B78680" w14:textId="77777777" w:rsidR="00B2442D" w:rsidRDefault="00B2442D">
      <w:pPr>
        <w:ind w:left="284" w:hanging="284"/>
        <w:jc w:val="both"/>
        <w:rPr>
          <w:rFonts w:ascii="Arial" w:hAnsi="Arial" w:cs="Arial"/>
          <w:lang w:val="es-CO"/>
        </w:rPr>
      </w:pPr>
    </w:p>
    <w:p w14:paraId="10AFD30A" w14:textId="77777777" w:rsidR="00B2442D" w:rsidRDefault="008A645F">
      <w:pPr>
        <w:ind w:left="284" w:hanging="284"/>
        <w:jc w:val="both"/>
        <w:rPr>
          <w:rFonts w:ascii="Arial" w:hAnsi="Arial" w:cs="Arial"/>
          <w:lang w:val="es-CO"/>
        </w:rPr>
      </w:pPr>
      <w:r>
        <w:rPr>
          <w:rFonts w:ascii="Arial" w:hAnsi="Arial" w:cs="Arial"/>
          <w:lang w:val="es-CO"/>
        </w:rPr>
        <w:t>c) Ciudad, fecha y hora del día calendario en que la entidad financiera practica la retención.</w:t>
      </w:r>
    </w:p>
    <w:p w14:paraId="443FE7E5" w14:textId="77777777" w:rsidR="00B2442D" w:rsidRDefault="00B2442D">
      <w:pPr>
        <w:ind w:left="284" w:hanging="284"/>
        <w:jc w:val="both"/>
        <w:rPr>
          <w:rFonts w:ascii="Arial" w:hAnsi="Arial" w:cs="Arial"/>
          <w:lang w:val="es-CO"/>
        </w:rPr>
      </w:pPr>
    </w:p>
    <w:p w14:paraId="62B01E0C" w14:textId="77777777" w:rsidR="00B2442D" w:rsidRDefault="008A645F">
      <w:pPr>
        <w:ind w:left="284" w:hanging="284"/>
        <w:jc w:val="both"/>
        <w:rPr>
          <w:rFonts w:ascii="Arial" w:hAnsi="Arial" w:cs="Arial"/>
          <w:lang w:val="es-CO"/>
        </w:rPr>
      </w:pPr>
      <w:r>
        <w:rPr>
          <w:rFonts w:ascii="Arial" w:hAnsi="Arial" w:cs="Arial"/>
          <w:lang w:val="es-CO"/>
        </w:rPr>
        <w:t>2. Información suministr</w:t>
      </w:r>
      <w:r>
        <w:rPr>
          <w:rFonts w:ascii="Arial" w:hAnsi="Arial" w:cs="Arial"/>
          <w:lang w:val="es-CO"/>
        </w:rPr>
        <w:t>ada por el agente de retención:</w:t>
      </w:r>
    </w:p>
    <w:p w14:paraId="197D94BE" w14:textId="77777777" w:rsidR="00B2442D" w:rsidRDefault="00B2442D">
      <w:pPr>
        <w:ind w:left="284" w:hanging="284"/>
        <w:jc w:val="both"/>
        <w:rPr>
          <w:rFonts w:ascii="Arial" w:hAnsi="Arial" w:cs="Arial"/>
          <w:lang w:val="es-CO"/>
        </w:rPr>
      </w:pPr>
    </w:p>
    <w:p w14:paraId="01C00376" w14:textId="77777777" w:rsidR="00B2442D" w:rsidRDefault="008A645F">
      <w:pPr>
        <w:ind w:left="284" w:hanging="284"/>
        <w:jc w:val="both"/>
        <w:rPr>
          <w:rFonts w:ascii="Arial" w:hAnsi="Arial" w:cs="Arial"/>
          <w:lang w:val="es-CO"/>
        </w:rPr>
      </w:pPr>
      <w:r>
        <w:rPr>
          <w:rFonts w:ascii="Arial" w:hAnsi="Arial" w:cs="Arial"/>
          <w:lang w:val="es-CO"/>
        </w:rPr>
        <w:t>a) Apellidos y nombres o razón social y NIT del titular de la cuenta. Cuando los pagos se realicen a través de cuentas contables: Razón social y NIT del agente de retención.</w:t>
      </w:r>
    </w:p>
    <w:p w14:paraId="3E516F74" w14:textId="77777777" w:rsidR="00B2442D" w:rsidRDefault="00B2442D">
      <w:pPr>
        <w:jc w:val="both"/>
        <w:rPr>
          <w:rFonts w:ascii="Arial" w:hAnsi="Arial" w:cs="Arial"/>
          <w:lang w:val="es-CO"/>
        </w:rPr>
      </w:pPr>
    </w:p>
    <w:p w14:paraId="552D87B7" w14:textId="77777777" w:rsidR="00B2442D" w:rsidRDefault="008A645F">
      <w:pPr>
        <w:jc w:val="both"/>
        <w:rPr>
          <w:rFonts w:ascii="Arial" w:hAnsi="Arial" w:cs="Arial"/>
          <w:lang w:val="es-CO"/>
        </w:rPr>
      </w:pPr>
      <w:r>
        <w:rPr>
          <w:rFonts w:ascii="Arial" w:hAnsi="Arial" w:cs="Arial"/>
          <w:lang w:val="es-CO"/>
        </w:rPr>
        <w:t xml:space="preserve">b) Apellidos y nombres o razón social y NIT del </w:t>
      </w:r>
      <w:r>
        <w:rPr>
          <w:rFonts w:ascii="Arial" w:hAnsi="Arial" w:cs="Arial"/>
          <w:lang w:val="es-CO"/>
        </w:rPr>
        <w:t>mandante, si lo hubiere.</w:t>
      </w:r>
    </w:p>
    <w:p w14:paraId="4EBC4867" w14:textId="77777777" w:rsidR="00B2442D" w:rsidRDefault="00B2442D">
      <w:pPr>
        <w:jc w:val="both"/>
        <w:rPr>
          <w:rFonts w:ascii="Arial" w:hAnsi="Arial" w:cs="Arial"/>
          <w:lang w:val="es-CO"/>
        </w:rPr>
      </w:pPr>
    </w:p>
    <w:p w14:paraId="283277DA" w14:textId="77777777" w:rsidR="00B2442D" w:rsidRDefault="008A645F">
      <w:pPr>
        <w:jc w:val="both"/>
        <w:rPr>
          <w:rFonts w:ascii="Arial" w:hAnsi="Arial" w:cs="Arial"/>
          <w:lang w:val="es-CO"/>
        </w:rPr>
      </w:pPr>
      <w:r>
        <w:rPr>
          <w:rFonts w:ascii="Arial" w:hAnsi="Arial" w:cs="Arial"/>
          <w:lang w:val="es-CO"/>
        </w:rPr>
        <w:t>c) Apellidos y nombres o razón social y NIT o identificación del beneficiario del pago.</w:t>
      </w:r>
    </w:p>
    <w:p w14:paraId="332CB745" w14:textId="77777777" w:rsidR="00B2442D" w:rsidRDefault="00B2442D">
      <w:pPr>
        <w:jc w:val="both"/>
        <w:rPr>
          <w:rFonts w:ascii="Arial" w:hAnsi="Arial" w:cs="Arial"/>
          <w:lang w:val="es-CO"/>
        </w:rPr>
      </w:pPr>
    </w:p>
    <w:p w14:paraId="557F9A12" w14:textId="77777777" w:rsidR="00B2442D" w:rsidRDefault="008A645F">
      <w:pPr>
        <w:jc w:val="both"/>
        <w:rPr>
          <w:rFonts w:ascii="Arial" w:hAnsi="Arial" w:cs="Arial"/>
          <w:lang w:val="es-CO"/>
        </w:rPr>
      </w:pPr>
      <w:r>
        <w:rPr>
          <w:rFonts w:ascii="Arial" w:hAnsi="Arial" w:cs="Arial"/>
          <w:lang w:val="es-CO"/>
        </w:rPr>
        <w:t>d) Valor del pago.</w:t>
      </w:r>
    </w:p>
    <w:p w14:paraId="1B4693BC" w14:textId="77777777" w:rsidR="00B2442D" w:rsidRDefault="00B2442D">
      <w:pPr>
        <w:jc w:val="both"/>
        <w:rPr>
          <w:rFonts w:ascii="Arial" w:hAnsi="Arial" w:cs="Arial"/>
          <w:lang w:val="es-CO"/>
        </w:rPr>
      </w:pPr>
    </w:p>
    <w:p w14:paraId="7D9E5C0C" w14:textId="77777777" w:rsidR="00B2442D" w:rsidRDefault="008A645F">
      <w:pPr>
        <w:jc w:val="both"/>
        <w:rPr>
          <w:rFonts w:ascii="Arial" w:hAnsi="Arial" w:cs="Arial"/>
          <w:lang w:val="es-CO"/>
        </w:rPr>
      </w:pPr>
      <w:r>
        <w:rPr>
          <w:rFonts w:ascii="Arial" w:hAnsi="Arial" w:cs="Arial"/>
          <w:lang w:val="es-CO"/>
        </w:rPr>
        <w:t>e) Valor con destino al beneficiario del pago.</w:t>
      </w:r>
    </w:p>
    <w:p w14:paraId="3F3E46E0" w14:textId="77777777" w:rsidR="00B2442D" w:rsidRDefault="00B2442D">
      <w:pPr>
        <w:jc w:val="both"/>
        <w:rPr>
          <w:rFonts w:ascii="Arial" w:hAnsi="Arial" w:cs="Arial"/>
          <w:lang w:val="es-CO"/>
        </w:rPr>
      </w:pPr>
    </w:p>
    <w:p w14:paraId="5331C56F" w14:textId="77777777" w:rsidR="00B2442D" w:rsidRDefault="008A645F">
      <w:pPr>
        <w:jc w:val="both"/>
        <w:rPr>
          <w:rFonts w:ascii="Arial" w:hAnsi="Arial" w:cs="Arial"/>
          <w:lang w:val="es-CO"/>
        </w:rPr>
      </w:pPr>
      <w:r>
        <w:rPr>
          <w:rFonts w:ascii="Arial" w:hAnsi="Arial" w:cs="Arial"/>
          <w:lang w:val="es-CO"/>
        </w:rPr>
        <w:t>f) Concepto de retención a título de renta.</w:t>
      </w:r>
    </w:p>
    <w:p w14:paraId="377006CC" w14:textId="77777777" w:rsidR="00B2442D" w:rsidRDefault="00B2442D">
      <w:pPr>
        <w:jc w:val="both"/>
        <w:rPr>
          <w:rFonts w:ascii="Arial" w:hAnsi="Arial" w:cs="Arial"/>
          <w:lang w:val="es-CO"/>
        </w:rPr>
      </w:pPr>
    </w:p>
    <w:p w14:paraId="5FC180EC" w14:textId="77777777" w:rsidR="00B2442D" w:rsidRDefault="008A645F">
      <w:pPr>
        <w:jc w:val="both"/>
        <w:rPr>
          <w:rFonts w:ascii="Arial" w:hAnsi="Arial" w:cs="Arial"/>
          <w:lang w:val="es-CO"/>
        </w:rPr>
      </w:pPr>
      <w:r>
        <w:rPr>
          <w:rFonts w:ascii="Arial" w:hAnsi="Arial" w:cs="Arial"/>
          <w:lang w:val="es-CO"/>
        </w:rPr>
        <w:t xml:space="preserve">g) Valor base de </w:t>
      </w:r>
      <w:r>
        <w:rPr>
          <w:rFonts w:ascii="Arial" w:hAnsi="Arial" w:cs="Arial"/>
          <w:lang w:val="es-CO"/>
        </w:rPr>
        <w:t>cálculo de la retención a título de renta.</w:t>
      </w:r>
    </w:p>
    <w:p w14:paraId="1D7BBC25" w14:textId="77777777" w:rsidR="00B2442D" w:rsidRDefault="00B2442D">
      <w:pPr>
        <w:jc w:val="both"/>
        <w:rPr>
          <w:rFonts w:ascii="Arial" w:hAnsi="Arial" w:cs="Arial"/>
          <w:lang w:val="es-CO"/>
        </w:rPr>
      </w:pPr>
    </w:p>
    <w:p w14:paraId="2EEDAC30" w14:textId="77777777" w:rsidR="00B2442D" w:rsidRDefault="008A645F">
      <w:pPr>
        <w:jc w:val="both"/>
        <w:rPr>
          <w:rFonts w:ascii="Arial" w:hAnsi="Arial" w:cs="Arial"/>
          <w:lang w:val="es-CO"/>
        </w:rPr>
      </w:pPr>
      <w:r>
        <w:rPr>
          <w:rFonts w:ascii="Arial" w:hAnsi="Arial" w:cs="Arial"/>
          <w:lang w:val="es-CO"/>
        </w:rPr>
        <w:t>h) Tarifa correspondiente a título de renta.</w:t>
      </w:r>
    </w:p>
    <w:p w14:paraId="6EF3719F" w14:textId="77777777" w:rsidR="00B2442D" w:rsidRDefault="00B2442D">
      <w:pPr>
        <w:jc w:val="both"/>
        <w:rPr>
          <w:rFonts w:ascii="Arial" w:hAnsi="Arial" w:cs="Arial"/>
          <w:lang w:val="es-CO"/>
        </w:rPr>
      </w:pPr>
    </w:p>
    <w:p w14:paraId="0C5AC5D8" w14:textId="77777777" w:rsidR="00B2442D" w:rsidRDefault="008A645F">
      <w:pPr>
        <w:jc w:val="both"/>
        <w:rPr>
          <w:rFonts w:ascii="Arial" w:hAnsi="Arial" w:cs="Arial"/>
          <w:lang w:val="es-CO"/>
        </w:rPr>
      </w:pPr>
      <w:r>
        <w:rPr>
          <w:rFonts w:ascii="Arial" w:hAnsi="Arial" w:cs="Arial"/>
          <w:lang w:val="es-CO"/>
        </w:rPr>
        <w:t>i) Valor a retener a título de renta.</w:t>
      </w:r>
    </w:p>
    <w:p w14:paraId="1164A44C" w14:textId="77777777" w:rsidR="00B2442D" w:rsidRDefault="00B2442D">
      <w:pPr>
        <w:jc w:val="both"/>
        <w:rPr>
          <w:rFonts w:ascii="Arial" w:hAnsi="Arial" w:cs="Arial"/>
          <w:lang w:val="es-CO"/>
        </w:rPr>
      </w:pPr>
    </w:p>
    <w:p w14:paraId="5CFFAD42" w14:textId="77777777" w:rsidR="00B2442D" w:rsidRDefault="008A645F">
      <w:pPr>
        <w:jc w:val="both"/>
        <w:rPr>
          <w:rFonts w:ascii="Arial" w:hAnsi="Arial" w:cs="Arial"/>
          <w:lang w:val="es-CO"/>
        </w:rPr>
      </w:pPr>
      <w:r>
        <w:rPr>
          <w:rFonts w:ascii="Arial" w:hAnsi="Arial" w:cs="Arial"/>
          <w:lang w:val="es-CO"/>
        </w:rPr>
        <w:t>j) Concepto de retención a título de IVA.</w:t>
      </w:r>
    </w:p>
    <w:p w14:paraId="57A698EA" w14:textId="77777777" w:rsidR="00B2442D" w:rsidRDefault="00B2442D">
      <w:pPr>
        <w:jc w:val="both"/>
        <w:rPr>
          <w:rFonts w:ascii="Arial" w:hAnsi="Arial" w:cs="Arial"/>
          <w:lang w:val="es-CO"/>
        </w:rPr>
      </w:pPr>
    </w:p>
    <w:p w14:paraId="2D451DFA" w14:textId="77777777" w:rsidR="00B2442D" w:rsidRDefault="008A645F">
      <w:pPr>
        <w:jc w:val="both"/>
        <w:rPr>
          <w:rFonts w:ascii="Arial" w:hAnsi="Arial" w:cs="Arial"/>
          <w:lang w:val="es-CO"/>
        </w:rPr>
      </w:pPr>
      <w:r>
        <w:rPr>
          <w:rFonts w:ascii="Arial" w:hAnsi="Arial" w:cs="Arial"/>
          <w:lang w:val="es-CO"/>
        </w:rPr>
        <w:t>k) Valor del IVA base de cálculo de la retención.</w:t>
      </w:r>
    </w:p>
    <w:p w14:paraId="4F9BD8E9" w14:textId="77777777" w:rsidR="00B2442D" w:rsidRDefault="00B2442D">
      <w:pPr>
        <w:jc w:val="both"/>
        <w:rPr>
          <w:rFonts w:ascii="Arial" w:hAnsi="Arial" w:cs="Arial"/>
          <w:lang w:val="es-CO"/>
        </w:rPr>
      </w:pPr>
    </w:p>
    <w:p w14:paraId="28DD3B5D" w14:textId="77777777" w:rsidR="00B2442D" w:rsidRDefault="008A645F">
      <w:pPr>
        <w:jc w:val="both"/>
        <w:rPr>
          <w:rFonts w:ascii="Arial" w:hAnsi="Arial" w:cs="Arial"/>
          <w:lang w:val="es-CO"/>
        </w:rPr>
      </w:pPr>
      <w:r>
        <w:rPr>
          <w:rFonts w:ascii="Arial" w:hAnsi="Arial" w:cs="Arial"/>
          <w:lang w:val="es-CO"/>
        </w:rPr>
        <w:t>l) Tarifa correspondiente a títul</w:t>
      </w:r>
      <w:r>
        <w:rPr>
          <w:rFonts w:ascii="Arial" w:hAnsi="Arial" w:cs="Arial"/>
          <w:lang w:val="es-CO"/>
        </w:rPr>
        <w:t>o de IVA.</w:t>
      </w:r>
    </w:p>
    <w:p w14:paraId="4A3B14A9" w14:textId="77777777" w:rsidR="00B2442D" w:rsidRDefault="00B2442D">
      <w:pPr>
        <w:jc w:val="both"/>
        <w:rPr>
          <w:rFonts w:ascii="Arial" w:hAnsi="Arial" w:cs="Arial"/>
          <w:lang w:val="es-CO"/>
        </w:rPr>
      </w:pPr>
    </w:p>
    <w:p w14:paraId="579461DF" w14:textId="77777777" w:rsidR="00B2442D" w:rsidRDefault="008A645F">
      <w:pPr>
        <w:jc w:val="both"/>
        <w:rPr>
          <w:rFonts w:ascii="Arial" w:hAnsi="Arial" w:cs="Arial"/>
          <w:lang w:val="es-CO"/>
        </w:rPr>
      </w:pPr>
      <w:r>
        <w:rPr>
          <w:rFonts w:ascii="Arial" w:hAnsi="Arial" w:cs="Arial"/>
          <w:lang w:val="es-CO"/>
        </w:rPr>
        <w:t>m) Valor a retener a título de IVA.</w:t>
      </w:r>
    </w:p>
    <w:p w14:paraId="727B96FA" w14:textId="77777777" w:rsidR="00B2442D" w:rsidRDefault="00B2442D">
      <w:pPr>
        <w:jc w:val="both"/>
        <w:rPr>
          <w:rFonts w:ascii="Arial" w:hAnsi="Arial" w:cs="Arial"/>
          <w:lang w:val="es-CO"/>
        </w:rPr>
      </w:pPr>
    </w:p>
    <w:p w14:paraId="0A5BF567" w14:textId="77777777" w:rsidR="00B2442D" w:rsidRDefault="008A645F">
      <w:pPr>
        <w:jc w:val="both"/>
        <w:rPr>
          <w:rFonts w:ascii="Arial" w:hAnsi="Arial" w:cs="Arial"/>
          <w:lang w:val="es-CO"/>
        </w:rPr>
      </w:pPr>
      <w:r>
        <w:rPr>
          <w:rFonts w:ascii="Arial" w:hAnsi="Arial" w:cs="Arial"/>
          <w:lang w:val="es-CO"/>
        </w:rPr>
        <w:t>3. Información de retenciones practicadas:</w:t>
      </w:r>
    </w:p>
    <w:p w14:paraId="04E21835" w14:textId="77777777" w:rsidR="00B2442D" w:rsidRDefault="00B2442D">
      <w:pPr>
        <w:jc w:val="both"/>
        <w:rPr>
          <w:rFonts w:ascii="Arial" w:hAnsi="Arial" w:cs="Arial"/>
          <w:lang w:val="es-CO"/>
        </w:rPr>
      </w:pPr>
    </w:p>
    <w:p w14:paraId="70C76E09" w14:textId="77777777" w:rsidR="00B2442D" w:rsidRDefault="008A645F">
      <w:pPr>
        <w:jc w:val="both"/>
        <w:rPr>
          <w:rFonts w:ascii="Arial" w:hAnsi="Arial" w:cs="Arial"/>
          <w:lang w:val="es-CO"/>
        </w:rPr>
      </w:pPr>
      <w:r>
        <w:rPr>
          <w:rFonts w:ascii="Arial" w:hAnsi="Arial" w:cs="Arial"/>
          <w:lang w:val="es-CO"/>
        </w:rPr>
        <w:t>a) Valor de la retención practicada a título de renta.</w:t>
      </w:r>
    </w:p>
    <w:p w14:paraId="2DD545BC" w14:textId="77777777" w:rsidR="00B2442D" w:rsidRDefault="00B2442D">
      <w:pPr>
        <w:jc w:val="both"/>
        <w:rPr>
          <w:rFonts w:ascii="Arial" w:hAnsi="Arial" w:cs="Arial"/>
          <w:lang w:val="es-CO"/>
        </w:rPr>
      </w:pPr>
    </w:p>
    <w:p w14:paraId="69E0F784" w14:textId="77777777" w:rsidR="00B2442D" w:rsidRDefault="008A645F">
      <w:pPr>
        <w:jc w:val="both"/>
        <w:rPr>
          <w:rFonts w:ascii="Arial" w:hAnsi="Arial" w:cs="Arial"/>
          <w:lang w:val="es-CO"/>
        </w:rPr>
      </w:pPr>
      <w:r>
        <w:rPr>
          <w:rFonts w:ascii="Arial" w:hAnsi="Arial" w:cs="Arial"/>
          <w:lang w:val="es-CO"/>
        </w:rPr>
        <w:t>b) Valor de la retención practicada a título de IVA.</w:t>
      </w:r>
    </w:p>
    <w:p w14:paraId="768461F6" w14:textId="77777777" w:rsidR="00B2442D" w:rsidRDefault="00B2442D">
      <w:pPr>
        <w:jc w:val="both"/>
        <w:rPr>
          <w:rFonts w:ascii="Arial" w:hAnsi="Arial" w:cs="Arial"/>
          <w:lang w:val="es-CO"/>
        </w:rPr>
      </w:pPr>
    </w:p>
    <w:p w14:paraId="4FAF007E" w14:textId="77777777" w:rsidR="00B2442D" w:rsidRDefault="008A645F">
      <w:pPr>
        <w:ind w:left="284" w:hanging="284"/>
        <w:jc w:val="both"/>
        <w:rPr>
          <w:rFonts w:ascii="Arial" w:hAnsi="Arial" w:cs="Arial"/>
          <w:lang w:val="es-CO"/>
        </w:rPr>
      </w:pPr>
      <w:r>
        <w:rPr>
          <w:rFonts w:ascii="Arial" w:hAnsi="Arial" w:cs="Arial"/>
          <w:lang w:val="es-CO"/>
        </w:rPr>
        <w:t>c) Valor de la retención practicada al diez por ciento</w:t>
      </w:r>
      <w:r>
        <w:rPr>
          <w:rFonts w:ascii="Arial" w:hAnsi="Arial" w:cs="Arial"/>
          <w:lang w:val="es-CO"/>
        </w:rPr>
        <w:t xml:space="preserve"> (10%) a título de renta por efecto del literal b) numeral 5 del artículo 1.2.4.26 de este decreto, si fuere el caso.</w:t>
      </w:r>
    </w:p>
    <w:p w14:paraId="07B2D1CC" w14:textId="77777777" w:rsidR="00B2442D" w:rsidRDefault="00B2442D">
      <w:pPr>
        <w:ind w:left="284" w:hanging="284"/>
        <w:jc w:val="both"/>
        <w:rPr>
          <w:rFonts w:ascii="Arial" w:hAnsi="Arial" w:cs="Arial"/>
          <w:lang w:val="es-CO"/>
        </w:rPr>
      </w:pPr>
    </w:p>
    <w:p w14:paraId="7227216C" w14:textId="77777777" w:rsidR="00B2442D" w:rsidRDefault="008A645F">
      <w:pPr>
        <w:ind w:left="284" w:hanging="284"/>
        <w:jc w:val="both"/>
        <w:rPr>
          <w:rFonts w:ascii="Arial" w:hAnsi="Arial" w:cs="Arial"/>
          <w:lang w:val="es-CO"/>
        </w:rPr>
      </w:pPr>
      <w:r>
        <w:rPr>
          <w:rFonts w:ascii="Arial" w:hAnsi="Arial" w:cs="Arial"/>
          <w:lang w:val="es-CO"/>
        </w:rPr>
        <w:t>d) Valor de la retención practicada al diez por ciento (10%) a título de IVA por efecto del literal c) numeral 5 del artículo 1.2.4.26 de</w:t>
      </w:r>
      <w:r>
        <w:rPr>
          <w:rFonts w:ascii="Arial" w:hAnsi="Arial" w:cs="Arial"/>
          <w:lang w:val="es-CO"/>
        </w:rPr>
        <w:t xml:space="preserve"> este Decreto, si fuere el caso.</w:t>
      </w:r>
    </w:p>
    <w:p w14:paraId="623A33C7" w14:textId="77777777" w:rsidR="00B2442D" w:rsidRDefault="00B2442D">
      <w:pPr>
        <w:jc w:val="both"/>
        <w:rPr>
          <w:rFonts w:ascii="Arial" w:hAnsi="Arial" w:cs="Arial"/>
          <w:lang w:val="es-CO"/>
        </w:rPr>
      </w:pPr>
    </w:p>
    <w:p w14:paraId="6DE149C2" w14:textId="77777777" w:rsidR="00B2442D" w:rsidRDefault="008A645F">
      <w:pPr>
        <w:jc w:val="both"/>
        <w:rPr>
          <w:rFonts w:ascii="Arial" w:hAnsi="Arial" w:cs="Arial"/>
          <w:i/>
          <w:lang w:val="es-CO"/>
        </w:rPr>
      </w:pPr>
      <w:r>
        <w:rPr>
          <w:rFonts w:ascii="Arial" w:hAnsi="Arial" w:cs="Arial"/>
          <w:i/>
          <w:lang w:val="es-CO"/>
        </w:rPr>
        <w:t>(Art. 7, Decreto 1159 de 2012)</w:t>
      </w:r>
    </w:p>
    <w:p w14:paraId="76D789F7" w14:textId="77777777" w:rsidR="00B2442D" w:rsidRDefault="00B2442D">
      <w:pPr>
        <w:jc w:val="both"/>
        <w:rPr>
          <w:rFonts w:ascii="Arial" w:hAnsi="Arial" w:cs="Arial"/>
          <w:lang w:val="es-CO"/>
        </w:rPr>
      </w:pPr>
    </w:p>
    <w:p w14:paraId="45D4B78D"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Información que se debe suministrar a la Unidad Administrativa Especial Dirección de Impuestos y Aduanas Nacionales– DIAN.</w:t>
      </w:r>
      <w:r>
        <w:rPr>
          <w:rFonts w:ascii="Arial" w:hAnsi="Arial" w:cs="Arial"/>
          <w:lang w:val="es-CO"/>
        </w:rPr>
        <w:t xml:space="preserve"> En cumplimiento de los artículos 1.2.4.20 al 1.2.4.23, 1.2.4.25 al 1.2.4.33 y 1.2.4.36 del presente Decreto se debe suministrar a la Unidad Administrativa Especial  Dirección de Impuestos y Aduanas Nacionales- DIAN, de manera virtual a través de los servi</w:t>
      </w:r>
      <w:r>
        <w:rPr>
          <w:rFonts w:ascii="Arial" w:hAnsi="Arial" w:cs="Arial"/>
          <w:lang w:val="es-CO"/>
        </w:rPr>
        <w:t>cios informáticos electrónicos dispuestos para ello por la DIAN, la siguiente información:</w:t>
      </w:r>
    </w:p>
    <w:p w14:paraId="0C926894" w14:textId="77777777" w:rsidR="00B2442D" w:rsidRDefault="00B2442D">
      <w:pPr>
        <w:jc w:val="both"/>
        <w:rPr>
          <w:rFonts w:ascii="Arial" w:hAnsi="Arial" w:cs="Arial"/>
          <w:lang w:val="es-CO"/>
        </w:rPr>
      </w:pPr>
    </w:p>
    <w:p w14:paraId="67C2ACC3" w14:textId="77777777" w:rsidR="00B2442D" w:rsidRDefault="008A645F">
      <w:pPr>
        <w:jc w:val="both"/>
        <w:rPr>
          <w:rFonts w:ascii="Arial" w:hAnsi="Arial" w:cs="Arial"/>
          <w:lang w:val="es-CO"/>
        </w:rPr>
      </w:pPr>
      <w:r>
        <w:rPr>
          <w:rFonts w:ascii="Arial" w:hAnsi="Arial" w:cs="Arial"/>
          <w:lang w:val="es-CO"/>
        </w:rPr>
        <w:t>1. Por parte de la entidad financiera a través de la cual se practica la retención:</w:t>
      </w:r>
    </w:p>
    <w:p w14:paraId="326A9B1E" w14:textId="77777777" w:rsidR="00B2442D" w:rsidRDefault="00B2442D">
      <w:pPr>
        <w:jc w:val="both"/>
        <w:rPr>
          <w:rFonts w:ascii="Arial" w:hAnsi="Arial" w:cs="Arial"/>
          <w:lang w:val="es-CO"/>
        </w:rPr>
      </w:pPr>
    </w:p>
    <w:p w14:paraId="3ECDA56A" w14:textId="77777777" w:rsidR="00B2442D" w:rsidRDefault="008A645F">
      <w:pPr>
        <w:ind w:left="284" w:hanging="284"/>
        <w:jc w:val="both"/>
        <w:rPr>
          <w:rFonts w:ascii="Arial" w:hAnsi="Arial" w:cs="Arial"/>
          <w:lang w:val="es-CO"/>
        </w:rPr>
      </w:pPr>
      <w:r>
        <w:rPr>
          <w:rFonts w:ascii="Arial" w:hAnsi="Arial" w:cs="Arial"/>
          <w:lang w:val="es-CO"/>
        </w:rPr>
        <w:t>a) La información de los comprobantes de las retenciones practicadas, a más tar</w:t>
      </w:r>
      <w:r>
        <w:rPr>
          <w:rFonts w:ascii="Arial" w:hAnsi="Arial" w:cs="Arial"/>
          <w:lang w:val="es-CO"/>
        </w:rPr>
        <w:t>dar el segundo día hábil siguiente a la fecha en que se practicaron.</w:t>
      </w:r>
    </w:p>
    <w:p w14:paraId="724FB357" w14:textId="77777777" w:rsidR="00B2442D" w:rsidRDefault="00B2442D">
      <w:pPr>
        <w:ind w:left="284" w:hanging="284"/>
        <w:jc w:val="both"/>
        <w:rPr>
          <w:rFonts w:ascii="Arial" w:hAnsi="Arial" w:cs="Arial"/>
          <w:lang w:val="es-CO"/>
        </w:rPr>
      </w:pPr>
    </w:p>
    <w:p w14:paraId="769FF6A8" w14:textId="77777777" w:rsidR="00B2442D" w:rsidRDefault="008A645F">
      <w:pPr>
        <w:ind w:left="284" w:hanging="284"/>
        <w:jc w:val="both"/>
        <w:rPr>
          <w:rFonts w:ascii="Arial" w:hAnsi="Arial" w:cs="Arial"/>
          <w:lang w:val="es-CO"/>
        </w:rPr>
      </w:pPr>
      <w:r>
        <w:rPr>
          <w:rFonts w:ascii="Arial" w:hAnsi="Arial" w:cs="Arial"/>
          <w:lang w:val="es-CO"/>
        </w:rPr>
        <w:t>b) La información de los comprobantes de ajuste, a más tardar el día hábil siguiente a su generación.</w:t>
      </w:r>
    </w:p>
    <w:p w14:paraId="71C67427" w14:textId="77777777" w:rsidR="00B2442D" w:rsidRDefault="00B2442D">
      <w:pPr>
        <w:ind w:left="284" w:hanging="284"/>
        <w:jc w:val="both"/>
        <w:rPr>
          <w:rFonts w:ascii="Arial" w:hAnsi="Arial" w:cs="Arial"/>
          <w:lang w:val="es-CO"/>
        </w:rPr>
      </w:pPr>
    </w:p>
    <w:p w14:paraId="6562F660" w14:textId="77777777" w:rsidR="00B2442D" w:rsidRDefault="008A645F">
      <w:pPr>
        <w:ind w:left="284" w:hanging="284"/>
        <w:jc w:val="both"/>
        <w:rPr>
          <w:rFonts w:ascii="Arial" w:hAnsi="Arial" w:cs="Arial"/>
          <w:lang w:val="es-CO"/>
        </w:rPr>
      </w:pPr>
      <w:r>
        <w:rPr>
          <w:rFonts w:ascii="Arial" w:hAnsi="Arial" w:cs="Arial"/>
          <w:lang w:val="es-CO"/>
        </w:rPr>
        <w:t xml:space="preserve">c) La información de las consignaciones realizadas, que correspondan a </w:t>
      </w:r>
      <w:r>
        <w:rPr>
          <w:rFonts w:ascii="Arial" w:hAnsi="Arial" w:cs="Arial"/>
          <w:lang w:val="es-CO"/>
        </w:rPr>
        <w:t>retenciones practicadas a través de las entidades financieras en el ámbito de los artículos 1.2.4.20 al 1.2.4.23, 1.2.4.25 al 1.2.4.33 y 1.2.4.36 del presente Decreto, a la orden de la Dirección General de Crédito Público y Tesoro Nacional, relacionando pa</w:t>
      </w:r>
      <w:r>
        <w:rPr>
          <w:rFonts w:ascii="Arial" w:hAnsi="Arial" w:cs="Arial"/>
          <w:lang w:val="es-CO"/>
        </w:rPr>
        <w:t>ra cada una de ellas los números de comprobante de retenciones practicadas y los de ajuste, si fuere el caso, a más tardar el día hábil siguiente a la fecha de la consignación.</w:t>
      </w:r>
    </w:p>
    <w:p w14:paraId="2092A49B" w14:textId="77777777" w:rsidR="00B2442D" w:rsidRDefault="00B2442D">
      <w:pPr>
        <w:ind w:left="284" w:hanging="284"/>
        <w:jc w:val="both"/>
        <w:rPr>
          <w:rFonts w:ascii="Arial" w:hAnsi="Arial" w:cs="Arial"/>
          <w:lang w:val="es-CO"/>
        </w:rPr>
      </w:pPr>
    </w:p>
    <w:p w14:paraId="34C19F15" w14:textId="77777777" w:rsidR="00B2442D" w:rsidRDefault="008A645F">
      <w:pPr>
        <w:ind w:left="284" w:hanging="284"/>
        <w:jc w:val="both"/>
        <w:rPr>
          <w:rFonts w:ascii="Arial" w:hAnsi="Arial" w:cs="Arial"/>
          <w:lang w:val="es-CO"/>
        </w:rPr>
      </w:pPr>
      <w:r>
        <w:rPr>
          <w:rFonts w:ascii="Arial" w:hAnsi="Arial" w:cs="Arial"/>
          <w:lang w:val="es-CO"/>
        </w:rPr>
        <w:t>d) Un informe mensual de las cuentas de ahorro o corrientes a través de las cu</w:t>
      </w:r>
      <w:r>
        <w:rPr>
          <w:rFonts w:ascii="Arial" w:hAnsi="Arial" w:cs="Arial"/>
          <w:lang w:val="es-CO"/>
        </w:rPr>
        <w:t>ales se canalizan los pagos sujetos a retención en la fuente, indicando el número de cuenta, la información relativa a identificación y ubicación de sus titulares, así como la información de identificación y ubicación de los mandantes, si fuere el caso. Es</w:t>
      </w:r>
      <w:r>
        <w:rPr>
          <w:rFonts w:ascii="Arial" w:hAnsi="Arial" w:cs="Arial"/>
          <w:lang w:val="es-CO"/>
        </w:rPr>
        <w:t>te informe debe entregarse a más tardar el quinto (5°) día hábil del mes siguiente al objeto del reporte, siempre que la entidad financiera sea informada de cuentas señaladas para tal fin, o en relación con las cuales se realicen modificaciones o cuando la</w:t>
      </w:r>
      <w:r>
        <w:rPr>
          <w:rFonts w:ascii="Arial" w:hAnsi="Arial" w:cs="Arial"/>
          <w:lang w:val="es-CO"/>
        </w:rPr>
        <w:t>s mismas sean excluidas.</w:t>
      </w:r>
    </w:p>
    <w:p w14:paraId="0300BB21" w14:textId="77777777" w:rsidR="00B2442D" w:rsidRDefault="00B2442D">
      <w:pPr>
        <w:jc w:val="both"/>
        <w:rPr>
          <w:rFonts w:ascii="Arial" w:hAnsi="Arial" w:cs="Arial"/>
          <w:lang w:val="es-CO"/>
        </w:rPr>
      </w:pPr>
    </w:p>
    <w:p w14:paraId="4E1793F0" w14:textId="77777777" w:rsidR="00B2442D" w:rsidRDefault="008A645F">
      <w:pPr>
        <w:jc w:val="both"/>
        <w:rPr>
          <w:rFonts w:ascii="Arial" w:hAnsi="Arial" w:cs="Arial"/>
          <w:lang w:val="es-CO"/>
        </w:rPr>
      </w:pPr>
      <w:r>
        <w:rPr>
          <w:rFonts w:ascii="Arial" w:hAnsi="Arial" w:cs="Arial"/>
          <w:lang w:val="es-CO"/>
        </w:rPr>
        <w:t>2. Por parte de la Dirección General de Crédito Público y Tesoro Nacional:</w:t>
      </w:r>
    </w:p>
    <w:p w14:paraId="79934BCF" w14:textId="77777777" w:rsidR="00B2442D" w:rsidRDefault="00B2442D">
      <w:pPr>
        <w:jc w:val="both"/>
        <w:rPr>
          <w:rFonts w:ascii="Arial" w:hAnsi="Arial" w:cs="Arial"/>
          <w:lang w:val="es-CO"/>
        </w:rPr>
      </w:pPr>
    </w:p>
    <w:p w14:paraId="22D02B14" w14:textId="77777777" w:rsidR="00B2442D" w:rsidRDefault="008A645F">
      <w:pPr>
        <w:jc w:val="both"/>
        <w:rPr>
          <w:rFonts w:ascii="Arial" w:hAnsi="Arial" w:cs="Arial"/>
          <w:lang w:val="es-CO"/>
        </w:rPr>
      </w:pPr>
      <w:r>
        <w:rPr>
          <w:rFonts w:ascii="Arial" w:hAnsi="Arial" w:cs="Arial"/>
          <w:lang w:val="es-CO"/>
        </w:rPr>
        <w:t xml:space="preserve">La información correspondiente a las consignaciones diarias de retenciones practicadas a través de las entidades financieras, y la necesaria para efectos </w:t>
      </w:r>
      <w:r>
        <w:rPr>
          <w:rFonts w:ascii="Arial" w:hAnsi="Arial" w:cs="Arial"/>
          <w:lang w:val="es-CO"/>
        </w:rPr>
        <w:t>de la conciliación a que haya lugar, a más tardar el día hábil siguiente a la fecha en que se consignaron.</w:t>
      </w:r>
    </w:p>
    <w:p w14:paraId="271160E1" w14:textId="77777777" w:rsidR="00B2442D" w:rsidRDefault="00B2442D">
      <w:pPr>
        <w:jc w:val="both"/>
        <w:rPr>
          <w:rFonts w:ascii="Arial" w:hAnsi="Arial" w:cs="Arial"/>
          <w:lang w:val="es-CO"/>
        </w:rPr>
      </w:pPr>
    </w:p>
    <w:p w14:paraId="60BE5D92" w14:textId="77777777" w:rsidR="00B2442D" w:rsidRDefault="008A645F">
      <w:pPr>
        <w:jc w:val="both"/>
        <w:rPr>
          <w:rFonts w:ascii="Arial" w:hAnsi="Arial" w:cs="Arial"/>
          <w:lang w:val="es-CO"/>
        </w:rPr>
      </w:pPr>
      <w:r>
        <w:rPr>
          <w:rFonts w:ascii="Arial" w:hAnsi="Arial" w:cs="Arial"/>
          <w:lang w:val="es-CO"/>
        </w:rPr>
        <w:t xml:space="preserve">La Unidad Administrativa Especial Dirección de Impuestos y Aduanas Nacionales– DIAN establecerá mediante Resolución, con una antelación no inferior </w:t>
      </w:r>
      <w:r>
        <w:rPr>
          <w:rFonts w:ascii="Arial" w:hAnsi="Arial" w:cs="Arial"/>
          <w:lang w:val="es-CO"/>
        </w:rPr>
        <w:t>a tres (3) meses a su entrada en vigencia: las condiciones tanto técnicas como procedimentales, los formatos y, en general, las especificaciones técnicas relacionadas con la información y su entrega, conforme al presente artículo, así como la información a</w:t>
      </w:r>
      <w:r>
        <w:rPr>
          <w:rFonts w:ascii="Arial" w:hAnsi="Arial" w:cs="Arial"/>
          <w:lang w:val="es-CO"/>
        </w:rPr>
        <w:t>dicional que considere necesaria para garantizar la completitud y consistencia de la misma. Un término igual aplicará cuando la Unidad Administrativa Especial Dirección de Impuestos y Aduanas Nacionales– DIAN efectúe modificaciones o adiciones a estas.</w:t>
      </w:r>
    </w:p>
    <w:p w14:paraId="02188EF9" w14:textId="77777777" w:rsidR="00B2442D" w:rsidRDefault="00B2442D">
      <w:pPr>
        <w:jc w:val="both"/>
        <w:rPr>
          <w:rFonts w:ascii="Arial" w:hAnsi="Arial" w:cs="Arial"/>
          <w:lang w:val="es-CO"/>
        </w:rPr>
      </w:pPr>
    </w:p>
    <w:p w14:paraId="03318D46" w14:textId="77777777" w:rsidR="00B2442D" w:rsidRDefault="008A645F">
      <w:pPr>
        <w:jc w:val="both"/>
        <w:rPr>
          <w:rFonts w:ascii="Arial" w:hAnsi="Arial" w:cs="Arial"/>
          <w:lang w:val="es-CO"/>
        </w:rPr>
      </w:pPr>
      <w:r>
        <w:rPr>
          <w:rFonts w:ascii="Arial" w:hAnsi="Arial" w:cs="Arial"/>
          <w:b/>
          <w:lang w:val="es-CO"/>
        </w:rPr>
        <w:t>Pa</w:t>
      </w:r>
      <w:r>
        <w:rPr>
          <w:rFonts w:ascii="Arial" w:hAnsi="Arial" w:cs="Arial"/>
          <w:b/>
          <w:lang w:val="es-CO"/>
        </w:rPr>
        <w:t>rágrafo 1°.</w:t>
      </w:r>
      <w:r>
        <w:rPr>
          <w:rFonts w:ascii="Arial" w:hAnsi="Arial" w:cs="Arial"/>
          <w:lang w:val="es-CO"/>
        </w:rPr>
        <w:t xml:space="preserve"> La Unidad Administrativa Especial Dirección de Impuestos y Aduanas Nacionales–DIAN determinará si la información suministrada frente a los pagos y retenciones efectuados conforme al presente decreto, releva total o parcialmente a los sujetos qu</w:t>
      </w:r>
      <w:r>
        <w:rPr>
          <w:rFonts w:ascii="Arial" w:hAnsi="Arial" w:cs="Arial"/>
          <w:lang w:val="es-CO"/>
        </w:rPr>
        <w:t>e tengan la obligación de informar sobre estos mismos aspectos conforme al artículo 631 del Estatuto Tributario u otras disposiciones del mismo ordenamiento.</w:t>
      </w:r>
    </w:p>
    <w:p w14:paraId="1F056D5B" w14:textId="77777777" w:rsidR="00B2442D" w:rsidRDefault="00B2442D">
      <w:pPr>
        <w:jc w:val="both"/>
        <w:rPr>
          <w:rFonts w:ascii="Arial" w:hAnsi="Arial" w:cs="Arial"/>
          <w:lang w:val="es-CO"/>
        </w:rPr>
      </w:pPr>
    </w:p>
    <w:p w14:paraId="2E410C0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información que debe ser entregada conforme a este artículo, deberá conservarse </w:t>
      </w:r>
      <w:r>
        <w:rPr>
          <w:rFonts w:ascii="Arial" w:hAnsi="Arial" w:cs="Arial"/>
          <w:lang w:val="es-CO"/>
        </w:rPr>
        <w:t>por quienes sean responsables de suministrarla a la Unidad Administrativa Especial Dirección de Impuestos y Aduanas Nacionales-DIAN, por el término legal, asegurando que se cumplan las condiciones señaladas en los artículos 12 y 13 de la Ley 527 de 1999.</w:t>
      </w:r>
    </w:p>
    <w:p w14:paraId="10764D4B" w14:textId="77777777" w:rsidR="00B2442D" w:rsidRDefault="00B2442D">
      <w:pPr>
        <w:jc w:val="both"/>
        <w:rPr>
          <w:rFonts w:ascii="Arial" w:hAnsi="Arial" w:cs="Arial"/>
          <w:lang w:val="es-CO"/>
        </w:rPr>
      </w:pPr>
    </w:p>
    <w:p w14:paraId="2580024D"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Unidad Administrativa Especial Dirección de Impuestos y Aduanas Nacionales- DIAN, en el término que establezca, facilitará a través de sus canales virtuales, a los agentes de retención y a los sujetos pasivos de la misma, la información de</w:t>
      </w:r>
      <w:r>
        <w:rPr>
          <w:rFonts w:ascii="Arial" w:hAnsi="Arial" w:cs="Arial"/>
          <w:lang w:val="es-CO"/>
        </w:rPr>
        <w:t xml:space="preserve"> las retenciones en la fuente efectuadas a través de las entidades financieras y suministrada por estas a la Unidad Administrativa Especial Dirección de Impuestos y Aduanas Nacionales– DIAN dentro de los términos establecidos en el presente artículo.</w:t>
      </w:r>
    </w:p>
    <w:p w14:paraId="3AE50576" w14:textId="77777777" w:rsidR="00B2442D" w:rsidRDefault="00B2442D">
      <w:pPr>
        <w:jc w:val="both"/>
        <w:rPr>
          <w:rFonts w:ascii="Arial" w:hAnsi="Arial" w:cs="Arial"/>
          <w:lang w:val="es-CO"/>
        </w:rPr>
      </w:pPr>
    </w:p>
    <w:p w14:paraId="7F0F5043"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8, Decreto 1159 de 2012)</w:t>
      </w:r>
    </w:p>
    <w:p w14:paraId="098716B9" w14:textId="77777777" w:rsidR="00B2442D" w:rsidRDefault="00B2442D">
      <w:pPr>
        <w:jc w:val="both"/>
        <w:rPr>
          <w:rFonts w:ascii="Arial" w:hAnsi="Arial" w:cs="Arial"/>
          <w:lang w:val="es-CO"/>
        </w:rPr>
      </w:pPr>
    </w:p>
    <w:p w14:paraId="1E7F7EC4"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Reserva de la información.</w:t>
      </w:r>
      <w:r>
        <w:rPr>
          <w:rFonts w:ascii="Arial" w:hAnsi="Arial" w:cs="Arial"/>
          <w:lang w:val="es-CO"/>
        </w:rPr>
        <w:t xml:space="preserve"> Las entidades financieras deberán guardar reserva de la información y demás datos de carácter tributario, y abstenerse de usarla para otros fines, atendiendo estrictamente las normas vigentes sobre la materia.</w:t>
      </w:r>
    </w:p>
    <w:p w14:paraId="1C2EEA97" w14:textId="77777777" w:rsidR="00B2442D" w:rsidRDefault="00B2442D">
      <w:pPr>
        <w:jc w:val="both"/>
        <w:rPr>
          <w:rFonts w:ascii="Arial" w:hAnsi="Arial" w:cs="Arial"/>
          <w:lang w:val="es-CO"/>
        </w:rPr>
      </w:pPr>
    </w:p>
    <w:p w14:paraId="4EEA5DF9" w14:textId="77777777" w:rsidR="00B2442D" w:rsidRDefault="008A645F">
      <w:pPr>
        <w:jc w:val="both"/>
        <w:rPr>
          <w:rFonts w:ascii="Arial" w:hAnsi="Arial" w:cs="Arial"/>
          <w:i/>
          <w:lang w:val="es-CO"/>
        </w:rPr>
      </w:pPr>
      <w:r>
        <w:rPr>
          <w:rFonts w:ascii="Arial" w:hAnsi="Arial" w:cs="Arial"/>
          <w:i/>
          <w:lang w:val="es-CO"/>
        </w:rPr>
        <w:t>(Art. 9, Decreto 1159 de 2012)</w:t>
      </w:r>
    </w:p>
    <w:p w14:paraId="1023FF5D" w14:textId="77777777" w:rsidR="00B2442D" w:rsidRDefault="00B2442D">
      <w:pPr>
        <w:jc w:val="both"/>
        <w:rPr>
          <w:rFonts w:ascii="Arial" w:hAnsi="Arial" w:cs="Arial"/>
          <w:lang w:val="es-CO"/>
        </w:rPr>
      </w:pPr>
    </w:p>
    <w:p w14:paraId="50084776"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 xml:space="preserve">Declaración </w:t>
      </w:r>
      <w:r>
        <w:rPr>
          <w:rFonts w:ascii="Arial" w:hAnsi="Arial" w:cs="Arial"/>
          <w:b/>
          <w:i/>
          <w:lang w:val="es-CO"/>
        </w:rPr>
        <w:t>de retenciones en la fuente.</w:t>
      </w:r>
      <w:r>
        <w:rPr>
          <w:rFonts w:ascii="Arial" w:hAnsi="Arial" w:cs="Arial"/>
          <w:lang w:val="es-CO"/>
        </w:rPr>
        <w:t xml:space="preserve"> Las retenciones en la fuente practicadas durante el período, a través de las entidades financieras, deben ser incluidas por el agente de retención en la respectiva declaración de retenciones en la fuente. Esta declaración debe </w:t>
      </w:r>
      <w:r>
        <w:rPr>
          <w:rFonts w:ascii="Arial" w:hAnsi="Arial" w:cs="Arial"/>
          <w:lang w:val="es-CO"/>
        </w:rPr>
        <w:t>ser presentada dentro de los plazos que señale el Gobierno Nacional y en la forma que señale la Unidad Administrativa Especial Dirección de Impuestos y Aduanas Nacionales- DIAN.</w:t>
      </w:r>
    </w:p>
    <w:p w14:paraId="68AA47F1" w14:textId="77777777" w:rsidR="00B2442D" w:rsidRDefault="00B2442D">
      <w:pPr>
        <w:jc w:val="both"/>
        <w:rPr>
          <w:rFonts w:ascii="Arial" w:hAnsi="Arial" w:cs="Arial"/>
          <w:lang w:val="es-CO"/>
        </w:rPr>
      </w:pPr>
    </w:p>
    <w:p w14:paraId="6796CCBA" w14:textId="77777777" w:rsidR="00B2442D" w:rsidRDefault="008A645F">
      <w:pPr>
        <w:jc w:val="both"/>
        <w:rPr>
          <w:rFonts w:ascii="Arial" w:hAnsi="Arial" w:cs="Arial"/>
          <w:lang w:val="es-CO"/>
        </w:rPr>
      </w:pPr>
      <w:r>
        <w:rPr>
          <w:rFonts w:ascii="Arial" w:hAnsi="Arial" w:cs="Arial"/>
          <w:lang w:val="es-CO"/>
        </w:rPr>
        <w:t>Para efectos de establecer el valor que se debe pagar con la declaración de r</w:t>
      </w:r>
      <w:r>
        <w:rPr>
          <w:rFonts w:ascii="Arial" w:hAnsi="Arial" w:cs="Arial"/>
          <w:lang w:val="es-CO"/>
        </w:rPr>
        <w:t>etenciones en la fuente, se debe tener en cuenta el valor de las retenciones practicadas a través de las entidades financieras, incluidas en la respectiva declaración, las cuales se entienden pagadas.</w:t>
      </w:r>
    </w:p>
    <w:p w14:paraId="1F38F628" w14:textId="77777777" w:rsidR="00B2442D" w:rsidRDefault="00B2442D">
      <w:pPr>
        <w:jc w:val="both"/>
        <w:rPr>
          <w:rFonts w:ascii="Arial" w:hAnsi="Arial" w:cs="Arial"/>
          <w:lang w:val="es-CO"/>
        </w:rPr>
      </w:pPr>
    </w:p>
    <w:p w14:paraId="6748164D" w14:textId="77777777" w:rsidR="00B2442D" w:rsidRDefault="008A645F">
      <w:pPr>
        <w:jc w:val="both"/>
        <w:rPr>
          <w:rFonts w:ascii="Arial" w:hAnsi="Arial" w:cs="Arial"/>
          <w:lang w:val="es-CO"/>
        </w:rPr>
      </w:pPr>
      <w:r>
        <w:rPr>
          <w:rFonts w:ascii="Arial" w:hAnsi="Arial" w:cs="Arial"/>
          <w:lang w:val="es-CO"/>
        </w:rPr>
        <w:t>Lo anterior, sin perjuicio de las verificaciones que p</w:t>
      </w:r>
      <w:r>
        <w:rPr>
          <w:rFonts w:ascii="Arial" w:hAnsi="Arial" w:cs="Arial"/>
          <w:lang w:val="es-CO"/>
        </w:rPr>
        <w:t>uede adelantar la Unidad Administrativa Especial Dirección de Impuestos y Aduanas Nacionales- DIAN, así como de la obligación de las entidades financieras de consignar las retenciones practicadas dentro de la oportunidad y pagar los intereses moratorios cu</w:t>
      </w:r>
      <w:r>
        <w:rPr>
          <w:rFonts w:ascii="Arial" w:hAnsi="Arial" w:cs="Arial"/>
          <w:lang w:val="es-CO"/>
        </w:rPr>
        <w:t>ando haya lugar.</w:t>
      </w:r>
    </w:p>
    <w:p w14:paraId="538C6389" w14:textId="77777777" w:rsidR="00B2442D" w:rsidRDefault="00B2442D">
      <w:pPr>
        <w:jc w:val="both"/>
        <w:rPr>
          <w:rFonts w:ascii="Arial" w:hAnsi="Arial" w:cs="Arial"/>
          <w:lang w:val="es-CO"/>
        </w:rPr>
      </w:pPr>
    </w:p>
    <w:p w14:paraId="4BD35742" w14:textId="77777777" w:rsidR="00B2442D" w:rsidRDefault="008A645F">
      <w:pPr>
        <w:jc w:val="both"/>
        <w:rPr>
          <w:rFonts w:ascii="Arial" w:hAnsi="Arial" w:cs="Arial"/>
          <w:i/>
          <w:lang w:val="es-CO"/>
        </w:rPr>
      </w:pPr>
      <w:r>
        <w:rPr>
          <w:rFonts w:ascii="Arial" w:hAnsi="Arial" w:cs="Arial"/>
          <w:i/>
          <w:lang w:val="es-CO"/>
        </w:rPr>
        <w:t>(Art. 10, Decreto 1159 de 2012)</w:t>
      </w:r>
    </w:p>
    <w:p w14:paraId="05C76CAD" w14:textId="77777777" w:rsidR="00B2442D" w:rsidRDefault="00B2442D">
      <w:pPr>
        <w:jc w:val="both"/>
        <w:rPr>
          <w:rFonts w:ascii="Arial" w:hAnsi="Arial" w:cs="Arial"/>
          <w:lang w:val="es-CO"/>
        </w:rPr>
      </w:pPr>
    </w:p>
    <w:p w14:paraId="4EA0D953"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Procedimiento en caso de rescisiones, anulaciones o resoluciones de operaciones sometidas a retención en el ámbito de los artículos 1.2.4.20 al 1.2.4.23, 1.2.4.25 al 1.2.4.33 y 1.2.4.36 del presente Decret</w:t>
      </w:r>
      <w:r>
        <w:rPr>
          <w:rFonts w:ascii="Arial" w:hAnsi="Arial" w:cs="Arial"/>
          <w:b/>
          <w:i/>
          <w:lang w:val="es-CO"/>
        </w:rPr>
        <w:t>o.</w:t>
      </w:r>
      <w:r>
        <w:rPr>
          <w:rFonts w:ascii="Arial" w:hAnsi="Arial" w:cs="Arial"/>
          <w:lang w:val="es-CO"/>
        </w:rPr>
        <w:t xml:space="preserve"> Cuando se anulen, rescindan o resuelvan operaciones que hayan sido sometidas a retención en la fuente por impuestos sobre la renta o sobre las ventas, a través de las entidades financieras, el agente de retención podrá en el período en el cual se hayan </w:t>
      </w:r>
      <w:r>
        <w:rPr>
          <w:rFonts w:ascii="Arial" w:hAnsi="Arial" w:cs="Arial"/>
          <w:lang w:val="es-CO"/>
        </w:rPr>
        <w:t>rescindido, anulado o resuelto las mismas, practicar directamente retenciones en el momento del pago, sin canalizar los pagos por conceptos sujetos a retención a través de las cuentas indicadas a las entidades financieras, hasta completar el monto de las r</w:t>
      </w:r>
      <w:r>
        <w:rPr>
          <w:rFonts w:ascii="Arial" w:hAnsi="Arial" w:cs="Arial"/>
          <w:lang w:val="es-CO"/>
        </w:rPr>
        <w:t>etenciones correspondientes a dichas operaciones, descontando las retenciones así practicadas de las retenciones por declarar y pagar.</w:t>
      </w:r>
    </w:p>
    <w:p w14:paraId="0BBE3300" w14:textId="77777777" w:rsidR="00B2442D" w:rsidRDefault="00B2442D">
      <w:pPr>
        <w:jc w:val="both"/>
        <w:rPr>
          <w:rFonts w:ascii="Arial" w:hAnsi="Arial" w:cs="Arial"/>
          <w:lang w:val="es-CO"/>
        </w:rPr>
      </w:pPr>
    </w:p>
    <w:p w14:paraId="1AB7456B" w14:textId="77777777" w:rsidR="00B2442D" w:rsidRDefault="008A645F">
      <w:pPr>
        <w:jc w:val="both"/>
        <w:rPr>
          <w:rFonts w:ascii="Arial" w:hAnsi="Arial" w:cs="Arial"/>
          <w:lang w:val="es-CO"/>
        </w:rPr>
      </w:pPr>
      <w:r>
        <w:rPr>
          <w:rFonts w:ascii="Arial" w:hAnsi="Arial" w:cs="Arial"/>
          <w:lang w:val="es-CO"/>
        </w:rPr>
        <w:t>Este procedimiento podrá aplicarse, de ser necesario, en los períodos inmediatamente siguientes.</w:t>
      </w:r>
    </w:p>
    <w:p w14:paraId="03EED91D" w14:textId="77777777" w:rsidR="00B2442D" w:rsidRDefault="00B2442D">
      <w:pPr>
        <w:jc w:val="both"/>
        <w:rPr>
          <w:rFonts w:ascii="Arial" w:hAnsi="Arial" w:cs="Arial"/>
          <w:lang w:val="es-CO"/>
        </w:rPr>
      </w:pPr>
    </w:p>
    <w:p w14:paraId="7D0BECB2" w14:textId="77777777" w:rsidR="00B2442D" w:rsidRDefault="008A645F">
      <w:pPr>
        <w:jc w:val="both"/>
        <w:rPr>
          <w:rFonts w:ascii="Arial" w:hAnsi="Arial" w:cs="Arial"/>
          <w:lang w:val="es-CO"/>
        </w:rPr>
      </w:pPr>
      <w:r>
        <w:rPr>
          <w:rFonts w:ascii="Arial" w:hAnsi="Arial" w:cs="Arial"/>
          <w:lang w:val="es-CO"/>
        </w:rPr>
        <w:t>Para que tenga lugar e</w:t>
      </w:r>
      <w:r>
        <w:rPr>
          <w:rFonts w:ascii="Arial" w:hAnsi="Arial" w:cs="Arial"/>
          <w:lang w:val="es-CO"/>
        </w:rPr>
        <w:t>l procedimiento indicado en el presente artículo, el agente de retención deberá incluir a título informativo en la declaración de retenciones en la fuente del período en el cual se hayan presentado operaciones anuladas, rescindidas o resueltas, el valor de</w:t>
      </w:r>
      <w:r>
        <w:rPr>
          <w:rFonts w:ascii="Arial" w:hAnsi="Arial" w:cs="Arial"/>
          <w:lang w:val="es-CO"/>
        </w:rPr>
        <w:t xml:space="preserve"> las retenciones practicadas en forma directa a título de renta y/o IVA. Así mismo, deberá informar con la declaración de retenciones del período que se está declarando, los comprobantes a los que corresponden las retenciones por operaciones anuladas, resc</w:t>
      </w:r>
      <w:r>
        <w:rPr>
          <w:rFonts w:ascii="Arial" w:hAnsi="Arial" w:cs="Arial"/>
          <w:lang w:val="es-CO"/>
        </w:rPr>
        <w:t>indidas o resueltas, indicando el número de comprobante y el valor parcial o total de las retenciones a título de renta y/o ventas correspondiente a dichas operaciones.</w:t>
      </w:r>
    </w:p>
    <w:p w14:paraId="4D846D96" w14:textId="77777777" w:rsidR="00B2442D" w:rsidRDefault="00B2442D">
      <w:pPr>
        <w:jc w:val="both"/>
        <w:rPr>
          <w:rFonts w:ascii="Arial" w:hAnsi="Arial" w:cs="Arial"/>
          <w:lang w:val="es-CO"/>
        </w:rPr>
      </w:pPr>
    </w:p>
    <w:p w14:paraId="6C6CF652" w14:textId="77777777" w:rsidR="00B2442D" w:rsidRDefault="008A645F">
      <w:pPr>
        <w:jc w:val="both"/>
        <w:rPr>
          <w:rFonts w:ascii="Arial" w:hAnsi="Arial" w:cs="Arial"/>
          <w:lang w:val="es-CO"/>
        </w:rPr>
      </w:pPr>
      <w:r>
        <w:rPr>
          <w:rFonts w:ascii="Arial" w:hAnsi="Arial" w:cs="Arial"/>
          <w:lang w:val="es-CO"/>
        </w:rPr>
        <w:t>Para efectos de lo dispuesto en este artículo, el retenido deberá manifestarle por esc</w:t>
      </w:r>
      <w:r>
        <w:rPr>
          <w:rFonts w:ascii="Arial" w:hAnsi="Arial" w:cs="Arial"/>
          <w:lang w:val="es-CO"/>
        </w:rPr>
        <w:t>rito al agente de retención que los valores retenidos en las condiciones aquí previstas no fueron ni serán imputados en la declaración del impuesto sobre la renta o ventas, según el caso. El documento respectivo deberá ser conservado por el agente de reten</w:t>
      </w:r>
      <w:r>
        <w:rPr>
          <w:rFonts w:ascii="Arial" w:hAnsi="Arial" w:cs="Arial"/>
          <w:lang w:val="es-CO"/>
        </w:rPr>
        <w:t>ción.</w:t>
      </w:r>
    </w:p>
    <w:p w14:paraId="2B329809" w14:textId="77777777" w:rsidR="00B2442D" w:rsidRDefault="00B2442D">
      <w:pPr>
        <w:jc w:val="both"/>
        <w:rPr>
          <w:rFonts w:ascii="Arial" w:hAnsi="Arial" w:cs="Arial"/>
          <w:lang w:val="es-CO"/>
        </w:rPr>
      </w:pPr>
    </w:p>
    <w:p w14:paraId="4EFF48A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se trate de retenciones en la fuente por el concepto salarios, el agente de retención deberá anular el certificado de retención del impuesto que corresponda y expedir uno nuevo sobre la parte sometida a retención, si fuera el ca</w:t>
      </w:r>
      <w:r>
        <w:rPr>
          <w:rFonts w:ascii="Arial" w:hAnsi="Arial" w:cs="Arial"/>
          <w:lang w:val="es-CO"/>
        </w:rPr>
        <w:t>so.</w:t>
      </w:r>
    </w:p>
    <w:p w14:paraId="32929E56" w14:textId="77777777" w:rsidR="00B2442D" w:rsidRDefault="00B2442D">
      <w:pPr>
        <w:jc w:val="both"/>
        <w:rPr>
          <w:rFonts w:ascii="Arial" w:hAnsi="Arial" w:cs="Arial"/>
          <w:lang w:val="es-CO"/>
        </w:rPr>
      </w:pPr>
    </w:p>
    <w:p w14:paraId="3DD10C27"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El agente de retención deberá expedir los certificados de retenciones practicadas directamente en virtud de este artículo.</w:t>
      </w:r>
    </w:p>
    <w:p w14:paraId="17CC15E1" w14:textId="77777777" w:rsidR="00B2442D" w:rsidRDefault="00B2442D">
      <w:pPr>
        <w:jc w:val="both"/>
        <w:rPr>
          <w:rFonts w:ascii="Arial" w:hAnsi="Arial" w:cs="Arial"/>
          <w:lang w:val="es-CO"/>
        </w:rPr>
      </w:pPr>
    </w:p>
    <w:p w14:paraId="0B7006D3"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Unidad Administrativa Especial Dirección de Impuestos y Aduanas Nacionales- DIAN, dentro del tér</w:t>
      </w:r>
      <w:r>
        <w:rPr>
          <w:rFonts w:ascii="Arial" w:hAnsi="Arial" w:cs="Arial"/>
          <w:lang w:val="es-CO"/>
        </w:rPr>
        <w:t>mino que establezca, pondrá a disposición del sujeto pasivo de la retención, a través de sus canales virtuales, la información de los comprobantes de retención afectados por operaciones anuladas, rescindidas o resueltas.</w:t>
      </w:r>
    </w:p>
    <w:p w14:paraId="63C274F6" w14:textId="77777777" w:rsidR="00B2442D" w:rsidRDefault="00B2442D">
      <w:pPr>
        <w:jc w:val="both"/>
        <w:rPr>
          <w:rFonts w:ascii="Arial" w:hAnsi="Arial" w:cs="Arial"/>
          <w:lang w:val="es-CO"/>
        </w:rPr>
      </w:pPr>
    </w:p>
    <w:p w14:paraId="360DF6EE" w14:textId="77777777" w:rsidR="00B2442D" w:rsidRDefault="008A645F">
      <w:pPr>
        <w:jc w:val="both"/>
        <w:rPr>
          <w:rFonts w:ascii="Arial" w:hAnsi="Arial" w:cs="Arial"/>
          <w:i/>
          <w:lang w:val="es-CO"/>
        </w:rPr>
      </w:pPr>
      <w:r>
        <w:rPr>
          <w:rFonts w:ascii="Arial" w:hAnsi="Arial" w:cs="Arial"/>
          <w:i/>
          <w:lang w:val="es-CO"/>
        </w:rPr>
        <w:t xml:space="preserve">(Art. 11, Decreto 1159 de </w:t>
      </w:r>
      <w:r>
        <w:rPr>
          <w:rFonts w:ascii="Arial" w:hAnsi="Arial" w:cs="Arial"/>
          <w:i/>
          <w:lang w:val="es-CO"/>
        </w:rPr>
        <w:t>2012)</w:t>
      </w:r>
    </w:p>
    <w:p w14:paraId="50C6E213" w14:textId="77777777" w:rsidR="00B2442D" w:rsidRDefault="00B2442D">
      <w:pPr>
        <w:jc w:val="both"/>
        <w:rPr>
          <w:rFonts w:ascii="Arial" w:hAnsi="Arial" w:cs="Arial"/>
          <w:lang w:val="es-CO"/>
        </w:rPr>
      </w:pPr>
    </w:p>
    <w:p w14:paraId="78DBD608"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Procedimiento de reintegro en caso de retenciones practicadas en exceso o indebidamente en el ámbito de los artículos 1.2.4.20 al 1.2.4.23, 1.2.4.25 al 1.2.4.33 y 1.2.4.36 del presente Decreto.</w:t>
      </w:r>
      <w:r>
        <w:rPr>
          <w:rFonts w:ascii="Arial" w:hAnsi="Arial" w:cs="Arial"/>
          <w:lang w:val="es-CO"/>
        </w:rPr>
        <w:t xml:space="preserve"> Cuando el agente de retención haya efectuado a través d</w:t>
      </w:r>
      <w:r>
        <w:rPr>
          <w:rFonts w:ascii="Arial" w:hAnsi="Arial" w:cs="Arial"/>
          <w:lang w:val="es-CO"/>
        </w:rPr>
        <w:t>e las entidades financieras, retenciones a título de renta y/o ventas en un valor superior al que ha debido efectuarse, el agente de retención podrá reintegrar los valores retenidos en exceso o indebidamente, previa solicitud escrita del afectado con la re</w:t>
      </w:r>
      <w:r>
        <w:rPr>
          <w:rFonts w:ascii="Arial" w:hAnsi="Arial" w:cs="Arial"/>
          <w:lang w:val="es-CO"/>
        </w:rPr>
        <w:t>tención, acompañada de las pruebas cuando a ello hubiere lugar.</w:t>
      </w:r>
    </w:p>
    <w:p w14:paraId="24AED6A9" w14:textId="77777777" w:rsidR="00B2442D" w:rsidRDefault="00B2442D">
      <w:pPr>
        <w:jc w:val="both"/>
        <w:rPr>
          <w:rFonts w:ascii="Arial" w:hAnsi="Arial" w:cs="Arial"/>
          <w:lang w:val="es-CO"/>
        </w:rPr>
      </w:pPr>
    </w:p>
    <w:p w14:paraId="626DDEA5" w14:textId="77777777" w:rsidR="00B2442D" w:rsidRDefault="008A645F">
      <w:pPr>
        <w:jc w:val="both"/>
        <w:rPr>
          <w:rFonts w:ascii="Arial" w:hAnsi="Arial" w:cs="Arial"/>
          <w:lang w:val="es-CO"/>
        </w:rPr>
      </w:pPr>
      <w:r>
        <w:rPr>
          <w:rFonts w:ascii="Arial" w:hAnsi="Arial" w:cs="Arial"/>
          <w:lang w:val="es-CO"/>
        </w:rPr>
        <w:t>En el mismo período en el cual el agente de retención efectúe el respectivo reintegro, podrá practicar directamente retenciones en el momento del pago, sin canalizar los pagos por conceptos s</w:t>
      </w:r>
      <w:r>
        <w:rPr>
          <w:rFonts w:ascii="Arial" w:hAnsi="Arial" w:cs="Arial"/>
          <w:lang w:val="es-CO"/>
        </w:rPr>
        <w:t>ujetos a retención a través de las cuentas indicadas a las entidades financieras, hasta completar el monto de las retenciones efectuadas en exceso o indebidamente, descontando las retenciones así practicadas de las retenciones por declarar y pagar. Este pr</w:t>
      </w:r>
      <w:r>
        <w:rPr>
          <w:rFonts w:ascii="Arial" w:hAnsi="Arial" w:cs="Arial"/>
          <w:lang w:val="es-CO"/>
        </w:rPr>
        <w:t>ocedimiento podrá aplicarse, de ser necesario, en los períodos inmediatamente siguientes.</w:t>
      </w:r>
    </w:p>
    <w:p w14:paraId="2C034432" w14:textId="77777777" w:rsidR="00B2442D" w:rsidRDefault="00B2442D">
      <w:pPr>
        <w:jc w:val="both"/>
        <w:rPr>
          <w:rFonts w:ascii="Arial" w:hAnsi="Arial" w:cs="Arial"/>
          <w:lang w:val="es-CO"/>
        </w:rPr>
      </w:pPr>
    </w:p>
    <w:p w14:paraId="145C0D5B" w14:textId="77777777" w:rsidR="00B2442D" w:rsidRDefault="008A645F">
      <w:pPr>
        <w:jc w:val="both"/>
        <w:rPr>
          <w:rFonts w:ascii="Arial" w:hAnsi="Arial" w:cs="Arial"/>
          <w:lang w:val="es-CO"/>
        </w:rPr>
      </w:pPr>
      <w:r>
        <w:rPr>
          <w:rFonts w:ascii="Arial" w:hAnsi="Arial" w:cs="Arial"/>
          <w:lang w:val="es-CO"/>
        </w:rPr>
        <w:t>Para que tenga lugar el procedimiento indicado en el presente artículo, el agente de retención deberá incluir a título informativo en la declaración de retenciones e</w:t>
      </w:r>
      <w:r>
        <w:rPr>
          <w:rFonts w:ascii="Arial" w:hAnsi="Arial" w:cs="Arial"/>
          <w:lang w:val="es-CO"/>
        </w:rPr>
        <w:t>n la fuente del período en el cual se efectúe el reintegro de las retenciones que se hayan practicado en exceso o indebidamente, el valor de las retenciones practicadas en forma directa a título de renta y/o IVA.</w:t>
      </w:r>
    </w:p>
    <w:p w14:paraId="2A7911B5" w14:textId="77777777" w:rsidR="00B2442D" w:rsidRDefault="00B2442D">
      <w:pPr>
        <w:jc w:val="both"/>
        <w:rPr>
          <w:rFonts w:ascii="Arial" w:hAnsi="Arial" w:cs="Arial"/>
          <w:lang w:val="es-CO"/>
        </w:rPr>
      </w:pPr>
    </w:p>
    <w:p w14:paraId="01A928B2" w14:textId="77777777" w:rsidR="00B2442D" w:rsidRDefault="008A645F">
      <w:pPr>
        <w:jc w:val="both"/>
        <w:rPr>
          <w:rFonts w:ascii="Arial" w:hAnsi="Arial" w:cs="Arial"/>
          <w:lang w:val="es-CO"/>
        </w:rPr>
      </w:pPr>
      <w:r>
        <w:rPr>
          <w:rFonts w:ascii="Arial" w:hAnsi="Arial" w:cs="Arial"/>
          <w:lang w:val="es-CO"/>
        </w:rPr>
        <w:t>Así mismo, deberá informar con la declarac</w:t>
      </w:r>
      <w:r>
        <w:rPr>
          <w:rFonts w:ascii="Arial" w:hAnsi="Arial" w:cs="Arial"/>
          <w:lang w:val="es-CO"/>
        </w:rPr>
        <w:t>ión de retenciones del período que se está declarando, los comprobantes a los que corresponden las retenciones practicadas en exceso o indebidamente, indicando el número de comprobante y el valor parcial o total de las retenciones a título de renta y/o ven</w:t>
      </w:r>
      <w:r>
        <w:rPr>
          <w:rFonts w:ascii="Arial" w:hAnsi="Arial" w:cs="Arial"/>
          <w:lang w:val="es-CO"/>
        </w:rPr>
        <w:t>tas practicado en exceso o indebidamente.</w:t>
      </w:r>
    </w:p>
    <w:p w14:paraId="518AE345" w14:textId="77777777" w:rsidR="00B2442D" w:rsidRDefault="00B2442D">
      <w:pPr>
        <w:jc w:val="both"/>
        <w:rPr>
          <w:rFonts w:ascii="Arial" w:hAnsi="Arial" w:cs="Arial"/>
          <w:lang w:val="es-CO"/>
        </w:rPr>
      </w:pPr>
    </w:p>
    <w:p w14:paraId="583DA728" w14:textId="77777777" w:rsidR="00B2442D" w:rsidRDefault="008A645F">
      <w:pPr>
        <w:jc w:val="both"/>
        <w:rPr>
          <w:rFonts w:ascii="Arial" w:hAnsi="Arial" w:cs="Arial"/>
          <w:lang w:val="es-CO"/>
        </w:rPr>
      </w:pPr>
      <w:r>
        <w:rPr>
          <w:rFonts w:ascii="Arial" w:hAnsi="Arial" w:cs="Arial"/>
          <w:lang w:val="es-CO"/>
        </w:rPr>
        <w:t>Para efectos de lo previsto en este artículo, el retenido deberá manifestarle por escrito al agente de retención que los valores retenidos en las condiciones aquí previstas no fueron ni serán imputados en la decla</w:t>
      </w:r>
      <w:r>
        <w:rPr>
          <w:rFonts w:ascii="Arial" w:hAnsi="Arial" w:cs="Arial"/>
          <w:lang w:val="es-CO"/>
        </w:rPr>
        <w:t>ración del impuesto sobre la renta o ventas, según el caso. El documento respectivo deberá ser conservado por el agente de retención.</w:t>
      </w:r>
    </w:p>
    <w:p w14:paraId="50428DB6" w14:textId="77777777" w:rsidR="00B2442D" w:rsidRDefault="00B2442D">
      <w:pPr>
        <w:jc w:val="both"/>
        <w:rPr>
          <w:rFonts w:ascii="Arial" w:hAnsi="Arial" w:cs="Arial"/>
          <w:lang w:val="es-CO"/>
        </w:rPr>
      </w:pPr>
    </w:p>
    <w:p w14:paraId="2443535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se trate de retenciones en la fuente por el concepto salarios, el agente de retención deberá anular el certificado de retención del impuesto que corresponda y expedir uno nuevo sobre la parte sometida a retención, si fuera el caso.</w:t>
      </w:r>
    </w:p>
    <w:p w14:paraId="45E0EA60" w14:textId="77777777" w:rsidR="00B2442D" w:rsidRDefault="00B2442D">
      <w:pPr>
        <w:jc w:val="both"/>
        <w:rPr>
          <w:rFonts w:ascii="Arial" w:hAnsi="Arial" w:cs="Arial"/>
          <w:b/>
          <w:lang w:val="es-CO"/>
        </w:rPr>
      </w:pPr>
    </w:p>
    <w:p w14:paraId="608C4070"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w:t>
      </w:r>
      <w:r>
        <w:rPr>
          <w:rFonts w:ascii="Arial" w:hAnsi="Arial" w:cs="Arial"/>
          <w:lang w:val="es-CO"/>
        </w:rPr>
        <w:t>l agente de retención deberá expedir los certificados de retenciones practicadas directamente en virtud de este artículo.</w:t>
      </w:r>
    </w:p>
    <w:p w14:paraId="7F90E12D" w14:textId="77777777" w:rsidR="00B2442D" w:rsidRDefault="00B2442D">
      <w:pPr>
        <w:jc w:val="both"/>
        <w:rPr>
          <w:rFonts w:ascii="Arial" w:hAnsi="Arial" w:cs="Arial"/>
          <w:lang w:val="es-CO"/>
        </w:rPr>
      </w:pPr>
    </w:p>
    <w:p w14:paraId="741B690A"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Unidad Administrativa Especial Dirección de Impuestos y Aduanas Nacionales- DIAN, dentro del término que establezca,</w:t>
      </w:r>
      <w:r>
        <w:rPr>
          <w:rFonts w:ascii="Arial" w:hAnsi="Arial" w:cs="Arial"/>
          <w:lang w:val="es-CO"/>
        </w:rPr>
        <w:t xml:space="preserve"> pondrá a disposición del sujeto pasivo de la retención, a través de sus canales virtuales, la información de los comprobantes de retención afectados por retenciones practicadas en exceso o indebidamente.</w:t>
      </w:r>
    </w:p>
    <w:p w14:paraId="5A99A1D6" w14:textId="77777777" w:rsidR="00B2442D" w:rsidRDefault="00B2442D">
      <w:pPr>
        <w:jc w:val="both"/>
        <w:rPr>
          <w:rFonts w:ascii="Arial" w:hAnsi="Arial" w:cs="Arial"/>
          <w:lang w:val="es-CO"/>
        </w:rPr>
      </w:pPr>
    </w:p>
    <w:p w14:paraId="52E27CA9" w14:textId="77777777" w:rsidR="00B2442D" w:rsidRDefault="008A645F">
      <w:pPr>
        <w:jc w:val="both"/>
        <w:rPr>
          <w:rFonts w:ascii="Arial" w:hAnsi="Arial" w:cs="Arial"/>
          <w:i/>
          <w:lang w:val="es-CO"/>
        </w:rPr>
      </w:pPr>
      <w:r>
        <w:rPr>
          <w:rFonts w:ascii="Arial" w:hAnsi="Arial" w:cs="Arial"/>
          <w:i/>
          <w:lang w:val="es-CO"/>
        </w:rPr>
        <w:t>(Art. 12, Decreto 1159 de 2012)</w:t>
      </w:r>
    </w:p>
    <w:p w14:paraId="55D54B24" w14:textId="77777777" w:rsidR="00B2442D" w:rsidRDefault="00B2442D">
      <w:pPr>
        <w:jc w:val="both"/>
        <w:rPr>
          <w:rFonts w:ascii="Arial" w:hAnsi="Arial" w:cs="Arial"/>
          <w:lang w:val="es-CO"/>
        </w:rPr>
      </w:pPr>
    </w:p>
    <w:p w14:paraId="72B0858F"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Transitorio.</w:t>
      </w:r>
      <w:r>
        <w:rPr>
          <w:rFonts w:ascii="Arial" w:hAnsi="Arial" w:cs="Arial"/>
          <w:lang w:val="es-CO"/>
        </w:rPr>
        <w:t xml:space="preserve"> Dent</w:t>
      </w:r>
      <w:r>
        <w:rPr>
          <w:rFonts w:ascii="Arial" w:hAnsi="Arial" w:cs="Arial"/>
          <w:lang w:val="es-CO"/>
        </w:rPr>
        <w:t>ro del año siguiente a la expedición del Decreto 1159 de 2012 deberán surtirse las adecuaciones procedimentales y técnicas que se requieran por parte de la Unidad Administrativa Especial Dirección de Impuestos y Aduanas Nacionales-DIAN, las entidades finan</w:t>
      </w:r>
      <w:r>
        <w:rPr>
          <w:rFonts w:ascii="Arial" w:hAnsi="Arial" w:cs="Arial"/>
          <w:lang w:val="es-CO"/>
        </w:rPr>
        <w:t>cieras y la Dirección General de Crédito Público y Tesoro Nacional, para dar cumplimiento al presente Decreto (Decreto 1159 de 2012).</w:t>
      </w:r>
    </w:p>
    <w:p w14:paraId="7900A4D9" w14:textId="77777777" w:rsidR="00B2442D" w:rsidRDefault="00B2442D">
      <w:pPr>
        <w:jc w:val="both"/>
        <w:rPr>
          <w:rFonts w:ascii="Arial" w:hAnsi="Arial" w:cs="Arial"/>
          <w:lang w:val="es-CO"/>
        </w:rPr>
      </w:pPr>
    </w:p>
    <w:p w14:paraId="28C11A3C" w14:textId="77777777" w:rsidR="00B2442D" w:rsidRDefault="008A645F">
      <w:pPr>
        <w:jc w:val="both"/>
        <w:rPr>
          <w:rFonts w:ascii="Arial" w:hAnsi="Arial" w:cs="Arial"/>
          <w:b/>
          <w:lang w:val="es-CO"/>
        </w:rPr>
      </w:pPr>
      <w:r>
        <w:rPr>
          <w:rFonts w:ascii="Arial" w:hAnsi="Arial" w:cs="Arial"/>
          <w:lang w:val="es-CO"/>
        </w:rPr>
        <w:t>Sin perjuicio de lo anterior, la Unidad Administrativa Especial Dirección de Impuestos y Aduanas Nacionales–DIAN deberá e</w:t>
      </w:r>
      <w:r>
        <w:rPr>
          <w:rFonts w:ascii="Arial" w:hAnsi="Arial" w:cs="Arial"/>
          <w:lang w:val="es-CO"/>
        </w:rPr>
        <w:t>xpedir la resolución de que trata el artículo 1.2.4.28 de este Decreto, dentro de los tres (3) meses siguientes al 01 de junio de 2017 (D. O. 49166).</w:t>
      </w:r>
    </w:p>
    <w:p w14:paraId="13183DF3" w14:textId="77777777" w:rsidR="00B2442D" w:rsidRDefault="00B2442D">
      <w:pPr>
        <w:jc w:val="both"/>
        <w:rPr>
          <w:rFonts w:ascii="Arial" w:hAnsi="Arial" w:cs="Arial"/>
          <w:b/>
          <w:lang w:val="es-CO"/>
        </w:rPr>
      </w:pPr>
    </w:p>
    <w:p w14:paraId="240D5810" w14:textId="77777777" w:rsidR="00B2442D" w:rsidRDefault="008A645F">
      <w:pPr>
        <w:jc w:val="both"/>
        <w:rPr>
          <w:rFonts w:ascii="Arial" w:hAnsi="Arial" w:cs="Arial"/>
          <w:i/>
          <w:lang w:val="es-CO"/>
        </w:rPr>
      </w:pPr>
      <w:r>
        <w:rPr>
          <w:rFonts w:ascii="Arial" w:hAnsi="Arial" w:cs="Arial"/>
          <w:i/>
          <w:lang w:val="es-CO"/>
        </w:rPr>
        <w:t>(Art. 13, Decreto 1159 de 2012, plazo prorrogado mediante Decretos 1101 de 2013 y Decreto 1020 de 2014)</w:t>
      </w:r>
    </w:p>
    <w:p w14:paraId="2EF82DEA" w14:textId="77777777" w:rsidR="00B2442D" w:rsidRDefault="00B2442D">
      <w:pPr>
        <w:jc w:val="both"/>
        <w:rPr>
          <w:rFonts w:ascii="Arial" w:hAnsi="Arial" w:cs="Arial"/>
          <w:lang w:val="es-CO"/>
        </w:rPr>
      </w:pPr>
    </w:p>
    <w:p w14:paraId="02062428"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Prórroga.</w:t>
      </w:r>
      <w:r>
        <w:rPr>
          <w:rFonts w:ascii="Arial" w:hAnsi="Arial" w:cs="Arial"/>
          <w:lang w:val="es-CO"/>
        </w:rPr>
        <w:t xml:space="preserve"> Prorrogar hasta el día primero (1°) de junio del año 2014, el plazo a que se refiere el inciso primero del artículo 1.2.4.33 de este Decreto para efectuar las adecuaciones procedimentales y técnicas que se requieran por parte de la Unidad Adminis</w:t>
      </w:r>
      <w:r>
        <w:rPr>
          <w:rFonts w:ascii="Arial" w:hAnsi="Arial" w:cs="Arial"/>
          <w:lang w:val="es-CO"/>
        </w:rPr>
        <w:t xml:space="preserve">trativa Especial Dirección de Impuestos y Aduanas Nacionales– DIAN, las entidades financieras y la Dirección General de Crédito Público y Tesoro Nacional, para dar cumplimiento a las disposiciones del citado decreto. </w:t>
      </w:r>
    </w:p>
    <w:p w14:paraId="40A5C436" w14:textId="77777777" w:rsidR="00B2442D" w:rsidRDefault="00B2442D">
      <w:pPr>
        <w:jc w:val="both"/>
        <w:rPr>
          <w:rFonts w:ascii="Arial" w:hAnsi="Arial" w:cs="Arial"/>
          <w:lang w:val="es-CO"/>
        </w:rPr>
      </w:pPr>
    </w:p>
    <w:p w14:paraId="32650F81" w14:textId="77777777" w:rsidR="00B2442D" w:rsidRDefault="008A645F">
      <w:pPr>
        <w:jc w:val="both"/>
        <w:rPr>
          <w:rFonts w:ascii="Arial" w:hAnsi="Arial" w:cs="Arial"/>
          <w:i/>
          <w:lang w:val="es-CO"/>
        </w:rPr>
      </w:pPr>
      <w:r>
        <w:rPr>
          <w:rFonts w:ascii="Arial" w:hAnsi="Arial" w:cs="Arial"/>
          <w:i/>
          <w:lang w:val="es-CO"/>
        </w:rPr>
        <w:t xml:space="preserve">(Art. 1, Decreto 1101 de 2013, </w:t>
      </w:r>
      <w:r>
        <w:rPr>
          <w:rFonts w:ascii="Arial" w:hAnsi="Arial" w:cs="Arial"/>
          <w:i/>
          <w:lang w:val="es-CO"/>
        </w:rPr>
        <w:t>plazo prorrogado mediante Decreto 1020 de 2014)</w:t>
      </w:r>
    </w:p>
    <w:p w14:paraId="6A10A812" w14:textId="77777777" w:rsidR="00B2442D" w:rsidRDefault="00B2442D">
      <w:pPr>
        <w:jc w:val="both"/>
        <w:rPr>
          <w:rFonts w:ascii="Arial" w:hAnsi="Arial" w:cs="Arial"/>
          <w:b/>
          <w:lang w:val="es-CO"/>
        </w:rPr>
      </w:pPr>
    </w:p>
    <w:p w14:paraId="1C0C9D13"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Entrada en vigencia de los artículos 1.2.4.20 al 1.2.4.23, 1.2.4.25 al 1.2.4.33 y 1.2.4.36.</w:t>
      </w:r>
      <w:r>
        <w:rPr>
          <w:rFonts w:ascii="Arial" w:hAnsi="Arial" w:cs="Arial"/>
          <w:b/>
          <w:lang w:val="es-CO"/>
        </w:rPr>
        <w:t xml:space="preserve"> </w:t>
      </w:r>
      <w:r>
        <w:rPr>
          <w:rFonts w:ascii="Arial" w:hAnsi="Arial" w:cs="Arial"/>
          <w:lang w:val="es-CO"/>
        </w:rPr>
        <w:t>Aplácese la entrada en vigencia de los artículos 1.2.4.20 al 1.2.4.23, 1.2.4.25 al 1.2.4.33 y 1.2.4.36, modificados</w:t>
      </w:r>
      <w:r>
        <w:rPr>
          <w:rFonts w:ascii="Arial" w:hAnsi="Arial" w:cs="Arial"/>
          <w:lang w:val="es-CO"/>
        </w:rPr>
        <w:t xml:space="preserve"> por el Decreto 1101 de 2013, hasta el día primero (1°) de junio del año 2017.</w:t>
      </w:r>
    </w:p>
    <w:p w14:paraId="2AF28FE9" w14:textId="77777777" w:rsidR="00B2442D" w:rsidRDefault="00B2442D">
      <w:pPr>
        <w:jc w:val="both"/>
        <w:rPr>
          <w:rFonts w:ascii="Arial" w:hAnsi="Arial" w:cs="Arial"/>
          <w:lang w:val="es-CO"/>
        </w:rPr>
      </w:pPr>
    </w:p>
    <w:p w14:paraId="3687A55A" w14:textId="77777777" w:rsidR="00B2442D" w:rsidRDefault="008A645F">
      <w:pPr>
        <w:jc w:val="both"/>
        <w:rPr>
          <w:rFonts w:ascii="Arial" w:hAnsi="Arial" w:cs="Arial"/>
          <w:i/>
          <w:lang w:val="es-CO"/>
        </w:rPr>
      </w:pPr>
      <w:r>
        <w:rPr>
          <w:rFonts w:ascii="Arial" w:hAnsi="Arial" w:cs="Arial"/>
          <w:i/>
          <w:lang w:val="es-CO"/>
        </w:rPr>
        <w:t>(Art. 7, Decreto 1020 de 2014)</w:t>
      </w:r>
    </w:p>
    <w:p w14:paraId="0CDF4105" w14:textId="77777777" w:rsidR="00B2442D" w:rsidRDefault="00B2442D">
      <w:pPr>
        <w:jc w:val="both"/>
        <w:rPr>
          <w:rFonts w:ascii="Arial" w:hAnsi="Arial" w:cs="Arial"/>
          <w:lang w:val="es-CO"/>
        </w:rPr>
      </w:pPr>
    </w:p>
    <w:p w14:paraId="6BCE0FB1" w14:textId="77777777" w:rsidR="00B2442D" w:rsidRDefault="008A645F">
      <w:pPr>
        <w:pStyle w:val="Prrafodelista"/>
        <w:numPr>
          <w:ilvl w:val="0"/>
          <w:numId w:val="46"/>
        </w:numPr>
        <w:ind w:left="0" w:firstLine="0"/>
        <w:jc w:val="both"/>
        <w:rPr>
          <w:rFonts w:ascii="Arial" w:hAnsi="Arial" w:cs="Arial"/>
          <w:lang w:val="es-CO"/>
        </w:rPr>
      </w:pPr>
      <w:r>
        <w:rPr>
          <w:rFonts w:ascii="Arial" w:hAnsi="Arial" w:cs="Arial"/>
          <w:b/>
          <w:i/>
          <w:lang w:val="es-CO"/>
        </w:rPr>
        <w:t>Aspectos no regulados.</w:t>
      </w:r>
      <w:r>
        <w:rPr>
          <w:rFonts w:ascii="Arial" w:hAnsi="Arial" w:cs="Arial"/>
          <w:lang w:val="es-CO"/>
        </w:rPr>
        <w:t xml:space="preserve"> Los aspectos no regulados en los artículos 1.2.4.20 al 1.2.4.23, 1.2.4.25 al 1.2.4.33 y 1.2.4.36 del presente Decreto, se</w:t>
      </w:r>
      <w:r>
        <w:rPr>
          <w:rFonts w:ascii="Arial" w:hAnsi="Arial" w:cs="Arial"/>
          <w:lang w:val="es-CO"/>
        </w:rPr>
        <w:t xml:space="preserve"> regirán por las disposiciones legales y reglamentarias vigentes.</w:t>
      </w:r>
    </w:p>
    <w:p w14:paraId="5B3CDFF4" w14:textId="77777777" w:rsidR="00B2442D" w:rsidRDefault="00B2442D">
      <w:pPr>
        <w:jc w:val="both"/>
        <w:rPr>
          <w:rFonts w:ascii="Arial" w:hAnsi="Arial" w:cs="Arial"/>
          <w:i/>
          <w:lang w:val="es-CO"/>
        </w:rPr>
      </w:pPr>
    </w:p>
    <w:p w14:paraId="496867C9" w14:textId="77777777" w:rsidR="00B2442D" w:rsidRDefault="008A645F">
      <w:pPr>
        <w:jc w:val="both"/>
        <w:rPr>
          <w:rFonts w:ascii="Arial" w:hAnsi="Arial" w:cs="Arial"/>
          <w:lang w:val="es-CO"/>
        </w:rPr>
      </w:pPr>
      <w:r>
        <w:rPr>
          <w:rFonts w:ascii="Arial" w:hAnsi="Arial" w:cs="Arial"/>
          <w:i/>
          <w:lang w:val="es-CO"/>
        </w:rPr>
        <w:t>(Art. 14, Decreto 1159 de 2012)</w:t>
      </w:r>
    </w:p>
    <w:p w14:paraId="4562632F" w14:textId="77777777" w:rsidR="00B2442D" w:rsidRDefault="00B2442D">
      <w:pPr>
        <w:jc w:val="center"/>
        <w:rPr>
          <w:rFonts w:ascii="Arial" w:hAnsi="Arial" w:cs="Arial"/>
          <w:b/>
          <w:lang w:val="es-CO"/>
        </w:rPr>
      </w:pPr>
    </w:p>
    <w:p w14:paraId="6A83E1C1" w14:textId="77777777" w:rsidR="00B2442D" w:rsidRDefault="008A645F">
      <w:pPr>
        <w:pStyle w:val="Ttulo4"/>
      </w:pPr>
      <w:r>
        <w:t>CAPÍTULO 1</w:t>
      </w:r>
    </w:p>
    <w:p w14:paraId="6078A797" w14:textId="77777777" w:rsidR="00B2442D" w:rsidRDefault="008A645F">
      <w:pPr>
        <w:pStyle w:val="Ttulo4"/>
      </w:pPr>
      <w:r>
        <w:t>Por concepto de ingresos laborales</w:t>
      </w:r>
    </w:p>
    <w:p w14:paraId="0FC23D13" w14:textId="77777777" w:rsidR="00B2442D" w:rsidRDefault="00B2442D">
      <w:pPr>
        <w:rPr>
          <w:rFonts w:ascii="Arial" w:hAnsi="Arial" w:cs="Arial"/>
        </w:rPr>
      </w:pPr>
    </w:p>
    <w:p w14:paraId="29ADC6FD"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Porcentaje fijo de retención en la fuente.</w:t>
      </w:r>
      <w:r>
        <w:rPr>
          <w:rFonts w:ascii="Arial" w:hAnsi="Arial" w:cs="Arial"/>
          <w:lang w:val="es-CO"/>
        </w:rPr>
        <w:t xml:space="preserve"> Para efectos de calcular el porcentaje fijo de retención en la fue</w:t>
      </w:r>
      <w:r>
        <w:rPr>
          <w:rFonts w:ascii="Arial" w:hAnsi="Arial" w:cs="Arial"/>
          <w:lang w:val="es-CO"/>
        </w:rPr>
        <w:t>nte sobre salarios y demás pagos laborales, cuando el agente retenedor opte por el procedimiento 2 de retención establecido en el artículo 386 del Estatuto Tributario, se deberá aplicar la tabla correspondiente al año gravable en el cual debe efectuarse la</w:t>
      </w:r>
      <w:r>
        <w:rPr>
          <w:rFonts w:ascii="Arial" w:hAnsi="Arial" w:cs="Arial"/>
          <w:lang w:val="es-CO"/>
        </w:rPr>
        <w:t xml:space="preserve"> retención.</w:t>
      </w:r>
    </w:p>
    <w:p w14:paraId="0AB79D86" w14:textId="77777777" w:rsidR="00B2442D" w:rsidRDefault="00B2442D">
      <w:pPr>
        <w:jc w:val="both"/>
        <w:rPr>
          <w:rFonts w:ascii="Arial" w:hAnsi="Arial" w:cs="Arial"/>
          <w:i/>
          <w:lang w:val="es-CO"/>
        </w:rPr>
      </w:pPr>
    </w:p>
    <w:p w14:paraId="4122C757" w14:textId="77777777" w:rsidR="00B2442D" w:rsidRDefault="008A645F">
      <w:pPr>
        <w:jc w:val="both"/>
        <w:rPr>
          <w:rFonts w:ascii="Arial" w:hAnsi="Arial" w:cs="Arial"/>
          <w:i/>
          <w:lang w:val="es-CO"/>
        </w:rPr>
      </w:pPr>
      <w:r>
        <w:rPr>
          <w:rFonts w:ascii="Arial" w:hAnsi="Arial" w:cs="Arial"/>
          <w:i/>
          <w:lang w:val="es-CO"/>
        </w:rPr>
        <w:t>(Art. 1, Decreto 1809 de 1989)</w:t>
      </w:r>
    </w:p>
    <w:p w14:paraId="6E462E24" w14:textId="77777777" w:rsidR="00B2442D" w:rsidRDefault="00B2442D">
      <w:pPr>
        <w:rPr>
          <w:rFonts w:ascii="Arial" w:hAnsi="Arial" w:cs="Arial"/>
          <w:b/>
        </w:rPr>
      </w:pPr>
    </w:p>
    <w:p w14:paraId="15651D9B"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color w:val="000000" w:themeColor="text1"/>
        </w:rPr>
        <w:t xml:space="preserve"> </w:t>
      </w:r>
      <w:r>
        <w:rPr>
          <w:rFonts w:ascii="Arial" w:hAnsi="Arial" w:cs="Arial"/>
          <w:b/>
          <w:i/>
          <w:color w:val="000000" w:themeColor="text1"/>
        </w:rPr>
        <w:t>Base gravable en el auxilio de cesantías</w:t>
      </w:r>
      <w:r>
        <w:rPr>
          <w:rFonts w:ascii="Arial" w:hAnsi="Arial" w:cs="Arial"/>
          <w:b/>
          <w:i/>
          <w:lang w:val="es-CO"/>
        </w:rPr>
        <w:t>.</w:t>
      </w:r>
      <w:r>
        <w:rPr>
          <w:rFonts w:ascii="Arial" w:hAnsi="Arial" w:cs="Arial"/>
          <w:lang w:val="es-CO"/>
        </w:rPr>
        <w:t xml:space="preserve"> Para efectos de determinar la base gravable en el caso del auxilio de cesantía, no se tomará en cuenta el monto acumulado de las cesantías causadas a 31 de diciembre de 1985, por el empleador, a favor del trabajador.                                       </w:t>
      </w:r>
      <w:r>
        <w:rPr>
          <w:rFonts w:ascii="Arial" w:hAnsi="Arial" w:cs="Arial"/>
          <w:lang w:val="es-CO"/>
        </w:rPr>
        <w:t xml:space="preserve">                                                                                                                                                                    </w:t>
      </w:r>
    </w:p>
    <w:p w14:paraId="632D86F8" w14:textId="77777777" w:rsidR="00B2442D" w:rsidRDefault="00B2442D">
      <w:pPr>
        <w:jc w:val="both"/>
        <w:rPr>
          <w:rFonts w:ascii="Arial" w:hAnsi="Arial" w:cs="Arial"/>
          <w:i/>
          <w:lang w:val="es-CO"/>
        </w:rPr>
      </w:pPr>
    </w:p>
    <w:p w14:paraId="649FB2C1" w14:textId="77777777" w:rsidR="00B2442D" w:rsidRDefault="008A645F">
      <w:pPr>
        <w:jc w:val="both"/>
        <w:rPr>
          <w:rFonts w:ascii="Arial" w:hAnsi="Arial" w:cs="Arial"/>
          <w:i/>
          <w:lang w:val="es-CO"/>
        </w:rPr>
      </w:pPr>
      <w:r>
        <w:rPr>
          <w:rFonts w:ascii="Arial" w:hAnsi="Arial" w:cs="Arial"/>
          <w:i/>
          <w:lang w:val="es-CO"/>
        </w:rPr>
        <w:t>(Art. 18, Decreto 400 de 1987)</w:t>
      </w:r>
      <w:r>
        <w:rPr>
          <w:rFonts w:ascii="Arial" w:hAnsi="Arial" w:cs="Arial"/>
        </w:rPr>
        <w:t xml:space="preserve"> </w:t>
      </w:r>
      <w:r>
        <w:rPr>
          <w:rFonts w:ascii="Arial" w:hAnsi="Arial" w:cs="Arial"/>
          <w:i/>
          <w:lang w:val="es-CO"/>
        </w:rPr>
        <w:t xml:space="preserve">(El Decreto 400 de 1987 rige a partir del día siguiente al </w:t>
      </w:r>
      <w:r>
        <w:rPr>
          <w:rFonts w:ascii="Arial" w:hAnsi="Arial" w:cs="Arial"/>
          <w:i/>
          <w:lang w:val="es-CO"/>
        </w:rPr>
        <w:t>de la fecha de su publicación y deroga el artículo 5° del Decreto 3838 de 1985 y demás normas que le sean contrarias. Art. 23, Decreto 400 de 1987)</w:t>
      </w:r>
    </w:p>
    <w:p w14:paraId="5D998E12" w14:textId="77777777" w:rsidR="00B2442D" w:rsidRDefault="00B2442D">
      <w:pPr>
        <w:jc w:val="both"/>
        <w:rPr>
          <w:rFonts w:ascii="Arial" w:hAnsi="Arial" w:cs="Arial"/>
          <w:b/>
        </w:rPr>
      </w:pPr>
    </w:p>
    <w:p w14:paraId="66EC4152" w14:textId="77777777" w:rsidR="00B2442D" w:rsidRDefault="008A645F">
      <w:pPr>
        <w:pStyle w:val="Prrafodelista"/>
        <w:widowControl w:val="0"/>
        <w:numPr>
          <w:ilvl w:val="0"/>
          <w:numId w:val="47"/>
        </w:numPr>
        <w:autoSpaceDE w:val="0"/>
        <w:autoSpaceDN w:val="0"/>
        <w:adjustRightInd w:val="0"/>
        <w:spacing w:line="40" w:lineRule="atLeast"/>
        <w:ind w:left="0" w:firstLine="0"/>
        <w:jc w:val="both"/>
        <w:rPr>
          <w:rFonts w:ascii="Arial" w:hAnsi="Arial" w:cs="Arial"/>
          <w:lang w:val="es-CO"/>
        </w:rPr>
      </w:pPr>
      <w:r>
        <w:rPr>
          <w:rFonts w:ascii="Arial" w:hAnsi="Arial" w:cs="Arial"/>
          <w:b/>
          <w:i/>
          <w:lang w:val="es-CO"/>
        </w:rPr>
        <w:t>Procedimientos 1 y 2 para la retención en la fuente.</w:t>
      </w:r>
      <w:r>
        <w:rPr>
          <w:rFonts w:ascii="Arial" w:hAnsi="Arial" w:cs="Arial"/>
          <w:lang w:val="es-CO"/>
        </w:rPr>
        <w:t xml:space="preserve"> Para efectos de la retención en la fuente, el retenedor deberá aplicar uno de los siguientes procedimientos: </w:t>
      </w:r>
    </w:p>
    <w:p w14:paraId="1092DF80"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6D94FCE0"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Procedimiento 1.</w:t>
      </w:r>
    </w:p>
    <w:p w14:paraId="07B6133E"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 xml:space="preserve"> </w:t>
      </w:r>
    </w:p>
    <w:p w14:paraId="6F0CDA5B"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Con relación a los pagos gravables, diferentes de la cesantía, los intereses sobre cesantía y la prima mínima legal de servi</w:t>
      </w:r>
      <w:r>
        <w:rPr>
          <w:rFonts w:ascii="Arial" w:hAnsi="Arial" w:cs="Arial"/>
          <w:lang w:val="es-CO"/>
        </w:rPr>
        <w:t>cios del sector privado o de Navidad del sector público, el "valor a retener" mensualmente es el indicado frente al intervalo de la tabla al cual correspondan la totalidad de dichos pagos que se hagan al trabajador, directa o indirectamente, durante el res</w:t>
      </w:r>
      <w:r>
        <w:rPr>
          <w:rFonts w:ascii="Arial" w:hAnsi="Arial" w:cs="Arial"/>
          <w:lang w:val="es-CO"/>
        </w:rPr>
        <w:t xml:space="preserve">pectivo mes. Si tales pagos se realizan por períodos inferiores a treinta (30) días, su retención podrá calcularse así: </w:t>
      </w:r>
    </w:p>
    <w:p w14:paraId="5B21D509"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3BF69D66"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a) El valor total de los pagos gravables, recibidos directa o indirectamente por el trabajador en el respectivo período, se divide po</w:t>
      </w:r>
      <w:r>
        <w:rPr>
          <w:rFonts w:ascii="Arial" w:hAnsi="Arial" w:cs="Arial"/>
          <w:lang w:val="es-CO"/>
        </w:rPr>
        <w:t xml:space="preserve">r el número de días a que correspondan tales pagos y su resultado se multiplica por treinta (30). </w:t>
      </w:r>
    </w:p>
    <w:p w14:paraId="7F0137CE"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6CC6CD4C"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b) Se determina el porcentaje de retención que figure en la tabla frente al valor obtenido de acuerdo con lo previsto en el literal anterior y dicho porcen</w:t>
      </w:r>
      <w:r>
        <w:rPr>
          <w:rFonts w:ascii="Arial" w:hAnsi="Arial" w:cs="Arial"/>
          <w:lang w:val="es-CO"/>
        </w:rPr>
        <w:t xml:space="preserve">taje se aplica a la totalidad de los pagos gravables recibidos directa o indirectamente por el trabajador en el respectivo período. La cifra resultante será el "valor a retener". </w:t>
      </w:r>
    </w:p>
    <w:p w14:paraId="21BED95E" w14:textId="77777777" w:rsidR="00B2442D" w:rsidRDefault="00B2442D">
      <w:pPr>
        <w:widowControl w:val="0"/>
        <w:autoSpaceDE w:val="0"/>
        <w:autoSpaceDN w:val="0"/>
        <w:adjustRightInd w:val="0"/>
        <w:spacing w:line="40" w:lineRule="atLeast"/>
        <w:jc w:val="both"/>
        <w:rPr>
          <w:rFonts w:ascii="Arial" w:hAnsi="Arial" w:cs="Arial"/>
          <w:lang w:val="es-CO"/>
        </w:rPr>
      </w:pPr>
    </w:p>
    <w:p w14:paraId="31A5AF42"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Cuando se trate de la prima mínima legal de servicios del sector privado, o</w:t>
      </w:r>
      <w:r>
        <w:rPr>
          <w:rFonts w:ascii="Arial" w:hAnsi="Arial" w:cs="Arial"/>
          <w:lang w:val="es-CO"/>
        </w:rPr>
        <w:t xml:space="preserve"> de Navidad del sector público, el "valor a retener" es el que figure frente al intervalo al cual corresponda la respectiva prima. </w:t>
      </w:r>
    </w:p>
    <w:p w14:paraId="3C415516"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316A0C3A"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 xml:space="preserve">Procedimiento 2. </w:t>
      </w:r>
    </w:p>
    <w:p w14:paraId="4C63E1BD" w14:textId="77777777" w:rsidR="00B2442D" w:rsidRDefault="00B2442D">
      <w:pPr>
        <w:widowControl w:val="0"/>
        <w:autoSpaceDE w:val="0"/>
        <w:autoSpaceDN w:val="0"/>
        <w:adjustRightInd w:val="0"/>
        <w:spacing w:line="40" w:lineRule="atLeast"/>
        <w:jc w:val="both"/>
        <w:rPr>
          <w:rFonts w:ascii="Arial" w:hAnsi="Arial" w:cs="Arial"/>
          <w:lang w:val="es-CO"/>
        </w:rPr>
      </w:pPr>
    </w:p>
    <w:p w14:paraId="2ED7F33E"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Cuando se trate de los pagos gravables distintos de la cesantía y de los intereses sobre las cesantías,</w:t>
      </w:r>
      <w:r>
        <w:rPr>
          <w:rFonts w:ascii="Arial" w:hAnsi="Arial" w:cs="Arial"/>
          <w:lang w:val="es-CO"/>
        </w:rPr>
        <w:t xml:space="preserve"> el "valor a retener" mensualmente es el que resulte de aplicar a la totalidad de tales pagos gravables efectuados al trabajador, directa o indirectamente, en el respectivo mes, quincena o período de pago, el porcentaje fijo de retención semestral que le c</w:t>
      </w:r>
      <w:r>
        <w:rPr>
          <w:rFonts w:ascii="Arial" w:hAnsi="Arial" w:cs="Arial"/>
          <w:lang w:val="es-CO"/>
        </w:rPr>
        <w:t xml:space="preserve">orresponda al trabajador, calculado de conformidad con lo previsto en el artículo siguiente. </w:t>
      </w:r>
    </w:p>
    <w:p w14:paraId="2D9B545C" w14:textId="77777777" w:rsidR="00B2442D" w:rsidRDefault="008A645F">
      <w:pPr>
        <w:widowControl w:val="0"/>
        <w:autoSpaceDE w:val="0"/>
        <w:autoSpaceDN w:val="0"/>
        <w:adjustRightInd w:val="0"/>
        <w:spacing w:line="40" w:lineRule="atLeast"/>
        <w:rPr>
          <w:rFonts w:ascii="Arial" w:hAnsi="Arial" w:cs="Arial"/>
          <w:lang w:val="es-CO"/>
        </w:rPr>
      </w:pPr>
      <w:r>
        <w:rPr>
          <w:rFonts w:ascii="Arial" w:hAnsi="Arial" w:cs="Arial"/>
          <w:lang w:val="es-CO"/>
        </w:rPr>
        <w:t xml:space="preserve"> </w:t>
      </w:r>
    </w:p>
    <w:p w14:paraId="3B00282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al aplicar la tabla de retención en la fuente de acuerdo con lo previsto en este artículo la base de retención corresponda al último intervalo</w:t>
      </w:r>
      <w:r>
        <w:rPr>
          <w:rFonts w:ascii="Arial" w:hAnsi="Arial" w:cs="Arial"/>
          <w:lang w:val="es-CO"/>
        </w:rPr>
        <w:t xml:space="preserve"> de la tabla, el "valor a retener" es el que resulte de aplicar el porcentaje de retención correspondiente a dicho intervalo, a los pagos gravables recibidos por el trabajador.</w:t>
      </w:r>
    </w:p>
    <w:p w14:paraId="10118577" w14:textId="77777777" w:rsidR="00B2442D" w:rsidRDefault="00B2442D">
      <w:pPr>
        <w:jc w:val="both"/>
        <w:rPr>
          <w:rFonts w:ascii="Arial" w:hAnsi="Arial" w:cs="Arial"/>
          <w:i/>
          <w:lang w:val="es-CO"/>
        </w:rPr>
      </w:pPr>
    </w:p>
    <w:p w14:paraId="0B39CE2C" w14:textId="77777777" w:rsidR="00B2442D" w:rsidRDefault="008A645F">
      <w:pPr>
        <w:jc w:val="both"/>
        <w:rPr>
          <w:rFonts w:ascii="Arial" w:hAnsi="Arial" w:cs="Arial"/>
          <w:i/>
          <w:lang w:val="es-CO"/>
        </w:rPr>
      </w:pPr>
      <w:r>
        <w:rPr>
          <w:rFonts w:ascii="Arial" w:hAnsi="Arial" w:cs="Arial"/>
          <w:i/>
          <w:lang w:val="es-CO"/>
        </w:rPr>
        <w:t>(Art. 2, Decreto 3750 de 1986, decaimiento parcial - expresión “abono en cuent</w:t>
      </w:r>
      <w:r>
        <w:rPr>
          <w:rFonts w:ascii="Arial" w:hAnsi="Arial" w:cs="Arial"/>
          <w:i/>
          <w:lang w:val="es-CO"/>
        </w:rPr>
        <w:t>a”- por el Art. 140 de la Ley 6 de 1992)</w:t>
      </w:r>
    </w:p>
    <w:p w14:paraId="43A71A58" w14:textId="77777777" w:rsidR="00B2442D" w:rsidRDefault="00B2442D">
      <w:pPr>
        <w:jc w:val="both"/>
        <w:rPr>
          <w:rFonts w:ascii="Arial" w:hAnsi="Arial" w:cs="Arial"/>
          <w:lang w:val="es-CO"/>
        </w:rPr>
      </w:pPr>
    </w:p>
    <w:p w14:paraId="7CAA69D2"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Porcentaje fijo.</w:t>
      </w:r>
      <w:r>
        <w:rPr>
          <w:rFonts w:ascii="Arial" w:hAnsi="Arial" w:cs="Arial"/>
          <w:b/>
          <w:lang w:val="es-CO"/>
        </w:rPr>
        <w:t xml:space="preserve"> </w:t>
      </w:r>
      <w:r>
        <w:rPr>
          <w:rFonts w:ascii="Arial" w:hAnsi="Arial" w:cs="Arial"/>
          <w:lang w:val="es-CO"/>
        </w:rPr>
        <w:t>Para efectos del segundo procedimiento previsto en el artículo anterior, los retenedores calcularán en los meses de junio y diciembre de cada año el porcentaje fijo de retención que deberá aplicars</w:t>
      </w:r>
      <w:r>
        <w:rPr>
          <w:rFonts w:ascii="Arial" w:hAnsi="Arial" w:cs="Arial"/>
          <w:lang w:val="es-CO"/>
        </w:rPr>
        <w:t xml:space="preserve">e a los ingresos de cada trabajador durante los seis (6) meses siguientes a aquel en el cual se haya efectuado el cálculo. </w:t>
      </w:r>
    </w:p>
    <w:p w14:paraId="30AAA4E9" w14:textId="77777777" w:rsidR="00B2442D" w:rsidRDefault="00B2442D">
      <w:pPr>
        <w:jc w:val="both"/>
        <w:rPr>
          <w:rFonts w:ascii="Arial" w:hAnsi="Arial" w:cs="Arial"/>
          <w:lang w:val="es-CO"/>
        </w:rPr>
      </w:pPr>
    </w:p>
    <w:p w14:paraId="1D854FCB" w14:textId="77777777" w:rsidR="00B2442D" w:rsidRDefault="008A645F">
      <w:pPr>
        <w:jc w:val="both"/>
        <w:rPr>
          <w:rFonts w:ascii="Arial" w:hAnsi="Arial" w:cs="Arial"/>
          <w:lang w:val="es-CO"/>
        </w:rPr>
      </w:pPr>
      <w:r>
        <w:rPr>
          <w:rFonts w:ascii="Arial" w:hAnsi="Arial" w:cs="Arial"/>
          <w:lang w:val="es-CO"/>
        </w:rPr>
        <w:t>El porcentaje fijo de retención de que trata el inciso anterior será el que figure en la tabla de retención frente al intervalo al cual corresponda el ingreso mensual promedio del trabajador, equivalente al resultad de dividir por trece (13) la sumatoria d</w:t>
      </w:r>
      <w:r>
        <w:rPr>
          <w:rFonts w:ascii="Arial" w:hAnsi="Arial" w:cs="Arial"/>
          <w:lang w:val="es-CO"/>
        </w:rPr>
        <w:t xml:space="preserve">e todos los pagos gravables efectuados al trabajador, directa o indirectamente, durante los doce (12) meses anteriores a aquel en el cual se efectúa el cálculo, sin incluir los que correspondan a la cesantía y a los intereses sobre cesantía. </w:t>
      </w:r>
    </w:p>
    <w:p w14:paraId="1E52EDB9" w14:textId="77777777" w:rsidR="00B2442D" w:rsidRDefault="00B2442D">
      <w:pPr>
        <w:jc w:val="both"/>
        <w:rPr>
          <w:rFonts w:ascii="Arial" w:hAnsi="Arial" w:cs="Arial"/>
          <w:lang w:val="es-CO"/>
        </w:rPr>
      </w:pPr>
    </w:p>
    <w:p w14:paraId="6E7696EA" w14:textId="77777777" w:rsidR="00B2442D" w:rsidRDefault="008A645F">
      <w:pPr>
        <w:jc w:val="both"/>
        <w:rPr>
          <w:rFonts w:ascii="Arial" w:hAnsi="Arial" w:cs="Arial"/>
          <w:lang w:val="es-CO"/>
        </w:rPr>
      </w:pPr>
      <w:r>
        <w:rPr>
          <w:rFonts w:ascii="Arial" w:hAnsi="Arial" w:cs="Arial"/>
          <w:lang w:val="es-CO"/>
        </w:rPr>
        <w:t>Cuando el tr</w:t>
      </w:r>
      <w:r>
        <w:rPr>
          <w:rFonts w:ascii="Arial" w:hAnsi="Arial" w:cs="Arial"/>
          <w:lang w:val="es-CO"/>
        </w:rPr>
        <w:t>abajador lleve laborando menos de doce (12) meses al servicio del empleador, el porcentaje fijo de retención será el que figure en la tabla de retención frente al intervalo al cual corresponda el ingreso mensual promedio del trabajador, equivalente al resu</w:t>
      </w:r>
      <w:r>
        <w:rPr>
          <w:rFonts w:ascii="Arial" w:hAnsi="Arial" w:cs="Arial"/>
          <w:lang w:val="es-CO"/>
        </w:rPr>
        <w:t>ltado de dividir por el número de meses de vinculación laboral, la sumatoria de todos los pagos gravables efectuados al trabajador, directa o indirectamente, durante dicho lapso, sin incluir los que correspondan a la cesantía y a los intereses sobre cesant</w:t>
      </w:r>
      <w:r>
        <w:rPr>
          <w:rFonts w:ascii="Arial" w:hAnsi="Arial" w:cs="Arial"/>
          <w:lang w:val="es-CO"/>
        </w:rPr>
        <w:t xml:space="preserve">ía. </w:t>
      </w:r>
    </w:p>
    <w:p w14:paraId="56887E80" w14:textId="77777777" w:rsidR="00B2442D" w:rsidRDefault="008A645F">
      <w:pPr>
        <w:jc w:val="both"/>
        <w:rPr>
          <w:rFonts w:ascii="Arial" w:hAnsi="Arial" w:cs="Arial"/>
          <w:lang w:val="es-CO"/>
        </w:rPr>
      </w:pPr>
      <w:r>
        <w:rPr>
          <w:rFonts w:ascii="Arial" w:hAnsi="Arial" w:cs="Arial"/>
          <w:lang w:val="es-CO"/>
        </w:rPr>
        <w:t xml:space="preserve"> </w:t>
      </w:r>
    </w:p>
    <w:p w14:paraId="4D69D921" w14:textId="77777777" w:rsidR="00B2442D" w:rsidRDefault="008A645F">
      <w:pPr>
        <w:jc w:val="both"/>
        <w:rPr>
          <w:rFonts w:ascii="Arial" w:hAnsi="Arial" w:cs="Arial"/>
          <w:lang w:val="es-CO"/>
        </w:rPr>
      </w:pPr>
      <w:r>
        <w:rPr>
          <w:rFonts w:ascii="Arial" w:hAnsi="Arial" w:cs="Arial"/>
          <w:lang w:val="es-CO"/>
        </w:rPr>
        <w:t>Cuando se trate de nuevos trabajadores y hasta tanto se efectúa el primer cálculo, el porcentaje de retención será el que figure en la tabla frente al intervalo al cual corresponda la totalidad de los pagos gravables que se hagan al trabajador, dire</w:t>
      </w:r>
      <w:r>
        <w:rPr>
          <w:rFonts w:ascii="Arial" w:hAnsi="Arial" w:cs="Arial"/>
          <w:lang w:val="es-CO"/>
        </w:rPr>
        <w:t>cta o indirectamente, durante el respectivo mes.</w:t>
      </w:r>
    </w:p>
    <w:p w14:paraId="70BB9EA7" w14:textId="77777777" w:rsidR="00B2442D" w:rsidRDefault="00B2442D">
      <w:pPr>
        <w:jc w:val="both"/>
        <w:rPr>
          <w:rFonts w:ascii="Arial" w:hAnsi="Arial" w:cs="Arial"/>
          <w:i/>
          <w:lang w:val="es-CO"/>
        </w:rPr>
      </w:pPr>
    </w:p>
    <w:p w14:paraId="68C25A70" w14:textId="77777777" w:rsidR="00B2442D" w:rsidRDefault="008A645F">
      <w:pPr>
        <w:jc w:val="both"/>
        <w:rPr>
          <w:rFonts w:ascii="Arial" w:hAnsi="Arial" w:cs="Arial"/>
          <w:i/>
          <w:lang w:val="es-CO"/>
        </w:rPr>
      </w:pPr>
      <w:r>
        <w:rPr>
          <w:rFonts w:ascii="Arial" w:hAnsi="Arial" w:cs="Arial"/>
          <w:i/>
          <w:lang w:val="es-CO"/>
        </w:rPr>
        <w:t>(Art. 3, Decreto 3750 de 1986. Decaimiento parcial de la  expresión “o abonos”- por el art. 140 de la Ley 6 de 1992)</w:t>
      </w:r>
    </w:p>
    <w:p w14:paraId="03145894" w14:textId="77777777" w:rsidR="00B2442D" w:rsidRDefault="00B2442D">
      <w:pPr>
        <w:jc w:val="both"/>
        <w:rPr>
          <w:rFonts w:ascii="Arial" w:hAnsi="Arial" w:cs="Arial"/>
          <w:lang w:val="es-CO"/>
        </w:rPr>
      </w:pPr>
    </w:p>
    <w:p w14:paraId="3E96C9BB"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Retención en la fuente en la unidad de empresa.</w:t>
      </w:r>
      <w:r>
        <w:rPr>
          <w:rFonts w:ascii="Arial" w:hAnsi="Arial" w:cs="Arial"/>
          <w:lang w:val="es-CO"/>
        </w:rPr>
        <w:t xml:space="preserve"> Cuando dos (2) o más empresas que conformen una unidad de empresa efectúen pagos a un mismo trabajador por concepto de salarios u otros ingresos que se originen en la relación laboral, la base para aplicar la retención en la fuente de que tratan los artíc</w:t>
      </w:r>
      <w:r>
        <w:rPr>
          <w:rFonts w:ascii="Arial" w:hAnsi="Arial" w:cs="Arial"/>
          <w:lang w:val="es-CO"/>
        </w:rPr>
        <w:t>ulos 1.2.4.1.3, 1.2.4.1.4, 1.2.4.1.28, 1.2.4.1.30 y 1.2.4.1.31 de este Decreto, deberá incluir la totalidad de los pagos gravables que se efectúen al trabajador por las distintas empresas que conforman la unidad. Para tal efecto, actuará como agente retene</w:t>
      </w:r>
      <w:r>
        <w:rPr>
          <w:rFonts w:ascii="Arial" w:hAnsi="Arial" w:cs="Arial"/>
          <w:lang w:val="es-CO"/>
        </w:rPr>
        <w:t>dor la empresa que tenga el carácter de principal.</w:t>
      </w:r>
    </w:p>
    <w:p w14:paraId="39C5EBF8" w14:textId="77777777" w:rsidR="00B2442D" w:rsidRDefault="00B2442D">
      <w:pPr>
        <w:jc w:val="both"/>
        <w:rPr>
          <w:rFonts w:ascii="Arial" w:hAnsi="Arial" w:cs="Arial"/>
          <w:i/>
          <w:lang w:val="es-CO"/>
        </w:rPr>
      </w:pPr>
    </w:p>
    <w:p w14:paraId="78FA5C30" w14:textId="77777777" w:rsidR="00B2442D" w:rsidRDefault="008A645F">
      <w:pPr>
        <w:jc w:val="both"/>
        <w:rPr>
          <w:rFonts w:ascii="Arial" w:hAnsi="Arial" w:cs="Arial"/>
          <w:i/>
          <w:lang w:val="es-CO"/>
        </w:rPr>
      </w:pPr>
      <w:r>
        <w:rPr>
          <w:rFonts w:ascii="Arial" w:hAnsi="Arial" w:cs="Arial"/>
          <w:i/>
          <w:lang w:val="es-CO"/>
        </w:rPr>
        <w:t>(Art. 6, Decreto 3750 de 1986)</w:t>
      </w:r>
    </w:p>
    <w:p w14:paraId="37AF8823" w14:textId="77777777" w:rsidR="00B2442D" w:rsidRDefault="00B2442D">
      <w:pPr>
        <w:jc w:val="both"/>
        <w:rPr>
          <w:rFonts w:ascii="Arial" w:hAnsi="Arial" w:cs="Arial"/>
          <w:i/>
          <w:lang w:val="es-CO"/>
        </w:rPr>
      </w:pPr>
    </w:p>
    <w:p w14:paraId="6406735D"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Depuración de la base del cálculo de la retención en la fuente</w:t>
      </w:r>
      <w:r>
        <w:rPr>
          <w:rFonts w:ascii="Arial" w:hAnsi="Arial" w:cs="Arial"/>
          <w:lang w:val="es-CO"/>
        </w:rPr>
        <w:t xml:space="preserve">. Para obtener la base de retención en la fuente sobre los pagos o abonos en cuenta por concepto de rentas de </w:t>
      </w:r>
      <w:r>
        <w:rPr>
          <w:rFonts w:ascii="Arial" w:hAnsi="Arial" w:cs="Arial"/>
          <w:lang w:val="es-CO"/>
        </w:rPr>
        <w:t>trabajo efectuados a las personas naturales pertenecientes a la categoría de empleados, se podrán detraer los siguientes factores:</w:t>
      </w:r>
    </w:p>
    <w:p w14:paraId="6684B004" w14:textId="77777777" w:rsidR="00B2442D" w:rsidRDefault="00B2442D">
      <w:pPr>
        <w:jc w:val="both"/>
        <w:rPr>
          <w:rFonts w:ascii="Arial" w:hAnsi="Arial" w:cs="Arial"/>
          <w:lang w:val="es-CO"/>
        </w:rPr>
      </w:pPr>
    </w:p>
    <w:p w14:paraId="0B61859D" w14:textId="77777777" w:rsidR="00B2442D" w:rsidRDefault="008A645F">
      <w:pPr>
        <w:ind w:left="284" w:hanging="284"/>
        <w:jc w:val="both"/>
        <w:rPr>
          <w:rFonts w:ascii="Arial" w:hAnsi="Arial" w:cs="Arial"/>
          <w:lang w:val="es-CO"/>
        </w:rPr>
      </w:pPr>
      <w:r>
        <w:rPr>
          <w:rFonts w:ascii="Arial" w:hAnsi="Arial" w:cs="Arial"/>
          <w:lang w:val="es-CO"/>
        </w:rPr>
        <w:t>1. Los ingresos que la ley de manera taxativa prevé como no constitutivos de renta ni ganancia ocasional.</w:t>
      </w:r>
    </w:p>
    <w:p w14:paraId="374F8AB0" w14:textId="77777777" w:rsidR="00B2442D" w:rsidRDefault="00B2442D">
      <w:pPr>
        <w:ind w:left="284" w:hanging="284"/>
        <w:jc w:val="both"/>
        <w:rPr>
          <w:rFonts w:ascii="Arial" w:hAnsi="Arial" w:cs="Arial"/>
          <w:lang w:val="es-CO"/>
        </w:rPr>
      </w:pPr>
    </w:p>
    <w:p w14:paraId="018853B0" w14:textId="77777777" w:rsidR="00B2442D" w:rsidRDefault="008A645F">
      <w:pPr>
        <w:ind w:left="284" w:hanging="284"/>
        <w:jc w:val="both"/>
        <w:rPr>
          <w:rFonts w:ascii="Arial" w:hAnsi="Arial" w:cs="Arial"/>
          <w:lang w:val="es-CO"/>
        </w:rPr>
      </w:pPr>
      <w:r>
        <w:rPr>
          <w:rFonts w:ascii="Arial" w:hAnsi="Arial" w:cs="Arial"/>
          <w:lang w:val="es-CO"/>
        </w:rPr>
        <w:t>2. Las deduccione</w:t>
      </w:r>
      <w:r>
        <w:rPr>
          <w:rFonts w:ascii="Arial" w:hAnsi="Arial" w:cs="Arial"/>
          <w:lang w:val="es-CO"/>
        </w:rPr>
        <w:t>s a que se refiere el artículo 387 del Estatuto Tributario, reglamentado por el artículo 1.2.4.1.18 de este Decreto.</w:t>
      </w:r>
    </w:p>
    <w:p w14:paraId="65FF40EE" w14:textId="77777777" w:rsidR="00B2442D" w:rsidRDefault="00B2442D">
      <w:pPr>
        <w:ind w:left="284" w:hanging="284"/>
        <w:jc w:val="both"/>
        <w:rPr>
          <w:rFonts w:ascii="Arial" w:hAnsi="Arial" w:cs="Arial"/>
          <w:lang w:val="es-CO"/>
        </w:rPr>
      </w:pPr>
    </w:p>
    <w:p w14:paraId="0C6ADAEF" w14:textId="77777777" w:rsidR="00B2442D" w:rsidRDefault="008A645F">
      <w:pPr>
        <w:ind w:left="284" w:hanging="284"/>
        <w:jc w:val="both"/>
        <w:rPr>
          <w:rFonts w:ascii="Arial" w:hAnsi="Arial" w:cs="Arial"/>
          <w:lang w:val="es-CO"/>
        </w:rPr>
      </w:pPr>
      <w:r>
        <w:rPr>
          <w:rFonts w:ascii="Arial" w:hAnsi="Arial" w:cs="Arial"/>
          <w:lang w:val="es-CO"/>
        </w:rPr>
        <w:t>3. Los aportes obligatorios al Sistema General de Seguridad Social en Salud.</w:t>
      </w:r>
    </w:p>
    <w:p w14:paraId="7A5DB40D" w14:textId="77777777" w:rsidR="00B2442D" w:rsidRDefault="00B2442D">
      <w:pPr>
        <w:ind w:left="284" w:hanging="284"/>
        <w:jc w:val="both"/>
        <w:rPr>
          <w:rFonts w:ascii="Arial" w:hAnsi="Arial" w:cs="Arial"/>
          <w:lang w:val="es-CO"/>
        </w:rPr>
      </w:pPr>
    </w:p>
    <w:p w14:paraId="77D13D85" w14:textId="77777777" w:rsidR="00B2442D" w:rsidRDefault="008A645F">
      <w:pPr>
        <w:ind w:left="284" w:hanging="284"/>
        <w:jc w:val="both"/>
        <w:rPr>
          <w:rFonts w:ascii="Arial" w:hAnsi="Arial" w:cs="Arial"/>
          <w:lang w:val="es-CO"/>
        </w:rPr>
      </w:pPr>
      <w:r>
        <w:rPr>
          <w:rFonts w:ascii="Arial" w:hAnsi="Arial" w:cs="Arial"/>
          <w:lang w:val="es-CO"/>
        </w:rPr>
        <w:t>4. Las rentas que la ley de manera taxativa prevé como exent</w:t>
      </w:r>
      <w:r>
        <w:rPr>
          <w:rFonts w:ascii="Arial" w:hAnsi="Arial" w:cs="Arial"/>
          <w:lang w:val="es-CO"/>
        </w:rPr>
        <w:t xml:space="preserve">as en razón a su origen y beneficiario. Lo previsto en el numeral 10 del artículo 206 del Estatuto Tributario procede también para las personas naturales clasificadas en la categoría de empleados cuyos pagos o abonos en cuenta no provengan de una relación </w:t>
      </w:r>
      <w:r>
        <w:rPr>
          <w:rFonts w:ascii="Arial" w:hAnsi="Arial" w:cs="Arial"/>
          <w:lang w:val="es-CO"/>
        </w:rPr>
        <w:t>laboral, o legal y reglamentaria, de conformidad con lo previsto en el inciso 1° del artículo 383 del Estatuto Tributario.</w:t>
      </w:r>
    </w:p>
    <w:p w14:paraId="31321F9D" w14:textId="77777777" w:rsidR="00B2442D" w:rsidRDefault="00B2442D">
      <w:pPr>
        <w:jc w:val="both"/>
        <w:rPr>
          <w:rFonts w:ascii="Arial" w:hAnsi="Arial" w:cs="Arial"/>
          <w:lang w:val="es-CO"/>
        </w:rPr>
      </w:pPr>
    </w:p>
    <w:p w14:paraId="6AF38D18" w14:textId="77777777" w:rsidR="00B2442D" w:rsidRDefault="008A645F">
      <w:pPr>
        <w:jc w:val="both"/>
        <w:rPr>
          <w:rFonts w:ascii="Arial" w:hAnsi="Arial" w:cs="Arial"/>
          <w:lang w:val="es-CO"/>
        </w:rPr>
      </w:pPr>
      <w:r>
        <w:rPr>
          <w:rFonts w:ascii="Arial" w:hAnsi="Arial" w:cs="Arial"/>
          <w:lang w:val="es-CO"/>
        </w:rPr>
        <w:t>Los factores de depuración de la base de retención de los empleados cuyos ingresos no provengan de una relación laboral, o legal y r</w:t>
      </w:r>
      <w:r>
        <w:rPr>
          <w:rFonts w:ascii="Arial" w:hAnsi="Arial" w:cs="Arial"/>
          <w:lang w:val="es-CO"/>
        </w:rPr>
        <w:t>eglamentaria, se determinarán mediante los soportes que adjunte el empleado a la factura o documento equivalente o el documento expedido por las personas no obligadas a facturar en los términos del inciso 3° del artículo 771-2 del Estatuto Tributario. En e</w:t>
      </w:r>
      <w:r>
        <w:rPr>
          <w:rFonts w:ascii="Arial" w:hAnsi="Arial" w:cs="Arial"/>
          <w:lang w:val="es-CO"/>
        </w:rPr>
        <w:t>ste caso las deducciones a que se refieren el artículo 387 del Estatuto Tributario y el artículo 1.2.4.1.18 de este Decreto se comprobarán en la forma prevista en lo pertinente en los artículos 1.2.4.1.26 y 1.2.4.1.29 del presente Decreto y en las demás no</w:t>
      </w:r>
      <w:r>
        <w:rPr>
          <w:rFonts w:ascii="Arial" w:hAnsi="Arial" w:cs="Arial"/>
          <w:lang w:val="es-CO"/>
        </w:rPr>
        <w:t>rmas vigentes. Si se suscriben contratos con pagos periódicos, la información soporte se podrá suministrar una sola vez.</w:t>
      </w:r>
    </w:p>
    <w:p w14:paraId="1C78C15D" w14:textId="77777777" w:rsidR="00B2442D" w:rsidRDefault="00B2442D">
      <w:pPr>
        <w:jc w:val="both"/>
        <w:rPr>
          <w:rFonts w:ascii="Arial" w:hAnsi="Arial" w:cs="Arial"/>
          <w:lang w:val="es-CO"/>
        </w:rPr>
      </w:pPr>
    </w:p>
    <w:p w14:paraId="5F9ED923"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la disminución de la base los pagos por salud de que trata el literal a) del artículo 387 del </w:t>
      </w:r>
      <w:r>
        <w:rPr>
          <w:rFonts w:ascii="Arial" w:hAnsi="Arial" w:cs="Arial"/>
          <w:lang w:val="es-CO"/>
        </w:rPr>
        <w:t>Estatuto Tributario son todos aquellos efectuados por los Planes Adicionales de Salud, de que tratan las normas de seguridad social en salud, que se financien con cargo exclusivo a los recursos que paguen los particulares a entidades vigiladas por la Super</w:t>
      </w:r>
      <w:r>
        <w:rPr>
          <w:rFonts w:ascii="Arial" w:hAnsi="Arial" w:cs="Arial"/>
          <w:lang w:val="es-CO"/>
        </w:rPr>
        <w:t>intendencia Nacional de Salud.</w:t>
      </w:r>
    </w:p>
    <w:p w14:paraId="6BFCF113" w14:textId="77777777" w:rsidR="00B2442D" w:rsidRDefault="00B2442D">
      <w:pPr>
        <w:jc w:val="both"/>
        <w:rPr>
          <w:rFonts w:ascii="Arial" w:hAnsi="Arial" w:cs="Arial"/>
          <w:lang w:val="es-CO"/>
        </w:rPr>
      </w:pPr>
    </w:p>
    <w:p w14:paraId="61B94C2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la aplicación de la tabla de retención en la fuente señalada en el artículo 383 del Estatuto Tributario a las personas naturales pertenecientes a la categoría de empleados cuyos pagos o abonos e</w:t>
      </w:r>
      <w:r>
        <w:rPr>
          <w:rFonts w:ascii="Arial" w:hAnsi="Arial" w:cs="Arial"/>
          <w:lang w:val="es-CO"/>
        </w:rPr>
        <w:t>n cuenta no provengan de una relación laboral, o legal y reglamentaria, se deberá tener en cuenta la totalidad de los pagos o abonos en cuenta efectuados en el respetivo mes.</w:t>
      </w:r>
    </w:p>
    <w:p w14:paraId="1CAC584E" w14:textId="77777777" w:rsidR="00B2442D" w:rsidRDefault="00B2442D">
      <w:pPr>
        <w:jc w:val="both"/>
        <w:rPr>
          <w:rFonts w:ascii="Arial" w:hAnsi="Arial" w:cs="Arial"/>
          <w:lang w:val="es-CO"/>
        </w:rPr>
      </w:pPr>
    </w:p>
    <w:p w14:paraId="1AC468C7"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El empleado no podrá solicitar la aplicación de los factores de de</w:t>
      </w:r>
      <w:r>
        <w:rPr>
          <w:rFonts w:ascii="Arial" w:hAnsi="Arial" w:cs="Arial"/>
          <w:lang w:val="es-CO"/>
        </w:rPr>
        <w:t>tracción de que trata el presente artículo en montos que, sumados sobre todas sus relaciones laborales, o legales y reglamentarias, y/o de prestación de servicios, superen los topes respectivos calculados con base en la suma total de sus ingresos provenien</w:t>
      </w:r>
      <w:r>
        <w:rPr>
          <w:rFonts w:ascii="Arial" w:hAnsi="Arial" w:cs="Arial"/>
          <w:lang w:val="es-CO"/>
        </w:rPr>
        <w:t>tes de esas mismas relaciones.</w:t>
      </w:r>
    </w:p>
    <w:p w14:paraId="7BF455DC" w14:textId="77777777" w:rsidR="00B2442D" w:rsidRDefault="00B2442D">
      <w:pPr>
        <w:jc w:val="both"/>
        <w:rPr>
          <w:rFonts w:ascii="Arial" w:hAnsi="Arial" w:cs="Arial"/>
          <w:lang w:val="es-CO"/>
        </w:rPr>
      </w:pPr>
    </w:p>
    <w:p w14:paraId="678EC245" w14:textId="77777777" w:rsidR="00B2442D" w:rsidRDefault="008A645F">
      <w:pPr>
        <w:jc w:val="both"/>
        <w:rPr>
          <w:rFonts w:ascii="Arial" w:hAnsi="Arial" w:cs="Arial"/>
          <w:i/>
          <w:lang w:val="es-CO"/>
        </w:rPr>
      </w:pPr>
      <w:r>
        <w:rPr>
          <w:rFonts w:ascii="Arial" w:hAnsi="Arial" w:cs="Arial"/>
          <w:i/>
          <w:lang w:val="es-CO"/>
        </w:rPr>
        <w:t>(Art. 2, Decreto 1070 de 2013. La expresión “en el artículo 7° del Decreto Reglamentario número 3750 de 1986”, del inciso segundo del numeral 4, tiene decaimiento, conforme con lo previsto en el artículo 15 de la Ley 1607 de</w:t>
      </w:r>
      <w:r>
        <w:rPr>
          <w:rFonts w:ascii="Arial" w:hAnsi="Arial" w:cs="Arial"/>
          <w:i/>
          <w:lang w:val="es-CO"/>
        </w:rPr>
        <w:t xml:space="preserve"> 2012, que modificó el artículo 387 del Estatuto Tributario)</w:t>
      </w:r>
    </w:p>
    <w:p w14:paraId="6ABFB9E4" w14:textId="77777777" w:rsidR="00B2442D" w:rsidRDefault="00B2442D">
      <w:pPr>
        <w:jc w:val="both"/>
        <w:rPr>
          <w:rFonts w:ascii="Arial" w:hAnsi="Arial" w:cs="Arial"/>
          <w:lang w:val="es-CO"/>
        </w:rPr>
      </w:pPr>
    </w:p>
    <w:p w14:paraId="584B3E16"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Contribuciones al Sistema General de Seguridad Social. </w:t>
      </w:r>
      <w:r>
        <w:rPr>
          <w:rFonts w:ascii="Arial" w:hAnsi="Arial" w:cs="Arial"/>
          <w:lang w:val="es-CO"/>
        </w:rPr>
        <w:t>De acuerdo con lo previsto en el artículo 26 de la Ley 1393 de 2010 y el artículo 108 del Estatuto Tributario, la disminución de la base de</w:t>
      </w:r>
      <w:r>
        <w:rPr>
          <w:rFonts w:ascii="Arial" w:hAnsi="Arial" w:cs="Arial"/>
          <w:lang w:val="es-CO"/>
        </w:rPr>
        <w:t xml:space="preserve"> retención para las personas naturales residentes cuyos ingresos no provengan de una relación laboral, o legal y reglamentaria, por concepto de contribuciones al Sistema General de Seguridad Social, pertenezcan o no a la categoría de empleados, estará cond</w:t>
      </w:r>
      <w:r>
        <w:rPr>
          <w:rFonts w:ascii="Arial" w:hAnsi="Arial" w:cs="Arial"/>
          <w:lang w:val="es-CO"/>
        </w:rPr>
        <w:t>icionada a su liquidación y pago en lo relacionado con las sumas que son objeto del contrato, para lo cual se adjuntará a la respectiva factura o documento equivalente copia de la planilla o documento de pago.</w:t>
      </w:r>
    </w:p>
    <w:p w14:paraId="5999BF29" w14:textId="77777777" w:rsidR="00B2442D" w:rsidRDefault="00B2442D">
      <w:pPr>
        <w:jc w:val="both"/>
        <w:rPr>
          <w:rFonts w:ascii="Arial" w:hAnsi="Arial" w:cs="Arial"/>
          <w:lang w:val="es-CO"/>
        </w:rPr>
      </w:pPr>
    </w:p>
    <w:p w14:paraId="7A477AAE" w14:textId="77777777" w:rsidR="00B2442D" w:rsidRDefault="008A645F">
      <w:pPr>
        <w:jc w:val="both"/>
        <w:rPr>
          <w:rFonts w:ascii="Arial" w:hAnsi="Arial" w:cs="Arial"/>
          <w:lang w:val="es-CO"/>
        </w:rPr>
      </w:pPr>
      <w:r>
        <w:rPr>
          <w:rFonts w:ascii="Arial" w:hAnsi="Arial" w:cs="Arial"/>
          <w:lang w:val="es-CO"/>
        </w:rPr>
        <w:t>Para la procedencia de la deducción en el imp</w:t>
      </w:r>
      <w:r>
        <w:rPr>
          <w:rFonts w:ascii="Arial" w:hAnsi="Arial" w:cs="Arial"/>
          <w:lang w:val="es-CO"/>
        </w:rPr>
        <w:t>uesto sobre la renta de los pagos realizados a las personas mencionadas en el inciso anterior por concepto de contratos de prestación de servicios, el contratante deberá verificar que los aportes al Sistema General de Seguridad Social estén realizados de a</w:t>
      </w:r>
      <w:r>
        <w:rPr>
          <w:rFonts w:ascii="Arial" w:hAnsi="Arial" w:cs="Arial"/>
          <w:lang w:val="es-CO"/>
        </w:rPr>
        <w:t>cuerdo con los ingresos obtenidos en el contrato respectivo, en los términos de los Decretos números 1703 de 2002 y 510 de 2003, las demás normas vigentes sobre la materia, así como aquellas disposiciones que las adicionen, modifiquen o sustituyan.</w:t>
      </w:r>
    </w:p>
    <w:p w14:paraId="233A6FE8" w14:textId="77777777" w:rsidR="00B2442D" w:rsidRDefault="00B2442D">
      <w:pPr>
        <w:jc w:val="both"/>
        <w:rPr>
          <w:rFonts w:ascii="Arial" w:hAnsi="Arial" w:cs="Arial"/>
          <w:lang w:val="es-CO"/>
        </w:rPr>
      </w:pPr>
    </w:p>
    <w:p w14:paraId="13E3D327" w14:textId="77777777" w:rsidR="00B2442D" w:rsidRDefault="008A645F">
      <w:pPr>
        <w:jc w:val="both"/>
        <w:rPr>
          <w:rFonts w:ascii="Arial" w:hAnsi="Arial" w:cs="Arial"/>
          <w:lang w:val="es-CO"/>
        </w:rPr>
      </w:pPr>
      <w:r>
        <w:rPr>
          <w:rFonts w:ascii="Arial" w:hAnsi="Arial" w:cs="Arial"/>
          <w:b/>
          <w:lang w:val="es-CO"/>
        </w:rPr>
        <w:t>Parágr</w:t>
      </w:r>
      <w:r>
        <w:rPr>
          <w:rFonts w:ascii="Arial" w:hAnsi="Arial" w:cs="Arial"/>
          <w:b/>
          <w:lang w:val="es-CO"/>
        </w:rPr>
        <w:t>afo.</w:t>
      </w:r>
      <w:r>
        <w:rPr>
          <w:rFonts w:ascii="Arial" w:hAnsi="Arial" w:cs="Arial"/>
          <w:lang w:val="es-CO"/>
        </w:rPr>
        <w:t xml:space="preserve"> Esta obligación no será aplicable cuando la totalidad de los pagos mensuales sean inferiores a un salario mínimo legal mensual vigente (1 SMLMV)</w:t>
      </w:r>
    </w:p>
    <w:p w14:paraId="262837AA" w14:textId="77777777" w:rsidR="00B2442D" w:rsidRDefault="00B2442D">
      <w:pPr>
        <w:jc w:val="both"/>
        <w:rPr>
          <w:rFonts w:ascii="Arial" w:hAnsi="Arial" w:cs="Arial"/>
          <w:lang w:val="es-CO"/>
        </w:rPr>
      </w:pPr>
    </w:p>
    <w:p w14:paraId="6FEC4CF2" w14:textId="77777777" w:rsidR="00B2442D" w:rsidRDefault="008A645F">
      <w:pPr>
        <w:jc w:val="both"/>
        <w:rPr>
          <w:rFonts w:ascii="Arial" w:hAnsi="Arial" w:cs="Arial"/>
          <w:i/>
          <w:lang w:val="es-CO"/>
        </w:rPr>
      </w:pPr>
      <w:r>
        <w:rPr>
          <w:rFonts w:ascii="Arial" w:hAnsi="Arial" w:cs="Arial"/>
          <w:i/>
          <w:lang w:val="es-CO"/>
        </w:rPr>
        <w:t xml:space="preserve">(Art. 3, Decreto 1070 de 2013, modificado por el art. 9 del Decreto 3032 de 2013. La referencia a la Ley </w:t>
      </w:r>
      <w:r>
        <w:rPr>
          <w:rFonts w:ascii="Arial" w:hAnsi="Arial" w:cs="Arial"/>
          <w:i/>
          <w:lang w:val="es-CO"/>
        </w:rPr>
        <w:t>1122 de 2007, se eliminó en razón a la derogatoria expresa de ésta por el artículo 267 de la Ley 1753 de 2015)</w:t>
      </w:r>
    </w:p>
    <w:p w14:paraId="5750D819" w14:textId="77777777" w:rsidR="00B2442D" w:rsidRDefault="00B2442D">
      <w:pPr>
        <w:jc w:val="both"/>
        <w:rPr>
          <w:rFonts w:ascii="Arial" w:hAnsi="Arial" w:cs="Arial"/>
          <w:b/>
          <w:lang w:val="es-CO"/>
        </w:rPr>
      </w:pPr>
    </w:p>
    <w:p w14:paraId="537F1E68"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Retención en la fuente por despido injustificado y bonificaciones por retiro definitivo del trabajador.</w:t>
      </w:r>
      <w:r>
        <w:rPr>
          <w:rFonts w:ascii="Arial" w:hAnsi="Arial" w:cs="Arial"/>
          <w:lang w:val="es-CO"/>
        </w:rPr>
        <w:t xml:space="preserve"> La retención en la fuente aplicable a la</w:t>
      </w:r>
      <w:r>
        <w:rPr>
          <w:rFonts w:ascii="Arial" w:hAnsi="Arial" w:cs="Arial"/>
          <w:lang w:val="es-CO"/>
        </w:rPr>
        <w:t xml:space="preserve">s indemnizaciones por despido injustificado y bonificaciones por retiro definitivo del trabajador, se efectuará así: </w:t>
      </w:r>
    </w:p>
    <w:p w14:paraId="4EBE6821" w14:textId="77777777" w:rsidR="00B2442D" w:rsidRDefault="008A645F">
      <w:pPr>
        <w:jc w:val="both"/>
        <w:rPr>
          <w:rFonts w:ascii="Arial" w:hAnsi="Arial" w:cs="Arial"/>
          <w:lang w:val="es-CO"/>
        </w:rPr>
      </w:pPr>
      <w:r>
        <w:rPr>
          <w:rFonts w:ascii="Arial" w:hAnsi="Arial" w:cs="Arial"/>
          <w:lang w:val="es-CO"/>
        </w:rPr>
        <w:t xml:space="preserve"> </w:t>
      </w:r>
    </w:p>
    <w:p w14:paraId="79AD867D" w14:textId="77777777" w:rsidR="00B2442D" w:rsidRDefault="008A645F">
      <w:pPr>
        <w:ind w:left="284" w:hanging="284"/>
        <w:jc w:val="both"/>
        <w:rPr>
          <w:rFonts w:ascii="Arial" w:hAnsi="Arial" w:cs="Arial"/>
          <w:lang w:val="es-CO"/>
        </w:rPr>
      </w:pPr>
      <w:r>
        <w:rPr>
          <w:rFonts w:ascii="Arial" w:hAnsi="Arial" w:cs="Arial"/>
          <w:lang w:val="es-CO"/>
        </w:rPr>
        <w:t>a) Se calcula el ingreso mensual promedio del trabajador, dividiendo por doce (12), o por el número de meses de vinculación si es inferi</w:t>
      </w:r>
      <w:r>
        <w:rPr>
          <w:rFonts w:ascii="Arial" w:hAnsi="Arial" w:cs="Arial"/>
          <w:lang w:val="es-CO"/>
        </w:rPr>
        <w:t xml:space="preserve">or a doce (12), la sumatoria de todos los pagos gravables recibidos directa o indirectamente por el trabajador durante los doce (12) meses anteriores a la fecha de su retiro. </w:t>
      </w:r>
    </w:p>
    <w:p w14:paraId="110D54B6" w14:textId="77777777" w:rsidR="00B2442D" w:rsidRDefault="008A645F">
      <w:pPr>
        <w:ind w:left="284" w:hanging="284"/>
        <w:jc w:val="both"/>
        <w:rPr>
          <w:rFonts w:ascii="Arial" w:hAnsi="Arial" w:cs="Arial"/>
          <w:lang w:val="es-CO"/>
        </w:rPr>
      </w:pPr>
      <w:r>
        <w:rPr>
          <w:rFonts w:ascii="Arial" w:hAnsi="Arial" w:cs="Arial"/>
          <w:lang w:val="es-CO"/>
        </w:rPr>
        <w:t xml:space="preserve"> </w:t>
      </w:r>
    </w:p>
    <w:p w14:paraId="477781CA" w14:textId="77777777" w:rsidR="00B2442D" w:rsidRDefault="008A645F">
      <w:pPr>
        <w:ind w:left="284" w:hanging="284"/>
        <w:jc w:val="both"/>
        <w:rPr>
          <w:rFonts w:ascii="Arial" w:hAnsi="Arial" w:cs="Arial"/>
          <w:lang w:val="es-CO"/>
        </w:rPr>
      </w:pPr>
      <w:r>
        <w:rPr>
          <w:rFonts w:ascii="Arial" w:hAnsi="Arial" w:cs="Arial"/>
          <w:lang w:val="es-CO"/>
        </w:rPr>
        <w:t>b) Se determina el porcentaje de retención que figure, en la tabla de retenció</w:t>
      </w:r>
      <w:r>
        <w:rPr>
          <w:rFonts w:ascii="Arial" w:hAnsi="Arial" w:cs="Arial"/>
          <w:lang w:val="es-CO"/>
        </w:rPr>
        <w:t>n del año en el cual se produjo el retiro del trabajador, frente al valor obtenido de acuerdo con lo previsto en el literal anterior y dicho porcentaje se aplica al valor de la bonificación o indemnización según el caso. La cifra resultante será el valor a</w:t>
      </w:r>
      <w:r>
        <w:rPr>
          <w:rFonts w:ascii="Arial" w:hAnsi="Arial" w:cs="Arial"/>
          <w:lang w:val="es-CO"/>
        </w:rPr>
        <w:t xml:space="preserve"> retener.</w:t>
      </w:r>
    </w:p>
    <w:p w14:paraId="4EBAFAA6" w14:textId="77777777" w:rsidR="00B2442D" w:rsidRDefault="00B2442D">
      <w:pPr>
        <w:jc w:val="both"/>
        <w:rPr>
          <w:rFonts w:ascii="Arial" w:hAnsi="Arial" w:cs="Arial"/>
          <w:i/>
          <w:lang w:val="es-CO"/>
        </w:rPr>
      </w:pPr>
    </w:p>
    <w:p w14:paraId="762E8B17" w14:textId="77777777" w:rsidR="00B2442D" w:rsidRDefault="008A645F">
      <w:pPr>
        <w:jc w:val="both"/>
        <w:rPr>
          <w:rFonts w:ascii="Arial" w:hAnsi="Arial" w:cs="Arial"/>
          <w:i/>
          <w:lang w:val="es-CO"/>
        </w:rPr>
      </w:pPr>
      <w:r>
        <w:rPr>
          <w:rFonts w:ascii="Arial" w:hAnsi="Arial" w:cs="Arial"/>
          <w:i/>
          <w:lang w:val="es-CO"/>
        </w:rPr>
        <w:t>(Art. 9 Decreto 400 de 1987)</w:t>
      </w:r>
    </w:p>
    <w:p w14:paraId="729AFAEC" w14:textId="77777777" w:rsidR="00B2442D" w:rsidRDefault="00B2442D">
      <w:pPr>
        <w:jc w:val="both"/>
        <w:rPr>
          <w:rFonts w:ascii="Arial" w:hAnsi="Arial" w:cs="Arial"/>
          <w:lang w:val="es-CO"/>
        </w:rPr>
      </w:pPr>
    </w:p>
    <w:p w14:paraId="3E991C75"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Retención en la fuente sobre excedentes de libre disponibilidad.</w:t>
      </w:r>
      <w:r>
        <w:rPr>
          <w:rFonts w:ascii="Arial" w:hAnsi="Arial" w:cs="Arial"/>
          <w:lang w:val="es-CO"/>
        </w:rPr>
        <w:t xml:space="preserve"> El retiro de excedentes de libre disponibilidad, se determinará en cualquier caso de conformidad con el artículo 85 de la Ley 100 de 1993. </w:t>
      </w:r>
    </w:p>
    <w:p w14:paraId="12E57D90" w14:textId="77777777" w:rsidR="00B2442D" w:rsidRDefault="00B2442D">
      <w:pPr>
        <w:jc w:val="both"/>
        <w:rPr>
          <w:rFonts w:ascii="Arial" w:hAnsi="Arial" w:cs="Arial"/>
          <w:lang w:val="es-CO"/>
        </w:rPr>
      </w:pPr>
    </w:p>
    <w:p w14:paraId="090EB49D" w14:textId="77777777" w:rsidR="00B2442D" w:rsidRDefault="008A645F">
      <w:pPr>
        <w:jc w:val="both"/>
        <w:rPr>
          <w:rFonts w:ascii="Arial" w:hAnsi="Arial" w:cs="Arial"/>
          <w:lang w:val="es-CO"/>
        </w:rPr>
      </w:pPr>
      <w:r>
        <w:rPr>
          <w:rFonts w:ascii="Arial" w:hAnsi="Arial" w:cs="Arial"/>
          <w:lang w:val="es-CO"/>
        </w:rPr>
        <w:t xml:space="preserve">En </w:t>
      </w:r>
      <w:r>
        <w:rPr>
          <w:rFonts w:ascii="Arial" w:hAnsi="Arial" w:cs="Arial"/>
          <w:lang w:val="es-CO"/>
        </w:rPr>
        <w:t>todo caso, no se podrán retirar para fines distintos a los pensionales sumas provenientes de aportes obligatorios, salvo que formen parte de los excedentes de libre disponibilidad.</w:t>
      </w:r>
    </w:p>
    <w:p w14:paraId="1433A076" w14:textId="77777777" w:rsidR="00B2442D" w:rsidRDefault="00B2442D">
      <w:pPr>
        <w:jc w:val="both"/>
        <w:rPr>
          <w:rFonts w:ascii="Arial" w:hAnsi="Arial" w:cs="Arial"/>
          <w:i/>
          <w:lang w:val="es-CO"/>
        </w:rPr>
      </w:pPr>
    </w:p>
    <w:p w14:paraId="1B9F95E7" w14:textId="77777777" w:rsidR="00B2442D" w:rsidRDefault="008A645F">
      <w:pPr>
        <w:jc w:val="both"/>
        <w:rPr>
          <w:rFonts w:ascii="Arial" w:hAnsi="Arial" w:cs="Arial"/>
          <w:i/>
          <w:lang w:val="es-CO"/>
        </w:rPr>
      </w:pPr>
      <w:r>
        <w:rPr>
          <w:rFonts w:ascii="Arial" w:hAnsi="Arial" w:cs="Arial"/>
          <w:i/>
          <w:lang w:val="es-CO"/>
        </w:rPr>
        <w:t>(Art. 20, Decreto 841 de 1998. La expresión: “y para dicho retiro se aplic</w:t>
      </w:r>
      <w:r>
        <w:rPr>
          <w:rFonts w:ascii="Arial" w:hAnsi="Arial" w:cs="Arial"/>
          <w:i/>
          <w:lang w:val="es-CO"/>
        </w:rPr>
        <w:t>ará la tarifa de retención en la fuente que se obtenga mediante el cálculo previsto en el artículo 19 del presente decreto", tiene decaimiento por la modificación que efectuó el artículo 3 de la Ley 1607/12 al artículo 126-1 del Estatuto Tributario)</w:t>
      </w:r>
      <w:r>
        <w:rPr>
          <w:rFonts w:ascii="Arial" w:hAnsi="Arial" w:cs="Arial"/>
        </w:rPr>
        <w:t xml:space="preserve"> </w:t>
      </w:r>
      <w:r>
        <w:rPr>
          <w:rFonts w:ascii="Arial" w:hAnsi="Arial" w:cs="Arial"/>
          <w:i/>
          <w:lang w:val="es-CO"/>
        </w:rPr>
        <w:t xml:space="preserve">(El </w:t>
      </w:r>
      <w:r>
        <w:rPr>
          <w:rFonts w:ascii="Arial" w:hAnsi="Arial" w:cs="Arial"/>
          <w:i/>
          <w:lang w:val="es-CO"/>
        </w:rPr>
        <w:t>Decreto 841 de 1998 rige a partir del primero de mayo y deroga el Decreto 163 de 1997, y las demás normas que le sean contrarias. Art. 24, Decreto 841 de 1998)</w:t>
      </w:r>
    </w:p>
    <w:p w14:paraId="544679E3" w14:textId="77777777" w:rsidR="00B2442D" w:rsidRDefault="00B2442D">
      <w:pPr>
        <w:jc w:val="both"/>
        <w:rPr>
          <w:rFonts w:ascii="Arial" w:hAnsi="Arial" w:cs="Arial"/>
          <w:i/>
          <w:lang w:val="es-CO"/>
        </w:rPr>
      </w:pPr>
    </w:p>
    <w:p w14:paraId="2EBED16F"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Garantía sobre el exceso del capital ahorrado o valor del rescate.</w:t>
      </w:r>
      <w:r>
        <w:rPr>
          <w:rFonts w:ascii="Arial" w:hAnsi="Arial" w:cs="Arial"/>
          <w:lang w:val="es-CO"/>
        </w:rPr>
        <w:t xml:space="preserve"> Cuando de conformidad con l</w:t>
      </w:r>
      <w:r>
        <w:rPr>
          <w:rFonts w:ascii="Arial" w:hAnsi="Arial" w:cs="Arial"/>
          <w:lang w:val="es-CO"/>
        </w:rPr>
        <w:t>as normas pertinentes, sobre un fondo de pensiones o sobre el valor de rescate de un seguro de pensión, se haga efectiva la garantía constituida sobre los mismos, las sumas provenientes de dicho capital que se retiren para tal efecto, estarán sometidas pre</w:t>
      </w:r>
      <w:r>
        <w:rPr>
          <w:rFonts w:ascii="Arial" w:hAnsi="Arial" w:cs="Arial"/>
          <w:lang w:val="es-CO"/>
        </w:rPr>
        <w:t>viamente a la retención en la fuente por el mismo concepto y condiciones tributarias que tendrían si fueren entregadas directamente al afiliado, en los términos del artículo 1.2.4.1.9 del presente decreto.</w:t>
      </w:r>
    </w:p>
    <w:p w14:paraId="69754C3D" w14:textId="77777777" w:rsidR="00B2442D" w:rsidRDefault="00B2442D">
      <w:pPr>
        <w:jc w:val="both"/>
        <w:rPr>
          <w:rFonts w:ascii="Arial" w:hAnsi="Arial" w:cs="Arial"/>
          <w:i/>
          <w:lang w:val="es-CO"/>
        </w:rPr>
      </w:pPr>
    </w:p>
    <w:p w14:paraId="53FAB3D9" w14:textId="77777777" w:rsidR="00B2442D" w:rsidRDefault="008A645F">
      <w:pPr>
        <w:jc w:val="both"/>
        <w:rPr>
          <w:rFonts w:ascii="Arial" w:hAnsi="Arial" w:cs="Arial"/>
          <w:i/>
          <w:lang w:val="es-CO"/>
        </w:rPr>
      </w:pPr>
      <w:r>
        <w:rPr>
          <w:rFonts w:ascii="Arial" w:hAnsi="Arial" w:cs="Arial"/>
          <w:i/>
          <w:lang w:val="es-CO"/>
        </w:rPr>
        <w:t>(Art. 21, Decreto 841 de 1998. La referencia al a</w:t>
      </w:r>
      <w:r>
        <w:rPr>
          <w:rFonts w:ascii="Arial" w:hAnsi="Arial" w:cs="Arial"/>
          <w:i/>
          <w:lang w:val="es-CO"/>
        </w:rPr>
        <w:t>rtículo 19 del Decreto 841 de 1998 se eliminó por tener decaimiento en virtud de la evolución legislativa del artículo 126-1 del Estatuto Tributario del cual era reglamentario)</w:t>
      </w:r>
      <w:r>
        <w:rPr>
          <w:rFonts w:ascii="Arial" w:hAnsi="Arial" w:cs="Arial"/>
        </w:rPr>
        <w:t xml:space="preserve"> </w:t>
      </w:r>
      <w:r>
        <w:rPr>
          <w:rFonts w:ascii="Arial" w:hAnsi="Arial" w:cs="Arial"/>
          <w:i/>
          <w:lang w:val="es-CO"/>
        </w:rPr>
        <w:t>(El Decreto 841 de 1998 rige a partir del primero de mayo y deroga el Decreto 1</w:t>
      </w:r>
      <w:r>
        <w:rPr>
          <w:rFonts w:ascii="Arial" w:hAnsi="Arial" w:cs="Arial"/>
          <w:i/>
          <w:lang w:val="es-CO"/>
        </w:rPr>
        <w:t>63 de 1997, y las demás normas que le sean contrarias. Art. 24, Decreto 841 de 1998)</w:t>
      </w:r>
    </w:p>
    <w:p w14:paraId="53D2770E" w14:textId="77777777" w:rsidR="00B2442D" w:rsidRDefault="00B2442D">
      <w:pPr>
        <w:jc w:val="both"/>
        <w:rPr>
          <w:rFonts w:ascii="Arial" w:hAnsi="Arial" w:cs="Arial"/>
          <w:lang w:val="es-CO"/>
        </w:rPr>
      </w:pPr>
    </w:p>
    <w:p w14:paraId="4C2E2B27"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Retención en la fuente sobre cesantías.</w:t>
      </w:r>
      <w:r>
        <w:rPr>
          <w:rFonts w:ascii="Arial" w:hAnsi="Arial" w:cs="Arial"/>
          <w:lang w:val="es-CO"/>
        </w:rPr>
        <w:t xml:space="preserve"> De conformidad con el parágrafo 3° del artículo 135 de la Ley 100 de 1993, en ningún caso los pagos efectuados por concepto de ce</w:t>
      </w:r>
      <w:r>
        <w:rPr>
          <w:rFonts w:ascii="Arial" w:hAnsi="Arial" w:cs="Arial"/>
          <w:lang w:val="es-CO"/>
        </w:rPr>
        <w:t>santías o intereses sobre las mismas, estarán sujetos a retención en la fuente, sin perjuicio del tratamiento previsto en el numeral 4° del artículo 206 del Estatuto Tributario.</w:t>
      </w:r>
    </w:p>
    <w:p w14:paraId="223A538F" w14:textId="77777777" w:rsidR="00B2442D" w:rsidRDefault="00B2442D">
      <w:pPr>
        <w:jc w:val="both"/>
        <w:rPr>
          <w:rFonts w:ascii="Arial" w:hAnsi="Arial" w:cs="Arial"/>
          <w:i/>
          <w:lang w:val="es-CO"/>
        </w:rPr>
      </w:pPr>
    </w:p>
    <w:p w14:paraId="32A44701" w14:textId="77777777" w:rsidR="00B2442D" w:rsidRDefault="008A645F">
      <w:pPr>
        <w:jc w:val="both"/>
        <w:rPr>
          <w:rFonts w:ascii="Arial" w:hAnsi="Arial" w:cs="Arial"/>
          <w:i/>
          <w:lang w:val="es-CO"/>
        </w:rPr>
      </w:pPr>
      <w:r>
        <w:rPr>
          <w:rFonts w:ascii="Arial" w:hAnsi="Arial" w:cs="Arial"/>
          <w:i/>
          <w:lang w:val="es-CO"/>
        </w:rPr>
        <w:t>(Art. 22, Decreto 841 de 1998)</w:t>
      </w:r>
      <w:r>
        <w:rPr>
          <w:rFonts w:ascii="Arial" w:hAnsi="Arial" w:cs="Arial"/>
        </w:rPr>
        <w:t xml:space="preserve"> </w:t>
      </w:r>
      <w:r>
        <w:rPr>
          <w:rFonts w:ascii="Arial" w:hAnsi="Arial" w:cs="Arial"/>
          <w:i/>
          <w:lang w:val="es-CO"/>
        </w:rPr>
        <w:t>(El Decreto 841 de 1998 rige a partir del prim</w:t>
      </w:r>
      <w:r>
        <w:rPr>
          <w:rFonts w:ascii="Arial" w:hAnsi="Arial" w:cs="Arial"/>
          <w:i/>
          <w:lang w:val="es-CO"/>
        </w:rPr>
        <w:t>ero de mayo y deroga el Decreto 163 de 1997, y las demás normas que le sean contrarias. Art. 24, Decreto 841 de 1998)</w:t>
      </w:r>
    </w:p>
    <w:p w14:paraId="6344B1BA" w14:textId="77777777" w:rsidR="00B2442D" w:rsidRDefault="00B2442D">
      <w:pPr>
        <w:jc w:val="both"/>
        <w:rPr>
          <w:rFonts w:ascii="Arial" w:hAnsi="Arial" w:cs="Arial"/>
          <w:b/>
          <w:lang w:val="es-CO"/>
        </w:rPr>
      </w:pPr>
    </w:p>
    <w:p w14:paraId="5D630788"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Información y cuenta de control.</w:t>
      </w:r>
      <w:r>
        <w:rPr>
          <w:rFonts w:ascii="Arial" w:hAnsi="Arial" w:cs="Arial"/>
          <w:lang w:val="es-CO"/>
        </w:rPr>
        <w:t xml:space="preserve"> Las entidades bancarias que realicen préstamos hipotecarios, que manejen cuentas de "Ahorro para el Fom</w:t>
      </w:r>
      <w:r>
        <w:rPr>
          <w:rFonts w:ascii="Arial" w:hAnsi="Arial" w:cs="Arial"/>
          <w:lang w:val="es-CO"/>
        </w:rPr>
        <w:t>ento de la Construcción - AFC", deberán llevar para cada una de estas cuentas, una cuenta en pesos de control denominada "Retenciones Contingentes por Retiro de Ahorros de Cuentas - AFC", en donde se registrará el valor no retenido inicialmente al monto de</w:t>
      </w:r>
      <w:r>
        <w:rPr>
          <w:rFonts w:ascii="Arial" w:hAnsi="Arial" w:cs="Arial"/>
          <w:lang w:val="es-CO"/>
        </w:rPr>
        <w:t xml:space="preserve"> los depósitos, el cual se retendrá al momento de su retiro cuando no se verifiquen los supuestos previstos en el artículo 1.2.4.10.14 del presente decreto. </w:t>
      </w:r>
    </w:p>
    <w:p w14:paraId="3B24D9E1" w14:textId="77777777" w:rsidR="00B2442D" w:rsidRDefault="00B2442D">
      <w:pPr>
        <w:jc w:val="both"/>
        <w:rPr>
          <w:rFonts w:ascii="Arial" w:hAnsi="Arial" w:cs="Arial"/>
          <w:lang w:val="es-CO"/>
        </w:rPr>
      </w:pPr>
    </w:p>
    <w:p w14:paraId="0FC74EAE" w14:textId="77777777" w:rsidR="00B2442D" w:rsidRDefault="008A645F">
      <w:pPr>
        <w:jc w:val="both"/>
        <w:rPr>
          <w:rFonts w:ascii="Arial" w:hAnsi="Arial" w:cs="Arial"/>
          <w:lang w:val="es-CO"/>
        </w:rPr>
      </w:pPr>
      <w:r>
        <w:rPr>
          <w:rFonts w:ascii="Arial" w:hAnsi="Arial" w:cs="Arial"/>
          <w:lang w:val="es-CO"/>
        </w:rPr>
        <w:t>Para tal efecto, tratándose de trabajadores vinculados por una relación laboral o legal y reglame</w:t>
      </w:r>
      <w:r>
        <w:rPr>
          <w:rFonts w:ascii="Arial" w:hAnsi="Arial" w:cs="Arial"/>
          <w:lang w:val="es-CO"/>
        </w:rPr>
        <w:t>ntaria, el respectivo empleador informará a la entidad financiera correspondiente, al momento de la consignación del ahorro, el monto de la diferencia entre la suma que se hubiere retenido en caso de no haberse realizado el ahorro y la efectivamente reteni</w:t>
      </w:r>
      <w:r>
        <w:rPr>
          <w:rFonts w:ascii="Arial" w:hAnsi="Arial" w:cs="Arial"/>
          <w:lang w:val="es-CO"/>
        </w:rPr>
        <w:t xml:space="preserve">da al trabajador. El cálculo se hará sobre los ingresos laborales gravables, una vez disminuidos los conceptos a que se refiere el artículo 387 del Estatuto Tributario cuando sean procedentes. </w:t>
      </w:r>
    </w:p>
    <w:p w14:paraId="6C2216B1" w14:textId="77777777" w:rsidR="00B2442D" w:rsidRDefault="00B2442D">
      <w:pPr>
        <w:jc w:val="both"/>
        <w:rPr>
          <w:rFonts w:ascii="Arial" w:hAnsi="Arial" w:cs="Arial"/>
          <w:lang w:val="es-CO"/>
        </w:rPr>
      </w:pPr>
    </w:p>
    <w:p w14:paraId="72CD67F4" w14:textId="77777777" w:rsidR="00B2442D" w:rsidRDefault="008A645F">
      <w:pPr>
        <w:jc w:val="both"/>
        <w:rPr>
          <w:rFonts w:ascii="Arial" w:hAnsi="Arial" w:cs="Arial"/>
          <w:lang w:val="es-CO"/>
        </w:rPr>
      </w:pPr>
      <w:r>
        <w:rPr>
          <w:rFonts w:ascii="Arial" w:hAnsi="Arial" w:cs="Arial"/>
          <w:b/>
          <w:lang w:val="es-CO"/>
        </w:rPr>
        <w:t xml:space="preserve">Parágrafo 1°. </w:t>
      </w:r>
      <w:r>
        <w:rPr>
          <w:rFonts w:ascii="Arial" w:hAnsi="Arial" w:cs="Arial"/>
          <w:lang w:val="es-CO"/>
        </w:rPr>
        <w:t>Cuando se realicen retiros de ahorros depositad</w:t>
      </w:r>
      <w:r>
        <w:rPr>
          <w:rFonts w:ascii="Arial" w:hAnsi="Arial" w:cs="Arial"/>
          <w:lang w:val="es-CO"/>
        </w:rPr>
        <w:t xml:space="preserve">os en las cuentas de "Ahorro para el Fomento de la Construcción - AFC", se imputarán a los depósitos de menor antigüedad, salvo que el titular identifique expresamente y para cada retiro, la antigüedad de los depósitos que desea retirar. </w:t>
      </w:r>
    </w:p>
    <w:p w14:paraId="4D19EBF5" w14:textId="77777777" w:rsidR="00B2442D" w:rsidRDefault="00B2442D">
      <w:pPr>
        <w:jc w:val="both"/>
        <w:rPr>
          <w:rFonts w:ascii="Arial" w:hAnsi="Arial" w:cs="Arial"/>
          <w:lang w:val="es-CO"/>
        </w:rPr>
      </w:pPr>
    </w:p>
    <w:p w14:paraId="767DFAA1" w14:textId="77777777" w:rsidR="00B2442D" w:rsidRDefault="008A645F">
      <w:pPr>
        <w:jc w:val="both"/>
        <w:rPr>
          <w:rFonts w:ascii="Arial" w:hAnsi="Arial" w:cs="Arial"/>
          <w:lang w:val="es-CO"/>
        </w:rPr>
      </w:pPr>
      <w:r>
        <w:rPr>
          <w:rFonts w:ascii="Arial" w:hAnsi="Arial" w:cs="Arial"/>
          <w:b/>
          <w:lang w:val="es-CO"/>
        </w:rPr>
        <w:t xml:space="preserve">Parágrafo 2°. </w:t>
      </w:r>
      <w:r>
        <w:rPr>
          <w:rFonts w:ascii="Arial" w:hAnsi="Arial" w:cs="Arial"/>
          <w:lang w:val="es-CO"/>
        </w:rPr>
        <w:t xml:space="preserve">A </w:t>
      </w:r>
      <w:r>
        <w:rPr>
          <w:rFonts w:ascii="Arial" w:hAnsi="Arial" w:cs="Arial"/>
          <w:lang w:val="es-CO"/>
        </w:rPr>
        <w:t>los trabajadores independientes que efectúen directamente la consignación de ahorros provenientes de ingresos que estando sometidos a retención en la fuente, esta no se les hubiere practicado, corresponderá a la entidad financiera respectiva realizar el cá</w:t>
      </w:r>
      <w:r>
        <w:rPr>
          <w:rFonts w:ascii="Arial" w:hAnsi="Arial" w:cs="Arial"/>
          <w:lang w:val="es-CO"/>
        </w:rPr>
        <w:t xml:space="preserve">lculo de acuerdo con el concepto que dio origen al ingreso según la información que se consigne en el respectivo formulario y registrarlo en la cuenta de control. </w:t>
      </w:r>
    </w:p>
    <w:p w14:paraId="5A04F084" w14:textId="77777777" w:rsidR="00B2442D" w:rsidRDefault="00B2442D">
      <w:pPr>
        <w:jc w:val="both"/>
        <w:rPr>
          <w:rFonts w:ascii="Arial" w:hAnsi="Arial" w:cs="Arial"/>
          <w:lang w:val="es-CO"/>
        </w:rPr>
      </w:pPr>
    </w:p>
    <w:p w14:paraId="0A8BE5E0"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Para los efectos previstos en el presente artículo, los titulares de las cuen</w:t>
      </w:r>
      <w:r>
        <w:rPr>
          <w:rFonts w:ascii="Arial" w:hAnsi="Arial" w:cs="Arial"/>
          <w:lang w:val="es-CO"/>
        </w:rPr>
        <w:t>tas de "Ahorro para el Fomento de la Construcción - AFC", que efectúen directamente las consignaciones de ahorros, con ingresos que hayan sido objeto de retención en la fuente, deberán anexar para el efecto copia del certificado de retención en la fuente o</w:t>
      </w:r>
      <w:r>
        <w:rPr>
          <w:rFonts w:ascii="Arial" w:hAnsi="Arial" w:cs="Arial"/>
          <w:lang w:val="es-CO"/>
        </w:rPr>
        <w:t xml:space="preserve"> copia del documento emitido por el agente retenedor donde conste el monto de la retención practicada, y contenga al menos la siguiente información: nombre o razón social y NIT del agente retenedor, nombre o razón social y NIT del beneficiario del pago. Cu</w:t>
      </w:r>
      <w:r>
        <w:rPr>
          <w:rFonts w:ascii="Arial" w:hAnsi="Arial" w:cs="Arial"/>
          <w:lang w:val="es-CO"/>
        </w:rPr>
        <w:t>ando los aportes se realicen con ingresos exentos o no constitutivos de renta ni ganancia ocasional, originados por conceptos diferentes a los previstos en el artículo 126-4 del Estatuto Tributario, el titular de la cuenta deberá acreditar tal hecho anexan</w:t>
      </w:r>
      <w:r>
        <w:rPr>
          <w:rFonts w:ascii="Arial" w:hAnsi="Arial" w:cs="Arial"/>
          <w:lang w:val="es-CO"/>
        </w:rPr>
        <w:t xml:space="preserve">do las certificaciones o constancias del caso. </w:t>
      </w:r>
    </w:p>
    <w:p w14:paraId="33FE87C2" w14:textId="77777777" w:rsidR="00B2442D" w:rsidRDefault="00B2442D">
      <w:pPr>
        <w:jc w:val="both"/>
        <w:rPr>
          <w:rFonts w:ascii="Arial" w:hAnsi="Arial" w:cs="Arial"/>
          <w:lang w:val="es-CO"/>
        </w:rPr>
      </w:pPr>
    </w:p>
    <w:p w14:paraId="46AAFEF5"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En el caso de traslado de ahorros entre cuentas de "Ahorro para el Fomento de la Construcción - AFC", poseídas por un mismo titular en diferentes entidades financieras, la entidad que maneja la</w:t>
      </w:r>
      <w:r>
        <w:rPr>
          <w:rFonts w:ascii="Arial" w:hAnsi="Arial" w:cs="Arial"/>
          <w:lang w:val="es-CO"/>
        </w:rPr>
        <w:t xml:space="preserve"> cuenta de origen informará a la entidad que maneja la cuenta receptora, la historia completa de la cuenta de ahorro trasladada, con el propósito que la entidad receptora registre en sus archivos dicha información, manteniendo la antigüedad y el valor a pe</w:t>
      </w:r>
      <w:r>
        <w:rPr>
          <w:rFonts w:ascii="Arial" w:hAnsi="Arial" w:cs="Arial"/>
          <w:lang w:val="es-CO"/>
        </w:rPr>
        <w:t>sos históricos de los depósitos de ahorros.</w:t>
      </w:r>
    </w:p>
    <w:p w14:paraId="2903E2E8" w14:textId="77777777" w:rsidR="00B2442D" w:rsidRDefault="00B2442D">
      <w:pPr>
        <w:jc w:val="both"/>
        <w:rPr>
          <w:rFonts w:ascii="Arial" w:hAnsi="Arial" w:cs="Arial"/>
          <w:lang w:val="es-CO"/>
        </w:rPr>
      </w:pPr>
    </w:p>
    <w:p w14:paraId="1524B952" w14:textId="77777777" w:rsidR="00B2442D" w:rsidRDefault="008A645F">
      <w:pPr>
        <w:jc w:val="both"/>
        <w:rPr>
          <w:rFonts w:ascii="Arial" w:hAnsi="Arial" w:cs="Arial"/>
          <w:i/>
          <w:lang w:val="es-CO"/>
        </w:rPr>
      </w:pPr>
      <w:r>
        <w:rPr>
          <w:rFonts w:ascii="Arial" w:hAnsi="Arial" w:cs="Arial"/>
          <w:i/>
          <w:lang w:val="es-CO"/>
        </w:rPr>
        <w:t>(Art. 10, Decreto 2577 de 1999)</w:t>
      </w:r>
    </w:p>
    <w:p w14:paraId="3CE64CDD" w14:textId="77777777" w:rsidR="00B2442D" w:rsidRDefault="00B2442D">
      <w:pPr>
        <w:jc w:val="both"/>
        <w:rPr>
          <w:rFonts w:ascii="Arial" w:hAnsi="Arial" w:cs="Arial"/>
          <w:b/>
          <w:lang w:val="es-CO"/>
        </w:rPr>
      </w:pPr>
    </w:p>
    <w:p w14:paraId="6A1F9E76"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Valor absoluto reexpresado en UVT para retención en la fuente en indemnizaciones derivadas de una relación laboral o legal y reglamentaria. </w:t>
      </w:r>
      <w:r>
        <w:rPr>
          <w:rFonts w:ascii="Arial" w:hAnsi="Arial" w:cs="Arial"/>
          <w:lang w:val="es-CO"/>
        </w:rPr>
        <w:t>Para efecto de las indemnizaciones derivadas de una relación laboral o legal y reglamentaria, a que se refiere el a</w:t>
      </w:r>
      <w:r>
        <w:rPr>
          <w:rFonts w:ascii="Arial" w:hAnsi="Arial" w:cs="Arial"/>
          <w:lang w:val="es-CO"/>
        </w:rPr>
        <w:t>rtículo 401 -3 del Estatuto Tributario, las mismas estarán sometidas a retención por concepto de impuesto sobre la renta, a una tarifa del veinte por ciento (20%) para trabajadores que devenguen ingresos superiores al equivalente de doscientas cuatro (204)</w:t>
      </w:r>
      <w:r>
        <w:rPr>
          <w:rFonts w:ascii="Arial" w:hAnsi="Arial" w:cs="Arial"/>
          <w:lang w:val="es-CO"/>
        </w:rPr>
        <w:t xml:space="preserve"> Unidades de Valor Tributario (UVT), sin perjuicio de lo dispuesto por el artículo 27 de la Ley 488 de 1998.</w:t>
      </w:r>
    </w:p>
    <w:p w14:paraId="5A0F0F73" w14:textId="77777777" w:rsidR="00B2442D" w:rsidRDefault="00B2442D">
      <w:pPr>
        <w:jc w:val="both"/>
        <w:rPr>
          <w:rFonts w:ascii="Arial" w:hAnsi="Arial" w:cs="Arial"/>
          <w:lang w:val="es-CO"/>
        </w:rPr>
      </w:pPr>
    </w:p>
    <w:p w14:paraId="0ED08EEA" w14:textId="77777777" w:rsidR="00B2442D" w:rsidRDefault="008A645F">
      <w:pPr>
        <w:jc w:val="both"/>
        <w:rPr>
          <w:rFonts w:ascii="Arial" w:hAnsi="Arial" w:cs="Arial"/>
          <w:i/>
          <w:lang w:val="es-CO"/>
        </w:rPr>
      </w:pPr>
      <w:r>
        <w:rPr>
          <w:rFonts w:ascii="Arial" w:hAnsi="Arial" w:cs="Arial"/>
          <w:i/>
          <w:lang w:val="es-CO"/>
        </w:rPr>
        <w:t>(Art. 2, Decreto 379 de 2007)</w:t>
      </w:r>
      <w:r>
        <w:rPr>
          <w:rFonts w:ascii="Arial" w:hAnsi="Arial" w:cs="Arial"/>
        </w:rPr>
        <w:t xml:space="preserve"> </w:t>
      </w:r>
      <w:r>
        <w:rPr>
          <w:rFonts w:ascii="Arial" w:hAnsi="Arial" w:cs="Arial"/>
          <w:i/>
          <w:lang w:val="es-CO"/>
        </w:rPr>
        <w:t>(El Decreto 379 de 2007 rige a partir de su publicación y deroga las disposiciones que le sean contrarias, en especi</w:t>
      </w:r>
      <w:r>
        <w:rPr>
          <w:rFonts w:ascii="Arial" w:hAnsi="Arial" w:cs="Arial"/>
          <w:i/>
          <w:lang w:val="es-CO"/>
        </w:rPr>
        <w:t>al el parágrafo 2° del artículo 6° del Decreto 4583 de 2006. Art. 12, Decreto 379 de 2007)</w:t>
      </w:r>
    </w:p>
    <w:p w14:paraId="72075C34" w14:textId="77777777" w:rsidR="00B2442D" w:rsidRDefault="00B2442D">
      <w:pPr>
        <w:jc w:val="both"/>
        <w:rPr>
          <w:rFonts w:ascii="Arial" w:hAnsi="Arial" w:cs="Arial"/>
          <w:lang w:val="es-CO"/>
        </w:rPr>
      </w:pPr>
    </w:p>
    <w:p w14:paraId="1F6935BF"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Gastos en salud y vivienda de los servidores en el exterior. </w:t>
      </w:r>
      <w:r>
        <w:rPr>
          <w:rFonts w:ascii="Arial" w:hAnsi="Arial" w:cs="Arial"/>
          <w:lang w:val="es-CO"/>
        </w:rPr>
        <w:t>Los servidores del Ministerio de Relaciones Exteriores que se encuentren prestando servicios en el ext</w:t>
      </w:r>
      <w:r>
        <w:rPr>
          <w:rFonts w:ascii="Arial" w:hAnsi="Arial" w:cs="Arial"/>
          <w:lang w:val="es-CO"/>
        </w:rPr>
        <w:t>erior, podrán deducir de la base de retención en la fuente y en el impuesto sobre la renta, los pagos efectuados por planes de salud adicionales a la cobertura que en esta materia otorga el Ministerio de Relaciones Exteriores, siempre que dichos pagos se f</w:t>
      </w:r>
      <w:r>
        <w:rPr>
          <w:rFonts w:ascii="Arial" w:hAnsi="Arial" w:cs="Arial"/>
          <w:lang w:val="es-CO"/>
        </w:rPr>
        <w:t xml:space="preserve">inancien exclusivamente por los servidores en el exterior, así como los intereses y/o corrección monetaria o costo financiero que se paguen sobre préstamos para adquisición de vivienda del contribuyente o adquisición por el sistema </w:t>
      </w:r>
      <w:r>
        <w:rPr>
          <w:rFonts w:ascii="Arial" w:hAnsi="Arial" w:cs="Arial"/>
          <w:i/>
          <w:lang w:val="es-CO"/>
        </w:rPr>
        <w:t>leasing</w:t>
      </w:r>
      <w:r>
        <w:rPr>
          <w:rFonts w:ascii="Arial" w:hAnsi="Arial" w:cs="Arial"/>
          <w:lang w:val="es-CO"/>
        </w:rPr>
        <w:t>.</w:t>
      </w:r>
    </w:p>
    <w:p w14:paraId="223FA7CC" w14:textId="77777777" w:rsidR="00B2442D" w:rsidRDefault="00B2442D">
      <w:pPr>
        <w:jc w:val="both"/>
        <w:rPr>
          <w:rFonts w:ascii="Arial" w:hAnsi="Arial" w:cs="Arial"/>
          <w:lang w:val="es-CO"/>
        </w:rPr>
      </w:pPr>
    </w:p>
    <w:p w14:paraId="7F14F48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w:t>
      </w:r>
      <w:r>
        <w:rPr>
          <w:rFonts w:ascii="Arial" w:hAnsi="Arial" w:cs="Arial"/>
          <w:lang w:val="es-CO"/>
        </w:rPr>
        <w:t>a lo previsto en este artículo aplicarán los límites anuales y demás restricciones que operan para la generalidad de los casos previstos en los artículos 119 y 387 del Estatuto Tributario.</w:t>
      </w:r>
    </w:p>
    <w:p w14:paraId="61F6D54F" w14:textId="77777777" w:rsidR="00B2442D" w:rsidRDefault="00B2442D">
      <w:pPr>
        <w:jc w:val="both"/>
        <w:rPr>
          <w:rFonts w:ascii="Arial" w:hAnsi="Arial" w:cs="Arial"/>
          <w:lang w:val="es-CO"/>
        </w:rPr>
      </w:pPr>
    </w:p>
    <w:p w14:paraId="55621CED" w14:textId="77777777" w:rsidR="00B2442D" w:rsidRDefault="008A645F">
      <w:pPr>
        <w:jc w:val="both"/>
        <w:rPr>
          <w:rFonts w:ascii="Arial" w:hAnsi="Arial" w:cs="Arial"/>
          <w:i/>
          <w:lang w:val="es-CO"/>
        </w:rPr>
      </w:pPr>
      <w:r>
        <w:rPr>
          <w:rFonts w:ascii="Arial" w:hAnsi="Arial" w:cs="Arial"/>
          <w:i/>
          <w:lang w:val="es-CO"/>
        </w:rPr>
        <w:t>(Art. 2, Decreto 2271 de 2009. Se excluye la referencia a la deduc</w:t>
      </w:r>
      <w:r>
        <w:rPr>
          <w:rFonts w:ascii="Arial" w:hAnsi="Arial" w:cs="Arial"/>
          <w:i/>
          <w:lang w:val="es-CO"/>
        </w:rPr>
        <w:t>ción por educación por la evolución normativa. (El art. 2 reglamenta el artículo 387 del Estatuto Tributario, modificado por el artículo 15 de la Ley 1607 de 2012))</w:t>
      </w:r>
    </w:p>
    <w:p w14:paraId="2FFC9926" w14:textId="77777777" w:rsidR="00B2442D" w:rsidRDefault="00B2442D">
      <w:pPr>
        <w:jc w:val="both"/>
        <w:rPr>
          <w:rFonts w:ascii="Arial" w:hAnsi="Arial" w:cs="Arial"/>
          <w:lang w:val="es-CO"/>
        </w:rPr>
      </w:pPr>
    </w:p>
    <w:p w14:paraId="088C139C"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Deducción de los aportes obligatorios.</w:t>
      </w:r>
      <w:r>
        <w:rPr>
          <w:rFonts w:ascii="Arial" w:hAnsi="Arial" w:cs="Arial"/>
          <w:lang w:val="es-CO"/>
        </w:rPr>
        <w:t xml:space="preserve"> El valor a cargo del trabajador en los aportes obl</w:t>
      </w:r>
      <w:r>
        <w:rPr>
          <w:rFonts w:ascii="Arial" w:hAnsi="Arial" w:cs="Arial"/>
          <w:lang w:val="es-CO"/>
        </w:rPr>
        <w:t>igatorios al Sistema General de Seguridad Social en Salud es deducible. Para la disminución de la base de retención en la fuente a título de impuesto sobre la renta, el valor a deducir mensualmente se obtiene de dividir el aporte total realizado por el tra</w:t>
      </w:r>
      <w:r>
        <w:rPr>
          <w:rFonts w:ascii="Arial" w:hAnsi="Arial" w:cs="Arial"/>
          <w:lang w:val="es-CO"/>
        </w:rPr>
        <w:t>bajador asalariado en el año inmediatamente anterior o el aporte que aparezca en el certificado vigente entregado por el trabajador, por doce (12) o por el número de meses a que corresponda si es inferior a un año.</w:t>
      </w:r>
    </w:p>
    <w:p w14:paraId="00D9021F" w14:textId="77777777" w:rsidR="00B2442D" w:rsidRDefault="00B2442D">
      <w:pPr>
        <w:jc w:val="both"/>
        <w:rPr>
          <w:rFonts w:ascii="Arial" w:hAnsi="Arial" w:cs="Arial"/>
          <w:lang w:val="es-CO"/>
        </w:rPr>
      </w:pPr>
    </w:p>
    <w:p w14:paraId="20330674" w14:textId="77777777" w:rsidR="00B2442D" w:rsidRDefault="008A645F">
      <w:pPr>
        <w:jc w:val="both"/>
        <w:rPr>
          <w:rFonts w:ascii="Arial" w:hAnsi="Arial" w:cs="Arial"/>
          <w:lang w:val="es-CO"/>
        </w:rPr>
      </w:pPr>
      <w:r>
        <w:rPr>
          <w:rFonts w:ascii="Arial" w:hAnsi="Arial" w:cs="Arial"/>
          <w:lang w:val="es-CO"/>
        </w:rPr>
        <w:t>Cuando se trate del procedimiento de ret</w:t>
      </w:r>
      <w:r>
        <w:rPr>
          <w:rFonts w:ascii="Arial" w:hAnsi="Arial" w:cs="Arial"/>
          <w:lang w:val="es-CO"/>
        </w:rPr>
        <w:t>ención número dos (2), el valor que sea procedente disminuir mensualmente, se tendrá en cuenta tanto para calcular el porcentaje fijo de retención semestral, como para determinar la base mensual sometida a retención.</w:t>
      </w:r>
    </w:p>
    <w:p w14:paraId="608B438A" w14:textId="77777777" w:rsidR="00B2442D" w:rsidRDefault="00B2442D">
      <w:pPr>
        <w:jc w:val="both"/>
        <w:rPr>
          <w:rFonts w:ascii="Arial" w:hAnsi="Arial" w:cs="Arial"/>
          <w:lang w:val="es-CO"/>
        </w:rPr>
      </w:pPr>
    </w:p>
    <w:p w14:paraId="59AB01B3"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En todo caso para la procedencia de la deducción, los aportes al Sistema General de Seguridad Social en Salud son los efectivamente descontados al trabajador por parte del empleador.</w:t>
      </w:r>
    </w:p>
    <w:p w14:paraId="106D1C3A" w14:textId="77777777" w:rsidR="00B2442D" w:rsidRDefault="00B2442D">
      <w:pPr>
        <w:jc w:val="both"/>
        <w:rPr>
          <w:rFonts w:ascii="Arial" w:hAnsi="Arial" w:cs="Arial"/>
          <w:lang w:val="es-CO"/>
        </w:rPr>
      </w:pPr>
    </w:p>
    <w:p w14:paraId="44E09BA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En los casos de cambio de empleador, el trabajador podrá a</w:t>
      </w:r>
      <w:r>
        <w:rPr>
          <w:rFonts w:ascii="Arial" w:hAnsi="Arial" w:cs="Arial"/>
          <w:lang w:val="es-CO"/>
        </w:rPr>
        <w:t>portar el certificado de los aportes obligatorios para salud efectuados en el año inmediatamente anterior, expedido por el pagador o quien haga sus veces en la respectiva entidad a más tardar el día quince (15) de abril de cada año.</w:t>
      </w:r>
    </w:p>
    <w:p w14:paraId="77BF8963" w14:textId="77777777" w:rsidR="00B2442D" w:rsidRDefault="00B2442D">
      <w:pPr>
        <w:jc w:val="both"/>
        <w:rPr>
          <w:rFonts w:ascii="Arial" w:hAnsi="Arial" w:cs="Arial"/>
          <w:lang w:val="es-CO"/>
        </w:rPr>
      </w:pPr>
    </w:p>
    <w:p w14:paraId="0A069E9E" w14:textId="77777777" w:rsidR="00B2442D" w:rsidRDefault="008A645F">
      <w:pPr>
        <w:jc w:val="both"/>
        <w:rPr>
          <w:rFonts w:ascii="Arial" w:hAnsi="Arial" w:cs="Arial"/>
          <w:lang w:val="es-CO"/>
        </w:rPr>
      </w:pPr>
      <w:r>
        <w:rPr>
          <w:rFonts w:ascii="Arial" w:hAnsi="Arial" w:cs="Arial"/>
          <w:i/>
          <w:lang w:val="es-CO"/>
        </w:rPr>
        <w:t xml:space="preserve">(Art. 3, Decreto 2271 </w:t>
      </w:r>
      <w:r>
        <w:rPr>
          <w:rFonts w:ascii="Arial" w:hAnsi="Arial" w:cs="Arial"/>
          <w:i/>
          <w:lang w:val="es-CO"/>
        </w:rPr>
        <w:t xml:space="preserve">de 2009. El inciso 1 modificado por el art. 1 del Decreto 3655 de 2009) </w:t>
      </w:r>
    </w:p>
    <w:p w14:paraId="3AFFCC6B" w14:textId="77777777" w:rsidR="00B2442D" w:rsidRDefault="00B2442D">
      <w:pPr>
        <w:jc w:val="both"/>
        <w:rPr>
          <w:rFonts w:ascii="Arial" w:hAnsi="Arial" w:cs="Arial"/>
          <w:lang w:val="es-CO"/>
        </w:rPr>
      </w:pPr>
    </w:p>
    <w:p w14:paraId="0252077B"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Disminución de la base para trabajadores independientes. </w:t>
      </w:r>
      <w:r>
        <w:rPr>
          <w:rFonts w:ascii="Arial" w:hAnsi="Arial" w:cs="Arial"/>
          <w:lang w:val="es-CO"/>
        </w:rPr>
        <w:t>El monto total del aporte que el trabajador independiente debe efectuar al Sistema General de Seguridad Social en Salud es d</w:t>
      </w:r>
      <w:r>
        <w:rPr>
          <w:rFonts w:ascii="Arial" w:hAnsi="Arial" w:cs="Arial"/>
          <w:lang w:val="es-CO"/>
        </w:rPr>
        <w:t>educible. En este caso, la base de retención en la fuente al momento del pago o abono en cuenta, se disminuirá con el valor total del aporte obligatorio al Sistema General de Seguridad Social en Salud realizado por el independiente, que corresponda al peri</w:t>
      </w:r>
      <w:r>
        <w:rPr>
          <w:rFonts w:ascii="Arial" w:hAnsi="Arial" w:cs="Arial"/>
          <w:lang w:val="es-CO"/>
        </w:rPr>
        <w:t>odo que origina el pago y de manera proporcional a cada contrato en los casos en que hubiere lugar. En tal sentido, no se podrá disminuir la base por aportes efectuados en contratos diferentes al que origina el respectivo pago y el monto a deducir no podrá</w:t>
      </w:r>
      <w:r>
        <w:rPr>
          <w:rFonts w:ascii="Arial" w:hAnsi="Arial" w:cs="Arial"/>
          <w:lang w:val="es-CO"/>
        </w:rPr>
        <w:t xml:space="preserve"> exceder el valor de los aportes al Sistema General de Seguridad Social en Salud que le corresponda efectuar al independiente por dicho contrato.</w:t>
      </w:r>
    </w:p>
    <w:p w14:paraId="1FF5AEA9" w14:textId="77777777" w:rsidR="00B2442D" w:rsidRDefault="00B2442D">
      <w:pPr>
        <w:jc w:val="both"/>
        <w:rPr>
          <w:rFonts w:ascii="Arial" w:hAnsi="Arial" w:cs="Arial"/>
          <w:lang w:val="es-CO"/>
        </w:rPr>
      </w:pPr>
    </w:p>
    <w:p w14:paraId="2F3A4CFC"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los efectos previstos en el presente artículo, el trabajador independiente deberá adjuntar </w:t>
      </w:r>
      <w:r>
        <w:rPr>
          <w:rFonts w:ascii="Arial" w:hAnsi="Arial" w:cs="Arial"/>
          <w:lang w:val="es-CO"/>
        </w:rPr>
        <w:t>a su factura, documento equivalente o a la cuenta de cobro, si a ello hubiere lugar, un escrito dirigido al agente retenedor en el cual certifique bajo la gravedad de juramento, que los documentos soporte del pago de aportes obligatorios al Sistema General</w:t>
      </w:r>
      <w:r>
        <w:rPr>
          <w:rFonts w:ascii="Arial" w:hAnsi="Arial" w:cs="Arial"/>
          <w:lang w:val="es-CO"/>
        </w:rPr>
        <w:t xml:space="preserve"> de Seguridad Social en Salud corresponden a los ingresos provenientes del contrato materia del pago sujeto a retención. En el caso de que su cotización alcance el tope legal de veinticinco (25) salarios mínimos legales mensuales vigentes, por la totalidad</w:t>
      </w:r>
      <w:r>
        <w:rPr>
          <w:rFonts w:ascii="Arial" w:hAnsi="Arial" w:cs="Arial"/>
          <w:lang w:val="es-CO"/>
        </w:rPr>
        <w:t xml:space="preserve"> de sus ingresos por el respectivo periodo de cotización deberá dejar expresamente consignada esta situación.</w:t>
      </w:r>
    </w:p>
    <w:p w14:paraId="6AA823E1" w14:textId="77777777" w:rsidR="00B2442D" w:rsidRDefault="00B2442D">
      <w:pPr>
        <w:jc w:val="both"/>
        <w:rPr>
          <w:rFonts w:ascii="Arial" w:hAnsi="Arial" w:cs="Arial"/>
          <w:lang w:val="es-CO"/>
        </w:rPr>
      </w:pPr>
    </w:p>
    <w:p w14:paraId="4F7561C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agentes retenedores serán responsables por las sumas deducidas en exceso provenientes de aportes diferentes al contrato que orig</w:t>
      </w:r>
      <w:r>
        <w:rPr>
          <w:rFonts w:ascii="Arial" w:hAnsi="Arial" w:cs="Arial"/>
          <w:lang w:val="es-CO"/>
        </w:rPr>
        <w:t>ina el pago o abono en cuenta sujeto a retención.</w:t>
      </w:r>
    </w:p>
    <w:p w14:paraId="6533FBFB" w14:textId="77777777" w:rsidR="00B2442D" w:rsidRDefault="00B2442D">
      <w:pPr>
        <w:jc w:val="both"/>
        <w:rPr>
          <w:rFonts w:ascii="Arial" w:hAnsi="Arial" w:cs="Arial"/>
          <w:lang w:val="es-CO"/>
        </w:rPr>
      </w:pPr>
    </w:p>
    <w:p w14:paraId="1656C858" w14:textId="77777777" w:rsidR="00B2442D" w:rsidRDefault="008A645F">
      <w:pPr>
        <w:jc w:val="both"/>
        <w:rPr>
          <w:rFonts w:ascii="Arial" w:hAnsi="Arial" w:cs="Arial"/>
          <w:i/>
          <w:lang w:val="es-CO"/>
        </w:rPr>
      </w:pPr>
      <w:r>
        <w:rPr>
          <w:rFonts w:ascii="Arial" w:hAnsi="Arial" w:cs="Arial"/>
          <w:i/>
          <w:lang w:val="es-CO"/>
        </w:rPr>
        <w:t>(Art. 4, Decreto 2271 de 2009)</w:t>
      </w:r>
    </w:p>
    <w:p w14:paraId="1A508A9F" w14:textId="77777777" w:rsidR="00B2442D" w:rsidRDefault="00B2442D">
      <w:pPr>
        <w:jc w:val="both"/>
        <w:rPr>
          <w:rFonts w:ascii="Arial" w:hAnsi="Arial" w:cs="Arial"/>
          <w:i/>
          <w:lang w:val="es-CO"/>
        </w:rPr>
      </w:pPr>
    </w:p>
    <w:p w14:paraId="1EE2C783"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Retención en la fuente para empleados por concepto de rentas de trabajo.</w:t>
      </w:r>
      <w:r>
        <w:rPr>
          <w:rFonts w:ascii="Arial" w:hAnsi="Arial" w:cs="Arial"/>
          <w:lang w:val="es-CO"/>
        </w:rPr>
        <w:t xml:space="preserve"> Conforme lo establece el artículo 383 del Estatuto Tributario, en concordancia con el artículo 384, la retención en la fuente aplicable por las personas naturales o jurídicas, las sociedades de hecho, las comunidades organizadas y las sucesiones ilíquidas</w:t>
      </w:r>
      <w:r>
        <w:rPr>
          <w:rFonts w:ascii="Arial" w:hAnsi="Arial" w:cs="Arial"/>
          <w:lang w:val="es-CO"/>
        </w:rPr>
        <w:t>, a las personas naturales pertenecientes a la categoría de empleados de conformidad con lo establecido en el artículo 329 del mismo estatuto por: i) Pagos gravables, cuando provengan de una relación laboral o legal y reglamentaria o por concepto de pensio</w:t>
      </w:r>
      <w:r>
        <w:rPr>
          <w:rFonts w:ascii="Arial" w:hAnsi="Arial" w:cs="Arial"/>
          <w:lang w:val="es-CO"/>
        </w:rPr>
        <w:t>nes de jubilación, invalidez, vejez, de sobrevivientes y sobre riesgos laborales de conformidad con lo establecido en el artículo 206, ii) Pagos o abonos en cuenta gravables, cuando se trate de relaciones contractuales distintas a las anteriores, correspon</w:t>
      </w:r>
      <w:r>
        <w:rPr>
          <w:rFonts w:ascii="Arial" w:hAnsi="Arial" w:cs="Arial"/>
          <w:lang w:val="es-CO"/>
        </w:rPr>
        <w:t>de a la que resulte de aplicar a dichos pagos o abonos en cuenta, según corresponda, la siguiente tabla de retención en la fuente:</w:t>
      </w:r>
    </w:p>
    <w:p w14:paraId="7D0CA695" w14:textId="77777777" w:rsidR="00B2442D" w:rsidRDefault="00B2442D">
      <w:pPr>
        <w:jc w:val="both"/>
        <w:rPr>
          <w:rFonts w:ascii="Arial" w:hAnsi="Arial" w:cs="Arial"/>
          <w:lang w:val="es-CO"/>
        </w:rPr>
      </w:pPr>
    </w:p>
    <w:p w14:paraId="695F9298" w14:textId="77777777" w:rsidR="00B2442D" w:rsidRDefault="00B2442D">
      <w:pPr>
        <w:jc w:val="both"/>
        <w:rPr>
          <w:rFonts w:ascii="Arial" w:hAnsi="Arial" w:cs="Arial"/>
          <w:lang w:val="es-CO"/>
        </w:rPr>
      </w:pPr>
    </w:p>
    <w:p w14:paraId="1287C3CA" w14:textId="77777777" w:rsidR="00B2442D" w:rsidRDefault="008A645F">
      <w:pPr>
        <w:jc w:val="center"/>
        <w:rPr>
          <w:rFonts w:ascii="Arial" w:hAnsi="Arial" w:cs="Arial"/>
          <w:b/>
          <w:lang w:val="es-CO"/>
        </w:rPr>
      </w:pPr>
      <w:r>
        <w:rPr>
          <w:rFonts w:ascii="Arial" w:hAnsi="Arial" w:cs="Arial"/>
          <w:b/>
          <w:lang w:val="es-CO"/>
        </w:rPr>
        <w:t>Tabla de retención en la fuente para ingresos laborales gravados</w:t>
      </w:r>
    </w:p>
    <w:p w14:paraId="7D6EC571" w14:textId="77777777" w:rsidR="00B2442D" w:rsidRDefault="00B2442D">
      <w:pPr>
        <w:jc w:val="both"/>
        <w:rPr>
          <w:rFonts w:ascii="Arial" w:hAnsi="Arial" w:cs="Arial"/>
          <w:lang w:val="es-CO"/>
        </w:rPr>
      </w:pPr>
    </w:p>
    <w:tbl>
      <w:tblPr>
        <w:tblW w:w="7923" w:type="dxa"/>
        <w:jc w:val="center"/>
        <w:tblLayout w:type="fixed"/>
        <w:tblCellMar>
          <w:left w:w="40" w:type="dxa"/>
          <w:right w:w="40" w:type="dxa"/>
        </w:tblCellMar>
        <w:tblLook w:val="0000" w:firstRow="0" w:lastRow="0" w:firstColumn="0" w:lastColumn="0" w:noHBand="0" w:noVBand="0"/>
      </w:tblPr>
      <w:tblGrid>
        <w:gridCol w:w="1242"/>
        <w:gridCol w:w="1154"/>
        <w:gridCol w:w="1559"/>
        <w:gridCol w:w="3968"/>
      </w:tblGrid>
      <w:tr w:rsidR="00B2442D" w14:paraId="34E5EFE3" w14:textId="77777777">
        <w:trPr>
          <w:trHeight w:val="383"/>
          <w:jc w:val="center"/>
        </w:trPr>
        <w:tc>
          <w:tcPr>
            <w:tcW w:w="1512" w:type="pct"/>
            <w:gridSpan w:val="2"/>
            <w:tcBorders>
              <w:top w:val="single" w:sz="6" w:space="0" w:color="auto"/>
              <w:left w:val="single" w:sz="6" w:space="0" w:color="auto"/>
              <w:right w:val="single" w:sz="6" w:space="0" w:color="auto"/>
            </w:tcBorders>
            <w:shd w:val="clear" w:color="auto" w:fill="FFFFFF"/>
            <w:vAlign w:val="center"/>
          </w:tcPr>
          <w:p w14:paraId="1D996E93"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RANGOS EN UVT</w:t>
            </w:r>
          </w:p>
        </w:tc>
        <w:tc>
          <w:tcPr>
            <w:tcW w:w="984" w:type="pct"/>
            <w:tcBorders>
              <w:top w:val="single" w:sz="6" w:space="0" w:color="auto"/>
              <w:left w:val="single" w:sz="6" w:space="0" w:color="auto"/>
              <w:right w:val="single" w:sz="6" w:space="0" w:color="auto"/>
            </w:tcBorders>
            <w:shd w:val="clear" w:color="auto" w:fill="FFFFFF"/>
            <w:vAlign w:val="center"/>
          </w:tcPr>
          <w:p w14:paraId="2233ADE2"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TARIFA</w:t>
            </w:r>
          </w:p>
          <w:p w14:paraId="33A27E96"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MARGINAL</w:t>
            </w:r>
          </w:p>
        </w:tc>
        <w:tc>
          <w:tcPr>
            <w:tcW w:w="2504" w:type="pct"/>
            <w:tcBorders>
              <w:top w:val="single" w:sz="6" w:space="0" w:color="auto"/>
              <w:left w:val="single" w:sz="6" w:space="0" w:color="auto"/>
              <w:right w:val="single" w:sz="6" w:space="0" w:color="auto"/>
            </w:tcBorders>
            <w:shd w:val="clear" w:color="auto" w:fill="FFFFFF"/>
            <w:vAlign w:val="center"/>
          </w:tcPr>
          <w:p w14:paraId="7BDEFEE7"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IMPUESTO</w:t>
            </w:r>
          </w:p>
        </w:tc>
      </w:tr>
      <w:tr w:rsidR="00B2442D" w14:paraId="590CC5F2" w14:textId="77777777">
        <w:trPr>
          <w:trHeight w:val="20"/>
          <w:jc w:val="center"/>
        </w:trPr>
        <w:tc>
          <w:tcPr>
            <w:tcW w:w="784" w:type="pct"/>
            <w:tcBorders>
              <w:top w:val="single" w:sz="6" w:space="0" w:color="auto"/>
              <w:left w:val="single" w:sz="6" w:space="0" w:color="auto"/>
              <w:bottom w:val="single" w:sz="6" w:space="0" w:color="auto"/>
              <w:right w:val="single" w:sz="6" w:space="0" w:color="auto"/>
            </w:tcBorders>
            <w:shd w:val="clear" w:color="auto" w:fill="FFFFFF"/>
          </w:tcPr>
          <w:p w14:paraId="743096A0"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DESDE</w:t>
            </w: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070F7D0D"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HASTA</w:t>
            </w:r>
          </w:p>
        </w:tc>
        <w:tc>
          <w:tcPr>
            <w:tcW w:w="984" w:type="pct"/>
            <w:tcBorders>
              <w:top w:val="single" w:sz="6" w:space="0" w:color="auto"/>
              <w:left w:val="single" w:sz="6" w:space="0" w:color="auto"/>
              <w:bottom w:val="single" w:sz="6" w:space="0" w:color="auto"/>
              <w:right w:val="single" w:sz="6" w:space="0" w:color="auto"/>
            </w:tcBorders>
            <w:shd w:val="clear" w:color="auto" w:fill="FFFFFF"/>
          </w:tcPr>
          <w:p w14:paraId="783D1830" w14:textId="77777777" w:rsidR="00B2442D" w:rsidRDefault="00B2442D">
            <w:pPr>
              <w:shd w:val="clear" w:color="auto" w:fill="FFFFFF"/>
              <w:spacing w:line="40" w:lineRule="atLeast"/>
              <w:rPr>
                <w:rFonts w:ascii="Arial" w:hAnsi="Arial" w:cs="Arial"/>
              </w:rPr>
            </w:pPr>
          </w:p>
        </w:tc>
        <w:tc>
          <w:tcPr>
            <w:tcW w:w="2504" w:type="pct"/>
            <w:tcBorders>
              <w:top w:val="single" w:sz="6" w:space="0" w:color="auto"/>
              <w:left w:val="single" w:sz="6" w:space="0" w:color="auto"/>
              <w:bottom w:val="single" w:sz="6" w:space="0" w:color="auto"/>
              <w:right w:val="single" w:sz="6" w:space="0" w:color="auto"/>
            </w:tcBorders>
            <w:shd w:val="clear" w:color="auto" w:fill="FFFFFF"/>
          </w:tcPr>
          <w:p w14:paraId="5AD5D9AE" w14:textId="77777777" w:rsidR="00B2442D" w:rsidRDefault="00B2442D">
            <w:pPr>
              <w:shd w:val="clear" w:color="auto" w:fill="FFFFFF"/>
              <w:spacing w:line="40" w:lineRule="atLeast"/>
              <w:rPr>
                <w:rFonts w:ascii="Arial" w:hAnsi="Arial" w:cs="Arial"/>
              </w:rPr>
            </w:pPr>
          </w:p>
        </w:tc>
      </w:tr>
      <w:tr w:rsidR="00B2442D" w14:paraId="1348BE2E" w14:textId="77777777">
        <w:trPr>
          <w:trHeight w:val="20"/>
          <w:jc w:val="center"/>
        </w:trPr>
        <w:tc>
          <w:tcPr>
            <w:tcW w:w="784" w:type="pct"/>
            <w:tcBorders>
              <w:top w:val="single" w:sz="6" w:space="0" w:color="auto"/>
              <w:left w:val="single" w:sz="6" w:space="0" w:color="auto"/>
              <w:bottom w:val="single" w:sz="6" w:space="0" w:color="auto"/>
              <w:right w:val="single" w:sz="6" w:space="0" w:color="auto"/>
            </w:tcBorders>
            <w:shd w:val="clear" w:color="auto" w:fill="FFFFFF"/>
            <w:vAlign w:val="center"/>
          </w:tcPr>
          <w:p w14:paraId="5A12B7AB"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&gt;0</w:t>
            </w:r>
          </w:p>
        </w:tc>
        <w:tc>
          <w:tcPr>
            <w:tcW w:w="728" w:type="pct"/>
            <w:tcBorders>
              <w:top w:val="single" w:sz="6" w:space="0" w:color="auto"/>
              <w:left w:val="single" w:sz="6" w:space="0" w:color="auto"/>
              <w:bottom w:val="single" w:sz="6" w:space="0" w:color="auto"/>
              <w:right w:val="single" w:sz="6" w:space="0" w:color="auto"/>
            </w:tcBorders>
            <w:shd w:val="clear" w:color="auto" w:fill="FFFFFF"/>
            <w:vAlign w:val="center"/>
          </w:tcPr>
          <w:p w14:paraId="1B1D046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95</w:t>
            </w:r>
          </w:p>
        </w:tc>
        <w:tc>
          <w:tcPr>
            <w:tcW w:w="984" w:type="pct"/>
            <w:tcBorders>
              <w:top w:val="single" w:sz="6" w:space="0" w:color="auto"/>
              <w:left w:val="single" w:sz="6" w:space="0" w:color="auto"/>
              <w:bottom w:val="single" w:sz="6" w:space="0" w:color="auto"/>
              <w:right w:val="single" w:sz="6" w:space="0" w:color="auto"/>
            </w:tcBorders>
            <w:shd w:val="clear" w:color="auto" w:fill="FFFFFF"/>
            <w:vAlign w:val="center"/>
          </w:tcPr>
          <w:p w14:paraId="433E7866"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0%</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14:paraId="4E9DB580" w14:textId="77777777" w:rsidR="00B2442D" w:rsidRDefault="008A645F">
            <w:pPr>
              <w:shd w:val="clear" w:color="auto" w:fill="FFFFFF"/>
              <w:spacing w:line="40" w:lineRule="atLeast"/>
              <w:rPr>
                <w:rFonts w:ascii="Arial" w:hAnsi="Arial" w:cs="Arial"/>
              </w:rPr>
            </w:pPr>
            <w:r>
              <w:rPr>
                <w:rFonts w:ascii="Arial" w:hAnsi="Arial" w:cs="Arial"/>
                <w:lang w:val="es-ES_tradnl"/>
              </w:rPr>
              <w:t>0</w:t>
            </w:r>
          </w:p>
        </w:tc>
      </w:tr>
      <w:tr w:rsidR="00B2442D" w14:paraId="783A2D5B" w14:textId="77777777">
        <w:trPr>
          <w:trHeight w:val="20"/>
          <w:jc w:val="center"/>
        </w:trPr>
        <w:tc>
          <w:tcPr>
            <w:tcW w:w="784" w:type="pct"/>
            <w:tcBorders>
              <w:top w:val="single" w:sz="6" w:space="0" w:color="auto"/>
              <w:left w:val="single" w:sz="6" w:space="0" w:color="auto"/>
              <w:bottom w:val="single" w:sz="6" w:space="0" w:color="auto"/>
              <w:right w:val="single" w:sz="6" w:space="0" w:color="auto"/>
            </w:tcBorders>
            <w:shd w:val="clear" w:color="auto" w:fill="FFFFFF"/>
            <w:vAlign w:val="center"/>
          </w:tcPr>
          <w:p w14:paraId="68B4938B"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&gt;95</w:t>
            </w:r>
          </w:p>
        </w:tc>
        <w:tc>
          <w:tcPr>
            <w:tcW w:w="728" w:type="pct"/>
            <w:tcBorders>
              <w:top w:val="single" w:sz="6" w:space="0" w:color="auto"/>
              <w:left w:val="single" w:sz="6" w:space="0" w:color="auto"/>
              <w:bottom w:val="single" w:sz="6" w:space="0" w:color="auto"/>
              <w:right w:val="single" w:sz="6" w:space="0" w:color="auto"/>
            </w:tcBorders>
            <w:shd w:val="clear" w:color="auto" w:fill="FFFFFF"/>
            <w:vAlign w:val="center"/>
          </w:tcPr>
          <w:p w14:paraId="728D3B7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150</w:t>
            </w:r>
          </w:p>
        </w:tc>
        <w:tc>
          <w:tcPr>
            <w:tcW w:w="984" w:type="pct"/>
            <w:tcBorders>
              <w:top w:val="single" w:sz="6" w:space="0" w:color="auto"/>
              <w:left w:val="single" w:sz="6" w:space="0" w:color="auto"/>
              <w:bottom w:val="single" w:sz="6" w:space="0" w:color="auto"/>
              <w:right w:val="single" w:sz="6" w:space="0" w:color="auto"/>
            </w:tcBorders>
            <w:shd w:val="clear" w:color="auto" w:fill="FFFFFF"/>
            <w:vAlign w:val="center"/>
          </w:tcPr>
          <w:p w14:paraId="2F2F7417"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19%</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14:paraId="4A8555D2" w14:textId="77777777" w:rsidR="00B2442D" w:rsidRDefault="008A645F">
            <w:pPr>
              <w:shd w:val="clear" w:color="auto" w:fill="FFFFFF"/>
              <w:spacing w:line="40" w:lineRule="atLeast"/>
              <w:jc w:val="both"/>
              <w:rPr>
                <w:rFonts w:ascii="Arial" w:hAnsi="Arial" w:cs="Arial"/>
              </w:rPr>
            </w:pPr>
            <w:r>
              <w:rPr>
                <w:rFonts w:ascii="Arial" w:hAnsi="Arial" w:cs="Arial"/>
                <w:lang w:val="es-ES_tradnl"/>
              </w:rPr>
              <w:t>(Ingreso laboral gravado expresado en UVT menos 95 UVT)*19%</w:t>
            </w:r>
          </w:p>
        </w:tc>
      </w:tr>
      <w:tr w:rsidR="00B2442D" w14:paraId="350820DB" w14:textId="77777777">
        <w:trPr>
          <w:trHeight w:val="20"/>
          <w:jc w:val="center"/>
        </w:trPr>
        <w:tc>
          <w:tcPr>
            <w:tcW w:w="784" w:type="pct"/>
            <w:tcBorders>
              <w:top w:val="single" w:sz="6" w:space="0" w:color="auto"/>
              <w:left w:val="single" w:sz="6" w:space="0" w:color="auto"/>
              <w:bottom w:val="single" w:sz="6" w:space="0" w:color="auto"/>
              <w:right w:val="single" w:sz="6" w:space="0" w:color="auto"/>
            </w:tcBorders>
            <w:shd w:val="clear" w:color="auto" w:fill="FFFFFF"/>
            <w:vAlign w:val="center"/>
          </w:tcPr>
          <w:p w14:paraId="6AEAF49E"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&gt;150</w:t>
            </w:r>
          </w:p>
        </w:tc>
        <w:tc>
          <w:tcPr>
            <w:tcW w:w="728" w:type="pct"/>
            <w:tcBorders>
              <w:top w:val="single" w:sz="6" w:space="0" w:color="auto"/>
              <w:left w:val="single" w:sz="6" w:space="0" w:color="auto"/>
              <w:bottom w:val="single" w:sz="6" w:space="0" w:color="auto"/>
              <w:right w:val="single" w:sz="6" w:space="0" w:color="auto"/>
            </w:tcBorders>
            <w:shd w:val="clear" w:color="auto" w:fill="FFFFFF"/>
            <w:vAlign w:val="center"/>
          </w:tcPr>
          <w:p w14:paraId="52B7354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360</w:t>
            </w:r>
          </w:p>
        </w:tc>
        <w:tc>
          <w:tcPr>
            <w:tcW w:w="984" w:type="pct"/>
            <w:tcBorders>
              <w:top w:val="single" w:sz="6" w:space="0" w:color="auto"/>
              <w:left w:val="single" w:sz="6" w:space="0" w:color="auto"/>
              <w:bottom w:val="single" w:sz="6" w:space="0" w:color="auto"/>
              <w:right w:val="single" w:sz="6" w:space="0" w:color="auto"/>
            </w:tcBorders>
            <w:shd w:val="clear" w:color="auto" w:fill="FFFFFF"/>
            <w:vAlign w:val="center"/>
          </w:tcPr>
          <w:p w14:paraId="5983C393"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28%</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14:paraId="2EF2D5FD" w14:textId="77777777" w:rsidR="00B2442D" w:rsidRDefault="008A645F">
            <w:pPr>
              <w:shd w:val="clear" w:color="auto" w:fill="FFFFFF"/>
              <w:spacing w:line="40" w:lineRule="atLeast"/>
              <w:jc w:val="both"/>
              <w:rPr>
                <w:rFonts w:ascii="Arial" w:hAnsi="Arial" w:cs="Arial"/>
              </w:rPr>
            </w:pPr>
            <w:r>
              <w:rPr>
                <w:rFonts w:ascii="Arial" w:hAnsi="Arial" w:cs="Arial"/>
                <w:lang w:val="es-ES_tradnl"/>
              </w:rPr>
              <w:t>(Ingreso laboral gravado expresado en UVT menos 150 UVT)*28% m</w:t>
            </w:r>
            <w:r>
              <w:rPr>
                <w:rFonts w:ascii="Arial" w:eastAsia="Times New Roman" w:hAnsi="Arial" w:cs="Arial"/>
                <w:lang w:val="es-ES_tradnl"/>
              </w:rPr>
              <w:t>ás 10 UVT</w:t>
            </w:r>
          </w:p>
        </w:tc>
      </w:tr>
      <w:tr w:rsidR="00B2442D" w14:paraId="769D639E" w14:textId="77777777">
        <w:trPr>
          <w:trHeight w:val="20"/>
          <w:jc w:val="center"/>
        </w:trPr>
        <w:tc>
          <w:tcPr>
            <w:tcW w:w="784" w:type="pct"/>
            <w:tcBorders>
              <w:top w:val="single" w:sz="6" w:space="0" w:color="auto"/>
              <w:left w:val="single" w:sz="6" w:space="0" w:color="auto"/>
              <w:bottom w:val="single" w:sz="6" w:space="0" w:color="auto"/>
              <w:right w:val="single" w:sz="6" w:space="0" w:color="auto"/>
            </w:tcBorders>
            <w:shd w:val="clear" w:color="auto" w:fill="FFFFFF"/>
            <w:vAlign w:val="center"/>
          </w:tcPr>
          <w:p w14:paraId="13E13226"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&gt;360</w:t>
            </w:r>
          </w:p>
        </w:tc>
        <w:tc>
          <w:tcPr>
            <w:tcW w:w="728" w:type="pct"/>
            <w:tcBorders>
              <w:top w:val="single" w:sz="6" w:space="0" w:color="auto"/>
              <w:left w:val="single" w:sz="6" w:space="0" w:color="auto"/>
              <w:bottom w:val="single" w:sz="6" w:space="0" w:color="auto"/>
              <w:right w:val="single" w:sz="6" w:space="0" w:color="auto"/>
            </w:tcBorders>
            <w:shd w:val="clear" w:color="auto" w:fill="FFFFFF"/>
            <w:vAlign w:val="center"/>
          </w:tcPr>
          <w:p w14:paraId="414DA54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En adelante</w:t>
            </w:r>
          </w:p>
        </w:tc>
        <w:tc>
          <w:tcPr>
            <w:tcW w:w="984" w:type="pct"/>
            <w:tcBorders>
              <w:top w:val="single" w:sz="6" w:space="0" w:color="auto"/>
              <w:left w:val="single" w:sz="6" w:space="0" w:color="auto"/>
              <w:bottom w:val="single" w:sz="6" w:space="0" w:color="auto"/>
              <w:right w:val="single" w:sz="6" w:space="0" w:color="auto"/>
            </w:tcBorders>
            <w:shd w:val="clear" w:color="auto" w:fill="FFFFFF"/>
            <w:vAlign w:val="center"/>
          </w:tcPr>
          <w:p w14:paraId="5ACBA8CE" w14:textId="77777777" w:rsidR="00B2442D" w:rsidRDefault="008A645F">
            <w:pPr>
              <w:shd w:val="clear" w:color="auto" w:fill="FFFFFF"/>
              <w:spacing w:line="40" w:lineRule="atLeast"/>
              <w:jc w:val="center"/>
              <w:rPr>
                <w:rFonts w:ascii="Arial" w:hAnsi="Arial" w:cs="Arial"/>
              </w:rPr>
            </w:pPr>
            <w:r>
              <w:rPr>
                <w:rFonts w:ascii="Arial" w:hAnsi="Arial" w:cs="Arial"/>
                <w:b/>
                <w:bCs/>
                <w:lang w:val="es-ES_tradnl"/>
              </w:rPr>
              <w:t>33%</w:t>
            </w:r>
          </w:p>
        </w:tc>
        <w:tc>
          <w:tcPr>
            <w:tcW w:w="2504" w:type="pct"/>
            <w:tcBorders>
              <w:top w:val="single" w:sz="6" w:space="0" w:color="auto"/>
              <w:left w:val="single" w:sz="6" w:space="0" w:color="auto"/>
              <w:bottom w:val="single" w:sz="6" w:space="0" w:color="auto"/>
              <w:right w:val="single" w:sz="6" w:space="0" w:color="auto"/>
            </w:tcBorders>
            <w:shd w:val="clear" w:color="auto" w:fill="FFFFFF"/>
          </w:tcPr>
          <w:p w14:paraId="5217D042" w14:textId="77777777" w:rsidR="00B2442D" w:rsidRDefault="008A645F">
            <w:pPr>
              <w:shd w:val="clear" w:color="auto" w:fill="FFFFFF"/>
              <w:spacing w:line="40" w:lineRule="atLeast"/>
              <w:jc w:val="both"/>
              <w:rPr>
                <w:rFonts w:ascii="Arial" w:hAnsi="Arial" w:cs="Arial"/>
              </w:rPr>
            </w:pPr>
            <w:r>
              <w:rPr>
                <w:rFonts w:ascii="Arial" w:hAnsi="Arial" w:cs="Arial"/>
                <w:lang w:val="es-ES_tradnl"/>
              </w:rPr>
              <w:t xml:space="preserve">(Ingreso laboral gravado expresado en UVT menos 360 </w:t>
            </w:r>
            <w:r>
              <w:rPr>
                <w:rFonts w:ascii="Arial" w:hAnsi="Arial" w:cs="Arial"/>
                <w:lang w:val="es-ES_tradnl"/>
              </w:rPr>
              <w:t>UVT)*33% m</w:t>
            </w:r>
            <w:r>
              <w:rPr>
                <w:rFonts w:ascii="Arial" w:eastAsia="Times New Roman" w:hAnsi="Arial" w:cs="Arial"/>
                <w:lang w:val="es-ES_tradnl"/>
              </w:rPr>
              <w:t>ás 69 UVT</w:t>
            </w:r>
          </w:p>
        </w:tc>
      </w:tr>
    </w:tbl>
    <w:p w14:paraId="0F0396F8" w14:textId="77777777" w:rsidR="00B2442D" w:rsidRDefault="008A645F">
      <w:pPr>
        <w:tabs>
          <w:tab w:val="left" w:pos="1549"/>
        </w:tabs>
        <w:jc w:val="both"/>
        <w:rPr>
          <w:rFonts w:ascii="Arial" w:hAnsi="Arial" w:cs="Arial"/>
        </w:rPr>
      </w:pPr>
      <w:r>
        <w:rPr>
          <w:rFonts w:ascii="Arial" w:hAnsi="Arial" w:cs="Arial"/>
        </w:rPr>
        <w:tab/>
      </w:r>
    </w:p>
    <w:p w14:paraId="17C3513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personas naturales que no pertenezcan a la categoría de empleados, cuyos pagos provengan de una relación laboral o legal y reglamentaria, están sometidos a la retención en la fuente que resulte de aplicar a dichos p</w:t>
      </w:r>
      <w:r>
        <w:rPr>
          <w:rFonts w:ascii="Arial" w:hAnsi="Arial" w:cs="Arial"/>
          <w:lang w:val="es-CO"/>
        </w:rPr>
        <w:t>agos la tabla de retención prevista en este artículo.</w:t>
      </w:r>
    </w:p>
    <w:p w14:paraId="3B10138F" w14:textId="77777777" w:rsidR="00B2442D" w:rsidRDefault="00B2442D">
      <w:pPr>
        <w:jc w:val="both"/>
        <w:rPr>
          <w:rFonts w:ascii="Arial" w:hAnsi="Arial" w:cs="Arial"/>
          <w:lang w:val="es-CO"/>
        </w:rPr>
      </w:pPr>
    </w:p>
    <w:p w14:paraId="72CB2798"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la aplicación del Procedimiento 2 a que se refiere el artículo 386 del Estatuto Tributario, el valor del impuesto en UVT determinado de conformidad con la tabla incluida e</w:t>
      </w:r>
      <w:r>
        <w:rPr>
          <w:rFonts w:ascii="Arial" w:hAnsi="Arial" w:cs="Arial"/>
          <w:lang w:val="es-CO"/>
        </w:rPr>
        <w:t>n este artículo, se divide por el ingreso laboral total gravado convertido a UVT, con lo cual se obtiene la tarifa de retención aplicable al ingreso mensual.</w:t>
      </w:r>
    </w:p>
    <w:p w14:paraId="76BAD978" w14:textId="77777777" w:rsidR="00B2442D" w:rsidRDefault="00B2442D">
      <w:pPr>
        <w:jc w:val="both"/>
        <w:rPr>
          <w:rFonts w:ascii="Arial" w:hAnsi="Arial" w:cs="Arial"/>
          <w:lang w:val="es-CO"/>
        </w:rPr>
      </w:pPr>
    </w:p>
    <w:p w14:paraId="7935B61E"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Los pagos o abonos en cuenta por concepto de honorarios, comisiones y servicios que</w:t>
      </w:r>
      <w:r>
        <w:rPr>
          <w:rFonts w:ascii="Arial" w:hAnsi="Arial" w:cs="Arial"/>
          <w:lang w:val="es-CO"/>
        </w:rPr>
        <w:t xml:space="preserve"> efectúen los agentes de retención a contribuyentes personas naturales que no pertenezcan a la categoría de empleados, seguirán sometidos a lo previsto en el artículo 392 del Estatuto Tributario, en concordancia con los artículos 1.2.4.3.1, 1.2.4.10.2, 1.2</w:t>
      </w:r>
      <w:r>
        <w:rPr>
          <w:rFonts w:ascii="Arial" w:hAnsi="Arial" w:cs="Arial"/>
          <w:lang w:val="es-CO"/>
        </w:rPr>
        <w:t>.4.9.2 y 1.2.4.10.6 del presente Decreto.</w:t>
      </w:r>
    </w:p>
    <w:p w14:paraId="1C98A1E6" w14:textId="77777777" w:rsidR="00B2442D" w:rsidRDefault="00B2442D">
      <w:pPr>
        <w:jc w:val="both"/>
        <w:rPr>
          <w:rFonts w:ascii="Arial" w:hAnsi="Arial" w:cs="Arial"/>
          <w:lang w:val="es-CO"/>
        </w:rPr>
      </w:pPr>
    </w:p>
    <w:p w14:paraId="2687B7EB"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Los pagos gravables que se efectúen a los servidores públicos diplomáticos, consulares y administrativos del Ministerio de Relaciones Exteriores provenientes de la relación legal y reglamentaria, est</w:t>
      </w:r>
      <w:r>
        <w:rPr>
          <w:rFonts w:ascii="Arial" w:hAnsi="Arial" w:cs="Arial"/>
          <w:lang w:val="es-CO"/>
        </w:rPr>
        <w:t>án sometidos a la retención prevista en este artículo, y en ningún caso se aplicará la retención en la fuente establecida en el artículo 384 del Estatuto Tributario.</w:t>
      </w:r>
    </w:p>
    <w:p w14:paraId="3FA77129" w14:textId="77777777" w:rsidR="00B2442D" w:rsidRDefault="00B2442D">
      <w:pPr>
        <w:jc w:val="both"/>
        <w:rPr>
          <w:rFonts w:ascii="Arial" w:hAnsi="Arial" w:cs="Arial"/>
          <w:lang w:val="es-CO"/>
        </w:rPr>
      </w:pPr>
    </w:p>
    <w:p w14:paraId="15AD13FB" w14:textId="77777777" w:rsidR="00B2442D" w:rsidRDefault="008A645F">
      <w:pPr>
        <w:jc w:val="both"/>
        <w:rPr>
          <w:rFonts w:ascii="Arial" w:hAnsi="Arial" w:cs="Arial"/>
          <w:i/>
          <w:lang w:val="es-CO"/>
        </w:rPr>
      </w:pPr>
      <w:r>
        <w:rPr>
          <w:rFonts w:ascii="Arial" w:hAnsi="Arial" w:cs="Arial"/>
          <w:i/>
          <w:lang w:val="es-CO"/>
        </w:rPr>
        <w:t>(Art. 1, Decreto 0099 de 2013)</w:t>
      </w:r>
    </w:p>
    <w:p w14:paraId="2BE42EBF" w14:textId="77777777" w:rsidR="00B2442D" w:rsidRDefault="00B2442D">
      <w:pPr>
        <w:jc w:val="both"/>
        <w:rPr>
          <w:rFonts w:ascii="Arial" w:hAnsi="Arial" w:cs="Arial"/>
          <w:lang w:val="es-CO"/>
        </w:rPr>
      </w:pPr>
    </w:p>
    <w:p w14:paraId="6BE20F74" w14:textId="77777777" w:rsidR="00B2442D" w:rsidRDefault="008A645F">
      <w:pPr>
        <w:pStyle w:val="Prrafodelista"/>
        <w:numPr>
          <w:ilvl w:val="0"/>
          <w:numId w:val="47"/>
        </w:numPr>
        <w:ind w:left="0" w:firstLine="0"/>
        <w:jc w:val="both"/>
        <w:rPr>
          <w:rFonts w:ascii="Arial" w:hAnsi="Arial" w:cs="Arial"/>
          <w:b/>
          <w:lang w:val="es-CO"/>
        </w:rPr>
      </w:pPr>
      <w:r>
        <w:rPr>
          <w:rFonts w:ascii="Arial" w:hAnsi="Arial" w:cs="Arial"/>
          <w:b/>
          <w:i/>
          <w:lang w:val="es-CO"/>
        </w:rPr>
        <w:t xml:space="preserve"> Depuración de la base del cálculo de retención.</w:t>
      </w:r>
      <w:r>
        <w:rPr>
          <w:rFonts w:ascii="Arial" w:hAnsi="Arial" w:cs="Arial"/>
          <w:lang w:val="es-CO"/>
        </w:rPr>
        <w:t xml:space="preserve"> Para obtener la base del cálculo de la retención en la fuente prevista en el artículo 383 del Estatuto Tributario, podrán detraerse los pagos efectivamente realizados por los siguientes conceptos:</w:t>
      </w:r>
    </w:p>
    <w:p w14:paraId="5A77CC93" w14:textId="77777777" w:rsidR="00B2442D" w:rsidRDefault="00B2442D">
      <w:pPr>
        <w:jc w:val="both"/>
        <w:rPr>
          <w:rFonts w:ascii="Arial" w:hAnsi="Arial" w:cs="Arial"/>
          <w:lang w:val="es-CO"/>
        </w:rPr>
      </w:pPr>
    </w:p>
    <w:p w14:paraId="40F011EC" w14:textId="77777777" w:rsidR="00B2442D" w:rsidRDefault="008A645F">
      <w:pPr>
        <w:jc w:val="both"/>
        <w:rPr>
          <w:rFonts w:ascii="Arial" w:hAnsi="Arial" w:cs="Arial"/>
          <w:lang w:val="es-CO"/>
        </w:rPr>
      </w:pPr>
      <w:r>
        <w:rPr>
          <w:rFonts w:ascii="Arial" w:hAnsi="Arial" w:cs="Arial"/>
          <w:lang w:val="es-CO"/>
        </w:rPr>
        <w:t xml:space="preserve">1. En </w:t>
      </w:r>
      <w:r>
        <w:rPr>
          <w:rFonts w:ascii="Arial" w:hAnsi="Arial" w:cs="Arial"/>
          <w:lang w:val="es-CO"/>
        </w:rPr>
        <w:t>el caso de empleados que tengan derecho a la deducción por intereses o corrección monetaria en virtud de préstamos para adquisición de vivienda, la base de retención se disminuirá proporcionalmente en la forma indicada en las normas reglamentarias vigentes</w:t>
      </w:r>
      <w:r>
        <w:rPr>
          <w:rFonts w:ascii="Arial" w:hAnsi="Arial" w:cs="Arial"/>
          <w:lang w:val="es-CO"/>
        </w:rPr>
        <w:t>.</w:t>
      </w:r>
    </w:p>
    <w:p w14:paraId="54EC6180" w14:textId="77777777" w:rsidR="00B2442D" w:rsidRDefault="00B2442D">
      <w:pPr>
        <w:jc w:val="both"/>
        <w:rPr>
          <w:rFonts w:ascii="Arial" w:hAnsi="Arial" w:cs="Arial"/>
          <w:lang w:val="es-CO"/>
        </w:rPr>
      </w:pPr>
    </w:p>
    <w:p w14:paraId="0B655261" w14:textId="77777777" w:rsidR="00B2442D" w:rsidRDefault="008A645F">
      <w:pPr>
        <w:jc w:val="both"/>
        <w:rPr>
          <w:rFonts w:ascii="Arial" w:hAnsi="Arial" w:cs="Arial"/>
          <w:lang w:val="es-CO"/>
        </w:rPr>
      </w:pPr>
      <w:r>
        <w:rPr>
          <w:rFonts w:ascii="Arial" w:hAnsi="Arial" w:cs="Arial"/>
          <w:lang w:val="es-CO"/>
        </w:rPr>
        <w:t>2. Los pagos por salud señalados en los literales a) y b) del artículo 387 del Estatuto Tributario, siempre que el valor a disminuir mensualmente, no supere dieciséis (16) UVT mensuales, y se cumplan las condiciones de control indicadas en las normas re</w:t>
      </w:r>
      <w:r>
        <w:rPr>
          <w:rFonts w:ascii="Arial" w:hAnsi="Arial" w:cs="Arial"/>
          <w:lang w:val="es-CO"/>
        </w:rPr>
        <w:t>glamentarias vigentes.</w:t>
      </w:r>
    </w:p>
    <w:p w14:paraId="491615C6" w14:textId="77777777" w:rsidR="00B2442D" w:rsidRDefault="00B2442D">
      <w:pPr>
        <w:jc w:val="both"/>
        <w:rPr>
          <w:rFonts w:ascii="Arial" w:hAnsi="Arial" w:cs="Arial"/>
          <w:lang w:val="es-CO"/>
        </w:rPr>
      </w:pPr>
    </w:p>
    <w:p w14:paraId="6F4E3228" w14:textId="77777777" w:rsidR="00B2442D" w:rsidRDefault="008A645F">
      <w:pPr>
        <w:jc w:val="both"/>
        <w:rPr>
          <w:rFonts w:ascii="Arial" w:hAnsi="Arial" w:cs="Arial"/>
          <w:lang w:val="es-CO"/>
        </w:rPr>
      </w:pPr>
      <w:r>
        <w:rPr>
          <w:rFonts w:ascii="Arial" w:hAnsi="Arial" w:cs="Arial"/>
          <w:lang w:val="es-CO"/>
        </w:rPr>
        <w:t xml:space="preserve">3. Una deducción mensual de hasta el diez por ciento (10%) del total de los ingresos brutos provenientes de la relación laboral o legal y reglamentaria en el respectivo mes por concepto de dependientes, hasta un máximo de treinta y </w:t>
      </w:r>
      <w:r>
        <w:rPr>
          <w:rFonts w:ascii="Arial" w:hAnsi="Arial" w:cs="Arial"/>
          <w:lang w:val="es-CO"/>
        </w:rPr>
        <w:t>dos (32) UVT mensuales.</w:t>
      </w:r>
    </w:p>
    <w:p w14:paraId="25E71195" w14:textId="77777777" w:rsidR="00B2442D" w:rsidRDefault="00B2442D">
      <w:pPr>
        <w:jc w:val="both"/>
        <w:rPr>
          <w:rFonts w:ascii="Arial" w:hAnsi="Arial" w:cs="Arial"/>
          <w:lang w:val="es-CO"/>
        </w:rPr>
      </w:pPr>
    </w:p>
    <w:p w14:paraId="2C9A4E15"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Los factores de detracción de la base del cálculo de la retención previstos en este artículo podrán deducirse en la determinación del impuesto del respectivo periodo, únicamente cuando el contribuyente, en la declarac</w:t>
      </w:r>
      <w:r>
        <w:rPr>
          <w:rFonts w:ascii="Arial" w:hAnsi="Arial" w:cs="Arial"/>
          <w:lang w:val="es-CO"/>
        </w:rPr>
        <w:t>ión del impuesto sobre la renta, determine el impuesto sobre la renta a su cargo por el sistema ordinario de determinación.</w:t>
      </w:r>
    </w:p>
    <w:p w14:paraId="36B24403" w14:textId="77777777" w:rsidR="00B2442D" w:rsidRDefault="00B2442D">
      <w:pPr>
        <w:jc w:val="both"/>
        <w:rPr>
          <w:rFonts w:ascii="Arial" w:hAnsi="Arial" w:cs="Arial"/>
          <w:lang w:val="es-CO"/>
        </w:rPr>
      </w:pPr>
    </w:p>
    <w:p w14:paraId="6FE7EC6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se trate del Procedimiento de Retención Número dos, el valor que sea procedente disminuir mensualmente, determ</w:t>
      </w:r>
      <w:r>
        <w:rPr>
          <w:rFonts w:ascii="Arial" w:hAnsi="Arial" w:cs="Arial"/>
          <w:lang w:val="es-CO"/>
        </w:rPr>
        <w:t>inado en la forma señalada en el presente artículo, se tendrá en cuenta tanto para calcular el porcentaje fijo de retención semestral como para determinar la base sometida a retención.</w:t>
      </w:r>
    </w:p>
    <w:p w14:paraId="2F64DF92" w14:textId="77777777" w:rsidR="00B2442D" w:rsidRDefault="00B2442D">
      <w:pPr>
        <w:jc w:val="both"/>
        <w:rPr>
          <w:rFonts w:ascii="Arial" w:hAnsi="Arial" w:cs="Arial"/>
          <w:lang w:val="es-CO"/>
        </w:rPr>
      </w:pPr>
    </w:p>
    <w:p w14:paraId="4BE1A7B3"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Definición de dependientes: Para propósitos de este artí</w:t>
      </w:r>
      <w:r>
        <w:rPr>
          <w:rFonts w:ascii="Arial" w:hAnsi="Arial" w:cs="Arial"/>
          <w:lang w:val="es-CO"/>
        </w:rPr>
        <w:t>culo tendrán la calidad de dependientes únicamente:</w:t>
      </w:r>
    </w:p>
    <w:p w14:paraId="2AEB58B1" w14:textId="77777777" w:rsidR="00B2442D" w:rsidRDefault="00B2442D">
      <w:pPr>
        <w:jc w:val="both"/>
        <w:rPr>
          <w:rFonts w:ascii="Arial" w:hAnsi="Arial" w:cs="Arial"/>
          <w:lang w:val="es-CO"/>
        </w:rPr>
      </w:pPr>
    </w:p>
    <w:p w14:paraId="21B64FE6" w14:textId="77777777" w:rsidR="00B2442D" w:rsidRDefault="008A645F">
      <w:pPr>
        <w:jc w:val="both"/>
        <w:rPr>
          <w:rFonts w:ascii="Arial" w:hAnsi="Arial" w:cs="Arial"/>
          <w:lang w:val="es-CO"/>
        </w:rPr>
      </w:pPr>
      <w:r>
        <w:rPr>
          <w:rFonts w:ascii="Arial" w:hAnsi="Arial" w:cs="Arial"/>
          <w:lang w:val="es-CO"/>
        </w:rPr>
        <w:t>1. Los hijos del contribuyente que tengan hasta 18 años de edad y dependan económicamente del contribuyente.</w:t>
      </w:r>
    </w:p>
    <w:p w14:paraId="6A23FCF9" w14:textId="77777777" w:rsidR="00B2442D" w:rsidRDefault="00B2442D">
      <w:pPr>
        <w:jc w:val="both"/>
        <w:rPr>
          <w:rFonts w:ascii="Arial" w:hAnsi="Arial" w:cs="Arial"/>
          <w:lang w:val="es-CO"/>
        </w:rPr>
      </w:pPr>
    </w:p>
    <w:p w14:paraId="01ACD52C" w14:textId="77777777" w:rsidR="00B2442D" w:rsidRDefault="008A645F">
      <w:pPr>
        <w:jc w:val="both"/>
        <w:rPr>
          <w:rFonts w:ascii="Arial" w:hAnsi="Arial" w:cs="Arial"/>
          <w:lang w:val="es-CO"/>
        </w:rPr>
      </w:pPr>
      <w:r>
        <w:rPr>
          <w:rFonts w:ascii="Arial" w:hAnsi="Arial" w:cs="Arial"/>
          <w:lang w:val="es-CO"/>
        </w:rPr>
        <w:t>2. Los hijos del contribuyente con edad entre 18 y 23 años, cuando el padre o madre contribuy</w:t>
      </w:r>
      <w:r>
        <w:rPr>
          <w:rFonts w:ascii="Arial" w:hAnsi="Arial" w:cs="Arial"/>
          <w:lang w:val="es-CO"/>
        </w:rPr>
        <w:t>ente persona natural se encuentre financiando su educación en instituciones formales de educación superior certificadas por el ICFES o la autoridad oficial correspondiente; o en los programas técnicos de educación no formal debidamente acreditados por la a</w:t>
      </w:r>
      <w:r>
        <w:rPr>
          <w:rFonts w:ascii="Arial" w:hAnsi="Arial" w:cs="Arial"/>
          <w:lang w:val="es-CO"/>
        </w:rPr>
        <w:t>utoridad competente.</w:t>
      </w:r>
    </w:p>
    <w:p w14:paraId="5E7A9DFF" w14:textId="77777777" w:rsidR="00B2442D" w:rsidRDefault="00B2442D">
      <w:pPr>
        <w:jc w:val="both"/>
        <w:rPr>
          <w:rFonts w:ascii="Arial" w:hAnsi="Arial" w:cs="Arial"/>
          <w:lang w:val="es-CO"/>
        </w:rPr>
      </w:pPr>
    </w:p>
    <w:p w14:paraId="210C3581" w14:textId="77777777" w:rsidR="00B2442D" w:rsidRDefault="008A645F">
      <w:pPr>
        <w:jc w:val="both"/>
        <w:rPr>
          <w:rFonts w:ascii="Arial" w:hAnsi="Arial" w:cs="Arial"/>
          <w:lang w:val="es-CO"/>
        </w:rPr>
      </w:pPr>
      <w:r>
        <w:rPr>
          <w:rFonts w:ascii="Arial" w:hAnsi="Arial" w:cs="Arial"/>
          <w:lang w:val="es-CO"/>
        </w:rPr>
        <w:t>3. Los hijos del contribuyente mayores de 23 años que se encuentren en situación de dependencia originada en factores físicos o psicológicos que sean certificados por Medicina Legal.</w:t>
      </w:r>
    </w:p>
    <w:p w14:paraId="6C6D55A0" w14:textId="77777777" w:rsidR="00B2442D" w:rsidRDefault="00B2442D">
      <w:pPr>
        <w:jc w:val="both"/>
        <w:rPr>
          <w:rFonts w:ascii="Arial" w:hAnsi="Arial" w:cs="Arial"/>
          <w:lang w:val="es-CO"/>
        </w:rPr>
      </w:pPr>
    </w:p>
    <w:p w14:paraId="397ACB12" w14:textId="77777777" w:rsidR="00B2442D" w:rsidRDefault="008A645F">
      <w:pPr>
        <w:jc w:val="both"/>
        <w:rPr>
          <w:rFonts w:ascii="Arial" w:hAnsi="Arial" w:cs="Arial"/>
          <w:lang w:val="es-CO"/>
        </w:rPr>
      </w:pPr>
      <w:r>
        <w:rPr>
          <w:rFonts w:ascii="Arial" w:hAnsi="Arial" w:cs="Arial"/>
          <w:lang w:val="es-CO"/>
        </w:rPr>
        <w:t>4. El cónyuge o compañero permanente del contribuy</w:t>
      </w:r>
      <w:r>
        <w:rPr>
          <w:rFonts w:ascii="Arial" w:hAnsi="Arial" w:cs="Arial"/>
          <w:lang w:val="es-CO"/>
        </w:rPr>
        <w:t>ente que se encuentre en situación de dependencia sea por ausencia de ingresos o ingresos en el año menores a doscientos sesenta (260) UVT, certificada por contador público, o por dependencia originada en factores físicos o psicológicos que sean certificad</w:t>
      </w:r>
      <w:r>
        <w:rPr>
          <w:rFonts w:ascii="Arial" w:hAnsi="Arial" w:cs="Arial"/>
          <w:lang w:val="es-CO"/>
        </w:rPr>
        <w:t>os por Medicina Legal, y</w:t>
      </w:r>
    </w:p>
    <w:p w14:paraId="36CD3367" w14:textId="77777777" w:rsidR="00B2442D" w:rsidRDefault="00B2442D">
      <w:pPr>
        <w:jc w:val="both"/>
        <w:rPr>
          <w:rFonts w:ascii="Arial" w:hAnsi="Arial" w:cs="Arial"/>
          <w:lang w:val="es-CO"/>
        </w:rPr>
      </w:pPr>
    </w:p>
    <w:p w14:paraId="7939C34B" w14:textId="77777777" w:rsidR="00B2442D" w:rsidRDefault="008A645F">
      <w:pPr>
        <w:jc w:val="both"/>
        <w:rPr>
          <w:rFonts w:ascii="Arial" w:hAnsi="Arial" w:cs="Arial"/>
          <w:lang w:val="es-CO"/>
        </w:rPr>
      </w:pPr>
      <w:r>
        <w:rPr>
          <w:rFonts w:ascii="Arial" w:hAnsi="Arial" w:cs="Arial"/>
          <w:lang w:val="es-CO"/>
        </w:rPr>
        <w:t>5. Los padres y los hermanos del contribuyente que se encuentren en situación de dependencia, sea por ausencia de ingresos o ingresos en el año menores a doscientas sesenta (260) UVT, certificada por contador público, o por depend</w:t>
      </w:r>
      <w:r>
        <w:rPr>
          <w:rFonts w:ascii="Arial" w:hAnsi="Arial" w:cs="Arial"/>
          <w:lang w:val="es-CO"/>
        </w:rPr>
        <w:t>encia originada en factores físicos o psicológicos que sean certificados por Medicina Legal.</w:t>
      </w:r>
    </w:p>
    <w:p w14:paraId="3805FC06" w14:textId="77777777" w:rsidR="00B2442D" w:rsidRDefault="00B2442D">
      <w:pPr>
        <w:jc w:val="both"/>
        <w:rPr>
          <w:rFonts w:ascii="Arial" w:hAnsi="Arial" w:cs="Arial"/>
          <w:lang w:val="es-CO"/>
        </w:rPr>
      </w:pPr>
    </w:p>
    <w:p w14:paraId="58A23BAF"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Para efectos de probar la existencia y dependencia económica de los dependientes a que se refiere este artículo, el contribuyente suministrará al agente retenedor un certificado, que se entiende expedido bajo la gravedad del juramento, en el que indique e</w:t>
      </w:r>
      <w:r>
        <w:rPr>
          <w:rFonts w:ascii="Arial" w:hAnsi="Arial" w:cs="Arial"/>
          <w:lang w:val="es-CO"/>
        </w:rPr>
        <w:t xml:space="preserve"> identifique plenamente las personas dependientes a su cargo que dan lugar al tratamiento tributario a que se refiere este artículo.</w:t>
      </w:r>
    </w:p>
    <w:p w14:paraId="62D889AE" w14:textId="77777777" w:rsidR="00B2442D" w:rsidRDefault="00B2442D">
      <w:pPr>
        <w:jc w:val="both"/>
        <w:rPr>
          <w:rFonts w:ascii="Arial" w:hAnsi="Arial" w:cs="Arial"/>
          <w:lang w:val="es-CO"/>
        </w:rPr>
      </w:pPr>
    </w:p>
    <w:p w14:paraId="2826C1A3" w14:textId="77777777" w:rsidR="00B2442D" w:rsidRDefault="008A645F">
      <w:pPr>
        <w:jc w:val="both"/>
        <w:rPr>
          <w:rFonts w:ascii="Arial" w:hAnsi="Arial" w:cs="Arial"/>
          <w:lang w:val="es-CO"/>
        </w:rPr>
      </w:pPr>
      <w:r>
        <w:rPr>
          <w:rFonts w:ascii="Arial" w:hAnsi="Arial" w:cs="Arial"/>
          <w:lang w:val="es-CO"/>
        </w:rPr>
        <w:t>La deducción de la base de retención en la fuente por concepto de dependientes, no podrá ser solicitado por más de un cont</w:t>
      </w:r>
      <w:r>
        <w:rPr>
          <w:rFonts w:ascii="Arial" w:hAnsi="Arial" w:cs="Arial"/>
          <w:lang w:val="es-CO"/>
        </w:rPr>
        <w:t>ribuyente en relación con un mismo dependiente.</w:t>
      </w:r>
    </w:p>
    <w:p w14:paraId="71DF537E" w14:textId="77777777" w:rsidR="00B2442D" w:rsidRDefault="00B2442D">
      <w:pPr>
        <w:jc w:val="both"/>
        <w:rPr>
          <w:rFonts w:ascii="Arial" w:hAnsi="Arial" w:cs="Arial"/>
          <w:i/>
          <w:lang w:val="es-CO"/>
        </w:rPr>
      </w:pPr>
    </w:p>
    <w:p w14:paraId="1F92FB57" w14:textId="77777777" w:rsidR="00B2442D" w:rsidRDefault="008A645F">
      <w:pPr>
        <w:jc w:val="both"/>
        <w:rPr>
          <w:rFonts w:ascii="Arial" w:hAnsi="Arial" w:cs="Arial"/>
          <w:i/>
          <w:lang w:val="es-CO"/>
        </w:rPr>
      </w:pPr>
      <w:r>
        <w:rPr>
          <w:rFonts w:ascii="Arial" w:hAnsi="Arial" w:cs="Arial"/>
          <w:i/>
          <w:lang w:val="es-CO"/>
        </w:rPr>
        <w:t>(Art. 2, Decreto 0099 de 2013)</w:t>
      </w:r>
    </w:p>
    <w:p w14:paraId="64C1081A" w14:textId="77777777" w:rsidR="00B2442D" w:rsidRDefault="00B2442D">
      <w:pPr>
        <w:jc w:val="both"/>
        <w:rPr>
          <w:rFonts w:ascii="Arial" w:hAnsi="Arial" w:cs="Arial"/>
          <w:lang w:val="es-CO"/>
        </w:rPr>
      </w:pPr>
    </w:p>
    <w:p w14:paraId="5C60C2EE"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Retención en la fuente mínima para empleados por concepto de rentas de trabajo. </w:t>
      </w:r>
      <w:r>
        <w:rPr>
          <w:rFonts w:ascii="Arial" w:hAnsi="Arial" w:cs="Arial"/>
          <w:lang w:val="es-CO"/>
        </w:rPr>
        <w:t>A partir del 1° de abril de 2013, la retención en la fuente por el concepto de ingreso a que s</w:t>
      </w:r>
      <w:r>
        <w:rPr>
          <w:rFonts w:ascii="Arial" w:hAnsi="Arial" w:cs="Arial"/>
          <w:lang w:val="es-CO"/>
        </w:rPr>
        <w:t>e refieren los artículos 1.2.4.1.17 al 1.2.4.1.19 del presente Decreto, aplicable a las personas naturales pertenecientes a la categoría de empleado a que se refiere el artículo 329 del Estatuto Tributario, obligados a presentar declaración del impuesto so</w:t>
      </w:r>
      <w:r>
        <w:rPr>
          <w:rFonts w:ascii="Arial" w:hAnsi="Arial" w:cs="Arial"/>
          <w:lang w:val="es-CO"/>
        </w:rPr>
        <w:t xml:space="preserve">bre la renta, en ningún caso podrá ser inferior al mayor valor mensual de retención que resulte de aplicar la tabla de retención contenida en el artículo 1.2.4.1.17 de este Decreto, o la que resulte de aplicar a los Pagos Mensuales o mensualizados (PM) la </w:t>
      </w:r>
      <w:r>
        <w:rPr>
          <w:rFonts w:ascii="Arial" w:hAnsi="Arial" w:cs="Arial"/>
          <w:lang w:val="es-CO"/>
        </w:rPr>
        <w:t>siguiente tabla, a la base de retención en la fuente, determinada al restar los aportes al sistema general de seguridad social (Aportes obligatorios a salud, pensiones y Riesgos Laborales ARL) a cargo del empleado del total del pago mensual o abono en cuen</w:t>
      </w:r>
      <w:r>
        <w:rPr>
          <w:rFonts w:ascii="Arial" w:hAnsi="Arial" w:cs="Arial"/>
          <w:lang w:val="es-CO"/>
        </w:rPr>
        <w:t>ta:</w:t>
      </w:r>
    </w:p>
    <w:p w14:paraId="07231D79" w14:textId="77777777" w:rsidR="00B2442D" w:rsidRDefault="00B2442D">
      <w:pPr>
        <w:jc w:val="both"/>
        <w:rPr>
          <w:rFonts w:ascii="Arial" w:hAnsi="Arial" w:cs="Arial"/>
          <w:lang w:val="es-CO"/>
        </w:rPr>
      </w:pPr>
    </w:p>
    <w:tbl>
      <w:tblPr>
        <w:tblW w:w="6598" w:type="dxa"/>
        <w:jc w:val="center"/>
        <w:tblLayout w:type="fixed"/>
        <w:tblCellMar>
          <w:left w:w="40" w:type="dxa"/>
          <w:right w:w="40" w:type="dxa"/>
        </w:tblCellMar>
        <w:tblLook w:val="0000" w:firstRow="0" w:lastRow="0" w:firstColumn="0" w:lastColumn="0" w:noHBand="0" w:noVBand="0"/>
      </w:tblPr>
      <w:tblGrid>
        <w:gridCol w:w="1386"/>
        <w:gridCol w:w="974"/>
        <w:gridCol w:w="1009"/>
        <w:gridCol w:w="855"/>
        <w:gridCol w:w="1415"/>
        <w:gridCol w:w="959"/>
      </w:tblGrid>
      <w:tr w:rsidR="00B2442D" w14:paraId="75B4E00F" w14:textId="77777777">
        <w:trPr>
          <w:trHeight w:val="20"/>
          <w:jc w:val="center"/>
        </w:trPr>
        <w:tc>
          <w:tcPr>
            <w:tcW w:w="1788" w:type="pct"/>
            <w:gridSpan w:val="2"/>
            <w:tcBorders>
              <w:top w:val="single" w:sz="6" w:space="0" w:color="auto"/>
              <w:left w:val="single" w:sz="6" w:space="0" w:color="auto"/>
              <w:bottom w:val="single" w:sz="6" w:space="0" w:color="auto"/>
              <w:right w:val="single" w:sz="6" w:space="0" w:color="auto"/>
            </w:tcBorders>
            <w:shd w:val="clear" w:color="auto" w:fill="FFFFFF"/>
          </w:tcPr>
          <w:p w14:paraId="692E6BD8"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Empleado</w:t>
            </w:r>
          </w:p>
        </w:tc>
        <w:tc>
          <w:tcPr>
            <w:tcW w:w="1413" w:type="pct"/>
            <w:gridSpan w:val="2"/>
            <w:tcBorders>
              <w:top w:val="single" w:sz="6" w:space="0" w:color="auto"/>
              <w:left w:val="single" w:sz="6" w:space="0" w:color="auto"/>
              <w:bottom w:val="single" w:sz="6" w:space="0" w:color="auto"/>
              <w:right w:val="single" w:sz="6" w:space="0" w:color="auto"/>
            </w:tcBorders>
            <w:shd w:val="clear" w:color="auto" w:fill="FFFFFF"/>
          </w:tcPr>
          <w:p w14:paraId="34EC22D9"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Empleado</w:t>
            </w:r>
          </w:p>
        </w:tc>
        <w:tc>
          <w:tcPr>
            <w:tcW w:w="1799" w:type="pct"/>
            <w:gridSpan w:val="2"/>
            <w:tcBorders>
              <w:top w:val="single" w:sz="6" w:space="0" w:color="auto"/>
              <w:left w:val="single" w:sz="6" w:space="0" w:color="auto"/>
              <w:bottom w:val="single" w:sz="6" w:space="0" w:color="auto"/>
              <w:right w:val="single" w:sz="6" w:space="0" w:color="auto"/>
            </w:tcBorders>
            <w:shd w:val="clear" w:color="auto" w:fill="FFFFFF"/>
          </w:tcPr>
          <w:p w14:paraId="6201AF74"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Empleado</w:t>
            </w:r>
          </w:p>
        </w:tc>
      </w:tr>
      <w:tr w:rsidR="00B2442D" w14:paraId="68E72546"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704A75F"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Pago Mensual o mensualizado (PM) desde (en UVT)</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4895AE2B"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Retenci</w:t>
            </w:r>
            <w:r>
              <w:rPr>
                <w:rFonts w:ascii="Arial" w:eastAsia="Times New Roman" w:hAnsi="Arial" w:cs="Arial"/>
                <w:b/>
                <w:lang w:val="es-ES_tradnl"/>
              </w:rPr>
              <w:t>ón (en UVT)</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31478C7A"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Pago Mensual o mensualizado (PM) desde (en UVT)</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0E4EA88"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Retenci</w:t>
            </w:r>
            <w:r>
              <w:rPr>
                <w:rFonts w:ascii="Arial" w:eastAsia="Times New Roman" w:hAnsi="Arial" w:cs="Arial"/>
                <w:b/>
                <w:lang w:val="es-ES_tradnl"/>
              </w:rPr>
              <w:t>ón (en UVT)</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09061E74"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Pago Mensual o mensualizado (PM) desde (en UVT)</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ACB00B6" w14:textId="77777777" w:rsidR="00B2442D" w:rsidRDefault="008A645F">
            <w:pPr>
              <w:shd w:val="clear" w:color="auto" w:fill="FFFFFF"/>
              <w:spacing w:line="40" w:lineRule="atLeast"/>
              <w:jc w:val="center"/>
              <w:rPr>
                <w:rFonts w:ascii="Arial" w:hAnsi="Arial" w:cs="Arial"/>
                <w:b/>
              </w:rPr>
            </w:pPr>
            <w:r>
              <w:rPr>
                <w:rFonts w:ascii="Arial" w:hAnsi="Arial" w:cs="Arial"/>
                <w:b/>
                <w:lang w:val="es-ES_tradnl"/>
              </w:rPr>
              <w:t>Retenci</w:t>
            </w:r>
            <w:r>
              <w:rPr>
                <w:rFonts w:ascii="Arial" w:eastAsia="Times New Roman" w:hAnsi="Arial" w:cs="Arial"/>
                <w:b/>
                <w:lang w:val="es-ES_tradnl"/>
              </w:rPr>
              <w:t>ón (en UVT)</w:t>
            </w:r>
          </w:p>
        </w:tc>
      </w:tr>
      <w:tr w:rsidR="00B2442D" w14:paraId="509B5D0B"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068DE27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Menos de 128.96</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0C36E37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0.00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30C181C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278.29</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0A9CB3E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7.96</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8AF052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678.75</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2D66822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66.02</w:t>
            </w:r>
          </w:p>
        </w:tc>
      </w:tr>
      <w:tr w:rsidR="00B2442D" w14:paraId="00A77DDD"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734D512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128.96</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82F1D0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0.09</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427AA4D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285.07</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76127E3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8.50</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E818B2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695.72</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0AC347D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69.43</w:t>
            </w:r>
          </w:p>
        </w:tc>
      </w:tr>
      <w:tr w:rsidR="00B2442D" w14:paraId="16471716"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49445B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132.36</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3742C9A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0.09</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83E168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291.86</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0F2B33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9.05</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19D17EE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712.69</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14FF03F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72.90</w:t>
            </w:r>
          </w:p>
        </w:tc>
      </w:tr>
      <w:tr w:rsidR="00B2442D" w14:paraId="544F92B0"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404D550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135.75</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1C2A8B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0.09</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53CEFB1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298.65</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4682E12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9.62</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260408B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729.65</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03CFC1E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76.43</w:t>
            </w:r>
          </w:p>
        </w:tc>
      </w:tr>
      <w:tr w:rsidR="00B2442D" w14:paraId="25D153AA"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0BBB51D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139.14</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2C4062A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0.09</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3D15729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305.44</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7AD8EC9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10.21</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6EF9DE8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746.62</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02DAFAB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80.03</w:t>
            </w:r>
          </w:p>
        </w:tc>
      </w:tr>
      <w:tr w:rsidR="00B2442D" w14:paraId="50B9B182"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6A836D0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142.54</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4EFADFA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0.10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09635E1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312.22</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441D705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10.81</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86ADD1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763.59</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76AFC8D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83.68</w:t>
            </w:r>
          </w:p>
        </w:tc>
      </w:tr>
      <w:tr w:rsidR="00B2442D" w14:paraId="001F5516"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7EDB9F5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145.93</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4A7DBC8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0.20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54B5754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319.01</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5062266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11.43</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6067001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780.56</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6A7AB28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87.39</w:t>
            </w:r>
          </w:p>
        </w:tc>
      </w:tr>
      <w:tr w:rsidR="00B2442D" w14:paraId="41A4131D"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4D0FEC6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149.32</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6EC38B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0.20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5F48361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325.80</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7050155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12.07</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4B50075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797.53</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5836994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91.15</w:t>
            </w:r>
          </w:p>
        </w:tc>
      </w:tr>
      <w:tr w:rsidR="00B2442D" w14:paraId="78A9DE79"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4E7E07D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152.72</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53FFA7C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0.21</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1D58ED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332.59</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48D56B0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12.71</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E77C9B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814.50</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1482CAC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94.96</w:t>
            </w:r>
          </w:p>
        </w:tc>
      </w:tr>
      <w:tr w:rsidR="00B2442D" w14:paraId="531ABEEA"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27C8D24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156.11</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5E37AD4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0.40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8FE910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339.37</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790F4B8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14.06</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5AD26A6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831.47</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5548561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98.81</w:t>
            </w:r>
          </w:p>
        </w:tc>
      </w:tr>
      <w:tr w:rsidR="00B2442D" w14:paraId="4CB85D21"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441AF0B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159.51</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5890C6C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0.41</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4526087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356.34</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5F1FD76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15.83</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6398901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848.44</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6EDDC41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102.72</w:t>
            </w:r>
          </w:p>
        </w:tc>
      </w:tr>
      <w:tr w:rsidR="00B2442D" w14:paraId="720EBFA6"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57D98C6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162.90</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4FED692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0.41</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61E8979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373.31</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330BAD0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17.69</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61F9E27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865.40</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A7127C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106.67</w:t>
            </w:r>
          </w:p>
        </w:tc>
      </w:tr>
      <w:tr w:rsidR="00B2442D" w14:paraId="713AC604"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ADB276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166.29</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0483B46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0.70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4BAC6AF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390.28</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308FA11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19.65</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11243E7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882.37</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367CEA7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110.65</w:t>
            </w:r>
          </w:p>
        </w:tc>
      </w:tr>
      <w:tr w:rsidR="00B2442D" w14:paraId="01B7B097"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76CB86E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169.69</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9034B1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0.73</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0E63D4D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407.25</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6E849B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21.69</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85FD72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899.34</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FCCDFE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114.68</w:t>
            </w:r>
          </w:p>
        </w:tc>
      </w:tr>
      <w:tr w:rsidR="00B2442D" w14:paraId="1614F1F8"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7EFE3F6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176.47</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AD28B1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1.15</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7A2EBEE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424.22</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6E5EA41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23.84</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FCB0B0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916.31</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6B722C2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118.74</w:t>
            </w:r>
          </w:p>
        </w:tc>
      </w:tr>
      <w:tr w:rsidR="00B2442D" w14:paraId="1B66CE2B"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C937F4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183.26</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0185910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1.19</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7C192D5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441.19</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6CECD86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26.07</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55374B4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933.28</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54FA48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122.84</w:t>
            </w:r>
          </w:p>
        </w:tc>
      </w:tr>
      <w:tr w:rsidR="00B2442D" w14:paraId="59D20B68"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5200114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190.05</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67A3997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1.65</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0A43982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458.16</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5E30671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28.39</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01F0625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950.25</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7DF9237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126.96</w:t>
            </w:r>
          </w:p>
        </w:tc>
      </w:tr>
      <w:tr w:rsidR="00B2442D" w14:paraId="65C9858C"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6A0C85B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196.84</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D71F39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2.14</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79B310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475.12</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37B51B3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30.80</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9E2950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967.22</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47C0B4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131.11</w:t>
            </w:r>
          </w:p>
        </w:tc>
      </w:tr>
      <w:tr w:rsidR="00B2442D" w14:paraId="0B88D67E"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7F15352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203.62</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6BA43B0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2.21</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67A82E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492.09</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74FC59F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33.29</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101348B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984.19</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4ED9907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135.29</w:t>
            </w:r>
          </w:p>
        </w:tc>
      </w:tr>
      <w:tr w:rsidR="00B2442D" w14:paraId="04667DBD"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1B99536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210.41</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64214FA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2.96</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6CF9FDE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509.06</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4D8E7C4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35.87</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6E41B4D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1.001.15</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69C34CC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139.49</w:t>
            </w:r>
          </w:p>
        </w:tc>
      </w:tr>
      <w:tr w:rsidR="00B2442D" w14:paraId="0D71D41C"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6AF27BA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217.20</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37E6DC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3.75</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5446BA2B"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526.03</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3860F11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38.54</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7A0DE7A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1.018.12</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027CEBE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143.71</w:t>
            </w:r>
          </w:p>
        </w:tc>
      </w:tr>
      <w:tr w:rsidR="00B2442D" w14:paraId="5F70F6D3"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62E2E09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223.99</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34CE9DA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3.87</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7581F9B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543.00</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16568FB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41.29</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11D53BF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1.035.09</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3C6A920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147.94</w:t>
            </w:r>
          </w:p>
        </w:tc>
      </w:tr>
      <w:tr w:rsidR="00B2442D" w14:paraId="293EDB3D"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0BB9E62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230.77</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75BF366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4.63</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43976EF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559.97</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388569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44.11</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406EB16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1.052.06</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719982E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152.19</w:t>
            </w:r>
          </w:p>
        </w:tc>
      </w:tr>
      <w:tr w:rsidR="00B2442D" w14:paraId="6FF76836"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6B6D836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237.56</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63571B3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5.06</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FBC500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576.94</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1656A26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47.02</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14A09040"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1.069.03</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6ECAAA6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156.45</w:t>
            </w:r>
          </w:p>
        </w:tc>
      </w:tr>
      <w:tr w:rsidR="00B2442D" w14:paraId="7E9B913A"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0165CE2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244.35</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39A1EB8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5.50</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13D6946F"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593.90</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A093035"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50.00</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3D8B187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1.086.00</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1C36D52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160.72</w:t>
            </w:r>
          </w:p>
        </w:tc>
      </w:tr>
      <w:tr w:rsidR="00B2442D" w14:paraId="7459F191"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11F656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251.14</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1C8188F8"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5.96</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30704B31"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610.87</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5F015A0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53.06</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51E6FC4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1.102.97</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256A26A9"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164.99</w:t>
            </w:r>
          </w:p>
        </w:tc>
      </w:tr>
      <w:tr w:rsidR="00B2442D" w14:paraId="59596D27"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39952F27"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257.92</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2B3EBF2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6.44</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2138797D"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627.84</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0E9971FA"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56.20</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2FB634D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1.119.93</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7C15548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169.26</w:t>
            </w:r>
          </w:p>
        </w:tc>
      </w:tr>
      <w:tr w:rsidR="00B2442D" w14:paraId="63116C18"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56BD5964" w14:textId="77777777" w:rsidR="00B2442D" w:rsidRDefault="00B2442D">
            <w:pPr>
              <w:shd w:val="clear" w:color="auto" w:fill="FFFFFF"/>
              <w:spacing w:line="40" w:lineRule="atLeast"/>
              <w:jc w:val="center"/>
              <w:rPr>
                <w:rFonts w:ascii="Arial" w:hAnsi="Arial" w:cs="Arial"/>
                <w:lang w:val="es-ES_tradnl"/>
              </w:rPr>
            </w:pPr>
          </w:p>
          <w:p w14:paraId="391B449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264.71</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66225673" w14:textId="77777777" w:rsidR="00B2442D" w:rsidRDefault="00B2442D">
            <w:pPr>
              <w:shd w:val="clear" w:color="auto" w:fill="FFFFFF"/>
              <w:spacing w:line="40" w:lineRule="atLeast"/>
              <w:jc w:val="center"/>
              <w:rPr>
                <w:rFonts w:ascii="Arial" w:hAnsi="Arial" w:cs="Arial"/>
                <w:lang w:val="es-ES_tradnl"/>
              </w:rPr>
            </w:pPr>
          </w:p>
          <w:p w14:paraId="4E5B6992"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6.93</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23EDE02E" w14:textId="77777777" w:rsidR="00B2442D" w:rsidRDefault="00B2442D">
            <w:pPr>
              <w:shd w:val="clear" w:color="auto" w:fill="FFFFFF"/>
              <w:spacing w:line="40" w:lineRule="atLeast"/>
              <w:jc w:val="center"/>
              <w:rPr>
                <w:rFonts w:ascii="Arial" w:hAnsi="Arial" w:cs="Arial"/>
                <w:lang w:val="es-ES_tradnl"/>
              </w:rPr>
            </w:pPr>
          </w:p>
          <w:p w14:paraId="77BE0BE4"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644.81</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50DB1919" w14:textId="77777777" w:rsidR="00B2442D" w:rsidRDefault="00B2442D">
            <w:pPr>
              <w:shd w:val="clear" w:color="auto" w:fill="FFFFFF"/>
              <w:spacing w:line="40" w:lineRule="atLeast"/>
              <w:jc w:val="center"/>
              <w:rPr>
                <w:rFonts w:ascii="Arial" w:hAnsi="Arial" w:cs="Arial"/>
                <w:lang w:val="es-ES_tradnl"/>
              </w:rPr>
            </w:pPr>
          </w:p>
          <w:p w14:paraId="005EA3E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59.40</w:t>
            </w:r>
          </w:p>
        </w:tc>
        <w:tc>
          <w:tcPr>
            <w:tcW w:w="1072" w:type="pct"/>
            <w:tcBorders>
              <w:top w:val="single" w:sz="6" w:space="0" w:color="auto"/>
              <w:left w:val="single" w:sz="6" w:space="0" w:color="auto"/>
              <w:bottom w:val="single" w:sz="6" w:space="0" w:color="auto"/>
              <w:right w:val="single" w:sz="6" w:space="0" w:color="auto"/>
            </w:tcBorders>
            <w:shd w:val="clear" w:color="auto" w:fill="FFFFFF"/>
          </w:tcPr>
          <w:p w14:paraId="49C1D9BC" w14:textId="77777777" w:rsidR="00B2442D" w:rsidRDefault="00B2442D">
            <w:pPr>
              <w:shd w:val="clear" w:color="auto" w:fill="FFFFFF"/>
              <w:spacing w:line="40" w:lineRule="atLeast"/>
              <w:jc w:val="center"/>
              <w:rPr>
                <w:rFonts w:ascii="Arial" w:hAnsi="Arial" w:cs="Arial"/>
                <w:lang w:val="es-ES_tradnl"/>
              </w:rPr>
            </w:pPr>
          </w:p>
          <w:p w14:paraId="2CCAE9D3"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m</w:t>
            </w:r>
            <w:r>
              <w:rPr>
                <w:rFonts w:ascii="Arial" w:eastAsia="Times New Roman" w:hAnsi="Arial" w:cs="Arial"/>
                <w:lang w:val="es-ES_tradnl"/>
              </w:rPr>
              <w:t>ás de 1.136.92</w:t>
            </w:r>
          </w:p>
        </w:tc>
        <w:tc>
          <w:tcPr>
            <w:tcW w:w="727" w:type="pct"/>
            <w:tcBorders>
              <w:top w:val="single" w:sz="6" w:space="0" w:color="auto"/>
              <w:left w:val="single" w:sz="6" w:space="0" w:color="auto"/>
              <w:bottom w:val="single" w:sz="6" w:space="0" w:color="auto"/>
              <w:right w:val="single" w:sz="6" w:space="0" w:color="auto"/>
            </w:tcBorders>
            <w:shd w:val="clear" w:color="auto" w:fill="FFFFFF"/>
          </w:tcPr>
          <w:p w14:paraId="7F79146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27%*PM -135.17</w:t>
            </w:r>
          </w:p>
        </w:tc>
      </w:tr>
      <w:tr w:rsidR="00B2442D" w14:paraId="69FCC1B1" w14:textId="77777777">
        <w:trPr>
          <w:trHeight w:val="20"/>
          <w:jc w:val="center"/>
        </w:trPr>
        <w:tc>
          <w:tcPr>
            <w:tcW w:w="1050" w:type="pct"/>
            <w:tcBorders>
              <w:top w:val="single" w:sz="6" w:space="0" w:color="auto"/>
              <w:left w:val="single" w:sz="6" w:space="0" w:color="auto"/>
              <w:bottom w:val="single" w:sz="6" w:space="0" w:color="auto"/>
              <w:right w:val="single" w:sz="6" w:space="0" w:color="auto"/>
            </w:tcBorders>
            <w:shd w:val="clear" w:color="auto" w:fill="FFFFFF"/>
          </w:tcPr>
          <w:p w14:paraId="2E6CAE1C"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271.50</w:t>
            </w:r>
          </w:p>
        </w:tc>
        <w:tc>
          <w:tcPr>
            <w:tcW w:w="738" w:type="pct"/>
            <w:tcBorders>
              <w:top w:val="single" w:sz="6" w:space="0" w:color="auto"/>
              <w:left w:val="single" w:sz="6" w:space="0" w:color="auto"/>
              <w:bottom w:val="single" w:sz="6" w:space="0" w:color="auto"/>
              <w:right w:val="single" w:sz="6" w:space="0" w:color="auto"/>
            </w:tcBorders>
            <w:shd w:val="clear" w:color="auto" w:fill="FFFFFF"/>
          </w:tcPr>
          <w:p w14:paraId="1A603666"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7.44</w:t>
            </w:r>
          </w:p>
        </w:tc>
        <w:tc>
          <w:tcPr>
            <w:tcW w:w="765" w:type="pct"/>
            <w:tcBorders>
              <w:top w:val="single" w:sz="6" w:space="0" w:color="auto"/>
              <w:left w:val="single" w:sz="6" w:space="0" w:color="auto"/>
              <w:bottom w:val="single" w:sz="6" w:space="0" w:color="auto"/>
              <w:right w:val="single" w:sz="6" w:space="0" w:color="auto"/>
            </w:tcBorders>
            <w:shd w:val="clear" w:color="auto" w:fill="FFFFFF"/>
          </w:tcPr>
          <w:p w14:paraId="7813B2C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661.78</w:t>
            </w:r>
          </w:p>
        </w:tc>
        <w:tc>
          <w:tcPr>
            <w:tcW w:w="647" w:type="pct"/>
            <w:tcBorders>
              <w:top w:val="single" w:sz="6" w:space="0" w:color="auto"/>
              <w:left w:val="single" w:sz="6" w:space="0" w:color="auto"/>
              <w:bottom w:val="single" w:sz="6" w:space="0" w:color="auto"/>
              <w:right w:val="single" w:sz="6" w:space="0" w:color="auto"/>
            </w:tcBorders>
            <w:shd w:val="clear" w:color="auto" w:fill="FFFFFF"/>
          </w:tcPr>
          <w:p w14:paraId="26BF7B2E" w14:textId="77777777" w:rsidR="00B2442D" w:rsidRDefault="008A645F">
            <w:pPr>
              <w:shd w:val="clear" w:color="auto" w:fill="FFFFFF"/>
              <w:spacing w:line="40" w:lineRule="atLeast"/>
              <w:jc w:val="center"/>
              <w:rPr>
                <w:rFonts w:ascii="Arial" w:hAnsi="Arial" w:cs="Arial"/>
              </w:rPr>
            </w:pPr>
            <w:r>
              <w:rPr>
                <w:rFonts w:ascii="Arial" w:hAnsi="Arial" w:cs="Arial"/>
                <w:lang w:val="es-ES_tradnl"/>
              </w:rPr>
              <w:t>62.68</w:t>
            </w:r>
          </w:p>
        </w:tc>
        <w:tc>
          <w:tcPr>
            <w:tcW w:w="1799" w:type="pct"/>
            <w:gridSpan w:val="2"/>
            <w:tcBorders>
              <w:top w:val="single" w:sz="6" w:space="0" w:color="auto"/>
              <w:left w:val="single" w:sz="6" w:space="0" w:color="auto"/>
              <w:bottom w:val="single" w:sz="6" w:space="0" w:color="auto"/>
              <w:right w:val="single" w:sz="6" w:space="0" w:color="auto"/>
            </w:tcBorders>
            <w:shd w:val="clear" w:color="auto" w:fill="FFFFFF"/>
          </w:tcPr>
          <w:p w14:paraId="1AE54E62" w14:textId="77777777" w:rsidR="00B2442D" w:rsidRDefault="00B2442D">
            <w:pPr>
              <w:shd w:val="clear" w:color="auto" w:fill="FFFFFF"/>
              <w:spacing w:line="40" w:lineRule="atLeast"/>
              <w:rPr>
                <w:rFonts w:ascii="Arial" w:hAnsi="Arial" w:cs="Arial"/>
              </w:rPr>
            </w:pPr>
          </w:p>
        </w:tc>
      </w:tr>
    </w:tbl>
    <w:p w14:paraId="209F9711" w14:textId="77777777" w:rsidR="00B2442D" w:rsidRDefault="00B2442D">
      <w:pPr>
        <w:jc w:val="both"/>
        <w:rPr>
          <w:rFonts w:ascii="Arial" w:hAnsi="Arial" w:cs="Arial"/>
          <w:b/>
          <w:lang w:val="es-CO"/>
        </w:rPr>
      </w:pPr>
    </w:p>
    <w:p w14:paraId="25733301" w14:textId="77777777" w:rsidR="00B2442D" w:rsidRDefault="00B2442D">
      <w:pPr>
        <w:jc w:val="both"/>
        <w:rPr>
          <w:rFonts w:ascii="Arial" w:hAnsi="Arial" w:cs="Arial"/>
          <w:b/>
          <w:lang w:val="es-CO"/>
        </w:rPr>
      </w:pPr>
    </w:p>
    <w:p w14:paraId="4F78804F"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este artículo el término "pagos mensualizados", se refiere a la operación de tomar el monto total del valor del contrato menos los respectivos aportes obligatorios a salud y pensiones, y dividirlo por el número de meses de vigencia del mis</w:t>
      </w:r>
      <w:r>
        <w:rPr>
          <w:rFonts w:ascii="Arial" w:hAnsi="Arial" w:cs="Arial"/>
          <w:lang w:val="es-CO"/>
        </w:rPr>
        <w:t>mo. Ese valor mensual corresponde a la base de retención en la fuente que debe ubicarse en la tabla. En el caso en el cual los pagos correspondientes al contrato no sean efectuados mensualmente, el pagador deberá efectuar la retención en la fuente de acuer</w:t>
      </w:r>
      <w:r>
        <w:rPr>
          <w:rFonts w:ascii="Arial" w:hAnsi="Arial" w:cs="Arial"/>
          <w:lang w:val="es-CO"/>
        </w:rPr>
        <w:t>do con el cálculo mencionado en este parágrafo, independientemente de la periodicidad pactada para los pagos del contrato; cuando realice el pago deberá retener el equivalente a la suma total de la retención mensualizada.</w:t>
      </w:r>
    </w:p>
    <w:p w14:paraId="5CDF3376" w14:textId="77777777" w:rsidR="00B2442D" w:rsidRDefault="00B2442D">
      <w:pPr>
        <w:jc w:val="both"/>
        <w:rPr>
          <w:rFonts w:ascii="Arial" w:hAnsi="Arial" w:cs="Arial"/>
          <w:lang w:val="es-CO"/>
        </w:rPr>
      </w:pPr>
    </w:p>
    <w:p w14:paraId="79C60AC2"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El agente de retenc</w:t>
      </w:r>
      <w:r>
        <w:rPr>
          <w:rFonts w:ascii="Arial" w:hAnsi="Arial" w:cs="Arial"/>
          <w:lang w:val="es-CO"/>
        </w:rPr>
        <w:t>ión, al establecer qué tarifa de retención corresponde aplicarle al contribuyente, deberá asegurarse que en ningún caso la retención que debe efectuar sea inferior a la retención en la fuente que resulte de aplicar la tabla de retención contenida en el art</w:t>
      </w:r>
      <w:r>
        <w:rPr>
          <w:rFonts w:ascii="Arial" w:hAnsi="Arial" w:cs="Arial"/>
          <w:lang w:val="es-CO"/>
        </w:rPr>
        <w:t>ículo 384 del Estatuto Tributario.</w:t>
      </w:r>
    </w:p>
    <w:p w14:paraId="3D97ACF6" w14:textId="77777777" w:rsidR="00B2442D" w:rsidRDefault="00B2442D">
      <w:pPr>
        <w:jc w:val="both"/>
        <w:rPr>
          <w:rFonts w:ascii="Arial" w:hAnsi="Arial" w:cs="Arial"/>
          <w:lang w:val="es-CO"/>
        </w:rPr>
      </w:pPr>
    </w:p>
    <w:p w14:paraId="7ED33633"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Los contribuyentes declarantes pertenecientes a la categoría de empleados a los que se refiere el artículo 329 del Estatuto Tributario podrán solicitar la aplicación de una tarifa de retención en la fuente </w:t>
      </w:r>
      <w:r>
        <w:rPr>
          <w:rFonts w:ascii="Arial" w:hAnsi="Arial" w:cs="Arial"/>
          <w:lang w:val="es-CO"/>
        </w:rPr>
        <w:t>superior a la determinada de conformidad con el presente artículo, para la cual deberá indicarla por escrito al respectivo pagador. El incremento en la tarifa de retención en la fuente será aplicable a partir del mes siguiente a la presentación de la solic</w:t>
      </w:r>
      <w:r>
        <w:rPr>
          <w:rFonts w:ascii="Arial" w:hAnsi="Arial" w:cs="Arial"/>
          <w:lang w:val="es-CO"/>
        </w:rPr>
        <w:t>itud.</w:t>
      </w:r>
    </w:p>
    <w:p w14:paraId="07D344C2" w14:textId="77777777" w:rsidR="00B2442D" w:rsidRDefault="00B2442D">
      <w:pPr>
        <w:jc w:val="both"/>
        <w:rPr>
          <w:rFonts w:ascii="Arial" w:hAnsi="Arial" w:cs="Arial"/>
          <w:lang w:val="es-CO"/>
        </w:rPr>
      </w:pPr>
    </w:p>
    <w:p w14:paraId="4F016E43"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El sujeto de retención deberá informar al respectivo pagador su condición de declarante o no declarante del impuesto sobre la renta; manifestación que se entiende prestada bajo la gravedad de juramento. Igualmente, los agentes de reten</w:t>
      </w:r>
      <w:r>
        <w:rPr>
          <w:rFonts w:ascii="Arial" w:hAnsi="Arial" w:cs="Arial"/>
          <w:lang w:val="es-CO"/>
        </w:rPr>
        <w:t>ción que efectúen los pagos o abonos en cuenta están en la obligación de verificar los pagos efectuados en el último periodo gravable a la persona natural clasificada en la categoría de empleado.</w:t>
      </w:r>
    </w:p>
    <w:p w14:paraId="04EFEB7E" w14:textId="77777777" w:rsidR="00B2442D" w:rsidRDefault="00B2442D">
      <w:pPr>
        <w:jc w:val="both"/>
        <w:rPr>
          <w:rFonts w:ascii="Arial" w:hAnsi="Arial" w:cs="Arial"/>
          <w:lang w:val="es-CO"/>
        </w:rPr>
      </w:pPr>
    </w:p>
    <w:p w14:paraId="0329EA83" w14:textId="77777777" w:rsidR="00B2442D" w:rsidRDefault="008A645F">
      <w:pPr>
        <w:jc w:val="both"/>
        <w:rPr>
          <w:rFonts w:ascii="Arial" w:hAnsi="Arial" w:cs="Arial"/>
          <w:lang w:val="es-CO"/>
        </w:rPr>
      </w:pPr>
      <w:r>
        <w:rPr>
          <w:rFonts w:ascii="Arial" w:hAnsi="Arial" w:cs="Arial"/>
          <w:lang w:val="es-CO"/>
        </w:rPr>
        <w:t xml:space="preserve">La tabla de retención contenida en el presente artículo se </w:t>
      </w:r>
      <w:r>
        <w:rPr>
          <w:rFonts w:ascii="Arial" w:hAnsi="Arial" w:cs="Arial"/>
          <w:lang w:val="es-CO"/>
        </w:rPr>
        <w:t>aplicará a: i) pagos efectuados a los trabajadores empleados cuyos ingresos provengan de una relación laboral o legal y reglamentaria, y a los ii) pagos o abonos en cuenta a trabajadores que presten servicios personales mediante el ejercicio de profesiones</w:t>
      </w:r>
      <w:r>
        <w:rPr>
          <w:rFonts w:ascii="Arial" w:hAnsi="Arial" w:cs="Arial"/>
          <w:lang w:val="es-CO"/>
        </w:rPr>
        <w:t xml:space="preserve"> liberales o que presten servicios técnicos que no requieran la utilización de materiales o insumos especializados o de maquinaria o equipo especializado, que sean considerados dentro de la categoría de empleado de conformidad con lo dispuesto en el artícu</w:t>
      </w:r>
      <w:r>
        <w:rPr>
          <w:rFonts w:ascii="Arial" w:hAnsi="Arial" w:cs="Arial"/>
          <w:lang w:val="es-CO"/>
        </w:rPr>
        <w:t xml:space="preserve">lo 329 del Estatuto Tributario, únicamente cuando sus ingresos totales en el año gravable inmediatamente anterior, sean iguales o superiores a mil cuatrocientos (1.400) UVT, independientemente de su calidad de declarante para el periodo gravable en que se </w:t>
      </w:r>
      <w:r>
        <w:rPr>
          <w:rFonts w:ascii="Arial" w:hAnsi="Arial" w:cs="Arial"/>
          <w:lang w:val="es-CO"/>
        </w:rPr>
        <w:t>efectúa.</w:t>
      </w:r>
    </w:p>
    <w:p w14:paraId="7A165DBB" w14:textId="77777777" w:rsidR="00B2442D" w:rsidRDefault="00B2442D">
      <w:pPr>
        <w:jc w:val="both"/>
        <w:rPr>
          <w:rFonts w:ascii="Arial" w:hAnsi="Arial" w:cs="Arial"/>
          <w:lang w:val="es-CO"/>
        </w:rPr>
      </w:pPr>
    </w:p>
    <w:p w14:paraId="4716CD57" w14:textId="77777777" w:rsidR="00B2442D" w:rsidRDefault="008A645F">
      <w:pPr>
        <w:jc w:val="both"/>
        <w:rPr>
          <w:rFonts w:ascii="Arial" w:hAnsi="Arial" w:cs="Arial"/>
          <w:i/>
          <w:lang w:val="es-CO"/>
        </w:rPr>
      </w:pPr>
      <w:r>
        <w:rPr>
          <w:rFonts w:ascii="Arial" w:hAnsi="Arial" w:cs="Arial"/>
          <w:i/>
          <w:lang w:val="es-CO"/>
        </w:rPr>
        <w:t>(Art. 3, Decreto 0099 de 2013.</w:t>
      </w:r>
      <w:r>
        <w:rPr>
          <w:rFonts w:ascii="Arial" w:hAnsi="Arial" w:cs="Arial"/>
        </w:rPr>
        <w:t xml:space="preserve"> </w:t>
      </w:r>
      <w:r>
        <w:rPr>
          <w:rFonts w:ascii="Arial" w:hAnsi="Arial" w:cs="Arial"/>
          <w:i/>
          <w:lang w:val="es-CO"/>
        </w:rPr>
        <w:t>El tope de 4073 UVT se actualizó de conformidad con la interpretación armónica del parágrafo 4 del artículo 384 del ET, y de los artículos 592 y 593 del ET)</w:t>
      </w:r>
    </w:p>
    <w:p w14:paraId="50D05D7E" w14:textId="77777777" w:rsidR="00B2442D" w:rsidRDefault="00B2442D">
      <w:pPr>
        <w:jc w:val="both"/>
        <w:rPr>
          <w:rFonts w:ascii="Arial" w:hAnsi="Arial" w:cs="Arial"/>
          <w:lang w:val="es-CO"/>
        </w:rPr>
      </w:pPr>
    </w:p>
    <w:p w14:paraId="649F9146"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Deducción por dependientes.</w:t>
      </w:r>
      <w:r>
        <w:rPr>
          <w:rFonts w:ascii="Arial" w:hAnsi="Arial" w:cs="Arial"/>
          <w:lang w:val="es-CO"/>
        </w:rPr>
        <w:t xml:space="preserve"> Para efectos de lo previsto en el parágrafo 2o del artículo 387 del Estatuto Tributario, en relación con el cónyuge o compañero permanente, los hijos de cualquier edad y los padres o hermanos del contribuyente, se entenderá que la discapacidad originada e</w:t>
      </w:r>
      <w:r>
        <w:rPr>
          <w:rFonts w:ascii="Arial" w:hAnsi="Arial" w:cs="Arial"/>
          <w:lang w:val="es-CO"/>
        </w:rPr>
        <w:t>n factores físicos o psicológicos será certificada para la aplicación de las deducciones respectivas mediante examen médico expedido por el Instituto Nacional de Medicina Legal y Ciencias Forenses. En este caso, tales circunstancias también podrán ser cert</w:t>
      </w:r>
      <w:r>
        <w:rPr>
          <w:rFonts w:ascii="Arial" w:hAnsi="Arial" w:cs="Arial"/>
          <w:lang w:val="es-CO"/>
        </w:rPr>
        <w:t>ificadas por las Empresas Administradoras de Salud a las que se encuentre afiliada la persona o cualquier otra entidad que legalmente sea competente.</w:t>
      </w:r>
    </w:p>
    <w:p w14:paraId="589516DA" w14:textId="77777777" w:rsidR="00B2442D" w:rsidRDefault="00B2442D">
      <w:pPr>
        <w:jc w:val="both"/>
        <w:rPr>
          <w:rFonts w:ascii="Arial" w:hAnsi="Arial" w:cs="Arial"/>
          <w:lang w:val="es-CO"/>
        </w:rPr>
      </w:pPr>
    </w:p>
    <w:p w14:paraId="6A9A7CAA" w14:textId="77777777" w:rsidR="00B2442D" w:rsidRDefault="008A645F">
      <w:pPr>
        <w:jc w:val="both"/>
        <w:rPr>
          <w:rFonts w:ascii="Arial" w:hAnsi="Arial" w:cs="Arial"/>
          <w:i/>
          <w:lang w:val="es-CO"/>
        </w:rPr>
      </w:pPr>
      <w:r>
        <w:rPr>
          <w:rFonts w:ascii="Arial" w:hAnsi="Arial" w:cs="Arial"/>
          <w:i/>
          <w:lang w:val="es-CO"/>
        </w:rPr>
        <w:t>(Art. 4, Decreto 1070 de 2013)</w:t>
      </w:r>
    </w:p>
    <w:p w14:paraId="43AD6CEF" w14:textId="77777777" w:rsidR="00B2442D" w:rsidRDefault="00B2442D">
      <w:pPr>
        <w:jc w:val="both"/>
        <w:rPr>
          <w:rFonts w:ascii="Arial" w:hAnsi="Arial" w:cs="Arial"/>
          <w:lang w:val="es-CO"/>
        </w:rPr>
      </w:pPr>
    </w:p>
    <w:p w14:paraId="6F38EB3B"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Procedimiento 2 de retención en la fuente.</w:t>
      </w:r>
      <w:r>
        <w:rPr>
          <w:rFonts w:ascii="Arial" w:hAnsi="Arial" w:cs="Arial"/>
          <w:lang w:val="es-CO"/>
        </w:rPr>
        <w:t xml:space="preserve"> Para efectos de la aplicación</w:t>
      </w:r>
      <w:r>
        <w:rPr>
          <w:rFonts w:ascii="Arial" w:hAnsi="Arial" w:cs="Arial"/>
          <w:lang w:val="es-CO"/>
        </w:rPr>
        <w:t xml:space="preserve"> del Procedimiento 2 de retención en la fuente sobre los pagos gravables originados en la relación laboral, o legal y reglamentaria, a que se refiere el artículo 386 del Estatuto Tributario, el valor del impuesto en UVT determinado de conformidad con la ta</w:t>
      </w:r>
      <w:r>
        <w:rPr>
          <w:rFonts w:ascii="Arial" w:hAnsi="Arial" w:cs="Arial"/>
          <w:lang w:val="es-CO"/>
        </w:rPr>
        <w:t>bla contenida en el artículo 383 del mismo Estatuto, se divide por el ingreso laboral total gravado convertido a UVT, con lo cual se obtiene la tarifa de retención aplicable al ingreso mensual.</w:t>
      </w:r>
    </w:p>
    <w:p w14:paraId="75A5318A" w14:textId="77777777" w:rsidR="00B2442D" w:rsidRDefault="00B2442D">
      <w:pPr>
        <w:jc w:val="both"/>
        <w:rPr>
          <w:rFonts w:ascii="Arial" w:hAnsi="Arial" w:cs="Arial"/>
          <w:lang w:val="es-CO"/>
        </w:rPr>
      </w:pPr>
    </w:p>
    <w:p w14:paraId="5D6A65C1" w14:textId="77777777" w:rsidR="00B2442D" w:rsidRDefault="008A645F">
      <w:pPr>
        <w:jc w:val="both"/>
        <w:rPr>
          <w:rFonts w:ascii="Arial" w:hAnsi="Arial" w:cs="Arial"/>
          <w:i/>
          <w:lang w:val="es-CO"/>
        </w:rPr>
      </w:pPr>
      <w:r>
        <w:rPr>
          <w:rFonts w:ascii="Arial" w:hAnsi="Arial" w:cs="Arial"/>
          <w:i/>
          <w:lang w:val="es-CO"/>
        </w:rPr>
        <w:t>(Art. 5, Decreto 1070 de 2013)</w:t>
      </w:r>
    </w:p>
    <w:p w14:paraId="55CE893C" w14:textId="77777777" w:rsidR="00B2442D" w:rsidRDefault="00B2442D">
      <w:pPr>
        <w:jc w:val="both"/>
        <w:rPr>
          <w:rFonts w:ascii="Arial" w:hAnsi="Arial" w:cs="Arial"/>
          <w:lang w:val="es-CO"/>
        </w:rPr>
      </w:pPr>
    </w:p>
    <w:p w14:paraId="6F73A0C1"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Depuración de la base gravab</w:t>
      </w:r>
      <w:r>
        <w:rPr>
          <w:rFonts w:ascii="Arial" w:hAnsi="Arial" w:cs="Arial"/>
          <w:b/>
          <w:i/>
          <w:lang w:val="es-CO"/>
        </w:rPr>
        <w:t xml:space="preserve">le de la retención en la fuente mínima para empleados. </w:t>
      </w:r>
      <w:r>
        <w:rPr>
          <w:rFonts w:ascii="Arial" w:hAnsi="Arial" w:cs="Arial"/>
          <w:lang w:val="es-CO"/>
        </w:rPr>
        <w:t>Para efectos del cálculo de la retención en la fuente mínima establecida en el artículo 384 del Estatuto Tributario, para los empleados cuyos ingresos provengan de una relación laboral, o legal y regla</w:t>
      </w:r>
      <w:r>
        <w:rPr>
          <w:rFonts w:ascii="Arial" w:hAnsi="Arial" w:cs="Arial"/>
          <w:lang w:val="es-CO"/>
        </w:rPr>
        <w:t>mentaria se podrán detraer además los siguientes conceptos:</w:t>
      </w:r>
    </w:p>
    <w:p w14:paraId="41EB03C6" w14:textId="77777777" w:rsidR="00B2442D" w:rsidRDefault="00B2442D">
      <w:pPr>
        <w:ind w:left="284" w:hanging="284"/>
        <w:jc w:val="both"/>
        <w:rPr>
          <w:rFonts w:ascii="Arial" w:hAnsi="Arial" w:cs="Arial"/>
          <w:lang w:val="es-CO"/>
        </w:rPr>
      </w:pPr>
    </w:p>
    <w:p w14:paraId="6FFC9FEA" w14:textId="77777777" w:rsidR="00B2442D" w:rsidRDefault="008A645F">
      <w:pPr>
        <w:ind w:left="284" w:hanging="284"/>
        <w:jc w:val="both"/>
        <w:rPr>
          <w:rFonts w:ascii="Arial" w:hAnsi="Arial" w:cs="Arial"/>
          <w:lang w:val="es-CO"/>
        </w:rPr>
      </w:pPr>
      <w:r>
        <w:rPr>
          <w:rFonts w:ascii="Arial" w:hAnsi="Arial" w:cs="Arial"/>
          <w:lang w:val="es-CO"/>
        </w:rPr>
        <w:t>a) Los gastos de representación considerados como exentos de impuesto sobre la renta, según los requisitos y límites establecidos en el numeral 7 del artículo 206 del Estatuto Tributario;</w:t>
      </w:r>
    </w:p>
    <w:p w14:paraId="498FBDCE" w14:textId="77777777" w:rsidR="00B2442D" w:rsidRDefault="00B2442D">
      <w:pPr>
        <w:ind w:left="284" w:hanging="284"/>
        <w:jc w:val="both"/>
        <w:rPr>
          <w:rFonts w:ascii="Arial" w:hAnsi="Arial" w:cs="Arial"/>
          <w:lang w:val="es-CO"/>
        </w:rPr>
      </w:pPr>
    </w:p>
    <w:p w14:paraId="2A7173F6" w14:textId="77777777" w:rsidR="00B2442D" w:rsidRDefault="008A645F">
      <w:pPr>
        <w:ind w:left="284" w:hanging="284"/>
        <w:jc w:val="both"/>
        <w:rPr>
          <w:rFonts w:ascii="Arial" w:hAnsi="Arial" w:cs="Arial"/>
          <w:lang w:val="es-CO"/>
        </w:rPr>
      </w:pPr>
      <w:r>
        <w:rPr>
          <w:rFonts w:ascii="Arial" w:hAnsi="Arial" w:cs="Arial"/>
          <w:lang w:val="es-CO"/>
        </w:rPr>
        <w:t xml:space="preserve">b) El </w:t>
      </w:r>
      <w:r>
        <w:rPr>
          <w:rFonts w:ascii="Arial" w:hAnsi="Arial" w:cs="Arial"/>
          <w:lang w:val="es-CO"/>
        </w:rPr>
        <w:t>exceso del salario básico de los oficiales y suboficiales de las fuerzas militares y la policía nacional;</w:t>
      </w:r>
    </w:p>
    <w:p w14:paraId="5D7A5BF6" w14:textId="77777777" w:rsidR="00B2442D" w:rsidRDefault="00B2442D">
      <w:pPr>
        <w:ind w:left="284" w:hanging="284"/>
        <w:jc w:val="both"/>
        <w:rPr>
          <w:rFonts w:ascii="Arial" w:hAnsi="Arial" w:cs="Arial"/>
          <w:lang w:val="es-CO"/>
        </w:rPr>
      </w:pPr>
    </w:p>
    <w:p w14:paraId="3A26E407" w14:textId="77777777" w:rsidR="00B2442D" w:rsidRDefault="008A645F">
      <w:pPr>
        <w:ind w:left="284" w:hanging="284"/>
        <w:jc w:val="both"/>
        <w:rPr>
          <w:rFonts w:ascii="Arial" w:hAnsi="Arial" w:cs="Arial"/>
          <w:lang w:val="es-CO"/>
        </w:rPr>
      </w:pPr>
      <w:r>
        <w:rPr>
          <w:rFonts w:ascii="Arial" w:hAnsi="Arial" w:cs="Arial"/>
          <w:lang w:val="es-CO"/>
        </w:rPr>
        <w:t>c) El pago correspondiente a la licencia de maternidad.</w:t>
      </w:r>
    </w:p>
    <w:p w14:paraId="0106BD75" w14:textId="77777777" w:rsidR="00B2442D" w:rsidRDefault="00B2442D">
      <w:pPr>
        <w:jc w:val="both"/>
        <w:rPr>
          <w:rFonts w:ascii="Arial" w:hAnsi="Arial" w:cs="Arial"/>
          <w:lang w:val="es-CO"/>
        </w:rPr>
      </w:pPr>
    </w:p>
    <w:p w14:paraId="7A9EEDF8" w14:textId="77777777" w:rsidR="00B2442D" w:rsidRDefault="008A645F">
      <w:pPr>
        <w:jc w:val="both"/>
        <w:rPr>
          <w:rFonts w:ascii="Arial" w:hAnsi="Arial" w:cs="Arial"/>
          <w:i/>
          <w:lang w:val="es-CO"/>
        </w:rPr>
      </w:pPr>
      <w:r>
        <w:rPr>
          <w:rFonts w:ascii="Arial" w:hAnsi="Arial" w:cs="Arial"/>
          <w:i/>
          <w:lang w:val="es-CO"/>
        </w:rPr>
        <w:t>(Art. 6, Decreto 1070 de 2013)</w:t>
      </w:r>
    </w:p>
    <w:p w14:paraId="3E1C3357" w14:textId="77777777" w:rsidR="00B2442D" w:rsidRDefault="00B2442D">
      <w:pPr>
        <w:jc w:val="both"/>
        <w:rPr>
          <w:rFonts w:ascii="Arial" w:hAnsi="Arial" w:cs="Arial"/>
          <w:lang w:val="es-CO"/>
        </w:rPr>
      </w:pPr>
    </w:p>
    <w:p w14:paraId="5AEA535E"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Pagos mensualizados.</w:t>
      </w:r>
      <w:r>
        <w:rPr>
          <w:rFonts w:ascii="Arial" w:hAnsi="Arial" w:cs="Arial"/>
          <w:lang w:val="es-CO"/>
        </w:rPr>
        <w:t xml:space="preserve"> Para efectos de la retención en la fue</w:t>
      </w:r>
      <w:r>
        <w:rPr>
          <w:rFonts w:ascii="Arial" w:hAnsi="Arial" w:cs="Arial"/>
          <w:lang w:val="es-CO"/>
        </w:rPr>
        <w:t xml:space="preserve">nte mínima a que se refiere el artículo 384 del Estatuto Tributario, el cálculo de los pagos mensualizados solo será aplicable a los no originados en una relación laboral, o legal y reglamentaria. </w:t>
      </w:r>
    </w:p>
    <w:p w14:paraId="6A8D10EA" w14:textId="77777777" w:rsidR="00B2442D" w:rsidRDefault="00B2442D">
      <w:pPr>
        <w:pStyle w:val="Prrafodelista"/>
        <w:ind w:left="0"/>
        <w:jc w:val="both"/>
        <w:rPr>
          <w:rFonts w:ascii="Arial" w:hAnsi="Arial" w:cs="Arial"/>
          <w:b/>
          <w:i/>
          <w:lang w:val="es-CO"/>
        </w:rPr>
      </w:pPr>
    </w:p>
    <w:p w14:paraId="40CEE40F" w14:textId="77777777" w:rsidR="00B2442D" w:rsidRDefault="008A645F">
      <w:pPr>
        <w:jc w:val="both"/>
        <w:rPr>
          <w:rFonts w:ascii="Arial" w:hAnsi="Arial" w:cs="Arial"/>
          <w:i/>
          <w:lang w:val="es-CO"/>
        </w:rPr>
      </w:pPr>
      <w:r>
        <w:rPr>
          <w:rFonts w:ascii="Arial" w:hAnsi="Arial" w:cs="Arial"/>
          <w:i/>
          <w:lang w:val="es-CO"/>
        </w:rPr>
        <w:t>(Art. 7, Decreto 1070 de 2013)</w:t>
      </w:r>
    </w:p>
    <w:p w14:paraId="5C0FE160" w14:textId="77777777" w:rsidR="00B2442D" w:rsidRDefault="00B2442D">
      <w:pPr>
        <w:pStyle w:val="Prrafodelista"/>
        <w:ind w:left="0"/>
        <w:jc w:val="both"/>
        <w:rPr>
          <w:rFonts w:ascii="Arial" w:hAnsi="Arial" w:cs="Arial"/>
          <w:lang w:val="es-CO"/>
        </w:rPr>
      </w:pPr>
    </w:p>
    <w:p w14:paraId="6845F61E"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Pagos deducibles para el</w:t>
      </w:r>
      <w:r>
        <w:rPr>
          <w:rFonts w:ascii="Arial" w:hAnsi="Arial" w:cs="Arial"/>
          <w:b/>
          <w:i/>
          <w:lang w:val="es-CO"/>
        </w:rPr>
        <w:t xml:space="preserve"> empleador.</w:t>
      </w:r>
      <w:r>
        <w:rPr>
          <w:rFonts w:ascii="Arial" w:hAnsi="Arial" w:cs="Arial"/>
          <w:b/>
          <w:lang w:val="es-CO"/>
        </w:rPr>
        <w:t xml:space="preserve"> </w:t>
      </w:r>
      <w:r>
        <w:rPr>
          <w:rFonts w:ascii="Arial" w:hAnsi="Arial" w:cs="Arial"/>
          <w:lang w:val="es-CO"/>
        </w:rPr>
        <w:t>Los pagos que efectúen los empleadores a favor de terceras personas por concepto de alimentación del trabajador o su familia, o por concepto de suministro de alimentación para estos, en restaurantes propios o de terceros, al igual que los pagos</w:t>
      </w:r>
      <w:r>
        <w:rPr>
          <w:rFonts w:ascii="Arial" w:hAnsi="Arial" w:cs="Arial"/>
          <w:lang w:val="es-CO"/>
        </w:rPr>
        <w:t xml:space="preserve"> por concepto de la compra de vales o tiquetes para la adquisición de alimentos del trabajador o su familia, son deducibles para el empleador y no constituyen ingreso para el trabajador, sino para el tercero que suministra los alimentos o presta el servici</w:t>
      </w:r>
      <w:r>
        <w:rPr>
          <w:rFonts w:ascii="Arial" w:hAnsi="Arial" w:cs="Arial"/>
          <w:lang w:val="es-CO"/>
        </w:rPr>
        <w:t xml:space="preserve">o de restaurante, sometidos a la retención en la fuente que le corresponda en cabeza de estos últimos, siempre que el salario del trabajador beneficiado no exceda de trescientos diez (310) UVT. Lo anterior sin menoscabo de lo dispuesto en materia salarial </w:t>
      </w:r>
      <w:r>
        <w:rPr>
          <w:rFonts w:ascii="Arial" w:hAnsi="Arial" w:cs="Arial"/>
          <w:lang w:val="es-CO"/>
        </w:rPr>
        <w:t>por el Código Sustantivo de Trabajo.</w:t>
      </w:r>
    </w:p>
    <w:p w14:paraId="5EFFB95C" w14:textId="77777777" w:rsidR="00B2442D" w:rsidRDefault="00B2442D">
      <w:pPr>
        <w:pStyle w:val="Prrafodelista"/>
        <w:jc w:val="both"/>
        <w:rPr>
          <w:rFonts w:ascii="Arial" w:hAnsi="Arial" w:cs="Arial"/>
          <w:lang w:val="es-CO"/>
        </w:rPr>
      </w:pPr>
    </w:p>
    <w:p w14:paraId="1376DDCF" w14:textId="77777777" w:rsidR="00B2442D" w:rsidRDefault="008A645F">
      <w:pPr>
        <w:jc w:val="both"/>
        <w:rPr>
          <w:rFonts w:ascii="Arial" w:hAnsi="Arial" w:cs="Arial"/>
          <w:lang w:val="es-CO"/>
        </w:rPr>
      </w:pPr>
      <w:r>
        <w:rPr>
          <w:rFonts w:ascii="Arial" w:hAnsi="Arial" w:cs="Arial"/>
          <w:lang w:val="es-CO"/>
        </w:rPr>
        <w:t xml:space="preserve">Cuando los pagos en el mes en beneficio del trabajador o de su familia, de que trata el inciso anterior, excedan la suma de cuarenta y un (41) UVT, el exceso constituye ingreso tributario del trabajador, </w:t>
      </w:r>
      <w:r>
        <w:rPr>
          <w:rFonts w:ascii="Arial" w:hAnsi="Arial" w:cs="Arial"/>
          <w:lang w:val="es-CO"/>
        </w:rPr>
        <w:t>sometido a retención en la fuente por ingresos laborales. Lo dispuesto en este artículo no aplica para los gastos de representación de las empresas, los cuales son deducibles para estas.</w:t>
      </w:r>
    </w:p>
    <w:p w14:paraId="52280A71" w14:textId="77777777" w:rsidR="00B2442D" w:rsidRDefault="00B2442D">
      <w:pPr>
        <w:jc w:val="both"/>
        <w:rPr>
          <w:rFonts w:ascii="Arial" w:hAnsi="Arial" w:cs="Arial"/>
          <w:lang w:val="es-CO"/>
        </w:rPr>
      </w:pPr>
    </w:p>
    <w:p w14:paraId="65256C63" w14:textId="77777777" w:rsidR="00B2442D" w:rsidRDefault="008A645F">
      <w:pPr>
        <w:jc w:val="both"/>
        <w:rPr>
          <w:rFonts w:ascii="Arial" w:hAnsi="Arial" w:cs="Arial"/>
          <w:lang w:val="es-CO"/>
        </w:rPr>
      </w:pPr>
      <w:r>
        <w:rPr>
          <w:rFonts w:ascii="Arial" w:hAnsi="Arial" w:cs="Arial"/>
          <w:lang w:val="es-CO"/>
        </w:rPr>
        <w:t>Para los efectos previstos en este artículo, se entiende por familia</w:t>
      </w:r>
      <w:r>
        <w:rPr>
          <w:rFonts w:ascii="Arial" w:hAnsi="Arial" w:cs="Arial"/>
          <w:lang w:val="es-CO"/>
        </w:rPr>
        <w:t xml:space="preserve"> del trabajador, el cónyuge o compañero (a) permanente, los hijos y los padres del trabajador.</w:t>
      </w:r>
    </w:p>
    <w:p w14:paraId="67BBFBE9" w14:textId="77777777" w:rsidR="00B2442D" w:rsidRDefault="00B2442D">
      <w:pPr>
        <w:jc w:val="both"/>
        <w:rPr>
          <w:rFonts w:ascii="Arial" w:hAnsi="Arial" w:cs="Arial"/>
          <w:i/>
          <w:lang w:val="es-CO"/>
        </w:rPr>
      </w:pPr>
    </w:p>
    <w:p w14:paraId="31BC13B4" w14:textId="77777777" w:rsidR="00B2442D" w:rsidRDefault="008A645F">
      <w:pPr>
        <w:jc w:val="both"/>
        <w:rPr>
          <w:rFonts w:ascii="Arial" w:hAnsi="Arial" w:cs="Arial"/>
          <w:i/>
          <w:lang w:val="es-CO"/>
        </w:rPr>
      </w:pPr>
      <w:r>
        <w:rPr>
          <w:rFonts w:ascii="Arial" w:hAnsi="Arial" w:cs="Arial"/>
          <w:i/>
          <w:lang w:val="es-CO"/>
        </w:rPr>
        <w:t>(Art. 4, Decreto 4713 de 2005)</w:t>
      </w:r>
      <w:r>
        <w:rPr>
          <w:rFonts w:ascii="Arial" w:hAnsi="Arial" w:cs="Arial"/>
        </w:rPr>
        <w:t xml:space="preserve"> (</w:t>
      </w:r>
      <w:r>
        <w:rPr>
          <w:rFonts w:ascii="Arial" w:hAnsi="Arial" w:cs="Arial"/>
          <w:i/>
          <w:lang w:val="es-CO"/>
        </w:rPr>
        <w:t>El Decreto 4713 de 2005 rige a partir del 1o de enero del año 2006, previa su publicación. Art. 10, Decreto 4713 de 2005)</w:t>
      </w:r>
    </w:p>
    <w:p w14:paraId="174CB61D" w14:textId="77777777" w:rsidR="00B2442D" w:rsidRDefault="00B2442D">
      <w:pPr>
        <w:pStyle w:val="Prrafodelista"/>
        <w:jc w:val="both"/>
        <w:rPr>
          <w:rFonts w:ascii="Arial" w:hAnsi="Arial" w:cs="Arial"/>
          <w:lang w:val="es-CO"/>
        </w:rPr>
      </w:pPr>
    </w:p>
    <w:p w14:paraId="74F32237"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Dedu</w:t>
      </w:r>
      <w:r>
        <w:rPr>
          <w:rFonts w:ascii="Arial" w:hAnsi="Arial" w:cs="Arial"/>
          <w:b/>
          <w:i/>
          <w:lang w:val="es-CO"/>
        </w:rPr>
        <w:t xml:space="preserve">cción por intereses y corrección monetaria en virtud de préstamos. </w:t>
      </w:r>
      <w:r>
        <w:rPr>
          <w:rFonts w:ascii="Arial" w:hAnsi="Arial" w:cs="Arial"/>
          <w:lang w:val="es-CO"/>
        </w:rPr>
        <w:t>Cuando el trabajador tenga derecho a la deducción por intereses o corrección monetaria, en virtud de préstamos para adquisición de vivienda o costo financiero en virtud de un contrato de le</w:t>
      </w:r>
      <w:r>
        <w:rPr>
          <w:rFonts w:ascii="Arial" w:hAnsi="Arial" w:cs="Arial"/>
          <w:lang w:val="es-CO"/>
        </w:rPr>
        <w:t xml:space="preserve">asing que tenga por objeto el bien inmueble destinado para vivienda del trabajador, el valor máximo que se podrá deducir mensualmente de la base de retención será de diez (100) UVT de conformidad con el artículo 387 del Estatuto Tributario. </w:t>
      </w:r>
    </w:p>
    <w:p w14:paraId="2E749437" w14:textId="77777777" w:rsidR="00B2442D" w:rsidRDefault="00B2442D">
      <w:pPr>
        <w:pStyle w:val="Prrafodelista"/>
        <w:ind w:left="0"/>
        <w:jc w:val="both"/>
        <w:rPr>
          <w:rFonts w:ascii="Arial" w:hAnsi="Arial" w:cs="Arial"/>
          <w:lang w:val="es-CO"/>
        </w:rPr>
      </w:pPr>
    </w:p>
    <w:p w14:paraId="4966BBC0" w14:textId="77777777" w:rsidR="00B2442D" w:rsidRDefault="008A645F">
      <w:pPr>
        <w:jc w:val="both"/>
        <w:rPr>
          <w:rFonts w:ascii="Arial" w:hAnsi="Arial" w:cs="Arial"/>
          <w:i/>
          <w:lang w:val="es-CO"/>
        </w:rPr>
      </w:pPr>
      <w:r>
        <w:rPr>
          <w:rFonts w:ascii="Arial" w:hAnsi="Arial" w:cs="Arial"/>
          <w:i/>
          <w:lang w:val="es-CO"/>
        </w:rPr>
        <w:t>(Art. 5, Decr</w:t>
      </w:r>
      <w:r>
        <w:rPr>
          <w:rFonts w:ascii="Arial" w:hAnsi="Arial" w:cs="Arial"/>
          <w:i/>
          <w:lang w:val="es-CO"/>
        </w:rPr>
        <w:t>eto 4713 de 2005)</w:t>
      </w:r>
      <w:r>
        <w:rPr>
          <w:rFonts w:ascii="Arial" w:hAnsi="Arial" w:cs="Arial"/>
        </w:rPr>
        <w:t xml:space="preserve"> </w:t>
      </w:r>
      <w:r>
        <w:rPr>
          <w:rFonts w:ascii="Arial" w:hAnsi="Arial" w:cs="Arial"/>
          <w:i/>
          <w:lang w:val="es-CO"/>
        </w:rPr>
        <w:t>(El Decreto 4713 de 2005 rige a partir del 1o de enero del año 2006, previa su publicación. Art. 10, Decreto 4713 de 2005)</w:t>
      </w:r>
    </w:p>
    <w:p w14:paraId="053D9051" w14:textId="77777777" w:rsidR="00B2442D" w:rsidRDefault="00B2442D">
      <w:pPr>
        <w:pStyle w:val="Prrafodelista"/>
        <w:ind w:left="0"/>
        <w:jc w:val="both"/>
        <w:rPr>
          <w:rFonts w:ascii="Arial" w:hAnsi="Arial" w:cs="Arial"/>
          <w:lang w:val="es-CO"/>
        </w:rPr>
      </w:pPr>
    </w:p>
    <w:p w14:paraId="25D6258E"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Certificados.</w:t>
      </w:r>
      <w:r>
        <w:rPr>
          <w:rFonts w:ascii="Arial" w:hAnsi="Arial" w:cs="Arial"/>
          <w:i/>
          <w:lang w:val="es-CO"/>
        </w:rPr>
        <w:t xml:space="preserve"> </w:t>
      </w:r>
      <w:r>
        <w:rPr>
          <w:rFonts w:ascii="Arial" w:hAnsi="Arial" w:cs="Arial"/>
          <w:lang w:val="es-CO"/>
        </w:rPr>
        <w:t>Los certificados sobre los intereses y corrección monetaria para efectos de la adquisición de vivie</w:t>
      </w:r>
      <w:r>
        <w:rPr>
          <w:rFonts w:ascii="Arial" w:hAnsi="Arial" w:cs="Arial"/>
          <w:lang w:val="es-CO"/>
        </w:rPr>
        <w:t xml:space="preserve">nda o costo financiero en virtud de un contrato de leasing que tenga por objeto un bien inmueble destinado a vivienda del trabajador y los certificados en los que consten los pagos de salud de que trata el artículo 387 del Estatuto Tributario y que sirven </w:t>
      </w:r>
      <w:r>
        <w:rPr>
          <w:rFonts w:ascii="Arial" w:hAnsi="Arial" w:cs="Arial"/>
          <w:lang w:val="es-CO"/>
        </w:rPr>
        <w:t>para disminuir la base de retención, deberán presentarse al agente retenedor a más tardar el quince (15) de abril de cada año. En consecuencia, hasta la fecha indicada en el inciso precedente, los retenedores tomarán como válida la información que suminist</w:t>
      </w:r>
      <w:r>
        <w:rPr>
          <w:rFonts w:ascii="Arial" w:hAnsi="Arial" w:cs="Arial"/>
          <w:lang w:val="es-CO"/>
        </w:rPr>
        <w:t>ró el trabajador en el año inmediatamente anterior.</w:t>
      </w:r>
      <w:r>
        <w:rPr>
          <w:rFonts w:ascii="Arial" w:hAnsi="Arial" w:cs="Arial"/>
        </w:rPr>
        <w:t xml:space="preserve"> </w:t>
      </w:r>
    </w:p>
    <w:p w14:paraId="236B7FEB" w14:textId="77777777" w:rsidR="00B2442D" w:rsidRDefault="00B2442D">
      <w:pPr>
        <w:pStyle w:val="Prrafodelista"/>
        <w:ind w:left="0"/>
        <w:jc w:val="both"/>
        <w:rPr>
          <w:rFonts w:ascii="Arial" w:hAnsi="Arial" w:cs="Arial"/>
          <w:lang w:val="es-CO"/>
        </w:rPr>
      </w:pPr>
    </w:p>
    <w:p w14:paraId="6E173136" w14:textId="77777777" w:rsidR="00B2442D" w:rsidRDefault="008A645F">
      <w:pPr>
        <w:jc w:val="both"/>
        <w:rPr>
          <w:rFonts w:ascii="Arial" w:hAnsi="Arial" w:cs="Arial"/>
          <w:i/>
          <w:lang w:val="es-CO"/>
        </w:rPr>
      </w:pPr>
      <w:r>
        <w:rPr>
          <w:rFonts w:ascii="Arial" w:hAnsi="Arial" w:cs="Arial"/>
          <w:i/>
          <w:lang w:val="es-CO"/>
        </w:rPr>
        <w:t>(Art. 7, Decreto 4713 de 2005)</w:t>
      </w:r>
      <w:r>
        <w:rPr>
          <w:rFonts w:ascii="Arial" w:hAnsi="Arial" w:cs="Arial"/>
        </w:rPr>
        <w:t xml:space="preserve"> </w:t>
      </w:r>
      <w:r>
        <w:rPr>
          <w:rFonts w:ascii="Arial" w:hAnsi="Arial" w:cs="Arial"/>
          <w:i/>
          <w:lang w:val="es-CO"/>
        </w:rPr>
        <w:t>(El Decreto 4713 de 2005 rige a partir del 1o de enero del año 2006, previa su publicación. Art. 10, Decreto 4713 de 2005)</w:t>
      </w:r>
    </w:p>
    <w:p w14:paraId="0AC7D277" w14:textId="77777777" w:rsidR="00B2442D" w:rsidRDefault="00B2442D">
      <w:pPr>
        <w:pStyle w:val="Prrafodelista"/>
        <w:ind w:left="0"/>
        <w:jc w:val="both"/>
        <w:rPr>
          <w:rFonts w:ascii="Arial" w:hAnsi="Arial" w:cs="Arial"/>
          <w:lang w:val="es-CO"/>
        </w:rPr>
      </w:pPr>
    </w:p>
    <w:p w14:paraId="2EE1DDCC" w14:textId="77777777" w:rsidR="00B2442D" w:rsidRDefault="008A645F">
      <w:pPr>
        <w:pStyle w:val="Prrafodelista"/>
        <w:widowControl w:val="0"/>
        <w:numPr>
          <w:ilvl w:val="0"/>
          <w:numId w:val="47"/>
        </w:numPr>
        <w:autoSpaceDE w:val="0"/>
        <w:autoSpaceDN w:val="0"/>
        <w:adjustRightInd w:val="0"/>
        <w:spacing w:line="40" w:lineRule="atLeast"/>
        <w:ind w:left="0" w:firstLine="0"/>
        <w:jc w:val="both"/>
        <w:rPr>
          <w:rFonts w:ascii="Arial" w:hAnsi="Arial" w:cs="Arial"/>
        </w:rPr>
      </w:pPr>
      <w:r>
        <w:rPr>
          <w:rFonts w:ascii="Arial" w:hAnsi="Arial" w:cs="Arial"/>
          <w:b/>
          <w:bCs/>
          <w:i/>
        </w:rPr>
        <w:t xml:space="preserve"> Expedición de certificados por unidad de empresa.</w:t>
      </w:r>
      <w:r>
        <w:rPr>
          <w:rFonts w:ascii="Arial" w:hAnsi="Arial" w:cs="Arial"/>
          <w:b/>
          <w:bCs/>
        </w:rPr>
        <w:t xml:space="preserve"> </w:t>
      </w:r>
      <w:r>
        <w:rPr>
          <w:rFonts w:ascii="Arial" w:hAnsi="Arial" w:cs="Arial"/>
        </w:rPr>
        <w:t>Cuando dos o más patronos que conformen una unidad de empresa efectúen pagos a un mismo trabajador por concepto de salarios u otros ingresos que se originen en la relación laboral, el certificado será expe</w:t>
      </w:r>
      <w:r>
        <w:rPr>
          <w:rFonts w:ascii="Arial" w:hAnsi="Arial" w:cs="Arial"/>
        </w:rPr>
        <w:t xml:space="preserve">dido por la empresa que tenga el carácter de principal o haga sus veces, e incluirá la totalidad de los pagos gravables que se efectúen al trabajador por las distintas empresas que conformen la unidad. </w:t>
      </w:r>
    </w:p>
    <w:p w14:paraId="2A06A84A"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C72D5CE" w14:textId="77777777" w:rsidR="00B2442D" w:rsidRDefault="008A645F">
      <w:pPr>
        <w:jc w:val="both"/>
        <w:rPr>
          <w:rFonts w:ascii="Arial" w:hAnsi="Arial" w:cs="Arial"/>
          <w:lang w:val="es-CO"/>
        </w:rPr>
      </w:pPr>
      <w:r>
        <w:rPr>
          <w:rFonts w:ascii="Arial" w:hAnsi="Arial" w:cs="Arial"/>
        </w:rPr>
        <w:t>Cuando se trate de trabajadores con ingresos de dif</w:t>
      </w:r>
      <w:r>
        <w:rPr>
          <w:rFonts w:ascii="Arial" w:hAnsi="Arial" w:cs="Arial"/>
        </w:rPr>
        <w:t>erentes fuentes, deben exhibir la totalidad de los certificados de retención correspondiente a los ingresos informados.</w:t>
      </w:r>
    </w:p>
    <w:p w14:paraId="3C811F25" w14:textId="77777777" w:rsidR="00B2442D" w:rsidRDefault="00B2442D">
      <w:pPr>
        <w:jc w:val="both"/>
        <w:rPr>
          <w:rFonts w:ascii="Arial" w:hAnsi="Arial" w:cs="Arial"/>
          <w:i/>
          <w:lang w:val="es-CO"/>
        </w:rPr>
      </w:pPr>
    </w:p>
    <w:p w14:paraId="4094AA14" w14:textId="77777777" w:rsidR="00B2442D" w:rsidRDefault="008A645F">
      <w:pPr>
        <w:jc w:val="both"/>
        <w:rPr>
          <w:rFonts w:ascii="Arial" w:hAnsi="Arial" w:cs="Arial"/>
          <w:i/>
          <w:lang w:val="es-CO"/>
        </w:rPr>
      </w:pPr>
      <w:r>
        <w:rPr>
          <w:rFonts w:ascii="Arial" w:hAnsi="Arial" w:cs="Arial"/>
          <w:i/>
          <w:lang w:val="es-CO"/>
        </w:rPr>
        <w:t>(Art. 7, Decreto 460 de 1986)</w:t>
      </w:r>
    </w:p>
    <w:p w14:paraId="224DA0BA" w14:textId="77777777" w:rsidR="00B2442D" w:rsidRDefault="00B2442D">
      <w:pPr>
        <w:pStyle w:val="Prrafodelista"/>
        <w:ind w:left="0"/>
        <w:rPr>
          <w:rFonts w:ascii="Arial" w:hAnsi="Arial" w:cs="Arial"/>
          <w:lang w:val="es-CO"/>
        </w:rPr>
      </w:pPr>
    </w:p>
    <w:p w14:paraId="171BC2C9" w14:textId="77777777" w:rsidR="00B2442D" w:rsidRDefault="008A645F">
      <w:pPr>
        <w:pStyle w:val="Prrafodelista"/>
        <w:numPr>
          <w:ilvl w:val="0"/>
          <w:numId w:val="47"/>
        </w:numPr>
        <w:ind w:left="0" w:firstLine="0"/>
        <w:jc w:val="both"/>
        <w:rPr>
          <w:rFonts w:ascii="Arial" w:hAnsi="Arial" w:cs="Arial"/>
          <w:lang w:val="es-CO"/>
        </w:rPr>
      </w:pPr>
      <w:r>
        <w:rPr>
          <w:rFonts w:ascii="Arial" w:hAnsi="Arial" w:cs="Arial"/>
          <w:b/>
          <w:i/>
          <w:lang w:val="es-CO"/>
        </w:rPr>
        <w:t xml:space="preserve"> Concepto de pagos indirectos.</w:t>
      </w:r>
      <w:r>
        <w:rPr>
          <w:rFonts w:ascii="Arial" w:hAnsi="Arial" w:cs="Arial"/>
          <w:lang w:val="es-CO"/>
        </w:rPr>
        <w:t xml:space="preserve"> Para efectos de lo previsto en los artículos anteriores, constituyen pagos indirectos hechos al trabajador, los pagos que efectúe el empleador a terceras personas, por la prestación de servicios o adquisición de bienes destinados al trabajador o a su cóny</w:t>
      </w:r>
      <w:r>
        <w:rPr>
          <w:rFonts w:ascii="Arial" w:hAnsi="Arial" w:cs="Arial"/>
          <w:lang w:val="es-CO"/>
        </w:rPr>
        <w:t>uge, o a personas vinculadas con él por parentesco dentro del cuarto grado de consanguinidad, segundo de afinidad o único civil, siempre y cuando no constituyan ingreso propio en cabeza de las personas vinculadas al trabajador y no se trate de las cuotas q</w:t>
      </w:r>
      <w:r>
        <w:rPr>
          <w:rFonts w:ascii="Arial" w:hAnsi="Arial" w:cs="Arial"/>
          <w:lang w:val="es-CO"/>
        </w:rPr>
        <w:t xml:space="preserve">ue por Ley deban aportar los empleadores a entidades tales como el Instituto de Seguros Sociales o quien haga sus veces, el Instituto Colombiano de Bienestar Familiar, el Servicio Nacional de Aprendizaje y las Cajas de Compensación Familiar. </w:t>
      </w:r>
    </w:p>
    <w:p w14:paraId="1F0C49E0" w14:textId="77777777" w:rsidR="00B2442D" w:rsidRDefault="008A645F">
      <w:pPr>
        <w:jc w:val="both"/>
        <w:rPr>
          <w:rFonts w:ascii="Arial" w:hAnsi="Arial" w:cs="Arial"/>
          <w:lang w:val="es-CO"/>
        </w:rPr>
      </w:pPr>
      <w:r>
        <w:rPr>
          <w:rFonts w:ascii="Arial" w:hAnsi="Arial" w:cs="Arial"/>
          <w:lang w:val="es-CO"/>
        </w:rPr>
        <w:t xml:space="preserve"> </w:t>
      </w:r>
    </w:p>
    <w:p w14:paraId="357ADA56" w14:textId="77777777" w:rsidR="00B2442D" w:rsidRDefault="008A645F">
      <w:pPr>
        <w:jc w:val="both"/>
        <w:rPr>
          <w:rFonts w:ascii="Arial" w:hAnsi="Arial" w:cs="Arial"/>
          <w:lang w:val="es-CO"/>
        </w:rPr>
      </w:pPr>
      <w:r>
        <w:rPr>
          <w:rFonts w:ascii="Arial" w:hAnsi="Arial" w:cs="Arial"/>
          <w:lang w:val="es-CO"/>
        </w:rPr>
        <w:t>Se excluyen</w:t>
      </w:r>
      <w:r>
        <w:rPr>
          <w:rFonts w:ascii="Arial" w:hAnsi="Arial" w:cs="Arial"/>
          <w:lang w:val="es-CO"/>
        </w:rPr>
        <w:t xml:space="preserve"> los pagos que el empleador efectúe por concepto de educación y salud, en la parte que no exceda del valor promedio que se reconoce a la generalidad de los trabajadores de la respectiva empresa por tales conceptos, y siempre y cuando correspondan a program</w:t>
      </w:r>
      <w:r>
        <w:rPr>
          <w:rFonts w:ascii="Arial" w:hAnsi="Arial" w:cs="Arial"/>
          <w:lang w:val="es-CO"/>
        </w:rPr>
        <w:t>as permanentes de la misma para con los trabajadores.</w:t>
      </w:r>
    </w:p>
    <w:p w14:paraId="4516E56A" w14:textId="77777777" w:rsidR="00B2442D" w:rsidRDefault="00B2442D">
      <w:pPr>
        <w:jc w:val="both"/>
        <w:rPr>
          <w:rFonts w:ascii="Arial" w:hAnsi="Arial" w:cs="Arial"/>
          <w:lang w:val="es-CO"/>
        </w:rPr>
      </w:pPr>
    </w:p>
    <w:p w14:paraId="1A6BFAFD" w14:textId="77777777" w:rsidR="00B2442D" w:rsidRDefault="008A645F">
      <w:pPr>
        <w:jc w:val="both"/>
        <w:rPr>
          <w:rFonts w:ascii="Arial" w:hAnsi="Arial" w:cs="Arial"/>
          <w:i/>
          <w:lang w:val="es-CO"/>
        </w:rPr>
      </w:pPr>
      <w:r>
        <w:rPr>
          <w:rFonts w:ascii="Arial" w:hAnsi="Arial" w:cs="Arial"/>
          <w:i/>
          <w:lang w:val="es-CO"/>
        </w:rPr>
        <w:t>(Art. 5, Decreto 3750 de 1986. La expresión “alimentación” tiene decaimiento por lo dispuesto en el artículo 387-1 del Estatuto Tributario.)</w:t>
      </w:r>
    </w:p>
    <w:p w14:paraId="3B886978" w14:textId="77777777" w:rsidR="00B2442D" w:rsidRDefault="00B2442D">
      <w:pPr>
        <w:jc w:val="both"/>
        <w:rPr>
          <w:rFonts w:ascii="Arial" w:hAnsi="Arial" w:cs="Arial"/>
          <w:i/>
          <w:lang w:val="es-CO"/>
        </w:rPr>
      </w:pPr>
    </w:p>
    <w:p w14:paraId="7B42E4DA" w14:textId="77777777" w:rsidR="00B2442D" w:rsidRDefault="008A645F">
      <w:pPr>
        <w:pStyle w:val="Prrafodelista"/>
        <w:widowControl w:val="0"/>
        <w:numPr>
          <w:ilvl w:val="0"/>
          <w:numId w:val="47"/>
        </w:numPr>
        <w:autoSpaceDE w:val="0"/>
        <w:autoSpaceDN w:val="0"/>
        <w:adjustRightInd w:val="0"/>
        <w:spacing w:line="40" w:lineRule="atLeast"/>
        <w:ind w:left="0" w:firstLine="0"/>
        <w:jc w:val="both"/>
        <w:rPr>
          <w:rFonts w:ascii="Arial" w:hAnsi="Arial" w:cs="Arial"/>
        </w:rPr>
      </w:pPr>
      <w:r>
        <w:rPr>
          <w:rFonts w:ascii="Arial" w:hAnsi="Arial" w:cs="Arial"/>
        </w:rPr>
        <w:t xml:space="preserve"> </w:t>
      </w:r>
      <w:r>
        <w:rPr>
          <w:rFonts w:ascii="Arial" w:hAnsi="Arial" w:cs="Arial"/>
          <w:b/>
          <w:i/>
        </w:rPr>
        <w:t>Cálculo de la retención en la fuente para los trabajadores</w:t>
      </w:r>
      <w:r>
        <w:rPr>
          <w:rFonts w:ascii="Arial" w:hAnsi="Arial" w:cs="Arial"/>
          <w:b/>
          <w:i/>
        </w:rPr>
        <w:t xml:space="preserve"> con derecho a la deducción por intereses o corrección monetaria.</w:t>
      </w:r>
      <w:r>
        <w:rPr>
          <w:rFonts w:ascii="Arial" w:hAnsi="Arial" w:cs="Arial"/>
        </w:rPr>
        <w:t xml:space="preserve"> En el caso de trabajadores que tengan derecho a la deducción por intereses o corrección monetaria en virtud de préstamos para adquisición de vivienda, el retenedor calculará la retención en </w:t>
      </w:r>
      <w:r>
        <w:rPr>
          <w:rFonts w:ascii="Arial" w:hAnsi="Arial" w:cs="Arial"/>
        </w:rPr>
        <w:t xml:space="preserve">la fuente de acuerdo con las siguientes instrucciones: </w:t>
      </w:r>
    </w:p>
    <w:p w14:paraId="50526B3E"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04E900A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b/>
          <w:bCs/>
        </w:rPr>
        <w:t>Para el procedimiento 1:</w:t>
      </w:r>
      <w:r>
        <w:rPr>
          <w:rFonts w:ascii="Arial" w:hAnsi="Arial" w:cs="Arial"/>
        </w:rPr>
        <w:t xml:space="preserve"> </w:t>
      </w:r>
    </w:p>
    <w:p w14:paraId="79CB5D1C"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09BFF5D5"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De la suma de todos los pagos gravables efectuados al trabajador durante el respectivo mes, diferentes de la cesantía, sus intereses y la prima mínima legal, se restará e</w:t>
      </w:r>
      <w:r>
        <w:rPr>
          <w:rFonts w:ascii="Arial" w:hAnsi="Arial" w:cs="Arial"/>
        </w:rPr>
        <w:t xml:space="preserve">l valor de los intereses y corrección monetaria que proporcionalmente se considera deducible por tal concepto en el respectivo mes. La cifra así obtenida será la base de retención que sirva para determinar en la tabla el "valor a retener" correspondiente. </w:t>
      </w:r>
    </w:p>
    <w:p w14:paraId="2446AD32"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466F0F36"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Cuando el retenedor opte por efectuar la retención en la fuente, de acuerdo con el procedimiento establecido para pagos que correspondan a períodos inferiores a treinta (30) días, la disminución por concepto de intereses y corrección monetaria sobre pré</w:t>
      </w:r>
      <w:r>
        <w:rPr>
          <w:rFonts w:ascii="Arial" w:hAnsi="Arial" w:cs="Arial"/>
        </w:rPr>
        <w:t>stamos para adquisición de vivienda se hará así: El valor obtenido según el literal a) del artículo 1.2.4.1.3 del presente Decreto deberá disminuirse en la cifra correspondiente a los intereses y corrección monetaria deducirles mensualmente, para así deter</w:t>
      </w:r>
      <w:r>
        <w:rPr>
          <w:rFonts w:ascii="Arial" w:hAnsi="Arial" w:cs="Arial"/>
        </w:rPr>
        <w:t>minar el porcentaje de retención a que se refiere el literal b) del mismo artículo. Así mismo, para efectos del cálculo previsto de dicho literal se deberá restar de la base para aplicar el porcentaje de retención, el valor de la corrección monetaria e int</w:t>
      </w:r>
      <w:r>
        <w:rPr>
          <w:rFonts w:ascii="Arial" w:hAnsi="Arial" w:cs="Arial"/>
        </w:rPr>
        <w:t xml:space="preserve">ereses deducirles que proporcionalmente correspondan al número de días objeto del pago. </w:t>
      </w:r>
    </w:p>
    <w:p w14:paraId="2DA75F5D"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090236F9"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b/>
          <w:bCs/>
        </w:rPr>
        <w:t>Para el procedimiento 2.</w:t>
      </w:r>
      <w:r>
        <w:rPr>
          <w:rFonts w:ascii="Arial" w:hAnsi="Arial" w:cs="Arial"/>
        </w:rPr>
        <w:t xml:space="preserve"> </w:t>
      </w:r>
    </w:p>
    <w:p w14:paraId="3503AD2C" w14:textId="77777777" w:rsidR="00B2442D" w:rsidRDefault="00B2442D">
      <w:pPr>
        <w:widowControl w:val="0"/>
        <w:autoSpaceDE w:val="0"/>
        <w:autoSpaceDN w:val="0"/>
        <w:adjustRightInd w:val="0"/>
        <w:spacing w:line="40" w:lineRule="atLeast"/>
        <w:jc w:val="both"/>
        <w:rPr>
          <w:rFonts w:ascii="Arial" w:hAnsi="Arial" w:cs="Arial"/>
        </w:rPr>
      </w:pPr>
    </w:p>
    <w:p w14:paraId="69174C18"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El valor mensualmente deducible será el que resulte de dividir por 12 el valor de los intereses y corrección monetaria deducibles que cons</w:t>
      </w:r>
      <w:r>
        <w:rPr>
          <w:rFonts w:ascii="Arial" w:hAnsi="Arial" w:cs="Arial"/>
        </w:rPr>
        <w:t xml:space="preserve">te en el mencionado certificado, sin que exceda de (100) UVT mensuales. </w:t>
      </w:r>
    </w:p>
    <w:p w14:paraId="3DCF3020"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0761BAF"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Cuando los intereses y corrección monetaria certificados, correspondan a un período inferior a los 12 meses, el valor mensualmente deducible se calculará dividiendo el monto total d</w:t>
      </w:r>
      <w:r>
        <w:rPr>
          <w:rFonts w:ascii="Arial" w:hAnsi="Arial" w:cs="Arial"/>
        </w:rPr>
        <w:t xml:space="preserve">e los intereses y corrección monetaria que figure en el respectivo certificado, por el número de meses a que corresponda, sin que exceda de (100) UVT mensuales. </w:t>
      </w:r>
    </w:p>
    <w:p w14:paraId="5E10DD2B"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4801973B" w14:textId="77777777" w:rsidR="00B2442D" w:rsidRDefault="008A645F">
      <w:pPr>
        <w:widowControl w:val="0"/>
        <w:autoSpaceDE w:val="0"/>
        <w:autoSpaceDN w:val="0"/>
        <w:adjustRightInd w:val="0"/>
        <w:spacing w:line="40" w:lineRule="atLeast"/>
        <w:jc w:val="both"/>
        <w:rPr>
          <w:rFonts w:ascii="Arial" w:hAnsi="Arial" w:cs="Arial"/>
        </w:rPr>
      </w:pPr>
      <w:r>
        <w:rPr>
          <w:rFonts w:ascii="Arial" w:hAnsi="Arial" w:cs="Arial"/>
        </w:rPr>
        <w:t>En el caso de préstamos obtenidos por el trabajador en el año en el cual se efectúa la retención, el valor mensualmente deducible será el de los intereses y corrección monetaria correspondientes al primer mes de vigencia del préstamo, según certificación e</w:t>
      </w:r>
      <w:r>
        <w:rPr>
          <w:rFonts w:ascii="Arial" w:hAnsi="Arial" w:cs="Arial"/>
        </w:rPr>
        <w:t xml:space="preserve">xpedida por la entidad que lo otorga, sin que exceda de (100) UVT mensuales. </w:t>
      </w:r>
    </w:p>
    <w:p w14:paraId="00139FC2" w14:textId="77777777" w:rsidR="00B2442D" w:rsidRDefault="00B2442D">
      <w:pPr>
        <w:jc w:val="both"/>
        <w:rPr>
          <w:rFonts w:ascii="Arial" w:hAnsi="Arial" w:cs="Arial"/>
          <w:i/>
        </w:rPr>
      </w:pPr>
    </w:p>
    <w:p w14:paraId="0BE4897B" w14:textId="77777777" w:rsidR="00B2442D" w:rsidRDefault="008A645F">
      <w:pPr>
        <w:jc w:val="both"/>
        <w:rPr>
          <w:rFonts w:ascii="Arial" w:hAnsi="Arial" w:cs="Arial"/>
          <w:i/>
          <w:lang w:val="es-CO"/>
        </w:rPr>
      </w:pPr>
      <w:r>
        <w:rPr>
          <w:rFonts w:ascii="Arial" w:hAnsi="Arial" w:cs="Arial"/>
          <w:i/>
          <w:lang w:val="es-CO"/>
        </w:rPr>
        <w:t xml:space="preserve">(Art. 7, Decreto 3750 de 1986. Las expresiones “o abonos en cuenta” tienen decaimiento en virtud del artículo 140 de la Ley 6 de 1992. Los incisos primero y segundo del </w:t>
      </w:r>
      <w:r>
        <w:rPr>
          <w:rFonts w:ascii="Arial" w:hAnsi="Arial" w:cs="Arial"/>
          <w:i/>
          <w:lang w:val="es-CO"/>
        </w:rPr>
        <w:t>procedimiento dos (2) se encuentran derogados tácitamente por lo previsto en el artículo 124 de la ley 223 de 1995, que adicionó el artículo 387 del Estatuto Tributario con un parágrafo segundo que es hoy parágrafo primero, como consecuencia de la modifica</w:t>
      </w:r>
      <w:r>
        <w:rPr>
          <w:rFonts w:ascii="Arial" w:hAnsi="Arial" w:cs="Arial"/>
          <w:i/>
          <w:lang w:val="es-CO"/>
        </w:rPr>
        <w:t>ción del artículo 387 por el artículo 15 de la Ley 1607 de 2012.)</w:t>
      </w:r>
    </w:p>
    <w:p w14:paraId="597AE968" w14:textId="77777777" w:rsidR="00B2442D" w:rsidRDefault="00B2442D">
      <w:pPr>
        <w:jc w:val="both"/>
        <w:rPr>
          <w:rFonts w:ascii="Arial" w:hAnsi="Arial" w:cs="Arial"/>
          <w:lang w:val="es-CO"/>
        </w:rPr>
      </w:pPr>
    </w:p>
    <w:p w14:paraId="5B592B57" w14:textId="77777777" w:rsidR="00B2442D" w:rsidRDefault="008A645F">
      <w:pPr>
        <w:pStyle w:val="Ttulo4"/>
      </w:pPr>
      <w:r>
        <w:t>CAPÍTULO 2</w:t>
      </w:r>
    </w:p>
    <w:p w14:paraId="06E09A33" w14:textId="77777777" w:rsidR="00B2442D" w:rsidRDefault="008A645F">
      <w:pPr>
        <w:pStyle w:val="Ttulo4"/>
      </w:pPr>
      <w:r>
        <w:t>Retención en la fuente por concepto de rendimientos financieros</w:t>
      </w:r>
    </w:p>
    <w:p w14:paraId="71885816" w14:textId="77777777" w:rsidR="00B2442D" w:rsidRDefault="00B2442D">
      <w:pPr>
        <w:rPr>
          <w:rFonts w:ascii="Arial" w:hAnsi="Arial" w:cs="Arial"/>
        </w:rPr>
      </w:pPr>
    </w:p>
    <w:p w14:paraId="16A841BA" w14:textId="77777777" w:rsidR="00B2442D" w:rsidRDefault="008A645F">
      <w:pPr>
        <w:pStyle w:val="Prrafodelista"/>
        <w:numPr>
          <w:ilvl w:val="0"/>
          <w:numId w:val="48"/>
        </w:numPr>
        <w:ind w:left="0" w:firstLine="0"/>
        <w:jc w:val="both"/>
        <w:rPr>
          <w:rFonts w:ascii="Arial" w:hAnsi="Arial" w:cs="Arial"/>
        </w:rPr>
      </w:pPr>
      <w:r>
        <w:rPr>
          <w:rFonts w:ascii="Arial" w:hAnsi="Arial" w:cs="Arial"/>
          <w:b/>
          <w:i/>
        </w:rPr>
        <w:t>Retención en la fuente sobre intereses.</w:t>
      </w:r>
      <w:r>
        <w:rPr>
          <w:rFonts w:ascii="Arial" w:hAnsi="Arial" w:cs="Arial"/>
        </w:rPr>
        <w:t xml:space="preserve"> Para los fines de la retención sobre intereses, configuran pagos, la capi</w:t>
      </w:r>
      <w:r>
        <w:rPr>
          <w:rFonts w:ascii="Arial" w:hAnsi="Arial" w:cs="Arial"/>
        </w:rPr>
        <w:t>talización o reinversión de los intereses, su consignación en cuentas corrientes, de ahorros o similares a órdenes del acreedor, así como cualquier otra prestación que legalmente equivalga al pago.</w:t>
      </w:r>
    </w:p>
    <w:p w14:paraId="4FEE2841" w14:textId="77777777" w:rsidR="00B2442D" w:rsidRDefault="00B2442D">
      <w:pPr>
        <w:rPr>
          <w:rFonts w:ascii="Arial" w:hAnsi="Arial" w:cs="Arial"/>
          <w:i/>
        </w:rPr>
      </w:pPr>
    </w:p>
    <w:p w14:paraId="7E8B1B7A" w14:textId="77777777" w:rsidR="00B2442D" w:rsidRDefault="008A645F">
      <w:pPr>
        <w:rPr>
          <w:rFonts w:ascii="Arial" w:hAnsi="Arial" w:cs="Arial"/>
          <w:i/>
        </w:rPr>
      </w:pPr>
      <w:r>
        <w:rPr>
          <w:rFonts w:ascii="Arial" w:hAnsi="Arial" w:cs="Arial"/>
          <w:i/>
        </w:rPr>
        <w:t>(Art. 2, Decreto 1240 de 1979)</w:t>
      </w:r>
    </w:p>
    <w:p w14:paraId="39AA1DAB" w14:textId="77777777" w:rsidR="00B2442D" w:rsidRDefault="00B2442D">
      <w:pPr>
        <w:jc w:val="both"/>
        <w:rPr>
          <w:rFonts w:ascii="Arial" w:hAnsi="Arial" w:cs="Arial"/>
        </w:rPr>
      </w:pPr>
    </w:p>
    <w:p w14:paraId="4E40F6D2" w14:textId="77777777" w:rsidR="00B2442D" w:rsidRDefault="008A645F">
      <w:pPr>
        <w:pStyle w:val="Prrafodelista"/>
        <w:numPr>
          <w:ilvl w:val="0"/>
          <w:numId w:val="48"/>
        </w:numPr>
        <w:ind w:left="0" w:firstLine="0"/>
        <w:jc w:val="both"/>
        <w:rPr>
          <w:rFonts w:ascii="Arial" w:hAnsi="Arial" w:cs="Arial"/>
        </w:rPr>
      </w:pPr>
      <w:r>
        <w:rPr>
          <w:rFonts w:ascii="Arial" w:hAnsi="Arial" w:cs="Arial"/>
          <w:b/>
          <w:i/>
        </w:rPr>
        <w:t>Obligación de retener.</w:t>
      </w:r>
      <w:r>
        <w:rPr>
          <w:rFonts w:ascii="Arial" w:hAnsi="Arial" w:cs="Arial"/>
        </w:rPr>
        <w:t xml:space="preserve"> La</w:t>
      </w:r>
      <w:r>
        <w:rPr>
          <w:rFonts w:ascii="Arial" w:hAnsi="Arial" w:cs="Arial"/>
        </w:rPr>
        <w:t>s personas jurídicas que sin tener el carácter de contribuyentes, efectúen pagos por concepto de intereses, deben cumplir la obligación de retener.</w:t>
      </w:r>
    </w:p>
    <w:p w14:paraId="2D49BDFE" w14:textId="77777777" w:rsidR="00B2442D" w:rsidRDefault="00B2442D">
      <w:pPr>
        <w:rPr>
          <w:rFonts w:ascii="Arial" w:hAnsi="Arial" w:cs="Arial"/>
          <w:i/>
        </w:rPr>
      </w:pPr>
    </w:p>
    <w:p w14:paraId="010A7BBD" w14:textId="77777777" w:rsidR="00B2442D" w:rsidRDefault="008A645F">
      <w:pPr>
        <w:rPr>
          <w:rFonts w:ascii="Arial" w:hAnsi="Arial" w:cs="Arial"/>
          <w:i/>
        </w:rPr>
      </w:pPr>
      <w:r>
        <w:rPr>
          <w:rFonts w:ascii="Arial" w:hAnsi="Arial" w:cs="Arial"/>
          <w:i/>
        </w:rPr>
        <w:t>(Art. 3, Decreto 1240 de 1979)</w:t>
      </w:r>
    </w:p>
    <w:p w14:paraId="0A39B98F" w14:textId="77777777" w:rsidR="00B2442D" w:rsidRDefault="00B2442D">
      <w:pPr>
        <w:rPr>
          <w:rFonts w:ascii="Arial" w:hAnsi="Arial" w:cs="Arial"/>
          <w:b/>
          <w:lang w:val="es-CO"/>
        </w:rPr>
      </w:pPr>
    </w:p>
    <w:p w14:paraId="639069C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Base de retención.</w:t>
      </w:r>
      <w:r>
        <w:rPr>
          <w:rFonts w:ascii="Arial" w:hAnsi="Arial" w:cs="Arial"/>
          <w:lang w:val="es-CO"/>
        </w:rPr>
        <w:t xml:space="preserve"> Para quienes resultaren favorecidos en un sorteo de títu</w:t>
      </w:r>
      <w:r>
        <w:rPr>
          <w:rFonts w:ascii="Arial" w:hAnsi="Arial" w:cs="Arial"/>
          <w:lang w:val="es-CO"/>
        </w:rPr>
        <w:t>los de capitalización, la base de la retención será la diferencia entre el premio recibido y lo pagado por cuotas correspondientes al título favorecido.</w:t>
      </w:r>
    </w:p>
    <w:p w14:paraId="36360F68" w14:textId="77777777" w:rsidR="00B2442D" w:rsidRDefault="00B2442D">
      <w:pPr>
        <w:jc w:val="both"/>
        <w:rPr>
          <w:rFonts w:ascii="Arial" w:hAnsi="Arial" w:cs="Arial"/>
          <w:lang w:val="es-CO"/>
        </w:rPr>
      </w:pPr>
    </w:p>
    <w:p w14:paraId="52F9D55B" w14:textId="77777777" w:rsidR="00B2442D" w:rsidRDefault="008A645F">
      <w:pPr>
        <w:jc w:val="both"/>
        <w:rPr>
          <w:rFonts w:ascii="Arial" w:hAnsi="Arial" w:cs="Arial"/>
          <w:lang w:val="es-CO"/>
        </w:rPr>
      </w:pPr>
      <w:r>
        <w:rPr>
          <w:rFonts w:ascii="Arial" w:hAnsi="Arial" w:cs="Arial"/>
          <w:lang w:val="es-CO"/>
        </w:rPr>
        <w:t>Dentro de la base de retención se incluirá el valor de rescate cuando las condiciones del título estip</w:t>
      </w:r>
      <w:r>
        <w:rPr>
          <w:rFonts w:ascii="Arial" w:hAnsi="Arial" w:cs="Arial"/>
          <w:lang w:val="es-CO"/>
        </w:rPr>
        <w:t>ulen que el suscriptor tiene derecho a recibir dicho valor o a continuar con el plan original.</w:t>
      </w:r>
    </w:p>
    <w:p w14:paraId="557AF653" w14:textId="77777777" w:rsidR="00B2442D" w:rsidRDefault="00B2442D">
      <w:pPr>
        <w:rPr>
          <w:rFonts w:ascii="Arial" w:hAnsi="Arial" w:cs="Arial"/>
          <w:i/>
        </w:rPr>
      </w:pPr>
    </w:p>
    <w:p w14:paraId="6948A810" w14:textId="77777777" w:rsidR="00B2442D" w:rsidRDefault="008A645F">
      <w:pPr>
        <w:rPr>
          <w:rFonts w:ascii="Arial" w:hAnsi="Arial" w:cs="Arial"/>
          <w:i/>
        </w:rPr>
      </w:pPr>
      <w:r>
        <w:rPr>
          <w:rFonts w:ascii="Arial" w:hAnsi="Arial" w:cs="Arial"/>
          <w:i/>
        </w:rPr>
        <w:t>(Art. 6, Decreto 1240 de 1979)</w:t>
      </w:r>
    </w:p>
    <w:p w14:paraId="23646CD1" w14:textId="77777777" w:rsidR="00B2442D" w:rsidRDefault="00B2442D">
      <w:pPr>
        <w:rPr>
          <w:rFonts w:ascii="Arial" w:hAnsi="Arial" w:cs="Arial"/>
          <w:i/>
        </w:rPr>
      </w:pPr>
    </w:p>
    <w:p w14:paraId="5EAF6331" w14:textId="77777777" w:rsidR="00B2442D" w:rsidRDefault="008A645F">
      <w:pPr>
        <w:pStyle w:val="Prrafodelista"/>
        <w:numPr>
          <w:ilvl w:val="0"/>
          <w:numId w:val="48"/>
        </w:numPr>
        <w:ind w:left="0" w:firstLine="0"/>
        <w:jc w:val="both"/>
        <w:rPr>
          <w:rFonts w:ascii="Arial" w:hAnsi="Arial" w:cs="Arial"/>
        </w:rPr>
      </w:pPr>
      <w:r>
        <w:rPr>
          <w:rFonts w:ascii="Arial" w:hAnsi="Arial" w:cs="Arial"/>
          <w:b/>
          <w:i/>
        </w:rPr>
        <w:t>Retención en la fuente por concepto de comisiones, servicios y rendimientos financieros.</w:t>
      </w:r>
      <w:r>
        <w:rPr>
          <w:rFonts w:ascii="Arial" w:hAnsi="Arial" w:cs="Arial"/>
        </w:rPr>
        <w:t xml:space="preserve"> La retención por concepto de comisiones</w:t>
      </w:r>
      <w:r>
        <w:rPr>
          <w:rFonts w:ascii="Arial" w:hAnsi="Arial" w:cs="Arial"/>
        </w:rPr>
        <w:t>, servicios y rendimientos financieros, que las personas jurídicas y sociedades de hecho hagan a establecimientos de crédito sometidos a control y vigilancia de la Superintendencia Financiera de Colombia, no se regirá por lo previsto en el presente Decreto</w:t>
      </w:r>
      <w:r>
        <w:rPr>
          <w:rFonts w:ascii="Arial" w:hAnsi="Arial" w:cs="Arial"/>
        </w:rPr>
        <w:t>, salvo en los casos indicados a continuación, en los cuales se aplicarán los porcentajes de retención en la fuente aquí establecidos.</w:t>
      </w:r>
    </w:p>
    <w:p w14:paraId="097D43C4" w14:textId="77777777" w:rsidR="00B2442D" w:rsidRDefault="00B2442D">
      <w:pPr>
        <w:jc w:val="both"/>
        <w:rPr>
          <w:rFonts w:ascii="Arial" w:hAnsi="Arial" w:cs="Arial"/>
        </w:rPr>
      </w:pPr>
    </w:p>
    <w:p w14:paraId="259D7E70" w14:textId="77777777" w:rsidR="00B2442D" w:rsidRDefault="008A645F">
      <w:pPr>
        <w:ind w:left="284" w:hanging="284"/>
        <w:jc w:val="both"/>
        <w:rPr>
          <w:rFonts w:ascii="Arial" w:hAnsi="Arial" w:cs="Arial"/>
        </w:rPr>
      </w:pPr>
      <w:r>
        <w:rPr>
          <w:rFonts w:ascii="Arial" w:hAnsi="Arial" w:cs="Arial"/>
        </w:rPr>
        <w:t xml:space="preserve">1. Intereses, descuentos y demás rendimientos financieros que provengan de títulos emitidos masivamente por </w:t>
      </w:r>
      <w:r>
        <w:rPr>
          <w:rFonts w:ascii="Arial" w:hAnsi="Arial" w:cs="Arial"/>
        </w:rPr>
        <w:t>entidades de derecho público y por sociedades de economía mixta.</w:t>
      </w:r>
    </w:p>
    <w:p w14:paraId="26084610" w14:textId="77777777" w:rsidR="00B2442D" w:rsidRDefault="00B2442D">
      <w:pPr>
        <w:ind w:left="284" w:hanging="284"/>
        <w:jc w:val="both"/>
        <w:rPr>
          <w:rFonts w:ascii="Arial" w:hAnsi="Arial" w:cs="Arial"/>
        </w:rPr>
      </w:pPr>
    </w:p>
    <w:p w14:paraId="26749035" w14:textId="77777777" w:rsidR="00B2442D" w:rsidRDefault="008A645F">
      <w:pPr>
        <w:ind w:left="284" w:hanging="284"/>
        <w:jc w:val="both"/>
        <w:rPr>
          <w:rFonts w:ascii="Arial" w:hAnsi="Arial" w:cs="Arial"/>
        </w:rPr>
      </w:pPr>
      <w:r>
        <w:rPr>
          <w:rFonts w:ascii="Arial" w:hAnsi="Arial" w:cs="Arial"/>
        </w:rPr>
        <w:t>2. Intereses, descuentos y demás rendimientos provenientes de títulos emitidos masivamente por personas jurídicas de carácter privado, diferentes a establecimientos de crédito sometidos a co</w:t>
      </w:r>
      <w:r>
        <w:rPr>
          <w:rFonts w:ascii="Arial" w:hAnsi="Arial" w:cs="Arial"/>
        </w:rPr>
        <w:t>ntrol y vigilancia de la Superintendencia Financiera de Colombia.</w:t>
      </w:r>
    </w:p>
    <w:p w14:paraId="60CD042A" w14:textId="77777777" w:rsidR="00B2442D" w:rsidRDefault="00B2442D">
      <w:pPr>
        <w:jc w:val="both"/>
        <w:rPr>
          <w:rFonts w:ascii="Arial" w:hAnsi="Arial" w:cs="Arial"/>
          <w:i/>
        </w:rPr>
      </w:pPr>
    </w:p>
    <w:p w14:paraId="3425A0F7" w14:textId="77777777" w:rsidR="00B2442D" w:rsidRDefault="008A645F">
      <w:pPr>
        <w:jc w:val="both"/>
        <w:rPr>
          <w:rFonts w:ascii="Arial" w:hAnsi="Arial" w:cs="Arial"/>
          <w:i/>
        </w:rPr>
      </w:pPr>
      <w:r>
        <w:rPr>
          <w:rFonts w:ascii="Arial" w:hAnsi="Arial" w:cs="Arial"/>
          <w:i/>
        </w:rPr>
        <w:t>(Art. 7 Decreto 1512 de 1985)</w:t>
      </w:r>
    </w:p>
    <w:p w14:paraId="229CF82D" w14:textId="77777777" w:rsidR="00B2442D" w:rsidRDefault="00B2442D">
      <w:pPr>
        <w:jc w:val="both"/>
        <w:rPr>
          <w:rFonts w:ascii="Arial" w:hAnsi="Arial" w:cs="Arial"/>
        </w:rPr>
      </w:pPr>
    </w:p>
    <w:p w14:paraId="7AE9A50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Retención en la fuente a título de rendimientos financieros.</w:t>
      </w:r>
      <w:r>
        <w:rPr>
          <w:rFonts w:ascii="Arial" w:hAnsi="Arial" w:cs="Arial"/>
          <w:lang w:val="es-CO"/>
        </w:rPr>
        <w:t xml:space="preserve"> A partir del 1° de febrero de 1987 el porcentaje de retención en la fuente a que se refieren los </w:t>
      </w:r>
      <w:r>
        <w:rPr>
          <w:rFonts w:ascii="Arial" w:hAnsi="Arial" w:cs="Arial"/>
          <w:lang w:val="es-CO"/>
        </w:rPr>
        <w:t xml:space="preserve">Decretos 2026 y 2775 de 1983, compilados en este Decreto, sobre pagos o abonos que efectúen las personas jurídicas y sociedades de hecho por concepto de intereses y demás rendimientos financieros, será del diez por ciento (10%) sobre el setenta por ciento </w:t>
      </w:r>
      <w:r>
        <w:rPr>
          <w:rFonts w:ascii="Arial" w:hAnsi="Arial" w:cs="Arial"/>
          <w:lang w:val="es-CO"/>
        </w:rPr>
        <w:t xml:space="preserve">(70%) del respectivo pago o abono en cuenta. </w:t>
      </w:r>
    </w:p>
    <w:p w14:paraId="706CA660" w14:textId="77777777" w:rsidR="00B2442D" w:rsidRDefault="008A645F">
      <w:pPr>
        <w:jc w:val="both"/>
        <w:rPr>
          <w:rFonts w:ascii="Arial" w:hAnsi="Arial" w:cs="Arial"/>
          <w:lang w:val="es-CO"/>
        </w:rPr>
      </w:pPr>
      <w:r>
        <w:rPr>
          <w:rFonts w:ascii="Arial" w:hAnsi="Arial" w:cs="Arial"/>
          <w:lang w:val="es-CO"/>
        </w:rPr>
        <w:t xml:space="preserve"> </w:t>
      </w:r>
    </w:p>
    <w:p w14:paraId="1337B0EE" w14:textId="77777777" w:rsidR="00B2442D" w:rsidRDefault="008A645F">
      <w:pPr>
        <w:jc w:val="both"/>
        <w:rPr>
          <w:rFonts w:ascii="Arial" w:hAnsi="Arial" w:cs="Arial"/>
          <w:lang w:val="es-CO"/>
        </w:rPr>
      </w:pPr>
      <w:r>
        <w:rPr>
          <w:rFonts w:ascii="Arial" w:hAnsi="Arial" w:cs="Arial"/>
          <w:lang w:val="es-CO"/>
        </w:rPr>
        <w:t xml:space="preserve">La retención prevista en el inciso anterior es aplicable a los rendimientos por concepto de intereses y corrección monetaria que provengan de certificados a término emitidos por las corporaciones de ahorro y </w:t>
      </w:r>
      <w:r>
        <w:rPr>
          <w:rFonts w:ascii="Arial" w:hAnsi="Arial" w:cs="Arial"/>
          <w:lang w:val="es-CO"/>
        </w:rPr>
        <w:t>vivienda (hoy bancos comerciales).</w:t>
      </w:r>
    </w:p>
    <w:p w14:paraId="5A8B5E45" w14:textId="77777777" w:rsidR="00B2442D" w:rsidRDefault="00B2442D">
      <w:pPr>
        <w:jc w:val="both"/>
        <w:rPr>
          <w:rFonts w:ascii="Arial" w:hAnsi="Arial" w:cs="Arial"/>
          <w:i/>
          <w:lang w:val="es-CO"/>
        </w:rPr>
      </w:pPr>
    </w:p>
    <w:p w14:paraId="2FAC65AB" w14:textId="77777777" w:rsidR="00B2442D" w:rsidRDefault="008A645F">
      <w:pPr>
        <w:jc w:val="both"/>
        <w:rPr>
          <w:rFonts w:ascii="Arial" w:hAnsi="Arial" w:cs="Arial"/>
          <w:i/>
          <w:lang w:val="es-CO"/>
        </w:rPr>
      </w:pPr>
      <w:r>
        <w:rPr>
          <w:rFonts w:ascii="Arial" w:hAnsi="Arial" w:cs="Arial"/>
          <w:i/>
          <w:lang w:val="es-CO"/>
        </w:rPr>
        <w:t>(Art. 3, Decreto 3715 de 1986. El parágrafo no tiene vigencia como consecuencia de la declaratoria de inexequibilidad parcial del Decreto 663 de 1993, mediante sentencia C-700/99 de la Corte Constitucional)</w:t>
      </w:r>
    </w:p>
    <w:p w14:paraId="03C51A7B" w14:textId="77777777" w:rsidR="00B2442D" w:rsidRDefault="00B2442D">
      <w:pPr>
        <w:jc w:val="both"/>
        <w:rPr>
          <w:rFonts w:ascii="Arial" w:hAnsi="Arial" w:cs="Arial"/>
          <w:lang w:val="es-CO"/>
        </w:rPr>
      </w:pPr>
    </w:p>
    <w:p w14:paraId="3B958D7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Retención en</w:t>
      </w:r>
      <w:r>
        <w:rPr>
          <w:rFonts w:ascii="Arial" w:hAnsi="Arial" w:cs="Arial"/>
          <w:b/>
          <w:i/>
          <w:lang w:val="es-CO"/>
        </w:rPr>
        <w:t xml:space="preserve"> la fuente en pagos o abonos en cuenta por concepto de intereses, efectuados por entidades sometidas al control y vigilancia del Departamento Administrativo de la Economía Solidaria.</w:t>
      </w:r>
      <w:r>
        <w:rPr>
          <w:rFonts w:ascii="Arial" w:hAnsi="Arial" w:cs="Arial"/>
          <w:lang w:val="es-CO"/>
        </w:rPr>
        <w:t xml:space="preserve"> En el caso de pagos o abonos en cuenta por concepto de intereses, efectua</w:t>
      </w:r>
      <w:r>
        <w:rPr>
          <w:rFonts w:ascii="Arial" w:hAnsi="Arial" w:cs="Arial"/>
          <w:lang w:val="es-CO"/>
        </w:rPr>
        <w:t>dos por entidades sometidas al control y vigilancia del Departamento Administrativo de la Economía Solidaria, no se hará retención en la fuente sobre pagos o abonos en cuenta que correspondan a un interés diario inferior a cero punto cero cincuenta y cinco</w:t>
      </w:r>
      <w:r>
        <w:rPr>
          <w:rFonts w:ascii="Arial" w:hAnsi="Arial" w:cs="Arial"/>
          <w:lang w:val="es-CO"/>
        </w:rPr>
        <w:t xml:space="preserve"> (0.055) UVT.</w:t>
      </w:r>
    </w:p>
    <w:p w14:paraId="7361E613" w14:textId="77777777" w:rsidR="00B2442D" w:rsidRDefault="00B2442D">
      <w:pPr>
        <w:jc w:val="both"/>
        <w:rPr>
          <w:rFonts w:ascii="Arial" w:hAnsi="Arial" w:cs="Arial"/>
          <w:lang w:val="es-CO"/>
        </w:rPr>
      </w:pPr>
    </w:p>
    <w:p w14:paraId="0DC455CD" w14:textId="77777777" w:rsidR="00B2442D" w:rsidRDefault="008A645F">
      <w:pPr>
        <w:jc w:val="both"/>
        <w:rPr>
          <w:rFonts w:ascii="Arial" w:hAnsi="Arial" w:cs="Arial"/>
          <w:lang w:val="es-CO"/>
        </w:rPr>
      </w:pPr>
      <w:r>
        <w:rPr>
          <w:rFonts w:ascii="Arial" w:hAnsi="Arial" w:cs="Arial"/>
          <w:lang w:val="es-CO"/>
        </w:rPr>
        <w:t>Cuando los intereses correspondan a un interés diario de cero punto cero cincuenta y cinco (0.055) UVT o más, para efectos de la retención en la fuente se considerará el valor total del pago o abono en cuenta.</w:t>
      </w:r>
    </w:p>
    <w:p w14:paraId="401C465B" w14:textId="77777777" w:rsidR="00B2442D" w:rsidRDefault="00B2442D">
      <w:pPr>
        <w:jc w:val="both"/>
        <w:rPr>
          <w:rFonts w:ascii="Arial" w:hAnsi="Arial" w:cs="Arial"/>
          <w:i/>
          <w:lang w:val="es-CO"/>
        </w:rPr>
      </w:pPr>
    </w:p>
    <w:p w14:paraId="17C3E355" w14:textId="77777777" w:rsidR="00B2442D" w:rsidRDefault="008A645F">
      <w:pPr>
        <w:jc w:val="both"/>
        <w:rPr>
          <w:rFonts w:ascii="Arial" w:hAnsi="Arial" w:cs="Arial"/>
          <w:i/>
          <w:lang w:val="es-CO"/>
        </w:rPr>
      </w:pPr>
      <w:r>
        <w:rPr>
          <w:rFonts w:ascii="Arial" w:hAnsi="Arial" w:cs="Arial"/>
          <w:i/>
          <w:lang w:val="es-CO"/>
        </w:rPr>
        <w:t>(Art. 13, Decreto 1189 de 1988</w:t>
      </w:r>
      <w:r>
        <w:rPr>
          <w:rFonts w:ascii="Arial" w:hAnsi="Arial" w:cs="Arial"/>
          <w:i/>
          <w:lang w:val="es-CO"/>
        </w:rPr>
        <w:t>, artículo 51 de la Ley 1111 de 2006)</w:t>
      </w:r>
    </w:p>
    <w:p w14:paraId="50F4F84A" w14:textId="77777777" w:rsidR="00B2442D" w:rsidRDefault="00B2442D">
      <w:pPr>
        <w:jc w:val="both"/>
        <w:rPr>
          <w:rFonts w:ascii="Arial" w:hAnsi="Arial" w:cs="Arial"/>
          <w:lang w:val="es-CO"/>
        </w:rPr>
      </w:pPr>
    </w:p>
    <w:p w14:paraId="60E60280"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Los rendimientos de los Títulos de Ahorro Educativo "TAE" no están sometidos a retención en la fuente.  </w:t>
      </w:r>
      <w:r>
        <w:rPr>
          <w:rFonts w:ascii="Arial" w:hAnsi="Arial" w:cs="Arial"/>
          <w:lang w:val="es-CO"/>
        </w:rPr>
        <w:t xml:space="preserve">No están sometidos a retención en la fuente los rendimientos financieros generados por los Títulos de </w:t>
      </w:r>
      <w:r>
        <w:rPr>
          <w:rFonts w:ascii="Arial" w:hAnsi="Arial" w:cs="Arial"/>
          <w:lang w:val="es-CO"/>
        </w:rPr>
        <w:t>Ahorro Educativo "TAE".</w:t>
      </w:r>
    </w:p>
    <w:p w14:paraId="72FADD9C" w14:textId="77777777" w:rsidR="00B2442D" w:rsidRDefault="00B2442D">
      <w:pPr>
        <w:jc w:val="both"/>
        <w:rPr>
          <w:rFonts w:ascii="Arial" w:hAnsi="Arial" w:cs="Arial"/>
          <w:i/>
          <w:lang w:val="es-CO"/>
        </w:rPr>
      </w:pPr>
    </w:p>
    <w:p w14:paraId="1D14A635" w14:textId="77777777" w:rsidR="00B2442D" w:rsidRDefault="008A645F">
      <w:pPr>
        <w:jc w:val="both"/>
        <w:rPr>
          <w:rFonts w:ascii="Arial" w:hAnsi="Arial" w:cs="Arial"/>
          <w:i/>
          <w:lang w:val="es-CO"/>
        </w:rPr>
      </w:pPr>
      <w:r>
        <w:rPr>
          <w:rFonts w:ascii="Arial" w:hAnsi="Arial" w:cs="Arial"/>
          <w:i/>
          <w:lang w:val="es-CO"/>
        </w:rPr>
        <w:t>(Art. 2, Decreto 0653 de 1990)</w:t>
      </w:r>
    </w:p>
    <w:p w14:paraId="3C38EE89" w14:textId="77777777" w:rsidR="00B2442D" w:rsidRDefault="00B2442D">
      <w:pPr>
        <w:jc w:val="both"/>
        <w:rPr>
          <w:rFonts w:ascii="Arial" w:hAnsi="Arial" w:cs="Arial"/>
          <w:i/>
          <w:lang w:val="es-CO"/>
        </w:rPr>
      </w:pPr>
    </w:p>
    <w:p w14:paraId="6F23C8D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Operaciones de opción y demás operaciones sobre derivados.</w:t>
      </w:r>
      <w:r>
        <w:rPr>
          <w:rFonts w:ascii="Arial" w:hAnsi="Arial" w:cs="Arial"/>
          <w:lang w:val="es-CO"/>
        </w:rPr>
        <w:t xml:space="preserve"> En los aspectos regulados en los artículos 1.2.4.2.74 al 1.2.4.2.77 del presente Decreto, además de las allí previstas, se entienden incluid</w:t>
      </w:r>
      <w:r>
        <w:rPr>
          <w:rFonts w:ascii="Arial" w:hAnsi="Arial" w:cs="Arial"/>
          <w:lang w:val="es-CO"/>
        </w:rPr>
        <w:t>as las operaciones de opción y demás operaciones sobre derivados.</w:t>
      </w:r>
    </w:p>
    <w:p w14:paraId="4ADD06D2" w14:textId="77777777" w:rsidR="00B2442D" w:rsidRDefault="00B2442D">
      <w:pPr>
        <w:jc w:val="both"/>
        <w:rPr>
          <w:rFonts w:ascii="Arial" w:hAnsi="Arial" w:cs="Arial"/>
          <w:lang w:val="es-CO"/>
        </w:rPr>
      </w:pPr>
    </w:p>
    <w:p w14:paraId="1C5B85FA" w14:textId="77777777" w:rsidR="00B2442D" w:rsidRDefault="008A645F">
      <w:pPr>
        <w:jc w:val="both"/>
        <w:rPr>
          <w:rFonts w:ascii="Arial" w:hAnsi="Arial" w:cs="Arial"/>
          <w:i/>
          <w:lang w:val="es-CO"/>
        </w:rPr>
      </w:pPr>
      <w:r>
        <w:rPr>
          <w:rFonts w:ascii="Arial" w:hAnsi="Arial" w:cs="Arial"/>
          <w:i/>
          <w:lang w:val="es-CO"/>
        </w:rPr>
        <w:t>(Art. 12, Decreto 1797 de 2008)</w:t>
      </w:r>
    </w:p>
    <w:p w14:paraId="7E2F7992" w14:textId="77777777" w:rsidR="00B2442D" w:rsidRDefault="00B2442D">
      <w:pPr>
        <w:jc w:val="both"/>
        <w:rPr>
          <w:rFonts w:ascii="Arial" w:hAnsi="Arial" w:cs="Arial"/>
          <w:i/>
          <w:lang w:val="es-CO"/>
        </w:rPr>
      </w:pPr>
    </w:p>
    <w:p w14:paraId="7E57C74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Autorretención y retención en la fuente sobre rendimientos financieros.</w:t>
      </w:r>
      <w:r>
        <w:rPr>
          <w:rFonts w:ascii="Arial" w:hAnsi="Arial" w:cs="Arial"/>
          <w:i/>
          <w:lang w:val="es-CO"/>
        </w:rPr>
        <w:t xml:space="preserve"> </w:t>
      </w:r>
      <w:r>
        <w:rPr>
          <w:rFonts w:ascii="Arial" w:hAnsi="Arial" w:cs="Arial"/>
          <w:lang w:val="es-CO"/>
        </w:rPr>
        <w:t xml:space="preserve">A partir del primero de abril de 1997, la retención en la fuente por </w:t>
      </w:r>
      <w:r>
        <w:rPr>
          <w:rFonts w:ascii="Arial" w:hAnsi="Arial" w:cs="Arial"/>
          <w:lang w:val="es-CO"/>
        </w:rPr>
        <w:t>concepto de los rendimientos financieros provenientes de títulos con intereses y/o descuentos, o generados en sus enajenaciones, deberá ser practicada por parte del beneficiario de los mismos, y no por quien efectúa el pago o abono en cuenta, siempre y cua</w:t>
      </w:r>
      <w:r>
        <w:rPr>
          <w:rFonts w:ascii="Arial" w:hAnsi="Arial" w:cs="Arial"/>
          <w:lang w:val="es-CO"/>
        </w:rPr>
        <w:t>ndo dicho beneficiario tenga la calidad de agente autorretenedor de rendimientos financieros.</w:t>
      </w:r>
    </w:p>
    <w:p w14:paraId="0883F424" w14:textId="77777777" w:rsidR="00B2442D" w:rsidRDefault="00B2442D">
      <w:pPr>
        <w:jc w:val="both"/>
        <w:rPr>
          <w:rFonts w:ascii="Arial" w:hAnsi="Arial" w:cs="Arial"/>
          <w:lang w:val="es-CO"/>
        </w:rPr>
      </w:pPr>
    </w:p>
    <w:p w14:paraId="4939AF5E" w14:textId="77777777" w:rsidR="00B2442D" w:rsidRDefault="008A645F">
      <w:pPr>
        <w:jc w:val="both"/>
        <w:rPr>
          <w:rFonts w:ascii="Arial" w:hAnsi="Arial" w:cs="Arial"/>
          <w:lang w:val="es-CO"/>
        </w:rPr>
      </w:pPr>
      <w:r>
        <w:rPr>
          <w:rFonts w:ascii="Arial" w:hAnsi="Arial" w:cs="Arial"/>
          <w:lang w:val="es-CO"/>
        </w:rPr>
        <w:t>Cuando el beneficiario de los rendimientos financieros no tenga la calidad de agente autorretenedor de dichos ingresos, la retención en la fuente por concepto de</w:t>
      </w:r>
      <w:r>
        <w:rPr>
          <w:rFonts w:ascii="Arial" w:hAnsi="Arial" w:cs="Arial"/>
          <w:lang w:val="es-CO"/>
        </w:rPr>
        <w:t xml:space="preserve"> los rendimientos provenientes de títulos con intereses anticipados y/o descuentos, deberá ser practicada por el emisor del título, el administrador de la emisión, el enajenante o la bolsa de valores, según el caso, de conformidad con lo dispuesto en los a</w:t>
      </w:r>
      <w:r>
        <w:rPr>
          <w:rFonts w:ascii="Arial" w:hAnsi="Arial" w:cs="Arial"/>
          <w:lang w:val="es-CO"/>
        </w:rPr>
        <w:t>rtículos 1.2.4.2.9 al 1.2.4.2.49 del presente Decreto.</w:t>
      </w:r>
    </w:p>
    <w:p w14:paraId="45097C05" w14:textId="77777777" w:rsidR="00B2442D" w:rsidRDefault="00B2442D">
      <w:pPr>
        <w:jc w:val="both"/>
        <w:rPr>
          <w:rFonts w:ascii="Arial" w:hAnsi="Arial" w:cs="Arial"/>
          <w:lang w:val="es-CO"/>
        </w:rPr>
      </w:pPr>
    </w:p>
    <w:p w14:paraId="17E7A19D" w14:textId="77777777" w:rsidR="00B2442D" w:rsidRDefault="008A645F">
      <w:pPr>
        <w:jc w:val="both"/>
        <w:rPr>
          <w:rFonts w:ascii="Arial" w:hAnsi="Arial" w:cs="Arial"/>
          <w:lang w:val="es-CO"/>
        </w:rPr>
      </w:pPr>
      <w:r>
        <w:rPr>
          <w:rFonts w:ascii="Arial" w:hAnsi="Arial" w:cs="Arial"/>
          <w:lang w:val="es-CO"/>
        </w:rPr>
        <w:t>Tratándose de rendimientos provenientes de títulos con intereses vencidos, la retención en la fuente, cuando el beneficiario no tenga la calidad de agente autorretenedor de rendimientos financieros, d</w:t>
      </w:r>
      <w:r>
        <w:rPr>
          <w:rFonts w:ascii="Arial" w:hAnsi="Arial" w:cs="Arial"/>
          <w:lang w:val="es-CO"/>
        </w:rPr>
        <w:t>eberá ser practicada por el emisor o administrador de la emisión que realice el pago o abono en cuenta de los intereses, o por el adquirente del título según el caso, de conformidad con lo dispuesto en los artículos 1.2.4.2.9 al 1.2.4.2.49 del presente Dec</w:t>
      </w:r>
      <w:r>
        <w:rPr>
          <w:rFonts w:ascii="Arial" w:hAnsi="Arial" w:cs="Arial"/>
          <w:lang w:val="es-CO"/>
        </w:rPr>
        <w:t>reto.</w:t>
      </w:r>
    </w:p>
    <w:p w14:paraId="2C2FB6B0" w14:textId="77777777" w:rsidR="00B2442D" w:rsidRDefault="00B2442D">
      <w:pPr>
        <w:jc w:val="both"/>
        <w:rPr>
          <w:rFonts w:ascii="Arial" w:hAnsi="Arial" w:cs="Arial"/>
          <w:i/>
          <w:lang w:val="es-CO"/>
        </w:rPr>
      </w:pPr>
    </w:p>
    <w:p w14:paraId="3D804FAF" w14:textId="77777777" w:rsidR="00B2442D" w:rsidRDefault="008A645F">
      <w:pPr>
        <w:jc w:val="both"/>
        <w:rPr>
          <w:rFonts w:ascii="Arial" w:hAnsi="Arial" w:cs="Arial"/>
          <w:i/>
          <w:lang w:val="es-CO"/>
        </w:rPr>
      </w:pPr>
      <w:r>
        <w:rPr>
          <w:rFonts w:ascii="Arial" w:hAnsi="Arial" w:cs="Arial"/>
          <w:i/>
          <w:lang w:val="es-CO"/>
        </w:rPr>
        <w:t>(Art. 1, Decreto 700 de 1997)(El Decreto 700 de 1997 rige a partir del 1° de abril de 1997 y deroga los Decretos 1960 y 2360 de 1996, y las demás disposiciones que le sean contrarias. Art. 45, Decreto 700 de 1997)</w:t>
      </w:r>
    </w:p>
    <w:p w14:paraId="7E7DCCEE" w14:textId="77777777" w:rsidR="00B2442D" w:rsidRDefault="00B2442D">
      <w:pPr>
        <w:jc w:val="both"/>
        <w:rPr>
          <w:rFonts w:ascii="Arial" w:hAnsi="Arial" w:cs="Arial"/>
          <w:i/>
        </w:rPr>
      </w:pPr>
    </w:p>
    <w:p w14:paraId="3B2BB6E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Autorretención mensual.</w:t>
      </w:r>
      <w:r>
        <w:rPr>
          <w:rFonts w:ascii="Arial" w:hAnsi="Arial" w:cs="Arial"/>
          <w:lang w:val="es-CO"/>
        </w:rPr>
        <w:t xml:space="preserve"> Los contr</w:t>
      </w:r>
      <w:r>
        <w:rPr>
          <w:rFonts w:ascii="Arial" w:hAnsi="Arial" w:cs="Arial"/>
          <w:lang w:val="es-CO"/>
        </w:rPr>
        <w:t>ibuyentes del impuesto sobre la renta y complementarios que teniendo la calidad de agentes autorretenedores de rendimientos financieros, sean legítimos tenedores de títulos que incorporen rendimientos financieros, deberán practicarse mensualmente la retenc</w:t>
      </w:r>
      <w:r>
        <w:rPr>
          <w:rFonts w:ascii="Arial" w:hAnsi="Arial" w:cs="Arial"/>
          <w:lang w:val="es-CO"/>
        </w:rPr>
        <w:t>ión en la fuente sobre los intereses y descuentos que se causen a su favor a partir del primero de abril de 1997, independientemente de la fecha de emisión, expedición o colocación de dichos títulos, salvo que cuenten con la constancia sobre valores reteni</w:t>
      </w:r>
      <w:r>
        <w:rPr>
          <w:rFonts w:ascii="Arial" w:hAnsi="Arial" w:cs="Arial"/>
          <w:lang w:val="es-CO"/>
        </w:rPr>
        <w:t>dos por el período en el cual se causan los rendimientos, caso en el cual, se aplicará, lo dispuesto en el artículo 1.2.4.2.21 del presente Decreto.</w:t>
      </w:r>
    </w:p>
    <w:p w14:paraId="171594AA" w14:textId="77777777" w:rsidR="00B2442D" w:rsidRDefault="00B2442D">
      <w:pPr>
        <w:jc w:val="both"/>
        <w:rPr>
          <w:rFonts w:ascii="Arial" w:hAnsi="Arial" w:cs="Arial"/>
          <w:lang w:val="es-CO"/>
        </w:rPr>
      </w:pPr>
    </w:p>
    <w:p w14:paraId="31F50D2F" w14:textId="77777777" w:rsidR="00B2442D" w:rsidRDefault="008A645F">
      <w:pPr>
        <w:jc w:val="both"/>
        <w:rPr>
          <w:rFonts w:ascii="Arial" w:hAnsi="Arial" w:cs="Arial"/>
          <w:lang w:val="es-CO"/>
        </w:rPr>
      </w:pPr>
      <w:r>
        <w:rPr>
          <w:rFonts w:ascii="Arial" w:hAnsi="Arial" w:cs="Arial"/>
          <w:lang w:val="es-CO"/>
        </w:rPr>
        <w:t>La declaración y pago de los valores autorretenidos de acuerdo con el régimen señalado en los artículos 1.</w:t>
      </w:r>
      <w:r>
        <w:rPr>
          <w:rFonts w:ascii="Arial" w:hAnsi="Arial" w:cs="Arial"/>
          <w:lang w:val="es-CO"/>
        </w:rPr>
        <w:t>2.4.2.9 al 1.2.4.2.49 del presente Decreto, deberán efectuarse en las condiciones y plazos previstos en las disposiciones vigentes para la presentación y pago de las declaraciones de retención en la fuente.</w:t>
      </w:r>
    </w:p>
    <w:p w14:paraId="21078C3B" w14:textId="77777777" w:rsidR="00B2442D" w:rsidRDefault="00B2442D">
      <w:pPr>
        <w:jc w:val="both"/>
        <w:rPr>
          <w:rFonts w:ascii="Arial" w:hAnsi="Arial" w:cs="Arial"/>
          <w:i/>
          <w:lang w:val="es-CO"/>
        </w:rPr>
      </w:pPr>
    </w:p>
    <w:p w14:paraId="399B8A34" w14:textId="77777777" w:rsidR="00B2442D" w:rsidRDefault="008A645F">
      <w:pPr>
        <w:jc w:val="both"/>
        <w:rPr>
          <w:rFonts w:ascii="Arial" w:hAnsi="Arial" w:cs="Arial"/>
          <w:i/>
          <w:lang w:val="es-CO"/>
        </w:rPr>
      </w:pPr>
      <w:r>
        <w:rPr>
          <w:rFonts w:ascii="Arial" w:hAnsi="Arial" w:cs="Arial"/>
          <w:i/>
          <w:lang w:val="es-CO"/>
        </w:rPr>
        <w:t>(Art. 2, Decreto 700 de 1997)</w:t>
      </w:r>
      <w:r>
        <w:rPr>
          <w:rFonts w:ascii="Arial" w:hAnsi="Arial" w:cs="Arial"/>
        </w:rPr>
        <w:t xml:space="preserve"> </w:t>
      </w:r>
      <w:r>
        <w:rPr>
          <w:rFonts w:ascii="Arial" w:hAnsi="Arial" w:cs="Arial"/>
          <w:i/>
          <w:lang w:val="es-CO"/>
        </w:rPr>
        <w:t>(El Decreto 700 de</w:t>
      </w:r>
      <w:r>
        <w:rPr>
          <w:rFonts w:ascii="Arial" w:hAnsi="Arial" w:cs="Arial"/>
          <w:i/>
          <w:lang w:val="es-CO"/>
        </w:rPr>
        <w:t xml:space="preserve"> 1997 rige a partir del 1° de abril de 1997 y deroga los Decretos 1960 y 2360 de 1996, y las demás disposiciones que le sean contrarias. Art. 45, Decreto 700 de 1997)</w:t>
      </w:r>
    </w:p>
    <w:p w14:paraId="1F11AD68" w14:textId="77777777" w:rsidR="00B2442D" w:rsidRDefault="00B2442D">
      <w:pPr>
        <w:jc w:val="both"/>
        <w:rPr>
          <w:rFonts w:ascii="Arial" w:hAnsi="Arial" w:cs="Arial"/>
          <w:lang w:val="es-CO"/>
        </w:rPr>
      </w:pPr>
    </w:p>
    <w:p w14:paraId="0436315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Conceptos.</w:t>
      </w:r>
      <w:r>
        <w:rPr>
          <w:rFonts w:ascii="Arial" w:hAnsi="Arial" w:cs="Arial"/>
          <w:i/>
          <w:lang w:val="es-CO"/>
        </w:rPr>
        <w:t xml:space="preserve"> </w:t>
      </w:r>
      <w:r>
        <w:rPr>
          <w:rFonts w:ascii="Arial" w:hAnsi="Arial" w:cs="Arial"/>
          <w:lang w:val="es-CO"/>
        </w:rPr>
        <w:t>Para los efectos del presente Decreto se entiende por:</w:t>
      </w:r>
    </w:p>
    <w:p w14:paraId="2E0ED5A8" w14:textId="77777777" w:rsidR="00B2442D" w:rsidRDefault="00B2442D">
      <w:pPr>
        <w:jc w:val="both"/>
        <w:rPr>
          <w:rFonts w:ascii="Arial" w:hAnsi="Arial" w:cs="Arial"/>
          <w:lang w:val="es-CO"/>
        </w:rPr>
      </w:pPr>
    </w:p>
    <w:p w14:paraId="0A2750B9" w14:textId="77777777" w:rsidR="00B2442D" w:rsidRDefault="008A645F">
      <w:pPr>
        <w:ind w:left="284" w:hanging="284"/>
        <w:jc w:val="both"/>
        <w:rPr>
          <w:rFonts w:ascii="Arial" w:hAnsi="Arial" w:cs="Arial"/>
          <w:lang w:val="es-CO"/>
        </w:rPr>
      </w:pPr>
      <w:r>
        <w:rPr>
          <w:rFonts w:ascii="Arial" w:hAnsi="Arial" w:cs="Arial"/>
          <w:lang w:val="es-CO"/>
        </w:rPr>
        <w:t>1. Primer período de</w:t>
      </w:r>
      <w:r>
        <w:rPr>
          <w:rFonts w:ascii="Arial" w:hAnsi="Arial" w:cs="Arial"/>
          <w:lang w:val="es-CO"/>
        </w:rPr>
        <w:t xml:space="preserve"> rendimientos para el tenedor del título: El período de causación de intereses que está transcurriendo al momento de ser adquirido el título.</w:t>
      </w:r>
    </w:p>
    <w:p w14:paraId="21506FA6" w14:textId="77777777" w:rsidR="00B2442D" w:rsidRDefault="00B2442D">
      <w:pPr>
        <w:ind w:left="284" w:hanging="284"/>
        <w:jc w:val="both"/>
        <w:rPr>
          <w:rFonts w:ascii="Arial" w:hAnsi="Arial" w:cs="Arial"/>
          <w:lang w:val="es-CO"/>
        </w:rPr>
      </w:pPr>
    </w:p>
    <w:p w14:paraId="25D7EDC0" w14:textId="77777777" w:rsidR="00B2442D" w:rsidRDefault="008A645F">
      <w:pPr>
        <w:ind w:left="284" w:hanging="284"/>
        <w:jc w:val="both"/>
        <w:rPr>
          <w:rFonts w:ascii="Arial" w:hAnsi="Arial" w:cs="Arial"/>
          <w:lang w:val="es-CO"/>
        </w:rPr>
      </w:pPr>
      <w:r>
        <w:rPr>
          <w:rFonts w:ascii="Arial" w:hAnsi="Arial" w:cs="Arial"/>
          <w:lang w:val="es-CO"/>
        </w:rPr>
        <w:t>2. Vencimiento del título: fecha prevista por el título para la redención final del capital.</w:t>
      </w:r>
    </w:p>
    <w:p w14:paraId="67C8AC4C" w14:textId="77777777" w:rsidR="00B2442D" w:rsidRDefault="00B2442D">
      <w:pPr>
        <w:ind w:left="284" w:hanging="284"/>
        <w:jc w:val="both"/>
        <w:rPr>
          <w:rFonts w:ascii="Arial" w:hAnsi="Arial" w:cs="Arial"/>
          <w:lang w:val="es-CO"/>
        </w:rPr>
      </w:pPr>
    </w:p>
    <w:p w14:paraId="1886DFBD" w14:textId="77777777" w:rsidR="00B2442D" w:rsidRDefault="008A645F">
      <w:pPr>
        <w:ind w:left="284" w:hanging="284"/>
        <w:jc w:val="both"/>
        <w:rPr>
          <w:rFonts w:ascii="Arial" w:hAnsi="Arial" w:cs="Arial"/>
          <w:lang w:val="es-CO"/>
        </w:rPr>
      </w:pPr>
      <w:r>
        <w:rPr>
          <w:rFonts w:ascii="Arial" w:hAnsi="Arial" w:cs="Arial"/>
          <w:lang w:val="es-CO"/>
        </w:rPr>
        <w:t>3. Precio de compra</w:t>
      </w:r>
      <w:r>
        <w:rPr>
          <w:rFonts w:ascii="Arial" w:hAnsi="Arial" w:cs="Arial"/>
          <w:lang w:val="es-CO"/>
        </w:rPr>
        <w:t xml:space="preserve"> de títulos con intereses anticipados en mercado primario transados fuera de bolsa: Valor nominal del título deducidos los intereses faciales del mismo. Si hubiere descuento, se le restará del resultado obtenido; si hubiere prima se le adicionará.</w:t>
      </w:r>
    </w:p>
    <w:p w14:paraId="0942205E" w14:textId="77777777" w:rsidR="00B2442D" w:rsidRDefault="00B2442D">
      <w:pPr>
        <w:ind w:left="284" w:hanging="284"/>
        <w:jc w:val="both"/>
        <w:rPr>
          <w:rFonts w:ascii="Arial" w:hAnsi="Arial" w:cs="Arial"/>
          <w:lang w:val="es-CO"/>
        </w:rPr>
      </w:pPr>
    </w:p>
    <w:p w14:paraId="48E06D4C" w14:textId="77777777" w:rsidR="00B2442D" w:rsidRDefault="008A645F">
      <w:pPr>
        <w:ind w:left="284" w:hanging="284"/>
        <w:jc w:val="both"/>
        <w:rPr>
          <w:rFonts w:ascii="Arial" w:hAnsi="Arial" w:cs="Arial"/>
          <w:lang w:val="es-CO"/>
        </w:rPr>
      </w:pPr>
      <w:r>
        <w:rPr>
          <w:rFonts w:ascii="Arial" w:hAnsi="Arial" w:cs="Arial"/>
          <w:lang w:val="es-CO"/>
        </w:rPr>
        <w:t>4. Prec</w:t>
      </w:r>
      <w:r>
        <w:rPr>
          <w:rFonts w:ascii="Arial" w:hAnsi="Arial" w:cs="Arial"/>
          <w:lang w:val="es-CO"/>
        </w:rPr>
        <w:t>io de compra de títulos con intereses anticipados en mercado primario transados a través de bolsa: precio de registro deducidos los intereses faciales del mismo. Si hubiere descuento, se le restará del resultado obtenido; si hubiere prima se le adicionará.</w:t>
      </w:r>
    </w:p>
    <w:p w14:paraId="64CDCA75" w14:textId="77777777" w:rsidR="00B2442D" w:rsidRDefault="00B2442D">
      <w:pPr>
        <w:ind w:left="284" w:hanging="284"/>
        <w:jc w:val="both"/>
        <w:rPr>
          <w:rFonts w:ascii="Arial" w:hAnsi="Arial" w:cs="Arial"/>
          <w:lang w:val="es-CO"/>
        </w:rPr>
      </w:pPr>
    </w:p>
    <w:p w14:paraId="45DCE024" w14:textId="77777777" w:rsidR="00B2442D" w:rsidRDefault="008A645F">
      <w:pPr>
        <w:ind w:left="284" w:hanging="284"/>
        <w:jc w:val="both"/>
        <w:rPr>
          <w:rFonts w:ascii="Arial" w:hAnsi="Arial" w:cs="Arial"/>
          <w:lang w:val="es-CO"/>
        </w:rPr>
      </w:pPr>
      <w:r>
        <w:rPr>
          <w:rFonts w:ascii="Arial" w:hAnsi="Arial" w:cs="Arial"/>
          <w:lang w:val="es-CO"/>
        </w:rPr>
        <w:t xml:space="preserve">5. Precio de compra de títulos con intereses vencidos en mercado primario transados fuera de bolsa: valor nominal del título más los intereses faciales del mismo causados hasta la fecha de la colocación primaria. Si hubiere descuento, se le </w:t>
      </w:r>
      <w:r>
        <w:rPr>
          <w:rFonts w:ascii="Arial" w:hAnsi="Arial" w:cs="Arial"/>
          <w:lang w:val="es-CO"/>
        </w:rPr>
        <w:t>restará del resultado obtenido, si hubiere prima se le adicionará.</w:t>
      </w:r>
    </w:p>
    <w:p w14:paraId="458FA5A9" w14:textId="77777777" w:rsidR="00B2442D" w:rsidRDefault="00B2442D">
      <w:pPr>
        <w:ind w:left="284" w:hanging="284"/>
        <w:jc w:val="both"/>
        <w:rPr>
          <w:rFonts w:ascii="Arial" w:hAnsi="Arial" w:cs="Arial"/>
          <w:lang w:val="es-CO"/>
        </w:rPr>
      </w:pPr>
    </w:p>
    <w:p w14:paraId="32D32368" w14:textId="77777777" w:rsidR="00B2442D" w:rsidRDefault="008A645F">
      <w:pPr>
        <w:ind w:left="284" w:hanging="284"/>
        <w:jc w:val="both"/>
        <w:rPr>
          <w:rFonts w:ascii="Arial" w:hAnsi="Arial" w:cs="Arial"/>
          <w:lang w:val="es-CO"/>
        </w:rPr>
      </w:pPr>
      <w:r>
        <w:rPr>
          <w:rFonts w:ascii="Arial" w:hAnsi="Arial" w:cs="Arial"/>
          <w:lang w:val="es-CO"/>
        </w:rPr>
        <w:t>6. Precio: valor expresado en términos absolutos en moneda legal colombiana.</w:t>
      </w:r>
    </w:p>
    <w:p w14:paraId="69020C8B" w14:textId="77777777" w:rsidR="00B2442D" w:rsidRDefault="00B2442D">
      <w:pPr>
        <w:jc w:val="both"/>
        <w:rPr>
          <w:rFonts w:ascii="Arial" w:hAnsi="Arial" w:cs="Arial"/>
          <w:i/>
          <w:lang w:val="es-CO"/>
        </w:rPr>
      </w:pPr>
    </w:p>
    <w:p w14:paraId="0EA82071" w14:textId="77777777" w:rsidR="00B2442D" w:rsidRDefault="008A645F">
      <w:pPr>
        <w:jc w:val="both"/>
        <w:rPr>
          <w:rFonts w:ascii="Arial" w:hAnsi="Arial" w:cs="Arial"/>
          <w:i/>
          <w:lang w:val="es-CO"/>
        </w:rPr>
      </w:pPr>
      <w:r>
        <w:rPr>
          <w:rFonts w:ascii="Arial" w:hAnsi="Arial" w:cs="Arial"/>
          <w:i/>
          <w:lang w:val="es-CO"/>
        </w:rPr>
        <w:t>(Art. 3, Decreto 700 de 1997)</w:t>
      </w:r>
      <w:r>
        <w:rPr>
          <w:rFonts w:ascii="Arial" w:hAnsi="Arial" w:cs="Arial"/>
        </w:rPr>
        <w:t xml:space="preserve"> </w:t>
      </w:r>
      <w:r>
        <w:rPr>
          <w:rFonts w:ascii="Arial" w:hAnsi="Arial" w:cs="Arial"/>
          <w:i/>
          <w:lang w:val="es-CO"/>
        </w:rPr>
        <w:t>(El Decreto 700 de 1997 rige a partir del 1° de abril de 1997 y deroga los Decre</w:t>
      </w:r>
      <w:r>
        <w:rPr>
          <w:rFonts w:ascii="Arial" w:hAnsi="Arial" w:cs="Arial"/>
          <w:i/>
          <w:lang w:val="es-CO"/>
        </w:rPr>
        <w:t>tos 1960 y 2360 de 1996, y las demás disposiciones que le sean contrarias. Art. 45, Decreto 700 de 1997)</w:t>
      </w:r>
    </w:p>
    <w:p w14:paraId="62F150C3" w14:textId="77777777" w:rsidR="00B2442D" w:rsidRDefault="00B2442D">
      <w:pPr>
        <w:jc w:val="both"/>
        <w:rPr>
          <w:rFonts w:ascii="Arial" w:hAnsi="Arial" w:cs="Arial"/>
          <w:lang w:val="es-CO"/>
        </w:rPr>
      </w:pPr>
    </w:p>
    <w:p w14:paraId="5EB42E2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Tarifa de retención en la fuente sobre descuentos.</w:t>
      </w:r>
      <w:r>
        <w:rPr>
          <w:rFonts w:ascii="Arial" w:hAnsi="Arial" w:cs="Arial"/>
          <w:b/>
          <w:lang w:val="es-CO"/>
        </w:rPr>
        <w:t xml:space="preserve"> </w:t>
      </w:r>
      <w:r>
        <w:rPr>
          <w:rFonts w:ascii="Arial" w:hAnsi="Arial" w:cs="Arial"/>
          <w:lang w:val="es-CO"/>
        </w:rPr>
        <w:t>A partir del 19 de marzo de 1997 (D.O. 43006), cuando se trate de títulos con descuento o colocado</w:t>
      </w:r>
      <w:r>
        <w:rPr>
          <w:rFonts w:ascii="Arial" w:hAnsi="Arial" w:cs="Arial"/>
          <w:lang w:val="es-CO"/>
        </w:rPr>
        <w:t>s al descuento, el rendimiento financiero por concepto del descuento, estará sometido a la retención en la fuente a la tarifa del siete por ciento (7%) (hoy cuatro por ciento 4%), independientemente del período de redención del título.</w:t>
      </w:r>
    </w:p>
    <w:p w14:paraId="415B0B19" w14:textId="77777777" w:rsidR="00B2442D" w:rsidRDefault="00B2442D">
      <w:pPr>
        <w:jc w:val="both"/>
        <w:rPr>
          <w:rFonts w:ascii="Arial" w:hAnsi="Arial" w:cs="Arial"/>
          <w:i/>
          <w:lang w:val="es-CO"/>
        </w:rPr>
      </w:pPr>
    </w:p>
    <w:p w14:paraId="5CC586C3" w14:textId="77777777" w:rsidR="00B2442D" w:rsidRDefault="008A645F">
      <w:pPr>
        <w:jc w:val="both"/>
        <w:rPr>
          <w:rFonts w:ascii="Arial" w:hAnsi="Arial" w:cs="Arial"/>
          <w:i/>
          <w:lang w:val="es-CO"/>
        </w:rPr>
      </w:pPr>
      <w:r>
        <w:rPr>
          <w:rFonts w:ascii="Arial" w:hAnsi="Arial" w:cs="Arial"/>
          <w:i/>
          <w:lang w:val="es-CO"/>
        </w:rPr>
        <w:t>(Art. 4, Decreto 70</w:t>
      </w:r>
      <w:r>
        <w:rPr>
          <w:rFonts w:ascii="Arial" w:hAnsi="Arial" w:cs="Arial"/>
          <w:i/>
          <w:lang w:val="es-CO"/>
        </w:rPr>
        <w:t>0 de 1997. Ajustada la tarifa por el Art. 3 del Decreto 2418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20CFC806" w14:textId="77777777" w:rsidR="00B2442D" w:rsidRDefault="00B2442D">
      <w:pPr>
        <w:jc w:val="both"/>
        <w:rPr>
          <w:rFonts w:ascii="Arial" w:hAnsi="Arial" w:cs="Arial"/>
          <w:lang w:val="es-CO"/>
        </w:rPr>
      </w:pPr>
    </w:p>
    <w:p w14:paraId="5E39583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autorretención sobre descuentos e intereses anticipados</w:t>
      </w:r>
      <w:r>
        <w:rPr>
          <w:rFonts w:ascii="Arial" w:hAnsi="Arial" w:cs="Arial"/>
          <w:i/>
          <w:lang w:val="es-CO"/>
        </w:rPr>
        <w:t>.</w:t>
      </w:r>
      <w:r>
        <w:rPr>
          <w:rFonts w:ascii="Arial" w:hAnsi="Arial" w:cs="Arial"/>
          <w:lang w:val="es-CO"/>
        </w:rPr>
        <w:t xml:space="preserve"> La autorretención en la fuente que deben practicarse mensualmente los agentes autorretenedores de rendimientos financieros, sobre los rendimientos provenientes de títulos con intereses antic</w:t>
      </w:r>
      <w:r>
        <w:rPr>
          <w:rFonts w:ascii="Arial" w:hAnsi="Arial" w:cs="Arial"/>
          <w:lang w:val="es-CO"/>
        </w:rPr>
        <w:t>ipados y/o descuentos, se aplicará de acuerdo a las siguientes reglas:</w:t>
      </w:r>
    </w:p>
    <w:p w14:paraId="58F9D4C6" w14:textId="77777777" w:rsidR="00B2442D" w:rsidRDefault="00B2442D">
      <w:pPr>
        <w:jc w:val="both"/>
        <w:rPr>
          <w:rFonts w:ascii="Arial" w:hAnsi="Arial" w:cs="Arial"/>
          <w:lang w:val="es-CO"/>
        </w:rPr>
      </w:pPr>
    </w:p>
    <w:p w14:paraId="0364A2E0" w14:textId="77777777" w:rsidR="00B2442D" w:rsidRDefault="008A645F">
      <w:pPr>
        <w:ind w:left="284" w:hanging="284"/>
        <w:jc w:val="both"/>
        <w:rPr>
          <w:rFonts w:ascii="Arial" w:hAnsi="Arial" w:cs="Arial"/>
          <w:lang w:val="es-CO"/>
        </w:rPr>
      </w:pPr>
      <w:r>
        <w:rPr>
          <w:rFonts w:ascii="Arial" w:hAnsi="Arial" w:cs="Arial"/>
          <w:lang w:val="es-CO"/>
        </w:rPr>
        <w:t>1. Tratándose de títulos con descuentos sin pagos periódicos anticipados de intereses o de títulos que no generen un costo financiero para el emisor adquiridos al descuento:</w:t>
      </w:r>
    </w:p>
    <w:p w14:paraId="46C910EA" w14:textId="77777777" w:rsidR="00B2442D" w:rsidRDefault="00B2442D">
      <w:pPr>
        <w:ind w:left="284" w:hanging="284"/>
        <w:jc w:val="both"/>
        <w:rPr>
          <w:rFonts w:ascii="Arial" w:hAnsi="Arial" w:cs="Arial"/>
          <w:lang w:val="es-CO"/>
        </w:rPr>
      </w:pPr>
    </w:p>
    <w:p w14:paraId="2A9ABAEC" w14:textId="77777777" w:rsidR="00B2442D" w:rsidRDefault="008A645F">
      <w:pPr>
        <w:ind w:left="284"/>
        <w:jc w:val="both"/>
        <w:rPr>
          <w:rFonts w:ascii="Arial" w:hAnsi="Arial" w:cs="Arial"/>
          <w:lang w:val="es-CO"/>
        </w:rPr>
      </w:pPr>
      <w:r>
        <w:rPr>
          <w:rFonts w:ascii="Arial" w:hAnsi="Arial" w:cs="Arial"/>
          <w:lang w:val="es-CO"/>
        </w:rPr>
        <w:t>Sobre la diferencia positiva entre el valor nominal del título y el precio de compra del mismo, dividida esta diferencia por el número de días al vencimiento contados a partir de su adquisición, y multiplicado este resultado, por el número de días de tenen</w:t>
      </w:r>
      <w:r>
        <w:rPr>
          <w:rFonts w:ascii="Arial" w:hAnsi="Arial" w:cs="Arial"/>
          <w:lang w:val="es-CO"/>
        </w:rPr>
        <w:t>cia del título durante el mes.</w:t>
      </w:r>
    </w:p>
    <w:p w14:paraId="0D01C861" w14:textId="77777777" w:rsidR="00B2442D" w:rsidRDefault="00B2442D">
      <w:pPr>
        <w:ind w:left="284" w:hanging="284"/>
        <w:jc w:val="both"/>
        <w:rPr>
          <w:rFonts w:ascii="Arial" w:hAnsi="Arial" w:cs="Arial"/>
          <w:lang w:val="es-CO"/>
        </w:rPr>
      </w:pPr>
    </w:p>
    <w:p w14:paraId="1870E025" w14:textId="77777777" w:rsidR="00B2442D" w:rsidRDefault="008A645F">
      <w:pPr>
        <w:ind w:left="284" w:hanging="284"/>
        <w:jc w:val="both"/>
        <w:rPr>
          <w:rFonts w:ascii="Arial" w:hAnsi="Arial" w:cs="Arial"/>
          <w:lang w:val="es-CO"/>
        </w:rPr>
      </w:pPr>
      <w:r>
        <w:rPr>
          <w:rFonts w:ascii="Arial" w:hAnsi="Arial" w:cs="Arial"/>
          <w:lang w:val="es-CO"/>
        </w:rPr>
        <w:t>2. Tratándose de títulos con pagos periódicos anticipados de intereses:</w:t>
      </w:r>
    </w:p>
    <w:p w14:paraId="3D53BA0B" w14:textId="77777777" w:rsidR="00B2442D" w:rsidRDefault="00B2442D">
      <w:pPr>
        <w:ind w:left="284" w:hanging="284"/>
        <w:jc w:val="both"/>
        <w:rPr>
          <w:rFonts w:ascii="Arial" w:hAnsi="Arial" w:cs="Arial"/>
          <w:lang w:val="es-CO"/>
        </w:rPr>
      </w:pPr>
    </w:p>
    <w:p w14:paraId="5015003A" w14:textId="77777777" w:rsidR="00B2442D" w:rsidRDefault="008A645F">
      <w:pPr>
        <w:ind w:left="284" w:hanging="284"/>
        <w:jc w:val="both"/>
        <w:rPr>
          <w:rFonts w:ascii="Arial" w:hAnsi="Arial" w:cs="Arial"/>
          <w:lang w:val="es-CO"/>
        </w:rPr>
      </w:pPr>
      <w:r>
        <w:rPr>
          <w:rFonts w:ascii="Arial" w:hAnsi="Arial" w:cs="Arial"/>
          <w:lang w:val="es-CO"/>
        </w:rPr>
        <w:t xml:space="preserve">a) Mensualmente durante el primer período de rendimientos para el tenedor del título: sobre la diferencia positiva entre el valor nominal del título y </w:t>
      </w:r>
      <w:r>
        <w:rPr>
          <w:rFonts w:ascii="Arial" w:hAnsi="Arial" w:cs="Arial"/>
          <w:lang w:val="es-CO"/>
        </w:rPr>
        <w:t>el precio de compra del mismo, dividida esta diferencia por el número de días al próximo pago de intereses o al vencimiento si se trata del último período de rendimientos, ambos contados a partir de su adquisición, y multiplicado este resultado por el núme</w:t>
      </w:r>
      <w:r>
        <w:rPr>
          <w:rFonts w:ascii="Arial" w:hAnsi="Arial" w:cs="Arial"/>
          <w:lang w:val="es-CO"/>
        </w:rPr>
        <w:t>ro de días de tenencia del título durante el mes;</w:t>
      </w:r>
    </w:p>
    <w:p w14:paraId="50B68ECE" w14:textId="77777777" w:rsidR="00B2442D" w:rsidRDefault="00B2442D">
      <w:pPr>
        <w:ind w:left="284" w:hanging="284"/>
        <w:jc w:val="both"/>
        <w:rPr>
          <w:rFonts w:ascii="Arial" w:hAnsi="Arial" w:cs="Arial"/>
          <w:lang w:val="es-CO"/>
        </w:rPr>
      </w:pPr>
    </w:p>
    <w:p w14:paraId="06915798" w14:textId="77777777" w:rsidR="00B2442D" w:rsidRDefault="008A645F">
      <w:pPr>
        <w:ind w:left="284" w:hanging="284"/>
        <w:jc w:val="both"/>
        <w:rPr>
          <w:rFonts w:ascii="Arial" w:hAnsi="Arial" w:cs="Arial"/>
          <w:lang w:val="es-CO"/>
        </w:rPr>
      </w:pPr>
      <w:r>
        <w:rPr>
          <w:rFonts w:ascii="Arial" w:hAnsi="Arial" w:cs="Arial"/>
          <w:lang w:val="es-CO"/>
        </w:rPr>
        <w:t>b) Mensualmente durante los demás períodos de rendimientos para el tenedor del título: sobre el valor total de los intereses del período a la tasa facial del título, dividido por el número de días de dicho</w:t>
      </w:r>
      <w:r>
        <w:rPr>
          <w:rFonts w:ascii="Arial" w:hAnsi="Arial" w:cs="Arial"/>
          <w:lang w:val="es-CO"/>
        </w:rPr>
        <w:t xml:space="preserve"> período, y multiplicado por el número de días de tenencia del título durante el mes.</w:t>
      </w:r>
    </w:p>
    <w:p w14:paraId="10DA2522" w14:textId="77777777" w:rsidR="00B2442D" w:rsidRDefault="00B2442D">
      <w:pPr>
        <w:jc w:val="both"/>
        <w:rPr>
          <w:rFonts w:ascii="Arial" w:hAnsi="Arial" w:cs="Arial"/>
          <w:lang w:val="es-CO"/>
        </w:rPr>
      </w:pPr>
    </w:p>
    <w:p w14:paraId="1BCF44B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el evento de que el título sea redimible por un valor superior al nominal, este exceso se agregará al valor nominal del título durante el primer o único pe</w:t>
      </w:r>
      <w:r>
        <w:rPr>
          <w:rFonts w:ascii="Arial" w:hAnsi="Arial" w:cs="Arial"/>
          <w:lang w:val="es-CO"/>
        </w:rPr>
        <w:t>ríodo de rendimientos del título, para efecto de los cálculos aquí previstos.</w:t>
      </w:r>
    </w:p>
    <w:p w14:paraId="798B351B" w14:textId="77777777" w:rsidR="00B2442D" w:rsidRDefault="00B2442D">
      <w:pPr>
        <w:jc w:val="both"/>
        <w:rPr>
          <w:rFonts w:ascii="Arial" w:hAnsi="Arial" w:cs="Arial"/>
          <w:i/>
          <w:lang w:val="es-CO"/>
        </w:rPr>
      </w:pPr>
    </w:p>
    <w:p w14:paraId="6C8141D8" w14:textId="77777777" w:rsidR="00B2442D" w:rsidRDefault="008A645F">
      <w:pPr>
        <w:jc w:val="both"/>
        <w:rPr>
          <w:rFonts w:ascii="Arial" w:hAnsi="Arial" w:cs="Arial"/>
          <w:i/>
          <w:lang w:val="es-CO"/>
        </w:rPr>
      </w:pPr>
      <w:r>
        <w:rPr>
          <w:rFonts w:ascii="Arial" w:hAnsi="Arial" w:cs="Arial"/>
          <w:i/>
          <w:lang w:val="es-CO"/>
        </w:rPr>
        <w:t>(Art. 5, Decreto 700 de 1997)</w:t>
      </w:r>
      <w:r>
        <w:rPr>
          <w:rFonts w:ascii="Arial" w:hAnsi="Arial" w:cs="Arial"/>
        </w:rPr>
        <w:t xml:space="preserve"> </w:t>
      </w:r>
      <w:r>
        <w:rPr>
          <w:rFonts w:ascii="Arial" w:hAnsi="Arial" w:cs="Arial"/>
          <w:i/>
          <w:lang w:val="es-CO"/>
        </w:rPr>
        <w:t xml:space="preserve">(El Decreto 700 de 1997 rige a partir del 1° de abril de 1997 y deroga los Decretos 1960 y 2360 de 1996, y las demás disposiciones que le sean </w:t>
      </w:r>
      <w:r>
        <w:rPr>
          <w:rFonts w:ascii="Arial" w:hAnsi="Arial" w:cs="Arial"/>
          <w:i/>
          <w:lang w:val="es-CO"/>
        </w:rPr>
        <w:t>contrarias. Art. 45, Decreto 700 de 1997)</w:t>
      </w:r>
    </w:p>
    <w:p w14:paraId="35C7F12F" w14:textId="77777777" w:rsidR="00B2442D" w:rsidRDefault="00B2442D">
      <w:pPr>
        <w:jc w:val="both"/>
        <w:rPr>
          <w:rFonts w:ascii="Arial" w:hAnsi="Arial" w:cs="Arial"/>
          <w:lang w:val="es-CO"/>
        </w:rPr>
      </w:pPr>
    </w:p>
    <w:p w14:paraId="527C595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retención sobre descuentos e intereses anticipados por parte del emisor. </w:t>
      </w:r>
      <w:r>
        <w:rPr>
          <w:rFonts w:ascii="Arial" w:hAnsi="Arial" w:cs="Arial"/>
          <w:lang w:val="es-CO"/>
        </w:rPr>
        <w:t>Cuando en el mercado primario, el adquirente de un título con descuento sea un contribuyente del impuesto sobre la renta y compleme</w:t>
      </w:r>
      <w:r>
        <w:rPr>
          <w:rFonts w:ascii="Arial" w:hAnsi="Arial" w:cs="Arial"/>
          <w:lang w:val="es-CO"/>
        </w:rPr>
        <w:t>ntario, que estando sujeto a retención en la fuente, no tenga la calidad de agente autorretenedor de rendimientos financieros, la retención por concepto del descuento se practicará por el emisor del título o administrador de la emisión, al momento de la co</w:t>
      </w:r>
      <w:r>
        <w:rPr>
          <w:rFonts w:ascii="Arial" w:hAnsi="Arial" w:cs="Arial"/>
          <w:lang w:val="es-CO"/>
        </w:rPr>
        <w:t>locación, sobre la diferencia positiva entre el valor nominal del título y el de su colocación.</w:t>
      </w:r>
    </w:p>
    <w:p w14:paraId="077C1A1A" w14:textId="77777777" w:rsidR="00B2442D" w:rsidRDefault="00B2442D">
      <w:pPr>
        <w:jc w:val="both"/>
        <w:rPr>
          <w:rFonts w:ascii="Arial" w:hAnsi="Arial" w:cs="Arial"/>
          <w:lang w:val="es-CO"/>
        </w:rPr>
      </w:pPr>
    </w:p>
    <w:p w14:paraId="3F021377" w14:textId="77777777" w:rsidR="00B2442D" w:rsidRDefault="008A645F">
      <w:pPr>
        <w:jc w:val="both"/>
        <w:rPr>
          <w:rFonts w:ascii="Arial" w:hAnsi="Arial" w:cs="Arial"/>
          <w:lang w:val="es-CO"/>
        </w:rPr>
      </w:pPr>
      <w:r>
        <w:rPr>
          <w:rFonts w:ascii="Arial" w:hAnsi="Arial" w:cs="Arial"/>
          <w:lang w:val="es-CO"/>
        </w:rPr>
        <w:t>En el mismo evento, cuando se trate de título con pago anticipado de intereses, la retención en la fuente se aplicará sobre la diferencia positiva entre el val</w:t>
      </w:r>
      <w:r>
        <w:rPr>
          <w:rFonts w:ascii="Arial" w:hAnsi="Arial" w:cs="Arial"/>
          <w:lang w:val="es-CO"/>
        </w:rPr>
        <w:t>or nominal del título y el precio de compra del mismo.</w:t>
      </w:r>
    </w:p>
    <w:p w14:paraId="4DB182AA" w14:textId="77777777" w:rsidR="00B2442D" w:rsidRDefault="00B2442D">
      <w:pPr>
        <w:jc w:val="both"/>
        <w:rPr>
          <w:rFonts w:ascii="Arial" w:hAnsi="Arial" w:cs="Arial"/>
          <w:lang w:val="es-CO"/>
        </w:rPr>
      </w:pPr>
    </w:p>
    <w:p w14:paraId="2DEE83B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título sea redimible por un valor superior al nominal, este exceso se agregará a la base sobre la cual debe practicarse la retención.</w:t>
      </w:r>
    </w:p>
    <w:p w14:paraId="323F8953" w14:textId="77777777" w:rsidR="00B2442D" w:rsidRDefault="00B2442D">
      <w:pPr>
        <w:jc w:val="both"/>
        <w:rPr>
          <w:rFonts w:ascii="Arial" w:hAnsi="Arial" w:cs="Arial"/>
          <w:i/>
          <w:lang w:val="es-CO"/>
        </w:rPr>
      </w:pPr>
    </w:p>
    <w:p w14:paraId="4A84156F" w14:textId="77777777" w:rsidR="00B2442D" w:rsidRDefault="008A645F">
      <w:pPr>
        <w:jc w:val="both"/>
        <w:rPr>
          <w:rFonts w:ascii="Arial" w:hAnsi="Arial" w:cs="Arial"/>
          <w:i/>
          <w:lang w:val="es-CO"/>
        </w:rPr>
      </w:pPr>
      <w:r>
        <w:rPr>
          <w:rFonts w:ascii="Arial" w:hAnsi="Arial" w:cs="Arial"/>
          <w:i/>
          <w:lang w:val="es-CO"/>
        </w:rPr>
        <w:t>(Art. 6, Decreto 700 de 1997)</w:t>
      </w:r>
      <w:r>
        <w:rPr>
          <w:rFonts w:ascii="Arial" w:hAnsi="Arial" w:cs="Arial"/>
        </w:rPr>
        <w:t xml:space="preserve"> </w:t>
      </w:r>
      <w:r>
        <w:rPr>
          <w:rFonts w:ascii="Arial" w:hAnsi="Arial" w:cs="Arial"/>
          <w:i/>
          <w:lang w:val="es-CO"/>
        </w:rPr>
        <w:t>(El Decreto 70</w:t>
      </w:r>
      <w:r>
        <w:rPr>
          <w:rFonts w:ascii="Arial" w:hAnsi="Arial" w:cs="Arial"/>
          <w:i/>
          <w:lang w:val="es-CO"/>
        </w:rPr>
        <w:t>0 de 1997 rige a partir del 1° de abril de 1997 y deroga los Decretos 1960 y 2360 de 1996, y las demás disposiciones que le sean contrarias. Art. 45, Decreto 700 de 1997)</w:t>
      </w:r>
    </w:p>
    <w:p w14:paraId="48372CD3" w14:textId="77777777" w:rsidR="00B2442D" w:rsidRDefault="00B2442D">
      <w:pPr>
        <w:jc w:val="both"/>
        <w:rPr>
          <w:rFonts w:ascii="Arial" w:hAnsi="Arial" w:cs="Arial"/>
          <w:lang w:val="es-CO"/>
        </w:rPr>
      </w:pPr>
    </w:p>
    <w:p w14:paraId="07BF6AE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Enajenación de títulos con rendimientos anticipados a contribuyentes no autorretene</w:t>
      </w:r>
      <w:r>
        <w:rPr>
          <w:rFonts w:ascii="Arial" w:hAnsi="Arial" w:cs="Arial"/>
          <w:b/>
          <w:i/>
          <w:lang w:val="es-CO"/>
        </w:rPr>
        <w:t>dores.</w:t>
      </w:r>
      <w:r>
        <w:rPr>
          <w:rFonts w:ascii="Arial" w:hAnsi="Arial" w:cs="Arial"/>
          <w:lang w:val="es-CO"/>
        </w:rPr>
        <w:t xml:space="preserve"> Cuando un agente autorretenedor de rendimientos financieros, o un no contribuyente del impuesto sobre la renta y complementario, o un exento de dicho impuesto, o un contribuyente no sometido a retención en la fuente por expresa disposición legal, en</w:t>
      </w:r>
      <w:r>
        <w:rPr>
          <w:rFonts w:ascii="Arial" w:hAnsi="Arial" w:cs="Arial"/>
          <w:lang w:val="es-CO"/>
        </w:rPr>
        <w:t>ajene un título con descuento o con pago de intereses anticipados, en favor de un contribuyente del impuesto sobre la renta y complementario, que estando sujeto a retención en la fuente, no tenga la calidad de agente autorretenedor de rendimientos financie</w:t>
      </w:r>
      <w:r>
        <w:rPr>
          <w:rFonts w:ascii="Arial" w:hAnsi="Arial" w:cs="Arial"/>
          <w:lang w:val="es-CO"/>
        </w:rPr>
        <w:t>ros, el enajenante, al momento de la enajenación, practicará al adquirente la retención en la fuente sobre la diferencia positiva entre el valor nominal del título y el de su enajenación.</w:t>
      </w:r>
    </w:p>
    <w:p w14:paraId="5574E7FF" w14:textId="77777777" w:rsidR="00B2442D" w:rsidRDefault="00B2442D">
      <w:pPr>
        <w:jc w:val="both"/>
        <w:rPr>
          <w:rFonts w:ascii="Arial" w:hAnsi="Arial" w:cs="Arial"/>
          <w:lang w:val="es-CO"/>
        </w:rPr>
      </w:pPr>
    </w:p>
    <w:p w14:paraId="00F517C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título sea redimible por un valor superior al </w:t>
      </w:r>
      <w:r>
        <w:rPr>
          <w:rFonts w:ascii="Arial" w:hAnsi="Arial" w:cs="Arial"/>
          <w:lang w:val="es-CO"/>
        </w:rPr>
        <w:t>nominal, este exceso se agregará a la base sobre la cual debe practicarse la retención.</w:t>
      </w:r>
    </w:p>
    <w:p w14:paraId="559ED81B" w14:textId="77777777" w:rsidR="00B2442D" w:rsidRDefault="00B2442D">
      <w:pPr>
        <w:jc w:val="both"/>
        <w:rPr>
          <w:rFonts w:ascii="Arial" w:hAnsi="Arial" w:cs="Arial"/>
          <w:i/>
          <w:lang w:val="es-CO"/>
        </w:rPr>
      </w:pPr>
    </w:p>
    <w:p w14:paraId="49D56C56" w14:textId="77777777" w:rsidR="00B2442D" w:rsidRDefault="008A645F">
      <w:pPr>
        <w:jc w:val="both"/>
        <w:rPr>
          <w:rFonts w:ascii="Arial" w:hAnsi="Arial" w:cs="Arial"/>
          <w:i/>
          <w:lang w:val="es-CO"/>
        </w:rPr>
      </w:pPr>
      <w:r>
        <w:rPr>
          <w:rFonts w:ascii="Arial" w:hAnsi="Arial" w:cs="Arial"/>
          <w:i/>
          <w:lang w:val="es-CO"/>
        </w:rPr>
        <w:t>(Art. 7,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w:t>
      </w:r>
      <w:r>
        <w:rPr>
          <w:rFonts w:ascii="Arial" w:hAnsi="Arial" w:cs="Arial"/>
          <w:i/>
          <w:lang w:val="es-CO"/>
        </w:rPr>
        <w:t xml:space="preserve"> sean contrarias. Art. 45, Decreto 700 de 1997)</w:t>
      </w:r>
    </w:p>
    <w:p w14:paraId="1BA9ED18" w14:textId="77777777" w:rsidR="00B2442D" w:rsidRDefault="00B2442D">
      <w:pPr>
        <w:jc w:val="both"/>
        <w:rPr>
          <w:rFonts w:ascii="Arial" w:hAnsi="Arial" w:cs="Arial"/>
          <w:lang w:val="es-CO"/>
        </w:rPr>
      </w:pPr>
    </w:p>
    <w:p w14:paraId="60F980F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 de intereses anticipados a no autorretenedores.</w:t>
      </w:r>
      <w:r>
        <w:rPr>
          <w:rFonts w:ascii="Arial" w:hAnsi="Arial" w:cs="Arial"/>
          <w:lang w:val="es-CO"/>
        </w:rPr>
        <w:t xml:space="preserve"> Cuando el emisor realice un pago o abono en cuenta por concepto de intereses anticipados, en favor de un contribuyente del impuesto sobre la renta y comp</w:t>
      </w:r>
      <w:r>
        <w:rPr>
          <w:rFonts w:ascii="Arial" w:hAnsi="Arial" w:cs="Arial"/>
          <w:lang w:val="es-CO"/>
        </w:rPr>
        <w:t>lementario, que estando sujeto a retención en la fuente por este concepto no tenga la calidad de agente autorretenedor de rendimientos financieros, la retención en la fuente deberá ser realizada por el emisor o administrador de la emisión que realiza el pa</w:t>
      </w:r>
      <w:r>
        <w:rPr>
          <w:rFonts w:ascii="Arial" w:hAnsi="Arial" w:cs="Arial"/>
          <w:lang w:val="es-CO"/>
        </w:rPr>
        <w:t>go o abono en cuenta, sobre el valor total de los intereses anticipados pagados o abonados en cuenta por el período de rendimiento.</w:t>
      </w:r>
    </w:p>
    <w:p w14:paraId="5ED670DB" w14:textId="77777777" w:rsidR="00B2442D" w:rsidRDefault="00B2442D">
      <w:pPr>
        <w:jc w:val="both"/>
        <w:rPr>
          <w:rFonts w:ascii="Arial" w:hAnsi="Arial" w:cs="Arial"/>
          <w:i/>
          <w:lang w:val="es-CO"/>
        </w:rPr>
      </w:pPr>
    </w:p>
    <w:p w14:paraId="63B46091" w14:textId="77777777" w:rsidR="00B2442D" w:rsidRDefault="008A645F">
      <w:pPr>
        <w:jc w:val="both"/>
        <w:rPr>
          <w:rFonts w:ascii="Arial" w:hAnsi="Arial" w:cs="Arial"/>
          <w:i/>
          <w:lang w:val="es-CO"/>
        </w:rPr>
      </w:pPr>
      <w:r>
        <w:rPr>
          <w:rFonts w:ascii="Arial" w:hAnsi="Arial" w:cs="Arial"/>
          <w:i/>
          <w:lang w:val="es-CO"/>
        </w:rPr>
        <w:t>(Art. 8, Decreto 700 de 1997)</w:t>
      </w:r>
      <w:r>
        <w:rPr>
          <w:rFonts w:ascii="Arial" w:hAnsi="Arial" w:cs="Arial"/>
        </w:rPr>
        <w:t xml:space="preserve"> </w:t>
      </w:r>
      <w:r>
        <w:rPr>
          <w:rFonts w:ascii="Arial" w:hAnsi="Arial" w:cs="Arial"/>
          <w:i/>
          <w:lang w:val="es-CO"/>
        </w:rPr>
        <w:t>(El Decreto 700 de 1997 rige a partir del 1° de abril de 1997 y deroga los Decretos 1960 y 23</w:t>
      </w:r>
      <w:r>
        <w:rPr>
          <w:rFonts w:ascii="Arial" w:hAnsi="Arial" w:cs="Arial"/>
          <w:i/>
          <w:lang w:val="es-CO"/>
        </w:rPr>
        <w:t>60 de 1996, y las demás disposiciones que le sean contrarias. Art. 45, Decreto 700 de 1997)</w:t>
      </w:r>
    </w:p>
    <w:p w14:paraId="19E980CE" w14:textId="77777777" w:rsidR="00B2442D" w:rsidRDefault="00B2442D">
      <w:pPr>
        <w:jc w:val="both"/>
        <w:rPr>
          <w:rFonts w:ascii="Arial" w:hAnsi="Arial" w:cs="Arial"/>
          <w:lang w:val="es-CO"/>
        </w:rPr>
      </w:pPr>
    </w:p>
    <w:p w14:paraId="2DFF286B"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Negociación en bolsa de valores de títulos con rendimientos anticipados.</w:t>
      </w:r>
      <w:r>
        <w:rPr>
          <w:rFonts w:ascii="Arial" w:hAnsi="Arial" w:cs="Arial"/>
          <w:lang w:val="es-CO"/>
        </w:rPr>
        <w:t xml:space="preserve"> Cuando un contribuyente del impuesto sobre la renta y complementario, que estando sujeto </w:t>
      </w:r>
      <w:r>
        <w:rPr>
          <w:rFonts w:ascii="Arial" w:hAnsi="Arial" w:cs="Arial"/>
          <w:lang w:val="es-CO"/>
        </w:rPr>
        <w:t>a retención en la fuente, no tenga la calidad de agente autorretenedor de rendimientos financieros, adquiera a través de una bolsa de valores, un título con descuento o intereses anticipados, cuyos rendimientos no cuenten con la constancia sobre valores re</w:t>
      </w:r>
      <w:r>
        <w:rPr>
          <w:rFonts w:ascii="Arial" w:hAnsi="Arial" w:cs="Arial"/>
          <w:lang w:val="es-CO"/>
        </w:rPr>
        <w:t>tenidos por el periodo de rendimientos en el cual se adquiere, la bolsa de valores al momento de efectuar el pago a nombre o por cuenta del adquirente, a través de la respectiva compensación, deberá practicar la correspondiente retención en la fuente, sobr</w:t>
      </w:r>
      <w:r>
        <w:rPr>
          <w:rFonts w:ascii="Arial" w:hAnsi="Arial" w:cs="Arial"/>
          <w:lang w:val="es-CO"/>
        </w:rPr>
        <w:t xml:space="preserve">e la diferencia positiva entre el valor nominal del título y el precio de registro. </w:t>
      </w:r>
    </w:p>
    <w:p w14:paraId="30BE5296" w14:textId="77777777" w:rsidR="00B2442D" w:rsidRDefault="00B2442D">
      <w:pPr>
        <w:jc w:val="both"/>
        <w:rPr>
          <w:rFonts w:ascii="Arial" w:hAnsi="Arial" w:cs="Arial"/>
          <w:lang w:val="es-CO"/>
        </w:rPr>
      </w:pPr>
    </w:p>
    <w:p w14:paraId="1073036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título sea redimible por un valor superior al nominal, este exceso se agregará a la base sobre la cual debe practicarse la retención.</w:t>
      </w:r>
    </w:p>
    <w:p w14:paraId="275782FB" w14:textId="77777777" w:rsidR="00B2442D" w:rsidRDefault="00B2442D">
      <w:pPr>
        <w:jc w:val="both"/>
        <w:rPr>
          <w:rFonts w:ascii="Arial" w:hAnsi="Arial" w:cs="Arial"/>
          <w:i/>
          <w:lang w:val="es-CO"/>
        </w:rPr>
      </w:pPr>
    </w:p>
    <w:p w14:paraId="63489FDD" w14:textId="77777777" w:rsidR="00B2442D" w:rsidRDefault="008A645F">
      <w:pPr>
        <w:jc w:val="both"/>
        <w:rPr>
          <w:rFonts w:ascii="Arial" w:hAnsi="Arial" w:cs="Arial"/>
          <w:i/>
          <w:lang w:val="es-CO"/>
        </w:rPr>
      </w:pPr>
      <w:r>
        <w:rPr>
          <w:rFonts w:ascii="Arial" w:hAnsi="Arial" w:cs="Arial"/>
          <w:i/>
          <w:lang w:val="es-CO"/>
        </w:rPr>
        <w:t>(Art. 9, Decre</w:t>
      </w:r>
      <w:r>
        <w:rPr>
          <w:rFonts w:ascii="Arial" w:hAnsi="Arial" w:cs="Arial"/>
          <w:i/>
          <w:lang w:val="es-CO"/>
        </w:rPr>
        <w:t>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7429C277" w14:textId="77777777" w:rsidR="00B2442D" w:rsidRDefault="00B2442D">
      <w:pPr>
        <w:jc w:val="both"/>
        <w:rPr>
          <w:rFonts w:ascii="Arial" w:hAnsi="Arial" w:cs="Arial"/>
          <w:lang w:val="es-CO"/>
        </w:rPr>
      </w:pPr>
    </w:p>
    <w:p w14:paraId="01163FA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Ajustes de autorretenciones en las enajenaciones de títulos de rendimientos anticipados.</w:t>
      </w:r>
      <w:r>
        <w:rPr>
          <w:rFonts w:ascii="Arial" w:hAnsi="Arial" w:cs="Arial"/>
          <w:i/>
          <w:lang w:val="es-CO"/>
        </w:rPr>
        <w:t xml:space="preserve"> </w:t>
      </w:r>
      <w:r>
        <w:rPr>
          <w:rFonts w:ascii="Arial" w:hAnsi="Arial" w:cs="Arial"/>
          <w:lang w:val="es-CO"/>
        </w:rPr>
        <w:t>Cuando se enajene un título cuyos descuentos o intereses anticipados hayan estado sometidos a la retención en la fuente mediante el mecanismo de la autorretención por</w:t>
      </w:r>
      <w:r>
        <w:rPr>
          <w:rFonts w:ascii="Arial" w:hAnsi="Arial" w:cs="Arial"/>
          <w:lang w:val="es-CO"/>
        </w:rPr>
        <w:t xml:space="preserve"> parte del enajenante, este deberá practicarse adicionalmente la retención en la fuente por concepto del rendimiento financiero que resulte a su favor en la enajenación del título, de acuerdo a las siguientes reglas:</w:t>
      </w:r>
    </w:p>
    <w:p w14:paraId="4D93A249" w14:textId="77777777" w:rsidR="00B2442D" w:rsidRDefault="00B2442D">
      <w:pPr>
        <w:jc w:val="both"/>
        <w:rPr>
          <w:rFonts w:ascii="Arial" w:hAnsi="Arial" w:cs="Arial"/>
          <w:lang w:val="es-CO"/>
        </w:rPr>
      </w:pPr>
    </w:p>
    <w:p w14:paraId="33C59719" w14:textId="77777777" w:rsidR="00B2442D" w:rsidRDefault="008A645F">
      <w:pPr>
        <w:jc w:val="both"/>
        <w:rPr>
          <w:rFonts w:ascii="Arial" w:hAnsi="Arial" w:cs="Arial"/>
          <w:lang w:val="es-CO"/>
        </w:rPr>
      </w:pPr>
      <w:r>
        <w:rPr>
          <w:rFonts w:ascii="Arial" w:hAnsi="Arial" w:cs="Arial"/>
          <w:lang w:val="es-CO"/>
        </w:rPr>
        <w:t>1. Tratándose de títulos con descuento</w:t>
      </w:r>
      <w:r>
        <w:rPr>
          <w:rFonts w:ascii="Arial" w:hAnsi="Arial" w:cs="Arial"/>
          <w:lang w:val="es-CO"/>
        </w:rPr>
        <w:t xml:space="preserve"> sin pagos periódicos anticipados de intereses o de títulos que no generan un costo financiero para el emisor adquiridos al descuento:</w:t>
      </w:r>
    </w:p>
    <w:p w14:paraId="3E427173" w14:textId="77777777" w:rsidR="00B2442D" w:rsidRDefault="00B2442D">
      <w:pPr>
        <w:jc w:val="both"/>
        <w:rPr>
          <w:rFonts w:ascii="Arial" w:hAnsi="Arial" w:cs="Arial"/>
          <w:lang w:val="es-CO"/>
        </w:rPr>
      </w:pPr>
    </w:p>
    <w:p w14:paraId="16071AAD" w14:textId="77777777" w:rsidR="00B2442D" w:rsidRDefault="008A645F">
      <w:pPr>
        <w:jc w:val="both"/>
        <w:rPr>
          <w:rFonts w:ascii="Arial" w:hAnsi="Arial" w:cs="Arial"/>
          <w:lang w:val="es-CO"/>
        </w:rPr>
      </w:pPr>
      <w:r>
        <w:rPr>
          <w:rFonts w:ascii="Arial" w:hAnsi="Arial" w:cs="Arial"/>
          <w:lang w:val="es-CO"/>
        </w:rPr>
        <w:t>Sobre el valor de la diferencia positiva entre el precio de enajenación y el resultado que se obtenga de adicionar al pr</w:t>
      </w:r>
      <w:r>
        <w:rPr>
          <w:rFonts w:ascii="Arial" w:hAnsi="Arial" w:cs="Arial"/>
          <w:lang w:val="es-CO"/>
        </w:rPr>
        <w:t>ecio de compra del título, los rendimientos causados linealmente desde la fecha de su adquisición hasta la fecha de enajenación.</w:t>
      </w:r>
    </w:p>
    <w:p w14:paraId="299726C8" w14:textId="77777777" w:rsidR="00B2442D" w:rsidRDefault="00B2442D">
      <w:pPr>
        <w:jc w:val="both"/>
        <w:rPr>
          <w:rFonts w:ascii="Arial" w:hAnsi="Arial" w:cs="Arial"/>
          <w:lang w:val="es-CO"/>
        </w:rPr>
      </w:pPr>
    </w:p>
    <w:p w14:paraId="26B78885" w14:textId="77777777" w:rsidR="00B2442D" w:rsidRDefault="008A645F">
      <w:pPr>
        <w:jc w:val="both"/>
        <w:rPr>
          <w:rFonts w:ascii="Arial" w:hAnsi="Arial" w:cs="Arial"/>
          <w:lang w:val="es-CO"/>
        </w:rPr>
      </w:pPr>
      <w:r>
        <w:rPr>
          <w:rFonts w:ascii="Arial" w:hAnsi="Arial" w:cs="Arial"/>
          <w:lang w:val="es-CO"/>
        </w:rPr>
        <w:t>Para estos efectos, los rendimientos causados linealmente por el título desde su adquisición hasta su enajenación, se determin</w:t>
      </w:r>
      <w:r>
        <w:rPr>
          <w:rFonts w:ascii="Arial" w:hAnsi="Arial" w:cs="Arial"/>
          <w:lang w:val="es-CO"/>
        </w:rPr>
        <w:t>arán por la diferencia positiva entre el valor nominal del título y el precio de compra del mismo, dividida esta diferencia por el número de días al vencimiento contados a partir de su adquisición, y multiplicado este resultado, por el número de días de te</w:t>
      </w:r>
      <w:r>
        <w:rPr>
          <w:rFonts w:ascii="Arial" w:hAnsi="Arial" w:cs="Arial"/>
          <w:lang w:val="es-CO"/>
        </w:rPr>
        <w:t>nencia del título desde su adquisición hasta su enajenación.</w:t>
      </w:r>
    </w:p>
    <w:p w14:paraId="69FD2331" w14:textId="77777777" w:rsidR="00B2442D" w:rsidRDefault="00B2442D">
      <w:pPr>
        <w:jc w:val="both"/>
        <w:rPr>
          <w:rFonts w:ascii="Arial" w:hAnsi="Arial" w:cs="Arial"/>
          <w:lang w:val="es-CO"/>
        </w:rPr>
      </w:pPr>
    </w:p>
    <w:p w14:paraId="2F3BF694" w14:textId="77777777" w:rsidR="00B2442D" w:rsidRDefault="008A645F">
      <w:pPr>
        <w:jc w:val="both"/>
        <w:rPr>
          <w:rFonts w:ascii="Arial" w:hAnsi="Arial" w:cs="Arial"/>
          <w:lang w:val="es-CO"/>
        </w:rPr>
      </w:pPr>
      <w:r>
        <w:rPr>
          <w:rFonts w:ascii="Arial" w:hAnsi="Arial" w:cs="Arial"/>
          <w:lang w:val="es-CO"/>
        </w:rPr>
        <w:t>2. Tratándose de títulos con pagos periódicos anticipados de intereses:</w:t>
      </w:r>
    </w:p>
    <w:p w14:paraId="2A6F5532" w14:textId="77777777" w:rsidR="00B2442D" w:rsidRDefault="00B2442D">
      <w:pPr>
        <w:jc w:val="both"/>
        <w:rPr>
          <w:rFonts w:ascii="Arial" w:hAnsi="Arial" w:cs="Arial"/>
          <w:lang w:val="es-CO"/>
        </w:rPr>
      </w:pPr>
    </w:p>
    <w:p w14:paraId="0C24394E" w14:textId="77777777" w:rsidR="00B2442D" w:rsidRDefault="008A645F">
      <w:pPr>
        <w:jc w:val="both"/>
        <w:rPr>
          <w:rFonts w:ascii="Arial" w:hAnsi="Arial" w:cs="Arial"/>
          <w:lang w:val="es-CO"/>
        </w:rPr>
      </w:pPr>
      <w:r>
        <w:rPr>
          <w:rFonts w:ascii="Arial" w:hAnsi="Arial" w:cs="Arial"/>
          <w:lang w:val="es-CO"/>
        </w:rPr>
        <w:t>a) Cuando la enajenación se realiza durante el primer período de rendimientos para el tenedor del título: sobre la difere</w:t>
      </w:r>
      <w:r>
        <w:rPr>
          <w:rFonts w:ascii="Arial" w:hAnsi="Arial" w:cs="Arial"/>
          <w:lang w:val="es-CO"/>
        </w:rPr>
        <w:t>ncia positiva entre el precio de enajenación y el resultado que se obtenga de adicionar al precio de compra del título, los rendimientos causados linealmente desde su adquisición hasta la fecha de enajenación.</w:t>
      </w:r>
    </w:p>
    <w:p w14:paraId="64B72C84" w14:textId="77777777" w:rsidR="00B2442D" w:rsidRDefault="00B2442D">
      <w:pPr>
        <w:jc w:val="both"/>
        <w:rPr>
          <w:rFonts w:ascii="Arial" w:hAnsi="Arial" w:cs="Arial"/>
          <w:lang w:val="es-CO"/>
        </w:rPr>
      </w:pPr>
    </w:p>
    <w:p w14:paraId="6233B338" w14:textId="77777777" w:rsidR="00B2442D" w:rsidRDefault="008A645F">
      <w:pPr>
        <w:jc w:val="both"/>
        <w:rPr>
          <w:rFonts w:ascii="Arial" w:hAnsi="Arial" w:cs="Arial"/>
          <w:lang w:val="es-CO"/>
        </w:rPr>
      </w:pPr>
      <w:r>
        <w:rPr>
          <w:rFonts w:ascii="Arial" w:hAnsi="Arial" w:cs="Arial"/>
          <w:lang w:val="es-CO"/>
        </w:rPr>
        <w:t xml:space="preserve">Para estos efectos, los intereses </w:t>
      </w:r>
      <w:r>
        <w:rPr>
          <w:rFonts w:ascii="Arial" w:hAnsi="Arial" w:cs="Arial"/>
          <w:lang w:val="es-CO"/>
        </w:rPr>
        <w:t>causados linealmente por el título desde su adquisición hasta su enajenación, se determinan por la diferencia positiva entre el valor nominal del título y el precio de compra del mismo, dividida por el número de días al próximo pago de intereses o al venci</w:t>
      </w:r>
      <w:r>
        <w:rPr>
          <w:rFonts w:ascii="Arial" w:hAnsi="Arial" w:cs="Arial"/>
          <w:lang w:val="es-CO"/>
        </w:rPr>
        <w:t>miento si se trata del último período, ambos contados a partir de su adquisición, y multiplicado este resultado por el número de días de tenencia del título a partir de su adquisición hasta su enajenación;</w:t>
      </w:r>
    </w:p>
    <w:p w14:paraId="746F616E" w14:textId="77777777" w:rsidR="00B2442D" w:rsidRDefault="00B2442D">
      <w:pPr>
        <w:jc w:val="both"/>
        <w:rPr>
          <w:rFonts w:ascii="Arial" w:hAnsi="Arial" w:cs="Arial"/>
          <w:lang w:val="es-CO"/>
        </w:rPr>
      </w:pPr>
    </w:p>
    <w:p w14:paraId="6FF99CFD" w14:textId="77777777" w:rsidR="00B2442D" w:rsidRDefault="008A645F">
      <w:pPr>
        <w:jc w:val="both"/>
        <w:rPr>
          <w:rFonts w:ascii="Arial" w:hAnsi="Arial" w:cs="Arial"/>
          <w:lang w:val="es-CO"/>
        </w:rPr>
      </w:pPr>
      <w:r>
        <w:rPr>
          <w:rFonts w:ascii="Arial" w:hAnsi="Arial" w:cs="Arial"/>
          <w:lang w:val="es-CO"/>
        </w:rPr>
        <w:t>b) Cuando la enajenación se realiza durante algun</w:t>
      </w:r>
      <w:r>
        <w:rPr>
          <w:rFonts w:ascii="Arial" w:hAnsi="Arial" w:cs="Arial"/>
          <w:lang w:val="es-CO"/>
        </w:rPr>
        <w:t xml:space="preserve">o de los siguientes períodos de rendimientos para el tenedor del título: sobre la diferencia positiva entre el precio de enajenación y el resultado que se obtenga de adicionar al valor nominal del título, los intereses causados linealmente desde el último </w:t>
      </w:r>
      <w:r>
        <w:rPr>
          <w:rFonts w:ascii="Arial" w:hAnsi="Arial" w:cs="Arial"/>
          <w:lang w:val="es-CO"/>
        </w:rPr>
        <w:t>pago de intereses hasta la enajenación del título y restar los intereses pagados al inicio del período.</w:t>
      </w:r>
    </w:p>
    <w:p w14:paraId="560882A1" w14:textId="77777777" w:rsidR="00B2442D" w:rsidRDefault="00B2442D">
      <w:pPr>
        <w:jc w:val="both"/>
        <w:rPr>
          <w:rFonts w:ascii="Arial" w:hAnsi="Arial" w:cs="Arial"/>
          <w:lang w:val="es-CO"/>
        </w:rPr>
      </w:pPr>
    </w:p>
    <w:p w14:paraId="1F8849E9" w14:textId="77777777" w:rsidR="00B2442D" w:rsidRDefault="008A645F">
      <w:pPr>
        <w:jc w:val="both"/>
        <w:rPr>
          <w:rFonts w:ascii="Arial" w:hAnsi="Arial" w:cs="Arial"/>
          <w:lang w:val="es-CO"/>
        </w:rPr>
      </w:pPr>
      <w:r>
        <w:rPr>
          <w:rFonts w:ascii="Arial" w:hAnsi="Arial" w:cs="Arial"/>
          <w:lang w:val="es-CO"/>
        </w:rPr>
        <w:t>Para estos efectos, los intereses causados linealmente por el título desde el último pago de intereses hasta el momento la enajenación del título, corr</w:t>
      </w:r>
      <w:r>
        <w:rPr>
          <w:rFonts w:ascii="Arial" w:hAnsi="Arial" w:cs="Arial"/>
          <w:lang w:val="es-CO"/>
        </w:rPr>
        <w:t>esponden al valor total de los intereses del período a la tasa facial del título, dividida por el número de días de dicho período, y multiplicado este resultado, por el número de días de tenencia del título, desde el último pago de intereses hasta la fecha</w:t>
      </w:r>
      <w:r>
        <w:rPr>
          <w:rFonts w:ascii="Arial" w:hAnsi="Arial" w:cs="Arial"/>
          <w:lang w:val="es-CO"/>
        </w:rPr>
        <w:t xml:space="preserve"> de enajenación</w:t>
      </w:r>
    </w:p>
    <w:p w14:paraId="4A8826F1" w14:textId="77777777" w:rsidR="00B2442D" w:rsidRDefault="00B2442D">
      <w:pPr>
        <w:jc w:val="both"/>
        <w:rPr>
          <w:rFonts w:ascii="Arial" w:hAnsi="Arial" w:cs="Arial"/>
          <w:lang w:val="es-CO"/>
        </w:rPr>
      </w:pPr>
    </w:p>
    <w:p w14:paraId="644AC756"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Si el valor total de las diferencias determinadas conforme a lo dispuesto en el presente artículo, resulta negativo, el enajenante, podrá debitar de la cuenta retenciones por consignar el valor de la retención en la fuente cor</w:t>
      </w:r>
      <w:r>
        <w:rPr>
          <w:rFonts w:ascii="Arial" w:hAnsi="Arial" w:cs="Arial"/>
          <w:lang w:val="es-CO"/>
        </w:rPr>
        <w:t>respondiente a dicha diferencia.</w:t>
      </w:r>
    </w:p>
    <w:p w14:paraId="23CE1BA4" w14:textId="77777777" w:rsidR="00B2442D" w:rsidRDefault="00B2442D">
      <w:pPr>
        <w:jc w:val="both"/>
        <w:rPr>
          <w:rFonts w:ascii="Arial" w:hAnsi="Arial" w:cs="Arial"/>
          <w:lang w:val="es-CO"/>
        </w:rPr>
      </w:pPr>
    </w:p>
    <w:p w14:paraId="35071D8C" w14:textId="77777777" w:rsidR="00B2442D" w:rsidRDefault="008A645F">
      <w:pPr>
        <w:jc w:val="both"/>
        <w:rPr>
          <w:rFonts w:ascii="Arial" w:hAnsi="Arial" w:cs="Arial"/>
          <w:lang w:val="es-CO"/>
        </w:rPr>
      </w:pPr>
      <w:r>
        <w:rPr>
          <w:rFonts w:ascii="Arial" w:hAnsi="Arial" w:cs="Arial"/>
          <w:lang w:val="es-CO"/>
        </w:rPr>
        <w:t xml:space="preserve">El agente autorretenedor deberá conservar los documentos que soporten cada débito que realice a la cuenta de retenciones por consignar, para ser presentados ante la Administración de Impuestos y Aduanas Nacionales, cuando </w:t>
      </w:r>
      <w:r>
        <w:rPr>
          <w:rFonts w:ascii="Arial" w:hAnsi="Arial" w:cs="Arial"/>
          <w:lang w:val="es-CO"/>
        </w:rPr>
        <w:t>esta lo exija.</w:t>
      </w:r>
    </w:p>
    <w:p w14:paraId="6D055BD3" w14:textId="77777777" w:rsidR="00B2442D" w:rsidRDefault="00B2442D">
      <w:pPr>
        <w:jc w:val="both"/>
        <w:rPr>
          <w:rFonts w:ascii="Arial" w:hAnsi="Arial" w:cs="Arial"/>
          <w:lang w:val="es-CO"/>
        </w:rPr>
      </w:pPr>
    </w:p>
    <w:p w14:paraId="01A090F0"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la transacción se realice a través de una bolsa de valores, se entenderá como precio de enajenación, el precio de registro.</w:t>
      </w:r>
    </w:p>
    <w:p w14:paraId="07E4EE3B" w14:textId="77777777" w:rsidR="00B2442D" w:rsidRDefault="00B2442D">
      <w:pPr>
        <w:jc w:val="both"/>
        <w:rPr>
          <w:rFonts w:ascii="Arial" w:hAnsi="Arial" w:cs="Arial"/>
          <w:i/>
          <w:lang w:val="es-CO"/>
        </w:rPr>
      </w:pPr>
    </w:p>
    <w:p w14:paraId="7493F2E5" w14:textId="77777777" w:rsidR="00B2442D" w:rsidRDefault="008A645F">
      <w:pPr>
        <w:jc w:val="both"/>
        <w:rPr>
          <w:rFonts w:ascii="Arial" w:hAnsi="Arial" w:cs="Arial"/>
          <w:i/>
          <w:lang w:val="es-CO"/>
        </w:rPr>
      </w:pPr>
      <w:r>
        <w:rPr>
          <w:rFonts w:ascii="Arial" w:hAnsi="Arial" w:cs="Arial"/>
          <w:i/>
          <w:lang w:val="es-CO"/>
        </w:rPr>
        <w:t>(Art. 10, Decreto 700 de 1997)</w:t>
      </w:r>
      <w:r>
        <w:rPr>
          <w:rFonts w:ascii="Arial" w:hAnsi="Arial" w:cs="Arial"/>
        </w:rPr>
        <w:t xml:space="preserve"> </w:t>
      </w:r>
      <w:r>
        <w:rPr>
          <w:rFonts w:ascii="Arial" w:hAnsi="Arial" w:cs="Arial"/>
          <w:i/>
          <w:lang w:val="es-CO"/>
        </w:rPr>
        <w:t xml:space="preserve">(El Decreto 700 de 1997 rige a partir del 1° de abril de 1997 y </w:t>
      </w:r>
      <w:r>
        <w:rPr>
          <w:rFonts w:ascii="Arial" w:hAnsi="Arial" w:cs="Arial"/>
          <w:i/>
          <w:lang w:val="es-CO"/>
        </w:rPr>
        <w:t>deroga los Decretos 1960 y 2360 de 1996, y las demás disposiciones que le sean contrarias. Art. 45, Decreto 700 de 1997)</w:t>
      </w:r>
    </w:p>
    <w:p w14:paraId="6ADA4000" w14:textId="77777777" w:rsidR="00B2442D" w:rsidRDefault="00B2442D">
      <w:pPr>
        <w:jc w:val="both"/>
        <w:rPr>
          <w:rFonts w:ascii="Arial" w:hAnsi="Arial" w:cs="Arial"/>
          <w:lang w:val="es-CO"/>
        </w:rPr>
      </w:pPr>
    </w:p>
    <w:p w14:paraId="51D62B8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Ajustes de autorretenciones en la adquisición de títulos de rendimientos anticipados.</w:t>
      </w:r>
      <w:r>
        <w:rPr>
          <w:rFonts w:ascii="Arial" w:hAnsi="Arial" w:cs="Arial"/>
          <w:lang w:val="es-CO"/>
        </w:rPr>
        <w:t xml:space="preserve"> Cuando un agente autorretenedor de rendimientos</w:t>
      </w:r>
      <w:r>
        <w:rPr>
          <w:rFonts w:ascii="Arial" w:hAnsi="Arial" w:cs="Arial"/>
          <w:lang w:val="es-CO"/>
        </w:rPr>
        <w:t xml:space="preserve"> financieros, adquiera por un valor superior al nominal, un título con pagos periódicos de intereses anticipados, debitará de la cuenta retenciones por consignar, el valor de la retención en la fuente correspondiente a la diferencia negativa entre el valor</w:t>
      </w:r>
      <w:r>
        <w:rPr>
          <w:rFonts w:ascii="Arial" w:hAnsi="Arial" w:cs="Arial"/>
          <w:lang w:val="es-CO"/>
        </w:rPr>
        <w:t xml:space="preserve"> nominal del título y el precio de compra, o el precio de registro si la transacción se realiza a través de una bolsa de valores.</w:t>
      </w:r>
    </w:p>
    <w:p w14:paraId="20508055" w14:textId="77777777" w:rsidR="00B2442D" w:rsidRDefault="00B2442D">
      <w:pPr>
        <w:jc w:val="both"/>
        <w:rPr>
          <w:rFonts w:ascii="Arial" w:hAnsi="Arial" w:cs="Arial"/>
          <w:lang w:val="es-CO"/>
        </w:rPr>
      </w:pPr>
    </w:p>
    <w:p w14:paraId="4B580FC0" w14:textId="77777777" w:rsidR="00B2442D" w:rsidRDefault="008A645F">
      <w:pPr>
        <w:jc w:val="both"/>
        <w:rPr>
          <w:rFonts w:ascii="Arial" w:hAnsi="Arial" w:cs="Arial"/>
          <w:lang w:val="es-CO"/>
        </w:rPr>
      </w:pPr>
      <w:r>
        <w:rPr>
          <w:rFonts w:ascii="Arial" w:hAnsi="Arial" w:cs="Arial"/>
          <w:lang w:val="es-CO"/>
        </w:rPr>
        <w:t xml:space="preserve">A partir del primer mes del siguiente período de rendimientos para el tenedor del título, se practicará la </w:t>
      </w:r>
      <w:r>
        <w:rPr>
          <w:rFonts w:ascii="Arial" w:hAnsi="Arial" w:cs="Arial"/>
          <w:lang w:val="es-CO"/>
        </w:rPr>
        <w:t>autorretención en la fuente de conformidad con lo dispuesto en el literal b) del numeral 2° del artículo 1.2.4.2.13 del presente decreto.</w:t>
      </w:r>
    </w:p>
    <w:p w14:paraId="0C610E8C" w14:textId="77777777" w:rsidR="00B2442D" w:rsidRDefault="00B2442D">
      <w:pPr>
        <w:jc w:val="both"/>
        <w:rPr>
          <w:rFonts w:ascii="Arial" w:hAnsi="Arial" w:cs="Arial"/>
          <w:lang w:val="es-CO"/>
        </w:rPr>
      </w:pPr>
    </w:p>
    <w:p w14:paraId="0277C384" w14:textId="77777777" w:rsidR="00B2442D" w:rsidRDefault="008A645F">
      <w:pPr>
        <w:jc w:val="both"/>
        <w:rPr>
          <w:rFonts w:ascii="Arial" w:hAnsi="Arial" w:cs="Arial"/>
          <w:lang w:val="es-CO"/>
        </w:rPr>
      </w:pPr>
      <w:r>
        <w:rPr>
          <w:rFonts w:ascii="Arial" w:hAnsi="Arial" w:cs="Arial"/>
          <w:lang w:val="es-CO"/>
        </w:rPr>
        <w:t>El agente autorretenedor deberá conservar los documentos que soporten cada débito que realice a la cuenta de retencio</w:t>
      </w:r>
      <w:r>
        <w:rPr>
          <w:rFonts w:ascii="Arial" w:hAnsi="Arial" w:cs="Arial"/>
          <w:lang w:val="es-CO"/>
        </w:rPr>
        <w:t>nes por consignar, para ser presentados ante la administración de Impuestos y Aduanas Nacionales, cuando esta lo exija.</w:t>
      </w:r>
    </w:p>
    <w:p w14:paraId="47944A56" w14:textId="77777777" w:rsidR="00B2442D" w:rsidRDefault="00B2442D">
      <w:pPr>
        <w:jc w:val="both"/>
        <w:rPr>
          <w:rFonts w:ascii="Arial" w:hAnsi="Arial" w:cs="Arial"/>
          <w:i/>
          <w:lang w:val="es-CO"/>
        </w:rPr>
      </w:pPr>
    </w:p>
    <w:p w14:paraId="1EF4A59B" w14:textId="77777777" w:rsidR="00B2442D" w:rsidRDefault="008A645F">
      <w:pPr>
        <w:jc w:val="both"/>
        <w:rPr>
          <w:rFonts w:ascii="Arial" w:hAnsi="Arial" w:cs="Arial"/>
          <w:i/>
          <w:lang w:val="es-CO"/>
        </w:rPr>
      </w:pPr>
      <w:r>
        <w:rPr>
          <w:rFonts w:ascii="Arial" w:hAnsi="Arial" w:cs="Arial"/>
          <w:i/>
          <w:lang w:val="es-CO"/>
        </w:rPr>
        <w:t>(Art. 11,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w:t>
      </w:r>
      <w:r>
        <w:rPr>
          <w:rFonts w:ascii="Arial" w:hAnsi="Arial" w:cs="Arial"/>
          <w:i/>
          <w:lang w:val="es-CO"/>
        </w:rPr>
        <w:t xml:space="preserve"> y las demás disposiciones que le sean contrarias. Art. 45, Decreto 700 de 1997)</w:t>
      </w:r>
    </w:p>
    <w:p w14:paraId="2A81E60E" w14:textId="77777777" w:rsidR="00B2442D" w:rsidRDefault="00B2442D">
      <w:pPr>
        <w:jc w:val="both"/>
        <w:rPr>
          <w:rFonts w:ascii="Arial" w:hAnsi="Arial" w:cs="Arial"/>
          <w:lang w:val="es-CO"/>
        </w:rPr>
      </w:pPr>
    </w:p>
    <w:p w14:paraId="54636A2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Enajenaciones sucesivas entre no autorretenedores de títulos con rendimientos anticipados.</w:t>
      </w:r>
      <w:r>
        <w:rPr>
          <w:rFonts w:ascii="Arial" w:hAnsi="Arial" w:cs="Arial"/>
          <w:lang w:val="es-CO"/>
        </w:rPr>
        <w:t xml:space="preserve"> En el evento que los rendimientos financieros provenientes de títulos con descuent</w:t>
      </w:r>
      <w:r>
        <w:rPr>
          <w:rFonts w:ascii="Arial" w:hAnsi="Arial" w:cs="Arial"/>
          <w:lang w:val="es-CO"/>
        </w:rPr>
        <w:t>os o intereses anticipados correspondan a varios adquirentes, por producirse enajenaciones sucesivas de los títulos entre contribuyentes que estando sometidos a retención en la fuente, no tengan la calidad de agentes autorretenedores de rendimientos financ</w:t>
      </w:r>
      <w:r>
        <w:rPr>
          <w:rFonts w:ascii="Arial" w:hAnsi="Arial" w:cs="Arial"/>
          <w:lang w:val="es-CO"/>
        </w:rPr>
        <w:t>ieros, debe trasladarse al adquirente junto con el precio de enajenación, el valor de la retención que corresponda al rendimiento no imputable al enajenante durante el periodo de rendimientos en el cual se realiza la enajenación, siempre y cuando los títul</w:t>
      </w:r>
      <w:r>
        <w:rPr>
          <w:rFonts w:ascii="Arial" w:hAnsi="Arial" w:cs="Arial"/>
          <w:lang w:val="es-CO"/>
        </w:rPr>
        <w:t>os cuenten con la constancia sobre valores retenidos por el periodo de causación de rendimientos que está transcurriendo al momento de ser enajenado dicho título.</w:t>
      </w:r>
    </w:p>
    <w:p w14:paraId="04EBFD17" w14:textId="77777777" w:rsidR="00B2442D" w:rsidRDefault="00B2442D">
      <w:pPr>
        <w:jc w:val="both"/>
        <w:rPr>
          <w:rFonts w:ascii="Arial" w:hAnsi="Arial" w:cs="Arial"/>
          <w:lang w:val="es-CO"/>
        </w:rPr>
      </w:pPr>
    </w:p>
    <w:p w14:paraId="6C590131" w14:textId="77777777" w:rsidR="00B2442D" w:rsidRDefault="008A645F">
      <w:pPr>
        <w:jc w:val="both"/>
        <w:rPr>
          <w:rFonts w:ascii="Arial" w:hAnsi="Arial" w:cs="Arial"/>
          <w:lang w:val="es-CO"/>
        </w:rPr>
      </w:pPr>
      <w:r>
        <w:rPr>
          <w:rFonts w:ascii="Arial" w:hAnsi="Arial" w:cs="Arial"/>
          <w:lang w:val="es-CO"/>
        </w:rPr>
        <w:t>El valor de la retención que se traslada corresponde al resultado de aplicar el porcentaje d</w:t>
      </w:r>
      <w:r>
        <w:rPr>
          <w:rFonts w:ascii="Arial" w:hAnsi="Arial" w:cs="Arial"/>
          <w:lang w:val="es-CO"/>
        </w:rPr>
        <w:t>e retención en la fuente del respectivo título sobre la diferencia positiva entre el valor nominal del título y precio de enajenación o precio de registro, si la transacción se realiza a través de una bolsa de valores.</w:t>
      </w:r>
    </w:p>
    <w:p w14:paraId="2D8FAA97" w14:textId="77777777" w:rsidR="00B2442D" w:rsidRDefault="00B2442D">
      <w:pPr>
        <w:jc w:val="both"/>
        <w:rPr>
          <w:rFonts w:ascii="Arial" w:hAnsi="Arial" w:cs="Arial"/>
          <w:lang w:val="es-CO"/>
        </w:rPr>
      </w:pPr>
    </w:p>
    <w:p w14:paraId="7B902B02"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El porcentaje de retenció</w:t>
      </w:r>
      <w:r>
        <w:rPr>
          <w:rFonts w:ascii="Arial" w:hAnsi="Arial" w:cs="Arial"/>
          <w:lang w:val="es-CO"/>
        </w:rPr>
        <w:t xml:space="preserve">n en la fuente del respectivo título será del siete por ciento (7%), (hoy cuatro por ciento (4%)), salvo cuando se trate de títulos colocados con anterioridad a la vigencia del presente decreto, caso en el cual, el porcentaje de retención en la fuente del </w:t>
      </w:r>
      <w:r>
        <w:rPr>
          <w:rFonts w:ascii="Arial" w:hAnsi="Arial" w:cs="Arial"/>
          <w:lang w:val="es-CO"/>
        </w:rPr>
        <w:t>respectivo título, será el consignado en la constancia sobre valores retenidos por el período de causación de rendimiento que está transcurriendo al momento de la enajenación.</w:t>
      </w:r>
    </w:p>
    <w:p w14:paraId="64CEE8DB" w14:textId="77777777" w:rsidR="00B2442D" w:rsidRDefault="00B2442D">
      <w:pPr>
        <w:jc w:val="both"/>
        <w:rPr>
          <w:rFonts w:ascii="Arial" w:hAnsi="Arial" w:cs="Arial"/>
          <w:i/>
          <w:lang w:val="es-CO"/>
        </w:rPr>
      </w:pPr>
    </w:p>
    <w:p w14:paraId="70C80095" w14:textId="77777777" w:rsidR="00B2442D" w:rsidRDefault="008A645F">
      <w:pPr>
        <w:jc w:val="both"/>
        <w:rPr>
          <w:rFonts w:ascii="Arial" w:hAnsi="Arial" w:cs="Arial"/>
          <w:i/>
          <w:lang w:val="es-CO"/>
        </w:rPr>
      </w:pPr>
      <w:r>
        <w:rPr>
          <w:rFonts w:ascii="Arial" w:hAnsi="Arial" w:cs="Arial"/>
          <w:i/>
          <w:lang w:val="es-CO"/>
        </w:rPr>
        <w:t>(Art. 12, Decreto 700 de 1997, ajustada la tarifa por el Art. 3 del Decreto 241</w:t>
      </w:r>
      <w:r>
        <w:rPr>
          <w:rFonts w:ascii="Arial" w:hAnsi="Arial" w:cs="Arial"/>
          <w:i/>
          <w:lang w:val="es-CO"/>
        </w:rPr>
        <w:t>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43CB4AF7" w14:textId="77777777" w:rsidR="00B2442D" w:rsidRDefault="00B2442D">
      <w:pPr>
        <w:jc w:val="both"/>
        <w:rPr>
          <w:rFonts w:ascii="Arial" w:hAnsi="Arial" w:cs="Arial"/>
          <w:lang w:val="es-CO"/>
        </w:rPr>
      </w:pPr>
    </w:p>
    <w:p w14:paraId="6907C2D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Títulos con constancias sobre valores retenidos adquiridos</w:t>
      </w:r>
      <w:r>
        <w:rPr>
          <w:rFonts w:ascii="Arial" w:hAnsi="Arial" w:cs="Arial"/>
          <w:b/>
          <w:i/>
          <w:lang w:val="es-CO"/>
        </w:rPr>
        <w:t xml:space="preserve"> por autorretenedores.</w:t>
      </w:r>
      <w:r>
        <w:rPr>
          <w:rFonts w:ascii="Arial" w:hAnsi="Arial" w:cs="Arial"/>
          <w:lang w:val="es-CO"/>
        </w:rPr>
        <w:t xml:space="preserve"> Cuando se enajene en favor de un agente autorretenedor de rendimientos financieros, un título con descuento o intereses anticipados, que cuente con la respectiva constancia sobre valores retenidos por el período de rendimiento en el </w:t>
      </w:r>
      <w:r>
        <w:rPr>
          <w:rFonts w:ascii="Arial" w:hAnsi="Arial" w:cs="Arial"/>
          <w:lang w:val="es-CO"/>
        </w:rPr>
        <w:t>cual se enajena, se trasladará al agente autorretenedor junto con el precio de enajenación, el valor de la retención que corresponda al rendimiento no imputable al enajenante durante el respectivo período.</w:t>
      </w:r>
    </w:p>
    <w:p w14:paraId="69CB9005" w14:textId="77777777" w:rsidR="00B2442D" w:rsidRDefault="00B2442D">
      <w:pPr>
        <w:jc w:val="both"/>
        <w:rPr>
          <w:rFonts w:ascii="Arial" w:hAnsi="Arial" w:cs="Arial"/>
          <w:lang w:val="es-CO"/>
        </w:rPr>
      </w:pPr>
    </w:p>
    <w:p w14:paraId="4160F3B2" w14:textId="77777777" w:rsidR="00B2442D" w:rsidRDefault="008A645F">
      <w:pPr>
        <w:jc w:val="both"/>
        <w:rPr>
          <w:rFonts w:ascii="Arial" w:hAnsi="Arial" w:cs="Arial"/>
          <w:lang w:val="es-CO"/>
        </w:rPr>
      </w:pPr>
      <w:r>
        <w:rPr>
          <w:rFonts w:ascii="Arial" w:hAnsi="Arial" w:cs="Arial"/>
          <w:lang w:val="es-CO"/>
        </w:rPr>
        <w:t>El valor de la retención que se traslada correspo</w:t>
      </w:r>
      <w:r>
        <w:rPr>
          <w:rFonts w:ascii="Arial" w:hAnsi="Arial" w:cs="Arial"/>
          <w:lang w:val="es-CO"/>
        </w:rPr>
        <w:t>nde al resultado de aplicar la tarifa de retención en la fuente del respectivo título sobre la diferencia positiva entre el valor nominal del título y precio de enajenación o precio de registro, si la transacción se realiza a través de una bolsa de valores</w:t>
      </w:r>
      <w:r>
        <w:rPr>
          <w:rFonts w:ascii="Arial" w:hAnsi="Arial" w:cs="Arial"/>
          <w:lang w:val="es-CO"/>
        </w:rPr>
        <w:t>.</w:t>
      </w:r>
    </w:p>
    <w:p w14:paraId="3F71D260" w14:textId="77777777" w:rsidR="00B2442D" w:rsidRDefault="00B2442D">
      <w:pPr>
        <w:jc w:val="both"/>
        <w:rPr>
          <w:rFonts w:ascii="Arial" w:hAnsi="Arial" w:cs="Arial"/>
          <w:lang w:val="es-CO"/>
        </w:rPr>
      </w:pPr>
    </w:p>
    <w:p w14:paraId="0CA07722" w14:textId="77777777" w:rsidR="00B2442D" w:rsidRDefault="008A645F">
      <w:pPr>
        <w:jc w:val="both"/>
        <w:rPr>
          <w:rFonts w:ascii="Arial" w:hAnsi="Arial" w:cs="Arial"/>
          <w:lang w:val="es-CO"/>
        </w:rPr>
      </w:pPr>
      <w:r>
        <w:rPr>
          <w:rFonts w:ascii="Arial" w:hAnsi="Arial" w:cs="Arial"/>
          <w:lang w:val="es-CO"/>
        </w:rPr>
        <w:t>Si el agente autorretenedor enajena el título durante el primer periodo de rendimientos para él, trasladará la retención en la fuente que corresponda al rendimiento que no le es imputable, de conformidad con lo aquí previsto.</w:t>
      </w:r>
    </w:p>
    <w:p w14:paraId="0307070E" w14:textId="77777777" w:rsidR="00B2442D" w:rsidRDefault="00B2442D">
      <w:pPr>
        <w:jc w:val="both"/>
        <w:rPr>
          <w:rFonts w:ascii="Arial" w:hAnsi="Arial" w:cs="Arial"/>
          <w:lang w:val="es-CO"/>
        </w:rPr>
      </w:pPr>
    </w:p>
    <w:p w14:paraId="3FA6644D" w14:textId="77777777" w:rsidR="00B2442D" w:rsidRDefault="008A645F">
      <w:pPr>
        <w:jc w:val="both"/>
        <w:rPr>
          <w:rFonts w:ascii="Arial" w:hAnsi="Arial" w:cs="Arial"/>
          <w:lang w:val="es-CO"/>
        </w:rPr>
      </w:pPr>
      <w:r>
        <w:rPr>
          <w:rFonts w:ascii="Arial" w:hAnsi="Arial" w:cs="Arial"/>
          <w:lang w:val="es-CO"/>
        </w:rPr>
        <w:t>A partir del primer mes de</w:t>
      </w:r>
      <w:r>
        <w:rPr>
          <w:rFonts w:ascii="Arial" w:hAnsi="Arial" w:cs="Arial"/>
          <w:lang w:val="es-CO"/>
        </w:rPr>
        <w:t>l siguiente período de rendimientos para el tenedor del título, se practicará la autorretención en la fuente de conformidad con lo dispuesto en el literal b) del numeral 2° del artículo 1.2.4.2.13 del presente decreto.</w:t>
      </w:r>
    </w:p>
    <w:p w14:paraId="6D62AB00" w14:textId="77777777" w:rsidR="00B2442D" w:rsidRDefault="00B2442D">
      <w:pPr>
        <w:jc w:val="both"/>
        <w:rPr>
          <w:rFonts w:ascii="Arial" w:hAnsi="Arial" w:cs="Arial"/>
          <w:lang w:val="es-CO"/>
        </w:rPr>
      </w:pPr>
    </w:p>
    <w:p w14:paraId="7D47055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porcentaje de retenció</w:t>
      </w:r>
      <w:r>
        <w:rPr>
          <w:rFonts w:ascii="Arial" w:hAnsi="Arial" w:cs="Arial"/>
          <w:lang w:val="es-CO"/>
        </w:rPr>
        <w:t>n en la fuente del respectivo título será del siete por ciento (7%), (hoy cuatro por ciento (4%)),  salvo cuando se trate de títulos colocados con anterioridad a la vigencia del presente decreto, caso en el cual, el porcentaje de retención en la fuente del</w:t>
      </w:r>
      <w:r>
        <w:rPr>
          <w:rFonts w:ascii="Arial" w:hAnsi="Arial" w:cs="Arial"/>
          <w:lang w:val="es-CO"/>
        </w:rPr>
        <w:t xml:space="preserve"> respectivo título, será el consignado en la constancia sobre valores retenidos por el período de causación de rendimientos que está transcurriendo al momento de la enajenación.</w:t>
      </w:r>
    </w:p>
    <w:p w14:paraId="28A52C55" w14:textId="77777777" w:rsidR="00B2442D" w:rsidRDefault="00B2442D">
      <w:pPr>
        <w:jc w:val="both"/>
        <w:rPr>
          <w:rFonts w:ascii="Arial" w:hAnsi="Arial" w:cs="Arial"/>
          <w:i/>
          <w:lang w:val="es-CO"/>
        </w:rPr>
      </w:pPr>
    </w:p>
    <w:p w14:paraId="63A27C3D" w14:textId="77777777" w:rsidR="00B2442D" w:rsidRDefault="008A645F">
      <w:pPr>
        <w:jc w:val="both"/>
        <w:rPr>
          <w:rFonts w:ascii="Arial" w:hAnsi="Arial" w:cs="Arial"/>
          <w:i/>
          <w:lang w:val="es-CO"/>
        </w:rPr>
      </w:pPr>
      <w:r>
        <w:rPr>
          <w:rFonts w:ascii="Arial" w:hAnsi="Arial" w:cs="Arial"/>
          <w:i/>
          <w:lang w:val="es-CO"/>
        </w:rPr>
        <w:t>(Art. 13, Decreto 700 de 1997, ajustada la tarifa por el Art. 3 del Decreto 2</w:t>
      </w:r>
      <w:r>
        <w:rPr>
          <w:rFonts w:ascii="Arial" w:hAnsi="Arial" w:cs="Arial"/>
          <w:i/>
          <w:lang w:val="es-CO"/>
        </w:rPr>
        <w:t>418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6B851550" w14:textId="77777777" w:rsidR="00B2442D" w:rsidRDefault="00B2442D">
      <w:pPr>
        <w:jc w:val="both"/>
        <w:rPr>
          <w:rFonts w:ascii="Arial" w:hAnsi="Arial" w:cs="Arial"/>
          <w:lang w:val="es-CO"/>
        </w:rPr>
      </w:pPr>
    </w:p>
    <w:p w14:paraId="6B8F802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Reintegro de valores retenidos en la readquisición de títulos con rendimientos anticipados.</w:t>
      </w:r>
      <w:r>
        <w:rPr>
          <w:rFonts w:ascii="Arial" w:hAnsi="Arial" w:cs="Arial"/>
          <w:lang w:val="es-CO"/>
        </w:rPr>
        <w:t xml:space="preserve"> Cuando una entidad emisora readquiera antes de su vencimiento, un título de rendimientos anticipados que cuente con la constancia sobre valores retenidos por el pe</w:t>
      </w:r>
      <w:r>
        <w:rPr>
          <w:rFonts w:ascii="Arial" w:hAnsi="Arial" w:cs="Arial"/>
          <w:lang w:val="es-CO"/>
        </w:rPr>
        <w:t>ríodo de rendimientos en el cual se readquiere, esta reintegrará al enajenante la parte de la retención en la fuente correspondiente al resultado de aplicar el porcentaje de retención del respectivo título a la diferencia positiva entre el valor nominal de</w:t>
      </w:r>
      <w:r>
        <w:rPr>
          <w:rFonts w:ascii="Arial" w:hAnsi="Arial" w:cs="Arial"/>
          <w:lang w:val="es-CO"/>
        </w:rPr>
        <w:t>l título y el valor de readquisición, siempre y cuando el enajenante sea un contribuyente del impuesto sobre la renta y complementario, que estando sometido a retención en la fuente, no tenga la calidad de agente autorretenedor de rendimientos financieros.</w:t>
      </w:r>
    </w:p>
    <w:p w14:paraId="7B33DC70" w14:textId="77777777" w:rsidR="00B2442D" w:rsidRDefault="00B2442D">
      <w:pPr>
        <w:jc w:val="both"/>
        <w:rPr>
          <w:rFonts w:ascii="Arial" w:hAnsi="Arial" w:cs="Arial"/>
          <w:lang w:val="es-CO"/>
        </w:rPr>
      </w:pPr>
    </w:p>
    <w:p w14:paraId="0F9C9C2B" w14:textId="77777777" w:rsidR="00B2442D" w:rsidRDefault="008A645F">
      <w:pPr>
        <w:jc w:val="both"/>
        <w:rPr>
          <w:rFonts w:ascii="Arial" w:hAnsi="Arial" w:cs="Arial"/>
          <w:lang w:val="es-CO"/>
        </w:rPr>
      </w:pPr>
      <w:r>
        <w:rPr>
          <w:rFonts w:ascii="Arial" w:hAnsi="Arial" w:cs="Arial"/>
          <w:lang w:val="es-CO"/>
        </w:rPr>
        <w:t>En este evento, cuando el emisor reintegre dinero por concepto de retención sobre descuentos o intereses anticipados, podrá debitar la cantidad reintegrada contra la cuenta de retenciones por consignar, de tal forma que la consignación se haga por el sal</w:t>
      </w:r>
      <w:r>
        <w:rPr>
          <w:rFonts w:ascii="Arial" w:hAnsi="Arial" w:cs="Arial"/>
          <w:lang w:val="es-CO"/>
        </w:rPr>
        <w:t>do crédito neto de dicha cuenta.</w:t>
      </w:r>
    </w:p>
    <w:p w14:paraId="061FCB42" w14:textId="77777777" w:rsidR="00B2442D" w:rsidRDefault="00B2442D">
      <w:pPr>
        <w:jc w:val="both"/>
        <w:rPr>
          <w:rFonts w:ascii="Arial" w:hAnsi="Arial" w:cs="Arial"/>
          <w:lang w:val="es-CO"/>
        </w:rPr>
      </w:pPr>
    </w:p>
    <w:p w14:paraId="0CC547D8" w14:textId="77777777" w:rsidR="00B2442D" w:rsidRDefault="008A645F">
      <w:pPr>
        <w:jc w:val="both"/>
        <w:rPr>
          <w:rFonts w:ascii="Arial" w:hAnsi="Arial" w:cs="Arial"/>
          <w:lang w:val="es-CO"/>
        </w:rPr>
      </w:pPr>
      <w:r>
        <w:rPr>
          <w:rFonts w:ascii="Arial" w:hAnsi="Arial" w:cs="Arial"/>
          <w:lang w:val="es-CO"/>
        </w:rPr>
        <w:t>El emisor deberá conservar los documentos que soporten cada débito que realice a la cuenta de retenciones por consignar, para ser presentada ante la Administración de Impuestos y Aduanas Nacionales, cuando esta lo exija.</w:t>
      </w:r>
    </w:p>
    <w:p w14:paraId="0761EB09" w14:textId="77777777" w:rsidR="00B2442D" w:rsidRDefault="00B2442D">
      <w:pPr>
        <w:jc w:val="both"/>
        <w:rPr>
          <w:rFonts w:ascii="Arial" w:hAnsi="Arial" w:cs="Arial"/>
          <w:i/>
          <w:lang w:val="es-CO"/>
        </w:rPr>
      </w:pPr>
    </w:p>
    <w:p w14:paraId="52826946" w14:textId="77777777" w:rsidR="00B2442D" w:rsidRDefault="008A645F">
      <w:pPr>
        <w:jc w:val="both"/>
        <w:rPr>
          <w:rFonts w:ascii="Arial" w:hAnsi="Arial" w:cs="Arial"/>
          <w:i/>
          <w:lang w:val="es-CO"/>
        </w:rPr>
      </w:pPr>
      <w:r>
        <w:rPr>
          <w:rFonts w:ascii="Arial" w:hAnsi="Arial" w:cs="Arial"/>
          <w:i/>
          <w:lang w:val="es-CO"/>
        </w:rPr>
        <w:t>(Art. 14,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700D7453" w14:textId="77777777" w:rsidR="00B2442D" w:rsidRDefault="00B2442D">
      <w:pPr>
        <w:jc w:val="both"/>
        <w:rPr>
          <w:rFonts w:ascii="Arial" w:hAnsi="Arial" w:cs="Arial"/>
          <w:b/>
          <w:lang w:val="es-CO"/>
        </w:rPr>
      </w:pPr>
    </w:p>
    <w:p w14:paraId="4F34827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Adquisición en el mercado </w:t>
      </w:r>
      <w:r>
        <w:rPr>
          <w:rFonts w:ascii="Arial" w:hAnsi="Arial" w:cs="Arial"/>
          <w:b/>
          <w:i/>
          <w:lang w:val="es-CO"/>
        </w:rPr>
        <w:t>secundario de títulos de rendimientos anticipados por entidades no sujetas a retención.</w:t>
      </w:r>
      <w:r>
        <w:rPr>
          <w:rFonts w:ascii="Arial" w:hAnsi="Arial" w:cs="Arial"/>
          <w:lang w:val="es-CO"/>
        </w:rPr>
        <w:t xml:space="preserve"> Los fondos de inversión, los fondos de valores, los fondos comunes que administren las sociedades fiduciarias, los fondos de pensiones del régimen de ahorro individual </w:t>
      </w:r>
      <w:r>
        <w:rPr>
          <w:rFonts w:ascii="Arial" w:hAnsi="Arial" w:cs="Arial"/>
          <w:lang w:val="es-CO"/>
        </w:rPr>
        <w:t>con solidaridad, los fondos de reparto del régimen de prima media con prestación definida, fondos para el pago de los bonos y cuotas partes de bonos pensionales, el fondo de solidaridad pensional, los fondos de pensiones de que trata el Decreto 2513 de 198</w:t>
      </w:r>
      <w:r>
        <w:rPr>
          <w:rFonts w:ascii="Arial" w:hAnsi="Arial" w:cs="Arial"/>
          <w:lang w:val="es-CO"/>
        </w:rPr>
        <w:t>7, el fondo de riesgos profesionales, y en general todos los fondos que no sean contribuyentes del impuesto sobre la renta y complementario o exentos del mismo, y los patrimonios autónomos, que adquieran o hayan adquirido, títulos con descuento o intereses</w:t>
      </w:r>
      <w:r>
        <w:rPr>
          <w:rFonts w:ascii="Arial" w:hAnsi="Arial" w:cs="Arial"/>
          <w:lang w:val="es-CO"/>
        </w:rPr>
        <w:t xml:space="preserve"> anticipados que cuenten con la constancia sobre valores retenidos por el período de causación de rendimientos que está transcurriendo al momento de ser adquirido, podrán recuperar, mediante el procedimiento aquí señalado, la retención en la fuente que cor</w:t>
      </w:r>
      <w:r>
        <w:rPr>
          <w:rFonts w:ascii="Arial" w:hAnsi="Arial" w:cs="Arial"/>
          <w:lang w:val="es-CO"/>
        </w:rPr>
        <w:t xml:space="preserve">responda a los rendimientos financieros generados por el título desde la fecha de su adquisición hasta la fecha de vencimiento si se trata de títulos con descuento sin pago periódico de intereses, o hasta la fecha del próximo pago de intereses, tratándose </w:t>
      </w:r>
      <w:r>
        <w:rPr>
          <w:rFonts w:ascii="Arial" w:hAnsi="Arial" w:cs="Arial"/>
          <w:lang w:val="es-CO"/>
        </w:rPr>
        <w:t>de títulos con pago de intereses anticipados.</w:t>
      </w:r>
    </w:p>
    <w:p w14:paraId="2C7D37A4" w14:textId="77777777" w:rsidR="00B2442D" w:rsidRDefault="00B2442D">
      <w:pPr>
        <w:jc w:val="both"/>
        <w:rPr>
          <w:rFonts w:ascii="Arial" w:hAnsi="Arial" w:cs="Arial"/>
          <w:lang w:val="es-CO"/>
        </w:rPr>
      </w:pPr>
    </w:p>
    <w:p w14:paraId="5ACC5B74" w14:textId="77777777" w:rsidR="00B2442D" w:rsidRDefault="008A645F">
      <w:pPr>
        <w:jc w:val="both"/>
        <w:rPr>
          <w:rFonts w:ascii="Arial" w:hAnsi="Arial" w:cs="Arial"/>
          <w:lang w:val="es-CO"/>
        </w:rPr>
      </w:pPr>
      <w:r>
        <w:rPr>
          <w:rFonts w:ascii="Arial" w:hAnsi="Arial" w:cs="Arial"/>
          <w:lang w:val="es-CO"/>
        </w:rPr>
        <w:t>Para tales efectos, la sociedad administradora del patrimonio autónomo o fondo no contribuyente o exento del impuesto sobre la renta y complementario, al momento de adquirir dichos títulos, debitará de la cuen</w:t>
      </w:r>
      <w:r>
        <w:rPr>
          <w:rFonts w:ascii="Arial" w:hAnsi="Arial" w:cs="Arial"/>
          <w:lang w:val="es-CO"/>
        </w:rPr>
        <w:t>ta retenciones por consignar y abonará a favor de los patrimonios autónomos o fondos, según el caso, la retención en la fuente que corresponda a los rendimientos financieros que generan los títulos a partir de su adquisición. Dicha retención será el result</w:t>
      </w:r>
      <w:r>
        <w:rPr>
          <w:rFonts w:ascii="Arial" w:hAnsi="Arial" w:cs="Arial"/>
          <w:lang w:val="es-CO"/>
        </w:rPr>
        <w:t>ado de aplicar el porcentaje de retención en la fuente del respectivo título sobre la diferencia positiva entre el valor nominal del título y el precio de adquisición del mismo por parte del patrimonio autónomo o fondo. Cuando se trate de títulos adquirido</w:t>
      </w:r>
      <w:r>
        <w:rPr>
          <w:rFonts w:ascii="Arial" w:hAnsi="Arial" w:cs="Arial"/>
          <w:lang w:val="es-CO"/>
        </w:rPr>
        <w:t xml:space="preserve">s con anterioridad a la vigencia del presente decreto, se debitará de igual forma, la retención en la fuente que corresponda a los rendimientos financieros que generan los títulos a partir del 1° de abril de 1997, hasta la fecha de vencimiento si se trata </w:t>
      </w:r>
      <w:r>
        <w:rPr>
          <w:rFonts w:ascii="Arial" w:hAnsi="Arial" w:cs="Arial"/>
          <w:lang w:val="es-CO"/>
        </w:rPr>
        <w:t>de títulos con descuento sin pago periódico de intereses, o hasta la fecha del próximo pago de intereses si se trata de títulos con pagos periódicos de intereses anticipados.</w:t>
      </w:r>
    </w:p>
    <w:p w14:paraId="6CDD58EA" w14:textId="77777777" w:rsidR="00B2442D" w:rsidRDefault="00B2442D">
      <w:pPr>
        <w:jc w:val="both"/>
        <w:rPr>
          <w:rFonts w:ascii="Arial" w:hAnsi="Arial" w:cs="Arial"/>
          <w:lang w:val="es-CO"/>
        </w:rPr>
      </w:pPr>
    </w:p>
    <w:p w14:paraId="02A8F8CE" w14:textId="77777777" w:rsidR="00B2442D" w:rsidRDefault="008A645F">
      <w:pPr>
        <w:jc w:val="both"/>
        <w:rPr>
          <w:rFonts w:ascii="Arial" w:hAnsi="Arial" w:cs="Arial"/>
          <w:lang w:val="es-CO"/>
        </w:rPr>
      </w:pPr>
      <w:r>
        <w:rPr>
          <w:rFonts w:ascii="Arial" w:hAnsi="Arial" w:cs="Arial"/>
          <w:lang w:val="es-CO"/>
        </w:rPr>
        <w:t xml:space="preserve">La sociedad administradora del fondo o patrimonio autónomo deberá conservar los </w:t>
      </w:r>
      <w:r>
        <w:rPr>
          <w:rFonts w:ascii="Arial" w:hAnsi="Arial" w:cs="Arial"/>
          <w:lang w:val="es-CO"/>
        </w:rPr>
        <w:t>documentos que soporten cada débito que realice a la cuenta de retenciones por consignar, para ser presentados ante la Administración de Impuestos y Aduanas Nacionales, cuando esta lo exija.</w:t>
      </w:r>
    </w:p>
    <w:p w14:paraId="275DAA9D" w14:textId="77777777" w:rsidR="00B2442D" w:rsidRDefault="00B2442D">
      <w:pPr>
        <w:jc w:val="both"/>
        <w:rPr>
          <w:rFonts w:ascii="Arial" w:hAnsi="Arial" w:cs="Arial"/>
          <w:i/>
          <w:lang w:val="es-CO"/>
        </w:rPr>
      </w:pPr>
    </w:p>
    <w:p w14:paraId="4F671038" w14:textId="77777777" w:rsidR="00B2442D" w:rsidRDefault="008A645F">
      <w:pPr>
        <w:jc w:val="both"/>
        <w:rPr>
          <w:rFonts w:ascii="Arial" w:hAnsi="Arial" w:cs="Arial"/>
          <w:i/>
          <w:lang w:val="es-CO"/>
        </w:rPr>
      </w:pPr>
      <w:r>
        <w:rPr>
          <w:rFonts w:ascii="Arial" w:hAnsi="Arial" w:cs="Arial"/>
          <w:i/>
          <w:lang w:val="es-CO"/>
        </w:rPr>
        <w:t>(Art. 15, Decreto 700 de 1997)</w:t>
      </w:r>
      <w:r>
        <w:rPr>
          <w:rFonts w:ascii="Arial" w:hAnsi="Arial" w:cs="Arial"/>
        </w:rPr>
        <w:t xml:space="preserve"> </w:t>
      </w:r>
      <w:r>
        <w:rPr>
          <w:rFonts w:ascii="Arial" w:hAnsi="Arial" w:cs="Arial"/>
          <w:i/>
          <w:lang w:val="es-CO"/>
        </w:rPr>
        <w:t>(El Decreto 700 de 1997 rige a pa</w:t>
      </w:r>
      <w:r>
        <w:rPr>
          <w:rFonts w:ascii="Arial" w:hAnsi="Arial" w:cs="Arial"/>
          <w:i/>
          <w:lang w:val="es-CO"/>
        </w:rPr>
        <w:t>rtir del 1° de abril de 1997 y deroga los Decretos 1960 y 2360 de 1996, y las demás disposiciones que le sean contrarias. Art. 45, Decreto 700 de 1997)</w:t>
      </w:r>
    </w:p>
    <w:p w14:paraId="3FE61441" w14:textId="77777777" w:rsidR="00B2442D" w:rsidRDefault="00B2442D">
      <w:pPr>
        <w:jc w:val="both"/>
        <w:rPr>
          <w:rFonts w:ascii="Arial" w:hAnsi="Arial" w:cs="Arial"/>
          <w:b/>
          <w:lang w:val="es-CO"/>
        </w:rPr>
      </w:pPr>
    </w:p>
    <w:p w14:paraId="78A3C84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Adquisición de títulos de rendimientos anticipados con retención en desarrollo de encargos fiduciarios</w:t>
      </w:r>
      <w:r>
        <w:rPr>
          <w:rFonts w:ascii="Arial" w:hAnsi="Arial" w:cs="Arial"/>
          <w:b/>
          <w:i/>
          <w:lang w:val="es-CO"/>
        </w:rPr>
        <w:t>.</w:t>
      </w:r>
      <w:r>
        <w:rPr>
          <w:rFonts w:ascii="Arial" w:hAnsi="Arial" w:cs="Arial"/>
          <w:lang w:val="es-CO"/>
        </w:rPr>
        <w:t xml:space="preserve"> Cuando una sociedad fiduciaria en desarrollo de un encargo fiduciario celebrado con una entidad no contribuyente del impuesto sobre la renta y complementario, o exenta de dicho impuesto o no sometida a retención en la fuente por expresa disposición legal</w:t>
      </w:r>
      <w:r>
        <w:rPr>
          <w:rFonts w:ascii="Arial" w:hAnsi="Arial" w:cs="Arial"/>
          <w:lang w:val="es-CO"/>
        </w:rPr>
        <w:t>, adquiera o haya adquirido, títulos con descuento o intereses anticipados, que cuenten con la constancia sobre valores retenidos por el periodo de causación de rendimientos que está transcurriendo al momento de ser adquirido, podrá recuperar mediante el p</w:t>
      </w:r>
      <w:r>
        <w:rPr>
          <w:rFonts w:ascii="Arial" w:hAnsi="Arial" w:cs="Arial"/>
          <w:lang w:val="es-CO"/>
        </w:rPr>
        <w:t>rocedimiento señalado a continuación, la retención en la fuente que corresponda a los rendimientos financieros generados por los títulos adquiridos en desarrollo del encargo, desde la fecha de su adquisición hasta la fecha de vencimiento si se trata de tít</w:t>
      </w:r>
      <w:r>
        <w:rPr>
          <w:rFonts w:ascii="Arial" w:hAnsi="Arial" w:cs="Arial"/>
          <w:lang w:val="es-CO"/>
        </w:rPr>
        <w:t>ulos con descuento sin pago periódico de intereses, o hasta la fecha del próximo pago de intereses, tratándose de títulos con pagos periódicos de intereses anticipados, siempre y cuando los beneficiarios de dichos encargos sean las entidades no contribuyen</w:t>
      </w:r>
      <w:r>
        <w:rPr>
          <w:rFonts w:ascii="Arial" w:hAnsi="Arial" w:cs="Arial"/>
          <w:lang w:val="es-CO"/>
        </w:rPr>
        <w:t>tes del impuesto sobre la renta y complementario, o las exentas de dicho impuesto o las no sometidas a retención en la fuente por expresa disposición legal.</w:t>
      </w:r>
    </w:p>
    <w:p w14:paraId="3E46E3EC" w14:textId="77777777" w:rsidR="00B2442D" w:rsidRDefault="00B2442D">
      <w:pPr>
        <w:jc w:val="both"/>
        <w:rPr>
          <w:rFonts w:ascii="Arial" w:hAnsi="Arial" w:cs="Arial"/>
          <w:lang w:val="es-CO"/>
        </w:rPr>
      </w:pPr>
    </w:p>
    <w:p w14:paraId="40A29B18" w14:textId="77777777" w:rsidR="00B2442D" w:rsidRDefault="008A645F">
      <w:pPr>
        <w:jc w:val="both"/>
        <w:rPr>
          <w:rFonts w:ascii="Arial" w:hAnsi="Arial" w:cs="Arial"/>
          <w:lang w:val="es-CO"/>
        </w:rPr>
      </w:pPr>
      <w:r>
        <w:rPr>
          <w:rFonts w:ascii="Arial" w:hAnsi="Arial" w:cs="Arial"/>
          <w:lang w:val="es-CO"/>
        </w:rPr>
        <w:t xml:space="preserve">Para efectos de los dispuesto en el inciso anterior, la sociedad fiduciaria que en desarrollo del </w:t>
      </w:r>
      <w:r>
        <w:rPr>
          <w:rFonts w:ascii="Arial" w:hAnsi="Arial" w:cs="Arial"/>
          <w:lang w:val="es-CO"/>
        </w:rPr>
        <w:t>encargo fiduciario, adquiera títulos sometidos a la retención en la fuente, al momento de adquirir dichos títulos, debitará de la cuenta retenciones por consignar y abonará a favor de las entidades no contribuyentes del impuesto sobre la renta y complement</w:t>
      </w:r>
      <w:r>
        <w:rPr>
          <w:rFonts w:ascii="Arial" w:hAnsi="Arial" w:cs="Arial"/>
          <w:lang w:val="es-CO"/>
        </w:rPr>
        <w:t>ario, exentas de dicho impuesto o no sometidas a retención en la fuente por expresa disposición legal, la retención en la fuente que corresponda a los rendimientos financieros que generen los títulos a partir de su adquisición. Dicha retención será el resu</w:t>
      </w:r>
      <w:r>
        <w:rPr>
          <w:rFonts w:ascii="Arial" w:hAnsi="Arial" w:cs="Arial"/>
          <w:lang w:val="es-CO"/>
        </w:rPr>
        <w:t>ltado de aplicar el porcentaje de retención en la fuente del respectivo título sobre la diferencia positiva entre el valor nominal del título y el precio de adquisición del mismo. Cuando se trate de títulos adquiridos con anterioridad a la vigencia del pre</w:t>
      </w:r>
      <w:r>
        <w:rPr>
          <w:rFonts w:ascii="Arial" w:hAnsi="Arial" w:cs="Arial"/>
          <w:lang w:val="es-CO"/>
        </w:rPr>
        <w:t>sente decreto, se debitará de igual forma, la retención en la fuente que corresponda a los rendimientos financieros anticipados generados por los títulos a partir del 1° de abril de 1997, hasta la fecha de vencimiento si se trata de título con descuentos s</w:t>
      </w:r>
      <w:r>
        <w:rPr>
          <w:rFonts w:ascii="Arial" w:hAnsi="Arial" w:cs="Arial"/>
          <w:lang w:val="es-CO"/>
        </w:rPr>
        <w:t>in pago periódico de intereses o hasta la fecha del próximo pago de intereses si se trata de títulos con pagos periódicos de intereses anticipados.</w:t>
      </w:r>
    </w:p>
    <w:p w14:paraId="3924B0B3" w14:textId="77777777" w:rsidR="00B2442D" w:rsidRDefault="00B2442D">
      <w:pPr>
        <w:jc w:val="both"/>
        <w:rPr>
          <w:rFonts w:ascii="Arial" w:hAnsi="Arial" w:cs="Arial"/>
          <w:lang w:val="es-CO"/>
        </w:rPr>
      </w:pPr>
    </w:p>
    <w:p w14:paraId="4F9B99B8" w14:textId="77777777" w:rsidR="00B2442D" w:rsidRDefault="008A645F">
      <w:pPr>
        <w:jc w:val="both"/>
        <w:rPr>
          <w:rFonts w:ascii="Arial" w:hAnsi="Arial" w:cs="Arial"/>
          <w:lang w:val="es-CO"/>
        </w:rPr>
      </w:pPr>
      <w:r>
        <w:rPr>
          <w:rFonts w:ascii="Arial" w:hAnsi="Arial" w:cs="Arial"/>
          <w:lang w:val="es-CO"/>
        </w:rPr>
        <w:t xml:space="preserve">La sociedad fiduciaria deberá conservar los documentos que soporten cada débito que realice a la cuenta de </w:t>
      </w:r>
      <w:r>
        <w:rPr>
          <w:rFonts w:ascii="Arial" w:hAnsi="Arial" w:cs="Arial"/>
          <w:lang w:val="es-CO"/>
        </w:rPr>
        <w:t>retenciones por consignar, para ser presentados ante la Administración de Impuestos y Aduanas Nacionales, cuando esta lo exija.</w:t>
      </w:r>
    </w:p>
    <w:p w14:paraId="1F6507C1" w14:textId="77777777" w:rsidR="00B2442D" w:rsidRDefault="00B2442D">
      <w:pPr>
        <w:jc w:val="both"/>
        <w:rPr>
          <w:rFonts w:ascii="Arial" w:hAnsi="Arial" w:cs="Arial"/>
          <w:i/>
          <w:lang w:val="es-CO"/>
        </w:rPr>
      </w:pPr>
    </w:p>
    <w:p w14:paraId="01E73DC6" w14:textId="77777777" w:rsidR="00B2442D" w:rsidRDefault="008A645F">
      <w:pPr>
        <w:jc w:val="both"/>
        <w:rPr>
          <w:rFonts w:ascii="Arial" w:hAnsi="Arial" w:cs="Arial"/>
          <w:i/>
          <w:lang w:val="es-CO"/>
        </w:rPr>
      </w:pPr>
      <w:r>
        <w:rPr>
          <w:rFonts w:ascii="Arial" w:hAnsi="Arial" w:cs="Arial"/>
          <w:i/>
          <w:lang w:val="es-CO"/>
        </w:rPr>
        <w:t>(Art. 16, Decreto 700 de 1997)</w:t>
      </w:r>
      <w:r>
        <w:rPr>
          <w:rFonts w:ascii="Arial" w:hAnsi="Arial" w:cs="Arial"/>
        </w:rPr>
        <w:t xml:space="preserve"> </w:t>
      </w:r>
      <w:r>
        <w:rPr>
          <w:rFonts w:ascii="Arial" w:hAnsi="Arial" w:cs="Arial"/>
          <w:i/>
          <w:lang w:val="es-CO"/>
        </w:rPr>
        <w:t xml:space="preserve">(El Decreto 700 de 1997 rige a partir del 1° de abril de 1997 y deroga los Decretos 1960 y 2360 </w:t>
      </w:r>
      <w:r>
        <w:rPr>
          <w:rFonts w:ascii="Arial" w:hAnsi="Arial" w:cs="Arial"/>
          <w:i/>
          <w:lang w:val="es-CO"/>
        </w:rPr>
        <w:t>de 1996, y las demás disposiciones que le sean contrarias. Art. 45, Decreto 700 de 1997)</w:t>
      </w:r>
    </w:p>
    <w:p w14:paraId="1F39936C" w14:textId="77777777" w:rsidR="00B2442D" w:rsidRDefault="00B2442D">
      <w:pPr>
        <w:jc w:val="both"/>
        <w:rPr>
          <w:rFonts w:ascii="Arial" w:hAnsi="Arial" w:cs="Arial"/>
          <w:lang w:val="es-CO"/>
        </w:rPr>
      </w:pPr>
    </w:p>
    <w:p w14:paraId="7ED95C7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retención en la fuente sobre descuentos en el mercado secundario.</w:t>
      </w:r>
      <w:r>
        <w:rPr>
          <w:rFonts w:ascii="Arial" w:hAnsi="Arial" w:cs="Arial"/>
          <w:i/>
          <w:lang w:val="es-CO"/>
        </w:rPr>
        <w:t xml:space="preserve"> </w:t>
      </w:r>
      <w:r>
        <w:rPr>
          <w:rFonts w:ascii="Arial" w:hAnsi="Arial" w:cs="Arial"/>
          <w:lang w:val="es-CO"/>
        </w:rPr>
        <w:t>Cuando un agente autorretenedor de rendimientos financieros, o un no contribuyente del impu</w:t>
      </w:r>
      <w:r>
        <w:rPr>
          <w:rFonts w:ascii="Arial" w:hAnsi="Arial" w:cs="Arial"/>
          <w:lang w:val="es-CO"/>
        </w:rPr>
        <w:t>esto sobre la renta y complementario, o un exento de dicho impuesto, o un contribuyente no sometido a retención en la fuente por expresa disposición legal, enajene al descuento un título que no genere un costo financiero para el emisor, en favor de un cont</w:t>
      </w:r>
      <w:r>
        <w:rPr>
          <w:rFonts w:ascii="Arial" w:hAnsi="Arial" w:cs="Arial"/>
          <w:lang w:val="es-CO"/>
        </w:rPr>
        <w:t>ribuyente del impuesto sobre la renta y complementario, que estando sujeto a retención en la fuente, no tenga la calidad de agente autorretenedor de rendimientos financieros, el enajenante, al momento de la enajenación, practicará al adquirente la retenció</w:t>
      </w:r>
      <w:r>
        <w:rPr>
          <w:rFonts w:ascii="Arial" w:hAnsi="Arial" w:cs="Arial"/>
          <w:lang w:val="es-CO"/>
        </w:rPr>
        <w:t>n en la fuente, por concepto del descuento, sobre la diferencia positiva entre el valor nominal del título o documento negociable y el de su enajenación. Si la transacción se realiza a través de una bolsa de valores, esta al momento de efectuar el pago a n</w:t>
      </w:r>
      <w:r>
        <w:rPr>
          <w:rFonts w:ascii="Arial" w:hAnsi="Arial" w:cs="Arial"/>
          <w:lang w:val="es-CO"/>
        </w:rPr>
        <w:t>ombre o por cuenta del adquirente, a través de la respectiva compensación, deberá practicar la correspondiente retención en la fuente, sobre la diferencia positiva entre el valor nominal del título y el precio de registro.</w:t>
      </w:r>
    </w:p>
    <w:p w14:paraId="73BC5375" w14:textId="77777777" w:rsidR="00B2442D" w:rsidRDefault="00B2442D">
      <w:pPr>
        <w:jc w:val="both"/>
        <w:rPr>
          <w:rFonts w:ascii="Arial" w:hAnsi="Arial" w:cs="Arial"/>
          <w:lang w:val="es-CO"/>
        </w:rPr>
      </w:pPr>
    </w:p>
    <w:p w14:paraId="1ADAABD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enajenante </w:t>
      </w:r>
      <w:r>
        <w:rPr>
          <w:rFonts w:ascii="Arial" w:hAnsi="Arial" w:cs="Arial"/>
          <w:lang w:val="es-CO"/>
        </w:rPr>
        <w:t>sea una persona natural y el adquirente sea una persona jurídica o una sociedad de hecho, la retención en la fuente deberá ser practicada por el adquirente y no por el enajenante, salvo cuando la transacción se realice a través de una bolsa de valores, cas</w:t>
      </w:r>
      <w:r>
        <w:rPr>
          <w:rFonts w:ascii="Arial" w:hAnsi="Arial" w:cs="Arial"/>
          <w:lang w:val="es-CO"/>
        </w:rPr>
        <w:t>o en el cual la bolsa deberá practicar la retención en la fuente. En este evento la constancia sobre valores retenidos será expedida por el adquirente o la bolsa de valores según corresponda.</w:t>
      </w:r>
    </w:p>
    <w:p w14:paraId="51FE0B3A" w14:textId="77777777" w:rsidR="00B2442D" w:rsidRDefault="00B2442D">
      <w:pPr>
        <w:jc w:val="both"/>
        <w:rPr>
          <w:rFonts w:ascii="Arial" w:hAnsi="Arial" w:cs="Arial"/>
          <w:i/>
          <w:lang w:val="es-CO"/>
        </w:rPr>
      </w:pPr>
    </w:p>
    <w:p w14:paraId="1A01808C" w14:textId="77777777" w:rsidR="00B2442D" w:rsidRDefault="008A645F">
      <w:pPr>
        <w:jc w:val="both"/>
        <w:rPr>
          <w:rFonts w:ascii="Arial" w:hAnsi="Arial" w:cs="Arial"/>
          <w:i/>
          <w:lang w:val="es-CO"/>
        </w:rPr>
      </w:pPr>
      <w:r>
        <w:rPr>
          <w:rFonts w:ascii="Arial" w:hAnsi="Arial" w:cs="Arial"/>
          <w:i/>
          <w:lang w:val="es-CO"/>
        </w:rPr>
        <w:t>(Art. 17, Decreto 700 de 1997)</w:t>
      </w:r>
      <w:r>
        <w:rPr>
          <w:rFonts w:ascii="Arial" w:hAnsi="Arial" w:cs="Arial"/>
        </w:rPr>
        <w:t xml:space="preserve"> </w:t>
      </w:r>
      <w:r>
        <w:rPr>
          <w:rFonts w:ascii="Arial" w:hAnsi="Arial" w:cs="Arial"/>
          <w:i/>
          <w:lang w:val="es-CO"/>
        </w:rPr>
        <w:t xml:space="preserve">(El Decreto 700 de 1997 rige a </w:t>
      </w:r>
      <w:r>
        <w:rPr>
          <w:rFonts w:ascii="Arial" w:hAnsi="Arial" w:cs="Arial"/>
          <w:i/>
          <w:lang w:val="es-CO"/>
        </w:rPr>
        <w:t>partir del 1° de abril de 1997 y deroga los Decretos 1960 y 2360 de 1996, y las demás disposiciones que le sean contrarias. Art. 45, Decreto 700 de 1997)</w:t>
      </w:r>
    </w:p>
    <w:p w14:paraId="46AD317B" w14:textId="77777777" w:rsidR="00B2442D" w:rsidRDefault="00B2442D">
      <w:pPr>
        <w:jc w:val="both"/>
        <w:rPr>
          <w:rFonts w:ascii="Arial" w:hAnsi="Arial" w:cs="Arial"/>
          <w:lang w:val="es-CO"/>
        </w:rPr>
      </w:pPr>
    </w:p>
    <w:p w14:paraId="7D50257B"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 sobre valores retenidos.</w:t>
      </w:r>
      <w:r>
        <w:rPr>
          <w:rFonts w:ascii="Arial" w:hAnsi="Arial" w:cs="Arial"/>
          <w:i/>
          <w:lang w:val="es-CO"/>
        </w:rPr>
        <w:t xml:space="preserve"> </w:t>
      </w:r>
      <w:r>
        <w:rPr>
          <w:rFonts w:ascii="Arial" w:hAnsi="Arial" w:cs="Arial"/>
          <w:lang w:val="es-CO"/>
        </w:rPr>
        <w:t>Los títulos con descuento e intereses anticipados, adquiridos po</w:t>
      </w:r>
      <w:r>
        <w:rPr>
          <w:rFonts w:ascii="Arial" w:hAnsi="Arial" w:cs="Arial"/>
          <w:lang w:val="es-CO"/>
        </w:rPr>
        <w:t>r un contribuyente del impuesto sobre la renta y complementario que estando sujeto a retención en la fuente, no tenga la calidad de agente autorretenedor, y los títulos o documentos negociables que no generen un costo financiero para el emisor y sean adqui</w:t>
      </w:r>
      <w:r>
        <w:rPr>
          <w:rFonts w:ascii="Arial" w:hAnsi="Arial" w:cs="Arial"/>
          <w:lang w:val="es-CO"/>
        </w:rPr>
        <w:t>ridos al descuento por contribuyentes que estando sujetos a retención en la fuente, no tengan la calidad de agentes autorretenedores, deberán contar con una constancia sobre valores retenidos, que acredite lo siguiente:</w:t>
      </w:r>
    </w:p>
    <w:p w14:paraId="06BACBCF" w14:textId="77777777" w:rsidR="00B2442D" w:rsidRDefault="00B2442D">
      <w:pPr>
        <w:jc w:val="both"/>
        <w:rPr>
          <w:rFonts w:ascii="Arial" w:hAnsi="Arial" w:cs="Arial"/>
          <w:lang w:val="es-CO"/>
        </w:rPr>
      </w:pPr>
    </w:p>
    <w:p w14:paraId="47297BDF" w14:textId="77777777" w:rsidR="00B2442D" w:rsidRDefault="008A645F">
      <w:pPr>
        <w:ind w:left="284" w:hanging="284"/>
        <w:jc w:val="both"/>
        <w:rPr>
          <w:rFonts w:ascii="Arial" w:hAnsi="Arial" w:cs="Arial"/>
          <w:lang w:val="es-CO"/>
        </w:rPr>
      </w:pPr>
      <w:r>
        <w:rPr>
          <w:rFonts w:ascii="Arial" w:hAnsi="Arial" w:cs="Arial"/>
          <w:lang w:val="es-CO"/>
        </w:rPr>
        <w:t xml:space="preserve">a) La identificación del título al </w:t>
      </w:r>
      <w:r>
        <w:rPr>
          <w:rFonts w:ascii="Arial" w:hAnsi="Arial" w:cs="Arial"/>
          <w:lang w:val="es-CO"/>
        </w:rPr>
        <w:t>cual corresponden;</w:t>
      </w:r>
    </w:p>
    <w:p w14:paraId="1D81F248" w14:textId="77777777" w:rsidR="00B2442D" w:rsidRDefault="00B2442D">
      <w:pPr>
        <w:ind w:left="284" w:hanging="284"/>
        <w:jc w:val="both"/>
        <w:rPr>
          <w:rFonts w:ascii="Arial" w:hAnsi="Arial" w:cs="Arial"/>
          <w:lang w:val="es-CO"/>
        </w:rPr>
      </w:pPr>
    </w:p>
    <w:p w14:paraId="1D386696" w14:textId="77777777" w:rsidR="00B2442D" w:rsidRDefault="008A645F">
      <w:pPr>
        <w:ind w:left="284" w:hanging="284"/>
        <w:jc w:val="both"/>
        <w:rPr>
          <w:rFonts w:ascii="Arial" w:hAnsi="Arial" w:cs="Arial"/>
          <w:lang w:val="es-CO"/>
        </w:rPr>
      </w:pPr>
      <w:r>
        <w:rPr>
          <w:rFonts w:ascii="Arial" w:hAnsi="Arial" w:cs="Arial"/>
          <w:lang w:val="es-CO"/>
        </w:rPr>
        <w:t>b) El monto de los rendimientos sobre los cuales se practica la retención;</w:t>
      </w:r>
    </w:p>
    <w:p w14:paraId="17C44556" w14:textId="77777777" w:rsidR="00B2442D" w:rsidRDefault="00B2442D">
      <w:pPr>
        <w:ind w:left="284" w:hanging="284"/>
        <w:jc w:val="both"/>
        <w:rPr>
          <w:rFonts w:ascii="Arial" w:hAnsi="Arial" w:cs="Arial"/>
          <w:lang w:val="es-CO"/>
        </w:rPr>
      </w:pPr>
    </w:p>
    <w:p w14:paraId="5FA4BA99" w14:textId="77777777" w:rsidR="00B2442D" w:rsidRDefault="008A645F">
      <w:pPr>
        <w:ind w:left="284" w:hanging="284"/>
        <w:jc w:val="both"/>
        <w:rPr>
          <w:rFonts w:ascii="Arial" w:hAnsi="Arial" w:cs="Arial"/>
          <w:lang w:val="es-CO"/>
        </w:rPr>
      </w:pPr>
      <w:r>
        <w:rPr>
          <w:rFonts w:ascii="Arial" w:hAnsi="Arial" w:cs="Arial"/>
          <w:lang w:val="es-CO"/>
        </w:rPr>
        <w:t>c) El porcentaje y cuantía de la retención practicada sobre los rendimientos del título;</w:t>
      </w:r>
    </w:p>
    <w:p w14:paraId="4D976EED" w14:textId="77777777" w:rsidR="00B2442D" w:rsidRDefault="00B2442D">
      <w:pPr>
        <w:ind w:left="284" w:hanging="284"/>
        <w:jc w:val="both"/>
        <w:rPr>
          <w:rFonts w:ascii="Arial" w:hAnsi="Arial" w:cs="Arial"/>
          <w:lang w:val="es-CO"/>
        </w:rPr>
      </w:pPr>
    </w:p>
    <w:p w14:paraId="458750CA" w14:textId="77777777" w:rsidR="00B2442D" w:rsidRDefault="008A645F">
      <w:pPr>
        <w:ind w:left="284" w:hanging="284"/>
        <w:jc w:val="both"/>
        <w:rPr>
          <w:rFonts w:ascii="Arial" w:hAnsi="Arial" w:cs="Arial"/>
          <w:lang w:val="es-CO"/>
        </w:rPr>
      </w:pPr>
      <w:r>
        <w:rPr>
          <w:rFonts w:ascii="Arial" w:hAnsi="Arial" w:cs="Arial"/>
          <w:lang w:val="es-CO"/>
        </w:rPr>
        <w:t>d) Las fechas que comprende el período al cual corresponden los rendim</w:t>
      </w:r>
      <w:r>
        <w:rPr>
          <w:rFonts w:ascii="Arial" w:hAnsi="Arial" w:cs="Arial"/>
          <w:lang w:val="es-CO"/>
        </w:rPr>
        <w:t>ientos sobre los cuales se practicó retención. Cuando la constancia sea expedida por una bolsa de valores, el período al cual corresponden los rendimientos estará determinado por la fecha de enajenación del título y la fecha del próximo pago de intereses o</w:t>
      </w:r>
      <w:r>
        <w:rPr>
          <w:rFonts w:ascii="Arial" w:hAnsi="Arial" w:cs="Arial"/>
          <w:lang w:val="es-CO"/>
        </w:rPr>
        <w:t xml:space="preserve"> la fecha de vencimiento si se trata de títulos con descuento sin pago periódico de intereses;</w:t>
      </w:r>
    </w:p>
    <w:p w14:paraId="7333354A" w14:textId="77777777" w:rsidR="00B2442D" w:rsidRDefault="00B2442D">
      <w:pPr>
        <w:ind w:left="284" w:hanging="284"/>
        <w:jc w:val="both"/>
        <w:rPr>
          <w:rFonts w:ascii="Arial" w:hAnsi="Arial" w:cs="Arial"/>
          <w:lang w:val="es-CO"/>
        </w:rPr>
      </w:pPr>
    </w:p>
    <w:p w14:paraId="0E9044E8" w14:textId="77777777" w:rsidR="00B2442D" w:rsidRDefault="008A645F">
      <w:pPr>
        <w:ind w:left="284" w:hanging="284"/>
        <w:jc w:val="both"/>
        <w:rPr>
          <w:rFonts w:ascii="Arial" w:hAnsi="Arial" w:cs="Arial"/>
          <w:lang w:val="es-CO"/>
        </w:rPr>
      </w:pPr>
      <w:r>
        <w:rPr>
          <w:rFonts w:ascii="Arial" w:hAnsi="Arial" w:cs="Arial"/>
          <w:lang w:val="es-CO"/>
        </w:rPr>
        <w:t>e) Apellidos y nombre o razón social y NIT del agente retenedor;</w:t>
      </w:r>
    </w:p>
    <w:p w14:paraId="4FB036D9" w14:textId="77777777" w:rsidR="00B2442D" w:rsidRDefault="00B2442D">
      <w:pPr>
        <w:ind w:left="284" w:hanging="284"/>
        <w:jc w:val="both"/>
        <w:rPr>
          <w:rFonts w:ascii="Arial" w:hAnsi="Arial" w:cs="Arial"/>
          <w:lang w:val="es-CO"/>
        </w:rPr>
      </w:pPr>
    </w:p>
    <w:p w14:paraId="3634F002" w14:textId="77777777" w:rsidR="00B2442D" w:rsidRDefault="008A645F">
      <w:pPr>
        <w:ind w:left="284" w:hanging="284"/>
        <w:jc w:val="both"/>
        <w:rPr>
          <w:rFonts w:ascii="Arial" w:hAnsi="Arial" w:cs="Arial"/>
          <w:lang w:val="es-CO"/>
        </w:rPr>
      </w:pPr>
      <w:r>
        <w:rPr>
          <w:rFonts w:ascii="Arial" w:hAnsi="Arial" w:cs="Arial"/>
          <w:lang w:val="es-CO"/>
        </w:rPr>
        <w:t>f) La fecha de expedición de la constancia;</w:t>
      </w:r>
    </w:p>
    <w:p w14:paraId="27E85A04" w14:textId="77777777" w:rsidR="00B2442D" w:rsidRDefault="00B2442D">
      <w:pPr>
        <w:ind w:left="284" w:hanging="284"/>
        <w:jc w:val="both"/>
        <w:rPr>
          <w:rFonts w:ascii="Arial" w:hAnsi="Arial" w:cs="Arial"/>
          <w:lang w:val="es-CO"/>
        </w:rPr>
      </w:pPr>
    </w:p>
    <w:p w14:paraId="17D20467" w14:textId="77777777" w:rsidR="00B2442D" w:rsidRDefault="008A645F">
      <w:pPr>
        <w:ind w:left="284" w:hanging="284"/>
        <w:jc w:val="both"/>
        <w:rPr>
          <w:rFonts w:ascii="Arial" w:hAnsi="Arial" w:cs="Arial"/>
          <w:lang w:val="es-CO"/>
        </w:rPr>
      </w:pPr>
      <w:r>
        <w:rPr>
          <w:rFonts w:ascii="Arial" w:hAnsi="Arial" w:cs="Arial"/>
          <w:lang w:val="es-CO"/>
        </w:rPr>
        <w:t>g) La firma autógrafa o mecánica de la persona au</w:t>
      </w:r>
      <w:r>
        <w:rPr>
          <w:rFonts w:ascii="Arial" w:hAnsi="Arial" w:cs="Arial"/>
          <w:lang w:val="es-CO"/>
        </w:rPr>
        <w:t>torizada para el efecto por el agente retenedor.</w:t>
      </w:r>
    </w:p>
    <w:p w14:paraId="6EFF98B0" w14:textId="77777777" w:rsidR="00B2442D" w:rsidRDefault="00B2442D">
      <w:pPr>
        <w:jc w:val="both"/>
        <w:rPr>
          <w:rFonts w:ascii="Arial" w:hAnsi="Arial" w:cs="Arial"/>
          <w:lang w:val="es-CO"/>
        </w:rPr>
      </w:pPr>
    </w:p>
    <w:p w14:paraId="5E919DC2"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De conformidad con lo previsto en los artículos 1.2.4.2.9 al 1.2.4.2.49 del presente Decreto, siempre que el adquirente de un título de rendimientos anticipados, sea un contribuyente que estand</w:t>
      </w:r>
      <w:r>
        <w:rPr>
          <w:rFonts w:ascii="Arial" w:hAnsi="Arial" w:cs="Arial"/>
          <w:lang w:val="es-CO"/>
        </w:rPr>
        <w:t>o sujeto a retención en la fuente, no tenga la calidad de agente autorretenedor, el emisor, el administrador de la emisión, el enajenante o la bolsa de valores, según el caso, deberá expedir para cada título y por una sola vez al momento de practicar la re</w:t>
      </w:r>
      <w:r>
        <w:rPr>
          <w:rFonts w:ascii="Arial" w:hAnsi="Arial" w:cs="Arial"/>
          <w:lang w:val="es-CO"/>
        </w:rPr>
        <w:t>tención en la fuente, una constancia sobre los valores retenidos con el cumplimiento de las exigencias señaladas en el presente artículo, la cual circulará conjuntamente con el título.</w:t>
      </w:r>
    </w:p>
    <w:p w14:paraId="135E0534" w14:textId="77777777" w:rsidR="00B2442D" w:rsidRDefault="00B2442D">
      <w:pPr>
        <w:jc w:val="both"/>
        <w:rPr>
          <w:rFonts w:ascii="Arial" w:hAnsi="Arial" w:cs="Arial"/>
          <w:lang w:val="es-CO"/>
        </w:rPr>
      </w:pPr>
    </w:p>
    <w:p w14:paraId="18FA5AAF" w14:textId="77777777" w:rsidR="00B2442D" w:rsidRDefault="008A645F">
      <w:pPr>
        <w:jc w:val="both"/>
        <w:rPr>
          <w:rFonts w:ascii="Arial" w:hAnsi="Arial" w:cs="Arial"/>
          <w:lang w:val="es-CO"/>
        </w:rPr>
      </w:pPr>
      <w:r>
        <w:rPr>
          <w:rFonts w:ascii="Arial" w:hAnsi="Arial" w:cs="Arial"/>
          <w:lang w:val="es-CO"/>
        </w:rPr>
        <w:t>Cuando la retención en la fuente sea practicada por una sociedad admin</w:t>
      </w:r>
      <w:r>
        <w:rPr>
          <w:rFonts w:ascii="Arial" w:hAnsi="Arial" w:cs="Arial"/>
          <w:lang w:val="es-CO"/>
        </w:rPr>
        <w:t>istradora de depósitos centralizados de valores o por el Banco de la República en administración del Depósito Central de Valores, la anotación que al respecto se haga al realizar el registro electrónico del título, suplirá la expedición de la constancia de</w:t>
      </w:r>
      <w:r>
        <w:rPr>
          <w:rFonts w:ascii="Arial" w:hAnsi="Arial" w:cs="Arial"/>
          <w:lang w:val="es-CO"/>
        </w:rPr>
        <w:t xml:space="preserve"> que trata el presente artículo, siempre y cuando se consigne de manera completa en el registro la información exigida para dicha constancia y adicionalmente, en las constancias de depósito y los certificados expedidos por las sociedades administradoras ta</w:t>
      </w:r>
      <w:r>
        <w:rPr>
          <w:rFonts w:ascii="Arial" w:hAnsi="Arial" w:cs="Arial"/>
          <w:lang w:val="es-CO"/>
        </w:rPr>
        <w:t>mbién se consigne de manera completa la misma información. De no cumplirse con estas exigencias, deberá expedirse la constancia de que trata el presente artículo.</w:t>
      </w:r>
    </w:p>
    <w:p w14:paraId="5775A74A" w14:textId="77777777" w:rsidR="00B2442D" w:rsidRDefault="00B2442D">
      <w:pPr>
        <w:jc w:val="both"/>
        <w:rPr>
          <w:rFonts w:ascii="Arial" w:hAnsi="Arial" w:cs="Arial"/>
          <w:lang w:val="es-CO"/>
        </w:rPr>
      </w:pPr>
    </w:p>
    <w:p w14:paraId="579FB92B"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se trate de títulos con pago de intereses anticipados de manera periódic</w:t>
      </w:r>
      <w:r>
        <w:rPr>
          <w:rFonts w:ascii="Arial" w:hAnsi="Arial" w:cs="Arial"/>
          <w:lang w:val="es-CO"/>
        </w:rPr>
        <w:t>a, siempre que el beneficiario sea un contribuyente del impuesto sobre la renta y complementario que estando sujeto a retención en la fuente, no tenga la calidad de agente autorretenedor de rendimientos financieros, el emisor o el administrador de la emisi</w:t>
      </w:r>
      <w:r>
        <w:rPr>
          <w:rFonts w:ascii="Arial" w:hAnsi="Arial" w:cs="Arial"/>
          <w:lang w:val="es-CO"/>
        </w:rPr>
        <w:t>ón deberá expedir una constancia por cada una de las retenciones en la fuente que realice sobre los pagos o abonos en cuenta periódicos efectuados. No obstante, solo será exigible que circule conjuntamente con el título, durante el respectivo período de in</w:t>
      </w:r>
      <w:r>
        <w:rPr>
          <w:rFonts w:ascii="Arial" w:hAnsi="Arial" w:cs="Arial"/>
          <w:lang w:val="es-CO"/>
        </w:rPr>
        <w:t>tereses, la constancia que corresponda al último pago realizado en favor de un contribuyente que estando sujeto a retención en la fuente, no tuviera la calidad de autorretenedor.</w:t>
      </w:r>
    </w:p>
    <w:p w14:paraId="258F870E" w14:textId="77777777" w:rsidR="00B2442D" w:rsidRDefault="00B2442D">
      <w:pPr>
        <w:jc w:val="both"/>
        <w:rPr>
          <w:rFonts w:ascii="Arial" w:hAnsi="Arial" w:cs="Arial"/>
          <w:b/>
          <w:lang w:val="es-CO"/>
        </w:rPr>
      </w:pPr>
    </w:p>
    <w:p w14:paraId="0E3CF529"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Para todos los efectos de los artículos 1.2.4.2.9 al 1.2.4.2.49 del presente Decreto, se entiende por constancia sobre valores retenidos, aquella que cumple con la totalidad de los requisitos aquí señalados, y aquella expedida durante la vigencia de los D</w:t>
      </w:r>
      <w:r>
        <w:rPr>
          <w:rFonts w:ascii="Arial" w:hAnsi="Arial" w:cs="Arial"/>
          <w:lang w:val="es-CO"/>
        </w:rPr>
        <w:t>ecretos 1960 y 2360 de 1996 (31 de marzo de 1997), con el cumplimiento de los requisitos señalados en los Decretos 1960 y 2360 de 1996, o la norma que los sustituya, adicione o modifique.</w:t>
      </w:r>
    </w:p>
    <w:p w14:paraId="5395EDE6" w14:textId="77777777" w:rsidR="00B2442D" w:rsidRDefault="00B2442D">
      <w:pPr>
        <w:jc w:val="both"/>
        <w:rPr>
          <w:rFonts w:ascii="Arial" w:hAnsi="Arial" w:cs="Arial"/>
          <w:i/>
          <w:lang w:val="es-CO"/>
        </w:rPr>
      </w:pPr>
    </w:p>
    <w:p w14:paraId="39D47FC0" w14:textId="77777777" w:rsidR="00B2442D" w:rsidRDefault="008A645F">
      <w:pPr>
        <w:jc w:val="both"/>
        <w:rPr>
          <w:rFonts w:ascii="Arial" w:hAnsi="Arial" w:cs="Arial"/>
          <w:i/>
          <w:lang w:val="es-CO"/>
        </w:rPr>
      </w:pPr>
      <w:r>
        <w:rPr>
          <w:rFonts w:ascii="Arial" w:hAnsi="Arial" w:cs="Arial"/>
          <w:i/>
          <w:lang w:val="es-CO"/>
        </w:rPr>
        <w:t>(Art. 18, Decreto 700 de 1997)</w:t>
      </w:r>
      <w:r>
        <w:rPr>
          <w:rFonts w:ascii="Arial" w:hAnsi="Arial" w:cs="Arial"/>
          <w:lang w:val="es-CO"/>
        </w:rPr>
        <w:t xml:space="preserve"> </w:t>
      </w:r>
      <w:r>
        <w:rPr>
          <w:rFonts w:ascii="Arial" w:hAnsi="Arial" w:cs="Arial"/>
          <w:i/>
          <w:lang w:val="es-CO"/>
        </w:rPr>
        <w:t xml:space="preserve">(El 31 de marzo de 1997 es la </w:t>
      </w:r>
      <w:r>
        <w:rPr>
          <w:rFonts w:ascii="Arial" w:hAnsi="Arial" w:cs="Arial"/>
          <w:i/>
          <w:lang w:val="es-CO"/>
        </w:rPr>
        <w:t>fecha en que en terminó la vigencia de los Decretos 1960 y 2360 de 1996, por derogatoria expresa por el artículo 45 del Decreto 700)</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w:t>
      </w:r>
      <w:r>
        <w:rPr>
          <w:rFonts w:ascii="Arial" w:hAnsi="Arial" w:cs="Arial"/>
          <w:i/>
          <w:lang w:val="es-CO"/>
        </w:rPr>
        <w:t>iciones que le sean contrarias. Art. 45, Decreto 700 de 1997)</w:t>
      </w:r>
    </w:p>
    <w:p w14:paraId="2835B182" w14:textId="77777777" w:rsidR="00B2442D" w:rsidRDefault="00B2442D">
      <w:pPr>
        <w:jc w:val="both"/>
        <w:rPr>
          <w:rFonts w:ascii="Arial" w:hAnsi="Arial" w:cs="Arial"/>
          <w:lang w:val="es-CO"/>
        </w:rPr>
      </w:pPr>
    </w:p>
    <w:p w14:paraId="2EE78A0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Registro en cuenta o anotación en cuenta de títulos con pago de rendimientos anticipados. </w:t>
      </w:r>
      <w:r>
        <w:rPr>
          <w:rFonts w:ascii="Arial" w:hAnsi="Arial" w:cs="Arial"/>
          <w:lang w:val="es-CO"/>
        </w:rPr>
        <w:t>Con el objeto de que las sociedades administradoras de depósitos centralizados de valores y el Banco d</w:t>
      </w:r>
      <w:r>
        <w:rPr>
          <w:rFonts w:ascii="Arial" w:hAnsi="Arial" w:cs="Arial"/>
          <w:lang w:val="es-CO"/>
        </w:rPr>
        <w:t xml:space="preserve">e la República en administración del Depósito Central de Valores, realicen el registro o anotación en cuenta de títulos con intereses y/o descuentos, depositados por un contribuyente que estando sometido a la retención en la fuente, no tenga la calidad de </w:t>
      </w:r>
      <w:r>
        <w:rPr>
          <w:rFonts w:ascii="Arial" w:hAnsi="Arial" w:cs="Arial"/>
          <w:lang w:val="es-CO"/>
        </w:rPr>
        <w:t>agente autorretenedor de rendimientos financieros, el depositante deberá informar o consignar en los sistemas de anotación y registro de las sociedades administradoras o del Banco de la República, que Ios rendimientos del título se sometieron a la correspo</w:t>
      </w:r>
      <w:r>
        <w:rPr>
          <w:rFonts w:ascii="Arial" w:hAnsi="Arial" w:cs="Arial"/>
          <w:lang w:val="es-CO"/>
        </w:rPr>
        <w:t>ndiente retención en la fuente, de conformidad con la información consignada en la constancia sobre valores retenidos.</w:t>
      </w:r>
    </w:p>
    <w:p w14:paraId="03A6815D" w14:textId="77777777" w:rsidR="00B2442D" w:rsidRDefault="00B2442D">
      <w:pPr>
        <w:jc w:val="both"/>
        <w:rPr>
          <w:rFonts w:ascii="Arial" w:hAnsi="Arial" w:cs="Arial"/>
          <w:lang w:val="es-CO"/>
        </w:rPr>
      </w:pPr>
    </w:p>
    <w:p w14:paraId="25BD9252" w14:textId="77777777" w:rsidR="00B2442D" w:rsidRDefault="008A645F">
      <w:pPr>
        <w:jc w:val="both"/>
        <w:rPr>
          <w:rFonts w:ascii="Arial" w:hAnsi="Arial" w:cs="Arial"/>
          <w:lang w:val="es-CO"/>
        </w:rPr>
      </w:pPr>
      <w:r>
        <w:rPr>
          <w:rFonts w:ascii="Arial" w:hAnsi="Arial" w:cs="Arial"/>
          <w:lang w:val="es-CO"/>
        </w:rPr>
        <w:t xml:space="preserve">Las sociedades administradoras y el Banco de la República se abstendrán de realizar el respectivo registro o anotación en cuenta cuando </w:t>
      </w:r>
      <w:r>
        <w:rPr>
          <w:rFonts w:ascii="Arial" w:hAnsi="Arial" w:cs="Arial"/>
          <w:lang w:val="es-CO"/>
        </w:rPr>
        <w:t>el depositante no suministre o transmita la información completa consignada en la constancia sobre valores retenidos.</w:t>
      </w:r>
    </w:p>
    <w:p w14:paraId="74A31CD7" w14:textId="77777777" w:rsidR="00B2442D" w:rsidRDefault="00B2442D">
      <w:pPr>
        <w:jc w:val="both"/>
        <w:rPr>
          <w:rFonts w:ascii="Arial" w:hAnsi="Arial" w:cs="Arial"/>
          <w:i/>
          <w:lang w:val="es-CO"/>
        </w:rPr>
      </w:pPr>
    </w:p>
    <w:p w14:paraId="30966821" w14:textId="77777777" w:rsidR="00B2442D" w:rsidRDefault="008A645F">
      <w:pPr>
        <w:jc w:val="both"/>
        <w:rPr>
          <w:rFonts w:ascii="Arial" w:hAnsi="Arial" w:cs="Arial"/>
          <w:i/>
          <w:lang w:val="es-CO"/>
        </w:rPr>
      </w:pPr>
      <w:r>
        <w:rPr>
          <w:rFonts w:ascii="Arial" w:hAnsi="Arial" w:cs="Arial"/>
          <w:i/>
          <w:lang w:val="es-CO"/>
        </w:rPr>
        <w:t>(Art. 19,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w:t>
      </w:r>
      <w:r>
        <w:rPr>
          <w:rFonts w:ascii="Arial" w:hAnsi="Arial" w:cs="Arial"/>
          <w:i/>
          <w:lang w:val="es-CO"/>
        </w:rPr>
        <w:t xml:space="preserve"> las demás disposiciones que le sean contrarias. Art. 45, Decreto 700 de 1997)</w:t>
      </w:r>
    </w:p>
    <w:p w14:paraId="152595EE" w14:textId="77777777" w:rsidR="00B2442D" w:rsidRDefault="00B2442D">
      <w:pPr>
        <w:jc w:val="both"/>
        <w:rPr>
          <w:rFonts w:ascii="Arial" w:hAnsi="Arial" w:cs="Arial"/>
          <w:lang w:val="es-CO"/>
        </w:rPr>
      </w:pPr>
    </w:p>
    <w:p w14:paraId="5DF57A1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Constancias sobre valores retenidos de títulos en depósito.</w:t>
      </w:r>
      <w:r>
        <w:rPr>
          <w:rFonts w:ascii="Arial" w:hAnsi="Arial" w:cs="Arial"/>
          <w:b/>
          <w:lang w:val="es-CO"/>
        </w:rPr>
        <w:t xml:space="preserve"> </w:t>
      </w:r>
      <w:r>
        <w:rPr>
          <w:rFonts w:ascii="Arial" w:hAnsi="Arial" w:cs="Arial"/>
          <w:lang w:val="es-CO"/>
        </w:rPr>
        <w:t xml:space="preserve">Cuando de conformidad con lo previsto en los artículos 1.2.4.2.9 al 1.2.4.2.49 del presente Decreto, en el mercado </w:t>
      </w:r>
      <w:r>
        <w:rPr>
          <w:rFonts w:ascii="Arial" w:hAnsi="Arial" w:cs="Arial"/>
          <w:lang w:val="es-CO"/>
        </w:rPr>
        <w:t>secundario se deba practicar la retención en la fuente de un título con rendimientos anticipados que se encuentren depositados en un depósito centralizado de valores, el enajenante deberá; expedir la constancia sobre valores retenidos, conjuntamente con la</w:t>
      </w:r>
      <w:r>
        <w:rPr>
          <w:rFonts w:ascii="Arial" w:hAnsi="Arial" w:cs="Arial"/>
          <w:lang w:val="es-CO"/>
        </w:rPr>
        <w:t xml:space="preserve"> orden de transferencia del título y podrá ser transmitida a la sociedad administradora de depósito por el mismo medio fidedigno previsto en el reglamento para la transmisión de la orden escrita de transferencia.</w:t>
      </w:r>
    </w:p>
    <w:p w14:paraId="2D58B744" w14:textId="77777777" w:rsidR="00B2442D" w:rsidRDefault="00B2442D">
      <w:pPr>
        <w:jc w:val="both"/>
        <w:rPr>
          <w:rFonts w:ascii="Arial" w:hAnsi="Arial" w:cs="Arial"/>
          <w:lang w:val="es-CO"/>
        </w:rPr>
      </w:pPr>
    </w:p>
    <w:p w14:paraId="3F7B846B" w14:textId="77777777" w:rsidR="00B2442D" w:rsidRDefault="008A645F">
      <w:pPr>
        <w:jc w:val="both"/>
        <w:rPr>
          <w:rFonts w:ascii="Arial" w:hAnsi="Arial" w:cs="Arial"/>
          <w:lang w:val="es-CO"/>
        </w:rPr>
      </w:pPr>
      <w:r>
        <w:rPr>
          <w:rFonts w:ascii="Arial" w:hAnsi="Arial" w:cs="Arial"/>
          <w:lang w:val="es-CO"/>
        </w:rPr>
        <w:t>Cuando la negociación del título se realic</w:t>
      </w:r>
      <w:r>
        <w:rPr>
          <w:rFonts w:ascii="Arial" w:hAnsi="Arial" w:cs="Arial"/>
          <w:lang w:val="es-CO"/>
        </w:rPr>
        <w:t>e a través de una bolsa de valores y esta tenga la obligación de comunicar al depósito centralizado de valores las órdenes de transferencia de los títulos, deberá al mismo tiempo transmitir la información correspondiente a la retención en la fuente sobre l</w:t>
      </w:r>
      <w:r>
        <w:rPr>
          <w:rFonts w:ascii="Arial" w:hAnsi="Arial" w:cs="Arial"/>
          <w:lang w:val="es-CO"/>
        </w:rPr>
        <w:t xml:space="preserve">os rendimientos anticipados, con base en la constancia sobre valores retenidos expedida por el agente retenedor. </w:t>
      </w:r>
    </w:p>
    <w:p w14:paraId="0093D91D" w14:textId="77777777" w:rsidR="00B2442D" w:rsidRDefault="00B2442D">
      <w:pPr>
        <w:jc w:val="both"/>
        <w:rPr>
          <w:rFonts w:ascii="Arial" w:hAnsi="Arial" w:cs="Arial"/>
          <w:lang w:val="es-CO"/>
        </w:rPr>
      </w:pPr>
    </w:p>
    <w:p w14:paraId="42FCD1A7" w14:textId="77777777" w:rsidR="00B2442D" w:rsidRDefault="008A645F">
      <w:pPr>
        <w:jc w:val="both"/>
        <w:rPr>
          <w:rFonts w:ascii="Arial" w:hAnsi="Arial" w:cs="Arial"/>
          <w:lang w:val="es-CO"/>
        </w:rPr>
      </w:pPr>
      <w:r>
        <w:rPr>
          <w:rFonts w:ascii="Arial" w:hAnsi="Arial" w:cs="Arial"/>
          <w:lang w:val="es-CO"/>
        </w:rPr>
        <w:t>El registro en cuenta o anotación en cuenta que realice la sociedad administradora del depósito centralizado de valores con base en la transm</w:t>
      </w:r>
      <w:r>
        <w:rPr>
          <w:rFonts w:ascii="Arial" w:hAnsi="Arial" w:cs="Arial"/>
          <w:lang w:val="es-CO"/>
        </w:rPr>
        <w:t>isión de la constancia sobre valores retenidos, expedida por el agente retenedor, sustituirá la obligación de anexar el papel físico de la constancia al respectivo título, siempre y cuando la sociedad administradora consigne de manera completa la misma inf</w:t>
      </w:r>
      <w:r>
        <w:rPr>
          <w:rFonts w:ascii="Arial" w:hAnsi="Arial" w:cs="Arial"/>
          <w:lang w:val="es-CO"/>
        </w:rPr>
        <w:t>ormación en las constancias de depósitos y los certificados que expida en relación con los mismos.</w:t>
      </w:r>
    </w:p>
    <w:p w14:paraId="7803BC46" w14:textId="77777777" w:rsidR="00B2442D" w:rsidRDefault="00B2442D">
      <w:pPr>
        <w:jc w:val="both"/>
        <w:rPr>
          <w:rFonts w:ascii="Arial" w:hAnsi="Arial" w:cs="Arial"/>
          <w:lang w:val="es-CO"/>
        </w:rPr>
      </w:pPr>
    </w:p>
    <w:p w14:paraId="425AAF1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el evento previsto en el artículo 1.2.4.2.16 del presente Decreto, el depositante deberá informar a la sociedad administradora del depósito, l</w:t>
      </w:r>
      <w:r>
        <w:rPr>
          <w:rFonts w:ascii="Arial" w:hAnsi="Arial" w:cs="Arial"/>
          <w:lang w:val="es-CO"/>
        </w:rPr>
        <w:t>a información contenida en la constancia sobre valores retenidos.</w:t>
      </w:r>
    </w:p>
    <w:p w14:paraId="2BFC8B62" w14:textId="77777777" w:rsidR="00B2442D" w:rsidRDefault="00B2442D">
      <w:pPr>
        <w:jc w:val="both"/>
        <w:rPr>
          <w:rFonts w:ascii="Arial" w:hAnsi="Arial" w:cs="Arial"/>
          <w:i/>
          <w:lang w:val="es-CO"/>
        </w:rPr>
      </w:pPr>
    </w:p>
    <w:p w14:paraId="127BE9A6" w14:textId="77777777" w:rsidR="00B2442D" w:rsidRDefault="008A645F">
      <w:pPr>
        <w:jc w:val="both"/>
        <w:rPr>
          <w:rFonts w:ascii="Arial" w:hAnsi="Arial" w:cs="Arial"/>
          <w:i/>
          <w:lang w:val="es-CO"/>
        </w:rPr>
      </w:pPr>
      <w:r>
        <w:rPr>
          <w:rFonts w:ascii="Arial" w:hAnsi="Arial" w:cs="Arial"/>
          <w:i/>
          <w:lang w:val="es-CO"/>
        </w:rPr>
        <w:t>(Art. 20,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w:t>
      </w:r>
      <w:r>
        <w:rPr>
          <w:rFonts w:ascii="Arial" w:hAnsi="Arial" w:cs="Arial"/>
          <w:i/>
          <w:lang w:val="es-CO"/>
        </w:rPr>
        <w:t>. 45, Decreto 700 de 1997)</w:t>
      </w:r>
    </w:p>
    <w:p w14:paraId="36BF3DE0" w14:textId="77777777" w:rsidR="00B2442D" w:rsidRDefault="00B2442D">
      <w:pPr>
        <w:jc w:val="both"/>
        <w:rPr>
          <w:rFonts w:ascii="Arial" w:hAnsi="Arial" w:cs="Arial"/>
          <w:lang w:val="es-CO"/>
        </w:rPr>
      </w:pPr>
    </w:p>
    <w:p w14:paraId="61B5998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Títulos globales que reconozcan rendimientos anticipados.</w:t>
      </w:r>
      <w:r>
        <w:rPr>
          <w:rFonts w:ascii="Arial" w:hAnsi="Arial" w:cs="Arial"/>
          <w:lang w:val="es-CO"/>
        </w:rPr>
        <w:t xml:space="preserve"> Cuando uno o varios de los beneficiarios de un título global entregado por una sociedad emisora a un depósito centralizado de valores de conformidad con lo previsto en e</w:t>
      </w:r>
      <w:r>
        <w:rPr>
          <w:rFonts w:ascii="Arial" w:hAnsi="Arial" w:cs="Arial"/>
          <w:lang w:val="es-CO"/>
        </w:rPr>
        <w:t>l artículo 10 del Decreto 437 de 1992 (hoy Libro 14, Título 2, Capítulo 2, artículo 2.14.2.2.2 del Decreto 2555 de 2010), no sean contribuyentes del impuesto sobre la renta y complementario o sea exento de dicho impuesto o no se encuentren sometidos a rete</w:t>
      </w:r>
      <w:r>
        <w:rPr>
          <w:rFonts w:ascii="Arial" w:hAnsi="Arial" w:cs="Arial"/>
          <w:lang w:val="es-CO"/>
        </w:rPr>
        <w:t>nción en la fuente por expresa disposición legal, o tengan la calidad de agentes autorretenedores de rendimientos financieros, la sociedad administradora del depósito centralizado de valores deberá hacer constar en el registro electrónico de los derechos d</w:t>
      </w:r>
      <w:r>
        <w:rPr>
          <w:rFonts w:ascii="Arial" w:hAnsi="Arial" w:cs="Arial"/>
          <w:lang w:val="es-CO"/>
        </w:rPr>
        <w:t>el título global anotado en cuenta, la retención en la fuente practicada sobre la parte de los rendimientos financieros anticipados correspondiente a los beneficiarios, todo de conformidad con la constancia sobre valores retenidos, expedida por el agente r</w:t>
      </w:r>
      <w:r>
        <w:rPr>
          <w:rFonts w:ascii="Arial" w:hAnsi="Arial" w:cs="Arial"/>
          <w:lang w:val="es-CO"/>
        </w:rPr>
        <w:t>etenedor para el título global.</w:t>
      </w:r>
    </w:p>
    <w:p w14:paraId="0ECFEA79" w14:textId="77777777" w:rsidR="00B2442D" w:rsidRDefault="00B2442D">
      <w:pPr>
        <w:jc w:val="both"/>
        <w:rPr>
          <w:rFonts w:ascii="Arial" w:hAnsi="Arial" w:cs="Arial"/>
          <w:lang w:val="es-CO"/>
        </w:rPr>
      </w:pPr>
    </w:p>
    <w:p w14:paraId="5962E54B" w14:textId="77777777" w:rsidR="00B2442D" w:rsidRDefault="008A645F">
      <w:pPr>
        <w:jc w:val="both"/>
        <w:rPr>
          <w:rFonts w:ascii="Arial" w:hAnsi="Arial" w:cs="Arial"/>
          <w:lang w:val="es-CO"/>
        </w:rPr>
      </w:pPr>
      <w:r>
        <w:rPr>
          <w:rFonts w:ascii="Arial" w:hAnsi="Arial" w:cs="Arial"/>
          <w:lang w:val="es-CO"/>
        </w:rPr>
        <w:t>Los beneficiarios de un título global que no se encuentren sometidos a la retención en la fuente o los legítimos tenedores que tengan la calidad de agente autorretenedores de rendimientos financieros, deberán practicar la r</w:t>
      </w:r>
      <w:r>
        <w:rPr>
          <w:rFonts w:ascii="Arial" w:hAnsi="Arial" w:cs="Arial"/>
          <w:lang w:val="es-CO"/>
        </w:rPr>
        <w:t>espectiva retención al momento de la primera enajenación de sus derechos en favor de un contribuyente del impuesto sobre la rentas que no tenga la calidad de agente autorretenedor de rendimiento financiero y deberán expedir la constancia sobre valores rete</w:t>
      </w:r>
      <w:r>
        <w:rPr>
          <w:rFonts w:ascii="Arial" w:hAnsi="Arial" w:cs="Arial"/>
          <w:lang w:val="es-CO"/>
        </w:rPr>
        <w:t>nidos, en relación con los rendimientos anticipados correspondiente a los derechos enajenados sobre el título global.</w:t>
      </w:r>
    </w:p>
    <w:p w14:paraId="42035712" w14:textId="77777777" w:rsidR="00B2442D" w:rsidRDefault="00B2442D">
      <w:pPr>
        <w:jc w:val="both"/>
        <w:rPr>
          <w:rFonts w:ascii="Arial" w:hAnsi="Arial" w:cs="Arial"/>
          <w:i/>
          <w:lang w:val="es-CO"/>
        </w:rPr>
      </w:pPr>
    </w:p>
    <w:p w14:paraId="15302BCD" w14:textId="77777777" w:rsidR="00B2442D" w:rsidRDefault="008A645F">
      <w:pPr>
        <w:jc w:val="both"/>
        <w:rPr>
          <w:rFonts w:ascii="Arial" w:hAnsi="Arial" w:cs="Arial"/>
          <w:i/>
          <w:lang w:val="es-CO"/>
        </w:rPr>
      </w:pPr>
      <w:r>
        <w:rPr>
          <w:rFonts w:ascii="Arial" w:hAnsi="Arial" w:cs="Arial"/>
          <w:i/>
          <w:lang w:val="es-CO"/>
        </w:rPr>
        <w:t>(Art. 21,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w:t>
      </w:r>
      <w:r>
        <w:rPr>
          <w:rFonts w:ascii="Arial" w:hAnsi="Arial" w:cs="Arial"/>
          <w:i/>
          <w:lang w:val="es-CO"/>
        </w:rPr>
        <w:t xml:space="preserve"> las demás disposiciones que le sean contrarias. Art. 45, Decreto 700 de 1997)</w:t>
      </w:r>
    </w:p>
    <w:p w14:paraId="740D1E47" w14:textId="77777777" w:rsidR="00B2442D" w:rsidRDefault="00B2442D">
      <w:pPr>
        <w:jc w:val="both"/>
        <w:rPr>
          <w:rFonts w:ascii="Arial" w:hAnsi="Arial" w:cs="Arial"/>
          <w:lang w:val="es-CO"/>
        </w:rPr>
      </w:pPr>
    </w:p>
    <w:p w14:paraId="364F7C9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Expedición de constancia sobre valores retenidos en el fraccionamiento de títulos.</w:t>
      </w:r>
      <w:r>
        <w:rPr>
          <w:rFonts w:ascii="Arial" w:hAnsi="Arial" w:cs="Arial"/>
          <w:lang w:val="es-CO"/>
        </w:rPr>
        <w:t xml:space="preserve"> Las sociedades administradoras de depósitos centralizados de valores o el Banco de la Repúbl</w:t>
      </w:r>
      <w:r>
        <w:rPr>
          <w:rFonts w:ascii="Arial" w:hAnsi="Arial" w:cs="Arial"/>
          <w:lang w:val="es-CO"/>
        </w:rPr>
        <w:t xml:space="preserve">ica en administración del Depósito Central de Valores, que fraccionen títulos cuyos descuentos y rendimientos anticipados hayan estado sometidos a las respectivas retención en la fuente y cuenten con la correspondiente constancia sobre valores retenidos o </w:t>
      </w:r>
      <w:r>
        <w:rPr>
          <w:rFonts w:ascii="Arial" w:hAnsi="Arial" w:cs="Arial"/>
          <w:lang w:val="es-CO"/>
        </w:rPr>
        <w:t>la equivalente anotación en el registro electrónicos de los mismos, deberán anotar en el registro electrónico de conformidad con lo dispuesto en los artículos 1.2.4.2.9 al 1.2.4.2.49 del presente Decreto, en proporción a los rendimientos financieros corres</w:t>
      </w:r>
      <w:r>
        <w:rPr>
          <w:rFonts w:ascii="Arial" w:hAnsi="Arial" w:cs="Arial"/>
          <w:lang w:val="es-CO"/>
        </w:rPr>
        <w:t>pondiente a los nuevos títulos y con base en la información consignada en la constancia perteneciente al título original.</w:t>
      </w:r>
    </w:p>
    <w:p w14:paraId="226B4476" w14:textId="77777777" w:rsidR="00B2442D" w:rsidRDefault="00B2442D">
      <w:pPr>
        <w:jc w:val="both"/>
        <w:rPr>
          <w:rFonts w:ascii="Arial" w:hAnsi="Arial" w:cs="Arial"/>
          <w:lang w:val="es-CO"/>
        </w:rPr>
      </w:pPr>
    </w:p>
    <w:p w14:paraId="082E1EAA" w14:textId="77777777" w:rsidR="00B2442D" w:rsidRDefault="008A645F">
      <w:pPr>
        <w:jc w:val="both"/>
        <w:rPr>
          <w:rFonts w:ascii="Arial" w:hAnsi="Arial" w:cs="Arial"/>
          <w:lang w:val="es-CO"/>
        </w:rPr>
      </w:pPr>
      <w:r>
        <w:rPr>
          <w:rFonts w:ascii="Arial" w:hAnsi="Arial" w:cs="Arial"/>
          <w:lang w:val="es-CO"/>
        </w:rPr>
        <w:t xml:space="preserve">La anotación que al respecto se haga al realizar el registro electrónico de cada nuevo título, suplirá la expedición de la </w:t>
      </w:r>
      <w:r>
        <w:rPr>
          <w:rFonts w:ascii="Arial" w:hAnsi="Arial" w:cs="Arial"/>
          <w:lang w:val="es-CO"/>
        </w:rPr>
        <w:t>constancia sobre valores retenidos, siempre y cuando, en las constancias de depósito y los certificados expedidos por las sociedades administradoras también se consigne de manera completa la misma información.</w:t>
      </w:r>
    </w:p>
    <w:p w14:paraId="6C5B1148" w14:textId="77777777" w:rsidR="00B2442D" w:rsidRDefault="00B2442D">
      <w:pPr>
        <w:jc w:val="both"/>
        <w:rPr>
          <w:rFonts w:ascii="Arial" w:hAnsi="Arial" w:cs="Arial"/>
          <w:lang w:val="es-CO"/>
        </w:rPr>
      </w:pPr>
    </w:p>
    <w:p w14:paraId="7CB2F9D4" w14:textId="77777777" w:rsidR="00B2442D" w:rsidRDefault="008A645F">
      <w:pPr>
        <w:jc w:val="both"/>
        <w:rPr>
          <w:rFonts w:ascii="Arial" w:hAnsi="Arial" w:cs="Arial"/>
          <w:lang w:val="es-CO"/>
        </w:rPr>
      </w:pPr>
      <w:r>
        <w:rPr>
          <w:rFonts w:ascii="Arial" w:hAnsi="Arial" w:cs="Arial"/>
          <w:lang w:val="es-CO"/>
        </w:rPr>
        <w:t>Cuando haya lugar a la materialización de los</w:t>
      </w:r>
      <w:r>
        <w:rPr>
          <w:rFonts w:ascii="Arial" w:hAnsi="Arial" w:cs="Arial"/>
          <w:lang w:val="es-CO"/>
        </w:rPr>
        <w:t xml:space="preserve"> nuevos títulos, las sociedades administradoras de los depósitos centralizados de valores o el Banco de la República en administración del Depósito Central de Valores, expedirán para cada uno de los títulos, la constancia sobre valores retenidos, en propor</w:t>
      </w:r>
      <w:r>
        <w:rPr>
          <w:rFonts w:ascii="Arial" w:hAnsi="Arial" w:cs="Arial"/>
          <w:lang w:val="es-CO"/>
        </w:rPr>
        <w:t>ción con los rendimientos financieros correspondientes a los nuevos títulos y con base en la información consignada en la constancia perteneciente al título original.</w:t>
      </w:r>
    </w:p>
    <w:p w14:paraId="792731D3" w14:textId="77777777" w:rsidR="00B2442D" w:rsidRDefault="00B2442D">
      <w:pPr>
        <w:jc w:val="both"/>
        <w:rPr>
          <w:rFonts w:ascii="Arial" w:hAnsi="Arial" w:cs="Arial"/>
          <w:lang w:val="es-CO"/>
        </w:rPr>
      </w:pPr>
    </w:p>
    <w:p w14:paraId="6FAF5693" w14:textId="77777777" w:rsidR="00B2442D" w:rsidRDefault="008A645F">
      <w:pPr>
        <w:jc w:val="both"/>
        <w:rPr>
          <w:rFonts w:ascii="Arial" w:hAnsi="Arial" w:cs="Arial"/>
          <w:lang w:val="es-CO"/>
        </w:rPr>
      </w:pPr>
      <w:r>
        <w:rPr>
          <w:rFonts w:ascii="Arial" w:hAnsi="Arial" w:cs="Arial"/>
          <w:lang w:val="es-CO"/>
        </w:rPr>
        <w:t>En el evento de realizarse un fraccionamiento de títulos sin desmaterialización, corresp</w:t>
      </w:r>
      <w:r>
        <w:rPr>
          <w:rFonts w:ascii="Arial" w:hAnsi="Arial" w:cs="Arial"/>
          <w:lang w:val="es-CO"/>
        </w:rPr>
        <w:t>onderá a la persona que realice el fraccionamiento, expedir para cada nuevo título, la constancia sobre valores retenidos, en proporción a los rendimientos financieros correspondientes a los nuevos títulos y con base en la información consignada en la cons</w:t>
      </w:r>
      <w:r>
        <w:rPr>
          <w:rFonts w:ascii="Arial" w:hAnsi="Arial" w:cs="Arial"/>
          <w:lang w:val="es-CO"/>
        </w:rPr>
        <w:t>tancia perteneciente al título original.</w:t>
      </w:r>
    </w:p>
    <w:p w14:paraId="34992709" w14:textId="77777777" w:rsidR="00B2442D" w:rsidRDefault="00B2442D">
      <w:pPr>
        <w:jc w:val="both"/>
        <w:rPr>
          <w:rFonts w:ascii="Arial" w:hAnsi="Arial" w:cs="Arial"/>
          <w:i/>
          <w:lang w:val="es-CO"/>
        </w:rPr>
      </w:pPr>
    </w:p>
    <w:p w14:paraId="727B51D1" w14:textId="77777777" w:rsidR="00B2442D" w:rsidRDefault="008A645F">
      <w:pPr>
        <w:jc w:val="both"/>
        <w:rPr>
          <w:rFonts w:ascii="Arial" w:hAnsi="Arial" w:cs="Arial"/>
          <w:i/>
          <w:lang w:val="es-CO"/>
        </w:rPr>
      </w:pPr>
      <w:r>
        <w:rPr>
          <w:rFonts w:ascii="Arial" w:hAnsi="Arial" w:cs="Arial"/>
          <w:i/>
          <w:lang w:val="es-CO"/>
        </w:rPr>
        <w:t>(Art. 22,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r>
        <w:rPr>
          <w:rFonts w:ascii="Arial" w:hAnsi="Arial" w:cs="Arial"/>
          <w:i/>
          <w:lang w:val="es-CO"/>
        </w:rPr>
        <w:t>)</w:t>
      </w:r>
    </w:p>
    <w:p w14:paraId="7FFEBF0D" w14:textId="77777777" w:rsidR="00B2442D" w:rsidRDefault="00B2442D">
      <w:pPr>
        <w:jc w:val="both"/>
        <w:rPr>
          <w:rFonts w:ascii="Arial" w:hAnsi="Arial" w:cs="Arial"/>
          <w:lang w:val="es-CO"/>
        </w:rPr>
      </w:pPr>
    </w:p>
    <w:p w14:paraId="6AF446F0"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Expedición de constancias sobre valores retenidos en el englobe de títulos.</w:t>
      </w:r>
      <w:r>
        <w:rPr>
          <w:rFonts w:ascii="Arial" w:hAnsi="Arial" w:cs="Arial"/>
          <w:lang w:val="es-CO"/>
        </w:rPr>
        <w:t xml:space="preserve"> Cuando se engloben títulos cuyos descuentos y rendimientos anticipados hayan estado sometidos a la respectiva retención en la fuente y cuenten con la correspondiente constancia</w:t>
      </w:r>
      <w:r>
        <w:rPr>
          <w:rFonts w:ascii="Arial" w:hAnsi="Arial" w:cs="Arial"/>
          <w:lang w:val="es-CO"/>
        </w:rPr>
        <w:t xml:space="preserve"> sobre valores retenidos o la equivalente anotación en el registro electrónico de los mismos, la persona que realice el englobe deberá expedir para el nuevo título, la constancia sobre valores retenidos, en relación con los rendimientos financieros corresp</w:t>
      </w:r>
      <w:r>
        <w:rPr>
          <w:rFonts w:ascii="Arial" w:hAnsi="Arial" w:cs="Arial"/>
          <w:lang w:val="es-CO"/>
        </w:rPr>
        <w:t>ondientes al nuevo título y con base en la información consignada en las constancias pertenecientes a los títulos que se engloban.</w:t>
      </w:r>
    </w:p>
    <w:p w14:paraId="385250B6" w14:textId="77777777" w:rsidR="00B2442D" w:rsidRDefault="00B2442D">
      <w:pPr>
        <w:jc w:val="both"/>
        <w:rPr>
          <w:rFonts w:ascii="Arial" w:hAnsi="Arial" w:cs="Arial"/>
          <w:lang w:val="es-CO"/>
        </w:rPr>
      </w:pPr>
    </w:p>
    <w:p w14:paraId="48EF22C5" w14:textId="77777777" w:rsidR="00B2442D" w:rsidRDefault="008A645F">
      <w:pPr>
        <w:jc w:val="both"/>
        <w:rPr>
          <w:rFonts w:ascii="Arial" w:hAnsi="Arial" w:cs="Arial"/>
          <w:lang w:val="es-CO"/>
        </w:rPr>
      </w:pPr>
      <w:r>
        <w:rPr>
          <w:rFonts w:ascii="Arial" w:hAnsi="Arial" w:cs="Arial"/>
          <w:lang w:val="es-CO"/>
        </w:rPr>
        <w:t>En el evento de que los títulos se encuentren depositados en un depósito central de valores, y se requieran globalizar, la s</w:t>
      </w:r>
      <w:r>
        <w:rPr>
          <w:rFonts w:ascii="Arial" w:hAnsi="Arial" w:cs="Arial"/>
          <w:lang w:val="es-CO"/>
        </w:rPr>
        <w:t>ociedad administradora del depósito, creará en sus registros electrónicos una constancia general sobre valores retenidos, en la cual indique la base total de los rendimientos que fueron sometidos a retención en la fuente y el valor total de las retenciones</w:t>
      </w:r>
      <w:r>
        <w:rPr>
          <w:rFonts w:ascii="Arial" w:hAnsi="Arial" w:cs="Arial"/>
          <w:lang w:val="es-CO"/>
        </w:rPr>
        <w:t xml:space="preserve"> acumuladas, para lo cual se sumarán las bases de los rendimientos sometidos a retención y el valor de las retenciones individuales, correspondientes a cada uno de los títulos que se engloban.</w:t>
      </w:r>
    </w:p>
    <w:p w14:paraId="1915B271" w14:textId="77777777" w:rsidR="00B2442D" w:rsidRDefault="00B2442D">
      <w:pPr>
        <w:jc w:val="both"/>
        <w:rPr>
          <w:rFonts w:ascii="Arial" w:hAnsi="Arial" w:cs="Arial"/>
          <w:i/>
          <w:lang w:val="es-CO"/>
        </w:rPr>
      </w:pPr>
    </w:p>
    <w:p w14:paraId="706B487A" w14:textId="77777777" w:rsidR="00B2442D" w:rsidRDefault="008A645F">
      <w:pPr>
        <w:jc w:val="both"/>
        <w:rPr>
          <w:rFonts w:ascii="Arial" w:hAnsi="Arial" w:cs="Arial"/>
          <w:i/>
          <w:lang w:val="es-CO"/>
        </w:rPr>
      </w:pPr>
      <w:r>
        <w:rPr>
          <w:rFonts w:ascii="Arial" w:hAnsi="Arial" w:cs="Arial"/>
          <w:i/>
          <w:lang w:val="es-CO"/>
        </w:rPr>
        <w:t>(Art. 23, Decreto 700 de 1997)</w:t>
      </w:r>
      <w:r>
        <w:rPr>
          <w:rFonts w:ascii="Arial" w:hAnsi="Arial" w:cs="Arial"/>
        </w:rPr>
        <w:t xml:space="preserve"> </w:t>
      </w:r>
      <w:r>
        <w:rPr>
          <w:rFonts w:ascii="Arial" w:hAnsi="Arial" w:cs="Arial"/>
          <w:i/>
          <w:lang w:val="es-CO"/>
        </w:rPr>
        <w:t xml:space="preserve">(El Decreto 700 de 1997 rige a </w:t>
      </w:r>
      <w:r>
        <w:rPr>
          <w:rFonts w:ascii="Arial" w:hAnsi="Arial" w:cs="Arial"/>
          <w:i/>
          <w:lang w:val="es-CO"/>
        </w:rPr>
        <w:t>partir del 1° de abril de 1997 y deroga los Decretos 1960 y 2360 de 1996, y las demás disposiciones que le sean contrarias. Art. 45, Decreto 700 de 1997)</w:t>
      </w:r>
    </w:p>
    <w:p w14:paraId="5EC86FB2" w14:textId="77777777" w:rsidR="00B2442D" w:rsidRDefault="00B2442D">
      <w:pPr>
        <w:jc w:val="both"/>
        <w:rPr>
          <w:rFonts w:ascii="Arial" w:hAnsi="Arial" w:cs="Arial"/>
          <w:lang w:val="es-CO"/>
        </w:rPr>
      </w:pPr>
    </w:p>
    <w:p w14:paraId="4A71F7C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Tarifa de retención en la fuente sobre intereses.</w:t>
      </w:r>
      <w:r>
        <w:rPr>
          <w:rFonts w:ascii="Arial" w:hAnsi="Arial" w:cs="Arial"/>
          <w:lang w:val="es-CO"/>
        </w:rPr>
        <w:t xml:space="preserve"> El rendimiento financiero por concepto de interese</w:t>
      </w:r>
      <w:r>
        <w:rPr>
          <w:rFonts w:ascii="Arial" w:hAnsi="Arial" w:cs="Arial"/>
          <w:lang w:val="es-CO"/>
        </w:rPr>
        <w:t>s está sometido a la tarifa de retención en la fuente del siete por ciento (7%) (hoy cuatro por ciento (4%)) de la respectiva causación, pago o abono en cuenta.</w:t>
      </w:r>
    </w:p>
    <w:p w14:paraId="113B474A" w14:textId="77777777" w:rsidR="00B2442D" w:rsidRDefault="00B2442D">
      <w:pPr>
        <w:jc w:val="both"/>
        <w:rPr>
          <w:rFonts w:ascii="Arial" w:hAnsi="Arial" w:cs="Arial"/>
          <w:i/>
          <w:lang w:val="es-CO"/>
        </w:rPr>
      </w:pPr>
    </w:p>
    <w:p w14:paraId="2A2AABFD" w14:textId="77777777" w:rsidR="00B2442D" w:rsidRDefault="008A645F">
      <w:pPr>
        <w:jc w:val="both"/>
        <w:rPr>
          <w:rFonts w:ascii="Arial" w:hAnsi="Arial" w:cs="Arial"/>
          <w:i/>
          <w:lang w:val="es-CO"/>
        </w:rPr>
      </w:pPr>
      <w:r>
        <w:rPr>
          <w:rFonts w:ascii="Arial" w:hAnsi="Arial" w:cs="Arial"/>
          <w:i/>
          <w:lang w:val="es-CO"/>
        </w:rPr>
        <w:t>(Art. 24, Decreto 700 de 1997. Ajustada la tarifa por el Art. 3 del Decreto 2418 de 2013)</w:t>
      </w:r>
      <w:r>
        <w:rPr>
          <w:rFonts w:ascii="Arial" w:hAnsi="Arial" w:cs="Arial"/>
        </w:rPr>
        <w:t xml:space="preserve"> </w:t>
      </w:r>
      <w:r>
        <w:rPr>
          <w:rFonts w:ascii="Arial" w:hAnsi="Arial" w:cs="Arial"/>
          <w:i/>
          <w:lang w:val="es-CO"/>
        </w:rPr>
        <w:t xml:space="preserve">(El </w:t>
      </w:r>
      <w:r>
        <w:rPr>
          <w:rFonts w:ascii="Arial" w:hAnsi="Arial" w:cs="Arial"/>
          <w:i/>
          <w:lang w:val="es-CO"/>
        </w:rPr>
        <w:t>Decreto 700 de 1997 rige a partir del 1° de abril de 1997 y deroga los Decretos 1960 y 2360 de 1996, y las demás disposiciones que le sean contrarias. Art. 45, Decreto 700 de 1997)</w:t>
      </w:r>
    </w:p>
    <w:p w14:paraId="4214D50A" w14:textId="77777777" w:rsidR="00B2442D" w:rsidRDefault="00B2442D">
      <w:pPr>
        <w:jc w:val="both"/>
        <w:rPr>
          <w:rFonts w:ascii="Arial" w:hAnsi="Arial" w:cs="Arial"/>
          <w:lang w:val="es-CO"/>
        </w:rPr>
      </w:pPr>
    </w:p>
    <w:p w14:paraId="343DA917"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autorretención sobre intereses vencidos.</w:t>
      </w:r>
      <w:r>
        <w:rPr>
          <w:rFonts w:ascii="Arial" w:hAnsi="Arial" w:cs="Arial"/>
          <w:lang w:val="es-CO"/>
        </w:rPr>
        <w:t xml:space="preserve"> La autorretención en la fuente que deben practicarse mensualmente los agentes autorretenedores de rendimientos financieros, sobre los rendimientos provenientes de títulos con pago de intereses vencidos, se practicará así: </w:t>
      </w:r>
    </w:p>
    <w:p w14:paraId="3C8CA3A2" w14:textId="77777777" w:rsidR="00B2442D" w:rsidRDefault="00B2442D">
      <w:pPr>
        <w:jc w:val="both"/>
        <w:rPr>
          <w:rFonts w:ascii="Arial" w:hAnsi="Arial" w:cs="Arial"/>
          <w:lang w:val="es-CO"/>
        </w:rPr>
      </w:pPr>
    </w:p>
    <w:p w14:paraId="7A6E543E" w14:textId="77777777" w:rsidR="00B2442D" w:rsidRDefault="008A645F">
      <w:pPr>
        <w:jc w:val="both"/>
        <w:rPr>
          <w:rFonts w:ascii="Arial" w:hAnsi="Arial" w:cs="Arial"/>
          <w:lang w:val="es-CO"/>
        </w:rPr>
      </w:pPr>
      <w:r>
        <w:rPr>
          <w:rFonts w:ascii="Arial" w:hAnsi="Arial" w:cs="Arial"/>
          <w:lang w:val="es-CO"/>
        </w:rPr>
        <w:t>1. Mensualmente durante el prim</w:t>
      </w:r>
      <w:r>
        <w:rPr>
          <w:rFonts w:ascii="Arial" w:hAnsi="Arial" w:cs="Arial"/>
          <w:lang w:val="es-CO"/>
        </w:rPr>
        <w:t xml:space="preserve">er período de rendimientos para el tenedor del título: </w:t>
      </w:r>
    </w:p>
    <w:p w14:paraId="75A2B8EB" w14:textId="77777777" w:rsidR="00B2442D" w:rsidRDefault="00B2442D">
      <w:pPr>
        <w:jc w:val="both"/>
        <w:rPr>
          <w:rFonts w:ascii="Arial" w:hAnsi="Arial" w:cs="Arial"/>
          <w:lang w:val="es-CO"/>
        </w:rPr>
      </w:pPr>
    </w:p>
    <w:p w14:paraId="7E9D0CDF" w14:textId="77777777" w:rsidR="00B2442D" w:rsidRDefault="008A645F">
      <w:pPr>
        <w:jc w:val="both"/>
        <w:rPr>
          <w:rFonts w:ascii="Arial" w:hAnsi="Arial" w:cs="Arial"/>
          <w:lang w:val="es-CO"/>
        </w:rPr>
      </w:pPr>
      <w:r>
        <w:rPr>
          <w:rFonts w:ascii="Arial" w:hAnsi="Arial" w:cs="Arial"/>
          <w:lang w:val="es-CO"/>
        </w:rPr>
        <w:t xml:space="preserve">Sobre la diferencia entre el resultado que se obtenga de adicionar al valor nominal del título, el valor total de los intereses del período en curso a la tasa facial del mismo, y el precio de compra </w:t>
      </w:r>
      <w:r>
        <w:rPr>
          <w:rFonts w:ascii="Arial" w:hAnsi="Arial" w:cs="Arial"/>
          <w:lang w:val="es-CO"/>
        </w:rPr>
        <w:t xml:space="preserve">del título, dividida esta diferencia por el número de días contados desde su adquisición hasta el próximo pago de intereses y multiplicado este resultado por el número de días de tenencia del título durante el mes. </w:t>
      </w:r>
    </w:p>
    <w:p w14:paraId="6A03D0CD" w14:textId="77777777" w:rsidR="00B2442D" w:rsidRDefault="00B2442D">
      <w:pPr>
        <w:jc w:val="both"/>
        <w:rPr>
          <w:rFonts w:ascii="Arial" w:hAnsi="Arial" w:cs="Arial"/>
          <w:lang w:val="es-CO"/>
        </w:rPr>
      </w:pPr>
    </w:p>
    <w:p w14:paraId="2F6E4A2D" w14:textId="77777777" w:rsidR="00B2442D" w:rsidRDefault="008A645F">
      <w:pPr>
        <w:jc w:val="both"/>
        <w:rPr>
          <w:rFonts w:ascii="Arial" w:hAnsi="Arial" w:cs="Arial"/>
          <w:lang w:val="es-CO"/>
        </w:rPr>
      </w:pPr>
      <w:r>
        <w:rPr>
          <w:rFonts w:ascii="Arial" w:hAnsi="Arial" w:cs="Arial"/>
          <w:lang w:val="es-CO"/>
        </w:rPr>
        <w:t>2. Mensualmente durante los demás perío</w:t>
      </w:r>
      <w:r>
        <w:rPr>
          <w:rFonts w:ascii="Arial" w:hAnsi="Arial" w:cs="Arial"/>
          <w:lang w:val="es-CO"/>
        </w:rPr>
        <w:t xml:space="preserve">dos de rendimientos para el tenedor del título: </w:t>
      </w:r>
    </w:p>
    <w:p w14:paraId="352063EF" w14:textId="77777777" w:rsidR="00B2442D" w:rsidRDefault="00B2442D">
      <w:pPr>
        <w:jc w:val="both"/>
        <w:rPr>
          <w:rFonts w:ascii="Arial" w:hAnsi="Arial" w:cs="Arial"/>
          <w:lang w:val="es-CO"/>
        </w:rPr>
      </w:pPr>
    </w:p>
    <w:p w14:paraId="36A69B85" w14:textId="77777777" w:rsidR="00B2442D" w:rsidRDefault="008A645F">
      <w:pPr>
        <w:jc w:val="both"/>
        <w:rPr>
          <w:rFonts w:ascii="Arial" w:hAnsi="Arial" w:cs="Arial"/>
          <w:lang w:val="es-CO"/>
        </w:rPr>
      </w:pPr>
      <w:r>
        <w:rPr>
          <w:rFonts w:ascii="Arial" w:hAnsi="Arial" w:cs="Arial"/>
          <w:lang w:val="es-CO"/>
        </w:rPr>
        <w:t xml:space="preserve">Sobre el valor total de los intereses del período, a la tasa facial del título, dividido por el número de días de dicho período, multiplicado por el número de días de tenencia del título durante el mes. </w:t>
      </w:r>
    </w:p>
    <w:p w14:paraId="30A91309" w14:textId="77777777" w:rsidR="00B2442D" w:rsidRDefault="00B2442D">
      <w:pPr>
        <w:jc w:val="both"/>
        <w:rPr>
          <w:rFonts w:ascii="Arial" w:hAnsi="Arial" w:cs="Arial"/>
          <w:lang w:val="es-CO"/>
        </w:rPr>
      </w:pPr>
    </w:p>
    <w:p w14:paraId="614C125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 el valor total determinado en el nume</w:t>
      </w:r>
      <w:r>
        <w:rPr>
          <w:rFonts w:ascii="Arial" w:hAnsi="Arial" w:cs="Arial"/>
          <w:lang w:val="es-CO"/>
        </w:rPr>
        <w:t xml:space="preserve">ral 1 de este artículo resulta negativo, el autorretenedor podrá debitar de la cuenta retenciones en la fuente por consignar el valor de la retención en la fuente correspondiente a dicha diferencia. El agente autorretenedor deberá conservar los documentos </w:t>
      </w:r>
      <w:r>
        <w:rPr>
          <w:rFonts w:ascii="Arial" w:hAnsi="Arial" w:cs="Arial"/>
          <w:lang w:val="es-CO"/>
        </w:rPr>
        <w:t>que soporten cada débito que realice a la cuenta de retenciones por consignar, para ser presentados a la Unidad Administrativa Especial Dirección de Impuestos y Aduanas Nacionales- DIAN, cuando esta lo exija.</w:t>
      </w:r>
    </w:p>
    <w:p w14:paraId="3E67834B" w14:textId="77777777" w:rsidR="00B2442D" w:rsidRDefault="00B2442D">
      <w:pPr>
        <w:jc w:val="both"/>
        <w:rPr>
          <w:rFonts w:ascii="Arial" w:hAnsi="Arial" w:cs="Arial"/>
          <w:i/>
          <w:lang w:val="es-CO"/>
        </w:rPr>
      </w:pPr>
    </w:p>
    <w:p w14:paraId="2424B43B" w14:textId="77777777" w:rsidR="00B2442D" w:rsidRDefault="008A645F">
      <w:pPr>
        <w:jc w:val="both"/>
        <w:rPr>
          <w:rFonts w:ascii="Arial" w:hAnsi="Arial" w:cs="Arial"/>
          <w:lang w:val="es-CO"/>
        </w:rPr>
      </w:pPr>
      <w:r>
        <w:rPr>
          <w:rFonts w:ascii="Arial" w:hAnsi="Arial" w:cs="Arial"/>
          <w:i/>
          <w:lang w:val="es-CO"/>
        </w:rPr>
        <w:t xml:space="preserve">(Art. 25, Decreto 700 de 1997, modificado por </w:t>
      </w:r>
      <w:r>
        <w:rPr>
          <w:rFonts w:ascii="Arial" w:hAnsi="Arial" w:cs="Arial"/>
          <w:i/>
          <w:lang w:val="es-CO"/>
        </w:rPr>
        <w:t>el Art. 1 del Decreto 2318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2F230910" w14:textId="77777777" w:rsidR="00B2442D" w:rsidRDefault="00B2442D">
      <w:pPr>
        <w:jc w:val="both"/>
        <w:rPr>
          <w:rFonts w:ascii="Arial" w:hAnsi="Arial" w:cs="Arial"/>
          <w:lang w:val="es-CO"/>
        </w:rPr>
      </w:pPr>
    </w:p>
    <w:p w14:paraId="6E1F652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Ajustes de autorretenciones en la</w:t>
      </w:r>
      <w:r>
        <w:rPr>
          <w:rFonts w:ascii="Arial" w:hAnsi="Arial" w:cs="Arial"/>
          <w:b/>
          <w:i/>
          <w:lang w:val="es-CO"/>
        </w:rPr>
        <w:t>s enajenaciones de títulos con rendimientos vencidos</w:t>
      </w:r>
      <w:r>
        <w:rPr>
          <w:rFonts w:ascii="Arial" w:hAnsi="Arial" w:cs="Arial"/>
          <w:b/>
          <w:lang w:val="es-CO"/>
        </w:rPr>
        <w:t>.</w:t>
      </w:r>
      <w:r>
        <w:rPr>
          <w:rFonts w:ascii="Arial" w:hAnsi="Arial" w:cs="Arial"/>
          <w:lang w:val="es-CO"/>
        </w:rPr>
        <w:t xml:space="preserve"> Cuando se enajene un título con intereses vencidos susceptibles de haber estado sometidos a la retención en la fuente mediante el mecanismo de la autorretención en la fuente por parte del enajenante, es</w:t>
      </w:r>
      <w:r>
        <w:rPr>
          <w:rFonts w:ascii="Arial" w:hAnsi="Arial" w:cs="Arial"/>
          <w:lang w:val="es-CO"/>
        </w:rPr>
        <w:t xml:space="preserve">te deberá practicar la retención en la fuente por concepto del rendimiento financiero que resulte a su favor en la enajenación, de acuerdo con las siguientes reglas: </w:t>
      </w:r>
    </w:p>
    <w:p w14:paraId="457982A8" w14:textId="77777777" w:rsidR="00B2442D" w:rsidRDefault="00B2442D">
      <w:pPr>
        <w:jc w:val="both"/>
        <w:rPr>
          <w:rFonts w:ascii="Arial" w:hAnsi="Arial" w:cs="Arial"/>
          <w:lang w:val="es-CO"/>
        </w:rPr>
      </w:pPr>
    </w:p>
    <w:p w14:paraId="61964511" w14:textId="77777777" w:rsidR="00B2442D" w:rsidRDefault="008A645F">
      <w:pPr>
        <w:jc w:val="both"/>
        <w:rPr>
          <w:rFonts w:ascii="Arial" w:hAnsi="Arial" w:cs="Arial"/>
          <w:lang w:val="es-CO"/>
        </w:rPr>
      </w:pPr>
      <w:r>
        <w:rPr>
          <w:rFonts w:ascii="Arial" w:hAnsi="Arial" w:cs="Arial"/>
          <w:lang w:val="es-CO"/>
        </w:rPr>
        <w:t>1. Cuando la enajenación se realiza durante el primer período de rendimientos para el te</w:t>
      </w:r>
      <w:r>
        <w:rPr>
          <w:rFonts w:ascii="Arial" w:hAnsi="Arial" w:cs="Arial"/>
          <w:lang w:val="es-CO"/>
        </w:rPr>
        <w:t xml:space="preserve">nedor del título: </w:t>
      </w:r>
    </w:p>
    <w:p w14:paraId="5CE47571" w14:textId="77777777" w:rsidR="00B2442D" w:rsidRDefault="00B2442D">
      <w:pPr>
        <w:jc w:val="both"/>
        <w:rPr>
          <w:rFonts w:ascii="Arial" w:hAnsi="Arial" w:cs="Arial"/>
          <w:lang w:val="es-CO"/>
        </w:rPr>
      </w:pPr>
    </w:p>
    <w:p w14:paraId="437A48D7" w14:textId="77777777" w:rsidR="00B2442D" w:rsidRDefault="008A645F">
      <w:pPr>
        <w:jc w:val="both"/>
        <w:rPr>
          <w:rFonts w:ascii="Arial" w:hAnsi="Arial" w:cs="Arial"/>
          <w:lang w:val="es-CO"/>
        </w:rPr>
      </w:pPr>
      <w:r>
        <w:rPr>
          <w:rFonts w:ascii="Arial" w:hAnsi="Arial" w:cs="Arial"/>
          <w:lang w:val="es-CO"/>
        </w:rPr>
        <w:t xml:space="preserve">Sobre el valor de la diferencia entre el precio de enajenación y el resultado que se obtenga de adicionar al precio de compra del título, los rendimientos causados linealmente desde su adquisición hasta el momento de la enajenación. </w:t>
      </w:r>
    </w:p>
    <w:p w14:paraId="4549434F" w14:textId="77777777" w:rsidR="00B2442D" w:rsidRDefault="00B2442D">
      <w:pPr>
        <w:jc w:val="both"/>
        <w:rPr>
          <w:rFonts w:ascii="Arial" w:hAnsi="Arial" w:cs="Arial"/>
          <w:lang w:val="es-CO"/>
        </w:rPr>
      </w:pPr>
    </w:p>
    <w:p w14:paraId="26A81A6C" w14:textId="77777777" w:rsidR="00B2442D" w:rsidRDefault="008A645F">
      <w:pPr>
        <w:jc w:val="both"/>
        <w:rPr>
          <w:rFonts w:ascii="Arial" w:hAnsi="Arial" w:cs="Arial"/>
          <w:lang w:val="es-CO"/>
        </w:rPr>
      </w:pPr>
      <w:r>
        <w:rPr>
          <w:rFonts w:ascii="Arial" w:hAnsi="Arial" w:cs="Arial"/>
          <w:lang w:val="es-CO"/>
        </w:rPr>
        <w:t>P</w:t>
      </w:r>
      <w:r>
        <w:rPr>
          <w:rFonts w:ascii="Arial" w:hAnsi="Arial" w:cs="Arial"/>
          <w:lang w:val="es-CO"/>
        </w:rPr>
        <w:t xml:space="preserve">ara estos efectos, los rendimientos causados linealmente por el título desde su adquisición hasta el momento de su enajenación, se determinarán por la diferencia entre el resultado que se obtenga de adicionar al valor nominal del título, el valor total de </w:t>
      </w:r>
      <w:r>
        <w:rPr>
          <w:rFonts w:ascii="Arial" w:hAnsi="Arial" w:cs="Arial"/>
          <w:lang w:val="es-CO"/>
        </w:rPr>
        <w:t xml:space="preserve">los intereses del período en curso a la tasa facial del mismo, y el precio de compra del título, dividida esta diferencia por el número de días contados desde la fecha de adquisición hasta el próximo pago de intereses, y multiplicado este resultado por el </w:t>
      </w:r>
      <w:r>
        <w:rPr>
          <w:rFonts w:ascii="Arial" w:hAnsi="Arial" w:cs="Arial"/>
          <w:lang w:val="es-CO"/>
        </w:rPr>
        <w:t xml:space="preserve">número de días de tenencia del título desde la fecha de su adquisición hasta la fecha de su enajenación. </w:t>
      </w:r>
    </w:p>
    <w:p w14:paraId="1A0A6A38" w14:textId="77777777" w:rsidR="00B2442D" w:rsidRDefault="00B2442D">
      <w:pPr>
        <w:jc w:val="both"/>
        <w:rPr>
          <w:rFonts w:ascii="Arial" w:hAnsi="Arial" w:cs="Arial"/>
          <w:lang w:val="es-CO"/>
        </w:rPr>
      </w:pPr>
    </w:p>
    <w:p w14:paraId="1C9996AD" w14:textId="77777777" w:rsidR="00B2442D" w:rsidRDefault="008A645F">
      <w:pPr>
        <w:jc w:val="both"/>
        <w:rPr>
          <w:rFonts w:ascii="Arial" w:hAnsi="Arial" w:cs="Arial"/>
          <w:lang w:val="es-CO"/>
        </w:rPr>
      </w:pPr>
      <w:r>
        <w:rPr>
          <w:rFonts w:ascii="Arial" w:hAnsi="Arial" w:cs="Arial"/>
          <w:lang w:val="es-CO"/>
        </w:rPr>
        <w:t xml:space="preserve">2. Cuando la enajenación se realiza durante alguno de los siguientes periodos de rendimientos para el tenedor del título: </w:t>
      </w:r>
    </w:p>
    <w:p w14:paraId="4B362464" w14:textId="77777777" w:rsidR="00B2442D" w:rsidRDefault="00B2442D">
      <w:pPr>
        <w:jc w:val="both"/>
        <w:rPr>
          <w:rFonts w:ascii="Arial" w:hAnsi="Arial" w:cs="Arial"/>
          <w:lang w:val="es-CO"/>
        </w:rPr>
      </w:pPr>
    </w:p>
    <w:p w14:paraId="771EFD59" w14:textId="77777777" w:rsidR="00B2442D" w:rsidRDefault="008A645F">
      <w:pPr>
        <w:jc w:val="both"/>
        <w:rPr>
          <w:rFonts w:ascii="Arial" w:hAnsi="Arial" w:cs="Arial"/>
          <w:lang w:val="es-CO"/>
        </w:rPr>
      </w:pPr>
      <w:r>
        <w:rPr>
          <w:rFonts w:ascii="Arial" w:hAnsi="Arial" w:cs="Arial"/>
          <w:lang w:val="es-CO"/>
        </w:rPr>
        <w:t>Sobre el valor de la dife</w:t>
      </w:r>
      <w:r>
        <w:rPr>
          <w:rFonts w:ascii="Arial" w:hAnsi="Arial" w:cs="Arial"/>
          <w:lang w:val="es-CO"/>
        </w:rPr>
        <w:t xml:space="preserve">rencia entre el precio de enajenación y el resultado que se obtenga de adicionar al valor nominal, los intereses causados linealmente desde el último pago de intereses hasta la fecha de enajenación. </w:t>
      </w:r>
    </w:p>
    <w:p w14:paraId="7AEA242F" w14:textId="77777777" w:rsidR="00B2442D" w:rsidRDefault="00B2442D">
      <w:pPr>
        <w:jc w:val="both"/>
        <w:rPr>
          <w:rFonts w:ascii="Arial" w:hAnsi="Arial" w:cs="Arial"/>
          <w:lang w:val="es-CO"/>
        </w:rPr>
      </w:pPr>
    </w:p>
    <w:p w14:paraId="037B0BCD" w14:textId="77777777" w:rsidR="00B2442D" w:rsidRDefault="008A645F">
      <w:pPr>
        <w:jc w:val="both"/>
        <w:rPr>
          <w:rFonts w:ascii="Arial" w:hAnsi="Arial" w:cs="Arial"/>
          <w:lang w:val="es-CO"/>
        </w:rPr>
      </w:pPr>
      <w:r>
        <w:rPr>
          <w:rFonts w:ascii="Arial" w:hAnsi="Arial" w:cs="Arial"/>
          <w:lang w:val="es-CO"/>
        </w:rPr>
        <w:t xml:space="preserve">Para estos efectos, los intereses causados linealmente </w:t>
      </w:r>
      <w:r>
        <w:rPr>
          <w:rFonts w:ascii="Arial" w:hAnsi="Arial" w:cs="Arial"/>
          <w:lang w:val="es-CO"/>
        </w:rPr>
        <w:t>por el título desde el último pago de intereses hasta el momento de su enajenación, corresponderán al valor total de los intereses del período a la tasa facial, divididos por el número de días de dicho período, multiplicados por el número de días de tenenc</w:t>
      </w:r>
      <w:r>
        <w:rPr>
          <w:rFonts w:ascii="Arial" w:hAnsi="Arial" w:cs="Arial"/>
          <w:lang w:val="es-CO"/>
        </w:rPr>
        <w:t xml:space="preserve">ia del título, desde el último pago de intereses hasta la fecha de enajenación. </w:t>
      </w:r>
    </w:p>
    <w:p w14:paraId="22805A2B" w14:textId="77777777" w:rsidR="00B2442D" w:rsidRDefault="00B2442D">
      <w:pPr>
        <w:jc w:val="both"/>
        <w:rPr>
          <w:rFonts w:ascii="Arial" w:hAnsi="Arial" w:cs="Arial"/>
          <w:lang w:val="es-CO"/>
        </w:rPr>
      </w:pPr>
    </w:p>
    <w:p w14:paraId="310FDAE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 el valor total de las diferencias determinadas conforme a lo dispuesto en el presente artículo resulta negativo, el enajenante podrá debitar de la cuenta de ret</w:t>
      </w:r>
      <w:r>
        <w:rPr>
          <w:rFonts w:ascii="Arial" w:hAnsi="Arial" w:cs="Arial"/>
          <w:lang w:val="es-CO"/>
        </w:rPr>
        <w:t xml:space="preserve">enciones por consignar el valor de la retención en la fuente correspondiente a dicha diferencia. </w:t>
      </w:r>
    </w:p>
    <w:p w14:paraId="484E4528" w14:textId="77777777" w:rsidR="00B2442D" w:rsidRDefault="00B2442D">
      <w:pPr>
        <w:jc w:val="both"/>
        <w:rPr>
          <w:rFonts w:ascii="Arial" w:hAnsi="Arial" w:cs="Arial"/>
          <w:lang w:val="es-CO"/>
        </w:rPr>
      </w:pPr>
    </w:p>
    <w:p w14:paraId="7DBFFCEC" w14:textId="77777777" w:rsidR="00B2442D" w:rsidRDefault="008A645F">
      <w:pPr>
        <w:jc w:val="both"/>
        <w:rPr>
          <w:rFonts w:ascii="Arial" w:hAnsi="Arial" w:cs="Arial"/>
          <w:lang w:val="es-CO"/>
        </w:rPr>
      </w:pPr>
      <w:r>
        <w:rPr>
          <w:rFonts w:ascii="Arial" w:hAnsi="Arial" w:cs="Arial"/>
          <w:lang w:val="es-CO"/>
        </w:rPr>
        <w:t xml:space="preserve">El agente autorretenedor deberá conservar los documentos que soporten cada débito que realice a la cuenta de retenciones por consignar, para ser presentados </w:t>
      </w:r>
      <w:r>
        <w:rPr>
          <w:rFonts w:ascii="Arial" w:hAnsi="Arial" w:cs="Arial"/>
          <w:lang w:val="es-CO"/>
        </w:rPr>
        <w:t>a la Unidad Administrativa Especial Dirección de Impuestos y Aduanas Nacionales- DIAN, cuando esta lo exija.</w:t>
      </w:r>
    </w:p>
    <w:p w14:paraId="4956F16E" w14:textId="77777777" w:rsidR="00B2442D" w:rsidRDefault="00B2442D">
      <w:pPr>
        <w:jc w:val="both"/>
        <w:rPr>
          <w:rFonts w:ascii="Arial" w:hAnsi="Arial" w:cs="Arial"/>
          <w:i/>
          <w:lang w:val="es-CO"/>
        </w:rPr>
      </w:pPr>
    </w:p>
    <w:p w14:paraId="2778E101" w14:textId="77777777" w:rsidR="00B2442D" w:rsidRDefault="008A645F">
      <w:pPr>
        <w:jc w:val="both"/>
        <w:rPr>
          <w:rFonts w:ascii="Arial" w:hAnsi="Arial" w:cs="Arial"/>
          <w:lang w:val="es-CO"/>
        </w:rPr>
      </w:pPr>
      <w:r>
        <w:rPr>
          <w:rFonts w:ascii="Arial" w:hAnsi="Arial" w:cs="Arial"/>
          <w:i/>
          <w:lang w:val="es-CO"/>
        </w:rPr>
        <w:t>(Art. 26, Decreto 700 de 1997, modificado por el Art. 2 del Decreto 2318 de 2013)</w:t>
      </w:r>
      <w:r>
        <w:rPr>
          <w:rFonts w:ascii="Arial" w:hAnsi="Arial" w:cs="Arial"/>
        </w:rPr>
        <w:t xml:space="preserve"> </w:t>
      </w:r>
      <w:r>
        <w:rPr>
          <w:rFonts w:ascii="Arial" w:hAnsi="Arial" w:cs="Arial"/>
          <w:i/>
          <w:lang w:val="es-CO"/>
        </w:rPr>
        <w:t xml:space="preserve">(El Decreto 700 de 1997 rige a partir del 1° de abril de 1997 y </w:t>
      </w:r>
      <w:r>
        <w:rPr>
          <w:rFonts w:ascii="Arial" w:hAnsi="Arial" w:cs="Arial"/>
          <w:i/>
          <w:lang w:val="es-CO"/>
        </w:rPr>
        <w:t>deroga los Decretos 1960 y 2360 de 1996, y las demás disposiciones que le sean contrarias. Art. 45, Decreto 700 de 1997)</w:t>
      </w:r>
    </w:p>
    <w:p w14:paraId="635CA73F" w14:textId="77777777" w:rsidR="00B2442D" w:rsidRDefault="00B2442D">
      <w:pPr>
        <w:jc w:val="both"/>
        <w:rPr>
          <w:rFonts w:ascii="Arial" w:hAnsi="Arial" w:cs="Arial"/>
          <w:lang w:val="es-CO"/>
        </w:rPr>
      </w:pPr>
    </w:p>
    <w:p w14:paraId="74890B7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 de rendimientos financieros vencidos a no autorretenedores.</w:t>
      </w:r>
      <w:r>
        <w:rPr>
          <w:rFonts w:ascii="Arial" w:hAnsi="Arial" w:cs="Arial"/>
          <w:b/>
          <w:lang w:val="es-CO"/>
        </w:rPr>
        <w:t xml:space="preserve"> </w:t>
      </w:r>
      <w:r>
        <w:rPr>
          <w:rFonts w:ascii="Arial" w:hAnsi="Arial" w:cs="Arial"/>
          <w:lang w:val="es-CO"/>
        </w:rPr>
        <w:t>Cuando se realice un pago o abono en cuenta que corresponda a un ren</w:t>
      </w:r>
      <w:r>
        <w:rPr>
          <w:rFonts w:ascii="Arial" w:hAnsi="Arial" w:cs="Arial"/>
          <w:lang w:val="es-CO"/>
        </w:rPr>
        <w:t>dimiento financiero vencido en favor de un contribuyente del impuesto sobre la renta y complementario, que estando sujeto a retención en la fuente por este concepto no tenga la calidad de agente autorretenedor de rendimientos financieros, se aplicará el si</w:t>
      </w:r>
      <w:r>
        <w:rPr>
          <w:rFonts w:ascii="Arial" w:hAnsi="Arial" w:cs="Arial"/>
          <w:lang w:val="es-CO"/>
        </w:rPr>
        <w:t xml:space="preserve">guiente procedimiento para la práctica de la retención en la fuente: </w:t>
      </w:r>
    </w:p>
    <w:p w14:paraId="48894CBD" w14:textId="77777777" w:rsidR="00B2442D" w:rsidRDefault="00B2442D">
      <w:pPr>
        <w:jc w:val="both"/>
        <w:rPr>
          <w:rFonts w:ascii="Arial" w:hAnsi="Arial" w:cs="Arial"/>
          <w:lang w:val="es-CO"/>
        </w:rPr>
      </w:pPr>
    </w:p>
    <w:p w14:paraId="5651C234" w14:textId="77777777" w:rsidR="00B2442D" w:rsidRDefault="008A645F">
      <w:pPr>
        <w:jc w:val="both"/>
        <w:rPr>
          <w:rFonts w:ascii="Arial" w:hAnsi="Arial" w:cs="Arial"/>
          <w:lang w:val="es-CO"/>
        </w:rPr>
      </w:pPr>
      <w:r>
        <w:rPr>
          <w:rFonts w:ascii="Arial" w:hAnsi="Arial" w:cs="Arial"/>
          <w:lang w:val="es-CO"/>
        </w:rPr>
        <w:t xml:space="preserve">1. Pago de rendimientos financieros vencidos: Cuando el tenedor de un título con pacto de pago de intereses vencidos en fechas determinadas perciba el pago de intereses vencidos, la base de retención en la fuente será, según sea el caso, la siguiente: </w:t>
      </w:r>
    </w:p>
    <w:p w14:paraId="1994330A" w14:textId="77777777" w:rsidR="00B2442D" w:rsidRDefault="00B2442D">
      <w:pPr>
        <w:jc w:val="both"/>
        <w:rPr>
          <w:rFonts w:ascii="Arial" w:hAnsi="Arial" w:cs="Arial"/>
          <w:lang w:val="es-CO"/>
        </w:rPr>
      </w:pPr>
    </w:p>
    <w:p w14:paraId="6576BA8E"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 xml:space="preserve"> Cuando se mantenga el título durante todo el periodo para el pago de intereses vencidos, la base de retención será el valor de cada uno de los pagos de intereses vencidos pagados o abonados en cuenta;</w:t>
      </w:r>
    </w:p>
    <w:p w14:paraId="16DFD512" w14:textId="77777777" w:rsidR="00B2442D" w:rsidRDefault="00B2442D">
      <w:pPr>
        <w:jc w:val="both"/>
        <w:rPr>
          <w:rFonts w:ascii="Arial" w:hAnsi="Arial" w:cs="Arial"/>
          <w:lang w:val="es-CO"/>
        </w:rPr>
      </w:pPr>
    </w:p>
    <w:p w14:paraId="23FDD434" w14:textId="77777777" w:rsidR="00B2442D" w:rsidRDefault="008A645F">
      <w:pPr>
        <w:jc w:val="both"/>
        <w:rPr>
          <w:rFonts w:ascii="Arial" w:hAnsi="Arial" w:cs="Arial"/>
          <w:lang w:val="es-CO"/>
        </w:rPr>
      </w:pPr>
      <w:r>
        <w:rPr>
          <w:rFonts w:ascii="Arial" w:hAnsi="Arial" w:cs="Arial"/>
          <w:lang w:val="es-CO"/>
        </w:rPr>
        <w:t>b) Cuando se tenga el título durante una fracción del</w:t>
      </w:r>
      <w:r>
        <w:rPr>
          <w:rFonts w:ascii="Arial" w:hAnsi="Arial" w:cs="Arial"/>
          <w:lang w:val="es-CO"/>
        </w:rPr>
        <w:t xml:space="preserve"> periodo para el pago de intereses vencidos y haya pago de los mismos, la base de retención en la fuente, será la proporción del pago de intereses vencidos causados desde la fecha de adquisición del título. </w:t>
      </w:r>
    </w:p>
    <w:p w14:paraId="5BC29F5D" w14:textId="77777777" w:rsidR="00B2442D" w:rsidRDefault="00B2442D">
      <w:pPr>
        <w:jc w:val="both"/>
        <w:rPr>
          <w:rFonts w:ascii="Arial" w:hAnsi="Arial" w:cs="Arial"/>
          <w:lang w:val="es-CO"/>
        </w:rPr>
      </w:pPr>
    </w:p>
    <w:p w14:paraId="54688FC5" w14:textId="77777777" w:rsidR="00B2442D" w:rsidRDefault="008A645F">
      <w:pPr>
        <w:jc w:val="both"/>
        <w:rPr>
          <w:rFonts w:ascii="Arial" w:hAnsi="Arial" w:cs="Arial"/>
          <w:lang w:val="es-CO"/>
        </w:rPr>
      </w:pPr>
      <w:r>
        <w:rPr>
          <w:rFonts w:ascii="Arial" w:hAnsi="Arial" w:cs="Arial"/>
          <w:lang w:val="es-CO"/>
        </w:rPr>
        <w:t>Para estos efectos, la proporción del pago de i</w:t>
      </w:r>
      <w:r>
        <w:rPr>
          <w:rFonts w:ascii="Arial" w:hAnsi="Arial" w:cs="Arial"/>
          <w:lang w:val="es-CO"/>
        </w:rPr>
        <w:t>ntereses vencidos causados equivale a los intereses causados linealmente por el título desde su adquisición hasta la fecha de pago de intereses vencidos, corresponde al valor total de los intereses del período a la tasa facial, divididos por el número de d</w:t>
      </w:r>
      <w:r>
        <w:rPr>
          <w:rFonts w:ascii="Arial" w:hAnsi="Arial" w:cs="Arial"/>
          <w:lang w:val="es-CO"/>
        </w:rPr>
        <w:t>ías de dicho período, multiplicados por el número de días de tenencia del título, desde la fecha de adquisición hasta el pago de intereses vencidos;</w:t>
      </w:r>
    </w:p>
    <w:p w14:paraId="4A60625D" w14:textId="77777777" w:rsidR="00B2442D" w:rsidRDefault="00B2442D">
      <w:pPr>
        <w:jc w:val="both"/>
        <w:rPr>
          <w:rFonts w:ascii="Arial" w:hAnsi="Arial" w:cs="Arial"/>
          <w:lang w:val="es-CO"/>
        </w:rPr>
      </w:pPr>
    </w:p>
    <w:p w14:paraId="6EAA75E7" w14:textId="77777777" w:rsidR="00B2442D" w:rsidRDefault="008A645F">
      <w:pPr>
        <w:jc w:val="both"/>
        <w:rPr>
          <w:rFonts w:ascii="Arial" w:hAnsi="Arial" w:cs="Arial"/>
          <w:lang w:val="es-CO"/>
        </w:rPr>
      </w:pPr>
      <w:r>
        <w:rPr>
          <w:rFonts w:ascii="Arial" w:hAnsi="Arial" w:cs="Arial"/>
          <w:lang w:val="es-CO"/>
        </w:rPr>
        <w:t>c) Los pagos de intereses vencidos en el vencimiento del título tendrán el mismo tratamiento establecido e</w:t>
      </w:r>
      <w:r>
        <w:rPr>
          <w:rFonts w:ascii="Arial" w:hAnsi="Arial" w:cs="Arial"/>
          <w:lang w:val="es-CO"/>
        </w:rPr>
        <w:t>n los literales a) y b) de este numeral, según corresponda;</w:t>
      </w:r>
    </w:p>
    <w:p w14:paraId="1C7A233E" w14:textId="77777777" w:rsidR="00B2442D" w:rsidRDefault="00B2442D">
      <w:pPr>
        <w:jc w:val="both"/>
        <w:rPr>
          <w:rFonts w:ascii="Arial" w:hAnsi="Arial" w:cs="Arial"/>
          <w:lang w:val="es-CO"/>
        </w:rPr>
      </w:pPr>
    </w:p>
    <w:p w14:paraId="14A6D2F9" w14:textId="77777777" w:rsidR="00B2442D" w:rsidRDefault="008A645F">
      <w:pPr>
        <w:jc w:val="both"/>
        <w:rPr>
          <w:rFonts w:ascii="Arial" w:hAnsi="Arial" w:cs="Arial"/>
          <w:lang w:val="es-CO"/>
        </w:rPr>
      </w:pPr>
      <w:r>
        <w:rPr>
          <w:rFonts w:ascii="Arial" w:hAnsi="Arial" w:cs="Arial"/>
          <w:lang w:val="es-CO"/>
        </w:rPr>
        <w:t xml:space="preserve">d) En cualquiera de los casos de que trata este numeral, la retención en la fuente será practicada por el administrador de la emisión. En caso de que los pagos se efectuaran a los inversionistas </w:t>
      </w:r>
      <w:r>
        <w:rPr>
          <w:rFonts w:ascii="Arial" w:hAnsi="Arial" w:cs="Arial"/>
          <w:lang w:val="es-CO"/>
        </w:rPr>
        <w:t xml:space="preserve">de capital del exterior de portafolio de que trata el artículo 18-1 del Estatuto Tributario, la retención en la fuente será practicada por el administrador de la inversión de capital del exterior de portafolio. </w:t>
      </w:r>
    </w:p>
    <w:p w14:paraId="5EF85EF1" w14:textId="77777777" w:rsidR="00B2442D" w:rsidRDefault="00B2442D">
      <w:pPr>
        <w:jc w:val="both"/>
        <w:rPr>
          <w:rFonts w:ascii="Arial" w:hAnsi="Arial" w:cs="Arial"/>
          <w:lang w:val="es-CO"/>
        </w:rPr>
      </w:pPr>
    </w:p>
    <w:p w14:paraId="795F1E23" w14:textId="77777777" w:rsidR="00B2442D" w:rsidRDefault="008A645F">
      <w:pPr>
        <w:jc w:val="both"/>
        <w:rPr>
          <w:rFonts w:ascii="Arial" w:hAnsi="Arial" w:cs="Arial"/>
          <w:lang w:val="es-CO"/>
        </w:rPr>
      </w:pPr>
      <w:r>
        <w:rPr>
          <w:rFonts w:ascii="Arial" w:hAnsi="Arial" w:cs="Arial"/>
          <w:lang w:val="es-CO"/>
        </w:rPr>
        <w:t>2. Enajenaciones de títulos con intereses v</w:t>
      </w:r>
      <w:r>
        <w:rPr>
          <w:rFonts w:ascii="Arial" w:hAnsi="Arial" w:cs="Arial"/>
          <w:lang w:val="es-CO"/>
        </w:rPr>
        <w:t xml:space="preserve">encidos: Cuando un agente no autorretenedor enajene un título con intereses vencidos, la entidad financiera que actúe como intermediaria en la operación o el administrador de la inversión de capital del exterior de portafolio de que trata el artículo 18-1 </w:t>
      </w:r>
      <w:r>
        <w:rPr>
          <w:rFonts w:ascii="Arial" w:hAnsi="Arial" w:cs="Arial"/>
          <w:lang w:val="es-CO"/>
        </w:rPr>
        <w:t xml:space="preserve">del Estatuto Tributario, será el agente de retención y seguirá las siguientes reglas: </w:t>
      </w:r>
    </w:p>
    <w:p w14:paraId="511415B5" w14:textId="77777777" w:rsidR="00B2442D" w:rsidRDefault="00B2442D">
      <w:pPr>
        <w:jc w:val="both"/>
        <w:rPr>
          <w:rFonts w:ascii="Arial" w:hAnsi="Arial" w:cs="Arial"/>
          <w:lang w:val="es-CO"/>
        </w:rPr>
      </w:pPr>
    </w:p>
    <w:p w14:paraId="0A91974D" w14:textId="77777777" w:rsidR="00B2442D" w:rsidRDefault="008A645F">
      <w:pPr>
        <w:jc w:val="both"/>
        <w:rPr>
          <w:rFonts w:ascii="Arial" w:hAnsi="Arial" w:cs="Arial"/>
          <w:lang w:val="es-CO"/>
        </w:rPr>
      </w:pPr>
      <w:r>
        <w:rPr>
          <w:rFonts w:ascii="Arial" w:hAnsi="Arial" w:cs="Arial"/>
          <w:lang w:val="es-CO"/>
        </w:rPr>
        <w:t>a) Enajenación de un título con intereses vencidos antes del pago de intereses vencidos. Cuando se enajene un título con intereses vencidos antes del primer pago de int</w:t>
      </w:r>
      <w:r>
        <w:rPr>
          <w:rFonts w:ascii="Arial" w:hAnsi="Arial" w:cs="Arial"/>
          <w:lang w:val="es-CO"/>
        </w:rPr>
        <w:t>ereses vencidos desde la adquisición del título, la base de retención en la fuente será la diferencia entre el precio de enajenación y el precio de adquisición del título;</w:t>
      </w:r>
    </w:p>
    <w:p w14:paraId="0E661096" w14:textId="77777777" w:rsidR="00B2442D" w:rsidRDefault="00B2442D">
      <w:pPr>
        <w:jc w:val="both"/>
        <w:rPr>
          <w:rFonts w:ascii="Arial" w:hAnsi="Arial" w:cs="Arial"/>
          <w:lang w:val="es-CO"/>
        </w:rPr>
      </w:pPr>
    </w:p>
    <w:p w14:paraId="7C96F306" w14:textId="77777777" w:rsidR="00B2442D" w:rsidRDefault="008A645F">
      <w:pPr>
        <w:jc w:val="both"/>
        <w:rPr>
          <w:rFonts w:ascii="Arial" w:hAnsi="Arial" w:cs="Arial"/>
          <w:lang w:val="es-CO"/>
        </w:rPr>
      </w:pPr>
      <w:r>
        <w:rPr>
          <w:rFonts w:ascii="Arial" w:hAnsi="Arial" w:cs="Arial"/>
          <w:lang w:val="es-CO"/>
        </w:rPr>
        <w:t>b) Enajenación de un título con intereses vencidos posterior al pago de intereses v</w:t>
      </w:r>
      <w:r>
        <w:rPr>
          <w:rFonts w:ascii="Arial" w:hAnsi="Arial" w:cs="Arial"/>
          <w:lang w:val="es-CO"/>
        </w:rPr>
        <w:t>encidos: Si el título con intereses vencidos se enajena después de que el tenedor del título ha percibido el pago de uno o varios pagos de intereses vencidos, la base de retención en la fuente será la diferencia entre el precio de enajenación y el precio d</w:t>
      </w:r>
      <w:r>
        <w:rPr>
          <w:rFonts w:ascii="Arial" w:hAnsi="Arial" w:cs="Arial"/>
          <w:lang w:val="es-CO"/>
        </w:rPr>
        <w:t>e adquisición menos los intereses causados linealmente desde la fecha de colocación o del último pago de intereses vencidos antes de la adquisición del título de parte del enajenante;</w:t>
      </w:r>
    </w:p>
    <w:p w14:paraId="45F637A6" w14:textId="77777777" w:rsidR="00B2442D" w:rsidRDefault="00B2442D">
      <w:pPr>
        <w:jc w:val="both"/>
        <w:rPr>
          <w:rFonts w:ascii="Arial" w:hAnsi="Arial" w:cs="Arial"/>
          <w:lang w:val="es-CO"/>
        </w:rPr>
      </w:pPr>
    </w:p>
    <w:p w14:paraId="11C1A88F" w14:textId="77777777" w:rsidR="00B2442D" w:rsidRDefault="008A645F">
      <w:pPr>
        <w:jc w:val="both"/>
        <w:rPr>
          <w:rFonts w:ascii="Arial" w:hAnsi="Arial" w:cs="Arial"/>
          <w:lang w:val="es-CO"/>
        </w:rPr>
      </w:pPr>
      <w:r>
        <w:rPr>
          <w:rFonts w:ascii="Arial" w:hAnsi="Arial" w:cs="Arial"/>
          <w:lang w:val="es-CO"/>
        </w:rPr>
        <w:t>c) En caso de que las diferencias mencionadas en este numeral sean nega</w:t>
      </w:r>
      <w:r>
        <w:rPr>
          <w:rFonts w:ascii="Arial" w:hAnsi="Arial" w:cs="Arial"/>
          <w:lang w:val="es-CO"/>
        </w:rPr>
        <w:t>tivas, estás serán consideradas como pérdidas y recibirán el tratamiento previsto para ellas en el Estatuto Tributario atendiendo el tipo de inversionista;</w:t>
      </w:r>
    </w:p>
    <w:p w14:paraId="4D6C33D7" w14:textId="77777777" w:rsidR="00B2442D" w:rsidRDefault="00B2442D">
      <w:pPr>
        <w:jc w:val="both"/>
        <w:rPr>
          <w:rFonts w:ascii="Arial" w:hAnsi="Arial" w:cs="Arial"/>
          <w:lang w:val="es-CO"/>
        </w:rPr>
      </w:pPr>
    </w:p>
    <w:p w14:paraId="4B0D9A4B" w14:textId="77777777" w:rsidR="00B2442D" w:rsidRDefault="008A645F">
      <w:pPr>
        <w:jc w:val="both"/>
        <w:rPr>
          <w:rFonts w:ascii="Arial" w:hAnsi="Arial" w:cs="Arial"/>
          <w:lang w:val="es-CO"/>
        </w:rPr>
      </w:pPr>
      <w:r>
        <w:rPr>
          <w:rFonts w:ascii="Arial" w:hAnsi="Arial" w:cs="Arial"/>
          <w:lang w:val="es-CO"/>
        </w:rPr>
        <w:t>d) La retención en la fuente de que trata este numeral será practicada por el intermediario de la o</w:t>
      </w:r>
      <w:r>
        <w:rPr>
          <w:rFonts w:ascii="Arial" w:hAnsi="Arial" w:cs="Arial"/>
          <w:lang w:val="es-CO"/>
        </w:rPr>
        <w:t>peración de parte del comprador del título, por el administrador de la inversión de capital del exterior de portafolio, si el enajenante del título fuere un inversionista de capital del exterior de portafolio, de conformidad con lo establecido en el artícu</w:t>
      </w:r>
      <w:r>
        <w:rPr>
          <w:rFonts w:ascii="Arial" w:hAnsi="Arial" w:cs="Arial"/>
          <w:lang w:val="es-CO"/>
        </w:rPr>
        <w:t>lo 18-1 del Estatuto Tributario, o por el custodio de valores cuando este exista y sea responsable del cumplimiento de obligaciones tributarias de conformidad con lo establecido con el custodiado.</w:t>
      </w:r>
    </w:p>
    <w:p w14:paraId="63E50B42" w14:textId="77777777" w:rsidR="00B2442D" w:rsidRDefault="00B2442D">
      <w:pPr>
        <w:jc w:val="both"/>
        <w:rPr>
          <w:rFonts w:ascii="Arial" w:hAnsi="Arial" w:cs="Arial"/>
          <w:lang w:val="es-CO"/>
        </w:rPr>
      </w:pPr>
    </w:p>
    <w:p w14:paraId="64EDBEE9" w14:textId="77777777" w:rsidR="00B2442D" w:rsidRDefault="008A645F">
      <w:pPr>
        <w:jc w:val="both"/>
        <w:rPr>
          <w:rFonts w:ascii="Arial" w:hAnsi="Arial" w:cs="Arial"/>
          <w:lang w:val="es-CO"/>
        </w:rPr>
      </w:pPr>
      <w:r>
        <w:rPr>
          <w:rFonts w:ascii="Arial" w:hAnsi="Arial" w:cs="Arial"/>
          <w:lang w:val="es-CO"/>
        </w:rPr>
        <w:t xml:space="preserve">(Art. 27, Decreto 700 de 1997, modificado por el art. 3 </w:t>
      </w:r>
      <w:r>
        <w:rPr>
          <w:rFonts w:ascii="Arial" w:hAnsi="Arial" w:cs="Arial"/>
          <w:lang w:val="es-CO"/>
        </w:rPr>
        <w:t>del Decreto 2318 de 2013)</w:t>
      </w:r>
      <w:r>
        <w:rPr>
          <w:rFonts w:ascii="Arial" w:hAnsi="Arial" w:cs="Arial"/>
        </w:rPr>
        <w:t xml:space="preserve"> </w:t>
      </w:r>
      <w:r>
        <w:rPr>
          <w:rFonts w:ascii="Arial" w:hAnsi="Arial" w:cs="Arial"/>
          <w:lang w:val="es-CO"/>
        </w:rPr>
        <w:t>(El Decreto 700 de 1997 rige a partir del 1° de abril de 1997 y deroga los Decretos 1960 y 2360 de 1996, y las demás disposiciones que le sean contrarias. Art. 45, Decreto 700 de 1997)</w:t>
      </w:r>
    </w:p>
    <w:p w14:paraId="0FC1EBFB" w14:textId="77777777" w:rsidR="00B2442D" w:rsidRDefault="00B2442D">
      <w:pPr>
        <w:jc w:val="both"/>
        <w:rPr>
          <w:rFonts w:ascii="Arial" w:hAnsi="Arial" w:cs="Arial"/>
          <w:lang w:val="es-CO"/>
        </w:rPr>
      </w:pPr>
    </w:p>
    <w:p w14:paraId="1D86AEEA"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 de enajenación de títulos de ren</w:t>
      </w:r>
      <w:r>
        <w:rPr>
          <w:rFonts w:ascii="Arial" w:hAnsi="Arial" w:cs="Arial"/>
          <w:b/>
          <w:i/>
          <w:lang w:val="es-CO"/>
        </w:rPr>
        <w:t>dimientos vencidos.</w:t>
      </w:r>
      <w:r>
        <w:rPr>
          <w:rFonts w:ascii="Arial" w:hAnsi="Arial" w:cs="Arial"/>
          <w:i/>
          <w:lang w:val="es-CO"/>
        </w:rPr>
        <w:t xml:space="preserve"> </w:t>
      </w:r>
      <w:r>
        <w:rPr>
          <w:rFonts w:ascii="Arial" w:hAnsi="Arial" w:cs="Arial"/>
          <w:lang w:val="es-CO"/>
        </w:rPr>
        <w:t>Cuando un agente autorretenedor de rendimientos financieros, o una entidad no contribuyente del impuesto sobre la renta y complementario, o exenta de dicho impuesto, o no sujeta a retención en la fuente por expresa disposición legal, en</w:t>
      </w:r>
      <w:r>
        <w:rPr>
          <w:rFonts w:ascii="Arial" w:hAnsi="Arial" w:cs="Arial"/>
          <w:lang w:val="es-CO"/>
        </w:rPr>
        <w:t>ajene un título con pago de intereses vencidos, en favor de un contribuyente del impuesto sobre la renta y complementario que estando sujeto a la retención en la fuente por este concepto, no tenga la calidad de agente autorretenedor de rendimientos financi</w:t>
      </w:r>
      <w:r>
        <w:rPr>
          <w:rFonts w:ascii="Arial" w:hAnsi="Arial" w:cs="Arial"/>
          <w:lang w:val="es-CO"/>
        </w:rPr>
        <w:t>eros, deberá expedir para efectos fiscales, al momento de la enajenación una constancia que acredite lo siguiente:</w:t>
      </w:r>
    </w:p>
    <w:p w14:paraId="52F0F95C" w14:textId="77777777" w:rsidR="00B2442D" w:rsidRDefault="00B2442D">
      <w:pPr>
        <w:jc w:val="both"/>
        <w:rPr>
          <w:rFonts w:ascii="Arial" w:hAnsi="Arial" w:cs="Arial"/>
          <w:lang w:val="es-CO"/>
        </w:rPr>
      </w:pPr>
    </w:p>
    <w:p w14:paraId="019B1AAA" w14:textId="77777777" w:rsidR="00B2442D" w:rsidRDefault="008A645F">
      <w:pPr>
        <w:jc w:val="both"/>
        <w:rPr>
          <w:rFonts w:ascii="Arial" w:hAnsi="Arial" w:cs="Arial"/>
          <w:lang w:val="es-CO"/>
        </w:rPr>
      </w:pPr>
      <w:r>
        <w:rPr>
          <w:rFonts w:ascii="Arial" w:hAnsi="Arial" w:cs="Arial"/>
          <w:lang w:val="es-CO"/>
        </w:rPr>
        <w:t>a) La identificación del título al cual corresponde;</w:t>
      </w:r>
    </w:p>
    <w:p w14:paraId="365A8FE0" w14:textId="77777777" w:rsidR="00B2442D" w:rsidRDefault="00B2442D">
      <w:pPr>
        <w:jc w:val="both"/>
        <w:rPr>
          <w:rFonts w:ascii="Arial" w:hAnsi="Arial" w:cs="Arial"/>
          <w:lang w:val="es-CO"/>
        </w:rPr>
      </w:pPr>
    </w:p>
    <w:p w14:paraId="4B4E4CFB" w14:textId="77777777" w:rsidR="00B2442D" w:rsidRDefault="008A645F">
      <w:pPr>
        <w:jc w:val="both"/>
        <w:rPr>
          <w:rFonts w:ascii="Arial" w:hAnsi="Arial" w:cs="Arial"/>
          <w:lang w:val="es-CO"/>
        </w:rPr>
      </w:pPr>
      <w:r>
        <w:rPr>
          <w:rFonts w:ascii="Arial" w:hAnsi="Arial" w:cs="Arial"/>
          <w:lang w:val="es-CO"/>
        </w:rPr>
        <w:t xml:space="preserve">b) Apellidos y nombre o razón social y NIT del agente autorretenedor o bolsa de </w:t>
      </w:r>
      <w:r>
        <w:rPr>
          <w:rFonts w:ascii="Arial" w:hAnsi="Arial" w:cs="Arial"/>
          <w:lang w:val="es-CO"/>
        </w:rPr>
        <w:t>valores que expida la constancia;</w:t>
      </w:r>
    </w:p>
    <w:p w14:paraId="15EC1EDD" w14:textId="77777777" w:rsidR="00B2442D" w:rsidRDefault="00B2442D">
      <w:pPr>
        <w:jc w:val="both"/>
        <w:rPr>
          <w:rFonts w:ascii="Arial" w:hAnsi="Arial" w:cs="Arial"/>
          <w:lang w:val="es-CO"/>
        </w:rPr>
      </w:pPr>
    </w:p>
    <w:p w14:paraId="1E68CA6C" w14:textId="77777777" w:rsidR="00B2442D" w:rsidRDefault="008A645F">
      <w:pPr>
        <w:jc w:val="both"/>
        <w:rPr>
          <w:rFonts w:ascii="Arial" w:hAnsi="Arial" w:cs="Arial"/>
          <w:lang w:val="es-CO"/>
        </w:rPr>
      </w:pPr>
      <w:r>
        <w:rPr>
          <w:rFonts w:ascii="Arial" w:hAnsi="Arial" w:cs="Arial"/>
          <w:lang w:val="es-CO"/>
        </w:rPr>
        <w:t>c) La fecha de la enajenación del título;</w:t>
      </w:r>
    </w:p>
    <w:p w14:paraId="352A454F" w14:textId="77777777" w:rsidR="00B2442D" w:rsidRDefault="00B2442D">
      <w:pPr>
        <w:jc w:val="both"/>
        <w:rPr>
          <w:rFonts w:ascii="Arial" w:hAnsi="Arial" w:cs="Arial"/>
          <w:lang w:val="es-CO"/>
        </w:rPr>
      </w:pPr>
    </w:p>
    <w:p w14:paraId="31B1CAC1" w14:textId="77777777" w:rsidR="00B2442D" w:rsidRDefault="008A645F">
      <w:pPr>
        <w:jc w:val="both"/>
        <w:rPr>
          <w:rFonts w:ascii="Arial" w:hAnsi="Arial" w:cs="Arial"/>
          <w:lang w:val="es-CO"/>
        </w:rPr>
      </w:pPr>
      <w:r>
        <w:rPr>
          <w:rFonts w:ascii="Arial" w:hAnsi="Arial" w:cs="Arial"/>
          <w:lang w:val="es-CO"/>
        </w:rPr>
        <w:t>d) Precio de enajenación, o precio de registro, si la transacción se realiza a través de una bolsa de valores, expresado en valor absolutos. Cuando se trate de colocación primari</w:t>
      </w:r>
      <w:r>
        <w:rPr>
          <w:rFonts w:ascii="Arial" w:hAnsi="Arial" w:cs="Arial"/>
          <w:lang w:val="es-CO"/>
        </w:rPr>
        <w:t>a, se indicará el precio de compra del adquirente;</w:t>
      </w:r>
    </w:p>
    <w:p w14:paraId="0CBC2CE7" w14:textId="77777777" w:rsidR="00B2442D" w:rsidRDefault="00B2442D">
      <w:pPr>
        <w:jc w:val="both"/>
        <w:rPr>
          <w:rFonts w:ascii="Arial" w:hAnsi="Arial" w:cs="Arial"/>
          <w:lang w:val="es-CO"/>
        </w:rPr>
      </w:pPr>
    </w:p>
    <w:p w14:paraId="2A1344C7" w14:textId="77777777" w:rsidR="00B2442D" w:rsidRDefault="008A645F">
      <w:pPr>
        <w:jc w:val="both"/>
        <w:rPr>
          <w:rFonts w:ascii="Arial" w:hAnsi="Arial" w:cs="Arial"/>
          <w:lang w:val="es-CO"/>
        </w:rPr>
      </w:pPr>
      <w:r>
        <w:rPr>
          <w:rFonts w:ascii="Arial" w:hAnsi="Arial" w:cs="Arial"/>
          <w:lang w:val="es-CO"/>
        </w:rPr>
        <w:t>e) La firma autógrafa o mecánica de la persona autorizada para el efecto por el enajenante.</w:t>
      </w:r>
    </w:p>
    <w:p w14:paraId="40425C3C" w14:textId="77777777" w:rsidR="00B2442D" w:rsidRDefault="00B2442D">
      <w:pPr>
        <w:jc w:val="both"/>
        <w:rPr>
          <w:rFonts w:ascii="Arial" w:hAnsi="Arial" w:cs="Arial"/>
          <w:lang w:val="es-CO"/>
        </w:rPr>
      </w:pPr>
    </w:p>
    <w:p w14:paraId="4CD950BF" w14:textId="77777777" w:rsidR="00B2442D" w:rsidRDefault="008A645F">
      <w:pPr>
        <w:jc w:val="both"/>
        <w:rPr>
          <w:rFonts w:ascii="Arial" w:hAnsi="Arial" w:cs="Arial"/>
          <w:lang w:val="es-CO"/>
        </w:rPr>
      </w:pPr>
      <w:r>
        <w:rPr>
          <w:rFonts w:ascii="Arial" w:hAnsi="Arial" w:cs="Arial"/>
          <w:lang w:val="es-CO"/>
        </w:rPr>
        <w:t>Esta constancia circulará conjuntamente con el título hasta tanto éste no sea adquirido por un agente autorrete</w:t>
      </w:r>
      <w:r>
        <w:rPr>
          <w:rFonts w:ascii="Arial" w:hAnsi="Arial" w:cs="Arial"/>
          <w:lang w:val="es-CO"/>
        </w:rPr>
        <w:t>nedor, una entidad no contribuyente del impuesto sobre la renta y complementario, o exenta de dicho impuesto o no sujeta a retención en la fuente por expresa disposición legal.</w:t>
      </w:r>
    </w:p>
    <w:p w14:paraId="47FB9F41" w14:textId="77777777" w:rsidR="00B2442D" w:rsidRDefault="00B2442D">
      <w:pPr>
        <w:jc w:val="both"/>
        <w:rPr>
          <w:rFonts w:ascii="Arial" w:hAnsi="Arial" w:cs="Arial"/>
          <w:i/>
          <w:lang w:val="es-CO"/>
        </w:rPr>
      </w:pPr>
    </w:p>
    <w:p w14:paraId="1B1961B9" w14:textId="77777777" w:rsidR="00B2442D" w:rsidRDefault="008A645F">
      <w:pPr>
        <w:jc w:val="both"/>
        <w:rPr>
          <w:rFonts w:ascii="Arial" w:hAnsi="Arial" w:cs="Arial"/>
          <w:i/>
          <w:lang w:val="es-CO"/>
        </w:rPr>
      </w:pPr>
      <w:r>
        <w:rPr>
          <w:rFonts w:ascii="Arial" w:hAnsi="Arial" w:cs="Arial"/>
          <w:i/>
          <w:lang w:val="es-CO"/>
        </w:rPr>
        <w:t>(Art. 28, Decreto 700 de 1997)</w:t>
      </w:r>
      <w:r>
        <w:rPr>
          <w:rFonts w:ascii="Arial" w:hAnsi="Arial" w:cs="Arial"/>
        </w:rPr>
        <w:t xml:space="preserve"> </w:t>
      </w:r>
      <w:r>
        <w:rPr>
          <w:rFonts w:ascii="Arial" w:hAnsi="Arial" w:cs="Arial"/>
          <w:i/>
          <w:lang w:val="es-CO"/>
        </w:rPr>
        <w:t>(El Decreto 700 de 1997 rige a partir del 1° de</w:t>
      </w:r>
      <w:r>
        <w:rPr>
          <w:rFonts w:ascii="Arial" w:hAnsi="Arial" w:cs="Arial"/>
          <w:i/>
          <w:lang w:val="es-CO"/>
        </w:rPr>
        <w:t xml:space="preserve"> abril de 1997 y deroga los Decretos 1960 y 2360 de 1996, y las demás disposiciones que le sean contrarias. Art. 45, Decreto 700 de 1997)</w:t>
      </w:r>
    </w:p>
    <w:p w14:paraId="37C6B945" w14:textId="77777777" w:rsidR="00B2442D" w:rsidRDefault="00B2442D">
      <w:pPr>
        <w:jc w:val="both"/>
        <w:rPr>
          <w:rFonts w:ascii="Arial" w:hAnsi="Arial" w:cs="Arial"/>
          <w:lang w:val="es-CO"/>
        </w:rPr>
      </w:pPr>
    </w:p>
    <w:p w14:paraId="5DBE555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Negociación en bolsa de valores de títulos con pago de rendimientos vencidos.</w:t>
      </w:r>
      <w:r>
        <w:rPr>
          <w:rFonts w:ascii="Arial" w:hAnsi="Arial" w:cs="Arial"/>
          <w:i/>
          <w:lang w:val="es-CO"/>
        </w:rPr>
        <w:t xml:space="preserve"> </w:t>
      </w:r>
      <w:r>
        <w:rPr>
          <w:rFonts w:ascii="Arial" w:hAnsi="Arial" w:cs="Arial"/>
          <w:lang w:val="es-CO"/>
        </w:rPr>
        <w:t>Cuando un contribuyente del impuesto s</w:t>
      </w:r>
      <w:r>
        <w:rPr>
          <w:rFonts w:ascii="Arial" w:hAnsi="Arial" w:cs="Arial"/>
          <w:lang w:val="es-CO"/>
        </w:rPr>
        <w:t>obre la renta y complementario, que estando sujeto a retención en la fuente, no tenga la calidad de agente autorretenedor de rendimientos financieros, adquiera a través de una bolsa de valores, un título con pago de rendimientos vencidos, la bolsa de valor</w:t>
      </w:r>
      <w:r>
        <w:rPr>
          <w:rFonts w:ascii="Arial" w:hAnsi="Arial" w:cs="Arial"/>
          <w:lang w:val="es-CO"/>
        </w:rPr>
        <w:t>es al momento de efectuar el registro de la transacción, deberá expedir la constancia de enajenación, de que trata el artículo 1.2.4.2.36 del presente Decreto.</w:t>
      </w:r>
    </w:p>
    <w:p w14:paraId="69DD0388" w14:textId="77777777" w:rsidR="00B2442D" w:rsidRDefault="00B2442D">
      <w:pPr>
        <w:jc w:val="both"/>
        <w:rPr>
          <w:rFonts w:ascii="Arial" w:hAnsi="Arial" w:cs="Arial"/>
          <w:i/>
          <w:lang w:val="es-CO"/>
        </w:rPr>
      </w:pPr>
    </w:p>
    <w:p w14:paraId="5EDD6E31" w14:textId="77777777" w:rsidR="00B2442D" w:rsidRDefault="008A645F">
      <w:pPr>
        <w:jc w:val="both"/>
        <w:rPr>
          <w:rFonts w:ascii="Arial" w:hAnsi="Arial" w:cs="Arial"/>
          <w:i/>
          <w:lang w:val="es-CO"/>
        </w:rPr>
      </w:pPr>
      <w:r>
        <w:rPr>
          <w:rFonts w:ascii="Arial" w:hAnsi="Arial" w:cs="Arial"/>
          <w:i/>
          <w:lang w:val="es-CO"/>
        </w:rPr>
        <w:t>(Art. 29, Decreto 700 de 1997)</w:t>
      </w:r>
      <w:r>
        <w:rPr>
          <w:rFonts w:ascii="Arial" w:hAnsi="Arial" w:cs="Arial"/>
        </w:rPr>
        <w:t xml:space="preserve"> </w:t>
      </w:r>
      <w:r>
        <w:rPr>
          <w:rFonts w:ascii="Arial" w:hAnsi="Arial" w:cs="Arial"/>
          <w:i/>
          <w:lang w:val="es-CO"/>
        </w:rPr>
        <w:t xml:space="preserve">(El Decreto 700 de 1997 rige a partir del 1° de abril de 1997 y </w:t>
      </w:r>
      <w:r>
        <w:rPr>
          <w:rFonts w:ascii="Arial" w:hAnsi="Arial" w:cs="Arial"/>
          <w:i/>
          <w:lang w:val="es-CO"/>
        </w:rPr>
        <w:t>deroga los Decretos 1960 y 2360 de 1996, y las demás disposiciones que le sean contrarias. Art. 45, Decreto 700 de 1997)</w:t>
      </w:r>
    </w:p>
    <w:p w14:paraId="6FD93C51" w14:textId="77777777" w:rsidR="00B2442D" w:rsidRDefault="00B2442D">
      <w:pPr>
        <w:jc w:val="both"/>
        <w:rPr>
          <w:rFonts w:ascii="Arial" w:hAnsi="Arial" w:cs="Arial"/>
          <w:lang w:val="es-CO"/>
        </w:rPr>
      </w:pPr>
    </w:p>
    <w:p w14:paraId="7BEBEC8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sobre rendimientos provenientes de cupones desprendibles.</w:t>
      </w:r>
      <w:r>
        <w:rPr>
          <w:rFonts w:ascii="Arial" w:hAnsi="Arial" w:cs="Arial"/>
          <w:lang w:val="es-CO"/>
        </w:rPr>
        <w:t xml:space="preserve"> Tratándose de títulos con cupones desprendibles, cua</w:t>
      </w:r>
      <w:r>
        <w:rPr>
          <w:rFonts w:ascii="Arial" w:hAnsi="Arial" w:cs="Arial"/>
          <w:lang w:val="es-CO"/>
        </w:rPr>
        <w:t>ndo en el mercado secundario se enajenen de manera independiente del principal, cupones correspondientes a sólo intereses, se observarán las siguientes reglas generales, aplicables de conformidad con lo previsto en el presente decreto:</w:t>
      </w:r>
    </w:p>
    <w:p w14:paraId="24DEEA9D" w14:textId="77777777" w:rsidR="00B2442D" w:rsidRDefault="00B2442D">
      <w:pPr>
        <w:jc w:val="both"/>
        <w:rPr>
          <w:rFonts w:ascii="Arial" w:hAnsi="Arial" w:cs="Arial"/>
          <w:lang w:val="es-CO"/>
        </w:rPr>
      </w:pPr>
    </w:p>
    <w:p w14:paraId="16DB5996" w14:textId="77777777" w:rsidR="00B2442D" w:rsidRDefault="008A645F">
      <w:pPr>
        <w:jc w:val="both"/>
        <w:rPr>
          <w:rFonts w:ascii="Arial" w:hAnsi="Arial" w:cs="Arial"/>
          <w:lang w:val="es-CO"/>
        </w:rPr>
      </w:pPr>
      <w:r>
        <w:rPr>
          <w:rFonts w:ascii="Arial" w:hAnsi="Arial" w:cs="Arial"/>
          <w:lang w:val="es-CO"/>
        </w:rPr>
        <w:t>1. Se practicará re</w:t>
      </w:r>
      <w:r>
        <w:rPr>
          <w:rFonts w:ascii="Arial" w:hAnsi="Arial" w:cs="Arial"/>
          <w:lang w:val="es-CO"/>
        </w:rPr>
        <w:t>tención en la fuente sobre la totalidad del valor nominal del cupón desprendible correspondiente a sólo intereses.</w:t>
      </w:r>
    </w:p>
    <w:p w14:paraId="78088D15" w14:textId="77777777" w:rsidR="00B2442D" w:rsidRDefault="00B2442D">
      <w:pPr>
        <w:jc w:val="both"/>
        <w:rPr>
          <w:rFonts w:ascii="Arial" w:hAnsi="Arial" w:cs="Arial"/>
          <w:lang w:val="es-CO"/>
        </w:rPr>
      </w:pPr>
    </w:p>
    <w:p w14:paraId="7B19444E" w14:textId="77777777" w:rsidR="00B2442D" w:rsidRDefault="008A645F">
      <w:pPr>
        <w:jc w:val="both"/>
        <w:rPr>
          <w:rFonts w:ascii="Arial" w:hAnsi="Arial" w:cs="Arial"/>
          <w:lang w:val="es-CO"/>
        </w:rPr>
      </w:pPr>
      <w:r>
        <w:rPr>
          <w:rFonts w:ascii="Arial" w:hAnsi="Arial" w:cs="Arial"/>
          <w:lang w:val="es-CO"/>
        </w:rPr>
        <w:t>2. Los descuentos generados en la enajenación de los cupones desprendibles correspondientes a sólo intereses, no causará retención en la fue</w:t>
      </w:r>
      <w:r>
        <w:rPr>
          <w:rFonts w:ascii="Arial" w:hAnsi="Arial" w:cs="Arial"/>
          <w:lang w:val="es-CO"/>
        </w:rPr>
        <w:t>nte.</w:t>
      </w:r>
    </w:p>
    <w:p w14:paraId="135E50E9" w14:textId="77777777" w:rsidR="00B2442D" w:rsidRDefault="00B2442D">
      <w:pPr>
        <w:jc w:val="both"/>
        <w:rPr>
          <w:rFonts w:ascii="Arial" w:hAnsi="Arial" w:cs="Arial"/>
          <w:lang w:val="es-CO"/>
        </w:rPr>
      </w:pPr>
    </w:p>
    <w:p w14:paraId="2452B5C4" w14:textId="77777777" w:rsidR="00B2442D" w:rsidRDefault="008A645F">
      <w:pPr>
        <w:jc w:val="both"/>
        <w:rPr>
          <w:rFonts w:ascii="Arial" w:hAnsi="Arial" w:cs="Arial"/>
          <w:lang w:val="es-CO"/>
        </w:rPr>
      </w:pPr>
      <w:r>
        <w:rPr>
          <w:rFonts w:ascii="Arial" w:hAnsi="Arial" w:cs="Arial"/>
          <w:lang w:val="es-CO"/>
        </w:rPr>
        <w:t>3. Los descuentos generados en la enajenación del principal del título, correspondiente a sólo capital, no causará retención en la fuente.</w:t>
      </w:r>
    </w:p>
    <w:p w14:paraId="1413DFBF" w14:textId="77777777" w:rsidR="00B2442D" w:rsidRDefault="00B2442D">
      <w:pPr>
        <w:jc w:val="both"/>
        <w:rPr>
          <w:rFonts w:ascii="Arial" w:hAnsi="Arial" w:cs="Arial"/>
          <w:lang w:val="es-CO"/>
        </w:rPr>
      </w:pPr>
    </w:p>
    <w:p w14:paraId="597B570F" w14:textId="77777777" w:rsidR="00B2442D" w:rsidRDefault="008A645F">
      <w:pPr>
        <w:jc w:val="both"/>
        <w:rPr>
          <w:rFonts w:ascii="Arial" w:hAnsi="Arial" w:cs="Arial"/>
          <w:lang w:val="es-CO"/>
        </w:rPr>
      </w:pPr>
      <w:r>
        <w:rPr>
          <w:rFonts w:ascii="Arial" w:hAnsi="Arial" w:cs="Arial"/>
          <w:lang w:val="es-CO"/>
        </w:rPr>
        <w:t>4. La constancia de enajenación de que trata el artículo 1.2.4.2.26 del presente decreto, no deberá indicar el</w:t>
      </w:r>
      <w:r>
        <w:rPr>
          <w:rFonts w:ascii="Arial" w:hAnsi="Arial" w:cs="Arial"/>
          <w:lang w:val="es-CO"/>
        </w:rPr>
        <w:t xml:space="preserve"> precio de enajenación o registro.</w:t>
      </w:r>
    </w:p>
    <w:p w14:paraId="6BC7CEE3" w14:textId="77777777" w:rsidR="00B2442D" w:rsidRDefault="00B2442D">
      <w:pPr>
        <w:jc w:val="both"/>
        <w:rPr>
          <w:rFonts w:ascii="Arial" w:hAnsi="Arial" w:cs="Arial"/>
          <w:lang w:val="es-CO"/>
        </w:rPr>
      </w:pPr>
    </w:p>
    <w:p w14:paraId="6B58BEA4" w14:textId="77777777" w:rsidR="00B2442D" w:rsidRDefault="008A645F">
      <w:pPr>
        <w:jc w:val="both"/>
        <w:rPr>
          <w:rFonts w:ascii="Arial" w:hAnsi="Arial" w:cs="Arial"/>
          <w:lang w:val="es-CO"/>
        </w:rPr>
      </w:pPr>
      <w:r>
        <w:rPr>
          <w:rFonts w:ascii="Arial" w:hAnsi="Arial" w:cs="Arial"/>
          <w:lang w:val="es-CO"/>
        </w:rPr>
        <w:t xml:space="preserve">5. La retención en la fuente que se traslade entre contribuyentes no autorretenedores, junto con el precio de enajenación de los cupones desprendibles de intereses, corresponderá al resultado de aplicar el </w:t>
      </w:r>
      <w:r>
        <w:rPr>
          <w:rFonts w:ascii="Arial" w:hAnsi="Arial" w:cs="Arial"/>
          <w:lang w:val="es-CO"/>
        </w:rPr>
        <w:t>porcentaje del siete por ciento (7%) (hoy cuatro por ciento (4%)),  al valor nominal del cupón multiplicado por el número de días contados a partir de la fecha de enajenación consignada en la constancia de enajenación, dividido por el número de días del pe</w:t>
      </w:r>
      <w:r>
        <w:rPr>
          <w:rFonts w:ascii="Arial" w:hAnsi="Arial" w:cs="Arial"/>
          <w:lang w:val="es-CO"/>
        </w:rPr>
        <w:t>ríodo del cupón.</w:t>
      </w:r>
    </w:p>
    <w:p w14:paraId="4696943C" w14:textId="77777777" w:rsidR="00B2442D" w:rsidRDefault="00B2442D">
      <w:pPr>
        <w:jc w:val="both"/>
        <w:rPr>
          <w:rFonts w:ascii="Arial" w:hAnsi="Arial" w:cs="Arial"/>
          <w:i/>
          <w:lang w:val="es-CO"/>
        </w:rPr>
      </w:pPr>
    </w:p>
    <w:p w14:paraId="19C1A8FA" w14:textId="77777777" w:rsidR="00B2442D" w:rsidRDefault="008A645F">
      <w:pPr>
        <w:jc w:val="both"/>
        <w:rPr>
          <w:rFonts w:ascii="Arial" w:hAnsi="Arial" w:cs="Arial"/>
          <w:i/>
          <w:lang w:val="es-CO"/>
        </w:rPr>
      </w:pPr>
      <w:r>
        <w:rPr>
          <w:rFonts w:ascii="Arial" w:hAnsi="Arial" w:cs="Arial"/>
          <w:i/>
          <w:lang w:val="es-CO"/>
        </w:rPr>
        <w:t>(Art. 33, Decreto 700 de 1997. Ajustada la tarifa por el Art. 3 del Decreto 2418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w:t>
      </w:r>
      <w:r>
        <w:rPr>
          <w:rFonts w:ascii="Arial" w:hAnsi="Arial" w:cs="Arial"/>
          <w:i/>
          <w:lang w:val="es-CO"/>
        </w:rPr>
        <w:t>arias. Art. 45, Decreto 700 de 1997)</w:t>
      </w:r>
    </w:p>
    <w:p w14:paraId="357C36DE" w14:textId="77777777" w:rsidR="00B2442D" w:rsidRDefault="00B2442D">
      <w:pPr>
        <w:jc w:val="both"/>
        <w:rPr>
          <w:rFonts w:ascii="Arial" w:hAnsi="Arial" w:cs="Arial"/>
          <w:lang w:val="es-CO"/>
        </w:rPr>
      </w:pPr>
    </w:p>
    <w:p w14:paraId="7951B76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Registro en cuenta o anotación en cuenta de títulos con pago de rendimientos vencidos adquiridos por no autorretenedores.</w:t>
      </w:r>
      <w:r>
        <w:rPr>
          <w:rFonts w:ascii="Arial" w:hAnsi="Arial" w:cs="Arial"/>
          <w:lang w:val="es-CO"/>
        </w:rPr>
        <w:t xml:space="preserve"> Con el objeto de que las sociedades administradoras de depósitos centralizados de valores y el </w:t>
      </w:r>
      <w:r>
        <w:rPr>
          <w:rFonts w:ascii="Arial" w:hAnsi="Arial" w:cs="Arial"/>
          <w:lang w:val="es-CO"/>
        </w:rPr>
        <w:t>Banco de la República en administración del Depósito Central de Valores, realicen el registro o anotación en cuenta de títulos con pago de intereses vencidos, depositados por un contribuyente que estando sometido a la retención en la fuente, no tenga la ca</w:t>
      </w:r>
      <w:r>
        <w:rPr>
          <w:rFonts w:ascii="Arial" w:hAnsi="Arial" w:cs="Arial"/>
          <w:lang w:val="es-CO"/>
        </w:rPr>
        <w:t>lidad de agente autorretenedor de rendimientos financieros, el depositante deberá suministrar o consignar en los sistemas de anotación y registro de las sociedades administradoras, la información contenida en la respectiva constancia de enajenación.</w:t>
      </w:r>
    </w:p>
    <w:p w14:paraId="4EF561E0" w14:textId="77777777" w:rsidR="00B2442D" w:rsidRDefault="00B2442D">
      <w:pPr>
        <w:jc w:val="both"/>
        <w:rPr>
          <w:rFonts w:ascii="Arial" w:hAnsi="Arial" w:cs="Arial"/>
          <w:lang w:val="es-CO"/>
        </w:rPr>
      </w:pPr>
    </w:p>
    <w:p w14:paraId="36B8B39B" w14:textId="77777777" w:rsidR="00B2442D" w:rsidRDefault="008A645F">
      <w:pPr>
        <w:jc w:val="both"/>
        <w:rPr>
          <w:rFonts w:ascii="Arial" w:hAnsi="Arial" w:cs="Arial"/>
          <w:lang w:val="es-CO"/>
        </w:rPr>
      </w:pPr>
      <w:r>
        <w:rPr>
          <w:rFonts w:ascii="Arial" w:hAnsi="Arial" w:cs="Arial"/>
          <w:lang w:val="es-CO"/>
        </w:rPr>
        <w:t>Cuand</w:t>
      </w:r>
      <w:r>
        <w:rPr>
          <w:rFonts w:ascii="Arial" w:hAnsi="Arial" w:cs="Arial"/>
          <w:lang w:val="es-CO"/>
        </w:rPr>
        <w:t>o el depositante no suministre o registre la información completa consignada en la constancia de enajenación, las sociedades administradoras, se abstendrán de realizar el respectivo registro o anotación en cuenta.</w:t>
      </w:r>
    </w:p>
    <w:p w14:paraId="66CF03FE" w14:textId="77777777" w:rsidR="00B2442D" w:rsidRDefault="00B2442D">
      <w:pPr>
        <w:jc w:val="both"/>
        <w:rPr>
          <w:rFonts w:ascii="Arial" w:hAnsi="Arial" w:cs="Arial"/>
          <w:i/>
          <w:lang w:val="es-CO"/>
        </w:rPr>
      </w:pPr>
    </w:p>
    <w:p w14:paraId="2ED91A71" w14:textId="77777777" w:rsidR="00B2442D" w:rsidRDefault="008A645F">
      <w:pPr>
        <w:jc w:val="both"/>
        <w:rPr>
          <w:rFonts w:ascii="Arial" w:hAnsi="Arial" w:cs="Arial"/>
          <w:i/>
          <w:lang w:val="es-CO"/>
        </w:rPr>
      </w:pPr>
      <w:r>
        <w:rPr>
          <w:rFonts w:ascii="Arial" w:hAnsi="Arial" w:cs="Arial"/>
          <w:i/>
          <w:lang w:val="es-CO"/>
        </w:rPr>
        <w:t>(Art. 34, Decreto 700 de 1997)</w:t>
      </w:r>
      <w:r>
        <w:rPr>
          <w:rFonts w:ascii="Arial" w:hAnsi="Arial" w:cs="Arial"/>
        </w:rPr>
        <w:t xml:space="preserve"> </w:t>
      </w:r>
      <w:r>
        <w:rPr>
          <w:rFonts w:ascii="Arial" w:hAnsi="Arial" w:cs="Arial"/>
          <w:i/>
          <w:lang w:val="es-CO"/>
        </w:rPr>
        <w:t>(El Decret</w:t>
      </w:r>
      <w:r>
        <w:rPr>
          <w:rFonts w:ascii="Arial" w:hAnsi="Arial" w:cs="Arial"/>
          <w:i/>
          <w:lang w:val="es-CO"/>
        </w:rPr>
        <w:t>o 700 de 1997 rige a partir del 1° de abril de 1997 y deroga los Decretos 1960 y 2360 de 1996, y las demás disposiciones que le sean contrarias. Art. 45, Decreto 700 de 1997)</w:t>
      </w:r>
    </w:p>
    <w:p w14:paraId="59D81B7E" w14:textId="77777777" w:rsidR="00B2442D" w:rsidRDefault="00B2442D">
      <w:pPr>
        <w:jc w:val="both"/>
        <w:rPr>
          <w:rFonts w:ascii="Arial" w:hAnsi="Arial" w:cs="Arial"/>
          <w:lang w:val="es-CO"/>
        </w:rPr>
      </w:pPr>
    </w:p>
    <w:p w14:paraId="52A3A4B0"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 de enajenación de títulos en depósito.</w:t>
      </w:r>
      <w:r>
        <w:rPr>
          <w:rFonts w:ascii="Arial" w:hAnsi="Arial" w:cs="Arial"/>
          <w:i/>
          <w:lang w:val="es-CO"/>
        </w:rPr>
        <w:t xml:space="preserve"> </w:t>
      </w:r>
      <w:r>
        <w:rPr>
          <w:rFonts w:ascii="Arial" w:hAnsi="Arial" w:cs="Arial"/>
          <w:lang w:val="es-CO"/>
        </w:rPr>
        <w:t xml:space="preserve">Cuando de conformidad con lo </w:t>
      </w:r>
      <w:r>
        <w:rPr>
          <w:rFonts w:ascii="Arial" w:hAnsi="Arial" w:cs="Arial"/>
          <w:lang w:val="es-CO"/>
        </w:rPr>
        <w:t>previsto en el presente decreto, en el mercado secundario se deba expedir la constancia de enajenación de un título con pago de rendimientos vencidos, que se encuentre depositado en un depósito centralizado de valores, el enajenante deberá expedir dicha co</w:t>
      </w:r>
      <w:r>
        <w:rPr>
          <w:rFonts w:ascii="Arial" w:hAnsi="Arial" w:cs="Arial"/>
          <w:lang w:val="es-CO"/>
        </w:rPr>
        <w:t>nstancia, conjuntamente con la orden de transferencia de título y podrá ser transmitida a la sociedad administradora del depósito por el mismo medio fidedigno previsto en el reglamento para la transmisión de la orden escrita de transferencia.</w:t>
      </w:r>
    </w:p>
    <w:p w14:paraId="6AF1CDB3" w14:textId="77777777" w:rsidR="00B2442D" w:rsidRDefault="00B2442D">
      <w:pPr>
        <w:jc w:val="both"/>
        <w:rPr>
          <w:rFonts w:ascii="Arial" w:hAnsi="Arial" w:cs="Arial"/>
          <w:lang w:val="es-CO"/>
        </w:rPr>
      </w:pPr>
    </w:p>
    <w:p w14:paraId="596D3D18" w14:textId="77777777" w:rsidR="00B2442D" w:rsidRDefault="008A645F">
      <w:pPr>
        <w:jc w:val="both"/>
        <w:rPr>
          <w:rFonts w:ascii="Arial" w:hAnsi="Arial" w:cs="Arial"/>
          <w:lang w:val="es-CO"/>
        </w:rPr>
      </w:pPr>
      <w:r>
        <w:rPr>
          <w:rFonts w:ascii="Arial" w:hAnsi="Arial" w:cs="Arial"/>
          <w:lang w:val="es-CO"/>
        </w:rPr>
        <w:t>Cuando la ne</w:t>
      </w:r>
      <w:r>
        <w:rPr>
          <w:rFonts w:ascii="Arial" w:hAnsi="Arial" w:cs="Arial"/>
          <w:lang w:val="es-CO"/>
        </w:rPr>
        <w:t xml:space="preserve">gociación del título se realice a través de una bolsa de valores y esta tenga la obligación de comunicar al depósito centralizado de valores las órdenes de transferencia de los títulos, deberá al mismo tiempo transmitir la información correspondiente a la </w:t>
      </w:r>
      <w:r>
        <w:rPr>
          <w:rFonts w:ascii="Arial" w:hAnsi="Arial" w:cs="Arial"/>
          <w:lang w:val="es-CO"/>
        </w:rPr>
        <w:t>constancia de enajenación del título, que le corresponda expedir.</w:t>
      </w:r>
    </w:p>
    <w:p w14:paraId="4ECD9F4E" w14:textId="77777777" w:rsidR="00B2442D" w:rsidRDefault="00B2442D">
      <w:pPr>
        <w:jc w:val="both"/>
        <w:rPr>
          <w:rFonts w:ascii="Arial" w:hAnsi="Arial" w:cs="Arial"/>
          <w:lang w:val="es-CO"/>
        </w:rPr>
      </w:pPr>
    </w:p>
    <w:p w14:paraId="41654828" w14:textId="77777777" w:rsidR="00B2442D" w:rsidRDefault="008A645F">
      <w:pPr>
        <w:jc w:val="both"/>
        <w:rPr>
          <w:rFonts w:ascii="Arial" w:hAnsi="Arial" w:cs="Arial"/>
          <w:lang w:val="es-CO"/>
        </w:rPr>
      </w:pPr>
      <w:r>
        <w:rPr>
          <w:rFonts w:ascii="Arial" w:hAnsi="Arial" w:cs="Arial"/>
          <w:lang w:val="es-CO"/>
        </w:rPr>
        <w:t>El registro en cuentas o anotación en cuenta que realice la sociedad administradora del depósito centralizado de valores con base en la transmisión de la constancia sobre la fecha de enajen</w:t>
      </w:r>
      <w:r>
        <w:rPr>
          <w:rFonts w:ascii="Arial" w:hAnsi="Arial" w:cs="Arial"/>
          <w:lang w:val="es-CO"/>
        </w:rPr>
        <w:t>ación del título de rendimientos vencidos, expedida por el enajenante o la bolsa de valores, sustituirá la obligación de anexar el papel físico de la constancia al respectivo título, siempre y cuando la sociedad administradora consigne de manera completa l</w:t>
      </w:r>
      <w:r>
        <w:rPr>
          <w:rFonts w:ascii="Arial" w:hAnsi="Arial" w:cs="Arial"/>
          <w:lang w:val="es-CO"/>
        </w:rPr>
        <w:t>a misma información en las constancias de depósito y los certificados que expida en relación con los mismos.</w:t>
      </w:r>
    </w:p>
    <w:p w14:paraId="658DF1AF" w14:textId="77777777" w:rsidR="00B2442D" w:rsidRDefault="00B2442D">
      <w:pPr>
        <w:jc w:val="both"/>
        <w:rPr>
          <w:rFonts w:ascii="Arial" w:hAnsi="Arial" w:cs="Arial"/>
          <w:i/>
          <w:lang w:val="es-CO"/>
        </w:rPr>
      </w:pPr>
    </w:p>
    <w:p w14:paraId="117DA789" w14:textId="77777777" w:rsidR="00B2442D" w:rsidRDefault="008A645F">
      <w:pPr>
        <w:jc w:val="both"/>
        <w:rPr>
          <w:rFonts w:ascii="Arial" w:hAnsi="Arial" w:cs="Arial"/>
          <w:i/>
          <w:lang w:val="es-CO"/>
        </w:rPr>
      </w:pPr>
      <w:r>
        <w:rPr>
          <w:rFonts w:ascii="Arial" w:hAnsi="Arial" w:cs="Arial"/>
          <w:i/>
          <w:lang w:val="es-CO"/>
        </w:rPr>
        <w:t>(Art. 35,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w:t>
      </w:r>
      <w:r>
        <w:rPr>
          <w:rFonts w:ascii="Arial" w:hAnsi="Arial" w:cs="Arial"/>
          <w:i/>
          <w:lang w:val="es-CO"/>
        </w:rPr>
        <w:t>s disposiciones que le sean contrarias. Art. 45, Decreto 700 de 1997)</w:t>
      </w:r>
    </w:p>
    <w:p w14:paraId="1C90E7E5" w14:textId="77777777" w:rsidR="00B2442D" w:rsidRDefault="00B2442D">
      <w:pPr>
        <w:jc w:val="both"/>
        <w:rPr>
          <w:rFonts w:ascii="Arial" w:hAnsi="Arial" w:cs="Arial"/>
          <w:lang w:val="es-CO"/>
        </w:rPr>
      </w:pPr>
    </w:p>
    <w:p w14:paraId="7E1D0DB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Expedición de constancias de enajenación en el fraccionamiento de títulos con rendimientos vencidos.</w:t>
      </w:r>
      <w:r>
        <w:rPr>
          <w:rFonts w:ascii="Arial" w:hAnsi="Arial" w:cs="Arial"/>
          <w:lang w:val="es-CO"/>
        </w:rPr>
        <w:t xml:space="preserve"> Las sociedades administradoras de depósitos centralizados de valores o el Banco de </w:t>
      </w:r>
      <w:r>
        <w:rPr>
          <w:rFonts w:ascii="Arial" w:hAnsi="Arial" w:cs="Arial"/>
          <w:lang w:val="es-CO"/>
        </w:rPr>
        <w:t>la República en administración del Depósito Central de Valores, que fraccionen títulos que cuenten con la respectiva constancia de enajenación o la equivalente anotación en el registro electrónico de los mismos, deberán anotar en el registro electrónico de</w:t>
      </w:r>
      <w:r>
        <w:rPr>
          <w:rFonts w:ascii="Arial" w:hAnsi="Arial" w:cs="Arial"/>
          <w:lang w:val="es-CO"/>
        </w:rPr>
        <w:t xml:space="preserve"> cada nuevo título el correspondiente precio de enajenación en valores absolutos y en proporción a los rendimientos financieros correspondientes a los nuevos títulos, con base en la información consignada en la constancia perteneciente al título original. </w:t>
      </w:r>
      <w:r>
        <w:rPr>
          <w:rFonts w:ascii="Arial" w:hAnsi="Arial" w:cs="Arial"/>
          <w:lang w:val="es-CO"/>
        </w:rPr>
        <w:t>Igualmente anotarán la totalidad de la información exigida para las constancias de enajenación de conformidad con lo dispuesto en el presente decreto.</w:t>
      </w:r>
    </w:p>
    <w:p w14:paraId="3BA3F0EF" w14:textId="77777777" w:rsidR="00B2442D" w:rsidRDefault="00B2442D">
      <w:pPr>
        <w:jc w:val="both"/>
        <w:rPr>
          <w:rFonts w:ascii="Arial" w:hAnsi="Arial" w:cs="Arial"/>
          <w:lang w:val="es-CO"/>
        </w:rPr>
      </w:pPr>
    </w:p>
    <w:p w14:paraId="1B5ED75E" w14:textId="77777777" w:rsidR="00B2442D" w:rsidRDefault="008A645F">
      <w:pPr>
        <w:jc w:val="both"/>
        <w:rPr>
          <w:rFonts w:ascii="Arial" w:hAnsi="Arial" w:cs="Arial"/>
          <w:lang w:val="es-CO"/>
        </w:rPr>
      </w:pPr>
      <w:r>
        <w:rPr>
          <w:rFonts w:ascii="Arial" w:hAnsi="Arial" w:cs="Arial"/>
          <w:lang w:val="es-CO"/>
        </w:rPr>
        <w:t>La anotación que al respecto se haga al realizar el registro electrónico de cada nuevo título, suplirá l</w:t>
      </w:r>
      <w:r>
        <w:rPr>
          <w:rFonts w:ascii="Arial" w:hAnsi="Arial" w:cs="Arial"/>
          <w:lang w:val="es-CO"/>
        </w:rPr>
        <w:t>a expedición de la constancia de enajenación, siempre y cuando, en las constancias de depósito y los certificados expedidos por las sociedades administradoras también se consigne de manera completa la misma información.</w:t>
      </w:r>
    </w:p>
    <w:p w14:paraId="2079031F" w14:textId="77777777" w:rsidR="00B2442D" w:rsidRDefault="00B2442D">
      <w:pPr>
        <w:jc w:val="both"/>
        <w:rPr>
          <w:rFonts w:ascii="Arial" w:hAnsi="Arial" w:cs="Arial"/>
          <w:lang w:val="es-CO"/>
        </w:rPr>
      </w:pPr>
    </w:p>
    <w:p w14:paraId="5D798B29" w14:textId="77777777" w:rsidR="00B2442D" w:rsidRDefault="008A645F">
      <w:pPr>
        <w:jc w:val="both"/>
        <w:rPr>
          <w:rFonts w:ascii="Arial" w:hAnsi="Arial" w:cs="Arial"/>
          <w:lang w:val="es-CO"/>
        </w:rPr>
      </w:pPr>
      <w:r>
        <w:rPr>
          <w:rFonts w:ascii="Arial" w:hAnsi="Arial" w:cs="Arial"/>
          <w:lang w:val="es-CO"/>
        </w:rPr>
        <w:t xml:space="preserve">Cuando haya lugar a la </w:t>
      </w:r>
      <w:r>
        <w:rPr>
          <w:rFonts w:ascii="Arial" w:hAnsi="Arial" w:cs="Arial"/>
          <w:lang w:val="es-CO"/>
        </w:rPr>
        <w:t>materialización de los nuevos títulos, las sociedades administradoras de los depósitos centralizados de valores o el Banco de la República en administración del Depósito Central de Valores, expedirán para cada uno de los títulos, la constancia de enajenaci</w:t>
      </w:r>
      <w:r>
        <w:rPr>
          <w:rFonts w:ascii="Arial" w:hAnsi="Arial" w:cs="Arial"/>
          <w:lang w:val="es-CO"/>
        </w:rPr>
        <w:t>ón.</w:t>
      </w:r>
    </w:p>
    <w:p w14:paraId="1ADC8800" w14:textId="77777777" w:rsidR="00B2442D" w:rsidRDefault="00B2442D">
      <w:pPr>
        <w:jc w:val="both"/>
        <w:rPr>
          <w:rFonts w:ascii="Arial" w:hAnsi="Arial" w:cs="Arial"/>
          <w:lang w:val="es-CO"/>
        </w:rPr>
      </w:pPr>
    </w:p>
    <w:p w14:paraId="195A3541" w14:textId="77777777" w:rsidR="00B2442D" w:rsidRDefault="008A645F">
      <w:pPr>
        <w:jc w:val="both"/>
        <w:rPr>
          <w:rFonts w:ascii="Arial" w:hAnsi="Arial" w:cs="Arial"/>
          <w:lang w:val="es-CO"/>
        </w:rPr>
      </w:pPr>
      <w:r>
        <w:rPr>
          <w:rFonts w:ascii="Arial" w:hAnsi="Arial" w:cs="Arial"/>
          <w:lang w:val="es-CO"/>
        </w:rPr>
        <w:t>En el evento de realizarse un fraccionamiento de títulos sin desmaterialización, corresponderá a la persona que realice el fraccionamiento, expedir para cada nuevo título, la constancia de enajenación.</w:t>
      </w:r>
    </w:p>
    <w:p w14:paraId="34B9BC81" w14:textId="77777777" w:rsidR="00B2442D" w:rsidRDefault="00B2442D">
      <w:pPr>
        <w:jc w:val="both"/>
        <w:rPr>
          <w:rFonts w:ascii="Arial" w:hAnsi="Arial" w:cs="Arial"/>
          <w:i/>
          <w:lang w:val="es-CO"/>
        </w:rPr>
      </w:pPr>
    </w:p>
    <w:p w14:paraId="54817C0D" w14:textId="77777777" w:rsidR="00B2442D" w:rsidRDefault="008A645F">
      <w:pPr>
        <w:jc w:val="both"/>
        <w:rPr>
          <w:rFonts w:ascii="Arial" w:hAnsi="Arial" w:cs="Arial"/>
          <w:i/>
          <w:lang w:val="es-CO"/>
        </w:rPr>
      </w:pPr>
      <w:r>
        <w:rPr>
          <w:rFonts w:ascii="Arial" w:hAnsi="Arial" w:cs="Arial"/>
          <w:i/>
          <w:lang w:val="es-CO"/>
        </w:rPr>
        <w:t>(Art. 36, Decreto 700 de 1997)</w:t>
      </w:r>
      <w:r>
        <w:rPr>
          <w:rFonts w:ascii="Arial" w:hAnsi="Arial" w:cs="Arial"/>
        </w:rPr>
        <w:t xml:space="preserve"> </w:t>
      </w:r>
      <w:r>
        <w:rPr>
          <w:rFonts w:ascii="Arial" w:hAnsi="Arial" w:cs="Arial"/>
          <w:i/>
          <w:lang w:val="es-CO"/>
        </w:rPr>
        <w:t xml:space="preserve">(El </w:t>
      </w:r>
      <w:r>
        <w:rPr>
          <w:rFonts w:ascii="Arial" w:hAnsi="Arial" w:cs="Arial"/>
          <w:i/>
          <w:lang w:val="es-CO"/>
        </w:rPr>
        <w:t>Decreto 700 de 1997 rige a partir del 1° de abril de 1997 y deroga los Decretos 1960 y 2360 de 1996, y las demás disposiciones que le sean contrarias. Art. 45, Decreto 700 de 1997)</w:t>
      </w:r>
    </w:p>
    <w:p w14:paraId="0680DABD" w14:textId="77777777" w:rsidR="00B2442D" w:rsidRDefault="00B2442D">
      <w:pPr>
        <w:jc w:val="both"/>
        <w:rPr>
          <w:rFonts w:ascii="Arial" w:hAnsi="Arial" w:cs="Arial"/>
          <w:b/>
          <w:lang w:val="es-CO"/>
        </w:rPr>
      </w:pPr>
    </w:p>
    <w:p w14:paraId="18543A3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Expedición de la constancia de enajenación en el englobe de títulos de re</w:t>
      </w:r>
      <w:r>
        <w:rPr>
          <w:rFonts w:ascii="Arial" w:hAnsi="Arial" w:cs="Arial"/>
          <w:b/>
          <w:i/>
          <w:lang w:val="es-CO"/>
        </w:rPr>
        <w:t>ndimientos vencidos.</w:t>
      </w:r>
      <w:r>
        <w:rPr>
          <w:rFonts w:ascii="Arial" w:hAnsi="Arial" w:cs="Arial"/>
          <w:lang w:val="es-CO"/>
        </w:rPr>
        <w:t xml:space="preserve"> Cuando se engloben títulos con intereses vencidos que cuenten con las respectivas constancias de enajenación, o la equivalente anotación en el registro electrónico de los mismos, la persona que realice el englobe deberá expedir para el</w:t>
      </w:r>
      <w:r>
        <w:rPr>
          <w:rFonts w:ascii="Arial" w:hAnsi="Arial" w:cs="Arial"/>
          <w:lang w:val="es-CO"/>
        </w:rPr>
        <w:t xml:space="preserve"> nuevo título una constancia de enajenación en la cual se indique el precio de enajenación global expresado en valores absolutos. Para estos efectos, se sumarán los precios de enajenación de los títulos que se engloban, según la información consignada en l</w:t>
      </w:r>
      <w:r>
        <w:rPr>
          <w:rFonts w:ascii="Arial" w:hAnsi="Arial" w:cs="Arial"/>
          <w:lang w:val="es-CO"/>
        </w:rPr>
        <w:t>as constancias de cada uno de ellos.</w:t>
      </w:r>
    </w:p>
    <w:p w14:paraId="724AE4C3" w14:textId="77777777" w:rsidR="00B2442D" w:rsidRDefault="00B2442D">
      <w:pPr>
        <w:jc w:val="both"/>
        <w:rPr>
          <w:rFonts w:ascii="Arial" w:hAnsi="Arial" w:cs="Arial"/>
          <w:i/>
          <w:lang w:val="es-CO"/>
        </w:rPr>
      </w:pPr>
    </w:p>
    <w:p w14:paraId="3E370C4B" w14:textId="77777777" w:rsidR="00B2442D" w:rsidRDefault="008A645F">
      <w:pPr>
        <w:jc w:val="both"/>
        <w:rPr>
          <w:rFonts w:ascii="Arial" w:hAnsi="Arial" w:cs="Arial"/>
          <w:i/>
          <w:lang w:val="es-CO"/>
        </w:rPr>
      </w:pPr>
      <w:r>
        <w:rPr>
          <w:rFonts w:ascii="Arial" w:hAnsi="Arial" w:cs="Arial"/>
          <w:i/>
          <w:lang w:val="es-CO"/>
        </w:rPr>
        <w:t>(Art. 37,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60DF7209" w14:textId="77777777" w:rsidR="00B2442D" w:rsidRDefault="00B2442D">
      <w:pPr>
        <w:jc w:val="both"/>
        <w:rPr>
          <w:rFonts w:ascii="Arial" w:hAnsi="Arial" w:cs="Arial"/>
          <w:lang w:val="es-CO"/>
        </w:rPr>
      </w:pPr>
    </w:p>
    <w:p w14:paraId="7726A67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w:t>
      </w:r>
      <w:r>
        <w:rPr>
          <w:rFonts w:ascii="Arial" w:hAnsi="Arial" w:cs="Arial"/>
          <w:b/>
          <w:i/>
          <w:lang w:val="es-CO"/>
        </w:rPr>
        <w:t>Agentes autorretenedores.</w:t>
      </w:r>
      <w:r>
        <w:rPr>
          <w:rFonts w:ascii="Arial" w:hAnsi="Arial" w:cs="Arial"/>
          <w:lang w:val="es-CO"/>
        </w:rPr>
        <w:t xml:space="preserve"> Para efectos de la autorretención en la fuente que deba practicarse sobre los rendimientos financieros, de conformidad con lo previsto en los artículos 1.2.4.2.9 al 1.2.4.2.49 del presente Decreto, son agentes autorretenedores:</w:t>
      </w:r>
    </w:p>
    <w:p w14:paraId="20CD5CAE" w14:textId="77777777" w:rsidR="00B2442D" w:rsidRDefault="00B2442D">
      <w:pPr>
        <w:jc w:val="both"/>
        <w:rPr>
          <w:rFonts w:ascii="Arial" w:hAnsi="Arial" w:cs="Arial"/>
          <w:lang w:val="es-CO"/>
        </w:rPr>
      </w:pPr>
    </w:p>
    <w:p w14:paraId="01694845"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 Los contribuyentes del impuesto sobre la renta y complementario sujetos a retención en la fuente por concepto de rendimientos financieros, sometidos a la inspección, vigilancia y control de la Superintendencia Financiera de Colombia;</w:t>
      </w:r>
    </w:p>
    <w:p w14:paraId="3F06365D" w14:textId="77777777" w:rsidR="00B2442D" w:rsidRDefault="00B2442D">
      <w:pPr>
        <w:jc w:val="both"/>
        <w:rPr>
          <w:rFonts w:ascii="Arial" w:hAnsi="Arial" w:cs="Arial"/>
          <w:lang w:val="es-CO"/>
        </w:rPr>
      </w:pPr>
    </w:p>
    <w:p w14:paraId="6C606992" w14:textId="77777777" w:rsidR="00B2442D" w:rsidRDefault="008A645F">
      <w:pPr>
        <w:jc w:val="both"/>
        <w:rPr>
          <w:rFonts w:ascii="Arial" w:hAnsi="Arial" w:cs="Arial"/>
          <w:lang w:val="es-CO"/>
        </w:rPr>
      </w:pPr>
      <w:r>
        <w:rPr>
          <w:rFonts w:ascii="Arial" w:hAnsi="Arial" w:cs="Arial"/>
          <w:lang w:val="es-CO"/>
        </w:rPr>
        <w:t>b) Los demás contri</w:t>
      </w:r>
      <w:r>
        <w:rPr>
          <w:rFonts w:ascii="Arial" w:hAnsi="Arial" w:cs="Arial"/>
          <w:lang w:val="es-CO"/>
        </w:rPr>
        <w:t>buyentes del impuesto sobre la renta y complementarios autorizados por la Unidad Administrativa Especial Dirección de Impuestos y Aduanas Nacionales- DIAN.</w:t>
      </w:r>
    </w:p>
    <w:p w14:paraId="49BEFEE6" w14:textId="77777777" w:rsidR="00B2442D" w:rsidRDefault="00B2442D">
      <w:pPr>
        <w:jc w:val="both"/>
        <w:rPr>
          <w:rFonts w:ascii="Arial" w:hAnsi="Arial" w:cs="Arial"/>
          <w:lang w:val="es-CO"/>
        </w:rPr>
      </w:pPr>
    </w:p>
    <w:p w14:paraId="3F4596F2"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lo previsto en el literal b) del presente artículo, y de conformidad </w:t>
      </w:r>
      <w:r>
        <w:rPr>
          <w:rFonts w:ascii="Arial" w:hAnsi="Arial" w:cs="Arial"/>
          <w:lang w:val="es-CO"/>
        </w:rPr>
        <w:t xml:space="preserve">con lo dispuesto en el parágrafo 1° del artículo 368 del Estatuto Tributario, la Unidad Administrativa Especial Dirección de Impuestos y Aduanas Nacionales– DIAN determinará los requisitos y condiciones que deben acreditar los contribuyentes que soliciten </w:t>
      </w:r>
      <w:r>
        <w:rPr>
          <w:rFonts w:ascii="Arial" w:hAnsi="Arial" w:cs="Arial"/>
          <w:lang w:val="es-CO"/>
        </w:rPr>
        <w:t>la autorización para actuar como agentes autorretenedores de rendimientos financieros.</w:t>
      </w:r>
    </w:p>
    <w:p w14:paraId="6BBC9023" w14:textId="77777777" w:rsidR="00B2442D" w:rsidRDefault="00B2442D">
      <w:pPr>
        <w:jc w:val="both"/>
        <w:rPr>
          <w:rFonts w:ascii="Arial" w:hAnsi="Arial" w:cs="Arial"/>
          <w:b/>
          <w:lang w:val="es-CO"/>
        </w:rPr>
      </w:pPr>
    </w:p>
    <w:p w14:paraId="3BF280D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Las autorizaciones conferidas a los contribuyentes del impuesto sobre la renta y complementario para actuar como autorretenedores de conformidad con lo pr</w:t>
      </w:r>
      <w:r>
        <w:rPr>
          <w:rFonts w:ascii="Arial" w:hAnsi="Arial" w:cs="Arial"/>
          <w:lang w:val="es-CO"/>
        </w:rPr>
        <w:t>evisto en el artículo 1.2.6.2 de este Decreto, no se extiende a los ingresos por concepto de rendimientos financieros.</w:t>
      </w:r>
    </w:p>
    <w:p w14:paraId="6145376E" w14:textId="77777777" w:rsidR="00B2442D" w:rsidRDefault="00B2442D">
      <w:pPr>
        <w:jc w:val="both"/>
        <w:rPr>
          <w:rFonts w:ascii="Arial" w:hAnsi="Arial" w:cs="Arial"/>
          <w:i/>
          <w:lang w:val="es-CO"/>
        </w:rPr>
      </w:pPr>
    </w:p>
    <w:p w14:paraId="376C5ED0" w14:textId="77777777" w:rsidR="00B2442D" w:rsidRDefault="008A645F">
      <w:pPr>
        <w:jc w:val="both"/>
        <w:rPr>
          <w:rFonts w:ascii="Arial" w:hAnsi="Arial" w:cs="Arial"/>
          <w:i/>
          <w:lang w:val="es-CO"/>
        </w:rPr>
      </w:pPr>
      <w:r>
        <w:rPr>
          <w:rFonts w:ascii="Arial" w:hAnsi="Arial" w:cs="Arial"/>
          <w:i/>
          <w:lang w:val="es-CO"/>
        </w:rPr>
        <w:t>(Art. 38, Decreto 700 de 1997)</w:t>
      </w:r>
      <w:r>
        <w:rPr>
          <w:rFonts w:ascii="Arial" w:hAnsi="Arial" w:cs="Arial"/>
        </w:rPr>
        <w:t xml:space="preserve"> </w:t>
      </w:r>
      <w:r>
        <w:rPr>
          <w:rFonts w:ascii="Arial" w:hAnsi="Arial" w:cs="Arial"/>
          <w:i/>
          <w:lang w:val="es-CO"/>
        </w:rPr>
        <w:t xml:space="preserve">(El Decreto 700 de 1997 rige a partir del 1° de abril de 1997 y deroga los Decretos 1960 y 2360 de 1996, </w:t>
      </w:r>
      <w:r>
        <w:rPr>
          <w:rFonts w:ascii="Arial" w:hAnsi="Arial" w:cs="Arial"/>
          <w:i/>
          <w:lang w:val="es-CO"/>
        </w:rPr>
        <w:t>y las demás disposiciones que le sean contrarias. Art. 45, Decreto 700 de 1997. Eliminado el literal b) de este artículo, renumerados los literales y ajustado el texto del parágrafo primero)</w:t>
      </w:r>
    </w:p>
    <w:p w14:paraId="537E21F6" w14:textId="77777777" w:rsidR="00B2442D" w:rsidRDefault="00B2442D">
      <w:pPr>
        <w:jc w:val="both"/>
        <w:rPr>
          <w:rFonts w:ascii="Arial" w:hAnsi="Arial" w:cs="Arial"/>
          <w:lang w:val="es-CO"/>
        </w:rPr>
      </w:pPr>
    </w:p>
    <w:p w14:paraId="28E9B063"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Otorgamiento de la calidad de autorretenedor.</w:t>
      </w:r>
      <w:r>
        <w:rPr>
          <w:rFonts w:ascii="Arial" w:hAnsi="Arial" w:cs="Arial"/>
          <w:lang w:val="es-CO"/>
        </w:rPr>
        <w:t xml:space="preserve"> Cuando un contrib</w:t>
      </w:r>
      <w:r>
        <w:rPr>
          <w:rFonts w:ascii="Arial" w:hAnsi="Arial" w:cs="Arial"/>
          <w:lang w:val="es-CO"/>
        </w:rPr>
        <w:t>uyente del impuesto sobre la renta y complementario, que posea títulos de rendimientos vencidos, adquiera la calidad de agente autorretenedor de rendimientos financieros, deberá declarar y consignar en el mes inmediatamente posterior a aquel en el cual emp</w:t>
      </w:r>
      <w:r>
        <w:rPr>
          <w:rFonts w:ascii="Arial" w:hAnsi="Arial" w:cs="Arial"/>
          <w:lang w:val="es-CO"/>
        </w:rPr>
        <w:t>ieza a dar aplicación al mecanismo de autorretención, el valor de la totalidad de las retenciones correspondientes a los intereses causados linealmente por el título desde el último pago de intereses hasta el día inmediatamente anterior al cual empieza a a</w:t>
      </w:r>
      <w:r>
        <w:rPr>
          <w:rFonts w:ascii="Arial" w:hAnsi="Arial" w:cs="Arial"/>
          <w:lang w:val="es-CO"/>
        </w:rPr>
        <w:t>plicar el mecanismo de autorretención sobre los rendimientos.</w:t>
      </w:r>
    </w:p>
    <w:p w14:paraId="28208D86" w14:textId="77777777" w:rsidR="00B2442D" w:rsidRDefault="00B2442D">
      <w:pPr>
        <w:jc w:val="both"/>
        <w:rPr>
          <w:rFonts w:ascii="Arial" w:hAnsi="Arial" w:cs="Arial"/>
          <w:i/>
          <w:lang w:val="es-CO"/>
        </w:rPr>
      </w:pPr>
    </w:p>
    <w:p w14:paraId="03E21311" w14:textId="77777777" w:rsidR="00B2442D" w:rsidRDefault="008A645F">
      <w:pPr>
        <w:jc w:val="both"/>
        <w:rPr>
          <w:rFonts w:ascii="Arial" w:hAnsi="Arial" w:cs="Arial"/>
          <w:i/>
          <w:lang w:val="es-CO"/>
        </w:rPr>
      </w:pPr>
      <w:r>
        <w:rPr>
          <w:rFonts w:ascii="Arial" w:hAnsi="Arial" w:cs="Arial"/>
          <w:i/>
          <w:lang w:val="es-CO"/>
        </w:rPr>
        <w:t>(Art. 39,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w:t>
      </w:r>
      <w:r>
        <w:rPr>
          <w:rFonts w:ascii="Arial" w:hAnsi="Arial" w:cs="Arial"/>
          <w:i/>
          <w:lang w:val="es-CO"/>
        </w:rPr>
        <w:t>, Decreto 700 de 1997)</w:t>
      </w:r>
    </w:p>
    <w:p w14:paraId="13022E4C" w14:textId="77777777" w:rsidR="00B2442D" w:rsidRDefault="00B2442D">
      <w:pPr>
        <w:jc w:val="both"/>
        <w:rPr>
          <w:rFonts w:ascii="Arial" w:hAnsi="Arial" w:cs="Arial"/>
          <w:lang w:val="es-CO"/>
        </w:rPr>
      </w:pPr>
    </w:p>
    <w:p w14:paraId="55B6D92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Comunidad y solidaridad entre beneficiarios de un título con pago de rendimientos.</w:t>
      </w:r>
      <w:r>
        <w:rPr>
          <w:rFonts w:ascii="Arial" w:hAnsi="Arial" w:cs="Arial"/>
          <w:lang w:val="es-CO"/>
        </w:rPr>
        <w:t xml:space="preserve"> Cuando en el mercado primario dos (2) o más personas o entidades sean comuneras y beneficiarias en un mismo grado, de un título con descuento o con </w:t>
      </w:r>
      <w:r>
        <w:rPr>
          <w:rFonts w:ascii="Arial" w:hAnsi="Arial" w:cs="Arial"/>
          <w:lang w:val="es-CO"/>
        </w:rPr>
        <w:t>pago de intereses, y una o más de ellas no se encuentren sometidas a la retención en la fuente o encontrándose sometidas a retención, tengan la calidad de agentes autorretenedores de rendimientos financieros, el emisor, el enajenante o la bolsa de valores,</w:t>
      </w:r>
      <w:r>
        <w:rPr>
          <w:rFonts w:ascii="Arial" w:hAnsi="Arial" w:cs="Arial"/>
          <w:lang w:val="es-CO"/>
        </w:rPr>
        <w:t xml:space="preserve"> según el caso, deberá practicar la retención en la fuente sobre el rendimiento financiero que corresponda de manera proporcional a los adquirentes o beneficiarios que estando sometidos a retención en la fuente, no tenga la calidad de agentes autorretenedo</w:t>
      </w:r>
      <w:r>
        <w:rPr>
          <w:rFonts w:ascii="Arial" w:hAnsi="Arial" w:cs="Arial"/>
          <w:lang w:val="es-CO"/>
        </w:rPr>
        <w:t>res de rendimientos financieros. Este hecho se indicará en la constancia sobre valores retenidos.</w:t>
      </w:r>
    </w:p>
    <w:p w14:paraId="62B561D7" w14:textId="77777777" w:rsidR="00B2442D" w:rsidRDefault="00B2442D">
      <w:pPr>
        <w:jc w:val="both"/>
        <w:rPr>
          <w:rFonts w:ascii="Arial" w:hAnsi="Arial" w:cs="Arial"/>
          <w:lang w:val="es-CO"/>
        </w:rPr>
      </w:pPr>
    </w:p>
    <w:p w14:paraId="6377698B" w14:textId="77777777" w:rsidR="00B2442D" w:rsidRDefault="008A645F">
      <w:pPr>
        <w:jc w:val="both"/>
        <w:rPr>
          <w:rFonts w:ascii="Arial" w:hAnsi="Arial" w:cs="Arial"/>
          <w:lang w:val="es-CO"/>
        </w:rPr>
      </w:pPr>
      <w:r>
        <w:rPr>
          <w:rFonts w:ascii="Arial" w:hAnsi="Arial" w:cs="Arial"/>
          <w:lang w:val="es-CO"/>
        </w:rPr>
        <w:t>Cuando se trate de un título con beneficiarios solidarios, el emisor, el enajenante, o la bolsa de valores según el caso, deberá practicar la retención en la</w:t>
      </w:r>
      <w:r>
        <w:rPr>
          <w:rFonts w:ascii="Arial" w:hAnsi="Arial" w:cs="Arial"/>
          <w:lang w:val="es-CO"/>
        </w:rPr>
        <w:t xml:space="preserve"> fuente sobre la totalidad del rendimiento, siempre que uno de los beneficiarios solidarios sea un contribuyente del impuesto sobre la renta y complementario, que estando sometido a la retención en la fuente, no tenga la calidad de agente autorretenedor de</w:t>
      </w:r>
      <w:r>
        <w:rPr>
          <w:rFonts w:ascii="Arial" w:hAnsi="Arial" w:cs="Arial"/>
          <w:lang w:val="es-CO"/>
        </w:rPr>
        <w:t xml:space="preserve"> rendimientos financieros.</w:t>
      </w:r>
    </w:p>
    <w:p w14:paraId="7718DDAC" w14:textId="77777777" w:rsidR="00B2442D" w:rsidRDefault="00B2442D">
      <w:pPr>
        <w:jc w:val="both"/>
        <w:rPr>
          <w:rFonts w:ascii="Arial" w:hAnsi="Arial" w:cs="Arial"/>
          <w:i/>
          <w:lang w:val="es-CO"/>
        </w:rPr>
      </w:pPr>
    </w:p>
    <w:p w14:paraId="0FFD0A12" w14:textId="77777777" w:rsidR="00B2442D" w:rsidRDefault="008A645F">
      <w:pPr>
        <w:jc w:val="both"/>
        <w:rPr>
          <w:rFonts w:ascii="Arial" w:hAnsi="Arial" w:cs="Arial"/>
          <w:i/>
          <w:lang w:val="es-CO"/>
        </w:rPr>
      </w:pPr>
      <w:r>
        <w:rPr>
          <w:rFonts w:ascii="Arial" w:hAnsi="Arial" w:cs="Arial"/>
          <w:i/>
          <w:lang w:val="es-CO"/>
        </w:rPr>
        <w:t>(Art. 40,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79780E4E" w14:textId="77777777" w:rsidR="00B2442D" w:rsidRDefault="00B2442D">
      <w:pPr>
        <w:jc w:val="both"/>
        <w:rPr>
          <w:rFonts w:ascii="Arial" w:hAnsi="Arial" w:cs="Arial"/>
          <w:lang w:val="es-CO"/>
        </w:rPr>
      </w:pPr>
    </w:p>
    <w:p w14:paraId="0DC9C84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 de rendimientos financieros vencidos al endosatario en procuración. </w:t>
      </w:r>
      <w:r>
        <w:rPr>
          <w:rFonts w:ascii="Arial" w:hAnsi="Arial" w:cs="Arial"/>
          <w:lang w:val="es-CO"/>
        </w:rPr>
        <w:t>Cuando el legítimo tenedor de un bono, certificado, título o cualquier otro documento negociable, que incorpore el derecho a un rendimiento financiero, sea un contribuyente del impue</w:t>
      </w:r>
      <w:r>
        <w:rPr>
          <w:rFonts w:ascii="Arial" w:hAnsi="Arial" w:cs="Arial"/>
          <w:lang w:val="es-CO"/>
        </w:rPr>
        <w:t xml:space="preserve">sto sobre la renta y complementario, que estando sujeto a retención en la fuente, no tenga la calidad de agente autorretenedor de rendimientos financieros, el pago o abono en cuenta correspondiente al rendimiento financiero estará sujeto a retención en la </w:t>
      </w:r>
      <w:r>
        <w:rPr>
          <w:rFonts w:ascii="Arial" w:hAnsi="Arial" w:cs="Arial"/>
          <w:lang w:val="es-CO"/>
        </w:rPr>
        <w:t>fuente, independientemente de la naturaleza de no contribuyente o exenta o de régimen especial, a la que pertenezca la entidad que lo presenta para su cobro en calidad de endosatario en procuración.</w:t>
      </w:r>
    </w:p>
    <w:p w14:paraId="11148AFC" w14:textId="77777777" w:rsidR="00B2442D" w:rsidRDefault="00B2442D">
      <w:pPr>
        <w:jc w:val="both"/>
        <w:rPr>
          <w:rFonts w:ascii="Arial" w:hAnsi="Arial" w:cs="Arial"/>
          <w:i/>
          <w:lang w:val="es-CO"/>
        </w:rPr>
      </w:pPr>
    </w:p>
    <w:p w14:paraId="5C249473" w14:textId="77777777" w:rsidR="00B2442D" w:rsidRDefault="008A645F">
      <w:pPr>
        <w:jc w:val="both"/>
        <w:rPr>
          <w:rFonts w:ascii="Arial" w:hAnsi="Arial" w:cs="Arial"/>
          <w:i/>
          <w:lang w:val="es-CO"/>
        </w:rPr>
      </w:pPr>
      <w:r>
        <w:rPr>
          <w:rFonts w:ascii="Arial" w:hAnsi="Arial" w:cs="Arial"/>
          <w:i/>
          <w:lang w:val="es-CO"/>
        </w:rPr>
        <w:t>(Art. 41, Decreto 700 de 1997)</w:t>
      </w:r>
      <w:r>
        <w:rPr>
          <w:rFonts w:ascii="Arial" w:hAnsi="Arial" w:cs="Arial"/>
        </w:rPr>
        <w:t xml:space="preserve"> </w:t>
      </w:r>
      <w:r>
        <w:rPr>
          <w:rFonts w:ascii="Arial" w:hAnsi="Arial" w:cs="Arial"/>
          <w:i/>
          <w:lang w:val="es-CO"/>
        </w:rPr>
        <w:t>(El Decreto 700 de 1997 r</w:t>
      </w:r>
      <w:r>
        <w:rPr>
          <w:rFonts w:ascii="Arial" w:hAnsi="Arial" w:cs="Arial"/>
          <w:i/>
          <w:lang w:val="es-CO"/>
        </w:rPr>
        <w:t>ige a partir del 1° de abril de 1997 y deroga los Decretos 1960 y 2360 de 1996, y las demás disposiciones que le sean contrarias. Art. 45, Decreto 700 de 1997)</w:t>
      </w:r>
    </w:p>
    <w:p w14:paraId="025FF4BF" w14:textId="77777777" w:rsidR="00B2442D" w:rsidRDefault="00B2442D">
      <w:pPr>
        <w:jc w:val="both"/>
        <w:rPr>
          <w:rFonts w:ascii="Arial" w:hAnsi="Arial" w:cs="Arial"/>
          <w:lang w:val="es-CO"/>
        </w:rPr>
      </w:pPr>
    </w:p>
    <w:p w14:paraId="363CE54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Valores retenidos o autorretenidos.</w:t>
      </w:r>
      <w:r>
        <w:rPr>
          <w:rFonts w:ascii="Arial" w:hAnsi="Arial" w:cs="Arial"/>
          <w:lang w:val="es-CO"/>
        </w:rPr>
        <w:t xml:space="preserve"> Los contribuyentes del impuesto sobre la renta y complemen</w:t>
      </w:r>
      <w:r>
        <w:rPr>
          <w:rFonts w:ascii="Arial" w:hAnsi="Arial" w:cs="Arial"/>
          <w:lang w:val="es-CO"/>
        </w:rPr>
        <w:t xml:space="preserve">tario, que declaren ingresos por concepto de descuentos e intereses provenientes de títulos, que hayan estado sometidos a los porcentajes de retención en la fuente, o sobre los cuales se haya practicado la autorretención, de conformidad con las exigencias </w:t>
      </w:r>
      <w:r>
        <w:rPr>
          <w:rFonts w:ascii="Arial" w:hAnsi="Arial" w:cs="Arial"/>
          <w:lang w:val="es-CO"/>
        </w:rPr>
        <w:t>previstas en el presente decreto y demás normas pertinentes, tendrán derecho a restar del impuesto de renta a cargo, a título de retención en la fuente, los porcentajes que sobre dichos conceptos hayan sido aplicados de acuerdo con las normas vigentes al m</w:t>
      </w:r>
      <w:r>
        <w:rPr>
          <w:rFonts w:ascii="Arial" w:hAnsi="Arial" w:cs="Arial"/>
          <w:lang w:val="es-CO"/>
        </w:rPr>
        <w:t>omento de haber realizado la respectiva retención.</w:t>
      </w:r>
    </w:p>
    <w:p w14:paraId="5933CC5A" w14:textId="77777777" w:rsidR="00B2442D" w:rsidRDefault="00B2442D">
      <w:pPr>
        <w:jc w:val="both"/>
        <w:rPr>
          <w:rFonts w:ascii="Arial" w:hAnsi="Arial" w:cs="Arial"/>
          <w:b/>
          <w:lang w:val="es-CO"/>
        </w:rPr>
      </w:pPr>
    </w:p>
    <w:p w14:paraId="33336C1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virtud del mecanismo automático de imputación de la retención en la fuente establecida en los artículos 1.2.4.2.9 al 1.2.4.2.49 del presente Decreto, para los contribuyentes del impuesto sob</w:t>
      </w:r>
      <w:r>
        <w:rPr>
          <w:rFonts w:ascii="Arial" w:hAnsi="Arial" w:cs="Arial"/>
          <w:lang w:val="es-CO"/>
        </w:rPr>
        <w:t>re la renta y complementario que estando sujetos a retención en la fuente, no tengan la calidad de agentes autorretenedores de rendimientos financieros, la expedición de los certificados de retención en la fuente de que trata el artículo 381 del Estatuto T</w:t>
      </w:r>
      <w:r>
        <w:rPr>
          <w:rFonts w:ascii="Arial" w:hAnsi="Arial" w:cs="Arial"/>
          <w:lang w:val="es-CO"/>
        </w:rPr>
        <w:t>ributario, no es aplicable a los agentes retenedores en el caso de pagos o abonos en cuenta por concepto de descuentos e intereses provenientes de títulos, en favor de los primeros.</w:t>
      </w:r>
    </w:p>
    <w:p w14:paraId="56C68E90" w14:textId="77777777" w:rsidR="00B2442D" w:rsidRDefault="00B2442D">
      <w:pPr>
        <w:jc w:val="both"/>
        <w:rPr>
          <w:rFonts w:ascii="Arial" w:hAnsi="Arial" w:cs="Arial"/>
          <w:lang w:val="es-CO"/>
        </w:rPr>
      </w:pPr>
    </w:p>
    <w:p w14:paraId="1A580CD9" w14:textId="77777777" w:rsidR="00B2442D" w:rsidRDefault="008A645F">
      <w:pPr>
        <w:jc w:val="both"/>
        <w:rPr>
          <w:rFonts w:ascii="Arial" w:hAnsi="Arial" w:cs="Arial"/>
          <w:lang w:val="es-CO"/>
        </w:rPr>
      </w:pPr>
      <w:r>
        <w:rPr>
          <w:rFonts w:ascii="Arial" w:hAnsi="Arial" w:cs="Arial"/>
          <w:lang w:val="es-CO"/>
        </w:rPr>
        <w:t xml:space="preserve">En ningún caso, se podrá descontar del impuesto sobre la renta y </w:t>
      </w:r>
      <w:r>
        <w:rPr>
          <w:rFonts w:ascii="Arial" w:hAnsi="Arial" w:cs="Arial"/>
          <w:lang w:val="es-CO"/>
        </w:rPr>
        <w:t>complementario, a título de retención en la fuente por concepto de rendimientos financieros provenientes de títulos, una suma superior al siete por ciento (7%) (hoy cuatro por ciento (4%)).</w:t>
      </w:r>
    </w:p>
    <w:p w14:paraId="3EF18ED7" w14:textId="77777777" w:rsidR="00B2442D" w:rsidRDefault="00B2442D">
      <w:pPr>
        <w:jc w:val="both"/>
        <w:rPr>
          <w:rFonts w:ascii="Arial" w:hAnsi="Arial" w:cs="Arial"/>
          <w:i/>
          <w:lang w:val="es-CO"/>
        </w:rPr>
      </w:pPr>
    </w:p>
    <w:p w14:paraId="540195D0" w14:textId="77777777" w:rsidR="00B2442D" w:rsidRDefault="008A645F">
      <w:pPr>
        <w:jc w:val="both"/>
        <w:rPr>
          <w:rFonts w:ascii="Arial" w:hAnsi="Arial" w:cs="Arial"/>
          <w:i/>
          <w:lang w:val="es-CO"/>
        </w:rPr>
      </w:pPr>
      <w:r>
        <w:rPr>
          <w:rFonts w:ascii="Arial" w:hAnsi="Arial" w:cs="Arial"/>
          <w:i/>
          <w:lang w:val="es-CO"/>
        </w:rPr>
        <w:t>(Art. 42, Decreto 700 de 1997. Ajustada la tarifa por el Art. 3 d</w:t>
      </w:r>
      <w:r>
        <w:rPr>
          <w:rFonts w:ascii="Arial" w:hAnsi="Arial" w:cs="Arial"/>
          <w:i/>
          <w:lang w:val="es-CO"/>
        </w:rPr>
        <w:t>el Decreto 2418 de 2013)</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que le sean contrarias. Art. 45, Decreto 700 de 1997)</w:t>
      </w:r>
    </w:p>
    <w:p w14:paraId="5BDD1FE2" w14:textId="77777777" w:rsidR="00B2442D" w:rsidRDefault="00B2442D">
      <w:pPr>
        <w:jc w:val="both"/>
        <w:rPr>
          <w:rFonts w:ascii="Arial" w:hAnsi="Arial" w:cs="Arial"/>
          <w:lang w:val="es-CO"/>
        </w:rPr>
      </w:pPr>
    </w:p>
    <w:p w14:paraId="4D1CFA57"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Aplicación para entidades del régimen especi</w:t>
      </w:r>
      <w:r>
        <w:rPr>
          <w:rFonts w:ascii="Arial" w:hAnsi="Arial" w:cs="Arial"/>
          <w:b/>
          <w:i/>
          <w:lang w:val="es-CO"/>
        </w:rPr>
        <w:t>al y vigiladas.</w:t>
      </w:r>
      <w:r>
        <w:rPr>
          <w:rFonts w:ascii="Arial" w:hAnsi="Arial" w:cs="Arial"/>
          <w:i/>
          <w:lang w:val="es-CO"/>
        </w:rPr>
        <w:t xml:space="preserve"> </w:t>
      </w:r>
      <w:r>
        <w:rPr>
          <w:rFonts w:ascii="Arial" w:hAnsi="Arial" w:cs="Arial"/>
          <w:lang w:val="es-CO"/>
        </w:rPr>
        <w:t>Los pagos o abonos en cuenta o causaciones, según el caso, por concepto de rendimientos financieros provenientes de títulos con intereses y/o descuentos efectuados por personas jurídicas y sociedades de hecho a los establecimientos de crédi</w:t>
      </w:r>
      <w:r>
        <w:rPr>
          <w:rFonts w:ascii="Arial" w:hAnsi="Arial" w:cs="Arial"/>
          <w:lang w:val="es-CO"/>
        </w:rPr>
        <w:t xml:space="preserve">to sometidos a la inspección, vigilancia y control de la Superintendencia Financiera de Colombia, y a los contribuyentes que pertenezcan al régimen especial, se encuentran sometidos al mecanismo de retención en la fuente de conformidad con lo dispuesto en </w:t>
      </w:r>
      <w:r>
        <w:rPr>
          <w:rFonts w:ascii="Arial" w:hAnsi="Arial" w:cs="Arial"/>
          <w:lang w:val="es-CO"/>
        </w:rPr>
        <w:t>el presente decreto y demás normas concordantes, independientemente de la fecha de emisión, expedición o colocación de dichos títulos.</w:t>
      </w:r>
    </w:p>
    <w:p w14:paraId="6BBCC241" w14:textId="77777777" w:rsidR="00B2442D" w:rsidRDefault="00B2442D">
      <w:pPr>
        <w:jc w:val="both"/>
        <w:rPr>
          <w:rFonts w:ascii="Arial" w:hAnsi="Arial" w:cs="Arial"/>
          <w:lang w:val="es-CO"/>
        </w:rPr>
      </w:pPr>
    </w:p>
    <w:p w14:paraId="437531F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régimen de retenciones establecido en el presente decreto, no es aplicable a los pagos o abonos en cuenta </w:t>
      </w:r>
      <w:r>
        <w:rPr>
          <w:rFonts w:ascii="Arial" w:hAnsi="Arial" w:cs="Arial"/>
          <w:lang w:val="es-CO"/>
        </w:rPr>
        <w:t>por concepto de intereses provenientes de pagarés suscritos en favor de instituciones financieras, con el único fin de garantizar obligaciones crediticias contraídas por los creadores de los pagarés en favor de dichas instituciones. De igual manera, este r</w:t>
      </w:r>
      <w:r>
        <w:rPr>
          <w:rFonts w:ascii="Arial" w:hAnsi="Arial" w:cs="Arial"/>
          <w:lang w:val="es-CO"/>
        </w:rPr>
        <w:t>égimen tampoco es aplicable a la compraventa de cartera con pacto de recompra y las operaciones repo.</w:t>
      </w:r>
    </w:p>
    <w:p w14:paraId="020AE8C4" w14:textId="77777777" w:rsidR="00B2442D" w:rsidRDefault="00B2442D">
      <w:pPr>
        <w:jc w:val="both"/>
        <w:rPr>
          <w:rFonts w:ascii="Arial" w:hAnsi="Arial" w:cs="Arial"/>
          <w:i/>
          <w:lang w:val="es-CO"/>
        </w:rPr>
      </w:pPr>
    </w:p>
    <w:p w14:paraId="7790495E" w14:textId="77777777" w:rsidR="00B2442D" w:rsidRDefault="008A645F">
      <w:pPr>
        <w:jc w:val="both"/>
        <w:rPr>
          <w:rFonts w:ascii="Arial" w:hAnsi="Arial" w:cs="Arial"/>
          <w:i/>
          <w:lang w:val="es-CO"/>
        </w:rPr>
      </w:pPr>
      <w:r>
        <w:rPr>
          <w:rFonts w:ascii="Arial" w:hAnsi="Arial" w:cs="Arial"/>
          <w:i/>
          <w:lang w:val="es-CO"/>
        </w:rPr>
        <w:t>(Art. 43, Decreto 700 de 1997. Inciso segundo derogado expresamente por el art. 34 del Decreto 3050 de 1997)</w:t>
      </w:r>
      <w:r>
        <w:rPr>
          <w:rFonts w:ascii="Arial" w:hAnsi="Arial" w:cs="Arial"/>
        </w:rPr>
        <w:t xml:space="preserve"> </w:t>
      </w:r>
      <w:r>
        <w:rPr>
          <w:rFonts w:ascii="Arial" w:hAnsi="Arial" w:cs="Arial"/>
          <w:i/>
          <w:lang w:val="es-CO"/>
        </w:rPr>
        <w:t>(El Decreto 700 de 1997 rige a partir del 1°</w:t>
      </w:r>
      <w:r>
        <w:rPr>
          <w:rFonts w:ascii="Arial" w:hAnsi="Arial" w:cs="Arial"/>
          <w:i/>
          <w:lang w:val="es-CO"/>
        </w:rPr>
        <w:t xml:space="preserve"> de abril de 1997 y deroga los Decretos 1960 y 2360 de 1996, y las demás disposiciones que le sean contrarias. Art. 45, Decreto 700 de 1997)</w:t>
      </w:r>
    </w:p>
    <w:p w14:paraId="755B94C2" w14:textId="77777777" w:rsidR="00B2442D" w:rsidRDefault="00B2442D">
      <w:pPr>
        <w:jc w:val="both"/>
        <w:rPr>
          <w:rFonts w:ascii="Arial" w:hAnsi="Arial" w:cs="Arial"/>
          <w:lang w:val="es-CO"/>
        </w:rPr>
      </w:pPr>
    </w:p>
    <w:p w14:paraId="5566BFC0"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sobre rendimientos provenientes de fondos y patrimonios autónomos.</w:t>
      </w:r>
      <w:r>
        <w:rPr>
          <w:rFonts w:ascii="Arial" w:hAnsi="Arial" w:cs="Arial"/>
          <w:lang w:val="es-CO"/>
        </w:rPr>
        <w:t xml:space="preserve"> Las sociedades administ</w:t>
      </w:r>
      <w:r>
        <w:rPr>
          <w:rFonts w:ascii="Arial" w:hAnsi="Arial" w:cs="Arial"/>
          <w:lang w:val="es-CO"/>
        </w:rPr>
        <w:t>radoras de fondos de inversión, de fondos de valores, de fondos comunes y de patrimonios autónomos, practicarán en todos los casos, la retención en la fuente sobre los rendimientos financieros que paguen o abonen en cuenta, a los beneficiarios de los mismo</w:t>
      </w:r>
      <w:r>
        <w:rPr>
          <w:rFonts w:ascii="Arial" w:hAnsi="Arial" w:cs="Arial"/>
          <w:lang w:val="es-CO"/>
        </w:rPr>
        <w:t>s, siempre y cuando estos sean contribuyentes del impuesto sobre la renta y complementario, sujetos a retención en la fuente, independientemente de la calidad de autorretenedores que estos acrediten.</w:t>
      </w:r>
    </w:p>
    <w:p w14:paraId="61D70A88" w14:textId="77777777" w:rsidR="00B2442D" w:rsidRDefault="00B2442D">
      <w:pPr>
        <w:jc w:val="both"/>
        <w:rPr>
          <w:rFonts w:ascii="Arial" w:hAnsi="Arial" w:cs="Arial"/>
          <w:lang w:val="es-CO"/>
        </w:rPr>
      </w:pPr>
    </w:p>
    <w:p w14:paraId="11BBDED2" w14:textId="77777777" w:rsidR="00B2442D" w:rsidRDefault="008A645F">
      <w:pPr>
        <w:jc w:val="both"/>
        <w:rPr>
          <w:rFonts w:ascii="Arial" w:hAnsi="Arial" w:cs="Arial"/>
          <w:lang w:val="es-CO"/>
        </w:rPr>
      </w:pPr>
      <w:r>
        <w:rPr>
          <w:rFonts w:ascii="Arial" w:hAnsi="Arial" w:cs="Arial"/>
          <w:lang w:val="es-CO"/>
        </w:rPr>
        <w:t>Igualmente, estarán sujetos a retención en la fuente po</w:t>
      </w:r>
      <w:r>
        <w:rPr>
          <w:rFonts w:ascii="Arial" w:hAnsi="Arial" w:cs="Arial"/>
          <w:lang w:val="es-CO"/>
        </w:rPr>
        <w:t>r parte de la sociedad administradora, los pagos o abonos en cuenta efectuados a los establecimientos de crédito sometidos a la inspección, vigilancia y control de la Superintendencia Financiera de Colombia, y a los contribuyentes que pertenezcan al régime</w:t>
      </w:r>
      <w:r>
        <w:rPr>
          <w:rFonts w:ascii="Arial" w:hAnsi="Arial" w:cs="Arial"/>
          <w:lang w:val="es-CO"/>
        </w:rPr>
        <w:t>n especial, siempre que estos sean beneficiarios de dichos fondos o patrimonios autónomos.</w:t>
      </w:r>
    </w:p>
    <w:p w14:paraId="6F5FE8D7" w14:textId="77777777" w:rsidR="00B2442D" w:rsidRDefault="00B2442D">
      <w:pPr>
        <w:jc w:val="both"/>
        <w:rPr>
          <w:rFonts w:ascii="Arial" w:hAnsi="Arial" w:cs="Arial"/>
          <w:i/>
          <w:lang w:val="es-CO"/>
        </w:rPr>
      </w:pPr>
    </w:p>
    <w:p w14:paraId="4D74760B" w14:textId="77777777" w:rsidR="00B2442D" w:rsidRDefault="008A645F">
      <w:pPr>
        <w:jc w:val="both"/>
        <w:rPr>
          <w:rFonts w:ascii="Arial" w:hAnsi="Arial" w:cs="Arial"/>
          <w:i/>
          <w:lang w:val="es-CO"/>
        </w:rPr>
      </w:pPr>
      <w:r>
        <w:rPr>
          <w:rFonts w:ascii="Arial" w:hAnsi="Arial" w:cs="Arial"/>
          <w:i/>
          <w:lang w:val="es-CO"/>
        </w:rPr>
        <w:t>(Art. 44, Decreto 700 de 1997)</w:t>
      </w:r>
      <w:r>
        <w:rPr>
          <w:rFonts w:ascii="Arial" w:hAnsi="Arial" w:cs="Arial"/>
        </w:rPr>
        <w:t xml:space="preserve"> </w:t>
      </w:r>
      <w:r>
        <w:rPr>
          <w:rFonts w:ascii="Arial" w:hAnsi="Arial" w:cs="Arial"/>
          <w:i/>
          <w:lang w:val="es-CO"/>
        </w:rPr>
        <w:t>(El Decreto 700 de 1997 rige a partir del 1° de abril de 1997 y deroga los Decretos 1960 y 2360 de 1996, y las demás disposiciones qu</w:t>
      </w:r>
      <w:r>
        <w:rPr>
          <w:rFonts w:ascii="Arial" w:hAnsi="Arial" w:cs="Arial"/>
          <w:i/>
          <w:lang w:val="es-CO"/>
        </w:rPr>
        <w:t>e le sean contrarias. Art. 45, Decreto 700 de 1997)</w:t>
      </w:r>
    </w:p>
    <w:p w14:paraId="07E15A3E" w14:textId="77777777" w:rsidR="00B2442D" w:rsidRDefault="00B2442D">
      <w:pPr>
        <w:jc w:val="both"/>
        <w:rPr>
          <w:rFonts w:ascii="Arial" w:hAnsi="Arial" w:cs="Arial"/>
          <w:lang w:val="es-CO"/>
        </w:rPr>
      </w:pPr>
    </w:p>
    <w:p w14:paraId="6B4FB29F"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sobre rendimientos financieros percibidos por entidades cooperativas.</w:t>
      </w:r>
      <w:r>
        <w:rPr>
          <w:rFonts w:ascii="Arial" w:hAnsi="Arial" w:cs="Arial"/>
          <w:lang w:val="es-CO"/>
        </w:rPr>
        <w:t xml:space="preserve"> A partir del 1° de marzo de 1998, los pagos o abonos en cuenta o causaciones, según el caso, por concepto de </w:t>
      </w:r>
      <w:r>
        <w:rPr>
          <w:rFonts w:ascii="Arial" w:hAnsi="Arial" w:cs="Arial"/>
          <w:lang w:val="es-CO"/>
        </w:rPr>
        <w:t>rendimientos financieros provenientes de títulos con intereses y/o descuentos, efectuados a favor de las entidades cooperativas a las que se refiere el numeral 4° del artículo 19 del Estatuto Tributario, estarán sometidos al mecanismo de retención en la fu</w:t>
      </w:r>
      <w:r>
        <w:rPr>
          <w:rFonts w:ascii="Arial" w:hAnsi="Arial" w:cs="Arial"/>
          <w:lang w:val="es-CO"/>
        </w:rPr>
        <w:t xml:space="preserve">ente de conformidad con lo previsto en los artículos 1.2.4.2.9 al 1.2.4.2.49 del presente Decreto y demás normas concordantes que lo adicionen, modifiquen o sustituyan. </w:t>
      </w:r>
    </w:p>
    <w:p w14:paraId="6B845D25" w14:textId="77777777" w:rsidR="00B2442D" w:rsidRDefault="008A645F">
      <w:pPr>
        <w:jc w:val="both"/>
        <w:rPr>
          <w:rFonts w:ascii="Arial" w:hAnsi="Arial" w:cs="Arial"/>
          <w:lang w:val="es-CO"/>
        </w:rPr>
      </w:pPr>
      <w:r>
        <w:rPr>
          <w:rFonts w:ascii="Arial" w:hAnsi="Arial" w:cs="Arial"/>
          <w:lang w:val="es-CO"/>
        </w:rPr>
        <w:t xml:space="preserve"> </w:t>
      </w:r>
    </w:p>
    <w:p w14:paraId="4FF6371F" w14:textId="77777777" w:rsidR="00B2442D" w:rsidRDefault="008A645F">
      <w:pPr>
        <w:jc w:val="both"/>
        <w:rPr>
          <w:rFonts w:ascii="Arial" w:hAnsi="Arial" w:cs="Arial"/>
          <w:lang w:val="es-CO"/>
        </w:rPr>
      </w:pPr>
      <w:r>
        <w:rPr>
          <w:rFonts w:ascii="Arial" w:hAnsi="Arial" w:cs="Arial"/>
          <w:lang w:val="es-CO"/>
        </w:rPr>
        <w:t xml:space="preserve">En el evento que la entidad cooperativa beneficiaria de los rendimientos </w:t>
      </w:r>
      <w:r>
        <w:rPr>
          <w:rFonts w:ascii="Arial" w:hAnsi="Arial" w:cs="Arial"/>
          <w:lang w:val="es-CO"/>
        </w:rPr>
        <w:t xml:space="preserve">financieros, tenga la calidad de agente autorretenedor de dichos ingresos, la correspondiente retención en la fuente deberá ser practicada por esta, y no por quien efectúa el pago o abono en cuenta de conformidad con lo previsto en los artículos 1.2.4.2.9 </w:t>
      </w:r>
      <w:r>
        <w:rPr>
          <w:rFonts w:ascii="Arial" w:hAnsi="Arial" w:cs="Arial"/>
          <w:lang w:val="es-CO"/>
        </w:rPr>
        <w:t>al 1.2.4.2.49 del presente Decreto y demás normas concordantes que lo adicionen, modifiquen o sustituyan.</w:t>
      </w:r>
    </w:p>
    <w:p w14:paraId="33AD82A5" w14:textId="77777777" w:rsidR="00B2442D" w:rsidRDefault="00B2442D">
      <w:pPr>
        <w:jc w:val="both"/>
        <w:rPr>
          <w:rFonts w:ascii="Arial" w:hAnsi="Arial" w:cs="Arial"/>
          <w:i/>
          <w:lang w:val="es-CO"/>
        </w:rPr>
      </w:pPr>
    </w:p>
    <w:p w14:paraId="2279BA60" w14:textId="77777777" w:rsidR="00B2442D" w:rsidRDefault="008A645F">
      <w:pPr>
        <w:jc w:val="both"/>
        <w:rPr>
          <w:rFonts w:ascii="Arial" w:hAnsi="Arial" w:cs="Arial"/>
          <w:i/>
          <w:lang w:val="es-CO"/>
        </w:rPr>
      </w:pPr>
      <w:r>
        <w:rPr>
          <w:rFonts w:ascii="Arial" w:hAnsi="Arial" w:cs="Arial"/>
          <w:i/>
          <w:lang w:val="es-CO"/>
        </w:rPr>
        <w:t>(Art. 18, Decreto 3050 de 1997)</w:t>
      </w:r>
      <w:r>
        <w:rPr>
          <w:rFonts w:ascii="Arial" w:hAnsi="Arial" w:cs="Arial"/>
        </w:rPr>
        <w:t xml:space="preserve"> </w:t>
      </w:r>
      <w:r>
        <w:rPr>
          <w:rFonts w:ascii="Arial" w:hAnsi="Arial" w:cs="Arial"/>
          <w:i/>
          <w:lang w:val="es-CO"/>
        </w:rPr>
        <w:t>(El Decreto 3050 de 1997 rige a partir de la fecha de su publicación y deroga el artículo 10 del Decreto 380 de 1996,</w:t>
      </w:r>
      <w:r>
        <w:rPr>
          <w:rFonts w:ascii="Arial" w:hAnsi="Arial" w:cs="Arial"/>
          <w:i/>
          <w:lang w:val="es-CO"/>
        </w:rPr>
        <w:t xml:space="preserve"> el inciso 1° del artículo 7 y el artículo 11 del Decreto 1165 de 1996, el inciso 2° del artículo 43 del Decreto 700 de 1997, el artículo 7, el parágrafo del artículo 14 y el artículo 18 del Decreto 1001 de 1997, y demás normas que le sean contrarias. Art.</w:t>
      </w:r>
      <w:r>
        <w:rPr>
          <w:rFonts w:ascii="Arial" w:hAnsi="Arial" w:cs="Arial"/>
          <w:i/>
          <w:lang w:val="es-CO"/>
        </w:rPr>
        <w:t xml:space="preserve"> 34, Decreto 3050 de 1997)</w:t>
      </w:r>
    </w:p>
    <w:p w14:paraId="32EFC4D3" w14:textId="77777777" w:rsidR="00B2442D" w:rsidRDefault="00B2442D">
      <w:pPr>
        <w:jc w:val="both"/>
        <w:rPr>
          <w:rFonts w:ascii="Arial" w:hAnsi="Arial" w:cs="Arial"/>
          <w:lang w:val="es-CO"/>
        </w:rPr>
      </w:pPr>
    </w:p>
    <w:p w14:paraId="335EA53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 de rendimientos financieros vencidos a entidades cooperativas no autorretenedoras.</w:t>
      </w:r>
      <w:r>
        <w:rPr>
          <w:rFonts w:ascii="Arial" w:hAnsi="Arial" w:cs="Arial"/>
          <w:lang w:val="es-CO"/>
        </w:rPr>
        <w:t xml:space="preserve"> Cuando el emisor realice a favor de una entidad cooperativa a las que se refiere el numeral 4° del artículo 19 del Estatuto Tributario, que</w:t>
      </w:r>
      <w:r>
        <w:rPr>
          <w:rFonts w:ascii="Arial" w:hAnsi="Arial" w:cs="Arial"/>
          <w:lang w:val="es-CO"/>
        </w:rPr>
        <w:t xml:space="preserve"> no tenga la calidad de agente autorretenedor de rendimientos financieros, un pago o abono en cuenta por concepto de intereses vencidos provenientes de un título que esta haya adquirido con anterioridad al 1° de marzo de 1998, la retención en la fuente deb</w:t>
      </w:r>
      <w:r>
        <w:rPr>
          <w:rFonts w:ascii="Arial" w:hAnsi="Arial" w:cs="Arial"/>
          <w:lang w:val="es-CO"/>
        </w:rPr>
        <w:t>erá ser practicada por el emisor o el administrador de la emisión que realiza el pago, sobre la parte proporcional que corresponda a los rendimientos causados por el título a partir del 1° de marzo de 1998 hasta el momento del pago o abono en cuenta.</w:t>
      </w:r>
    </w:p>
    <w:p w14:paraId="50F55BFD" w14:textId="77777777" w:rsidR="00B2442D" w:rsidRDefault="00B2442D">
      <w:pPr>
        <w:jc w:val="both"/>
        <w:rPr>
          <w:rFonts w:ascii="Arial" w:hAnsi="Arial" w:cs="Arial"/>
          <w:i/>
          <w:lang w:val="es-CO"/>
        </w:rPr>
      </w:pPr>
    </w:p>
    <w:p w14:paraId="6FD6E268"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19, Decreto 3050 de 1997)</w:t>
      </w:r>
      <w:r>
        <w:rPr>
          <w:rFonts w:ascii="Arial" w:hAnsi="Arial" w:cs="Arial"/>
        </w:rPr>
        <w:t xml:space="preserve"> </w:t>
      </w:r>
      <w:r>
        <w:rPr>
          <w:rFonts w:ascii="Arial" w:hAnsi="Arial" w:cs="Arial"/>
          <w:i/>
          <w:lang w:val="es-CO"/>
        </w:rPr>
        <w:t>(El Decreto 3050 de 1997 rige a partir de la fecha de su publicación y deroga el artículo 10 del Decreto 380 de 1996, el inciso 1° del artículo 7 y el artículo 11 del Decreto 1165 de 1996, el inciso 2° del artículo 43 del Decret</w:t>
      </w:r>
      <w:r>
        <w:rPr>
          <w:rFonts w:ascii="Arial" w:hAnsi="Arial" w:cs="Arial"/>
          <w:i/>
          <w:lang w:val="es-CO"/>
        </w:rPr>
        <w:t>o 700 de 1997, el artículo 7, el parágrafo del artículo 14 y el artículo 18 del Decreto 1001 de 1997, y demás normas que le sean contrarias. Art. 34, Decreto 3050 de 1997)</w:t>
      </w:r>
    </w:p>
    <w:p w14:paraId="21B8A665" w14:textId="77777777" w:rsidR="00B2442D" w:rsidRDefault="00B2442D">
      <w:pPr>
        <w:jc w:val="both"/>
        <w:rPr>
          <w:rFonts w:ascii="Arial" w:hAnsi="Arial" w:cs="Arial"/>
          <w:lang w:val="es-CO"/>
        </w:rPr>
      </w:pPr>
    </w:p>
    <w:p w14:paraId="43D438D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Adquisición de títulos de rendimientos financieros vencidos de entidades cooperati</w:t>
      </w:r>
      <w:r>
        <w:rPr>
          <w:rFonts w:ascii="Arial" w:hAnsi="Arial" w:cs="Arial"/>
          <w:b/>
          <w:i/>
          <w:lang w:val="es-CO"/>
        </w:rPr>
        <w:t>vas no autorretenedoras.</w:t>
      </w:r>
      <w:r>
        <w:rPr>
          <w:rFonts w:ascii="Arial" w:hAnsi="Arial" w:cs="Arial"/>
          <w:lang w:val="es-CO"/>
        </w:rPr>
        <w:t xml:space="preserve"> Cuando un agente autorretenedor de rendimientos financieros, o una entidad no contribuyente del impuesto sobre la renta y complementario, o exenta de dicho impuesto, o una entidad no sometida a retención en la fuente por expresa di</w:t>
      </w:r>
      <w:r>
        <w:rPr>
          <w:rFonts w:ascii="Arial" w:hAnsi="Arial" w:cs="Arial"/>
          <w:lang w:val="es-CO"/>
        </w:rPr>
        <w:t>sposición legal, adquiera de una entidad cooperativa a las que se refiere el numeral 4° del artículo 19 del Estatuto Tributario, que no tenga la calidad de agente autorretenedor de rendimientos financieros, un título con pago de rendimientos vencidos que e</w:t>
      </w:r>
      <w:r>
        <w:rPr>
          <w:rFonts w:ascii="Arial" w:hAnsi="Arial" w:cs="Arial"/>
          <w:lang w:val="es-CO"/>
        </w:rPr>
        <w:t>sta última haya adquirido con anterioridad al 1° de marzo de 1998, el adquirente deberá practicar al enajenante, la retención en la fuente por concepto de intereses vencidos, sobre la parte proporcional que corresponda a los rendimientos causados por el tí</w:t>
      </w:r>
      <w:r>
        <w:rPr>
          <w:rFonts w:ascii="Arial" w:hAnsi="Arial" w:cs="Arial"/>
          <w:lang w:val="es-CO"/>
        </w:rPr>
        <w:t>tulo a partir del 1°de marzo de 1998 hasta el momento de la enajenación.</w:t>
      </w:r>
    </w:p>
    <w:p w14:paraId="3F95B399" w14:textId="77777777" w:rsidR="00B2442D" w:rsidRDefault="00B2442D">
      <w:pPr>
        <w:jc w:val="both"/>
        <w:rPr>
          <w:rFonts w:ascii="Arial" w:hAnsi="Arial" w:cs="Arial"/>
          <w:i/>
          <w:lang w:val="es-CO"/>
        </w:rPr>
      </w:pPr>
    </w:p>
    <w:p w14:paraId="6D17DB75" w14:textId="77777777" w:rsidR="00B2442D" w:rsidRDefault="008A645F">
      <w:pPr>
        <w:jc w:val="both"/>
        <w:rPr>
          <w:rFonts w:ascii="Arial" w:hAnsi="Arial" w:cs="Arial"/>
          <w:i/>
          <w:lang w:val="es-CO"/>
        </w:rPr>
      </w:pPr>
      <w:r>
        <w:rPr>
          <w:rFonts w:ascii="Arial" w:hAnsi="Arial" w:cs="Arial"/>
          <w:i/>
          <w:lang w:val="es-CO"/>
        </w:rPr>
        <w:t>(Art. 20, Decreto 3050 de 1997)</w:t>
      </w:r>
      <w:r>
        <w:rPr>
          <w:rFonts w:ascii="Arial" w:hAnsi="Arial" w:cs="Arial"/>
        </w:rPr>
        <w:t xml:space="preserve"> </w:t>
      </w:r>
      <w:r>
        <w:rPr>
          <w:rFonts w:ascii="Arial" w:hAnsi="Arial" w:cs="Arial"/>
          <w:i/>
          <w:lang w:val="es-CO"/>
        </w:rPr>
        <w:t>(El Decreto 3050 de 1997 rige a partir de la fecha de su publicación y deroga el artículo 10 del Decreto 380 de 1996, el inciso 1° del artículo 7 y el</w:t>
      </w:r>
      <w:r>
        <w:rPr>
          <w:rFonts w:ascii="Arial" w:hAnsi="Arial" w:cs="Arial"/>
          <w:i/>
          <w:lang w:val="es-CO"/>
        </w:rPr>
        <w:t xml:space="preserve"> artículo 11 del Decreto 1165 de 1996, el inciso 2° del artículo 43 del Decreto 700 de 1997, el artículo 7, el parágrafo del artículo 14 y el artículo 18 del Decreto 1001 de 1997, y demás normas que le sean contrarias. Art. 34, Decreto 3050 de 1997)</w:t>
      </w:r>
    </w:p>
    <w:p w14:paraId="474B0067" w14:textId="77777777" w:rsidR="00B2442D" w:rsidRDefault="00B2442D">
      <w:pPr>
        <w:jc w:val="both"/>
        <w:rPr>
          <w:rFonts w:ascii="Arial" w:hAnsi="Arial" w:cs="Arial"/>
          <w:lang w:val="es-CO"/>
        </w:rPr>
      </w:pPr>
    </w:p>
    <w:p w14:paraId="235B54A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Auto</w:t>
      </w:r>
      <w:r>
        <w:rPr>
          <w:rFonts w:ascii="Arial" w:hAnsi="Arial" w:cs="Arial"/>
          <w:b/>
          <w:i/>
          <w:lang w:val="es-CO"/>
        </w:rPr>
        <w:t>rretención mensual sobre rendimientos financieros anticipados y vencidos.</w:t>
      </w:r>
      <w:r>
        <w:rPr>
          <w:rFonts w:ascii="Arial" w:hAnsi="Arial" w:cs="Arial"/>
          <w:lang w:val="es-CO"/>
        </w:rPr>
        <w:t xml:space="preserve"> Las entidades cooperativas a que se refiere el numeral 4° del artículo 19 del Estatuto Tributario que de conformidad con lo dispuesto en el artículo 1.2.4.2.43 del presente Decreto, </w:t>
      </w:r>
      <w:r>
        <w:rPr>
          <w:rFonts w:ascii="Arial" w:hAnsi="Arial" w:cs="Arial"/>
          <w:lang w:val="es-CO"/>
        </w:rPr>
        <w:t xml:space="preserve">adquieran a partir del 1° de marzo de 1998, la calidad de agente autorretenedor de rendimientos financieros y posean a la misma fecha, títulos de intereses anticipados y/o descuentos que no cuenten con la constancia sobre valores retenidos de que trata el </w:t>
      </w:r>
      <w:r>
        <w:rPr>
          <w:rFonts w:ascii="Arial" w:hAnsi="Arial" w:cs="Arial"/>
          <w:lang w:val="es-CO"/>
        </w:rPr>
        <w:t>artículo 1.2.4.2.26 del presente Decreto, o títulos de rendimientos vencidos, deberán practicarse mensualmente la retención en la fuente sobre los intereses y descuentos que se causen linealmente por dichos títulos a partir del 1° de marzo de 1998 de confo</w:t>
      </w:r>
      <w:r>
        <w:rPr>
          <w:rFonts w:ascii="Arial" w:hAnsi="Arial" w:cs="Arial"/>
          <w:lang w:val="es-CO"/>
        </w:rPr>
        <w:t>rmidad con las bases de retención establecidas en los artículos 1.2.4.2.9 al 1.2.4.2.49 del presente Decreto y demás normas concordantes que lo adicionen, modifiquen o sustituyan.</w:t>
      </w:r>
    </w:p>
    <w:p w14:paraId="01CB26FF" w14:textId="77777777" w:rsidR="00B2442D" w:rsidRDefault="00B2442D">
      <w:pPr>
        <w:jc w:val="both"/>
        <w:rPr>
          <w:rFonts w:ascii="Arial" w:hAnsi="Arial" w:cs="Arial"/>
          <w:i/>
          <w:lang w:val="es-CO"/>
        </w:rPr>
      </w:pPr>
    </w:p>
    <w:p w14:paraId="69A3AB13" w14:textId="77777777" w:rsidR="00B2442D" w:rsidRDefault="008A645F">
      <w:pPr>
        <w:jc w:val="both"/>
        <w:rPr>
          <w:rFonts w:ascii="Arial" w:hAnsi="Arial" w:cs="Arial"/>
          <w:i/>
          <w:lang w:val="es-CO"/>
        </w:rPr>
      </w:pPr>
      <w:r>
        <w:rPr>
          <w:rFonts w:ascii="Arial" w:hAnsi="Arial" w:cs="Arial"/>
          <w:i/>
          <w:lang w:val="es-CO"/>
        </w:rPr>
        <w:t>(Art. 21, Decreto 3050 de 1997)</w:t>
      </w:r>
      <w:r>
        <w:rPr>
          <w:rFonts w:ascii="Arial" w:hAnsi="Arial" w:cs="Arial"/>
        </w:rPr>
        <w:t xml:space="preserve"> </w:t>
      </w:r>
      <w:r>
        <w:rPr>
          <w:rFonts w:ascii="Arial" w:hAnsi="Arial" w:cs="Arial"/>
          <w:i/>
          <w:lang w:val="es-CO"/>
        </w:rPr>
        <w:t>(El Decreto 3050 de 1997 rige a partir de l</w:t>
      </w:r>
      <w:r>
        <w:rPr>
          <w:rFonts w:ascii="Arial" w:hAnsi="Arial" w:cs="Arial"/>
          <w:i/>
          <w:lang w:val="es-CO"/>
        </w:rPr>
        <w:t>a fecha de su publicación y deroga el artículo 10 del Decreto 380 de 1996, el inciso 1° del artículo 7 y el artículo 11 del Decreto 1165 de 1996, el inciso 2° del artículo 43 del Decreto 700 de 1997, el artículo 7, el parágrafo del artículo 14 y el artícul</w:t>
      </w:r>
      <w:r>
        <w:rPr>
          <w:rFonts w:ascii="Arial" w:hAnsi="Arial" w:cs="Arial"/>
          <w:i/>
          <w:lang w:val="es-CO"/>
        </w:rPr>
        <w:t>o 18 del Decreto 1001 de 1997, y demás normas que le sean contrarias. Art. 34, Decreto 3050 de 1997)</w:t>
      </w:r>
    </w:p>
    <w:p w14:paraId="46E6D8B6" w14:textId="77777777" w:rsidR="00B2442D" w:rsidRDefault="00B2442D">
      <w:pPr>
        <w:jc w:val="both"/>
        <w:rPr>
          <w:rFonts w:ascii="Arial" w:hAnsi="Arial" w:cs="Arial"/>
          <w:lang w:val="es-CO"/>
        </w:rPr>
      </w:pPr>
    </w:p>
    <w:p w14:paraId="2114A2AC"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Rendimientos financieros percibidos por entidades cooperativas no sometidos a retención en la fuente.</w:t>
      </w:r>
      <w:r>
        <w:rPr>
          <w:rFonts w:ascii="Arial" w:hAnsi="Arial" w:cs="Arial"/>
          <w:lang w:val="es-CO"/>
        </w:rPr>
        <w:t xml:space="preserve"> No estarán sometidos a retención en la fuente los p</w:t>
      </w:r>
      <w:r>
        <w:rPr>
          <w:rFonts w:ascii="Arial" w:hAnsi="Arial" w:cs="Arial"/>
          <w:lang w:val="es-CO"/>
        </w:rPr>
        <w:t>agos o abonos en cuenta efectuados a favor de las entidades cooperativas a las que se refiere el numeral 4° del artículo 19 del Estatuto Tributario, por concepto de rendimientos financieros distintos a los provenientes de títulos con intereses y/o descuent</w:t>
      </w:r>
      <w:r>
        <w:rPr>
          <w:rFonts w:ascii="Arial" w:hAnsi="Arial" w:cs="Arial"/>
          <w:lang w:val="es-CO"/>
        </w:rPr>
        <w:t xml:space="preserve">os, o provenientes de sus enajenaciones. </w:t>
      </w:r>
    </w:p>
    <w:p w14:paraId="2FB1712F" w14:textId="77777777" w:rsidR="00B2442D" w:rsidRDefault="008A645F">
      <w:pPr>
        <w:jc w:val="both"/>
        <w:rPr>
          <w:rFonts w:ascii="Arial" w:hAnsi="Arial" w:cs="Arial"/>
          <w:lang w:val="es-CO"/>
        </w:rPr>
      </w:pPr>
      <w:r>
        <w:rPr>
          <w:rFonts w:ascii="Arial" w:hAnsi="Arial" w:cs="Arial"/>
          <w:lang w:val="es-CO"/>
        </w:rPr>
        <w:t xml:space="preserve"> </w:t>
      </w:r>
    </w:p>
    <w:p w14:paraId="454FE39A" w14:textId="77777777" w:rsidR="00B2442D" w:rsidRDefault="008A645F">
      <w:pPr>
        <w:jc w:val="both"/>
        <w:rPr>
          <w:rFonts w:ascii="Arial" w:hAnsi="Arial" w:cs="Arial"/>
          <w:lang w:val="es-CO"/>
        </w:rPr>
      </w:pPr>
      <w:r>
        <w:rPr>
          <w:rFonts w:ascii="Arial" w:hAnsi="Arial" w:cs="Arial"/>
          <w:lang w:val="es-CO"/>
        </w:rPr>
        <w:t>Tampoco se encuentran sometidos a retención en la fuente los rendimientos financieros provenientes de fondos de inversión, de fondos de valores, de fondos comunes y de patrimonios autónomos, que se paguen o abone</w:t>
      </w:r>
      <w:r>
        <w:rPr>
          <w:rFonts w:ascii="Arial" w:hAnsi="Arial" w:cs="Arial"/>
          <w:lang w:val="es-CO"/>
        </w:rPr>
        <w:t>n en cuenta a favor de las entidades cooperativas, a las que se refiere el numeral 4° del artículo 19 del Estatuto Tributario.</w:t>
      </w:r>
    </w:p>
    <w:p w14:paraId="24DB6862" w14:textId="77777777" w:rsidR="00B2442D" w:rsidRDefault="00B2442D">
      <w:pPr>
        <w:jc w:val="both"/>
        <w:rPr>
          <w:rFonts w:ascii="Arial" w:hAnsi="Arial" w:cs="Arial"/>
          <w:i/>
          <w:lang w:val="es-CO"/>
        </w:rPr>
      </w:pPr>
    </w:p>
    <w:p w14:paraId="10403E7D" w14:textId="77777777" w:rsidR="00B2442D" w:rsidRDefault="008A645F">
      <w:pPr>
        <w:jc w:val="both"/>
        <w:rPr>
          <w:rFonts w:ascii="Arial" w:hAnsi="Arial" w:cs="Arial"/>
          <w:i/>
          <w:lang w:val="es-CO"/>
        </w:rPr>
      </w:pPr>
      <w:r>
        <w:rPr>
          <w:rFonts w:ascii="Arial" w:hAnsi="Arial" w:cs="Arial"/>
          <w:i/>
          <w:lang w:val="es-CO"/>
        </w:rPr>
        <w:t>(Art. 22, Decreto 3050 de 1997)</w:t>
      </w:r>
      <w:r>
        <w:rPr>
          <w:rFonts w:ascii="Arial" w:hAnsi="Arial" w:cs="Arial"/>
        </w:rPr>
        <w:t xml:space="preserve"> </w:t>
      </w:r>
      <w:r>
        <w:rPr>
          <w:rFonts w:ascii="Arial" w:hAnsi="Arial" w:cs="Arial"/>
          <w:i/>
          <w:lang w:val="es-CO"/>
        </w:rPr>
        <w:t>(El Decreto 3050 de 1997 rige a partir de la fecha de su publicación y deroga el artículo 10 del</w:t>
      </w:r>
      <w:r>
        <w:rPr>
          <w:rFonts w:ascii="Arial" w:hAnsi="Arial" w:cs="Arial"/>
          <w:i/>
          <w:lang w:val="es-CO"/>
        </w:rPr>
        <w:t xml:space="preserve"> Decreto 380 de 1996, el inciso 1° del artículo 7 y el artículo 11 del Decreto 1165 de 1996, el inciso 2° del artículo 43 del Decreto 700 de 1997, el artículo 7, el parágrafo del artículo 14 y el artículo 18 del Decreto 1001 de 1997, y demás normas que le </w:t>
      </w:r>
      <w:r>
        <w:rPr>
          <w:rFonts w:ascii="Arial" w:hAnsi="Arial" w:cs="Arial"/>
          <w:i/>
          <w:lang w:val="es-CO"/>
        </w:rPr>
        <w:t>sean contrarias. Art. 34, Decreto 3050 de 1997)</w:t>
      </w:r>
    </w:p>
    <w:p w14:paraId="0BA9EE72" w14:textId="77777777" w:rsidR="00B2442D" w:rsidRDefault="00B2442D">
      <w:pPr>
        <w:jc w:val="both"/>
        <w:rPr>
          <w:rFonts w:ascii="Arial" w:hAnsi="Arial" w:cs="Arial"/>
          <w:lang w:val="es-CO"/>
        </w:rPr>
      </w:pPr>
    </w:p>
    <w:p w14:paraId="112D4543"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Ingresos provenientes de contratos forward, futuros y operaciones a plazo.</w:t>
      </w:r>
      <w:r>
        <w:rPr>
          <w:rFonts w:ascii="Arial" w:hAnsi="Arial" w:cs="Arial"/>
          <w:lang w:val="es-CO"/>
        </w:rPr>
        <w:t xml:space="preserve"> Para efectos de lo dispuesto en el artículo 401 del Estatuto Tributario, en los contratos forward, opciones, futuros y de operaciones a plazo de cumplimiento financiero, que se cumplan sin la entrega del activo subyacente, constituye ingreso tributario, l</w:t>
      </w:r>
      <w:r>
        <w:rPr>
          <w:rFonts w:ascii="Arial" w:hAnsi="Arial" w:cs="Arial"/>
          <w:lang w:val="es-CO"/>
        </w:rPr>
        <w:t>a diferencia existente entre el valor del índice, tasa o precio definido en los respectivos contratos y el valor de mercado del correspondiente índice, tasa o precio en la fecha de liquidación del contrato.</w:t>
      </w:r>
    </w:p>
    <w:p w14:paraId="10C6D783" w14:textId="77777777" w:rsidR="00B2442D" w:rsidRDefault="00B2442D">
      <w:pPr>
        <w:jc w:val="both"/>
        <w:rPr>
          <w:rFonts w:ascii="Arial" w:hAnsi="Arial" w:cs="Arial"/>
          <w:lang w:val="es-CO"/>
        </w:rPr>
      </w:pPr>
    </w:p>
    <w:p w14:paraId="37466A9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ingresos provenientes de los cont</w:t>
      </w:r>
      <w:r>
        <w:rPr>
          <w:rFonts w:ascii="Arial" w:hAnsi="Arial" w:cs="Arial"/>
          <w:lang w:val="es-CO"/>
        </w:rPr>
        <w:t>ratos forward, opciones, futuros y de operaciones a plazo de cumplimiento efectivo, que tengan la vocación de cumplirse o se cumplan mediante la entrega del activo subyacente, tendrán el tratamiento tributario y la tarifa que les corresponda según el conce</w:t>
      </w:r>
      <w:r>
        <w:rPr>
          <w:rFonts w:ascii="Arial" w:hAnsi="Arial" w:cs="Arial"/>
          <w:lang w:val="es-CO"/>
        </w:rPr>
        <w:t>pto y características de la entrega del respectivo activo. Cuando estas operaciones comporten la entrega de sumas de dinero, el ingreso tributario corresponderá a la utilidad neta derivada de la operación que se liquide al vencimiento del contrato, para lo</w:t>
      </w:r>
      <w:r>
        <w:rPr>
          <w:rFonts w:ascii="Arial" w:hAnsi="Arial" w:cs="Arial"/>
          <w:lang w:val="es-CO"/>
        </w:rPr>
        <w:t xml:space="preserve"> cual deberán consolidarse los ingresos y pérdidas provenientes de la entrega de sumas de dinero con los ingresos y pérdidas que resulten de la entrega del bien.</w:t>
      </w:r>
    </w:p>
    <w:p w14:paraId="2374374A" w14:textId="77777777" w:rsidR="00B2442D" w:rsidRDefault="00B2442D">
      <w:pPr>
        <w:jc w:val="both"/>
        <w:rPr>
          <w:rFonts w:ascii="Arial" w:hAnsi="Arial" w:cs="Arial"/>
          <w:i/>
          <w:lang w:val="es-CO"/>
        </w:rPr>
      </w:pPr>
    </w:p>
    <w:p w14:paraId="3C79E534" w14:textId="77777777" w:rsidR="00B2442D" w:rsidRDefault="008A645F">
      <w:pPr>
        <w:jc w:val="both"/>
        <w:rPr>
          <w:rFonts w:ascii="Arial" w:hAnsi="Arial" w:cs="Arial"/>
          <w:i/>
          <w:lang w:val="es-CO"/>
        </w:rPr>
      </w:pPr>
      <w:r>
        <w:rPr>
          <w:rFonts w:ascii="Arial" w:hAnsi="Arial" w:cs="Arial"/>
          <w:i/>
          <w:lang w:val="es-CO"/>
        </w:rPr>
        <w:t>(Art. 11, Decreto 1514 de 1998. Parágrafo modificado por el art. 7 del Decreto 1797 de 2008)</w:t>
      </w:r>
      <w:r>
        <w:rPr>
          <w:rFonts w:ascii="Arial" w:hAnsi="Arial" w:cs="Arial"/>
        </w:rPr>
        <w:t xml:space="preserve"> </w:t>
      </w:r>
      <w:r>
        <w:rPr>
          <w:rFonts w:ascii="Arial" w:hAnsi="Arial" w:cs="Arial"/>
          <w:i/>
          <w:lang w:val="es-CO"/>
        </w:rPr>
        <w:t xml:space="preserve">(El Decreto 1514 de 1998 rige a partir de le fecha de su publicación y deroga el Decreto 847 de 1996, el artículo 10 del Decreto 1001 de 1997, el último inciso del artículo 29 del Decreto 3050 de 1997 y las demás disposiciones que le sean contrarias. Art. </w:t>
      </w:r>
      <w:r>
        <w:rPr>
          <w:rFonts w:ascii="Arial" w:hAnsi="Arial" w:cs="Arial"/>
          <w:i/>
          <w:lang w:val="es-CO"/>
        </w:rPr>
        <w:t>18, Decreto 1514 de 1998)</w:t>
      </w:r>
    </w:p>
    <w:p w14:paraId="2B5AD522" w14:textId="77777777" w:rsidR="00B2442D" w:rsidRDefault="00B2442D">
      <w:pPr>
        <w:jc w:val="both"/>
        <w:rPr>
          <w:rFonts w:ascii="Arial" w:hAnsi="Arial" w:cs="Arial"/>
          <w:lang w:val="es-CO"/>
        </w:rPr>
      </w:pPr>
    </w:p>
    <w:p w14:paraId="56AF39A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sobre rendimientos financieros provenientes de títulos de denominación en moneda extranjera.</w:t>
      </w:r>
      <w:r>
        <w:rPr>
          <w:rFonts w:ascii="Arial" w:hAnsi="Arial" w:cs="Arial"/>
          <w:lang w:val="es-CO"/>
        </w:rPr>
        <w:t xml:space="preserve"> A partir del primero de enero de 2014, estarán sometidos a retención en la fuente, a la tarifa del cuatro por ciento (4%), a título del imp</w:t>
      </w:r>
      <w:r>
        <w:rPr>
          <w:rFonts w:ascii="Arial" w:hAnsi="Arial" w:cs="Arial"/>
          <w:lang w:val="es-CO"/>
        </w:rPr>
        <w:t>uesto sobre la renta, los rendimientos financieros provenientes de títulos de denominación en moneda extranjera con intereses y/o descuentos, o generados en sus enajenaciones, siempre y cuando constituyan un ingreso gravable para su tenedor.</w:t>
      </w:r>
    </w:p>
    <w:p w14:paraId="1B431C93" w14:textId="77777777" w:rsidR="00B2442D" w:rsidRDefault="00B2442D">
      <w:pPr>
        <w:jc w:val="both"/>
        <w:rPr>
          <w:rFonts w:ascii="Arial" w:hAnsi="Arial" w:cs="Arial"/>
          <w:lang w:val="es-CO"/>
        </w:rPr>
      </w:pPr>
    </w:p>
    <w:p w14:paraId="78ABFEA1" w14:textId="77777777" w:rsidR="00B2442D" w:rsidRDefault="008A645F">
      <w:pPr>
        <w:jc w:val="both"/>
        <w:rPr>
          <w:rFonts w:ascii="Arial" w:hAnsi="Arial" w:cs="Arial"/>
          <w:lang w:val="es-CO"/>
        </w:rPr>
      </w:pPr>
      <w:r>
        <w:rPr>
          <w:rFonts w:ascii="Arial" w:hAnsi="Arial" w:cs="Arial"/>
          <w:lang w:val="es-CO"/>
        </w:rPr>
        <w:t xml:space="preserve">La retención </w:t>
      </w:r>
      <w:r>
        <w:rPr>
          <w:rFonts w:ascii="Arial" w:hAnsi="Arial" w:cs="Arial"/>
          <w:lang w:val="es-CO"/>
        </w:rPr>
        <w:t xml:space="preserve">de que trata el presente artículo se practicará sobre los rendimientos financieros que se causen a partir del primero de enero de 2014, de acuerdo con lo establecido por el Gobierno Nacional en los artículos 1.2.4.2.60 al 1.2.4.2.66 del presente Decreto y </w:t>
      </w:r>
      <w:r>
        <w:rPr>
          <w:rFonts w:ascii="Arial" w:hAnsi="Arial" w:cs="Arial"/>
          <w:lang w:val="es-CO"/>
        </w:rPr>
        <w:t>en lo no previsto de manera específica o particular para esos títulos, se aplicará lo previsto en los artículos 1.2.4.2.9 al 1.2.4.2.49 del presente Decreto, y demás normas que lo modifiquen, adicionen o sustituyan.</w:t>
      </w:r>
    </w:p>
    <w:p w14:paraId="79544E69" w14:textId="77777777" w:rsidR="00B2442D" w:rsidRDefault="00B2442D">
      <w:pPr>
        <w:jc w:val="both"/>
        <w:rPr>
          <w:rFonts w:ascii="Arial" w:hAnsi="Arial" w:cs="Arial"/>
          <w:i/>
          <w:lang w:val="es-CO"/>
        </w:rPr>
      </w:pPr>
    </w:p>
    <w:p w14:paraId="32510FF3" w14:textId="77777777" w:rsidR="00B2442D" w:rsidRDefault="008A645F">
      <w:pPr>
        <w:jc w:val="both"/>
        <w:rPr>
          <w:rFonts w:ascii="Arial" w:hAnsi="Arial" w:cs="Arial"/>
          <w:i/>
          <w:lang w:val="es-CO"/>
        </w:rPr>
      </w:pPr>
      <w:r>
        <w:rPr>
          <w:rFonts w:ascii="Arial" w:hAnsi="Arial" w:cs="Arial"/>
          <w:i/>
          <w:lang w:val="es-CO"/>
        </w:rPr>
        <w:t>(Art. 1, Decreto 2201 de 1998, modifica</w:t>
      </w:r>
      <w:r>
        <w:rPr>
          <w:rFonts w:ascii="Arial" w:hAnsi="Arial" w:cs="Arial"/>
          <w:i/>
          <w:lang w:val="es-CO"/>
        </w:rPr>
        <w:t>do por el art. 1 del Decreto 3025 de 2013)</w:t>
      </w:r>
    </w:p>
    <w:p w14:paraId="6ADDB637" w14:textId="77777777" w:rsidR="00B2442D" w:rsidRDefault="008A645F">
      <w:pPr>
        <w:tabs>
          <w:tab w:val="left" w:pos="5532"/>
        </w:tabs>
        <w:jc w:val="both"/>
        <w:rPr>
          <w:rFonts w:ascii="Arial" w:hAnsi="Arial" w:cs="Arial"/>
          <w:b/>
          <w:i/>
          <w:lang w:val="es-CO"/>
        </w:rPr>
      </w:pPr>
      <w:r>
        <w:rPr>
          <w:rFonts w:ascii="Arial" w:hAnsi="Arial" w:cs="Arial"/>
          <w:b/>
          <w:i/>
          <w:lang w:val="es-CO"/>
        </w:rPr>
        <w:tab/>
      </w:r>
    </w:p>
    <w:p w14:paraId="56A44D1F"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Títulos de denominación en moneda extranjera.</w:t>
      </w:r>
      <w:r>
        <w:rPr>
          <w:rFonts w:ascii="Arial" w:hAnsi="Arial" w:cs="Arial"/>
          <w:lang w:val="es-CO"/>
        </w:rPr>
        <w:t xml:space="preserve"> Para los efectos del presente decreto se entiende por títulos de denominación en moneda extranjera con intereses y/o descuentos, aquellos cuyo valor nominal sea exp</w:t>
      </w:r>
      <w:r>
        <w:rPr>
          <w:rFonts w:ascii="Arial" w:hAnsi="Arial" w:cs="Arial"/>
          <w:lang w:val="es-CO"/>
        </w:rPr>
        <w:t>resado en moneda extranjera y exija para su reexpresión en moneda legal colombiana, la utilización de la tasa representativa de mercado vigente para la respectiva moneda a la fecha de su vencimiento, independientemente que su redención o pago de rendimient</w:t>
      </w:r>
      <w:r>
        <w:rPr>
          <w:rFonts w:ascii="Arial" w:hAnsi="Arial" w:cs="Arial"/>
          <w:lang w:val="es-CO"/>
        </w:rPr>
        <w:t>os, se realice en moneda extranjera o en moneda legal colombiana.</w:t>
      </w:r>
    </w:p>
    <w:p w14:paraId="782F82E3" w14:textId="77777777" w:rsidR="00B2442D" w:rsidRDefault="00B2442D">
      <w:pPr>
        <w:jc w:val="both"/>
        <w:rPr>
          <w:rFonts w:ascii="Arial" w:hAnsi="Arial" w:cs="Arial"/>
          <w:i/>
          <w:lang w:val="es-CO"/>
        </w:rPr>
      </w:pPr>
    </w:p>
    <w:p w14:paraId="51BD3C7E" w14:textId="77777777" w:rsidR="00B2442D" w:rsidRDefault="008A645F">
      <w:pPr>
        <w:jc w:val="both"/>
        <w:rPr>
          <w:rFonts w:ascii="Arial" w:hAnsi="Arial" w:cs="Arial"/>
          <w:i/>
          <w:lang w:val="es-CO"/>
        </w:rPr>
      </w:pPr>
      <w:r>
        <w:rPr>
          <w:rFonts w:ascii="Arial" w:hAnsi="Arial" w:cs="Arial"/>
          <w:i/>
          <w:lang w:val="es-CO"/>
        </w:rPr>
        <w:t>(Art. 2, Decreto 2201 de 1998)</w:t>
      </w:r>
    </w:p>
    <w:p w14:paraId="63C69BB1" w14:textId="77777777" w:rsidR="00B2442D" w:rsidRDefault="00B2442D">
      <w:pPr>
        <w:jc w:val="both"/>
        <w:rPr>
          <w:rFonts w:ascii="Arial" w:hAnsi="Arial" w:cs="Arial"/>
          <w:lang w:val="es-CO"/>
        </w:rPr>
      </w:pPr>
    </w:p>
    <w:p w14:paraId="554FC10C"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retención en la fuente.</w:t>
      </w:r>
      <w:r>
        <w:rPr>
          <w:rFonts w:ascii="Arial" w:hAnsi="Arial" w:cs="Arial"/>
          <w:lang w:val="es-CO"/>
        </w:rPr>
        <w:t xml:space="preserve"> La base de retención en la fuente sobre rendimientos financieros provenientes de títulos de denominación en moneda extranjer</w:t>
      </w:r>
      <w:r>
        <w:rPr>
          <w:rFonts w:ascii="Arial" w:hAnsi="Arial" w:cs="Arial"/>
          <w:lang w:val="es-CO"/>
        </w:rPr>
        <w:t>a con intereses y/o descuentos, estará determinada por la totalidad de los rendimientos calculados a la tasa facial del título, reexpresados en moneda legal colombiana, sin perjuicio de la retención que deba practicarse sobre los rendimientos financieros g</w:t>
      </w:r>
      <w:r>
        <w:rPr>
          <w:rFonts w:ascii="Arial" w:hAnsi="Arial" w:cs="Arial"/>
          <w:lang w:val="es-CO"/>
        </w:rPr>
        <w:t>enerados en las enajenaciones de los mismos.</w:t>
      </w:r>
    </w:p>
    <w:p w14:paraId="6FADCAD7" w14:textId="77777777" w:rsidR="00B2442D" w:rsidRDefault="00B2442D">
      <w:pPr>
        <w:jc w:val="both"/>
        <w:rPr>
          <w:rFonts w:ascii="Arial" w:hAnsi="Arial" w:cs="Arial"/>
          <w:lang w:val="es-CO"/>
        </w:rPr>
      </w:pPr>
    </w:p>
    <w:p w14:paraId="794B8001" w14:textId="77777777" w:rsidR="00B2442D" w:rsidRDefault="008A645F">
      <w:pPr>
        <w:jc w:val="both"/>
        <w:rPr>
          <w:rFonts w:ascii="Arial" w:hAnsi="Arial" w:cs="Arial"/>
          <w:lang w:val="es-CO"/>
        </w:rPr>
      </w:pPr>
      <w:r>
        <w:rPr>
          <w:rFonts w:ascii="Arial" w:hAnsi="Arial" w:cs="Arial"/>
          <w:lang w:val="es-CO"/>
        </w:rPr>
        <w:t>En este sentido, no hará parte de la base de retención en la fuente por concepto de rendimientos financieros, el ingreso correspondiente al mayor valor nominal del título, originado exclusivamente por su reexpr</w:t>
      </w:r>
      <w:r>
        <w:rPr>
          <w:rFonts w:ascii="Arial" w:hAnsi="Arial" w:cs="Arial"/>
          <w:lang w:val="es-CO"/>
        </w:rPr>
        <w:t>esión en moneda legal colombiana, y cuya contrapartida sea un crédito en la cuenta de Corrección Monetaria.</w:t>
      </w:r>
    </w:p>
    <w:p w14:paraId="607AA7C3" w14:textId="77777777" w:rsidR="00B2442D" w:rsidRDefault="00B2442D">
      <w:pPr>
        <w:jc w:val="both"/>
        <w:rPr>
          <w:rFonts w:ascii="Arial" w:hAnsi="Arial" w:cs="Arial"/>
          <w:i/>
          <w:lang w:val="es-CO"/>
        </w:rPr>
      </w:pPr>
    </w:p>
    <w:p w14:paraId="5C82D85A" w14:textId="77777777" w:rsidR="00B2442D" w:rsidRDefault="008A645F">
      <w:pPr>
        <w:jc w:val="both"/>
        <w:rPr>
          <w:rFonts w:ascii="Arial" w:hAnsi="Arial" w:cs="Arial"/>
          <w:i/>
          <w:lang w:val="es-CO"/>
        </w:rPr>
      </w:pPr>
      <w:r>
        <w:rPr>
          <w:rFonts w:ascii="Arial" w:hAnsi="Arial" w:cs="Arial"/>
          <w:i/>
          <w:lang w:val="es-CO"/>
        </w:rPr>
        <w:t>(Art. 3, Decreto 2201 de 1998)</w:t>
      </w:r>
    </w:p>
    <w:p w14:paraId="22B2DFD8" w14:textId="77777777" w:rsidR="00B2442D" w:rsidRDefault="00B2442D">
      <w:pPr>
        <w:jc w:val="both"/>
        <w:rPr>
          <w:rFonts w:ascii="Arial" w:hAnsi="Arial" w:cs="Arial"/>
          <w:lang w:val="es-CO"/>
        </w:rPr>
      </w:pPr>
    </w:p>
    <w:p w14:paraId="4342319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Momento de causación de la retención en la fuente. </w:t>
      </w:r>
      <w:r>
        <w:rPr>
          <w:rFonts w:ascii="Arial" w:hAnsi="Arial" w:cs="Arial"/>
          <w:lang w:val="es-CO"/>
        </w:rPr>
        <w:t>La retención en la fuente sobre rendimientos financieros de que</w:t>
      </w:r>
      <w:r>
        <w:rPr>
          <w:rFonts w:ascii="Arial" w:hAnsi="Arial" w:cs="Arial"/>
          <w:lang w:val="es-CO"/>
        </w:rPr>
        <w:t xml:space="preserve"> trata el artículo 1.2.4.2.56 del presente Decreto, se causará sobre el total de los rendimientos causados a favor del tenedor del título a partir del 1° de abril de 1999, al momento de éste recibir efectivamente su pago de parte del emisor, o al momento d</w:t>
      </w:r>
      <w:r>
        <w:rPr>
          <w:rFonts w:ascii="Arial" w:hAnsi="Arial" w:cs="Arial"/>
          <w:lang w:val="es-CO"/>
        </w:rPr>
        <w:t>e éste enajenar el título antes de su redención.</w:t>
      </w:r>
    </w:p>
    <w:p w14:paraId="5D74682F" w14:textId="77777777" w:rsidR="00B2442D" w:rsidRDefault="00B2442D">
      <w:pPr>
        <w:jc w:val="both"/>
        <w:rPr>
          <w:rFonts w:ascii="Arial" w:hAnsi="Arial" w:cs="Arial"/>
          <w:i/>
          <w:lang w:val="es-CO"/>
        </w:rPr>
      </w:pPr>
    </w:p>
    <w:p w14:paraId="55CDAB1D" w14:textId="77777777" w:rsidR="00B2442D" w:rsidRDefault="008A645F">
      <w:pPr>
        <w:jc w:val="both"/>
        <w:rPr>
          <w:rFonts w:ascii="Arial" w:hAnsi="Arial" w:cs="Arial"/>
          <w:i/>
          <w:lang w:val="es-CO"/>
        </w:rPr>
      </w:pPr>
      <w:r>
        <w:rPr>
          <w:rFonts w:ascii="Arial" w:hAnsi="Arial" w:cs="Arial"/>
          <w:i/>
          <w:lang w:val="es-CO"/>
        </w:rPr>
        <w:t>(Art. 4, Decreto 2201 de 1998)</w:t>
      </w:r>
    </w:p>
    <w:p w14:paraId="4E2A61C8" w14:textId="77777777" w:rsidR="00B2442D" w:rsidRDefault="00B2442D">
      <w:pPr>
        <w:jc w:val="both"/>
        <w:rPr>
          <w:rFonts w:ascii="Arial" w:hAnsi="Arial" w:cs="Arial"/>
          <w:b/>
          <w:lang w:val="es-CO"/>
        </w:rPr>
      </w:pPr>
    </w:p>
    <w:p w14:paraId="4AF6253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Autorretención y retención en la fuente sobre rendimientos financieros vencidos provenientes de títulos de denominación en moneda extranjera.</w:t>
      </w:r>
      <w:r>
        <w:rPr>
          <w:rFonts w:ascii="Arial" w:hAnsi="Arial" w:cs="Arial"/>
          <w:b/>
          <w:lang w:val="es-CO"/>
        </w:rPr>
        <w:t xml:space="preserve"> </w:t>
      </w:r>
      <w:r>
        <w:rPr>
          <w:rFonts w:ascii="Arial" w:hAnsi="Arial" w:cs="Arial"/>
          <w:lang w:val="es-CO"/>
        </w:rPr>
        <w:t>A partir del primero de abril d</w:t>
      </w:r>
      <w:r>
        <w:rPr>
          <w:rFonts w:ascii="Arial" w:hAnsi="Arial" w:cs="Arial"/>
          <w:lang w:val="es-CO"/>
        </w:rPr>
        <w:t>e 1.999, la retención en la fuente por concepto de los rendimientos financieros provenientes de títulos de denominación en moneda extranjera con intereses vencidos, o generados en sus enajenaciones, deberá ser practicada por parte del beneficiario de los m</w:t>
      </w:r>
      <w:r>
        <w:rPr>
          <w:rFonts w:ascii="Arial" w:hAnsi="Arial" w:cs="Arial"/>
          <w:lang w:val="es-CO"/>
        </w:rPr>
        <w:t>ismos, y no por quien efectúa el pago o abono en cuenta, siempre y cuando dicho beneficiario tenga la calidad de agente autorretenedor de rendimientos financieros de acuerdo a lo dispuesto en los artículos 1.2.4.2.9 al 1.2.4.2.49 del presente Decreto.</w:t>
      </w:r>
    </w:p>
    <w:p w14:paraId="5FFEE74D" w14:textId="77777777" w:rsidR="00B2442D" w:rsidRDefault="00B2442D">
      <w:pPr>
        <w:jc w:val="both"/>
        <w:rPr>
          <w:rFonts w:ascii="Arial" w:hAnsi="Arial" w:cs="Arial"/>
          <w:lang w:val="es-CO"/>
        </w:rPr>
      </w:pPr>
    </w:p>
    <w:p w14:paraId="50FC6EE1" w14:textId="77777777" w:rsidR="00B2442D" w:rsidRDefault="008A645F">
      <w:pPr>
        <w:jc w:val="both"/>
        <w:rPr>
          <w:rFonts w:ascii="Arial" w:hAnsi="Arial" w:cs="Arial"/>
          <w:lang w:val="es-CO"/>
        </w:rPr>
      </w:pPr>
      <w:r>
        <w:rPr>
          <w:rFonts w:ascii="Arial" w:hAnsi="Arial" w:cs="Arial"/>
          <w:lang w:val="es-CO"/>
        </w:rPr>
        <w:t xml:space="preserve">En </w:t>
      </w:r>
      <w:r>
        <w:rPr>
          <w:rFonts w:ascii="Arial" w:hAnsi="Arial" w:cs="Arial"/>
          <w:lang w:val="es-CO"/>
        </w:rPr>
        <w:t>el evento que el beneficiario no tenga la calidad de agente autorretenedor de rendimientos financieros, la retención en la fuente deberá ser practicada por el emisor o administrador de la emisión que realice el pago de los intereses, o por el adquirente de</w:t>
      </w:r>
      <w:r>
        <w:rPr>
          <w:rFonts w:ascii="Arial" w:hAnsi="Arial" w:cs="Arial"/>
          <w:lang w:val="es-CO"/>
        </w:rPr>
        <w:t xml:space="preserve">l título cuando sea agente autorretenedor, según el caso, de conformidad con lo dispuesto en los artículos 1.2.4.2.60 al 1.2.4.2.66 del presente Decreto. </w:t>
      </w:r>
    </w:p>
    <w:p w14:paraId="7F369BE1" w14:textId="77777777" w:rsidR="00B2442D" w:rsidRDefault="00B2442D">
      <w:pPr>
        <w:jc w:val="both"/>
        <w:rPr>
          <w:rFonts w:ascii="Arial" w:hAnsi="Arial" w:cs="Arial"/>
          <w:lang w:val="es-CO"/>
        </w:rPr>
      </w:pPr>
    </w:p>
    <w:p w14:paraId="6D070763" w14:textId="77777777" w:rsidR="00B2442D" w:rsidRDefault="008A645F">
      <w:pPr>
        <w:jc w:val="both"/>
        <w:rPr>
          <w:rFonts w:ascii="Arial" w:hAnsi="Arial" w:cs="Arial"/>
          <w:lang w:val="es-CO"/>
        </w:rPr>
      </w:pPr>
      <w:r>
        <w:rPr>
          <w:rFonts w:ascii="Arial" w:hAnsi="Arial" w:cs="Arial"/>
          <w:lang w:val="es-CO"/>
        </w:rPr>
        <w:t>Cuando un contribuyente que no tenga la calidad de agente autorretenedor de rendimientos financieros</w:t>
      </w:r>
      <w:r>
        <w:rPr>
          <w:rFonts w:ascii="Arial" w:hAnsi="Arial" w:cs="Arial"/>
          <w:lang w:val="es-CO"/>
        </w:rPr>
        <w:t>, enajene el título a través de una Bolsa de Valores, esta al momento de efectuar el pago a nombre o por cuenta del adquirente, a través de la respectiva compensación, deberá practicar la correspondiente retención en la fuente, entendiendo como precio de e</w:t>
      </w:r>
      <w:r>
        <w:rPr>
          <w:rFonts w:ascii="Arial" w:hAnsi="Arial" w:cs="Arial"/>
          <w:lang w:val="es-CO"/>
        </w:rPr>
        <w:t>najenación, el precio de registro.</w:t>
      </w:r>
    </w:p>
    <w:p w14:paraId="41B35C86" w14:textId="77777777" w:rsidR="00B2442D" w:rsidRDefault="00B2442D">
      <w:pPr>
        <w:jc w:val="both"/>
        <w:rPr>
          <w:rFonts w:ascii="Arial" w:hAnsi="Arial" w:cs="Arial"/>
          <w:i/>
          <w:lang w:val="es-CO"/>
        </w:rPr>
      </w:pPr>
    </w:p>
    <w:p w14:paraId="18F14864" w14:textId="77777777" w:rsidR="00B2442D" w:rsidRDefault="008A645F">
      <w:pPr>
        <w:jc w:val="both"/>
        <w:rPr>
          <w:rFonts w:ascii="Arial" w:hAnsi="Arial" w:cs="Arial"/>
          <w:i/>
          <w:lang w:val="es-CO"/>
        </w:rPr>
      </w:pPr>
      <w:r>
        <w:rPr>
          <w:rFonts w:ascii="Arial" w:hAnsi="Arial" w:cs="Arial"/>
          <w:i/>
          <w:lang w:val="es-CO"/>
        </w:rPr>
        <w:t>(Art. 1, Decreto 558 de 1999)</w:t>
      </w:r>
      <w:r>
        <w:rPr>
          <w:rFonts w:ascii="Arial" w:hAnsi="Arial" w:cs="Arial"/>
        </w:rPr>
        <w:t xml:space="preserve"> (</w:t>
      </w:r>
      <w:r>
        <w:rPr>
          <w:rFonts w:ascii="Arial" w:hAnsi="Arial" w:cs="Arial"/>
          <w:i/>
          <w:lang w:val="es-CO"/>
        </w:rPr>
        <w:t>El Decreto 558 de 1999 rige a partir del 1° de abril de 1999 y deroga las disposiciones que le sean contrarias. Art. 10, Decreto 558 de 1999)</w:t>
      </w:r>
    </w:p>
    <w:p w14:paraId="7B72D148" w14:textId="77777777" w:rsidR="00B2442D" w:rsidRDefault="00B2442D">
      <w:pPr>
        <w:jc w:val="both"/>
        <w:rPr>
          <w:rFonts w:ascii="Arial" w:hAnsi="Arial" w:cs="Arial"/>
          <w:b/>
          <w:lang w:val="es-CO"/>
        </w:rPr>
      </w:pPr>
    </w:p>
    <w:p w14:paraId="7ED3B6C1"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Conceptos.</w:t>
      </w:r>
      <w:r>
        <w:rPr>
          <w:rFonts w:ascii="Arial" w:hAnsi="Arial" w:cs="Arial"/>
          <w:lang w:val="es-CO"/>
        </w:rPr>
        <w:t xml:space="preserve"> Para los efectos de los artículos 1.2.4.2.60 al 1.2.4.2.66 del presente Decreto se entiende por:</w:t>
      </w:r>
    </w:p>
    <w:p w14:paraId="1B171735" w14:textId="77777777" w:rsidR="00B2442D" w:rsidRDefault="00B2442D">
      <w:pPr>
        <w:jc w:val="both"/>
        <w:rPr>
          <w:rFonts w:ascii="Arial" w:hAnsi="Arial" w:cs="Arial"/>
          <w:lang w:val="es-CO"/>
        </w:rPr>
      </w:pPr>
    </w:p>
    <w:p w14:paraId="5FE200ED" w14:textId="77777777" w:rsidR="00B2442D" w:rsidRDefault="008A645F">
      <w:pPr>
        <w:jc w:val="both"/>
        <w:rPr>
          <w:rFonts w:ascii="Arial" w:hAnsi="Arial" w:cs="Arial"/>
          <w:lang w:val="es-CO"/>
        </w:rPr>
      </w:pPr>
      <w:r>
        <w:rPr>
          <w:rFonts w:ascii="Arial" w:hAnsi="Arial" w:cs="Arial"/>
          <w:b/>
          <w:lang w:val="es-CO"/>
        </w:rPr>
        <w:t>1. Títulos de denominación en moneda extranjera:</w:t>
      </w:r>
      <w:r>
        <w:rPr>
          <w:rFonts w:ascii="Arial" w:hAnsi="Arial" w:cs="Arial"/>
          <w:lang w:val="es-CO"/>
        </w:rPr>
        <w:t xml:space="preserve"> Aquellos cuyo valor nominal y/o intereses y/o descuentos sean expresados en moneda extranjera, independiente</w:t>
      </w:r>
      <w:r>
        <w:rPr>
          <w:rFonts w:ascii="Arial" w:hAnsi="Arial" w:cs="Arial"/>
          <w:lang w:val="es-CO"/>
        </w:rPr>
        <w:t>mente que su redención o pago de rendimientos, se realice en moneda extranjera o en moneda legal colombiana.</w:t>
      </w:r>
    </w:p>
    <w:p w14:paraId="7C4A7888" w14:textId="77777777" w:rsidR="00B2442D" w:rsidRDefault="00B2442D">
      <w:pPr>
        <w:jc w:val="both"/>
        <w:rPr>
          <w:rFonts w:ascii="Arial" w:hAnsi="Arial" w:cs="Arial"/>
          <w:lang w:val="es-CO"/>
        </w:rPr>
      </w:pPr>
    </w:p>
    <w:p w14:paraId="4FFF03F3" w14:textId="77777777" w:rsidR="00B2442D" w:rsidRDefault="008A645F">
      <w:pPr>
        <w:jc w:val="both"/>
        <w:rPr>
          <w:rFonts w:ascii="Arial" w:hAnsi="Arial" w:cs="Arial"/>
          <w:lang w:val="es-CO"/>
        </w:rPr>
      </w:pPr>
      <w:r>
        <w:rPr>
          <w:rFonts w:ascii="Arial" w:hAnsi="Arial" w:cs="Arial"/>
          <w:b/>
          <w:lang w:val="es-CO"/>
        </w:rPr>
        <w:t>2. Intereses expresados en moneda extranjera:</w:t>
      </w:r>
      <w:r>
        <w:rPr>
          <w:rFonts w:ascii="Arial" w:hAnsi="Arial" w:cs="Arial"/>
          <w:lang w:val="es-CO"/>
        </w:rPr>
        <w:t xml:space="preserve"> Valor en moneda extranjera resultante de aplicar la tasa facial del título al valor nominal del mism</w:t>
      </w:r>
      <w:r>
        <w:rPr>
          <w:rFonts w:ascii="Arial" w:hAnsi="Arial" w:cs="Arial"/>
          <w:lang w:val="es-CO"/>
        </w:rPr>
        <w:t>o expresado en moneda extranjera.</w:t>
      </w:r>
    </w:p>
    <w:p w14:paraId="05475593" w14:textId="77777777" w:rsidR="00B2442D" w:rsidRDefault="00B2442D">
      <w:pPr>
        <w:jc w:val="both"/>
        <w:rPr>
          <w:rFonts w:ascii="Arial" w:hAnsi="Arial" w:cs="Arial"/>
          <w:lang w:val="es-CO"/>
        </w:rPr>
      </w:pPr>
    </w:p>
    <w:p w14:paraId="1CAAA925" w14:textId="77777777" w:rsidR="00B2442D" w:rsidRDefault="008A645F">
      <w:pPr>
        <w:jc w:val="both"/>
        <w:rPr>
          <w:rFonts w:ascii="Arial" w:hAnsi="Arial" w:cs="Arial"/>
          <w:lang w:val="es-CO"/>
        </w:rPr>
      </w:pPr>
      <w:r>
        <w:rPr>
          <w:rFonts w:ascii="Arial" w:hAnsi="Arial" w:cs="Arial"/>
          <w:b/>
          <w:lang w:val="es-CO"/>
        </w:rPr>
        <w:t xml:space="preserve">3. Precio expresado en moneda extranjera: </w:t>
      </w:r>
      <w:r>
        <w:rPr>
          <w:rFonts w:ascii="Arial" w:hAnsi="Arial" w:cs="Arial"/>
          <w:lang w:val="es-CO"/>
        </w:rPr>
        <w:t xml:space="preserve">Valor en moneda extranjera resultante de dividir el precio pagado en moneda legal colombiana por la tasa de cambio representativa de mercado vigente al momento de la compra o enajenación según corresponda. </w:t>
      </w:r>
    </w:p>
    <w:p w14:paraId="5A27A185" w14:textId="77777777" w:rsidR="00B2442D" w:rsidRDefault="00B2442D">
      <w:pPr>
        <w:jc w:val="both"/>
        <w:rPr>
          <w:rFonts w:ascii="Arial" w:hAnsi="Arial" w:cs="Arial"/>
          <w:lang w:val="es-CO"/>
        </w:rPr>
      </w:pPr>
    </w:p>
    <w:p w14:paraId="3D6C442F" w14:textId="77777777" w:rsidR="00B2442D" w:rsidRDefault="008A645F">
      <w:pPr>
        <w:jc w:val="both"/>
        <w:rPr>
          <w:rFonts w:ascii="Arial" w:hAnsi="Arial" w:cs="Arial"/>
          <w:lang w:val="es-CO"/>
        </w:rPr>
      </w:pPr>
      <w:r>
        <w:rPr>
          <w:rFonts w:ascii="Arial" w:hAnsi="Arial" w:cs="Arial"/>
          <w:b/>
          <w:lang w:val="es-CO"/>
        </w:rPr>
        <w:t>4. Tasa de cambio representativa del mercado:</w:t>
      </w:r>
      <w:r>
        <w:rPr>
          <w:rFonts w:ascii="Arial" w:hAnsi="Arial" w:cs="Arial"/>
          <w:lang w:val="es-CO"/>
        </w:rPr>
        <w:t xml:space="preserve"> Aq</w:t>
      </w:r>
      <w:r>
        <w:rPr>
          <w:rFonts w:ascii="Arial" w:hAnsi="Arial" w:cs="Arial"/>
          <w:lang w:val="es-CO"/>
        </w:rPr>
        <w:t>uella certificada por la Financiera de Colombia de conformidad con lo previsto en las normas vigentes sobre la materia.</w:t>
      </w:r>
    </w:p>
    <w:p w14:paraId="7D8082E2" w14:textId="77777777" w:rsidR="00B2442D" w:rsidRDefault="00B2442D">
      <w:pPr>
        <w:jc w:val="both"/>
        <w:rPr>
          <w:rFonts w:ascii="Arial" w:hAnsi="Arial" w:cs="Arial"/>
          <w:lang w:val="es-CO"/>
        </w:rPr>
      </w:pPr>
    </w:p>
    <w:p w14:paraId="462A00B4" w14:textId="77777777" w:rsidR="00B2442D" w:rsidRDefault="008A645F">
      <w:pPr>
        <w:jc w:val="both"/>
        <w:rPr>
          <w:rFonts w:ascii="Arial" w:hAnsi="Arial" w:cs="Arial"/>
          <w:lang w:val="es-CO"/>
        </w:rPr>
      </w:pPr>
      <w:r>
        <w:rPr>
          <w:rFonts w:ascii="Arial" w:hAnsi="Arial" w:cs="Arial"/>
          <w:b/>
          <w:lang w:val="es-CO"/>
        </w:rPr>
        <w:t>5. Pago de intereses:</w:t>
      </w:r>
      <w:r>
        <w:rPr>
          <w:rFonts w:ascii="Arial" w:hAnsi="Arial" w:cs="Arial"/>
          <w:lang w:val="es-CO"/>
        </w:rPr>
        <w:t xml:space="preserve"> Pago o abono en cuenta del total de los intereses de un período realizado el día del vencimiento del respectivo p</w:t>
      </w:r>
      <w:r>
        <w:rPr>
          <w:rFonts w:ascii="Arial" w:hAnsi="Arial" w:cs="Arial"/>
          <w:lang w:val="es-CO"/>
        </w:rPr>
        <w:t>eríodo.</w:t>
      </w:r>
    </w:p>
    <w:p w14:paraId="5469C2BF" w14:textId="77777777" w:rsidR="00B2442D" w:rsidRDefault="00B2442D">
      <w:pPr>
        <w:jc w:val="both"/>
        <w:rPr>
          <w:rFonts w:ascii="Arial" w:hAnsi="Arial" w:cs="Arial"/>
          <w:lang w:val="es-CO"/>
        </w:rPr>
      </w:pPr>
    </w:p>
    <w:p w14:paraId="7860EC8E" w14:textId="77777777" w:rsidR="00B2442D" w:rsidRDefault="008A645F">
      <w:pPr>
        <w:jc w:val="both"/>
        <w:rPr>
          <w:rFonts w:ascii="Arial" w:hAnsi="Arial" w:cs="Arial"/>
          <w:i/>
          <w:lang w:val="es-CO"/>
        </w:rPr>
      </w:pPr>
      <w:r>
        <w:rPr>
          <w:rFonts w:ascii="Arial" w:hAnsi="Arial" w:cs="Arial"/>
          <w:i/>
          <w:lang w:val="es-CO"/>
        </w:rPr>
        <w:t>(Art. 2, Decreto 558 de 1999)</w:t>
      </w:r>
      <w:r>
        <w:rPr>
          <w:rFonts w:ascii="Arial" w:hAnsi="Arial" w:cs="Arial"/>
        </w:rPr>
        <w:t xml:space="preserve"> </w:t>
      </w:r>
      <w:r>
        <w:rPr>
          <w:rFonts w:ascii="Arial" w:hAnsi="Arial" w:cs="Arial"/>
          <w:i/>
          <w:lang w:val="es-CO"/>
        </w:rPr>
        <w:t>(El Decreto 558 de 1999 rige a partir del 1</w:t>
      </w:r>
      <w:r>
        <w:rPr>
          <w:rFonts w:ascii="Arial" w:hAnsi="Arial" w:cs="Arial"/>
          <w:i/>
          <w:lang w:val="es-CO"/>
        </w:rPr>
        <w:t> de abril de 1999 y deroga las disposiciones que le sean contrarias. Art. 10, Decreto 558 de 1999)</w:t>
      </w:r>
    </w:p>
    <w:p w14:paraId="395FF541" w14:textId="77777777" w:rsidR="00B2442D" w:rsidRDefault="00B2442D">
      <w:pPr>
        <w:jc w:val="both"/>
        <w:rPr>
          <w:rFonts w:ascii="Arial" w:hAnsi="Arial" w:cs="Arial"/>
          <w:lang w:val="es-CO"/>
        </w:rPr>
      </w:pPr>
    </w:p>
    <w:p w14:paraId="3150873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Causación de la autorretención y retención en la fuente.</w:t>
      </w:r>
      <w:r>
        <w:rPr>
          <w:rFonts w:ascii="Arial" w:hAnsi="Arial" w:cs="Arial"/>
          <w:lang w:val="es-CO"/>
        </w:rPr>
        <w:t xml:space="preserve"> La autorretenci</w:t>
      </w:r>
      <w:r>
        <w:rPr>
          <w:rFonts w:ascii="Arial" w:hAnsi="Arial" w:cs="Arial"/>
          <w:lang w:val="es-CO"/>
        </w:rPr>
        <w:t>ón o retención en la fuente sobre los rendimientos financieros vencidos provenientes de un título de denominación en moneda extranjera se deberá practicar al momento de efectuarse el pago de los intereses de un período, por parte del emisor o administrador</w:t>
      </w:r>
      <w:r>
        <w:rPr>
          <w:rFonts w:ascii="Arial" w:hAnsi="Arial" w:cs="Arial"/>
          <w:lang w:val="es-CO"/>
        </w:rPr>
        <w:t xml:space="preserve"> de la emisión, o al momento de la enajenación del título.</w:t>
      </w:r>
    </w:p>
    <w:p w14:paraId="7960498E" w14:textId="77777777" w:rsidR="00B2442D" w:rsidRDefault="00B2442D">
      <w:pPr>
        <w:jc w:val="both"/>
        <w:rPr>
          <w:rFonts w:ascii="Arial" w:hAnsi="Arial" w:cs="Arial"/>
          <w:lang w:val="es-CO"/>
        </w:rPr>
      </w:pPr>
    </w:p>
    <w:p w14:paraId="7DF2C11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declaración y pago de los valores autorretenidos de acuerdo con el régimen señalado en los artículos 1.2.4.2.60 al 1.2.4.2.66 del presente Decreto, deberá efectuarse dentro de los pl</w:t>
      </w:r>
      <w:r>
        <w:rPr>
          <w:rFonts w:ascii="Arial" w:hAnsi="Arial" w:cs="Arial"/>
          <w:lang w:val="es-CO"/>
        </w:rPr>
        <w:t>azos previstos por el Gobierno Nacional para la presentación y pago de las declaraciones de retención en la fuente.</w:t>
      </w:r>
    </w:p>
    <w:p w14:paraId="64E6C74D" w14:textId="77777777" w:rsidR="00B2442D" w:rsidRDefault="00B2442D">
      <w:pPr>
        <w:jc w:val="both"/>
        <w:rPr>
          <w:rFonts w:ascii="Arial" w:hAnsi="Arial" w:cs="Arial"/>
          <w:lang w:val="es-CO"/>
        </w:rPr>
      </w:pPr>
    </w:p>
    <w:p w14:paraId="0478D27B" w14:textId="77777777" w:rsidR="00B2442D" w:rsidRDefault="008A645F">
      <w:pPr>
        <w:jc w:val="both"/>
        <w:rPr>
          <w:rFonts w:ascii="Arial" w:hAnsi="Arial" w:cs="Arial"/>
          <w:i/>
          <w:lang w:val="es-CO"/>
        </w:rPr>
      </w:pPr>
      <w:r>
        <w:rPr>
          <w:rFonts w:ascii="Arial" w:hAnsi="Arial" w:cs="Arial"/>
          <w:i/>
          <w:lang w:val="es-CO"/>
        </w:rPr>
        <w:t>(Art. 3, Decreto 558 de 1999)</w:t>
      </w:r>
      <w:r>
        <w:rPr>
          <w:rFonts w:ascii="Arial" w:hAnsi="Arial" w:cs="Arial"/>
        </w:rPr>
        <w:t xml:space="preserve"> </w:t>
      </w:r>
      <w:r>
        <w:rPr>
          <w:rFonts w:ascii="Arial" w:hAnsi="Arial" w:cs="Arial"/>
          <w:i/>
          <w:lang w:val="es-CO"/>
        </w:rPr>
        <w:t>(El Decreto 558 de 1999 rige a partir del 1</w:t>
      </w:r>
      <w:r>
        <w:rPr>
          <w:rFonts w:ascii="Arial" w:hAnsi="Arial" w:cs="Arial"/>
          <w:i/>
          <w:lang w:val="es-CO"/>
        </w:rPr>
        <w:t> de abril de 1999 y deroga las disposiciones que le sean contrari</w:t>
      </w:r>
      <w:r>
        <w:rPr>
          <w:rFonts w:ascii="Arial" w:hAnsi="Arial" w:cs="Arial"/>
          <w:i/>
          <w:lang w:val="es-CO"/>
        </w:rPr>
        <w:t>as. Art. 10, Decreto 558 de 1999)</w:t>
      </w:r>
    </w:p>
    <w:p w14:paraId="2A2F75AD" w14:textId="77777777" w:rsidR="00B2442D" w:rsidRDefault="00B2442D">
      <w:pPr>
        <w:jc w:val="both"/>
        <w:rPr>
          <w:rFonts w:ascii="Arial" w:hAnsi="Arial" w:cs="Arial"/>
          <w:i/>
          <w:lang w:val="es-CO"/>
        </w:rPr>
      </w:pPr>
    </w:p>
    <w:p w14:paraId="79C2422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autorretención.</w:t>
      </w:r>
      <w:r>
        <w:rPr>
          <w:rFonts w:ascii="Arial" w:hAnsi="Arial" w:cs="Arial"/>
          <w:lang w:val="es-CO"/>
        </w:rPr>
        <w:t xml:space="preserve"> La autorretención en la fuente que debe practicarse sobre los rendimientos provenientes de títulos de denominación en moneda extranjera con pago de intereses vencidos, se aplicará siguiendo el sig</w:t>
      </w:r>
      <w:r>
        <w:rPr>
          <w:rFonts w:ascii="Arial" w:hAnsi="Arial" w:cs="Arial"/>
          <w:lang w:val="es-CO"/>
        </w:rPr>
        <w:t>uiente procedimiento:</w:t>
      </w:r>
    </w:p>
    <w:p w14:paraId="2C70462E" w14:textId="77777777" w:rsidR="00B2442D" w:rsidRDefault="00B2442D">
      <w:pPr>
        <w:jc w:val="both"/>
        <w:rPr>
          <w:rFonts w:ascii="Arial" w:hAnsi="Arial" w:cs="Arial"/>
          <w:lang w:val="es-CO"/>
        </w:rPr>
      </w:pPr>
    </w:p>
    <w:p w14:paraId="6A412A26" w14:textId="77777777" w:rsidR="00B2442D" w:rsidRDefault="008A645F">
      <w:pPr>
        <w:jc w:val="both"/>
        <w:rPr>
          <w:rFonts w:ascii="Arial" w:hAnsi="Arial" w:cs="Arial"/>
          <w:lang w:val="es-CO"/>
        </w:rPr>
      </w:pPr>
      <w:r>
        <w:rPr>
          <w:rFonts w:ascii="Arial" w:hAnsi="Arial" w:cs="Arial"/>
          <w:lang w:val="es-CO"/>
        </w:rPr>
        <w:t>1. Al momento de recibir el pago de intereses durante el primer periodo de rendimiento para el tenedor del título:</w:t>
      </w:r>
    </w:p>
    <w:p w14:paraId="60FAF308" w14:textId="77777777" w:rsidR="00B2442D" w:rsidRDefault="00B2442D">
      <w:pPr>
        <w:jc w:val="both"/>
        <w:rPr>
          <w:rFonts w:ascii="Arial" w:hAnsi="Arial" w:cs="Arial"/>
          <w:lang w:val="es-CO"/>
        </w:rPr>
      </w:pPr>
    </w:p>
    <w:p w14:paraId="164A6415" w14:textId="77777777" w:rsidR="00B2442D" w:rsidRDefault="008A645F">
      <w:pPr>
        <w:jc w:val="both"/>
        <w:rPr>
          <w:rFonts w:ascii="Arial" w:hAnsi="Arial" w:cs="Arial"/>
          <w:lang w:val="es-CO"/>
        </w:rPr>
      </w:pPr>
      <w:r>
        <w:rPr>
          <w:rFonts w:ascii="Arial" w:hAnsi="Arial" w:cs="Arial"/>
          <w:lang w:val="es-CO"/>
        </w:rPr>
        <w:t xml:space="preserve">Se determina la diferencia entre el resultado que se obtenga de adicionar al valor nominal del título </w:t>
      </w:r>
      <w:r>
        <w:rPr>
          <w:rFonts w:ascii="Arial" w:hAnsi="Arial" w:cs="Arial"/>
          <w:lang w:val="es-CO"/>
        </w:rPr>
        <w:t xml:space="preserve">expresado en moneda extranjera, el valor total de los intereses del periodo en curso a la tasa facial del mismo, expresados en moneda extranjera, y el precio de compra del título expresado en moneda extranjera. Esta diferencia se multiplica por la tasa de </w:t>
      </w:r>
      <w:r>
        <w:rPr>
          <w:rFonts w:ascii="Arial" w:hAnsi="Arial" w:cs="Arial"/>
          <w:lang w:val="es-CO"/>
        </w:rPr>
        <w:t>cambio representativa del mercado vigente a la fecha del pago de los intereses, y el resultado será la base para calcular la retención en la fuente.</w:t>
      </w:r>
    </w:p>
    <w:p w14:paraId="3EEE3BDE" w14:textId="77777777" w:rsidR="00B2442D" w:rsidRDefault="00B2442D">
      <w:pPr>
        <w:jc w:val="both"/>
        <w:rPr>
          <w:rFonts w:ascii="Arial" w:hAnsi="Arial" w:cs="Arial"/>
          <w:lang w:val="es-CO"/>
        </w:rPr>
      </w:pPr>
    </w:p>
    <w:p w14:paraId="547B7D01" w14:textId="77777777" w:rsidR="00B2442D" w:rsidRDefault="008A645F">
      <w:pPr>
        <w:jc w:val="both"/>
        <w:rPr>
          <w:rFonts w:ascii="Arial" w:hAnsi="Arial" w:cs="Arial"/>
          <w:lang w:val="es-CO"/>
        </w:rPr>
      </w:pPr>
      <w:r>
        <w:rPr>
          <w:rFonts w:ascii="Arial" w:hAnsi="Arial" w:cs="Arial"/>
          <w:lang w:val="es-CO"/>
        </w:rPr>
        <w:t>2. Al momento de recibir el pago de intereses durante los demás períodos de rendimientos para el tenedor d</w:t>
      </w:r>
      <w:r>
        <w:rPr>
          <w:rFonts w:ascii="Arial" w:hAnsi="Arial" w:cs="Arial"/>
          <w:lang w:val="es-CO"/>
        </w:rPr>
        <w:t>el título:</w:t>
      </w:r>
    </w:p>
    <w:p w14:paraId="20776289" w14:textId="77777777" w:rsidR="00B2442D" w:rsidRDefault="00B2442D">
      <w:pPr>
        <w:jc w:val="both"/>
        <w:rPr>
          <w:rFonts w:ascii="Arial" w:hAnsi="Arial" w:cs="Arial"/>
          <w:lang w:val="es-CO"/>
        </w:rPr>
      </w:pPr>
    </w:p>
    <w:p w14:paraId="1F0BED13" w14:textId="77777777" w:rsidR="00B2442D" w:rsidRDefault="008A645F">
      <w:pPr>
        <w:jc w:val="both"/>
        <w:rPr>
          <w:rFonts w:ascii="Arial" w:hAnsi="Arial" w:cs="Arial"/>
          <w:lang w:val="es-CO"/>
        </w:rPr>
      </w:pPr>
      <w:r>
        <w:rPr>
          <w:rFonts w:ascii="Arial" w:hAnsi="Arial" w:cs="Arial"/>
          <w:lang w:val="es-CO"/>
        </w:rPr>
        <w:t>Sobre el valor en moneda legal colombiana de los intereses del periodo, a la tasa facial del título.</w:t>
      </w:r>
    </w:p>
    <w:p w14:paraId="2792BA6F" w14:textId="77777777" w:rsidR="00B2442D" w:rsidRDefault="00B2442D">
      <w:pPr>
        <w:jc w:val="both"/>
        <w:rPr>
          <w:rFonts w:ascii="Arial" w:hAnsi="Arial" w:cs="Arial"/>
          <w:lang w:val="es-CO"/>
        </w:rPr>
      </w:pPr>
    </w:p>
    <w:p w14:paraId="43070792" w14:textId="77777777" w:rsidR="00B2442D" w:rsidRDefault="008A645F">
      <w:pPr>
        <w:jc w:val="both"/>
        <w:rPr>
          <w:rFonts w:ascii="Arial" w:hAnsi="Arial" w:cs="Arial"/>
          <w:lang w:val="es-CO"/>
        </w:rPr>
      </w:pPr>
      <w:r>
        <w:rPr>
          <w:rFonts w:ascii="Arial" w:hAnsi="Arial" w:cs="Arial"/>
          <w:lang w:val="es-CO"/>
        </w:rPr>
        <w:t>3. Al momento de su enajenación durante el primer periodo de rendimientos para el tenedor del título:</w:t>
      </w:r>
    </w:p>
    <w:p w14:paraId="7FBA3E4F" w14:textId="77777777" w:rsidR="00B2442D" w:rsidRDefault="00B2442D">
      <w:pPr>
        <w:jc w:val="both"/>
        <w:rPr>
          <w:rFonts w:ascii="Arial" w:hAnsi="Arial" w:cs="Arial"/>
          <w:lang w:val="es-CO"/>
        </w:rPr>
      </w:pPr>
    </w:p>
    <w:p w14:paraId="26F54779" w14:textId="77777777" w:rsidR="00B2442D" w:rsidRDefault="008A645F">
      <w:pPr>
        <w:jc w:val="both"/>
        <w:rPr>
          <w:rFonts w:ascii="Arial" w:hAnsi="Arial" w:cs="Arial"/>
          <w:lang w:val="es-CO"/>
        </w:rPr>
      </w:pPr>
      <w:r>
        <w:rPr>
          <w:rFonts w:ascii="Arial" w:hAnsi="Arial" w:cs="Arial"/>
          <w:lang w:val="es-CO"/>
        </w:rPr>
        <w:t>Se determina por la diferencia entre el</w:t>
      </w:r>
      <w:r>
        <w:rPr>
          <w:rFonts w:ascii="Arial" w:hAnsi="Arial" w:cs="Arial"/>
          <w:lang w:val="es-CO"/>
        </w:rPr>
        <w:t xml:space="preserve"> precio de enajenación expresado en moneda extranjera y el precio de compra del título expresado en moneda extranjera. Esta diferencia se multiplica por la tasa de cambio representativa del mercado vigente a la fecha de la enajenación, y el resultado será </w:t>
      </w:r>
      <w:r>
        <w:rPr>
          <w:rFonts w:ascii="Arial" w:hAnsi="Arial" w:cs="Arial"/>
          <w:lang w:val="es-CO"/>
        </w:rPr>
        <w:t>la base para calcular la retención en la fuente.</w:t>
      </w:r>
    </w:p>
    <w:p w14:paraId="2AC3C0A7" w14:textId="77777777" w:rsidR="00B2442D" w:rsidRDefault="00B2442D">
      <w:pPr>
        <w:jc w:val="both"/>
        <w:rPr>
          <w:rFonts w:ascii="Arial" w:hAnsi="Arial" w:cs="Arial"/>
          <w:lang w:val="es-CO"/>
        </w:rPr>
      </w:pPr>
    </w:p>
    <w:p w14:paraId="32C29C63" w14:textId="77777777" w:rsidR="00B2442D" w:rsidRDefault="008A645F">
      <w:pPr>
        <w:jc w:val="both"/>
        <w:rPr>
          <w:rFonts w:ascii="Arial" w:hAnsi="Arial" w:cs="Arial"/>
          <w:lang w:val="es-CO"/>
        </w:rPr>
      </w:pPr>
      <w:r>
        <w:rPr>
          <w:rFonts w:ascii="Arial" w:hAnsi="Arial" w:cs="Arial"/>
          <w:lang w:val="es-CO"/>
        </w:rPr>
        <w:t>4. Al momento de su enajenación durante los demás períodos de rendimientos para el tenedor del título:</w:t>
      </w:r>
    </w:p>
    <w:p w14:paraId="6EF65402" w14:textId="77777777" w:rsidR="00B2442D" w:rsidRDefault="00B2442D">
      <w:pPr>
        <w:jc w:val="both"/>
        <w:rPr>
          <w:rFonts w:ascii="Arial" w:hAnsi="Arial" w:cs="Arial"/>
          <w:lang w:val="es-CO"/>
        </w:rPr>
      </w:pPr>
    </w:p>
    <w:p w14:paraId="7B01CCF4" w14:textId="77777777" w:rsidR="00B2442D" w:rsidRDefault="008A645F">
      <w:pPr>
        <w:jc w:val="both"/>
        <w:rPr>
          <w:rFonts w:ascii="Arial" w:hAnsi="Arial" w:cs="Arial"/>
          <w:lang w:val="es-CO"/>
        </w:rPr>
      </w:pPr>
      <w:r>
        <w:rPr>
          <w:rFonts w:ascii="Arial" w:hAnsi="Arial" w:cs="Arial"/>
          <w:lang w:val="es-CO"/>
        </w:rPr>
        <w:t>Se determina por la diferencia entre el precio de enajenación expresado en moneda extranjera y el valo</w:t>
      </w:r>
      <w:r>
        <w:rPr>
          <w:rFonts w:ascii="Arial" w:hAnsi="Arial" w:cs="Arial"/>
          <w:lang w:val="es-CO"/>
        </w:rPr>
        <w:t>r de adquisición del título menos los intereses causados linealmente por el título desde la fecha del último pago de intereses vencidos o desde la fecha de colocación, según sea el caso, hasta la fecha de adquisición por parte del tenedor expresados en mon</w:t>
      </w:r>
      <w:r>
        <w:rPr>
          <w:rFonts w:ascii="Arial" w:hAnsi="Arial" w:cs="Arial"/>
          <w:lang w:val="es-CO"/>
        </w:rPr>
        <w:t>eda extranjera. Esta diferencia se multiplica por la tasa representativa del mercado vigente a la fecha de la enajenación, y el resultado será la base para calcular la retención en la fuente.</w:t>
      </w:r>
    </w:p>
    <w:p w14:paraId="0F20B324" w14:textId="77777777" w:rsidR="00B2442D" w:rsidRDefault="00B2442D">
      <w:pPr>
        <w:jc w:val="both"/>
        <w:rPr>
          <w:rFonts w:ascii="Arial" w:hAnsi="Arial" w:cs="Arial"/>
          <w:b/>
          <w:lang w:val="es-CO"/>
        </w:rPr>
      </w:pPr>
    </w:p>
    <w:p w14:paraId="74852159"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En todo caso, no hará parte de la base de retenci</w:t>
      </w:r>
      <w:r>
        <w:rPr>
          <w:rFonts w:ascii="Arial" w:hAnsi="Arial" w:cs="Arial"/>
          <w:lang w:val="es-CO"/>
        </w:rPr>
        <w:t>ón en la fuente por concepto de rendimientos, el ingreso correspondiente al mayor valor nominal del título, originado exclusivamente por su reexpresión en moneda legal colombiana y cuya contrapartida sea un crédito en la cuenta de corrección monetaria.</w:t>
      </w:r>
    </w:p>
    <w:p w14:paraId="325D5928" w14:textId="77777777" w:rsidR="00B2442D" w:rsidRDefault="00B2442D">
      <w:pPr>
        <w:jc w:val="both"/>
        <w:rPr>
          <w:rFonts w:ascii="Arial" w:hAnsi="Arial" w:cs="Arial"/>
          <w:lang w:val="es-CO"/>
        </w:rPr>
      </w:pPr>
    </w:p>
    <w:p w14:paraId="423216E4" w14:textId="77777777" w:rsidR="00B2442D" w:rsidRDefault="008A645F">
      <w:pPr>
        <w:jc w:val="both"/>
        <w:rPr>
          <w:rFonts w:ascii="Arial" w:hAnsi="Arial" w:cs="Arial"/>
          <w:lang w:val="es-CO"/>
        </w:rPr>
      </w:pPr>
      <w:r>
        <w:rPr>
          <w:rFonts w:ascii="Arial" w:hAnsi="Arial" w:cs="Arial"/>
          <w:b/>
          <w:lang w:val="es-CO"/>
        </w:rPr>
        <w:t>Pa</w:t>
      </w:r>
      <w:r>
        <w:rPr>
          <w:rFonts w:ascii="Arial" w:hAnsi="Arial" w:cs="Arial"/>
          <w:b/>
          <w:lang w:val="es-CO"/>
        </w:rPr>
        <w:t>rágrafo 2o.</w:t>
      </w:r>
      <w:r>
        <w:rPr>
          <w:rFonts w:ascii="Arial" w:hAnsi="Arial" w:cs="Arial"/>
          <w:lang w:val="es-CO"/>
        </w:rPr>
        <w:t xml:space="preserve"> Si el valor determinado en los numerales 1, 3 o 4 de este artículo resulta negativo, el autorretenedor podrá debitar de la cuenta de retenciones en la fuente por consignar el valor de la retención en la fuente correspondiente a dicha diferencia</w:t>
      </w:r>
      <w:r>
        <w:rPr>
          <w:rFonts w:ascii="Arial" w:hAnsi="Arial" w:cs="Arial"/>
          <w:lang w:val="es-CO"/>
        </w:rPr>
        <w:t>. El agente autorretenedor deberá conservar los documentos que soporten cada débito que realice a la cuenta de retenciones por consignar, para ser presentados a la Unidad Administrativa Especial Dirección de Impuestos y Aduanas Nacionales– DIAN cuando esta</w:t>
      </w:r>
      <w:r>
        <w:rPr>
          <w:rFonts w:ascii="Arial" w:hAnsi="Arial" w:cs="Arial"/>
          <w:lang w:val="es-CO"/>
        </w:rPr>
        <w:t xml:space="preserve"> lo exija”.</w:t>
      </w:r>
    </w:p>
    <w:p w14:paraId="16A50DFC" w14:textId="77777777" w:rsidR="00B2442D" w:rsidRDefault="00B2442D">
      <w:pPr>
        <w:jc w:val="both"/>
        <w:rPr>
          <w:rFonts w:ascii="Arial" w:hAnsi="Arial" w:cs="Arial"/>
          <w:lang w:val="es-CO"/>
        </w:rPr>
      </w:pPr>
    </w:p>
    <w:p w14:paraId="55163844" w14:textId="77777777" w:rsidR="00B2442D" w:rsidRDefault="008A645F">
      <w:pPr>
        <w:jc w:val="both"/>
        <w:rPr>
          <w:rFonts w:ascii="Arial" w:hAnsi="Arial" w:cs="Arial"/>
          <w:lang w:val="es-CO"/>
        </w:rPr>
      </w:pPr>
      <w:r>
        <w:rPr>
          <w:rFonts w:ascii="Arial" w:hAnsi="Arial" w:cs="Arial"/>
          <w:i/>
          <w:lang w:val="es-CO"/>
        </w:rPr>
        <w:t>(Art. 4, Decreto 558 de 1999, modificado por el artículo 2° del Decreto 3025 de 2013)</w:t>
      </w:r>
      <w:r>
        <w:rPr>
          <w:rFonts w:ascii="Arial" w:hAnsi="Arial" w:cs="Arial"/>
        </w:rPr>
        <w:t xml:space="preserve"> (</w:t>
      </w:r>
      <w:r>
        <w:rPr>
          <w:rFonts w:ascii="Arial" w:hAnsi="Arial" w:cs="Arial"/>
          <w:i/>
          <w:lang w:val="es-CO"/>
        </w:rPr>
        <w:t>El Decreto 558 de 1999 rige a partir del 1</w:t>
      </w:r>
      <w:r>
        <w:rPr>
          <w:rFonts w:ascii="Arial" w:hAnsi="Arial" w:cs="Arial"/>
          <w:i/>
          <w:lang w:val="es-CO"/>
        </w:rPr>
        <w:t> de abril de 1999 y deroga las disposiciones que le sean contrarias. Art. 10, Decreto 558 de 1999)</w:t>
      </w:r>
    </w:p>
    <w:p w14:paraId="507959A0" w14:textId="77777777" w:rsidR="00B2442D" w:rsidRDefault="00B2442D">
      <w:pPr>
        <w:jc w:val="both"/>
        <w:rPr>
          <w:rFonts w:ascii="Arial" w:hAnsi="Arial" w:cs="Arial"/>
          <w:lang w:val="es-CO"/>
        </w:rPr>
      </w:pPr>
    </w:p>
    <w:p w14:paraId="5A702F8E" w14:textId="77777777" w:rsidR="00B2442D" w:rsidRDefault="008A645F">
      <w:pPr>
        <w:pStyle w:val="Prrafodelista"/>
        <w:numPr>
          <w:ilvl w:val="0"/>
          <w:numId w:val="48"/>
        </w:numPr>
        <w:ind w:left="0" w:firstLine="0"/>
        <w:jc w:val="both"/>
        <w:rPr>
          <w:rFonts w:ascii="Arial" w:hAnsi="Arial" w:cs="Arial"/>
          <w:b/>
          <w:i/>
          <w:lang w:val="es-CO"/>
        </w:rPr>
      </w:pPr>
      <w:r>
        <w:rPr>
          <w:rFonts w:ascii="Arial" w:hAnsi="Arial" w:cs="Arial"/>
          <w:b/>
          <w:i/>
          <w:lang w:val="es-CO"/>
        </w:rPr>
        <w:t xml:space="preserve"> Pago de rendimientos financieros vencidos a no autorretenedores.</w:t>
      </w:r>
    </w:p>
    <w:p w14:paraId="1CDD5206" w14:textId="77777777" w:rsidR="00B2442D" w:rsidRDefault="00B2442D">
      <w:pPr>
        <w:jc w:val="both"/>
        <w:rPr>
          <w:rFonts w:ascii="Arial" w:hAnsi="Arial" w:cs="Arial"/>
          <w:lang w:val="es-CO"/>
        </w:rPr>
      </w:pPr>
    </w:p>
    <w:p w14:paraId="71A0782F" w14:textId="77777777" w:rsidR="00B2442D" w:rsidRDefault="008A645F">
      <w:pPr>
        <w:jc w:val="both"/>
        <w:rPr>
          <w:rFonts w:ascii="Arial" w:hAnsi="Arial" w:cs="Arial"/>
          <w:lang w:val="es-CO"/>
        </w:rPr>
      </w:pPr>
      <w:r>
        <w:rPr>
          <w:rFonts w:ascii="Arial" w:hAnsi="Arial" w:cs="Arial"/>
          <w:lang w:val="es-CO"/>
        </w:rPr>
        <w:t>Cuando se realice un pago que corresponda a un rendimiento financiero vencido proveniente de un título de renta fija denominado en moneda extranjera en favor de un contribuyente del impuest</w:t>
      </w:r>
      <w:r>
        <w:rPr>
          <w:rFonts w:ascii="Arial" w:hAnsi="Arial" w:cs="Arial"/>
          <w:lang w:val="es-CO"/>
        </w:rPr>
        <w:t>o sobre la renta y complementario, que estando sujeto a retención en la fuente por este concepto no tenga la calidad de agente autorretenedor de rendimientos financieros, se aplicará el siguiente procedimiento para la práctica de la retención en la fuente:</w:t>
      </w:r>
    </w:p>
    <w:p w14:paraId="342F9245" w14:textId="77777777" w:rsidR="00B2442D" w:rsidRDefault="00B2442D">
      <w:pPr>
        <w:jc w:val="both"/>
        <w:rPr>
          <w:rFonts w:ascii="Arial" w:hAnsi="Arial" w:cs="Arial"/>
          <w:lang w:val="es-CO"/>
        </w:rPr>
      </w:pPr>
    </w:p>
    <w:p w14:paraId="200B29D3" w14:textId="77777777" w:rsidR="00B2442D" w:rsidRDefault="008A645F">
      <w:pPr>
        <w:jc w:val="both"/>
        <w:rPr>
          <w:rFonts w:ascii="Arial" w:hAnsi="Arial" w:cs="Arial"/>
          <w:lang w:val="es-CO"/>
        </w:rPr>
      </w:pPr>
      <w:r>
        <w:rPr>
          <w:rFonts w:ascii="Arial" w:hAnsi="Arial" w:cs="Arial"/>
          <w:b/>
          <w:lang w:val="es-CO"/>
        </w:rPr>
        <w:t>1. Pago de rendimientos financieros vencidos:</w:t>
      </w:r>
      <w:r>
        <w:rPr>
          <w:rFonts w:ascii="Arial" w:hAnsi="Arial" w:cs="Arial"/>
          <w:lang w:val="es-CO"/>
        </w:rPr>
        <w:t xml:space="preserve"> Cuando el tenedor de un título con pacto de pago de intereses vencidos denominado en moneda extranjera en fechas determinadas perciba el pago de intereses vencidos, la base de retención en la fuente será, seg</w:t>
      </w:r>
      <w:r>
        <w:rPr>
          <w:rFonts w:ascii="Arial" w:hAnsi="Arial" w:cs="Arial"/>
          <w:lang w:val="es-CO"/>
        </w:rPr>
        <w:t>ún sea el caso, la siguiente:</w:t>
      </w:r>
    </w:p>
    <w:p w14:paraId="67504570" w14:textId="77777777" w:rsidR="00B2442D" w:rsidRDefault="00B2442D">
      <w:pPr>
        <w:jc w:val="both"/>
        <w:rPr>
          <w:rFonts w:ascii="Arial" w:hAnsi="Arial" w:cs="Arial"/>
          <w:lang w:val="es-CO"/>
        </w:rPr>
      </w:pPr>
    </w:p>
    <w:p w14:paraId="0D84C5F6" w14:textId="77777777" w:rsidR="00B2442D" w:rsidRDefault="008A645F">
      <w:pPr>
        <w:jc w:val="both"/>
        <w:rPr>
          <w:rFonts w:ascii="Arial" w:hAnsi="Arial" w:cs="Arial"/>
          <w:lang w:val="es-CO"/>
        </w:rPr>
      </w:pPr>
      <w:r>
        <w:rPr>
          <w:rFonts w:ascii="Arial" w:hAnsi="Arial" w:cs="Arial"/>
          <w:lang w:val="es-CO"/>
        </w:rPr>
        <w:t>a) Cuando se mantenga el título durante todo el periodo para el pago de intereses vencidos, la base de retención será el valor de cada uno de los pagos de intereses vencidos pagados expresados en moneda extranjera, multiplica</w:t>
      </w:r>
      <w:r>
        <w:rPr>
          <w:rFonts w:ascii="Arial" w:hAnsi="Arial" w:cs="Arial"/>
          <w:lang w:val="es-CO"/>
        </w:rPr>
        <w:t>dos por la tasa representativa del mercado en la fecha del pago;</w:t>
      </w:r>
    </w:p>
    <w:p w14:paraId="39AB33E7" w14:textId="77777777" w:rsidR="00B2442D" w:rsidRDefault="00B2442D">
      <w:pPr>
        <w:jc w:val="both"/>
        <w:rPr>
          <w:rFonts w:ascii="Arial" w:hAnsi="Arial" w:cs="Arial"/>
          <w:lang w:val="es-CO"/>
        </w:rPr>
      </w:pPr>
    </w:p>
    <w:p w14:paraId="77F2EDF8" w14:textId="77777777" w:rsidR="00B2442D" w:rsidRDefault="008A645F">
      <w:pPr>
        <w:jc w:val="both"/>
        <w:rPr>
          <w:rFonts w:ascii="Arial" w:hAnsi="Arial" w:cs="Arial"/>
          <w:lang w:val="es-CO"/>
        </w:rPr>
      </w:pPr>
      <w:r>
        <w:rPr>
          <w:rFonts w:ascii="Arial" w:hAnsi="Arial" w:cs="Arial"/>
          <w:lang w:val="es-CO"/>
        </w:rPr>
        <w:t xml:space="preserve">b) Cuando se tenga el título durante una fracción del periodo para el pago de intereses vencidos y haya pago de los mismos, la base de retención en la fuente, será la proporción del pago </w:t>
      </w:r>
      <w:r>
        <w:rPr>
          <w:rFonts w:ascii="Arial" w:hAnsi="Arial" w:cs="Arial"/>
          <w:lang w:val="es-CO"/>
        </w:rPr>
        <w:t>de intereses vencidos causados desde la fecha de adquisición del título.</w:t>
      </w:r>
    </w:p>
    <w:p w14:paraId="3DA0471E" w14:textId="77777777" w:rsidR="00B2442D" w:rsidRDefault="00B2442D">
      <w:pPr>
        <w:jc w:val="both"/>
        <w:rPr>
          <w:rFonts w:ascii="Arial" w:hAnsi="Arial" w:cs="Arial"/>
          <w:lang w:val="es-CO"/>
        </w:rPr>
      </w:pPr>
    </w:p>
    <w:p w14:paraId="48D525D6" w14:textId="77777777" w:rsidR="00B2442D" w:rsidRDefault="008A645F">
      <w:pPr>
        <w:jc w:val="both"/>
        <w:rPr>
          <w:rFonts w:ascii="Arial" w:hAnsi="Arial" w:cs="Arial"/>
          <w:lang w:val="es-CO"/>
        </w:rPr>
      </w:pPr>
      <w:r>
        <w:rPr>
          <w:rFonts w:ascii="Arial" w:hAnsi="Arial" w:cs="Arial"/>
          <w:lang w:val="es-CO"/>
        </w:rPr>
        <w:t>Para estos efectos, la proporción del pago de intereses vencidos causados equivale a los intereses causados linealmente por el título desde su adquisición hasta la fecha de pago de i</w:t>
      </w:r>
      <w:r>
        <w:rPr>
          <w:rFonts w:ascii="Arial" w:hAnsi="Arial" w:cs="Arial"/>
          <w:lang w:val="es-CO"/>
        </w:rPr>
        <w:t>ntereses vencidos, correspondiente al valor total de los intereses del periodo a la tasa facial expresados en moneda extranjera, divididos por el número de días de dicho periodo, multiplicados por el número de días de tenencia del título, desde la fecha de</w:t>
      </w:r>
      <w:r>
        <w:rPr>
          <w:rFonts w:ascii="Arial" w:hAnsi="Arial" w:cs="Arial"/>
          <w:lang w:val="es-CO"/>
        </w:rPr>
        <w:t xml:space="preserve"> adquisición hasta el pago de intereses vencidos. El resultado de esta operación se multiplicará por la tasa representativa del mercado de la fecha en que se efectúe el pago correspondiente;</w:t>
      </w:r>
    </w:p>
    <w:p w14:paraId="341957B6" w14:textId="77777777" w:rsidR="00B2442D" w:rsidRDefault="00B2442D">
      <w:pPr>
        <w:jc w:val="both"/>
        <w:rPr>
          <w:rFonts w:ascii="Arial" w:hAnsi="Arial" w:cs="Arial"/>
          <w:lang w:val="es-CO"/>
        </w:rPr>
      </w:pPr>
    </w:p>
    <w:p w14:paraId="4B46BA35" w14:textId="77777777" w:rsidR="00B2442D" w:rsidRDefault="008A645F">
      <w:pPr>
        <w:jc w:val="both"/>
        <w:rPr>
          <w:rFonts w:ascii="Arial" w:hAnsi="Arial" w:cs="Arial"/>
          <w:lang w:val="es-CO"/>
        </w:rPr>
      </w:pPr>
      <w:r>
        <w:rPr>
          <w:rFonts w:ascii="Arial" w:hAnsi="Arial" w:cs="Arial"/>
          <w:lang w:val="es-CO"/>
        </w:rPr>
        <w:t xml:space="preserve">c) Los pagos de intereses vencidos en el vencimiento del título </w:t>
      </w:r>
      <w:r>
        <w:rPr>
          <w:rFonts w:ascii="Arial" w:hAnsi="Arial" w:cs="Arial"/>
          <w:lang w:val="es-CO"/>
        </w:rPr>
        <w:t>tendrán el mismo tratamiento establecido en los literales a y b de este numeral, según corresponda;</w:t>
      </w:r>
    </w:p>
    <w:p w14:paraId="73625BF7" w14:textId="77777777" w:rsidR="00B2442D" w:rsidRDefault="00B2442D">
      <w:pPr>
        <w:jc w:val="both"/>
        <w:rPr>
          <w:rFonts w:ascii="Arial" w:hAnsi="Arial" w:cs="Arial"/>
          <w:lang w:val="es-CO"/>
        </w:rPr>
      </w:pPr>
    </w:p>
    <w:p w14:paraId="1F6F1555" w14:textId="77777777" w:rsidR="00B2442D" w:rsidRDefault="008A645F">
      <w:pPr>
        <w:jc w:val="both"/>
        <w:rPr>
          <w:rFonts w:ascii="Arial" w:hAnsi="Arial" w:cs="Arial"/>
          <w:lang w:val="es-CO"/>
        </w:rPr>
      </w:pPr>
      <w:r>
        <w:rPr>
          <w:rFonts w:ascii="Arial" w:hAnsi="Arial" w:cs="Arial"/>
          <w:lang w:val="es-CO"/>
        </w:rPr>
        <w:t>d) En cualquiera de los casos de que trata este numeral, la retención en la fuente será practicada por el administrador de la emisión. En caso de que los p</w:t>
      </w:r>
      <w:r>
        <w:rPr>
          <w:rFonts w:ascii="Arial" w:hAnsi="Arial" w:cs="Arial"/>
          <w:lang w:val="es-CO"/>
        </w:rPr>
        <w:t>agos se efectuaran a los inversionistas de capital del exterior de portafolio de que trata el artículo 18-1 del Estatuto Tributario, la retención en la fuente será practicada por el administrador de la inversión de capital del exterior de portafolio.</w:t>
      </w:r>
    </w:p>
    <w:p w14:paraId="03922870" w14:textId="77777777" w:rsidR="00B2442D" w:rsidRDefault="00B2442D">
      <w:pPr>
        <w:jc w:val="both"/>
        <w:rPr>
          <w:rFonts w:ascii="Arial" w:hAnsi="Arial" w:cs="Arial"/>
          <w:b/>
          <w:lang w:val="es-CO"/>
        </w:rPr>
      </w:pPr>
    </w:p>
    <w:p w14:paraId="1925F9E7" w14:textId="77777777" w:rsidR="00B2442D" w:rsidRDefault="008A645F">
      <w:pPr>
        <w:jc w:val="both"/>
        <w:rPr>
          <w:rFonts w:ascii="Arial" w:hAnsi="Arial" w:cs="Arial"/>
          <w:b/>
          <w:lang w:val="es-CO"/>
        </w:rPr>
      </w:pPr>
      <w:r>
        <w:rPr>
          <w:rFonts w:ascii="Arial" w:hAnsi="Arial" w:cs="Arial"/>
          <w:b/>
          <w:lang w:val="es-CO"/>
        </w:rPr>
        <w:t>2. E</w:t>
      </w:r>
      <w:r>
        <w:rPr>
          <w:rFonts w:ascii="Arial" w:hAnsi="Arial" w:cs="Arial"/>
          <w:b/>
          <w:lang w:val="es-CO"/>
        </w:rPr>
        <w:t>najenaciones de títulos con intereses vencidos denominados en moneda extranjera:</w:t>
      </w:r>
    </w:p>
    <w:p w14:paraId="60F0C2A5" w14:textId="77777777" w:rsidR="00B2442D" w:rsidRDefault="00B2442D">
      <w:pPr>
        <w:jc w:val="both"/>
        <w:rPr>
          <w:rFonts w:ascii="Arial" w:hAnsi="Arial" w:cs="Arial"/>
          <w:lang w:val="es-CO"/>
        </w:rPr>
      </w:pPr>
    </w:p>
    <w:p w14:paraId="0F6828D5" w14:textId="77777777" w:rsidR="00B2442D" w:rsidRDefault="008A645F">
      <w:pPr>
        <w:jc w:val="both"/>
        <w:rPr>
          <w:rFonts w:ascii="Arial" w:hAnsi="Arial" w:cs="Arial"/>
          <w:lang w:val="es-CO"/>
        </w:rPr>
      </w:pPr>
      <w:r>
        <w:rPr>
          <w:rFonts w:ascii="Arial" w:hAnsi="Arial" w:cs="Arial"/>
          <w:lang w:val="es-CO"/>
        </w:rPr>
        <w:t>Cuando un agente no autorretenedor enajene un título con intereses vencidos denominados en moneda extranjera, la entidad financiera que actúe como intermediaria en la operaci</w:t>
      </w:r>
      <w:r>
        <w:rPr>
          <w:rFonts w:ascii="Arial" w:hAnsi="Arial" w:cs="Arial"/>
          <w:lang w:val="es-CO"/>
        </w:rPr>
        <w:t>ón o el administrador de la inversión de capital del exterior de portafolio de que trata el artículo 18-1 del Estatuto Tributario, será el agente de retención y seguirá las siguientes reglas:</w:t>
      </w:r>
    </w:p>
    <w:p w14:paraId="29F334A5" w14:textId="77777777" w:rsidR="00B2442D" w:rsidRDefault="00B2442D">
      <w:pPr>
        <w:jc w:val="both"/>
        <w:rPr>
          <w:rFonts w:ascii="Arial" w:hAnsi="Arial" w:cs="Arial"/>
          <w:lang w:val="es-CO"/>
        </w:rPr>
      </w:pPr>
    </w:p>
    <w:p w14:paraId="7237596F" w14:textId="77777777" w:rsidR="00B2442D" w:rsidRDefault="008A645F">
      <w:pPr>
        <w:jc w:val="both"/>
        <w:rPr>
          <w:rFonts w:ascii="Arial" w:hAnsi="Arial" w:cs="Arial"/>
          <w:lang w:val="es-CO"/>
        </w:rPr>
      </w:pPr>
      <w:r>
        <w:rPr>
          <w:rFonts w:ascii="Arial" w:hAnsi="Arial" w:cs="Arial"/>
          <w:lang w:val="es-CO"/>
        </w:rPr>
        <w:t>a) Enajenación de un título con intereses vencidos antes del pa</w:t>
      </w:r>
      <w:r>
        <w:rPr>
          <w:rFonts w:ascii="Arial" w:hAnsi="Arial" w:cs="Arial"/>
          <w:lang w:val="es-CO"/>
        </w:rPr>
        <w:t>go de intereses vencidos.</w:t>
      </w:r>
    </w:p>
    <w:p w14:paraId="506ED9B4" w14:textId="77777777" w:rsidR="00B2442D" w:rsidRDefault="00B2442D">
      <w:pPr>
        <w:jc w:val="both"/>
        <w:rPr>
          <w:rFonts w:ascii="Arial" w:hAnsi="Arial" w:cs="Arial"/>
          <w:lang w:val="es-CO"/>
        </w:rPr>
      </w:pPr>
    </w:p>
    <w:p w14:paraId="47A2BB43" w14:textId="77777777" w:rsidR="00B2442D" w:rsidRDefault="008A645F">
      <w:pPr>
        <w:jc w:val="both"/>
        <w:rPr>
          <w:rFonts w:ascii="Arial" w:hAnsi="Arial" w:cs="Arial"/>
          <w:lang w:val="es-CO"/>
        </w:rPr>
      </w:pPr>
      <w:r>
        <w:rPr>
          <w:rFonts w:ascii="Arial" w:hAnsi="Arial" w:cs="Arial"/>
          <w:lang w:val="es-CO"/>
        </w:rPr>
        <w:t>Cuando se enajene un título con intereses vencidos de denominación en moneda extranjera antes del primer pago de intereses vencidos desde la adquisición del título, la base de retención en la fuente será la diferencia entre el pr</w:t>
      </w:r>
      <w:r>
        <w:rPr>
          <w:rFonts w:ascii="Arial" w:hAnsi="Arial" w:cs="Arial"/>
          <w:lang w:val="es-CO"/>
        </w:rPr>
        <w:t>ecio de enajenación y el precio de adquisición del título expresados ambos en moneda extranjera. Esta diferencia se multiplicará por el valor de la tasa representativa del mercado en la fecha en que se perfeccione la correspondiente operación;</w:t>
      </w:r>
    </w:p>
    <w:p w14:paraId="48F6D042" w14:textId="77777777" w:rsidR="00B2442D" w:rsidRDefault="00B2442D">
      <w:pPr>
        <w:jc w:val="both"/>
        <w:rPr>
          <w:rFonts w:ascii="Arial" w:hAnsi="Arial" w:cs="Arial"/>
          <w:lang w:val="es-CO"/>
        </w:rPr>
      </w:pPr>
    </w:p>
    <w:p w14:paraId="3FA0426D" w14:textId="77777777" w:rsidR="00B2442D" w:rsidRDefault="008A645F">
      <w:pPr>
        <w:jc w:val="both"/>
        <w:rPr>
          <w:rFonts w:ascii="Arial" w:hAnsi="Arial" w:cs="Arial"/>
          <w:lang w:val="es-CO"/>
        </w:rPr>
      </w:pPr>
      <w:r>
        <w:rPr>
          <w:rFonts w:ascii="Arial" w:hAnsi="Arial" w:cs="Arial"/>
          <w:lang w:val="es-CO"/>
        </w:rPr>
        <w:t>b) Enajenac</w:t>
      </w:r>
      <w:r>
        <w:rPr>
          <w:rFonts w:ascii="Arial" w:hAnsi="Arial" w:cs="Arial"/>
          <w:lang w:val="es-CO"/>
        </w:rPr>
        <w:t>ión de un título con intereses vencidos posterior al pago de intereses vencidos:</w:t>
      </w:r>
    </w:p>
    <w:p w14:paraId="02213042" w14:textId="77777777" w:rsidR="00B2442D" w:rsidRDefault="00B2442D">
      <w:pPr>
        <w:jc w:val="both"/>
        <w:rPr>
          <w:rFonts w:ascii="Arial" w:hAnsi="Arial" w:cs="Arial"/>
          <w:lang w:val="es-CO"/>
        </w:rPr>
      </w:pPr>
    </w:p>
    <w:p w14:paraId="4E451397" w14:textId="77777777" w:rsidR="00B2442D" w:rsidRDefault="008A645F">
      <w:pPr>
        <w:jc w:val="both"/>
        <w:rPr>
          <w:rFonts w:ascii="Arial" w:hAnsi="Arial" w:cs="Arial"/>
          <w:lang w:val="es-CO"/>
        </w:rPr>
      </w:pPr>
      <w:r>
        <w:rPr>
          <w:rFonts w:ascii="Arial" w:hAnsi="Arial" w:cs="Arial"/>
          <w:lang w:val="es-CO"/>
        </w:rPr>
        <w:t xml:space="preserve">Si el título con intereses vencidos se enajena después de que el tenedor del título ha percibido el pago de uno o varios pagos de intereses vencidos, la base de retención en </w:t>
      </w:r>
      <w:r>
        <w:rPr>
          <w:rFonts w:ascii="Arial" w:hAnsi="Arial" w:cs="Arial"/>
          <w:lang w:val="es-CO"/>
        </w:rPr>
        <w:t>la fuente será la diferencia entre el precio de enajenación y el precio de adquisición menos los intereses causados linealmente desde la fecha de colocación o del último pago de intereses vencidos antes de la adquisición del título de parte del enajenante,</w:t>
      </w:r>
      <w:r>
        <w:rPr>
          <w:rFonts w:ascii="Arial" w:hAnsi="Arial" w:cs="Arial"/>
          <w:lang w:val="es-CO"/>
        </w:rPr>
        <w:t xml:space="preserve"> todos estos valores expresados en moneda extranjera.</w:t>
      </w:r>
    </w:p>
    <w:p w14:paraId="4B0D69DD" w14:textId="77777777" w:rsidR="00B2442D" w:rsidRDefault="00B2442D">
      <w:pPr>
        <w:jc w:val="both"/>
        <w:rPr>
          <w:rFonts w:ascii="Arial" w:hAnsi="Arial" w:cs="Arial"/>
          <w:lang w:val="es-CO"/>
        </w:rPr>
      </w:pPr>
    </w:p>
    <w:p w14:paraId="5CA3243E" w14:textId="77777777" w:rsidR="00B2442D" w:rsidRDefault="008A645F">
      <w:pPr>
        <w:jc w:val="both"/>
        <w:rPr>
          <w:rFonts w:ascii="Arial" w:hAnsi="Arial" w:cs="Arial"/>
          <w:lang w:val="es-CO"/>
        </w:rPr>
      </w:pPr>
      <w:r>
        <w:rPr>
          <w:rFonts w:ascii="Arial" w:hAnsi="Arial" w:cs="Arial"/>
          <w:lang w:val="es-CO"/>
        </w:rPr>
        <w:t>El valor resultante se multiplica por el valor de la tasa representativa del mercado en la fecha en que se perfeccione la correspondiente operación;</w:t>
      </w:r>
    </w:p>
    <w:p w14:paraId="79B23A02" w14:textId="77777777" w:rsidR="00B2442D" w:rsidRDefault="00B2442D">
      <w:pPr>
        <w:jc w:val="both"/>
        <w:rPr>
          <w:rFonts w:ascii="Arial" w:hAnsi="Arial" w:cs="Arial"/>
          <w:lang w:val="es-CO"/>
        </w:rPr>
      </w:pPr>
    </w:p>
    <w:p w14:paraId="4568569D" w14:textId="77777777" w:rsidR="00B2442D" w:rsidRDefault="008A645F">
      <w:pPr>
        <w:jc w:val="both"/>
        <w:rPr>
          <w:rFonts w:ascii="Arial" w:hAnsi="Arial" w:cs="Arial"/>
          <w:lang w:val="es-CO"/>
        </w:rPr>
      </w:pPr>
      <w:r>
        <w:rPr>
          <w:rFonts w:ascii="Arial" w:hAnsi="Arial" w:cs="Arial"/>
          <w:lang w:val="es-CO"/>
        </w:rPr>
        <w:t>c) En caso de que las diferencias mencionadas en es</w:t>
      </w:r>
      <w:r>
        <w:rPr>
          <w:rFonts w:ascii="Arial" w:hAnsi="Arial" w:cs="Arial"/>
          <w:lang w:val="es-CO"/>
        </w:rPr>
        <w:t>te numeral sean negativas, estas serán consideradas como pérdidas y recibirán el tratamiento previsto para ellas en el Estatuto Tributario atendiendo el tipo de inversionista.</w:t>
      </w:r>
    </w:p>
    <w:p w14:paraId="4ECF907D" w14:textId="77777777" w:rsidR="00B2442D" w:rsidRDefault="00B2442D">
      <w:pPr>
        <w:jc w:val="both"/>
        <w:rPr>
          <w:rFonts w:ascii="Arial" w:hAnsi="Arial" w:cs="Arial"/>
          <w:lang w:val="es-CO"/>
        </w:rPr>
      </w:pPr>
    </w:p>
    <w:p w14:paraId="0BE6E1E2" w14:textId="77777777" w:rsidR="00B2442D" w:rsidRDefault="008A645F">
      <w:pPr>
        <w:jc w:val="both"/>
        <w:rPr>
          <w:rFonts w:ascii="Arial" w:hAnsi="Arial" w:cs="Arial"/>
          <w:lang w:val="es-CO"/>
        </w:rPr>
      </w:pPr>
      <w:r>
        <w:rPr>
          <w:rFonts w:ascii="Arial" w:hAnsi="Arial" w:cs="Arial"/>
          <w:lang w:val="es-CO"/>
        </w:rPr>
        <w:t>La retención en la fuente de que trata este numeral será practicada por el inte</w:t>
      </w:r>
      <w:r>
        <w:rPr>
          <w:rFonts w:ascii="Arial" w:hAnsi="Arial" w:cs="Arial"/>
          <w:lang w:val="es-CO"/>
        </w:rPr>
        <w:t>rmediario de la operación de parte del comprador del título, por el administrador de la inversión de capital del exterior de portafolio, si el enajenante del título fuere un inversionista de capital del exterior de portafolio, de conformidad con lo estable</w:t>
      </w:r>
      <w:r>
        <w:rPr>
          <w:rFonts w:ascii="Arial" w:hAnsi="Arial" w:cs="Arial"/>
          <w:lang w:val="es-CO"/>
        </w:rPr>
        <w:t>cido en el artículo 18-1 del Estatuto Tributario, o por el custodio de valores cuando este exista y sea responsable del cumplimiento de obligaciones tributarias de conformidad con lo establecido con el custodiado.</w:t>
      </w:r>
    </w:p>
    <w:p w14:paraId="33743FBE" w14:textId="77777777" w:rsidR="00B2442D" w:rsidRDefault="00B2442D">
      <w:pPr>
        <w:jc w:val="both"/>
        <w:rPr>
          <w:rFonts w:ascii="Arial" w:hAnsi="Arial" w:cs="Arial"/>
          <w:lang w:val="es-CO"/>
        </w:rPr>
      </w:pPr>
    </w:p>
    <w:p w14:paraId="0DBE2F0C" w14:textId="77777777" w:rsidR="00B2442D" w:rsidRDefault="008A645F">
      <w:pPr>
        <w:jc w:val="both"/>
        <w:rPr>
          <w:rFonts w:ascii="Arial" w:hAnsi="Arial" w:cs="Arial"/>
          <w:lang w:val="es-CO"/>
        </w:rPr>
      </w:pPr>
      <w:r>
        <w:rPr>
          <w:rFonts w:ascii="Arial" w:hAnsi="Arial" w:cs="Arial"/>
          <w:i/>
          <w:lang w:val="es-CO"/>
        </w:rPr>
        <w:t xml:space="preserve">(Art. 5, Decreto 558 de 1999, modificado </w:t>
      </w:r>
      <w:r>
        <w:rPr>
          <w:rFonts w:ascii="Arial" w:hAnsi="Arial" w:cs="Arial"/>
          <w:i/>
          <w:lang w:val="es-CO"/>
        </w:rPr>
        <w:t>por el artículo 3° del Decreto 3025 de 2013)</w:t>
      </w:r>
      <w:r>
        <w:rPr>
          <w:rFonts w:ascii="Arial" w:hAnsi="Arial" w:cs="Arial"/>
        </w:rPr>
        <w:t xml:space="preserve"> (</w:t>
      </w:r>
      <w:r>
        <w:rPr>
          <w:rFonts w:ascii="Arial" w:hAnsi="Arial" w:cs="Arial"/>
          <w:i/>
          <w:lang w:val="es-CO"/>
        </w:rPr>
        <w:t>El Decreto 558 de 1999 rige a partir del 1</w:t>
      </w:r>
      <w:r>
        <w:rPr>
          <w:rFonts w:ascii="Arial" w:hAnsi="Arial" w:cs="Arial"/>
          <w:i/>
          <w:lang w:val="es-CO"/>
        </w:rPr>
        <w:t> de abril de 1999 y deroga las disposiciones que le sean contrarias. Art. 10, Decreto 558 de 1999)</w:t>
      </w:r>
    </w:p>
    <w:p w14:paraId="541F9CBA" w14:textId="77777777" w:rsidR="00B2442D" w:rsidRDefault="00B2442D">
      <w:pPr>
        <w:jc w:val="both"/>
        <w:rPr>
          <w:rFonts w:ascii="Arial" w:hAnsi="Arial" w:cs="Arial"/>
          <w:lang w:val="es-CO"/>
        </w:rPr>
      </w:pPr>
    </w:p>
    <w:p w14:paraId="5BCC5C57"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 de enajenación.</w:t>
      </w:r>
      <w:r>
        <w:rPr>
          <w:rFonts w:ascii="Arial" w:hAnsi="Arial" w:cs="Arial"/>
          <w:lang w:val="es-CO"/>
        </w:rPr>
        <w:t xml:space="preserve"> Cuando de conformidad con lo previsto en el artículo 1.2.4.2.36 del presente Decreto, haya lugar a la expedición de la constancia de enajenación, esta deberá indicar el precio de enajenación o de registro, o de compra, en moneda extranjera.</w:t>
      </w:r>
    </w:p>
    <w:p w14:paraId="49FF6E77" w14:textId="77777777" w:rsidR="00B2442D" w:rsidRDefault="00B2442D">
      <w:pPr>
        <w:jc w:val="both"/>
        <w:rPr>
          <w:rFonts w:ascii="Arial" w:hAnsi="Arial" w:cs="Arial"/>
          <w:lang w:val="es-CO"/>
        </w:rPr>
      </w:pPr>
    </w:p>
    <w:p w14:paraId="673DA48B" w14:textId="77777777" w:rsidR="00B2442D" w:rsidRDefault="008A645F">
      <w:pPr>
        <w:jc w:val="both"/>
        <w:rPr>
          <w:rFonts w:ascii="Arial" w:hAnsi="Arial" w:cs="Arial"/>
          <w:i/>
          <w:lang w:val="es-CO"/>
        </w:rPr>
      </w:pPr>
      <w:r>
        <w:rPr>
          <w:rFonts w:ascii="Arial" w:hAnsi="Arial" w:cs="Arial"/>
          <w:i/>
          <w:lang w:val="es-CO"/>
        </w:rPr>
        <w:t>(Art. 8, Decr</w:t>
      </w:r>
      <w:r>
        <w:rPr>
          <w:rFonts w:ascii="Arial" w:hAnsi="Arial" w:cs="Arial"/>
          <w:i/>
          <w:lang w:val="es-CO"/>
        </w:rPr>
        <w:t>eto 558 de 1999)</w:t>
      </w:r>
      <w:r>
        <w:rPr>
          <w:rFonts w:ascii="Arial" w:hAnsi="Arial" w:cs="Arial"/>
        </w:rPr>
        <w:t xml:space="preserve"> (</w:t>
      </w:r>
      <w:r>
        <w:rPr>
          <w:rFonts w:ascii="Arial" w:hAnsi="Arial" w:cs="Arial"/>
          <w:i/>
          <w:lang w:val="es-CO"/>
        </w:rPr>
        <w:t>El Decreto 558 de 1999 rige a partir del 1 de abril de 1999 y deroga las disposiciones que le sean contrarias. Art. 10, Decreto 558 de 1999)</w:t>
      </w:r>
    </w:p>
    <w:p w14:paraId="42DE561E" w14:textId="77777777" w:rsidR="00B2442D" w:rsidRDefault="00B2442D">
      <w:pPr>
        <w:jc w:val="both"/>
        <w:rPr>
          <w:rFonts w:ascii="Arial" w:hAnsi="Arial" w:cs="Arial"/>
          <w:lang w:val="es-CO"/>
        </w:rPr>
      </w:pPr>
    </w:p>
    <w:p w14:paraId="669A8CC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Remisión.</w:t>
      </w:r>
      <w:r>
        <w:rPr>
          <w:rFonts w:ascii="Arial" w:hAnsi="Arial" w:cs="Arial"/>
          <w:lang w:val="es-CO"/>
        </w:rPr>
        <w:t xml:space="preserve"> En todo aquello no previsto o regulado de manera especial en el presente decreto para</w:t>
      </w:r>
      <w:r>
        <w:rPr>
          <w:rFonts w:ascii="Arial" w:hAnsi="Arial" w:cs="Arial"/>
          <w:lang w:val="es-CO"/>
        </w:rPr>
        <w:t xml:space="preserve"> los títulos de denominación extranjera con intereses vencidos, se aplicará lo dispuesto en los artículos 1.2.4.2.9 al 1.2.4.2.49 del presente Decreto, y demás normas que lo modifiquen, sustituyan o deroguen, siempre y cuando dichas normas no resulten cont</w:t>
      </w:r>
      <w:r>
        <w:rPr>
          <w:rFonts w:ascii="Arial" w:hAnsi="Arial" w:cs="Arial"/>
          <w:lang w:val="es-CO"/>
        </w:rPr>
        <w:t>rarias a la naturaleza de estos títulos.</w:t>
      </w:r>
    </w:p>
    <w:p w14:paraId="52175388" w14:textId="77777777" w:rsidR="00B2442D" w:rsidRDefault="00B2442D">
      <w:pPr>
        <w:jc w:val="both"/>
        <w:rPr>
          <w:rFonts w:ascii="Arial" w:hAnsi="Arial" w:cs="Arial"/>
          <w:lang w:val="es-CO"/>
        </w:rPr>
      </w:pPr>
    </w:p>
    <w:p w14:paraId="63EC6CCF" w14:textId="77777777" w:rsidR="00B2442D" w:rsidRDefault="008A645F">
      <w:pPr>
        <w:jc w:val="both"/>
        <w:rPr>
          <w:rFonts w:ascii="Arial" w:hAnsi="Arial" w:cs="Arial"/>
          <w:lang w:val="es-CO"/>
        </w:rPr>
      </w:pPr>
      <w:r>
        <w:rPr>
          <w:rFonts w:ascii="Arial" w:hAnsi="Arial" w:cs="Arial"/>
          <w:i/>
          <w:lang w:val="es-CO"/>
        </w:rPr>
        <w:t>(Art. 9, Decreto 558 de 1999)</w:t>
      </w:r>
      <w:r>
        <w:rPr>
          <w:rFonts w:ascii="Arial" w:hAnsi="Arial" w:cs="Arial"/>
        </w:rPr>
        <w:t xml:space="preserve"> (</w:t>
      </w:r>
      <w:r>
        <w:rPr>
          <w:rFonts w:ascii="Arial" w:hAnsi="Arial" w:cs="Arial"/>
          <w:i/>
          <w:lang w:val="es-CO"/>
        </w:rPr>
        <w:t>El Decreto 558 de 1999 rige a partir del 1</w:t>
      </w:r>
      <w:r>
        <w:rPr>
          <w:rFonts w:ascii="Arial" w:hAnsi="Arial" w:cs="Arial"/>
          <w:i/>
          <w:lang w:val="es-CO"/>
        </w:rPr>
        <w:t> de abril de 1999 y deroga las disposiciones que le sean contrarias. Art. 10, Decreto 558 de 1999)</w:t>
      </w:r>
    </w:p>
    <w:p w14:paraId="00172A54" w14:textId="77777777" w:rsidR="00B2442D" w:rsidRDefault="00B2442D">
      <w:pPr>
        <w:jc w:val="both"/>
        <w:rPr>
          <w:rFonts w:ascii="Arial" w:hAnsi="Arial" w:cs="Arial"/>
          <w:b/>
          <w:lang w:val="es-CO"/>
        </w:rPr>
      </w:pPr>
    </w:p>
    <w:p w14:paraId="13BF85E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Autorretención y retención en la fuente</w:t>
      </w:r>
      <w:r>
        <w:rPr>
          <w:rFonts w:ascii="Arial" w:hAnsi="Arial" w:cs="Arial"/>
          <w:b/>
          <w:i/>
          <w:lang w:val="es-CO"/>
        </w:rPr>
        <w:t xml:space="preserve"> sobre rendimientos financieros vencidos provenientes de títulos de denominación en unidades de valor real constante.</w:t>
      </w:r>
      <w:r>
        <w:rPr>
          <w:rFonts w:ascii="Arial" w:hAnsi="Arial" w:cs="Arial"/>
          <w:b/>
          <w:lang w:val="es-CO"/>
        </w:rPr>
        <w:t xml:space="preserve"> </w:t>
      </w:r>
      <w:r>
        <w:rPr>
          <w:rFonts w:ascii="Arial" w:hAnsi="Arial" w:cs="Arial"/>
          <w:lang w:val="es-CO"/>
        </w:rPr>
        <w:t>La retención en la fuente por concepto de los rendimientos financieros provenientes de títulos de denominación en unidades de valor real c</w:t>
      </w:r>
      <w:r>
        <w:rPr>
          <w:rFonts w:ascii="Arial" w:hAnsi="Arial" w:cs="Arial"/>
          <w:lang w:val="es-CO"/>
        </w:rPr>
        <w:t xml:space="preserve">onstante, con intereses vencidos, o generados en sus enajenaciones, se causará y practicará conforme a las reglas previstas en los artículos 1.2.4.2.60 y 1.2.4.2.62 del presente Decreto para rendimientos financieros provenientes de títulos de denominación </w:t>
      </w:r>
      <w:r>
        <w:rPr>
          <w:rFonts w:ascii="Arial" w:hAnsi="Arial" w:cs="Arial"/>
          <w:lang w:val="es-CO"/>
        </w:rPr>
        <w:t>en moneda extranjera.</w:t>
      </w:r>
    </w:p>
    <w:p w14:paraId="35818B6C" w14:textId="77777777" w:rsidR="00B2442D" w:rsidRDefault="00B2442D">
      <w:pPr>
        <w:jc w:val="both"/>
        <w:rPr>
          <w:rFonts w:ascii="Arial" w:hAnsi="Arial" w:cs="Arial"/>
          <w:lang w:val="es-CO"/>
        </w:rPr>
      </w:pPr>
    </w:p>
    <w:p w14:paraId="45CE89D1" w14:textId="77777777" w:rsidR="00B2442D" w:rsidRDefault="008A645F">
      <w:pPr>
        <w:jc w:val="both"/>
        <w:rPr>
          <w:rFonts w:ascii="Arial" w:hAnsi="Arial" w:cs="Arial"/>
          <w:lang w:val="es-CO"/>
        </w:rPr>
      </w:pPr>
      <w:r>
        <w:rPr>
          <w:rFonts w:ascii="Arial" w:hAnsi="Arial" w:cs="Arial"/>
          <w:i/>
          <w:lang w:val="es-CO"/>
        </w:rPr>
        <w:t>(Art. 1, Decreto 1033 de 1999)</w:t>
      </w:r>
    </w:p>
    <w:p w14:paraId="1F89E78D" w14:textId="77777777" w:rsidR="00B2442D" w:rsidRDefault="00B2442D">
      <w:pPr>
        <w:jc w:val="both"/>
        <w:rPr>
          <w:rFonts w:ascii="Arial" w:hAnsi="Arial" w:cs="Arial"/>
          <w:b/>
          <w:lang w:val="es-CO"/>
        </w:rPr>
      </w:pPr>
    </w:p>
    <w:p w14:paraId="0884D0C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Conceptos.</w:t>
      </w:r>
      <w:r>
        <w:rPr>
          <w:rFonts w:ascii="Arial" w:hAnsi="Arial" w:cs="Arial"/>
          <w:lang w:val="es-CO"/>
        </w:rPr>
        <w:t xml:space="preserve"> Para efectos de los artículos 1.2.4.2.67 al 1.2.4.2.73 del presente Decreto se entiende por:</w:t>
      </w:r>
    </w:p>
    <w:p w14:paraId="6A4A6A36" w14:textId="77777777" w:rsidR="00B2442D" w:rsidRDefault="00B2442D">
      <w:pPr>
        <w:jc w:val="both"/>
        <w:rPr>
          <w:rFonts w:ascii="Arial" w:hAnsi="Arial" w:cs="Arial"/>
          <w:lang w:val="es-CO"/>
        </w:rPr>
      </w:pPr>
    </w:p>
    <w:p w14:paraId="43D9867D" w14:textId="77777777" w:rsidR="00B2442D" w:rsidRDefault="008A645F">
      <w:pPr>
        <w:ind w:left="284" w:hanging="284"/>
        <w:jc w:val="both"/>
        <w:rPr>
          <w:rFonts w:ascii="Arial" w:hAnsi="Arial" w:cs="Arial"/>
          <w:lang w:val="es-CO"/>
        </w:rPr>
      </w:pPr>
      <w:r>
        <w:rPr>
          <w:rFonts w:ascii="Arial" w:hAnsi="Arial" w:cs="Arial"/>
          <w:b/>
          <w:lang w:val="es-CO"/>
        </w:rPr>
        <w:t>1.</w:t>
      </w:r>
      <w:r>
        <w:rPr>
          <w:rFonts w:ascii="Arial" w:hAnsi="Arial" w:cs="Arial"/>
          <w:b/>
          <w:lang w:val="es-CO"/>
        </w:rPr>
        <w:tab/>
      </w:r>
      <w:r>
        <w:rPr>
          <w:rFonts w:ascii="Arial" w:hAnsi="Arial" w:cs="Arial"/>
          <w:b/>
          <w:lang w:val="es-CO"/>
        </w:rPr>
        <w:t xml:space="preserve">Títulos de denominación en unidades de valor real constante: </w:t>
      </w:r>
      <w:r>
        <w:rPr>
          <w:rFonts w:ascii="Arial" w:hAnsi="Arial" w:cs="Arial"/>
          <w:lang w:val="es-CO"/>
        </w:rPr>
        <w:t xml:space="preserve">Aquellos cuyo valor nominal y/o intereses y/o descuentos son expresados en unidades de valor real constante y exigen para su reexpresión en moneda legal colombiana la utilización del valor de la </w:t>
      </w:r>
      <w:r>
        <w:rPr>
          <w:rFonts w:ascii="Arial" w:hAnsi="Arial" w:cs="Arial"/>
          <w:lang w:val="es-CO"/>
        </w:rPr>
        <w:t>Unidad de Valor Real Constante – UVR vigente al momento de su redención.</w:t>
      </w:r>
    </w:p>
    <w:p w14:paraId="0B094055" w14:textId="77777777" w:rsidR="00B2442D" w:rsidRDefault="00B2442D">
      <w:pPr>
        <w:ind w:left="284" w:hanging="284"/>
        <w:jc w:val="both"/>
        <w:rPr>
          <w:rFonts w:ascii="Arial" w:hAnsi="Arial" w:cs="Arial"/>
          <w:lang w:val="es-CO"/>
        </w:rPr>
      </w:pPr>
    </w:p>
    <w:p w14:paraId="7CF5A4F6" w14:textId="77777777" w:rsidR="00B2442D" w:rsidRDefault="008A645F">
      <w:pPr>
        <w:ind w:left="284" w:hanging="284"/>
        <w:jc w:val="both"/>
        <w:rPr>
          <w:rFonts w:ascii="Arial" w:hAnsi="Arial" w:cs="Arial"/>
          <w:lang w:val="es-CO"/>
        </w:rPr>
      </w:pPr>
      <w:r>
        <w:rPr>
          <w:rFonts w:ascii="Arial" w:hAnsi="Arial" w:cs="Arial"/>
          <w:b/>
          <w:lang w:val="es-CO"/>
        </w:rPr>
        <w:t>2.</w:t>
      </w:r>
      <w:r>
        <w:rPr>
          <w:rFonts w:ascii="Arial" w:hAnsi="Arial" w:cs="Arial"/>
          <w:b/>
          <w:lang w:val="es-CO"/>
        </w:rPr>
        <w:tab/>
        <w:t xml:space="preserve">Intereses expresados en unidades de valor real constante: </w:t>
      </w:r>
      <w:r>
        <w:rPr>
          <w:rFonts w:ascii="Arial" w:hAnsi="Arial" w:cs="Arial"/>
          <w:lang w:val="es-CO"/>
        </w:rPr>
        <w:t>Valor en unidades de valor real constante, resultante de aplicar la tasa facial del título al valor nominal del mismo exp</w:t>
      </w:r>
      <w:r>
        <w:rPr>
          <w:rFonts w:ascii="Arial" w:hAnsi="Arial" w:cs="Arial"/>
          <w:lang w:val="es-CO"/>
        </w:rPr>
        <w:t>resado en unidades de valor real constante.</w:t>
      </w:r>
    </w:p>
    <w:p w14:paraId="76C67863" w14:textId="77777777" w:rsidR="00B2442D" w:rsidRDefault="00B2442D">
      <w:pPr>
        <w:ind w:left="284" w:hanging="284"/>
        <w:jc w:val="both"/>
        <w:rPr>
          <w:rFonts w:ascii="Arial" w:hAnsi="Arial" w:cs="Arial"/>
          <w:lang w:val="es-CO"/>
        </w:rPr>
      </w:pPr>
    </w:p>
    <w:p w14:paraId="37055418" w14:textId="77777777" w:rsidR="00B2442D" w:rsidRDefault="008A645F">
      <w:pPr>
        <w:ind w:left="284" w:hanging="284"/>
        <w:jc w:val="both"/>
        <w:rPr>
          <w:rFonts w:ascii="Arial" w:hAnsi="Arial" w:cs="Arial"/>
          <w:lang w:val="es-CO"/>
        </w:rPr>
      </w:pPr>
      <w:r>
        <w:rPr>
          <w:rFonts w:ascii="Arial" w:hAnsi="Arial" w:cs="Arial"/>
          <w:b/>
          <w:lang w:val="es-CO"/>
        </w:rPr>
        <w:t>3.</w:t>
      </w:r>
      <w:r>
        <w:rPr>
          <w:rFonts w:ascii="Arial" w:hAnsi="Arial" w:cs="Arial"/>
          <w:b/>
          <w:lang w:val="es-CO"/>
        </w:rPr>
        <w:tab/>
        <w:t xml:space="preserve">Precio expresado en unidades de valor real constante: </w:t>
      </w:r>
      <w:r>
        <w:rPr>
          <w:rFonts w:ascii="Arial" w:hAnsi="Arial" w:cs="Arial"/>
          <w:lang w:val="es-CO"/>
        </w:rPr>
        <w:t>Valor en unidades de valor real constante, resultante de dividir el precio pagado en moneda legal colombiana por el valor de la unidad de valor real const</w:t>
      </w:r>
      <w:r>
        <w:rPr>
          <w:rFonts w:ascii="Arial" w:hAnsi="Arial" w:cs="Arial"/>
          <w:lang w:val="es-CO"/>
        </w:rPr>
        <w:t>ante – UVR al momento de la compra o enajenación según corresponda.</w:t>
      </w:r>
    </w:p>
    <w:p w14:paraId="6277E65F" w14:textId="77777777" w:rsidR="00B2442D" w:rsidRDefault="00B2442D">
      <w:pPr>
        <w:ind w:left="284" w:hanging="284"/>
        <w:jc w:val="both"/>
        <w:rPr>
          <w:rFonts w:ascii="Arial" w:hAnsi="Arial" w:cs="Arial"/>
          <w:lang w:val="es-CO"/>
        </w:rPr>
      </w:pPr>
    </w:p>
    <w:p w14:paraId="2CCDB98F" w14:textId="77777777" w:rsidR="00B2442D" w:rsidRDefault="008A645F">
      <w:pPr>
        <w:ind w:left="284" w:hanging="284"/>
        <w:jc w:val="both"/>
        <w:rPr>
          <w:rFonts w:ascii="Arial" w:hAnsi="Arial" w:cs="Arial"/>
          <w:lang w:val="es-CO"/>
        </w:rPr>
      </w:pPr>
      <w:r>
        <w:rPr>
          <w:rFonts w:ascii="Arial" w:hAnsi="Arial" w:cs="Arial"/>
          <w:b/>
          <w:lang w:val="es-CO"/>
        </w:rPr>
        <w:t>4.</w:t>
      </w:r>
      <w:r>
        <w:rPr>
          <w:rFonts w:ascii="Arial" w:hAnsi="Arial" w:cs="Arial"/>
          <w:b/>
          <w:lang w:val="es-CO"/>
        </w:rPr>
        <w:tab/>
        <w:t xml:space="preserve">Unidad de valor real constante - UVR: </w:t>
      </w:r>
      <w:r>
        <w:rPr>
          <w:rFonts w:ascii="Arial" w:hAnsi="Arial" w:cs="Arial"/>
          <w:lang w:val="es-CO"/>
        </w:rPr>
        <w:t>Unidad de medida que, en razón de la evolución de su valor en moneda legal colombiana con base en la variación del índice de precios al consumidor</w:t>
      </w:r>
      <w:r>
        <w:rPr>
          <w:rFonts w:ascii="Arial" w:hAnsi="Arial" w:cs="Arial"/>
          <w:lang w:val="es-CO"/>
        </w:rPr>
        <w:t>, reconoce la variación en el poder adquisitivo de la moneda legal colombiana. El valor de la unidad de valor real constante – UVR se determinará de acuerdo con el procedimiento que señale el Gobierno nacional.</w:t>
      </w:r>
    </w:p>
    <w:p w14:paraId="6B545DC4" w14:textId="77777777" w:rsidR="00B2442D" w:rsidRDefault="00B2442D">
      <w:pPr>
        <w:ind w:left="284" w:hanging="284"/>
        <w:jc w:val="both"/>
        <w:rPr>
          <w:rFonts w:ascii="Arial" w:hAnsi="Arial" w:cs="Arial"/>
          <w:lang w:val="es-CO"/>
        </w:rPr>
      </w:pPr>
    </w:p>
    <w:p w14:paraId="1E9E1899" w14:textId="77777777" w:rsidR="00B2442D" w:rsidRDefault="008A645F">
      <w:pPr>
        <w:ind w:left="284" w:hanging="284"/>
        <w:jc w:val="both"/>
        <w:rPr>
          <w:rFonts w:ascii="Arial" w:hAnsi="Arial" w:cs="Arial"/>
          <w:lang w:val="es-CO"/>
        </w:rPr>
      </w:pPr>
      <w:r>
        <w:rPr>
          <w:rFonts w:ascii="Arial" w:hAnsi="Arial" w:cs="Arial"/>
          <w:b/>
          <w:lang w:val="es-CO"/>
        </w:rPr>
        <w:t>5.</w:t>
      </w:r>
      <w:r>
        <w:rPr>
          <w:rFonts w:ascii="Arial" w:hAnsi="Arial" w:cs="Arial"/>
          <w:b/>
          <w:lang w:val="es-CO"/>
        </w:rPr>
        <w:tab/>
        <w:t xml:space="preserve">Pago de intereses: </w:t>
      </w:r>
      <w:r>
        <w:rPr>
          <w:rFonts w:ascii="Arial" w:hAnsi="Arial" w:cs="Arial"/>
          <w:lang w:val="es-CO"/>
        </w:rPr>
        <w:t>Pago o abono en cuenta</w:t>
      </w:r>
      <w:r>
        <w:rPr>
          <w:rFonts w:ascii="Arial" w:hAnsi="Arial" w:cs="Arial"/>
          <w:lang w:val="es-CO"/>
        </w:rPr>
        <w:t xml:space="preserve"> del total de los intereses de un periodo realizado el día del vencimiento del respectivo periodo.</w:t>
      </w:r>
    </w:p>
    <w:p w14:paraId="32226ABE" w14:textId="77777777" w:rsidR="00B2442D" w:rsidRDefault="00B2442D">
      <w:pPr>
        <w:jc w:val="both"/>
        <w:rPr>
          <w:rFonts w:ascii="Arial" w:hAnsi="Arial" w:cs="Arial"/>
          <w:lang w:val="es-CO"/>
        </w:rPr>
      </w:pPr>
    </w:p>
    <w:p w14:paraId="6D65C799" w14:textId="77777777" w:rsidR="00B2442D" w:rsidRDefault="008A645F">
      <w:pPr>
        <w:jc w:val="both"/>
        <w:rPr>
          <w:rFonts w:ascii="Arial" w:hAnsi="Arial" w:cs="Arial"/>
          <w:lang w:val="es-CO"/>
        </w:rPr>
      </w:pPr>
      <w:r>
        <w:rPr>
          <w:rFonts w:ascii="Arial" w:hAnsi="Arial" w:cs="Arial"/>
          <w:i/>
          <w:lang w:val="es-CO"/>
        </w:rPr>
        <w:t>(Art. 2, Decreto 1033 de 1999)</w:t>
      </w:r>
    </w:p>
    <w:p w14:paraId="74A72AD8" w14:textId="77777777" w:rsidR="00B2442D" w:rsidRDefault="00B2442D">
      <w:pPr>
        <w:jc w:val="both"/>
        <w:rPr>
          <w:rFonts w:ascii="Arial" w:hAnsi="Arial" w:cs="Arial"/>
          <w:b/>
          <w:lang w:val="es-CO"/>
        </w:rPr>
      </w:pPr>
    </w:p>
    <w:p w14:paraId="4C23A0D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autorretención.</w:t>
      </w:r>
      <w:r>
        <w:rPr>
          <w:rFonts w:ascii="Arial" w:hAnsi="Arial" w:cs="Arial"/>
          <w:lang w:val="es-CO"/>
        </w:rPr>
        <w:t xml:space="preserve"> La autorretención en la fuente que debe practicarse sobre los rendimientos provenientes de títulos de denominación en unidades de valor real constante con pago de intereses vencidos, se aplicará atendiendo al siguiente procedimiento:</w:t>
      </w:r>
    </w:p>
    <w:p w14:paraId="0DDD77FA" w14:textId="77777777" w:rsidR="00B2442D" w:rsidRDefault="00B2442D">
      <w:pPr>
        <w:jc w:val="both"/>
        <w:rPr>
          <w:rFonts w:ascii="Arial" w:hAnsi="Arial" w:cs="Arial"/>
          <w:lang w:val="es-CO"/>
        </w:rPr>
      </w:pPr>
    </w:p>
    <w:p w14:paraId="04506394" w14:textId="77777777" w:rsidR="00B2442D" w:rsidRDefault="008A645F">
      <w:pPr>
        <w:ind w:left="284" w:hanging="284"/>
        <w:jc w:val="both"/>
        <w:rPr>
          <w:rFonts w:ascii="Arial" w:hAnsi="Arial" w:cs="Arial"/>
          <w:lang w:val="es-CO"/>
        </w:rPr>
      </w:pPr>
      <w:r>
        <w:rPr>
          <w:rFonts w:ascii="Arial" w:hAnsi="Arial" w:cs="Arial"/>
          <w:lang w:val="es-CO"/>
        </w:rPr>
        <w:t>1. Al momento de rec</w:t>
      </w:r>
      <w:r>
        <w:rPr>
          <w:rFonts w:ascii="Arial" w:hAnsi="Arial" w:cs="Arial"/>
          <w:lang w:val="es-CO"/>
        </w:rPr>
        <w:t>ibir el pago de intereses durante el primer periodo de rendimiento para el tenedor del título:</w:t>
      </w:r>
    </w:p>
    <w:p w14:paraId="1B08C942" w14:textId="77777777" w:rsidR="00B2442D" w:rsidRDefault="00B2442D">
      <w:pPr>
        <w:jc w:val="both"/>
        <w:rPr>
          <w:rFonts w:ascii="Arial" w:hAnsi="Arial" w:cs="Arial"/>
          <w:lang w:val="es-CO"/>
        </w:rPr>
      </w:pPr>
    </w:p>
    <w:p w14:paraId="3B1DAE10" w14:textId="77777777" w:rsidR="00B2442D" w:rsidRDefault="008A645F">
      <w:pPr>
        <w:jc w:val="both"/>
        <w:rPr>
          <w:rFonts w:ascii="Arial" w:hAnsi="Arial" w:cs="Arial"/>
          <w:lang w:val="es-CO"/>
        </w:rPr>
      </w:pPr>
      <w:r>
        <w:rPr>
          <w:rFonts w:ascii="Arial" w:hAnsi="Arial" w:cs="Arial"/>
          <w:lang w:val="es-CO"/>
        </w:rPr>
        <w:t>Se determina la diferencia entre el resultado que se obtenga de adicionar al valor nominal del título expresado en unidades de valor real constante, el valor to</w:t>
      </w:r>
      <w:r>
        <w:rPr>
          <w:rFonts w:ascii="Arial" w:hAnsi="Arial" w:cs="Arial"/>
          <w:lang w:val="es-CO"/>
        </w:rPr>
        <w:t xml:space="preserve">tal de los intereses del periodo en curso a la tasa facial del mismo, expresados en unidades de valor real constante y el precio de compra del título expresado en unidades de valor real constante. Esta diferencia se multiplica por el valor de la unidad de </w:t>
      </w:r>
      <w:r>
        <w:rPr>
          <w:rFonts w:ascii="Arial" w:hAnsi="Arial" w:cs="Arial"/>
          <w:lang w:val="es-CO"/>
        </w:rPr>
        <w:t>valor real constante a la fecha de pago de los intereses y el resultado será la base para calcular la retención en la fuente.</w:t>
      </w:r>
    </w:p>
    <w:p w14:paraId="7CAB616B" w14:textId="77777777" w:rsidR="00B2442D" w:rsidRDefault="00B2442D">
      <w:pPr>
        <w:jc w:val="both"/>
        <w:rPr>
          <w:rFonts w:ascii="Arial" w:hAnsi="Arial" w:cs="Arial"/>
          <w:lang w:val="es-CO"/>
        </w:rPr>
      </w:pPr>
    </w:p>
    <w:p w14:paraId="55C53C42" w14:textId="77777777" w:rsidR="00B2442D" w:rsidRDefault="008A645F">
      <w:pPr>
        <w:ind w:left="284" w:hanging="284"/>
        <w:jc w:val="both"/>
        <w:rPr>
          <w:rFonts w:ascii="Arial" w:hAnsi="Arial" w:cs="Arial"/>
          <w:lang w:val="es-CO"/>
        </w:rPr>
      </w:pPr>
      <w:r>
        <w:rPr>
          <w:rFonts w:ascii="Arial" w:hAnsi="Arial" w:cs="Arial"/>
          <w:lang w:val="es-CO"/>
        </w:rPr>
        <w:t>2. Al momento de recibir el pago de intereses durante los demás períodos de rendimientos para el tenedor del título:</w:t>
      </w:r>
    </w:p>
    <w:p w14:paraId="0AA58985" w14:textId="77777777" w:rsidR="00B2442D" w:rsidRDefault="00B2442D">
      <w:pPr>
        <w:jc w:val="both"/>
        <w:rPr>
          <w:rFonts w:ascii="Arial" w:hAnsi="Arial" w:cs="Arial"/>
          <w:lang w:val="es-CO"/>
        </w:rPr>
      </w:pPr>
    </w:p>
    <w:p w14:paraId="0B99691E" w14:textId="77777777" w:rsidR="00B2442D" w:rsidRDefault="008A645F">
      <w:pPr>
        <w:jc w:val="both"/>
        <w:rPr>
          <w:rFonts w:ascii="Arial" w:hAnsi="Arial" w:cs="Arial"/>
          <w:lang w:val="es-CO"/>
        </w:rPr>
      </w:pPr>
      <w:r>
        <w:rPr>
          <w:rFonts w:ascii="Arial" w:hAnsi="Arial" w:cs="Arial"/>
          <w:lang w:val="es-CO"/>
        </w:rPr>
        <w:t>Sobre el va</w:t>
      </w:r>
      <w:r>
        <w:rPr>
          <w:rFonts w:ascii="Arial" w:hAnsi="Arial" w:cs="Arial"/>
          <w:lang w:val="es-CO"/>
        </w:rPr>
        <w:t>lor total en moneda legal colombiana de los intereses del periodo, a la tasa facial del título.</w:t>
      </w:r>
    </w:p>
    <w:p w14:paraId="17626769" w14:textId="77777777" w:rsidR="00B2442D" w:rsidRDefault="00B2442D">
      <w:pPr>
        <w:jc w:val="both"/>
        <w:rPr>
          <w:rFonts w:ascii="Arial" w:hAnsi="Arial" w:cs="Arial"/>
          <w:lang w:val="es-CO"/>
        </w:rPr>
      </w:pPr>
    </w:p>
    <w:p w14:paraId="3525F3DF" w14:textId="77777777" w:rsidR="00B2442D" w:rsidRDefault="008A645F">
      <w:pPr>
        <w:ind w:left="284" w:hanging="284"/>
        <w:jc w:val="both"/>
        <w:rPr>
          <w:rFonts w:ascii="Arial" w:hAnsi="Arial" w:cs="Arial"/>
          <w:lang w:val="es-CO"/>
        </w:rPr>
      </w:pPr>
      <w:r>
        <w:rPr>
          <w:rFonts w:ascii="Arial" w:hAnsi="Arial" w:cs="Arial"/>
          <w:lang w:val="es-CO"/>
        </w:rPr>
        <w:t>3. Al momento de su enajenación durante el primer periodo de rendimientos para el tenedor del título:</w:t>
      </w:r>
    </w:p>
    <w:p w14:paraId="0C098BDB" w14:textId="77777777" w:rsidR="00B2442D" w:rsidRDefault="00B2442D">
      <w:pPr>
        <w:jc w:val="both"/>
        <w:rPr>
          <w:rFonts w:ascii="Arial" w:hAnsi="Arial" w:cs="Arial"/>
          <w:lang w:val="es-CO"/>
        </w:rPr>
      </w:pPr>
    </w:p>
    <w:p w14:paraId="6546FBDD" w14:textId="77777777" w:rsidR="00B2442D" w:rsidRDefault="008A645F">
      <w:pPr>
        <w:jc w:val="both"/>
        <w:rPr>
          <w:rFonts w:ascii="Arial" w:hAnsi="Arial" w:cs="Arial"/>
          <w:lang w:val="es-CO"/>
        </w:rPr>
      </w:pPr>
      <w:r>
        <w:rPr>
          <w:rFonts w:ascii="Arial" w:hAnsi="Arial" w:cs="Arial"/>
          <w:lang w:val="es-CO"/>
        </w:rPr>
        <w:t>Se determina la diferencia entre el precio de enajenació</w:t>
      </w:r>
      <w:r>
        <w:rPr>
          <w:rFonts w:ascii="Arial" w:hAnsi="Arial" w:cs="Arial"/>
          <w:lang w:val="es-CO"/>
        </w:rPr>
        <w:t>n expresado en unidades de valor real constante y el precio de compra del título expresado en unidades de valor real constante. Esta diferencia se multiplica por el valor de la unidad de valor real constante a la fecha de la enajenación, y el resultado ser</w:t>
      </w:r>
      <w:r>
        <w:rPr>
          <w:rFonts w:ascii="Arial" w:hAnsi="Arial" w:cs="Arial"/>
          <w:lang w:val="es-CO"/>
        </w:rPr>
        <w:t>á la base para calcular la retención en la fuente.</w:t>
      </w:r>
    </w:p>
    <w:p w14:paraId="6F394D09" w14:textId="77777777" w:rsidR="00B2442D" w:rsidRDefault="00B2442D">
      <w:pPr>
        <w:jc w:val="both"/>
        <w:rPr>
          <w:rFonts w:ascii="Arial" w:hAnsi="Arial" w:cs="Arial"/>
          <w:lang w:val="es-CO"/>
        </w:rPr>
      </w:pPr>
    </w:p>
    <w:p w14:paraId="044D46DD" w14:textId="77777777" w:rsidR="00B2442D" w:rsidRDefault="008A645F">
      <w:pPr>
        <w:ind w:left="284" w:hanging="284"/>
        <w:jc w:val="both"/>
        <w:rPr>
          <w:rFonts w:ascii="Arial" w:hAnsi="Arial" w:cs="Arial"/>
          <w:lang w:val="es-CO"/>
        </w:rPr>
      </w:pPr>
      <w:r>
        <w:rPr>
          <w:rFonts w:ascii="Arial" w:hAnsi="Arial" w:cs="Arial"/>
          <w:lang w:val="es-CO"/>
        </w:rPr>
        <w:t>4. Al momento de su enajenación durante los demás períodos de rendimientos para el tenedor del título:</w:t>
      </w:r>
    </w:p>
    <w:p w14:paraId="23A431AD" w14:textId="77777777" w:rsidR="00B2442D" w:rsidRDefault="00B2442D">
      <w:pPr>
        <w:jc w:val="both"/>
        <w:rPr>
          <w:rFonts w:ascii="Arial" w:hAnsi="Arial" w:cs="Arial"/>
          <w:lang w:val="es-CO"/>
        </w:rPr>
      </w:pPr>
    </w:p>
    <w:p w14:paraId="6D1285D3" w14:textId="77777777" w:rsidR="00B2442D" w:rsidRDefault="008A645F">
      <w:pPr>
        <w:jc w:val="both"/>
        <w:rPr>
          <w:rFonts w:ascii="Arial" w:hAnsi="Arial" w:cs="Arial"/>
          <w:lang w:val="es-CO"/>
        </w:rPr>
      </w:pPr>
      <w:r>
        <w:rPr>
          <w:rFonts w:ascii="Arial" w:hAnsi="Arial" w:cs="Arial"/>
          <w:lang w:val="es-CO"/>
        </w:rPr>
        <w:t>Se determina la diferencia entre el precio de enajenación expresado en unidades de valor real consta</w:t>
      </w:r>
      <w:r>
        <w:rPr>
          <w:rFonts w:ascii="Arial" w:hAnsi="Arial" w:cs="Arial"/>
          <w:lang w:val="es-CO"/>
        </w:rPr>
        <w:t xml:space="preserve">nte y el valor de compra del título menos los intereses causados linealmente por el título desde la fecha del último pago de intereses vencidos o desde la fecha de colocación, según sea el caso, hasta la fecha de compra por parte del enajenante expresados </w:t>
      </w:r>
      <w:r>
        <w:rPr>
          <w:rFonts w:ascii="Arial" w:hAnsi="Arial" w:cs="Arial"/>
          <w:lang w:val="es-CO"/>
        </w:rPr>
        <w:t>en unidades de valor real constante (UVR). Esta diferencia se multiplica por el valor de la unidad de valor real constante a la fecha de enajenación, y el resultado será la base para calcular la retención en la fuente.</w:t>
      </w:r>
    </w:p>
    <w:p w14:paraId="7AA4D088" w14:textId="77777777" w:rsidR="00B2442D" w:rsidRDefault="00B2442D">
      <w:pPr>
        <w:jc w:val="both"/>
        <w:rPr>
          <w:rFonts w:ascii="Arial" w:hAnsi="Arial" w:cs="Arial"/>
          <w:lang w:val="es-CO"/>
        </w:rPr>
      </w:pPr>
    </w:p>
    <w:p w14:paraId="1FE0EC5E" w14:textId="77777777" w:rsidR="00B2442D" w:rsidRDefault="008A645F">
      <w:pPr>
        <w:jc w:val="both"/>
        <w:rPr>
          <w:rFonts w:ascii="Arial" w:hAnsi="Arial" w:cs="Arial"/>
          <w:lang w:val="es-CO"/>
        </w:rPr>
      </w:pPr>
      <w:r>
        <w:rPr>
          <w:rFonts w:ascii="Arial" w:hAnsi="Arial" w:cs="Arial"/>
          <w:lang w:val="es-CO"/>
        </w:rPr>
        <w:t>Si el valor determinado en los numer</w:t>
      </w:r>
      <w:r>
        <w:rPr>
          <w:rFonts w:ascii="Arial" w:hAnsi="Arial" w:cs="Arial"/>
          <w:lang w:val="es-CO"/>
        </w:rPr>
        <w:t xml:space="preserve">ales 1, 3 o 4 de este artículo resulta negativo, el autorretenedor podrá debitar de la cuenta de retenciones en la fuente por consignar el valor de la retención en la fuente correspondiente a dicha diferencia. El agente autorretenedor deberá conservar los </w:t>
      </w:r>
      <w:r>
        <w:rPr>
          <w:rFonts w:ascii="Arial" w:hAnsi="Arial" w:cs="Arial"/>
          <w:lang w:val="es-CO"/>
        </w:rPr>
        <w:t>documentos que soporten cada débito que realice a la cuenta de retenciones por consignar, para ser presentados a la Unidad Administrativa Especial Dirección de Impuestos y Aduanas Nacionales– DIAN cuando esta lo exija</w:t>
      </w:r>
    </w:p>
    <w:p w14:paraId="12D88879" w14:textId="77777777" w:rsidR="00B2442D" w:rsidRDefault="00B2442D">
      <w:pPr>
        <w:jc w:val="both"/>
        <w:rPr>
          <w:rFonts w:ascii="Arial" w:hAnsi="Arial" w:cs="Arial"/>
          <w:lang w:val="es-CO"/>
        </w:rPr>
      </w:pPr>
    </w:p>
    <w:p w14:paraId="17F857E3" w14:textId="77777777" w:rsidR="00B2442D" w:rsidRDefault="008A645F">
      <w:pPr>
        <w:jc w:val="both"/>
        <w:rPr>
          <w:rFonts w:ascii="Arial" w:hAnsi="Arial" w:cs="Arial"/>
          <w:lang w:val="es-CO"/>
        </w:rPr>
      </w:pPr>
      <w:r>
        <w:rPr>
          <w:rFonts w:ascii="Arial" w:hAnsi="Arial" w:cs="Arial"/>
          <w:i/>
          <w:lang w:val="es-CO"/>
        </w:rPr>
        <w:t>(Art. 3, Decreto 1033 de 1999, modifi</w:t>
      </w:r>
      <w:r>
        <w:rPr>
          <w:rFonts w:ascii="Arial" w:hAnsi="Arial" w:cs="Arial"/>
          <w:i/>
          <w:lang w:val="es-CO"/>
        </w:rPr>
        <w:t>cado por el artículo 4 del Decreto 3025 de 2013)</w:t>
      </w:r>
    </w:p>
    <w:p w14:paraId="2D504F58" w14:textId="77777777" w:rsidR="00B2442D" w:rsidRDefault="00B2442D">
      <w:pPr>
        <w:jc w:val="both"/>
        <w:rPr>
          <w:rFonts w:ascii="Arial" w:hAnsi="Arial" w:cs="Arial"/>
          <w:b/>
          <w:lang w:val="es-CO"/>
        </w:rPr>
      </w:pPr>
    </w:p>
    <w:p w14:paraId="7D00BF6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 de rendimientos financieros vencidos a no autorretenedores.</w:t>
      </w:r>
      <w:r>
        <w:rPr>
          <w:rFonts w:ascii="Arial" w:hAnsi="Arial" w:cs="Arial"/>
          <w:b/>
          <w:lang w:val="es-CO"/>
        </w:rPr>
        <w:t xml:space="preserve"> </w:t>
      </w:r>
      <w:r>
        <w:rPr>
          <w:rFonts w:ascii="Arial" w:hAnsi="Arial" w:cs="Arial"/>
          <w:lang w:val="es-CO"/>
        </w:rPr>
        <w:t xml:space="preserve">Cuando se realice un pago que corresponda a un rendimiento financiero vencido proveniente de un título de denominación en unidades de valor </w:t>
      </w:r>
      <w:r>
        <w:rPr>
          <w:rFonts w:ascii="Arial" w:hAnsi="Arial" w:cs="Arial"/>
          <w:lang w:val="es-CO"/>
        </w:rPr>
        <w:t>real constante en favor de un contribuyente del impuesto sobre la renta y complementario, que estando sujeto a retención en la fuente por este concepto no tenga la calidad de agente autorretenedor de rendimientos financieros, se aplicará el siguiente proce</w:t>
      </w:r>
      <w:r>
        <w:rPr>
          <w:rFonts w:ascii="Arial" w:hAnsi="Arial" w:cs="Arial"/>
          <w:lang w:val="es-CO"/>
        </w:rPr>
        <w:t>dimiento para la práctica de la retención en la fuente:</w:t>
      </w:r>
    </w:p>
    <w:p w14:paraId="20BCBE59" w14:textId="77777777" w:rsidR="00B2442D" w:rsidRDefault="00B2442D">
      <w:pPr>
        <w:jc w:val="both"/>
        <w:rPr>
          <w:rFonts w:ascii="Arial" w:hAnsi="Arial" w:cs="Arial"/>
          <w:lang w:val="es-CO"/>
        </w:rPr>
      </w:pPr>
    </w:p>
    <w:p w14:paraId="03DF18A7" w14:textId="77777777" w:rsidR="00B2442D" w:rsidRDefault="008A645F">
      <w:pPr>
        <w:jc w:val="both"/>
        <w:rPr>
          <w:rFonts w:ascii="Arial" w:hAnsi="Arial" w:cs="Arial"/>
          <w:lang w:val="es-CO"/>
        </w:rPr>
      </w:pPr>
      <w:r>
        <w:rPr>
          <w:rFonts w:ascii="Arial" w:hAnsi="Arial" w:cs="Arial"/>
          <w:b/>
          <w:lang w:val="es-CO"/>
        </w:rPr>
        <w:t xml:space="preserve">1. Pago de rendimientos financieros vencidos: </w:t>
      </w:r>
      <w:r>
        <w:rPr>
          <w:rFonts w:ascii="Arial" w:hAnsi="Arial" w:cs="Arial"/>
          <w:lang w:val="es-CO"/>
        </w:rPr>
        <w:t xml:space="preserve">Cuando el tenedor de un título con pacto de pago de intereses vencidos denominado en unidades de valor real constante en fechas determinadas </w:t>
      </w:r>
      <w:r>
        <w:rPr>
          <w:rFonts w:ascii="Arial" w:hAnsi="Arial" w:cs="Arial"/>
          <w:lang w:val="es-CO"/>
        </w:rPr>
        <w:t>perciba el pago de intereses vencidos, la base de retención en la fuente será, según sea el caso, la siguiente:</w:t>
      </w:r>
    </w:p>
    <w:p w14:paraId="20C17A9D" w14:textId="77777777" w:rsidR="00B2442D" w:rsidRDefault="00B2442D">
      <w:pPr>
        <w:jc w:val="both"/>
        <w:rPr>
          <w:rFonts w:ascii="Arial" w:hAnsi="Arial" w:cs="Arial"/>
          <w:lang w:val="es-CO"/>
        </w:rPr>
      </w:pPr>
    </w:p>
    <w:p w14:paraId="39899880" w14:textId="77777777" w:rsidR="00B2442D" w:rsidRDefault="008A645F">
      <w:pPr>
        <w:ind w:left="284" w:hanging="284"/>
        <w:jc w:val="both"/>
        <w:rPr>
          <w:rFonts w:ascii="Arial" w:hAnsi="Arial" w:cs="Arial"/>
          <w:lang w:val="es-CO"/>
        </w:rPr>
      </w:pPr>
      <w:r>
        <w:rPr>
          <w:rFonts w:ascii="Arial" w:hAnsi="Arial" w:cs="Arial"/>
          <w:lang w:val="es-CO"/>
        </w:rPr>
        <w:t>a) Cuando se mantenga el título durante todo el periodo para el pago de intereses vencidos, la base de retención será el valor de cada uno de l</w:t>
      </w:r>
      <w:r>
        <w:rPr>
          <w:rFonts w:ascii="Arial" w:hAnsi="Arial" w:cs="Arial"/>
          <w:lang w:val="es-CO"/>
        </w:rPr>
        <w:t>os pagos de intereses vencidos pagados expresados en unidades de valor real constante, multiplicados por el valor de la unidad de valor real constante en la fecha del pago;</w:t>
      </w:r>
    </w:p>
    <w:p w14:paraId="6EAC3A91" w14:textId="77777777" w:rsidR="00B2442D" w:rsidRDefault="00B2442D">
      <w:pPr>
        <w:ind w:left="284" w:hanging="284"/>
        <w:jc w:val="both"/>
        <w:rPr>
          <w:rFonts w:ascii="Arial" w:hAnsi="Arial" w:cs="Arial"/>
          <w:lang w:val="es-CO"/>
        </w:rPr>
      </w:pPr>
    </w:p>
    <w:p w14:paraId="604FC53C" w14:textId="77777777" w:rsidR="00B2442D" w:rsidRDefault="008A645F">
      <w:pPr>
        <w:ind w:left="284" w:hanging="284"/>
        <w:jc w:val="both"/>
        <w:rPr>
          <w:rFonts w:ascii="Arial" w:hAnsi="Arial" w:cs="Arial"/>
          <w:lang w:val="es-CO"/>
        </w:rPr>
      </w:pPr>
      <w:r>
        <w:rPr>
          <w:rFonts w:ascii="Arial" w:hAnsi="Arial" w:cs="Arial"/>
          <w:lang w:val="es-CO"/>
        </w:rPr>
        <w:t>b) Cuando se tenga el título durante una fracción del periodo para el pago de inte</w:t>
      </w:r>
      <w:r>
        <w:rPr>
          <w:rFonts w:ascii="Arial" w:hAnsi="Arial" w:cs="Arial"/>
          <w:lang w:val="es-CO"/>
        </w:rPr>
        <w:t>reses vencidos y haya pago de los mismos, la base de retención en la fuente, será la proporción del pago de intereses vencidos causados desde la fecha de adquisición del título.</w:t>
      </w:r>
    </w:p>
    <w:p w14:paraId="6F4E72AC" w14:textId="77777777" w:rsidR="00B2442D" w:rsidRDefault="00B2442D">
      <w:pPr>
        <w:jc w:val="both"/>
        <w:rPr>
          <w:rFonts w:ascii="Arial" w:hAnsi="Arial" w:cs="Arial"/>
          <w:lang w:val="es-CO"/>
        </w:rPr>
      </w:pPr>
    </w:p>
    <w:p w14:paraId="2F92358F" w14:textId="77777777" w:rsidR="00B2442D" w:rsidRDefault="008A645F">
      <w:pPr>
        <w:jc w:val="both"/>
        <w:rPr>
          <w:rFonts w:ascii="Arial" w:hAnsi="Arial" w:cs="Arial"/>
          <w:lang w:val="es-CO"/>
        </w:rPr>
      </w:pPr>
      <w:r>
        <w:rPr>
          <w:rFonts w:ascii="Arial" w:hAnsi="Arial" w:cs="Arial"/>
          <w:lang w:val="es-CO"/>
        </w:rPr>
        <w:t>Para estos efectos, la proporción del pago de intereses vencidos causados equ</w:t>
      </w:r>
      <w:r>
        <w:rPr>
          <w:rFonts w:ascii="Arial" w:hAnsi="Arial" w:cs="Arial"/>
          <w:lang w:val="es-CO"/>
        </w:rPr>
        <w:t>ivale a los intereses causados linealmente por el título desde su adquisición hasta la fecha de pago de intereses vencidos, corresponde al valor total de los intereses del periodo a la tasa facial expresados en unidades de valor real constante, divididos p</w:t>
      </w:r>
      <w:r>
        <w:rPr>
          <w:rFonts w:ascii="Arial" w:hAnsi="Arial" w:cs="Arial"/>
          <w:lang w:val="es-CO"/>
        </w:rPr>
        <w:t>or el número de días de dicho periodo, multiplicados por el número de días de tenencia del título, desde la fecha de adquisición hasta el pago de intereses vencidos. El resultado de esta operación se multiplicará por el valor de la unidad de valor real con</w:t>
      </w:r>
      <w:r>
        <w:rPr>
          <w:rFonts w:ascii="Arial" w:hAnsi="Arial" w:cs="Arial"/>
          <w:lang w:val="es-CO"/>
        </w:rPr>
        <w:t>stante de la fecha en que se efectúe el pago correspondiente;</w:t>
      </w:r>
    </w:p>
    <w:p w14:paraId="171D7935" w14:textId="77777777" w:rsidR="00B2442D" w:rsidRDefault="00B2442D">
      <w:pPr>
        <w:jc w:val="both"/>
        <w:rPr>
          <w:rFonts w:ascii="Arial" w:hAnsi="Arial" w:cs="Arial"/>
          <w:lang w:val="es-CO"/>
        </w:rPr>
      </w:pPr>
    </w:p>
    <w:p w14:paraId="60BF99F4" w14:textId="77777777" w:rsidR="00B2442D" w:rsidRDefault="008A645F">
      <w:pPr>
        <w:ind w:left="284" w:hanging="284"/>
        <w:jc w:val="both"/>
        <w:rPr>
          <w:rFonts w:ascii="Arial" w:hAnsi="Arial" w:cs="Arial"/>
          <w:lang w:val="es-CO"/>
        </w:rPr>
      </w:pPr>
      <w:r>
        <w:rPr>
          <w:rFonts w:ascii="Arial" w:hAnsi="Arial" w:cs="Arial"/>
          <w:lang w:val="es-CO"/>
        </w:rPr>
        <w:t>c) Los pagos de intereses vencidos en el vencimiento del título tendrán el mismo tratamiento establecido en los literales a y b de este numeral, según corresponda;</w:t>
      </w:r>
    </w:p>
    <w:p w14:paraId="31820C38" w14:textId="77777777" w:rsidR="00B2442D" w:rsidRDefault="00B2442D">
      <w:pPr>
        <w:ind w:left="284" w:hanging="284"/>
        <w:jc w:val="both"/>
        <w:rPr>
          <w:rFonts w:ascii="Arial" w:hAnsi="Arial" w:cs="Arial"/>
          <w:lang w:val="es-CO"/>
        </w:rPr>
      </w:pPr>
    </w:p>
    <w:p w14:paraId="651B8D5E" w14:textId="77777777" w:rsidR="00B2442D" w:rsidRDefault="008A645F">
      <w:pPr>
        <w:ind w:left="284" w:hanging="284"/>
        <w:jc w:val="both"/>
        <w:rPr>
          <w:rFonts w:ascii="Arial" w:hAnsi="Arial" w:cs="Arial"/>
          <w:lang w:val="es-CO"/>
        </w:rPr>
      </w:pPr>
      <w:r>
        <w:rPr>
          <w:rFonts w:ascii="Arial" w:hAnsi="Arial" w:cs="Arial"/>
          <w:lang w:val="es-CO"/>
        </w:rPr>
        <w:t>d) En cualquiera de los caso</w:t>
      </w:r>
      <w:r>
        <w:rPr>
          <w:rFonts w:ascii="Arial" w:hAnsi="Arial" w:cs="Arial"/>
          <w:lang w:val="es-CO"/>
        </w:rPr>
        <w:t>s de que trata este numeral, la retención en la fuente será practicada por el administrador de la emisión. En caso de que los pagos se efectuaran a los inversionistas de capital del exterior de portafolio de que trata el artículo 18-1 del Estatuto Tributar</w:t>
      </w:r>
      <w:r>
        <w:rPr>
          <w:rFonts w:ascii="Arial" w:hAnsi="Arial" w:cs="Arial"/>
          <w:lang w:val="es-CO"/>
        </w:rPr>
        <w:t>io, la retención en la fuente será practicada por el administrador de la inversión de capital del exterior de portafolio.</w:t>
      </w:r>
    </w:p>
    <w:p w14:paraId="6D0B44DC" w14:textId="77777777" w:rsidR="00B2442D" w:rsidRDefault="00B2442D">
      <w:pPr>
        <w:jc w:val="both"/>
        <w:rPr>
          <w:rFonts w:ascii="Arial" w:hAnsi="Arial" w:cs="Arial"/>
          <w:lang w:val="es-CO"/>
        </w:rPr>
      </w:pPr>
    </w:p>
    <w:p w14:paraId="645D9379" w14:textId="77777777" w:rsidR="00B2442D" w:rsidRDefault="008A645F">
      <w:pPr>
        <w:jc w:val="both"/>
        <w:rPr>
          <w:rFonts w:ascii="Arial" w:hAnsi="Arial" w:cs="Arial"/>
          <w:lang w:val="es-CO"/>
        </w:rPr>
      </w:pPr>
      <w:r>
        <w:rPr>
          <w:rFonts w:ascii="Arial" w:hAnsi="Arial" w:cs="Arial"/>
          <w:b/>
          <w:lang w:val="es-CO"/>
        </w:rPr>
        <w:t xml:space="preserve">2. Enajenaciones de títulos con intereses vencidos denominados en unidades de valor real constante: </w:t>
      </w:r>
      <w:r>
        <w:rPr>
          <w:rFonts w:ascii="Arial" w:hAnsi="Arial" w:cs="Arial"/>
          <w:lang w:val="es-CO"/>
        </w:rPr>
        <w:t>Cuando un agente no autorretenedo</w:t>
      </w:r>
      <w:r>
        <w:rPr>
          <w:rFonts w:ascii="Arial" w:hAnsi="Arial" w:cs="Arial"/>
          <w:lang w:val="es-CO"/>
        </w:rPr>
        <w:t>r enajene un título con intereses vencidos denominados en unidades de valor real constante, la entidad financiera que actúe como intermediaria en la operación o el administrador de la inversión de capital del exterior de portafolio de que trata el artículo</w:t>
      </w:r>
      <w:r>
        <w:rPr>
          <w:rFonts w:ascii="Arial" w:hAnsi="Arial" w:cs="Arial"/>
          <w:lang w:val="es-CO"/>
        </w:rPr>
        <w:t xml:space="preserve"> 18-1 del Estatuto Tributario, será el agente de retención y seguirá las siguientes reglas:</w:t>
      </w:r>
    </w:p>
    <w:p w14:paraId="74EF63FE" w14:textId="77777777" w:rsidR="00B2442D" w:rsidRDefault="00B2442D">
      <w:pPr>
        <w:jc w:val="both"/>
        <w:rPr>
          <w:rFonts w:ascii="Arial" w:hAnsi="Arial" w:cs="Arial"/>
          <w:lang w:val="es-CO"/>
        </w:rPr>
      </w:pPr>
    </w:p>
    <w:p w14:paraId="1EDBFBB7" w14:textId="77777777" w:rsidR="00B2442D" w:rsidRDefault="008A645F">
      <w:pPr>
        <w:ind w:left="426" w:hanging="426"/>
        <w:jc w:val="both"/>
        <w:rPr>
          <w:rFonts w:ascii="Arial" w:hAnsi="Arial" w:cs="Arial"/>
          <w:lang w:val="es-CO"/>
        </w:rPr>
      </w:pPr>
      <w:r>
        <w:rPr>
          <w:rFonts w:ascii="Arial" w:hAnsi="Arial" w:cs="Arial"/>
          <w:lang w:val="es-CO"/>
        </w:rPr>
        <w:t>a) Enajenación de un título con intereses vencidos antes del pago de intereses vencidos.</w:t>
      </w:r>
    </w:p>
    <w:p w14:paraId="78545971" w14:textId="77777777" w:rsidR="00B2442D" w:rsidRDefault="00B2442D">
      <w:pPr>
        <w:jc w:val="both"/>
        <w:rPr>
          <w:rFonts w:ascii="Arial" w:hAnsi="Arial" w:cs="Arial"/>
          <w:lang w:val="es-CO"/>
        </w:rPr>
      </w:pPr>
    </w:p>
    <w:p w14:paraId="56F84C92" w14:textId="77777777" w:rsidR="00B2442D" w:rsidRDefault="008A645F">
      <w:pPr>
        <w:jc w:val="both"/>
        <w:rPr>
          <w:rFonts w:ascii="Arial" w:hAnsi="Arial" w:cs="Arial"/>
          <w:lang w:val="es-CO"/>
        </w:rPr>
      </w:pPr>
      <w:r>
        <w:rPr>
          <w:rFonts w:ascii="Arial" w:hAnsi="Arial" w:cs="Arial"/>
          <w:lang w:val="es-CO"/>
        </w:rPr>
        <w:t>Cuando se enajene un título con intereses vencidos de denominación en uni</w:t>
      </w:r>
      <w:r>
        <w:rPr>
          <w:rFonts w:ascii="Arial" w:hAnsi="Arial" w:cs="Arial"/>
          <w:lang w:val="es-CO"/>
        </w:rPr>
        <w:t>dades de valor real constante antes del primer pago de intereses vencidos desde la adquisición del título, la base de retención en la fuente será la diferencia entre el precio de enajenación y el precio de adquisición del título expresados ambos en unidade</w:t>
      </w:r>
      <w:r>
        <w:rPr>
          <w:rFonts w:ascii="Arial" w:hAnsi="Arial" w:cs="Arial"/>
          <w:lang w:val="es-CO"/>
        </w:rPr>
        <w:t>s de valor real constante.</w:t>
      </w:r>
    </w:p>
    <w:p w14:paraId="0E9E5515" w14:textId="77777777" w:rsidR="00B2442D" w:rsidRDefault="00B2442D">
      <w:pPr>
        <w:jc w:val="both"/>
        <w:rPr>
          <w:rFonts w:ascii="Arial" w:hAnsi="Arial" w:cs="Arial"/>
          <w:lang w:val="es-CO"/>
        </w:rPr>
      </w:pPr>
    </w:p>
    <w:p w14:paraId="6B32CA83" w14:textId="77777777" w:rsidR="00B2442D" w:rsidRDefault="008A645F">
      <w:pPr>
        <w:jc w:val="both"/>
        <w:rPr>
          <w:rFonts w:ascii="Arial" w:hAnsi="Arial" w:cs="Arial"/>
          <w:lang w:val="es-CO"/>
        </w:rPr>
      </w:pPr>
      <w:r>
        <w:rPr>
          <w:rFonts w:ascii="Arial" w:hAnsi="Arial" w:cs="Arial"/>
          <w:lang w:val="es-CO"/>
        </w:rPr>
        <w:t>Esta diferencia se multiplicará por el valor de la unidad de valor real constante en la fecha en que se perfeccione la correspondiente operación;</w:t>
      </w:r>
    </w:p>
    <w:p w14:paraId="168FF329" w14:textId="77777777" w:rsidR="00B2442D" w:rsidRDefault="00B2442D">
      <w:pPr>
        <w:jc w:val="both"/>
        <w:rPr>
          <w:rFonts w:ascii="Arial" w:hAnsi="Arial" w:cs="Arial"/>
          <w:lang w:val="es-CO"/>
        </w:rPr>
      </w:pPr>
    </w:p>
    <w:p w14:paraId="2B703134" w14:textId="77777777" w:rsidR="00B2442D" w:rsidRDefault="008A645F">
      <w:pPr>
        <w:ind w:left="284" w:hanging="284"/>
        <w:jc w:val="both"/>
        <w:rPr>
          <w:rFonts w:ascii="Arial" w:hAnsi="Arial" w:cs="Arial"/>
          <w:lang w:val="es-CO"/>
        </w:rPr>
      </w:pPr>
      <w:r>
        <w:rPr>
          <w:rFonts w:ascii="Arial" w:hAnsi="Arial" w:cs="Arial"/>
          <w:lang w:val="es-CO"/>
        </w:rPr>
        <w:t xml:space="preserve">b) Enajenación de un título con intereses vencidos posterior al pago de </w:t>
      </w:r>
      <w:r>
        <w:rPr>
          <w:rFonts w:ascii="Arial" w:hAnsi="Arial" w:cs="Arial"/>
          <w:lang w:val="es-CO"/>
        </w:rPr>
        <w:t>intereses vencidos.</w:t>
      </w:r>
    </w:p>
    <w:p w14:paraId="0A1C7268" w14:textId="77777777" w:rsidR="00B2442D" w:rsidRDefault="00B2442D">
      <w:pPr>
        <w:jc w:val="both"/>
        <w:rPr>
          <w:rFonts w:ascii="Arial" w:hAnsi="Arial" w:cs="Arial"/>
          <w:lang w:val="es-CO"/>
        </w:rPr>
      </w:pPr>
    </w:p>
    <w:p w14:paraId="005DC372" w14:textId="77777777" w:rsidR="00B2442D" w:rsidRDefault="008A645F">
      <w:pPr>
        <w:jc w:val="both"/>
        <w:rPr>
          <w:rFonts w:ascii="Arial" w:hAnsi="Arial" w:cs="Arial"/>
          <w:lang w:val="es-CO"/>
        </w:rPr>
      </w:pPr>
      <w:r>
        <w:rPr>
          <w:rFonts w:ascii="Arial" w:hAnsi="Arial" w:cs="Arial"/>
          <w:lang w:val="es-CO"/>
        </w:rPr>
        <w:t>Si el título con intereses vencidos se enajena después de que el tenedor del título ha percibido el pago de uno o varios pagos de intereses vencidos, la base de retención en la fuente será la diferencia entre el precio de enajenación y</w:t>
      </w:r>
      <w:r>
        <w:rPr>
          <w:rFonts w:ascii="Arial" w:hAnsi="Arial" w:cs="Arial"/>
          <w:lang w:val="es-CO"/>
        </w:rPr>
        <w:t xml:space="preserve"> el precio de adquisición menos los intereses causados linealmente desde la fecha de colocación o del último pago de intereses vencidos antes de la adquisición del título de parte del enajenante, todos estos valores expresados en unidades de valor real con</w:t>
      </w:r>
      <w:r>
        <w:rPr>
          <w:rFonts w:ascii="Arial" w:hAnsi="Arial" w:cs="Arial"/>
          <w:lang w:val="es-CO"/>
        </w:rPr>
        <w:t>stante.</w:t>
      </w:r>
    </w:p>
    <w:p w14:paraId="281FA0B7" w14:textId="77777777" w:rsidR="00B2442D" w:rsidRDefault="00B2442D">
      <w:pPr>
        <w:jc w:val="both"/>
        <w:rPr>
          <w:rFonts w:ascii="Arial" w:hAnsi="Arial" w:cs="Arial"/>
          <w:lang w:val="es-CO"/>
        </w:rPr>
      </w:pPr>
    </w:p>
    <w:p w14:paraId="60655E14" w14:textId="77777777" w:rsidR="00B2442D" w:rsidRDefault="008A645F">
      <w:pPr>
        <w:jc w:val="both"/>
        <w:rPr>
          <w:rFonts w:ascii="Arial" w:hAnsi="Arial" w:cs="Arial"/>
          <w:lang w:val="es-CO"/>
        </w:rPr>
      </w:pPr>
      <w:r>
        <w:rPr>
          <w:rFonts w:ascii="Arial" w:hAnsi="Arial" w:cs="Arial"/>
          <w:lang w:val="es-CO"/>
        </w:rPr>
        <w:t>El valor resultante se multiplica por el valor de la unidad de valor real constante, según la información consignada en la constancia de enajenación;</w:t>
      </w:r>
    </w:p>
    <w:p w14:paraId="2BD70613" w14:textId="77777777" w:rsidR="00B2442D" w:rsidRDefault="00B2442D">
      <w:pPr>
        <w:jc w:val="both"/>
        <w:rPr>
          <w:rFonts w:ascii="Arial" w:hAnsi="Arial" w:cs="Arial"/>
          <w:lang w:val="es-CO"/>
        </w:rPr>
      </w:pPr>
    </w:p>
    <w:p w14:paraId="7310D473" w14:textId="77777777" w:rsidR="00B2442D" w:rsidRDefault="008A645F">
      <w:pPr>
        <w:ind w:left="284" w:hanging="284"/>
        <w:jc w:val="both"/>
        <w:rPr>
          <w:rFonts w:ascii="Arial" w:hAnsi="Arial" w:cs="Arial"/>
          <w:lang w:val="es-CO"/>
        </w:rPr>
      </w:pPr>
      <w:r>
        <w:rPr>
          <w:rFonts w:ascii="Arial" w:hAnsi="Arial" w:cs="Arial"/>
          <w:lang w:val="es-CO"/>
        </w:rPr>
        <w:t xml:space="preserve">c) En caso de que las diferencias mencionadas en este numeral sean negativas, estas serán </w:t>
      </w:r>
      <w:r>
        <w:rPr>
          <w:rFonts w:ascii="Arial" w:hAnsi="Arial" w:cs="Arial"/>
          <w:lang w:val="es-CO"/>
        </w:rPr>
        <w:t>consideradas como pérdidas y recibirán el tratamiento previsto para ellas en el Estatuto Tributario atendiendo el tipo de inversionista.</w:t>
      </w:r>
    </w:p>
    <w:p w14:paraId="67B33FE7" w14:textId="77777777" w:rsidR="00B2442D" w:rsidRDefault="00B2442D">
      <w:pPr>
        <w:jc w:val="both"/>
        <w:rPr>
          <w:rFonts w:ascii="Arial" w:hAnsi="Arial" w:cs="Arial"/>
          <w:lang w:val="es-CO"/>
        </w:rPr>
      </w:pPr>
    </w:p>
    <w:p w14:paraId="62A77222" w14:textId="77777777" w:rsidR="00B2442D" w:rsidRDefault="008A645F">
      <w:pPr>
        <w:jc w:val="both"/>
        <w:rPr>
          <w:rFonts w:ascii="Arial" w:hAnsi="Arial" w:cs="Arial"/>
          <w:lang w:val="es-CO"/>
        </w:rPr>
      </w:pPr>
      <w:r>
        <w:rPr>
          <w:rFonts w:ascii="Arial" w:hAnsi="Arial" w:cs="Arial"/>
          <w:lang w:val="es-CO"/>
        </w:rPr>
        <w:t xml:space="preserve">La retención en la fuente de que trata este numeral será practicada por el intermediario de la operación de parte del </w:t>
      </w:r>
      <w:r>
        <w:rPr>
          <w:rFonts w:ascii="Arial" w:hAnsi="Arial" w:cs="Arial"/>
          <w:lang w:val="es-CO"/>
        </w:rPr>
        <w:t>comprador del título, por el administrador de la inversión de capital del exterior de portafolio, si el enajenante del título fuere un inversionista de capital del exterior de portafolio, de conformidad con lo establecido en el artículo 18-1 del Estatuto T</w:t>
      </w:r>
      <w:r>
        <w:rPr>
          <w:rFonts w:ascii="Arial" w:hAnsi="Arial" w:cs="Arial"/>
          <w:lang w:val="es-CO"/>
        </w:rPr>
        <w:t>ributario, o por el custodio de valores cuando este exista y sea responsable del cumplimiento de obligaciones tributarias de conformidad con lo establecido con el custodiado.</w:t>
      </w:r>
    </w:p>
    <w:p w14:paraId="4CD26DCC" w14:textId="77777777" w:rsidR="00B2442D" w:rsidRDefault="00B2442D">
      <w:pPr>
        <w:jc w:val="both"/>
        <w:rPr>
          <w:rFonts w:ascii="Arial" w:hAnsi="Arial" w:cs="Arial"/>
          <w:lang w:val="es-CO"/>
        </w:rPr>
      </w:pPr>
    </w:p>
    <w:p w14:paraId="3FCB1715" w14:textId="77777777" w:rsidR="00B2442D" w:rsidRDefault="008A645F">
      <w:pPr>
        <w:jc w:val="both"/>
        <w:rPr>
          <w:rFonts w:ascii="Arial" w:hAnsi="Arial" w:cs="Arial"/>
          <w:lang w:val="es-CO"/>
        </w:rPr>
      </w:pPr>
      <w:r>
        <w:rPr>
          <w:rFonts w:ascii="Arial" w:hAnsi="Arial" w:cs="Arial"/>
          <w:i/>
          <w:lang w:val="es-CO"/>
        </w:rPr>
        <w:t xml:space="preserve">(Art. 4, Decreto 1033 de 1999, modificado por el artículo 5 del Decreto 3025 de </w:t>
      </w:r>
      <w:r>
        <w:rPr>
          <w:rFonts w:ascii="Arial" w:hAnsi="Arial" w:cs="Arial"/>
          <w:i/>
          <w:lang w:val="es-CO"/>
        </w:rPr>
        <w:t>2013)</w:t>
      </w:r>
    </w:p>
    <w:p w14:paraId="6D4150A6" w14:textId="77777777" w:rsidR="00B2442D" w:rsidRDefault="00B2442D">
      <w:pPr>
        <w:jc w:val="both"/>
        <w:rPr>
          <w:rFonts w:ascii="Arial" w:hAnsi="Arial" w:cs="Arial"/>
          <w:b/>
          <w:lang w:val="es-CO"/>
        </w:rPr>
      </w:pPr>
    </w:p>
    <w:p w14:paraId="7DBFF03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Constancia de enajenación.</w:t>
      </w:r>
      <w:r>
        <w:rPr>
          <w:rFonts w:ascii="Arial" w:hAnsi="Arial" w:cs="Arial"/>
          <w:lang w:val="es-CO"/>
        </w:rPr>
        <w:t xml:space="preserve"> Cuando de conformidad con lo previsto en el artículo 1.2.4.2.36 del presente Decreto, haya lugar a la expedición de la constancia de enajenación, esta deberá indicar el precio de enajenación o de registro, o de compra, en</w:t>
      </w:r>
      <w:r>
        <w:rPr>
          <w:rFonts w:ascii="Arial" w:hAnsi="Arial" w:cs="Arial"/>
          <w:lang w:val="es-CO"/>
        </w:rPr>
        <w:t xml:space="preserve"> unidades de valor real constante.</w:t>
      </w:r>
    </w:p>
    <w:p w14:paraId="476EFD7E" w14:textId="77777777" w:rsidR="00B2442D" w:rsidRDefault="00B2442D">
      <w:pPr>
        <w:jc w:val="both"/>
        <w:rPr>
          <w:rFonts w:ascii="Arial" w:hAnsi="Arial" w:cs="Arial"/>
          <w:lang w:val="es-CO"/>
        </w:rPr>
      </w:pPr>
    </w:p>
    <w:p w14:paraId="07FF9555" w14:textId="77777777" w:rsidR="00B2442D" w:rsidRDefault="008A645F">
      <w:pPr>
        <w:jc w:val="both"/>
        <w:rPr>
          <w:rFonts w:ascii="Arial" w:hAnsi="Arial" w:cs="Arial"/>
          <w:i/>
          <w:lang w:val="es-CO"/>
        </w:rPr>
      </w:pPr>
      <w:r>
        <w:rPr>
          <w:rFonts w:ascii="Arial" w:hAnsi="Arial" w:cs="Arial"/>
          <w:i/>
          <w:lang w:val="es-CO"/>
        </w:rPr>
        <w:t>(Art. 7, Decreto 1033 de 1999)</w:t>
      </w:r>
    </w:p>
    <w:p w14:paraId="73108716" w14:textId="77777777" w:rsidR="00B2442D" w:rsidRDefault="00B2442D">
      <w:pPr>
        <w:jc w:val="both"/>
        <w:rPr>
          <w:rFonts w:ascii="Arial" w:hAnsi="Arial" w:cs="Arial"/>
          <w:b/>
          <w:lang w:val="es-CO"/>
        </w:rPr>
      </w:pPr>
    </w:p>
    <w:p w14:paraId="5C1B537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Remisión.</w:t>
      </w:r>
      <w:r>
        <w:rPr>
          <w:rFonts w:ascii="Arial" w:hAnsi="Arial" w:cs="Arial"/>
          <w:i/>
          <w:lang w:val="es-CO"/>
        </w:rPr>
        <w:t xml:space="preserve"> </w:t>
      </w:r>
      <w:r>
        <w:rPr>
          <w:rFonts w:ascii="Arial" w:hAnsi="Arial" w:cs="Arial"/>
          <w:lang w:val="es-CO"/>
        </w:rPr>
        <w:t>En todo aquello no previsto o regulado de manera especial en los artículos 1.2.4.2.67 al 1.2.4.2.73 del presente Decreto para los títulos de denominación en unidades de valor re</w:t>
      </w:r>
      <w:r>
        <w:rPr>
          <w:rFonts w:ascii="Arial" w:hAnsi="Arial" w:cs="Arial"/>
          <w:lang w:val="es-CO"/>
        </w:rPr>
        <w:t>al constante con intereses vencidos, se aplicará los dispuesto en los artículos 1.2.4.2.9 al 1.2.4.2.49 del presente Decreto y demás normas que lo modifiquen, sustituyan o deroguen, siempre y cuando dichas normas no resulten contrarias a la naturaleza de e</w:t>
      </w:r>
      <w:r>
        <w:rPr>
          <w:rFonts w:ascii="Arial" w:hAnsi="Arial" w:cs="Arial"/>
          <w:lang w:val="es-CO"/>
        </w:rPr>
        <w:t>stos títulos.</w:t>
      </w:r>
    </w:p>
    <w:p w14:paraId="1F5D3161" w14:textId="77777777" w:rsidR="00B2442D" w:rsidRDefault="00B2442D">
      <w:pPr>
        <w:jc w:val="both"/>
        <w:rPr>
          <w:rFonts w:ascii="Arial" w:hAnsi="Arial" w:cs="Arial"/>
          <w:lang w:val="es-CO"/>
        </w:rPr>
      </w:pPr>
    </w:p>
    <w:p w14:paraId="553C1E78" w14:textId="77777777" w:rsidR="00B2442D" w:rsidRDefault="008A645F">
      <w:pPr>
        <w:jc w:val="both"/>
        <w:rPr>
          <w:rFonts w:ascii="Arial" w:hAnsi="Arial" w:cs="Arial"/>
          <w:lang w:val="es-CO"/>
        </w:rPr>
      </w:pPr>
      <w:r>
        <w:rPr>
          <w:rFonts w:ascii="Arial" w:hAnsi="Arial" w:cs="Arial"/>
          <w:i/>
          <w:lang w:val="es-CO"/>
        </w:rPr>
        <w:t>(Art. 8, Decreto 1033 de 1999)</w:t>
      </w:r>
    </w:p>
    <w:p w14:paraId="7E69BF53" w14:textId="77777777" w:rsidR="00B2442D" w:rsidRDefault="00B2442D">
      <w:pPr>
        <w:jc w:val="both"/>
        <w:rPr>
          <w:rFonts w:ascii="Arial" w:hAnsi="Arial" w:cs="Arial"/>
          <w:b/>
          <w:lang w:val="es-CO"/>
        </w:rPr>
      </w:pPr>
    </w:p>
    <w:p w14:paraId="39DDDC46"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Valores retenidos.</w:t>
      </w:r>
      <w:r>
        <w:rPr>
          <w:rFonts w:ascii="Arial" w:hAnsi="Arial" w:cs="Arial"/>
          <w:b/>
          <w:lang w:val="es-CO"/>
        </w:rPr>
        <w:t xml:space="preserve"> </w:t>
      </w:r>
      <w:r>
        <w:rPr>
          <w:rFonts w:ascii="Arial" w:hAnsi="Arial" w:cs="Arial"/>
          <w:lang w:val="es-CO"/>
        </w:rPr>
        <w:t>Los contribuyentes del impuesto sobre la renta y complementario que hayan estado sometidos a retención en la fuente o se hayan practicado la respectiva autorretención, por concepto de rendi</w:t>
      </w:r>
      <w:r>
        <w:rPr>
          <w:rFonts w:ascii="Arial" w:hAnsi="Arial" w:cs="Arial"/>
          <w:lang w:val="es-CO"/>
        </w:rPr>
        <w:t>mientos financieros provenientes de títulos de denominación en moneda extranjera o unidades de valor real constante, de conformidad con lo dispuesto en los artículos 1.2.4.2.67 al 1.2.4.2.73 y del 1.2.4.2.60 al 1.2.4.2.66 del presente Decreto, tendrán dere</w:t>
      </w:r>
      <w:r>
        <w:rPr>
          <w:rFonts w:ascii="Arial" w:hAnsi="Arial" w:cs="Arial"/>
          <w:lang w:val="es-CO"/>
        </w:rPr>
        <w:t>cho a restar del impuesto de renta a cargo, a título de retención en la fuente, el valor total retenido o autorretenido por dicho concepto, durante el respectivo periodo gravable.</w:t>
      </w:r>
    </w:p>
    <w:p w14:paraId="0F582C7E" w14:textId="77777777" w:rsidR="00B2442D" w:rsidRDefault="00B2442D">
      <w:pPr>
        <w:jc w:val="both"/>
        <w:rPr>
          <w:rFonts w:ascii="Arial" w:hAnsi="Arial" w:cs="Arial"/>
          <w:lang w:val="es-CO"/>
        </w:rPr>
      </w:pPr>
    </w:p>
    <w:p w14:paraId="44AFA70E" w14:textId="77777777" w:rsidR="00B2442D" w:rsidRDefault="008A645F">
      <w:pPr>
        <w:jc w:val="both"/>
        <w:rPr>
          <w:rFonts w:ascii="Arial" w:hAnsi="Arial" w:cs="Arial"/>
          <w:lang w:val="es-CO"/>
        </w:rPr>
      </w:pPr>
      <w:r>
        <w:rPr>
          <w:rFonts w:ascii="Arial" w:hAnsi="Arial" w:cs="Arial"/>
          <w:i/>
          <w:lang w:val="es-CO"/>
        </w:rPr>
        <w:t>(Art. 9, Decreto 1033 de 1999)</w:t>
      </w:r>
    </w:p>
    <w:p w14:paraId="21A8904A" w14:textId="77777777" w:rsidR="00B2442D" w:rsidRDefault="00B2442D">
      <w:pPr>
        <w:jc w:val="both"/>
        <w:rPr>
          <w:rFonts w:ascii="Arial" w:hAnsi="Arial" w:cs="Arial"/>
          <w:b/>
          <w:lang w:val="es-CO"/>
        </w:rPr>
      </w:pPr>
    </w:p>
    <w:p w14:paraId="5AB4364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Autorretención y retención en la fuente so</w:t>
      </w:r>
      <w:r>
        <w:rPr>
          <w:rFonts w:ascii="Arial" w:hAnsi="Arial" w:cs="Arial"/>
          <w:b/>
          <w:i/>
          <w:lang w:val="es-CO"/>
        </w:rPr>
        <w:t>bre ingresos tributarios provenientes de contratos forward, futuros y operaciones a plazo de cumplimiento financiero.</w:t>
      </w:r>
      <w:r>
        <w:rPr>
          <w:rFonts w:ascii="Arial" w:hAnsi="Arial" w:cs="Arial"/>
          <w:lang w:val="es-CO"/>
        </w:rPr>
        <w:t xml:space="preserve"> A partir del 07 de septiembre de 1999 (D.O. 43698), la retención en la fuente a título de impuesto de renta sobre los ingresos tributarios</w:t>
      </w:r>
      <w:r>
        <w:rPr>
          <w:rFonts w:ascii="Arial" w:hAnsi="Arial" w:cs="Arial"/>
          <w:lang w:val="es-CO"/>
        </w:rPr>
        <w:t xml:space="preserve"> provenientes de contratos forward, futuros y operaciones a plazo de cumplimiento financiero, que se cumplan todos ellos sin la entrega del activo subyacente, deberá ser practicada por parte del beneficiario de los mismos y no por quien efectúa el pago o a</w:t>
      </w:r>
      <w:r>
        <w:rPr>
          <w:rFonts w:ascii="Arial" w:hAnsi="Arial" w:cs="Arial"/>
          <w:lang w:val="es-CO"/>
        </w:rPr>
        <w:t>bono en cuenta, siempre y cuando dicho beneficiario tenga la calidad de agente autorretenedor de ingresos tributarios provenientes de contratos forward, futuros y operaciones a plazo de cumplimiento financiero, que se cumplan sin la entrega del activo suby</w:t>
      </w:r>
      <w:r>
        <w:rPr>
          <w:rFonts w:ascii="Arial" w:hAnsi="Arial" w:cs="Arial"/>
          <w:lang w:val="es-CO"/>
        </w:rPr>
        <w:t>acente.</w:t>
      </w:r>
    </w:p>
    <w:p w14:paraId="4E943CDB" w14:textId="77777777" w:rsidR="00B2442D" w:rsidRDefault="00B2442D">
      <w:pPr>
        <w:jc w:val="both"/>
        <w:rPr>
          <w:rFonts w:ascii="Arial" w:hAnsi="Arial" w:cs="Arial"/>
          <w:lang w:val="es-CO"/>
        </w:rPr>
      </w:pPr>
    </w:p>
    <w:p w14:paraId="27EF7454" w14:textId="77777777" w:rsidR="00B2442D" w:rsidRDefault="008A645F">
      <w:pPr>
        <w:jc w:val="both"/>
        <w:rPr>
          <w:rFonts w:ascii="Arial" w:hAnsi="Arial" w:cs="Arial"/>
          <w:lang w:val="es-CO"/>
        </w:rPr>
      </w:pPr>
      <w:r>
        <w:rPr>
          <w:rFonts w:ascii="Arial" w:hAnsi="Arial" w:cs="Arial"/>
          <w:lang w:val="es-CO"/>
        </w:rPr>
        <w:t>Cuando el beneficiario de los ingresos tributarios señalados en el inciso anterior, no tenga la calidad de agente autorretenedor de dichos ingresos, la retención en la fuente deberá ser practicada por la Bolsa de Valores por conducto de quien real</w:t>
      </w:r>
      <w:r>
        <w:rPr>
          <w:rFonts w:ascii="Arial" w:hAnsi="Arial" w:cs="Arial"/>
          <w:lang w:val="es-CO"/>
        </w:rPr>
        <w:t>ice el contrato de futuro o la operación a plazo de cumplimiento financiero, o por la entidad que le corresponda efectuar el pago al beneficiario del contrato, cuando la transacción no se realice a través de una Bolsa.</w:t>
      </w:r>
    </w:p>
    <w:p w14:paraId="284E7B08" w14:textId="77777777" w:rsidR="00B2442D" w:rsidRDefault="00B2442D">
      <w:pPr>
        <w:jc w:val="both"/>
        <w:rPr>
          <w:rFonts w:ascii="Arial" w:hAnsi="Arial" w:cs="Arial"/>
          <w:lang w:val="es-CO"/>
        </w:rPr>
      </w:pPr>
    </w:p>
    <w:p w14:paraId="65D2A471" w14:textId="77777777" w:rsidR="00B2442D" w:rsidRDefault="008A645F">
      <w:pPr>
        <w:jc w:val="both"/>
        <w:rPr>
          <w:rFonts w:ascii="Arial" w:hAnsi="Arial" w:cs="Arial"/>
          <w:i/>
          <w:lang w:val="es-CO"/>
        </w:rPr>
      </w:pPr>
      <w:r>
        <w:rPr>
          <w:rFonts w:ascii="Arial" w:hAnsi="Arial" w:cs="Arial"/>
          <w:i/>
          <w:lang w:val="es-CO"/>
        </w:rPr>
        <w:t>(Art. 1, Decreto 1737 de 1999)</w:t>
      </w:r>
      <w:r>
        <w:rPr>
          <w:rFonts w:ascii="Arial" w:hAnsi="Arial" w:cs="Arial"/>
        </w:rPr>
        <w:t xml:space="preserve"> (</w:t>
      </w:r>
      <w:r>
        <w:rPr>
          <w:rFonts w:ascii="Arial" w:hAnsi="Arial" w:cs="Arial"/>
          <w:i/>
          <w:lang w:val="es-CO"/>
        </w:rPr>
        <w:t>El D</w:t>
      </w:r>
      <w:r>
        <w:rPr>
          <w:rFonts w:ascii="Arial" w:hAnsi="Arial" w:cs="Arial"/>
          <w:i/>
          <w:lang w:val="es-CO"/>
        </w:rPr>
        <w:t>ecreto 1737 de 1999 rige a partir de su publicación y deroga el artículo 12 del Decreto 1514 de 1998. Art. 5, Decreto 1737 de 1999)</w:t>
      </w:r>
    </w:p>
    <w:p w14:paraId="5CFB6847" w14:textId="77777777" w:rsidR="00B2442D" w:rsidRDefault="00B2442D">
      <w:pPr>
        <w:jc w:val="both"/>
        <w:rPr>
          <w:rFonts w:ascii="Arial" w:hAnsi="Arial" w:cs="Arial"/>
          <w:b/>
          <w:lang w:val="es-CO"/>
        </w:rPr>
      </w:pPr>
    </w:p>
    <w:p w14:paraId="33DC54D8"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Agentes autorretenedores.</w:t>
      </w:r>
      <w:r>
        <w:rPr>
          <w:rFonts w:ascii="Arial" w:hAnsi="Arial" w:cs="Arial"/>
          <w:lang w:val="es-CO"/>
        </w:rPr>
        <w:t xml:space="preserve"> Para efectos de la autorretención en la fuente que deba practicarse de conformidad con lo previs</w:t>
      </w:r>
      <w:r>
        <w:rPr>
          <w:rFonts w:ascii="Arial" w:hAnsi="Arial" w:cs="Arial"/>
          <w:lang w:val="es-CO"/>
        </w:rPr>
        <w:t xml:space="preserve">to en los artículos 1.2.4.2.74 al 1.2.4.2.77 del presente Decreto, sobre los ingresos tributarios provenientes de contratos forward, futuros y operaciones a plazo de cumplimiento financiero, que se cumplan todos ellos sin la entrega del activo subyacente, </w:t>
      </w:r>
      <w:r>
        <w:rPr>
          <w:rFonts w:ascii="Arial" w:hAnsi="Arial" w:cs="Arial"/>
          <w:lang w:val="es-CO"/>
        </w:rPr>
        <w:t>son agentes autorretenedores los previstos en el artículo 1.2.4.2.43 del presente Decreto.</w:t>
      </w:r>
    </w:p>
    <w:p w14:paraId="26AFAF46" w14:textId="77777777" w:rsidR="00B2442D" w:rsidRDefault="00B2442D">
      <w:pPr>
        <w:jc w:val="both"/>
        <w:rPr>
          <w:rFonts w:ascii="Arial" w:hAnsi="Arial" w:cs="Arial"/>
          <w:lang w:val="es-CO"/>
        </w:rPr>
      </w:pPr>
    </w:p>
    <w:p w14:paraId="3CE3CAE0" w14:textId="77777777" w:rsidR="00B2442D" w:rsidRDefault="008A645F">
      <w:pPr>
        <w:jc w:val="both"/>
        <w:rPr>
          <w:rFonts w:ascii="Arial" w:hAnsi="Arial" w:cs="Arial"/>
          <w:i/>
          <w:lang w:val="es-CO"/>
        </w:rPr>
      </w:pPr>
      <w:r>
        <w:rPr>
          <w:rFonts w:ascii="Arial" w:hAnsi="Arial" w:cs="Arial"/>
          <w:i/>
          <w:lang w:val="es-CO"/>
        </w:rPr>
        <w:t>(Art. 2, Decreto 1737 de 1999)</w:t>
      </w:r>
      <w:r>
        <w:rPr>
          <w:rFonts w:ascii="Arial" w:hAnsi="Arial" w:cs="Arial"/>
        </w:rPr>
        <w:t xml:space="preserve"> (</w:t>
      </w:r>
      <w:r>
        <w:rPr>
          <w:rFonts w:ascii="Arial" w:hAnsi="Arial" w:cs="Arial"/>
          <w:i/>
          <w:lang w:val="es-CO"/>
        </w:rPr>
        <w:t xml:space="preserve">El Decreto 1737 de 1999 rige a partir de su publicación y deroga el artículo 12 del Decreto 1514 de 1998. Art. 5, Decreto 1737 de </w:t>
      </w:r>
      <w:r>
        <w:rPr>
          <w:rFonts w:ascii="Arial" w:hAnsi="Arial" w:cs="Arial"/>
          <w:i/>
          <w:lang w:val="es-CO"/>
        </w:rPr>
        <w:t>1999)</w:t>
      </w:r>
    </w:p>
    <w:p w14:paraId="09EAC0EE" w14:textId="77777777" w:rsidR="00B2442D" w:rsidRDefault="00B2442D">
      <w:pPr>
        <w:jc w:val="both"/>
        <w:rPr>
          <w:rFonts w:ascii="Arial" w:hAnsi="Arial" w:cs="Arial"/>
          <w:b/>
          <w:lang w:val="es-CO"/>
        </w:rPr>
      </w:pPr>
    </w:p>
    <w:p w14:paraId="0DF81DDD"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Base de autorretención mensual.</w:t>
      </w:r>
      <w:r>
        <w:rPr>
          <w:rFonts w:ascii="Arial" w:hAnsi="Arial" w:cs="Arial"/>
          <w:lang w:val="es-CO"/>
        </w:rPr>
        <w:t xml:space="preserve"> Los contribuyentes del impuesto sobre la renta y complementario que tengan la calidad de agentes autorretenedores de ingresos tributarios provenientes de contratos, forward, futuros, opciones y operaciones a plazo de</w:t>
      </w:r>
      <w:r>
        <w:rPr>
          <w:rFonts w:ascii="Arial" w:hAnsi="Arial" w:cs="Arial"/>
          <w:lang w:val="es-CO"/>
        </w:rPr>
        <w:t xml:space="preserve"> cumplimiento financiero, deberán practicarse mensualmente la retención en la fuente sobre los ingresos tributarios que obtengan en el respectivo mes, con motivo del vencimiento de los contratos que ocurra en el mismo mes.</w:t>
      </w:r>
    </w:p>
    <w:p w14:paraId="029E71FE" w14:textId="77777777" w:rsidR="00B2442D" w:rsidRDefault="00B2442D">
      <w:pPr>
        <w:jc w:val="both"/>
        <w:rPr>
          <w:rFonts w:ascii="Arial" w:hAnsi="Arial" w:cs="Arial"/>
          <w:lang w:val="es-CO"/>
        </w:rPr>
      </w:pPr>
    </w:p>
    <w:p w14:paraId="1387D46C" w14:textId="77777777" w:rsidR="00B2442D" w:rsidRDefault="008A645F">
      <w:pPr>
        <w:jc w:val="both"/>
        <w:rPr>
          <w:rFonts w:ascii="Arial" w:hAnsi="Arial" w:cs="Arial"/>
          <w:lang w:val="es-CO"/>
        </w:rPr>
      </w:pPr>
      <w:r>
        <w:rPr>
          <w:rFonts w:ascii="Arial" w:hAnsi="Arial" w:cs="Arial"/>
          <w:lang w:val="es-CO"/>
        </w:rPr>
        <w:t>Para estos efectos la autorreten</w:t>
      </w:r>
      <w:r>
        <w:rPr>
          <w:rFonts w:ascii="Arial" w:hAnsi="Arial" w:cs="Arial"/>
          <w:lang w:val="es-CO"/>
        </w:rPr>
        <w:t>ción en la fuente se calculará tomando como base los ingresos que genere el contrato para el contribuyente en la fecha del vencimiento del mismo, de acuerdo con la liquidación que haga la respectiva entidad a través de la cual se haya liquidado y compensad</w:t>
      </w:r>
      <w:r>
        <w:rPr>
          <w:rFonts w:ascii="Arial" w:hAnsi="Arial" w:cs="Arial"/>
          <w:lang w:val="es-CO"/>
        </w:rPr>
        <w:t>o el contrato. En todo caso, el ingreso deberá determinarse antes del pago de comisiones o cualquier otra remuneración que realice el contribuyente.</w:t>
      </w:r>
    </w:p>
    <w:p w14:paraId="5CED0116" w14:textId="77777777" w:rsidR="00B2442D" w:rsidRDefault="00B2442D">
      <w:pPr>
        <w:jc w:val="both"/>
        <w:rPr>
          <w:rFonts w:ascii="Arial" w:hAnsi="Arial" w:cs="Arial"/>
          <w:lang w:val="es-CO"/>
        </w:rPr>
      </w:pPr>
    </w:p>
    <w:p w14:paraId="0B4F8F46" w14:textId="77777777" w:rsidR="00B2442D" w:rsidRDefault="008A645F">
      <w:pPr>
        <w:jc w:val="both"/>
        <w:rPr>
          <w:rFonts w:ascii="Arial" w:hAnsi="Arial" w:cs="Arial"/>
          <w:lang w:val="es-CO"/>
        </w:rPr>
      </w:pPr>
      <w:r>
        <w:rPr>
          <w:rFonts w:ascii="Arial" w:hAnsi="Arial" w:cs="Arial"/>
          <w:lang w:val="es-CO"/>
        </w:rPr>
        <w:t>El procedimiento a seguir será el siguiente:</w:t>
      </w:r>
    </w:p>
    <w:p w14:paraId="06382196" w14:textId="77777777" w:rsidR="00B2442D" w:rsidRDefault="00B2442D">
      <w:pPr>
        <w:jc w:val="both"/>
        <w:rPr>
          <w:rFonts w:ascii="Arial" w:hAnsi="Arial" w:cs="Arial"/>
          <w:lang w:val="es-CO"/>
        </w:rPr>
      </w:pPr>
    </w:p>
    <w:p w14:paraId="326D30F7" w14:textId="77777777" w:rsidR="00B2442D" w:rsidRDefault="008A645F">
      <w:pPr>
        <w:jc w:val="both"/>
        <w:rPr>
          <w:rFonts w:ascii="Arial" w:hAnsi="Arial" w:cs="Arial"/>
          <w:lang w:val="es-CO"/>
        </w:rPr>
      </w:pPr>
      <w:r>
        <w:rPr>
          <w:rFonts w:ascii="Arial" w:hAnsi="Arial" w:cs="Arial"/>
          <w:lang w:val="es-CO"/>
        </w:rPr>
        <w:t>a) Se determina la diferencia positiva existente entre el va</w:t>
      </w:r>
      <w:r>
        <w:rPr>
          <w:rFonts w:ascii="Arial" w:hAnsi="Arial" w:cs="Arial"/>
          <w:lang w:val="es-CO"/>
        </w:rPr>
        <w:t>lor del índice, tasa o precio definido en cada uno de los contratos y el valor de mercado del correspondiente índice, tasa o precio en la fecha del vencimiento de los respectivos contratos. Dicha diferencia se multiplica por la cantidad estipulada en el co</w:t>
      </w:r>
      <w:r>
        <w:rPr>
          <w:rFonts w:ascii="Arial" w:hAnsi="Arial" w:cs="Arial"/>
          <w:lang w:val="es-CO"/>
        </w:rPr>
        <w:t>ntrato y el resultado será la base para calcular la retención en la fuente;</w:t>
      </w:r>
    </w:p>
    <w:p w14:paraId="21FC336C" w14:textId="77777777" w:rsidR="00B2442D" w:rsidRDefault="00B2442D">
      <w:pPr>
        <w:jc w:val="both"/>
        <w:rPr>
          <w:rFonts w:ascii="Arial" w:hAnsi="Arial" w:cs="Arial"/>
          <w:lang w:val="es-CO"/>
        </w:rPr>
      </w:pPr>
    </w:p>
    <w:p w14:paraId="634D78D8" w14:textId="77777777" w:rsidR="00B2442D" w:rsidRDefault="008A645F">
      <w:pPr>
        <w:jc w:val="both"/>
        <w:rPr>
          <w:rFonts w:ascii="Arial" w:hAnsi="Arial" w:cs="Arial"/>
          <w:lang w:val="es-CO"/>
        </w:rPr>
      </w:pPr>
      <w:r>
        <w:rPr>
          <w:rFonts w:ascii="Arial" w:hAnsi="Arial" w:cs="Arial"/>
          <w:lang w:val="es-CO"/>
        </w:rPr>
        <w:t xml:space="preserve">b) Si en uno de los contratos, el valor de la diferencia determinada conforme a lo señalado en el literal anterior, resulta negativo, dicha diferencia multiplicada por la </w:t>
      </w:r>
      <w:r>
        <w:rPr>
          <w:rFonts w:ascii="Arial" w:hAnsi="Arial" w:cs="Arial"/>
          <w:lang w:val="es-CO"/>
        </w:rPr>
        <w:t>cantidad estipulada en dicho contrato, se restará de la base de autorretención en la fuente calculada para el mes durante el cual se venció el contrato que originó la diferencia negativa;</w:t>
      </w:r>
    </w:p>
    <w:p w14:paraId="2E21E2AB" w14:textId="77777777" w:rsidR="00B2442D" w:rsidRDefault="00B2442D">
      <w:pPr>
        <w:jc w:val="both"/>
        <w:rPr>
          <w:rFonts w:ascii="Arial" w:hAnsi="Arial" w:cs="Arial"/>
          <w:lang w:val="es-CO"/>
        </w:rPr>
      </w:pPr>
    </w:p>
    <w:p w14:paraId="650178AF" w14:textId="77777777" w:rsidR="00B2442D" w:rsidRDefault="008A645F">
      <w:pPr>
        <w:jc w:val="both"/>
        <w:rPr>
          <w:rFonts w:ascii="Arial" w:hAnsi="Arial" w:cs="Arial"/>
          <w:lang w:val="es-CO"/>
        </w:rPr>
      </w:pPr>
      <w:r>
        <w:rPr>
          <w:rFonts w:ascii="Arial" w:hAnsi="Arial" w:cs="Arial"/>
          <w:lang w:val="es-CO"/>
        </w:rPr>
        <w:t>c) En el caso de las operaciones que tengan la vocación de cumplirs</w:t>
      </w:r>
      <w:r>
        <w:rPr>
          <w:rFonts w:ascii="Arial" w:hAnsi="Arial" w:cs="Arial"/>
          <w:lang w:val="es-CO"/>
        </w:rPr>
        <w:t>e o se cumplan mediante la entrega del activo subyacente, en las que además haya habido pagos en dinero, adicionalmente se conformará una base independiente de autorretención con los ingresos que resulten de la entrega del bien.</w:t>
      </w:r>
    </w:p>
    <w:p w14:paraId="047FC51E" w14:textId="77777777" w:rsidR="00B2442D" w:rsidRDefault="00B2442D">
      <w:pPr>
        <w:jc w:val="both"/>
        <w:rPr>
          <w:rFonts w:ascii="Arial" w:hAnsi="Arial" w:cs="Arial"/>
          <w:lang w:val="es-CO"/>
        </w:rPr>
      </w:pPr>
    </w:p>
    <w:p w14:paraId="34B9C6D2" w14:textId="77777777" w:rsidR="00B2442D" w:rsidRDefault="008A645F">
      <w:pPr>
        <w:jc w:val="both"/>
        <w:rPr>
          <w:rFonts w:ascii="Arial" w:hAnsi="Arial" w:cs="Arial"/>
          <w:lang w:val="es-CO"/>
        </w:rPr>
      </w:pPr>
      <w:r>
        <w:rPr>
          <w:rFonts w:ascii="Arial" w:hAnsi="Arial" w:cs="Arial"/>
          <w:b/>
          <w:lang w:val="es-CO"/>
        </w:rPr>
        <w:t xml:space="preserve">Parágrafo 1o. </w:t>
      </w:r>
      <w:r>
        <w:rPr>
          <w:rFonts w:ascii="Arial" w:hAnsi="Arial" w:cs="Arial"/>
          <w:lang w:val="es-CO"/>
        </w:rPr>
        <w:t>El procedimi</w:t>
      </w:r>
      <w:r>
        <w:rPr>
          <w:rFonts w:ascii="Arial" w:hAnsi="Arial" w:cs="Arial"/>
          <w:lang w:val="es-CO"/>
        </w:rPr>
        <w:t>ento aquí previsto deberá realizarse de manera independiente para los ingresos provenientes de cada grupo de contratos forward, futuros, opciones, demás derivados y operaciones a plazo de cumplimiento financiero, que tengan vocación de cumplirse sin la ent</w:t>
      </w:r>
      <w:r>
        <w:rPr>
          <w:rFonts w:ascii="Arial" w:hAnsi="Arial" w:cs="Arial"/>
          <w:lang w:val="es-CO"/>
        </w:rPr>
        <w:t>rega del activo subyacente.</w:t>
      </w:r>
    </w:p>
    <w:p w14:paraId="560D4599" w14:textId="77777777" w:rsidR="00B2442D" w:rsidRDefault="00B2442D">
      <w:pPr>
        <w:jc w:val="both"/>
        <w:rPr>
          <w:rFonts w:ascii="Arial" w:hAnsi="Arial" w:cs="Arial"/>
          <w:lang w:val="es-CO"/>
        </w:rPr>
      </w:pPr>
    </w:p>
    <w:p w14:paraId="5633DA38" w14:textId="77777777" w:rsidR="00B2442D" w:rsidRDefault="008A645F">
      <w:pPr>
        <w:jc w:val="both"/>
        <w:rPr>
          <w:rFonts w:ascii="Arial" w:hAnsi="Arial" w:cs="Arial"/>
          <w:lang w:val="es-CO"/>
        </w:rPr>
      </w:pPr>
      <w:r>
        <w:rPr>
          <w:rFonts w:ascii="Arial" w:hAnsi="Arial" w:cs="Arial"/>
          <w:lang w:val="es-CO"/>
        </w:rPr>
        <w:t>Para el efecto, el contribuyente deberá separar los ingresos provenientes de cada grupo de contratos que tenga la misma tipología contractual y hacer el cálculo anteriormente señalado de manera independiente para el grupo respe</w:t>
      </w:r>
      <w:r>
        <w:rPr>
          <w:rFonts w:ascii="Arial" w:hAnsi="Arial" w:cs="Arial"/>
          <w:lang w:val="es-CO"/>
        </w:rPr>
        <w:t>ctivo.</w:t>
      </w:r>
    </w:p>
    <w:p w14:paraId="1E4775CE" w14:textId="77777777" w:rsidR="00B2442D" w:rsidRDefault="00B2442D">
      <w:pPr>
        <w:jc w:val="both"/>
        <w:rPr>
          <w:rFonts w:ascii="Arial" w:hAnsi="Arial" w:cs="Arial"/>
          <w:lang w:val="es-CO"/>
        </w:rPr>
      </w:pPr>
    </w:p>
    <w:p w14:paraId="367F230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w:t>
      </w:r>
      <w:r>
        <w:rPr>
          <w:rFonts w:ascii="Arial" w:hAnsi="Arial" w:cs="Arial"/>
          <w:b/>
          <w:lang w:val="es-CO"/>
        </w:rPr>
        <w:t>2o.</w:t>
      </w:r>
      <w:r>
        <w:rPr>
          <w:rFonts w:ascii="Arial" w:hAnsi="Arial" w:cs="Arial"/>
          <w:lang w:val="es-CO"/>
        </w:rPr>
        <w:t xml:space="preserve"> En ningún caso, la diferencia negativa de que trata el literal b) del presente artículo, podrá ser deducida de la base de autorretención en la fuente calculada para otros ingresos tributarios provenientes de contratos que tengan disti</w:t>
      </w:r>
      <w:r>
        <w:rPr>
          <w:rFonts w:ascii="Arial" w:hAnsi="Arial" w:cs="Arial"/>
          <w:lang w:val="es-CO"/>
        </w:rPr>
        <w:t>nta tipología de acuerdo con el parágrafo anterior, o deducida de la base de autorretención calculada para un mes distinto a aquél en el cual se venció el contrato que originó la diferencia negativa.</w:t>
      </w:r>
    </w:p>
    <w:p w14:paraId="46705A93" w14:textId="77777777" w:rsidR="00B2442D" w:rsidRDefault="00B2442D">
      <w:pPr>
        <w:jc w:val="both"/>
        <w:rPr>
          <w:rFonts w:ascii="Arial" w:hAnsi="Arial" w:cs="Arial"/>
          <w:lang w:val="es-CO"/>
        </w:rPr>
      </w:pPr>
    </w:p>
    <w:p w14:paraId="5F4FA3B9" w14:textId="77777777" w:rsidR="00B2442D" w:rsidRDefault="008A645F">
      <w:pPr>
        <w:jc w:val="both"/>
        <w:rPr>
          <w:rFonts w:ascii="Arial" w:hAnsi="Arial" w:cs="Arial"/>
          <w:lang w:val="es-CO"/>
        </w:rPr>
      </w:pPr>
      <w:r>
        <w:rPr>
          <w:rFonts w:ascii="Arial" w:hAnsi="Arial" w:cs="Arial"/>
          <w:b/>
          <w:lang w:val="es-CO"/>
        </w:rPr>
        <w:t xml:space="preserve">Parágrafo 3o. </w:t>
      </w:r>
      <w:r>
        <w:rPr>
          <w:rFonts w:ascii="Arial" w:hAnsi="Arial" w:cs="Arial"/>
          <w:lang w:val="es-CO"/>
        </w:rPr>
        <w:t xml:space="preserve">En el caso de las operaciones que tengan </w:t>
      </w:r>
      <w:r>
        <w:rPr>
          <w:rFonts w:ascii="Arial" w:hAnsi="Arial" w:cs="Arial"/>
          <w:lang w:val="es-CO"/>
        </w:rPr>
        <w:t>la vocación de cumplirse o se cumplan mediante la entrega del activo subyacente, se podrán realizar adicionalmente compensaciones con las bases de autorretención correspondientes a los ingresos que resulten de la entrega del bien, siempre que se trate de o</w:t>
      </w:r>
      <w:r>
        <w:rPr>
          <w:rFonts w:ascii="Arial" w:hAnsi="Arial" w:cs="Arial"/>
          <w:lang w:val="es-CO"/>
        </w:rPr>
        <w:t>peraciones que tengan la misma tipología contractual</w:t>
      </w:r>
    </w:p>
    <w:p w14:paraId="0D48E6BF" w14:textId="77777777" w:rsidR="00B2442D" w:rsidRDefault="00B2442D">
      <w:pPr>
        <w:jc w:val="both"/>
        <w:rPr>
          <w:rFonts w:ascii="Arial" w:hAnsi="Arial" w:cs="Arial"/>
          <w:i/>
          <w:lang w:val="es-CO"/>
        </w:rPr>
      </w:pPr>
    </w:p>
    <w:p w14:paraId="40C8EE80" w14:textId="77777777" w:rsidR="00B2442D" w:rsidRDefault="008A645F">
      <w:pPr>
        <w:jc w:val="both"/>
        <w:rPr>
          <w:rFonts w:ascii="Arial" w:hAnsi="Arial" w:cs="Arial"/>
          <w:i/>
          <w:lang w:val="es-CO"/>
        </w:rPr>
      </w:pPr>
      <w:r>
        <w:rPr>
          <w:rFonts w:ascii="Arial" w:hAnsi="Arial" w:cs="Arial"/>
          <w:i/>
          <w:lang w:val="es-CO"/>
        </w:rPr>
        <w:t>(Art. 3, Decreto 1737 de 1999, modificado por el artículo 8 del Decreto 1797 de 2008)</w:t>
      </w:r>
      <w:r>
        <w:rPr>
          <w:rFonts w:ascii="Arial" w:hAnsi="Arial" w:cs="Arial"/>
        </w:rPr>
        <w:t xml:space="preserve"> (</w:t>
      </w:r>
      <w:r>
        <w:rPr>
          <w:rFonts w:ascii="Arial" w:hAnsi="Arial" w:cs="Arial"/>
          <w:i/>
          <w:lang w:val="es-CO"/>
        </w:rPr>
        <w:t>El Decreto 1737 de 1999 rige a partir de su publicación y deroga el artículo 12 del Decreto 1514 de 1998. Art. 5, D</w:t>
      </w:r>
      <w:r>
        <w:rPr>
          <w:rFonts w:ascii="Arial" w:hAnsi="Arial" w:cs="Arial"/>
          <w:i/>
          <w:lang w:val="es-CO"/>
        </w:rPr>
        <w:t>ecreto 1737 de 1999)</w:t>
      </w:r>
    </w:p>
    <w:p w14:paraId="7772786B" w14:textId="77777777" w:rsidR="00B2442D" w:rsidRDefault="00B2442D">
      <w:pPr>
        <w:jc w:val="both"/>
        <w:rPr>
          <w:rFonts w:ascii="Arial" w:hAnsi="Arial" w:cs="Arial"/>
          <w:lang w:val="es-CO"/>
        </w:rPr>
      </w:pPr>
    </w:p>
    <w:p w14:paraId="7D828B7E"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por contratos sobre derivados.</w:t>
      </w:r>
      <w:r>
        <w:rPr>
          <w:rFonts w:ascii="Arial" w:hAnsi="Arial" w:cs="Arial"/>
          <w:lang w:val="es-CO"/>
        </w:rPr>
        <w:t xml:space="preserve"> Cuando el beneficiario del ingreso generado en contratos sobre derivados no sea autorretenedor por dicho concepto, la retención en la fuente será realizada por la entidad que real</w:t>
      </w:r>
      <w:r>
        <w:rPr>
          <w:rFonts w:ascii="Arial" w:hAnsi="Arial" w:cs="Arial"/>
          <w:lang w:val="es-CO"/>
        </w:rPr>
        <w:t>iza el pago al beneficiario del contrato, en la fecha de su vencimiento, evento en el cual la base de retención en la fuente será el total del ingreso determinado en la forma prevista en el artículo 1.2.4.2.76 del presente Decreto. Para el efecto, la entid</w:t>
      </w:r>
      <w:r>
        <w:rPr>
          <w:rFonts w:ascii="Arial" w:hAnsi="Arial" w:cs="Arial"/>
          <w:lang w:val="es-CO"/>
        </w:rPr>
        <w:t>ad que realiza el pago sólo tendrá en cuenta los contratos en relación con los cuales tenga que practicar la respectiva retención.</w:t>
      </w:r>
    </w:p>
    <w:p w14:paraId="142E4CE6" w14:textId="77777777" w:rsidR="00B2442D" w:rsidRDefault="00B2442D">
      <w:pPr>
        <w:jc w:val="both"/>
        <w:rPr>
          <w:rFonts w:ascii="Arial" w:hAnsi="Arial" w:cs="Arial"/>
          <w:i/>
          <w:lang w:val="es-CO"/>
        </w:rPr>
      </w:pPr>
    </w:p>
    <w:p w14:paraId="4F48CB3A" w14:textId="77777777" w:rsidR="00B2442D" w:rsidRDefault="008A645F">
      <w:pPr>
        <w:jc w:val="both"/>
        <w:rPr>
          <w:rFonts w:ascii="Arial" w:hAnsi="Arial" w:cs="Arial"/>
          <w:i/>
          <w:lang w:val="es-CO"/>
        </w:rPr>
      </w:pPr>
      <w:r>
        <w:rPr>
          <w:rFonts w:ascii="Arial" w:hAnsi="Arial" w:cs="Arial"/>
          <w:i/>
          <w:lang w:val="es-CO"/>
        </w:rPr>
        <w:t>(Art. 4, Decreto 1737 de 1999, modificado por el artículo 9 del Decreto 1797 de 2008)</w:t>
      </w:r>
      <w:r>
        <w:rPr>
          <w:rFonts w:ascii="Arial" w:hAnsi="Arial" w:cs="Arial"/>
        </w:rPr>
        <w:t xml:space="preserve"> (</w:t>
      </w:r>
      <w:r>
        <w:rPr>
          <w:rFonts w:ascii="Arial" w:hAnsi="Arial" w:cs="Arial"/>
          <w:i/>
          <w:lang w:val="es-CO"/>
        </w:rPr>
        <w:t xml:space="preserve">El Decreto 1737 de 1999 rige a </w:t>
      </w:r>
      <w:r>
        <w:rPr>
          <w:rFonts w:ascii="Arial" w:hAnsi="Arial" w:cs="Arial"/>
          <w:i/>
          <w:lang w:val="es-CO"/>
        </w:rPr>
        <w:t>partir de su publicación y deroga el artículo 12 del Decreto 1514 de 1998. Art. 5, Decreto 1737 de 1999)</w:t>
      </w:r>
    </w:p>
    <w:p w14:paraId="36A94856" w14:textId="77777777" w:rsidR="00B2442D" w:rsidRDefault="00B2442D">
      <w:pPr>
        <w:jc w:val="both"/>
        <w:rPr>
          <w:rFonts w:ascii="Arial" w:hAnsi="Arial" w:cs="Arial"/>
          <w:b/>
          <w:lang w:val="es-CO"/>
        </w:rPr>
      </w:pPr>
    </w:p>
    <w:p w14:paraId="1748E40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de los Fondos de Inversión Colectiva.</w:t>
      </w:r>
      <w:r>
        <w:rPr>
          <w:rFonts w:ascii="Arial" w:hAnsi="Arial" w:cs="Arial"/>
          <w:lang w:val="es-CO"/>
        </w:rPr>
        <w:t xml:space="preserve"> Para efectos de la retención en la fuente a título del impuesto sobre la renta y complem</w:t>
      </w:r>
      <w:r>
        <w:rPr>
          <w:rFonts w:ascii="Arial" w:hAnsi="Arial" w:cs="Arial"/>
          <w:lang w:val="es-CO"/>
        </w:rPr>
        <w:t>entarios prevista en el artículo 368-1 del Estatuto Tributario, las entidades administradoras de los fondos de inversión colectiva previstos en el Decreto 1242 de 2013 que modificó la parte 3 del Decreto 2555 de 2010, cuya denominación reemplaza a los fond</w:t>
      </w:r>
      <w:r>
        <w:rPr>
          <w:rFonts w:ascii="Arial" w:hAnsi="Arial" w:cs="Arial"/>
          <w:lang w:val="es-CO"/>
        </w:rPr>
        <w:t>os de que trata el artículo 23-1 del Estatuto Tributario, deben observar las siguientes reglas, teniendo en cuenta los sistemas de valoración contable expedidos por la Superintendencia Financiera de Colombia:</w:t>
      </w:r>
    </w:p>
    <w:p w14:paraId="6260EA1C" w14:textId="77777777" w:rsidR="00B2442D" w:rsidRDefault="00B2442D">
      <w:pPr>
        <w:jc w:val="both"/>
        <w:rPr>
          <w:rFonts w:ascii="Arial" w:hAnsi="Arial" w:cs="Arial"/>
          <w:lang w:val="es-CO"/>
        </w:rPr>
      </w:pPr>
    </w:p>
    <w:p w14:paraId="3B0220E5"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En toda redención de participaciones deberá</w:t>
      </w:r>
      <w:r>
        <w:rPr>
          <w:rFonts w:ascii="Arial" w:hAnsi="Arial" w:cs="Arial"/>
          <w:lang w:val="es-CO"/>
        </w:rPr>
        <w:t xml:space="preserve"> imputarse el pago, en primer lugar, a la totalidad de la utilidad susceptible de someterse a retención en la fuente. Si el monto de la redención excede el de la utilidad susceptible de someterse a retención en la fuente, el exceso será considerado como ap</w:t>
      </w:r>
      <w:r>
        <w:rPr>
          <w:rFonts w:ascii="Arial" w:hAnsi="Arial" w:cs="Arial"/>
          <w:lang w:val="es-CO"/>
        </w:rPr>
        <w:t>orte. Si el monto de la utilidad susceptible de someterse a retención en la fuente es superior al del valor redimido, la totalidad de la redención efectuada se considerará como utilidad pagada.</w:t>
      </w:r>
    </w:p>
    <w:p w14:paraId="5BB4BA2C" w14:textId="77777777" w:rsidR="00B2442D" w:rsidRDefault="00B2442D">
      <w:pPr>
        <w:ind w:left="284" w:hanging="284"/>
        <w:jc w:val="both"/>
        <w:rPr>
          <w:rFonts w:ascii="Arial" w:hAnsi="Arial" w:cs="Arial"/>
          <w:lang w:val="es-CO"/>
        </w:rPr>
      </w:pPr>
    </w:p>
    <w:p w14:paraId="3F5700AD"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La retención en la fuente se practicará sobre las utilidad</w:t>
      </w:r>
      <w:r>
        <w:rPr>
          <w:rFonts w:ascii="Arial" w:hAnsi="Arial" w:cs="Arial"/>
          <w:lang w:val="es-CO"/>
        </w:rPr>
        <w:t>es que efectivamente se paguen a los partícipes o suscriptores de los fondos, las cuales mantendrán su fuente nacional o extranjera, naturaleza y, en general, las mismas condiciones tributarias que tendrían si el partícipe o suscriptor las hubiese percibid</w:t>
      </w:r>
      <w:r>
        <w:rPr>
          <w:rFonts w:ascii="Arial" w:hAnsi="Arial" w:cs="Arial"/>
          <w:lang w:val="es-CO"/>
        </w:rPr>
        <w:t>o directamente.</w:t>
      </w:r>
    </w:p>
    <w:p w14:paraId="07C1CCC2" w14:textId="77777777" w:rsidR="00B2442D" w:rsidRDefault="00B2442D">
      <w:pPr>
        <w:ind w:left="284" w:hanging="284"/>
        <w:jc w:val="both"/>
        <w:rPr>
          <w:rFonts w:ascii="Arial" w:hAnsi="Arial" w:cs="Arial"/>
          <w:lang w:val="es-CO"/>
        </w:rPr>
      </w:pPr>
    </w:p>
    <w:p w14:paraId="30D8F52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Para efectos de los artículos 1.2.4.2.78 al 1.2.4.2.82 de este Decreto, los diferentes componentes de inversión se calcularán de manera autónoma por niveles o actividades de inversión teniendo en cuenta el concepto del ingreso.</w:t>
      </w:r>
    </w:p>
    <w:p w14:paraId="0E40FE35" w14:textId="77777777" w:rsidR="00B2442D" w:rsidRDefault="00B2442D">
      <w:pPr>
        <w:ind w:left="284" w:hanging="284"/>
        <w:jc w:val="both"/>
        <w:rPr>
          <w:rFonts w:ascii="Arial" w:hAnsi="Arial" w:cs="Arial"/>
          <w:lang w:val="es-CO"/>
        </w:rPr>
      </w:pPr>
    </w:p>
    <w:p w14:paraId="6E64FD76"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De c</w:t>
      </w:r>
      <w:r>
        <w:rPr>
          <w:rFonts w:ascii="Arial" w:hAnsi="Arial" w:cs="Arial"/>
          <w:lang w:val="es-CO"/>
        </w:rPr>
        <w:t>ada uno de los componentes de inversión calculados de conformidad con el numeral anterior, se restarán los gastos a cargo del fondo y la contraprestación de la entidad administradora causados durante el mes en el que se efectúe la redención, en la proporci</w:t>
      </w:r>
      <w:r>
        <w:rPr>
          <w:rFonts w:ascii="Arial" w:hAnsi="Arial" w:cs="Arial"/>
          <w:lang w:val="es-CO"/>
        </w:rPr>
        <w:t>ón correspondiente a su participación en el mismo, para lo cual deben tenerse en cuenta los requisitos, condiciones y limitaciones previstas en el Estatuto Tributario.</w:t>
      </w:r>
    </w:p>
    <w:p w14:paraId="335C7946" w14:textId="77777777" w:rsidR="00B2442D" w:rsidRDefault="00B2442D">
      <w:pPr>
        <w:ind w:left="284" w:hanging="284"/>
        <w:jc w:val="both"/>
        <w:rPr>
          <w:rFonts w:ascii="Arial" w:hAnsi="Arial" w:cs="Arial"/>
          <w:lang w:val="es-CO"/>
        </w:rPr>
      </w:pPr>
    </w:p>
    <w:p w14:paraId="7DA5515C"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Realizada la operación establecida en el numeral 4 precedente, se sumarán aquellos v</w:t>
      </w:r>
      <w:r>
        <w:rPr>
          <w:rFonts w:ascii="Arial" w:hAnsi="Arial" w:cs="Arial"/>
          <w:lang w:val="es-CO"/>
        </w:rPr>
        <w:t>alores positivos y negativos resultantes de cada uno de los componentes de inversión, correspondientes a ingresos diferentes a aquellos no constitutivos de renta ni ganancia ocasional y rentas exentas. Este resultado se denomina utilidad susceptible de som</w:t>
      </w:r>
      <w:r>
        <w:rPr>
          <w:rFonts w:ascii="Arial" w:hAnsi="Arial" w:cs="Arial"/>
          <w:lang w:val="es-CO"/>
        </w:rPr>
        <w:t>eterse a retención en la fuente.</w:t>
      </w:r>
    </w:p>
    <w:p w14:paraId="4A2F3BF2" w14:textId="77777777" w:rsidR="00B2442D" w:rsidRDefault="00B2442D">
      <w:pPr>
        <w:ind w:left="284" w:hanging="284"/>
        <w:jc w:val="both"/>
        <w:rPr>
          <w:rFonts w:ascii="Arial" w:hAnsi="Arial" w:cs="Arial"/>
          <w:lang w:val="es-CO"/>
        </w:rPr>
      </w:pPr>
    </w:p>
    <w:p w14:paraId="111B80C5"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t>Cuando la utilidad susceptible de someterse a retención en la fuente esté conformada por ingresos sujetos a diferentes tarifas de retención en la fuente, se deberá determinar el aporte proporcional de cada uno de los di</w:t>
      </w:r>
      <w:r>
        <w:rPr>
          <w:rFonts w:ascii="Arial" w:hAnsi="Arial" w:cs="Arial"/>
          <w:lang w:val="es-CO"/>
        </w:rPr>
        <w:t>ferentes ingresos que hayan sido positivos a la utilidad neta y, a esa proporción, se le aplicará la tarifa de retención en la fuente correspondiente al respectivo concepto de ingreso.</w:t>
      </w:r>
    </w:p>
    <w:p w14:paraId="6727AE7A" w14:textId="77777777" w:rsidR="00B2442D" w:rsidRDefault="00B2442D">
      <w:pPr>
        <w:ind w:left="284" w:hanging="284"/>
        <w:jc w:val="both"/>
        <w:rPr>
          <w:rFonts w:ascii="Arial" w:hAnsi="Arial" w:cs="Arial"/>
          <w:lang w:val="es-CO"/>
        </w:rPr>
      </w:pPr>
    </w:p>
    <w:p w14:paraId="785D5EE6" w14:textId="77777777" w:rsidR="00B2442D" w:rsidRDefault="008A645F">
      <w:pPr>
        <w:ind w:left="284" w:hanging="284"/>
        <w:jc w:val="both"/>
        <w:rPr>
          <w:rFonts w:ascii="Arial" w:hAnsi="Arial" w:cs="Arial"/>
          <w:lang w:val="es-CO"/>
        </w:rPr>
      </w:pPr>
      <w:r>
        <w:rPr>
          <w:rFonts w:ascii="Arial" w:hAnsi="Arial" w:cs="Arial"/>
          <w:lang w:val="es-CO"/>
        </w:rPr>
        <w:t>7.</w:t>
      </w:r>
      <w:r>
        <w:rPr>
          <w:rFonts w:ascii="Arial" w:hAnsi="Arial" w:cs="Arial"/>
          <w:lang w:val="es-CO"/>
        </w:rPr>
        <w:tab/>
        <w:t>En desarrollo de lo establecido en el artículo 23-1 y en el parágra</w:t>
      </w:r>
      <w:r>
        <w:rPr>
          <w:rFonts w:ascii="Arial" w:hAnsi="Arial" w:cs="Arial"/>
          <w:lang w:val="es-CO"/>
        </w:rPr>
        <w:t>fo del artículo 368-1 del Estatuto Tributario, la, tarifa de retención en la fuente será aquella prevista para el correspondiente concepto de ingreso y las características y condiciones tributarias del partícipe o suscriptor del fondo beneficiario del pago</w:t>
      </w:r>
      <w:r>
        <w:rPr>
          <w:rFonts w:ascii="Arial" w:hAnsi="Arial" w:cs="Arial"/>
          <w:lang w:val="es-CO"/>
        </w:rPr>
        <w:t>.</w:t>
      </w:r>
    </w:p>
    <w:p w14:paraId="310EA2EE" w14:textId="77777777" w:rsidR="00B2442D" w:rsidRDefault="00B2442D">
      <w:pPr>
        <w:jc w:val="both"/>
        <w:rPr>
          <w:rFonts w:ascii="Arial" w:hAnsi="Arial" w:cs="Arial"/>
          <w:b/>
          <w:lang w:val="es-CO"/>
        </w:rPr>
      </w:pPr>
    </w:p>
    <w:p w14:paraId="198D443A"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retención en la fuente prevista en los artículos 1.2.4.2.78 al 1.2.4.2.82 de este Decreto, se practicará con posterioridad a la fecha de solicitud de redención y antes del desembolso efectivo de los recursos.</w:t>
      </w:r>
    </w:p>
    <w:p w14:paraId="5B7F2EA6" w14:textId="77777777" w:rsidR="00B2442D" w:rsidRDefault="00B2442D">
      <w:pPr>
        <w:jc w:val="both"/>
        <w:rPr>
          <w:rFonts w:ascii="Arial" w:hAnsi="Arial" w:cs="Arial"/>
          <w:lang w:val="es-CO"/>
        </w:rPr>
      </w:pPr>
    </w:p>
    <w:p w14:paraId="392D7E6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el valo</w:t>
      </w:r>
      <w:r>
        <w:rPr>
          <w:rFonts w:ascii="Arial" w:hAnsi="Arial" w:cs="Arial"/>
          <w:lang w:val="es-CO"/>
        </w:rPr>
        <w:t>r de la redención esté integrado por ingresos gravados, no gravados y/o rentas exentas y, en consecuencia, sea superior a la utilidad que de acuerdo con lo aquí dispuesto sea susceptible de someterse a retención en la fuente, esta se practicará hasta el va</w:t>
      </w:r>
      <w:r>
        <w:rPr>
          <w:rFonts w:ascii="Arial" w:hAnsi="Arial" w:cs="Arial"/>
          <w:lang w:val="es-CO"/>
        </w:rPr>
        <w:t>lor de dichas utilidades gravadas.</w:t>
      </w:r>
    </w:p>
    <w:p w14:paraId="2156348B" w14:textId="77777777" w:rsidR="00B2442D" w:rsidRDefault="00B2442D">
      <w:pPr>
        <w:jc w:val="both"/>
        <w:rPr>
          <w:rFonts w:ascii="Arial" w:hAnsi="Arial" w:cs="Arial"/>
          <w:lang w:val="es-CO"/>
        </w:rPr>
      </w:pPr>
    </w:p>
    <w:p w14:paraId="032A8228"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En ningún caso, el componente de una redención de participaciones que conforme a las reglas establecidas en los artículos 1.2.4.2.78 al 1.2.4.2.82 de este Decreto corresponda a aportes estará sometido a rete</w:t>
      </w:r>
      <w:r>
        <w:rPr>
          <w:rFonts w:ascii="Arial" w:hAnsi="Arial" w:cs="Arial"/>
          <w:lang w:val="es-CO"/>
        </w:rPr>
        <w:t>nción en la fuente.</w:t>
      </w:r>
    </w:p>
    <w:p w14:paraId="10CFDADA" w14:textId="77777777" w:rsidR="00B2442D" w:rsidRDefault="00B2442D">
      <w:pPr>
        <w:jc w:val="both"/>
        <w:rPr>
          <w:rFonts w:ascii="Arial" w:hAnsi="Arial" w:cs="Arial"/>
          <w:lang w:val="es-CO"/>
        </w:rPr>
      </w:pPr>
    </w:p>
    <w:p w14:paraId="110B9805"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Cuando el partícipe o suscriptor sea una persona natural, la tarifa de retención en la fuente será la prevista en las disposiciones generales dependiendo si se trata de un residente o de un no residente, o de un declarante</w:t>
      </w:r>
      <w:r>
        <w:rPr>
          <w:rFonts w:ascii="Arial" w:hAnsi="Arial" w:cs="Arial"/>
          <w:lang w:val="es-CO"/>
        </w:rPr>
        <w:t xml:space="preserve"> o no declarante del impuesto sobre la renta y complementario. Para el efecto, la persona natural deberá certificar tales calidades al administrador de manera anual, bajo la gravedad del juramento.</w:t>
      </w:r>
    </w:p>
    <w:p w14:paraId="04D3B27D" w14:textId="77777777" w:rsidR="00B2442D" w:rsidRDefault="00B2442D">
      <w:pPr>
        <w:jc w:val="both"/>
        <w:rPr>
          <w:rFonts w:ascii="Arial" w:hAnsi="Arial" w:cs="Arial"/>
          <w:lang w:val="es-CO"/>
        </w:rPr>
      </w:pPr>
    </w:p>
    <w:p w14:paraId="48732181" w14:textId="77777777" w:rsidR="00B2442D" w:rsidRDefault="008A645F">
      <w:pPr>
        <w:jc w:val="both"/>
        <w:rPr>
          <w:rFonts w:ascii="Arial" w:hAnsi="Arial" w:cs="Arial"/>
          <w:lang w:val="es-CO"/>
        </w:rPr>
      </w:pPr>
      <w:r>
        <w:rPr>
          <w:rFonts w:ascii="Arial" w:hAnsi="Arial" w:cs="Arial"/>
          <w:b/>
          <w:lang w:val="es-CO"/>
        </w:rPr>
        <w:t>Parágrafo 5.</w:t>
      </w:r>
      <w:r>
        <w:rPr>
          <w:rFonts w:ascii="Arial" w:hAnsi="Arial" w:cs="Arial"/>
          <w:lang w:val="es-CO"/>
        </w:rPr>
        <w:t xml:space="preserve"> De conformidad con lo establecido en el artículo 153 del Estatuto Tributario, las pérdidas en enajenación de cuotas de interés social, acciones o derechos fiduciarios cuando el objeto del patrimonio autónomo o el activo subyacente esté constituido por acc</w:t>
      </w:r>
      <w:r>
        <w:rPr>
          <w:rFonts w:ascii="Arial" w:hAnsi="Arial" w:cs="Arial"/>
          <w:lang w:val="es-CO"/>
        </w:rPr>
        <w:t>iones o cuotas de interés social, que conformen el portafolio de inversiones de los fondos de inversión colectiva no darán lugar a deducción y en consecuencia tampoco podrán incluirse en los cálculos de que trata el numeral 5 del presente artículo.</w:t>
      </w:r>
    </w:p>
    <w:p w14:paraId="03D91F45" w14:textId="77777777" w:rsidR="00B2442D" w:rsidRDefault="00B2442D">
      <w:pPr>
        <w:jc w:val="both"/>
        <w:rPr>
          <w:rFonts w:ascii="Arial" w:hAnsi="Arial" w:cs="Arial"/>
          <w:lang w:val="es-CO"/>
        </w:rPr>
      </w:pPr>
    </w:p>
    <w:p w14:paraId="3B913F88" w14:textId="77777777" w:rsidR="00B2442D" w:rsidRDefault="008A645F">
      <w:pPr>
        <w:jc w:val="both"/>
        <w:rPr>
          <w:rFonts w:ascii="Arial" w:hAnsi="Arial" w:cs="Arial"/>
          <w:lang w:val="es-CO"/>
        </w:rPr>
      </w:pPr>
      <w:r>
        <w:rPr>
          <w:rFonts w:ascii="Arial" w:hAnsi="Arial" w:cs="Arial"/>
          <w:b/>
          <w:lang w:val="es-CO"/>
        </w:rPr>
        <w:t>Parágr</w:t>
      </w:r>
      <w:r>
        <w:rPr>
          <w:rFonts w:ascii="Arial" w:hAnsi="Arial" w:cs="Arial"/>
          <w:b/>
          <w:lang w:val="es-CO"/>
        </w:rPr>
        <w:t>afo 6.</w:t>
      </w:r>
      <w:r>
        <w:rPr>
          <w:rFonts w:ascii="Arial" w:hAnsi="Arial" w:cs="Arial"/>
          <w:lang w:val="es-CO"/>
        </w:rPr>
        <w:t xml:space="preserve"> Para efectos patrimoniales, al final del respectivo período fiscal, las entidades administradoras certificarán a cada suscriptor o partícipe, como valor patrimonial de la participación en el fondo, el monto que resulte de sumar a los recursos aportados lo</w:t>
      </w:r>
      <w:r>
        <w:rPr>
          <w:rFonts w:ascii="Arial" w:hAnsi="Arial" w:cs="Arial"/>
          <w:lang w:val="es-CO"/>
        </w:rPr>
        <w:t>s rendimientos que estos hayan generado pendientes de pago.</w:t>
      </w:r>
    </w:p>
    <w:p w14:paraId="4E3F175A" w14:textId="77777777" w:rsidR="00B2442D" w:rsidRDefault="00B2442D">
      <w:pPr>
        <w:jc w:val="both"/>
        <w:rPr>
          <w:rFonts w:ascii="Arial" w:hAnsi="Arial" w:cs="Arial"/>
          <w:lang w:val="es-CO"/>
        </w:rPr>
      </w:pPr>
    </w:p>
    <w:p w14:paraId="656FB474" w14:textId="77777777" w:rsidR="00B2442D" w:rsidRDefault="008A645F">
      <w:pPr>
        <w:jc w:val="both"/>
        <w:rPr>
          <w:rFonts w:ascii="Arial" w:hAnsi="Arial" w:cs="Arial"/>
          <w:lang w:val="es-CO"/>
        </w:rPr>
      </w:pPr>
      <w:r>
        <w:rPr>
          <w:rFonts w:ascii="Arial" w:hAnsi="Arial" w:cs="Arial"/>
          <w:b/>
          <w:lang w:val="es-CO"/>
        </w:rPr>
        <w:t>Parágrafo 7.</w:t>
      </w:r>
      <w:r>
        <w:rPr>
          <w:rFonts w:ascii="Arial" w:hAnsi="Arial" w:cs="Arial"/>
          <w:lang w:val="es-CO"/>
        </w:rPr>
        <w:t xml:space="preserve"> En el caso de los fondos de capital privado de que trata el Libro 3 de la Parte 3 del Decreto número 2555 de 2010, no será aplicable la regla del numeral 1 del presente artículo.</w:t>
      </w:r>
    </w:p>
    <w:p w14:paraId="096AC167" w14:textId="77777777" w:rsidR="00B2442D" w:rsidRDefault="00B2442D">
      <w:pPr>
        <w:jc w:val="both"/>
        <w:rPr>
          <w:rFonts w:ascii="Arial" w:hAnsi="Arial" w:cs="Arial"/>
          <w:lang w:val="es-CO"/>
        </w:rPr>
      </w:pPr>
    </w:p>
    <w:p w14:paraId="5F8A382D" w14:textId="77777777" w:rsidR="00B2442D" w:rsidRDefault="008A645F">
      <w:pPr>
        <w:jc w:val="both"/>
        <w:rPr>
          <w:rFonts w:ascii="Arial" w:hAnsi="Arial" w:cs="Arial"/>
          <w:lang w:val="es-CO"/>
        </w:rPr>
      </w:pPr>
      <w:r>
        <w:rPr>
          <w:rFonts w:ascii="Arial" w:hAnsi="Arial" w:cs="Arial"/>
          <w:lang w:val="es-CO"/>
        </w:rPr>
        <w:t>En</w:t>
      </w:r>
      <w:r>
        <w:rPr>
          <w:rFonts w:ascii="Arial" w:hAnsi="Arial" w:cs="Arial"/>
          <w:lang w:val="es-CO"/>
        </w:rPr>
        <w:t xml:space="preserve"> consecuencia, las redenciones de participaciones que se efectúen a los inversionistas del fondo de capital privado, que correspondan a restitución o reembolso de aportes en los términos del reglamento del fondo de capital privado, no estarán sujetas a la </w:t>
      </w:r>
      <w:r>
        <w:rPr>
          <w:rFonts w:ascii="Arial" w:hAnsi="Arial" w:cs="Arial"/>
          <w:lang w:val="es-CO"/>
        </w:rPr>
        <w:t>retención en la fuente hasta la concurrencia del valor total de dichos aportes. Alcanzado este límite, se aplicarán las reglas previstas en los artículos 1.2.4.2.78 al 1.2.4.2.82 de este Decreto.</w:t>
      </w:r>
    </w:p>
    <w:p w14:paraId="5499F32F" w14:textId="77777777" w:rsidR="00B2442D" w:rsidRDefault="00B2442D">
      <w:pPr>
        <w:jc w:val="both"/>
        <w:rPr>
          <w:rFonts w:ascii="Arial" w:hAnsi="Arial" w:cs="Arial"/>
          <w:lang w:val="es-CO"/>
        </w:rPr>
      </w:pPr>
    </w:p>
    <w:p w14:paraId="31132DF0" w14:textId="77777777" w:rsidR="00B2442D" w:rsidRDefault="008A645F">
      <w:pPr>
        <w:jc w:val="both"/>
        <w:rPr>
          <w:rFonts w:ascii="Arial" w:hAnsi="Arial" w:cs="Arial"/>
          <w:lang w:val="es-CO"/>
        </w:rPr>
      </w:pPr>
      <w:r>
        <w:rPr>
          <w:rFonts w:ascii="Arial" w:hAnsi="Arial" w:cs="Arial"/>
          <w:lang w:val="es-CO"/>
        </w:rPr>
        <w:t>La sociedad administradora del fondo de capital privado deb</w:t>
      </w:r>
      <w:r>
        <w:rPr>
          <w:rFonts w:ascii="Arial" w:hAnsi="Arial" w:cs="Arial"/>
          <w:lang w:val="es-CO"/>
        </w:rPr>
        <w:t>erá conservar los documentos que soporten los aportes efectuados así como el reglamento y los documentos de vinculación al fondo de capital privado para ser presentados a la Unidad Administrativa Especial Dirección de Impuestos y Aduanas Nacionales– DIAN c</w:t>
      </w:r>
      <w:r>
        <w:rPr>
          <w:rFonts w:ascii="Arial" w:hAnsi="Arial" w:cs="Arial"/>
          <w:lang w:val="es-CO"/>
        </w:rPr>
        <w:t>uando esta lo exija.</w:t>
      </w:r>
    </w:p>
    <w:p w14:paraId="47D61E30" w14:textId="77777777" w:rsidR="00B2442D" w:rsidRDefault="00B2442D">
      <w:pPr>
        <w:jc w:val="both"/>
        <w:rPr>
          <w:rFonts w:ascii="Arial" w:hAnsi="Arial" w:cs="Arial"/>
          <w:i/>
          <w:lang w:val="es-CO"/>
        </w:rPr>
      </w:pPr>
    </w:p>
    <w:p w14:paraId="7C50F4A5" w14:textId="77777777" w:rsidR="00B2442D" w:rsidRDefault="008A645F">
      <w:pPr>
        <w:jc w:val="both"/>
        <w:rPr>
          <w:rFonts w:ascii="Arial" w:hAnsi="Arial" w:cs="Arial"/>
          <w:i/>
          <w:lang w:val="es-CO"/>
        </w:rPr>
      </w:pPr>
      <w:r>
        <w:rPr>
          <w:rFonts w:ascii="Arial" w:hAnsi="Arial" w:cs="Arial"/>
          <w:i/>
          <w:lang w:val="es-CO"/>
        </w:rPr>
        <w:t>(Art. 1, Decreto 1848 de 2013, adicionado el parágrafo 7 por el art. 1 del Decreto 1859 de 2014)</w:t>
      </w:r>
      <w:r>
        <w:rPr>
          <w:rFonts w:ascii="Arial" w:hAnsi="Arial" w:cs="Arial"/>
        </w:rPr>
        <w:t xml:space="preserve"> (</w:t>
      </w:r>
      <w:r>
        <w:rPr>
          <w:rFonts w:ascii="Arial" w:hAnsi="Arial" w:cs="Arial"/>
          <w:i/>
          <w:lang w:val="es-CO"/>
        </w:rPr>
        <w:t>El Decreto 1848 de 2013 rige a partir de su publicación y deroga, a partir de 1o de enero de 2014, los Decretos 841 de 1995 y 1281 de 20</w:t>
      </w:r>
      <w:r>
        <w:rPr>
          <w:rFonts w:ascii="Arial" w:hAnsi="Arial" w:cs="Arial"/>
          <w:i/>
          <w:lang w:val="es-CO"/>
        </w:rPr>
        <w:t>08. Art. 7, Decreto 1848 de 2013)</w:t>
      </w:r>
    </w:p>
    <w:p w14:paraId="48C65CA5" w14:textId="77777777" w:rsidR="00B2442D" w:rsidRDefault="00B2442D">
      <w:pPr>
        <w:jc w:val="both"/>
        <w:rPr>
          <w:rFonts w:ascii="Arial" w:hAnsi="Arial" w:cs="Arial"/>
          <w:lang w:val="es-CO"/>
        </w:rPr>
      </w:pPr>
    </w:p>
    <w:p w14:paraId="7CDD05C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Pagos a cuentas ómnibus.</w:t>
      </w:r>
      <w:r>
        <w:rPr>
          <w:rFonts w:ascii="Arial" w:hAnsi="Arial" w:cs="Arial"/>
          <w:lang w:val="es-CO"/>
        </w:rPr>
        <w:t xml:space="preserve"> Cuando el inversionista de un fondo de inversión colectiva sea una cuenta ómnibus prevista en el artículo 3.1.4.2.2 del Decreto 2555 de 2010, la retención en la fuente será practicada por el dist</w:t>
      </w:r>
      <w:r>
        <w:rPr>
          <w:rFonts w:ascii="Arial" w:hAnsi="Arial" w:cs="Arial"/>
          <w:lang w:val="es-CO"/>
        </w:rPr>
        <w:t xml:space="preserve">ribuidor especializado de que trata el artículo 3.1.4.2.1 del Decreto 2555 de 2010. En tal caso, el administrador se abstendrá de practicar la retención en la fuente y certificará al distribuidor especializado los montos y conceptos sujetos a retención en </w:t>
      </w:r>
      <w:r>
        <w:rPr>
          <w:rFonts w:ascii="Arial" w:hAnsi="Arial" w:cs="Arial"/>
          <w:lang w:val="es-CO"/>
        </w:rPr>
        <w:t>la fuente determinados conforme al procedimiento señalado en el artículo 1.2.4.2.78 de este Decreto.</w:t>
      </w:r>
    </w:p>
    <w:p w14:paraId="463362FB" w14:textId="77777777" w:rsidR="00B2442D" w:rsidRDefault="00B2442D">
      <w:pPr>
        <w:jc w:val="both"/>
        <w:rPr>
          <w:rFonts w:ascii="Arial" w:hAnsi="Arial" w:cs="Arial"/>
          <w:lang w:val="es-CO"/>
        </w:rPr>
      </w:pPr>
    </w:p>
    <w:p w14:paraId="3C69204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 dispuesto en el parágrafo 4° del artículo 1.2.4.2.78 de este Decreto será aplicable para los pagos efectuados a cuentas ómnibus. Los inversi</w:t>
      </w:r>
      <w:r>
        <w:rPr>
          <w:rFonts w:ascii="Arial" w:hAnsi="Arial" w:cs="Arial"/>
          <w:lang w:val="es-CO"/>
        </w:rPr>
        <w:t>onistas que hagan parte de la cuenta ómnibus certificarán al distribuidor especializado su condición de residentes o no residentes, o declarantes o no declarantes del impuesto sobre la renta y complementarios, bajo la gravedad del juramento de manera anual</w:t>
      </w:r>
      <w:r>
        <w:rPr>
          <w:rFonts w:ascii="Arial" w:hAnsi="Arial" w:cs="Arial"/>
          <w:lang w:val="es-CO"/>
        </w:rPr>
        <w:t>.</w:t>
      </w:r>
    </w:p>
    <w:p w14:paraId="28094A79" w14:textId="77777777" w:rsidR="00B2442D" w:rsidRDefault="00B2442D">
      <w:pPr>
        <w:jc w:val="both"/>
        <w:rPr>
          <w:rFonts w:ascii="Arial" w:hAnsi="Arial" w:cs="Arial"/>
          <w:lang w:val="es-CO"/>
        </w:rPr>
      </w:pPr>
    </w:p>
    <w:p w14:paraId="077ABA49" w14:textId="77777777" w:rsidR="00B2442D" w:rsidRDefault="008A645F">
      <w:pPr>
        <w:jc w:val="both"/>
        <w:rPr>
          <w:rFonts w:ascii="Arial" w:hAnsi="Arial" w:cs="Arial"/>
          <w:i/>
          <w:lang w:val="es-CO"/>
        </w:rPr>
      </w:pPr>
      <w:r>
        <w:rPr>
          <w:rFonts w:ascii="Arial" w:hAnsi="Arial" w:cs="Arial"/>
          <w:i/>
          <w:lang w:val="es-CO"/>
        </w:rPr>
        <w:t>(Art. 2, Decreto 1848 de 2013)</w:t>
      </w:r>
      <w:r>
        <w:rPr>
          <w:rFonts w:ascii="Arial" w:hAnsi="Arial" w:cs="Arial"/>
        </w:rPr>
        <w:t xml:space="preserve"> </w:t>
      </w:r>
      <w:r>
        <w:rPr>
          <w:rFonts w:ascii="Arial" w:hAnsi="Arial" w:cs="Arial"/>
          <w:i/>
          <w:lang w:val="es-CO"/>
        </w:rPr>
        <w:t>(El Decreto 1848 de 2013 rige a partir de su publicación y deroga, a partir de 1o de enero de 2014, los Decretos 841 de 1995 y 1281 de 2008. Art. 7, Decreto 1848 de 2013)</w:t>
      </w:r>
    </w:p>
    <w:p w14:paraId="0A492A16" w14:textId="77777777" w:rsidR="00B2442D" w:rsidRDefault="00B2442D">
      <w:pPr>
        <w:jc w:val="both"/>
        <w:rPr>
          <w:rFonts w:ascii="Arial" w:hAnsi="Arial" w:cs="Arial"/>
          <w:lang w:val="es-CO"/>
        </w:rPr>
      </w:pPr>
    </w:p>
    <w:p w14:paraId="33E03DDF"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Principio de transparencia.</w:t>
      </w:r>
      <w:r>
        <w:rPr>
          <w:rFonts w:ascii="Arial" w:hAnsi="Arial" w:cs="Arial"/>
          <w:lang w:val="es-CO"/>
        </w:rPr>
        <w:t xml:space="preserve"> Para efectos tributar</w:t>
      </w:r>
      <w:r>
        <w:rPr>
          <w:rFonts w:ascii="Arial" w:hAnsi="Arial" w:cs="Arial"/>
          <w:lang w:val="es-CO"/>
        </w:rPr>
        <w:t>ios, en concordancia con los artículos 23-1 y 368-1 del Estatuto Tributario, las condiciones tributarias de los ingresos que se distribuyan entre los partícipes o suscriptores de los fondos de inversión colectiva de que trata la parte 3 del Decreto 2555 de</w:t>
      </w:r>
      <w:r>
        <w:rPr>
          <w:rFonts w:ascii="Arial" w:hAnsi="Arial" w:cs="Arial"/>
          <w:lang w:val="es-CO"/>
        </w:rPr>
        <w:t xml:space="preserve"> 2010, comprenden, entre otros aspectos, la naturaleza, la fuente, nacional o extranjera, la tarifa de retención y, en general, las mismas características tributarias que tendrían si el partícipe o suscriptor los hubiese percibido directamente.</w:t>
      </w:r>
    </w:p>
    <w:p w14:paraId="3CB27079" w14:textId="77777777" w:rsidR="00B2442D" w:rsidRDefault="00B2442D">
      <w:pPr>
        <w:jc w:val="both"/>
        <w:rPr>
          <w:rFonts w:ascii="Arial" w:hAnsi="Arial" w:cs="Arial"/>
          <w:lang w:val="es-CO"/>
        </w:rPr>
      </w:pPr>
    </w:p>
    <w:p w14:paraId="2491B158" w14:textId="77777777" w:rsidR="00B2442D" w:rsidRDefault="008A645F">
      <w:pPr>
        <w:jc w:val="both"/>
        <w:rPr>
          <w:rFonts w:ascii="Arial" w:hAnsi="Arial" w:cs="Arial"/>
          <w:i/>
          <w:lang w:val="es-CO"/>
        </w:rPr>
      </w:pPr>
      <w:r>
        <w:rPr>
          <w:rFonts w:ascii="Arial" w:hAnsi="Arial" w:cs="Arial"/>
          <w:i/>
          <w:lang w:val="es-CO"/>
        </w:rPr>
        <w:t>(Art. 3, D</w:t>
      </w:r>
      <w:r>
        <w:rPr>
          <w:rFonts w:ascii="Arial" w:hAnsi="Arial" w:cs="Arial"/>
          <w:i/>
          <w:lang w:val="es-CO"/>
        </w:rPr>
        <w:t>ecreto 1848 de 2013)</w:t>
      </w:r>
      <w:r>
        <w:rPr>
          <w:rFonts w:ascii="Arial" w:hAnsi="Arial" w:cs="Arial"/>
        </w:rPr>
        <w:t xml:space="preserve"> </w:t>
      </w:r>
      <w:r>
        <w:rPr>
          <w:rFonts w:ascii="Arial" w:hAnsi="Arial" w:cs="Arial"/>
          <w:i/>
          <w:lang w:val="es-CO"/>
        </w:rPr>
        <w:t>(El Decreto 1848 de 2013 rige a partir de su publicación y deroga, a partir de 1o de enero de 2014, los Decretos 841 de 1995 y 1281 de 2008. Art. 7, Decreto 1848 de 2013)</w:t>
      </w:r>
    </w:p>
    <w:p w14:paraId="044D3937" w14:textId="77777777" w:rsidR="00B2442D" w:rsidRDefault="00B2442D">
      <w:pPr>
        <w:jc w:val="both"/>
        <w:rPr>
          <w:rFonts w:ascii="Arial" w:hAnsi="Arial" w:cs="Arial"/>
          <w:lang w:val="es-CO"/>
        </w:rPr>
      </w:pPr>
    </w:p>
    <w:p w14:paraId="2198A7F5"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Retenciones practicadas en exceso. </w:t>
      </w:r>
      <w:r>
        <w:rPr>
          <w:rFonts w:ascii="Arial" w:hAnsi="Arial" w:cs="Arial"/>
          <w:lang w:val="es-CO"/>
        </w:rPr>
        <w:t>Respecto de las retenciones</w:t>
      </w:r>
      <w:r>
        <w:rPr>
          <w:rFonts w:ascii="Arial" w:hAnsi="Arial" w:cs="Arial"/>
          <w:lang w:val="es-CO"/>
        </w:rPr>
        <w:t xml:space="preserve"> que se practiquen en exceso, en desarrollo de lo establecido en el artículo 1.2.4.2.78 de este decreto, la entidad administradora del fondo dará aplicación a lo previsto en los artículos 1.2.4.8 y 1.2.4.16 del presente Decreto, sin necesidad de que medie </w:t>
      </w:r>
      <w:r>
        <w:rPr>
          <w:rFonts w:ascii="Arial" w:hAnsi="Arial" w:cs="Arial"/>
          <w:lang w:val="es-CO"/>
        </w:rPr>
        <w:t>solicitud escrita del afectado con la retención.</w:t>
      </w:r>
    </w:p>
    <w:p w14:paraId="78702596" w14:textId="77777777" w:rsidR="00B2442D" w:rsidRDefault="00B2442D">
      <w:pPr>
        <w:jc w:val="both"/>
        <w:rPr>
          <w:rFonts w:ascii="Arial" w:hAnsi="Arial" w:cs="Arial"/>
          <w:lang w:val="es-CO"/>
        </w:rPr>
      </w:pPr>
    </w:p>
    <w:p w14:paraId="015EE58E" w14:textId="77777777" w:rsidR="00B2442D" w:rsidRDefault="008A645F">
      <w:pPr>
        <w:jc w:val="both"/>
        <w:rPr>
          <w:rFonts w:ascii="Arial" w:hAnsi="Arial" w:cs="Arial"/>
          <w:i/>
          <w:lang w:val="es-CO"/>
        </w:rPr>
      </w:pPr>
      <w:r>
        <w:rPr>
          <w:rFonts w:ascii="Arial" w:hAnsi="Arial" w:cs="Arial"/>
          <w:i/>
          <w:lang w:val="es-CO"/>
        </w:rPr>
        <w:t>(Art. 4, Decreto 1848 de 2013)</w:t>
      </w:r>
      <w:r>
        <w:rPr>
          <w:rFonts w:ascii="Arial" w:hAnsi="Arial" w:cs="Arial"/>
        </w:rPr>
        <w:t xml:space="preserve"> </w:t>
      </w:r>
      <w:r>
        <w:rPr>
          <w:rFonts w:ascii="Arial" w:hAnsi="Arial" w:cs="Arial"/>
          <w:i/>
          <w:lang w:val="es-CO"/>
        </w:rPr>
        <w:t>(El Decreto 1848 de 2013 rige a partir de su publicación y deroga, a partir de 1o de enero de 2014, los Decretos 841 de 1995 y 1281 de 2008. Art. 7, Decreto 1848 de 2013)</w:t>
      </w:r>
    </w:p>
    <w:p w14:paraId="30992804" w14:textId="77777777" w:rsidR="00B2442D" w:rsidRDefault="00B2442D">
      <w:pPr>
        <w:jc w:val="both"/>
        <w:rPr>
          <w:rFonts w:ascii="Arial" w:hAnsi="Arial" w:cs="Arial"/>
          <w:lang w:val="es-CO"/>
        </w:rPr>
      </w:pPr>
    </w:p>
    <w:p w14:paraId="7EA0FA77"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Declaraciones de retención en la fuente.</w:t>
      </w:r>
      <w:r>
        <w:rPr>
          <w:rFonts w:ascii="Arial" w:hAnsi="Arial" w:cs="Arial"/>
          <w:lang w:val="es-CO"/>
        </w:rPr>
        <w:t xml:space="preserve"> Las retenciones en la fuente practicadas bien sea por parte del administrador o del distribuidor, en desarrollo de lo previsto en los artículos 1.2.4.2.78 al 1.2.4.2.82 de este Decreto, deberán ser declaradas y con</w:t>
      </w:r>
      <w:r>
        <w:rPr>
          <w:rFonts w:ascii="Arial" w:hAnsi="Arial" w:cs="Arial"/>
          <w:lang w:val="es-CO"/>
        </w:rPr>
        <w:t>signadas en los lugares y dentro de los plazos que para tal efecto señale el Gobierno Nacional, de conformidad con los artículos 579, 800 y 811 del Estatuto Tributario.</w:t>
      </w:r>
    </w:p>
    <w:p w14:paraId="00B5AAD9" w14:textId="77777777" w:rsidR="00B2442D" w:rsidRDefault="00B2442D">
      <w:pPr>
        <w:jc w:val="both"/>
        <w:rPr>
          <w:rFonts w:ascii="Arial" w:hAnsi="Arial" w:cs="Arial"/>
          <w:lang w:val="es-CO"/>
        </w:rPr>
      </w:pPr>
    </w:p>
    <w:p w14:paraId="5467E93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entidad administradora del fondo deberá expedir los certificados de rete</w:t>
      </w:r>
      <w:r>
        <w:rPr>
          <w:rFonts w:ascii="Arial" w:hAnsi="Arial" w:cs="Arial"/>
          <w:lang w:val="es-CO"/>
        </w:rPr>
        <w:t>nción en la fuente correspondientes.</w:t>
      </w:r>
    </w:p>
    <w:p w14:paraId="316B17DC" w14:textId="77777777" w:rsidR="00B2442D" w:rsidRDefault="00B2442D">
      <w:pPr>
        <w:jc w:val="both"/>
        <w:rPr>
          <w:rFonts w:ascii="Arial" w:hAnsi="Arial" w:cs="Arial"/>
          <w:lang w:val="es-CO"/>
        </w:rPr>
      </w:pPr>
    </w:p>
    <w:p w14:paraId="747F244B" w14:textId="77777777" w:rsidR="00B2442D" w:rsidRDefault="008A645F">
      <w:pPr>
        <w:jc w:val="both"/>
        <w:rPr>
          <w:rFonts w:ascii="Arial" w:hAnsi="Arial" w:cs="Arial"/>
          <w:i/>
          <w:lang w:val="es-CO"/>
        </w:rPr>
      </w:pPr>
      <w:r>
        <w:rPr>
          <w:rFonts w:ascii="Arial" w:hAnsi="Arial" w:cs="Arial"/>
          <w:i/>
          <w:lang w:val="es-CO"/>
        </w:rPr>
        <w:t>(Art. 5, Decreto 1848 de 2013)</w:t>
      </w:r>
      <w:r>
        <w:rPr>
          <w:rFonts w:ascii="Arial" w:hAnsi="Arial" w:cs="Arial"/>
        </w:rPr>
        <w:t xml:space="preserve"> </w:t>
      </w:r>
      <w:r>
        <w:rPr>
          <w:rFonts w:ascii="Arial" w:hAnsi="Arial" w:cs="Arial"/>
          <w:i/>
          <w:lang w:val="es-CO"/>
        </w:rPr>
        <w:t>(El Decreto 1848 de 2013 rige a partir de su publicación y deroga, a partir de 1o de enero de 2014, los Decretos 841 de 1995 y 1281 de 2008. Art. 7, Decreto 1848 de 2013)</w:t>
      </w:r>
    </w:p>
    <w:p w14:paraId="4CA03520" w14:textId="77777777" w:rsidR="00B2442D" w:rsidRDefault="00B2442D">
      <w:pPr>
        <w:jc w:val="both"/>
        <w:rPr>
          <w:rFonts w:ascii="Arial" w:hAnsi="Arial" w:cs="Arial"/>
          <w:lang w:val="es-CO"/>
        </w:rPr>
      </w:pPr>
    </w:p>
    <w:p w14:paraId="3922EB69"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Tarifa de rete</w:t>
      </w:r>
      <w:r>
        <w:rPr>
          <w:rFonts w:ascii="Arial" w:hAnsi="Arial" w:cs="Arial"/>
          <w:b/>
          <w:i/>
          <w:lang w:val="es-CO"/>
        </w:rPr>
        <w:t>nción en rendimientos financieros provenientes de títulos de renta fija.</w:t>
      </w:r>
      <w:r>
        <w:rPr>
          <w:rFonts w:ascii="Arial" w:hAnsi="Arial" w:cs="Arial"/>
          <w:lang w:val="es-CO"/>
        </w:rPr>
        <w:t xml:space="preserve"> Todas las referencias hechas en los artículos 1.2.4.2.9 al 1.2.4.2.49 del presente Decreto, en particular las que se realizan en el artículo 1.2.4.2.12, el parágrafo del artículo 1.2.</w:t>
      </w:r>
      <w:r>
        <w:rPr>
          <w:rFonts w:ascii="Arial" w:hAnsi="Arial" w:cs="Arial"/>
          <w:lang w:val="es-CO"/>
        </w:rPr>
        <w:t>4.2.20, el parágrafo del artículo 1.2.4.2.21, el artículo 1.2.4.2.32, el numeral 5 del artículo 1.2.4.2.38 y el inciso segundo del parágrafo del artículo 1.2.4.2.47 del presente Decreto, a la tarifa de retención en la fuente por concepto de rendimientos fi</w:t>
      </w:r>
      <w:r>
        <w:rPr>
          <w:rFonts w:ascii="Arial" w:hAnsi="Arial" w:cs="Arial"/>
          <w:lang w:val="es-CO"/>
        </w:rPr>
        <w:t>nancieros provenientes de títulos con intereses y/o descuentos o generados en sus enajenaciones del siete por ciento (7.0%), serán efectuadas a la tarifa del cuatro por ciento (4.0%).</w:t>
      </w:r>
    </w:p>
    <w:p w14:paraId="0BADEC5F" w14:textId="77777777" w:rsidR="00B2442D" w:rsidRDefault="00B2442D">
      <w:pPr>
        <w:jc w:val="both"/>
        <w:rPr>
          <w:rFonts w:ascii="Arial" w:hAnsi="Arial" w:cs="Arial"/>
          <w:lang w:val="es-CO"/>
        </w:rPr>
      </w:pPr>
    </w:p>
    <w:p w14:paraId="2A51A818" w14:textId="77777777" w:rsidR="00B2442D" w:rsidRDefault="008A645F">
      <w:pPr>
        <w:jc w:val="both"/>
        <w:rPr>
          <w:rFonts w:ascii="Arial" w:hAnsi="Arial" w:cs="Arial"/>
          <w:i/>
          <w:lang w:val="es-CO"/>
        </w:rPr>
      </w:pPr>
      <w:r>
        <w:rPr>
          <w:rFonts w:ascii="Arial" w:hAnsi="Arial" w:cs="Arial"/>
          <w:i/>
          <w:lang w:val="es-CO"/>
        </w:rPr>
        <w:t>(Art. 3, Decreto 2418 de 2013)</w:t>
      </w:r>
      <w:r>
        <w:rPr>
          <w:rFonts w:ascii="Arial" w:hAnsi="Arial" w:cs="Arial"/>
        </w:rPr>
        <w:t xml:space="preserve"> (</w:t>
      </w:r>
      <w:r>
        <w:rPr>
          <w:rFonts w:ascii="Arial" w:hAnsi="Arial" w:cs="Arial"/>
          <w:i/>
          <w:lang w:val="es-CO"/>
        </w:rPr>
        <w:t>El Decreto 2418 de 2013 rige a partir d</w:t>
      </w:r>
      <w:r>
        <w:rPr>
          <w:rFonts w:ascii="Arial" w:hAnsi="Arial" w:cs="Arial"/>
          <w:i/>
          <w:lang w:val="es-CO"/>
        </w:rPr>
        <w:t>el primero (1°) de noviembre de 2013 y deroga el inciso 3o del artículo 12 del Decreto número 2026 de 1983. Art. 9, Decreto 2418 de 2013)</w:t>
      </w:r>
    </w:p>
    <w:p w14:paraId="19AA614F" w14:textId="77777777" w:rsidR="00B2442D" w:rsidRDefault="00B2442D">
      <w:pPr>
        <w:jc w:val="both"/>
        <w:rPr>
          <w:rFonts w:ascii="Arial" w:hAnsi="Arial" w:cs="Arial"/>
          <w:lang w:val="es-CO"/>
        </w:rPr>
      </w:pPr>
    </w:p>
    <w:p w14:paraId="3863DD34"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en operaciones de reporto o repo, simultáneas y transferencia temporal de valores</w:t>
      </w:r>
      <w:r>
        <w:rPr>
          <w:rFonts w:ascii="Arial" w:hAnsi="Arial" w:cs="Arial"/>
          <w:lang w:val="es-CO"/>
        </w:rPr>
        <w:t>. La retenci</w:t>
      </w:r>
      <w:r>
        <w:rPr>
          <w:rFonts w:ascii="Arial" w:hAnsi="Arial" w:cs="Arial"/>
          <w:lang w:val="es-CO"/>
        </w:rPr>
        <w:t>ón en la fuente a título del impuesto sobre la renta y complementario, en las operaciones de reporto o repo, simultáneas y transferencia temporal de valores, para los contribuyentes declarantes del impuesto sobre la renta y complementario, se sujeta a lo e</w:t>
      </w:r>
      <w:r>
        <w:rPr>
          <w:rFonts w:ascii="Arial" w:hAnsi="Arial" w:cs="Arial"/>
          <w:lang w:val="es-CO"/>
        </w:rPr>
        <w:t>stablecido en el artículo 2.36.3.1.4 del Decreto número 2555 de 2010 y cualquier norma que lo modifique o sustituya, y a las siguientes reglas:</w:t>
      </w:r>
    </w:p>
    <w:p w14:paraId="6A29F4FF" w14:textId="77777777" w:rsidR="00B2442D" w:rsidRDefault="00B2442D">
      <w:pPr>
        <w:jc w:val="both"/>
        <w:rPr>
          <w:rFonts w:ascii="Arial" w:hAnsi="Arial" w:cs="Arial"/>
          <w:lang w:val="es-CO"/>
        </w:rPr>
      </w:pPr>
    </w:p>
    <w:p w14:paraId="66A8C40F"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Autorretención y retención en la fuente. Las entidades sometidas a la vigilancia de la Superintendencia Fin</w:t>
      </w:r>
      <w:r>
        <w:rPr>
          <w:rFonts w:ascii="Arial" w:hAnsi="Arial" w:cs="Arial"/>
          <w:lang w:val="es-CO"/>
        </w:rPr>
        <w:t>anciera de Colombia, actuarán como autorretenedores de rendimientos financieros en las operaciones de reporto o repo, simultáneas y de transferencia temporal de valores que celebren. Cuando quien celebre la operación de reporto o repo, simultánea o de tran</w:t>
      </w:r>
      <w:r>
        <w:rPr>
          <w:rFonts w:ascii="Arial" w:hAnsi="Arial" w:cs="Arial"/>
          <w:lang w:val="es-CO"/>
        </w:rPr>
        <w:t>sferencia temporal de valores no sea una entidad vigilada por la Superintendencia Financiera de Colombia, la retención en la fuente por concepto de rendimientos financieros será practicada por el intermediario de valores del adquirente inicial para el caso</w:t>
      </w:r>
      <w:r>
        <w:rPr>
          <w:rFonts w:ascii="Arial" w:hAnsi="Arial" w:cs="Arial"/>
          <w:lang w:val="es-CO"/>
        </w:rPr>
        <w:t xml:space="preserve"> de las operaciones de reporto o repo y simultáneas, y del originador en el caso de las operaciones de transferencia temporal de valores.</w:t>
      </w:r>
    </w:p>
    <w:p w14:paraId="73766317" w14:textId="77777777" w:rsidR="00B2442D" w:rsidRDefault="00B2442D">
      <w:pPr>
        <w:ind w:left="284" w:hanging="284"/>
        <w:jc w:val="both"/>
        <w:rPr>
          <w:rFonts w:ascii="Arial" w:hAnsi="Arial" w:cs="Arial"/>
          <w:lang w:val="es-CO"/>
        </w:rPr>
      </w:pPr>
    </w:p>
    <w:p w14:paraId="1FC45BE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La base de retención en la fuente será el valor neto resultante de los pagos girados o los abonos en cuenta hecho</w:t>
      </w:r>
      <w:r>
        <w:rPr>
          <w:rFonts w:ascii="Arial" w:hAnsi="Arial" w:cs="Arial"/>
          <w:lang w:val="es-CO"/>
        </w:rPr>
        <w:t>s, directa o indirectamente, a favor y en contra del adquirente inicial para el caso de las operaciones de reporto o repo y simultáneas, y del originador en el caso de las operaciones de transferencia temporal de valores.</w:t>
      </w:r>
    </w:p>
    <w:p w14:paraId="4B073C3C" w14:textId="77777777" w:rsidR="00B2442D" w:rsidRDefault="00B2442D">
      <w:pPr>
        <w:ind w:left="284" w:hanging="284"/>
        <w:jc w:val="both"/>
        <w:rPr>
          <w:rFonts w:ascii="Arial" w:hAnsi="Arial" w:cs="Arial"/>
          <w:lang w:val="es-CO"/>
        </w:rPr>
      </w:pPr>
    </w:p>
    <w:p w14:paraId="6F9E98EB"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La tarifa de retención en la </w:t>
      </w:r>
      <w:r>
        <w:rPr>
          <w:rFonts w:ascii="Arial" w:hAnsi="Arial" w:cs="Arial"/>
          <w:lang w:val="es-CO"/>
        </w:rPr>
        <w:t>fuente aplicable a estas operaciones será del dos punto cinco por ciento (2.5%) y se aplicará a la base determinada en el numeral 2 del presente artículo.</w:t>
      </w:r>
    </w:p>
    <w:p w14:paraId="325D6862" w14:textId="77777777" w:rsidR="00B2442D" w:rsidRDefault="00B2442D">
      <w:pPr>
        <w:ind w:left="284" w:hanging="284"/>
        <w:jc w:val="both"/>
        <w:rPr>
          <w:rFonts w:ascii="Arial" w:hAnsi="Arial" w:cs="Arial"/>
          <w:lang w:val="es-CO"/>
        </w:rPr>
      </w:pPr>
    </w:p>
    <w:p w14:paraId="447A3890"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 La retención en la fuente en las operaciones de que trata este artículo, se practicará exclusiva</w:t>
      </w:r>
      <w:r>
        <w:rPr>
          <w:rFonts w:ascii="Arial" w:hAnsi="Arial" w:cs="Arial"/>
          <w:lang w:val="es-CO"/>
        </w:rPr>
        <w:t>mente al momento de la liquidación final de la respectiva operación sin tener en cuenta para el efecto cuantías mínimas.</w:t>
      </w:r>
    </w:p>
    <w:p w14:paraId="1FD8D8A9" w14:textId="77777777" w:rsidR="00B2442D" w:rsidRDefault="00B2442D">
      <w:pPr>
        <w:jc w:val="both"/>
        <w:rPr>
          <w:rFonts w:ascii="Arial" w:hAnsi="Arial" w:cs="Arial"/>
          <w:lang w:val="es-CO"/>
        </w:rPr>
      </w:pPr>
    </w:p>
    <w:p w14:paraId="5CFC97E5" w14:textId="77777777" w:rsidR="00B2442D" w:rsidRDefault="008A645F">
      <w:pPr>
        <w:jc w:val="both"/>
        <w:rPr>
          <w:rFonts w:ascii="Arial" w:hAnsi="Arial" w:cs="Arial"/>
          <w:i/>
          <w:lang w:val="es-CO"/>
        </w:rPr>
      </w:pPr>
      <w:r>
        <w:rPr>
          <w:rFonts w:ascii="Arial" w:hAnsi="Arial" w:cs="Arial"/>
          <w:i/>
          <w:lang w:val="es-CO"/>
        </w:rPr>
        <w:t>(Art. 4, Decreto 2418 de 2013)</w:t>
      </w:r>
      <w:r>
        <w:rPr>
          <w:rFonts w:ascii="Arial" w:hAnsi="Arial" w:cs="Arial"/>
        </w:rPr>
        <w:t xml:space="preserve"> </w:t>
      </w:r>
      <w:r>
        <w:rPr>
          <w:rFonts w:ascii="Arial" w:hAnsi="Arial" w:cs="Arial"/>
          <w:i/>
          <w:lang w:val="es-CO"/>
        </w:rPr>
        <w:t xml:space="preserve">(El Decreto 2418 de 2013 rige a partir del primero (1 °) de noviembre de 2013 y deroga el inciso 3o </w:t>
      </w:r>
      <w:r>
        <w:rPr>
          <w:rFonts w:ascii="Arial" w:hAnsi="Arial" w:cs="Arial"/>
          <w:i/>
          <w:lang w:val="es-CO"/>
        </w:rPr>
        <w:t>del artículo 12 del Decreto número 2026 de 1983. Art. 9, Decreto 2418 de 2013)</w:t>
      </w:r>
    </w:p>
    <w:p w14:paraId="615C177D" w14:textId="77777777" w:rsidR="00B2442D" w:rsidRDefault="00B2442D">
      <w:pPr>
        <w:jc w:val="both"/>
        <w:rPr>
          <w:rFonts w:ascii="Arial" w:hAnsi="Arial" w:cs="Arial"/>
          <w:lang w:val="es-CO"/>
        </w:rPr>
      </w:pPr>
    </w:p>
    <w:p w14:paraId="24FDF47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lang w:val="es-CO"/>
        </w:rPr>
        <w:t xml:space="preserve"> Retención en la fuente sobre intereses originados en operaciones activas de crédito u operaciones de mutuo comercial. </w:t>
      </w:r>
      <w:r>
        <w:rPr>
          <w:rFonts w:ascii="Arial" w:hAnsi="Arial" w:cs="Arial"/>
          <w:lang w:val="es-CO"/>
        </w:rPr>
        <w:t>Los intereses o rendimientos financieros que perciban las</w:t>
      </w:r>
      <w:r>
        <w:rPr>
          <w:rFonts w:ascii="Arial" w:hAnsi="Arial" w:cs="Arial"/>
          <w:lang w:val="es-CO"/>
        </w:rPr>
        <w:t xml:space="preserve"> entidades vigiladas por la Superintendencia Financiera de Colombia provenientes de las operaciones activas de crédito o mutuo comercial que realicen en desarrollo de su objeto social estarán sometidos a una tarifa de retención en la fuente a título del im</w:t>
      </w:r>
      <w:r>
        <w:rPr>
          <w:rFonts w:ascii="Arial" w:hAnsi="Arial" w:cs="Arial"/>
          <w:lang w:val="es-CO"/>
        </w:rPr>
        <w:t>puesto sobre la renta, del dos punto cinco por ciento (2.5%) sobre el componente que corresponda a intereses o rendimientos financieros sobre cada pago o abono en cuenta.</w:t>
      </w:r>
    </w:p>
    <w:p w14:paraId="3D9791AE" w14:textId="77777777" w:rsidR="00B2442D" w:rsidRDefault="00B2442D">
      <w:pPr>
        <w:jc w:val="both"/>
        <w:rPr>
          <w:rFonts w:ascii="Arial" w:hAnsi="Arial" w:cs="Arial"/>
          <w:lang w:val="es-CO"/>
        </w:rPr>
      </w:pPr>
    </w:p>
    <w:p w14:paraId="7ABC98FF"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la práctica de esta retención en la fuente, no se tendrán en cuent</w:t>
      </w:r>
      <w:r>
        <w:rPr>
          <w:rFonts w:ascii="Arial" w:hAnsi="Arial" w:cs="Arial"/>
          <w:lang w:val="es-CO"/>
        </w:rPr>
        <w:t>a cuantías mínimas.</w:t>
      </w:r>
    </w:p>
    <w:p w14:paraId="30467835" w14:textId="77777777" w:rsidR="00B2442D" w:rsidRDefault="00B2442D">
      <w:pPr>
        <w:jc w:val="both"/>
        <w:rPr>
          <w:rFonts w:ascii="Arial" w:hAnsi="Arial" w:cs="Arial"/>
          <w:lang w:val="es-CO"/>
        </w:rPr>
      </w:pPr>
    </w:p>
    <w:p w14:paraId="1A7E4F9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lo establecido en el presente artículo, todas las entidades vigiladas por la Superintendencia Financiera de Colombia tendrán la calidad de autorretenedoras por concepto de intereses o rendimientos financieros, independientemente de que el </w:t>
      </w:r>
      <w:r>
        <w:rPr>
          <w:rFonts w:ascii="Arial" w:hAnsi="Arial" w:cs="Arial"/>
          <w:lang w:val="es-CO"/>
        </w:rPr>
        <w:t>pago o abono en cuenta provenga de una persona natural o de una persona jurídica que no tenga la calidad de agente retenedor.</w:t>
      </w:r>
    </w:p>
    <w:p w14:paraId="7AC10303" w14:textId="77777777" w:rsidR="00B2442D" w:rsidRDefault="00B2442D">
      <w:pPr>
        <w:jc w:val="both"/>
        <w:rPr>
          <w:rFonts w:ascii="Arial" w:hAnsi="Arial" w:cs="Arial"/>
          <w:lang w:val="es-CO"/>
        </w:rPr>
      </w:pPr>
    </w:p>
    <w:p w14:paraId="599D8725"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Los pagos o abonos en cuenta que correspondan a rendimientos financieros para los cuales existan tarifas de retenció</w:t>
      </w:r>
      <w:r>
        <w:rPr>
          <w:rFonts w:ascii="Arial" w:hAnsi="Arial" w:cs="Arial"/>
          <w:lang w:val="es-CO"/>
        </w:rPr>
        <w:t>n en la fuente, señaladas en disposiciones especiales, seguirán rigiéndose por dichas tarifas.</w:t>
      </w:r>
    </w:p>
    <w:p w14:paraId="0B56766E" w14:textId="77777777" w:rsidR="00B2442D" w:rsidRDefault="00B2442D">
      <w:pPr>
        <w:jc w:val="both"/>
        <w:rPr>
          <w:rFonts w:ascii="Arial" w:hAnsi="Arial" w:cs="Arial"/>
          <w:lang w:val="es-CO"/>
        </w:rPr>
      </w:pPr>
    </w:p>
    <w:p w14:paraId="0F0A013A"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No estarán sujetos a esta retención en la fuente los intereses o rendimientos financieros que perciban las entidades vigiladas por la Superintenden</w:t>
      </w:r>
      <w:r>
        <w:rPr>
          <w:rFonts w:ascii="Arial" w:hAnsi="Arial" w:cs="Arial"/>
          <w:lang w:val="es-CO"/>
        </w:rPr>
        <w:t>cia Financiera de Colombia que no tengan la calidad de contribuyentes del impuesto sobre la renta y complementarios.</w:t>
      </w:r>
    </w:p>
    <w:p w14:paraId="0DDDC871" w14:textId="77777777" w:rsidR="00B2442D" w:rsidRDefault="00B2442D">
      <w:pPr>
        <w:jc w:val="both"/>
        <w:rPr>
          <w:rFonts w:ascii="Arial" w:hAnsi="Arial" w:cs="Arial"/>
          <w:lang w:val="es-CO"/>
        </w:rPr>
      </w:pPr>
    </w:p>
    <w:p w14:paraId="105F5DA3" w14:textId="77777777" w:rsidR="00B2442D" w:rsidRDefault="008A645F">
      <w:pPr>
        <w:jc w:val="both"/>
        <w:rPr>
          <w:rFonts w:ascii="Arial" w:hAnsi="Arial" w:cs="Arial"/>
          <w:i/>
          <w:lang w:val="es-CO"/>
        </w:rPr>
      </w:pPr>
      <w:r>
        <w:rPr>
          <w:rFonts w:ascii="Arial" w:hAnsi="Arial" w:cs="Arial"/>
          <w:i/>
          <w:lang w:val="es-CO"/>
        </w:rPr>
        <w:t>(Art. 5, Decreto 2418 de 2013)</w:t>
      </w:r>
      <w:r>
        <w:rPr>
          <w:rFonts w:ascii="Arial" w:hAnsi="Arial" w:cs="Arial"/>
        </w:rPr>
        <w:t xml:space="preserve"> </w:t>
      </w:r>
      <w:r>
        <w:rPr>
          <w:rFonts w:ascii="Arial" w:hAnsi="Arial" w:cs="Arial"/>
          <w:i/>
          <w:lang w:val="es-CO"/>
        </w:rPr>
        <w:t>(El Decreto 2418 de 2013 rige a partir del primero (1 °) de noviembre de 2013 y deroga el inciso 3o del art</w:t>
      </w:r>
      <w:r>
        <w:rPr>
          <w:rFonts w:ascii="Arial" w:hAnsi="Arial" w:cs="Arial"/>
          <w:i/>
          <w:lang w:val="es-CO"/>
        </w:rPr>
        <w:t>ículo 12 del Decreto número 2026 de 1983. Art. 9, Decreto 2418 de 2013)</w:t>
      </w:r>
    </w:p>
    <w:p w14:paraId="3597EDBD" w14:textId="77777777" w:rsidR="00B2442D" w:rsidRDefault="00B2442D">
      <w:pPr>
        <w:jc w:val="both"/>
        <w:rPr>
          <w:rFonts w:ascii="Arial" w:hAnsi="Arial" w:cs="Arial"/>
          <w:i/>
          <w:lang w:val="es-CO"/>
        </w:rPr>
      </w:pPr>
    </w:p>
    <w:p w14:paraId="208835FE" w14:textId="77777777" w:rsidR="00B2442D" w:rsidRDefault="008A645F">
      <w:pPr>
        <w:pStyle w:val="Prrafodelista"/>
        <w:numPr>
          <w:ilvl w:val="0"/>
          <w:numId w:val="48"/>
        </w:numPr>
        <w:ind w:left="0" w:firstLine="0"/>
        <w:jc w:val="both"/>
        <w:rPr>
          <w:rFonts w:ascii="Arial" w:hAnsi="Arial" w:cs="Arial"/>
        </w:rPr>
      </w:pPr>
      <w:r>
        <w:rPr>
          <w:rFonts w:ascii="Arial" w:hAnsi="Arial" w:cs="Arial"/>
          <w:b/>
          <w:bCs/>
          <w:i/>
        </w:rPr>
        <w:t xml:space="preserve"> Retenciones en la fuente a sociedades fiduciarias por concepto de rendimientos financieros sobre títulos con descuentos.</w:t>
      </w:r>
      <w:r>
        <w:rPr>
          <w:rFonts w:ascii="Arial" w:hAnsi="Arial" w:cs="Arial"/>
          <w:b/>
          <w:bCs/>
        </w:rPr>
        <w:t xml:space="preserve"> </w:t>
      </w:r>
      <w:r>
        <w:rPr>
          <w:rFonts w:ascii="Arial" w:hAnsi="Arial" w:cs="Arial"/>
        </w:rPr>
        <w:t>Cuando el rendimiento corresponda a descuentos sobre los cual</w:t>
      </w:r>
      <w:r>
        <w:rPr>
          <w:rFonts w:ascii="Arial" w:hAnsi="Arial" w:cs="Arial"/>
        </w:rPr>
        <w:t>es se hubiere hecho retención en la fuente a la sociedad fiduciaria, esta deberá trasladar al beneficiario del descuento la retención correspondiente. Cuando sobre el descuento no se hubiere hecho retención en la fuente a la sociedad fiduciaria, esta deber</w:t>
      </w:r>
      <w:r>
        <w:rPr>
          <w:rFonts w:ascii="Arial" w:hAnsi="Arial" w:cs="Arial"/>
        </w:rPr>
        <w:t>á efectuar la retención aplicando para ello los porcentajes vigentes.</w:t>
      </w:r>
    </w:p>
    <w:p w14:paraId="248C0BF2" w14:textId="77777777" w:rsidR="00B2442D" w:rsidRDefault="00B2442D">
      <w:pPr>
        <w:jc w:val="both"/>
        <w:rPr>
          <w:rFonts w:ascii="Arial" w:hAnsi="Arial" w:cs="Arial"/>
        </w:rPr>
      </w:pPr>
    </w:p>
    <w:p w14:paraId="2BB2FF02" w14:textId="77777777" w:rsidR="00B2442D" w:rsidRDefault="008A645F">
      <w:pPr>
        <w:jc w:val="both"/>
        <w:rPr>
          <w:rFonts w:ascii="Arial" w:hAnsi="Arial" w:cs="Arial"/>
          <w:i/>
          <w:lang w:val="es-CO"/>
        </w:rPr>
      </w:pPr>
      <w:r>
        <w:rPr>
          <w:rFonts w:ascii="Arial" w:hAnsi="Arial" w:cs="Arial"/>
          <w:i/>
          <w:lang w:val="es-CO"/>
        </w:rPr>
        <w:t xml:space="preserve">(Art. 10, Decreto 2026 de 1983. Literal a) derogado por el artículo 3 del Decreto 3715/86. Literales b) y c) derogados tácitamente por el Decreto 700/97, artículos 4 y 24. La expresión </w:t>
      </w:r>
      <w:r>
        <w:rPr>
          <w:rFonts w:ascii="Arial" w:hAnsi="Arial" w:cs="Arial"/>
          <w:i/>
          <w:lang w:val="es-CO"/>
        </w:rPr>
        <w:t>“indicados en el artículo 2° de este Decreto” tiene decaimiento en virtud de la derogada tácita de este artículo por el artículo 3°del Decreto 2775 de 1983)</w:t>
      </w:r>
      <w:r>
        <w:rPr>
          <w:rFonts w:ascii="Arial" w:hAnsi="Arial" w:cs="Arial"/>
        </w:rPr>
        <w:t xml:space="preserve"> </w:t>
      </w:r>
      <w:r>
        <w:rPr>
          <w:rFonts w:ascii="Arial" w:hAnsi="Arial" w:cs="Arial"/>
          <w:i/>
          <w:lang w:val="es-CO"/>
        </w:rPr>
        <w:t>(Sin perjuicio de lo dispuesto en el artículo 7° del Decreto 2026 de 1983, este último rige a parti</w:t>
      </w:r>
      <w:r>
        <w:rPr>
          <w:rFonts w:ascii="Arial" w:hAnsi="Arial" w:cs="Arial"/>
          <w:i/>
          <w:lang w:val="es-CO"/>
        </w:rPr>
        <w:t>r de la fecha de su expedición y deroga el Decreto 1663 de 1983 y demás disposiciones que le sean contrarias. Art. 25, Decreto 2026 de 1983)</w:t>
      </w:r>
    </w:p>
    <w:p w14:paraId="0CEDBD22" w14:textId="77777777" w:rsidR="00B2442D" w:rsidRDefault="00B2442D">
      <w:pPr>
        <w:jc w:val="both"/>
        <w:rPr>
          <w:rFonts w:ascii="Arial" w:hAnsi="Arial" w:cs="Arial"/>
          <w:lang w:val="es-CO"/>
        </w:rPr>
      </w:pPr>
    </w:p>
    <w:p w14:paraId="177D66D2" w14:textId="77777777" w:rsidR="00B2442D" w:rsidRDefault="008A645F">
      <w:pPr>
        <w:pStyle w:val="Prrafodelista"/>
        <w:numPr>
          <w:ilvl w:val="0"/>
          <w:numId w:val="48"/>
        </w:numPr>
        <w:ind w:left="0" w:firstLine="0"/>
        <w:jc w:val="both"/>
        <w:rPr>
          <w:rFonts w:ascii="Arial" w:hAnsi="Arial" w:cs="Arial"/>
          <w:lang w:val="es-CO"/>
        </w:rPr>
      </w:pPr>
      <w:r>
        <w:rPr>
          <w:rFonts w:ascii="Arial" w:hAnsi="Arial" w:cs="Arial"/>
          <w:b/>
          <w:i/>
          <w:lang w:val="es-CO"/>
        </w:rPr>
        <w:t xml:space="preserve"> Retención en la fuente por concepto de intereses que provengan de cuentas de ahorro.</w:t>
      </w:r>
      <w:r>
        <w:rPr>
          <w:rFonts w:ascii="Arial" w:hAnsi="Arial" w:cs="Arial"/>
          <w:i/>
          <w:lang w:val="es-CO"/>
        </w:rPr>
        <w:t xml:space="preserve"> </w:t>
      </w:r>
      <w:r>
        <w:rPr>
          <w:rFonts w:ascii="Arial" w:hAnsi="Arial" w:cs="Arial"/>
          <w:lang w:val="es-CO"/>
        </w:rPr>
        <w:t>Cuando los intereses a que s</w:t>
      </w:r>
      <w:r>
        <w:rPr>
          <w:rFonts w:ascii="Arial" w:hAnsi="Arial" w:cs="Arial"/>
          <w:lang w:val="es-CO"/>
        </w:rPr>
        <w:t>e refiere el inciso 2° del artículo 1° del Decreto 2715 de 1983, correspondan a un interés diario de veintisiete pesos ($27.00) (0.055 UVT) o más, para efectos de la retención en la fuente se considerará el valor total del pago o abono en cuenta. La base y</w:t>
      </w:r>
      <w:r>
        <w:rPr>
          <w:rFonts w:ascii="Arial" w:hAnsi="Arial" w:cs="Arial"/>
          <w:lang w:val="es-CO"/>
        </w:rPr>
        <w:t xml:space="preserve"> la tarifa aplicables serán las previstas en el artículo 1.2.4.2.5 del presente Decreto.</w:t>
      </w:r>
    </w:p>
    <w:p w14:paraId="40DE32DF" w14:textId="77777777" w:rsidR="00B2442D" w:rsidRDefault="00B2442D">
      <w:pPr>
        <w:jc w:val="both"/>
        <w:rPr>
          <w:rFonts w:ascii="Arial" w:hAnsi="Arial" w:cs="Arial"/>
          <w:lang w:val="es-CO"/>
        </w:rPr>
      </w:pPr>
    </w:p>
    <w:p w14:paraId="275271C6" w14:textId="77777777" w:rsidR="00B2442D" w:rsidRDefault="008A645F">
      <w:pPr>
        <w:jc w:val="both"/>
        <w:rPr>
          <w:rFonts w:ascii="Arial" w:hAnsi="Arial" w:cs="Arial"/>
          <w:i/>
          <w:lang w:val="es-CO"/>
        </w:rPr>
      </w:pPr>
      <w:r>
        <w:rPr>
          <w:rFonts w:ascii="Arial" w:hAnsi="Arial" w:cs="Arial"/>
          <w:i/>
          <w:lang w:val="es-CO"/>
        </w:rPr>
        <w:t>(Art. 1, Decreto 2775 de 1983. Incisos primero y segundo del artículo 1, modificados por el artículo 3 del Decreto 1512 de 1985. Se actualizó la referencia al Decreto</w:t>
      </w:r>
      <w:r>
        <w:rPr>
          <w:rFonts w:ascii="Arial" w:hAnsi="Arial" w:cs="Arial"/>
          <w:i/>
          <w:lang w:val="es-CO"/>
        </w:rPr>
        <w:t xml:space="preserve"> 2026 de 1983 conforme con lo previsto en el Decreto 3715 de 1986)</w:t>
      </w:r>
      <w:r>
        <w:rPr>
          <w:rFonts w:ascii="Arial" w:hAnsi="Arial" w:cs="Arial"/>
        </w:rPr>
        <w:t xml:space="preserve"> </w:t>
      </w:r>
      <w:r>
        <w:rPr>
          <w:rFonts w:ascii="Arial" w:hAnsi="Arial" w:cs="Arial"/>
          <w:i/>
          <w:lang w:val="es-CO"/>
        </w:rPr>
        <w:t xml:space="preserve">(Sin perjuicio de lo dispuesto en el artículo 7° del Decreto 2026 de 1983, este último rige a partir de la fecha de su expedición y deroga el Decreto 1663 de 1983 y demás disposiciones que </w:t>
      </w:r>
      <w:r>
        <w:rPr>
          <w:rFonts w:ascii="Arial" w:hAnsi="Arial" w:cs="Arial"/>
          <w:i/>
          <w:lang w:val="es-CO"/>
        </w:rPr>
        <w:t>le sean contrarias. Art. 25, Decreto 2026 de 1983)</w:t>
      </w:r>
    </w:p>
    <w:p w14:paraId="20E38DD3" w14:textId="77777777" w:rsidR="00B2442D" w:rsidRDefault="00B2442D">
      <w:pPr>
        <w:jc w:val="both"/>
        <w:rPr>
          <w:rFonts w:ascii="Arial" w:hAnsi="Arial" w:cs="Arial"/>
          <w:i/>
          <w:lang w:val="es-CO"/>
        </w:rPr>
      </w:pPr>
    </w:p>
    <w:p w14:paraId="54C4A9C6" w14:textId="77777777" w:rsidR="00B2442D" w:rsidRDefault="008A645F">
      <w:pPr>
        <w:pStyle w:val="Ttulo4"/>
      </w:pPr>
      <w:r>
        <w:t>CAPÍTULO 3</w:t>
      </w:r>
    </w:p>
    <w:p w14:paraId="17B1EDC5" w14:textId="77777777" w:rsidR="00B2442D" w:rsidRDefault="008A645F">
      <w:pPr>
        <w:pStyle w:val="Ttulo4"/>
      </w:pPr>
      <w:r>
        <w:t>Por concepto de honorarios y comisiones</w:t>
      </w:r>
    </w:p>
    <w:p w14:paraId="1FFB5411" w14:textId="77777777" w:rsidR="00B2442D" w:rsidRDefault="00B2442D">
      <w:pPr>
        <w:rPr>
          <w:rFonts w:ascii="Arial" w:hAnsi="Arial" w:cs="Arial"/>
        </w:rPr>
      </w:pPr>
    </w:p>
    <w:p w14:paraId="07D4DE2E" w14:textId="77777777" w:rsidR="00B2442D" w:rsidRDefault="008A645F">
      <w:pPr>
        <w:pStyle w:val="Prrafodelista"/>
        <w:numPr>
          <w:ilvl w:val="0"/>
          <w:numId w:val="49"/>
        </w:numPr>
        <w:ind w:left="0" w:firstLine="0"/>
        <w:jc w:val="both"/>
        <w:rPr>
          <w:rFonts w:ascii="Arial" w:hAnsi="Arial" w:cs="Arial"/>
          <w:lang w:val="es-CO"/>
        </w:rPr>
      </w:pPr>
      <w:r>
        <w:rPr>
          <w:rFonts w:ascii="Arial" w:hAnsi="Arial" w:cs="Arial"/>
          <w:b/>
          <w:i/>
          <w:lang w:val="es-CO"/>
        </w:rPr>
        <w:t>Retención en la fuente por honorarios y comisiones para declarantes.</w:t>
      </w:r>
      <w:r>
        <w:rPr>
          <w:rFonts w:ascii="Arial" w:hAnsi="Arial" w:cs="Arial"/>
          <w:lang w:val="es-CO"/>
        </w:rPr>
        <w:t xml:space="preserve"> La tarifa de retención en la fuente a título de impuesto sobre la renta, sobre los </w:t>
      </w:r>
      <w:r>
        <w:rPr>
          <w:rFonts w:ascii="Arial" w:hAnsi="Arial" w:cs="Arial"/>
          <w:lang w:val="es-CO"/>
        </w:rPr>
        <w:t xml:space="preserve">pagos o abonos en cuenta por concepto de honorarios y comisiones de que trata el inciso tercero del artículo 392 del Estatuto Tributario, que realicen las personas jurídicas, las sociedades de hecho y las demás entidades y personas naturales que tengan la </w:t>
      </w:r>
      <w:r>
        <w:rPr>
          <w:rFonts w:ascii="Arial" w:hAnsi="Arial" w:cs="Arial"/>
          <w:lang w:val="es-CO"/>
        </w:rPr>
        <w:t>calidad de agentes retenedores en favor de los contribuyentes del impuesto sobre la renta que sean personas jurídicas y asimiladas, es el once por ciento (11 %) del respectivo pago o abono en cuenta.</w:t>
      </w:r>
    </w:p>
    <w:p w14:paraId="0C5C4190" w14:textId="77777777" w:rsidR="00B2442D" w:rsidRDefault="00B2442D">
      <w:pPr>
        <w:jc w:val="both"/>
        <w:rPr>
          <w:rFonts w:ascii="Arial" w:hAnsi="Arial" w:cs="Arial"/>
          <w:lang w:val="es-CO"/>
        </w:rPr>
      </w:pPr>
    </w:p>
    <w:p w14:paraId="4A4BE34A" w14:textId="77777777" w:rsidR="00B2442D" w:rsidRDefault="008A645F">
      <w:pPr>
        <w:jc w:val="both"/>
        <w:rPr>
          <w:rFonts w:ascii="Arial" w:hAnsi="Arial" w:cs="Arial"/>
          <w:lang w:val="es-CO"/>
        </w:rPr>
      </w:pPr>
      <w:r>
        <w:rPr>
          <w:rFonts w:ascii="Arial" w:hAnsi="Arial" w:cs="Arial"/>
          <w:lang w:val="es-CO"/>
        </w:rPr>
        <w:t>Cuando el beneficiario del pago o abono en cuenta por h</w:t>
      </w:r>
      <w:r>
        <w:rPr>
          <w:rFonts w:ascii="Arial" w:hAnsi="Arial" w:cs="Arial"/>
          <w:lang w:val="es-CO"/>
        </w:rPr>
        <w:t xml:space="preserve">onorarios o comisiones, sea una persona natural la tarifa de retención es del diez por ciento (10%). No obstante lo anterior, la tarifa de retención en la fuente sobre los pagos o abonos en cuenta por honorarios y comisiones en favor de personas naturales </w:t>
      </w:r>
      <w:r>
        <w:rPr>
          <w:rFonts w:ascii="Arial" w:hAnsi="Arial" w:cs="Arial"/>
          <w:lang w:val="es-CO"/>
        </w:rPr>
        <w:t>será del once por ciento (11 %) en cualquiera de los siguientes casos:</w:t>
      </w:r>
    </w:p>
    <w:p w14:paraId="5C5B6DA4" w14:textId="77777777" w:rsidR="00B2442D" w:rsidRDefault="00B2442D">
      <w:pPr>
        <w:jc w:val="both"/>
        <w:rPr>
          <w:rFonts w:ascii="Arial" w:hAnsi="Arial" w:cs="Arial"/>
          <w:lang w:val="es-CO"/>
        </w:rPr>
      </w:pPr>
    </w:p>
    <w:p w14:paraId="3A8A0BAA" w14:textId="77777777" w:rsidR="00B2442D" w:rsidRDefault="008A645F">
      <w:pPr>
        <w:jc w:val="both"/>
        <w:rPr>
          <w:rFonts w:ascii="Arial" w:hAnsi="Arial" w:cs="Arial"/>
          <w:lang w:val="es-CO"/>
        </w:rPr>
      </w:pPr>
      <w:r>
        <w:rPr>
          <w:rFonts w:ascii="Arial" w:hAnsi="Arial" w:cs="Arial"/>
          <w:lang w:val="es-CO"/>
        </w:rPr>
        <w:t xml:space="preserve">a) Cuando del contrato se desprenda que los ingresos que obtendrá la persona natural beneficiaria del pago o abono en cuenta superan en el año gravable el valor de tres mil </w:t>
      </w:r>
      <w:r>
        <w:rPr>
          <w:rFonts w:ascii="Arial" w:hAnsi="Arial" w:cs="Arial"/>
          <w:lang w:val="es-CO"/>
        </w:rPr>
        <w:t>trescientas (3.300) UVT;</w:t>
      </w:r>
    </w:p>
    <w:p w14:paraId="5CEE3F7D" w14:textId="77777777" w:rsidR="00B2442D" w:rsidRDefault="00B2442D">
      <w:pPr>
        <w:jc w:val="both"/>
        <w:rPr>
          <w:rFonts w:ascii="Arial" w:hAnsi="Arial" w:cs="Arial"/>
          <w:lang w:val="es-CO"/>
        </w:rPr>
      </w:pPr>
    </w:p>
    <w:p w14:paraId="3B068A3C" w14:textId="77777777" w:rsidR="00B2442D" w:rsidRDefault="008A645F">
      <w:pPr>
        <w:jc w:val="both"/>
        <w:rPr>
          <w:rFonts w:ascii="Arial" w:hAnsi="Arial" w:cs="Arial"/>
          <w:lang w:val="es-CO"/>
        </w:rPr>
      </w:pPr>
      <w:r>
        <w:rPr>
          <w:rFonts w:ascii="Arial" w:hAnsi="Arial" w:cs="Arial"/>
          <w:lang w:val="es-CO"/>
        </w:rPr>
        <w:t xml:space="preserve">b) Cuando los pagos o abonos en cuenta realizados durante el ejercicio gravable por un mismo agente retenedor a una misma persona natural superen en el año gravable el valor de tres mil trescientas (3.300) UVT. En este </w:t>
      </w:r>
      <w:r>
        <w:rPr>
          <w:rFonts w:ascii="Arial" w:hAnsi="Arial" w:cs="Arial"/>
          <w:lang w:val="es-CO"/>
        </w:rPr>
        <w:t>evento la tarifa del once por ciento (11 %) se aplicará a partir del pago o abono en cuenta que sumado a los pagos realizados en el mismo ejercicio gravable exceda dicho valor.</w:t>
      </w:r>
    </w:p>
    <w:p w14:paraId="04F1E1E3" w14:textId="77777777" w:rsidR="00B2442D" w:rsidRDefault="00B2442D">
      <w:pPr>
        <w:jc w:val="both"/>
        <w:rPr>
          <w:rFonts w:ascii="Arial" w:hAnsi="Arial" w:cs="Arial"/>
          <w:lang w:val="es-CO"/>
        </w:rPr>
      </w:pPr>
    </w:p>
    <w:p w14:paraId="4E737CE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pagos o abonos en cuenta que se realicen a contribuyentes con r</w:t>
      </w:r>
      <w:r>
        <w:rPr>
          <w:rFonts w:ascii="Arial" w:hAnsi="Arial" w:cs="Arial"/>
          <w:lang w:val="es-CO"/>
        </w:rPr>
        <w:t>esidencia o domicilio en Colombia obligados a presentar declaración del Impuesto sobre la renta y complementario en el país, por actividades de análisis, diseño, desarrollo, implementación, mantenimiento, ajustes, pruebas, suministro y documentación, fases</w:t>
      </w:r>
      <w:r>
        <w:rPr>
          <w:rFonts w:ascii="Arial" w:hAnsi="Arial" w:cs="Arial"/>
          <w:lang w:val="es-CO"/>
        </w:rPr>
        <w:t xml:space="preserve"> necesarias en la elaboración de programas de informática, sean o no personalizados, así como el diseño de páginas web y consultoría en programas de informática, están sometidos a retención en la fuente a la tarifa del tres punto cinco por ciento (3.5%) de</w:t>
      </w:r>
      <w:r>
        <w:rPr>
          <w:rFonts w:ascii="Arial" w:hAnsi="Arial" w:cs="Arial"/>
          <w:lang w:val="es-CO"/>
        </w:rPr>
        <w:t>l respectivo pago o abono en cuenta. En las mismas condiciones, se aplicará dicha tarifa en los servicios de licenciamiento y derecho de uso del software.</w:t>
      </w:r>
    </w:p>
    <w:p w14:paraId="3F8AC584" w14:textId="77777777" w:rsidR="00B2442D" w:rsidRDefault="00B2442D">
      <w:pPr>
        <w:jc w:val="both"/>
        <w:rPr>
          <w:rFonts w:ascii="Arial" w:hAnsi="Arial" w:cs="Arial"/>
          <w:lang w:val="es-CO"/>
        </w:rPr>
      </w:pPr>
    </w:p>
    <w:p w14:paraId="49C82382" w14:textId="77777777" w:rsidR="00B2442D" w:rsidRDefault="008A645F">
      <w:pPr>
        <w:jc w:val="both"/>
        <w:rPr>
          <w:rFonts w:ascii="Arial" w:hAnsi="Arial" w:cs="Arial"/>
          <w:lang w:val="es-CO"/>
        </w:rPr>
      </w:pPr>
      <w:r>
        <w:rPr>
          <w:rFonts w:ascii="Arial" w:hAnsi="Arial" w:cs="Arial"/>
          <w:lang w:val="es-CO"/>
        </w:rPr>
        <w:t>Los pagos o abonos en cuenta por el concepto a que se refiere este parágrafo, que se efectúen a cont</w:t>
      </w:r>
      <w:r>
        <w:rPr>
          <w:rFonts w:ascii="Arial" w:hAnsi="Arial" w:cs="Arial"/>
          <w:lang w:val="es-CO"/>
        </w:rPr>
        <w:t>ribuyentes personas naturales residentes en el país no obligados a presentar declaración del impuesto sobre la renta y complementario, se rigen por lo dispuesto en el inciso dos y sus literales a) y b) del presente artículo.</w:t>
      </w:r>
    </w:p>
    <w:p w14:paraId="1E0701CE" w14:textId="77777777" w:rsidR="00B2442D" w:rsidRDefault="00B2442D">
      <w:pPr>
        <w:jc w:val="both"/>
        <w:rPr>
          <w:rFonts w:ascii="Arial" w:hAnsi="Arial" w:cs="Arial"/>
          <w:lang w:val="es-CO"/>
        </w:rPr>
      </w:pPr>
    </w:p>
    <w:p w14:paraId="0DDCEB92" w14:textId="77777777" w:rsidR="00B2442D" w:rsidRDefault="008A645F">
      <w:pPr>
        <w:jc w:val="both"/>
        <w:rPr>
          <w:rFonts w:ascii="Arial" w:hAnsi="Arial" w:cs="Arial"/>
          <w:lang w:val="es-CO"/>
        </w:rPr>
      </w:pPr>
      <w:r>
        <w:rPr>
          <w:rFonts w:ascii="Arial" w:hAnsi="Arial" w:cs="Arial"/>
          <w:lang w:val="es-CO"/>
        </w:rPr>
        <w:t xml:space="preserve">Lo previsto en este parágrafo </w:t>
      </w:r>
      <w:r>
        <w:rPr>
          <w:rFonts w:ascii="Arial" w:hAnsi="Arial" w:cs="Arial"/>
          <w:lang w:val="es-CO"/>
        </w:rPr>
        <w:t>debe entenderse sin perjuicio de lo establecido en los artículos 406 y 411 del Estatuto Tributario relativos al régimen de retención en la fuente por pagos al exterior.</w:t>
      </w:r>
    </w:p>
    <w:p w14:paraId="6F45E833" w14:textId="77777777" w:rsidR="00B2442D" w:rsidRDefault="00B2442D">
      <w:pPr>
        <w:jc w:val="both"/>
        <w:rPr>
          <w:rFonts w:ascii="Arial" w:hAnsi="Arial" w:cs="Arial"/>
          <w:i/>
          <w:lang w:val="es-CO"/>
        </w:rPr>
      </w:pPr>
    </w:p>
    <w:p w14:paraId="67E9D427" w14:textId="77777777" w:rsidR="00B2442D" w:rsidRDefault="008A645F">
      <w:pPr>
        <w:jc w:val="both"/>
        <w:rPr>
          <w:rFonts w:ascii="Arial" w:hAnsi="Arial" w:cs="Arial"/>
          <w:i/>
          <w:lang w:val="es-CO"/>
        </w:rPr>
      </w:pPr>
      <w:r>
        <w:rPr>
          <w:rFonts w:ascii="Arial" w:hAnsi="Arial" w:cs="Arial"/>
          <w:i/>
          <w:lang w:val="es-CO"/>
        </w:rPr>
        <w:t>(Art. 1, Decreto 260 de 2001, modificado por el artículo 51 de la Ley 1111 de 2006. Pa</w:t>
      </w:r>
      <w:r>
        <w:rPr>
          <w:rFonts w:ascii="Arial" w:hAnsi="Arial" w:cs="Arial"/>
          <w:i/>
          <w:lang w:val="es-CO"/>
        </w:rPr>
        <w:t>rágrafo adicionado por el art. 1 del Decreto 2521 de 2011, modificado por el art. 1 del Decreto 2499 de 2012)</w:t>
      </w:r>
    </w:p>
    <w:p w14:paraId="107CBE1A" w14:textId="77777777" w:rsidR="00B2442D" w:rsidRDefault="00B2442D">
      <w:pPr>
        <w:jc w:val="both"/>
        <w:rPr>
          <w:rFonts w:ascii="Arial" w:hAnsi="Arial" w:cs="Arial"/>
          <w:i/>
          <w:lang w:val="es-CO"/>
        </w:rPr>
      </w:pPr>
    </w:p>
    <w:p w14:paraId="1C95AE6F" w14:textId="77777777" w:rsidR="00B2442D" w:rsidRDefault="008A645F">
      <w:pPr>
        <w:pStyle w:val="Prrafodelista"/>
        <w:numPr>
          <w:ilvl w:val="0"/>
          <w:numId w:val="49"/>
        </w:numPr>
        <w:ind w:left="0" w:firstLine="0"/>
        <w:jc w:val="both"/>
        <w:rPr>
          <w:rFonts w:ascii="Arial" w:hAnsi="Arial" w:cs="Arial"/>
          <w:lang w:val="es-CO"/>
        </w:rPr>
      </w:pPr>
      <w:r>
        <w:rPr>
          <w:rFonts w:ascii="Arial" w:hAnsi="Arial" w:cs="Arial"/>
          <w:b/>
          <w:i/>
          <w:lang w:val="es-CO"/>
        </w:rPr>
        <w:t>Retención en la fuente en pagos de comisiones.</w:t>
      </w:r>
      <w:r>
        <w:rPr>
          <w:rFonts w:ascii="Arial" w:hAnsi="Arial" w:cs="Arial"/>
          <w:lang w:val="es-CO"/>
        </w:rPr>
        <w:t xml:space="preserve"> En el caso de comisiones pagadas por compañías aseguradoras a sociedades de corredores de seguros,</w:t>
      </w:r>
      <w:r>
        <w:rPr>
          <w:rFonts w:ascii="Arial" w:hAnsi="Arial" w:cs="Arial"/>
          <w:lang w:val="es-CO"/>
        </w:rPr>
        <w:t xml:space="preserve"> la retención en la fuente se efectuará por parte de estas últimas.</w:t>
      </w:r>
    </w:p>
    <w:p w14:paraId="35519AA3" w14:textId="77777777" w:rsidR="00B2442D" w:rsidRDefault="00B2442D">
      <w:pPr>
        <w:jc w:val="both"/>
        <w:rPr>
          <w:rFonts w:ascii="Arial" w:hAnsi="Arial" w:cs="Arial"/>
          <w:i/>
          <w:lang w:val="es-CO"/>
        </w:rPr>
      </w:pPr>
    </w:p>
    <w:p w14:paraId="16A62F8A" w14:textId="77777777" w:rsidR="00B2442D" w:rsidRDefault="008A645F">
      <w:pPr>
        <w:jc w:val="both"/>
        <w:rPr>
          <w:rFonts w:ascii="Arial" w:hAnsi="Arial" w:cs="Arial"/>
          <w:i/>
          <w:lang w:val="es-CO"/>
        </w:rPr>
      </w:pPr>
      <w:r>
        <w:rPr>
          <w:rFonts w:ascii="Arial" w:hAnsi="Arial" w:cs="Arial"/>
          <w:i/>
          <w:lang w:val="es-CO"/>
        </w:rPr>
        <w:t>(Art. 13 Decreto 2026 de 1983. La expresión “En tal evento, las compañías aseguradoras no estarán obligadas a acompañar a su declaración de renta los correspondientes comprobantes de cons</w:t>
      </w:r>
      <w:r>
        <w:rPr>
          <w:rFonts w:ascii="Arial" w:hAnsi="Arial" w:cs="Arial"/>
          <w:i/>
          <w:lang w:val="es-CO"/>
        </w:rPr>
        <w:t>ignación de la retención en la fuente, para el acta del reconocimiento de las deducciones por concepto de las respectivas comisiones.”, tiene decaimiento en virtud del art. 4 del Decreto Ley 2503 de 1987)</w:t>
      </w:r>
      <w:r>
        <w:rPr>
          <w:rFonts w:ascii="Arial" w:hAnsi="Arial" w:cs="Arial"/>
        </w:rPr>
        <w:t xml:space="preserve"> </w:t>
      </w:r>
      <w:r>
        <w:rPr>
          <w:rFonts w:ascii="Arial" w:hAnsi="Arial" w:cs="Arial"/>
          <w:i/>
          <w:lang w:val="es-CO"/>
        </w:rPr>
        <w:t>(Sin perjuicio de lo dispuesto en el artículo 7° de</w:t>
      </w:r>
      <w:r>
        <w:rPr>
          <w:rFonts w:ascii="Arial" w:hAnsi="Arial" w:cs="Arial"/>
          <w:i/>
          <w:lang w:val="es-CO"/>
        </w:rPr>
        <w:t>l Decreto 2026 de 1983, este último rige a partir de la fecha de su expedición y deroga el Decreto 1663 de 1983 y demás disposiciones que le sean contrarias. Art. 25, Decreto 2026 de 1983)</w:t>
      </w:r>
    </w:p>
    <w:p w14:paraId="007A9030" w14:textId="77777777" w:rsidR="00B2442D" w:rsidRDefault="00B2442D">
      <w:pPr>
        <w:jc w:val="both"/>
        <w:rPr>
          <w:rFonts w:ascii="Arial" w:hAnsi="Arial" w:cs="Arial"/>
          <w:lang w:val="es-CO"/>
        </w:rPr>
      </w:pPr>
    </w:p>
    <w:p w14:paraId="78FA26C0" w14:textId="77777777" w:rsidR="00B2442D" w:rsidRDefault="008A645F">
      <w:pPr>
        <w:pStyle w:val="Prrafodelista"/>
        <w:numPr>
          <w:ilvl w:val="0"/>
          <w:numId w:val="49"/>
        </w:numPr>
        <w:ind w:left="0" w:firstLine="0"/>
        <w:jc w:val="both"/>
        <w:rPr>
          <w:rFonts w:ascii="Arial" w:hAnsi="Arial" w:cs="Arial"/>
          <w:lang w:val="es-CO"/>
        </w:rPr>
      </w:pPr>
      <w:r>
        <w:rPr>
          <w:rFonts w:ascii="Arial" w:hAnsi="Arial" w:cs="Arial"/>
          <w:b/>
          <w:i/>
          <w:lang w:val="es-CO"/>
        </w:rPr>
        <w:t xml:space="preserve">Retención en la fuente en los ingresos por concepto de comisiones </w:t>
      </w:r>
      <w:r>
        <w:rPr>
          <w:rFonts w:ascii="Arial" w:hAnsi="Arial" w:cs="Arial"/>
          <w:b/>
          <w:i/>
          <w:lang w:val="es-CO"/>
        </w:rPr>
        <w:t xml:space="preserve">en el sector financiero. </w:t>
      </w:r>
      <w:r>
        <w:rPr>
          <w:rFonts w:ascii="Arial" w:hAnsi="Arial" w:cs="Arial"/>
          <w:lang w:val="es-CO"/>
        </w:rPr>
        <w:t xml:space="preserve">Los pagos o abonos en cuenta que se efectúen a las entidades sometidas a la vigilancia de la Superintendencia Financiera de Colombia que correspondan a comisiones estarán sujetas a una tarifa de retención en la fuente del once por </w:t>
      </w:r>
      <w:r>
        <w:rPr>
          <w:rFonts w:ascii="Arial" w:hAnsi="Arial" w:cs="Arial"/>
          <w:lang w:val="es-CO"/>
        </w:rPr>
        <w:t>ciento (11%). En el caso de comisiones por concepto de transacciones realizadas en bolsa la tarifa de retención en la fuente aplicable será del tres por ciento (3%).</w:t>
      </w:r>
    </w:p>
    <w:p w14:paraId="2FAD7F20" w14:textId="77777777" w:rsidR="00B2442D" w:rsidRDefault="00B2442D">
      <w:pPr>
        <w:jc w:val="both"/>
        <w:rPr>
          <w:rFonts w:ascii="Arial" w:hAnsi="Arial" w:cs="Arial"/>
          <w:lang w:val="es-CO"/>
        </w:rPr>
      </w:pPr>
    </w:p>
    <w:p w14:paraId="2DF2B8E1"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la aplicación de la retención en la fuente de que trata este artículo, </w:t>
      </w:r>
      <w:r>
        <w:rPr>
          <w:rFonts w:ascii="Arial" w:hAnsi="Arial" w:cs="Arial"/>
          <w:lang w:val="es-CO"/>
        </w:rPr>
        <w:t>no se tendrá en cuenta cuantías mínimas.</w:t>
      </w:r>
    </w:p>
    <w:p w14:paraId="53AB69CD" w14:textId="77777777" w:rsidR="00B2442D" w:rsidRDefault="00B2442D">
      <w:pPr>
        <w:jc w:val="both"/>
        <w:rPr>
          <w:rFonts w:ascii="Arial" w:hAnsi="Arial" w:cs="Arial"/>
          <w:b/>
          <w:lang w:val="es-CO"/>
        </w:rPr>
      </w:pPr>
    </w:p>
    <w:p w14:paraId="7206C40C"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Sin perjuicio de lo previsto en otras disposiciones, las entidades vigiladas por la Superintendencia Financiera de Colombia actuarán como autorretenedores del impuesto sobre la renta y complementarios </w:t>
      </w:r>
      <w:r>
        <w:rPr>
          <w:rFonts w:ascii="Arial" w:hAnsi="Arial" w:cs="Arial"/>
          <w:lang w:val="es-CO"/>
        </w:rPr>
        <w:t>por concepto de comisiones, independientemente de que el pago o abono en cuenta provenga de una persona natural o de una persona jurídica que no tenga la calidad de agente retenedor.</w:t>
      </w:r>
    </w:p>
    <w:p w14:paraId="089BF3C1" w14:textId="77777777" w:rsidR="00B2442D" w:rsidRDefault="00B2442D">
      <w:pPr>
        <w:jc w:val="both"/>
        <w:rPr>
          <w:rFonts w:ascii="Arial" w:hAnsi="Arial" w:cs="Arial"/>
          <w:lang w:val="es-CO"/>
        </w:rPr>
      </w:pPr>
    </w:p>
    <w:p w14:paraId="61E2DC19" w14:textId="77777777" w:rsidR="00B2442D" w:rsidRDefault="008A645F">
      <w:pPr>
        <w:jc w:val="both"/>
        <w:rPr>
          <w:rFonts w:ascii="Arial" w:hAnsi="Arial" w:cs="Arial"/>
          <w:i/>
          <w:lang w:val="es-CO"/>
        </w:rPr>
      </w:pPr>
      <w:r>
        <w:rPr>
          <w:rFonts w:ascii="Arial" w:hAnsi="Arial" w:cs="Arial"/>
          <w:i/>
          <w:lang w:val="es-CO"/>
        </w:rPr>
        <w:t>(Art. 6, Decreto 2418 de 2013)</w:t>
      </w:r>
      <w:r>
        <w:rPr>
          <w:rFonts w:ascii="Arial" w:hAnsi="Arial" w:cs="Arial"/>
        </w:rPr>
        <w:t xml:space="preserve"> </w:t>
      </w:r>
      <w:r>
        <w:rPr>
          <w:rFonts w:ascii="Arial" w:hAnsi="Arial" w:cs="Arial"/>
          <w:i/>
          <w:lang w:val="es-CO"/>
        </w:rPr>
        <w:t>(El Decreto 2418 de 2013 rige a partir de</w:t>
      </w:r>
      <w:r>
        <w:rPr>
          <w:rFonts w:ascii="Arial" w:hAnsi="Arial" w:cs="Arial"/>
          <w:i/>
          <w:lang w:val="es-CO"/>
        </w:rPr>
        <w:t>l primero (1 °) de noviembre de 2013 y deroga el inciso 3o del artículo 12 del Decreto número 2026 de 1983. Art. 9, Decreto 2418 de 2013)</w:t>
      </w:r>
    </w:p>
    <w:p w14:paraId="572292A2" w14:textId="77777777" w:rsidR="00B2442D" w:rsidRDefault="00B2442D">
      <w:pPr>
        <w:jc w:val="both"/>
        <w:rPr>
          <w:rFonts w:ascii="Arial" w:hAnsi="Arial" w:cs="Arial"/>
          <w:lang w:val="es-CO"/>
        </w:rPr>
      </w:pPr>
    </w:p>
    <w:p w14:paraId="64602BBD" w14:textId="77777777" w:rsidR="00B2442D" w:rsidRDefault="008A645F">
      <w:pPr>
        <w:pStyle w:val="Ttulo4"/>
      </w:pPr>
      <w:r>
        <w:t>CAPÍTULO 4</w:t>
      </w:r>
    </w:p>
    <w:p w14:paraId="587AD829" w14:textId="77777777" w:rsidR="00B2442D" w:rsidRDefault="008A645F">
      <w:pPr>
        <w:pStyle w:val="Ttulo4"/>
      </w:pPr>
      <w:r>
        <w:t>Retención en la fuente a título de impuesto sobre la renta por concepto de servicios</w:t>
      </w:r>
    </w:p>
    <w:p w14:paraId="7BC38950" w14:textId="77777777" w:rsidR="00B2442D" w:rsidRDefault="00B2442D">
      <w:pPr>
        <w:rPr>
          <w:rFonts w:ascii="Arial" w:hAnsi="Arial" w:cs="Arial"/>
        </w:rPr>
      </w:pPr>
    </w:p>
    <w:p w14:paraId="1777BBE6"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 xml:space="preserve">Cuando no se </w:t>
      </w:r>
      <w:r>
        <w:rPr>
          <w:rFonts w:ascii="Arial" w:hAnsi="Arial" w:cs="Arial"/>
          <w:b/>
          <w:i/>
          <w:lang w:val="es-CO"/>
        </w:rPr>
        <w:t>practica retención en la fuente.</w:t>
      </w:r>
      <w:r>
        <w:rPr>
          <w:rFonts w:ascii="Arial" w:hAnsi="Arial" w:cs="Arial"/>
          <w:lang w:val="es-CO"/>
        </w:rPr>
        <w:t xml:space="preserve"> No se hará retención en la fuente sobre los pagos o abonos en cuenta por prestación de servicios cuya cuantía individual sea inferior a cuatro (4) UVT. </w:t>
      </w:r>
    </w:p>
    <w:p w14:paraId="67702784" w14:textId="77777777" w:rsidR="00B2442D" w:rsidRDefault="00B2442D">
      <w:pPr>
        <w:jc w:val="both"/>
        <w:rPr>
          <w:rFonts w:ascii="Arial" w:hAnsi="Arial" w:cs="Arial"/>
          <w:lang w:val="es-CO"/>
        </w:rPr>
      </w:pPr>
    </w:p>
    <w:p w14:paraId="54A8DF4C" w14:textId="77777777" w:rsidR="00B2442D" w:rsidRDefault="008A645F">
      <w:pPr>
        <w:jc w:val="both"/>
        <w:rPr>
          <w:rFonts w:ascii="Arial" w:hAnsi="Arial" w:cs="Arial"/>
          <w:i/>
          <w:lang w:val="es-CO"/>
        </w:rPr>
      </w:pPr>
      <w:r>
        <w:rPr>
          <w:rFonts w:ascii="Arial" w:hAnsi="Arial" w:cs="Arial"/>
          <w:i/>
          <w:lang w:val="es-CO"/>
        </w:rPr>
        <w:t>(Art. 6, Decreto 2775 de 1983, modificado por el artículo 51 de la Le</w:t>
      </w:r>
      <w:r>
        <w:rPr>
          <w:rFonts w:ascii="Arial" w:hAnsi="Arial" w:cs="Arial"/>
          <w:i/>
          <w:lang w:val="es-CO"/>
        </w:rPr>
        <w:t>y 1111 de 2006)</w:t>
      </w:r>
    </w:p>
    <w:p w14:paraId="6D8B5979" w14:textId="77777777" w:rsidR="00B2442D" w:rsidRDefault="00B2442D">
      <w:pPr>
        <w:jc w:val="both"/>
        <w:rPr>
          <w:rFonts w:ascii="Arial" w:hAnsi="Arial" w:cs="Arial"/>
          <w:lang w:val="es-CO"/>
        </w:rPr>
      </w:pPr>
    </w:p>
    <w:p w14:paraId="15F46242"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por servicios de radio, prensa y televisión.</w:t>
      </w:r>
      <w:r>
        <w:rPr>
          <w:rFonts w:ascii="Arial" w:hAnsi="Arial" w:cs="Arial"/>
          <w:lang w:val="es-CO"/>
        </w:rPr>
        <w:t xml:space="preserve"> La retención por servicios de radio, prensa y televisión no se regirán por lo previsto en el Decreto 2026 de 1983.</w:t>
      </w:r>
    </w:p>
    <w:p w14:paraId="5B6A35A6" w14:textId="77777777" w:rsidR="00B2442D" w:rsidRDefault="00B2442D">
      <w:pPr>
        <w:jc w:val="both"/>
        <w:rPr>
          <w:rFonts w:ascii="Arial" w:hAnsi="Arial" w:cs="Arial"/>
          <w:i/>
          <w:lang w:val="es-CO"/>
        </w:rPr>
      </w:pPr>
    </w:p>
    <w:p w14:paraId="1498F993" w14:textId="77777777" w:rsidR="00B2442D" w:rsidRDefault="008A645F">
      <w:pPr>
        <w:jc w:val="both"/>
        <w:rPr>
          <w:rFonts w:ascii="Arial" w:hAnsi="Arial" w:cs="Arial"/>
          <w:i/>
          <w:lang w:val="es-CO"/>
        </w:rPr>
      </w:pPr>
      <w:r>
        <w:rPr>
          <w:rFonts w:ascii="Arial" w:hAnsi="Arial" w:cs="Arial"/>
          <w:i/>
          <w:lang w:val="es-CO"/>
        </w:rPr>
        <w:t>(Art. 4, Decreto 2775 de 1983. Derogado parcial y tácit</w:t>
      </w:r>
      <w:r>
        <w:rPr>
          <w:rFonts w:ascii="Arial" w:hAnsi="Arial" w:cs="Arial"/>
          <w:i/>
          <w:lang w:val="es-CO"/>
        </w:rPr>
        <w:t>amente por artículo 5 del Decreto 260 de 2001)</w:t>
      </w:r>
    </w:p>
    <w:p w14:paraId="4BAB2ED4" w14:textId="77777777" w:rsidR="00B2442D" w:rsidRDefault="00B2442D">
      <w:pPr>
        <w:jc w:val="both"/>
        <w:rPr>
          <w:rFonts w:ascii="Arial" w:hAnsi="Arial" w:cs="Arial"/>
          <w:b/>
        </w:rPr>
      </w:pPr>
    </w:p>
    <w:p w14:paraId="01305E3A" w14:textId="77777777" w:rsidR="00B2442D" w:rsidRDefault="008A645F">
      <w:pPr>
        <w:pStyle w:val="Prrafodelista"/>
        <w:numPr>
          <w:ilvl w:val="0"/>
          <w:numId w:val="50"/>
        </w:numPr>
        <w:ind w:left="0" w:firstLine="0"/>
        <w:jc w:val="both"/>
        <w:rPr>
          <w:rFonts w:ascii="Arial" w:hAnsi="Arial" w:cs="Arial"/>
        </w:rPr>
      </w:pPr>
      <w:r>
        <w:rPr>
          <w:rFonts w:ascii="Arial" w:hAnsi="Arial" w:cs="Arial"/>
          <w:b/>
          <w:i/>
        </w:rPr>
        <w:t>Retención en la fuente por concepto de servicios de radio, prensa, televisión, restaurante, hotel y hospedaje.</w:t>
      </w:r>
      <w:r>
        <w:rPr>
          <w:rFonts w:ascii="Arial" w:hAnsi="Arial" w:cs="Arial"/>
        </w:rPr>
        <w:t xml:space="preserve"> La retención por servicios de radio, prensa, televisión, restaurante, hotel y hospedaje no se regirá por lo previsto en el Decreto 1512 de 1985.</w:t>
      </w:r>
    </w:p>
    <w:p w14:paraId="379B7711" w14:textId="77777777" w:rsidR="00B2442D" w:rsidRDefault="00B2442D">
      <w:pPr>
        <w:jc w:val="both"/>
        <w:rPr>
          <w:rFonts w:ascii="Arial" w:hAnsi="Arial" w:cs="Arial"/>
          <w:i/>
        </w:rPr>
      </w:pPr>
    </w:p>
    <w:p w14:paraId="62339028" w14:textId="77777777" w:rsidR="00B2442D" w:rsidRDefault="008A645F">
      <w:pPr>
        <w:jc w:val="both"/>
        <w:rPr>
          <w:rFonts w:ascii="Arial" w:hAnsi="Arial" w:cs="Arial"/>
        </w:rPr>
      </w:pPr>
      <w:r>
        <w:rPr>
          <w:rFonts w:ascii="Arial" w:hAnsi="Arial" w:cs="Arial"/>
          <w:i/>
        </w:rPr>
        <w:t>(Art. 8 Decreto 1512 de 1985)</w:t>
      </w:r>
    </w:p>
    <w:p w14:paraId="6F2E30AF" w14:textId="77777777" w:rsidR="00B2442D" w:rsidRDefault="00B2442D">
      <w:pPr>
        <w:jc w:val="both"/>
        <w:rPr>
          <w:rFonts w:ascii="Arial" w:hAnsi="Arial" w:cs="Arial"/>
          <w:i/>
          <w:lang w:val="es-CO"/>
        </w:rPr>
      </w:pPr>
    </w:p>
    <w:p w14:paraId="5A0EA7D4"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sobre pagos o abonos en cuenta por concepto de servicio</w:t>
      </w:r>
      <w:r>
        <w:rPr>
          <w:rFonts w:ascii="Arial" w:hAnsi="Arial" w:cs="Arial"/>
          <w:b/>
          <w:i/>
          <w:lang w:val="es-CO"/>
        </w:rPr>
        <w:t>s de administración de edificios organizados en propiedad horizontal o condominios.</w:t>
      </w:r>
      <w:r>
        <w:rPr>
          <w:rFonts w:ascii="Arial" w:hAnsi="Arial" w:cs="Arial"/>
          <w:lang w:val="es-CO"/>
        </w:rPr>
        <w:t xml:space="preserve"> La retención en la fuente sobre pagos o abonos en cuenta por concepto de servicios de administración de edificios organizados en propiedad horizontal o condominios, no se r</w:t>
      </w:r>
      <w:r>
        <w:rPr>
          <w:rFonts w:ascii="Arial" w:hAnsi="Arial" w:cs="Arial"/>
          <w:lang w:val="es-CO"/>
        </w:rPr>
        <w:t>egirá por lo previsto en el Decreto 2026 de 1983, cuando dichos pagos se realicen a la junta o comunidad de propietarios encargada de la administración del edificio.</w:t>
      </w:r>
    </w:p>
    <w:p w14:paraId="7F494C66" w14:textId="77777777" w:rsidR="00B2442D" w:rsidRDefault="00B2442D">
      <w:pPr>
        <w:jc w:val="both"/>
        <w:rPr>
          <w:rFonts w:ascii="Arial" w:hAnsi="Arial" w:cs="Arial"/>
          <w:i/>
          <w:lang w:val="es-CO"/>
        </w:rPr>
      </w:pPr>
    </w:p>
    <w:p w14:paraId="3A04E3D6" w14:textId="77777777" w:rsidR="00B2442D" w:rsidRDefault="008A645F">
      <w:pPr>
        <w:jc w:val="both"/>
        <w:rPr>
          <w:rFonts w:ascii="Arial" w:hAnsi="Arial" w:cs="Arial"/>
          <w:i/>
          <w:lang w:val="es-CO"/>
        </w:rPr>
      </w:pPr>
      <w:r>
        <w:rPr>
          <w:rFonts w:ascii="Arial" w:hAnsi="Arial" w:cs="Arial"/>
          <w:i/>
          <w:lang w:val="es-CO"/>
        </w:rPr>
        <w:t>(Art. 5, Decreto 2775 de 1983)</w:t>
      </w:r>
    </w:p>
    <w:p w14:paraId="68A5491A" w14:textId="77777777" w:rsidR="00B2442D" w:rsidRDefault="00B2442D">
      <w:pPr>
        <w:jc w:val="both"/>
        <w:rPr>
          <w:rFonts w:ascii="Arial" w:hAnsi="Arial" w:cs="Arial"/>
          <w:lang w:val="es-CO"/>
        </w:rPr>
      </w:pPr>
    </w:p>
    <w:p w14:paraId="27F26BC6"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Base para practicar la retención en la fuente.</w:t>
      </w:r>
      <w:r>
        <w:rPr>
          <w:rFonts w:ascii="Arial" w:hAnsi="Arial" w:cs="Arial"/>
          <w:lang w:val="es-CO"/>
        </w:rPr>
        <w:t xml:space="preserve"> La base pa</w:t>
      </w:r>
      <w:r>
        <w:rPr>
          <w:rFonts w:ascii="Arial" w:hAnsi="Arial" w:cs="Arial"/>
          <w:lang w:val="es-CO"/>
        </w:rPr>
        <w:t xml:space="preserve">ra aplicar la retención en la fuente sobre los pagos o abonos en cuenta que hagan las personas jurídicas y sociedades de hecho a los agentes de aduana, marítimos y de carga legalmente autorizados, será el valor de la retribución por los servicios prestado </w:t>
      </w:r>
      <w:r>
        <w:rPr>
          <w:rFonts w:ascii="Arial" w:hAnsi="Arial" w:cs="Arial"/>
          <w:lang w:val="es-CO"/>
        </w:rPr>
        <w:t xml:space="preserve">por estos, cualquiera que fuere su cuantía y denominación. </w:t>
      </w:r>
    </w:p>
    <w:p w14:paraId="1A1D520A" w14:textId="77777777" w:rsidR="00B2442D" w:rsidRDefault="008A645F">
      <w:pPr>
        <w:jc w:val="both"/>
        <w:rPr>
          <w:rFonts w:ascii="Arial" w:hAnsi="Arial" w:cs="Arial"/>
          <w:lang w:val="es-CO"/>
        </w:rPr>
      </w:pPr>
      <w:r>
        <w:rPr>
          <w:rFonts w:ascii="Arial" w:hAnsi="Arial" w:cs="Arial"/>
          <w:lang w:val="es-CO"/>
        </w:rPr>
        <w:t xml:space="preserve"> </w:t>
      </w:r>
    </w:p>
    <w:p w14:paraId="71E10B91" w14:textId="77777777" w:rsidR="00B2442D" w:rsidRDefault="008A645F">
      <w:pPr>
        <w:jc w:val="both"/>
        <w:rPr>
          <w:rFonts w:ascii="Arial" w:hAnsi="Arial" w:cs="Arial"/>
          <w:lang w:val="es-CO"/>
        </w:rPr>
      </w:pPr>
      <w:r>
        <w:rPr>
          <w:rFonts w:ascii="Arial" w:hAnsi="Arial" w:cs="Arial"/>
          <w:lang w:val="es-CO"/>
        </w:rPr>
        <w:t xml:space="preserve">Cuando los pagos o abonos en cuenta por conceptos sometidos a retención en la fuente se hagan a través de dichos agentes, la retención en la fuente se efectuará por estos de conformidad con las </w:t>
      </w:r>
      <w:r>
        <w:rPr>
          <w:rFonts w:ascii="Arial" w:hAnsi="Arial" w:cs="Arial"/>
          <w:lang w:val="es-CO"/>
        </w:rPr>
        <w:t>normas vigentes.</w:t>
      </w:r>
    </w:p>
    <w:p w14:paraId="6185B3E2" w14:textId="77777777" w:rsidR="00B2442D" w:rsidRDefault="00B2442D">
      <w:pPr>
        <w:jc w:val="both"/>
        <w:rPr>
          <w:rFonts w:ascii="Arial" w:hAnsi="Arial" w:cs="Arial"/>
          <w:i/>
          <w:lang w:val="es-CO"/>
        </w:rPr>
      </w:pPr>
    </w:p>
    <w:p w14:paraId="6152C8D4" w14:textId="77777777" w:rsidR="00B2442D" w:rsidRDefault="008A645F">
      <w:pPr>
        <w:jc w:val="both"/>
        <w:rPr>
          <w:rFonts w:ascii="Arial" w:hAnsi="Arial" w:cs="Arial"/>
          <w:i/>
          <w:lang w:val="es-CO"/>
        </w:rPr>
      </w:pPr>
      <w:r>
        <w:rPr>
          <w:rFonts w:ascii="Arial" w:hAnsi="Arial" w:cs="Arial"/>
          <w:i/>
          <w:lang w:val="es-CO"/>
        </w:rPr>
        <w:t>(Art. 8, Decreto 2775 de 1983)</w:t>
      </w:r>
    </w:p>
    <w:p w14:paraId="3FEF6427" w14:textId="77777777" w:rsidR="00B2442D" w:rsidRDefault="00B2442D">
      <w:pPr>
        <w:jc w:val="both"/>
        <w:rPr>
          <w:rFonts w:ascii="Arial" w:hAnsi="Arial" w:cs="Arial"/>
          <w:lang w:val="es-CO"/>
        </w:rPr>
      </w:pPr>
    </w:p>
    <w:p w14:paraId="5DE1FEAA"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por concepto de servicios de transporte nacional o internacional.</w:t>
      </w:r>
      <w:r>
        <w:rPr>
          <w:rFonts w:ascii="Arial" w:hAnsi="Arial" w:cs="Arial"/>
          <w:lang w:val="es-CO"/>
        </w:rPr>
        <w:t xml:space="preserve"> Los pagos o abonos en cuenta que efectúen las personas jurídicas y sociedades de hecho por concepto de los servicios </w:t>
      </w:r>
      <w:r>
        <w:rPr>
          <w:rFonts w:ascii="Arial" w:hAnsi="Arial" w:cs="Arial"/>
          <w:lang w:val="es-CO"/>
        </w:rPr>
        <w:t xml:space="preserve">de transporte nacional prestados por las empresas colombianas de transporte aéreo o marítimo se someterán a una retención en la fuente del uno por ciento (1%). </w:t>
      </w:r>
    </w:p>
    <w:p w14:paraId="41F39913" w14:textId="77777777" w:rsidR="00B2442D" w:rsidRDefault="00B2442D">
      <w:pPr>
        <w:jc w:val="both"/>
        <w:rPr>
          <w:rFonts w:ascii="Arial" w:hAnsi="Arial" w:cs="Arial"/>
          <w:lang w:val="es-CO"/>
        </w:rPr>
      </w:pPr>
    </w:p>
    <w:p w14:paraId="39443529" w14:textId="77777777" w:rsidR="00B2442D" w:rsidRDefault="008A645F">
      <w:pPr>
        <w:jc w:val="both"/>
        <w:rPr>
          <w:rFonts w:ascii="Arial" w:hAnsi="Arial" w:cs="Arial"/>
          <w:lang w:val="es-CO"/>
        </w:rPr>
      </w:pPr>
      <w:r>
        <w:rPr>
          <w:rFonts w:ascii="Arial" w:hAnsi="Arial" w:cs="Arial"/>
          <w:lang w:val="es-CO"/>
        </w:rPr>
        <w:t>Los demás pagos o abonos en cuenta se someterán a las retenciones previstas en las normas vige</w:t>
      </w:r>
      <w:r>
        <w:rPr>
          <w:rFonts w:ascii="Arial" w:hAnsi="Arial" w:cs="Arial"/>
          <w:lang w:val="es-CO"/>
        </w:rPr>
        <w:t xml:space="preserve">ntes, de conformidad con el concepto del pago o abono. </w:t>
      </w:r>
    </w:p>
    <w:p w14:paraId="08B835C6" w14:textId="77777777" w:rsidR="00B2442D" w:rsidRDefault="00B2442D">
      <w:pPr>
        <w:jc w:val="both"/>
        <w:rPr>
          <w:rFonts w:ascii="Arial" w:hAnsi="Arial" w:cs="Arial"/>
          <w:lang w:val="es-CO"/>
        </w:rPr>
      </w:pPr>
    </w:p>
    <w:p w14:paraId="1DF3922C" w14:textId="77777777" w:rsidR="00B2442D" w:rsidRDefault="008A645F">
      <w:pPr>
        <w:jc w:val="both"/>
        <w:rPr>
          <w:rFonts w:ascii="Arial" w:hAnsi="Arial" w:cs="Arial"/>
          <w:lang w:val="es-CO"/>
        </w:rPr>
      </w:pPr>
      <w:r>
        <w:rPr>
          <w:rFonts w:ascii="Arial" w:hAnsi="Arial" w:cs="Arial"/>
          <w:lang w:val="es-CO"/>
        </w:rPr>
        <w:t>En el evento previsto en el inciso primero de este artículo, la retención se causa en el momento del registro de la respectiva operación por parte del beneficiario del ingreso, o en el momento en que se reciba el mismo, el que ocurra primero, y deberá hace</w:t>
      </w:r>
      <w:r>
        <w:rPr>
          <w:rFonts w:ascii="Arial" w:hAnsi="Arial" w:cs="Arial"/>
          <w:lang w:val="es-CO"/>
        </w:rPr>
        <w:t xml:space="preserve">rse por parte del beneficiario del pago o abono en cuenta y no por parte de quien lo efectúa. </w:t>
      </w:r>
    </w:p>
    <w:p w14:paraId="243B6007" w14:textId="77777777" w:rsidR="00B2442D" w:rsidRDefault="008A645F">
      <w:pPr>
        <w:jc w:val="both"/>
        <w:rPr>
          <w:rFonts w:ascii="Arial" w:hAnsi="Arial" w:cs="Arial"/>
          <w:lang w:val="es-CO"/>
        </w:rPr>
      </w:pPr>
      <w:r>
        <w:rPr>
          <w:rFonts w:ascii="Arial" w:hAnsi="Arial" w:cs="Arial"/>
          <w:lang w:val="es-CO"/>
        </w:rPr>
        <w:t xml:space="preserve"> </w:t>
      </w:r>
    </w:p>
    <w:p w14:paraId="14DFAF4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pagos o abonos en cuenta por concepto de servicios de transporte internacional prestados por las empresas de que trata el presente artículo no e</w:t>
      </w:r>
      <w:r>
        <w:rPr>
          <w:rFonts w:ascii="Arial" w:hAnsi="Arial" w:cs="Arial"/>
          <w:lang w:val="es-CO"/>
        </w:rPr>
        <w:t>stán sometidos a retención en la fuente.</w:t>
      </w:r>
    </w:p>
    <w:p w14:paraId="6455171B" w14:textId="77777777" w:rsidR="00B2442D" w:rsidRDefault="00B2442D">
      <w:pPr>
        <w:jc w:val="both"/>
        <w:rPr>
          <w:rFonts w:ascii="Arial" w:hAnsi="Arial" w:cs="Arial"/>
          <w:i/>
          <w:lang w:val="es-CO"/>
        </w:rPr>
      </w:pPr>
    </w:p>
    <w:p w14:paraId="2F64437F" w14:textId="77777777" w:rsidR="00B2442D" w:rsidRDefault="008A645F">
      <w:pPr>
        <w:jc w:val="both"/>
        <w:rPr>
          <w:rFonts w:ascii="Arial" w:hAnsi="Arial" w:cs="Arial"/>
          <w:i/>
          <w:lang w:val="es-CO"/>
        </w:rPr>
      </w:pPr>
      <w:r>
        <w:rPr>
          <w:rFonts w:ascii="Arial" w:hAnsi="Arial" w:cs="Arial"/>
          <w:i/>
          <w:lang w:val="es-CO"/>
        </w:rPr>
        <w:t>(Art. 2 Decreto 399 de 1987)</w:t>
      </w:r>
    </w:p>
    <w:p w14:paraId="347E2D10" w14:textId="77777777" w:rsidR="00B2442D" w:rsidRDefault="00B2442D">
      <w:pPr>
        <w:jc w:val="both"/>
        <w:rPr>
          <w:rFonts w:ascii="Arial" w:hAnsi="Arial" w:cs="Arial"/>
          <w:lang w:val="es-CO"/>
        </w:rPr>
      </w:pPr>
    </w:p>
    <w:p w14:paraId="6793950E"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a las agencias y agentes colocadores de seguros y capitalización.</w:t>
      </w:r>
      <w:r>
        <w:rPr>
          <w:rFonts w:ascii="Arial" w:hAnsi="Arial" w:cs="Arial"/>
          <w:lang w:val="es-CO"/>
        </w:rPr>
        <w:t xml:space="preserve"> Las agencias y agentes colocadores de seguros y títulos de capitalización, se seguirán rigiendo</w:t>
      </w:r>
      <w:r>
        <w:rPr>
          <w:rFonts w:ascii="Arial" w:hAnsi="Arial" w:cs="Arial"/>
          <w:lang w:val="es-CO"/>
        </w:rPr>
        <w:t xml:space="preserve"> por las normas generales de retención en materia de comisiones.</w:t>
      </w:r>
    </w:p>
    <w:p w14:paraId="23CA168D" w14:textId="77777777" w:rsidR="00B2442D" w:rsidRDefault="00B2442D">
      <w:pPr>
        <w:jc w:val="both"/>
        <w:rPr>
          <w:rFonts w:ascii="Arial" w:hAnsi="Arial" w:cs="Arial"/>
          <w:i/>
          <w:lang w:val="es-CO"/>
        </w:rPr>
      </w:pPr>
    </w:p>
    <w:p w14:paraId="1ACFD83F" w14:textId="77777777" w:rsidR="00B2442D" w:rsidRDefault="008A645F">
      <w:pPr>
        <w:jc w:val="both"/>
        <w:rPr>
          <w:rFonts w:ascii="Arial" w:hAnsi="Arial" w:cs="Arial"/>
          <w:i/>
          <w:lang w:val="es-CO"/>
        </w:rPr>
      </w:pPr>
      <w:r>
        <w:rPr>
          <w:rFonts w:ascii="Arial" w:hAnsi="Arial" w:cs="Arial"/>
          <w:i/>
          <w:lang w:val="es-CO"/>
        </w:rPr>
        <w:t>(Art. 11,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w:t>
      </w:r>
      <w:r>
        <w:rPr>
          <w:rFonts w:ascii="Arial" w:hAnsi="Arial" w:cs="Arial"/>
          <w:i/>
          <w:lang w:val="es-CO"/>
        </w:rPr>
        <w:t>reto 1372 de 1992, artículos 4° y 6° del Decreto 1250 de 1992, y el Decreto 2208 de 1991. Art. 44, Decreto 2076 de 1992)</w:t>
      </w:r>
    </w:p>
    <w:p w14:paraId="32A7A521" w14:textId="77777777" w:rsidR="00B2442D" w:rsidRDefault="00B2442D">
      <w:pPr>
        <w:jc w:val="both"/>
        <w:rPr>
          <w:rFonts w:ascii="Arial" w:hAnsi="Arial" w:cs="Arial"/>
          <w:lang w:val="es-CO"/>
        </w:rPr>
      </w:pPr>
    </w:p>
    <w:p w14:paraId="6476BE53"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por concepto del servicio de transporte de carga terrestre.</w:t>
      </w:r>
      <w:r>
        <w:rPr>
          <w:rFonts w:ascii="Arial" w:hAnsi="Arial" w:cs="Arial"/>
          <w:lang w:val="es-CO"/>
        </w:rPr>
        <w:t xml:space="preserve"> En el caso del transporte de carga terrestre, la re</w:t>
      </w:r>
      <w:r>
        <w:rPr>
          <w:rFonts w:ascii="Arial" w:hAnsi="Arial" w:cs="Arial"/>
          <w:lang w:val="es-CO"/>
        </w:rPr>
        <w:t xml:space="preserve">tención en la fuente se aplicará sobre el valor bruto de los pagos o abonos en cuenta que hagan las personas jurídicas o sociedades de hecho, a la tarifa del uno por ciento (1%). </w:t>
      </w:r>
    </w:p>
    <w:p w14:paraId="3A70601A" w14:textId="77777777" w:rsidR="00B2442D" w:rsidRDefault="00B2442D">
      <w:pPr>
        <w:jc w:val="both"/>
        <w:rPr>
          <w:rFonts w:ascii="Arial" w:hAnsi="Arial" w:cs="Arial"/>
          <w:lang w:val="es-CO"/>
        </w:rPr>
      </w:pPr>
    </w:p>
    <w:p w14:paraId="04239925" w14:textId="77777777" w:rsidR="00B2442D" w:rsidRDefault="008A645F">
      <w:pPr>
        <w:jc w:val="both"/>
        <w:rPr>
          <w:rFonts w:ascii="Arial" w:hAnsi="Arial" w:cs="Arial"/>
          <w:lang w:val="es-CO"/>
        </w:rPr>
      </w:pPr>
      <w:r>
        <w:rPr>
          <w:rFonts w:ascii="Arial" w:hAnsi="Arial" w:cs="Arial"/>
          <w:lang w:val="es-CO"/>
        </w:rPr>
        <w:t xml:space="preserve">Cuando se trate de empresas de transporte de carga terrestre y el servicio </w:t>
      </w:r>
      <w:r>
        <w:rPr>
          <w:rFonts w:ascii="Arial" w:hAnsi="Arial" w:cs="Arial"/>
          <w:lang w:val="es-CO"/>
        </w:rPr>
        <w:t xml:space="preserve">se preste a través de vehículos de propiedad de los afiliados a la empresa, dicha retención se distribuirá así por la empresa transportadora: El porcentaje que represente los pagos o abonos en cuenta que se hagan al tercero propietario del vehículo dentro </w:t>
      </w:r>
      <w:r>
        <w:rPr>
          <w:rFonts w:ascii="Arial" w:hAnsi="Arial" w:cs="Arial"/>
          <w:lang w:val="es-CO"/>
        </w:rPr>
        <w:t xml:space="preserve">del pago o abono recibido por la empresa transportadora se multiplicará por el monto de la retención total, y este resultado será la retención a favor del propietario del vehículo, valor que deberá ser certificado por la empresa transportadora. </w:t>
      </w:r>
    </w:p>
    <w:p w14:paraId="64B6CFCB" w14:textId="77777777" w:rsidR="00B2442D" w:rsidRDefault="00B2442D">
      <w:pPr>
        <w:jc w:val="both"/>
        <w:rPr>
          <w:rFonts w:ascii="Arial" w:hAnsi="Arial" w:cs="Arial"/>
          <w:lang w:val="es-CO"/>
        </w:rPr>
      </w:pPr>
    </w:p>
    <w:p w14:paraId="544E9728" w14:textId="77777777" w:rsidR="00B2442D" w:rsidRDefault="008A645F">
      <w:pPr>
        <w:jc w:val="both"/>
        <w:rPr>
          <w:rFonts w:ascii="Arial" w:hAnsi="Arial" w:cs="Arial"/>
          <w:lang w:val="es-CO"/>
        </w:rPr>
      </w:pPr>
      <w:r>
        <w:rPr>
          <w:rFonts w:ascii="Arial" w:hAnsi="Arial" w:cs="Arial"/>
          <w:lang w:val="es-CO"/>
        </w:rPr>
        <w:t>El remane</w:t>
      </w:r>
      <w:r>
        <w:rPr>
          <w:rFonts w:ascii="Arial" w:hAnsi="Arial" w:cs="Arial"/>
          <w:lang w:val="es-CO"/>
        </w:rPr>
        <w:t>nte constituirá la retención a favor de la empresa transportadora y sustituirá el valor de los certificados de retención que se expidan a favor de la misma.</w:t>
      </w:r>
    </w:p>
    <w:p w14:paraId="6609AF66" w14:textId="77777777" w:rsidR="00B2442D" w:rsidRDefault="00B2442D">
      <w:pPr>
        <w:jc w:val="both"/>
        <w:rPr>
          <w:rFonts w:ascii="Arial" w:hAnsi="Arial" w:cs="Arial"/>
          <w:i/>
          <w:lang w:val="es-CO"/>
        </w:rPr>
      </w:pPr>
    </w:p>
    <w:p w14:paraId="1C9ABC0A" w14:textId="77777777" w:rsidR="00B2442D" w:rsidRDefault="008A645F">
      <w:pPr>
        <w:jc w:val="both"/>
        <w:rPr>
          <w:rFonts w:ascii="Arial" w:hAnsi="Arial" w:cs="Arial"/>
          <w:i/>
          <w:lang w:val="es-CO"/>
        </w:rPr>
      </w:pPr>
      <w:r>
        <w:rPr>
          <w:rFonts w:ascii="Arial" w:hAnsi="Arial" w:cs="Arial"/>
          <w:i/>
          <w:lang w:val="es-CO"/>
        </w:rPr>
        <w:t>(Art. 14, Decreto 1189 de 1988)</w:t>
      </w:r>
    </w:p>
    <w:p w14:paraId="772C9941" w14:textId="77777777" w:rsidR="00B2442D" w:rsidRDefault="00B2442D">
      <w:pPr>
        <w:jc w:val="both"/>
        <w:rPr>
          <w:rFonts w:ascii="Arial" w:hAnsi="Arial" w:cs="Arial"/>
          <w:i/>
          <w:lang w:val="es-CO"/>
        </w:rPr>
      </w:pPr>
    </w:p>
    <w:p w14:paraId="050059B7"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en los contratos de construcción de obra m</w:t>
      </w:r>
      <w:r>
        <w:rPr>
          <w:rFonts w:ascii="Arial" w:hAnsi="Arial" w:cs="Arial"/>
          <w:b/>
          <w:i/>
          <w:lang w:val="es-CO"/>
        </w:rPr>
        <w:t>aterial.</w:t>
      </w:r>
      <w:r>
        <w:rPr>
          <w:rFonts w:ascii="Arial" w:hAnsi="Arial" w:cs="Arial"/>
          <w:lang w:val="es-CO"/>
        </w:rPr>
        <w:t xml:space="preserve"> En los contratos de construcción de obra material de bien inmueble por el sistema de administración delegada, el contratante, persona jurídica o sociedad de hecho, aplicará la retención en la fuente sobre el valor de los pagos o abonos en cuenta e</w:t>
      </w:r>
      <w:r>
        <w:rPr>
          <w:rFonts w:ascii="Arial" w:hAnsi="Arial" w:cs="Arial"/>
          <w:lang w:val="es-CO"/>
        </w:rPr>
        <w:t xml:space="preserve">fectuados en favor del contratista por concepto de honorarios.  </w:t>
      </w:r>
    </w:p>
    <w:p w14:paraId="797E61C5" w14:textId="77777777" w:rsidR="00B2442D" w:rsidRDefault="00B2442D">
      <w:pPr>
        <w:jc w:val="both"/>
        <w:rPr>
          <w:rFonts w:ascii="Arial" w:hAnsi="Arial" w:cs="Arial"/>
          <w:lang w:val="es-CO"/>
        </w:rPr>
      </w:pPr>
    </w:p>
    <w:p w14:paraId="0079CDCA" w14:textId="77777777" w:rsidR="00B2442D" w:rsidRDefault="008A645F">
      <w:pPr>
        <w:jc w:val="both"/>
        <w:rPr>
          <w:rFonts w:ascii="Arial" w:hAnsi="Arial" w:cs="Arial"/>
          <w:lang w:val="es-CO"/>
        </w:rPr>
      </w:pPr>
      <w:r>
        <w:rPr>
          <w:rFonts w:ascii="Arial" w:hAnsi="Arial" w:cs="Arial"/>
          <w:lang w:val="es-CO"/>
        </w:rPr>
        <w:t>El contratista, practicará todas las retenciones establecidas en las normas vigentes, al momento del pago o abono, sobre todos los desembolsos que realice en desarrollo de la obra, y cumplir</w:t>
      </w:r>
      <w:r>
        <w:rPr>
          <w:rFonts w:ascii="Arial" w:hAnsi="Arial" w:cs="Arial"/>
          <w:lang w:val="es-CO"/>
        </w:rPr>
        <w:t xml:space="preserve">á con todas las obligaciones inherentes al agente retenedor. </w:t>
      </w:r>
    </w:p>
    <w:p w14:paraId="5BD85E60" w14:textId="77777777" w:rsidR="00B2442D" w:rsidRDefault="00B2442D">
      <w:pPr>
        <w:jc w:val="both"/>
        <w:rPr>
          <w:rFonts w:ascii="Arial" w:hAnsi="Arial" w:cs="Arial"/>
          <w:lang w:val="es-CO"/>
        </w:rPr>
      </w:pPr>
    </w:p>
    <w:p w14:paraId="16A97839" w14:textId="77777777" w:rsidR="00B2442D" w:rsidRDefault="008A645F">
      <w:pPr>
        <w:jc w:val="both"/>
        <w:rPr>
          <w:rFonts w:ascii="Arial" w:hAnsi="Arial" w:cs="Arial"/>
          <w:lang w:val="es-CO"/>
        </w:rPr>
      </w:pPr>
      <w:r>
        <w:rPr>
          <w:rFonts w:ascii="Arial" w:hAnsi="Arial" w:cs="Arial"/>
          <w:lang w:val="es-CO"/>
        </w:rPr>
        <w:t xml:space="preserve">Las facturas de las compras efectuadas por el contratista, así como los demás documentos que sirvan de soporte para solicitar costos y gastos, deberán figurar a nombre del </w:t>
      </w:r>
      <w:r>
        <w:rPr>
          <w:rFonts w:ascii="Arial" w:hAnsi="Arial" w:cs="Arial"/>
          <w:lang w:val="es-CO"/>
        </w:rPr>
        <w:t>contratista y del contratante.</w:t>
      </w:r>
    </w:p>
    <w:p w14:paraId="7E75DE7F" w14:textId="77777777" w:rsidR="00B2442D" w:rsidRDefault="00B2442D">
      <w:pPr>
        <w:jc w:val="both"/>
        <w:rPr>
          <w:rFonts w:ascii="Arial" w:hAnsi="Arial" w:cs="Arial"/>
          <w:i/>
          <w:lang w:val="es-CO"/>
        </w:rPr>
      </w:pPr>
    </w:p>
    <w:p w14:paraId="0AE5AC65" w14:textId="77777777" w:rsidR="00B2442D" w:rsidRDefault="008A645F">
      <w:pPr>
        <w:jc w:val="both"/>
        <w:rPr>
          <w:rFonts w:ascii="Arial" w:hAnsi="Arial" w:cs="Arial"/>
          <w:i/>
          <w:lang w:val="es-CO"/>
        </w:rPr>
      </w:pPr>
      <w:r>
        <w:rPr>
          <w:rFonts w:ascii="Arial" w:hAnsi="Arial" w:cs="Arial"/>
          <w:i/>
          <w:lang w:val="es-CO"/>
        </w:rPr>
        <w:t>(Art. 2, Decreto 1809 de 1989)</w:t>
      </w:r>
    </w:p>
    <w:p w14:paraId="281354B7" w14:textId="77777777" w:rsidR="00B2442D" w:rsidRDefault="00B2442D">
      <w:pPr>
        <w:jc w:val="both"/>
        <w:rPr>
          <w:rFonts w:ascii="Arial" w:hAnsi="Arial" w:cs="Arial"/>
          <w:i/>
          <w:lang w:val="es-CO"/>
        </w:rPr>
      </w:pPr>
    </w:p>
    <w:p w14:paraId="08A5C8E6"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Tarifa de retención en la fuente para las empresas de servicios temporales, de aseo, vigilancia y arrendamiento de bienes diferentes a los inmuebles.</w:t>
      </w:r>
      <w:r>
        <w:rPr>
          <w:rFonts w:ascii="Arial" w:hAnsi="Arial" w:cs="Arial"/>
        </w:rPr>
        <w:t xml:space="preserve"> </w:t>
      </w:r>
      <w:r>
        <w:rPr>
          <w:rFonts w:ascii="Arial" w:hAnsi="Arial" w:cs="Arial"/>
          <w:lang w:val="es-CO"/>
        </w:rPr>
        <w:t>La tarifa de retención en la fuente a títu</w:t>
      </w:r>
      <w:r>
        <w:rPr>
          <w:rFonts w:ascii="Arial" w:hAnsi="Arial" w:cs="Arial"/>
          <w:lang w:val="es-CO"/>
        </w:rPr>
        <w:t>lo del impuesto sobre la renta aplicable por las personas jurídicas, las sociedades de hecho y las demás entidades o personas naturales que tengan la calidad de agentes retenedores, sobre los pagos o abonos en cuenta que se realicen a las empresas de servi</w:t>
      </w:r>
      <w:r>
        <w:rPr>
          <w:rFonts w:ascii="Arial" w:hAnsi="Arial" w:cs="Arial"/>
          <w:lang w:val="es-CO"/>
        </w:rPr>
        <w:t xml:space="preserve">cios temporales de empleo, es del uno por ciento (1%) del valor total del respectivo pago o abono en cuenta. </w:t>
      </w:r>
    </w:p>
    <w:p w14:paraId="5B18DFEB" w14:textId="77777777" w:rsidR="00B2442D" w:rsidRDefault="00B2442D">
      <w:pPr>
        <w:jc w:val="both"/>
        <w:rPr>
          <w:rFonts w:ascii="Arial" w:hAnsi="Arial" w:cs="Arial"/>
          <w:lang w:val="es-CO"/>
        </w:rPr>
      </w:pPr>
    </w:p>
    <w:p w14:paraId="64531555" w14:textId="77777777" w:rsidR="00B2442D" w:rsidRDefault="008A645F">
      <w:pPr>
        <w:jc w:val="both"/>
        <w:rPr>
          <w:rFonts w:ascii="Arial" w:hAnsi="Arial" w:cs="Arial"/>
          <w:lang w:val="es-CO"/>
        </w:rPr>
      </w:pPr>
      <w:r>
        <w:rPr>
          <w:rFonts w:ascii="Arial" w:hAnsi="Arial" w:cs="Arial"/>
          <w:lang w:val="es-CO"/>
        </w:rPr>
        <w:t xml:space="preserve">La tarifa de retención en la fuente para los servicios prestados por las empresas de aseo y/o vigilancia es del dos por ciento (2%) y para el </w:t>
      </w:r>
      <w:r>
        <w:rPr>
          <w:rFonts w:ascii="Arial" w:hAnsi="Arial" w:cs="Arial"/>
          <w:lang w:val="es-CO"/>
        </w:rPr>
        <w:t>arrendamiento de bienes diferentes a los bienes raíces es del cuatro por ciento (4%) del valor total del respectivo pago o abono en cuenta.</w:t>
      </w:r>
    </w:p>
    <w:p w14:paraId="62664B59" w14:textId="77777777" w:rsidR="00B2442D" w:rsidRDefault="00B2442D">
      <w:pPr>
        <w:jc w:val="both"/>
        <w:rPr>
          <w:rFonts w:ascii="Arial" w:hAnsi="Arial" w:cs="Arial"/>
          <w:lang w:val="es-CO"/>
        </w:rPr>
      </w:pPr>
    </w:p>
    <w:p w14:paraId="09657DA3" w14:textId="77777777" w:rsidR="00B2442D" w:rsidRDefault="008A645F">
      <w:pPr>
        <w:jc w:val="both"/>
        <w:rPr>
          <w:rFonts w:ascii="Arial" w:hAnsi="Arial" w:cs="Arial"/>
          <w:i/>
          <w:lang w:val="es-CO"/>
        </w:rPr>
      </w:pPr>
      <w:r>
        <w:rPr>
          <w:rFonts w:ascii="Arial" w:hAnsi="Arial" w:cs="Arial"/>
          <w:i/>
          <w:lang w:val="es-CO"/>
        </w:rPr>
        <w:t>(Art. 2, Decreto 1626 de 2001, modificado por el art. 1 del Decreto 1300 de 2005 y el art. 1 del Decreto 3770 de 20</w:t>
      </w:r>
      <w:r>
        <w:rPr>
          <w:rFonts w:ascii="Arial" w:hAnsi="Arial" w:cs="Arial"/>
          <w:i/>
          <w:lang w:val="es-CO"/>
        </w:rPr>
        <w:t>05, y consonante con el artículo 462-1 del Estatuto Tributario para los contribuyentes de que trata esta última disposición)</w:t>
      </w:r>
      <w:r>
        <w:rPr>
          <w:rFonts w:ascii="Arial" w:hAnsi="Arial" w:cs="Arial"/>
        </w:rPr>
        <w:t xml:space="preserve"> (</w:t>
      </w:r>
      <w:r>
        <w:rPr>
          <w:rFonts w:ascii="Arial" w:hAnsi="Arial" w:cs="Arial"/>
          <w:i/>
          <w:lang w:val="es-CO"/>
        </w:rPr>
        <w:t>El Decreto 1626 de 2001 rige a partir de la fecha de su publicación y deroga las siguientes disposiciones: inciso tercero del artí</w:t>
      </w:r>
      <w:r>
        <w:rPr>
          <w:rFonts w:ascii="Arial" w:hAnsi="Arial" w:cs="Arial"/>
          <w:i/>
          <w:lang w:val="es-CO"/>
        </w:rPr>
        <w:t>culo 16 del Decreto 406 de 2001, último inciso del artículo 3° del Decreto 260 de 2001 y el artículo 1° del Decreto 399 de 1987. Art. 4, Decreto 1626 de 2001)</w:t>
      </w:r>
    </w:p>
    <w:p w14:paraId="159183B3" w14:textId="77777777" w:rsidR="00B2442D" w:rsidRDefault="00B2442D">
      <w:pPr>
        <w:jc w:val="both"/>
        <w:rPr>
          <w:rFonts w:ascii="Arial" w:hAnsi="Arial" w:cs="Arial"/>
          <w:lang w:val="es-CO"/>
        </w:rPr>
      </w:pPr>
    </w:p>
    <w:p w14:paraId="0A762753"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 xml:space="preserve">Autorretención en la fuente para servicios públicos. </w:t>
      </w:r>
      <w:r>
        <w:rPr>
          <w:rFonts w:ascii="Arial" w:hAnsi="Arial" w:cs="Arial"/>
          <w:lang w:val="es-CO"/>
        </w:rPr>
        <w:t>Los pagos o abonos en cuenta por concepto d</w:t>
      </w:r>
      <w:r>
        <w:rPr>
          <w:rFonts w:ascii="Arial" w:hAnsi="Arial" w:cs="Arial"/>
          <w:lang w:val="es-CO"/>
        </w:rPr>
        <w:t>e servicios públicos domiciliarios y las actividades complementarias a que se refiere la Ley 142 de 1994 y demás normas concordantes, prestados a cualquier tipo de usuario, están sometidos a la tarifa del dos punto cinco por ciento (2.5%), sobre el valor d</w:t>
      </w:r>
      <w:r>
        <w:rPr>
          <w:rFonts w:ascii="Arial" w:hAnsi="Arial" w:cs="Arial"/>
          <w:lang w:val="es-CO"/>
        </w:rPr>
        <w:t xml:space="preserve">el respectivo pago o abono en cuenta, la cual deberá ser practicada a través del mecanismo de la autorretención por parte de las empresas prestadoras del servicio, que sean calificadas por la Unidad Administrativa Especial Dirección de Impuestos y Aduanas </w:t>
      </w:r>
      <w:r>
        <w:rPr>
          <w:rFonts w:ascii="Arial" w:hAnsi="Arial" w:cs="Arial"/>
          <w:lang w:val="es-CO"/>
        </w:rPr>
        <w:t>Nacionales- DIAN, mediante resolución de carácter general.</w:t>
      </w:r>
    </w:p>
    <w:p w14:paraId="71CF3E97" w14:textId="77777777" w:rsidR="00B2442D" w:rsidRDefault="00B2442D">
      <w:pPr>
        <w:jc w:val="both"/>
        <w:rPr>
          <w:rFonts w:ascii="Arial" w:hAnsi="Arial" w:cs="Arial"/>
          <w:lang w:val="es-CO"/>
        </w:rPr>
      </w:pPr>
    </w:p>
    <w:p w14:paraId="36A123D6"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Los valores efectivamente recaudados por concepto de servicios públicos, facturados para terceros no estarán sujetos a autorretención.</w:t>
      </w:r>
    </w:p>
    <w:p w14:paraId="5EE8A1AE" w14:textId="77777777" w:rsidR="00B2442D" w:rsidRDefault="00B2442D">
      <w:pPr>
        <w:jc w:val="both"/>
        <w:rPr>
          <w:rFonts w:ascii="Arial" w:hAnsi="Arial" w:cs="Arial"/>
          <w:lang w:val="es-CO"/>
        </w:rPr>
      </w:pPr>
    </w:p>
    <w:p w14:paraId="1D8F815B"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Sobre los demás conceptos efecti</w:t>
      </w:r>
      <w:r>
        <w:rPr>
          <w:rFonts w:ascii="Arial" w:hAnsi="Arial" w:cs="Arial"/>
          <w:lang w:val="es-CO"/>
        </w:rPr>
        <w:t>vamente recaudados incluidos en la factura de servicios públicos, actuará como agente retenedor la empresa de servicios públicos que emita la factura.</w:t>
      </w:r>
    </w:p>
    <w:p w14:paraId="25623E2D" w14:textId="77777777" w:rsidR="00B2442D" w:rsidRDefault="00B2442D">
      <w:pPr>
        <w:jc w:val="both"/>
        <w:rPr>
          <w:rFonts w:ascii="Arial" w:hAnsi="Arial" w:cs="Arial"/>
          <w:lang w:val="es-CO"/>
        </w:rPr>
      </w:pPr>
    </w:p>
    <w:p w14:paraId="44F80E14"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La retención en la fuente de que trata este artículo, aplicará cualquiera fuere la cuantía</w:t>
      </w:r>
      <w:r>
        <w:rPr>
          <w:rFonts w:ascii="Arial" w:hAnsi="Arial" w:cs="Arial"/>
          <w:lang w:val="es-CO"/>
        </w:rPr>
        <w:t xml:space="preserve"> del pago o abono en cuenta.</w:t>
      </w:r>
    </w:p>
    <w:p w14:paraId="7B40E4E9" w14:textId="77777777" w:rsidR="00B2442D" w:rsidRDefault="00B2442D">
      <w:pPr>
        <w:jc w:val="both"/>
        <w:rPr>
          <w:rFonts w:ascii="Arial" w:hAnsi="Arial" w:cs="Arial"/>
          <w:lang w:val="es-CO"/>
        </w:rPr>
      </w:pPr>
    </w:p>
    <w:p w14:paraId="039AC213" w14:textId="77777777" w:rsidR="00B2442D" w:rsidRDefault="008A645F">
      <w:pPr>
        <w:rPr>
          <w:rFonts w:ascii="Arial" w:hAnsi="Arial" w:cs="Arial"/>
          <w:i/>
          <w:lang w:val="es-CO"/>
        </w:rPr>
      </w:pPr>
      <w:r>
        <w:rPr>
          <w:rFonts w:ascii="Arial" w:hAnsi="Arial" w:cs="Arial"/>
          <w:i/>
          <w:lang w:val="es-CO"/>
        </w:rPr>
        <w:t>(Art. 1, Decreto 2885 de 2001, modificado por el art. 8 del Decreto 2418 de 2013. Parágrafo 1 tiene pérdida de vigencia por cumplimiento del plazo)</w:t>
      </w:r>
    </w:p>
    <w:p w14:paraId="6313F717" w14:textId="77777777" w:rsidR="00B2442D" w:rsidRDefault="00B2442D">
      <w:pPr>
        <w:jc w:val="both"/>
        <w:rPr>
          <w:rFonts w:ascii="Arial" w:hAnsi="Arial" w:cs="Arial"/>
          <w:lang w:val="es-CO"/>
        </w:rPr>
      </w:pPr>
    </w:p>
    <w:p w14:paraId="0FFB234C"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a servicios integrales de laboratorio clínico, radiolo</w:t>
      </w:r>
      <w:r>
        <w:rPr>
          <w:rFonts w:ascii="Arial" w:hAnsi="Arial" w:cs="Arial"/>
          <w:b/>
          <w:i/>
          <w:lang w:val="es-CO"/>
        </w:rPr>
        <w:t>gía o imágenes diagnósticas.</w:t>
      </w:r>
      <w:r>
        <w:rPr>
          <w:rFonts w:ascii="Arial" w:hAnsi="Arial" w:cs="Arial"/>
          <w:lang w:val="es-CO"/>
        </w:rPr>
        <w:t xml:space="preserve"> De acuerdo con el inciso 5o del artículo 392 del Estatuto Tributario, será del dos por ciento (2%) la tarifa de retención en la fuente, a título del impuesto a la renta, respecto de los pagos o abonos en cuenta efectuados por s</w:t>
      </w:r>
      <w:r>
        <w:rPr>
          <w:rFonts w:ascii="Arial" w:hAnsi="Arial" w:cs="Arial"/>
          <w:lang w:val="es-CO"/>
        </w:rPr>
        <w:t>ervicios integrales de salud prestados por Instituciones Prestadoras de Salud, IPS, constituidas como personas jurídicas, especializadas en servicios integrales de laboratorio clínico, radiología o imágenes diagnósticas.</w:t>
      </w:r>
    </w:p>
    <w:p w14:paraId="3085CA57" w14:textId="77777777" w:rsidR="00B2442D" w:rsidRDefault="00B2442D">
      <w:pPr>
        <w:jc w:val="both"/>
        <w:rPr>
          <w:rFonts w:ascii="Arial" w:hAnsi="Arial" w:cs="Arial"/>
          <w:lang w:val="es-CO"/>
        </w:rPr>
      </w:pPr>
    </w:p>
    <w:p w14:paraId="17B03A22" w14:textId="77777777" w:rsidR="00B2442D" w:rsidRDefault="008A645F">
      <w:pPr>
        <w:jc w:val="both"/>
        <w:rPr>
          <w:rFonts w:ascii="Arial" w:hAnsi="Arial" w:cs="Arial"/>
          <w:i/>
          <w:lang w:val="es-CO"/>
        </w:rPr>
      </w:pPr>
      <w:r>
        <w:rPr>
          <w:rFonts w:ascii="Arial" w:hAnsi="Arial" w:cs="Arial"/>
          <w:i/>
          <w:lang w:val="es-CO"/>
        </w:rPr>
        <w:t>(Art. 6, Decreto 2271 de 2009)</w:t>
      </w:r>
    </w:p>
    <w:p w14:paraId="5EB2EB9D" w14:textId="77777777" w:rsidR="00B2442D" w:rsidRDefault="00B2442D">
      <w:pPr>
        <w:jc w:val="both"/>
        <w:rPr>
          <w:rFonts w:ascii="Arial" w:hAnsi="Arial" w:cs="Arial"/>
          <w:lang w:val="es-CO"/>
        </w:rPr>
      </w:pPr>
    </w:p>
    <w:p w14:paraId="1105C7E5"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w:t>
      </w:r>
      <w:r>
        <w:rPr>
          <w:rFonts w:ascii="Arial" w:hAnsi="Arial" w:cs="Arial"/>
          <w:b/>
          <w:i/>
          <w:lang w:val="es-CO"/>
        </w:rPr>
        <w:t xml:space="preserve">tención en la fuente por prestación de servicios de sísmica. </w:t>
      </w:r>
      <w:r>
        <w:rPr>
          <w:rFonts w:ascii="Arial" w:hAnsi="Arial" w:cs="Arial"/>
          <w:lang w:val="es-CO"/>
        </w:rPr>
        <w:t>La tarifa de retención en la fuente a título del impuesto sobre la renta, aplicable a los pagos o abonos en cuenta que realicen las personas jurídicas, las sociedades de hecho y las demás entidad</w:t>
      </w:r>
      <w:r>
        <w:rPr>
          <w:rFonts w:ascii="Arial" w:hAnsi="Arial" w:cs="Arial"/>
          <w:lang w:val="es-CO"/>
        </w:rPr>
        <w:t xml:space="preserve">es y personas naturales que tengan la calidad de agentes retenedores, por concepto de la prestación de servicios de sísmica para el sector de hidrocarburos, en favor de personas naturales, jurídicas o asimiladas obligados, y demás entidades contribuyentes </w:t>
      </w:r>
      <w:r>
        <w:rPr>
          <w:rFonts w:ascii="Arial" w:hAnsi="Arial" w:cs="Arial"/>
          <w:lang w:val="es-CO"/>
        </w:rPr>
        <w:t>obligadas a presentar declaración del impuesto sobre la renta y complementario, es del seis por ciento (6%) del valor total o abono en cuenta.</w:t>
      </w:r>
    </w:p>
    <w:p w14:paraId="25D25836" w14:textId="77777777" w:rsidR="00B2442D" w:rsidRDefault="00B2442D">
      <w:pPr>
        <w:jc w:val="both"/>
        <w:rPr>
          <w:rFonts w:ascii="Arial" w:hAnsi="Arial" w:cs="Arial"/>
          <w:lang w:val="es-CO"/>
        </w:rPr>
      </w:pPr>
    </w:p>
    <w:p w14:paraId="118ED60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el efecto, se entiende por servicio de sísmica la adquisición de información sísmica terrestre o</w:t>
      </w:r>
      <w:r>
        <w:rPr>
          <w:rFonts w:ascii="Arial" w:hAnsi="Arial" w:cs="Arial"/>
          <w:lang w:val="es-CO"/>
        </w:rPr>
        <w:t xml:space="preserve"> marina, mediante la generación de ondas sísmicas elásticas producidas en la superficie terrestre o marina en forma artificial, que penetran en el subsuelo y son reflejadas y refractadas en las interfaces geológicas, para ser recogidas por sensores sobre l</w:t>
      </w:r>
      <w:r>
        <w:rPr>
          <w:rFonts w:ascii="Arial" w:hAnsi="Arial" w:cs="Arial"/>
          <w:lang w:val="es-CO"/>
        </w:rPr>
        <w:t>a superficie terrestre o marina, con el fin de obtener información acerca de la configuración y estructuras de las capas del subsuelo en la búsqueda y producción de petróleo y gas.</w:t>
      </w:r>
    </w:p>
    <w:p w14:paraId="2FB680AC" w14:textId="77777777" w:rsidR="00B2442D" w:rsidRDefault="00B2442D">
      <w:pPr>
        <w:jc w:val="both"/>
        <w:rPr>
          <w:rFonts w:ascii="Arial" w:hAnsi="Arial" w:cs="Arial"/>
          <w:lang w:val="es-CO"/>
        </w:rPr>
      </w:pPr>
    </w:p>
    <w:p w14:paraId="0773190F" w14:textId="77777777" w:rsidR="00B2442D" w:rsidRDefault="008A645F">
      <w:pPr>
        <w:jc w:val="both"/>
        <w:rPr>
          <w:rFonts w:ascii="Arial" w:hAnsi="Arial" w:cs="Arial"/>
          <w:i/>
          <w:lang w:val="es-CO"/>
        </w:rPr>
      </w:pPr>
      <w:r>
        <w:rPr>
          <w:rFonts w:ascii="Arial" w:hAnsi="Arial" w:cs="Arial"/>
          <w:i/>
          <w:lang w:val="es-CO"/>
        </w:rPr>
        <w:t>(Art. 1, Decreto 1140 de 2010)</w:t>
      </w:r>
    </w:p>
    <w:p w14:paraId="65950E5E" w14:textId="77777777" w:rsidR="00B2442D" w:rsidRDefault="00B2442D">
      <w:pPr>
        <w:jc w:val="both"/>
        <w:rPr>
          <w:rFonts w:ascii="Arial" w:hAnsi="Arial" w:cs="Arial"/>
          <w:lang w:val="es-CO"/>
        </w:rPr>
      </w:pPr>
    </w:p>
    <w:p w14:paraId="225515A6" w14:textId="77777777" w:rsidR="00B2442D" w:rsidRDefault="008A645F">
      <w:pPr>
        <w:pStyle w:val="Prrafodelista"/>
        <w:numPr>
          <w:ilvl w:val="0"/>
          <w:numId w:val="50"/>
        </w:numPr>
        <w:ind w:left="0" w:firstLine="0"/>
        <w:jc w:val="both"/>
        <w:rPr>
          <w:rFonts w:ascii="Arial" w:hAnsi="Arial" w:cs="Arial"/>
          <w:lang w:val="es-CO"/>
        </w:rPr>
      </w:pPr>
      <w:r>
        <w:rPr>
          <w:rFonts w:ascii="Arial" w:hAnsi="Arial" w:cs="Arial"/>
          <w:b/>
          <w:i/>
          <w:lang w:val="es-CO"/>
        </w:rPr>
        <w:t>Retención en la fuente a título del impues</w:t>
      </w:r>
      <w:r>
        <w:rPr>
          <w:rFonts w:ascii="Arial" w:hAnsi="Arial" w:cs="Arial"/>
          <w:b/>
          <w:i/>
          <w:lang w:val="es-CO"/>
        </w:rPr>
        <w:t xml:space="preserve">to sobre la renta por servicios para contribuyentes declarantes. </w:t>
      </w:r>
      <w:r>
        <w:rPr>
          <w:rFonts w:ascii="Arial" w:hAnsi="Arial" w:cs="Arial"/>
          <w:lang w:val="es-CO"/>
        </w:rPr>
        <w:t>La tarifa de retención en la fuente a título del impuesto sobre la renta para los pagos o abonos en cuenta por concepto de servicios, de que trata la parte final del inciso cuarto del artícul</w:t>
      </w:r>
      <w:r>
        <w:rPr>
          <w:rFonts w:ascii="Arial" w:hAnsi="Arial" w:cs="Arial"/>
          <w:lang w:val="es-CO"/>
        </w:rPr>
        <w:t>o 392 del Estatuto Tributario, que realicen las personas jurídicas, las sociedades de hecho y las demás entidades y personas naturales que tengan la calidad de agentes retenedores, a favor de los contribuyentes del impuesto sobre la renta obligados a prese</w:t>
      </w:r>
      <w:r>
        <w:rPr>
          <w:rFonts w:ascii="Arial" w:hAnsi="Arial" w:cs="Arial"/>
          <w:lang w:val="es-CO"/>
        </w:rPr>
        <w:t>ntar declaración del Impuesto sobre la renta y complementario, es el cuatro por ciento (4%) del respectivo pago o abono en cuenta.</w:t>
      </w:r>
    </w:p>
    <w:p w14:paraId="352C518E" w14:textId="77777777" w:rsidR="00B2442D" w:rsidRDefault="00B2442D">
      <w:pPr>
        <w:jc w:val="both"/>
        <w:rPr>
          <w:rFonts w:ascii="Arial" w:hAnsi="Arial" w:cs="Arial"/>
          <w:lang w:val="es-CO"/>
        </w:rPr>
      </w:pPr>
    </w:p>
    <w:p w14:paraId="00417CAC" w14:textId="77777777" w:rsidR="00B2442D" w:rsidRDefault="008A645F">
      <w:pPr>
        <w:jc w:val="both"/>
        <w:rPr>
          <w:rFonts w:ascii="Arial" w:hAnsi="Arial" w:cs="Arial"/>
          <w:lang w:val="es-CO"/>
        </w:rPr>
      </w:pPr>
      <w:r>
        <w:rPr>
          <w:rFonts w:ascii="Arial" w:hAnsi="Arial" w:cs="Arial"/>
          <w:lang w:val="es-CO"/>
        </w:rPr>
        <w:t xml:space="preserve">Cuando el beneficiario del pago o abono cuenta por servicios a que se refiere el presente Decreto sea una persona </w:t>
      </w:r>
      <w:r>
        <w:rPr>
          <w:rFonts w:ascii="Arial" w:hAnsi="Arial" w:cs="Arial"/>
          <w:lang w:val="es-CO"/>
        </w:rPr>
        <w:t>natural no declarante del Impuesto de renta, deberá practicarse la retención a la tarifa aquí prevista, cuando se presente cualquiera de las siguientes situaciones:</w:t>
      </w:r>
    </w:p>
    <w:p w14:paraId="6B587BEB" w14:textId="77777777" w:rsidR="00B2442D" w:rsidRDefault="00B2442D">
      <w:pPr>
        <w:jc w:val="both"/>
        <w:rPr>
          <w:rFonts w:ascii="Arial" w:hAnsi="Arial" w:cs="Arial"/>
          <w:lang w:val="es-CO"/>
        </w:rPr>
      </w:pPr>
    </w:p>
    <w:p w14:paraId="3C96D15F" w14:textId="77777777" w:rsidR="00B2442D" w:rsidRDefault="008A645F">
      <w:pPr>
        <w:jc w:val="both"/>
        <w:rPr>
          <w:rFonts w:ascii="Arial" w:hAnsi="Arial" w:cs="Arial"/>
          <w:lang w:val="es-CO"/>
        </w:rPr>
      </w:pPr>
      <w:r>
        <w:rPr>
          <w:rFonts w:ascii="Arial" w:hAnsi="Arial" w:cs="Arial"/>
          <w:lang w:val="es-CO"/>
        </w:rPr>
        <w:t>a) Cuando del contrato se desprenda que los ingresos que obtendrá la persona natural benef</w:t>
      </w:r>
      <w:r>
        <w:rPr>
          <w:rFonts w:ascii="Arial" w:hAnsi="Arial" w:cs="Arial"/>
          <w:lang w:val="es-CO"/>
        </w:rPr>
        <w:t>iciaria del pago o abono en cuenta superan en el año gravable tres mil trescientos (3.300) UVT;</w:t>
      </w:r>
    </w:p>
    <w:p w14:paraId="00EAFA10" w14:textId="77777777" w:rsidR="00B2442D" w:rsidRDefault="00B2442D">
      <w:pPr>
        <w:jc w:val="both"/>
        <w:rPr>
          <w:rFonts w:ascii="Arial" w:hAnsi="Arial" w:cs="Arial"/>
          <w:lang w:val="es-CO"/>
        </w:rPr>
      </w:pPr>
    </w:p>
    <w:p w14:paraId="5187F567" w14:textId="77777777" w:rsidR="00B2442D" w:rsidRDefault="008A645F">
      <w:pPr>
        <w:jc w:val="both"/>
        <w:rPr>
          <w:rFonts w:ascii="Arial" w:hAnsi="Arial" w:cs="Arial"/>
          <w:lang w:val="es-CO"/>
        </w:rPr>
      </w:pPr>
      <w:r>
        <w:rPr>
          <w:rFonts w:ascii="Arial" w:hAnsi="Arial" w:cs="Arial"/>
          <w:lang w:val="es-CO"/>
        </w:rPr>
        <w:t>b) Cuando los pagos o abonos en cuenta realizados durante el ejercicio gravable por un mismo agente retenedor a una misma persona natural superen en el año gra</w:t>
      </w:r>
      <w:r>
        <w:rPr>
          <w:rFonts w:ascii="Arial" w:hAnsi="Arial" w:cs="Arial"/>
          <w:lang w:val="es-CO"/>
        </w:rPr>
        <w:t>vable tres mil trescientos (3.300) UVT, la tarifa del cuatro por ciento (4%) se aplicará a partir del pago o abono en cuenta que sumado a los pagos realizados en el mismo ejercicio gravable exceda dicho valor.</w:t>
      </w:r>
    </w:p>
    <w:p w14:paraId="67DE5618" w14:textId="77777777" w:rsidR="00B2442D" w:rsidRDefault="00B2442D">
      <w:pPr>
        <w:jc w:val="both"/>
        <w:rPr>
          <w:rFonts w:ascii="Arial" w:hAnsi="Arial" w:cs="Arial"/>
          <w:lang w:val="es-CO"/>
        </w:rPr>
      </w:pPr>
    </w:p>
    <w:p w14:paraId="5799CEAE" w14:textId="77777777" w:rsidR="00B2442D" w:rsidRDefault="008A645F">
      <w:pPr>
        <w:jc w:val="both"/>
        <w:rPr>
          <w:rFonts w:ascii="Arial" w:hAnsi="Arial" w:cs="Arial"/>
          <w:lang w:val="es-CO"/>
        </w:rPr>
      </w:pPr>
      <w:r>
        <w:rPr>
          <w:rFonts w:ascii="Arial" w:hAnsi="Arial" w:cs="Arial"/>
          <w:lang w:val="es-CO"/>
        </w:rPr>
        <w:t>La tarifa de retención en la fuente por trans</w:t>
      </w:r>
      <w:r>
        <w:rPr>
          <w:rFonts w:ascii="Arial" w:hAnsi="Arial" w:cs="Arial"/>
          <w:lang w:val="es-CO"/>
        </w:rPr>
        <w:t>porte terrestre de carga, continúa regulándose por las normas vigentes.</w:t>
      </w:r>
    </w:p>
    <w:p w14:paraId="429ABBA2" w14:textId="77777777" w:rsidR="00B2442D" w:rsidRDefault="00B2442D">
      <w:pPr>
        <w:jc w:val="both"/>
        <w:rPr>
          <w:rFonts w:ascii="Arial" w:hAnsi="Arial" w:cs="Arial"/>
          <w:lang w:val="es-CO"/>
        </w:rPr>
      </w:pPr>
    </w:p>
    <w:p w14:paraId="451D0833" w14:textId="77777777" w:rsidR="00B2442D" w:rsidRDefault="008A645F">
      <w:pPr>
        <w:jc w:val="both"/>
        <w:rPr>
          <w:rFonts w:ascii="Arial" w:hAnsi="Arial" w:cs="Arial"/>
          <w:i/>
          <w:lang w:val="es-CO"/>
        </w:rPr>
      </w:pPr>
      <w:r>
        <w:rPr>
          <w:rFonts w:ascii="Arial" w:hAnsi="Arial" w:cs="Arial"/>
          <w:i/>
          <w:lang w:val="es-CO"/>
        </w:rPr>
        <w:t>(Art. 1, Decreto 3110 de 2004, modificado por el artículo 51 de la Ley 1111 de 2006)</w:t>
      </w:r>
      <w:r>
        <w:rPr>
          <w:rFonts w:ascii="Arial" w:hAnsi="Arial" w:cs="Arial"/>
        </w:rPr>
        <w:t xml:space="preserve"> (</w:t>
      </w:r>
      <w:r>
        <w:rPr>
          <w:rFonts w:ascii="Arial" w:hAnsi="Arial" w:cs="Arial"/>
          <w:i/>
          <w:lang w:val="es-CO"/>
        </w:rPr>
        <w:t>El Decreto 3110 de 2004 rige a partir de su publicación y deroga el artículo 3o del Decreto 260 d</w:t>
      </w:r>
      <w:r>
        <w:rPr>
          <w:rFonts w:ascii="Arial" w:hAnsi="Arial" w:cs="Arial"/>
          <w:i/>
          <w:lang w:val="es-CO"/>
        </w:rPr>
        <w:t>e 2001. Art. 2, Decreto 3110 de 2004)</w:t>
      </w:r>
    </w:p>
    <w:p w14:paraId="05D057E9" w14:textId="77777777" w:rsidR="00B2442D" w:rsidRDefault="00B2442D">
      <w:pPr>
        <w:jc w:val="both"/>
        <w:rPr>
          <w:rFonts w:ascii="Arial" w:hAnsi="Arial" w:cs="Arial"/>
          <w:lang w:val="es-CO"/>
        </w:rPr>
      </w:pPr>
    </w:p>
    <w:p w14:paraId="24C92EC8" w14:textId="77777777" w:rsidR="00B2442D" w:rsidRDefault="00B2442D">
      <w:pPr>
        <w:jc w:val="both"/>
        <w:rPr>
          <w:rFonts w:ascii="Arial" w:hAnsi="Arial" w:cs="Arial"/>
          <w:lang w:val="es-CO"/>
        </w:rPr>
      </w:pPr>
    </w:p>
    <w:p w14:paraId="55147DC8" w14:textId="77777777" w:rsidR="00B2442D" w:rsidRDefault="008A645F">
      <w:pPr>
        <w:pStyle w:val="Ttulo4"/>
      </w:pPr>
      <w:r>
        <w:t>CAPÍTULO 5</w:t>
      </w:r>
    </w:p>
    <w:p w14:paraId="0E2A344E" w14:textId="77777777" w:rsidR="00B2442D" w:rsidRDefault="008A645F">
      <w:pPr>
        <w:pStyle w:val="Ttulo4"/>
      </w:pPr>
      <w:r>
        <w:t>Retención en la fuente a título de impuesto sobre la renta por concepto de enajenación de activos fijos</w:t>
      </w:r>
    </w:p>
    <w:p w14:paraId="0425553A" w14:textId="77777777" w:rsidR="00B2442D" w:rsidRDefault="00B2442D">
      <w:pPr>
        <w:jc w:val="center"/>
        <w:rPr>
          <w:rFonts w:ascii="Arial" w:hAnsi="Arial" w:cs="Arial"/>
          <w:b/>
          <w:lang w:val="es-CO"/>
        </w:rPr>
      </w:pPr>
    </w:p>
    <w:p w14:paraId="27435116" w14:textId="77777777" w:rsidR="00B2442D" w:rsidRDefault="008A645F">
      <w:pPr>
        <w:pStyle w:val="Prrafodelista"/>
        <w:numPr>
          <w:ilvl w:val="0"/>
          <w:numId w:val="51"/>
        </w:numPr>
        <w:ind w:left="0" w:firstLine="0"/>
        <w:jc w:val="both"/>
        <w:rPr>
          <w:rFonts w:ascii="Arial" w:hAnsi="Arial" w:cs="Arial"/>
          <w:lang w:val="es-CO"/>
        </w:rPr>
      </w:pPr>
      <w:r>
        <w:rPr>
          <w:rFonts w:ascii="Arial" w:hAnsi="Arial" w:cs="Arial"/>
          <w:b/>
          <w:i/>
          <w:lang w:val="es-CO"/>
        </w:rPr>
        <w:t>Retención en la fuente en la enajenación de activos fijos.</w:t>
      </w:r>
      <w:r>
        <w:rPr>
          <w:rFonts w:ascii="Arial" w:hAnsi="Arial" w:cs="Arial"/>
          <w:lang w:val="es-CO"/>
        </w:rPr>
        <w:t xml:space="preserve"> Las personas naturales que vendan, o enajenen a título de dación en pago, activos fijos, deberán cancelar a título de retención en la fuente, previamente a la enajenación del bien, el uno por ciento (1%) del valor de la enajenación. </w:t>
      </w:r>
    </w:p>
    <w:p w14:paraId="5C8A899D" w14:textId="77777777" w:rsidR="00B2442D" w:rsidRDefault="00B2442D">
      <w:pPr>
        <w:jc w:val="both"/>
        <w:rPr>
          <w:rFonts w:ascii="Arial" w:hAnsi="Arial" w:cs="Arial"/>
          <w:lang w:val="es-CO"/>
        </w:rPr>
      </w:pPr>
    </w:p>
    <w:p w14:paraId="49CE36F5" w14:textId="77777777" w:rsidR="00B2442D" w:rsidRDefault="008A645F">
      <w:pPr>
        <w:jc w:val="both"/>
        <w:rPr>
          <w:rFonts w:ascii="Arial" w:hAnsi="Arial" w:cs="Arial"/>
          <w:lang w:val="es-CO"/>
        </w:rPr>
      </w:pPr>
      <w:r>
        <w:rPr>
          <w:rFonts w:ascii="Arial" w:hAnsi="Arial" w:cs="Arial"/>
          <w:lang w:val="es-CO"/>
        </w:rPr>
        <w:t>Cuando la venta o da</w:t>
      </w:r>
      <w:r>
        <w:rPr>
          <w:rFonts w:ascii="Arial" w:hAnsi="Arial" w:cs="Arial"/>
          <w:lang w:val="es-CO"/>
        </w:rPr>
        <w:t xml:space="preserve">ción en pago corresponda a bienes raíces, el uno por ciento (1%) se cancelará ante el Notario. </w:t>
      </w:r>
    </w:p>
    <w:p w14:paraId="071F3690" w14:textId="77777777" w:rsidR="00B2442D" w:rsidRDefault="00B2442D">
      <w:pPr>
        <w:jc w:val="both"/>
        <w:rPr>
          <w:rFonts w:ascii="Arial" w:hAnsi="Arial" w:cs="Arial"/>
          <w:lang w:val="es-CO"/>
        </w:rPr>
      </w:pPr>
    </w:p>
    <w:p w14:paraId="537CF8D2" w14:textId="77777777" w:rsidR="00B2442D" w:rsidRDefault="008A645F">
      <w:pPr>
        <w:jc w:val="both"/>
        <w:rPr>
          <w:rFonts w:ascii="Arial" w:hAnsi="Arial" w:cs="Arial"/>
          <w:lang w:val="es-CO"/>
        </w:rPr>
      </w:pPr>
      <w:r>
        <w:rPr>
          <w:rFonts w:ascii="Arial" w:hAnsi="Arial" w:cs="Arial"/>
          <w:lang w:val="es-CO"/>
        </w:rPr>
        <w:t>Cuando corresponda a vehículos y demás activos fijos, se cancelará ante la respectiva Administración de Impuestos Nacionales (hoy bancos comerciales autorizado</w:t>
      </w:r>
      <w:r>
        <w:rPr>
          <w:rFonts w:ascii="Arial" w:hAnsi="Arial" w:cs="Arial"/>
          <w:lang w:val="es-CO"/>
        </w:rPr>
        <w:t xml:space="preserve">s). En este evento, quienes autoricen la inscripción, el registro, o el traspaso, según corresponda, deberán exigir previamente, copia auténtica del correspondiente recibo de pago. Igual exigencia deberán formular quienes autoricen o aprueben el remate en </w:t>
      </w:r>
      <w:r>
        <w:rPr>
          <w:rFonts w:ascii="Arial" w:hAnsi="Arial" w:cs="Arial"/>
          <w:lang w:val="es-CO"/>
        </w:rPr>
        <w:t xml:space="preserve">el caso de ventas forzadas. </w:t>
      </w:r>
    </w:p>
    <w:p w14:paraId="7C626734" w14:textId="77777777" w:rsidR="00B2442D" w:rsidRDefault="008A645F">
      <w:pPr>
        <w:jc w:val="both"/>
        <w:rPr>
          <w:rFonts w:ascii="Arial" w:hAnsi="Arial" w:cs="Arial"/>
          <w:lang w:val="es-CO"/>
        </w:rPr>
      </w:pPr>
      <w:r>
        <w:rPr>
          <w:rFonts w:ascii="Arial" w:hAnsi="Arial" w:cs="Arial"/>
          <w:lang w:val="es-CO"/>
        </w:rPr>
        <w:t xml:space="preserve"> </w:t>
      </w:r>
    </w:p>
    <w:p w14:paraId="661E2AB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la venta, o enajenación a título de dación en pago del bien raíz, corresponda a la casa o apartamento de habitación del enajenante, el Notario disminuirá el porcentaje de retención previsto en este artícul</w:t>
      </w:r>
      <w:r>
        <w:rPr>
          <w:rFonts w:ascii="Arial" w:hAnsi="Arial" w:cs="Arial"/>
          <w:lang w:val="es-CO"/>
        </w:rPr>
        <w:t>o en un diez por ciento (10%) por cada año transcurrido entre la fecha de adquisición y la de enajenación. Para tal efecto, el enajenante deberá exhibir ante el Notario copia auténtica de la Escritura Pública en la cual conste la adquisición del bien y adj</w:t>
      </w:r>
      <w:r>
        <w:rPr>
          <w:rFonts w:ascii="Arial" w:hAnsi="Arial" w:cs="Arial"/>
          <w:lang w:val="es-CO"/>
        </w:rPr>
        <w:t xml:space="preserve">untar una manifestación sobre el carácter de casa o apartamento de habitación del mismo. </w:t>
      </w:r>
    </w:p>
    <w:p w14:paraId="2E591C20" w14:textId="77777777" w:rsidR="00B2442D" w:rsidRDefault="008A645F">
      <w:pPr>
        <w:jc w:val="both"/>
        <w:rPr>
          <w:rFonts w:ascii="Arial" w:hAnsi="Arial" w:cs="Arial"/>
          <w:lang w:val="es-CO"/>
        </w:rPr>
      </w:pPr>
      <w:r>
        <w:rPr>
          <w:rFonts w:ascii="Arial" w:hAnsi="Arial" w:cs="Arial"/>
          <w:lang w:val="es-CO"/>
        </w:rPr>
        <w:t xml:space="preserve"> </w:t>
      </w:r>
    </w:p>
    <w:p w14:paraId="2B98BE36"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El carácter de activo fijo de los bienes a que se refiere el presente artículo, podrá desvirtuarse mediante la entrega, por parte del enajenante, de co</w:t>
      </w:r>
      <w:r>
        <w:rPr>
          <w:rFonts w:ascii="Arial" w:hAnsi="Arial" w:cs="Arial"/>
          <w:lang w:val="es-CO"/>
        </w:rPr>
        <w:t xml:space="preserve">pia auténtica de una cualquiera de las siguientes pruebas: </w:t>
      </w:r>
    </w:p>
    <w:p w14:paraId="1DC5D524" w14:textId="77777777" w:rsidR="00B2442D" w:rsidRDefault="00B2442D">
      <w:pPr>
        <w:jc w:val="both"/>
        <w:rPr>
          <w:rFonts w:ascii="Arial" w:hAnsi="Arial" w:cs="Arial"/>
          <w:lang w:val="es-CO"/>
        </w:rPr>
      </w:pPr>
    </w:p>
    <w:p w14:paraId="498E9068" w14:textId="77777777" w:rsidR="00B2442D" w:rsidRDefault="008A645F">
      <w:pPr>
        <w:jc w:val="both"/>
        <w:rPr>
          <w:rFonts w:ascii="Arial" w:hAnsi="Arial" w:cs="Arial"/>
          <w:lang w:val="es-CO"/>
        </w:rPr>
      </w:pPr>
      <w:r>
        <w:rPr>
          <w:rFonts w:ascii="Arial" w:hAnsi="Arial" w:cs="Arial"/>
          <w:lang w:val="es-CO"/>
        </w:rPr>
        <w:t xml:space="preserve">Certificación de la Superintendencia Financiera de Colombia en la cual conste su inscripción como constructor o urbanizador; </w:t>
      </w:r>
    </w:p>
    <w:p w14:paraId="7D46C6CF" w14:textId="77777777" w:rsidR="00B2442D" w:rsidRDefault="00B2442D">
      <w:pPr>
        <w:jc w:val="both"/>
        <w:rPr>
          <w:rFonts w:ascii="Arial" w:hAnsi="Arial" w:cs="Arial"/>
          <w:lang w:val="es-CO"/>
        </w:rPr>
      </w:pPr>
    </w:p>
    <w:p w14:paraId="1F45FC05" w14:textId="77777777" w:rsidR="00B2442D" w:rsidRDefault="008A645F">
      <w:pPr>
        <w:jc w:val="both"/>
        <w:rPr>
          <w:rFonts w:ascii="Arial" w:hAnsi="Arial" w:cs="Arial"/>
          <w:lang w:val="es-CO"/>
        </w:rPr>
      </w:pPr>
      <w:r>
        <w:rPr>
          <w:rFonts w:ascii="Arial" w:hAnsi="Arial" w:cs="Arial"/>
          <w:lang w:val="es-CO"/>
        </w:rPr>
        <w:t xml:space="preserve">Las certificaciones de que trata este parágrafo deberán haber </w:t>
      </w:r>
      <w:r>
        <w:rPr>
          <w:rFonts w:ascii="Arial" w:hAnsi="Arial" w:cs="Arial"/>
          <w:lang w:val="es-CO"/>
        </w:rPr>
        <w:t>sido expedidas con una anterioridad no mayor de un (1) año a la fecha en la cual se realice la enajenación.</w:t>
      </w:r>
    </w:p>
    <w:p w14:paraId="5AE2195E" w14:textId="77777777" w:rsidR="00B2442D" w:rsidRDefault="00B2442D">
      <w:pPr>
        <w:jc w:val="both"/>
        <w:rPr>
          <w:rFonts w:ascii="Arial" w:hAnsi="Arial" w:cs="Arial"/>
          <w:i/>
          <w:lang w:val="es-CO"/>
        </w:rPr>
      </w:pPr>
    </w:p>
    <w:p w14:paraId="2EF404EA" w14:textId="77777777" w:rsidR="00B2442D" w:rsidRDefault="008A645F">
      <w:pPr>
        <w:jc w:val="both"/>
        <w:rPr>
          <w:rFonts w:ascii="Arial" w:hAnsi="Arial" w:cs="Arial"/>
          <w:i/>
          <w:lang w:val="es-CO"/>
        </w:rPr>
      </w:pPr>
      <w:r>
        <w:rPr>
          <w:rFonts w:ascii="Arial" w:hAnsi="Arial" w:cs="Arial"/>
          <w:i/>
          <w:lang w:val="es-CO"/>
        </w:rPr>
        <w:t>(Art. 9, Decreto 2509 de 1985. Inciso segundo tiene decaimiento por evolución legislativa (Inciso segundo del art. 398 del Estatuto Tributario, mod</w:t>
      </w:r>
      <w:r>
        <w:rPr>
          <w:rFonts w:ascii="Arial" w:hAnsi="Arial" w:cs="Arial"/>
          <w:i/>
          <w:lang w:val="es-CO"/>
        </w:rPr>
        <w:t>ificado por el art. 18 de la Ley 49 de 1990. El literal b) del parágrafo segundo tiene decaimiento por evolución normativa (Art. 4 del Decreto 2503 de 1987))</w:t>
      </w:r>
    </w:p>
    <w:p w14:paraId="626D4FB6" w14:textId="77777777" w:rsidR="00B2442D" w:rsidRDefault="00B2442D">
      <w:pPr>
        <w:jc w:val="both"/>
        <w:rPr>
          <w:rFonts w:ascii="Arial" w:hAnsi="Arial" w:cs="Arial"/>
          <w:lang w:val="es-CO"/>
        </w:rPr>
      </w:pPr>
    </w:p>
    <w:p w14:paraId="1697D6A1" w14:textId="77777777" w:rsidR="00B2442D" w:rsidRDefault="008A645F">
      <w:pPr>
        <w:pStyle w:val="Prrafodelista"/>
        <w:numPr>
          <w:ilvl w:val="0"/>
          <w:numId w:val="51"/>
        </w:numPr>
        <w:ind w:left="0" w:firstLine="0"/>
        <w:jc w:val="both"/>
        <w:rPr>
          <w:rFonts w:ascii="Arial" w:hAnsi="Arial" w:cs="Arial"/>
          <w:lang w:val="es-CO"/>
        </w:rPr>
      </w:pPr>
      <w:r>
        <w:rPr>
          <w:rFonts w:ascii="Arial" w:hAnsi="Arial" w:cs="Arial"/>
          <w:b/>
          <w:i/>
          <w:lang w:val="es-CO"/>
        </w:rPr>
        <w:t>Pruebas.</w:t>
      </w:r>
      <w:r>
        <w:rPr>
          <w:rFonts w:ascii="Arial" w:hAnsi="Arial" w:cs="Arial"/>
          <w:lang w:val="es-CO"/>
        </w:rPr>
        <w:t xml:space="preserve"> Las pruebas de que trata el artículo anterior deberán protocolizarse con la escritura re</w:t>
      </w:r>
      <w:r>
        <w:rPr>
          <w:rFonts w:ascii="Arial" w:hAnsi="Arial" w:cs="Arial"/>
          <w:lang w:val="es-CO"/>
        </w:rPr>
        <w:t>spectiva, o conservarse en el respectivo expediente, según el caso.</w:t>
      </w:r>
    </w:p>
    <w:p w14:paraId="5A11AC56" w14:textId="77777777" w:rsidR="00B2442D" w:rsidRDefault="00B2442D">
      <w:pPr>
        <w:jc w:val="both"/>
        <w:rPr>
          <w:rFonts w:ascii="Arial" w:hAnsi="Arial" w:cs="Arial"/>
          <w:i/>
          <w:lang w:val="es-CO"/>
        </w:rPr>
      </w:pPr>
    </w:p>
    <w:p w14:paraId="730D54E0" w14:textId="77777777" w:rsidR="00B2442D" w:rsidRDefault="008A645F">
      <w:pPr>
        <w:jc w:val="both"/>
        <w:rPr>
          <w:rFonts w:ascii="Arial" w:hAnsi="Arial" w:cs="Arial"/>
          <w:i/>
          <w:lang w:val="es-CO"/>
        </w:rPr>
      </w:pPr>
      <w:r>
        <w:rPr>
          <w:rFonts w:ascii="Arial" w:hAnsi="Arial" w:cs="Arial"/>
          <w:i/>
          <w:lang w:val="es-CO"/>
        </w:rPr>
        <w:t>(Art. 10, Decreto 2509 de 1985)</w:t>
      </w:r>
    </w:p>
    <w:p w14:paraId="617E1C52" w14:textId="77777777" w:rsidR="00B2442D" w:rsidRDefault="00B2442D">
      <w:pPr>
        <w:jc w:val="both"/>
        <w:rPr>
          <w:rFonts w:ascii="Arial" w:hAnsi="Arial" w:cs="Arial"/>
          <w:lang w:val="es-CO"/>
        </w:rPr>
      </w:pPr>
    </w:p>
    <w:p w14:paraId="3E1154E0" w14:textId="77777777" w:rsidR="00B2442D" w:rsidRDefault="008A645F">
      <w:pPr>
        <w:pStyle w:val="Prrafodelista"/>
        <w:numPr>
          <w:ilvl w:val="0"/>
          <w:numId w:val="51"/>
        </w:numPr>
        <w:ind w:left="0" w:firstLine="0"/>
        <w:jc w:val="both"/>
        <w:rPr>
          <w:rFonts w:ascii="Arial" w:hAnsi="Arial" w:cs="Arial"/>
          <w:lang w:val="es-CO"/>
        </w:rPr>
      </w:pPr>
      <w:r>
        <w:rPr>
          <w:rFonts w:ascii="Arial" w:hAnsi="Arial" w:cs="Arial"/>
          <w:b/>
          <w:i/>
        </w:rPr>
        <w:t>Retención en la fuente en la venta de acciones que sean activos fijos.</w:t>
      </w:r>
      <w:r>
        <w:rPr>
          <w:rFonts w:ascii="Arial" w:hAnsi="Arial" w:cs="Arial"/>
        </w:rPr>
        <w:t xml:space="preserve"> Cuando se vendan acciones por conducto de sociedades comisionistas de bolsa, no se </w:t>
      </w:r>
      <w:r>
        <w:rPr>
          <w:rFonts w:ascii="Arial" w:hAnsi="Arial" w:cs="Arial"/>
        </w:rPr>
        <w:t>aplicará la retención en la fuente prevista en el artículo 1.2.4.5.1 del presente Decreto.</w:t>
      </w:r>
    </w:p>
    <w:p w14:paraId="39F1DC1C" w14:textId="77777777" w:rsidR="00B2442D" w:rsidRDefault="00B2442D">
      <w:pPr>
        <w:jc w:val="both"/>
        <w:rPr>
          <w:rFonts w:ascii="Arial" w:hAnsi="Arial" w:cs="Arial"/>
          <w:lang w:val="es-CO"/>
        </w:rPr>
      </w:pPr>
    </w:p>
    <w:p w14:paraId="0E95E3A2" w14:textId="77777777" w:rsidR="00B2442D" w:rsidRDefault="008A645F">
      <w:pPr>
        <w:jc w:val="both"/>
        <w:rPr>
          <w:rFonts w:ascii="Arial" w:hAnsi="Arial" w:cs="Arial"/>
          <w:i/>
          <w:lang w:val="es-CO"/>
        </w:rPr>
      </w:pPr>
      <w:r>
        <w:rPr>
          <w:rFonts w:ascii="Arial" w:hAnsi="Arial" w:cs="Arial"/>
          <w:i/>
          <w:lang w:val="es-CO"/>
        </w:rPr>
        <w:t>(Art. 1, Decreto 3802 de 1985)</w:t>
      </w:r>
    </w:p>
    <w:p w14:paraId="274A7FF1" w14:textId="77777777" w:rsidR="00B2442D" w:rsidRDefault="00B2442D">
      <w:pPr>
        <w:jc w:val="both"/>
        <w:rPr>
          <w:rFonts w:ascii="Arial" w:hAnsi="Arial" w:cs="Arial"/>
          <w:lang w:val="es-CO"/>
        </w:rPr>
      </w:pPr>
    </w:p>
    <w:p w14:paraId="701AFBF7" w14:textId="77777777" w:rsidR="00B2442D" w:rsidRDefault="008A645F">
      <w:pPr>
        <w:pStyle w:val="Ttulo4"/>
      </w:pPr>
      <w:r>
        <w:t>CAPÍTULO 6</w:t>
      </w:r>
    </w:p>
    <w:p w14:paraId="56413481" w14:textId="77777777" w:rsidR="00B2442D" w:rsidRDefault="008A645F">
      <w:pPr>
        <w:pStyle w:val="Ttulo4"/>
      </w:pPr>
      <w:r>
        <w:t>Retención en la fuente a título de impuesto sobre la renta por concepto de adquisición de bienes y compras</w:t>
      </w:r>
    </w:p>
    <w:p w14:paraId="1E8829C8" w14:textId="77777777" w:rsidR="00B2442D" w:rsidRDefault="00B2442D">
      <w:pPr>
        <w:jc w:val="center"/>
        <w:rPr>
          <w:rFonts w:ascii="Arial" w:hAnsi="Arial" w:cs="Arial"/>
          <w:lang w:val="es-CO"/>
        </w:rPr>
      </w:pPr>
    </w:p>
    <w:p w14:paraId="68B7AD3A"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 xml:space="preserve">Retención en </w:t>
      </w:r>
      <w:r>
        <w:rPr>
          <w:rFonts w:ascii="Arial" w:hAnsi="Arial" w:cs="Arial"/>
          <w:b/>
          <w:i/>
          <w:lang w:val="es-CO"/>
        </w:rPr>
        <w:t>la fuente en la adquisición de bienes.</w:t>
      </w:r>
      <w:r>
        <w:rPr>
          <w:rFonts w:ascii="Arial" w:hAnsi="Arial" w:cs="Arial"/>
          <w:lang w:val="es-CO"/>
        </w:rPr>
        <w:t xml:space="preserve"> Las personas jurídicas y sociedades de hecho que realicen pagos o abonos en cuenta por concepto de la adquisición de bienes, deberán efectuar la retención en la fuente de que trata el artículo 1.2.4.9.1 de este Decret</w:t>
      </w:r>
      <w:r>
        <w:rPr>
          <w:rFonts w:ascii="Arial" w:hAnsi="Arial" w:cs="Arial"/>
          <w:lang w:val="es-CO"/>
        </w:rPr>
        <w:t xml:space="preserve">o, salvo cuando el enajenante sea una persona natural y entregue a quien realiza el pago, fotocopia auténtica del recibo de consignación de la retención prevista en artículo 1.2.4.5.1 del presente Decreto, expedido por el Notario o por el que corresponda. </w:t>
      </w:r>
    </w:p>
    <w:p w14:paraId="697D8686" w14:textId="77777777" w:rsidR="00B2442D" w:rsidRDefault="00B2442D">
      <w:pPr>
        <w:jc w:val="both"/>
        <w:rPr>
          <w:rFonts w:ascii="Arial" w:hAnsi="Arial" w:cs="Arial"/>
          <w:lang w:val="es-CO"/>
        </w:rPr>
      </w:pPr>
    </w:p>
    <w:p w14:paraId="0F9EB792" w14:textId="77777777" w:rsidR="00B2442D" w:rsidRDefault="008A645F">
      <w:pPr>
        <w:jc w:val="both"/>
        <w:rPr>
          <w:rFonts w:ascii="Arial" w:hAnsi="Arial" w:cs="Arial"/>
          <w:lang w:val="es-CO"/>
        </w:rPr>
      </w:pPr>
      <w:r>
        <w:rPr>
          <w:rFonts w:ascii="Arial" w:hAnsi="Arial" w:cs="Arial"/>
          <w:lang w:val="es-CO"/>
        </w:rPr>
        <w:t>La persona jurídica o sociedad de hecho, conservará tal documento para ser exhibido cuando la Administración de Impuestos así lo requiera.</w:t>
      </w:r>
    </w:p>
    <w:p w14:paraId="56F51D4D" w14:textId="77777777" w:rsidR="00B2442D" w:rsidRDefault="00B2442D">
      <w:pPr>
        <w:jc w:val="both"/>
        <w:rPr>
          <w:rFonts w:ascii="Arial" w:hAnsi="Arial" w:cs="Arial"/>
          <w:i/>
          <w:lang w:val="es-CO"/>
        </w:rPr>
      </w:pPr>
    </w:p>
    <w:p w14:paraId="1471F4D5" w14:textId="77777777" w:rsidR="00B2442D" w:rsidRDefault="008A645F">
      <w:pPr>
        <w:jc w:val="both"/>
        <w:rPr>
          <w:rFonts w:ascii="Arial" w:hAnsi="Arial" w:cs="Arial"/>
          <w:i/>
          <w:lang w:val="es-CO"/>
        </w:rPr>
      </w:pPr>
      <w:r>
        <w:rPr>
          <w:rFonts w:ascii="Arial" w:hAnsi="Arial" w:cs="Arial"/>
          <w:i/>
          <w:lang w:val="es-CO"/>
        </w:rPr>
        <w:t>(Art. 12, Decreto 2509 de 1985)</w:t>
      </w:r>
    </w:p>
    <w:p w14:paraId="72CA4B65" w14:textId="77777777" w:rsidR="00B2442D" w:rsidRDefault="00B2442D">
      <w:pPr>
        <w:jc w:val="both"/>
        <w:rPr>
          <w:rFonts w:ascii="Arial" w:hAnsi="Arial" w:cs="Arial"/>
          <w:i/>
          <w:lang w:val="es-CO"/>
        </w:rPr>
      </w:pPr>
    </w:p>
    <w:p w14:paraId="55BB4E7C"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Retención en la fuente por compras de sociedades de comercialización internaciona</w:t>
      </w:r>
      <w:r>
        <w:rPr>
          <w:rFonts w:ascii="Arial" w:hAnsi="Arial" w:cs="Arial"/>
          <w:b/>
          <w:i/>
          <w:lang w:val="es-CO"/>
        </w:rPr>
        <w:t>l.</w:t>
      </w:r>
      <w:r>
        <w:rPr>
          <w:rFonts w:ascii="Arial" w:hAnsi="Arial" w:cs="Arial"/>
          <w:lang w:val="es-CO"/>
        </w:rPr>
        <w:t xml:space="preserve"> Las compras efectuadas por sociedades de comercialización internacional no están sujetas a retención en la fuente.  </w:t>
      </w:r>
    </w:p>
    <w:p w14:paraId="0DBEE15D" w14:textId="77777777" w:rsidR="00B2442D" w:rsidRDefault="00B2442D">
      <w:pPr>
        <w:jc w:val="both"/>
        <w:rPr>
          <w:rFonts w:ascii="Arial" w:hAnsi="Arial" w:cs="Arial"/>
          <w:lang w:val="es-CO"/>
        </w:rPr>
      </w:pPr>
    </w:p>
    <w:p w14:paraId="6ED858FE" w14:textId="77777777" w:rsidR="00B2442D" w:rsidRDefault="008A645F">
      <w:pPr>
        <w:jc w:val="both"/>
        <w:rPr>
          <w:rFonts w:ascii="Arial" w:hAnsi="Arial" w:cs="Arial"/>
          <w:lang w:val="es-CO"/>
        </w:rPr>
      </w:pPr>
      <w:r>
        <w:rPr>
          <w:rFonts w:ascii="Arial" w:hAnsi="Arial" w:cs="Arial"/>
          <w:lang w:val="es-CO"/>
        </w:rPr>
        <w:t>No están sometidos a la retención en la fuente de que tratan los artículos 1.2.4.9.1 inciso primero y 1.2.4.10.5 de este Decreto, los p</w:t>
      </w:r>
      <w:r>
        <w:rPr>
          <w:rFonts w:ascii="Arial" w:hAnsi="Arial" w:cs="Arial"/>
          <w:lang w:val="es-CO"/>
        </w:rPr>
        <w:t>agos o abonos en cuenta que efectúen las sociedades de comercialización internacional, por concepto de compras con destino a la exportación, siempre y cuando dichas sociedades expidan al vendedor, el certificado de compra a que se refiere el artículo 14 de</w:t>
      </w:r>
      <w:r>
        <w:rPr>
          <w:rFonts w:ascii="Arial" w:hAnsi="Arial" w:cs="Arial"/>
          <w:lang w:val="es-CO"/>
        </w:rPr>
        <w:t xml:space="preserve">l Decreto 509 de 1988, en el cual se obligan a exportar el producto o productos adquiridos.  </w:t>
      </w:r>
    </w:p>
    <w:p w14:paraId="7CDAE88E" w14:textId="77777777" w:rsidR="00B2442D" w:rsidRDefault="00B2442D">
      <w:pPr>
        <w:jc w:val="both"/>
        <w:rPr>
          <w:rFonts w:ascii="Arial" w:hAnsi="Arial" w:cs="Arial"/>
          <w:lang w:val="es-CO"/>
        </w:rPr>
      </w:pPr>
    </w:p>
    <w:p w14:paraId="75187928" w14:textId="77777777" w:rsidR="00B2442D" w:rsidRDefault="008A645F">
      <w:pPr>
        <w:jc w:val="both"/>
        <w:rPr>
          <w:rFonts w:ascii="Arial" w:hAnsi="Arial" w:cs="Arial"/>
          <w:lang w:val="es-CO"/>
        </w:rPr>
      </w:pPr>
      <w:r>
        <w:rPr>
          <w:rFonts w:ascii="Arial" w:hAnsi="Arial" w:cs="Arial"/>
          <w:lang w:val="es-CO"/>
        </w:rPr>
        <w:t>La certificación deberá conservarse por parte del vendedor como soporte de su contabilidad.</w:t>
      </w:r>
    </w:p>
    <w:p w14:paraId="46ECF130" w14:textId="77777777" w:rsidR="00B2442D" w:rsidRDefault="00B2442D">
      <w:pPr>
        <w:jc w:val="both"/>
        <w:rPr>
          <w:rFonts w:ascii="Arial" w:hAnsi="Arial" w:cs="Arial"/>
          <w:i/>
          <w:lang w:val="es-CO"/>
        </w:rPr>
      </w:pPr>
    </w:p>
    <w:p w14:paraId="0AED8972" w14:textId="77777777" w:rsidR="00B2442D" w:rsidRDefault="008A645F">
      <w:pPr>
        <w:jc w:val="both"/>
        <w:rPr>
          <w:rFonts w:ascii="Arial" w:hAnsi="Arial" w:cs="Arial"/>
          <w:i/>
          <w:lang w:val="es-CO"/>
        </w:rPr>
      </w:pPr>
      <w:r>
        <w:rPr>
          <w:rFonts w:ascii="Arial" w:hAnsi="Arial" w:cs="Arial"/>
          <w:i/>
          <w:lang w:val="es-CO"/>
        </w:rPr>
        <w:t>(Art. 1, Decreto 0653 de 1990)</w:t>
      </w:r>
    </w:p>
    <w:p w14:paraId="55BE8712" w14:textId="77777777" w:rsidR="00B2442D" w:rsidRDefault="00B2442D">
      <w:pPr>
        <w:jc w:val="both"/>
        <w:rPr>
          <w:rFonts w:ascii="Arial" w:hAnsi="Arial" w:cs="Arial"/>
          <w:i/>
          <w:lang w:val="es-CO"/>
        </w:rPr>
      </w:pPr>
    </w:p>
    <w:p w14:paraId="0950A146"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 xml:space="preserve">Base de la retención en la </w:t>
      </w:r>
      <w:r>
        <w:rPr>
          <w:rFonts w:ascii="Arial" w:hAnsi="Arial" w:cs="Arial"/>
          <w:b/>
          <w:i/>
          <w:lang w:val="es-CO"/>
        </w:rPr>
        <w:t>fuente por concepto de compras.</w:t>
      </w:r>
      <w:r>
        <w:rPr>
          <w:rFonts w:ascii="Arial" w:hAnsi="Arial" w:cs="Arial"/>
          <w:lang w:val="es-CO"/>
        </w:rPr>
        <w:t xml:space="preserve"> Los agentes retenedores que efectúen pagos o abonos en cuenta por concepto de compras, que involucren gastos de financiación, acarreos o seguros, efectuarán la retención en la fuente sobre el valor total del respectivo pago </w:t>
      </w:r>
      <w:r>
        <w:rPr>
          <w:rFonts w:ascii="Arial" w:hAnsi="Arial" w:cs="Arial"/>
          <w:lang w:val="es-CO"/>
        </w:rPr>
        <w:t xml:space="preserve">o abono en cuenta. </w:t>
      </w:r>
    </w:p>
    <w:p w14:paraId="7547A4D6" w14:textId="77777777" w:rsidR="00B2442D" w:rsidRDefault="00B2442D">
      <w:pPr>
        <w:jc w:val="both"/>
        <w:rPr>
          <w:rFonts w:ascii="Arial" w:hAnsi="Arial" w:cs="Arial"/>
          <w:lang w:val="es-CO"/>
        </w:rPr>
      </w:pPr>
    </w:p>
    <w:p w14:paraId="588B9E9A" w14:textId="77777777" w:rsidR="00B2442D" w:rsidRDefault="008A645F">
      <w:pPr>
        <w:jc w:val="both"/>
        <w:rPr>
          <w:rFonts w:ascii="Arial" w:hAnsi="Arial" w:cs="Arial"/>
          <w:lang w:val="es-CO"/>
        </w:rPr>
      </w:pPr>
      <w:r>
        <w:rPr>
          <w:rFonts w:ascii="Arial" w:hAnsi="Arial" w:cs="Arial"/>
          <w:lang w:val="es-CO"/>
        </w:rPr>
        <w:t>Lo dispuesto en el presente artículo también será aplicable en los casos de autorretención.</w:t>
      </w:r>
    </w:p>
    <w:p w14:paraId="7F505355" w14:textId="77777777" w:rsidR="00B2442D" w:rsidRDefault="00B2442D">
      <w:pPr>
        <w:jc w:val="both"/>
        <w:rPr>
          <w:rFonts w:ascii="Arial" w:hAnsi="Arial" w:cs="Arial"/>
          <w:i/>
          <w:lang w:val="es-CO"/>
        </w:rPr>
      </w:pPr>
    </w:p>
    <w:p w14:paraId="4799D878" w14:textId="77777777" w:rsidR="00B2442D" w:rsidRDefault="008A645F">
      <w:pPr>
        <w:jc w:val="both"/>
        <w:rPr>
          <w:rFonts w:ascii="Arial" w:hAnsi="Arial" w:cs="Arial"/>
          <w:i/>
          <w:lang w:val="es-CO"/>
        </w:rPr>
      </w:pPr>
      <w:r>
        <w:rPr>
          <w:rFonts w:ascii="Arial" w:hAnsi="Arial" w:cs="Arial"/>
          <w:i/>
          <w:lang w:val="es-CO"/>
        </w:rPr>
        <w:t>(Art. 9, Decreto 535 de 1987. Tiene decaimiento parcial por evolución normativa (Artículo 401 del Estatuto Tributario))</w:t>
      </w:r>
    </w:p>
    <w:p w14:paraId="74123F58" w14:textId="77777777" w:rsidR="00B2442D" w:rsidRDefault="00B2442D">
      <w:pPr>
        <w:rPr>
          <w:rFonts w:ascii="Arial" w:hAnsi="Arial" w:cs="Arial"/>
          <w:lang w:val="es-CO"/>
        </w:rPr>
      </w:pPr>
    </w:p>
    <w:p w14:paraId="7B15054E"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Retención en la fuent</w:t>
      </w:r>
      <w:r>
        <w:rPr>
          <w:rFonts w:ascii="Arial" w:hAnsi="Arial" w:cs="Arial"/>
          <w:b/>
          <w:i/>
          <w:lang w:val="es-CO"/>
        </w:rPr>
        <w:t>e en las compras de algodón.</w:t>
      </w:r>
      <w:r>
        <w:rPr>
          <w:rFonts w:ascii="Arial" w:hAnsi="Arial" w:cs="Arial"/>
          <w:lang w:val="es-CO"/>
        </w:rPr>
        <w:t xml:space="preserve"> En el caso de compras de algodón efectuadas a través de mandatarios con representación, actuará como agente retenedor quien obre como mandatario de los vendedores o productores del mismo. Lo anterior se entiende sin perjuicio d</w:t>
      </w:r>
      <w:r>
        <w:rPr>
          <w:rFonts w:ascii="Arial" w:hAnsi="Arial" w:cs="Arial"/>
          <w:lang w:val="es-CO"/>
        </w:rPr>
        <w:t>e la responsabilidad del comprador cuando el mandatario no efectúe la retención en la fuente, estando obligado a ello. En los demás casos, la retención en la fuente será practicada por cada una de las entidades que intervengan como compradores de algodón.</w:t>
      </w:r>
    </w:p>
    <w:p w14:paraId="707988BB" w14:textId="77777777" w:rsidR="00B2442D" w:rsidRDefault="00B2442D">
      <w:pPr>
        <w:jc w:val="both"/>
        <w:rPr>
          <w:rFonts w:ascii="Arial" w:hAnsi="Arial" w:cs="Arial"/>
          <w:i/>
          <w:lang w:val="es-CO"/>
        </w:rPr>
      </w:pPr>
    </w:p>
    <w:p w14:paraId="017F5078" w14:textId="77777777" w:rsidR="00B2442D" w:rsidRDefault="008A645F">
      <w:pPr>
        <w:jc w:val="both"/>
        <w:rPr>
          <w:rFonts w:ascii="Arial" w:hAnsi="Arial" w:cs="Arial"/>
          <w:i/>
          <w:lang w:val="es-CO"/>
        </w:rPr>
      </w:pPr>
      <w:r>
        <w:rPr>
          <w:rFonts w:ascii="Arial" w:hAnsi="Arial" w:cs="Arial"/>
          <w:i/>
          <w:lang w:val="es-CO"/>
        </w:rPr>
        <w:t>(Art. 1, Decreto 198 de 1988)</w:t>
      </w:r>
    </w:p>
    <w:p w14:paraId="0C3EB9AE" w14:textId="77777777" w:rsidR="00B2442D" w:rsidRDefault="00B2442D">
      <w:pPr>
        <w:rPr>
          <w:rFonts w:ascii="Arial" w:hAnsi="Arial" w:cs="Arial"/>
          <w:lang w:val="es-CO"/>
        </w:rPr>
      </w:pPr>
    </w:p>
    <w:p w14:paraId="5D65F086"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No sujetos a retención.</w:t>
      </w:r>
      <w:r>
        <w:rPr>
          <w:rFonts w:ascii="Arial" w:hAnsi="Arial" w:cs="Arial"/>
          <w:lang w:val="es-CO"/>
        </w:rPr>
        <w:t xml:space="preserve"> No están sometidos a retención en la fuente los pagos o abonos en cuenta que efectúen los fondos mutuos de inversión a sus suscriptores cuando el valor acumulado de los pagos o abonos en cuenta efectu</w:t>
      </w:r>
      <w:r>
        <w:rPr>
          <w:rFonts w:ascii="Arial" w:hAnsi="Arial" w:cs="Arial"/>
          <w:lang w:val="es-CO"/>
        </w:rPr>
        <w:t xml:space="preserve">ados en el respectivo mes, por concepto de rendimientos financieros, sea inferior a ocho (8) UVT. </w:t>
      </w:r>
    </w:p>
    <w:p w14:paraId="2AC91F62" w14:textId="77777777" w:rsidR="00B2442D" w:rsidRDefault="00B2442D">
      <w:pPr>
        <w:jc w:val="both"/>
        <w:rPr>
          <w:rFonts w:ascii="Arial" w:hAnsi="Arial" w:cs="Arial"/>
          <w:lang w:val="es-CO"/>
        </w:rPr>
      </w:pPr>
    </w:p>
    <w:p w14:paraId="00C5B48B" w14:textId="77777777" w:rsidR="00B2442D" w:rsidRDefault="008A645F">
      <w:pPr>
        <w:jc w:val="both"/>
        <w:rPr>
          <w:rFonts w:ascii="Arial" w:hAnsi="Arial" w:cs="Arial"/>
          <w:lang w:val="es-CO"/>
        </w:rPr>
      </w:pPr>
      <w:r>
        <w:rPr>
          <w:rFonts w:ascii="Arial" w:hAnsi="Arial" w:cs="Arial"/>
          <w:lang w:val="es-CO"/>
        </w:rPr>
        <w:t>Cuando los pagos o abonos se efectúen por períodos superiores a un mes, la cifra de que trata el inciso anterior se calculará en forma proporcional.</w:t>
      </w:r>
    </w:p>
    <w:p w14:paraId="3BABE5FA" w14:textId="77777777" w:rsidR="00B2442D" w:rsidRDefault="00B2442D">
      <w:pPr>
        <w:rPr>
          <w:rFonts w:ascii="Arial" w:hAnsi="Arial" w:cs="Arial"/>
          <w:i/>
          <w:lang w:val="es-CO"/>
        </w:rPr>
      </w:pPr>
    </w:p>
    <w:p w14:paraId="4CA28B7A" w14:textId="77777777" w:rsidR="00B2442D" w:rsidRDefault="008A645F">
      <w:pPr>
        <w:rPr>
          <w:rFonts w:ascii="Arial" w:hAnsi="Arial" w:cs="Arial"/>
          <w:i/>
          <w:lang w:val="es-CO"/>
        </w:rPr>
      </w:pPr>
      <w:r>
        <w:rPr>
          <w:rFonts w:ascii="Arial" w:hAnsi="Arial" w:cs="Arial"/>
          <w:i/>
          <w:lang w:val="es-CO"/>
        </w:rPr>
        <w:t xml:space="preserve">(Art. </w:t>
      </w:r>
      <w:r>
        <w:rPr>
          <w:rFonts w:ascii="Arial" w:hAnsi="Arial" w:cs="Arial"/>
          <w:i/>
          <w:lang w:val="es-CO"/>
        </w:rPr>
        <w:t>3, Decreto 198 de 1988, modificado por el artículo 51 de la Ley 1111 de 2006)</w:t>
      </w:r>
    </w:p>
    <w:p w14:paraId="12CD9C97" w14:textId="77777777" w:rsidR="00B2442D" w:rsidRDefault="00B2442D">
      <w:pPr>
        <w:jc w:val="both"/>
        <w:rPr>
          <w:rFonts w:ascii="Arial" w:hAnsi="Arial" w:cs="Arial"/>
          <w:lang w:val="es-CO"/>
        </w:rPr>
      </w:pPr>
    </w:p>
    <w:p w14:paraId="74FD1B74"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Retención en la fuente en compras de café pergamino tipo federación.</w:t>
      </w:r>
      <w:r>
        <w:rPr>
          <w:rFonts w:ascii="Arial" w:hAnsi="Arial" w:cs="Arial"/>
          <w:lang w:val="es-CO"/>
        </w:rPr>
        <w:t xml:space="preserve"> La retención en la fuente de que trata el artículo 1.2.4.9.1 de este Decreto, cuando se trate de compras de </w:t>
      </w:r>
      <w:r>
        <w:rPr>
          <w:rFonts w:ascii="Arial" w:hAnsi="Arial" w:cs="Arial"/>
          <w:lang w:val="es-CO"/>
        </w:rPr>
        <w:t>café pergamino tipo federación, en la parte que corresponda a pagos efectuados mediante Títulos de Apoyo Cafetero "TAC", deberá realizarse al momento de la redención del respectivo título, por la entidad que lo redime.</w:t>
      </w:r>
    </w:p>
    <w:p w14:paraId="2D131FBC" w14:textId="77777777" w:rsidR="00B2442D" w:rsidRDefault="00B2442D">
      <w:pPr>
        <w:jc w:val="both"/>
        <w:rPr>
          <w:rFonts w:ascii="Arial" w:hAnsi="Arial" w:cs="Arial"/>
          <w:i/>
          <w:lang w:val="es-CO"/>
        </w:rPr>
      </w:pPr>
    </w:p>
    <w:p w14:paraId="51B54D08" w14:textId="77777777" w:rsidR="00B2442D" w:rsidRDefault="008A645F">
      <w:pPr>
        <w:jc w:val="both"/>
        <w:rPr>
          <w:rFonts w:ascii="Arial" w:hAnsi="Arial" w:cs="Arial"/>
          <w:i/>
          <w:lang w:val="es-CO"/>
        </w:rPr>
      </w:pPr>
      <w:r>
        <w:rPr>
          <w:rFonts w:ascii="Arial" w:hAnsi="Arial" w:cs="Arial"/>
          <w:i/>
          <w:lang w:val="es-CO"/>
        </w:rPr>
        <w:t>(Art. 1, Decreto 2809 de 1991)</w:t>
      </w:r>
    </w:p>
    <w:p w14:paraId="33590EAA" w14:textId="77777777" w:rsidR="00B2442D" w:rsidRDefault="00B2442D">
      <w:pPr>
        <w:jc w:val="both"/>
        <w:rPr>
          <w:rFonts w:ascii="Arial" w:hAnsi="Arial" w:cs="Arial"/>
          <w:lang w:val="es-CO"/>
        </w:rPr>
      </w:pPr>
    </w:p>
    <w:p w14:paraId="7A9452AA"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w:t>
      </w:r>
      <w:r>
        <w:rPr>
          <w:rFonts w:ascii="Arial" w:hAnsi="Arial" w:cs="Arial"/>
          <w:b/>
          <w:i/>
          <w:lang w:val="es-CO"/>
        </w:rPr>
        <w:t>nción en la fuente sobre los pagos o abonos en cuenta en la adquisición de bienes o productos agrícolas o pecuarios sin procesamiento industrial o en las compras de café pergamino tipo federación.</w:t>
      </w:r>
      <w:r>
        <w:rPr>
          <w:rFonts w:ascii="Arial" w:hAnsi="Arial" w:cs="Arial"/>
          <w:lang w:val="es-CO"/>
        </w:rPr>
        <w:t xml:space="preserve"> A partir del 1o. (sic) de 1994 y a opción del agente retene</w:t>
      </w:r>
      <w:r>
        <w:rPr>
          <w:rFonts w:ascii="Arial" w:hAnsi="Arial" w:cs="Arial"/>
          <w:lang w:val="es-CO"/>
        </w:rPr>
        <w:t>dor, no será obligatorio efectuar retención en la fuente sobre los pagos o abonos en cuenta que se originen en la adquisición de bienes o productos agrícolas o pecuarios sin procesamiento industrial, cuyo valor no exceda de noventa y dos (92) UVT.</w:t>
      </w:r>
    </w:p>
    <w:p w14:paraId="27344BD4" w14:textId="77777777" w:rsidR="00B2442D" w:rsidRDefault="00B2442D">
      <w:pPr>
        <w:jc w:val="both"/>
        <w:rPr>
          <w:rFonts w:ascii="Arial" w:hAnsi="Arial" w:cs="Arial"/>
          <w:lang w:val="es-CO"/>
        </w:rPr>
      </w:pPr>
    </w:p>
    <w:p w14:paraId="1C4DD876" w14:textId="77777777" w:rsidR="00B2442D" w:rsidRDefault="008A645F">
      <w:pPr>
        <w:jc w:val="both"/>
        <w:rPr>
          <w:rFonts w:ascii="Arial" w:hAnsi="Arial" w:cs="Arial"/>
          <w:lang w:val="es-CO"/>
        </w:rPr>
      </w:pPr>
      <w:r>
        <w:rPr>
          <w:rFonts w:ascii="Arial" w:hAnsi="Arial" w:cs="Arial"/>
          <w:lang w:val="es-CO"/>
        </w:rPr>
        <w:t>Cuando el pago o abono en cuenta exceda la suma indicada en el inciso anterior, la tarifa de retención en la fuente será del uno punto cinco por ciento (1.5 %).</w:t>
      </w:r>
    </w:p>
    <w:p w14:paraId="7175F58A" w14:textId="77777777" w:rsidR="00B2442D" w:rsidRDefault="00B2442D">
      <w:pPr>
        <w:jc w:val="both"/>
        <w:rPr>
          <w:rFonts w:ascii="Arial" w:hAnsi="Arial" w:cs="Arial"/>
          <w:i/>
          <w:lang w:val="es-CO"/>
        </w:rPr>
      </w:pPr>
    </w:p>
    <w:p w14:paraId="5559A4B2" w14:textId="77777777" w:rsidR="00B2442D" w:rsidRDefault="008A645F">
      <w:pPr>
        <w:jc w:val="both"/>
        <w:rPr>
          <w:rFonts w:ascii="Arial" w:hAnsi="Arial" w:cs="Arial"/>
          <w:i/>
          <w:lang w:val="es-CO"/>
        </w:rPr>
      </w:pPr>
      <w:r>
        <w:rPr>
          <w:rFonts w:ascii="Arial" w:hAnsi="Arial" w:cs="Arial"/>
          <w:i/>
          <w:lang w:val="es-CO"/>
        </w:rPr>
        <w:t>(Art. 1, Decreto 1390 de 1993, modificado por el artículo 1° Decreto 2595 de 1993.</w:t>
      </w:r>
      <w:r>
        <w:t xml:space="preserve"> </w:t>
      </w:r>
      <w:r>
        <w:rPr>
          <w:rFonts w:ascii="Arial" w:hAnsi="Arial" w:cs="Arial"/>
          <w:i/>
          <w:lang w:val="es-CO"/>
        </w:rPr>
        <w:t>La expresió</w:t>
      </w:r>
      <w:r>
        <w:rPr>
          <w:rFonts w:ascii="Arial" w:hAnsi="Arial" w:cs="Arial"/>
          <w:i/>
          <w:lang w:val="es-CO"/>
        </w:rPr>
        <w:t>n “ni en aquellas transacciones que se realicen a través de la Bolsa Nacional Agropecuaria”, fue derogada tácitamente por el artículo primero del Decreto 508 de 1994. El Decreto 508 de 1994 fue derogado expresamente por el artículo 2° del Decreto 574 de 20</w:t>
      </w:r>
      <w:r>
        <w:rPr>
          <w:rFonts w:ascii="Arial" w:hAnsi="Arial" w:cs="Arial"/>
          <w:i/>
          <w:lang w:val="es-CO"/>
        </w:rPr>
        <w:t>02. La expresión “o en las compras de café pergamino tipo federación”, fue derogada tácitamente por el artículo 1 del Decreto 1479 de 1996 que reguló el tema)</w:t>
      </w:r>
      <w:r>
        <w:rPr>
          <w:rFonts w:ascii="Arial" w:hAnsi="Arial" w:cs="Arial"/>
        </w:rPr>
        <w:t xml:space="preserve"> (</w:t>
      </w:r>
      <w:r>
        <w:rPr>
          <w:rFonts w:ascii="Arial" w:hAnsi="Arial" w:cs="Arial"/>
          <w:i/>
          <w:lang w:val="es-CO"/>
        </w:rPr>
        <w:t>El Decreto 2595 de 1993 rige desde la fecha de su publicación y modifica los artículos 2o del De</w:t>
      </w:r>
      <w:r>
        <w:rPr>
          <w:rFonts w:ascii="Arial" w:hAnsi="Arial" w:cs="Arial"/>
          <w:i/>
          <w:lang w:val="es-CO"/>
        </w:rPr>
        <w:t>creto 1742 de 1992, 7o del Decreto 602 de 1993, 1o del Decreto 1390 de 1993 y deroga las disposiciones que le sean contrarias. Art. 2, Decreto 2595 de 1993)</w:t>
      </w:r>
    </w:p>
    <w:p w14:paraId="6B101A5A" w14:textId="77777777" w:rsidR="00B2442D" w:rsidRDefault="00B2442D">
      <w:pPr>
        <w:jc w:val="both"/>
        <w:rPr>
          <w:rFonts w:ascii="Arial" w:hAnsi="Arial" w:cs="Arial"/>
          <w:lang w:val="es-CO"/>
        </w:rPr>
      </w:pPr>
    </w:p>
    <w:p w14:paraId="63CFD8CB"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Retención en la fuente a título de impuesto sobre la renta y complementarios en las compras de caf</w:t>
      </w:r>
      <w:r>
        <w:rPr>
          <w:rFonts w:ascii="Arial" w:hAnsi="Arial" w:cs="Arial"/>
          <w:b/>
          <w:i/>
          <w:lang w:val="es-CO"/>
        </w:rPr>
        <w:t>é pergamino o cereza.</w:t>
      </w:r>
      <w:r>
        <w:rPr>
          <w:rFonts w:ascii="Arial" w:hAnsi="Arial" w:cs="Arial"/>
          <w:lang w:val="es-CO"/>
        </w:rPr>
        <w:t xml:space="preserve"> No se efectuará retención en la fuente a título de impuesto sobre la renta y complementarios sobre los pagos o abonos en cuenta que se originen en las compras de café pergamino o cereza, cuyo valor no exceda la suma de ciento sesenta </w:t>
      </w:r>
      <w:r>
        <w:rPr>
          <w:rFonts w:ascii="Arial" w:hAnsi="Arial" w:cs="Arial"/>
          <w:lang w:val="es-CO"/>
        </w:rPr>
        <w:t xml:space="preserve">(160) UVT. </w:t>
      </w:r>
    </w:p>
    <w:p w14:paraId="37BCC561" w14:textId="77777777" w:rsidR="00B2442D" w:rsidRDefault="00B2442D">
      <w:pPr>
        <w:jc w:val="both"/>
        <w:rPr>
          <w:rFonts w:ascii="Arial" w:hAnsi="Arial" w:cs="Arial"/>
          <w:lang w:val="es-CO"/>
        </w:rPr>
      </w:pPr>
    </w:p>
    <w:p w14:paraId="5FECE7B6" w14:textId="77777777" w:rsidR="00B2442D" w:rsidRDefault="008A645F">
      <w:pPr>
        <w:jc w:val="both"/>
        <w:rPr>
          <w:rFonts w:ascii="Arial" w:hAnsi="Arial" w:cs="Arial"/>
          <w:lang w:val="es-CO"/>
        </w:rPr>
      </w:pPr>
      <w:r>
        <w:rPr>
          <w:rFonts w:ascii="Arial" w:hAnsi="Arial" w:cs="Arial"/>
          <w:lang w:val="es-CO"/>
        </w:rPr>
        <w:t xml:space="preserve">Cuando el pago o abono en cuenta exceda la suma indicada en el inciso anterior, la tarifa de retención en la fuente será del cero punto cinco por ciento (0.5%). </w:t>
      </w:r>
    </w:p>
    <w:p w14:paraId="1E822A47" w14:textId="77777777" w:rsidR="00B2442D" w:rsidRDefault="008A645F">
      <w:pPr>
        <w:jc w:val="both"/>
        <w:rPr>
          <w:rFonts w:ascii="Arial" w:hAnsi="Arial" w:cs="Arial"/>
          <w:lang w:val="es-CO"/>
        </w:rPr>
      </w:pPr>
      <w:r>
        <w:rPr>
          <w:rFonts w:ascii="Arial" w:hAnsi="Arial" w:cs="Arial"/>
          <w:lang w:val="es-CO"/>
        </w:rPr>
        <w:t xml:space="preserve"> </w:t>
      </w:r>
    </w:p>
    <w:p w14:paraId="029CB49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establecer la cuantía del pago o abono en cuenta no </w:t>
      </w:r>
      <w:r>
        <w:rPr>
          <w:rFonts w:ascii="Arial" w:hAnsi="Arial" w:cs="Arial"/>
          <w:lang w:val="es-CO"/>
        </w:rPr>
        <w:t>sujeto a retención en la fuente de conformidad con lo dispuesto en el presente artículo, se tomará la sumatoria de todos los valores correspondientes a operaciones realizadas en una misma fecha entre un mismo vendedor y un mismo comprador por concepto de c</w:t>
      </w:r>
      <w:r>
        <w:rPr>
          <w:rFonts w:ascii="Arial" w:hAnsi="Arial" w:cs="Arial"/>
          <w:lang w:val="es-CO"/>
        </w:rPr>
        <w:t>ompras de café pergamino o cereza.</w:t>
      </w:r>
    </w:p>
    <w:p w14:paraId="50C9EE89" w14:textId="77777777" w:rsidR="00B2442D" w:rsidRDefault="00B2442D">
      <w:pPr>
        <w:jc w:val="both"/>
        <w:rPr>
          <w:rFonts w:ascii="Arial" w:hAnsi="Arial" w:cs="Arial"/>
          <w:i/>
          <w:lang w:val="es-CO"/>
        </w:rPr>
      </w:pPr>
    </w:p>
    <w:p w14:paraId="6DD0CF24" w14:textId="77777777" w:rsidR="00B2442D" w:rsidRDefault="008A645F">
      <w:pPr>
        <w:jc w:val="both"/>
        <w:rPr>
          <w:rFonts w:ascii="Arial" w:hAnsi="Arial" w:cs="Arial"/>
          <w:i/>
          <w:lang w:val="es-CO"/>
        </w:rPr>
      </w:pPr>
      <w:r>
        <w:rPr>
          <w:rFonts w:ascii="Arial" w:hAnsi="Arial" w:cs="Arial"/>
          <w:i/>
          <w:lang w:val="es-CO"/>
        </w:rPr>
        <w:t>(Art. 1, Decreto 1479 de 1996, modificado por el artículo 51 de la Ley 1111 de 2006)</w:t>
      </w:r>
    </w:p>
    <w:p w14:paraId="7EA792F5" w14:textId="77777777" w:rsidR="00B2442D" w:rsidRDefault="00B2442D">
      <w:pPr>
        <w:jc w:val="both"/>
        <w:rPr>
          <w:rFonts w:ascii="Arial" w:hAnsi="Arial" w:cs="Arial"/>
          <w:lang w:val="es-CO"/>
        </w:rPr>
      </w:pPr>
    </w:p>
    <w:p w14:paraId="7DBDBD02"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Retención en la fuente en la compra de oro por las sociedades de comercialización internacional.</w:t>
      </w:r>
      <w:r>
        <w:rPr>
          <w:rFonts w:ascii="Arial" w:hAnsi="Arial" w:cs="Arial"/>
          <w:lang w:val="es-CO"/>
        </w:rPr>
        <w:t xml:space="preserve"> Las compras de oro efectuadas por las</w:t>
      </w:r>
      <w:r>
        <w:rPr>
          <w:rFonts w:ascii="Arial" w:hAnsi="Arial" w:cs="Arial"/>
          <w:lang w:val="es-CO"/>
        </w:rPr>
        <w:t xml:space="preserve"> sociedades de comercialización internacional se encuentran sometidas a retención en la fuente a título del impuesto sobre la renta a la tarifa del uno por ciento (1%) sobre el valor total del pago o abono en cuenta.</w:t>
      </w:r>
    </w:p>
    <w:p w14:paraId="7308E73D" w14:textId="77777777" w:rsidR="00B2442D" w:rsidRDefault="00B2442D">
      <w:pPr>
        <w:jc w:val="both"/>
        <w:rPr>
          <w:rFonts w:ascii="Arial" w:hAnsi="Arial" w:cs="Arial"/>
          <w:i/>
          <w:lang w:val="es-CO"/>
        </w:rPr>
      </w:pPr>
    </w:p>
    <w:p w14:paraId="379C168E" w14:textId="77777777" w:rsidR="00B2442D" w:rsidRDefault="008A645F">
      <w:pPr>
        <w:jc w:val="both"/>
        <w:rPr>
          <w:rFonts w:ascii="Arial" w:hAnsi="Arial" w:cs="Arial"/>
          <w:i/>
          <w:lang w:val="es-CO"/>
        </w:rPr>
      </w:pPr>
      <w:r>
        <w:rPr>
          <w:rFonts w:ascii="Arial" w:hAnsi="Arial" w:cs="Arial"/>
          <w:i/>
          <w:lang w:val="es-CO"/>
        </w:rPr>
        <w:t>(Art. 13, Decreto 2076 de 1992. Inciso</w:t>
      </w:r>
      <w:r>
        <w:rPr>
          <w:rFonts w:ascii="Arial" w:hAnsi="Arial" w:cs="Arial"/>
          <w:i/>
          <w:lang w:val="es-CO"/>
        </w:rPr>
        <w:t xml:space="preserve"> primero tiene decaimiento por la declaratoria de nulidad del artículo 1 del Decreto 2866 de 1991. Adicionado un parágrafo por el Art. 3 del Decreto 1505 De 2011)</w:t>
      </w:r>
    </w:p>
    <w:p w14:paraId="7A1A281D" w14:textId="77777777" w:rsidR="00B2442D" w:rsidRDefault="00B2442D">
      <w:pPr>
        <w:jc w:val="both"/>
        <w:rPr>
          <w:rFonts w:ascii="Arial" w:hAnsi="Arial" w:cs="Arial"/>
          <w:lang w:val="es-CO"/>
        </w:rPr>
      </w:pPr>
    </w:p>
    <w:p w14:paraId="5881DB44" w14:textId="77777777" w:rsidR="00B2442D" w:rsidRDefault="008A645F">
      <w:pPr>
        <w:pStyle w:val="Prrafodelista"/>
        <w:numPr>
          <w:ilvl w:val="0"/>
          <w:numId w:val="52"/>
        </w:numPr>
        <w:ind w:left="0" w:firstLine="0"/>
        <w:jc w:val="both"/>
        <w:rPr>
          <w:rFonts w:ascii="Arial" w:hAnsi="Arial" w:cs="Arial"/>
          <w:lang w:val="es-CO"/>
        </w:rPr>
      </w:pPr>
      <w:r>
        <w:rPr>
          <w:rFonts w:ascii="Arial" w:hAnsi="Arial" w:cs="Arial"/>
          <w:b/>
          <w:i/>
          <w:lang w:val="es-CO"/>
        </w:rPr>
        <w:t>Pagos no sometidos a retención en la fuente.</w:t>
      </w:r>
      <w:r>
        <w:rPr>
          <w:rFonts w:ascii="Arial" w:hAnsi="Arial" w:cs="Arial"/>
          <w:lang w:val="es-CO"/>
        </w:rPr>
        <w:t xml:space="preserve"> Los pagos o abonos en cuenta por concepto de co</w:t>
      </w:r>
      <w:r>
        <w:rPr>
          <w:rFonts w:ascii="Arial" w:hAnsi="Arial" w:cs="Arial"/>
          <w:lang w:val="es-CO"/>
        </w:rPr>
        <w:t xml:space="preserve">mpras de bienes o productos de origen agrícola o pecuario, sin procesamiento industrial o con transformación industrial primaria, que se realicen a través de las Ruedas de Negocios de las Bolsas de Productos Agropecuarios legalmente constituidas, no están </w:t>
      </w:r>
      <w:r>
        <w:rPr>
          <w:rFonts w:ascii="Arial" w:hAnsi="Arial" w:cs="Arial"/>
          <w:lang w:val="es-CO"/>
        </w:rPr>
        <w:t>sometidos a retención en la fuente, cualquiera fuere su cuantía.</w:t>
      </w:r>
    </w:p>
    <w:p w14:paraId="08C5ADED" w14:textId="77777777" w:rsidR="00B2442D" w:rsidRDefault="00B2442D">
      <w:pPr>
        <w:jc w:val="both"/>
        <w:rPr>
          <w:rFonts w:ascii="Arial" w:hAnsi="Arial" w:cs="Arial"/>
          <w:lang w:val="es-CO"/>
        </w:rPr>
      </w:pPr>
    </w:p>
    <w:p w14:paraId="22AE17FE" w14:textId="77777777" w:rsidR="00B2442D" w:rsidRDefault="008A645F">
      <w:pPr>
        <w:jc w:val="both"/>
        <w:rPr>
          <w:rFonts w:ascii="Arial" w:hAnsi="Arial" w:cs="Arial"/>
          <w:i/>
          <w:lang w:val="es-CO"/>
        </w:rPr>
      </w:pPr>
      <w:r>
        <w:rPr>
          <w:rFonts w:ascii="Arial" w:hAnsi="Arial" w:cs="Arial"/>
          <w:i/>
          <w:lang w:val="es-CO"/>
        </w:rPr>
        <w:t>(Art. 1, Decreto 574 de 2002)</w:t>
      </w:r>
      <w:r>
        <w:rPr>
          <w:rFonts w:ascii="Arial" w:hAnsi="Arial" w:cs="Arial"/>
        </w:rPr>
        <w:t xml:space="preserve"> (</w:t>
      </w:r>
      <w:r>
        <w:rPr>
          <w:rFonts w:ascii="Arial" w:hAnsi="Arial" w:cs="Arial"/>
          <w:i/>
          <w:lang w:val="es-CO"/>
        </w:rPr>
        <w:t>El Decreto 574 de 2002 rige a partir de la fecha de su publicación y deroga el Decreto 508 de 1994 y demás normas que le sean contrarias. Art. 2, Decreto 574 d</w:t>
      </w:r>
      <w:r>
        <w:rPr>
          <w:rFonts w:ascii="Arial" w:hAnsi="Arial" w:cs="Arial"/>
          <w:i/>
          <w:lang w:val="es-CO"/>
        </w:rPr>
        <w:t>e 2002)</w:t>
      </w:r>
    </w:p>
    <w:p w14:paraId="0BDB3C46" w14:textId="77777777" w:rsidR="00B2442D" w:rsidRDefault="00B2442D">
      <w:pPr>
        <w:jc w:val="both"/>
        <w:rPr>
          <w:rFonts w:ascii="Arial" w:hAnsi="Arial" w:cs="Arial"/>
          <w:lang w:val="es-CO"/>
        </w:rPr>
      </w:pPr>
    </w:p>
    <w:p w14:paraId="74A40A77" w14:textId="77777777" w:rsidR="00B2442D" w:rsidRDefault="008A645F">
      <w:pPr>
        <w:pStyle w:val="Ttulo4"/>
      </w:pPr>
      <w:r>
        <w:t>CAPÍTULO 7</w:t>
      </w:r>
    </w:p>
    <w:p w14:paraId="54326A8B" w14:textId="77777777" w:rsidR="00B2442D" w:rsidRDefault="008A645F">
      <w:pPr>
        <w:pStyle w:val="Ttulo4"/>
      </w:pPr>
      <w:r>
        <w:t>Retención en la fuente a título de impuesto sobre la renta por concepto de dividendos o participaciones</w:t>
      </w:r>
    </w:p>
    <w:p w14:paraId="2D2E4551" w14:textId="77777777" w:rsidR="00B2442D" w:rsidRDefault="00B2442D">
      <w:pPr>
        <w:rPr>
          <w:rFonts w:ascii="Arial" w:hAnsi="Arial" w:cs="Arial"/>
        </w:rPr>
      </w:pPr>
    </w:p>
    <w:p w14:paraId="632600B3" w14:textId="77777777" w:rsidR="00B2442D" w:rsidRDefault="008A645F">
      <w:pPr>
        <w:pStyle w:val="Prrafodelista"/>
        <w:numPr>
          <w:ilvl w:val="0"/>
          <w:numId w:val="53"/>
        </w:numPr>
        <w:ind w:left="0" w:firstLine="0"/>
        <w:jc w:val="both"/>
        <w:rPr>
          <w:rFonts w:ascii="Arial" w:hAnsi="Arial" w:cs="Arial"/>
          <w:lang w:val="es-CO"/>
        </w:rPr>
      </w:pPr>
      <w:r>
        <w:rPr>
          <w:rFonts w:ascii="Arial" w:hAnsi="Arial" w:cs="Arial"/>
          <w:b/>
          <w:i/>
          <w:lang w:val="es-CO"/>
        </w:rPr>
        <w:t>Tarifa de retención en la fuente sobre dividendos o participaciones gravados.</w:t>
      </w:r>
      <w:r>
        <w:rPr>
          <w:rFonts w:ascii="Arial" w:hAnsi="Arial" w:cs="Arial"/>
          <w:lang w:val="es-CO"/>
        </w:rPr>
        <w:t xml:space="preserve"> Los pagos o abonos en cuenta por concepto de dividendos y participaciones, que se realicen a los socios, accionistas, comuneros, asociados, suscriptores o similares que sean declarantes del impuesto sobre la renta, en exceso del resultado previsto en el n</w:t>
      </w:r>
      <w:r>
        <w:rPr>
          <w:rFonts w:ascii="Arial" w:hAnsi="Arial" w:cs="Arial"/>
          <w:lang w:val="es-CO"/>
        </w:rPr>
        <w:t>umeral 1 en el Parágrafo 1° del artículo 49 del Estatuto Tributario, están sometidos a retención en la fuente a título de impuesto sobre la renta a la tarifa del veinte por ciento (20%).</w:t>
      </w:r>
    </w:p>
    <w:p w14:paraId="43F5CFC8" w14:textId="77777777" w:rsidR="00B2442D" w:rsidRDefault="00B2442D">
      <w:pPr>
        <w:jc w:val="both"/>
        <w:rPr>
          <w:rFonts w:ascii="Arial" w:hAnsi="Arial" w:cs="Arial"/>
          <w:lang w:val="es-CO"/>
        </w:rPr>
      </w:pPr>
    </w:p>
    <w:p w14:paraId="4831160E" w14:textId="77777777" w:rsidR="00B2442D" w:rsidRDefault="008A645F">
      <w:pPr>
        <w:jc w:val="both"/>
        <w:rPr>
          <w:rFonts w:ascii="Arial" w:hAnsi="Arial" w:cs="Arial"/>
          <w:lang w:val="es-CO"/>
        </w:rPr>
      </w:pPr>
      <w:r>
        <w:rPr>
          <w:rFonts w:ascii="Arial" w:hAnsi="Arial" w:cs="Arial"/>
          <w:lang w:val="es-CO"/>
        </w:rPr>
        <w:t xml:space="preserve">Cuando el beneficiario del pago o abono en cuenta sea una </w:t>
      </w:r>
      <w:r>
        <w:rPr>
          <w:rFonts w:ascii="Arial" w:hAnsi="Arial" w:cs="Arial"/>
          <w:lang w:val="es-CO"/>
        </w:rPr>
        <w:t>persona natural no obligada a presentar declaración de renta y complementario, la tarifa de retención en la fuente es del treinta y tres por ciento (33%).</w:t>
      </w:r>
    </w:p>
    <w:p w14:paraId="1E27EE3B" w14:textId="77777777" w:rsidR="00B2442D" w:rsidRDefault="00B2442D">
      <w:pPr>
        <w:jc w:val="both"/>
        <w:rPr>
          <w:rFonts w:ascii="Arial" w:hAnsi="Arial" w:cs="Arial"/>
          <w:lang w:val="es-CO"/>
        </w:rPr>
      </w:pPr>
    </w:p>
    <w:p w14:paraId="7CEB0A6C" w14:textId="77777777" w:rsidR="00B2442D" w:rsidRDefault="008A645F">
      <w:pPr>
        <w:jc w:val="both"/>
        <w:rPr>
          <w:rFonts w:ascii="Arial" w:hAnsi="Arial" w:cs="Arial"/>
          <w:lang w:val="es-CO"/>
        </w:rPr>
      </w:pPr>
      <w:r>
        <w:rPr>
          <w:rFonts w:ascii="Arial" w:hAnsi="Arial" w:cs="Arial"/>
          <w:lang w:val="es-CO"/>
        </w:rPr>
        <w:t>No obstante lo anterior, la tarifa de retención en la fuente por concepto de dividendos y participac</w:t>
      </w:r>
      <w:r>
        <w:rPr>
          <w:rFonts w:ascii="Arial" w:hAnsi="Arial" w:cs="Arial"/>
          <w:lang w:val="es-CO"/>
        </w:rPr>
        <w:t>iones, será del veinte por ciento (20%) cuando el valor individual o acumulado de los pagos o abonos en cuenta, a favor de personas naturales sea igual o superior a mil cuatrocientas (1.400) Unidades de Valor Tributario, UVT, durante el respectivo año grav</w:t>
      </w:r>
      <w:r>
        <w:rPr>
          <w:rFonts w:ascii="Arial" w:hAnsi="Arial" w:cs="Arial"/>
          <w:lang w:val="es-CO"/>
        </w:rPr>
        <w:t>able.</w:t>
      </w:r>
    </w:p>
    <w:p w14:paraId="5FFBCBE4" w14:textId="77777777" w:rsidR="00B2442D" w:rsidRDefault="00B2442D">
      <w:pPr>
        <w:jc w:val="both"/>
        <w:rPr>
          <w:rFonts w:ascii="Arial" w:hAnsi="Arial" w:cs="Arial"/>
          <w:lang w:val="es-CO"/>
        </w:rPr>
      </w:pPr>
    </w:p>
    <w:p w14:paraId="59C9D101" w14:textId="77777777" w:rsidR="00B2442D" w:rsidRDefault="008A645F">
      <w:pPr>
        <w:jc w:val="both"/>
        <w:rPr>
          <w:rFonts w:ascii="Arial" w:hAnsi="Arial" w:cs="Arial"/>
          <w:i/>
          <w:lang w:val="es-CO"/>
        </w:rPr>
      </w:pPr>
      <w:r>
        <w:rPr>
          <w:rFonts w:ascii="Arial" w:hAnsi="Arial" w:cs="Arial"/>
          <w:i/>
          <w:lang w:val="es-CO"/>
        </w:rPr>
        <w:t>(Art. 1, Decreto 567 de 2007. Parágrafo transitorio con pérdida de vigencia por agotamiento del plazo)</w:t>
      </w:r>
    </w:p>
    <w:p w14:paraId="2E63F1C6" w14:textId="77777777" w:rsidR="00B2442D" w:rsidRDefault="00B2442D">
      <w:pPr>
        <w:jc w:val="both"/>
        <w:rPr>
          <w:rFonts w:ascii="Arial" w:hAnsi="Arial" w:cs="Arial"/>
          <w:lang w:val="es-CO"/>
        </w:rPr>
      </w:pPr>
    </w:p>
    <w:p w14:paraId="4B3F0DAC" w14:textId="77777777" w:rsidR="00B2442D" w:rsidRDefault="008A645F">
      <w:pPr>
        <w:pStyle w:val="Prrafodelista"/>
        <w:numPr>
          <w:ilvl w:val="0"/>
          <w:numId w:val="53"/>
        </w:numPr>
        <w:ind w:left="0" w:firstLine="0"/>
        <w:jc w:val="both"/>
        <w:rPr>
          <w:rFonts w:ascii="Arial" w:hAnsi="Arial" w:cs="Arial"/>
          <w:lang w:val="es-CO"/>
        </w:rPr>
      </w:pPr>
      <w:r>
        <w:rPr>
          <w:rFonts w:ascii="Arial" w:hAnsi="Arial" w:cs="Arial"/>
          <w:b/>
          <w:i/>
          <w:lang w:val="es-CO"/>
        </w:rPr>
        <w:t>Retención en la fuente por realización de dividendos o participaciones en utilidades.</w:t>
      </w:r>
      <w:r>
        <w:rPr>
          <w:rFonts w:ascii="Arial" w:hAnsi="Arial" w:cs="Arial"/>
          <w:lang w:val="es-CO"/>
        </w:rPr>
        <w:t xml:space="preserve"> De conformidad con lo previsto en el artículo 245 del Estat</w:t>
      </w:r>
      <w:r>
        <w:rPr>
          <w:rFonts w:ascii="Arial" w:hAnsi="Arial" w:cs="Arial"/>
          <w:lang w:val="es-CO"/>
        </w:rPr>
        <w:t>uto Tributario, los dividendos y participaciones en las utilidades realizados en los términos de los artículos anteriores, percibidos por sociedades u otras entidades extranjeras, por personas naturales sin residencia en Colombia y por sucesiones ilíquidas</w:t>
      </w:r>
      <w:r>
        <w:rPr>
          <w:rFonts w:ascii="Arial" w:hAnsi="Arial" w:cs="Arial"/>
          <w:lang w:val="es-CO"/>
        </w:rPr>
        <w:t xml:space="preserve"> de causantes que no eran residentes en Colombia, que correspondan a utilidades que de haberse distribuido a un residente en el país hubieren estado gravadas de acuerdo con las reglas de los artículos 48 y 49 del Estatuto Tributario, están sometidos a rete</w:t>
      </w:r>
      <w:r>
        <w:rPr>
          <w:rFonts w:ascii="Arial" w:hAnsi="Arial" w:cs="Arial"/>
          <w:lang w:val="es-CO"/>
        </w:rPr>
        <w:t>nción en la fuente a título de impuesto sobre la renta a la tarifa del treinta y tres por ciento (33%).</w:t>
      </w:r>
    </w:p>
    <w:p w14:paraId="4CFC6A08" w14:textId="77777777" w:rsidR="00B2442D" w:rsidRDefault="00B2442D">
      <w:pPr>
        <w:jc w:val="both"/>
        <w:rPr>
          <w:rFonts w:ascii="Arial" w:hAnsi="Arial" w:cs="Arial"/>
          <w:lang w:val="es-CO"/>
        </w:rPr>
      </w:pPr>
    </w:p>
    <w:p w14:paraId="0A7C99FD" w14:textId="77777777" w:rsidR="00B2442D" w:rsidRDefault="008A645F">
      <w:pPr>
        <w:jc w:val="both"/>
        <w:rPr>
          <w:rFonts w:ascii="Arial" w:hAnsi="Arial" w:cs="Arial"/>
          <w:i/>
          <w:lang w:val="es-CO"/>
        </w:rPr>
      </w:pPr>
      <w:r>
        <w:rPr>
          <w:rFonts w:ascii="Arial" w:hAnsi="Arial" w:cs="Arial"/>
          <w:i/>
          <w:lang w:val="es-CO"/>
        </w:rPr>
        <w:t>(Art. 20, Decreto 3026 de 2013)</w:t>
      </w:r>
    </w:p>
    <w:p w14:paraId="692C33A8" w14:textId="77777777" w:rsidR="00B2442D" w:rsidRDefault="00B2442D">
      <w:pPr>
        <w:jc w:val="both"/>
        <w:rPr>
          <w:rFonts w:ascii="Arial" w:hAnsi="Arial" w:cs="Arial"/>
          <w:i/>
          <w:lang w:val="es-CO"/>
        </w:rPr>
      </w:pPr>
    </w:p>
    <w:p w14:paraId="5FC6AF70" w14:textId="77777777" w:rsidR="00B2442D" w:rsidRDefault="008A645F">
      <w:pPr>
        <w:pStyle w:val="Ttulo4"/>
      </w:pPr>
      <w:r>
        <w:t>CAPÍTULO 8</w:t>
      </w:r>
    </w:p>
    <w:p w14:paraId="64453BBE" w14:textId="77777777" w:rsidR="00B2442D" w:rsidRDefault="008A645F">
      <w:pPr>
        <w:pStyle w:val="Ttulo4"/>
      </w:pPr>
      <w:r>
        <w:t>Retención en la fuente a título de impuesto sobre la renta por concepto de ingresos por venta de casa o apa</w:t>
      </w:r>
      <w:r>
        <w:t>rtamento de habitación</w:t>
      </w:r>
    </w:p>
    <w:p w14:paraId="4F11E2FB" w14:textId="77777777" w:rsidR="00B2442D" w:rsidRDefault="00B2442D">
      <w:pPr>
        <w:rPr>
          <w:rFonts w:ascii="Arial" w:hAnsi="Arial" w:cs="Arial"/>
          <w:lang w:val="es-CO"/>
        </w:rPr>
      </w:pPr>
    </w:p>
    <w:p w14:paraId="7C3D93CB" w14:textId="77777777" w:rsidR="00B2442D" w:rsidRDefault="008A645F">
      <w:pPr>
        <w:pStyle w:val="Prrafodelista"/>
        <w:numPr>
          <w:ilvl w:val="0"/>
          <w:numId w:val="54"/>
        </w:numPr>
        <w:ind w:left="0" w:firstLine="0"/>
        <w:jc w:val="both"/>
        <w:rPr>
          <w:rFonts w:ascii="Arial" w:hAnsi="Arial" w:cs="Arial"/>
        </w:rPr>
      </w:pPr>
      <w:r>
        <w:rPr>
          <w:rFonts w:ascii="Arial" w:hAnsi="Arial" w:cs="Arial"/>
          <w:b/>
          <w:i/>
        </w:rPr>
        <w:t>Retención en la fuente en la venta de la casa o apartamento de habitación.</w:t>
      </w:r>
      <w:r>
        <w:rPr>
          <w:rFonts w:ascii="Arial" w:hAnsi="Arial" w:cs="Arial"/>
        </w:rPr>
        <w:t xml:space="preserve"> De acuerdo con el numeral 2 del artículo 369 del Estatuto Tributario, en la venta de la casa o apartamento de habitación del contribuyente que cumpla con tod</w:t>
      </w:r>
      <w:r>
        <w:rPr>
          <w:rFonts w:ascii="Arial" w:hAnsi="Arial" w:cs="Arial"/>
        </w:rPr>
        <w:t>os los requisitos señalados en el artículo 1.2.3.1 de este decreto, el Notario no efectuará la retención en la fuente a título de ganancia ocasional de que trata el artículo 398 del Estatuto Tributario.</w:t>
      </w:r>
    </w:p>
    <w:p w14:paraId="615BC011" w14:textId="77777777" w:rsidR="00B2442D" w:rsidRDefault="00B2442D">
      <w:pPr>
        <w:jc w:val="both"/>
        <w:rPr>
          <w:rFonts w:ascii="Arial" w:hAnsi="Arial" w:cs="Arial"/>
        </w:rPr>
      </w:pPr>
    </w:p>
    <w:p w14:paraId="17E4269E" w14:textId="77777777" w:rsidR="00B2442D" w:rsidRDefault="008A645F">
      <w:pPr>
        <w:jc w:val="both"/>
        <w:rPr>
          <w:rFonts w:ascii="Arial" w:hAnsi="Arial" w:cs="Arial"/>
        </w:rPr>
      </w:pPr>
      <w:r>
        <w:rPr>
          <w:rFonts w:ascii="Arial" w:hAnsi="Arial" w:cs="Arial"/>
        </w:rPr>
        <w:t>Para este fin, es requisito indispensable que la per</w:t>
      </w:r>
      <w:r>
        <w:rPr>
          <w:rFonts w:ascii="Arial" w:hAnsi="Arial" w:cs="Arial"/>
        </w:rPr>
        <w:t>sona natural que vende el bien inmueble, acredite lo siguiente:</w:t>
      </w:r>
    </w:p>
    <w:p w14:paraId="26AA3818" w14:textId="77777777" w:rsidR="00B2442D" w:rsidRDefault="00B2442D">
      <w:pPr>
        <w:jc w:val="both"/>
        <w:rPr>
          <w:rFonts w:ascii="Arial" w:hAnsi="Arial" w:cs="Arial"/>
        </w:rPr>
      </w:pPr>
    </w:p>
    <w:p w14:paraId="6B36A923" w14:textId="77777777" w:rsidR="00B2442D" w:rsidRDefault="008A645F">
      <w:pPr>
        <w:jc w:val="both"/>
        <w:rPr>
          <w:rFonts w:ascii="Arial" w:hAnsi="Arial" w:cs="Arial"/>
        </w:rPr>
      </w:pPr>
      <w:r>
        <w:rPr>
          <w:rFonts w:ascii="Arial" w:hAnsi="Arial" w:cs="Arial"/>
        </w:rPr>
        <w:t>1.</w:t>
      </w:r>
      <w:r>
        <w:rPr>
          <w:rFonts w:ascii="Arial" w:hAnsi="Arial" w:cs="Arial"/>
        </w:rPr>
        <w:tab/>
        <w:t>Certificado de Tradición y Libertad donde se evidencie que el vendedor ha poseído el bien inmueble por dos (2) años o más.</w:t>
      </w:r>
    </w:p>
    <w:p w14:paraId="2B039B4D" w14:textId="77777777" w:rsidR="00B2442D" w:rsidRDefault="00B2442D">
      <w:pPr>
        <w:jc w:val="both"/>
        <w:rPr>
          <w:rFonts w:ascii="Arial" w:hAnsi="Arial" w:cs="Arial"/>
        </w:rPr>
      </w:pPr>
    </w:p>
    <w:p w14:paraId="4469AEEA" w14:textId="77777777" w:rsidR="00B2442D" w:rsidRDefault="008A645F">
      <w:pPr>
        <w:jc w:val="both"/>
        <w:rPr>
          <w:rFonts w:ascii="Arial" w:hAnsi="Arial" w:cs="Arial"/>
        </w:rPr>
      </w:pPr>
      <w:r>
        <w:rPr>
          <w:rFonts w:ascii="Arial" w:hAnsi="Arial" w:cs="Arial"/>
        </w:rPr>
        <w:t>2.</w:t>
      </w:r>
      <w:r>
        <w:rPr>
          <w:rFonts w:ascii="Arial" w:hAnsi="Arial" w:cs="Arial"/>
        </w:rPr>
        <w:tab/>
        <w:t>Declaración o factura del impuesto predial unificado correspo</w:t>
      </w:r>
      <w:r>
        <w:rPr>
          <w:rFonts w:ascii="Arial" w:hAnsi="Arial" w:cs="Arial"/>
        </w:rPr>
        <w:t>ndiente al año gravable de la escritura pública de compraventa, donde se evidencie que el valor del avalúo catastral o auto avalúo sea igual o inferior a quince mil (15.000) UVT.</w:t>
      </w:r>
    </w:p>
    <w:p w14:paraId="25682DF6" w14:textId="77777777" w:rsidR="00B2442D" w:rsidRDefault="00B2442D">
      <w:pPr>
        <w:jc w:val="both"/>
        <w:rPr>
          <w:rFonts w:ascii="Arial" w:hAnsi="Arial" w:cs="Arial"/>
        </w:rPr>
      </w:pPr>
    </w:p>
    <w:p w14:paraId="28B7FFE0" w14:textId="77777777" w:rsidR="00B2442D" w:rsidRDefault="008A645F">
      <w:pPr>
        <w:jc w:val="both"/>
        <w:rPr>
          <w:rFonts w:ascii="Arial" w:hAnsi="Arial" w:cs="Arial"/>
        </w:rPr>
      </w:pPr>
      <w:r>
        <w:rPr>
          <w:rFonts w:ascii="Arial" w:hAnsi="Arial" w:cs="Arial"/>
        </w:rPr>
        <w:t>3.</w:t>
      </w:r>
      <w:r>
        <w:rPr>
          <w:rFonts w:ascii="Arial" w:hAnsi="Arial" w:cs="Arial"/>
        </w:rPr>
        <w:tab/>
        <w:t xml:space="preserve">Si los recursos se depositaron o se van a depositar en una o más Cuentas </w:t>
      </w:r>
      <w:r>
        <w:rPr>
          <w:rFonts w:ascii="Arial" w:hAnsi="Arial" w:cs="Arial"/>
        </w:rPr>
        <w:t>de Ahorro para el Fomento de la Construcción (AFC), se deberá acreditar alguno y/o ambos de los siguientes requisitos:</w:t>
      </w:r>
    </w:p>
    <w:p w14:paraId="35DFEF1F" w14:textId="77777777" w:rsidR="00B2442D" w:rsidRDefault="00B2442D">
      <w:pPr>
        <w:jc w:val="both"/>
        <w:rPr>
          <w:rFonts w:ascii="Arial" w:hAnsi="Arial" w:cs="Arial"/>
        </w:rPr>
      </w:pPr>
    </w:p>
    <w:p w14:paraId="6AE53B52" w14:textId="77777777" w:rsidR="00B2442D" w:rsidRDefault="008A645F">
      <w:pPr>
        <w:jc w:val="both"/>
        <w:rPr>
          <w:rFonts w:ascii="Arial" w:hAnsi="Arial" w:cs="Arial"/>
        </w:rPr>
      </w:pPr>
      <w:r>
        <w:rPr>
          <w:rFonts w:ascii="Arial" w:hAnsi="Arial" w:cs="Arial"/>
        </w:rPr>
        <w:t xml:space="preserve">a) </w:t>
      </w:r>
      <w:r>
        <w:rPr>
          <w:rFonts w:ascii="Arial" w:hAnsi="Arial" w:cs="Arial"/>
        </w:rPr>
        <w:tab/>
        <w:t>Comprobante de consignación en la Cuenta de Ahorro para el Fomento de la Construcción (AFC);</w:t>
      </w:r>
    </w:p>
    <w:p w14:paraId="7721A86E" w14:textId="77777777" w:rsidR="00B2442D" w:rsidRDefault="00B2442D">
      <w:pPr>
        <w:jc w:val="both"/>
        <w:rPr>
          <w:rFonts w:ascii="Arial" w:hAnsi="Arial" w:cs="Arial"/>
        </w:rPr>
      </w:pPr>
    </w:p>
    <w:p w14:paraId="614776AD" w14:textId="77777777" w:rsidR="00B2442D" w:rsidRDefault="008A645F">
      <w:pPr>
        <w:jc w:val="both"/>
        <w:rPr>
          <w:rFonts w:ascii="Arial" w:hAnsi="Arial" w:cs="Arial"/>
        </w:rPr>
      </w:pPr>
      <w:r>
        <w:rPr>
          <w:rFonts w:ascii="Arial" w:hAnsi="Arial" w:cs="Arial"/>
        </w:rPr>
        <w:t xml:space="preserve">b) </w:t>
      </w:r>
      <w:r>
        <w:rPr>
          <w:rFonts w:ascii="Arial" w:hAnsi="Arial" w:cs="Arial"/>
        </w:rPr>
        <w:tab/>
        <w:t xml:space="preserve">Carta de </w:t>
      </w:r>
      <w:r>
        <w:rPr>
          <w:rFonts w:ascii="Arial" w:hAnsi="Arial" w:cs="Arial"/>
        </w:rPr>
        <w:t>instrucciones de carácter irrevocable por parte del vendedor ordenando al pagador que los dineros sean transferidos o depositados directamente a la respectiva Cuenta de Ahorro para el Fomento de la Construcción (AFC), caso en el cual se indicará la informa</w:t>
      </w:r>
      <w:r>
        <w:rPr>
          <w:rFonts w:ascii="Arial" w:hAnsi="Arial" w:cs="Arial"/>
        </w:rPr>
        <w:t>ción detallada de la cuenta. Esta carta de instrucción debe formar parte de la protocolización de la Escritura Pública de compraventa.</w:t>
      </w:r>
    </w:p>
    <w:p w14:paraId="0DA0A849" w14:textId="77777777" w:rsidR="00B2442D" w:rsidRDefault="00B2442D">
      <w:pPr>
        <w:jc w:val="both"/>
        <w:rPr>
          <w:rFonts w:ascii="Arial" w:hAnsi="Arial" w:cs="Arial"/>
        </w:rPr>
      </w:pPr>
    </w:p>
    <w:p w14:paraId="6764BF66" w14:textId="77777777" w:rsidR="00B2442D" w:rsidRDefault="008A645F">
      <w:pPr>
        <w:jc w:val="both"/>
        <w:rPr>
          <w:rFonts w:ascii="Arial" w:hAnsi="Arial" w:cs="Arial"/>
        </w:rPr>
      </w:pPr>
      <w:r>
        <w:rPr>
          <w:rFonts w:ascii="Arial" w:hAnsi="Arial" w:cs="Arial"/>
        </w:rPr>
        <w:t>4.</w:t>
      </w:r>
      <w:r>
        <w:rPr>
          <w:rFonts w:ascii="Arial" w:hAnsi="Arial" w:cs="Arial"/>
        </w:rPr>
        <w:tab/>
        <w:t>Comprobantes o recibos de pago por medio de los cuales se acredite el pago total o parcial de uno o más créditos hipo</w:t>
      </w:r>
      <w:r>
        <w:rPr>
          <w:rFonts w:ascii="Arial" w:hAnsi="Arial" w:cs="Arial"/>
        </w:rPr>
        <w:t>tecarios vinculados directamente con la casa o apartamento de habitación objeto de la venta, en caso de que se hubiese destinado parte o la totalidad del dinero de la venta al pago de uno o varios créditos.</w:t>
      </w:r>
    </w:p>
    <w:p w14:paraId="1F0FA5D1" w14:textId="77777777" w:rsidR="00B2442D" w:rsidRDefault="00B2442D">
      <w:pPr>
        <w:jc w:val="both"/>
        <w:rPr>
          <w:rFonts w:ascii="Arial" w:hAnsi="Arial" w:cs="Arial"/>
        </w:rPr>
      </w:pPr>
    </w:p>
    <w:p w14:paraId="3658FCC5"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En todo caso, la sumatoria de los dep</w:t>
      </w:r>
      <w:r>
        <w:rPr>
          <w:rFonts w:ascii="Arial" w:hAnsi="Arial" w:cs="Arial"/>
        </w:rPr>
        <w:t>ósitos en las Cuentas de Ahorro para el Fomento de la Construcción (AFC), y los pagos a los créditos hipotecarios debe coincidir con la totalidad del valor de la venta del bien inmueble.</w:t>
      </w:r>
    </w:p>
    <w:p w14:paraId="0EE5F41A" w14:textId="77777777" w:rsidR="00B2442D" w:rsidRDefault="00B2442D">
      <w:pPr>
        <w:jc w:val="both"/>
        <w:rPr>
          <w:rFonts w:ascii="Arial" w:hAnsi="Arial" w:cs="Arial"/>
        </w:rPr>
      </w:pPr>
    </w:p>
    <w:p w14:paraId="26D23774" w14:textId="77777777" w:rsidR="00B2442D" w:rsidRDefault="008A645F">
      <w:pPr>
        <w:jc w:val="both"/>
        <w:rPr>
          <w:rFonts w:ascii="Arial" w:hAnsi="Arial" w:cs="Arial"/>
          <w:i/>
          <w:lang w:val="es-ES_tradnl"/>
        </w:rPr>
      </w:pPr>
      <w:r>
        <w:rPr>
          <w:rFonts w:ascii="Arial" w:hAnsi="Arial" w:cs="Arial"/>
          <w:i/>
          <w:lang w:val="es-ES_tradnl"/>
        </w:rPr>
        <w:t>(Art. 2, Decreto 2344 de 2014)</w:t>
      </w:r>
    </w:p>
    <w:p w14:paraId="69A624D8" w14:textId="77777777" w:rsidR="00B2442D" w:rsidRDefault="00B2442D">
      <w:pPr>
        <w:jc w:val="both"/>
        <w:rPr>
          <w:rFonts w:ascii="Arial" w:hAnsi="Arial" w:cs="Arial"/>
          <w:i/>
          <w:lang w:val="es-CO"/>
        </w:rPr>
      </w:pPr>
    </w:p>
    <w:p w14:paraId="25E06C27" w14:textId="77777777" w:rsidR="00B2442D" w:rsidRDefault="008A645F">
      <w:pPr>
        <w:pStyle w:val="Ttulo4"/>
      </w:pPr>
      <w:r>
        <w:t>CAPÍTULO 9</w:t>
      </w:r>
    </w:p>
    <w:p w14:paraId="2DA1ED69" w14:textId="77777777" w:rsidR="00B2442D" w:rsidRDefault="008A645F">
      <w:pPr>
        <w:pStyle w:val="Ttulo4"/>
      </w:pPr>
      <w:r>
        <w:t xml:space="preserve">Retención en la fuente a </w:t>
      </w:r>
      <w:r>
        <w:t>título de impuesto sobre la renta por concepto de otros ingresos</w:t>
      </w:r>
    </w:p>
    <w:p w14:paraId="381D956F" w14:textId="77777777" w:rsidR="00B2442D" w:rsidRDefault="00B2442D">
      <w:pPr>
        <w:rPr>
          <w:rFonts w:ascii="Arial" w:hAnsi="Arial" w:cs="Arial"/>
          <w:lang w:val="es-CO"/>
        </w:rPr>
      </w:pPr>
    </w:p>
    <w:p w14:paraId="61FA9751" w14:textId="77777777" w:rsidR="00B2442D" w:rsidRDefault="008A645F">
      <w:pPr>
        <w:pStyle w:val="Prrafodelista"/>
        <w:numPr>
          <w:ilvl w:val="0"/>
          <w:numId w:val="55"/>
        </w:numPr>
        <w:spacing w:line="40" w:lineRule="atLeast"/>
        <w:ind w:left="0" w:firstLine="0"/>
        <w:jc w:val="both"/>
        <w:rPr>
          <w:rFonts w:ascii="Arial" w:hAnsi="Arial" w:cs="Arial"/>
          <w:lang w:val="es-CO"/>
        </w:rPr>
      </w:pPr>
      <w:r>
        <w:rPr>
          <w:rFonts w:ascii="Arial" w:hAnsi="Arial" w:cs="Arial"/>
          <w:b/>
          <w:i/>
          <w:lang w:val="es-CO"/>
        </w:rPr>
        <w:t>Retención en la fuente por otros ingresos.</w:t>
      </w:r>
      <w:r>
        <w:rPr>
          <w:rFonts w:ascii="Arial" w:hAnsi="Arial" w:cs="Arial"/>
          <w:lang w:val="es-CO"/>
        </w:rPr>
        <w:t xml:space="preserve"> A partir del 27 de junio de 1985 (Fecha de publicación del Decreto 1512 de 1985, D. O. 37030), todos los pagos o abonos en cuenta, susceptibles de constituir ingreso tributario para quien los recibe, que efectúen las personas jurídicas, sociedades de hech</w:t>
      </w:r>
      <w:r>
        <w:rPr>
          <w:rFonts w:ascii="Arial" w:hAnsi="Arial" w:cs="Arial"/>
          <w:lang w:val="es-CO"/>
        </w:rPr>
        <w:t>o, las demás entidades y personas naturales que tengan la calidad de agentes retenedores por conceptos que al 27 de junio de 1985 (D. O. 37030) no estuvieren sometidos a retención en la fuente, deberán someterse a una retención del dos punto cinco por cien</w:t>
      </w:r>
      <w:r>
        <w:rPr>
          <w:rFonts w:ascii="Arial" w:hAnsi="Arial" w:cs="Arial"/>
          <w:lang w:val="es-CO"/>
        </w:rPr>
        <w:t>to (2.5%) sobre el valor total del pago o abono en cuenta.</w:t>
      </w:r>
    </w:p>
    <w:p w14:paraId="658BF004" w14:textId="77777777" w:rsidR="00B2442D" w:rsidRDefault="00B2442D">
      <w:pPr>
        <w:pStyle w:val="Prrafodelista"/>
        <w:spacing w:line="40" w:lineRule="atLeast"/>
        <w:ind w:left="0"/>
        <w:jc w:val="both"/>
        <w:rPr>
          <w:rFonts w:ascii="Arial" w:hAnsi="Arial" w:cs="Arial"/>
          <w:lang w:val="es-CO"/>
        </w:rPr>
      </w:pPr>
    </w:p>
    <w:p w14:paraId="4483B161" w14:textId="77777777" w:rsidR="00B2442D" w:rsidRDefault="008A645F">
      <w:pPr>
        <w:spacing w:line="40" w:lineRule="atLeast"/>
        <w:jc w:val="both"/>
        <w:rPr>
          <w:rFonts w:ascii="Arial" w:hAnsi="Arial" w:cs="Arial"/>
          <w:lang w:val="es-CO"/>
        </w:rPr>
      </w:pPr>
      <w:r>
        <w:rPr>
          <w:rFonts w:ascii="Arial" w:hAnsi="Arial" w:cs="Arial"/>
          <w:lang w:val="es-CO"/>
        </w:rPr>
        <w:t>Cuando el pago o abono en cuenta corresponda a contratos de construcción o urbanización, la retención prevista en este artículo será del dos por ciento (2.0%). Cuando el pago o abono en cuenta cor</w:t>
      </w:r>
      <w:r>
        <w:rPr>
          <w:rFonts w:ascii="Arial" w:hAnsi="Arial" w:cs="Arial"/>
          <w:lang w:val="es-CO"/>
        </w:rPr>
        <w:t>responda a la adquisición de vehículos la retención prevista en este artículo será del uno por ciento (1.0%).</w:t>
      </w:r>
    </w:p>
    <w:p w14:paraId="0B38AD9C" w14:textId="77777777" w:rsidR="00B2442D" w:rsidRDefault="00B2442D">
      <w:pPr>
        <w:spacing w:line="40" w:lineRule="atLeast"/>
        <w:jc w:val="both"/>
        <w:rPr>
          <w:rFonts w:ascii="Arial" w:hAnsi="Arial" w:cs="Arial"/>
          <w:lang w:val="es-CO"/>
        </w:rPr>
      </w:pPr>
    </w:p>
    <w:p w14:paraId="1868E535" w14:textId="77777777" w:rsidR="00B2442D" w:rsidRDefault="008A645F">
      <w:pPr>
        <w:spacing w:line="40" w:lineRule="atLeast"/>
        <w:jc w:val="both"/>
        <w:rPr>
          <w:rFonts w:ascii="Arial" w:hAnsi="Arial" w:cs="Arial"/>
          <w:lang w:val="es-CO"/>
        </w:rPr>
      </w:pPr>
      <w:r>
        <w:rPr>
          <w:rFonts w:ascii="Arial" w:hAnsi="Arial" w:cs="Arial"/>
          <w:lang w:val="es-CO"/>
        </w:rPr>
        <w:t>Cuando el pago o abono en cuenta corresponda a la adquisición de bienes raíces cuya destinación y uso sea vivienda de habitación, la retención pr</w:t>
      </w:r>
      <w:r>
        <w:rPr>
          <w:rFonts w:ascii="Arial" w:hAnsi="Arial" w:cs="Arial"/>
          <w:lang w:val="es-CO"/>
        </w:rPr>
        <w:t>evista en este artículo será del uno por ciento (1%) por las primeras veinte mil (20.000) UVT. Para el exceso de dicho monto, la tarifa de retención será del dos punto cinco por ciento (2.5%). Cuando el pago o abono en cuenta corresponda a la adquisición d</w:t>
      </w:r>
      <w:r>
        <w:rPr>
          <w:rFonts w:ascii="Arial" w:hAnsi="Arial" w:cs="Arial"/>
          <w:lang w:val="es-CO"/>
        </w:rPr>
        <w:t>e bienes raíces cuya destinación y uso sean distintos a vivienda de habitación, la retención prevista en este artículo será del dos punto cinco por ciento (2.5%).</w:t>
      </w:r>
    </w:p>
    <w:p w14:paraId="0B2DEA30" w14:textId="77777777" w:rsidR="00B2442D" w:rsidRDefault="00B2442D">
      <w:pPr>
        <w:spacing w:line="40" w:lineRule="atLeast"/>
        <w:jc w:val="both"/>
        <w:rPr>
          <w:rFonts w:ascii="Arial" w:hAnsi="Arial" w:cs="Arial"/>
          <w:lang w:val="es-CO"/>
        </w:rPr>
      </w:pPr>
    </w:p>
    <w:p w14:paraId="7B7DF54C" w14:textId="77777777" w:rsidR="00B2442D" w:rsidRDefault="008A645F">
      <w:pPr>
        <w:widowControl w:val="0"/>
        <w:autoSpaceDE w:val="0"/>
        <w:autoSpaceDN w:val="0"/>
        <w:adjustRightInd w:val="0"/>
        <w:spacing w:line="40" w:lineRule="atLeast"/>
        <w:jc w:val="both"/>
        <w:rPr>
          <w:rFonts w:ascii="Arial" w:hAnsi="Arial" w:cs="Arial"/>
          <w:lang w:val="es-CO"/>
        </w:rPr>
      </w:pPr>
      <w:r>
        <w:rPr>
          <w:rFonts w:ascii="Arial" w:hAnsi="Arial" w:cs="Arial"/>
          <w:lang w:val="es-CO"/>
        </w:rPr>
        <w:t>Se exceptúan de la retención prevista en este artículo los siguientes pagos o abonos en cuen</w:t>
      </w:r>
      <w:r>
        <w:rPr>
          <w:rFonts w:ascii="Arial" w:hAnsi="Arial" w:cs="Arial"/>
          <w:lang w:val="es-CO"/>
        </w:rPr>
        <w:t>ta:</w:t>
      </w:r>
    </w:p>
    <w:p w14:paraId="2A3857DA" w14:textId="77777777" w:rsidR="00B2442D" w:rsidRDefault="00B2442D">
      <w:pPr>
        <w:widowControl w:val="0"/>
        <w:autoSpaceDE w:val="0"/>
        <w:autoSpaceDN w:val="0"/>
        <w:adjustRightInd w:val="0"/>
        <w:spacing w:line="40" w:lineRule="atLeast"/>
        <w:jc w:val="both"/>
        <w:rPr>
          <w:rFonts w:ascii="Arial" w:hAnsi="Arial" w:cs="Arial"/>
          <w:lang w:val="es-CO"/>
        </w:rPr>
      </w:pPr>
    </w:p>
    <w:p w14:paraId="4E8F07C2"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se hagan a favor de personas o entidades no contribuyentes del impuesto sobre la renta;</w:t>
      </w:r>
    </w:p>
    <w:p w14:paraId="602974D7"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 xml:space="preserve">Los que correspondan a la cancelación de pasivos, al otorgamiento de préstamos o a reembolsos de capital; </w:t>
      </w:r>
    </w:p>
    <w:p w14:paraId="3174545E"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correspondan a participaciones en sociedades de responsabilidad limitada o asimiladas;</w:t>
      </w:r>
    </w:p>
    <w:p w14:paraId="56D56214"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correspondan a la adquisición de acciones, der</w:t>
      </w:r>
      <w:r>
        <w:rPr>
          <w:rFonts w:ascii="Arial" w:hAnsi="Arial" w:cs="Arial"/>
          <w:lang w:val="es-CO"/>
        </w:rPr>
        <w:t>echos sociales, títulos valores y similares;</w:t>
      </w:r>
    </w:p>
    <w:p w14:paraId="5320817D"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para el beneficiario no constituyan ingreso de fuente nacional;</w:t>
      </w:r>
    </w:p>
    <w:p w14:paraId="21148BA7"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se hagan a los fondos ganaderos;</w:t>
      </w:r>
    </w:p>
    <w:p w14:paraId="2C3E4715"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Las indemnizaciones por seguros de vida, muerte daño en la parte correspondiente al daño emergente</w:t>
      </w:r>
      <w:r>
        <w:rPr>
          <w:rFonts w:ascii="Arial" w:hAnsi="Arial" w:cs="Arial"/>
          <w:lang w:val="es-CO"/>
        </w:rPr>
        <w:t>;</w:t>
      </w:r>
    </w:p>
    <w:p w14:paraId="6C39BA0E"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correspondan a sorteos por grupos cerrados de títulos de capitalización;</w:t>
      </w:r>
    </w:p>
    <w:p w14:paraId="7DA3AB96" w14:textId="77777777" w:rsidR="00B2442D" w:rsidRDefault="008A645F">
      <w:pPr>
        <w:pStyle w:val="Prrafodelista"/>
        <w:widowControl w:val="0"/>
        <w:numPr>
          <w:ilvl w:val="0"/>
          <w:numId w:val="2"/>
        </w:numPr>
        <w:autoSpaceDE w:val="0"/>
        <w:autoSpaceDN w:val="0"/>
        <w:adjustRightInd w:val="0"/>
        <w:spacing w:line="40" w:lineRule="atLeast"/>
        <w:ind w:left="426" w:hanging="426"/>
        <w:jc w:val="both"/>
        <w:rPr>
          <w:rFonts w:ascii="Arial" w:hAnsi="Arial" w:cs="Arial"/>
          <w:lang w:val="es-CO"/>
        </w:rPr>
      </w:pPr>
      <w:r>
        <w:rPr>
          <w:rFonts w:ascii="Arial" w:hAnsi="Arial" w:cs="Arial"/>
          <w:lang w:val="es-CO"/>
        </w:rPr>
        <w:t>Los que tengan una cuantía inferior a veintisiete (27) UVT.</w:t>
      </w:r>
    </w:p>
    <w:p w14:paraId="0AFA871E" w14:textId="77777777" w:rsidR="00B2442D" w:rsidRDefault="00B2442D">
      <w:pPr>
        <w:ind w:left="426" w:hanging="426"/>
        <w:jc w:val="both"/>
        <w:rPr>
          <w:rFonts w:ascii="Arial" w:hAnsi="Arial" w:cs="Arial"/>
          <w:lang w:val="es-CO"/>
        </w:rPr>
      </w:pPr>
    </w:p>
    <w:p w14:paraId="481E337C" w14:textId="77777777" w:rsidR="00B2442D" w:rsidRDefault="008A645F">
      <w:pPr>
        <w:autoSpaceDE w:val="0"/>
        <w:autoSpaceDN w:val="0"/>
        <w:adjustRightInd w:val="0"/>
        <w:spacing w:line="40" w:lineRule="atLeast"/>
        <w:jc w:val="both"/>
        <w:rPr>
          <w:rFonts w:ascii="Arial" w:hAnsi="Arial" w:cs="Arial"/>
          <w:lang w:val="es-CO"/>
        </w:rPr>
      </w:pPr>
      <w:r>
        <w:rPr>
          <w:rFonts w:ascii="Arial" w:hAnsi="Arial" w:cs="Arial"/>
          <w:lang w:val="es-CO"/>
        </w:rPr>
        <w:t>Los pagos o abonos en cuenta que correspondan a estos conceptos, para los cuales existan tarifas de retención en</w:t>
      </w:r>
      <w:r>
        <w:rPr>
          <w:rFonts w:ascii="Arial" w:hAnsi="Arial" w:cs="Arial"/>
          <w:lang w:val="es-CO"/>
        </w:rPr>
        <w:t xml:space="preserve"> la fuente, señaladas en disposiciones especiales, seguirán rigiéndose por dichas tarifas.</w:t>
      </w:r>
    </w:p>
    <w:p w14:paraId="49A9EE9E" w14:textId="77777777" w:rsidR="00B2442D" w:rsidRDefault="00B2442D">
      <w:pPr>
        <w:autoSpaceDE w:val="0"/>
        <w:autoSpaceDN w:val="0"/>
        <w:adjustRightInd w:val="0"/>
        <w:spacing w:line="40" w:lineRule="atLeast"/>
        <w:jc w:val="both"/>
        <w:rPr>
          <w:rFonts w:ascii="Arial" w:hAnsi="Arial" w:cs="Arial"/>
          <w:lang w:val="es-CO"/>
        </w:rPr>
      </w:pPr>
    </w:p>
    <w:p w14:paraId="173403AF" w14:textId="77777777" w:rsidR="00B2442D" w:rsidRDefault="008A645F">
      <w:pPr>
        <w:autoSpaceDE w:val="0"/>
        <w:autoSpaceDN w:val="0"/>
        <w:adjustRightInd w:val="0"/>
        <w:spacing w:line="40" w:lineRule="atLeast"/>
        <w:jc w:val="both"/>
        <w:rPr>
          <w:rFonts w:ascii="Arial" w:hAnsi="Arial" w:cs="Arial"/>
          <w:lang w:val="es-CO"/>
        </w:rPr>
      </w:pPr>
      <w:r>
        <w:rPr>
          <w:rFonts w:ascii="Arial" w:hAnsi="Arial" w:cs="Arial"/>
          <w:b/>
          <w:lang w:val="es-CO"/>
        </w:rPr>
        <w:t>Parágrafo 1°.</w:t>
      </w:r>
      <w:r>
        <w:rPr>
          <w:rFonts w:ascii="Arial" w:hAnsi="Arial" w:cs="Arial"/>
          <w:lang w:val="es-CO"/>
        </w:rPr>
        <w:t xml:space="preserve"> Cuando los pagos o abonos en cuenta incorporen el valor de impuestos, tasas y contribuciones, para calcular la base de retención en la fuente se desco</w:t>
      </w:r>
      <w:r>
        <w:rPr>
          <w:rFonts w:ascii="Arial" w:hAnsi="Arial" w:cs="Arial"/>
          <w:lang w:val="es-CO"/>
        </w:rPr>
        <w:t>ntará el valor de los impuestos, tasas y contribuciones incorporados, siempre que los beneficiarios de dichos pagos o abonos tengan la calidad de responsables o recaudadores de los mismos. También se descontará de la base el valor de las propinas incluidas</w:t>
      </w:r>
      <w:r>
        <w:rPr>
          <w:rFonts w:ascii="Arial" w:hAnsi="Arial" w:cs="Arial"/>
          <w:lang w:val="es-CO"/>
        </w:rPr>
        <w:t xml:space="preserve"> en las sumas a pagar.</w:t>
      </w:r>
    </w:p>
    <w:p w14:paraId="417E13B6" w14:textId="77777777" w:rsidR="00B2442D" w:rsidRDefault="00B2442D">
      <w:pPr>
        <w:autoSpaceDE w:val="0"/>
        <w:autoSpaceDN w:val="0"/>
        <w:adjustRightInd w:val="0"/>
        <w:spacing w:line="40" w:lineRule="atLeast"/>
        <w:jc w:val="both"/>
        <w:rPr>
          <w:rFonts w:ascii="Arial" w:hAnsi="Arial" w:cs="Arial"/>
          <w:lang w:val="es-CO"/>
        </w:rPr>
      </w:pPr>
    </w:p>
    <w:p w14:paraId="1CC6FD5E" w14:textId="77777777" w:rsidR="00B2442D" w:rsidRDefault="008A645F">
      <w:pPr>
        <w:autoSpaceDE w:val="0"/>
        <w:autoSpaceDN w:val="0"/>
        <w:adjustRightInd w:val="0"/>
        <w:spacing w:line="40" w:lineRule="atLeast"/>
        <w:jc w:val="both"/>
        <w:rPr>
          <w:rFonts w:ascii="Arial" w:hAnsi="Arial" w:cs="Arial"/>
          <w:lang w:val="es-CO"/>
        </w:rPr>
      </w:pPr>
      <w:r>
        <w:rPr>
          <w:rFonts w:ascii="Arial" w:hAnsi="Arial" w:cs="Arial"/>
          <w:b/>
          <w:lang w:val="es-CO"/>
        </w:rPr>
        <w:t>Parágrafo 2°.</w:t>
      </w:r>
      <w:r>
        <w:rPr>
          <w:rFonts w:ascii="Arial" w:hAnsi="Arial" w:cs="Arial"/>
          <w:lang w:val="es-CO"/>
        </w:rPr>
        <w:t xml:space="preserve"> Sin perjuicio de las disposiciones especiales previstas para otros impuestos, los ingresos provenientes de las operaciones realizadas a través de instrumentos financieros derivados, estarán sometidos a una tarifa de re</w:t>
      </w:r>
      <w:r>
        <w:rPr>
          <w:rFonts w:ascii="Arial" w:hAnsi="Arial" w:cs="Arial"/>
          <w:lang w:val="es-CO"/>
        </w:rPr>
        <w:t>tención en la fuente a título del impuesto sobre la renta del dos punto cinco por ciento (2.5%).</w:t>
      </w:r>
    </w:p>
    <w:p w14:paraId="18F2C73B" w14:textId="77777777" w:rsidR="00B2442D" w:rsidRDefault="00B2442D">
      <w:pPr>
        <w:jc w:val="both"/>
        <w:rPr>
          <w:rFonts w:ascii="Arial" w:hAnsi="Arial" w:cs="Arial"/>
          <w:lang w:val="es-CO"/>
        </w:rPr>
      </w:pPr>
    </w:p>
    <w:p w14:paraId="34D1F23C" w14:textId="77777777" w:rsidR="00B2442D" w:rsidRDefault="008A645F">
      <w:pPr>
        <w:autoSpaceDE w:val="0"/>
        <w:autoSpaceDN w:val="0"/>
        <w:adjustRightInd w:val="0"/>
        <w:spacing w:line="40" w:lineRule="atLeast"/>
        <w:jc w:val="both"/>
        <w:rPr>
          <w:rFonts w:ascii="Arial" w:hAnsi="Arial" w:cs="Arial"/>
          <w:lang w:val="es-CO"/>
        </w:rPr>
      </w:pPr>
      <w:r>
        <w:rPr>
          <w:rFonts w:ascii="Arial" w:hAnsi="Arial" w:cs="Arial"/>
          <w:lang w:val="es-CO"/>
        </w:rPr>
        <w:t>Cuando el pago o abono en cuenta corresponda a contratos de construcción o urbanización, la retención prevista en este artículo será del dos por ciento (2.0%)</w:t>
      </w:r>
      <w:r>
        <w:rPr>
          <w:rFonts w:ascii="Arial" w:hAnsi="Arial" w:cs="Arial"/>
          <w:lang w:val="es-CO"/>
        </w:rPr>
        <w:t>. Cuando el pago o abono en cuenta corresponda a la adquisición de vehículos la retención prevista en este artículo será del uno por ciento (1.0%).</w:t>
      </w:r>
    </w:p>
    <w:p w14:paraId="7546AC6E" w14:textId="77777777" w:rsidR="00B2442D" w:rsidRDefault="00B2442D">
      <w:pPr>
        <w:autoSpaceDE w:val="0"/>
        <w:autoSpaceDN w:val="0"/>
        <w:adjustRightInd w:val="0"/>
        <w:spacing w:line="40" w:lineRule="atLeast"/>
        <w:jc w:val="both"/>
        <w:rPr>
          <w:rFonts w:ascii="Arial" w:hAnsi="Arial" w:cs="Arial"/>
          <w:lang w:val="es-CO"/>
        </w:rPr>
      </w:pPr>
    </w:p>
    <w:p w14:paraId="3351E07D" w14:textId="77777777" w:rsidR="00B2442D" w:rsidRDefault="008A645F">
      <w:pPr>
        <w:spacing w:line="40" w:lineRule="atLeast"/>
        <w:jc w:val="both"/>
        <w:rPr>
          <w:rFonts w:ascii="Arial" w:hAnsi="Arial" w:cs="Arial"/>
          <w:lang w:val="es-CO"/>
        </w:rPr>
      </w:pPr>
      <w:r>
        <w:rPr>
          <w:rFonts w:ascii="Arial" w:hAnsi="Arial" w:cs="Arial"/>
          <w:lang w:val="es-CO"/>
        </w:rPr>
        <w:t>Cuando el pago o abono en cuenta corresponda a la adquisición de bienes raíces cuya destinación y uso sea v</w:t>
      </w:r>
      <w:r>
        <w:rPr>
          <w:rFonts w:ascii="Arial" w:hAnsi="Arial" w:cs="Arial"/>
          <w:lang w:val="es-CO"/>
        </w:rPr>
        <w:t>ivienda de habitación, la retención prevista en este artículo será del uno por ciento (1%) por las primeras veinte mil (20.000) UVT. Para el exceso de dicho monto, la tarifa de retención será del dos punto cinco por ciento (2.5%). Cuando el pago o abono en</w:t>
      </w:r>
      <w:r>
        <w:rPr>
          <w:rFonts w:ascii="Arial" w:hAnsi="Arial" w:cs="Arial"/>
          <w:lang w:val="es-CO"/>
        </w:rPr>
        <w:t xml:space="preserve"> cuenta corresponda a la adquisición de bienes raíces cuya destinación y uso sean distintos a vivienda de habitación, la retención prevista en este artículo será del dos punto cinco por ciento (2.5%).</w:t>
      </w:r>
    </w:p>
    <w:p w14:paraId="671DDDDF" w14:textId="77777777" w:rsidR="00B2442D" w:rsidRDefault="00B2442D">
      <w:pPr>
        <w:spacing w:line="40" w:lineRule="atLeast"/>
        <w:jc w:val="both"/>
        <w:rPr>
          <w:rFonts w:ascii="Arial" w:hAnsi="Arial" w:cs="Arial"/>
          <w:lang w:val="es-CO"/>
        </w:rPr>
      </w:pPr>
    </w:p>
    <w:p w14:paraId="7FD59245" w14:textId="77777777" w:rsidR="00B2442D" w:rsidRDefault="008A645F">
      <w:pPr>
        <w:spacing w:line="40" w:lineRule="atLeast"/>
        <w:jc w:val="both"/>
        <w:rPr>
          <w:rFonts w:ascii="Arial" w:hAnsi="Arial" w:cs="Arial"/>
          <w:lang w:val="es-CO"/>
        </w:rPr>
      </w:pPr>
      <w:r>
        <w:rPr>
          <w:rFonts w:ascii="Arial" w:hAnsi="Arial" w:cs="Arial"/>
          <w:b/>
          <w:lang w:val="es-CO"/>
        </w:rPr>
        <w:t>Parágrafo 3°.</w:t>
      </w:r>
      <w:r>
        <w:rPr>
          <w:rFonts w:ascii="Arial" w:hAnsi="Arial" w:cs="Arial"/>
          <w:lang w:val="es-CO"/>
        </w:rPr>
        <w:t xml:space="preserve"> Lo previsto en el presente artículo no a</w:t>
      </w:r>
      <w:r>
        <w:rPr>
          <w:rFonts w:ascii="Arial" w:hAnsi="Arial" w:cs="Arial"/>
          <w:lang w:val="es-CO"/>
        </w:rPr>
        <w:t>plica para la tarifa de retención en la fuente sobre los pagos o abonos en cuenta percibidos por contribuyentes no obligados a presentar declaración de renta, para los cuales la tarifa es del tres punto cinco por ciento (3.5%) de conformidad con lo dispues</w:t>
      </w:r>
      <w:r>
        <w:rPr>
          <w:rFonts w:ascii="Arial" w:hAnsi="Arial" w:cs="Arial"/>
          <w:lang w:val="es-CO"/>
        </w:rPr>
        <w:t xml:space="preserve">to en el artículo 401 del Estatuto Tributario. </w:t>
      </w:r>
    </w:p>
    <w:p w14:paraId="3F594E3D" w14:textId="77777777" w:rsidR="00B2442D" w:rsidRDefault="00B2442D">
      <w:pPr>
        <w:spacing w:line="40" w:lineRule="atLeast"/>
        <w:jc w:val="both"/>
        <w:rPr>
          <w:rFonts w:ascii="Arial" w:hAnsi="Arial" w:cs="Arial"/>
          <w:lang w:val="es-CO"/>
        </w:rPr>
      </w:pPr>
    </w:p>
    <w:p w14:paraId="601B46A9" w14:textId="77777777" w:rsidR="00B2442D" w:rsidRDefault="008A645F">
      <w:pPr>
        <w:spacing w:line="40" w:lineRule="atLeast"/>
        <w:jc w:val="both"/>
        <w:rPr>
          <w:rFonts w:ascii="Arial" w:hAnsi="Arial" w:cs="Arial"/>
          <w:lang w:val="es-CO"/>
        </w:rPr>
      </w:pPr>
      <w:r>
        <w:rPr>
          <w:rFonts w:ascii="Arial" w:hAnsi="Arial" w:cs="Arial"/>
          <w:lang w:val="es-CO"/>
        </w:rPr>
        <w:t xml:space="preserve">Para efectos de la verificación de la calidad de contribuyente obligado a presentar declaración de renta el beneficiario del pago debe informar si presentó declaración de renta y </w:t>
      </w:r>
      <w:r>
        <w:rPr>
          <w:rFonts w:ascii="Arial" w:hAnsi="Arial" w:cs="Arial"/>
          <w:lang w:val="es-CO"/>
        </w:rPr>
        <w:t>complementarios por el año gravable inmediatamente anterior o si está obligado a ello, de acuerdo con la normativa vigente.</w:t>
      </w:r>
    </w:p>
    <w:p w14:paraId="1172ACB2" w14:textId="77777777" w:rsidR="00B2442D" w:rsidRDefault="00B2442D">
      <w:pPr>
        <w:spacing w:line="40" w:lineRule="atLeast"/>
        <w:jc w:val="both"/>
        <w:rPr>
          <w:rFonts w:ascii="Arial" w:hAnsi="Arial" w:cs="Arial"/>
          <w:i/>
        </w:rPr>
      </w:pPr>
    </w:p>
    <w:p w14:paraId="7757E055" w14:textId="77777777" w:rsidR="00B2442D" w:rsidRDefault="008A645F">
      <w:pPr>
        <w:jc w:val="both"/>
        <w:rPr>
          <w:rFonts w:ascii="Arial" w:hAnsi="Arial" w:cs="Arial"/>
          <w:i/>
        </w:rPr>
      </w:pPr>
      <w:r>
        <w:rPr>
          <w:rFonts w:ascii="Arial" w:hAnsi="Arial" w:cs="Arial"/>
          <w:i/>
        </w:rPr>
        <w:t xml:space="preserve">(Art. 5 Decreto 1512 de 1985, modificado por los arts. 7 y 8 del Decreto 2509 de 1985, el art. 2 del Decreto 3715 de 1986, el art. </w:t>
      </w:r>
      <w:r>
        <w:rPr>
          <w:rFonts w:ascii="Arial" w:hAnsi="Arial" w:cs="Arial"/>
          <w:i/>
        </w:rPr>
        <w:t>16 del Decreto 836 de 1991, el art. 2 del Decreto 1217 de 1994, el art. 4 del Decreto 260 de 2001, el artículo 51 de la Ley 1111 de 2006 y los art. 1 y 2 Decreto 2418 de 2013. El parágrafo tercero fue adicionado por el art. 5 del Decreto 1020 de 2014)</w:t>
      </w:r>
    </w:p>
    <w:p w14:paraId="01461B83" w14:textId="77777777" w:rsidR="00B2442D" w:rsidRDefault="00B2442D">
      <w:pPr>
        <w:jc w:val="both"/>
        <w:rPr>
          <w:rFonts w:ascii="Arial" w:hAnsi="Arial" w:cs="Arial"/>
          <w:lang w:val="es-CO"/>
        </w:rPr>
      </w:pPr>
    </w:p>
    <w:p w14:paraId="799A232A" w14:textId="77777777" w:rsidR="00B2442D" w:rsidRDefault="008A645F">
      <w:pPr>
        <w:pStyle w:val="Prrafodelista"/>
        <w:numPr>
          <w:ilvl w:val="0"/>
          <w:numId w:val="55"/>
        </w:numPr>
        <w:ind w:left="0" w:firstLine="0"/>
        <w:jc w:val="both"/>
        <w:rPr>
          <w:rFonts w:ascii="Arial" w:hAnsi="Arial" w:cs="Arial"/>
          <w:lang w:val="es-CO"/>
        </w:rPr>
      </w:pPr>
      <w:r>
        <w:rPr>
          <w:rFonts w:ascii="Arial" w:hAnsi="Arial" w:cs="Arial"/>
          <w:b/>
          <w:i/>
          <w:lang w:val="es-CO"/>
        </w:rPr>
        <w:t>Ret</w:t>
      </w:r>
      <w:r>
        <w:rPr>
          <w:rFonts w:ascii="Arial" w:hAnsi="Arial" w:cs="Arial"/>
          <w:b/>
          <w:i/>
          <w:lang w:val="es-CO"/>
        </w:rPr>
        <w:t xml:space="preserve">ención en la fuente sobre otros ingresos. </w:t>
      </w:r>
      <w:r>
        <w:rPr>
          <w:rFonts w:ascii="Arial" w:hAnsi="Arial" w:cs="Arial"/>
          <w:lang w:val="es-CO"/>
        </w:rPr>
        <w:t>La tarifa de retención en la fuente a título de impuesto sobre la renta por los pagos o abonos en cuenta que por los conceptos señalados en el inciso primero del artículo 1.2.4.9.1 de este Decreto efectúen las pers</w:t>
      </w:r>
      <w:r>
        <w:rPr>
          <w:rFonts w:ascii="Arial" w:hAnsi="Arial" w:cs="Arial"/>
          <w:lang w:val="es-CO"/>
        </w:rPr>
        <w:t>onas jurídicas, las sociedades de hecho y las demás entidades y personas naturales que tengan la calidad de agentes retenedores, es el dos punto cinco por ciento (2.5%).</w:t>
      </w:r>
    </w:p>
    <w:p w14:paraId="2943F367" w14:textId="77777777" w:rsidR="00B2442D" w:rsidRDefault="00B2442D">
      <w:pPr>
        <w:jc w:val="both"/>
        <w:rPr>
          <w:rFonts w:ascii="Arial" w:hAnsi="Arial" w:cs="Arial"/>
          <w:lang w:val="es-CO"/>
        </w:rPr>
      </w:pPr>
    </w:p>
    <w:p w14:paraId="2EDD8013" w14:textId="77777777" w:rsidR="00B2442D" w:rsidRDefault="008A645F">
      <w:pPr>
        <w:jc w:val="both"/>
        <w:rPr>
          <w:rFonts w:ascii="Arial" w:hAnsi="Arial" w:cs="Arial"/>
          <w:lang w:val="es-CO"/>
        </w:rPr>
      </w:pPr>
      <w:r>
        <w:rPr>
          <w:rFonts w:ascii="Arial" w:hAnsi="Arial" w:cs="Arial"/>
          <w:lang w:val="es-CO"/>
        </w:rPr>
        <w:t>Los pagos o abonos en cuenta que correspondan a estos conceptos, para los cuales exis</w:t>
      </w:r>
      <w:r>
        <w:rPr>
          <w:rFonts w:ascii="Arial" w:hAnsi="Arial" w:cs="Arial"/>
          <w:lang w:val="es-CO"/>
        </w:rPr>
        <w:t>tan tarifas de retención en la fuente, señaladas en disposiciones especiales, seguirán rigiéndose por dichas tarifas.</w:t>
      </w:r>
    </w:p>
    <w:p w14:paraId="02872196" w14:textId="77777777" w:rsidR="00B2442D" w:rsidRDefault="00B2442D">
      <w:pPr>
        <w:jc w:val="both"/>
        <w:rPr>
          <w:rFonts w:ascii="Arial" w:hAnsi="Arial" w:cs="Arial"/>
          <w:lang w:val="es-CO"/>
        </w:rPr>
      </w:pPr>
    </w:p>
    <w:p w14:paraId="15203250"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Cuando los pagos o abonos en cuenta incorporen el valor de impuestos, tasas y contribuciones, para calcular la base de rete</w:t>
      </w:r>
      <w:r>
        <w:rPr>
          <w:rFonts w:ascii="Arial" w:hAnsi="Arial" w:cs="Arial"/>
          <w:lang w:val="es-CO"/>
        </w:rPr>
        <w:t>nción en la fuente se descontará el valor de los impuestos, tasas y contribuciones incorporados, siempre que los beneficiarios de dichos pagos o abonos tengan la calidad de responsables o recaudadores de los mismos. También se descontará de la base el valo</w:t>
      </w:r>
      <w:r>
        <w:rPr>
          <w:rFonts w:ascii="Arial" w:hAnsi="Arial" w:cs="Arial"/>
          <w:lang w:val="es-CO"/>
        </w:rPr>
        <w:t>r de las propinas incluidas en las sumas a pagar.</w:t>
      </w:r>
    </w:p>
    <w:p w14:paraId="0F36F119" w14:textId="77777777" w:rsidR="00B2442D" w:rsidRDefault="00B2442D">
      <w:pPr>
        <w:jc w:val="both"/>
        <w:rPr>
          <w:rFonts w:ascii="Arial" w:hAnsi="Arial" w:cs="Arial"/>
          <w:lang w:val="es-CO"/>
        </w:rPr>
      </w:pPr>
    </w:p>
    <w:p w14:paraId="49CC01E1"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Sin perjuicio de las disposiciones especiales previstas para otros impuestos, los ingresos provenientes de las operaciones realizadas a través de instrumentos financieros derivados, estarán s</w:t>
      </w:r>
      <w:r>
        <w:rPr>
          <w:rFonts w:ascii="Arial" w:hAnsi="Arial" w:cs="Arial"/>
          <w:lang w:val="es-CO"/>
        </w:rPr>
        <w:t>ometidos a una tarifa de retención en la fuente a título del impuesto sobre la renta del dos punto cinco por ciento (2.5%).</w:t>
      </w:r>
    </w:p>
    <w:p w14:paraId="3270FE9D" w14:textId="77777777" w:rsidR="00B2442D" w:rsidRDefault="00B2442D">
      <w:pPr>
        <w:jc w:val="both"/>
        <w:rPr>
          <w:rFonts w:ascii="Arial" w:hAnsi="Arial" w:cs="Arial"/>
          <w:lang w:val="es-CO"/>
        </w:rPr>
      </w:pPr>
    </w:p>
    <w:p w14:paraId="33E499C3"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Lo previsto en el presente artículo no aplica para la tarifa de retención en la fuente sobre los pagos o abonos en cu</w:t>
      </w:r>
      <w:r>
        <w:rPr>
          <w:rFonts w:ascii="Arial" w:hAnsi="Arial" w:cs="Arial"/>
          <w:lang w:val="es-CO"/>
        </w:rPr>
        <w:t>enta percibidos por contribuyentes no obligados a presentar declaración de renta, para los cuales la tarifa es del tres punto cinco por ciento (3.5%) de conformidad con lo dispuesto en el artículo 401 del Estatuto Tributario.</w:t>
      </w:r>
    </w:p>
    <w:p w14:paraId="63EBA7AD" w14:textId="77777777" w:rsidR="00B2442D" w:rsidRDefault="00B2442D">
      <w:pPr>
        <w:jc w:val="both"/>
        <w:rPr>
          <w:rFonts w:ascii="Arial" w:hAnsi="Arial" w:cs="Arial"/>
          <w:lang w:val="es-CO"/>
        </w:rPr>
      </w:pPr>
    </w:p>
    <w:p w14:paraId="628C8FE2" w14:textId="77777777" w:rsidR="00B2442D" w:rsidRDefault="008A645F">
      <w:pPr>
        <w:jc w:val="both"/>
        <w:rPr>
          <w:rFonts w:ascii="Arial" w:hAnsi="Arial" w:cs="Arial"/>
          <w:lang w:val="es-CO"/>
        </w:rPr>
      </w:pPr>
      <w:r>
        <w:rPr>
          <w:rFonts w:ascii="Arial" w:hAnsi="Arial" w:cs="Arial"/>
          <w:lang w:val="es-CO"/>
        </w:rPr>
        <w:t>Para efectos de la verificaci</w:t>
      </w:r>
      <w:r>
        <w:rPr>
          <w:rFonts w:ascii="Arial" w:hAnsi="Arial" w:cs="Arial"/>
          <w:lang w:val="es-CO"/>
        </w:rPr>
        <w:t>ón de la calidad de contribuyente obligado a presentar declaración de renta el beneficiario del pago debe informar si presentó declaración de renta y complementario por el año gravable inmediatamente anterior o si está obligado a ello, de acuerdo con la no</w:t>
      </w:r>
      <w:r>
        <w:rPr>
          <w:rFonts w:ascii="Arial" w:hAnsi="Arial" w:cs="Arial"/>
          <w:lang w:val="es-CO"/>
        </w:rPr>
        <w:t>rmativa vigente.</w:t>
      </w:r>
    </w:p>
    <w:p w14:paraId="4578AA7E" w14:textId="77777777" w:rsidR="00B2442D" w:rsidRDefault="00B2442D">
      <w:pPr>
        <w:jc w:val="both"/>
        <w:rPr>
          <w:rFonts w:ascii="Arial" w:hAnsi="Arial" w:cs="Arial"/>
          <w:lang w:val="es-CO"/>
        </w:rPr>
      </w:pPr>
    </w:p>
    <w:p w14:paraId="41317200" w14:textId="77777777" w:rsidR="00B2442D" w:rsidRDefault="008A645F">
      <w:pPr>
        <w:jc w:val="both"/>
        <w:rPr>
          <w:rFonts w:ascii="Arial" w:hAnsi="Arial" w:cs="Arial"/>
          <w:i/>
          <w:lang w:val="es-CO"/>
        </w:rPr>
      </w:pPr>
      <w:r>
        <w:rPr>
          <w:rFonts w:ascii="Arial" w:hAnsi="Arial" w:cs="Arial"/>
          <w:i/>
          <w:lang w:val="es-CO"/>
        </w:rPr>
        <w:t>(Art. 4, Decreto 260 de 2001, modificado por el art. 1 del Decreto 2418 de 2013. Adicionado un parágrafo por el art. 5 del Decreto 1020 de 2014)</w:t>
      </w:r>
    </w:p>
    <w:p w14:paraId="20EF35C1" w14:textId="77777777" w:rsidR="00B2442D" w:rsidRDefault="00B2442D">
      <w:pPr>
        <w:jc w:val="both"/>
        <w:rPr>
          <w:rFonts w:ascii="Arial" w:hAnsi="Arial" w:cs="Arial"/>
          <w:i/>
          <w:lang w:val="es-CO"/>
        </w:rPr>
      </w:pPr>
    </w:p>
    <w:p w14:paraId="13EDF918" w14:textId="77777777" w:rsidR="00B2442D" w:rsidRDefault="008A645F">
      <w:pPr>
        <w:pStyle w:val="Prrafodelista"/>
        <w:numPr>
          <w:ilvl w:val="0"/>
          <w:numId w:val="55"/>
        </w:numPr>
        <w:ind w:left="0" w:firstLine="0"/>
        <w:jc w:val="both"/>
        <w:rPr>
          <w:rFonts w:ascii="Arial" w:hAnsi="Arial" w:cs="Arial"/>
          <w:lang w:val="es-CO"/>
        </w:rPr>
      </w:pPr>
      <w:r>
        <w:rPr>
          <w:rFonts w:ascii="Arial" w:hAnsi="Arial" w:cs="Arial"/>
          <w:b/>
          <w:i/>
          <w:lang w:val="es-CO"/>
        </w:rPr>
        <w:t>Retención en la fuente sobre pagos o abonos en cuenta por concepto de primas de seguros y cu</w:t>
      </w:r>
      <w:r>
        <w:rPr>
          <w:rFonts w:ascii="Arial" w:hAnsi="Arial" w:cs="Arial"/>
          <w:b/>
          <w:i/>
          <w:lang w:val="es-CO"/>
        </w:rPr>
        <w:t>otas de títulos de capitalización.</w:t>
      </w:r>
      <w:r>
        <w:rPr>
          <w:rFonts w:ascii="Arial" w:hAnsi="Arial" w:cs="Arial"/>
          <w:lang w:val="es-CO"/>
        </w:rPr>
        <w:t xml:space="preserve"> La retención en la fuente sobre pagos o abonos en cuenta por concepto de primas de seguros y cuotas de títulos de capitalización no se regirá por lo previsto en el artículo 1.2.4.9.1 de este Decreto.</w:t>
      </w:r>
    </w:p>
    <w:p w14:paraId="2B79C83D" w14:textId="77777777" w:rsidR="00B2442D" w:rsidRDefault="00B2442D">
      <w:pPr>
        <w:jc w:val="both"/>
        <w:rPr>
          <w:rFonts w:ascii="Arial" w:hAnsi="Arial" w:cs="Arial"/>
          <w:i/>
          <w:lang w:val="es-CO"/>
        </w:rPr>
      </w:pPr>
    </w:p>
    <w:p w14:paraId="7A03A0AD" w14:textId="77777777" w:rsidR="00B2442D" w:rsidRDefault="008A645F">
      <w:pPr>
        <w:jc w:val="both"/>
        <w:rPr>
          <w:rFonts w:ascii="Arial" w:hAnsi="Arial" w:cs="Arial"/>
          <w:i/>
          <w:lang w:val="es-CO"/>
        </w:rPr>
      </w:pPr>
      <w:r>
        <w:rPr>
          <w:rFonts w:ascii="Arial" w:hAnsi="Arial" w:cs="Arial"/>
          <w:i/>
          <w:lang w:val="es-CO"/>
        </w:rPr>
        <w:t xml:space="preserve">(Art. 17, </w:t>
      </w:r>
      <w:r>
        <w:rPr>
          <w:rFonts w:ascii="Arial" w:hAnsi="Arial" w:cs="Arial"/>
          <w:i/>
          <w:lang w:val="es-CO"/>
        </w:rPr>
        <w:t>Decreto 2509 de 1985)</w:t>
      </w:r>
    </w:p>
    <w:p w14:paraId="783808DA" w14:textId="77777777" w:rsidR="00B2442D" w:rsidRDefault="00B2442D">
      <w:pPr>
        <w:jc w:val="both"/>
        <w:rPr>
          <w:rFonts w:ascii="Arial" w:hAnsi="Arial" w:cs="Arial"/>
          <w:i/>
          <w:lang w:val="es-CO"/>
        </w:rPr>
      </w:pPr>
    </w:p>
    <w:p w14:paraId="18B884B7" w14:textId="77777777" w:rsidR="00B2442D" w:rsidRDefault="008A645F">
      <w:pPr>
        <w:pStyle w:val="Ttulo4"/>
      </w:pPr>
      <w:r>
        <w:t>CAPÍTULO 10</w:t>
      </w:r>
    </w:p>
    <w:p w14:paraId="79C81B25" w14:textId="77777777" w:rsidR="00B2442D" w:rsidRDefault="008A645F">
      <w:pPr>
        <w:pStyle w:val="Ttulo4"/>
      </w:pPr>
      <w:r>
        <w:t>Retención en la fuente a título de impuesto sobre la renta por otros conceptos</w:t>
      </w:r>
    </w:p>
    <w:p w14:paraId="0CC66344" w14:textId="77777777" w:rsidR="00B2442D" w:rsidRDefault="00B2442D">
      <w:pPr>
        <w:rPr>
          <w:rFonts w:ascii="Arial" w:hAnsi="Arial" w:cs="Arial"/>
          <w:lang w:val="es-CO"/>
        </w:rPr>
      </w:pPr>
    </w:p>
    <w:p w14:paraId="31DACEE4"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Retención en la fuente en contratos de consultoría de obras públicas con factor multiplicador.</w:t>
      </w:r>
      <w:r>
        <w:rPr>
          <w:rFonts w:ascii="Arial" w:hAnsi="Arial" w:cs="Arial"/>
          <w:lang w:val="es-CO"/>
        </w:rPr>
        <w:t xml:space="preserve"> En los contratos de consultoría de obras públicas, celebrados con personas jurídicas por la Nación, los Departamentos, los Municipios, el Distrito Capital de Bogotá, los establecimientos públicos, las empresas industriales y comerciales del Estado y las s</w:t>
      </w:r>
      <w:r>
        <w:rPr>
          <w:rFonts w:ascii="Arial" w:hAnsi="Arial" w:cs="Arial"/>
          <w:lang w:val="es-CO"/>
        </w:rPr>
        <w:t>ociedades de economía mixta en las que el Estado posea el noventa por ciento (90%) o más de su capital social, cuya remuneración se efectúe con base en el método del factor multiplicador, se aplicará retención en la fuente sobre la totalidad de los pagos o</w:t>
      </w:r>
      <w:r>
        <w:rPr>
          <w:rFonts w:ascii="Arial" w:hAnsi="Arial" w:cs="Arial"/>
          <w:lang w:val="es-CO"/>
        </w:rPr>
        <w:t xml:space="preserve"> abonos en cuenta efectuados al contratista, a la tarifa del dos por ciento (2%).</w:t>
      </w:r>
    </w:p>
    <w:p w14:paraId="323FDA98" w14:textId="77777777" w:rsidR="00B2442D" w:rsidRDefault="00B2442D">
      <w:pPr>
        <w:jc w:val="both"/>
        <w:rPr>
          <w:rFonts w:ascii="Arial" w:hAnsi="Arial" w:cs="Arial"/>
          <w:i/>
          <w:lang w:val="es-CO"/>
        </w:rPr>
      </w:pPr>
    </w:p>
    <w:p w14:paraId="56B1C3EC" w14:textId="77777777" w:rsidR="00B2442D" w:rsidRDefault="008A645F">
      <w:pPr>
        <w:jc w:val="both"/>
        <w:rPr>
          <w:rFonts w:ascii="Arial" w:hAnsi="Arial" w:cs="Arial"/>
          <w:i/>
          <w:lang w:val="es-CO"/>
        </w:rPr>
      </w:pPr>
      <w:r>
        <w:rPr>
          <w:rFonts w:ascii="Arial" w:hAnsi="Arial" w:cs="Arial"/>
          <w:i/>
          <w:lang w:val="es-CO"/>
        </w:rPr>
        <w:t>(Art. 5, Decreto 1354 de 1987)</w:t>
      </w:r>
    </w:p>
    <w:p w14:paraId="7CB6123E" w14:textId="77777777" w:rsidR="00B2442D" w:rsidRDefault="00B2442D">
      <w:pPr>
        <w:jc w:val="both"/>
        <w:rPr>
          <w:rFonts w:ascii="Arial" w:hAnsi="Arial" w:cs="Arial"/>
          <w:lang w:val="es-CO"/>
        </w:rPr>
      </w:pPr>
    </w:p>
    <w:p w14:paraId="6FE6C8BC"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 xml:space="preserve">Retención en los contratos de consultoría y de administración delegada para declarantes. </w:t>
      </w:r>
      <w:r>
        <w:rPr>
          <w:rFonts w:ascii="Arial" w:hAnsi="Arial" w:cs="Arial"/>
          <w:lang w:val="es-CO"/>
        </w:rPr>
        <w:t>Sin perjuicio de lo dispuesto en el artículo 1.2.4.1</w:t>
      </w:r>
      <w:r>
        <w:rPr>
          <w:rFonts w:ascii="Arial" w:hAnsi="Arial" w:cs="Arial"/>
          <w:lang w:val="es-CO"/>
        </w:rPr>
        <w:t>0.1 de este Decreto, la retención en la fuente por concepto de pagos o abonos en cuenta en los contratos de consultoría que realicen las personas jurídicas, las sociedades de hecho y las demás entidades y personas naturales que tengan la calidad de agentes</w:t>
      </w:r>
      <w:r>
        <w:rPr>
          <w:rFonts w:ascii="Arial" w:hAnsi="Arial" w:cs="Arial"/>
          <w:lang w:val="es-CO"/>
        </w:rPr>
        <w:t xml:space="preserve"> retenedores en favor de los contribuyentes del impuesto sobre la renta que sean personas jurídicas y asimiladas, es el once por ciento (11%). La misma tarifa se aplica a los pagos o abonos en cuenta por concepto de honorarios en los contratos de administr</w:t>
      </w:r>
      <w:r>
        <w:rPr>
          <w:rFonts w:ascii="Arial" w:hAnsi="Arial" w:cs="Arial"/>
          <w:lang w:val="es-CO"/>
        </w:rPr>
        <w:t>ación delegada a que se refiere el artículo 1.2.4.4.9 de este Decreto.</w:t>
      </w:r>
    </w:p>
    <w:p w14:paraId="03AFCA03" w14:textId="77777777" w:rsidR="00B2442D" w:rsidRDefault="00B2442D">
      <w:pPr>
        <w:jc w:val="both"/>
        <w:rPr>
          <w:rFonts w:ascii="Arial" w:hAnsi="Arial" w:cs="Arial"/>
          <w:lang w:val="es-CO"/>
        </w:rPr>
      </w:pPr>
    </w:p>
    <w:p w14:paraId="09E5965B" w14:textId="77777777" w:rsidR="00B2442D" w:rsidRDefault="008A645F">
      <w:pPr>
        <w:jc w:val="both"/>
        <w:rPr>
          <w:rFonts w:ascii="Arial" w:hAnsi="Arial" w:cs="Arial"/>
          <w:lang w:val="es-CO"/>
        </w:rPr>
      </w:pPr>
      <w:r>
        <w:rPr>
          <w:rFonts w:ascii="Arial" w:hAnsi="Arial" w:cs="Arial"/>
          <w:lang w:val="es-CO"/>
        </w:rPr>
        <w:t>Cuando el beneficiario del pago o abono en cuenta por contratos de consultoría y/o administración delegada sea una persona natural, la tarifa de retención es del diez por ciento (10%).</w:t>
      </w:r>
      <w:r>
        <w:rPr>
          <w:rFonts w:ascii="Arial" w:hAnsi="Arial" w:cs="Arial"/>
          <w:lang w:val="es-CO"/>
        </w:rPr>
        <w:t xml:space="preserve"> No obstante lo anterior, la tarifa de retención en la fuente sobre los pagos o abonos en cuenta por los conceptos de que trata este artículo en favor de personas naturales será del once por ciento (11%) en los eventos previstos en los literales a) y b) de</w:t>
      </w:r>
      <w:r>
        <w:rPr>
          <w:rFonts w:ascii="Arial" w:hAnsi="Arial" w:cs="Arial"/>
          <w:lang w:val="es-CO"/>
        </w:rPr>
        <w:t>l artículo 1.2.4.3.1 de este Decreto.</w:t>
      </w:r>
    </w:p>
    <w:p w14:paraId="47C5DC8D" w14:textId="77777777" w:rsidR="00B2442D" w:rsidRDefault="00B2442D">
      <w:pPr>
        <w:jc w:val="both"/>
        <w:rPr>
          <w:rFonts w:ascii="Arial" w:hAnsi="Arial" w:cs="Arial"/>
          <w:i/>
          <w:lang w:val="es-CO"/>
        </w:rPr>
      </w:pPr>
    </w:p>
    <w:p w14:paraId="0CAAEF9B" w14:textId="77777777" w:rsidR="00B2442D" w:rsidRDefault="008A645F">
      <w:pPr>
        <w:jc w:val="both"/>
        <w:rPr>
          <w:rFonts w:ascii="Arial" w:hAnsi="Arial" w:cs="Arial"/>
          <w:i/>
          <w:lang w:val="es-CO"/>
        </w:rPr>
      </w:pPr>
      <w:r>
        <w:rPr>
          <w:rFonts w:ascii="Arial" w:hAnsi="Arial" w:cs="Arial"/>
          <w:i/>
          <w:lang w:val="es-CO"/>
        </w:rPr>
        <w:t>(Art. 2, Decreto 260 de 2001)</w:t>
      </w:r>
    </w:p>
    <w:p w14:paraId="14B6D3BF" w14:textId="77777777" w:rsidR="00B2442D" w:rsidRDefault="00B2442D">
      <w:pPr>
        <w:rPr>
          <w:rFonts w:ascii="Arial" w:hAnsi="Arial" w:cs="Arial"/>
          <w:i/>
          <w:lang w:val="es-CO"/>
        </w:rPr>
      </w:pPr>
    </w:p>
    <w:p w14:paraId="44E5EFF9"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 xml:space="preserve">Retención en la fuente en los contratos de consultoría en ingeniería de proyectos de infraestructura y edificaciones. </w:t>
      </w:r>
      <w:r>
        <w:rPr>
          <w:rFonts w:ascii="Arial" w:hAnsi="Arial" w:cs="Arial"/>
          <w:lang w:val="es-CO"/>
        </w:rPr>
        <w:t>Sin perjuicio de lo dispuesto en el artículo 1.2.4.10.1 de este Decr</w:t>
      </w:r>
      <w:r>
        <w:rPr>
          <w:rFonts w:ascii="Arial" w:hAnsi="Arial" w:cs="Arial"/>
          <w:lang w:val="es-CO"/>
        </w:rPr>
        <w:t>eto, la tarifa de retención en la fuente a título de impuesto sobre la renta en los contratos de consultoría en ingeniería de proyectos de infraestructura y edificaciones que realicen las personas naturales o jurídicas de derecho público o privado, las soc</w:t>
      </w:r>
      <w:r>
        <w:rPr>
          <w:rFonts w:ascii="Arial" w:hAnsi="Arial" w:cs="Arial"/>
          <w:lang w:val="es-CO"/>
        </w:rPr>
        <w:t>iedades de hecho, y las demás entidades a favor de personas naturales o jurídicas y entidades contribuyentes obligadas a presentar declaración del impuesto sobre la renta y complementario, es del seis por ciento (6%) del valor total del pago o abono en cue</w:t>
      </w:r>
      <w:r>
        <w:rPr>
          <w:rFonts w:ascii="Arial" w:hAnsi="Arial" w:cs="Arial"/>
          <w:lang w:val="es-CO"/>
        </w:rPr>
        <w:t>nta.</w:t>
      </w:r>
    </w:p>
    <w:p w14:paraId="4433F607" w14:textId="77777777" w:rsidR="00B2442D" w:rsidRDefault="00B2442D">
      <w:pPr>
        <w:jc w:val="both"/>
        <w:rPr>
          <w:rFonts w:ascii="Arial" w:hAnsi="Arial" w:cs="Arial"/>
          <w:lang w:val="es-CO"/>
        </w:rPr>
      </w:pPr>
    </w:p>
    <w:p w14:paraId="18724AD4" w14:textId="77777777" w:rsidR="00B2442D" w:rsidRDefault="008A645F">
      <w:pPr>
        <w:jc w:val="both"/>
        <w:rPr>
          <w:rFonts w:ascii="Arial" w:hAnsi="Arial" w:cs="Arial"/>
          <w:lang w:val="es-CO"/>
        </w:rPr>
      </w:pPr>
      <w:r>
        <w:rPr>
          <w:rFonts w:ascii="Arial" w:hAnsi="Arial" w:cs="Arial"/>
          <w:lang w:val="es-CO"/>
        </w:rPr>
        <w:t>La misma tarifa de retención en la fuente en esta clase de contratos, se aplica sobre los pagos o abonos en cuenta que se realicen a favor de personas naturales o de consorcios o uniones temporales cuyos miembros sean personas naturales, en los sigui</w:t>
      </w:r>
      <w:r>
        <w:rPr>
          <w:rFonts w:ascii="Arial" w:hAnsi="Arial" w:cs="Arial"/>
          <w:lang w:val="es-CO"/>
        </w:rPr>
        <w:t>entes eventos:</w:t>
      </w:r>
    </w:p>
    <w:p w14:paraId="73AD6A26" w14:textId="77777777" w:rsidR="00B2442D" w:rsidRDefault="00B2442D">
      <w:pPr>
        <w:jc w:val="both"/>
        <w:rPr>
          <w:rFonts w:ascii="Arial" w:hAnsi="Arial" w:cs="Arial"/>
          <w:lang w:val="es-CO"/>
        </w:rPr>
      </w:pPr>
    </w:p>
    <w:p w14:paraId="5ECE2A6A"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Cuando del contrato se desprenda que los ingresos que obtendrá la persona natural, directamente o como miembro del consorcio o unión temporal beneficiario del pago o abono en cuenta superan en el año gravable el valor equivalente a tres</w:t>
      </w:r>
      <w:r>
        <w:rPr>
          <w:rFonts w:ascii="Arial" w:hAnsi="Arial" w:cs="Arial"/>
          <w:lang w:val="es-CO"/>
        </w:rPr>
        <w:t xml:space="preserve"> mil trescientas (3.300) UVT.</w:t>
      </w:r>
    </w:p>
    <w:p w14:paraId="263E1307" w14:textId="77777777" w:rsidR="00B2442D" w:rsidRDefault="00B2442D">
      <w:pPr>
        <w:ind w:left="284" w:hanging="284"/>
        <w:jc w:val="both"/>
        <w:rPr>
          <w:rFonts w:ascii="Arial" w:hAnsi="Arial" w:cs="Arial"/>
          <w:lang w:val="es-CO"/>
        </w:rPr>
      </w:pPr>
    </w:p>
    <w:p w14:paraId="366CCA5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Cuando de los pagos o abonos en cuenta realizados durante el ejercicio gravable por un mismo agente retenedor a una misma persona natural o a un consorcio o unión temporal, se desprenda que en cabeza de una misma persona </w:t>
      </w:r>
      <w:r>
        <w:rPr>
          <w:rFonts w:ascii="Arial" w:hAnsi="Arial" w:cs="Arial"/>
          <w:lang w:val="es-CO"/>
        </w:rPr>
        <w:t xml:space="preserve">natural, directamente o como miembro de un consorcio o unión temporal, los ingresos superan en el año gravable el valor equivalente a tres mil trescientas (3.300) UVT. En este evento la tarifa del seis por ciento (6%) se aplicará a partir del pago o abono </w:t>
      </w:r>
      <w:r>
        <w:rPr>
          <w:rFonts w:ascii="Arial" w:hAnsi="Arial" w:cs="Arial"/>
          <w:lang w:val="es-CO"/>
        </w:rPr>
        <w:t>en cuenta que sumado a los pagos realizados en el mismo ejercicio gravable exceda dicho valor.</w:t>
      </w:r>
    </w:p>
    <w:p w14:paraId="069A1F94" w14:textId="77777777" w:rsidR="00B2442D" w:rsidRDefault="00B2442D">
      <w:pPr>
        <w:jc w:val="both"/>
        <w:rPr>
          <w:rFonts w:ascii="Arial" w:hAnsi="Arial" w:cs="Arial"/>
          <w:lang w:val="es-CO"/>
        </w:rPr>
      </w:pPr>
    </w:p>
    <w:p w14:paraId="61BA334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beneficiario del pago o abono en cuenta en los contratos antes referidos sea una persona natural no obligada a declarar o un consorcio o un</w:t>
      </w:r>
      <w:r>
        <w:rPr>
          <w:rFonts w:ascii="Arial" w:hAnsi="Arial" w:cs="Arial"/>
          <w:lang w:val="es-CO"/>
        </w:rPr>
        <w:t>ión temporal cuyos miembros, personas naturales, no se encuentren obligados a presentar declaración del impuesto sobre la renta, la tarifa de retención será del diez por ciento (10%) del valor total del pago o abono en cuenta.</w:t>
      </w:r>
    </w:p>
    <w:p w14:paraId="3F4EF633" w14:textId="77777777" w:rsidR="00B2442D" w:rsidRDefault="00B2442D">
      <w:pPr>
        <w:jc w:val="both"/>
        <w:rPr>
          <w:rFonts w:ascii="Arial" w:hAnsi="Arial" w:cs="Arial"/>
          <w:lang w:val="es-CO"/>
        </w:rPr>
      </w:pPr>
    </w:p>
    <w:p w14:paraId="5347EB93" w14:textId="77777777" w:rsidR="00B2442D" w:rsidRDefault="008A645F">
      <w:pPr>
        <w:jc w:val="both"/>
        <w:rPr>
          <w:rFonts w:ascii="Arial" w:hAnsi="Arial" w:cs="Arial"/>
          <w:i/>
          <w:lang w:val="es-CO"/>
        </w:rPr>
      </w:pPr>
      <w:r>
        <w:rPr>
          <w:rFonts w:ascii="Arial" w:hAnsi="Arial" w:cs="Arial"/>
          <w:i/>
          <w:lang w:val="es-CO"/>
        </w:rPr>
        <w:t>(Art. 1, Decreto 1141 de 201</w:t>
      </w:r>
      <w:r>
        <w:rPr>
          <w:rFonts w:ascii="Arial" w:hAnsi="Arial" w:cs="Arial"/>
          <w:i/>
          <w:lang w:val="es-CO"/>
        </w:rPr>
        <w:t>0)</w:t>
      </w:r>
      <w:r>
        <w:rPr>
          <w:rFonts w:ascii="Arial" w:hAnsi="Arial" w:cs="Arial"/>
        </w:rPr>
        <w:t xml:space="preserve"> (</w:t>
      </w:r>
      <w:r>
        <w:rPr>
          <w:rFonts w:ascii="Arial" w:hAnsi="Arial" w:cs="Arial"/>
          <w:i/>
          <w:lang w:val="es-CO"/>
        </w:rPr>
        <w:t>El Decreto 1141 de 2010 rige a partir de la fecha de su publicación y deroga el Decreto 1115 de 2006. Art. 3, Decreto 1141 de 2010)</w:t>
      </w:r>
    </w:p>
    <w:p w14:paraId="09255992" w14:textId="77777777" w:rsidR="00B2442D" w:rsidRDefault="00B2442D">
      <w:pPr>
        <w:jc w:val="both"/>
        <w:rPr>
          <w:rFonts w:ascii="Arial" w:hAnsi="Arial" w:cs="Arial"/>
          <w:lang w:val="es-CO"/>
        </w:rPr>
      </w:pPr>
    </w:p>
    <w:p w14:paraId="78E9F07B"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Definición de consultoría en ingeniería de proyectos de infraestructura y edificaciones.</w:t>
      </w:r>
      <w:r>
        <w:rPr>
          <w:rFonts w:ascii="Arial" w:hAnsi="Arial" w:cs="Arial"/>
          <w:lang w:val="es-CO"/>
        </w:rPr>
        <w:t xml:space="preserve"> Para efectos de lo dispuesto e</w:t>
      </w:r>
      <w:r>
        <w:rPr>
          <w:rFonts w:ascii="Arial" w:hAnsi="Arial" w:cs="Arial"/>
          <w:lang w:val="es-CO"/>
        </w:rPr>
        <w:t>n el artículo 1.2.4.10.3 del presente Decreto se entiende por contrato de consultoría en ingeniería de proyectos de infraestructura y edificaciones aquel que sea celebrado por personas naturales o jurídicas de derecho público o privado referidos a los estu</w:t>
      </w:r>
      <w:r>
        <w:rPr>
          <w:rFonts w:ascii="Arial" w:hAnsi="Arial" w:cs="Arial"/>
          <w:lang w:val="es-CO"/>
        </w:rPr>
        <w:t>dios necesarios para la ejecución de proyectos de inversión, estudios de diagnóstico, prefactibilidad o factibilidad para programas o proyectos específicos, así como las asesorías técnicas de coordinación, control y supervisión de proyectos de infraestruct</w:t>
      </w:r>
      <w:r>
        <w:rPr>
          <w:rFonts w:ascii="Arial" w:hAnsi="Arial" w:cs="Arial"/>
          <w:lang w:val="es-CO"/>
        </w:rPr>
        <w:t>ura y edificaciones.</w:t>
      </w:r>
    </w:p>
    <w:p w14:paraId="41BB9299" w14:textId="77777777" w:rsidR="00B2442D" w:rsidRDefault="00B2442D">
      <w:pPr>
        <w:jc w:val="both"/>
        <w:rPr>
          <w:rFonts w:ascii="Arial" w:hAnsi="Arial" w:cs="Arial"/>
          <w:lang w:val="es-CO"/>
        </w:rPr>
      </w:pPr>
    </w:p>
    <w:p w14:paraId="53F3D16C" w14:textId="77777777" w:rsidR="00B2442D" w:rsidRDefault="008A645F">
      <w:pPr>
        <w:jc w:val="both"/>
        <w:rPr>
          <w:rFonts w:ascii="Arial" w:hAnsi="Arial" w:cs="Arial"/>
          <w:lang w:val="es-CO"/>
        </w:rPr>
      </w:pPr>
      <w:r>
        <w:rPr>
          <w:rFonts w:ascii="Arial" w:hAnsi="Arial" w:cs="Arial"/>
          <w:lang w:val="es-CO"/>
        </w:rPr>
        <w:t>Son también contratos de consultoría en ingeniería de proyectos de infraestructura y edificaciones los que tienen por objeto la interventoría, asesoría, gerencia de obra o de proyectos, dirección, programación y la ejecución de diseño</w:t>
      </w:r>
      <w:r>
        <w:rPr>
          <w:rFonts w:ascii="Arial" w:hAnsi="Arial" w:cs="Arial"/>
          <w:lang w:val="es-CO"/>
        </w:rPr>
        <w:t>s, planos, anteproyectos y proyectos en infraestructura y edificaciones.</w:t>
      </w:r>
    </w:p>
    <w:p w14:paraId="4BB5EDE8" w14:textId="77777777" w:rsidR="00B2442D" w:rsidRDefault="00B2442D">
      <w:pPr>
        <w:jc w:val="both"/>
        <w:rPr>
          <w:rFonts w:ascii="Arial" w:hAnsi="Arial" w:cs="Arial"/>
          <w:lang w:val="es-CO"/>
        </w:rPr>
      </w:pPr>
    </w:p>
    <w:p w14:paraId="1D74B6AC" w14:textId="77777777" w:rsidR="00B2442D" w:rsidRDefault="008A645F">
      <w:pPr>
        <w:tabs>
          <w:tab w:val="center" w:pos="4890"/>
        </w:tabs>
        <w:jc w:val="both"/>
        <w:rPr>
          <w:rFonts w:ascii="Arial" w:hAnsi="Arial" w:cs="Arial"/>
          <w:i/>
          <w:lang w:val="es-CO"/>
        </w:rPr>
      </w:pPr>
      <w:r>
        <w:rPr>
          <w:rFonts w:ascii="Arial" w:hAnsi="Arial" w:cs="Arial"/>
          <w:i/>
          <w:lang w:val="es-CO"/>
        </w:rPr>
        <w:t>(Art. 2, Decreto 1141 de 2010)</w:t>
      </w:r>
      <w:r>
        <w:rPr>
          <w:rFonts w:ascii="Arial" w:hAnsi="Arial" w:cs="Arial"/>
          <w:i/>
          <w:lang w:val="es-CO"/>
        </w:rPr>
        <w:tab/>
        <w:t>(El Decreto 1141 de 2010 rige a partir de la fecha de su publicación y deroga el Decreto 1115 de 2006. Art. 3, Decreto 1141 de 2010)</w:t>
      </w:r>
    </w:p>
    <w:p w14:paraId="2190B2B6" w14:textId="77777777" w:rsidR="00B2442D" w:rsidRDefault="00B2442D">
      <w:pPr>
        <w:jc w:val="both"/>
        <w:rPr>
          <w:rFonts w:ascii="Arial" w:hAnsi="Arial" w:cs="Arial"/>
          <w:lang w:val="es-CO"/>
        </w:rPr>
      </w:pPr>
    </w:p>
    <w:p w14:paraId="4724BBDF"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Retención en la fuente en la adquisición de combustibles derivados del petróleo.</w:t>
      </w:r>
      <w:r>
        <w:rPr>
          <w:rFonts w:ascii="Arial" w:hAnsi="Arial" w:cs="Arial"/>
          <w:lang w:val="es-CO"/>
        </w:rPr>
        <w:t xml:space="preserve"> En el caso de los pagos o abonos en cuenta que se efectúen a favor de distribuidores mayoristas o minoristas de combustibles derivados del petróleo, por la adquisición de los </w:t>
      </w:r>
      <w:r>
        <w:rPr>
          <w:rFonts w:ascii="Arial" w:hAnsi="Arial" w:cs="Arial"/>
          <w:lang w:val="es-CO"/>
        </w:rPr>
        <w:t>mismos, el porcentaje de retención será del cero punto uno por ciento (0.1%) del valor del pago o abono en cuenta.</w:t>
      </w:r>
    </w:p>
    <w:p w14:paraId="674825FD" w14:textId="77777777" w:rsidR="00B2442D" w:rsidRDefault="00B2442D">
      <w:pPr>
        <w:jc w:val="both"/>
        <w:rPr>
          <w:rFonts w:ascii="Arial" w:hAnsi="Arial" w:cs="Arial"/>
          <w:i/>
          <w:lang w:val="es-CO"/>
        </w:rPr>
      </w:pPr>
    </w:p>
    <w:p w14:paraId="55E63BCB" w14:textId="77777777" w:rsidR="00B2442D" w:rsidRDefault="008A645F">
      <w:pPr>
        <w:jc w:val="both"/>
        <w:rPr>
          <w:rFonts w:ascii="Arial" w:hAnsi="Arial" w:cs="Arial"/>
          <w:i/>
          <w:lang w:val="es-CO"/>
        </w:rPr>
      </w:pPr>
      <w:r>
        <w:rPr>
          <w:rFonts w:ascii="Arial" w:hAnsi="Arial" w:cs="Arial"/>
          <w:i/>
          <w:lang w:val="es-CO"/>
        </w:rPr>
        <w:t>(Art. 2, Decreto 3715 de 1986.</w:t>
      </w:r>
      <w:r>
        <w:rPr>
          <w:rFonts w:ascii="Arial" w:hAnsi="Arial" w:cs="Arial"/>
        </w:rPr>
        <w:t xml:space="preserve"> </w:t>
      </w:r>
      <w:r>
        <w:rPr>
          <w:rFonts w:ascii="Arial" w:hAnsi="Arial" w:cs="Arial"/>
          <w:i/>
          <w:lang w:val="es-CO"/>
        </w:rPr>
        <w:t>Inciso 1 derogado tácitamente por el artículo 4 del Decreto 260 de 2001)</w:t>
      </w:r>
    </w:p>
    <w:p w14:paraId="7C90AF43" w14:textId="77777777" w:rsidR="00B2442D" w:rsidRDefault="00B2442D">
      <w:pPr>
        <w:jc w:val="both"/>
        <w:rPr>
          <w:rFonts w:ascii="Arial" w:hAnsi="Arial" w:cs="Arial"/>
          <w:b/>
          <w:lang w:val="es-CO"/>
        </w:rPr>
      </w:pPr>
    </w:p>
    <w:p w14:paraId="55A09958"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Pagos no sujetos a retención.</w:t>
      </w:r>
      <w:r>
        <w:rPr>
          <w:rFonts w:ascii="Arial" w:hAnsi="Arial" w:cs="Arial"/>
          <w:lang w:val="es-CO"/>
        </w:rPr>
        <w:t xml:space="preserve"> A las</w:t>
      </w:r>
      <w:r>
        <w:rPr>
          <w:rFonts w:ascii="Arial" w:hAnsi="Arial" w:cs="Arial"/>
          <w:lang w:val="es-CO"/>
        </w:rPr>
        <w:t xml:space="preserve"> retenciones previstas en el artículo </w:t>
      </w:r>
      <w:r>
        <w:rPr>
          <w:rFonts w:ascii="Arial" w:hAnsi="Arial" w:cs="Arial"/>
        </w:rPr>
        <w:t xml:space="preserve">1.2.4.9.2. </w:t>
      </w:r>
      <w:r>
        <w:rPr>
          <w:rFonts w:ascii="Arial" w:hAnsi="Arial" w:cs="Arial"/>
          <w:lang w:val="es-CO"/>
        </w:rPr>
        <w:t>de este Decreto les son aplicables las excepciones contenidas en las normas vigentes sobre retenciones en la fuente, salvo las que se refieren a los pagos o abonos en cuenta por servicios de restaurante, hot</w:t>
      </w:r>
      <w:r>
        <w:rPr>
          <w:rFonts w:ascii="Arial" w:hAnsi="Arial" w:cs="Arial"/>
          <w:lang w:val="es-CO"/>
        </w:rPr>
        <w:t>el y hospedaje, los cuales están sujetos a la tarifa de retención del tres punto cinco por ciento (3.5%), siempre que el pago o abono en cuenta sea efectuado en forma directa por una persona jurídica, una sociedad de hecho o una entidad o persona natural q</w:t>
      </w:r>
      <w:r>
        <w:rPr>
          <w:rFonts w:ascii="Arial" w:hAnsi="Arial" w:cs="Arial"/>
          <w:lang w:val="es-CO"/>
        </w:rPr>
        <w:t xml:space="preserve">ue tenga la calidad de agente retenedor. </w:t>
      </w:r>
    </w:p>
    <w:p w14:paraId="0D27B67D" w14:textId="77777777" w:rsidR="00B2442D" w:rsidRDefault="00B2442D">
      <w:pPr>
        <w:jc w:val="both"/>
        <w:rPr>
          <w:rFonts w:ascii="Arial" w:hAnsi="Arial" w:cs="Arial"/>
          <w:lang w:val="es-CO"/>
        </w:rPr>
      </w:pPr>
    </w:p>
    <w:p w14:paraId="47909401" w14:textId="77777777" w:rsidR="00B2442D" w:rsidRDefault="008A645F">
      <w:pPr>
        <w:jc w:val="both"/>
        <w:rPr>
          <w:rFonts w:ascii="Arial" w:hAnsi="Arial" w:cs="Arial"/>
          <w:lang w:val="es-CO"/>
        </w:rPr>
      </w:pPr>
      <w:r>
        <w:rPr>
          <w:rFonts w:ascii="Arial" w:hAnsi="Arial" w:cs="Arial"/>
          <w:lang w:val="es-CO"/>
        </w:rPr>
        <w:t xml:space="preserve">Los pagos o abonos en cuenta por servicios de arrendamiento de bienes inmuebles y de transporte de pasajeros están sujetos a la tarifa de retención del tres punto cinco por ciento (3.5%). </w:t>
      </w:r>
    </w:p>
    <w:p w14:paraId="108AC5DB" w14:textId="77777777" w:rsidR="00B2442D" w:rsidRDefault="00B2442D">
      <w:pPr>
        <w:jc w:val="both"/>
        <w:rPr>
          <w:rFonts w:ascii="Arial" w:hAnsi="Arial" w:cs="Arial"/>
          <w:lang w:val="es-CO"/>
        </w:rPr>
      </w:pPr>
    </w:p>
    <w:p w14:paraId="36D50DB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circunstancias que originan las correspondientes excepciones, así como los hechos que dan lugar a la utilización de bases o tarifas inferiores a las generales señaladas en el artículo 1.2.4.9.2 de este decreto, deberán ser comunicadas por escrito al a</w:t>
      </w:r>
      <w:r>
        <w:rPr>
          <w:rFonts w:ascii="Arial" w:hAnsi="Arial" w:cs="Arial"/>
          <w:lang w:val="es-CO"/>
        </w:rPr>
        <w:t>gente retenedor, por los beneficiarios de los respectivos pagos o abonos en cuenta</w:t>
      </w:r>
    </w:p>
    <w:p w14:paraId="267C174C" w14:textId="77777777" w:rsidR="00B2442D" w:rsidRDefault="00B2442D">
      <w:pPr>
        <w:jc w:val="both"/>
        <w:rPr>
          <w:rFonts w:ascii="Arial" w:hAnsi="Arial" w:cs="Arial"/>
          <w:i/>
          <w:lang w:val="es-CO"/>
        </w:rPr>
      </w:pPr>
    </w:p>
    <w:p w14:paraId="01969515" w14:textId="77777777" w:rsidR="00B2442D" w:rsidRDefault="008A645F">
      <w:pPr>
        <w:jc w:val="both"/>
        <w:rPr>
          <w:rFonts w:ascii="Arial" w:hAnsi="Arial" w:cs="Arial"/>
          <w:i/>
          <w:lang w:val="es-CO"/>
        </w:rPr>
      </w:pPr>
      <w:r>
        <w:rPr>
          <w:rFonts w:ascii="Arial" w:hAnsi="Arial" w:cs="Arial"/>
          <w:i/>
          <w:lang w:val="es-CO"/>
        </w:rPr>
        <w:t>(Art. 5, Decreto 260 de 2001, modificado por el art. 6 del Decreto 1020 de 2014)</w:t>
      </w:r>
    </w:p>
    <w:p w14:paraId="08E1EB46" w14:textId="77777777" w:rsidR="00B2442D" w:rsidRDefault="00B2442D">
      <w:pPr>
        <w:jc w:val="both"/>
        <w:rPr>
          <w:rFonts w:ascii="Arial" w:hAnsi="Arial" w:cs="Arial"/>
          <w:i/>
          <w:lang w:val="es-CO"/>
        </w:rPr>
      </w:pPr>
    </w:p>
    <w:p w14:paraId="5E0B8916"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Tarifa de retención en la fuente por concepto de subsidios oficiales a la demanda educativ</w:t>
      </w:r>
      <w:r>
        <w:rPr>
          <w:rFonts w:ascii="Arial" w:hAnsi="Arial" w:cs="Arial"/>
          <w:b/>
          <w:i/>
          <w:lang w:val="es-CO"/>
        </w:rPr>
        <w:t>a.</w:t>
      </w:r>
      <w:r>
        <w:rPr>
          <w:rFonts w:ascii="Arial" w:hAnsi="Arial" w:cs="Arial"/>
          <w:lang w:val="es-CO"/>
        </w:rPr>
        <w:t xml:space="preserve"> La tarifa de retención en la fuente aplicable sobre pagos o abonos en cuenta que efectúen entidades de derecho público a contribuyentes que estén obligados a presentar declaración del impuesto sobre la renta y complementario que sean titulares de establ</w:t>
      </w:r>
      <w:r>
        <w:rPr>
          <w:rFonts w:ascii="Arial" w:hAnsi="Arial" w:cs="Arial"/>
          <w:lang w:val="es-CO"/>
        </w:rPr>
        <w:t>ecimientos escolares oficialmente reconocidos por concepto de servicios de educación preescolar, básica primaria y media vocacional, relacionados con cupos escolares relativos a subsidios a la demanda educativa y que en virtud de contratación administrativ</w:t>
      </w:r>
      <w:r>
        <w:rPr>
          <w:rFonts w:ascii="Arial" w:hAnsi="Arial" w:cs="Arial"/>
          <w:lang w:val="es-CO"/>
        </w:rPr>
        <w:t>a se efectúen, es del seis por ciento (6%) del valor del correspondiente pago o abono en cuenta. Lo anterior, sin perjuicio de las disposiciones de retención en la fuente aplicables a las entidades contribuyentes del régimen tributario especial.</w:t>
      </w:r>
    </w:p>
    <w:p w14:paraId="7B970038" w14:textId="77777777" w:rsidR="00B2442D" w:rsidRDefault="00B2442D">
      <w:pPr>
        <w:jc w:val="both"/>
        <w:rPr>
          <w:rFonts w:ascii="Arial" w:hAnsi="Arial" w:cs="Arial"/>
          <w:lang w:val="es-CO"/>
        </w:rPr>
      </w:pPr>
    </w:p>
    <w:p w14:paraId="6AF06A2A" w14:textId="77777777" w:rsidR="00B2442D" w:rsidRDefault="008A645F">
      <w:pPr>
        <w:jc w:val="both"/>
        <w:rPr>
          <w:rFonts w:ascii="Arial" w:hAnsi="Arial" w:cs="Arial"/>
          <w:i/>
          <w:lang w:val="es-CO"/>
        </w:rPr>
      </w:pPr>
      <w:r>
        <w:rPr>
          <w:rFonts w:ascii="Arial" w:hAnsi="Arial" w:cs="Arial"/>
          <w:i/>
          <w:lang w:val="es-CO"/>
        </w:rPr>
        <w:t xml:space="preserve">(Art. 1, </w:t>
      </w:r>
      <w:r>
        <w:rPr>
          <w:rFonts w:ascii="Arial" w:hAnsi="Arial" w:cs="Arial"/>
          <w:i/>
          <w:lang w:val="es-CO"/>
        </w:rPr>
        <w:t>Decreto 779 de 2004)</w:t>
      </w:r>
    </w:p>
    <w:p w14:paraId="2425B6FC" w14:textId="77777777" w:rsidR="00B2442D" w:rsidRDefault="00B2442D">
      <w:pPr>
        <w:jc w:val="both"/>
        <w:rPr>
          <w:rFonts w:ascii="Arial" w:hAnsi="Arial" w:cs="Arial"/>
          <w:lang w:val="es-CO"/>
        </w:rPr>
      </w:pPr>
    </w:p>
    <w:p w14:paraId="55E9A069"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iCs/>
          <w:lang w:val="es-CO"/>
        </w:rPr>
        <w:t>Base mínima no sometida a retención en la fuente por concepto de emolumentos eclesiásticos.</w:t>
      </w:r>
      <w:r>
        <w:rPr>
          <w:rFonts w:ascii="Arial" w:hAnsi="Arial" w:cs="Arial"/>
          <w:i/>
          <w:iCs/>
          <w:lang w:val="es-CO"/>
        </w:rPr>
        <w:t xml:space="preserve"> </w:t>
      </w:r>
      <w:r>
        <w:rPr>
          <w:rFonts w:ascii="Arial" w:hAnsi="Arial" w:cs="Arial"/>
          <w:lang w:val="es-CO"/>
        </w:rPr>
        <w:t>No estarán sometidos a retención en la fuente los pagos o abonos en cuenta en dinero o en especie que tengan una cuantía individual inferior a</w:t>
      </w:r>
      <w:r>
        <w:rPr>
          <w:rFonts w:ascii="Arial" w:hAnsi="Arial" w:cs="Arial"/>
          <w:lang w:val="es-CO"/>
        </w:rPr>
        <w:t xml:space="preserve"> veintisiete (27) Unidades de Valor Tributario (UVT), que efectúen los agentes de retención por concepto de emolumentos eclesiásticos a contribuyentes obligados y no obligados a presentar la declaración del impuesto sobre la renta y complementario, de conf</w:t>
      </w:r>
      <w:r>
        <w:rPr>
          <w:rFonts w:ascii="Arial" w:hAnsi="Arial" w:cs="Arial"/>
          <w:lang w:val="es-CO"/>
        </w:rPr>
        <w:t xml:space="preserve">ormidad con el artículo </w:t>
      </w:r>
      <w:r>
        <w:rPr>
          <w:rFonts w:ascii="Arial" w:hAnsi="Arial" w:cs="Arial"/>
          <w:bCs/>
          <w:lang w:val="es-CO"/>
        </w:rPr>
        <w:t xml:space="preserve">1.2.4.9.1 </w:t>
      </w:r>
      <w:r>
        <w:rPr>
          <w:rFonts w:ascii="Arial" w:hAnsi="Arial" w:cs="Arial"/>
          <w:lang w:val="es-CO"/>
        </w:rPr>
        <w:t>literal i) de este Decreto.</w:t>
      </w:r>
    </w:p>
    <w:p w14:paraId="7EBBC531" w14:textId="77777777" w:rsidR="00B2442D" w:rsidRDefault="00B2442D">
      <w:pPr>
        <w:jc w:val="both"/>
        <w:rPr>
          <w:rFonts w:ascii="Arial" w:hAnsi="Arial" w:cs="Arial"/>
          <w:lang w:val="es-CO"/>
        </w:rPr>
      </w:pPr>
    </w:p>
    <w:p w14:paraId="0488DBF8" w14:textId="77777777" w:rsidR="00B2442D" w:rsidRDefault="008A645F">
      <w:pPr>
        <w:jc w:val="both"/>
        <w:rPr>
          <w:rFonts w:ascii="Arial" w:hAnsi="Arial" w:cs="Arial"/>
          <w:lang w:val="es-CO"/>
        </w:rPr>
      </w:pPr>
      <w:r>
        <w:rPr>
          <w:rFonts w:ascii="Arial" w:hAnsi="Arial" w:cs="Arial"/>
          <w:lang w:val="es-CO"/>
        </w:rPr>
        <w:t xml:space="preserve">Igualmente no se aplicará la retención en la fuente sobre los pagos o abonos en cuenta por concepto de emolumentos eclesiásticos que efectúen las personas naturales que no tengan la calidad de </w:t>
      </w:r>
      <w:r>
        <w:rPr>
          <w:rFonts w:ascii="Arial" w:hAnsi="Arial" w:cs="Arial"/>
          <w:lang w:val="es-CO"/>
        </w:rPr>
        <w:t>agentes de retención de conformidad con las disposiciones contenidas en el Estatuto Tributario.</w:t>
      </w:r>
    </w:p>
    <w:p w14:paraId="116B739E" w14:textId="77777777" w:rsidR="00B2442D" w:rsidRDefault="00B2442D">
      <w:pPr>
        <w:jc w:val="both"/>
        <w:rPr>
          <w:rFonts w:ascii="Arial" w:hAnsi="Arial" w:cs="Arial"/>
          <w:lang w:val="es-CO"/>
        </w:rPr>
      </w:pPr>
    </w:p>
    <w:p w14:paraId="623F228D" w14:textId="77777777" w:rsidR="00B2442D" w:rsidRDefault="008A645F">
      <w:pPr>
        <w:jc w:val="both"/>
        <w:rPr>
          <w:rFonts w:ascii="Arial" w:hAnsi="Arial" w:cs="Arial"/>
          <w:i/>
          <w:lang w:val="es-CO"/>
        </w:rPr>
      </w:pPr>
      <w:r>
        <w:rPr>
          <w:rFonts w:ascii="Arial" w:hAnsi="Arial" w:cs="Arial"/>
          <w:i/>
          <w:lang w:val="es-CO"/>
        </w:rPr>
        <w:t>(Art. 1, Decreto 886 de 2006, modificado por el art. 5 del Decreto 379 de 2007)</w:t>
      </w:r>
      <w:r>
        <w:rPr>
          <w:rFonts w:ascii="Arial" w:hAnsi="Arial" w:cs="Arial"/>
        </w:rPr>
        <w:t xml:space="preserve"> (</w:t>
      </w:r>
      <w:r>
        <w:rPr>
          <w:rFonts w:ascii="Arial" w:hAnsi="Arial" w:cs="Arial"/>
          <w:i/>
          <w:lang w:val="es-CO"/>
        </w:rPr>
        <w:t>El Decreto 886 de 2006 rige a partir de la fecha de su publicación y deroga la</w:t>
      </w:r>
      <w:r>
        <w:rPr>
          <w:rFonts w:ascii="Arial" w:hAnsi="Arial" w:cs="Arial"/>
          <w:i/>
          <w:lang w:val="es-CO"/>
        </w:rPr>
        <w:t>s normas que le sean contrarias en especial el Decreto 3595 de 2005. Art. 5, Decreto 886 de 2006)</w:t>
      </w:r>
    </w:p>
    <w:p w14:paraId="2B1D773B" w14:textId="77777777" w:rsidR="00B2442D" w:rsidRDefault="00B2442D">
      <w:pPr>
        <w:jc w:val="both"/>
        <w:rPr>
          <w:rFonts w:ascii="Arial" w:hAnsi="Arial" w:cs="Arial"/>
          <w:lang w:val="es-CO"/>
        </w:rPr>
      </w:pPr>
    </w:p>
    <w:p w14:paraId="2473DD84"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Tarifa de retención en la fuente a título del impuesto sobre la renta por concepto de emolumentos eclesiásticos.</w:t>
      </w:r>
      <w:r>
        <w:rPr>
          <w:rFonts w:ascii="Arial" w:hAnsi="Arial" w:cs="Arial"/>
          <w:lang w:val="es-CO"/>
        </w:rPr>
        <w:t xml:space="preserve"> La tarifa de retención en la fuente a título</w:t>
      </w:r>
      <w:r>
        <w:rPr>
          <w:rFonts w:ascii="Arial" w:hAnsi="Arial" w:cs="Arial"/>
          <w:lang w:val="es-CO"/>
        </w:rPr>
        <w:t xml:space="preserve"> del impuesto sobre la renta, aplicable sobre los pagos o abonos en cuenta en dinero o en especie que efectúen los agentes de retención por concepto de emolumentos eclesiásticos a contribuyentes obligados a presentar declaración del impuesto sobre la renta</w:t>
      </w:r>
      <w:r>
        <w:rPr>
          <w:rFonts w:ascii="Arial" w:hAnsi="Arial" w:cs="Arial"/>
          <w:lang w:val="es-CO"/>
        </w:rPr>
        <w:t xml:space="preserve"> y complementario, será del cuatro por ciento (4%) sobre el valor bruto del pago o abono en cuenta.</w:t>
      </w:r>
    </w:p>
    <w:p w14:paraId="0C05C495" w14:textId="77777777" w:rsidR="00B2442D" w:rsidRDefault="00B2442D">
      <w:pPr>
        <w:jc w:val="both"/>
        <w:rPr>
          <w:rFonts w:ascii="Arial" w:hAnsi="Arial" w:cs="Arial"/>
          <w:lang w:val="es-CO"/>
        </w:rPr>
      </w:pPr>
    </w:p>
    <w:p w14:paraId="54534160" w14:textId="77777777" w:rsidR="00B2442D" w:rsidRDefault="008A645F">
      <w:pPr>
        <w:jc w:val="both"/>
        <w:rPr>
          <w:rFonts w:ascii="Arial" w:hAnsi="Arial" w:cs="Arial"/>
          <w:lang w:val="es-CO"/>
        </w:rPr>
      </w:pPr>
      <w:r>
        <w:rPr>
          <w:rFonts w:ascii="Arial" w:hAnsi="Arial" w:cs="Arial"/>
          <w:lang w:val="es-CO"/>
        </w:rPr>
        <w:t xml:space="preserve">Cuando el beneficiario del pago o abono en cuenta no esté obligado a presentar declaración del impuesto sobre la renta, la tarifa de retención en la </w:t>
      </w:r>
      <w:r>
        <w:rPr>
          <w:rFonts w:ascii="Arial" w:hAnsi="Arial" w:cs="Arial"/>
          <w:lang w:val="es-CO"/>
        </w:rPr>
        <w:t>fuente por concepto de emolumentos eclesiásticos será del tres y medio por ciento (3.5%) sobre el valor bruto del pago o abono en cuenta, de conformidad con el artículo 401 del Estatuto Tributario.</w:t>
      </w:r>
    </w:p>
    <w:p w14:paraId="18FFD106" w14:textId="77777777" w:rsidR="00B2442D" w:rsidRDefault="00B2442D">
      <w:pPr>
        <w:jc w:val="both"/>
        <w:rPr>
          <w:rFonts w:ascii="Arial" w:hAnsi="Arial" w:cs="Arial"/>
          <w:lang w:val="es-CO"/>
        </w:rPr>
      </w:pPr>
    </w:p>
    <w:p w14:paraId="2902A228" w14:textId="77777777" w:rsidR="00B2442D" w:rsidRDefault="008A645F">
      <w:pPr>
        <w:jc w:val="both"/>
        <w:rPr>
          <w:rFonts w:ascii="Arial" w:hAnsi="Arial" w:cs="Arial"/>
          <w:i/>
          <w:lang w:val="es-CO"/>
        </w:rPr>
      </w:pPr>
      <w:r>
        <w:rPr>
          <w:rFonts w:ascii="Arial" w:hAnsi="Arial" w:cs="Arial"/>
          <w:i/>
          <w:lang w:val="es-CO"/>
        </w:rPr>
        <w:t>(Art. 2, Decreto 886 de 2006)</w:t>
      </w:r>
      <w:r>
        <w:rPr>
          <w:rFonts w:ascii="Arial" w:hAnsi="Arial" w:cs="Arial"/>
        </w:rPr>
        <w:t xml:space="preserve"> </w:t>
      </w:r>
      <w:r>
        <w:rPr>
          <w:rFonts w:ascii="Arial" w:hAnsi="Arial" w:cs="Arial"/>
          <w:i/>
          <w:lang w:val="es-CO"/>
        </w:rPr>
        <w:t>(El Decreto 886 de 2006 rig</w:t>
      </w:r>
      <w:r>
        <w:rPr>
          <w:rFonts w:ascii="Arial" w:hAnsi="Arial" w:cs="Arial"/>
          <w:i/>
          <w:lang w:val="es-CO"/>
        </w:rPr>
        <w:t>e a partir de la fecha de su publicación y deroga las normas que le sean contrarias en especial el Decreto 3595 de 2005. Art. 5, Decreto 886 de 2006)</w:t>
      </w:r>
    </w:p>
    <w:p w14:paraId="65139D3D" w14:textId="77777777" w:rsidR="00B2442D" w:rsidRDefault="00B2442D">
      <w:pPr>
        <w:jc w:val="both"/>
        <w:rPr>
          <w:rFonts w:ascii="Arial" w:hAnsi="Arial" w:cs="Arial"/>
          <w:lang w:val="es-CO"/>
        </w:rPr>
      </w:pPr>
    </w:p>
    <w:p w14:paraId="3C841CA7"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Emolumentos Eclesiásticos.</w:t>
      </w:r>
      <w:r>
        <w:rPr>
          <w:rFonts w:ascii="Arial" w:hAnsi="Arial" w:cs="Arial"/>
          <w:lang w:val="es-CO"/>
        </w:rPr>
        <w:t xml:space="preserve"> Para efectos de la retención en la fuente de que tratan los artículos 1.2.4.10</w:t>
      </w:r>
      <w:r>
        <w:rPr>
          <w:rFonts w:ascii="Arial" w:hAnsi="Arial" w:cs="Arial"/>
          <w:lang w:val="es-CO"/>
        </w:rPr>
        <w:t>.8 a 1.2.4.10.11 del presente decreto, se entiende por emolumentos eclesiásticos, todo pago o abono en cuenta, en dinero o en especie, realizados en forma directa o indirecta, tales como compensaciones, retribuciones, ofrendas, donaciones, o cualquier otra</w:t>
      </w:r>
      <w:r>
        <w:rPr>
          <w:rFonts w:ascii="Arial" w:hAnsi="Arial" w:cs="Arial"/>
          <w:lang w:val="es-CO"/>
        </w:rPr>
        <w:t xml:space="preserve"> forma que utilicen las iglesias, confesiones y denominaciones religiosas o los demás agentes de retención, cuya finalidad sea compensar o retribuir el servicio personal del ministro del culto, independientemente de la denominación que se le otorgue, y de </w:t>
      </w:r>
      <w:r>
        <w:rPr>
          <w:rFonts w:ascii="Arial" w:hAnsi="Arial" w:cs="Arial"/>
          <w:lang w:val="es-CO"/>
        </w:rPr>
        <w:t>la orientación o credo religioso que profese.</w:t>
      </w:r>
    </w:p>
    <w:p w14:paraId="334C174C" w14:textId="77777777" w:rsidR="00B2442D" w:rsidRDefault="00B2442D">
      <w:pPr>
        <w:jc w:val="both"/>
        <w:rPr>
          <w:rFonts w:ascii="Arial" w:hAnsi="Arial" w:cs="Arial"/>
          <w:lang w:val="es-CO"/>
        </w:rPr>
      </w:pPr>
    </w:p>
    <w:p w14:paraId="09269647" w14:textId="77777777" w:rsidR="00B2442D" w:rsidRDefault="008A645F">
      <w:pPr>
        <w:jc w:val="both"/>
        <w:rPr>
          <w:rFonts w:ascii="Arial" w:hAnsi="Arial" w:cs="Arial"/>
          <w:i/>
          <w:lang w:val="es-CO"/>
        </w:rPr>
      </w:pPr>
      <w:r>
        <w:rPr>
          <w:rFonts w:ascii="Arial" w:hAnsi="Arial" w:cs="Arial"/>
          <w:i/>
          <w:lang w:val="es-CO"/>
        </w:rPr>
        <w:t>(Art. 3, Decreto 886 de 2006)</w:t>
      </w:r>
      <w:r>
        <w:rPr>
          <w:rFonts w:ascii="Arial" w:hAnsi="Arial" w:cs="Arial"/>
        </w:rPr>
        <w:t xml:space="preserve"> </w:t>
      </w:r>
      <w:r>
        <w:rPr>
          <w:rFonts w:ascii="Arial" w:hAnsi="Arial" w:cs="Arial"/>
          <w:i/>
          <w:lang w:val="es-CO"/>
        </w:rPr>
        <w:t>(El Decreto 886 de 2006 rige a partir de la fecha de su publicación y deroga las normas que le sean contrarias en especial el Decreto 3595 de 2005. Art. 5, Decreto 886 de 2006)</w:t>
      </w:r>
    </w:p>
    <w:p w14:paraId="285FE934" w14:textId="77777777" w:rsidR="00B2442D" w:rsidRDefault="00B2442D">
      <w:pPr>
        <w:jc w:val="both"/>
        <w:rPr>
          <w:rFonts w:ascii="Arial" w:hAnsi="Arial" w:cs="Arial"/>
          <w:lang w:val="es-CO"/>
        </w:rPr>
      </w:pPr>
    </w:p>
    <w:p w14:paraId="02822757"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O</w:t>
      </w:r>
      <w:r>
        <w:rPr>
          <w:rFonts w:ascii="Arial" w:hAnsi="Arial" w:cs="Arial"/>
          <w:b/>
          <w:i/>
          <w:lang w:val="es-CO"/>
        </w:rPr>
        <w:t xml:space="preserve">tros pagos o abonos en cuenta. </w:t>
      </w:r>
      <w:r>
        <w:rPr>
          <w:rFonts w:ascii="Arial" w:hAnsi="Arial" w:cs="Arial"/>
          <w:lang w:val="es-CO"/>
        </w:rPr>
        <w:t xml:space="preserve">Cualquier otro pago o abono en cuenta que no corresponda a ingresos por el concepto de emolumentos eclesiásticos a que se refieren los artículos 1.2.4.10.8 a 1.2.4.10.11 del presente decreto, estarán sometidos a retención en </w:t>
      </w:r>
      <w:r>
        <w:rPr>
          <w:rFonts w:ascii="Arial" w:hAnsi="Arial" w:cs="Arial"/>
          <w:lang w:val="es-CO"/>
        </w:rPr>
        <w:t>la fuente según las normas generales atendiendo el concepto de pago o abono en cuenta.</w:t>
      </w:r>
    </w:p>
    <w:p w14:paraId="562BF7F7" w14:textId="77777777" w:rsidR="00B2442D" w:rsidRDefault="00B2442D">
      <w:pPr>
        <w:jc w:val="both"/>
        <w:rPr>
          <w:rFonts w:ascii="Arial" w:hAnsi="Arial" w:cs="Arial"/>
          <w:lang w:val="es-CO"/>
        </w:rPr>
      </w:pPr>
    </w:p>
    <w:p w14:paraId="6FD4A3E2" w14:textId="77777777" w:rsidR="00B2442D" w:rsidRDefault="008A645F">
      <w:pPr>
        <w:jc w:val="both"/>
        <w:rPr>
          <w:rFonts w:ascii="Arial" w:hAnsi="Arial" w:cs="Arial"/>
          <w:i/>
          <w:lang w:val="es-CO"/>
        </w:rPr>
      </w:pPr>
      <w:r>
        <w:rPr>
          <w:rFonts w:ascii="Arial" w:hAnsi="Arial" w:cs="Arial"/>
          <w:i/>
          <w:lang w:val="es-CO"/>
        </w:rPr>
        <w:t>(Art. 4, Decreto 886 de 2006)</w:t>
      </w:r>
      <w:r>
        <w:rPr>
          <w:rFonts w:ascii="Arial" w:hAnsi="Arial" w:cs="Arial"/>
        </w:rPr>
        <w:t xml:space="preserve"> </w:t>
      </w:r>
      <w:r>
        <w:rPr>
          <w:rFonts w:ascii="Arial" w:hAnsi="Arial" w:cs="Arial"/>
          <w:i/>
          <w:lang w:val="es-CO"/>
        </w:rPr>
        <w:t>(El Decreto 886 de 2006 rige a partir de la fecha de su publicación y deroga las normas que le sean contrarias en especial el Decreto 3595</w:t>
      </w:r>
      <w:r>
        <w:rPr>
          <w:rFonts w:ascii="Arial" w:hAnsi="Arial" w:cs="Arial"/>
          <w:i/>
          <w:lang w:val="es-CO"/>
        </w:rPr>
        <w:t xml:space="preserve"> de 2005. Art. 5, Decreto 886 de 2006)</w:t>
      </w:r>
    </w:p>
    <w:p w14:paraId="4BA00E2F" w14:textId="77777777" w:rsidR="00B2442D" w:rsidRDefault="00B2442D">
      <w:pPr>
        <w:jc w:val="both"/>
        <w:rPr>
          <w:rFonts w:ascii="Arial" w:hAnsi="Arial" w:cs="Arial"/>
          <w:lang w:val="es-CO"/>
        </w:rPr>
      </w:pPr>
    </w:p>
    <w:p w14:paraId="564D0F4B"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Retención por ingresos provenientes de exportación de hidrocarburos y demás productos mineros.</w:t>
      </w:r>
      <w:r>
        <w:rPr>
          <w:rFonts w:ascii="Arial" w:hAnsi="Arial" w:cs="Arial"/>
          <w:lang w:val="es-CO"/>
        </w:rPr>
        <w:t xml:space="preserve"> Las tarifas de retención en la fuente a título de impuesto de renta y complementario sobre el valor bruto del pago o abon</w:t>
      </w:r>
      <w:r>
        <w:rPr>
          <w:rFonts w:ascii="Arial" w:hAnsi="Arial" w:cs="Arial"/>
          <w:lang w:val="es-CO"/>
        </w:rPr>
        <w:t>o en cuenta en divisas provenientes del exterior por exportación de hidrocarburos y demás productos mineros serán:</w:t>
      </w:r>
    </w:p>
    <w:p w14:paraId="65509180" w14:textId="77777777" w:rsidR="00B2442D" w:rsidRDefault="00B2442D">
      <w:pPr>
        <w:jc w:val="both"/>
        <w:rPr>
          <w:rFonts w:ascii="Arial" w:hAnsi="Arial" w:cs="Arial"/>
          <w:lang w:val="es-CO"/>
        </w:rPr>
      </w:pPr>
    </w:p>
    <w:p w14:paraId="5EEAD2DC" w14:textId="77777777" w:rsidR="00B2442D" w:rsidRDefault="008A645F">
      <w:pPr>
        <w:jc w:val="both"/>
        <w:rPr>
          <w:rFonts w:ascii="Arial" w:hAnsi="Arial" w:cs="Arial"/>
          <w:lang w:val="es-CO"/>
        </w:rPr>
      </w:pPr>
      <w:r>
        <w:rPr>
          <w:rFonts w:ascii="Arial" w:hAnsi="Arial" w:cs="Arial"/>
          <w:lang w:val="es-CO"/>
        </w:rPr>
        <w:t>1. Exportaciones de hidrocarburos: uno punto cinco por ciento (1.5%).</w:t>
      </w:r>
    </w:p>
    <w:p w14:paraId="71A82952" w14:textId="77777777" w:rsidR="00B2442D" w:rsidRDefault="00B2442D">
      <w:pPr>
        <w:jc w:val="both"/>
        <w:rPr>
          <w:rFonts w:ascii="Arial" w:hAnsi="Arial" w:cs="Arial"/>
          <w:lang w:val="es-CO"/>
        </w:rPr>
      </w:pPr>
    </w:p>
    <w:p w14:paraId="5B46221A" w14:textId="77777777" w:rsidR="00B2442D" w:rsidRDefault="008A645F">
      <w:pPr>
        <w:jc w:val="both"/>
        <w:rPr>
          <w:rFonts w:ascii="Arial" w:hAnsi="Arial" w:cs="Arial"/>
          <w:lang w:val="es-CO"/>
        </w:rPr>
      </w:pPr>
      <w:r>
        <w:rPr>
          <w:rFonts w:ascii="Arial" w:hAnsi="Arial" w:cs="Arial"/>
          <w:lang w:val="es-CO"/>
        </w:rPr>
        <w:t>2. Exportaciones de demás productos mineros, incluyendo el oro: uno p</w:t>
      </w:r>
      <w:r>
        <w:rPr>
          <w:rFonts w:ascii="Arial" w:hAnsi="Arial" w:cs="Arial"/>
          <w:lang w:val="es-CO"/>
        </w:rPr>
        <w:t>or ciento (1%).</w:t>
      </w:r>
    </w:p>
    <w:p w14:paraId="2C972E44" w14:textId="77777777" w:rsidR="00B2442D" w:rsidRDefault="00B2442D">
      <w:pPr>
        <w:jc w:val="both"/>
        <w:rPr>
          <w:rFonts w:ascii="Arial" w:hAnsi="Arial" w:cs="Arial"/>
          <w:lang w:val="es-CO"/>
        </w:rPr>
      </w:pPr>
    </w:p>
    <w:p w14:paraId="3ED6B2F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 dispuesto en el presente artículo no aplica a los ingresos originados en exportaciones de oro que efectúen las Sociedades de Comercialización Internacional, siempre y cuando los ingresos correspondan a oro exportado respecto del cual la Sociedad de Com</w:t>
      </w:r>
      <w:r>
        <w:rPr>
          <w:rFonts w:ascii="Arial" w:hAnsi="Arial" w:cs="Arial"/>
          <w:lang w:val="es-CO"/>
        </w:rPr>
        <w:t>ercialización Internacional haya efectuado retención en la fuente a sus proveedores de acuerdo con el parágrafo del artículo 1.2.4.6.9 de este Decreto.</w:t>
      </w:r>
    </w:p>
    <w:p w14:paraId="4D9D1D93" w14:textId="77777777" w:rsidR="00B2442D" w:rsidRDefault="00B2442D">
      <w:pPr>
        <w:jc w:val="both"/>
        <w:rPr>
          <w:rFonts w:ascii="Arial" w:hAnsi="Arial" w:cs="Arial"/>
          <w:lang w:val="es-CO"/>
        </w:rPr>
      </w:pPr>
    </w:p>
    <w:p w14:paraId="1F847ACE" w14:textId="77777777" w:rsidR="00B2442D" w:rsidRDefault="008A645F">
      <w:pPr>
        <w:jc w:val="both"/>
        <w:rPr>
          <w:rFonts w:ascii="Arial" w:hAnsi="Arial" w:cs="Arial"/>
          <w:i/>
          <w:lang w:val="es-CO"/>
        </w:rPr>
      </w:pPr>
      <w:r>
        <w:rPr>
          <w:rFonts w:ascii="Arial" w:hAnsi="Arial" w:cs="Arial"/>
          <w:i/>
          <w:lang w:val="es-CO"/>
        </w:rPr>
        <w:t>(Art. 1, Decreto 1505 de 2011, modificado por el art. 7 del Decreto 2418 de 2013)</w:t>
      </w:r>
    </w:p>
    <w:p w14:paraId="3867E19D" w14:textId="77777777" w:rsidR="00B2442D" w:rsidRDefault="00B2442D">
      <w:pPr>
        <w:jc w:val="both"/>
        <w:rPr>
          <w:rFonts w:ascii="Arial" w:hAnsi="Arial" w:cs="Arial"/>
          <w:lang w:val="es-CO"/>
        </w:rPr>
      </w:pPr>
    </w:p>
    <w:p w14:paraId="04472765"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Declaración y pago d</w:t>
      </w:r>
      <w:r>
        <w:rPr>
          <w:rFonts w:ascii="Arial" w:hAnsi="Arial" w:cs="Arial"/>
          <w:b/>
          <w:i/>
          <w:lang w:val="es-CO"/>
        </w:rPr>
        <w:t>e la retención.</w:t>
      </w:r>
      <w:r>
        <w:rPr>
          <w:rFonts w:ascii="Arial" w:hAnsi="Arial" w:cs="Arial"/>
          <w:lang w:val="es-CO"/>
        </w:rPr>
        <w:t xml:space="preserve"> Para efectos de esta retención, el beneficiario del ingreso operará como autorretenedor y deberá:</w:t>
      </w:r>
    </w:p>
    <w:p w14:paraId="38BEFBA0" w14:textId="77777777" w:rsidR="00B2442D" w:rsidRDefault="00B2442D">
      <w:pPr>
        <w:jc w:val="both"/>
        <w:rPr>
          <w:rFonts w:ascii="Arial" w:hAnsi="Arial" w:cs="Arial"/>
          <w:lang w:val="es-CO"/>
        </w:rPr>
      </w:pPr>
    </w:p>
    <w:p w14:paraId="11C7E9DE"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Determinar la retención sobre el valor de las divisas en moneda nacional a la tasa de cambio vigente a la fecha de pago o abono en cuenta,</w:t>
      </w:r>
      <w:r>
        <w:rPr>
          <w:rFonts w:ascii="Arial" w:hAnsi="Arial" w:cs="Arial"/>
          <w:lang w:val="es-CO"/>
        </w:rPr>
        <w:t xml:space="preserve"> independientemente que el pago se reciba en Colombia o en cuentas del exterior y de que haya o no monetización de las divisas.</w:t>
      </w:r>
    </w:p>
    <w:p w14:paraId="3D639ABA" w14:textId="77777777" w:rsidR="00B2442D" w:rsidRDefault="00B2442D">
      <w:pPr>
        <w:jc w:val="both"/>
        <w:rPr>
          <w:rFonts w:ascii="Arial" w:hAnsi="Arial" w:cs="Arial"/>
          <w:lang w:val="es-CO"/>
        </w:rPr>
      </w:pPr>
    </w:p>
    <w:p w14:paraId="3133AA70"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 xml:space="preserve">Declarar y pagar la retención en los plazos previstos en el decreto mediante el cual el Gobierno Nacional </w:t>
      </w:r>
      <w:r>
        <w:rPr>
          <w:rFonts w:ascii="Arial" w:hAnsi="Arial" w:cs="Arial"/>
          <w:lang w:val="es-CO"/>
        </w:rPr>
        <w:t>anualmente fija de manera general los lugares y plazos para la presentación de las declaraciones tributarias y para el pago de los impuestos, anticipos y retenciones, teniendo en cuenta el periodo de retención correspondiente al mes de pago o abono en cuen</w:t>
      </w:r>
      <w:r>
        <w:rPr>
          <w:rFonts w:ascii="Arial" w:hAnsi="Arial" w:cs="Arial"/>
          <w:lang w:val="es-CO"/>
        </w:rPr>
        <w:t>ta.</w:t>
      </w:r>
    </w:p>
    <w:p w14:paraId="261E4E80" w14:textId="77777777" w:rsidR="00B2442D" w:rsidRDefault="00B2442D">
      <w:pPr>
        <w:jc w:val="both"/>
        <w:rPr>
          <w:rFonts w:ascii="Arial" w:hAnsi="Arial" w:cs="Arial"/>
          <w:lang w:val="es-CO"/>
        </w:rPr>
      </w:pPr>
    </w:p>
    <w:p w14:paraId="73B646B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beneficiarios de los ingresos a que se refiere el artículo 1.2.4.10.12 del presente decreto, en su condición de agentes de retención están sometidos al procedimiento y régimen sancionatorio establecido en el Estatuto Tributario.</w:t>
      </w:r>
    </w:p>
    <w:p w14:paraId="32C48A04" w14:textId="77777777" w:rsidR="00B2442D" w:rsidRDefault="00B2442D">
      <w:pPr>
        <w:jc w:val="both"/>
        <w:rPr>
          <w:rFonts w:ascii="Arial" w:hAnsi="Arial" w:cs="Arial"/>
          <w:lang w:val="es-CO"/>
        </w:rPr>
      </w:pPr>
    </w:p>
    <w:p w14:paraId="38EF8EB3" w14:textId="77777777" w:rsidR="00B2442D" w:rsidRDefault="008A645F">
      <w:pPr>
        <w:jc w:val="both"/>
        <w:rPr>
          <w:rFonts w:ascii="Arial" w:hAnsi="Arial" w:cs="Arial"/>
          <w:lang w:val="es-CO"/>
        </w:rPr>
      </w:pPr>
      <w:r>
        <w:rPr>
          <w:rFonts w:ascii="Arial" w:hAnsi="Arial" w:cs="Arial"/>
          <w:i/>
          <w:lang w:val="es-CO"/>
        </w:rPr>
        <w:t xml:space="preserve">(Art. </w:t>
      </w:r>
      <w:r>
        <w:rPr>
          <w:rFonts w:ascii="Arial" w:hAnsi="Arial" w:cs="Arial"/>
          <w:i/>
          <w:lang w:val="es-CO"/>
        </w:rPr>
        <w:t>2, Decreto 1505 de 2011)</w:t>
      </w:r>
    </w:p>
    <w:p w14:paraId="59423B4C" w14:textId="77777777" w:rsidR="00B2442D" w:rsidRDefault="00B2442D">
      <w:pPr>
        <w:jc w:val="both"/>
        <w:rPr>
          <w:rFonts w:ascii="Arial" w:hAnsi="Arial" w:cs="Arial"/>
          <w:lang w:val="es-CO"/>
        </w:rPr>
      </w:pPr>
    </w:p>
    <w:p w14:paraId="5CE9BD61" w14:textId="77777777" w:rsidR="00B2442D" w:rsidRDefault="008A645F">
      <w:pPr>
        <w:pStyle w:val="Prrafodelista"/>
        <w:numPr>
          <w:ilvl w:val="0"/>
          <w:numId w:val="56"/>
        </w:numPr>
        <w:ind w:left="0" w:firstLine="0"/>
        <w:jc w:val="both"/>
        <w:rPr>
          <w:rFonts w:ascii="Arial" w:hAnsi="Arial" w:cs="Arial"/>
          <w:lang w:val="es-CO"/>
        </w:rPr>
      </w:pPr>
      <w:r>
        <w:rPr>
          <w:rFonts w:ascii="Arial" w:hAnsi="Arial" w:cs="Arial"/>
          <w:b/>
          <w:i/>
          <w:lang w:val="es-CO"/>
        </w:rPr>
        <w:t>Retiro de ahorros que se sometieron a retención en la fuente o en ingresos exentos o no constitutivos de renta ni ganancia ocasional.</w:t>
      </w:r>
      <w:r>
        <w:rPr>
          <w:rFonts w:ascii="Arial" w:hAnsi="Arial" w:cs="Arial"/>
          <w:lang w:val="es-CO"/>
        </w:rPr>
        <w:t xml:space="preserve"> Los retiros de ahorros que tengan su origen en ingresos que fueron objeto de retención en la fue</w:t>
      </w:r>
      <w:r>
        <w:rPr>
          <w:rFonts w:ascii="Arial" w:hAnsi="Arial" w:cs="Arial"/>
          <w:lang w:val="es-CO"/>
        </w:rPr>
        <w:t>nte o en ingresos exentos o no constitutivo de renta ni ganancia ocasional, originados en conceptos diferentes a los previstos en el artículo 126-4 del Estatuto Tributario, no estarán sujetos a una nueva retención.</w:t>
      </w:r>
    </w:p>
    <w:p w14:paraId="0E132C3A" w14:textId="77777777" w:rsidR="00B2442D" w:rsidRDefault="00B2442D">
      <w:pPr>
        <w:jc w:val="both"/>
        <w:rPr>
          <w:rFonts w:ascii="Arial" w:hAnsi="Arial" w:cs="Arial"/>
          <w:lang w:val="es-CO"/>
        </w:rPr>
      </w:pPr>
    </w:p>
    <w:p w14:paraId="10945576" w14:textId="77777777" w:rsidR="00B2442D" w:rsidRDefault="008A645F">
      <w:pPr>
        <w:jc w:val="both"/>
        <w:rPr>
          <w:rFonts w:ascii="Arial" w:hAnsi="Arial" w:cs="Arial"/>
          <w:i/>
          <w:lang w:val="es-CO"/>
        </w:rPr>
      </w:pPr>
      <w:r>
        <w:rPr>
          <w:rFonts w:ascii="Arial" w:hAnsi="Arial" w:cs="Arial"/>
          <w:i/>
          <w:lang w:val="es-CO"/>
        </w:rPr>
        <w:t>(Art. 9, Decreto 2577 de 1999, incisos 1</w:t>
      </w:r>
      <w:r>
        <w:rPr>
          <w:rFonts w:ascii="Arial" w:hAnsi="Arial" w:cs="Arial"/>
          <w:i/>
          <w:lang w:val="es-CO"/>
        </w:rPr>
        <w:t xml:space="preserve"> y 2 tienen decaimiento por la modificación que el artículo 4 de la Ley 1607 de 2012 efectuó al artículo 126-4 del Estatuto tributario)</w:t>
      </w:r>
    </w:p>
    <w:p w14:paraId="259F3FAC" w14:textId="77777777" w:rsidR="00B2442D" w:rsidRDefault="00B2442D">
      <w:pPr>
        <w:jc w:val="both"/>
        <w:rPr>
          <w:rFonts w:ascii="Arial" w:hAnsi="Arial" w:cs="Arial"/>
          <w:i/>
          <w:lang w:val="es-CO"/>
        </w:rPr>
      </w:pPr>
    </w:p>
    <w:p w14:paraId="695A7EFA" w14:textId="77777777" w:rsidR="00B2442D" w:rsidRDefault="008A645F">
      <w:pPr>
        <w:pStyle w:val="Ttulo4"/>
      </w:pPr>
      <w:r>
        <w:t>CAPÍTULO 11</w:t>
      </w:r>
    </w:p>
    <w:p w14:paraId="4FC62053" w14:textId="77777777" w:rsidR="00B2442D" w:rsidRDefault="008A645F">
      <w:pPr>
        <w:pStyle w:val="Ttulo4"/>
      </w:pPr>
      <w:r>
        <w:t>Retención en la fuente por pagos o abonos en cuenta a favor de personas naturales sin residencia en Colombi</w:t>
      </w:r>
      <w:r>
        <w:t>a o sociedades o entidades extranjeras con establecimiento permanente</w:t>
      </w:r>
    </w:p>
    <w:p w14:paraId="7ED2F261" w14:textId="77777777" w:rsidR="00B2442D" w:rsidRDefault="00B2442D">
      <w:pPr>
        <w:rPr>
          <w:rFonts w:ascii="Arial" w:hAnsi="Arial" w:cs="Arial"/>
          <w:lang w:val="es-CO"/>
        </w:rPr>
      </w:pPr>
    </w:p>
    <w:p w14:paraId="7DA97875" w14:textId="77777777" w:rsidR="00B2442D" w:rsidRDefault="008A645F">
      <w:pPr>
        <w:pStyle w:val="Prrafodelista"/>
        <w:numPr>
          <w:ilvl w:val="0"/>
          <w:numId w:val="57"/>
        </w:numPr>
        <w:ind w:left="0" w:firstLine="0"/>
        <w:jc w:val="both"/>
        <w:rPr>
          <w:rFonts w:ascii="Arial" w:hAnsi="Arial" w:cs="Arial"/>
          <w:lang w:val="es-CO"/>
        </w:rPr>
      </w:pPr>
      <w:r>
        <w:rPr>
          <w:rFonts w:ascii="Arial" w:hAnsi="Arial" w:cs="Arial"/>
          <w:b/>
          <w:i/>
          <w:lang w:val="es-CO"/>
        </w:rPr>
        <w:t xml:space="preserve">Retención en la fuente por pagos o abonos en cuenta a favor de personas naturales sin residencia en Colombia o sociedades o entidades extranjeras con establecimiento permanente. </w:t>
      </w:r>
      <w:r>
        <w:rPr>
          <w:rFonts w:ascii="Arial" w:hAnsi="Arial" w:cs="Arial"/>
          <w:lang w:val="es-CO"/>
        </w:rPr>
        <w:t>Los age</w:t>
      </w:r>
      <w:r>
        <w:rPr>
          <w:rFonts w:ascii="Arial" w:hAnsi="Arial" w:cs="Arial"/>
          <w:lang w:val="es-CO"/>
        </w:rPr>
        <w:t>ntes de retención que realicen pagos o abonos en cuenta a favor de personas naturales sin residencia en el país o de sociedades o entidades extranjeras que tengan uno o más establecimientos permanentes en el país deberán practicar la retención en la fuente</w:t>
      </w:r>
      <w:r>
        <w:rPr>
          <w:rFonts w:ascii="Arial" w:hAnsi="Arial" w:cs="Arial"/>
          <w:lang w:val="es-CO"/>
        </w:rPr>
        <w:t xml:space="preserve"> a título de impuesto sobre la renta y complementario que corresponda a dichos pagos o abonos en cuenta, a las tarifas y en las condiciones aplicables a los residentes y sociedades nacionales, siempre que dichos pagos o abonos en cuenta correspondan a rent</w:t>
      </w:r>
      <w:r>
        <w:rPr>
          <w:rFonts w:ascii="Arial" w:hAnsi="Arial" w:cs="Arial"/>
          <w:lang w:val="es-CO"/>
        </w:rPr>
        <w:t>as atribuibles al establecimiento permanente en Colombia.</w:t>
      </w:r>
    </w:p>
    <w:p w14:paraId="697F1F35" w14:textId="77777777" w:rsidR="00B2442D" w:rsidRDefault="00B2442D">
      <w:pPr>
        <w:jc w:val="both"/>
        <w:rPr>
          <w:rFonts w:ascii="Arial" w:hAnsi="Arial" w:cs="Arial"/>
          <w:lang w:val="es-CO"/>
        </w:rPr>
      </w:pPr>
    </w:p>
    <w:p w14:paraId="4CDD1416" w14:textId="77777777" w:rsidR="00B2442D" w:rsidRDefault="008A645F">
      <w:pPr>
        <w:jc w:val="both"/>
        <w:rPr>
          <w:rFonts w:ascii="Arial" w:hAnsi="Arial" w:cs="Arial"/>
          <w:lang w:val="es-CO"/>
        </w:rPr>
      </w:pPr>
      <w:r>
        <w:rPr>
          <w:rFonts w:ascii="Arial" w:hAnsi="Arial" w:cs="Arial"/>
          <w:lang w:val="es-CO"/>
        </w:rPr>
        <w:t>Los pagos o abonos en cuenta a favor de personas naturales sin residencia en el país o de sociedades o entidades extranjeras, que tengan establecimiento permanente en el país, que correspondan a re</w:t>
      </w:r>
      <w:r>
        <w:rPr>
          <w:rFonts w:ascii="Arial" w:hAnsi="Arial" w:cs="Arial"/>
          <w:lang w:val="es-CO"/>
        </w:rPr>
        <w:t>ntas o ganancias ocasionales percibidas directamente por la persona natural o sociedad o entidad extranjera y que no sean atribuibles a un establecimiento permanente en Colombia, estarán sometidos a la retención en la fuente a que se refieren los artículos</w:t>
      </w:r>
      <w:r>
        <w:rPr>
          <w:rFonts w:ascii="Arial" w:hAnsi="Arial" w:cs="Arial"/>
          <w:lang w:val="es-CO"/>
        </w:rPr>
        <w:t xml:space="preserve"> 406 y siguientes del Estatuto Tributario, o a las normas que los modifiquen, adicionen o sustituyan. Se entenderán cobijados por este tratamiento los pagos o abonos en cuenta que no correspondan a rentas atribuibles al establecimiento permanente en el paí</w:t>
      </w:r>
      <w:r>
        <w:rPr>
          <w:rFonts w:ascii="Arial" w:hAnsi="Arial" w:cs="Arial"/>
          <w:lang w:val="es-CO"/>
        </w:rPr>
        <w:t>s, realizados por el mismo establecimiento permanente a favor de la persona natural sin residencia en el país o de la sociedad o entidad extranjera de la que es establecimiento permanente.</w:t>
      </w:r>
    </w:p>
    <w:p w14:paraId="5858760B" w14:textId="77777777" w:rsidR="00B2442D" w:rsidRDefault="00B2442D">
      <w:pPr>
        <w:jc w:val="both"/>
        <w:rPr>
          <w:rFonts w:ascii="Arial" w:hAnsi="Arial" w:cs="Arial"/>
          <w:lang w:val="es-CO"/>
        </w:rPr>
      </w:pPr>
    </w:p>
    <w:p w14:paraId="54B56CF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lo señalado en el presente artículo </w:t>
      </w:r>
      <w:r>
        <w:rPr>
          <w:rFonts w:ascii="Arial" w:hAnsi="Arial" w:cs="Arial"/>
          <w:lang w:val="es-CO"/>
        </w:rPr>
        <w:t>y con el fin de facilitar la práctica de las retenciones en la fuente a las personas naturales sin residencia en el país y a las sociedades o entidades extranjeras que tengan establecimiento permanente en el país, dichas personas, sociedades o entidades de</w:t>
      </w:r>
      <w:r>
        <w:rPr>
          <w:rFonts w:ascii="Arial" w:hAnsi="Arial" w:cs="Arial"/>
          <w:lang w:val="es-CO"/>
        </w:rPr>
        <w:t xml:space="preserve">berán identificarse ante el agente de retención. </w:t>
      </w:r>
    </w:p>
    <w:p w14:paraId="4F22524A" w14:textId="77777777" w:rsidR="00B2442D" w:rsidRDefault="00B2442D">
      <w:pPr>
        <w:jc w:val="both"/>
        <w:rPr>
          <w:rFonts w:ascii="Arial" w:hAnsi="Arial" w:cs="Arial"/>
          <w:lang w:val="es-CO"/>
        </w:rPr>
      </w:pPr>
    </w:p>
    <w:p w14:paraId="72BBC5CF" w14:textId="77777777" w:rsidR="00B2442D" w:rsidRDefault="008A645F">
      <w:pPr>
        <w:jc w:val="both"/>
        <w:rPr>
          <w:rFonts w:ascii="Arial" w:hAnsi="Arial" w:cs="Arial"/>
          <w:lang w:val="es-CO"/>
        </w:rPr>
      </w:pPr>
      <w:r>
        <w:rPr>
          <w:rFonts w:ascii="Arial" w:hAnsi="Arial" w:cs="Arial"/>
          <w:lang w:val="es-CO"/>
        </w:rPr>
        <w:t>Lo anterior, sin perjuicio de que la calidad de Establecimiento Permanente del beneficiario del pago o abono en cuenta sometido a retención en la fuente pueda ser verificado directamente por el agente de r</w:t>
      </w:r>
      <w:r>
        <w:rPr>
          <w:rFonts w:ascii="Arial" w:hAnsi="Arial" w:cs="Arial"/>
          <w:lang w:val="es-CO"/>
        </w:rPr>
        <w:t>etención en la Unidad Administrativa Especial Dirección de Impuestos y Aduanas Nacionales-DIAN.</w:t>
      </w:r>
    </w:p>
    <w:p w14:paraId="28A089BE" w14:textId="77777777" w:rsidR="00B2442D" w:rsidRDefault="00B2442D">
      <w:pPr>
        <w:jc w:val="both"/>
        <w:rPr>
          <w:rFonts w:ascii="Arial" w:hAnsi="Arial" w:cs="Arial"/>
          <w:lang w:val="es-CO"/>
        </w:rPr>
      </w:pPr>
    </w:p>
    <w:p w14:paraId="31D0F519"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Sin perjuicio de que el contribuyente demuestre lo contrario, se entiende que todo pago o abono en cuenta a favor de una persona natural sin resi</w:t>
      </w:r>
      <w:r>
        <w:rPr>
          <w:rFonts w:ascii="Arial" w:hAnsi="Arial" w:cs="Arial"/>
          <w:lang w:val="es-CO"/>
        </w:rPr>
        <w:t>dencia en el país o de una sociedad o entidad extranjera que tenga establecimiento permanente en el país, corresponde a un pago o abono en cuenta hecho directamente a favor de la persona natural o sociedad o entidad extranjera.</w:t>
      </w:r>
    </w:p>
    <w:p w14:paraId="385786F7" w14:textId="77777777" w:rsidR="00B2442D" w:rsidRDefault="00B2442D">
      <w:pPr>
        <w:jc w:val="both"/>
        <w:rPr>
          <w:rFonts w:ascii="Arial" w:hAnsi="Arial" w:cs="Arial"/>
          <w:lang w:val="es-CO"/>
        </w:rPr>
      </w:pPr>
    </w:p>
    <w:p w14:paraId="10E18521" w14:textId="77777777" w:rsidR="00B2442D" w:rsidRDefault="008A645F">
      <w:pPr>
        <w:jc w:val="both"/>
        <w:rPr>
          <w:rFonts w:ascii="Arial" w:hAnsi="Arial" w:cs="Arial"/>
          <w:lang w:val="es-CO"/>
        </w:rPr>
      </w:pPr>
      <w:r>
        <w:rPr>
          <w:rFonts w:ascii="Arial" w:hAnsi="Arial" w:cs="Arial"/>
          <w:i/>
          <w:lang w:val="es-CO"/>
        </w:rPr>
        <w:t>(Art. 6, Decreto 3026 de 20</w:t>
      </w:r>
      <w:r>
        <w:rPr>
          <w:rFonts w:ascii="Arial" w:hAnsi="Arial" w:cs="Arial"/>
          <w:i/>
          <w:lang w:val="es-CO"/>
        </w:rPr>
        <w:t>13. Del parágrafo 1 se elimina la expresión “de la forma indicada en el primer inciso del artículo 10 del presente decreto” porque el art. 10 del Decreto 3026 de 2013, al que alude este parágrafo, fue derogado expresamente por el art. 10 del D.R. 2620 de 2</w:t>
      </w:r>
      <w:r>
        <w:rPr>
          <w:rFonts w:ascii="Arial" w:hAnsi="Arial" w:cs="Arial"/>
          <w:i/>
          <w:lang w:val="es-CO"/>
        </w:rPr>
        <w:t>014.)</w:t>
      </w:r>
    </w:p>
    <w:p w14:paraId="36BCFCD5" w14:textId="77777777" w:rsidR="00B2442D" w:rsidRDefault="00B2442D">
      <w:pPr>
        <w:jc w:val="both"/>
        <w:rPr>
          <w:rFonts w:ascii="Arial" w:hAnsi="Arial" w:cs="Arial"/>
          <w:lang w:val="es-CO"/>
        </w:rPr>
      </w:pPr>
    </w:p>
    <w:p w14:paraId="0B3C59EA" w14:textId="77777777" w:rsidR="00B2442D" w:rsidRDefault="008A645F">
      <w:pPr>
        <w:pStyle w:val="Ttulo3"/>
      </w:pPr>
      <w:bookmarkStart w:id="14" w:name="_Toc479171169"/>
      <w:r>
        <w:t>TÍTULO 5</w:t>
      </w:r>
      <w:bookmarkEnd w:id="14"/>
    </w:p>
    <w:p w14:paraId="25521404" w14:textId="77777777" w:rsidR="00B2442D" w:rsidRDefault="008A645F">
      <w:pPr>
        <w:pStyle w:val="Ttulo3"/>
      </w:pPr>
      <w:bookmarkStart w:id="15" w:name="_Toc479171170"/>
      <w:r>
        <w:t>Retención en la fuente a título de ganancias ocasionales</w:t>
      </w:r>
      <w:bookmarkEnd w:id="15"/>
      <w:r>
        <w:t xml:space="preserve"> </w:t>
      </w:r>
    </w:p>
    <w:p w14:paraId="58D6A529" w14:textId="77777777" w:rsidR="00B2442D" w:rsidRDefault="00B2442D">
      <w:pPr>
        <w:rPr>
          <w:rFonts w:ascii="Arial" w:hAnsi="Arial" w:cs="Arial"/>
          <w:lang w:val="es-CO"/>
        </w:rPr>
      </w:pPr>
    </w:p>
    <w:p w14:paraId="3D8AE937" w14:textId="77777777" w:rsidR="00B2442D" w:rsidRDefault="008A645F">
      <w:pPr>
        <w:pStyle w:val="Prrafodelista"/>
        <w:numPr>
          <w:ilvl w:val="0"/>
          <w:numId w:val="58"/>
        </w:numPr>
        <w:ind w:left="0" w:firstLine="0"/>
        <w:jc w:val="both"/>
        <w:rPr>
          <w:rFonts w:ascii="Arial" w:hAnsi="Arial" w:cs="Arial"/>
          <w:lang w:val="es-CO"/>
        </w:rPr>
      </w:pPr>
      <w:r>
        <w:rPr>
          <w:rFonts w:ascii="Arial" w:hAnsi="Arial" w:cs="Arial"/>
          <w:b/>
          <w:i/>
          <w:lang w:val="es-CO"/>
        </w:rPr>
        <w:t>Retención en la fuente a título de ganancias ocasionales por concepto de loterías, rifas, apuestas y similares.</w:t>
      </w:r>
      <w:r>
        <w:rPr>
          <w:rFonts w:ascii="Arial" w:hAnsi="Arial" w:cs="Arial"/>
          <w:lang w:val="es-CO"/>
        </w:rPr>
        <w:t xml:space="preserve"> La retención en la fuente sobre las ganancias ocasionales provenientes de loterías, rifas, apuestas y similares será del veinte por ciento (20%) del respectivo pago o abono en cuenta.</w:t>
      </w:r>
    </w:p>
    <w:p w14:paraId="1521BC39" w14:textId="77777777" w:rsidR="00B2442D" w:rsidRDefault="00B2442D">
      <w:pPr>
        <w:jc w:val="both"/>
        <w:rPr>
          <w:rFonts w:ascii="Arial" w:hAnsi="Arial" w:cs="Arial"/>
          <w:i/>
          <w:lang w:val="es-CO"/>
        </w:rPr>
      </w:pPr>
    </w:p>
    <w:p w14:paraId="4A3E96FF" w14:textId="77777777" w:rsidR="00B2442D" w:rsidRDefault="008A645F">
      <w:pPr>
        <w:jc w:val="both"/>
        <w:rPr>
          <w:rFonts w:ascii="Arial" w:hAnsi="Arial" w:cs="Arial"/>
          <w:i/>
          <w:lang w:val="es-CO"/>
        </w:rPr>
      </w:pPr>
      <w:r>
        <w:rPr>
          <w:rFonts w:ascii="Arial" w:hAnsi="Arial" w:cs="Arial"/>
          <w:i/>
          <w:lang w:val="es-CO"/>
        </w:rPr>
        <w:t xml:space="preserve">(Art. 8, Decreto 535 de 1987. El inciso 2 derogado por el artículo 21 </w:t>
      </w:r>
      <w:r>
        <w:rPr>
          <w:rFonts w:ascii="Arial" w:hAnsi="Arial" w:cs="Arial"/>
          <w:i/>
          <w:lang w:val="es-CO"/>
        </w:rPr>
        <w:t>del Decreto 1189 de 1988)</w:t>
      </w:r>
    </w:p>
    <w:p w14:paraId="5E3388A1" w14:textId="77777777" w:rsidR="00B2442D" w:rsidRDefault="00B2442D">
      <w:pPr>
        <w:jc w:val="both"/>
        <w:rPr>
          <w:rFonts w:ascii="Arial" w:hAnsi="Arial" w:cs="Arial"/>
          <w:lang w:val="es-CO"/>
        </w:rPr>
      </w:pPr>
    </w:p>
    <w:p w14:paraId="7A0D7A14" w14:textId="77777777" w:rsidR="00B2442D" w:rsidRDefault="008A645F">
      <w:pPr>
        <w:pStyle w:val="Prrafodelista"/>
        <w:numPr>
          <w:ilvl w:val="0"/>
          <w:numId w:val="58"/>
        </w:numPr>
        <w:ind w:left="0" w:firstLine="0"/>
        <w:jc w:val="both"/>
        <w:rPr>
          <w:rFonts w:ascii="Arial" w:hAnsi="Arial" w:cs="Arial"/>
          <w:lang w:val="es-CO"/>
        </w:rPr>
      </w:pPr>
      <w:r>
        <w:rPr>
          <w:rFonts w:ascii="Arial" w:hAnsi="Arial" w:cs="Arial"/>
          <w:b/>
          <w:i/>
          <w:lang w:val="es-CO"/>
        </w:rPr>
        <w:t>Concepto de casa de habitación para efectos de la retención en la fuente.</w:t>
      </w:r>
      <w:r>
        <w:rPr>
          <w:rFonts w:ascii="Arial" w:hAnsi="Arial" w:cs="Arial"/>
          <w:lang w:val="es-CO"/>
        </w:rPr>
        <w:t xml:space="preserve"> Para efectos de lo dispuesto en los artículos 40 de la Ley 55 de 1985 (hoy artículo 398 del Estatuto Tributario) y 20 de la Ley 75 de 1986 (hoy artículo 39</w:t>
      </w:r>
      <w:r>
        <w:rPr>
          <w:rFonts w:ascii="Arial" w:hAnsi="Arial" w:cs="Arial"/>
          <w:lang w:val="es-CO"/>
        </w:rPr>
        <w:t xml:space="preserve">9 del Estatuto Tributario), se seguirán las siguientes indicaciones: </w:t>
      </w:r>
    </w:p>
    <w:p w14:paraId="72113930" w14:textId="77777777" w:rsidR="00B2442D" w:rsidRDefault="008A645F">
      <w:pPr>
        <w:jc w:val="both"/>
        <w:rPr>
          <w:rFonts w:ascii="Arial" w:hAnsi="Arial" w:cs="Arial"/>
          <w:lang w:val="es-CO"/>
        </w:rPr>
      </w:pPr>
      <w:r>
        <w:rPr>
          <w:rFonts w:ascii="Arial" w:hAnsi="Arial" w:cs="Arial"/>
          <w:lang w:val="es-CO"/>
        </w:rPr>
        <w:t xml:space="preserve"> </w:t>
      </w:r>
    </w:p>
    <w:p w14:paraId="19CBE43F" w14:textId="77777777" w:rsidR="00B2442D" w:rsidRDefault="008A645F">
      <w:pPr>
        <w:jc w:val="both"/>
        <w:rPr>
          <w:rFonts w:ascii="Arial" w:hAnsi="Arial" w:cs="Arial"/>
          <w:lang w:val="es-CO"/>
        </w:rPr>
      </w:pPr>
      <w:r>
        <w:rPr>
          <w:rFonts w:ascii="Arial" w:hAnsi="Arial" w:cs="Arial"/>
          <w:lang w:val="es-CO"/>
        </w:rPr>
        <w:t>a) Cuando la casa de habitación del contribuyente se encuentre ubicada en un predio rural cuya área total no exceda de tres (3) hectáreas, dicho predio se considerará como parte integr</w:t>
      </w:r>
      <w:r>
        <w:rPr>
          <w:rFonts w:ascii="Arial" w:hAnsi="Arial" w:cs="Arial"/>
          <w:lang w:val="es-CO"/>
        </w:rPr>
        <w:t xml:space="preserve">al de la casa de habitación; </w:t>
      </w:r>
    </w:p>
    <w:p w14:paraId="3DFFF777" w14:textId="77777777" w:rsidR="00B2442D" w:rsidRDefault="008A645F">
      <w:pPr>
        <w:jc w:val="both"/>
        <w:rPr>
          <w:rFonts w:ascii="Arial" w:hAnsi="Arial" w:cs="Arial"/>
          <w:lang w:val="es-CO"/>
        </w:rPr>
      </w:pPr>
      <w:r>
        <w:rPr>
          <w:rFonts w:ascii="Arial" w:hAnsi="Arial" w:cs="Arial"/>
          <w:lang w:val="es-CO"/>
        </w:rPr>
        <w:t xml:space="preserve"> </w:t>
      </w:r>
    </w:p>
    <w:p w14:paraId="1FC55B03" w14:textId="77777777" w:rsidR="00B2442D" w:rsidRDefault="008A645F">
      <w:pPr>
        <w:jc w:val="both"/>
        <w:rPr>
          <w:rFonts w:ascii="Arial" w:hAnsi="Arial" w:cs="Arial"/>
          <w:lang w:val="es-CO"/>
        </w:rPr>
      </w:pPr>
      <w:r>
        <w:rPr>
          <w:rFonts w:ascii="Arial" w:hAnsi="Arial" w:cs="Arial"/>
          <w:lang w:val="es-CO"/>
        </w:rPr>
        <w:t xml:space="preserve">b) Cuando la casa o apartamento de habitación se haya adquirido en sucesión por causa de muerte, la fecha de adquisición para el asignatario será la de ejecutoria de la sentencia aprobatoria de la partición; </w:t>
      </w:r>
    </w:p>
    <w:p w14:paraId="71414034" w14:textId="77777777" w:rsidR="00B2442D" w:rsidRDefault="008A645F">
      <w:pPr>
        <w:jc w:val="both"/>
        <w:rPr>
          <w:rFonts w:ascii="Arial" w:hAnsi="Arial" w:cs="Arial"/>
          <w:lang w:val="es-CO"/>
        </w:rPr>
      </w:pPr>
      <w:r>
        <w:rPr>
          <w:rFonts w:ascii="Arial" w:hAnsi="Arial" w:cs="Arial"/>
          <w:lang w:val="es-CO"/>
        </w:rPr>
        <w:t xml:space="preserve"> </w:t>
      </w:r>
    </w:p>
    <w:p w14:paraId="6F48FAFB" w14:textId="77777777" w:rsidR="00B2442D" w:rsidRDefault="008A645F">
      <w:pPr>
        <w:jc w:val="both"/>
        <w:rPr>
          <w:rFonts w:ascii="Arial" w:hAnsi="Arial" w:cs="Arial"/>
          <w:lang w:val="es-CO"/>
        </w:rPr>
      </w:pPr>
      <w:r>
        <w:rPr>
          <w:rFonts w:ascii="Arial" w:hAnsi="Arial" w:cs="Arial"/>
          <w:lang w:val="es-CO"/>
        </w:rPr>
        <w:t xml:space="preserve">c) Cuando se </w:t>
      </w:r>
      <w:r>
        <w:rPr>
          <w:rFonts w:ascii="Arial" w:hAnsi="Arial" w:cs="Arial"/>
          <w:lang w:val="es-CO"/>
        </w:rPr>
        <w:t>trate de apartamento o casa de habitación, recibido por uno de los cónyuges a título de gananciales, se tomará como fecha de adquisición la del título debidamente registrado mediante el cual fue adquirido por cualquiera de los cónyuges, antes de disolverse</w:t>
      </w:r>
      <w:r>
        <w:rPr>
          <w:rFonts w:ascii="Arial" w:hAnsi="Arial" w:cs="Arial"/>
          <w:lang w:val="es-CO"/>
        </w:rPr>
        <w:t xml:space="preserve"> la sociedad conyugal; </w:t>
      </w:r>
    </w:p>
    <w:p w14:paraId="5DD16532" w14:textId="77777777" w:rsidR="00B2442D" w:rsidRDefault="008A645F">
      <w:pPr>
        <w:jc w:val="both"/>
        <w:rPr>
          <w:rFonts w:ascii="Arial" w:hAnsi="Arial" w:cs="Arial"/>
          <w:lang w:val="es-CO"/>
        </w:rPr>
      </w:pPr>
      <w:r>
        <w:rPr>
          <w:rFonts w:ascii="Arial" w:hAnsi="Arial" w:cs="Arial"/>
          <w:lang w:val="es-CO"/>
        </w:rPr>
        <w:t xml:space="preserve"> </w:t>
      </w:r>
    </w:p>
    <w:p w14:paraId="45240C4D" w14:textId="77777777" w:rsidR="00B2442D" w:rsidRDefault="008A645F">
      <w:pPr>
        <w:jc w:val="both"/>
        <w:rPr>
          <w:rFonts w:ascii="Arial" w:hAnsi="Arial" w:cs="Arial"/>
          <w:lang w:val="es-CO"/>
        </w:rPr>
      </w:pPr>
      <w:r>
        <w:rPr>
          <w:rFonts w:ascii="Arial" w:hAnsi="Arial" w:cs="Arial"/>
          <w:lang w:val="es-CO"/>
        </w:rPr>
        <w:t>d) En los casos de adjudicación de vivienda por parte del Instituto de Crédito Territorial u otros organismos similares de promoción de vivienda popular, se tendrá como fecha de adquisición del apartamento o casa de habitación, la de la entrega real y mate</w:t>
      </w:r>
      <w:r>
        <w:rPr>
          <w:rFonts w:ascii="Arial" w:hAnsi="Arial" w:cs="Arial"/>
          <w:lang w:val="es-CO"/>
        </w:rPr>
        <w:t xml:space="preserve">rial del mismo cuando anteceda al otorgamiento del respectivo título, según certificación expedida por la entidad que adjudicó la vivienda; </w:t>
      </w:r>
    </w:p>
    <w:p w14:paraId="12F8B759" w14:textId="77777777" w:rsidR="00B2442D" w:rsidRDefault="008A645F">
      <w:pPr>
        <w:jc w:val="both"/>
        <w:rPr>
          <w:rFonts w:ascii="Arial" w:hAnsi="Arial" w:cs="Arial"/>
          <w:lang w:val="es-CO"/>
        </w:rPr>
      </w:pPr>
      <w:r>
        <w:rPr>
          <w:rFonts w:ascii="Arial" w:hAnsi="Arial" w:cs="Arial"/>
          <w:lang w:val="es-CO"/>
        </w:rPr>
        <w:t xml:space="preserve"> </w:t>
      </w:r>
    </w:p>
    <w:p w14:paraId="6A9E8ED9" w14:textId="77777777" w:rsidR="00B2442D" w:rsidRDefault="008A645F">
      <w:pPr>
        <w:jc w:val="both"/>
        <w:rPr>
          <w:rFonts w:ascii="Arial" w:hAnsi="Arial" w:cs="Arial"/>
          <w:lang w:val="es-CO"/>
        </w:rPr>
      </w:pPr>
      <w:r>
        <w:rPr>
          <w:rFonts w:ascii="Arial" w:hAnsi="Arial" w:cs="Arial"/>
          <w:lang w:val="es-CO"/>
        </w:rPr>
        <w:t xml:space="preserve">e) Cuando una edificación de un mismo propietario esté constituida por dos (2) o más unidades habitacionales, se </w:t>
      </w:r>
      <w:r>
        <w:rPr>
          <w:rFonts w:ascii="Arial" w:hAnsi="Arial" w:cs="Arial"/>
          <w:lang w:val="es-CO"/>
        </w:rPr>
        <w:t>tendrá como apartamento o casa de habitación, únicamente el habitado por el contribuyente que enajena.</w:t>
      </w:r>
    </w:p>
    <w:p w14:paraId="5FDAF98A" w14:textId="77777777" w:rsidR="00B2442D" w:rsidRDefault="00B2442D">
      <w:pPr>
        <w:jc w:val="both"/>
        <w:rPr>
          <w:rFonts w:ascii="Arial" w:hAnsi="Arial" w:cs="Arial"/>
          <w:lang w:val="es-CO"/>
        </w:rPr>
      </w:pPr>
    </w:p>
    <w:p w14:paraId="6EA413BF" w14:textId="77777777" w:rsidR="00B2442D" w:rsidRDefault="008A645F">
      <w:pPr>
        <w:jc w:val="both"/>
        <w:rPr>
          <w:rFonts w:ascii="Arial" w:hAnsi="Arial" w:cs="Arial"/>
          <w:lang w:val="es-CO"/>
        </w:rPr>
      </w:pPr>
      <w:r>
        <w:rPr>
          <w:rFonts w:ascii="Arial" w:hAnsi="Arial" w:cs="Arial"/>
          <w:lang w:val="es-CO"/>
        </w:rPr>
        <w:t>f) En el caso de que el enajenante de un apartamento o casa de habitación haya efectuado su construcción con posterioridad a la adquisición del terreno,</w:t>
      </w:r>
      <w:r>
        <w:rPr>
          <w:rFonts w:ascii="Arial" w:hAnsi="Arial" w:cs="Arial"/>
          <w:lang w:val="es-CO"/>
        </w:rPr>
        <w:t xml:space="preserve"> se tomará como fecha de adquisición la de la finalización de la construcción. </w:t>
      </w:r>
    </w:p>
    <w:p w14:paraId="279686D1" w14:textId="77777777" w:rsidR="00B2442D" w:rsidRDefault="008A645F">
      <w:pPr>
        <w:jc w:val="both"/>
        <w:rPr>
          <w:rFonts w:ascii="Arial" w:hAnsi="Arial" w:cs="Arial"/>
          <w:lang w:val="es-CO"/>
        </w:rPr>
      </w:pPr>
      <w:r>
        <w:rPr>
          <w:rFonts w:ascii="Arial" w:hAnsi="Arial" w:cs="Arial"/>
          <w:lang w:val="es-CO"/>
        </w:rPr>
        <w:t xml:space="preserve"> </w:t>
      </w:r>
    </w:p>
    <w:p w14:paraId="54BEC04A" w14:textId="77777777" w:rsidR="00B2442D" w:rsidRDefault="008A645F">
      <w:pPr>
        <w:jc w:val="both"/>
        <w:rPr>
          <w:rFonts w:ascii="Arial" w:hAnsi="Arial" w:cs="Arial"/>
          <w:lang w:val="es-CO"/>
        </w:rPr>
      </w:pPr>
      <w:r>
        <w:rPr>
          <w:rFonts w:ascii="Arial" w:hAnsi="Arial" w:cs="Arial"/>
          <w:lang w:val="es-CO"/>
        </w:rPr>
        <w:t>Para tal efecto, bastará con que el enajenante informe al notario la respectiva fecha de terminación de la construcción.</w:t>
      </w:r>
    </w:p>
    <w:p w14:paraId="34E3B1D9" w14:textId="77777777" w:rsidR="00B2442D" w:rsidRDefault="00B2442D">
      <w:pPr>
        <w:jc w:val="both"/>
        <w:rPr>
          <w:rFonts w:ascii="Arial" w:hAnsi="Arial" w:cs="Arial"/>
          <w:i/>
          <w:lang w:val="es-CO"/>
        </w:rPr>
      </w:pPr>
    </w:p>
    <w:p w14:paraId="1E2A98F1" w14:textId="77777777" w:rsidR="00B2442D" w:rsidRDefault="008A645F">
      <w:pPr>
        <w:jc w:val="both"/>
        <w:rPr>
          <w:rFonts w:ascii="Arial" w:hAnsi="Arial" w:cs="Arial"/>
          <w:i/>
          <w:lang w:val="es-CO"/>
        </w:rPr>
      </w:pPr>
      <w:r>
        <w:rPr>
          <w:rFonts w:ascii="Arial" w:hAnsi="Arial" w:cs="Arial"/>
          <w:i/>
          <w:lang w:val="es-CO"/>
        </w:rPr>
        <w:t>(Art. 7, Decreto 1354 de 1987. El literal f) modific</w:t>
      </w:r>
      <w:r>
        <w:rPr>
          <w:rFonts w:ascii="Arial" w:hAnsi="Arial" w:cs="Arial"/>
          <w:i/>
          <w:lang w:val="es-CO"/>
        </w:rPr>
        <w:t>ado por el artículo 11 del Decreto 1189 de 1988)</w:t>
      </w:r>
    </w:p>
    <w:p w14:paraId="633A177C" w14:textId="77777777" w:rsidR="00B2442D" w:rsidRDefault="00B2442D">
      <w:pPr>
        <w:jc w:val="both"/>
        <w:rPr>
          <w:rFonts w:ascii="Arial" w:hAnsi="Arial" w:cs="Arial"/>
          <w:b/>
          <w:i/>
          <w:lang w:val="es-CO"/>
        </w:rPr>
      </w:pPr>
    </w:p>
    <w:p w14:paraId="46A3EA41" w14:textId="77777777" w:rsidR="00B2442D" w:rsidRDefault="008A645F">
      <w:pPr>
        <w:pStyle w:val="Prrafodelista"/>
        <w:numPr>
          <w:ilvl w:val="0"/>
          <w:numId w:val="58"/>
        </w:numPr>
        <w:ind w:left="0" w:firstLine="0"/>
        <w:jc w:val="both"/>
        <w:rPr>
          <w:rFonts w:ascii="Arial" w:hAnsi="Arial" w:cs="Arial"/>
          <w:lang w:val="es-CO"/>
        </w:rPr>
      </w:pPr>
      <w:r>
        <w:rPr>
          <w:rFonts w:ascii="Arial" w:hAnsi="Arial" w:cs="Arial"/>
          <w:b/>
          <w:i/>
          <w:lang w:val="es-CO"/>
        </w:rPr>
        <w:t>Retención en la fuente en la enajenación a título de venta o dación en pago de derechos sociales o litigiosos, que constituyan activos fijos para el enajenante.</w:t>
      </w:r>
      <w:r>
        <w:rPr>
          <w:rFonts w:ascii="Arial" w:hAnsi="Arial" w:cs="Arial"/>
          <w:lang w:val="es-CO"/>
        </w:rPr>
        <w:t xml:space="preserve"> La enajenación a título de venta o dación en pago, de derechos sucesorales, sociales o litigiosos, que constituyan activos fijos para el enajenante, estará sometida a una retención en la fuente del uno por ciento (1%) del valor de la enajenación, la cual </w:t>
      </w:r>
      <w:r>
        <w:rPr>
          <w:rFonts w:ascii="Arial" w:hAnsi="Arial" w:cs="Arial"/>
          <w:lang w:val="es-CO"/>
        </w:rPr>
        <w:t>deberá consignarse ante el notario que autorice la respectiva escritura pública.</w:t>
      </w:r>
    </w:p>
    <w:p w14:paraId="195EA345" w14:textId="77777777" w:rsidR="00B2442D" w:rsidRDefault="00B2442D">
      <w:pPr>
        <w:jc w:val="both"/>
        <w:rPr>
          <w:rFonts w:ascii="Arial" w:hAnsi="Arial" w:cs="Arial"/>
          <w:i/>
          <w:lang w:val="es-CO"/>
        </w:rPr>
      </w:pPr>
    </w:p>
    <w:p w14:paraId="5EAA57DF" w14:textId="77777777" w:rsidR="00B2442D" w:rsidRDefault="008A645F">
      <w:pPr>
        <w:jc w:val="both"/>
        <w:rPr>
          <w:rFonts w:ascii="Arial" w:hAnsi="Arial" w:cs="Arial"/>
          <w:i/>
          <w:lang w:val="es-CO"/>
        </w:rPr>
      </w:pPr>
      <w:r>
        <w:rPr>
          <w:rFonts w:ascii="Arial" w:hAnsi="Arial" w:cs="Arial"/>
          <w:i/>
          <w:lang w:val="es-CO"/>
        </w:rPr>
        <w:t>(Art. 8, Decreto 1354 de 1987, modificado por el artículo 20 del Decreto 1189 de 1988)</w:t>
      </w:r>
    </w:p>
    <w:p w14:paraId="47F9DCA1" w14:textId="77777777" w:rsidR="00B2442D" w:rsidRDefault="00B2442D">
      <w:pPr>
        <w:jc w:val="both"/>
        <w:rPr>
          <w:rFonts w:ascii="Arial" w:hAnsi="Arial" w:cs="Arial"/>
          <w:i/>
          <w:lang w:val="es-CO"/>
        </w:rPr>
      </w:pPr>
    </w:p>
    <w:p w14:paraId="5791E56D" w14:textId="77777777" w:rsidR="00B2442D" w:rsidRDefault="008A645F">
      <w:pPr>
        <w:pStyle w:val="Prrafodelista"/>
        <w:numPr>
          <w:ilvl w:val="0"/>
          <w:numId w:val="58"/>
        </w:numPr>
        <w:ind w:left="0" w:firstLine="0"/>
        <w:jc w:val="both"/>
        <w:rPr>
          <w:rFonts w:ascii="Arial" w:hAnsi="Arial" w:cs="Arial"/>
          <w:lang w:val="es-CO"/>
        </w:rPr>
      </w:pPr>
      <w:r>
        <w:rPr>
          <w:rFonts w:ascii="Arial" w:hAnsi="Arial" w:cs="Arial"/>
          <w:b/>
          <w:i/>
          <w:lang w:val="es-CO"/>
        </w:rPr>
        <w:t>Tarifa de retención sobre premios obtenidos por el propietario del caballo o can en co</w:t>
      </w:r>
      <w:r>
        <w:rPr>
          <w:rFonts w:ascii="Arial" w:hAnsi="Arial" w:cs="Arial"/>
          <w:b/>
          <w:i/>
          <w:lang w:val="es-CO"/>
        </w:rPr>
        <w:t>ncursos hípicos o similares.</w:t>
      </w:r>
      <w:r>
        <w:rPr>
          <w:rFonts w:ascii="Arial" w:hAnsi="Arial" w:cs="Arial"/>
          <w:lang w:val="es-CO"/>
        </w:rPr>
        <w:t xml:space="preserve"> Para efectos de la retención en la fuente consagrada en el inciso segundo del artículo 306-1 del Estatuto Tributario, la tarifa será del diez por ciento (10%) sobre el valor bruto del premio recibido.</w:t>
      </w:r>
    </w:p>
    <w:p w14:paraId="131B77BE" w14:textId="77777777" w:rsidR="00B2442D" w:rsidRDefault="00B2442D">
      <w:pPr>
        <w:jc w:val="both"/>
        <w:rPr>
          <w:rFonts w:ascii="Arial" w:hAnsi="Arial" w:cs="Arial"/>
          <w:i/>
          <w:lang w:val="es-CO"/>
        </w:rPr>
      </w:pPr>
    </w:p>
    <w:p w14:paraId="1FCD7224" w14:textId="77777777" w:rsidR="00B2442D" w:rsidRDefault="008A645F">
      <w:pPr>
        <w:jc w:val="both"/>
        <w:rPr>
          <w:rFonts w:ascii="Arial" w:hAnsi="Arial" w:cs="Arial"/>
          <w:i/>
          <w:lang w:val="es-CO"/>
        </w:rPr>
      </w:pPr>
      <w:r>
        <w:rPr>
          <w:rFonts w:ascii="Arial" w:hAnsi="Arial" w:cs="Arial"/>
          <w:i/>
          <w:lang w:val="es-CO"/>
        </w:rPr>
        <w:t>(Art. 10, Decreto 2076 de</w:t>
      </w:r>
      <w:r>
        <w:rPr>
          <w:rFonts w:ascii="Arial" w:hAnsi="Arial" w:cs="Arial"/>
          <w:i/>
          <w:lang w:val="es-CO"/>
        </w:rPr>
        <w:t xml:space="preserv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Decreto 1372 de 1992, artículos 4° y 6° del Decreto 1250 de 1992, y el Decreto 2208 de 1991. A</w:t>
      </w:r>
      <w:r>
        <w:rPr>
          <w:rFonts w:ascii="Arial" w:hAnsi="Arial" w:cs="Arial"/>
          <w:i/>
          <w:lang w:val="es-CO"/>
        </w:rPr>
        <w:t>rt. 44, Decreto 2076 de 1992)</w:t>
      </w:r>
    </w:p>
    <w:p w14:paraId="27A098CF" w14:textId="77777777" w:rsidR="00B2442D" w:rsidRDefault="00B2442D">
      <w:pPr>
        <w:jc w:val="both"/>
        <w:rPr>
          <w:rFonts w:ascii="Arial" w:hAnsi="Arial" w:cs="Arial"/>
          <w:i/>
          <w:lang w:val="es-CO"/>
        </w:rPr>
      </w:pPr>
    </w:p>
    <w:p w14:paraId="57130CD9" w14:textId="77777777" w:rsidR="00B2442D" w:rsidRDefault="008A645F">
      <w:pPr>
        <w:pStyle w:val="Prrafodelista"/>
        <w:numPr>
          <w:ilvl w:val="0"/>
          <w:numId w:val="58"/>
        </w:numPr>
        <w:ind w:left="0" w:firstLine="0"/>
        <w:jc w:val="both"/>
        <w:rPr>
          <w:rFonts w:ascii="Arial" w:hAnsi="Arial" w:cs="Arial"/>
          <w:lang w:val="es-CO"/>
        </w:rPr>
      </w:pPr>
      <w:r>
        <w:rPr>
          <w:rFonts w:ascii="Arial" w:hAnsi="Arial" w:cs="Arial"/>
          <w:b/>
          <w:i/>
          <w:lang w:val="es-CO"/>
        </w:rPr>
        <w:t>Retención contingente.</w:t>
      </w:r>
      <w:r>
        <w:rPr>
          <w:rFonts w:ascii="Arial" w:hAnsi="Arial" w:cs="Arial"/>
          <w:lang w:val="es-CO"/>
        </w:rPr>
        <w:t xml:space="preserve"> En el momento del depósito de los recursos a la Cuenta de Ahorro para el Fomento de la Construcción (AFC), el cuentahabiente debe indicar a la entidad financiera que los recursos se encuentran sujetos a</w:t>
      </w:r>
      <w:r>
        <w:rPr>
          <w:rFonts w:ascii="Arial" w:hAnsi="Arial" w:cs="Arial"/>
          <w:lang w:val="es-CO"/>
        </w:rPr>
        <w:t xml:space="preserve">l beneficio de la ganancia ocasional exenta de que trata el artículo 311-1 del Estatuto Tributario. La entidad financiera debe controlar la retención en la fuente contingente dejada de efectuar por el Notario, correspondiente al uno por ciento (1%) de los </w:t>
      </w:r>
      <w:r>
        <w:rPr>
          <w:rFonts w:ascii="Arial" w:hAnsi="Arial" w:cs="Arial"/>
          <w:lang w:val="es-CO"/>
        </w:rPr>
        <w:t>recursos depositados conforme a la tarifa establecida en el artículo 398 del estatuto tributario.</w:t>
      </w:r>
    </w:p>
    <w:p w14:paraId="10E0BDE5" w14:textId="77777777" w:rsidR="00B2442D" w:rsidRDefault="00B2442D">
      <w:pPr>
        <w:jc w:val="both"/>
        <w:rPr>
          <w:rFonts w:ascii="Arial" w:hAnsi="Arial" w:cs="Arial"/>
          <w:lang w:val="es-CO"/>
        </w:rPr>
      </w:pPr>
    </w:p>
    <w:p w14:paraId="18E1C499" w14:textId="77777777" w:rsidR="00B2442D" w:rsidRDefault="008A645F">
      <w:pPr>
        <w:jc w:val="both"/>
        <w:rPr>
          <w:rFonts w:ascii="Arial" w:hAnsi="Arial" w:cs="Arial"/>
          <w:i/>
          <w:lang w:val="es-CO"/>
        </w:rPr>
      </w:pPr>
      <w:r>
        <w:rPr>
          <w:rFonts w:ascii="Arial" w:hAnsi="Arial" w:cs="Arial"/>
          <w:i/>
          <w:lang w:val="es-CO"/>
        </w:rPr>
        <w:t>(Art. 3, Decreto 2344 de 2014)</w:t>
      </w:r>
    </w:p>
    <w:p w14:paraId="283FE339" w14:textId="77777777" w:rsidR="00B2442D" w:rsidRDefault="00B2442D">
      <w:pPr>
        <w:jc w:val="both"/>
        <w:rPr>
          <w:rFonts w:ascii="Arial" w:hAnsi="Arial" w:cs="Arial"/>
          <w:i/>
          <w:lang w:val="es-CO"/>
        </w:rPr>
      </w:pPr>
    </w:p>
    <w:p w14:paraId="35FCB9AE" w14:textId="77777777" w:rsidR="00B2442D" w:rsidRDefault="008A645F">
      <w:pPr>
        <w:pStyle w:val="Prrafodelista"/>
        <w:numPr>
          <w:ilvl w:val="0"/>
          <w:numId w:val="58"/>
        </w:numPr>
        <w:ind w:left="0" w:firstLine="0"/>
        <w:jc w:val="both"/>
        <w:rPr>
          <w:rFonts w:ascii="Arial" w:hAnsi="Arial" w:cs="Arial"/>
        </w:rPr>
      </w:pPr>
      <w:r>
        <w:rPr>
          <w:rFonts w:ascii="Arial" w:hAnsi="Arial" w:cs="Arial"/>
          <w:b/>
          <w:i/>
        </w:rPr>
        <w:t xml:space="preserve">Sanciones aplicables. </w:t>
      </w:r>
      <w:r>
        <w:rPr>
          <w:rFonts w:ascii="Arial" w:hAnsi="Arial" w:cs="Arial"/>
        </w:rPr>
        <w:t xml:space="preserve">A las retenciones que se reglamentan por el presente Decreto, les son aplicables las sanciones y demás </w:t>
      </w:r>
      <w:r>
        <w:rPr>
          <w:rFonts w:ascii="Arial" w:hAnsi="Arial" w:cs="Arial"/>
        </w:rPr>
        <w:t>normas de control establecidas en la legislación vigente.</w:t>
      </w:r>
    </w:p>
    <w:p w14:paraId="3B6C15FD" w14:textId="77777777" w:rsidR="00B2442D" w:rsidRDefault="00B2442D">
      <w:pPr>
        <w:jc w:val="both"/>
        <w:rPr>
          <w:rFonts w:ascii="Arial" w:hAnsi="Arial" w:cs="Arial"/>
          <w:i/>
        </w:rPr>
      </w:pPr>
    </w:p>
    <w:p w14:paraId="3C945337" w14:textId="77777777" w:rsidR="00B2442D" w:rsidRDefault="008A645F">
      <w:pPr>
        <w:jc w:val="both"/>
        <w:rPr>
          <w:rFonts w:ascii="Arial" w:hAnsi="Arial" w:cs="Arial"/>
        </w:rPr>
      </w:pPr>
      <w:r>
        <w:rPr>
          <w:rFonts w:ascii="Arial" w:hAnsi="Arial" w:cs="Arial"/>
          <w:i/>
        </w:rPr>
        <w:t>(Art. 9 Decreto 1512 de 1985)</w:t>
      </w:r>
    </w:p>
    <w:p w14:paraId="214949B0" w14:textId="77777777" w:rsidR="00B2442D" w:rsidRDefault="00B2442D">
      <w:pPr>
        <w:jc w:val="both"/>
        <w:rPr>
          <w:rFonts w:ascii="Arial" w:hAnsi="Arial" w:cs="Arial"/>
        </w:rPr>
      </w:pPr>
    </w:p>
    <w:p w14:paraId="139C9D36" w14:textId="77777777" w:rsidR="00B2442D" w:rsidRDefault="008A645F">
      <w:pPr>
        <w:pStyle w:val="Ttulo3"/>
      </w:pPr>
      <w:bookmarkStart w:id="16" w:name="_Toc479171171"/>
      <w:r>
        <w:t>TÍTULO 6</w:t>
      </w:r>
      <w:bookmarkEnd w:id="16"/>
    </w:p>
    <w:p w14:paraId="7A47E3E6" w14:textId="77777777" w:rsidR="00B2442D" w:rsidRDefault="008A645F">
      <w:pPr>
        <w:pStyle w:val="Ttulo3"/>
      </w:pPr>
      <w:bookmarkStart w:id="17" w:name="_Toc479171172"/>
      <w:r>
        <w:t>Autorretención a título de impuesto sobre la renta</w:t>
      </w:r>
      <w:bookmarkEnd w:id="17"/>
    </w:p>
    <w:p w14:paraId="32FEF31B" w14:textId="77777777" w:rsidR="00B2442D" w:rsidRDefault="00B2442D">
      <w:pPr>
        <w:rPr>
          <w:rFonts w:ascii="Arial" w:hAnsi="Arial" w:cs="Arial"/>
          <w:lang w:val="es-CO"/>
        </w:rPr>
      </w:pPr>
    </w:p>
    <w:p w14:paraId="79C112B8" w14:textId="77777777" w:rsidR="00B2442D" w:rsidRDefault="008A645F">
      <w:pPr>
        <w:pStyle w:val="Prrafodelista"/>
        <w:numPr>
          <w:ilvl w:val="0"/>
          <w:numId w:val="59"/>
        </w:numPr>
        <w:ind w:left="0" w:firstLine="0"/>
        <w:jc w:val="both"/>
        <w:rPr>
          <w:rFonts w:ascii="Arial" w:hAnsi="Arial" w:cs="Arial"/>
          <w:lang w:val="es-CO"/>
        </w:rPr>
      </w:pPr>
      <w:r>
        <w:rPr>
          <w:rFonts w:ascii="Arial" w:hAnsi="Arial" w:cs="Arial"/>
          <w:b/>
          <w:i/>
          <w:lang w:val="es-CO"/>
        </w:rPr>
        <w:t>Autorretención en el impuesto sobre la renta.</w:t>
      </w:r>
      <w:r>
        <w:rPr>
          <w:rFonts w:ascii="Arial" w:hAnsi="Arial" w:cs="Arial"/>
          <w:lang w:val="es-CO"/>
        </w:rPr>
        <w:t xml:space="preserve"> A partir del primero de febrero de 1989, los contribuyentes</w:t>
      </w:r>
      <w:r>
        <w:rPr>
          <w:rFonts w:ascii="Arial" w:hAnsi="Arial" w:cs="Arial"/>
          <w:lang w:val="es-CO"/>
        </w:rPr>
        <w:t xml:space="preserve"> del impuesto sobre la renta que de conformidad con lo dispuesto en el artículo 1.2.6.2 de este Decreto, hayan sido autorizados para efectuar autorretención sobre los ingresos a que se refiere el artículo 1.2.4.9.1 de este Decreto, deberán hacerlo también </w:t>
      </w:r>
      <w:r>
        <w:rPr>
          <w:rFonts w:ascii="Arial" w:hAnsi="Arial" w:cs="Arial"/>
          <w:lang w:val="es-CO"/>
        </w:rPr>
        <w:t xml:space="preserve">sobre los conceptos de servicios, honorarios, comisiones y arrendamientos, a las tarifas vigentes en cada caso. </w:t>
      </w:r>
    </w:p>
    <w:p w14:paraId="7EF81AB8" w14:textId="77777777" w:rsidR="00B2442D" w:rsidRDefault="00B2442D">
      <w:pPr>
        <w:jc w:val="both"/>
        <w:rPr>
          <w:rFonts w:ascii="Arial" w:hAnsi="Arial" w:cs="Arial"/>
          <w:lang w:val="es-CO"/>
        </w:rPr>
      </w:pPr>
    </w:p>
    <w:p w14:paraId="0F260B0B" w14:textId="77777777" w:rsidR="00B2442D" w:rsidRDefault="008A645F">
      <w:pPr>
        <w:jc w:val="both"/>
        <w:rPr>
          <w:rFonts w:ascii="Arial" w:hAnsi="Arial" w:cs="Arial"/>
          <w:lang w:val="es-CO"/>
        </w:rPr>
      </w:pPr>
      <w:r>
        <w:rPr>
          <w:rFonts w:ascii="Arial" w:hAnsi="Arial" w:cs="Arial"/>
          <w:lang w:val="es-CO"/>
        </w:rPr>
        <w:t>Las autorizaciones concedidas a partir de esa misma fecha, incluirán todos los conceptos de retención mencionados en este artículo.</w:t>
      </w:r>
    </w:p>
    <w:p w14:paraId="418264C3" w14:textId="77777777" w:rsidR="00B2442D" w:rsidRDefault="00B2442D">
      <w:pPr>
        <w:jc w:val="both"/>
        <w:rPr>
          <w:rFonts w:ascii="Arial" w:hAnsi="Arial" w:cs="Arial"/>
          <w:i/>
          <w:lang w:val="es-CO"/>
        </w:rPr>
      </w:pPr>
    </w:p>
    <w:p w14:paraId="4260566B" w14:textId="77777777" w:rsidR="00B2442D" w:rsidRDefault="008A645F">
      <w:pPr>
        <w:jc w:val="both"/>
        <w:rPr>
          <w:rFonts w:ascii="Arial" w:hAnsi="Arial" w:cs="Arial"/>
          <w:i/>
          <w:lang w:val="es-CO"/>
        </w:rPr>
      </w:pPr>
      <w:r>
        <w:rPr>
          <w:rFonts w:ascii="Arial" w:hAnsi="Arial" w:cs="Arial"/>
          <w:i/>
          <w:lang w:val="es-CO"/>
        </w:rPr>
        <w:t>(Art. 4, Decreto 2670 de 1988)</w:t>
      </w:r>
    </w:p>
    <w:p w14:paraId="04E02EF3" w14:textId="77777777" w:rsidR="00B2442D" w:rsidRDefault="00B2442D">
      <w:pPr>
        <w:rPr>
          <w:rFonts w:ascii="Arial" w:hAnsi="Arial" w:cs="Arial"/>
          <w:lang w:val="es-CO"/>
        </w:rPr>
      </w:pPr>
    </w:p>
    <w:p w14:paraId="2775DF38" w14:textId="77777777" w:rsidR="00B2442D" w:rsidRDefault="008A645F">
      <w:pPr>
        <w:pStyle w:val="Prrafodelista"/>
        <w:numPr>
          <w:ilvl w:val="0"/>
          <w:numId w:val="59"/>
        </w:numPr>
        <w:ind w:left="0" w:firstLine="0"/>
        <w:jc w:val="both"/>
        <w:rPr>
          <w:rFonts w:ascii="Arial" w:hAnsi="Arial" w:cs="Arial"/>
        </w:rPr>
      </w:pPr>
      <w:r>
        <w:rPr>
          <w:rFonts w:ascii="Arial" w:hAnsi="Arial" w:cs="Arial"/>
          <w:b/>
          <w:i/>
        </w:rPr>
        <w:t>Autorretención a título de impuesto sobre la renta.</w:t>
      </w:r>
      <w:r>
        <w:rPr>
          <w:rFonts w:ascii="Arial" w:hAnsi="Arial" w:cs="Arial"/>
        </w:rPr>
        <w:t xml:space="preserve"> En el caso de la retención en la fuente prevista en el </w:t>
      </w:r>
      <w:r>
        <w:rPr>
          <w:rFonts w:ascii="Arial" w:hAnsi="Arial" w:cs="Arial"/>
          <w:lang w:val="es-CO"/>
        </w:rPr>
        <w:t>artículo 1.2.4.9.1 de este Decreto</w:t>
      </w:r>
      <w:r>
        <w:rPr>
          <w:rFonts w:ascii="Arial" w:hAnsi="Arial" w:cs="Arial"/>
        </w:rPr>
        <w:t>, cuando el volumen de operaciones de venta realizadas por la persona jurídica beneficiaria del pago o abono en cuenta, implique la existencia de un gran número de retenedores, y para los fines del recaudo sea más conveniente que la retención se efectúe po</w:t>
      </w:r>
      <w:r>
        <w:rPr>
          <w:rFonts w:ascii="Arial" w:hAnsi="Arial" w:cs="Arial"/>
        </w:rPr>
        <w:t>r parte de quien recibe el pago o abono en cuenta, la retención en la fuente podrá efectuarse por este último. Para tal efecto, la Dirección General de Impuestos Nacionales (hoy Unidad Administrativa Especial Dirección de Impuestos y Aduanas Nacionales) de</w:t>
      </w:r>
      <w:r>
        <w:rPr>
          <w:rFonts w:ascii="Arial" w:hAnsi="Arial" w:cs="Arial"/>
        </w:rPr>
        <w:t xml:space="preserve"> acuerdo con lo previsto en el artículo 122 de la Ley 223 de 1995, indicará mediante resolución la razón social y NIT de las personas jurídicas, que de conformidad con el presente artículo, están autorizadas para efectuar retención en la fuente sobre sus i</w:t>
      </w:r>
      <w:r>
        <w:rPr>
          <w:rFonts w:ascii="Arial" w:hAnsi="Arial" w:cs="Arial"/>
        </w:rPr>
        <w:t xml:space="preserve">ngresos. </w:t>
      </w:r>
    </w:p>
    <w:p w14:paraId="700130FF" w14:textId="77777777" w:rsidR="00B2442D" w:rsidRDefault="00B2442D">
      <w:pPr>
        <w:jc w:val="both"/>
        <w:rPr>
          <w:rFonts w:ascii="Arial" w:hAnsi="Arial" w:cs="Arial"/>
        </w:rPr>
      </w:pPr>
    </w:p>
    <w:p w14:paraId="78C195AD" w14:textId="77777777" w:rsidR="00B2442D" w:rsidRDefault="008A645F">
      <w:pPr>
        <w:jc w:val="both"/>
        <w:rPr>
          <w:rFonts w:ascii="Arial" w:hAnsi="Arial" w:cs="Arial"/>
        </w:rPr>
      </w:pPr>
      <w:r>
        <w:rPr>
          <w:rFonts w:ascii="Arial" w:hAnsi="Arial" w:cs="Arial"/>
        </w:rPr>
        <w:t xml:space="preserve">A partir de la publicación de sus nombres en un diario de amplia circulación nacional, todos los pagos o abonos en cuenta de que trata el </w:t>
      </w:r>
      <w:r>
        <w:rPr>
          <w:rFonts w:ascii="Arial" w:hAnsi="Arial" w:cs="Arial"/>
          <w:lang w:val="es-CO"/>
        </w:rPr>
        <w:t>artículo 1.2.4.9.1 de este Decreto</w:t>
      </w:r>
      <w:r>
        <w:rPr>
          <w:rFonts w:ascii="Arial" w:hAnsi="Arial" w:cs="Arial"/>
        </w:rPr>
        <w:t>, deberán someterse a la retención en la fuente por parte de quien efectú</w:t>
      </w:r>
      <w:r>
        <w:rPr>
          <w:rFonts w:ascii="Arial" w:hAnsi="Arial" w:cs="Arial"/>
        </w:rPr>
        <w:t xml:space="preserve">e el respectivo pago o abono en cuenta. </w:t>
      </w:r>
    </w:p>
    <w:p w14:paraId="3598158B" w14:textId="77777777" w:rsidR="00B2442D" w:rsidRDefault="00B2442D">
      <w:pPr>
        <w:jc w:val="both"/>
        <w:rPr>
          <w:rFonts w:ascii="Arial" w:hAnsi="Arial" w:cs="Arial"/>
        </w:rPr>
      </w:pPr>
    </w:p>
    <w:p w14:paraId="267F4D8A" w14:textId="77777777" w:rsidR="00B2442D" w:rsidRDefault="008A645F">
      <w:pPr>
        <w:jc w:val="both"/>
        <w:rPr>
          <w:rFonts w:ascii="Arial" w:hAnsi="Arial" w:cs="Arial"/>
        </w:rPr>
      </w:pPr>
      <w:r>
        <w:rPr>
          <w:rFonts w:ascii="Arial" w:hAnsi="Arial" w:cs="Arial"/>
        </w:rPr>
        <w:t>Para efectos de lo previsto en este artículo, la retención se causa en el momento del registro de la respectiva operación por parte del beneficiario del ingreso, o en el momento en que se reciba el mismo, el que oc</w:t>
      </w:r>
      <w:r>
        <w:rPr>
          <w:rFonts w:ascii="Arial" w:hAnsi="Arial" w:cs="Arial"/>
        </w:rPr>
        <w:t>urra primero.</w:t>
      </w:r>
    </w:p>
    <w:p w14:paraId="7CCE6B04" w14:textId="77777777" w:rsidR="00B2442D" w:rsidRDefault="00B2442D">
      <w:pPr>
        <w:jc w:val="both"/>
        <w:rPr>
          <w:rFonts w:ascii="Arial" w:hAnsi="Arial" w:cs="Arial"/>
          <w:i/>
          <w:lang w:val="es-CO"/>
        </w:rPr>
      </w:pPr>
    </w:p>
    <w:p w14:paraId="15EC6806" w14:textId="77777777" w:rsidR="00B2442D" w:rsidRDefault="008A645F">
      <w:pPr>
        <w:jc w:val="both"/>
        <w:rPr>
          <w:rFonts w:ascii="Arial" w:hAnsi="Arial" w:cs="Arial"/>
          <w:i/>
          <w:lang w:val="es-CO"/>
        </w:rPr>
      </w:pPr>
      <w:r>
        <w:rPr>
          <w:rFonts w:ascii="Arial" w:hAnsi="Arial" w:cs="Arial"/>
          <w:i/>
          <w:lang w:val="es-CO"/>
        </w:rPr>
        <w:t>(Art. 3, Decreto 2509 de 1985)</w:t>
      </w:r>
    </w:p>
    <w:p w14:paraId="295F737D" w14:textId="77777777" w:rsidR="00B2442D" w:rsidRDefault="00B2442D">
      <w:pPr>
        <w:rPr>
          <w:rFonts w:ascii="Arial" w:hAnsi="Arial" w:cs="Arial"/>
          <w:lang w:val="es-CO"/>
        </w:rPr>
      </w:pPr>
    </w:p>
    <w:p w14:paraId="4DDE5CEC" w14:textId="77777777" w:rsidR="00B2442D" w:rsidRDefault="008A645F">
      <w:pPr>
        <w:pStyle w:val="Prrafodelista"/>
        <w:numPr>
          <w:ilvl w:val="0"/>
          <w:numId w:val="59"/>
        </w:numPr>
        <w:ind w:left="0" w:firstLine="0"/>
        <w:jc w:val="both"/>
        <w:rPr>
          <w:rFonts w:ascii="Arial" w:hAnsi="Arial" w:cs="Arial"/>
          <w:lang w:val="es-CO"/>
        </w:rPr>
      </w:pPr>
      <w:r>
        <w:rPr>
          <w:rFonts w:ascii="Arial" w:hAnsi="Arial" w:cs="Arial"/>
          <w:b/>
          <w:i/>
          <w:lang w:val="es-CO"/>
        </w:rPr>
        <w:t>Autorretención por ingresos provenientes de los nuevos agentes de retención.</w:t>
      </w:r>
      <w:r>
        <w:rPr>
          <w:rFonts w:ascii="Arial" w:hAnsi="Arial" w:cs="Arial"/>
          <w:lang w:val="es-CO"/>
        </w:rPr>
        <w:t xml:space="preserve"> Las autorizaciones para operar como autorretenedores, otorgadas con anterioridad a la fecha de vigencia de este Decreto, se hacen ex</w:t>
      </w:r>
      <w:r>
        <w:rPr>
          <w:rFonts w:ascii="Arial" w:hAnsi="Arial" w:cs="Arial"/>
          <w:lang w:val="es-CO"/>
        </w:rPr>
        <w:t>tensivas a los ingresos a los cuales se refiere el artículo 1.2.4.9.1 de este Decreto y a los honorarios, comisiones, servicios y arrendamientos, percibidos de las personas naturales señaladas como nuevos agentes de retención en el artículo 368-2 del Estat</w:t>
      </w:r>
      <w:r>
        <w:rPr>
          <w:rFonts w:ascii="Arial" w:hAnsi="Arial" w:cs="Arial"/>
          <w:lang w:val="es-CO"/>
        </w:rPr>
        <w:t>uto Tributario. Lo anterior se entiende igualmente aplicable respecto de las resoluciones de autorización que se expidan en lo sucesivo.</w:t>
      </w:r>
    </w:p>
    <w:p w14:paraId="669FB3C2" w14:textId="77777777" w:rsidR="00B2442D" w:rsidRDefault="00B2442D">
      <w:pPr>
        <w:jc w:val="both"/>
        <w:rPr>
          <w:rFonts w:ascii="Arial" w:hAnsi="Arial" w:cs="Arial"/>
          <w:i/>
          <w:lang w:val="es-CO"/>
        </w:rPr>
      </w:pPr>
    </w:p>
    <w:p w14:paraId="17BFF425" w14:textId="77777777" w:rsidR="00B2442D" w:rsidRDefault="008A645F">
      <w:pPr>
        <w:jc w:val="both"/>
        <w:rPr>
          <w:rFonts w:ascii="Arial" w:hAnsi="Arial" w:cs="Arial"/>
          <w:i/>
          <w:lang w:val="es-CO"/>
        </w:rPr>
      </w:pPr>
      <w:r>
        <w:rPr>
          <w:rFonts w:ascii="Arial" w:hAnsi="Arial" w:cs="Arial"/>
          <w:i/>
          <w:lang w:val="es-CO"/>
        </w:rPr>
        <w:t>(Art. 25, Decreto 0422 de 1991)</w:t>
      </w:r>
    </w:p>
    <w:p w14:paraId="3A05DAAD" w14:textId="77777777" w:rsidR="00B2442D" w:rsidRDefault="00B2442D">
      <w:pPr>
        <w:jc w:val="both"/>
        <w:rPr>
          <w:rFonts w:ascii="Arial" w:hAnsi="Arial" w:cs="Arial"/>
          <w:lang w:val="es-CO"/>
        </w:rPr>
      </w:pPr>
    </w:p>
    <w:p w14:paraId="0DA2F146" w14:textId="77777777" w:rsidR="00B2442D" w:rsidRDefault="008A645F">
      <w:pPr>
        <w:pStyle w:val="Prrafodelista"/>
        <w:numPr>
          <w:ilvl w:val="0"/>
          <w:numId w:val="59"/>
        </w:numPr>
        <w:ind w:left="0" w:firstLine="0"/>
        <w:jc w:val="both"/>
        <w:rPr>
          <w:rFonts w:ascii="Arial" w:hAnsi="Arial" w:cs="Arial"/>
          <w:lang w:val="es-CO"/>
        </w:rPr>
      </w:pPr>
      <w:r>
        <w:rPr>
          <w:rFonts w:ascii="Arial" w:hAnsi="Arial" w:cs="Arial"/>
          <w:b/>
          <w:i/>
          <w:lang w:val="es-CO"/>
        </w:rPr>
        <w:t xml:space="preserve">Autorretención sobre pagos de personas naturales. </w:t>
      </w:r>
      <w:r>
        <w:rPr>
          <w:rFonts w:ascii="Arial" w:hAnsi="Arial" w:cs="Arial"/>
          <w:lang w:val="es-CO"/>
        </w:rPr>
        <w:t>Los contribuyentes que tienen autor</w:t>
      </w:r>
      <w:r>
        <w:rPr>
          <w:rFonts w:ascii="Arial" w:hAnsi="Arial" w:cs="Arial"/>
          <w:lang w:val="es-CO"/>
        </w:rPr>
        <w:t>ización de la Unidad Administrativa Especial Dirección de Impuestos y Aduanas Nacionales– DIAN para efectuar autorretención sobre los pagos o abonos sometidos a la misma, realizarán dicha autorretención cuando el pago o abono en cuenta provenga de una pers</w:t>
      </w:r>
      <w:r>
        <w:rPr>
          <w:rFonts w:ascii="Arial" w:hAnsi="Arial" w:cs="Arial"/>
          <w:lang w:val="es-CO"/>
        </w:rPr>
        <w:t>ona natural, sólo cuando esta le haya hecho entrega de una información escrita en la cual conste que reúne las exigencias previstas en el artículo 368-2 del Estatuto Tributario para ubicarse en la categoría de agente de retención en la fuente. Si no se hac</w:t>
      </w:r>
      <w:r>
        <w:rPr>
          <w:rFonts w:ascii="Arial" w:hAnsi="Arial" w:cs="Arial"/>
          <w:lang w:val="es-CO"/>
        </w:rPr>
        <w:t>e entrega de esta información, la obligación de efectuar la retención en la fuente recae en la persona natural que efectúa el pago o abono en cuenta.</w:t>
      </w:r>
    </w:p>
    <w:p w14:paraId="3F0EB66A" w14:textId="77777777" w:rsidR="00B2442D" w:rsidRDefault="00B2442D">
      <w:pPr>
        <w:jc w:val="both"/>
        <w:rPr>
          <w:rFonts w:ascii="Arial" w:hAnsi="Arial" w:cs="Arial"/>
          <w:i/>
          <w:lang w:val="es-CO"/>
        </w:rPr>
      </w:pPr>
    </w:p>
    <w:p w14:paraId="3278CBE3" w14:textId="77777777" w:rsidR="00B2442D" w:rsidRDefault="008A645F">
      <w:pPr>
        <w:jc w:val="both"/>
        <w:rPr>
          <w:rFonts w:ascii="Arial" w:hAnsi="Arial" w:cs="Arial"/>
          <w:i/>
          <w:lang w:val="es-CO"/>
        </w:rPr>
      </w:pPr>
      <w:r>
        <w:rPr>
          <w:rFonts w:ascii="Arial" w:hAnsi="Arial" w:cs="Arial"/>
          <w:i/>
          <w:lang w:val="es-CO"/>
        </w:rPr>
        <w:t>(Art. 11, Decreto 0836 de 1991)</w:t>
      </w:r>
    </w:p>
    <w:p w14:paraId="5F3292F6" w14:textId="77777777" w:rsidR="00B2442D" w:rsidRDefault="00B2442D">
      <w:pPr>
        <w:jc w:val="both"/>
        <w:rPr>
          <w:rFonts w:ascii="Arial" w:hAnsi="Arial" w:cs="Arial"/>
          <w:i/>
          <w:lang w:val="es-CO"/>
        </w:rPr>
      </w:pPr>
    </w:p>
    <w:p w14:paraId="323CDCDB" w14:textId="77777777" w:rsidR="00B2442D" w:rsidRDefault="008A645F">
      <w:pPr>
        <w:pStyle w:val="Prrafodelista"/>
        <w:numPr>
          <w:ilvl w:val="0"/>
          <w:numId w:val="59"/>
        </w:numPr>
        <w:ind w:left="0" w:firstLine="0"/>
        <w:jc w:val="both"/>
        <w:rPr>
          <w:rFonts w:ascii="Arial" w:hAnsi="Arial" w:cs="Arial"/>
          <w:lang w:val="es-CO"/>
        </w:rPr>
      </w:pPr>
      <w:r>
        <w:rPr>
          <w:rFonts w:ascii="Arial" w:hAnsi="Arial" w:cs="Arial"/>
          <w:b/>
          <w:i/>
          <w:lang w:val="es-CO"/>
        </w:rPr>
        <w:t>Ingresos de Fogafín no sujetos a autorretención.</w:t>
      </w:r>
      <w:r>
        <w:rPr>
          <w:rFonts w:ascii="Arial" w:hAnsi="Arial" w:cs="Arial"/>
          <w:lang w:val="es-CO"/>
        </w:rPr>
        <w:t xml:space="preserve"> Los ingresos que percib</w:t>
      </w:r>
      <w:r>
        <w:rPr>
          <w:rFonts w:ascii="Arial" w:hAnsi="Arial" w:cs="Arial"/>
          <w:lang w:val="es-CO"/>
        </w:rPr>
        <w:t xml:space="preserve">a el Fondo de Garantías de Instituciones Financieras (Fogafín) que correspondan a aquellos previstos en el artículo 19-3 del Estatuto Tributario, no estarán sujetos a la autorretención a título del impuesto sobre la renta y complementario, en concordancia </w:t>
      </w:r>
      <w:r>
        <w:rPr>
          <w:rFonts w:ascii="Arial" w:hAnsi="Arial" w:cs="Arial"/>
          <w:lang w:val="es-CO"/>
        </w:rPr>
        <w:t>con lo dispuesto en el artículo 369 del Estatuto Tributario.</w:t>
      </w:r>
    </w:p>
    <w:p w14:paraId="63F19034" w14:textId="77777777" w:rsidR="00B2442D" w:rsidRDefault="00B2442D">
      <w:pPr>
        <w:pStyle w:val="Prrafodelista"/>
        <w:ind w:left="0"/>
        <w:jc w:val="both"/>
        <w:rPr>
          <w:rFonts w:ascii="Arial" w:hAnsi="Arial" w:cs="Arial"/>
          <w:b/>
          <w:i/>
          <w:lang w:val="es-CO"/>
        </w:rPr>
      </w:pPr>
    </w:p>
    <w:p w14:paraId="45360224" w14:textId="77777777" w:rsidR="00B2442D" w:rsidRDefault="008A645F">
      <w:pPr>
        <w:jc w:val="both"/>
        <w:rPr>
          <w:rFonts w:ascii="Arial" w:hAnsi="Arial" w:cs="Arial"/>
          <w:i/>
          <w:lang w:val="es-CO"/>
        </w:rPr>
      </w:pPr>
      <w:r>
        <w:rPr>
          <w:rFonts w:ascii="Arial" w:hAnsi="Arial" w:cs="Arial"/>
          <w:i/>
          <w:lang w:val="es-CO"/>
        </w:rPr>
        <w:t>(Art. 4, Decreto 1020 de 2014)</w:t>
      </w:r>
    </w:p>
    <w:p w14:paraId="43FD0475" w14:textId="77777777" w:rsidR="00B2442D" w:rsidRDefault="00B2442D">
      <w:pPr>
        <w:pStyle w:val="Prrafodelista"/>
        <w:ind w:left="0"/>
        <w:jc w:val="both"/>
        <w:rPr>
          <w:rFonts w:ascii="Arial" w:hAnsi="Arial" w:cs="Arial"/>
          <w:lang w:val="es-CO"/>
        </w:rPr>
      </w:pPr>
    </w:p>
    <w:p w14:paraId="5CA0CD20" w14:textId="77777777" w:rsidR="00B2442D" w:rsidRDefault="008A645F">
      <w:pPr>
        <w:pStyle w:val="Prrafodelista"/>
        <w:numPr>
          <w:ilvl w:val="0"/>
          <w:numId w:val="59"/>
        </w:numPr>
        <w:ind w:left="0" w:firstLine="0"/>
        <w:jc w:val="both"/>
        <w:rPr>
          <w:rFonts w:ascii="Arial" w:hAnsi="Arial" w:cs="Arial"/>
          <w:lang w:val="es-CO"/>
        </w:rPr>
      </w:pPr>
      <w:r>
        <w:rPr>
          <w:rFonts w:ascii="Arial" w:hAnsi="Arial" w:cs="Arial"/>
          <w:b/>
          <w:i/>
          <w:lang w:val="es-CO"/>
        </w:rPr>
        <w:t xml:space="preserve">Contribuyentes responsables de la autorretención a título del impuesto sobre la renta y complementario. </w:t>
      </w:r>
      <w:r>
        <w:rPr>
          <w:rFonts w:ascii="Arial" w:hAnsi="Arial" w:cs="Arial"/>
          <w:lang w:val="es-CO"/>
        </w:rPr>
        <w:t>A partir del primero (1) de enero de 2017, tienen la calid</w:t>
      </w:r>
      <w:r>
        <w:rPr>
          <w:rFonts w:ascii="Arial" w:hAnsi="Arial" w:cs="Arial"/>
          <w:lang w:val="es-CO"/>
        </w:rPr>
        <w:t>ad de   autorretenedores a título de impuesto sobre la renta y complementario de que trata el parágrafo segundo (2) del artículo 365 del Estatuto Tributario adicionado por la Ley 1819 de 2016, los contribuyentes y responsables que cumplan con las siguiente</w:t>
      </w:r>
      <w:r>
        <w:rPr>
          <w:rFonts w:ascii="Arial" w:hAnsi="Arial" w:cs="Arial"/>
          <w:lang w:val="es-CO"/>
        </w:rPr>
        <w:t>s condiciones:</w:t>
      </w:r>
    </w:p>
    <w:p w14:paraId="1FEA2F8D" w14:textId="77777777" w:rsidR="00B2442D" w:rsidRDefault="00B2442D">
      <w:pPr>
        <w:rPr>
          <w:rFonts w:ascii="Arial" w:hAnsi="Arial" w:cs="Arial"/>
          <w:lang w:val="es-CO"/>
        </w:rPr>
      </w:pPr>
    </w:p>
    <w:p w14:paraId="762EEF6A" w14:textId="77777777" w:rsidR="00B2442D" w:rsidRDefault="008A645F">
      <w:pPr>
        <w:jc w:val="both"/>
        <w:rPr>
          <w:rFonts w:ascii="Arial" w:hAnsi="Arial" w:cs="Arial"/>
          <w:lang w:val="es-CO"/>
        </w:rPr>
      </w:pPr>
      <w:r>
        <w:rPr>
          <w:rFonts w:ascii="Arial" w:hAnsi="Arial" w:cs="Arial"/>
          <w:lang w:val="es-CO"/>
        </w:rPr>
        <w:t>1. Que se trate de sociedades nacionales y sus asimiladas, contribuyentes declarantes del impuesto sobre la renta y complementario o de los establecimientos permanentes de entidades del exterior y las personas jurídicas extranjeras o sin re</w:t>
      </w:r>
      <w:r>
        <w:rPr>
          <w:rFonts w:ascii="Arial" w:hAnsi="Arial" w:cs="Arial"/>
          <w:lang w:val="es-CO"/>
        </w:rPr>
        <w:t>sidencia.</w:t>
      </w:r>
    </w:p>
    <w:p w14:paraId="01A3A262" w14:textId="77777777" w:rsidR="00B2442D" w:rsidRDefault="00B2442D">
      <w:pPr>
        <w:jc w:val="both"/>
        <w:rPr>
          <w:rFonts w:ascii="Arial" w:hAnsi="Arial" w:cs="Arial"/>
          <w:lang w:val="es-CO"/>
        </w:rPr>
      </w:pPr>
    </w:p>
    <w:p w14:paraId="7D993A3A" w14:textId="77777777" w:rsidR="00B2442D" w:rsidRDefault="008A645F">
      <w:pPr>
        <w:jc w:val="both"/>
        <w:rPr>
          <w:rFonts w:ascii="Arial" w:hAnsi="Arial" w:cs="Arial"/>
          <w:lang w:val="es-CO"/>
        </w:rPr>
      </w:pPr>
      <w:r>
        <w:rPr>
          <w:rFonts w:ascii="Arial" w:hAnsi="Arial" w:cs="Arial"/>
          <w:lang w:val="es-CO"/>
        </w:rPr>
        <w:t>2. Que las sociedades de que trata el numeral 1 de este artículo, estén exoneradas  del pago de las cotizaciones al Sistema General de Seguridad Social en Salud y del pago de los aportes parafiscales a favor del Servicio Nacional del Aprendizaje</w:t>
      </w:r>
      <w:r>
        <w:rPr>
          <w:rFonts w:ascii="Arial" w:hAnsi="Arial" w:cs="Arial"/>
          <w:lang w:val="es-CO"/>
        </w:rPr>
        <w:t xml:space="preserve"> (SENA), del Instituto Colombiano de Bienestar Familiar (ICBF) y las cotizaciones al Régimen Contributivo de Salud, respecto de los trabajadores que devenguen, individualmente considerados, menos de diez (10) salarios mínimos mensuales legales vigentes, po</w:t>
      </w:r>
      <w:r>
        <w:rPr>
          <w:rFonts w:ascii="Arial" w:hAnsi="Arial" w:cs="Arial"/>
          <w:lang w:val="es-CO"/>
        </w:rPr>
        <w:t xml:space="preserve">r sus ingresos de fuente nacional obtenidos mediante sucursales y establecimientos permanentes, de conformidad con el artículo 114-1 del Estatuto Tributario adicionado por el artículo 65 de la Ley 1819 de 2016. </w:t>
      </w:r>
    </w:p>
    <w:p w14:paraId="7A5BBEDA" w14:textId="77777777" w:rsidR="00B2442D" w:rsidRDefault="00B2442D">
      <w:pPr>
        <w:jc w:val="both"/>
        <w:rPr>
          <w:rFonts w:ascii="Arial" w:hAnsi="Arial" w:cs="Arial"/>
          <w:lang w:val="es-CO"/>
        </w:rPr>
      </w:pPr>
    </w:p>
    <w:p w14:paraId="2CB59946" w14:textId="77777777" w:rsidR="00B2442D" w:rsidRDefault="008A645F">
      <w:pPr>
        <w:jc w:val="both"/>
        <w:rPr>
          <w:rFonts w:ascii="Arial" w:hAnsi="Arial" w:cs="Arial"/>
          <w:lang w:val="es-CO"/>
        </w:rPr>
      </w:pPr>
      <w:r>
        <w:rPr>
          <w:rFonts w:ascii="Arial" w:hAnsi="Arial" w:cs="Arial"/>
          <w:lang w:val="es-CO"/>
        </w:rPr>
        <w:t>Lo anterior sin perjuicio de que a los contribuyentes y responsables obligados al sistema de autorretención en la fuente a título del impuesto sobre la renta y complementario de que trata este artículo, se les practique la retención en la fuente cuando hub</w:t>
      </w:r>
      <w:r>
        <w:rPr>
          <w:rFonts w:ascii="Arial" w:hAnsi="Arial" w:cs="Arial"/>
          <w:lang w:val="es-CO"/>
        </w:rPr>
        <w:t xml:space="preserve">iere lugar a ello, de conformidad con las disposiciones vigentes del Impuesto sobre la renta y complementario. </w:t>
      </w:r>
    </w:p>
    <w:p w14:paraId="4DC5D172" w14:textId="77777777" w:rsidR="00B2442D" w:rsidRDefault="00B2442D">
      <w:pPr>
        <w:jc w:val="both"/>
        <w:rPr>
          <w:rFonts w:ascii="Arial" w:hAnsi="Arial" w:cs="Arial"/>
          <w:lang w:val="es-CO"/>
        </w:rPr>
      </w:pPr>
    </w:p>
    <w:p w14:paraId="3900D30A" w14:textId="77777777" w:rsidR="00B2442D" w:rsidRDefault="008A645F">
      <w:pPr>
        <w:jc w:val="both"/>
        <w:rPr>
          <w:rFonts w:ascii="Arial" w:hAnsi="Arial" w:cs="Arial"/>
          <w:lang w:val="es-CO"/>
        </w:rPr>
      </w:pPr>
      <w:r>
        <w:rPr>
          <w:rFonts w:ascii="Arial" w:hAnsi="Arial" w:cs="Arial"/>
          <w:lang w:val="es-CO"/>
        </w:rPr>
        <w:t>Los contribuyentes que de conformidad con lo establecido en el parágrafo 1 del artículo 368 del Estatuto Tributario, tengan la calidad de autor</w:t>
      </w:r>
      <w:r>
        <w:rPr>
          <w:rFonts w:ascii="Arial" w:hAnsi="Arial" w:cs="Arial"/>
          <w:lang w:val="es-CO"/>
        </w:rPr>
        <w:t>retenedores, deberán practicar adicionalmente la autorretención prevista en este artículo, si cumplen las condiciones de los numerales 1 y 2.</w:t>
      </w:r>
    </w:p>
    <w:p w14:paraId="6FACEB31" w14:textId="77777777" w:rsidR="00B2442D" w:rsidRDefault="00B2442D">
      <w:pPr>
        <w:jc w:val="both"/>
        <w:rPr>
          <w:rFonts w:ascii="Arial" w:hAnsi="Arial" w:cs="Arial"/>
          <w:lang w:val="es-CO"/>
        </w:rPr>
      </w:pPr>
    </w:p>
    <w:p w14:paraId="57C7985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No son responsables de la autorretención de que trata este artículo, las entidades sin ánimo de lucro </w:t>
      </w:r>
      <w:r>
        <w:rPr>
          <w:rFonts w:ascii="Arial" w:hAnsi="Arial" w:cs="Arial"/>
          <w:lang w:val="es-CO"/>
        </w:rPr>
        <w:t xml:space="preserve">y demás contribuyentes y responsables que no cumplan con las condiciones de los numerales 1 y 2 de este artículo.  </w:t>
      </w:r>
    </w:p>
    <w:p w14:paraId="1F2CC815" w14:textId="77777777" w:rsidR="00B2442D" w:rsidRDefault="00B2442D">
      <w:pPr>
        <w:rPr>
          <w:rFonts w:ascii="Arial" w:hAnsi="Arial" w:cs="Arial"/>
          <w:lang w:val="es-CO"/>
        </w:rPr>
      </w:pPr>
    </w:p>
    <w:p w14:paraId="14048C1F" w14:textId="77777777" w:rsidR="00B2442D" w:rsidRDefault="008A645F">
      <w:pPr>
        <w:jc w:val="both"/>
        <w:rPr>
          <w:rFonts w:ascii="Arial" w:hAnsi="Arial" w:cs="Arial"/>
          <w:i/>
          <w:lang w:val="es-CO"/>
        </w:rPr>
      </w:pPr>
      <w:hyperlink r:id="rId17" w:history="1">
        <w:r>
          <w:rPr>
            <w:rStyle w:val="Hipervnculo"/>
            <w:rFonts w:ascii="Arial" w:hAnsi="Arial" w:cs="Arial"/>
            <w:i/>
            <w:lang w:val="es-CO"/>
          </w:rPr>
          <w:t>(Art. 1, Decreto 2201 de 2016)</w:t>
        </w:r>
      </w:hyperlink>
    </w:p>
    <w:p w14:paraId="0D804779" w14:textId="77777777" w:rsidR="00B2442D" w:rsidRDefault="00B2442D">
      <w:pPr>
        <w:rPr>
          <w:rFonts w:ascii="Arial" w:hAnsi="Arial" w:cs="Arial"/>
          <w:lang w:val="es-CO"/>
        </w:rPr>
      </w:pPr>
    </w:p>
    <w:p w14:paraId="0D42A801" w14:textId="77777777" w:rsidR="00B2442D" w:rsidRDefault="008A645F">
      <w:pPr>
        <w:pStyle w:val="Prrafodelista"/>
        <w:numPr>
          <w:ilvl w:val="0"/>
          <w:numId w:val="197"/>
        </w:numPr>
        <w:ind w:left="0" w:firstLine="0"/>
        <w:jc w:val="both"/>
        <w:rPr>
          <w:rFonts w:ascii="Arial" w:hAnsi="Arial" w:cs="Arial"/>
          <w:lang w:val="es-CO"/>
        </w:rPr>
      </w:pPr>
      <w:r>
        <w:rPr>
          <w:rFonts w:ascii="Arial" w:hAnsi="Arial" w:cs="Arial"/>
          <w:b/>
          <w:i/>
          <w:lang w:val="es-CO"/>
        </w:rPr>
        <w:t>Bases para calcular la autorretención  a título de impuesto sobre la renta y complementario de que trata el artículo 1.2.6.6</w:t>
      </w:r>
      <w:r>
        <w:rPr>
          <w:rFonts w:ascii="Arial" w:hAnsi="Arial" w:cs="Arial"/>
          <w:lang w:val="es-CO"/>
        </w:rPr>
        <w:t>. Las bases establecidas en las normas vigentes para calcular la retención del impuesto sobre la renta y complementario serán aplica</w:t>
      </w:r>
      <w:r>
        <w:rPr>
          <w:rFonts w:ascii="Arial" w:hAnsi="Arial" w:cs="Arial"/>
          <w:lang w:val="es-CO"/>
        </w:rPr>
        <w:t>bles igualmente para practicar la autorretención a título de este impuesto de que trata el artículo anterior.</w:t>
      </w:r>
    </w:p>
    <w:p w14:paraId="5133E6EF" w14:textId="77777777" w:rsidR="00B2442D" w:rsidRDefault="00B2442D">
      <w:pPr>
        <w:rPr>
          <w:rFonts w:ascii="Arial" w:hAnsi="Arial" w:cs="Arial"/>
          <w:lang w:val="es-CO"/>
        </w:rPr>
      </w:pPr>
    </w:p>
    <w:p w14:paraId="4F2F3DFC" w14:textId="77777777" w:rsidR="00B2442D" w:rsidRDefault="008A645F">
      <w:pPr>
        <w:jc w:val="both"/>
        <w:rPr>
          <w:rFonts w:ascii="Arial" w:hAnsi="Arial" w:cs="Arial"/>
          <w:lang w:val="es-CO"/>
        </w:rPr>
      </w:pPr>
      <w:r>
        <w:rPr>
          <w:rFonts w:ascii="Arial" w:hAnsi="Arial" w:cs="Arial"/>
          <w:lang w:val="es-CO"/>
        </w:rPr>
        <w:t>No obstante lo anterior, en los siguientes casos, la base de esta autorretención se efectuará de conformidad con las siguientes reglas:</w:t>
      </w:r>
    </w:p>
    <w:p w14:paraId="6269BA3F" w14:textId="77777777" w:rsidR="00B2442D" w:rsidRDefault="00B2442D">
      <w:pPr>
        <w:jc w:val="both"/>
        <w:rPr>
          <w:rFonts w:ascii="Arial" w:hAnsi="Arial" w:cs="Arial"/>
          <w:lang w:val="es-CO"/>
        </w:rPr>
      </w:pPr>
    </w:p>
    <w:p w14:paraId="0D1AEA97" w14:textId="77777777" w:rsidR="00B2442D" w:rsidRDefault="008A645F">
      <w:pPr>
        <w:jc w:val="both"/>
        <w:rPr>
          <w:rFonts w:ascii="Arial" w:hAnsi="Arial" w:cs="Arial"/>
          <w:lang w:val="es-CO"/>
        </w:rPr>
      </w:pPr>
      <w:r>
        <w:rPr>
          <w:rFonts w:ascii="Arial" w:hAnsi="Arial" w:cs="Arial"/>
          <w:lang w:val="es-CO"/>
        </w:rPr>
        <w:t>1. En el</w:t>
      </w:r>
      <w:r>
        <w:rPr>
          <w:rFonts w:ascii="Arial" w:hAnsi="Arial" w:cs="Arial"/>
          <w:lang w:val="es-CO"/>
        </w:rPr>
        <w:t xml:space="preserve"> caso de los pagos o abonos en cuenta que se efectúen a favor de distribuidores mayoristas o minoristas de combustibles derivados del petróleo por la adquisición de los mismos, las bases para aplicar esta autorretención serán los márgenes brutos de comerci</w:t>
      </w:r>
      <w:r>
        <w:rPr>
          <w:rFonts w:ascii="Arial" w:hAnsi="Arial" w:cs="Arial"/>
          <w:lang w:val="es-CO"/>
        </w:rPr>
        <w:t>alización del distribuidor mayorista y minorista establecidos de acuerdo con las normas vigentes.</w:t>
      </w:r>
    </w:p>
    <w:p w14:paraId="5CA66551" w14:textId="77777777" w:rsidR="00B2442D" w:rsidRDefault="00B2442D">
      <w:pPr>
        <w:jc w:val="both"/>
        <w:rPr>
          <w:rFonts w:ascii="Arial" w:hAnsi="Arial" w:cs="Arial"/>
          <w:lang w:val="es-CO"/>
        </w:rPr>
      </w:pPr>
    </w:p>
    <w:p w14:paraId="7689B2AF" w14:textId="77777777" w:rsidR="00B2442D" w:rsidRDefault="008A645F">
      <w:pPr>
        <w:jc w:val="both"/>
        <w:rPr>
          <w:rFonts w:ascii="Arial" w:hAnsi="Arial" w:cs="Arial"/>
          <w:lang w:val="es-CO"/>
        </w:rPr>
      </w:pPr>
      <w:r>
        <w:rPr>
          <w:rFonts w:ascii="Arial" w:hAnsi="Arial" w:cs="Arial"/>
          <w:lang w:val="es-CO"/>
        </w:rPr>
        <w:t xml:space="preserve">Para efectos de lo previsto en el presente artículo se entiende por margen bruto de comercialización, para el distribuidor mayorista, la diferencia entre el </w:t>
      </w:r>
      <w:r>
        <w:rPr>
          <w:rFonts w:ascii="Arial" w:hAnsi="Arial" w:cs="Arial"/>
          <w:lang w:val="es-CO"/>
        </w:rPr>
        <w:t>precio de compra al productor o al importador y el precio de venta al público o al distribuidor minorista. Para el distribuidor minorista, se entiende por margen, la diferencia entre el precio de compra al distribuidor mayorista o al intermediario distribu</w:t>
      </w:r>
      <w:r>
        <w:rPr>
          <w:rFonts w:ascii="Arial" w:hAnsi="Arial" w:cs="Arial"/>
          <w:lang w:val="es-CO"/>
        </w:rPr>
        <w:t>idor, y el precio de venta al público. En ambos casos, se descontará la sobretasa y demás gravámenes adicionales que se establezcan sobre la venta de los combustibles.</w:t>
      </w:r>
    </w:p>
    <w:p w14:paraId="1B98D0BF" w14:textId="77777777" w:rsidR="00B2442D" w:rsidRDefault="00B2442D">
      <w:pPr>
        <w:jc w:val="both"/>
        <w:rPr>
          <w:rFonts w:ascii="Arial" w:hAnsi="Arial" w:cs="Arial"/>
          <w:lang w:val="es-CO"/>
        </w:rPr>
      </w:pPr>
    </w:p>
    <w:p w14:paraId="508CFBE3" w14:textId="77777777" w:rsidR="00B2442D" w:rsidRDefault="008A645F">
      <w:pPr>
        <w:jc w:val="both"/>
        <w:rPr>
          <w:rFonts w:ascii="Arial" w:hAnsi="Arial" w:cs="Arial"/>
          <w:lang w:val="es-CO"/>
        </w:rPr>
      </w:pPr>
      <w:r>
        <w:rPr>
          <w:rFonts w:ascii="Arial" w:hAnsi="Arial" w:cs="Arial"/>
          <w:lang w:val="es-CO"/>
        </w:rPr>
        <w:t>2. En el caso del transporte terrestre automotor que se preste a través de vehículos de</w:t>
      </w:r>
      <w:r>
        <w:rPr>
          <w:rFonts w:ascii="Arial" w:hAnsi="Arial" w:cs="Arial"/>
          <w:lang w:val="es-CO"/>
        </w:rPr>
        <w:t xml:space="preserve"> propiedad de terceros, esta autorretención  a título de impuesto sobre la renta y complementario se aplicará únicamente sobre la proporción del pago o abono en cuenta que corresponda al ingreso de la empresa transportadora calculado de acuerdo con el artí</w:t>
      </w:r>
      <w:r>
        <w:rPr>
          <w:rFonts w:ascii="Arial" w:hAnsi="Arial" w:cs="Arial"/>
          <w:lang w:val="es-CO"/>
        </w:rPr>
        <w:t>culo 102-2 del Estatuto Tributario.</w:t>
      </w:r>
    </w:p>
    <w:p w14:paraId="4BA81EC3" w14:textId="77777777" w:rsidR="00B2442D" w:rsidRDefault="00B2442D">
      <w:pPr>
        <w:jc w:val="both"/>
        <w:rPr>
          <w:rFonts w:ascii="Arial" w:hAnsi="Arial" w:cs="Arial"/>
          <w:lang w:val="es-CO"/>
        </w:rPr>
      </w:pPr>
    </w:p>
    <w:p w14:paraId="0BB0FCE1" w14:textId="77777777" w:rsidR="00B2442D" w:rsidRDefault="008A645F">
      <w:pPr>
        <w:jc w:val="both"/>
        <w:rPr>
          <w:rFonts w:ascii="Arial" w:hAnsi="Arial" w:cs="Arial"/>
          <w:lang w:val="es-CO"/>
        </w:rPr>
      </w:pPr>
      <w:r>
        <w:rPr>
          <w:rFonts w:ascii="Arial" w:hAnsi="Arial" w:cs="Arial"/>
          <w:lang w:val="es-CO"/>
        </w:rPr>
        <w:t>3. En el caso de las entidades sometidas a la vigilancia de la Superintendencia Financiera de Colombia, la base de esta autorretención  a título de impuesto sobre la renta y complementario estará constituida por la tota</w:t>
      </w:r>
      <w:r>
        <w:rPr>
          <w:rFonts w:ascii="Arial" w:hAnsi="Arial" w:cs="Arial"/>
          <w:lang w:val="es-CO"/>
        </w:rPr>
        <w:t xml:space="preserve">lidad de los pagos o abonos en cuenta que sean susceptibles de constituir ingresos gravables. La tarifa aplicable será la prevista en el artículo 1.2.6.8 del presente Decreto. </w:t>
      </w:r>
    </w:p>
    <w:p w14:paraId="1FE1F5A5" w14:textId="77777777" w:rsidR="00B2442D" w:rsidRDefault="00B2442D">
      <w:pPr>
        <w:jc w:val="both"/>
        <w:rPr>
          <w:rFonts w:ascii="Arial" w:hAnsi="Arial" w:cs="Arial"/>
          <w:lang w:val="es-CO"/>
        </w:rPr>
      </w:pPr>
    </w:p>
    <w:p w14:paraId="3A996D5E" w14:textId="77777777" w:rsidR="00B2442D" w:rsidRDefault="008A645F">
      <w:pPr>
        <w:jc w:val="both"/>
        <w:rPr>
          <w:rFonts w:ascii="Arial" w:hAnsi="Arial" w:cs="Arial"/>
          <w:lang w:val="es-CO"/>
        </w:rPr>
      </w:pPr>
      <w:r>
        <w:rPr>
          <w:rFonts w:ascii="Arial" w:hAnsi="Arial" w:cs="Arial"/>
          <w:lang w:val="es-CO"/>
        </w:rPr>
        <w:t>4. En las transacciones realizadas a través de la Bolsa de Energía, los agente</w:t>
      </w:r>
      <w:r>
        <w:rPr>
          <w:rFonts w:ascii="Arial" w:hAnsi="Arial" w:cs="Arial"/>
          <w:lang w:val="es-CO"/>
        </w:rPr>
        <w:t>s del mercado eléctrico mayorista practicarán esta autorretención a título de impuesto sobre la renta y complementario sobre el vencimiento neto definido por el Anexo B de la Resolución de la Comisión de Regulación de Energía y Gas número 024 de 1995, o la</w:t>
      </w:r>
      <w:r>
        <w:rPr>
          <w:rFonts w:ascii="Arial" w:hAnsi="Arial" w:cs="Arial"/>
          <w:lang w:val="es-CO"/>
        </w:rPr>
        <w:t>s que la adicionen, modifiquen o sustituyan, informado mensualmente por el Administrador del Sistema de Intercambios Comerciales (ASIC).</w:t>
      </w:r>
    </w:p>
    <w:p w14:paraId="2B05925B" w14:textId="77777777" w:rsidR="00B2442D" w:rsidRDefault="00B2442D">
      <w:pPr>
        <w:jc w:val="both"/>
        <w:rPr>
          <w:rFonts w:ascii="Arial" w:hAnsi="Arial" w:cs="Arial"/>
          <w:lang w:val="es-CO"/>
        </w:rPr>
      </w:pPr>
    </w:p>
    <w:p w14:paraId="0FCC736B" w14:textId="77777777" w:rsidR="00B2442D" w:rsidRDefault="008A645F">
      <w:pPr>
        <w:jc w:val="both"/>
        <w:rPr>
          <w:rFonts w:ascii="Arial" w:hAnsi="Arial" w:cs="Arial"/>
          <w:lang w:val="es-CO"/>
        </w:rPr>
      </w:pPr>
      <w:r>
        <w:rPr>
          <w:rFonts w:ascii="Arial" w:hAnsi="Arial" w:cs="Arial"/>
          <w:lang w:val="es-CO"/>
        </w:rPr>
        <w:t>5. En el caso de las compañías de seguros de vida, las compañías de seguros generales y las sociedades de capitalizaci</w:t>
      </w:r>
      <w:r>
        <w:rPr>
          <w:rFonts w:ascii="Arial" w:hAnsi="Arial" w:cs="Arial"/>
          <w:lang w:val="es-CO"/>
        </w:rPr>
        <w:t>ón, la base de esta autorretención  a título de impuesto sobre la renta será el monto de las primas devengadas, los rendimientos financieros, las comisiones por reaseguro y coaseguro y los salvamentos. Esta autorretención  se aplicará teniendo en cuenta la</w:t>
      </w:r>
      <w:r>
        <w:rPr>
          <w:rFonts w:ascii="Arial" w:hAnsi="Arial" w:cs="Arial"/>
          <w:lang w:val="es-CO"/>
        </w:rPr>
        <w:t>s previsiones del inciso 5° del artículo 48 de la Constitución Política.</w:t>
      </w:r>
    </w:p>
    <w:p w14:paraId="317498DA" w14:textId="77777777" w:rsidR="00B2442D" w:rsidRDefault="00B2442D">
      <w:pPr>
        <w:jc w:val="both"/>
        <w:rPr>
          <w:rFonts w:ascii="Arial" w:hAnsi="Arial" w:cs="Arial"/>
          <w:lang w:val="es-CO"/>
        </w:rPr>
      </w:pPr>
    </w:p>
    <w:p w14:paraId="6118B9E3" w14:textId="77777777" w:rsidR="00B2442D" w:rsidRDefault="008A645F">
      <w:pPr>
        <w:jc w:val="both"/>
        <w:rPr>
          <w:rFonts w:ascii="Arial" w:hAnsi="Arial" w:cs="Arial"/>
          <w:lang w:val="es-CO"/>
        </w:rPr>
      </w:pPr>
      <w:r>
        <w:rPr>
          <w:rFonts w:ascii="Arial" w:hAnsi="Arial" w:cs="Arial"/>
          <w:lang w:val="es-CO"/>
        </w:rPr>
        <w:t>Respecto a las sociedades de capitalización, la base de autorretención está compuesta por los rendimientos financieros.</w:t>
      </w:r>
    </w:p>
    <w:p w14:paraId="0CA01960" w14:textId="77777777" w:rsidR="00B2442D" w:rsidRDefault="00B2442D">
      <w:pPr>
        <w:jc w:val="both"/>
        <w:rPr>
          <w:rFonts w:ascii="Arial" w:hAnsi="Arial" w:cs="Arial"/>
          <w:lang w:val="es-CO"/>
        </w:rPr>
      </w:pPr>
    </w:p>
    <w:p w14:paraId="74FA3E88" w14:textId="77777777" w:rsidR="00B2442D" w:rsidRDefault="008A645F">
      <w:pPr>
        <w:jc w:val="both"/>
        <w:rPr>
          <w:rFonts w:ascii="Arial" w:hAnsi="Arial" w:cs="Arial"/>
          <w:lang w:val="es-CO"/>
        </w:rPr>
      </w:pPr>
      <w:r>
        <w:rPr>
          <w:rFonts w:ascii="Arial" w:hAnsi="Arial" w:cs="Arial"/>
          <w:lang w:val="es-CO"/>
        </w:rPr>
        <w:t xml:space="preserve">6. Para los servicios integrales de aseo y cafetería y de </w:t>
      </w:r>
      <w:r>
        <w:rPr>
          <w:rFonts w:ascii="Arial" w:hAnsi="Arial" w:cs="Arial"/>
          <w:lang w:val="es-CO"/>
        </w:rPr>
        <w:t>vigilancia, autorizados por la Superintendencia de Vigilancia Privada y de servicios temporales prestados por empresas autorizadas por el Ministerio del Trabajo, contribuyentes del impuesto sobre la renta, la base de esta autorretención  a título de impues</w:t>
      </w:r>
      <w:r>
        <w:rPr>
          <w:rFonts w:ascii="Arial" w:hAnsi="Arial" w:cs="Arial"/>
          <w:lang w:val="es-CO"/>
        </w:rPr>
        <w:t>to sobre la renta será la parte correspondiente al AIU (Administración, Imprevistos y Utilidad), el cual no podrá ser inferior al diez por ciento (10%) del valor del contrato. Para efectos de lo previsto en este numeral, el contribuyente deberá haber cumpl</w:t>
      </w:r>
      <w:r>
        <w:rPr>
          <w:rFonts w:ascii="Arial" w:hAnsi="Arial" w:cs="Arial"/>
          <w:lang w:val="es-CO"/>
        </w:rPr>
        <w:t>ido con todas las obligaciones laborales y de seguridad social.</w:t>
      </w:r>
    </w:p>
    <w:p w14:paraId="3F3DCC43" w14:textId="77777777" w:rsidR="00B2442D" w:rsidRDefault="00B2442D">
      <w:pPr>
        <w:jc w:val="both"/>
        <w:rPr>
          <w:rFonts w:ascii="Arial" w:hAnsi="Arial" w:cs="Arial"/>
          <w:lang w:val="es-CO"/>
        </w:rPr>
      </w:pPr>
    </w:p>
    <w:p w14:paraId="40D1ECB3" w14:textId="77777777" w:rsidR="00B2442D" w:rsidRDefault="008A645F">
      <w:pPr>
        <w:jc w:val="both"/>
        <w:rPr>
          <w:rFonts w:ascii="Arial" w:hAnsi="Arial" w:cs="Arial"/>
          <w:lang w:val="es-CO"/>
        </w:rPr>
      </w:pPr>
      <w:r>
        <w:rPr>
          <w:rFonts w:ascii="Arial" w:hAnsi="Arial" w:cs="Arial"/>
          <w:lang w:val="es-CO"/>
        </w:rPr>
        <w:t>7. Las sociedades de comercialización internacional aplicarán esta autorretención  en la fuente a título de impuesto sobre la renta sobre la proporción del pago o abono en cuenta que correspo</w:t>
      </w:r>
      <w:r>
        <w:rPr>
          <w:rFonts w:ascii="Arial" w:hAnsi="Arial" w:cs="Arial"/>
          <w:lang w:val="es-CO"/>
        </w:rPr>
        <w:t>nda al margen de comercialización, entendido este como el resultado de restar de los ingresos brutos obtenidos por la actividad de comercialización los costos de los inventarios comercializados en el respectivo periodo.</w:t>
      </w:r>
    </w:p>
    <w:p w14:paraId="50725802" w14:textId="77777777" w:rsidR="00B2442D" w:rsidRDefault="00B2442D">
      <w:pPr>
        <w:jc w:val="both"/>
        <w:rPr>
          <w:rFonts w:ascii="Arial" w:hAnsi="Arial" w:cs="Arial"/>
          <w:lang w:val="es-CO"/>
        </w:rPr>
      </w:pPr>
    </w:p>
    <w:p w14:paraId="4DA71B6B" w14:textId="77777777" w:rsidR="00B2442D" w:rsidRDefault="008A645F">
      <w:pPr>
        <w:jc w:val="both"/>
        <w:rPr>
          <w:rFonts w:ascii="Arial" w:hAnsi="Arial" w:cs="Arial"/>
          <w:lang w:val="es-CO"/>
        </w:rPr>
      </w:pPr>
      <w:r>
        <w:rPr>
          <w:rFonts w:ascii="Arial" w:hAnsi="Arial" w:cs="Arial"/>
          <w:lang w:val="es-CO"/>
        </w:rPr>
        <w:t>8. Los ingresos que perciba FOGAFIN</w:t>
      </w:r>
      <w:r>
        <w:rPr>
          <w:rFonts w:ascii="Arial" w:hAnsi="Arial" w:cs="Arial"/>
          <w:lang w:val="es-CO"/>
        </w:rPr>
        <w:t xml:space="preserve">  que correspondan a aquellos previstos en el artículo 19-3 del Estatuto Tributario y los recursos que incrementan la reserva técnica del seguro de depósito no estarán sujetos a esta autorretención  a título de impuesto sobre la renta.</w:t>
      </w:r>
    </w:p>
    <w:p w14:paraId="1ED3B7C8" w14:textId="77777777" w:rsidR="00B2442D" w:rsidRDefault="00B2442D">
      <w:pPr>
        <w:jc w:val="both"/>
        <w:rPr>
          <w:rFonts w:ascii="Arial" w:hAnsi="Arial" w:cs="Arial"/>
          <w:lang w:val="es-CO"/>
        </w:rPr>
      </w:pPr>
    </w:p>
    <w:p w14:paraId="3B3E3A50" w14:textId="77777777" w:rsidR="00B2442D" w:rsidRDefault="008A645F">
      <w:pPr>
        <w:jc w:val="both"/>
        <w:rPr>
          <w:rFonts w:ascii="Arial" w:hAnsi="Arial" w:cs="Arial"/>
          <w:lang w:val="es-CO"/>
        </w:rPr>
      </w:pPr>
      <w:r>
        <w:rPr>
          <w:rFonts w:ascii="Arial" w:hAnsi="Arial" w:cs="Arial"/>
          <w:lang w:val="es-CO"/>
        </w:rPr>
        <w:t>9. Las empresas pro</w:t>
      </w:r>
      <w:r>
        <w:rPr>
          <w:rFonts w:ascii="Arial" w:hAnsi="Arial" w:cs="Arial"/>
          <w:lang w:val="es-CO"/>
        </w:rPr>
        <w:t>ductoras y comercializadoras de productos agrícolas aplicarán esta autorretención  a título de impuesto sobre la renta sobre la proporción del pago o abono en cuenta que corresponda al margen de comercialización de los productos agrícolas exportados y vend</w:t>
      </w:r>
      <w:r>
        <w:rPr>
          <w:rFonts w:ascii="Arial" w:hAnsi="Arial" w:cs="Arial"/>
          <w:lang w:val="es-CO"/>
        </w:rPr>
        <w:t>idos en el mercado interno, entendido este como el resultado de restar de los ingresos brutos obtenidos por la actividad de comercialización de dichos productos, los costos de los inventarios de estos productos comercializados, durante el respectivo period</w:t>
      </w:r>
      <w:r>
        <w:rPr>
          <w:rFonts w:ascii="Arial" w:hAnsi="Arial" w:cs="Arial"/>
          <w:lang w:val="es-CO"/>
        </w:rPr>
        <w:t>o. La autorretención  sobre los ingresos provenientes de cualquier otra actividad diferente de la comercialización de estos productos agrícolas se regirá por lo previsto en el artículo 1.5.1.5.2., del Decreto 1625 de 2016, Decreto Único Reglamentario en Ma</w:t>
      </w:r>
      <w:r>
        <w:rPr>
          <w:rFonts w:ascii="Arial" w:hAnsi="Arial" w:cs="Arial"/>
          <w:lang w:val="es-CO"/>
        </w:rPr>
        <w:t>teria Tributaria.</w:t>
      </w:r>
    </w:p>
    <w:p w14:paraId="5D4FF3EA" w14:textId="77777777" w:rsidR="00B2442D" w:rsidRDefault="00B2442D">
      <w:pPr>
        <w:jc w:val="both"/>
        <w:rPr>
          <w:rFonts w:ascii="Arial" w:hAnsi="Arial" w:cs="Arial"/>
          <w:lang w:val="es-CO"/>
        </w:rPr>
      </w:pPr>
    </w:p>
    <w:p w14:paraId="5F4D4494" w14:textId="77777777" w:rsidR="00B2442D" w:rsidRDefault="008A645F">
      <w:pPr>
        <w:jc w:val="both"/>
        <w:rPr>
          <w:rFonts w:ascii="Arial" w:hAnsi="Arial" w:cs="Arial"/>
          <w:i/>
          <w:lang w:val="es-CO"/>
        </w:rPr>
      </w:pPr>
      <w:hyperlink r:id="rId18" w:history="1">
        <w:r>
          <w:rPr>
            <w:rStyle w:val="Hipervnculo"/>
            <w:rFonts w:ascii="Arial" w:hAnsi="Arial" w:cs="Arial"/>
            <w:i/>
            <w:lang w:val="es-CO"/>
          </w:rPr>
          <w:t>(Art. 1, Decreto 2201 de 2016)</w:t>
        </w:r>
      </w:hyperlink>
    </w:p>
    <w:p w14:paraId="324CC32C" w14:textId="77777777" w:rsidR="00B2442D" w:rsidRDefault="00B2442D">
      <w:pPr>
        <w:jc w:val="both"/>
        <w:rPr>
          <w:rFonts w:ascii="Arial" w:hAnsi="Arial" w:cs="Arial"/>
          <w:lang w:val="es-CO"/>
        </w:rPr>
      </w:pPr>
    </w:p>
    <w:p w14:paraId="45E84DEB" w14:textId="77777777" w:rsidR="00B2442D" w:rsidRDefault="008A645F">
      <w:pPr>
        <w:pStyle w:val="Prrafodelista"/>
        <w:numPr>
          <w:ilvl w:val="0"/>
          <w:numId w:val="197"/>
        </w:numPr>
        <w:ind w:left="0" w:firstLine="0"/>
        <w:jc w:val="both"/>
        <w:rPr>
          <w:rFonts w:ascii="Arial" w:hAnsi="Arial" w:cs="Arial"/>
          <w:lang w:val="es-CO"/>
        </w:rPr>
      </w:pPr>
      <w:r>
        <w:rPr>
          <w:rFonts w:ascii="Arial" w:hAnsi="Arial" w:cs="Arial"/>
          <w:b/>
          <w:i/>
          <w:lang w:val="es-CO"/>
        </w:rPr>
        <w:t>Autorretenedores y Tarifas.</w:t>
      </w:r>
      <w:r>
        <w:rPr>
          <w:rFonts w:ascii="Arial" w:hAnsi="Arial" w:cs="Arial"/>
          <w:lang w:val="es-CO"/>
        </w:rPr>
        <w:t xml:space="preserve">  A partir del 1° de enero de 2017, para efectos del recaudo y administra</w:t>
      </w:r>
      <w:r>
        <w:rPr>
          <w:rFonts w:ascii="Arial" w:hAnsi="Arial" w:cs="Arial"/>
          <w:lang w:val="es-CO"/>
        </w:rPr>
        <w:t xml:space="preserve">ción de la autorretención  a título de impuesto sobre la renta de que trata el artículo 1.2.6.6. de este Decreto, todos los sujetos pasivos allí mencionados tendrán la calidad de autorretenedores. </w:t>
      </w:r>
    </w:p>
    <w:p w14:paraId="7C020F87" w14:textId="77777777" w:rsidR="00B2442D" w:rsidRDefault="00B2442D">
      <w:pPr>
        <w:jc w:val="both"/>
        <w:rPr>
          <w:rFonts w:ascii="Arial" w:hAnsi="Arial" w:cs="Arial"/>
          <w:lang w:val="es-CO"/>
        </w:rPr>
      </w:pPr>
    </w:p>
    <w:p w14:paraId="761AA21B" w14:textId="77777777" w:rsidR="00B2442D" w:rsidRDefault="008A645F">
      <w:pPr>
        <w:jc w:val="both"/>
        <w:rPr>
          <w:rFonts w:ascii="Arial" w:hAnsi="Arial" w:cs="Arial"/>
          <w:lang w:val="es-CO"/>
        </w:rPr>
      </w:pPr>
      <w:r>
        <w:rPr>
          <w:rFonts w:ascii="Arial" w:hAnsi="Arial" w:cs="Arial"/>
          <w:lang w:val="es-CO"/>
        </w:rPr>
        <w:t>Para tal efecto, esta autorretención a título de impuesto</w:t>
      </w:r>
      <w:r>
        <w:rPr>
          <w:rFonts w:ascii="Arial" w:hAnsi="Arial" w:cs="Arial"/>
          <w:lang w:val="es-CO"/>
        </w:rPr>
        <w:t xml:space="preserve"> sobre la renta se liquidará sobre cada pago o abono en cuenta realizado al contribuyente sujeto pasivo de este tributo, de acuerdo con las siguientes actividades económicas y a las siguientes tarifas:</w:t>
      </w:r>
    </w:p>
    <w:p w14:paraId="76C9CD95" w14:textId="77777777" w:rsidR="00B2442D" w:rsidRDefault="00B2442D">
      <w:pPr>
        <w:rPr>
          <w:rFonts w:ascii="Arial" w:hAnsi="Arial" w:cs="Arial"/>
          <w:lang w:val="es-CO"/>
        </w:rPr>
      </w:pPr>
    </w:p>
    <w:p w14:paraId="36E0BCFF" w14:textId="77777777" w:rsidR="00B2442D" w:rsidRDefault="00B2442D">
      <w:pPr>
        <w:rPr>
          <w:rFonts w:ascii="Arial" w:eastAsia="Times New Roman" w:hAnsi="Arial" w:cs="Arial"/>
          <w:sz w:val="22"/>
          <w:szCs w:val="22"/>
          <w:lang w:val="es-CO"/>
        </w:rPr>
      </w:pPr>
    </w:p>
    <w:p w14:paraId="66BF63D1"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5C477D1D" wp14:editId="3D97AF28">
            <wp:extent cx="3095625" cy="686752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5625" cy="6867525"/>
                    </a:xfrm>
                    <a:prstGeom prst="rect">
                      <a:avLst/>
                    </a:prstGeom>
                    <a:noFill/>
                    <a:ln>
                      <a:noFill/>
                    </a:ln>
                  </pic:spPr>
                </pic:pic>
              </a:graphicData>
            </a:graphic>
          </wp:inline>
        </w:drawing>
      </w:r>
    </w:p>
    <w:p w14:paraId="57653951"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7F276167" wp14:editId="24D09E63">
            <wp:extent cx="3724275" cy="66294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4275" cy="6629400"/>
                    </a:xfrm>
                    <a:prstGeom prst="rect">
                      <a:avLst/>
                    </a:prstGeom>
                    <a:noFill/>
                    <a:ln>
                      <a:noFill/>
                    </a:ln>
                  </pic:spPr>
                </pic:pic>
              </a:graphicData>
            </a:graphic>
          </wp:inline>
        </w:drawing>
      </w:r>
    </w:p>
    <w:p w14:paraId="6154C3F2" w14:textId="77777777" w:rsidR="00B2442D" w:rsidRDefault="00B2442D">
      <w:pPr>
        <w:rPr>
          <w:rFonts w:ascii="Arial" w:hAnsi="Arial" w:cs="Arial"/>
          <w:szCs w:val="22"/>
          <w:lang w:val="es-CO"/>
        </w:rPr>
      </w:pPr>
    </w:p>
    <w:p w14:paraId="0BEE0DDC"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7258FA14" wp14:editId="5A7EC15B">
            <wp:extent cx="3562350" cy="823912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2350" cy="8239125"/>
                    </a:xfrm>
                    <a:prstGeom prst="rect">
                      <a:avLst/>
                    </a:prstGeom>
                    <a:noFill/>
                    <a:ln>
                      <a:noFill/>
                    </a:ln>
                  </pic:spPr>
                </pic:pic>
              </a:graphicData>
            </a:graphic>
          </wp:inline>
        </w:drawing>
      </w:r>
    </w:p>
    <w:p w14:paraId="46965676" w14:textId="77777777" w:rsidR="00B2442D" w:rsidRDefault="00B2442D">
      <w:pPr>
        <w:jc w:val="center"/>
        <w:rPr>
          <w:rFonts w:ascii="Arial" w:hAnsi="Arial" w:cs="Arial"/>
          <w:szCs w:val="22"/>
          <w:lang w:val="es-CO"/>
        </w:rPr>
      </w:pPr>
    </w:p>
    <w:p w14:paraId="107FC6C9"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4BCCB612" wp14:editId="0771AD9B">
            <wp:extent cx="3648075" cy="81534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48075" cy="8153400"/>
                    </a:xfrm>
                    <a:prstGeom prst="rect">
                      <a:avLst/>
                    </a:prstGeom>
                    <a:noFill/>
                    <a:ln>
                      <a:noFill/>
                    </a:ln>
                  </pic:spPr>
                </pic:pic>
              </a:graphicData>
            </a:graphic>
          </wp:inline>
        </w:drawing>
      </w:r>
    </w:p>
    <w:p w14:paraId="10F9BF4D" w14:textId="77777777" w:rsidR="00B2442D" w:rsidRDefault="00B2442D">
      <w:pPr>
        <w:jc w:val="center"/>
        <w:rPr>
          <w:rFonts w:ascii="Arial" w:hAnsi="Arial" w:cs="Arial"/>
          <w:szCs w:val="22"/>
          <w:lang w:val="es-CO"/>
        </w:rPr>
      </w:pPr>
    </w:p>
    <w:p w14:paraId="582C9BE0"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2F1DB75A" wp14:editId="220FB956">
            <wp:extent cx="3705225" cy="71151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5225" cy="7115175"/>
                    </a:xfrm>
                    <a:prstGeom prst="rect">
                      <a:avLst/>
                    </a:prstGeom>
                    <a:noFill/>
                    <a:ln>
                      <a:noFill/>
                    </a:ln>
                  </pic:spPr>
                </pic:pic>
              </a:graphicData>
            </a:graphic>
          </wp:inline>
        </w:drawing>
      </w:r>
    </w:p>
    <w:p w14:paraId="4264D557" w14:textId="77777777" w:rsidR="00B2442D" w:rsidRDefault="00B2442D">
      <w:pPr>
        <w:jc w:val="center"/>
        <w:rPr>
          <w:rFonts w:ascii="Arial" w:hAnsi="Arial" w:cs="Arial"/>
          <w:szCs w:val="22"/>
          <w:lang w:val="es-CO"/>
        </w:rPr>
      </w:pPr>
    </w:p>
    <w:p w14:paraId="315932D6" w14:textId="77777777" w:rsidR="00B2442D" w:rsidRDefault="008A645F">
      <w:pPr>
        <w:jc w:val="center"/>
        <w:rPr>
          <w:rFonts w:ascii="Arial" w:hAnsi="Arial" w:cs="Arial"/>
          <w:szCs w:val="22"/>
          <w:lang w:val="es-CO"/>
        </w:rPr>
      </w:pPr>
      <w:r>
        <w:rPr>
          <w:rFonts w:ascii="Arial" w:hAnsi="Arial" w:cs="Arial"/>
          <w:noProof/>
          <w:szCs w:val="22"/>
          <w:lang w:val="es-CO" w:eastAsia="es-CO"/>
        </w:rPr>
        <w:drawing>
          <wp:inline distT="0" distB="0" distL="0" distR="0" wp14:anchorId="5045D037" wp14:editId="21519BC2">
            <wp:extent cx="3219450" cy="844867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9450" cy="8448675"/>
                    </a:xfrm>
                    <a:prstGeom prst="rect">
                      <a:avLst/>
                    </a:prstGeom>
                    <a:noFill/>
                    <a:ln>
                      <a:noFill/>
                    </a:ln>
                  </pic:spPr>
                </pic:pic>
              </a:graphicData>
            </a:graphic>
          </wp:inline>
        </w:drawing>
      </w:r>
    </w:p>
    <w:p w14:paraId="4600197A" w14:textId="77777777" w:rsidR="00B2442D" w:rsidRDefault="008A645F">
      <w:pPr>
        <w:jc w:val="center"/>
        <w:rPr>
          <w:rFonts w:ascii="Arial" w:hAnsi="Arial" w:cs="Arial"/>
          <w:szCs w:val="22"/>
          <w:lang w:val="es-ES_tradnl"/>
        </w:rPr>
      </w:pPr>
      <w:r>
        <w:rPr>
          <w:rFonts w:ascii="Arial" w:hAnsi="Arial" w:cs="Arial"/>
          <w:b/>
          <w:noProof/>
          <w:szCs w:val="22"/>
          <w:lang w:val="es-CO" w:eastAsia="es-CO"/>
        </w:rPr>
        <w:drawing>
          <wp:inline distT="0" distB="0" distL="0" distR="0" wp14:anchorId="52D129C8" wp14:editId="3D3CC25C">
            <wp:extent cx="3057525" cy="80867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7525" cy="8086725"/>
                    </a:xfrm>
                    <a:prstGeom prst="rect">
                      <a:avLst/>
                    </a:prstGeom>
                    <a:noFill/>
                    <a:ln>
                      <a:noFill/>
                    </a:ln>
                  </pic:spPr>
                </pic:pic>
              </a:graphicData>
            </a:graphic>
          </wp:inline>
        </w:drawing>
      </w:r>
    </w:p>
    <w:p w14:paraId="0CDE4014"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5EF9220E" wp14:editId="169C5CBD">
            <wp:extent cx="3124200" cy="83153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4200" cy="8315325"/>
                    </a:xfrm>
                    <a:prstGeom prst="rect">
                      <a:avLst/>
                    </a:prstGeom>
                    <a:noFill/>
                    <a:ln>
                      <a:noFill/>
                    </a:ln>
                  </pic:spPr>
                </pic:pic>
              </a:graphicData>
            </a:graphic>
          </wp:inline>
        </w:drawing>
      </w:r>
    </w:p>
    <w:p w14:paraId="454D022D" w14:textId="77777777" w:rsidR="00B2442D" w:rsidRDefault="00B2442D">
      <w:pPr>
        <w:rPr>
          <w:rFonts w:ascii="Arial" w:hAnsi="Arial" w:cs="Arial"/>
          <w:szCs w:val="22"/>
        </w:rPr>
      </w:pPr>
    </w:p>
    <w:p w14:paraId="36595A0E"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079E767C" wp14:editId="653432E2">
            <wp:extent cx="3324225" cy="79724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24225" cy="7972425"/>
                    </a:xfrm>
                    <a:prstGeom prst="rect">
                      <a:avLst/>
                    </a:prstGeom>
                    <a:noFill/>
                    <a:ln>
                      <a:noFill/>
                    </a:ln>
                  </pic:spPr>
                </pic:pic>
              </a:graphicData>
            </a:graphic>
          </wp:inline>
        </w:drawing>
      </w:r>
    </w:p>
    <w:p w14:paraId="1CE09F88" w14:textId="77777777" w:rsidR="00B2442D" w:rsidRDefault="00B2442D">
      <w:pPr>
        <w:rPr>
          <w:rFonts w:ascii="Arial" w:hAnsi="Arial" w:cs="Arial"/>
          <w:szCs w:val="22"/>
        </w:rPr>
      </w:pPr>
    </w:p>
    <w:p w14:paraId="7054F314"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1E90FF04" wp14:editId="3B93FA0B">
            <wp:extent cx="3124200" cy="8191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24200" cy="8191500"/>
                    </a:xfrm>
                    <a:prstGeom prst="rect">
                      <a:avLst/>
                    </a:prstGeom>
                    <a:noFill/>
                    <a:ln>
                      <a:noFill/>
                    </a:ln>
                  </pic:spPr>
                </pic:pic>
              </a:graphicData>
            </a:graphic>
          </wp:inline>
        </w:drawing>
      </w:r>
    </w:p>
    <w:p w14:paraId="05FE3BD5"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36EC5DAD" wp14:editId="24D27BFC">
            <wp:extent cx="3286125" cy="81438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6125" cy="8143875"/>
                    </a:xfrm>
                    <a:prstGeom prst="rect">
                      <a:avLst/>
                    </a:prstGeom>
                    <a:noFill/>
                    <a:ln>
                      <a:noFill/>
                    </a:ln>
                  </pic:spPr>
                </pic:pic>
              </a:graphicData>
            </a:graphic>
          </wp:inline>
        </w:drawing>
      </w:r>
    </w:p>
    <w:p w14:paraId="054A0DB5"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39EB269F" wp14:editId="0D3584D2">
            <wp:extent cx="3857625" cy="88677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57625" cy="8867775"/>
                    </a:xfrm>
                    <a:prstGeom prst="rect">
                      <a:avLst/>
                    </a:prstGeom>
                    <a:noFill/>
                    <a:ln>
                      <a:noFill/>
                    </a:ln>
                  </pic:spPr>
                </pic:pic>
              </a:graphicData>
            </a:graphic>
          </wp:inline>
        </w:drawing>
      </w:r>
    </w:p>
    <w:p w14:paraId="04FC9C7E" w14:textId="77777777" w:rsidR="00B2442D" w:rsidRDefault="00B2442D">
      <w:pPr>
        <w:jc w:val="center"/>
        <w:rPr>
          <w:rFonts w:ascii="Arial" w:hAnsi="Arial" w:cs="Arial"/>
          <w:szCs w:val="22"/>
        </w:rPr>
      </w:pPr>
    </w:p>
    <w:p w14:paraId="6A0C490A" w14:textId="77777777" w:rsidR="00B2442D" w:rsidRDefault="008A645F">
      <w:pPr>
        <w:jc w:val="center"/>
        <w:rPr>
          <w:rFonts w:ascii="Arial" w:hAnsi="Arial" w:cs="Arial"/>
          <w:szCs w:val="22"/>
        </w:rPr>
      </w:pPr>
      <w:r>
        <w:rPr>
          <w:rFonts w:ascii="Arial" w:hAnsi="Arial" w:cs="Arial"/>
          <w:b/>
          <w:noProof/>
          <w:szCs w:val="22"/>
          <w:lang w:val="es-CO" w:eastAsia="es-CO"/>
        </w:rPr>
        <w:drawing>
          <wp:inline distT="0" distB="0" distL="0" distR="0" wp14:anchorId="593524B5" wp14:editId="66CE2B56">
            <wp:extent cx="3305175" cy="50577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5175" cy="5057775"/>
                    </a:xfrm>
                    <a:prstGeom prst="rect">
                      <a:avLst/>
                    </a:prstGeom>
                    <a:noFill/>
                    <a:ln>
                      <a:noFill/>
                    </a:ln>
                  </pic:spPr>
                </pic:pic>
              </a:graphicData>
            </a:graphic>
          </wp:inline>
        </w:drawing>
      </w:r>
    </w:p>
    <w:p w14:paraId="745AF878" w14:textId="77777777" w:rsidR="00B2442D" w:rsidRDefault="00B2442D">
      <w:pPr>
        <w:ind w:left="708"/>
        <w:rPr>
          <w:rFonts w:ascii="Arial" w:hAnsi="Arial" w:cs="Arial"/>
          <w:szCs w:val="22"/>
          <w:lang w:val="es-CO"/>
        </w:rPr>
      </w:pPr>
    </w:p>
    <w:p w14:paraId="60FB0CC0" w14:textId="77777777" w:rsidR="00B2442D" w:rsidRDefault="00B2442D">
      <w:pPr>
        <w:ind w:left="708"/>
        <w:rPr>
          <w:rFonts w:ascii="Arial" w:hAnsi="Arial" w:cs="Arial"/>
          <w:szCs w:val="22"/>
          <w:lang w:val="es-CO"/>
        </w:rPr>
      </w:pPr>
    </w:p>
    <w:p w14:paraId="1A251704" w14:textId="77777777" w:rsidR="00B2442D" w:rsidRDefault="008A645F">
      <w:pPr>
        <w:jc w:val="both"/>
        <w:rPr>
          <w:rFonts w:ascii="Arial" w:hAnsi="Arial" w:cs="Arial"/>
          <w:szCs w:val="22"/>
          <w:lang w:val="es-CO"/>
        </w:rPr>
      </w:pPr>
      <w:r>
        <w:rPr>
          <w:rFonts w:ascii="Arial" w:hAnsi="Arial" w:cs="Arial"/>
          <w:szCs w:val="22"/>
          <w:lang w:val="es-CO"/>
        </w:rPr>
        <w:t>Para tal efecto, al momento en que se efectúe el respectivo pago o abono en cuenta, el autorretenedor deberá practicar la autorretención a título de impuesto sobre la renta y complementario de que trata el artículo 1.2.6.6.  en el porcentaje aquí previsto,</w:t>
      </w:r>
      <w:r>
        <w:rPr>
          <w:rFonts w:ascii="Arial" w:hAnsi="Arial" w:cs="Arial"/>
          <w:szCs w:val="22"/>
          <w:lang w:val="es-CO"/>
        </w:rPr>
        <w:t xml:space="preserve"> de acuerdo con su actividad económica principal, de conformidad con los códigos previstos en la Resolución 139 de 2012, modificada por las Resoluciones 154 y 41 de 2012 y 2013, respectivamente, expedidas por la Unidad Administrativa Especial Dirección de </w:t>
      </w:r>
      <w:r>
        <w:rPr>
          <w:rFonts w:ascii="Arial" w:hAnsi="Arial" w:cs="Arial"/>
          <w:szCs w:val="22"/>
          <w:lang w:val="es-CO"/>
        </w:rPr>
        <w:t xml:space="preserve">Impuestos y Aduanas Nacionales - DIAN y demás normas que la modifiquen o sustituyan. </w:t>
      </w:r>
    </w:p>
    <w:p w14:paraId="1BF0B232" w14:textId="77777777" w:rsidR="00B2442D" w:rsidRDefault="00B2442D">
      <w:pPr>
        <w:jc w:val="both"/>
        <w:rPr>
          <w:rFonts w:ascii="Arial" w:hAnsi="Arial" w:cs="Arial"/>
          <w:szCs w:val="22"/>
          <w:lang w:val="es-CO"/>
        </w:rPr>
      </w:pPr>
    </w:p>
    <w:p w14:paraId="7BF0F569" w14:textId="77777777" w:rsidR="00B2442D" w:rsidRDefault="008A645F">
      <w:pPr>
        <w:jc w:val="both"/>
        <w:rPr>
          <w:rFonts w:ascii="Arial" w:hAnsi="Arial" w:cs="Arial"/>
          <w:szCs w:val="22"/>
          <w:lang w:val="es-CO"/>
        </w:rPr>
      </w:pPr>
      <w:r>
        <w:rPr>
          <w:rFonts w:ascii="Arial" w:hAnsi="Arial" w:cs="Arial"/>
          <w:szCs w:val="22"/>
          <w:lang w:val="es-CO"/>
        </w:rPr>
        <w:t xml:space="preserve">No procederá la autorretención aquí prevista, sobre los pagos o abonos en cuenta que no se encuentran gravados con el impuesto sobre la renta y complementario. </w:t>
      </w:r>
    </w:p>
    <w:p w14:paraId="6603C7C3" w14:textId="77777777" w:rsidR="00B2442D" w:rsidRDefault="00B2442D">
      <w:pPr>
        <w:jc w:val="both"/>
        <w:rPr>
          <w:rFonts w:ascii="Arial" w:hAnsi="Arial" w:cs="Arial"/>
          <w:szCs w:val="22"/>
          <w:lang w:val="es-CO"/>
        </w:rPr>
      </w:pPr>
    </w:p>
    <w:p w14:paraId="3A135F2E" w14:textId="77777777" w:rsidR="00B2442D" w:rsidRDefault="008A645F">
      <w:pPr>
        <w:jc w:val="both"/>
        <w:rPr>
          <w:rFonts w:ascii="Arial" w:hAnsi="Arial" w:cs="Arial"/>
          <w:szCs w:val="22"/>
          <w:lang w:val="es-CO"/>
        </w:rPr>
      </w:pPr>
      <w:r>
        <w:rPr>
          <w:rFonts w:ascii="Arial" w:hAnsi="Arial" w:cs="Arial"/>
          <w:b/>
          <w:szCs w:val="22"/>
          <w:lang w:val="es-CO"/>
        </w:rPr>
        <w:t>Parágra</w:t>
      </w:r>
      <w:r>
        <w:rPr>
          <w:rFonts w:ascii="Arial" w:hAnsi="Arial" w:cs="Arial"/>
          <w:b/>
          <w:szCs w:val="22"/>
          <w:lang w:val="es-CO"/>
        </w:rPr>
        <w:t>fo 1°.</w:t>
      </w:r>
      <w:r>
        <w:rPr>
          <w:rFonts w:ascii="Arial" w:hAnsi="Arial" w:cs="Arial"/>
          <w:szCs w:val="22"/>
          <w:lang w:val="es-CO"/>
        </w:rPr>
        <w:t xml:space="preserve"> Los autorretenedores a título de impuesto sobre la renta y complementario de que trata este artículo deberán cumplir las obligaciones establecidas en el Título II del Libro Segundo del Estatuto Tributario y estarán sometidos al procedimiento y régim</w:t>
      </w:r>
      <w:r>
        <w:rPr>
          <w:rFonts w:ascii="Arial" w:hAnsi="Arial" w:cs="Arial"/>
          <w:szCs w:val="22"/>
          <w:lang w:val="es-CO"/>
        </w:rPr>
        <w:t xml:space="preserve">en sancionatorio establecido en el Estatuto Tributario. </w:t>
      </w:r>
    </w:p>
    <w:p w14:paraId="14372B4D" w14:textId="77777777" w:rsidR="00B2442D" w:rsidRDefault="00B2442D">
      <w:pPr>
        <w:jc w:val="both"/>
        <w:rPr>
          <w:rFonts w:ascii="Arial" w:hAnsi="Arial" w:cs="Arial"/>
          <w:szCs w:val="22"/>
          <w:lang w:val="es-CO"/>
        </w:rPr>
      </w:pPr>
    </w:p>
    <w:p w14:paraId="2384D64E" w14:textId="77777777" w:rsidR="00B2442D" w:rsidRDefault="008A645F">
      <w:pPr>
        <w:jc w:val="both"/>
        <w:rPr>
          <w:rFonts w:ascii="Arial" w:hAnsi="Arial" w:cs="Arial"/>
          <w:szCs w:val="22"/>
          <w:lang w:val="es-CO"/>
        </w:rPr>
      </w:pPr>
      <w:r>
        <w:rPr>
          <w:rFonts w:ascii="Arial" w:hAnsi="Arial" w:cs="Arial"/>
          <w:b/>
          <w:szCs w:val="22"/>
          <w:lang w:val="es-CO"/>
        </w:rPr>
        <w:t>Parágrafo 2°.</w:t>
      </w:r>
      <w:r>
        <w:rPr>
          <w:rFonts w:ascii="Arial" w:hAnsi="Arial" w:cs="Arial"/>
          <w:szCs w:val="22"/>
          <w:lang w:val="es-CO"/>
        </w:rPr>
        <w:t xml:space="preserve"> En los contratos de mandato, incluida la administración delegada, el mandatario se abstendrá de practicar al momento del pago o abono en cuenta esta autorretención  a título de impuest</w:t>
      </w:r>
      <w:r>
        <w:rPr>
          <w:rFonts w:ascii="Arial" w:hAnsi="Arial" w:cs="Arial"/>
          <w:szCs w:val="22"/>
          <w:lang w:val="es-CO"/>
        </w:rPr>
        <w:t>o sobre la renta y complementario.</w:t>
      </w:r>
    </w:p>
    <w:p w14:paraId="3A1E440E" w14:textId="77777777" w:rsidR="00B2442D" w:rsidRDefault="00B2442D">
      <w:pPr>
        <w:rPr>
          <w:rFonts w:ascii="Arial" w:hAnsi="Arial" w:cs="Arial"/>
          <w:szCs w:val="22"/>
          <w:lang w:val="es-CO"/>
        </w:rPr>
      </w:pPr>
    </w:p>
    <w:p w14:paraId="36259F22" w14:textId="77777777" w:rsidR="00B2442D" w:rsidRDefault="008A645F">
      <w:pPr>
        <w:jc w:val="both"/>
        <w:rPr>
          <w:rFonts w:ascii="Arial" w:hAnsi="Arial" w:cs="Arial"/>
          <w:b/>
          <w:szCs w:val="22"/>
          <w:lang w:val="es-CO"/>
        </w:rPr>
      </w:pPr>
      <w:r>
        <w:rPr>
          <w:rFonts w:ascii="Arial" w:hAnsi="Arial" w:cs="Arial"/>
          <w:b/>
          <w:szCs w:val="22"/>
          <w:lang w:val="es-CO"/>
        </w:rPr>
        <w:t>Parágrafo 3°.</w:t>
      </w:r>
      <w:r>
        <w:rPr>
          <w:rFonts w:ascii="Arial" w:hAnsi="Arial" w:cs="Arial"/>
          <w:szCs w:val="22"/>
          <w:lang w:val="es-CO"/>
        </w:rPr>
        <w:t xml:space="preserve"> Para efectos de lo establecido en el presente decreto, cuando durante un mismo mes se efectúen una o más redenciones de participaciones de los fondos de inversión colectiva, las entidades administradoras o </w:t>
      </w:r>
      <w:r>
        <w:rPr>
          <w:rFonts w:ascii="Arial" w:hAnsi="Arial" w:cs="Arial"/>
          <w:szCs w:val="22"/>
          <w:lang w:val="es-CO"/>
        </w:rPr>
        <w:t>distribuidores especializados deberán certificarle al partícipe o suscriptor, dentro de los primeros cinco (5) días hábiles del mes siguiente al que se realizan dichas redenciones, el componente de las mismas que corresponda a utilidades gravadas y el comp</w:t>
      </w:r>
      <w:r>
        <w:rPr>
          <w:rFonts w:ascii="Arial" w:hAnsi="Arial" w:cs="Arial"/>
          <w:szCs w:val="22"/>
          <w:lang w:val="es-CO"/>
        </w:rPr>
        <w:t>onente que corresponda a aportes e ingresos no constitutivos de renta o ganancia ocasional o rentas exentas. Los beneficiarios o partícipes practicarán la autorretención al momento en que la entidad administradora haga entrega de la certificación de que tr</w:t>
      </w:r>
      <w:r>
        <w:rPr>
          <w:rFonts w:ascii="Arial" w:hAnsi="Arial" w:cs="Arial"/>
          <w:szCs w:val="22"/>
          <w:lang w:val="es-CO"/>
        </w:rPr>
        <w:t>ata este parágrafo.</w:t>
      </w:r>
    </w:p>
    <w:p w14:paraId="5C56B138" w14:textId="77777777" w:rsidR="00B2442D" w:rsidRDefault="00B2442D">
      <w:pPr>
        <w:widowControl w:val="0"/>
        <w:autoSpaceDE w:val="0"/>
        <w:autoSpaceDN w:val="0"/>
        <w:adjustRightInd w:val="0"/>
        <w:jc w:val="both"/>
        <w:rPr>
          <w:rFonts w:ascii="Arial" w:hAnsi="Arial" w:cs="Arial"/>
          <w:color w:val="000000"/>
          <w:szCs w:val="22"/>
          <w:lang w:val="es-CO"/>
        </w:rPr>
      </w:pPr>
    </w:p>
    <w:p w14:paraId="04D99155" w14:textId="77777777" w:rsidR="00B2442D" w:rsidRDefault="008A645F">
      <w:pPr>
        <w:jc w:val="both"/>
        <w:rPr>
          <w:rFonts w:ascii="Arial" w:hAnsi="Arial" w:cs="Arial"/>
          <w:i/>
          <w:lang w:val="es-CO"/>
        </w:rPr>
      </w:pPr>
      <w:hyperlink r:id="rId32" w:history="1">
        <w:r>
          <w:rPr>
            <w:rStyle w:val="Hipervnculo"/>
            <w:rFonts w:ascii="Arial" w:hAnsi="Arial" w:cs="Arial"/>
            <w:i/>
            <w:lang w:val="es-CO"/>
          </w:rPr>
          <w:t>(Art. 1, Decreto 2201 de 2016)</w:t>
        </w:r>
      </w:hyperlink>
    </w:p>
    <w:p w14:paraId="29A91125" w14:textId="77777777" w:rsidR="00B2442D" w:rsidRDefault="00B2442D">
      <w:pPr>
        <w:widowControl w:val="0"/>
        <w:autoSpaceDE w:val="0"/>
        <w:autoSpaceDN w:val="0"/>
        <w:adjustRightInd w:val="0"/>
        <w:jc w:val="both"/>
        <w:rPr>
          <w:rFonts w:ascii="Arial" w:hAnsi="Arial" w:cs="Arial"/>
          <w:color w:val="000000"/>
          <w:szCs w:val="22"/>
          <w:lang w:val="es-CO"/>
        </w:rPr>
      </w:pPr>
    </w:p>
    <w:p w14:paraId="560372CF" w14:textId="77777777" w:rsidR="00B2442D" w:rsidRDefault="008A645F">
      <w:pPr>
        <w:pStyle w:val="Prrafodelista"/>
        <w:numPr>
          <w:ilvl w:val="0"/>
          <w:numId w:val="197"/>
        </w:numPr>
        <w:ind w:left="0" w:firstLine="0"/>
        <w:jc w:val="both"/>
        <w:rPr>
          <w:rFonts w:ascii="Arial" w:hAnsi="Arial" w:cs="Arial"/>
          <w:szCs w:val="22"/>
          <w:lang w:val="es-ES_tradnl"/>
        </w:rPr>
      </w:pPr>
      <w:r>
        <w:rPr>
          <w:rFonts w:ascii="Arial" w:hAnsi="Arial" w:cs="Arial"/>
          <w:b/>
          <w:bCs/>
          <w:i/>
          <w:iCs/>
          <w:szCs w:val="22"/>
        </w:rPr>
        <w:t>Declaración y pago</w:t>
      </w:r>
      <w:r>
        <w:rPr>
          <w:rFonts w:ascii="Arial" w:hAnsi="Arial" w:cs="Arial"/>
          <w:b/>
          <w:bCs/>
          <w:szCs w:val="22"/>
        </w:rPr>
        <w:t>.</w:t>
      </w:r>
      <w:r>
        <w:rPr>
          <w:rFonts w:ascii="Arial" w:hAnsi="Arial" w:cs="Arial"/>
          <w:szCs w:val="22"/>
          <w:lang w:val="es-CO"/>
        </w:rPr>
        <w:t xml:space="preserve"> </w:t>
      </w:r>
      <w:r>
        <w:rPr>
          <w:rFonts w:ascii="Arial" w:hAnsi="Arial" w:cs="Arial"/>
          <w:szCs w:val="22"/>
        </w:rPr>
        <w:t xml:space="preserve">Los responsables de la autorretención en la fuente a título de impuesto sobre la renta y complementario </w:t>
      </w:r>
      <w:r>
        <w:rPr>
          <w:rFonts w:ascii="Arial" w:hAnsi="Arial" w:cs="Arial"/>
          <w:szCs w:val="22"/>
          <w:lang w:val="es-CO"/>
        </w:rPr>
        <w:t xml:space="preserve">de que trata el artículo 1.2.6.6. </w:t>
      </w:r>
      <w:r>
        <w:rPr>
          <w:rFonts w:ascii="Arial" w:hAnsi="Arial" w:cs="Arial"/>
          <w:szCs w:val="22"/>
        </w:rPr>
        <w:t>deberán declarar y pagar las autorretenciones efectuadas en cada mes, en el formulario prescrito por la Unidad Adminis</w:t>
      </w:r>
      <w:r>
        <w:rPr>
          <w:rFonts w:ascii="Arial" w:hAnsi="Arial" w:cs="Arial"/>
          <w:szCs w:val="22"/>
        </w:rPr>
        <w:t xml:space="preserve">trativa Especial Dirección de Impuestos y Aduanas Nacionales –DIAN y en los plazos que para el efecto establezca el gobierno nacional </w:t>
      </w:r>
    </w:p>
    <w:p w14:paraId="5D585C25" w14:textId="77777777" w:rsidR="00B2442D" w:rsidRDefault="00B2442D">
      <w:pPr>
        <w:pStyle w:val="Default"/>
        <w:jc w:val="both"/>
        <w:rPr>
          <w:sz w:val="22"/>
          <w:szCs w:val="22"/>
        </w:rPr>
      </w:pPr>
    </w:p>
    <w:p w14:paraId="21D3D554" w14:textId="77777777" w:rsidR="00B2442D" w:rsidRDefault="008A645F">
      <w:pPr>
        <w:jc w:val="both"/>
        <w:rPr>
          <w:rFonts w:ascii="Arial" w:hAnsi="Arial" w:cs="Arial"/>
          <w:i/>
          <w:lang w:val="es-CO"/>
        </w:rPr>
      </w:pPr>
      <w:hyperlink r:id="rId33" w:history="1">
        <w:r>
          <w:rPr>
            <w:rStyle w:val="Hipervnculo"/>
            <w:rFonts w:ascii="Arial" w:hAnsi="Arial" w:cs="Arial"/>
            <w:i/>
            <w:lang w:val="es-CO"/>
          </w:rPr>
          <w:t>(Art. 1, Decreto 2201 de 2016)</w:t>
        </w:r>
      </w:hyperlink>
    </w:p>
    <w:p w14:paraId="56ABC1D8" w14:textId="77777777" w:rsidR="00B2442D" w:rsidRDefault="00B2442D">
      <w:pPr>
        <w:pStyle w:val="Default"/>
        <w:jc w:val="both"/>
        <w:rPr>
          <w:sz w:val="22"/>
          <w:szCs w:val="22"/>
        </w:rPr>
      </w:pPr>
    </w:p>
    <w:p w14:paraId="16385C81" w14:textId="77777777" w:rsidR="00B2442D" w:rsidRDefault="008A645F">
      <w:pPr>
        <w:pStyle w:val="Prrafodelista"/>
        <w:numPr>
          <w:ilvl w:val="0"/>
          <w:numId w:val="197"/>
        </w:numPr>
        <w:ind w:left="0" w:firstLine="0"/>
        <w:jc w:val="both"/>
        <w:rPr>
          <w:rFonts w:ascii="Arial" w:hAnsi="Arial" w:cs="Arial"/>
          <w:color w:val="000000"/>
          <w:sz w:val="22"/>
          <w:szCs w:val="22"/>
        </w:rPr>
      </w:pPr>
      <w:r>
        <w:rPr>
          <w:rFonts w:ascii="Arial" w:hAnsi="Arial" w:cs="Arial"/>
          <w:b/>
          <w:bCs/>
          <w:i/>
          <w:iCs/>
          <w:color w:val="000000"/>
          <w:szCs w:val="22"/>
        </w:rPr>
        <w:t>Operaciones anuladas, rescindidas o resueltas</w:t>
      </w:r>
      <w:r>
        <w:rPr>
          <w:rFonts w:ascii="Arial" w:hAnsi="Arial" w:cs="Arial"/>
          <w:b/>
          <w:bCs/>
          <w:color w:val="000000"/>
          <w:szCs w:val="22"/>
        </w:rPr>
        <w:t>.</w:t>
      </w:r>
      <w:r>
        <w:rPr>
          <w:rFonts w:ascii="Arial" w:hAnsi="Arial" w:cs="Arial"/>
          <w:color w:val="000000"/>
          <w:szCs w:val="22"/>
        </w:rPr>
        <w:t xml:space="preserve"> Cuando se anulen, rescindan o resuelvan operaciones que hayan sido sometid</w:t>
      </w:r>
      <w:r>
        <w:rPr>
          <w:rFonts w:ascii="Arial" w:hAnsi="Arial" w:cs="Arial"/>
          <w:color w:val="000000"/>
          <w:szCs w:val="22"/>
        </w:rPr>
        <w:t xml:space="preserve">as a la autorretención </w:t>
      </w:r>
      <w:r>
        <w:rPr>
          <w:rFonts w:ascii="Arial" w:hAnsi="Arial" w:cs="Arial"/>
          <w:szCs w:val="22"/>
          <w:lang w:val="es-CO"/>
        </w:rPr>
        <w:t>a título de impuesto sobre la renta y complementario de que trata el artículo 1.2.6.6.</w:t>
      </w:r>
      <w:r>
        <w:rPr>
          <w:rFonts w:ascii="Arial" w:hAnsi="Arial" w:cs="Arial"/>
          <w:color w:val="000000"/>
          <w:szCs w:val="22"/>
        </w:rPr>
        <w:t>, el autorretenedor podrá descontar las sumas que hubiere retenido por tales operaciones del monto de las autorretenciones por declarar y consignar</w:t>
      </w:r>
      <w:r>
        <w:rPr>
          <w:rFonts w:ascii="Arial" w:hAnsi="Arial" w:cs="Arial"/>
          <w:color w:val="000000"/>
          <w:szCs w:val="22"/>
        </w:rPr>
        <w:t xml:space="preserve"> en el período en el cual se hayan anulado, rescindido o resuelto las mismas. Cuando el monto de las autorretenciones sea insuficiente, podrá efectuar el descuento del saldo en los períodos siguientes.</w:t>
      </w:r>
    </w:p>
    <w:p w14:paraId="0B417CF6" w14:textId="77777777" w:rsidR="00B2442D" w:rsidRDefault="00B2442D">
      <w:pPr>
        <w:widowControl w:val="0"/>
        <w:autoSpaceDE w:val="0"/>
        <w:autoSpaceDN w:val="0"/>
        <w:adjustRightInd w:val="0"/>
        <w:jc w:val="both"/>
        <w:rPr>
          <w:rFonts w:ascii="Arial" w:hAnsi="Arial" w:cs="Arial"/>
          <w:color w:val="000000"/>
          <w:szCs w:val="22"/>
        </w:rPr>
      </w:pPr>
    </w:p>
    <w:p w14:paraId="6A639067" w14:textId="77777777" w:rsidR="00B2442D" w:rsidRDefault="008A645F">
      <w:pPr>
        <w:widowControl w:val="0"/>
        <w:autoSpaceDE w:val="0"/>
        <w:autoSpaceDN w:val="0"/>
        <w:adjustRightInd w:val="0"/>
        <w:jc w:val="both"/>
        <w:rPr>
          <w:rFonts w:ascii="Arial" w:hAnsi="Arial" w:cs="Arial"/>
          <w:color w:val="000000"/>
          <w:szCs w:val="22"/>
        </w:rPr>
      </w:pPr>
      <w:r>
        <w:rPr>
          <w:rFonts w:ascii="Arial" w:hAnsi="Arial" w:cs="Arial"/>
          <w:color w:val="000000"/>
          <w:szCs w:val="22"/>
        </w:rPr>
        <w:t xml:space="preserve">Cuando las anulaciones, rescisiones o </w:t>
      </w:r>
      <w:r>
        <w:rPr>
          <w:rFonts w:ascii="Arial" w:hAnsi="Arial" w:cs="Arial"/>
          <w:color w:val="000000"/>
          <w:szCs w:val="22"/>
        </w:rPr>
        <w:t>resoluciones se efectúen en el año fiscal siguiente a aquel en el cual se realizaron las respectivas retenciones, el descuento solo procederá cuando la autorretención no haya sido imputada en la respectiva declaración del impuesto sobre la renta.</w:t>
      </w:r>
    </w:p>
    <w:p w14:paraId="08A7B19D" w14:textId="77777777" w:rsidR="00B2442D" w:rsidRDefault="00B2442D">
      <w:pPr>
        <w:jc w:val="both"/>
        <w:rPr>
          <w:rFonts w:cs="Arial"/>
          <w:szCs w:val="22"/>
        </w:rPr>
      </w:pPr>
    </w:p>
    <w:p w14:paraId="2455809F" w14:textId="77777777" w:rsidR="00B2442D" w:rsidRDefault="008A645F">
      <w:pPr>
        <w:jc w:val="both"/>
        <w:rPr>
          <w:rFonts w:ascii="Arial" w:hAnsi="Arial" w:cs="Arial"/>
          <w:i/>
          <w:lang w:val="es-CO"/>
        </w:rPr>
      </w:pPr>
      <w:hyperlink r:id="rId34" w:history="1">
        <w:r>
          <w:rPr>
            <w:rStyle w:val="Hipervnculo"/>
            <w:rFonts w:ascii="Arial" w:hAnsi="Arial" w:cs="Arial"/>
            <w:i/>
            <w:lang w:val="es-CO"/>
          </w:rPr>
          <w:t>(Art. 1, Decreto 2201 de 2016)</w:t>
        </w:r>
      </w:hyperlink>
    </w:p>
    <w:p w14:paraId="7F340A28" w14:textId="77777777" w:rsidR="00B2442D" w:rsidRDefault="00B2442D">
      <w:pPr>
        <w:jc w:val="both"/>
        <w:rPr>
          <w:rFonts w:cs="Arial"/>
          <w:szCs w:val="22"/>
        </w:rPr>
      </w:pPr>
    </w:p>
    <w:p w14:paraId="0A769BCB" w14:textId="77777777" w:rsidR="00B2442D" w:rsidRDefault="008A645F">
      <w:pPr>
        <w:pStyle w:val="Prrafodelista"/>
        <w:numPr>
          <w:ilvl w:val="0"/>
          <w:numId w:val="197"/>
        </w:numPr>
        <w:ind w:left="0" w:firstLine="0"/>
        <w:jc w:val="both"/>
        <w:rPr>
          <w:rFonts w:ascii="Arial" w:hAnsi="Arial" w:cs="Arial"/>
          <w:lang w:val="es-CO"/>
        </w:rPr>
      </w:pPr>
      <w:r>
        <w:rPr>
          <w:rFonts w:ascii="Arial" w:hAnsi="Arial" w:cs="Arial"/>
          <w:b/>
          <w:i/>
          <w:szCs w:val="22"/>
          <w:lang w:val="es-CO"/>
        </w:rPr>
        <w:t>Autorretención en exceso.</w:t>
      </w:r>
      <w:r>
        <w:rPr>
          <w:rFonts w:ascii="Arial" w:hAnsi="Arial" w:cs="Arial"/>
          <w:szCs w:val="22"/>
          <w:lang w:val="es-CO"/>
        </w:rPr>
        <w:t xml:space="preserve"> Cuando se practique la autorretención a título de impuesto sobre la renta y complementario de que tra</w:t>
      </w:r>
      <w:r>
        <w:rPr>
          <w:rFonts w:ascii="Arial" w:hAnsi="Arial" w:cs="Arial"/>
          <w:szCs w:val="22"/>
          <w:lang w:val="es-CO"/>
        </w:rPr>
        <w:t xml:space="preserve">ta el artículo 1.2.6.6. en un valor superior al que ha debido efectuarse, el autorretenedor podrá descontar los valores autorretenidos en exceso o indebidamente del monto de las autorretenciones por declarar y consignar en el respectivo período. Cuando el </w:t>
      </w:r>
      <w:r>
        <w:rPr>
          <w:rFonts w:ascii="Arial" w:hAnsi="Arial" w:cs="Arial"/>
          <w:szCs w:val="22"/>
          <w:lang w:val="es-CO"/>
        </w:rPr>
        <w:t>monto de las autorretenciones sea insuficiente, podrá efectuar el descuento del saldo en los períodos siguientes.</w:t>
      </w:r>
    </w:p>
    <w:p w14:paraId="03436695" w14:textId="77777777" w:rsidR="00B2442D" w:rsidRDefault="00B2442D">
      <w:pPr>
        <w:jc w:val="both"/>
        <w:rPr>
          <w:rFonts w:ascii="Arial" w:hAnsi="Arial" w:cs="Arial"/>
          <w:lang w:val="es-CO"/>
        </w:rPr>
      </w:pPr>
    </w:p>
    <w:p w14:paraId="4BC31F92" w14:textId="77777777" w:rsidR="00B2442D" w:rsidRDefault="008A645F">
      <w:pPr>
        <w:jc w:val="both"/>
        <w:rPr>
          <w:rFonts w:ascii="Arial" w:hAnsi="Arial" w:cs="Arial"/>
          <w:i/>
          <w:lang w:val="es-CO"/>
        </w:rPr>
      </w:pPr>
      <w:hyperlink r:id="rId35" w:history="1">
        <w:r>
          <w:rPr>
            <w:rStyle w:val="Hipervnculo"/>
            <w:rFonts w:ascii="Arial" w:hAnsi="Arial" w:cs="Arial"/>
            <w:i/>
            <w:lang w:val="es-CO"/>
          </w:rPr>
          <w:t>(Art. 1, Decreto 2201 de 2016)</w:t>
        </w:r>
      </w:hyperlink>
    </w:p>
    <w:p w14:paraId="179EFBC9" w14:textId="77777777" w:rsidR="00B2442D" w:rsidRDefault="00B2442D">
      <w:pPr>
        <w:jc w:val="both"/>
        <w:rPr>
          <w:rFonts w:ascii="Arial" w:hAnsi="Arial" w:cs="Arial"/>
          <w:lang w:val="es-CO"/>
        </w:rPr>
      </w:pPr>
    </w:p>
    <w:p w14:paraId="492E0D09" w14:textId="77777777" w:rsidR="00B2442D" w:rsidRDefault="00B2442D">
      <w:pPr>
        <w:rPr>
          <w:rFonts w:ascii="Arial" w:hAnsi="Arial" w:cs="Arial"/>
          <w:lang w:val="es-CO"/>
        </w:rPr>
      </w:pPr>
    </w:p>
    <w:p w14:paraId="06B6E2E5" w14:textId="77777777" w:rsidR="00B2442D" w:rsidRDefault="008A645F">
      <w:pPr>
        <w:pStyle w:val="Ttulo2"/>
      </w:pPr>
      <w:bookmarkStart w:id="18" w:name="_Toc479171173"/>
      <w:r>
        <w:t>PAR</w:t>
      </w:r>
      <w:r>
        <w:t>TE 3</w:t>
      </w:r>
      <w:bookmarkEnd w:id="18"/>
    </w:p>
    <w:p w14:paraId="312B2FC1" w14:textId="77777777" w:rsidR="00B2442D" w:rsidRDefault="008A645F">
      <w:pPr>
        <w:pStyle w:val="Ttulo2"/>
      </w:pPr>
      <w:bookmarkStart w:id="19" w:name="_Toc479171174"/>
      <w:r>
        <w:t>Impuesto sobre las ventas – IVA, retención en la fuente a título de impuesto sobre las ventas e impuesto al consumo</w:t>
      </w:r>
      <w:bookmarkEnd w:id="19"/>
    </w:p>
    <w:p w14:paraId="60D3BA4E" w14:textId="77777777" w:rsidR="00B2442D" w:rsidRDefault="00B2442D">
      <w:pPr>
        <w:rPr>
          <w:rFonts w:ascii="Arial" w:hAnsi="Arial" w:cs="Arial"/>
          <w:lang w:val="es-CO"/>
        </w:rPr>
      </w:pPr>
    </w:p>
    <w:p w14:paraId="359F2F35" w14:textId="77777777" w:rsidR="00B2442D" w:rsidRDefault="008A645F">
      <w:pPr>
        <w:pStyle w:val="Ttulo3"/>
      </w:pPr>
      <w:bookmarkStart w:id="20" w:name="_Toc479171175"/>
      <w:r>
        <w:t>TÍTULO 1</w:t>
      </w:r>
      <w:bookmarkEnd w:id="20"/>
    </w:p>
    <w:p w14:paraId="36E2DB2C" w14:textId="77777777" w:rsidR="00B2442D" w:rsidRDefault="008A645F">
      <w:pPr>
        <w:pStyle w:val="Ttulo3"/>
      </w:pPr>
      <w:bookmarkStart w:id="21" w:name="_Toc479171176"/>
      <w:r>
        <w:t>Impuesto sobre las ventas – IVA</w:t>
      </w:r>
      <w:bookmarkEnd w:id="21"/>
    </w:p>
    <w:p w14:paraId="37FEF56F" w14:textId="77777777" w:rsidR="00B2442D" w:rsidRDefault="00B2442D">
      <w:pPr>
        <w:jc w:val="center"/>
        <w:rPr>
          <w:rFonts w:ascii="Arial" w:hAnsi="Arial" w:cs="Arial"/>
          <w:lang w:val="es-CO"/>
        </w:rPr>
      </w:pPr>
    </w:p>
    <w:p w14:paraId="4B1A83FB" w14:textId="77777777" w:rsidR="00B2442D" w:rsidRDefault="008A645F">
      <w:pPr>
        <w:pStyle w:val="Ttulo4"/>
        <w:ind w:firstLine="0"/>
      </w:pPr>
      <w:r>
        <w:t>CAPÍTULO 1</w:t>
      </w:r>
    </w:p>
    <w:p w14:paraId="53461A29" w14:textId="77777777" w:rsidR="00B2442D" w:rsidRDefault="008A645F">
      <w:pPr>
        <w:pStyle w:val="Ttulo4"/>
        <w:ind w:firstLine="0"/>
      </w:pPr>
      <w:r>
        <w:t>Generalidades</w:t>
      </w:r>
    </w:p>
    <w:p w14:paraId="436678E7" w14:textId="77777777" w:rsidR="00B2442D" w:rsidRDefault="00B2442D">
      <w:pPr>
        <w:rPr>
          <w:rFonts w:ascii="Arial" w:hAnsi="Arial" w:cs="Arial"/>
        </w:rPr>
      </w:pPr>
    </w:p>
    <w:p w14:paraId="4D38FFDF"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Aproximación de impuesto sobre las ventas cobrado.</w:t>
      </w:r>
      <w:r>
        <w:rPr>
          <w:rFonts w:ascii="Arial" w:hAnsi="Arial" w:cs="Arial"/>
          <w:lang w:val="es-CO"/>
        </w:rPr>
        <w:t xml:space="preserve"> Para facilitar el cobro del impuesto sobre las ventas cuando el valor del impuesto generado implique el pago de fracciones de diez pesos ($ 10.00), dicha fracción se podrá aproximar al múltiplo de diez pesos ($ 10.00) más cercano.</w:t>
      </w:r>
    </w:p>
    <w:p w14:paraId="1EBCF291" w14:textId="77777777" w:rsidR="00B2442D" w:rsidRDefault="00B2442D">
      <w:pPr>
        <w:jc w:val="both"/>
        <w:rPr>
          <w:rFonts w:ascii="Arial" w:hAnsi="Arial" w:cs="Arial"/>
          <w:i/>
          <w:lang w:val="es-CO"/>
        </w:rPr>
      </w:pPr>
    </w:p>
    <w:p w14:paraId="51B2755F" w14:textId="77777777" w:rsidR="00B2442D" w:rsidRDefault="008A645F">
      <w:pPr>
        <w:jc w:val="both"/>
        <w:rPr>
          <w:rFonts w:ascii="Arial" w:hAnsi="Arial" w:cs="Arial"/>
          <w:lang w:val="es-CO"/>
        </w:rPr>
      </w:pPr>
      <w:r>
        <w:rPr>
          <w:rFonts w:ascii="Arial" w:hAnsi="Arial" w:cs="Arial"/>
          <w:i/>
          <w:lang w:val="es-CO"/>
        </w:rPr>
        <w:t>(Art. 8, Decreto 1250 d</w:t>
      </w:r>
      <w:r>
        <w:rPr>
          <w:rFonts w:ascii="Arial" w:hAnsi="Arial" w:cs="Arial"/>
          <w:i/>
          <w:lang w:val="es-CO"/>
        </w:rPr>
        <w:t>e 1992)</w:t>
      </w:r>
    </w:p>
    <w:p w14:paraId="464DAF67" w14:textId="77777777" w:rsidR="00B2442D" w:rsidRDefault="00B2442D">
      <w:pPr>
        <w:jc w:val="both"/>
        <w:rPr>
          <w:rFonts w:ascii="Arial" w:hAnsi="Arial" w:cs="Arial"/>
          <w:lang w:val="es-CO"/>
        </w:rPr>
      </w:pPr>
    </w:p>
    <w:p w14:paraId="2D4EDFDB"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 xml:space="preserve">Iniciación de operaciones. </w:t>
      </w:r>
      <w:r>
        <w:rPr>
          <w:rFonts w:ascii="Arial" w:hAnsi="Arial" w:cs="Arial"/>
          <w:lang w:val="es-CO"/>
        </w:rPr>
        <w:t>Se entiende por iniciación de operaciones, para efectos del impuesto sobre las ventas, la fecha correspondiente a la primera enajenación de artículos gravados o exentos.</w:t>
      </w:r>
    </w:p>
    <w:p w14:paraId="45EE9B71" w14:textId="77777777" w:rsidR="00B2442D" w:rsidRDefault="00B2442D">
      <w:pPr>
        <w:jc w:val="both"/>
        <w:rPr>
          <w:rFonts w:ascii="Arial" w:hAnsi="Arial" w:cs="Arial"/>
          <w:i/>
          <w:lang w:val="es-CO"/>
        </w:rPr>
      </w:pPr>
    </w:p>
    <w:p w14:paraId="6DCE1172" w14:textId="77777777" w:rsidR="00B2442D" w:rsidRDefault="008A645F">
      <w:pPr>
        <w:jc w:val="both"/>
        <w:rPr>
          <w:rFonts w:ascii="Arial" w:hAnsi="Arial" w:cs="Arial"/>
          <w:i/>
          <w:lang w:val="es-CO"/>
        </w:rPr>
      </w:pPr>
      <w:r>
        <w:rPr>
          <w:rFonts w:ascii="Arial" w:hAnsi="Arial" w:cs="Arial"/>
          <w:i/>
          <w:lang w:val="es-CO"/>
        </w:rPr>
        <w:t>(Art. 22 Decreto 2815 de 1974)</w:t>
      </w:r>
    </w:p>
    <w:p w14:paraId="158022A0" w14:textId="77777777" w:rsidR="00B2442D" w:rsidRDefault="00B2442D">
      <w:pPr>
        <w:jc w:val="both"/>
        <w:rPr>
          <w:rFonts w:ascii="Arial" w:hAnsi="Arial" w:cs="Arial"/>
          <w:lang w:val="es-CO"/>
        </w:rPr>
      </w:pPr>
    </w:p>
    <w:p w14:paraId="6FBD104A"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Diferenciación de las ventas en la contabilidad.</w:t>
      </w:r>
      <w:r>
        <w:rPr>
          <w:rFonts w:ascii="Arial" w:hAnsi="Arial" w:cs="Arial"/>
          <w:lang w:val="es-CO"/>
        </w:rPr>
        <w:t xml:space="preserve"> Para efectos del artículo 48 del Decreto 3541 de 1983 (hoy artículo 763 del Estatuto Tributario), los responsables del impuesto sobre las ventas deberán diferenciar en su contabilidad las ventas y servicios </w:t>
      </w:r>
      <w:r>
        <w:rPr>
          <w:rFonts w:ascii="Arial" w:hAnsi="Arial" w:cs="Arial"/>
          <w:lang w:val="es-CO"/>
        </w:rPr>
        <w:t>gravados de los que no lo son.</w:t>
      </w:r>
    </w:p>
    <w:p w14:paraId="4326E19E" w14:textId="77777777" w:rsidR="00B2442D" w:rsidRDefault="00B2442D">
      <w:pPr>
        <w:jc w:val="both"/>
        <w:rPr>
          <w:rFonts w:ascii="Arial" w:hAnsi="Arial" w:cs="Arial"/>
          <w:lang w:val="es-CO"/>
        </w:rPr>
      </w:pPr>
    </w:p>
    <w:p w14:paraId="45AA3241" w14:textId="77777777" w:rsidR="00B2442D" w:rsidRDefault="008A645F">
      <w:pPr>
        <w:jc w:val="both"/>
        <w:rPr>
          <w:rFonts w:ascii="Arial" w:hAnsi="Arial" w:cs="Arial"/>
          <w:lang w:val="es-CO"/>
        </w:rPr>
      </w:pPr>
      <w:r>
        <w:rPr>
          <w:rFonts w:ascii="Arial" w:hAnsi="Arial" w:cs="Arial"/>
          <w:lang w:val="es-CO"/>
        </w:rPr>
        <w:t>Los productores de bienes exentos y los exportadores diferenciarán además las ventas exentas.</w:t>
      </w:r>
    </w:p>
    <w:p w14:paraId="2D56C8DF" w14:textId="77777777" w:rsidR="00B2442D" w:rsidRDefault="00B2442D">
      <w:pPr>
        <w:jc w:val="both"/>
        <w:rPr>
          <w:rFonts w:ascii="Arial" w:hAnsi="Arial" w:cs="Arial"/>
          <w:lang w:val="es-CO"/>
        </w:rPr>
      </w:pPr>
    </w:p>
    <w:p w14:paraId="7564E402" w14:textId="77777777" w:rsidR="00B2442D" w:rsidRDefault="008A645F">
      <w:pPr>
        <w:jc w:val="both"/>
        <w:rPr>
          <w:rFonts w:ascii="Arial" w:hAnsi="Arial" w:cs="Arial"/>
          <w:lang w:val="es-CO"/>
        </w:rPr>
      </w:pPr>
      <w:r>
        <w:rPr>
          <w:rFonts w:ascii="Arial" w:hAnsi="Arial" w:cs="Arial"/>
          <w:lang w:val="es-CO"/>
        </w:rPr>
        <w:t>Cuando se trate de responsables que se encuentren dentro del régimen simplificado no será necesaria tal distinción.</w:t>
      </w:r>
    </w:p>
    <w:p w14:paraId="3A8C0821" w14:textId="77777777" w:rsidR="00B2442D" w:rsidRDefault="00B2442D">
      <w:pPr>
        <w:jc w:val="both"/>
        <w:rPr>
          <w:rFonts w:ascii="Arial" w:hAnsi="Arial" w:cs="Arial"/>
          <w:i/>
          <w:lang w:val="es-CO"/>
        </w:rPr>
      </w:pPr>
    </w:p>
    <w:p w14:paraId="2920A6F1" w14:textId="77777777" w:rsidR="00B2442D" w:rsidRDefault="008A645F">
      <w:pPr>
        <w:jc w:val="both"/>
        <w:rPr>
          <w:rFonts w:ascii="Arial" w:hAnsi="Arial" w:cs="Arial"/>
          <w:i/>
          <w:lang w:val="es-CO"/>
        </w:rPr>
      </w:pPr>
      <w:r>
        <w:rPr>
          <w:rFonts w:ascii="Arial" w:hAnsi="Arial" w:cs="Arial"/>
          <w:i/>
          <w:lang w:val="es-CO"/>
        </w:rPr>
        <w:t>(Art. 14, De</w:t>
      </w:r>
      <w:r>
        <w:rPr>
          <w:rFonts w:ascii="Arial" w:hAnsi="Arial" w:cs="Arial"/>
          <w:i/>
          <w:lang w:val="es-CO"/>
        </w:rPr>
        <w:t>creto 570 de 1984)</w:t>
      </w:r>
      <w:r>
        <w:rPr>
          <w:rFonts w:ascii="Arial" w:hAnsi="Arial" w:cs="Arial"/>
        </w:rPr>
        <w:t xml:space="preserve"> (</w:t>
      </w:r>
      <w:r>
        <w:rPr>
          <w:rFonts w:ascii="Arial" w:hAnsi="Arial" w:cs="Arial"/>
          <w:i/>
          <w:lang w:val="es-CO"/>
        </w:rPr>
        <w:t>Decreto 570 de 1984 rige a partir del 1° de abril de 1984, salvo lo previsto en los artículos 31 y 32, con relación a los cuales rige a partir de la fecha de su expedición. Art. 37, Decreto 570 de 1984)</w:t>
      </w:r>
    </w:p>
    <w:p w14:paraId="64B133EE" w14:textId="77777777" w:rsidR="00B2442D" w:rsidRDefault="00B2442D">
      <w:pPr>
        <w:jc w:val="both"/>
        <w:rPr>
          <w:rFonts w:ascii="Arial" w:hAnsi="Arial" w:cs="Arial"/>
          <w:lang w:val="es-CO"/>
        </w:rPr>
      </w:pPr>
    </w:p>
    <w:p w14:paraId="7D221D21"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Identificación de las operacione</w:t>
      </w:r>
      <w:r>
        <w:rPr>
          <w:rFonts w:ascii="Arial" w:hAnsi="Arial" w:cs="Arial"/>
          <w:b/>
          <w:i/>
          <w:lang w:val="es-CO"/>
        </w:rPr>
        <w:t>s en la contabilidad.</w:t>
      </w:r>
      <w:r>
        <w:rPr>
          <w:rFonts w:ascii="Arial" w:hAnsi="Arial" w:cs="Arial"/>
          <w:lang w:val="es-CO"/>
        </w:rPr>
        <w:t xml:space="preserve"> Sin perjuicio de la obligación de discriminar el impuesto sobre las ventas en las facturas, los responsables del régimen común deberán identificar en su contabilidad las operaciones excluidas, exentas y las gravadas de acuerdo con las</w:t>
      </w:r>
      <w:r>
        <w:rPr>
          <w:rFonts w:ascii="Arial" w:hAnsi="Arial" w:cs="Arial"/>
          <w:lang w:val="es-CO"/>
        </w:rPr>
        <w:t xml:space="preserve"> diferentes tarifas.</w:t>
      </w:r>
    </w:p>
    <w:p w14:paraId="20C47BDE" w14:textId="77777777" w:rsidR="00B2442D" w:rsidRDefault="00B2442D">
      <w:pPr>
        <w:jc w:val="both"/>
        <w:rPr>
          <w:rFonts w:ascii="Arial" w:hAnsi="Arial" w:cs="Arial"/>
          <w:lang w:val="es-CO"/>
        </w:rPr>
      </w:pPr>
    </w:p>
    <w:p w14:paraId="2CD0B74F" w14:textId="77777777" w:rsidR="00B2442D" w:rsidRDefault="008A645F">
      <w:pPr>
        <w:jc w:val="both"/>
        <w:rPr>
          <w:rFonts w:ascii="Arial" w:hAnsi="Arial" w:cs="Arial"/>
          <w:i/>
          <w:lang w:val="es-CO"/>
        </w:rPr>
      </w:pPr>
      <w:r>
        <w:rPr>
          <w:rFonts w:ascii="Arial" w:hAnsi="Arial" w:cs="Arial"/>
          <w:i/>
          <w:lang w:val="es-CO"/>
        </w:rPr>
        <w:t>(Art. 4, Decreto 1165 de 1996)(</w:t>
      </w:r>
      <w:r>
        <w:rPr>
          <w:rFonts w:ascii="Arial" w:hAnsi="Arial" w:cs="Arial"/>
        </w:rPr>
        <w:t xml:space="preserve"> </w:t>
      </w:r>
      <w:r>
        <w:rPr>
          <w:rFonts w:ascii="Arial" w:hAnsi="Arial" w:cs="Arial"/>
          <w:i/>
          <w:lang w:val="es-CO"/>
        </w:rPr>
        <w:t>El Decreto 1165 de 1996 rige a partir de su expedición y deroga las normas que le sean contrarias, en especial las siguientes: artículos 4° y 7° del Decreto 422 de 1991; artículos 21, 22, 23 del Decreto</w:t>
      </w:r>
      <w:r>
        <w:rPr>
          <w:rFonts w:ascii="Arial" w:hAnsi="Arial" w:cs="Arial"/>
          <w:i/>
          <w:lang w:val="es-CO"/>
        </w:rPr>
        <w:t xml:space="preserve"> 836 de 1991 y artículo 39 del Decreto 2076 de 1992. Art. 15, Decreto 1165 de 1996)</w:t>
      </w:r>
    </w:p>
    <w:p w14:paraId="5E152C5C" w14:textId="77777777" w:rsidR="00B2442D" w:rsidRDefault="00B2442D">
      <w:pPr>
        <w:rPr>
          <w:rFonts w:ascii="Arial" w:hAnsi="Arial" w:cs="Arial"/>
          <w:b/>
          <w:lang w:val="es-CO"/>
        </w:rPr>
      </w:pPr>
    </w:p>
    <w:p w14:paraId="6D53BD61"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Contratos de arrendamiento con intermediación.</w:t>
      </w:r>
      <w:r>
        <w:rPr>
          <w:rFonts w:ascii="Arial" w:hAnsi="Arial" w:cs="Arial"/>
          <w:lang w:val="es-CO"/>
        </w:rPr>
        <w:t xml:space="preserve"> En el servicio gravado de arrendamiento de bienes inmuebles prestado con intermediación de una empresa administradora de fin</w:t>
      </w:r>
      <w:r>
        <w:rPr>
          <w:rFonts w:ascii="Arial" w:hAnsi="Arial" w:cs="Arial"/>
          <w:lang w:val="es-CO"/>
        </w:rPr>
        <w:t>ca raíz, el impuesto sobre las ventas (IVA) por el servicio de arrendamiento se causará atendiendo a la calidad de responsable de quien encarga la intermediación y a lo previsto en el artículo 429 del Estatuto Tributario, y será recaudado por el intermedia</w:t>
      </w:r>
      <w:r>
        <w:rPr>
          <w:rFonts w:ascii="Arial" w:hAnsi="Arial" w:cs="Arial"/>
          <w:lang w:val="es-CO"/>
        </w:rPr>
        <w:t>rio en el momento del pago o abono en cuenta, sin perjuicio del impuesto que se genere sobre la comisión del intermediario. Para tal efecto deberá tenerse en cuenta lo siguiente:</w:t>
      </w:r>
    </w:p>
    <w:p w14:paraId="40952B06" w14:textId="77777777" w:rsidR="00B2442D" w:rsidRDefault="00B2442D">
      <w:pPr>
        <w:jc w:val="both"/>
        <w:rPr>
          <w:rFonts w:ascii="Arial" w:hAnsi="Arial" w:cs="Arial"/>
          <w:lang w:val="es-CO"/>
        </w:rPr>
      </w:pPr>
    </w:p>
    <w:p w14:paraId="35A05787"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 xml:space="preserve">Si quien solicita la intermediación es un responsable del régimen común, </w:t>
      </w:r>
      <w:r>
        <w:rPr>
          <w:rFonts w:ascii="Arial" w:hAnsi="Arial" w:cs="Arial"/>
          <w:lang w:val="es-CO"/>
        </w:rPr>
        <w:t>el intermediario administrador deberá trasladarle la totalidad del impuesto sobre las ventas generado en la prestación del servicio de arrendamiento, dentro del mismo bimestre de causación del impuesto sobre las ventas (IVA). Para este efecto deberá identi</w:t>
      </w:r>
      <w:r>
        <w:rPr>
          <w:rFonts w:ascii="Arial" w:hAnsi="Arial" w:cs="Arial"/>
          <w:lang w:val="es-CO"/>
        </w:rPr>
        <w:t>ficar en su contabilidad los ingresos recibidos para quien solicita la intermediación, así como el impuesto trasladado.</w:t>
      </w:r>
    </w:p>
    <w:p w14:paraId="634AA16B" w14:textId="77777777" w:rsidR="00B2442D" w:rsidRDefault="00B2442D">
      <w:pPr>
        <w:jc w:val="both"/>
        <w:rPr>
          <w:rFonts w:ascii="Arial" w:hAnsi="Arial" w:cs="Arial"/>
          <w:lang w:val="es-CO"/>
        </w:rPr>
      </w:pPr>
    </w:p>
    <w:p w14:paraId="411F7BBC"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Si quien solicita la intermediación es un responsable inscrito en el régimen simplificado, el impuesto sólo se generará a través del</w:t>
      </w:r>
      <w:r>
        <w:rPr>
          <w:rFonts w:ascii="Arial" w:hAnsi="Arial" w:cs="Arial"/>
          <w:lang w:val="es-CO"/>
        </w:rPr>
        <w:t xml:space="preserve"> mecanismo de la retención en la fuente en cabeza del arrendatario que pertenezca al régimen común del IVA.</w:t>
      </w:r>
    </w:p>
    <w:p w14:paraId="6FDAAA6B" w14:textId="77777777" w:rsidR="00B2442D" w:rsidRDefault="00B2442D">
      <w:pPr>
        <w:jc w:val="both"/>
        <w:rPr>
          <w:rFonts w:ascii="Arial" w:hAnsi="Arial" w:cs="Arial"/>
          <w:lang w:val="es-CO"/>
        </w:rPr>
      </w:pPr>
    </w:p>
    <w:p w14:paraId="32C8C3E2" w14:textId="77777777" w:rsidR="00B2442D" w:rsidRDefault="008A645F">
      <w:pPr>
        <w:jc w:val="both"/>
        <w:rPr>
          <w:rFonts w:ascii="Arial" w:hAnsi="Arial" w:cs="Arial"/>
          <w:lang w:val="es-CO"/>
        </w:rPr>
      </w:pPr>
      <w:r>
        <w:rPr>
          <w:rFonts w:ascii="Arial" w:hAnsi="Arial" w:cs="Arial"/>
          <w:lang w:val="es-CO"/>
        </w:rPr>
        <w:t>3.</w:t>
      </w:r>
      <w:r>
        <w:rPr>
          <w:rFonts w:ascii="Arial" w:hAnsi="Arial" w:cs="Arial"/>
          <w:lang w:val="es-CO"/>
        </w:rPr>
        <w:tab/>
        <w:t>El intermediario solicitará a su mandante y al arrendatario la inscripción en el régimen del IVA al que pertenecen. Igualmente deberá expedir la</w:t>
      </w:r>
      <w:r>
        <w:rPr>
          <w:rFonts w:ascii="Arial" w:hAnsi="Arial" w:cs="Arial"/>
          <w:lang w:val="es-CO"/>
        </w:rPr>
        <w:t>s facturas y cumplir las demás obligaciones señaladas en el artículo 1.6.1.4.3 del presente Decreto y en los artículos  1.6.1.4.40, 1.6.1.4.41., 1.3.1.1.7., 1.3.1.1.6., 1.3.1.1.5., 1.3.1.1.9., 1.3.2.1.1. y 1.4.2.1.2. del presente Decreto.</w:t>
      </w:r>
    </w:p>
    <w:p w14:paraId="5B0F7610" w14:textId="77777777" w:rsidR="00B2442D" w:rsidRDefault="00B2442D">
      <w:pPr>
        <w:jc w:val="both"/>
        <w:rPr>
          <w:rFonts w:ascii="Arial" w:hAnsi="Arial" w:cs="Arial"/>
          <w:lang w:val="es-CO"/>
        </w:rPr>
      </w:pPr>
    </w:p>
    <w:p w14:paraId="7B313028" w14:textId="77777777" w:rsidR="00B2442D" w:rsidRDefault="008A645F">
      <w:pPr>
        <w:jc w:val="both"/>
        <w:rPr>
          <w:rFonts w:ascii="Arial" w:hAnsi="Arial" w:cs="Arial"/>
          <w:i/>
          <w:lang w:val="es-CO"/>
        </w:rPr>
      </w:pPr>
      <w:r>
        <w:rPr>
          <w:rFonts w:ascii="Arial" w:hAnsi="Arial" w:cs="Arial"/>
          <w:i/>
          <w:lang w:val="es-CO"/>
        </w:rPr>
        <w:t xml:space="preserve"> (Art. 8, Decreto 522 de 2003)</w:t>
      </w:r>
      <w:r>
        <w:rPr>
          <w:rFonts w:ascii="Arial" w:hAnsi="Arial" w:cs="Arial"/>
        </w:rPr>
        <w:t xml:space="preserve"> (</w:t>
      </w:r>
      <w:r>
        <w:rPr>
          <w:rFonts w:ascii="Arial" w:hAnsi="Arial" w:cs="Arial"/>
          <w:i/>
          <w:lang w:val="es-CO"/>
        </w:rPr>
        <w:t>El Decreto 522 de 2003 rige a partir de la fecha de su publicación y deroga los artículos 1° del Decreto 1001 de 1997, 6° del Decreto 3050 de 1997, y las disposiciones que le sean contrarias. Art. 27, Decreto 522 de 2003)</w:t>
      </w:r>
    </w:p>
    <w:p w14:paraId="29116166" w14:textId="77777777" w:rsidR="00B2442D" w:rsidRDefault="00B2442D">
      <w:pPr>
        <w:jc w:val="both"/>
        <w:rPr>
          <w:rFonts w:ascii="Arial" w:hAnsi="Arial" w:cs="Arial"/>
          <w:i/>
          <w:lang w:val="es-CO"/>
        </w:rPr>
      </w:pPr>
    </w:p>
    <w:p w14:paraId="1AD24B11"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C</w:t>
      </w:r>
      <w:r>
        <w:rPr>
          <w:rFonts w:ascii="Arial" w:hAnsi="Arial" w:cs="Arial"/>
          <w:b/>
          <w:i/>
          <w:lang w:val="es-CO"/>
        </w:rPr>
        <w:t>ontratos celebrados con entidades públicas.</w:t>
      </w:r>
      <w:r>
        <w:rPr>
          <w:rFonts w:ascii="Arial" w:hAnsi="Arial" w:cs="Arial"/>
          <w:lang w:val="es-CO"/>
        </w:rPr>
        <w:t xml:space="preserve"> Para la aplicación del régimen del impuesto sobre las ventas (IVA) en los contratos sujetos al impuesto sobre las ventas por la Ley 788 de 2002 celebrados con entidades públicas o estatales, con anterioridad a la</w:t>
      </w:r>
      <w:r>
        <w:rPr>
          <w:rFonts w:ascii="Arial" w:hAnsi="Arial" w:cs="Arial"/>
          <w:lang w:val="es-CO"/>
        </w:rPr>
        <w:t xml:space="preserve"> fecha de entrada en vigencia de la misma, se tendrá en cuenta lo previsto en el artículo 78 de la Ley 633 de 2000. En consecuencia, el régimen del IVA bajo el cual se celebraron se mantendrá hasta su terminación. A partir de la fecha de la prórroga o modi</w:t>
      </w:r>
      <w:r>
        <w:rPr>
          <w:rFonts w:ascii="Arial" w:hAnsi="Arial" w:cs="Arial"/>
          <w:lang w:val="es-CO"/>
        </w:rPr>
        <w:t>ficación de dichos contratos, deberán aplicarse las disposiciones vigentes del impuesto sobre las ventas (IVA).</w:t>
      </w:r>
    </w:p>
    <w:p w14:paraId="109689D2" w14:textId="77777777" w:rsidR="00B2442D" w:rsidRDefault="00B2442D">
      <w:pPr>
        <w:jc w:val="both"/>
        <w:rPr>
          <w:rFonts w:ascii="Arial" w:hAnsi="Arial" w:cs="Arial"/>
          <w:lang w:val="es-CO"/>
        </w:rPr>
      </w:pPr>
    </w:p>
    <w:p w14:paraId="7A31EB11" w14:textId="77777777" w:rsidR="00B2442D" w:rsidRDefault="008A645F">
      <w:pPr>
        <w:jc w:val="both"/>
        <w:rPr>
          <w:rFonts w:ascii="Arial" w:hAnsi="Arial" w:cs="Arial"/>
          <w:i/>
          <w:lang w:val="es-CO"/>
        </w:rPr>
      </w:pPr>
      <w:r>
        <w:rPr>
          <w:rFonts w:ascii="Arial" w:hAnsi="Arial" w:cs="Arial"/>
          <w:i/>
          <w:lang w:val="es-CO"/>
        </w:rPr>
        <w:t>(Art. 6, Decreto 522 de 2003)</w:t>
      </w:r>
      <w:r>
        <w:rPr>
          <w:rFonts w:ascii="Arial" w:hAnsi="Arial" w:cs="Arial"/>
        </w:rPr>
        <w:t xml:space="preserve"> </w:t>
      </w:r>
      <w:r>
        <w:rPr>
          <w:rFonts w:ascii="Arial" w:hAnsi="Arial" w:cs="Arial"/>
          <w:i/>
          <w:lang w:val="es-CO"/>
        </w:rPr>
        <w:t>(El Decreto 522 de 2003 rige a partir de la fecha de su publicación y deroga los artículos 1° del Decreto 1001 de</w:t>
      </w:r>
      <w:r>
        <w:rPr>
          <w:rFonts w:ascii="Arial" w:hAnsi="Arial" w:cs="Arial"/>
          <w:i/>
          <w:lang w:val="es-CO"/>
        </w:rPr>
        <w:t xml:space="preserve"> 1997, 6° del Decreto 3050 de 1997, y las disposiciones que le sean contrarias. Art. 27, Decreto 522 de 2003)</w:t>
      </w:r>
    </w:p>
    <w:p w14:paraId="6813EAB4" w14:textId="77777777" w:rsidR="00B2442D" w:rsidRDefault="00B2442D">
      <w:pPr>
        <w:jc w:val="both"/>
        <w:rPr>
          <w:rFonts w:ascii="Arial" w:hAnsi="Arial" w:cs="Arial"/>
          <w:i/>
          <w:lang w:val="es-CO"/>
        </w:rPr>
      </w:pPr>
    </w:p>
    <w:p w14:paraId="5F1FDB39"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Causación y base gravable del impuesto sobre las ventas (IVA) en contratos celebrados antes de la fecha de entrada en vigencia de la Ley 788 de 2</w:t>
      </w:r>
      <w:r>
        <w:rPr>
          <w:rFonts w:ascii="Arial" w:hAnsi="Arial" w:cs="Arial"/>
          <w:b/>
          <w:i/>
          <w:lang w:val="es-CO"/>
        </w:rPr>
        <w:t>002.</w:t>
      </w:r>
      <w:r>
        <w:rPr>
          <w:rFonts w:ascii="Arial" w:hAnsi="Arial" w:cs="Arial"/>
          <w:lang w:val="es-CO"/>
        </w:rPr>
        <w:t xml:space="preserve"> Los contratos de suministro o de compra de bienes así como los de prestación de servicios, que hayan quedado gravados con el Impuesto sobre las Ventas (IVA) por la Ley 788 de 2002 y se hayan suscrito con anterioridad a la fecha de entrada en vigencia </w:t>
      </w:r>
      <w:r>
        <w:rPr>
          <w:rFonts w:ascii="Arial" w:hAnsi="Arial" w:cs="Arial"/>
          <w:lang w:val="es-CO"/>
        </w:rPr>
        <w:t>de la misma, están sometidos al impuesto de conformidad con las normas sobre causación del gravamen establecidas en el Estatuto Tributario desde el primer bimestre del año 2003, siendo su base gravable el valor del pago o abono en cuenta en todos los casos</w:t>
      </w:r>
      <w:r>
        <w:rPr>
          <w:rFonts w:ascii="Arial" w:hAnsi="Arial" w:cs="Arial"/>
          <w:lang w:val="es-CO"/>
        </w:rPr>
        <w:t xml:space="preserve"> en que la ley no haya previsto una base gravable especial.</w:t>
      </w:r>
    </w:p>
    <w:p w14:paraId="6429FFC2" w14:textId="77777777" w:rsidR="00B2442D" w:rsidRDefault="00B2442D">
      <w:pPr>
        <w:jc w:val="both"/>
        <w:rPr>
          <w:rFonts w:ascii="Arial" w:hAnsi="Arial" w:cs="Arial"/>
          <w:i/>
          <w:lang w:val="es-CO"/>
        </w:rPr>
      </w:pPr>
    </w:p>
    <w:p w14:paraId="3A459E74" w14:textId="77777777" w:rsidR="00B2442D" w:rsidRDefault="008A645F">
      <w:pPr>
        <w:jc w:val="both"/>
        <w:rPr>
          <w:rFonts w:ascii="Arial" w:hAnsi="Arial" w:cs="Arial"/>
          <w:i/>
          <w:lang w:val="es-CO"/>
        </w:rPr>
      </w:pPr>
      <w:r>
        <w:rPr>
          <w:rFonts w:ascii="Arial" w:hAnsi="Arial" w:cs="Arial"/>
          <w:i/>
          <w:lang w:val="es-CO"/>
        </w:rPr>
        <w:t>(Art. 5, Decreto 522 de 2003)</w:t>
      </w:r>
    </w:p>
    <w:p w14:paraId="1BDC8DFA" w14:textId="77777777" w:rsidR="00B2442D" w:rsidRDefault="00B2442D">
      <w:pPr>
        <w:jc w:val="both"/>
        <w:rPr>
          <w:rFonts w:ascii="Arial" w:hAnsi="Arial" w:cs="Arial"/>
          <w:i/>
          <w:lang w:val="es-CO"/>
        </w:rPr>
      </w:pPr>
    </w:p>
    <w:p w14:paraId="773F6E62"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Causación de la retención en la fuente por IVA.</w:t>
      </w:r>
      <w:r>
        <w:rPr>
          <w:rFonts w:ascii="Arial" w:hAnsi="Arial" w:cs="Arial"/>
          <w:lang w:val="es-CO"/>
        </w:rPr>
        <w:t xml:space="preserve"> La retención en la fuente del impuesto sobre las ventas por la adquisición de bienes y servicios gravados deberá efe</w:t>
      </w:r>
      <w:r>
        <w:rPr>
          <w:rFonts w:ascii="Arial" w:hAnsi="Arial" w:cs="Arial"/>
          <w:lang w:val="es-CO"/>
        </w:rPr>
        <w:t>ctuarse en el momento en que se realice el pago o abono en cuenta, lo que ocurra primero.</w:t>
      </w:r>
    </w:p>
    <w:p w14:paraId="577A9924" w14:textId="77777777" w:rsidR="00B2442D" w:rsidRDefault="00B2442D">
      <w:pPr>
        <w:jc w:val="both"/>
        <w:rPr>
          <w:rFonts w:ascii="Arial" w:hAnsi="Arial" w:cs="Arial"/>
          <w:i/>
          <w:lang w:val="es-CO"/>
        </w:rPr>
      </w:pPr>
    </w:p>
    <w:p w14:paraId="1551D784" w14:textId="77777777" w:rsidR="00B2442D" w:rsidRDefault="008A645F">
      <w:pPr>
        <w:jc w:val="both"/>
        <w:rPr>
          <w:rFonts w:ascii="Arial" w:hAnsi="Arial" w:cs="Arial"/>
          <w:i/>
          <w:lang w:val="es-CO"/>
        </w:rPr>
      </w:pPr>
      <w:r>
        <w:rPr>
          <w:rFonts w:ascii="Arial" w:hAnsi="Arial" w:cs="Arial"/>
          <w:i/>
          <w:lang w:val="es-CO"/>
        </w:rPr>
        <w:t>(Art. 2, Decreto 0380 de 1996)</w:t>
      </w:r>
    </w:p>
    <w:p w14:paraId="7FC5A9D5" w14:textId="77777777" w:rsidR="00B2442D" w:rsidRDefault="00B2442D">
      <w:pPr>
        <w:jc w:val="both"/>
        <w:rPr>
          <w:rFonts w:ascii="Arial" w:hAnsi="Arial" w:cs="Arial"/>
          <w:b/>
          <w:lang w:val="es-CO"/>
        </w:rPr>
      </w:pPr>
    </w:p>
    <w:p w14:paraId="5D114A23"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Proporcionalidad en el impuesto sobre las ventas.</w:t>
      </w:r>
      <w:r>
        <w:rPr>
          <w:rFonts w:ascii="Arial" w:hAnsi="Arial" w:cs="Arial"/>
          <w:lang w:val="es-CO"/>
        </w:rPr>
        <w:t xml:space="preserve"> Cuando los bienes y servicios que dan derecho al impuesto descontable constituyan c</w:t>
      </w:r>
      <w:r>
        <w:rPr>
          <w:rFonts w:ascii="Arial" w:hAnsi="Arial" w:cs="Arial"/>
          <w:lang w:val="es-CO"/>
        </w:rPr>
        <w:t>ostos y/o gastos comunes a las operaciones exentas, excluidas o gravadas a las diferentes tarifas del impuesto, deberá establecerse una proporción del impuesto descontable en relación con los ingresos obtenidos por cada tarifa y por las operaciones excluid</w:t>
      </w:r>
      <w:r>
        <w:rPr>
          <w:rFonts w:ascii="Arial" w:hAnsi="Arial" w:cs="Arial"/>
          <w:lang w:val="es-CO"/>
        </w:rPr>
        <w:t>as.</w:t>
      </w:r>
    </w:p>
    <w:p w14:paraId="7B5600FF" w14:textId="77777777" w:rsidR="00B2442D" w:rsidRDefault="00B2442D">
      <w:pPr>
        <w:jc w:val="both"/>
        <w:rPr>
          <w:rFonts w:ascii="Arial" w:hAnsi="Arial" w:cs="Arial"/>
          <w:lang w:val="es-CO"/>
        </w:rPr>
      </w:pPr>
    </w:p>
    <w:p w14:paraId="2D712023" w14:textId="77777777" w:rsidR="00B2442D" w:rsidRDefault="008A645F">
      <w:pPr>
        <w:jc w:val="both"/>
        <w:rPr>
          <w:rFonts w:ascii="Arial" w:hAnsi="Arial" w:cs="Arial"/>
          <w:lang w:val="es-CO"/>
        </w:rPr>
      </w:pPr>
      <w:r>
        <w:rPr>
          <w:rFonts w:ascii="Arial" w:hAnsi="Arial" w:cs="Arial"/>
          <w:lang w:val="es-CO"/>
        </w:rPr>
        <w:t>Para estos efectos, los responsables deberán llevar cuentas transitorias en su contabilidad, en las cuales se debite durante el periodo bimestral el valor del impuesto sobre las ventas imputables a los costos y gastos comunes. Al finalizar cada bimest</w:t>
      </w:r>
      <w:r>
        <w:rPr>
          <w:rFonts w:ascii="Arial" w:hAnsi="Arial" w:cs="Arial"/>
          <w:lang w:val="es-CO"/>
        </w:rPr>
        <w:t xml:space="preserve">re dichas cuentas se abonarán con cargo a la cuenta impuesto a las ventas por pagar en el valor del impuesto correspondiente a costos y gastos comunes y proporcionales a la participación de los ingresos por tarifa en los ingresos totales, limitándolo a la </w:t>
      </w:r>
      <w:r>
        <w:rPr>
          <w:rFonts w:ascii="Arial" w:hAnsi="Arial" w:cs="Arial"/>
          <w:lang w:val="es-CO"/>
        </w:rPr>
        <w:t>tarifa a la cual estuvieron sujetas las operaciones de venta.</w:t>
      </w:r>
    </w:p>
    <w:p w14:paraId="67EAAEF6" w14:textId="77777777" w:rsidR="00B2442D" w:rsidRDefault="00B2442D">
      <w:pPr>
        <w:jc w:val="both"/>
        <w:rPr>
          <w:rFonts w:ascii="Arial" w:hAnsi="Arial" w:cs="Arial"/>
          <w:lang w:val="es-CO"/>
        </w:rPr>
      </w:pPr>
    </w:p>
    <w:p w14:paraId="314701D0" w14:textId="77777777" w:rsidR="00B2442D" w:rsidRDefault="008A645F">
      <w:pPr>
        <w:jc w:val="both"/>
        <w:rPr>
          <w:rFonts w:ascii="Arial" w:hAnsi="Arial" w:cs="Arial"/>
          <w:lang w:val="es-CO"/>
        </w:rPr>
      </w:pPr>
      <w:r>
        <w:rPr>
          <w:rFonts w:ascii="Arial" w:hAnsi="Arial" w:cs="Arial"/>
          <w:lang w:val="es-CO"/>
        </w:rPr>
        <w:t>El saldo débito de las cuentas transitorias que así resulte al final del bimestre deberá cancelarse con cargo a pérdidas y ganancias.</w:t>
      </w:r>
    </w:p>
    <w:p w14:paraId="0C1D585D" w14:textId="77777777" w:rsidR="00B2442D" w:rsidRDefault="00B2442D">
      <w:pPr>
        <w:jc w:val="both"/>
        <w:rPr>
          <w:rFonts w:ascii="Arial" w:hAnsi="Arial" w:cs="Arial"/>
          <w:lang w:val="es-CO"/>
        </w:rPr>
      </w:pPr>
    </w:p>
    <w:p w14:paraId="5CD3AC6B" w14:textId="77777777" w:rsidR="00B2442D" w:rsidRDefault="008A645F">
      <w:pPr>
        <w:jc w:val="both"/>
        <w:rPr>
          <w:rFonts w:ascii="Arial" w:hAnsi="Arial" w:cs="Arial"/>
          <w:i/>
          <w:lang w:val="es-CO"/>
        </w:rPr>
      </w:pPr>
      <w:r>
        <w:rPr>
          <w:rFonts w:ascii="Arial" w:hAnsi="Arial" w:cs="Arial"/>
          <w:i/>
          <w:lang w:val="es-CO"/>
        </w:rPr>
        <w:t xml:space="preserve">(Art. 15, Decreto 522 de 2003. El inciso primero </w:t>
      </w:r>
      <w:r>
        <w:rPr>
          <w:rFonts w:ascii="Arial" w:hAnsi="Arial" w:cs="Arial"/>
          <w:i/>
          <w:lang w:val="es-CO"/>
        </w:rPr>
        <w:t>tiene decaimiento por evolución normativa (Artículo 56 de la Ley 1607 de 2012))</w:t>
      </w:r>
      <w:r>
        <w:rPr>
          <w:rFonts w:ascii="Arial" w:hAnsi="Arial" w:cs="Arial"/>
        </w:rPr>
        <w:t xml:space="preserve"> </w:t>
      </w:r>
      <w:r>
        <w:rPr>
          <w:rFonts w:ascii="Arial" w:hAnsi="Arial" w:cs="Arial"/>
          <w:i/>
          <w:lang w:val="es-CO"/>
        </w:rPr>
        <w:t xml:space="preserve">(El Decreto 522 de 2003 rige a partir de la fecha de su publicación y deroga los artículos 1° del Decreto 1001 de 1997, 6° del Decreto 3050 de 1997, y las disposiciones que le </w:t>
      </w:r>
      <w:r>
        <w:rPr>
          <w:rFonts w:ascii="Arial" w:hAnsi="Arial" w:cs="Arial"/>
          <w:i/>
          <w:lang w:val="es-CO"/>
        </w:rPr>
        <w:t>sean contrarias. Art. 27, Decreto 522 de 2003)</w:t>
      </w:r>
    </w:p>
    <w:p w14:paraId="3F8A6D65" w14:textId="77777777" w:rsidR="00B2442D" w:rsidRDefault="00B2442D">
      <w:pPr>
        <w:jc w:val="both"/>
        <w:rPr>
          <w:rFonts w:ascii="Arial" w:hAnsi="Arial" w:cs="Arial"/>
          <w:i/>
          <w:lang w:val="es-CO"/>
        </w:rPr>
      </w:pPr>
    </w:p>
    <w:p w14:paraId="3C93A471"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Obligaciones especiales para nuevos responsables no comerciantes.</w:t>
      </w:r>
      <w:r>
        <w:rPr>
          <w:rFonts w:ascii="Arial" w:hAnsi="Arial" w:cs="Arial"/>
          <w:lang w:val="es-CO"/>
        </w:rPr>
        <w:t xml:space="preserve"> Sin perjuicio del cumplimiento de las demás obligaciones tributarias que les corresponde cumplir de acuerdo con lo dispuesto en el Estatuto Tr</w:t>
      </w:r>
      <w:r>
        <w:rPr>
          <w:rFonts w:ascii="Arial" w:hAnsi="Arial" w:cs="Arial"/>
          <w:lang w:val="es-CO"/>
        </w:rPr>
        <w:t>ibutario, los responsables personas naturales que presten servicios y no sean comerciantes, llevarán un registro auxiliar de compras y ventas que consistirá en la conservación discriminada de las facturas de compra de bienes y servicios, y de las copias de</w:t>
      </w:r>
      <w:r>
        <w:rPr>
          <w:rFonts w:ascii="Arial" w:hAnsi="Arial" w:cs="Arial"/>
          <w:lang w:val="es-CO"/>
        </w:rPr>
        <w:t xml:space="preserve"> las facturas o documentos equivalentes que expidan por los servicios prestados. </w:t>
      </w:r>
    </w:p>
    <w:p w14:paraId="07185A59" w14:textId="77777777" w:rsidR="00B2442D" w:rsidRDefault="008A645F">
      <w:pPr>
        <w:jc w:val="both"/>
        <w:rPr>
          <w:rFonts w:ascii="Arial" w:hAnsi="Arial" w:cs="Arial"/>
          <w:lang w:val="es-CO"/>
        </w:rPr>
      </w:pPr>
      <w:r>
        <w:rPr>
          <w:rFonts w:ascii="Arial" w:hAnsi="Arial" w:cs="Arial"/>
          <w:lang w:val="es-CO"/>
        </w:rPr>
        <w:t xml:space="preserve"> </w:t>
      </w:r>
    </w:p>
    <w:p w14:paraId="4C4EACE6" w14:textId="77777777" w:rsidR="00B2442D" w:rsidRDefault="008A645F">
      <w:pPr>
        <w:jc w:val="both"/>
        <w:rPr>
          <w:rFonts w:ascii="Arial" w:hAnsi="Arial" w:cs="Arial"/>
          <w:lang w:val="es-CO"/>
        </w:rPr>
      </w:pPr>
      <w:r>
        <w:rPr>
          <w:rFonts w:ascii="Arial" w:hAnsi="Arial" w:cs="Arial"/>
          <w:lang w:val="es-CO"/>
        </w:rPr>
        <w:t>Estos mismos responsables deberán efectuar al final de cada bimestre en un documento auxiliar, el cálculo del impuesto a cargo. Dicho documento junto con los mencionados en</w:t>
      </w:r>
      <w:r>
        <w:rPr>
          <w:rFonts w:ascii="Arial" w:hAnsi="Arial" w:cs="Arial"/>
          <w:lang w:val="es-CO"/>
        </w:rPr>
        <w:t xml:space="preserve"> el inciso anterior, deberán conservarse para ser puestos a disposición de las autoridades tributarias, cuando ellas así lo exijan. </w:t>
      </w:r>
    </w:p>
    <w:p w14:paraId="014BBF9C" w14:textId="77777777" w:rsidR="00B2442D" w:rsidRDefault="008A645F">
      <w:pPr>
        <w:jc w:val="both"/>
        <w:rPr>
          <w:rFonts w:ascii="Arial" w:hAnsi="Arial" w:cs="Arial"/>
          <w:lang w:val="es-CO"/>
        </w:rPr>
      </w:pPr>
      <w:r>
        <w:rPr>
          <w:rFonts w:ascii="Arial" w:hAnsi="Arial" w:cs="Arial"/>
          <w:lang w:val="es-CO"/>
        </w:rPr>
        <w:t xml:space="preserve"> </w:t>
      </w:r>
    </w:p>
    <w:p w14:paraId="52028529" w14:textId="77777777" w:rsidR="00B2442D" w:rsidRDefault="008A645F">
      <w:pPr>
        <w:jc w:val="both"/>
        <w:rPr>
          <w:rFonts w:ascii="Arial" w:hAnsi="Arial" w:cs="Arial"/>
          <w:lang w:val="es-CO"/>
        </w:rPr>
      </w:pPr>
      <w:r>
        <w:rPr>
          <w:rFonts w:ascii="Arial" w:hAnsi="Arial" w:cs="Arial"/>
          <w:lang w:val="es-CO"/>
        </w:rPr>
        <w:t xml:space="preserve">El documento auxiliar hará las veces de la cuenta mayor o de balance, denominada "Impuesto a las Ventas por </w:t>
      </w:r>
      <w:r>
        <w:rPr>
          <w:rFonts w:ascii="Arial" w:hAnsi="Arial" w:cs="Arial"/>
          <w:lang w:val="es-CO"/>
        </w:rPr>
        <w:t>Pagar".</w:t>
      </w:r>
    </w:p>
    <w:p w14:paraId="45BB464B" w14:textId="77777777" w:rsidR="00B2442D" w:rsidRDefault="00B2442D">
      <w:pPr>
        <w:jc w:val="both"/>
        <w:rPr>
          <w:rFonts w:ascii="Arial" w:hAnsi="Arial" w:cs="Arial"/>
          <w:i/>
          <w:lang w:val="es-CO"/>
        </w:rPr>
      </w:pPr>
    </w:p>
    <w:p w14:paraId="3C848CBA" w14:textId="77777777" w:rsidR="00B2442D" w:rsidRDefault="008A645F">
      <w:pPr>
        <w:jc w:val="both"/>
        <w:rPr>
          <w:rFonts w:ascii="Arial" w:hAnsi="Arial" w:cs="Arial"/>
          <w:i/>
          <w:lang w:val="es-CO"/>
        </w:rPr>
      </w:pPr>
      <w:r>
        <w:rPr>
          <w:rFonts w:ascii="Arial" w:hAnsi="Arial" w:cs="Arial"/>
          <w:i/>
          <w:lang w:val="es-CO"/>
        </w:rPr>
        <w:t>(Art. 8, Decreto 1107 de 1992)</w:t>
      </w:r>
    </w:p>
    <w:p w14:paraId="4417A179" w14:textId="77777777" w:rsidR="00B2442D" w:rsidRDefault="00B2442D">
      <w:pPr>
        <w:jc w:val="both"/>
        <w:rPr>
          <w:rFonts w:ascii="Arial" w:hAnsi="Arial" w:cs="Arial"/>
          <w:i/>
          <w:lang w:val="es-CO"/>
        </w:rPr>
      </w:pPr>
    </w:p>
    <w:p w14:paraId="599A79FE"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 xml:space="preserve"> IVA como costo en la adquisición de empaques o envases retornables.</w:t>
      </w:r>
      <w:r>
        <w:rPr>
          <w:rFonts w:ascii="Arial" w:hAnsi="Arial" w:cs="Arial"/>
          <w:lang w:val="es-CO"/>
        </w:rPr>
        <w:t xml:space="preserve"> Para efectos del impuesto sobre las ventas, el IVA pagado por el productor y/o embotellador de bebidas en la adquisición de los empaques o envases</w:t>
      </w:r>
      <w:r>
        <w:rPr>
          <w:rFonts w:ascii="Arial" w:hAnsi="Arial" w:cs="Arial"/>
          <w:lang w:val="es-CO"/>
        </w:rPr>
        <w:t xml:space="preserve"> retornables hace parte de su costo y, como tal, no es descontable.</w:t>
      </w:r>
    </w:p>
    <w:p w14:paraId="1646F9B7" w14:textId="77777777" w:rsidR="00B2442D" w:rsidRDefault="00B2442D">
      <w:pPr>
        <w:jc w:val="both"/>
        <w:rPr>
          <w:rFonts w:ascii="Arial" w:hAnsi="Arial" w:cs="Arial"/>
          <w:lang w:val="es-CO"/>
        </w:rPr>
      </w:pPr>
    </w:p>
    <w:p w14:paraId="3BE69F4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empaques o envases no retornables, forman parte del costo del producto.</w:t>
      </w:r>
    </w:p>
    <w:p w14:paraId="1979FAD5" w14:textId="77777777" w:rsidR="00B2442D" w:rsidRDefault="00B2442D">
      <w:pPr>
        <w:jc w:val="both"/>
        <w:rPr>
          <w:rFonts w:ascii="Arial" w:hAnsi="Arial" w:cs="Arial"/>
          <w:lang w:val="es-CO"/>
        </w:rPr>
      </w:pPr>
    </w:p>
    <w:p w14:paraId="77987725" w14:textId="77777777" w:rsidR="00B2442D" w:rsidRDefault="008A645F">
      <w:pPr>
        <w:jc w:val="both"/>
        <w:rPr>
          <w:rFonts w:ascii="Arial" w:hAnsi="Arial" w:cs="Arial"/>
          <w:i/>
          <w:lang w:val="es-CO"/>
        </w:rPr>
      </w:pPr>
      <w:r>
        <w:rPr>
          <w:rFonts w:ascii="Arial" w:hAnsi="Arial" w:cs="Arial"/>
          <w:i/>
          <w:lang w:val="es-CO"/>
        </w:rPr>
        <w:t>(Art. 2, Decreto 3730 de 2005)</w:t>
      </w:r>
    </w:p>
    <w:p w14:paraId="2F1FC85E" w14:textId="77777777" w:rsidR="00B2442D" w:rsidRDefault="00B2442D">
      <w:pPr>
        <w:jc w:val="both"/>
        <w:rPr>
          <w:rFonts w:ascii="Arial" w:hAnsi="Arial" w:cs="Arial"/>
          <w:i/>
          <w:lang w:val="es-CO"/>
        </w:rPr>
      </w:pPr>
    </w:p>
    <w:p w14:paraId="715696C9" w14:textId="77777777" w:rsidR="00B2442D" w:rsidRDefault="008A645F">
      <w:pPr>
        <w:pStyle w:val="Prrafodelista"/>
        <w:numPr>
          <w:ilvl w:val="0"/>
          <w:numId w:val="60"/>
        </w:numPr>
        <w:ind w:left="0" w:firstLine="0"/>
        <w:jc w:val="both"/>
        <w:rPr>
          <w:rFonts w:ascii="Arial" w:hAnsi="Arial" w:cs="Arial"/>
          <w:lang w:val="es-CO"/>
        </w:rPr>
      </w:pPr>
      <w:r>
        <w:rPr>
          <w:rFonts w:ascii="Arial" w:hAnsi="Arial" w:cs="Arial"/>
          <w:b/>
          <w:i/>
          <w:lang w:val="es-CO"/>
        </w:rPr>
        <w:t>Contratos con extranjeros sin domicilio o residencia en el país.</w:t>
      </w:r>
      <w:r>
        <w:rPr>
          <w:rFonts w:ascii="Arial" w:hAnsi="Arial" w:cs="Arial"/>
          <w:lang w:val="es-CO"/>
        </w:rPr>
        <w:t xml:space="preserve"> Pa</w:t>
      </w:r>
      <w:r>
        <w:rPr>
          <w:rFonts w:ascii="Arial" w:hAnsi="Arial" w:cs="Arial"/>
          <w:lang w:val="es-CO"/>
        </w:rPr>
        <w:t>ra efectos de lo dispuesto en el numeral 3o del artículo 437-2 del Estatuto Tributario, en el contrato respectivo deberá discriminarse el valor del impuesto sobre las ventas generado que será objeto de retención por parte del contratante. El contrato servi</w:t>
      </w:r>
      <w:r>
        <w:rPr>
          <w:rFonts w:ascii="Arial" w:hAnsi="Arial" w:cs="Arial"/>
          <w:lang w:val="es-CO"/>
        </w:rPr>
        <w:t>rá como soporte para todos los efectos tributarios.</w:t>
      </w:r>
    </w:p>
    <w:p w14:paraId="21E398A7" w14:textId="77777777" w:rsidR="00B2442D" w:rsidRDefault="00B2442D">
      <w:pPr>
        <w:jc w:val="both"/>
        <w:rPr>
          <w:rFonts w:ascii="Arial" w:hAnsi="Arial" w:cs="Arial"/>
          <w:i/>
          <w:lang w:val="es-CO"/>
        </w:rPr>
      </w:pPr>
    </w:p>
    <w:p w14:paraId="33640D6B" w14:textId="77777777" w:rsidR="00B2442D" w:rsidRDefault="008A645F">
      <w:pPr>
        <w:jc w:val="both"/>
        <w:rPr>
          <w:rFonts w:ascii="Arial" w:hAnsi="Arial" w:cs="Arial"/>
          <w:i/>
          <w:lang w:val="es-CO"/>
        </w:rPr>
      </w:pPr>
      <w:r>
        <w:rPr>
          <w:rFonts w:ascii="Arial" w:hAnsi="Arial" w:cs="Arial"/>
          <w:i/>
          <w:lang w:val="es-CO"/>
        </w:rPr>
        <w:t>(Art. 12, Decreto 1165 de 1996)</w:t>
      </w:r>
      <w:r>
        <w:rPr>
          <w:rFonts w:ascii="Arial" w:hAnsi="Arial" w:cs="Arial"/>
        </w:rPr>
        <w:t xml:space="preserve"> </w:t>
      </w:r>
      <w:r>
        <w:rPr>
          <w:rFonts w:ascii="Arial" w:hAnsi="Arial" w:cs="Arial"/>
          <w:i/>
          <w:lang w:val="es-CO"/>
        </w:rPr>
        <w:t xml:space="preserve">(El Decreto 1165 de 1996 rige a partir de su expedición y deroga las normas que le sean contrarias, en especial las siguientes: artículos 4° y 7° del Decreto 422 de 1991; </w:t>
      </w:r>
      <w:r>
        <w:rPr>
          <w:rFonts w:ascii="Arial" w:hAnsi="Arial" w:cs="Arial"/>
          <w:i/>
          <w:lang w:val="es-CO"/>
        </w:rPr>
        <w:t>artículos 21, 22, 23 del Decreto 836 de 1991 y artículo 39 del Decreto 2076 de 1992. Art. 15, Decreto 1165 de 1996)</w:t>
      </w:r>
    </w:p>
    <w:p w14:paraId="2063980A" w14:textId="77777777" w:rsidR="00B2442D" w:rsidRDefault="00B2442D">
      <w:pPr>
        <w:jc w:val="both"/>
        <w:rPr>
          <w:rFonts w:ascii="Arial" w:hAnsi="Arial" w:cs="Arial"/>
          <w:i/>
          <w:lang w:val="es-CO"/>
        </w:rPr>
      </w:pPr>
    </w:p>
    <w:p w14:paraId="27CC8D21" w14:textId="77777777" w:rsidR="00B2442D" w:rsidRDefault="008A645F">
      <w:pPr>
        <w:pStyle w:val="Ttulo4"/>
      </w:pPr>
      <w:r>
        <w:t>CAPÍTULO 2</w:t>
      </w:r>
    </w:p>
    <w:p w14:paraId="6D4EE821" w14:textId="77777777" w:rsidR="00B2442D" w:rsidRDefault="008A645F">
      <w:pPr>
        <w:pStyle w:val="Ttulo4"/>
      </w:pPr>
      <w:r>
        <w:t>Definiciones</w:t>
      </w:r>
    </w:p>
    <w:p w14:paraId="072C1C39" w14:textId="77777777" w:rsidR="00B2442D" w:rsidRDefault="00B2442D">
      <w:pPr>
        <w:rPr>
          <w:rFonts w:ascii="Arial" w:hAnsi="Arial" w:cs="Arial"/>
          <w:lang w:val="es-CO"/>
        </w:rPr>
      </w:pPr>
    </w:p>
    <w:p w14:paraId="42436F47" w14:textId="77777777" w:rsidR="00B2442D" w:rsidRDefault="008A645F">
      <w:pPr>
        <w:pStyle w:val="Prrafodelista"/>
        <w:numPr>
          <w:ilvl w:val="0"/>
          <w:numId w:val="61"/>
        </w:numPr>
        <w:ind w:left="0" w:firstLine="0"/>
        <w:jc w:val="both"/>
        <w:rPr>
          <w:rFonts w:ascii="Arial" w:hAnsi="Arial" w:cs="Arial"/>
          <w:lang w:val="es-CO"/>
        </w:rPr>
      </w:pPr>
      <w:r>
        <w:rPr>
          <w:rFonts w:ascii="Arial" w:hAnsi="Arial" w:cs="Arial"/>
          <w:b/>
          <w:i/>
          <w:lang w:val="es-CO"/>
        </w:rPr>
        <w:t xml:space="preserve">Definición de servicio para efectos del IVA. </w:t>
      </w:r>
      <w:r>
        <w:rPr>
          <w:rFonts w:ascii="Arial" w:hAnsi="Arial" w:cs="Arial"/>
          <w:lang w:val="es-CO"/>
        </w:rPr>
        <w:t xml:space="preserve">Para los efectos del impuesto sobre las ventas se considera servicio </w:t>
      </w:r>
      <w:r>
        <w:rPr>
          <w:rFonts w:ascii="Arial" w:hAnsi="Arial" w:cs="Arial"/>
          <w:lang w:val="es-CO"/>
        </w:rPr>
        <w:t>toda actividad, labor o trabajo prestado por una persona natural o jurídica, o por una sociedad de hecho, sin relación laboral con quien contrata la ejecución, que se concreta en una obligación de hacer, sin importar que en la misma predomine el factor mat</w:t>
      </w:r>
      <w:r>
        <w:rPr>
          <w:rFonts w:ascii="Arial" w:hAnsi="Arial" w:cs="Arial"/>
          <w:lang w:val="es-CO"/>
        </w:rPr>
        <w:t>erial o intelectual, y que genera una contraprestación en dinero o en especie, independientemente de su denominación o forma de remuneración.</w:t>
      </w:r>
    </w:p>
    <w:p w14:paraId="3010D5F4" w14:textId="77777777" w:rsidR="00B2442D" w:rsidRDefault="00B2442D">
      <w:pPr>
        <w:jc w:val="both"/>
        <w:rPr>
          <w:rFonts w:ascii="Arial" w:hAnsi="Arial" w:cs="Arial"/>
          <w:i/>
          <w:lang w:val="es-CO"/>
        </w:rPr>
      </w:pPr>
    </w:p>
    <w:p w14:paraId="10ECBF58" w14:textId="77777777" w:rsidR="00B2442D" w:rsidRDefault="008A645F">
      <w:pPr>
        <w:jc w:val="both"/>
        <w:rPr>
          <w:rFonts w:ascii="Arial" w:hAnsi="Arial" w:cs="Arial"/>
          <w:lang w:val="es-CO"/>
        </w:rPr>
      </w:pPr>
      <w:r>
        <w:rPr>
          <w:rFonts w:ascii="Arial" w:hAnsi="Arial" w:cs="Arial"/>
          <w:i/>
          <w:lang w:val="es-CO"/>
        </w:rPr>
        <w:t>(Art. 1, Decreto 1372 de 1992)</w:t>
      </w:r>
    </w:p>
    <w:p w14:paraId="6575544E" w14:textId="77777777" w:rsidR="00B2442D" w:rsidRDefault="00B2442D">
      <w:pPr>
        <w:jc w:val="both"/>
        <w:rPr>
          <w:rFonts w:ascii="Arial" w:hAnsi="Arial" w:cs="Arial"/>
          <w:i/>
          <w:lang w:val="es-CO"/>
        </w:rPr>
      </w:pPr>
    </w:p>
    <w:p w14:paraId="61301D29" w14:textId="77777777" w:rsidR="00B2442D" w:rsidRDefault="008A645F">
      <w:pPr>
        <w:pStyle w:val="Prrafodelista"/>
        <w:numPr>
          <w:ilvl w:val="0"/>
          <w:numId w:val="61"/>
        </w:numPr>
        <w:ind w:left="0" w:firstLine="0"/>
        <w:jc w:val="both"/>
        <w:rPr>
          <w:rFonts w:ascii="Arial" w:hAnsi="Arial" w:cs="Arial"/>
          <w:lang w:val="es-CO"/>
        </w:rPr>
      </w:pPr>
      <w:r>
        <w:rPr>
          <w:rFonts w:ascii="Arial" w:hAnsi="Arial" w:cs="Arial"/>
          <w:b/>
          <w:i/>
          <w:lang w:val="es-CO"/>
        </w:rPr>
        <w:t>Definición de servicios de publicidad.</w:t>
      </w:r>
      <w:r>
        <w:rPr>
          <w:rFonts w:ascii="Arial" w:hAnsi="Arial" w:cs="Arial"/>
          <w:i/>
          <w:lang w:val="es-CO"/>
        </w:rPr>
        <w:t xml:space="preserve"> </w:t>
      </w:r>
      <w:r>
        <w:rPr>
          <w:rFonts w:ascii="Arial" w:hAnsi="Arial" w:cs="Arial"/>
          <w:lang w:val="es-CO"/>
        </w:rPr>
        <w:t>Para efectos del impuesto sobre las ventas</w:t>
      </w:r>
      <w:r>
        <w:rPr>
          <w:rFonts w:ascii="Arial" w:hAnsi="Arial" w:cs="Arial"/>
          <w:lang w:val="es-CO"/>
        </w:rPr>
        <w:t xml:space="preserve"> se consideran servicio de publicidad todas las actividades tendientes a crear, diseñar, elaborar, interpretar, publicar o divulgar anuncios, avisos, cuñas o comerciales, con fines de divulgación al público en general, a través de  los diferentes medios de</w:t>
      </w:r>
      <w:r>
        <w:rPr>
          <w:rFonts w:ascii="Arial" w:hAnsi="Arial" w:cs="Arial"/>
          <w:lang w:val="es-CO"/>
        </w:rPr>
        <w:t xml:space="preserve"> comunicación, tales como, radio, prensa, revistas, televisión, cine, vallas, pancartas, impresos, insertos, así como la venta o alquiler de espacios para mensajes publicitarios en cualquier medio, incluidos los edictos, avisos clasificados y funerarios. </w:t>
      </w:r>
    </w:p>
    <w:p w14:paraId="0DDB8C28" w14:textId="77777777" w:rsidR="00B2442D" w:rsidRDefault="00B2442D">
      <w:pPr>
        <w:jc w:val="both"/>
        <w:rPr>
          <w:rFonts w:ascii="Arial" w:hAnsi="Arial" w:cs="Arial"/>
          <w:lang w:val="es-CO"/>
        </w:rPr>
      </w:pPr>
    </w:p>
    <w:p w14:paraId="3A9CA157" w14:textId="77777777" w:rsidR="00B2442D" w:rsidRDefault="008A645F">
      <w:pPr>
        <w:jc w:val="both"/>
        <w:rPr>
          <w:rFonts w:ascii="Arial" w:hAnsi="Arial" w:cs="Arial"/>
          <w:lang w:val="es-CO"/>
        </w:rPr>
      </w:pPr>
      <w:r>
        <w:rPr>
          <w:rFonts w:ascii="Arial" w:hAnsi="Arial" w:cs="Arial"/>
          <w:lang w:val="es-CO"/>
        </w:rPr>
        <w:t xml:space="preserve">Igualmente, se consideran servicios de publicidad los prestados en forma independiente o por las agencias de publicidad, referidos a todas aquellas actividades para que la misma se concrete, tales como: </w:t>
      </w:r>
    </w:p>
    <w:p w14:paraId="25E65309" w14:textId="77777777" w:rsidR="00B2442D" w:rsidRDefault="00B2442D">
      <w:pPr>
        <w:jc w:val="both"/>
        <w:rPr>
          <w:rFonts w:ascii="Arial" w:hAnsi="Arial" w:cs="Arial"/>
          <w:lang w:val="es-CO"/>
        </w:rPr>
      </w:pPr>
    </w:p>
    <w:p w14:paraId="100C3E3D"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lang w:val="es-CO"/>
        </w:rPr>
        <w:t xml:space="preserve">Creación de mensajes, campañas y piezas publicitarias.  </w:t>
      </w:r>
    </w:p>
    <w:p w14:paraId="40BC65F4" w14:textId="77777777" w:rsidR="00B2442D" w:rsidRDefault="00B2442D">
      <w:pPr>
        <w:ind w:left="426" w:hanging="426"/>
        <w:jc w:val="both"/>
        <w:rPr>
          <w:rFonts w:ascii="Arial" w:hAnsi="Arial" w:cs="Arial"/>
          <w:lang w:val="es-CO"/>
        </w:rPr>
      </w:pPr>
    </w:p>
    <w:p w14:paraId="16A01989"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Estudio del producto o servicio que se vende al cliente. </w:t>
      </w:r>
    </w:p>
    <w:p w14:paraId="170052B9" w14:textId="77777777" w:rsidR="00B2442D" w:rsidRDefault="00B2442D">
      <w:pPr>
        <w:ind w:left="426" w:hanging="426"/>
        <w:jc w:val="both"/>
        <w:rPr>
          <w:rFonts w:ascii="Arial" w:hAnsi="Arial" w:cs="Arial"/>
          <w:lang w:val="es-CO"/>
        </w:rPr>
      </w:pPr>
    </w:p>
    <w:p w14:paraId="02722E4B"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Análisis de la publicidad. </w:t>
      </w:r>
    </w:p>
    <w:p w14:paraId="7166B7BA" w14:textId="77777777" w:rsidR="00B2442D" w:rsidRDefault="00B2442D">
      <w:pPr>
        <w:ind w:left="426" w:hanging="426"/>
        <w:jc w:val="both"/>
        <w:rPr>
          <w:rFonts w:ascii="Arial" w:hAnsi="Arial" w:cs="Arial"/>
          <w:lang w:val="es-CO"/>
        </w:rPr>
      </w:pPr>
    </w:p>
    <w:p w14:paraId="0CA35B87"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Diseño, elaboración y producción de mensajes y campañas publicitarias. </w:t>
      </w:r>
    </w:p>
    <w:p w14:paraId="71FB054F" w14:textId="77777777" w:rsidR="00B2442D" w:rsidRDefault="00B2442D">
      <w:pPr>
        <w:ind w:left="426" w:hanging="426"/>
        <w:jc w:val="both"/>
        <w:rPr>
          <w:rFonts w:ascii="Arial" w:hAnsi="Arial" w:cs="Arial"/>
          <w:lang w:val="es-CO"/>
        </w:rPr>
      </w:pPr>
    </w:p>
    <w:p w14:paraId="46079B8A"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Servicios de actuación, perio</w:t>
      </w:r>
      <w:r>
        <w:rPr>
          <w:rFonts w:ascii="Arial" w:hAnsi="Arial" w:cs="Arial"/>
          <w:lang w:val="es-CO"/>
        </w:rPr>
        <w:t xml:space="preserve">dísticos, locución, dirección de programas y libretistas, para la materialización del mensaje, campaña o pieza publicitaria. </w:t>
      </w:r>
    </w:p>
    <w:p w14:paraId="2CE6D014" w14:textId="77777777" w:rsidR="00B2442D" w:rsidRDefault="00B2442D">
      <w:pPr>
        <w:ind w:left="426" w:hanging="426"/>
        <w:jc w:val="both"/>
        <w:rPr>
          <w:rFonts w:ascii="Arial" w:hAnsi="Arial" w:cs="Arial"/>
          <w:lang w:val="es-CO"/>
        </w:rPr>
      </w:pPr>
    </w:p>
    <w:p w14:paraId="2DC96C07"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Análisis y asesoría en la elaboración de estrategias de mercadeo publicitario. </w:t>
      </w:r>
    </w:p>
    <w:p w14:paraId="23421D70" w14:textId="77777777" w:rsidR="00B2442D" w:rsidRDefault="00B2442D">
      <w:pPr>
        <w:ind w:left="426" w:hanging="426"/>
        <w:jc w:val="both"/>
        <w:rPr>
          <w:rFonts w:ascii="Arial" w:hAnsi="Arial" w:cs="Arial"/>
          <w:lang w:val="es-CO"/>
        </w:rPr>
      </w:pPr>
    </w:p>
    <w:p w14:paraId="3A7023CF"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Elaboración de planes de medios. </w:t>
      </w:r>
    </w:p>
    <w:p w14:paraId="7B1A9908" w14:textId="77777777" w:rsidR="00B2442D" w:rsidRDefault="00B2442D">
      <w:pPr>
        <w:ind w:left="426" w:hanging="426"/>
        <w:jc w:val="both"/>
        <w:rPr>
          <w:rFonts w:ascii="Arial" w:hAnsi="Arial" w:cs="Arial"/>
          <w:lang w:val="es-CO"/>
        </w:rPr>
      </w:pPr>
    </w:p>
    <w:p w14:paraId="466DCA22"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r>
      <w:r>
        <w:rPr>
          <w:rFonts w:ascii="Arial" w:hAnsi="Arial" w:cs="Arial"/>
          <w:lang w:val="es-CO"/>
        </w:rPr>
        <w:t>Ordenación y pauta en los medios.</w:t>
      </w:r>
    </w:p>
    <w:p w14:paraId="7CF04880" w14:textId="77777777" w:rsidR="00B2442D" w:rsidRDefault="00B2442D">
      <w:pPr>
        <w:jc w:val="both"/>
        <w:rPr>
          <w:rFonts w:ascii="Arial" w:hAnsi="Arial" w:cs="Arial"/>
          <w:i/>
          <w:lang w:val="es-CO"/>
        </w:rPr>
      </w:pPr>
    </w:p>
    <w:p w14:paraId="291A41A6" w14:textId="77777777" w:rsidR="00B2442D" w:rsidRDefault="008A645F">
      <w:pPr>
        <w:jc w:val="both"/>
        <w:rPr>
          <w:rFonts w:ascii="Arial" w:hAnsi="Arial" w:cs="Arial"/>
          <w:i/>
          <w:lang w:val="es-CO"/>
        </w:rPr>
      </w:pPr>
      <w:r>
        <w:rPr>
          <w:rFonts w:ascii="Arial" w:hAnsi="Arial" w:cs="Arial"/>
          <w:i/>
          <w:lang w:val="es-CO"/>
        </w:rPr>
        <w:t>(Art. 25, Decreto 433 de 1999)</w:t>
      </w:r>
    </w:p>
    <w:p w14:paraId="6F554D8D" w14:textId="77777777" w:rsidR="00B2442D" w:rsidRDefault="00B2442D">
      <w:pPr>
        <w:jc w:val="both"/>
        <w:rPr>
          <w:rFonts w:ascii="Arial" w:hAnsi="Arial" w:cs="Arial"/>
          <w:i/>
          <w:lang w:val="es-CO"/>
        </w:rPr>
      </w:pPr>
    </w:p>
    <w:p w14:paraId="368D08AB" w14:textId="77777777" w:rsidR="00B2442D" w:rsidRDefault="008A645F">
      <w:pPr>
        <w:pStyle w:val="Prrafodelista"/>
        <w:numPr>
          <w:ilvl w:val="0"/>
          <w:numId w:val="61"/>
        </w:numPr>
        <w:ind w:left="0" w:firstLine="0"/>
        <w:jc w:val="both"/>
        <w:rPr>
          <w:rFonts w:ascii="Arial" w:hAnsi="Arial" w:cs="Arial"/>
          <w:lang w:val="es-CO"/>
        </w:rPr>
      </w:pPr>
      <w:r>
        <w:rPr>
          <w:rFonts w:ascii="Arial" w:hAnsi="Arial" w:cs="Arial"/>
          <w:b/>
          <w:i/>
          <w:lang w:val="es-CO"/>
        </w:rPr>
        <w:t>Definición de armas de guerra.</w:t>
      </w:r>
      <w:r>
        <w:rPr>
          <w:rFonts w:ascii="Arial" w:hAnsi="Arial" w:cs="Arial"/>
          <w:lang w:val="es-CO"/>
        </w:rPr>
        <w:t xml:space="preserve"> Para efectos de lo previsto en el artículo 424 del Estatuto Tributario, se consideran armas de guerra las naves, artefactos navales y aeronaves, con sus acces</w:t>
      </w:r>
      <w:r>
        <w:rPr>
          <w:rFonts w:ascii="Arial" w:hAnsi="Arial" w:cs="Arial"/>
          <w:lang w:val="es-CO"/>
        </w:rPr>
        <w:t>orios, repuestos y demás elementos necesarios para su operabilidad y funcionamiento, cuyo destino sea la defensa nacional.</w:t>
      </w:r>
    </w:p>
    <w:p w14:paraId="5B925811" w14:textId="77777777" w:rsidR="00B2442D" w:rsidRDefault="00B2442D">
      <w:pPr>
        <w:jc w:val="both"/>
        <w:rPr>
          <w:rFonts w:ascii="Arial" w:hAnsi="Arial" w:cs="Arial"/>
          <w:lang w:val="es-CO"/>
        </w:rPr>
      </w:pPr>
    </w:p>
    <w:p w14:paraId="18497D1D" w14:textId="77777777" w:rsidR="00B2442D" w:rsidRDefault="008A645F">
      <w:pPr>
        <w:jc w:val="both"/>
        <w:rPr>
          <w:rFonts w:ascii="Arial" w:hAnsi="Arial" w:cs="Arial"/>
          <w:i/>
          <w:lang w:val="es-CO"/>
        </w:rPr>
      </w:pPr>
      <w:r>
        <w:rPr>
          <w:rFonts w:ascii="Arial" w:hAnsi="Arial" w:cs="Arial"/>
          <w:i/>
          <w:lang w:val="es-CO"/>
        </w:rPr>
        <w:t>(Art. 1, Decreto 1120 DE 2009)</w:t>
      </w:r>
    </w:p>
    <w:p w14:paraId="56517B74" w14:textId="77777777" w:rsidR="00B2442D" w:rsidRDefault="00B2442D">
      <w:pPr>
        <w:jc w:val="both"/>
        <w:rPr>
          <w:rFonts w:ascii="Arial" w:hAnsi="Arial" w:cs="Arial"/>
          <w:lang w:val="es-CO"/>
        </w:rPr>
      </w:pPr>
    </w:p>
    <w:p w14:paraId="0EF9FAA5" w14:textId="77777777" w:rsidR="00B2442D" w:rsidRDefault="008A645F">
      <w:pPr>
        <w:pStyle w:val="Prrafodelista"/>
        <w:numPr>
          <w:ilvl w:val="0"/>
          <w:numId w:val="61"/>
        </w:numPr>
        <w:ind w:left="0" w:firstLine="0"/>
        <w:jc w:val="both"/>
        <w:rPr>
          <w:rFonts w:ascii="Arial" w:hAnsi="Arial" w:cs="Arial"/>
          <w:lang w:val="es-CO"/>
        </w:rPr>
      </w:pPr>
      <w:r>
        <w:rPr>
          <w:rFonts w:ascii="Arial" w:hAnsi="Arial" w:cs="Arial"/>
          <w:b/>
          <w:i/>
          <w:lang w:val="es-CO"/>
        </w:rPr>
        <w:t>Definición de servicios integrales de aseo y cafetería.</w:t>
      </w:r>
      <w:r>
        <w:rPr>
          <w:rFonts w:ascii="Arial" w:hAnsi="Arial" w:cs="Arial"/>
          <w:lang w:val="es-CO"/>
        </w:rPr>
        <w:t xml:space="preserve"> Para efectos del artículo 462-1 del Estatuto</w:t>
      </w:r>
      <w:r>
        <w:rPr>
          <w:rFonts w:ascii="Arial" w:hAnsi="Arial" w:cs="Arial"/>
          <w:lang w:val="es-CO"/>
        </w:rPr>
        <w:t xml:space="preserve"> Tributario, se entiende por servicios integrales de aseo y cafetería, todas aquellas actividades que se requieran para la limpieza y conservación de las instalaciones del contratante, así como las relacionadas con la preparación y distribución de alimento</w:t>
      </w:r>
      <w:r>
        <w:rPr>
          <w:rFonts w:ascii="Arial" w:hAnsi="Arial" w:cs="Arial"/>
          <w:lang w:val="es-CO"/>
        </w:rPr>
        <w:t>s y bebidas para consumo al interior de las instalaciones del contratante, sin que se genere contraprestación alguna por parte del consumidor de dichos alimentos y bebidas.</w:t>
      </w:r>
    </w:p>
    <w:p w14:paraId="271135D4" w14:textId="77777777" w:rsidR="00B2442D" w:rsidRDefault="00B2442D">
      <w:pPr>
        <w:jc w:val="both"/>
        <w:rPr>
          <w:rFonts w:ascii="Arial" w:hAnsi="Arial" w:cs="Arial"/>
          <w:lang w:val="es-CO"/>
        </w:rPr>
      </w:pPr>
    </w:p>
    <w:p w14:paraId="5A4ACE18" w14:textId="77777777" w:rsidR="00B2442D" w:rsidRDefault="008A645F">
      <w:pPr>
        <w:jc w:val="both"/>
        <w:rPr>
          <w:rFonts w:ascii="Arial" w:hAnsi="Arial" w:cs="Arial"/>
          <w:i/>
          <w:lang w:val="es-CO"/>
        </w:rPr>
      </w:pPr>
      <w:r>
        <w:rPr>
          <w:rFonts w:ascii="Arial" w:hAnsi="Arial" w:cs="Arial"/>
          <w:i/>
          <w:lang w:val="es-CO"/>
        </w:rPr>
        <w:t>(Art. 14, Decreto 1794 de 2013)</w:t>
      </w:r>
    </w:p>
    <w:p w14:paraId="02D164E2" w14:textId="77777777" w:rsidR="00B2442D" w:rsidRDefault="00B2442D">
      <w:pPr>
        <w:jc w:val="both"/>
        <w:rPr>
          <w:rFonts w:ascii="Arial" w:hAnsi="Arial" w:cs="Arial"/>
          <w:lang w:val="es-CO"/>
        </w:rPr>
      </w:pPr>
    </w:p>
    <w:p w14:paraId="3617F6BD" w14:textId="77777777" w:rsidR="00B2442D" w:rsidRDefault="008A645F">
      <w:pPr>
        <w:pStyle w:val="Prrafodelista"/>
        <w:numPr>
          <w:ilvl w:val="0"/>
          <w:numId w:val="61"/>
        </w:numPr>
        <w:ind w:left="0" w:firstLine="0"/>
        <w:jc w:val="both"/>
        <w:rPr>
          <w:rFonts w:ascii="Arial" w:hAnsi="Arial" w:cs="Arial"/>
          <w:lang w:val="es-CO"/>
        </w:rPr>
      </w:pPr>
      <w:r>
        <w:rPr>
          <w:rFonts w:ascii="Arial" w:hAnsi="Arial" w:cs="Arial"/>
          <w:b/>
          <w:i/>
          <w:lang w:val="es-CO"/>
        </w:rPr>
        <w:t>Definición de servicios de aseo.</w:t>
      </w:r>
      <w:r>
        <w:rPr>
          <w:rFonts w:ascii="Arial" w:hAnsi="Arial" w:cs="Arial"/>
          <w:lang w:val="es-CO"/>
        </w:rPr>
        <w:t xml:space="preserve"> Para efectos del numeral 4 del artículo 468-3 del Estatuto Tributario los servicios de aseo prestados por personas jurídicas constituidas con ánimo de alteridad, son todas aquellas actividades que se requieran para la limpieza y conservación de las instal</w:t>
      </w:r>
      <w:r>
        <w:rPr>
          <w:rFonts w:ascii="Arial" w:hAnsi="Arial" w:cs="Arial"/>
          <w:lang w:val="es-CO"/>
        </w:rPr>
        <w:t>aciones que indique el contratante.</w:t>
      </w:r>
    </w:p>
    <w:p w14:paraId="506172D3" w14:textId="77777777" w:rsidR="00B2442D" w:rsidRDefault="00B2442D">
      <w:pPr>
        <w:jc w:val="both"/>
        <w:rPr>
          <w:rFonts w:ascii="Arial" w:hAnsi="Arial" w:cs="Arial"/>
          <w:lang w:val="es-CO"/>
        </w:rPr>
      </w:pPr>
    </w:p>
    <w:p w14:paraId="457EE20B" w14:textId="77777777" w:rsidR="00B2442D" w:rsidRDefault="008A645F">
      <w:pPr>
        <w:jc w:val="both"/>
        <w:rPr>
          <w:rFonts w:ascii="Arial" w:hAnsi="Arial" w:cs="Arial"/>
          <w:i/>
          <w:lang w:val="es-CO"/>
        </w:rPr>
      </w:pPr>
      <w:r>
        <w:rPr>
          <w:rFonts w:ascii="Arial" w:hAnsi="Arial" w:cs="Arial"/>
          <w:i/>
          <w:lang w:val="es-CO"/>
        </w:rPr>
        <w:t>(Art. 15, Decreto 1794 de 2013)</w:t>
      </w:r>
    </w:p>
    <w:p w14:paraId="2FB28E39" w14:textId="77777777" w:rsidR="00B2442D" w:rsidRDefault="00B2442D">
      <w:pPr>
        <w:jc w:val="both"/>
        <w:rPr>
          <w:rFonts w:ascii="Arial" w:hAnsi="Arial" w:cs="Arial"/>
          <w:lang w:val="es-CO"/>
        </w:rPr>
      </w:pPr>
    </w:p>
    <w:p w14:paraId="7006EC75" w14:textId="77777777" w:rsidR="00B2442D" w:rsidRDefault="008A645F">
      <w:pPr>
        <w:pStyle w:val="Ttulo4"/>
      </w:pPr>
      <w:r>
        <w:t>CAPÍTULO 3</w:t>
      </w:r>
    </w:p>
    <w:p w14:paraId="54AA36D8" w14:textId="77777777" w:rsidR="00B2442D" w:rsidRDefault="008A645F">
      <w:pPr>
        <w:pStyle w:val="Ttulo4"/>
      </w:pPr>
      <w:r>
        <w:t>Impuesto sobre las ventas – IVA – sobre comisiones, servicios prestados desde el exterior,  juegos de suerte y azar, corresponsales no bancarios y gastos de financiación ordin</w:t>
      </w:r>
      <w:r>
        <w:t>arios y extraordinarios</w:t>
      </w:r>
    </w:p>
    <w:p w14:paraId="2106DD81" w14:textId="77777777" w:rsidR="00B2442D" w:rsidRDefault="00B2442D">
      <w:pPr>
        <w:rPr>
          <w:rFonts w:ascii="Arial" w:hAnsi="Arial" w:cs="Arial"/>
          <w:lang w:val="es-CO"/>
        </w:rPr>
      </w:pPr>
    </w:p>
    <w:p w14:paraId="1F6C59F5" w14:textId="77777777" w:rsidR="00B2442D" w:rsidRDefault="008A645F">
      <w:pPr>
        <w:pStyle w:val="Prrafodelista"/>
        <w:numPr>
          <w:ilvl w:val="0"/>
          <w:numId w:val="62"/>
        </w:numPr>
        <w:ind w:left="0" w:firstLine="0"/>
        <w:jc w:val="both"/>
        <w:rPr>
          <w:rFonts w:ascii="Arial" w:hAnsi="Arial" w:cs="Arial"/>
          <w:lang w:val="es-CO"/>
        </w:rPr>
      </w:pPr>
      <w:r>
        <w:rPr>
          <w:rFonts w:ascii="Arial" w:hAnsi="Arial" w:cs="Arial"/>
          <w:b/>
          <w:i/>
          <w:lang w:val="es-CO"/>
        </w:rPr>
        <w:t>IVA sobre comisiones.</w:t>
      </w:r>
      <w:r>
        <w:rPr>
          <w:rFonts w:ascii="Arial" w:hAnsi="Arial" w:cs="Arial"/>
          <w:lang w:val="es-CO"/>
        </w:rPr>
        <w:t xml:space="preserve"> En los contratos forward, futuros, operaciones a plazo de cumplimiento financiero y demás operaciones sobre derivados, así como en las operaciones simultáneas, que se realicen de conformidad con las disposicio</w:t>
      </w:r>
      <w:r>
        <w:rPr>
          <w:rFonts w:ascii="Arial" w:hAnsi="Arial" w:cs="Arial"/>
          <w:lang w:val="es-CO"/>
        </w:rPr>
        <w:t>nes que sobre la materia expida el Gobierno Nacional o en su oportunidad haya expedido la Sala General de la Superintendencia de Valores, en los cuales no se pague una comisión o suma adicional por servicios prestados a favor de uno de los contratantes, se</w:t>
      </w:r>
      <w:r>
        <w:rPr>
          <w:rFonts w:ascii="Arial" w:hAnsi="Arial" w:cs="Arial"/>
          <w:lang w:val="es-CO"/>
        </w:rPr>
        <w:t xml:space="preserve"> entenderá que no existe prestación de hacer.</w:t>
      </w:r>
    </w:p>
    <w:p w14:paraId="1AC3D968" w14:textId="77777777" w:rsidR="00B2442D" w:rsidRDefault="00B2442D">
      <w:pPr>
        <w:jc w:val="both"/>
        <w:rPr>
          <w:rFonts w:ascii="Arial" w:hAnsi="Arial" w:cs="Arial"/>
          <w:lang w:val="es-CO"/>
        </w:rPr>
      </w:pPr>
    </w:p>
    <w:p w14:paraId="6678369B" w14:textId="77777777" w:rsidR="00B2442D" w:rsidRDefault="008A645F">
      <w:pPr>
        <w:jc w:val="both"/>
        <w:rPr>
          <w:rFonts w:ascii="Arial" w:hAnsi="Arial" w:cs="Arial"/>
          <w:lang w:val="es-CO"/>
        </w:rPr>
      </w:pPr>
      <w:r>
        <w:rPr>
          <w:rFonts w:ascii="Arial" w:hAnsi="Arial" w:cs="Arial"/>
          <w:lang w:val="es-CO"/>
        </w:rPr>
        <w:t>Cuando se pague una comisión o suma adicional en los términos de esta norma, se causará el impuesto sobre las ventas sobre el valor de la misma. En el caso de la prima que se paga por la adquisición de una opc</w:t>
      </w:r>
      <w:r>
        <w:rPr>
          <w:rFonts w:ascii="Arial" w:hAnsi="Arial" w:cs="Arial"/>
          <w:lang w:val="es-CO"/>
        </w:rPr>
        <w:t>ión de compra o de venta, se seguirá el tratamiento previsto para la transferencia de derechos o de bienes incorporales previsto en la legislación vigente</w:t>
      </w:r>
    </w:p>
    <w:p w14:paraId="2CD3D19E" w14:textId="77777777" w:rsidR="00B2442D" w:rsidRDefault="00B2442D">
      <w:pPr>
        <w:jc w:val="both"/>
        <w:rPr>
          <w:rFonts w:ascii="Arial" w:hAnsi="Arial" w:cs="Arial"/>
          <w:i/>
          <w:lang w:val="es-CO"/>
        </w:rPr>
      </w:pPr>
    </w:p>
    <w:p w14:paraId="551D7729" w14:textId="77777777" w:rsidR="00B2442D" w:rsidRDefault="008A645F">
      <w:pPr>
        <w:jc w:val="both"/>
        <w:rPr>
          <w:rFonts w:ascii="Arial" w:hAnsi="Arial" w:cs="Arial"/>
          <w:i/>
          <w:lang w:val="es-CO"/>
        </w:rPr>
      </w:pPr>
      <w:r>
        <w:rPr>
          <w:rFonts w:ascii="Arial" w:hAnsi="Arial" w:cs="Arial"/>
          <w:i/>
          <w:lang w:val="es-CO"/>
        </w:rPr>
        <w:t>(Art. 13, Decreto 1514 de 1998, modificado por el art. 11 del Decreto 1797 de 2008) (El Decreto 1514</w:t>
      </w:r>
      <w:r>
        <w:rPr>
          <w:rFonts w:ascii="Arial" w:hAnsi="Arial" w:cs="Arial"/>
          <w:i/>
          <w:lang w:val="es-CO"/>
        </w:rPr>
        <w:t xml:space="preserve"> de 1998 rige a partir de le fecha de su publicación y deroga el Decreto 847 de 1996, el artículo 10 del Decreto 1001 de 1997, el último inciso del artículo 29 del Decreto 3050 de 1997 y las demás disposiciones que le sean contrarias. Art. 18, Decreto 1514</w:t>
      </w:r>
      <w:r>
        <w:rPr>
          <w:rFonts w:ascii="Arial" w:hAnsi="Arial" w:cs="Arial"/>
          <w:i/>
          <w:lang w:val="es-CO"/>
        </w:rPr>
        <w:t xml:space="preserve"> de 1998)</w:t>
      </w:r>
    </w:p>
    <w:p w14:paraId="667134C9" w14:textId="77777777" w:rsidR="00B2442D" w:rsidRDefault="00B2442D">
      <w:pPr>
        <w:jc w:val="both"/>
        <w:rPr>
          <w:rFonts w:ascii="Arial" w:hAnsi="Arial" w:cs="Arial"/>
          <w:i/>
          <w:lang w:val="es-CO"/>
        </w:rPr>
      </w:pPr>
    </w:p>
    <w:p w14:paraId="2002FB82" w14:textId="77777777" w:rsidR="00B2442D" w:rsidRDefault="008A645F">
      <w:pPr>
        <w:pStyle w:val="Prrafodelista"/>
        <w:numPr>
          <w:ilvl w:val="0"/>
          <w:numId w:val="62"/>
        </w:numPr>
        <w:ind w:left="0" w:firstLine="0"/>
        <w:jc w:val="both"/>
        <w:rPr>
          <w:rFonts w:ascii="Arial" w:hAnsi="Arial" w:cs="Arial"/>
          <w:lang w:val="es-CO"/>
        </w:rPr>
      </w:pPr>
      <w:r>
        <w:rPr>
          <w:rFonts w:ascii="Arial" w:hAnsi="Arial" w:cs="Arial"/>
          <w:b/>
          <w:i/>
          <w:lang w:val="es-CO"/>
        </w:rPr>
        <w:t>Tratamiento del impuesto sobre las ventas en servicios prestados desde el exterior.</w:t>
      </w:r>
      <w:r>
        <w:rPr>
          <w:rFonts w:ascii="Arial" w:hAnsi="Arial" w:cs="Arial"/>
          <w:b/>
          <w:lang w:val="es-CO"/>
        </w:rPr>
        <w:t xml:space="preserve"> </w:t>
      </w:r>
      <w:r>
        <w:rPr>
          <w:rFonts w:ascii="Arial" w:hAnsi="Arial" w:cs="Arial"/>
          <w:lang w:val="es-CO"/>
        </w:rPr>
        <w:t>Para efectos de lo dispuesto en el numeral 3 del parágrafo 3 del artículo 420 del Estatuto Tributario, el usuario o beneficiario de los servicios deberá efectuar</w:t>
      </w:r>
      <w:r>
        <w:rPr>
          <w:rFonts w:ascii="Arial" w:hAnsi="Arial" w:cs="Arial"/>
          <w:lang w:val="es-CO"/>
        </w:rPr>
        <w:t xml:space="preserve"> retención en la fuente a título de impuesto sobre las ventas, en los términos señalados en el numeral 3 del artículo 437-2 del mismo Estatuto y cumplir con todas las obligaciones inherentes al agente retenedor de dicho impuesto.</w:t>
      </w:r>
    </w:p>
    <w:p w14:paraId="2D7760B3" w14:textId="77777777" w:rsidR="00B2442D" w:rsidRDefault="00B2442D">
      <w:pPr>
        <w:jc w:val="both"/>
        <w:rPr>
          <w:rFonts w:ascii="Arial" w:hAnsi="Arial" w:cs="Arial"/>
          <w:i/>
          <w:lang w:val="es-CO"/>
        </w:rPr>
      </w:pPr>
    </w:p>
    <w:p w14:paraId="57C58EE3" w14:textId="77777777" w:rsidR="00B2442D" w:rsidRDefault="008A645F">
      <w:pPr>
        <w:jc w:val="both"/>
        <w:rPr>
          <w:rFonts w:ascii="Arial" w:hAnsi="Arial" w:cs="Arial"/>
          <w:i/>
          <w:lang w:val="es-CO"/>
        </w:rPr>
      </w:pPr>
      <w:r>
        <w:rPr>
          <w:rFonts w:ascii="Arial" w:hAnsi="Arial" w:cs="Arial"/>
          <w:i/>
          <w:lang w:val="es-CO"/>
        </w:rPr>
        <w:t xml:space="preserve">(Art. 28, Decreto 433 de </w:t>
      </w:r>
      <w:r>
        <w:rPr>
          <w:rFonts w:ascii="Arial" w:hAnsi="Arial" w:cs="Arial"/>
          <w:i/>
          <w:lang w:val="es-CO"/>
        </w:rPr>
        <w:t>1999)</w:t>
      </w:r>
    </w:p>
    <w:p w14:paraId="51078ED4" w14:textId="77777777" w:rsidR="00B2442D" w:rsidRDefault="00B2442D">
      <w:pPr>
        <w:jc w:val="both"/>
        <w:rPr>
          <w:rFonts w:ascii="Arial" w:hAnsi="Arial" w:cs="Arial"/>
          <w:lang w:val="es-CO"/>
        </w:rPr>
      </w:pPr>
    </w:p>
    <w:p w14:paraId="29FF383A" w14:textId="77777777" w:rsidR="00B2442D" w:rsidRDefault="008A645F">
      <w:pPr>
        <w:pStyle w:val="Prrafodelista"/>
        <w:numPr>
          <w:ilvl w:val="0"/>
          <w:numId w:val="62"/>
        </w:numPr>
        <w:ind w:left="0" w:firstLine="0"/>
        <w:jc w:val="both"/>
        <w:rPr>
          <w:rFonts w:ascii="Arial" w:hAnsi="Arial" w:cs="Arial"/>
          <w:lang w:val="es-CO"/>
        </w:rPr>
      </w:pPr>
      <w:r>
        <w:rPr>
          <w:rFonts w:ascii="Arial" w:hAnsi="Arial" w:cs="Arial"/>
          <w:b/>
          <w:i/>
          <w:lang w:val="es-CO"/>
        </w:rPr>
        <w:t>Impuesto sobre las ventas (IVA) en los juegos de suerte y azar.</w:t>
      </w:r>
      <w:r>
        <w:rPr>
          <w:rFonts w:ascii="Arial" w:hAnsi="Arial" w:cs="Arial"/>
          <w:i/>
          <w:lang w:val="es-CO"/>
        </w:rPr>
        <w:t xml:space="preserve">  </w:t>
      </w:r>
      <w:r>
        <w:rPr>
          <w:rFonts w:ascii="Arial" w:hAnsi="Arial" w:cs="Arial"/>
          <w:lang w:val="es-CO"/>
        </w:rPr>
        <w:t>Para efectos de la aplicación del impuesto sobre las ventas consagrado en el literal d) del artículo 420 del Estatuto Tributario en los juegos de suerte y azar, se considera operador d</w:t>
      </w:r>
      <w:r>
        <w:rPr>
          <w:rFonts w:ascii="Arial" w:hAnsi="Arial" w:cs="Arial"/>
          <w:lang w:val="es-CO"/>
        </w:rPr>
        <w:t>el juego a la persona o entidad que le ofrece al usuario a cambio de su participación, un premio, en dinero o en especie, el cual ganará si acierta, dados los resultados del juego, que está determinado por la suerte, el azar o la casualidad.</w:t>
      </w:r>
    </w:p>
    <w:p w14:paraId="3F1CE169" w14:textId="77777777" w:rsidR="00B2442D" w:rsidRDefault="00B2442D">
      <w:pPr>
        <w:jc w:val="both"/>
        <w:rPr>
          <w:rFonts w:ascii="Arial" w:hAnsi="Arial" w:cs="Arial"/>
          <w:lang w:val="es-CO"/>
        </w:rPr>
      </w:pPr>
    </w:p>
    <w:p w14:paraId="520058E7" w14:textId="77777777" w:rsidR="00B2442D" w:rsidRDefault="008A645F">
      <w:pPr>
        <w:jc w:val="both"/>
        <w:rPr>
          <w:rFonts w:ascii="Arial" w:hAnsi="Arial" w:cs="Arial"/>
          <w:lang w:val="es-CO"/>
        </w:rPr>
      </w:pPr>
      <w:r>
        <w:rPr>
          <w:rFonts w:ascii="Arial" w:hAnsi="Arial" w:cs="Arial"/>
          <w:lang w:val="es-CO"/>
        </w:rPr>
        <w:t xml:space="preserve">Las loterías </w:t>
      </w:r>
      <w:r>
        <w:rPr>
          <w:rFonts w:ascii="Arial" w:hAnsi="Arial" w:cs="Arial"/>
          <w:lang w:val="es-CO"/>
        </w:rPr>
        <w:t>legalmente organizadas, reguladas en el Capítulo III de la Ley 643 de 2001 y los juegos de suerte y azar y demás eventos a que se refiere el inciso 3º del artículo 5º de la mencionada Ley, no generan este impuesto.</w:t>
      </w:r>
    </w:p>
    <w:p w14:paraId="725F7500" w14:textId="77777777" w:rsidR="00B2442D" w:rsidRDefault="00B2442D">
      <w:pPr>
        <w:jc w:val="both"/>
        <w:rPr>
          <w:rFonts w:ascii="Arial" w:hAnsi="Arial" w:cs="Arial"/>
          <w:lang w:val="es-CO"/>
        </w:rPr>
      </w:pPr>
    </w:p>
    <w:p w14:paraId="53186E1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ningún caso el impuesto s</w:t>
      </w:r>
      <w:r>
        <w:rPr>
          <w:rFonts w:ascii="Arial" w:hAnsi="Arial" w:cs="Arial"/>
          <w:lang w:val="es-CO"/>
        </w:rPr>
        <w:t>obre las ventas a que se refiere este artículo formará parte de la base para el cálculo de los derechos de explotación previstos en la Ley 643 de 2001.</w:t>
      </w:r>
    </w:p>
    <w:p w14:paraId="6B447A8A" w14:textId="77777777" w:rsidR="00B2442D" w:rsidRDefault="00B2442D">
      <w:pPr>
        <w:jc w:val="both"/>
        <w:rPr>
          <w:rFonts w:ascii="Arial" w:hAnsi="Arial" w:cs="Arial"/>
          <w:lang w:val="es-CO"/>
        </w:rPr>
      </w:pPr>
    </w:p>
    <w:p w14:paraId="3D1DE895" w14:textId="77777777" w:rsidR="00B2442D" w:rsidRDefault="008A645F">
      <w:pPr>
        <w:jc w:val="both"/>
        <w:rPr>
          <w:rFonts w:ascii="Arial" w:hAnsi="Arial" w:cs="Arial"/>
          <w:i/>
          <w:lang w:val="es-CO"/>
        </w:rPr>
      </w:pPr>
      <w:r>
        <w:rPr>
          <w:rFonts w:ascii="Arial" w:hAnsi="Arial" w:cs="Arial"/>
          <w:i/>
          <w:lang w:val="es-CO"/>
        </w:rPr>
        <w:t xml:space="preserve">(Art. 1, Decreto 427 de 2004. Inciso 2 con decaimiento por el artículo 3 del Decreto Ley 127 de </w:t>
      </w:r>
      <w:r>
        <w:rPr>
          <w:rFonts w:ascii="Arial" w:hAnsi="Arial" w:cs="Arial"/>
          <w:i/>
          <w:lang w:val="es-CO"/>
        </w:rPr>
        <w:t>2010 que modificó el art. 420 del Estatuto Tributario. El parágrafo 1 tiene decaimiento en virtud de la modificación del artículo 64 de la Ley 1739 de 2014 al inciso tercero literal d) del artículo 420 del Estatuto Tributario)</w:t>
      </w:r>
    </w:p>
    <w:p w14:paraId="3F707E0F" w14:textId="77777777" w:rsidR="00B2442D" w:rsidRDefault="00B2442D">
      <w:pPr>
        <w:jc w:val="both"/>
        <w:rPr>
          <w:rFonts w:ascii="Arial" w:hAnsi="Arial" w:cs="Arial"/>
          <w:lang w:val="es-CO"/>
        </w:rPr>
      </w:pPr>
    </w:p>
    <w:p w14:paraId="59A0EECC" w14:textId="77777777" w:rsidR="00B2442D" w:rsidRDefault="008A645F">
      <w:pPr>
        <w:pStyle w:val="Prrafodelista"/>
        <w:numPr>
          <w:ilvl w:val="0"/>
          <w:numId w:val="62"/>
        </w:numPr>
        <w:ind w:left="0" w:firstLine="0"/>
        <w:jc w:val="both"/>
        <w:rPr>
          <w:rFonts w:ascii="Arial" w:hAnsi="Arial" w:cs="Arial"/>
          <w:lang w:val="es-CO"/>
        </w:rPr>
      </w:pPr>
      <w:r>
        <w:rPr>
          <w:rFonts w:ascii="Arial" w:hAnsi="Arial" w:cs="Arial"/>
          <w:b/>
          <w:i/>
          <w:lang w:val="es-CO"/>
        </w:rPr>
        <w:t>Remuneración de los servicio</w:t>
      </w:r>
      <w:r>
        <w:rPr>
          <w:rFonts w:ascii="Arial" w:hAnsi="Arial" w:cs="Arial"/>
          <w:b/>
          <w:i/>
          <w:lang w:val="es-CO"/>
        </w:rPr>
        <w:t>s prestados por los corresponsales no bancarios.</w:t>
      </w:r>
      <w:r>
        <w:rPr>
          <w:rFonts w:ascii="Arial" w:hAnsi="Arial" w:cs="Arial"/>
          <w:lang w:val="es-CO"/>
        </w:rPr>
        <w:t xml:space="preserve"> La remuneración de los servicios prestados por los corresponsales no bancarios se encuentra sujeta al impuesto sobre las ventas, atendiendo la calidad del responsable que presta los servicios, ya sea del rég</w:t>
      </w:r>
      <w:r>
        <w:rPr>
          <w:rFonts w:ascii="Arial" w:hAnsi="Arial" w:cs="Arial"/>
          <w:lang w:val="es-CO"/>
        </w:rPr>
        <w:t>imen común o del simplificado.</w:t>
      </w:r>
    </w:p>
    <w:p w14:paraId="0DF5F0CA" w14:textId="77777777" w:rsidR="00B2442D" w:rsidRDefault="00B2442D">
      <w:pPr>
        <w:jc w:val="both"/>
        <w:rPr>
          <w:rFonts w:ascii="Arial" w:hAnsi="Arial" w:cs="Arial"/>
          <w:lang w:val="es-CO"/>
        </w:rPr>
      </w:pPr>
    </w:p>
    <w:p w14:paraId="2F231F58" w14:textId="77777777" w:rsidR="00B2442D" w:rsidRDefault="008A645F">
      <w:pPr>
        <w:jc w:val="both"/>
        <w:rPr>
          <w:rFonts w:ascii="Arial" w:hAnsi="Arial" w:cs="Arial"/>
          <w:i/>
          <w:lang w:val="es-CO"/>
        </w:rPr>
      </w:pPr>
      <w:r>
        <w:rPr>
          <w:rFonts w:ascii="Arial" w:hAnsi="Arial" w:cs="Arial"/>
          <w:i/>
          <w:lang w:val="es-CO"/>
        </w:rPr>
        <w:t>(Art. 2, Decreto 086 de 2008)</w:t>
      </w:r>
    </w:p>
    <w:p w14:paraId="71764204" w14:textId="77777777" w:rsidR="00B2442D" w:rsidRDefault="00B2442D">
      <w:pPr>
        <w:jc w:val="both"/>
        <w:rPr>
          <w:rFonts w:ascii="Arial" w:hAnsi="Arial" w:cs="Arial"/>
          <w:i/>
          <w:lang w:val="es-CO"/>
        </w:rPr>
      </w:pPr>
    </w:p>
    <w:p w14:paraId="60CF857E" w14:textId="77777777" w:rsidR="00B2442D" w:rsidRDefault="008A645F">
      <w:pPr>
        <w:pStyle w:val="Prrafodelista"/>
        <w:numPr>
          <w:ilvl w:val="0"/>
          <w:numId w:val="62"/>
        </w:numPr>
        <w:ind w:left="0" w:firstLine="0"/>
        <w:jc w:val="both"/>
        <w:rPr>
          <w:rFonts w:ascii="Arial" w:hAnsi="Arial" w:cs="Arial"/>
          <w:lang w:val="es-CO"/>
        </w:rPr>
      </w:pPr>
      <w:r>
        <w:rPr>
          <w:rFonts w:ascii="Arial" w:hAnsi="Arial" w:cs="Arial"/>
          <w:b/>
          <w:i/>
          <w:lang w:val="es-CO"/>
        </w:rPr>
        <w:t>Gastos de financiación ordinarios y extraordinarios.</w:t>
      </w:r>
      <w:r>
        <w:rPr>
          <w:rFonts w:ascii="Arial" w:hAnsi="Arial" w:cs="Arial"/>
          <w:lang w:val="es-CO"/>
        </w:rPr>
        <w:t xml:space="preserve"> Los gastos de financiación ordinaria y los reajustes del valor convenido generan el impuesto, sobre tales valores, en la fecha en que se cau</w:t>
      </w:r>
      <w:r>
        <w:rPr>
          <w:rFonts w:ascii="Arial" w:hAnsi="Arial" w:cs="Arial"/>
          <w:lang w:val="es-CO"/>
        </w:rPr>
        <w:t>sen.</w:t>
      </w:r>
    </w:p>
    <w:p w14:paraId="14411E4C" w14:textId="77777777" w:rsidR="00B2442D" w:rsidRDefault="00B2442D">
      <w:pPr>
        <w:jc w:val="both"/>
        <w:rPr>
          <w:rFonts w:ascii="Arial" w:hAnsi="Arial" w:cs="Arial"/>
          <w:lang w:val="es-CO"/>
        </w:rPr>
      </w:pPr>
    </w:p>
    <w:p w14:paraId="21341630" w14:textId="77777777" w:rsidR="00B2442D" w:rsidRDefault="008A645F">
      <w:pPr>
        <w:jc w:val="both"/>
        <w:rPr>
          <w:rFonts w:ascii="Arial" w:hAnsi="Arial" w:cs="Arial"/>
          <w:lang w:val="es-CO"/>
        </w:rPr>
      </w:pPr>
      <w:r>
        <w:rPr>
          <w:rFonts w:ascii="Arial" w:hAnsi="Arial" w:cs="Arial"/>
          <w:lang w:val="es-CO"/>
        </w:rPr>
        <w:t>La financiación extraordinaria, es decir, moratoria, generará impuesto sobre las ventas en el momento de percibirse su valor por parte del responsable.</w:t>
      </w:r>
    </w:p>
    <w:p w14:paraId="6643FB56" w14:textId="77777777" w:rsidR="00B2442D" w:rsidRDefault="00B2442D">
      <w:pPr>
        <w:jc w:val="both"/>
        <w:rPr>
          <w:rFonts w:ascii="Arial" w:hAnsi="Arial" w:cs="Arial"/>
          <w:i/>
          <w:lang w:val="es-CO"/>
        </w:rPr>
      </w:pPr>
    </w:p>
    <w:p w14:paraId="590E1285" w14:textId="77777777" w:rsidR="00B2442D" w:rsidRDefault="008A645F">
      <w:pPr>
        <w:jc w:val="both"/>
        <w:rPr>
          <w:rFonts w:ascii="Arial" w:hAnsi="Arial" w:cs="Arial"/>
          <w:i/>
          <w:lang w:val="es-CO"/>
        </w:rPr>
      </w:pPr>
      <w:r>
        <w:rPr>
          <w:rFonts w:ascii="Arial" w:hAnsi="Arial" w:cs="Arial"/>
          <w:i/>
          <w:lang w:val="es-CO"/>
        </w:rPr>
        <w:t>(Art. 17, Decreto 570 de 1984)</w:t>
      </w:r>
      <w:r>
        <w:rPr>
          <w:rFonts w:ascii="Arial" w:hAnsi="Arial" w:cs="Arial"/>
        </w:rPr>
        <w:t xml:space="preserve"> </w:t>
      </w:r>
      <w:r>
        <w:rPr>
          <w:rFonts w:ascii="Arial" w:hAnsi="Arial" w:cs="Arial"/>
          <w:i/>
          <w:lang w:val="es-CO"/>
        </w:rPr>
        <w:t xml:space="preserve">(Decreto 570 de 1984 rige a partir del 1° de abril de 1984, salvo </w:t>
      </w:r>
      <w:r>
        <w:rPr>
          <w:rFonts w:ascii="Arial" w:hAnsi="Arial" w:cs="Arial"/>
          <w:i/>
          <w:lang w:val="es-CO"/>
        </w:rPr>
        <w:t>lo previsto en los artículos 31 y 32, con relación a los cuales rige a partir de la fecha de su expedición. Art. 37, Decreto 570 de 1984)</w:t>
      </w:r>
    </w:p>
    <w:p w14:paraId="0BE950F6" w14:textId="77777777" w:rsidR="00B2442D" w:rsidRDefault="00B2442D">
      <w:pPr>
        <w:jc w:val="both"/>
        <w:rPr>
          <w:rFonts w:ascii="Arial" w:hAnsi="Arial" w:cs="Arial"/>
          <w:i/>
          <w:lang w:val="es-CO"/>
        </w:rPr>
      </w:pPr>
    </w:p>
    <w:p w14:paraId="10D39C47" w14:textId="77777777" w:rsidR="00B2442D" w:rsidRDefault="008A645F">
      <w:pPr>
        <w:pStyle w:val="Ttulo4"/>
      </w:pPr>
      <w:r>
        <w:t>CAPÍTULO 4</w:t>
      </w:r>
    </w:p>
    <w:p w14:paraId="211EF808" w14:textId="77777777" w:rsidR="00B2442D" w:rsidRDefault="008A645F">
      <w:pPr>
        <w:pStyle w:val="Ttulo4"/>
      </w:pPr>
      <w:r>
        <w:t>Responsables y no responsables del impuesto sobre las ventas – IVA</w:t>
      </w:r>
    </w:p>
    <w:p w14:paraId="3C1E1323" w14:textId="77777777" w:rsidR="00B2442D" w:rsidRDefault="00B2442D">
      <w:pPr>
        <w:rPr>
          <w:rFonts w:ascii="Arial" w:hAnsi="Arial" w:cs="Arial"/>
          <w:lang w:val="es-CO"/>
        </w:rPr>
      </w:pPr>
    </w:p>
    <w:p w14:paraId="68D10373"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 xml:space="preserve">Responsables del IVA en la </w:t>
      </w:r>
      <w:r>
        <w:rPr>
          <w:rFonts w:ascii="Arial" w:hAnsi="Arial" w:cs="Arial"/>
          <w:b/>
          <w:i/>
          <w:lang w:val="es-CO"/>
        </w:rPr>
        <w:t>importación de bienes para su propio consumo.</w:t>
      </w:r>
      <w:r>
        <w:rPr>
          <w:rFonts w:ascii="Arial" w:hAnsi="Arial" w:cs="Arial"/>
          <w:lang w:val="es-CO"/>
        </w:rPr>
        <w:t xml:space="preserve"> Quienes importen bienes gravados para su propio consumo responden únicamente por el pago del impuesto de ventas que genera tal importación.</w:t>
      </w:r>
    </w:p>
    <w:p w14:paraId="357E3589" w14:textId="77777777" w:rsidR="00B2442D" w:rsidRDefault="00B2442D">
      <w:pPr>
        <w:jc w:val="both"/>
        <w:rPr>
          <w:rFonts w:ascii="Arial" w:hAnsi="Arial" w:cs="Arial"/>
          <w:i/>
          <w:lang w:val="es-CO"/>
        </w:rPr>
      </w:pPr>
    </w:p>
    <w:p w14:paraId="45D88BAE" w14:textId="77777777" w:rsidR="00B2442D" w:rsidRDefault="008A645F">
      <w:pPr>
        <w:jc w:val="both"/>
        <w:rPr>
          <w:rFonts w:ascii="Arial" w:hAnsi="Arial" w:cs="Arial"/>
          <w:i/>
          <w:lang w:val="es-CO"/>
        </w:rPr>
      </w:pPr>
      <w:r>
        <w:rPr>
          <w:rFonts w:ascii="Arial" w:hAnsi="Arial" w:cs="Arial"/>
          <w:i/>
          <w:lang w:val="es-CO"/>
        </w:rPr>
        <w:t>(Art. 21, Decreto 570 de 1984)</w:t>
      </w:r>
    </w:p>
    <w:p w14:paraId="1F7373EB" w14:textId="77777777" w:rsidR="00B2442D" w:rsidRDefault="00B2442D">
      <w:pPr>
        <w:jc w:val="both"/>
        <w:rPr>
          <w:rFonts w:ascii="Arial" w:hAnsi="Arial" w:cs="Arial"/>
          <w:lang w:val="es-CO"/>
        </w:rPr>
      </w:pPr>
    </w:p>
    <w:p w14:paraId="2B32D2D1"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Responsables del IVA en contratos sem</w:t>
      </w:r>
      <w:r>
        <w:rPr>
          <w:rFonts w:ascii="Arial" w:hAnsi="Arial" w:cs="Arial"/>
          <w:b/>
          <w:i/>
          <w:lang w:val="es-CO"/>
        </w:rPr>
        <w:t>ejantes al de arrendamiento y de concesión.</w:t>
      </w:r>
      <w:r>
        <w:rPr>
          <w:rFonts w:ascii="Arial" w:hAnsi="Arial" w:cs="Arial"/>
          <w:lang w:val="es-CO"/>
        </w:rPr>
        <w:t xml:space="preserve"> En el caso de los negocios que operan en locales cuyo uso se ha concedido a través de contratos semejantes al de arrendamiento o con permiso para utilización de espacio, tales como los denominados "contratos de c</w:t>
      </w:r>
      <w:r>
        <w:rPr>
          <w:rFonts w:ascii="Arial" w:hAnsi="Arial" w:cs="Arial"/>
          <w:lang w:val="es-CO"/>
        </w:rPr>
        <w:t>oncesión", el responsable será quien aparezca en la factura o documento equivalente como emisor del mismo.</w:t>
      </w:r>
    </w:p>
    <w:p w14:paraId="57CE6A99" w14:textId="77777777" w:rsidR="00B2442D" w:rsidRDefault="00B2442D">
      <w:pPr>
        <w:jc w:val="both"/>
        <w:rPr>
          <w:rFonts w:ascii="Arial" w:hAnsi="Arial" w:cs="Arial"/>
          <w:i/>
          <w:lang w:val="es-CO"/>
        </w:rPr>
      </w:pPr>
    </w:p>
    <w:p w14:paraId="24DC6526" w14:textId="77777777" w:rsidR="00B2442D" w:rsidRDefault="008A645F">
      <w:pPr>
        <w:jc w:val="both"/>
        <w:rPr>
          <w:rFonts w:ascii="Arial" w:hAnsi="Arial" w:cs="Arial"/>
          <w:i/>
          <w:lang w:val="es-CO"/>
        </w:rPr>
      </w:pPr>
      <w:r>
        <w:rPr>
          <w:rFonts w:ascii="Arial" w:hAnsi="Arial" w:cs="Arial"/>
          <w:i/>
          <w:lang w:val="es-CO"/>
        </w:rPr>
        <w:t>(Art. 22, Decreto 570 de 1984)</w:t>
      </w:r>
      <w:r>
        <w:rPr>
          <w:rFonts w:ascii="Arial" w:hAnsi="Arial" w:cs="Arial"/>
        </w:rPr>
        <w:t xml:space="preserve"> </w:t>
      </w:r>
      <w:r>
        <w:rPr>
          <w:rFonts w:ascii="Arial" w:hAnsi="Arial" w:cs="Arial"/>
          <w:i/>
          <w:lang w:val="es-CO"/>
        </w:rPr>
        <w:t xml:space="preserve">(Decreto 570 de 1984 rige a partir del 1° de abril de 1984, salvo lo previsto en los artículos 31 y 32, con relación </w:t>
      </w:r>
      <w:r>
        <w:rPr>
          <w:rFonts w:ascii="Arial" w:hAnsi="Arial" w:cs="Arial"/>
          <w:i/>
          <w:lang w:val="es-CO"/>
        </w:rPr>
        <w:t>a los cuales rige a partir de la fecha de su expedición. Art. 37, Decreto 570 de 1984)</w:t>
      </w:r>
    </w:p>
    <w:p w14:paraId="3621160E" w14:textId="77777777" w:rsidR="00B2442D" w:rsidRDefault="00B2442D">
      <w:pPr>
        <w:jc w:val="both"/>
        <w:rPr>
          <w:rFonts w:ascii="Arial" w:hAnsi="Arial" w:cs="Arial"/>
          <w:lang w:val="es-CO"/>
        </w:rPr>
      </w:pPr>
    </w:p>
    <w:p w14:paraId="2E57FA38"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Responsables del impuesto sobre las ventas en la prestación de servicios notariales.</w:t>
      </w:r>
      <w:r>
        <w:rPr>
          <w:rFonts w:ascii="Arial" w:hAnsi="Arial" w:cs="Arial"/>
          <w:lang w:val="es-CO"/>
        </w:rPr>
        <w:t xml:space="preserve"> En el caso de la prestación de servicios notariales serán responsables de impuesto sobre las ventas, las notarías, las cuales cumplirán las diferentes obligaciones tributarias derivadas de tal calidad, con el Número de Identificación Tributaria - NIT que </w:t>
      </w:r>
      <w:r>
        <w:rPr>
          <w:rFonts w:ascii="Arial" w:hAnsi="Arial" w:cs="Arial"/>
          <w:lang w:val="es-CO"/>
        </w:rPr>
        <w:t xml:space="preserve">corresponda al respectivo notario. </w:t>
      </w:r>
    </w:p>
    <w:p w14:paraId="0026F5BD" w14:textId="77777777" w:rsidR="00B2442D" w:rsidRDefault="008A645F">
      <w:pPr>
        <w:jc w:val="both"/>
        <w:rPr>
          <w:rFonts w:ascii="Arial" w:hAnsi="Arial" w:cs="Arial"/>
          <w:lang w:val="es-CO"/>
        </w:rPr>
      </w:pPr>
      <w:r>
        <w:rPr>
          <w:rFonts w:ascii="Arial" w:hAnsi="Arial" w:cs="Arial"/>
          <w:lang w:val="es-CO"/>
        </w:rPr>
        <w:t xml:space="preserve"> </w:t>
      </w:r>
    </w:p>
    <w:p w14:paraId="71ADFA65" w14:textId="77777777" w:rsidR="00B2442D" w:rsidRDefault="008A645F">
      <w:pPr>
        <w:jc w:val="both"/>
        <w:rPr>
          <w:rFonts w:ascii="Arial" w:hAnsi="Arial" w:cs="Arial"/>
          <w:lang w:val="es-CO"/>
        </w:rPr>
      </w:pPr>
      <w:r>
        <w:rPr>
          <w:rFonts w:ascii="Arial" w:hAnsi="Arial" w:cs="Arial"/>
          <w:lang w:val="es-CO"/>
        </w:rPr>
        <w:t>Corresponde al notario el cumplimiento de las obligaciones tributarias derivadas del impuesto sobre las ventas para la respectiva notaría.</w:t>
      </w:r>
    </w:p>
    <w:p w14:paraId="3A6BF160" w14:textId="77777777" w:rsidR="00B2442D" w:rsidRDefault="00B2442D">
      <w:pPr>
        <w:jc w:val="both"/>
        <w:rPr>
          <w:rFonts w:ascii="Arial" w:hAnsi="Arial" w:cs="Arial"/>
          <w:i/>
          <w:lang w:val="es-CO"/>
        </w:rPr>
      </w:pPr>
    </w:p>
    <w:p w14:paraId="5A17BB54" w14:textId="77777777" w:rsidR="00B2442D" w:rsidRDefault="008A645F">
      <w:pPr>
        <w:jc w:val="both"/>
        <w:rPr>
          <w:rFonts w:ascii="Arial" w:hAnsi="Arial" w:cs="Arial"/>
          <w:i/>
          <w:lang w:val="es-CO"/>
        </w:rPr>
      </w:pPr>
      <w:r>
        <w:rPr>
          <w:rFonts w:ascii="Arial" w:hAnsi="Arial" w:cs="Arial"/>
          <w:i/>
          <w:lang w:val="es-CO"/>
        </w:rPr>
        <w:t>(Art. 5, Decreto 1250 de 1992)</w:t>
      </w:r>
    </w:p>
    <w:p w14:paraId="5B7A5BFB" w14:textId="77777777" w:rsidR="00B2442D" w:rsidRDefault="00B2442D">
      <w:pPr>
        <w:jc w:val="both"/>
        <w:rPr>
          <w:rFonts w:ascii="Arial" w:hAnsi="Arial" w:cs="Arial"/>
          <w:i/>
          <w:lang w:val="es-CO"/>
        </w:rPr>
      </w:pPr>
    </w:p>
    <w:p w14:paraId="00279D8E"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Comercialización de bienes exentos.</w:t>
      </w:r>
      <w:r>
        <w:rPr>
          <w:rFonts w:ascii="Arial" w:hAnsi="Arial" w:cs="Arial"/>
          <w:lang w:val="es-CO"/>
        </w:rPr>
        <w:t xml:space="preserve"> De conform</w:t>
      </w:r>
      <w:r>
        <w:rPr>
          <w:rFonts w:ascii="Arial" w:hAnsi="Arial" w:cs="Arial"/>
          <w:lang w:val="es-CO"/>
        </w:rPr>
        <w:t xml:space="preserve">idad con lo dispuesto en el artículo 439 del Estatuto Tributario, los comercializadores no son responsables ni están sometidos al régimen del impuesto sobre las ventas en lo concerniente a la venta de bienes exentos. </w:t>
      </w:r>
    </w:p>
    <w:p w14:paraId="0AD3FD3F" w14:textId="77777777" w:rsidR="00B2442D" w:rsidRDefault="008A645F">
      <w:pPr>
        <w:jc w:val="both"/>
        <w:rPr>
          <w:rFonts w:ascii="Arial" w:hAnsi="Arial" w:cs="Arial"/>
          <w:lang w:val="es-CO"/>
        </w:rPr>
      </w:pPr>
      <w:r>
        <w:rPr>
          <w:rFonts w:ascii="Arial" w:hAnsi="Arial" w:cs="Arial"/>
          <w:lang w:val="es-CO"/>
        </w:rPr>
        <w:t xml:space="preserve"> </w:t>
      </w:r>
    </w:p>
    <w:p w14:paraId="01A71742" w14:textId="77777777" w:rsidR="00B2442D" w:rsidRDefault="008A645F">
      <w:pPr>
        <w:jc w:val="both"/>
        <w:rPr>
          <w:rFonts w:ascii="Arial" w:hAnsi="Arial" w:cs="Arial"/>
          <w:lang w:val="es-CO"/>
        </w:rPr>
      </w:pPr>
      <w:r>
        <w:rPr>
          <w:rFonts w:ascii="Arial" w:hAnsi="Arial" w:cs="Arial"/>
          <w:lang w:val="es-CO"/>
        </w:rPr>
        <w:t>En consecuencia, únicamente los prod</w:t>
      </w:r>
      <w:r>
        <w:rPr>
          <w:rFonts w:ascii="Arial" w:hAnsi="Arial" w:cs="Arial"/>
          <w:lang w:val="es-CO"/>
        </w:rPr>
        <w:t>uctores de tales bienes pueden solicitar los impuestos descontables a que tengan derecho de conformidad con lo establecido en el Título Vll del Libro Tercero del Estatuto Tributario.</w:t>
      </w:r>
    </w:p>
    <w:p w14:paraId="0233F7C4" w14:textId="77777777" w:rsidR="00B2442D" w:rsidRDefault="00B2442D">
      <w:pPr>
        <w:jc w:val="both"/>
        <w:rPr>
          <w:rFonts w:ascii="Arial" w:hAnsi="Arial" w:cs="Arial"/>
          <w:i/>
          <w:lang w:val="es-CO"/>
        </w:rPr>
      </w:pPr>
    </w:p>
    <w:p w14:paraId="1EB4D8A6" w14:textId="77777777" w:rsidR="00B2442D" w:rsidRDefault="008A645F">
      <w:pPr>
        <w:jc w:val="both"/>
        <w:rPr>
          <w:rFonts w:ascii="Arial" w:hAnsi="Arial" w:cs="Arial"/>
          <w:lang w:val="es-CO"/>
        </w:rPr>
      </w:pPr>
      <w:r>
        <w:rPr>
          <w:rFonts w:ascii="Arial" w:hAnsi="Arial" w:cs="Arial"/>
          <w:i/>
          <w:lang w:val="es-CO"/>
        </w:rPr>
        <w:t>(Art. 27, Decreto 0380 de 1996)</w:t>
      </w:r>
    </w:p>
    <w:p w14:paraId="1AE82A74" w14:textId="77777777" w:rsidR="00B2442D" w:rsidRDefault="00B2442D">
      <w:pPr>
        <w:jc w:val="both"/>
        <w:rPr>
          <w:rFonts w:ascii="Arial" w:hAnsi="Arial" w:cs="Arial"/>
          <w:lang w:val="es-CO"/>
        </w:rPr>
      </w:pPr>
    </w:p>
    <w:p w14:paraId="57B17164"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Cómputo de ingresos para responsabilida</w:t>
      </w:r>
      <w:r>
        <w:rPr>
          <w:rFonts w:ascii="Arial" w:hAnsi="Arial" w:cs="Arial"/>
          <w:b/>
          <w:i/>
          <w:lang w:val="es-CO"/>
        </w:rPr>
        <w:t>d del IVA en personas naturales.</w:t>
      </w:r>
      <w:r>
        <w:rPr>
          <w:rFonts w:ascii="Arial" w:hAnsi="Arial" w:cs="Arial"/>
          <w:lang w:val="es-CO"/>
        </w:rPr>
        <w:t xml:space="preserve"> Para establecer el monto de los ingresos que generan la calidad de responsable del impuesto sobre las ventas, en el caso de personas naturales que venden bienes y prestan servicios, sometidos al impuesto, se tomará el total</w:t>
      </w:r>
      <w:r>
        <w:rPr>
          <w:rFonts w:ascii="Arial" w:hAnsi="Arial" w:cs="Arial"/>
          <w:lang w:val="es-CO"/>
        </w:rPr>
        <w:t xml:space="preserve"> percibido por tales conceptos.</w:t>
      </w:r>
    </w:p>
    <w:p w14:paraId="4D57ED95" w14:textId="77777777" w:rsidR="00B2442D" w:rsidRDefault="00B2442D">
      <w:pPr>
        <w:jc w:val="both"/>
        <w:rPr>
          <w:rFonts w:ascii="Arial" w:hAnsi="Arial" w:cs="Arial"/>
          <w:i/>
          <w:lang w:val="es-CO"/>
        </w:rPr>
      </w:pPr>
    </w:p>
    <w:p w14:paraId="41424851" w14:textId="77777777" w:rsidR="00B2442D" w:rsidRDefault="008A645F">
      <w:pPr>
        <w:jc w:val="both"/>
        <w:rPr>
          <w:rFonts w:ascii="Arial" w:hAnsi="Arial" w:cs="Arial"/>
          <w:i/>
          <w:lang w:val="es-CO"/>
        </w:rPr>
      </w:pPr>
      <w:r>
        <w:rPr>
          <w:rFonts w:ascii="Arial" w:hAnsi="Arial" w:cs="Arial"/>
          <w:i/>
          <w:lang w:val="es-CO"/>
        </w:rPr>
        <w:t>(Art. 12, Decreto 1372 de 1992)</w:t>
      </w:r>
    </w:p>
    <w:p w14:paraId="26DD2771" w14:textId="77777777" w:rsidR="00B2442D" w:rsidRDefault="00B2442D">
      <w:pPr>
        <w:jc w:val="both"/>
        <w:rPr>
          <w:rFonts w:ascii="Arial" w:hAnsi="Arial" w:cs="Arial"/>
          <w:i/>
          <w:lang w:val="es-CO"/>
        </w:rPr>
      </w:pPr>
    </w:p>
    <w:p w14:paraId="0D3ECFA1" w14:textId="77777777" w:rsidR="00B2442D" w:rsidRDefault="008A645F">
      <w:pPr>
        <w:pStyle w:val="Prrafodelista"/>
        <w:numPr>
          <w:ilvl w:val="0"/>
          <w:numId w:val="63"/>
        </w:numPr>
        <w:ind w:left="0" w:firstLine="0"/>
        <w:jc w:val="both"/>
        <w:rPr>
          <w:rFonts w:ascii="Arial" w:hAnsi="Arial" w:cs="Arial"/>
          <w:lang w:val="es-CO"/>
        </w:rPr>
      </w:pPr>
      <w:r>
        <w:rPr>
          <w:rFonts w:ascii="Arial" w:hAnsi="Arial" w:cs="Arial"/>
          <w:b/>
          <w:i/>
          <w:lang w:val="es-CO"/>
        </w:rPr>
        <w:t>Responsabilidad en el impuesto sobre las ventas de las personas Jurídicas originadas en la constitución de propiedad horizontal.</w:t>
      </w:r>
      <w:r>
        <w:rPr>
          <w:rFonts w:ascii="Arial" w:hAnsi="Arial" w:cs="Arial"/>
          <w:lang w:val="es-CO"/>
        </w:rPr>
        <w:t xml:space="preserve"> Conforme con lo establecido en el artículo 186 de la Ley 1607</w:t>
      </w:r>
      <w:r>
        <w:rPr>
          <w:rFonts w:ascii="Arial" w:hAnsi="Arial" w:cs="Arial"/>
          <w:lang w:val="es-CO"/>
        </w:rPr>
        <w:t xml:space="preserve"> de 2012 en concordancia con lo previsto en el artículo 462-2 del Estatuto Tributario, son responsables del régimen común del impuesto sobre las ventas, las personas jurídicas originadas en la constitución de propiedad horizontal, que destinen algún o algu</w:t>
      </w:r>
      <w:r>
        <w:rPr>
          <w:rFonts w:ascii="Arial" w:hAnsi="Arial" w:cs="Arial"/>
          <w:lang w:val="es-CO"/>
        </w:rPr>
        <w:t>nos de sus bienes o áreas comunes para la explotación comercial o industrial generando algún tipo de renta, a través de la ejecución de cualquiera de los hechos generadores de IVA, entre los que se encuentra la prestación del servicio de parqueadero o esta</w:t>
      </w:r>
      <w:r>
        <w:rPr>
          <w:rFonts w:ascii="Arial" w:hAnsi="Arial" w:cs="Arial"/>
          <w:lang w:val="es-CO"/>
        </w:rPr>
        <w:t>cionamiento en zonas comunes.</w:t>
      </w:r>
    </w:p>
    <w:p w14:paraId="3DB00218" w14:textId="77777777" w:rsidR="00B2442D" w:rsidRDefault="00B2442D">
      <w:pPr>
        <w:jc w:val="both"/>
        <w:rPr>
          <w:rFonts w:ascii="Arial" w:hAnsi="Arial" w:cs="Arial"/>
          <w:lang w:val="es-CO"/>
        </w:rPr>
      </w:pPr>
    </w:p>
    <w:p w14:paraId="244D2BCF" w14:textId="77777777" w:rsidR="00B2442D" w:rsidRDefault="008A645F">
      <w:pPr>
        <w:jc w:val="both"/>
        <w:rPr>
          <w:rFonts w:ascii="Arial" w:hAnsi="Arial" w:cs="Arial"/>
          <w:lang w:val="es-CO"/>
        </w:rPr>
      </w:pPr>
      <w:r>
        <w:rPr>
          <w:rFonts w:ascii="Arial" w:hAnsi="Arial" w:cs="Arial"/>
          <w:lang w:val="es-CO"/>
        </w:rPr>
        <w:t>Las propiedades horizontales de uso residencial no son responsables del impuesto sobre las ventas por la prestación del servicio directo de parqueadero o estacionamiento en zonas comunes, con fundamento en lo dispuesto por el</w:t>
      </w:r>
      <w:r>
        <w:rPr>
          <w:rFonts w:ascii="Arial" w:hAnsi="Arial" w:cs="Arial"/>
          <w:lang w:val="es-CO"/>
        </w:rPr>
        <w:t xml:space="preserve"> parágrafo 2° del artículo 186 de la Ley 1607 de 2012.</w:t>
      </w:r>
    </w:p>
    <w:p w14:paraId="3F967CEA" w14:textId="77777777" w:rsidR="00B2442D" w:rsidRDefault="00B2442D">
      <w:pPr>
        <w:jc w:val="both"/>
        <w:rPr>
          <w:rFonts w:ascii="Arial" w:hAnsi="Arial" w:cs="Arial"/>
          <w:lang w:val="es-CO"/>
        </w:rPr>
      </w:pPr>
    </w:p>
    <w:p w14:paraId="0B42F940" w14:textId="77777777" w:rsidR="00B2442D" w:rsidRDefault="008A645F">
      <w:pPr>
        <w:jc w:val="both"/>
        <w:rPr>
          <w:rFonts w:ascii="Arial" w:hAnsi="Arial" w:cs="Arial"/>
          <w:i/>
          <w:lang w:val="es-CO"/>
        </w:rPr>
      </w:pPr>
      <w:r>
        <w:rPr>
          <w:rFonts w:ascii="Arial" w:hAnsi="Arial" w:cs="Arial"/>
          <w:i/>
          <w:lang w:val="es-CO"/>
        </w:rPr>
        <w:t>(Art. 16, Decreto 1794 de 2013)</w:t>
      </w:r>
    </w:p>
    <w:p w14:paraId="2360B05E" w14:textId="77777777" w:rsidR="00B2442D" w:rsidRDefault="00B2442D">
      <w:pPr>
        <w:jc w:val="both"/>
        <w:rPr>
          <w:rFonts w:ascii="Arial" w:hAnsi="Arial" w:cs="Arial"/>
          <w:i/>
          <w:lang w:val="es-CO"/>
        </w:rPr>
      </w:pPr>
    </w:p>
    <w:p w14:paraId="4F5ACEC1" w14:textId="77777777" w:rsidR="00B2442D" w:rsidRDefault="008A645F">
      <w:pPr>
        <w:pStyle w:val="Ttulo4"/>
      </w:pPr>
      <w:r>
        <w:t>CAPÍTULO 5</w:t>
      </w:r>
    </w:p>
    <w:p w14:paraId="69BA9C53" w14:textId="77777777" w:rsidR="00B2442D" w:rsidRDefault="008A645F">
      <w:pPr>
        <w:pStyle w:val="Ttulo4"/>
      </w:pPr>
      <w:r>
        <w:t>Determinación del impuesto sobre las ventas – IVA</w:t>
      </w:r>
    </w:p>
    <w:p w14:paraId="370C10AB" w14:textId="77777777" w:rsidR="00B2442D" w:rsidRDefault="00B2442D">
      <w:pPr>
        <w:rPr>
          <w:rFonts w:ascii="Arial" w:hAnsi="Arial" w:cs="Arial"/>
          <w:lang w:val="es-CO"/>
        </w:rPr>
      </w:pPr>
    </w:p>
    <w:p w14:paraId="64E834E7" w14:textId="77777777" w:rsidR="00B2442D" w:rsidRDefault="008A645F">
      <w:pPr>
        <w:pStyle w:val="Prrafodelista"/>
        <w:numPr>
          <w:ilvl w:val="0"/>
          <w:numId w:val="64"/>
        </w:numPr>
        <w:ind w:left="0" w:firstLine="0"/>
        <w:jc w:val="both"/>
        <w:rPr>
          <w:rFonts w:ascii="Arial" w:hAnsi="Arial" w:cs="Arial"/>
          <w:lang w:val="es-CO"/>
        </w:rPr>
      </w:pPr>
      <w:r>
        <w:rPr>
          <w:rFonts w:ascii="Arial" w:hAnsi="Arial" w:cs="Arial"/>
          <w:b/>
          <w:i/>
          <w:lang w:val="es-CO"/>
        </w:rPr>
        <w:t>Determinación del impuesto sobre las ventas.</w:t>
      </w:r>
      <w:r>
        <w:rPr>
          <w:rFonts w:ascii="Arial" w:hAnsi="Arial" w:cs="Arial"/>
          <w:lang w:val="es-CO"/>
        </w:rPr>
        <w:t xml:space="preserve"> El impuesto sobre las ventas se determinará:</w:t>
      </w:r>
    </w:p>
    <w:p w14:paraId="3B427861" w14:textId="77777777" w:rsidR="00B2442D" w:rsidRDefault="00B2442D">
      <w:pPr>
        <w:jc w:val="both"/>
        <w:rPr>
          <w:rFonts w:ascii="Arial" w:hAnsi="Arial" w:cs="Arial"/>
          <w:lang w:val="es-CO"/>
        </w:rPr>
      </w:pPr>
    </w:p>
    <w:p w14:paraId="001101C0" w14:textId="77777777" w:rsidR="00B2442D" w:rsidRDefault="008A645F">
      <w:pPr>
        <w:jc w:val="both"/>
        <w:rPr>
          <w:rFonts w:ascii="Arial" w:hAnsi="Arial" w:cs="Arial"/>
          <w:lang w:val="es-CO"/>
        </w:rPr>
      </w:pPr>
      <w:r>
        <w:rPr>
          <w:rFonts w:ascii="Arial" w:hAnsi="Arial" w:cs="Arial"/>
          <w:lang w:val="es-CO"/>
        </w:rPr>
        <w:t>a). En el caso de venta y prestación de servicios, por la diferencia entre el impuesto generado por las operaciones gravadas y los impuestos descontables legalmente autorizados.</w:t>
      </w:r>
    </w:p>
    <w:p w14:paraId="277CD46E" w14:textId="77777777" w:rsidR="00B2442D" w:rsidRDefault="00B2442D">
      <w:pPr>
        <w:jc w:val="both"/>
        <w:rPr>
          <w:rFonts w:ascii="Arial" w:hAnsi="Arial" w:cs="Arial"/>
          <w:lang w:val="es-CO"/>
        </w:rPr>
      </w:pPr>
    </w:p>
    <w:p w14:paraId="7AEE43D8" w14:textId="77777777" w:rsidR="00B2442D" w:rsidRDefault="008A645F">
      <w:pPr>
        <w:jc w:val="both"/>
        <w:rPr>
          <w:rFonts w:ascii="Arial" w:hAnsi="Arial" w:cs="Arial"/>
          <w:lang w:val="es-CO"/>
        </w:rPr>
      </w:pPr>
      <w:r>
        <w:rPr>
          <w:rFonts w:ascii="Arial" w:hAnsi="Arial" w:cs="Arial"/>
          <w:lang w:val="es-CO"/>
        </w:rPr>
        <w:t>b). En la importación, aplican</w:t>
      </w:r>
      <w:r>
        <w:rPr>
          <w:rFonts w:ascii="Arial" w:hAnsi="Arial" w:cs="Arial"/>
          <w:lang w:val="es-CO"/>
        </w:rPr>
        <w:t>do en cada operación la tarifa del impuesto sobre la base gravable correspondiente.</w:t>
      </w:r>
    </w:p>
    <w:p w14:paraId="21ADB2AD" w14:textId="77777777" w:rsidR="00B2442D" w:rsidRDefault="00B2442D">
      <w:pPr>
        <w:jc w:val="both"/>
        <w:rPr>
          <w:rFonts w:ascii="Arial" w:hAnsi="Arial" w:cs="Arial"/>
          <w:i/>
          <w:lang w:val="es-CO"/>
        </w:rPr>
      </w:pPr>
    </w:p>
    <w:p w14:paraId="1FAC5E68" w14:textId="77777777" w:rsidR="00B2442D" w:rsidRDefault="008A645F">
      <w:pPr>
        <w:jc w:val="both"/>
        <w:rPr>
          <w:rFonts w:ascii="Arial" w:hAnsi="Arial" w:cs="Arial"/>
          <w:i/>
          <w:lang w:val="es-CO"/>
        </w:rPr>
      </w:pPr>
      <w:r>
        <w:rPr>
          <w:rFonts w:ascii="Arial" w:hAnsi="Arial" w:cs="Arial"/>
          <w:i/>
          <w:lang w:val="es-CO"/>
        </w:rPr>
        <w:t>(Art. 1, Decreto 570 de 1984)</w:t>
      </w:r>
      <w:r>
        <w:rPr>
          <w:rFonts w:ascii="Arial" w:hAnsi="Arial" w:cs="Arial"/>
        </w:rPr>
        <w:t xml:space="preserve"> </w:t>
      </w:r>
      <w:r>
        <w:rPr>
          <w:rFonts w:ascii="Arial" w:hAnsi="Arial" w:cs="Arial"/>
          <w:i/>
          <w:lang w:val="es-CO"/>
        </w:rPr>
        <w:t>(Decreto 570 de 1984 rige a partir del 1° de abril de 1984, salvo lo previsto en los artículos 31 y 32, con relación a los cuales rige a part</w:t>
      </w:r>
      <w:r>
        <w:rPr>
          <w:rFonts w:ascii="Arial" w:hAnsi="Arial" w:cs="Arial"/>
          <w:i/>
          <w:lang w:val="es-CO"/>
        </w:rPr>
        <w:t>ir de la fecha de su expedición. Art. 37, Decreto 570 de 1984)</w:t>
      </w:r>
    </w:p>
    <w:p w14:paraId="32AE812A" w14:textId="77777777" w:rsidR="00B2442D" w:rsidRDefault="00B2442D">
      <w:pPr>
        <w:jc w:val="both"/>
        <w:rPr>
          <w:rFonts w:ascii="Arial" w:hAnsi="Arial" w:cs="Arial"/>
          <w:i/>
          <w:lang w:val="es-CO"/>
        </w:rPr>
      </w:pPr>
    </w:p>
    <w:p w14:paraId="6B9E09BD" w14:textId="77777777" w:rsidR="00B2442D" w:rsidRDefault="008A645F">
      <w:pPr>
        <w:pStyle w:val="Prrafodelista"/>
        <w:numPr>
          <w:ilvl w:val="0"/>
          <w:numId w:val="64"/>
        </w:numPr>
        <w:ind w:left="0" w:firstLine="0"/>
        <w:jc w:val="both"/>
        <w:rPr>
          <w:rFonts w:ascii="Arial" w:hAnsi="Arial" w:cs="Arial"/>
          <w:lang w:val="es-CO"/>
        </w:rPr>
      </w:pPr>
      <w:r>
        <w:rPr>
          <w:rFonts w:ascii="Arial" w:hAnsi="Arial" w:cs="Arial"/>
          <w:b/>
          <w:i/>
          <w:lang w:val="es-CO"/>
        </w:rPr>
        <w:t>Determinación del impuesto sobre las ventas.</w:t>
      </w:r>
      <w:r>
        <w:rPr>
          <w:rFonts w:ascii="Arial" w:hAnsi="Arial" w:cs="Arial"/>
          <w:lang w:val="es-CO"/>
        </w:rPr>
        <w:t xml:space="preserve"> El impuesto generado por las operaciones gravadas se establecerá aplicando la tarifa del impuesto a la base gravable.</w:t>
      </w:r>
    </w:p>
    <w:p w14:paraId="28E87D90" w14:textId="77777777" w:rsidR="00B2442D" w:rsidRDefault="00B2442D">
      <w:pPr>
        <w:jc w:val="both"/>
        <w:rPr>
          <w:rFonts w:ascii="Arial" w:hAnsi="Arial" w:cs="Arial"/>
          <w:lang w:val="es-CO"/>
        </w:rPr>
      </w:pPr>
    </w:p>
    <w:p w14:paraId="7A25D859" w14:textId="77777777" w:rsidR="00B2442D" w:rsidRDefault="008A645F">
      <w:pPr>
        <w:jc w:val="both"/>
        <w:rPr>
          <w:rFonts w:ascii="Arial" w:hAnsi="Arial" w:cs="Arial"/>
          <w:lang w:val="es-CO"/>
        </w:rPr>
      </w:pPr>
      <w:r>
        <w:rPr>
          <w:rFonts w:ascii="Arial" w:hAnsi="Arial" w:cs="Arial"/>
          <w:lang w:val="es-CO"/>
        </w:rPr>
        <w:t xml:space="preserve">Del impuesto así </w:t>
      </w:r>
      <w:r>
        <w:rPr>
          <w:rFonts w:ascii="Arial" w:hAnsi="Arial" w:cs="Arial"/>
          <w:lang w:val="es-CO"/>
        </w:rPr>
        <w:t>obtenido se deducirá:</w:t>
      </w:r>
    </w:p>
    <w:p w14:paraId="18E9C2C6" w14:textId="77777777" w:rsidR="00B2442D" w:rsidRDefault="00B2442D">
      <w:pPr>
        <w:jc w:val="both"/>
        <w:rPr>
          <w:rFonts w:ascii="Arial" w:hAnsi="Arial" w:cs="Arial"/>
          <w:lang w:val="es-CO"/>
        </w:rPr>
      </w:pPr>
    </w:p>
    <w:p w14:paraId="5AE1E3E5" w14:textId="77777777" w:rsidR="00B2442D" w:rsidRDefault="008A645F">
      <w:pPr>
        <w:jc w:val="both"/>
        <w:rPr>
          <w:rFonts w:ascii="Arial" w:hAnsi="Arial" w:cs="Arial"/>
          <w:lang w:val="es-CO"/>
        </w:rPr>
      </w:pPr>
      <w:r>
        <w:rPr>
          <w:rFonts w:ascii="Arial" w:hAnsi="Arial" w:cs="Arial"/>
          <w:lang w:val="es-CO"/>
        </w:rPr>
        <w:t>El gravamen que resulte de aplicar al valor de la operación atribuible a ventas o prestaciones anuladas, rescindidas o resueltas en el respectivo período, la tarifa del impuesto a la que, en su momento, estuvo sujeta la correspondien</w:t>
      </w:r>
      <w:r>
        <w:rPr>
          <w:rFonts w:ascii="Arial" w:hAnsi="Arial" w:cs="Arial"/>
          <w:lang w:val="es-CO"/>
        </w:rPr>
        <w:t>te operación. En el caso de anulaciones, rescisiones o resoluciones parciales, la deducción se calculará considerando la proporción del valor de la operación que resulte pertinente.</w:t>
      </w:r>
    </w:p>
    <w:p w14:paraId="26F0AA59" w14:textId="77777777" w:rsidR="00B2442D" w:rsidRDefault="00B2442D">
      <w:pPr>
        <w:jc w:val="both"/>
        <w:rPr>
          <w:rFonts w:ascii="Arial" w:hAnsi="Arial" w:cs="Arial"/>
          <w:lang w:val="es-CO"/>
        </w:rPr>
      </w:pPr>
    </w:p>
    <w:p w14:paraId="79C3F038" w14:textId="77777777" w:rsidR="00B2442D" w:rsidRDefault="008A645F">
      <w:pPr>
        <w:jc w:val="both"/>
        <w:rPr>
          <w:rFonts w:ascii="Arial" w:hAnsi="Arial" w:cs="Arial"/>
          <w:lang w:val="es-CO"/>
        </w:rPr>
      </w:pPr>
      <w:r>
        <w:rPr>
          <w:rFonts w:ascii="Arial" w:hAnsi="Arial" w:cs="Arial"/>
          <w:lang w:val="es-CO"/>
        </w:rPr>
        <w:t>Cuando por razón del negocio que se anula, rescinde y resuelve haya habid</w:t>
      </w:r>
      <w:r>
        <w:rPr>
          <w:rFonts w:ascii="Arial" w:hAnsi="Arial" w:cs="Arial"/>
          <w:lang w:val="es-CO"/>
        </w:rPr>
        <w:t>o entrega de la mercancía al adquirente, deberá aparecer debidamente comprobada la devolución de dicha mercancía en la proporción correspondiente a la parte anulada, rescindida, o resuelta.</w:t>
      </w:r>
    </w:p>
    <w:p w14:paraId="6CE39704" w14:textId="77777777" w:rsidR="00B2442D" w:rsidRDefault="00B2442D">
      <w:pPr>
        <w:jc w:val="both"/>
        <w:rPr>
          <w:rFonts w:ascii="Arial" w:hAnsi="Arial" w:cs="Arial"/>
          <w:i/>
          <w:lang w:val="es-CO"/>
        </w:rPr>
      </w:pPr>
    </w:p>
    <w:p w14:paraId="72256C43" w14:textId="77777777" w:rsidR="00B2442D" w:rsidRDefault="008A645F">
      <w:pPr>
        <w:jc w:val="both"/>
        <w:rPr>
          <w:rFonts w:ascii="Arial" w:hAnsi="Arial" w:cs="Arial"/>
          <w:i/>
          <w:lang w:val="es-CO"/>
        </w:rPr>
      </w:pPr>
      <w:r>
        <w:rPr>
          <w:rFonts w:ascii="Arial" w:hAnsi="Arial" w:cs="Arial"/>
          <w:i/>
          <w:lang w:val="es-CO"/>
        </w:rPr>
        <w:t>(Art. 2, Decreto 570 de 1984)</w:t>
      </w:r>
      <w:r>
        <w:rPr>
          <w:rFonts w:ascii="Arial" w:hAnsi="Arial" w:cs="Arial"/>
        </w:rPr>
        <w:t xml:space="preserve"> </w:t>
      </w:r>
      <w:r>
        <w:rPr>
          <w:rFonts w:ascii="Arial" w:hAnsi="Arial" w:cs="Arial"/>
          <w:i/>
          <w:lang w:val="es-CO"/>
        </w:rPr>
        <w:t xml:space="preserve">(Decreto 570 de 1984 rige a partir </w:t>
      </w:r>
      <w:r>
        <w:rPr>
          <w:rFonts w:ascii="Arial" w:hAnsi="Arial" w:cs="Arial"/>
          <w:i/>
          <w:lang w:val="es-CO"/>
        </w:rPr>
        <w:t>del 1° de abril de 1984, salvo lo previsto en los artículos 31 y 32, con relación a los cuales rige a partir de la fecha de su expedición. Art. 37, Decreto 570 de 1984)</w:t>
      </w:r>
    </w:p>
    <w:p w14:paraId="20B73144" w14:textId="77777777" w:rsidR="00B2442D" w:rsidRDefault="00B2442D">
      <w:pPr>
        <w:jc w:val="both"/>
        <w:rPr>
          <w:rFonts w:ascii="Arial" w:hAnsi="Arial" w:cs="Arial"/>
          <w:lang w:val="es-CO"/>
        </w:rPr>
      </w:pPr>
    </w:p>
    <w:p w14:paraId="2EE9B8F9" w14:textId="77777777" w:rsidR="00B2442D" w:rsidRDefault="008A645F">
      <w:pPr>
        <w:pStyle w:val="Ttulo4"/>
      </w:pPr>
      <w:r>
        <w:t>CAPÍTULO 6</w:t>
      </w:r>
    </w:p>
    <w:p w14:paraId="5769F5EF" w14:textId="77777777" w:rsidR="00B2442D" w:rsidRDefault="008A645F">
      <w:pPr>
        <w:pStyle w:val="Ttulo4"/>
      </w:pPr>
      <w:r>
        <w:t>Descuentos imputables al periodo fiscal</w:t>
      </w:r>
    </w:p>
    <w:p w14:paraId="170CA49F" w14:textId="77777777" w:rsidR="00B2442D" w:rsidRDefault="00B2442D">
      <w:pPr>
        <w:rPr>
          <w:rFonts w:ascii="Arial" w:hAnsi="Arial" w:cs="Arial"/>
          <w:lang w:val="es-CO"/>
        </w:rPr>
      </w:pPr>
    </w:p>
    <w:p w14:paraId="5B143696"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Descuento imputable al periodo fis</w:t>
      </w:r>
      <w:r>
        <w:rPr>
          <w:rFonts w:ascii="Arial" w:hAnsi="Arial" w:cs="Arial"/>
          <w:b/>
          <w:i/>
          <w:lang w:val="es-CO"/>
        </w:rPr>
        <w:t>cal.</w:t>
      </w:r>
      <w:r>
        <w:rPr>
          <w:rFonts w:ascii="Arial" w:hAnsi="Arial" w:cs="Arial"/>
          <w:lang w:val="es-CO"/>
        </w:rPr>
        <w:t xml:space="preserve"> Los intermediarios de que tratan los incisos 2° y 3 del literal a) del artículo 5° del Decreto 3541 de 1983 (hoy incisos 2 y 3 del artículo 438 del Estatuto Tributario), calcularán como descuento imputable al período fiscal en el que se realizó la ven</w:t>
      </w:r>
      <w:r>
        <w:rPr>
          <w:rFonts w:ascii="Arial" w:hAnsi="Arial" w:cs="Arial"/>
          <w:lang w:val="es-CO"/>
        </w:rPr>
        <w:t>ta gravada, el importe que resulte de aplicar la tarifa del impuesto sobre el valor neto liquidado al tercero por concepto de la operación. Para la procedencia de este descuento, el tercero debe revestir la condición de responsable del impuesto y no encont</w:t>
      </w:r>
      <w:r>
        <w:rPr>
          <w:rFonts w:ascii="Arial" w:hAnsi="Arial" w:cs="Arial"/>
          <w:lang w:val="es-CO"/>
        </w:rPr>
        <w:t xml:space="preserve">rarse dentro del régimen simplificado que establece el Capítulo IX del Decreto 3541 de 1983 (hoy Título VIII del Libro Tercero del Estatuto Tributario). </w:t>
      </w:r>
    </w:p>
    <w:p w14:paraId="317EF5A1" w14:textId="77777777" w:rsidR="00B2442D" w:rsidRDefault="00B2442D">
      <w:pPr>
        <w:jc w:val="both"/>
        <w:rPr>
          <w:rFonts w:ascii="Arial" w:hAnsi="Arial" w:cs="Arial"/>
          <w:i/>
          <w:lang w:val="es-CO"/>
        </w:rPr>
      </w:pPr>
    </w:p>
    <w:p w14:paraId="6EA1F2DC" w14:textId="77777777" w:rsidR="00B2442D" w:rsidRDefault="008A645F">
      <w:pPr>
        <w:jc w:val="both"/>
        <w:rPr>
          <w:rFonts w:ascii="Arial" w:hAnsi="Arial" w:cs="Arial"/>
          <w:i/>
          <w:lang w:val="es-CO"/>
        </w:rPr>
      </w:pPr>
      <w:r>
        <w:rPr>
          <w:rFonts w:ascii="Arial" w:hAnsi="Arial" w:cs="Arial"/>
          <w:i/>
          <w:lang w:val="es-CO"/>
        </w:rPr>
        <w:t>(Art. 5, Decreto 570 de 1984)</w:t>
      </w:r>
      <w:r>
        <w:rPr>
          <w:rFonts w:ascii="Arial" w:hAnsi="Arial" w:cs="Arial"/>
        </w:rPr>
        <w:t xml:space="preserve"> </w:t>
      </w:r>
      <w:r>
        <w:rPr>
          <w:rFonts w:ascii="Arial" w:hAnsi="Arial" w:cs="Arial"/>
          <w:i/>
          <w:lang w:val="es-CO"/>
        </w:rPr>
        <w:t>(Decreto 570 de 1984 rige a partir del 1° de abril de 1984, salvo lo pr</w:t>
      </w:r>
      <w:r>
        <w:rPr>
          <w:rFonts w:ascii="Arial" w:hAnsi="Arial" w:cs="Arial"/>
          <w:i/>
          <w:lang w:val="es-CO"/>
        </w:rPr>
        <w:t>evisto en los artículos 31 y 32, con relación a los cuales rige a partir de la fecha de su expedición. Art. 37, Decreto 570 de 1984)</w:t>
      </w:r>
    </w:p>
    <w:p w14:paraId="55EEC5CD" w14:textId="77777777" w:rsidR="00B2442D" w:rsidRDefault="00B2442D">
      <w:pPr>
        <w:jc w:val="both"/>
        <w:rPr>
          <w:rFonts w:ascii="Arial" w:hAnsi="Arial" w:cs="Arial"/>
          <w:lang w:val="es-CO"/>
        </w:rPr>
      </w:pPr>
    </w:p>
    <w:p w14:paraId="44272842"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Oportunidad de los descuentos.</w:t>
      </w:r>
      <w:r>
        <w:rPr>
          <w:rFonts w:ascii="Arial" w:hAnsi="Arial" w:cs="Arial"/>
          <w:lang w:val="es-CO"/>
        </w:rPr>
        <w:t xml:space="preserve"> Sin perjuicio de lo dispuesto en el artículo 30 del Decreto 3541 de 1983 (hoy artículo 496 del Estatuto Tributario), las deducciones e impuestos descontables de que tratan los artículos 1.3.1.5.1, 1.3.1.5.2. y  1.3.1.6.1 de este decreto, solo podrán conta</w:t>
      </w:r>
      <w:r>
        <w:rPr>
          <w:rFonts w:ascii="Arial" w:hAnsi="Arial" w:cs="Arial"/>
          <w:lang w:val="es-CO"/>
        </w:rPr>
        <w:t>bilizarse en el período fiscal correspondiente a la fecha en que se hubiere causado el derecho y solicitarse en la declaración respectiva.</w:t>
      </w:r>
    </w:p>
    <w:p w14:paraId="2D403D33" w14:textId="77777777" w:rsidR="00B2442D" w:rsidRDefault="00B2442D">
      <w:pPr>
        <w:jc w:val="both"/>
        <w:rPr>
          <w:rFonts w:ascii="Arial" w:hAnsi="Arial" w:cs="Arial"/>
          <w:i/>
          <w:lang w:val="es-CO"/>
        </w:rPr>
      </w:pPr>
    </w:p>
    <w:p w14:paraId="1478A379" w14:textId="77777777" w:rsidR="00B2442D" w:rsidRDefault="008A645F">
      <w:pPr>
        <w:jc w:val="both"/>
        <w:rPr>
          <w:rFonts w:ascii="Arial" w:hAnsi="Arial" w:cs="Arial"/>
          <w:i/>
          <w:lang w:val="es-CO"/>
        </w:rPr>
      </w:pPr>
      <w:r>
        <w:rPr>
          <w:rFonts w:ascii="Arial" w:hAnsi="Arial" w:cs="Arial"/>
          <w:i/>
          <w:lang w:val="es-CO"/>
        </w:rPr>
        <w:t>(Art. 6, Decreto 570 de 1984)</w:t>
      </w:r>
      <w:r>
        <w:rPr>
          <w:rFonts w:ascii="Arial" w:hAnsi="Arial" w:cs="Arial"/>
        </w:rPr>
        <w:t xml:space="preserve"> </w:t>
      </w:r>
      <w:r>
        <w:rPr>
          <w:rFonts w:ascii="Arial" w:hAnsi="Arial" w:cs="Arial"/>
          <w:i/>
          <w:lang w:val="es-CO"/>
        </w:rPr>
        <w:t>(Decreto 570 de 1984 rige a partir del 1° de abril de 1984, salvo lo previsto en los a</w:t>
      </w:r>
      <w:r>
        <w:rPr>
          <w:rFonts w:ascii="Arial" w:hAnsi="Arial" w:cs="Arial"/>
          <w:i/>
          <w:lang w:val="es-CO"/>
        </w:rPr>
        <w:t>rtículos 31 y 32, con relación a los cuales rige a partir de la fecha de su expedición. Art. 37, Decreto 570 de 1984)</w:t>
      </w:r>
    </w:p>
    <w:p w14:paraId="7324198B" w14:textId="77777777" w:rsidR="00B2442D" w:rsidRDefault="00B2442D">
      <w:pPr>
        <w:jc w:val="both"/>
        <w:rPr>
          <w:rFonts w:ascii="Arial" w:hAnsi="Arial" w:cs="Arial"/>
          <w:lang w:val="es-CO"/>
        </w:rPr>
      </w:pPr>
    </w:p>
    <w:p w14:paraId="4AF4D95D"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 descontable por adquisición de gaseosas o derivados del petróleo entre productores</w:t>
      </w:r>
      <w:r>
        <w:rPr>
          <w:rFonts w:ascii="Arial" w:hAnsi="Arial" w:cs="Arial"/>
          <w:b/>
          <w:lang w:val="es-CO"/>
        </w:rPr>
        <w:t>.</w:t>
      </w:r>
      <w:r>
        <w:rPr>
          <w:rFonts w:ascii="Arial" w:hAnsi="Arial" w:cs="Arial"/>
          <w:lang w:val="es-CO"/>
        </w:rPr>
        <w:t xml:space="preserve"> Cuando se trate de productores de limonadas,</w:t>
      </w:r>
      <w:r>
        <w:rPr>
          <w:rFonts w:ascii="Arial" w:hAnsi="Arial" w:cs="Arial"/>
          <w:lang w:val="es-CO"/>
        </w:rPr>
        <w:t xml:space="preserve"> aguas gaseosas aromatizadas, incluidas las aguas minerales tratadas de esta manera y otras bebidas no alcohólicas, así como de productos derivados del petróleo con régimen monofásico, que compran dichos bienes a otro productor o distribuidor con vinculaci</w:t>
      </w:r>
      <w:r>
        <w:rPr>
          <w:rFonts w:ascii="Arial" w:hAnsi="Arial" w:cs="Arial"/>
          <w:lang w:val="es-CO"/>
        </w:rPr>
        <w:t xml:space="preserve">ón económica, se causará el impuesto sobre las ventas de tales productos por parte de estos y en este evento tendrán derecho a descontar el impuesto que les hayan facturado en la adquisición del producto, para lo cual la correspondiente factura, además de </w:t>
      </w:r>
      <w:r>
        <w:rPr>
          <w:rFonts w:ascii="Arial" w:hAnsi="Arial" w:cs="Arial"/>
          <w:lang w:val="es-CO"/>
        </w:rPr>
        <w:t>reunir los requisitos exigidos en el artículo 771-2 del Estatuto Tributario, deberá comprender la discriminación del respectivo impuesto.</w:t>
      </w:r>
    </w:p>
    <w:p w14:paraId="2E43A5F8" w14:textId="77777777" w:rsidR="00B2442D" w:rsidRDefault="00B2442D">
      <w:pPr>
        <w:jc w:val="both"/>
        <w:rPr>
          <w:rFonts w:ascii="Arial" w:hAnsi="Arial" w:cs="Arial"/>
          <w:i/>
        </w:rPr>
      </w:pPr>
    </w:p>
    <w:p w14:paraId="7442E51F" w14:textId="77777777" w:rsidR="00B2442D" w:rsidRDefault="008A645F">
      <w:pPr>
        <w:jc w:val="both"/>
        <w:rPr>
          <w:rFonts w:ascii="Arial" w:hAnsi="Arial" w:cs="Arial"/>
          <w:i/>
        </w:rPr>
      </w:pPr>
      <w:r>
        <w:rPr>
          <w:rFonts w:ascii="Arial" w:hAnsi="Arial" w:cs="Arial"/>
          <w:i/>
        </w:rPr>
        <w:t>(Art. 8, Decreto 3050 de 1997)</w:t>
      </w:r>
      <w:r>
        <w:rPr>
          <w:rFonts w:ascii="Arial" w:hAnsi="Arial" w:cs="Arial"/>
        </w:rPr>
        <w:t xml:space="preserve"> </w:t>
      </w:r>
      <w:r>
        <w:rPr>
          <w:rFonts w:ascii="Arial" w:hAnsi="Arial" w:cs="Arial"/>
          <w:i/>
        </w:rPr>
        <w:t>(El Decreto 3050 de 1997 rige a partir de la fecha de su publicación y deroga el artíc</w:t>
      </w:r>
      <w:r>
        <w:rPr>
          <w:rFonts w:ascii="Arial" w:hAnsi="Arial" w:cs="Arial"/>
          <w:i/>
        </w:rPr>
        <w:t>ulo 10 del Decreto 380 de 1996, el inciso 1° del artículo 7 y el artículo 11 del Decreto 1165 de 1996, el inciso 2° del artículo 43 del Decreto 700 de 1997, el artículo 7, el parágrafo del artículo 14 y el artículo 18 del Decreto 1001 de 1997, y demás norm</w:t>
      </w:r>
      <w:r>
        <w:rPr>
          <w:rFonts w:ascii="Arial" w:hAnsi="Arial" w:cs="Arial"/>
          <w:i/>
        </w:rPr>
        <w:t>as que le sean contrarias. Art. 34, Decreto 3050 de 1997)</w:t>
      </w:r>
    </w:p>
    <w:p w14:paraId="455CC1C9" w14:textId="77777777" w:rsidR="00B2442D" w:rsidRDefault="00B2442D">
      <w:pPr>
        <w:jc w:val="both"/>
        <w:rPr>
          <w:rFonts w:ascii="Arial" w:hAnsi="Arial" w:cs="Arial"/>
          <w:lang w:val="es-CO"/>
        </w:rPr>
      </w:pPr>
    </w:p>
    <w:p w14:paraId="128308AD"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 descontable para adquisición de derivados del petróleo.</w:t>
      </w:r>
      <w:r>
        <w:rPr>
          <w:rFonts w:ascii="Arial" w:hAnsi="Arial" w:cs="Arial"/>
          <w:lang w:val="es-CO"/>
        </w:rPr>
        <w:t xml:space="preserve"> De conformidad con el artículo 488 del Estatuto Tributario, el impuesto sobre las ventas facturado en la adquisición de productos de</w:t>
      </w:r>
      <w:r>
        <w:rPr>
          <w:rFonts w:ascii="Arial" w:hAnsi="Arial" w:cs="Arial"/>
          <w:lang w:val="es-CO"/>
        </w:rPr>
        <w:t>rivados del petróleo con régimen monofásico, sólo podrá ser descontado por el adquirente, cuando éste sea responsable del impuesto sobre las ventas, los bienes adquiridos sean computables como costo o gasto de la empresa y se destinen a operaciones gravada</w:t>
      </w:r>
      <w:r>
        <w:rPr>
          <w:rFonts w:ascii="Arial" w:hAnsi="Arial" w:cs="Arial"/>
          <w:lang w:val="es-CO"/>
        </w:rPr>
        <w:t xml:space="preserve">s con el impuesto sobre las ventas o a operaciones exentas. </w:t>
      </w:r>
    </w:p>
    <w:p w14:paraId="47F0815B" w14:textId="77777777" w:rsidR="00B2442D" w:rsidRDefault="008A645F">
      <w:pPr>
        <w:jc w:val="both"/>
        <w:rPr>
          <w:rFonts w:ascii="Arial" w:hAnsi="Arial" w:cs="Arial"/>
          <w:lang w:val="es-CO"/>
        </w:rPr>
      </w:pPr>
      <w:r>
        <w:rPr>
          <w:rFonts w:ascii="Arial" w:hAnsi="Arial" w:cs="Arial"/>
          <w:lang w:val="es-CO"/>
        </w:rPr>
        <w:t xml:space="preserve"> </w:t>
      </w:r>
    </w:p>
    <w:p w14:paraId="709F55D9" w14:textId="77777777" w:rsidR="00B2442D" w:rsidRDefault="008A645F">
      <w:pPr>
        <w:jc w:val="both"/>
        <w:rPr>
          <w:rFonts w:ascii="Arial" w:hAnsi="Arial" w:cs="Arial"/>
          <w:lang w:val="es-CO"/>
        </w:rPr>
      </w:pPr>
      <w:r>
        <w:rPr>
          <w:rFonts w:ascii="Arial" w:hAnsi="Arial" w:cs="Arial"/>
          <w:lang w:val="es-CO"/>
        </w:rPr>
        <w:t>Cuando los bienes adquiridos se destinen indistintamente a operaciones gravadas, exportaciones y operaciones excluidas del impuesto, y no fuere posible establecer su imputación directa a unas y</w:t>
      </w:r>
      <w:r>
        <w:rPr>
          <w:rFonts w:ascii="Arial" w:hAnsi="Arial" w:cs="Arial"/>
          <w:lang w:val="es-CO"/>
        </w:rPr>
        <w:t xml:space="preserve"> otras, el cómputo de dicho descuento se efectuará en proporción al monto de las operaciones gravadas del período fiscal correspondiente. </w:t>
      </w:r>
    </w:p>
    <w:p w14:paraId="2BAD6536" w14:textId="77777777" w:rsidR="00B2442D" w:rsidRDefault="008A645F">
      <w:pPr>
        <w:jc w:val="both"/>
        <w:rPr>
          <w:rFonts w:ascii="Arial" w:hAnsi="Arial" w:cs="Arial"/>
          <w:lang w:val="es-CO"/>
        </w:rPr>
      </w:pPr>
      <w:r>
        <w:rPr>
          <w:rFonts w:ascii="Arial" w:hAnsi="Arial" w:cs="Arial"/>
          <w:lang w:val="es-CO"/>
        </w:rPr>
        <w:t xml:space="preserve"> </w:t>
      </w:r>
    </w:p>
    <w:p w14:paraId="36109A5D" w14:textId="77777777" w:rsidR="00B2442D" w:rsidRDefault="008A645F">
      <w:pPr>
        <w:jc w:val="both"/>
        <w:rPr>
          <w:rFonts w:ascii="Arial" w:hAnsi="Arial" w:cs="Arial"/>
          <w:lang w:val="es-CO"/>
        </w:rPr>
      </w:pPr>
      <w:r>
        <w:rPr>
          <w:rFonts w:ascii="Arial" w:hAnsi="Arial" w:cs="Arial"/>
          <w:lang w:val="es-CO"/>
        </w:rPr>
        <w:t xml:space="preserve">Cuando los bienes de que trata este artículo sean adquiridos a un distribuidor no responsable del IVA por la venta </w:t>
      </w:r>
      <w:r>
        <w:rPr>
          <w:rFonts w:ascii="Arial" w:hAnsi="Arial" w:cs="Arial"/>
          <w:lang w:val="es-CO"/>
        </w:rPr>
        <w:t>de tales bienes, para efectos de que el adquirente responsable pueda descontar el IVA implícito en el precio del producto, el distribuidor certificará al adquirente, por cada operación, el valor del IVA que le haya sido liquidado por parte del productor en</w:t>
      </w:r>
      <w:r>
        <w:rPr>
          <w:rFonts w:ascii="Arial" w:hAnsi="Arial" w:cs="Arial"/>
          <w:lang w:val="es-CO"/>
        </w:rPr>
        <w:t xml:space="preserve"> la adquisición de los bienes.</w:t>
      </w:r>
    </w:p>
    <w:p w14:paraId="35FEC225" w14:textId="77777777" w:rsidR="00B2442D" w:rsidRDefault="00B2442D">
      <w:pPr>
        <w:jc w:val="both"/>
        <w:rPr>
          <w:rFonts w:ascii="Arial" w:hAnsi="Arial" w:cs="Arial"/>
          <w:i/>
        </w:rPr>
      </w:pPr>
    </w:p>
    <w:p w14:paraId="096ACF8D" w14:textId="77777777" w:rsidR="00B2442D" w:rsidRDefault="008A645F">
      <w:pPr>
        <w:jc w:val="both"/>
        <w:rPr>
          <w:rFonts w:ascii="Arial" w:hAnsi="Arial" w:cs="Arial"/>
          <w:i/>
        </w:rPr>
      </w:pPr>
      <w:r>
        <w:rPr>
          <w:rFonts w:ascii="Arial" w:hAnsi="Arial" w:cs="Arial"/>
          <w:i/>
        </w:rPr>
        <w:t>(Art. 9, Decreto 3050 de 1997)</w:t>
      </w:r>
      <w:r>
        <w:rPr>
          <w:rFonts w:ascii="Arial" w:hAnsi="Arial" w:cs="Arial"/>
        </w:rPr>
        <w:t xml:space="preserve"> </w:t>
      </w:r>
      <w:r>
        <w:rPr>
          <w:rFonts w:ascii="Arial" w:hAnsi="Arial" w:cs="Arial"/>
          <w:i/>
        </w:rPr>
        <w:t>(El Decreto 3050 de 1997 rige a partir de la fecha de su publicación y deroga el artículo 10 del Decreto 380 de 1996, el inciso 1° del artículo 7 y el artículo 11 del Decreto 1165 de 1996, el i</w:t>
      </w:r>
      <w:r>
        <w:rPr>
          <w:rFonts w:ascii="Arial" w:hAnsi="Arial" w:cs="Arial"/>
          <w:i/>
        </w:rPr>
        <w:t>nciso 2° del artículo 43 del Decreto 700 de 1997, el artículo 7, el parágrafo del artículo 14 y el artículo 18 del Decreto 1001 de 1997, y demás normas que le sean contrarias. Art. 34, Decreto 3050 de 1997)</w:t>
      </w:r>
    </w:p>
    <w:p w14:paraId="61A8F9FC" w14:textId="77777777" w:rsidR="00B2442D" w:rsidRDefault="00B2442D">
      <w:pPr>
        <w:jc w:val="both"/>
        <w:rPr>
          <w:rFonts w:ascii="Arial" w:hAnsi="Arial" w:cs="Arial"/>
          <w:lang w:val="es-CO"/>
        </w:rPr>
      </w:pPr>
    </w:p>
    <w:p w14:paraId="2A8B275E"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Impuestos descontables en juegos de suerte y aza</w:t>
      </w:r>
      <w:r>
        <w:rPr>
          <w:rFonts w:ascii="Arial" w:hAnsi="Arial" w:cs="Arial"/>
          <w:b/>
          <w:i/>
          <w:lang w:val="es-CO"/>
        </w:rPr>
        <w:t xml:space="preserve">r.  </w:t>
      </w:r>
      <w:r>
        <w:rPr>
          <w:rFonts w:ascii="Arial" w:hAnsi="Arial" w:cs="Arial"/>
          <w:lang w:val="es-CO"/>
        </w:rPr>
        <w:t>El impuesto generado por concepto de juegos de suerte y azar se afectará con impuestos descontables teniendo en cuenta las limitaciones previstas en los artículos 485, 488 y 490 del Estatuto Tributario.</w:t>
      </w:r>
    </w:p>
    <w:p w14:paraId="37720D6D" w14:textId="77777777" w:rsidR="00B2442D" w:rsidRDefault="00B2442D">
      <w:pPr>
        <w:jc w:val="both"/>
        <w:rPr>
          <w:rFonts w:ascii="Arial" w:hAnsi="Arial" w:cs="Arial"/>
          <w:lang w:val="es-CO"/>
        </w:rPr>
      </w:pPr>
    </w:p>
    <w:p w14:paraId="2D79E4FE" w14:textId="77777777" w:rsidR="00B2442D" w:rsidRDefault="008A645F">
      <w:pPr>
        <w:jc w:val="both"/>
        <w:rPr>
          <w:rFonts w:ascii="Arial" w:hAnsi="Arial" w:cs="Arial"/>
          <w:i/>
          <w:lang w:val="es-CO"/>
        </w:rPr>
      </w:pPr>
      <w:r>
        <w:rPr>
          <w:rFonts w:ascii="Arial" w:hAnsi="Arial" w:cs="Arial"/>
          <w:i/>
          <w:lang w:val="es-CO"/>
        </w:rPr>
        <w:t>(Art. 4, Decreto 427 de 2004)</w:t>
      </w:r>
    </w:p>
    <w:p w14:paraId="3852A84F" w14:textId="77777777" w:rsidR="00B2442D" w:rsidRDefault="00B2442D">
      <w:pPr>
        <w:jc w:val="both"/>
        <w:rPr>
          <w:rFonts w:ascii="Arial" w:hAnsi="Arial" w:cs="Arial"/>
          <w:lang w:val="es-CO"/>
        </w:rPr>
      </w:pPr>
    </w:p>
    <w:p w14:paraId="560FB5D7"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 xml:space="preserve">Determinación de </w:t>
      </w:r>
      <w:r>
        <w:rPr>
          <w:rFonts w:ascii="Arial" w:hAnsi="Arial" w:cs="Arial"/>
          <w:b/>
          <w:i/>
          <w:lang w:val="es-CO"/>
        </w:rPr>
        <w:t>impuestos descontables susceptibles de devolución bimestral.</w:t>
      </w:r>
      <w:r>
        <w:rPr>
          <w:rFonts w:ascii="Arial" w:hAnsi="Arial" w:cs="Arial"/>
          <w:lang w:val="es-CO"/>
        </w:rPr>
        <w:t xml:space="preserve"> De conformidad con el artículo 489 del Estatuto Tributario, para determinar el valor susceptible de devolución y/o compensación, los ingresos gravados e ingresos brutos gravados incluirán los obt</w:t>
      </w:r>
      <w:r>
        <w:rPr>
          <w:rFonts w:ascii="Arial" w:hAnsi="Arial" w:cs="Arial"/>
          <w:lang w:val="es-CO"/>
        </w:rPr>
        <w:t>enidos por las actividades de los artículos 477 y 481 del Estatuto Tributario, y los demás ingresos provenientes de la venta de bienes y servicios gravados con el impuesto sobre las ventas.</w:t>
      </w:r>
    </w:p>
    <w:p w14:paraId="33BFDC76" w14:textId="77777777" w:rsidR="00B2442D" w:rsidRDefault="00B2442D">
      <w:pPr>
        <w:jc w:val="both"/>
        <w:rPr>
          <w:rFonts w:ascii="Arial" w:hAnsi="Arial" w:cs="Arial"/>
          <w:lang w:val="es-CO"/>
        </w:rPr>
      </w:pPr>
    </w:p>
    <w:p w14:paraId="62796F29" w14:textId="77777777" w:rsidR="00B2442D" w:rsidRDefault="008A645F">
      <w:pPr>
        <w:jc w:val="both"/>
        <w:rPr>
          <w:rFonts w:ascii="Arial" w:hAnsi="Arial" w:cs="Arial"/>
          <w:lang w:val="es-CO"/>
        </w:rPr>
      </w:pPr>
      <w:r>
        <w:rPr>
          <w:rFonts w:ascii="Arial" w:hAnsi="Arial" w:cs="Arial"/>
          <w:lang w:val="es-CO"/>
        </w:rPr>
        <w:t xml:space="preserve">El responsable debe imputar en el periodo siguiente los </w:t>
      </w:r>
      <w:r>
        <w:rPr>
          <w:rFonts w:ascii="Arial" w:hAnsi="Arial" w:cs="Arial"/>
          <w:lang w:val="es-CO"/>
        </w:rPr>
        <w:t>saldos del periodo anterior, que no sean susceptibles de ser solicitados en devolución y/o compensación.</w:t>
      </w:r>
    </w:p>
    <w:p w14:paraId="67AA5EFE" w14:textId="77777777" w:rsidR="00B2442D" w:rsidRDefault="00B2442D">
      <w:pPr>
        <w:jc w:val="both"/>
        <w:rPr>
          <w:rFonts w:ascii="Arial" w:hAnsi="Arial" w:cs="Arial"/>
          <w:lang w:val="es-CO"/>
        </w:rPr>
      </w:pPr>
    </w:p>
    <w:p w14:paraId="0E0B3415" w14:textId="77777777" w:rsidR="00B2442D" w:rsidRDefault="008A645F">
      <w:pPr>
        <w:jc w:val="both"/>
        <w:rPr>
          <w:rFonts w:ascii="Arial" w:hAnsi="Arial" w:cs="Arial"/>
          <w:i/>
          <w:lang w:val="es-CO"/>
        </w:rPr>
      </w:pPr>
      <w:r>
        <w:rPr>
          <w:rFonts w:ascii="Arial" w:hAnsi="Arial" w:cs="Arial"/>
          <w:i/>
          <w:lang w:val="es-CO"/>
        </w:rPr>
        <w:t>(Art. 7, Decreto 2877 de 2013)</w:t>
      </w:r>
    </w:p>
    <w:p w14:paraId="5ED9BC21" w14:textId="77777777" w:rsidR="00B2442D" w:rsidRDefault="00B2442D">
      <w:pPr>
        <w:jc w:val="both"/>
        <w:rPr>
          <w:rFonts w:ascii="Arial" w:hAnsi="Arial" w:cs="Arial"/>
          <w:lang w:val="es-CO"/>
        </w:rPr>
      </w:pPr>
    </w:p>
    <w:p w14:paraId="62132829"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 xml:space="preserve">Determinación de impuestos descontables susceptibles de devolución y/o compensación provenientes de </w:t>
      </w:r>
      <w:r>
        <w:rPr>
          <w:rFonts w:ascii="Arial" w:hAnsi="Arial" w:cs="Arial"/>
          <w:b/>
          <w:i/>
          <w:lang w:val="es-CO"/>
        </w:rPr>
        <w:t>operaciones exentas.</w:t>
      </w:r>
      <w:r>
        <w:rPr>
          <w:rFonts w:ascii="Arial" w:hAnsi="Arial" w:cs="Arial"/>
          <w:lang w:val="es-CO"/>
        </w:rPr>
        <w:t xml:space="preserve"> El responsable del impuesto sobre las ventas que realice operaciones exentas de que tratan los artículos 481 y 477 del Estatuto Tributario deberá utilizar el procedimiento establecido en el artículo 489 del mismo Estatuto para determin</w:t>
      </w:r>
      <w:r>
        <w:rPr>
          <w:rFonts w:ascii="Arial" w:hAnsi="Arial" w:cs="Arial"/>
          <w:lang w:val="es-CO"/>
        </w:rPr>
        <w:t>ar la proporcionalidad de los impuestos descontables que generen saldos a favor susceptibles de ser solicitados en devolución y/o compensación.</w:t>
      </w:r>
    </w:p>
    <w:p w14:paraId="13F8957F" w14:textId="77777777" w:rsidR="00B2442D" w:rsidRDefault="00B2442D">
      <w:pPr>
        <w:jc w:val="both"/>
        <w:rPr>
          <w:rFonts w:ascii="Arial" w:hAnsi="Arial" w:cs="Arial"/>
          <w:lang w:val="es-CO"/>
        </w:rPr>
      </w:pPr>
    </w:p>
    <w:p w14:paraId="428BF27E" w14:textId="77777777" w:rsidR="00B2442D" w:rsidRDefault="008A645F">
      <w:pPr>
        <w:jc w:val="both"/>
        <w:rPr>
          <w:rFonts w:ascii="Arial" w:hAnsi="Arial" w:cs="Arial"/>
          <w:lang w:val="es-CO"/>
        </w:rPr>
      </w:pPr>
      <w:r>
        <w:rPr>
          <w:rFonts w:ascii="Arial" w:hAnsi="Arial" w:cs="Arial"/>
          <w:lang w:val="es-CO"/>
        </w:rPr>
        <w:t>Los saldos a favor generados por la proporcionalidad de los impuestos descontables por operaciones de que trata</w:t>
      </w:r>
      <w:r>
        <w:rPr>
          <w:rFonts w:ascii="Arial" w:hAnsi="Arial" w:cs="Arial"/>
          <w:lang w:val="es-CO"/>
        </w:rPr>
        <w:t xml:space="preserve"> el artículo 477 del Estatuto Tributario, deberán ser imputados en las declaraciones bimestrales del IVA dentro de un mismo año o período gravable y solicitados en devolución y/o compensación, de conformidad con lo dispuesto en los parágrafos primero y seg</w:t>
      </w:r>
      <w:r>
        <w:rPr>
          <w:rFonts w:ascii="Arial" w:hAnsi="Arial" w:cs="Arial"/>
          <w:lang w:val="es-CO"/>
        </w:rPr>
        <w:t>undo del artículo 477 del Estatuto Tributario.</w:t>
      </w:r>
    </w:p>
    <w:p w14:paraId="0DE29EF2" w14:textId="77777777" w:rsidR="00B2442D" w:rsidRDefault="00B2442D">
      <w:pPr>
        <w:jc w:val="both"/>
        <w:rPr>
          <w:rFonts w:ascii="Arial" w:hAnsi="Arial" w:cs="Arial"/>
          <w:lang w:val="es-CO"/>
        </w:rPr>
      </w:pPr>
    </w:p>
    <w:p w14:paraId="49F87537" w14:textId="77777777" w:rsidR="00B2442D" w:rsidRDefault="008A645F">
      <w:pPr>
        <w:jc w:val="both"/>
        <w:rPr>
          <w:rFonts w:ascii="Arial" w:hAnsi="Arial" w:cs="Arial"/>
          <w:i/>
          <w:lang w:val="es-CO"/>
        </w:rPr>
      </w:pPr>
      <w:r>
        <w:rPr>
          <w:rFonts w:ascii="Arial" w:hAnsi="Arial" w:cs="Arial"/>
          <w:i/>
          <w:lang w:val="es-CO"/>
        </w:rPr>
        <w:t>(Art. 8, Decreto 2877 de 2013)</w:t>
      </w:r>
    </w:p>
    <w:p w14:paraId="5BB5ADDF" w14:textId="77777777" w:rsidR="00B2442D" w:rsidRDefault="00B2442D">
      <w:pPr>
        <w:jc w:val="both"/>
        <w:rPr>
          <w:rFonts w:ascii="Arial" w:hAnsi="Arial" w:cs="Arial"/>
          <w:i/>
          <w:lang w:val="es-CO"/>
        </w:rPr>
      </w:pPr>
    </w:p>
    <w:p w14:paraId="63DC3D9E"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Impuestos descontables en la venta de chatarra a las siderúrgicas.</w:t>
      </w:r>
      <w:r>
        <w:rPr>
          <w:rFonts w:ascii="Arial" w:hAnsi="Arial" w:cs="Arial"/>
          <w:lang w:val="es-CO"/>
        </w:rPr>
        <w:t xml:space="preserve"> El IVA generado en las ventas de chatarra clasificada en las partidas arancelarias 72.04, 74.04 y 76.02, que </w:t>
      </w:r>
      <w:r>
        <w:rPr>
          <w:rFonts w:ascii="Arial" w:hAnsi="Arial" w:cs="Arial"/>
          <w:lang w:val="es-CO"/>
        </w:rPr>
        <w:t>efectúen los responsables del régimen común del impuesto sobre las ventas a las siderúrgicas, dará derecho a impuestos descontables en los términos del artículo 485 del Estatuto Tributario.</w:t>
      </w:r>
    </w:p>
    <w:p w14:paraId="1334CF09" w14:textId="77777777" w:rsidR="00B2442D" w:rsidRDefault="00B2442D">
      <w:pPr>
        <w:jc w:val="both"/>
        <w:rPr>
          <w:rFonts w:ascii="Arial" w:hAnsi="Arial" w:cs="Arial"/>
          <w:lang w:val="es-CO"/>
        </w:rPr>
      </w:pPr>
    </w:p>
    <w:p w14:paraId="6BF750AD" w14:textId="77777777" w:rsidR="00B2442D" w:rsidRDefault="008A645F">
      <w:pPr>
        <w:jc w:val="both"/>
        <w:rPr>
          <w:rFonts w:ascii="Arial" w:hAnsi="Arial" w:cs="Arial"/>
          <w:i/>
          <w:lang w:val="es-CO"/>
        </w:rPr>
      </w:pPr>
      <w:r>
        <w:rPr>
          <w:rFonts w:ascii="Arial" w:hAnsi="Arial" w:cs="Arial"/>
          <w:i/>
          <w:lang w:val="es-CO"/>
        </w:rPr>
        <w:t>(Art. 19, Decreto 1794 de 2013)</w:t>
      </w:r>
    </w:p>
    <w:p w14:paraId="09DEF6D6" w14:textId="77777777" w:rsidR="00B2442D" w:rsidRDefault="00B2442D">
      <w:pPr>
        <w:jc w:val="both"/>
        <w:rPr>
          <w:rFonts w:ascii="Arial" w:hAnsi="Arial" w:cs="Arial"/>
          <w:lang w:val="es-CO"/>
        </w:rPr>
      </w:pPr>
    </w:p>
    <w:p w14:paraId="49B01821"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Impuestos descontables en la ven</w:t>
      </w:r>
      <w:r>
        <w:rPr>
          <w:rFonts w:ascii="Arial" w:hAnsi="Arial" w:cs="Arial"/>
          <w:b/>
          <w:i/>
          <w:lang w:val="es-CO"/>
        </w:rPr>
        <w:t>ta de tabaco a las empresas tabacaleras.</w:t>
      </w:r>
      <w:r>
        <w:rPr>
          <w:rFonts w:ascii="Arial" w:hAnsi="Arial" w:cs="Arial"/>
          <w:lang w:val="es-CO"/>
        </w:rPr>
        <w:t xml:space="preserve"> El IVA generado en las ventas de tabaco en rama o sin elaborar y desperdicios de tabaco identificados con la nomenclatura arancelaria andina 24.01, que efectúen los productores del régimen común a las empresas tabac</w:t>
      </w:r>
      <w:r>
        <w:rPr>
          <w:rFonts w:ascii="Arial" w:hAnsi="Arial" w:cs="Arial"/>
          <w:lang w:val="es-CO"/>
        </w:rPr>
        <w:t>aleras, dará derecho a impuestos descontables en los términos del artículo 485 del Estatuto Tributario.</w:t>
      </w:r>
    </w:p>
    <w:p w14:paraId="039A8029" w14:textId="77777777" w:rsidR="00B2442D" w:rsidRDefault="00B2442D">
      <w:pPr>
        <w:jc w:val="both"/>
        <w:rPr>
          <w:rFonts w:ascii="Arial" w:hAnsi="Arial" w:cs="Arial"/>
          <w:lang w:val="es-CO"/>
        </w:rPr>
      </w:pPr>
    </w:p>
    <w:p w14:paraId="59335406" w14:textId="77777777" w:rsidR="00B2442D" w:rsidRDefault="008A645F">
      <w:pPr>
        <w:jc w:val="both"/>
        <w:rPr>
          <w:rFonts w:ascii="Arial" w:hAnsi="Arial" w:cs="Arial"/>
          <w:i/>
          <w:lang w:val="es-CO"/>
        </w:rPr>
      </w:pPr>
      <w:r>
        <w:rPr>
          <w:rFonts w:ascii="Arial" w:hAnsi="Arial" w:cs="Arial"/>
          <w:i/>
          <w:lang w:val="es-CO"/>
        </w:rPr>
        <w:t>(Art. 20, Decreto 1794 de 2013)</w:t>
      </w:r>
    </w:p>
    <w:p w14:paraId="212B4DB0" w14:textId="77777777" w:rsidR="00B2442D" w:rsidRDefault="00B2442D">
      <w:pPr>
        <w:jc w:val="both"/>
        <w:rPr>
          <w:rFonts w:ascii="Arial" w:hAnsi="Arial" w:cs="Arial"/>
          <w:lang w:val="es-CO"/>
        </w:rPr>
      </w:pPr>
    </w:p>
    <w:p w14:paraId="155014CF"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Tratamiento del IVA en la adquisición de bienes o utilización de servicios gravados.</w:t>
      </w:r>
      <w:r>
        <w:rPr>
          <w:rFonts w:ascii="Arial" w:hAnsi="Arial" w:cs="Arial"/>
          <w:lang w:val="es-CO"/>
        </w:rPr>
        <w:t xml:space="preserve"> Los responsables del régimen comú</w:t>
      </w:r>
      <w:r>
        <w:rPr>
          <w:rFonts w:ascii="Arial" w:hAnsi="Arial" w:cs="Arial"/>
          <w:lang w:val="es-CO"/>
        </w:rPr>
        <w:t xml:space="preserve">n, sean retenedores del IVA o no, continuarán determinando los impuestos descontables a que tengan derecho, de conformidad con lo regulado en el Título Vll del Libro Tercero del Estatuto Tributario. </w:t>
      </w:r>
    </w:p>
    <w:p w14:paraId="3C3B01B2" w14:textId="77777777" w:rsidR="00B2442D" w:rsidRDefault="008A645F">
      <w:pPr>
        <w:jc w:val="both"/>
        <w:rPr>
          <w:rFonts w:ascii="Arial" w:hAnsi="Arial" w:cs="Arial"/>
          <w:lang w:val="es-CO"/>
        </w:rPr>
      </w:pPr>
      <w:r>
        <w:rPr>
          <w:rFonts w:ascii="Arial" w:hAnsi="Arial" w:cs="Arial"/>
          <w:lang w:val="es-CO"/>
        </w:rPr>
        <w:t xml:space="preserve"> </w:t>
      </w:r>
    </w:p>
    <w:p w14:paraId="3EBCE1DB" w14:textId="77777777" w:rsidR="00B2442D" w:rsidRDefault="008A645F">
      <w:pPr>
        <w:jc w:val="both"/>
        <w:rPr>
          <w:rFonts w:ascii="Arial" w:hAnsi="Arial" w:cs="Arial"/>
          <w:lang w:val="es-CO"/>
        </w:rPr>
      </w:pPr>
      <w:r>
        <w:rPr>
          <w:rFonts w:ascii="Arial" w:hAnsi="Arial" w:cs="Arial"/>
          <w:lang w:val="es-CO"/>
        </w:rPr>
        <w:t>Los agentes retenedores que no sean responsables del i</w:t>
      </w:r>
      <w:r>
        <w:rPr>
          <w:rFonts w:ascii="Arial" w:hAnsi="Arial" w:cs="Arial"/>
          <w:lang w:val="es-CO"/>
        </w:rPr>
        <w:t>mpuesto sobre las ventas, deberán llevar como mayor valor del costo o gasto el monto del IVA que les hubiere sido facturado.</w:t>
      </w:r>
    </w:p>
    <w:p w14:paraId="6F316061" w14:textId="77777777" w:rsidR="00B2442D" w:rsidRDefault="00B2442D">
      <w:pPr>
        <w:jc w:val="both"/>
        <w:rPr>
          <w:rFonts w:ascii="Arial" w:hAnsi="Arial" w:cs="Arial"/>
          <w:i/>
          <w:lang w:val="es-CO"/>
        </w:rPr>
      </w:pPr>
    </w:p>
    <w:p w14:paraId="544B5090" w14:textId="77777777" w:rsidR="00B2442D" w:rsidRDefault="008A645F">
      <w:pPr>
        <w:jc w:val="both"/>
        <w:rPr>
          <w:rFonts w:ascii="Arial" w:hAnsi="Arial" w:cs="Arial"/>
          <w:i/>
          <w:lang w:val="es-CO"/>
        </w:rPr>
      </w:pPr>
      <w:r>
        <w:rPr>
          <w:rFonts w:ascii="Arial" w:hAnsi="Arial" w:cs="Arial"/>
          <w:i/>
          <w:lang w:val="es-CO"/>
        </w:rPr>
        <w:t>(Art. 9, Decreto 0380 de 1996)</w:t>
      </w:r>
    </w:p>
    <w:p w14:paraId="685E90BB" w14:textId="77777777" w:rsidR="00B2442D" w:rsidRDefault="00B2442D">
      <w:pPr>
        <w:jc w:val="both"/>
        <w:rPr>
          <w:rFonts w:ascii="Arial" w:hAnsi="Arial" w:cs="Arial"/>
          <w:lang w:val="es-CO"/>
        </w:rPr>
      </w:pPr>
    </w:p>
    <w:p w14:paraId="0EE34FC5"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Impuesto descontable por concepto del impuesto nacional a la gasolina y al ACPM.</w:t>
      </w:r>
      <w:r>
        <w:rPr>
          <w:rFonts w:ascii="Arial" w:hAnsi="Arial" w:cs="Arial"/>
          <w:lang w:val="es-CO"/>
        </w:rPr>
        <w:t xml:space="preserve"> De conformidad co</w:t>
      </w:r>
      <w:r>
        <w:rPr>
          <w:rFonts w:ascii="Arial" w:hAnsi="Arial" w:cs="Arial"/>
          <w:lang w:val="es-CO"/>
        </w:rPr>
        <w:t>n el artículo 176 de la Ley 1607 de 2012, el treinta y cinco por ciento (35%) del impuesto nacional a la gasolina y al ACPM pagado, con régimen monofásico, solo podrá ser descontado por el contribuyente responsable del impuesto sobre las ventas (IVA) perte</w:t>
      </w:r>
      <w:r>
        <w:rPr>
          <w:rFonts w:ascii="Arial" w:hAnsi="Arial" w:cs="Arial"/>
          <w:lang w:val="es-CO"/>
        </w:rPr>
        <w:t>neciente al régimen común, cuando este sea el consumidor final de la gasolina o el ACPM, y dichos bienes adquiridos sean computables como costo de la empresa y se destinen a operaciones gravadas o exentas del IVA.</w:t>
      </w:r>
    </w:p>
    <w:p w14:paraId="4177F961" w14:textId="77777777" w:rsidR="00B2442D" w:rsidRDefault="00B2442D">
      <w:pPr>
        <w:jc w:val="both"/>
        <w:rPr>
          <w:rFonts w:ascii="Arial" w:hAnsi="Arial" w:cs="Arial"/>
          <w:lang w:val="es-CO"/>
        </w:rPr>
      </w:pPr>
    </w:p>
    <w:p w14:paraId="32A6DCA6" w14:textId="77777777" w:rsidR="00B2442D" w:rsidRDefault="008A645F">
      <w:pPr>
        <w:jc w:val="both"/>
        <w:rPr>
          <w:rFonts w:ascii="Arial" w:hAnsi="Arial" w:cs="Arial"/>
          <w:lang w:val="es-CO"/>
        </w:rPr>
      </w:pPr>
      <w:r>
        <w:rPr>
          <w:rFonts w:ascii="Arial" w:hAnsi="Arial" w:cs="Arial"/>
          <w:lang w:val="es-CO"/>
        </w:rPr>
        <w:t xml:space="preserve">Cuando la gasolina o el ACPM se destinen </w:t>
      </w:r>
      <w:r>
        <w:rPr>
          <w:rFonts w:ascii="Arial" w:hAnsi="Arial" w:cs="Arial"/>
          <w:lang w:val="es-CO"/>
        </w:rPr>
        <w:t>indistintamente a operaciones gravadas, exentas y excluidas de IVA, y no fuere posible establecer su imputación directa a unas y otras, el cómputo de dicho descuento se efectuará en proporción al monto de las operaciones gravadas y exentas del período fisc</w:t>
      </w:r>
      <w:r>
        <w:rPr>
          <w:rFonts w:ascii="Arial" w:hAnsi="Arial" w:cs="Arial"/>
          <w:lang w:val="es-CO"/>
        </w:rPr>
        <w:t>al correspondiente.</w:t>
      </w:r>
    </w:p>
    <w:p w14:paraId="466BA10C" w14:textId="77777777" w:rsidR="00B2442D" w:rsidRDefault="00B2442D">
      <w:pPr>
        <w:jc w:val="both"/>
        <w:rPr>
          <w:rFonts w:ascii="Arial" w:hAnsi="Arial" w:cs="Arial"/>
          <w:lang w:val="es-CO"/>
        </w:rPr>
      </w:pPr>
    </w:p>
    <w:p w14:paraId="2A0E33E9" w14:textId="77777777" w:rsidR="00B2442D" w:rsidRDefault="008A645F">
      <w:pPr>
        <w:jc w:val="both"/>
        <w:rPr>
          <w:rFonts w:ascii="Arial" w:hAnsi="Arial" w:cs="Arial"/>
          <w:lang w:val="es-CO"/>
        </w:rPr>
      </w:pPr>
      <w:r>
        <w:rPr>
          <w:rFonts w:ascii="Arial" w:hAnsi="Arial" w:cs="Arial"/>
          <w:lang w:val="es-CO"/>
        </w:rPr>
        <w:t>Cuando la gasolina o el ACPM sean adquiridos a un distribuidor no responsable del impuesto nacional a la gasolina y al ACPM, por la venta de estos bienes, para efectos de que el adquirente responsable del IVA pueda descontar el treinta</w:t>
      </w:r>
      <w:r>
        <w:rPr>
          <w:rFonts w:ascii="Arial" w:hAnsi="Arial" w:cs="Arial"/>
          <w:lang w:val="es-CO"/>
        </w:rPr>
        <w:t xml:space="preserve"> y cinco por ciento (35%) del impuesto nacional a la gasolina y al ACPM implícito en el precio del producto, el distribuidor certificará al adquirente en la factura de venta, por cada operación, el valor del impuesto nacional a la gasolina y al ACPM que le</w:t>
      </w:r>
      <w:r>
        <w:rPr>
          <w:rFonts w:ascii="Arial" w:hAnsi="Arial" w:cs="Arial"/>
          <w:lang w:val="es-CO"/>
        </w:rPr>
        <w:t xml:space="preserve"> haya sido liquidado por parte del productor o importador en la adquisición de la gasolina o el ACPM.</w:t>
      </w:r>
    </w:p>
    <w:p w14:paraId="7DEA305B" w14:textId="77777777" w:rsidR="00B2442D" w:rsidRDefault="00B2442D">
      <w:pPr>
        <w:jc w:val="both"/>
        <w:rPr>
          <w:rFonts w:ascii="Arial" w:hAnsi="Arial" w:cs="Arial"/>
          <w:lang w:val="es-CO"/>
        </w:rPr>
      </w:pPr>
    </w:p>
    <w:p w14:paraId="1C4E148A" w14:textId="77777777" w:rsidR="00B2442D" w:rsidRDefault="008A645F">
      <w:pPr>
        <w:jc w:val="both"/>
        <w:rPr>
          <w:rFonts w:ascii="Arial" w:hAnsi="Arial" w:cs="Arial"/>
          <w:lang w:val="es-CO"/>
        </w:rPr>
      </w:pPr>
      <w:r>
        <w:rPr>
          <w:rFonts w:ascii="Arial" w:hAnsi="Arial" w:cs="Arial"/>
          <w:lang w:val="es-CO"/>
        </w:rPr>
        <w:t xml:space="preserve">El impuesto descontable a que se refiere este artículo, para aquellos responsables del IVA obligados a presentar declaración y pago bimestral de acuerdo </w:t>
      </w:r>
      <w:r>
        <w:rPr>
          <w:rFonts w:ascii="Arial" w:hAnsi="Arial" w:cs="Arial"/>
          <w:lang w:val="es-CO"/>
        </w:rPr>
        <w:t xml:space="preserve">con el numeral 1 del artículo 600 del Estatuto Tributario, solo podrá contabilizarse en el período fiscal de IVA correspondiente a la fecha de su pago, o en uno de los dos (2) períodos inmediatamente siguientes, y solicitarse en la declaración del período </w:t>
      </w:r>
      <w:r>
        <w:rPr>
          <w:rFonts w:ascii="Arial" w:hAnsi="Arial" w:cs="Arial"/>
          <w:lang w:val="es-CO"/>
        </w:rPr>
        <w:t>en el cual se haya efectuado su contabilización.</w:t>
      </w:r>
    </w:p>
    <w:p w14:paraId="7A76A0CF" w14:textId="77777777" w:rsidR="00B2442D" w:rsidRDefault="00B2442D">
      <w:pPr>
        <w:jc w:val="both"/>
        <w:rPr>
          <w:rFonts w:ascii="Arial" w:hAnsi="Arial" w:cs="Arial"/>
          <w:lang w:val="es-CO"/>
        </w:rPr>
      </w:pPr>
    </w:p>
    <w:p w14:paraId="34042B9F" w14:textId="77777777" w:rsidR="00B2442D" w:rsidRDefault="008A645F">
      <w:pPr>
        <w:jc w:val="both"/>
        <w:rPr>
          <w:rFonts w:ascii="Arial" w:hAnsi="Arial" w:cs="Arial"/>
          <w:lang w:val="es-CO"/>
        </w:rPr>
      </w:pPr>
      <w:r>
        <w:rPr>
          <w:rFonts w:ascii="Arial" w:hAnsi="Arial" w:cs="Arial"/>
          <w:lang w:val="es-CO"/>
        </w:rPr>
        <w:t xml:space="preserve">Cuando se trate de responsables del IVA, obligados a presentar declaración y pago cuatrimestral conforme con el numeral 2 del artículo 600 del Estatuto Tributario, solo podrá contabilizarse en el </w:t>
      </w:r>
      <w:r>
        <w:rPr>
          <w:rFonts w:ascii="Arial" w:hAnsi="Arial" w:cs="Arial"/>
          <w:lang w:val="es-CO"/>
        </w:rPr>
        <w:t>período fiscal de IVA correspondiente a la fecha de su pago, o a más tardar en el siguiente período, y solicitarse en la declaración del período en el cual se haya efectuado su contabilización.</w:t>
      </w:r>
    </w:p>
    <w:p w14:paraId="1F0A4782" w14:textId="77777777" w:rsidR="00B2442D" w:rsidRDefault="00B2442D">
      <w:pPr>
        <w:jc w:val="both"/>
        <w:rPr>
          <w:rFonts w:ascii="Arial" w:hAnsi="Arial" w:cs="Arial"/>
          <w:lang w:val="es-CO"/>
        </w:rPr>
      </w:pPr>
    </w:p>
    <w:p w14:paraId="68660A69" w14:textId="77777777" w:rsidR="00B2442D" w:rsidRDefault="008A645F">
      <w:pPr>
        <w:jc w:val="both"/>
        <w:rPr>
          <w:rFonts w:ascii="Arial" w:hAnsi="Arial" w:cs="Arial"/>
          <w:lang w:val="es-CO"/>
        </w:rPr>
      </w:pPr>
      <w:r>
        <w:rPr>
          <w:rFonts w:ascii="Arial" w:hAnsi="Arial" w:cs="Arial"/>
          <w:lang w:val="es-CO"/>
        </w:rPr>
        <w:t>Para aquellos responsables del IVA, cuya declaración del impu</w:t>
      </w:r>
      <w:r>
        <w:rPr>
          <w:rFonts w:ascii="Arial" w:hAnsi="Arial" w:cs="Arial"/>
          <w:lang w:val="es-CO"/>
        </w:rPr>
        <w:t>esto es anual de conformidad con el numeral 3 del artículo 600 del Estatuto Tributario, solo podrá contabilizarse dentro del mismo período fiscal de IVA correspondiente a la fecha de su pago, y solicitarse en la misma declaración.</w:t>
      </w:r>
    </w:p>
    <w:p w14:paraId="2DAA4339" w14:textId="77777777" w:rsidR="00B2442D" w:rsidRDefault="00B2442D">
      <w:pPr>
        <w:jc w:val="both"/>
        <w:rPr>
          <w:rFonts w:ascii="Arial" w:hAnsi="Arial" w:cs="Arial"/>
          <w:lang w:val="es-CO"/>
        </w:rPr>
      </w:pPr>
    </w:p>
    <w:p w14:paraId="77E1BCD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ningún cas</w:t>
      </w:r>
      <w:r>
        <w:rPr>
          <w:rFonts w:ascii="Arial" w:hAnsi="Arial" w:cs="Arial"/>
          <w:lang w:val="es-CO"/>
        </w:rPr>
        <w:t>o el impuesto nacional a la gasolina y al ACPM que se solicite como impuesto descontable en el impuesto sobre las ventas podrá ser solicitado como costo o deducción en el impuesto sobre la renta.</w:t>
      </w:r>
    </w:p>
    <w:p w14:paraId="2A159956" w14:textId="77777777" w:rsidR="00B2442D" w:rsidRDefault="00B2442D">
      <w:pPr>
        <w:jc w:val="both"/>
        <w:rPr>
          <w:rFonts w:ascii="Arial" w:hAnsi="Arial" w:cs="Arial"/>
          <w:lang w:val="es-CO"/>
        </w:rPr>
      </w:pPr>
    </w:p>
    <w:p w14:paraId="19A83204" w14:textId="77777777" w:rsidR="00B2442D" w:rsidRDefault="008A645F">
      <w:pPr>
        <w:jc w:val="both"/>
        <w:rPr>
          <w:rFonts w:ascii="Arial" w:hAnsi="Arial" w:cs="Arial"/>
          <w:lang w:val="es-CO"/>
        </w:rPr>
      </w:pPr>
      <w:r>
        <w:rPr>
          <w:rFonts w:ascii="Arial" w:hAnsi="Arial" w:cs="Arial"/>
          <w:i/>
          <w:lang w:val="es-CO"/>
        </w:rPr>
        <w:t>(Art. 14, Decreto 568 de 2013, modificado por el art. 2 del</w:t>
      </w:r>
      <w:r>
        <w:rPr>
          <w:rFonts w:ascii="Arial" w:hAnsi="Arial" w:cs="Arial"/>
          <w:i/>
          <w:lang w:val="es-CO"/>
        </w:rPr>
        <w:t xml:space="preserve"> Decreto 3037 de 2013)</w:t>
      </w:r>
    </w:p>
    <w:p w14:paraId="649378A6" w14:textId="77777777" w:rsidR="00B2442D" w:rsidRDefault="00B2442D">
      <w:pPr>
        <w:jc w:val="both"/>
        <w:rPr>
          <w:rFonts w:ascii="Arial" w:hAnsi="Arial" w:cs="Arial"/>
          <w:lang w:val="es-CO"/>
        </w:rPr>
      </w:pPr>
    </w:p>
    <w:p w14:paraId="08887729"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Limitación en impuestos descontables para la base gravable especial.</w:t>
      </w:r>
      <w:r>
        <w:rPr>
          <w:rFonts w:ascii="Arial" w:hAnsi="Arial" w:cs="Arial"/>
          <w:lang w:val="es-CO"/>
        </w:rPr>
        <w:t xml:space="preserve"> En la prestación de servicios de que trata el artículo 462-1 del Estatuto Tributario, el responsable sólo podrá solicitar impuestos descontables por los gastos dir</w:t>
      </w:r>
      <w:r>
        <w:rPr>
          <w:rFonts w:ascii="Arial" w:hAnsi="Arial" w:cs="Arial"/>
          <w:lang w:val="es-CO"/>
        </w:rPr>
        <w:t>ectamente relacionados con el AIU, que constituye la base gravable del impuesto y que en ningún caso podrá ser inferior al diez por ciento (10%) del valor total del contrato o de la remuneración percibida, de conformidad con lo establecido en el artículo 1</w:t>
      </w:r>
      <w:r>
        <w:rPr>
          <w:rFonts w:ascii="Arial" w:hAnsi="Arial" w:cs="Arial"/>
          <w:lang w:val="es-CO"/>
        </w:rPr>
        <w:t>.3.1.8.3 del presente decreto.</w:t>
      </w:r>
    </w:p>
    <w:p w14:paraId="76502739" w14:textId="77777777" w:rsidR="00B2442D" w:rsidRDefault="00B2442D">
      <w:pPr>
        <w:jc w:val="both"/>
        <w:rPr>
          <w:rFonts w:ascii="Arial" w:hAnsi="Arial" w:cs="Arial"/>
          <w:lang w:val="es-CO"/>
        </w:rPr>
      </w:pPr>
    </w:p>
    <w:p w14:paraId="7BFDB2E9" w14:textId="77777777" w:rsidR="00B2442D" w:rsidRDefault="008A645F">
      <w:pPr>
        <w:jc w:val="both"/>
        <w:rPr>
          <w:rFonts w:ascii="Arial" w:hAnsi="Arial" w:cs="Arial"/>
          <w:lang w:val="es-CO"/>
        </w:rPr>
      </w:pPr>
      <w:r>
        <w:rPr>
          <w:rFonts w:ascii="Arial" w:hAnsi="Arial" w:cs="Arial"/>
          <w:lang w:val="es-CO"/>
        </w:rPr>
        <w:t>En consecuencia, en ningún caso dará derecho a descuento el impuesto sobre las ventas cancelado por los costos y gastos necesarios para la prestación de los servicios mencionados.</w:t>
      </w:r>
    </w:p>
    <w:p w14:paraId="4EC58290" w14:textId="77777777" w:rsidR="00B2442D" w:rsidRDefault="00B2442D">
      <w:pPr>
        <w:jc w:val="both"/>
        <w:rPr>
          <w:rFonts w:ascii="Arial" w:hAnsi="Arial" w:cs="Arial"/>
          <w:lang w:val="es-CO"/>
        </w:rPr>
      </w:pPr>
    </w:p>
    <w:p w14:paraId="0A2EBA23" w14:textId="77777777" w:rsidR="00B2442D" w:rsidRDefault="008A645F">
      <w:pPr>
        <w:jc w:val="both"/>
        <w:rPr>
          <w:rFonts w:ascii="Arial" w:hAnsi="Arial" w:cs="Arial"/>
          <w:i/>
          <w:lang w:val="es-CO"/>
        </w:rPr>
      </w:pPr>
      <w:r>
        <w:rPr>
          <w:rFonts w:ascii="Arial" w:hAnsi="Arial" w:cs="Arial"/>
          <w:i/>
          <w:lang w:val="es-CO"/>
        </w:rPr>
        <w:t>(Art. 21, Decreto 1794 de 2013)</w:t>
      </w:r>
    </w:p>
    <w:p w14:paraId="3DA792CD" w14:textId="77777777" w:rsidR="00B2442D" w:rsidRDefault="00B2442D">
      <w:pPr>
        <w:jc w:val="both"/>
        <w:rPr>
          <w:rFonts w:ascii="Arial" w:hAnsi="Arial" w:cs="Arial"/>
          <w:lang w:val="es-CO"/>
        </w:rPr>
      </w:pPr>
    </w:p>
    <w:p w14:paraId="60B7A441" w14:textId="77777777" w:rsidR="00B2442D" w:rsidRDefault="008A645F">
      <w:pPr>
        <w:pStyle w:val="Prrafodelista"/>
        <w:numPr>
          <w:ilvl w:val="0"/>
          <w:numId w:val="65"/>
        </w:numPr>
        <w:ind w:left="0" w:firstLine="0"/>
        <w:jc w:val="both"/>
        <w:rPr>
          <w:rFonts w:ascii="Arial" w:hAnsi="Arial" w:cs="Arial"/>
          <w:lang w:val="es-CO"/>
        </w:rPr>
      </w:pPr>
      <w:r>
        <w:rPr>
          <w:rFonts w:ascii="Arial" w:hAnsi="Arial" w:cs="Arial"/>
          <w:b/>
          <w:i/>
          <w:lang w:val="es-CO"/>
        </w:rPr>
        <w:t>Limitación</w:t>
      </w:r>
      <w:r>
        <w:rPr>
          <w:rFonts w:ascii="Arial" w:hAnsi="Arial" w:cs="Arial"/>
          <w:b/>
          <w:i/>
          <w:lang w:val="es-CO"/>
        </w:rPr>
        <w:t xml:space="preserve"> en impuestos descontables.</w:t>
      </w:r>
      <w:r>
        <w:rPr>
          <w:rFonts w:ascii="Arial" w:hAnsi="Arial" w:cs="Arial"/>
          <w:lang w:val="es-CO"/>
        </w:rPr>
        <w:t xml:space="preserve"> De conformidad con lo previsto en el numeral 4 del artículo 468-3 del Estatuto Tributario, los prestadores de los servicios expresamente señalados en dicho numeral, tienen derecho a descontar del impuesto generado por las operac</w:t>
      </w:r>
      <w:r>
        <w:rPr>
          <w:rFonts w:ascii="Arial" w:hAnsi="Arial" w:cs="Arial"/>
          <w:lang w:val="es-CO"/>
        </w:rPr>
        <w:t>iones gravadas, el IVA que les hubieren facturado por la adquisición de bienes corporales muebles y servicios, limitado a la tarifa a la que están gravados dichos servicios; el exceso, en caso de que exista, se llevará como un mayor valor del costo o gasto</w:t>
      </w:r>
      <w:r>
        <w:rPr>
          <w:rFonts w:ascii="Arial" w:hAnsi="Arial" w:cs="Arial"/>
          <w:lang w:val="es-CO"/>
        </w:rPr>
        <w:t xml:space="preserve"> respectivo.</w:t>
      </w:r>
    </w:p>
    <w:p w14:paraId="00252D08" w14:textId="77777777" w:rsidR="00B2442D" w:rsidRDefault="00B2442D">
      <w:pPr>
        <w:jc w:val="both"/>
        <w:rPr>
          <w:rFonts w:ascii="Arial" w:hAnsi="Arial" w:cs="Arial"/>
          <w:lang w:val="es-CO"/>
        </w:rPr>
      </w:pPr>
    </w:p>
    <w:p w14:paraId="2D3D3019" w14:textId="77777777" w:rsidR="00B2442D" w:rsidRDefault="008A645F">
      <w:pPr>
        <w:jc w:val="both"/>
        <w:rPr>
          <w:rFonts w:ascii="Arial" w:hAnsi="Arial" w:cs="Arial"/>
          <w:i/>
          <w:lang w:val="es-CO"/>
        </w:rPr>
      </w:pPr>
      <w:r>
        <w:rPr>
          <w:rFonts w:ascii="Arial" w:hAnsi="Arial" w:cs="Arial"/>
          <w:i/>
          <w:lang w:val="es-CO"/>
        </w:rPr>
        <w:t>(Art. 22, Decreto 1794 de 2013)</w:t>
      </w:r>
    </w:p>
    <w:p w14:paraId="1F6AFEA9" w14:textId="77777777" w:rsidR="00B2442D" w:rsidRDefault="00B2442D">
      <w:pPr>
        <w:jc w:val="both"/>
        <w:rPr>
          <w:rFonts w:ascii="Arial" w:hAnsi="Arial" w:cs="Arial"/>
          <w:lang w:val="es-CO"/>
        </w:rPr>
      </w:pPr>
    </w:p>
    <w:p w14:paraId="66B85782" w14:textId="77777777" w:rsidR="00B2442D" w:rsidRDefault="008A645F">
      <w:pPr>
        <w:pStyle w:val="Ttulo4"/>
      </w:pPr>
      <w:r>
        <w:t>CAPÍTULO 7</w:t>
      </w:r>
    </w:p>
    <w:p w14:paraId="49020652" w14:textId="77777777" w:rsidR="00B2442D" w:rsidRDefault="008A645F">
      <w:pPr>
        <w:pStyle w:val="Ttulo4"/>
        <w:rPr>
          <w:lang w:val="es-CO"/>
        </w:rPr>
      </w:pPr>
      <w:r>
        <w:t>Base gravable en el impuesto sobre las ventas - IVA</w:t>
      </w:r>
    </w:p>
    <w:p w14:paraId="6DB9476F" w14:textId="77777777" w:rsidR="00B2442D" w:rsidRDefault="00B2442D">
      <w:pPr>
        <w:jc w:val="both"/>
        <w:rPr>
          <w:rFonts w:ascii="Arial" w:hAnsi="Arial" w:cs="Arial"/>
          <w:lang w:val="es-CO"/>
        </w:rPr>
      </w:pPr>
    </w:p>
    <w:p w14:paraId="77F670BF"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Base gravable en arrendamiento de bienes corporales muebles.</w:t>
      </w:r>
      <w:r>
        <w:rPr>
          <w:rFonts w:ascii="Arial" w:hAnsi="Arial" w:cs="Arial"/>
          <w:lang w:val="es-CO"/>
        </w:rPr>
        <w:t xml:space="preserve"> En el caso del arrendamiento de bienes corporales muebles, el impuesto se generará en el momento de causación del canon correspondiente.</w:t>
      </w:r>
    </w:p>
    <w:p w14:paraId="4450404E" w14:textId="77777777" w:rsidR="00B2442D" w:rsidRDefault="00B2442D">
      <w:pPr>
        <w:jc w:val="both"/>
        <w:rPr>
          <w:rFonts w:ascii="Arial" w:hAnsi="Arial" w:cs="Arial"/>
          <w:lang w:val="es-CO"/>
        </w:rPr>
      </w:pPr>
    </w:p>
    <w:p w14:paraId="55BFBFFC" w14:textId="77777777" w:rsidR="00B2442D" w:rsidRDefault="008A645F">
      <w:pPr>
        <w:jc w:val="both"/>
        <w:rPr>
          <w:rFonts w:ascii="Arial" w:hAnsi="Arial" w:cs="Arial"/>
          <w:lang w:val="es-CO"/>
        </w:rPr>
      </w:pPr>
      <w:r>
        <w:rPr>
          <w:rFonts w:ascii="Arial" w:hAnsi="Arial" w:cs="Arial"/>
          <w:lang w:val="es-CO"/>
        </w:rPr>
        <w:t>La base gravable se determinará así:</w:t>
      </w:r>
    </w:p>
    <w:p w14:paraId="3835039C" w14:textId="77777777" w:rsidR="00B2442D" w:rsidRDefault="00B2442D">
      <w:pPr>
        <w:jc w:val="both"/>
        <w:rPr>
          <w:rFonts w:ascii="Arial" w:hAnsi="Arial" w:cs="Arial"/>
          <w:lang w:val="es-CO"/>
        </w:rPr>
      </w:pPr>
    </w:p>
    <w:p w14:paraId="64D84213" w14:textId="77777777" w:rsidR="00B2442D" w:rsidRDefault="008A645F">
      <w:pPr>
        <w:jc w:val="both"/>
        <w:rPr>
          <w:rFonts w:ascii="Arial" w:hAnsi="Arial" w:cs="Arial"/>
          <w:lang w:val="es-CO"/>
        </w:rPr>
      </w:pPr>
      <w:r>
        <w:rPr>
          <w:rFonts w:ascii="Arial" w:hAnsi="Arial" w:cs="Arial"/>
          <w:lang w:val="es-CO"/>
        </w:rPr>
        <w:t xml:space="preserve">En los demás casos de arrendamiento de bienes corporales muebles, se </w:t>
      </w:r>
      <w:r>
        <w:rPr>
          <w:rFonts w:ascii="Arial" w:hAnsi="Arial" w:cs="Arial"/>
          <w:lang w:val="es-CO"/>
        </w:rPr>
        <w:t>dividirá el costo del bien arrendado por mil ochocientos (1.800) y el resultado se restará del canon diario. La cifra que así se obtenga será la base gravable correspondiente al canon diario.</w:t>
      </w:r>
    </w:p>
    <w:p w14:paraId="576BBAE7" w14:textId="77777777" w:rsidR="00B2442D" w:rsidRDefault="00B2442D">
      <w:pPr>
        <w:jc w:val="both"/>
        <w:rPr>
          <w:rFonts w:ascii="Arial" w:hAnsi="Arial" w:cs="Arial"/>
          <w:i/>
          <w:lang w:val="es-CO"/>
        </w:rPr>
      </w:pPr>
    </w:p>
    <w:p w14:paraId="5AEE0E40" w14:textId="77777777" w:rsidR="00B2442D" w:rsidRDefault="008A645F">
      <w:pPr>
        <w:jc w:val="both"/>
        <w:rPr>
          <w:rFonts w:ascii="Arial" w:hAnsi="Arial" w:cs="Arial"/>
          <w:i/>
          <w:lang w:val="es-CO"/>
        </w:rPr>
      </w:pPr>
      <w:r>
        <w:rPr>
          <w:rFonts w:ascii="Arial" w:hAnsi="Arial" w:cs="Arial"/>
          <w:i/>
          <w:lang w:val="es-CO"/>
        </w:rPr>
        <w:t>(Art. 19, Decreto 570 de 1984. El art 19 se encuentra parcialme</w:t>
      </w:r>
      <w:r>
        <w:rPr>
          <w:rFonts w:ascii="Arial" w:hAnsi="Arial" w:cs="Arial"/>
          <w:i/>
          <w:lang w:val="es-CO"/>
        </w:rPr>
        <w:t>nte vigente. El inciso primero se encuentra vigente salvo la expresión “incluido el arrendamiento financiero (leasing)” que tiene decaimiento por la evolución legislativa (Artículo 476, numeral 3). Numeral 1 del inciso tiene decaimiento por la evolución no</w:t>
      </w:r>
      <w:r>
        <w:rPr>
          <w:rFonts w:ascii="Arial" w:hAnsi="Arial" w:cs="Arial"/>
          <w:i/>
          <w:lang w:val="es-CO"/>
        </w:rPr>
        <w:t>rmativa (Art. 25 de la Ley 6 de 1992 que modificó el literal b) del art. 420 del E. T.)</w:t>
      </w:r>
    </w:p>
    <w:p w14:paraId="79A5A163" w14:textId="77777777" w:rsidR="00B2442D" w:rsidRDefault="00B2442D">
      <w:pPr>
        <w:jc w:val="both"/>
        <w:rPr>
          <w:rFonts w:ascii="Arial" w:hAnsi="Arial" w:cs="Arial"/>
          <w:b/>
          <w:lang w:val="es-CO"/>
        </w:rPr>
      </w:pPr>
    </w:p>
    <w:p w14:paraId="622D41A2"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 xml:space="preserve">Vinculación económica. </w:t>
      </w:r>
      <w:r>
        <w:rPr>
          <w:rFonts w:ascii="Arial" w:hAnsi="Arial" w:cs="Arial"/>
          <w:lang w:val="es-CO"/>
        </w:rPr>
        <w:t>Para efectos de determinar la vinculación económica a que se refiere el artículo 7° del Decreto 3541 de 1983 (hoy artículo 449 del Estatuto Trib</w:t>
      </w:r>
      <w:r>
        <w:rPr>
          <w:rFonts w:ascii="Arial" w:hAnsi="Arial" w:cs="Arial"/>
          <w:lang w:val="es-CO"/>
        </w:rPr>
        <w:t>utario), se tomarán en cuenta los ingresos operacionales de la entidad financiera en el año gravable inmediatamente anterior.</w:t>
      </w:r>
    </w:p>
    <w:p w14:paraId="7D3BC8A0" w14:textId="77777777" w:rsidR="00B2442D" w:rsidRDefault="00B2442D">
      <w:pPr>
        <w:jc w:val="both"/>
        <w:rPr>
          <w:rFonts w:ascii="Arial" w:hAnsi="Arial" w:cs="Arial"/>
          <w:i/>
          <w:lang w:val="es-CO"/>
        </w:rPr>
      </w:pPr>
    </w:p>
    <w:p w14:paraId="798CAE16" w14:textId="77777777" w:rsidR="00B2442D" w:rsidRDefault="008A645F">
      <w:pPr>
        <w:jc w:val="both"/>
        <w:rPr>
          <w:rFonts w:ascii="Arial" w:hAnsi="Arial" w:cs="Arial"/>
          <w:i/>
          <w:lang w:val="es-CO"/>
        </w:rPr>
      </w:pPr>
      <w:r>
        <w:rPr>
          <w:rFonts w:ascii="Arial" w:hAnsi="Arial" w:cs="Arial"/>
          <w:i/>
          <w:lang w:val="es-CO"/>
        </w:rPr>
        <w:t>(Art. 23, Decreto 570 de 1984)</w:t>
      </w:r>
      <w:r>
        <w:rPr>
          <w:rFonts w:ascii="Arial" w:hAnsi="Arial" w:cs="Arial"/>
        </w:rPr>
        <w:t xml:space="preserve"> </w:t>
      </w:r>
      <w:r>
        <w:rPr>
          <w:rFonts w:ascii="Arial" w:hAnsi="Arial" w:cs="Arial"/>
          <w:i/>
          <w:lang w:val="es-CO"/>
        </w:rPr>
        <w:t xml:space="preserve">(Decreto 570 de 1984 rige a partir del 1° de abril de 1984, salvo lo previsto en los artículos 31 </w:t>
      </w:r>
      <w:r>
        <w:rPr>
          <w:rFonts w:ascii="Arial" w:hAnsi="Arial" w:cs="Arial"/>
          <w:i/>
          <w:lang w:val="es-CO"/>
        </w:rPr>
        <w:t>y 32, con relación a los cuales rige a partir de la fecha de su expedición. Art. 37, Decreto 570 de 1984)</w:t>
      </w:r>
    </w:p>
    <w:p w14:paraId="24FF8DE3" w14:textId="77777777" w:rsidR="00B2442D" w:rsidRDefault="00B2442D">
      <w:pPr>
        <w:jc w:val="both"/>
        <w:rPr>
          <w:rFonts w:ascii="Arial" w:hAnsi="Arial" w:cs="Arial"/>
          <w:i/>
          <w:lang w:val="es-CO"/>
        </w:rPr>
      </w:pPr>
    </w:p>
    <w:p w14:paraId="7AF2F5BC"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Operaciones gravadas que no generan vinculación económica.</w:t>
      </w:r>
      <w:r>
        <w:rPr>
          <w:rFonts w:ascii="Arial" w:hAnsi="Arial" w:cs="Arial"/>
          <w:lang w:val="es-CO"/>
        </w:rPr>
        <w:t xml:space="preserve"> Las operaciones gravadas que realicen los responsables del impuesto con entidades de derec</w:t>
      </w:r>
      <w:r>
        <w:rPr>
          <w:rFonts w:ascii="Arial" w:hAnsi="Arial" w:cs="Arial"/>
          <w:lang w:val="es-CO"/>
        </w:rPr>
        <w:t>ho público o con empresas industriales y comerciales del Estado, por su naturaleza, no generan vinculación económica.</w:t>
      </w:r>
    </w:p>
    <w:p w14:paraId="55CA16F2" w14:textId="77777777" w:rsidR="00B2442D" w:rsidRDefault="00B2442D">
      <w:pPr>
        <w:jc w:val="both"/>
        <w:rPr>
          <w:rFonts w:ascii="Arial" w:hAnsi="Arial" w:cs="Arial"/>
          <w:i/>
          <w:lang w:val="es-CO"/>
        </w:rPr>
      </w:pPr>
    </w:p>
    <w:p w14:paraId="44DF2040" w14:textId="77777777" w:rsidR="00B2442D" w:rsidRDefault="008A645F">
      <w:pPr>
        <w:jc w:val="both"/>
        <w:rPr>
          <w:rFonts w:ascii="Arial" w:hAnsi="Arial" w:cs="Arial"/>
          <w:i/>
          <w:lang w:val="es-CO"/>
        </w:rPr>
      </w:pPr>
      <w:r>
        <w:rPr>
          <w:rFonts w:ascii="Arial" w:hAnsi="Arial" w:cs="Arial"/>
          <w:i/>
          <w:lang w:val="es-CO"/>
        </w:rPr>
        <w:t>(Art. 24, Decreto 570 de 1984)</w:t>
      </w:r>
      <w:r>
        <w:rPr>
          <w:rFonts w:ascii="Arial" w:hAnsi="Arial" w:cs="Arial"/>
        </w:rPr>
        <w:t xml:space="preserve"> </w:t>
      </w:r>
      <w:r>
        <w:rPr>
          <w:rFonts w:ascii="Arial" w:hAnsi="Arial" w:cs="Arial"/>
          <w:i/>
          <w:lang w:val="es-CO"/>
        </w:rPr>
        <w:t>(Decreto 570 de 1984 rige a partir del 1° de abril de 1984, salvo lo previsto en los artículos 31 y 32, co</w:t>
      </w:r>
      <w:r>
        <w:rPr>
          <w:rFonts w:ascii="Arial" w:hAnsi="Arial" w:cs="Arial"/>
          <w:i/>
          <w:lang w:val="es-CO"/>
        </w:rPr>
        <w:t>n relación a los cuales rige a partir de la fecha de su expedición. Art. 37, Decreto 570 de 1984)</w:t>
      </w:r>
    </w:p>
    <w:p w14:paraId="3EE50507" w14:textId="77777777" w:rsidR="00B2442D" w:rsidRDefault="00B2442D">
      <w:pPr>
        <w:jc w:val="both"/>
        <w:rPr>
          <w:rFonts w:ascii="Arial" w:hAnsi="Arial" w:cs="Arial"/>
          <w:lang w:val="es-CO"/>
        </w:rPr>
      </w:pPr>
    </w:p>
    <w:p w14:paraId="72FEA5D9"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Base gravable en la instalación.</w:t>
      </w:r>
      <w:r>
        <w:rPr>
          <w:rFonts w:ascii="Arial" w:hAnsi="Arial" w:cs="Arial"/>
          <w:lang w:val="es-CO"/>
        </w:rPr>
        <w:t xml:space="preserve"> La instalación forma parte de la base gravable, cuando la efectúe el productor o vendedor del bien, por su cuenta, o por cue</w:t>
      </w:r>
      <w:r>
        <w:rPr>
          <w:rFonts w:ascii="Arial" w:hAnsi="Arial" w:cs="Arial"/>
          <w:lang w:val="es-CO"/>
        </w:rPr>
        <w:t>nta del adquirente o usuario</w:t>
      </w:r>
    </w:p>
    <w:p w14:paraId="2E2D5A89" w14:textId="77777777" w:rsidR="00B2442D" w:rsidRDefault="00B2442D">
      <w:pPr>
        <w:jc w:val="both"/>
        <w:rPr>
          <w:rFonts w:ascii="Arial" w:hAnsi="Arial" w:cs="Arial"/>
          <w:i/>
          <w:lang w:val="es-CO"/>
        </w:rPr>
      </w:pPr>
    </w:p>
    <w:p w14:paraId="1CF71868" w14:textId="77777777" w:rsidR="00B2442D" w:rsidRDefault="008A645F">
      <w:pPr>
        <w:jc w:val="both"/>
        <w:rPr>
          <w:rFonts w:ascii="Arial" w:hAnsi="Arial" w:cs="Arial"/>
          <w:i/>
          <w:lang w:val="es-CO"/>
        </w:rPr>
      </w:pPr>
      <w:r>
        <w:rPr>
          <w:rFonts w:ascii="Arial" w:hAnsi="Arial" w:cs="Arial"/>
          <w:i/>
          <w:lang w:val="es-CO"/>
        </w:rPr>
        <w:t>(Art. 29, Decreto 570 de 1984, modificado por el art. 28 del Decreto 1813 de 1984)</w:t>
      </w:r>
      <w:r>
        <w:rPr>
          <w:rFonts w:ascii="Arial" w:hAnsi="Arial" w:cs="Arial"/>
        </w:rPr>
        <w:t xml:space="preserve"> </w:t>
      </w:r>
      <w:r>
        <w:rPr>
          <w:rFonts w:ascii="Arial" w:hAnsi="Arial" w:cs="Arial"/>
          <w:i/>
          <w:lang w:val="es-CO"/>
        </w:rPr>
        <w:t>(Decreto 570 de 1984 rige a partir del 1° de abril de 1984, salvo lo previsto en los artículos 31 y 32, con relación a los cuales rige a partir</w:t>
      </w:r>
      <w:r>
        <w:rPr>
          <w:rFonts w:ascii="Arial" w:hAnsi="Arial" w:cs="Arial"/>
          <w:i/>
          <w:lang w:val="es-CO"/>
        </w:rPr>
        <w:t xml:space="preserve"> de la fecha de su expedición. Art. 37, Decreto 570 de 1984)</w:t>
      </w:r>
    </w:p>
    <w:p w14:paraId="4E701111" w14:textId="77777777" w:rsidR="00B2442D" w:rsidRDefault="00B2442D">
      <w:pPr>
        <w:jc w:val="both"/>
        <w:rPr>
          <w:rFonts w:ascii="Arial" w:hAnsi="Arial" w:cs="Arial"/>
          <w:lang w:val="es-CO"/>
        </w:rPr>
      </w:pPr>
    </w:p>
    <w:p w14:paraId="3C4B975C"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Base gravable y tarifa en moteles, amoblados o similares.</w:t>
      </w:r>
      <w:r>
        <w:rPr>
          <w:rFonts w:ascii="Arial" w:hAnsi="Arial" w:cs="Arial"/>
          <w:lang w:val="es-CO"/>
        </w:rPr>
        <w:t xml:space="preserve"> En el servicio de moteles, amoblados y similares, la base gravable la constituye el valor total del servicio y sobre la misma se aplica </w:t>
      </w:r>
      <w:r>
        <w:rPr>
          <w:rFonts w:ascii="Arial" w:hAnsi="Arial" w:cs="Arial"/>
          <w:lang w:val="es-CO"/>
        </w:rPr>
        <w:t>la tarifa del doce por ciento (12%) (hoy diez y seis por ciento 16%).</w:t>
      </w:r>
    </w:p>
    <w:p w14:paraId="3AFA8AA0" w14:textId="77777777" w:rsidR="00B2442D" w:rsidRDefault="00B2442D">
      <w:pPr>
        <w:jc w:val="both"/>
        <w:rPr>
          <w:rFonts w:ascii="Arial" w:hAnsi="Arial" w:cs="Arial"/>
          <w:i/>
          <w:lang w:val="es-CO"/>
        </w:rPr>
      </w:pPr>
    </w:p>
    <w:p w14:paraId="38A4ECAC" w14:textId="77777777" w:rsidR="00B2442D" w:rsidRDefault="008A645F">
      <w:pPr>
        <w:jc w:val="both"/>
        <w:rPr>
          <w:rFonts w:ascii="Arial" w:hAnsi="Arial" w:cs="Arial"/>
          <w:i/>
          <w:lang w:val="es-CO"/>
        </w:rPr>
      </w:pPr>
      <w:r>
        <w:rPr>
          <w:rFonts w:ascii="Arial" w:hAnsi="Arial" w:cs="Arial"/>
          <w:i/>
          <w:lang w:val="es-CO"/>
        </w:rPr>
        <w:t>(Art. 19, Decreto 0422 de 1991, se actualiza la tarifa de conformidad con el artículo 468 del Estatuto Tributario)</w:t>
      </w:r>
    </w:p>
    <w:p w14:paraId="2A186671" w14:textId="77777777" w:rsidR="00B2442D" w:rsidRDefault="00B2442D">
      <w:pPr>
        <w:jc w:val="both"/>
        <w:rPr>
          <w:rFonts w:ascii="Arial" w:hAnsi="Arial" w:cs="Arial"/>
          <w:i/>
          <w:lang w:val="es-CO"/>
        </w:rPr>
      </w:pPr>
    </w:p>
    <w:p w14:paraId="051EBC5E"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Base gravable en los servicios.</w:t>
      </w:r>
      <w:r>
        <w:rPr>
          <w:rFonts w:ascii="Arial" w:hAnsi="Arial" w:cs="Arial"/>
          <w:lang w:val="es-CO"/>
        </w:rPr>
        <w:t xml:space="preserve"> Salvo las normas especiales consagrad</w:t>
      </w:r>
      <w:r>
        <w:rPr>
          <w:rFonts w:ascii="Arial" w:hAnsi="Arial" w:cs="Arial"/>
          <w:lang w:val="es-CO"/>
        </w:rPr>
        <w:t xml:space="preserve">as en el Estatuto Tributario para algunos servicios y conforme con lo señalado en el artículo 447 del mismo Estatuto, la base gravable en la prestación de servicios será en cada operación el valor total de la remuneración que perciba el responsable por el </w:t>
      </w:r>
      <w:r>
        <w:rPr>
          <w:rFonts w:ascii="Arial" w:hAnsi="Arial" w:cs="Arial"/>
          <w:lang w:val="es-CO"/>
        </w:rPr>
        <w:t>servicio prestado, independientemente de su denominación.</w:t>
      </w:r>
    </w:p>
    <w:p w14:paraId="072D2849" w14:textId="77777777" w:rsidR="00B2442D" w:rsidRDefault="00B2442D">
      <w:pPr>
        <w:jc w:val="both"/>
        <w:rPr>
          <w:rFonts w:ascii="Arial" w:hAnsi="Arial" w:cs="Arial"/>
          <w:i/>
          <w:lang w:val="es-CO"/>
        </w:rPr>
      </w:pPr>
    </w:p>
    <w:p w14:paraId="6A6F2C98" w14:textId="77777777" w:rsidR="00B2442D" w:rsidRDefault="008A645F">
      <w:pPr>
        <w:jc w:val="both"/>
        <w:rPr>
          <w:rFonts w:ascii="Arial" w:hAnsi="Arial" w:cs="Arial"/>
          <w:i/>
          <w:lang w:val="es-CO"/>
        </w:rPr>
      </w:pPr>
      <w:r>
        <w:rPr>
          <w:rFonts w:ascii="Arial" w:hAnsi="Arial" w:cs="Arial"/>
          <w:i/>
          <w:lang w:val="es-CO"/>
        </w:rPr>
        <w:t>(Art. 2, Decreto 1107 de 1992)</w:t>
      </w:r>
    </w:p>
    <w:p w14:paraId="460EA646" w14:textId="77777777" w:rsidR="00B2442D" w:rsidRDefault="00B2442D">
      <w:pPr>
        <w:jc w:val="both"/>
        <w:rPr>
          <w:rFonts w:ascii="Arial" w:hAnsi="Arial" w:cs="Arial"/>
          <w:lang w:val="es-CO"/>
        </w:rPr>
      </w:pPr>
    </w:p>
    <w:p w14:paraId="3B0DAA37"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Conceptos comprendidos en intereses por operaciones de crédito.</w:t>
      </w:r>
      <w:r>
        <w:rPr>
          <w:rFonts w:ascii="Arial" w:hAnsi="Arial" w:cs="Arial"/>
          <w:lang w:val="es-CO"/>
        </w:rPr>
        <w:t xml:space="preserve"> Para efectos de lo previsto en el numeral 3° del artículo 476 del Estatuto Tributario, dentro del con</w:t>
      </w:r>
      <w:r>
        <w:rPr>
          <w:rFonts w:ascii="Arial" w:hAnsi="Arial" w:cs="Arial"/>
          <w:lang w:val="es-CO"/>
        </w:rPr>
        <w:t xml:space="preserve">cepto de intereses por operaciones de crédito quedan comprendidos los rendimientos financieros derivados de operaciones de descuento, redescuento, </w:t>
      </w:r>
      <w:r>
        <w:rPr>
          <w:rFonts w:ascii="Arial" w:hAnsi="Arial" w:cs="Arial"/>
          <w:i/>
          <w:lang w:val="es-CO"/>
        </w:rPr>
        <w:t>factoring</w:t>
      </w:r>
      <w:r>
        <w:rPr>
          <w:rFonts w:ascii="Arial" w:hAnsi="Arial" w:cs="Arial"/>
          <w:lang w:val="es-CO"/>
        </w:rPr>
        <w:t xml:space="preserve">, crédito interbancario y reporte de cartera o inversiones. </w:t>
      </w:r>
    </w:p>
    <w:p w14:paraId="1647D135" w14:textId="77777777" w:rsidR="00B2442D" w:rsidRDefault="008A645F">
      <w:pPr>
        <w:jc w:val="both"/>
        <w:rPr>
          <w:rFonts w:ascii="Arial" w:hAnsi="Arial" w:cs="Arial"/>
          <w:lang w:val="es-CO"/>
        </w:rPr>
      </w:pPr>
      <w:r>
        <w:rPr>
          <w:rFonts w:ascii="Arial" w:hAnsi="Arial" w:cs="Arial"/>
          <w:lang w:val="es-CO"/>
        </w:rPr>
        <w:t xml:space="preserve"> </w:t>
      </w:r>
    </w:p>
    <w:p w14:paraId="5C318DD5" w14:textId="77777777" w:rsidR="00B2442D" w:rsidRDefault="008A645F">
      <w:pPr>
        <w:jc w:val="both"/>
        <w:rPr>
          <w:rFonts w:ascii="Arial" w:hAnsi="Arial" w:cs="Arial"/>
          <w:lang w:val="es-CO"/>
        </w:rPr>
      </w:pPr>
      <w:r>
        <w:rPr>
          <w:rFonts w:ascii="Arial" w:hAnsi="Arial" w:cs="Arial"/>
          <w:lang w:val="es-CO"/>
        </w:rPr>
        <w:t xml:space="preserve">Las comisiones que se </w:t>
      </w:r>
      <w:r>
        <w:rPr>
          <w:rFonts w:ascii="Arial" w:hAnsi="Arial" w:cs="Arial"/>
          <w:lang w:val="es-CO"/>
        </w:rPr>
        <w:t>obtengan por la gestión de estos negocios estarán gravadas con el Impuesto sobre las Ventas.</w:t>
      </w:r>
    </w:p>
    <w:p w14:paraId="741B0B54" w14:textId="77777777" w:rsidR="00B2442D" w:rsidRDefault="00B2442D">
      <w:pPr>
        <w:jc w:val="both"/>
        <w:rPr>
          <w:rFonts w:ascii="Arial" w:hAnsi="Arial" w:cs="Arial"/>
          <w:i/>
          <w:lang w:val="es-CO"/>
        </w:rPr>
      </w:pPr>
    </w:p>
    <w:p w14:paraId="4C8E8562" w14:textId="77777777" w:rsidR="00B2442D" w:rsidRDefault="008A645F">
      <w:pPr>
        <w:jc w:val="both"/>
        <w:rPr>
          <w:rFonts w:ascii="Arial" w:hAnsi="Arial" w:cs="Arial"/>
          <w:i/>
          <w:lang w:val="es-CO"/>
        </w:rPr>
      </w:pPr>
      <w:r>
        <w:rPr>
          <w:rFonts w:ascii="Arial" w:hAnsi="Arial" w:cs="Arial"/>
          <w:i/>
          <w:lang w:val="es-CO"/>
        </w:rPr>
        <w:t>(Art. 4, Decreto 1107 de 1992, lo referido a la Unidad de Poder Adquisitivo Constante – UPAC - no está vigente según sentencia C-700/99, Corte Constitucional.)</w:t>
      </w:r>
    </w:p>
    <w:p w14:paraId="129FE1C9" w14:textId="77777777" w:rsidR="00B2442D" w:rsidRDefault="00B2442D">
      <w:pPr>
        <w:jc w:val="both"/>
        <w:rPr>
          <w:rFonts w:ascii="Arial" w:hAnsi="Arial" w:cs="Arial"/>
          <w:lang w:val="es-CO"/>
        </w:rPr>
      </w:pPr>
    </w:p>
    <w:p w14:paraId="1AA5A60D"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D</w:t>
      </w:r>
      <w:r>
        <w:rPr>
          <w:rFonts w:ascii="Arial" w:hAnsi="Arial" w:cs="Arial"/>
          <w:b/>
          <w:i/>
          <w:lang w:val="es-CO"/>
        </w:rPr>
        <w:t>ocumento soporte de impuestos descontables por IVA pagado por los servicios financieros.</w:t>
      </w:r>
      <w:r>
        <w:rPr>
          <w:rFonts w:ascii="Arial" w:hAnsi="Arial" w:cs="Arial"/>
          <w:lang w:val="es-CO"/>
        </w:rPr>
        <w:t xml:space="preserve"> Para efectos de soportar el impuesto descontable por concepto del impuesto sobre las ventas pagado por los servicios financieros gravados, los responsables de estos se</w:t>
      </w:r>
      <w:r>
        <w:rPr>
          <w:rFonts w:ascii="Arial" w:hAnsi="Arial" w:cs="Arial"/>
          <w:lang w:val="es-CO"/>
        </w:rPr>
        <w:t>rvicios deberán discriminar dicho impuesto, cuando el usuario así lo solicite, en forma global dentro del extracto periódico que se le expida o en el comprobante de la respectiva operación, cuando sea del caso.</w:t>
      </w:r>
    </w:p>
    <w:p w14:paraId="5FE005E1" w14:textId="77777777" w:rsidR="00B2442D" w:rsidRDefault="00B2442D">
      <w:pPr>
        <w:jc w:val="both"/>
        <w:rPr>
          <w:rFonts w:ascii="Arial" w:hAnsi="Arial" w:cs="Arial"/>
          <w:i/>
          <w:lang w:val="es-CO"/>
        </w:rPr>
      </w:pPr>
    </w:p>
    <w:p w14:paraId="304E7BAE" w14:textId="77777777" w:rsidR="00B2442D" w:rsidRDefault="008A645F">
      <w:pPr>
        <w:jc w:val="both"/>
        <w:rPr>
          <w:rFonts w:ascii="Arial" w:hAnsi="Arial" w:cs="Arial"/>
          <w:i/>
          <w:lang w:val="es-CO"/>
        </w:rPr>
      </w:pPr>
      <w:r>
        <w:rPr>
          <w:rFonts w:ascii="Arial" w:hAnsi="Arial" w:cs="Arial"/>
          <w:i/>
          <w:lang w:val="es-CO"/>
        </w:rPr>
        <w:t>(Art. 6, Decreto 1107 de 1992)</w:t>
      </w:r>
    </w:p>
    <w:p w14:paraId="4DEB8E1D" w14:textId="77777777" w:rsidR="00B2442D" w:rsidRDefault="00B2442D">
      <w:pPr>
        <w:jc w:val="both"/>
        <w:rPr>
          <w:rFonts w:ascii="Arial" w:hAnsi="Arial" w:cs="Arial"/>
          <w:b/>
          <w:lang w:val="es-CO"/>
        </w:rPr>
      </w:pPr>
    </w:p>
    <w:p w14:paraId="60B7C873"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Impuesto sob</w:t>
      </w:r>
      <w:r>
        <w:rPr>
          <w:rFonts w:ascii="Arial" w:hAnsi="Arial" w:cs="Arial"/>
          <w:b/>
          <w:i/>
          <w:lang w:val="es-CO"/>
        </w:rPr>
        <w:t>re las ventas en los contratos de construcción de bien inmueble.</w:t>
      </w:r>
      <w:r>
        <w:rPr>
          <w:rFonts w:ascii="Arial" w:hAnsi="Arial" w:cs="Arial"/>
          <w:lang w:val="es-CO"/>
        </w:rPr>
        <w:t xml:space="preserve"> En los contratos de construcción de bien inmueble, el impuesto sobre las ventas se genera sobre la parte de los ingresos correspondiente a los honorarios obtenidos por el constructor. Cuando </w:t>
      </w:r>
      <w:r>
        <w:rPr>
          <w:rFonts w:ascii="Arial" w:hAnsi="Arial" w:cs="Arial"/>
          <w:lang w:val="es-CO"/>
        </w:rPr>
        <w:t>no se pacten honorarios el impuesto se causará sobre la remuneración del servicio que corresponda a la utilidad del constructor. Para estos efectos, en el respectivo contrato se señalará la parte correspondiente a los honorarios o utilidad, la cual en ning</w:t>
      </w:r>
      <w:r>
        <w:rPr>
          <w:rFonts w:ascii="Arial" w:hAnsi="Arial" w:cs="Arial"/>
          <w:lang w:val="es-CO"/>
        </w:rPr>
        <w:t xml:space="preserve">ún caso podrá ser inferior a la que comercialmente corresponda a contratos iguales o similares. </w:t>
      </w:r>
    </w:p>
    <w:p w14:paraId="0591BC6C" w14:textId="77777777" w:rsidR="00B2442D" w:rsidRDefault="008A645F">
      <w:pPr>
        <w:jc w:val="both"/>
        <w:rPr>
          <w:rFonts w:ascii="Arial" w:hAnsi="Arial" w:cs="Arial"/>
          <w:lang w:val="es-CO"/>
        </w:rPr>
      </w:pPr>
      <w:r>
        <w:rPr>
          <w:rFonts w:ascii="Arial" w:hAnsi="Arial" w:cs="Arial"/>
          <w:lang w:val="es-CO"/>
        </w:rPr>
        <w:t xml:space="preserve"> </w:t>
      </w:r>
    </w:p>
    <w:p w14:paraId="42F62A24" w14:textId="77777777" w:rsidR="00B2442D" w:rsidRDefault="008A645F">
      <w:pPr>
        <w:jc w:val="both"/>
        <w:rPr>
          <w:rFonts w:ascii="Arial" w:hAnsi="Arial" w:cs="Arial"/>
          <w:lang w:val="es-CO"/>
        </w:rPr>
      </w:pPr>
      <w:r>
        <w:rPr>
          <w:rFonts w:ascii="Arial" w:hAnsi="Arial" w:cs="Arial"/>
          <w:lang w:val="es-CO"/>
        </w:rPr>
        <w:t xml:space="preserve">En estos eventos, el responsable sólo podrá solicitar impuestos descontables por los gastos directamente relacionados con los honorarios percibidos o la </w:t>
      </w:r>
      <w:r>
        <w:rPr>
          <w:rFonts w:ascii="Arial" w:hAnsi="Arial" w:cs="Arial"/>
          <w:lang w:val="es-CO"/>
        </w:rPr>
        <w:t>utilidad obtenida, que constituyeron la base gravable del impuesto; en consecuencia, en ningún caso dará derecho a descuento el impuesto sobre las ventas cancelado por los costos y gastos necesarios para la construcción del bien inmueble.</w:t>
      </w:r>
    </w:p>
    <w:p w14:paraId="78BB75AD" w14:textId="77777777" w:rsidR="00B2442D" w:rsidRDefault="00B2442D">
      <w:pPr>
        <w:jc w:val="both"/>
        <w:rPr>
          <w:rFonts w:ascii="Arial" w:hAnsi="Arial" w:cs="Arial"/>
          <w:i/>
          <w:lang w:val="es-CO"/>
        </w:rPr>
      </w:pPr>
    </w:p>
    <w:p w14:paraId="4A9E5C71" w14:textId="77777777" w:rsidR="00B2442D" w:rsidRDefault="008A645F">
      <w:pPr>
        <w:jc w:val="both"/>
        <w:rPr>
          <w:rFonts w:ascii="Arial" w:hAnsi="Arial" w:cs="Arial"/>
          <w:lang w:val="es-CO"/>
        </w:rPr>
      </w:pPr>
      <w:r>
        <w:rPr>
          <w:rFonts w:ascii="Arial" w:hAnsi="Arial" w:cs="Arial"/>
          <w:i/>
          <w:lang w:val="es-CO"/>
        </w:rPr>
        <w:t>(Art. 3, Decreto</w:t>
      </w:r>
      <w:r>
        <w:rPr>
          <w:rFonts w:ascii="Arial" w:hAnsi="Arial" w:cs="Arial"/>
          <w:i/>
          <w:lang w:val="es-CO"/>
        </w:rPr>
        <w:t xml:space="preserve"> 1372 de 1992)</w:t>
      </w:r>
    </w:p>
    <w:p w14:paraId="384D38C9" w14:textId="77777777" w:rsidR="00B2442D" w:rsidRDefault="00B2442D">
      <w:pPr>
        <w:jc w:val="both"/>
        <w:rPr>
          <w:rFonts w:ascii="Arial" w:hAnsi="Arial" w:cs="Arial"/>
          <w:b/>
          <w:lang w:val="es-CO"/>
        </w:rPr>
      </w:pPr>
    </w:p>
    <w:p w14:paraId="058859C7"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 xml:space="preserve">Base gravable en los servicios notariales. </w:t>
      </w:r>
      <w:r>
        <w:rPr>
          <w:rFonts w:ascii="Arial" w:hAnsi="Arial" w:cs="Arial"/>
          <w:lang w:val="es-CO"/>
        </w:rPr>
        <w:t>La base gravable en la prestación de los servicios notariales estará conformada en cada operación por el valor total de la remuneración que reciba el responsable por la prestación del servicio.</w:t>
      </w:r>
    </w:p>
    <w:p w14:paraId="5AE8EA34" w14:textId="77777777" w:rsidR="00B2442D" w:rsidRDefault="00B2442D">
      <w:pPr>
        <w:jc w:val="both"/>
        <w:rPr>
          <w:rFonts w:ascii="Arial" w:hAnsi="Arial" w:cs="Arial"/>
          <w:i/>
          <w:lang w:val="es-CO"/>
        </w:rPr>
      </w:pPr>
    </w:p>
    <w:p w14:paraId="346DAE99" w14:textId="77777777" w:rsidR="00B2442D" w:rsidRDefault="008A645F">
      <w:pPr>
        <w:jc w:val="both"/>
        <w:rPr>
          <w:rFonts w:ascii="Arial" w:hAnsi="Arial" w:cs="Arial"/>
          <w:i/>
          <w:lang w:val="es-CO"/>
        </w:rPr>
      </w:pPr>
      <w:r>
        <w:rPr>
          <w:rFonts w:ascii="Arial" w:hAnsi="Arial" w:cs="Arial"/>
          <w:i/>
          <w:lang w:val="es-CO"/>
        </w:rPr>
        <w:t>(A</w:t>
      </w:r>
      <w:r>
        <w:rPr>
          <w:rFonts w:ascii="Arial" w:hAnsi="Arial" w:cs="Arial"/>
          <w:i/>
          <w:lang w:val="es-CO"/>
        </w:rPr>
        <w:t>rt. 17, Decreto 2076 de 1992)</w:t>
      </w:r>
    </w:p>
    <w:p w14:paraId="6ECFF806" w14:textId="77777777" w:rsidR="00B2442D" w:rsidRDefault="00B2442D">
      <w:pPr>
        <w:jc w:val="both"/>
        <w:rPr>
          <w:rFonts w:ascii="Arial" w:hAnsi="Arial" w:cs="Arial"/>
          <w:i/>
          <w:lang w:val="es-CO"/>
        </w:rPr>
      </w:pPr>
    </w:p>
    <w:p w14:paraId="3B6AF338"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Liquidación del impuesto en la prestación de servicios notariales.</w:t>
      </w:r>
      <w:r>
        <w:rPr>
          <w:rFonts w:ascii="Arial" w:hAnsi="Arial" w:cs="Arial"/>
          <w:lang w:val="es-CO"/>
        </w:rPr>
        <w:t xml:space="preserve"> Para la liquidación del impuesto se excluirán del valor de la remuneración los valores que correspondan a recaudos recibidos para terceros y los valores relac</w:t>
      </w:r>
      <w:r>
        <w:rPr>
          <w:rFonts w:ascii="Arial" w:hAnsi="Arial" w:cs="Arial"/>
          <w:lang w:val="es-CO"/>
        </w:rPr>
        <w:t>ionados con los documentos o certificados del Registro Civil.</w:t>
      </w:r>
    </w:p>
    <w:p w14:paraId="11017AB2" w14:textId="77777777" w:rsidR="00B2442D" w:rsidRDefault="00B2442D">
      <w:pPr>
        <w:jc w:val="both"/>
        <w:rPr>
          <w:rFonts w:ascii="Arial" w:hAnsi="Arial" w:cs="Arial"/>
          <w:i/>
          <w:lang w:val="es-CO"/>
        </w:rPr>
      </w:pPr>
    </w:p>
    <w:p w14:paraId="00CCBFDB" w14:textId="77777777" w:rsidR="00B2442D" w:rsidRDefault="008A645F">
      <w:pPr>
        <w:jc w:val="both"/>
        <w:rPr>
          <w:rFonts w:ascii="Arial" w:hAnsi="Arial" w:cs="Arial"/>
          <w:i/>
          <w:lang w:val="es-CO"/>
        </w:rPr>
      </w:pPr>
      <w:r>
        <w:rPr>
          <w:rFonts w:ascii="Arial" w:hAnsi="Arial" w:cs="Arial"/>
          <w:i/>
          <w:lang w:val="es-CO"/>
        </w:rPr>
        <w:t>(Art. 18,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w:t>
      </w:r>
      <w:r>
        <w:rPr>
          <w:rFonts w:ascii="Arial" w:hAnsi="Arial" w:cs="Arial"/>
          <w:i/>
          <w:lang w:val="es-CO"/>
        </w:rPr>
        <w:t>o 1372 de 1992, artículos 4° y 6° del Decreto 1250 de 1992, y el Decreto 2208 de 1991. Art. 44, Decreto 2076 de 1992)</w:t>
      </w:r>
    </w:p>
    <w:p w14:paraId="49E8E915" w14:textId="77777777" w:rsidR="00B2442D" w:rsidRDefault="00B2442D">
      <w:pPr>
        <w:jc w:val="both"/>
        <w:rPr>
          <w:rFonts w:ascii="Arial" w:hAnsi="Arial" w:cs="Arial"/>
          <w:b/>
          <w:lang w:val="es-CO"/>
        </w:rPr>
      </w:pPr>
    </w:p>
    <w:p w14:paraId="0742B123"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Base gravable del IVA en el servicio telefónico.</w:t>
      </w:r>
      <w:r>
        <w:rPr>
          <w:rFonts w:ascii="Arial" w:hAnsi="Arial" w:cs="Arial"/>
          <w:lang w:val="es-CO"/>
        </w:rPr>
        <w:t xml:space="preserve">  Para efectos de lo previsto en el artículo 462 del Estatuto Tributario la base gravable</w:t>
      </w:r>
      <w:r>
        <w:rPr>
          <w:rFonts w:ascii="Arial" w:hAnsi="Arial" w:cs="Arial"/>
          <w:lang w:val="es-CO"/>
        </w:rPr>
        <w:t xml:space="preserve"> del impuesto sobre las ventas en el servicio telefónico será la señalada en el artículo 447 del Estatuto Tributario, teniendo en cuenta:</w:t>
      </w:r>
    </w:p>
    <w:p w14:paraId="249236E0" w14:textId="77777777" w:rsidR="00B2442D" w:rsidRDefault="00B2442D">
      <w:pPr>
        <w:jc w:val="both"/>
        <w:rPr>
          <w:rFonts w:ascii="Arial" w:hAnsi="Arial" w:cs="Arial"/>
          <w:lang w:val="es-CO"/>
        </w:rPr>
      </w:pPr>
    </w:p>
    <w:p w14:paraId="184FFAD5" w14:textId="77777777" w:rsidR="00B2442D" w:rsidRDefault="008A645F">
      <w:pPr>
        <w:jc w:val="both"/>
        <w:rPr>
          <w:rFonts w:ascii="Arial" w:hAnsi="Arial" w:cs="Arial"/>
          <w:lang w:val="es-CO"/>
        </w:rPr>
      </w:pPr>
      <w:r>
        <w:rPr>
          <w:rFonts w:ascii="Arial" w:hAnsi="Arial" w:cs="Arial"/>
          <w:lang w:val="es-CO"/>
        </w:rPr>
        <w:t>Para las empresas que emiten la factura al usuario final, el valor total de la operación facturada, independientement</w:t>
      </w:r>
      <w:r>
        <w:rPr>
          <w:rFonts w:ascii="Arial" w:hAnsi="Arial" w:cs="Arial"/>
          <w:lang w:val="es-CO"/>
        </w:rPr>
        <w:t>e de que comprenda o no servicios prestados por empresas que no facturan directamente a este.</w:t>
      </w:r>
    </w:p>
    <w:p w14:paraId="4F566D7B" w14:textId="77777777" w:rsidR="00B2442D" w:rsidRDefault="00B2442D">
      <w:pPr>
        <w:jc w:val="both"/>
        <w:rPr>
          <w:rFonts w:ascii="Arial" w:hAnsi="Arial" w:cs="Arial"/>
          <w:lang w:val="es-CO"/>
        </w:rPr>
      </w:pPr>
    </w:p>
    <w:p w14:paraId="41B2F90D" w14:textId="77777777" w:rsidR="00B2442D" w:rsidRDefault="008A645F">
      <w:pPr>
        <w:jc w:val="both"/>
        <w:rPr>
          <w:rFonts w:ascii="Arial" w:hAnsi="Arial" w:cs="Arial"/>
          <w:i/>
          <w:lang w:val="es-CO"/>
        </w:rPr>
      </w:pPr>
      <w:r>
        <w:rPr>
          <w:rFonts w:ascii="Arial" w:hAnsi="Arial" w:cs="Arial"/>
          <w:i/>
          <w:lang w:val="es-CO"/>
        </w:rPr>
        <w:t>(Art. 2, Decreto 1345 de 1999. Mediante sentencia del 11 de agosto de 2000 el Consejo de Estado Sección Cuarta, Expediente No. 11001-03-27-000-2000-0015-01 (1008</w:t>
      </w:r>
      <w:r>
        <w:rPr>
          <w:rFonts w:ascii="Arial" w:hAnsi="Arial" w:cs="Arial"/>
          <w:i/>
          <w:lang w:val="es-CO"/>
        </w:rPr>
        <w:t>6) declaró la nulidad del literal b) y del parágrafo)</w:t>
      </w:r>
    </w:p>
    <w:p w14:paraId="0A093ABF" w14:textId="77777777" w:rsidR="00B2442D" w:rsidRDefault="00B2442D">
      <w:pPr>
        <w:jc w:val="both"/>
        <w:rPr>
          <w:rFonts w:ascii="Arial" w:hAnsi="Arial" w:cs="Arial"/>
          <w:b/>
          <w:lang w:val="es-CO"/>
        </w:rPr>
      </w:pPr>
    </w:p>
    <w:p w14:paraId="1F1F6EC1"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 xml:space="preserve"> Base gravable en contratos en los cuales no se haya expresado cláusula AIU.</w:t>
      </w:r>
      <w:r>
        <w:rPr>
          <w:rFonts w:ascii="Arial" w:hAnsi="Arial" w:cs="Arial"/>
          <w:lang w:val="es-CO"/>
        </w:rPr>
        <w:t xml:space="preserve"> En la prestación de los servicios expresamente señalados en los artículos 462-1 y 468-3 numeral 4 del Estatuto Tributario, en los que no se hubiere establecido la cláusula AIU, o esta fuere inferior al diez por ciento (10%), la base gravable sobre la cual</w:t>
      </w:r>
      <w:r>
        <w:rPr>
          <w:rFonts w:ascii="Arial" w:hAnsi="Arial" w:cs="Arial"/>
          <w:lang w:val="es-CO"/>
        </w:rPr>
        <w:t xml:space="preserve"> se liquida el impuesto sobre las ventas será igual al diez por ciento (10%) del valor total del contrato o el diez por ciento (10%) del valor total de la remuneración percibida por la prestación del servicio, cuando no exista contrato.</w:t>
      </w:r>
    </w:p>
    <w:p w14:paraId="13E8B2E4" w14:textId="77777777" w:rsidR="00B2442D" w:rsidRDefault="00B2442D">
      <w:pPr>
        <w:jc w:val="both"/>
        <w:rPr>
          <w:rFonts w:ascii="Arial" w:hAnsi="Arial" w:cs="Arial"/>
          <w:lang w:val="es-CO"/>
        </w:rPr>
      </w:pPr>
    </w:p>
    <w:p w14:paraId="612380F6" w14:textId="77777777" w:rsidR="00B2442D" w:rsidRDefault="008A645F">
      <w:pPr>
        <w:jc w:val="both"/>
        <w:rPr>
          <w:rFonts w:ascii="Arial" w:hAnsi="Arial" w:cs="Arial"/>
          <w:i/>
          <w:lang w:val="es-CO"/>
        </w:rPr>
      </w:pPr>
      <w:r>
        <w:rPr>
          <w:rFonts w:ascii="Arial" w:hAnsi="Arial" w:cs="Arial"/>
          <w:i/>
          <w:lang w:val="es-CO"/>
        </w:rPr>
        <w:t xml:space="preserve">(Art. 11, Decreto </w:t>
      </w:r>
      <w:r>
        <w:rPr>
          <w:rFonts w:ascii="Arial" w:hAnsi="Arial" w:cs="Arial"/>
          <w:i/>
          <w:lang w:val="es-CO"/>
        </w:rPr>
        <w:t>1794 de 2013)</w:t>
      </w:r>
    </w:p>
    <w:p w14:paraId="2A1736AF" w14:textId="77777777" w:rsidR="00B2442D" w:rsidRDefault="00B2442D">
      <w:pPr>
        <w:jc w:val="both"/>
        <w:rPr>
          <w:rFonts w:ascii="Arial" w:hAnsi="Arial" w:cs="Arial"/>
          <w:i/>
          <w:lang w:val="es-CO"/>
        </w:rPr>
      </w:pPr>
    </w:p>
    <w:p w14:paraId="57999ED4" w14:textId="77777777" w:rsidR="00B2442D" w:rsidRDefault="008A645F">
      <w:pPr>
        <w:pStyle w:val="Prrafodelista"/>
        <w:numPr>
          <w:ilvl w:val="0"/>
          <w:numId w:val="66"/>
        </w:numPr>
        <w:ind w:left="0" w:firstLine="0"/>
        <w:jc w:val="both"/>
        <w:rPr>
          <w:rFonts w:ascii="Arial" w:hAnsi="Arial" w:cs="Arial"/>
          <w:lang w:val="es-CO"/>
        </w:rPr>
      </w:pPr>
      <w:r>
        <w:rPr>
          <w:rFonts w:ascii="Arial" w:hAnsi="Arial" w:cs="Arial"/>
          <w:b/>
          <w:i/>
          <w:lang w:val="es-CO"/>
        </w:rPr>
        <w:t>Servicios gravados con IVA que involucran utilización de inmuebles.</w:t>
      </w:r>
      <w:r>
        <w:rPr>
          <w:rFonts w:ascii="Arial" w:hAnsi="Arial" w:cs="Arial"/>
          <w:lang w:val="es-CO"/>
        </w:rPr>
        <w:t xml:space="preserve"> En los servicios gravados con el impuesto sobre las ventas que involucren la utilización de bienes inmuebles, la base gravable estará conformada por la totalidad de los ingr</w:t>
      </w:r>
      <w:r>
        <w:rPr>
          <w:rFonts w:ascii="Arial" w:hAnsi="Arial" w:cs="Arial"/>
          <w:lang w:val="es-CO"/>
        </w:rPr>
        <w:t>esos percibidos por el servicio, aun cuando se facturen en forma separada.</w:t>
      </w:r>
    </w:p>
    <w:p w14:paraId="3B6F2141" w14:textId="77777777" w:rsidR="00B2442D" w:rsidRDefault="00B2442D">
      <w:pPr>
        <w:jc w:val="both"/>
        <w:rPr>
          <w:rFonts w:ascii="Arial" w:hAnsi="Arial" w:cs="Arial"/>
          <w:i/>
          <w:lang w:val="es-CO"/>
        </w:rPr>
      </w:pPr>
    </w:p>
    <w:p w14:paraId="315B8638" w14:textId="77777777" w:rsidR="00B2442D" w:rsidRDefault="008A645F">
      <w:pPr>
        <w:jc w:val="both"/>
        <w:rPr>
          <w:rFonts w:ascii="Arial" w:hAnsi="Arial" w:cs="Arial"/>
          <w:lang w:val="es-CO"/>
        </w:rPr>
      </w:pPr>
      <w:r>
        <w:rPr>
          <w:rFonts w:ascii="Arial" w:hAnsi="Arial" w:cs="Arial"/>
          <w:i/>
          <w:lang w:val="es-CO"/>
        </w:rPr>
        <w:t>(Art. 8, Decreto 1372 de 1992)</w:t>
      </w:r>
    </w:p>
    <w:p w14:paraId="1F38D063" w14:textId="77777777" w:rsidR="00B2442D" w:rsidRDefault="00B2442D">
      <w:pPr>
        <w:jc w:val="both"/>
        <w:rPr>
          <w:rFonts w:ascii="Arial" w:hAnsi="Arial" w:cs="Arial"/>
          <w:lang w:val="es-CO"/>
        </w:rPr>
      </w:pPr>
    </w:p>
    <w:p w14:paraId="619F28B9" w14:textId="77777777" w:rsidR="00B2442D" w:rsidRDefault="008A645F">
      <w:pPr>
        <w:pStyle w:val="Ttulo4"/>
        <w:rPr>
          <w:lang w:val="es-CO"/>
        </w:rPr>
      </w:pPr>
      <w:r>
        <w:rPr>
          <w:lang w:val="es-CO"/>
        </w:rPr>
        <w:t>CAPÍTULO 8</w:t>
      </w:r>
    </w:p>
    <w:p w14:paraId="31EA3B57" w14:textId="77777777" w:rsidR="00B2442D" w:rsidRDefault="008A645F">
      <w:pPr>
        <w:pStyle w:val="Ttulo4"/>
        <w:rPr>
          <w:lang w:val="es-CO"/>
        </w:rPr>
      </w:pPr>
      <w:r>
        <w:rPr>
          <w:lang w:val="es-CO"/>
        </w:rPr>
        <w:t>Tarifas del impuesto sobre las ventas – IVA</w:t>
      </w:r>
    </w:p>
    <w:p w14:paraId="01F3554C" w14:textId="77777777" w:rsidR="00B2442D" w:rsidRDefault="00B2442D">
      <w:pPr>
        <w:rPr>
          <w:rFonts w:ascii="Arial" w:hAnsi="Arial" w:cs="Arial"/>
          <w:lang w:val="es-CO"/>
        </w:rPr>
      </w:pPr>
    </w:p>
    <w:p w14:paraId="6F1BEC2B" w14:textId="77777777" w:rsidR="00B2442D" w:rsidRDefault="008A645F">
      <w:pPr>
        <w:pStyle w:val="Prrafodelista"/>
        <w:numPr>
          <w:ilvl w:val="0"/>
          <w:numId w:val="67"/>
        </w:numPr>
        <w:ind w:left="0" w:firstLine="0"/>
        <w:jc w:val="both"/>
        <w:rPr>
          <w:rFonts w:ascii="Arial" w:hAnsi="Arial" w:cs="Arial"/>
          <w:lang w:val="es-CO"/>
        </w:rPr>
      </w:pPr>
      <w:r>
        <w:rPr>
          <w:rFonts w:ascii="Arial" w:hAnsi="Arial" w:cs="Arial"/>
          <w:b/>
          <w:i/>
          <w:lang w:val="es-CO"/>
        </w:rPr>
        <w:t>Impuesto sobre las ventas en la venta, importación y comercialización de cigarrillos y tabac</w:t>
      </w:r>
      <w:r>
        <w:rPr>
          <w:rFonts w:ascii="Arial" w:hAnsi="Arial" w:cs="Arial"/>
          <w:b/>
          <w:i/>
          <w:lang w:val="es-CO"/>
        </w:rPr>
        <w:t>o elaborado nacional y extranjero.</w:t>
      </w:r>
      <w:r>
        <w:rPr>
          <w:rFonts w:ascii="Arial" w:hAnsi="Arial" w:cs="Arial"/>
          <w:lang w:val="es-CO"/>
        </w:rPr>
        <w:t xml:space="preserve"> Cuando se trate de la venta, importación, distribución y comercialización de cigarrillos y tabaco elaborado nacional y extranjero, están gravadas a la tarifa general, las operaciones que realice tanto el productor como el</w:t>
      </w:r>
      <w:r>
        <w:rPr>
          <w:rFonts w:ascii="Arial" w:hAnsi="Arial" w:cs="Arial"/>
          <w:lang w:val="es-CO"/>
        </w:rPr>
        <w:t xml:space="preserve"> importador, distribuidor o comercializador de dichos productos.</w:t>
      </w:r>
    </w:p>
    <w:p w14:paraId="1D402A3B" w14:textId="77777777" w:rsidR="00B2442D" w:rsidRDefault="00B2442D">
      <w:pPr>
        <w:jc w:val="both"/>
        <w:rPr>
          <w:rFonts w:ascii="Arial" w:hAnsi="Arial" w:cs="Arial"/>
          <w:lang w:val="es-CO"/>
        </w:rPr>
      </w:pPr>
    </w:p>
    <w:p w14:paraId="41A0E689" w14:textId="77777777" w:rsidR="00B2442D" w:rsidRDefault="008A645F">
      <w:pPr>
        <w:jc w:val="both"/>
        <w:rPr>
          <w:rFonts w:ascii="Arial" w:hAnsi="Arial" w:cs="Arial"/>
          <w:lang w:val="es-CO"/>
        </w:rPr>
      </w:pPr>
      <w:r>
        <w:rPr>
          <w:rFonts w:ascii="Arial" w:hAnsi="Arial" w:cs="Arial"/>
          <w:lang w:val="es-CO"/>
        </w:rPr>
        <w:t>La base gravable sobre la cual se aplica la tarifa del impuesto sobre las ventas será el precio total de venta, de conformidad con lo previsto en el artículo 447 y siguientes del Estatuto Tr</w:t>
      </w:r>
      <w:r>
        <w:rPr>
          <w:rFonts w:ascii="Arial" w:hAnsi="Arial" w:cs="Arial"/>
          <w:lang w:val="es-CO"/>
        </w:rPr>
        <w:t>ibutario, excluyendo en todas las etapas el impuesto al consumo y el destinado al deporte que se encuentra incorporado en el mismo.</w:t>
      </w:r>
    </w:p>
    <w:p w14:paraId="54B8EC16" w14:textId="77777777" w:rsidR="00B2442D" w:rsidRDefault="00B2442D">
      <w:pPr>
        <w:jc w:val="both"/>
        <w:rPr>
          <w:rFonts w:ascii="Arial" w:hAnsi="Arial" w:cs="Arial"/>
          <w:lang w:val="es-CO"/>
        </w:rPr>
      </w:pPr>
    </w:p>
    <w:p w14:paraId="5545EB6C" w14:textId="77777777" w:rsidR="00B2442D" w:rsidRDefault="008A645F">
      <w:pPr>
        <w:jc w:val="both"/>
        <w:rPr>
          <w:rFonts w:ascii="Arial" w:hAnsi="Arial" w:cs="Arial"/>
          <w:lang w:val="es-CO"/>
        </w:rPr>
      </w:pPr>
      <w:r>
        <w:rPr>
          <w:rFonts w:ascii="Arial" w:hAnsi="Arial" w:cs="Arial"/>
          <w:lang w:val="es-CO"/>
        </w:rPr>
        <w:t xml:space="preserve">Contra el impuesto sobre las ventas generado podrán acreditarse los impuestos descontables originados en las adquisiciones </w:t>
      </w:r>
      <w:r>
        <w:rPr>
          <w:rFonts w:ascii="Arial" w:hAnsi="Arial" w:cs="Arial"/>
          <w:lang w:val="es-CO"/>
        </w:rPr>
        <w:t>de bienes corporales muebles y servicios, o por las importaciones, de acuerdo con lo señalado en los artículos 485 y siguientes del Estatuto Tributario.</w:t>
      </w:r>
    </w:p>
    <w:p w14:paraId="7665697E" w14:textId="77777777" w:rsidR="00B2442D" w:rsidRDefault="00B2442D">
      <w:pPr>
        <w:jc w:val="both"/>
        <w:rPr>
          <w:rFonts w:ascii="Arial" w:hAnsi="Arial" w:cs="Arial"/>
          <w:lang w:val="es-CO"/>
        </w:rPr>
      </w:pPr>
    </w:p>
    <w:p w14:paraId="2B8D101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impuesto al consumo y al deporte que se disminuye de la base gravable, es el pagado por </w:t>
      </w:r>
      <w:r>
        <w:rPr>
          <w:rFonts w:ascii="Arial" w:hAnsi="Arial" w:cs="Arial"/>
          <w:lang w:val="es-CO"/>
        </w:rPr>
        <w:t>el productor, el importador o el distribuidor cuando sea del caso.</w:t>
      </w:r>
    </w:p>
    <w:p w14:paraId="5DB026CA" w14:textId="77777777" w:rsidR="00B2442D" w:rsidRDefault="00B2442D">
      <w:pPr>
        <w:jc w:val="both"/>
        <w:rPr>
          <w:rFonts w:ascii="Arial" w:hAnsi="Arial" w:cs="Arial"/>
          <w:lang w:val="es-CO"/>
        </w:rPr>
      </w:pPr>
    </w:p>
    <w:p w14:paraId="49CCEFB2" w14:textId="77777777" w:rsidR="00B2442D" w:rsidRDefault="008A645F">
      <w:pPr>
        <w:jc w:val="both"/>
        <w:rPr>
          <w:rFonts w:ascii="Arial" w:hAnsi="Arial" w:cs="Arial"/>
          <w:i/>
          <w:lang w:val="es-CO"/>
        </w:rPr>
      </w:pPr>
      <w:r>
        <w:rPr>
          <w:rFonts w:ascii="Arial" w:hAnsi="Arial" w:cs="Arial"/>
          <w:i/>
          <w:lang w:val="es-CO"/>
        </w:rPr>
        <w:t>(Art. 5, Decreto 4650 de 2006)</w:t>
      </w:r>
      <w:r>
        <w:rPr>
          <w:rFonts w:ascii="Arial" w:hAnsi="Arial" w:cs="Arial"/>
        </w:rPr>
        <w:t xml:space="preserve"> (</w:t>
      </w:r>
      <w:r>
        <w:rPr>
          <w:rFonts w:ascii="Arial" w:hAnsi="Arial" w:cs="Arial"/>
          <w:i/>
          <w:lang w:val="es-CO"/>
        </w:rPr>
        <w:t xml:space="preserve">El Decreto 4650 de 2006 rige a partir del 1° de enero de 2007, previa su publicación y deroga las disposiciones que le sean contrarias, en especial el </w:t>
      </w:r>
      <w:r>
        <w:rPr>
          <w:rFonts w:ascii="Arial" w:hAnsi="Arial" w:cs="Arial"/>
          <w:i/>
          <w:lang w:val="es-CO"/>
        </w:rPr>
        <w:t>artículo 19 del Decreto 406 de 2001. Art. 6, Decreto 4650 de 2006)</w:t>
      </w:r>
    </w:p>
    <w:p w14:paraId="5614511C" w14:textId="77777777" w:rsidR="00B2442D" w:rsidRDefault="00B2442D">
      <w:pPr>
        <w:jc w:val="both"/>
        <w:rPr>
          <w:rFonts w:ascii="Arial" w:hAnsi="Arial" w:cs="Arial"/>
          <w:b/>
          <w:lang w:val="es-CO"/>
        </w:rPr>
      </w:pPr>
    </w:p>
    <w:p w14:paraId="64788A05" w14:textId="77777777" w:rsidR="00B2442D" w:rsidRDefault="008A645F">
      <w:pPr>
        <w:pStyle w:val="Prrafodelista"/>
        <w:numPr>
          <w:ilvl w:val="0"/>
          <w:numId w:val="67"/>
        </w:numPr>
        <w:ind w:left="0" w:firstLine="0"/>
        <w:jc w:val="both"/>
        <w:rPr>
          <w:rFonts w:ascii="Arial" w:hAnsi="Arial" w:cs="Arial"/>
          <w:lang w:val="es-CO"/>
        </w:rPr>
      </w:pPr>
      <w:r>
        <w:rPr>
          <w:rFonts w:ascii="Arial" w:hAnsi="Arial" w:cs="Arial"/>
          <w:b/>
          <w:i/>
          <w:lang w:val="es-CO"/>
        </w:rPr>
        <w:t>Tarifas de IVA en servicios de aseo e integrales de aseo y cafetería.</w:t>
      </w:r>
      <w:r>
        <w:rPr>
          <w:rFonts w:ascii="Arial" w:hAnsi="Arial" w:cs="Arial"/>
          <w:lang w:val="es-CO"/>
        </w:rPr>
        <w:t xml:space="preserve"> Tratándose de los servicios de aseo e integrales de aseo y cafetería, los mismos se encuentran gravados con el impuest</w:t>
      </w:r>
      <w:r>
        <w:rPr>
          <w:rFonts w:ascii="Arial" w:hAnsi="Arial" w:cs="Arial"/>
          <w:lang w:val="es-CO"/>
        </w:rPr>
        <w:t>o sobre las ventas a las siguientes tarifas:</w:t>
      </w:r>
    </w:p>
    <w:p w14:paraId="7F53BC67" w14:textId="77777777" w:rsidR="00B2442D" w:rsidRDefault="00B2442D">
      <w:pPr>
        <w:jc w:val="both"/>
        <w:rPr>
          <w:rFonts w:ascii="Arial" w:hAnsi="Arial" w:cs="Arial"/>
          <w:lang w:val="es-CO"/>
        </w:rPr>
      </w:pPr>
    </w:p>
    <w:p w14:paraId="4A6FAC69" w14:textId="77777777" w:rsidR="00B2442D" w:rsidRDefault="008A645F">
      <w:pPr>
        <w:jc w:val="both"/>
        <w:rPr>
          <w:rFonts w:ascii="Arial" w:hAnsi="Arial" w:cs="Arial"/>
          <w:lang w:val="es-CO"/>
        </w:rPr>
      </w:pPr>
      <w:r>
        <w:rPr>
          <w:rFonts w:ascii="Arial" w:hAnsi="Arial" w:cs="Arial"/>
          <w:lang w:val="es-CO"/>
        </w:rPr>
        <w:t xml:space="preserve">a) Tarifa del cinco por ciento (5%) sobre la parte correspondiente al AIU. Están sujetos a la presente tarifa y base gravable, los servidos de aseo prestados por personas jurídicas constituidas con ánimo de </w:t>
      </w:r>
      <w:r>
        <w:rPr>
          <w:rFonts w:ascii="Arial" w:hAnsi="Arial" w:cs="Arial"/>
          <w:lang w:val="es-CO"/>
        </w:rPr>
        <w:t>alteridad, bajo cualquier naturaleza jurídica de las previstas en el numeral 1 del artículo 19 del Estatuto Tributario, siempre que se cumplan las siguientes condiciones:</w:t>
      </w:r>
    </w:p>
    <w:p w14:paraId="39360EB0" w14:textId="77777777" w:rsidR="00B2442D" w:rsidRDefault="00B2442D">
      <w:pPr>
        <w:jc w:val="both"/>
        <w:rPr>
          <w:rFonts w:ascii="Arial" w:hAnsi="Arial" w:cs="Arial"/>
          <w:lang w:val="es-CO"/>
        </w:rPr>
      </w:pPr>
    </w:p>
    <w:p w14:paraId="69DE47E8"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Que el objeto social exclusivo del prestador del servicio corresponda a la prestac</w:t>
      </w:r>
      <w:r>
        <w:rPr>
          <w:rFonts w:ascii="Arial" w:hAnsi="Arial" w:cs="Arial"/>
          <w:lang w:val="es-CO"/>
        </w:rPr>
        <w:t>ión del servicio de aseo.</w:t>
      </w:r>
    </w:p>
    <w:p w14:paraId="0F79848C" w14:textId="77777777" w:rsidR="00B2442D" w:rsidRDefault="00B2442D">
      <w:pPr>
        <w:jc w:val="both"/>
        <w:rPr>
          <w:rFonts w:ascii="Arial" w:hAnsi="Arial" w:cs="Arial"/>
          <w:lang w:val="es-CO"/>
        </w:rPr>
      </w:pPr>
    </w:p>
    <w:p w14:paraId="43DEAC9A"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Que los servicios de aseo sean prestados exclusivamente mediante personas con discapacidad física o mental, en grados que permitan el adecuado desempeño de las labores asignadas.</w:t>
      </w:r>
    </w:p>
    <w:p w14:paraId="50905D32" w14:textId="77777777" w:rsidR="00B2442D" w:rsidRDefault="00B2442D">
      <w:pPr>
        <w:ind w:left="284" w:hanging="284"/>
        <w:jc w:val="both"/>
        <w:rPr>
          <w:rFonts w:ascii="Arial" w:hAnsi="Arial" w:cs="Arial"/>
          <w:lang w:val="es-CO"/>
        </w:rPr>
      </w:pPr>
    </w:p>
    <w:p w14:paraId="4D542B6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Que la discapacidad física o mental se encuen</w:t>
      </w:r>
      <w:r>
        <w:rPr>
          <w:rFonts w:ascii="Arial" w:hAnsi="Arial" w:cs="Arial"/>
          <w:lang w:val="es-CO"/>
        </w:rPr>
        <w:t>tre debidamente certificada por la Junta Regional y Nacional de Invalidez del Ministerio de Trabajo.</w:t>
      </w:r>
    </w:p>
    <w:p w14:paraId="3112830F" w14:textId="77777777" w:rsidR="00B2442D" w:rsidRDefault="00B2442D">
      <w:pPr>
        <w:ind w:left="284" w:hanging="284"/>
        <w:jc w:val="both"/>
        <w:rPr>
          <w:rFonts w:ascii="Arial" w:hAnsi="Arial" w:cs="Arial"/>
          <w:lang w:val="es-CO"/>
        </w:rPr>
      </w:pPr>
    </w:p>
    <w:p w14:paraId="2E3AB276" w14:textId="77777777" w:rsidR="00B2442D" w:rsidRDefault="008A645F">
      <w:pPr>
        <w:pStyle w:val="Prrafodelista"/>
        <w:numPr>
          <w:ilvl w:val="0"/>
          <w:numId w:val="11"/>
        </w:numPr>
        <w:ind w:left="284" w:hanging="284"/>
        <w:jc w:val="both"/>
        <w:rPr>
          <w:rFonts w:ascii="Arial" w:hAnsi="Arial" w:cs="Arial"/>
          <w:lang w:val="es-CO"/>
        </w:rPr>
      </w:pPr>
      <w:r>
        <w:rPr>
          <w:rFonts w:ascii="Arial" w:hAnsi="Arial" w:cs="Arial"/>
          <w:lang w:val="es-CO"/>
        </w:rPr>
        <w:t>Que los trabajadores se encuentren vinculados mediante contrato de trabajo, y la entidad cumpla con todas las obligaciones legales laborales y de segurida</w:t>
      </w:r>
      <w:r>
        <w:rPr>
          <w:rFonts w:ascii="Arial" w:hAnsi="Arial" w:cs="Arial"/>
          <w:lang w:val="es-CO"/>
        </w:rPr>
        <w:t>d social;</w:t>
      </w:r>
    </w:p>
    <w:p w14:paraId="1CDD34CF" w14:textId="77777777" w:rsidR="00B2442D" w:rsidRDefault="00B2442D">
      <w:pPr>
        <w:jc w:val="both"/>
        <w:rPr>
          <w:rFonts w:ascii="Arial" w:hAnsi="Arial" w:cs="Arial"/>
          <w:lang w:val="es-CO"/>
        </w:rPr>
      </w:pPr>
    </w:p>
    <w:p w14:paraId="6D3F97CD" w14:textId="77777777" w:rsidR="00B2442D" w:rsidRDefault="008A645F">
      <w:pPr>
        <w:jc w:val="both"/>
        <w:rPr>
          <w:rFonts w:ascii="Arial" w:hAnsi="Arial" w:cs="Arial"/>
          <w:lang w:val="es-CO"/>
        </w:rPr>
      </w:pPr>
      <w:r>
        <w:rPr>
          <w:rFonts w:ascii="Arial" w:hAnsi="Arial" w:cs="Arial"/>
          <w:lang w:val="es-CO"/>
        </w:rPr>
        <w:t xml:space="preserve">c) Tarifa general del dieciséis por ciento (16%) sobre la base gravable establecida en el artículo 447 del Estatuto Tributario. Están sujetos a la tarifa general del dieciséis por ciento (16%) y a la base gravable establecida en el artículo 447 </w:t>
      </w:r>
      <w:r>
        <w:rPr>
          <w:rFonts w:ascii="Arial" w:hAnsi="Arial" w:cs="Arial"/>
          <w:lang w:val="es-CO"/>
        </w:rPr>
        <w:t>del Estatuto Tributario, los servicios de aseo, que no se encuentran dentro de los presupuestos señalados en el literal a) del presente artículo.</w:t>
      </w:r>
    </w:p>
    <w:p w14:paraId="3BAF92ED" w14:textId="77777777" w:rsidR="00B2442D" w:rsidRDefault="00B2442D">
      <w:pPr>
        <w:jc w:val="both"/>
        <w:rPr>
          <w:rFonts w:ascii="Arial" w:hAnsi="Arial" w:cs="Arial"/>
          <w:i/>
          <w:lang w:val="es-CO"/>
        </w:rPr>
      </w:pPr>
    </w:p>
    <w:p w14:paraId="59A466E3" w14:textId="77777777" w:rsidR="00B2442D" w:rsidRDefault="008A645F">
      <w:pPr>
        <w:jc w:val="both"/>
        <w:rPr>
          <w:rFonts w:ascii="Arial" w:hAnsi="Arial" w:cs="Arial"/>
          <w:i/>
          <w:lang w:val="es-CO"/>
        </w:rPr>
      </w:pPr>
      <w:r>
        <w:rPr>
          <w:rFonts w:ascii="Arial" w:hAnsi="Arial" w:cs="Arial"/>
          <w:i/>
          <w:lang w:val="es-CO"/>
        </w:rPr>
        <w:t>(Art. 12, Decreto 1794 de 2013, literal B suspendido provisionalmente y literal C suspendido provisionalmente</w:t>
      </w:r>
      <w:r>
        <w:rPr>
          <w:rFonts w:ascii="Arial" w:hAnsi="Arial" w:cs="Arial"/>
          <w:i/>
          <w:lang w:val="es-CO"/>
        </w:rPr>
        <w:t xml:space="preserve"> – en forma parcial -, según Auto de 25 de octubre de 2016 – sección 4ª Consejo de Estado)</w:t>
      </w:r>
    </w:p>
    <w:p w14:paraId="130BF5AC" w14:textId="77777777" w:rsidR="00B2442D" w:rsidRDefault="00B2442D">
      <w:pPr>
        <w:jc w:val="both"/>
        <w:rPr>
          <w:rFonts w:ascii="Arial" w:hAnsi="Arial" w:cs="Arial"/>
          <w:lang w:val="es-CO"/>
        </w:rPr>
      </w:pPr>
    </w:p>
    <w:p w14:paraId="4CDC8DD7" w14:textId="77777777" w:rsidR="00B2442D" w:rsidRDefault="008A645F">
      <w:pPr>
        <w:pStyle w:val="Prrafodelista"/>
        <w:numPr>
          <w:ilvl w:val="0"/>
          <w:numId w:val="67"/>
        </w:numPr>
        <w:ind w:left="0" w:firstLine="0"/>
        <w:jc w:val="both"/>
        <w:rPr>
          <w:rFonts w:ascii="Arial" w:hAnsi="Arial" w:cs="Arial"/>
          <w:lang w:val="es-CO"/>
        </w:rPr>
      </w:pPr>
      <w:r>
        <w:rPr>
          <w:rFonts w:ascii="Arial" w:hAnsi="Arial" w:cs="Arial"/>
          <w:b/>
          <w:i/>
          <w:lang w:val="es-CO"/>
        </w:rPr>
        <w:t>Servicios de vigilancia, supervisión, conserjería, aseo y temporales de empleo gravados a la tarifa del cinco por ciento (5%).</w:t>
      </w:r>
      <w:r>
        <w:rPr>
          <w:rFonts w:ascii="Arial" w:hAnsi="Arial" w:cs="Arial"/>
          <w:lang w:val="es-CO"/>
        </w:rPr>
        <w:t xml:space="preserve"> Los servicios de vigilancia, supervis</w:t>
      </w:r>
      <w:r>
        <w:rPr>
          <w:rFonts w:ascii="Arial" w:hAnsi="Arial" w:cs="Arial"/>
          <w:lang w:val="es-CO"/>
        </w:rPr>
        <w:t>ión, conserjería, aseo y temporales de empleo, se encuentran gravados con el impuesto sobre las ventas a la tarifa del cinco por ciento (5%) sobre la parte correspondiente al AIU, cuando sean prestados por personas jurídicas constituidas con ánimo de alter</w:t>
      </w:r>
      <w:r>
        <w:rPr>
          <w:rFonts w:ascii="Arial" w:hAnsi="Arial" w:cs="Arial"/>
          <w:lang w:val="es-CO"/>
        </w:rPr>
        <w:t>idad, bajo cualquier naturaleza jurídica de las previstas en el numeral 1 del artículo 19 del Estatuto Tributario, siempre que se cumplan las siguientes condiciones:</w:t>
      </w:r>
    </w:p>
    <w:p w14:paraId="443A6073" w14:textId="77777777" w:rsidR="00B2442D" w:rsidRDefault="00B2442D">
      <w:pPr>
        <w:jc w:val="both"/>
        <w:rPr>
          <w:rFonts w:ascii="Arial" w:hAnsi="Arial" w:cs="Arial"/>
          <w:lang w:val="es-CO"/>
        </w:rPr>
      </w:pPr>
    </w:p>
    <w:p w14:paraId="0E92F279"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Que el objeto social del prestador del servicio corresponda a la prestación de los serv</w:t>
      </w:r>
      <w:r>
        <w:rPr>
          <w:rFonts w:ascii="Arial" w:hAnsi="Arial" w:cs="Arial"/>
          <w:lang w:val="es-CO"/>
        </w:rPr>
        <w:t>icios de vigilancia, supervisión, conserjería, aseo o temporales de empleo.</w:t>
      </w:r>
    </w:p>
    <w:p w14:paraId="366CC581" w14:textId="77777777" w:rsidR="00B2442D" w:rsidRDefault="00B2442D">
      <w:pPr>
        <w:ind w:left="426" w:hanging="426"/>
        <w:jc w:val="both"/>
        <w:rPr>
          <w:rFonts w:ascii="Arial" w:hAnsi="Arial" w:cs="Arial"/>
          <w:lang w:val="es-CO"/>
        </w:rPr>
      </w:pPr>
    </w:p>
    <w:p w14:paraId="05E1AC86"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Que los servicios referidos en el presente artículo sean prestados exclusivamente mediante personas con discapacidad física o mental, en grados que permitan el adecuado desempeñ</w:t>
      </w:r>
      <w:r>
        <w:rPr>
          <w:rFonts w:ascii="Arial" w:hAnsi="Arial" w:cs="Arial"/>
          <w:lang w:val="es-CO"/>
        </w:rPr>
        <w:t>o de las labores asignadas.</w:t>
      </w:r>
    </w:p>
    <w:p w14:paraId="3DA44F2C" w14:textId="77777777" w:rsidR="00B2442D" w:rsidRDefault="00B2442D">
      <w:pPr>
        <w:ind w:left="426" w:hanging="426"/>
        <w:jc w:val="both"/>
        <w:rPr>
          <w:rFonts w:ascii="Arial" w:hAnsi="Arial" w:cs="Arial"/>
          <w:lang w:val="es-CO"/>
        </w:rPr>
      </w:pPr>
    </w:p>
    <w:p w14:paraId="637E1131"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Que la discapacidad física o mental se encuentre debidamente certificada por la Junta Regional y Nacional de Invalidez del Ministerio de Trabajo.</w:t>
      </w:r>
    </w:p>
    <w:p w14:paraId="76666634" w14:textId="77777777" w:rsidR="00B2442D" w:rsidRDefault="00B2442D">
      <w:pPr>
        <w:ind w:left="426" w:hanging="426"/>
        <w:jc w:val="both"/>
        <w:rPr>
          <w:rFonts w:ascii="Arial" w:hAnsi="Arial" w:cs="Arial"/>
          <w:lang w:val="es-CO"/>
        </w:rPr>
      </w:pPr>
    </w:p>
    <w:p w14:paraId="516BDE30"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Que los trabajadores se encuentren vinculados mediante contrato de </w:t>
      </w:r>
      <w:r>
        <w:rPr>
          <w:rFonts w:ascii="Arial" w:hAnsi="Arial" w:cs="Arial"/>
          <w:lang w:val="es-CO"/>
        </w:rPr>
        <w:t>trabajo, y la entidad cumpla con todas las obligaciones legales laborales y de seguridad social.</w:t>
      </w:r>
    </w:p>
    <w:p w14:paraId="3237B6AC" w14:textId="77777777" w:rsidR="00B2442D" w:rsidRDefault="00B2442D">
      <w:pPr>
        <w:jc w:val="both"/>
        <w:rPr>
          <w:rFonts w:ascii="Arial" w:hAnsi="Arial" w:cs="Arial"/>
          <w:lang w:val="es-CO"/>
        </w:rPr>
      </w:pPr>
    </w:p>
    <w:p w14:paraId="1E67B928" w14:textId="77777777" w:rsidR="00B2442D" w:rsidRDefault="008A645F">
      <w:pPr>
        <w:jc w:val="both"/>
        <w:rPr>
          <w:rFonts w:ascii="Arial" w:hAnsi="Arial" w:cs="Arial"/>
          <w:i/>
          <w:lang w:val="es-CO"/>
        </w:rPr>
      </w:pPr>
      <w:r>
        <w:rPr>
          <w:rFonts w:ascii="Arial" w:hAnsi="Arial" w:cs="Arial"/>
          <w:i/>
          <w:lang w:val="es-CO"/>
        </w:rPr>
        <w:t>(Art. 13, Decreto 1794 de 2013)</w:t>
      </w:r>
    </w:p>
    <w:p w14:paraId="0C36F0C0" w14:textId="77777777" w:rsidR="00B2442D" w:rsidRDefault="00B2442D">
      <w:pPr>
        <w:jc w:val="both"/>
        <w:rPr>
          <w:rFonts w:ascii="Arial" w:hAnsi="Arial" w:cs="Arial"/>
          <w:lang w:val="es-CO"/>
        </w:rPr>
      </w:pPr>
    </w:p>
    <w:p w14:paraId="32BEB896" w14:textId="77777777" w:rsidR="00B2442D" w:rsidRDefault="008A645F">
      <w:pPr>
        <w:pStyle w:val="Prrafodelista"/>
        <w:numPr>
          <w:ilvl w:val="0"/>
          <w:numId w:val="67"/>
        </w:numPr>
        <w:ind w:left="0" w:firstLine="0"/>
        <w:jc w:val="both"/>
        <w:rPr>
          <w:rFonts w:ascii="Arial" w:hAnsi="Arial" w:cs="Arial"/>
          <w:lang w:val="es-CO"/>
        </w:rPr>
      </w:pPr>
      <w:r>
        <w:rPr>
          <w:rFonts w:ascii="Arial" w:hAnsi="Arial" w:cs="Arial"/>
          <w:b/>
          <w:i/>
          <w:lang w:val="es-CO"/>
        </w:rPr>
        <w:t>IVA sobre servicios funerarios y responsables.</w:t>
      </w:r>
      <w:r>
        <w:rPr>
          <w:rFonts w:ascii="Arial" w:hAnsi="Arial" w:cs="Arial"/>
          <w:lang w:val="es-CO"/>
        </w:rPr>
        <w:t xml:space="preserve"> De acuerdo con el artículo 15 de la Ley 174 de 1994, los servicios funerarios,</w:t>
      </w:r>
      <w:r>
        <w:rPr>
          <w:rFonts w:ascii="Arial" w:hAnsi="Arial" w:cs="Arial"/>
          <w:lang w:val="es-CO"/>
        </w:rPr>
        <w:t xml:space="preserve"> los de cremación, inhumación y exhumación de cadáveres, alquiler y mantenimiento de tumbas y mausoleos están excluidos del impuesto sobre las ventas. Quienes presten servicios funerarios y de manera habitual también vendan bienes corporales muebles gravad</w:t>
      </w:r>
      <w:r>
        <w:rPr>
          <w:rFonts w:ascii="Arial" w:hAnsi="Arial" w:cs="Arial"/>
          <w:lang w:val="es-CO"/>
        </w:rPr>
        <w:t>os con el impuesto a las ventas, son responsables de este impuesto en la forma establecida en el Estatuto Tributario, por las operaciones de venta.</w:t>
      </w:r>
    </w:p>
    <w:p w14:paraId="59BC2D3B" w14:textId="77777777" w:rsidR="00B2442D" w:rsidRDefault="00B2442D">
      <w:pPr>
        <w:jc w:val="both"/>
        <w:rPr>
          <w:rFonts w:ascii="Arial" w:hAnsi="Arial" w:cs="Arial"/>
          <w:i/>
          <w:lang w:val="es-CO"/>
        </w:rPr>
      </w:pPr>
    </w:p>
    <w:p w14:paraId="23200900" w14:textId="77777777" w:rsidR="00B2442D" w:rsidRDefault="008A645F">
      <w:pPr>
        <w:jc w:val="both"/>
        <w:rPr>
          <w:rFonts w:ascii="Arial" w:hAnsi="Arial" w:cs="Arial"/>
          <w:i/>
          <w:lang w:val="es-CO"/>
        </w:rPr>
      </w:pPr>
      <w:r>
        <w:rPr>
          <w:rFonts w:ascii="Arial" w:hAnsi="Arial" w:cs="Arial"/>
          <w:i/>
          <w:lang w:val="es-CO"/>
        </w:rPr>
        <w:t xml:space="preserve">(Art. 16, Decreto 326 de 1995, la expresión “y los avisos funerarios de prensa contratados a través de las </w:t>
      </w:r>
      <w:r>
        <w:rPr>
          <w:rFonts w:ascii="Arial" w:hAnsi="Arial" w:cs="Arial"/>
          <w:i/>
          <w:lang w:val="es-CO"/>
        </w:rPr>
        <w:t>funerarias” fue derogada tácitamente por el artículo 48 de la Ley 488 de 1998)</w:t>
      </w:r>
    </w:p>
    <w:p w14:paraId="1F06134D" w14:textId="77777777" w:rsidR="00B2442D" w:rsidRDefault="00B2442D">
      <w:pPr>
        <w:jc w:val="both"/>
        <w:rPr>
          <w:rFonts w:ascii="Arial" w:hAnsi="Arial" w:cs="Arial"/>
          <w:i/>
          <w:lang w:val="es-CO"/>
        </w:rPr>
      </w:pPr>
    </w:p>
    <w:p w14:paraId="471F43B2" w14:textId="77777777" w:rsidR="00B2442D" w:rsidRDefault="008A645F">
      <w:pPr>
        <w:pStyle w:val="Prrafodelista"/>
        <w:numPr>
          <w:ilvl w:val="0"/>
          <w:numId w:val="67"/>
        </w:numPr>
        <w:ind w:left="0" w:firstLine="0"/>
        <w:jc w:val="both"/>
        <w:rPr>
          <w:rFonts w:ascii="Arial" w:hAnsi="Arial" w:cs="Arial"/>
          <w:lang w:val="es-CO"/>
        </w:rPr>
      </w:pPr>
      <w:r>
        <w:rPr>
          <w:rFonts w:ascii="Arial" w:hAnsi="Arial" w:cs="Arial"/>
          <w:b/>
          <w:i/>
          <w:lang w:val="es-CO"/>
        </w:rPr>
        <w:t>Responsable del impuesto sobre las ventas.</w:t>
      </w:r>
      <w:r>
        <w:rPr>
          <w:rFonts w:ascii="Arial" w:hAnsi="Arial" w:cs="Arial"/>
          <w:i/>
          <w:lang w:val="es-CO"/>
        </w:rPr>
        <w:t xml:space="preserve"> </w:t>
      </w:r>
      <w:r>
        <w:rPr>
          <w:rFonts w:ascii="Arial" w:hAnsi="Arial" w:cs="Arial"/>
          <w:lang w:val="es-CO"/>
        </w:rPr>
        <w:t xml:space="preserve">Para efectos del parágrafo 2° del artículo 420 del Estatuto Tributario será responsable del impuesto sobre las ventas la empresa que </w:t>
      </w:r>
      <w:r>
        <w:rPr>
          <w:rFonts w:ascii="Arial" w:hAnsi="Arial" w:cs="Arial"/>
          <w:lang w:val="es-CO"/>
        </w:rPr>
        <w:t>presta el servicio.</w:t>
      </w:r>
    </w:p>
    <w:p w14:paraId="1574CB86" w14:textId="77777777" w:rsidR="00B2442D" w:rsidRDefault="00B2442D">
      <w:pPr>
        <w:jc w:val="both"/>
        <w:rPr>
          <w:rFonts w:ascii="Arial" w:hAnsi="Arial" w:cs="Arial"/>
          <w:i/>
          <w:lang w:val="es-CO"/>
        </w:rPr>
      </w:pPr>
    </w:p>
    <w:p w14:paraId="3CB08E93" w14:textId="77777777" w:rsidR="00B2442D" w:rsidRDefault="008A645F">
      <w:pPr>
        <w:jc w:val="both"/>
        <w:rPr>
          <w:rFonts w:ascii="Arial" w:hAnsi="Arial" w:cs="Arial"/>
          <w:i/>
          <w:lang w:val="es-CO"/>
        </w:rPr>
      </w:pPr>
      <w:r>
        <w:rPr>
          <w:rFonts w:ascii="Arial" w:hAnsi="Arial" w:cs="Arial"/>
          <w:i/>
          <w:lang w:val="es-CO"/>
        </w:rPr>
        <w:t>(Art. 20, Decreto 0380 de 1996, los incisos 1 y 2 tienen decaimiento por la evolución normativa (Art. 78 de la Ley 1111 de 2006))</w:t>
      </w:r>
    </w:p>
    <w:p w14:paraId="5C5A6E66" w14:textId="77777777" w:rsidR="00B2442D" w:rsidRDefault="00B2442D">
      <w:pPr>
        <w:jc w:val="both"/>
        <w:rPr>
          <w:rFonts w:ascii="Arial" w:hAnsi="Arial" w:cs="Arial"/>
          <w:lang w:val="es-CO"/>
        </w:rPr>
      </w:pPr>
    </w:p>
    <w:p w14:paraId="144A2675" w14:textId="77777777" w:rsidR="00B2442D" w:rsidRDefault="008A645F">
      <w:pPr>
        <w:pStyle w:val="Ttulo4"/>
        <w:rPr>
          <w:lang w:val="es-CO"/>
        </w:rPr>
      </w:pPr>
      <w:r>
        <w:rPr>
          <w:lang w:val="es-CO"/>
        </w:rPr>
        <w:t>CAPÍTULO 9</w:t>
      </w:r>
    </w:p>
    <w:p w14:paraId="7BB22374" w14:textId="77777777" w:rsidR="00B2442D" w:rsidRDefault="008A645F">
      <w:pPr>
        <w:pStyle w:val="Ttulo4"/>
        <w:rPr>
          <w:lang w:val="es-CO"/>
        </w:rPr>
      </w:pPr>
      <w:r>
        <w:rPr>
          <w:lang w:val="es-CO"/>
        </w:rPr>
        <w:t xml:space="preserve">Exenciones </w:t>
      </w:r>
    </w:p>
    <w:p w14:paraId="7C0707E2" w14:textId="77777777" w:rsidR="00B2442D" w:rsidRDefault="00B2442D">
      <w:pPr>
        <w:rPr>
          <w:rFonts w:ascii="Arial" w:hAnsi="Arial" w:cs="Arial"/>
          <w:lang w:val="es-CO"/>
        </w:rPr>
      </w:pPr>
    </w:p>
    <w:p w14:paraId="34C654ED"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 xml:space="preserve">Importación de armas y municiones. </w:t>
      </w:r>
      <w:r>
        <w:rPr>
          <w:rFonts w:ascii="Arial" w:hAnsi="Arial" w:cs="Arial"/>
          <w:lang w:val="es-CO"/>
        </w:rPr>
        <w:t>Para efectos de la exención de que trata el a</w:t>
      </w:r>
      <w:r>
        <w:rPr>
          <w:rFonts w:ascii="Arial" w:hAnsi="Arial" w:cs="Arial"/>
          <w:lang w:val="es-CO"/>
        </w:rPr>
        <w:t>rtículo 17 del Decreto 2368 de 1974 Hoy literal d) del artículo 428 del Estatuto Tributario), la Aduana Nacional exigirá únicamente al interesado al momento de la nacionalización los siguientes documentos:</w:t>
      </w:r>
    </w:p>
    <w:p w14:paraId="37B4CA43" w14:textId="77777777" w:rsidR="00B2442D" w:rsidRDefault="00B2442D">
      <w:pPr>
        <w:jc w:val="both"/>
        <w:rPr>
          <w:rFonts w:ascii="Arial" w:hAnsi="Arial" w:cs="Arial"/>
          <w:lang w:val="es-CO"/>
        </w:rPr>
      </w:pPr>
    </w:p>
    <w:p w14:paraId="2DC02EBA" w14:textId="77777777" w:rsidR="00B2442D" w:rsidRDefault="008A645F">
      <w:pPr>
        <w:jc w:val="both"/>
        <w:rPr>
          <w:rFonts w:ascii="Arial" w:hAnsi="Arial" w:cs="Arial"/>
          <w:lang w:val="es-CO"/>
        </w:rPr>
      </w:pPr>
      <w:r>
        <w:rPr>
          <w:rFonts w:ascii="Arial" w:hAnsi="Arial" w:cs="Arial"/>
          <w:lang w:val="es-CO"/>
        </w:rPr>
        <w:t>Cuando se trate de importación de armas o municio</w:t>
      </w:r>
      <w:r>
        <w:rPr>
          <w:rFonts w:ascii="Arial" w:hAnsi="Arial" w:cs="Arial"/>
          <w:lang w:val="es-CO"/>
        </w:rPr>
        <w:t>nes, certificación del Ministerio de Defensa Nacional o su Delegado acerca de si dichas armas o municiones se destinarán para la defensa nacional.</w:t>
      </w:r>
    </w:p>
    <w:p w14:paraId="40CD6CDD" w14:textId="77777777" w:rsidR="00B2442D" w:rsidRDefault="00B2442D">
      <w:pPr>
        <w:jc w:val="both"/>
        <w:rPr>
          <w:rFonts w:ascii="Arial" w:hAnsi="Arial" w:cs="Arial"/>
          <w:lang w:val="es-CO"/>
        </w:rPr>
      </w:pPr>
    </w:p>
    <w:p w14:paraId="23D6253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Con el cumplimiento de los anteriores requisitos, la Aduana Nacional se abstendrá de cobrar el im</w:t>
      </w:r>
      <w:r>
        <w:rPr>
          <w:rFonts w:ascii="Arial" w:hAnsi="Arial" w:cs="Arial"/>
          <w:lang w:val="es-CO"/>
        </w:rPr>
        <w:t>puesto sobre las ventas correspondientes.</w:t>
      </w:r>
    </w:p>
    <w:p w14:paraId="695E7B08" w14:textId="77777777" w:rsidR="00B2442D" w:rsidRDefault="00B2442D">
      <w:pPr>
        <w:jc w:val="both"/>
        <w:rPr>
          <w:rFonts w:ascii="Arial" w:hAnsi="Arial" w:cs="Arial"/>
          <w:i/>
          <w:lang w:val="es-CO"/>
        </w:rPr>
      </w:pPr>
    </w:p>
    <w:p w14:paraId="68A2C9C1" w14:textId="77777777" w:rsidR="00B2442D" w:rsidRDefault="008A645F">
      <w:pPr>
        <w:jc w:val="both"/>
        <w:rPr>
          <w:rFonts w:ascii="Arial" w:hAnsi="Arial" w:cs="Arial"/>
          <w:i/>
          <w:lang w:val="es-CO"/>
        </w:rPr>
      </w:pPr>
      <w:r>
        <w:rPr>
          <w:rFonts w:ascii="Arial" w:hAnsi="Arial" w:cs="Arial"/>
          <w:i/>
          <w:lang w:val="es-CO"/>
        </w:rPr>
        <w:t>(Art. 2, Decreto 258 de 1982. Los literales a) y b) tienen derogatoria tácita conforme con el art. 1 del Decreto 2296 de 1991)</w:t>
      </w:r>
      <w:r>
        <w:rPr>
          <w:rFonts w:ascii="Arial" w:hAnsi="Arial" w:cs="Arial"/>
        </w:rPr>
        <w:t xml:space="preserve"> (</w:t>
      </w:r>
      <w:r>
        <w:rPr>
          <w:rFonts w:ascii="Arial" w:hAnsi="Arial" w:cs="Arial"/>
          <w:i/>
          <w:lang w:val="es-CO"/>
        </w:rPr>
        <w:t xml:space="preserve">Decreto 258 de 1982 rige desde la fecha de su expedición y deroga los </w:t>
      </w:r>
      <w:r>
        <w:rPr>
          <w:rFonts w:ascii="Arial" w:hAnsi="Arial" w:cs="Arial"/>
          <w:i/>
          <w:lang w:val="es-CO"/>
        </w:rPr>
        <w:t>artículos 5o. y 6o. del Decreto 2803 de 1975, y demás disposiciones que le sean contrarias. Art. 4, Decreto 258 de 1982)</w:t>
      </w:r>
    </w:p>
    <w:p w14:paraId="4822E7E0" w14:textId="77777777" w:rsidR="00B2442D" w:rsidRDefault="00B2442D">
      <w:pPr>
        <w:jc w:val="both"/>
        <w:rPr>
          <w:rFonts w:ascii="Arial" w:hAnsi="Arial" w:cs="Arial"/>
          <w:i/>
          <w:lang w:val="es-CO"/>
        </w:rPr>
      </w:pPr>
    </w:p>
    <w:p w14:paraId="7E265264"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Aplicación.</w:t>
      </w:r>
      <w:r>
        <w:rPr>
          <w:rFonts w:ascii="Arial" w:hAnsi="Arial" w:cs="Arial"/>
          <w:lang w:val="es-CO"/>
        </w:rPr>
        <w:t xml:space="preserve"> Las disposiciones contenidas en los artículos 1.3.1.9.2 a 1.3.1.9.5 del presente Decreto se aplicarán en relación con los fondos o recursos en dinero originados en auxilios o donaciones destinados a programas de utilidad común en Colombia, provenientes de</w:t>
      </w:r>
      <w:r>
        <w:rPr>
          <w:rFonts w:ascii="Arial" w:hAnsi="Arial" w:cs="Arial"/>
          <w:lang w:val="es-CO"/>
        </w:rPr>
        <w:t xml:space="preserve"> entidades o gobiernos de países con los cuales existan acuerdos intergubernamentales o convenios con el gobierno colombiano.</w:t>
      </w:r>
    </w:p>
    <w:p w14:paraId="1F33B440" w14:textId="77777777" w:rsidR="00B2442D" w:rsidRDefault="008A645F">
      <w:pPr>
        <w:jc w:val="both"/>
        <w:rPr>
          <w:rFonts w:ascii="Arial" w:hAnsi="Arial" w:cs="Arial"/>
          <w:lang w:val="es-CO"/>
        </w:rPr>
      </w:pPr>
      <w:r>
        <w:rPr>
          <w:rFonts w:ascii="Arial" w:hAnsi="Arial" w:cs="Arial"/>
          <w:lang w:val="es-CO"/>
        </w:rPr>
        <w:tab/>
      </w:r>
    </w:p>
    <w:p w14:paraId="1D96C0B6" w14:textId="77777777" w:rsidR="00B2442D" w:rsidRDefault="008A645F">
      <w:pPr>
        <w:jc w:val="both"/>
        <w:rPr>
          <w:rFonts w:ascii="Arial" w:hAnsi="Arial" w:cs="Arial"/>
          <w:lang w:val="es-CO"/>
        </w:rPr>
      </w:pPr>
      <w:r>
        <w:rPr>
          <w:rFonts w:ascii="Arial" w:hAnsi="Arial" w:cs="Arial"/>
          <w:lang w:val="es-CO"/>
        </w:rPr>
        <w:t>En el caso de existir tratado o convenio internacional vigente que consagre privilegios respecto de tales auxilios o donaciones,</w:t>
      </w:r>
      <w:r>
        <w:rPr>
          <w:rFonts w:ascii="Arial" w:hAnsi="Arial" w:cs="Arial"/>
          <w:lang w:val="es-CO"/>
        </w:rPr>
        <w:t xml:space="preserve"> el tratamiento será el establecido en el respectivo tratado o convenio.</w:t>
      </w:r>
    </w:p>
    <w:p w14:paraId="3B6BC834" w14:textId="77777777" w:rsidR="00B2442D" w:rsidRDefault="00B2442D">
      <w:pPr>
        <w:jc w:val="both"/>
        <w:rPr>
          <w:rFonts w:ascii="Arial" w:hAnsi="Arial" w:cs="Arial"/>
          <w:lang w:val="es-CO"/>
        </w:rPr>
      </w:pPr>
    </w:p>
    <w:p w14:paraId="30EC54AC" w14:textId="77777777" w:rsidR="00B2442D" w:rsidRDefault="008A645F">
      <w:pPr>
        <w:jc w:val="both"/>
        <w:rPr>
          <w:rFonts w:ascii="Arial" w:hAnsi="Arial" w:cs="Arial"/>
          <w:i/>
          <w:lang w:val="es-CO"/>
        </w:rPr>
      </w:pPr>
      <w:r>
        <w:rPr>
          <w:rFonts w:ascii="Arial" w:hAnsi="Arial" w:cs="Arial"/>
          <w:i/>
          <w:lang w:val="es-CO"/>
        </w:rPr>
        <w:t>(Art. 1, Decreto 540 de 2004)</w:t>
      </w:r>
    </w:p>
    <w:p w14:paraId="757925E5" w14:textId="77777777" w:rsidR="00B2442D" w:rsidRDefault="00B2442D">
      <w:pPr>
        <w:jc w:val="both"/>
        <w:rPr>
          <w:rFonts w:ascii="Arial" w:hAnsi="Arial" w:cs="Arial"/>
          <w:lang w:val="es-CO"/>
        </w:rPr>
      </w:pPr>
    </w:p>
    <w:p w14:paraId="43AFB31C"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Exención de impuestos, tasas o contribuciones.</w:t>
      </w:r>
      <w:r>
        <w:rPr>
          <w:rFonts w:ascii="Arial" w:hAnsi="Arial" w:cs="Arial"/>
          <w:lang w:val="es-CO"/>
        </w:rPr>
        <w:t xml:space="preserve"> La exención a que se refiere el artículo 96 de la Ley 788 de 2002, se aplicará respecto a impuestos, tas</w:t>
      </w:r>
      <w:r>
        <w:rPr>
          <w:rFonts w:ascii="Arial" w:hAnsi="Arial" w:cs="Arial"/>
          <w:lang w:val="es-CO"/>
        </w:rPr>
        <w:t>as, contribuciones, del orden nacional, que pudieren afectar la importación y el gasto o la inversión de los fondos provenientes de auxilios o donaciones realizados al amparo de los acuerdos intergubernamentales o convenios con el gobierno colombiano, dest</w:t>
      </w:r>
      <w:r>
        <w:rPr>
          <w:rFonts w:ascii="Arial" w:hAnsi="Arial" w:cs="Arial"/>
          <w:lang w:val="es-CO"/>
        </w:rPr>
        <w:t>inados a realizar programas de utilidad común.</w:t>
      </w:r>
    </w:p>
    <w:p w14:paraId="467708D2" w14:textId="77777777" w:rsidR="00B2442D" w:rsidRDefault="00B2442D">
      <w:pPr>
        <w:jc w:val="both"/>
        <w:rPr>
          <w:rFonts w:ascii="Arial" w:hAnsi="Arial" w:cs="Arial"/>
          <w:lang w:val="es-CO"/>
        </w:rPr>
      </w:pPr>
    </w:p>
    <w:p w14:paraId="5F9A3D59" w14:textId="77777777" w:rsidR="00B2442D" w:rsidRDefault="008A645F">
      <w:pPr>
        <w:jc w:val="both"/>
        <w:rPr>
          <w:rFonts w:ascii="Arial" w:hAnsi="Arial" w:cs="Arial"/>
          <w:lang w:val="es-CO"/>
        </w:rPr>
      </w:pPr>
      <w:r>
        <w:rPr>
          <w:rFonts w:ascii="Arial" w:hAnsi="Arial" w:cs="Arial"/>
          <w:lang w:val="es-CO"/>
        </w:rPr>
        <w:t>También se encuentran exentos del pago de impuestos, tasas o contribuciones del orden nacional, los contratos que deban celebrarse para la realización de las obras o proyectos de utilidad común, así como la a</w:t>
      </w:r>
      <w:r>
        <w:rPr>
          <w:rFonts w:ascii="Arial" w:hAnsi="Arial" w:cs="Arial"/>
          <w:lang w:val="es-CO"/>
        </w:rPr>
        <w:t>dquisición de bienes y/o servicios y las transacciones financieras que se realicen directamente con los dineros provenientes de los recursos del auxilio o donación, con el mismo fin.</w:t>
      </w:r>
    </w:p>
    <w:p w14:paraId="3B30701A" w14:textId="77777777" w:rsidR="00B2442D" w:rsidRDefault="00B2442D">
      <w:pPr>
        <w:jc w:val="both"/>
        <w:rPr>
          <w:rFonts w:ascii="Arial" w:hAnsi="Arial" w:cs="Arial"/>
          <w:lang w:val="es-CO"/>
        </w:rPr>
      </w:pPr>
    </w:p>
    <w:p w14:paraId="4C49571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esta exención, corresponde a cada entidad púb</w:t>
      </w:r>
      <w:r>
        <w:rPr>
          <w:rFonts w:ascii="Arial" w:hAnsi="Arial" w:cs="Arial"/>
          <w:lang w:val="es-CO"/>
        </w:rPr>
        <w:t xml:space="preserve">lica del sector, ya sea del nivel nacional o territorial, certificar si los proyectos e inversiones a que están destinados los auxilios o donaciones correspondientes, son de utilidad común. Dichas certificaciones deberán remitirse de manera inmediata a la </w:t>
      </w:r>
      <w:r>
        <w:rPr>
          <w:rFonts w:ascii="Arial" w:hAnsi="Arial" w:cs="Arial"/>
          <w:lang w:val="es-CO"/>
        </w:rPr>
        <w:t>entidad ejecutora de los recursos, que a su vez las enviará dentro de los primeros cinco (5) días hábiles de cada trimestre a la Unidad Administrativa Especial Dirección de Impuestos y Aduanas Nacionales- DIAN, para lo de su competencia.</w:t>
      </w:r>
    </w:p>
    <w:p w14:paraId="349E9EF7" w14:textId="77777777" w:rsidR="00B2442D" w:rsidRDefault="00B2442D">
      <w:pPr>
        <w:jc w:val="both"/>
        <w:rPr>
          <w:rFonts w:ascii="Arial" w:hAnsi="Arial" w:cs="Arial"/>
          <w:b/>
          <w:lang w:val="es-CO"/>
        </w:rPr>
      </w:pPr>
    </w:p>
    <w:p w14:paraId="44453782" w14:textId="77777777" w:rsidR="00B2442D" w:rsidRDefault="008A645F">
      <w:pPr>
        <w:jc w:val="both"/>
        <w:rPr>
          <w:rFonts w:ascii="Arial" w:hAnsi="Arial" w:cs="Arial"/>
          <w:i/>
          <w:lang w:val="es-CO"/>
        </w:rPr>
      </w:pPr>
      <w:r>
        <w:rPr>
          <w:rFonts w:ascii="Arial" w:hAnsi="Arial" w:cs="Arial"/>
          <w:i/>
          <w:lang w:val="es-CO"/>
        </w:rPr>
        <w:t xml:space="preserve">(Art. 2, Decreto </w:t>
      </w:r>
      <w:r>
        <w:rPr>
          <w:rFonts w:ascii="Arial" w:hAnsi="Arial" w:cs="Arial"/>
          <w:i/>
          <w:lang w:val="es-CO"/>
        </w:rPr>
        <w:t>540 de 2004)</w:t>
      </w:r>
    </w:p>
    <w:p w14:paraId="2E6F3E89" w14:textId="77777777" w:rsidR="00B2442D" w:rsidRDefault="00B2442D">
      <w:pPr>
        <w:jc w:val="both"/>
        <w:rPr>
          <w:rFonts w:ascii="Arial" w:hAnsi="Arial" w:cs="Arial"/>
          <w:b/>
          <w:lang w:val="es-CO"/>
        </w:rPr>
      </w:pPr>
    </w:p>
    <w:p w14:paraId="7CBECC1B"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Exención del impuesto sobre las ventas (IVA) y del Gravamen a los Movimientos Financieros (GMF).</w:t>
      </w:r>
      <w:r>
        <w:rPr>
          <w:rFonts w:ascii="Arial" w:hAnsi="Arial" w:cs="Arial"/>
          <w:lang w:val="es-CO"/>
        </w:rPr>
        <w:t xml:space="preserve"> La exención del impuesto sobre las ventas (IVA) respecto de los recursos de que trata el artículo 96 de la Ley 788 de 2002, procederá en forma di</w:t>
      </w:r>
      <w:r>
        <w:rPr>
          <w:rFonts w:ascii="Arial" w:hAnsi="Arial" w:cs="Arial"/>
          <w:lang w:val="es-CO"/>
        </w:rPr>
        <w:t>recta sobre las operaciones de adquisición de bienes o servicios gravados con este impuesto que el administrador o ejecutor de los recursos realice directamente o mediante contratos para la realización de programas de utilidad común, con el cumplimiento de</w:t>
      </w:r>
      <w:r>
        <w:rPr>
          <w:rFonts w:ascii="Arial" w:hAnsi="Arial" w:cs="Arial"/>
          <w:lang w:val="es-CO"/>
        </w:rPr>
        <w:t xml:space="preserve"> los requisitos señalados en el artículo 1.3.1.9.5 del presente Decreto. </w:t>
      </w:r>
    </w:p>
    <w:p w14:paraId="3EA92CCF" w14:textId="77777777" w:rsidR="00B2442D" w:rsidRDefault="00B2442D">
      <w:pPr>
        <w:jc w:val="both"/>
        <w:rPr>
          <w:rFonts w:ascii="Arial" w:hAnsi="Arial" w:cs="Arial"/>
          <w:lang w:val="es-CO"/>
        </w:rPr>
      </w:pPr>
    </w:p>
    <w:p w14:paraId="7B28C48E" w14:textId="77777777" w:rsidR="00B2442D" w:rsidRDefault="008A645F">
      <w:pPr>
        <w:jc w:val="both"/>
        <w:rPr>
          <w:rFonts w:ascii="Arial" w:hAnsi="Arial" w:cs="Arial"/>
          <w:lang w:val="es-CO"/>
        </w:rPr>
      </w:pPr>
      <w:r>
        <w:rPr>
          <w:rFonts w:ascii="Arial" w:hAnsi="Arial" w:cs="Arial"/>
          <w:lang w:val="es-CO"/>
        </w:rPr>
        <w:t xml:space="preserve">La exención del Gravamen a los Movimientos Financieros (GMF), operará directamente respecto de la disposición de los recursos de la cuenta abierta exclusivamente para el manejo los </w:t>
      </w:r>
      <w:r>
        <w:rPr>
          <w:rFonts w:ascii="Arial" w:hAnsi="Arial" w:cs="Arial"/>
          <w:lang w:val="es-CO"/>
        </w:rPr>
        <w:t>mismos. Para este efecto, el administrador o ejecutor deberá marcar en la entidad financiera la cuenta que se utilizará para el manejo exclusivo de los recursos.</w:t>
      </w:r>
    </w:p>
    <w:p w14:paraId="6609871A" w14:textId="77777777" w:rsidR="00B2442D" w:rsidRDefault="00B2442D">
      <w:pPr>
        <w:jc w:val="both"/>
        <w:rPr>
          <w:rFonts w:ascii="Arial" w:hAnsi="Arial" w:cs="Arial"/>
          <w:b/>
          <w:lang w:val="es-CO"/>
        </w:rPr>
      </w:pPr>
    </w:p>
    <w:p w14:paraId="1690D2AE" w14:textId="77777777" w:rsidR="00B2442D" w:rsidRDefault="008A645F">
      <w:pPr>
        <w:jc w:val="both"/>
        <w:rPr>
          <w:rFonts w:ascii="Arial" w:hAnsi="Arial" w:cs="Arial"/>
          <w:i/>
          <w:lang w:val="es-CO"/>
        </w:rPr>
      </w:pPr>
      <w:r>
        <w:rPr>
          <w:rFonts w:ascii="Arial" w:hAnsi="Arial" w:cs="Arial"/>
          <w:i/>
          <w:lang w:val="es-CO"/>
        </w:rPr>
        <w:t>(Art. 3, Decreto 540 de 2004)</w:t>
      </w:r>
    </w:p>
    <w:p w14:paraId="4CEF15B5" w14:textId="77777777" w:rsidR="00B2442D" w:rsidRDefault="00B2442D">
      <w:pPr>
        <w:jc w:val="both"/>
        <w:rPr>
          <w:rFonts w:ascii="Arial" w:hAnsi="Arial" w:cs="Arial"/>
          <w:b/>
          <w:lang w:val="es-CO"/>
        </w:rPr>
      </w:pPr>
    </w:p>
    <w:p w14:paraId="0B2098F3"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 xml:space="preserve">Requisitos generales de la exención. </w:t>
      </w:r>
      <w:r>
        <w:rPr>
          <w:rFonts w:ascii="Arial" w:hAnsi="Arial" w:cs="Arial"/>
          <w:lang w:val="es-CO"/>
        </w:rPr>
        <w:t>Para la procedencia de la</w:t>
      </w:r>
      <w:r>
        <w:rPr>
          <w:rFonts w:ascii="Arial" w:hAnsi="Arial" w:cs="Arial"/>
          <w:lang w:val="es-CO"/>
        </w:rPr>
        <w:t xml:space="preserve"> exención establecida en el artículo 96 de la Ley 788 de 2002 el donante podrá ejecutar los recursos administrándolos directamente; a través de organismos internacionales; de entidades públicas debidamente autorizadas, o designar  organizaciones no guberna</w:t>
      </w:r>
      <w:r>
        <w:rPr>
          <w:rFonts w:ascii="Arial" w:hAnsi="Arial" w:cs="Arial"/>
          <w:lang w:val="es-CO"/>
        </w:rPr>
        <w:t>mentales debidamente acreditadas en Colombia como entidades ejecutoras de los fondos objeto de donación debiendo en cada caso cumplir los siguientes requisitos generales:</w:t>
      </w:r>
    </w:p>
    <w:p w14:paraId="7C984DBB" w14:textId="77777777" w:rsidR="00B2442D" w:rsidRDefault="00B2442D">
      <w:pPr>
        <w:jc w:val="both"/>
        <w:rPr>
          <w:rFonts w:ascii="Arial" w:hAnsi="Arial" w:cs="Arial"/>
          <w:lang w:val="es-CO"/>
        </w:rPr>
      </w:pPr>
    </w:p>
    <w:p w14:paraId="79EB0C9F"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 xml:space="preserve">En el caso de la Organización no Gubernamental que se designe para administrar y </w:t>
      </w:r>
      <w:r>
        <w:rPr>
          <w:rFonts w:ascii="Arial" w:hAnsi="Arial" w:cs="Arial"/>
          <w:lang w:val="es-CO"/>
        </w:rPr>
        <w:t>ejecutar los recursos, el representante legal de la misma debe adjuntar certificación expedida por el Gobierno o entidad extranjera otorgante de la cooperación, en la cual conste su calidad de entidad ejecutora de los fondos objeto de donación, debiendo ll</w:t>
      </w:r>
      <w:r>
        <w:rPr>
          <w:rFonts w:ascii="Arial" w:hAnsi="Arial" w:cs="Arial"/>
          <w:lang w:val="es-CO"/>
        </w:rPr>
        <w:t>evar contabilidad separada de los recursos administrados.</w:t>
      </w:r>
    </w:p>
    <w:p w14:paraId="49501C2F" w14:textId="77777777" w:rsidR="00B2442D" w:rsidRDefault="00B2442D">
      <w:pPr>
        <w:jc w:val="both"/>
        <w:rPr>
          <w:rFonts w:ascii="Arial" w:hAnsi="Arial" w:cs="Arial"/>
          <w:lang w:val="es-CO"/>
        </w:rPr>
      </w:pPr>
    </w:p>
    <w:p w14:paraId="21560A9F"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 xml:space="preserve">El representante legal de la entidad que administre o ejecute los recursos deberá expedir certificación respecto de cada contrato u operación realizados con los recursos del auxilio o donación  </w:t>
      </w:r>
      <w:r>
        <w:rPr>
          <w:rFonts w:ascii="Arial" w:hAnsi="Arial" w:cs="Arial"/>
          <w:lang w:val="es-CO"/>
        </w:rPr>
        <w:t>en la que conste la denominación del convenio, acuerdo o actuación intergubernamental que ampara el auxilio o donación, con indicación de la fecha del mismo y  de las partes intervinientes. Esta certificación servirá de soporte para la exención del impuest</w:t>
      </w:r>
      <w:r>
        <w:rPr>
          <w:rFonts w:ascii="Arial" w:hAnsi="Arial" w:cs="Arial"/>
          <w:lang w:val="es-CO"/>
        </w:rPr>
        <w:t>o de timbre nacional, del impuesto sobre las ventas, del Gravamen a los Movimientos Financieros, (GMF), y de otras tasas y contribuciones del orden nacional que pudieran recaer sobre la utilización de los recursos, certificación que deberá estar suscrita p</w:t>
      </w:r>
      <w:r>
        <w:rPr>
          <w:rFonts w:ascii="Arial" w:hAnsi="Arial" w:cs="Arial"/>
          <w:lang w:val="es-CO"/>
        </w:rPr>
        <w:t>or revisor fiscal o contador público, según el caso. El administrador o ejecutor de los recursos deberá entregar dicha certificación  a los proveedores  de bienes y servicios, con el fin de que se dé aplicación a la correspondiente exención del IVA.</w:t>
      </w:r>
    </w:p>
    <w:p w14:paraId="7CE23D8A" w14:textId="77777777" w:rsidR="00B2442D" w:rsidRDefault="00B2442D">
      <w:pPr>
        <w:jc w:val="both"/>
        <w:rPr>
          <w:rFonts w:ascii="Arial" w:hAnsi="Arial" w:cs="Arial"/>
          <w:lang w:val="es-CO"/>
        </w:rPr>
      </w:pPr>
    </w:p>
    <w:p w14:paraId="0E5FD7CA" w14:textId="77777777" w:rsidR="00B2442D" w:rsidRDefault="008A645F">
      <w:pPr>
        <w:jc w:val="both"/>
        <w:rPr>
          <w:rFonts w:ascii="Arial" w:hAnsi="Arial" w:cs="Arial"/>
          <w:lang w:val="es-CO"/>
        </w:rPr>
      </w:pPr>
      <w:r>
        <w:rPr>
          <w:rFonts w:ascii="Arial" w:hAnsi="Arial" w:cs="Arial"/>
          <w:lang w:val="es-CO"/>
        </w:rPr>
        <w:t>3.</w:t>
      </w:r>
      <w:r>
        <w:rPr>
          <w:rFonts w:ascii="Arial" w:hAnsi="Arial" w:cs="Arial"/>
          <w:lang w:val="es-CO"/>
        </w:rPr>
        <w:tab/>
        <w:t>El</w:t>
      </w:r>
      <w:r>
        <w:rPr>
          <w:rFonts w:ascii="Arial" w:hAnsi="Arial" w:cs="Arial"/>
          <w:lang w:val="es-CO"/>
        </w:rPr>
        <w:t xml:space="preserve"> administrador o ejecutor de los recursos deberá manejar los fondos del auxilio o donación en una cuenta abierta en una entidad financiera, destinada exclusivamente para ese efecto, la cual se cancelará una vez finalizada la ejecución total de los fondos a</w:t>
      </w:r>
      <w:r>
        <w:rPr>
          <w:rFonts w:ascii="Arial" w:hAnsi="Arial" w:cs="Arial"/>
          <w:lang w:val="es-CO"/>
        </w:rPr>
        <w:t>sí como del proyecto u obra beneficiario del auxilio o donación.</w:t>
      </w:r>
    </w:p>
    <w:p w14:paraId="0DE60F37" w14:textId="77777777" w:rsidR="00B2442D" w:rsidRDefault="00B2442D">
      <w:pPr>
        <w:jc w:val="both"/>
        <w:rPr>
          <w:rFonts w:ascii="Arial" w:hAnsi="Arial" w:cs="Arial"/>
          <w:lang w:val="es-CO"/>
        </w:rPr>
      </w:pPr>
    </w:p>
    <w:p w14:paraId="4DE2789D" w14:textId="77777777" w:rsidR="00B2442D" w:rsidRDefault="008A645F">
      <w:pPr>
        <w:jc w:val="both"/>
        <w:rPr>
          <w:rFonts w:ascii="Arial" w:hAnsi="Arial" w:cs="Arial"/>
          <w:lang w:val="es-CO"/>
        </w:rPr>
      </w:pPr>
      <w:r>
        <w:rPr>
          <w:rFonts w:ascii="Arial" w:hAnsi="Arial" w:cs="Arial"/>
          <w:lang w:val="es-CO"/>
        </w:rPr>
        <w:t>4.</w:t>
      </w:r>
      <w:r>
        <w:rPr>
          <w:rFonts w:ascii="Arial" w:hAnsi="Arial" w:cs="Arial"/>
          <w:lang w:val="es-CO"/>
        </w:rPr>
        <w:tab/>
      </w:r>
      <w:r>
        <w:rPr>
          <w:rFonts w:ascii="Arial" w:hAnsi="Arial" w:cs="Arial"/>
          <w:lang w:val="es-CO"/>
        </w:rPr>
        <w:t>El proveedor por su parte deberá dejar esta constancia en las facturas que expida  y conservar la certificación recibida como soporte de sus operaciones, para cuando la Administración lo exija, la cual además le autoriza para tratar los impuestos descontab</w:t>
      </w:r>
      <w:r>
        <w:rPr>
          <w:rFonts w:ascii="Arial" w:hAnsi="Arial" w:cs="Arial"/>
          <w:lang w:val="es-CO"/>
        </w:rPr>
        <w:t xml:space="preserve">les a que tenga derecho de conformidad con los artículos 485 y 490 del Estatuto Tributario, aunque sin derecho a solicitar devolución del saldo a favor que se llegue a originar en algún período bimestral. </w:t>
      </w:r>
    </w:p>
    <w:p w14:paraId="0439EB64" w14:textId="77777777" w:rsidR="00B2442D" w:rsidRDefault="00B2442D">
      <w:pPr>
        <w:jc w:val="both"/>
        <w:rPr>
          <w:rFonts w:ascii="Arial" w:hAnsi="Arial" w:cs="Arial"/>
          <w:lang w:val="es-CO"/>
        </w:rPr>
      </w:pPr>
    </w:p>
    <w:p w14:paraId="3D08125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aspectos no contemplados en los ar</w:t>
      </w:r>
      <w:r>
        <w:rPr>
          <w:rFonts w:ascii="Arial" w:hAnsi="Arial" w:cs="Arial"/>
          <w:lang w:val="es-CO"/>
        </w:rPr>
        <w:t>tículos 1.3.1.9.2 a 1.3.1.9.5 del presente Decreto se regirán por las normas generales contenidas en el Estatuto Tributario y en los correspondientes reglamentos.</w:t>
      </w:r>
    </w:p>
    <w:p w14:paraId="79B3E06D" w14:textId="77777777" w:rsidR="00B2442D" w:rsidRDefault="00B2442D">
      <w:pPr>
        <w:jc w:val="both"/>
        <w:rPr>
          <w:rFonts w:ascii="Arial" w:hAnsi="Arial" w:cs="Arial"/>
          <w:lang w:val="es-CO"/>
        </w:rPr>
      </w:pPr>
    </w:p>
    <w:p w14:paraId="04B5B37B" w14:textId="77777777" w:rsidR="00B2442D" w:rsidRDefault="008A645F">
      <w:pPr>
        <w:jc w:val="both"/>
        <w:rPr>
          <w:rFonts w:ascii="Arial" w:hAnsi="Arial" w:cs="Arial"/>
          <w:i/>
          <w:lang w:val="es-CO"/>
        </w:rPr>
      </w:pPr>
      <w:r>
        <w:rPr>
          <w:rFonts w:ascii="Arial" w:hAnsi="Arial" w:cs="Arial"/>
          <w:i/>
          <w:lang w:val="es-CO"/>
        </w:rPr>
        <w:t>(Art. 4, Decreto 540 de 2004)</w:t>
      </w:r>
    </w:p>
    <w:p w14:paraId="49B32F27" w14:textId="77777777" w:rsidR="00B2442D" w:rsidRDefault="00B2442D">
      <w:pPr>
        <w:jc w:val="both"/>
        <w:rPr>
          <w:rFonts w:ascii="Arial" w:hAnsi="Arial" w:cs="Arial"/>
          <w:lang w:val="es-CO"/>
        </w:rPr>
      </w:pPr>
    </w:p>
    <w:p w14:paraId="7A24D138" w14:textId="77777777" w:rsidR="00B2442D" w:rsidRDefault="008A645F">
      <w:pPr>
        <w:pStyle w:val="Prrafodelista"/>
        <w:numPr>
          <w:ilvl w:val="0"/>
          <w:numId w:val="68"/>
        </w:numPr>
        <w:ind w:left="0" w:firstLine="0"/>
        <w:jc w:val="both"/>
        <w:rPr>
          <w:rFonts w:ascii="Arial" w:hAnsi="Arial" w:cs="Arial"/>
          <w:lang w:val="es-CO"/>
        </w:rPr>
      </w:pPr>
      <w:r>
        <w:rPr>
          <w:rFonts w:ascii="Arial" w:hAnsi="Arial" w:cs="Arial"/>
          <w:b/>
          <w:i/>
          <w:lang w:val="es-CO"/>
        </w:rPr>
        <w:t>Libros y revistas de carácter científico o cultural exentos d</w:t>
      </w:r>
      <w:r>
        <w:rPr>
          <w:rFonts w:ascii="Arial" w:hAnsi="Arial" w:cs="Arial"/>
          <w:b/>
          <w:i/>
          <w:lang w:val="es-CO"/>
        </w:rPr>
        <w:t xml:space="preserve">el impuesto sobre las ventas. </w:t>
      </w:r>
      <w:r>
        <w:rPr>
          <w:rFonts w:ascii="Arial" w:hAnsi="Arial" w:cs="Arial"/>
          <w:lang w:val="es-CO"/>
        </w:rPr>
        <w:t xml:space="preserve">A partir del 1o. de enero de 1985, están exentos del impuesto sobre las ventas los libros y revistas de carácter científico o cultural. </w:t>
      </w:r>
    </w:p>
    <w:p w14:paraId="717B3A51" w14:textId="77777777" w:rsidR="00B2442D" w:rsidRDefault="00B2442D">
      <w:pPr>
        <w:jc w:val="both"/>
        <w:rPr>
          <w:rFonts w:ascii="Arial" w:hAnsi="Arial" w:cs="Arial"/>
          <w:lang w:val="es-CO"/>
        </w:rPr>
      </w:pPr>
    </w:p>
    <w:p w14:paraId="1F7921B3" w14:textId="77777777" w:rsidR="00B2442D" w:rsidRDefault="008A645F">
      <w:pPr>
        <w:jc w:val="both"/>
        <w:rPr>
          <w:rFonts w:ascii="Arial" w:hAnsi="Arial" w:cs="Arial"/>
          <w:lang w:val="es-CO"/>
        </w:rPr>
      </w:pPr>
      <w:r>
        <w:rPr>
          <w:rFonts w:ascii="Arial" w:hAnsi="Arial" w:cs="Arial"/>
          <w:lang w:val="es-CO"/>
        </w:rPr>
        <w:t>Para los efectos del presente Decreto (3142 de 1984) no se consideran de carácter cientí</w:t>
      </w:r>
      <w:r>
        <w:rPr>
          <w:rFonts w:ascii="Arial" w:hAnsi="Arial" w:cs="Arial"/>
          <w:lang w:val="es-CO"/>
        </w:rPr>
        <w:t>fico o cultural los libros y revistas de horóscopos, modas y juegos de azar; las cuales estarán gravados a la tarifa general.</w:t>
      </w:r>
    </w:p>
    <w:p w14:paraId="050E95A4" w14:textId="77777777" w:rsidR="00B2442D" w:rsidRDefault="00B2442D">
      <w:pPr>
        <w:jc w:val="both"/>
        <w:rPr>
          <w:rFonts w:ascii="Arial" w:hAnsi="Arial" w:cs="Arial"/>
          <w:lang w:val="es-CO"/>
        </w:rPr>
      </w:pPr>
    </w:p>
    <w:p w14:paraId="1B8F5E3E" w14:textId="77777777" w:rsidR="00B2442D" w:rsidRDefault="008A645F">
      <w:pPr>
        <w:jc w:val="both"/>
        <w:rPr>
          <w:rFonts w:ascii="Arial" w:hAnsi="Arial" w:cs="Arial"/>
          <w:i/>
          <w:lang w:val="es-CO"/>
        </w:rPr>
      </w:pPr>
      <w:r>
        <w:rPr>
          <w:rFonts w:ascii="Arial" w:hAnsi="Arial" w:cs="Arial"/>
          <w:i/>
          <w:lang w:val="es-CO"/>
        </w:rPr>
        <w:t>(Art. 1, Decreto 3142 de 1984. Las expresiones fotonovelas, tiras cómicas o historietas gráficas son de carácter científico o cul</w:t>
      </w:r>
      <w:r>
        <w:rPr>
          <w:rFonts w:ascii="Arial" w:hAnsi="Arial" w:cs="Arial"/>
          <w:i/>
          <w:lang w:val="es-CO"/>
        </w:rPr>
        <w:t>tural, según Sentencia C-1023 de 2012, de la Corte Constitucional. Se elimina la expresión “del 10%”, porque según el artículo 26 de la Ley 633 de 2000, hoy artículo 468 del ET, la tarifa general del IVA es del diez y seis por ciento (16%))</w:t>
      </w:r>
    </w:p>
    <w:p w14:paraId="661F23B3" w14:textId="77777777" w:rsidR="00B2442D" w:rsidRDefault="00B2442D">
      <w:pPr>
        <w:jc w:val="both"/>
        <w:rPr>
          <w:rFonts w:ascii="Arial" w:hAnsi="Arial" w:cs="Arial"/>
          <w:lang w:val="es-CO"/>
        </w:rPr>
      </w:pPr>
    </w:p>
    <w:p w14:paraId="53A96630" w14:textId="77777777" w:rsidR="00B2442D" w:rsidRDefault="008A645F">
      <w:pPr>
        <w:pStyle w:val="Ttulo4"/>
        <w:rPr>
          <w:lang w:val="es-CO"/>
        </w:rPr>
      </w:pPr>
      <w:r>
        <w:rPr>
          <w:lang w:val="es-CO"/>
        </w:rPr>
        <w:t>CAPÍTULO 10</w:t>
      </w:r>
    </w:p>
    <w:p w14:paraId="24C22950" w14:textId="77777777" w:rsidR="00B2442D" w:rsidRDefault="008A645F">
      <w:pPr>
        <w:pStyle w:val="Ttulo4"/>
        <w:rPr>
          <w:lang w:val="es-CO"/>
        </w:rPr>
      </w:pPr>
      <w:r>
        <w:rPr>
          <w:lang w:val="es-CO"/>
        </w:rPr>
        <w:t>Ventas de bienes exentas del impuesto sobre las ventas – IVA</w:t>
      </w:r>
    </w:p>
    <w:p w14:paraId="47B7AECA" w14:textId="77777777" w:rsidR="00B2442D" w:rsidRDefault="00B2442D">
      <w:pPr>
        <w:rPr>
          <w:rFonts w:ascii="Arial" w:hAnsi="Arial" w:cs="Arial"/>
          <w:lang w:val="es-CO"/>
        </w:rPr>
      </w:pPr>
    </w:p>
    <w:p w14:paraId="6CB95538"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Procesos de producción</w:t>
      </w:r>
      <w:r>
        <w:rPr>
          <w:rFonts w:ascii="Arial" w:hAnsi="Arial" w:cs="Arial"/>
          <w:lang w:val="es-CO"/>
        </w:rPr>
        <w:t>. Cuando una persona realice los varios procesos requeridos para la cría, el levante y el engorde o la ceba de los animales, cuyas carnes y despojos comestibles son exento</w:t>
      </w:r>
      <w:r>
        <w:rPr>
          <w:rFonts w:ascii="Arial" w:hAnsi="Arial" w:cs="Arial"/>
          <w:lang w:val="es-CO"/>
        </w:rPr>
        <w:t xml:space="preserve">s del impuesto sobre las ventas, tiene derecho a solicitar como impuesto descontable la totalidad del impuesto pagado por los bienes y servicios gravados que constituyan costo o gasto para la producción y comercialización de los bienes exentos, observando </w:t>
      </w:r>
      <w:r>
        <w:rPr>
          <w:rFonts w:ascii="Arial" w:hAnsi="Arial" w:cs="Arial"/>
          <w:lang w:val="es-CO"/>
        </w:rPr>
        <w:t>la oportunidad consagrada en el artículo 496 del Estatuto Tributario.</w:t>
      </w:r>
    </w:p>
    <w:p w14:paraId="1D073D62" w14:textId="77777777" w:rsidR="00B2442D" w:rsidRDefault="00B2442D">
      <w:pPr>
        <w:jc w:val="both"/>
        <w:rPr>
          <w:rFonts w:ascii="Arial" w:hAnsi="Arial" w:cs="Arial"/>
          <w:lang w:val="es-CO"/>
        </w:rPr>
      </w:pPr>
    </w:p>
    <w:p w14:paraId="39CA8BC7" w14:textId="77777777" w:rsidR="00B2442D" w:rsidRDefault="008A645F">
      <w:pPr>
        <w:rPr>
          <w:rFonts w:ascii="Arial" w:hAnsi="Arial" w:cs="Arial"/>
          <w:i/>
          <w:lang w:val="es-CO"/>
        </w:rPr>
      </w:pPr>
      <w:r>
        <w:rPr>
          <w:rFonts w:ascii="Arial" w:hAnsi="Arial" w:cs="Arial"/>
          <w:i/>
          <w:lang w:val="es-CO"/>
        </w:rPr>
        <w:t>(Art. 4, Decreto 1949 de 2003, Parágrafo derogado por el artículo 1 del Decreto 3731 de 2005)</w:t>
      </w:r>
    </w:p>
    <w:p w14:paraId="2A612D75" w14:textId="77777777" w:rsidR="00B2442D" w:rsidRDefault="00B2442D">
      <w:pPr>
        <w:jc w:val="both"/>
        <w:rPr>
          <w:rFonts w:ascii="Arial" w:hAnsi="Arial" w:cs="Arial"/>
          <w:lang w:val="es-CO"/>
        </w:rPr>
      </w:pPr>
    </w:p>
    <w:p w14:paraId="6D19A503"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Productores de huevos</w:t>
      </w:r>
      <w:r>
        <w:rPr>
          <w:rFonts w:ascii="Arial" w:hAnsi="Arial" w:cs="Arial"/>
          <w:i/>
          <w:lang w:val="es-CO"/>
        </w:rPr>
        <w:t>.</w:t>
      </w:r>
      <w:r>
        <w:rPr>
          <w:rFonts w:ascii="Arial" w:hAnsi="Arial" w:cs="Arial"/>
          <w:lang w:val="es-CO"/>
        </w:rPr>
        <w:t xml:space="preserve"> Los productores de huevos tienen derecho a tratar como descontable</w:t>
      </w:r>
      <w:r>
        <w:rPr>
          <w:rFonts w:ascii="Arial" w:hAnsi="Arial" w:cs="Arial"/>
          <w:lang w:val="es-CO"/>
        </w:rPr>
        <w:t xml:space="preserve"> el impuesto sobre las ventas pagado sobre bienes y servicios que constituyan costo o gasto necesario para el desarrollo del proceso de producción y comercialización por parte del avicultor.</w:t>
      </w:r>
    </w:p>
    <w:p w14:paraId="0BDC572F" w14:textId="77777777" w:rsidR="00B2442D" w:rsidRDefault="00B2442D">
      <w:pPr>
        <w:jc w:val="both"/>
        <w:rPr>
          <w:rFonts w:ascii="Arial" w:hAnsi="Arial" w:cs="Arial"/>
          <w:lang w:val="es-CO"/>
        </w:rPr>
      </w:pPr>
    </w:p>
    <w:p w14:paraId="1F09598D" w14:textId="77777777" w:rsidR="00B2442D" w:rsidRDefault="008A645F">
      <w:pPr>
        <w:jc w:val="both"/>
        <w:rPr>
          <w:rFonts w:ascii="Arial" w:hAnsi="Arial" w:cs="Arial"/>
          <w:i/>
          <w:lang w:val="es-CO"/>
        </w:rPr>
      </w:pPr>
      <w:r>
        <w:rPr>
          <w:rFonts w:ascii="Arial" w:hAnsi="Arial" w:cs="Arial"/>
          <w:i/>
          <w:lang w:val="es-CO"/>
        </w:rPr>
        <w:t>(Art. 5, Decreto 1949 de 2003)</w:t>
      </w:r>
    </w:p>
    <w:p w14:paraId="44BD47E5" w14:textId="77777777" w:rsidR="00B2442D" w:rsidRDefault="00B2442D">
      <w:pPr>
        <w:jc w:val="both"/>
        <w:rPr>
          <w:rFonts w:ascii="Arial" w:hAnsi="Arial" w:cs="Arial"/>
          <w:i/>
          <w:lang w:val="es-CO"/>
        </w:rPr>
      </w:pPr>
    </w:p>
    <w:p w14:paraId="2C7BF595"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Cuadernos de tipo escolar exentos del impuesto sobre las ventas.</w:t>
      </w:r>
      <w:r>
        <w:rPr>
          <w:rFonts w:ascii="Arial" w:hAnsi="Arial" w:cs="Arial"/>
          <w:lang w:val="es-CO"/>
        </w:rPr>
        <w:t xml:space="preserve"> Conforme con lo previsto en el literal f) del artículo 481 del Estatuto Tributario, se consideran como bienes exentos del impuesto sobre las ventas con derecho a devolución bimestral los cua</w:t>
      </w:r>
      <w:r>
        <w:rPr>
          <w:rFonts w:ascii="Arial" w:hAnsi="Arial" w:cs="Arial"/>
          <w:lang w:val="es-CO"/>
        </w:rPr>
        <w:t>dernos de tipo escolar clasificados en la sub partida arancelaria 48.20.20.00.00.</w:t>
      </w:r>
    </w:p>
    <w:p w14:paraId="2A89235B" w14:textId="77777777" w:rsidR="00B2442D" w:rsidRDefault="00B2442D">
      <w:pPr>
        <w:jc w:val="both"/>
        <w:rPr>
          <w:rFonts w:ascii="Arial" w:hAnsi="Arial" w:cs="Arial"/>
          <w:lang w:val="es-CO"/>
        </w:rPr>
      </w:pPr>
    </w:p>
    <w:p w14:paraId="6A1E25CF" w14:textId="77777777" w:rsidR="00B2442D" w:rsidRDefault="008A645F">
      <w:pPr>
        <w:jc w:val="both"/>
        <w:rPr>
          <w:rFonts w:ascii="Arial" w:hAnsi="Arial" w:cs="Arial"/>
          <w:i/>
          <w:lang w:val="es-CO"/>
        </w:rPr>
      </w:pPr>
      <w:r>
        <w:rPr>
          <w:rFonts w:ascii="Arial" w:hAnsi="Arial" w:cs="Arial"/>
          <w:i/>
          <w:lang w:val="es-CO"/>
        </w:rPr>
        <w:t>(Art. 18, Decreto 1794 de 2013)</w:t>
      </w:r>
    </w:p>
    <w:p w14:paraId="219D688B" w14:textId="77777777" w:rsidR="00B2442D" w:rsidRDefault="00B2442D">
      <w:pPr>
        <w:jc w:val="both"/>
        <w:rPr>
          <w:rFonts w:ascii="Arial" w:hAnsi="Arial" w:cs="Arial"/>
          <w:i/>
          <w:lang w:val="es-CO"/>
        </w:rPr>
      </w:pPr>
    </w:p>
    <w:p w14:paraId="2EC05704"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Condiciones para acceder al beneficio de exclusión del IVA.</w:t>
      </w:r>
      <w:r>
        <w:rPr>
          <w:rFonts w:ascii="Arial" w:hAnsi="Arial" w:cs="Arial"/>
          <w:lang w:val="es-CO"/>
        </w:rPr>
        <w:t xml:space="preserve"> Para acceder en la adquisición de vehículos de servicio de transporte público d</w:t>
      </w:r>
      <w:r>
        <w:rPr>
          <w:rFonts w:ascii="Arial" w:hAnsi="Arial" w:cs="Arial"/>
          <w:lang w:val="es-CO"/>
        </w:rPr>
        <w:t>e pasajeros al beneficio de  exclusión del IVA, establecido en el numeral 11 del artículo 424 del Estatuto Tributario, modificado por el artículo 38 de la Ley 1607 de 2012, deberán cumplirse las siguientes condiciones:</w:t>
      </w:r>
    </w:p>
    <w:p w14:paraId="23D708F9" w14:textId="77777777" w:rsidR="00B2442D" w:rsidRDefault="00B2442D">
      <w:pPr>
        <w:jc w:val="both"/>
        <w:rPr>
          <w:rFonts w:ascii="Arial" w:hAnsi="Arial" w:cs="Arial"/>
          <w:lang w:val="es-CO"/>
        </w:rPr>
      </w:pPr>
    </w:p>
    <w:p w14:paraId="0B800E1B" w14:textId="77777777" w:rsidR="00B2442D" w:rsidRDefault="008A645F">
      <w:pPr>
        <w:ind w:left="284" w:hanging="284"/>
        <w:jc w:val="both"/>
        <w:rPr>
          <w:rFonts w:ascii="Arial" w:hAnsi="Arial" w:cs="Arial"/>
          <w:lang w:val="es-CO"/>
        </w:rPr>
      </w:pPr>
      <w:r>
        <w:rPr>
          <w:rFonts w:ascii="Arial" w:hAnsi="Arial" w:cs="Arial"/>
          <w:lang w:val="es-CO"/>
        </w:rPr>
        <w:t xml:space="preserve">1. </w:t>
      </w:r>
      <w:r>
        <w:rPr>
          <w:rFonts w:ascii="Arial" w:hAnsi="Arial" w:cs="Arial"/>
          <w:lang w:val="es-CO"/>
        </w:rPr>
        <w:tab/>
        <w:t>Que el beneficiario se encuentre</w:t>
      </w:r>
      <w:r>
        <w:rPr>
          <w:rFonts w:ascii="Arial" w:hAnsi="Arial" w:cs="Arial"/>
          <w:lang w:val="es-CO"/>
        </w:rPr>
        <w:t xml:space="preserve"> inscrito en el sistema RUNT.</w:t>
      </w:r>
    </w:p>
    <w:p w14:paraId="4AA9C686" w14:textId="77777777" w:rsidR="00B2442D" w:rsidRDefault="00B2442D">
      <w:pPr>
        <w:ind w:left="284" w:hanging="284"/>
        <w:jc w:val="both"/>
        <w:rPr>
          <w:rFonts w:ascii="Arial" w:hAnsi="Arial" w:cs="Arial"/>
          <w:lang w:val="es-CO"/>
        </w:rPr>
      </w:pPr>
    </w:p>
    <w:p w14:paraId="6E31DCA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Que el vehículo objeto de reposición sea de servicio de transporte público de pasajeros y esté registrado en el sistema RUNT.</w:t>
      </w:r>
    </w:p>
    <w:p w14:paraId="09EB6BBC" w14:textId="77777777" w:rsidR="00B2442D" w:rsidRDefault="00B2442D">
      <w:pPr>
        <w:ind w:left="284" w:hanging="284"/>
        <w:jc w:val="both"/>
        <w:rPr>
          <w:rFonts w:ascii="Arial" w:hAnsi="Arial" w:cs="Arial"/>
          <w:lang w:val="es-CO"/>
        </w:rPr>
      </w:pPr>
    </w:p>
    <w:p w14:paraId="2790B615"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Que el beneficiario sea propietario de manera directa o indirecta de menos de tres (3) vehíc</w:t>
      </w:r>
      <w:r>
        <w:rPr>
          <w:rFonts w:ascii="Arial" w:hAnsi="Arial" w:cs="Arial"/>
          <w:lang w:val="es-CO"/>
        </w:rPr>
        <w:t>ulos de servicio de transporte público de pasajeros, condición que se validará a través del sistema RUNT.</w:t>
      </w:r>
    </w:p>
    <w:p w14:paraId="75A6129A" w14:textId="77777777" w:rsidR="00B2442D" w:rsidRDefault="00B2442D">
      <w:pPr>
        <w:ind w:left="284" w:hanging="284"/>
        <w:jc w:val="both"/>
        <w:rPr>
          <w:rFonts w:ascii="Arial" w:hAnsi="Arial" w:cs="Arial"/>
          <w:lang w:val="es-CO"/>
        </w:rPr>
      </w:pPr>
    </w:p>
    <w:p w14:paraId="7F248904"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Que el contribuyente beneficiario se encuentre inscrito en el Registro Único Tributario (RUT).</w:t>
      </w:r>
    </w:p>
    <w:p w14:paraId="37A94E06" w14:textId="77777777" w:rsidR="00B2442D" w:rsidRDefault="00B2442D">
      <w:pPr>
        <w:ind w:left="284" w:hanging="284"/>
        <w:jc w:val="both"/>
        <w:rPr>
          <w:rFonts w:ascii="Arial" w:hAnsi="Arial" w:cs="Arial"/>
          <w:lang w:val="es-CO"/>
        </w:rPr>
      </w:pPr>
    </w:p>
    <w:p w14:paraId="7523017C"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Que el vehículo de servicio de transporte públi</w:t>
      </w:r>
      <w:r>
        <w:rPr>
          <w:rFonts w:ascii="Arial" w:hAnsi="Arial" w:cs="Arial"/>
          <w:lang w:val="es-CO"/>
        </w:rPr>
        <w:t>co a reponer se encuentre libre de todo gravamen o afectación jurídica que limite la libre disposición del automotor, condición que se validará a través del sistema RUNT.</w:t>
      </w:r>
    </w:p>
    <w:p w14:paraId="5AFCF2EC" w14:textId="77777777" w:rsidR="00B2442D" w:rsidRDefault="00B2442D">
      <w:pPr>
        <w:ind w:left="284" w:hanging="284"/>
        <w:jc w:val="both"/>
        <w:rPr>
          <w:rFonts w:ascii="Arial" w:hAnsi="Arial" w:cs="Arial"/>
          <w:lang w:val="es-CO"/>
        </w:rPr>
      </w:pPr>
    </w:p>
    <w:p w14:paraId="350031C2"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t>Que el propietario no haya obtenido con anterioridad el beneficio de que trata el</w:t>
      </w:r>
      <w:r>
        <w:rPr>
          <w:rFonts w:ascii="Arial" w:hAnsi="Arial" w:cs="Arial"/>
          <w:lang w:val="es-CO"/>
        </w:rPr>
        <w:t xml:space="preserve"> presente decreto, condición que se validará a través del sistema RUNT.</w:t>
      </w:r>
    </w:p>
    <w:p w14:paraId="6381BA23" w14:textId="77777777" w:rsidR="00B2442D" w:rsidRDefault="00B2442D">
      <w:pPr>
        <w:ind w:left="284" w:hanging="284"/>
        <w:jc w:val="both"/>
        <w:rPr>
          <w:rFonts w:ascii="Arial" w:hAnsi="Arial" w:cs="Arial"/>
          <w:lang w:val="es-CO"/>
        </w:rPr>
      </w:pPr>
    </w:p>
    <w:p w14:paraId="02CEC8AE" w14:textId="77777777" w:rsidR="00B2442D" w:rsidRDefault="008A645F">
      <w:pPr>
        <w:ind w:left="284" w:hanging="284"/>
        <w:jc w:val="both"/>
        <w:rPr>
          <w:rFonts w:ascii="Arial" w:hAnsi="Arial" w:cs="Arial"/>
          <w:lang w:val="es-CO"/>
        </w:rPr>
      </w:pPr>
      <w:r>
        <w:rPr>
          <w:rFonts w:ascii="Arial" w:hAnsi="Arial" w:cs="Arial"/>
          <w:lang w:val="es-CO"/>
        </w:rPr>
        <w:t>7.</w:t>
      </w:r>
      <w:r>
        <w:rPr>
          <w:rFonts w:ascii="Arial" w:hAnsi="Arial" w:cs="Arial"/>
          <w:lang w:val="es-CO"/>
        </w:rPr>
        <w:tab/>
        <w:t>Que el interesado cancele ante el correspondiente Organismo de Tránsito la matrícula de un vehículo de servicio de transporte público de pasajeros de su propiedad, por desintegraci</w:t>
      </w:r>
      <w:r>
        <w:rPr>
          <w:rFonts w:ascii="Arial" w:hAnsi="Arial" w:cs="Arial"/>
          <w:lang w:val="es-CO"/>
        </w:rPr>
        <w:t>ón física total para reposición con exclusión del IVA, la cual se debe realizar en una entidad desintegradora autorizada por el Ministerio de Transporte. La entidad registrará en el sistema RUNT el respectivo Certificado de Desintegración Física Total.</w:t>
      </w:r>
    </w:p>
    <w:p w14:paraId="51F56745" w14:textId="77777777" w:rsidR="00B2442D" w:rsidRDefault="00B2442D">
      <w:pPr>
        <w:ind w:left="284" w:hanging="284"/>
        <w:jc w:val="both"/>
        <w:rPr>
          <w:rFonts w:ascii="Arial" w:hAnsi="Arial" w:cs="Arial"/>
          <w:lang w:val="es-CO"/>
        </w:rPr>
      </w:pPr>
    </w:p>
    <w:p w14:paraId="4E87946A" w14:textId="77777777" w:rsidR="00B2442D" w:rsidRDefault="008A645F">
      <w:pPr>
        <w:ind w:left="284" w:hanging="284"/>
        <w:jc w:val="both"/>
        <w:rPr>
          <w:rFonts w:ascii="Arial" w:hAnsi="Arial" w:cs="Arial"/>
          <w:lang w:val="es-CO"/>
        </w:rPr>
      </w:pPr>
      <w:r>
        <w:rPr>
          <w:rFonts w:ascii="Arial" w:hAnsi="Arial" w:cs="Arial"/>
          <w:lang w:val="es-CO"/>
        </w:rPr>
        <w:t>8.</w:t>
      </w:r>
      <w:r>
        <w:rPr>
          <w:rFonts w:ascii="Arial" w:hAnsi="Arial" w:cs="Arial"/>
          <w:lang w:val="es-CO"/>
        </w:rPr>
        <w:t xml:space="preserve"> Que el propietario adquiera un vehículo para matricularlo en el servicio de transporte público de pasajeros, homologado por el Ministerio de Transporte, de la misma clase y capacidad del automotor desintegrado y para prestar el servicio en la misma modali</w:t>
      </w:r>
      <w:r>
        <w:rPr>
          <w:rFonts w:ascii="Arial" w:hAnsi="Arial" w:cs="Arial"/>
          <w:lang w:val="es-CO"/>
        </w:rPr>
        <w:t>dad y radio de acción y sea registrado a nombre del beneficiario como titular del derecho de dominio.</w:t>
      </w:r>
    </w:p>
    <w:p w14:paraId="425588E4" w14:textId="77777777" w:rsidR="00B2442D" w:rsidRDefault="00B2442D">
      <w:pPr>
        <w:ind w:left="284" w:hanging="284"/>
        <w:jc w:val="both"/>
        <w:rPr>
          <w:rFonts w:ascii="Arial" w:hAnsi="Arial" w:cs="Arial"/>
          <w:lang w:val="es-CO"/>
        </w:rPr>
      </w:pPr>
    </w:p>
    <w:p w14:paraId="66715942" w14:textId="77777777" w:rsidR="00B2442D" w:rsidRDefault="008A645F">
      <w:pPr>
        <w:ind w:left="284" w:hanging="284"/>
        <w:jc w:val="both"/>
        <w:rPr>
          <w:rFonts w:ascii="Arial" w:hAnsi="Arial" w:cs="Arial"/>
          <w:lang w:val="es-CO"/>
        </w:rPr>
      </w:pPr>
      <w:r>
        <w:rPr>
          <w:rFonts w:ascii="Arial" w:hAnsi="Arial" w:cs="Arial"/>
          <w:lang w:val="es-CO"/>
        </w:rPr>
        <w:t>9. Que el vehículo de servicio público de transporte de pasajeros que va a ser desintegrado tenga tarjeta de operación y contrato de vinculación vigente.</w:t>
      </w:r>
    </w:p>
    <w:p w14:paraId="257A2F4A" w14:textId="77777777" w:rsidR="00B2442D" w:rsidRDefault="00B2442D">
      <w:pPr>
        <w:jc w:val="both"/>
        <w:rPr>
          <w:rFonts w:ascii="Arial" w:hAnsi="Arial" w:cs="Arial"/>
          <w:lang w:val="es-CO"/>
        </w:rPr>
      </w:pPr>
    </w:p>
    <w:p w14:paraId="5B74FC74" w14:textId="77777777" w:rsidR="00B2442D" w:rsidRDefault="008A645F">
      <w:pPr>
        <w:jc w:val="both"/>
        <w:rPr>
          <w:rFonts w:ascii="Arial" w:hAnsi="Arial" w:cs="Arial"/>
          <w:i/>
          <w:lang w:val="es-CO"/>
        </w:rPr>
      </w:pPr>
      <w:r>
        <w:rPr>
          <w:rFonts w:ascii="Arial" w:hAnsi="Arial" w:cs="Arial"/>
          <w:i/>
          <w:lang w:val="es-CO"/>
        </w:rPr>
        <w:t>(Art. 1, Decreto 0248 de 2015)</w:t>
      </w:r>
    </w:p>
    <w:p w14:paraId="3205CE6D" w14:textId="77777777" w:rsidR="00B2442D" w:rsidRDefault="00B2442D">
      <w:pPr>
        <w:jc w:val="both"/>
        <w:rPr>
          <w:rFonts w:ascii="Arial" w:hAnsi="Arial" w:cs="Arial"/>
          <w:lang w:val="es-CO"/>
        </w:rPr>
      </w:pPr>
    </w:p>
    <w:p w14:paraId="23CCEEBC"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Procedimiento para acceder al beneficio de exclusión del IVA.</w:t>
      </w:r>
      <w:r>
        <w:rPr>
          <w:rFonts w:ascii="Arial" w:hAnsi="Arial" w:cs="Arial"/>
          <w:lang w:val="es-CO"/>
        </w:rPr>
        <w:t xml:space="preserve"> Para acceder en la adquisición de vehículos de servicio de transporte público de pasajeros al beneficio de exclusión del IVA establecido en el numeral 11 del artículo 424 del Estatuto Tributario, modificado por el artículo 38 de la Ley 1607 de 2012, deber</w:t>
      </w:r>
      <w:r>
        <w:rPr>
          <w:rFonts w:ascii="Arial" w:hAnsi="Arial" w:cs="Arial"/>
          <w:lang w:val="es-CO"/>
        </w:rPr>
        <w:t>á observarse el siguiente procedimiento:</w:t>
      </w:r>
    </w:p>
    <w:p w14:paraId="07EF728C" w14:textId="77777777" w:rsidR="00B2442D" w:rsidRDefault="00B2442D">
      <w:pPr>
        <w:jc w:val="both"/>
        <w:rPr>
          <w:rFonts w:ascii="Arial" w:hAnsi="Arial" w:cs="Arial"/>
          <w:lang w:val="es-CO"/>
        </w:rPr>
      </w:pPr>
    </w:p>
    <w:p w14:paraId="080A2CF2" w14:textId="77777777" w:rsidR="00B2442D" w:rsidRDefault="008A645F">
      <w:pPr>
        <w:jc w:val="both"/>
        <w:rPr>
          <w:rFonts w:ascii="Arial" w:hAnsi="Arial" w:cs="Arial"/>
          <w:lang w:val="es-CO"/>
        </w:rPr>
      </w:pPr>
      <w:r>
        <w:rPr>
          <w:rFonts w:ascii="Arial" w:hAnsi="Arial" w:cs="Arial"/>
          <w:lang w:val="es-CO"/>
        </w:rPr>
        <w:t>1. Consistencia de la información: El propietario del vehículo deberá verificar previamente que la información consignada en la licencia de tránsito, corresponde a las características técnicas y de identificación r</w:t>
      </w:r>
      <w:r>
        <w:rPr>
          <w:rFonts w:ascii="Arial" w:hAnsi="Arial" w:cs="Arial"/>
          <w:lang w:val="es-CO"/>
        </w:rPr>
        <w:t>eal del vehículo.</w:t>
      </w:r>
    </w:p>
    <w:p w14:paraId="096AE95A" w14:textId="77777777" w:rsidR="00B2442D" w:rsidRDefault="00B2442D">
      <w:pPr>
        <w:jc w:val="both"/>
        <w:rPr>
          <w:rFonts w:ascii="Arial" w:hAnsi="Arial" w:cs="Arial"/>
          <w:lang w:val="es-CO"/>
        </w:rPr>
      </w:pPr>
    </w:p>
    <w:p w14:paraId="6586E654" w14:textId="77777777" w:rsidR="00B2442D" w:rsidRDefault="008A645F">
      <w:pPr>
        <w:jc w:val="both"/>
        <w:rPr>
          <w:rFonts w:ascii="Arial" w:hAnsi="Arial" w:cs="Arial"/>
          <w:lang w:val="es-CO"/>
        </w:rPr>
      </w:pPr>
      <w:r>
        <w:rPr>
          <w:rFonts w:ascii="Arial" w:hAnsi="Arial" w:cs="Arial"/>
          <w:lang w:val="es-CO"/>
        </w:rPr>
        <w:t>De igual manera, verificará la información consignada en la Licencia de Tránsito con la registrada en el RUNT, a través de la consulta de vehículos dispuesta en la página de internet http://www.runt.com.co y si de la verificación constat</w:t>
      </w:r>
      <w:r>
        <w:rPr>
          <w:rFonts w:ascii="Arial" w:hAnsi="Arial" w:cs="Arial"/>
          <w:lang w:val="es-CO"/>
        </w:rPr>
        <w:t>a que el vehículo no se encuentra registrado en el sistema, que hay diferencias entre la información de la Licencia de Tránsito y la registrada en el RUNT o con respecto a las características técnicas y de identificación del vehículo, la existencia de algú</w:t>
      </w:r>
      <w:r>
        <w:rPr>
          <w:rFonts w:ascii="Arial" w:hAnsi="Arial" w:cs="Arial"/>
          <w:lang w:val="es-CO"/>
        </w:rPr>
        <w:t>n registro de acto de limitación o gravamen a la propiedad del vehículo que impida la realización del proceso o sanción ejecutoriada de aquellas que impiden la realización de trámites de tránsito, se deberán subsanar las inconsistencias previamente a la pr</w:t>
      </w:r>
      <w:r>
        <w:rPr>
          <w:rFonts w:ascii="Arial" w:hAnsi="Arial" w:cs="Arial"/>
          <w:lang w:val="es-CO"/>
        </w:rPr>
        <w:t>esentación de la solicitud.</w:t>
      </w:r>
    </w:p>
    <w:p w14:paraId="033F0D0B" w14:textId="77777777" w:rsidR="00B2442D" w:rsidRDefault="00B2442D">
      <w:pPr>
        <w:jc w:val="both"/>
        <w:rPr>
          <w:rFonts w:ascii="Arial" w:hAnsi="Arial" w:cs="Arial"/>
          <w:lang w:val="es-CO"/>
        </w:rPr>
      </w:pPr>
    </w:p>
    <w:p w14:paraId="24E42162" w14:textId="77777777" w:rsidR="00B2442D" w:rsidRDefault="008A645F">
      <w:pPr>
        <w:jc w:val="both"/>
        <w:rPr>
          <w:rFonts w:ascii="Arial" w:hAnsi="Arial" w:cs="Arial"/>
          <w:lang w:val="es-CO"/>
        </w:rPr>
      </w:pPr>
      <w:r>
        <w:rPr>
          <w:rFonts w:ascii="Arial" w:hAnsi="Arial" w:cs="Arial"/>
          <w:lang w:val="es-CO"/>
        </w:rPr>
        <w:t>Cuando el vehículo no se encuentre registrado en el RUNT, el propietario deberá solicitar la migración al Organismo de Tránsito correspondiente, la cual deberá efectuarse dentro de los tres (3) días hábiles siguientes a la soli</w:t>
      </w:r>
      <w:r>
        <w:rPr>
          <w:rFonts w:ascii="Arial" w:hAnsi="Arial" w:cs="Arial"/>
          <w:lang w:val="es-CO"/>
        </w:rPr>
        <w:t>citud. Vencido el término sin que se realice la migración, el propietario remitirá copia de la solicitud a la Subdirección de Tránsito del Ministerio de Transporte para que se requiera al Organismo de Tránsito, a través de correo electrónico.</w:t>
      </w:r>
    </w:p>
    <w:p w14:paraId="5EE183E5" w14:textId="77777777" w:rsidR="00B2442D" w:rsidRDefault="00B2442D">
      <w:pPr>
        <w:jc w:val="both"/>
        <w:rPr>
          <w:rFonts w:ascii="Arial" w:hAnsi="Arial" w:cs="Arial"/>
          <w:lang w:val="es-CO"/>
        </w:rPr>
      </w:pPr>
    </w:p>
    <w:p w14:paraId="0C8DCA20" w14:textId="77777777" w:rsidR="00B2442D" w:rsidRDefault="008A645F">
      <w:pPr>
        <w:jc w:val="both"/>
        <w:rPr>
          <w:rFonts w:ascii="Arial" w:hAnsi="Arial" w:cs="Arial"/>
          <w:lang w:val="es-CO"/>
        </w:rPr>
      </w:pPr>
      <w:r>
        <w:rPr>
          <w:rFonts w:ascii="Arial" w:hAnsi="Arial" w:cs="Arial"/>
          <w:lang w:val="es-CO"/>
        </w:rPr>
        <w:t>2. Solicitud</w:t>
      </w:r>
      <w:r>
        <w:rPr>
          <w:rFonts w:ascii="Arial" w:hAnsi="Arial" w:cs="Arial"/>
          <w:lang w:val="es-CO"/>
        </w:rPr>
        <w:t>: Culminada la revisión de consistencia de la información, el propietario diligenciará a través de la página web http://www.runt.com.co el formulario de solicitud de desintegración para posterior reposición con exclusión del IVA, siguiendo el instructivo e</w:t>
      </w:r>
      <w:r>
        <w:rPr>
          <w:rFonts w:ascii="Arial" w:hAnsi="Arial" w:cs="Arial"/>
          <w:lang w:val="es-CO"/>
        </w:rPr>
        <w:t>stablecido por la Dirección de Transporte y Tránsito del Ministerio de Transporte.</w:t>
      </w:r>
    </w:p>
    <w:p w14:paraId="368FF09D" w14:textId="77777777" w:rsidR="00B2442D" w:rsidRDefault="00B2442D">
      <w:pPr>
        <w:jc w:val="both"/>
        <w:rPr>
          <w:rFonts w:ascii="Arial" w:hAnsi="Arial" w:cs="Arial"/>
          <w:lang w:val="es-CO"/>
        </w:rPr>
      </w:pPr>
    </w:p>
    <w:p w14:paraId="4B0E7959" w14:textId="77777777" w:rsidR="00B2442D" w:rsidRDefault="008A645F">
      <w:pPr>
        <w:jc w:val="both"/>
        <w:rPr>
          <w:rFonts w:ascii="Arial" w:hAnsi="Arial" w:cs="Arial"/>
          <w:lang w:val="es-CO"/>
        </w:rPr>
      </w:pPr>
      <w:r>
        <w:rPr>
          <w:rFonts w:ascii="Arial" w:hAnsi="Arial" w:cs="Arial"/>
          <w:lang w:val="es-CO"/>
        </w:rPr>
        <w:t>3. Validación de condiciones y consistencia de la información: El Ministerio de Transporte a través del RUNT, validará la información registrada en el formulario de solicit</w:t>
      </w:r>
      <w:r>
        <w:rPr>
          <w:rFonts w:ascii="Arial" w:hAnsi="Arial" w:cs="Arial"/>
          <w:lang w:val="es-CO"/>
        </w:rPr>
        <w:t xml:space="preserve">ud de desintegración para posterior reposición con exclusión del IVA. De igual manera, el requisito señalado en el numeral 4 del artículo 1.3.1.10.4 del presente decreto, con la información de los sistemas o servicios que la Unidad Administrativa Especial </w:t>
      </w:r>
      <w:r>
        <w:rPr>
          <w:rFonts w:ascii="Arial" w:hAnsi="Arial" w:cs="Arial"/>
          <w:lang w:val="es-CO"/>
        </w:rPr>
        <w:t>Dirección de Impuestos y Aduanas Nacionales-DIAN disponga para su consulta. Si se cumplen las condiciones establecidas en los numerales 1 al 5 del artículo 1.3.1.10.4 del presente decreto y si la información del vehículo registrada en el formulario es cons</w:t>
      </w:r>
      <w:r>
        <w:rPr>
          <w:rFonts w:ascii="Arial" w:hAnsi="Arial" w:cs="Arial"/>
          <w:lang w:val="es-CO"/>
        </w:rPr>
        <w:t>istente, el sistema registrará la solicitud de desintegración para posterior reposición con exclusión del IVA e informará la aceptación por correo electrónico al propietario del vehículo.</w:t>
      </w:r>
    </w:p>
    <w:p w14:paraId="05521BA9" w14:textId="77777777" w:rsidR="00B2442D" w:rsidRDefault="00B2442D">
      <w:pPr>
        <w:jc w:val="both"/>
        <w:rPr>
          <w:rFonts w:ascii="Arial" w:hAnsi="Arial" w:cs="Arial"/>
          <w:lang w:val="es-CO"/>
        </w:rPr>
      </w:pPr>
    </w:p>
    <w:p w14:paraId="39FBCB15" w14:textId="77777777" w:rsidR="00B2442D" w:rsidRDefault="008A645F">
      <w:pPr>
        <w:jc w:val="both"/>
        <w:rPr>
          <w:rFonts w:ascii="Arial" w:hAnsi="Arial" w:cs="Arial"/>
          <w:lang w:val="es-CO"/>
        </w:rPr>
      </w:pPr>
      <w:r>
        <w:rPr>
          <w:rFonts w:ascii="Arial" w:hAnsi="Arial" w:cs="Arial"/>
          <w:lang w:val="es-CO"/>
        </w:rPr>
        <w:t xml:space="preserve">Si por el contrario, la información ingresada en la solicitud y la </w:t>
      </w:r>
      <w:r>
        <w:rPr>
          <w:rFonts w:ascii="Arial" w:hAnsi="Arial" w:cs="Arial"/>
          <w:lang w:val="es-CO"/>
        </w:rPr>
        <w:t>registrada en el RUNT no es consistente o existe registro de acto de limitación o gravamen a la propiedad del vehículo que impida la realización del proceso o sanción ejecutoriada de aquellas que impiden efectuar trámites de tránsito, podrá el propietario,</w:t>
      </w:r>
      <w:r>
        <w:rPr>
          <w:rFonts w:ascii="Arial" w:hAnsi="Arial" w:cs="Arial"/>
          <w:lang w:val="es-CO"/>
        </w:rPr>
        <w:t xml:space="preserve"> una vez subsanadas las inconsistencias, nuevamente diligenciar el formulario de solicitud de desintegración para posterior reposición con exclusión del IVA y finalmente, si no se cumplen las condiciones señaladas en los numerales 1 al 5 del artículo 1.3.1</w:t>
      </w:r>
      <w:r>
        <w:rPr>
          <w:rFonts w:ascii="Arial" w:hAnsi="Arial" w:cs="Arial"/>
          <w:lang w:val="es-CO"/>
        </w:rPr>
        <w:t>.10.4 del presente decreto, se rechazará de plano la solicitud.</w:t>
      </w:r>
    </w:p>
    <w:p w14:paraId="0BAAB04F" w14:textId="77777777" w:rsidR="00B2442D" w:rsidRDefault="00B2442D">
      <w:pPr>
        <w:jc w:val="both"/>
        <w:rPr>
          <w:rFonts w:ascii="Arial" w:hAnsi="Arial" w:cs="Arial"/>
          <w:lang w:val="es-CO"/>
        </w:rPr>
      </w:pPr>
    </w:p>
    <w:p w14:paraId="2E3A8BB6" w14:textId="77777777" w:rsidR="00B2442D" w:rsidRDefault="008A645F">
      <w:pPr>
        <w:jc w:val="both"/>
        <w:rPr>
          <w:rFonts w:ascii="Arial" w:hAnsi="Arial" w:cs="Arial"/>
          <w:lang w:val="es-CO"/>
        </w:rPr>
      </w:pPr>
      <w:r>
        <w:rPr>
          <w:rFonts w:ascii="Arial" w:hAnsi="Arial" w:cs="Arial"/>
          <w:lang w:val="es-CO"/>
        </w:rPr>
        <w:t>4. Llamado del vehículo: Una vez validada satisfactoriamente la información, el sistema RUNT generará el correspondiente informe al propietario del vehículo a través del correo electrónico re</w:t>
      </w:r>
      <w:r>
        <w:rPr>
          <w:rFonts w:ascii="Arial" w:hAnsi="Arial" w:cs="Arial"/>
          <w:lang w:val="es-CO"/>
        </w:rPr>
        <w:t>gistrado en la solicitud. Recibida la comunicación el propietario deberá dentro de los términos que en la misma se establezcan, que no excederán de ocho (8) días, proceder según lo descrito en las Resoluciones 7036 de 2012 y 646 de 2014, expedidas por el M</w:t>
      </w:r>
      <w:r>
        <w:rPr>
          <w:rFonts w:ascii="Arial" w:hAnsi="Arial" w:cs="Arial"/>
          <w:lang w:val="es-CO"/>
        </w:rPr>
        <w:t>inisterio de Transporte o las que las modifiquen o sustituyan.</w:t>
      </w:r>
    </w:p>
    <w:p w14:paraId="170E83C3" w14:textId="77777777" w:rsidR="00B2442D" w:rsidRDefault="00B2442D">
      <w:pPr>
        <w:jc w:val="both"/>
        <w:rPr>
          <w:rFonts w:ascii="Arial" w:hAnsi="Arial" w:cs="Arial"/>
          <w:lang w:val="es-CO"/>
        </w:rPr>
      </w:pPr>
    </w:p>
    <w:p w14:paraId="22E17DA0" w14:textId="77777777" w:rsidR="00B2442D" w:rsidRDefault="008A645F">
      <w:pPr>
        <w:jc w:val="both"/>
        <w:rPr>
          <w:rFonts w:ascii="Arial" w:hAnsi="Arial" w:cs="Arial"/>
          <w:i/>
          <w:lang w:val="es-CO"/>
        </w:rPr>
      </w:pPr>
      <w:r>
        <w:rPr>
          <w:rFonts w:ascii="Arial" w:hAnsi="Arial" w:cs="Arial"/>
          <w:i/>
          <w:lang w:val="es-CO"/>
        </w:rPr>
        <w:t>(Art. 2, Decreto 0248 de 2015)</w:t>
      </w:r>
    </w:p>
    <w:p w14:paraId="3F9D15ED" w14:textId="77777777" w:rsidR="00B2442D" w:rsidRDefault="00B2442D">
      <w:pPr>
        <w:jc w:val="both"/>
        <w:rPr>
          <w:rFonts w:ascii="Arial" w:hAnsi="Arial" w:cs="Arial"/>
          <w:lang w:val="es-CO"/>
        </w:rPr>
      </w:pPr>
    </w:p>
    <w:p w14:paraId="085F04C9"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Certificación de cumplimiento de requisitos para el registro inicial de vehículo nuevo en reposición con exclusión de IVA (CREI).</w:t>
      </w:r>
      <w:r>
        <w:rPr>
          <w:rFonts w:ascii="Arial" w:hAnsi="Arial" w:cs="Arial"/>
          <w:lang w:val="es-CO"/>
        </w:rPr>
        <w:t xml:space="preserve"> Para la expedición de la cert</w:t>
      </w:r>
      <w:r>
        <w:rPr>
          <w:rFonts w:ascii="Arial" w:hAnsi="Arial" w:cs="Arial"/>
          <w:lang w:val="es-CO"/>
        </w:rPr>
        <w:t>ificación de cumplimiento de requisitos para el registro inicial del vehículo nuevo de servicio de transporte público de pasajeros con exclusión de IVA (CREI), en reposición del vehículo desintegrado y cuya matrícula fue cancelada, el interesado deberá reg</w:t>
      </w:r>
      <w:r>
        <w:rPr>
          <w:rFonts w:ascii="Arial" w:hAnsi="Arial" w:cs="Arial"/>
          <w:lang w:val="es-CO"/>
        </w:rPr>
        <w:t>istrar la solicitud a través del Sistema RUNT utilizando el número asignado al trámite, al momento de diligenciar el formulario de que trata el numeral 2° del artículo 1.3.1.10.5 del presente decreto, indicando:</w:t>
      </w:r>
    </w:p>
    <w:p w14:paraId="404744C6" w14:textId="77777777" w:rsidR="00B2442D" w:rsidRDefault="00B2442D">
      <w:pPr>
        <w:jc w:val="both"/>
        <w:rPr>
          <w:rFonts w:ascii="Arial" w:hAnsi="Arial" w:cs="Arial"/>
          <w:lang w:val="es-CO"/>
        </w:rPr>
      </w:pPr>
    </w:p>
    <w:p w14:paraId="09262AC9"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Especificaciones del vehículo desintegra</w:t>
      </w:r>
      <w:r>
        <w:rPr>
          <w:rFonts w:ascii="Arial" w:hAnsi="Arial" w:cs="Arial"/>
          <w:lang w:val="es-CO"/>
        </w:rPr>
        <w:t>do y cuya matrícula fue cancelada: Número de la placa, clase, marca, modelo, número de motor, número de chasís, capacidad, modalidad de servicio, radio de acción, nivel de servicio y además, el titular del derecho de dominio.</w:t>
      </w:r>
    </w:p>
    <w:p w14:paraId="1844261B" w14:textId="77777777" w:rsidR="00B2442D" w:rsidRDefault="00B2442D">
      <w:pPr>
        <w:ind w:left="284" w:hanging="284"/>
        <w:jc w:val="both"/>
        <w:rPr>
          <w:rFonts w:ascii="Arial" w:hAnsi="Arial" w:cs="Arial"/>
          <w:lang w:val="es-CO"/>
        </w:rPr>
      </w:pPr>
    </w:p>
    <w:p w14:paraId="09769F6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Tipo, número de </w:t>
      </w:r>
      <w:r>
        <w:rPr>
          <w:rFonts w:ascii="Arial" w:hAnsi="Arial" w:cs="Arial"/>
          <w:lang w:val="es-CO"/>
        </w:rPr>
        <w:t>documento de identificación y nombre del propietario del vehículo nuevo, que en todo caso deberá corresponder con el propietario del vehículo desintegrado.</w:t>
      </w:r>
    </w:p>
    <w:p w14:paraId="26CE9BE5" w14:textId="77777777" w:rsidR="00B2442D" w:rsidRDefault="00B2442D">
      <w:pPr>
        <w:ind w:left="284" w:hanging="284"/>
        <w:jc w:val="both"/>
        <w:rPr>
          <w:rFonts w:ascii="Arial" w:hAnsi="Arial" w:cs="Arial"/>
          <w:lang w:val="es-CO"/>
        </w:rPr>
      </w:pPr>
    </w:p>
    <w:p w14:paraId="5F3F79BB"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Especificaciones y características de identificación del vehículo nuevo: Clase, marca, </w:t>
      </w:r>
      <w:r>
        <w:rPr>
          <w:rFonts w:ascii="Arial" w:hAnsi="Arial" w:cs="Arial"/>
          <w:lang w:val="es-CO"/>
        </w:rPr>
        <w:t>modelo, línea, número de motor, Número de Identificación Vehicular (VIN), capacidad, modalidad del servicio, radio de acción y nivel de servicio, y número(s) de ficha(s) técnica(s) de homologación. En todo caso, debe corresponder a la misma clase y capacid</w:t>
      </w:r>
      <w:r>
        <w:rPr>
          <w:rFonts w:ascii="Arial" w:hAnsi="Arial" w:cs="Arial"/>
          <w:lang w:val="es-CO"/>
        </w:rPr>
        <w:t>ad del automotor desintegrado y para prestar el servicio en la misma modalidad y radio de acción.</w:t>
      </w:r>
    </w:p>
    <w:p w14:paraId="212DD719" w14:textId="77777777" w:rsidR="00B2442D" w:rsidRDefault="00B2442D">
      <w:pPr>
        <w:ind w:left="284" w:hanging="284"/>
        <w:jc w:val="both"/>
        <w:rPr>
          <w:rFonts w:ascii="Arial" w:hAnsi="Arial" w:cs="Arial"/>
          <w:lang w:val="es-CO"/>
        </w:rPr>
      </w:pPr>
    </w:p>
    <w:p w14:paraId="76A19D97"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Que el contribuyente beneficiario se encuentra inscrito en el Registro Único Tributario (RUT).</w:t>
      </w:r>
    </w:p>
    <w:p w14:paraId="31279CF2" w14:textId="77777777" w:rsidR="00B2442D" w:rsidRDefault="00B2442D">
      <w:pPr>
        <w:jc w:val="both"/>
        <w:rPr>
          <w:rFonts w:ascii="Arial" w:hAnsi="Arial" w:cs="Arial"/>
          <w:lang w:val="es-CO"/>
        </w:rPr>
      </w:pPr>
    </w:p>
    <w:p w14:paraId="57BCC9C1" w14:textId="77777777" w:rsidR="00B2442D" w:rsidRDefault="008A645F">
      <w:pPr>
        <w:jc w:val="both"/>
        <w:rPr>
          <w:rFonts w:ascii="Arial" w:hAnsi="Arial" w:cs="Arial"/>
          <w:lang w:val="es-CO"/>
        </w:rPr>
      </w:pPr>
      <w:r>
        <w:rPr>
          <w:rFonts w:ascii="Arial" w:hAnsi="Arial" w:cs="Arial"/>
          <w:lang w:val="es-CO"/>
        </w:rPr>
        <w:t xml:space="preserve">El Ministerio de Transporte deberá verificar a través del </w:t>
      </w:r>
      <w:r>
        <w:rPr>
          <w:rFonts w:ascii="Arial" w:hAnsi="Arial" w:cs="Arial"/>
          <w:lang w:val="es-CO"/>
        </w:rPr>
        <w:t>sistema RUNT que el vehículo a reponer cuenta con certificado de desintegración física total para reposición con exclusión del IVA, que tiene matrícula cancelada y la homologación del vehículo nuevo, garantizando que concuerdan las características técnicas</w:t>
      </w:r>
      <w:r>
        <w:rPr>
          <w:rFonts w:ascii="Arial" w:hAnsi="Arial" w:cs="Arial"/>
          <w:lang w:val="es-CO"/>
        </w:rPr>
        <w:t xml:space="preserve"> de clase, nivel, servicio y radio de acción con las del vehículo desintegrado.</w:t>
      </w:r>
    </w:p>
    <w:p w14:paraId="0094C2CA" w14:textId="77777777" w:rsidR="00B2442D" w:rsidRDefault="00B2442D">
      <w:pPr>
        <w:jc w:val="both"/>
        <w:rPr>
          <w:rFonts w:ascii="Arial" w:hAnsi="Arial" w:cs="Arial"/>
          <w:lang w:val="es-CO"/>
        </w:rPr>
      </w:pPr>
    </w:p>
    <w:p w14:paraId="66017268" w14:textId="77777777" w:rsidR="00B2442D" w:rsidRDefault="008A645F">
      <w:pPr>
        <w:jc w:val="both"/>
        <w:rPr>
          <w:rFonts w:ascii="Arial" w:hAnsi="Arial" w:cs="Arial"/>
          <w:lang w:val="es-CO"/>
        </w:rPr>
      </w:pPr>
      <w:r>
        <w:rPr>
          <w:rFonts w:ascii="Arial" w:hAnsi="Arial" w:cs="Arial"/>
          <w:lang w:val="es-CO"/>
        </w:rPr>
        <w:t>El Ministerio de Transporte, hechas las verificaciones anteriores, expedirá a través del RUNT la Certificación de Cumplimiento de Requisitos para el Registro Inicial de vehícu</w:t>
      </w:r>
      <w:r>
        <w:rPr>
          <w:rFonts w:ascii="Arial" w:hAnsi="Arial" w:cs="Arial"/>
          <w:lang w:val="es-CO"/>
        </w:rPr>
        <w:t>lo nuevo en reposición con exclusión de IVA (CREI).</w:t>
      </w:r>
    </w:p>
    <w:p w14:paraId="608EF45F" w14:textId="77777777" w:rsidR="00B2442D" w:rsidRDefault="00B2442D">
      <w:pPr>
        <w:jc w:val="both"/>
        <w:rPr>
          <w:rFonts w:ascii="Arial" w:hAnsi="Arial" w:cs="Arial"/>
          <w:lang w:val="es-CO"/>
        </w:rPr>
      </w:pPr>
    </w:p>
    <w:p w14:paraId="6741B7BA" w14:textId="77777777" w:rsidR="00B2442D" w:rsidRDefault="008A645F">
      <w:pPr>
        <w:jc w:val="both"/>
        <w:rPr>
          <w:rFonts w:ascii="Arial" w:hAnsi="Arial" w:cs="Arial"/>
          <w:lang w:val="es-CO"/>
        </w:rPr>
      </w:pPr>
      <w:r>
        <w:rPr>
          <w:rFonts w:ascii="Arial" w:hAnsi="Arial" w:cs="Arial"/>
          <w:lang w:val="es-CO"/>
        </w:rPr>
        <w:t>En todos los casos el importador o ensamblador suministrará la información del Número de Identificación Vehicular (VIN) y del motor, y para el efecto relacionará a través del Sistema RUNT los guarismos d</w:t>
      </w:r>
      <w:r>
        <w:rPr>
          <w:rFonts w:ascii="Arial" w:hAnsi="Arial" w:cs="Arial"/>
          <w:lang w:val="es-CO"/>
        </w:rPr>
        <w:t>el vehículo en la Certificación de Cumplimiento de Requisitos para el Registro Inicial de vehículo nuevo en reposición con exclusión de IVA (CREI). Dicha información será verificada por el Ministerio de Transporte y validada través del Sistema RUNT.</w:t>
      </w:r>
    </w:p>
    <w:p w14:paraId="5F3244E4" w14:textId="77777777" w:rsidR="00B2442D" w:rsidRDefault="00B2442D">
      <w:pPr>
        <w:jc w:val="both"/>
        <w:rPr>
          <w:rFonts w:ascii="Arial" w:hAnsi="Arial" w:cs="Arial"/>
          <w:lang w:val="es-CO"/>
        </w:rPr>
      </w:pPr>
    </w:p>
    <w:p w14:paraId="2689D55E" w14:textId="77777777" w:rsidR="00B2442D" w:rsidRDefault="008A645F">
      <w:pPr>
        <w:jc w:val="both"/>
        <w:rPr>
          <w:rFonts w:ascii="Arial" w:hAnsi="Arial" w:cs="Arial"/>
          <w:lang w:val="es-CO"/>
        </w:rPr>
      </w:pPr>
      <w:r>
        <w:rPr>
          <w:rFonts w:ascii="Arial" w:hAnsi="Arial" w:cs="Arial"/>
          <w:b/>
          <w:lang w:val="es-CO"/>
        </w:rPr>
        <w:t>Parág</w:t>
      </w:r>
      <w:r>
        <w:rPr>
          <w:rFonts w:ascii="Arial" w:hAnsi="Arial" w:cs="Arial"/>
          <w:b/>
          <w:lang w:val="es-CO"/>
        </w:rPr>
        <w:t>rafo.</w:t>
      </w:r>
      <w:r>
        <w:rPr>
          <w:rFonts w:ascii="Arial" w:hAnsi="Arial" w:cs="Arial"/>
          <w:lang w:val="es-CO"/>
        </w:rPr>
        <w:t xml:space="preserve"> El Ministerio de Transporte deberá poner en operación dentro de los seis (6) meses siguientes al 13 de febrero de 2015 (D.O. 49424), la funcionalidad requerida en el Sistema RUNT para la implementación de lo dispuesto en el Título I, y a partir del v</w:t>
      </w:r>
      <w:r>
        <w:rPr>
          <w:rFonts w:ascii="Arial" w:hAnsi="Arial" w:cs="Arial"/>
          <w:lang w:val="es-CO"/>
        </w:rPr>
        <w:t>encimiento de dicho término, se contarán los cuatro (4) años de que trata el numeral 11 del artículo 424 del Estatuto Tributario.</w:t>
      </w:r>
    </w:p>
    <w:p w14:paraId="10CB3844" w14:textId="77777777" w:rsidR="00B2442D" w:rsidRDefault="00B2442D">
      <w:pPr>
        <w:jc w:val="both"/>
        <w:rPr>
          <w:rFonts w:ascii="Arial" w:hAnsi="Arial" w:cs="Arial"/>
          <w:lang w:val="es-CO"/>
        </w:rPr>
      </w:pPr>
    </w:p>
    <w:p w14:paraId="5F3A3642" w14:textId="77777777" w:rsidR="00B2442D" w:rsidRDefault="008A645F">
      <w:pPr>
        <w:jc w:val="both"/>
        <w:rPr>
          <w:rFonts w:ascii="Arial" w:hAnsi="Arial" w:cs="Arial"/>
          <w:i/>
          <w:lang w:val="es-CO"/>
        </w:rPr>
      </w:pPr>
      <w:r>
        <w:rPr>
          <w:rFonts w:ascii="Arial" w:hAnsi="Arial" w:cs="Arial"/>
          <w:i/>
          <w:lang w:val="es-CO"/>
        </w:rPr>
        <w:t>(Art. 3, Decreto 0248 de 2015)</w:t>
      </w:r>
    </w:p>
    <w:p w14:paraId="57406C99" w14:textId="77777777" w:rsidR="00B2442D" w:rsidRDefault="00B2442D">
      <w:pPr>
        <w:jc w:val="both"/>
        <w:rPr>
          <w:rFonts w:ascii="Arial" w:hAnsi="Arial" w:cs="Arial"/>
          <w:lang w:val="es-CO"/>
        </w:rPr>
      </w:pPr>
    </w:p>
    <w:p w14:paraId="5D9315A1"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Contenido del CREI.</w:t>
      </w:r>
      <w:r>
        <w:rPr>
          <w:rFonts w:ascii="Arial" w:hAnsi="Arial" w:cs="Arial"/>
          <w:lang w:val="es-CO"/>
        </w:rPr>
        <w:t xml:space="preserve"> La Certificación de Cumplimiento de Requisitos para el Registro Inicial </w:t>
      </w:r>
      <w:r>
        <w:rPr>
          <w:rFonts w:ascii="Arial" w:hAnsi="Arial" w:cs="Arial"/>
          <w:lang w:val="es-CO"/>
        </w:rPr>
        <w:t>de vehículo nuevo en reposición con exclusión de IVA, deberá contener como mínimo la siguiente información:</w:t>
      </w:r>
    </w:p>
    <w:p w14:paraId="6EB1987A" w14:textId="77777777" w:rsidR="00B2442D" w:rsidRDefault="00B2442D">
      <w:pPr>
        <w:jc w:val="both"/>
        <w:rPr>
          <w:rFonts w:ascii="Arial" w:hAnsi="Arial" w:cs="Arial"/>
          <w:lang w:val="es-CO"/>
        </w:rPr>
      </w:pPr>
    </w:p>
    <w:p w14:paraId="2E337C1A"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Nombre, tipo y número de identificación del beneficiario.</w:t>
      </w:r>
    </w:p>
    <w:p w14:paraId="082CCDFC" w14:textId="77777777" w:rsidR="00B2442D" w:rsidRDefault="00B2442D">
      <w:pPr>
        <w:ind w:left="284" w:hanging="284"/>
        <w:jc w:val="both"/>
        <w:rPr>
          <w:rFonts w:ascii="Arial" w:hAnsi="Arial" w:cs="Arial"/>
          <w:lang w:val="es-CO"/>
        </w:rPr>
      </w:pPr>
    </w:p>
    <w:p w14:paraId="39E6FC89"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Domicilio, dirección y teléfono del beneficiario.</w:t>
      </w:r>
    </w:p>
    <w:p w14:paraId="6D72F240" w14:textId="77777777" w:rsidR="00B2442D" w:rsidRDefault="00B2442D">
      <w:pPr>
        <w:ind w:left="284" w:hanging="284"/>
        <w:jc w:val="both"/>
        <w:rPr>
          <w:rFonts w:ascii="Arial" w:hAnsi="Arial" w:cs="Arial"/>
          <w:lang w:val="es-CO"/>
        </w:rPr>
      </w:pPr>
    </w:p>
    <w:p w14:paraId="6DC4835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Número de la placa, clase, m</w:t>
      </w:r>
      <w:r>
        <w:rPr>
          <w:rFonts w:ascii="Arial" w:hAnsi="Arial" w:cs="Arial"/>
          <w:lang w:val="es-CO"/>
        </w:rPr>
        <w:t>arca, modelo, número de motor, número de chasís, VIN, cuando aplique, capacidad, modalidad de servicio, radio de acción y nivel de servicio del vehículo objeto de Desintegración Física Total.</w:t>
      </w:r>
    </w:p>
    <w:p w14:paraId="26EEED95" w14:textId="77777777" w:rsidR="00B2442D" w:rsidRDefault="00B2442D">
      <w:pPr>
        <w:ind w:left="284" w:hanging="284"/>
        <w:jc w:val="both"/>
        <w:rPr>
          <w:rFonts w:ascii="Arial" w:hAnsi="Arial" w:cs="Arial"/>
          <w:lang w:val="es-CO"/>
        </w:rPr>
      </w:pPr>
    </w:p>
    <w:p w14:paraId="371D2C4B"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Clase, marca, modelo, número de motor, número de chasís, VIN</w:t>
      </w:r>
      <w:r>
        <w:rPr>
          <w:rFonts w:ascii="Arial" w:hAnsi="Arial" w:cs="Arial"/>
          <w:lang w:val="es-CO"/>
        </w:rPr>
        <w:t>, capacidad, modalidad de servicio, radio de acción y nivel de servicio número(s) de Ficha(s) Técnica(s) de Homologación del vehículo que ingresa en reposición del vehículo objeto de desintegración física total.</w:t>
      </w:r>
    </w:p>
    <w:p w14:paraId="753917CD" w14:textId="77777777" w:rsidR="00B2442D" w:rsidRDefault="00B2442D">
      <w:pPr>
        <w:jc w:val="both"/>
        <w:rPr>
          <w:rFonts w:ascii="Arial" w:hAnsi="Arial" w:cs="Arial"/>
          <w:lang w:val="es-CO"/>
        </w:rPr>
      </w:pPr>
    </w:p>
    <w:p w14:paraId="2A531C85" w14:textId="77777777" w:rsidR="00B2442D" w:rsidRDefault="008A645F">
      <w:pPr>
        <w:jc w:val="both"/>
        <w:rPr>
          <w:rFonts w:ascii="Arial" w:hAnsi="Arial" w:cs="Arial"/>
          <w:i/>
          <w:lang w:val="es-CO"/>
        </w:rPr>
      </w:pPr>
      <w:r>
        <w:rPr>
          <w:rFonts w:ascii="Arial" w:hAnsi="Arial" w:cs="Arial"/>
          <w:i/>
          <w:lang w:val="es-CO"/>
        </w:rPr>
        <w:t>(Art. 4, Decreto 0248 de 2015)</w:t>
      </w:r>
    </w:p>
    <w:p w14:paraId="5179D655" w14:textId="77777777" w:rsidR="00B2442D" w:rsidRDefault="00B2442D">
      <w:pPr>
        <w:jc w:val="both"/>
        <w:rPr>
          <w:rFonts w:ascii="Arial" w:hAnsi="Arial" w:cs="Arial"/>
          <w:i/>
          <w:lang w:val="es-CO"/>
        </w:rPr>
      </w:pPr>
    </w:p>
    <w:p w14:paraId="4A2067AD"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Exclusión del IVA.</w:t>
      </w:r>
      <w:r>
        <w:rPr>
          <w:rFonts w:ascii="Arial" w:hAnsi="Arial" w:cs="Arial"/>
          <w:lang w:val="es-CO"/>
        </w:rPr>
        <w:t xml:space="preserve"> De conformidad con lo dispuesto en el numeral 11 del artículo 424 del Estatuto Tributario, modificado por el artículo 38 de la Ley 1607 de 2012, por un término de cuatro (4) años contados a partir de la fecha a que se refiere el parágra</w:t>
      </w:r>
      <w:r>
        <w:rPr>
          <w:rFonts w:ascii="Arial" w:hAnsi="Arial" w:cs="Arial"/>
          <w:lang w:val="es-CO"/>
        </w:rPr>
        <w:t>fo del artículo 1.3.1.10.6 del presente decreto, los vehículos automotores destinados al servicio de transporte público de pasajeros, que sean adquiridos y matriculados con base en una certificación de cumplimiento de requisitos para el registro inicial de</w:t>
      </w:r>
      <w:r>
        <w:rPr>
          <w:rFonts w:ascii="Arial" w:hAnsi="Arial" w:cs="Arial"/>
          <w:lang w:val="es-CO"/>
        </w:rPr>
        <w:t xml:space="preserve"> vehículo nuevo en reposición con exclusión de IVA (CREI), se excluyen del impuesto sobre las ventas y, por consiguiente, su venta o importación, no causa este gravamen.</w:t>
      </w:r>
    </w:p>
    <w:p w14:paraId="583627CC" w14:textId="77777777" w:rsidR="00B2442D" w:rsidRDefault="00B2442D">
      <w:pPr>
        <w:jc w:val="both"/>
        <w:rPr>
          <w:rFonts w:ascii="Arial" w:hAnsi="Arial" w:cs="Arial"/>
          <w:lang w:val="es-CO"/>
        </w:rPr>
      </w:pPr>
    </w:p>
    <w:p w14:paraId="30A18FAE" w14:textId="77777777" w:rsidR="00B2442D" w:rsidRDefault="008A645F">
      <w:pPr>
        <w:jc w:val="both"/>
        <w:rPr>
          <w:rFonts w:ascii="Arial" w:hAnsi="Arial" w:cs="Arial"/>
          <w:lang w:val="es-CO"/>
        </w:rPr>
      </w:pPr>
      <w:r>
        <w:rPr>
          <w:rFonts w:ascii="Arial" w:hAnsi="Arial" w:cs="Arial"/>
          <w:lang w:val="es-CO"/>
        </w:rPr>
        <w:t xml:space="preserve">Tendrán derecho a este beneficio, los pequeños transportadores que sean propietarios </w:t>
      </w:r>
      <w:r>
        <w:rPr>
          <w:rFonts w:ascii="Arial" w:hAnsi="Arial" w:cs="Arial"/>
          <w:lang w:val="es-CO"/>
        </w:rPr>
        <w:t>de manera directa o indirecta de menos de tres (3) vehículos de servicio de transporte público de pasajeros solo para efectos de la reposición de un solo vehículo y por una única vez.</w:t>
      </w:r>
    </w:p>
    <w:p w14:paraId="4111E67E" w14:textId="77777777" w:rsidR="00B2442D" w:rsidRDefault="00B2442D">
      <w:pPr>
        <w:jc w:val="both"/>
        <w:rPr>
          <w:rFonts w:ascii="Arial" w:hAnsi="Arial" w:cs="Arial"/>
          <w:lang w:val="es-CO"/>
        </w:rPr>
      </w:pPr>
    </w:p>
    <w:p w14:paraId="66C45945" w14:textId="77777777" w:rsidR="00B2442D" w:rsidRDefault="008A645F">
      <w:pPr>
        <w:jc w:val="both"/>
        <w:rPr>
          <w:rFonts w:ascii="Arial" w:hAnsi="Arial" w:cs="Arial"/>
          <w:lang w:val="es-CO"/>
        </w:rPr>
      </w:pPr>
      <w:r>
        <w:rPr>
          <w:rFonts w:ascii="Arial" w:hAnsi="Arial" w:cs="Arial"/>
          <w:lang w:val="es-CO"/>
        </w:rPr>
        <w:t>Para que proceda la exclusión del impuesto sobre las ventas a que se re</w:t>
      </w:r>
      <w:r>
        <w:rPr>
          <w:rFonts w:ascii="Arial" w:hAnsi="Arial" w:cs="Arial"/>
          <w:lang w:val="es-CO"/>
        </w:rPr>
        <w:t xml:space="preserve">fieren los artículos 1.3.1.10.4 a 1.3.1.10.10 del presente decreto, el declarante deberá obtener y conservar como soporte de la importación de conformidad con el artículo 121 del Decreto 2685 de 1999 o los que lo sustituyan o modifiquen y el vendedor como </w:t>
      </w:r>
      <w:r>
        <w:rPr>
          <w:rFonts w:ascii="Arial" w:hAnsi="Arial" w:cs="Arial"/>
          <w:lang w:val="es-CO"/>
        </w:rPr>
        <w:t>soporte de la operación de venta la Certificación de Cumplimiento de Requisitos para el Registro Inicial de vehículo nuevo en reposición con exclusión de IVA (CREI).</w:t>
      </w:r>
    </w:p>
    <w:p w14:paraId="15A1A2AE" w14:textId="77777777" w:rsidR="00B2442D" w:rsidRDefault="00B2442D">
      <w:pPr>
        <w:jc w:val="both"/>
        <w:rPr>
          <w:rFonts w:ascii="Arial" w:hAnsi="Arial" w:cs="Arial"/>
          <w:lang w:val="es-CO"/>
        </w:rPr>
      </w:pPr>
    </w:p>
    <w:p w14:paraId="74EAB54A" w14:textId="77777777" w:rsidR="00B2442D" w:rsidRDefault="008A645F">
      <w:pPr>
        <w:jc w:val="both"/>
        <w:rPr>
          <w:rFonts w:ascii="Arial" w:hAnsi="Arial" w:cs="Arial"/>
          <w:lang w:val="es-CO"/>
        </w:rPr>
      </w:pPr>
      <w:r>
        <w:rPr>
          <w:rFonts w:ascii="Arial" w:hAnsi="Arial" w:cs="Arial"/>
          <w:lang w:val="es-CO"/>
        </w:rPr>
        <w:t>El beneficiario de la exclusión del artículo 424 numeral 11 del Estatuto Tributario titul</w:t>
      </w:r>
      <w:r>
        <w:rPr>
          <w:rFonts w:ascii="Arial" w:hAnsi="Arial" w:cs="Arial"/>
          <w:lang w:val="es-CO"/>
        </w:rPr>
        <w:t>ar del CREI podrá terminar la modalidad de importación para transformación y ensamble en los términos de los incisos primero y segundo del artículo 191 del Decreto 2685 de 1999 o la norma que lo modifique o sustituya.</w:t>
      </w:r>
    </w:p>
    <w:p w14:paraId="6B39CE0B" w14:textId="77777777" w:rsidR="00B2442D" w:rsidRDefault="00B2442D">
      <w:pPr>
        <w:jc w:val="both"/>
        <w:rPr>
          <w:rFonts w:ascii="Arial" w:hAnsi="Arial" w:cs="Arial"/>
          <w:lang w:val="es-CO"/>
        </w:rPr>
      </w:pPr>
    </w:p>
    <w:p w14:paraId="23A2671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gozar del beneficio c</w:t>
      </w:r>
      <w:r>
        <w:rPr>
          <w:rFonts w:ascii="Arial" w:hAnsi="Arial" w:cs="Arial"/>
          <w:lang w:val="es-CO"/>
        </w:rPr>
        <w:t>onsagrado en el artículo 424 numeral 11 del Estatuto Tributario, la importación y la venta de los vehículos deberán realizarse dentro del plazo de los cuatro (4) años contados a partir de la fecha a que se refiere el parágrafo del artículo 1.3.1.10.6 del p</w:t>
      </w:r>
      <w:r>
        <w:rPr>
          <w:rFonts w:ascii="Arial" w:hAnsi="Arial" w:cs="Arial"/>
          <w:lang w:val="es-CO"/>
        </w:rPr>
        <w:t>resente decreto.</w:t>
      </w:r>
    </w:p>
    <w:p w14:paraId="2858E6BF" w14:textId="77777777" w:rsidR="00B2442D" w:rsidRDefault="00B2442D">
      <w:pPr>
        <w:jc w:val="both"/>
        <w:rPr>
          <w:rFonts w:ascii="Arial" w:hAnsi="Arial" w:cs="Arial"/>
          <w:lang w:val="es-CO"/>
        </w:rPr>
      </w:pPr>
    </w:p>
    <w:p w14:paraId="7598F29E" w14:textId="77777777" w:rsidR="00B2442D" w:rsidRDefault="008A645F">
      <w:pPr>
        <w:jc w:val="both"/>
        <w:rPr>
          <w:rFonts w:ascii="Arial" w:hAnsi="Arial" w:cs="Arial"/>
          <w:i/>
          <w:lang w:val="es-CO"/>
        </w:rPr>
      </w:pPr>
      <w:r>
        <w:rPr>
          <w:rFonts w:ascii="Arial" w:hAnsi="Arial" w:cs="Arial"/>
          <w:i/>
          <w:lang w:val="es-CO"/>
        </w:rPr>
        <w:t>(Art. 5, Decreto 0248 de 2015)</w:t>
      </w:r>
    </w:p>
    <w:p w14:paraId="07A0914F" w14:textId="77777777" w:rsidR="00B2442D" w:rsidRDefault="00B2442D">
      <w:pPr>
        <w:jc w:val="both"/>
        <w:rPr>
          <w:rFonts w:ascii="Arial" w:hAnsi="Arial" w:cs="Arial"/>
          <w:b/>
          <w:lang w:val="es-CO"/>
        </w:rPr>
      </w:pPr>
    </w:p>
    <w:p w14:paraId="35F34B8E"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 xml:space="preserve"> Aplicación de la exclusión del IVA.</w:t>
      </w:r>
      <w:r>
        <w:rPr>
          <w:rFonts w:ascii="Arial" w:hAnsi="Arial" w:cs="Arial"/>
          <w:lang w:val="es-CO"/>
        </w:rPr>
        <w:t xml:space="preserve"> La exclusión a que hace referencia el artículo 1.3.1.10.8 del presente Decreto se hará efectiva al momento de facturar el automotor.</w:t>
      </w:r>
    </w:p>
    <w:p w14:paraId="51A667D8" w14:textId="77777777" w:rsidR="00B2442D" w:rsidRDefault="00B2442D">
      <w:pPr>
        <w:jc w:val="both"/>
        <w:rPr>
          <w:rFonts w:ascii="Arial" w:hAnsi="Arial" w:cs="Arial"/>
          <w:lang w:val="es-CO"/>
        </w:rPr>
      </w:pPr>
    </w:p>
    <w:p w14:paraId="77EA9A77" w14:textId="77777777" w:rsidR="00B2442D" w:rsidRDefault="008A645F">
      <w:pPr>
        <w:jc w:val="both"/>
        <w:rPr>
          <w:rFonts w:ascii="Arial" w:hAnsi="Arial" w:cs="Arial"/>
          <w:lang w:val="es-CO"/>
        </w:rPr>
      </w:pPr>
      <w:r>
        <w:rPr>
          <w:rFonts w:ascii="Arial" w:hAnsi="Arial" w:cs="Arial"/>
          <w:lang w:val="es-CO"/>
        </w:rPr>
        <w:t xml:space="preserve">En la factura deberá explicarse la </w:t>
      </w:r>
      <w:r>
        <w:rPr>
          <w:rFonts w:ascii="Arial" w:hAnsi="Arial" w:cs="Arial"/>
          <w:lang w:val="es-CO"/>
        </w:rPr>
        <w:t>no liquidación del impuesto sobre las ventas a través de cualquier medio electrónico, sello o anotación mediante una leyenda que indique: “Excluido de IVA. Artículo 424 numeral 11, Estatuto Tributario”.</w:t>
      </w:r>
    </w:p>
    <w:p w14:paraId="7E34AEA1" w14:textId="77777777" w:rsidR="00B2442D" w:rsidRDefault="00B2442D">
      <w:pPr>
        <w:jc w:val="both"/>
        <w:rPr>
          <w:rFonts w:ascii="Arial" w:hAnsi="Arial" w:cs="Arial"/>
          <w:lang w:val="es-CO"/>
        </w:rPr>
      </w:pPr>
    </w:p>
    <w:p w14:paraId="461C49CE" w14:textId="77777777" w:rsidR="00B2442D" w:rsidRDefault="008A645F">
      <w:pPr>
        <w:jc w:val="both"/>
        <w:rPr>
          <w:rFonts w:ascii="Arial" w:hAnsi="Arial" w:cs="Arial"/>
          <w:i/>
          <w:lang w:val="es-CO"/>
        </w:rPr>
      </w:pPr>
      <w:r>
        <w:rPr>
          <w:rFonts w:ascii="Arial" w:hAnsi="Arial" w:cs="Arial"/>
          <w:i/>
          <w:lang w:val="es-CO"/>
        </w:rPr>
        <w:t>(Art. 6, Decreto 0248 de 2015)</w:t>
      </w:r>
    </w:p>
    <w:p w14:paraId="46482C4B" w14:textId="77777777" w:rsidR="00B2442D" w:rsidRDefault="00B2442D">
      <w:pPr>
        <w:jc w:val="both"/>
        <w:rPr>
          <w:rFonts w:ascii="Arial" w:hAnsi="Arial" w:cs="Arial"/>
          <w:lang w:val="es-CO"/>
        </w:rPr>
      </w:pPr>
    </w:p>
    <w:p w14:paraId="59D80586" w14:textId="77777777" w:rsidR="00B2442D" w:rsidRDefault="008A645F">
      <w:pPr>
        <w:pStyle w:val="Prrafodelista"/>
        <w:numPr>
          <w:ilvl w:val="0"/>
          <w:numId w:val="69"/>
        </w:numPr>
        <w:ind w:left="0" w:firstLine="0"/>
        <w:jc w:val="both"/>
        <w:rPr>
          <w:rFonts w:ascii="Arial" w:hAnsi="Arial" w:cs="Arial"/>
          <w:lang w:val="es-CO"/>
        </w:rPr>
      </w:pPr>
      <w:r>
        <w:rPr>
          <w:rFonts w:ascii="Arial" w:hAnsi="Arial" w:cs="Arial"/>
          <w:b/>
          <w:i/>
          <w:lang w:val="es-CO"/>
        </w:rPr>
        <w:t>Control tributario.</w:t>
      </w:r>
      <w:r>
        <w:rPr>
          <w:rFonts w:ascii="Arial" w:hAnsi="Arial" w:cs="Arial"/>
          <w:lang w:val="es-CO"/>
        </w:rPr>
        <w:t xml:space="preserve"> </w:t>
      </w:r>
      <w:r>
        <w:rPr>
          <w:rFonts w:ascii="Arial" w:hAnsi="Arial" w:cs="Arial"/>
          <w:lang w:val="es-CO"/>
        </w:rPr>
        <w:t>El Ministerio de Transporte, a través de su base de datos cotejará los certificados expedidos con las importaciones realizadas, y cuando detecte alguna inconsistencia enviará la documentación y evidencias al área de Fiscalización Aduanera de la Unidad Admi</w:t>
      </w:r>
      <w:r>
        <w:rPr>
          <w:rFonts w:ascii="Arial" w:hAnsi="Arial" w:cs="Arial"/>
          <w:lang w:val="es-CO"/>
        </w:rPr>
        <w:t>nistrativa Especial Dirección de Impuestos y Aduanas Nacionales-DIAN.</w:t>
      </w:r>
    </w:p>
    <w:p w14:paraId="4F58BC12" w14:textId="77777777" w:rsidR="00B2442D" w:rsidRDefault="00B2442D">
      <w:pPr>
        <w:jc w:val="both"/>
        <w:rPr>
          <w:rFonts w:ascii="Arial" w:hAnsi="Arial" w:cs="Arial"/>
          <w:lang w:val="es-CO"/>
        </w:rPr>
      </w:pPr>
    </w:p>
    <w:p w14:paraId="1A33E8F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validar el CREI, las dependencias competentes de la UAE Unidad Administrativa Especial Dirección de Impuestos y Aduanas Nacionales-DIAN tendrán acceso directo</w:t>
      </w:r>
      <w:r>
        <w:rPr>
          <w:rFonts w:ascii="Arial" w:hAnsi="Arial" w:cs="Arial"/>
          <w:lang w:val="es-CO"/>
        </w:rPr>
        <w:t xml:space="preserve"> al sistema RUNT para consultar los certificados expedidos.</w:t>
      </w:r>
    </w:p>
    <w:p w14:paraId="547C1654" w14:textId="77777777" w:rsidR="00B2442D" w:rsidRDefault="00B2442D">
      <w:pPr>
        <w:jc w:val="both"/>
        <w:rPr>
          <w:rFonts w:ascii="Arial" w:hAnsi="Arial" w:cs="Arial"/>
          <w:lang w:val="es-CO"/>
        </w:rPr>
      </w:pPr>
    </w:p>
    <w:p w14:paraId="377177DF" w14:textId="77777777" w:rsidR="00B2442D" w:rsidRDefault="008A645F">
      <w:pPr>
        <w:jc w:val="both"/>
        <w:rPr>
          <w:rFonts w:ascii="Arial" w:hAnsi="Arial" w:cs="Arial"/>
          <w:i/>
          <w:lang w:val="es-CO"/>
        </w:rPr>
      </w:pPr>
      <w:r>
        <w:rPr>
          <w:rFonts w:ascii="Arial" w:hAnsi="Arial" w:cs="Arial"/>
          <w:i/>
          <w:lang w:val="es-CO"/>
        </w:rPr>
        <w:t>(Art. 7, Decreto 0248 de 2015)</w:t>
      </w:r>
    </w:p>
    <w:p w14:paraId="17107A4F" w14:textId="77777777" w:rsidR="00B2442D" w:rsidRDefault="00B2442D">
      <w:pPr>
        <w:jc w:val="both"/>
        <w:rPr>
          <w:rFonts w:ascii="Arial" w:hAnsi="Arial" w:cs="Arial"/>
          <w:i/>
          <w:lang w:val="es-CO"/>
        </w:rPr>
      </w:pPr>
    </w:p>
    <w:p w14:paraId="6E30E96F" w14:textId="77777777" w:rsidR="00B2442D" w:rsidRDefault="008A645F">
      <w:pPr>
        <w:pStyle w:val="Ttulo4"/>
        <w:rPr>
          <w:lang w:val="es-CO"/>
        </w:rPr>
      </w:pPr>
      <w:r>
        <w:rPr>
          <w:lang w:val="es-CO"/>
        </w:rPr>
        <w:t>CAPÍTULO 11</w:t>
      </w:r>
    </w:p>
    <w:p w14:paraId="65784520" w14:textId="77777777" w:rsidR="00B2442D" w:rsidRDefault="008A645F">
      <w:pPr>
        <w:pStyle w:val="Ttulo4"/>
        <w:rPr>
          <w:lang w:val="es-CO"/>
        </w:rPr>
      </w:pPr>
      <w:r>
        <w:rPr>
          <w:lang w:val="es-CO"/>
        </w:rPr>
        <w:t>Prestación de servicios exentos del impuesto sobre las ventas – IVA</w:t>
      </w:r>
    </w:p>
    <w:p w14:paraId="5200DBED" w14:textId="77777777" w:rsidR="00B2442D" w:rsidRDefault="00B2442D">
      <w:pPr>
        <w:jc w:val="both"/>
        <w:rPr>
          <w:rFonts w:ascii="Arial" w:hAnsi="Arial" w:cs="Arial"/>
          <w:i/>
          <w:lang w:val="es-CO"/>
        </w:rPr>
      </w:pPr>
    </w:p>
    <w:p w14:paraId="0602043E" w14:textId="77777777" w:rsidR="00B2442D" w:rsidRDefault="008A645F">
      <w:pPr>
        <w:pStyle w:val="Prrafodelista"/>
        <w:numPr>
          <w:ilvl w:val="0"/>
          <w:numId w:val="70"/>
        </w:numPr>
        <w:ind w:left="0" w:firstLine="0"/>
        <w:jc w:val="both"/>
        <w:rPr>
          <w:rFonts w:ascii="Arial" w:hAnsi="Arial" w:cs="Arial"/>
          <w:lang w:val="es-CO"/>
        </w:rPr>
      </w:pPr>
      <w:r>
        <w:rPr>
          <w:rFonts w:ascii="Arial" w:hAnsi="Arial" w:cs="Arial"/>
          <w:b/>
          <w:i/>
          <w:lang w:val="es-CO"/>
        </w:rPr>
        <w:t xml:space="preserve"> Exención del impuesto sobre las ventas en los servicios turísticos.</w:t>
      </w:r>
      <w:r>
        <w:rPr>
          <w:rFonts w:ascii="Arial" w:hAnsi="Arial" w:cs="Arial"/>
          <w:lang w:val="es-CO"/>
        </w:rPr>
        <w:t xml:space="preserve"> Exención del IVA sobre los servicios turísticos prestados a residentes en el exterior que sean utilizados en territorio colombiano. Conforme con lo previsto en el literal</w:t>
      </w:r>
      <w:r>
        <w:rPr>
          <w:rFonts w:ascii="Arial" w:hAnsi="Arial" w:cs="Arial"/>
        </w:rPr>
        <w:t xml:space="preserve"> d) del artículo </w:t>
      </w:r>
      <w:r>
        <w:rPr>
          <w:rFonts w:ascii="Arial" w:hAnsi="Arial" w:cs="Arial"/>
        </w:rPr>
        <w:t>481 del Estatuto Tributario, se consideran servicios exentos del impuesto sobre las ventas con derecho a devolución bimestral los servicios turísticos prestados a residentes en el exterior que sean utilizados en territorio colombiano, originados en paquete</w:t>
      </w:r>
      <w:r>
        <w:rPr>
          <w:rFonts w:ascii="Arial" w:hAnsi="Arial" w:cs="Arial"/>
        </w:rPr>
        <w:t xml:space="preserve">s vendidos por las agencias operadoras u hoteles inscritos en el registro nacional de turismo, según las funciones asignadas, de acuerdo con lo establecido en la Ley 300 de 1996. En el caso de los servicios hoteleros la exención rige independientemente de </w:t>
      </w:r>
      <w:r>
        <w:rPr>
          <w:rFonts w:ascii="Arial" w:hAnsi="Arial" w:cs="Arial"/>
        </w:rPr>
        <w:t xml:space="preserve">que el responsable del pago sea el huésped no residente en Colombia o la agencia de viajes. </w:t>
      </w:r>
    </w:p>
    <w:p w14:paraId="16697CA4" w14:textId="77777777" w:rsidR="00B2442D" w:rsidRDefault="00B2442D">
      <w:pPr>
        <w:pStyle w:val="Prrafodelista"/>
        <w:ind w:left="0"/>
        <w:jc w:val="both"/>
        <w:rPr>
          <w:rFonts w:ascii="Arial" w:hAnsi="Arial" w:cs="Arial"/>
          <w:lang w:val="es-CO"/>
        </w:rPr>
      </w:pPr>
    </w:p>
    <w:p w14:paraId="67DF694E" w14:textId="77777777" w:rsidR="00B2442D" w:rsidRDefault="008A645F">
      <w:pPr>
        <w:pStyle w:val="CM8"/>
        <w:spacing w:after="277" w:line="278" w:lineRule="atLeast"/>
        <w:jc w:val="both"/>
      </w:pPr>
      <w:r>
        <w:t>Así mismo se consideran servicios exentos del impuesto sobre las ventas los servicios hoteleros vendidos por los hoteles a las agencias operadoras, siempre y cuan</w:t>
      </w:r>
      <w:r>
        <w:t xml:space="preserve">do el beneficiario de los servicios prestados en el territorio nacional sea un residente en el exterior. </w:t>
      </w:r>
    </w:p>
    <w:p w14:paraId="00D7CB5A" w14:textId="77777777" w:rsidR="00B2442D" w:rsidRDefault="008A645F">
      <w:pPr>
        <w:pStyle w:val="CM8"/>
        <w:spacing w:after="277" w:line="278" w:lineRule="atLeast"/>
        <w:jc w:val="both"/>
      </w:pPr>
      <w:r>
        <w:t>Para el efecto, los hoteles deberán facturar a las agencias operadoras los servicios hoteleros prestados en el país, discriminando cada uno de ellos y</w:t>
      </w:r>
      <w:r>
        <w:t xml:space="preserve"> liquidando el IVA a la tarifa de cero (0%), siempre y cuando el beneficiario de los mismos sea un no residente, e independientemente de que individualmente considerados se presten a título gratuito u oneroso. </w:t>
      </w:r>
    </w:p>
    <w:p w14:paraId="71A0F264" w14:textId="77777777" w:rsidR="00B2442D" w:rsidRDefault="008A645F">
      <w:pPr>
        <w:pStyle w:val="CM8"/>
        <w:spacing w:after="277" w:line="278" w:lineRule="atLeast"/>
        <w:jc w:val="both"/>
      </w:pPr>
      <w:r>
        <w:rPr>
          <w:b/>
          <w:bCs/>
        </w:rPr>
        <w:t xml:space="preserve">Parágrafo </w:t>
      </w:r>
      <w:r>
        <w:t>1. Para la aplicación de la exenció</w:t>
      </w:r>
      <w:r>
        <w:t>n objeto de este decreto, se consideran residentes en el exterior a los extranjeros y a los nacionales que ingresen al territorio nacional sin el ánimo de establecerse en Colombia y que acrediten tal condición con los documentos señalados en este parágrafo</w:t>
      </w:r>
      <w:r>
        <w:t xml:space="preserve">. </w:t>
      </w:r>
    </w:p>
    <w:p w14:paraId="467FD719" w14:textId="77777777" w:rsidR="00B2442D" w:rsidRDefault="008A645F">
      <w:pPr>
        <w:pStyle w:val="CM4"/>
        <w:jc w:val="both"/>
      </w:pPr>
      <w:r>
        <w:t>El extranjero residente en el exterior deberá acreditar su condición mediante la presentación del pasaporte original; la tarjeta Andina o la tarjeta de Mercosur comprobando su estatus migratorio con el sello vigente de Permiso de Ingreso y Permanencia P</w:t>
      </w:r>
      <w:r>
        <w:t>IP-3, o PIP-5, o PIP-6, o PIP-10; o la Visa Temporal vigente TP-7, o TP-11, o TP-12; según sea el fin que asiste al residente en el exterior para ingresar al país sin el ánimo de establecerse en éste, de acuerdo con lo señalado el Decreto 1067 de 2015, mod</w:t>
      </w:r>
      <w:r>
        <w:t xml:space="preserve">ificado por el Decreto 1743 de 2015, y en la Resolución 5512 de 2015 del Ministerio de Relaciones Exteriores, y demás normas que los modifiquen, adicionen o sustituyan, y siempre y cuando se trate de la adquisición de servicios turísticos vendidos bajo la </w:t>
      </w:r>
      <w:r>
        <w:t xml:space="preserve">modalidad de planes o paquetes turísticos por las agencias operadoras y hoteles inscritos en el registro nacional de turismo, incluidos los vendidos por hoteles inscritos a las agencias operadoras. </w:t>
      </w:r>
    </w:p>
    <w:p w14:paraId="316BA756" w14:textId="77777777" w:rsidR="00B2442D" w:rsidRDefault="00B2442D">
      <w:pPr>
        <w:rPr>
          <w:rFonts w:ascii="Arial" w:hAnsi="Arial" w:cs="Arial"/>
          <w:lang w:val="es-CO" w:eastAsia="en-US"/>
        </w:rPr>
      </w:pPr>
    </w:p>
    <w:p w14:paraId="09FF4C23" w14:textId="77777777" w:rsidR="00B2442D" w:rsidRDefault="008A645F">
      <w:pPr>
        <w:pStyle w:val="CM8"/>
        <w:spacing w:after="277" w:line="276" w:lineRule="atLeast"/>
        <w:ind w:right="72"/>
        <w:jc w:val="both"/>
      </w:pPr>
      <w:r>
        <w:t>El nacional acreditará su condición de residente en el e</w:t>
      </w:r>
      <w:r>
        <w:t xml:space="preserve">xterior, mediante la presentación de la documentación expedida por las autoridades del país de residencia. </w:t>
      </w:r>
    </w:p>
    <w:p w14:paraId="22188F8B" w14:textId="77777777" w:rsidR="00B2442D" w:rsidRDefault="008A645F">
      <w:pPr>
        <w:pStyle w:val="Prrafodelista"/>
        <w:ind w:left="0"/>
        <w:jc w:val="both"/>
        <w:rPr>
          <w:rFonts w:ascii="Arial" w:hAnsi="Arial" w:cs="Arial"/>
        </w:rPr>
      </w:pPr>
      <w:r>
        <w:rPr>
          <w:rFonts w:ascii="Arial" w:hAnsi="Arial" w:cs="Arial"/>
          <w:b/>
          <w:bCs/>
        </w:rPr>
        <w:t xml:space="preserve">Parágrafo </w:t>
      </w:r>
      <w:r>
        <w:rPr>
          <w:rFonts w:ascii="Arial" w:hAnsi="Arial" w:cs="Arial"/>
        </w:rPr>
        <w:t>2. Para efectos de control, los hoteles deberán llevar un registro de los servicios hoteleros vendidos a residentes en el exterior en paqu</w:t>
      </w:r>
      <w:r>
        <w:rPr>
          <w:rFonts w:ascii="Arial" w:hAnsi="Arial" w:cs="Arial"/>
        </w:rPr>
        <w:t>etes turísticos, bien sea directamente o por intermedio de agencias operadoras, con una relación de la correspondiente facturación y fotocopia de los documentos señalados en el parágrafo 1 de este artículo. Así mismo, las agencias operadoras deberán llevar</w:t>
      </w:r>
      <w:r>
        <w:rPr>
          <w:rFonts w:ascii="Arial" w:hAnsi="Arial" w:cs="Arial"/>
        </w:rPr>
        <w:t xml:space="preserve"> un registro de los servicios turísticos vendidos bajo la modalidad de plan o paquete turístico a los residentes en el exterior, con una relación de la correspondiente facturación. </w:t>
      </w:r>
    </w:p>
    <w:p w14:paraId="23477D26" w14:textId="77777777" w:rsidR="00B2442D" w:rsidRDefault="00B2442D">
      <w:pPr>
        <w:pStyle w:val="Prrafodelista"/>
        <w:ind w:left="0"/>
        <w:jc w:val="both"/>
        <w:rPr>
          <w:rFonts w:ascii="Arial" w:hAnsi="Arial" w:cs="Arial"/>
        </w:rPr>
      </w:pPr>
    </w:p>
    <w:p w14:paraId="0898D062" w14:textId="77777777" w:rsidR="00B2442D" w:rsidRDefault="008A645F">
      <w:pPr>
        <w:pStyle w:val="Prrafodelista"/>
        <w:ind w:left="0"/>
        <w:jc w:val="both"/>
        <w:rPr>
          <w:rFonts w:ascii="Arial" w:hAnsi="Arial" w:cs="Arial"/>
          <w:i/>
          <w:lang w:val="es-CO"/>
        </w:rPr>
      </w:pPr>
      <w:r>
        <w:rPr>
          <w:rFonts w:ascii="Arial" w:hAnsi="Arial" w:cs="Arial"/>
          <w:b/>
          <w:bCs/>
        </w:rPr>
        <w:t xml:space="preserve">Parágrafo </w:t>
      </w:r>
      <w:r>
        <w:rPr>
          <w:rFonts w:ascii="Arial" w:hAnsi="Arial" w:cs="Arial"/>
        </w:rPr>
        <w:t>3. Para los casos de los servicios turísticos originados en paq</w:t>
      </w:r>
      <w:r>
        <w:rPr>
          <w:rFonts w:ascii="Arial" w:hAnsi="Arial" w:cs="Arial"/>
        </w:rPr>
        <w:t>uetes adquiridos a través de comercio electrónico o de cualquier otro medio, con posterioridad al ingreso del residente en el exterior al país, el prestador del servicio será responsable de obtener y conservar la copia de los documentos mencionados en el p</w:t>
      </w:r>
      <w:r>
        <w:rPr>
          <w:rFonts w:ascii="Arial" w:hAnsi="Arial" w:cs="Arial"/>
        </w:rPr>
        <w:t>arágrafo 2 de este artículo, sin los cuales no procederá la exención ni la correspondiente devolución.</w:t>
      </w:r>
    </w:p>
    <w:p w14:paraId="697EEE34" w14:textId="77777777" w:rsidR="00B2442D" w:rsidRDefault="008A645F">
      <w:pPr>
        <w:pStyle w:val="Prrafodelista"/>
        <w:ind w:left="0"/>
        <w:jc w:val="both"/>
        <w:rPr>
          <w:rFonts w:ascii="Arial" w:hAnsi="Arial" w:cs="Arial"/>
          <w:i/>
          <w:lang w:val="es-CO"/>
        </w:rPr>
      </w:pPr>
      <w:r>
        <w:rPr>
          <w:rFonts w:ascii="Arial" w:hAnsi="Arial" w:cs="Arial"/>
          <w:lang w:val="es-CO"/>
        </w:rPr>
        <w:t xml:space="preserve"> </w:t>
      </w:r>
    </w:p>
    <w:p w14:paraId="45854058" w14:textId="77777777" w:rsidR="00B2442D" w:rsidRDefault="008A645F">
      <w:pPr>
        <w:jc w:val="both"/>
        <w:rPr>
          <w:rFonts w:ascii="Arial" w:hAnsi="Arial" w:cs="Arial"/>
          <w:i/>
          <w:lang w:val="es-CO"/>
        </w:rPr>
      </w:pPr>
      <w:r>
        <w:rPr>
          <w:rFonts w:ascii="Arial" w:hAnsi="Arial" w:cs="Arial"/>
          <w:i/>
          <w:lang w:val="es-CO"/>
        </w:rPr>
        <w:t>(Art. 1, Decreto 297 de 2016)</w:t>
      </w:r>
    </w:p>
    <w:p w14:paraId="240248B0" w14:textId="77777777" w:rsidR="00B2442D" w:rsidRDefault="00B2442D">
      <w:pPr>
        <w:jc w:val="both"/>
        <w:rPr>
          <w:rFonts w:ascii="Arial" w:hAnsi="Arial" w:cs="Arial"/>
          <w:i/>
          <w:lang w:val="es-CO"/>
        </w:rPr>
      </w:pPr>
    </w:p>
    <w:p w14:paraId="06AB3DD1" w14:textId="77777777" w:rsidR="00B2442D" w:rsidRDefault="008A645F">
      <w:pPr>
        <w:pStyle w:val="Ttulo4"/>
        <w:rPr>
          <w:lang w:val="es-CO"/>
        </w:rPr>
      </w:pPr>
      <w:r>
        <w:rPr>
          <w:lang w:val="es-CO"/>
        </w:rPr>
        <w:t>CAPÍTULO 12</w:t>
      </w:r>
    </w:p>
    <w:p w14:paraId="726F1F0A" w14:textId="77777777" w:rsidR="00B2442D" w:rsidRDefault="008A645F">
      <w:pPr>
        <w:pStyle w:val="Ttulo4"/>
        <w:rPr>
          <w:lang w:val="es-CO"/>
        </w:rPr>
      </w:pPr>
      <w:r>
        <w:rPr>
          <w:lang w:val="es-CO"/>
        </w:rPr>
        <w:t>Ventas de bienes que se encuentran excluidas del impuesto sobre las ventas – IVA</w:t>
      </w:r>
    </w:p>
    <w:p w14:paraId="2C06B19A" w14:textId="77777777" w:rsidR="00B2442D" w:rsidRDefault="00B2442D">
      <w:pPr>
        <w:rPr>
          <w:rFonts w:ascii="Arial" w:hAnsi="Arial" w:cs="Arial"/>
          <w:lang w:val="es-CO"/>
        </w:rPr>
      </w:pPr>
    </w:p>
    <w:p w14:paraId="17D83B3D"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Bienes donados exentos de</w:t>
      </w:r>
      <w:r>
        <w:rPr>
          <w:rFonts w:ascii="Arial" w:hAnsi="Arial" w:cs="Arial"/>
          <w:b/>
          <w:i/>
          <w:lang w:val="es-CO"/>
        </w:rPr>
        <w:t>l impuesto sobre las ventas.</w:t>
      </w:r>
      <w:r>
        <w:rPr>
          <w:rFonts w:ascii="Arial" w:hAnsi="Arial" w:cs="Arial"/>
          <w:lang w:val="es-CO"/>
        </w:rPr>
        <w:t xml:space="preserve"> Para efectos del artículo 480 del Estatuto Tributario, cuando las entidades oficiales o sin ánimo de lucro dedicadas a la prestación de servicios de salud, importen bienes o equipos, se entenderá que los mismos fueron donados, </w:t>
      </w:r>
      <w:r>
        <w:rPr>
          <w:rFonts w:ascii="Arial" w:hAnsi="Arial" w:cs="Arial"/>
          <w:lang w:val="es-CO"/>
        </w:rPr>
        <w:t>cuando hayan sido adquiridos con dineros provenientes de donaciones de particulares destinadas a tal fin.</w:t>
      </w:r>
    </w:p>
    <w:p w14:paraId="5D6541EA" w14:textId="77777777" w:rsidR="00B2442D" w:rsidRDefault="00B2442D">
      <w:pPr>
        <w:jc w:val="both"/>
        <w:rPr>
          <w:rFonts w:ascii="Arial" w:hAnsi="Arial" w:cs="Arial"/>
          <w:i/>
          <w:lang w:val="es-CO"/>
        </w:rPr>
      </w:pPr>
    </w:p>
    <w:p w14:paraId="109E950A" w14:textId="77777777" w:rsidR="00B2442D" w:rsidRDefault="008A645F">
      <w:pPr>
        <w:jc w:val="both"/>
        <w:rPr>
          <w:rFonts w:ascii="Arial" w:hAnsi="Arial" w:cs="Arial"/>
          <w:i/>
          <w:lang w:val="es-CO"/>
        </w:rPr>
      </w:pPr>
      <w:r>
        <w:rPr>
          <w:rFonts w:ascii="Arial" w:hAnsi="Arial" w:cs="Arial"/>
          <w:i/>
          <w:lang w:val="es-CO"/>
        </w:rPr>
        <w:t>(Art. 1, Decreto 1900 de 1992)</w:t>
      </w:r>
    </w:p>
    <w:p w14:paraId="2EC84ABE" w14:textId="77777777" w:rsidR="00B2442D" w:rsidRDefault="00B2442D">
      <w:pPr>
        <w:jc w:val="both"/>
        <w:rPr>
          <w:rFonts w:ascii="Arial" w:hAnsi="Arial" w:cs="Arial"/>
          <w:i/>
          <w:lang w:val="es-CO"/>
        </w:rPr>
      </w:pPr>
    </w:p>
    <w:p w14:paraId="54E83802"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Bocadillo de guayaba excluido.</w:t>
      </w:r>
      <w:r>
        <w:rPr>
          <w:rFonts w:ascii="Arial" w:hAnsi="Arial" w:cs="Arial"/>
          <w:lang w:val="es-CO"/>
        </w:rPr>
        <w:t xml:space="preserve"> Para efectos de la exclusión contenida en artículo 424 del Estatuto Tributario, correspondiente a la partida arancelaria 08.04 (hoy 20.07),  se entiende por elaboración de manera  artesanal  aquella que es realizada tanto por personas naturales como juríd</w:t>
      </w:r>
      <w:r>
        <w:rPr>
          <w:rFonts w:ascii="Arial" w:hAnsi="Arial" w:cs="Arial"/>
          <w:lang w:val="es-CO"/>
        </w:rPr>
        <w:t>icas de manera predominantemente manual, con un alto porcentaje de materia prima natural.</w:t>
      </w:r>
    </w:p>
    <w:p w14:paraId="6BB98E86" w14:textId="77777777" w:rsidR="00B2442D" w:rsidRDefault="00B2442D">
      <w:pPr>
        <w:jc w:val="both"/>
        <w:rPr>
          <w:rFonts w:ascii="Arial" w:hAnsi="Arial" w:cs="Arial"/>
          <w:lang w:val="es-CO"/>
        </w:rPr>
      </w:pPr>
    </w:p>
    <w:p w14:paraId="489D96CD" w14:textId="77777777" w:rsidR="00B2442D" w:rsidRDefault="008A645F">
      <w:pPr>
        <w:jc w:val="both"/>
        <w:rPr>
          <w:rFonts w:ascii="Arial" w:hAnsi="Arial" w:cs="Arial"/>
          <w:i/>
          <w:lang w:val="es-CO"/>
        </w:rPr>
      </w:pPr>
      <w:r>
        <w:rPr>
          <w:rFonts w:ascii="Arial" w:hAnsi="Arial" w:cs="Arial"/>
          <w:i/>
          <w:lang w:val="es-CO"/>
        </w:rPr>
        <w:t>(Art. 3, Decreto 1345 de 1999)</w:t>
      </w:r>
    </w:p>
    <w:p w14:paraId="60AF1482" w14:textId="77777777" w:rsidR="00B2442D" w:rsidRDefault="00B2442D">
      <w:pPr>
        <w:jc w:val="both"/>
        <w:rPr>
          <w:rFonts w:ascii="Arial" w:hAnsi="Arial" w:cs="Arial"/>
          <w:lang w:val="es-CO"/>
        </w:rPr>
      </w:pPr>
    </w:p>
    <w:p w14:paraId="37B2977E"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Materias primas químicas para la elaboración de medicamentos.</w:t>
      </w:r>
      <w:r>
        <w:rPr>
          <w:rFonts w:ascii="Arial" w:hAnsi="Arial" w:cs="Arial"/>
          <w:lang w:val="es-CO"/>
        </w:rPr>
        <w:t xml:space="preserve"> Las materias primas químicas destinadas a la síntesis o elaboración de medicamentos correspondientes a las partidas 29.36, 29.41, 30.01, 30.03, 30.04 y 30.06 del actual Arancel de Aduanas, clasificables en los capítulos 11, 12, 13, 15, 17, 25, 27, 28, 29,</w:t>
      </w:r>
      <w:r>
        <w:rPr>
          <w:rFonts w:ascii="Arial" w:hAnsi="Arial" w:cs="Arial"/>
          <w:lang w:val="es-CO"/>
        </w:rPr>
        <w:t xml:space="preserve"> 30, 32, 33, 34, 35, 38, 39 y 72 para medicamentos de uso humano y en los capítulos 13, 15, 16, 17, 21, 23, 28, 29, 30, 32, 33, 34, 35 y 38 para los de uso veterinario, están excluidas del impuesto sobre las ventas si se cumplen las condiciones establecida</w:t>
      </w:r>
      <w:r>
        <w:rPr>
          <w:rFonts w:ascii="Arial" w:hAnsi="Arial" w:cs="Arial"/>
          <w:lang w:val="es-CO"/>
        </w:rPr>
        <w:t>s en los artículos 1.3.1.12.3 a 1.3.1.12.9 del presente decreto, según el caso.</w:t>
      </w:r>
    </w:p>
    <w:p w14:paraId="596A9590" w14:textId="77777777" w:rsidR="00B2442D" w:rsidRDefault="00B2442D">
      <w:pPr>
        <w:jc w:val="both"/>
        <w:rPr>
          <w:rFonts w:ascii="Arial" w:hAnsi="Arial" w:cs="Arial"/>
          <w:lang w:val="es-CO"/>
        </w:rPr>
      </w:pPr>
    </w:p>
    <w:p w14:paraId="68F89884" w14:textId="77777777" w:rsidR="00B2442D" w:rsidRDefault="008A645F">
      <w:pPr>
        <w:jc w:val="both"/>
        <w:rPr>
          <w:rFonts w:ascii="Arial" w:hAnsi="Arial" w:cs="Arial"/>
          <w:i/>
          <w:lang w:val="es-CO"/>
        </w:rPr>
      </w:pPr>
      <w:r>
        <w:rPr>
          <w:rFonts w:ascii="Arial" w:hAnsi="Arial" w:cs="Arial"/>
          <w:i/>
          <w:lang w:val="es-CO"/>
        </w:rPr>
        <w:t>(Art. 1, Decreto 3733 de 2005)</w:t>
      </w:r>
    </w:p>
    <w:p w14:paraId="23FFECAD" w14:textId="77777777" w:rsidR="00B2442D" w:rsidRDefault="00B2442D">
      <w:pPr>
        <w:jc w:val="both"/>
        <w:rPr>
          <w:rFonts w:ascii="Arial" w:hAnsi="Arial" w:cs="Arial"/>
          <w:lang w:val="es-CO"/>
        </w:rPr>
      </w:pPr>
    </w:p>
    <w:p w14:paraId="2C2771D4"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Materias primas químicas para la elaboración de plaguicidas e insecticidas y fertilizantes.</w:t>
      </w:r>
      <w:r>
        <w:rPr>
          <w:rFonts w:ascii="Arial" w:hAnsi="Arial" w:cs="Arial"/>
          <w:lang w:val="es-CO"/>
        </w:rPr>
        <w:t xml:space="preserve"> Las materias primas químicas clasificables en los </w:t>
      </w:r>
      <w:r>
        <w:rPr>
          <w:rFonts w:ascii="Arial" w:hAnsi="Arial" w:cs="Arial"/>
          <w:lang w:val="es-CO"/>
        </w:rPr>
        <w:t>capítulos 13, 15, 25, 26, 27, 28, 29, 31, 32, 34, 38 y 39 del actual Arancel de Aduanas que sean empleadas en la síntesis o elaboración de plaguicidas e insecticidas, que correspondan a la partida 38.08 y de los fertilizantes de las partidas 31.01 a 31.05,</w:t>
      </w:r>
      <w:r>
        <w:rPr>
          <w:rFonts w:ascii="Arial" w:hAnsi="Arial" w:cs="Arial"/>
          <w:lang w:val="es-CO"/>
        </w:rPr>
        <w:t xml:space="preserve"> estarán excluidas del impuesto sobre las ventas si se cumplen las condiciones establecidas en los artículos 1.3.1.12.5 y 1.3.1.12.6 de este decreto, según corresponda. El visto bueno pertinente será otorgado por el Instituto Colombiano Agropecuario - ICA,</w:t>
      </w:r>
      <w:r>
        <w:rPr>
          <w:rFonts w:ascii="Arial" w:hAnsi="Arial" w:cs="Arial"/>
          <w:lang w:val="es-CO"/>
        </w:rPr>
        <w:t xml:space="preserve"> o el Instituto Nacional de Vigilancia de Medicamentos y Alimentos, Invima, según el caso.</w:t>
      </w:r>
    </w:p>
    <w:p w14:paraId="0046A8B6" w14:textId="77777777" w:rsidR="00B2442D" w:rsidRDefault="00B2442D">
      <w:pPr>
        <w:jc w:val="both"/>
        <w:rPr>
          <w:rFonts w:ascii="Arial" w:hAnsi="Arial" w:cs="Arial"/>
          <w:lang w:val="es-CO"/>
        </w:rPr>
      </w:pPr>
    </w:p>
    <w:p w14:paraId="31C307AA" w14:textId="77777777" w:rsidR="00B2442D" w:rsidRDefault="008A645F">
      <w:pPr>
        <w:jc w:val="both"/>
        <w:rPr>
          <w:rFonts w:ascii="Arial" w:hAnsi="Arial" w:cs="Arial"/>
          <w:i/>
          <w:lang w:val="es-CO"/>
        </w:rPr>
      </w:pPr>
      <w:r>
        <w:rPr>
          <w:rFonts w:ascii="Arial" w:hAnsi="Arial" w:cs="Arial"/>
          <w:i/>
          <w:lang w:val="es-CO"/>
        </w:rPr>
        <w:t>(Art. 2, Decreto 3733 de 2005)</w:t>
      </w:r>
    </w:p>
    <w:p w14:paraId="2209CB6B" w14:textId="77777777" w:rsidR="00B2442D" w:rsidRDefault="00B2442D">
      <w:pPr>
        <w:jc w:val="both"/>
        <w:rPr>
          <w:rFonts w:ascii="Arial" w:hAnsi="Arial" w:cs="Arial"/>
          <w:lang w:val="es-CO"/>
        </w:rPr>
      </w:pPr>
    </w:p>
    <w:p w14:paraId="6CCD94BF"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Importaciones.</w:t>
      </w:r>
      <w:r>
        <w:rPr>
          <w:rFonts w:ascii="Arial" w:hAnsi="Arial" w:cs="Arial"/>
          <w:lang w:val="es-CO"/>
        </w:rPr>
        <w:t xml:space="preserve"> Para las importaciones, se requerirá visto bueno previo del Instituto Nacional de Vigilancia de Medicamentos y Alime</w:t>
      </w:r>
      <w:r>
        <w:rPr>
          <w:rFonts w:ascii="Arial" w:hAnsi="Arial" w:cs="Arial"/>
          <w:lang w:val="es-CO"/>
        </w:rPr>
        <w:t>ntos, Invima, o del Instituto Colombiano Agropecuario - ICA, según el caso, conforme al procedimiento establecido para el efecto.</w:t>
      </w:r>
    </w:p>
    <w:p w14:paraId="25D04B2A" w14:textId="77777777" w:rsidR="00B2442D" w:rsidRDefault="00B2442D">
      <w:pPr>
        <w:jc w:val="both"/>
        <w:rPr>
          <w:rFonts w:ascii="Arial" w:hAnsi="Arial" w:cs="Arial"/>
          <w:lang w:val="es-CO"/>
        </w:rPr>
      </w:pPr>
    </w:p>
    <w:p w14:paraId="42E053C3" w14:textId="77777777" w:rsidR="00B2442D" w:rsidRDefault="008A645F">
      <w:pPr>
        <w:jc w:val="both"/>
        <w:rPr>
          <w:rFonts w:ascii="Arial" w:hAnsi="Arial" w:cs="Arial"/>
          <w:lang w:val="es-CO"/>
        </w:rPr>
      </w:pPr>
      <w:r>
        <w:rPr>
          <w:rFonts w:ascii="Arial" w:hAnsi="Arial" w:cs="Arial"/>
          <w:lang w:val="es-CO"/>
        </w:rPr>
        <w:t>Cuando se trate de importaciones efectuadas por comercializadores, para obtener el visto bueno anterior, deberá acreditarse q</w:t>
      </w:r>
      <w:r>
        <w:rPr>
          <w:rFonts w:ascii="Arial" w:hAnsi="Arial" w:cs="Arial"/>
          <w:lang w:val="es-CO"/>
        </w:rPr>
        <w:t xml:space="preserve">ue tal materia prima será destinada a productores de medicamentos de uso humano o veterinario o de plaguicidas e insecticidas y fertilizantes según corresponda y en sus posteriores ventas en el país se sujetará a lo dispuesto en el artículo 1.3.1.12.6 del </w:t>
      </w:r>
      <w:r>
        <w:rPr>
          <w:rFonts w:ascii="Arial" w:hAnsi="Arial" w:cs="Arial"/>
          <w:lang w:val="es-CO"/>
        </w:rPr>
        <w:t>presente decreto.</w:t>
      </w:r>
    </w:p>
    <w:p w14:paraId="32FA40F3" w14:textId="77777777" w:rsidR="00B2442D" w:rsidRDefault="00B2442D">
      <w:pPr>
        <w:jc w:val="both"/>
        <w:rPr>
          <w:rFonts w:ascii="Arial" w:hAnsi="Arial" w:cs="Arial"/>
          <w:lang w:val="es-CO"/>
        </w:rPr>
      </w:pPr>
    </w:p>
    <w:p w14:paraId="459A6D5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registro o licencia de importación, así como la declaración de importación respectiva, contendrán exclusivamente mercancías para las cuales se solicita la exclusión del impuesto sobre las ventas (IVA).</w:t>
      </w:r>
    </w:p>
    <w:p w14:paraId="50616BE2" w14:textId="77777777" w:rsidR="00B2442D" w:rsidRDefault="00B2442D">
      <w:pPr>
        <w:jc w:val="both"/>
        <w:rPr>
          <w:rFonts w:ascii="Arial" w:hAnsi="Arial" w:cs="Arial"/>
          <w:lang w:val="es-CO"/>
        </w:rPr>
      </w:pPr>
    </w:p>
    <w:p w14:paraId="4474AFAB" w14:textId="77777777" w:rsidR="00B2442D" w:rsidRDefault="008A645F">
      <w:pPr>
        <w:jc w:val="both"/>
        <w:rPr>
          <w:rFonts w:ascii="Arial" w:hAnsi="Arial" w:cs="Arial"/>
          <w:i/>
          <w:lang w:val="es-CO"/>
        </w:rPr>
      </w:pPr>
      <w:r>
        <w:rPr>
          <w:rFonts w:ascii="Arial" w:hAnsi="Arial" w:cs="Arial"/>
          <w:i/>
          <w:lang w:val="es-CO"/>
        </w:rPr>
        <w:t>(Art. 3, Decreto 373</w:t>
      </w:r>
      <w:r>
        <w:rPr>
          <w:rFonts w:ascii="Arial" w:hAnsi="Arial" w:cs="Arial"/>
          <w:i/>
          <w:lang w:val="es-CO"/>
        </w:rPr>
        <w:t>3 de 2005)</w:t>
      </w:r>
    </w:p>
    <w:p w14:paraId="4B84028B" w14:textId="77777777" w:rsidR="00B2442D" w:rsidRDefault="00B2442D">
      <w:pPr>
        <w:jc w:val="both"/>
        <w:rPr>
          <w:rFonts w:ascii="Arial" w:hAnsi="Arial" w:cs="Arial"/>
          <w:lang w:val="es-CO"/>
        </w:rPr>
      </w:pPr>
    </w:p>
    <w:p w14:paraId="22627D04"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Ventas en el país.</w:t>
      </w:r>
      <w:r>
        <w:rPr>
          <w:rFonts w:ascii="Arial" w:hAnsi="Arial" w:cs="Arial"/>
          <w:lang w:val="es-CO"/>
        </w:rPr>
        <w:t xml:space="preserve"> En el caso de ventas en el país, el adquirente deberá entregar al proveedor nacional, o importador:</w:t>
      </w:r>
    </w:p>
    <w:p w14:paraId="3762D939" w14:textId="77777777" w:rsidR="00B2442D" w:rsidRDefault="00B2442D">
      <w:pPr>
        <w:jc w:val="both"/>
        <w:rPr>
          <w:rFonts w:ascii="Arial" w:hAnsi="Arial" w:cs="Arial"/>
          <w:lang w:val="es-CO"/>
        </w:rPr>
      </w:pPr>
    </w:p>
    <w:p w14:paraId="66342038"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Certificación de su registro vigente, sanitario o de productor, como fabricante de medicamentos de uso humano o veterina</w:t>
      </w:r>
      <w:r>
        <w:rPr>
          <w:rFonts w:ascii="Arial" w:hAnsi="Arial" w:cs="Arial"/>
          <w:lang w:val="es-CO"/>
        </w:rPr>
        <w:t>rio, de plaguicidas e insecticidas, o fertilizantes, expedida por el Instituto Nacional de Vigilancia de Medicamentos y Alimentos, Invima, o por el Instituto Colombiano Agropecuario - ICA, según el caso, con el primer pedido del año gravable;</w:t>
      </w:r>
    </w:p>
    <w:p w14:paraId="78C4ED3D" w14:textId="77777777" w:rsidR="00B2442D" w:rsidRDefault="00B2442D">
      <w:pPr>
        <w:ind w:left="426" w:hanging="426"/>
        <w:jc w:val="both"/>
        <w:rPr>
          <w:rFonts w:ascii="Arial" w:hAnsi="Arial" w:cs="Arial"/>
          <w:lang w:val="es-CO"/>
        </w:rPr>
      </w:pPr>
    </w:p>
    <w:p w14:paraId="35CE48C1"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Manifestación suscrita por el fabricante, o su representante legal, en el sentido de que la materia prima solicitada será destinada por su empresa a la fabricación de medicamentos o de plaguicidas e insecticidas o fertilizantes, según el caso;</w:t>
      </w:r>
    </w:p>
    <w:p w14:paraId="45C9D6E0" w14:textId="77777777" w:rsidR="00B2442D" w:rsidRDefault="00B2442D">
      <w:pPr>
        <w:ind w:left="426" w:hanging="426"/>
        <w:jc w:val="both"/>
        <w:rPr>
          <w:rFonts w:ascii="Arial" w:hAnsi="Arial" w:cs="Arial"/>
          <w:lang w:val="es-CO"/>
        </w:rPr>
      </w:pPr>
    </w:p>
    <w:p w14:paraId="6B452324"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Lista de</w:t>
      </w:r>
      <w:r>
        <w:rPr>
          <w:rFonts w:ascii="Arial" w:hAnsi="Arial" w:cs="Arial"/>
          <w:lang w:val="es-CO"/>
        </w:rPr>
        <w:t xml:space="preserve"> las materias primas que requiere la empresa para la producción de los medicamentos o de los plaguicidas e insecticidas o fertilizantes que elabora, suscrita por el revisor fiscal o contador público, según el caso, con el visto bueno del Instituto Nacional</w:t>
      </w:r>
      <w:r>
        <w:rPr>
          <w:rFonts w:ascii="Arial" w:hAnsi="Arial" w:cs="Arial"/>
          <w:lang w:val="es-CO"/>
        </w:rPr>
        <w:t xml:space="preserve"> de Vigilancia de Medicamentos y Alimentos, Invima, o del Instituto Colombiano Agropecuario - ICA, lista que deberá ser entregada al vendedor con el primer pedido del año, o cuando una materia prima no aparezca en la mencionada lista;</w:t>
      </w:r>
    </w:p>
    <w:p w14:paraId="56621F20" w14:textId="77777777" w:rsidR="00B2442D" w:rsidRDefault="00B2442D">
      <w:pPr>
        <w:ind w:left="426" w:hanging="426"/>
        <w:jc w:val="both"/>
        <w:rPr>
          <w:rFonts w:ascii="Arial" w:hAnsi="Arial" w:cs="Arial"/>
          <w:lang w:val="es-CO"/>
        </w:rPr>
      </w:pPr>
    </w:p>
    <w:p w14:paraId="0D5102FE"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Factura en la cua</w:t>
      </w:r>
      <w:r>
        <w:rPr>
          <w:rFonts w:ascii="Arial" w:hAnsi="Arial" w:cs="Arial"/>
          <w:lang w:val="es-CO"/>
        </w:rPr>
        <w:t>l deberá dejarse constancia de haberse vendido la materia prima con exclusión del impuesto sobre las ventas - IVA, y</w:t>
      </w:r>
    </w:p>
    <w:p w14:paraId="77EC811E" w14:textId="77777777" w:rsidR="00B2442D" w:rsidRDefault="00B2442D">
      <w:pPr>
        <w:ind w:left="426" w:hanging="426"/>
        <w:jc w:val="both"/>
        <w:rPr>
          <w:rFonts w:ascii="Arial" w:hAnsi="Arial" w:cs="Arial"/>
          <w:lang w:val="es-CO"/>
        </w:rPr>
      </w:pPr>
    </w:p>
    <w:p w14:paraId="47225A9A"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Certificado suscrito por el contador público o revisor fiscal, según el caso, en el cual conste el número y la fecha de las facturas co</w:t>
      </w:r>
      <w:r>
        <w:rPr>
          <w:rFonts w:ascii="Arial" w:hAnsi="Arial" w:cs="Arial"/>
          <w:lang w:val="es-CO"/>
        </w:rPr>
        <w:t>rrespondientes a las materias primas adquiridas en el bimestre inmediatamente anterior con exclusión del impuesto sobre las ventas - IVA y su valor, el cual se enviará a su proveedor en el país dentro del bimestre siguiente. El proveedor conservará los ant</w:t>
      </w:r>
      <w:r>
        <w:rPr>
          <w:rFonts w:ascii="Arial" w:hAnsi="Arial" w:cs="Arial"/>
          <w:lang w:val="es-CO"/>
        </w:rPr>
        <w:t>eriores documentos como parte integrante de su contabilidad.</w:t>
      </w:r>
    </w:p>
    <w:p w14:paraId="0BFAA5C8" w14:textId="77777777" w:rsidR="00B2442D" w:rsidRDefault="00B2442D">
      <w:pPr>
        <w:jc w:val="both"/>
        <w:rPr>
          <w:rFonts w:ascii="Arial" w:hAnsi="Arial" w:cs="Arial"/>
          <w:lang w:val="es-CO"/>
        </w:rPr>
      </w:pPr>
    </w:p>
    <w:p w14:paraId="29B6A959" w14:textId="77777777" w:rsidR="00B2442D" w:rsidRDefault="008A645F">
      <w:pPr>
        <w:jc w:val="both"/>
        <w:rPr>
          <w:rFonts w:ascii="Arial" w:hAnsi="Arial" w:cs="Arial"/>
          <w:i/>
          <w:lang w:val="es-CO"/>
        </w:rPr>
      </w:pPr>
      <w:r>
        <w:rPr>
          <w:rFonts w:ascii="Arial" w:hAnsi="Arial" w:cs="Arial"/>
          <w:i/>
          <w:lang w:val="es-CO"/>
        </w:rPr>
        <w:t>(Art. 4, Decreto 3733 de 2005)</w:t>
      </w:r>
    </w:p>
    <w:p w14:paraId="5F8B7DF1" w14:textId="77777777" w:rsidR="00B2442D" w:rsidRDefault="00B2442D">
      <w:pPr>
        <w:jc w:val="both"/>
        <w:rPr>
          <w:rFonts w:ascii="Arial" w:hAnsi="Arial" w:cs="Arial"/>
          <w:lang w:val="es-CO"/>
        </w:rPr>
      </w:pPr>
    </w:p>
    <w:p w14:paraId="056B72C0"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Destinación diferente.</w:t>
      </w:r>
      <w:r>
        <w:rPr>
          <w:rFonts w:ascii="Arial" w:hAnsi="Arial" w:cs="Arial"/>
          <w:lang w:val="es-CO"/>
        </w:rPr>
        <w:t xml:space="preserve"> Cuando el importador enajene la materia prima destinada a productores de medicamentos, de plaguicidas e insecticidas o fertilizantes, de q</w:t>
      </w:r>
      <w:r>
        <w:rPr>
          <w:rFonts w:ascii="Arial" w:hAnsi="Arial" w:cs="Arial"/>
          <w:lang w:val="es-CO"/>
        </w:rPr>
        <w:t xml:space="preserve">ue tratan los artículos 1.3.1.12.3 y 1.3.1.12.4 de este decreto, a personas diferentes de estos, o sin el lleno de los requisitos establecidos en el artículo 1.3.1.12.6 de este decreto, deberá cancelar el impuesto sobre las ventas (IVA) dejado de pagar en </w:t>
      </w:r>
      <w:r>
        <w:rPr>
          <w:rFonts w:ascii="Arial" w:hAnsi="Arial" w:cs="Arial"/>
          <w:lang w:val="es-CO"/>
        </w:rPr>
        <w:t>la importación, junto con los intereses moratorios causados desde la fecha del levante de las mercancías, liquidados a la tasa vigente al momento del respectivo pago.</w:t>
      </w:r>
    </w:p>
    <w:p w14:paraId="061DEE52" w14:textId="77777777" w:rsidR="00B2442D" w:rsidRDefault="00B2442D">
      <w:pPr>
        <w:jc w:val="both"/>
        <w:rPr>
          <w:rFonts w:ascii="Arial" w:hAnsi="Arial" w:cs="Arial"/>
          <w:lang w:val="es-CO"/>
        </w:rPr>
      </w:pPr>
    </w:p>
    <w:p w14:paraId="454C669A" w14:textId="77777777" w:rsidR="00B2442D" w:rsidRDefault="008A645F">
      <w:pPr>
        <w:jc w:val="both"/>
        <w:rPr>
          <w:rFonts w:ascii="Arial" w:hAnsi="Arial" w:cs="Arial"/>
          <w:lang w:val="es-CO"/>
        </w:rPr>
      </w:pPr>
      <w:r>
        <w:rPr>
          <w:rFonts w:ascii="Arial" w:hAnsi="Arial" w:cs="Arial"/>
          <w:lang w:val="es-CO"/>
        </w:rPr>
        <w:t xml:space="preserve">En los eventos previstos en el inciso anterior, el importador comercializador, así como </w:t>
      </w:r>
      <w:r>
        <w:rPr>
          <w:rFonts w:ascii="Arial" w:hAnsi="Arial" w:cs="Arial"/>
          <w:lang w:val="es-CO"/>
        </w:rPr>
        <w:t>el proveedor de materia prima nacional, deberán cumplir con las obligaciones de facturar y cobrar el IVA en las ventas que se realicen en el territorio nacional, llevar contabilidad separada de ventas excluidas y gravadas, presentar las declaraciones tribu</w:t>
      </w:r>
      <w:r>
        <w:rPr>
          <w:rFonts w:ascii="Arial" w:hAnsi="Arial" w:cs="Arial"/>
          <w:lang w:val="es-CO"/>
        </w:rPr>
        <w:t>tarias de ventas, pagar el impuesto y las sanciones a que haya lugar.</w:t>
      </w:r>
    </w:p>
    <w:p w14:paraId="1F08FF3C" w14:textId="77777777" w:rsidR="00B2442D" w:rsidRDefault="00B2442D">
      <w:pPr>
        <w:jc w:val="both"/>
        <w:rPr>
          <w:rFonts w:ascii="Arial" w:hAnsi="Arial" w:cs="Arial"/>
          <w:lang w:val="es-CO"/>
        </w:rPr>
      </w:pPr>
    </w:p>
    <w:p w14:paraId="373459BE" w14:textId="77777777" w:rsidR="00B2442D" w:rsidRDefault="008A645F">
      <w:pPr>
        <w:jc w:val="both"/>
        <w:rPr>
          <w:rFonts w:ascii="Arial" w:hAnsi="Arial" w:cs="Arial"/>
          <w:lang w:val="es-CO"/>
        </w:rPr>
      </w:pPr>
      <w:r>
        <w:rPr>
          <w:rFonts w:ascii="Arial" w:hAnsi="Arial" w:cs="Arial"/>
          <w:lang w:val="es-CO"/>
        </w:rPr>
        <w:t>Igual tratamiento y obligaciones en lo pertinente, deberá cumplir el fabricante nacional que destine a fines diferentes la materia prima adquirida para la elaboración de medicamentos, p</w:t>
      </w:r>
      <w:r>
        <w:rPr>
          <w:rFonts w:ascii="Arial" w:hAnsi="Arial" w:cs="Arial"/>
          <w:lang w:val="es-CO"/>
        </w:rPr>
        <w:t>laguicidas e insecticidas y fertilizantes.</w:t>
      </w:r>
    </w:p>
    <w:p w14:paraId="6E63A9A9" w14:textId="77777777" w:rsidR="00B2442D" w:rsidRDefault="00B2442D">
      <w:pPr>
        <w:jc w:val="both"/>
        <w:rPr>
          <w:rFonts w:ascii="Arial" w:hAnsi="Arial" w:cs="Arial"/>
          <w:i/>
          <w:lang w:val="es-CO"/>
        </w:rPr>
      </w:pPr>
    </w:p>
    <w:p w14:paraId="007097DB" w14:textId="77777777" w:rsidR="00B2442D" w:rsidRDefault="008A645F">
      <w:pPr>
        <w:jc w:val="both"/>
        <w:rPr>
          <w:rFonts w:ascii="Arial" w:hAnsi="Arial" w:cs="Arial"/>
          <w:i/>
          <w:lang w:val="es-CO"/>
        </w:rPr>
      </w:pPr>
      <w:r>
        <w:rPr>
          <w:rFonts w:ascii="Arial" w:hAnsi="Arial" w:cs="Arial"/>
          <w:i/>
          <w:lang w:val="es-CO"/>
        </w:rPr>
        <w:t>(Art. 5, Decreto 3733 de 2005)</w:t>
      </w:r>
    </w:p>
    <w:p w14:paraId="7A7E6FEA" w14:textId="77777777" w:rsidR="00B2442D" w:rsidRDefault="00B2442D">
      <w:pPr>
        <w:jc w:val="both"/>
        <w:rPr>
          <w:rFonts w:ascii="Arial" w:hAnsi="Arial" w:cs="Arial"/>
          <w:lang w:val="es-CO"/>
        </w:rPr>
      </w:pPr>
    </w:p>
    <w:p w14:paraId="5F986F86"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Aplicación del Decreto 3733 de 2005.</w:t>
      </w:r>
      <w:r>
        <w:rPr>
          <w:rFonts w:ascii="Arial" w:hAnsi="Arial" w:cs="Arial"/>
          <w:lang w:val="es-CO"/>
        </w:rPr>
        <w:t xml:space="preserve"> Lo dispuesto en los artículos 1.3.1.12.3 a 1.3.1.12.9 del presente decreto, se entiende sin perjuicio del cumplimiento de las exigencias previ</w:t>
      </w:r>
      <w:r>
        <w:rPr>
          <w:rFonts w:ascii="Arial" w:hAnsi="Arial" w:cs="Arial"/>
          <w:lang w:val="es-CO"/>
        </w:rPr>
        <w:t>stas en el Decreto 2272 de 1991 y demás disposiciones que lo modifiquen o aclaren, para la importación de bienes sometidos a control o autorizaciones para su introducción al territorio nacional, y demás normas especiales.</w:t>
      </w:r>
    </w:p>
    <w:p w14:paraId="75FB554C" w14:textId="77777777" w:rsidR="00B2442D" w:rsidRDefault="00B2442D">
      <w:pPr>
        <w:jc w:val="both"/>
        <w:rPr>
          <w:rFonts w:ascii="Arial" w:hAnsi="Arial" w:cs="Arial"/>
          <w:lang w:val="es-CO"/>
        </w:rPr>
      </w:pPr>
    </w:p>
    <w:p w14:paraId="46043AD9" w14:textId="77777777" w:rsidR="00B2442D" w:rsidRDefault="008A645F">
      <w:pPr>
        <w:jc w:val="both"/>
        <w:rPr>
          <w:rFonts w:ascii="Arial" w:hAnsi="Arial" w:cs="Arial"/>
          <w:i/>
          <w:lang w:val="es-CO"/>
        </w:rPr>
      </w:pPr>
      <w:r>
        <w:rPr>
          <w:rFonts w:ascii="Arial" w:hAnsi="Arial" w:cs="Arial"/>
          <w:i/>
          <w:lang w:val="es-CO"/>
        </w:rPr>
        <w:t>(Art. 6, Decreto 3733 de 2005)</w:t>
      </w:r>
    </w:p>
    <w:p w14:paraId="2B526296" w14:textId="77777777" w:rsidR="00B2442D" w:rsidRDefault="00B2442D">
      <w:pPr>
        <w:jc w:val="both"/>
        <w:rPr>
          <w:rFonts w:ascii="Arial" w:hAnsi="Arial" w:cs="Arial"/>
          <w:lang w:val="es-CO"/>
        </w:rPr>
      </w:pPr>
    </w:p>
    <w:p w14:paraId="129CE079"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 </w:t>
      </w:r>
      <w:r>
        <w:rPr>
          <w:rFonts w:ascii="Arial" w:hAnsi="Arial" w:cs="Arial"/>
          <w:b/>
          <w:i/>
          <w:lang w:val="es-CO"/>
        </w:rPr>
        <w:t>Control tributario.</w:t>
      </w:r>
      <w:r>
        <w:rPr>
          <w:rFonts w:ascii="Arial" w:hAnsi="Arial" w:cs="Arial"/>
          <w:lang w:val="es-CO"/>
        </w:rPr>
        <w:t xml:space="preserve"> Las oficinas competentes del Instituto Nacional de Vigilancia de Medicamentos y Alimentos, INVIMA, y del Instituto Colombiano Agropecuario - ICA, llevarán registro de los vistos buenos otorgados y enviarán antes del 31 de marzo de cada </w:t>
      </w:r>
      <w:r>
        <w:rPr>
          <w:rFonts w:ascii="Arial" w:hAnsi="Arial" w:cs="Arial"/>
          <w:lang w:val="es-CO"/>
        </w:rPr>
        <w:t>año, a la Subdirección de Gestión de Fiscalización Tributaria de la Unidad Administrativa Especial Dirección de Impuestos y Aduanas Nacionales  - DIAN, o dependencia que haga sus veces, y a la Subdirección de Gestión de Comercio Exterior de la Dirección de</w:t>
      </w:r>
      <w:r>
        <w:rPr>
          <w:rFonts w:ascii="Arial" w:hAnsi="Arial" w:cs="Arial"/>
          <w:lang w:val="es-CO"/>
        </w:rPr>
        <w:t xml:space="preserve"> Gestión de Aduanas, una relación por empresa, que contenga nombre o razón social - NIT, denominación del producto; partida o subpartida arancelaria correspondiente, cantidad y valor autorizado durante el año inmediatamente anterior.</w:t>
      </w:r>
    </w:p>
    <w:p w14:paraId="275C3C7A" w14:textId="77777777" w:rsidR="00B2442D" w:rsidRDefault="00B2442D">
      <w:pPr>
        <w:jc w:val="both"/>
        <w:rPr>
          <w:rFonts w:ascii="Arial" w:hAnsi="Arial" w:cs="Arial"/>
          <w:lang w:val="es-CO"/>
        </w:rPr>
      </w:pPr>
    </w:p>
    <w:p w14:paraId="1888E8D8" w14:textId="77777777" w:rsidR="00B2442D" w:rsidRDefault="008A645F">
      <w:pPr>
        <w:jc w:val="both"/>
        <w:rPr>
          <w:rFonts w:ascii="Arial" w:hAnsi="Arial" w:cs="Arial"/>
          <w:lang w:val="es-CO"/>
        </w:rPr>
      </w:pPr>
      <w:r>
        <w:rPr>
          <w:rFonts w:ascii="Arial" w:hAnsi="Arial" w:cs="Arial"/>
          <w:lang w:val="es-CO"/>
        </w:rPr>
        <w:t xml:space="preserve">Antes de la </w:t>
      </w:r>
      <w:r>
        <w:rPr>
          <w:rFonts w:ascii="Arial" w:hAnsi="Arial" w:cs="Arial"/>
          <w:lang w:val="es-CO"/>
        </w:rPr>
        <w:t>fecha indicada en el inciso anterior, los proveedores enviarán a la Subdirección de Gestión de Fiscalización Tributaria de la Unidad Administrativa Especial Dirección de Impuestos y Aduanas Nacionales- DIAN, una relación de las ventas efectuadas por empres</w:t>
      </w:r>
      <w:r>
        <w:rPr>
          <w:rFonts w:ascii="Arial" w:hAnsi="Arial" w:cs="Arial"/>
          <w:lang w:val="es-CO"/>
        </w:rPr>
        <w:t>a en el mismo período, que contenga nombre o razón social - NIT, cantidad por producto, partida o subpartida arancelaria y su valor.</w:t>
      </w:r>
    </w:p>
    <w:p w14:paraId="575955BF" w14:textId="77777777" w:rsidR="00B2442D" w:rsidRDefault="00B2442D">
      <w:pPr>
        <w:jc w:val="both"/>
        <w:rPr>
          <w:rFonts w:ascii="Arial" w:hAnsi="Arial" w:cs="Arial"/>
          <w:lang w:val="es-CO"/>
        </w:rPr>
      </w:pPr>
    </w:p>
    <w:p w14:paraId="193B71D5" w14:textId="77777777" w:rsidR="00B2442D" w:rsidRDefault="008A645F">
      <w:pPr>
        <w:jc w:val="both"/>
        <w:rPr>
          <w:rFonts w:ascii="Arial" w:hAnsi="Arial" w:cs="Arial"/>
          <w:i/>
          <w:lang w:val="es-CO"/>
        </w:rPr>
      </w:pPr>
      <w:r>
        <w:rPr>
          <w:rFonts w:ascii="Arial" w:hAnsi="Arial" w:cs="Arial"/>
          <w:i/>
          <w:lang w:val="es-CO"/>
        </w:rPr>
        <w:t>(Art. 7, Decreto 3733 de 2005)</w:t>
      </w:r>
    </w:p>
    <w:p w14:paraId="188AAC02" w14:textId="77777777" w:rsidR="00B2442D" w:rsidRDefault="00B2442D">
      <w:pPr>
        <w:jc w:val="both"/>
        <w:rPr>
          <w:rFonts w:ascii="Arial" w:hAnsi="Arial" w:cs="Arial"/>
          <w:i/>
          <w:lang w:val="es-CO"/>
        </w:rPr>
      </w:pPr>
    </w:p>
    <w:p w14:paraId="1AF581F9"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Dispositivos móviles inteligentes excluidos de IVA.</w:t>
      </w:r>
      <w:r>
        <w:rPr>
          <w:rFonts w:ascii="Arial" w:hAnsi="Arial" w:cs="Arial"/>
          <w:lang w:val="es-CO"/>
        </w:rPr>
        <w:t xml:space="preserve"> Los dispositivos móviles inteligentes </w:t>
      </w:r>
      <w:r>
        <w:rPr>
          <w:rFonts w:ascii="Arial" w:hAnsi="Arial" w:cs="Arial"/>
          <w:lang w:val="es-CO"/>
        </w:rPr>
        <w:t>excluidos del impuesto sobre las ventas conforme con lo dispuesto en el numeral 9 del artículo 424 del Estatuto Tributario, son todos aquellos que cumplen con la totalidad de las siguientes características:</w:t>
      </w:r>
    </w:p>
    <w:p w14:paraId="5787FE9A" w14:textId="77777777" w:rsidR="00B2442D" w:rsidRDefault="00B2442D">
      <w:pPr>
        <w:jc w:val="both"/>
        <w:rPr>
          <w:rFonts w:ascii="Arial" w:hAnsi="Arial" w:cs="Arial"/>
          <w:lang w:val="es-CO"/>
        </w:rPr>
      </w:pPr>
    </w:p>
    <w:p w14:paraId="173F4F49"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Teclado completo, táctil o físico;</w:t>
      </w:r>
    </w:p>
    <w:p w14:paraId="72D1683A"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 xml:space="preserve">Operan </w:t>
      </w:r>
      <w:r>
        <w:rPr>
          <w:rFonts w:ascii="Arial" w:hAnsi="Arial" w:cs="Arial"/>
          <w:lang w:val="es-CO"/>
        </w:rPr>
        <w:t>sobre sistemas operativos estándares actualizables;</w:t>
      </w:r>
    </w:p>
    <w:p w14:paraId="66986890" w14:textId="77777777" w:rsidR="00B2442D" w:rsidRDefault="008A645F">
      <w:pPr>
        <w:jc w:val="both"/>
        <w:rPr>
          <w:rFonts w:ascii="Arial" w:hAnsi="Arial" w:cs="Arial"/>
          <w:lang w:val="es-CO"/>
        </w:rPr>
      </w:pPr>
      <w:r>
        <w:rPr>
          <w:rFonts w:ascii="Arial" w:hAnsi="Arial" w:cs="Arial"/>
          <w:lang w:val="es-CO"/>
        </w:rPr>
        <w:t>c)</w:t>
      </w:r>
      <w:r>
        <w:rPr>
          <w:rFonts w:ascii="Arial" w:hAnsi="Arial" w:cs="Arial"/>
          <w:lang w:val="es-CO"/>
        </w:rPr>
        <w:tab/>
        <w:t>Tienen capacidad de procesamiento y cómputo;</w:t>
      </w:r>
    </w:p>
    <w:p w14:paraId="7FF040F0" w14:textId="77777777" w:rsidR="00B2442D" w:rsidRDefault="008A645F">
      <w:pPr>
        <w:ind w:left="709" w:hanging="709"/>
        <w:jc w:val="both"/>
        <w:rPr>
          <w:rFonts w:ascii="Arial" w:hAnsi="Arial" w:cs="Arial"/>
          <w:lang w:val="es-CO"/>
        </w:rPr>
      </w:pPr>
      <w:r>
        <w:rPr>
          <w:rFonts w:ascii="Arial" w:hAnsi="Arial" w:cs="Arial"/>
          <w:lang w:val="es-CO"/>
        </w:rPr>
        <w:t>d)</w:t>
      </w:r>
      <w:r>
        <w:rPr>
          <w:rFonts w:ascii="Arial" w:hAnsi="Arial" w:cs="Arial"/>
          <w:lang w:val="es-CO"/>
        </w:rPr>
        <w:tab/>
        <w:t>Permiten la navegación en internet;</w:t>
      </w:r>
    </w:p>
    <w:p w14:paraId="3EF83538" w14:textId="77777777" w:rsidR="00B2442D" w:rsidRDefault="008A645F">
      <w:pPr>
        <w:ind w:left="709" w:hanging="709"/>
        <w:jc w:val="both"/>
        <w:rPr>
          <w:rFonts w:ascii="Arial" w:hAnsi="Arial" w:cs="Arial"/>
          <w:lang w:val="es-CO"/>
        </w:rPr>
      </w:pPr>
      <w:r>
        <w:rPr>
          <w:rFonts w:ascii="Arial" w:hAnsi="Arial" w:cs="Arial"/>
          <w:lang w:val="es-CO"/>
        </w:rPr>
        <w:t>e)</w:t>
      </w:r>
      <w:r>
        <w:rPr>
          <w:rFonts w:ascii="Arial" w:hAnsi="Arial" w:cs="Arial"/>
          <w:lang w:val="es-CO"/>
        </w:rPr>
        <w:tab/>
        <w:t>Tienen conectividad WIFI;</w:t>
      </w:r>
    </w:p>
    <w:p w14:paraId="531E6CE6" w14:textId="77777777" w:rsidR="00B2442D" w:rsidRDefault="008A645F">
      <w:pPr>
        <w:ind w:left="709" w:hanging="709"/>
        <w:jc w:val="both"/>
        <w:rPr>
          <w:rFonts w:ascii="Arial" w:hAnsi="Arial" w:cs="Arial"/>
          <w:lang w:val="es-CO"/>
        </w:rPr>
      </w:pPr>
      <w:r>
        <w:rPr>
          <w:rFonts w:ascii="Arial" w:hAnsi="Arial" w:cs="Arial"/>
          <w:lang w:val="es-CO"/>
        </w:rPr>
        <w:t>f)</w:t>
      </w:r>
      <w:r>
        <w:rPr>
          <w:rFonts w:ascii="Arial" w:hAnsi="Arial" w:cs="Arial"/>
          <w:lang w:val="es-CO"/>
        </w:rPr>
        <w:tab/>
        <w:t xml:space="preserve">Tienen acceso a tiendas de aplicaciones y soportan las aplicaciones hechas por </w:t>
      </w:r>
      <w:r>
        <w:rPr>
          <w:rFonts w:ascii="Arial" w:hAnsi="Arial" w:cs="Arial"/>
          <w:lang w:val="es-CO"/>
        </w:rPr>
        <w:t>terceros.</w:t>
      </w:r>
    </w:p>
    <w:p w14:paraId="51449F4D" w14:textId="77777777" w:rsidR="00B2442D" w:rsidRDefault="00B2442D">
      <w:pPr>
        <w:jc w:val="both"/>
        <w:rPr>
          <w:rFonts w:ascii="Arial" w:hAnsi="Arial" w:cs="Arial"/>
          <w:lang w:val="es-CO"/>
        </w:rPr>
      </w:pPr>
    </w:p>
    <w:p w14:paraId="50A02E74" w14:textId="77777777" w:rsidR="00B2442D" w:rsidRDefault="008A645F">
      <w:pPr>
        <w:jc w:val="both"/>
        <w:rPr>
          <w:rFonts w:ascii="Arial" w:hAnsi="Arial" w:cs="Arial"/>
          <w:lang w:val="es-CO"/>
        </w:rPr>
      </w:pPr>
      <w:r>
        <w:rPr>
          <w:rFonts w:ascii="Arial" w:hAnsi="Arial" w:cs="Arial"/>
          <w:lang w:val="es-CO"/>
        </w:rPr>
        <w:t>No se consideran dispositivos móviles inteligentes excluidos de IVA, los teléfonos móviles que tienen como función principal la prestación del servicio de telefonía móvil.</w:t>
      </w:r>
    </w:p>
    <w:p w14:paraId="2C22FE0B" w14:textId="77777777" w:rsidR="00B2442D" w:rsidRDefault="008A645F">
      <w:pPr>
        <w:tabs>
          <w:tab w:val="left" w:pos="1399"/>
        </w:tabs>
        <w:jc w:val="both"/>
        <w:rPr>
          <w:rFonts w:ascii="Arial" w:hAnsi="Arial" w:cs="Arial"/>
          <w:lang w:val="es-CO"/>
        </w:rPr>
      </w:pPr>
      <w:r>
        <w:rPr>
          <w:rFonts w:ascii="Arial" w:hAnsi="Arial" w:cs="Arial"/>
          <w:lang w:val="es-CO"/>
        </w:rPr>
        <w:tab/>
      </w:r>
    </w:p>
    <w:p w14:paraId="5578C708" w14:textId="77777777" w:rsidR="00B2442D" w:rsidRDefault="008A645F">
      <w:pPr>
        <w:jc w:val="both"/>
        <w:rPr>
          <w:rFonts w:ascii="Arial" w:hAnsi="Arial" w:cs="Arial"/>
          <w:i/>
          <w:lang w:val="es-CO"/>
        </w:rPr>
      </w:pPr>
      <w:r>
        <w:rPr>
          <w:rFonts w:ascii="Arial" w:hAnsi="Arial" w:cs="Arial"/>
          <w:i/>
          <w:lang w:val="es-CO"/>
        </w:rPr>
        <w:t>(Art. 1, Decreto 1793 de 2013)</w:t>
      </w:r>
    </w:p>
    <w:p w14:paraId="15787259" w14:textId="77777777" w:rsidR="00B2442D" w:rsidRDefault="00B2442D">
      <w:pPr>
        <w:jc w:val="both"/>
        <w:rPr>
          <w:rFonts w:ascii="Arial" w:hAnsi="Arial" w:cs="Arial"/>
          <w:lang w:val="es-CO"/>
        </w:rPr>
      </w:pPr>
    </w:p>
    <w:p w14:paraId="48C77E26"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Pan y arepa excluidos del impuesto sobr</w:t>
      </w:r>
      <w:r>
        <w:rPr>
          <w:rFonts w:ascii="Arial" w:hAnsi="Arial" w:cs="Arial"/>
          <w:b/>
          <w:i/>
          <w:lang w:val="es-CO"/>
        </w:rPr>
        <w:t>e las ventas.</w:t>
      </w:r>
      <w:r>
        <w:rPr>
          <w:rFonts w:ascii="Arial" w:hAnsi="Arial" w:cs="Arial"/>
          <w:lang w:val="es-CO"/>
        </w:rPr>
        <w:t xml:space="preserve"> De conformidad con lo dispuesto en el artículo 424 del Estatuto Tributario, el pan a que se refiere la partida 19.05, como excluido es el horneado o cocido y producido a base de harinas de cereales, con o sin levadura, sal o dulce, sea integr</w:t>
      </w:r>
      <w:r>
        <w:rPr>
          <w:rFonts w:ascii="Arial" w:hAnsi="Arial" w:cs="Arial"/>
          <w:lang w:val="es-CO"/>
        </w:rPr>
        <w:t>al o no, sin que para el efecto importe la forma dada al pan, ni la proporción de las harinas de cereales utilizadas en su preparación, ni el grado de cocción u horneado.</w:t>
      </w:r>
    </w:p>
    <w:p w14:paraId="283F4C07" w14:textId="77777777" w:rsidR="00B2442D" w:rsidRDefault="00B2442D">
      <w:pPr>
        <w:jc w:val="both"/>
        <w:rPr>
          <w:rFonts w:ascii="Arial" w:hAnsi="Arial" w:cs="Arial"/>
          <w:lang w:val="es-CO"/>
        </w:rPr>
      </w:pPr>
    </w:p>
    <w:p w14:paraId="1F546251" w14:textId="77777777" w:rsidR="00B2442D" w:rsidRDefault="008A645F">
      <w:pPr>
        <w:jc w:val="both"/>
        <w:rPr>
          <w:rFonts w:ascii="Arial" w:hAnsi="Arial" w:cs="Arial"/>
          <w:lang w:val="es-CO"/>
        </w:rPr>
      </w:pPr>
      <w:r>
        <w:rPr>
          <w:rFonts w:ascii="Arial" w:hAnsi="Arial" w:cs="Arial"/>
          <w:lang w:val="es-CO"/>
        </w:rPr>
        <w:t>Los demás productos de panadería, galletería o pastelería, los productos de sagú, yu</w:t>
      </w:r>
      <w:r>
        <w:rPr>
          <w:rFonts w:ascii="Arial" w:hAnsi="Arial" w:cs="Arial"/>
          <w:lang w:val="es-CO"/>
        </w:rPr>
        <w:t>ca, achira, las obleas, los barquillos y demás se encuentran gravados a la tarifa general del impuesto sobre las ventas o a la tarifa del cinco por ciento (5%) en los casos específicos a los que hace referencia el artículo 468-1 del Estatuto Tributario.</w:t>
      </w:r>
    </w:p>
    <w:p w14:paraId="034C72A1" w14:textId="77777777" w:rsidR="00B2442D" w:rsidRDefault="00B2442D">
      <w:pPr>
        <w:jc w:val="both"/>
        <w:rPr>
          <w:rFonts w:ascii="Arial" w:hAnsi="Arial" w:cs="Arial"/>
          <w:lang w:val="es-CO"/>
        </w:rPr>
      </w:pPr>
    </w:p>
    <w:p w14:paraId="26D63C9E" w14:textId="77777777" w:rsidR="00B2442D" w:rsidRDefault="008A645F">
      <w:pPr>
        <w:jc w:val="both"/>
        <w:rPr>
          <w:rFonts w:ascii="Arial" w:hAnsi="Arial" w:cs="Arial"/>
          <w:lang w:val="es-CO"/>
        </w:rPr>
      </w:pPr>
      <w:r>
        <w:rPr>
          <w:rFonts w:ascii="Arial" w:hAnsi="Arial" w:cs="Arial"/>
          <w:lang w:val="es-CO"/>
        </w:rPr>
        <w:t>L</w:t>
      </w:r>
      <w:r>
        <w:rPr>
          <w:rFonts w:ascii="Arial" w:hAnsi="Arial" w:cs="Arial"/>
          <w:lang w:val="es-CO"/>
        </w:rPr>
        <w:t>a arepa de maíz excluida del impuesto sobre las ventas es aquella producida a base de maíz, bien sea de sal o dulce, integral o no, sin que para el efecto importe la forma dada a la arepa, ni el grado de cocción u horneado.</w:t>
      </w:r>
    </w:p>
    <w:p w14:paraId="03E040BD" w14:textId="77777777" w:rsidR="00B2442D" w:rsidRDefault="00B2442D">
      <w:pPr>
        <w:jc w:val="both"/>
        <w:rPr>
          <w:rFonts w:ascii="Arial" w:hAnsi="Arial" w:cs="Arial"/>
          <w:b/>
          <w:lang w:val="es-CO"/>
        </w:rPr>
      </w:pPr>
    </w:p>
    <w:p w14:paraId="4D2033C7" w14:textId="77777777" w:rsidR="00B2442D" w:rsidRDefault="008A645F">
      <w:pPr>
        <w:jc w:val="both"/>
        <w:rPr>
          <w:rFonts w:ascii="Arial" w:hAnsi="Arial" w:cs="Arial"/>
          <w:i/>
          <w:lang w:val="es-CO"/>
        </w:rPr>
      </w:pPr>
      <w:r>
        <w:rPr>
          <w:rFonts w:ascii="Arial" w:hAnsi="Arial" w:cs="Arial"/>
          <w:i/>
          <w:lang w:val="es-CO"/>
        </w:rPr>
        <w:t>(Art. 2, Decreto 1794 de 2013)</w:t>
      </w:r>
    </w:p>
    <w:p w14:paraId="676F3E12" w14:textId="77777777" w:rsidR="00B2442D" w:rsidRDefault="00B2442D">
      <w:pPr>
        <w:jc w:val="both"/>
        <w:rPr>
          <w:rFonts w:ascii="Arial" w:hAnsi="Arial" w:cs="Arial"/>
          <w:b/>
          <w:lang w:val="es-CO"/>
        </w:rPr>
      </w:pPr>
    </w:p>
    <w:p w14:paraId="31AD1E25"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Materias primas para la producción de vacunas.</w:t>
      </w:r>
      <w:r>
        <w:rPr>
          <w:rFonts w:ascii="Arial" w:hAnsi="Arial" w:cs="Arial"/>
          <w:lang w:val="es-CO"/>
        </w:rPr>
        <w:t xml:space="preserve"> De conformidad con el artículo 424 del Estatuto Tributario, están excluidas del impuesto sobre las ventas las materias primas destinadas a la producción de vacunas, siempre que se cumplan las condiciones esta</w:t>
      </w:r>
      <w:r>
        <w:rPr>
          <w:rFonts w:ascii="Arial" w:hAnsi="Arial" w:cs="Arial"/>
          <w:lang w:val="es-CO"/>
        </w:rPr>
        <w:t>blecidas en el presente artículo frente a la importación y venta en el territorio nacional.</w:t>
      </w:r>
    </w:p>
    <w:p w14:paraId="596A309B" w14:textId="77777777" w:rsidR="00B2442D" w:rsidRDefault="00B2442D">
      <w:pPr>
        <w:jc w:val="both"/>
        <w:rPr>
          <w:rFonts w:ascii="Arial" w:hAnsi="Arial" w:cs="Arial"/>
          <w:lang w:val="es-CO"/>
        </w:rPr>
      </w:pPr>
    </w:p>
    <w:p w14:paraId="59D788DE" w14:textId="77777777" w:rsidR="00B2442D" w:rsidRDefault="008A645F">
      <w:pPr>
        <w:jc w:val="both"/>
        <w:rPr>
          <w:rFonts w:ascii="Arial" w:hAnsi="Arial" w:cs="Arial"/>
          <w:lang w:val="es-CO"/>
        </w:rPr>
      </w:pPr>
      <w:r>
        <w:rPr>
          <w:rFonts w:ascii="Arial" w:hAnsi="Arial" w:cs="Arial"/>
          <w:b/>
          <w:lang w:val="es-CO"/>
        </w:rPr>
        <w:t>Importaciones.</w:t>
      </w:r>
      <w:r>
        <w:rPr>
          <w:rFonts w:ascii="Arial" w:hAnsi="Arial" w:cs="Arial"/>
          <w:lang w:val="es-CO"/>
        </w:rPr>
        <w:t xml:space="preserve"> En el caso de importaciones, se requerirá visto bueno previo del Instituto Nacional de Vigilancia de Medicamentos y Alimentos (INVIMA) o del Institu</w:t>
      </w:r>
      <w:r>
        <w:rPr>
          <w:rFonts w:ascii="Arial" w:hAnsi="Arial" w:cs="Arial"/>
          <w:lang w:val="es-CO"/>
        </w:rPr>
        <w:t>to Colombiano Agropecuario (ICA), según el caso. Presentado el visto bueno, sobre la licencia o registro de importación se consignará mediante un sello la leyenda "válido para exclusión del IVA".</w:t>
      </w:r>
    </w:p>
    <w:p w14:paraId="3CAA8F54" w14:textId="77777777" w:rsidR="00B2442D" w:rsidRDefault="00B2442D">
      <w:pPr>
        <w:jc w:val="both"/>
        <w:rPr>
          <w:rFonts w:ascii="Arial" w:hAnsi="Arial" w:cs="Arial"/>
          <w:lang w:val="es-CO"/>
        </w:rPr>
      </w:pPr>
    </w:p>
    <w:p w14:paraId="76496BD2" w14:textId="77777777" w:rsidR="00B2442D" w:rsidRDefault="008A645F">
      <w:pPr>
        <w:jc w:val="both"/>
        <w:rPr>
          <w:rFonts w:ascii="Arial" w:hAnsi="Arial" w:cs="Arial"/>
          <w:lang w:val="es-CO"/>
        </w:rPr>
      </w:pPr>
      <w:r>
        <w:rPr>
          <w:rFonts w:ascii="Arial" w:hAnsi="Arial" w:cs="Arial"/>
          <w:lang w:val="es-CO"/>
        </w:rPr>
        <w:t>Cuando se trate de importaciones efectuadas por comercializ</w:t>
      </w:r>
      <w:r>
        <w:rPr>
          <w:rFonts w:ascii="Arial" w:hAnsi="Arial" w:cs="Arial"/>
          <w:lang w:val="es-CO"/>
        </w:rPr>
        <w:t xml:space="preserve">adores, para obtener el visto bueno de que trata el inciso anterior, deberá acreditarse en el registro o licencia de importación que las materias primas serán destinadas a productores de vacunas y, en sus ventas posteriores, se sujetarán a lo dispuesto en </w:t>
      </w:r>
      <w:r>
        <w:rPr>
          <w:rFonts w:ascii="Arial" w:hAnsi="Arial" w:cs="Arial"/>
          <w:lang w:val="es-CO"/>
        </w:rPr>
        <w:t>el literal b) del presente artículo.</w:t>
      </w:r>
    </w:p>
    <w:p w14:paraId="79BA3D1D" w14:textId="77777777" w:rsidR="00B2442D" w:rsidRDefault="00B2442D">
      <w:pPr>
        <w:jc w:val="both"/>
        <w:rPr>
          <w:rFonts w:ascii="Arial" w:hAnsi="Arial" w:cs="Arial"/>
          <w:lang w:val="es-CO"/>
        </w:rPr>
      </w:pPr>
    </w:p>
    <w:p w14:paraId="78C77C0A" w14:textId="77777777" w:rsidR="00B2442D" w:rsidRDefault="008A645F">
      <w:pPr>
        <w:jc w:val="both"/>
        <w:rPr>
          <w:rFonts w:ascii="Arial" w:hAnsi="Arial" w:cs="Arial"/>
          <w:lang w:val="es-CO"/>
        </w:rPr>
      </w:pPr>
      <w:r>
        <w:rPr>
          <w:rFonts w:ascii="Arial" w:hAnsi="Arial" w:cs="Arial"/>
          <w:lang w:val="es-CO"/>
        </w:rPr>
        <w:t>Ventas en el país. En el caso de ventas en el país, el adquirente deberá entregar al proveedor nacional, o importador:</w:t>
      </w:r>
    </w:p>
    <w:p w14:paraId="17EE8B3D" w14:textId="77777777" w:rsidR="00B2442D" w:rsidRDefault="00B2442D">
      <w:pPr>
        <w:jc w:val="both"/>
        <w:rPr>
          <w:rFonts w:ascii="Arial" w:hAnsi="Arial" w:cs="Arial"/>
          <w:lang w:val="es-CO"/>
        </w:rPr>
      </w:pPr>
    </w:p>
    <w:p w14:paraId="35606386"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Certificación de su registro vigente, sanitario o de productor, como fabricante de vacunas, exp</w:t>
      </w:r>
      <w:r>
        <w:rPr>
          <w:rFonts w:ascii="Arial" w:hAnsi="Arial" w:cs="Arial"/>
          <w:lang w:val="es-CO"/>
        </w:rPr>
        <w:t>edida por el Instituto Nacional de Vigilancia de Medicamentos y Alimentos (INVIMA), o por el Instituto Colombiano Agropecuario  -ICA, con el primer pedido del año;</w:t>
      </w:r>
    </w:p>
    <w:p w14:paraId="4DD6E6A4" w14:textId="77777777" w:rsidR="00B2442D" w:rsidRDefault="00B2442D">
      <w:pPr>
        <w:ind w:left="426" w:hanging="426"/>
        <w:jc w:val="both"/>
        <w:rPr>
          <w:rFonts w:ascii="Arial" w:hAnsi="Arial" w:cs="Arial"/>
          <w:lang w:val="es-CO"/>
        </w:rPr>
      </w:pPr>
    </w:p>
    <w:p w14:paraId="485B0F0C"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Manifestación suscrita por el fabricante o su representante legal, en el sentido de que </w:t>
      </w:r>
      <w:r>
        <w:rPr>
          <w:rFonts w:ascii="Arial" w:hAnsi="Arial" w:cs="Arial"/>
          <w:lang w:val="es-CO"/>
        </w:rPr>
        <w:t>la materia solicitada será destinada por su empresa a la fabricación de vacunas;</w:t>
      </w:r>
    </w:p>
    <w:p w14:paraId="685D27A8" w14:textId="77777777" w:rsidR="00B2442D" w:rsidRDefault="00B2442D">
      <w:pPr>
        <w:ind w:left="426" w:hanging="426"/>
        <w:jc w:val="both"/>
        <w:rPr>
          <w:rFonts w:ascii="Arial" w:hAnsi="Arial" w:cs="Arial"/>
          <w:lang w:val="es-CO"/>
        </w:rPr>
      </w:pPr>
    </w:p>
    <w:p w14:paraId="58C7523D"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Lista de las materias primas que requiere la empresa para la producción de vacunas, suscrita por revisor fiscal o contador público, según el caso, con el visto bueno del I</w:t>
      </w:r>
      <w:r>
        <w:rPr>
          <w:rFonts w:ascii="Arial" w:hAnsi="Arial" w:cs="Arial"/>
          <w:lang w:val="es-CO"/>
        </w:rPr>
        <w:t>nstituto Nacional de Vigilancia de Medicamentos y Alimentos (INVIMA), o del Instituto Colombiano Agropecuario - ICA, lista que deberá ser entregada al vendedor con el primer pedido del año;</w:t>
      </w:r>
    </w:p>
    <w:p w14:paraId="71AAD1D0" w14:textId="77777777" w:rsidR="00B2442D" w:rsidRDefault="00B2442D">
      <w:pPr>
        <w:ind w:left="426" w:hanging="426"/>
        <w:jc w:val="both"/>
        <w:rPr>
          <w:rFonts w:ascii="Arial" w:hAnsi="Arial" w:cs="Arial"/>
          <w:lang w:val="es-CO"/>
        </w:rPr>
      </w:pPr>
    </w:p>
    <w:p w14:paraId="414008BB"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Fotocopia de la factura en la cual deberá dejarse constancia d</w:t>
      </w:r>
      <w:r>
        <w:rPr>
          <w:rFonts w:ascii="Arial" w:hAnsi="Arial" w:cs="Arial"/>
          <w:lang w:val="es-CO"/>
        </w:rPr>
        <w:t>e haberse vendido la materia prima con exclusión del impuesto sobre las ventas;</w:t>
      </w:r>
    </w:p>
    <w:p w14:paraId="509BC4A0" w14:textId="77777777" w:rsidR="00B2442D" w:rsidRDefault="00B2442D">
      <w:pPr>
        <w:ind w:left="426" w:hanging="426"/>
        <w:jc w:val="both"/>
        <w:rPr>
          <w:rFonts w:ascii="Arial" w:hAnsi="Arial" w:cs="Arial"/>
          <w:lang w:val="es-CO"/>
        </w:rPr>
      </w:pPr>
    </w:p>
    <w:p w14:paraId="02D30E0A"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Certificado suscrito por contador público o revisor fiscal, según el caso, en el cual conste el número y la fecha de las facturas correspondientes a las materias primas adq</w:t>
      </w:r>
      <w:r>
        <w:rPr>
          <w:rFonts w:ascii="Arial" w:hAnsi="Arial" w:cs="Arial"/>
          <w:lang w:val="es-CO"/>
        </w:rPr>
        <w:t>uiridas en el bimestre, cuatrimestre o año inmediatamente anterior, según el caso, y la que sean soporte de la exclusión del impuesto sobre las ventas con su respectivo valor, el cual se enviará a su proveedor en el país, dentro del período siguiente. El p</w:t>
      </w:r>
      <w:r>
        <w:rPr>
          <w:rFonts w:ascii="Arial" w:hAnsi="Arial" w:cs="Arial"/>
          <w:lang w:val="es-CO"/>
        </w:rPr>
        <w:t>roveedor conservará los documentos de que trata este literal como soporte de las ventas excluidas.</w:t>
      </w:r>
    </w:p>
    <w:p w14:paraId="75CE35ED" w14:textId="77777777" w:rsidR="00B2442D" w:rsidRDefault="00B2442D">
      <w:pPr>
        <w:jc w:val="both"/>
        <w:rPr>
          <w:rFonts w:ascii="Arial" w:hAnsi="Arial" w:cs="Arial"/>
          <w:lang w:val="es-CO"/>
        </w:rPr>
      </w:pPr>
    </w:p>
    <w:p w14:paraId="02F7A9F5" w14:textId="77777777" w:rsidR="00B2442D" w:rsidRDefault="008A645F">
      <w:pPr>
        <w:jc w:val="both"/>
        <w:rPr>
          <w:rFonts w:ascii="Arial" w:hAnsi="Arial" w:cs="Arial"/>
          <w:lang w:val="es-CO"/>
        </w:rPr>
      </w:pPr>
      <w:r>
        <w:rPr>
          <w:rFonts w:ascii="Arial" w:hAnsi="Arial" w:cs="Arial"/>
          <w:b/>
          <w:lang w:val="es-CO"/>
        </w:rPr>
        <w:t>Destinación diferente.</w:t>
      </w:r>
      <w:r>
        <w:rPr>
          <w:rFonts w:ascii="Arial" w:hAnsi="Arial" w:cs="Arial"/>
          <w:lang w:val="es-CO"/>
        </w:rPr>
        <w:t xml:space="preserve"> Cuando el importador comercializador enajene la materia prima destinada para productores de vacunas, a personas diferentes de estos, </w:t>
      </w:r>
      <w:r>
        <w:rPr>
          <w:rFonts w:ascii="Arial" w:hAnsi="Arial" w:cs="Arial"/>
          <w:lang w:val="es-CO"/>
        </w:rPr>
        <w:t>o sin el lleno de los requisitos establecidos en el presente artículo, deberá cancelar en las entidades autorizadas para recaudar los impuestos administrados por la Unidad Administrativa Especial Dirección de Impuestos y Aduanas Nacionales-DIAN, el IVA dej</w:t>
      </w:r>
      <w:r>
        <w:rPr>
          <w:rFonts w:ascii="Arial" w:hAnsi="Arial" w:cs="Arial"/>
          <w:lang w:val="es-CO"/>
        </w:rPr>
        <w:t>ado de pagar en la importación, junto con los intereses moratorios causados desde la fecha en la cual se haya autorizado el levante de las mercancías, a la tasa vigente al momento del respectivo pago.</w:t>
      </w:r>
    </w:p>
    <w:p w14:paraId="723FD2EC" w14:textId="77777777" w:rsidR="00B2442D" w:rsidRDefault="00B2442D">
      <w:pPr>
        <w:jc w:val="both"/>
        <w:rPr>
          <w:rFonts w:ascii="Arial" w:hAnsi="Arial" w:cs="Arial"/>
          <w:lang w:val="es-CO"/>
        </w:rPr>
      </w:pPr>
    </w:p>
    <w:p w14:paraId="158BAD69" w14:textId="77777777" w:rsidR="00B2442D" w:rsidRDefault="008A645F">
      <w:pPr>
        <w:jc w:val="both"/>
        <w:rPr>
          <w:rFonts w:ascii="Arial" w:hAnsi="Arial" w:cs="Arial"/>
          <w:lang w:val="es-CO"/>
        </w:rPr>
      </w:pPr>
      <w:r>
        <w:rPr>
          <w:rFonts w:ascii="Arial" w:hAnsi="Arial" w:cs="Arial"/>
          <w:lang w:val="es-CO"/>
        </w:rPr>
        <w:t>Lo anterior, sin perjuicio de la obligación que tienen</w:t>
      </w:r>
      <w:r>
        <w:rPr>
          <w:rFonts w:ascii="Arial" w:hAnsi="Arial" w:cs="Arial"/>
          <w:lang w:val="es-CO"/>
        </w:rPr>
        <w:t xml:space="preserve"> tanto el importador comercializador, como el proveedor de materia prima nacional, de facturar y cobrar el impuesto sobre las ventas (IVA) en la respectiva venta y cumplir las demás obligaciones, tales como la de llevar contabilidad separada de ventas excl</w:t>
      </w:r>
      <w:r>
        <w:rPr>
          <w:rFonts w:ascii="Arial" w:hAnsi="Arial" w:cs="Arial"/>
          <w:lang w:val="es-CO"/>
        </w:rPr>
        <w:t>uidas y gravadas, presentar las declaraciones tributarias de ventas, pagar el impuesto y las sanciones a que haya lugar.</w:t>
      </w:r>
    </w:p>
    <w:p w14:paraId="2A886180" w14:textId="77777777" w:rsidR="00B2442D" w:rsidRDefault="00B2442D">
      <w:pPr>
        <w:jc w:val="both"/>
        <w:rPr>
          <w:rFonts w:ascii="Arial" w:hAnsi="Arial" w:cs="Arial"/>
          <w:lang w:val="es-CO"/>
        </w:rPr>
      </w:pPr>
    </w:p>
    <w:p w14:paraId="4D11227F" w14:textId="77777777" w:rsidR="00B2442D" w:rsidRDefault="008A645F">
      <w:pPr>
        <w:jc w:val="both"/>
        <w:rPr>
          <w:rFonts w:ascii="Arial" w:hAnsi="Arial" w:cs="Arial"/>
          <w:lang w:val="es-CO"/>
        </w:rPr>
      </w:pPr>
      <w:r>
        <w:rPr>
          <w:rFonts w:ascii="Arial" w:hAnsi="Arial" w:cs="Arial"/>
          <w:lang w:val="es-CO"/>
        </w:rPr>
        <w:t>Igual tratamiento y obligaciones en lo pertinente, deberá cumplir el fabricante que destine a fines diferentes la materia prima adquir</w:t>
      </w:r>
      <w:r>
        <w:rPr>
          <w:rFonts w:ascii="Arial" w:hAnsi="Arial" w:cs="Arial"/>
          <w:lang w:val="es-CO"/>
        </w:rPr>
        <w:t>ida para la producción de vacunas.</w:t>
      </w:r>
    </w:p>
    <w:p w14:paraId="2565486A" w14:textId="77777777" w:rsidR="00B2442D" w:rsidRDefault="00B2442D">
      <w:pPr>
        <w:jc w:val="both"/>
        <w:rPr>
          <w:rFonts w:ascii="Arial" w:hAnsi="Arial" w:cs="Arial"/>
          <w:lang w:val="es-CO"/>
        </w:rPr>
      </w:pPr>
    </w:p>
    <w:p w14:paraId="3997E206" w14:textId="77777777" w:rsidR="00B2442D" w:rsidRDefault="008A645F">
      <w:pPr>
        <w:jc w:val="both"/>
        <w:rPr>
          <w:rFonts w:ascii="Arial" w:hAnsi="Arial" w:cs="Arial"/>
          <w:lang w:val="es-CO"/>
        </w:rPr>
      </w:pPr>
      <w:r>
        <w:rPr>
          <w:rFonts w:ascii="Arial" w:hAnsi="Arial" w:cs="Arial"/>
          <w:b/>
          <w:lang w:val="es-CO"/>
        </w:rPr>
        <w:t>Control tributario.</w:t>
      </w:r>
      <w:r>
        <w:rPr>
          <w:rFonts w:ascii="Arial" w:hAnsi="Arial" w:cs="Arial"/>
          <w:lang w:val="es-CO"/>
        </w:rPr>
        <w:t xml:space="preserve"> Las oficinas encargadas del Instituto Nacional de Vigilancia de Medicamentos y Alimentos (INVIMA), y del Instituto Colombiano Agropecuario (ICA), llevarán registro de los vistos buenos otorgados conforme con lo previsto en el presente artículo, y enviarán</w:t>
      </w:r>
      <w:r>
        <w:rPr>
          <w:rFonts w:ascii="Arial" w:hAnsi="Arial" w:cs="Arial"/>
          <w:lang w:val="es-CO"/>
        </w:rPr>
        <w:t xml:space="preserve"> antes del 31 de marzo de cada año a la Subdirección de Gestión de Fiscalización Tributaria de la Unidad Administrativa Especial Dirección de Impuestos y Aduanas Nacionales-DIAN, o dependencia que haga sus veces, y a la Subdirección de Gestión de Comercio </w:t>
      </w:r>
      <w:r>
        <w:rPr>
          <w:rFonts w:ascii="Arial" w:hAnsi="Arial" w:cs="Arial"/>
          <w:lang w:val="es-CO"/>
        </w:rPr>
        <w:t>Exterior de la DIAN, una relación por empresa, que contenga nombre o razón social, NIT, denominación del producto, partida o subpartida arancelaria correspondiente, cantidad y valor autorizado durante el año inmediatamente anterior.</w:t>
      </w:r>
    </w:p>
    <w:p w14:paraId="12C6E004" w14:textId="77777777" w:rsidR="00B2442D" w:rsidRDefault="00B2442D">
      <w:pPr>
        <w:jc w:val="both"/>
        <w:rPr>
          <w:rFonts w:ascii="Arial" w:hAnsi="Arial" w:cs="Arial"/>
          <w:lang w:val="es-CO"/>
        </w:rPr>
      </w:pPr>
    </w:p>
    <w:p w14:paraId="728CB924" w14:textId="77777777" w:rsidR="00B2442D" w:rsidRDefault="008A645F">
      <w:pPr>
        <w:jc w:val="both"/>
        <w:rPr>
          <w:rFonts w:ascii="Arial" w:hAnsi="Arial" w:cs="Arial"/>
          <w:lang w:val="es-CO"/>
        </w:rPr>
      </w:pPr>
      <w:r>
        <w:rPr>
          <w:rFonts w:ascii="Arial" w:hAnsi="Arial" w:cs="Arial"/>
          <w:lang w:val="es-CO"/>
        </w:rPr>
        <w:t>Igualmente, antes de l</w:t>
      </w:r>
      <w:r>
        <w:rPr>
          <w:rFonts w:ascii="Arial" w:hAnsi="Arial" w:cs="Arial"/>
          <w:lang w:val="es-CO"/>
        </w:rPr>
        <w:t>a fecha señalada en el inciso anterior, los proveedores enviarán a la Subdirección de Gestión de Fiscalización Tributaria de la Unidad Administrativa Especial Dirección de Impuestos y Aduanas Nacionales-DIAN, una relación de las ventas efectuadas por empre</w:t>
      </w:r>
      <w:r>
        <w:rPr>
          <w:rFonts w:ascii="Arial" w:hAnsi="Arial" w:cs="Arial"/>
          <w:lang w:val="es-CO"/>
        </w:rPr>
        <w:t>sa en el mismo periodo, que contenga nombre o razón social, NIT, denominación del producto, partida o subpartida arancelaria y su valor.</w:t>
      </w:r>
    </w:p>
    <w:p w14:paraId="1BA7830E" w14:textId="77777777" w:rsidR="00B2442D" w:rsidRDefault="00B2442D">
      <w:pPr>
        <w:jc w:val="both"/>
        <w:rPr>
          <w:rFonts w:ascii="Arial" w:hAnsi="Arial" w:cs="Arial"/>
          <w:lang w:val="es-CO"/>
        </w:rPr>
      </w:pPr>
    </w:p>
    <w:p w14:paraId="045B75FF" w14:textId="77777777" w:rsidR="00B2442D" w:rsidRDefault="008A645F">
      <w:pPr>
        <w:jc w:val="both"/>
        <w:rPr>
          <w:rFonts w:ascii="Arial" w:hAnsi="Arial" w:cs="Arial"/>
          <w:i/>
          <w:lang w:val="es-CO"/>
        </w:rPr>
      </w:pPr>
      <w:r>
        <w:rPr>
          <w:rFonts w:ascii="Arial" w:hAnsi="Arial" w:cs="Arial"/>
          <w:i/>
          <w:lang w:val="es-CO"/>
        </w:rPr>
        <w:t>(Art. 3, Decreto 1794 de 2013)</w:t>
      </w:r>
    </w:p>
    <w:p w14:paraId="43CA7D2C" w14:textId="77777777" w:rsidR="00B2442D" w:rsidRDefault="00B2442D">
      <w:pPr>
        <w:jc w:val="both"/>
        <w:rPr>
          <w:rFonts w:ascii="Arial" w:hAnsi="Arial" w:cs="Arial"/>
          <w:lang w:val="es-CO"/>
        </w:rPr>
      </w:pPr>
    </w:p>
    <w:p w14:paraId="4A30CA0A"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Exclusión de IVA para alimentos de consumo humano donados a Bancos de Alimentos.</w:t>
      </w:r>
      <w:r>
        <w:rPr>
          <w:rFonts w:ascii="Arial" w:hAnsi="Arial" w:cs="Arial"/>
          <w:lang w:val="es-CO"/>
        </w:rPr>
        <w:t xml:space="preserve"> De co</w:t>
      </w:r>
      <w:r>
        <w:rPr>
          <w:rFonts w:ascii="Arial" w:hAnsi="Arial" w:cs="Arial"/>
          <w:lang w:val="es-CO"/>
        </w:rPr>
        <w:t>nformidad con el numeral 10 del artículo 424 del Estatuto Tributario se encuentra excluida del impuesto sobre las ventas, la transferencia a título gratuito de alimentos para el consumo humano que se donen a favor de los bancos de alimentos legalmente cons</w:t>
      </w:r>
      <w:r>
        <w:rPr>
          <w:rFonts w:ascii="Arial" w:hAnsi="Arial" w:cs="Arial"/>
          <w:lang w:val="es-CO"/>
        </w:rPr>
        <w:t>tituidos como entidades sin ánimo de lucro, con personería jurídica otorgada por la autoridad encargada de su vigilancia y control.</w:t>
      </w:r>
    </w:p>
    <w:p w14:paraId="4CC3BF4B" w14:textId="77777777" w:rsidR="00B2442D" w:rsidRDefault="00B2442D">
      <w:pPr>
        <w:jc w:val="both"/>
        <w:rPr>
          <w:rFonts w:ascii="Arial" w:hAnsi="Arial" w:cs="Arial"/>
          <w:lang w:val="es-CO"/>
        </w:rPr>
      </w:pPr>
    </w:p>
    <w:p w14:paraId="0C8E7C09" w14:textId="77777777" w:rsidR="00B2442D" w:rsidRDefault="008A645F">
      <w:pPr>
        <w:jc w:val="both"/>
        <w:rPr>
          <w:rFonts w:ascii="Arial" w:hAnsi="Arial" w:cs="Arial"/>
          <w:lang w:val="es-CO"/>
        </w:rPr>
      </w:pPr>
      <w:r>
        <w:rPr>
          <w:rFonts w:ascii="Arial" w:hAnsi="Arial" w:cs="Arial"/>
          <w:lang w:val="es-CO"/>
        </w:rPr>
        <w:t>Para efectos de lo dispuesto en el presente artículo, se entiende por alimentos de consumo humano todo producto natural o a</w:t>
      </w:r>
      <w:r>
        <w:rPr>
          <w:rFonts w:ascii="Arial" w:hAnsi="Arial" w:cs="Arial"/>
          <w:lang w:val="es-CO"/>
        </w:rPr>
        <w:t>rtificial, elaborado o no, que ingerido aporta al organismo humano los nutrientes y la energía para el desarrollo de los procesos biológicos. Se incluyen en la presente definición, las bebidas no alcohólicas y aquellas sustancias con que se sazonan algunos</w:t>
      </w:r>
      <w:r>
        <w:rPr>
          <w:rFonts w:ascii="Arial" w:hAnsi="Arial" w:cs="Arial"/>
          <w:lang w:val="es-CO"/>
        </w:rPr>
        <w:t xml:space="preserve"> comestibles y que se conocen con el nombre genérico de especia.</w:t>
      </w:r>
    </w:p>
    <w:p w14:paraId="51392C4D" w14:textId="77777777" w:rsidR="00B2442D" w:rsidRDefault="00B2442D">
      <w:pPr>
        <w:jc w:val="both"/>
        <w:rPr>
          <w:rFonts w:ascii="Arial" w:hAnsi="Arial" w:cs="Arial"/>
          <w:lang w:val="es-CO"/>
        </w:rPr>
      </w:pPr>
    </w:p>
    <w:p w14:paraId="1965674F" w14:textId="77777777" w:rsidR="00B2442D" w:rsidRDefault="008A645F">
      <w:pPr>
        <w:jc w:val="both"/>
        <w:rPr>
          <w:rFonts w:ascii="Arial" w:hAnsi="Arial" w:cs="Arial"/>
          <w:lang w:val="es-CO"/>
        </w:rPr>
      </w:pPr>
      <w:r>
        <w:rPr>
          <w:rFonts w:ascii="Arial" w:hAnsi="Arial" w:cs="Arial"/>
          <w:lang w:val="es-CO"/>
        </w:rPr>
        <w:t>Para que proceda la exclusión a que hace referencia el presente artículo, deberán cumplirse y acreditarse los siguientes requisitos y documentos:</w:t>
      </w:r>
    </w:p>
    <w:p w14:paraId="6238F34D" w14:textId="77777777" w:rsidR="00B2442D" w:rsidRDefault="00B2442D">
      <w:pPr>
        <w:jc w:val="both"/>
        <w:rPr>
          <w:rFonts w:ascii="Arial" w:hAnsi="Arial" w:cs="Arial"/>
          <w:lang w:val="es-CO"/>
        </w:rPr>
      </w:pPr>
    </w:p>
    <w:p w14:paraId="3DDAB441"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Personería Jurídica del banco de aliment</w:t>
      </w:r>
      <w:r>
        <w:rPr>
          <w:rFonts w:ascii="Arial" w:hAnsi="Arial" w:cs="Arial"/>
          <w:lang w:val="es-CO"/>
        </w:rPr>
        <w:t>os receptor de la donación, debidamente otorgada por la autoridad competente;</w:t>
      </w:r>
    </w:p>
    <w:p w14:paraId="0A41EEF1" w14:textId="77777777" w:rsidR="00B2442D" w:rsidRDefault="00B2442D">
      <w:pPr>
        <w:ind w:left="426" w:hanging="426"/>
        <w:jc w:val="both"/>
        <w:rPr>
          <w:rFonts w:ascii="Arial" w:hAnsi="Arial" w:cs="Arial"/>
          <w:lang w:val="es-CO"/>
        </w:rPr>
      </w:pPr>
    </w:p>
    <w:p w14:paraId="1E78586A"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Que los bancos de alimentos beneficiarios de la donación tengan la logística requerida para la consecución, recepción, almacenamiento, separación, clasificación, conservación</w:t>
      </w:r>
      <w:r>
        <w:rPr>
          <w:rFonts w:ascii="Arial" w:hAnsi="Arial" w:cs="Arial"/>
          <w:lang w:val="es-CO"/>
        </w:rPr>
        <w:t xml:space="preserve"> y distribución de los alimentos recibidos en donación, la cual será certificada por la entidad competente para el efecto;</w:t>
      </w:r>
    </w:p>
    <w:p w14:paraId="09E48B37" w14:textId="77777777" w:rsidR="00B2442D" w:rsidRDefault="00B2442D">
      <w:pPr>
        <w:ind w:left="426" w:hanging="426"/>
        <w:jc w:val="both"/>
        <w:rPr>
          <w:rFonts w:ascii="Arial" w:hAnsi="Arial" w:cs="Arial"/>
          <w:lang w:val="es-CO"/>
        </w:rPr>
      </w:pPr>
    </w:p>
    <w:p w14:paraId="1FBD7302"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Certificación de revisor fiscal o contador público, según el caso, en el que consten los convenios debidamente suscritos por </w:t>
      </w:r>
      <w:r>
        <w:rPr>
          <w:rFonts w:ascii="Arial" w:hAnsi="Arial" w:cs="Arial"/>
          <w:lang w:val="es-CO"/>
        </w:rPr>
        <w:t>parte de los bancos de alimentos con los donantes de los mismos;</w:t>
      </w:r>
    </w:p>
    <w:p w14:paraId="41F1C5C7" w14:textId="77777777" w:rsidR="00B2442D" w:rsidRDefault="00B2442D">
      <w:pPr>
        <w:ind w:left="426" w:hanging="426"/>
        <w:jc w:val="both"/>
        <w:rPr>
          <w:rFonts w:ascii="Arial" w:hAnsi="Arial" w:cs="Arial"/>
          <w:lang w:val="es-CO"/>
        </w:rPr>
      </w:pPr>
    </w:p>
    <w:p w14:paraId="733D4A04"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Factura debidamente expedida por el donante con los requisitos legales, en la cual se identifique el banco de alimentos beneficiario de la donación, así como la descripción específica o g</w:t>
      </w:r>
      <w:r>
        <w:rPr>
          <w:rFonts w:ascii="Arial" w:hAnsi="Arial" w:cs="Arial"/>
          <w:lang w:val="es-CO"/>
        </w:rPr>
        <w:t>enérica de los alimentos donados y su valor total, estampando la leyenda "Productos excluidos de IVA, conforme con lo dispuesto en el artículo 424, numeral 10 del Estatuto Tributario";</w:t>
      </w:r>
    </w:p>
    <w:p w14:paraId="114D7CC8" w14:textId="77777777" w:rsidR="00B2442D" w:rsidRDefault="00B2442D">
      <w:pPr>
        <w:jc w:val="both"/>
        <w:rPr>
          <w:rFonts w:ascii="Arial" w:hAnsi="Arial" w:cs="Arial"/>
          <w:lang w:val="es-CO"/>
        </w:rPr>
      </w:pPr>
    </w:p>
    <w:p w14:paraId="64B8CBE9"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Certificación suscrita por revisor fiscal, contador público o repre</w:t>
      </w:r>
      <w:r>
        <w:rPr>
          <w:rFonts w:ascii="Arial" w:hAnsi="Arial" w:cs="Arial"/>
          <w:lang w:val="es-CO"/>
        </w:rPr>
        <w:t>sentante legal del banco de alimentos receptor de la donación, en la que conste la relación de las facturas expedidas por el donante respectivo, con indicación del número, fecha, descripción y valor de los alimentos donados, así como la relación de los doc</w:t>
      </w:r>
      <w:r>
        <w:rPr>
          <w:rFonts w:ascii="Arial" w:hAnsi="Arial" w:cs="Arial"/>
          <w:lang w:val="es-CO"/>
        </w:rPr>
        <w:t>umentos en los que consten las asignaciones de alimentos objeto de donación efectuadas por dichos bancos a las entidades sin ánimo de lucro encargadas de distribuirlos entre la población vulnerable.</w:t>
      </w:r>
    </w:p>
    <w:p w14:paraId="20739FE2" w14:textId="77777777" w:rsidR="00B2442D" w:rsidRDefault="00B2442D">
      <w:pPr>
        <w:jc w:val="both"/>
        <w:rPr>
          <w:rFonts w:ascii="Arial" w:hAnsi="Arial" w:cs="Arial"/>
          <w:lang w:val="es-CO"/>
        </w:rPr>
      </w:pPr>
    </w:p>
    <w:p w14:paraId="0EC96CB5" w14:textId="77777777" w:rsidR="00B2442D" w:rsidRDefault="008A645F">
      <w:pPr>
        <w:jc w:val="both"/>
        <w:rPr>
          <w:rFonts w:ascii="Arial" w:hAnsi="Arial" w:cs="Arial"/>
          <w:lang w:val="es-CO"/>
        </w:rPr>
      </w:pPr>
      <w:r>
        <w:rPr>
          <w:rFonts w:ascii="Arial" w:hAnsi="Arial" w:cs="Arial"/>
          <w:b/>
          <w:lang w:val="es-CO"/>
        </w:rPr>
        <w:t>Parágrafo 1 °.</w:t>
      </w:r>
      <w:r>
        <w:rPr>
          <w:rFonts w:ascii="Arial" w:hAnsi="Arial" w:cs="Arial"/>
          <w:lang w:val="es-CO"/>
        </w:rPr>
        <w:t xml:space="preserve"> En caso de que el Ministerio de Salud y P</w:t>
      </w:r>
      <w:r>
        <w:rPr>
          <w:rFonts w:ascii="Arial" w:hAnsi="Arial" w:cs="Arial"/>
          <w:lang w:val="es-CO"/>
        </w:rPr>
        <w:t xml:space="preserve">rotección Social o la entidad de carácter municipal o distrital competente establezca que los productos sujetos al beneficio no cumplen con los estándares en materia de salubridad pública e inocuidad, de acuerdo con las normas vigentes, y que por lo tanto </w:t>
      </w:r>
      <w:r>
        <w:rPr>
          <w:rFonts w:ascii="Arial" w:hAnsi="Arial" w:cs="Arial"/>
          <w:lang w:val="es-CO"/>
        </w:rPr>
        <w:t>no son aptos para el consumo humano, dicho beneficio no podrá ser aplicado.</w:t>
      </w:r>
    </w:p>
    <w:p w14:paraId="605C19CB" w14:textId="77777777" w:rsidR="00B2442D" w:rsidRDefault="00B2442D">
      <w:pPr>
        <w:jc w:val="both"/>
        <w:rPr>
          <w:rFonts w:ascii="Arial" w:hAnsi="Arial" w:cs="Arial"/>
          <w:b/>
          <w:lang w:val="es-CO"/>
        </w:rPr>
      </w:pPr>
    </w:p>
    <w:p w14:paraId="485669DF"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w:t>
      </w:r>
      <w:r>
        <w:rPr>
          <w:rFonts w:ascii="Arial" w:hAnsi="Arial" w:cs="Arial"/>
          <w:b/>
          <w:i/>
          <w:lang w:val="es-CO"/>
        </w:rPr>
        <w:t>Control Tributario.</w:t>
      </w:r>
      <w:r>
        <w:rPr>
          <w:rFonts w:ascii="Arial" w:hAnsi="Arial" w:cs="Arial"/>
          <w:lang w:val="es-CO"/>
        </w:rPr>
        <w:t xml:space="preserve"> Los documentos y soportes señalados en el presente artículo deberán reposar en la sede principal de los bancos de alimentos legalmente constituid</w:t>
      </w:r>
      <w:r>
        <w:rPr>
          <w:rFonts w:ascii="Arial" w:hAnsi="Arial" w:cs="Arial"/>
          <w:lang w:val="es-CO"/>
        </w:rPr>
        <w:t>os, destinatarios de las donaciones de alimentos excluidas del impuesto sobre las ventas, y ponerse a disposición de la autoridad tributaria en el momento en que así lo requiera.</w:t>
      </w:r>
    </w:p>
    <w:p w14:paraId="362863C8" w14:textId="77777777" w:rsidR="00B2442D" w:rsidRDefault="00B2442D">
      <w:pPr>
        <w:jc w:val="both"/>
        <w:rPr>
          <w:rFonts w:ascii="Arial" w:hAnsi="Arial" w:cs="Arial"/>
          <w:lang w:val="es-CO"/>
        </w:rPr>
      </w:pPr>
    </w:p>
    <w:p w14:paraId="4688CC58" w14:textId="77777777" w:rsidR="00B2442D" w:rsidRDefault="008A645F">
      <w:pPr>
        <w:jc w:val="both"/>
        <w:rPr>
          <w:rFonts w:ascii="Arial" w:hAnsi="Arial" w:cs="Arial"/>
          <w:i/>
          <w:lang w:val="es-CO"/>
        </w:rPr>
      </w:pPr>
      <w:r>
        <w:rPr>
          <w:rFonts w:ascii="Arial" w:hAnsi="Arial" w:cs="Arial"/>
          <w:i/>
          <w:lang w:val="es-CO"/>
        </w:rPr>
        <w:t>(Art. 4, Decreto 1794 de 2013)</w:t>
      </w:r>
    </w:p>
    <w:p w14:paraId="091419E6" w14:textId="77777777" w:rsidR="00B2442D" w:rsidRDefault="00B2442D">
      <w:pPr>
        <w:jc w:val="both"/>
        <w:rPr>
          <w:rFonts w:ascii="Arial" w:hAnsi="Arial" w:cs="Arial"/>
          <w:lang w:val="es-CO"/>
        </w:rPr>
      </w:pPr>
    </w:p>
    <w:p w14:paraId="63323C6F"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Bienes excluidos del impuesto sobre las </w:t>
      </w:r>
      <w:r>
        <w:rPr>
          <w:rFonts w:ascii="Arial" w:hAnsi="Arial" w:cs="Arial"/>
          <w:b/>
          <w:i/>
          <w:lang w:val="es-CO"/>
        </w:rPr>
        <w:t>ventas que se introduzcan y comercialicen en los departamentos de Amazonas, Guainía y Vaupés.</w:t>
      </w:r>
      <w:r>
        <w:rPr>
          <w:rFonts w:ascii="Arial" w:hAnsi="Arial" w:cs="Arial"/>
          <w:lang w:val="es-CO"/>
        </w:rPr>
        <w:t xml:space="preserve"> Para efectos de  la exclusión contemplada en el parágrafo 1 ° del artículo 424 del Estatuto Tributario, relacionada con las ventas de alimentos de consumo humano </w:t>
      </w:r>
      <w:r>
        <w:rPr>
          <w:rFonts w:ascii="Arial" w:hAnsi="Arial" w:cs="Arial"/>
          <w:lang w:val="es-CO"/>
        </w:rPr>
        <w:t>y animal, vestuario, elementos de aseo y medicamentos para uso humano y veterinario y materiales de construcción que se introduzcan, se comercialicen y se vendan al consumidor final en los departamentos de Amazonas, Guainía y Vaupés, se entenderá por:</w:t>
      </w:r>
    </w:p>
    <w:p w14:paraId="19454ACA" w14:textId="77777777" w:rsidR="00B2442D" w:rsidRDefault="00B2442D">
      <w:pPr>
        <w:jc w:val="both"/>
        <w:rPr>
          <w:rFonts w:ascii="Arial" w:hAnsi="Arial" w:cs="Arial"/>
          <w:lang w:val="es-CO"/>
        </w:rPr>
      </w:pPr>
    </w:p>
    <w:p w14:paraId="1252E068" w14:textId="77777777" w:rsidR="00B2442D" w:rsidRDefault="008A645F">
      <w:pPr>
        <w:ind w:left="426" w:hanging="426"/>
        <w:jc w:val="both"/>
        <w:rPr>
          <w:rFonts w:ascii="Arial" w:hAnsi="Arial" w:cs="Arial"/>
          <w:lang w:val="es-CO"/>
        </w:rPr>
      </w:pPr>
      <w:r>
        <w:rPr>
          <w:rFonts w:ascii="Arial" w:hAnsi="Arial" w:cs="Arial"/>
          <w:lang w:val="es-CO"/>
        </w:rPr>
        <w:t xml:space="preserve">a) </w:t>
      </w:r>
      <w:r>
        <w:rPr>
          <w:rFonts w:ascii="Arial" w:hAnsi="Arial" w:cs="Arial"/>
          <w:lang w:val="es-CO"/>
        </w:rPr>
        <w:tab/>
        <w:t>Alimentos de consumo humano: Todo producto natural o artificial, elaborado o no, que ingerido aporta al organismo humano los nutrientes y la energía para el desarrollo de los procesos biológicos. Se incluyen en la presente definición, las bebidas no alcoh</w:t>
      </w:r>
      <w:r>
        <w:rPr>
          <w:rFonts w:ascii="Arial" w:hAnsi="Arial" w:cs="Arial"/>
          <w:lang w:val="es-CO"/>
        </w:rPr>
        <w:t>ólicas y aquellas sustancias con que se sazonan algunos comestibles y que se conocen con el nombre genérico de especia;</w:t>
      </w:r>
    </w:p>
    <w:p w14:paraId="1077B207" w14:textId="77777777" w:rsidR="00B2442D" w:rsidRDefault="00B2442D">
      <w:pPr>
        <w:ind w:left="426" w:hanging="426"/>
        <w:jc w:val="both"/>
        <w:rPr>
          <w:rFonts w:ascii="Arial" w:hAnsi="Arial" w:cs="Arial"/>
          <w:lang w:val="es-CO"/>
        </w:rPr>
      </w:pPr>
    </w:p>
    <w:p w14:paraId="5AF56B84"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Medicamentos para uso humano: El preparado farmacéutico obtenido a partir de principios activos, con o sin sustancias auxiliares, pr</w:t>
      </w:r>
      <w:r>
        <w:rPr>
          <w:rFonts w:ascii="Arial" w:hAnsi="Arial" w:cs="Arial"/>
          <w:lang w:val="es-CO"/>
        </w:rPr>
        <w:t>esentado bajo forma farmacéutica que se utiliza para la prevención, alivio, diagnóstico, tratamiento, curación o rehabilitación de la enfermedad. Los envases, rótulos, etiquetas y empaques hacen parte integral del medicamento, por cuanto estos garantizan s</w:t>
      </w:r>
      <w:r>
        <w:rPr>
          <w:rFonts w:ascii="Arial" w:hAnsi="Arial" w:cs="Arial"/>
          <w:lang w:val="es-CO"/>
        </w:rPr>
        <w:t>u calidad, estabilidad y uso adecuado;</w:t>
      </w:r>
    </w:p>
    <w:p w14:paraId="142A90E8" w14:textId="77777777" w:rsidR="00B2442D" w:rsidRDefault="00B2442D">
      <w:pPr>
        <w:ind w:left="426" w:hanging="426"/>
        <w:jc w:val="both"/>
        <w:rPr>
          <w:rFonts w:ascii="Arial" w:hAnsi="Arial" w:cs="Arial"/>
          <w:lang w:val="es-CO"/>
        </w:rPr>
      </w:pPr>
    </w:p>
    <w:p w14:paraId="4005C19D"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Medicamentos homeopáticos: El preparado farmacéutico obtenido por técnicas homeopáticas, conforme a las reglas descritas en las farmacopeas oficiales aceptadas en el país, con el objeto de prevenir la enfermedad, </w:t>
      </w:r>
      <w:r>
        <w:rPr>
          <w:rFonts w:ascii="Arial" w:hAnsi="Arial" w:cs="Arial"/>
          <w:lang w:val="es-CO"/>
        </w:rPr>
        <w:t>aliviar, curar, tratar y/o rehabilitar un paciente. Los envases, rótulos, etiquetas y empaques hacen parte integral del medicamento, por cuanto estos garantizan su calidad, estabilidad y uso adecuado;</w:t>
      </w:r>
    </w:p>
    <w:p w14:paraId="37E179C1" w14:textId="77777777" w:rsidR="00B2442D" w:rsidRDefault="00B2442D">
      <w:pPr>
        <w:ind w:left="426" w:hanging="426"/>
        <w:jc w:val="both"/>
        <w:rPr>
          <w:rFonts w:ascii="Arial" w:hAnsi="Arial" w:cs="Arial"/>
          <w:lang w:val="es-CO"/>
        </w:rPr>
      </w:pPr>
    </w:p>
    <w:p w14:paraId="6008B328"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Alimentos y medicamentos de consumo animal: Son tod</w:t>
      </w:r>
      <w:r>
        <w:rPr>
          <w:rFonts w:ascii="Arial" w:hAnsi="Arial" w:cs="Arial"/>
          <w:lang w:val="es-CO"/>
        </w:rPr>
        <w:t>os aquellos insumos pecuarios que comprenden productos naturales, sintéticos, o de origen biotecnológico, utilizados para promover la producción pecuaria, así como para el diagnóstico, prevención, control erradicación y tratamiento de las enfermedades, pla</w:t>
      </w:r>
      <w:r>
        <w:rPr>
          <w:rFonts w:ascii="Arial" w:hAnsi="Arial" w:cs="Arial"/>
          <w:lang w:val="es-CO"/>
        </w:rPr>
        <w:t>gas, y otros agentes nocivos que afecten a las especies animales o a sus productos. Comprenden también los cosméticos o productos destinados al embellecimiento de los animales y otros que utilizados en los animales y su hábitat restauren o modifiquen las f</w:t>
      </w:r>
      <w:r>
        <w:rPr>
          <w:rFonts w:ascii="Arial" w:hAnsi="Arial" w:cs="Arial"/>
          <w:lang w:val="es-CO"/>
        </w:rPr>
        <w:t>unciones orgánicas, cuiden o protejan sus condiciones de vida. Se incluyen en esta definición, alimentos y aditivos;</w:t>
      </w:r>
    </w:p>
    <w:p w14:paraId="48CE01C3" w14:textId="77777777" w:rsidR="00B2442D" w:rsidRDefault="00B2442D">
      <w:pPr>
        <w:ind w:left="426" w:hanging="426"/>
        <w:jc w:val="both"/>
        <w:rPr>
          <w:rFonts w:ascii="Arial" w:hAnsi="Arial" w:cs="Arial"/>
          <w:lang w:val="es-CO"/>
        </w:rPr>
      </w:pPr>
    </w:p>
    <w:p w14:paraId="222675D3"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Elementos de aseo para uso humano o veterinario: Aquellos productos comúnmente utilizados para la higiene personal y/o animal;</w:t>
      </w:r>
    </w:p>
    <w:p w14:paraId="3882ED47" w14:textId="77777777" w:rsidR="00B2442D" w:rsidRDefault="00B2442D">
      <w:pPr>
        <w:ind w:left="426" w:hanging="426"/>
        <w:jc w:val="both"/>
        <w:rPr>
          <w:rFonts w:ascii="Arial" w:hAnsi="Arial" w:cs="Arial"/>
          <w:lang w:val="es-CO"/>
        </w:rPr>
      </w:pPr>
    </w:p>
    <w:p w14:paraId="11D59D87"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Mate</w:t>
      </w:r>
      <w:r>
        <w:rPr>
          <w:rFonts w:ascii="Arial" w:hAnsi="Arial" w:cs="Arial"/>
          <w:lang w:val="es-CO"/>
        </w:rPr>
        <w:t>riales de construcción: Aquellos elementos que son necesarios para erigir o reparar una construcción;</w:t>
      </w:r>
    </w:p>
    <w:p w14:paraId="4B090AA0" w14:textId="77777777" w:rsidR="00B2442D" w:rsidRDefault="00B2442D">
      <w:pPr>
        <w:ind w:left="426" w:hanging="426"/>
        <w:jc w:val="both"/>
        <w:rPr>
          <w:rFonts w:ascii="Arial" w:hAnsi="Arial" w:cs="Arial"/>
          <w:lang w:val="es-CO"/>
        </w:rPr>
      </w:pPr>
    </w:p>
    <w:p w14:paraId="34E97A03"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Vestuario: Toda prenda que utilice el hombre para cubrir su cuerpo, entendiéndose por aquella, cualquiera de las piezas del vestido y del calzado, sin</w:t>
      </w:r>
      <w:r>
        <w:rPr>
          <w:rFonts w:ascii="Arial" w:hAnsi="Arial" w:cs="Arial"/>
          <w:lang w:val="es-CO"/>
        </w:rPr>
        <w:t xml:space="preserve"> importar el material de elaboración, con excepción de los adornos y complementos, tales como joyas y carteras.</w:t>
      </w:r>
    </w:p>
    <w:p w14:paraId="7BFA8F6A" w14:textId="77777777" w:rsidR="00B2442D" w:rsidRDefault="00B2442D">
      <w:pPr>
        <w:jc w:val="both"/>
        <w:rPr>
          <w:rFonts w:ascii="Arial" w:hAnsi="Arial" w:cs="Arial"/>
          <w:lang w:val="es-CO"/>
        </w:rPr>
      </w:pPr>
    </w:p>
    <w:p w14:paraId="565CDCE7" w14:textId="77777777" w:rsidR="00B2442D" w:rsidRDefault="008A645F">
      <w:pPr>
        <w:jc w:val="both"/>
        <w:rPr>
          <w:rFonts w:ascii="Arial" w:hAnsi="Arial" w:cs="Arial"/>
          <w:lang w:val="es-CO"/>
        </w:rPr>
      </w:pPr>
      <w:r>
        <w:rPr>
          <w:rFonts w:ascii="Arial" w:hAnsi="Arial" w:cs="Arial"/>
          <w:b/>
          <w:lang w:val="es-CO"/>
        </w:rPr>
        <w:t>Control tributario.</w:t>
      </w:r>
      <w:r>
        <w:rPr>
          <w:rFonts w:ascii="Arial" w:hAnsi="Arial" w:cs="Arial"/>
          <w:lang w:val="es-CO"/>
        </w:rPr>
        <w:t xml:space="preserve"> Para efectos de la venta en Colombia de los bienes excluidos del impuesto sobre las ventas expresamente señalados en el pre</w:t>
      </w:r>
      <w:r>
        <w:rPr>
          <w:rFonts w:ascii="Arial" w:hAnsi="Arial" w:cs="Arial"/>
          <w:lang w:val="es-CO"/>
        </w:rPr>
        <w:t>sente artículo, destinados exclusivamente al consumo dentro de los departamentos de Amazonas, Guainía y Vaupés, deberá constar en la factura los apellidos y nombre o razón social y NIT del adquirente, con indicación de la dirección física, la cual debe enc</w:t>
      </w:r>
      <w:r>
        <w:rPr>
          <w:rFonts w:ascii="Arial" w:hAnsi="Arial" w:cs="Arial"/>
          <w:lang w:val="es-CO"/>
        </w:rPr>
        <w:t>ontrarse ubicada en los departamentos señalados, con el cumplimiento de los demás requisitos de la factura exigidos en las normas vigentes.</w:t>
      </w:r>
    </w:p>
    <w:p w14:paraId="43936C73" w14:textId="77777777" w:rsidR="00B2442D" w:rsidRDefault="00B2442D">
      <w:pPr>
        <w:jc w:val="both"/>
        <w:rPr>
          <w:rFonts w:ascii="Arial" w:hAnsi="Arial" w:cs="Arial"/>
          <w:lang w:val="es-CO"/>
        </w:rPr>
      </w:pPr>
    </w:p>
    <w:p w14:paraId="09B44C26" w14:textId="77777777" w:rsidR="00B2442D" w:rsidRDefault="008A645F">
      <w:pPr>
        <w:jc w:val="both"/>
        <w:rPr>
          <w:rFonts w:ascii="Arial" w:hAnsi="Arial" w:cs="Arial"/>
          <w:lang w:val="es-CO"/>
        </w:rPr>
      </w:pPr>
      <w:r>
        <w:rPr>
          <w:rFonts w:ascii="Arial" w:hAnsi="Arial" w:cs="Arial"/>
          <w:lang w:val="es-CO"/>
        </w:rPr>
        <w:t>Cuando no exista la obligación de expedir factura o documento equivalente, el documento a expedir por parte del ven</w:t>
      </w:r>
      <w:r>
        <w:rPr>
          <w:rFonts w:ascii="Arial" w:hAnsi="Arial" w:cs="Arial"/>
          <w:lang w:val="es-CO"/>
        </w:rPr>
        <w:t>dedor, que pruebe la respectiva transacción que da lugar a costos, deducciones o impuestos descontables, deberá contener los siguientes requisitos mínimos:</w:t>
      </w:r>
    </w:p>
    <w:p w14:paraId="64DA1582" w14:textId="77777777" w:rsidR="00B2442D" w:rsidRDefault="00B2442D">
      <w:pPr>
        <w:jc w:val="both"/>
        <w:rPr>
          <w:rFonts w:ascii="Arial" w:hAnsi="Arial" w:cs="Arial"/>
          <w:lang w:val="es-CO"/>
        </w:rPr>
      </w:pPr>
    </w:p>
    <w:p w14:paraId="1D7815EA"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Dirección, apellidos y nombre o razón social y NIT del vendedor de los bienes excluidos;</w:t>
      </w:r>
    </w:p>
    <w:p w14:paraId="22ED64E3" w14:textId="77777777" w:rsidR="00B2442D" w:rsidRDefault="00B2442D">
      <w:pPr>
        <w:ind w:left="426" w:hanging="426"/>
        <w:jc w:val="both"/>
        <w:rPr>
          <w:rFonts w:ascii="Arial" w:hAnsi="Arial" w:cs="Arial"/>
          <w:lang w:val="es-CO"/>
        </w:rPr>
      </w:pPr>
    </w:p>
    <w:p w14:paraId="084418C2"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Apellidos y nombre o razón social y NIT del adquirente de los bienes excluidos;</w:t>
      </w:r>
    </w:p>
    <w:p w14:paraId="3776781C" w14:textId="77777777" w:rsidR="00B2442D" w:rsidRDefault="00B2442D">
      <w:pPr>
        <w:ind w:left="426" w:hanging="426"/>
        <w:jc w:val="both"/>
        <w:rPr>
          <w:rFonts w:ascii="Arial" w:hAnsi="Arial" w:cs="Arial"/>
          <w:lang w:val="es-CO"/>
        </w:rPr>
      </w:pPr>
    </w:p>
    <w:p w14:paraId="56EA9566"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Dirección física del adquirente de los bienes excluidos;</w:t>
      </w:r>
    </w:p>
    <w:p w14:paraId="007251FC" w14:textId="77777777" w:rsidR="00B2442D" w:rsidRDefault="00B2442D">
      <w:pPr>
        <w:ind w:left="426" w:hanging="426"/>
        <w:jc w:val="both"/>
        <w:rPr>
          <w:rFonts w:ascii="Arial" w:hAnsi="Arial" w:cs="Arial"/>
          <w:lang w:val="es-CO"/>
        </w:rPr>
      </w:pPr>
    </w:p>
    <w:p w14:paraId="3CBFE18D"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Fecha de la transacción;</w:t>
      </w:r>
    </w:p>
    <w:p w14:paraId="283CB01F" w14:textId="77777777" w:rsidR="00B2442D" w:rsidRDefault="00B2442D">
      <w:pPr>
        <w:ind w:left="426" w:hanging="426"/>
        <w:jc w:val="both"/>
        <w:rPr>
          <w:rFonts w:ascii="Arial" w:hAnsi="Arial" w:cs="Arial"/>
          <w:lang w:val="es-CO"/>
        </w:rPr>
      </w:pPr>
    </w:p>
    <w:p w14:paraId="3B3D68A8"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Descripción específica de los artículos vendidos objeto de exclusión;</w:t>
      </w:r>
    </w:p>
    <w:p w14:paraId="3DE4D53D" w14:textId="77777777" w:rsidR="00B2442D" w:rsidRDefault="00B2442D">
      <w:pPr>
        <w:ind w:left="426" w:hanging="426"/>
        <w:jc w:val="both"/>
        <w:rPr>
          <w:rFonts w:ascii="Arial" w:hAnsi="Arial" w:cs="Arial"/>
          <w:lang w:val="es-CO"/>
        </w:rPr>
      </w:pPr>
    </w:p>
    <w:p w14:paraId="0ED567B2"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Valor to</w:t>
      </w:r>
      <w:r>
        <w:rPr>
          <w:rFonts w:ascii="Arial" w:hAnsi="Arial" w:cs="Arial"/>
          <w:lang w:val="es-CO"/>
        </w:rPr>
        <w:t>tal de la operación.</w:t>
      </w:r>
    </w:p>
    <w:p w14:paraId="2BF7C5AC" w14:textId="77777777" w:rsidR="00B2442D" w:rsidRDefault="00B2442D">
      <w:pPr>
        <w:jc w:val="both"/>
        <w:rPr>
          <w:rFonts w:ascii="Arial" w:hAnsi="Arial" w:cs="Arial"/>
          <w:lang w:val="es-CO"/>
        </w:rPr>
      </w:pPr>
    </w:p>
    <w:p w14:paraId="5B671F30" w14:textId="77777777" w:rsidR="00B2442D" w:rsidRDefault="008A645F">
      <w:pPr>
        <w:jc w:val="both"/>
        <w:rPr>
          <w:rFonts w:ascii="Arial" w:hAnsi="Arial" w:cs="Arial"/>
          <w:lang w:val="es-CO"/>
        </w:rPr>
      </w:pPr>
      <w:r>
        <w:rPr>
          <w:rFonts w:ascii="Arial" w:hAnsi="Arial" w:cs="Arial"/>
          <w:b/>
          <w:lang w:val="es-CO"/>
        </w:rPr>
        <w:t>Control aduanero.</w:t>
      </w:r>
      <w:r>
        <w:rPr>
          <w:rFonts w:ascii="Arial" w:hAnsi="Arial" w:cs="Arial"/>
          <w:lang w:val="es-CO"/>
        </w:rPr>
        <w:t xml:space="preserve"> Para efectos de lo dispuesto en el presente artículo, el importador deberá, además de inscribirse como tal en el Registro Único Tributario (RUT), informar en la declaración de importación que el producto se destinará</w:t>
      </w:r>
      <w:r>
        <w:rPr>
          <w:rFonts w:ascii="Arial" w:hAnsi="Arial" w:cs="Arial"/>
          <w:lang w:val="es-CO"/>
        </w:rPr>
        <w:t xml:space="preserve"> exclusivamente para consumo en el departamento objeto del beneficio.</w:t>
      </w:r>
    </w:p>
    <w:p w14:paraId="1E246E20" w14:textId="77777777" w:rsidR="00B2442D" w:rsidRDefault="00B2442D">
      <w:pPr>
        <w:jc w:val="both"/>
        <w:rPr>
          <w:rFonts w:ascii="Arial" w:hAnsi="Arial" w:cs="Arial"/>
          <w:lang w:val="es-CO"/>
        </w:rPr>
      </w:pPr>
    </w:p>
    <w:p w14:paraId="76A17480" w14:textId="77777777" w:rsidR="00B2442D" w:rsidRDefault="008A645F">
      <w:pPr>
        <w:jc w:val="both"/>
        <w:rPr>
          <w:rFonts w:ascii="Arial" w:hAnsi="Arial" w:cs="Arial"/>
          <w:i/>
          <w:lang w:val="es-CO"/>
        </w:rPr>
      </w:pPr>
      <w:r>
        <w:rPr>
          <w:rFonts w:ascii="Arial" w:hAnsi="Arial" w:cs="Arial"/>
          <w:i/>
          <w:lang w:val="es-CO"/>
        </w:rPr>
        <w:t>(Art. 5, Decreto 1794 de 2013)</w:t>
      </w:r>
    </w:p>
    <w:p w14:paraId="2AFF3927" w14:textId="77777777" w:rsidR="00B2442D" w:rsidRDefault="00B2442D">
      <w:pPr>
        <w:jc w:val="both"/>
        <w:rPr>
          <w:rFonts w:ascii="Arial" w:hAnsi="Arial" w:cs="Arial"/>
          <w:lang w:val="es-CO"/>
        </w:rPr>
      </w:pPr>
    </w:p>
    <w:p w14:paraId="1C406151"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Exclusión del impuesto sobre las ventas para combustible de aviación que se suministre para el servicio de transporte aéreo nacional de pasajeros y de ca</w:t>
      </w:r>
      <w:r>
        <w:rPr>
          <w:rFonts w:ascii="Arial" w:hAnsi="Arial" w:cs="Arial"/>
          <w:b/>
          <w:i/>
          <w:lang w:val="es-CO"/>
        </w:rPr>
        <w:t xml:space="preserve">rga con destino a los departamentos de Guainía, Amazonas, Vaupés, San Andrés Islas y Providencia, Arauca y Vichada. </w:t>
      </w:r>
      <w:r>
        <w:rPr>
          <w:rFonts w:ascii="Arial" w:hAnsi="Arial" w:cs="Arial"/>
          <w:lang w:val="es-CO"/>
        </w:rPr>
        <w:t xml:space="preserve">Para efectos de la exclusión contemplada en el parágrafo 2° del artículo 424 del Estatuto Tributario, los distribuidores mayoristas deberán </w:t>
      </w:r>
      <w:r>
        <w:rPr>
          <w:rFonts w:ascii="Arial" w:hAnsi="Arial" w:cs="Arial"/>
          <w:lang w:val="es-CO"/>
        </w:rPr>
        <w:t>certificar al responsable del impuesto sobre las ventas, las ventas de combustible para aviación realizadas para el servicio de transporte aéreo nacional de pasajeros y de carga con destino a los Departamentos de Guainía, Amazonas, Vaupés, San Andrés Islas</w:t>
      </w:r>
      <w:r>
        <w:rPr>
          <w:rFonts w:ascii="Arial" w:hAnsi="Arial" w:cs="Arial"/>
          <w:lang w:val="es-CO"/>
        </w:rPr>
        <w:t xml:space="preserve"> y Providencia, Arauca y Vichada.</w:t>
      </w:r>
    </w:p>
    <w:p w14:paraId="6CE2133A" w14:textId="77777777" w:rsidR="00B2442D" w:rsidRDefault="00B2442D">
      <w:pPr>
        <w:jc w:val="both"/>
        <w:rPr>
          <w:rFonts w:ascii="Arial" w:hAnsi="Arial" w:cs="Arial"/>
          <w:lang w:val="es-CO"/>
        </w:rPr>
      </w:pPr>
    </w:p>
    <w:p w14:paraId="380877C1" w14:textId="77777777" w:rsidR="00B2442D" w:rsidRDefault="008A645F">
      <w:pPr>
        <w:jc w:val="both"/>
        <w:rPr>
          <w:rFonts w:ascii="Arial" w:hAnsi="Arial" w:cs="Arial"/>
          <w:lang w:val="es-CO"/>
        </w:rPr>
      </w:pPr>
      <w:r>
        <w:rPr>
          <w:rFonts w:ascii="Arial" w:hAnsi="Arial" w:cs="Arial"/>
          <w:lang w:val="es-CO"/>
        </w:rPr>
        <w:t>La certificación debe entregarse al productor a más tardar el tercer (3) día hábil del mes siguiente en el que se realizó la venta del combustible por parte del productor al distribuidor mayorista.</w:t>
      </w:r>
    </w:p>
    <w:p w14:paraId="37E6FF4E" w14:textId="77777777" w:rsidR="00B2442D" w:rsidRDefault="00B2442D">
      <w:pPr>
        <w:jc w:val="both"/>
        <w:rPr>
          <w:rFonts w:ascii="Arial" w:hAnsi="Arial" w:cs="Arial"/>
          <w:lang w:val="es-CO"/>
        </w:rPr>
      </w:pPr>
    </w:p>
    <w:p w14:paraId="33DD2529" w14:textId="77777777" w:rsidR="00B2442D" w:rsidRDefault="008A645F">
      <w:pPr>
        <w:jc w:val="both"/>
        <w:rPr>
          <w:rFonts w:ascii="Arial" w:hAnsi="Arial" w:cs="Arial"/>
          <w:lang w:val="es-CO"/>
        </w:rPr>
      </w:pPr>
      <w:r>
        <w:rPr>
          <w:rFonts w:ascii="Arial" w:hAnsi="Arial" w:cs="Arial"/>
          <w:lang w:val="es-CO"/>
        </w:rPr>
        <w:t>La certificación entre</w:t>
      </w:r>
      <w:r>
        <w:rPr>
          <w:rFonts w:ascii="Arial" w:hAnsi="Arial" w:cs="Arial"/>
          <w:lang w:val="es-CO"/>
        </w:rPr>
        <w:t>gada por el distribuidor mayorista al productor se hará con base en los soportes que entreguen al distribuidor mayorista las empresas que presten el servicio de transporte aéreo nacional de pasajeros y de carga, los cuales deben acreditar la destinación de</w:t>
      </w:r>
      <w:r>
        <w:rPr>
          <w:rFonts w:ascii="Arial" w:hAnsi="Arial" w:cs="Arial"/>
          <w:lang w:val="es-CO"/>
        </w:rPr>
        <w:t>l combustible de aviación utilizado en servicios con destino a los departamentos de Guainía, Amazonas, Vaupés, San Andrés Islas y Providencia, Arauca y Vichada.</w:t>
      </w:r>
    </w:p>
    <w:p w14:paraId="45E756DB" w14:textId="77777777" w:rsidR="00B2442D" w:rsidRDefault="00B2442D">
      <w:pPr>
        <w:jc w:val="both"/>
        <w:rPr>
          <w:rFonts w:ascii="Arial" w:hAnsi="Arial" w:cs="Arial"/>
          <w:lang w:val="es-CO"/>
        </w:rPr>
      </w:pPr>
    </w:p>
    <w:p w14:paraId="56FBFBE7" w14:textId="77777777" w:rsidR="00B2442D" w:rsidRDefault="008A645F">
      <w:pPr>
        <w:jc w:val="both"/>
        <w:rPr>
          <w:rFonts w:ascii="Arial" w:hAnsi="Arial" w:cs="Arial"/>
          <w:lang w:val="es-CO"/>
        </w:rPr>
      </w:pPr>
      <w:r>
        <w:rPr>
          <w:rFonts w:ascii="Arial" w:hAnsi="Arial" w:cs="Arial"/>
          <w:lang w:val="es-CO"/>
        </w:rPr>
        <w:t>Con base en la certificación expedida por el distribuidor mayorista, el productor realizará un</w:t>
      </w:r>
      <w:r>
        <w:rPr>
          <w:rFonts w:ascii="Arial" w:hAnsi="Arial" w:cs="Arial"/>
          <w:lang w:val="es-CO"/>
        </w:rPr>
        <w:t>a nota crédito a la factura con el fin de reconocer la exclusión del impuesto sobre las ventas facturado y procederá a realizar la devolución correspondiente a las operaciones excluidas debidamente certificadas.</w:t>
      </w:r>
    </w:p>
    <w:p w14:paraId="1BFBBFC9" w14:textId="77777777" w:rsidR="00B2442D" w:rsidRDefault="00B2442D">
      <w:pPr>
        <w:jc w:val="both"/>
        <w:rPr>
          <w:rFonts w:ascii="Arial" w:hAnsi="Arial" w:cs="Arial"/>
          <w:b/>
          <w:lang w:val="es-CO"/>
        </w:rPr>
      </w:pPr>
    </w:p>
    <w:p w14:paraId="23F946F5" w14:textId="77777777" w:rsidR="00B2442D" w:rsidRDefault="008A645F">
      <w:pPr>
        <w:jc w:val="both"/>
        <w:rPr>
          <w:rFonts w:ascii="Arial" w:hAnsi="Arial" w:cs="Arial"/>
          <w:i/>
          <w:lang w:val="es-CO"/>
        </w:rPr>
      </w:pPr>
      <w:r>
        <w:rPr>
          <w:rFonts w:ascii="Arial" w:hAnsi="Arial" w:cs="Arial"/>
          <w:i/>
          <w:lang w:val="es-CO"/>
        </w:rPr>
        <w:t>(Art. 6, Decreto 1794 de 2013)</w:t>
      </w:r>
    </w:p>
    <w:p w14:paraId="2D23DCAD" w14:textId="77777777" w:rsidR="00B2442D" w:rsidRDefault="00B2442D">
      <w:pPr>
        <w:jc w:val="both"/>
        <w:rPr>
          <w:rFonts w:ascii="Arial" w:hAnsi="Arial" w:cs="Arial"/>
          <w:i/>
          <w:lang w:val="es-CO"/>
        </w:rPr>
      </w:pPr>
    </w:p>
    <w:p w14:paraId="53D5B11D" w14:textId="77777777" w:rsidR="00B2442D" w:rsidRDefault="008A645F">
      <w:pPr>
        <w:pStyle w:val="Prrafodelista"/>
        <w:numPr>
          <w:ilvl w:val="0"/>
          <w:numId w:val="71"/>
        </w:numPr>
        <w:ind w:left="0" w:firstLine="0"/>
        <w:jc w:val="both"/>
        <w:rPr>
          <w:rFonts w:ascii="Arial" w:hAnsi="Arial" w:cs="Arial"/>
          <w:lang w:val="es-CO"/>
        </w:rPr>
      </w:pPr>
      <w:r>
        <w:rPr>
          <w:rFonts w:ascii="Arial" w:hAnsi="Arial" w:cs="Arial"/>
          <w:b/>
          <w:i/>
          <w:lang w:val="es-CO"/>
        </w:rPr>
        <w:t xml:space="preserve">Maíz y arroz que no causan impuesto a las ventas. </w:t>
      </w:r>
      <w:r>
        <w:rPr>
          <w:rFonts w:ascii="Arial" w:hAnsi="Arial" w:cs="Arial"/>
          <w:lang w:val="es-CO"/>
        </w:rPr>
        <w:t>De conformidad con lo dispuesto en el artículo 424 del Estatuto Tributario el maíz clasificable por la subpartida y el arroz clasificable por la partida 10.06, que se encuentran excluidos del Impuesto sobre</w:t>
      </w:r>
      <w:r>
        <w:rPr>
          <w:rFonts w:ascii="Arial" w:hAnsi="Arial" w:cs="Arial"/>
          <w:lang w:val="es-CO"/>
        </w:rPr>
        <w:t xml:space="preserve"> las Ventas (IVA) son aquellos destinados al consumo humano, siempre que no hayan sido sujetos a transformaciones y preparaciones; sin importar que hayan sido intermediados comercialmente.</w:t>
      </w:r>
    </w:p>
    <w:p w14:paraId="47F87E53" w14:textId="77777777" w:rsidR="00B2442D" w:rsidRDefault="00B2442D">
      <w:pPr>
        <w:jc w:val="both"/>
        <w:rPr>
          <w:rFonts w:ascii="Arial" w:hAnsi="Arial" w:cs="Arial"/>
          <w:lang w:val="es-CO"/>
        </w:rPr>
      </w:pPr>
    </w:p>
    <w:p w14:paraId="2313195C"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Cualquier otro uso o destinación de los bienes mencionados en el presente artículo, se considerará como uso industrial y estará sujeto a la tarifa del cinco por ciento (5%) del impuesto sobre las ventas (IVA), de acuerdo con el artículo 468-1 del Estatuto</w:t>
      </w:r>
      <w:r>
        <w:rPr>
          <w:rFonts w:ascii="Arial" w:hAnsi="Arial" w:cs="Arial"/>
          <w:lang w:val="es-CO"/>
        </w:rPr>
        <w:t xml:space="preserve"> Tributario.</w:t>
      </w:r>
    </w:p>
    <w:p w14:paraId="2EC0A4C8" w14:textId="77777777" w:rsidR="00B2442D" w:rsidRDefault="00B2442D">
      <w:pPr>
        <w:jc w:val="both"/>
        <w:rPr>
          <w:rFonts w:ascii="Arial" w:hAnsi="Arial" w:cs="Arial"/>
          <w:lang w:val="es-CO"/>
        </w:rPr>
      </w:pPr>
    </w:p>
    <w:p w14:paraId="2F7E55A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El maíz adquirido para la producción de alimentos de consumo humano que se someta al simple proceso de trilla o trituración, se considera maíz de uso industrial y en consecuencia está gravado a la tarifa del impuesto sobre las v</w:t>
      </w:r>
      <w:r>
        <w:rPr>
          <w:rFonts w:ascii="Arial" w:hAnsi="Arial" w:cs="Arial"/>
          <w:lang w:val="es-CO"/>
        </w:rPr>
        <w:t>entas del cinco por ciento (5%).</w:t>
      </w:r>
    </w:p>
    <w:p w14:paraId="1CA824E9" w14:textId="77777777" w:rsidR="00B2442D" w:rsidRDefault="00B2442D">
      <w:pPr>
        <w:jc w:val="both"/>
        <w:rPr>
          <w:rFonts w:ascii="Arial" w:hAnsi="Arial" w:cs="Arial"/>
          <w:lang w:val="es-CO"/>
        </w:rPr>
      </w:pPr>
    </w:p>
    <w:p w14:paraId="799CB830" w14:textId="77777777" w:rsidR="00B2442D" w:rsidRDefault="008A645F">
      <w:pPr>
        <w:jc w:val="both"/>
        <w:rPr>
          <w:rFonts w:ascii="Arial" w:hAnsi="Arial" w:cs="Arial"/>
          <w:i/>
          <w:lang w:val="es-CO"/>
        </w:rPr>
      </w:pPr>
      <w:r>
        <w:rPr>
          <w:rFonts w:ascii="Arial" w:hAnsi="Arial" w:cs="Arial"/>
          <w:i/>
          <w:lang w:val="es-CO"/>
        </w:rPr>
        <w:t>(Art. 1, Decreto 1794 de 2013, modificado por el art. 1 del Decreto 2686 de 2014)</w:t>
      </w:r>
    </w:p>
    <w:p w14:paraId="0C52F676" w14:textId="77777777" w:rsidR="00B2442D" w:rsidRDefault="00B2442D">
      <w:pPr>
        <w:jc w:val="both"/>
        <w:rPr>
          <w:rFonts w:ascii="Arial" w:hAnsi="Arial" w:cs="Arial"/>
          <w:lang w:val="es-CO"/>
        </w:rPr>
      </w:pPr>
    </w:p>
    <w:p w14:paraId="65C5CB6E" w14:textId="77777777" w:rsidR="00B2442D" w:rsidRDefault="008A645F">
      <w:pPr>
        <w:pStyle w:val="Ttulo4"/>
        <w:rPr>
          <w:lang w:val="es-CO"/>
        </w:rPr>
      </w:pPr>
      <w:r>
        <w:rPr>
          <w:lang w:val="es-CO"/>
        </w:rPr>
        <w:t>CAPÍTULO 13</w:t>
      </w:r>
    </w:p>
    <w:p w14:paraId="701A2E7F" w14:textId="77777777" w:rsidR="00B2442D" w:rsidRDefault="008A645F">
      <w:pPr>
        <w:pStyle w:val="Ttulo4"/>
        <w:rPr>
          <w:lang w:val="es-CO"/>
        </w:rPr>
      </w:pPr>
      <w:r>
        <w:rPr>
          <w:lang w:val="es-CO"/>
        </w:rPr>
        <w:t>Servicios excluidos del impuesto sobre las ventas – IVA</w:t>
      </w:r>
    </w:p>
    <w:p w14:paraId="3776C1C9" w14:textId="77777777" w:rsidR="00B2442D" w:rsidRDefault="00B2442D">
      <w:pPr>
        <w:rPr>
          <w:rFonts w:ascii="Arial" w:hAnsi="Arial" w:cs="Arial"/>
          <w:lang w:val="es-CO"/>
        </w:rPr>
      </w:pPr>
    </w:p>
    <w:p w14:paraId="61F51B67"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Las cuotas de manejo de tarjetas débito o crédito.</w:t>
      </w:r>
      <w:r>
        <w:rPr>
          <w:rFonts w:ascii="Arial" w:hAnsi="Arial" w:cs="Arial"/>
          <w:lang w:val="es-CO"/>
        </w:rPr>
        <w:t xml:space="preserve"> De acuerdo con el </w:t>
      </w:r>
      <w:r>
        <w:rPr>
          <w:rFonts w:ascii="Arial" w:hAnsi="Arial" w:cs="Arial"/>
          <w:lang w:val="es-CO"/>
        </w:rPr>
        <w:t>numeral 11 (hoy numeral 17) del artículo 476 del Estatuto Tributario, para los efectos allí previstos, se consideran comisiones por operaciones ejecutadas con tarjetas de crédito o débito, las cuotas de manejo pagadas por el tarjetahabiente y las comisione</w:t>
      </w:r>
      <w:r>
        <w:rPr>
          <w:rFonts w:ascii="Arial" w:hAnsi="Arial" w:cs="Arial"/>
          <w:lang w:val="es-CO"/>
        </w:rPr>
        <w:t>s cobradas al establecimiento.</w:t>
      </w:r>
    </w:p>
    <w:p w14:paraId="13292107" w14:textId="77777777" w:rsidR="00B2442D" w:rsidRDefault="00B2442D">
      <w:pPr>
        <w:jc w:val="both"/>
        <w:rPr>
          <w:rFonts w:ascii="Arial" w:hAnsi="Arial" w:cs="Arial"/>
          <w:i/>
          <w:lang w:val="es-CO"/>
        </w:rPr>
      </w:pPr>
    </w:p>
    <w:p w14:paraId="2BE4BE85" w14:textId="77777777" w:rsidR="00B2442D" w:rsidRDefault="008A645F">
      <w:pPr>
        <w:jc w:val="both"/>
        <w:rPr>
          <w:rFonts w:ascii="Arial" w:hAnsi="Arial" w:cs="Arial"/>
          <w:i/>
          <w:lang w:val="es-CO"/>
        </w:rPr>
      </w:pPr>
      <w:r>
        <w:rPr>
          <w:rFonts w:ascii="Arial" w:hAnsi="Arial" w:cs="Arial"/>
          <w:i/>
          <w:lang w:val="es-CO"/>
        </w:rPr>
        <w:t>(Art. 2, Decreto 1250 de 1992)</w:t>
      </w:r>
    </w:p>
    <w:p w14:paraId="016DB7E8" w14:textId="77777777" w:rsidR="00B2442D" w:rsidRDefault="00B2442D">
      <w:pPr>
        <w:jc w:val="both"/>
        <w:rPr>
          <w:rFonts w:ascii="Arial" w:hAnsi="Arial" w:cs="Arial"/>
          <w:lang w:val="es-CO"/>
        </w:rPr>
      </w:pPr>
    </w:p>
    <w:p w14:paraId="6934EC9C"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Comisiones de los comisionistas de Bolsa.</w:t>
      </w:r>
      <w:r>
        <w:rPr>
          <w:rFonts w:ascii="Arial" w:hAnsi="Arial" w:cs="Arial"/>
          <w:lang w:val="es-CO"/>
        </w:rPr>
        <w:t xml:space="preserve"> Para efectos de lo dispuesto en el numeral 3° del artículo 476 del Estatuto Tributario, entiéndase por comisiones de los comisionistas de Bolsa, las </w:t>
      </w:r>
      <w:r>
        <w:rPr>
          <w:rFonts w:ascii="Arial" w:hAnsi="Arial" w:cs="Arial"/>
          <w:lang w:val="es-CO"/>
        </w:rPr>
        <w:t>comisiones recibidas por las sociedades comisionistas de Bolsa, o de Valores, de que tratan los artículos 7° y 8° de la Ley 27 de 1990.</w:t>
      </w:r>
    </w:p>
    <w:p w14:paraId="2E6618C1" w14:textId="77777777" w:rsidR="00B2442D" w:rsidRDefault="00B2442D">
      <w:pPr>
        <w:jc w:val="both"/>
        <w:rPr>
          <w:rFonts w:ascii="Arial" w:hAnsi="Arial" w:cs="Arial"/>
          <w:i/>
          <w:lang w:val="es-CO"/>
        </w:rPr>
      </w:pPr>
    </w:p>
    <w:p w14:paraId="1DD081A0" w14:textId="77777777" w:rsidR="00B2442D" w:rsidRDefault="008A645F">
      <w:pPr>
        <w:jc w:val="both"/>
        <w:rPr>
          <w:rFonts w:ascii="Arial" w:hAnsi="Arial" w:cs="Arial"/>
          <w:i/>
          <w:lang w:val="es-CO"/>
        </w:rPr>
      </w:pPr>
      <w:r>
        <w:rPr>
          <w:rFonts w:ascii="Arial" w:hAnsi="Arial" w:cs="Arial"/>
          <w:i/>
          <w:lang w:val="es-CO"/>
        </w:rPr>
        <w:t>(Art. 3, Decreto 1250 de 1992)</w:t>
      </w:r>
    </w:p>
    <w:p w14:paraId="6309A4F9" w14:textId="77777777" w:rsidR="00B2442D" w:rsidRDefault="00B2442D">
      <w:pPr>
        <w:jc w:val="both"/>
        <w:rPr>
          <w:rFonts w:ascii="Arial" w:hAnsi="Arial" w:cs="Arial"/>
          <w:lang w:val="es-CO"/>
        </w:rPr>
      </w:pPr>
    </w:p>
    <w:p w14:paraId="040ADA19"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Impuesto sobre las ventas por servicios de transporte.</w:t>
      </w:r>
      <w:r>
        <w:rPr>
          <w:rFonts w:ascii="Arial" w:hAnsi="Arial" w:cs="Arial"/>
          <w:i/>
          <w:lang w:val="es-CO"/>
        </w:rPr>
        <w:t xml:space="preserve"> </w:t>
      </w:r>
      <w:r>
        <w:rPr>
          <w:rFonts w:ascii="Arial" w:hAnsi="Arial" w:cs="Arial"/>
          <w:lang w:val="es-CO"/>
        </w:rPr>
        <w:t>Para los efectos de lo dispuest</w:t>
      </w:r>
      <w:r>
        <w:rPr>
          <w:rFonts w:ascii="Arial" w:hAnsi="Arial" w:cs="Arial"/>
          <w:lang w:val="es-CO"/>
        </w:rPr>
        <w:t>o en el numeral 2 del artículo 476 del Estatuto Tributario también forman parte del servicio de transporte de carga, los servicios portuarios y aeroportuarios, que con motivo de movilización de la carga se presten en puertos y aeropuertos.</w:t>
      </w:r>
    </w:p>
    <w:p w14:paraId="2F5DAB4D" w14:textId="77777777" w:rsidR="00B2442D" w:rsidRDefault="00B2442D">
      <w:pPr>
        <w:jc w:val="both"/>
        <w:rPr>
          <w:rFonts w:ascii="Arial" w:hAnsi="Arial" w:cs="Arial"/>
          <w:i/>
          <w:lang w:val="es-CO"/>
        </w:rPr>
      </w:pPr>
    </w:p>
    <w:p w14:paraId="378187FC" w14:textId="77777777" w:rsidR="00B2442D" w:rsidRDefault="008A645F">
      <w:pPr>
        <w:jc w:val="both"/>
        <w:rPr>
          <w:rFonts w:ascii="Arial" w:hAnsi="Arial" w:cs="Arial"/>
          <w:lang w:val="es-CO"/>
        </w:rPr>
      </w:pPr>
      <w:r>
        <w:rPr>
          <w:rFonts w:ascii="Arial" w:hAnsi="Arial" w:cs="Arial"/>
          <w:i/>
          <w:lang w:val="es-CO"/>
        </w:rPr>
        <w:t>(Art. 4, Decret</w:t>
      </w:r>
      <w:r>
        <w:rPr>
          <w:rFonts w:ascii="Arial" w:hAnsi="Arial" w:cs="Arial"/>
          <w:i/>
          <w:lang w:val="es-CO"/>
        </w:rPr>
        <w:t>o 1372 de 1992)</w:t>
      </w:r>
    </w:p>
    <w:p w14:paraId="7F4A8E4F" w14:textId="77777777" w:rsidR="00B2442D" w:rsidRDefault="00B2442D">
      <w:pPr>
        <w:jc w:val="both"/>
        <w:rPr>
          <w:rFonts w:ascii="Arial" w:hAnsi="Arial" w:cs="Arial"/>
          <w:lang w:val="es-CO"/>
        </w:rPr>
      </w:pPr>
    </w:p>
    <w:p w14:paraId="6A425CA4"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Los ingresos laborales, la contraprestación del socio industrial y los honorarios de miembros de Juntas Directivas, no están sometidos al impuesto sobre las ventas</w:t>
      </w:r>
      <w:r>
        <w:rPr>
          <w:rFonts w:ascii="Arial" w:hAnsi="Arial" w:cs="Arial"/>
          <w:lang w:val="es-CO"/>
        </w:rPr>
        <w:t xml:space="preserve">. Los ingresos provenientes de la relación laboral o legal y reglamentaria </w:t>
      </w:r>
      <w:r>
        <w:rPr>
          <w:rFonts w:ascii="Arial" w:hAnsi="Arial" w:cs="Arial"/>
          <w:lang w:val="es-CO"/>
        </w:rPr>
        <w:t>no están sometidos al impuesto sobre las ventas. Así como tampoco los ingresos que perciban los socios industriales como contraprestación a su aporte, ni los honorarios percibidos por los miembros de juntas directivas.</w:t>
      </w:r>
    </w:p>
    <w:p w14:paraId="0EE8E7CF" w14:textId="77777777" w:rsidR="00B2442D" w:rsidRDefault="00B2442D">
      <w:pPr>
        <w:jc w:val="both"/>
        <w:rPr>
          <w:rFonts w:ascii="Arial" w:hAnsi="Arial" w:cs="Arial"/>
          <w:i/>
          <w:lang w:val="es-CO"/>
        </w:rPr>
      </w:pPr>
    </w:p>
    <w:p w14:paraId="181196B7" w14:textId="77777777" w:rsidR="00B2442D" w:rsidRDefault="008A645F">
      <w:pPr>
        <w:jc w:val="both"/>
        <w:rPr>
          <w:rFonts w:ascii="Arial" w:hAnsi="Arial" w:cs="Arial"/>
          <w:lang w:val="es-CO"/>
        </w:rPr>
      </w:pPr>
      <w:r>
        <w:rPr>
          <w:rFonts w:ascii="Arial" w:hAnsi="Arial" w:cs="Arial"/>
          <w:i/>
          <w:lang w:val="es-CO"/>
        </w:rPr>
        <w:t>(Art. 5, Decreto 1372 de 1992)</w:t>
      </w:r>
    </w:p>
    <w:p w14:paraId="75CFABE4" w14:textId="77777777" w:rsidR="00B2442D" w:rsidRDefault="00B2442D">
      <w:pPr>
        <w:jc w:val="both"/>
        <w:rPr>
          <w:rFonts w:ascii="Arial" w:hAnsi="Arial" w:cs="Arial"/>
          <w:lang w:val="es-CO"/>
        </w:rPr>
      </w:pPr>
    </w:p>
    <w:p w14:paraId="3B02399F"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Cuotas de afiliación y sostenimiento no gravadas con IVA.</w:t>
      </w:r>
      <w:r>
        <w:rPr>
          <w:rFonts w:ascii="Arial" w:hAnsi="Arial" w:cs="Arial"/>
          <w:lang w:val="es-CO"/>
        </w:rPr>
        <w:t xml:space="preserve"> Para efectos del impuesto sobre las ventas, se entienden como aportes de capital, no sometidos al impuesto sobre las ventas, las cuotas de afiliación y sostenimiento, de los sindicatos, de las asoc</w:t>
      </w:r>
      <w:r>
        <w:rPr>
          <w:rFonts w:ascii="Arial" w:hAnsi="Arial" w:cs="Arial"/>
          <w:lang w:val="es-CO"/>
        </w:rPr>
        <w:t>iaciones gremiales, de las asociaciones de exalumnos, de padres de familia, de profesionales, políticas y religiosas, de organizaciones de alcohólicos anónimos y/o drogadictos, de las juntas de defensa civil, de las sociedades de mejoras públicas, así como</w:t>
      </w:r>
      <w:r>
        <w:rPr>
          <w:rFonts w:ascii="Arial" w:hAnsi="Arial" w:cs="Arial"/>
          <w:lang w:val="es-CO"/>
        </w:rPr>
        <w:t xml:space="preserve"> las cuotas de administración fijadas por las juntas de copropietarios administradoras de edificios organizados en propiedad horizontal o de condominios.</w:t>
      </w:r>
    </w:p>
    <w:p w14:paraId="5F6962E6" w14:textId="77777777" w:rsidR="00B2442D" w:rsidRDefault="00B2442D">
      <w:pPr>
        <w:jc w:val="both"/>
        <w:rPr>
          <w:rFonts w:ascii="Arial" w:hAnsi="Arial" w:cs="Arial"/>
          <w:i/>
          <w:lang w:val="es-CO"/>
        </w:rPr>
      </w:pPr>
    </w:p>
    <w:p w14:paraId="6903FF19" w14:textId="77777777" w:rsidR="00B2442D" w:rsidRDefault="008A645F">
      <w:pPr>
        <w:jc w:val="both"/>
        <w:rPr>
          <w:rFonts w:ascii="Arial" w:hAnsi="Arial" w:cs="Arial"/>
          <w:lang w:val="es-CO"/>
        </w:rPr>
      </w:pPr>
      <w:r>
        <w:rPr>
          <w:rFonts w:ascii="Arial" w:hAnsi="Arial" w:cs="Arial"/>
          <w:i/>
          <w:lang w:val="es-CO"/>
        </w:rPr>
        <w:t>(Art. 7, Decreto 1372 de 1992)</w:t>
      </w:r>
    </w:p>
    <w:p w14:paraId="595E5159" w14:textId="77777777" w:rsidR="00B2442D" w:rsidRDefault="00B2442D">
      <w:pPr>
        <w:jc w:val="both"/>
        <w:rPr>
          <w:rFonts w:ascii="Arial" w:hAnsi="Arial" w:cs="Arial"/>
          <w:lang w:val="es-CO"/>
        </w:rPr>
      </w:pPr>
    </w:p>
    <w:p w14:paraId="1263B96C"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Las tasas y contribuciones están excluidas del impuesto sobre las ve</w:t>
      </w:r>
      <w:r>
        <w:rPr>
          <w:rFonts w:ascii="Arial" w:hAnsi="Arial" w:cs="Arial"/>
          <w:b/>
          <w:i/>
          <w:lang w:val="es-CO"/>
        </w:rPr>
        <w:t>ntas.</w:t>
      </w:r>
      <w:r>
        <w:rPr>
          <w:rFonts w:ascii="Arial" w:hAnsi="Arial" w:cs="Arial"/>
          <w:lang w:val="es-CO"/>
        </w:rPr>
        <w:t xml:space="preserve"> Las tasas, peajes y contribuciones, que se perciban por el Estado o por las entidades de derecho público, directamente o a través de concesiones, no están sometidos al impuesto sobre las ventas.</w:t>
      </w:r>
    </w:p>
    <w:p w14:paraId="16CD21E7" w14:textId="77777777" w:rsidR="00B2442D" w:rsidRDefault="00B2442D">
      <w:pPr>
        <w:jc w:val="both"/>
        <w:rPr>
          <w:rFonts w:ascii="Arial" w:hAnsi="Arial" w:cs="Arial"/>
          <w:i/>
          <w:lang w:val="es-CO"/>
        </w:rPr>
      </w:pPr>
    </w:p>
    <w:p w14:paraId="569A6133" w14:textId="77777777" w:rsidR="00B2442D" w:rsidRDefault="008A645F">
      <w:pPr>
        <w:jc w:val="both"/>
        <w:rPr>
          <w:rFonts w:ascii="Arial" w:hAnsi="Arial" w:cs="Arial"/>
          <w:lang w:val="es-CO"/>
        </w:rPr>
      </w:pPr>
      <w:r>
        <w:rPr>
          <w:rFonts w:ascii="Arial" w:hAnsi="Arial" w:cs="Arial"/>
          <w:i/>
          <w:lang w:val="es-CO"/>
        </w:rPr>
        <w:t>(Art. 10, Decreto 1372 de 1992)</w:t>
      </w:r>
    </w:p>
    <w:p w14:paraId="7B8FC9E6" w14:textId="77777777" w:rsidR="00B2442D" w:rsidRDefault="00B2442D">
      <w:pPr>
        <w:jc w:val="both"/>
        <w:rPr>
          <w:rFonts w:ascii="Arial" w:hAnsi="Arial" w:cs="Arial"/>
          <w:lang w:val="es-CO"/>
        </w:rPr>
      </w:pPr>
    </w:p>
    <w:p w14:paraId="56417DBB"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Administración de fo</w:t>
      </w:r>
      <w:r>
        <w:rPr>
          <w:rFonts w:ascii="Arial" w:hAnsi="Arial" w:cs="Arial"/>
          <w:b/>
          <w:i/>
          <w:lang w:val="es-CO"/>
        </w:rPr>
        <w:t xml:space="preserve">ndos de inversión colectiva. </w:t>
      </w:r>
      <w:r>
        <w:rPr>
          <w:rFonts w:ascii="Arial" w:hAnsi="Arial" w:cs="Arial"/>
          <w:lang w:val="es-CO"/>
        </w:rPr>
        <w:t>Para efectos de lo dispuesto en el numeral 3 del artículo 476 del Estatuto Tributario, la actividad de administración allí prevista comprende las actividades de administración, gestión, distribución y custodia de fondos de inve</w:t>
      </w:r>
      <w:r>
        <w:rPr>
          <w:rFonts w:ascii="Arial" w:hAnsi="Arial" w:cs="Arial"/>
          <w:lang w:val="es-CO"/>
        </w:rPr>
        <w:t>rsión colectiva en los términos de la Parte 3 del Decreto 2555 de 2010 y del Libro 37 de la Parte 2 del Decreto 2555 de 2010, realizadas por las sociedades comisionistas de Bolsa, las sociedades fiduciarias y las sociedades administradoras de inversión.</w:t>
      </w:r>
    </w:p>
    <w:p w14:paraId="29814E78" w14:textId="77777777" w:rsidR="00B2442D" w:rsidRDefault="00B2442D">
      <w:pPr>
        <w:jc w:val="both"/>
        <w:rPr>
          <w:rFonts w:ascii="Arial" w:hAnsi="Arial" w:cs="Arial"/>
          <w:lang w:val="es-CO"/>
        </w:rPr>
      </w:pPr>
    </w:p>
    <w:p w14:paraId="60AC1BC5" w14:textId="77777777" w:rsidR="00B2442D" w:rsidRDefault="008A645F">
      <w:pPr>
        <w:jc w:val="both"/>
        <w:rPr>
          <w:rFonts w:ascii="Arial" w:hAnsi="Arial" w:cs="Arial"/>
          <w:i/>
          <w:lang w:val="es-CO"/>
        </w:rPr>
      </w:pPr>
      <w:r>
        <w:rPr>
          <w:rFonts w:ascii="Arial" w:hAnsi="Arial" w:cs="Arial"/>
          <w:i/>
          <w:lang w:val="es-CO"/>
        </w:rPr>
        <w:t>(</w:t>
      </w:r>
      <w:r>
        <w:rPr>
          <w:rFonts w:ascii="Arial" w:hAnsi="Arial" w:cs="Arial"/>
          <w:i/>
          <w:lang w:val="es-CO"/>
        </w:rPr>
        <w:t>Art. 1, Decreto 1602 de 2015)</w:t>
      </w:r>
    </w:p>
    <w:p w14:paraId="45B24E06" w14:textId="77777777" w:rsidR="00B2442D" w:rsidRDefault="00B2442D">
      <w:pPr>
        <w:jc w:val="both"/>
        <w:rPr>
          <w:rFonts w:ascii="Arial" w:hAnsi="Arial" w:cs="Arial"/>
          <w:i/>
          <w:lang w:val="es-CO"/>
        </w:rPr>
      </w:pPr>
    </w:p>
    <w:p w14:paraId="646826E0"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Cuotas de afiliación y administración por vehículos afiliados a empresas de transporte. </w:t>
      </w:r>
      <w:r>
        <w:rPr>
          <w:rFonts w:ascii="Arial" w:hAnsi="Arial" w:cs="Arial"/>
          <w:lang w:val="es-CO"/>
        </w:rPr>
        <w:t xml:space="preserve">De conformidad con el numeral 2° del artículo 476 del Estatuto Tributario, se encuentran excluidas del impuesto sobre las ventas, las </w:t>
      </w:r>
      <w:r>
        <w:rPr>
          <w:rFonts w:ascii="Arial" w:hAnsi="Arial" w:cs="Arial"/>
          <w:lang w:val="es-CO"/>
        </w:rPr>
        <w:t>cuotas de afiliación y de administración pagadas a empresas de transporte público, por los propietarios de los vehículos afiliados a dichas empresas.</w:t>
      </w:r>
    </w:p>
    <w:p w14:paraId="0AA85265" w14:textId="77777777" w:rsidR="00B2442D" w:rsidRDefault="00B2442D">
      <w:pPr>
        <w:jc w:val="both"/>
        <w:rPr>
          <w:rFonts w:ascii="Arial" w:hAnsi="Arial" w:cs="Arial"/>
          <w:i/>
          <w:lang w:val="es-CO"/>
        </w:rPr>
      </w:pPr>
    </w:p>
    <w:p w14:paraId="766D9932" w14:textId="77777777" w:rsidR="00B2442D" w:rsidRDefault="008A645F">
      <w:pPr>
        <w:jc w:val="both"/>
        <w:rPr>
          <w:rFonts w:ascii="Arial" w:hAnsi="Arial" w:cs="Arial"/>
          <w:i/>
          <w:lang w:val="es-CO"/>
        </w:rPr>
      </w:pPr>
      <w:r>
        <w:rPr>
          <w:rFonts w:ascii="Arial" w:hAnsi="Arial" w:cs="Arial"/>
          <w:i/>
          <w:lang w:val="es-CO"/>
        </w:rPr>
        <w:t>(Art. 19, Decreto 2076 de 1992)</w:t>
      </w:r>
      <w:r>
        <w:rPr>
          <w:rFonts w:ascii="Arial" w:hAnsi="Arial" w:cs="Arial"/>
        </w:rPr>
        <w:t xml:space="preserve"> </w:t>
      </w:r>
      <w:r>
        <w:rPr>
          <w:rFonts w:ascii="Arial" w:hAnsi="Arial" w:cs="Arial"/>
          <w:i/>
          <w:lang w:val="es-CO"/>
        </w:rPr>
        <w:t>(El Decreto 2076 de 1992 rige desde la fecha de su publicación y deroga a</w:t>
      </w:r>
      <w:r>
        <w:rPr>
          <w:rFonts w:ascii="Arial" w:hAnsi="Arial" w:cs="Arial"/>
          <w:i/>
          <w:lang w:val="es-CO"/>
        </w:rPr>
        <w:t>demás de las normas que le sean contrarias, las siguientes: artículos 13 y 22 del Decreto 1372 de 1992, artículos 4° y 6° del Decreto 1250 de 1992, y el Decreto 2208 de 1991. Art. 44, Decreto 2076 de 1992)</w:t>
      </w:r>
    </w:p>
    <w:p w14:paraId="659B0F51" w14:textId="77777777" w:rsidR="00B2442D" w:rsidRDefault="00B2442D">
      <w:pPr>
        <w:jc w:val="both"/>
        <w:rPr>
          <w:rFonts w:ascii="Arial" w:hAnsi="Arial" w:cs="Arial"/>
          <w:lang w:val="es-CO"/>
        </w:rPr>
      </w:pPr>
    </w:p>
    <w:p w14:paraId="08A795E2"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 Servicio de educación.</w:t>
      </w:r>
      <w:r>
        <w:rPr>
          <w:rFonts w:ascii="Arial" w:hAnsi="Arial" w:cs="Arial"/>
          <w:lang w:val="es-CO"/>
        </w:rPr>
        <w:t xml:space="preserve"> De acuerdo con el numeral</w:t>
      </w:r>
      <w:r>
        <w:rPr>
          <w:rFonts w:ascii="Arial" w:hAnsi="Arial" w:cs="Arial"/>
          <w:lang w:val="es-CO"/>
        </w:rPr>
        <w:t xml:space="preserve"> 6° del artículo 476 del Estatuto Tributario, para los efectos allí previstos, se consideran servicios de educación, además de los prestados por los establecimientos de educación preescolar, básica (primaria y secundaria), media e intermedia, superior, esp</w:t>
      </w:r>
      <w:r>
        <w:rPr>
          <w:rFonts w:ascii="Arial" w:hAnsi="Arial" w:cs="Arial"/>
          <w:lang w:val="es-CO"/>
        </w:rPr>
        <w:t>ecial o no formal, reconocidos como tales por el Gobierno, los servicios de educación prestados por personas naturales a dichos establecimientos.</w:t>
      </w:r>
    </w:p>
    <w:p w14:paraId="202DB175" w14:textId="77777777" w:rsidR="00B2442D" w:rsidRDefault="00B2442D">
      <w:pPr>
        <w:jc w:val="both"/>
        <w:rPr>
          <w:rFonts w:ascii="Arial" w:hAnsi="Arial" w:cs="Arial"/>
          <w:i/>
          <w:lang w:val="es-CO"/>
        </w:rPr>
      </w:pPr>
    </w:p>
    <w:p w14:paraId="13FD8B61" w14:textId="77777777" w:rsidR="00B2442D" w:rsidRDefault="008A645F">
      <w:pPr>
        <w:jc w:val="both"/>
        <w:rPr>
          <w:rFonts w:ascii="Arial" w:hAnsi="Arial" w:cs="Arial"/>
          <w:i/>
          <w:lang w:val="es-CO"/>
        </w:rPr>
      </w:pPr>
      <w:r>
        <w:rPr>
          <w:rFonts w:ascii="Arial" w:hAnsi="Arial" w:cs="Arial"/>
          <w:i/>
          <w:lang w:val="es-CO"/>
        </w:rPr>
        <w:t>(Art. 20, Decreto 2076 de 1992)</w:t>
      </w:r>
      <w:r>
        <w:rPr>
          <w:rFonts w:ascii="Arial" w:hAnsi="Arial" w:cs="Arial"/>
        </w:rPr>
        <w:t xml:space="preserve"> </w:t>
      </w:r>
      <w:r>
        <w:rPr>
          <w:rFonts w:ascii="Arial" w:hAnsi="Arial" w:cs="Arial"/>
          <w:i/>
          <w:lang w:val="es-CO"/>
        </w:rPr>
        <w:t>(El Decreto 2076 de 1992 rige desde la fecha de su publicación y deroga ademá</w:t>
      </w:r>
      <w:r>
        <w:rPr>
          <w:rFonts w:ascii="Arial" w:hAnsi="Arial" w:cs="Arial"/>
          <w:i/>
          <w:lang w:val="es-CO"/>
        </w:rPr>
        <w:t>s de las normas que le sean contrarias, las siguientes: artículos 13 y 22 del Decreto 1372 de 1992, artículos 4° y 6° del Decreto 1250 de 1992, y el Decreto 2208 de 1991. Art. 44, Decreto 2076 de 1992)</w:t>
      </w:r>
    </w:p>
    <w:p w14:paraId="00D8D2B9" w14:textId="77777777" w:rsidR="00B2442D" w:rsidRDefault="00B2442D">
      <w:pPr>
        <w:jc w:val="both"/>
        <w:rPr>
          <w:rFonts w:ascii="Arial" w:hAnsi="Arial" w:cs="Arial"/>
          <w:lang w:val="es-CO"/>
        </w:rPr>
      </w:pPr>
    </w:p>
    <w:p w14:paraId="1918A574"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Exclusión del IVA en los servicios prestados a la ONU</w:t>
      </w:r>
      <w:r>
        <w:rPr>
          <w:rFonts w:ascii="Arial" w:hAnsi="Arial" w:cs="Arial"/>
          <w:b/>
          <w:i/>
          <w:lang w:val="es-CO"/>
        </w:rPr>
        <w:t xml:space="preserve"> y a las entidades multilaterales de crédito. </w:t>
      </w:r>
      <w:r>
        <w:rPr>
          <w:rFonts w:ascii="Arial" w:hAnsi="Arial" w:cs="Arial"/>
          <w:lang w:val="es-CO"/>
        </w:rPr>
        <w:t>En desarrollo de la exclusión del impuesto sobre las ventas consagrada en convenios internacionales ratificados por el Gobierno Nacional, de que gozan la Organización de las Naciones Unidas y las Entidades Mult</w:t>
      </w:r>
      <w:r>
        <w:rPr>
          <w:rFonts w:ascii="Arial" w:hAnsi="Arial" w:cs="Arial"/>
          <w:lang w:val="es-CO"/>
        </w:rPr>
        <w:t>ilaterales de Crédito, los contratos por prestación de servicios que suscriban los contratistas con tales entidades no estarán sometidos al impuesto sobre las ventas.</w:t>
      </w:r>
    </w:p>
    <w:p w14:paraId="619006FE" w14:textId="77777777" w:rsidR="00B2442D" w:rsidRDefault="00B2442D">
      <w:pPr>
        <w:jc w:val="both"/>
        <w:rPr>
          <w:rFonts w:ascii="Arial" w:hAnsi="Arial" w:cs="Arial"/>
          <w:i/>
          <w:lang w:val="es-CO"/>
        </w:rPr>
      </w:pPr>
    </w:p>
    <w:p w14:paraId="6D6917EC" w14:textId="77777777" w:rsidR="00B2442D" w:rsidRDefault="008A645F">
      <w:pPr>
        <w:jc w:val="both"/>
        <w:rPr>
          <w:rFonts w:ascii="Arial" w:hAnsi="Arial" w:cs="Arial"/>
          <w:i/>
          <w:lang w:val="es-CO"/>
        </w:rPr>
      </w:pPr>
      <w:r>
        <w:rPr>
          <w:rFonts w:ascii="Arial" w:hAnsi="Arial" w:cs="Arial"/>
          <w:i/>
          <w:lang w:val="es-CO"/>
        </w:rPr>
        <w:t>(Art. 21, Decreto 2076 de 1992)</w:t>
      </w:r>
      <w:r>
        <w:rPr>
          <w:rFonts w:ascii="Arial" w:hAnsi="Arial" w:cs="Arial"/>
        </w:rPr>
        <w:t xml:space="preserve"> </w:t>
      </w:r>
      <w:r>
        <w:rPr>
          <w:rFonts w:ascii="Arial" w:hAnsi="Arial" w:cs="Arial"/>
          <w:i/>
          <w:lang w:val="es-CO"/>
        </w:rPr>
        <w:t>(El Decreto 2076 de 1992 rige desde la fecha de su publi</w:t>
      </w:r>
      <w:r>
        <w:rPr>
          <w:rFonts w:ascii="Arial" w:hAnsi="Arial" w:cs="Arial"/>
          <w:i/>
          <w:lang w:val="es-CO"/>
        </w:rPr>
        <w:t>cación y deroga además de las normas que le sean contrarias, las siguientes: artículos 13 y 22 del Decreto 1372 de 1992, artículos 4° y 6° del Decreto 1250 de 1992, y el Decreto 2208 de 1991. Art. 44, Decreto 2076 de 1992)</w:t>
      </w:r>
    </w:p>
    <w:p w14:paraId="73C7B291" w14:textId="77777777" w:rsidR="00B2442D" w:rsidRDefault="00B2442D">
      <w:pPr>
        <w:jc w:val="both"/>
        <w:rPr>
          <w:rFonts w:ascii="Arial" w:hAnsi="Arial" w:cs="Arial"/>
          <w:lang w:val="es-CO"/>
        </w:rPr>
      </w:pPr>
    </w:p>
    <w:p w14:paraId="4F1A4C00"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El servicio de acueducto prestad</w:t>
      </w:r>
      <w:r>
        <w:rPr>
          <w:rFonts w:ascii="Arial" w:hAnsi="Arial" w:cs="Arial"/>
          <w:b/>
          <w:i/>
          <w:lang w:val="es-CO"/>
        </w:rPr>
        <w:t>o por distritos de riego está excluido del impuesto a las ventas.</w:t>
      </w:r>
      <w:r>
        <w:rPr>
          <w:rFonts w:ascii="Arial" w:hAnsi="Arial" w:cs="Arial"/>
          <w:lang w:val="es-CO"/>
        </w:rPr>
        <w:t xml:space="preserve"> De conformidad con el numeral 4° del artículo 476 del Estatuto Tributario, el servicio de acueducto prestado por los Distritos de Riego administrados por delegación administrativa del INCORA</w:t>
      </w:r>
      <w:r>
        <w:rPr>
          <w:rFonts w:ascii="Arial" w:hAnsi="Arial" w:cs="Arial"/>
          <w:lang w:val="es-CO"/>
        </w:rPr>
        <w:t xml:space="preserve"> o del HIMAT o el que haga sus veces, se encuentra excluido del impuesto sobre las ventas.</w:t>
      </w:r>
    </w:p>
    <w:p w14:paraId="3EE2886C" w14:textId="77777777" w:rsidR="00B2442D" w:rsidRDefault="00B2442D">
      <w:pPr>
        <w:rPr>
          <w:rFonts w:ascii="Arial" w:hAnsi="Arial" w:cs="Arial"/>
          <w:i/>
          <w:lang w:val="es-CO"/>
        </w:rPr>
      </w:pPr>
    </w:p>
    <w:p w14:paraId="13986AB5" w14:textId="77777777" w:rsidR="00B2442D" w:rsidRDefault="008A645F">
      <w:pPr>
        <w:rPr>
          <w:rFonts w:ascii="Arial" w:hAnsi="Arial" w:cs="Arial"/>
          <w:i/>
          <w:lang w:val="es-CO"/>
        </w:rPr>
      </w:pPr>
      <w:r>
        <w:rPr>
          <w:rFonts w:ascii="Arial" w:hAnsi="Arial" w:cs="Arial"/>
          <w:i/>
          <w:lang w:val="es-CO"/>
        </w:rPr>
        <w:t>(Art. 8, Decreto 0180 de 1993)</w:t>
      </w:r>
    </w:p>
    <w:p w14:paraId="59426291" w14:textId="77777777" w:rsidR="00B2442D" w:rsidRDefault="00B2442D">
      <w:pPr>
        <w:jc w:val="both"/>
        <w:rPr>
          <w:rFonts w:ascii="Arial" w:hAnsi="Arial" w:cs="Arial"/>
          <w:lang w:val="es-CO"/>
        </w:rPr>
      </w:pPr>
    </w:p>
    <w:p w14:paraId="62CC3315"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Comisiones excluidas del IVA.</w:t>
      </w:r>
      <w:r>
        <w:rPr>
          <w:rFonts w:ascii="Arial" w:hAnsi="Arial" w:cs="Arial"/>
          <w:lang w:val="es-CO"/>
        </w:rPr>
        <w:t xml:space="preserve"> De conformidad con el numeral 11 (hoy numerales 3, 16 y 17) del artículo 476 del Estatuto Tributario, están excluidas del impuesto sobre las ventas, las comisiones por la intermediación en la colocación de títulos de capitalización, así como en la colocac</w:t>
      </w:r>
      <w:r>
        <w:rPr>
          <w:rFonts w:ascii="Arial" w:hAnsi="Arial" w:cs="Arial"/>
          <w:lang w:val="es-CO"/>
        </w:rPr>
        <w:t xml:space="preserve">ión de pólizas de seguros excluidos de dicho impuesto y de reaseguros. </w:t>
      </w:r>
    </w:p>
    <w:p w14:paraId="4ED0A7BC" w14:textId="77777777" w:rsidR="00B2442D" w:rsidRDefault="00B2442D">
      <w:pPr>
        <w:jc w:val="both"/>
        <w:rPr>
          <w:rFonts w:ascii="Arial" w:hAnsi="Arial" w:cs="Arial"/>
          <w:lang w:val="es-CO"/>
        </w:rPr>
      </w:pPr>
    </w:p>
    <w:p w14:paraId="35BFC1D9" w14:textId="77777777" w:rsidR="00B2442D" w:rsidRDefault="008A645F">
      <w:pPr>
        <w:jc w:val="both"/>
        <w:rPr>
          <w:rFonts w:ascii="Arial" w:hAnsi="Arial" w:cs="Arial"/>
          <w:lang w:val="es-CO"/>
        </w:rPr>
      </w:pPr>
      <w:r>
        <w:rPr>
          <w:rFonts w:ascii="Arial" w:hAnsi="Arial" w:cs="Arial"/>
          <w:lang w:val="es-CO"/>
        </w:rPr>
        <w:t>Igualmente están excluidas del impuesto sobre las ventas, las comisiones que se perciban por la colocación de planes de salud del sistema general de seguridad social en salud consagra</w:t>
      </w:r>
      <w:r>
        <w:rPr>
          <w:rFonts w:ascii="Arial" w:hAnsi="Arial" w:cs="Arial"/>
          <w:lang w:val="es-CO"/>
        </w:rPr>
        <w:t>do por la Ley 100 de 1993, y autorizados por la Superintendencia Nacional de Salud.</w:t>
      </w:r>
    </w:p>
    <w:p w14:paraId="187C608D" w14:textId="77777777" w:rsidR="00B2442D" w:rsidRDefault="00B2442D">
      <w:pPr>
        <w:jc w:val="both"/>
        <w:rPr>
          <w:rFonts w:ascii="Arial" w:hAnsi="Arial" w:cs="Arial"/>
          <w:i/>
          <w:lang w:val="es-CO"/>
        </w:rPr>
      </w:pPr>
    </w:p>
    <w:p w14:paraId="7690B5F8" w14:textId="77777777" w:rsidR="00B2442D" w:rsidRDefault="008A645F">
      <w:pPr>
        <w:jc w:val="both"/>
        <w:rPr>
          <w:rFonts w:ascii="Arial" w:hAnsi="Arial" w:cs="Arial"/>
          <w:i/>
          <w:lang w:val="es-CO"/>
        </w:rPr>
      </w:pPr>
      <w:r>
        <w:rPr>
          <w:rFonts w:ascii="Arial" w:hAnsi="Arial" w:cs="Arial"/>
          <w:i/>
          <w:lang w:val="es-CO"/>
        </w:rPr>
        <w:t>(Art. 21, Decreto 0380 de 1996, parágrafo declarado nulo mediante Sentencia del 18 de octubre de 1996; Consejo de Estado- Sección Cuarta; Expediente No. 7757)</w:t>
      </w:r>
    </w:p>
    <w:p w14:paraId="28A1E681" w14:textId="77777777" w:rsidR="00B2442D" w:rsidRDefault="00B2442D">
      <w:pPr>
        <w:jc w:val="both"/>
        <w:rPr>
          <w:rFonts w:ascii="Arial" w:hAnsi="Arial" w:cs="Arial"/>
          <w:b/>
        </w:rPr>
      </w:pPr>
    </w:p>
    <w:p w14:paraId="66149CA2" w14:textId="77777777" w:rsidR="00B2442D" w:rsidRDefault="008A645F">
      <w:pPr>
        <w:pStyle w:val="Prrafodelista"/>
        <w:numPr>
          <w:ilvl w:val="0"/>
          <w:numId w:val="72"/>
        </w:numPr>
        <w:ind w:left="0" w:firstLine="0"/>
        <w:jc w:val="both"/>
        <w:rPr>
          <w:rFonts w:ascii="Arial" w:hAnsi="Arial" w:cs="Arial"/>
        </w:rPr>
      </w:pPr>
      <w:r>
        <w:rPr>
          <w:rFonts w:ascii="Arial" w:hAnsi="Arial" w:cs="Arial"/>
          <w:b/>
          <w:i/>
        </w:rPr>
        <w:t>Servicios v</w:t>
      </w:r>
      <w:r>
        <w:rPr>
          <w:rFonts w:ascii="Arial" w:hAnsi="Arial" w:cs="Arial"/>
          <w:b/>
          <w:i/>
        </w:rPr>
        <w:t>inculados con la seguridad social exceptuados del impuesto sobre las ventas.</w:t>
      </w:r>
      <w:r>
        <w:rPr>
          <w:rFonts w:ascii="Arial" w:hAnsi="Arial" w:cs="Arial"/>
        </w:rPr>
        <w:t xml:space="preserve"> De conformidad con lo previsto en los numerales 3 y 8 del artículo 476 del Estatuto Tributario, están exceptuados del impuesto sobre las ventas los siguientes servicios vinculados</w:t>
      </w:r>
      <w:r>
        <w:rPr>
          <w:rFonts w:ascii="Arial" w:hAnsi="Arial" w:cs="Arial"/>
        </w:rPr>
        <w:t xml:space="preserve"> con la seguridad social de acuerdo a lo dispuesto en la Ley 100 de 1993:  </w:t>
      </w:r>
    </w:p>
    <w:p w14:paraId="3FC9CE6A" w14:textId="77777777" w:rsidR="00B2442D" w:rsidRDefault="00B2442D">
      <w:pPr>
        <w:jc w:val="both"/>
        <w:rPr>
          <w:rFonts w:ascii="Arial" w:hAnsi="Arial" w:cs="Arial"/>
        </w:rPr>
      </w:pPr>
    </w:p>
    <w:p w14:paraId="3C009100" w14:textId="77777777" w:rsidR="00B2442D" w:rsidRDefault="008A645F">
      <w:pPr>
        <w:ind w:left="426" w:hanging="426"/>
        <w:jc w:val="both"/>
        <w:rPr>
          <w:rFonts w:ascii="Arial" w:hAnsi="Arial" w:cs="Arial"/>
        </w:rPr>
      </w:pPr>
      <w:r>
        <w:rPr>
          <w:rFonts w:ascii="Arial" w:hAnsi="Arial" w:cs="Arial"/>
        </w:rPr>
        <w:t>A. Los servicios que presten o contraten las entidades administradoras del régimen subsidiado y las entidades promotoras de salud, cuando los mismos tengan por objeto directo efec</w:t>
      </w:r>
      <w:r>
        <w:rPr>
          <w:rFonts w:ascii="Arial" w:hAnsi="Arial" w:cs="Arial"/>
        </w:rPr>
        <w:t xml:space="preserve">tuar: </w:t>
      </w:r>
    </w:p>
    <w:p w14:paraId="7CC77454" w14:textId="77777777" w:rsidR="00B2442D" w:rsidRDefault="00B2442D">
      <w:pPr>
        <w:jc w:val="both"/>
        <w:rPr>
          <w:rFonts w:ascii="Arial" w:hAnsi="Arial" w:cs="Arial"/>
        </w:rPr>
      </w:pPr>
    </w:p>
    <w:p w14:paraId="0AC6B7B9" w14:textId="77777777" w:rsidR="00B2442D" w:rsidRDefault="008A645F">
      <w:pPr>
        <w:ind w:left="426" w:hanging="426"/>
        <w:jc w:val="both"/>
        <w:rPr>
          <w:rFonts w:ascii="Arial" w:hAnsi="Arial" w:cs="Arial"/>
        </w:rPr>
      </w:pPr>
      <w:r>
        <w:rPr>
          <w:rFonts w:ascii="Arial" w:hAnsi="Arial" w:cs="Arial"/>
        </w:rPr>
        <w:t>1.</w:t>
      </w:r>
      <w:r>
        <w:rPr>
          <w:rFonts w:ascii="Arial" w:hAnsi="Arial" w:cs="Arial"/>
        </w:rPr>
        <w:tab/>
        <w:t xml:space="preserve">Las prestaciones propias del Plan Obligatorio de Salud a las personas afiliadas al sistema de seguridad social en salud tanto del régimen contributivo como del subsidiado. </w:t>
      </w:r>
    </w:p>
    <w:p w14:paraId="0482FBC4" w14:textId="77777777" w:rsidR="00B2442D" w:rsidRDefault="00B2442D">
      <w:pPr>
        <w:ind w:left="426" w:hanging="426"/>
        <w:jc w:val="both"/>
        <w:rPr>
          <w:rFonts w:ascii="Arial" w:hAnsi="Arial" w:cs="Arial"/>
        </w:rPr>
      </w:pPr>
    </w:p>
    <w:p w14:paraId="30015397" w14:textId="77777777" w:rsidR="00B2442D" w:rsidRDefault="008A645F">
      <w:pPr>
        <w:ind w:left="426" w:hanging="426"/>
        <w:jc w:val="both"/>
        <w:rPr>
          <w:rFonts w:ascii="Arial" w:hAnsi="Arial" w:cs="Arial"/>
        </w:rPr>
      </w:pPr>
      <w:r>
        <w:rPr>
          <w:rFonts w:ascii="Arial" w:hAnsi="Arial" w:cs="Arial"/>
        </w:rPr>
        <w:t>2.</w:t>
      </w:r>
      <w:r>
        <w:rPr>
          <w:rFonts w:ascii="Arial" w:hAnsi="Arial" w:cs="Arial"/>
        </w:rPr>
        <w:tab/>
        <w:t>Las prestaciones propias de los planes complementarios de salud susc</w:t>
      </w:r>
      <w:r>
        <w:rPr>
          <w:rFonts w:ascii="Arial" w:hAnsi="Arial" w:cs="Arial"/>
        </w:rPr>
        <w:t xml:space="preserve">ritos por los afiliados al Sistema General de Salud. </w:t>
      </w:r>
    </w:p>
    <w:p w14:paraId="3DF082F9" w14:textId="77777777" w:rsidR="00B2442D" w:rsidRDefault="00B2442D">
      <w:pPr>
        <w:ind w:left="426" w:hanging="426"/>
        <w:jc w:val="both"/>
        <w:rPr>
          <w:rFonts w:ascii="Arial" w:hAnsi="Arial" w:cs="Arial"/>
        </w:rPr>
      </w:pPr>
    </w:p>
    <w:p w14:paraId="4EDD705C" w14:textId="77777777" w:rsidR="00B2442D" w:rsidRDefault="008A645F">
      <w:pPr>
        <w:ind w:left="426" w:hanging="426"/>
        <w:jc w:val="both"/>
        <w:rPr>
          <w:rFonts w:ascii="Arial" w:hAnsi="Arial" w:cs="Arial"/>
        </w:rPr>
      </w:pPr>
      <w:r>
        <w:rPr>
          <w:rFonts w:ascii="Arial" w:hAnsi="Arial" w:cs="Arial"/>
        </w:rPr>
        <w:t>3.</w:t>
      </w:r>
      <w:r>
        <w:rPr>
          <w:rFonts w:ascii="Arial" w:hAnsi="Arial" w:cs="Arial"/>
        </w:rPr>
        <w:tab/>
        <w:t xml:space="preserve">Las prestaciones propias de los planes complementarios de salud de que tratan los incisos segundo y tercero del artículo 236 de la Ley 100 de 1993. </w:t>
      </w:r>
    </w:p>
    <w:p w14:paraId="202C5476" w14:textId="77777777" w:rsidR="00B2442D" w:rsidRDefault="00B2442D">
      <w:pPr>
        <w:ind w:left="426" w:hanging="426"/>
        <w:jc w:val="both"/>
        <w:rPr>
          <w:rFonts w:ascii="Arial" w:hAnsi="Arial" w:cs="Arial"/>
        </w:rPr>
      </w:pPr>
    </w:p>
    <w:p w14:paraId="5FB100F1" w14:textId="77777777" w:rsidR="00B2442D" w:rsidRDefault="008A645F">
      <w:pPr>
        <w:ind w:left="426" w:hanging="426"/>
        <w:jc w:val="both"/>
        <w:rPr>
          <w:rFonts w:ascii="Arial" w:hAnsi="Arial" w:cs="Arial"/>
        </w:rPr>
      </w:pPr>
      <w:r>
        <w:rPr>
          <w:rFonts w:ascii="Arial" w:hAnsi="Arial" w:cs="Arial"/>
        </w:rPr>
        <w:t>4.</w:t>
      </w:r>
      <w:r>
        <w:rPr>
          <w:rFonts w:ascii="Arial" w:hAnsi="Arial" w:cs="Arial"/>
        </w:rPr>
        <w:tab/>
        <w:t xml:space="preserve">La atención en salud derivada o requerida en </w:t>
      </w:r>
      <w:r>
        <w:rPr>
          <w:rFonts w:ascii="Arial" w:hAnsi="Arial" w:cs="Arial"/>
        </w:rPr>
        <w:t xml:space="preserve">eventos de accidentes de trabajo y enfermedad profesional. </w:t>
      </w:r>
    </w:p>
    <w:p w14:paraId="247E01BB" w14:textId="77777777" w:rsidR="00B2442D" w:rsidRDefault="00B2442D">
      <w:pPr>
        <w:ind w:left="426" w:hanging="426"/>
        <w:jc w:val="both"/>
        <w:rPr>
          <w:rFonts w:ascii="Arial" w:hAnsi="Arial" w:cs="Arial"/>
        </w:rPr>
      </w:pPr>
    </w:p>
    <w:p w14:paraId="11153728" w14:textId="77777777" w:rsidR="00B2442D" w:rsidRDefault="008A645F">
      <w:pPr>
        <w:ind w:left="426" w:hanging="426"/>
        <w:jc w:val="both"/>
        <w:rPr>
          <w:rFonts w:ascii="Arial" w:hAnsi="Arial" w:cs="Arial"/>
        </w:rPr>
      </w:pPr>
      <w:r>
        <w:rPr>
          <w:rFonts w:ascii="Arial" w:hAnsi="Arial" w:cs="Arial"/>
        </w:rPr>
        <w:t>5.</w:t>
      </w:r>
      <w:r>
        <w:rPr>
          <w:rFonts w:ascii="Arial" w:hAnsi="Arial" w:cs="Arial"/>
        </w:rPr>
        <w:tab/>
        <w:t xml:space="preserve">La prevención y promoción a que hace referencia el artículo 222 de la Ley 100 de 1993 que sea financiada con el porcentaje fijado por el Consejo de Seguridad Social en Salud; </w:t>
      </w:r>
    </w:p>
    <w:p w14:paraId="75F1B34C" w14:textId="77777777" w:rsidR="00B2442D" w:rsidRDefault="008A645F">
      <w:pPr>
        <w:jc w:val="both"/>
        <w:rPr>
          <w:rFonts w:ascii="Arial" w:hAnsi="Arial" w:cs="Arial"/>
        </w:rPr>
      </w:pPr>
      <w:r>
        <w:rPr>
          <w:rFonts w:ascii="Arial" w:hAnsi="Arial" w:cs="Arial"/>
        </w:rPr>
        <w:t xml:space="preserve"> </w:t>
      </w:r>
    </w:p>
    <w:p w14:paraId="54786C89" w14:textId="77777777" w:rsidR="00B2442D" w:rsidRDefault="008A645F">
      <w:pPr>
        <w:ind w:left="284" w:hanging="284"/>
        <w:jc w:val="both"/>
        <w:rPr>
          <w:rFonts w:ascii="Arial" w:hAnsi="Arial" w:cs="Arial"/>
        </w:rPr>
      </w:pPr>
      <w:r>
        <w:rPr>
          <w:rFonts w:ascii="Arial" w:hAnsi="Arial" w:cs="Arial"/>
        </w:rPr>
        <w:t>B. Los servici</w:t>
      </w:r>
      <w:r>
        <w:rPr>
          <w:rFonts w:ascii="Arial" w:hAnsi="Arial" w:cs="Arial"/>
        </w:rPr>
        <w:t>os prestados por la entidades autorizadas por el Ministerio de Salud y Protección Social para ejecutar las acciones colectivas e individuales del Plan de Atención Básica en Salud, a que se refiere el artículo 165 de la Ley 100 de 1993, definido por el Mini</w:t>
      </w:r>
      <w:r>
        <w:rPr>
          <w:rFonts w:ascii="Arial" w:hAnsi="Arial" w:cs="Arial"/>
        </w:rPr>
        <w:t xml:space="preserve">sterio de Salud y Protección Social en los términos de dicha ley, y en desarrollo de los contratos de prestación de servicios celebrados por la entidades estatales encargadas de la ejecución de dicho plan; </w:t>
      </w:r>
    </w:p>
    <w:p w14:paraId="2AE89C69" w14:textId="77777777" w:rsidR="00B2442D" w:rsidRDefault="00B2442D">
      <w:pPr>
        <w:ind w:left="284" w:hanging="284"/>
        <w:jc w:val="both"/>
        <w:rPr>
          <w:rFonts w:ascii="Arial" w:hAnsi="Arial" w:cs="Arial"/>
        </w:rPr>
      </w:pPr>
    </w:p>
    <w:p w14:paraId="38C53D6A" w14:textId="77777777" w:rsidR="00B2442D" w:rsidRDefault="008A645F">
      <w:pPr>
        <w:ind w:left="284" w:hanging="284"/>
        <w:jc w:val="both"/>
        <w:rPr>
          <w:rFonts w:ascii="Arial" w:hAnsi="Arial" w:cs="Arial"/>
        </w:rPr>
      </w:pPr>
      <w:r>
        <w:rPr>
          <w:rFonts w:ascii="Arial" w:hAnsi="Arial" w:cs="Arial"/>
        </w:rPr>
        <w:t>C. Los servicios prestados por las instituciones</w:t>
      </w:r>
      <w:r>
        <w:rPr>
          <w:rFonts w:ascii="Arial" w:hAnsi="Arial" w:cs="Arial"/>
        </w:rPr>
        <w:t xml:space="preserve"> prestadoras de salud y las empresas sociales del Estado a la población pobre y vulnerable, que temporalmente participa en el Sistema de Seguridad Social en Salud como población vinculada de conformidad con el artículo 157 de la Ley 100 de 1993; </w:t>
      </w:r>
    </w:p>
    <w:p w14:paraId="01D1DA1D" w14:textId="77777777" w:rsidR="00B2442D" w:rsidRDefault="00B2442D">
      <w:pPr>
        <w:ind w:left="284" w:hanging="284"/>
        <w:jc w:val="both"/>
        <w:rPr>
          <w:rFonts w:ascii="Arial" w:hAnsi="Arial" w:cs="Arial"/>
        </w:rPr>
      </w:pPr>
    </w:p>
    <w:p w14:paraId="6AA92C67" w14:textId="77777777" w:rsidR="00B2442D" w:rsidRDefault="008A645F">
      <w:pPr>
        <w:ind w:left="284" w:hanging="284"/>
        <w:jc w:val="both"/>
        <w:rPr>
          <w:rFonts w:ascii="Arial" w:hAnsi="Arial" w:cs="Arial"/>
        </w:rPr>
      </w:pPr>
      <w:r>
        <w:rPr>
          <w:rFonts w:ascii="Arial" w:hAnsi="Arial" w:cs="Arial"/>
        </w:rPr>
        <w:t xml:space="preserve">D. Los servicios prestados por las administradoras dentro del régimen de ahorro individual con solidaridad y de prima media con prestación definida; </w:t>
      </w:r>
    </w:p>
    <w:p w14:paraId="77194927" w14:textId="77777777" w:rsidR="00B2442D" w:rsidRDefault="00B2442D">
      <w:pPr>
        <w:ind w:left="284" w:hanging="284"/>
        <w:jc w:val="both"/>
        <w:rPr>
          <w:rFonts w:ascii="Arial" w:hAnsi="Arial" w:cs="Arial"/>
        </w:rPr>
      </w:pPr>
    </w:p>
    <w:p w14:paraId="201856EE" w14:textId="77777777" w:rsidR="00B2442D" w:rsidRDefault="008A645F">
      <w:pPr>
        <w:ind w:left="284" w:hanging="284"/>
        <w:jc w:val="both"/>
        <w:rPr>
          <w:rFonts w:ascii="Arial" w:hAnsi="Arial" w:cs="Arial"/>
        </w:rPr>
      </w:pPr>
      <w:r>
        <w:rPr>
          <w:rFonts w:ascii="Arial" w:hAnsi="Arial" w:cs="Arial"/>
        </w:rPr>
        <w:t>E. Los servicios prestados por las administradoras del régimen de riesgos profesionales que tengan por ob</w:t>
      </w:r>
      <w:r>
        <w:rPr>
          <w:rFonts w:ascii="Arial" w:hAnsi="Arial" w:cs="Arial"/>
        </w:rPr>
        <w:t xml:space="preserve">jeto directo cumplir las obligaciones que le corresponden de acuerdo con dicho régimen; </w:t>
      </w:r>
    </w:p>
    <w:p w14:paraId="60CBA261" w14:textId="77777777" w:rsidR="00B2442D" w:rsidRDefault="00B2442D">
      <w:pPr>
        <w:ind w:left="284" w:hanging="284"/>
        <w:jc w:val="both"/>
        <w:rPr>
          <w:rFonts w:ascii="Arial" w:hAnsi="Arial" w:cs="Arial"/>
        </w:rPr>
      </w:pPr>
    </w:p>
    <w:p w14:paraId="7F214CBC" w14:textId="77777777" w:rsidR="00B2442D" w:rsidRDefault="008A645F">
      <w:pPr>
        <w:ind w:left="284" w:hanging="284"/>
        <w:jc w:val="both"/>
        <w:rPr>
          <w:rFonts w:ascii="Arial" w:hAnsi="Arial" w:cs="Arial"/>
        </w:rPr>
      </w:pPr>
      <w:r>
        <w:rPr>
          <w:rFonts w:ascii="Arial" w:hAnsi="Arial" w:cs="Arial"/>
        </w:rPr>
        <w:t>F. Los servicios de seguros y reaseguros que prestan las compañías de seguros para invalidez y sobrevivientes contemplados dentro del régimen de ahorro individual con</w:t>
      </w:r>
      <w:r>
        <w:rPr>
          <w:rFonts w:ascii="Arial" w:hAnsi="Arial" w:cs="Arial"/>
        </w:rPr>
        <w:t xml:space="preserve"> solidaridad, riesgos profesionales y demás prestaciones del Sistema General de Seguridad Social; </w:t>
      </w:r>
    </w:p>
    <w:p w14:paraId="3B89BEE9" w14:textId="77777777" w:rsidR="00B2442D" w:rsidRDefault="00B2442D">
      <w:pPr>
        <w:ind w:left="284" w:hanging="284"/>
        <w:jc w:val="both"/>
        <w:rPr>
          <w:rFonts w:ascii="Arial" w:hAnsi="Arial" w:cs="Arial"/>
        </w:rPr>
      </w:pPr>
    </w:p>
    <w:p w14:paraId="2E6DB8CD" w14:textId="77777777" w:rsidR="00B2442D" w:rsidRDefault="008A645F">
      <w:pPr>
        <w:ind w:left="284" w:hanging="284"/>
        <w:jc w:val="both"/>
        <w:rPr>
          <w:rFonts w:ascii="Arial" w:hAnsi="Arial" w:cs="Arial"/>
        </w:rPr>
      </w:pPr>
      <w:r>
        <w:rPr>
          <w:rFonts w:ascii="Arial" w:hAnsi="Arial" w:cs="Arial"/>
        </w:rPr>
        <w:t>G. Los servicios prestados por entidades de salud para atender accidentes de tránsito y eventos catastróficos.</w:t>
      </w:r>
    </w:p>
    <w:p w14:paraId="4257673D" w14:textId="77777777" w:rsidR="00B2442D" w:rsidRDefault="00B2442D">
      <w:pPr>
        <w:jc w:val="both"/>
        <w:rPr>
          <w:rFonts w:ascii="Arial" w:hAnsi="Arial" w:cs="Arial"/>
        </w:rPr>
      </w:pPr>
    </w:p>
    <w:p w14:paraId="2E20760A" w14:textId="77777777" w:rsidR="00B2442D" w:rsidRDefault="008A645F">
      <w:pPr>
        <w:jc w:val="both"/>
        <w:rPr>
          <w:rFonts w:ascii="Arial" w:hAnsi="Arial" w:cs="Arial"/>
        </w:rPr>
      </w:pPr>
      <w:r>
        <w:rPr>
          <w:rFonts w:ascii="Arial" w:hAnsi="Arial" w:cs="Arial"/>
          <w:b/>
        </w:rPr>
        <w:t>Parágrafo.</w:t>
      </w:r>
      <w:r>
        <w:rPr>
          <w:rFonts w:ascii="Arial" w:hAnsi="Arial" w:cs="Arial"/>
        </w:rPr>
        <w:t xml:space="preserve"> Así mismo, de conformidad con lo previsto en el numeral 16 del artículo 476 del Estatuto Tributario, las comisiones de intermediación por la colocación y renovación de planes del Sistema de Seguridad Social en pensiones, salud y riesgos profesionales de c</w:t>
      </w:r>
      <w:r>
        <w:rPr>
          <w:rFonts w:ascii="Arial" w:hAnsi="Arial" w:cs="Arial"/>
        </w:rPr>
        <w:t>onformidad con lo previsto en la Ley 100 de 1993, están exceptuados del impuesto sobre las ventas.</w:t>
      </w:r>
    </w:p>
    <w:p w14:paraId="2E5D202C" w14:textId="77777777" w:rsidR="00B2442D" w:rsidRDefault="00B2442D">
      <w:pPr>
        <w:jc w:val="both"/>
        <w:rPr>
          <w:rFonts w:ascii="Arial" w:hAnsi="Arial" w:cs="Arial"/>
          <w:i/>
          <w:lang w:val="es-CO"/>
        </w:rPr>
      </w:pPr>
    </w:p>
    <w:p w14:paraId="45A7F6D9" w14:textId="77777777" w:rsidR="00B2442D" w:rsidRDefault="008A645F">
      <w:pPr>
        <w:jc w:val="both"/>
        <w:rPr>
          <w:rFonts w:ascii="Arial" w:hAnsi="Arial" w:cs="Arial"/>
          <w:i/>
          <w:lang w:val="es-CO"/>
        </w:rPr>
      </w:pPr>
      <w:r>
        <w:rPr>
          <w:rFonts w:ascii="Arial" w:hAnsi="Arial" w:cs="Arial"/>
          <w:i/>
          <w:lang w:val="es-CO"/>
        </w:rPr>
        <w:t>(Art. 1, Decreto 841 de 1998, modificado el inciso primero y el parágrafo por el art. 1 del Decreto 2577 de 1999)</w:t>
      </w:r>
      <w:r>
        <w:rPr>
          <w:rFonts w:ascii="Arial" w:hAnsi="Arial" w:cs="Arial"/>
        </w:rPr>
        <w:t xml:space="preserve"> </w:t>
      </w:r>
      <w:r>
        <w:rPr>
          <w:rFonts w:ascii="Arial" w:hAnsi="Arial" w:cs="Arial"/>
          <w:i/>
          <w:lang w:val="es-CO"/>
        </w:rPr>
        <w:t xml:space="preserve">(El Decreto 841 de 1998 rige a partir del </w:t>
      </w:r>
      <w:r>
        <w:rPr>
          <w:rFonts w:ascii="Arial" w:hAnsi="Arial" w:cs="Arial"/>
          <w:i/>
          <w:lang w:val="es-CO"/>
        </w:rPr>
        <w:t>primero de mayo y deroga el Decreto 163 de 1997, y las demás normas que le sean contrarias. Art. 24, Decreto 841 de 1998)</w:t>
      </w:r>
    </w:p>
    <w:p w14:paraId="57B5CBE1" w14:textId="77777777" w:rsidR="00B2442D" w:rsidRDefault="00B2442D">
      <w:pPr>
        <w:jc w:val="both"/>
        <w:rPr>
          <w:rFonts w:ascii="Arial" w:hAnsi="Arial" w:cs="Arial"/>
          <w:lang w:val="es-CO"/>
        </w:rPr>
      </w:pPr>
    </w:p>
    <w:p w14:paraId="745B69E6"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Servicios de administración de fondos del Estado del sistema de seguridad social.</w:t>
      </w:r>
      <w:r>
        <w:rPr>
          <w:rFonts w:ascii="Arial" w:hAnsi="Arial" w:cs="Arial"/>
          <w:i/>
          <w:lang w:val="es-CO"/>
        </w:rPr>
        <w:t xml:space="preserve"> </w:t>
      </w:r>
      <w:r>
        <w:rPr>
          <w:rFonts w:ascii="Arial" w:hAnsi="Arial" w:cs="Arial"/>
          <w:lang w:val="es-CO"/>
        </w:rPr>
        <w:t>Se exceptúan del impuesto sobre las ventas, los ser</w:t>
      </w:r>
      <w:r>
        <w:rPr>
          <w:rFonts w:ascii="Arial" w:hAnsi="Arial" w:cs="Arial"/>
          <w:lang w:val="es-CO"/>
        </w:rPr>
        <w:t>vicios de administración prestados al Fondo de Solidaridad y Garantía, al Fondo de Solidaridad Pensional, al Fondo de Pensiones Públicas del nivel nacional, a los Fondos de Pensiones del nivel territorial y al Fondo de Riesgos Profesionales.</w:t>
      </w:r>
    </w:p>
    <w:p w14:paraId="71FAA3B9" w14:textId="77777777" w:rsidR="00B2442D" w:rsidRDefault="00B2442D">
      <w:pPr>
        <w:jc w:val="both"/>
        <w:rPr>
          <w:rFonts w:ascii="Arial" w:hAnsi="Arial" w:cs="Arial"/>
          <w:i/>
          <w:lang w:val="es-CO"/>
        </w:rPr>
      </w:pPr>
    </w:p>
    <w:p w14:paraId="3767E41F" w14:textId="77777777" w:rsidR="00B2442D" w:rsidRDefault="008A645F">
      <w:pPr>
        <w:jc w:val="both"/>
        <w:rPr>
          <w:rFonts w:ascii="Arial" w:hAnsi="Arial" w:cs="Arial"/>
          <w:i/>
          <w:lang w:val="es-CO"/>
        </w:rPr>
      </w:pPr>
      <w:r>
        <w:rPr>
          <w:rFonts w:ascii="Arial" w:hAnsi="Arial" w:cs="Arial"/>
          <w:i/>
          <w:lang w:val="es-CO"/>
        </w:rPr>
        <w:t>(Art. 2, Decr</w:t>
      </w:r>
      <w:r>
        <w:rPr>
          <w:rFonts w:ascii="Arial" w:hAnsi="Arial" w:cs="Arial"/>
          <w:i/>
          <w:lang w:val="es-CO"/>
        </w:rPr>
        <w:t>eto 841 de 1998)</w:t>
      </w:r>
      <w:r>
        <w:rPr>
          <w:rFonts w:ascii="Arial" w:hAnsi="Arial" w:cs="Arial"/>
        </w:rPr>
        <w:t xml:space="preserve"> </w:t>
      </w:r>
      <w:r>
        <w:rPr>
          <w:rFonts w:ascii="Arial" w:hAnsi="Arial" w:cs="Arial"/>
          <w:i/>
          <w:lang w:val="es-CO"/>
        </w:rPr>
        <w:t>(El Decreto 841 de 1998 rige a partir del primero de mayo y deroga el Decreto 163 de 1997, y las demás normas que le sean contrarias. Art. 24, Decreto 841 de 1998)</w:t>
      </w:r>
    </w:p>
    <w:p w14:paraId="27A7531A" w14:textId="77777777" w:rsidR="00B2442D" w:rsidRDefault="00B2442D">
      <w:pPr>
        <w:jc w:val="both"/>
        <w:rPr>
          <w:rFonts w:ascii="Arial" w:hAnsi="Arial" w:cs="Arial"/>
          <w:lang w:val="es-CO"/>
        </w:rPr>
      </w:pPr>
    </w:p>
    <w:p w14:paraId="592BDE1E"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Seguros contratados por el Fondo de Solidaridad y Garantía.</w:t>
      </w:r>
      <w:r>
        <w:rPr>
          <w:rFonts w:ascii="Arial" w:hAnsi="Arial" w:cs="Arial"/>
          <w:i/>
          <w:lang w:val="es-CO"/>
        </w:rPr>
        <w:t xml:space="preserve"> </w:t>
      </w:r>
      <w:r>
        <w:rPr>
          <w:rFonts w:ascii="Arial" w:hAnsi="Arial" w:cs="Arial"/>
          <w:lang w:val="es-CO"/>
        </w:rPr>
        <w:t>No están grava</w:t>
      </w:r>
      <w:r>
        <w:rPr>
          <w:rFonts w:ascii="Arial" w:hAnsi="Arial" w:cs="Arial"/>
          <w:lang w:val="es-CO"/>
        </w:rPr>
        <w:t xml:space="preserve">dos con el impuesto sobre las ventas los seguros tomados en el país o en el exterior por el Fondo de Solidaridad y Garantía del Sistema de Seguridad Social en Salud creado mediante la Ley 100 de 1993, para el cubrimiento de los riesgos catastróficos, y en </w:t>
      </w:r>
      <w:r>
        <w:rPr>
          <w:rFonts w:ascii="Arial" w:hAnsi="Arial" w:cs="Arial"/>
          <w:lang w:val="es-CO"/>
        </w:rPr>
        <w:t>general, todos aquellos seguros para los cuales se encuentre legalmente autorizado.</w:t>
      </w:r>
    </w:p>
    <w:p w14:paraId="02F4FE4B" w14:textId="77777777" w:rsidR="00B2442D" w:rsidRDefault="00B2442D">
      <w:pPr>
        <w:jc w:val="both"/>
        <w:rPr>
          <w:rFonts w:ascii="Arial" w:hAnsi="Arial" w:cs="Arial"/>
          <w:i/>
          <w:lang w:val="es-CO"/>
        </w:rPr>
      </w:pPr>
    </w:p>
    <w:p w14:paraId="0BCC2B1D" w14:textId="77777777" w:rsidR="00B2442D" w:rsidRDefault="008A645F">
      <w:pPr>
        <w:jc w:val="both"/>
        <w:rPr>
          <w:rFonts w:ascii="Arial" w:hAnsi="Arial" w:cs="Arial"/>
          <w:i/>
          <w:lang w:val="es-CO"/>
        </w:rPr>
      </w:pPr>
      <w:r>
        <w:rPr>
          <w:rFonts w:ascii="Arial" w:hAnsi="Arial" w:cs="Arial"/>
          <w:i/>
          <w:lang w:val="es-CO"/>
        </w:rPr>
        <w:t>(Art. 3, Decreto 841 de 1998)</w:t>
      </w:r>
      <w:r>
        <w:rPr>
          <w:rFonts w:ascii="Arial" w:hAnsi="Arial" w:cs="Arial"/>
        </w:rPr>
        <w:t xml:space="preserve"> </w:t>
      </w:r>
      <w:r>
        <w:rPr>
          <w:rFonts w:ascii="Arial" w:hAnsi="Arial" w:cs="Arial"/>
          <w:i/>
          <w:lang w:val="es-CO"/>
        </w:rPr>
        <w:t>(El Decreto 841 de 1998 rige a partir del primero de mayo y deroga el Decreto 163 de 1997, y las demás normas que le sean contrarias. Art. 24</w:t>
      </w:r>
      <w:r>
        <w:rPr>
          <w:rFonts w:ascii="Arial" w:hAnsi="Arial" w:cs="Arial"/>
          <w:i/>
          <w:lang w:val="es-CO"/>
        </w:rPr>
        <w:t>, Decreto 841 de 1998)</w:t>
      </w:r>
    </w:p>
    <w:p w14:paraId="329E9CEE" w14:textId="77777777" w:rsidR="00B2442D" w:rsidRDefault="00B2442D">
      <w:pPr>
        <w:jc w:val="both"/>
        <w:rPr>
          <w:rFonts w:ascii="Arial" w:hAnsi="Arial" w:cs="Arial"/>
          <w:lang w:val="es-CO"/>
        </w:rPr>
      </w:pPr>
    </w:p>
    <w:p w14:paraId="09F71312" w14:textId="77777777" w:rsidR="00B2442D" w:rsidRDefault="008A645F">
      <w:pPr>
        <w:pStyle w:val="Prrafodelista"/>
        <w:numPr>
          <w:ilvl w:val="0"/>
          <w:numId w:val="72"/>
        </w:numPr>
        <w:ind w:left="0" w:firstLine="0"/>
        <w:jc w:val="both"/>
        <w:rPr>
          <w:rFonts w:ascii="Arial" w:hAnsi="Arial" w:cs="Arial"/>
          <w:lang w:val="es-CO"/>
        </w:rPr>
      </w:pPr>
      <w:r>
        <w:rPr>
          <w:rFonts w:ascii="Arial" w:hAnsi="Arial" w:cs="Arial"/>
          <w:b/>
          <w:i/>
          <w:lang w:val="es-CO"/>
        </w:rPr>
        <w:t xml:space="preserve">Servicio de transporte aéreo excluido del IVA. </w:t>
      </w:r>
      <w:r>
        <w:rPr>
          <w:rFonts w:ascii="Arial" w:hAnsi="Arial" w:cs="Arial"/>
          <w:lang w:val="es-CO"/>
        </w:rPr>
        <w:t xml:space="preserve">Para efectos de lo dispuesto en el numeral 20 del artículo 476 del Estatuto Tributario, no causan el impuesto sobre las ventas los tiquetes de transporte aéreo nacional de personas con </w:t>
      </w:r>
      <w:r>
        <w:rPr>
          <w:rFonts w:ascii="Arial" w:hAnsi="Arial" w:cs="Arial"/>
          <w:lang w:val="es-CO"/>
        </w:rPr>
        <w:t xml:space="preserve">destino o procedencia de los siguientes territorios y sitios: Departamento Archipiélago de San Andrés, Providencia y Santa Catalina; La Pedrera, Leticia y Tarapacá en el Departamento de Amazonas; Acandí, Capurganá, Nuquí, Bahía Solano, Bajo Baudó y Juradó </w:t>
      </w:r>
      <w:r>
        <w:rPr>
          <w:rFonts w:ascii="Arial" w:hAnsi="Arial" w:cs="Arial"/>
          <w:lang w:val="es-CO"/>
        </w:rPr>
        <w:t xml:space="preserve">en el Departamento del Chocó; Guapi y Timbiqui en el Departamento del Cauca; Araracuara y Solano en el Departamento de Caquetá; Guaviare - Barranco Minas e Inírida en el Departamento de Guainía; Carurú, Mitú, Pacoa y Taraira en el Departamento del Vaupés; </w:t>
      </w:r>
      <w:r>
        <w:rPr>
          <w:rFonts w:ascii="Arial" w:hAnsi="Arial" w:cs="Arial"/>
          <w:lang w:val="es-CO"/>
        </w:rPr>
        <w:t>Ciénaga de Oro en el Departamento de Córdoba; El Charco en el Departamento de Nariño; Ituango, Murindó y Vigía del Fuerte en el Departamento de Antioquía; La Gaviota y Santa Rosalía, Puerto Carreño, la Primavera y Cumaribo en el Departamento de Vichada; Mi</w:t>
      </w:r>
      <w:r>
        <w:rPr>
          <w:rFonts w:ascii="Arial" w:hAnsi="Arial" w:cs="Arial"/>
          <w:lang w:val="es-CO"/>
        </w:rPr>
        <w:t>raflores y Morichal en el Departamento de Guaviare; Uribia en el Departamento de Guajira; Macarena en el Departamento del Meta; Puerto Leguízamo en el Departamento de Putumayo.</w:t>
      </w:r>
    </w:p>
    <w:p w14:paraId="66A3621B" w14:textId="77777777" w:rsidR="00B2442D" w:rsidRDefault="00B2442D">
      <w:pPr>
        <w:jc w:val="both"/>
        <w:rPr>
          <w:rFonts w:ascii="Arial" w:hAnsi="Arial" w:cs="Arial"/>
          <w:lang w:val="es-CO"/>
        </w:rPr>
      </w:pPr>
    </w:p>
    <w:p w14:paraId="24F78FB9" w14:textId="77777777" w:rsidR="00B2442D" w:rsidRDefault="008A645F">
      <w:pPr>
        <w:jc w:val="both"/>
        <w:rPr>
          <w:rFonts w:ascii="Arial" w:hAnsi="Arial" w:cs="Arial"/>
          <w:lang w:val="es-CO"/>
        </w:rPr>
      </w:pPr>
      <w:r>
        <w:rPr>
          <w:rFonts w:ascii="Arial" w:hAnsi="Arial" w:cs="Arial"/>
          <w:lang w:val="es-CO"/>
        </w:rPr>
        <w:t>Lo dispuesto en este artículo se aplicará mientras no exista transporte terres</w:t>
      </w:r>
      <w:r>
        <w:rPr>
          <w:rFonts w:ascii="Arial" w:hAnsi="Arial" w:cs="Arial"/>
          <w:lang w:val="es-CO"/>
        </w:rPr>
        <w:t>tre organizado hacia estos territorios y sitios</w:t>
      </w:r>
    </w:p>
    <w:p w14:paraId="48516933" w14:textId="77777777" w:rsidR="00B2442D" w:rsidRDefault="00B2442D">
      <w:pPr>
        <w:jc w:val="both"/>
        <w:rPr>
          <w:rFonts w:ascii="Arial" w:hAnsi="Arial" w:cs="Arial"/>
          <w:lang w:val="es-CO"/>
        </w:rPr>
      </w:pPr>
    </w:p>
    <w:p w14:paraId="763D9DD2" w14:textId="77777777" w:rsidR="00B2442D" w:rsidRDefault="008A645F">
      <w:pPr>
        <w:jc w:val="both"/>
        <w:rPr>
          <w:rFonts w:ascii="Arial" w:hAnsi="Arial" w:cs="Arial"/>
          <w:i/>
          <w:lang w:val="es-CO"/>
        </w:rPr>
      </w:pPr>
      <w:r>
        <w:rPr>
          <w:rFonts w:ascii="Arial" w:hAnsi="Arial" w:cs="Arial"/>
          <w:i/>
          <w:lang w:val="es-CO"/>
        </w:rPr>
        <w:t>(Art. 8, Decreto 953 de 2003, modificado por el art. 1 del Decreto 3228 de 2003)</w:t>
      </w:r>
      <w:r>
        <w:rPr>
          <w:rFonts w:ascii="Arial" w:hAnsi="Arial" w:cs="Arial"/>
        </w:rPr>
        <w:t xml:space="preserve"> (</w:t>
      </w:r>
      <w:r>
        <w:rPr>
          <w:rFonts w:ascii="Arial" w:hAnsi="Arial" w:cs="Arial"/>
          <w:i/>
          <w:lang w:val="es-CO"/>
        </w:rPr>
        <w:t xml:space="preserve">El Decreto 953 de 2003 rige a partir de la fecha de su publicación y deroga las normas que le sean contrarias, en </w:t>
      </w:r>
      <w:r>
        <w:rPr>
          <w:rFonts w:ascii="Arial" w:hAnsi="Arial" w:cs="Arial"/>
          <w:i/>
          <w:lang w:val="es-CO"/>
        </w:rPr>
        <w:t>especial el artículo 19 del Decreto 433 de 1999. Art. 9, Decreto 953 de 2003)</w:t>
      </w:r>
    </w:p>
    <w:p w14:paraId="34DC6864" w14:textId="77777777" w:rsidR="00B2442D" w:rsidRDefault="00B2442D">
      <w:pPr>
        <w:jc w:val="center"/>
        <w:rPr>
          <w:rFonts w:ascii="Arial" w:hAnsi="Arial" w:cs="Arial"/>
          <w:b/>
          <w:lang w:val="es-CO"/>
        </w:rPr>
      </w:pPr>
    </w:p>
    <w:p w14:paraId="069D9BC6" w14:textId="77777777" w:rsidR="00B2442D" w:rsidRDefault="008A645F">
      <w:pPr>
        <w:pStyle w:val="Ttulo4"/>
        <w:rPr>
          <w:lang w:val="es-CO"/>
        </w:rPr>
      </w:pPr>
      <w:r>
        <w:rPr>
          <w:lang w:val="es-CO"/>
        </w:rPr>
        <w:t>CAPÍTULO 14</w:t>
      </w:r>
    </w:p>
    <w:p w14:paraId="676DAD6E" w14:textId="77777777" w:rsidR="00B2442D" w:rsidRDefault="008A645F">
      <w:pPr>
        <w:pStyle w:val="Ttulo4"/>
        <w:rPr>
          <w:lang w:val="es-CO"/>
        </w:rPr>
      </w:pPr>
      <w:r>
        <w:rPr>
          <w:lang w:val="es-CO"/>
        </w:rPr>
        <w:t>Importaciones que no causan el impuesto sobre las ventas – IVA</w:t>
      </w:r>
    </w:p>
    <w:p w14:paraId="75A33F22" w14:textId="77777777" w:rsidR="00B2442D" w:rsidRDefault="00B2442D">
      <w:pPr>
        <w:rPr>
          <w:rFonts w:ascii="Arial" w:hAnsi="Arial" w:cs="Arial"/>
          <w:lang w:val="es-CO"/>
        </w:rPr>
      </w:pPr>
    </w:p>
    <w:p w14:paraId="12B9E3F4"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Industrias básicas.</w:t>
      </w:r>
      <w:r>
        <w:rPr>
          <w:rFonts w:ascii="Arial" w:hAnsi="Arial" w:cs="Arial"/>
          <w:lang w:val="es-CO"/>
        </w:rPr>
        <w:t xml:space="preserve"> Para efectos del artículo 17 del Decreto 2368 de 1974 (hoy literal e) del artícu</w:t>
      </w:r>
      <w:r>
        <w:rPr>
          <w:rFonts w:ascii="Arial" w:hAnsi="Arial" w:cs="Arial"/>
          <w:lang w:val="es-CO"/>
        </w:rPr>
        <w:t>lo 428 del Estatuto Tributario) y el parágrafo 2o. del artículo 2o. del Decreto 2810 de 1974 (hoy literal e) del artículo 428 del Estatuto Tributario) se consideran industrias básicas:</w:t>
      </w:r>
    </w:p>
    <w:p w14:paraId="006AD100" w14:textId="77777777" w:rsidR="00B2442D" w:rsidRDefault="00B2442D">
      <w:pPr>
        <w:jc w:val="both"/>
        <w:rPr>
          <w:rFonts w:ascii="Arial" w:hAnsi="Arial" w:cs="Arial"/>
          <w:lang w:val="es-CO"/>
        </w:rPr>
      </w:pPr>
    </w:p>
    <w:p w14:paraId="1CE099CF" w14:textId="77777777" w:rsidR="00B2442D" w:rsidRDefault="008A645F">
      <w:pPr>
        <w:ind w:left="284" w:hanging="284"/>
        <w:jc w:val="both"/>
        <w:rPr>
          <w:rFonts w:ascii="Arial" w:hAnsi="Arial" w:cs="Arial"/>
          <w:lang w:val="es-CO"/>
        </w:rPr>
      </w:pPr>
      <w:r>
        <w:rPr>
          <w:rFonts w:ascii="Arial" w:hAnsi="Arial" w:cs="Arial"/>
          <w:lang w:val="es-CO"/>
        </w:rPr>
        <w:t>1. En minería y metalurgia extractiva.</w:t>
      </w:r>
    </w:p>
    <w:p w14:paraId="6F796580" w14:textId="77777777" w:rsidR="00B2442D" w:rsidRDefault="00B2442D">
      <w:pPr>
        <w:ind w:left="284" w:hanging="284"/>
        <w:jc w:val="both"/>
        <w:rPr>
          <w:rFonts w:ascii="Arial" w:hAnsi="Arial" w:cs="Arial"/>
          <w:lang w:val="es-CO"/>
        </w:rPr>
      </w:pPr>
    </w:p>
    <w:p w14:paraId="1F37D9E6" w14:textId="77777777" w:rsidR="00B2442D" w:rsidRDefault="008A645F">
      <w:pPr>
        <w:ind w:left="284" w:hanging="284"/>
        <w:jc w:val="both"/>
        <w:rPr>
          <w:rFonts w:ascii="Arial" w:hAnsi="Arial" w:cs="Arial"/>
          <w:lang w:val="es-CO"/>
        </w:rPr>
      </w:pPr>
      <w:r>
        <w:rPr>
          <w:rFonts w:ascii="Arial" w:hAnsi="Arial" w:cs="Arial"/>
          <w:lang w:val="es-CO"/>
        </w:rPr>
        <w:t>2. En la exploración, explotac</w:t>
      </w:r>
      <w:r>
        <w:rPr>
          <w:rFonts w:ascii="Arial" w:hAnsi="Arial" w:cs="Arial"/>
          <w:lang w:val="es-CO"/>
        </w:rPr>
        <w:t>ión y producción de hidrocarburos: La industria de exploración, extracción y refinación básica en el petróleo, gas e hidrocarburos (hasta la obtención de combustibles de las posiciones 27.09 a 27.11 inclusive del Arancel y de los hidrocarburos de la posici</w:t>
      </w:r>
      <w:r>
        <w:rPr>
          <w:rFonts w:ascii="Arial" w:hAnsi="Arial" w:cs="Arial"/>
          <w:lang w:val="es-CO"/>
        </w:rPr>
        <w:t>ón 29.01 del Arancel).</w:t>
      </w:r>
    </w:p>
    <w:p w14:paraId="3CAF0820" w14:textId="77777777" w:rsidR="00B2442D" w:rsidRDefault="00B2442D">
      <w:pPr>
        <w:ind w:left="284" w:hanging="284"/>
        <w:jc w:val="both"/>
        <w:rPr>
          <w:rFonts w:ascii="Arial" w:hAnsi="Arial" w:cs="Arial"/>
          <w:lang w:val="es-CO"/>
        </w:rPr>
      </w:pPr>
    </w:p>
    <w:p w14:paraId="21D7769D" w14:textId="77777777" w:rsidR="00B2442D" w:rsidRDefault="008A645F">
      <w:pPr>
        <w:ind w:left="284" w:hanging="284"/>
        <w:jc w:val="both"/>
        <w:rPr>
          <w:rFonts w:ascii="Arial" w:hAnsi="Arial" w:cs="Arial"/>
          <w:lang w:val="es-CO"/>
        </w:rPr>
      </w:pPr>
      <w:r>
        <w:rPr>
          <w:rFonts w:ascii="Arial" w:hAnsi="Arial" w:cs="Arial"/>
          <w:lang w:val="es-CO"/>
        </w:rPr>
        <w:t>3. En la química pesada: La extracción de elementos básicos para la industria química (señalados en el Subcapítulo I del Capítulo 28 del Arancel) y los procesos de producción de ácidos y bases (cuyos productos se definen en el Subca</w:t>
      </w:r>
      <w:r>
        <w:rPr>
          <w:rFonts w:ascii="Arial" w:hAnsi="Arial" w:cs="Arial"/>
          <w:lang w:val="es-CO"/>
        </w:rPr>
        <w:t>pítulo II y el Subcapítulo IV del Capítulo 28 del Arancel).</w:t>
      </w:r>
    </w:p>
    <w:p w14:paraId="61EE2758" w14:textId="77777777" w:rsidR="00B2442D" w:rsidRDefault="00B2442D">
      <w:pPr>
        <w:ind w:left="284" w:hanging="284"/>
        <w:jc w:val="both"/>
        <w:rPr>
          <w:rFonts w:ascii="Arial" w:hAnsi="Arial" w:cs="Arial"/>
          <w:lang w:val="es-CO"/>
        </w:rPr>
      </w:pPr>
    </w:p>
    <w:p w14:paraId="086851A9" w14:textId="77777777" w:rsidR="00B2442D" w:rsidRDefault="008A645F">
      <w:pPr>
        <w:ind w:left="284" w:hanging="284"/>
        <w:jc w:val="both"/>
        <w:rPr>
          <w:rFonts w:ascii="Arial" w:hAnsi="Arial" w:cs="Arial"/>
          <w:lang w:val="es-CO"/>
        </w:rPr>
      </w:pPr>
      <w:r>
        <w:rPr>
          <w:rFonts w:ascii="Arial" w:hAnsi="Arial" w:cs="Arial"/>
          <w:lang w:val="es-CO"/>
        </w:rPr>
        <w:t>4. En siderurgia: La producción de arrabio por la reducción de los minerales de hierro, la producción de hierro o acero con base en el aprovechamiento de arrabio, chatarra, prerreducidos y hierro</w:t>
      </w:r>
      <w:r>
        <w:rPr>
          <w:rFonts w:ascii="Arial" w:hAnsi="Arial" w:cs="Arial"/>
          <w:lang w:val="es-CO"/>
        </w:rPr>
        <w:t xml:space="preserve"> esponja y la producción de los artículos comprendidos en las posiciones 73.01 a 73.21 inclusive del Arancel.</w:t>
      </w:r>
    </w:p>
    <w:p w14:paraId="25116915" w14:textId="77777777" w:rsidR="00B2442D" w:rsidRDefault="00B2442D">
      <w:pPr>
        <w:ind w:left="284" w:hanging="284"/>
        <w:jc w:val="both"/>
        <w:rPr>
          <w:rFonts w:ascii="Arial" w:hAnsi="Arial" w:cs="Arial"/>
          <w:lang w:val="es-CO"/>
        </w:rPr>
      </w:pPr>
    </w:p>
    <w:p w14:paraId="27F9164F" w14:textId="77777777" w:rsidR="00B2442D" w:rsidRDefault="008A645F">
      <w:pPr>
        <w:ind w:left="284" w:hanging="284"/>
        <w:jc w:val="both"/>
        <w:rPr>
          <w:rFonts w:ascii="Arial" w:hAnsi="Arial" w:cs="Arial"/>
          <w:lang w:val="es-CO"/>
        </w:rPr>
      </w:pPr>
      <w:r>
        <w:rPr>
          <w:rFonts w:ascii="Arial" w:hAnsi="Arial" w:cs="Arial"/>
          <w:lang w:val="es-CO"/>
        </w:rPr>
        <w:t>5. En generación y transmisión de energía eléctrica: Las empresas de servicio público cuyo fin social consiste en la generación, transmisión o su</w:t>
      </w:r>
      <w:r>
        <w:rPr>
          <w:rFonts w:ascii="Arial" w:hAnsi="Arial" w:cs="Arial"/>
          <w:lang w:val="es-CO"/>
        </w:rPr>
        <w:t>btransmisión de energía eléctrica como servicio público.</w:t>
      </w:r>
    </w:p>
    <w:p w14:paraId="19D999B6" w14:textId="77777777" w:rsidR="00B2442D" w:rsidRDefault="00B2442D">
      <w:pPr>
        <w:jc w:val="both"/>
        <w:rPr>
          <w:rFonts w:ascii="Arial" w:hAnsi="Arial" w:cs="Arial"/>
          <w:i/>
          <w:lang w:val="es-CO"/>
        </w:rPr>
      </w:pPr>
    </w:p>
    <w:p w14:paraId="4BEA99C2" w14:textId="77777777" w:rsidR="00B2442D" w:rsidRDefault="008A645F">
      <w:pPr>
        <w:jc w:val="both"/>
        <w:rPr>
          <w:rFonts w:ascii="Arial" w:hAnsi="Arial" w:cs="Arial"/>
          <w:lang w:val="es-CO"/>
        </w:rPr>
      </w:pPr>
      <w:r>
        <w:rPr>
          <w:rFonts w:ascii="Arial" w:hAnsi="Arial" w:cs="Arial"/>
          <w:i/>
          <w:lang w:val="es-CO"/>
        </w:rPr>
        <w:t>(Art. 1, Decreto 584 de 1975)</w:t>
      </w:r>
    </w:p>
    <w:p w14:paraId="02197BA0" w14:textId="77777777" w:rsidR="00B2442D" w:rsidRDefault="00B2442D">
      <w:pPr>
        <w:jc w:val="both"/>
        <w:rPr>
          <w:rFonts w:ascii="Arial" w:hAnsi="Arial" w:cs="Arial"/>
          <w:lang w:val="es-CO"/>
        </w:rPr>
      </w:pPr>
    </w:p>
    <w:p w14:paraId="26A85BEE"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Definición de industria básica de minería y metalurgia extractiva.</w:t>
      </w:r>
      <w:r>
        <w:rPr>
          <w:rFonts w:ascii="Arial" w:hAnsi="Arial" w:cs="Arial"/>
          <w:i/>
          <w:lang w:val="es-CO"/>
        </w:rPr>
        <w:t xml:space="preserve"> </w:t>
      </w:r>
      <w:r>
        <w:rPr>
          <w:rFonts w:ascii="Arial" w:hAnsi="Arial" w:cs="Arial"/>
          <w:lang w:val="es-CO"/>
        </w:rPr>
        <w:t>Para efectos del artículo 17 del Decreto 2368 de 1974 (hoy literal e) del artículo 428 del Estatuto Tributario), y del artículo 1 del Decreto 584 de 1975, se considera industria básica de minería y metalurgia extractiva: la exploración, explotación, prepar</w:t>
      </w:r>
      <w:r>
        <w:rPr>
          <w:rFonts w:ascii="Arial" w:hAnsi="Arial" w:cs="Arial"/>
          <w:lang w:val="es-CO"/>
        </w:rPr>
        <w:t>ación, beneficio y refinación de minerales no metálicos (sal, azufre, arcilla, feldespatos, magnesita, carbón, etc.), incluyendo la producción de coque y clinker. La exploración, explotación, preparación, beneficio de minerales metálicos (cobre, níquel, pl</w:t>
      </w:r>
      <w:r>
        <w:rPr>
          <w:rFonts w:ascii="Arial" w:hAnsi="Arial" w:cs="Arial"/>
          <w:lang w:val="es-CO"/>
        </w:rPr>
        <w:t xml:space="preserve">omo, hierro, zinc, oro, plata, platino, etc. y la obtención, purificación y refinación de los respectivos metales. La exploración, explotación, obtención, purificación y conducción de óxido de hidrógeno. </w:t>
      </w:r>
    </w:p>
    <w:p w14:paraId="23DB72C9" w14:textId="77777777" w:rsidR="00B2442D" w:rsidRDefault="00B2442D">
      <w:pPr>
        <w:jc w:val="both"/>
        <w:rPr>
          <w:rFonts w:ascii="Arial" w:hAnsi="Arial" w:cs="Arial"/>
          <w:lang w:val="es-CO"/>
        </w:rPr>
      </w:pPr>
    </w:p>
    <w:p w14:paraId="34CF51C7" w14:textId="77777777" w:rsidR="00B2442D" w:rsidRDefault="008A645F">
      <w:pPr>
        <w:jc w:val="both"/>
        <w:rPr>
          <w:rFonts w:ascii="Arial" w:hAnsi="Arial" w:cs="Arial"/>
          <w:lang w:val="es-CO"/>
        </w:rPr>
      </w:pPr>
      <w:r>
        <w:rPr>
          <w:rFonts w:ascii="Arial" w:hAnsi="Arial" w:cs="Arial"/>
          <w:i/>
          <w:lang w:val="es-CO"/>
        </w:rPr>
        <w:t>(Art. 4 del Decreto 1494 de 1978)</w:t>
      </w:r>
    </w:p>
    <w:p w14:paraId="10810115" w14:textId="77777777" w:rsidR="00B2442D" w:rsidRDefault="00B2442D">
      <w:pPr>
        <w:jc w:val="both"/>
        <w:rPr>
          <w:rFonts w:ascii="Arial" w:hAnsi="Arial" w:cs="Arial"/>
          <w:lang w:val="es-CO"/>
        </w:rPr>
      </w:pPr>
    </w:p>
    <w:p w14:paraId="4013488A"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Requisitos par</w:t>
      </w:r>
      <w:r>
        <w:rPr>
          <w:rFonts w:ascii="Arial" w:hAnsi="Arial" w:cs="Arial"/>
          <w:b/>
          <w:i/>
          <w:lang w:val="es-CO"/>
        </w:rPr>
        <w:t>a solicitar la exclusión de Impuesto sobre las Ventas.</w:t>
      </w:r>
      <w:r>
        <w:rPr>
          <w:rFonts w:ascii="Arial" w:hAnsi="Arial" w:cs="Arial"/>
          <w:lang w:val="es-CO"/>
        </w:rPr>
        <w:t xml:space="preserve"> El Ministerio de Ambiente y Desarrollo Sostenible mediante resolución establecerá la forma y requisitos como han de presentarse a su consideración, las solicitudes de calificación de que tratan el artí</w:t>
      </w:r>
      <w:r>
        <w:rPr>
          <w:rFonts w:ascii="Arial" w:hAnsi="Arial" w:cs="Arial"/>
          <w:lang w:val="es-CO"/>
        </w:rPr>
        <w:t>culo 428 literal f) del Estatuto Tributario, con miras a obtener la exclusión de Impuesto sobre las ventas correspondiente.</w:t>
      </w:r>
    </w:p>
    <w:p w14:paraId="3ED29BAB" w14:textId="77777777" w:rsidR="00B2442D" w:rsidRDefault="00B2442D">
      <w:pPr>
        <w:jc w:val="both"/>
        <w:rPr>
          <w:rFonts w:ascii="Arial" w:hAnsi="Arial" w:cs="Arial"/>
          <w:i/>
          <w:lang w:val="es-CO"/>
        </w:rPr>
      </w:pPr>
    </w:p>
    <w:p w14:paraId="30AAB82D" w14:textId="77777777" w:rsidR="00B2442D" w:rsidRDefault="008A645F">
      <w:pPr>
        <w:jc w:val="both"/>
        <w:rPr>
          <w:rFonts w:ascii="Arial" w:hAnsi="Arial" w:cs="Arial"/>
          <w:i/>
          <w:lang w:val="es-CO"/>
        </w:rPr>
      </w:pPr>
      <w:r>
        <w:rPr>
          <w:rFonts w:ascii="Arial" w:hAnsi="Arial" w:cs="Arial"/>
          <w:i/>
          <w:lang w:val="es-CO"/>
        </w:rPr>
        <w:t xml:space="preserve">(Art. 1, Decreto 2532 de 2001, eliminada la referencia al artículo 424-5 numeral 4, derogatoria expresa del mismo, por el </w:t>
      </w:r>
      <w:r>
        <w:rPr>
          <w:rFonts w:ascii="Arial" w:hAnsi="Arial" w:cs="Arial"/>
          <w:i/>
          <w:lang w:val="es-CO"/>
        </w:rPr>
        <w:t>artículo 198 de la Ley 1607 de 2012)</w:t>
      </w:r>
    </w:p>
    <w:p w14:paraId="20687403" w14:textId="77777777" w:rsidR="00B2442D" w:rsidRDefault="00B2442D">
      <w:pPr>
        <w:jc w:val="both"/>
        <w:rPr>
          <w:rFonts w:ascii="Arial" w:hAnsi="Arial" w:cs="Arial"/>
          <w:lang w:val="es-CO"/>
        </w:rPr>
      </w:pPr>
    </w:p>
    <w:p w14:paraId="62374C83"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Definición de sistema de control ambiental, sistema de monitoreo ambiental y programa ambiental.</w:t>
      </w:r>
      <w:r>
        <w:rPr>
          <w:rFonts w:ascii="Arial" w:hAnsi="Arial" w:cs="Arial"/>
          <w:lang w:val="es-CO"/>
        </w:rPr>
        <w:t xml:space="preserve"> Para efectos de lo dispuesto en el artículo 428 literal f) del Estatuto Tributario, se adoptan las siguientes definicion</w:t>
      </w:r>
      <w:r>
        <w:rPr>
          <w:rFonts w:ascii="Arial" w:hAnsi="Arial" w:cs="Arial"/>
          <w:lang w:val="es-CO"/>
        </w:rPr>
        <w:t>es:</w:t>
      </w:r>
    </w:p>
    <w:p w14:paraId="7E7F2AFB" w14:textId="77777777" w:rsidR="00B2442D" w:rsidRDefault="00B2442D">
      <w:pPr>
        <w:jc w:val="both"/>
        <w:rPr>
          <w:rFonts w:ascii="Arial" w:hAnsi="Arial" w:cs="Arial"/>
          <w:lang w:val="es-CO"/>
        </w:rPr>
      </w:pPr>
    </w:p>
    <w:p w14:paraId="6FA0E6E0"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Sistema de control ambiental. Es el conjunto ordenado de equipos, elementos, o maquinaria nacionales o importados, según sea el caso, que se utilizan para el desarrollo de acciones destinadas al logro de resultados medibles y verificables de dismin</w:t>
      </w:r>
      <w:r>
        <w:rPr>
          <w:rFonts w:ascii="Arial" w:hAnsi="Arial" w:cs="Arial"/>
          <w:lang w:val="es-CO"/>
        </w:rPr>
        <w:t>ución de la demanda de recursos naturales renovables, o de prevención y/o reducción del volumen y/o mejoramiento de la calidad de residuos líquidos, emisiones atmosféricas o residuos sólidos. Los sistemas de control pueden darse al interior de un proceso o</w:t>
      </w:r>
      <w:r>
        <w:rPr>
          <w:rFonts w:ascii="Arial" w:hAnsi="Arial" w:cs="Arial"/>
          <w:lang w:val="es-CO"/>
        </w:rPr>
        <w:t xml:space="preserve"> actividad productiva lo que se denomina control ambiental en la fuente, y/o al finalizar el proceso productivo, en cuyo caso se hablará de control ambiental al final del proceso;</w:t>
      </w:r>
    </w:p>
    <w:p w14:paraId="0AC61DC8" w14:textId="77777777" w:rsidR="00B2442D" w:rsidRDefault="00B2442D">
      <w:pPr>
        <w:ind w:left="426" w:hanging="426"/>
        <w:jc w:val="both"/>
        <w:rPr>
          <w:rFonts w:ascii="Arial" w:hAnsi="Arial" w:cs="Arial"/>
          <w:lang w:val="es-CO"/>
        </w:rPr>
      </w:pPr>
    </w:p>
    <w:p w14:paraId="6D71459D"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Sistema de monitoreo ambiental. Es el conjunto sistemático de elementos,</w:t>
      </w:r>
      <w:r>
        <w:rPr>
          <w:rFonts w:ascii="Arial" w:hAnsi="Arial" w:cs="Arial"/>
          <w:lang w:val="es-CO"/>
        </w:rPr>
        <w:t xml:space="preserve"> equipos o maquinaria nacionales o importados, según sea el caso, destinados a la obtención, verificación o procesamiento de información sobre el estado, calidad o comportamiento de los recursos naturales renovables, variables o parámetros ambientales, ver</w:t>
      </w:r>
      <w:r>
        <w:rPr>
          <w:rFonts w:ascii="Arial" w:hAnsi="Arial" w:cs="Arial"/>
          <w:lang w:val="es-CO"/>
        </w:rPr>
        <w:t>timientos, residuos y/o emisiones;</w:t>
      </w:r>
    </w:p>
    <w:p w14:paraId="2D888E93" w14:textId="77777777" w:rsidR="00B2442D" w:rsidRDefault="00B2442D">
      <w:pPr>
        <w:ind w:left="426" w:hanging="426"/>
        <w:jc w:val="both"/>
        <w:rPr>
          <w:rFonts w:ascii="Arial" w:hAnsi="Arial" w:cs="Arial"/>
          <w:lang w:val="es-CO"/>
        </w:rPr>
      </w:pPr>
    </w:p>
    <w:p w14:paraId="6AD25EAA"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Programa ambiental. Es el conjunto de acciones orientadas al desarrollo de los planes y políticas ambientales nacionales previstas en el Plan Nacional de Desarrollo y/o formuladas por el Ministerio de Ambiente y Desar</w:t>
      </w:r>
      <w:r>
        <w:rPr>
          <w:rFonts w:ascii="Arial" w:hAnsi="Arial" w:cs="Arial"/>
          <w:lang w:val="es-CO"/>
        </w:rPr>
        <w:t>rollo Sostenible, así como también las que correspondan a la implementación de los planes ambientales regionales definidos por las autoridades ambientales. Dichas acciones deben ajustarse a los objetivos de los sistemas de control y monitoreo ambiental def</w:t>
      </w:r>
      <w:r>
        <w:rPr>
          <w:rFonts w:ascii="Arial" w:hAnsi="Arial" w:cs="Arial"/>
          <w:lang w:val="es-CO"/>
        </w:rPr>
        <w:t>inidos conforme con los artículos 1.3.1.14.3 a 1.3.1.14.10 del presente decreto.</w:t>
      </w:r>
    </w:p>
    <w:p w14:paraId="2386819E" w14:textId="77777777" w:rsidR="00B2442D" w:rsidRDefault="00B2442D">
      <w:pPr>
        <w:jc w:val="both"/>
        <w:rPr>
          <w:rFonts w:ascii="Arial" w:hAnsi="Arial" w:cs="Arial"/>
          <w:lang w:val="es-CO"/>
        </w:rPr>
      </w:pPr>
    </w:p>
    <w:p w14:paraId="7A274690" w14:textId="77777777" w:rsidR="00B2442D" w:rsidRDefault="008A645F">
      <w:pPr>
        <w:jc w:val="both"/>
        <w:rPr>
          <w:rFonts w:ascii="Arial" w:hAnsi="Arial" w:cs="Arial"/>
          <w:i/>
          <w:lang w:val="es-CO"/>
        </w:rPr>
      </w:pPr>
      <w:r>
        <w:rPr>
          <w:rFonts w:ascii="Arial" w:hAnsi="Arial" w:cs="Arial"/>
          <w:i/>
          <w:lang w:val="es-CO"/>
        </w:rPr>
        <w:t>(Art. 2, Decreto 2532 de 2001. La referencia al artículo 424-5 numeral 4 del inciso primero tiene decaimiento por la evolución normativa (Artículo 198 de la Ley 1607 de 2012)</w:t>
      </w:r>
      <w:r>
        <w:rPr>
          <w:rFonts w:ascii="Arial" w:hAnsi="Arial" w:cs="Arial"/>
          <w:i/>
          <w:lang w:val="es-CO"/>
        </w:rPr>
        <w:t>)</w:t>
      </w:r>
    </w:p>
    <w:p w14:paraId="4FCAFD0B" w14:textId="77777777" w:rsidR="00B2442D" w:rsidRDefault="00B2442D">
      <w:pPr>
        <w:jc w:val="both"/>
        <w:rPr>
          <w:rFonts w:ascii="Arial" w:hAnsi="Arial" w:cs="Arial"/>
          <w:lang w:val="es-CO"/>
        </w:rPr>
      </w:pPr>
    </w:p>
    <w:p w14:paraId="395A7D37"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Exclusión del IVA en aplicación del artículo 428 literal f) del Estatuto Tributario.</w:t>
      </w:r>
      <w:r>
        <w:rPr>
          <w:rFonts w:ascii="Arial" w:hAnsi="Arial" w:cs="Arial"/>
          <w:b/>
          <w:lang w:val="es-CO"/>
        </w:rPr>
        <w:t xml:space="preserve"> </w:t>
      </w:r>
      <w:r>
        <w:rPr>
          <w:rFonts w:ascii="Arial" w:hAnsi="Arial" w:cs="Arial"/>
          <w:lang w:val="es-CO"/>
        </w:rPr>
        <w:t>El Ministerio de Ambiente y Desarrollo Sostenible certificará en cada caso, que la maquinaria y equipo a que hace referencia el artículo 428 literal f) del Estatuto Tr</w:t>
      </w:r>
      <w:r>
        <w:rPr>
          <w:rFonts w:ascii="Arial" w:hAnsi="Arial" w:cs="Arial"/>
          <w:lang w:val="es-CO"/>
        </w:rPr>
        <w:t>ibutario, sea destinada a sistemas de control ambiental y específicamente a: reciclar y procesar basuras o desperdicios (la maquinaria comprende lavado, separado, reciclado y extrusión); para la depuración o tratamiento de aguas residuales, emisiones atmos</w:t>
      </w:r>
      <w:r>
        <w:rPr>
          <w:rFonts w:ascii="Arial" w:hAnsi="Arial" w:cs="Arial"/>
          <w:lang w:val="es-CO"/>
        </w:rPr>
        <w:t>féricas o residuos sólidos; para recuperación de los ríos o el saneamiento básico para lograr el mejoramiento del medio ambiente, siempre y cuando hagan parte de un programa que se apruebe por el Ministerio de Ambiente y Desarrollo Sostenible, así como sob</w:t>
      </w:r>
      <w:r>
        <w:rPr>
          <w:rFonts w:ascii="Arial" w:hAnsi="Arial" w:cs="Arial"/>
          <w:lang w:val="es-CO"/>
        </w:rPr>
        <w:t>re los equipos para el control y monitoreo ambiental, incluidos aquellos para cumplir los compromisos del Protocolo de Montreal.</w:t>
      </w:r>
    </w:p>
    <w:p w14:paraId="5F82883C" w14:textId="77777777" w:rsidR="00B2442D" w:rsidRDefault="00B2442D">
      <w:pPr>
        <w:jc w:val="both"/>
        <w:rPr>
          <w:rFonts w:ascii="Arial" w:hAnsi="Arial" w:cs="Arial"/>
          <w:b/>
          <w:lang w:val="es-CO"/>
        </w:rPr>
      </w:pPr>
    </w:p>
    <w:p w14:paraId="2DB15D2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acciones previstas en el presente artículo deberán estar enmarcadas dentro de un programa ambiental conforme co</w:t>
      </w:r>
      <w:r>
        <w:rPr>
          <w:rFonts w:ascii="Arial" w:hAnsi="Arial" w:cs="Arial"/>
          <w:lang w:val="es-CO"/>
        </w:rPr>
        <w:t>n la definición prevista en el artículo 1.3.1.14.4 del presente decreto.</w:t>
      </w:r>
    </w:p>
    <w:p w14:paraId="084FAEF0" w14:textId="77777777" w:rsidR="00B2442D" w:rsidRDefault="00B2442D">
      <w:pPr>
        <w:jc w:val="both"/>
        <w:rPr>
          <w:rFonts w:ascii="Arial" w:hAnsi="Arial" w:cs="Arial"/>
          <w:lang w:val="es-CO"/>
        </w:rPr>
      </w:pPr>
    </w:p>
    <w:p w14:paraId="73F6D3C6" w14:textId="77777777" w:rsidR="00B2442D" w:rsidRDefault="008A645F">
      <w:pPr>
        <w:jc w:val="both"/>
        <w:rPr>
          <w:rFonts w:ascii="Arial" w:hAnsi="Arial" w:cs="Arial"/>
          <w:lang w:val="es-CO"/>
        </w:rPr>
      </w:pPr>
      <w:r>
        <w:rPr>
          <w:rFonts w:ascii="Arial" w:hAnsi="Arial" w:cs="Arial"/>
          <w:i/>
          <w:lang w:val="es-CO"/>
        </w:rPr>
        <w:t>(Art. 4, Decreto 2532 de 2001)</w:t>
      </w:r>
    </w:p>
    <w:p w14:paraId="5F2741AC" w14:textId="77777777" w:rsidR="00B2442D" w:rsidRDefault="00B2442D">
      <w:pPr>
        <w:jc w:val="both"/>
        <w:rPr>
          <w:rFonts w:ascii="Arial" w:hAnsi="Arial" w:cs="Arial"/>
          <w:lang w:val="es-CO"/>
        </w:rPr>
      </w:pPr>
    </w:p>
    <w:p w14:paraId="000F4F4F"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Vigencia de la certificación para la exclusión del impuesto sobre las ventas IVA.</w:t>
      </w:r>
      <w:r>
        <w:rPr>
          <w:rFonts w:ascii="Arial" w:hAnsi="Arial" w:cs="Arial"/>
          <w:lang w:val="es-CO"/>
        </w:rPr>
        <w:t xml:space="preserve"> Las certificaciones sobre calificación expedidas para efectos de la</w:t>
      </w:r>
      <w:r>
        <w:rPr>
          <w:rFonts w:ascii="Arial" w:hAnsi="Arial" w:cs="Arial"/>
          <w:lang w:val="es-CO"/>
        </w:rPr>
        <w:t xml:space="preserve"> exclusión de impuesto a las ventas IVA por parte del Ministerio de Ambiente y Desarrollo Sostenible en virtud de lo dispuesto por el artículo 428 literal f) del Estatuto Tributario, tendrán vigencia de un (1) año, el cual se contará a partir de la fecha d</w:t>
      </w:r>
      <w:r>
        <w:rPr>
          <w:rFonts w:ascii="Arial" w:hAnsi="Arial" w:cs="Arial"/>
          <w:lang w:val="es-CO"/>
        </w:rPr>
        <w:t>e su expedición.</w:t>
      </w:r>
    </w:p>
    <w:p w14:paraId="66624BC9" w14:textId="77777777" w:rsidR="00B2442D" w:rsidRDefault="00B2442D">
      <w:pPr>
        <w:jc w:val="both"/>
        <w:rPr>
          <w:rFonts w:ascii="Arial" w:hAnsi="Arial" w:cs="Arial"/>
          <w:lang w:val="es-CO"/>
        </w:rPr>
      </w:pPr>
    </w:p>
    <w:p w14:paraId="64023FCD" w14:textId="77777777" w:rsidR="00B2442D" w:rsidRDefault="008A645F">
      <w:pPr>
        <w:jc w:val="both"/>
        <w:rPr>
          <w:rFonts w:ascii="Arial" w:hAnsi="Arial" w:cs="Arial"/>
          <w:lang w:val="es-CO"/>
        </w:rPr>
      </w:pPr>
      <w:r>
        <w:rPr>
          <w:rFonts w:ascii="Arial" w:hAnsi="Arial" w:cs="Arial"/>
          <w:i/>
          <w:lang w:val="es-CO"/>
        </w:rPr>
        <w:t>(Art. 5, Decreto 2532 de 2001, La referencia al artículo 424-5 numeral 4 tiene decaimiento por la evolución normativa (Artículo 198 de la Ley 1607 de 2012))</w:t>
      </w:r>
    </w:p>
    <w:p w14:paraId="45568486" w14:textId="77777777" w:rsidR="00B2442D" w:rsidRDefault="00B2442D">
      <w:pPr>
        <w:jc w:val="both"/>
        <w:rPr>
          <w:rFonts w:ascii="Arial" w:hAnsi="Arial" w:cs="Arial"/>
          <w:lang w:val="es-CO"/>
        </w:rPr>
      </w:pPr>
    </w:p>
    <w:p w14:paraId="2326D57C"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Elementos, equipos o maquinaria que no son objeto de certificación para la excl</w:t>
      </w:r>
      <w:r>
        <w:rPr>
          <w:rFonts w:ascii="Arial" w:hAnsi="Arial" w:cs="Arial"/>
          <w:b/>
          <w:i/>
          <w:lang w:val="es-CO"/>
        </w:rPr>
        <w:t>usión de IVA.</w:t>
      </w:r>
      <w:r>
        <w:rPr>
          <w:rFonts w:ascii="Arial" w:hAnsi="Arial" w:cs="Arial"/>
          <w:lang w:val="es-CO"/>
        </w:rPr>
        <w:t xml:space="preserve"> En el marco de lo dispuesto en el artículo 428 literal f) del Estatuto Tributario, el Ministerio de Ambiente y Desarrollo Sostenible no acreditará la exclusión de IVA respecto de:</w:t>
      </w:r>
    </w:p>
    <w:p w14:paraId="23D8B07E" w14:textId="77777777" w:rsidR="00B2442D" w:rsidRDefault="00B2442D">
      <w:pPr>
        <w:jc w:val="both"/>
        <w:rPr>
          <w:rFonts w:ascii="Arial" w:hAnsi="Arial" w:cs="Arial"/>
          <w:lang w:val="es-CO"/>
        </w:rPr>
      </w:pPr>
    </w:p>
    <w:p w14:paraId="4AF79F53"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Elementos, equipos o maquinaria que no sean </w:t>
      </w:r>
      <w:r>
        <w:rPr>
          <w:rFonts w:ascii="Arial" w:hAnsi="Arial" w:cs="Arial"/>
          <w:lang w:val="es-CO"/>
        </w:rPr>
        <w:t>constitutivos o no formen parte integral del sistema de control y monitoreo ambiental;</w:t>
      </w:r>
    </w:p>
    <w:p w14:paraId="18A80CEB" w14:textId="77777777" w:rsidR="00B2442D" w:rsidRDefault="00B2442D">
      <w:pPr>
        <w:ind w:left="426" w:hanging="426"/>
        <w:jc w:val="both"/>
        <w:rPr>
          <w:rFonts w:ascii="Arial" w:hAnsi="Arial" w:cs="Arial"/>
          <w:lang w:val="es-CO"/>
        </w:rPr>
      </w:pPr>
    </w:p>
    <w:p w14:paraId="02045E14"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Elementos, equipos y maquinaria que correspondan a acciones propias de reposición o de mantenimiento industrial del proceso productivo;</w:t>
      </w:r>
    </w:p>
    <w:p w14:paraId="7C99DC69" w14:textId="77777777" w:rsidR="00B2442D" w:rsidRDefault="00B2442D">
      <w:pPr>
        <w:ind w:left="426" w:hanging="426"/>
        <w:jc w:val="both"/>
        <w:rPr>
          <w:rFonts w:ascii="Arial" w:hAnsi="Arial" w:cs="Arial"/>
          <w:lang w:val="es-CO"/>
        </w:rPr>
      </w:pPr>
    </w:p>
    <w:p w14:paraId="35A99C5D"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Gasodomésticos y electrod</w:t>
      </w:r>
      <w:r>
        <w:rPr>
          <w:rFonts w:ascii="Arial" w:hAnsi="Arial" w:cs="Arial"/>
          <w:lang w:val="es-CO"/>
        </w:rPr>
        <w:t>omésticos en general;</w:t>
      </w:r>
    </w:p>
    <w:p w14:paraId="46E05BB3" w14:textId="77777777" w:rsidR="00B2442D" w:rsidRDefault="00B2442D">
      <w:pPr>
        <w:ind w:left="426" w:hanging="426"/>
        <w:jc w:val="both"/>
        <w:rPr>
          <w:rFonts w:ascii="Arial" w:hAnsi="Arial" w:cs="Arial"/>
          <w:lang w:val="es-CO"/>
        </w:rPr>
      </w:pPr>
    </w:p>
    <w:p w14:paraId="282AB98C"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Equipos, elementos y maquinaria destinados a proyectos, programas o actividades de reducción en el consumo de energía y/o eficiencia energética, a menos que estos últimos correspondan a la implementación de metas ambientales conce</w:t>
      </w:r>
      <w:r>
        <w:rPr>
          <w:rFonts w:ascii="Arial" w:hAnsi="Arial" w:cs="Arial"/>
          <w:lang w:val="es-CO"/>
        </w:rPr>
        <w:t>rtadas con el Ministerio de Ambiente y Desarrollo Sostenible, para el desarrollo de las estrategias, planes y programas nacionales de producción más limpia, ahorro y eficiencia energética establecidos por el Ministerio de Minas y Energía;</w:t>
      </w:r>
    </w:p>
    <w:p w14:paraId="0A1CE955" w14:textId="77777777" w:rsidR="00B2442D" w:rsidRDefault="00B2442D">
      <w:pPr>
        <w:ind w:left="426" w:hanging="426"/>
        <w:jc w:val="both"/>
        <w:rPr>
          <w:rFonts w:ascii="Arial" w:hAnsi="Arial" w:cs="Arial"/>
          <w:lang w:val="es-CO"/>
        </w:rPr>
      </w:pPr>
    </w:p>
    <w:p w14:paraId="12302192"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Elementos, eq</w:t>
      </w:r>
      <w:r>
        <w:rPr>
          <w:rFonts w:ascii="Arial" w:hAnsi="Arial" w:cs="Arial"/>
          <w:lang w:val="es-CO"/>
        </w:rPr>
        <w:t>uipos y maquinaria destinados a programas o planes de reconversión industrial;</w:t>
      </w:r>
    </w:p>
    <w:p w14:paraId="5B84A0A6" w14:textId="77777777" w:rsidR="00B2442D" w:rsidRDefault="00B2442D">
      <w:pPr>
        <w:ind w:left="426" w:hanging="426"/>
        <w:jc w:val="both"/>
        <w:rPr>
          <w:rFonts w:ascii="Arial" w:hAnsi="Arial" w:cs="Arial"/>
          <w:lang w:val="es-CO"/>
        </w:rPr>
      </w:pPr>
    </w:p>
    <w:p w14:paraId="0A13EC81"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Elementos, equipos o maquinaria destinados a proyectos, obras o actividades en las que se producen bienes o servicios, cuyo consumo es controlado por sus características con</w:t>
      </w:r>
      <w:r>
        <w:rPr>
          <w:rFonts w:ascii="Arial" w:hAnsi="Arial" w:cs="Arial"/>
          <w:lang w:val="es-CO"/>
        </w:rPr>
        <w:t>taminantes;</w:t>
      </w:r>
    </w:p>
    <w:p w14:paraId="3964CF6E" w14:textId="77777777" w:rsidR="00B2442D" w:rsidRDefault="00B2442D">
      <w:pPr>
        <w:ind w:left="426" w:hanging="426"/>
        <w:jc w:val="both"/>
        <w:rPr>
          <w:rFonts w:ascii="Arial" w:hAnsi="Arial" w:cs="Arial"/>
          <w:lang w:val="es-CO"/>
        </w:rPr>
      </w:pPr>
    </w:p>
    <w:p w14:paraId="6B767C22"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Elementos, equipos y maquinaria destinados a proyectos, programas o actividades de reducción en el consumo de agua, a menos que dichos proyectos sean resultado de la implementación de los programas para el uso eficiente y ahorro del agua de</w:t>
      </w:r>
      <w:r>
        <w:rPr>
          <w:rFonts w:ascii="Arial" w:hAnsi="Arial" w:cs="Arial"/>
          <w:lang w:val="es-CO"/>
        </w:rPr>
        <w:t xml:space="preserve"> que trata la Ley 373 de 1997.</w:t>
      </w:r>
    </w:p>
    <w:p w14:paraId="3B852800" w14:textId="77777777" w:rsidR="00B2442D" w:rsidRDefault="00B2442D">
      <w:pPr>
        <w:jc w:val="both"/>
        <w:rPr>
          <w:rFonts w:ascii="Arial" w:hAnsi="Arial" w:cs="Arial"/>
          <w:lang w:val="es-CO"/>
        </w:rPr>
      </w:pPr>
    </w:p>
    <w:p w14:paraId="7E5C6761" w14:textId="77777777" w:rsidR="00B2442D" w:rsidRDefault="008A645F">
      <w:pPr>
        <w:jc w:val="both"/>
        <w:rPr>
          <w:rFonts w:ascii="Arial" w:hAnsi="Arial" w:cs="Arial"/>
          <w:lang w:val="es-CO"/>
        </w:rPr>
      </w:pPr>
      <w:r>
        <w:rPr>
          <w:rFonts w:ascii="Arial" w:hAnsi="Arial" w:cs="Arial"/>
          <w:i/>
          <w:lang w:val="es-CO"/>
        </w:rPr>
        <w:t xml:space="preserve"> (Art. 6, Decreto 2532 de 2001. La referencia al artículo 424-5 numeral 4 tiene decaimiento por la evolución normativa (Artículo 198 de la Ley 1607 de 2012). Literales b), c), d) e), f), g) y l), y el parágrafo declarados nu</w:t>
      </w:r>
      <w:r>
        <w:rPr>
          <w:rFonts w:ascii="Arial" w:hAnsi="Arial" w:cs="Arial"/>
          <w:i/>
          <w:lang w:val="es-CO"/>
        </w:rPr>
        <w:t>los por el Consejo de Estado, Sentencia del 5 de mayo de 2003, Expediente No. 13212)</w:t>
      </w:r>
    </w:p>
    <w:p w14:paraId="39F6FD35" w14:textId="77777777" w:rsidR="00B2442D" w:rsidRDefault="00B2442D">
      <w:pPr>
        <w:jc w:val="both"/>
        <w:rPr>
          <w:rFonts w:ascii="Arial" w:hAnsi="Arial" w:cs="Arial"/>
          <w:lang w:val="es-CO"/>
        </w:rPr>
      </w:pPr>
    </w:p>
    <w:p w14:paraId="535CB597"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Vigilancia de la exclusión del IVA.</w:t>
      </w:r>
      <w:r>
        <w:rPr>
          <w:rFonts w:ascii="Arial" w:hAnsi="Arial" w:cs="Arial"/>
          <w:lang w:val="es-CO"/>
        </w:rPr>
        <w:t xml:space="preserve"> Las personas naturales o jurídicas a quienes Ministerio de Ambiente y Desarrollo Sostenible expida certificación sobre elementos, equ</w:t>
      </w:r>
      <w:r>
        <w:rPr>
          <w:rFonts w:ascii="Arial" w:hAnsi="Arial" w:cs="Arial"/>
          <w:lang w:val="es-CO"/>
        </w:rPr>
        <w:t>ipos o maquinaria objeto de la exclusión del Impuesto sobre las ventas - IVA, deberán conservar copia de este documento, con el fin de que pueda ser presentado en cualquier momento ante la Unidad Administrativa Especial Dirección de Impuestos y Aduanas Nac</w:t>
      </w:r>
      <w:r>
        <w:rPr>
          <w:rFonts w:ascii="Arial" w:hAnsi="Arial" w:cs="Arial"/>
          <w:lang w:val="es-CO"/>
        </w:rPr>
        <w:t>ionales– DIAN en sus diligencias de vigilancia y control.</w:t>
      </w:r>
    </w:p>
    <w:p w14:paraId="26AF4BCE" w14:textId="77777777" w:rsidR="00B2442D" w:rsidRDefault="00B2442D">
      <w:pPr>
        <w:jc w:val="both"/>
        <w:rPr>
          <w:rFonts w:ascii="Arial" w:hAnsi="Arial" w:cs="Arial"/>
          <w:lang w:val="es-CO"/>
        </w:rPr>
      </w:pPr>
    </w:p>
    <w:p w14:paraId="2DFBF188" w14:textId="77777777" w:rsidR="00B2442D" w:rsidRDefault="008A645F">
      <w:pPr>
        <w:jc w:val="both"/>
        <w:rPr>
          <w:rFonts w:ascii="Arial" w:hAnsi="Arial" w:cs="Arial"/>
          <w:lang w:val="es-CO"/>
        </w:rPr>
      </w:pPr>
      <w:r>
        <w:rPr>
          <w:rFonts w:ascii="Arial" w:hAnsi="Arial" w:cs="Arial"/>
          <w:i/>
          <w:lang w:val="es-CO"/>
        </w:rPr>
        <w:t>(Art. 7, Decreto 2532 de 2001)</w:t>
      </w:r>
    </w:p>
    <w:p w14:paraId="356DC420" w14:textId="77777777" w:rsidR="00B2442D" w:rsidRDefault="00B2442D">
      <w:pPr>
        <w:jc w:val="both"/>
        <w:rPr>
          <w:rFonts w:ascii="Arial" w:hAnsi="Arial" w:cs="Arial"/>
          <w:lang w:val="es-CO"/>
        </w:rPr>
      </w:pPr>
    </w:p>
    <w:p w14:paraId="4F09D1AC"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 Información sobre elementos, equipos o maquinaria excluidos de IVA.</w:t>
      </w:r>
      <w:r>
        <w:rPr>
          <w:rFonts w:ascii="Arial" w:hAnsi="Arial" w:cs="Arial"/>
          <w:i/>
          <w:lang w:val="es-CO"/>
        </w:rPr>
        <w:t xml:space="preserve"> </w:t>
      </w:r>
      <w:r>
        <w:rPr>
          <w:rFonts w:ascii="Arial" w:hAnsi="Arial" w:cs="Arial"/>
          <w:lang w:val="es-CO"/>
        </w:rPr>
        <w:t xml:space="preserve">En virtud de lo previsto en el artículo 428 literal f) del Estatuto Tributario el Ministerio de </w:t>
      </w:r>
      <w:r>
        <w:rPr>
          <w:rFonts w:ascii="Arial" w:hAnsi="Arial" w:cs="Arial"/>
          <w:lang w:val="es-CO"/>
        </w:rPr>
        <w:t>Ambiente y Desarrollo Sostenible enviará a la Subdirección de Fiscalización Tributaria o a la dependencia que haga sus veces de la Unidad Administrativa Especial Dirección de Impuestos y Aduanas Nacionales– DIAN, copia de las certificaciones sobre califica</w:t>
      </w:r>
      <w:r>
        <w:rPr>
          <w:rFonts w:ascii="Arial" w:hAnsi="Arial" w:cs="Arial"/>
          <w:lang w:val="es-CO"/>
        </w:rPr>
        <w:t>ción de bienes beneficiados con la exclusión del impuesto a las ventas IVA expedidas en cumplimiento del presente decreto, para efectos de que esta última realice las diligencias de vigilancia y control de su competencia.</w:t>
      </w:r>
    </w:p>
    <w:p w14:paraId="46BD895A" w14:textId="77777777" w:rsidR="00B2442D" w:rsidRDefault="00B2442D">
      <w:pPr>
        <w:jc w:val="both"/>
        <w:rPr>
          <w:rFonts w:ascii="Arial" w:hAnsi="Arial" w:cs="Arial"/>
          <w:lang w:val="es-CO"/>
        </w:rPr>
      </w:pPr>
    </w:p>
    <w:p w14:paraId="704B21AD" w14:textId="77777777" w:rsidR="00B2442D" w:rsidRDefault="008A645F">
      <w:pPr>
        <w:jc w:val="both"/>
        <w:rPr>
          <w:rFonts w:ascii="Arial" w:hAnsi="Arial" w:cs="Arial"/>
          <w:lang w:val="es-CO"/>
        </w:rPr>
      </w:pPr>
      <w:r>
        <w:rPr>
          <w:rFonts w:ascii="Arial" w:hAnsi="Arial" w:cs="Arial"/>
          <w:i/>
          <w:lang w:val="es-CO"/>
        </w:rPr>
        <w:t>(Art. 8, Decreto 2532 de 2001. La</w:t>
      </w:r>
      <w:r>
        <w:rPr>
          <w:rFonts w:ascii="Arial" w:hAnsi="Arial" w:cs="Arial"/>
          <w:i/>
          <w:lang w:val="es-CO"/>
        </w:rPr>
        <w:t xml:space="preserve"> referencia al artículo 424-5 numeral 4 del inciso primero tiene decaimiento por la evolución normativa (Artículo 198 de la Ley 1607 de 2012))</w:t>
      </w:r>
    </w:p>
    <w:p w14:paraId="0D57DDD7" w14:textId="77777777" w:rsidR="00B2442D" w:rsidRDefault="00B2442D">
      <w:pPr>
        <w:jc w:val="both"/>
        <w:rPr>
          <w:rFonts w:ascii="Arial" w:hAnsi="Arial" w:cs="Arial"/>
          <w:lang w:val="es-CO"/>
        </w:rPr>
      </w:pPr>
    </w:p>
    <w:p w14:paraId="7EE63B79"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Documento soporte para el beneficio.</w:t>
      </w:r>
      <w:r>
        <w:rPr>
          <w:rFonts w:ascii="Arial" w:hAnsi="Arial" w:cs="Arial"/>
          <w:lang w:val="es-CO"/>
        </w:rPr>
        <w:t xml:space="preserve"> Quienes vendan en el país bienes objeto de la certificación de que trata el presente decreto (Decreto 2532 de 2001) deberán conservar fotocopia de la misma con el fin de soportar la operación excluida del impuesto sobre las ventas. El importador beneficia</w:t>
      </w:r>
      <w:r>
        <w:rPr>
          <w:rFonts w:ascii="Arial" w:hAnsi="Arial" w:cs="Arial"/>
          <w:lang w:val="es-CO"/>
        </w:rPr>
        <w:t>rio de la exclusión debe presentar la certificación del Ministerio de Ambiente y Desarrollo Sostenible como soporte de la declaración de importación.</w:t>
      </w:r>
    </w:p>
    <w:p w14:paraId="61847DE7" w14:textId="77777777" w:rsidR="00B2442D" w:rsidRDefault="00B2442D">
      <w:pPr>
        <w:jc w:val="both"/>
        <w:rPr>
          <w:rFonts w:ascii="Arial" w:hAnsi="Arial" w:cs="Arial"/>
          <w:lang w:val="es-CO"/>
        </w:rPr>
      </w:pPr>
    </w:p>
    <w:p w14:paraId="32DEE4F4" w14:textId="77777777" w:rsidR="00B2442D" w:rsidRDefault="008A645F">
      <w:pPr>
        <w:jc w:val="both"/>
        <w:rPr>
          <w:rFonts w:ascii="Arial" w:hAnsi="Arial" w:cs="Arial"/>
          <w:i/>
          <w:lang w:val="es-CO"/>
        </w:rPr>
      </w:pPr>
      <w:r>
        <w:rPr>
          <w:rFonts w:ascii="Arial" w:hAnsi="Arial" w:cs="Arial"/>
          <w:i/>
          <w:lang w:val="es-CO"/>
        </w:rPr>
        <w:t>(Art. 9, Decreto 2532 de 2001)</w:t>
      </w:r>
    </w:p>
    <w:p w14:paraId="2C023CE8" w14:textId="77777777" w:rsidR="00B2442D" w:rsidRDefault="00B2442D">
      <w:pPr>
        <w:jc w:val="both"/>
        <w:rPr>
          <w:rFonts w:ascii="Arial" w:hAnsi="Arial" w:cs="Arial"/>
          <w:i/>
          <w:lang w:val="es-CO"/>
        </w:rPr>
      </w:pPr>
    </w:p>
    <w:p w14:paraId="6CE76912"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Importación ordinaria de maquinaria industrial que no se produzca en el </w:t>
      </w:r>
      <w:r>
        <w:rPr>
          <w:rFonts w:ascii="Arial" w:hAnsi="Arial" w:cs="Arial"/>
          <w:b/>
          <w:i/>
          <w:lang w:val="es-CO"/>
        </w:rPr>
        <w:t>país, destinada a la transformación de materias primas, por parte de los Usuarios Altamente Exportadores.</w:t>
      </w:r>
      <w:r>
        <w:rPr>
          <w:rFonts w:ascii="Arial" w:hAnsi="Arial" w:cs="Arial"/>
          <w:lang w:val="es-CO"/>
        </w:rPr>
        <w:t xml:space="preserve"> Podrán importar, bajo la modalidad de importación ordinaria, maquinaria industrial no producida en el país destinada a la transformación de materias p</w:t>
      </w:r>
      <w:r>
        <w:rPr>
          <w:rFonts w:ascii="Arial" w:hAnsi="Arial" w:cs="Arial"/>
          <w:lang w:val="es-CO"/>
        </w:rPr>
        <w:t>rimas con el beneficio de que trata el literal g) del artículo 428 del Estatuto Tributario:</w:t>
      </w:r>
    </w:p>
    <w:p w14:paraId="04B6BAC0" w14:textId="77777777" w:rsidR="00B2442D" w:rsidRDefault="00B2442D">
      <w:pPr>
        <w:jc w:val="both"/>
        <w:rPr>
          <w:rFonts w:ascii="Arial" w:hAnsi="Arial" w:cs="Arial"/>
          <w:lang w:val="es-CO"/>
        </w:rPr>
      </w:pPr>
    </w:p>
    <w:p w14:paraId="7126F7BE"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Los Usuarios Altamente Exportadores.</w:t>
      </w:r>
    </w:p>
    <w:p w14:paraId="7EFB235D" w14:textId="77777777" w:rsidR="00B2442D" w:rsidRDefault="00B2442D">
      <w:pPr>
        <w:ind w:left="426" w:hanging="426"/>
        <w:jc w:val="both"/>
        <w:rPr>
          <w:rFonts w:ascii="Arial" w:hAnsi="Arial" w:cs="Arial"/>
          <w:lang w:val="es-CO"/>
        </w:rPr>
      </w:pPr>
    </w:p>
    <w:p w14:paraId="0388A3FF"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Los exportadores que cumplan con los requisitos previstos en el literal b) del artículo 36 del Decreto 2685 de 1999 o l</w:t>
      </w:r>
      <w:r>
        <w:rPr>
          <w:rFonts w:ascii="Arial" w:hAnsi="Arial" w:cs="Arial"/>
          <w:lang w:val="es-CO"/>
        </w:rPr>
        <w:t>a norma que lo modifique o sustituya y en el numeral 2 del artículo 1.3.1.14.12 del presente decreto.</w:t>
      </w:r>
    </w:p>
    <w:p w14:paraId="2C080ED5" w14:textId="77777777" w:rsidR="00B2442D" w:rsidRDefault="00B2442D">
      <w:pPr>
        <w:ind w:left="426" w:hanging="426"/>
        <w:jc w:val="both"/>
        <w:rPr>
          <w:rFonts w:ascii="Arial" w:hAnsi="Arial" w:cs="Arial"/>
          <w:lang w:val="es-CO"/>
        </w:rPr>
      </w:pPr>
    </w:p>
    <w:p w14:paraId="4C2DC6C3"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 xml:space="preserve">Las nuevas empresas que se constituyan a partir de la fecha de entrada en vigencia de la Ley 788 de 2002, que cumplan con los requisitos establecidos </w:t>
      </w:r>
      <w:r>
        <w:rPr>
          <w:rFonts w:ascii="Arial" w:hAnsi="Arial" w:cs="Arial"/>
          <w:lang w:val="es-CO"/>
        </w:rPr>
        <w:t>en la ley y en los artículos 1.3.1.13.16 y 1.3.1.14.11 a 1.3.1.14.17 del presente Decreto.</w:t>
      </w:r>
    </w:p>
    <w:p w14:paraId="132F0853" w14:textId="77777777" w:rsidR="00B2442D" w:rsidRDefault="00B2442D">
      <w:pPr>
        <w:jc w:val="both"/>
        <w:rPr>
          <w:rFonts w:ascii="Arial" w:hAnsi="Arial" w:cs="Arial"/>
          <w:lang w:val="es-CO"/>
        </w:rPr>
      </w:pPr>
    </w:p>
    <w:p w14:paraId="0E5F17B2" w14:textId="77777777" w:rsidR="00B2442D" w:rsidRDefault="008A645F">
      <w:pPr>
        <w:jc w:val="both"/>
        <w:rPr>
          <w:rFonts w:ascii="Arial" w:hAnsi="Arial" w:cs="Arial"/>
          <w:i/>
          <w:lang w:val="es-CO"/>
        </w:rPr>
      </w:pPr>
      <w:r>
        <w:rPr>
          <w:rFonts w:ascii="Arial" w:hAnsi="Arial" w:cs="Arial"/>
          <w:i/>
          <w:lang w:val="es-CO"/>
        </w:rPr>
        <w:t>(Art. 1, Decreto 953 de 2003)</w:t>
      </w:r>
      <w:r>
        <w:rPr>
          <w:rFonts w:ascii="Arial" w:hAnsi="Arial" w:cs="Arial"/>
        </w:rPr>
        <w:t xml:space="preserve"> </w:t>
      </w:r>
      <w:r>
        <w:rPr>
          <w:rFonts w:ascii="Arial" w:hAnsi="Arial" w:cs="Arial"/>
          <w:i/>
          <w:lang w:val="es-CO"/>
        </w:rPr>
        <w:t>(El Decreto 953 de 2003 rige a partir de la fecha de su publicación y deroga las normas que le sean contrarias, en especial el artícul</w:t>
      </w:r>
      <w:r>
        <w:rPr>
          <w:rFonts w:ascii="Arial" w:hAnsi="Arial" w:cs="Arial"/>
          <w:i/>
          <w:lang w:val="es-CO"/>
        </w:rPr>
        <w:t>o 19 del Decreto 433 de 1999. Art. 9, Decreto 953 de 2003)</w:t>
      </w:r>
    </w:p>
    <w:p w14:paraId="711CBC56" w14:textId="77777777" w:rsidR="00B2442D" w:rsidRDefault="00B2442D">
      <w:pPr>
        <w:jc w:val="both"/>
        <w:rPr>
          <w:rFonts w:ascii="Arial" w:hAnsi="Arial" w:cs="Arial"/>
          <w:lang w:val="es-CO"/>
        </w:rPr>
      </w:pPr>
    </w:p>
    <w:p w14:paraId="767223AE"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Requisitos.</w:t>
      </w:r>
      <w:r>
        <w:rPr>
          <w:rFonts w:ascii="Arial" w:hAnsi="Arial" w:cs="Arial"/>
          <w:lang w:val="es-CO"/>
        </w:rPr>
        <w:t xml:space="preserve"> Para acceder al beneficio previsto en el literal g) del artículo 428 del Estatuto Tributario, las empresas previstas en el artículo anterior deberán cumplir los siguientes requisitos:</w:t>
      </w:r>
    </w:p>
    <w:p w14:paraId="13CFAE8B" w14:textId="77777777" w:rsidR="00B2442D" w:rsidRDefault="00B2442D">
      <w:pPr>
        <w:jc w:val="both"/>
        <w:rPr>
          <w:rFonts w:ascii="Arial" w:hAnsi="Arial" w:cs="Arial"/>
          <w:lang w:val="es-CO"/>
        </w:rPr>
      </w:pPr>
    </w:p>
    <w:p w14:paraId="2167C65E"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Usuarios Altamente Exportadores. Quienes tengan vigente el reconocimiento e inscripción como Usuario Altamente Exportador podrán importar bajo la modalidad de importación ordinaria, maquinaria industrial no producida en el país destinada a la transform</w:t>
      </w:r>
      <w:r>
        <w:rPr>
          <w:rFonts w:ascii="Arial" w:hAnsi="Arial" w:cs="Arial"/>
          <w:lang w:val="es-CO"/>
        </w:rPr>
        <w:t>ación de materias primas, con el beneficio de que trata el literal g) del artículo 428 del Estatuto Tributario, a partir de la fecha de entrada en vigencia de la Ley 788 de 2002, para lo cual, además de la utilización del código de registro asignado por la</w:t>
      </w:r>
      <w:r>
        <w:rPr>
          <w:rFonts w:ascii="Arial" w:hAnsi="Arial" w:cs="Arial"/>
          <w:lang w:val="es-CO"/>
        </w:rPr>
        <w:t xml:space="preserve"> Unidad Administrativa Especial Dirección de Impuestos y Aduanas Nacionales- DIAN, deberá cumplirse lo previsto en el artículo 1.3.1.14.16 del presente decreto.</w:t>
      </w:r>
    </w:p>
    <w:p w14:paraId="2531BCA5" w14:textId="77777777" w:rsidR="00B2442D" w:rsidRDefault="00B2442D">
      <w:pPr>
        <w:jc w:val="both"/>
        <w:rPr>
          <w:rFonts w:ascii="Arial" w:hAnsi="Arial" w:cs="Arial"/>
          <w:lang w:val="es-CO"/>
        </w:rPr>
      </w:pPr>
    </w:p>
    <w:p w14:paraId="001EDE23"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Exportadores. Quienes acrediten el cumplimiento del requisito previsto en el literal b) del</w:t>
      </w:r>
      <w:r>
        <w:rPr>
          <w:rFonts w:ascii="Arial" w:hAnsi="Arial" w:cs="Arial"/>
          <w:lang w:val="es-CO"/>
        </w:rPr>
        <w:t xml:space="preserve"> artículo 36 del Decreto 2685 de 1999 o la norma que lo modifique o sustituya, deberán:</w:t>
      </w:r>
    </w:p>
    <w:p w14:paraId="3B3C902D" w14:textId="77777777" w:rsidR="00B2442D" w:rsidRDefault="00B2442D">
      <w:pPr>
        <w:jc w:val="both"/>
        <w:rPr>
          <w:rFonts w:ascii="Arial" w:hAnsi="Arial" w:cs="Arial"/>
          <w:lang w:val="es-CO"/>
        </w:rPr>
      </w:pPr>
    </w:p>
    <w:p w14:paraId="1D73CF50"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Presentar solicitud de inscripción como usuario altamente exportador ante la Unidad Administrativa Especial Dirección de Impuestos y Aduanas Nacionales- DIAN, media</w:t>
      </w:r>
      <w:r>
        <w:rPr>
          <w:rFonts w:ascii="Arial" w:hAnsi="Arial" w:cs="Arial"/>
          <w:lang w:val="es-CO"/>
        </w:rPr>
        <w:t>nte apoderado o por el representante legal, acompañada del certificado de existencia y representación legal expedido por la Cámara de Comercio correspondiente a su domicilio principal, con una vigencia no superior a tres (3) meses a la fecha de presentació</w:t>
      </w:r>
      <w:r>
        <w:rPr>
          <w:rFonts w:ascii="Arial" w:hAnsi="Arial" w:cs="Arial"/>
          <w:lang w:val="es-CO"/>
        </w:rPr>
        <w:t>n de la solicitud;</w:t>
      </w:r>
    </w:p>
    <w:p w14:paraId="7EE5046E" w14:textId="77777777" w:rsidR="00B2442D" w:rsidRDefault="00B2442D">
      <w:pPr>
        <w:ind w:left="426" w:hanging="426"/>
        <w:jc w:val="both"/>
        <w:rPr>
          <w:rFonts w:ascii="Arial" w:hAnsi="Arial" w:cs="Arial"/>
          <w:lang w:val="es-CO"/>
        </w:rPr>
      </w:pPr>
    </w:p>
    <w:p w14:paraId="32E7DE08"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Presentar un certificado expedido por Contador Público o Revisor Fiscal, en el que conste que las ventas totales durante el año inmediatamente anterior a la presentación de la solicitud, correspondieron a operaciones de exportación e</w:t>
      </w:r>
      <w:r>
        <w:rPr>
          <w:rFonts w:ascii="Arial" w:hAnsi="Arial" w:cs="Arial"/>
          <w:lang w:val="es-CO"/>
        </w:rPr>
        <w:t>n el porcentaje señalado en el literal b) del artículo 36 del Decreto 2685 de 1999 o la norma que lo modifique o sustituya, realizadas directamente o a través de una sociedad de comercialización internacional.</w:t>
      </w:r>
    </w:p>
    <w:p w14:paraId="043DAC4E" w14:textId="77777777" w:rsidR="00B2442D" w:rsidRDefault="00B2442D">
      <w:pPr>
        <w:jc w:val="both"/>
        <w:rPr>
          <w:rFonts w:ascii="Arial" w:hAnsi="Arial" w:cs="Arial"/>
          <w:lang w:val="es-CO"/>
        </w:rPr>
      </w:pPr>
    </w:p>
    <w:p w14:paraId="4D07E62E" w14:textId="77777777" w:rsidR="00B2442D" w:rsidRDefault="008A645F">
      <w:pPr>
        <w:jc w:val="both"/>
        <w:rPr>
          <w:rFonts w:ascii="Arial" w:hAnsi="Arial" w:cs="Arial"/>
          <w:lang w:val="es-CO"/>
        </w:rPr>
      </w:pPr>
      <w:r>
        <w:rPr>
          <w:rFonts w:ascii="Arial" w:hAnsi="Arial" w:cs="Arial"/>
          <w:lang w:val="es-CO"/>
        </w:rPr>
        <w:t>3.</w:t>
      </w:r>
      <w:r>
        <w:rPr>
          <w:rFonts w:ascii="Arial" w:hAnsi="Arial" w:cs="Arial"/>
          <w:lang w:val="es-CO"/>
        </w:rPr>
        <w:tab/>
        <w:t>Nuevas empresas. Se considera como nueva e</w:t>
      </w:r>
      <w:r>
        <w:rPr>
          <w:rFonts w:ascii="Arial" w:hAnsi="Arial" w:cs="Arial"/>
          <w:lang w:val="es-CO"/>
        </w:rPr>
        <w:t>mpresa aquella constituida a partir de la fecha de entrada en vigencia de la Ley 788 de 2002 que haya realizado operaciones durante un término no superior a un (1) año, contado a partir de la fecha de su constitución en debida forma, debiendo cumplir los s</w:t>
      </w:r>
      <w:r>
        <w:rPr>
          <w:rFonts w:ascii="Arial" w:hAnsi="Arial" w:cs="Arial"/>
          <w:lang w:val="es-CO"/>
        </w:rPr>
        <w:t>iguientes requisitos:</w:t>
      </w:r>
    </w:p>
    <w:p w14:paraId="4316553E" w14:textId="77777777" w:rsidR="00B2442D" w:rsidRDefault="00B2442D">
      <w:pPr>
        <w:jc w:val="both"/>
        <w:rPr>
          <w:rFonts w:ascii="Arial" w:hAnsi="Arial" w:cs="Arial"/>
          <w:lang w:val="es-CO"/>
        </w:rPr>
      </w:pPr>
    </w:p>
    <w:p w14:paraId="4AD0FFE4"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Presentar solicitud de inscripción como usuario altamente exportador ante la Unidad Administrativa Especial Dirección de Impuestos y Aduanas Nacionales- DIAN, mediante apoderado o por el representante legal, acompañada del </w:t>
      </w:r>
      <w:r>
        <w:rPr>
          <w:rFonts w:ascii="Arial" w:hAnsi="Arial" w:cs="Arial"/>
          <w:lang w:val="es-CO"/>
        </w:rPr>
        <w:t>certificado de existencia y representación legal expedido por la Cámara de Comercio correspondiente a su domicilio principal, con una vigencia no superior a tres (3) meses a la fecha de presentación de la solicitud;</w:t>
      </w:r>
    </w:p>
    <w:p w14:paraId="4EF5BBE6" w14:textId="77777777" w:rsidR="00B2442D" w:rsidRDefault="00B2442D">
      <w:pPr>
        <w:ind w:left="426" w:hanging="426"/>
        <w:jc w:val="both"/>
        <w:rPr>
          <w:rFonts w:ascii="Arial" w:hAnsi="Arial" w:cs="Arial"/>
          <w:lang w:val="es-CO"/>
        </w:rPr>
      </w:pPr>
    </w:p>
    <w:p w14:paraId="443639E0"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Constituir una garantía bancaria o d</w:t>
      </w:r>
      <w:r>
        <w:rPr>
          <w:rFonts w:ascii="Arial" w:hAnsi="Arial" w:cs="Arial"/>
          <w:lang w:val="es-CO"/>
        </w:rPr>
        <w:t>e compañía de seguros a favor de la Unidad Administrativa Especial Dirección de Impuestos y Aduanas Nacionales- DIAN por el término de un año y tres meses más, por el valor del impuesto sobre las ventas que se generaría por cada Importación de maquinaria i</w:t>
      </w:r>
      <w:r>
        <w:rPr>
          <w:rFonts w:ascii="Arial" w:hAnsi="Arial" w:cs="Arial"/>
          <w:lang w:val="es-CO"/>
        </w:rPr>
        <w:t>ndustrial, los intereses moratorios a que haya lugar y el cinco por ciento (5%) del valor FOB de la maquinaria a importar, en el evento en que el importador no cumpla el requisito previsto en el literal b) del artículo 36 del Decreto 2685 de 1999 o la norm</w:t>
      </w:r>
      <w:r>
        <w:rPr>
          <w:rFonts w:ascii="Arial" w:hAnsi="Arial" w:cs="Arial"/>
          <w:lang w:val="es-CO"/>
        </w:rPr>
        <w:t>a que lo modifique o sustituya.</w:t>
      </w:r>
    </w:p>
    <w:p w14:paraId="6F571F9D" w14:textId="77777777" w:rsidR="00B2442D" w:rsidRDefault="00B2442D">
      <w:pPr>
        <w:ind w:left="426" w:hanging="426"/>
        <w:jc w:val="both"/>
        <w:rPr>
          <w:rFonts w:ascii="Arial" w:hAnsi="Arial" w:cs="Arial"/>
          <w:lang w:val="es-CO"/>
        </w:rPr>
      </w:pPr>
    </w:p>
    <w:p w14:paraId="7C64B0AF" w14:textId="77777777" w:rsidR="00B2442D" w:rsidRDefault="008A645F">
      <w:pPr>
        <w:ind w:left="426"/>
        <w:jc w:val="both"/>
        <w:rPr>
          <w:rFonts w:ascii="Arial" w:hAnsi="Arial" w:cs="Arial"/>
          <w:lang w:val="es-CO"/>
        </w:rPr>
      </w:pPr>
      <w:r>
        <w:rPr>
          <w:rFonts w:ascii="Arial" w:hAnsi="Arial" w:cs="Arial"/>
          <w:lang w:val="es-CO"/>
        </w:rPr>
        <w:t xml:space="preserve">Esta garantía solo se constituirá para el primer año de operaciones. Posteriormente, el cumplimiento del requisito previsto en el inciso anterior, se acreditará con la certificación de que trata el artículo 1.3.1.14.14 del </w:t>
      </w:r>
      <w:r>
        <w:rPr>
          <w:rFonts w:ascii="Arial" w:hAnsi="Arial" w:cs="Arial"/>
          <w:lang w:val="es-CO"/>
        </w:rPr>
        <w:t>presente Decreto.</w:t>
      </w:r>
    </w:p>
    <w:p w14:paraId="3DDB2415" w14:textId="77777777" w:rsidR="00B2442D" w:rsidRDefault="00B2442D">
      <w:pPr>
        <w:jc w:val="both"/>
        <w:rPr>
          <w:rFonts w:ascii="Arial" w:hAnsi="Arial" w:cs="Arial"/>
          <w:lang w:val="es-CO"/>
        </w:rPr>
      </w:pPr>
    </w:p>
    <w:p w14:paraId="1B0412DF" w14:textId="77777777" w:rsidR="00B2442D" w:rsidRDefault="008A645F">
      <w:pPr>
        <w:jc w:val="both"/>
        <w:rPr>
          <w:rFonts w:ascii="Arial" w:hAnsi="Arial" w:cs="Arial"/>
          <w:i/>
          <w:lang w:val="es-CO"/>
        </w:rPr>
      </w:pPr>
      <w:r>
        <w:rPr>
          <w:rFonts w:ascii="Arial" w:hAnsi="Arial" w:cs="Arial"/>
          <w:i/>
          <w:lang w:val="es-CO"/>
        </w:rPr>
        <w:t>(Art. 2, Decreto 953 de 2003)</w:t>
      </w:r>
      <w:r>
        <w:rPr>
          <w:rFonts w:ascii="Arial" w:hAnsi="Arial" w:cs="Arial"/>
        </w:rPr>
        <w:t xml:space="preserve"> </w:t>
      </w:r>
      <w:r>
        <w:rPr>
          <w:rFonts w:ascii="Arial" w:hAnsi="Arial" w:cs="Arial"/>
          <w:i/>
          <w:lang w:val="es-CO"/>
        </w:rPr>
        <w:t>(El Decreto 953 de 2003 rige a partir de la fecha de su publicación y deroga las normas que le sean contrarias, en especial el artículo 19 del Decreto 433 de 1999. Art. 9, Decreto 953 de 2003)</w:t>
      </w:r>
    </w:p>
    <w:p w14:paraId="0654B54E" w14:textId="77777777" w:rsidR="00B2442D" w:rsidRDefault="00B2442D">
      <w:pPr>
        <w:jc w:val="both"/>
        <w:rPr>
          <w:rFonts w:ascii="Arial" w:hAnsi="Arial" w:cs="Arial"/>
          <w:lang w:val="es-CO"/>
        </w:rPr>
      </w:pPr>
    </w:p>
    <w:p w14:paraId="7ABC1EF7"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Trámite.</w:t>
      </w:r>
      <w:r>
        <w:rPr>
          <w:rFonts w:ascii="Arial" w:hAnsi="Arial" w:cs="Arial"/>
          <w:lang w:val="es-CO"/>
        </w:rPr>
        <w:t xml:space="preserve"> Para</w:t>
      </w:r>
      <w:r>
        <w:rPr>
          <w:rFonts w:ascii="Arial" w:hAnsi="Arial" w:cs="Arial"/>
          <w:lang w:val="es-CO"/>
        </w:rPr>
        <w:t xml:space="preserve"> efectos de lo dispuesto sobre la solicitud de inscripción a que se refieren los numerales 2 y 3 del artículo 1.3.1.14.12 del presente Decreto, esta se tramitará conforme con el procedimiento previsto en los artículos 78, 79, 80, 81 y 83 del Decreto 2685 d</w:t>
      </w:r>
      <w:r>
        <w:rPr>
          <w:rFonts w:ascii="Arial" w:hAnsi="Arial" w:cs="Arial"/>
          <w:lang w:val="es-CO"/>
        </w:rPr>
        <w:t>e 1999 o la norma que lo modifique o sustituya.</w:t>
      </w:r>
    </w:p>
    <w:p w14:paraId="1DFCDB53" w14:textId="77777777" w:rsidR="00B2442D" w:rsidRDefault="00B2442D">
      <w:pPr>
        <w:jc w:val="both"/>
        <w:rPr>
          <w:rFonts w:ascii="Arial" w:hAnsi="Arial" w:cs="Arial"/>
          <w:lang w:val="es-CO"/>
        </w:rPr>
      </w:pPr>
    </w:p>
    <w:p w14:paraId="0876C0B8" w14:textId="77777777" w:rsidR="00B2442D" w:rsidRDefault="008A645F">
      <w:pPr>
        <w:jc w:val="both"/>
        <w:rPr>
          <w:rFonts w:ascii="Arial" w:hAnsi="Arial" w:cs="Arial"/>
          <w:lang w:val="es-CO"/>
        </w:rPr>
      </w:pPr>
      <w:r>
        <w:rPr>
          <w:rFonts w:ascii="Arial" w:hAnsi="Arial" w:cs="Arial"/>
          <w:lang w:val="es-CO"/>
        </w:rPr>
        <w:t>La inscripción se otorgará mediante resolución motivada expedida por la Unidad Administrativa Especial Dirección de impuestos y Aduanas Nacionales-DIAN, una vez se verifique el cumplimiento de los requisitos</w:t>
      </w:r>
      <w:r>
        <w:rPr>
          <w:rFonts w:ascii="Arial" w:hAnsi="Arial" w:cs="Arial"/>
          <w:lang w:val="es-CO"/>
        </w:rPr>
        <w:t xml:space="preserve"> señalados en el artículo 1.3.1.14.12 del presente decreto.</w:t>
      </w:r>
    </w:p>
    <w:p w14:paraId="4ECC03D9" w14:textId="77777777" w:rsidR="00B2442D" w:rsidRDefault="00B2442D">
      <w:pPr>
        <w:jc w:val="both"/>
        <w:rPr>
          <w:rFonts w:ascii="Arial" w:hAnsi="Arial" w:cs="Arial"/>
          <w:lang w:val="es-CO"/>
        </w:rPr>
      </w:pPr>
    </w:p>
    <w:p w14:paraId="03BC6DBC" w14:textId="77777777" w:rsidR="00B2442D" w:rsidRDefault="008A645F">
      <w:pPr>
        <w:jc w:val="both"/>
        <w:rPr>
          <w:rFonts w:ascii="Arial" w:hAnsi="Arial" w:cs="Arial"/>
          <w:lang w:val="es-CO"/>
        </w:rPr>
      </w:pPr>
      <w:r>
        <w:rPr>
          <w:rFonts w:ascii="Arial" w:hAnsi="Arial" w:cs="Arial"/>
          <w:lang w:val="es-CO"/>
        </w:rPr>
        <w:t xml:space="preserve">Esta inscripción estará vigente mientras se mantenga el cumplimiento de los requisitos exigidos en el literal b) del artículo 36 del Decreto 2685 de 1999 o la norma que lo modifique o sustituya, </w:t>
      </w:r>
      <w:r>
        <w:rPr>
          <w:rFonts w:ascii="Arial" w:hAnsi="Arial" w:cs="Arial"/>
          <w:lang w:val="es-CO"/>
        </w:rPr>
        <w:t>para obtener el beneficio.</w:t>
      </w:r>
    </w:p>
    <w:p w14:paraId="6ECA66DD" w14:textId="77777777" w:rsidR="00B2442D" w:rsidRDefault="00B2442D">
      <w:pPr>
        <w:jc w:val="both"/>
        <w:rPr>
          <w:rFonts w:ascii="Arial" w:hAnsi="Arial" w:cs="Arial"/>
          <w:lang w:val="es-CO"/>
        </w:rPr>
      </w:pPr>
    </w:p>
    <w:p w14:paraId="65D91482" w14:textId="77777777" w:rsidR="00B2442D" w:rsidRDefault="008A645F">
      <w:pPr>
        <w:jc w:val="both"/>
        <w:rPr>
          <w:rFonts w:ascii="Arial" w:hAnsi="Arial" w:cs="Arial"/>
          <w:i/>
          <w:lang w:val="es-CO"/>
        </w:rPr>
      </w:pPr>
      <w:r>
        <w:rPr>
          <w:rFonts w:ascii="Arial" w:hAnsi="Arial" w:cs="Arial"/>
          <w:i/>
          <w:lang w:val="es-CO"/>
        </w:rPr>
        <w:t>(Art. 3, Decreto 953 de 2003)</w:t>
      </w:r>
      <w:r>
        <w:rPr>
          <w:rFonts w:ascii="Arial" w:hAnsi="Arial" w:cs="Arial"/>
        </w:rPr>
        <w:t xml:space="preserve"> </w:t>
      </w:r>
      <w:r>
        <w:rPr>
          <w:rFonts w:ascii="Arial" w:hAnsi="Arial" w:cs="Arial"/>
          <w:i/>
          <w:lang w:val="es-CO"/>
        </w:rPr>
        <w:t>(El Decreto 953 de 2003 rige a partir de la fecha de su publicación y deroga las normas que le sean contrarias, en especial el artículo 19 del Decreto 433 de 1999. Art. 9, Decreto 953 de 2003)</w:t>
      </w:r>
    </w:p>
    <w:p w14:paraId="53F4B28A" w14:textId="77777777" w:rsidR="00B2442D" w:rsidRDefault="00B2442D">
      <w:pPr>
        <w:jc w:val="both"/>
        <w:rPr>
          <w:rFonts w:ascii="Arial" w:hAnsi="Arial" w:cs="Arial"/>
          <w:lang w:val="es-CO"/>
        </w:rPr>
      </w:pPr>
    </w:p>
    <w:p w14:paraId="6D7246E0"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Cump</w:t>
      </w:r>
      <w:r>
        <w:rPr>
          <w:rFonts w:ascii="Arial" w:hAnsi="Arial" w:cs="Arial"/>
          <w:b/>
          <w:i/>
          <w:lang w:val="es-CO"/>
        </w:rPr>
        <w:t>limiento del monto de las exportaciones.</w:t>
      </w:r>
      <w:r>
        <w:rPr>
          <w:rFonts w:ascii="Arial" w:hAnsi="Arial" w:cs="Arial"/>
          <w:lang w:val="es-CO"/>
        </w:rPr>
        <w:t xml:space="preserve"> Para efectos de acreditar anualmente el cumplimiento del monto establecido en el literal b) del artículo 36 del Decreto 2685 de 1999 o la norma que lo modifique o sustituya, los beneficiarios deberán presentar un ce</w:t>
      </w:r>
      <w:r>
        <w:rPr>
          <w:rFonts w:ascii="Arial" w:hAnsi="Arial" w:cs="Arial"/>
          <w:lang w:val="es-CO"/>
        </w:rPr>
        <w:t>rtificado expedido por contador público o revisor fiscal, en el que conste que durante el año inmediatamente anterior, las operaciones de exportación realizadas directamente o por intermedio de una sociedad de comercialización inter- nacional, se cumpliero</w:t>
      </w:r>
      <w:r>
        <w:rPr>
          <w:rFonts w:ascii="Arial" w:hAnsi="Arial" w:cs="Arial"/>
          <w:lang w:val="es-CO"/>
        </w:rPr>
        <w:t>n en el porcentaje señalado en la norma citada y que los bienes importados permanecen dentro del patrimonio del importador por el término de vida útil, el cual no podrá ser inferior al establecido en el artículo 1.2.1.18.4 del presente Decreto.</w:t>
      </w:r>
    </w:p>
    <w:p w14:paraId="5415EB0C" w14:textId="77777777" w:rsidR="00B2442D" w:rsidRDefault="00B2442D">
      <w:pPr>
        <w:jc w:val="both"/>
        <w:rPr>
          <w:rFonts w:ascii="Arial" w:hAnsi="Arial" w:cs="Arial"/>
          <w:lang w:val="es-CO"/>
        </w:rPr>
      </w:pPr>
    </w:p>
    <w:p w14:paraId="67E705F2" w14:textId="77777777" w:rsidR="00B2442D" w:rsidRDefault="008A645F">
      <w:pPr>
        <w:jc w:val="both"/>
        <w:rPr>
          <w:rFonts w:ascii="Arial" w:hAnsi="Arial" w:cs="Arial"/>
          <w:lang w:val="es-CO"/>
        </w:rPr>
      </w:pPr>
      <w:r>
        <w:rPr>
          <w:rFonts w:ascii="Arial" w:hAnsi="Arial" w:cs="Arial"/>
          <w:lang w:val="es-CO"/>
        </w:rPr>
        <w:t>La certifi</w:t>
      </w:r>
      <w:r>
        <w:rPr>
          <w:rFonts w:ascii="Arial" w:hAnsi="Arial" w:cs="Arial"/>
          <w:lang w:val="es-CO"/>
        </w:rPr>
        <w:t>cación se deberá entregar ante la Subdirección de Comercio Exterior de la Unidad Administrativa Especial Dirección de Impuestos y Aduanas Nacionales- DIAN, dentro de los quince (15) días siguientes al vencimiento de cada año, contado a partir de la ejecuto</w:t>
      </w:r>
      <w:r>
        <w:rPr>
          <w:rFonts w:ascii="Arial" w:hAnsi="Arial" w:cs="Arial"/>
          <w:lang w:val="es-CO"/>
        </w:rPr>
        <w:t>ria del acto administrativo de inscripción.</w:t>
      </w:r>
    </w:p>
    <w:p w14:paraId="24DC05E8" w14:textId="77777777" w:rsidR="00B2442D" w:rsidRDefault="00B2442D">
      <w:pPr>
        <w:jc w:val="both"/>
        <w:rPr>
          <w:rFonts w:ascii="Arial" w:hAnsi="Arial" w:cs="Arial"/>
          <w:lang w:val="es-CO"/>
        </w:rPr>
      </w:pPr>
    </w:p>
    <w:p w14:paraId="27DB6BD3" w14:textId="77777777" w:rsidR="00B2442D" w:rsidRDefault="008A645F">
      <w:pPr>
        <w:jc w:val="both"/>
        <w:rPr>
          <w:rFonts w:ascii="Arial" w:hAnsi="Arial" w:cs="Arial"/>
          <w:i/>
          <w:lang w:val="es-CO"/>
        </w:rPr>
      </w:pPr>
      <w:r>
        <w:rPr>
          <w:rFonts w:ascii="Arial" w:hAnsi="Arial" w:cs="Arial"/>
          <w:i/>
          <w:lang w:val="es-CO"/>
        </w:rPr>
        <w:t>(Art. 4, Decreto 953 de 2003)</w:t>
      </w:r>
      <w:r>
        <w:rPr>
          <w:rFonts w:ascii="Arial" w:hAnsi="Arial" w:cs="Arial"/>
        </w:rPr>
        <w:t xml:space="preserve"> </w:t>
      </w:r>
      <w:r>
        <w:rPr>
          <w:rFonts w:ascii="Arial" w:hAnsi="Arial" w:cs="Arial"/>
          <w:i/>
          <w:lang w:val="es-CO"/>
        </w:rPr>
        <w:t>(El Decreto 953 de 2003 rige a partir de la fecha de su publicación y deroga las normas que le sean contrarias, en especial el artículo 19 del Decreto 433 de 1999. Art. 9, Decreto 9</w:t>
      </w:r>
      <w:r>
        <w:rPr>
          <w:rFonts w:ascii="Arial" w:hAnsi="Arial" w:cs="Arial"/>
          <w:i/>
          <w:lang w:val="es-CO"/>
        </w:rPr>
        <w:t>53 de 2003)</w:t>
      </w:r>
    </w:p>
    <w:p w14:paraId="27C44FA0" w14:textId="77777777" w:rsidR="00B2442D" w:rsidRDefault="00B2442D">
      <w:pPr>
        <w:jc w:val="both"/>
        <w:rPr>
          <w:rFonts w:ascii="Arial" w:hAnsi="Arial" w:cs="Arial"/>
          <w:lang w:val="es-CO"/>
        </w:rPr>
      </w:pPr>
    </w:p>
    <w:p w14:paraId="312F7C07"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Procedimiento en caso de incumplimiento. </w:t>
      </w:r>
      <w:r>
        <w:rPr>
          <w:rFonts w:ascii="Arial" w:hAnsi="Arial" w:cs="Arial"/>
          <w:lang w:val="es-CO"/>
        </w:rPr>
        <w:t>En caso de incumplimiento de lo señalado en el literal g) del artículo 428 del Estatuto Tributario para imponer la sanción prevista en el inciso tercero de la citada disposición, se seguirá el procedimi</w:t>
      </w:r>
      <w:r>
        <w:rPr>
          <w:rFonts w:ascii="Arial" w:hAnsi="Arial" w:cs="Arial"/>
          <w:lang w:val="es-CO"/>
        </w:rPr>
        <w:t>ento establecido en los artículos 507 y siguientes del Decreto 2685 de 1999 o la norma que lo modifique o sustituya. En el acto administrativo que impone la sanción se determinará su valor y se liquidará y ordenará la cancelación del impuesto sobre las ven</w:t>
      </w:r>
      <w:r>
        <w:rPr>
          <w:rFonts w:ascii="Arial" w:hAnsi="Arial" w:cs="Arial"/>
          <w:lang w:val="es-CO"/>
        </w:rPr>
        <w:t>tas, más los intereses moratorios a que haya lugar o la efectividad de la garantía prestada.</w:t>
      </w:r>
    </w:p>
    <w:p w14:paraId="05B5D64A" w14:textId="77777777" w:rsidR="00B2442D" w:rsidRDefault="00B2442D">
      <w:pPr>
        <w:jc w:val="both"/>
        <w:rPr>
          <w:rFonts w:ascii="Arial" w:hAnsi="Arial" w:cs="Arial"/>
          <w:lang w:val="es-CO"/>
        </w:rPr>
      </w:pPr>
    </w:p>
    <w:p w14:paraId="2BEA7BC6" w14:textId="77777777" w:rsidR="00B2442D" w:rsidRDefault="008A645F">
      <w:pPr>
        <w:jc w:val="both"/>
        <w:rPr>
          <w:rFonts w:ascii="Arial" w:hAnsi="Arial" w:cs="Arial"/>
          <w:lang w:val="es-CO"/>
        </w:rPr>
      </w:pPr>
      <w:r>
        <w:rPr>
          <w:rFonts w:ascii="Arial" w:hAnsi="Arial" w:cs="Arial"/>
          <w:lang w:val="es-CO"/>
        </w:rPr>
        <w:t xml:space="preserve">El valor FOB en dólares de los Estados Unidos de Norte América determinado en la declaración de importación, que constituye la base para la imposición de la </w:t>
      </w:r>
      <w:r>
        <w:rPr>
          <w:rFonts w:ascii="Arial" w:hAnsi="Arial" w:cs="Arial"/>
          <w:lang w:val="es-CO"/>
        </w:rPr>
        <w:t>sanción, se convertirá a pesos colombianos de conformidad con lo previsto en el inciso 3° del artículo 88 del Decreto 2685 de 1999 o la norma que lo modifique o sustituya.</w:t>
      </w:r>
    </w:p>
    <w:p w14:paraId="5D9B18D2" w14:textId="77777777" w:rsidR="00B2442D" w:rsidRDefault="00B2442D">
      <w:pPr>
        <w:jc w:val="both"/>
        <w:rPr>
          <w:rFonts w:ascii="Arial" w:hAnsi="Arial" w:cs="Arial"/>
          <w:i/>
          <w:lang w:val="es-CO"/>
        </w:rPr>
      </w:pPr>
    </w:p>
    <w:p w14:paraId="22140B7B" w14:textId="77777777" w:rsidR="00B2442D" w:rsidRDefault="008A645F">
      <w:pPr>
        <w:jc w:val="both"/>
        <w:rPr>
          <w:rFonts w:ascii="Arial" w:hAnsi="Arial" w:cs="Arial"/>
          <w:i/>
          <w:lang w:val="es-CO"/>
        </w:rPr>
      </w:pPr>
      <w:r>
        <w:rPr>
          <w:rFonts w:ascii="Arial" w:hAnsi="Arial" w:cs="Arial"/>
          <w:i/>
          <w:lang w:val="es-CO"/>
        </w:rPr>
        <w:t>(Art. 5, Decreto 953 de 2003)</w:t>
      </w:r>
      <w:r>
        <w:rPr>
          <w:rFonts w:ascii="Arial" w:hAnsi="Arial" w:cs="Arial"/>
        </w:rPr>
        <w:t xml:space="preserve"> </w:t>
      </w:r>
      <w:r>
        <w:rPr>
          <w:rFonts w:ascii="Arial" w:hAnsi="Arial" w:cs="Arial"/>
          <w:i/>
          <w:lang w:val="es-CO"/>
        </w:rPr>
        <w:t xml:space="preserve">(El Decreto 953 de 2003 rige a partir de la </w:t>
      </w:r>
      <w:r>
        <w:rPr>
          <w:rFonts w:ascii="Arial" w:hAnsi="Arial" w:cs="Arial"/>
          <w:i/>
          <w:lang w:val="es-CO"/>
        </w:rPr>
        <w:t>fecha de su publicación y deroga las normas que le sean contrarias, en especial el artículo 19 del Decreto 433 de 1999. Art. 9, Decreto 953 de 2003)</w:t>
      </w:r>
    </w:p>
    <w:p w14:paraId="76092354" w14:textId="77777777" w:rsidR="00B2442D" w:rsidRDefault="00B2442D">
      <w:pPr>
        <w:jc w:val="both"/>
        <w:rPr>
          <w:rFonts w:ascii="Arial" w:hAnsi="Arial" w:cs="Arial"/>
          <w:lang w:val="es-CO"/>
        </w:rPr>
      </w:pPr>
    </w:p>
    <w:p w14:paraId="579D4FD1"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 xml:space="preserve">Certificación. </w:t>
      </w:r>
      <w:r>
        <w:rPr>
          <w:rFonts w:ascii="Arial" w:hAnsi="Arial" w:cs="Arial"/>
          <w:lang w:val="es-CO"/>
        </w:rPr>
        <w:t>Previamente a la presentación de la declaración, los importadores de que trata este decreto</w:t>
      </w:r>
      <w:r>
        <w:rPr>
          <w:rFonts w:ascii="Arial" w:hAnsi="Arial" w:cs="Arial"/>
          <w:lang w:val="es-CO"/>
        </w:rPr>
        <w:t xml:space="preserve"> deberán solicitar y obtener una certificación del Ministerio de Comercio, Industria y Turismo, en la que conste que los bienes importados poseen la calidad de maquinaria industrial no producida en el país destinada a la transformación de materias primas, </w:t>
      </w:r>
      <w:r>
        <w:rPr>
          <w:rFonts w:ascii="Arial" w:hAnsi="Arial" w:cs="Arial"/>
          <w:lang w:val="es-CO"/>
        </w:rPr>
        <w:t>la cual constituirá documento soporte de la declaración de importación, así como la garantía a que se refiere el literal b) del numeral 3 del artículo 1.3.1.14.12 de este decreto.</w:t>
      </w:r>
    </w:p>
    <w:p w14:paraId="490BD9F8" w14:textId="77777777" w:rsidR="00B2442D" w:rsidRDefault="00B2442D">
      <w:pPr>
        <w:jc w:val="both"/>
        <w:rPr>
          <w:rFonts w:ascii="Arial" w:hAnsi="Arial" w:cs="Arial"/>
          <w:lang w:val="es-CO"/>
        </w:rPr>
      </w:pPr>
    </w:p>
    <w:p w14:paraId="66B5DF26" w14:textId="77777777" w:rsidR="00B2442D" w:rsidRDefault="008A645F">
      <w:pPr>
        <w:jc w:val="both"/>
        <w:rPr>
          <w:rFonts w:ascii="Arial" w:hAnsi="Arial" w:cs="Arial"/>
          <w:i/>
          <w:lang w:val="es-CO"/>
        </w:rPr>
      </w:pPr>
      <w:r>
        <w:rPr>
          <w:rFonts w:ascii="Arial" w:hAnsi="Arial" w:cs="Arial"/>
          <w:i/>
          <w:lang w:val="es-CO"/>
        </w:rPr>
        <w:t>(Art. 6, Decreto 953 de 2003)</w:t>
      </w:r>
      <w:r>
        <w:rPr>
          <w:rFonts w:ascii="Arial" w:hAnsi="Arial" w:cs="Arial"/>
        </w:rPr>
        <w:t xml:space="preserve"> </w:t>
      </w:r>
      <w:r>
        <w:rPr>
          <w:rFonts w:ascii="Arial" w:hAnsi="Arial" w:cs="Arial"/>
          <w:i/>
          <w:lang w:val="es-CO"/>
        </w:rPr>
        <w:t>(El Decreto 953 de 2003 rige a partir de la f</w:t>
      </w:r>
      <w:r>
        <w:rPr>
          <w:rFonts w:ascii="Arial" w:hAnsi="Arial" w:cs="Arial"/>
          <w:i/>
          <w:lang w:val="es-CO"/>
        </w:rPr>
        <w:t>echa de su publicación y deroga las normas que le sean contrarias, en especial el artículo 19 del Decreto 433 de 1999. Art. 9, Decreto 953 de 2003)</w:t>
      </w:r>
    </w:p>
    <w:p w14:paraId="6A3EAFC2" w14:textId="77777777" w:rsidR="00B2442D" w:rsidRDefault="00B2442D">
      <w:pPr>
        <w:jc w:val="both"/>
        <w:rPr>
          <w:rFonts w:ascii="Arial" w:hAnsi="Arial" w:cs="Arial"/>
          <w:lang w:val="es-CO"/>
        </w:rPr>
      </w:pPr>
    </w:p>
    <w:p w14:paraId="01E9A875" w14:textId="77777777" w:rsidR="00B2442D" w:rsidRDefault="008A645F">
      <w:pPr>
        <w:pStyle w:val="Prrafodelista"/>
        <w:numPr>
          <w:ilvl w:val="0"/>
          <w:numId w:val="73"/>
        </w:numPr>
        <w:ind w:left="0" w:firstLine="0"/>
        <w:jc w:val="both"/>
        <w:rPr>
          <w:rFonts w:ascii="Arial" w:hAnsi="Arial" w:cs="Arial"/>
          <w:lang w:val="es-CO"/>
        </w:rPr>
      </w:pPr>
      <w:r>
        <w:rPr>
          <w:rFonts w:ascii="Arial" w:hAnsi="Arial" w:cs="Arial"/>
          <w:b/>
          <w:i/>
          <w:lang w:val="es-CO"/>
        </w:rPr>
        <w:t>Compañías de Financiamiento.</w:t>
      </w:r>
      <w:r>
        <w:rPr>
          <w:rFonts w:ascii="Arial" w:hAnsi="Arial" w:cs="Arial"/>
          <w:lang w:val="es-CO"/>
        </w:rPr>
        <w:t xml:space="preserve"> Para efectos de obtener el beneficio previsto en el literal g) del artículo 42</w:t>
      </w:r>
      <w:r>
        <w:rPr>
          <w:rFonts w:ascii="Arial" w:hAnsi="Arial" w:cs="Arial"/>
          <w:lang w:val="es-CO"/>
        </w:rPr>
        <w:t>8 del Estatuto Tributario, las compañías de financiamiento que importen maquinaria industrial no producida en el país para transformar materia prima, deberán adjuntar como documento soporte de la declaración de importación el contrato de arrendamiento fina</w:t>
      </w:r>
      <w:r>
        <w:rPr>
          <w:rFonts w:ascii="Arial" w:hAnsi="Arial" w:cs="Arial"/>
          <w:lang w:val="es-CO"/>
        </w:rPr>
        <w:t>nciero suscrito con uno de los sujetos previstos en el artículo 1.3.1.14.11 del presente Decreto.</w:t>
      </w:r>
    </w:p>
    <w:p w14:paraId="7BF03118" w14:textId="77777777" w:rsidR="00B2442D" w:rsidRDefault="00B2442D">
      <w:pPr>
        <w:jc w:val="both"/>
        <w:rPr>
          <w:rFonts w:ascii="Arial" w:hAnsi="Arial" w:cs="Arial"/>
          <w:lang w:val="es-CO"/>
        </w:rPr>
      </w:pPr>
    </w:p>
    <w:p w14:paraId="48986673" w14:textId="77777777" w:rsidR="00B2442D" w:rsidRDefault="008A645F">
      <w:pPr>
        <w:jc w:val="both"/>
        <w:rPr>
          <w:rFonts w:ascii="Arial" w:hAnsi="Arial" w:cs="Arial"/>
          <w:lang w:val="es-CO"/>
        </w:rPr>
      </w:pPr>
      <w:r>
        <w:rPr>
          <w:rFonts w:ascii="Arial" w:hAnsi="Arial" w:cs="Arial"/>
          <w:lang w:val="es-CO"/>
        </w:rPr>
        <w:t>En el caso en que no se acredite el cumplimiento del requisito establecido en el literal b) del artículo 36 del Decreto 2685 de 1999 o la norma que lo modifi</w:t>
      </w:r>
      <w:r>
        <w:rPr>
          <w:rFonts w:ascii="Arial" w:hAnsi="Arial" w:cs="Arial"/>
          <w:lang w:val="es-CO"/>
        </w:rPr>
        <w:t>que o sustituya, se aplicará lo previsto en el inciso 4° del literal g) del artículo 428 del Estatuto Tributario.</w:t>
      </w:r>
    </w:p>
    <w:p w14:paraId="199F1695" w14:textId="77777777" w:rsidR="00B2442D" w:rsidRDefault="00B2442D">
      <w:pPr>
        <w:jc w:val="both"/>
        <w:rPr>
          <w:rFonts w:ascii="Arial" w:hAnsi="Arial" w:cs="Arial"/>
          <w:lang w:val="es-CO"/>
        </w:rPr>
      </w:pPr>
    </w:p>
    <w:p w14:paraId="07320C94" w14:textId="77777777" w:rsidR="00B2442D" w:rsidRDefault="008A645F">
      <w:pPr>
        <w:jc w:val="both"/>
        <w:rPr>
          <w:rFonts w:ascii="Arial" w:hAnsi="Arial" w:cs="Arial"/>
          <w:i/>
          <w:lang w:val="es-CO"/>
        </w:rPr>
      </w:pPr>
      <w:r>
        <w:rPr>
          <w:rFonts w:ascii="Arial" w:hAnsi="Arial" w:cs="Arial"/>
          <w:i/>
          <w:lang w:val="es-CO"/>
        </w:rPr>
        <w:t>(Art. 7, Decreto 953 de 2003)</w:t>
      </w:r>
      <w:r>
        <w:rPr>
          <w:rFonts w:ascii="Arial" w:hAnsi="Arial" w:cs="Arial"/>
        </w:rPr>
        <w:t xml:space="preserve"> </w:t>
      </w:r>
      <w:r>
        <w:rPr>
          <w:rFonts w:ascii="Arial" w:hAnsi="Arial" w:cs="Arial"/>
          <w:i/>
          <w:lang w:val="es-CO"/>
        </w:rPr>
        <w:t>(El Decreto 953 de 2003 rige a partir de la fecha de su publicación y deroga las normas que le sean contrarias,</w:t>
      </w:r>
      <w:r>
        <w:rPr>
          <w:rFonts w:ascii="Arial" w:hAnsi="Arial" w:cs="Arial"/>
          <w:i/>
          <w:lang w:val="es-CO"/>
        </w:rPr>
        <w:t xml:space="preserve"> en especial el artículo 19 del Decreto 433 de 1999. Art. 9, Decreto 953 de 2003)</w:t>
      </w:r>
    </w:p>
    <w:p w14:paraId="261930F4" w14:textId="77777777" w:rsidR="00B2442D" w:rsidRDefault="00B2442D">
      <w:pPr>
        <w:jc w:val="both"/>
        <w:rPr>
          <w:rFonts w:ascii="Arial" w:hAnsi="Arial" w:cs="Arial"/>
          <w:lang w:val="es-CO"/>
        </w:rPr>
      </w:pPr>
    </w:p>
    <w:p w14:paraId="2F77DA68" w14:textId="77777777" w:rsidR="00B2442D" w:rsidRDefault="008A645F">
      <w:pPr>
        <w:pStyle w:val="Prrafodelista"/>
        <w:widowControl w:val="0"/>
        <w:numPr>
          <w:ilvl w:val="0"/>
          <w:numId w:val="73"/>
        </w:numPr>
        <w:autoSpaceDE w:val="0"/>
        <w:autoSpaceDN w:val="0"/>
        <w:adjustRightInd w:val="0"/>
        <w:spacing w:line="40" w:lineRule="atLeast"/>
        <w:ind w:left="0" w:firstLine="0"/>
        <w:jc w:val="both"/>
        <w:rPr>
          <w:rFonts w:ascii="Arial" w:hAnsi="Arial" w:cs="Arial"/>
        </w:rPr>
      </w:pPr>
      <w:r>
        <w:rPr>
          <w:rFonts w:ascii="Arial" w:hAnsi="Arial" w:cs="Arial"/>
          <w:b/>
          <w:i/>
        </w:rPr>
        <w:t xml:space="preserve">Definición de armas, municiones y material de guerra. </w:t>
      </w:r>
      <w:r>
        <w:rPr>
          <w:rFonts w:ascii="Arial" w:hAnsi="Arial" w:cs="Arial"/>
        </w:rPr>
        <w:t>Considéranse como armas, municiones y material de guerra o reservado y por consiguiente de uso privativo, los siguiente</w:t>
      </w:r>
      <w:r>
        <w:rPr>
          <w:rFonts w:ascii="Arial" w:hAnsi="Arial" w:cs="Arial"/>
        </w:rPr>
        <w:t>s elementos pertenecientes a las Fuerzas Militares y la Policía Nacional:</w:t>
      </w:r>
    </w:p>
    <w:p w14:paraId="2402927D" w14:textId="77777777" w:rsidR="00B2442D" w:rsidRDefault="00B2442D">
      <w:pPr>
        <w:widowControl w:val="0"/>
        <w:autoSpaceDE w:val="0"/>
        <w:autoSpaceDN w:val="0"/>
        <w:adjustRightInd w:val="0"/>
        <w:spacing w:line="40" w:lineRule="atLeast"/>
        <w:jc w:val="both"/>
        <w:rPr>
          <w:rFonts w:ascii="Arial" w:hAnsi="Arial" w:cs="Arial"/>
        </w:rPr>
      </w:pPr>
    </w:p>
    <w:p w14:paraId="11BA7C8F"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1. </w:t>
      </w:r>
      <w:r>
        <w:rPr>
          <w:rFonts w:ascii="Arial" w:hAnsi="Arial" w:cs="Arial"/>
        </w:rPr>
        <w:tab/>
        <w:t>Sistemas de armas y armamento mayor y menor de todos los tipos, modelos y calibres con sus accesorios, repuestos y los elementos necesarios para la instrucción de tiro, operació</w:t>
      </w:r>
      <w:r>
        <w:rPr>
          <w:rFonts w:ascii="Arial" w:hAnsi="Arial" w:cs="Arial"/>
        </w:rPr>
        <w:t>n, manejo y mantenimiento de los mismos.</w:t>
      </w:r>
    </w:p>
    <w:p w14:paraId="3A4947CD"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285452C0"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2. </w:t>
      </w:r>
      <w:r>
        <w:rPr>
          <w:rFonts w:ascii="Arial" w:hAnsi="Arial" w:cs="Arial"/>
        </w:rPr>
        <w:tab/>
        <w:t>Todo tipo de naves, artefactos navales y aeronaves destinadas al servicio del Ramo de Defensa Nacional, con sus accesorios, repuestos y demás elementos necesarios para su operabilidad y funcionamiento.</w:t>
      </w:r>
    </w:p>
    <w:p w14:paraId="45F749F8"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3ADD8E1A"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3.</w:t>
      </w:r>
      <w:r>
        <w:rPr>
          <w:rFonts w:ascii="Arial" w:hAnsi="Arial" w:cs="Arial"/>
        </w:rPr>
        <w:tab/>
      </w:r>
      <w:r>
        <w:rPr>
          <w:rFonts w:ascii="Arial" w:hAnsi="Arial" w:cs="Arial"/>
        </w:rPr>
        <w:t>Municiones, torpedos y minas de todos los tipos, clases y calibres para los sistemas de armas y el armamento mayor y menor que usan las Fuerzas Militares y la Policía Nacional.</w:t>
      </w:r>
    </w:p>
    <w:p w14:paraId="60A16192"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2A290DFC"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4. </w:t>
      </w:r>
      <w:r>
        <w:rPr>
          <w:rFonts w:ascii="Arial" w:hAnsi="Arial" w:cs="Arial"/>
        </w:rPr>
        <w:tab/>
        <w:t>Material blindado.</w:t>
      </w:r>
    </w:p>
    <w:p w14:paraId="040A3E43"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18034F48"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5. </w:t>
      </w:r>
      <w:r>
        <w:rPr>
          <w:rFonts w:ascii="Arial" w:hAnsi="Arial" w:cs="Arial"/>
        </w:rPr>
        <w:tab/>
        <w:t>Semovientes de todas las clases y razas destinados</w:t>
      </w:r>
      <w:r>
        <w:rPr>
          <w:rFonts w:ascii="Arial" w:hAnsi="Arial" w:cs="Arial"/>
        </w:rPr>
        <w:t xml:space="preserve"> al mantenimiento del orden público interno o externo.</w:t>
      </w:r>
    </w:p>
    <w:p w14:paraId="520546CF"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2F7A623F"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6.</w:t>
      </w:r>
      <w:r>
        <w:rPr>
          <w:rFonts w:ascii="Arial" w:hAnsi="Arial" w:cs="Arial"/>
        </w:rPr>
        <w:tab/>
        <w:t>Materiales explosivos y pirotécnicos, materias primas para su fabricación y accesorios para su empleo.</w:t>
      </w:r>
    </w:p>
    <w:p w14:paraId="0517C5B6"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7C087AC8"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7. </w:t>
      </w:r>
      <w:r>
        <w:rPr>
          <w:rFonts w:ascii="Arial" w:hAnsi="Arial" w:cs="Arial"/>
        </w:rPr>
        <w:tab/>
        <w:t>Paracaídas y equipos de salto para Unidades Aerotransportadas, incluidos los necesarios p</w:t>
      </w:r>
      <w:r>
        <w:rPr>
          <w:rFonts w:ascii="Arial" w:hAnsi="Arial" w:cs="Arial"/>
        </w:rPr>
        <w:t>ara su mantenimiento.</w:t>
      </w:r>
    </w:p>
    <w:p w14:paraId="6C5B362D"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023A4F5E"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8. </w:t>
      </w:r>
      <w:r>
        <w:rPr>
          <w:rFonts w:ascii="Arial" w:hAnsi="Arial" w:cs="Arial"/>
        </w:rPr>
        <w:tab/>
        <w:t>Elementos, equipos y accesorios contra motines.</w:t>
      </w:r>
    </w:p>
    <w:p w14:paraId="120375BC"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29C863B3"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9. </w:t>
      </w:r>
      <w:r>
        <w:rPr>
          <w:rFonts w:ascii="Arial" w:hAnsi="Arial" w:cs="Arial"/>
        </w:rPr>
        <w:tab/>
        <w:t>Los equipos de ingenieros de combate con sus accesorios y repuestos.</w:t>
      </w:r>
    </w:p>
    <w:p w14:paraId="07A58F91"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7581505D"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10. </w:t>
      </w:r>
      <w:r>
        <w:rPr>
          <w:rFonts w:ascii="Arial" w:hAnsi="Arial" w:cs="Arial"/>
        </w:rPr>
        <w:tab/>
        <w:t>Equipos de bucería y de voladuras submarinas, sus repuestos y accesorios.</w:t>
      </w:r>
    </w:p>
    <w:p w14:paraId="7CF503CE"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5E9FF822"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11. </w:t>
      </w:r>
      <w:r>
        <w:rPr>
          <w:rFonts w:ascii="Arial" w:hAnsi="Arial" w:cs="Arial"/>
        </w:rPr>
        <w:tab/>
        <w:t xml:space="preserve">Equipos de detección </w:t>
      </w:r>
      <w:r>
        <w:rPr>
          <w:rFonts w:ascii="Arial" w:hAnsi="Arial" w:cs="Arial"/>
        </w:rPr>
        <w:t>aérea, de superficie y submarina sus accesorios, repuestos, equipos de sintonía y calibración.</w:t>
      </w:r>
    </w:p>
    <w:p w14:paraId="39FF2BC2"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0D3E918A"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12. Elementos para control de incendios y de averías, sus accesorios y repuestos.</w:t>
      </w:r>
    </w:p>
    <w:p w14:paraId="3462095D"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300E1166"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13. Herramientas y equipos para pruebas y mantenimiento del material de guerr</w:t>
      </w:r>
      <w:r>
        <w:rPr>
          <w:rFonts w:ascii="Arial" w:hAnsi="Arial" w:cs="Arial"/>
        </w:rPr>
        <w:t>a o reservado.</w:t>
      </w:r>
    </w:p>
    <w:p w14:paraId="26BE3D03"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6B377673" w14:textId="77777777" w:rsidR="00B2442D" w:rsidRDefault="008A645F">
      <w:pPr>
        <w:widowControl w:val="0"/>
        <w:autoSpaceDE w:val="0"/>
        <w:autoSpaceDN w:val="0"/>
        <w:adjustRightInd w:val="0"/>
        <w:spacing w:line="40" w:lineRule="atLeast"/>
        <w:ind w:left="426" w:hanging="426"/>
        <w:jc w:val="both"/>
        <w:rPr>
          <w:rFonts w:ascii="Arial" w:hAnsi="Arial" w:cs="Arial"/>
        </w:rPr>
      </w:pPr>
      <w:r>
        <w:rPr>
          <w:rFonts w:ascii="Arial" w:hAnsi="Arial" w:cs="Arial"/>
        </w:rPr>
        <w:t xml:space="preserve">14. </w:t>
      </w:r>
      <w:r>
        <w:rPr>
          <w:rFonts w:ascii="Arial" w:hAnsi="Arial" w:cs="Arial"/>
        </w:rPr>
        <w:tab/>
        <w:t>Equipos y demás implementos de comunicaciones para uso de las Fuerzas Militares y la Policía Nacional.</w:t>
      </w:r>
    </w:p>
    <w:p w14:paraId="49C81C3A" w14:textId="77777777" w:rsidR="00B2442D" w:rsidRDefault="00B2442D">
      <w:pPr>
        <w:widowControl w:val="0"/>
        <w:autoSpaceDE w:val="0"/>
        <w:autoSpaceDN w:val="0"/>
        <w:adjustRightInd w:val="0"/>
        <w:spacing w:line="40" w:lineRule="atLeast"/>
        <w:ind w:left="426" w:hanging="426"/>
        <w:jc w:val="both"/>
        <w:rPr>
          <w:rFonts w:ascii="Arial" w:hAnsi="Arial" w:cs="Arial"/>
        </w:rPr>
      </w:pPr>
    </w:p>
    <w:p w14:paraId="1CEFC00E" w14:textId="77777777" w:rsidR="00B2442D" w:rsidRDefault="008A645F">
      <w:pPr>
        <w:ind w:left="426" w:hanging="426"/>
        <w:jc w:val="both"/>
        <w:rPr>
          <w:rFonts w:ascii="Arial" w:hAnsi="Arial" w:cs="Arial"/>
        </w:rPr>
      </w:pPr>
      <w:r>
        <w:rPr>
          <w:rFonts w:ascii="Arial" w:hAnsi="Arial" w:cs="Arial"/>
        </w:rPr>
        <w:t xml:space="preserve">15. </w:t>
      </w:r>
      <w:r>
        <w:rPr>
          <w:rFonts w:ascii="Arial" w:hAnsi="Arial" w:cs="Arial"/>
        </w:rPr>
        <w:tab/>
        <w:t>Otros elementos aplicables al servicio y fabricación del material de guerra o reservado.</w:t>
      </w:r>
    </w:p>
    <w:p w14:paraId="34A78A8A" w14:textId="77777777" w:rsidR="00B2442D" w:rsidRDefault="00B2442D">
      <w:pPr>
        <w:jc w:val="both"/>
        <w:rPr>
          <w:rFonts w:ascii="Arial" w:hAnsi="Arial" w:cs="Arial"/>
        </w:rPr>
      </w:pPr>
    </w:p>
    <w:p w14:paraId="1A7AA57B" w14:textId="77777777" w:rsidR="00B2442D" w:rsidRDefault="008A645F">
      <w:pPr>
        <w:jc w:val="both"/>
        <w:rPr>
          <w:rFonts w:ascii="Arial" w:hAnsi="Arial" w:cs="Arial"/>
        </w:rPr>
      </w:pPr>
      <w:r>
        <w:rPr>
          <w:rFonts w:ascii="Arial" w:hAnsi="Arial" w:cs="Arial"/>
          <w:b/>
          <w:bCs/>
        </w:rPr>
        <w:t>Parágrafo.</w:t>
      </w:r>
      <w:r>
        <w:rPr>
          <w:rFonts w:ascii="Arial" w:hAnsi="Arial" w:cs="Arial"/>
        </w:rPr>
        <w:t xml:space="preserve"> No se consideran armas y municiones destinadas a la defensa nacional los uniformes, prendas de vestir, textiles, material térmico, carpas, sintelitas, menaje, cubiertería, marmitas, morrales, chalecos, juegos de cama, toallas, ponchos y calzado de uso pri</w:t>
      </w:r>
      <w:r>
        <w:rPr>
          <w:rFonts w:ascii="Arial" w:hAnsi="Arial" w:cs="Arial"/>
        </w:rPr>
        <w:t>vativo de las Fuerzas Militares y de Policía Nacional</w:t>
      </w:r>
    </w:p>
    <w:p w14:paraId="6E2B0EE3" w14:textId="77777777" w:rsidR="00B2442D" w:rsidRDefault="00B2442D">
      <w:pPr>
        <w:jc w:val="both"/>
        <w:rPr>
          <w:rFonts w:ascii="Arial" w:hAnsi="Arial" w:cs="Arial"/>
        </w:rPr>
      </w:pPr>
    </w:p>
    <w:p w14:paraId="04E704F1" w14:textId="77777777" w:rsidR="00B2442D" w:rsidRDefault="008A645F">
      <w:pPr>
        <w:jc w:val="both"/>
        <w:rPr>
          <w:rFonts w:ascii="Arial" w:hAnsi="Arial" w:cs="Arial"/>
          <w:i/>
          <w:lang w:val="es-CO"/>
        </w:rPr>
      </w:pPr>
      <w:r>
        <w:rPr>
          <w:rFonts w:ascii="Arial" w:hAnsi="Arial" w:cs="Arial"/>
          <w:i/>
          <w:lang w:val="es-CO"/>
        </w:rPr>
        <w:t xml:space="preserve">(Art. 1, Decreto 695 de 1983. El artículo 1° del Decreto 3000 de 2005, adicionó el parágrafo. El numeral 4 fue declarado nulo por el Consejo de Estado, Sección IV, sentencia del 17 de febrero de 1995, </w:t>
      </w:r>
      <w:r>
        <w:rPr>
          <w:rFonts w:ascii="Arial" w:hAnsi="Arial" w:cs="Arial"/>
          <w:i/>
          <w:lang w:val="es-CO"/>
        </w:rPr>
        <w:t>exp. 5806, con excepción de la expresión “material blindado”) (Decreto 695 de 1983 rige a partir de la fecha de su expedición y subroga el Decreto 1415 de 1977. Art. 4, Decreto 695 de 1983)</w:t>
      </w:r>
    </w:p>
    <w:p w14:paraId="2DB54960" w14:textId="77777777" w:rsidR="00B2442D" w:rsidRDefault="00B2442D">
      <w:pPr>
        <w:jc w:val="both"/>
        <w:rPr>
          <w:rFonts w:ascii="Arial" w:hAnsi="Arial" w:cs="Arial"/>
          <w:i/>
          <w:lang w:val="es-CO"/>
        </w:rPr>
      </w:pPr>
    </w:p>
    <w:p w14:paraId="1ECCA7B7" w14:textId="77777777" w:rsidR="00B2442D" w:rsidRDefault="008A645F">
      <w:pPr>
        <w:pStyle w:val="Prrafodelista"/>
        <w:numPr>
          <w:ilvl w:val="0"/>
          <w:numId w:val="73"/>
        </w:numPr>
        <w:ind w:left="0" w:firstLine="0"/>
        <w:jc w:val="both"/>
        <w:rPr>
          <w:rFonts w:ascii="Arial" w:hAnsi="Arial" w:cs="Arial"/>
        </w:rPr>
      </w:pPr>
      <w:r>
        <w:rPr>
          <w:rFonts w:ascii="Arial" w:hAnsi="Arial" w:cs="Arial"/>
          <w:b/>
          <w:i/>
        </w:rPr>
        <w:t>Material de guerra por su destinación.</w:t>
      </w:r>
      <w:r>
        <w:rPr>
          <w:rFonts w:ascii="Arial" w:hAnsi="Arial" w:cs="Arial"/>
        </w:rPr>
        <w:t xml:space="preserve"> Por su destinación a la defensa nacional y al uso privativo de las Fuerzas Militares y la Policía Nacional, se consideran material de guerra o reservado los equipos de hospitales </w:t>
      </w:r>
      <w:r>
        <w:rPr>
          <w:rFonts w:ascii="Arial" w:hAnsi="Arial" w:cs="Arial"/>
          <w:bCs/>
        </w:rPr>
        <w:t>de la Fuerza Pública</w:t>
      </w:r>
      <w:r>
        <w:rPr>
          <w:rFonts w:ascii="Arial" w:hAnsi="Arial" w:cs="Arial"/>
        </w:rPr>
        <w:t xml:space="preserve"> y de sanidad en campaña, y equipos </w:t>
      </w:r>
      <w:r>
        <w:rPr>
          <w:rFonts w:ascii="Arial" w:hAnsi="Arial" w:cs="Arial"/>
          <w:bCs/>
        </w:rPr>
        <w:t>de la Fuerza Pública</w:t>
      </w:r>
      <w:r>
        <w:rPr>
          <w:rFonts w:ascii="Arial" w:hAnsi="Arial" w:cs="Arial"/>
        </w:rPr>
        <w:t xml:space="preserve"> de campaña.</w:t>
      </w:r>
    </w:p>
    <w:p w14:paraId="2C4AE808" w14:textId="77777777" w:rsidR="00B2442D" w:rsidRDefault="00B2442D">
      <w:pPr>
        <w:jc w:val="both"/>
        <w:rPr>
          <w:rFonts w:ascii="Arial" w:hAnsi="Arial" w:cs="Arial"/>
        </w:rPr>
      </w:pPr>
    </w:p>
    <w:p w14:paraId="50B4387F" w14:textId="77777777" w:rsidR="00B2442D" w:rsidRDefault="008A645F">
      <w:pPr>
        <w:jc w:val="both"/>
        <w:rPr>
          <w:rFonts w:ascii="Arial" w:hAnsi="Arial" w:cs="Arial"/>
          <w:i/>
          <w:lang w:val="es-CO"/>
        </w:rPr>
      </w:pPr>
      <w:r>
        <w:rPr>
          <w:rFonts w:ascii="Arial" w:hAnsi="Arial" w:cs="Arial"/>
          <w:i/>
          <w:lang w:val="es-CO"/>
        </w:rPr>
        <w:t>(Art. 2, Decreto 695 de 1983, modificado por el artículo 2° del Decreto 3000 de 2005)</w:t>
      </w:r>
      <w:r>
        <w:rPr>
          <w:rFonts w:ascii="Arial" w:hAnsi="Arial" w:cs="Arial"/>
        </w:rPr>
        <w:t xml:space="preserve"> </w:t>
      </w:r>
      <w:r>
        <w:rPr>
          <w:rFonts w:ascii="Arial" w:hAnsi="Arial" w:cs="Arial"/>
          <w:i/>
          <w:lang w:val="es-CO"/>
        </w:rPr>
        <w:t>(Decreto 695 de 1983 rige a partir de la fecha de su expedición y subroga el Decreto 1415 de 1977. Art. 4, Decreto 695 de 1983)</w:t>
      </w:r>
    </w:p>
    <w:p w14:paraId="2CE845D1" w14:textId="77777777" w:rsidR="00B2442D" w:rsidRDefault="00B2442D">
      <w:pPr>
        <w:jc w:val="both"/>
        <w:rPr>
          <w:rFonts w:ascii="Arial" w:hAnsi="Arial" w:cs="Arial"/>
          <w:lang w:val="es-CO"/>
        </w:rPr>
      </w:pPr>
    </w:p>
    <w:p w14:paraId="65CB290F" w14:textId="77777777" w:rsidR="00B2442D" w:rsidRDefault="008A645F">
      <w:pPr>
        <w:pStyle w:val="Prrafodelista"/>
        <w:numPr>
          <w:ilvl w:val="0"/>
          <w:numId w:val="73"/>
        </w:numPr>
        <w:ind w:left="0" w:firstLine="0"/>
        <w:jc w:val="both"/>
        <w:rPr>
          <w:rFonts w:ascii="Arial" w:hAnsi="Arial" w:cs="Arial"/>
          <w:i/>
          <w:lang w:val="es-CO"/>
        </w:rPr>
      </w:pPr>
      <w:r>
        <w:rPr>
          <w:rFonts w:ascii="Arial" w:hAnsi="Arial" w:cs="Arial"/>
          <w:b/>
          <w:i/>
        </w:rPr>
        <w:t>Conjunto de armas y municio</w:t>
      </w:r>
      <w:r>
        <w:rPr>
          <w:rFonts w:ascii="Arial" w:hAnsi="Arial" w:cs="Arial"/>
          <w:b/>
          <w:i/>
        </w:rPr>
        <w:t>nes.</w:t>
      </w:r>
      <w:r>
        <w:rPr>
          <w:rFonts w:ascii="Arial" w:hAnsi="Arial" w:cs="Arial"/>
        </w:rPr>
        <w:t xml:space="preserve"> Los elementos detallados en los artículos anteriores constituyen el conjunto de armas y municiones de las Fuerzas Militares y la Policía Nacional a que se refiere el artículo </w:t>
      </w:r>
      <w:r>
        <w:rPr>
          <w:rFonts w:ascii="Arial" w:hAnsi="Arial" w:cs="Arial"/>
          <w:bCs/>
        </w:rPr>
        <w:t>17</w:t>
      </w:r>
      <w:r>
        <w:rPr>
          <w:rFonts w:ascii="Arial" w:hAnsi="Arial" w:cs="Arial"/>
        </w:rPr>
        <w:t xml:space="preserve"> del Decreto Ley 2368 de 1974.</w:t>
      </w:r>
    </w:p>
    <w:p w14:paraId="3DF2FEE3" w14:textId="77777777" w:rsidR="00B2442D" w:rsidRDefault="00B2442D">
      <w:pPr>
        <w:jc w:val="both"/>
        <w:rPr>
          <w:rFonts w:ascii="Arial" w:hAnsi="Arial" w:cs="Arial"/>
          <w:i/>
          <w:lang w:val="es-CO"/>
        </w:rPr>
      </w:pPr>
    </w:p>
    <w:p w14:paraId="2E292D85" w14:textId="77777777" w:rsidR="00B2442D" w:rsidRDefault="008A645F">
      <w:pPr>
        <w:jc w:val="both"/>
        <w:rPr>
          <w:rFonts w:ascii="Arial" w:hAnsi="Arial" w:cs="Arial"/>
          <w:i/>
          <w:lang w:val="es-CO"/>
        </w:rPr>
      </w:pPr>
      <w:r>
        <w:rPr>
          <w:rFonts w:ascii="Arial" w:hAnsi="Arial" w:cs="Arial"/>
          <w:i/>
          <w:lang w:val="es-CO"/>
        </w:rPr>
        <w:t>(Art. 3, Decreto 695 de 1983.)</w:t>
      </w:r>
      <w:r>
        <w:rPr>
          <w:rFonts w:ascii="Arial" w:hAnsi="Arial" w:cs="Arial"/>
        </w:rPr>
        <w:t xml:space="preserve"> </w:t>
      </w:r>
      <w:r>
        <w:rPr>
          <w:rFonts w:ascii="Arial" w:hAnsi="Arial" w:cs="Arial"/>
          <w:i/>
          <w:lang w:val="es-CO"/>
        </w:rPr>
        <w:t>(Decreto 69</w:t>
      </w:r>
      <w:r>
        <w:rPr>
          <w:rFonts w:ascii="Arial" w:hAnsi="Arial" w:cs="Arial"/>
          <w:i/>
          <w:lang w:val="es-CO"/>
        </w:rPr>
        <w:t>5 de 1983 rige a partir de la fecha de su expedición y subroga el Decreto 1415 de 1977. Art. 4, Decreto 695 de 1983)</w:t>
      </w:r>
    </w:p>
    <w:p w14:paraId="7CC42619" w14:textId="77777777" w:rsidR="00B2442D" w:rsidRDefault="00B2442D">
      <w:pPr>
        <w:jc w:val="both"/>
        <w:rPr>
          <w:rFonts w:ascii="Arial" w:hAnsi="Arial" w:cs="Arial"/>
          <w:i/>
          <w:lang w:val="es-CO"/>
        </w:rPr>
      </w:pPr>
    </w:p>
    <w:p w14:paraId="0BF684AC" w14:textId="77777777" w:rsidR="00B2442D" w:rsidRDefault="008A645F">
      <w:pPr>
        <w:pStyle w:val="Prrafodelista"/>
        <w:numPr>
          <w:ilvl w:val="0"/>
          <w:numId w:val="73"/>
        </w:numPr>
        <w:ind w:left="0" w:firstLine="0"/>
        <w:jc w:val="both"/>
        <w:rPr>
          <w:rFonts w:ascii="Arial" w:hAnsi="Arial" w:cs="Arial"/>
        </w:rPr>
      </w:pPr>
      <w:r>
        <w:rPr>
          <w:rStyle w:val="Cuerpodeltexto2Negrita"/>
          <w:i/>
          <w:color w:val="auto"/>
          <w:sz w:val="24"/>
          <w:szCs w:val="24"/>
        </w:rPr>
        <w:t xml:space="preserve">IVA en la modalidad de importación Envíos Urgentes. </w:t>
      </w:r>
      <w:r>
        <w:rPr>
          <w:rFonts w:ascii="Arial" w:hAnsi="Arial" w:cs="Arial"/>
        </w:rPr>
        <w:t>De conformidad con lo establecido en el literal j) del artículo 428 del Estatuto Tribu</w:t>
      </w:r>
      <w:r>
        <w:rPr>
          <w:rFonts w:ascii="Arial" w:hAnsi="Arial" w:cs="Arial"/>
        </w:rPr>
        <w:t>tario, no causarán el impuesto sobre las ventas, las importaciones de envíos urgentes que ingresen bajo la modalidad de Tráfico Postal y Envíos Urgentes de que trata la Sección VIII del Capítulo VI del Título V del Decreto 2685 de 1999</w:t>
      </w:r>
      <w:r>
        <w:rPr>
          <w:rFonts w:ascii="Arial" w:hAnsi="Arial" w:cs="Arial"/>
          <w:lang w:val="es-CO"/>
        </w:rPr>
        <w:t xml:space="preserve"> o la norma que lo mo</w:t>
      </w:r>
      <w:r>
        <w:rPr>
          <w:rFonts w:ascii="Arial" w:hAnsi="Arial" w:cs="Arial"/>
          <w:lang w:val="es-CO"/>
        </w:rPr>
        <w:t>difique o sustituya</w:t>
      </w:r>
      <w:r>
        <w:rPr>
          <w:rFonts w:ascii="Arial" w:hAnsi="Arial" w:cs="Arial"/>
        </w:rPr>
        <w:t>, o bajo el régimen aduanero que sea creado en la norma que lo sustituya o modifique.</w:t>
      </w:r>
    </w:p>
    <w:p w14:paraId="0B4C6A11" w14:textId="77777777" w:rsidR="00B2442D" w:rsidRDefault="00B2442D">
      <w:pPr>
        <w:pStyle w:val="Cuerpodeltexto20"/>
        <w:shd w:val="clear" w:color="auto" w:fill="auto"/>
        <w:spacing w:line="40" w:lineRule="atLeast"/>
        <w:ind w:left="1" w:right="-3"/>
        <w:jc w:val="both"/>
        <w:rPr>
          <w:sz w:val="24"/>
          <w:szCs w:val="24"/>
        </w:rPr>
      </w:pPr>
    </w:p>
    <w:p w14:paraId="0D8DCEC4" w14:textId="77777777" w:rsidR="00B2442D" w:rsidRDefault="008A645F">
      <w:pPr>
        <w:pStyle w:val="Cuerpodeltexto20"/>
        <w:shd w:val="clear" w:color="auto" w:fill="auto"/>
        <w:spacing w:line="40" w:lineRule="atLeast"/>
        <w:ind w:left="1" w:right="-3"/>
        <w:jc w:val="both"/>
        <w:rPr>
          <w:sz w:val="24"/>
          <w:szCs w:val="24"/>
        </w:rPr>
      </w:pPr>
      <w:r>
        <w:rPr>
          <w:sz w:val="24"/>
          <w:szCs w:val="24"/>
          <w:lang w:val="es-ES" w:eastAsia="es-ES" w:bidi="es-ES"/>
        </w:rPr>
        <w:t>El valor de la mercancía no podrá exceder el monto de los doscientos dólares de los Estados Unidos de América (USD 200), sin incluir los gastos de ent</w:t>
      </w:r>
      <w:r>
        <w:rPr>
          <w:sz w:val="24"/>
          <w:szCs w:val="24"/>
          <w:lang w:val="es-ES" w:eastAsia="es-ES" w:bidi="es-ES"/>
        </w:rPr>
        <w:t>rega.</w:t>
      </w:r>
    </w:p>
    <w:p w14:paraId="1441FEB6" w14:textId="77777777" w:rsidR="00B2442D" w:rsidRDefault="00B2442D">
      <w:pPr>
        <w:pStyle w:val="Cuerpodeltexto20"/>
        <w:shd w:val="clear" w:color="auto" w:fill="auto"/>
        <w:spacing w:line="40" w:lineRule="atLeast"/>
        <w:ind w:left="1" w:right="-3"/>
        <w:jc w:val="both"/>
        <w:rPr>
          <w:sz w:val="24"/>
          <w:szCs w:val="24"/>
        </w:rPr>
      </w:pPr>
    </w:p>
    <w:p w14:paraId="42D546DC" w14:textId="77777777" w:rsidR="00B2442D" w:rsidRDefault="008A645F">
      <w:pPr>
        <w:jc w:val="both"/>
        <w:rPr>
          <w:rFonts w:ascii="Arial" w:hAnsi="Arial" w:cs="Arial"/>
        </w:rPr>
      </w:pPr>
      <w:r>
        <w:rPr>
          <w:rFonts w:ascii="Arial" w:hAnsi="Arial" w:cs="Arial"/>
          <w:lang w:bidi="es-ES"/>
        </w:rPr>
        <w:t>El procedimiento para la importación de estas mercancías, es el señalado en la Sección VIII de que trata el primer inciso de este artículo y en el Capítulo XI del Título V de la Resolución 4240 de 2000 o norma que la sustituya o modifique.</w:t>
      </w:r>
    </w:p>
    <w:p w14:paraId="0B0C4F59" w14:textId="77777777" w:rsidR="00B2442D" w:rsidRDefault="00B2442D">
      <w:pPr>
        <w:jc w:val="both"/>
        <w:rPr>
          <w:rFonts w:ascii="Arial" w:hAnsi="Arial" w:cs="Arial"/>
          <w:i/>
          <w:lang w:val="es-CO"/>
        </w:rPr>
      </w:pPr>
    </w:p>
    <w:p w14:paraId="724CD29C" w14:textId="77777777" w:rsidR="00B2442D" w:rsidRDefault="008A645F">
      <w:pPr>
        <w:jc w:val="both"/>
        <w:rPr>
          <w:rFonts w:ascii="Arial" w:hAnsi="Arial" w:cs="Arial"/>
          <w:i/>
          <w:lang w:val="es-CO"/>
        </w:rPr>
      </w:pPr>
      <w:r>
        <w:rPr>
          <w:rFonts w:ascii="Arial" w:hAnsi="Arial" w:cs="Arial"/>
          <w:i/>
          <w:lang w:val="es-CO"/>
        </w:rPr>
        <w:t>(Art. 1,</w:t>
      </w:r>
      <w:r>
        <w:rPr>
          <w:rFonts w:ascii="Arial" w:hAnsi="Arial" w:cs="Arial"/>
          <w:i/>
          <w:lang w:val="es-CO"/>
        </w:rPr>
        <w:t xml:space="preserve"> Decreto 1103 de 2014)</w:t>
      </w:r>
    </w:p>
    <w:p w14:paraId="08389D3E" w14:textId="77777777" w:rsidR="00B2442D" w:rsidRDefault="00B2442D">
      <w:pPr>
        <w:jc w:val="both"/>
        <w:rPr>
          <w:rFonts w:ascii="Arial" w:hAnsi="Arial" w:cs="Arial"/>
          <w:lang w:val="es-CO"/>
        </w:rPr>
      </w:pPr>
    </w:p>
    <w:p w14:paraId="7EF4FCA8" w14:textId="77777777" w:rsidR="00B2442D" w:rsidRDefault="008A645F">
      <w:pPr>
        <w:pStyle w:val="Prrafodelista"/>
        <w:numPr>
          <w:ilvl w:val="0"/>
          <w:numId w:val="73"/>
        </w:numPr>
        <w:ind w:left="0" w:firstLine="0"/>
        <w:jc w:val="both"/>
        <w:rPr>
          <w:rFonts w:ascii="Arial" w:hAnsi="Arial" w:cs="Arial"/>
        </w:rPr>
      </w:pPr>
      <w:r>
        <w:rPr>
          <w:rFonts w:ascii="Arial" w:hAnsi="Arial" w:cs="Arial"/>
          <w:b/>
          <w:i/>
        </w:rPr>
        <w:t>Requerimientos y controles aduaneros.</w:t>
      </w:r>
      <w:r>
        <w:rPr>
          <w:rFonts w:ascii="Arial" w:hAnsi="Arial" w:cs="Arial"/>
        </w:rPr>
        <w:t xml:space="preserve"> Las guías de empresas de mensajería especializada de cada envío urgente, deben venir completamente diligenciadas desde el lugar de origen, con inclusión del valor de la mercancía conforme con la</w:t>
      </w:r>
      <w:r>
        <w:rPr>
          <w:rFonts w:ascii="Arial" w:hAnsi="Arial" w:cs="Arial"/>
        </w:rPr>
        <w:t xml:space="preserve"> factura que presente el remitente, así como con los demás datos exigidos en el inciso cuarto del artículo 196 del Decreto 2685 de 1999</w:t>
      </w:r>
      <w:r>
        <w:rPr>
          <w:rFonts w:ascii="Arial" w:hAnsi="Arial" w:cs="Arial"/>
          <w:lang w:val="es-CO"/>
        </w:rPr>
        <w:t xml:space="preserve"> o la norma que lo modifique o sustituya</w:t>
      </w:r>
      <w:r>
        <w:rPr>
          <w:rFonts w:ascii="Arial" w:hAnsi="Arial" w:cs="Arial"/>
        </w:rPr>
        <w:t xml:space="preserve">. Los envíos urgentes deben estar rotulados con la información de que trata este </w:t>
      </w:r>
      <w:r>
        <w:rPr>
          <w:rFonts w:ascii="Arial" w:hAnsi="Arial" w:cs="Arial"/>
        </w:rPr>
        <w:t>inciso.</w:t>
      </w:r>
    </w:p>
    <w:p w14:paraId="178DAE86" w14:textId="77777777" w:rsidR="00B2442D" w:rsidRDefault="00B2442D">
      <w:pPr>
        <w:jc w:val="both"/>
        <w:rPr>
          <w:rFonts w:ascii="Arial" w:hAnsi="Arial" w:cs="Arial"/>
        </w:rPr>
      </w:pPr>
    </w:p>
    <w:p w14:paraId="316CF6F7" w14:textId="77777777" w:rsidR="00B2442D" w:rsidRDefault="008A645F">
      <w:pPr>
        <w:jc w:val="both"/>
        <w:rPr>
          <w:rFonts w:ascii="Arial" w:hAnsi="Arial" w:cs="Arial"/>
        </w:rPr>
      </w:pPr>
      <w:r>
        <w:rPr>
          <w:rFonts w:ascii="Arial" w:hAnsi="Arial" w:cs="Arial"/>
        </w:rPr>
        <w:t>Los envíos urgentes deberán arribar al territorio aduanero nacional, junto con la correspondiente factura comercial o documento que acredite la operación, el que deberá ser presentado por parte de la empresa de mensajería especializada cuando la a</w:t>
      </w:r>
      <w:r>
        <w:rPr>
          <w:rFonts w:ascii="Arial" w:hAnsi="Arial" w:cs="Arial"/>
        </w:rPr>
        <w:t>utoridad aduanera lo exija, ya sea en el lugar de arribo o con ocasión del control que se efectúe en el depósito habilitado del intermediario u operador de comercio exterior que sea autorizado.</w:t>
      </w:r>
    </w:p>
    <w:p w14:paraId="3C4B229E" w14:textId="77777777" w:rsidR="00B2442D" w:rsidRDefault="00B2442D">
      <w:pPr>
        <w:jc w:val="both"/>
        <w:rPr>
          <w:rFonts w:ascii="Arial" w:hAnsi="Arial" w:cs="Arial"/>
        </w:rPr>
      </w:pPr>
    </w:p>
    <w:p w14:paraId="297BECC7" w14:textId="77777777" w:rsidR="00B2442D" w:rsidRDefault="008A645F">
      <w:pPr>
        <w:jc w:val="both"/>
        <w:rPr>
          <w:rFonts w:ascii="Arial" w:hAnsi="Arial" w:cs="Arial"/>
        </w:rPr>
      </w:pPr>
      <w:r>
        <w:rPr>
          <w:rFonts w:ascii="Arial" w:hAnsi="Arial" w:cs="Arial"/>
        </w:rPr>
        <w:t xml:space="preserve">Cuando la factura comercial o documento que acredite la </w:t>
      </w:r>
      <w:r>
        <w:rPr>
          <w:rFonts w:ascii="Arial" w:hAnsi="Arial" w:cs="Arial"/>
        </w:rPr>
        <w:t>operación sea exigible en el control posterior, se deberá presentar a más tardar dentro de los dos (2) días siguientes a la fecha de su exigencia.</w:t>
      </w:r>
    </w:p>
    <w:p w14:paraId="12375EEB" w14:textId="77777777" w:rsidR="00B2442D" w:rsidRDefault="00B2442D">
      <w:pPr>
        <w:jc w:val="both"/>
        <w:rPr>
          <w:rFonts w:ascii="Arial" w:hAnsi="Arial" w:cs="Arial"/>
        </w:rPr>
      </w:pPr>
    </w:p>
    <w:p w14:paraId="714121EE" w14:textId="77777777" w:rsidR="00B2442D" w:rsidRDefault="008A645F">
      <w:pPr>
        <w:jc w:val="both"/>
        <w:rPr>
          <w:rFonts w:ascii="Arial" w:hAnsi="Arial" w:cs="Arial"/>
          <w:i/>
          <w:lang w:val="es-CO"/>
        </w:rPr>
      </w:pPr>
      <w:r>
        <w:rPr>
          <w:rFonts w:ascii="Arial" w:hAnsi="Arial" w:cs="Arial"/>
          <w:i/>
          <w:lang w:val="es-CO"/>
        </w:rPr>
        <w:t>(Art. 2, Decreto 1103 de 2014)</w:t>
      </w:r>
    </w:p>
    <w:p w14:paraId="6ABF8904" w14:textId="77777777" w:rsidR="00B2442D" w:rsidRDefault="00B2442D">
      <w:pPr>
        <w:jc w:val="both"/>
        <w:rPr>
          <w:rFonts w:ascii="Arial" w:hAnsi="Arial" w:cs="Arial"/>
        </w:rPr>
      </w:pPr>
    </w:p>
    <w:p w14:paraId="50F84B79" w14:textId="77777777" w:rsidR="00B2442D" w:rsidRDefault="008A645F">
      <w:pPr>
        <w:pStyle w:val="Prrafodelista"/>
        <w:numPr>
          <w:ilvl w:val="0"/>
          <w:numId w:val="73"/>
        </w:numPr>
        <w:ind w:left="0" w:firstLine="0"/>
        <w:jc w:val="both"/>
        <w:rPr>
          <w:rFonts w:ascii="Arial" w:hAnsi="Arial" w:cs="Arial"/>
        </w:rPr>
      </w:pPr>
      <w:r>
        <w:rPr>
          <w:rFonts w:ascii="Arial" w:hAnsi="Arial" w:cs="Arial"/>
          <w:b/>
          <w:i/>
        </w:rPr>
        <w:t>Sanciones.</w:t>
      </w:r>
      <w:r>
        <w:rPr>
          <w:rFonts w:ascii="Arial" w:hAnsi="Arial" w:cs="Arial"/>
        </w:rPr>
        <w:t xml:space="preserve"> El incumplimiento de las obligaciones establecidas en el presente</w:t>
      </w:r>
      <w:r>
        <w:rPr>
          <w:rFonts w:ascii="Arial" w:hAnsi="Arial" w:cs="Arial"/>
        </w:rPr>
        <w:t xml:space="preserve"> decreto dará lugar a la aplicación de las sanciones previstas en el Decreto 2685 de 1999 o en las normas que lo sustituyan o modifiquen.</w:t>
      </w:r>
    </w:p>
    <w:p w14:paraId="607445CF" w14:textId="77777777" w:rsidR="00B2442D" w:rsidRDefault="00B2442D">
      <w:pPr>
        <w:jc w:val="both"/>
        <w:rPr>
          <w:rFonts w:ascii="Arial" w:hAnsi="Arial" w:cs="Arial"/>
        </w:rPr>
      </w:pPr>
    </w:p>
    <w:p w14:paraId="67A702C5" w14:textId="77777777" w:rsidR="00B2442D" w:rsidRDefault="008A645F">
      <w:pPr>
        <w:jc w:val="both"/>
        <w:rPr>
          <w:rFonts w:ascii="Arial" w:hAnsi="Arial" w:cs="Arial"/>
          <w:i/>
          <w:lang w:val="es-CO"/>
        </w:rPr>
      </w:pPr>
      <w:r>
        <w:rPr>
          <w:rFonts w:ascii="Arial" w:hAnsi="Arial" w:cs="Arial"/>
          <w:i/>
          <w:lang w:val="es-CO"/>
        </w:rPr>
        <w:t>(Art. 3, Decreto 1103 de 2014)</w:t>
      </w:r>
    </w:p>
    <w:p w14:paraId="0D2220FA" w14:textId="77777777" w:rsidR="00B2442D" w:rsidRDefault="00B2442D">
      <w:pPr>
        <w:jc w:val="both"/>
        <w:rPr>
          <w:rFonts w:ascii="Arial" w:hAnsi="Arial" w:cs="Arial"/>
        </w:rPr>
      </w:pPr>
    </w:p>
    <w:p w14:paraId="7157CF63" w14:textId="77777777" w:rsidR="00B2442D" w:rsidRDefault="008A645F">
      <w:pPr>
        <w:pStyle w:val="Prrafodelista"/>
        <w:numPr>
          <w:ilvl w:val="0"/>
          <w:numId w:val="73"/>
        </w:numPr>
        <w:ind w:left="0" w:firstLine="0"/>
        <w:jc w:val="both"/>
        <w:rPr>
          <w:rFonts w:ascii="Arial" w:hAnsi="Arial" w:cs="Arial"/>
        </w:rPr>
      </w:pPr>
      <w:r>
        <w:rPr>
          <w:rFonts w:ascii="Arial" w:hAnsi="Arial" w:cs="Arial"/>
          <w:b/>
          <w:i/>
        </w:rPr>
        <w:t>Disposiciones finales.</w:t>
      </w:r>
      <w:r>
        <w:rPr>
          <w:rFonts w:ascii="Arial" w:hAnsi="Arial" w:cs="Arial"/>
        </w:rPr>
        <w:t xml:space="preserve"> En los aspectos no previstos en este decreto, se aplicarán las disposiciones establecidas en el Decreto 2685 de 1999 o en las normas que lo sustituyan o modifiquen.</w:t>
      </w:r>
    </w:p>
    <w:p w14:paraId="50BC0E7D" w14:textId="77777777" w:rsidR="00B2442D" w:rsidRDefault="00B2442D">
      <w:pPr>
        <w:jc w:val="both"/>
        <w:rPr>
          <w:rFonts w:ascii="Arial" w:hAnsi="Arial" w:cs="Arial"/>
          <w:lang w:val="es-CO"/>
        </w:rPr>
      </w:pPr>
    </w:p>
    <w:p w14:paraId="59849F42" w14:textId="77777777" w:rsidR="00B2442D" w:rsidRDefault="008A645F">
      <w:pPr>
        <w:jc w:val="both"/>
        <w:rPr>
          <w:rFonts w:ascii="Arial" w:hAnsi="Arial" w:cs="Arial"/>
          <w:i/>
          <w:lang w:val="es-CO"/>
        </w:rPr>
      </w:pPr>
      <w:r>
        <w:rPr>
          <w:rFonts w:ascii="Arial" w:hAnsi="Arial" w:cs="Arial"/>
          <w:i/>
          <w:lang w:val="es-CO"/>
        </w:rPr>
        <w:t>(Art. 4, Decreto 1103 de 2014)</w:t>
      </w:r>
    </w:p>
    <w:p w14:paraId="4FDE9C9D" w14:textId="77777777" w:rsidR="00B2442D" w:rsidRDefault="00B2442D">
      <w:pPr>
        <w:jc w:val="both"/>
        <w:rPr>
          <w:rFonts w:ascii="Arial" w:hAnsi="Arial" w:cs="Arial"/>
          <w:i/>
          <w:lang w:val="es-CO"/>
        </w:rPr>
      </w:pPr>
    </w:p>
    <w:p w14:paraId="2A2B139F" w14:textId="77777777" w:rsidR="00B2442D" w:rsidRDefault="008A645F">
      <w:pPr>
        <w:pStyle w:val="Ttulo4"/>
        <w:rPr>
          <w:lang w:val="es-CO"/>
        </w:rPr>
      </w:pPr>
      <w:r>
        <w:rPr>
          <w:lang w:val="es-CO"/>
        </w:rPr>
        <w:t>CAPÍTULO 15</w:t>
      </w:r>
    </w:p>
    <w:p w14:paraId="519C7368" w14:textId="77777777" w:rsidR="00B2442D" w:rsidRDefault="008A645F">
      <w:pPr>
        <w:pStyle w:val="Ttulo4"/>
        <w:rPr>
          <w:lang w:val="es-CO"/>
        </w:rPr>
      </w:pPr>
      <w:r>
        <w:rPr>
          <w:lang w:val="es-CO"/>
        </w:rPr>
        <w:t>Disposiciones del régimen simplificado del im</w:t>
      </w:r>
      <w:r>
        <w:rPr>
          <w:lang w:val="es-CO"/>
        </w:rPr>
        <w:t>puesto sobre las ventas -  IVA</w:t>
      </w:r>
    </w:p>
    <w:p w14:paraId="7A0442E8" w14:textId="77777777" w:rsidR="00B2442D" w:rsidRDefault="00B2442D">
      <w:pPr>
        <w:rPr>
          <w:rFonts w:ascii="Arial" w:hAnsi="Arial" w:cs="Arial"/>
          <w:lang w:val="es-CO"/>
        </w:rPr>
      </w:pPr>
    </w:p>
    <w:p w14:paraId="1087AE3A" w14:textId="77777777" w:rsidR="00B2442D" w:rsidRDefault="008A645F">
      <w:pPr>
        <w:pStyle w:val="Prrafodelista"/>
        <w:numPr>
          <w:ilvl w:val="0"/>
          <w:numId w:val="74"/>
        </w:numPr>
        <w:ind w:left="0" w:firstLine="0"/>
        <w:jc w:val="both"/>
        <w:rPr>
          <w:rFonts w:ascii="Arial" w:hAnsi="Arial" w:cs="Arial"/>
          <w:lang w:val="es-CO"/>
        </w:rPr>
      </w:pPr>
      <w:r>
        <w:rPr>
          <w:rFonts w:ascii="Arial" w:hAnsi="Arial" w:cs="Arial"/>
          <w:b/>
          <w:i/>
          <w:lang w:val="es-CO"/>
        </w:rPr>
        <w:t>Impuesto sobre las ventas como costo o gasto en renta.</w:t>
      </w:r>
      <w:r>
        <w:rPr>
          <w:rFonts w:ascii="Arial" w:hAnsi="Arial" w:cs="Arial"/>
          <w:lang w:val="es-CO"/>
        </w:rPr>
        <w:t xml:space="preserve"> Los responsables del régimen simplificado pueden llevar como costo o gasto en la declaración de renta el impuesto sobre las ventas pagado en la adquisición de bienes y s</w:t>
      </w:r>
      <w:r>
        <w:rPr>
          <w:rFonts w:ascii="Arial" w:hAnsi="Arial" w:cs="Arial"/>
          <w:lang w:val="es-CO"/>
        </w:rPr>
        <w:t xml:space="preserve">ervicios gravados. </w:t>
      </w:r>
    </w:p>
    <w:p w14:paraId="4033A8EF" w14:textId="77777777" w:rsidR="00B2442D" w:rsidRDefault="00B2442D">
      <w:pPr>
        <w:jc w:val="both"/>
        <w:rPr>
          <w:rFonts w:ascii="Arial" w:hAnsi="Arial" w:cs="Arial"/>
          <w:lang w:val="es-CO"/>
        </w:rPr>
      </w:pPr>
    </w:p>
    <w:p w14:paraId="18E4A5B4" w14:textId="77777777" w:rsidR="00B2442D" w:rsidRDefault="008A645F">
      <w:pPr>
        <w:jc w:val="both"/>
        <w:rPr>
          <w:rFonts w:ascii="Arial" w:hAnsi="Arial" w:cs="Arial"/>
          <w:lang w:val="es-CO"/>
        </w:rPr>
      </w:pPr>
      <w:r>
        <w:rPr>
          <w:rFonts w:ascii="Arial" w:hAnsi="Arial" w:cs="Arial"/>
          <w:lang w:val="es-CO"/>
        </w:rPr>
        <w:t xml:space="preserve">Para este efecto se requiere: </w:t>
      </w:r>
    </w:p>
    <w:p w14:paraId="16B5ABCE" w14:textId="77777777" w:rsidR="00B2442D" w:rsidRDefault="008A645F">
      <w:pPr>
        <w:jc w:val="both"/>
        <w:rPr>
          <w:rFonts w:ascii="Arial" w:hAnsi="Arial" w:cs="Arial"/>
          <w:lang w:val="es-CO"/>
        </w:rPr>
      </w:pPr>
      <w:r>
        <w:rPr>
          <w:rFonts w:ascii="Arial" w:hAnsi="Arial" w:cs="Arial"/>
          <w:lang w:val="es-CO"/>
        </w:rPr>
        <w:t xml:space="preserve"> </w:t>
      </w:r>
    </w:p>
    <w:p w14:paraId="528CC744" w14:textId="77777777" w:rsidR="00B2442D" w:rsidRDefault="008A645F">
      <w:pPr>
        <w:ind w:left="284" w:hanging="284"/>
        <w:jc w:val="both"/>
        <w:rPr>
          <w:rFonts w:ascii="Arial" w:hAnsi="Arial" w:cs="Arial"/>
          <w:lang w:val="es-CO"/>
        </w:rPr>
      </w:pPr>
      <w:r>
        <w:rPr>
          <w:rFonts w:ascii="Arial" w:hAnsi="Arial" w:cs="Arial"/>
          <w:lang w:val="es-CO"/>
        </w:rPr>
        <w:t xml:space="preserve">1. Que el IVA se encuentre discriminado en la factura debidamente expedida, o documento equivalente. </w:t>
      </w:r>
    </w:p>
    <w:p w14:paraId="7DC555D7" w14:textId="77777777" w:rsidR="00B2442D" w:rsidRDefault="00B2442D">
      <w:pPr>
        <w:ind w:left="284" w:hanging="284"/>
        <w:jc w:val="both"/>
        <w:rPr>
          <w:rFonts w:ascii="Arial" w:hAnsi="Arial" w:cs="Arial"/>
          <w:lang w:val="es-CO"/>
        </w:rPr>
      </w:pPr>
    </w:p>
    <w:p w14:paraId="167B06A7" w14:textId="77777777" w:rsidR="00B2442D" w:rsidRDefault="008A645F">
      <w:pPr>
        <w:ind w:left="284" w:hanging="284"/>
        <w:jc w:val="both"/>
        <w:rPr>
          <w:rFonts w:ascii="Arial" w:hAnsi="Arial" w:cs="Arial"/>
          <w:lang w:val="es-CO"/>
        </w:rPr>
      </w:pPr>
      <w:r>
        <w:rPr>
          <w:rFonts w:ascii="Arial" w:hAnsi="Arial" w:cs="Arial"/>
          <w:lang w:val="es-CO"/>
        </w:rPr>
        <w:t>2. Que los bienes y servicios adquiridos sean computables como costo o gasto de su actividad genera</w:t>
      </w:r>
      <w:r>
        <w:rPr>
          <w:rFonts w:ascii="Arial" w:hAnsi="Arial" w:cs="Arial"/>
          <w:lang w:val="es-CO"/>
        </w:rPr>
        <w:t xml:space="preserve">dora de renta. </w:t>
      </w:r>
    </w:p>
    <w:p w14:paraId="08BAFDBA" w14:textId="77777777" w:rsidR="00B2442D" w:rsidRDefault="00B2442D">
      <w:pPr>
        <w:ind w:left="284" w:hanging="284"/>
        <w:jc w:val="both"/>
        <w:rPr>
          <w:rFonts w:ascii="Arial" w:hAnsi="Arial" w:cs="Arial"/>
          <w:lang w:val="es-CO"/>
        </w:rPr>
      </w:pPr>
    </w:p>
    <w:p w14:paraId="08A47FDF" w14:textId="77777777" w:rsidR="00B2442D" w:rsidRDefault="008A645F">
      <w:pPr>
        <w:ind w:left="284" w:hanging="284"/>
        <w:jc w:val="both"/>
        <w:rPr>
          <w:rFonts w:ascii="Arial" w:hAnsi="Arial" w:cs="Arial"/>
          <w:lang w:val="es-CO"/>
        </w:rPr>
      </w:pPr>
      <w:r>
        <w:rPr>
          <w:rFonts w:ascii="Arial" w:hAnsi="Arial" w:cs="Arial"/>
          <w:lang w:val="es-CO"/>
        </w:rPr>
        <w:t>3. Que en el libro fiscal de Registro de Operaciones Diarias se registre el valor total de las compras, incluyendo el impuesto sobre las ventas.</w:t>
      </w:r>
    </w:p>
    <w:p w14:paraId="29CA4370" w14:textId="77777777" w:rsidR="00B2442D" w:rsidRDefault="00B2442D">
      <w:pPr>
        <w:jc w:val="both"/>
        <w:rPr>
          <w:rFonts w:ascii="Arial" w:hAnsi="Arial" w:cs="Arial"/>
          <w:i/>
          <w:lang w:val="es-CO"/>
        </w:rPr>
      </w:pPr>
    </w:p>
    <w:p w14:paraId="4F89E6B8" w14:textId="77777777" w:rsidR="00B2442D" w:rsidRDefault="008A645F">
      <w:pPr>
        <w:jc w:val="both"/>
        <w:rPr>
          <w:rFonts w:ascii="Arial" w:hAnsi="Arial" w:cs="Arial"/>
          <w:i/>
          <w:lang w:val="es-CO"/>
        </w:rPr>
      </w:pPr>
      <w:r>
        <w:rPr>
          <w:rFonts w:ascii="Arial" w:hAnsi="Arial" w:cs="Arial"/>
          <w:i/>
          <w:lang w:val="es-CO"/>
        </w:rPr>
        <w:t>(Art. 14, Decreto 0380 de 1996)</w:t>
      </w:r>
    </w:p>
    <w:p w14:paraId="7865022C" w14:textId="77777777" w:rsidR="00B2442D" w:rsidRDefault="00B2442D">
      <w:pPr>
        <w:jc w:val="both"/>
        <w:rPr>
          <w:rFonts w:ascii="Arial" w:hAnsi="Arial" w:cs="Arial"/>
          <w:lang w:val="es-CO"/>
        </w:rPr>
      </w:pPr>
    </w:p>
    <w:p w14:paraId="56115050" w14:textId="77777777" w:rsidR="00B2442D" w:rsidRDefault="008A645F">
      <w:pPr>
        <w:pStyle w:val="Prrafodelista"/>
        <w:numPr>
          <w:ilvl w:val="0"/>
          <w:numId w:val="74"/>
        </w:numPr>
        <w:ind w:left="0" w:firstLine="0"/>
        <w:jc w:val="both"/>
        <w:rPr>
          <w:rFonts w:ascii="Arial" w:hAnsi="Arial" w:cs="Arial"/>
          <w:lang w:val="es-CO"/>
        </w:rPr>
      </w:pPr>
      <w:r>
        <w:rPr>
          <w:rFonts w:ascii="Arial" w:hAnsi="Arial" w:cs="Arial"/>
          <w:b/>
          <w:i/>
          <w:lang w:val="es-CO"/>
        </w:rPr>
        <w:t xml:space="preserve">Disposiciones específicas para el régimen </w:t>
      </w:r>
      <w:r>
        <w:rPr>
          <w:rFonts w:ascii="Arial" w:hAnsi="Arial" w:cs="Arial"/>
          <w:b/>
          <w:i/>
          <w:lang w:val="es-CO"/>
        </w:rPr>
        <w:t>simplificado.</w:t>
      </w:r>
      <w:r>
        <w:rPr>
          <w:rFonts w:ascii="Arial" w:hAnsi="Arial" w:cs="Arial"/>
          <w:lang w:val="es-CO"/>
        </w:rPr>
        <w:t xml:space="preserve"> A los responsables pertenecientes al régimen simplificado no les está permitido: </w:t>
      </w:r>
    </w:p>
    <w:p w14:paraId="7142F07D" w14:textId="77777777" w:rsidR="00B2442D" w:rsidRDefault="008A645F">
      <w:pPr>
        <w:jc w:val="both"/>
        <w:rPr>
          <w:rFonts w:ascii="Arial" w:hAnsi="Arial" w:cs="Arial"/>
          <w:lang w:val="es-CO"/>
        </w:rPr>
      </w:pPr>
      <w:r>
        <w:rPr>
          <w:rFonts w:ascii="Arial" w:hAnsi="Arial" w:cs="Arial"/>
          <w:lang w:val="es-CO"/>
        </w:rPr>
        <w:t xml:space="preserve"> </w:t>
      </w:r>
    </w:p>
    <w:p w14:paraId="3010ED0A" w14:textId="77777777" w:rsidR="00B2442D" w:rsidRDefault="008A645F">
      <w:pPr>
        <w:ind w:left="284" w:hanging="284"/>
        <w:jc w:val="both"/>
        <w:rPr>
          <w:rFonts w:ascii="Arial" w:hAnsi="Arial" w:cs="Arial"/>
          <w:lang w:val="es-CO"/>
        </w:rPr>
      </w:pPr>
      <w:r>
        <w:rPr>
          <w:rFonts w:ascii="Arial" w:hAnsi="Arial" w:cs="Arial"/>
          <w:lang w:val="es-CO"/>
        </w:rPr>
        <w:t>a) Adicionar al precio de los bienes que vendan o de los servicios que presten, suma alguna por concepto del impuesto sobre las ventas. Si lo hicieren, deberá</w:t>
      </w:r>
      <w:r>
        <w:rPr>
          <w:rFonts w:ascii="Arial" w:hAnsi="Arial" w:cs="Arial"/>
          <w:lang w:val="es-CO"/>
        </w:rPr>
        <w:t xml:space="preserve">n cumplir íntegramente con las obligaciones de quienes pertenecen al régimen común;  </w:t>
      </w:r>
    </w:p>
    <w:p w14:paraId="14625567" w14:textId="77777777" w:rsidR="00B2442D" w:rsidRDefault="00B2442D">
      <w:pPr>
        <w:ind w:left="284" w:hanging="284"/>
        <w:jc w:val="both"/>
        <w:rPr>
          <w:rFonts w:ascii="Arial" w:hAnsi="Arial" w:cs="Arial"/>
          <w:lang w:val="es-CO"/>
        </w:rPr>
      </w:pPr>
    </w:p>
    <w:p w14:paraId="1B730FCF" w14:textId="77777777" w:rsidR="00B2442D" w:rsidRDefault="008A645F">
      <w:pPr>
        <w:ind w:left="284" w:hanging="284"/>
        <w:jc w:val="both"/>
        <w:rPr>
          <w:rFonts w:ascii="Arial" w:hAnsi="Arial" w:cs="Arial"/>
          <w:lang w:val="es-CO"/>
        </w:rPr>
      </w:pPr>
      <w:r>
        <w:rPr>
          <w:rFonts w:ascii="Arial" w:hAnsi="Arial" w:cs="Arial"/>
          <w:lang w:val="es-CO"/>
        </w:rPr>
        <w:t xml:space="preserve">b) Presentar declaración de ventas. Si la presentaren, no producirá efecto legal alguno conforme al artículo 594-2 del Estatuto Tributario;  </w:t>
      </w:r>
    </w:p>
    <w:p w14:paraId="2832454D" w14:textId="77777777" w:rsidR="00B2442D" w:rsidRDefault="00B2442D">
      <w:pPr>
        <w:ind w:left="284" w:hanging="284"/>
        <w:jc w:val="both"/>
        <w:rPr>
          <w:rFonts w:ascii="Arial" w:hAnsi="Arial" w:cs="Arial"/>
          <w:lang w:val="es-CO"/>
        </w:rPr>
      </w:pPr>
    </w:p>
    <w:p w14:paraId="2B99714B" w14:textId="77777777" w:rsidR="00B2442D" w:rsidRDefault="008A645F">
      <w:pPr>
        <w:ind w:left="284" w:hanging="284"/>
        <w:jc w:val="both"/>
        <w:rPr>
          <w:rFonts w:ascii="Arial" w:hAnsi="Arial" w:cs="Arial"/>
          <w:lang w:val="es-CO"/>
        </w:rPr>
      </w:pPr>
      <w:r>
        <w:rPr>
          <w:rFonts w:ascii="Arial" w:hAnsi="Arial" w:cs="Arial"/>
          <w:lang w:val="es-CO"/>
        </w:rPr>
        <w:t>c) Determinar el IVA a car</w:t>
      </w:r>
      <w:r>
        <w:rPr>
          <w:rFonts w:ascii="Arial" w:hAnsi="Arial" w:cs="Arial"/>
          <w:lang w:val="es-CO"/>
        </w:rPr>
        <w:t xml:space="preserve">go y solicitar impuestos descontables;  </w:t>
      </w:r>
    </w:p>
    <w:p w14:paraId="389C0750" w14:textId="77777777" w:rsidR="00B2442D" w:rsidRDefault="00B2442D">
      <w:pPr>
        <w:ind w:left="284" w:hanging="284"/>
        <w:jc w:val="both"/>
        <w:rPr>
          <w:rFonts w:ascii="Arial" w:hAnsi="Arial" w:cs="Arial"/>
          <w:lang w:val="es-CO"/>
        </w:rPr>
      </w:pPr>
    </w:p>
    <w:p w14:paraId="54D16353" w14:textId="77777777" w:rsidR="00B2442D" w:rsidRDefault="008A645F">
      <w:pPr>
        <w:ind w:left="284" w:hanging="284"/>
        <w:jc w:val="both"/>
        <w:rPr>
          <w:rFonts w:ascii="Arial" w:hAnsi="Arial" w:cs="Arial"/>
          <w:lang w:val="es-CO"/>
        </w:rPr>
      </w:pPr>
      <w:r>
        <w:rPr>
          <w:rFonts w:ascii="Arial" w:hAnsi="Arial" w:cs="Arial"/>
          <w:lang w:val="es-CO"/>
        </w:rPr>
        <w:t>d) Calcular el impuesto a las ventas en compras de bienes y servicios exentos o excluidos del IVA.</w:t>
      </w:r>
    </w:p>
    <w:p w14:paraId="7FDC4A21" w14:textId="77777777" w:rsidR="00B2442D" w:rsidRDefault="00B2442D">
      <w:pPr>
        <w:jc w:val="both"/>
        <w:rPr>
          <w:rFonts w:ascii="Arial" w:hAnsi="Arial" w:cs="Arial"/>
          <w:i/>
          <w:lang w:val="es-CO"/>
        </w:rPr>
      </w:pPr>
    </w:p>
    <w:p w14:paraId="4114D22B" w14:textId="77777777" w:rsidR="00B2442D" w:rsidRDefault="008A645F">
      <w:pPr>
        <w:jc w:val="both"/>
        <w:rPr>
          <w:rFonts w:ascii="Arial" w:hAnsi="Arial" w:cs="Arial"/>
          <w:i/>
          <w:lang w:val="es-CO"/>
        </w:rPr>
      </w:pPr>
      <w:r>
        <w:rPr>
          <w:rFonts w:ascii="Arial" w:hAnsi="Arial" w:cs="Arial"/>
          <w:i/>
          <w:lang w:val="es-CO"/>
        </w:rPr>
        <w:t>(Art. 15, Decreto 0380 de 1996)</w:t>
      </w:r>
    </w:p>
    <w:p w14:paraId="56CF90F7" w14:textId="77777777" w:rsidR="00B2442D" w:rsidRDefault="00B2442D">
      <w:pPr>
        <w:jc w:val="both"/>
        <w:rPr>
          <w:rFonts w:ascii="Arial" w:hAnsi="Arial" w:cs="Arial"/>
          <w:lang w:val="es-CO"/>
        </w:rPr>
      </w:pPr>
    </w:p>
    <w:p w14:paraId="73F9294C" w14:textId="77777777" w:rsidR="00B2442D" w:rsidRDefault="008A645F">
      <w:pPr>
        <w:pStyle w:val="Prrafodelista"/>
        <w:numPr>
          <w:ilvl w:val="0"/>
          <w:numId w:val="74"/>
        </w:numPr>
        <w:ind w:left="0" w:firstLine="0"/>
        <w:jc w:val="both"/>
        <w:rPr>
          <w:rFonts w:ascii="Arial" w:hAnsi="Arial" w:cs="Arial"/>
          <w:lang w:val="es-CO"/>
        </w:rPr>
      </w:pPr>
      <w:r>
        <w:rPr>
          <w:rFonts w:ascii="Arial" w:hAnsi="Arial" w:cs="Arial"/>
          <w:b/>
          <w:i/>
          <w:lang w:val="es-CO"/>
        </w:rPr>
        <w:t>Responsable del régimen simplificado que debe pasar al régimen común.</w:t>
      </w:r>
      <w:r>
        <w:rPr>
          <w:rFonts w:ascii="Arial" w:hAnsi="Arial" w:cs="Arial"/>
          <w:i/>
          <w:lang w:val="es-CO"/>
        </w:rPr>
        <w:t xml:space="preserve"> </w:t>
      </w:r>
      <w:r>
        <w:rPr>
          <w:rFonts w:ascii="Arial" w:hAnsi="Arial" w:cs="Arial"/>
          <w:lang w:val="es-CO"/>
        </w:rPr>
        <w:t>A partir de</w:t>
      </w:r>
      <w:r>
        <w:rPr>
          <w:rFonts w:ascii="Arial" w:hAnsi="Arial" w:cs="Arial"/>
          <w:lang w:val="es-CO"/>
        </w:rPr>
        <w:t xml:space="preserve"> la fecha en que el responsable del régimen simplificado incurra en la situación prevista en el literal a) del artículo 1.3.1.15.2 del presente Decreto, está obligado a cumplir los deberes propios de los responsables del régimen común, sin perjuicio de lo </w:t>
      </w:r>
      <w:r>
        <w:rPr>
          <w:rFonts w:ascii="Arial" w:hAnsi="Arial" w:cs="Arial"/>
          <w:lang w:val="es-CO"/>
        </w:rPr>
        <w:t>establecido en el artículo 508-1 del Estatuto Tributario.</w:t>
      </w:r>
    </w:p>
    <w:p w14:paraId="38B23315" w14:textId="77777777" w:rsidR="00B2442D" w:rsidRDefault="00B2442D">
      <w:pPr>
        <w:jc w:val="both"/>
        <w:rPr>
          <w:rFonts w:ascii="Arial" w:hAnsi="Arial" w:cs="Arial"/>
          <w:i/>
          <w:lang w:val="es-CO"/>
        </w:rPr>
      </w:pPr>
    </w:p>
    <w:p w14:paraId="275E8AD1" w14:textId="77777777" w:rsidR="00B2442D" w:rsidRDefault="008A645F">
      <w:pPr>
        <w:jc w:val="both"/>
        <w:rPr>
          <w:rFonts w:ascii="Arial" w:hAnsi="Arial" w:cs="Arial"/>
          <w:i/>
          <w:lang w:val="es-CO"/>
        </w:rPr>
      </w:pPr>
      <w:r>
        <w:rPr>
          <w:rFonts w:ascii="Arial" w:hAnsi="Arial" w:cs="Arial"/>
          <w:i/>
          <w:lang w:val="es-CO"/>
        </w:rPr>
        <w:t>(Art. 16, Decreto 0380 de 1996)</w:t>
      </w:r>
    </w:p>
    <w:p w14:paraId="710033C3" w14:textId="77777777" w:rsidR="00B2442D" w:rsidRDefault="00B2442D">
      <w:pPr>
        <w:jc w:val="both"/>
        <w:rPr>
          <w:rFonts w:ascii="Arial" w:hAnsi="Arial" w:cs="Arial"/>
          <w:b/>
          <w:lang w:val="es-CO"/>
        </w:rPr>
      </w:pPr>
    </w:p>
    <w:p w14:paraId="2FCEB6C1" w14:textId="77777777" w:rsidR="00B2442D" w:rsidRDefault="008A645F">
      <w:pPr>
        <w:pStyle w:val="Prrafodelista"/>
        <w:numPr>
          <w:ilvl w:val="0"/>
          <w:numId w:val="74"/>
        </w:numPr>
        <w:ind w:left="0" w:firstLine="0"/>
        <w:jc w:val="both"/>
        <w:rPr>
          <w:rFonts w:ascii="Arial" w:hAnsi="Arial" w:cs="Arial"/>
          <w:lang w:val="es-CO"/>
        </w:rPr>
      </w:pPr>
      <w:r>
        <w:rPr>
          <w:rFonts w:ascii="Arial" w:hAnsi="Arial" w:cs="Arial"/>
          <w:b/>
          <w:i/>
          <w:lang w:val="es-CO"/>
        </w:rPr>
        <w:t>Régimen simplificado para los productores de bienes exentos agropecuarios del artículo 477 del Estatuto Tributario.</w:t>
      </w:r>
      <w:r>
        <w:rPr>
          <w:rFonts w:ascii="Arial" w:hAnsi="Arial" w:cs="Arial"/>
          <w:lang w:val="es-CO"/>
        </w:rPr>
        <w:t xml:space="preserve"> Los productores de bienes exentos agropecuarios </w:t>
      </w:r>
      <w:r>
        <w:rPr>
          <w:rFonts w:ascii="Arial" w:hAnsi="Arial" w:cs="Arial"/>
          <w:lang w:val="es-CO"/>
        </w:rPr>
        <w:t>de que trata el artículo 477 del Estatuto Tributario pertenecen al régimen simplificado del impuesto sobre las ventas, siempre y cuando cumplan con lo dispuesto en el artículo 499 del Estatuto Tributario. En todo caso, cuando un productor de estos bienes p</w:t>
      </w:r>
      <w:r>
        <w:rPr>
          <w:rFonts w:ascii="Arial" w:hAnsi="Arial" w:cs="Arial"/>
          <w:lang w:val="es-CO"/>
        </w:rPr>
        <w:t>retenda solicitar impuestos descontables con derecho a devolución o compensación, de acuerdo con lo indicado en los parágrafos 1° y 2° del artículo 477 del Estatuto Tributario, estará obligado a inscribirse como responsable del régimen común del impuesto s</w:t>
      </w:r>
      <w:r>
        <w:rPr>
          <w:rFonts w:ascii="Arial" w:hAnsi="Arial" w:cs="Arial"/>
          <w:lang w:val="es-CO"/>
        </w:rPr>
        <w:t>obre las ventas y a cumplir con todas las obligaciones derivadas del mismo.</w:t>
      </w:r>
    </w:p>
    <w:p w14:paraId="2845C7C8" w14:textId="77777777" w:rsidR="00B2442D" w:rsidRDefault="00B2442D">
      <w:pPr>
        <w:jc w:val="both"/>
        <w:rPr>
          <w:rFonts w:ascii="Arial" w:hAnsi="Arial" w:cs="Arial"/>
          <w:i/>
          <w:lang w:val="es-CO"/>
        </w:rPr>
      </w:pPr>
    </w:p>
    <w:p w14:paraId="180E09F1" w14:textId="77777777" w:rsidR="00B2442D" w:rsidRDefault="008A645F">
      <w:pPr>
        <w:jc w:val="both"/>
        <w:rPr>
          <w:rFonts w:ascii="Arial" w:hAnsi="Arial" w:cs="Arial"/>
          <w:i/>
          <w:lang w:val="es-CO"/>
        </w:rPr>
      </w:pPr>
      <w:r>
        <w:rPr>
          <w:rFonts w:ascii="Arial" w:hAnsi="Arial" w:cs="Arial"/>
          <w:i/>
          <w:lang w:val="es-CO"/>
        </w:rPr>
        <w:t>(Art. 17, Decreto 1794 de 2013)</w:t>
      </w:r>
    </w:p>
    <w:p w14:paraId="6DA0248F" w14:textId="77777777" w:rsidR="00B2442D" w:rsidRDefault="00B2442D">
      <w:pPr>
        <w:jc w:val="both"/>
        <w:rPr>
          <w:rFonts w:ascii="Arial" w:hAnsi="Arial" w:cs="Arial"/>
          <w:i/>
          <w:lang w:val="es-CO"/>
        </w:rPr>
      </w:pPr>
    </w:p>
    <w:p w14:paraId="33A78320" w14:textId="77777777" w:rsidR="00B2442D" w:rsidRDefault="008A645F">
      <w:pPr>
        <w:pStyle w:val="Ttulo4"/>
        <w:rPr>
          <w:lang w:val="es-CO"/>
        </w:rPr>
      </w:pPr>
      <w:r>
        <w:rPr>
          <w:lang w:val="es-CO"/>
        </w:rPr>
        <w:t>CAPÍTULO 16</w:t>
      </w:r>
    </w:p>
    <w:p w14:paraId="3C5E4229" w14:textId="77777777" w:rsidR="00B2442D" w:rsidRDefault="008A645F">
      <w:pPr>
        <w:pStyle w:val="Ttulo4"/>
        <w:rPr>
          <w:lang w:val="es-CO"/>
        </w:rPr>
      </w:pPr>
      <w:r>
        <w:rPr>
          <w:lang w:val="es-CO"/>
        </w:rPr>
        <w:t>Obligaciones tributarias a que están sometidos los importadores de combustibles derivados del petróleo</w:t>
      </w:r>
    </w:p>
    <w:p w14:paraId="071CE914" w14:textId="77777777" w:rsidR="00B2442D" w:rsidRDefault="00B2442D">
      <w:pPr>
        <w:rPr>
          <w:rFonts w:ascii="Arial" w:hAnsi="Arial" w:cs="Arial"/>
          <w:lang w:val="es-CO"/>
        </w:rPr>
      </w:pPr>
    </w:p>
    <w:p w14:paraId="7B2650FF" w14:textId="77777777" w:rsidR="00B2442D" w:rsidRDefault="008A645F">
      <w:pPr>
        <w:pStyle w:val="Prrafodelista"/>
        <w:numPr>
          <w:ilvl w:val="0"/>
          <w:numId w:val="75"/>
        </w:numPr>
        <w:ind w:left="0" w:firstLine="0"/>
        <w:jc w:val="both"/>
        <w:rPr>
          <w:rFonts w:ascii="Arial" w:hAnsi="Arial" w:cs="Arial"/>
          <w:lang w:val="es-CO"/>
        </w:rPr>
      </w:pPr>
      <w:r>
        <w:rPr>
          <w:rFonts w:ascii="Arial" w:hAnsi="Arial" w:cs="Arial"/>
          <w:b/>
          <w:i/>
          <w:lang w:val="es-CO"/>
        </w:rPr>
        <w:t xml:space="preserve">De las </w:t>
      </w:r>
      <w:r>
        <w:rPr>
          <w:rFonts w:ascii="Arial" w:hAnsi="Arial" w:cs="Arial"/>
          <w:b/>
          <w:i/>
          <w:lang w:val="es-CO"/>
        </w:rPr>
        <w:t>obligaciones tributarias a que están sometidos los importadores de combustibles derivados del petróleo</w:t>
      </w:r>
      <w:r>
        <w:rPr>
          <w:rFonts w:ascii="Arial" w:hAnsi="Arial" w:cs="Arial"/>
          <w:b/>
          <w:lang w:val="es-CO"/>
        </w:rPr>
        <w:t>.</w:t>
      </w:r>
      <w:r>
        <w:rPr>
          <w:rFonts w:ascii="Arial" w:hAnsi="Arial" w:cs="Arial"/>
          <w:lang w:val="es-CO"/>
        </w:rPr>
        <w:t xml:space="preserve"> Los importadores de combustibles para consumo propio o venta dentro del territorio nacional, deberán pagar los impuestos de ley. El gravamen arancelario</w:t>
      </w:r>
      <w:r>
        <w:rPr>
          <w:rFonts w:ascii="Arial" w:hAnsi="Arial" w:cs="Arial"/>
          <w:lang w:val="es-CO"/>
        </w:rPr>
        <w:t xml:space="preserve"> será el establecido en el arancel de aduanas, de conformidad con las normas que rigen la materia. El impuesto sobre las ventas se liquidará con base en la estructura de precios vigentes según la respectiva resolución del Ministerio de Minas y Energía que </w:t>
      </w:r>
      <w:r>
        <w:rPr>
          <w:rFonts w:ascii="Arial" w:hAnsi="Arial" w:cs="Arial"/>
          <w:lang w:val="es-CO"/>
        </w:rPr>
        <w:t xml:space="preserve">rija para la fecha de presentación de la Declaración de Importación y de acuerdo con el artículo 465 del Estatuto Tributario. </w:t>
      </w:r>
    </w:p>
    <w:p w14:paraId="07FE3157" w14:textId="77777777" w:rsidR="00B2442D" w:rsidRDefault="008A645F">
      <w:pPr>
        <w:jc w:val="both"/>
        <w:rPr>
          <w:rFonts w:ascii="Arial" w:hAnsi="Arial" w:cs="Arial"/>
          <w:lang w:val="es-CO"/>
        </w:rPr>
      </w:pPr>
      <w:r>
        <w:rPr>
          <w:rFonts w:ascii="Arial" w:hAnsi="Arial" w:cs="Arial"/>
          <w:lang w:val="es-CO"/>
        </w:rPr>
        <w:t xml:space="preserve"> </w:t>
      </w:r>
    </w:p>
    <w:p w14:paraId="3DB77CE5"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b/>
          <w:i/>
          <w:lang w:val="es-CO"/>
        </w:rPr>
        <w:t>De la liquidación del impuesto sobre las ventas.</w:t>
      </w:r>
      <w:r>
        <w:rPr>
          <w:rFonts w:ascii="Arial" w:hAnsi="Arial" w:cs="Arial"/>
          <w:lang w:val="es-CO"/>
        </w:rPr>
        <w:t xml:space="preserve"> Cuando el importador efectúe venta de combustibles derivados del pe</w:t>
      </w:r>
      <w:r>
        <w:rPr>
          <w:rFonts w:ascii="Arial" w:hAnsi="Arial" w:cs="Arial"/>
          <w:lang w:val="es-CO"/>
        </w:rPr>
        <w:t xml:space="preserve">tróleo importados, facturará como impuesto sobre las ventas, el monto correspondiente según la respectiva estructura de precios vigentes establecida por resolución del Ministerio de Minas y Energía. </w:t>
      </w:r>
    </w:p>
    <w:p w14:paraId="433F3010" w14:textId="77777777" w:rsidR="00B2442D" w:rsidRDefault="008A645F">
      <w:pPr>
        <w:jc w:val="both"/>
        <w:rPr>
          <w:rFonts w:ascii="Arial" w:hAnsi="Arial" w:cs="Arial"/>
          <w:lang w:val="es-CO"/>
        </w:rPr>
      </w:pPr>
      <w:r>
        <w:rPr>
          <w:rFonts w:ascii="Arial" w:hAnsi="Arial" w:cs="Arial"/>
          <w:lang w:val="es-CO"/>
        </w:rPr>
        <w:t xml:space="preserve"> </w:t>
      </w:r>
    </w:p>
    <w:p w14:paraId="6A23AB9A" w14:textId="77777777" w:rsidR="00B2442D" w:rsidRDefault="008A645F">
      <w:pPr>
        <w:jc w:val="both"/>
        <w:rPr>
          <w:rFonts w:ascii="Arial" w:hAnsi="Arial" w:cs="Arial"/>
          <w:lang w:val="es-CO"/>
        </w:rPr>
      </w:pPr>
      <w:r>
        <w:rPr>
          <w:rFonts w:ascii="Arial" w:hAnsi="Arial" w:cs="Arial"/>
          <w:lang w:val="es-CO"/>
        </w:rPr>
        <w:t xml:space="preserve">El impuesto sobre las ventas pagado por el importador </w:t>
      </w:r>
      <w:r>
        <w:rPr>
          <w:rFonts w:ascii="Arial" w:hAnsi="Arial" w:cs="Arial"/>
          <w:lang w:val="es-CO"/>
        </w:rPr>
        <w:t>constituye un impuesto descontable de acuerdo con lo previsto en los artículos 485 y siguientes del Estatuto Tributario.</w:t>
      </w:r>
    </w:p>
    <w:p w14:paraId="757B3252" w14:textId="77777777" w:rsidR="00B2442D" w:rsidRDefault="00B2442D">
      <w:pPr>
        <w:jc w:val="both"/>
        <w:rPr>
          <w:rFonts w:ascii="Arial" w:hAnsi="Arial" w:cs="Arial"/>
          <w:i/>
          <w:lang w:val="es-CO"/>
        </w:rPr>
      </w:pPr>
    </w:p>
    <w:p w14:paraId="12466BE7" w14:textId="77777777" w:rsidR="00B2442D" w:rsidRDefault="008A645F">
      <w:pPr>
        <w:jc w:val="both"/>
        <w:rPr>
          <w:rFonts w:ascii="Arial" w:hAnsi="Arial" w:cs="Arial"/>
          <w:i/>
          <w:lang w:val="es-CO"/>
        </w:rPr>
      </w:pPr>
      <w:r>
        <w:rPr>
          <w:rFonts w:ascii="Arial" w:hAnsi="Arial" w:cs="Arial"/>
          <w:i/>
          <w:lang w:val="es-CO"/>
        </w:rPr>
        <w:t>(Art. 3, Decreto 1082 de 1994)</w:t>
      </w:r>
    </w:p>
    <w:p w14:paraId="32A636FD" w14:textId="77777777" w:rsidR="00B2442D" w:rsidRDefault="00B2442D">
      <w:pPr>
        <w:jc w:val="both"/>
        <w:rPr>
          <w:rFonts w:ascii="Arial" w:hAnsi="Arial" w:cs="Arial"/>
          <w:lang w:val="es-CO"/>
        </w:rPr>
      </w:pPr>
    </w:p>
    <w:p w14:paraId="2D9858FC" w14:textId="77777777" w:rsidR="00B2442D" w:rsidRDefault="008A645F">
      <w:pPr>
        <w:pStyle w:val="Prrafodelista"/>
        <w:numPr>
          <w:ilvl w:val="0"/>
          <w:numId w:val="75"/>
        </w:numPr>
        <w:ind w:left="0" w:firstLine="0"/>
        <w:jc w:val="both"/>
        <w:rPr>
          <w:rFonts w:ascii="Arial" w:hAnsi="Arial" w:cs="Arial"/>
          <w:lang w:val="es-CO"/>
        </w:rPr>
      </w:pPr>
      <w:r>
        <w:rPr>
          <w:rFonts w:ascii="Arial" w:hAnsi="Arial" w:cs="Arial"/>
          <w:b/>
          <w:i/>
          <w:lang w:val="es-CO"/>
        </w:rPr>
        <w:t>Del giro de los recaudos por concepto de gravámenes arancelarios e impuesto sobre las ventas en las im</w:t>
      </w:r>
      <w:r>
        <w:rPr>
          <w:rFonts w:ascii="Arial" w:hAnsi="Arial" w:cs="Arial"/>
          <w:b/>
          <w:i/>
          <w:lang w:val="es-CO"/>
        </w:rPr>
        <w:t>portaciones de combustibles derivados del petróleo.</w:t>
      </w:r>
      <w:r>
        <w:rPr>
          <w:rFonts w:ascii="Arial" w:hAnsi="Arial" w:cs="Arial"/>
          <w:lang w:val="es-CO"/>
        </w:rPr>
        <w:t xml:space="preserve"> Los recaudos que se causen con motivo de las importaciones a que se refiere el presente artículo, y su posterior consignación a favor de la Dirección General del Tesoro, se regirá por los convenios celebr</w:t>
      </w:r>
      <w:r>
        <w:rPr>
          <w:rFonts w:ascii="Arial" w:hAnsi="Arial" w:cs="Arial"/>
          <w:lang w:val="es-CO"/>
        </w:rPr>
        <w:t>ados entre la Unidad Administrativa Especial Dirección de Impuestos y Aduanas Nacionales- DIAN y las entidades recaudadoras con sujeción a las normas que los rijan.</w:t>
      </w:r>
    </w:p>
    <w:p w14:paraId="489A838E" w14:textId="77777777" w:rsidR="00B2442D" w:rsidRDefault="00B2442D">
      <w:pPr>
        <w:jc w:val="both"/>
        <w:rPr>
          <w:rFonts w:ascii="Arial" w:hAnsi="Arial" w:cs="Arial"/>
          <w:i/>
          <w:lang w:val="es-CO"/>
        </w:rPr>
      </w:pPr>
    </w:p>
    <w:p w14:paraId="6AB5A76A" w14:textId="77777777" w:rsidR="00B2442D" w:rsidRDefault="008A645F">
      <w:pPr>
        <w:jc w:val="both"/>
        <w:rPr>
          <w:rFonts w:ascii="Arial" w:hAnsi="Arial" w:cs="Arial"/>
          <w:i/>
          <w:lang w:val="es-CO"/>
        </w:rPr>
      </w:pPr>
      <w:r>
        <w:rPr>
          <w:rFonts w:ascii="Arial" w:hAnsi="Arial" w:cs="Arial"/>
          <w:i/>
          <w:lang w:val="es-CO"/>
        </w:rPr>
        <w:t>(Art. 4, Decreto 1082 de 1994)</w:t>
      </w:r>
    </w:p>
    <w:p w14:paraId="55E47CA0" w14:textId="77777777" w:rsidR="00B2442D" w:rsidRDefault="00B2442D">
      <w:pPr>
        <w:jc w:val="both"/>
        <w:rPr>
          <w:rFonts w:ascii="Arial" w:hAnsi="Arial" w:cs="Arial"/>
          <w:lang w:val="es-CO"/>
        </w:rPr>
      </w:pPr>
    </w:p>
    <w:p w14:paraId="398DEE47" w14:textId="77777777" w:rsidR="00B2442D" w:rsidRDefault="008A645F">
      <w:pPr>
        <w:pStyle w:val="Ttulo3"/>
      </w:pPr>
      <w:bookmarkStart w:id="22" w:name="_Toc479171177"/>
      <w:r>
        <w:t>TÍTULO 2</w:t>
      </w:r>
      <w:bookmarkEnd w:id="22"/>
    </w:p>
    <w:p w14:paraId="14FADFB4" w14:textId="77777777" w:rsidR="00B2442D" w:rsidRDefault="008A645F">
      <w:pPr>
        <w:pStyle w:val="Ttulo3"/>
      </w:pPr>
      <w:bookmarkStart w:id="23" w:name="_Toc479171178"/>
      <w:r>
        <w:t>Retención en la fuente a título de impuesto sobre</w:t>
      </w:r>
      <w:r>
        <w:t xml:space="preserve"> las ventas - IVA</w:t>
      </w:r>
      <w:bookmarkEnd w:id="23"/>
    </w:p>
    <w:p w14:paraId="7764C1EC" w14:textId="77777777" w:rsidR="00B2442D" w:rsidRDefault="00B2442D">
      <w:pPr>
        <w:jc w:val="both"/>
        <w:rPr>
          <w:rFonts w:ascii="Arial" w:hAnsi="Arial" w:cs="Arial"/>
          <w:b/>
          <w:lang w:val="es-CO"/>
        </w:rPr>
      </w:pPr>
    </w:p>
    <w:p w14:paraId="6F706A26" w14:textId="77777777" w:rsidR="00B2442D" w:rsidRDefault="008A645F">
      <w:pPr>
        <w:pStyle w:val="Ttulo4"/>
        <w:rPr>
          <w:lang w:val="es-CO"/>
        </w:rPr>
      </w:pPr>
      <w:r>
        <w:rPr>
          <w:lang w:val="es-CO"/>
        </w:rPr>
        <w:t>CAPÍTULO 1</w:t>
      </w:r>
    </w:p>
    <w:p w14:paraId="46A537E7" w14:textId="77777777" w:rsidR="00B2442D" w:rsidRDefault="008A645F">
      <w:pPr>
        <w:pStyle w:val="Ttulo4"/>
        <w:rPr>
          <w:lang w:val="es-CO"/>
        </w:rPr>
      </w:pPr>
      <w:r>
        <w:rPr>
          <w:lang w:val="es-CO"/>
        </w:rPr>
        <w:t>Agentes retenedores, tarifas y conceptos de retención a título de impuesto sobre las ventas – IVA</w:t>
      </w:r>
    </w:p>
    <w:p w14:paraId="4B5E7BBF" w14:textId="77777777" w:rsidR="00B2442D" w:rsidRDefault="00B2442D">
      <w:pPr>
        <w:rPr>
          <w:rFonts w:ascii="Arial" w:hAnsi="Arial" w:cs="Arial"/>
          <w:lang w:val="es-CO"/>
        </w:rPr>
      </w:pPr>
    </w:p>
    <w:p w14:paraId="02BE3EA2"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 xml:space="preserve">Agentes retenedores del impuesto sobre las ventas del maíz y el arroz de uso industrial. </w:t>
      </w:r>
      <w:r>
        <w:rPr>
          <w:rFonts w:ascii="Arial" w:hAnsi="Arial" w:cs="Arial"/>
          <w:lang w:val="es-CO"/>
        </w:rPr>
        <w:t xml:space="preserve">Actuarán como agentes retenedores del </w:t>
      </w:r>
      <w:r>
        <w:rPr>
          <w:rFonts w:ascii="Arial" w:hAnsi="Arial" w:cs="Arial"/>
          <w:lang w:val="es-CO"/>
        </w:rPr>
        <w:t>impuesto sobre las ventas los productores industriales que importen o adquieran el arroz o el maíz para transformarlos en productos diferentes al grano para consumo, de conformidad con la autorización que expida el Director General de la Unidad Administrat</w:t>
      </w:r>
      <w:r>
        <w:rPr>
          <w:rFonts w:ascii="Arial" w:hAnsi="Arial" w:cs="Arial"/>
          <w:lang w:val="es-CO"/>
        </w:rPr>
        <w:t>iva Especial Dirección de Impuestos y Aduanas Nacionales -DIAN.</w:t>
      </w:r>
    </w:p>
    <w:p w14:paraId="57758413" w14:textId="77777777" w:rsidR="00B2442D" w:rsidRDefault="00B2442D">
      <w:pPr>
        <w:jc w:val="both"/>
        <w:rPr>
          <w:rFonts w:ascii="Arial" w:hAnsi="Arial" w:cs="Arial"/>
          <w:i/>
          <w:lang w:val="es-CO"/>
        </w:rPr>
      </w:pPr>
    </w:p>
    <w:p w14:paraId="5258A1B9" w14:textId="77777777" w:rsidR="00B2442D" w:rsidRDefault="008A645F">
      <w:pPr>
        <w:jc w:val="both"/>
        <w:rPr>
          <w:rFonts w:ascii="Arial" w:hAnsi="Arial" w:cs="Arial"/>
          <w:i/>
          <w:lang w:val="es-CO"/>
        </w:rPr>
      </w:pPr>
      <w:r>
        <w:rPr>
          <w:rFonts w:ascii="Arial" w:hAnsi="Arial" w:cs="Arial"/>
          <w:i/>
          <w:lang w:val="es-CO"/>
        </w:rPr>
        <w:t>(Art. 18, Decreto 522 de 2003)</w:t>
      </w:r>
      <w:r>
        <w:rPr>
          <w:rFonts w:ascii="Arial" w:hAnsi="Arial" w:cs="Arial"/>
        </w:rPr>
        <w:t xml:space="preserve"> </w:t>
      </w:r>
      <w:r>
        <w:rPr>
          <w:rFonts w:ascii="Arial" w:hAnsi="Arial" w:cs="Arial"/>
          <w:i/>
          <w:lang w:val="es-CO"/>
        </w:rPr>
        <w:t>(El Decreto 522 de 2003 rige a partir de la fecha de su publicación y deroga los artículos 1° del Decreto 1001 de 1997, 6° del Decreto 3050 de 1997, y las dispo</w:t>
      </w:r>
      <w:r>
        <w:rPr>
          <w:rFonts w:ascii="Arial" w:hAnsi="Arial" w:cs="Arial"/>
          <w:i/>
          <w:lang w:val="es-CO"/>
        </w:rPr>
        <w:t>siciones que le sean contrarias. Art. 27, Decreto 522 de 2003)</w:t>
      </w:r>
    </w:p>
    <w:p w14:paraId="2D41185D" w14:textId="77777777" w:rsidR="00B2442D" w:rsidRDefault="00B2442D">
      <w:pPr>
        <w:jc w:val="both"/>
        <w:rPr>
          <w:rFonts w:ascii="Arial" w:hAnsi="Arial" w:cs="Arial"/>
          <w:i/>
          <w:lang w:val="es-CO"/>
        </w:rPr>
      </w:pPr>
    </w:p>
    <w:p w14:paraId="35507FAD"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 xml:space="preserve">Otros agentes de retención en la fuente sobre ingresos de tarjetas de crédito y/o débito. </w:t>
      </w:r>
      <w:r>
        <w:rPr>
          <w:rFonts w:ascii="Arial" w:hAnsi="Arial" w:cs="Arial"/>
          <w:lang w:val="es-CO"/>
        </w:rPr>
        <w:t xml:space="preserve">Cuando los pagos o abonos en cuenta susceptibles de constituir ingreso tributario a favor de las </w:t>
      </w:r>
      <w:r>
        <w:rPr>
          <w:rFonts w:ascii="Arial" w:hAnsi="Arial" w:cs="Arial"/>
          <w:lang w:val="es-CO"/>
        </w:rPr>
        <w:t>personas o establecimientos afiliados a los sistemas de tarjetas de crédito o débito, se realicen por intermedio de las entidades adquirentes o pagadoras, la retención en la fuente deberá ser practicada por dichas entidades conforme a la tarifa, base, y de</w:t>
      </w:r>
      <w:r>
        <w:rPr>
          <w:rFonts w:ascii="Arial" w:hAnsi="Arial" w:cs="Arial"/>
          <w:lang w:val="es-CO"/>
        </w:rPr>
        <w:t>más condiciones previstas por el artículo 1.3.2.1.8. del presente decreto.</w:t>
      </w:r>
    </w:p>
    <w:p w14:paraId="6C3EEC28" w14:textId="77777777" w:rsidR="00B2442D" w:rsidRDefault="00B2442D">
      <w:pPr>
        <w:jc w:val="both"/>
        <w:rPr>
          <w:rFonts w:ascii="Arial" w:hAnsi="Arial" w:cs="Arial"/>
          <w:b/>
          <w:lang w:val="es-CO"/>
        </w:rPr>
      </w:pPr>
    </w:p>
    <w:p w14:paraId="44F6B257" w14:textId="77777777" w:rsidR="00B2442D" w:rsidRDefault="008A645F">
      <w:pPr>
        <w:jc w:val="both"/>
        <w:rPr>
          <w:rFonts w:ascii="Arial" w:hAnsi="Arial" w:cs="Arial"/>
          <w:i/>
          <w:lang w:val="es-CO"/>
        </w:rPr>
      </w:pPr>
      <w:r>
        <w:rPr>
          <w:rFonts w:ascii="Arial" w:hAnsi="Arial" w:cs="Arial"/>
          <w:i/>
          <w:lang w:val="es-CO"/>
        </w:rPr>
        <w:t>(Art. 1, Decreto 556 de 2001)</w:t>
      </w:r>
    </w:p>
    <w:p w14:paraId="47249E87" w14:textId="77777777" w:rsidR="00B2442D" w:rsidRDefault="00B2442D">
      <w:pPr>
        <w:jc w:val="both"/>
        <w:rPr>
          <w:rFonts w:ascii="Arial" w:hAnsi="Arial" w:cs="Arial"/>
          <w:i/>
          <w:lang w:val="es-CO"/>
        </w:rPr>
      </w:pPr>
    </w:p>
    <w:p w14:paraId="62E28299"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Agentes de retención en el impuesto sobre las ventas.</w:t>
      </w:r>
      <w:r>
        <w:rPr>
          <w:rFonts w:ascii="Arial" w:hAnsi="Arial" w:cs="Arial"/>
          <w:lang w:val="es-CO"/>
        </w:rPr>
        <w:t xml:space="preserve"> Son agentes de retención del impuesto sobre las ventas las siguientes entidades y personas: </w:t>
      </w:r>
    </w:p>
    <w:p w14:paraId="26B91474" w14:textId="77777777" w:rsidR="00B2442D" w:rsidRDefault="008A645F">
      <w:pPr>
        <w:jc w:val="both"/>
        <w:rPr>
          <w:rFonts w:ascii="Arial" w:hAnsi="Arial" w:cs="Arial"/>
          <w:lang w:val="es-CO"/>
        </w:rPr>
      </w:pPr>
      <w:r>
        <w:rPr>
          <w:rFonts w:ascii="Arial" w:hAnsi="Arial" w:cs="Arial"/>
          <w:lang w:val="es-CO"/>
        </w:rPr>
        <w:t xml:space="preserve"> </w:t>
      </w:r>
    </w:p>
    <w:p w14:paraId="25527D0F" w14:textId="77777777" w:rsidR="00B2442D" w:rsidRDefault="008A645F">
      <w:pPr>
        <w:jc w:val="both"/>
        <w:rPr>
          <w:rFonts w:ascii="Arial" w:hAnsi="Arial" w:cs="Arial"/>
          <w:lang w:val="es-CO"/>
        </w:rPr>
      </w:pPr>
      <w:r>
        <w:rPr>
          <w:rFonts w:ascii="Arial" w:hAnsi="Arial" w:cs="Arial"/>
          <w:lang w:val="es-CO"/>
        </w:rPr>
        <w:t>1° Entidades estatales: La Nación, los departamentos, el Distrito Capital y los distritos especiales, las áreas metropolitanas, las asociaciones de municipios y los municipios; los establecimientos públicos, las empresas industriales y comerciales del Esta</w:t>
      </w:r>
      <w:r>
        <w:rPr>
          <w:rFonts w:ascii="Arial" w:hAnsi="Arial" w:cs="Arial"/>
          <w:lang w:val="es-CO"/>
        </w:rPr>
        <w:t>do, las sociedades de economía mixta en las que el Estado tenga participación superior al cincuenta por ciento (50%), así como las entidades descentralizadas indirectas y directas y las demás personas jurídicas en las que exista dicha participación pública</w:t>
      </w:r>
      <w:r>
        <w:rPr>
          <w:rFonts w:ascii="Arial" w:hAnsi="Arial" w:cs="Arial"/>
          <w:lang w:val="es-CO"/>
        </w:rPr>
        <w:t xml:space="preserve"> mayoritaria cualquiera que sea la denominación que ellas adopten, en todos los órdenes y niveles y en general los organismos o dependencias del Estado a los que la Ley otorgue capacidad para celebrar contratos. </w:t>
      </w:r>
    </w:p>
    <w:p w14:paraId="689476E6" w14:textId="77777777" w:rsidR="00B2442D" w:rsidRDefault="00B2442D">
      <w:pPr>
        <w:jc w:val="both"/>
        <w:rPr>
          <w:rFonts w:ascii="Arial" w:hAnsi="Arial" w:cs="Arial"/>
          <w:lang w:val="es-CO"/>
        </w:rPr>
      </w:pPr>
    </w:p>
    <w:p w14:paraId="22A23637" w14:textId="77777777" w:rsidR="00B2442D" w:rsidRDefault="008A645F">
      <w:pPr>
        <w:jc w:val="both"/>
        <w:rPr>
          <w:rFonts w:ascii="Arial" w:hAnsi="Arial" w:cs="Arial"/>
          <w:lang w:val="es-CO"/>
        </w:rPr>
      </w:pPr>
      <w:r>
        <w:rPr>
          <w:rFonts w:ascii="Arial" w:hAnsi="Arial" w:cs="Arial"/>
          <w:lang w:val="es-CO"/>
        </w:rPr>
        <w:t xml:space="preserve">2° Las personas y entidades, responsables </w:t>
      </w:r>
      <w:r>
        <w:rPr>
          <w:rFonts w:ascii="Arial" w:hAnsi="Arial" w:cs="Arial"/>
          <w:lang w:val="es-CO"/>
        </w:rPr>
        <w:t xml:space="preserve">o no del impuesto sobre las ventas, cuando contraten con personas o entidades sin residencia o domicilio en el país, la prestación de servicios gravados en el territorio nacional, con relación a los mismos. </w:t>
      </w:r>
    </w:p>
    <w:p w14:paraId="44069B98" w14:textId="77777777" w:rsidR="00B2442D" w:rsidRDefault="00B2442D">
      <w:pPr>
        <w:jc w:val="both"/>
        <w:rPr>
          <w:rFonts w:ascii="Arial" w:hAnsi="Arial" w:cs="Arial"/>
          <w:lang w:val="es-CO"/>
        </w:rPr>
      </w:pPr>
    </w:p>
    <w:p w14:paraId="4C8BF839" w14:textId="77777777" w:rsidR="00B2442D" w:rsidRDefault="008A645F">
      <w:pPr>
        <w:jc w:val="both"/>
        <w:rPr>
          <w:rFonts w:ascii="Arial" w:hAnsi="Arial" w:cs="Arial"/>
          <w:lang w:val="es-CO"/>
        </w:rPr>
      </w:pPr>
      <w:r>
        <w:rPr>
          <w:rFonts w:ascii="Arial" w:hAnsi="Arial" w:cs="Arial"/>
          <w:lang w:val="es-CO"/>
        </w:rPr>
        <w:t xml:space="preserve">3° Los responsables del régimen común, cuando adquieran bienes o servicios gravados de personas naturales que pertenezcan al régimen simplificado. </w:t>
      </w:r>
    </w:p>
    <w:p w14:paraId="30BE9307" w14:textId="77777777" w:rsidR="00B2442D" w:rsidRDefault="008A645F">
      <w:pPr>
        <w:jc w:val="both"/>
        <w:rPr>
          <w:rFonts w:ascii="Arial" w:hAnsi="Arial" w:cs="Arial"/>
          <w:lang w:val="es-CO"/>
        </w:rPr>
      </w:pPr>
      <w:r>
        <w:rPr>
          <w:rFonts w:ascii="Arial" w:hAnsi="Arial" w:cs="Arial"/>
          <w:lang w:val="es-CO"/>
        </w:rPr>
        <w:t xml:space="preserve"> </w:t>
      </w:r>
    </w:p>
    <w:p w14:paraId="1A1B31B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Las operaciones que se realicen entre los agentes de retención señalados en el numeral 1° de es</w:t>
      </w:r>
      <w:r>
        <w:rPr>
          <w:rFonts w:ascii="Arial" w:hAnsi="Arial" w:cs="Arial"/>
          <w:lang w:val="es-CO"/>
        </w:rPr>
        <w:t>te artículo, no estarán sujetas a la retención en la fuente a título del impuesto sobre las ventas. En consecuencia, el impuesto se causará de acuerdo con las disposiciones generales.</w:t>
      </w:r>
    </w:p>
    <w:p w14:paraId="204FC9FF" w14:textId="77777777" w:rsidR="00B2442D" w:rsidRDefault="00B2442D">
      <w:pPr>
        <w:jc w:val="both"/>
        <w:rPr>
          <w:rFonts w:ascii="Arial" w:hAnsi="Arial" w:cs="Arial"/>
          <w:i/>
          <w:lang w:val="es-CO"/>
        </w:rPr>
      </w:pPr>
    </w:p>
    <w:p w14:paraId="3005072A" w14:textId="77777777" w:rsidR="00B2442D" w:rsidRDefault="008A645F">
      <w:pPr>
        <w:jc w:val="both"/>
        <w:rPr>
          <w:rFonts w:ascii="Arial" w:hAnsi="Arial" w:cs="Arial"/>
          <w:i/>
          <w:lang w:val="es-CO"/>
        </w:rPr>
      </w:pPr>
      <w:r>
        <w:rPr>
          <w:rFonts w:ascii="Arial" w:hAnsi="Arial" w:cs="Arial"/>
          <w:i/>
          <w:lang w:val="es-CO"/>
        </w:rPr>
        <w:t>(Art. 3, Decreto 0380 de 1996, hay decaimiento del numeral 2 por el Art</w:t>
      </w:r>
      <w:r>
        <w:rPr>
          <w:rFonts w:ascii="Arial" w:hAnsi="Arial" w:cs="Arial"/>
          <w:i/>
          <w:lang w:val="es-CO"/>
        </w:rPr>
        <w:t>. 49 de la Ley 488 de 1998)</w:t>
      </w:r>
    </w:p>
    <w:p w14:paraId="4BF0B3B1" w14:textId="77777777" w:rsidR="00B2442D" w:rsidRDefault="00B2442D">
      <w:pPr>
        <w:jc w:val="both"/>
        <w:rPr>
          <w:rFonts w:ascii="Arial" w:hAnsi="Arial" w:cs="Arial"/>
          <w:lang w:val="es-CO"/>
        </w:rPr>
      </w:pPr>
    </w:p>
    <w:p w14:paraId="6C2A7A8B"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Responsable del impuesto sobre las ventas por el valor retenido.</w:t>
      </w:r>
      <w:r>
        <w:rPr>
          <w:rFonts w:ascii="Arial" w:hAnsi="Arial" w:cs="Arial"/>
          <w:lang w:val="es-CO"/>
        </w:rPr>
        <w:t xml:space="preserve"> Cuando los responsables pertenecientes al régimen común del impuesto sobre las ventas, adquieran bienes o servicios gravados de personas que pertenezcan al régime</w:t>
      </w:r>
      <w:r>
        <w:rPr>
          <w:rFonts w:ascii="Arial" w:hAnsi="Arial" w:cs="Arial"/>
          <w:lang w:val="es-CO"/>
        </w:rPr>
        <w:t xml:space="preserve">n simplificado, deben asumir la retención del IVA sobre dichas transacciones. </w:t>
      </w:r>
    </w:p>
    <w:p w14:paraId="34AC2041" w14:textId="77777777" w:rsidR="00B2442D" w:rsidRDefault="008A645F">
      <w:pPr>
        <w:jc w:val="both"/>
        <w:rPr>
          <w:rFonts w:ascii="Arial" w:hAnsi="Arial" w:cs="Arial"/>
          <w:lang w:val="es-CO"/>
        </w:rPr>
      </w:pPr>
      <w:r>
        <w:rPr>
          <w:rFonts w:ascii="Arial" w:hAnsi="Arial" w:cs="Arial"/>
          <w:lang w:val="es-CO"/>
        </w:rPr>
        <w:t xml:space="preserve"> </w:t>
      </w:r>
    </w:p>
    <w:p w14:paraId="4A5E3DE5" w14:textId="77777777" w:rsidR="00B2442D" w:rsidRDefault="008A645F">
      <w:pPr>
        <w:jc w:val="both"/>
        <w:rPr>
          <w:rFonts w:ascii="Arial" w:hAnsi="Arial" w:cs="Arial"/>
          <w:lang w:val="es-CO"/>
        </w:rPr>
      </w:pPr>
      <w:r>
        <w:rPr>
          <w:rFonts w:ascii="Arial" w:hAnsi="Arial" w:cs="Arial"/>
          <w:lang w:val="es-CO"/>
        </w:rPr>
        <w:t xml:space="preserve">Para los efectos de este artículo, el responsable del régimen común elaborará la respectiva nota de contabilidad, que servirá de soporte al registro de la transacción y de la </w:t>
      </w:r>
      <w:r>
        <w:rPr>
          <w:rFonts w:ascii="Arial" w:hAnsi="Arial" w:cs="Arial"/>
          <w:lang w:val="es-CO"/>
        </w:rPr>
        <w:t xml:space="preserve">retención en la fuente. </w:t>
      </w:r>
    </w:p>
    <w:p w14:paraId="1C7963B1" w14:textId="77777777" w:rsidR="00B2442D" w:rsidRDefault="008A645F">
      <w:pPr>
        <w:jc w:val="both"/>
        <w:rPr>
          <w:rFonts w:ascii="Arial" w:hAnsi="Arial" w:cs="Arial"/>
          <w:lang w:val="es-CO"/>
        </w:rPr>
      </w:pPr>
      <w:r>
        <w:rPr>
          <w:rFonts w:ascii="Arial" w:hAnsi="Arial" w:cs="Arial"/>
          <w:lang w:val="es-CO"/>
        </w:rPr>
        <w:t xml:space="preserve"> </w:t>
      </w:r>
    </w:p>
    <w:p w14:paraId="77F24D8C" w14:textId="77777777" w:rsidR="00B2442D" w:rsidRDefault="008A645F">
      <w:pPr>
        <w:jc w:val="both"/>
        <w:rPr>
          <w:rFonts w:ascii="Arial" w:hAnsi="Arial" w:cs="Arial"/>
          <w:lang w:val="es-CO"/>
        </w:rPr>
      </w:pPr>
      <w:r>
        <w:rPr>
          <w:rFonts w:ascii="Arial" w:hAnsi="Arial" w:cs="Arial"/>
          <w:lang w:val="es-CO"/>
        </w:rPr>
        <w:t xml:space="preserve">Dicha nota de contabilidad deberá contener: </w:t>
      </w:r>
    </w:p>
    <w:p w14:paraId="2595E24E" w14:textId="77777777" w:rsidR="00B2442D" w:rsidRDefault="008A645F">
      <w:pPr>
        <w:jc w:val="both"/>
        <w:rPr>
          <w:rFonts w:ascii="Arial" w:hAnsi="Arial" w:cs="Arial"/>
          <w:lang w:val="es-CO"/>
        </w:rPr>
      </w:pPr>
      <w:r>
        <w:rPr>
          <w:rFonts w:ascii="Arial" w:hAnsi="Arial" w:cs="Arial"/>
          <w:lang w:val="es-CO"/>
        </w:rPr>
        <w:t xml:space="preserve"> </w:t>
      </w:r>
    </w:p>
    <w:p w14:paraId="02179A4A" w14:textId="77777777" w:rsidR="00B2442D" w:rsidRDefault="008A645F">
      <w:pPr>
        <w:jc w:val="both"/>
        <w:rPr>
          <w:rFonts w:ascii="Arial" w:hAnsi="Arial" w:cs="Arial"/>
          <w:lang w:val="es-CO"/>
        </w:rPr>
      </w:pPr>
      <w:r>
        <w:rPr>
          <w:rFonts w:ascii="Arial" w:hAnsi="Arial" w:cs="Arial"/>
          <w:lang w:val="es-CO"/>
        </w:rPr>
        <w:t xml:space="preserve">- Apellidos y nombre o razón social y NIT del vendedor o de quien preste el servicio;  </w:t>
      </w:r>
    </w:p>
    <w:p w14:paraId="5E86B517" w14:textId="77777777" w:rsidR="00B2442D" w:rsidRDefault="008A645F">
      <w:pPr>
        <w:jc w:val="both"/>
        <w:rPr>
          <w:rFonts w:ascii="Arial" w:hAnsi="Arial" w:cs="Arial"/>
          <w:lang w:val="es-CO"/>
        </w:rPr>
      </w:pPr>
      <w:r>
        <w:rPr>
          <w:rFonts w:ascii="Arial" w:hAnsi="Arial" w:cs="Arial"/>
          <w:lang w:val="es-CO"/>
        </w:rPr>
        <w:t xml:space="preserve">- Fecha de la transacción;  </w:t>
      </w:r>
    </w:p>
    <w:p w14:paraId="70DE13A3" w14:textId="77777777" w:rsidR="00B2442D" w:rsidRDefault="008A645F">
      <w:pPr>
        <w:jc w:val="both"/>
        <w:rPr>
          <w:rFonts w:ascii="Arial" w:hAnsi="Arial" w:cs="Arial"/>
          <w:lang w:val="es-CO"/>
        </w:rPr>
      </w:pPr>
      <w:r>
        <w:rPr>
          <w:rFonts w:ascii="Arial" w:hAnsi="Arial" w:cs="Arial"/>
          <w:lang w:val="es-CO"/>
        </w:rPr>
        <w:t>- Descripción específica de los artículos o servicios gravados ad</w:t>
      </w:r>
      <w:r>
        <w:rPr>
          <w:rFonts w:ascii="Arial" w:hAnsi="Arial" w:cs="Arial"/>
          <w:lang w:val="es-CO"/>
        </w:rPr>
        <w:t xml:space="preserve">quiridos;  </w:t>
      </w:r>
    </w:p>
    <w:p w14:paraId="12A454B8" w14:textId="77777777" w:rsidR="00B2442D" w:rsidRDefault="008A645F">
      <w:pPr>
        <w:jc w:val="both"/>
        <w:rPr>
          <w:rFonts w:ascii="Arial" w:hAnsi="Arial" w:cs="Arial"/>
          <w:lang w:val="es-CO"/>
        </w:rPr>
      </w:pPr>
      <w:r>
        <w:rPr>
          <w:rFonts w:ascii="Arial" w:hAnsi="Arial" w:cs="Arial"/>
          <w:lang w:val="es-CO"/>
        </w:rPr>
        <w:t xml:space="preserve">- Valor total de la operación;  </w:t>
      </w:r>
    </w:p>
    <w:p w14:paraId="4552DE1A" w14:textId="77777777" w:rsidR="00B2442D" w:rsidRDefault="008A645F">
      <w:pPr>
        <w:jc w:val="both"/>
        <w:rPr>
          <w:rFonts w:ascii="Arial" w:hAnsi="Arial" w:cs="Arial"/>
          <w:lang w:val="es-CO"/>
        </w:rPr>
      </w:pPr>
      <w:r>
        <w:rPr>
          <w:rFonts w:ascii="Arial" w:hAnsi="Arial" w:cs="Arial"/>
          <w:lang w:val="es-CO"/>
        </w:rPr>
        <w:t xml:space="preserve">- Monto de la retención asumida. </w:t>
      </w:r>
    </w:p>
    <w:p w14:paraId="171F5B52" w14:textId="77777777" w:rsidR="00B2442D" w:rsidRDefault="008A645F">
      <w:pPr>
        <w:jc w:val="both"/>
        <w:rPr>
          <w:rFonts w:ascii="Arial" w:hAnsi="Arial" w:cs="Arial"/>
          <w:lang w:val="es-CO"/>
        </w:rPr>
      </w:pPr>
      <w:r>
        <w:rPr>
          <w:rFonts w:ascii="Arial" w:hAnsi="Arial" w:cs="Arial"/>
          <w:lang w:val="es-CO"/>
        </w:rPr>
        <w:t xml:space="preserve"> </w:t>
      </w:r>
    </w:p>
    <w:p w14:paraId="28FF246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una entidad estatal responsable del impuesto sobre las ventas actúe como agente de retención, de conformidad con lo previsto en este artículo, deberá </w:t>
      </w:r>
      <w:r>
        <w:rPr>
          <w:rFonts w:ascii="Arial" w:hAnsi="Arial" w:cs="Arial"/>
          <w:lang w:val="es-CO"/>
        </w:rPr>
        <w:t>realizar la afectación contable teniendo en cuenta la prestación principal, de conformidad con las normas presupuestales.</w:t>
      </w:r>
    </w:p>
    <w:p w14:paraId="5F23F4BB" w14:textId="77777777" w:rsidR="00B2442D" w:rsidRDefault="00B2442D">
      <w:pPr>
        <w:jc w:val="both"/>
        <w:rPr>
          <w:rFonts w:ascii="Arial" w:hAnsi="Arial" w:cs="Arial"/>
          <w:i/>
          <w:lang w:val="es-CO"/>
        </w:rPr>
      </w:pPr>
    </w:p>
    <w:p w14:paraId="01709310" w14:textId="77777777" w:rsidR="00B2442D" w:rsidRDefault="008A645F">
      <w:pPr>
        <w:jc w:val="both"/>
        <w:rPr>
          <w:rFonts w:ascii="Arial" w:hAnsi="Arial" w:cs="Arial"/>
          <w:lang w:val="es-CO"/>
        </w:rPr>
      </w:pPr>
      <w:r>
        <w:rPr>
          <w:rFonts w:ascii="Arial" w:hAnsi="Arial" w:cs="Arial"/>
          <w:i/>
          <w:lang w:val="es-CO"/>
        </w:rPr>
        <w:t xml:space="preserve">(Art. 4, Decreto 0380 de 1996. La expresión “, aplicando el porcentaje señalado en el artículo 1° de este Decreto” tiene decaimiento </w:t>
      </w:r>
      <w:r>
        <w:rPr>
          <w:rFonts w:ascii="Arial" w:hAnsi="Arial" w:cs="Arial"/>
          <w:i/>
          <w:lang w:val="es-CO"/>
        </w:rPr>
        <w:t>por evolución normativa (El art. 1 tiene decaimiento en virtud del art. 13 de la Ley 863 de 2003)</w:t>
      </w:r>
    </w:p>
    <w:p w14:paraId="56C67A38" w14:textId="77777777" w:rsidR="00B2442D" w:rsidRDefault="00B2442D">
      <w:pPr>
        <w:jc w:val="both"/>
        <w:rPr>
          <w:rFonts w:ascii="Arial" w:hAnsi="Arial" w:cs="Arial"/>
          <w:i/>
          <w:lang w:val="es-CO"/>
        </w:rPr>
      </w:pPr>
    </w:p>
    <w:p w14:paraId="174B9309"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Responsables por la retención del IVA.</w:t>
      </w:r>
      <w:r>
        <w:rPr>
          <w:rFonts w:ascii="Arial" w:hAnsi="Arial" w:cs="Arial"/>
          <w:lang w:val="es-CO"/>
        </w:rPr>
        <w:t xml:space="preserve"> Los agentes de retención del impuesto sobre las ventas serán los únicos responsables por los valores retenidos y de la</w:t>
      </w:r>
      <w:r>
        <w:rPr>
          <w:rFonts w:ascii="Arial" w:hAnsi="Arial" w:cs="Arial"/>
          <w:lang w:val="es-CO"/>
        </w:rPr>
        <w:t xml:space="preserve">s sanciones que se deriven del incumplimiento de sus obligaciones, de conformidad con lo establecido en el Estatuto Tributario. </w:t>
      </w:r>
    </w:p>
    <w:p w14:paraId="4954734C" w14:textId="77777777" w:rsidR="00B2442D" w:rsidRDefault="008A645F">
      <w:pPr>
        <w:jc w:val="both"/>
        <w:rPr>
          <w:rFonts w:ascii="Arial" w:hAnsi="Arial" w:cs="Arial"/>
          <w:lang w:val="es-CO"/>
        </w:rPr>
      </w:pPr>
      <w:r>
        <w:rPr>
          <w:rFonts w:ascii="Arial" w:hAnsi="Arial" w:cs="Arial"/>
          <w:lang w:val="es-CO"/>
        </w:rPr>
        <w:t xml:space="preserve"> </w:t>
      </w:r>
    </w:p>
    <w:p w14:paraId="47D7F8D6" w14:textId="77777777" w:rsidR="00B2442D" w:rsidRDefault="008A645F">
      <w:pPr>
        <w:jc w:val="both"/>
        <w:rPr>
          <w:rFonts w:ascii="Arial" w:hAnsi="Arial" w:cs="Arial"/>
          <w:lang w:val="es-CO"/>
        </w:rPr>
      </w:pPr>
      <w:r>
        <w:rPr>
          <w:rFonts w:ascii="Arial" w:hAnsi="Arial" w:cs="Arial"/>
          <w:lang w:val="es-CO"/>
        </w:rPr>
        <w:t>Así mismo les serán aplicables, en lo pertinente, las disposiciones contenidas en los Libros Segundo y Quinto del Estatuto Tr</w:t>
      </w:r>
      <w:r>
        <w:rPr>
          <w:rFonts w:ascii="Arial" w:hAnsi="Arial" w:cs="Arial"/>
          <w:lang w:val="es-CO"/>
        </w:rPr>
        <w:t>ibutario.</w:t>
      </w:r>
    </w:p>
    <w:p w14:paraId="4371F57F" w14:textId="77777777" w:rsidR="00B2442D" w:rsidRDefault="00B2442D">
      <w:pPr>
        <w:jc w:val="both"/>
        <w:rPr>
          <w:rFonts w:ascii="Arial" w:hAnsi="Arial" w:cs="Arial"/>
          <w:i/>
          <w:lang w:val="es-CO"/>
        </w:rPr>
      </w:pPr>
    </w:p>
    <w:p w14:paraId="05E3D51E" w14:textId="77777777" w:rsidR="00B2442D" w:rsidRDefault="008A645F">
      <w:pPr>
        <w:jc w:val="both"/>
        <w:rPr>
          <w:rFonts w:ascii="Arial" w:hAnsi="Arial" w:cs="Arial"/>
          <w:i/>
          <w:lang w:val="es-CO"/>
        </w:rPr>
      </w:pPr>
      <w:r>
        <w:rPr>
          <w:rFonts w:ascii="Arial" w:hAnsi="Arial" w:cs="Arial"/>
          <w:i/>
          <w:lang w:val="es-CO"/>
        </w:rPr>
        <w:t>(Art. 8, Decreto 0380 de 1996)</w:t>
      </w:r>
    </w:p>
    <w:p w14:paraId="10739A6C" w14:textId="77777777" w:rsidR="00B2442D" w:rsidRDefault="00B2442D">
      <w:pPr>
        <w:jc w:val="both"/>
        <w:rPr>
          <w:rFonts w:ascii="Arial" w:hAnsi="Arial" w:cs="Arial"/>
          <w:i/>
          <w:lang w:val="es-CO"/>
        </w:rPr>
      </w:pPr>
    </w:p>
    <w:p w14:paraId="3DF7CF64"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Tarifas únicas de retención del impuesto sobre las ventas.</w:t>
      </w:r>
      <w:r>
        <w:rPr>
          <w:rFonts w:ascii="Arial" w:hAnsi="Arial" w:cs="Arial"/>
          <w:lang w:val="es-CO"/>
        </w:rPr>
        <w:t xml:space="preserve"> La tarifa general de retención del impuesto sobre las ventas es del quince por ciento (15%) del valor del impuesto. En la prestación de los servicios grav</w:t>
      </w:r>
      <w:r>
        <w:rPr>
          <w:rFonts w:ascii="Arial" w:hAnsi="Arial" w:cs="Arial"/>
          <w:lang w:val="es-CO"/>
        </w:rPr>
        <w:t xml:space="preserve">ados a que se refiere el numeral 3o del artículo 437-2 del Estatuto Tributario, en la venta de los bienes de que trata el artículo 437-4 y en la venta de tabaco a que se refiere el artículo 437-5 del mismo Estatuto, la tarifa aplicable será del ciento por </w:t>
      </w:r>
      <w:r>
        <w:rPr>
          <w:rFonts w:ascii="Arial" w:hAnsi="Arial" w:cs="Arial"/>
          <w:lang w:val="es-CO"/>
        </w:rPr>
        <w:t>ciento (100%) del valor del impuesto.</w:t>
      </w:r>
    </w:p>
    <w:p w14:paraId="66DC04F8" w14:textId="77777777" w:rsidR="00B2442D" w:rsidRDefault="00B2442D">
      <w:pPr>
        <w:jc w:val="both"/>
        <w:rPr>
          <w:rFonts w:ascii="Arial" w:hAnsi="Arial" w:cs="Arial"/>
          <w:lang w:val="es-CO"/>
        </w:rPr>
      </w:pPr>
    </w:p>
    <w:p w14:paraId="21B78F8A" w14:textId="77777777" w:rsidR="00B2442D" w:rsidRDefault="008A645F">
      <w:pPr>
        <w:jc w:val="both"/>
        <w:rPr>
          <w:rFonts w:ascii="Arial" w:hAnsi="Arial" w:cs="Arial"/>
          <w:i/>
          <w:lang w:val="es-CO"/>
        </w:rPr>
      </w:pPr>
      <w:r>
        <w:rPr>
          <w:rFonts w:ascii="Arial" w:hAnsi="Arial" w:cs="Arial"/>
          <w:i/>
          <w:lang w:val="es-CO"/>
        </w:rPr>
        <w:t>(Art. 7, Decreto 1794 de 2013)</w:t>
      </w:r>
    </w:p>
    <w:p w14:paraId="1A0A54C3" w14:textId="77777777" w:rsidR="00B2442D" w:rsidRDefault="00B2442D">
      <w:pPr>
        <w:jc w:val="both"/>
        <w:rPr>
          <w:rFonts w:ascii="Arial" w:hAnsi="Arial" w:cs="Arial"/>
          <w:i/>
          <w:lang w:val="es-CO"/>
        </w:rPr>
      </w:pPr>
    </w:p>
    <w:p w14:paraId="19627616"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Retención del impuesto sobre las ventas en operaciones con tarjetas de crédito o débito.</w:t>
      </w:r>
      <w:r>
        <w:rPr>
          <w:rFonts w:ascii="Arial" w:hAnsi="Arial" w:cs="Arial"/>
          <w:lang w:val="es-CO"/>
        </w:rPr>
        <w:t xml:space="preserve"> Para efectos de la retención en la fuente del impuesto sobre las ventas por parte de las entidad</w:t>
      </w:r>
      <w:r>
        <w:rPr>
          <w:rFonts w:ascii="Arial" w:hAnsi="Arial" w:cs="Arial"/>
          <w:lang w:val="es-CO"/>
        </w:rPr>
        <w:t>es emisoras de las tarjetas de crédito y/o débito y sus asociaciones, o de las entidades adquirentes o pagadoras, el afiliado deberá discriminar en el soporte de la operación el valor correspondiente al impuesto sobre las ventas de la respectiva operación.</w:t>
      </w:r>
    </w:p>
    <w:p w14:paraId="7158FB23" w14:textId="77777777" w:rsidR="00B2442D" w:rsidRDefault="00B2442D">
      <w:pPr>
        <w:jc w:val="both"/>
        <w:rPr>
          <w:rFonts w:ascii="Arial" w:hAnsi="Arial" w:cs="Arial"/>
          <w:lang w:val="es-CO"/>
        </w:rPr>
      </w:pPr>
    </w:p>
    <w:p w14:paraId="7DA7630D" w14:textId="77777777" w:rsidR="00B2442D" w:rsidRDefault="008A645F">
      <w:pPr>
        <w:jc w:val="both"/>
        <w:rPr>
          <w:rFonts w:ascii="Arial" w:hAnsi="Arial" w:cs="Arial"/>
          <w:lang w:val="es-CO"/>
        </w:rPr>
      </w:pPr>
      <w:r>
        <w:rPr>
          <w:rFonts w:ascii="Arial" w:hAnsi="Arial" w:cs="Arial"/>
          <w:lang w:val="es-CO"/>
        </w:rPr>
        <w:t>Las entidades emisoras de las tarjetas crédito o débito, sus asociaciones, entidades adquirentes o pagadoras efectuarán en todos los casos retención del impuesto sobre las ventas generado en la venta de bienes o prestación de servicios.</w:t>
      </w:r>
    </w:p>
    <w:p w14:paraId="198FD4F3" w14:textId="77777777" w:rsidR="00B2442D" w:rsidRDefault="00B2442D">
      <w:pPr>
        <w:jc w:val="both"/>
        <w:rPr>
          <w:rFonts w:ascii="Arial" w:hAnsi="Arial" w:cs="Arial"/>
          <w:lang w:val="es-CO"/>
        </w:rPr>
      </w:pPr>
    </w:p>
    <w:p w14:paraId="3DE91F0E" w14:textId="77777777" w:rsidR="00B2442D" w:rsidRDefault="008A645F">
      <w:pPr>
        <w:jc w:val="both"/>
        <w:rPr>
          <w:rFonts w:ascii="Arial" w:hAnsi="Arial" w:cs="Arial"/>
          <w:i/>
          <w:lang w:val="es-CO"/>
        </w:rPr>
      </w:pPr>
      <w:r>
        <w:rPr>
          <w:rFonts w:ascii="Arial" w:hAnsi="Arial" w:cs="Arial"/>
          <w:i/>
          <w:lang w:val="es-CO"/>
        </w:rPr>
        <w:t>(Art. 16, Decret</w:t>
      </w:r>
      <w:r>
        <w:rPr>
          <w:rFonts w:ascii="Arial" w:hAnsi="Arial" w:cs="Arial"/>
          <w:i/>
          <w:lang w:val="es-CO"/>
        </w:rPr>
        <w:t>o 406 de 2001. Aparte final del inciso 2 declarado nulo</w:t>
      </w:r>
      <w:r>
        <w:rPr>
          <w:rFonts w:ascii="Arial" w:hAnsi="Arial" w:cs="Arial"/>
        </w:rPr>
        <w:t xml:space="preserve"> </w:t>
      </w:r>
      <w:r>
        <w:rPr>
          <w:rFonts w:ascii="Arial" w:hAnsi="Arial" w:cs="Arial"/>
          <w:i/>
          <w:lang w:val="es-CO"/>
        </w:rPr>
        <w:t>mediante Sentencia del Consejo de Estado, del 12 de septiembre de 2002. Expediente No: 11001-03-27-000-2001-0257-01 (12292); inciso 3 derogado por el art. 4 del Decreto 1626 de 2001; inciso final dero</w:t>
      </w:r>
      <w:r>
        <w:rPr>
          <w:rFonts w:ascii="Arial" w:hAnsi="Arial" w:cs="Arial"/>
          <w:i/>
          <w:lang w:val="es-CO"/>
        </w:rPr>
        <w:t>gado expresamente por el art. 3 del Decreto 556 de 2001)</w:t>
      </w:r>
    </w:p>
    <w:p w14:paraId="33593F71" w14:textId="77777777" w:rsidR="00B2442D" w:rsidRDefault="00B2442D">
      <w:pPr>
        <w:jc w:val="both"/>
        <w:rPr>
          <w:rFonts w:ascii="Arial" w:hAnsi="Arial" w:cs="Arial"/>
          <w:lang w:val="es-CO"/>
        </w:rPr>
      </w:pPr>
    </w:p>
    <w:p w14:paraId="01E3A659"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Retención en la fuente sobre ingresos de tarjetas de crédito y/o débito.</w:t>
      </w:r>
      <w:r>
        <w:rPr>
          <w:rFonts w:ascii="Arial" w:hAnsi="Arial" w:cs="Arial"/>
          <w:lang w:val="es-CO"/>
        </w:rPr>
        <w:t xml:space="preserve"> Los pagos o abonos en cuenta susceptibles de constituir ingreso tributario para los contribuyentes del impuesto sobre la rent</w:t>
      </w:r>
      <w:r>
        <w:rPr>
          <w:rFonts w:ascii="Arial" w:hAnsi="Arial" w:cs="Arial"/>
          <w:lang w:val="es-CO"/>
        </w:rPr>
        <w:t>a, por concepto de ventas de bienes o servicios realizadas a través de los sistemas de tarjetas de crédito y/o débito, están sometidos a retención en la fuente a la tarifa del uno punto cinco por ciento (1.5%).</w:t>
      </w:r>
    </w:p>
    <w:p w14:paraId="15716513" w14:textId="77777777" w:rsidR="00B2442D" w:rsidRDefault="00B2442D">
      <w:pPr>
        <w:jc w:val="both"/>
        <w:rPr>
          <w:rFonts w:ascii="Arial" w:hAnsi="Arial" w:cs="Arial"/>
          <w:lang w:val="es-CO"/>
        </w:rPr>
      </w:pPr>
    </w:p>
    <w:p w14:paraId="3A3F3AFC" w14:textId="77777777" w:rsidR="00B2442D" w:rsidRDefault="008A645F">
      <w:pPr>
        <w:jc w:val="both"/>
        <w:rPr>
          <w:rFonts w:ascii="Arial" w:hAnsi="Arial" w:cs="Arial"/>
          <w:lang w:val="es-CO"/>
        </w:rPr>
      </w:pPr>
      <w:r>
        <w:rPr>
          <w:rFonts w:ascii="Arial" w:hAnsi="Arial" w:cs="Arial"/>
          <w:lang w:val="es-CO"/>
        </w:rPr>
        <w:t xml:space="preserve">La retención deberá ser practicada por </w:t>
      </w:r>
      <w:r>
        <w:rPr>
          <w:rFonts w:ascii="Arial" w:hAnsi="Arial" w:cs="Arial"/>
          <w:lang w:val="es-CO"/>
        </w:rPr>
        <w:t>las respectivas entidades emisoras de las tarjetas de crédito y/o débito, en el momento del correspondiente pago o abono en cuenta a las personas o establecimientos afiliados, sobre el valor total de los pagos o abonos efectuados, antes de descontar la com</w:t>
      </w:r>
      <w:r>
        <w:rPr>
          <w:rFonts w:ascii="Arial" w:hAnsi="Arial" w:cs="Arial"/>
          <w:lang w:val="es-CO"/>
        </w:rPr>
        <w:t>isión que corresponde a la emisora de la tarjeta y descontado el impuesto sobre las ventas generado por la operación gravada.</w:t>
      </w:r>
    </w:p>
    <w:p w14:paraId="26C69F0E" w14:textId="77777777" w:rsidR="00B2442D" w:rsidRDefault="00B2442D">
      <w:pPr>
        <w:jc w:val="both"/>
        <w:rPr>
          <w:rFonts w:ascii="Arial" w:hAnsi="Arial" w:cs="Arial"/>
          <w:lang w:val="es-CO"/>
        </w:rPr>
      </w:pPr>
    </w:p>
    <w:p w14:paraId="2CD096D5" w14:textId="77777777" w:rsidR="00B2442D" w:rsidRDefault="008A645F">
      <w:pPr>
        <w:jc w:val="both"/>
        <w:rPr>
          <w:rFonts w:ascii="Arial" w:hAnsi="Arial" w:cs="Arial"/>
          <w:lang w:val="es-CO"/>
        </w:rPr>
      </w:pPr>
      <w:r>
        <w:rPr>
          <w:rFonts w:ascii="Arial" w:hAnsi="Arial" w:cs="Arial"/>
          <w:lang w:val="es-CO"/>
        </w:rPr>
        <w:t>Las declaraciones y pagos de los valores retenidos de acuerdo con este artículo, deberán efectuarse en las condiciones y términos</w:t>
      </w:r>
      <w:r>
        <w:rPr>
          <w:rFonts w:ascii="Arial" w:hAnsi="Arial" w:cs="Arial"/>
          <w:lang w:val="es-CO"/>
        </w:rPr>
        <w:t xml:space="preserve"> previstos en las disposiciones vigentes.</w:t>
      </w:r>
    </w:p>
    <w:p w14:paraId="59372C70" w14:textId="77777777" w:rsidR="00B2442D" w:rsidRDefault="00B2442D">
      <w:pPr>
        <w:jc w:val="both"/>
        <w:rPr>
          <w:rFonts w:ascii="Arial" w:hAnsi="Arial" w:cs="Arial"/>
          <w:lang w:val="es-CO"/>
        </w:rPr>
      </w:pPr>
    </w:p>
    <w:p w14:paraId="34B0B455"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los pagos o abonos en cuenta a que se refiere este artículo correspondan a compras de bienes o servicios para los cuales disposiciones especiales establezcan tarifas de retención en la fuente inferiores al uno punto cinco por ciento (1.5%), se apli</w:t>
      </w:r>
      <w:r>
        <w:rPr>
          <w:rFonts w:ascii="Arial" w:hAnsi="Arial" w:cs="Arial"/>
          <w:lang w:val="es-CO"/>
        </w:rPr>
        <w:t>carán las tarifas previstas en cada caso por tales disposiciones.</w:t>
      </w:r>
    </w:p>
    <w:p w14:paraId="7A02ED14" w14:textId="77777777" w:rsidR="00B2442D" w:rsidRDefault="00B2442D">
      <w:pPr>
        <w:jc w:val="both"/>
        <w:rPr>
          <w:rFonts w:ascii="Arial" w:hAnsi="Arial" w:cs="Arial"/>
          <w:lang w:val="es-CO"/>
        </w:rPr>
      </w:pPr>
    </w:p>
    <w:p w14:paraId="5D4E0E0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los pagos o abonos en cuenta incorporen el valor de otros impuestos, tasas y contribuciones, diferentes del impuesto sobre las ventas, para calcular la base de retenció</w:t>
      </w:r>
      <w:r>
        <w:rPr>
          <w:rFonts w:ascii="Arial" w:hAnsi="Arial" w:cs="Arial"/>
          <w:lang w:val="es-CO"/>
        </w:rPr>
        <w:t>n se descontará el valor de los impuestos, tasas y contribuciones incorporados, siempre que los beneficiarios de dichos pagos o abonos tengan la calidad de responsables o recaudadores de los mismos. También se descontará de la base el valor de las propinas</w:t>
      </w:r>
      <w:r>
        <w:rPr>
          <w:rFonts w:ascii="Arial" w:hAnsi="Arial" w:cs="Arial"/>
          <w:lang w:val="es-CO"/>
        </w:rPr>
        <w:t xml:space="preserve"> incluidas en las sumas a pagar.</w:t>
      </w:r>
    </w:p>
    <w:p w14:paraId="167DF73F" w14:textId="77777777" w:rsidR="00B2442D" w:rsidRDefault="00B2442D">
      <w:pPr>
        <w:jc w:val="both"/>
        <w:rPr>
          <w:rFonts w:ascii="Arial" w:hAnsi="Arial" w:cs="Arial"/>
          <w:lang w:val="es-CO"/>
        </w:rPr>
      </w:pPr>
    </w:p>
    <w:p w14:paraId="7982DC4A" w14:textId="77777777" w:rsidR="00B2442D" w:rsidRDefault="008A645F">
      <w:pPr>
        <w:jc w:val="both"/>
        <w:rPr>
          <w:rFonts w:ascii="Arial" w:hAnsi="Arial" w:cs="Arial"/>
          <w:lang w:val="es-CO"/>
        </w:rPr>
      </w:pPr>
      <w:r>
        <w:rPr>
          <w:rFonts w:ascii="Arial" w:hAnsi="Arial" w:cs="Arial"/>
          <w:lang w:val="es-CO"/>
        </w:rPr>
        <w:t>Las declaraciones y pagos de los valores retenidos de acuerdo con este artículo, deberán efectuarse en las condiciones y términos previstos en las disposiciones vigentes.</w:t>
      </w:r>
    </w:p>
    <w:p w14:paraId="2C49E9C3" w14:textId="77777777" w:rsidR="00B2442D" w:rsidRDefault="00B2442D">
      <w:pPr>
        <w:jc w:val="both"/>
        <w:rPr>
          <w:rFonts w:ascii="Arial" w:hAnsi="Arial" w:cs="Arial"/>
          <w:i/>
          <w:lang w:val="es-CO"/>
        </w:rPr>
      </w:pPr>
    </w:p>
    <w:p w14:paraId="2A99A074" w14:textId="77777777" w:rsidR="00B2442D" w:rsidRDefault="008A645F">
      <w:pPr>
        <w:jc w:val="both"/>
        <w:rPr>
          <w:rFonts w:ascii="Arial" w:hAnsi="Arial" w:cs="Arial"/>
          <w:i/>
          <w:lang w:val="es-CO"/>
        </w:rPr>
      </w:pPr>
      <w:r>
        <w:rPr>
          <w:rFonts w:ascii="Arial" w:hAnsi="Arial" w:cs="Arial"/>
          <w:i/>
          <w:lang w:val="es-CO"/>
        </w:rPr>
        <w:t>(Art. 17, Decreto 406 de 2001)</w:t>
      </w:r>
    </w:p>
    <w:p w14:paraId="62AD47F9" w14:textId="77777777" w:rsidR="00B2442D" w:rsidRDefault="00B2442D">
      <w:pPr>
        <w:jc w:val="both"/>
        <w:rPr>
          <w:rFonts w:ascii="Arial" w:hAnsi="Arial" w:cs="Arial"/>
          <w:b/>
          <w:lang w:val="es-CO"/>
        </w:rPr>
      </w:pPr>
    </w:p>
    <w:p w14:paraId="2CAF0063"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 xml:space="preserve"> Retención de IVA </w:t>
      </w:r>
      <w:r>
        <w:rPr>
          <w:rFonts w:ascii="Arial" w:hAnsi="Arial" w:cs="Arial"/>
          <w:b/>
          <w:i/>
          <w:lang w:val="es-CO"/>
        </w:rPr>
        <w:t>en la venta de chatarra.</w:t>
      </w:r>
      <w:r>
        <w:rPr>
          <w:rFonts w:ascii="Arial" w:hAnsi="Arial" w:cs="Arial"/>
          <w:lang w:val="es-CO"/>
        </w:rPr>
        <w:t xml:space="preserve"> El IVA generado en la venta de chatarra clasificada en las partidas arancelarias 72.04, 74.04 y 76.02, será retenido por la siderúrgica en el ciento por ciento (100%) del valor del impuesto, independientemente de que el vendedor pe</w:t>
      </w:r>
      <w:r>
        <w:rPr>
          <w:rFonts w:ascii="Arial" w:hAnsi="Arial" w:cs="Arial"/>
          <w:lang w:val="es-CO"/>
        </w:rPr>
        <w:t>rtenezca al régimen simplificado o al régimen común de IVA.</w:t>
      </w:r>
    </w:p>
    <w:p w14:paraId="50AEA324" w14:textId="77777777" w:rsidR="00B2442D" w:rsidRDefault="00B2442D">
      <w:pPr>
        <w:jc w:val="both"/>
        <w:rPr>
          <w:rFonts w:ascii="Arial" w:hAnsi="Arial" w:cs="Arial"/>
          <w:lang w:val="es-CO"/>
        </w:rPr>
      </w:pPr>
    </w:p>
    <w:p w14:paraId="56B5795D" w14:textId="77777777" w:rsidR="00B2442D" w:rsidRDefault="008A645F">
      <w:pPr>
        <w:jc w:val="both"/>
        <w:rPr>
          <w:rFonts w:ascii="Arial" w:hAnsi="Arial" w:cs="Arial"/>
          <w:lang w:val="es-CO"/>
        </w:rPr>
      </w:pPr>
      <w:r>
        <w:rPr>
          <w:rFonts w:ascii="Arial" w:hAnsi="Arial" w:cs="Arial"/>
          <w:lang w:val="es-CO"/>
        </w:rPr>
        <w:t>A la retención asumida por la siderúrgica en la adquisición de chatarra clasificada en las partidas arancelarias referidas en el inciso 1 del presente artículo, en las ventas realizadas por respo</w:t>
      </w:r>
      <w:r>
        <w:rPr>
          <w:rFonts w:ascii="Arial" w:hAnsi="Arial" w:cs="Arial"/>
          <w:lang w:val="es-CO"/>
        </w:rPr>
        <w:t>nsables del régimen simplificado, les será aplicable el tratamiento contemplado en el artículo 485-1 del Estatuto Tributario.</w:t>
      </w:r>
    </w:p>
    <w:p w14:paraId="0AFDC419" w14:textId="77777777" w:rsidR="00B2442D" w:rsidRDefault="00B2442D">
      <w:pPr>
        <w:jc w:val="both"/>
        <w:rPr>
          <w:rFonts w:ascii="Arial" w:hAnsi="Arial" w:cs="Arial"/>
          <w:lang w:val="es-CO"/>
        </w:rPr>
      </w:pPr>
    </w:p>
    <w:p w14:paraId="4458A85B" w14:textId="77777777" w:rsidR="00B2442D" w:rsidRDefault="008A645F">
      <w:pPr>
        <w:jc w:val="both"/>
        <w:rPr>
          <w:rFonts w:ascii="Arial" w:hAnsi="Arial" w:cs="Arial"/>
          <w:lang w:val="es-CO"/>
        </w:rPr>
      </w:pPr>
      <w:r>
        <w:rPr>
          <w:rFonts w:ascii="Arial" w:hAnsi="Arial" w:cs="Arial"/>
          <w:lang w:val="es-CO"/>
        </w:rPr>
        <w:t>En la venta de chatarra referida en el inciso 1 del presente artículo, efectuada por las siderúrgicas a otras siderúrgicas o a te</w:t>
      </w:r>
      <w:r>
        <w:rPr>
          <w:rFonts w:ascii="Arial" w:hAnsi="Arial" w:cs="Arial"/>
          <w:lang w:val="es-CO"/>
        </w:rPr>
        <w:t>rceros, se genera el impuesto sobre las ventas a la tarifa general y la retención, cuando a ella hubiere lugar, será del quince por ciento (15%) del valor del impuesto, de conformidad con las reglas generales contenidas en el Libro III del Estatuto Tributa</w:t>
      </w:r>
      <w:r>
        <w:rPr>
          <w:rFonts w:ascii="Arial" w:hAnsi="Arial" w:cs="Arial"/>
          <w:lang w:val="es-CO"/>
        </w:rPr>
        <w:t>rio.</w:t>
      </w:r>
    </w:p>
    <w:p w14:paraId="183F8A85" w14:textId="77777777" w:rsidR="00B2442D" w:rsidRDefault="00B2442D">
      <w:pPr>
        <w:jc w:val="both"/>
        <w:rPr>
          <w:rFonts w:ascii="Arial" w:hAnsi="Arial" w:cs="Arial"/>
          <w:lang w:val="es-CO"/>
        </w:rPr>
      </w:pPr>
    </w:p>
    <w:p w14:paraId="58B1D387" w14:textId="77777777" w:rsidR="00B2442D" w:rsidRDefault="008A645F">
      <w:pPr>
        <w:jc w:val="both"/>
        <w:rPr>
          <w:rFonts w:ascii="Arial" w:hAnsi="Arial" w:cs="Arial"/>
          <w:lang w:val="es-CO"/>
        </w:rPr>
      </w:pPr>
      <w:r>
        <w:rPr>
          <w:rFonts w:ascii="Arial" w:hAnsi="Arial" w:cs="Arial"/>
          <w:lang w:val="es-CO"/>
        </w:rPr>
        <w:t>De conformidad con el parágrafo 2° del artículo 437-4 del Estatuto Tributario, la importación de chatarra identificada con la nomenclatura arancelaria mencionada en el inciso 1 del presente artículo, genera el impuesto sobre las ventas a la tarifa ge</w:t>
      </w:r>
      <w:r>
        <w:rPr>
          <w:rFonts w:ascii="Arial" w:hAnsi="Arial" w:cs="Arial"/>
          <w:lang w:val="es-CO"/>
        </w:rPr>
        <w:t>neral.</w:t>
      </w:r>
    </w:p>
    <w:p w14:paraId="390CB943" w14:textId="77777777" w:rsidR="00B2442D" w:rsidRDefault="00B2442D">
      <w:pPr>
        <w:jc w:val="both"/>
        <w:rPr>
          <w:rFonts w:ascii="Arial" w:hAnsi="Arial" w:cs="Arial"/>
          <w:lang w:val="es-CO"/>
        </w:rPr>
      </w:pPr>
    </w:p>
    <w:p w14:paraId="382C034D" w14:textId="77777777" w:rsidR="00B2442D" w:rsidRDefault="008A645F">
      <w:pPr>
        <w:jc w:val="both"/>
        <w:rPr>
          <w:rFonts w:ascii="Arial" w:hAnsi="Arial" w:cs="Arial"/>
          <w:lang w:val="es-CO"/>
        </w:rPr>
      </w:pPr>
      <w:r>
        <w:rPr>
          <w:rFonts w:ascii="Arial" w:hAnsi="Arial" w:cs="Arial"/>
          <w:lang w:val="es-CO"/>
        </w:rPr>
        <w:t>No genera IVA la venta de chatarra clasificada en las partidas arancelarias 72.04, 74.04 y 76.02, en la cual no intervenga como enajenante o adquirente una siderúrgica.</w:t>
      </w:r>
    </w:p>
    <w:p w14:paraId="0B877126" w14:textId="77777777" w:rsidR="00B2442D" w:rsidRDefault="00B2442D">
      <w:pPr>
        <w:jc w:val="both"/>
        <w:rPr>
          <w:rFonts w:ascii="Arial" w:hAnsi="Arial" w:cs="Arial"/>
          <w:lang w:val="es-CO"/>
        </w:rPr>
      </w:pPr>
    </w:p>
    <w:p w14:paraId="660C7FEA" w14:textId="77777777" w:rsidR="00B2442D" w:rsidRDefault="008A645F">
      <w:pPr>
        <w:jc w:val="both"/>
        <w:rPr>
          <w:rFonts w:ascii="Arial" w:hAnsi="Arial" w:cs="Arial"/>
          <w:i/>
          <w:lang w:val="es-CO"/>
        </w:rPr>
      </w:pPr>
      <w:r>
        <w:rPr>
          <w:rFonts w:ascii="Arial" w:hAnsi="Arial" w:cs="Arial"/>
          <w:i/>
          <w:lang w:val="es-CO"/>
        </w:rPr>
        <w:t>(Art. 9, Decreto 1794 de 2013)</w:t>
      </w:r>
    </w:p>
    <w:p w14:paraId="08942E4B" w14:textId="77777777" w:rsidR="00B2442D" w:rsidRDefault="00B2442D">
      <w:pPr>
        <w:jc w:val="both"/>
        <w:rPr>
          <w:rFonts w:ascii="Arial" w:hAnsi="Arial" w:cs="Arial"/>
          <w:lang w:val="es-CO"/>
        </w:rPr>
      </w:pPr>
    </w:p>
    <w:p w14:paraId="37C0B782"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 xml:space="preserve"> Retención de IVA en la venta de tabaco.</w:t>
      </w:r>
      <w:r>
        <w:rPr>
          <w:rFonts w:ascii="Arial" w:hAnsi="Arial" w:cs="Arial"/>
          <w:lang w:val="es-CO"/>
        </w:rPr>
        <w:t xml:space="preserve"> El IV</w:t>
      </w:r>
      <w:r>
        <w:rPr>
          <w:rFonts w:ascii="Arial" w:hAnsi="Arial" w:cs="Arial"/>
          <w:lang w:val="es-CO"/>
        </w:rPr>
        <w:t xml:space="preserve">A generado en la venta de tabaco en rama o sin elaborar y desperdicios de tabaco identificados en la nomenclatura arancelaria andina por parte de los productores del régimen común, será retenido por la empresa tabacalera en el ciento por ciento (100%) del </w:t>
      </w:r>
      <w:r>
        <w:rPr>
          <w:rFonts w:ascii="Arial" w:hAnsi="Arial" w:cs="Arial"/>
          <w:lang w:val="es-CO"/>
        </w:rPr>
        <w:t>valor del impuesto.</w:t>
      </w:r>
    </w:p>
    <w:p w14:paraId="774CBBE8" w14:textId="77777777" w:rsidR="00B2442D" w:rsidRDefault="00B2442D">
      <w:pPr>
        <w:jc w:val="both"/>
        <w:rPr>
          <w:rFonts w:ascii="Arial" w:hAnsi="Arial" w:cs="Arial"/>
          <w:lang w:val="es-CO"/>
        </w:rPr>
      </w:pPr>
    </w:p>
    <w:p w14:paraId="55D1B0A3" w14:textId="77777777" w:rsidR="00B2442D" w:rsidRDefault="008A645F">
      <w:pPr>
        <w:jc w:val="both"/>
        <w:rPr>
          <w:rFonts w:ascii="Arial" w:hAnsi="Arial" w:cs="Arial"/>
          <w:lang w:val="es-CO"/>
        </w:rPr>
      </w:pPr>
      <w:r>
        <w:rPr>
          <w:rFonts w:ascii="Arial" w:hAnsi="Arial" w:cs="Arial"/>
          <w:lang w:val="es-CO"/>
        </w:rPr>
        <w:t>En la venta de tabaco en rama o sin elaborar y desperdicios de tabaco referida en el inciso 1° del presente artículo, efectuada por las empresas tabacaleras a otras empresas tabacaleras o a terceros, se genera el impuesto sobre las ven</w:t>
      </w:r>
      <w:r>
        <w:rPr>
          <w:rFonts w:ascii="Arial" w:hAnsi="Arial" w:cs="Arial"/>
          <w:lang w:val="es-CO"/>
        </w:rPr>
        <w:t>tas a la tarifa general y la retención, cuando a ella hubiere lugar, será del quince por ciento (15%) del valor del impuesto, de conformidad con las reglas generales contenidas en el Libro III del Estatuto Tributario.</w:t>
      </w:r>
    </w:p>
    <w:p w14:paraId="687232B5" w14:textId="77777777" w:rsidR="00B2442D" w:rsidRDefault="00B2442D">
      <w:pPr>
        <w:jc w:val="both"/>
        <w:rPr>
          <w:rFonts w:ascii="Arial" w:hAnsi="Arial" w:cs="Arial"/>
          <w:lang w:val="es-CO"/>
        </w:rPr>
      </w:pPr>
    </w:p>
    <w:p w14:paraId="00102D43" w14:textId="77777777" w:rsidR="00B2442D" w:rsidRDefault="008A645F">
      <w:pPr>
        <w:jc w:val="both"/>
        <w:rPr>
          <w:rFonts w:ascii="Arial" w:hAnsi="Arial" w:cs="Arial"/>
          <w:lang w:val="es-CO"/>
        </w:rPr>
      </w:pPr>
      <w:r>
        <w:rPr>
          <w:rFonts w:ascii="Arial" w:hAnsi="Arial" w:cs="Arial"/>
          <w:lang w:val="es-CO"/>
        </w:rPr>
        <w:t>La importación de tabaco en rama o si</w:t>
      </w:r>
      <w:r>
        <w:rPr>
          <w:rFonts w:ascii="Arial" w:hAnsi="Arial" w:cs="Arial"/>
          <w:lang w:val="es-CO"/>
        </w:rPr>
        <w:t>n elaborar y desperdicios de tabaco identificados con la nomenclatura arancelaria andina 24.01, genera el impuesto sobre las ventas a la tarifa general.</w:t>
      </w:r>
    </w:p>
    <w:p w14:paraId="07A51F36" w14:textId="77777777" w:rsidR="00B2442D" w:rsidRDefault="00B2442D">
      <w:pPr>
        <w:jc w:val="both"/>
        <w:rPr>
          <w:rFonts w:ascii="Arial" w:hAnsi="Arial" w:cs="Arial"/>
          <w:lang w:val="es-CO"/>
        </w:rPr>
      </w:pPr>
    </w:p>
    <w:p w14:paraId="64AB131D" w14:textId="77777777" w:rsidR="00B2442D" w:rsidRDefault="008A645F">
      <w:pPr>
        <w:jc w:val="both"/>
        <w:rPr>
          <w:rFonts w:ascii="Arial" w:hAnsi="Arial" w:cs="Arial"/>
          <w:lang w:val="es-CO"/>
        </w:rPr>
      </w:pPr>
      <w:r>
        <w:rPr>
          <w:rFonts w:ascii="Arial" w:hAnsi="Arial" w:cs="Arial"/>
          <w:lang w:val="es-CO"/>
        </w:rPr>
        <w:t xml:space="preserve">No genera IVA la venta de tabaco en rama o sin elaborar y desperdicios de tabaco </w:t>
      </w:r>
      <w:r>
        <w:rPr>
          <w:rFonts w:ascii="Arial" w:hAnsi="Arial" w:cs="Arial"/>
          <w:lang w:val="es-CO"/>
        </w:rPr>
        <w:t>identificados con la nomenclatura arancelaria andina 24.01, en la cual no intervenga como enajenante o adquirente una empresa tabacalera.</w:t>
      </w:r>
    </w:p>
    <w:p w14:paraId="12092562" w14:textId="77777777" w:rsidR="00B2442D" w:rsidRDefault="00B2442D">
      <w:pPr>
        <w:jc w:val="both"/>
        <w:rPr>
          <w:rFonts w:ascii="Arial" w:hAnsi="Arial" w:cs="Arial"/>
          <w:lang w:val="es-CO"/>
        </w:rPr>
      </w:pPr>
    </w:p>
    <w:p w14:paraId="03EBECCF" w14:textId="77777777" w:rsidR="00B2442D" w:rsidRDefault="008A645F">
      <w:pPr>
        <w:jc w:val="both"/>
        <w:rPr>
          <w:rFonts w:ascii="Arial" w:hAnsi="Arial" w:cs="Arial"/>
          <w:i/>
          <w:lang w:val="es-CO"/>
        </w:rPr>
      </w:pPr>
      <w:r>
        <w:rPr>
          <w:rFonts w:ascii="Arial" w:hAnsi="Arial" w:cs="Arial"/>
          <w:i/>
          <w:lang w:val="es-CO"/>
        </w:rPr>
        <w:t>(Art. 10, Decreto 1794 de 2013)</w:t>
      </w:r>
    </w:p>
    <w:p w14:paraId="0CE86A43" w14:textId="77777777" w:rsidR="00B2442D" w:rsidRDefault="00B2442D">
      <w:pPr>
        <w:jc w:val="both"/>
        <w:rPr>
          <w:rFonts w:ascii="Arial" w:hAnsi="Arial" w:cs="Arial"/>
          <w:b/>
          <w:lang w:val="es-ES_tradnl"/>
        </w:rPr>
      </w:pPr>
    </w:p>
    <w:p w14:paraId="4B41547F" w14:textId="77777777" w:rsidR="00B2442D" w:rsidRDefault="008A645F">
      <w:pPr>
        <w:pStyle w:val="Prrafodelista"/>
        <w:numPr>
          <w:ilvl w:val="0"/>
          <w:numId w:val="76"/>
        </w:numPr>
        <w:ind w:left="0" w:firstLine="0"/>
        <w:jc w:val="both"/>
        <w:rPr>
          <w:rFonts w:ascii="Arial" w:hAnsi="Arial" w:cs="Arial"/>
          <w:lang w:val="es-ES_tradnl"/>
        </w:rPr>
      </w:pPr>
      <w:r>
        <w:rPr>
          <w:rFonts w:ascii="Arial" w:hAnsi="Arial" w:cs="Arial"/>
          <w:b/>
          <w:i/>
          <w:lang w:val="es-ES_tradnl"/>
        </w:rPr>
        <w:t xml:space="preserve"> Retención de IVA para venta de papel o cartón para reciclar (desperdicios y desecho</w:t>
      </w:r>
      <w:r>
        <w:rPr>
          <w:rFonts w:ascii="Arial" w:hAnsi="Arial" w:cs="Arial"/>
          <w:b/>
          <w:i/>
          <w:lang w:val="es-ES_tradnl"/>
        </w:rPr>
        <w:t xml:space="preserve">s). </w:t>
      </w:r>
      <w:r>
        <w:rPr>
          <w:rFonts w:ascii="Arial" w:hAnsi="Arial" w:cs="Arial"/>
          <w:lang w:val="es-ES_tradnl"/>
        </w:rPr>
        <w:t xml:space="preserve">De conformidad con lo dispuesto en el parágrafo 4° del artículo 437-4 del Estatuto Tributario, extiéndase el mecanismo de que trata este artículo al IVA causado en la venta de papel o cartón para reciclar (desperdicios y desechos) identificados con la </w:t>
      </w:r>
      <w:r>
        <w:rPr>
          <w:rFonts w:ascii="Arial" w:hAnsi="Arial" w:cs="Arial"/>
          <w:lang w:val="es-ES_tradnl"/>
        </w:rPr>
        <w:t>nomenclatura NANDINA 47.07, el cual se genera cuando estos sean vendidos a las empresas de fabricación de pastas celulósicas, papel y cartón; fabricación de papel y cartón ondulado, fabricación de envases, empaques y de embalajes de papel y cartón; y, fabr</w:t>
      </w:r>
      <w:r>
        <w:rPr>
          <w:rFonts w:ascii="Arial" w:hAnsi="Arial" w:cs="Arial"/>
          <w:lang w:val="es-ES_tradnl"/>
        </w:rPr>
        <w:t>icación de otros artículos de papel y cartón.</w:t>
      </w:r>
    </w:p>
    <w:p w14:paraId="245362E8" w14:textId="77777777" w:rsidR="00B2442D" w:rsidRDefault="00B2442D">
      <w:pPr>
        <w:jc w:val="both"/>
        <w:rPr>
          <w:rFonts w:ascii="Arial" w:hAnsi="Arial" w:cs="Arial"/>
          <w:lang w:val="es-ES_tradnl"/>
        </w:rPr>
      </w:pPr>
    </w:p>
    <w:p w14:paraId="2E061ECC" w14:textId="77777777" w:rsidR="00B2442D" w:rsidRDefault="008A645F">
      <w:pPr>
        <w:jc w:val="both"/>
        <w:rPr>
          <w:rFonts w:ascii="Arial" w:hAnsi="Arial" w:cs="Arial"/>
          <w:lang w:val="es-ES_tradnl"/>
        </w:rPr>
      </w:pPr>
      <w:r>
        <w:rPr>
          <w:rFonts w:ascii="Arial" w:hAnsi="Arial" w:cs="Arial"/>
          <w:lang w:val="es-ES_tradnl"/>
        </w:rPr>
        <w:t>El IVA generado de acuerdo con el inciso anterior será retenido en el ciento por ciento (100%) por las empresas de fabricación de pastas celulósicas, papel y cartón; fabricación de papel y cartón ondulado, fab</w:t>
      </w:r>
      <w:r>
        <w:rPr>
          <w:rFonts w:ascii="Arial" w:hAnsi="Arial" w:cs="Arial"/>
          <w:lang w:val="es-ES_tradnl"/>
        </w:rPr>
        <w:t>ricación de envases, empaques y de embalajes de papel y cartón; y, fabricación de otros artículos de papel y cartón.</w:t>
      </w:r>
    </w:p>
    <w:p w14:paraId="3BD83AA5" w14:textId="77777777" w:rsidR="00B2442D" w:rsidRDefault="00B2442D">
      <w:pPr>
        <w:jc w:val="both"/>
        <w:rPr>
          <w:rFonts w:ascii="Arial" w:hAnsi="Arial" w:cs="Arial"/>
          <w:lang w:val="es-ES_tradnl"/>
        </w:rPr>
      </w:pPr>
    </w:p>
    <w:p w14:paraId="714EB12B" w14:textId="77777777" w:rsidR="00B2442D" w:rsidRDefault="008A645F">
      <w:pPr>
        <w:jc w:val="both"/>
        <w:rPr>
          <w:rFonts w:ascii="Arial" w:hAnsi="Arial" w:cs="Arial"/>
          <w:lang w:val="es-ES_tradnl"/>
        </w:rPr>
      </w:pPr>
      <w:r>
        <w:rPr>
          <w:rFonts w:ascii="Arial" w:hAnsi="Arial" w:cs="Arial"/>
          <w:lang w:val="es-ES_tradnl"/>
        </w:rPr>
        <w:t>El impuesto generado dará derecho a impuestos descontables en los términos del artículo 485 del Estatuto Tributario.</w:t>
      </w:r>
    </w:p>
    <w:p w14:paraId="72EFA7AB" w14:textId="77777777" w:rsidR="00B2442D" w:rsidRDefault="00B2442D">
      <w:pPr>
        <w:jc w:val="both"/>
        <w:rPr>
          <w:rFonts w:ascii="Arial" w:hAnsi="Arial" w:cs="Arial"/>
          <w:lang w:val="es-ES_tradnl"/>
        </w:rPr>
      </w:pPr>
    </w:p>
    <w:p w14:paraId="6F003E6F" w14:textId="77777777" w:rsidR="00B2442D" w:rsidRDefault="008A645F">
      <w:pPr>
        <w:jc w:val="both"/>
        <w:rPr>
          <w:rFonts w:ascii="Arial" w:hAnsi="Arial" w:cs="Arial"/>
          <w:lang w:val="es-ES_tradnl"/>
        </w:rPr>
      </w:pPr>
      <w:r>
        <w:rPr>
          <w:rFonts w:ascii="Arial" w:hAnsi="Arial" w:cs="Arial"/>
          <w:b/>
          <w:lang w:val="es-ES_tradnl"/>
        </w:rPr>
        <w:t>Parágrafo 1°.</w:t>
      </w:r>
      <w:r>
        <w:rPr>
          <w:rFonts w:ascii="Arial" w:hAnsi="Arial" w:cs="Arial"/>
          <w:lang w:val="es-ES_tradnl"/>
        </w:rPr>
        <w:t xml:space="preserve"> Para efectos de este artículo se consideran empresas de fabricación de pastas celulósicas, papel y cartón; fabricación de papel y cartón ondulado, fabricación de envases, empaques y de embalajes de papel y cartón; y, fabricación de otros artículos de pape</w:t>
      </w:r>
      <w:r>
        <w:rPr>
          <w:rFonts w:ascii="Arial" w:hAnsi="Arial" w:cs="Arial"/>
          <w:lang w:val="es-ES_tradnl"/>
        </w:rPr>
        <w:t>l y cartón a las empresas cuya actividad económica principal se encuentre registrada en el Registro Único Tributario, RUT, bajo los códigos 1701, 1702 y 1709, respectivamente, de la Resolución número 139 de 2012 expedida por la Unidad Administrativa Especi</w:t>
      </w:r>
      <w:r>
        <w:rPr>
          <w:rFonts w:ascii="Arial" w:hAnsi="Arial" w:cs="Arial"/>
          <w:lang w:val="es-ES_tradnl"/>
        </w:rPr>
        <w:t>al Dirección de Impuestos y Aduanas Nacionales-DIAN o la que la modifique o sustituya.</w:t>
      </w:r>
    </w:p>
    <w:p w14:paraId="77681724" w14:textId="77777777" w:rsidR="00B2442D" w:rsidRDefault="00B2442D">
      <w:pPr>
        <w:jc w:val="both"/>
        <w:rPr>
          <w:rFonts w:ascii="Arial" w:hAnsi="Arial" w:cs="Arial"/>
          <w:lang w:val="es-ES_tradnl"/>
        </w:rPr>
      </w:pPr>
    </w:p>
    <w:p w14:paraId="6F4CB2CA" w14:textId="77777777" w:rsidR="00B2442D" w:rsidRDefault="008A645F">
      <w:pPr>
        <w:jc w:val="both"/>
        <w:rPr>
          <w:rFonts w:ascii="Arial" w:hAnsi="Arial" w:cs="Arial"/>
          <w:lang w:val="es-ES_tradnl"/>
        </w:rPr>
      </w:pPr>
      <w:r>
        <w:rPr>
          <w:rFonts w:ascii="Arial" w:hAnsi="Arial" w:cs="Arial"/>
          <w:b/>
          <w:lang w:val="es-ES_tradnl"/>
        </w:rPr>
        <w:t>Parágrafo 2°.</w:t>
      </w:r>
      <w:r>
        <w:rPr>
          <w:rFonts w:ascii="Arial" w:hAnsi="Arial" w:cs="Arial"/>
          <w:lang w:val="es-ES_tradnl"/>
        </w:rPr>
        <w:t xml:space="preserve"> La importación de papel o cartón para reciclar (desperdicios y desechos), identificados con la nomenclatura arancelaria NANDINA 47.07, se regirá por las r</w:t>
      </w:r>
      <w:r>
        <w:rPr>
          <w:rFonts w:ascii="Arial" w:hAnsi="Arial" w:cs="Arial"/>
          <w:lang w:val="es-ES_tradnl"/>
        </w:rPr>
        <w:t>eglas generales contenidas en el Libro III del Estatuto Tributario.</w:t>
      </w:r>
    </w:p>
    <w:p w14:paraId="6C73F32E" w14:textId="77777777" w:rsidR="00B2442D" w:rsidRDefault="00B2442D">
      <w:pPr>
        <w:jc w:val="both"/>
        <w:rPr>
          <w:rFonts w:ascii="Arial" w:hAnsi="Arial" w:cs="Arial"/>
          <w:lang w:val="es-ES_tradnl"/>
        </w:rPr>
      </w:pPr>
    </w:p>
    <w:p w14:paraId="37451908" w14:textId="77777777" w:rsidR="00B2442D" w:rsidRDefault="008A645F">
      <w:pPr>
        <w:jc w:val="both"/>
        <w:rPr>
          <w:rFonts w:ascii="Arial" w:hAnsi="Arial" w:cs="Arial"/>
          <w:lang w:val="es-ES_tradnl"/>
        </w:rPr>
      </w:pPr>
      <w:r>
        <w:rPr>
          <w:rFonts w:ascii="Arial" w:hAnsi="Arial" w:cs="Arial"/>
          <w:b/>
          <w:lang w:val="es-ES_tradnl"/>
        </w:rPr>
        <w:t>Parágrafo 3°.</w:t>
      </w:r>
      <w:r>
        <w:rPr>
          <w:rFonts w:ascii="Arial" w:hAnsi="Arial" w:cs="Arial"/>
          <w:lang w:val="es-ES_tradnl"/>
        </w:rPr>
        <w:t xml:space="preserve"> La venta de papel o cartón para reciclar (desperdicios y desechos), identificados con la nomenclatura arancelaria NANDINA 47.07 por parte de una empresa de fabricación de pa</w:t>
      </w:r>
      <w:r>
        <w:rPr>
          <w:rFonts w:ascii="Arial" w:hAnsi="Arial" w:cs="Arial"/>
          <w:lang w:val="es-ES_tradnl"/>
        </w:rPr>
        <w:t>pel y cartón ondulado, fabricación de envases, empaques y de embalajes de papel y cartón; y, fabricación de otros artículos de papel y cartón a otra y/o a cualquier tercero, se regirá por las reglas generales contenidas en el Libro III del Estatuto Tributa</w:t>
      </w:r>
      <w:r>
        <w:rPr>
          <w:rFonts w:ascii="Arial" w:hAnsi="Arial" w:cs="Arial"/>
          <w:lang w:val="es-ES_tradnl"/>
        </w:rPr>
        <w:t>rio.</w:t>
      </w:r>
    </w:p>
    <w:p w14:paraId="70DE2258" w14:textId="77777777" w:rsidR="00B2442D" w:rsidRDefault="00B2442D">
      <w:pPr>
        <w:jc w:val="both"/>
        <w:rPr>
          <w:rFonts w:ascii="Arial" w:hAnsi="Arial" w:cs="Arial"/>
          <w:lang w:val="es-ES_tradnl"/>
        </w:rPr>
      </w:pPr>
    </w:p>
    <w:p w14:paraId="14D86D07" w14:textId="77777777" w:rsidR="00B2442D" w:rsidRDefault="008A645F">
      <w:pPr>
        <w:jc w:val="both"/>
        <w:rPr>
          <w:rFonts w:ascii="Arial" w:hAnsi="Arial" w:cs="Arial"/>
          <w:lang w:val="es-ES_tradnl"/>
        </w:rPr>
      </w:pPr>
      <w:r>
        <w:rPr>
          <w:rFonts w:ascii="Arial" w:hAnsi="Arial" w:cs="Arial"/>
          <w:b/>
          <w:lang w:val="es-ES_tradnl"/>
        </w:rPr>
        <w:t>Parágrafo 4°.</w:t>
      </w:r>
      <w:r>
        <w:rPr>
          <w:rFonts w:ascii="Arial" w:hAnsi="Arial" w:cs="Arial"/>
          <w:lang w:val="es-ES_tradnl"/>
        </w:rPr>
        <w:t xml:space="preserve"> Cuando el vendedor de papel o cartón para reciclar (desperdicios y desechos) identificados con la nomenclatura arancelaria NANDINA 47.07 sea un contribuyente que tenga la calidad de Grande según la Resolución número 041 de 2014 expedida</w:t>
      </w:r>
      <w:r>
        <w:rPr>
          <w:rFonts w:ascii="Arial" w:hAnsi="Arial" w:cs="Arial"/>
          <w:lang w:val="es-ES_tradnl"/>
        </w:rPr>
        <w:t xml:space="preserve"> por la </w:t>
      </w:r>
      <w:r>
        <w:rPr>
          <w:rFonts w:ascii="Arial" w:hAnsi="Arial" w:cs="Arial"/>
          <w:lang w:val="es-CO"/>
        </w:rPr>
        <w:t>Unidad Administrativa Especial</w:t>
      </w:r>
      <w:r>
        <w:rPr>
          <w:rFonts w:ascii="Arial" w:hAnsi="Arial" w:cs="Arial"/>
          <w:lang w:val="es-ES_tradnl"/>
        </w:rPr>
        <w:t xml:space="preserve"> Dirección de Impuestos y Aduanas Nacionales-DIAN o la que la modifique o sustituya, no se aplicará la retención del cien por ciento (100%) de que trata el inciso 2° del presente artículo. En dichos casos se aplicarán </w:t>
      </w:r>
      <w:r>
        <w:rPr>
          <w:rFonts w:ascii="Arial" w:hAnsi="Arial" w:cs="Arial"/>
          <w:lang w:val="es-ES_tradnl"/>
        </w:rPr>
        <w:t>las normas generales de retención en la fuente del IVA.</w:t>
      </w:r>
    </w:p>
    <w:p w14:paraId="4DDB5E1D" w14:textId="77777777" w:rsidR="00B2442D" w:rsidRDefault="00B2442D">
      <w:pPr>
        <w:jc w:val="both"/>
        <w:rPr>
          <w:rFonts w:ascii="Arial" w:hAnsi="Arial" w:cs="Arial"/>
          <w:lang w:val="es-ES_tradnl"/>
        </w:rPr>
      </w:pPr>
    </w:p>
    <w:p w14:paraId="73B65DB1" w14:textId="77777777" w:rsidR="00B2442D" w:rsidRDefault="008A645F">
      <w:pPr>
        <w:jc w:val="both"/>
        <w:rPr>
          <w:rFonts w:ascii="Arial" w:hAnsi="Arial" w:cs="Arial"/>
          <w:i/>
          <w:lang w:val="es-CO"/>
        </w:rPr>
      </w:pPr>
      <w:r>
        <w:rPr>
          <w:rFonts w:ascii="Arial" w:hAnsi="Arial" w:cs="Arial"/>
          <w:i/>
          <w:lang w:val="es-CO"/>
        </w:rPr>
        <w:t>(Art. 1, Decreto 1781 de 2014)</w:t>
      </w:r>
    </w:p>
    <w:p w14:paraId="3635435E" w14:textId="77777777" w:rsidR="00B2442D" w:rsidRDefault="00B2442D">
      <w:pPr>
        <w:jc w:val="both"/>
        <w:rPr>
          <w:rFonts w:ascii="Arial" w:hAnsi="Arial" w:cs="Arial"/>
          <w:b/>
          <w:lang w:val="es-CO"/>
        </w:rPr>
      </w:pPr>
    </w:p>
    <w:p w14:paraId="34662E90"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Cuantías mínimas no sometidas a retención en la fuente a título de impuesto sobre las ventas.</w:t>
      </w:r>
      <w:r>
        <w:rPr>
          <w:rFonts w:ascii="Arial" w:hAnsi="Arial" w:cs="Arial"/>
          <w:lang w:val="es-CO"/>
        </w:rPr>
        <w:t xml:space="preserve"> Para efectos de la aplicación de la retención en la fuente a título del i</w:t>
      </w:r>
      <w:r>
        <w:rPr>
          <w:rFonts w:ascii="Arial" w:hAnsi="Arial" w:cs="Arial"/>
          <w:lang w:val="es-CO"/>
        </w:rPr>
        <w:t>mpuesto sobre las ventas, se tendrán en cuenta las mismas cuantías mínimas no sujetas a retención en la fuente a título del impuesto sobre la renta por los conceptos de servicios y de otros ingresos tributarios, señaladas anualmente por el Gobierno Naciona</w:t>
      </w:r>
      <w:r>
        <w:rPr>
          <w:rFonts w:ascii="Arial" w:hAnsi="Arial" w:cs="Arial"/>
          <w:lang w:val="es-CO"/>
        </w:rPr>
        <w:t>l.</w:t>
      </w:r>
    </w:p>
    <w:p w14:paraId="4F1513BE" w14:textId="77777777" w:rsidR="00B2442D" w:rsidRDefault="00B2442D">
      <w:pPr>
        <w:jc w:val="both"/>
        <w:rPr>
          <w:rFonts w:ascii="Arial" w:hAnsi="Arial" w:cs="Arial"/>
          <w:i/>
          <w:lang w:val="es-CO"/>
        </w:rPr>
      </w:pPr>
    </w:p>
    <w:p w14:paraId="76A33A29" w14:textId="77777777" w:rsidR="00B2442D" w:rsidRDefault="008A645F">
      <w:pPr>
        <w:jc w:val="both"/>
        <w:rPr>
          <w:rFonts w:ascii="Arial" w:hAnsi="Arial" w:cs="Arial"/>
          <w:i/>
          <w:lang w:val="es-CO"/>
        </w:rPr>
      </w:pPr>
      <w:r>
        <w:rPr>
          <w:rFonts w:ascii="Arial" w:hAnsi="Arial" w:cs="Arial"/>
          <w:i/>
          <w:lang w:val="es-CO"/>
        </w:rPr>
        <w:t>(Art. 1, Decreto 0782 de 1996. Incisos 2 y 3 tienen pérdida de vigencia por cumplimiento del plazo)</w:t>
      </w:r>
    </w:p>
    <w:p w14:paraId="6EFB2470" w14:textId="77777777" w:rsidR="00B2442D" w:rsidRDefault="00B2442D">
      <w:pPr>
        <w:jc w:val="both"/>
        <w:rPr>
          <w:rFonts w:ascii="Arial" w:hAnsi="Arial" w:cs="Arial"/>
          <w:lang w:val="es-CO"/>
        </w:rPr>
      </w:pPr>
    </w:p>
    <w:p w14:paraId="33B1CC1B"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 xml:space="preserve"> Procedimiento para determinar las cuantías mínimas no sometidas a retención en la fuente a título de impuesto sobre las ventas. </w:t>
      </w:r>
      <w:r>
        <w:rPr>
          <w:rFonts w:ascii="Arial" w:hAnsi="Arial" w:cs="Arial"/>
          <w:lang w:val="es-CO"/>
        </w:rPr>
        <w:t>Para efectos de determ</w:t>
      </w:r>
      <w:r>
        <w:rPr>
          <w:rFonts w:ascii="Arial" w:hAnsi="Arial" w:cs="Arial"/>
          <w:lang w:val="es-CO"/>
        </w:rPr>
        <w:t>inar la procedencia de la retención en la fuente a título del impuesto sobre las ventas a que se refiere el artículo 1.3.2.1.12 del presente Decreto, respecto del monto mínimo de los pagos o abonos en cuenta por concepto de prestación de servicios o compra</w:t>
      </w:r>
      <w:r>
        <w:rPr>
          <w:rFonts w:ascii="Arial" w:hAnsi="Arial" w:cs="Arial"/>
          <w:lang w:val="es-CO"/>
        </w:rPr>
        <w:t xml:space="preserve"> de bienes gravados, se tendrán en cuenta las operaciones individualmente consideradas, sin que proceda la acumulación de operaciones, aún en el evento en que un mismo comprador realice varias compras a un mismo vendedor en una misma fecha.</w:t>
      </w:r>
    </w:p>
    <w:p w14:paraId="46F0058B" w14:textId="77777777" w:rsidR="00B2442D" w:rsidRDefault="00B2442D">
      <w:pPr>
        <w:jc w:val="both"/>
        <w:rPr>
          <w:rFonts w:ascii="Arial" w:hAnsi="Arial" w:cs="Arial"/>
          <w:i/>
          <w:lang w:val="es-CO"/>
        </w:rPr>
      </w:pPr>
    </w:p>
    <w:p w14:paraId="01118841" w14:textId="77777777" w:rsidR="00B2442D" w:rsidRDefault="008A645F">
      <w:pPr>
        <w:jc w:val="both"/>
        <w:rPr>
          <w:rFonts w:ascii="Arial" w:hAnsi="Arial" w:cs="Arial"/>
          <w:lang w:val="es-CO"/>
        </w:rPr>
      </w:pPr>
      <w:r>
        <w:rPr>
          <w:rFonts w:ascii="Arial" w:hAnsi="Arial" w:cs="Arial"/>
          <w:i/>
          <w:lang w:val="es-CO"/>
        </w:rPr>
        <w:t>(Art. 2, Decre</w:t>
      </w:r>
      <w:r>
        <w:rPr>
          <w:rFonts w:ascii="Arial" w:hAnsi="Arial" w:cs="Arial"/>
          <w:i/>
          <w:lang w:val="es-CO"/>
        </w:rPr>
        <w:t>to 0782 de 1996, modificado por el Art. 1 del Decreto 2224 de 2004)</w:t>
      </w:r>
    </w:p>
    <w:p w14:paraId="18A4E887" w14:textId="77777777" w:rsidR="00B2442D" w:rsidRDefault="00B2442D">
      <w:pPr>
        <w:jc w:val="both"/>
        <w:rPr>
          <w:rFonts w:ascii="Arial" w:hAnsi="Arial" w:cs="Arial"/>
          <w:lang w:val="es-CO"/>
        </w:rPr>
      </w:pPr>
    </w:p>
    <w:p w14:paraId="09793E64"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Retención de IVA para responsables con saldo a favor consecutivo.</w:t>
      </w:r>
      <w:r>
        <w:rPr>
          <w:rFonts w:ascii="Arial" w:hAnsi="Arial" w:cs="Arial"/>
          <w:lang w:val="es-CO"/>
        </w:rPr>
        <w:t xml:space="preserve"> El porcentaje de retención en el impuesto sobre las ventas para aquellos responsables que en los últimos seis (6) períodos consecutivos hayan arrojado saldos a favor en sus declaraciones de ventas provenientes de retenciones en la fuente por IVA, será del</w:t>
      </w:r>
      <w:r>
        <w:rPr>
          <w:rFonts w:ascii="Arial" w:hAnsi="Arial" w:cs="Arial"/>
          <w:lang w:val="es-CO"/>
        </w:rPr>
        <w:t xml:space="preserve"> diez por ciento (10%) del valor del impuesto.</w:t>
      </w:r>
    </w:p>
    <w:p w14:paraId="0B5B3BEA" w14:textId="77777777" w:rsidR="00B2442D" w:rsidRDefault="00B2442D">
      <w:pPr>
        <w:jc w:val="both"/>
        <w:rPr>
          <w:rFonts w:ascii="Arial" w:hAnsi="Arial" w:cs="Arial"/>
          <w:lang w:val="es-CO"/>
        </w:rPr>
      </w:pPr>
    </w:p>
    <w:p w14:paraId="461636F8" w14:textId="77777777" w:rsidR="00B2442D" w:rsidRDefault="008A645F">
      <w:pPr>
        <w:jc w:val="both"/>
        <w:rPr>
          <w:rFonts w:ascii="Arial" w:hAnsi="Arial" w:cs="Arial"/>
          <w:lang w:val="es-CO"/>
        </w:rPr>
      </w:pPr>
      <w:r>
        <w:rPr>
          <w:rFonts w:ascii="Arial" w:hAnsi="Arial" w:cs="Arial"/>
          <w:lang w:val="es-CO"/>
        </w:rPr>
        <w:t>Para la aplicación del porcentaje de retención en la fuente del impuesto sobre las ventas señalado en el inciso anterior, el responsable del impuesto, dentro del mes siguiente a la fecha de presentación de la</w:t>
      </w:r>
      <w:r>
        <w:rPr>
          <w:rFonts w:ascii="Arial" w:hAnsi="Arial" w:cs="Arial"/>
          <w:lang w:val="es-CO"/>
        </w:rPr>
        <w:t xml:space="preserve"> declaración del impuesto sobre las ventas correspondiente al último periodo, deberá presentar una solicitud de reducción de la tarifa de retención aplicable, ante la División de Gestión de Recaudación o la que haga sus veces de la Dirección Seccional de I</w:t>
      </w:r>
      <w:r>
        <w:rPr>
          <w:rFonts w:ascii="Arial" w:hAnsi="Arial" w:cs="Arial"/>
          <w:lang w:val="es-CO"/>
        </w:rPr>
        <w:t>mpuestos y/o de Impuestos y Aduanas a la cual pertenezca, acompañada de:</w:t>
      </w:r>
    </w:p>
    <w:p w14:paraId="5D4797B4" w14:textId="77777777" w:rsidR="00B2442D" w:rsidRDefault="00B2442D">
      <w:pPr>
        <w:jc w:val="both"/>
        <w:rPr>
          <w:rFonts w:ascii="Arial" w:hAnsi="Arial" w:cs="Arial"/>
          <w:lang w:val="es-CO"/>
        </w:rPr>
      </w:pPr>
    </w:p>
    <w:p w14:paraId="1E93C130"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 relación de las declaraciones tributarias que arrojaron saldo a favor, identificando el monto del mismo y su lugar de presentación;</w:t>
      </w:r>
    </w:p>
    <w:p w14:paraId="25671E63" w14:textId="77777777" w:rsidR="00B2442D" w:rsidRDefault="00B2442D">
      <w:pPr>
        <w:ind w:left="284" w:hanging="284"/>
        <w:jc w:val="both"/>
        <w:rPr>
          <w:rFonts w:ascii="Arial" w:hAnsi="Arial" w:cs="Arial"/>
          <w:lang w:val="es-CO"/>
        </w:rPr>
      </w:pPr>
    </w:p>
    <w:p w14:paraId="00058E8A"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Certificación de contador público o revi</w:t>
      </w:r>
      <w:r>
        <w:rPr>
          <w:rFonts w:ascii="Arial" w:hAnsi="Arial" w:cs="Arial"/>
          <w:lang w:val="es-CO"/>
        </w:rPr>
        <w:t>sor fiscal en la que se indique que el saldo a favor proviene de retenciones efectivamente practicadas.</w:t>
      </w:r>
    </w:p>
    <w:p w14:paraId="7039FE0D" w14:textId="77777777" w:rsidR="00B2442D" w:rsidRDefault="00B2442D">
      <w:pPr>
        <w:jc w:val="both"/>
        <w:rPr>
          <w:rFonts w:ascii="Arial" w:hAnsi="Arial" w:cs="Arial"/>
          <w:lang w:val="es-CO"/>
        </w:rPr>
      </w:pPr>
    </w:p>
    <w:p w14:paraId="7BD42238" w14:textId="77777777" w:rsidR="00B2442D" w:rsidRDefault="008A645F">
      <w:pPr>
        <w:jc w:val="both"/>
        <w:rPr>
          <w:rFonts w:ascii="Arial" w:hAnsi="Arial" w:cs="Arial"/>
          <w:lang w:val="es-CO"/>
        </w:rPr>
      </w:pPr>
      <w:r>
        <w:rPr>
          <w:rFonts w:ascii="Arial" w:hAnsi="Arial" w:cs="Arial"/>
          <w:lang w:val="es-CO"/>
        </w:rPr>
        <w:t>El Jefe de la División de Gestión de Recaudación o quien haga sus veces, de la Dirección Seccional de Impuestos y/o de Impuestos y Aduanas a la cual pe</w:t>
      </w:r>
      <w:r>
        <w:rPr>
          <w:rFonts w:ascii="Arial" w:hAnsi="Arial" w:cs="Arial"/>
          <w:lang w:val="es-CO"/>
        </w:rPr>
        <w:t>rtenezca el responsable, expedirá dentro de los quince (15) días siguientes a la presentación de la solicitud, resolución debidamente motivada accediendo o negando la petición. Contra dicha providencia proceden los recursos de reposición y apelación de con</w:t>
      </w:r>
      <w:r>
        <w:rPr>
          <w:rFonts w:ascii="Arial" w:hAnsi="Arial" w:cs="Arial"/>
          <w:lang w:val="es-CO"/>
        </w:rPr>
        <w:t>formidad con el Código de Procedimiento Administrativo y de lo Contencioso Administrativo, los cuales se deberán interponer ante el Jefe de la División de Gestión de Recaudación o el que haga sus veces y el Director Seccional respectivo.</w:t>
      </w:r>
    </w:p>
    <w:p w14:paraId="1431C2E5" w14:textId="77777777" w:rsidR="00B2442D" w:rsidRDefault="00B2442D">
      <w:pPr>
        <w:jc w:val="both"/>
        <w:rPr>
          <w:rFonts w:ascii="Arial" w:hAnsi="Arial" w:cs="Arial"/>
          <w:lang w:val="es-CO"/>
        </w:rPr>
      </w:pPr>
    </w:p>
    <w:p w14:paraId="540E8B1B" w14:textId="77777777" w:rsidR="00B2442D" w:rsidRDefault="008A645F">
      <w:pPr>
        <w:jc w:val="both"/>
        <w:rPr>
          <w:rFonts w:ascii="Arial" w:hAnsi="Arial" w:cs="Arial"/>
          <w:lang w:val="es-CO"/>
        </w:rPr>
      </w:pPr>
      <w:r>
        <w:rPr>
          <w:rFonts w:ascii="Arial" w:hAnsi="Arial" w:cs="Arial"/>
          <w:lang w:val="es-CO"/>
        </w:rPr>
        <w:t xml:space="preserve">El porcentaje de </w:t>
      </w:r>
      <w:r>
        <w:rPr>
          <w:rFonts w:ascii="Arial" w:hAnsi="Arial" w:cs="Arial"/>
          <w:lang w:val="es-CO"/>
        </w:rPr>
        <w:t>retención en la fuente por impuesto sobre las ventas de que trata el inciso 1o del presente artículo, se aplicará a partir de la ejecutoria de la resolución que reconoce que el responsable cumple con el requisito establecido en el tercer inciso del artícul</w:t>
      </w:r>
      <w:r>
        <w:rPr>
          <w:rFonts w:ascii="Arial" w:hAnsi="Arial" w:cs="Arial"/>
          <w:lang w:val="es-CO"/>
        </w:rPr>
        <w:t>o 437-1 del Estatuto Tributario y los requisitos formales señalados en el presente artículo para acceder a la aplicación de dicho porcentaje.</w:t>
      </w:r>
    </w:p>
    <w:p w14:paraId="4CFB6253" w14:textId="77777777" w:rsidR="00B2442D" w:rsidRDefault="00B2442D">
      <w:pPr>
        <w:jc w:val="both"/>
        <w:rPr>
          <w:rFonts w:ascii="Arial" w:hAnsi="Arial" w:cs="Arial"/>
          <w:lang w:val="es-CO"/>
        </w:rPr>
      </w:pPr>
    </w:p>
    <w:p w14:paraId="62F7E9F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aplicación de la tarifa de retención de que trata el presente artículo, solo podrá solicitarse dent</w:t>
      </w:r>
      <w:r>
        <w:rPr>
          <w:rFonts w:ascii="Arial" w:hAnsi="Arial" w:cs="Arial"/>
          <w:lang w:val="es-CO"/>
        </w:rPr>
        <w:t xml:space="preserve">ro del mes siguiente a la presentación de la declaración del impuesto sobre las ventas correspondiente al último de los seis (6) periodos consecutivos, con saldos a favor provenientes de retenciones practicadas con la tarifa de retención de IVA del quince </w:t>
      </w:r>
      <w:r>
        <w:rPr>
          <w:rFonts w:ascii="Arial" w:hAnsi="Arial" w:cs="Arial"/>
          <w:lang w:val="es-CO"/>
        </w:rPr>
        <w:t>por ciento (15%) establecida en el artículo 437-1 del Estatuto Tributario.</w:t>
      </w:r>
    </w:p>
    <w:p w14:paraId="5BD84E99" w14:textId="77777777" w:rsidR="00B2442D" w:rsidRDefault="00B2442D">
      <w:pPr>
        <w:jc w:val="both"/>
        <w:rPr>
          <w:rFonts w:ascii="Arial" w:hAnsi="Arial" w:cs="Arial"/>
          <w:lang w:val="es-CO"/>
        </w:rPr>
      </w:pPr>
    </w:p>
    <w:p w14:paraId="144C2C8F" w14:textId="77777777" w:rsidR="00B2442D" w:rsidRDefault="008A645F">
      <w:pPr>
        <w:jc w:val="both"/>
        <w:rPr>
          <w:rFonts w:ascii="Arial" w:hAnsi="Arial" w:cs="Arial"/>
          <w:i/>
          <w:lang w:val="es-CO"/>
        </w:rPr>
      </w:pPr>
      <w:r>
        <w:rPr>
          <w:rFonts w:ascii="Arial" w:hAnsi="Arial" w:cs="Arial"/>
          <w:i/>
          <w:lang w:val="es-CO"/>
        </w:rPr>
        <w:t>(Art. 8, Decreto 1794 de 2013)</w:t>
      </w:r>
    </w:p>
    <w:p w14:paraId="49562FC8" w14:textId="77777777" w:rsidR="00B2442D" w:rsidRDefault="00B2442D">
      <w:pPr>
        <w:jc w:val="both"/>
        <w:rPr>
          <w:rFonts w:ascii="Arial" w:hAnsi="Arial" w:cs="Arial"/>
          <w:i/>
          <w:lang w:val="es-CO"/>
        </w:rPr>
      </w:pPr>
    </w:p>
    <w:p w14:paraId="0A73F097" w14:textId="77777777" w:rsidR="00B2442D" w:rsidRDefault="008A645F">
      <w:pPr>
        <w:pStyle w:val="Prrafodelista"/>
        <w:numPr>
          <w:ilvl w:val="0"/>
          <w:numId w:val="76"/>
        </w:numPr>
        <w:ind w:left="0" w:firstLine="0"/>
        <w:jc w:val="both"/>
        <w:rPr>
          <w:rFonts w:ascii="Arial" w:hAnsi="Arial" w:cs="Arial"/>
          <w:lang w:val="es-CO"/>
        </w:rPr>
      </w:pPr>
      <w:r>
        <w:rPr>
          <w:rFonts w:ascii="Arial" w:hAnsi="Arial" w:cs="Arial"/>
          <w:b/>
          <w:i/>
          <w:lang w:val="es-CO"/>
        </w:rPr>
        <w:t>Retención de IVA para venta de desperdicios y deshechos de plomo.</w:t>
      </w:r>
      <w:r>
        <w:rPr>
          <w:rFonts w:ascii="Arial" w:hAnsi="Arial" w:cs="Arial"/>
          <w:lang w:val="es-CO"/>
        </w:rPr>
        <w:t xml:space="preserve"> De conformidad con lo dispuesto en el parágrafo 4 del artículo 437-4 del Estatuto </w:t>
      </w:r>
      <w:r>
        <w:rPr>
          <w:rFonts w:ascii="Arial" w:hAnsi="Arial" w:cs="Arial"/>
          <w:lang w:val="es-CO"/>
        </w:rPr>
        <w:t xml:space="preserve">Tributario, extiéndase el mecanismo de que trata este artículo al IVA causado en la venta de desperdicios y desechos de plomo identificados con la nomenclatura nandina 78.02, el cual, de conformidad con el artículo 420 del Estatuto Tributario, se generará </w:t>
      </w:r>
      <w:r>
        <w:rPr>
          <w:rFonts w:ascii="Arial" w:hAnsi="Arial" w:cs="Arial"/>
          <w:lang w:val="es-CO"/>
        </w:rPr>
        <w:t>cuando estos sean vendidos a las empresas de fabricación de pilas, baterías y acumuladores eléctricos.</w:t>
      </w:r>
    </w:p>
    <w:p w14:paraId="1CE177AC" w14:textId="77777777" w:rsidR="00B2442D" w:rsidRDefault="00B2442D">
      <w:pPr>
        <w:jc w:val="both"/>
        <w:rPr>
          <w:rFonts w:ascii="Arial" w:hAnsi="Arial" w:cs="Arial"/>
          <w:lang w:val="es-CO"/>
        </w:rPr>
      </w:pPr>
    </w:p>
    <w:p w14:paraId="10B8B869" w14:textId="77777777" w:rsidR="00B2442D" w:rsidRDefault="008A645F">
      <w:pPr>
        <w:jc w:val="both"/>
        <w:rPr>
          <w:rFonts w:ascii="Arial" w:hAnsi="Arial" w:cs="Arial"/>
          <w:lang w:val="es-CO"/>
        </w:rPr>
      </w:pPr>
      <w:r>
        <w:rPr>
          <w:rFonts w:ascii="Arial" w:hAnsi="Arial" w:cs="Arial"/>
          <w:lang w:val="es-CO"/>
        </w:rPr>
        <w:t xml:space="preserve">El IVA generado de acuerdo con el inciso anterior será retenido en el cien por ciento (100%) por las empresas de fabricación de pilas, baterías y </w:t>
      </w:r>
      <w:r>
        <w:rPr>
          <w:rFonts w:ascii="Arial" w:hAnsi="Arial" w:cs="Arial"/>
          <w:lang w:val="es-CO"/>
        </w:rPr>
        <w:t>acumuladores eléctricos.</w:t>
      </w:r>
    </w:p>
    <w:p w14:paraId="19874D18" w14:textId="77777777" w:rsidR="00B2442D" w:rsidRDefault="00B2442D">
      <w:pPr>
        <w:jc w:val="both"/>
        <w:rPr>
          <w:rFonts w:ascii="Arial" w:hAnsi="Arial" w:cs="Arial"/>
          <w:lang w:val="es-CO"/>
        </w:rPr>
      </w:pPr>
    </w:p>
    <w:p w14:paraId="76A546FD" w14:textId="77777777" w:rsidR="00B2442D" w:rsidRDefault="008A645F">
      <w:pPr>
        <w:jc w:val="both"/>
        <w:rPr>
          <w:rFonts w:ascii="Arial" w:hAnsi="Arial" w:cs="Arial"/>
          <w:lang w:val="es-CO"/>
        </w:rPr>
      </w:pPr>
      <w:r>
        <w:rPr>
          <w:rFonts w:ascii="Arial" w:hAnsi="Arial" w:cs="Arial"/>
          <w:lang w:val="es-CO"/>
        </w:rPr>
        <w:t>El impuesto generado dará derecho a impuestos descontables en los términos del artículo 485 del Estatuto Tributario.</w:t>
      </w:r>
    </w:p>
    <w:p w14:paraId="3DA15DBC" w14:textId="77777777" w:rsidR="00B2442D" w:rsidRDefault="00B2442D">
      <w:pPr>
        <w:jc w:val="both"/>
        <w:rPr>
          <w:rFonts w:ascii="Arial" w:hAnsi="Arial" w:cs="Arial"/>
          <w:lang w:val="es-CO"/>
        </w:rPr>
      </w:pPr>
    </w:p>
    <w:p w14:paraId="7295B8A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este artículo se consideran empresas de fabricación de pilas, baterías y acumulado</w:t>
      </w:r>
      <w:r>
        <w:rPr>
          <w:rFonts w:ascii="Arial" w:hAnsi="Arial" w:cs="Arial"/>
          <w:lang w:val="es-CO"/>
        </w:rPr>
        <w:t>res eléctricos a las empresas cuya actividad económica principal se encuentre registrada en el Registro Único Tributario, RUT, bajo el código 272 de la Resolución 139 de 2012 expedida por la Unidad Administrativa Especial Dirección de Impuestos y Aduanas N</w:t>
      </w:r>
      <w:r>
        <w:rPr>
          <w:rFonts w:ascii="Arial" w:hAnsi="Arial" w:cs="Arial"/>
          <w:lang w:val="es-CO"/>
        </w:rPr>
        <w:t>acionales– DIAN o la que la modifique o sustituya.</w:t>
      </w:r>
    </w:p>
    <w:p w14:paraId="74D9EA2E" w14:textId="77777777" w:rsidR="00B2442D" w:rsidRDefault="00B2442D">
      <w:pPr>
        <w:jc w:val="both"/>
        <w:rPr>
          <w:rFonts w:ascii="Arial" w:hAnsi="Arial" w:cs="Arial"/>
          <w:lang w:val="es-CO"/>
        </w:rPr>
      </w:pPr>
    </w:p>
    <w:p w14:paraId="66F9EF4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importación de desperdicios y deshechos de plomo, identificados con la nomenclatura arancelaría andina 78.02, se regirá por las reglas generales contenidas en el Libro III del Estatuto Tributario.</w:t>
      </w:r>
    </w:p>
    <w:p w14:paraId="1D5E6246" w14:textId="77777777" w:rsidR="00B2442D" w:rsidRDefault="00B2442D">
      <w:pPr>
        <w:jc w:val="both"/>
        <w:rPr>
          <w:rFonts w:ascii="Arial" w:hAnsi="Arial" w:cs="Arial"/>
          <w:lang w:val="es-CO"/>
        </w:rPr>
      </w:pPr>
    </w:p>
    <w:p w14:paraId="48ECD03A"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venta de desperdicios y deshechos de </w:t>
      </w:r>
      <w:r>
        <w:rPr>
          <w:rFonts w:ascii="Arial" w:hAnsi="Arial" w:cs="Arial"/>
          <w:lang w:val="es-CO"/>
        </w:rPr>
        <w:t>plomo identificados con la nomenclatura arancelaria andina 78.02 por parte de una empresa de fabricación de pilas, baterías y acumuladores a otra y/o a cualquier tercero, se regirá por las reglas generales contenidas en el Libro III del Estatuto Tributario</w:t>
      </w:r>
      <w:r>
        <w:rPr>
          <w:rFonts w:ascii="Arial" w:hAnsi="Arial" w:cs="Arial"/>
          <w:lang w:val="es-CO"/>
        </w:rPr>
        <w:t>.</w:t>
      </w:r>
    </w:p>
    <w:p w14:paraId="3FFD0EC5" w14:textId="77777777" w:rsidR="00B2442D" w:rsidRDefault="00B2442D">
      <w:pPr>
        <w:jc w:val="both"/>
        <w:rPr>
          <w:rFonts w:ascii="Arial" w:hAnsi="Arial" w:cs="Arial"/>
          <w:lang w:val="es-CO"/>
        </w:rPr>
      </w:pPr>
    </w:p>
    <w:p w14:paraId="6A2C8344" w14:textId="77777777" w:rsidR="00B2442D" w:rsidRDefault="008A645F">
      <w:pPr>
        <w:jc w:val="both"/>
        <w:rPr>
          <w:rFonts w:ascii="Arial" w:hAnsi="Arial" w:cs="Arial"/>
          <w:i/>
          <w:lang w:val="es-CO"/>
        </w:rPr>
      </w:pPr>
      <w:r>
        <w:rPr>
          <w:rFonts w:ascii="Arial" w:hAnsi="Arial" w:cs="Arial"/>
          <w:i/>
          <w:lang w:val="es-CO"/>
        </w:rPr>
        <w:t>(Art. 1, Decreto 2702 de 2013)</w:t>
      </w:r>
    </w:p>
    <w:p w14:paraId="48B4B087" w14:textId="77777777" w:rsidR="00B2442D" w:rsidRDefault="00B2442D">
      <w:pPr>
        <w:jc w:val="both"/>
        <w:rPr>
          <w:rFonts w:ascii="Arial" w:hAnsi="Arial" w:cs="Arial"/>
          <w:i/>
          <w:lang w:val="es-CO"/>
        </w:rPr>
      </w:pPr>
    </w:p>
    <w:p w14:paraId="56E5094D" w14:textId="77777777" w:rsidR="00B2442D" w:rsidRDefault="008A645F">
      <w:pPr>
        <w:pStyle w:val="Ttulo4"/>
        <w:rPr>
          <w:lang w:val="es-CO"/>
        </w:rPr>
      </w:pPr>
      <w:r>
        <w:rPr>
          <w:lang w:val="es-CO"/>
        </w:rPr>
        <w:t>CAPÍTULO 2</w:t>
      </w:r>
    </w:p>
    <w:p w14:paraId="2BA2BC25" w14:textId="77777777" w:rsidR="00B2442D" w:rsidRDefault="008A645F">
      <w:pPr>
        <w:pStyle w:val="Ttulo4"/>
        <w:rPr>
          <w:lang w:val="es-CO"/>
        </w:rPr>
      </w:pPr>
      <w:r>
        <w:rPr>
          <w:lang w:val="es-CO"/>
        </w:rPr>
        <w:t>Retenciones en la fuente por parte de las entidades ejecutoras del Presupuesto General de la Nación, a título de los impuestos de renta y/o ventas</w:t>
      </w:r>
    </w:p>
    <w:p w14:paraId="1D18A3DF" w14:textId="77777777" w:rsidR="00B2442D" w:rsidRDefault="00B2442D">
      <w:pPr>
        <w:rPr>
          <w:rFonts w:ascii="Arial" w:hAnsi="Arial" w:cs="Arial"/>
          <w:lang w:val="es-CO"/>
        </w:rPr>
      </w:pPr>
    </w:p>
    <w:p w14:paraId="55535FFA"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 xml:space="preserve">Ámbito de aplicación. </w:t>
      </w:r>
      <w:r>
        <w:rPr>
          <w:rFonts w:ascii="Arial" w:hAnsi="Arial" w:cs="Arial"/>
          <w:lang w:val="es-CO"/>
        </w:rPr>
        <w:t>Lo dispuesto en este capítulo aplica a l</w:t>
      </w:r>
      <w:r>
        <w:rPr>
          <w:rFonts w:ascii="Arial" w:hAnsi="Arial" w:cs="Arial"/>
          <w:lang w:val="es-CO"/>
        </w:rPr>
        <w:t>as entidades ejecutoras del Presupuesto General de la Nación que efectúen pagos por conceptos sujetos a retención en la fuente a título del impuesto sobre la renta y/o impuesto sobre las ventas - IVA, a través del SIIF - Nación y del Sistema de Cuenta Únic</w:t>
      </w:r>
      <w:r>
        <w:rPr>
          <w:rFonts w:ascii="Arial" w:hAnsi="Arial" w:cs="Arial"/>
          <w:lang w:val="es-CO"/>
        </w:rPr>
        <w:t>a Nacional administrada por la Dirección General de Crédito Público y Tesoro Nacional del Ministerio de Hacienda y Crédito Público.</w:t>
      </w:r>
    </w:p>
    <w:p w14:paraId="7A95DBF9" w14:textId="77777777" w:rsidR="00B2442D" w:rsidRDefault="00B2442D">
      <w:pPr>
        <w:jc w:val="both"/>
        <w:rPr>
          <w:rFonts w:ascii="Arial" w:hAnsi="Arial" w:cs="Arial"/>
          <w:lang w:val="es-CO"/>
        </w:rPr>
      </w:pPr>
    </w:p>
    <w:p w14:paraId="6224DDB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Unidad Administrativa Especial Dirección de Impuestos y Aduanas Nacionales- DIAN, mediante resolución, deberá</w:t>
      </w:r>
      <w:r>
        <w:rPr>
          <w:rFonts w:ascii="Arial" w:hAnsi="Arial" w:cs="Arial"/>
          <w:lang w:val="es-CO"/>
        </w:rPr>
        <w:t xml:space="preserve"> indicar el período a partir del cual deberán consignarse las retenciones en la fuente de conformidad con lo previsto en el presente decreto; de igual forma, podrá señalar los conceptos de retención a los cuales aplica.</w:t>
      </w:r>
    </w:p>
    <w:p w14:paraId="3B5A6B81" w14:textId="77777777" w:rsidR="00B2442D" w:rsidRDefault="00B2442D">
      <w:pPr>
        <w:jc w:val="both"/>
        <w:rPr>
          <w:rFonts w:ascii="Arial" w:hAnsi="Arial" w:cs="Arial"/>
          <w:lang w:val="es-CO"/>
        </w:rPr>
      </w:pPr>
    </w:p>
    <w:p w14:paraId="16DB0C48" w14:textId="77777777" w:rsidR="00B2442D" w:rsidRDefault="008A645F">
      <w:pPr>
        <w:jc w:val="both"/>
        <w:rPr>
          <w:rFonts w:ascii="Arial" w:hAnsi="Arial" w:cs="Arial"/>
          <w:lang w:val="es-CO"/>
        </w:rPr>
      </w:pPr>
      <w:r>
        <w:rPr>
          <w:rFonts w:ascii="Arial" w:hAnsi="Arial" w:cs="Arial"/>
          <w:lang w:val="es-CO"/>
        </w:rPr>
        <w:t>La resolución a que se refiere el p</w:t>
      </w:r>
      <w:r>
        <w:rPr>
          <w:rFonts w:ascii="Arial" w:hAnsi="Arial" w:cs="Arial"/>
          <w:lang w:val="es-CO"/>
        </w:rPr>
        <w:t>resente Parágrafo deberá expedirse con una anticipación no menor de seis (6) meses al inicio del período mensual a partir del cual la misma resolución indique que las retenciones deben practicarse y consignarse de acuerdo con las disposiciones del presente</w:t>
      </w:r>
      <w:r>
        <w:rPr>
          <w:rFonts w:ascii="Arial" w:hAnsi="Arial" w:cs="Arial"/>
          <w:lang w:val="es-CO"/>
        </w:rPr>
        <w:t xml:space="preserve"> capítulo.</w:t>
      </w:r>
    </w:p>
    <w:p w14:paraId="6C72E684" w14:textId="77777777" w:rsidR="00B2442D" w:rsidRDefault="00B2442D">
      <w:pPr>
        <w:jc w:val="both"/>
        <w:rPr>
          <w:rFonts w:ascii="Arial" w:hAnsi="Arial" w:cs="Arial"/>
          <w:lang w:val="es-CO"/>
        </w:rPr>
      </w:pPr>
    </w:p>
    <w:p w14:paraId="0F025748" w14:textId="77777777" w:rsidR="00B2442D" w:rsidRDefault="008A645F">
      <w:pPr>
        <w:jc w:val="both"/>
        <w:rPr>
          <w:rFonts w:ascii="Arial" w:hAnsi="Arial" w:cs="Arial"/>
          <w:i/>
          <w:lang w:val="es-CO"/>
        </w:rPr>
      </w:pPr>
      <w:r>
        <w:rPr>
          <w:rFonts w:ascii="Arial" w:hAnsi="Arial" w:cs="Arial"/>
          <w:i/>
          <w:lang w:val="es-CO"/>
        </w:rPr>
        <w:t>(Art. 1, Decreto 0702 de 2013)</w:t>
      </w:r>
    </w:p>
    <w:p w14:paraId="67DB2C69" w14:textId="77777777" w:rsidR="00B2442D" w:rsidRDefault="00B2442D">
      <w:pPr>
        <w:jc w:val="both"/>
        <w:rPr>
          <w:rFonts w:ascii="Arial" w:hAnsi="Arial" w:cs="Arial"/>
          <w:b/>
          <w:lang w:val="es-CO"/>
        </w:rPr>
      </w:pPr>
    </w:p>
    <w:p w14:paraId="5E43AE61"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Momento en que las entidades ejecutoras del Presupuesto General de la Nación deben practicar retención.</w:t>
      </w:r>
      <w:r>
        <w:rPr>
          <w:rFonts w:ascii="Arial" w:hAnsi="Arial" w:cs="Arial"/>
          <w:lang w:val="es-CO"/>
        </w:rPr>
        <w:t xml:space="preserve"> Las retenciones en la fuente que de acuerdo con las disposiciones legales vigentes deben practicar las entid</w:t>
      </w:r>
      <w:r>
        <w:rPr>
          <w:rFonts w:ascii="Arial" w:hAnsi="Arial" w:cs="Arial"/>
          <w:lang w:val="es-CO"/>
        </w:rPr>
        <w:t>ades ejecutoras del Presupuesto General de la Nación, a título de los impuestos de renta y/o ventas, deben informarse a través del SIIF-Nación, en el momento del pago.</w:t>
      </w:r>
    </w:p>
    <w:p w14:paraId="6585B134" w14:textId="77777777" w:rsidR="00B2442D" w:rsidRDefault="00B2442D">
      <w:pPr>
        <w:jc w:val="both"/>
        <w:rPr>
          <w:rFonts w:ascii="Arial" w:hAnsi="Arial" w:cs="Arial"/>
          <w:lang w:val="es-CO"/>
        </w:rPr>
      </w:pPr>
    </w:p>
    <w:p w14:paraId="54EBFC4B" w14:textId="77777777" w:rsidR="00B2442D" w:rsidRDefault="008A645F">
      <w:pPr>
        <w:jc w:val="both"/>
        <w:rPr>
          <w:rFonts w:ascii="Arial" w:hAnsi="Arial" w:cs="Arial"/>
          <w:i/>
          <w:lang w:val="es-CO"/>
        </w:rPr>
      </w:pPr>
      <w:r>
        <w:rPr>
          <w:rFonts w:ascii="Arial" w:hAnsi="Arial" w:cs="Arial"/>
          <w:i/>
          <w:lang w:val="es-CO"/>
        </w:rPr>
        <w:t>(Art. 2, Decreto 0702 de 2013)</w:t>
      </w:r>
    </w:p>
    <w:p w14:paraId="7C3AB25E" w14:textId="77777777" w:rsidR="00B2442D" w:rsidRDefault="00B2442D">
      <w:pPr>
        <w:jc w:val="both"/>
        <w:rPr>
          <w:rFonts w:ascii="Arial" w:hAnsi="Arial" w:cs="Arial"/>
          <w:b/>
          <w:lang w:val="es-CO"/>
        </w:rPr>
      </w:pPr>
    </w:p>
    <w:p w14:paraId="72D9BA47"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Comprobante electrónico de retenciones practicadas a tr</w:t>
      </w:r>
      <w:r>
        <w:rPr>
          <w:rFonts w:ascii="Arial" w:hAnsi="Arial" w:cs="Arial"/>
          <w:b/>
          <w:i/>
          <w:lang w:val="es-CO"/>
        </w:rPr>
        <w:t>avés del SIIF—Nación.</w:t>
      </w:r>
      <w:r>
        <w:rPr>
          <w:rFonts w:ascii="Arial" w:hAnsi="Arial" w:cs="Arial"/>
          <w:lang w:val="es-CO"/>
        </w:rPr>
        <w:t xml:space="preserve"> Las retenciones en la fuente que a título de los impuestos mencionados en los artículos precedentes practiquen las entidades ejecutoras del Presupuesto General de la Nación a través del SIIF - Nación, deberán constar en comprobantes e</w:t>
      </w:r>
      <w:r>
        <w:rPr>
          <w:rFonts w:ascii="Arial" w:hAnsi="Arial" w:cs="Arial"/>
          <w:lang w:val="es-CO"/>
        </w:rPr>
        <w:t>lectrónicos que por cada pago deben generar teniendo en cuenta el concepto del pago efectivamente realizado objeto de la retención.</w:t>
      </w:r>
    </w:p>
    <w:p w14:paraId="25CC38FF" w14:textId="77777777" w:rsidR="00B2442D" w:rsidRDefault="00B2442D">
      <w:pPr>
        <w:jc w:val="both"/>
        <w:rPr>
          <w:rFonts w:ascii="Arial" w:hAnsi="Arial" w:cs="Arial"/>
          <w:lang w:val="es-CO"/>
        </w:rPr>
      </w:pPr>
    </w:p>
    <w:p w14:paraId="26B34436" w14:textId="77777777" w:rsidR="00B2442D" w:rsidRDefault="008A645F">
      <w:pPr>
        <w:jc w:val="both"/>
        <w:rPr>
          <w:rFonts w:ascii="Arial" w:hAnsi="Arial" w:cs="Arial"/>
          <w:lang w:val="es-CO"/>
        </w:rPr>
      </w:pPr>
      <w:r>
        <w:rPr>
          <w:rFonts w:ascii="Arial" w:hAnsi="Arial" w:cs="Arial"/>
          <w:lang w:val="es-CO"/>
        </w:rPr>
        <w:t>El comprobante electrónico a que se refiere el inciso precedente deberá contener, como mínimo, la siguiente información:</w:t>
      </w:r>
    </w:p>
    <w:p w14:paraId="464CA096" w14:textId="77777777" w:rsidR="00B2442D" w:rsidRDefault="00B2442D">
      <w:pPr>
        <w:jc w:val="both"/>
        <w:rPr>
          <w:rFonts w:ascii="Arial" w:hAnsi="Arial" w:cs="Arial"/>
          <w:lang w:val="es-CO"/>
        </w:rPr>
      </w:pPr>
    </w:p>
    <w:p w14:paraId="04B97396" w14:textId="77777777" w:rsidR="00B2442D" w:rsidRDefault="008A645F">
      <w:pPr>
        <w:ind w:left="284" w:hanging="284"/>
        <w:jc w:val="both"/>
        <w:rPr>
          <w:rFonts w:ascii="Arial" w:hAnsi="Arial" w:cs="Arial"/>
          <w:lang w:val="es-CO"/>
        </w:rPr>
      </w:pPr>
      <w:r>
        <w:rPr>
          <w:rFonts w:ascii="Arial" w:hAnsi="Arial" w:cs="Arial"/>
          <w:lang w:val="es-CO"/>
        </w:rPr>
        <w:t>a) Razón social y NIT de la Entidad ejecutora del Presupuesto General de la Nación que practica la retención;</w:t>
      </w:r>
    </w:p>
    <w:p w14:paraId="5993F3D8" w14:textId="77777777" w:rsidR="00B2442D" w:rsidRDefault="00B2442D">
      <w:pPr>
        <w:ind w:left="284" w:hanging="284"/>
        <w:jc w:val="both"/>
        <w:rPr>
          <w:rFonts w:ascii="Arial" w:hAnsi="Arial" w:cs="Arial"/>
          <w:lang w:val="es-CO"/>
        </w:rPr>
      </w:pPr>
    </w:p>
    <w:p w14:paraId="1BFE81B5" w14:textId="77777777" w:rsidR="00B2442D" w:rsidRDefault="008A645F">
      <w:pPr>
        <w:ind w:left="284" w:hanging="284"/>
        <w:jc w:val="both"/>
        <w:rPr>
          <w:rFonts w:ascii="Arial" w:hAnsi="Arial" w:cs="Arial"/>
          <w:lang w:val="es-CO"/>
        </w:rPr>
      </w:pPr>
      <w:r>
        <w:rPr>
          <w:rFonts w:ascii="Arial" w:hAnsi="Arial" w:cs="Arial"/>
          <w:lang w:val="es-CO"/>
        </w:rPr>
        <w:t>b) Número único de comprobante por entidad ejecutora del Presupuesto General de la Nación;</w:t>
      </w:r>
    </w:p>
    <w:p w14:paraId="0DC2C73C" w14:textId="77777777" w:rsidR="00B2442D" w:rsidRDefault="00B2442D">
      <w:pPr>
        <w:ind w:left="284" w:hanging="284"/>
        <w:jc w:val="both"/>
        <w:rPr>
          <w:rFonts w:ascii="Arial" w:hAnsi="Arial" w:cs="Arial"/>
          <w:lang w:val="es-CO"/>
        </w:rPr>
      </w:pPr>
    </w:p>
    <w:p w14:paraId="04621168" w14:textId="77777777" w:rsidR="00B2442D" w:rsidRDefault="008A645F">
      <w:pPr>
        <w:ind w:left="284" w:hanging="284"/>
        <w:jc w:val="both"/>
        <w:rPr>
          <w:rFonts w:ascii="Arial" w:hAnsi="Arial" w:cs="Arial"/>
          <w:lang w:val="es-CO"/>
        </w:rPr>
      </w:pPr>
      <w:r>
        <w:rPr>
          <w:rFonts w:ascii="Arial" w:hAnsi="Arial" w:cs="Arial"/>
          <w:lang w:val="es-CO"/>
        </w:rPr>
        <w:t>c) Ciudad y fecha del día calendario en que se practi</w:t>
      </w:r>
      <w:r>
        <w:rPr>
          <w:rFonts w:ascii="Arial" w:hAnsi="Arial" w:cs="Arial"/>
          <w:lang w:val="es-CO"/>
        </w:rPr>
        <w:t>ca la retención;</w:t>
      </w:r>
    </w:p>
    <w:p w14:paraId="414276A2" w14:textId="77777777" w:rsidR="00B2442D" w:rsidRDefault="00B2442D">
      <w:pPr>
        <w:ind w:left="284" w:hanging="284"/>
        <w:jc w:val="both"/>
        <w:rPr>
          <w:rFonts w:ascii="Arial" w:hAnsi="Arial" w:cs="Arial"/>
          <w:lang w:val="es-CO"/>
        </w:rPr>
      </w:pPr>
    </w:p>
    <w:p w14:paraId="2DCDF301" w14:textId="77777777" w:rsidR="00B2442D" w:rsidRDefault="008A645F">
      <w:pPr>
        <w:ind w:left="284" w:hanging="284"/>
        <w:jc w:val="both"/>
        <w:rPr>
          <w:rFonts w:ascii="Arial" w:hAnsi="Arial" w:cs="Arial"/>
          <w:lang w:val="es-CO"/>
        </w:rPr>
      </w:pPr>
      <w:r>
        <w:rPr>
          <w:rFonts w:ascii="Arial" w:hAnsi="Arial" w:cs="Arial"/>
          <w:lang w:val="es-CO"/>
        </w:rPr>
        <w:t>d) La identificación con nombres y apellidos o razón social y NIT o documento de identificación del beneficiario del pago sometido a retención;</w:t>
      </w:r>
    </w:p>
    <w:p w14:paraId="50F03226" w14:textId="77777777" w:rsidR="00B2442D" w:rsidRDefault="008A645F">
      <w:pPr>
        <w:ind w:left="284" w:hanging="284"/>
        <w:jc w:val="both"/>
        <w:rPr>
          <w:rFonts w:ascii="Arial" w:hAnsi="Arial" w:cs="Arial"/>
          <w:lang w:val="es-CO"/>
        </w:rPr>
      </w:pPr>
      <w:r>
        <w:rPr>
          <w:rFonts w:ascii="Arial" w:hAnsi="Arial" w:cs="Arial"/>
          <w:lang w:val="es-CO"/>
        </w:rPr>
        <w:t xml:space="preserve">e) Valor del pago: corresponde al monto que se está cancelando por concepto de un pago sujeto </w:t>
      </w:r>
      <w:r>
        <w:rPr>
          <w:rFonts w:ascii="Arial" w:hAnsi="Arial" w:cs="Arial"/>
          <w:lang w:val="es-CO"/>
        </w:rPr>
        <w:t>a retención a título del impuesto de renta y/o a título del impuesto sobre las ventas, sin incluir el IVA;</w:t>
      </w:r>
    </w:p>
    <w:p w14:paraId="29C0ABE8" w14:textId="77777777" w:rsidR="00B2442D" w:rsidRDefault="00B2442D">
      <w:pPr>
        <w:ind w:left="284" w:hanging="284"/>
        <w:jc w:val="both"/>
        <w:rPr>
          <w:rFonts w:ascii="Arial" w:hAnsi="Arial" w:cs="Arial"/>
          <w:lang w:val="es-CO"/>
        </w:rPr>
      </w:pPr>
    </w:p>
    <w:p w14:paraId="5F8F9D6D" w14:textId="77777777" w:rsidR="00B2442D" w:rsidRDefault="008A645F">
      <w:pPr>
        <w:ind w:left="284" w:hanging="284"/>
        <w:jc w:val="both"/>
        <w:rPr>
          <w:rFonts w:ascii="Arial" w:hAnsi="Arial" w:cs="Arial"/>
          <w:lang w:val="es-CO"/>
        </w:rPr>
      </w:pPr>
      <w:r>
        <w:rPr>
          <w:rFonts w:ascii="Arial" w:hAnsi="Arial" w:cs="Arial"/>
          <w:lang w:val="es-CO"/>
        </w:rPr>
        <w:t>f) Concepto del pago objeto de retención a título del impuesto sobre la renta;</w:t>
      </w:r>
    </w:p>
    <w:p w14:paraId="239736A4" w14:textId="77777777" w:rsidR="00B2442D" w:rsidRDefault="00B2442D">
      <w:pPr>
        <w:ind w:left="284" w:hanging="284"/>
        <w:jc w:val="both"/>
        <w:rPr>
          <w:rFonts w:ascii="Arial" w:hAnsi="Arial" w:cs="Arial"/>
          <w:lang w:val="es-CO"/>
        </w:rPr>
      </w:pPr>
    </w:p>
    <w:p w14:paraId="7B17F576" w14:textId="77777777" w:rsidR="00B2442D" w:rsidRDefault="008A645F">
      <w:pPr>
        <w:ind w:left="284" w:hanging="284"/>
        <w:jc w:val="both"/>
        <w:rPr>
          <w:rFonts w:ascii="Arial" w:hAnsi="Arial" w:cs="Arial"/>
          <w:lang w:val="es-CO"/>
        </w:rPr>
      </w:pPr>
      <w:r>
        <w:rPr>
          <w:rFonts w:ascii="Arial" w:hAnsi="Arial" w:cs="Arial"/>
          <w:lang w:val="es-CO"/>
        </w:rPr>
        <w:t>g) Valor base de cálculo de la retención a título del impuesto sobre</w:t>
      </w:r>
      <w:r>
        <w:rPr>
          <w:rFonts w:ascii="Arial" w:hAnsi="Arial" w:cs="Arial"/>
          <w:lang w:val="es-CO"/>
        </w:rPr>
        <w:t xml:space="preserve"> la renta;</w:t>
      </w:r>
    </w:p>
    <w:p w14:paraId="61309F6F" w14:textId="77777777" w:rsidR="00B2442D" w:rsidRDefault="00B2442D">
      <w:pPr>
        <w:ind w:left="284" w:hanging="284"/>
        <w:jc w:val="both"/>
        <w:rPr>
          <w:rFonts w:ascii="Arial" w:hAnsi="Arial" w:cs="Arial"/>
          <w:lang w:val="es-CO"/>
        </w:rPr>
      </w:pPr>
    </w:p>
    <w:p w14:paraId="21615100" w14:textId="77777777" w:rsidR="00B2442D" w:rsidRDefault="008A645F">
      <w:pPr>
        <w:ind w:left="284" w:hanging="284"/>
        <w:jc w:val="both"/>
        <w:rPr>
          <w:rFonts w:ascii="Arial" w:hAnsi="Arial" w:cs="Arial"/>
          <w:lang w:val="es-CO"/>
        </w:rPr>
      </w:pPr>
      <w:r>
        <w:rPr>
          <w:rFonts w:ascii="Arial" w:hAnsi="Arial" w:cs="Arial"/>
          <w:lang w:val="es-CO"/>
        </w:rPr>
        <w:t>h) Tarifa de retención correspondiente a título del impuesto sobre la renta;</w:t>
      </w:r>
    </w:p>
    <w:p w14:paraId="2D6D2127" w14:textId="77777777" w:rsidR="00B2442D" w:rsidRDefault="00B2442D">
      <w:pPr>
        <w:ind w:left="284" w:hanging="284"/>
        <w:jc w:val="both"/>
        <w:rPr>
          <w:rFonts w:ascii="Arial" w:hAnsi="Arial" w:cs="Arial"/>
          <w:lang w:val="es-CO"/>
        </w:rPr>
      </w:pPr>
    </w:p>
    <w:p w14:paraId="4E9D98D4" w14:textId="77777777" w:rsidR="00B2442D" w:rsidRDefault="008A645F">
      <w:pPr>
        <w:ind w:left="284" w:hanging="284"/>
        <w:jc w:val="both"/>
        <w:rPr>
          <w:rFonts w:ascii="Arial" w:hAnsi="Arial" w:cs="Arial"/>
          <w:lang w:val="es-CO"/>
        </w:rPr>
      </w:pPr>
      <w:r>
        <w:rPr>
          <w:rFonts w:ascii="Arial" w:hAnsi="Arial" w:cs="Arial"/>
          <w:lang w:val="es-CO"/>
        </w:rPr>
        <w:t>i) Valor retenido a título del impuesto sobre la renta;</w:t>
      </w:r>
    </w:p>
    <w:p w14:paraId="0EFCD7AF" w14:textId="77777777" w:rsidR="00B2442D" w:rsidRDefault="00B2442D">
      <w:pPr>
        <w:ind w:left="284" w:hanging="284"/>
        <w:jc w:val="both"/>
        <w:rPr>
          <w:rFonts w:ascii="Arial" w:hAnsi="Arial" w:cs="Arial"/>
          <w:lang w:val="es-CO"/>
        </w:rPr>
      </w:pPr>
    </w:p>
    <w:p w14:paraId="14EAFFD0" w14:textId="77777777" w:rsidR="00B2442D" w:rsidRDefault="008A645F">
      <w:pPr>
        <w:ind w:left="284" w:hanging="284"/>
        <w:jc w:val="both"/>
        <w:rPr>
          <w:rFonts w:ascii="Arial" w:hAnsi="Arial" w:cs="Arial"/>
          <w:lang w:val="es-CO"/>
        </w:rPr>
      </w:pPr>
      <w:r>
        <w:rPr>
          <w:rFonts w:ascii="Arial" w:hAnsi="Arial" w:cs="Arial"/>
          <w:lang w:val="es-CO"/>
        </w:rPr>
        <w:t xml:space="preserve">j) Concepto de retención a título de IVA. En este caso, por concepto objeto de retención debe </w:t>
      </w:r>
      <w:r>
        <w:rPr>
          <w:rFonts w:ascii="Arial" w:hAnsi="Arial" w:cs="Arial"/>
          <w:lang w:val="es-CO"/>
        </w:rPr>
        <w:t xml:space="preserve">señalarse si la misma se practica a responsables del régimen común o si corresponde a una retención asumida relativa a operaciones realizadas con responsables del régimen simplificado. En este último evento, el agente de retención debe informar como valor </w:t>
      </w:r>
      <w:r>
        <w:rPr>
          <w:rFonts w:ascii="Arial" w:hAnsi="Arial" w:cs="Arial"/>
          <w:lang w:val="es-CO"/>
        </w:rPr>
        <w:t>del IVA base de cálculo de la retención, aquel que se causaría y respecto del cual debe retener;</w:t>
      </w:r>
    </w:p>
    <w:p w14:paraId="16647AA0" w14:textId="77777777" w:rsidR="00B2442D" w:rsidRDefault="00B2442D">
      <w:pPr>
        <w:ind w:left="284" w:hanging="284"/>
        <w:jc w:val="both"/>
        <w:rPr>
          <w:rFonts w:ascii="Arial" w:hAnsi="Arial" w:cs="Arial"/>
          <w:lang w:val="es-CO"/>
        </w:rPr>
      </w:pPr>
    </w:p>
    <w:p w14:paraId="27C0F81C" w14:textId="77777777" w:rsidR="00B2442D" w:rsidRDefault="008A645F">
      <w:pPr>
        <w:ind w:left="284" w:hanging="284"/>
        <w:jc w:val="both"/>
        <w:rPr>
          <w:rFonts w:ascii="Arial" w:hAnsi="Arial" w:cs="Arial"/>
          <w:lang w:val="es-CO"/>
        </w:rPr>
      </w:pPr>
      <w:r>
        <w:rPr>
          <w:rFonts w:ascii="Arial" w:hAnsi="Arial" w:cs="Arial"/>
          <w:lang w:val="es-CO"/>
        </w:rPr>
        <w:t>k) Valor del IVA base de cálculo de la retención;</w:t>
      </w:r>
    </w:p>
    <w:p w14:paraId="30FB158D" w14:textId="77777777" w:rsidR="00B2442D" w:rsidRDefault="00B2442D">
      <w:pPr>
        <w:ind w:left="284" w:hanging="284"/>
        <w:jc w:val="both"/>
        <w:rPr>
          <w:rFonts w:ascii="Arial" w:hAnsi="Arial" w:cs="Arial"/>
          <w:lang w:val="es-CO"/>
        </w:rPr>
      </w:pPr>
    </w:p>
    <w:p w14:paraId="2B7691B9" w14:textId="77777777" w:rsidR="00B2442D" w:rsidRDefault="008A645F">
      <w:pPr>
        <w:ind w:left="284" w:hanging="284"/>
        <w:jc w:val="both"/>
        <w:rPr>
          <w:rFonts w:ascii="Arial" w:hAnsi="Arial" w:cs="Arial"/>
          <w:lang w:val="es-CO"/>
        </w:rPr>
      </w:pPr>
      <w:r>
        <w:rPr>
          <w:rFonts w:ascii="Arial" w:hAnsi="Arial" w:cs="Arial"/>
          <w:lang w:val="es-CO"/>
        </w:rPr>
        <w:t>l) Tarifa de retención correspondiente a título de IVA;</w:t>
      </w:r>
    </w:p>
    <w:p w14:paraId="7EC13554" w14:textId="77777777" w:rsidR="00B2442D" w:rsidRDefault="00B2442D">
      <w:pPr>
        <w:ind w:left="284" w:hanging="284"/>
        <w:jc w:val="both"/>
        <w:rPr>
          <w:rFonts w:ascii="Arial" w:hAnsi="Arial" w:cs="Arial"/>
          <w:lang w:val="es-CO"/>
        </w:rPr>
      </w:pPr>
    </w:p>
    <w:p w14:paraId="5527D086" w14:textId="77777777" w:rsidR="00B2442D" w:rsidRDefault="008A645F">
      <w:pPr>
        <w:ind w:left="284" w:hanging="284"/>
        <w:jc w:val="both"/>
        <w:rPr>
          <w:rFonts w:ascii="Arial" w:hAnsi="Arial" w:cs="Arial"/>
          <w:lang w:val="es-CO"/>
        </w:rPr>
      </w:pPr>
      <w:r>
        <w:rPr>
          <w:rFonts w:ascii="Arial" w:hAnsi="Arial" w:cs="Arial"/>
          <w:lang w:val="es-CO"/>
        </w:rPr>
        <w:t>m) Valor retenido a título de IVA.</w:t>
      </w:r>
    </w:p>
    <w:p w14:paraId="73778C01" w14:textId="77777777" w:rsidR="00B2442D" w:rsidRDefault="00B2442D">
      <w:pPr>
        <w:jc w:val="both"/>
        <w:rPr>
          <w:rFonts w:ascii="Arial" w:hAnsi="Arial" w:cs="Arial"/>
          <w:lang w:val="es-CO"/>
        </w:rPr>
      </w:pPr>
    </w:p>
    <w:p w14:paraId="4C42EEB6" w14:textId="77777777" w:rsidR="00B2442D" w:rsidRDefault="008A645F">
      <w:pPr>
        <w:jc w:val="both"/>
        <w:rPr>
          <w:rFonts w:ascii="Arial" w:hAnsi="Arial" w:cs="Arial"/>
          <w:i/>
          <w:lang w:val="es-CO"/>
        </w:rPr>
      </w:pPr>
      <w:r>
        <w:rPr>
          <w:rFonts w:ascii="Arial" w:hAnsi="Arial" w:cs="Arial"/>
          <w:i/>
          <w:lang w:val="es-CO"/>
        </w:rPr>
        <w:t>(Art. 3, Decre</w:t>
      </w:r>
      <w:r>
        <w:rPr>
          <w:rFonts w:ascii="Arial" w:hAnsi="Arial" w:cs="Arial"/>
          <w:i/>
          <w:lang w:val="es-CO"/>
        </w:rPr>
        <w:t>to 0702 de 2013)</w:t>
      </w:r>
    </w:p>
    <w:p w14:paraId="3ECC88C5" w14:textId="77777777" w:rsidR="00B2442D" w:rsidRDefault="00B2442D">
      <w:pPr>
        <w:jc w:val="both"/>
        <w:rPr>
          <w:rFonts w:ascii="Arial" w:hAnsi="Arial" w:cs="Arial"/>
          <w:i/>
          <w:lang w:val="es-CO"/>
        </w:rPr>
      </w:pPr>
    </w:p>
    <w:p w14:paraId="47A7C070"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Consignación de las retenciones practicadas por las entidades ejecutoras del Presupuesto General de la Nación.</w:t>
      </w:r>
      <w:r>
        <w:rPr>
          <w:rFonts w:ascii="Arial" w:hAnsi="Arial" w:cs="Arial"/>
          <w:lang w:val="es-CO"/>
        </w:rPr>
        <w:t xml:space="preserve"> El monto de las retenciones practicadas durante el respectivo período, por parte de las entidades ejecutoras del Presupuesto General de la Nación, en el ámbito de este decreto, deberá ser registrado mensualmente por el agente de retención, a través del SI</w:t>
      </w:r>
      <w:r>
        <w:rPr>
          <w:rFonts w:ascii="Arial" w:hAnsi="Arial" w:cs="Arial"/>
          <w:lang w:val="es-CO"/>
        </w:rPr>
        <w:t>IF-Nación, en la Dirección General de Crédito Público y Tesoro Nacional, en una operación sin disposición de fondos, dentro de los plazos que en forma general señale el Gobierno Nacional para presentar las declaraciones tributarias y para el pago de los im</w:t>
      </w:r>
      <w:r>
        <w:rPr>
          <w:rFonts w:ascii="Arial" w:hAnsi="Arial" w:cs="Arial"/>
          <w:lang w:val="es-CO"/>
        </w:rPr>
        <w:t>puestos, anticipos y retenciones en la fuente.</w:t>
      </w:r>
    </w:p>
    <w:p w14:paraId="098E5E7C" w14:textId="77777777" w:rsidR="00B2442D" w:rsidRDefault="00B2442D">
      <w:pPr>
        <w:jc w:val="both"/>
        <w:rPr>
          <w:rFonts w:ascii="Arial" w:hAnsi="Arial" w:cs="Arial"/>
          <w:lang w:val="es-CO"/>
        </w:rPr>
      </w:pPr>
    </w:p>
    <w:p w14:paraId="35CB6DB3" w14:textId="77777777" w:rsidR="00B2442D" w:rsidRDefault="008A645F">
      <w:pPr>
        <w:jc w:val="both"/>
        <w:rPr>
          <w:rFonts w:ascii="Arial" w:hAnsi="Arial" w:cs="Arial"/>
          <w:lang w:val="es-CO"/>
        </w:rPr>
      </w:pPr>
      <w:r>
        <w:rPr>
          <w:rFonts w:ascii="Arial" w:hAnsi="Arial" w:cs="Arial"/>
          <w:lang w:val="es-CO"/>
        </w:rPr>
        <w:t>El monto a registrar será el resultado que se obtenga de restar, al valor total de las retenciones efectuadas, las retenciones en la fuente que por las circunstancias previstas en el inciso primero de los art</w:t>
      </w:r>
      <w:r>
        <w:rPr>
          <w:rFonts w:ascii="Arial" w:hAnsi="Arial" w:cs="Arial"/>
          <w:lang w:val="es-CO"/>
        </w:rPr>
        <w:t>ículos 1.3.2.2.7 y 1.3.2.2.8 del presente Decreto, cuando sea del caso, puede descontar.</w:t>
      </w:r>
    </w:p>
    <w:p w14:paraId="583C3DC6" w14:textId="77777777" w:rsidR="00B2442D" w:rsidRDefault="00B2442D">
      <w:pPr>
        <w:jc w:val="both"/>
        <w:rPr>
          <w:rFonts w:ascii="Arial" w:hAnsi="Arial" w:cs="Arial"/>
          <w:lang w:val="es-CO"/>
        </w:rPr>
      </w:pPr>
    </w:p>
    <w:p w14:paraId="1A1AB54A" w14:textId="77777777" w:rsidR="00B2442D" w:rsidRDefault="008A645F">
      <w:pPr>
        <w:jc w:val="both"/>
        <w:rPr>
          <w:rFonts w:ascii="Arial" w:hAnsi="Arial" w:cs="Arial"/>
          <w:i/>
          <w:lang w:val="es-CO"/>
        </w:rPr>
      </w:pPr>
      <w:r>
        <w:rPr>
          <w:rFonts w:ascii="Arial" w:hAnsi="Arial" w:cs="Arial"/>
          <w:i/>
          <w:lang w:val="es-CO"/>
        </w:rPr>
        <w:t>(Art. 4, Decreto 0702 de 2013)</w:t>
      </w:r>
    </w:p>
    <w:p w14:paraId="0DA9A1FE" w14:textId="77777777" w:rsidR="00B2442D" w:rsidRDefault="00B2442D">
      <w:pPr>
        <w:jc w:val="both"/>
        <w:rPr>
          <w:rFonts w:ascii="Arial" w:hAnsi="Arial" w:cs="Arial"/>
          <w:lang w:val="es-CO"/>
        </w:rPr>
      </w:pPr>
    </w:p>
    <w:p w14:paraId="3FB8330A"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Certificados de retenciones practicadas por las entidades ejecutoras del Presupuesto General de la Nación a través del SIIF — Nación.</w:t>
      </w:r>
      <w:r>
        <w:rPr>
          <w:rFonts w:ascii="Arial" w:hAnsi="Arial" w:cs="Arial"/>
          <w:lang w:val="es-CO"/>
        </w:rPr>
        <w:t xml:space="preserve"> </w:t>
      </w:r>
      <w:r>
        <w:rPr>
          <w:rFonts w:ascii="Arial" w:hAnsi="Arial" w:cs="Arial"/>
          <w:lang w:val="es-CO"/>
        </w:rPr>
        <w:t>Las entidades ejecutoras del Presupuesto General de la Nación, en su calidad de agentes de retención, deben expedir, de acuerdo con las disposiciones generales del Estatuto Tributario, los certificados por concepto de salarios.</w:t>
      </w:r>
    </w:p>
    <w:p w14:paraId="188ACF17" w14:textId="77777777" w:rsidR="00B2442D" w:rsidRDefault="00B2442D">
      <w:pPr>
        <w:jc w:val="both"/>
        <w:rPr>
          <w:rFonts w:ascii="Arial" w:hAnsi="Arial" w:cs="Arial"/>
          <w:lang w:val="es-CO"/>
        </w:rPr>
      </w:pPr>
    </w:p>
    <w:p w14:paraId="203771A2" w14:textId="77777777" w:rsidR="00B2442D" w:rsidRDefault="008A645F">
      <w:pPr>
        <w:jc w:val="both"/>
        <w:rPr>
          <w:rFonts w:ascii="Arial" w:hAnsi="Arial" w:cs="Arial"/>
          <w:lang w:val="es-CO"/>
        </w:rPr>
      </w:pPr>
      <w:r>
        <w:rPr>
          <w:rFonts w:ascii="Arial" w:hAnsi="Arial" w:cs="Arial"/>
          <w:lang w:val="es-CO"/>
        </w:rPr>
        <w:t>Tratándose de retenciones p</w:t>
      </w:r>
      <w:r>
        <w:rPr>
          <w:rFonts w:ascii="Arial" w:hAnsi="Arial" w:cs="Arial"/>
          <w:lang w:val="es-CO"/>
        </w:rPr>
        <w:t>racticadas a título del impuesto sobre las ventas, y a título del impuesto sobre la renta por conceptos diferentes a salarios, el sujeto pasivo de la retención podrá imputar en la declaración del mismo impuesto, los valores de las retenciones efectuadas po</w:t>
      </w:r>
      <w:r>
        <w:rPr>
          <w:rFonts w:ascii="Arial" w:hAnsi="Arial" w:cs="Arial"/>
          <w:lang w:val="es-CO"/>
        </w:rPr>
        <w:t xml:space="preserve">r cada entidad ejecutora del Presupuesto General de la Nación que consten en los comprobantes electrónicos, los cuales deben ser reportados, a través del SIIF - Nación, a la Unidad Administrativa Especial Dirección de Impuestos y Aduanas Nacionales- DIAN. </w:t>
      </w:r>
      <w:r>
        <w:rPr>
          <w:rFonts w:ascii="Arial" w:hAnsi="Arial" w:cs="Arial"/>
          <w:lang w:val="es-CO"/>
        </w:rPr>
        <w:t>En estos casos, la entidad agente de retención no tendrá la obligación de expedir certificados de retención.</w:t>
      </w:r>
    </w:p>
    <w:p w14:paraId="0A0F2A3F" w14:textId="77777777" w:rsidR="00B2442D" w:rsidRDefault="00B2442D">
      <w:pPr>
        <w:jc w:val="both"/>
        <w:rPr>
          <w:rFonts w:ascii="Arial" w:hAnsi="Arial" w:cs="Arial"/>
          <w:lang w:val="es-CO"/>
        </w:rPr>
      </w:pPr>
    </w:p>
    <w:p w14:paraId="02D476ED" w14:textId="77777777" w:rsidR="00B2442D" w:rsidRDefault="008A645F">
      <w:pPr>
        <w:jc w:val="both"/>
        <w:rPr>
          <w:rFonts w:ascii="Arial" w:hAnsi="Arial" w:cs="Arial"/>
          <w:i/>
          <w:lang w:val="es-CO"/>
        </w:rPr>
      </w:pPr>
      <w:r>
        <w:rPr>
          <w:rFonts w:ascii="Arial" w:hAnsi="Arial" w:cs="Arial"/>
          <w:i/>
          <w:lang w:val="es-CO"/>
        </w:rPr>
        <w:t>(Art. 5, Decreto 0702 de 2013)</w:t>
      </w:r>
    </w:p>
    <w:p w14:paraId="2BE312E1" w14:textId="77777777" w:rsidR="00B2442D" w:rsidRDefault="00B2442D">
      <w:pPr>
        <w:jc w:val="both"/>
        <w:rPr>
          <w:rFonts w:ascii="Arial" w:hAnsi="Arial" w:cs="Arial"/>
          <w:lang w:val="es-CO"/>
        </w:rPr>
      </w:pPr>
    </w:p>
    <w:p w14:paraId="4157FEBC"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Declaración de retenciones en la fuente.</w:t>
      </w:r>
      <w:r>
        <w:rPr>
          <w:rFonts w:ascii="Arial" w:hAnsi="Arial" w:cs="Arial"/>
          <w:lang w:val="es-CO"/>
        </w:rPr>
        <w:t xml:space="preserve"> Las retenciones en la fuente practicadas y registradas en operaciones sin</w:t>
      </w:r>
      <w:r>
        <w:rPr>
          <w:rFonts w:ascii="Arial" w:hAnsi="Arial" w:cs="Arial"/>
          <w:lang w:val="es-CO"/>
        </w:rPr>
        <w:t xml:space="preserve"> disposición de fondos por las entidades ejecutoras del Presupuesto General de la Nación, a través del SIIF - Nación, deben ser incluidas en la declaración de retenciones en la fuente que por el respectivo periodo están obligadas a presentar, dentro de los</w:t>
      </w:r>
      <w:r>
        <w:rPr>
          <w:rFonts w:ascii="Arial" w:hAnsi="Arial" w:cs="Arial"/>
          <w:lang w:val="es-CO"/>
        </w:rPr>
        <w:t xml:space="preserve"> plazos y lugares que para el efecto señale de manera general el Gobierno Nacional, observando lo que para este caso específico indique la Unidad Administrativa Especial Dirección de Impuestos y Aduanas Nacionales- DIAN.</w:t>
      </w:r>
    </w:p>
    <w:p w14:paraId="67D4373B" w14:textId="77777777" w:rsidR="00B2442D" w:rsidRDefault="00B2442D">
      <w:pPr>
        <w:jc w:val="both"/>
        <w:rPr>
          <w:rFonts w:ascii="Arial" w:hAnsi="Arial" w:cs="Arial"/>
          <w:lang w:val="es-CO"/>
        </w:rPr>
      </w:pPr>
    </w:p>
    <w:p w14:paraId="5357B078" w14:textId="77777777" w:rsidR="00B2442D" w:rsidRDefault="008A645F">
      <w:pPr>
        <w:jc w:val="both"/>
        <w:rPr>
          <w:rFonts w:ascii="Arial" w:hAnsi="Arial" w:cs="Arial"/>
          <w:lang w:val="es-CO"/>
        </w:rPr>
      </w:pPr>
      <w:r>
        <w:rPr>
          <w:rFonts w:ascii="Arial" w:hAnsi="Arial" w:cs="Arial"/>
          <w:lang w:val="es-CO"/>
        </w:rPr>
        <w:t>Para establecer el valor a pagar d</w:t>
      </w:r>
      <w:r>
        <w:rPr>
          <w:rFonts w:ascii="Arial" w:hAnsi="Arial" w:cs="Arial"/>
          <w:lang w:val="es-CO"/>
        </w:rPr>
        <w:t>eterminado en la declaración de retenciones en la fuente del respectivo periodo, debe tenerse en cuenta el monto de las retenciones practicadas en operaciones sin disposición de fondos, las cuales se entienden pagadas. Lo anterior, sin perjuicio de las ver</w:t>
      </w:r>
      <w:r>
        <w:rPr>
          <w:rFonts w:ascii="Arial" w:hAnsi="Arial" w:cs="Arial"/>
          <w:lang w:val="es-CO"/>
        </w:rPr>
        <w:t>ificaciones que en ejercicio de las amplias facultades de control de que está investida, puede adelantar la Unidad Administrativa Especial Dirección de Impuestos y Aduanas Nacionales- DIAN.</w:t>
      </w:r>
    </w:p>
    <w:p w14:paraId="6619C3DB" w14:textId="77777777" w:rsidR="00B2442D" w:rsidRDefault="00B2442D">
      <w:pPr>
        <w:jc w:val="both"/>
        <w:rPr>
          <w:rFonts w:ascii="Arial" w:hAnsi="Arial" w:cs="Arial"/>
          <w:lang w:val="es-CO"/>
        </w:rPr>
      </w:pPr>
    </w:p>
    <w:p w14:paraId="057BA7B7" w14:textId="77777777" w:rsidR="00B2442D" w:rsidRDefault="008A645F">
      <w:pPr>
        <w:jc w:val="both"/>
        <w:rPr>
          <w:rFonts w:ascii="Arial" w:hAnsi="Arial" w:cs="Arial"/>
          <w:i/>
          <w:lang w:val="es-CO"/>
        </w:rPr>
      </w:pPr>
      <w:r>
        <w:rPr>
          <w:rFonts w:ascii="Arial" w:hAnsi="Arial" w:cs="Arial"/>
          <w:i/>
          <w:lang w:val="es-CO"/>
        </w:rPr>
        <w:t>(Art. 6, Decreto 0702 de 2013)</w:t>
      </w:r>
    </w:p>
    <w:p w14:paraId="73DDD452" w14:textId="77777777" w:rsidR="00B2442D" w:rsidRDefault="00B2442D">
      <w:pPr>
        <w:jc w:val="both"/>
        <w:rPr>
          <w:rFonts w:ascii="Arial" w:hAnsi="Arial" w:cs="Arial"/>
          <w:lang w:val="es-CO"/>
        </w:rPr>
      </w:pPr>
    </w:p>
    <w:p w14:paraId="20273A83"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Procedimiento en caso de rescisio</w:t>
      </w:r>
      <w:r>
        <w:rPr>
          <w:rFonts w:ascii="Arial" w:hAnsi="Arial" w:cs="Arial"/>
          <w:b/>
          <w:i/>
          <w:lang w:val="es-CO"/>
        </w:rPr>
        <w:t>nes, anulaciones o resoluciones de operaciones sometidas a retención en el ámbito de este capítulo.</w:t>
      </w:r>
      <w:r>
        <w:rPr>
          <w:rFonts w:ascii="Arial" w:hAnsi="Arial" w:cs="Arial"/>
          <w:lang w:val="es-CO"/>
        </w:rPr>
        <w:t xml:space="preserve"> Cuando se anulen, rescindan o resuelvan operaciones que en el contexto de este capítulo hayan sido sometidas a retención en la fuente a título de los impues</w:t>
      </w:r>
      <w:r>
        <w:rPr>
          <w:rFonts w:ascii="Arial" w:hAnsi="Arial" w:cs="Arial"/>
          <w:lang w:val="es-CO"/>
        </w:rPr>
        <w:t xml:space="preserve">tos sobre la renta y/o ventas, el agente de retención podrá descontar, del monto de retenciones practicadas pendiente de consignar y declarar, el valor de las retenciones relativas a dichas operaciones, en el período en el que se hayan anulado, rescindido </w:t>
      </w:r>
      <w:r>
        <w:rPr>
          <w:rFonts w:ascii="Arial" w:hAnsi="Arial" w:cs="Arial"/>
          <w:lang w:val="es-CO"/>
        </w:rPr>
        <w:t>o resuelto, hasta cubrirlo en su integridad. Si el monto de las retenciones del que pueden descontarse fuere insuficiente, este procedimiento podrá aplicarse en los períodos inmediatamente siguientes.</w:t>
      </w:r>
    </w:p>
    <w:p w14:paraId="1BFC7CA6" w14:textId="77777777" w:rsidR="00B2442D" w:rsidRDefault="00B2442D">
      <w:pPr>
        <w:jc w:val="both"/>
        <w:rPr>
          <w:rFonts w:ascii="Arial" w:hAnsi="Arial" w:cs="Arial"/>
          <w:lang w:val="es-CO"/>
        </w:rPr>
      </w:pPr>
    </w:p>
    <w:p w14:paraId="4046A39A" w14:textId="77777777" w:rsidR="00B2442D" w:rsidRDefault="008A645F">
      <w:pPr>
        <w:jc w:val="both"/>
        <w:rPr>
          <w:rFonts w:ascii="Arial" w:hAnsi="Arial" w:cs="Arial"/>
          <w:lang w:val="es-CO"/>
        </w:rPr>
      </w:pPr>
      <w:r>
        <w:rPr>
          <w:rFonts w:ascii="Arial" w:hAnsi="Arial" w:cs="Arial"/>
          <w:lang w:val="es-CO"/>
        </w:rPr>
        <w:t>Para que tenga lugar el procedimiento indicado en este</w:t>
      </w:r>
      <w:r>
        <w:rPr>
          <w:rFonts w:ascii="Arial" w:hAnsi="Arial" w:cs="Arial"/>
          <w:lang w:val="es-CO"/>
        </w:rPr>
        <w:t xml:space="preserve"> artículo, el agente de retención deberá, a través del SIIF — Nación, generar y enviar a la Unidad Administrativa Especial Dirección de Impuestos y Aduanas Nacionales- DIAN, por cada comprobante afectado, el registro del valor parcial o total de las retenc</w:t>
      </w:r>
      <w:r>
        <w:rPr>
          <w:rFonts w:ascii="Arial" w:hAnsi="Arial" w:cs="Arial"/>
          <w:lang w:val="es-CO"/>
        </w:rPr>
        <w:t>iones correspondientes a las operaciones anuladas, rescindidas o resueltas en el correspondiente período, que hayan sido objeto del mismo.</w:t>
      </w:r>
    </w:p>
    <w:p w14:paraId="70FF26BB" w14:textId="77777777" w:rsidR="00B2442D" w:rsidRDefault="00B2442D">
      <w:pPr>
        <w:jc w:val="both"/>
        <w:rPr>
          <w:rFonts w:ascii="Arial" w:hAnsi="Arial" w:cs="Arial"/>
          <w:lang w:val="es-CO"/>
        </w:rPr>
      </w:pPr>
    </w:p>
    <w:p w14:paraId="077DC155" w14:textId="77777777" w:rsidR="00B2442D" w:rsidRDefault="008A645F">
      <w:pPr>
        <w:jc w:val="both"/>
        <w:rPr>
          <w:rFonts w:ascii="Arial" w:hAnsi="Arial" w:cs="Arial"/>
          <w:lang w:val="es-CO"/>
        </w:rPr>
      </w:pPr>
      <w:r>
        <w:rPr>
          <w:rFonts w:ascii="Arial" w:hAnsi="Arial" w:cs="Arial"/>
          <w:lang w:val="es-CO"/>
        </w:rPr>
        <w:t xml:space="preserve">En estos casos, el retenido deberá manifestar por escrito, al agente de retención, que los valores retenidos objeto </w:t>
      </w:r>
      <w:r>
        <w:rPr>
          <w:rFonts w:ascii="Arial" w:hAnsi="Arial" w:cs="Arial"/>
          <w:lang w:val="es-CO"/>
        </w:rPr>
        <w:t>de este procedimiento no fueron ni serán imputados en la declaración del impuesto sobre la renta o ventas, según el caso. El documento respectivo deberá ser conservado por el agente de retención para presentarlo cuando la administración tributaria lo exija</w:t>
      </w:r>
      <w:r>
        <w:rPr>
          <w:rFonts w:ascii="Arial" w:hAnsi="Arial" w:cs="Arial"/>
          <w:lang w:val="es-CO"/>
        </w:rPr>
        <w:t>.</w:t>
      </w:r>
    </w:p>
    <w:p w14:paraId="7E6E94D8" w14:textId="77777777" w:rsidR="00B2442D" w:rsidRDefault="00B2442D">
      <w:pPr>
        <w:jc w:val="both"/>
        <w:rPr>
          <w:rFonts w:ascii="Arial" w:hAnsi="Arial" w:cs="Arial"/>
          <w:lang w:val="es-CO"/>
        </w:rPr>
      </w:pPr>
    </w:p>
    <w:p w14:paraId="735120CC"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se trate de retenciones en la fuente por el concepto salarios, el agente de retención, de acuerdo con las disposiciones del Estatuto Tributario y sus reglamentos, deberá anular el certificado de retención del impuesto que correspond</w:t>
      </w:r>
      <w:r>
        <w:rPr>
          <w:rFonts w:ascii="Arial" w:hAnsi="Arial" w:cs="Arial"/>
          <w:lang w:val="es-CO"/>
        </w:rPr>
        <w:t>a y, si fuere del caso, expedirá un nuevo certificado sobre la parte sometida a retención.</w:t>
      </w:r>
    </w:p>
    <w:p w14:paraId="0A64158B" w14:textId="77777777" w:rsidR="00B2442D" w:rsidRDefault="00B2442D">
      <w:pPr>
        <w:jc w:val="both"/>
        <w:rPr>
          <w:rFonts w:ascii="Arial" w:hAnsi="Arial" w:cs="Arial"/>
          <w:lang w:val="es-CO"/>
        </w:rPr>
      </w:pPr>
    </w:p>
    <w:p w14:paraId="3C9B2A79"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Unidad Administrativa Especial Dirección de Impuestos y Aduanas Nacionales- DIAN, dentro del término que la misma establezca, pondrá a disposición </w:t>
      </w:r>
      <w:r>
        <w:rPr>
          <w:rFonts w:ascii="Arial" w:hAnsi="Arial" w:cs="Arial"/>
          <w:lang w:val="es-CO"/>
        </w:rPr>
        <w:t>del sujeto pasivo de la retención, a través de sus canales virtuales, la información de los comprobantes de retención afectados por operaciones anuladas, rescindidas o resueltas a que se refiere este artículo.</w:t>
      </w:r>
    </w:p>
    <w:p w14:paraId="27B9278B" w14:textId="77777777" w:rsidR="00B2442D" w:rsidRDefault="00B2442D">
      <w:pPr>
        <w:jc w:val="both"/>
        <w:rPr>
          <w:rFonts w:ascii="Arial" w:hAnsi="Arial" w:cs="Arial"/>
          <w:lang w:val="es-CO"/>
        </w:rPr>
      </w:pPr>
    </w:p>
    <w:p w14:paraId="052ED332" w14:textId="77777777" w:rsidR="00B2442D" w:rsidRDefault="008A645F">
      <w:pPr>
        <w:jc w:val="both"/>
        <w:rPr>
          <w:rFonts w:ascii="Arial" w:hAnsi="Arial" w:cs="Arial"/>
          <w:i/>
          <w:lang w:val="es-CO"/>
        </w:rPr>
      </w:pPr>
      <w:r>
        <w:rPr>
          <w:rFonts w:ascii="Arial" w:hAnsi="Arial" w:cs="Arial"/>
          <w:i/>
          <w:lang w:val="es-CO"/>
        </w:rPr>
        <w:t>(Art. 7, Decreto 0702 de 2013)</w:t>
      </w:r>
    </w:p>
    <w:p w14:paraId="7068D484" w14:textId="77777777" w:rsidR="00B2442D" w:rsidRDefault="00B2442D">
      <w:pPr>
        <w:jc w:val="both"/>
        <w:rPr>
          <w:rFonts w:ascii="Arial" w:hAnsi="Arial" w:cs="Arial"/>
          <w:lang w:val="es-CO"/>
        </w:rPr>
      </w:pPr>
    </w:p>
    <w:p w14:paraId="00ADC45E"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Procedimiento en caso de retenciones practicadas en exceso o indebidamente en el ámbito de este capítulo.</w:t>
      </w:r>
      <w:r>
        <w:rPr>
          <w:rFonts w:ascii="Arial" w:hAnsi="Arial" w:cs="Arial"/>
          <w:lang w:val="es-CO"/>
        </w:rPr>
        <w:t xml:space="preserve"> Cuando el agente de retención haya efectuado, en el ámbito de este capítulo, retenciones a título del impuesto sobre la renta y/o ventas, por valor su</w:t>
      </w:r>
      <w:r>
        <w:rPr>
          <w:rFonts w:ascii="Arial" w:hAnsi="Arial" w:cs="Arial"/>
          <w:lang w:val="es-CO"/>
        </w:rPr>
        <w:t>perior al que ha debido efectuarse, el agente de retención podrá reintegrar los valores retenidos en exceso o indebidamente, previa solicitud escrita del afectado con la retención, acompañada de las pruebas cuando a ello hubiere lugar. En este caso, igualm</w:t>
      </w:r>
      <w:r>
        <w:rPr>
          <w:rFonts w:ascii="Arial" w:hAnsi="Arial" w:cs="Arial"/>
          <w:lang w:val="es-CO"/>
        </w:rPr>
        <w:t>ente, en el mismo período en el cual efectúe el respectivo reintegro, el agente de retención podrá descontar este valor, a través del SIIF - Nación, del monto de las retenciones practicadas pendientes por consignar y declarar, hasta completar el monto de l</w:t>
      </w:r>
      <w:r>
        <w:rPr>
          <w:rFonts w:ascii="Arial" w:hAnsi="Arial" w:cs="Arial"/>
          <w:lang w:val="es-CO"/>
        </w:rPr>
        <w:t>as retenciones practicadas en exceso o indebidamente. Si el monto de las retenciones del que pueden descontarse fuere insuficiente, este procedimiento podrá aplicarse en los períodos inmediatamente siguientes.</w:t>
      </w:r>
    </w:p>
    <w:p w14:paraId="2552F9BB" w14:textId="77777777" w:rsidR="00B2442D" w:rsidRDefault="00B2442D">
      <w:pPr>
        <w:jc w:val="both"/>
        <w:rPr>
          <w:rFonts w:ascii="Arial" w:hAnsi="Arial" w:cs="Arial"/>
          <w:lang w:val="es-CO"/>
        </w:rPr>
      </w:pPr>
    </w:p>
    <w:p w14:paraId="7B433B85" w14:textId="77777777" w:rsidR="00B2442D" w:rsidRDefault="008A645F">
      <w:pPr>
        <w:jc w:val="both"/>
        <w:rPr>
          <w:rFonts w:ascii="Arial" w:hAnsi="Arial" w:cs="Arial"/>
          <w:lang w:val="es-CO"/>
        </w:rPr>
      </w:pPr>
      <w:r>
        <w:rPr>
          <w:rFonts w:ascii="Arial" w:hAnsi="Arial" w:cs="Arial"/>
          <w:lang w:val="es-CO"/>
        </w:rPr>
        <w:t>Para que tenga lugar el procedimiento indicad</w:t>
      </w:r>
      <w:r>
        <w:rPr>
          <w:rFonts w:ascii="Arial" w:hAnsi="Arial" w:cs="Arial"/>
          <w:lang w:val="es-CO"/>
        </w:rPr>
        <w:t>o en el presente artículo, el agente de retención deberá, a través del SIIF - Nación, generar y enviar a la Unidad Administrativa Especial Dirección de Impuestos y Aduanas Nacionales- DIAN, por cada comprobante afectado, el registro del valor parcial o tot</w:t>
      </w:r>
      <w:r>
        <w:rPr>
          <w:rFonts w:ascii="Arial" w:hAnsi="Arial" w:cs="Arial"/>
          <w:lang w:val="es-CO"/>
        </w:rPr>
        <w:t>al de las retenciones a título del impuesto sobre la renta y/o del impuesto sobre las ventas correspondiente a los reintegros efectuados en el período, por retenciones que se hayan practicado en exceso o indebidamente.</w:t>
      </w:r>
    </w:p>
    <w:p w14:paraId="5D4F58AF" w14:textId="77777777" w:rsidR="00B2442D" w:rsidRDefault="00B2442D">
      <w:pPr>
        <w:jc w:val="both"/>
        <w:rPr>
          <w:rFonts w:ascii="Arial" w:hAnsi="Arial" w:cs="Arial"/>
          <w:lang w:val="es-CO"/>
        </w:rPr>
      </w:pPr>
    </w:p>
    <w:p w14:paraId="480A2171"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se trate de ret</w:t>
      </w:r>
      <w:r>
        <w:rPr>
          <w:rFonts w:ascii="Arial" w:hAnsi="Arial" w:cs="Arial"/>
          <w:lang w:val="es-CO"/>
        </w:rPr>
        <w:t>enciones en la fuente por el concepto salarios, el agente de retención, de acuerdo con las disposiciones del Estatuto Tributario y sus reglamentos, deberá anular el certificado de retención del impuesto que corresponda y, si fuere del caso, expedirá un nue</w:t>
      </w:r>
      <w:r>
        <w:rPr>
          <w:rFonts w:ascii="Arial" w:hAnsi="Arial" w:cs="Arial"/>
          <w:lang w:val="es-CO"/>
        </w:rPr>
        <w:t>vo certificado sobre la parte sometida a retención.</w:t>
      </w:r>
    </w:p>
    <w:p w14:paraId="47B1CD28" w14:textId="77777777" w:rsidR="00B2442D" w:rsidRDefault="00B2442D">
      <w:pPr>
        <w:jc w:val="both"/>
        <w:rPr>
          <w:rFonts w:ascii="Arial" w:hAnsi="Arial" w:cs="Arial"/>
          <w:lang w:val="es-CO"/>
        </w:rPr>
      </w:pPr>
    </w:p>
    <w:p w14:paraId="0B1860F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Unidad Administrativa Especial Dirección de Impuestos y Aduanas Nacionales- DIAN, dentro del término que establezca, pondrá a disposición del sujeto pasivo de la retención, a través de s</w:t>
      </w:r>
      <w:r>
        <w:rPr>
          <w:rFonts w:ascii="Arial" w:hAnsi="Arial" w:cs="Arial"/>
          <w:lang w:val="es-CO"/>
        </w:rPr>
        <w:t>us canales virtuales, la información de los comprobantes de retención afectados por retenciones practicadas en exceso o indebidamente.</w:t>
      </w:r>
    </w:p>
    <w:p w14:paraId="414C6049" w14:textId="77777777" w:rsidR="00B2442D" w:rsidRDefault="00B2442D">
      <w:pPr>
        <w:jc w:val="both"/>
        <w:rPr>
          <w:rFonts w:ascii="Arial" w:hAnsi="Arial" w:cs="Arial"/>
          <w:b/>
          <w:lang w:val="es-CO"/>
        </w:rPr>
      </w:pPr>
    </w:p>
    <w:p w14:paraId="2A169CB9" w14:textId="77777777" w:rsidR="00B2442D" w:rsidRDefault="008A645F">
      <w:pPr>
        <w:jc w:val="both"/>
        <w:rPr>
          <w:rFonts w:ascii="Arial" w:hAnsi="Arial" w:cs="Arial"/>
          <w:i/>
          <w:lang w:val="es-CO"/>
        </w:rPr>
      </w:pPr>
      <w:r>
        <w:rPr>
          <w:rFonts w:ascii="Arial" w:hAnsi="Arial" w:cs="Arial"/>
          <w:i/>
          <w:lang w:val="es-CO"/>
        </w:rPr>
        <w:t>(Art. 8, Decreto 0702 de 2013)</w:t>
      </w:r>
    </w:p>
    <w:p w14:paraId="408734A2" w14:textId="77777777" w:rsidR="00B2442D" w:rsidRDefault="00B2442D">
      <w:pPr>
        <w:jc w:val="both"/>
        <w:rPr>
          <w:rFonts w:ascii="Arial" w:hAnsi="Arial" w:cs="Arial"/>
          <w:b/>
          <w:lang w:val="es-CO"/>
        </w:rPr>
      </w:pPr>
    </w:p>
    <w:p w14:paraId="1DFAF303"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b/>
          <w:i/>
          <w:lang w:val="es-CO"/>
        </w:rPr>
        <w:t xml:space="preserve">Información que se debe suministrar a la Unidad Administrativa Especial </w:t>
      </w:r>
      <w:r>
        <w:rPr>
          <w:rFonts w:ascii="Arial" w:hAnsi="Arial" w:cs="Arial"/>
          <w:b/>
          <w:i/>
          <w:lang w:val="es-CO"/>
        </w:rPr>
        <w:t>Dirección de Impuestos y Aduanas Nacionales- DIAN.</w:t>
      </w:r>
      <w:r>
        <w:rPr>
          <w:rFonts w:ascii="Arial" w:hAnsi="Arial" w:cs="Arial"/>
          <w:lang w:val="es-CO"/>
        </w:rPr>
        <w:t xml:space="preserve"> Para el efectivo control del recaudo de las retenciones en la fuente practicadas a título de los impuestos sobre la renta y/o ventas, efectuadas en el contexto de este capítulo, el agente de retención debe</w:t>
      </w:r>
      <w:r>
        <w:rPr>
          <w:rFonts w:ascii="Arial" w:hAnsi="Arial" w:cs="Arial"/>
          <w:lang w:val="es-CO"/>
        </w:rPr>
        <w:t xml:space="preserve"> suministrar a la Unidad Administrativa Especial Dirección de Impuestos y Aduanas Nacionales- DIAN, a través del SIIF-Nación, utilizando los servicios informáticos electrónicos dispuestos para ello por la Unidad Administrativa Especial Dirección de Impuest</w:t>
      </w:r>
      <w:r>
        <w:rPr>
          <w:rFonts w:ascii="Arial" w:hAnsi="Arial" w:cs="Arial"/>
          <w:lang w:val="es-CO"/>
        </w:rPr>
        <w:t>os y Aduanas Nacionales- DIAN, dentro de los términos indicados, la siguiente información:</w:t>
      </w:r>
    </w:p>
    <w:p w14:paraId="3F496A7E" w14:textId="77777777" w:rsidR="00B2442D" w:rsidRDefault="00B2442D">
      <w:pPr>
        <w:jc w:val="both"/>
        <w:rPr>
          <w:rFonts w:ascii="Arial" w:hAnsi="Arial" w:cs="Arial"/>
          <w:lang w:val="es-CO"/>
        </w:rPr>
      </w:pPr>
    </w:p>
    <w:p w14:paraId="7E874AA6" w14:textId="77777777" w:rsidR="00B2442D" w:rsidRDefault="008A645F">
      <w:pPr>
        <w:ind w:left="426" w:hanging="426"/>
        <w:jc w:val="both"/>
        <w:rPr>
          <w:rFonts w:ascii="Arial" w:hAnsi="Arial" w:cs="Arial"/>
          <w:lang w:val="es-CO"/>
        </w:rPr>
      </w:pPr>
      <w:r>
        <w:rPr>
          <w:rFonts w:ascii="Arial" w:hAnsi="Arial" w:cs="Arial"/>
          <w:lang w:val="es-CO"/>
        </w:rPr>
        <w:t>a) La correspondiente a los comprobantes de las retenciones practicadas durante el respectivo período, a más tardar el segundo día hábil siguiente a la fecha en que</w:t>
      </w:r>
      <w:r>
        <w:rPr>
          <w:rFonts w:ascii="Arial" w:hAnsi="Arial" w:cs="Arial"/>
          <w:lang w:val="es-CO"/>
        </w:rPr>
        <w:t xml:space="preserve"> se practicaron;</w:t>
      </w:r>
    </w:p>
    <w:p w14:paraId="2747AB35" w14:textId="77777777" w:rsidR="00B2442D" w:rsidRDefault="00B2442D">
      <w:pPr>
        <w:ind w:left="426" w:hanging="426"/>
        <w:jc w:val="both"/>
        <w:rPr>
          <w:rFonts w:ascii="Arial" w:hAnsi="Arial" w:cs="Arial"/>
          <w:lang w:val="es-CO"/>
        </w:rPr>
      </w:pPr>
    </w:p>
    <w:p w14:paraId="037FCF1F" w14:textId="77777777" w:rsidR="00B2442D" w:rsidRDefault="008A645F">
      <w:pPr>
        <w:ind w:left="426" w:hanging="426"/>
        <w:jc w:val="both"/>
        <w:rPr>
          <w:rFonts w:ascii="Arial" w:hAnsi="Arial" w:cs="Arial"/>
          <w:lang w:val="es-CO"/>
        </w:rPr>
      </w:pPr>
      <w:r>
        <w:rPr>
          <w:rFonts w:ascii="Arial" w:hAnsi="Arial" w:cs="Arial"/>
          <w:lang w:val="es-CO"/>
        </w:rPr>
        <w:t>b) Los registros generados por retenciones correspondientes a operaciones anuladas, resueltas, rescindidas o por reintegros correspondientes a retenciones practicadas en exceso o en forma indebida, a más tardar el tercer día hábil del mes</w:t>
      </w:r>
      <w:r>
        <w:rPr>
          <w:rFonts w:ascii="Arial" w:hAnsi="Arial" w:cs="Arial"/>
          <w:lang w:val="es-CO"/>
        </w:rPr>
        <w:t xml:space="preserve"> siguiente al periodo en que tuvieron lugar estos eventos;</w:t>
      </w:r>
    </w:p>
    <w:p w14:paraId="59399AF2" w14:textId="77777777" w:rsidR="00B2442D" w:rsidRDefault="00B2442D">
      <w:pPr>
        <w:jc w:val="both"/>
        <w:rPr>
          <w:rFonts w:ascii="Arial" w:hAnsi="Arial" w:cs="Arial"/>
          <w:lang w:val="es-CO"/>
        </w:rPr>
      </w:pPr>
    </w:p>
    <w:p w14:paraId="11FA2915" w14:textId="77777777" w:rsidR="00B2442D" w:rsidRDefault="008A645F">
      <w:pPr>
        <w:jc w:val="both"/>
        <w:rPr>
          <w:rFonts w:ascii="Arial" w:hAnsi="Arial" w:cs="Arial"/>
          <w:lang w:val="es-CO"/>
        </w:rPr>
      </w:pPr>
      <w:r>
        <w:rPr>
          <w:rFonts w:ascii="Arial" w:hAnsi="Arial" w:cs="Arial"/>
          <w:lang w:val="es-CO"/>
        </w:rPr>
        <w:t>La correspondiente a la consignación mensual realizada en operaciones sin disposición de fondos, relacionando los números de los comprobantes de las retenciones practicadas en el respectivo period</w:t>
      </w:r>
      <w:r>
        <w:rPr>
          <w:rFonts w:ascii="Arial" w:hAnsi="Arial" w:cs="Arial"/>
          <w:lang w:val="es-CO"/>
        </w:rPr>
        <w:t>o, indicando también los valores descontados, si fuera el caso, a más tardar el día hábil siguiente a la fecha de la consignación.</w:t>
      </w:r>
    </w:p>
    <w:p w14:paraId="4506C513" w14:textId="77777777" w:rsidR="00B2442D" w:rsidRDefault="00B2442D">
      <w:pPr>
        <w:jc w:val="both"/>
        <w:rPr>
          <w:rFonts w:ascii="Arial" w:hAnsi="Arial" w:cs="Arial"/>
          <w:b/>
          <w:lang w:val="es-CO"/>
        </w:rPr>
      </w:pPr>
    </w:p>
    <w:p w14:paraId="2FC3377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Unidad Administrativa Especial Dirección de Impuestos y Aduanas Nacionales - DIAN establecerá, mediante res</w:t>
      </w:r>
      <w:r>
        <w:rPr>
          <w:rFonts w:ascii="Arial" w:hAnsi="Arial" w:cs="Arial"/>
          <w:lang w:val="es-CO"/>
        </w:rPr>
        <w:t>olución, los requisitos, condiciones, formatos y, en general, las especificaciones técnicas y procedimentales relacionadas con la información y su entrega, conforme con el presente artículo, así como la información adicional que considere necesaria para ga</w:t>
      </w:r>
      <w:r>
        <w:rPr>
          <w:rFonts w:ascii="Arial" w:hAnsi="Arial" w:cs="Arial"/>
          <w:lang w:val="es-CO"/>
        </w:rPr>
        <w:t>rantizar la completitud y consistencia de la misma; resolución que deberá expedirse con una anticipación no menor de seis (6) meses al inicio del período mensual a partir del cual la misma resolución indique que las retenciones deben practicarse y consigna</w:t>
      </w:r>
      <w:r>
        <w:rPr>
          <w:rFonts w:ascii="Arial" w:hAnsi="Arial" w:cs="Arial"/>
          <w:lang w:val="es-CO"/>
        </w:rPr>
        <w:t>rse de acuerdo con las disposiciones del presente decreto.</w:t>
      </w:r>
    </w:p>
    <w:p w14:paraId="6F3336E7" w14:textId="77777777" w:rsidR="00B2442D" w:rsidRDefault="00B2442D">
      <w:pPr>
        <w:jc w:val="both"/>
        <w:rPr>
          <w:rFonts w:ascii="Arial" w:hAnsi="Arial" w:cs="Arial"/>
          <w:lang w:val="es-CO"/>
        </w:rPr>
      </w:pPr>
    </w:p>
    <w:p w14:paraId="1ACE2CFD" w14:textId="77777777" w:rsidR="00B2442D" w:rsidRDefault="008A645F">
      <w:pPr>
        <w:jc w:val="both"/>
        <w:rPr>
          <w:rFonts w:ascii="Arial" w:hAnsi="Arial" w:cs="Arial"/>
          <w:lang w:val="es-CO"/>
        </w:rPr>
      </w:pPr>
      <w:r>
        <w:rPr>
          <w:rFonts w:ascii="Arial" w:hAnsi="Arial" w:cs="Arial"/>
          <w:lang w:val="es-CO"/>
        </w:rPr>
        <w:t xml:space="preserve">Cuando la Unidad Administrativa Especial Dirección de Impuestos y Aduanas Nacionales– DIAN efectúe modificaciones o adiciones a la resolución, las mismas deberán darse a conocer con un término no </w:t>
      </w:r>
      <w:r>
        <w:rPr>
          <w:rFonts w:ascii="Arial" w:hAnsi="Arial" w:cs="Arial"/>
          <w:lang w:val="es-CO"/>
        </w:rPr>
        <w:t>inferior a seis (6) meses.</w:t>
      </w:r>
    </w:p>
    <w:p w14:paraId="72A09D21" w14:textId="77777777" w:rsidR="00B2442D" w:rsidRDefault="00B2442D">
      <w:pPr>
        <w:jc w:val="both"/>
        <w:rPr>
          <w:rFonts w:ascii="Arial" w:hAnsi="Arial" w:cs="Arial"/>
          <w:lang w:val="es-CO"/>
        </w:rPr>
      </w:pPr>
    </w:p>
    <w:p w14:paraId="16B8F62C"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El Director General de la Unidad Administrativa Especial Dirección de Impuestos y Aduanas Nacionales- DIAN determinará si la información suministrada, frente a los pagos y retenciones efectuados de acuerdo con este capítulo, releva total o parcialmente a </w:t>
      </w:r>
      <w:r>
        <w:rPr>
          <w:rFonts w:ascii="Arial" w:hAnsi="Arial" w:cs="Arial"/>
          <w:lang w:val="es-CO"/>
        </w:rPr>
        <w:t>los sujetos que tengan la obligación de informar sobre estos mismos aspectos, conforme con el artículo 631 del Estatuto Tributario u otras disposiciones de ese mismo ordenamiento.</w:t>
      </w:r>
    </w:p>
    <w:p w14:paraId="50C8C123" w14:textId="77777777" w:rsidR="00B2442D" w:rsidRDefault="00B2442D">
      <w:pPr>
        <w:jc w:val="both"/>
        <w:rPr>
          <w:rFonts w:ascii="Arial" w:hAnsi="Arial" w:cs="Arial"/>
          <w:lang w:val="es-CO"/>
        </w:rPr>
      </w:pPr>
    </w:p>
    <w:p w14:paraId="40A63CAC"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información que debe ser entregada conforme con este artíc</w:t>
      </w:r>
      <w:r>
        <w:rPr>
          <w:rFonts w:ascii="Arial" w:hAnsi="Arial" w:cs="Arial"/>
          <w:lang w:val="es-CO"/>
        </w:rPr>
        <w:t>ulo, debe conservarse por el término legal por parte de quienes sean responsables de suministrarla a la Unidad Administrativa Especial Dirección de Impuestos y Aduanas Nacionales- DIAN, asegurando que se cumplan las condiciones señaladas en los artículos 1</w:t>
      </w:r>
      <w:r>
        <w:rPr>
          <w:rFonts w:ascii="Arial" w:hAnsi="Arial" w:cs="Arial"/>
          <w:lang w:val="es-CO"/>
        </w:rPr>
        <w:t>2 y 13 de la Ley 527 de 1999, o las normas que las sustituyan.</w:t>
      </w:r>
    </w:p>
    <w:p w14:paraId="44726DF9" w14:textId="77777777" w:rsidR="00B2442D" w:rsidRDefault="00B2442D">
      <w:pPr>
        <w:jc w:val="both"/>
        <w:rPr>
          <w:rFonts w:ascii="Arial" w:hAnsi="Arial" w:cs="Arial"/>
          <w:lang w:val="es-CO"/>
        </w:rPr>
      </w:pPr>
    </w:p>
    <w:p w14:paraId="74F1BAFA"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La Unidad Administrativa Especial Dirección de Impuestos y Aduanas Nacionales- DIAN, en el término que la misma establezca, facilitará a través de sus canales virtuales, a los su</w:t>
      </w:r>
      <w:r>
        <w:rPr>
          <w:rFonts w:ascii="Arial" w:hAnsi="Arial" w:cs="Arial"/>
          <w:lang w:val="es-CO"/>
        </w:rPr>
        <w:t>jetos pasivos de la retención, la información de las retenciones en la fuente practicadas en el período, a través del SIIF - Nación, e informadas dentro de los términos establecidos en este decreto.</w:t>
      </w:r>
    </w:p>
    <w:p w14:paraId="789EFAA2" w14:textId="77777777" w:rsidR="00B2442D" w:rsidRDefault="00B2442D">
      <w:pPr>
        <w:jc w:val="both"/>
        <w:rPr>
          <w:rFonts w:ascii="Arial" w:hAnsi="Arial" w:cs="Arial"/>
          <w:b/>
          <w:lang w:val="es-CO"/>
        </w:rPr>
      </w:pPr>
    </w:p>
    <w:p w14:paraId="060215C3" w14:textId="77777777" w:rsidR="00B2442D" w:rsidRDefault="008A645F">
      <w:pPr>
        <w:jc w:val="both"/>
        <w:rPr>
          <w:rFonts w:ascii="Arial" w:hAnsi="Arial" w:cs="Arial"/>
          <w:i/>
          <w:lang w:val="es-CO"/>
        </w:rPr>
      </w:pPr>
      <w:r>
        <w:rPr>
          <w:rFonts w:ascii="Arial" w:hAnsi="Arial" w:cs="Arial"/>
          <w:i/>
          <w:lang w:val="es-CO"/>
        </w:rPr>
        <w:t>(Art. 9, Decreto 0702 de 2013)</w:t>
      </w:r>
    </w:p>
    <w:p w14:paraId="19098587" w14:textId="77777777" w:rsidR="00B2442D" w:rsidRDefault="00B2442D">
      <w:pPr>
        <w:jc w:val="both"/>
        <w:rPr>
          <w:rFonts w:ascii="Arial" w:hAnsi="Arial" w:cs="Arial"/>
          <w:b/>
          <w:lang w:val="es-CO"/>
        </w:rPr>
      </w:pPr>
    </w:p>
    <w:p w14:paraId="1D543B8D" w14:textId="77777777" w:rsidR="00B2442D" w:rsidRDefault="008A645F">
      <w:pPr>
        <w:pStyle w:val="Prrafodelista"/>
        <w:numPr>
          <w:ilvl w:val="0"/>
          <w:numId w:val="77"/>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Remisión normativa.</w:t>
      </w:r>
      <w:r>
        <w:rPr>
          <w:rFonts w:ascii="Arial" w:hAnsi="Arial" w:cs="Arial"/>
          <w:lang w:val="es-CO"/>
        </w:rPr>
        <w:t xml:space="preserve"> Los</w:t>
      </w:r>
      <w:r>
        <w:rPr>
          <w:rFonts w:ascii="Arial" w:hAnsi="Arial" w:cs="Arial"/>
          <w:lang w:val="es-CO"/>
        </w:rPr>
        <w:t xml:space="preserve"> aspectos no regulados en el presente capítulo se regirán por las disposiciones legales y reglamentarias vigentes.</w:t>
      </w:r>
    </w:p>
    <w:p w14:paraId="437D49D8" w14:textId="77777777" w:rsidR="00B2442D" w:rsidRDefault="00B2442D">
      <w:pPr>
        <w:jc w:val="both"/>
        <w:rPr>
          <w:rFonts w:ascii="Arial" w:hAnsi="Arial" w:cs="Arial"/>
          <w:lang w:val="es-CO"/>
        </w:rPr>
      </w:pPr>
    </w:p>
    <w:p w14:paraId="3886B118" w14:textId="77777777" w:rsidR="00B2442D" w:rsidRDefault="008A645F">
      <w:pPr>
        <w:jc w:val="both"/>
        <w:rPr>
          <w:rFonts w:ascii="Arial" w:hAnsi="Arial" w:cs="Arial"/>
          <w:i/>
          <w:lang w:val="es-CO"/>
        </w:rPr>
      </w:pPr>
      <w:r>
        <w:rPr>
          <w:rFonts w:ascii="Arial" w:hAnsi="Arial" w:cs="Arial"/>
          <w:i/>
          <w:lang w:val="es-CO"/>
        </w:rPr>
        <w:t>(Art. 11, Decreto 0702 de 2013)</w:t>
      </w:r>
    </w:p>
    <w:p w14:paraId="2244C674" w14:textId="77777777" w:rsidR="00B2442D" w:rsidRDefault="00B2442D">
      <w:pPr>
        <w:jc w:val="both"/>
        <w:rPr>
          <w:rFonts w:ascii="Arial" w:hAnsi="Arial" w:cs="Arial"/>
          <w:lang w:val="es-CO"/>
        </w:rPr>
      </w:pPr>
    </w:p>
    <w:p w14:paraId="437E16B9" w14:textId="77777777" w:rsidR="00B2442D" w:rsidRDefault="008A645F">
      <w:pPr>
        <w:pStyle w:val="Ttulo4"/>
        <w:rPr>
          <w:lang w:val="es-CO"/>
        </w:rPr>
      </w:pPr>
      <w:r>
        <w:rPr>
          <w:lang w:val="es-CO"/>
        </w:rPr>
        <w:t>CAPÍTULO 3</w:t>
      </w:r>
    </w:p>
    <w:p w14:paraId="573A9517" w14:textId="77777777" w:rsidR="00B2442D" w:rsidRDefault="008A645F">
      <w:pPr>
        <w:pStyle w:val="Ttulo4"/>
        <w:rPr>
          <w:lang w:val="es-CO"/>
        </w:rPr>
      </w:pPr>
      <w:r>
        <w:rPr>
          <w:lang w:val="es-CO"/>
        </w:rPr>
        <w:t xml:space="preserve">Procedimiento en devoluciones, rescisiones, anulaciones o resoluciones de operaciones sometidas </w:t>
      </w:r>
      <w:r>
        <w:rPr>
          <w:lang w:val="es-CO"/>
        </w:rPr>
        <w:t>a retención en la fuente por IVA y retenciones practicadas en exceso</w:t>
      </w:r>
    </w:p>
    <w:p w14:paraId="7D76840B" w14:textId="77777777" w:rsidR="00B2442D" w:rsidRDefault="00B2442D">
      <w:pPr>
        <w:rPr>
          <w:rFonts w:ascii="Arial" w:hAnsi="Arial" w:cs="Arial"/>
          <w:lang w:val="es-CO"/>
        </w:rPr>
      </w:pPr>
    </w:p>
    <w:p w14:paraId="46B4A164" w14:textId="77777777" w:rsidR="00B2442D" w:rsidRDefault="008A645F">
      <w:pPr>
        <w:pStyle w:val="Prrafodelista"/>
        <w:numPr>
          <w:ilvl w:val="0"/>
          <w:numId w:val="78"/>
        </w:numPr>
        <w:ind w:left="0" w:firstLine="0"/>
        <w:jc w:val="both"/>
        <w:rPr>
          <w:rFonts w:ascii="Arial" w:hAnsi="Arial" w:cs="Arial"/>
          <w:lang w:val="es-CO"/>
        </w:rPr>
      </w:pPr>
      <w:r>
        <w:rPr>
          <w:rFonts w:ascii="Arial" w:hAnsi="Arial" w:cs="Arial"/>
          <w:b/>
          <w:i/>
          <w:lang w:val="es-CO"/>
        </w:rPr>
        <w:t>Procedimiento en devoluciones, rescisiones, anulaciones o resoluciones de operaciones sometidas a retención en la fuente por IVA y retenciones practicadas en exceso.</w:t>
      </w:r>
      <w:r>
        <w:rPr>
          <w:rFonts w:ascii="Arial" w:hAnsi="Arial" w:cs="Arial"/>
          <w:i/>
          <w:lang w:val="es-CO"/>
        </w:rPr>
        <w:t xml:space="preserve"> </w:t>
      </w:r>
      <w:r>
        <w:rPr>
          <w:rFonts w:ascii="Arial" w:hAnsi="Arial" w:cs="Arial"/>
          <w:lang w:val="es-CO"/>
        </w:rPr>
        <w:t>En los casos de devo</w:t>
      </w:r>
      <w:r>
        <w:rPr>
          <w:rFonts w:ascii="Arial" w:hAnsi="Arial" w:cs="Arial"/>
          <w:lang w:val="es-CO"/>
        </w:rPr>
        <w:t xml:space="preserve">lución, rescisión, anulación o resolución de operaciones sometidas a retención en la fuente por impuesto sobre las ventas, el agente retenedor podrá descontar las sumas que hubiere retenido por tales operaciones del monto de las retenciones por declarar y </w:t>
      </w:r>
      <w:r>
        <w:rPr>
          <w:rFonts w:ascii="Arial" w:hAnsi="Arial" w:cs="Arial"/>
          <w:lang w:val="es-CO"/>
        </w:rPr>
        <w:t xml:space="preserve">consignar correspondientes a este impuesto, en el periodo en el cual aquellas situaciones hayan tenido ocurrencia. </w:t>
      </w:r>
    </w:p>
    <w:p w14:paraId="1AA05BDD" w14:textId="77777777" w:rsidR="00B2442D" w:rsidRDefault="008A645F">
      <w:pPr>
        <w:jc w:val="both"/>
        <w:rPr>
          <w:rFonts w:ascii="Arial" w:hAnsi="Arial" w:cs="Arial"/>
          <w:lang w:val="es-CO"/>
        </w:rPr>
      </w:pPr>
      <w:r>
        <w:rPr>
          <w:rFonts w:ascii="Arial" w:hAnsi="Arial" w:cs="Arial"/>
          <w:lang w:val="es-CO"/>
        </w:rPr>
        <w:t xml:space="preserve"> </w:t>
      </w:r>
    </w:p>
    <w:p w14:paraId="14F0DB4B" w14:textId="77777777" w:rsidR="00B2442D" w:rsidRDefault="008A645F">
      <w:pPr>
        <w:jc w:val="both"/>
        <w:rPr>
          <w:rFonts w:ascii="Arial" w:hAnsi="Arial" w:cs="Arial"/>
          <w:lang w:val="es-CO"/>
        </w:rPr>
      </w:pPr>
      <w:r>
        <w:rPr>
          <w:rFonts w:ascii="Arial" w:hAnsi="Arial" w:cs="Arial"/>
          <w:lang w:val="es-CO"/>
        </w:rPr>
        <w:t xml:space="preserve">Si el monto de las retenciones de IVA que debieron efectuarse en tal periodo no fuere suficiente, con el saldo podrá afectar la de le dos </w:t>
      </w:r>
      <w:r>
        <w:rPr>
          <w:rFonts w:ascii="Arial" w:hAnsi="Arial" w:cs="Arial"/>
          <w:lang w:val="es-CO"/>
        </w:rPr>
        <w:t xml:space="preserve">(2) periodos inmediatamente siguientes. </w:t>
      </w:r>
    </w:p>
    <w:p w14:paraId="771993F3" w14:textId="77777777" w:rsidR="00B2442D" w:rsidRDefault="008A645F">
      <w:pPr>
        <w:jc w:val="both"/>
        <w:rPr>
          <w:rFonts w:ascii="Arial" w:hAnsi="Arial" w:cs="Arial"/>
          <w:lang w:val="es-CO"/>
        </w:rPr>
      </w:pPr>
      <w:r>
        <w:rPr>
          <w:rFonts w:ascii="Arial" w:hAnsi="Arial" w:cs="Arial"/>
          <w:lang w:val="es-CO"/>
        </w:rPr>
        <w:t xml:space="preserve"> </w:t>
      </w:r>
    </w:p>
    <w:p w14:paraId="2B4DCAF6" w14:textId="77777777" w:rsidR="00B2442D" w:rsidRDefault="008A645F">
      <w:pPr>
        <w:jc w:val="both"/>
        <w:rPr>
          <w:rFonts w:ascii="Arial" w:hAnsi="Arial" w:cs="Arial"/>
          <w:lang w:val="es-CO"/>
        </w:rPr>
      </w:pPr>
      <w:r>
        <w:rPr>
          <w:rFonts w:ascii="Arial" w:hAnsi="Arial" w:cs="Arial"/>
          <w:lang w:val="es-CO"/>
        </w:rPr>
        <w:t>En los casos de retenciones en la fuente de IVA, practicadas en exceso, el agente retenedor aplicará el mismo procedimiento establecido en el inciso anterior. En todo caso podrá reintegrar tales valores, previa so</w:t>
      </w:r>
      <w:r>
        <w:rPr>
          <w:rFonts w:ascii="Arial" w:hAnsi="Arial" w:cs="Arial"/>
          <w:lang w:val="es-CO"/>
        </w:rPr>
        <w:t xml:space="preserve">licitud escrita del afectado con la retención, acompañada de las pruebas cuando a ello hubiere lugar. </w:t>
      </w:r>
    </w:p>
    <w:p w14:paraId="6270189B" w14:textId="77777777" w:rsidR="00B2442D" w:rsidRDefault="008A645F">
      <w:pPr>
        <w:jc w:val="both"/>
        <w:rPr>
          <w:rFonts w:ascii="Arial" w:hAnsi="Arial" w:cs="Arial"/>
          <w:lang w:val="es-CO"/>
        </w:rPr>
      </w:pPr>
      <w:r>
        <w:rPr>
          <w:rFonts w:ascii="Arial" w:hAnsi="Arial" w:cs="Arial"/>
          <w:lang w:val="es-CO"/>
        </w:rPr>
        <w:t xml:space="preserve"> </w:t>
      </w:r>
    </w:p>
    <w:p w14:paraId="016CD8F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los efectos de lo previsto en este artículo, el retenido deberá manifestarle por escrito al retenedor que los valores retenidos en la</w:t>
      </w:r>
      <w:r>
        <w:rPr>
          <w:rFonts w:ascii="Arial" w:hAnsi="Arial" w:cs="Arial"/>
          <w:lang w:val="es-CO"/>
        </w:rPr>
        <w:t xml:space="preserve"> condiciones aquí previstas no fueron ni serán imputados en la declaración del impuesto sobre las ventas correspondiente. Si dichos valores fueron utilizados, el retenido deberá reintegrarlos al retenedor. </w:t>
      </w:r>
    </w:p>
    <w:p w14:paraId="47CC295D" w14:textId="77777777" w:rsidR="00B2442D" w:rsidRDefault="008A645F">
      <w:pPr>
        <w:jc w:val="both"/>
        <w:rPr>
          <w:rFonts w:ascii="Arial" w:hAnsi="Arial" w:cs="Arial"/>
          <w:lang w:val="es-CO"/>
        </w:rPr>
      </w:pPr>
      <w:r>
        <w:rPr>
          <w:rFonts w:ascii="Arial" w:hAnsi="Arial" w:cs="Arial"/>
          <w:lang w:val="es-CO"/>
        </w:rPr>
        <w:t xml:space="preserve"> </w:t>
      </w:r>
    </w:p>
    <w:p w14:paraId="7E5BA00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que proceda el descuento, el </w:t>
      </w:r>
      <w:r>
        <w:rPr>
          <w:rFonts w:ascii="Arial" w:hAnsi="Arial" w:cs="Arial"/>
          <w:lang w:val="es-CO"/>
        </w:rPr>
        <w:t>retenedor deberá anular el certificado de retención del impuesto sobre las ventas y expedir uno nuevo sobre la parte sometida retención, cuando fuere el caso.</w:t>
      </w:r>
    </w:p>
    <w:p w14:paraId="1C16867B" w14:textId="77777777" w:rsidR="00B2442D" w:rsidRDefault="00B2442D">
      <w:pPr>
        <w:jc w:val="both"/>
        <w:rPr>
          <w:rFonts w:ascii="Arial" w:hAnsi="Arial" w:cs="Arial"/>
          <w:i/>
          <w:lang w:val="es-CO"/>
        </w:rPr>
      </w:pPr>
    </w:p>
    <w:p w14:paraId="2731EC09" w14:textId="77777777" w:rsidR="00B2442D" w:rsidRDefault="008A645F">
      <w:pPr>
        <w:jc w:val="both"/>
        <w:rPr>
          <w:rFonts w:ascii="Arial" w:hAnsi="Arial" w:cs="Arial"/>
          <w:i/>
          <w:lang w:val="es-CO"/>
        </w:rPr>
      </w:pPr>
      <w:r>
        <w:rPr>
          <w:rFonts w:ascii="Arial" w:hAnsi="Arial" w:cs="Arial"/>
          <w:i/>
          <w:lang w:val="es-CO"/>
        </w:rPr>
        <w:t>(Art. 11, Decreto 0380 de 1996)</w:t>
      </w:r>
    </w:p>
    <w:p w14:paraId="4138D675" w14:textId="77777777" w:rsidR="00B2442D" w:rsidRDefault="00B2442D">
      <w:pPr>
        <w:jc w:val="both"/>
        <w:rPr>
          <w:rFonts w:ascii="Arial" w:hAnsi="Arial" w:cs="Arial"/>
          <w:i/>
          <w:lang w:val="es-ES_tradnl"/>
        </w:rPr>
      </w:pPr>
    </w:p>
    <w:p w14:paraId="3C882164" w14:textId="77777777" w:rsidR="00B2442D" w:rsidRDefault="008A645F">
      <w:pPr>
        <w:pStyle w:val="Ttulo3"/>
      </w:pPr>
      <w:bookmarkStart w:id="24" w:name="_Toc479171179"/>
      <w:r>
        <w:t>TÍTULO 3</w:t>
      </w:r>
      <w:bookmarkEnd w:id="24"/>
    </w:p>
    <w:p w14:paraId="4D75DFD4" w14:textId="77777777" w:rsidR="00B2442D" w:rsidRDefault="008A645F">
      <w:pPr>
        <w:pStyle w:val="Ttulo3"/>
      </w:pPr>
      <w:bookmarkStart w:id="25" w:name="_Toc479171180"/>
      <w:r>
        <w:t>Impuesto nacional al consumo</w:t>
      </w:r>
      <w:bookmarkEnd w:id="25"/>
    </w:p>
    <w:p w14:paraId="3E18B470" w14:textId="77777777" w:rsidR="00B2442D" w:rsidRDefault="00B2442D">
      <w:pPr>
        <w:jc w:val="both"/>
        <w:rPr>
          <w:rFonts w:ascii="Arial" w:hAnsi="Arial" w:cs="Arial"/>
          <w:lang w:val="es-CO"/>
        </w:rPr>
      </w:pPr>
    </w:p>
    <w:p w14:paraId="54CF0028"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 xml:space="preserve">Tarifas del impuesto nacional al consumo aplicables a las Pick up. </w:t>
      </w:r>
      <w:r>
        <w:rPr>
          <w:rFonts w:ascii="Arial" w:hAnsi="Arial" w:cs="Arial"/>
          <w:lang w:val="es-CO"/>
        </w:rPr>
        <w:t>La venta de Pick-up se encuentra gravada con el impuesto nacional al consumo. Se entienden por Pick up los vehículos automotores de cuatro ruedas clasificados en la partida 87.04 del arance</w:t>
      </w:r>
      <w:r>
        <w:rPr>
          <w:rFonts w:ascii="Arial" w:hAnsi="Arial" w:cs="Arial"/>
          <w:lang w:val="es-CO"/>
        </w:rPr>
        <w:t>l de aduanas, de peso total con carga máxima (peso bruto vehicular) igual o inferior a diez mil libras americanas, destinado principalmente para el transporte de mercancías, cuya caja, platón furgón, estacas u otros receptáculos destinados a portar la carg</w:t>
      </w:r>
      <w:r>
        <w:rPr>
          <w:rFonts w:ascii="Arial" w:hAnsi="Arial" w:cs="Arial"/>
          <w:lang w:val="es-CO"/>
        </w:rPr>
        <w:t>a, una vez instalados, quedan fijados a un chasis o bastidor independiente y están separados de una cabina cerrada, que puede ser sencilla, semidoble o doble para el conductor y los pasajeros.</w:t>
      </w:r>
    </w:p>
    <w:p w14:paraId="2445E5B6" w14:textId="77777777" w:rsidR="00B2442D" w:rsidRDefault="00B2442D">
      <w:pPr>
        <w:jc w:val="both"/>
        <w:rPr>
          <w:rFonts w:ascii="Arial" w:hAnsi="Arial" w:cs="Arial"/>
          <w:lang w:val="es-CO"/>
        </w:rPr>
      </w:pPr>
    </w:p>
    <w:p w14:paraId="288A2F2A" w14:textId="77777777" w:rsidR="00B2442D" w:rsidRDefault="008A645F">
      <w:pPr>
        <w:jc w:val="both"/>
        <w:rPr>
          <w:rFonts w:ascii="Arial" w:hAnsi="Arial" w:cs="Arial"/>
          <w:lang w:val="es-CO"/>
        </w:rPr>
      </w:pPr>
      <w:r>
        <w:rPr>
          <w:rFonts w:ascii="Arial" w:hAnsi="Arial" w:cs="Arial"/>
          <w:lang w:val="es-CO"/>
        </w:rPr>
        <w:t>Las tarifas aplicables por concepto de impuesto nacional al co</w:t>
      </w:r>
      <w:r>
        <w:rPr>
          <w:rFonts w:ascii="Arial" w:hAnsi="Arial" w:cs="Arial"/>
          <w:lang w:val="es-CO"/>
        </w:rPr>
        <w:t>nsumo en la venta de Pick up, de acuerdo con los artículos 512-3 y 512-4 del Estatuto Tributario, son las siguientes:</w:t>
      </w:r>
    </w:p>
    <w:p w14:paraId="58403300" w14:textId="77777777" w:rsidR="00B2442D" w:rsidRDefault="00B2442D">
      <w:pPr>
        <w:jc w:val="both"/>
        <w:rPr>
          <w:rFonts w:ascii="Arial" w:hAnsi="Arial" w:cs="Arial"/>
          <w:lang w:val="es-CO"/>
        </w:rPr>
      </w:pPr>
    </w:p>
    <w:p w14:paraId="31F1718D"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Tarifa del ocho por ciento (8%): Pick up cuyo valor FOB o el equivalente del valor FOB, sea inferior a USD $30.000, con sus accesorios</w:t>
      </w:r>
      <w:r>
        <w:rPr>
          <w:rFonts w:ascii="Arial" w:hAnsi="Arial" w:cs="Arial"/>
          <w:lang w:val="es-CO"/>
        </w:rPr>
        <w:t>.</w:t>
      </w:r>
    </w:p>
    <w:p w14:paraId="169DECF1" w14:textId="77777777" w:rsidR="00B2442D" w:rsidRDefault="00B2442D">
      <w:pPr>
        <w:ind w:left="284" w:hanging="284"/>
        <w:jc w:val="both"/>
        <w:rPr>
          <w:rFonts w:ascii="Arial" w:hAnsi="Arial" w:cs="Arial"/>
          <w:lang w:val="es-CO"/>
        </w:rPr>
      </w:pPr>
    </w:p>
    <w:p w14:paraId="43978E4D"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Tarifa del diez y seis por ciento (16%): Pick up cuyo valor FOB o el equivalente del valor FOB, sea igual o superior a USD $30.000, con sus accesorios.</w:t>
      </w:r>
    </w:p>
    <w:p w14:paraId="283AF505" w14:textId="77777777" w:rsidR="00B2442D" w:rsidRDefault="00B2442D">
      <w:pPr>
        <w:jc w:val="both"/>
        <w:rPr>
          <w:rFonts w:ascii="Arial" w:hAnsi="Arial" w:cs="Arial"/>
          <w:lang w:val="es-CO"/>
        </w:rPr>
      </w:pPr>
    </w:p>
    <w:p w14:paraId="78D67A8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venta de los demás vehículos para el transporte de mercancías de la partida arancel</w:t>
      </w:r>
      <w:r>
        <w:rPr>
          <w:rFonts w:ascii="Arial" w:hAnsi="Arial" w:cs="Arial"/>
          <w:lang w:val="es-CO"/>
        </w:rPr>
        <w:t>aria 87.04, de que tratan los numerales 3 y 8 del artículo 512-5 del Estatuto Tributario, están excluidos del impuesto nacional al consumo.</w:t>
      </w:r>
    </w:p>
    <w:p w14:paraId="5726C82F" w14:textId="77777777" w:rsidR="00B2442D" w:rsidRDefault="00B2442D">
      <w:pPr>
        <w:jc w:val="both"/>
        <w:rPr>
          <w:rFonts w:ascii="Arial" w:hAnsi="Arial" w:cs="Arial"/>
          <w:lang w:val="es-CO"/>
        </w:rPr>
      </w:pPr>
    </w:p>
    <w:p w14:paraId="05DA8FC4" w14:textId="77777777" w:rsidR="00B2442D" w:rsidRDefault="008A645F">
      <w:pPr>
        <w:jc w:val="both"/>
        <w:rPr>
          <w:rFonts w:ascii="Arial" w:hAnsi="Arial" w:cs="Arial"/>
          <w:i/>
          <w:lang w:val="es-CO"/>
        </w:rPr>
      </w:pPr>
      <w:r>
        <w:rPr>
          <w:rFonts w:ascii="Arial" w:hAnsi="Arial" w:cs="Arial"/>
          <w:i/>
          <w:lang w:val="es-CO"/>
        </w:rPr>
        <w:t>(Art. 29, Decreto 1794 de 2013)</w:t>
      </w:r>
    </w:p>
    <w:p w14:paraId="2CC9F9C4" w14:textId="77777777" w:rsidR="00B2442D" w:rsidRDefault="00B2442D">
      <w:pPr>
        <w:jc w:val="both"/>
        <w:rPr>
          <w:rFonts w:ascii="Arial" w:hAnsi="Arial" w:cs="Arial"/>
          <w:lang w:val="es-CO"/>
        </w:rPr>
      </w:pPr>
    </w:p>
    <w:p w14:paraId="5B7FAA72"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Servicio de restaurante y bar prestado en clubes sociales.</w:t>
      </w:r>
      <w:r>
        <w:rPr>
          <w:rFonts w:ascii="Arial" w:hAnsi="Arial" w:cs="Arial"/>
          <w:lang w:val="es-CO"/>
        </w:rPr>
        <w:t xml:space="preserve"> De conformidad con lo d</w:t>
      </w:r>
      <w:r>
        <w:rPr>
          <w:rFonts w:ascii="Arial" w:hAnsi="Arial" w:cs="Arial"/>
          <w:lang w:val="es-CO"/>
        </w:rPr>
        <w:t>ispuesto en el parágrafo del artículo 512-12 del Estatuto Tributario, el servicio de restaurante y bar, prestado en clubes sociales, se encuentra gravado con el impuesto nacional al consumo, sobre las bases gravables establecidas en los artículos 512-9 y 5</w:t>
      </w:r>
      <w:r>
        <w:rPr>
          <w:rFonts w:ascii="Arial" w:hAnsi="Arial" w:cs="Arial"/>
          <w:lang w:val="es-CO"/>
        </w:rPr>
        <w:t>12-11 del mismo Estatuto, respectivamente.</w:t>
      </w:r>
    </w:p>
    <w:p w14:paraId="4BBAB3E0" w14:textId="77777777" w:rsidR="00B2442D" w:rsidRDefault="00B2442D">
      <w:pPr>
        <w:jc w:val="both"/>
        <w:rPr>
          <w:rFonts w:ascii="Arial" w:hAnsi="Arial" w:cs="Arial"/>
          <w:lang w:val="es-CO"/>
        </w:rPr>
      </w:pPr>
    </w:p>
    <w:p w14:paraId="549377C2" w14:textId="77777777" w:rsidR="00B2442D" w:rsidRDefault="008A645F">
      <w:pPr>
        <w:jc w:val="both"/>
        <w:rPr>
          <w:rFonts w:ascii="Arial" w:hAnsi="Arial" w:cs="Arial"/>
          <w:lang w:val="es-CO"/>
        </w:rPr>
      </w:pPr>
      <w:r>
        <w:rPr>
          <w:rFonts w:ascii="Arial" w:hAnsi="Arial" w:cs="Arial"/>
          <w:lang w:val="es-CO"/>
        </w:rPr>
        <w:t>Cuando el servicio de restaurante y bar sea prestado directamente por el club social, el impuesto nacional al consumo se genera sobre su respectiva base gravable. La base gravable especial contemplada en el artíc</w:t>
      </w:r>
      <w:r>
        <w:rPr>
          <w:rFonts w:ascii="Arial" w:hAnsi="Arial" w:cs="Arial"/>
          <w:lang w:val="es-CO"/>
        </w:rPr>
        <w:t>ulo 460 del Estatuto Tributario, aplica únicamente para efectos del impuesto sobre las ventas por los demás ingresos percibidos por el club social en razón de su actividad.</w:t>
      </w:r>
    </w:p>
    <w:p w14:paraId="38663015" w14:textId="77777777" w:rsidR="00B2442D" w:rsidRDefault="00B2442D">
      <w:pPr>
        <w:jc w:val="both"/>
        <w:rPr>
          <w:rFonts w:ascii="Arial" w:hAnsi="Arial" w:cs="Arial"/>
          <w:lang w:val="es-CO"/>
        </w:rPr>
      </w:pPr>
    </w:p>
    <w:p w14:paraId="434F70F7" w14:textId="77777777" w:rsidR="00B2442D" w:rsidRDefault="008A645F">
      <w:pPr>
        <w:jc w:val="both"/>
        <w:rPr>
          <w:rFonts w:ascii="Arial" w:hAnsi="Arial" w:cs="Arial"/>
          <w:i/>
          <w:lang w:val="es-CO"/>
        </w:rPr>
      </w:pPr>
      <w:r>
        <w:rPr>
          <w:rFonts w:ascii="Arial" w:hAnsi="Arial" w:cs="Arial"/>
          <w:i/>
          <w:lang w:val="es-CO"/>
        </w:rPr>
        <w:t>(Art. 3, Decreto 0803 de 2013)</w:t>
      </w:r>
    </w:p>
    <w:p w14:paraId="59AD9DAE" w14:textId="77777777" w:rsidR="00B2442D" w:rsidRDefault="00B2442D">
      <w:pPr>
        <w:jc w:val="both"/>
        <w:rPr>
          <w:rFonts w:ascii="Arial" w:hAnsi="Arial" w:cs="Arial"/>
          <w:lang w:val="es-CO"/>
        </w:rPr>
      </w:pPr>
    </w:p>
    <w:p w14:paraId="7486EFE7"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Servicio de restaurante y bar prestado en establec</w:t>
      </w:r>
      <w:r>
        <w:rPr>
          <w:rFonts w:ascii="Arial" w:hAnsi="Arial" w:cs="Arial"/>
          <w:b/>
          <w:i/>
          <w:lang w:val="es-CO"/>
        </w:rPr>
        <w:t>imientos comerciales con actividades mixtas.</w:t>
      </w:r>
      <w:r>
        <w:rPr>
          <w:rFonts w:ascii="Arial" w:hAnsi="Arial" w:cs="Arial"/>
          <w:lang w:val="es-CO"/>
        </w:rPr>
        <w:t xml:space="preserve"> De conformidad con lo dispuesto en el artículo 512-1 del Estatuto Tributario, los servicios de restaurantes y bares prestados en establecimientos comerciales con actividades mixtas, se encontrarán gravados con e</w:t>
      </w:r>
      <w:r>
        <w:rPr>
          <w:rFonts w:ascii="Arial" w:hAnsi="Arial" w:cs="Arial"/>
          <w:lang w:val="es-CO"/>
        </w:rPr>
        <w:t>l impuesto nacional al consumo de manera independiente a las demás actividades, a las cuales les serán aplicables las disposiciones generales del impuesto sobre las ventas. Lo anterior, sin perjuicio de lo establecido en el artículo 1.3.3.7 del presente De</w:t>
      </w:r>
      <w:r>
        <w:rPr>
          <w:rFonts w:ascii="Arial" w:hAnsi="Arial" w:cs="Arial"/>
          <w:lang w:val="es-CO"/>
        </w:rPr>
        <w:t>creto.</w:t>
      </w:r>
    </w:p>
    <w:p w14:paraId="77AE6CFF" w14:textId="77777777" w:rsidR="00B2442D" w:rsidRDefault="00B2442D">
      <w:pPr>
        <w:jc w:val="both"/>
        <w:rPr>
          <w:rFonts w:ascii="Arial" w:hAnsi="Arial" w:cs="Arial"/>
          <w:lang w:val="es-CO"/>
        </w:rPr>
      </w:pPr>
    </w:p>
    <w:p w14:paraId="79986B0B" w14:textId="77777777" w:rsidR="00B2442D" w:rsidRDefault="008A645F">
      <w:pPr>
        <w:jc w:val="both"/>
        <w:rPr>
          <w:rFonts w:ascii="Arial" w:hAnsi="Arial" w:cs="Arial"/>
          <w:i/>
          <w:lang w:val="es-CO"/>
        </w:rPr>
      </w:pPr>
      <w:r>
        <w:rPr>
          <w:rFonts w:ascii="Arial" w:hAnsi="Arial" w:cs="Arial"/>
          <w:i/>
          <w:lang w:val="es-CO"/>
        </w:rPr>
        <w:t>(Art. 4, Decreto 0803 de 2013)</w:t>
      </w:r>
    </w:p>
    <w:p w14:paraId="674F814D" w14:textId="77777777" w:rsidR="00B2442D" w:rsidRDefault="00B2442D">
      <w:pPr>
        <w:jc w:val="both"/>
        <w:rPr>
          <w:rFonts w:ascii="Arial" w:hAnsi="Arial" w:cs="Arial"/>
          <w:lang w:val="es-CO"/>
        </w:rPr>
      </w:pPr>
    </w:p>
    <w:p w14:paraId="70204DFF"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Establecimientos que prestan el servicio de restaurante excluido del impuesto al consumo y responsables del impuesto sobre las ventas.</w:t>
      </w:r>
      <w:r>
        <w:rPr>
          <w:rFonts w:ascii="Arial" w:hAnsi="Arial" w:cs="Arial"/>
          <w:lang w:val="es-CO"/>
        </w:rPr>
        <w:t xml:space="preserve"> Pertenecen al régimen común del impuesto sobre las ventas, en consideración a lo previsto en el parágrafo del artículo 512-9 del Estatuto Tributario, las personas naturales y jurídicas en cuyos establecimientos de comercio, locales o negocios específicos,</w:t>
      </w:r>
      <w:r>
        <w:rPr>
          <w:rFonts w:ascii="Arial" w:hAnsi="Arial" w:cs="Arial"/>
          <w:lang w:val="es-CO"/>
        </w:rPr>
        <w:t xml:space="preserve"> se desarrollen actividades bajo franquicia, concesión, regalía o cualquier otra forma de explotación de intangibles.</w:t>
      </w:r>
    </w:p>
    <w:p w14:paraId="225D267A" w14:textId="77777777" w:rsidR="00B2442D" w:rsidRDefault="00B2442D">
      <w:pPr>
        <w:jc w:val="both"/>
        <w:rPr>
          <w:rFonts w:ascii="Arial" w:hAnsi="Arial" w:cs="Arial"/>
          <w:lang w:val="es-CO"/>
        </w:rPr>
      </w:pPr>
    </w:p>
    <w:p w14:paraId="6A99CD17" w14:textId="77777777" w:rsidR="00B2442D" w:rsidRDefault="008A645F">
      <w:pPr>
        <w:jc w:val="both"/>
        <w:rPr>
          <w:rFonts w:ascii="Arial" w:hAnsi="Arial" w:cs="Arial"/>
          <w:i/>
          <w:lang w:val="es-CO"/>
        </w:rPr>
      </w:pPr>
      <w:r>
        <w:rPr>
          <w:rFonts w:ascii="Arial" w:hAnsi="Arial" w:cs="Arial"/>
          <w:i/>
          <w:lang w:val="es-CO"/>
        </w:rPr>
        <w:t>(Art. 5, Decreto 0803 de 2013, la expresión “y jurídicas” del inciso primero tiene decaimiento por la evolución normativa (Art. 512-13 de</w:t>
      </w:r>
      <w:r>
        <w:rPr>
          <w:rFonts w:ascii="Arial" w:hAnsi="Arial" w:cs="Arial"/>
          <w:i/>
          <w:lang w:val="es-CO"/>
        </w:rPr>
        <w:t>l Estatuto Tributario modificado por el artículo 51 de la Ley 1739 de 2014)</w:t>
      </w:r>
    </w:p>
    <w:p w14:paraId="295DE318" w14:textId="77777777" w:rsidR="00B2442D" w:rsidRDefault="00B2442D">
      <w:pPr>
        <w:jc w:val="both"/>
        <w:rPr>
          <w:rFonts w:ascii="Arial" w:hAnsi="Arial" w:cs="Arial"/>
          <w:lang w:val="es-CO"/>
        </w:rPr>
      </w:pPr>
    </w:p>
    <w:p w14:paraId="11DDCD3D"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Servicio de restaurante y bares en fundaciones y corporaciones.</w:t>
      </w:r>
      <w:r>
        <w:rPr>
          <w:rFonts w:ascii="Arial" w:hAnsi="Arial" w:cs="Arial"/>
          <w:lang w:val="es-CO"/>
        </w:rPr>
        <w:t xml:space="preserve"> De conformidad con el artículo 512-1 del Estatuto Tributario, los servicios de restaurante y bar prestados por fund</w:t>
      </w:r>
      <w:r>
        <w:rPr>
          <w:rFonts w:ascii="Arial" w:hAnsi="Arial" w:cs="Arial"/>
          <w:lang w:val="es-CO"/>
        </w:rPr>
        <w:t>aciones y corporaciones, ya sea directamente o a través de terceros, se encuentran gravados con el impuesto nacional al consumo, sobre las bases gravables establecidas en los artículos 512-9 y 512-11 del Estatuto Tributario, respectivamente.</w:t>
      </w:r>
    </w:p>
    <w:p w14:paraId="05175583" w14:textId="77777777" w:rsidR="00B2442D" w:rsidRDefault="00B2442D">
      <w:pPr>
        <w:jc w:val="both"/>
        <w:rPr>
          <w:rFonts w:ascii="Arial" w:hAnsi="Arial" w:cs="Arial"/>
          <w:lang w:val="es-CO"/>
        </w:rPr>
      </w:pPr>
    </w:p>
    <w:p w14:paraId="6B38267A" w14:textId="77777777" w:rsidR="00B2442D" w:rsidRDefault="008A645F">
      <w:pPr>
        <w:jc w:val="both"/>
        <w:rPr>
          <w:rFonts w:ascii="Arial" w:hAnsi="Arial" w:cs="Arial"/>
          <w:i/>
          <w:lang w:val="es-CO"/>
        </w:rPr>
      </w:pPr>
      <w:r>
        <w:rPr>
          <w:rFonts w:ascii="Arial" w:hAnsi="Arial" w:cs="Arial"/>
          <w:i/>
          <w:lang w:val="es-CO"/>
        </w:rPr>
        <w:t>(Art. 30, Dec</w:t>
      </w:r>
      <w:r>
        <w:rPr>
          <w:rFonts w:ascii="Arial" w:hAnsi="Arial" w:cs="Arial"/>
          <w:i/>
          <w:lang w:val="es-CO"/>
        </w:rPr>
        <w:t>reto 1794 de 2013)</w:t>
      </w:r>
    </w:p>
    <w:p w14:paraId="642916BF" w14:textId="77777777" w:rsidR="00B2442D" w:rsidRDefault="00B2442D">
      <w:pPr>
        <w:rPr>
          <w:rFonts w:ascii="Arial" w:hAnsi="Arial" w:cs="Arial"/>
          <w:lang w:val="es-CO"/>
        </w:rPr>
      </w:pPr>
    </w:p>
    <w:p w14:paraId="175A841E"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Exclusiones de la base gravable del impuesto nacional al consumo en servicio de restaurante y bar.</w:t>
      </w:r>
      <w:r>
        <w:rPr>
          <w:rFonts w:ascii="Arial" w:hAnsi="Arial" w:cs="Arial"/>
          <w:lang w:val="es-CO"/>
        </w:rPr>
        <w:t xml:space="preserve"> De conformidad con lo establecido en los artículos 512-9 y 512-11 del Estatuto Tributario, la base gravable del impuesto nacional al cons</w:t>
      </w:r>
      <w:r>
        <w:rPr>
          <w:rFonts w:ascii="Arial" w:hAnsi="Arial" w:cs="Arial"/>
          <w:lang w:val="es-CO"/>
        </w:rPr>
        <w:t>umo, en el servicio prestado por los restaurantes y bares, está conformada por el precio total de consumo, incluidas las bebidas acompañantes de todo tipo y demás valores adicionales.</w:t>
      </w:r>
    </w:p>
    <w:p w14:paraId="068B2780" w14:textId="77777777" w:rsidR="00B2442D" w:rsidRDefault="00B2442D">
      <w:pPr>
        <w:jc w:val="both"/>
        <w:rPr>
          <w:rFonts w:ascii="Arial" w:hAnsi="Arial" w:cs="Arial"/>
          <w:lang w:val="es-CO"/>
        </w:rPr>
      </w:pPr>
    </w:p>
    <w:p w14:paraId="2377209C" w14:textId="77777777" w:rsidR="00B2442D" w:rsidRDefault="008A645F">
      <w:pPr>
        <w:jc w:val="both"/>
        <w:rPr>
          <w:rFonts w:ascii="Arial" w:hAnsi="Arial" w:cs="Arial"/>
          <w:lang w:val="es-CO"/>
        </w:rPr>
      </w:pPr>
      <w:r>
        <w:rPr>
          <w:rFonts w:ascii="Arial" w:hAnsi="Arial" w:cs="Arial"/>
          <w:lang w:val="es-CO"/>
        </w:rPr>
        <w:t>No hacen parte de la base gravable del impuesto nacional al consumo, lo</w:t>
      </w:r>
      <w:r>
        <w:rPr>
          <w:rFonts w:ascii="Arial" w:hAnsi="Arial" w:cs="Arial"/>
          <w:lang w:val="es-CO"/>
        </w:rPr>
        <w:t>s alimentos excluidos del impuesto sobre las ventas que se vendan sin transformaciones o preparaciones adicionales, esto es, que no se efectúen cambios en su forma o presentación original.</w:t>
      </w:r>
    </w:p>
    <w:p w14:paraId="2C2AC29C" w14:textId="77777777" w:rsidR="00B2442D" w:rsidRDefault="00B2442D">
      <w:pPr>
        <w:jc w:val="both"/>
        <w:rPr>
          <w:rFonts w:ascii="Arial" w:hAnsi="Arial" w:cs="Arial"/>
          <w:lang w:val="es-CO"/>
        </w:rPr>
      </w:pPr>
    </w:p>
    <w:p w14:paraId="7F78AE83" w14:textId="77777777" w:rsidR="00B2442D" w:rsidRDefault="008A645F">
      <w:pPr>
        <w:jc w:val="both"/>
        <w:rPr>
          <w:rFonts w:ascii="Arial" w:hAnsi="Arial" w:cs="Arial"/>
          <w:lang w:val="es-CO"/>
        </w:rPr>
      </w:pPr>
      <w:r>
        <w:rPr>
          <w:rFonts w:ascii="Arial" w:hAnsi="Arial" w:cs="Arial"/>
          <w:lang w:val="es-CO"/>
        </w:rPr>
        <w:t xml:space="preserve">Las propinas, por ser voluntarias, tampoco hacen parte de la base </w:t>
      </w:r>
      <w:r>
        <w:rPr>
          <w:rFonts w:ascii="Arial" w:hAnsi="Arial" w:cs="Arial"/>
          <w:lang w:val="es-CO"/>
        </w:rPr>
        <w:t>gravable del impuesto nacional al consumo en el servicio de restaurante y bar.</w:t>
      </w:r>
    </w:p>
    <w:p w14:paraId="53CBE19B" w14:textId="77777777" w:rsidR="00B2442D" w:rsidRDefault="00B2442D">
      <w:pPr>
        <w:jc w:val="both"/>
        <w:rPr>
          <w:rFonts w:ascii="Arial" w:hAnsi="Arial" w:cs="Arial"/>
          <w:lang w:val="es-CO"/>
        </w:rPr>
      </w:pPr>
    </w:p>
    <w:p w14:paraId="4F9AE7A0" w14:textId="77777777" w:rsidR="00B2442D" w:rsidRDefault="008A645F">
      <w:pPr>
        <w:jc w:val="both"/>
        <w:rPr>
          <w:rFonts w:ascii="Arial" w:hAnsi="Arial" w:cs="Arial"/>
          <w:i/>
          <w:lang w:val="es-CO"/>
        </w:rPr>
      </w:pPr>
      <w:r>
        <w:rPr>
          <w:rFonts w:ascii="Arial" w:hAnsi="Arial" w:cs="Arial"/>
          <w:i/>
          <w:lang w:val="es-CO"/>
        </w:rPr>
        <w:t>(Art. 1, Decreto 0803 de 2013)</w:t>
      </w:r>
    </w:p>
    <w:p w14:paraId="04B4C9AF" w14:textId="77777777" w:rsidR="00B2442D" w:rsidRDefault="00B2442D">
      <w:pPr>
        <w:jc w:val="both"/>
        <w:rPr>
          <w:rFonts w:ascii="Arial" w:hAnsi="Arial" w:cs="Arial"/>
          <w:lang w:val="es-CO"/>
        </w:rPr>
      </w:pPr>
    </w:p>
    <w:p w14:paraId="26A9E8E9"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Disposiciones específicas para los responsables del régimen simplificado del impuesto nacional al consumo de restaurantes y bares.</w:t>
      </w:r>
      <w:r>
        <w:rPr>
          <w:rFonts w:ascii="Arial" w:hAnsi="Arial" w:cs="Arial"/>
          <w:lang w:val="es-CO"/>
        </w:rPr>
        <w:t xml:space="preserve"> Las personas </w:t>
      </w:r>
      <w:r>
        <w:rPr>
          <w:rFonts w:ascii="Arial" w:hAnsi="Arial" w:cs="Arial"/>
          <w:lang w:val="es-CO"/>
        </w:rPr>
        <w:t>naturales que presten el servicio de restaurante y el de bares y similares, conforme a lo previsto en el numeral 3 del artículo 512-1 del Estatuto Tributario, que en el año anterior hubieren obtenido ingresos brutos totales, provenientes de la prestación d</w:t>
      </w:r>
      <w:r>
        <w:rPr>
          <w:rFonts w:ascii="Arial" w:hAnsi="Arial" w:cs="Arial"/>
          <w:lang w:val="es-CO"/>
        </w:rPr>
        <w:t>el servicio de restaurantes y bares, inferiores a cuatro mil (4.000) UVT, pertenecen al régimen simplificado del impuesto nacional al consumo de restaurantes y bares y deberán observar las siguientes obligaciones y prohibiciones:</w:t>
      </w:r>
    </w:p>
    <w:p w14:paraId="5F58FE2C" w14:textId="77777777" w:rsidR="00B2442D" w:rsidRDefault="00B2442D">
      <w:pPr>
        <w:jc w:val="both"/>
        <w:rPr>
          <w:rFonts w:ascii="Arial" w:hAnsi="Arial" w:cs="Arial"/>
          <w:lang w:val="es-CO"/>
        </w:rPr>
      </w:pPr>
    </w:p>
    <w:p w14:paraId="741BBB6B"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Obligación de inscribi</w:t>
      </w:r>
      <w:r>
        <w:rPr>
          <w:rFonts w:ascii="Arial" w:hAnsi="Arial" w:cs="Arial"/>
          <w:lang w:val="es-CO"/>
        </w:rPr>
        <w:t>rse en el Registro Único Tributario RUT;</w:t>
      </w:r>
    </w:p>
    <w:p w14:paraId="66F1E51D" w14:textId="77777777" w:rsidR="00B2442D" w:rsidRDefault="00B2442D">
      <w:pPr>
        <w:ind w:left="426" w:hanging="426"/>
        <w:jc w:val="both"/>
        <w:rPr>
          <w:rFonts w:ascii="Arial" w:hAnsi="Arial" w:cs="Arial"/>
          <w:lang w:val="es-CO"/>
        </w:rPr>
      </w:pPr>
    </w:p>
    <w:p w14:paraId="68EF8371"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Prohibición de cobrar, por los servicios que presten, suma alguna por concepto del impuesto nacional al consumo de restaurantes y bares. Si lo hicieren, deberán cumplir íntegramente con las obligaciones de quien</w:t>
      </w:r>
      <w:r>
        <w:rPr>
          <w:rFonts w:ascii="Arial" w:hAnsi="Arial" w:cs="Arial"/>
          <w:lang w:val="es-CO"/>
        </w:rPr>
        <w:t>es son responsables de dicho impuesto, incluyendo la presentación de la correspondiente declaración y pago.</w:t>
      </w:r>
    </w:p>
    <w:p w14:paraId="47927432" w14:textId="77777777" w:rsidR="00B2442D" w:rsidRDefault="00B2442D">
      <w:pPr>
        <w:ind w:left="426" w:hanging="426"/>
        <w:jc w:val="both"/>
        <w:rPr>
          <w:rFonts w:ascii="Arial" w:hAnsi="Arial" w:cs="Arial"/>
          <w:lang w:val="es-CO"/>
        </w:rPr>
      </w:pPr>
    </w:p>
    <w:p w14:paraId="58807C74"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Prohibición de presentar declaración del impuesto nacional al consumo, salvo lo dispuesto en el literal b) del presente artículo. Si </w:t>
      </w:r>
      <w:r>
        <w:rPr>
          <w:rFonts w:ascii="Arial" w:hAnsi="Arial" w:cs="Arial"/>
          <w:lang w:val="es-CO"/>
        </w:rPr>
        <w:t>aquella se presentare, no producirá efecto legal alguno conforme con lo previsto en el artículo 594-2 del Estatuto Tributario.</w:t>
      </w:r>
    </w:p>
    <w:p w14:paraId="54334342" w14:textId="77777777" w:rsidR="00B2442D" w:rsidRDefault="00B2442D">
      <w:pPr>
        <w:ind w:left="426" w:hanging="426"/>
        <w:jc w:val="both"/>
        <w:rPr>
          <w:rFonts w:ascii="Arial" w:hAnsi="Arial" w:cs="Arial"/>
          <w:lang w:val="es-CO"/>
        </w:rPr>
      </w:pPr>
    </w:p>
    <w:p w14:paraId="4DA82201"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Obligación de expedir factura o documento equivalente, con el cumplimiento de los requisitos legalmente establecidos para los</w:t>
      </w:r>
      <w:r>
        <w:rPr>
          <w:rFonts w:ascii="Arial" w:hAnsi="Arial" w:cs="Arial"/>
          <w:lang w:val="es-CO"/>
        </w:rPr>
        <w:t xml:space="preserve"> obligados a expedirla.</w:t>
      </w:r>
    </w:p>
    <w:p w14:paraId="462D50D6" w14:textId="77777777" w:rsidR="00B2442D" w:rsidRDefault="00B2442D">
      <w:pPr>
        <w:ind w:left="426" w:hanging="426"/>
        <w:jc w:val="both"/>
        <w:rPr>
          <w:rFonts w:ascii="Arial" w:hAnsi="Arial" w:cs="Arial"/>
          <w:lang w:val="es-CO"/>
        </w:rPr>
      </w:pPr>
    </w:p>
    <w:p w14:paraId="5382FEBA"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Obligación de presentar anualmente la declaración simplificada de ingresos para el régimen simplificado del impuesto nacional al consumo, por sus ingresos relacionados con la prestación del servicio de restaurantes y bares, en e</w:t>
      </w:r>
      <w:r>
        <w:rPr>
          <w:rFonts w:ascii="Arial" w:hAnsi="Arial" w:cs="Arial"/>
          <w:lang w:val="es-CO"/>
        </w:rPr>
        <w:t>l formulario que para el efecto defina la Unidad Administrativa Especial Dirección de Impuestos y Aduanas Nacionales. Los vencimientos para la presentación de dicha declaración, se definen de acuerdo al último dígito del NIT, que conste en el Certificado d</w:t>
      </w:r>
      <w:r>
        <w:rPr>
          <w:rFonts w:ascii="Arial" w:hAnsi="Arial" w:cs="Arial"/>
          <w:lang w:val="es-CO"/>
        </w:rPr>
        <w:t>el Registro Único Tributario (RUT), sin tener en cuenta el dígito de verificación.</w:t>
      </w:r>
    </w:p>
    <w:p w14:paraId="63730F5E" w14:textId="77777777" w:rsidR="00B2442D" w:rsidRDefault="00B2442D">
      <w:pPr>
        <w:jc w:val="both"/>
        <w:rPr>
          <w:rFonts w:ascii="Arial" w:hAnsi="Arial" w:cs="Arial"/>
          <w:lang w:val="es-CO"/>
        </w:rPr>
      </w:pPr>
    </w:p>
    <w:p w14:paraId="50217545" w14:textId="77777777" w:rsidR="00B2442D" w:rsidRDefault="008A645F">
      <w:pPr>
        <w:jc w:val="both"/>
        <w:rPr>
          <w:rFonts w:ascii="Arial" w:hAnsi="Arial" w:cs="Arial"/>
          <w:i/>
          <w:lang w:val="es-CO"/>
        </w:rPr>
      </w:pPr>
      <w:r>
        <w:rPr>
          <w:rFonts w:ascii="Arial" w:hAnsi="Arial" w:cs="Arial"/>
          <w:i/>
          <w:lang w:val="es-CO"/>
        </w:rPr>
        <w:t>(Art. 6, Decreto 0803 de 2013)</w:t>
      </w:r>
    </w:p>
    <w:p w14:paraId="2E9CB607" w14:textId="77777777" w:rsidR="00B2442D" w:rsidRDefault="00B2442D">
      <w:pPr>
        <w:rPr>
          <w:rFonts w:ascii="Arial" w:hAnsi="Arial" w:cs="Arial"/>
          <w:lang w:val="es-CO"/>
        </w:rPr>
      </w:pPr>
    </w:p>
    <w:p w14:paraId="4CFFFBD7" w14:textId="77777777" w:rsidR="00B2442D" w:rsidRDefault="008A645F">
      <w:pPr>
        <w:pStyle w:val="Prrafodelista"/>
        <w:numPr>
          <w:ilvl w:val="0"/>
          <w:numId w:val="79"/>
        </w:numPr>
        <w:ind w:left="0" w:firstLine="0"/>
        <w:jc w:val="both"/>
        <w:rPr>
          <w:rFonts w:ascii="Arial" w:hAnsi="Arial" w:cs="Arial"/>
          <w:lang w:val="es-CO"/>
        </w:rPr>
      </w:pPr>
      <w:r>
        <w:rPr>
          <w:rFonts w:ascii="Arial" w:hAnsi="Arial" w:cs="Arial"/>
          <w:b/>
          <w:i/>
          <w:lang w:val="es-CO"/>
        </w:rPr>
        <w:t>Servicios de alimentación prestados bajo contrato catering excluidos del impuesto nacional al consumo y gravados con el impuesto sobre las v</w:t>
      </w:r>
      <w:r>
        <w:rPr>
          <w:rFonts w:ascii="Arial" w:hAnsi="Arial" w:cs="Arial"/>
          <w:b/>
          <w:i/>
          <w:lang w:val="es-CO"/>
        </w:rPr>
        <w:t>entas.</w:t>
      </w:r>
      <w:r>
        <w:rPr>
          <w:rFonts w:ascii="Arial" w:hAnsi="Arial" w:cs="Arial"/>
          <w:lang w:val="es-CO"/>
        </w:rPr>
        <w:t xml:space="preserve"> De conformidad con lo previsto en el parágrafo del artículo 426 del Estatuto Tributario, y en el parágrafo del artículo 512-8 del mismo Estatuto, los servicios de alimentación institucional o alimentación a empresas, prestados bajo contrato </w:t>
      </w:r>
      <w:r>
        <w:rPr>
          <w:rFonts w:ascii="Arial" w:hAnsi="Arial" w:cs="Arial"/>
          <w:i/>
          <w:lang w:val="es-CO"/>
        </w:rPr>
        <w:t>catering</w:t>
      </w:r>
      <w:r>
        <w:rPr>
          <w:rFonts w:ascii="Arial" w:hAnsi="Arial" w:cs="Arial"/>
          <w:lang w:val="es-CO"/>
        </w:rPr>
        <w:t>, entendido este como el suministro de comidas o bebidas preparadas para los empleados de la empresa contratante, se encuentran excluidos del impuesto nacional al consumo y gravados con el impuesto sobre las ventas a la tarifa general.</w:t>
      </w:r>
    </w:p>
    <w:p w14:paraId="136D4405" w14:textId="77777777" w:rsidR="00B2442D" w:rsidRDefault="00B2442D">
      <w:pPr>
        <w:jc w:val="both"/>
        <w:rPr>
          <w:rFonts w:ascii="Arial" w:hAnsi="Arial" w:cs="Arial"/>
          <w:lang w:val="es-CO"/>
        </w:rPr>
      </w:pPr>
    </w:p>
    <w:p w14:paraId="61D73048" w14:textId="77777777" w:rsidR="00B2442D" w:rsidRDefault="008A645F">
      <w:pPr>
        <w:jc w:val="both"/>
        <w:rPr>
          <w:rFonts w:ascii="Arial" w:hAnsi="Arial" w:cs="Arial"/>
          <w:i/>
          <w:lang w:val="es-CO"/>
        </w:rPr>
      </w:pPr>
      <w:r>
        <w:rPr>
          <w:rFonts w:ascii="Arial" w:hAnsi="Arial" w:cs="Arial"/>
          <w:i/>
          <w:lang w:val="es-CO"/>
        </w:rPr>
        <w:t>(Art. 2, Decreto 08</w:t>
      </w:r>
      <w:r>
        <w:rPr>
          <w:rFonts w:ascii="Arial" w:hAnsi="Arial" w:cs="Arial"/>
          <w:i/>
          <w:lang w:val="es-CO"/>
        </w:rPr>
        <w:t>03 de 2013)</w:t>
      </w:r>
    </w:p>
    <w:p w14:paraId="17642A67" w14:textId="77777777" w:rsidR="00B2442D" w:rsidRDefault="00B2442D">
      <w:pPr>
        <w:jc w:val="both"/>
        <w:rPr>
          <w:rFonts w:ascii="Arial" w:hAnsi="Arial" w:cs="Arial"/>
          <w:lang w:val="es-CO"/>
        </w:rPr>
      </w:pPr>
    </w:p>
    <w:p w14:paraId="78BB68A3" w14:textId="77777777" w:rsidR="00B2442D" w:rsidRDefault="008A645F">
      <w:pPr>
        <w:pStyle w:val="Ttulo2"/>
      </w:pPr>
      <w:bookmarkStart w:id="26" w:name="_Toc479171181"/>
      <w:r>
        <w:t>PARTE 4</w:t>
      </w:r>
      <w:bookmarkEnd w:id="26"/>
    </w:p>
    <w:p w14:paraId="48AA3066" w14:textId="77777777" w:rsidR="00B2442D" w:rsidRDefault="008A645F">
      <w:pPr>
        <w:pStyle w:val="Ttulo2"/>
      </w:pPr>
      <w:bookmarkStart w:id="27" w:name="_Toc479171182"/>
      <w:r>
        <w:t>Impuesto de timbre nacional y gravamen a los movimientos financieros - GMF</w:t>
      </w:r>
      <w:bookmarkEnd w:id="27"/>
    </w:p>
    <w:p w14:paraId="440F8435" w14:textId="77777777" w:rsidR="00B2442D" w:rsidRDefault="00B2442D">
      <w:pPr>
        <w:rPr>
          <w:rFonts w:ascii="Arial" w:hAnsi="Arial" w:cs="Arial"/>
          <w:lang w:val="es-CO"/>
        </w:rPr>
      </w:pPr>
    </w:p>
    <w:p w14:paraId="224FC637" w14:textId="77777777" w:rsidR="00B2442D" w:rsidRDefault="008A645F">
      <w:pPr>
        <w:pStyle w:val="Ttulo3"/>
      </w:pPr>
      <w:bookmarkStart w:id="28" w:name="_Toc479171183"/>
      <w:r>
        <w:t>TÍTULO 1</w:t>
      </w:r>
      <w:bookmarkEnd w:id="28"/>
    </w:p>
    <w:p w14:paraId="6973E11A" w14:textId="77777777" w:rsidR="00B2442D" w:rsidRDefault="008A645F">
      <w:pPr>
        <w:pStyle w:val="Ttulo3"/>
      </w:pPr>
      <w:bookmarkStart w:id="29" w:name="_Toc479171184"/>
      <w:r>
        <w:t>Impuesto de timbre nacional</w:t>
      </w:r>
      <w:bookmarkEnd w:id="29"/>
    </w:p>
    <w:p w14:paraId="1D8F9A55" w14:textId="77777777" w:rsidR="00B2442D" w:rsidRDefault="00B2442D">
      <w:pPr>
        <w:pStyle w:val="Ttulo4"/>
        <w:ind w:firstLine="0"/>
        <w:jc w:val="left"/>
        <w:rPr>
          <w:b w:val="0"/>
          <w:lang w:val="es-CO"/>
        </w:rPr>
      </w:pPr>
    </w:p>
    <w:p w14:paraId="29207A55" w14:textId="77777777" w:rsidR="00B2442D" w:rsidRDefault="008A645F">
      <w:pPr>
        <w:pStyle w:val="Ttulo4"/>
        <w:ind w:firstLine="0"/>
      </w:pPr>
      <w:r>
        <w:t>CAPÍTULO 1</w:t>
      </w:r>
    </w:p>
    <w:p w14:paraId="5E01E558" w14:textId="77777777" w:rsidR="00B2442D" w:rsidRDefault="008A645F">
      <w:pPr>
        <w:pStyle w:val="Ttulo4"/>
      </w:pPr>
      <w:r>
        <w:t>Generalidades del impuesto de timbre nacional</w:t>
      </w:r>
    </w:p>
    <w:p w14:paraId="09C85257" w14:textId="77777777" w:rsidR="00B2442D" w:rsidRDefault="00B2442D">
      <w:pPr>
        <w:rPr>
          <w:rFonts w:ascii="Arial" w:hAnsi="Arial" w:cs="Arial"/>
        </w:rPr>
      </w:pPr>
    </w:p>
    <w:p w14:paraId="650B8043" w14:textId="77777777" w:rsidR="00B2442D" w:rsidRDefault="008A645F">
      <w:pPr>
        <w:pStyle w:val="Prrafodelista"/>
        <w:numPr>
          <w:ilvl w:val="0"/>
          <w:numId w:val="80"/>
        </w:numPr>
        <w:ind w:left="0" w:firstLine="0"/>
        <w:jc w:val="both"/>
        <w:rPr>
          <w:rFonts w:ascii="Arial" w:hAnsi="Arial" w:cs="Arial"/>
          <w:lang w:val="es-CO"/>
        </w:rPr>
      </w:pPr>
      <w:r>
        <w:rPr>
          <w:rFonts w:ascii="Arial" w:hAnsi="Arial" w:cs="Arial"/>
          <w:b/>
          <w:i/>
          <w:lang w:val="es-CO"/>
        </w:rPr>
        <w:t>Personas jurídicas y naturales y sus asimiladas.</w:t>
      </w:r>
      <w:r>
        <w:rPr>
          <w:rFonts w:ascii="Arial" w:hAnsi="Arial" w:cs="Arial"/>
          <w:lang w:val="es-CO"/>
        </w:rPr>
        <w:t xml:space="preserve"> Para efectos del impuesto de timbre se consideran asimiladas a personas jurídicas y naturales las señaladas en materia de impuesto de renta y complementario.</w:t>
      </w:r>
    </w:p>
    <w:p w14:paraId="05446E13" w14:textId="77777777" w:rsidR="00B2442D" w:rsidRDefault="00B2442D">
      <w:pPr>
        <w:jc w:val="both"/>
        <w:rPr>
          <w:rFonts w:ascii="Arial" w:hAnsi="Arial" w:cs="Arial"/>
          <w:i/>
          <w:lang w:val="es-CO"/>
        </w:rPr>
      </w:pPr>
    </w:p>
    <w:p w14:paraId="2D3F7950" w14:textId="77777777" w:rsidR="00B2442D" w:rsidRDefault="008A645F">
      <w:pPr>
        <w:jc w:val="both"/>
        <w:rPr>
          <w:rFonts w:ascii="Arial" w:hAnsi="Arial" w:cs="Arial"/>
          <w:i/>
          <w:lang w:val="es-CO"/>
        </w:rPr>
      </w:pPr>
      <w:r>
        <w:rPr>
          <w:rFonts w:ascii="Arial" w:hAnsi="Arial" w:cs="Arial"/>
          <w:i/>
          <w:lang w:val="es-CO"/>
        </w:rPr>
        <w:t>(Art. 22, Decreto 2076 de 1992)</w:t>
      </w:r>
      <w:r>
        <w:rPr>
          <w:rFonts w:ascii="Arial" w:hAnsi="Arial" w:cs="Arial"/>
        </w:rPr>
        <w:t xml:space="preserve"> </w:t>
      </w:r>
      <w:r>
        <w:rPr>
          <w:rFonts w:ascii="Arial" w:hAnsi="Arial" w:cs="Arial"/>
          <w:i/>
          <w:lang w:val="es-CO"/>
        </w:rPr>
        <w:t>(El Decreto 2076 de 1992 rige desde la fecha de su publicación y</w:t>
      </w:r>
      <w:r>
        <w:rPr>
          <w:rFonts w:ascii="Arial" w:hAnsi="Arial" w:cs="Arial"/>
          <w:i/>
          <w:lang w:val="es-CO"/>
        </w:rPr>
        <w:t xml:space="preserve"> deroga además de las normas que le sean contrarias, las siguientes: artículos 13 y 22 del Decreto 1372 de 1992, artículos 4° y 6° del Decreto 1250 de 1992, y el Decreto 2208 de 1991. Art. 44, Decreto 2076 de 1992)</w:t>
      </w:r>
    </w:p>
    <w:p w14:paraId="771DC48E" w14:textId="77777777" w:rsidR="00B2442D" w:rsidRDefault="00B2442D">
      <w:pPr>
        <w:jc w:val="both"/>
        <w:rPr>
          <w:rFonts w:ascii="Arial" w:hAnsi="Arial" w:cs="Arial"/>
          <w:lang w:val="es-CO"/>
        </w:rPr>
      </w:pPr>
    </w:p>
    <w:p w14:paraId="4C0A7B43" w14:textId="77777777" w:rsidR="00B2442D" w:rsidRDefault="008A645F">
      <w:pPr>
        <w:pStyle w:val="Prrafodelista"/>
        <w:numPr>
          <w:ilvl w:val="0"/>
          <w:numId w:val="80"/>
        </w:numPr>
        <w:ind w:left="0" w:firstLine="0"/>
        <w:jc w:val="both"/>
        <w:rPr>
          <w:rFonts w:ascii="Arial" w:hAnsi="Arial" w:cs="Arial"/>
          <w:lang w:val="es-CO"/>
        </w:rPr>
      </w:pPr>
      <w:r>
        <w:rPr>
          <w:rFonts w:ascii="Arial" w:hAnsi="Arial" w:cs="Arial"/>
          <w:b/>
          <w:i/>
          <w:lang w:val="es-CO"/>
        </w:rPr>
        <w:t>Instrumentos públicos gravados con el im</w:t>
      </w:r>
      <w:r>
        <w:rPr>
          <w:rFonts w:ascii="Arial" w:hAnsi="Arial" w:cs="Arial"/>
          <w:b/>
          <w:i/>
          <w:lang w:val="es-CO"/>
        </w:rPr>
        <w:t>puesto.</w:t>
      </w:r>
      <w:r>
        <w:rPr>
          <w:rFonts w:ascii="Arial" w:hAnsi="Arial" w:cs="Arial"/>
          <w:lang w:val="es-CO"/>
        </w:rPr>
        <w:t xml:space="preserve"> Para efectos del impuesto de timbre, se consideran instrumentos públicos sometidos al gravamen, además de los consagrados en los artículos 523, 524 y 525 del Estatuto Tributario, las escrituras públicas en los términos del inciso segundo del artícu</w:t>
      </w:r>
      <w:r>
        <w:rPr>
          <w:rFonts w:ascii="Arial" w:hAnsi="Arial" w:cs="Arial"/>
          <w:lang w:val="es-CO"/>
        </w:rPr>
        <w:t>lo 519 del mismo Estatuto y los contratos administrativos.</w:t>
      </w:r>
    </w:p>
    <w:p w14:paraId="4927A6F6" w14:textId="77777777" w:rsidR="00B2442D" w:rsidRDefault="00B2442D">
      <w:pPr>
        <w:jc w:val="both"/>
        <w:rPr>
          <w:rFonts w:ascii="Arial" w:hAnsi="Arial" w:cs="Arial"/>
          <w:i/>
          <w:lang w:val="es-CO"/>
        </w:rPr>
      </w:pPr>
    </w:p>
    <w:p w14:paraId="113CFB3E" w14:textId="77777777" w:rsidR="00B2442D" w:rsidRDefault="008A645F">
      <w:pPr>
        <w:jc w:val="both"/>
        <w:rPr>
          <w:rFonts w:ascii="Arial" w:hAnsi="Arial" w:cs="Arial"/>
          <w:i/>
          <w:lang w:val="es-CO"/>
        </w:rPr>
      </w:pPr>
      <w:r>
        <w:rPr>
          <w:rFonts w:ascii="Arial" w:hAnsi="Arial" w:cs="Arial"/>
          <w:i/>
          <w:lang w:val="es-CO"/>
        </w:rPr>
        <w:t>(Art. 23,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Decreto 1</w:t>
      </w:r>
      <w:r>
        <w:rPr>
          <w:rFonts w:ascii="Arial" w:hAnsi="Arial" w:cs="Arial"/>
          <w:i/>
          <w:lang w:val="es-CO"/>
        </w:rPr>
        <w:t>372 de 1992, artículos 4° y 6° del Decreto 1250 de 1992, y el Decreto 2208 de 1991. Art. 44, Decreto 2076 de 1992)</w:t>
      </w:r>
    </w:p>
    <w:p w14:paraId="6B7F4520" w14:textId="77777777" w:rsidR="00B2442D" w:rsidRDefault="00B2442D">
      <w:pPr>
        <w:jc w:val="both"/>
        <w:rPr>
          <w:rFonts w:ascii="Arial" w:hAnsi="Arial" w:cs="Arial"/>
          <w:lang w:val="es-CO"/>
        </w:rPr>
      </w:pPr>
    </w:p>
    <w:p w14:paraId="0C8BC108" w14:textId="77777777" w:rsidR="00B2442D" w:rsidRDefault="008A645F">
      <w:pPr>
        <w:pStyle w:val="Prrafodelista"/>
        <w:numPr>
          <w:ilvl w:val="0"/>
          <w:numId w:val="80"/>
        </w:numPr>
        <w:ind w:left="0" w:firstLine="0"/>
        <w:jc w:val="both"/>
        <w:rPr>
          <w:rFonts w:ascii="Arial" w:hAnsi="Arial" w:cs="Arial"/>
          <w:lang w:val="es-CO"/>
        </w:rPr>
      </w:pPr>
      <w:r>
        <w:rPr>
          <w:rFonts w:ascii="Arial" w:hAnsi="Arial" w:cs="Arial"/>
          <w:b/>
          <w:i/>
          <w:lang w:val="es-CO"/>
        </w:rPr>
        <w:t>El impuesto sobre las ventas no forma parte de la base gravable.</w:t>
      </w:r>
      <w:r>
        <w:rPr>
          <w:rFonts w:ascii="Arial" w:hAnsi="Arial" w:cs="Arial"/>
          <w:lang w:val="es-CO"/>
        </w:rPr>
        <w:t xml:space="preserve"> El impuesto sobre las ventas no formará parte de la base gravable del impue</w:t>
      </w:r>
      <w:r>
        <w:rPr>
          <w:rFonts w:ascii="Arial" w:hAnsi="Arial" w:cs="Arial"/>
          <w:lang w:val="es-CO"/>
        </w:rPr>
        <w:t>sto de timbre.</w:t>
      </w:r>
    </w:p>
    <w:p w14:paraId="687912AA" w14:textId="77777777" w:rsidR="00B2442D" w:rsidRDefault="00B2442D">
      <w:pPr>
        <w:jc w:val="both"/>
        <w:rPr>
          <w:rFonts w:ascii="Arial" w:hAnsi="Arial" w:cs="Arial"/>
          <w:i/>
          <w:lang w:val="es-CO"/>
        </w:rPr>
      </w:pPr>
    </w:p>
    <w:p w14:paraId="07CDFDE5" w14:textId="77777777" w:rsidR="00B2442D" w:rsidRDefault="008A645F">
      <w:pPr>
        <w:jc w:val="both"/>
        <w:rPr>
          <w:rFonts w:ascii="Arial" w:hAnsi="Arial" w:cs="Arial"/>
          <w:i/>
          <w:lang w:val="es-CO"/>
        </w:rPr>
      </w:pPr>
      <w:r>
        <w:rPr>
          <w:rFonts w:ascii="Arial" w:hAnsi="Arial" w:cs="Arial"/>
          <w:i/>
          <w:lang w:val="es-CO"/>
        </w:rPr>
        <w:t>(Art. 24,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Decreto 1372 de 1992, artículos 4° y 6° del Decreto 1</w:t>
      </w:r>
      <w:r>
        <w:rPr>
          <w:rFonts w:ascii="Arial" w:hAnsi="Arial" w:cs="Arial"/>
          <w:i/>
          <w:lang w:val="es-CO"/>
        </w:rPr>
        <w:t>250 de 1992, y el Decreto 2208 de 1991. Art. 44, Decreto 2076 de 1992)</w:t>
      </w:r>
    </w:p>
    <w:p w14:paraId="0491F085" w14:textId="77777777" w:rsidR="00B2442D" w:rsidRDefault="00B2442D">
      <w:pPr>
        <w:jc w:val="both"/>
        <w:rPr>
          <w:rFonts w:ascii="Arial" w:hAnsi="Arial" w:cs="Arial"/>
          <w:lang w:val="es-CO"/>
        </w:rPr>
      </w:pPr>
    </w:p>
    <w:p w14:paraId="6DC4C5E0" w14:textId="77777777" w:rsidR="00B2442D" w:rsidRDefault="008A645F">
      <w:pPr>
        <w:pStyle w:val="Prrafodelista"/>
        <w:numPr>
          <w:ilvl w:val="0"/>
          <w:numId w:val="80"/>
        </w:numPr>
        <w:ind w:left="0" w:firstLine="0"/>
        <w:jc w:val="both"/>
        <w:rPr>
          <w:rFonts w:ascii="Arial" w:hAnsi="Arial" w:cs="Arial"/>
          <w:lang w:val="es-CO"/>
        </w:rPr>
      </w:pPr>
      <w:r>
        <w:rPr>
          <w:rFonts w:ascii="Arial" w:hAnsi="Arial" w:cs="Arial"/>
          <w:b/>
          <w:i/>
          <w:lang w:val="es-CO"/>
        </w:rPr>
        <w:t>Concepto de nave.</w:t>
      </w:r>
      <w:r>
        <w:rPr>
          <w:rFonts w:ascii="Arial" w:hAnsi="Arial" w:cs="Arial"/>
          <w:lang w:val="es-CO"/>
        </w:rPr>
        <w:t xml:space="preserve"> Para efectos del impuesto de timbre se entiende por nave, las embarcaciones mayores o aeronaves definidas por el Código de Comercio que para su enajenación o la const</w:t>
      </w:r>
      <w:r>
        <w:rPr>
          <w:rFonts w:ascii="Arial" w:hAnsi="Arial" w:cs="Arial"/>
          <w:lang w:val="es-CO"/>
        </w:rPr>
        <w:t>itución de derechos reales sobre las mismas requieren como solemnidad la escritura pública.</w:t>
      </w:r>
    </w:p>
    <w:p w14:paraId="30E81EFB" w14:textId="77777777" w:rsidR="00B2442D" w:rsidRDefault="00B2442D">
      <w:pPr>
        <w:jc w:val="both"/>
        <w:rPr>
          <w:rFonts w:ascii="Arial" w:hAnsi="Arial" w:cs="Arial"/>
          <w:i/>
          <w:lang w:val="es-CO"/>
        </w:rPr>
      </w:pPr>
    </w:p>
    <w:p w14:paraId="53F95FB8" w14:textId="77777777" w:rsidR="00B2442D" w:rsidRDefault="008A645F">
      <w:pPr>
        <w:jc w:val="both"/>
        <w:rPr>
          <w:rFonts w:ascii="Arial" w:hAnsi="Arial" w:cs="Arial"/>
          <w:i/>
          <w:lang w:val="es-CO"/>
        </w:rPr>
      </w:pPr>
      <w:r>
        <w:rPr>
          <w:rFonts w:ascii="Arial" w:hAnsi="Arial" w:cs="Arial"/>
          <w:i/>
          <w:lang w:val="es-CO"/>
        </w:rPr>
        <w:t>(Art. 25,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w:t>
      </w:r>
      <w:r>
        <w:rPr>
          <w:rFonts w:ascii="Arial" w:hAnsi="Arial" w:cs="Arial"/>
          <w:i/>
          <w:lang w:val="es-CO"/>
        </w:rPr>
        <w:t>: artículos 13 y 22 del Decreto 1372 de 1992, artículos 4° y 6° del Decreto 1250 de 1992, y el Decreto 2208 de 1991. Art. 44, Decreto 2076 de 1992)</w:t>
      </w:r>
    </w:p>
    <w:p w14:paraId="20D9FC33" w14:textId="77777777" w:rsidR="00B2442D" w:rsidRDefault="00B2442D">
      <w:pPr>
        <w:jc w:val="both"/>
        <w:rPr>
          <w:rFonts w:ascii="Arial" w:hAnsi="Arial" w:cs="Arial"/>
          <w:i/>
          <w:lang w:val="es-CO"/>
        </w:rPr>
      </w:pPr>
    </w:p>
    <w:p w14:paraId="65ACE8A6" w14:textId="77777777" w:rsidR="00B2442D" w:rsidRDefault="008A645F">
      <w:pPr>
        <w:pStyle w:val="Prrafodelista"/>
        <w:numPr>
          <w:ilvl w:val="0"/>
          <w:numId w:val="80"/>
        </w:numPr>
        <w:ind w:left="0" w:firstLine="0"/>
        <w:jc w:val="both"/>
        <w:rPr>
          <w:rFonts w:ascii="Arial" w:hAnsi="Arial" w:cs="Arial"/>
          <w:lang w:val="es-CO"/>
        </w:rPr>
      </w:pPr>
      <w:r>
        <w:rPr>
          <w:rFonts w:ascii="Arial" w:hAnsi="Arial" w:cs="Arial"/>
          <w:b/>
          <w:i/>
          <w:lang w:val="es-CO"/>
        </w:rPr>
        <w:t>Contabilización del impuesto de timbre.</w:t>
      </w:r>
      <w:r>
        <w:rPr>
          <w:rFonts w:ascii="Arial" w:hAnsi="Arial" w:cs="Arial"/>
          <w:lang w:val="es-CO"/>
        </w:rPr>
        <w:t xml:space="preserve"> Para efectos de lo dispuesto en el artículo 632-1 del Estatuto Trib</w:t>
      </w:r>
      <w:r>
        <w:rPr>
          <w:rFonts w:ascii="Arial" w:hAnsi="Arial" w:cs="Arial"/>
          <w:lang w:val="es-CO"/>
        </w:rPr>
        <w:t>utario, los agentes de retención del impuesto de timbre deberán llevar una cuenta denominada "Impuesto de Timbre por Pagar" en donde se registre la causación y el pago de los valores respectivos.</w:t>
      </w:r>
    </w:p>
    <w:p w14:paraId="35660405" w14:textId="77777777" w:rsidR="00B2442D" w:rsidRDefault="00B2442D">
      <w:pPr>
        <w:jc w:val="both"/>
        <w:rPr>
          <w:rFonts w:ascii="Arial" w:hAnsi="Arial" w:cs="Arial"/>
          <w:i/>
          <w:lang w:val="es-CO"/>
        </w:rPr>
      </w:pPr>
    </w:p>
    <w:p w14:paraId="25B4F3E2" w14:textId="77777777" w:rsidR="00B2442D" w:rsidRDefault="008A645F">
      <w:pPr>
        <w:jc w:val="both"/>
        <w:rPr>
          <w:rFonts w:ascii="Arial" w:hAnsi="Arial" w:cs="Arial"/>
          <w:i/>
          <w:lang w:val="es-CO"/>
        </w:rPr>
      </w:pPr>
      <w:r>
        <w:rPr>
          <w:rFonts w:ascii="Arial" w:hAnsi="Arial" w:cs="Arial"/>
          <w:i/>
          <w:lang w:val="es-CO"/>
        </w:rPr>
        <w:t>(Art. 32, Decreto 2076 de 1992)</w:t>
      </w:r>
      <w:r>
        <w:rPr>
          <w:rFonts w:ascii="Arial" w:hAnsi="Arial" w:cs="Arial"/>
        </w:rPr>
        <w:t xml:space="preserve"> </w:t>
      </w:r>
      <w:r>
        <w:rPr>
          <w:rFonts w:ascii="Arial" w:hAnsi="Arial" w:cs="Arial"/>
          <w:i/>
          <w:lang w:val="es-CO"/>
        </w:rPr>
        <w:t xml:space="preserve">(El Decreto 2076 de </w:t>
      </w:r>
      <w:r>
        <w:rPr>
          <w:rFonts w:ascii="Arial" w:hAnsi="Arial" w:cs="Arial"/>
          <w:i/>
          <w:lang w:val="es-CO"/>
        </w:rPr>
        <w:t>1992 rige desde la fecha de su publicación y deroga además de las normas que le sean contrarias, las siguientes: artículos 13 y 22 del Decreto 1372 de 1992, artículos 4° y 6° del Decreto 1250 de 1992, y el Decreto 2208 de 1991. Art. 44, Decreto 2076 de 199</w:t>
      </w:r>
      <w:r>
        <w:rPr>
          <w:rFonts w:ascii="Arial" w:hAnsi="Arial" w:cs="Arial"/>
          <w:i/>
          <w:lang w:val="es-CO"/>
        </w:rPr>
        <w:t>2)</w:t>
      </w:r>
    </w:p>
    <w:p w14:paraId="29FCE431" w14:textId="77777777" w:rsidR="00B2442D" w:rsidRDefault="00B2442D">
      <w:pPr>
        <w:jc w:val="both"/>
        <w:rPr>
          <w:rFonts w:ascii="Arial" w:hAnsi="Arial" w:cs="Arial"/>
          <w:lang w:val="es-CO"/>
        </w:rPr>
      </w:pPr>
    </w:p>
    <w:p w14:paraId="65CB0364" w14:textId="77777777" w:rsidR="00B2442D" w:rsidRDefault="008A645F">
      <w:pPr>
        <w:pStyle w:val="Ttulo4"/>
      </w:pPr>
      <w:r>
        <w:t>CAPÍTULO 2</w:t>
      </w:r>
    </w:p>
    <w:p w14:paraId="384DFA21" w14:textId="77777777" w:rsidR="00B2442D" w:rsidRDefault="008A645F">
      <w:pPr>
        <w:pStyle w:val="Ttulo4"/>
      </w:pPr>
      <w:r>
        <w:t xml:space="preserve">Agentes de retención a título del impuesto de timbre nacional </w:t>
      </w:r>
    </w:p>
    <w:p w14:paraId="2281A5EC" w14:textId="77777777" w:rsidR="00B2442D" w:rsidRDefault="00B2442D">
      <w:pPr>
        <w:rPr>
          <w:rFonts w:ascii="Arial" w:hAnsi="Arial" w:cs="Arial"/>
        </w:rPr>
      </w:pPr>
    </w:p>
    <w:p w14:paraId="62C711B8"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Recaudo del impuesto de timbre nacional.</w:t>
      </w:r>
      <w:r>
        <w:rPr>
          <w:rFonts w:ascii="Arial" w:hAnsi="Arial" w:cs="Arial"/>
          <w:lang w:val="es-CO"/>
        </w:rPr>
        <w:t xml:space="preserve"> En el caso de la salida al exterior de nacionales y extranjeros residentes en el país, el impuesto de timbre se continuará recaudando po</w:t>
      </w:r>
      <w:r>
        <w:rPr>
          <w:rFonts w:ascii="Arial" w:hAnsi="Arial" w:cs="Arial"/>
          <w:lang w:val="es-CO"/>
        </w:rPr>
        <w:t>r el Fondo Aeronáutico Nacional, de conformidad con el artículo 22 de la Ley 20 de 1979.</w:t>
      </w:r>
    </w:p>
    <w:p w14:paraId="09FFA886" w14:textId="77777777" w:rsidR="00B2442D" w:rsidRDefault="00B2442D">
      <w:pPr>
        <w:jc w:val="both"/>
        <w:rPr>
          <w:rFonts w:ascii="Arial" w:hAnsi="Arial" w:cs="Arial"/>
          <w:i/>
          <w:lang w:val="es-CO"/>
        </w:rPr>
      </w:pPr>
    </w:p>
    <w:p w14:paraId="2FF0C6A4" w14:textId="77777777" w:rsidR="00B2442D" w:rsidRDefault="008A645F">
      <w:pPr>
        <w:jc w:val="both"/>
        <w:rPr>
          <w:rFonts w:ascii="Arial" w:hAnsi="Arial" w:cs="Arial"/>
          <w:i/>
          <w:lang w:val="es-CO"/>
        </w:rPr>
      </w:pPr>
      <w:r>
        <w:rPr>
          <w:rFonts w:ascii="Arial" w:hAnsi="Arial" w:cs="Arial"/>
          <w:i/>
          <w:lang w:val="es-CO"/>
        </w:rPr>
        <w:t>(Art. 8, Decreto 370 de 1988)</w:t>
      </w:r>
    </w:p>
    <w:p w14:paraId="430150A1" w14:textId="77777777" w:rsidR="00B2442D" w:rsidRDefault="00B2442D">
      <w:pPr>
        <w:jc w:val="both"/>
        <w:rPr>
          <w:rFonts w:ascii="Arial" w:hAnsi="Arial" w:cs="Arial"/>
          <w:lang w:val="es-CO"/>
        </w:rPr>
      </w:pPr>
    </w:p>
    <w:p w14:paraId="247EFC2B"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Recaudo del impuesto de timbre.</w:t>
      </w:r>
      <w:r>
        <w:rPr>
          <w:rFonts w:ascii="Arial" w:hAnsi="Arial" w:cs="Arial"/>
          <w:lang w:val="es-CO"/>
        </w:rPr>
        <w:t xml:space="preserve"> De conformidad con el artículo 164 de la Ley 223 de 1995, el impuesto de timbre que se cause en el exterior, será recaudado por los agentes consulares y los agentes diplomáticos del Gobierno Colombiano cuando cumplan funciones consulares, quienes deberán </w:t>
      </w:r>
      <w:r>
        <w:rPr>
          <w:rFonts w:ascii="Arial" w:hAnsi="Arial" w:cs="Arial"/>
          <w:lang w:val="es-CO"/>
        </w:rPr>
        <w:t xml:space="preserve">efectuar los giros correspondientes dentro de los cinco (5) días hábiles siguientes al vencimiento de cada mes, a la cuenta que para el efecto se destine por parte del Fondo Rotatorio del Ministerio de Relaciones Exteriores. </w:t>
      </w:r>
    </w:p>
    <w:p w14:paraId="369CC2A2" w14:textId="77777777" w:rsidR="00B2442D" w:rsidRDefault="008A645F">
      <w:pPr>
        <w:jc w:val="both"/>
        <w:rPr>
          <w:rFonts w:ascii="Arial" w:hAnsi="Arial" w:cs="Arial"/>
          <w:lang w:val="es-CO"/>
        </w:rPr>
      </w:pPr>
      <w:r>
        <w:rPr>
          <w:rFonts w:ascii="Arial" w:hAnsi="Arial" w:cs="Arial"/>
          <w:lang w:val="es-CO"/>
        </w:rPr>
        <w:t xml:space="preserve"> </w:t>
      </w:r>
    </w:p>
    <w:p w14:paraId="36E37F7E" w14:textId="77777777" w:rsidR="00B2442D" w:rsidRDefault="008A645F">
      <w:pPr>
        <w:jc w:val="both"/>
        <w:rPr>
          <w:rFonts w:ascii="Arial" w:hAnsi="Arial" w:cs="Arial"/>
          <w:lang w:val="es-CO"/>
        </w:rPr>
      </w:pPr>
      <w:r>
        <w:rPr>
          <w:rFonts w:ascii="Arial" w:hAnsi="Arial" w:cs="Arial"/>
          <w:lang w:val="es-CO"/>
        </w:rPr>
        <w:t>Cuando los recaudos efectuad</w:t>
      </w:r>
      <w:r>
        <w:rPr>
          <w:rFonts w:ascii="Arial" w:hAnsi="Arial" w:cs="Arial"/>
          <w:lang w:val="es-CO"/>
        </w:rPr>
        <w:t>os en el mes sean inferiores a quinientos dólares (US$500.00), el plazo para efectuar los giros respectivos, se ampliará hasta que se complete esta suma. En este evento, el plazo máximo para efectuar los giros de dineros recaudados no podrá exceder de tres</w:t>
      </w:r>
      <w:r>
        <w:rPr>
          <w:rFonts w:ascii="Arial" w:hAnsi="Arial" w:cs="Arial"/>
          <w:lang w:val="es-CO"/>
        </w:rPr>
        <w:t xml:space="preserve"> (3) meses contados a partir de la fecha del recaudo correspondiente. </w:t>
      </w:r>
    </w:p>
    <w:p w14:paraId="509ED8EB" w14:textId="77777777" w:rsidR="00B2442D" w:rsidRDefault="008A645F">
      <w:pPr>
        <w:jc w:val="both"/>
        <w:rPr>
          <w:rFonts w:ascii="Arial" w:hAnsi="Arial" w:cs="Arial"/>
          <w:lang w:val="es-CO"/>
        </w:rPr>
      </w:pPr>
      <w:r>
        <w:rPr>
          <w:rFonts w:ascii="Arial" w:hAnsi="Arial" w:cs="Arial"/>
          <w:lang w:val="es-CO"/>
        </w:rPr>
        <w:t xml:space="preserve"> </w:t>
      </w:r>
    </w:p>
    <w:p w14:paraId="78F48888" w14:textId="77777777" w:rsidR="00B2442D" w:rsidRDefault="008A645F">
      <w:pPr>
        <w:jc w:val="both"/>
        <w:rPr>
          <w:rFonts w:ascii="Arial" w:hAnsi="Arial" w:cs="Arial"/>
          <w:lang w:val="es-CO"/>
        </w:rPr>
      </w:pPr>
      <w:r>
        <w:rPr>
          <w:rFonts w:ascii="Arial" w:hAnsi="Arial" w:cs="Arial"/>
          <w:lang w:val="es-CO"/>
        </w:rPr>
        <w:t>Sin importar la cuantía, el agente consular o el agente diplomático del Gobierno Colombiano que cumpla funciones consulares, responsable del recaudo del impuesto, deberá efectuar el g</w:t>
      </w:r>
      <w:r>
        <w:rPr>
          <w:rFonts w:ascii="Arial" w:hAnsi="Arial" w:cs="Arial"/>
          <w:lang w:val="es-CO"/>
        </w:rPr>
        <w:t>iro o consignación de los valores recaudados por cierre de la oficina consular o diplomática.</w:t>
      </w:r>
    </w:p>
    <w:p w14:paraId="5826CF74" w14:textId="77777777" w:rsidR="00B2442D" w:rsidRDefault="00B2442D">
      <w:pPr>
        <w:jc w:val="both"/>
        <w:rPr>
          <w:rFonts w:ascii="Arial" w:hAnsi="Arial" w:cs="Arial"/>
          <w:i/>
          <w:lang w:val="es-CO"/>
        </w:rPr>
      </w:pPr>
    </w:p>
    <w:p w14:paraId="63F16D54" w14:textId="77777777" w:rsidR="00B2442D" w:rsidRDefault="008A645F">
      <w:pPr>
        <w:jc w:val="both"/>
        <w:rPr>
          <w:rFonts w:ascii="Arial" w:hAnsi="Arial" w:cs="Arial"/>
          <w:i/>
          <w:lang w:val="es-CO"/>
        </w:rPr>
      </w:pPr>
      <w:r>
        <w:rPr>
          <w:rFonts w:ascii="Arial" w:hAnsi="Arial" w:cs="Arial"/>
          <w:i/>
          <w:lang w:val="es-CO"/>
        </w:rPr>
        <w:t>(Art. 3, Decreto 0747 de 1996)</w:t>
      </w:r>
    </w:p>
    <w:p w14:paraId="3FFC27B3" w14:textId="77777777" w:rsidR="00B2442D" w:rsidRDefault="00B2442D">
      <w:pPr>
        <w:jc w:val="both"/>
        <w:rPr>
          <w:rFonts w:ascii="Arial" w:hAnsi="Arial" w:cs="Arial"/>
          <w:lang w:val="es-CO"/>
        </w:rPr>
      </w:pPr>
    </w:p>
    <w:p w14:paraId="478BE55A"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 xml:space="preserve">Agente de retención a título de impuesto de timbre nacional. </w:t>
      </w:r>
      <w:r>
        <w:rPr>
          <w:rFonts w:ascii="Arial" w:hAnsi="Arial" w:cs="Arial"/>
          <w:lang w:val="es-CO"/>
        </w:rPr>
        <w:t>Es agente de percepción o retención del impuesto de timbre nacional,</w:t>
      </w:r>
      <w:r>
        <w:rPr>
          <w:rFonts w:ascii="Arial" w:hAnsi="Arial" w:cs="Arial"/>
          <w:lang w:val="es-CO"/>
        </w:rPr>
        <w:t xml:space="preserve"> el impresor de chequeras en el caso a que alude el artículo 1.4.1.4.1. del presente Decreto.</w:t>
      </w:r>
    </w:p>
    <w:p w14:paraId="5CEA9A0A" w14:textId="77777777" w:rsidR="00B2442D" w:rsidRDefault="00B2442D">
      <w:pPr>
        <w:jc w:val="both"/>
        <w:rPr>
          <w:rFonts w:ascii="Arial" w:hAnsi="Arial" w:cs="Arial"/>
          <w:i/>
          <w:lang w:val="es-CO"/>
        </w:rPr>
      </w:pPr>
    </w:p>
    <w:p w14:paraId="2F246480" w14:textId="77777777" w:rsidR="00B2442D" w:rsidRDefault="008A645F">
      <w:pPr>
        <w:jc w:val="both"/>
        <w:rPr>
          <w:rFonts w:ascii="Arial" w:hAnsi="Arial" w:cs="Arial"/>
          <w:i/>
          <w:lang w:val="es-CO"/>
        </w:rPr>
      </w:pPr>
      <w:r>
        <w:rPr>
          <w:rFonts w:ascii="Arial" w:hAnsi="Arial" w:cs="Arial"/>
          <w:i/>
          <w:lang w:val="es-CO"/>
        </w:rPr>
        <w:t>(Art. 18, Decreto 1189 de 1988)</w:t>
      </w:r>
    </w:p>
    <w:p w14:paraId="22304770" w14:textId="77777777" w:rsidR="00B2442D" w:rsidRDefault="00B2442D">
      <w:pPr>
        <w:rPr>
          <w:rFonts w:ascii="Arial" w:hAnsi="Arial" w:cs="Arial"/>
          <w:lang w:val="es-CO"/>
        </w:rPr>
      </w:pPr>
    </w:p>
    <w:p w14:paraId="31314B5C"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Agentes de retención del impuesto de timbre.</w:t>
      </w:r>
      <w:r>
        <w:rPr>
          <w:rFonts w:ascii="Arial" w:hAnsi="Arial" w:cs="Arial"/>
          <w:lang w:val="es-CO"/>
        </w:rPr>
        <w:t xml:space="preserve"> Actuarán como agentes de retención del impuesto de timbre, y serán responsables por</w:t>
      </w:r>
      <w:r>
        <w:rPr>
          <w:rFonts w:ascii="Arial" w:hAnsi="Arial" w:cs="Arial"/>
          <w:lang w:val="es-CO"/>
        </w:rPr>
        <w:t xml:space="preserve"> su valor total: </w:t>
      </w:r>
    </w:p>
    <w:p w14:paraId="4B24E0B0" w14:textId="77777777" w:rsidR="00B2442D" w:rsidRDefault="008A645F">
      <w:pPr>
        <w:jc w:val="both"/>
        <w:rPr>
          <w:rFonts w:ascii="Arial" w:hAnsi="Arial" w:cs="Arial"/>
          <w:lang w:val="es-CO"/>
        </w:rPr>
      </w:pPr>
      <w:r>
        <w:rPr>
          <w:rFonts w:ascii="Arial" w:hAnsi="Arial" w:cs="Arial"/>
          <w:lang w:val="es-CO"/>
        </w:rPr>
        <w:t xml:space="preserve"> </w:t>
      </w:r>
    </w:p>
    <w:p w14:paraId="60CC98BA" w14:textId="77777777" w:rsidR="00B2442D" w:rsidRDefault="008A645F">
      <w:pPr>
        <w:pStyle w:val="Prrafodelista"/>
        <w:ind w:left="426" w:hanging="426"/>
        <w:jc w:val="both"/>
        <w:rPr>
          <w:rFonts w:ascii="Arial" w:hAnsi="Arial" w:cs="Arial"/>
          <w:lang w:val="es-CO"/>
        </w:rPr>
      </w:pPr>
      <w:r>
        <w:rPr>
          <w:rFonts w:ascii="Arial" w:hAnsi="Arial" w:cs="Arial"/>
          <w:lang w:val="es-CO"/>
        </w:rPr>
        <w:t>1.</w:t>
      </w:r>
      <w:r>
        <w:rPr>
          <w:rFonts w:ascii="Arial" w:hAnsi="Arial" w:cs="Arial"/>
          <w:lang w:val="es-CO"/>
        </w:rPr>
        <w:tab/>
        <w:t>Los notarios por las escrituras públicas.</w:t>
      </w:r>
    </w:p>
    <w:p w14:paraId="240BFAC7" w14:textId="77777777" w:rsidR="00B2442D" w:rsidRDefault="00B2442D">
      <w:pPr>
        <w:pStyle w:val="Prrafodelista"/>
        <w:ind w:left="426" w:hanging="426"/>
        <w:jc w:val="both"/>
        <w:rPr>
          <w:rFonts w:ascii="Arial" w:hAnsi="Arial" w:cs="Arial"/>
          <w:lang w:val="es-CO"/>
        </w:rPr>
      </w:pPr>
    </w:p>
    <w:p w14:paraId="7AA06AA6" w14:textId="77777777" w:rsidR="00B2442D" w:rsidRDefault="008A645F">
      <w:pPr>
        <w:pStyle w:val="Prrafodelista"/>
        <w:ind w:left="426" w:hanging="426"/>
        <w:jc w:val="both"/>
        <w:rPr>
          <w:rFonts w:ascii="Arial" w:hAnsi="Arial" w:cs="Arial"/>
          <w:lang w:val="es-CO"/>
        </w:rPr>
      </w:pPr>
      <w:r>
        <w:rPr>
          <w:rFonts w:ascii="Arial" w:hAnsi="Arial" w:cs="Arial"/>
          <w:lang w:val="es-CO"/>
        </w:rPr>
        <w:t>2.</w:t>
      </w:r>
      <w:r>
        <w:rPr>
          <w:rFonts w:ascii="Arial" w:hAnsi="Arial" w:cs="Arial"/>
          <w:lang w:val="es-CO"/>
        </w:rPr>
        <w:tab/>
        <w:t>Las entidades vigiladas por la Superintendencia Financiera de Colombia.</w:t>
      </w:r>
    </w:p>
    <w:p w14:paraId="772851A5" w14:textId="77777777" w:rsidR="00B2442D" w:rsidRDefault="00B2442D">
      <w:pPr>
        <w:ind w:left="426" w:hanging="426"/>
        <w:jc w:val="both"/>
        <w:rPr>
          <w:rFonts w:ascii="Arial" w:hAnsi="Arial" w:cs="Arial"/>
          <w:lang w:val="es-CO"/>
        </w:rPr>
      </w:pPr>
    </w:p>
    <w:p w14:paraId="60D12425" w14:textId="77777777" w:rsidR="00B2442D" w:rsidRDefault="008A645F">
      <w:pPr>
        <w:pStyle w:val="Prrafodelista"/>
        <w:ind w:left="426" w:hanging="426"/>
        <w:jc w:val="both"/>
        <w:rPr>
          <w:rFonts w:ascii="Arial" w:hAnsi="Arial" w:cs="Arial"/>
          <w:lang w:val="es-CO"/>
        </w:rPr>
      </w:pPr>
      <w:r>
        <w:rPr>
          <w:rFonts w:ascii="Arial" w:hAnsi="Arial" w:cs="Arial"/>
          <w:lang w:val="es-CO"/>
        </w:rPr>
        <w:t>3.</w:t>
      </w:r>
      <w:r>
        <w:rPr>
          <w:rFonts w:ascii="Arial" w:hAnsi="Arial" w:cs="Arial"/>
          <w:lang w:val="es-CO"/>
        </w:rPr>
        <w:tab/>
        <w:t>Las entidades de derecho público, las empresas industriales y comerciales del Estado y las sociedades de econom</w:t>
      </w:r>
      <w:r>
        <w:rPr>
          <w:rFonts w:ascii="Arial" w:hAnsi="Arial" w:cs="Arial"/>
          <w:lang w:val="es-CO"/>
        </w:rPr>
        <w:t xml:space="preserve">ía mixta. </w:t>
      </w:r>
    </w:p>
    <w:p w14:paraId="52648D5C" w14:textId="77777777" w:rsidR="00B2442D" w:rsidRDefault="00B2442D">
      <w:pPr>
        <w:pStyle w:val="Prrafodelista"/>
        <w:ind w:left="426" w:hanging="426"/>
        <w:jc w:val="both"/>
        <w:rPr>
          <w:rFonts w:ascii="Arial" w:hAnsi="Arial" w:cs="Arial"/>
          <w:lang w:val="es-CO"/>
        </w:rPr>
      </w:pPr>
    </w:p>
    <w:p w14:paraId="768FEE2A" w14:textId="77777777" w:rsidR="00B2442D" w:rsidRDefault="008A645F">
      <w:pPr>
        <w:pStyle w:val="Prrafodelista"/>
        <w:ind w:left="426" w:hanging="426"/>
        <w:jc w:val="both"/>
        <w:rPr>
          <w:rFonts w:ascii="Arial" w:hAnsi="Arial" w:cs="Arial"/>
          <w:lang w:val="es-CO"/>
        </w:rPr>
      </w:pPr>
      <w:r>
        <w:rPr>
          <w:rFonts w:ascii="Arial" w:hAnsi="Arial" w:cs="Arial"/>
          <w:lang w:val="es-CO"/>
        </w:rPr>
        <w:t>4.</w:t>
      </w:r>
      <w:r>
        <w:rPr>
          <w:rFonts w:ascii="Arial" w:hAnsi="Arial" w:cs="Arial"/>
          <w:lang w:val="es-CO"/>
        </w:rPr>
        <w:tab/>
        <w:t xml:space="preserve">Las personas jurídicas, las sociedades de hecho y demás asimiladas. </w:t>
      </w:r>
    </w:p>
    <w:p w14:paraId="0AB0C91B" w14:textId="77777777" w:rsidR="00B2442D" w:rsidRDefault="00B2442D">
      <w:pPr>
        <w:pStyle w:val="Prrafodelista"/>
        <w:ind w:left="426" w:hanging="426"/>
        <w:jc w:val="both"/>
        <w:rPr>
          <w:rFonts w:ascii="Arial" w:hAnsi="Arial" w:cs="Arial"/>
          <w:lang w:val="es-CO"/>
        </w:rPr>
      </w:pPr>
    </w:p>
    <w:p w14:paraId="3B1FD06C" w14:textId="77777777" w:rsidR="00B2442D" w:rsidRDefault="008A645F">
      <w:pPr>
        <w:pStyle w:val="Prrafodelista"/>
        <w:ind w:left="426" w:hanging="426"/>
        <w:jc w:val="both"/>
        <w:rPr>
          <w:rFonts w:ascii="Arial" w:hAnsi="Arial" w:cs="Arial"/>
          <w:lang w:val="es-CO"/>
        </w:rPr>
      </w:pPr>
      <w:r>
        <w:rPr>
          <w:rFonts w:ascii="Arial" w:hAnsi="Arial" w:cs="Arial"/>
          <w:lang w:val="es-CO"/>
        </w:rPr>
        <w:t>5.</w:t>
      </w:r>
      <w:r>
        <w:rPr>
          <w:rFonts w:ascii="Arial" w:hAnsi="Arial" w:cs="Arial"/>
          <w:lang w:val="es-CO"/>
        </w:rPr>
        <w:tab/>
      </w:r>
      <w:r>
        <w:rPr>
          <w:rFonts w:ascii="Arial" w:hAnsi="Arial" w:cs="Arial"/>
          <w:lang w:val="es-CO"/>
        </w:rPr>
        <w:t xml:space="preserve">Las personas naturales o asimiladas que tengan la calidad de comerciantes y que en el año inmediatamente anterior tuvieren unos ingresos brutos o un patrimonio bruto superior a $168.800.000 (Valor año base 1992). </w:t>
      </w:r>
    </w:p>
    <w:p w14:paraId="4E8BA13D" w14:textId="77777777" w:rsidR="00B2442D" w:rsidRDefault="00B2442D">
      <w:pPr>
        <w:pStyle w:val="Prrafodelista"/>
        <w:ind w:left="426" w:hanging="426"/>
        <w:jc w:val="both"/>
        <w:rPr>
          <w:rFonts w:ascii="Arial" w:hAnsi="Arial" w:cs="Arial"/>
          <w:lang w:val="es-CO"/>
        </w:rPr>
      </w:pPr>
    </w:p>
    <w:p w14:paraId="5DB5917A" w14:textId="77777777" w:rsidR="00B2442D" w:rsidRDefault="008A645F">
      <w:pPr>
        <w:pStyle w:val="Prrafodelista"/>
        <w:ind w:left="426" w:hanging="426"/>
        <w:jc w:val="both"/>
        <w:rPr>
          <w:rFonts w:ascii="Arial" w:hAnsi="Arial" w:cs="Arial"/>
          <w:lang w:val="es-CO"/>
        </w:rPr>
      </w:pPr>
      <w:r>
        <w:rPr>
          <w:rFonts w:ascii="Arial" w:hAnsi="Arial" w:cs="Arial"/>
          <w:lang w:val="es-CO"/>
        </w:rPr>
        <w:t>6.</w:t>
      </w:r>
      <w:r>
        <w:rPr>
          <w:rFonts w:ascii="Arial" w:hAnsi="Arial" w:cs="Arial"/>
          <w:lang w:val="es-CO"/>
        </w:rPr>
        <w:tab/>
        <w:t xml:space="preserve">Los agentes diplomáticos del Gobierno </w:t>
      </w:r>
      <w:r>
        <w:rPr>
          <w:rFonts w:ascii="Arial" w:hAnsi="Arial" w:cs="Arial"/>
          <w:lang w:val="es-CO"/>
        </w:rPr>
        <w:t xml:space="preserve">Colombiano, por los documentos otorgados en el exterior. </w:t>
      </w:r>
    </w:p>
    <w:p w14:paraId="199AD9E0" w14:textId="77777777" w:rsidR="00B2442D" w:rsidRDefault="00B2442D">
      <w:pPr>
        <w:pStyle w:val="Prrafodelista"/>
        <w:ind w:left="426" w:hanging="426"/>
        <w:jc w:val="both"/>
        <w:rPr>
          <w:rFonts w:ascii="Arial" w:hAnsi="Arial" w:cs="Arial"/>
          <w:lang w:val="es-CO"/>
        </w:rPr>
      </w:pPr>
    </w:p>
    <w:p w14:paraId="64A53712" w14:textId="77777777" w:rsidR="00B2442D" w:rsidRDefault="008A645F">
      <w:pPr>
        <w:pStyle w:val="Prrafodelista"/>
        <w:ind w:left="426" w:hanging="426"/>
        <w:jc w:val="both"/>
        <w:rPr>
          <w:rFonts w:ascii="Arial" w:hAnsi="Arial" w:cs="Arial"/>
          <w:lang w:val="es-CO"/>
        </w:rPr>
      </w:pPr>
      <w:r>
        <w:rPr>
          <w:rFonts w:ascii="Arial" w:hAnsi="Arial" w:cs="Arial"/>
          <w:lang w:val="es-CO"/>
        </w:rPr>
        <w:t>7.</w:t>
      </w:r>
      <w:r>
        <w:rPr>
          <w:rFonts w:ascii="Arial" w:hAnsi="Arial" w:cs="Arial"/>
          <w:lang w:val="es-CO"/>
        </w:rPr>
        <w:tab/>
        <w:t xml:space="preserve">Los bancos por el impuesto correspondiente a los cheques. </w:t>
      </w:r>
    </w:p>
    <w:p w14:paraId="313E9F6E" w14:textId="77777777" w:rsidR="00B2442D" w:rsidRDefault="00B2442D">
      <w:pPr>
        <w:pStyle w:val="Prrafodelista"/>
        <w:ind w:left="426" w:hanging="426"/>
        <w:jc w:val="both"/>
        <w:rPr>
          <w:rFonts w:ascii="Arial" w:hAnsi="Arial" w:cs="Arial"/>
          <w:lang w:val="es-CO"/>
        </w:rPr>
      </w:pPr>
    </w:p>
    <w:p w14:paraId="4A771C65" w14:textId="77777777" w:rsidR="00B2442D" w:rsidRDefault="008A645F">
      <w:pPr>
        <w:pStyle w:val="Prrafodelista"/>
        <w:ind w:left="426" w:hanging="426"/>
        <w:jc w:val="both"/>
        <w:rPr>
          <w:rFonts w:ascii="Arial" w:hAnsi="Arial" w:cs="Arial"/>
          <w:lang w:val="es-CO"/>
        </w:rPr>
      </w:pPr>
      <w:r>
        <w:rPr>
          <w:rFonts w:ascii="Arial" w:hAnsi="Arial" w:cs="Arial"/>
          <w:lang w:val="es-CO"/>
        </w:rPr>
        <w:t>8.</w:t>
      </w:r>
      <w:r>
        <w:rPr>
          <w:rFonts w:ascii="Arial" w:hAnsi="Arial" w:cs="Arial"/>
          <w:lang w:val="es-CO"/>
        </w:rPr>
        <w:tab/>
        <w:t xml:space="preserve">Los almacenes generales de depósito por los certificados y bonos de prenda. </w:t>
      </w:r>
    </w:p>
    <w:p w14:paraId="56893BF0" w14:textId="77777777" w:rsidR="00B2442D" w:rsidRDefault="00B2442D">
      <w:pPr>
        <w:pStyle w:val="Prrafodelista"/>
        <w:ind w:left="426" w:hanging="426"/>
        <w:jc w:val="both"/>
        <w:rPr>
          <w:rFonts w:ascii="Arial" w:hAnsi="Arial" w:cs="Arial"/>
          <w:lang w:val="es-CO"/>
        </w:rPr>
      </w:pPr>
    </w:p>
    <w:p w14:paraId="69CD3995" w14:textId="77777777" w:rsidR="00B2442D" w:rsidRDefault="008A645F">
      <w:pPr>
        <w:pStyle w:val="Prrafodelista"/>
        <w:ind w:left="426" w:hanging="426"/>
        <w:jc w:val="both"/>
        <w:rPr>
          <w:rFonts w:ascii="Arial" w:hAnsi="Arial" w:cs="Arial"/>
          <w:lang w:val="es-CO"/>
        </w:rPr>
      </w:pPr>
      <w:r>
        <w:rPr>
          <w:rFonts w:ascii="Arial" w:hAnsi="Arial" w:cs="Arial"/>
          <w:lang w:val="es-CO"/>
        </w:rPr>
        <w:t>9.</w:t>
      </w:r>
      <w:r>
        <w:rPr>
          <w:rFonts w:ascii="Arial" w:hAnsi="Arial" w:cs="Arial"/>
          <w:lang w:val="es-CO"/>
        </w:rPr>
        <w:tab/>
        <w:t>Las entidades de cualquier naturaleza, por la emis</w:t>
      </w:r>
      <w:r>
        <w:rPr>
          <w:rFonts w:ascii="Arial" w:hAnsi="Arial" w:cs="Arial"/>
          <w:lang w:val="es-CO"/>
        </w:rPr>
        <w:t>ión de títulos nominativos o al portador.</w:t>
      </w:r>
    </w:p>
    <w:p w14:paraId="0126E957" w14:textId="77777777" w:rsidR="00B2442D" w:rsidRDefault="00B2442D">
      <w:pPr>
        <w:jc w:val="both"/>
        <w:rPr>
          <w:rFonts w:ascii="Arial" w:hAnsi="Arial" w:cs="Arial"/>
          <w:lang w:val="es-CO"/>
        </w:rPr>
      </w:pPr>
    </w:p>
    <w:p w14:paraId="4CD26AC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en un documento o actuación intervenga más de un agente retenedor de los señalados en los numerales uno (1) a cinco (5) del presente artículo, responderá por la respectiva retención, el agente de</w:t>
      </w:r>
      <w:r>
        <w:rPr>
          <w:rFonts w:ascii="Arial" w:hAnsi="Arial" w:cs="Arial"/>
          <w:lang w:val="es-CO"/>
        </w:rPr>
        <w:t xml:space="preserve"> retención señalado conforme al orden de prelación de los mismos numerales. En caso de que intervengan en el documento o actuación, varios agentes de retención de la misma naturaleza de los enumerados en los diferentes numerales mencionados, responderá por</w:t>
      </w:r>
      <w:r>
        <w:rPr>
          <w:rFonts w:ascii="Arial" w:hAnsi="Arial" w:cs="Arial"/>
          <w:lang w:val="es-CO"/>
        </w:rPr>
        <w:t xml:space="preserve"> la respectiva retención, respetando dicho orden de prelación, la entidad o persona que efectúe el pago.</w:t>
      </w:r>
    </w:p>
    <w:p w14:paraId="3F57024D" w14:textId="77777777" w:rsidR="00B2442D" w:rsidRDefault="00B2442D">
      <w:pPr>
        <w:jc w:val="both"/>
        <w:rPr>
          <w:rFonts w:ascii="Arial" w:hAnsi="Arial" w:cs="Arial"/>
          <w:lang w:val="es-CO"/>
        </w:rPr>
      </w:pPr>
    </w:p>
    <w:p w14:paraId="08001726" w14:textId="77777777" w:rsidR="00B2442D" w:rsidRDefault="008A645F">
      <w:pPr>
        <w:jc w:val="both"/>
        <w:rPr>
          <w:rFonts w:ascii="Arial" w:hAnsi="Arial" w:cs="Arial"/>
          <w:i/>
          <w:lang w:val="es-CO"/>
        </w:rPr>
      </w:pPr>
      <w:r>
        <w:rPr>
          <w:rFonts w:ascii="Arial" w:hAnsi="Arial" w:cs="Arial"/>
          <w:i/>
          <w:lang w:val="es-CO"/>
        </w:rPr>
        <w:t>(Art. 27, Decreto 2076 de 1992. Numeral 2 modificado por el art. 3 del</w:t>
      </w:r>
      <w:r>
        <w:rPr>
          <w:rFonts w:ascii="Arial" w:hAnsi="Arial" w:cs="Arial"/>
          <w:i/>
        </w:rPr>
        <w:t xml:space="preserve"> </w:t>
      </w:r>
      <w:r>
        <w:rPr>
          <w:rFonts w:ascii="Arial" w:hAnsi="Arial" w:cs="Arial"/>
          <w:i/>
          <w:lang w:val="es-CO"/>
        </w:rPr>
        <w:t xml:space="preserve">Decreto 180 de 1993. Parágrafo 1 pérdida de vigencia por </w:t>
      </w:r>
      <w:r>
        <w:rPr>
          <w:rFonts w:ascii="Arial" w:hAnsi="Arial" w:cs="Arial"/>
          <w:i/>
          <w:lang w:val="es-CO"/>
        </w:rPr>
        <w:t>cumplimiento del plazo)</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Decreto 1372 de 1992, artículos 4° y 6° del Decreto 1250 de 1992, y el Decret</w:t>
      </w:r>
      <w:r>
        <w:rPr>
          <w:rFonts w:ascii="Arial" w:hAnsi="Arial" w:cs="Arial"/>
          <w:i/>
          <w:lang w:val="es-CO"/>
        </w:rPr>
        <w:t>o 2208 de 1991. Art. 44, Decreto 2076 de 1992)</w:t>
      </w:r>
    </w:p>
    <w:p w14:paraId="0684B1C0" w14:textId="77777777" w:rsidR="00B2442D" w:rsidRDefault="00B2442D">
      <w:pPr>
        <w:rPr>
          <w:rFonts w:ascii="Arial" w:hAnsi="Arial" w:cs="Arial"/>
          <w:lang w:val="es-CO"/>
        </w:rPr>
      </w:pPr>
    </w:p>
    <w:p w14:paraId="2BA3B4EB"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Agentes de retención del impuesto de timbre.</w:t>
      </w:r>
      <w:r>
        <w:rPr>
          <w:rFonts w:ascii="Arial" w:hAnsi="Arial" w:cs="Arial"/>
          <w:i/>
          <w:lang w:val="es-CO"/>
        </w:rPr>
        <w:t xml:space="preserve"> </w:t>
      </w:r>
      <w:r>
        <w:rPr>
          <w:rFonts w:ascii="Arial" w:hAnsi="Arial" w:cs="Arial"/>
          <w:lang w:val="es-CO"/>
        </w:rPr>
        <w:t>Actuarán como agentes de retención del impuesto de timbre causado en el exterior los agentes consulares y los agentes diplomáticos del Gobierno Colombiano cuando c</w:t>
      </w:r>
      <w:r>
        <w:rPr>
          <w:rFonts w:ascii="Arial" w:hAnsi="Arial" w:cs="Arial"/>
          <w:lang w:val="es-CO"/>
        </w:rPr>
        <w:t>umplan funciones consulares, en relación con las actuaciones en las que intervengan o con los documentos expedidos por ellos, de conformidad con lo dispuesto en el Libro Cuarto del Estatuto Tributario.</w:t>
      </w:r>
    </w:p>
    <w:p w14:paraId="42606E9E" w14:textId="77777777" w:rsidR="00B2442D" w:rsidRDefault="00B2442D">
      <w:pPr>
        <w:jc w:val="both"/>
        <w:rPr>
          <w:rFonts w:ascii="Arial" w:hAnsi="Arial" w:cs="Arial"/>
          <w:i/>
          <w:lang w:val="es-CO"/>
        </w:rPr>
      </w:pPr>
    </w:p>
    <w:p w14:paraId="088075AC" w14:textId="77777777" w:rsidR="00B2442D" w:rsidRDefault="008A645F">
      <w:pPr>
        <w:jc w:val="both"/>
        <w:rPr>
          <w:rFonts w:ascii="Arial" w:hAnsi="Arial" w:cs="Arial"/>
          <w:i/>
          <w:lang w:val="es-CO"/>
        </w:rPr>
      </w:pPr>
      <w:r>
        <w:rPr>
          <w:rFonts w:ascii="Arial" w:hAnsi="Arial" w:cs="Arial"/>
          <w:i/>
          <w:lang w:val="es-CO"/>
        </w:rPr>
        <w:t>(Art. 1, Decreto 0747 de 1996)</w:t>
      </w:r>
    </w:p>
    <w:p w14:paraId="432F0BE5" w14:textId="77777777" w:rsidR="00B2442D" w:rsidRDefault="00B2442D">
      <w:pPr>
        <w:jc w:val="both"/>
        <w:rPr>
          <w:rFonts w:ascii="Arial" w:hAnsi="Arial" w:cs="Arial"/>
          <w:lang w:val="es-CO"/>
        </w:rPr>
      </w:pPr>
    </w:p>
    <w:p w14:paraId="7EE823CF" w14:textId="77777777" w:rsidR="00B2442D" w:rsidRDefault="008A645F">
      <w:pPr>
        <w:pStyle w:val="Prrafodelista"/>
        <w:numPr>
          <w:ilvl w:val="0"/>
          <w:numId w:val="81"/>
        </w:numPr>
        <w:ind w:left="0" w:firstLine="0"/>
        <w:jc w:val="both"/>
        <w:rPr>
          <w:rFonts w:ascii="Arial" w:hAnsi="Arial" w:cs="Arial"/>
          <w:lang w:val="es-CO"/>
        </w:rPr>
      </w:pPr>
      <w:r>
        <w:rPr>
          <w:rFonts w:ascii="Arial" w:hAnsi="Arial" w:cs="Arial"/>
          <w:b/>
          <w:i/>
          <w:lang w:val="es-CO"/>
        </w:rPr>
        <w:t>Agente de retención d</w:t>
      </w:r>
      <w:r>
        <w:rPr>
          <w:rFonts w:ascii="Arial" w:hAnsi="Arial" w:cs="Arial"/>
          <w:b/>
          <w:i/>
          <w:lang w:val="es-CO"/>
        </w:rPr>
        <w:t>el impuesto de timbre en algunas operaciones.</w:t>
      </w:r>
      <w:r>
        <w:rPr>
          <w:rFonts w:ascii="Arial" w:hAnsi="Arial" w:cs="Arial"/>
          <w:lang w:val="es-CO"/>
        </w:rPr>
        <w:t xml:space="preserve"> Sin perjuicio de lo dispuesto en el parágrafo del artículo 1.4.1.2.4 del presente Decreto, cuando en el documento o la actuación intervengan dos o más agentes retenedores con la misma categoría actuará como age</w:t>
      </w:r>
      <w:r>
        <w:rPr>
          <w:rFonts w:ascii="Arial" w:hAnsi="Arial" w:cs="Arial"/>
          <w:lang w:val="es-CO"/>
        </w:rPr>
        <w:t>nte de retención:</w:t>
      </w:r>
    </w:p>
    <w:p w14:paraId="2AB2B150" w14:textId="77777777" w:rsidR="00B2442D" w:rsidRDefault="008A645F">
      <w:pPr>
        <w:jc w:val="both"/>
        <w:rPr>
          <w:rFonts w:ascii="Arial" w:hAnsi="Arial" w:cs="Arial"/>
          <w:lang w:val="es-CO"/>
        </w:rPr>
      </w:pPr>
      <w:r>
        <w:rPr>
          <w:rFonts w:ascii="Arial" w:hAnsi="Arial" w:cs="Arial"/>
          <w:lang w:val="es-CO"/>
        </w:rPr>
        <w:t xml:space="preserve"> </w:t>
      </w:r>
    </w:p>
    <w:p w14:paraId="2449204F" w14:textId="77777777" w:rsidR="00B2442D" w:rsidRDefault="008A645F">
      <w:pPr>
        <w:ind w:left="284" w:hanging="284"/>
        <w:jc w:val="both"/>
        <w:rPr>
          <w:rFonts w:ascii="Arial" w:hAnsi="Arial" w:cs="Arial"/>
          <w:lang w:val="es-CO"/>
        </w:rPr>
      </w:pPr>
      <w:r>
        <w:rPr>
          <w:rFonts w:ascii="Arial" w:hAnsi="Arial" w:cs="Arial"/>
          <w:lang w:val="es-CO"/>
        </w:rPr>
        <w:t xml:space="preserve">a) En operaciones de mutuo, quien otorgue el préstamo. </w:t>
      </w:r>
    </w:p>
    <w:p w14:paraId="24692CCD" w14:textId="77777777" w:rsidR="00B2442D" w:rsidRDefault="00B2442D">
      <w:pPr>
        <w:ind w:left="284" w:hanging="284"/>
        <w:jc w:val="both"/>
        <w:rPr>
          <w:rFonts w:ascii="Arial" w:hAnsi="Arial" w:cs="Arial"/>
          <w:lang w:val="es-CO"/>
        </w:rPr>
      </w:pPr>
    </w:p>
    <w:p w14:paraId="71E86D7E" w14:textId="77777777" w:rsidR="00B2442D" w:rsidRDefault="008A645F">
      <w:pPr>
        <w:ind w:left="284" w:hanging="284"/>
        <w:jc w:val="both"/>
        <w:rPr>
          <w:rFonts w:ascii="Arial" w:hAnsi="Arial" w:cs="Arial"/>
          <w:lang w:val="es-CO"/>
        </w:rPr>
      </w:pPr>
      <w:r>
        <w:rPr>
          <w:rFonts w:ascii="Arial" w:hAnsi="Arial" w:cs="Arial"/>
          <w:lang w:val="es-CO"/>
        </w:rPr>
        <w:t>b) En operaciones donde una de las prestaciones se cumpla en dinero y la otra en especie, quien pague en dinero.</w:t>
      </w:r>
    </w:p>
    <w:p w14:paraId="7CBD5D60" w14:textId="77777777" w:rsidR="00B2442D" w:rsidRDefault="00B2442D">
      <w:pPr>
        <w:rPr>
          <w:rFonts w:ascii="Arial" w:hAnsi="Arial" w:cs="Arial"/>
          <w:i/>
          <w:lang w:val="es-CO"/>
        </w:rPr>
      </w:pPr>
    </w:p>
    <w:p w14:paraId="07B42D94" w14:textId="77777777" w:rsidR="00B2442D" w:rsidRDefault="008A645F">
      <w:pPr>
        <w:rPr>
          <w:rFonts w:ascii="Arial" w:hAnsi="Arial" w:cs="Arial"/>
          <w:i/>
          <w:lang w:val="es-CO"/>
        </w:rPr>
      </w:pPr>
      <w:r>
        <w:rPr>
          <w:rFonts w:ascii="Arial" w:hAnsi="Arial" w:cs="Arial"/>
          <w:i/>
          <w:lang w:val="es-CO"/>
        </w:rPr>
        <w:t>(Art. 2, Decreto 0180 de 1993)</w:t>
      </w:r>
    </w:p>
    <w:p w14:paraId="26454A6E" w14:textId="77777777" w:rsidR="00B2442D" w:rsidRDefault="00B2442D">
      <w:pPr>
        <w:rPr>
          <w:rFonts w:ascii="Arial" w:hAnsi="Arial" w:cs="Arial"/>
          <w:i/>
          <w:lang w:val="es-CO"/>
        </w:rPr>
      </w:pPr>
    </w:p>
    <w:p w14:paraId="4B451243" w14:textId="77777777" w:rsidR="00B2442D" w:rsidRDefault="008A645F">
      <w:pPr>
        <w:pStyle w:val="Ttulo4"/>
      </w:pPr>
      <w:r>
        <w:t>CAPÍTULO 3</w:t>
      </w:r>
    </w:p>
    <w:p w14:paraId="33DA65F0" w14:textId="77777777" w:rsidR="00B2442D" w:rsidRDefault="008A645F">
      <w:pPr>
        <w:pStyle w:val="Ttulo4"/>
      </w:pPr>
      <w:r>
        <w:t xml:space="preserve">Responsables por la declaración y pago del impuesto de timbre nacional </w:t>
      </w:r>
    </w:p>
    <w:p w14:paraId="5C857A9B" w14:textId="77777777" w:rsidR="00B2442D" w:rsidRDefault="00B2442D">
      <w:pPr>
        <w:rPr>
          <w:rFonts w:ascii="Arial" w:hAnsi="Arial" w:cs="Arial"/>
        </w:rPr>
      </w:pPr>
    </w:p>
    <w:p w14:paraId="07BD8506" w14:textId="77777777" w:rsidR="00B2442D" w:rsidRDefault="008A645F">
      <w:pPr>
        <w:pStyle w:val="Prrafodelista"/>
        <w:numPr>
          <w:ilvl w:val="0"/>
          <w:numId w:val="82"/>
        </w:numPr>
        <w:ind w:left="0" w:firstLine="0"/>
        <w:jc w:val="both"/>
        <w:rPr>
          <w:rFonts w:ascii="Arial" w:hAnsi="Arial" w:cs="Arial"/>
          <w:lang w:val="es-CO"/>
        </w:rPr>
      </w:pPr>
      <w:r>
        <w:rPr>
          <w:rFonts w:ascii="Arial" w:hAnsi="Arial" w:cs="Arial"/>
          <w:b/>
          <w:i/>
          <w:lang w:val="es-CO"/>
        </w:rPr>
        <w:t>Responsables por la declaración y pago del impuesto.</w:t>
      </w:r>
      <w:r>
        <w:rPr>
          <w:rFonts w:ascii="Arial" w:hAnsi="Arial" w:cs="Arial"/>
          <w:lang w:val="es-CO"/>
        </w:rPr>
        <w:t xml:space="preserve"> El Ministerio de Relaciones Exteriores a través del Fondo Rotatorio, será el responsable de declarar y pagar ante las entidades au</w:t>
      </w:r>
      <w:r>
        <w:rPr>
          <w:rFonts w:ascii="Arial" w:hAnsi="Arial" w:cs="Arial"/>
          <w:lang w:val="es-CO"/>
        </w:rPr>
        <w:t>torizadas para recaudar, el impuesto de timbre causado en el exterior y recaudado por los agentes consulares y los agentes diplomáticos del Gobierno Colombiano cuando cumplan funciones consulares.</w:t>
      </w:r>
    </w:p>
    <w:p w14:paraId="0CA4DC33" w14:textId="77777777" w:rsidR="00B2442D" w:rsidRDefault="00B2442D">
      <w:pPr>
        <w:jc w:val="both"/>
        <w:rPr>
          <w:rFonts w:ascii="Arial" w:hAnsi="Arial" w:cs="Arial"/>
          <w:i/>
          <w:lang w:val="es-CO"/>
        </w:rPr>
      </w:pPr>
    </w:p>
    <w:p w14:paraId="2BA039AA" w14:textId="77777777" w:rsidR="00B2442D" w:rsidRDefault="008A645F">
      <w:pPr>
        <w:jc w:val="both"/>
        <w:rPr>
          <w:rFonts w:ascii="Arial" w:hAnsi="Arial" w:cs="Arial"/>
          <w:i/>
          <w:lang w:val="es-CO"/>
        </w:rPr>
      </w:pPr>
      <w:r>
        <w:rPr>
          <w:rFonts w:ascii="Arial" w:hAnsi="Arial" w:cs="Arial"/>
          <w:i/>
          <w:lang w:val="es-CO"/>
        </w:rPr>
        <w:t>(Art. 2, Decreto 0747 de 1996)</w:t>
      </w:r>
    </w:p>
    <w:p w14:paraId="3CD0FDE2" w14:textId="77777777" w:rsidR="00B2442D" w:rsidRDefault="00B2442D">
      <w:pPr>
        <w:jc w:val="both"/>
        <w:rPr>
          <w:rFonts w:ascii="Arial" w:hAnsi="Arial" w:cs="Arial"/>
          <w:lang w:val="es-CO"/>
        </w:rPr>
      </w:pPr>
    </w:p>
    <w:p w14:paraId="38A899C0" w14:textId="77777777" w:rsidR="00B2442D" w:rsidRDefault="008A645F">
      <w:pPr>
        <w:pStyle w:val="Prrafodelista"/>
        <w:numPr>
          <w:ilvl w:val="0"/>
          <w:numId w:val="82"/>
        </w:numPr>
        <w:ind w:left="0" w:firstLine="0"/>
        <w:jc w:val="both"/>
        <w:rPr>
          <w:rFonts w:ascii="Arial" w:hAnsi="Arial" w:cs="Arial"/>
          <w:lang w:val="es-CO"/>
        </w:rPr>
      </w:pPr>
      <w:r>
        <w:rPr>
          <w:rFonts w:ascii="Arial" w:hAnsi="Arial" w:cs="Arial"/>
          <w:b/>
          <w:i/>
          <w:lang w:val="es-CO"/>
        </w:rPr>
        <w:t>Presentación de la declara</w:t>
      </w:r>
      <w:r>
        <w:rPr>
          <w:rFonts w:ascii="Arial" w:hAnsi="Arial" w:cs="Arial"/>
          <w:b/>
          <w:i/>
          <w:lang w:val="es-CO"/>
        </w:rPr>
        <w:t xml:space="preserve">ción. </w:t>
      </w:r>
      <w:r>
        <w:rPr>
          <w:rFonts w:ascii="Arial" w:hAnsi="Arial" w:cs="Arial"/>
          <w:lang w:val="es-CO"/>
        </w:rPr>
        <w:t xml:space="preserve">El impuesto de timbre causado en el exterior deberá ser declarado en el formulario mensual de retenciones en la fuente fijado por la Unidad Administrativa Especial Dirección de Impuestos y Aduanas Nacionales-DIAN, junto con las demás retenciones que </w:t>
      </w:r>
      <w:r>
        <w:rPr>
          <w:rFonts w:ascii="Arial" w:hAnsi="Arial" w:cs="Arial"/>
          <w:lang w:val="es-CO"/>
        </w:rPr>
        <w:t xml:space="preserve">el Fondo Rotatorio del Ministerio efectúe por conceptos diferentes al reglamentado en el presente Decreto. </w:t>
      </w:r>
    </w:p>
    <w:p w14:paraId="371F1BA4" w14:textId="77777777" w:rsidR="00B2442D" w:rsidRDefault="008A645F">
      <w:pPr>
        <w:jc w:val="both"/>
        <w:rPr>
          <w:rFonts w:ascii="Arial" w:hAnsi="Arial" w:cs="Arial"/>
          <w:lang w:val="es-CO"/>
        </w:rPr>
      </w:pPr>
      <w:r>
        <w:rPr>
          <w:rFonts w:ascii="Arial" w:hAnsi="Arial" w:cs="Arial"/>
          <w:lang w:val="es-CO"/>
        </w:rPr>
        <w:t xml:space="preserve"> </w:t>
      </w:r>
    </w:p>
    <w:p w14:paraId="3F742198" w14:textId="77777777" w:rsidR="00B2442D" w:rsidRDefault="008A645F">
      <w:pPr>
        <w:jc w:val="both"/>
        <w:rPr>
          <w:rFonts w:ascii="Arial" w:hAnsi="Arial" w:cs="Arial"/>
          <w:lang w:val="es-CO"/>
        </w:rPr>
      </w:pPr>
      <w:r>
        <w:rPr>
          <w:rFonts w:ascii="Arial" w:hAnsi="Arial" w:cs="Arial"/>
          <w:lang w:val="es-CO"/>
        </w:rPr>
        <w:t>La declaración debe presentarse en forma consolidada incluyendo las sumas que por concepto del impuesto de timbre recauden en el exterior los agen</w:t>
      </w:r>
      <w:r>
        <w:rPr>
          <w:rFonts w:ascii="Arial" w:hAnsi="Arial" w:cs="Arial"/>
          <w:lang w:val="es-CO"/>
        </w:rPr>
        <w:t>tes consulares o los agentes diplomáticos del Gobierno Colombiano cuando cumplan funciones consulares.</w:t>
      </w:r>
    </w:p>
    <w:p w14:paraId="653994D7" w14:textId="77777777" w:rsidR="00B2442D" w:rsidRDefault="00B2442D">
      <w:pPr>
        <w:jc w:val="both"/>
        <w:rPr>
          <w:rFonts w:ascii="Arial" w:hAnsi="Arial" w:cs="Arial"/>
          <w:i/>
          <w:lang w:val="es-CO"/>
        </w:rPr>
      </w:pPr>
    </w:p>
    <w:p w14:paraId="6D0FE707" w14:textId="77777777" w:rsidR="00B2442D" w:rsidRDefault="008A645F">
      <w:pPr>
        <w:jc w:val="both"/>
        <w:rPr>
          <w:rFonts w:ascii="Arial" w:hAnsi="Arial" w:cs="Arial"/>
          <w:i/>
          <w:lang w:val="es-CO"/>
        </w:rPr>
      </w:pPr>
      <w:r>
        <w:rPr>
          <w:rFonts w:ascii="Arial" w:hAnsi="Arial" w:cs="Arial"/>
          <w:i/>
          <w:lang w:val="es-CO"/>
        </w:rPr>
        <w:t>(Art. 4, Decreto 0747 de 1996)</w:t>
      </w:r>
    </w:p>
    <w:p w14:paraId="161ED91A" w14:textId="77777777" w:rsidR="00B2442D" w:rsidRDefault="00B2442D">
      <w:pPr>
        <w:jc w:val="both"/>
        <w:rPr>
          <w:rFonts w:ascii="Arial" w:hAnsi="Arial" w:cs="Arial"/>
          <w:lang w:val="es-CO"/>
        </w:rPr>
      </w:pPr>
    </w:p>
    <w:p w14:paraId="387B811A" w14:textId="77777777" w:rsidR="00B2442D" w:rsidRDefault="008A645F">
      <w:pPr>
        <w:pStyle w:val="Prrafodelista"/>
        <w:numPr>
          <w:ilvl w:val="0"/>
          <w:numId w:val="82"/>
        </w:numPr>
        <w:ind w:left="0" w:firstLine="0"/>
        <w:jc w:val="both"/>
        <w:rPr>
          <w:rFonts w:ascii="Arial" w:hAnsi="Arial" w:cs="Arial"/>
          <w:lang w:val="es-CO"/>
        </w:rPr>
      </w:pPr>
      <w:r>
        <w:rPr>
          <w:rFonts w:ascii="Arial" w:hAnsi="Arial" w:cs="Arial"/>
          <w:b/>
          <w:i/>
          <w:lang w:val="es-CO"/>
        </w:rPr>
        <w:t>Plazo para declarar.</w:t>
      </w:r>
      <w:r>
        <w:rPr>
          <w:rFonts w:ascii="Arial" w:hAnsi="Arial" w:cs="Arial"/>
          <w:lang w:val="es-CO"/>
        </w:rPr>
        <w:t xml:space="preserve"> La declaración y pago del impuesto de timbre recaudado en el exterior deberá realizarse dentro de l</w:t>
      </w:r>
      <w:r>
        <w:rPr>
          <w:rFonts w:ascii="Arial" w:hAnsi="Arial" w:cs="Arial"/>
          <w:lang w:val="es-CO"/>
        </w:rPr>
        <w:t xml:space="preserve">os plazos establecidos para declarar y pagar las retenciones en la fuente correspondientes al mes de la transferencia del dinero o recibo del cheque por parte del Fondo Rotatorio del Ministerio de Relaciones Exteriores. </w:t>
      </w:r>
    </w:p>
    <w:p w14:paraId="7514A74C" w14:textId="77777777" w:rsidR="00B2442D" w:rsidRDefault="008A645F">
      <w:pPr>
        <w:jc w:val="both"/>
        <w:rPr>
          <w:rFonts w:ascii="Arial" w:hAnsi="Arial" w:cs="Arial"/>
          <w:lang w:val="es-CO"/>
        </w:rPr>
      </w:pPr>
      <w:r>
        <w:rPr>
          <w:rFonts w:ascii="Arial" w:hAnsi="Arial" w:cs="Arial"/>
          <w:lang w:val="es-CO"/>
        </w:rPr>
        <w:t xml:space="preserve"> </w:t>
      </w:r>
    </w:p>
    <w:p w14:paraId="3462FB2E" w14:textId="77777777" w:rsidR="00B2442D" w:rsidRDefault="008A645F">
      <w:pPr>
        <w:jc w:val="both"/>
        <w:rPr>
          <w:rFonts w:ascii="Arial" w:hAnsi="Arial" w:cs="Arial"/>
          <w:lang w:val="es-CO"/>
        </w:rPr>
      </w:pPr>
      <w:r>
        <w:rPr>
          <w:rFonts w:ascii="Arial" w:hAnsi="Arial" w:cs="Arial"/>
          <w:lang w:val="es-CO"/>
        </w:rPr>
        <w:t>De las sumas recaudadas en el ext</w:t>
      </w:r>
      <w:r>
        <w:rPr>
          <w:rFonts w:ascii="Arial" w:hAnsi="Arial" w:cs="Arial"/>
          <w:lang w:val="es-CO"/>
        </w:rPr>
        <w:t>erior por concepto del impuesto de timbre se descontarán los costos de giro y transferencia.</w:t>
      </w:r>
    </w:p>
    <w:p w14:paraId="544AF531" w14:textId="77777777" w:rsidR="00B2442D" w:rsidRDefault="00B2442D">
      <w:pPr>
        <w:jc w:val="both"/>
        <w:rPr>
          <w:rFonts w:ascii="Arial" w:hAnsi="Arial" w:cs="Arial"/>
          <w:i/>
          <w:lang w:val="es-CO"/>
        </w:rPr>
      </w:pPr>
    </w:p>
    <w:p w14:paraId="5AAD3EB4" w14:textId="77777777" w:rsidR="00B2442D" w:rsidRDefault="008A645F">
      <w:pPr>
        <w:jc w:val="both"/>
        <w:rPr>
          <w:rFonts w:ascii="Arial" w:hAnsi="Arial" w:cs="Arial"/>
          <w:i/>
          <w:lang w:val="es-CO"/>
        </w:rPr>
      </w:pPr>
      <w:r>
        <w:rPr>
          <w:rFonts w:ascii="Arial" w:hAnsi="Arial" w:cs="Arial"/>
          <w:i/>
          <w:lang w:val="es-CO"/>
        </w:rPr>
        <w:t>(Art. 5, Decreto 0747 de 1996)</w:t>
      </w:r>
    </w:p>
    <w:p w14:paraId="434B5A6E" w14:textId="77777777" w:rsidR="00B2442D" w:rsidRDefault="00B2442D">
      <w:pPr>
        <w:jc w:val="both"/>
        <w:rPr>
          <w:rFonts w:ascii="Arial" w:hAnsi="Arial" w:cs="Arial"/>
          <w:lang w:val="es-CO"/>
        </w:rPr>
      </w:pPr>
    </w:p>
    <w:p w14:paraId="3CD8FC09" w14:textId="77777777" w:rsidR="00B2442D" w:rsidRDefault="008A645F">
      <w:pPr>
        <w:pStyle w:val="Prrafodelista"/>
        <w:numPr>
          <w:ilvl w:val="0"/>
          <w:numId w:val="82"/>
        </w:numPr>
        <w:ind w:left="0" w:firstLine="0"/>
        <w:jc w:val="both"/>
        <w:rPr>
          <w:rFonts w:ascii="Arial" w:hAnsi="Arial" w:cs="Arial"/>
          <w:lang w:val="es-CO"/>
        </w:rPr>
      </w:pPr>
      <w:r>
        <w:rPr>
          <w:rFonts w:ascii="Arial" w:hAnsi="Arial" w:cs="Arial"/>
          <w:b/>
          <w:i/>
          <w:lang w:val="es-CO"/>
        </w:rPr>
        <w:t>Tasa de cambio aplicable.</w:t>
      </w:r>
      <w:r>
        <w:rPr>
          <w:rFonts w:ascii="Arial" w:hAnsi="Arial" w:cs="Arial"/>
          <w:lang w:val="es-CO"/>
        </w:rPr>
        <w:t xml:space="preserve"> Los valores recaudados por concepto del impuesto de timbre en el Exterior se cancelarán en moneda nacion</w:t>
      </w:r>
      <w:r>
        <w:rPr>
          <w:rFonts w:ascii="Arial" w:hAnsi="Arial" w:cs="Arial"/>
          <w:lang w:val="es-CO"/>
        </w:rPr>
        <w:t xml:space="preserve">al utilizando la tasa de cambio representativa del mercado para el dólar de Estados Unidos de América vigente a la fecha de la declaración. </w:t>
      </w:r>
    </w:p>
    <w:p w14:paraId="6B49C972" w14:textId="77777777" w:rsidR="00B2442D" w:rsidRDefault="008A645F">
      <w:pPr>
        <w:jc w:val="both"/>
        <w:rPr>
          <w:rFonts w:ascii="Arial" w:hAnsi="Arial" w:cs="Arial"/>
          <w:lang w:val="es-CO"/>
        </w:rPr>
      </w:pPr>
      <w:r>
        <w:rPr>
          <w:rFonts w:ascii="Arial" w:hAnsi="Arial" w:cs="Arial"/>
          <w:lang w:val="es-CO"/>
        </w:rPr>
        <w:t xml:space="preserve"> </w:t>
      </w:r>
    </w:p>
    <w:p w14:paraId="08C21500" w14:textId="77777777" w:rsidR="00B2442D" w:rsidRDefault="008A645F">
      <w:pPr>
        <w:jc w:val="both"/>
        <w:rPr>
          <w:rFonts w:ascii="Arial" w:hAnsi="Arial" w:cs="Arial"/>
          <w:lang w:val="es-CO"/>
        </w:rPr>
      </w:pPr>
      <w:r>
        <w:rPr>
          <w:rFonts w:ascii="Arial" w:hAnsi="Arial" w:cs="Arial"/>
          <w:lang w:val="es-CO"/>
        </w:rPr>
        <w:t>Los agentes consulares y los agentes diplomáticos del Gobierno Colombiano cuando cumplan funciones consulares, de</w:t>
      </w:r>
      <w:r>
        <w:rPr>
          <w:rFonts w:ascii="Arial" w:hAnsi="Arial" w:cs="Arial"/>
          <w:lang w:val="es-CO"/>
        </w:rPr>
        <w:t>berán remitir al Fondo Rotatorio del Ministerio de Relaciones Exteriores, dentro del término señalado en el inciso primero del artículo 1.4.1.2.2 de este Decreto, una relación pormenorizada de los documentos objeto del giro, la fecha de la transacción y la</w:t>
      </w:r>
      <w:r>
        <w:rPr>
          <w:rFonts w:ascii="Arial" w:hAnsi="Arial" w:cs="Arial"/>
          <w:lang w:val="es-CO"/>
        </w:rPr>
        <w:t xml:space="preserve"> fecha de giro correspondiente, con el fin de efectuar los controles pertinentes.</w:t>
      </w:r>
    </w:p>
    <w:p w14:paraId="18AC5AC6" w14:textId="77777777" w:rsidR="00B2442D" w:rsidRDefault="00B2442D">
      <w:pPr>
        <w:jc w:val="both"/>
        <w:rPr>
          <w:rFonts w:ascii="Arial" w:hAnsi="Arial" w:cs="Arial"/>
          <w:i/>
          <w:lang w:val="es-CO"/>
        </w:rPr>
      </w:pPr>
    </w:p>
    <w:p w14:paraId="27231321" w14:textId="77777777" w:rsidR="00B2442D" w:rsidRDefault="008A645F">
      <w:pPr>
        <w:jc w:val="both"/>
        <w:rPr>
          <w:rFonts w:ascii="Arial" w:hAnsi="Arial" w:cs="Arial"/>
          <w:i/>
          <w:lang w:val="es-CO"/>
        </w:rPr>
      </w:pPr>
      <w:r>
        <w:rPr>
          <w:rFonts w:ascii="Arial" w:hAnsi="Arial" w:cs="Arial"/>
          <w:i/>
          <w:lang w:val="es-CO"/>
        </w:rPr>
        <w:t>(Art. 6, Decreto 0747 de 1996)</w:t>
      </w:r>
    </w:p>
    <w:p w14:paraId="07A1B17B" w14:textId="77777777" w:rsidR="00B2442D" w:rsidRDefault="00B2442D">
      <w:pPr>
        <w:jc w:val="both"/>
        <w:rPr>
          <w:rFonts w:ascii="Arial" w:hAnsi="Arial" w:cs="Arial"/>
          <w:lang w:val="es-CO"/>
        </w:rPr>
      </w:pPr>
    </w:p>
    <w:p w14:paraId="61228303" w14:textId="77777777" w:rsidR="00B2442D" w:rsidRDefault="008A645F">
      <w:pPr>
        <w:pStyle w:val="Prrafodelista"/>
        <w:numPr>
          <w:ilvl w:val="0"/>
          <w:numId w:val="82"/>
        </w:numPr>
        <w:ind w:left="0" w:firstLine="0"/>
        <w:jc w:val="both"/>
        <w:rPr>
          <w:rFonts w:ascii="Arial" w:hAnsi="Arial" w:cs="Arial"/>
          <w:lang w:val="es-CO"/>
        </w:rPr>
      </w:pPr>
      <w:r>
        <w:rPr>
          <w:rFonts w:ascii="Arial" w:hAnsi="Arial" w:cs="Arial"/>
          <w:b/>
          <w:i/>
          <w:lang w:val="es-CO"/>
        </w:rPr>
        <w:t>Sanciones.</w:t>
      </w:r>
      <w:r>
        <w:rPr>
          <w:rFonts w:ascii="Arial" w:hAnsi="Arial" w:cs="Arial"/>
          <w:i/>
          <w:lang w:val="es-CO"/>
        </w:rPr>
        <w:t xml:space="preserve"> </w:t>
      </w:r>
      <w:r>
        <w:rPr>
          <w:rFonts w:ascii="Arial" w:hAnsi="Arial" w:cs="Arial"/>
          <w:lang w:val="es-CO"/>
        </w:rPr>
        <w:t xml:space="preserve">A los agentes consulares, a los agentes diplomáticos del Gobierno Colombiano cuando cumplan funciones consulares y a los </w:t>
      </w:r>
      <w:r>
        <w:rPr>
          <w:rFonts w:ascii="Arial" w:hAnsi="Arial" w:cs="Arial"/>
          <w:lang w:val="es-CO"/>
        </w:rPr>
        <w:t>funcionarios del Fondo Rotatorio del Ministerio de Relaciones Exteriores les son aplicables las normas contenidas en el régimen sancionatorio que se consagran en el Libro Quinto del Estatuto Tributario, en caso de no efectuar los giros respectivos, efectua</w:t>
      </w:r>
      <w:r>
        <w:rPr>
          <w:rFonts w:ascii="Arial" w:hAnsi="Arial" w:cs="Arial"/>
          <w:lang w:val="es-CO"/>
        </w:rPr>
        <w:t>rlos tardíamente y, en general, en caso de incumplir las obligaciones a su cargo</w:t>
      </w:r>
    </w:p>
    <w:p w14:paraId="0409074D" w14:textId="77777777" w:rsidR="00B2442D" w:rsidRDefault="00B2442D">
      <w:pPr>
        <w:jc w:val="both"/>
        <w:rPr>
          <w:rFonts w:ascii="Arial" w:hAnsi="Arial" w:cs="Arial"/>
          <w:i/>
          <w:lang w:val="es-CO"/>
        </w:rPr>
      </w:pPr>
    </w:p>
    <w:p w14:paraId="6969B617" w14:textId="77777777" w:rsidR="00B2442D" w:rsidRDefault="008A645F">
      <w:pPr>
        <w:jc w:val="both"/>
        <w:rPr>
          <w:rFonts w:ascii="Arial" w:hAnsi="Arial" w:cs="Arial"/>
          <w:i/>
          <w:lang w:val="es-CO"/>
        </w:rPr>
      </w:pPr>
      <w:r>
        <w:rPr>
          <w:rFonts w:ascii="Arial" w:hAnsi="Arial" w:cs="Arial"/>
          <w:i/>
          <w:lang w:val="es-CO"/>
        </w:rPr>
        <w:t>(Art. 8, Decreto 0747 de 1996)</w:t>
      </w:r>
    </w:p>
    <w:p w14:paraId="177B7523" w14:textId="77777777" w:rsidR="00B2442D" w:rsidRDefault="00B2442D">
      <w:pPr>
        <w:jc w:val="both"/>
        <w:rPr>
          <w:rFonts w:ascii="Arial" w:hAnsi="Arial" w:cs="Arial"/>
          <w:lang w:val="es-CO"/>
        </w:rPr>
      </w:pPr>
    </w:p>
    <w:p w14:paraId="76497EF4" w14:textId="77777777" w:rsidR="00B2442D" w:rsidRDefault="008A645F">
      <w:pPr>
        <w:pStyle w:val="Ttulo4"/>
      </w:pPr>
      <w:r>
        <w:t>CAPÍTULO 4</w:t>
      </w:r>
    </w:p>
    <w:p w14:paraId="7C983C2A" w14:textId="77777777" w:rsidR="00B2442D" w:rsidRDefault="008A645F">
      <w:pPr>
        <w:pStyle w:val="Ttulo4"/>
      </w:pPr>
      <w:r>
        <w:t>Causación y base gravable del impuesto de timbre nacional para algunas actuaciones</w:t>
      </w:r>
    </w:p>
    <w:p w14:paraId="77491C41" w14:textId="77777777" w:rsidR="00B2442D" w:rsidRDefault="00B2442D">
      <w:pPr>
        <w:rPr>
          <w:rFonts w:ascii="Arial" w:hAnsi="Arial" w:cs="Arial"/>
        </w:rPr>
      </w:pPr>
    </w:p>
    <w:p w14:paraId="4ACDD356"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 xml:space="preserve">Causación y retención del impuesto de </w:t>
      </w:r>
      <w:r>
        <w:rPr>
          <w:rFonts w:ascii="Arial" w:hAnsi="Arial" w:cs="Arial"/>
          <w:b/>
          <w:i/>
          <w:lang w:val="es-CO"/>
        </w:rPr>
        <w:t>timbre nacional.</w:t>
      </w:r>
      <w:r>
        <w:rPr>
          <w:rFonts w:ascii="Arial" w:hAnsi="Arial" w:cs="Arial"/>
          <w:lang w:val="es-CO"/>
        </w:rPr>
        <w:t xml:space="preserve"> Para efectos del ordinal c) del artículo 16 de la Ley que se reglamenta, (hoy literal c) del artículo 527 del E.T.)  cuando el cuentacorrentista, previa autorización del impuesto bancario, ordene imprimir por su cuenta las chequeras, el im</w:t>
      </w:r>
      <w:r>
        <w:rPr>
          <w:rFonts w:ascii="Arial" w:hAnsi="Arial" w:cs="Arial"/>
          <w:lang w:val="es-CO"/>
        </w:rPr>
        <w:t>puesto se causará y deberá retenerse en el momento de la entrega de estas por parte del impresor al cuentacorrentista.</w:t>
      </w:r>
    </w:p>
    <w:p w14:paraId="55316F78" w14:textId="77777777" w:rsidR="00B2442D" w:rsidRDefault="00B2442D">
      <w:pPr>
        <w:jc w:val="both"/>
        <w:rPr>
          <w:rFonts w:ascii="Arial" w:hAnsi="Arial" w:cs="Arial"/>
          <w:i/>
          <w:lang w:val="es-CO"/>
        </w:rPr>
      </w:pPr>
    </w:p>
    <w:p w14:paraId="648E37A4" w14:textId="77777777" w:rsidR="00B2442D" w:rsidRDefault="008A645F">
      <w:pPr>
        <w:jc w:val="both"/>
        <w:rPr>
          <w:rFonts w:ascii="Arial" w:hAnsi="Arial" w:cs="Arial"/>
          <w:i/>
          <w:lang w:val="es-CO"/>
        </w:rPr>
      </w:pPr>
      <w:r>
        <w:rPr>
          <w:rFonts w:ascii="Arial" w:hAnsi="Arial" w:cs="Arial"/>
          <w:i/>
          <w:lang w:val="es-CO"/>
        </w:rPr>
        <w:t>(Art. 9, Decreto 1222 de 1976)</w:t>
      </w:r>
    </w:p>
    <w:p w14:paraId="3EF981BE" w14:textId="77777777" w:rsidR="00B2442D" w:rsidRDefault="00B2442D">
      <w:pPr>
        <w:jc w:val="both"/>
        <w:rPr>
          <w:rFonts w:ascii="Arial" w:hAnsi="Arial" w:cs="Arial"/>
          <w:lang w:val="es-CO"/>
        </w:rPr>
      </w:pPr>
    </w:p>
    <w:p w14:paraId="04F336D6"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Timbre en modificación de contratos.</w:t>
      </w:r>
      <w:r>
        <w:rPr>
          <w:rFonts w:ascii="Arial" w:hAnsi="Arial" w:cs="Arial"/>
          <w:lang w:val="es-CO"/>
        </w:rPr>
        <w:t xml:space="preserve"> Cuando se modifique la cuantía de un contrato sobre el cual se hubi</w:t>
      </w:r>
      <w:r>
        <w:rPr>
          <w:rFonts w:ascii="Arial" w:hAnsi="Arial" w:cs="Arial"/>
          <w:lang w:val="es-CO"/>
        </w:rPr>
        <w:t>ere pagado impuesto de timbre, y la modificación implique un mayor valor del contrato original, se deberá pagar el impuesto sobre la diferencia, siempre y cuando esta, sumada a la cuantía del contrato original, exceda la suma mínima no sometida al gravamen</w:t>
      </w:r>
      <w:r>
        <w:rPr>
          <w:rFonts w:ascii="Arial" w:hAnsi="Arial" w:cs="Arial"/>
          <w:lang w:val="es-CO"/>
        </w:rPr>
        <w:t xml:space="preserve"> de conformidad con el artículo 519 del Estatuto Tributario. Cuando la modificación implique un menor valor del contrato no se deberá liquidar impuesto de timbre adicional.</w:t>
      </w:r>
    </w:p>
    <w:p w14:paraId="018B56EF" w14:textId="77777777" w:rsidR="00B2442D" w:rsidRDefault="00B2442D">
      <w:pPr>
        <w:jc w:val="both"/>
        <w:rPr>
          <w:rFonts w:ascii="Arial" w:hAnsi="Arial" w:cs="Arial"/>
          <w:i/>
          <w:lang w:val="es-CO"/>
        </w:rPr>
      </w:pPr>
    </w:p>
    <w:p w14:paraId="5992C239" w14:textId="77777777" w:rsidR="00B2442D" w:rsidRDefault="008A645F">
      <w:pPr>
        <w:jc w:val="both"/>
        <w:rPr>
          <w:rFonts w:ascii="Arial" w:hAnsi="Arial" w:cs="Arial"/>
          <w:i/>
          <w:lang w:val="es-CO"/>
        </w:rPr>
      </w:pPr>
      <w:r>
        <w:rPr>
          <w:rFonts w:ascii="Arial" w:hAnsi="Arial" w:cs="Arial"/>
          <w:i/>
          <w:lang w:val="es-CO"/>
        </w:rPr>
        <w:t>(Art. 27, Decreto 0836 de 1991)</w:t>
      </w:r>
    </w:p>
    <w:p w14:paraId="6E31F5C6" w14:textId="77777777" w:rsidR="00B2442D" w:rsidRDefault="00B2442D">
      <w:pPr>
        <w:jc w:val="both"/>
        <w:rPr>
          <w:rFonts w:ascii="Arial" w:hAnsi="Arial" w:cs="Arial"/>
          <w:lang w:val="es-CO"/>
        </w:rPr>
      </w:pPr>
    </w:p>
    <w:p w14:paraId="0DAE95E8"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Causación del impuesto de timbre en los contratos</w:t>
      </w:r>
      <w:r>
        <w:rPr>
          <w:rFonts w:ascii="Arial" w:hAnsi="Arial" w:cs="Arial"/>
          <w:b/>
          <w:i/>
          <w:lang w:val="es-CO"/>
        </w:rPr>
        <w:t xml:space="preserve"> de leasing sobre embarcaciones mayores y aeronaves.</w:t>
      </w:r>
      <w:r>
        <w:rPr>
          <w:rFonts w:ascii="Arial" w:hAnsi="Arial" w:cs="Arial"/>
          <w:lang w:val="es-CO"/>
        </w:rPr>
        <w:t xml:space="preserve"> En el caso de los contratos de arrendamiento financiero o </w:t>
      </w:r>
      <w:r>
        <w:rPr>
          <w:rFonts w:ascii="Arial" w:hAnsi="Arial" w:cs="Arial"/>
          <w:i/>
          <w:lang w:val="es-CO"/>
        </w:rPr>
        <w:t>leasing</w:t>
      </w:r>
      <w:r>
        <w:rPr>
          <w:rFonts w:ascii="Arial" w:hAnsi="Arial" w:cs="Arial"/>
          <w:lang w:val="es-CO"/>
        </w:rPr>
        <w:t xml:space="preserve"> que recaigan sobre embarcaciones mayores o aeronaves, el impuesto de timbre sólo se causará si vencido el contrato no se hiciere uso de l</w:t>
      </w:r>
      <w:r>
        <w:rPr>
          <w:rFonts w:ascii="Arial" w:hAnsi="Arial" w:cs="Arial"/>
          <w:lang w:val="es-CO"/>
        </w:rPr>
        <w:t>a opción de compra. En este caso, el impuesto se liquidará sobre el valor total de los cánones pagados y/o causados hasta el momento del vencimiento del contrato.</w:t>
      </w:r>
    </w:p>
    <w:p w14:paraId="7DB9AB30" w14:textId="77777777" w:rsidR="00B2442D" w:rsidRDefault="00B2442D">
      <w:pPr>
        <w:jc w:val="both"/>
        <w:rPr>
          <w:rFonts w:ascii="Arial" w:hAnsi="Arial" w:cs="Arial"/>
          <w:i/>
          <w:lang w:val="es-CO"/>
        </w:rPr>
      </w:pPr>
    </w:p>
    <w:p w14:paraId="56E93C55" w14:textId="77777777" w:rsidR="00B2442D" w:rsidRDefault="008A645F">
      <w:pPr>
        <w:jc w:val="both"/>
        <w:rPr>
          <w:rFonts w:ascii="Arial" w:hAnsi="Arial" w:cs="Arial"/>
          <w:i/>
          <w:lang w:val="es-CO"/>
        </w:rPr>
      </w:pPr>
      <w:r>
        <w:rPr>
          <w:rFonts w:ascii="Arial" w:hAnsi="Arial" w:cs="Arial"/>
          <w:i/>
          <w:lang w:val="es-CO"/>
        </w:rPr>
        <w:t>(Art. 26, Decreto 2076 de 1992)</w:t>
      </w:r>
      <w:r>
        <w:rPr>
          <w:rFonts w:ascii="Arial" w:hAnsi="Arial" w:cs="Arial"/>
        </w:rPr>
        <w:t xml:space="preserve"> </w:t>
      </w:r>
      <w:r>
        <w:rPr>
          <w:rFonts w:ascii="Arial" w:hAnsi="Arial" w:cs="Arial"/>
          <w:i/>
          <w:lang w:val="es-CO"/>
        </w:rPr>
        <w:t>(El Decreto 2076 de 1992 rige desde la fecha de su publicaci</w:t>
      </w:r>
      <w:r>
        <w:rPr>
          <w:rFonts w:ascii="Arial" w:hAnsi="Arial" w:cs="Arial"/>
          <w:i/>
          <w:lang w:val="es-CO"/>
        </w:rPr>
        <w:t>ón y deroga además de las normas que le sean contrarias, las siguientes: artículos 13 y 22 del Decreto 1372 de 1992, artículos 4° y 6° del Decreto 1250 de 1992, y el Decreto 2208 de 1991. Art. 44, Decreto 2076 de 1992)</w:t>
      </w:r>
    </w:p>
    <w:p w14:paraId="4CBC784C" w14:textId="77777777" w:rsidR="00B2442D" w:rsidRDefault="00B2442D">
      <w:pPr>
        <w:jc w:val="both"/>
        <w:rPr>
          <w:rFonts w:ascii="Arial" w:hAnsi="Arial" w:cs="Arial"/>
          <w:lang w:val="es-CO"/>
        </w:rPr>
      </w:pPr>
    </w:p>
    <w:p w14:paraId="755FD944"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Causación del impuesto de timbre.</w:t>
      </w:r>
      <w:r>
        <w:rPr>
          <w:rFonts w:ascii="Arial" w:hAnsi="Arial" w:cs="Arial"/>
          <w:lang w:val="es-CO"/>
        </w:rPr>
        <w:t xml:space="preserve"> Si</w:t>
      </w:r>
      <w:r>
        <w:rPr>
          <w:rFonts w:ascii="Arial" w:hAnsi="Arial" w:cs="Arial"/>
          <w:lang w:val="es-CO"/>
        </w:rPr>
        <w:t>n perjuicio de lo contemplado en el artículo 527 del E.T., el impuesto de timbre nacional se causa en el momento del otorgamiento, suscripción, giro, expedición, aceptación, vencimiento, prórroga o pago, del instrumento, documento o título, el que ocurra p</w:t>
      </w:r>
      <w:r>
        <w:rPr>
          <w:rFonts w:ascii="Arial" w:hAnsi="Arial" w:cs="Arial"/>
          <w:lang w:val="es-CO"/>
        </w:rPr>
        <w:t>rimero.</w:t>
      </w:r>
    </w:p>
    <w:p w14:paraId="791F07DA" w14:textId="77777777" w:rsidR="00B2442D" w:rsidRDefault="00B2442D">
      <w:pPr>
        <w:jc w:val="both"/>
        <w:rPr>
          <w:rFonts w:ascii="Arial" w:hAnsi="Arial" w:cs="Arial"/>
          <w:i/>
          <w:lang w:val="es-CO"/>
        </w:rPr>
      </w:pPr>
    </w:p>
    <w:p w14:paraId="367D23AB" w14:textId="77777777" w:rsidR="00B2442D" w:rsidRDefault="008A645F">
      <w:pPr>
        <w:jc w:val="both"/>
        <w:rPr>
          <w:rFonts w:ascii="Arial" w:hAnsi="Arial" w:cs="Arial"/>
          <w:i/>
          <w:lang w:val="es-CO"/>
        </w:rPr>
      </w:pPr>
      <w:r>
        <w:rPr>
          <w:rFonts w:ascii="Arial" w:hAnsi="Arial" w:cs="Arial"/>
          <w:i/>
          <w:lang w:val="es-CO"/>
        </w:rPr>
        <w:t>(Art. 28, Decreto 2076 de 1992)</w:t>
      </w:r>
      <w:r>
        <w:rPr>
          <w:rFonts w:ascii="Arial" w:hAnsi="Arial" w:cs="Arial"/>
        </w:rPr>
        <w:t xml:space="preserve"> </w:t>
      </w:r>
      <w:r>
        <w:rPr>
          <w:rFonts w:ascii="Arial" w:hAnsi="Arial" w:cs="Arial"/>
          <w:i/>
          <w:lang w:val="es-CO"/>
        </w:rPr>
        <w:t xml:space="preserve">(El Decreto 2076 de 1992 rige desde la fecha de su publicación y deroga además de las normas que le sean contrarias, las siguientes: artículos 13 y 22 del Decreto 1372 de 1992, artículos 4° y 6° del Decreto 1250 de </w:t>
      </w:r>
      <w:r>
        <w:rPr>
          <w:rFonts w:ascii="Arial" w:hAnsi="Arial" w:cs="Arial"/>
          <w:i/>
          <w:lang w:val="es-CO"/>
        </w:rPr>
        <w:t>1992, y el Decreto 2208 de 1991. Art. 44, Decreto 2076 de 1992)</w:t>
      </w:r>
    </w:p>
    <w:p w14:paraId="79CE1921" w14:textId="77777777" w:rsidR="00B2442D" w:rsidRDefault="00B2442D">
      <w:pPr>
        <w:jc w:val="both"/>
        <w:rPr>
          <w:rFonts w:ascii="Arial" w:hAnsi="Arial" w:cs="Arial"/>
          <w:lang w:val="es-CO"/>
        </w:rPr>
      </w:pPr>
    </w:p>
    <w:p w14:paraId="72A70829"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Cuantía de los instrumentos y documentos.</w:t>
      </w:r>
      <w:r>
        <w:rPr>
          <w:rFonts w:ascii="Arial" w:hAnsi="Arial" w:cs="Arial"/>
          <w:lang w:val="es-CO"/>
        </w:rPr>
        <w:t xml:space="preserve"> Sin perjuicio de lo previsto en los artículos 521 y 523 del Estatuto Tributario, no se causará el impuesto de timbre sobre los instrumentos públicos y documentos privados cuya cuantía no exceda de $ 15.000.000 (hoy 6.000 UVT). </w:t>
      </w:r>
    </w:p>
    <w:p w14:paraId="0CF112CB" w14:textId="77777777" w:rsidR="00B2442D" w:rsidRDefault="008A645F">
      <w:pPr>
        <w:jc w:val="both"/>
        <w:rPr>
          <w:rFonts w:ascii="Arial" w:hAnsi="Arial" w:cs="Arial"/>
          <w:lang w:val="es-CO"/>
        </w:rPr>
      </w:pPr>
      <w:r>
        <w:rPr>
          <w:rFonts w:ascii="Arial" w:hAnsi="Arial" w:cs="Arial"/>
          <w:lang w:val="es-CO"/>
        </w:rPr>
        <w:t xml:space="preserve"> </w:t>
      </w:r>
    </w:p>
    <w:p w14:paraId="176AC001" w14:textId="77777777" w:rsidR="00B2442D" w:rsidRDefault="008A645F">
      <w:pPr>
        <w:jc w:val="both"/>
        <w:rPr>
          <w:rFonts w:ascii="Arial" w:hAnsi="Arial" w:cs="Arial"/>
          <w:lang w:val="es-CO"/>
        </w:rPr>
      </w:pPr>
      <w:r>
        <w:rPr>
          <w:rFonts w:ascii="Arial" w:hAnsi="Arial" w:cs="Arial"/>
          <w:lang w:val="es-CO"/>
        </w:rPr>
        <w:t>En los documentos de cuan</w:t>
      </w:r>
      <w:r>
        <w:rPr>
          <w:rFonts w:ascii="Arial" w:hAnsi="Arial" w:cs="Arial"/>
          <w:lang w:val="es-CO"/>
        </w:rPr>
        <w:t>tía indeterminada, cuyo máximo valor posible de acuerdo con las cláusulas contenidas en el documento, no exceda de $ 15.000.000 (hoy 6.000 UVT), no se causará el impuesto de timbre. Cuando dicho máximo valor posible exceda dicha cuantía se causará el impue</w:t>
      </w:r>
      <w:r>
        <w:rPr>
          <w:rFonts w:ascii="Arial" w:hAnsi="Arial" w:cs="Arial"/>
          <w:lang w:val="es-CO"/>
        </w:rPr>
        <w:t xml:space="preserve">sto de timbre que proceda. </w:t>
      </w:r>
    </w:p>
    <w:p w14:paraId="75549A10" w14:textId="77777777" w:rsidR="00B2442D" w:rsidRDefault="008A645F">
      <w:pPr>
        <w:jc w:val="both"/>
        <w:rPr>
          <w:rFonts w:ascii="Arial" w:hAnsi="Arial" w:cs="Arial"/>
          <w:lang w:val="es-CO"/>
        </w:rPr>
      </w:pPr>
      <w:r>
        <w:rPr>
          <w:rFonts w:ascii="Arial" w:hAnsi="Arial" w:cs="Arial"/>
          <w:lang w:val="es-CO"/>
        </w:rPr>
        <w:t xml:space="preserve"> </w:t>
      </w:r>
    </w:p>
    <w:p w14:paraId="49A73E64" w14:textId="77777777" w:rsidR="00B2442D" w:rsidRDefault="008A645F">
      <w:pPr>
        <w:jc w:val="both"/>
        <w:rPr>
          <w:rFonts w:ascii="Arial" w:hAnsi="Arial" w:cs="Arial"/>
          <w:lang w:val="es-CO"/>
        </w:rPr>
      </w:pPr>
      <w:r>
        <w:rPr>
          <w:rFonts w:ascii="Arial" w:hAnsi="Arial" w:cs="Arial"/>
          <w:lang w:val="es-CO"/>
        </w:rPr>
        <w:t>Cuando de conformidad con el inciso segundo de este artículo no se haya liquidado impuesto de timbre, pero de la ejecución de las obligaciones que constan en el documento se llegare a un valor superior a $ 15.000.000 (hoy 6.00</w:t>
      </w:r>
      <w:r>
        <w:rPr>
          <w:rFonts w:ascii="Arial" w:hAnsi="Arial" w:cs="Arial"/>
          <w:lang w:val="es-CO"/>
        </w:rPr>
        <w:t>0 UVT), se deberá pagar el impuesto de timbre respectivo, sin perjuicio de las sanciones e intereses moratorios a que haya lugar.</w:t>
      </w:r>
    </w:p>
    <w:p w14:paraId="30114F6E" w14:textId="77777777" w:rsidR="00B2442D" w:rsidRDefault="00B2442D">
      <w:pPr>
        <w:jc w:val="both"/>
        <w:rPr>
          <w:rFonts w:ascii="Arial" w:hAnsi="Arial" w:cs="Arial"/>
          <w:i/>
          <w:lang w:val="es-CO"/>
        </w:rPr>
      </w:pPr>
    </w:p>
    <w:p w14:paraId="23210548" w14:textId="77777777" w:rsidR="00B2442D" w:rsidRDefault="008A645F">
      <w:pPr>
        <w:jc w:val="both"/>
        <w:rPr>
          <w:rFonts w:ascii="Arial" w:hAnsi="Arial" w:cs="Arial"/>
          <w:i/>
          <w:lang w:val="es-CO"/>
        </w:rPr>
      </w:pPr>
      <w:r>
        <w:rPr>
          <w:rFonts w:ascii="Arial" w:hAnsi="Arial" w:cs="Arial"/>
          <w:i/>
          <w:lang w:val="es-CO"/>
        </w:rPr>
        <w:t>(Art. 29, Decreto 2076 de 1992, actualizado el monto por el artículo 72 de la Ley 1111 de 2006)</w:t>
      </w:r>
      <w:r>
        <w:rPr>
          <w:rFonts w:ascii="Arial" w:hAnsi="Arial" w:cs="Arial"/>
        </w:rPr>
        <w:t xml:space="preserve"> </w:t>
      </w:r>
      <w:r>
        <w:rPr>
          <w:rFonts w:ascii="Arial" w:hAnsi="Arial" w:cs="Arial"/>
          <w:i/>
          <w:lang w:val="es-CO"/>
        </w:rPr>
        <w:t>(El Decreto 2076 de 1992 rige</w:t>
      </w:r>
      <w:r>
        <w:rPr>
          <w:rFonts w:ascii="Arial" w:hAnsi="Arial" w:cs="Arial"/>
          <w:i/>
          <w:lang w:val="es-CO"/>
        </w:rPr>
        <w:t xml:space="preserve"> desde la fecha de su publicación y deroga además de las normas que le sean contrarias, las siguientes: artículos 13 y 22 del Decreto 1372 de 1992, artículos 4° y 6° del Decreto 1250 de 1992, y el Decreto 2208 de 1991. Art. 44, Decreto 2076 de 1992)</w:t>
      </w:r>
    </w:p>
    <w:p w14:paraId="44D45839" w14:textId="77777777" w:rsidR="00B2442D" w:rsidRDefault="00B2442D">
      <w:pPr>
        <w:jc w:val="both"/>
        <w:rPr>
          <w:rFonts w:ascii="Arial" w:hAnsi="Arial" w:cs="Arial"/>
          <w:lang w:val="es-CO"/>
        </w:rPr>
      </w:pPr>
    </w:p>
    <w:p w14:paraId="21495DF9"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Causa</w:t>
      </w:r>
      <w:r>
        <w:rPr>
          <w:rFonts w:ascii="Arial" w:hAnsi="Arial" w:cs="Arial"/>
          <w:b/>
          <w:i/>
          <w:lang w:val="es-CO"/>
        </w:rPr>
        <w:t xml:space="preserve">ción del impuesto de timbre en los pagarés en blanco. </w:t>
      </w:r>
      <w:r>
        <w:rPr>
          <w:rFonts w:ascii="Arial" w:hAnsi="Arial" w:cs="Arial"/>
          <w:lang w:val="es-CO"/>
        </w:rPr>
        <w:t>En el caso de pagarés en blanco exigidos por entidades financieras vigiladas por la Superintendencia Financiera de Colombia o entidades públicas, el impuesto de timbre sólo se causará cuando el instrume</w:t>
      </w:r>
      <w:r>
        <w:rPr>
          <w:rFonts w:ascii="Arial" w:hAnsi="Arial" w:cs="Arial"/>
          <w:lang w:val="es-CO"/>
        </w:rPr>
        <w:t>nto se utilice para hacer exigible el pago de las obligaciones en él contenidas.</w:t>
      </w:r>
    </w:p>
    <w:p w14:paraId="16A6D614" w14:textId="77777777" w:rsidR="00B2442D" w:rsidRDefault="00B2442D">
      <w:pPr>
        <w:jc w:val="both"/>
        <w:rPr>
          <w:rFonts w:ascii="Arial" w:hAnsi="Arial" w:cs="Arial"/>
          <w:i/>
          <w:lang w:val="es-CO"/>
        </w:rPr>
      </w:pPr>
    </w:p>
    <w:p w14:paraId="196F6EB9" w14:textId="77777777" w:rsidR="00B2442D" w:rsidRDefault="008A645F">
      <w:pPr>
        <w:jc w:val="both"/>
        <w:rPr>
          <w:rFonts w:ascii="Arial" w:hAnsi="Arial" w:cs="Arial"/>
          <w:i/>
          <w:lang w:val="es-CO"/>
        </w:rPr>
      </w:pPr>
      <w:r>
        <w:rPr>
          <w:rFonts w:ascii="Arial" w:hAnsi="Arial" w:cs="Arial"/>
          <w:i/>
          <w:lang w:val="es-CO"/>
        </w:rPr>
        <w:t>(Art. 30,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w:t>
      </w:r>
      <w:r>
        <w:rPr>
          <w:rFonts w:ascii="Arial" w:hAnsi="Arial" w:cs="Arial"/>
          <w:i/>
          <w:lang w:val="es-CO"/>
        </w:rPr>
        <w:t xml:space="preserve"> 13 y 22 del Decreto 1372 de 1992, artículos 4° y 6° del Decreto 1250 de 1992, y el Decreto 2208 de 1991. Art. 44, Decreto 2076 de 1992)</w:t>
      </w:r>
    </w:p>
    <w:p w14:paraId="62F75E2F" w14:textId="77777777" w:rsidR="00B2442D" w:rsidRDefault="00B2442D">
      <w:pPr>
        <w:jc w:val="both"/>
        <w:rPr>
          <w:rFonts w:ascii="Arial" w:hAnsi="Arial" w:cs="Arial"/>
          <w:lang w:val="es-CO"/>
        </w:rPr>
      </w:pPr>
    </w:p>
    <w:p w14:paraId="46E52D01"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Base gravable en la fiducia, la agencia mercantil y en la administración delegada.</w:t>
      </w:r>
      <w:r>
        <w:rPr>
          <w:rFonts w:ascii="Arial" w:hAnsi="Arial" w:cs="Arial"/>
          <w:lang w:val="es-CO"/>
        </w:rPr>
        <w:t xml:space="preserve"> En los contratos de fiducia mercant</w:t>
      </w:r>
      <w:r>
        <w:rPr>
          <w:rFonts w:ascii="Arial" w:hAnsi="Arial" w:cs="Arial"/>
          <w:lang w:val="es-CO"/>
        </w:rPr>
        <w:t xml:space="preserve">il y en los encargos fiduciarios, el impuesto de timbre se causará a la tarifa prevista en la Ley aplicada sobre la remuneración que corresponde según el respectivo contrato, a favor de la entidad fiduciaria. </w:t>
      </w:r>
    </w:p>
    <w:p w14:paraId="60FC69D6" w14:textId="77777777" w:rsidR="00B2442D" w:rsidRDefault="008A645F">
      <w:pPr>
        <w:jc w:val="both"/>
        <w:rPr>
          <w:rFonts w:ascii="Arial" w:hAnsi="Arial" w:cs="Arial"/>
          <w:lang w:val="es-CO"/>
        </w:rPr>
      </w:pPr>
      <w:r>
        <w:rPr>
          <w:rFonts w:ascii="Arial" w:hAnsi="Arial" w:cs="Arial"/>
          <w:lang w:val="es-CO"/>
        </w:rPr>
        <w:t xml:space="preserve"> </w:t>
      </w:r>
    </w:p>
    <w:p w14:paraId="4E7514DA" w14:textId="77777777" w:rsidR="00B2442D" w:rsidRDefault="008A645F">
      <w:pPr>
        <w:jc w:val="both"/>
        <w:rPr>
          <w:rFonts w:ascii="Arial" w:hAnsi="Arial" w:cs="Arial"/>
          <w:lang w:val="es-CO"/>
        </w:rPr>
      </w:pPr>
      <w:r>
        <w:rPr>
          <w:rFonts w:ascii="Arial" w:hAnsi="Arial" w:cs="Arial"/>
          <w:lang w:val="es-CO"/>
        </w:rPr>
        <w:t>Lo dispuesto en el inciso anterior será apli</w:t>
      </w:r>
      <w:r>
        <w:rPr>
          <w:rFonts w:ascii="Arial" w:hAnsi="Arial" w:cs="Arial"/>
          <w:lang w:val="es-CO"/>
        </w:rPr>
        <w:t>cable en el caso de los contratos de agencia mercantil y de administración delegada, así como a los que den origen a fondos de valores administrados por sociedades comisionistas de bolsa.</w:t>
      </w:r>
    </w:p>
    <w:p w14:paraId="7CADCE6D" w14:textId="77777777" w:rsidR="00B2442D" w:rsidRDefault="00B2442D">
      <w:pPr>
        <w:jc w:val="both"/>
        <w:rPr>
          <w:rFonts w:ascii="Arial" w:hAnsi="Arial" w:cs="Arial"/>
          <w:i/>
          <w:lang w:val="es-CO"/>
        </w:rPr>
      </w:pPr>
    </w:p>
    <w:p w14:paraId="32D526A2" w14:textId="77777777" w:rsidR="00B2442D" w:rsidRDefault="008A645F">
      <w:pPr>
        <w:jc w:val="both"/>
        <w:rPr>
          <w:rFonts w:ascii="Arial" w:hAnsi="Arial" w:cs="Arial"/>
          <w:i/>
          <w:lang w:val="es-CO"/>
        </w:rPr>
      </w:pPr>
      <w:r>
        <w:rPr>
          <w:rFonts w:ascii="Arial" w:hAnsi="Arial" w:cs="Arial"/>
          <w:i/>
          <w:lang w:val="es-CO"/>
        </w:rPr>
        <w:t>(Art. 33, Decreto 2076 de 1992)</w:t>
      </w:r>
      <w:r>
        <w:rPr>
          <w:rFonts w:ascii="Arial" w:hAnsi="Arial" w:cs="Arial"/>
        </w:rPr>
        <w:t xml:space="preserve"> </w:t>
      </w:r>
      <w:r>
        <w:rPr>
          <w:rFonts w:ascii="Arial" w:hAnsi="Arial" w:cs="Arial"/>
          <w:i/>
          <w:lang w:val="es-CO"/>
        </w:rPr>
        <w:t>(El Decreto 2076 de 1992 rige desde</w:t>
      </w:r>
      <w:r>
        <w:rPr>
          <w:rFonts w:ascii="Arial" w:hAnsi="Arial" w:cs="Arial"/>
          <w:i/>
          <w:lang w:val="es-CO"/>
        </w:rPr>
        <w:t xml:space="preserve"> la fecha de su publicación y deroga además de las normas que le sean contrarias, las siguientes: artículos 13 y 22 del Decreto 1372 de 1992, artículos 4° y 6° del Decreto 1250 de 1992, y el Decreto 2208 de 1991. Art. 44, Decreto 2076 de 1992)</w:t>
      </w:r>
    </w:p>
    <w:p w14:paraId="3637D238" w14:textId="77777777" w:rsidR="00B2442D" w:rsidRDefault="00B2442D">
      <w:pPr>
        <w:jc w:val="both"/>
        <w:rPr>
          <w:rFonts w:ascii="Arial" w:hAnsi="Arial" w:cs="Arial"/>
          <w:lang w:val="es-CO"/>
        </w:rPr>
      </w:pPr>
    </w:p>
    <w:p w14:paraId="16887F1F"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Impuesto de</w:t>
      </w:r>
      <w:r>
        <w:rPr>
          <w:rFonts w:ascii="Arial" w:hAnsi="Arial" w:cs="Arial"/>
          <w:b/>
          <w:i/>
          <w:lang w:val="es-CO"/>
        </w:rPr>
        <w:t xml:space="preserve"> timbre en contratos de suministro de combustibles.</w:t>
      </w:r>
      <w:r>
        <w:rPr>
          <w:rFonts w:ascii="Arial" w:hAnsi="Arial" w:cs="Arial"/>
          <w:lang w:val="es-CO"/>
        </w:rPr>
        <w:t xml:space="preserve"> En los contratos cuyo objeto sea el suministro de combustibles derivados del petróleo sometidos al control oficial de precios, el impuesto de timbre se causará a la tarifa prevista en la Ley sobre los már</w:t>
      </w:r>
      <w:r>
        <w:rPr>
          <w:rFonts w:ascii="Arial" w:hAnsi="Arial" w:cs="Arial"/>
          <w:lang w:val="es-CO"/>
        </w:rPr>
        <w:t>genes de comercialización establecidos por el Ministerio de Minas y Energía incorporados dentro del respectivo contrato.</w:t>
      </w:r>
    </w:p>
    <w:p w14:paraId="0D817466" w14:textId="77777777" w:rsidR="00B2442D" w:rsidRDefault="00B2442D">
      <w:pPr>
        <w:jc w:val="both"/>
        <w:rPr>
          <w:rFonts w:ascii="Arial" w:hAnsi="Arial" w:cs="Arial"/>
          <w:i/>
          <w:lang w:val="es-CO"/>
        </w:rPr>
      </w:pPr>
    </w:p>
    <w:p w14:paraId="3A5B2002" w14:textId="77777777" w:rsidR="00B2442D" w:rsidRDefault="008A645F">
      <w:pPr>
        <w:jc w:val="both"/>
        <w:rPr>
          <w:rFonts w:ascii="Arial" w:hAnsi="Arial" w:cs="Arial"/>
          <w:i/>
          <w:lang w:val="es-CO"/>
        </w:rPr>
      </w:pPr>
      <w:r>
        <w:rPr>
          <w:rFonts w:ascii="Arial" w:hAnsi="Arial" w:cs="Arial"/>
          <w:i/>
          <w:lang w:val="es-CO"/>
        </w:rPr>
        <w:t>(Art. 34, Decreto 2076 de 1992)</w:t>
      </w:r>
      <w:r>
        <w:rPr>
          <w:rFonts w:ascii="Arial" w:hAnsi="Arial" w:cs="Arial"/>
        </w:rPr>
        <w:t xml:space="preserve"> </w:t>
      </w:r>
      <w:r>
        <w:rPr>
          <w:rFonts w:ascii="Arial" w:hAnsi="Arial" w:cs="Arial"/>
          <w:i/>
          <w:lang w:val="es-CO"/>
        </w:rPr>
        <w:t xml:space="preserve">(El Decreto 2076 de 1992 rige desde la fecha de su publicación y deroga además de las normas que le </w:t>
      </w:r>
      <w:r>
        <w:rPr>
          <w:rFonts w:ascii="Arial" w:hAnsi="Arial" w:cs="Arial"/>
          <w:i/>
          <w:lang w:val="es-CO"/>
        </w:rPr>
        <w:t>sean contrarias, las siguientes: artículos 13 y 22 del Decreto 1372 de 1992, artículos 4° y 6° del Decreto 1250 de 1992, y el Decreto 2208 de 1991. Art. 44, Decreto 2076 de 1992)</w:t>
      </w:r>
    </w:p>
    <w:p w14:paraId="54E7B3FB" w14:textId="77777777" w:rsidR="00B2442D" w:rsidRDefault="00B2442D">
      <w:pPr>
        <w:jc w:val="both"/>
        <w:rPr>
          <w:rFonts w:ascii="Arial" w:hAnsi="Arial" w:cs="Arial"/>
          <w:lang w:val="es-CO"/>
        </w:rPr>
      </w:pPr>
    </w:p>
    <w:p w14:paraId="57F09A6B"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Impuesto de timbre en las cartas de crédito.</w:t>
      </w:r>
      <w:r>
        <w:rPr>
          <w:rFonts w:ascii="Arial" w:hAnsi="Arial" w:cs="Arial"/>
          <w:lang w:val="es-CO"/>
        </w:rPr>
        <w:t xml:space="preserve"> En el caso de las cartas de cré</w:t>
      </w:r>
      <w:r>
        <w:rPr>
          <w:rFonts w:ascii="Arial" w:hAnsi="Arial" w:cs="Arial"/>
          <w:lang w:val="es-CO"/>
        </w:rPr>
        <w:t>dito, el Impuesto de Timbre se causará al momento en que esta se haga efectiva.</w:t>
      </w:r>
    </w:p>
    <w:p w14:paraId="4460ECD6" w14:textId="77777777" w:rsidR="00B2442D" w:rsidRDefault="00B2442D">
      <w:pPr>
        <w:rPr>
          <w:rFonts w:ascii="Arial" w:hAnsi="Arial" w:cs="Arial"/>
          <w:i/>
          <w:lang w:val="es-CO"/>
        </w:rPr>
      </w:pPr>
    </w:p>
    <w:p w14:paraId="556AB225" w14:textId="77777777" w:rsidR="00B2442D" w:rsidRDefault="008A645F">
      <w:pPr>
        <w:rPr>
          <w:rFonts w:ascii="Arial" w:hAnsi="Arial" w:cs="Arial"/>
          <w:i/>
          <w:lang w:val="es-CO"/>
        </w:rPr>
      </w:pPr>
      <w:r>
        <w:rPr>
          <w:rFonts w:ascii="Arial" w:hAnsi="Arial" w:cs="Arial"/>
          <w:i/>
          <w:lang w:val="es-CO"/>
        </w:rPr>
        <w:t>(Art. 4, Decreto 0180 de 1993)</w:t>
      </w:r>
    </w:p>
    <w:p w14:paraId="79411E90" w14:textId="77777777" w:rsidR="00B2442D" w:rsidRDefault="00B2442D">
      <w:pPr>
        <w:jc w:val="both"/>
        <w:rPr>
          <w:rFonts w:ascii="Arial" w:hAnsi="Arial" w:cs="Arial"/>
          <w:lang w:val="es-CO"/>
        </w:rPr>
      </w:pPr>
    </w:p>
    <w:p w14:paraId="523E7472"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Impuesto de timbre en contratos de colocación de acciones, bonos o papeles</w:t>
      </w:r>
      <w:r>
        <w:rPr>
          <w:rFonts w:ascii="Arial" w:hAnsi="Arial" w:cs="Arial"/>
          <w:i/>
          <w:lang w:val="es-CO"/>
        </w:rPr>
        <w:t>.</w:t>
      </w:r>
      <w:r>
        <w:rPr>
          <w:rFonts w:ascii="Arial" w:hAnsi="Arial" w:cs="Arial"/>
          <w:lang w:val="es-CO"/>
        </w:rPr>
        <w:t xml:space="preserve"> En las operaciones del mercado de capitales mediante las cuales una entidad financiera o comisionista de bolsa se compromete a colocar valores de otra entidad, el impuesto de timbre se causará a la tarifa prevista en la Ley aplicada sobre la remuneración </w:t>
      </w:r>
      <w:r>
        <w:rPr>
          <w:rFonts w:ascii="Arial" w:hAnsi="Arial" w:cs="Arial"/>
          <w:lang w:val="es-CO"/>
        </w:rPr>
        <w:t>que corresponda, según el respectivo contrato, a favor de la entidad financiera o comisionista de bolsa.</w:t>
      </w:r>
    </w:p>
    <w:p w14:paraId="41061640" w14:textId="77777777" w:rsidR="00B2442D" w:rsidRDefault="00B2442D">
      <w:pPr>
        <w:jc w:val="both"/>
        <w:rPr>
          <w:rFonts w:ascii="Arial" w:hAnsi="Arial" w:cs="Arial"/>
          <w:i/>
          <w:lang w:val="es-CO"/>
        </w:rPr>
      </w:pPr>
    </w:p>
    <w:p w14:paraId="2190711D" w14:textId="77777777" w:rsidR="00B2442D" w:rsidRDefault="008A645F">
      <w:pPr>
        <w:jc w:val="both"/>
        <w:rPr>
          <w:rFonts w:ascii="Arial" w:hAnsi="Arial" w:cs="Arial"/>
          <w:i/>
          <w:lang w:val="es-CO"/>
        </w:rPr>
      </w:pPr>
      <w:r>
        <w:rPr>
          <w:rFonts w:ascii="Arial" w:hAnsi="Arial" w:cs="Arial"/>
          <w:i/>
          <w:lang w:val="es-CO"/>
        </w:rPr>
        <w:t>(Art. 5, Decreto 0602 de 1993)</w:t>
      </w:r>
    </w:p>
    <w:p w14:paraId="3D503389" w14:textId="77777777" w:rsidR="00B2442D" w:rsidRDefault="00B2442D">
      <w:pPr>
        <w:jc w:val="both"/>
        <w:rPr>
          <w:rFonts w:ascii="Arial" w:hAnsi="Arial" w:cs="Arial"/>
          <w:lang w:val="es-CO"/>
        </w:rPr>
      </w:pPr>
    </w:p>
    <w:p w14:paraId="48D5EBFB"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Exclusión del impuesto en la oferta mercantil que genera un contrato escrito posterior.</w:t>
      </w:r>
      <w:r>
        <w:rPr>
          <w:rFonts w:ascii="Arial" w:hAnsi="Arial" w:cs="Arial"/>
          <w:lang w:val="es-CO"/>
        </w:rPr>
        <w:t xml:space="preserve"> Cuando la oferta mercantil ace</w:t>
      </w:r>
      <w:r>
        <w:rPr>
          <w:rFonts w:ascii="Arial" w:hAnsi="Arial" w:cs="Arial"/>
          <w:lang w:val="es-CO"/>
        </w:rPr>
        <w:t>ptada se concrete posteriormente en un contrato escrito, sólo se causará el impuesto de timbre sobre este último.</w:t>
      </w:r>
    </w:p>
    <w:p w14:paraId="51CAD486" w14:textId="77777777" w:rsidR="00B2442D" w:rsidRDefault="00B2442D">
      <w:pPr>
        <w:jc w:val="both"/>
        <w:rPr>
          <w:rFonts w:ascii="Arial" w:hAnsi="Arial" w:cs="Arial"/>
          <w:i/>
          <w:lang w:val="es-CO"/>
        </w:rPr>
      </w:pPr>
    </w:p>
    <w:p w14:paraId="6D47F870" w14:textId="77777777" w:rsidR="00B2442D" w:rsidRDefault="008A645F">
      <w:pPr>
        <w:jc w:val="both"/>
        <w:rPr>
          <w:rFonts w:ascii="Arial" w:hAnsi="Arial" w:cs="Arial"/>
          <w:i/>
          <w:lang w:val="es-CO"/>
        </w:rPr>
      </w:pPr>
      <w:r>
        <w:rPr>
          <w:rFonts w:ascii="Arial" w:hAnsi="Arial" w:cs="Arial"/>
          <w:i/>
          <w:lang w:val="es-CO"/>
        </w:rPr>
        <w:t>(Art. 31,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w:t>
      </w:r>
      <w:r>
        <w:rPr>
          <w:rFonts w:ascii="Arial" w:hAnsi="Arial" w:cs="Arial"/>
          <w:i/>
          <w:lang w:val="es-CO"/>
        </w:rPr>
        <w:t>rarias, las siguientes: artículos 13 y 22 del Decreto 1372 de 1992, artículos 4° y 6° del Decreto 1250 de 1992, y el Decreto 2208 de 1991. Art. 44, Decreto 2076 de 1992)</w:t>
      </w:r>
    </w:p>
    <w:p w14:paraId="7D12BFC5" w14:textId="77777777" w:rsidR="00B2442D" w:rsidRDefault="00B2442D">
      <w:pPr>
        <w:jc w:val="both"/>
        <w:rPr>
          <w:rFonts w:ascii="Arial" w:hAnsi="Arial" w:cs="Arial"/>
          <w:lang w:val="es-CO"/>
        </w:rPr>
      </w:pPr>
    </w:p>
    <w:p w14:paraId="5353D5BC" w14:textId="77777777" w:rsidR="00B2442D" w:rsidRDefault="008A645F">
      <w:pPr>
        <w:pStyle w:val="Prrafodelista"/>
        <w:numPr>
          <w:ilvl w:val="0"/>
          <w:numId w:val="83"/>
        </w:numPr>
        <w:ind w:left="0" w:firstLine="0"/>
        <w:jc w:val="both"/>
        <w:rPr>
          <w:rFonts w:ascii="Arial" w:hAnsi="Arial" w:cs="Arial"/>
          <w:lang w:val="es-CO"/>
        </w:rPr>
      </w:pPr>
      <w:r>
        <w:rPr>
          <w:rFonts w:ascii="Arial" w:hAnsi="Arial" w:cs="Arial"/>
          <w:b/>
          <w:i/>
          <w:lang w:val="es-CO"/>
        </w:rPr>
        <w:t>Impuesto de timbre nacional.</w:t>
      </w:r>
      <w:r>
        <w:rPr>
          <w:rFonts w:ascii="Arial" w:hAnsi="Arial" w:cs="Arial"/>
          <w:lang w:val="es-CO"/>
        </w:rPr>
        <w:t xml:space="preserve"> En los contratos de </w:t>
      </w:r>
      <w:r>
        <w:rPr>
          <w:rFonts w:ascii="Arial" w:hAnsi="Arial" w:cs="Arial"/>
          <w:i/>
          <w:lang w:val="es-CO"/>
        </w:rPr>
        <w:t>leasing</w:t>
      </w:r>
      <w:r>
        <w:rPr>
          <w:rFonts w:ascii="Arial" w:hAnsi="Arial" w:cs="Arial"/>
          <w:lang w:val="es-CO"/>
        </w:rPr>
        <w:t xml:space="preserve"> habitacional celebrados por </w:t>
      </w:r>
      <w:r>
        <w:rPr>
          <w:rFonts w:ascii="Arial" w:hAnsi="Arial" w:cs="Arial"/>
          <w:lang w:val="es-CO"/>
        </w:rPr>
        <w:t>las entidades autorizadas por la Ley, el impuesto de timbre sólo se causará si vencido el término de vigencia pactado en el contrato, el locatario no hiciere uso de la opción de compra. En tal evento, el impuesto se liquidará sobre el valor total de los cá</w:t>
      </w:r>
      <w:r>
        <w:rPr>
          <w:rFonts w:ascii="Arial" w:hAnsi="Arial" w:cs="Arial"/>
          <w:lang w:val="es-CO"/>
        </w:rPr>
        <w:t>nones pagados y/o causados hasta el momento del vencimiento del contrato. Los establecimientos de crédito obrarán como agentes de retención en los términos del artículo 1.4.1.2.4 del presente Decreto, en el caso en que el locatario decida no ejercer la opc</w:t>
      </w:r>
      <w:r>
        <w:rPr>
          <w:rFonts w:ascii="Arial" w:hAnsi="Arial" w:cs="Arial"/>
          <w:lang w:val="es-CO"/>
        </w:rPr>
        <w:t>ión de adquisición.</w:t>
      </w:r>
    </w:p>
    <w:p w14:paraId="523B8029" w14:textId="77777777" w:rsidR="00B2442D" w:rsidRDefault="00B2442D">
      <w:pPr>
        <w:jc w:val="both"/>
        <w:rPr>
          <w:rFonts w:ascii="Arial" w:hAnsi="Arial" w:cs="Arial"/>
          <w:lang w:val="es-CO"/>
        </w:rPr>
      </w:pPr>
    </w:p>
    <w:p w14:paraId="4FB09031" w14:textId="77777777" w:rsidR="00B2442D" w:rsidRDefault="008A645F">
      <w:pPr>
        <w:jc w:val="both"/>
        <w:rPr>
          <w:rFonts w:ascii="Arial" w:hAnsi="Arial" w:cs="Arial"/>
          <w:i/>
          <w:lang w:val="es-CO"/>
        </w:rPr>
      </w:pPr>
      <w:r>
        <w:rPr>
          <w:rFonts w:ascii="Arial" w:hAnsi="Arial" w:cs="Arial"/>
          <w:i/>
          <w:lang w:val="es-CO"/>
        </w:rPr>
        <w:t>(Art. 11, del Decreto 779 de 2003)</w:t>
      </w:r>
    </w:p>
    <w:p w14:paraId="439885D6" w14:textId="77777777" w:rsidR="00B2442D" w:rsidRDefault="00B2442D">
      <w:pPr>
        <w:jc w:val="both"/>
        <w:rPr>
          <w:rFonts w:ascii="Arial" w:hAnsi="Arial" w:cs="Arial"/>
          <w:lang w:val="es-CO"/>
        </w:rPr>
      </w:pPr>
    </w:p>
    <w:p w14:paraId="4D533B02" w14:textId="77777777" w:rsidR="00B2442D" w:rsidRDefault="008A645F">
      <w:pPr>
        <w:pStyle w:val="Ttulo4"/>
      </w:pPr>
      <w:r>
        <w:t>CAPÍTULO 5</w:t>
      </w:r>
    </w:p>
    <w:p w14:paraId="0D0B9485" w14:textId="77777777" w:rsidR="00B2442D" w:rsidRDefault="008A645F">
      <w:pPr>
        <w:pStyle w:val="Ttulo4"/>
      </w:pPr>
      <w:r>
        <w:t>Reglas para determinar la cuantía en el impuesto de timbre nacional</w:t>
      </w:r>
    </w:p>
    <w:p w14:paraId="104D6F29" w14:textId="77777777" w:rsidR="00B2442D" w:rsidRDefault="00B2442D">
      <w:pPr>
        <w:rPr>
          <w:rFonts w:ascii="Arial" w:hAnsi="Arial" w:cs="Arial"/>
        </w:rPr>
      </w:pPr>
    </w:p>
    <w:p w14:paraId="05AE3E42" w14:textId="77777777" w:rsidR="00B2442D" w:rsidRDefault="008A645F">
      <w:pPr>
        <w:pStyle w:val="Prrafodelista"/>
        <w:numPr>
          <w:ilvl w:val="0"/>
          <w:numId w:val="84"/>
        </w:numPr>
        <w:ind w:left="0" w:firstLine="0"/>
        <w:jc w:val="both"/>
        <w:rPr>
          <w:rFonts w:ascii="Arial" w:hAnsi="Arial" w:cs="Arial"/>
          <w:lang w:val="es-CO"/>
        </w:rPr>
      </w:pPr>
      <w:r>
        <w:rPr>
          <w:rFonts w:ascii="Arial" w:hAnsi="Arial" w:cs="Arial"/>
          <w:b/>
          <w:i/>
          <w:lang w:val="es-CO"/>
        </w:rPr>
        <w:t xml:space="preserve">Instrumentos privados de cuantía indeterminada. </w:t>
      </w:r>
      <w:r>
        <w:rPr>
          <w:rFonts w:ascii="Arial" w:hAnsi="Arial" w:cs="Arial"/>
          <w:lang w:val="es-CO"/>
        </w:rPr>
        <w:t>De conformidad con la regla tercera del artículo 34 de la Ley 2 de 1976</w:t>
      </w:r>
      <w:r>
        <w:rPr>
          <w:rFonts w:ascii="Arial" w:hAnsi="Arial" w:cs="Arial"/>
          <w:lang w:val="es-CO"/>
        </w:rPr>
        <w:t xml:space="preserve"> (hoy artículo 522 del Estatuto Tributario) y para efectos del numeral primero del artículo 14 de la misma ley los instrumentos privados son de cuantía indeterminada cuando en la fecha de su otorgamiento o emisión son indeterminables.</w:t>
      </w:r>
    </w:p>
    <w:p w14:paraId="08970C99" w14:textId="77777777" w:rsidR="00B2442D" w:rsidRDefault="00B2442D">
      <w:pPr>
        <w:jc w:val="both"/>
        <w:rPr>
          <w:rFonts w:ascii="Arial" w:hAnsi="Arial" w:cs="Arial"/>
          <w:i/>
          <w:lang w:val="es-CO"/>
        </w:rPr>
      </w:pPr>
    </w:p>
    <w:p w14:paraId="25CAF9EA" w14:textId="77777777" w:rsidR="00B2442D" w:rsidRDefault="008A645F">
      <w:pPr>
        <w:jc w:val="both"/>
        <w:rPr>
          <w:rFonts w:ascii="Arial" w:hAnsi="Arial" w:cs="Arial"/>
          <w:i/>
          <w:lang w:val="es-CO"/>
        </w:rPr>
      </w:pPr>
      <w:r>
        <w:rPr>
          <w:rFonts w:ascii="Arial" w:hAnsi="Arial" w:cs="Arial"/>
          <w:i/>
          <w:lang w:val="es-CO"/>
        </w:rPr>
        <w:t>(Art. 17, Decreto 12</w:t>
      </w:r>
      <w:r>
        <w:rPr>
          <w:rFonts w:ascii="Arial" w:hAnsi="Arial" w:cs="Arial"/>
          <w:i/>
          <w:lang w:val="es-CO"/>
        </w:rPr>
        <w:t>22 de 1976)</w:t>
      </w:r>
    </w:p>
    <w:p w14:paraId="76E23F8D" w14:textId="77777777" w:rsidR="00B2442D" w:rsidRDefault="00B2442D">
      <w:pPr>
        <w:jc w:val="both"/>
        <w:rPr>
          <w:rFonts w:ascii="Arial" w:hAnsi="Arial" w:cs="Arial"/>
          <w:lang w:val="es-CO"/>
        </w:rPr>
      </w:pPr>
    </w:p>
    <w:p w14:paraId="60ACF13E" w14:textId="77777777" w:rsidR="00B2442D" w:rsidRDefault="008A645F">
      <w:pPr>
        <w:pStyle w:val="Prrafodelista"/>
        <w:numPr>
          <w:ilvl w:val="0"/>
          <w:numId w:val="84"/>
        </w:numPr>
        <w:ind w:left="0" w:firstLine="0"/>
        <w:jc w:val="both"/>
        <w:rPr>
          <w:rFonts w:ascii="Arial" w:hAnsi="Arial" w:cs="Arial"/>
          <w:lang w:val="es-CO"/>
        </w:rPr>
      </w:pPr>
      <w:r>
        <w:rPr>
          <w:rFonts w:ascii="Arial" w:hAnsi="Arial" w:cs="Arial"/>
          <w:b/>
          <w:i/>
          <w:lang w:val="es-CO"/>
        </w:rPr>
        <w:t>Cuantía de los contratos en moneda extranjera.</w:t>
      </w:r>
      <w:r>
        <w:rPr>
          <w:rFonts w:ascii="Arial" w:hAnsi="Arial" w:cs="Arial"/>
          <w:lang w:val="es-CO"/>
        </w:rPr>
        <w:t xml:space="preserve"> La cuantía de los contratos en moneda extranjera se determinará según el cambio oficial en el momento en que el impuesto se haga efectivo, salvo cuando el pago de la obligación contractual deba ha</w:t>
      </w:r>
      <w:r>
        <w:rPr>
          <w:rFonts w:ascii="Arial" w:hAnsi="Arial" w:cs="Arial"/>
          <w:lang w:val="es-CO"/>
        </w:rPr>
        <w:t>cerse en moneda nacional a un tipo de cambio convencional, según cláusula expresa en el mismo contrato.</w:t>
      </w:r>
    </w:p>
    <w:p w14:paraId="65AFBC73" w14:textId="77777777" w:rsidR="00B2442D" w:rsidRDefault="00B2442D">
      <w:pPr>
        <w:jc w:val="both"/>
        <w:rPr>
          <w:rFonts w:ascii="Arial" w:hAnsi="Arial" w:cs="Arial"/>
          <w:i/>
          <w:lang w:val="es-CO"/>
        </w:rPr>
      </w:pPr>
    </w:p>
    <w:p w14:paraId="21DD7B52" w14:textId="77777777" w:rsidR="00B2442D" w:rsidRDefault="008A645F">
      <w:pPr>
        <w:jc w:val="both"/>
        <w:rPr>
          <w:rFonts w:ascii="Arial" w:hAnsi="Arial" w:cs="Arial"/>
          <w:i/>
          <w:lang w:val="es-CO"/>
        </w:rPr>
      </w:pPr>
      <w:r>
        <w:rPr>
          <w:rFonts w:ascii="Arial" w:hAnsi="Arial" w:cs="Arial"/>
          <w:i/>
          <w:lang w:val="es-CO"/>
        </w:rPr>
        <w:t>(Art. 19, Decreto 1222 de 1976)</w:t>
      </w:r>
    </w:p>
    <w:p w14:paraId="48D0AFB6" w14:textId="77777777" w:rsidR="00B2442D" w:rsidRDefault="00B2442D">
      <w:pPr>
        <w:jc w:val="both"/>
        <w:rPr>
          <w:rFonts w:ascii="Arial" w:hAnsi="Arial" w:cs="Arial"/>
          <w:lang w:val="es-CO"/>
        </w:rPr>
      </w:pPr>
    </w:p>
    <w:p w14:paraId="08F1B86E" w14:textId="77777777" w:rsidR="00B2442D" w:rsidRDefault="008A645F">
      <w:pPr>
        <w:pStyle w:val="Prrafodelista"/>
        <w:numPr>
          <w:ilvl w:val="0"/>
          <w:numId w:val="84"/>
        </w:numPr>
        <w:ind w:left="0" w:firstLine="0"/>
        <w:jc w:val="both"/>
        <w:rPr>
          <w:rFonts w:ascii="Arial" w:hAnsi="Arial" w:cs="Arial"/>
          <w:lang w:val="es-CO"/>
        </w:rPr>
      </w:pPr>
      <w:r>
        <w:rPr>
          <w:rFonts w:ascii="Arial" w:hAnsi="Arial" w:cs="Arial"/>
          <w:b/>
          <w:i/>
          <w:lang w:val="es-CO"/>
        </w:rPr>
        <w:t>Cuantía indeterminada las cartas de crédito sobre el interior.</w:t>
      </w:r>
      <w:r>
        <w:rPr>
          <w:rFonts w:ascii="Arial" w:hAnsi="Arial" w:cs="Arial"/>
          <w:lang w:val="es-CO"/>
        </w:rPr>
        <w:t xml:space="preserve"> Se consideran de cuantía indeterminada las cartas de cr</w:t>
      </w:r>
      <w:r>
        <w:rPr>
          <w:rFonts w:ascii="Arial" w:hAnsi="Arial" w:cs="Arial"/>
          <w:lang w:val="es-CO"/>
        </w:rPr>
        <w:t>édito sobre el interior, mientras no se utilicen por el beneficiario pero, utilizado el crédito, se reajustará el valor del impuesto de conformidad con la Regla Tercera del artículo 34 de la Ley que se reglamenta (hoy numeral 3 del artículo 522 del Estatut</w:t>
      </w:r>
      <w:r>
        <w:rPr>
          <w:rFonts w:ascii="Arial" w:hAnsi="Arial" w:cs="Arial"/>
          <w:lang w:val="es-CO"/>
        </w:rPr>
        <w:t>o Tributario), sobre el valor utilizado.</w:t>
      </w:r>
    </w:p>
    <w:p w14:paraId="3C3D093C" w14:textId="77777777" w:rsidR="00B2442D" w:rsidRDefault="00B2442D">
      <w:pPr>
        <w:jc w:val="both"/>
        <w:rPr>
          <w:rFonts w:ascii="Arial" w:hAnsi="Arial" w:cs="Arial"/>
          <w:lang w:val="es-CO"/>
        </w:rPr>
      </w:pPr>
    </w:p>
    <w:p w14:paraId="0C982242" w14:textId="77777777" w:rsidR="00B2442D" w:rsidRDefault="008A645F">
      <w:pPr>
        <w:jc w:val="both"/>
        <w:rPr>
          <w:rFonts w:ascii="Arial" w:hAnsi="Arial" w:cs="Arial"/>
          <w:lang w:val="es-CO"/>
        </w:rPr>
      </w:pPr>
      <w:r>
        <w:rPr>
          <w:rFonts w:ascii="Arial" w:hAnsi="Arial" w:cs="Arial"/>
          <w:lang w:val="es-CO"/>
        </w:rPr>
        <w:t xml:space="preserve">Cuando la carta de crédito sea transferible, el banco deberá hacer constar en ella lo relativo al reajuste del impuesto, el cual deberá pagarse en el momento de utilizarse el crédito. Cuando éste pueda </w:t>
      </w:r>
      <w:r>
        <w:rPr>
          <w:rFonts w:ascii="Arial" w:hAnsi="Arial" w:cs="Arial"/>
          <w:lang w:val="es-CO"/>
        </w:rPr>
        <w:t>utilizarse parcialmente, el reajuste del impuesto deberá retenerse por el establecimiento bancario en la fecha en que se utilice el saldo final.</w:t>
      </w:r>
    </w:p>
    <w:p w14:paraId="43670130" w14:textId="77777777" w:rsidR="00B2442D" w:rsidRDefault="00B2442D">
      <w:pPr>
        <w:jc w:val="both"/>
        <w:rPr>
          <w:rFonts w:ascii="Arial" w:hAnsi="Arial" w:cs="Arial"/>
          <w:i/>
          <w:lang w:val="es-CO"/>
        </w:rPr>
      </w:pPr>
    </w:p>
    <w:p w14:paraId="61A565A7" w14:textId="77777777" w:rsidR="00B2442D" w:rsidRDefault="008A645F">
      <w:pPr>
        <w:jc w:val="both"/>
        <w:rPr>
          <w:rFonts w:ascii="Arial" w:hAnsi="Arial" w:cs="Arial"/>
          <w:i/>
          <w:lang w:val="es-CO"/>
        </w:rPr>
      </w:pPr>
      <w:r>
        <w:rPr>
          <w:rFonts w:ascii="Arial" w:hAnsi="Arial" w:cs="Arial"/>
          <w:i/>
          <w:lang w:val="es-CO"/>
        </w:rPr>
        <w:t>(Art. 20, Decreto 1222 de 1976)</w:t>
      </w:r>
    </w:p>
    <w:p w14:paraId="2139A1FE" w14:textId="77777777" w:rsidR="00B2442D" w:rsidRDefault="00B2442D">
      <w:pPr>
        <w:jc w:val="both"/>
        <w:rPr>
          <w:rFonts w:ascii="Arial" w:hAnsi="Arial" w:cs="Arial"/>
          <w:lang w:val="es-CO"/>
        </w:rPr>
      </w:pPr>
    </w:p>
    <w:p w14:paraId="3B085D73" w14:textId="77777777" w:rsidR="00B2442D" w:rsidRDefault="008A645F">
      <w:pPr>
        <w:pStyle w:val="Ttulo4"/>
        <w:rPr>
          <w:lang w:val="es-CO"/>
        </w:rPr>
      </w:pPr>
      <w:r>
        <w:rPr>
          <w:lang w:val="es-CO"/>
        </w:rPr>
        <w:t>CAPÍTULO 6</w:t>
      </w:r>
    </w:p>
    <w:p w14:paraId="4AF5C5E4" w14:textId="77777777" w:rsidR="00B2442D" w:rsidRDefault="008A645F">
      <w:pPr>
        <w:pStyle w:val="Ttulo4"/>
        <w:rPr>
          <w:lang w:val="es-CO"/>
        </w:rPr>
      </w:pPr>
      <w:r>
        <w:rPr>
          <w:lang w:val="es-CO"/>
        </w:rPr>
        <w:t>Reajuste de las tarifas del impuesto de timbre nacional para actua</w:t>
      </w:r>
      <w:r>
        <w:rPr>
          <w:lang w:val="es-CO"/>
        </w:rPr>
        <w:t>ciones que se cumplan en el exterior expresadas en dólares</w:t>
      </w:r>
    </w:p>
    <w:p w14:paraId="51B58FBF" w14:textId="77777777" w:rsidR="00B2442D" w:rsidRDefault="00B2442D">
      <w:pPr>
        <w:rPr>
          <w:rFonts w:ascii="Arial" w:hAnsi="Arial" w:cs="Arial"/>
          <w:lang w:val="es-CO"/>
        </w:rPr>
      </w:pPr>
    </w:p>
    <w:p w14:paraId="3D587D03" w14:textId="77777777" w:rsidR="00B2442D" w:rsidRDefault="008A645F">
      <w:pPr>
        <w:pStyle w:val="Prrafodelista"/>
        <w:numPr>
          <w:ilvl w:val="0"/>
          <w:numId w:val="85"/>
        </w:numPr>
        <w:tabs>
          <w:tab w:val="left" w:pos="66"/>
        </w:tabs>
        <w:ind w:left="0" w:firstLine="0"/>
        <w:jc w:val="both"/>
        <w:rPr>
          <w:rFonts w:ascii="Arial" w:hAnsi="Arial" w:cs="Arial"/>
          <w:lang w:val="es-CO"/>
        </w:rPr>
      </w:pPr>
      <w:r>
        <w:rPr>
          <w:rFonts w:ascii="Arial" w:hAnsi="Arial" w:cs="Arial"/>
          <w:b/>
          <w:i/>
          <w:lang w:val="es-CO"/>
        </w:rPr>
        <w:t>Reajuste de las tarifas del impuesto de timbre nacional para actuaciones que se cumplan en el exterior expresadas en dólares.</w:t>
      </w:r>
      <w:r>
        <w:rPr>
          <w:rFonts w:ascii="Arial" w:hAnsi="Arial" w:cs="Arial"/>
          <w:b/>
          <w:lang w:val="es-CO"/>
        </w:rPr>
        <w:t xml:space="preserve"> </w:t>
      </w:r>
      <w:r>
        <w:rPr>
          <w:rFonts w:ascii="Arial" w:hAnsi="Arial" w:cs="Arial"/>
          <w:lang w:val="es-CO"/>
        </w:rPr>
        <w:t>A partir del 1° de enero del año 2017, el valor del impuesto de timbre</w:t>
      </w:r>
      <w:r>
        <w:rPr>
          <w:rFonts w:ascii="Arial" w:hAnsi="Arial" w:cs="Arial"/>
          <w:lang w:val="es-CO"/>
        </w:rPr>
        <w:t xml:space="preserve"> para actuaciones que se cumplan en el exterior expresadas en dólares, de que trata el artículo 525 del Estatuto Tributario, se reajustan así:</w:t>
      </w:r>
    </w:p>
    <w:p w14:paraId="06C0A1C7" w14:textId="77777777" w:rsidR="00B2442D" w:rsidRDefault="00B2442D">
      <w:pPr>
        <w:pStyle w:val="Prrafodelista"/>
        <w:jc w:val="both"/>
        <w:rPr>
          <w:rFonts w:ascii="Arial" w:hAnsi="Arial" w:cs="Arial"/>
          <w:lang w:val="es-CO"/>
        </w:rPr>
      </w:pPr>
    </w:p>
    <w:p w14:paraId="270AFFEC" w14:textId="77777777" w:rsidR="00B2442D" w:rsidRDefault="008A645F">
      <w:pPr>
        <w:pStyle w:val="Prrafodelista"/>
        <w:jc w:val="both"/>
        <w:rPr>
          <w:rFonts w:ascii="Arial" w:hAnsi="Arial" w:cs="Arial"/>
          <w:lang w:val="es-CO"/>
        </w:rPr>
      </w:pPr>
      <w:r>
        <w:rPr>
          <w:rFonts w:ascii="Arial" w:hAnsi="Arial" w:cs="Arial"/>
          <w:lang w:val="es-CO"/>
        </w:rPr>
        <w:t>“</w:t>
      </w:r>
      <w:r>
        <w:rPr>
          <w:rFonts w:ascii="Arial" w:hAnsi="Arial" w:cs="Arial"/>
          <w:b/>
          <w:i/>
          <w:lang w:val="es-CO"/>
        </w:rPr>
        <w:t>Artículo 525. Impuesto de timbre para actuaciones que se cumplan en el exterior.</w:t>
      </w:r>
      <w:r>
        <w:rPr>
          <w:rFonts w:ascii="Arial" w:hAnsi="Arial" w:cs="Arial"/>
          <w:lang w:val="es-CO"/>
        </w:rPr>
        <w:t xml:space="preserve"> Las tarifas de los impuestos de timbre nacional sobre actuaciones que se cumplan ante funcionarios diplomáticos o consulares del país serán las siguientes:</w:t>
      </w:r>
    </w:p>
    <w:p w14:paraId="6C08D626" w14:textId="77777777" w:rsidR="00B2442D" w:rsidRDefault="00B2442D">
      <w:pPr>
        <w:pStyle w:val="Prrafodelista"/>
        <w:jc w:val="both"/>
        <w:rPr>
          <w:rFonts w:ascii="Arial" w:hAnsi="Arial" w:cs="Arial"/>
          <w:lang w:val="es-CO"/>
        </w:rPr>
      </w:pPr>
    </w:p>
    <w:p w14:paraId="2A0C72B5" w14:textId="77777777" w:rsidR="00B2442D" w:rsidRDefault="008A645F">
      <w:pPr>
        <w:pStyle w:val="Prrafodelista"/>
        <w:jc w:val="both"/>
        <w:rPr>
          <w:rFonts w:ascii="Arial" w:hAnsi="Arial" w:cs="Arial"/>
          <w:lang w:val="es-CO"/>
        </w:rPr>
      </w:pPr>
      <w:r>
        <w:rPr>
          <w:rFonts w:ascii="Arial" w:hAnsi="Arial" w:cs="Arial"/>
          <w:lang w:val="es-CO"/>
        </w:rPr>
        <w:t>1. Pasaportes ordinarios que se expidan en el exterior por funcionarios consulares, cincuenta y se</w:t>
      </w:r>
      <w:r>
        <w:rPr>
          <w:rFonts w:ascii="Arial" w:hAnsi="Arial" w:cs="Arial"/>
          <w:lang w:val="es-CO"/>
        </w:rPr>
        <w:t>is dólares (US$56) o su equivalente en otras monedas.</w:t>
      </w:r>
    </w:p>
    <w:p w14:paraId="3A9949D1" w14:textId="77777777" w:rsidR="00B2442D" w:rsidRDefault="00B2442D">
      <w:pPr>
        <w:pStyle w:val="Prrafodelista"/>
        <w:jc w:val="both"/>
        <w:rPr>
          <w:rFonts w:ascii="Arial" w:hAnsi="Arial" w:cs="Arial"/>
          <w:lang w:val="es-CO"/>
        </w:rPr>
      </w:pPr>
    </w:p>
    <w:p w14:paraId="25B1BC61" w14:textId="77777777" w:rsidR="00B2442D" w:rsidRDefault="008A645F">
      <w:pPr>
        <w:pStyle w:val="Prrafodelista"/>
        <w:jc w:val="both"/>
        <w:rPr>
          <w:rFonts w:ascii="Arial" w:hAnsi="Arial" w:cs="Arial"/>
          <w:lang w:val="es-CO"/>
        </w:rPr>
      </w:pPr>
      <w:r>
        <w:rPr>
          <w:rFonts w:ascii="Arial" w:hAnsi="Arial" w:cs="Arial"/>
          <w:lang w:val="es-CO"/>
        </w:rPr>
        <w:t>2. Las certificaciones expedidas en el exterior por funcionarios consulares, doce dólares (US$12) o su equivalente en otras monedas.</w:t>
      </w:r>
    </w:p>
    <w:p w14:paraId="2E94ACD5" w14:textId="77777777" w:rsidR="00B2442D" w:rsidRDefault="00B2442D">
      <w:pPr>
        <w:pStyle w:val="Prrafodelista"/>
        <w:jc w:val="both"/>
        <w:rPr>
          <w:rFonts w:ascii="Arial" w:hAnsi="Arial" w:cs="Arial"/>
          <w:lang w:val="es-CO"/>
        </w:rPr>
      </w:pPr>
    </w:p>
    <w:p w14:paraId="18B727D2" w14:textId="77777777" w:rsidR="00B2442D" w:rsidRDefault="008A645F">
      <w:pPr>
        <w:pStyle w:val="Prrafodelista"/>
        <w:jc w:val="both"/>
        <w:rPr>
          <w:rFonts w:ascii="Arial" w:hAnsi="Arial" w:cs="Arial"/>
          <w:lang w:val="es-CO"/>
        </w:rPr>
      </w:pPr>
      <w:r>
        <w:rPr>
          <w:rFonts w:ascii="Arial" w:hAnsi="Arial" w:cs="Arial"/>
          <w:lang w:val="es-CO"/>
        </w:rPr>
        <w:t>3. Las autenticaciones efectuadas por los cónsules colombianos, doc</w:t>
      </w:r>
      <w:r>
        <w:rPr>
          <w:rFonts w:ascii="Arial" w:hAnsi="Arial" w:cs="Arial"/>
          <w:lang w:val="es-CO"/>
        </w:rPr>
        <w:t>e dólares (US$12) o su equivalente en otras monedas.</w:t>
      </w:r>
    </w:p>
    <w:p w14:paraId="457F5EDB" w14:textId="77777777" w:rsidR="00B2442D" w:rsidRDefault="00B2442D">
      <w:pPr>
        <w:pStyle w:val="Prrafodelista"/>
        <w:jc w:val="both"/>
        <w:rPr>
          <w:rFonts w:ascii="Arial" w:hAnsi="Arial" w:cs="Arial"/>
          <w:lang w:val="es-CO"/>
        </w:rPr>
      </w:pPr>
    </w:p>
    <w:p w14:paraId="4266E0E8" w14:textId="77777777" w:rsidR="00B2442D" w:rsidRDefault="008A645F">
      <w:pPr>
        <w:pStyle w:val="Prrafodelista"/>
        <w:jc w:val="both"/>
        <w:rPr>
          <w:rFonts w:ascii="Arial" w:hAnsi="Arial" w:cs="Arial"/>
          <w:lang w:val="es-CO"/>
        </w:rPr>
      </w:pPr>
      <w:r>
        <w:rPr>
          <w:rFonts w:ascii="Arial" w:hAnsi="Arial" w:cs="Arial"/>
          <w:lang w:val="es-CO"/>
        </w:rPr>
        <w:t>4. El reconocimiento de firmas ante cónsules colombianos, doce dólares (US$12) o su equivalente en otras monedas, por cada firma que se autentique.</w:t>
      </w:r>
    </w:p>
    <w:p w14:paraId="7FCF0CF4" w14:textId="77777777" w:rsidR="00B2442D" w:rsidRDefault="00B2442D">
      <w:pPr>
        <w:pStyle w:val="Prrafodelista"/>
        <w:jc w:val="both"/>
        <w:rPr>
          <w:rFonts w:ascii="Arial" w:hAnsi="Arial" w:cs="Arial"/>
          <w:lang w:val="es-CO"/>
        </w:rPr>
      </w:pPr>
    </w:p>
    <w:p w14:paraId="4530E354" w14:textId="77777777" w:rsidR="00B2442D" w:rsidRDefault="008A645F">
      <w:pPr>
        <w:pStyle w:val="Prrafodelista"/>
        <w:jc w:val="both"/>
        <w:rPr>
          <w:rFonts w:ascii="Arial" w:hAnsi="Arial" w:cs="Arial"/>
          <w:lang w:val="es-CO"/>
        </w:rPr>
      </w:pPr>
      <w:r>
        <w:rPr>
          <w:rFonts w:ascii="Arial" w:hAnsi="Arial" w:cs="Arial"/>
          <w:lang w:val="es-CO"/>
        </w:rPr>
        <w:t>5. La protocolización de escrituras públicas en el li</w:t>
      </w:r>
      <w:r>
        <w:rPr>
          <w:rFonts w:ascii="Arial" w:hAnsi="Arial" w:cs="Arial"/>
          <w:lang w:val="es-CO"/>
        </w:rPr>
        <w:t>bro respectivo del consulado colombiano doscientos dieciocho dólares (US$218) o su equivalente en otras monedas.”</w:t>
      </w:r>
    </w:p>
    <w:p w14:paraId="7F8DDC90" w14:textId="77777777" w:rsidR="00B2442D" w:rsidRDefault="00B2442D">
      <w:pPr>
        <w:pStyle w:val="Prrafodelista"/>
        <w:jc w:val="both"/>
        <w:rPr>
          <w:rFonts w:ascii="Arial" w:hAnsi="Arial" w:cs="Arial"/>
          <w:lang w:val="es-CO"/>
        </w:rPr>
      </w:pPr>
    </w:p>
    <w:p w14:paraId="0053725C" w14:textId="77777777" w:rsidR="00B2442D" w:rsidRDefault="008A645F">
      <w:pPr>
        <w:jc w:val="both"/>
        <w:rPr>
          <w:rFonts w:ascii="Arial" w:hAnsi="Arial" w:cs="Arial"/>
          <w:i/>
          <w:lang w:val="es-CO"/>
        </w:rPr>
      </w:pPr>
      <w:r>
        <w:rPr>
          <w:rFonts w:ascii="Arial" w:hAnsi="Arial" w:cs="Arial"/>
          <w:i/>
          <w:lang w:val="es-CO"/>
        </w:rPr>
        <w:t xml:space="preserve">(Art. 1, Decreto 2974 de 2013, derogado por el </w:t>
      </w:r>
      <w:hyperlink r:id="rId36" w:history="1">
        <w:r>
          <w:rPr>
            <w:rStyle w:val="Hipervnculo"/>
            <w:rFonts w:ascii="Arial" w:hAnsi="Arial" w:cs="Arial"/>
            <w:i/>
            <w:lang w:val="es-CO"/>
          </w:rPr>
          <w:t>Art.1 del Decreto 2200 de 2016</w:t>
        </w:r>
      </w:hyperlink>
      <w:r>
        <w:rPr>
          <w:rFonts w:ascii="Arial" w:hAnsi="Arial" w:cs="Arial"/>
          <w:i/>
          <w:lang w:val="es-CO"/>
        </w:rPr>
        <w:t>)</w:t>
      </w:r>
    </w:p>
    <w:p w14:paraId="1C56D238" w14:textId="77777777" w:rsidR="00B2442D" w:rsidRDefault="00B2442D">
      <w:pPr>
        <w:jc w:val="both"/>
        <w:rPr>
          <w:rFonts w:ascii="Arial" w:hAnsi="Arial" w:cs="Arial"/>
          <w:lang w:val="es-CO"/>
        </w:rPr>
      </w:pPr>
    </w:p>
    <w:p w14:paraId="49CB7AEC" w14:textId="77777777" w:rsidR="00B2442D" w:rsidRDefault="008A645F">
      <w:pPr>
        <w:pStyle w:val="Ttulo4"/>
      </w:pPr>
      <w:r>
        <w:t>CAPÍTULO 7</w:t>
      </w:r>
    </w:p>
    <w:p w14:paraId="1E378A06" w14:textId="77777777" w:rsidR="00B2442D" w:rsidRDefault="008A645F">
      <w:pPr>
        <w:pStyle w:val="Ttulo4"/>
      </w:pPr>
      <w:r>
        <w:t>Actuaciones y documentos exentos del impuesto de timbre nacional</w:t>
      </w:r>
    </w:p>
    <w:p w14:paraId="53B6DD4C" w14:textId="77777777" w:rsidR="00B2442D" w:rsidRDefault="00B2442D">
      <w:pPr>
        <w:rPr>
          <w:rFonts w:ascii="Arial" w:hAnsi="Arial" w:cs="Arial"/>
        </w:rPr>
      </w:pPr>
    </w:p>
    <w:p w14:paraId="295493A3"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 xml:space="preserve">Calificación de los títulos valores. </w:t>
      </w:r>
      <w:r>
        <w:rPr>
          <w:rFonts w:ascii="Arial" w:hAnsi="Arial" w:cs="Arial"/>
          <w:lang w:val="es-CO"/>
        </w:rPr>
        <w:t xml:space="preserve">Para efectos de los numerales 1o. y 2o. del artículo 26 de la Ley 2a. de 1976, (hoy </w:t>
      </w:r>
      <w:r>
        <w:rPr>
          <w:rFonts w:ascii="Arial" w:hAnsi="Arial" w:cs="Arial"/>
          <w:lang w:val="es-CO"/>
        </w:rPr>
        <w:t>numerales 1 y 2 del artículo 530 del Estatuto Tributario), la Superintendencia Financiera de Colombia calificará los títulos valores emitidos con destino a la captación de recursos entre el público.</w:t>
      </w:r>
    </w:p>
    <w:p w14:paraId="2CB0A4B0" w14:textId="77777777" w:rsidR="00B2442D" w:rsidRDefault="00B2442D">
      <w:pPr>
        <w:jc w:val="both"/>
        <w:rPr>
          <w:rFonts w:ascii="Arial" w:hAnsi="Arial" w:cs="Arial"/>
          <w:i/>
          <w:lang w:val="es-CO"/>
        </w:rPr>
      </w:pPr>
    </w:p>
    <w:p w14:paraId="0FAAD0ED" w14:textId="77777777" w:rsidR="00B2442D" w:rsidRDefault="008A645F">
      <w:pPr>
        <w:jc w:val="both"/>
        <w:rPr>
          <w:rFonts w:ascii="Arial" w:hAnsi="Arial" w:cs="Arial"/>
          <w:i/>
          <w:lang w:val="es-CO"/>
        </w:rPr>
      </w:pPr>
      <w:r>
        <w:rPr>
          <w:rFonts w:ascii="Arial" w:hAnsi="Arial" w:cs="Arial"/>
          <w:i/>
          <w:lang w:val="es-CO"/>
        </w:rPr>
        <w:t>(Art. 11, Decreto 1222 de 1976)</w:t>
      </w:r>
    </w:p>
    <w:p w14:paraId="271DD789" w14:textId="77777777" w:rsidR="00B2442D" w:rsidRDefault="00B2442D">
      <w:pPr>
        <w:jc w:val="both"/>
        <w:rPr>
          <w:rFonts w:ascii="Arial" w:hAnsi="Arial" w:cs="Arial"/>
          <w:lang w:val="es-CO"/>
        </w:rPr>
      </w:pPr>
    </w:p>
    <w:p w14:paraId="3EE26887"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Contratos de cuenta cor</w:t>
      </w:r>
      <w:r>
        <w:rPr>
          <w:rFonts w:ascii="Arial" w:hAnsi="Arial" w:cs="Arial"/>
          <w:b/>
          <w:i/>
          <w:lang w:val="es-CO"/>
        </w:rPr>
        <w:t xml:space="preserve">riente bancaria. </w:t>
      </w:r>
      <w:r>
        <w:rPr>
          <w:rFonts w:ascii="Arial" w:hAnsi="Arial" w:cs="Arial"/>
          <w:lang w:val="es-CO"/>
        </w:rPr>
        <w:t>Para efectos del numeral 19 del artículo 26 de la Ley que se reglamenta, (hoy numeral 19 del artículo 530 del Estatuto Tributario), entiéndese comprendidos dentro de los contratos de cuenta corriente bancaria, los instrumentos otorgados en</w:t>
      </w:r>
      <w:r>
        <w:rPr>
          <w:rFonts w:ascii="Arial" w:hAnsi="Arial" w:cs="Arial"/>
          <w:lang w:val="es-CO"/>
        </w:rPr>
        <w:t xml:space="preserve"> desarrollo de tales contratos, distintos de los cheques.</w:t>
      </w:r>
    </w:p>
    <w:p w14:paraId="0ED0E102" w14:textId="77777777" w:rsidR="00B2442D" w:rsidRDefault="00B2442D">
      <w:pPr>
        <w:jc w:val="both"/>
        <w:rPr>
          <w:rFonts w:ascii="Arial" w:hAnsi="Arial" w:cs="Arial"/>
          <w:i/>
          <w:lang w:val="es-CO"/>
        </w:rPr>
      </w:pPr>
    </w:p>
    <w:p w14:paraId="7E54B4A8" w14:textId="77777777" w:rsidR="00B2442D" w:rsidRDefault="008A645F">
      <w:pPr>
        <w:jc w:val="both"/>
        <w:rPr>
          <w:rFonts w:ascii="Arial" w:hAnsi="Arial" w:cs="Arial"/>
          <w:i/>
          <w:lang w:val="es-CO"/>
        </w:rPr>
      </w:pPr>
      <w:r>
        <w:rPr>
          <w:rFonts w:ascii="Arial" w:hAnsi="Arial" w:cs="Arial"/>
          <w:i/>
          <w:lang w:val="es-CO"/>
        </w:rPr>
        <w:t>(Art. 13, Decreto 1222 de 1976)</w:t>
      </w:r>
    </w:p>
    <w:p w14:paraId="12A3944F" w14:textId="77777777" w:rsidR="00B2442D" w:rsidRDefault="00B2442D">
      <w:pPr>
        <w:jc w:val="both"/>
        <w:rPr>
          <w:rFonts w:ascii="Arial" w:hAnsi="Arial" w:cs="Arial"/>
          <w:lang w:val="es-CO"/>
        </w:rPr>
      </w:pPr>
    </w:p>
    <w:p w14:paraId="287D572B"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Giros y transferencias.</w:t>
      </w:r>
      <w:r>
        <w:rPr>
          <w:rFonts w:ascii="Arial" w:hAnsi="Arial" w:cs="Arial"/>
          <w:lang w:val="es-CO"/>
        </w:rPr>
        <w:t xml:space="preserve"> Los giros y transferencias de sumas de dinero se entienden comprendidos dentro de la exención establecida en el artículo 73 de la Ley 2a. de</w:t>
      </w:r>
      <w:r>
        <w:rPr>
          <w:rFonts w:ascii="Arial" w:hAnsi="Arial" w:cs="Arial"/>
          <w:lang w:val="es-CO"/>
        </w:rPr>
        <w:t xml:space="preserve"> 1976 (hoy numeral 27 del artículo 530 del Estatuto Tributario).</w:t>
      </w:r>
    </w:p>
    <w:p w14:paraId="6B85D680" w14:textId="77777777" w:rsidR="00B2442D" w:rsidRDefault="00B2442D">
      <w:pPr>
        <w:jc w:val="both"/>
        <w:rPr>
          <w:rFonts w:ascii="Arial" w:hAnsi="Arial" w:cs="Arial"/>
          <w:i/>
          <w:lang w:val="es-CO"/>
        </w:rPr>
      </w:pPr>
    </w:p>
    <w:p w14:paraId="0882CA17" w14:textId="77777777" w:rsidR="00B2442D" w:rsidRDefault="008A645F">
      <w:pPr>
        <w:jc w:val="both"/>
        <w:rPr>
          <w:rFonts w:ascii="Arial" w:hAnsi="Arial" w:cs="Arial"/>
          <w:i/>
          <w:lang w:val="es-CO"/>
        </w:rPr>
      </w:pPr>
      <w:r>
        <w:rPr>
          <w:rFonts w:ascii="Arial" w:hAnsi="Arial" w:cs="Arial"/>
          <w:i/>
          <w:lang w:val="es-CO"/>
        </w:rPr>
        <w:t>(Art. 30, Decreto 1222 de 1976)</w:t>
      </w:r>
    </w:p>
    <w:p w14:paraId="1C8F82E3" w14:textId="77777777" w:rsidR="00B2442D" w:rsidRDefault="00B2442D">
      <w:pPr>
        <w:jc w:val="both"/>
        <w:rPr>
          <w:rFonts w:ascii="Arial" w:hAnsi="Arial" w:cs="Arial"/>
          <w:lang w:val="es-CO"/>
        </w:rPr>
      </w:pPr>
    </w:p>
    <w:p w14:paraId="489D1096"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Certificados de inversión y de participación.</w:t>
      </w:r>
      <w:r>
        <w:rPr>
          <w:rFonts w:ascii="Arial" w:hAnsi="Arial" w:cs="Arial"/>
          <w:lang w:val="es-CO"/>
        </w:rPr>
        <w:t xml:space="preserve"> Para los efectos del numeral 3° del artículo 530 del Estatuto Tributario, dentro del concepto de certificados d</w:t>
      </w:r>
      <w:r>
        <w:rPr>
          <w:rFonts w:ascii="Arial" w:hAnsi="Arial" w:cs="Arial"/>
          <w:lang w:val="es-CO"/>
        </w:rPr>
        <w:t xml:space="preserve">e inversión y de participación, están comprendidos los títulos, que expidan las sociedades fiduciarias administradoras de inversiones en fondos comunes especiales, ordinarios o patrimonios autónomos o las sociedades comisionistas administradoras de fondos </w:t>
      </w:r>
      <w:r>
        <w:rPr>
          <w:rFonts w:ascii="Arial" w:hAnsi="Arial" w:cs="Arial"/>
          <w:lang w:val="es-CO"/>
        </w:rPr>
        <w:t>de valores en relación con estos últimos.</w:t>
      </w:r>
    </w:p>
    <w:p w14:paraId="4C922754" w14:textId="77777777" w:rsidR="00B2442D" w:rsidRDefault="00B2442D">
      <w:pPr>
        <w:jc w:val="both"/>
        <w:rPr>
          <w:rFonts w:ascii="Arial" w:hAnsi="Arial" w:cs="Arial"/>
          <w:i/>
          <w:lang w:val="es-CO"/>
        </w:rPr>
      </w:pPr>
    </w:p>
    <w:p w14:paraId="1DFB9D61" w14:textId="77777777" w:rsidR="00B2442D" w:rsidRDefault="008A645F">
      <w:pPr>
        <w:jc w:val="both"/>
        <w:rPr>
          <w:rFonts w:ascii="Arial" w:hAnsi="Arial" w:cs="Arial"/>
          <w:i/>
          <w:lang w:val="es-CO"/>
        </w:rPr>
      </w:pPr>
      <w:r>
        <w:rPr>
          <w:rFonts w:ascii="Arial" w:hAnsi="Arial" w:cs="Arial"/>
          <w:i/>
          <w:lang w:val="es-CO"/>
        </w:rPr>
        <w:t>(Art. 35, Decreto 2076 de 1992)</w:t>
      </w:r>
      <w:r>
        <w:rPr>
          <w:rFonts w:ascii="Arial" w:hAnsi="Arial" w:cs="Arial"/>
        </w:rPr>
        <w:t xml:space="preserve"> </w:t>
      </w:r>
      <w:r>
        <w:rPr>
          <w:rFonts w:ascii="Arial" w:hAnsi="Arial" w:cs="Arial"/>
          <w:i/>
          <w:lang w:val="es-CO"/>
        </w:rPr>
        <w:t>(El Decreto 2076 de 1992 rige desde la fecha de su publicación y deroga además de las normas que le sean contrarias, las siguientes: artículos 13 y 22 del Decreto 1372 de 1992, artí</w:t>
      </w:r>
      <w:r>
        <w:rPr>
          <w:rFonts w:ascii="Arial" w:hAnsi="Arial" w:cs="Arial"/>
          <w:i/>
          <w:lang w:val="es-CO"/>
        </w:rPr>
        <w:t>culos 4° y 6° del Decreto 1250 de 1992, y el Decreto 2208 de 1991. Art. 44, Decreto 2076 de 1992)</w:t>
      </w:r>
    </w:p>
    <w:p w14:paraId="58D1603D" w14:textId="77777777" w:rsidR="00B2442D" w:rsidRDefault="00B2442D">
      <w:pPr>
        <w:jc w:val="both"/>
        <w:rPr>
          <w:rFonts w:ascii="Arial" w:hAnsi="Arial" w:cs="Arial"/>
          <w:lang w:val="es-CO"/>
        </w:rPr>
      </w:pPr>
    </w:p>
    <w:p w14:paraId="7365E15E"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Operaciones de crédito interbancario exentos del impuesto de timbre.</w:t>
      </w:r>
      <w:r>
        <w:rPr>
          <w:rFonts w:ascii="Arial" w:hAnsi="Arial" w:cs="Arial"/>
          <w:lang w:val="es-CO"/>
        </w:rPr>
        <w:t xml:space="preserve"> De acuerdo con lo dispuesto en el numeral 15 del artículo 530 del Estatuto Tributario, l</w:t>
      </w:r>
      <w:r>
        <w:rPr>
          <w:rFonts w:ascii="Arial" w:hAnsi="Arial" w:cs="Arial"/>
          <w:lang w:val="es-CO"/>
        </w:rPr>
        <w:t>os documentos en que se hagan constar operaciones de crédito entre el Banco de la República y los establecimientos de crédito o entre estos últimos están exentos del Impuesto de Timbre.</w:t>
      </w:r>
    </w:p>
    <w:p w14:paraId="2683D1DB" w14:textId="77777777" w:rsidR="00B2442D" w:rsidRDefault="00B2442D">
      <w:pPr>
        <w:rPr>
          <w:rFonts w:ascii="Arial" w:hAnsi="Arial" w:cs="Arial"/>
          <w:i/>
          <w:lang w:val="es-CO"/>
        </w:rPr>
      </w:pPr>
    </w:p>
    <w:p w14:paraId="2A167808" w14:textId="77777777" w:rsidR="00B2442D" w:rsidRDefault="008A645F">
      <w:pPr>
        <w:rPr>
          <w:rFonts w:ascii="Arial" w:hAnsi="Arial" w:cs="Arial"/>
          <w:i/>
          <w:lang w:val="es-CO"/>
        </w:rPr>
      </w:pPr>
      <w:r>
        <w:rPr>
          <w:rFonts w:ascii="Arial" w:hAnsi="Arial" w:cs="Arial"/>
          <w:i/>
          <w:lang w:val="es-CO"/>
        </w:rPr>
        <w:t>(Art. 5, Decreto 0180 de 1993)</w:t>
      </w:r>
    </w:p>
    <w:p w14:paraId="3B078A99" w14:textId="77777777" w:rsidR="00B2442D" w:rsidRDefault="00B2442D">
      <w:pPr>
        <w:jc w:val="both"/>
        <w:rPr>
          <w:rFonts w:ascii="Arial" w:hAnsi="Arial" w:cs="Arial"/>
          <w:lang w:val="es-CO"/>
        </w:rPr>
      </w:pPr>
    </w:p>
    <w:p w14:paraId="2B5CD232"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 xml:space="preserve">Factura. </w:t>
      </w:r>
      <w:r>
        <w:rPr>
          <w:rFonts w:ascii="Arial" w:hAnsi="Arial" w:cs="Arial"/>
          <w:lang w:val="es-CO"/>
        </w:rPr>
        <w:t>Para los efectos de la exenc</w:t>
      </w:r>
      <w:r>
        <w:rPr>
          <w:rFonts w:ascii="Arial" w:hAnsi="Arial" w:cs="Arial"/>
          <w:lang w:val="es-CO"/>
        </w:rPr>
        <w:t>ión establecida en el numeral 44 del artículo 26 de la Ley que se reglamenta, (hoy artículo numeral 44 del artículo 530 del Estatuto Tributario), se entiende por factura cualquier documento que cumpla las siguientes condiciones:</w:t>
      </w:r>
    </w:p>
    <w:p w14:paraId="22F88E00" w14:textId="77777777" w:rsidR="00B2442D" w:rsidRDefault="00B2442D">
      <w:pPr>
        <w:jc w:val="both"/>
        <w:rPr>
          <w:rFonts w:ascii="Arial" w:hAnsi="Arial" w:cs="Arial"/>
          <w:lang w:val="es-CO"/>
        </w:rPr>
      </w:pPr>
    </w:p>
    <w:p w14:paraId="346C5491" w14:textId="77777777" w:rsidR="00B2442D" w:rsidRDefault="008A645F">
      <w:pPr>
        <w:pStyle w:val="Prrafodelista"/>
        <w:numPr>
          <w:ilvl w:val="0"/>
          <w:numId w:val="160"/>
        </w:numPr>
        <w:ind w:left="426" w:hanging="426"/>
        <w:jc w:val="both"/>
        <w:rPr>
          <w:rFonts w:ascii="Arial" w:hAnsi="Arial" w:cs="Arial"/>
          <w:lang w:val="es-CO"/>
        </w:rPr>
      </w:pPr>
      <w:r>
        <w:rPr>
          <w:rFonts w:ascii="Arial" w:hAnsi="Arial" w:cs="Arial"/>
          <w:lang w:val="es-CO"/>
        </w:rPr>
        <w:t xml:space="preserve">Ser expedida por un </w:t>
      </w:r>
      <w:r>
        <w:rPr>
          <w:rFonts w:ascii="Arial" w:hAnsi="Arial" w:cs="Arial"/>
          <w:lang w:val="es-CO"/>
        </w:rPr>
        <w:t>comerciante;</w:t>
      </w:r>
    </w:p>
    <w:p w14:paraId="3AF50BDA" w14:textId="77777777" w:rsidR="00B2442D" w:rsidRDefault="00B2442D">
      <w:pPr>
        <w:pStyle w:val="Prrafodelista"/>
        <w:ind w:left="426" w:hanging="426"/>
        <w:jc w:val="both"/>
        <w:rPr>
          <w:rFonts w:ascii="Arial" w:hAnsi="Arial" w:cs="Arial"/>
          <w:lang w:val="es-CO"/>
        </w:rPr>
      </w:pPr>
    </w:p>
    <w:p w14:paraId="65D4877B" w14:textId="77777777" w:rsidR="00B2442D" w:rsidRDefault="008A645F">
      <w:pPr>
        <w:ind w:left="426" w:hanging="426"/>
        <w:jc w:val="both"/>
        <w:rPr>
          <w:rFonts w:ascii="Arial" w:hAnsi="Arial" w:cs="Arial"/>
          <w:lang w:val="es-CO"/>
        </w:rPr>
      </w:pPr>
      <w:r>
        <w:rPr>
          <w:rFonts w:ascii="Arial" w:hAnsi="Arial" w:cs="Arial"/>
          <w:lang w:val="es-CO"/>
        </w:rPr>
        <w:t>b. Versar exclusivamente sobre las mercaderías vendidas, sin perjuicio de que incluya condiciones relacionadas con la entrega o con el pago.</w:t>
      </w:r>
    </w:p>
    <w:p w14:paraId="255E58FF" w14:textId="77777777" w:rsidR="00B2442D" w:rsidRDefault="00B2442D">
      <w:pPr>
        <w:jc w:val="both"/>
        <w:rPr>
          <w:rFonts w:ascii="Arial" w:hAnsi="Arial" w:cs="Arial"/>
          <w:i/>
          <w:lang w:val="es-CO"/>
        </w:rPr>
      </w:pPr>
    </w:p>
    <w:p w14:paraId="2F88E3E9" w14:textId="77777777" w:rsidR="00B2442D" w:rsidRDefault="008A645F">
      <w:pPr>
        <w:jc w:val="both"/>
        <w:rPr>
          <w:rFonts w:ascii="Arial" w:hAnsi="Arial" w:cs="Arial"/>
          <w:i/>
          <w:lang w:val="es-CO"/>
        </w:rPr>
      </w:pPr>
      <w:r>
        <w:rPr>
          <w:rFonts w:ascii="Arial" w:hAnsi="Arial" w:cs="Arial"/>
          <w:i/>
          <w:lang w:val="es-CO"/>
        </w:rPr>
        <w:t>(Art. 14, Decreto 1222 de 1976)</w:t>
      </w:r>
    </w:p>
    <w:p w14:paraId="319C411B" w14:textId="77777777" w:rsidR="00B2442D" w:rsidRDefault="00B2442D">
      <w:pPr>
        <w:jc w:val="both"/>
        <w:rPr>
          <w:rFonts w:ascii="Arial" w:hAnsi="Arial" w:cs="Arial"/>
          <w:lang w:val="es-CO"/>
        </w:rPr>
      </w:pPr>
    </w:p>
    <w:p w14:paraId="527A6C05"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Exención del impuesto de timbre en salud.</w:t>
      </w:r>
      <w:r>
        <w:rPr>
          <w:rFonts w:ascii="Arial" w:hAnsi="Arial" w:cs="Arial"/>
          <w:lang w:val="es-CO"/>
        </w:rPr>
        <w:t xml:space="preserve"> De conformidad con lo dispuesto por el artículo 256 de la Ley 223 de 1995, están exentas del impuesto de timbre nacional, las entidades administradoras del Sistema General de Seguridad Social en Salud, que intervengan como aceptantes, otorgantes o suscrip</w:t>
      </w:r>
      <w:r>
        <w:rPr>
          <w:rFonts w:ascii="Arial" w:hAnsi="Arial" w:cs="Arial"/>
          <w:lang w:val="es-CO"/>
        </w:rPr>
        <w:t>toras de instrumentos públicos o documentos privados, incluidos los títulos valores, en los que se haga constar la constitución, existencia, modificación o extinción de obligaciones relacionadas con los regímenes contributivo y subsidiado y los planes de s</w:t>
      </w:r>
      <w:r>
        <w:rPr>
          <w:rFonts w:ascii="Arial" w:hAnsi="Arial" w:cs="Arial"/>
          <w:lang w:val="es-CO"/>
        </w:rPr>
        <w:t xml:space="preserve">alud de que trata la Ley 100 de 1993. En los actos y documentos a que se refiere el presente artículo se dejará constancia de la exención consagrada. </w:t>
      </w:r>
    </w:p>
    <w:p w14:paraId="3D8ED309" w14:textId="77777777" w:rsidR="00B2442D" w:rsidRDefault="008A645F">
      <w:pPr>
        <w:jc w:val="both"/>
        <w:rPr>
          <w:rFonts w:ascii="Arial" w:hAnsi="Arial" w:cs="Arial"/>
          <w:lang w:val="es-CO"/>
        </w:rPr>
      </w:pPr>
      <w:r>
        <w:rPr>
          <w:rFonts w:ascii="Arial" w:hAnsi="Arial" w:cs="Arial"/>
          <w:lang w:val="es-CO"/>
        </w:rPr>
        <w:t xml:space="preserve"> </w:t>
      </w:r>
    </w:p>
    <w:p w14:paraId="2B42C43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en una actuación o documento gravado con el impuesto de timbre, intervengan entidad</w:t>
      </w:r>
      <w:r>
        <w:rPr>
          <w:rFonts w:ascii="Arial" w:hAnsi="Arial" w:cs="Arial"/>
          <w:lang w:val="es-CO"/>
        </w:rPr>
        <w:t xml:space="preserve">es administradoras del Sistema General de Seguridad Social en Salud y personas no exentas, las últimas deberán pagar la mitad del impuesto de timbre. </w:t>
      </w:r>
    </w:p>
    <w:p w14:paraId="3B6EDB9C" w14:textId="77777777" w:rsidR="00B2442D" w:rsidRDefault="008A645F">
      <w:pPr>
        <w:jc w:val="both"/>
        <w:rPr>
          <w:rFonts w:ascii="Arial" w:hAnsi="Arial" w:cs="Arial"/>
          <w:lang w:val="es-CO"/>
        </w:rPr>
      </w:pPr>
      <w:r>
        <w:rPr>
          <w:rFonts w:ascii="Arial" w:hAnsi="Arial" w:cs="Arial"/>
          <w:lang w:val="es-CO"/>
        </w:rPr>
        <w:t xml:space="preserve"> </w:t>
      </w:r>
    </w:p>
    <w:p w14:paraId="26EBB0C9"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lo previsto en el presente artículo, se entiende por entidades administrad</w:t>
      </w:r>
      <w:r>
        <w:rPr>
          <w:rFonts w:ascii="Arial" w:hAnsi="Arial" w:cs="Arial"/>
          <w:lang w:val="es-CO"/>
        </w:rPr>
        <w:t>oras, las Entidades Promotoras de Salud y las entidades facultadas para cumplir las funciones de las Entidades Promotoras de salud y sólo respecto de tales funciones.</w:t>
      </w:r>
    </w:p>
    <w:p w14:paraId="3AE9E2F1" w14:textId="77777777" w:rsidR="00B2442D" w:rsidRDefault="00B2442D">
      <w:pPr>
        <w:jc w:val="both"/>
        <w:rPr>
          <w:rFonts w:ascii="Arial" w:hAnsi="Arial" w:cs="Arial"/>
          <w:i/>
          <w:lang w:val="es-CO"/>
        </w:rPr>
      </w:pPr>
    </w:p>
    <w:p w14:paraId="39B3FBD0" w14:textId="77777777" w:rsidR="00B2442D" w:rsidRDefault="008A645F">
      <w:pPr>
        <w:jc w:val="both"/>
        <w:rPr>
          <w:rFonts w:ascii="Arial" w:hAnsi="Arial" w:cs="Arial"/>
          <w:i/>
          <w:lang w:val="es-CO"/>
        </w:rPr>
      </w:pPr>
      <w:r>
        <w:rPr>
          <w:rFonts w:ascii="Arial" w:hAnsi="Arial" w:cs="Arial"/>
          <w:i/>
          <w:lang w:val="es-CO"/>
        </w:rPr>
        <w:t>(Art. 10, Decreto 841 de 1998)</w:t>
      </w:r>
      <w:r>
        <w:rPr>
          <w:rFonts w:ascii="Arial" w:hAnsi="Arial" w:cs="Arial"/>
        </w:rPr>
        <w:t xml:space="preserve"> </w:t>
      </w:r>
      <w:r>
        <w:rPr>
          <w:rFonts w:ascii="Arial" w:hAnsi="Arial" w:cs="Arial"/>
          <w:i/>
          <w:lang w:val="es-CO"/>
        </w:rPr>
        <w:t>(El Decreto 841 de 1998 rige a partir del primero de mayo</w:t>
      </w:r>
      <w:r>
        <w:rPr>
          <w:rFonts w:ascii="Arial" w:hAnsi="Arial" w:cs="Arial"/>
          <w:i/>
          <w:lang w:val="es-CO"/>
        </w:rPr>
        <w:t xml:space="preserve"> y deroga el Decreto 163 de 1997, y las demás normas que le sean contrarias. Art. 24, Decreto 841 de 1998)</w:t>
      </w:r>
    </w:p>
    <w:p w14:paraId="48D0203F" w14:textId="77777777" w:rsidR="00B2442D" w:rsidRDefault="00B2442D">
      <w:pPr>
        <w:jc w:val="both"/>
        <w:rPr>
          <w:rFonts w:ascii="Arial" w:hAnsi="Arial" w:cs="Arial"/>
          <w:lang w:val="es-CO"/>
        </w:rPr>
      </w:pPr>
    </w:p>
    <w:p w14:paraId="7371E7E0"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Exención del impuesto de timbre en pensiones.</w:t>
      </w:r>
      <w:r>
        <w:rPr>
          <w:rFonts w:ascii="Arial" w:hAnsi="Arial" w:cs="Arial"/>
          <w:lang w:val="es-CO"/>
        </w:rPr>
        <w:t xml:space="preserve"> Están exentos del impuesto de timbre nacional los actos o documentos relacionados con la administració</w:t>
      </w:r>
      <w:r>
        <w:rPr>
          <w:rFonts w:ascii="Arial" w:hAnsi="Arial" w:cs="Arial"/>
          <w:lang w:val="es-CO"/>
        </w:rPr>
        <w:t xml:space="preserve">n del sistema general de pensiones. </w:t>
      </w:r>
    </w:p>
    <w:p w14:paraId="73D97827" w14:textId="77777777" w:rsidR="00B2442D" w:rsidRDefault="008A645F">
      <w:pPr>
        <w:jc w:val="both"/>
        <w:rPr>
          <w:rFonts w:ascii="Arial" w:hAnsi="Arial" w:cs="Arial"/>
          <w:lang w:val="es-CO"/>
        </w:rPr>
      </w:pPr>
      <w:r>
        <w:rPr>
          <w:rFonts w:ascii="Arial" w:hAnsi="Arial" w:cs="Arial"/>
          <w:lang w:val="es-CO"/>
        </w:rPr>
        <w:t xml:space="preserve"> </w:t>
      </w:r>
    </w:p>
    <w:p w14:paraId="78E37311" w14:textId="77777777" w:rsidR="00B2442D" w:rsidRDefault="008A645F">
      <w:pPr>
        <w:jc w:val="both"/>
        <w:rPr>
          <w:rFonts w:ascii="Arial" w:hAnsi="Arial" w:cs="Arial"/>
          <w:lang w:val="es-CO"/>
        </w:rPr>
      </w:pPr>
      <w:r>
        <w:rPr>
          <w:rFonts w:ascii="Arial" w:hAnsi="Arial" w:cs="Arial"/>
          <w:lang w:val="es-CO"/>
        </w:rPr>
        <w:t>Para tales efectos no se encontrarán sometidos al gravamen los actos y documentos que suscriban las sociedades administradoras de fondos de pensiones y cesantías y del Régimen de Prima Media con Prestación Definida, r</w:t>
      </w:r>
      <w:r>
        <w:rPr>
          <w:rFonts w:ascii="Arial" w:hAnsi="Arial" w:cs="Arial"/>
          <w:lang w:val="es-CO"/>
        </w:rPr>
        <w:t>elacionadas con el recaudo y la inversión de los recursos de los fondos de pensiones, ni aquellos referentes a la contratación y pago de los seguros de invalidez y sobrevivencia, previstos en la Ley 100 de 1993. En los actos y documentos a que se refiere e</w:t>
      </w:r>
      <w:r>
        <w:rPr>
          <w:rFonts w:ascii="Arial" w:hAnsi="Arial" w:cs="Arial"/>
          <w:lang w:val="es-CO"/>
        </w:rPr>
        <w:t xml:space="preserve">l presente artículo se dejará constancia de la exención consagrada.  </w:t>
      </w:r>
    </w:p>
    <w:p w14:paraId="48C2399A" w14:textId="77777777" w:rsidR="00B2442D" w:rsidRDefault="00B2442D">
      <w:pPr>
        <w:jc w:val="both"/>
        <w:rPr>
          <w:rFonts w:ascii="Arial" w:hAnsi="Arial" w:cs="Arial"/>
          <w:lang w:val="es-CO"/>
        </w:rPr>
      </w:pPr>
    </w:p>
    <w:p w14:paraId="5E28AE79" w14:textId="77777777" w:rsidR="00B2442D" w:rsidRDefault="008A645F">
      <w:pPr>
        <w:jc w:val="both"/>
        <w:rPr>
          <w:rFonts w:ascii="Arial" w:hAnsi="Arial" w:cs="Arial"/>
          <w:lang w:val="es-CO"/>
        </w:rPr>
      </w:pPr>
      <w:r>
        <w:rPr>
          <w:rFonts w:ascii="Arial" w:hAnsi="Arial" w:cs="Arial"/>
          <w:lang w:val="es-CO"/>
        </w:rPr>
        <w:t>Igualmente los Bonos Pensionales y Títulos Pensionales, estarán exentos del impuesto de timbre.</w:t>
      </w:r>
    </w:p>
    <w:p w14:paraId="59BA3684" w14:textId="77777777" w:rsidR="00B2442D" w:rsidRDefault="00B2442D">
      <w:pPr>
        <w:jc w:val="both"/>
        <w:rPr>
          <w:rFonts w:ascii="Arial" w:hAnsi="Arial" w:cs="Arial"/>
          <w:i/>
          <w:lang w:val="es-CO"/>
        </w:rPr>
      </w:pPr>
    </w:p>
    <w:p w14:paraId="57CA48A2" w14:textId="77777777" w:rsidR="00B2442D" w:rsidRDefault="008A645F">
      <w:pPr>
        <w:jc w:val="both"/>
        <w:rPr>
          <w:rFonts w:ascii="Arial" w:hAnsi="Arial" w:cs="Arial"/>
          <w:i/>
          <w:lang w:val="es-CO"/>
        </w:rPr>
      </w:pPr>
      <w:r>
        <w:rPr>
          <w:rFonts w:ascii="Arial" w:hAnsi="Arial" w:cs="Arial"/>
          <w:i/>
          <w:lang w:val="es-CO"/>
        </w:rPr>
        <w:t>(Art. 11, Decreto 841 de 1998)</w:t>
      </w:r>
      <w:r>
        <w:rPr>
          <w:rFonts w:ascii="Arial" w:hAnsi="Arial" w:cs="Arial"/>
        </w:rPr>
        <w:t xml:space="preserve"> </w:t>
      </w:r>
      <w:r>
        <w:rPr>
          <w:rFonts w:ascii="Arial" w:hAnsi="Arial" w:cs="Arial"/>
          <w:i/>
          <w:lang w:val="es-CO"/>
        </w:rPr>
        <w:t>(El Decreto 841 de 1998 rige a partir del primero de mayo</w:t>
      </w:r>
      <w:r>
        <w:rPr>
          <w:rFonts w:ascii="Arial" w:hAnsi="Arial" w:cs="Arial"/>
          <w:i/>
          <w:lang w:val="es-CO"/>
        </w:rPr>
        <w:t xml:space="preserve"> y deroga el Decreto 163 de 1997, y las demás normas que le sean contrarias. Art. 24, Decreto 841 de 1998)</w:t>
      </w:r>
    </w:p>
    <w:p w14:paraId="06515129" w14:textId="77777777" w:rsidR="00B2442D" w:rsidRDefault="00B2442D">
      <w:pPr>
        <w:jc w:val="both"/>
        <w:rPr>
          <w:rFonts w:ascii="Arial" w:hAnsi="Arial" w:cs="Arial"/>
          <w:lang w:val="es-CO"/>
        </w:rPr>
      </w:pPr>
    </w:p>
    <w:p w14:paraId="78A3515B"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Exención del impuesto de timbre en negociación de títulos valores y otros documentos.</w:t>
      </w:r>
      <w:r>
        <w:rPr>
          <w:rFonts w:ascii="Arial" w:hAnsi="Arial" w:cs="Arial"/>
          <w:lang w:val="es-CO"/>
        </w:rPr>
        <w:t xml:space="preserve"> En los términos del numeral 9° del artículo 530 del Estatuto Tributario, está exento del impuesto de timbre el endoso de valores o títulos valores, y los documentos que se otorguen con el único propósito de precisar las condiciones de la negociación, tale</w:t>
      </w:r>
      <w:r>
        <w:rPr>
          <w:rFonts w:ascii="Arial" w:hAnsi="Arial" w:cs="Arial"/>
          <w:lang w:val="es-CO"/>
        </w:rPr>
        <w:t>s como aquellos que se efectúan en desarrollo de operaciones de venta de cartera, reporto, carrusel, futuros, forward, swaps, opciones. Igualmente están exentos los que se expidan en desarrollo de operaciones a plazo realizadas a través de Bolsas de Valore</w:t>
      </w:r>
      <w:r>
        <w:rPr>
          <w:rFonts w:ascii="Arial" w:hAnsi="Arial" w:cs="Arial"/>
          <w:lang w:val="es-CO"/>
        </w:rPr>
        <w:t>s y las operaciones de transferencia temporal de valores y simultáneas, en divisas o en pesos, que se realicen conforme a las disposiciones que sobre la materia expidan la Superintendencia Financiera de Colombia.</w:t>
      </w:r>
    </w:p>
    <w:p w14:paraId="2C750A7E" w14:textId="77777777" w:rsidR="00B2442D" w:rsidRDefault="00B2442D">
      <w:pPr>
        <w:jc w:val="both"/>
        <w:rPr>
          <w:rFonts w:ascii="Arial" w:hAnsi="Arial" w:cs="Arial"/>
          <w:i/>
          <w:lang w:val="es-CO"/>
        </w:rPr>
      </w:pPr>
    </w:p>
    <w:p w14:paraId="2120561F" w14:textId="77777777" w:rsidR="00B2442D" w:rsidRDefault="008A645F">
      <w:pPr>
        <w:jc w:val="both"/>
        <w:rPr>
          <w:rFonts w:ascii="Arial" w:hAnsi="Arial" w:cs="Arial"/>
          <w:i/>
          <w:lang w:val="es-CO"/>
        </w:rPr>
      </w:pPr>
      <w:r>
        <w:rPr>
          <w:rFonts w:ascii="Arial" w:hAnsi="Arial" w:cs="Arial"/>
          <w:i/>
          <w:lang w:val="es-CO"/>
        </w:rPr>
        <w:t>(Art. 10, Decreto 1514 de 1998)</w:t>
      </w:r>
      <w:r>
        <w:rPr>
          <w:rFonts w:ascii="Arial" w:hAnsi="Arial" w:cs="Arial"/>
        </w:rPr>
        <w:t xml:space="preserve"> </w:t>
      </w:r>
      <w:r>
        <w:rPr>
          <w:rFonts w:ascii="Arial" w:hAnsi="Arial" w:cs="Arial"/>
          <w:i/>
          <w:lang w:val="es-CO"/>
        </w:rPr>
        <w:t>(El Decret</w:t>
      </w:r>
      <w:r>
        <w:rPr>
          <w:rFonts w:ascii="Arial" w:hAnsi="Arial" w:cs="Arial"/>
          <w:i/>
          <w:lang w:val="es-CO"/>
        </w:rPr>
        <w:t>o 1514 de 1998 rige a partir de le fecha de su publicación y deroga el Decreto 847 de 1996, el artículo 10 del Decreto 1001 de 1997, el último inciso del artículo 29 del Decreto 3050 de 1997 y las demás disposiciones que le sean contrarias. Art. 18, Decret</w:t>
      </w:r>
      <w:r>
        <w:rPr>
          <w:rFonts w:ascii="Arial" w:hAnsi="Arial" w:cs="Arial"/>
          <w:i/>
          <w:lang w:val="es-CO"/>
        </w:rPr>
        <w:t>o 1514 de 1998)</w:t>
      </w:r>
    </w:p>
    <w:p w14:paraId="7094AEA3" w14:textId="77777777" w:rsidR="00B2442D" w:rsidRDefault="00B2442D">
      <w:pPr>
        <w:jc w:val="both"/>
        <w:rPr>
          <w:rFonts w:ascii="Arial" w:hAnsi="Arial" w:cs="Arial"/>
          <w:lang w:val="es-CO"/>
        </w:rPr>
      </w:pPr>
    </w:p>
    <w:p w14:paraId="12FC9915"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Operaciones de crédito público conexas exentas del impuesto de Timbre.</w:t>
      </w:r>
      <w:r>
        <w:rPr>
          <w:rFonts w:ascii="Arial" w:hAnsi="Arial" w:cs="Arial"/>
          <w:lang w:val="es-CO"/>
        </w:rPr>
        <w:t xml:space="preserve"> Para efectos de lo previsto en el numeral 14 del artículo 530 del Estatuto Tributario se entiende por operaciones asimiladas a operaciones de crédito público, de manejo</w:t>
      </w:r>
      <w:r>
        <w:rPr>
          <w:rFonts w:ascii="Arial" w:hAnsi="Arial" w:cs="Arial"/>
          <w:lang w:val="es-CO"/>
        </w:rPr>
        <w:t xml:space="preserve"> de deuda pública, así como las conexas con las anteriores, que realicen entidades estatales, las previstas en los artículos 2.2.1.1.2. al 2.2.1.1.4  y 2.2.2.1.1 del Decreto 1068 de 2015.</w:t>
      </w:r>
    </w:p>
    <w:p w14:paraId="7F896376" w14:textId="77777777" w:rsidR="00B2442D" w:rsidRDefault="00B2442D">
      <w:pPr>
        <w:jc w:val="both"/>
        <w:rPr>
          <w:rFonts w:ascii="Arial" w:hAnsi="Arial" w:cs="Arial"/>
          <w:lang w:val="es-CO"/>
        </w:rPr>
      </w:pPr>
    </w:p>
    <w:p w14:paraId="54B9A5D8" w14:textId="77777777" w:rsidR="00B2442D" w:rsidRDefault="008A645F">
      <w:pPr>
        <w:jc w:val="both"/>
        <w:rPr>
          <w:rFonts w:ascii="Arial" w:hAnsi="Arial" w:cs="Arial"/>
          <w:i/>
          <w:lang w:val="es-CO"/>
        </w:rPr>
      </w:pPr>
      <w:r>
        <w:rPr>
          <w:rFonts w:ascii="Arial" w:hAnsi="Arial" w:cs="Arial"/>
          <w:i/>
          <w:lang w:val="es-CO"/>
        </w:rPr>
        <w:t>(Art. 3, Decreto 433 de 1999)</w:t>
      </w:r>
    </w:p>
    <w:p w14:paraId="711C3299" w14:textId="77777777" w:rsidR="00B2442D" w:rsidRDefault="00B2442D">
      <w:pPr>
        <w:jc w:val="both"/>
        <w:rPr>
          <w:rFonts w:ascii="Arial" w:hAnsi="Arial" w:cs="Arial"/>
          <w:lang w:val="es-CO"/>
        </w:rPr>
      </w:pPr>
    </w:p>
    <w:p w14:paraId="61CDFD55"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Condiciones para gozar de las exenci</w:t>
      </w:r>
      <w:r>
        <w:rPr>
          <w:rFonts w:ascii="Arial" w:hAnsi="Arial" w:cs="Arial"/>
          <w:b/>
          <w:i/>
          <w:lang w:val="es-CO"/>
        </w:rPr>
        <w:t xml:space="preserve">ones. </w:t>
      </w:r>
      <w:r>
        <w:rPr>
          <w:rFonts w:ascii="Arial" w:hAnsi="Arial" w:cs="Arial"/>
          <w:lang w:val="es-CO"/>
        </w:rPr>
        <w:t>Las condiciones requeridas por la ley para gozar de las exenciones deberán demostrarse cuando tales condiciones no aparezcan en el documento o no puedan establecerse directamente del mismo.</w:t>
      </w:r>
    </w:p>
    <w:p w14:paraId="367C997F" w14:textId="77777777" w:rsidR="00B2442D" w:rsidRDefault="00B2442D">
      <w:pPr>
        <w:jc w:val="both"/>
        <w:rPr>
          <w:rFonts w:ascii="Arial" w:hAnsi="Arial" w:cs="Arial"/>
          <w:lang w:val="es-CO"/>
        </w:rPr>
      </w:pPr>
    </w:p>
    <w:p w14:paraId="65195B07" w14:textId="77777777" w:rsidR="00B2442D" w:rsidRDefault="008A645F">
      <w:pPr>
        <w:jc w:val="both"/>
        <w:rPr>
          <w:rFonts w:ascii="Arial" w:hAnsi="Arial" w:cs="Arial"/>
          <w:lang w:val="es-CO"/>
        </w:rPr>
      </w:pPr>
      <w:r>
        <w:rPr>
          <w:rFonts w:ascii="Arial" w:hAnsi="Arial" w:cs="Arial"/>
          <w:lang w:val="es-CO"/>
        </w:rPr>
        <w:t>Cuando el acto o documento exento deba ser expedido, autori</w:t>
      </w:r>
      <w:r>
        <w:rPr>
          <w:rFonts w:ascii="Arial" w:hAnsi="Arial" w:cs="Arial"/>
          <w:lang w:val="es-CO"/>
        </w:rPr>
        <w:t>zado, registrado o emitido por un funcionario oficial, la demostración deberá hacerse ante dicho funcionario, quien deberá dejar constancia de ello, sin perjuicio de que los documentos adjuntos al efecto por el interesado reposen en los archivos respectivo</w:t>
      </w:r>
      <w:r>
        <w:rPr>
          <w:rFonts w:ascii="Arial" w:hAnsi="Arial" w:cs="Arial"/>
          <w:lang w:val="es-CO"/>
        </w:rPr>
        <w:t>s. En los demás casos, las exenciones operan de plano, sin perjuicio de la liquidación del impuesto y consiguientes sanciones e intereses cuando no se acredite la procedencia de la exención ante el funcionario competente para practicar la liquidación de af</w:t>
      </w:r>
      <w:r>
        <w:rPr>
          <w:rFonts w:ascii="Arial" w:hAnsi="Arial" w:cs="Arial"/>
          <w:lang w:val="es-CO"/>
        </w:rPr>
        <w:t>oro.</w:t>
      </w:r>
    </w:p>
    <w:p w14:paraId="18C5F6BC" w14:textId="77777777" w:rsidR="00B2442D" w:rsidRDefault="00B2442D">
      <w:pPr>
        <w:jc w:val="both"/>
        <w:rPr>
          <w:rFonts w:ascii="Arial" w:hAnsi="Arial" w:cs="Arial"/>
          <w:i/>
          <w:lang w:val="es-CO"/>
        </w:rPr>
      </w:pPr>
    </w:p>
    <w:p w14:paraId="7D973FF1" w14:textId="77777777" w:rsidR="00B2442D" w:rsidRDefault="008A645F">
      <w:pPr>
        <w:jc w:val="both"/>
        <w:rPr>
          <w:rFonts w:ascii="Arial" w:hAnsi="Arial" w:cs="Arial"/>
          <w:i/>
          <w:lang w:val="es-CO"/>
        </w:rPr>
      </w:pPr>
      <w:r>
        <w:rPr>
          <w:rFonts w:ascii="Arial" w:hAnsi="Arial" w:cs="Arial"/>
          <w:i/>
          <w:lang w:val="es-CO"/>
        </w:rPr>
        <w:t>(Art. 21, Decreto 1222 de 1976)</w:t>
      </w:r>
    </w:p>
    <w:p w14:paraId="2E7D02DA" w14:textId="77777777" w:rsidR="00B2442D" w:rsidRDefault="00B2442D">
      <w:pPr>
        <w:jc w:val="both"/>
        <w:rPr>
          <w:rFonts w:ascii="Arial" w:hAnsi="Arial" w:cs="Arial"/>
          <w:lang w:val="es-CO"/>
        </w:rPr>
      </w:pPr>
    </w:p>
    <w:p w14:paraId="0CE33A3E"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Prueba sobre actos o documentos no gravados con el impuesto de timbre por la calidad de las personas que en ellos intervienen.</w:t>
      </w:r>
      <w:r>
        <w:rPr>
          <w:rFonts w:ascii="Arial" w:hAnsi="Arial" w:cs="Arial"/>
          <w:lang w:val="es-CO"/>
        </w:rPr>
        <w:t xml:space="preserve"> Cuando se trate de actos o documentos que no generen el impuesto de timbre por la calidad </w:t>
      </w:r>
      <w:r>
        <w:rPr>
          <w:rFonts w:ascii="Arial" w:hAnsi="Arial" w:cs="Arial"/>
          <w:lang w:val="es-CO"/>
        </w:rPr>
        <w:t>de las personas que en ellos intervienen, será suficiente la constancia escrita que sobre tal hecho le sea entregada al notario, funcionario oficial o persona que sin tener dicho carácter desempeñe funciones públicas, para que el mismo pueda disponer la ex</w:t>
      </w:r>
      <w:r>
        <w:rPr>
          <w:rFonts w:ascii="Arial" w:hAnsi="Arial" w:cs="Arial"/>
          <w:lang w:val="es-CO"/>
        </w:rPr>
        <w:t>pedición, autorización, trámite o registro respectivo. Tal constancia deberá conservarse de acuerdo con lo dispuesto por el artículo 632 del Estatuto Tributario.</w:t>
      </w:r>
    </w:p>
    <w:p w14:paraId="043E1639" w14:textId="77777777" w:rsidR="00B2442D" w:rsidRDefault="00B2442D">
      <w:pPr>
        <w:jc w:val="both"/>
        <w:rPr>
          <w:rFonts w:ascii="Arial" w:hAnsi="Arial" w:cs="Arial"/>
          <w:i/>
          <w:lang w:val="es-CO"/>
        </w:rPr>
      </w:pPr>
    </w:p>
    <w:p w14:paraId="5CE736F0" w14:textId="77777777" w:rsidR="00B2442D" w:rsidRDefault="008A645F">
      <w:pPr>
        <w:jc w:val="both"/>
        <w:rPr>
          <w:rFonts w:ascii="Arial" w:hAnsi="Arial" w:cs="Arial"/>
          <w:i/>
          <w:lang w:val="es-CO"/>
        </w:rPr>
      </w:pPr>
      <w:r>
        <w:rPr>
          <w:rFonts w:ascii="Arial" w:hAnsi="Arial" w:cs="Arial"/>
          <w:i/>
          <w:lang w:val="es-CO"/>
        </w:rPr>
        <w:t>(Art. 6, Decreto 0602 de 1993)</w:t>
      </w:r>
    </w:p>
    <w:p w14:paraId="2D3371CD" w14:textId="77777777" w:rsidR="00B2442D" w:rsidRDefault="00B2442D">
      <w:pPr>
        <w:jc w:val="both"/>
        <w:rPr>
          <w:rFonts w:ascii="Arial" w:hAnsi="Arial" w:cs="Arial"/>
          <w:lang w:val="es-CO"/>
        </w:rPr>
      </w:pPr>
    </w:p>
    <w:p w14:paraId="29A18C6E"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Contabilización del impuesto de timbre pagado en el exterior.</w:t>
      </w:r>
      <w:r>
        <w:rPr>
          <w:rFonts w:ascii="Arial" w:hAnsi="Arial" w:cs="Arial"/>
          <w:lang w:val="es-CO"/>
        </w:rPr>
        <w:t xml:space="preserve"> El Banco de la República liquidará las divisas en moneda nacional y entregará a la Tesorería General de la República el valor que le haya sido acreditado en su cuenta, previas las deducciones por los gastos propios del giro de los recursos, por las declar</w:t>
      </w:r>
      <w:r>
        <w:rPr>
          <w:rFonts w:ascii="Arial" w:hAnsi="Arial" w:cs="Arial"/>
          <w:lang w:val="es-CO"/>
        </w:rPr>
        <w:t>aciones de timbre recaudado en los diferentes consulados de Colombia en el exterior.</w:t>
      </w:r>
    </w:p>
    <w:p w14:paraId="35953253" w14:textId="77777777" w:rsidR="00B2442D" w:rsidRDefault="008A645F">
      <w:pPr>
        <w:jc w:val="both"/>
        <w:rPr>
          <w:rFonts w:ascii="Arial" w:hAnsi="Arial" w:cs="Arial"/>
          <w:lang w:val="es-CO"/>
        </w:rPr>
      </w:pPr>
      <w:r>
        <w:rPr>
          <w:rFonts w:ascii="Arial" w:hAnsi="Arial" w:cs="Arial"/>
          <w:lang w:val="es-CO"/>
        </w:rPr>
        <w:t xml:space="preserve">  </w:t>
      </w:r>
    </w:p>
    <w:p w14:paraId="37B8763D" w14:textId="77777777" w:rsidR="00B2442D" w:rsidRDefault="008A645F">
      <w:pPr>
        <w:jc w:val="both"/>
        <w:rPr>
          <w:rFonts w:ascii="Arial" w:hAnsi="Arial" w:cs="Arial"/>
          <w:lang w:val="es-CO"/>
        </w:rPr>
      </w:pPr>
      <w:r>
        <w:rPr>
          <w:rFonts w:ascii="Arial" w:hAnsi="Arial" w:cs="Arial"/>
          <w:lang w:val="es-CO"/>
        </w:rPr>
        <w:t>La Administración de Impuestos contabilizará las declaraciones de impuesto de timbre de los diferentes consulados de Colombia en el exterior por el valor que se haya li</w:t>
      </w:r>
      <w:r>
        <w:rPr>
          <w:rFonts w:ascii="Arial" w:hAnsi="Arial" w:cs="Arial"/>
          <w:lang w:val="es-CO"/>
        </w:rPr>
        <w:t xml:space="preserve">quidado en moneda nacional en el Banco de la República.  </w:t>
      </w:r>
    </w:p>
    <w:p w14:paraId="3A9CE511" w14:textId="77777777" w:rsidR="00B2442D" w:rsidRDefault="00B2442D">
      <w:pPr>
        <w:jc w:val="both"/>
        <w:rPr>
          <w:rFonts w:ascii="Arial" w:hAnsi="Arial" w:cs="Arial"/>
          <w:lang w:val="es-CO"/>
        </w:rPr>
      </w:pPr>
    </w:p>
    <w:p w14:paraId="300C8E06" w14:textId="77777777" w:rsidR="00B2442D" w:rsidRDefault="008A645F">
      <w:pPr>
        <w:jc w:val="both"/>
        <w:rPr>
          <w:rFonts w:ascii="Arial" w:hAnsi="Arial" w:cs="Arial"/>
          <w:lang w:val="es-CO"/>
        </w:rPr>
      </w:pPr>
      <w:r>
        <w:rPr>
          <w:rFonts w:ascii="Arial" w:hAnsi="Arial" w:cs="Arial"/>
          <w:lang w:val="es-CO"/>
        </w:rPr>
        <w:t>Igual procedimiento será aplicable para las declaraciones y recaudos que se hayan recibido hasta la fecha.</w:t>
      </w:r>
    </w:p>
    <w:p w14:paraId="6CB155A4" w14:textId="77777777" w:rsidR="00B2442D" w:rsidRDefault="00B2442D">
      <w:pPr>
        <w:jc w:val="both"/>
        <w:rPr>
          <w:rFonts w:ascii="Arial" w:hAnsi="Arial" w:cs="Arial"/>
          <w:i/>
          <w:lang w:val="es-CO"/>
        </w:rPr>
      </w:pPr>
    </w:p>
    <w:p w14:paraId="6A2F7022" w14:textId="77777777" w:rsidR="00B2442D" w:rsidRDefault="008A645F">
      <w:pPr>
        <w:jc w:val="both"/>
        <w:rPr>
          <w:rFonts w:ascii="Arial" w:hAnsi="Arial" w:cs="Arial"/>
          <w:i/>
          <w:lang w:val="es-CO"/>
        </w:rPr>
      </w:pPr>
      <w:r>
        <w:rPr>
          <w:rFonts w:ascii="Arial" w:hAnsi="Arial" w:cs="Arial"/>
          <w:i/>
          <w:lang w:val="es-CO"/>
        </w:rPr>
        <w:t>(Art. 5, Decreto 1402 de 1991)</w:t>
      </w:r>
    </w:p>
    <w:p w14:paraId="38EDB66C" w14:textId="77777777" w:rsidR="00B2442D" w:rsidRDefault="00B2442D">
      <w:pPr>
        <w:jc w:val="both"/>
        <w:rPr>
          <w:rFonts w:ascii="Arial" w:hAnsi="Arial" w:cs="Arial"/>
          <w:lang w:val="es-CO"/>
        </w:rPr>
      </w:pPr>
    </w:p>
    <w:p w14:paraId="127C208F" w14:textId="77777777" w:rsidR="00B2442D" w:rsidRDefault="008A645F">
      <w:pPr>
        <w:pStyle w:val="Prrafodelista"/>
        <w:numPr>
          <w:ilvl w:val="0"/>
          <w:numId w:val="86"/>
        </w:numPr>
        <w:ind w:left="0" w:firstLine="0"/>
        <w:jc w:val="both"/>
        <w:rPr>
          <w:rFonts w:ascii="Arial" w:hAnsi="Arial" w:cs="Arial"/>
          <w:lang w:val="es-CO"/>
        </w:rPr>
      </w:pPr>
      <w:r>
        <w:rPr>
          <w:rFonts w:ascii="Arial" w:hAnsi="Arial" w:cs="Arial"/>
          <w:b/>
          <w:i/>
          <w:lang w:val="es-CO"/>
        </w:rPr>
        <w:t>Liquidación del impuesto de timbre nacional.</w:t>
      </w:r>
      <w:r>
        <w:rPr>
          <w:rFonts w:ascii="Arial" w:hAnsi="Arial" w:cs="Arial"/>
          <w:lang w:val="es-CO"/>
        </w:rPr>
        <w:t xml:space="preserve"> El impuesto a que se refiere el ordinal h) del numeral 1o. del artículo 14 de la Ley 2a. de 1976, (hoy literal d) del artículo 521 del Estatuto Tributario), debe liquidarse sobre el valor total de la comisión pactada por el establecimiento de crédito gara</w:t>
      </w:r>
      <w:r>
        <w:rPr>
          <w:rFonts w:ascii="Arial" w:hAnsi="Arial" w:cs="Arial"/>
          <w:lang w:val="es-CO"/>
        </w:rPr>
        <w:t>nte, aun cuando el pago de esta se halle sometido a plazos.</w:t>
      </w:r>
    </w:p>
    <w:p w14:paraId="3EF9C0D3" w14:textId="77777777" w:rsidR="00B2442D" w:rsidRDefault="00B2442D">
      <w:pPr>
        <w:jc w:val="both"/>
        <w:rPr>
          <w:rFonts w:ascii="Arial" w:hAnsi="Arial" w:cs="Arial"/>
          <w:i/>
          <w:lang w:val="es-CO"/>
        </w:rPr>
      </w:pPr>
    </w:p>
    <w:p w14:paraId="0E67454F" w14:textId="77777777" w:rsidR="00B2442D" w:rsidRDefault="008A645F">
      <w:pPr>
        <w:jc w:val="both"/>
        <w:rPr>
          <w:rFonts w:ascii="Arial" w:hAnsi="Arial" w:cs="Arial"/>
          <w:i/>
          <w:lang w:val="es-CO"/>
        </w:rPr>
      </w:pPr>
      <w:r>
        <w:rPr>
          <w:rFonts w:ascii="Arial" w:hAnsi="Arial" w:cs="Arial"/>
          <w:i/>
          <w:lang w:val="es-CO"/>
        </w:rPr>
        <w:t>(Art. 7, Decreto 1222 de 1976)</w:t>
      </w:r>
    </w:p>
    <w:p w14:paraId="2ADA9555" w14:textId="77777777" w:rsidR="00B2442D" w:rsidRDefault="00B2442D">
      <w:pPr>
        <w:jc w:val="both"/>
        <w:rPr>
          <w:rFonts w:ascii="Arial" w:hAnsi="Arial" w:cs="Arial"/>
          <w:lang w:val="es-CO"/>
        </w:rPr>
      </w:pPr>
    </w:p>
    <w:p w14:paraId="1E9FA91C" w14:textId="77777777" w:rsidR="00B2442D" w:rsidRDefault="008A645F">
      <w:pPr>
        <w:pStyle w:val="Ttulo4"/>
      </w:pPr>
      <w:r>
        <w:t>CAPÍTULO 8</w:t>
      </w:r>
    </w:p>
    <w:p w14:paraId="6E2758BB" w14:textId="77777777" w:rsidR="00B2442D" w:rsidRDefault="008A645F">
      <w:pPr>
        <w:pStyle w:val="Ttulo4"/>
      </w:pPr>
      <w:r>
        <w:t>Otras disposiciones del impuesto de timbre nacional</w:t>
      </w:r>
    </w:p>
    <w:p w14:paraId="7683FBA9" w14:textId="77777777" w:rsidR="00B2442D" w:rsidRDefault="00B2442D">
      <w:pPr>
        <w:jc w:val="both"/>
        <w:rPr>
          <w:rFonts w:ascii="Arial" w:hAnsi="Arial" w:cs="Arial"/>
        </w:rPr>
      </w:pPr>
    </w:p>
    <w:p w14:paraId="405A7ACE" w14:textId="77777777" w:rsidR="00B2442D" w:rsidRDefault="008A645F">
      <w:pPr>
        <w:pStyle w:val="Prrafodelista"/>
        <w:numPr>
          <w:ilvl w:val="0"/>
          <w:numId w:val="87"/>
        </w:numPr>
        <w:ind w:left="0" w:firstLine="0"/>
        <w:jc w:val="both"/>
        <w:rPr>
          <w:rFonts w:ascii="Arial" w:hAnsi="Arial" w:cs="Arial"/>
          <w:lang w:val="es-CO"/>
        </w:rPr>
      </w:pPr>
      <w:r>
        <w:rPr>
          <w:rFonts w:ascii="Arial" w:hAnsi="Arial" w:cs="Arial"/>
          <w:b/>
          <w:i/>
          <w:lang w:val="es-CO"/>
        </w:rPr>
        <w:t>Autorretención del impuesto de timbre en contratos de concesión de una obra pública.</w:t>
      </w:r>
      <w:r>
        <w:rPr>
          <w:rFonts w:ascii="Arial" w:hAnsi="Arial" w:cs="Arial"/>
          <w:lang w:val="es-CO"/>
        </w:rPr>
        <w:t xml:space="preserve"> En los contratos de concesión de obra pública o de servicios públicos domiciliarios que por su naturaleza sean de valor indeterminado, la base para aplicar la retención a título de impuesto de timbre será el valor de los pagos o abonos en cuenta recibidos</w:t>
      </w:r>
      <w:r>
        <w:rPr>
          <w:rFonts w:ascii="Arial" w:hAnsi="Arial" w:cs="Arial"/>
          <w:lang w:val="es-CO"/>
        </w:rPr>
        <w:t xml:space="preserve"> en cada mes en virtud de la concesión, determinado conforme lo señala el artículo 532 del Estatuto Tributario. </w:t>
      </w:r>
    </w:p>
    <w:p w14:paraId="6A2606C7" w14:textId="77777777" w:rsidR="00B2442D" w:rsidRDefault="008A645F">
      <w:pPr>
        <w:jc w:val="both"/>
        <w:rPr>
          <w:rFonts w:ascii="Arial" w:hAnsi="Arial" w:cs="Arial"/>
          <w:lang w:val="es-CO"/>
        </w:rPr>
      </w:pPr>
      <w:r>
        <w:rPr>
          <w:rFonts w:ascii="Arial" w:hAnsi="Arial" w:cs="Arial"/>
          <w:lang w:val="es-CO"/>
        </w:rPr>
        <w:t xml:space="preserve"> </w:t>
      </w:r>
    </w:p>
    <w:p w14:paraId="4FDEE73E" w14:textId="77777777" w:rsidR="00B2442D" w:rsidRDefault="008A645F">
      <w:pPr>
        <w:jc w:val="both"/>
        <w:rPr>
          <w:rFonts w:ascii="Arial" w:hAnsi="Arial" w:cs="Arial"/>
          <w:lang w:val="es-CO"/>
        </w:rPr>
      </w:pPr>
      <w:r>
        <w:rPr>
          <w:rFonts w:ascii="Arial" w:hAnsi="Arial" w:cs="Arial"/>
          <w:lang w:val="es-CO"/>
        </w:rPr>
        <w:t xml:space="preserve">Para los efectos del inciso anterior, la empresa concesionaria actuará como autorretenedor del impuesto de timbre generado, debiendo cumplir </w:t>
      </w:r>
      <w:r>
        <w:rPr>
          <w:rFonts w:ascii="Arial" w:hAnsi="Arial" w:cs="Arial"/>
          <w:lang w:val="es-CO"/>
        </w:rPr>
        <w:t xml:space="preserve">en su totalidad con las obligaciones establecidas para los agentes de retención. </w:t>
      </w:r>
    </w:p>
    <w:p w14:paraId="355A2564" w14:textId="77777777" w:rsidR="00B2442D" w:rsidRDefault="008A645F">
      <w:pPr>
        <w:jc w:val="both"/>
        <w:rPr>
          <w:rFonts w:ascii="Arial" w:hAnsi="Arial" w:cs="Arial"/>
          <w:lang w:val="es-CO"/>
        </w:rPr>
      </w:pPr>
      <w:r>
        <w:rPr>
          <w:rFonts w:ascii="Arial" w:hAnsi="Arial" w:cs="Arial"/>
          <w:lang w:val="es-CO"/>
        </w:rPr>
        <w:t xml:space="preserve"> </w:t>
      </w:r>
    </w:p>
    <w:p w14:paraId="5E594E6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A los autorretenedores aquí señalados le serán aplicables las sanciones consagradas en las normas tributarias en caso de incumplimiento de sus obligaciones.</w:t>
      </w:r>
    </w:p>
    <w:p w14:paraId="2322E1C0" w14:textId="77777777" w:rsidR="00B2442D" w:rsidRDefault="00B2442D">
      <w:pPr>
        <w:jc w:val="both"/>
        <w:rPr>
          <w:rFonts w:ascii="Arial" w:hAnsi="Arial" w:cs="Arial"/>
          <w:i/>
          <w:lang w:val="es-CO"/>
        </w:rPr>
      </w:pPr>
    </w:p>
    <w:p w14:paraId="0C3B4C09"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24, Decreto 3050 de 1997)</w:t>
      </w:r>
      <w:r>
        <w:rPr>
          <w:rFonts w:ascii="Arial" w:hAnsi="Arial" w:cs="Arial"/>
        </w:rPr>
        <w:t xml:space="preserve"> </w:t>
      </w:r>
      <w:r>
        <w:rPr>
          <w:rFonts w:ascii="Arial" w:hAnsi="Arial" w:cs="Arial"/>
          <w:i/>
          <w:lang w:val="es-CO"/>
        </w:rPr>
        <w:t>(El Decreto 3050 de 1997 rige a partir de la fecha de su publicación y deroga el artículo 10 del Decreto 380 de 1996, el inciso 1° del artículo 7 y el artículo 11 del Decreto 1165 de 1996, el inciso 2° del artículo 43 del Decre</w:t>
      </w:r>
      <w:r>
        <w:rPr>
          <w:rFonts w:ascii="Arial" w:hAnsi="Arial" w:cs="Arial"/>
          <w:i/>
          <w:lang w:val="es-CO"/>
        </w:rPr>
        <w:t>to 700 de 1997, el artículo 7, el parágrafo del artículo 14 y el artículo 18 del Decreto 1001 de 1997, y demás normas que le sean contrarias. Art. 34, Decreto 3050 de 1997)</w:t>
      </w:r>
    </w:p>
    <w:p w14:paraId="59E09B1B" w14:textId="77777777" w:rsidR="00B2442D" w:rsidRDefault="00B2442D">
      <w:pPr>
        <w:jc w:val="both"/>
        <w:rPr>
          <w:rFonts w:ascii="Arial" w:hAnsi="Arial" w:cs="Arial"/>
          <w:i/>
          <w:lang w:val="es-CO"/>
        </w:rPr>
      </w:pPr>
    </w:p>
    <w:p w14:paraId="18AB5099" w14:textId="77777777" w:rsidR="00B2442D" w:rsidRDefault="008A645F">
      <w:pPr>
        <w:pStyle w:val="Prrafodelista"/>
        <w:numPr>
          <w:ilvl w:val="0"/>
          <w:numId w:val="87"/>
        </w:numPr>
        <w:ind w:left="0" w:firstLine="0"/>
        <w:jc w:val="both"/>
        <w:rPr>
          <w:rFonts w:ascii="Arial" w:hAnsi="Arial" w:cs="Arial"/>
          <w:lang w:val="es-CO"/>
        </w:rPr>
      </w:pPr>
      <w:r>
        <w:rPr>
          <w:rFonts w:ascii="Arial" w:hAnsi="Arial" w:cs="Arial"/>
          <w:b/>
          <w:i/>
          <w:lang w:val="es-CO"/>
        </w:rPr>
        <w:t>Aspectos tributarios.</w:t>
      </w:r>
      <w:r>
        <w:rPr>
          <w:rFonts w:ascii="Arial" w:hAnsi="Arial" w:cs="Arial"/>
          <w:lang w:val="es-CO"/>
        </w:rPr>
        <w:t xml:space="preserve"> Para efectos del impuesto de timbre, los actos y contratos q</w:t>
      </w:r>
      <w:r>
        <w:rPr>
          <w:rFonts w:ascii="Arial" w:hAnsi="Arial" w:cs="Arial"/>
          <w:lang w:val="es-CO"/>
        </w:rPr>
        <w:t>ue se realicen en desarrollo del Decreto 941 de 2002 se sujetarán al tratamiento tributario previsto en el artículo 135 de la Ley 100 de 1993.</w:t>
      </w:r>
    </w:p>
    <w:p w14:paraId="7F3FC5BC" w14:textId="77777777" w:rsidR="00B2442D" w:rsidRDefault="00B2442D">
      <w:pPr>
        <w:jc w:val="both"/>
        <w:rPr>
          <w:rFonts w:ascii="Arial" w:hAnsi="Arial" w:cs="Arial"/>
          <w:lang w:val="es-CO"/>
        </w:rPr>
      </w:pPr>
    </w:p>
    <w:p w14:paraId="4C91BA6D" w14:textId="77777777" w:rsidR="00B2442D" w:rsidRDefault="008A645F">
      <w:pPr>
        <w:jc w:val="both"/>
        <w:rPr>
          <w:rFonts w:ascii="Arial" w:hAnsi="Arial" w:cs="Arial"/>
          <w:lang w:val="es-CO"/>
        </w:rPr>
      </w:pPr>
      <w:r>
        <w:rPr>
          <w:rFonts w:ascii="Arial" w:hAnsi="Arial" w:cs="Arial"/>
          <w:lang w:val="es-CO"/>
        </w:rPr>
        <w:t>Para efectos de las deducciones tributarias por concepto de provisión para el pago de futuras pensiones, el valo</w:t>
      </w:r>
      <w:r>
        <w:rPr>
          <w:rFonts w:ascii="Arial" w:hAnsi="Arial" w:cs="Arial"/>
          <w:lang w:val="es-CO"/>
        </w:rPr>
        <w:t>r de la amortización del cálculo actuarial que hubiese sido deducido en vigencias fiscales anteriores, no podrá ser objeto de nueva deducción en razón de la constitución del patrimonio autónomo. Los recursos que se transfieran al patrimonio autónomo en exc</w:t>
      </w:r>
      <w:r>
        <w:rPr>
          <w:rFonts w:ascii="Arial" w:hAnsi="Arial" w:cs="Arial"/>
          <w:lang w:val="es-CO"/>
        </w:rPr>
        <w:t>eso del monto amortizado en vigencias anteriores, se continuarán deduciendo en la forma prevista en los artículos 112 y 113 del Estatuto Tributario.</w:t>
      </w:r>
    </w:p>
    <w:p w14:paraId="0DA9CEA1" w14:textId="77777777" w:rsidR="00B2442D" w:rsidRDefault="00B2442D">
      <w:pPr>
        <w:jc w:val="both"/>
        <w:rPr>
          <w:rFonts w:ascii="Arial" w:hAnsi="Arial" w:cs="Arial"/>
          <w:lang w:val="es-CO"/>
        </w:rPr>
      </w:pPr>
    </w:p>
    <w:p w14:paraId="4668A099" w14:textId="77777777" w:rsidR="00B2442D" w:rsidRDefault="008A645F">
      <w:pPr>
        <w:jc w:val="both"/>
        <w:rPr>
          <w:rFonts w:ascii="Arial" w:hAnsi="Arial" w:cs="Arial"/>
          <w:i/>
          <w:lang w:val="es-CO"/>
        </w:rPr>
      </w:pPr>
      <w:r>
        <w:rPr>
          <w:rFonts w:ascii="Arial" w:hAnsi="Arial" w:cs="Arial"/>
          <w:i/>
          <w:lang w:val="es-CO"/>
        </w:rPr>
        <w:t>(Art. 17, incisos 1 y 4° del Decreto 941 de 2002)</w:t>
      </w:r>
    </w:p>
    <w:p w14:paraId="36E5EA92" w14:textId="77777777" w:rsidR="00B2442D" w:rsidRDefault="00B2442D">
      <w:pPr>
        <w:jc w:val="both"/>
        <w:rPr>
          <w:rFonts w:ascii="Arial" w:hAnsi="Arial" w:cs="Arial"/>
          <w:i/>
          <w:lang w:val="es-CO"/>
        </w:rPr>
      </w:pPr>
    </w:p>
    <w:p w14:paraId="2D64A67A" w14:textId="77777777" w:rsidR="00B2442D" w:rsidRDefault="008A645F">
      <w:pPr>
        <w:pStyle w:val="Ttulo3"/>
      </w:pPr>
      <w:bookmarkStart w:id="30" w:name="_Toc479171185"/>
      <w:r>
        <w:t>TÍTULO 2</w:t>
      </w:r>
      <w:bookmarkEnd w:id="30"/>
    </w:p>
    <w:p w14:paraId="09535C15" w14:textId="77777777" w:rsidR="00B2442D" w:rsidRDefault="008A645F">
      <w:pPr>
        <w:pStyle w:val="Ttulo3"/>
      </w:pPr>
      <w:bookmarkStart w:id="31" w:name="_Toc479171186"/>
      <w:r>
        <w:t>Gravamen a los Movimientos Financieros – GMF</w:t>
      </w:r>
      <w:bookmarkEnd w:id="31"/>
    </w:p>
    <w:p w14:paraId="5E004939" w14:textId="77777777" w:rsidR="00B2442D" w:rsidRDefault="00B2442D">
      <w:pPr>
        <w:rPr>
          <w:rFonts w:ascii="Arial" w:hAnsi="Arial" w:cs="Arial"/>
          <w:lang w:val="es-CO"/>
        </w:rPr>
      </w:pPr>
    </w:p>
    <w:p w14:paraId="4C06075E" w14:textId="77777777" w:rsidR="00B2442D" w:rsidRDefault="008A645F">
      <w:pPr>
        <w:pStyle w:val="Ttulo4"/>
        <w:ind w:firstLine="0"/>
      </w:pPr>
      <w:r>
        <w:t>CAPÍTULO 1</w:t>
      </w:r>
    </w:p>
    <w:p w14:paraId="1E557E10" w14:textId="77777777" w:rsidR="00B2442D" w:rsidRDefault="008A645F">
      <w:pPr>
        <w:pStyle w:val="Ttulo4"/>
        <w:ind w:firstLine="0"/>
      </w:pPr>
      <w:r>
        <w:t>Generalidades</w:t>
      </w:r>
    </w:p>
    <w:p w14:paraId="50D1E847" w14:textId="77777777" w:rsidR="00B2442D" w:rsidRDefault="00B2442D">
      <w:pPr>
        <w:rPr>
          <w:rFonts w:ascii="Arial" w:hAnsi="Arial" w:cs="Arial"/>
        </w:rPr>
      </w:pPr>
    </w:p>
    <w:p w14:paraId="1FC8DC0A"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Débitos a cuentas contables</w:t>
      </w:r>
      <w:r>
        <w:rPr>
          <w:rFonts w:ascii="Arial" w:hAnsi="Arial" w:cs="Arial"/>
          <w:lang w:val="es-CO"/>
        </w:rPr>
        <w:t xml:space="preserve">. Los débitos que se efectúen a cuentas contables y de otro género para la realización de cualquier pago o transferencia a un tercero por parte de los agentes retenedores del impuesto, causan el </w:t>
      </w:r>
      <w:r>
        <w:rPr>
          <w:rFonts w:ascii="Arial" w:hAnsi="Arial" w:cs="Arial"/>
          <w:lang w:val="es-CO"/>
        </w:rPr>
        <w:t>Gravamen a los Movimientos Financieros (GMF), salvo cuando el movimiento contable se origine en la disposición de recursos de cuentas corrientes, de ahorros o de depósito, caso en el cual se considerará una sola operación.</w:t>
      </w:r>
    </w:p>
    <w:p w14:paraId="77AE22DA" w14:textId="77777777" w:rsidR="00B2442D" w:rsidRDefault="00B2442D">
      <w:pPr>
        <w:jc w:val="both"/>
        <w:rPr>
          <w:rFonts w:ascii="Arial" w:hAnsi="Arial" w:cs="Arial"/>
          <w:lang w:val="es-CO"/>
        </w:rPr>
      </w:pPr>
    </w:p>
    <w:p w14:paraId="6E7C0060" w14:textId="77777777" w:rsidR="00B2442D" w:rsidRDefault="008A645F">
      <w:pPr>
        <w:jc w:val="both"/>
        <w:rPr>
          <w:rFonts w:ascii="Arial" w:hAnsi="Arial" w:cs="Arial"/>
          <w:lang w:val="es-CO"/>
        </w:rPr>
      </w:pPr>
      <w:r>
        <w:rPr>
          <w:rFonts w:ascii="Arial" w:hAnsi="Arial" w:cs="Arial"/>
          <w:lang w:val="es-CO"/>
        </w:rPr>
        <w:t>Para efectos de la aplicación de</w:t>
      </w:r>
      <w:r>
        <w:rPr>
          <w:rFonts w:ascii="Arial" w:hAnsi="Arial" w:cs="Arial"/>
          <w:lang w:val="es-CO"/>
        </w:rPr>
        <w:t xml:space="preserve"> las exenciones de que trata el artículo 879 del Estatuto Tributario, también se consideran una sola operación los movimientos contables que se efectúen para registrar la realización de una transacción que sea objeto del beneficio.</w:t>
      </w:r>
    </w:p>
    <w:p w14:paraId="26275465" w14:textId="77777777" w:rsidR="00B2442D" w:rsidRDefault="00B2442D">
      <w:pPr>
        <w:jc w:val="both"/>
        <w:rPr>
          <w:rFonts w:ascii="Arial" w:hAnsi="Arial" w:cs="Arial"/>
          <w:lang w:val="es-CO"/>
        </w:rPr>
      </w:pPr>
    </w:p>
    <w:p w14:paraId="4DDD615C" w14:textId="77777777" w:rsidR="00B2442D" w:rsidRDefault="008A645F">
      <w:pPr>
        <w:jc w:val="both"/>
        <w:rPr>
          <w:rFonts w:ascii="Arial" w:hAnsi="Arial" w:cs="Arial"/>
          <w:lang w:val="es-CO"/>
        </w:rPr>
      </w:pPr>
      <w:r>
        <w:rPr>
          <w:rFonts w:ascii="Arial" w:hAnsi="Arial" w:cs="Arial"/>
          <w:lang w:val="es-CO"/>
        </w:rPr>
        <w:t>El mismo tratamiento se</w:t>
      </w:r>
      <w:r>
        <w:rPr>
          <w:rFonts w:ascii="Arial" w:hAnsi="Arial" w:cs="Arial"/>
          <w:lang w:val="es-CO"/>
        </w:rPr>
        <w:t xml:space="preserve"> aplicará al traslado de utilidades que el Banco de la República realice a la Dirección General de Crédito Público y del Tesoro Nacional de conformidad con el artículo 27 de la Ley 21 de 1932 y a la disposición de recursos de cuentas corrientes o de ahorro</w:t>
      </w:r>
      <w:r>
        <w:rPr>
          <w:rFonts w:ascii="Arial" w:hAnsi="Arial" w:cs="Arial"/>
          <w:lang w:val="es-CO"/>
        </w:rPr>
        <w:t>s para la compra y venta de títulos de deuda pública que se realice entre las tesorerías de las entidades públicas y la Dirección General de Crédito Público y del Tesoro, para lo cual deberá identificarse la cuenta a través de la cual se disponga de los re</w:t>
      </w:r>
      <w:r>
        <w:rPr>
          <w:rFonts w:ascii="Arial" w:hAnsi="Arial" w:cs="Arial"/>
          <w:lang w:val="es-CO"/>
        </w:rPr>
        <w:t>cursos.</w:t>
      </w:r>
    </w:p>
    <w:p w14:paraId="40ECE8E1" w14:textId="77777777" w:rsidR="00B2442D" w:rsidRDefault="00B2442D">
      <w:pPr>
        <w:jc w:val="both"/>
        <w:rPr>
          <w:rFonts w:ascii="Arial" w:hAnsi="Arial" w:cs="Arial"/>
          <w:lang w:val="es-CO"/>
        </w:rPr>
      </w:pPr>
    </w:p>
    <w:p w14:paraId="5BAECD23" w14:textId="77777777" w:rsidR="00B2442D" w:rsidRDefault="008A645F">
      <w:pPr>
        <w:jc w:val="both"/>
        <w:rPr>
          <w:rFonts w:ascii="Arial" w:hAnsi="Arial" w:cs="Arial"/>
          <w:lang w:val="es-CO"/>
        </w:rPr>
      </w:pPr>
      <w:r>
        <w:rPr>
          <w:rFonts w:ascii="Arial" w:hAnsi="Arial" w:cs="Arial"/>
          <w:lang w:val="es-CO"/>
        </w:rPr>
        <w:t>El traslado a la Dirección General de Crédito Público y del Tesoro Nacional del Gravamen a los Movimientos Financieros (GMF) por parte de los nuevos agentes de retención no causa el tributo.</w:t>
      </w:r>
    </w:p>
    <w:p w14:paraId="5C00A9E7" w14:textId="77777777" w:rsidR="00B2442D" w:rsidRDefault="00B2442D">
      <w:pPr>
        <w:jc w:val="both"/>
        <w:rPr>
          <w:rFonts w:ascii="Arial" w:hAnsi="Arial" w:cs="Arial"/>
          <w:lang w:val="es-CO"/>
        </w:rPr>
      </w:pPr>
    </w:p>
    <w:p w14:paraId="2082FC3B" w14:textId="77777777" w:rsidR="00B2442D" w:rsidRDefault="008A645F">
      <w:pPr>
        <w:jc w:val="both"/>
        <w:rPr>
          <w:rFonts w:ascii="Arial" w:hAnsi="Arial" w:cs="Arial"/>
          <w:lang w:val="es-CO"/>
        </w:rPr>
      </w:pPr>
      <w:r>
        <w:rPr>
          <w:rFonts w:ascii="Arial" w:hAnsi="Arial" w:cs="Arial"/>
          <w:lang w:val="es-CO"/>
        </w:rPr>
        <w:t>El movimiento contable y el abono en cuenta que se real</w:t>
      </w:r>
      <w:r>
        <w:rPr>
          <w:rFonts w:ascii="Arial" w:hAnsi="Arial" w:cs="Arial"/>
          <w:lang w:val="es-CO"/>
        </w:rPr>
        <w:t>icen en las operaciones cambiarias se consideran una sola operación hasta el pago al titular de la operación de cambio, para lo cual el intermediario financiero deberá identificar la cuenta mediante la que se disponga de los recursos. El Gravamen a los Mov</w:t>
      </w:r>
      <w:r>
        <w:rPr>
          <w:rFonts w:ascii="Arial" w:hAnsi="Arial" w:cs="Arial"/>
          <w:lang w:val="es-CO"/>
        </w:rPr>
        <w:t>imientos Financieros se causa cuando el beneficiario de la operación cambiaria disponga de los recursos mediante mecanismos tales como débito a cuenta corriente, de ahorros o contable, en los términos del artículo 871 del Estatuto Tributario.</w:t>
      </w:r>
    </w:p>
    <w:p w14:paraId="5C1319D5" w14:textId="77777777" w:rsidR="00B2442D" w:rsidRDefault="00B2442D">
      <w:pPr>
        <w:jc w:val="both"/>
        <w:rPr>
          <w:rFonts w:ascii="Arial" w:hAnsi="Arial" w:cs="Arial"/>
          <w:lang w:val="es-CO"/>
        </w:rPr>
      </w:pPr>
    </w:p>
    <w:p w14:paraId="63D2D545" w14:textId="77777777" w:rsidR="00B2442D" w:rsidRDefault="008A645F">
      <w:pPr>
        <w:jc w:val="both"/>
        <w:rPr>
          <w:rFonts w:ascii="Arial" w:hAnsi="Arial" w:cs="Arial"/>
          <w:i/>
          <w:lang w:val="es-CO"/>
        </w:rPr>
      </w:pPr>
      <w:r>
        <w:rPr>
          <w:rFonts w:ascii="Arial" w:hAnsi="Arial" w:cs="Arial"/>
          <w:i/>
          <w:lang w:val="es-CO"/>
        </w:rPr>
        <w:t>(Art. 3, Dec</w:t>
      </w:r>
      <w:r>
        <w:rPr>
          <w:rFonts w:ascii="Arial" w:hAnsi="Arial" w:cs="Arial"/>
          <w:i/>
          <w:lang w:val="es-CO"/>
        </w:rPr>
        <w:t>reto 449 de 2003, aclarado el inciso 3 por el artículo 25 del Decreto 522 del 2003)</w:t>
      </w:r>
      <w:r>
        <w:rPr>
          <w:rFonts w:ascii="Arial" w:hAnsi="Arial" w:cs="Arial"/>
        </w:rPr>
        <w:t xml:space="preserve"> (</w:t>
      </w:r>
      <w:r>
        <w:rPr>
          <w:rFonts w:ascii="Arial" w:hAnsi="Arial" w:cs="Arial"/>
          <w:i/>
          <w:lang w:val="es-CO"/>
        </w:rPr>
        <w:t>El Decreto 449 de 2003 rige a partir de la fecha de su publicación y deroga, los artículos 2°, 4°, 17, y 25 del Decreto 405 de 2001, el parágrafo del artículo 1° del Decre</w:t>
      </w:r>
      <w:r>
        <w:rPr>
          <w:rFonts w:ascii="Arial" w:hAnsi="Arial" w:cs="Arial"/>
          <w:i/>
          <w:lang w:val="es-CO"/>
        </w:rPr>
        <w:t>to 518 de 2001 y el Decreto 707 de 2001. Art. 16, Decreto 449 de 2003)</w:t>
      </w:r>
    </w:p>
    <w:p w14:paraId="2A4CB08E" w14:textId="77777777" w:rsidR="00B2442D" w:rsidRDefault="00B2442D">
      <w:pPr>
        <w:jc w:val="both"/>
        <w:rPr>
          <w:rFonts w:ascii="Arial" w:hAnsi="Arial" w:cs="Arial"/>
          <w:i/>
          <w:lang w:val="es-CO"/>
        </w:rPr>
      </w:pPr>
    </w:p>
    <w:p w14:paraId="5B1DEE0F"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Aclaración.</w:t>
      </w:r>
      <w:r>
        <w:rPr>
          <w:rFonts w:ascii="Arial" w:hAnsi="Arial" w:cs="Arial"/>
          <w:b/>
          <w:lang w:val="es-CO"/>
        </w:rPr>
        <w:t xml:space="preserve">  </w:t>
      </w:r>
      <w:r>
        <w:rPr>
          <w:rFonts w:ascii="Arial" w:hAnsi="Arial" w:cs="Arial"/>
          <w:lang w:val="es-CO"/>
        </w:rPr>
        <w:t xml:space="preserve">Aclárase la referencia a que alude el inciso tercero del artículo 1.4.2.1.1 del presente Decreto, en el sentido de precisar que el traslado de utilidades que el Banco de </w:t>
      </w:r>
      <w:r>
        <w:rPr>
          <w:rFonts w:ascii="Arial" w:hAnsi="Arial" w:cs="Arial"/>
          <w:lang w:val="es-CO"/>
        </w:rPr>
        <w:t>la República realice a la Dirección General de Crédito Público y del Tesoro Nacional, se efectúa de conformidad con el artículo 27 de la Ley 31 de 1992 y no como allí aparece.</w:t>
      </w:r>
    </w:p>
    <w:p w14:paraId="26429150" w14:textId="77777777" w:rsidR="00B2442D" w:rsidRDefault="00B2442D">
      <w:pPr>
        <w:jc w:val="both"/>
        <w:rPr>
          <w:rFonts w:ascii="Arial" w:hAnsi="Arial" w:cs="Arial"/>
          <w:lang w:val="es-CO"/>
        </w:rPr>
      </w:pPr>
    </w:p>
    <w:p w14:paraId="62CD7810" w14:textId="77777777" w:rsidR="00B2442D" w:rsidRDefault="008A645F">
      <w:pPr>
        <w:jc w:val="both"/>
        <w:rPr>
          <w:rFonts w:ascii="Arial" w:hAnsi="Arial" w:cs="Arial"/>
          <w:lang w:val="es-CO"/>
        </w:rPr>
      </w:pPr>
      <w:r>
        <w:rPr>
          <w:rFonts w:ascii="Arial" w:hAnsi="Arial" w:cs="Arial"/>
          <w:i/>
          <w:lang w:val="es-CO"/>
        </w:rPr>
        <w:t>(Art. 25, Decreto 522 de 2003)</w:t>
      </w:r>
      <w:r>
        <w:rPr>
          <w:rFonts w:ascii="Arial" w:hAnsi="Arial" w:cs="Arial"/>
        </w:rPr>
        <w:t xml:space="preserve"> </w:t>
      </w:r>
      <w:r>
        <w:rPr>
          <w:rFonts w:ascii="Arial" w:hAnsi="Arial" w:cs="Arial"/>
          <w:i/>
          <w:lang w:val="es-CO"/>
        </w:rPr>
        <w:t>(El Decreto 522 de 2003 rige a partir de la fech</w:t>
      </w:r>
      <w:r>
        <w:rPr>
          <w:rFonts w:ascii="Arial" w:hAnsi="Arial" w:cs="Arial"/>
          <w:i/>
          <w:lang w:val="es-CO"/>
        </w:rPr>
        <w:t>a de su publicación y deroga los artículos 1° del Decreto 1001 de 1997, 6° del Decreto 3050 de 1997, y las disposiciones que le sean contrarias. Art. 27, Decreto 522 de 2003)</w:t>
      </w:r>
    </w:p>
    <w:p w14:paraId="7F83DB05" w14:textId="77777777" w:rsidR="00B2442D" w:rsidRDefault="00B2442D">
      <w:pPr>
        <w:jc w:val="both"/>
        <w:rPr>
          <w:rFonts w:ascii="Arial" w:hAnsi="Arial" w:cs="Arial"/>
          <w:lang w:val="es-CO"/>
        </w:rPr>
      </w:pPr>
    </w:p>
    <w:p w14:paraId="00764D86"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Giro de cheques con cargo a recursos de clientes</w:t>
      </w:r>
      <w:r>
        <w:rPr>
          <w:rFonts w:ascii="Arial" w:hAnsi="Arial" w:cs="Arial"/>
          <w:b/>
          <w:lang w:val="es-CO"/>
        </w:rPr>
        <w:t>.</w:t>
      </w:r>
      <w:r>
        <w:rPr>
          <w:rFonts w:ascii="Arial" w:hAnsi="Arial" w:cs="Arial"/>
          <w:lang w:val="es-CO"/>
        </w:rPr>
        <w:t xml:space="preserve"> Para las entidades vigiladas p</w:t>
      </w:r>
      <w:r>
        <w:rPr>
          <w:rFonts w:ascii="Arial" w:hAnsi="Arial" w:cs="Arial"/>
          <w:lang w:val="es-CO"/>
        </w:rPr>
        <w:t xml:space="preserve">or la Superintendencia de la Economía Solidaria que giren cheques con cargo a los recursos de una cuenta de ahorro perteneciente a un cliente, se considerará que constituye  una sola operación el retiro en virtud del cual se expide el cheque y el pago del </w:t>
      </w:r>
      <w:r>
        <w:rPr>
          <w:rFonts w:ascii="Arial" w:hAnsi="Arial" w:cs="Arial"/>
          <w:lang w:val="es-CO"/>
        </w:rPr>
        <w:t>mismo.</w:t>
      </w:r>
    </w:p>
    <w:p w14:paraId="5588C726" w14:textId="77777777" w:rsidR="00B2442D" w:rsidRDefault="00B2442D">
      <w:pPr>
        <w:jc w:val="both"/>
        <w:rPr>
          <w:rFonts w:ascii="Arial" w:hAnsi="Arial" w:cs="Arial"/>
          <w:lang w:val="es-CO"/>
        </w:rPr>
      </w:pPr>
    </w:p>
    <w:p w14:paraId="7B4CE2DB" w14:textId="77777777" w:rsidR="00B2442D" w:rsidRDefault="008A645F">
      <w:pPr>
        <w:jc w:val="both"/>
        <w:rPr>
          <w:rFonts w:ascii="Arial" w:hAnsi="Arial" w:cs="Arial"/>
          <w:i/>
          <w:lang w:val="es-CO"/>
        </w:rPr>
      </w:pPr>
      <w:r>
        <w:rPr>
          <w:rFonts w:ascii="Arial" w:hAnsi="Arial" w:cs="Arial"/>
          <w:i/>
          <w:lang w:val="es-CO"/>
        </w:rPr>
        <w:t>(Art. 4, Decreto 449 de 2003)</w:t>
      </w:r>
      <w:r>
        <w:rPr>
          <w:rFonts w:ascii="Arial" w:hAnsi="Arial" w:cs="Arial"/>
        </w:rPr>
        <w:t xml:space="preserve"> </w:t>
      </w:r>
      <w:r>
        <w:rPr>
          <w:rFonts w:ascii="Arial" w:hAnsi="Arial" w:cs="Arial"/>
          <w:i/>
          <w:lang w:val="es-CO"/>
        </w:rPr>
        <w:t xml:space="preserve">(El Decreto 449 de 2003 rige a partir de la fecha de su publicación y deroga, los artículos 2°, 4°, 17, y 25 del Decreto 405 de 2001, el parágrafo del artículo 1° del Decreto 518 de 2001 y el Decreto 707 de 2001. Art. </w:t>
      </w:r>
      <w:r>
        <w:rPr>
          <w:rFonts w:ascii="Arial" w:hAnsi="Arial" w:cs="Arial"/>
          <w:i/>
          <w:lang w:val="es-CO"/>
        </w:rPr>
        <w:t>16, Decreto 449 de 2003)</w:t>
      </w:r>
    </w:p>
    <w:p w14:paraId="4FA7DFFF" w14:textId="77777777" w:rsidR="00B2442D" w:rsidRDefault="00B2442D">
      <w:pPr>
        <w:jc w:val="both"/>
        <w:rPr>
          <w:rFonts w:ascii="Arial" w:hAnsi="Arial" w:cs="Arial"/>
          <w:i/>
          <w:lang w:val="es-CO"/>
        </w:rPr>
      </w:pPr>
    </w:p>
    <w:p w14:paraId="76491DF6"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Mecanismos de Control.</w:t>
      </w:r>
      <w:r>
        <w:rPr>
          <w:rFonts w:ascii="Arial" w:hAnsi="Arial" w:cs="Arial"/>
          <w:lang w:val="es-CO"/>
        </w:rPr>
        <w:t xml:space="preserve"> Los Intermediarios del mercado cambiario deberán separar en su contabilidad las operaciones cambiarias gravadas y exentas del GMF, y en cada una de las cuentas deberán identificar las operaciones cambiarias </w:t>
      </w:r>
      <w:r>
        <w:rPr>
          <w:rFonts w:ascii="Arial" w:hAnsi="Arial" w:cs="Arial"/>
          <w:lang w:val="es-CO"/>
        </w:rPr>
        <w:t>que se realizaron en el respectivo período de manera detallada.</w:t>
      </w:r>
    </w:p>
    <w:p w14:paraId="6E0F6EE2" w14:textId="77777777" w:rsidR="00B2442D" w:rsidRDefault="00B2442D">
      <w:pPr>
        <w:jc w:val="both"/>
        <w:rPr>
          <w:rFonts w:ascii="Arial" w:hAnsi="Arial" w:cs="Arial"/>
          <w:lang w:val="es-CO"/>
        </w:rPr>
      </w:pPr>
    </w:p>
    <w:p w14:paraId="611DD281" w14:textId="77777777" w:rsidR="00B2442D" w:rsidRDefault="008A645F">
      <w:pPr>
        <w:jc w:val="both"/>
        <w:rPr>
          <w:rFonts w:ascii="Arial" w:hAnsi="Arial" w:cs="Arial"/>
          <w:lang w:val="es-CO"/>
        </w:rPr>
      </w:pPr>
      <w:r>
        <w:rPr>
          <w:rFonts w:ascii="Arial" w:hAnsi="Arial" w:cs="Arial"/>
          <w:lang w:val="es-CO"/>
        </w:rPr>
        <w:t>La información a que se refiere este artículo deberá estar disponible para fines de control cuando la Administración Tributaria lo requiera.</w:t>
      </w:r>
    </w:p>
    <w:p w14:paraId="50218930" w14:textId="77777777" w:rsidR="00B2442D" w:rsidRDefault="00B2442D">
      <w:pPr>
        <w:jc w:val="both"/>
        <w:rPr>
          <w:rFonts w:ascii="Arial" w:hAnsi="Arial" w:cs="Arial"/>
          <w:lang w:val="es-CO"/>
        </w:rPr>
      </w:pPr>
    </w:p>
    <w:p w14:paraId="3198C69D" w14:textId="77777777" w:rsidR="00B2442D" w:rsidRDefault="008A645F">
      <w:pPr>
        <w:jc w:val="both"/>
        <w:rPr>
          <w:rFonts w:ascii="Arial" w:hAnsi="Arial" w:cs="Arial"/>
          <w:i/>
          <w:lang w:val="es-CO"/>
        </w:rPr>
      </w:pPr>
      <w:r>
        <w:rPr>
          <w:rFonts w:ascii="Arial" w:hAnsi="Arial" w:cs="Arial"/>
          <w:i/>
          <w:lang w:val="es-CO"/>
        </w:rPr>
        <w:t>(Art. 3, Decreto 2892 de 2007)</w:t>
      </w:r>
    </w:p>
    <w:p w14:paraId="4D083626" w14:textId="77777777" w:rsidR="00B2442D" w:rsidRDefault="00B2442D">
      <w:pPr>
        <w:jc w:val="both"/>
        <w:rPr>
          <w:rFonts w:ascii="Arial" w:hAnsi="Arial" w:cs="Arial"/>
          <w:b/>
          <w:lang w:val="es-CO"/>
        </w:rPr>
      </w:pPr>
    </w:p>
    <w:p w14:paraId="4F1223B9"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Operaciones a través de corresponsales no bancarios.</w:t>
      </w:r>
      <w:r>
        <w:rPr>
          <w:rFonts w:ascii="Arial" w:hAnsi="Arial" w:cs="Arial"/>
          <w:lang w:val="es-CO"/>
        </w:rPr>
        <w:t xml:space="preserve"> En todas las operaciones que realicen los establecimientos de crédito a través de corresponsales no bancarios, que impliquen la realización de hechos generadores del Gravamen a los Movimientos Financiero</w:t>
      </w:r>
      <w:r>
        <w:rPr>
          <w:rFonts w:ascii="Arial" w:hAnsi="Arial" w:cs="Arial"/>
          <w:lang w:val="es-CO"/>
        </w:rPr>
        <w:t xml:space="preserve">s, se causará el impuesto en las mismas condiciones tributarias como si fueran efectuadas directamente entre la entidad financiera y el usuario. </w:t>
      </w:r>
    </w:p>
    <w:p w14:paraId="05F15AD5" w14:textId="77777777" w:rsidR="00B2442D" w:rsidRDefault="00B2442D">
      <w:pPr>
        <w:jc w:val="both"/>
        <w:rPr>
          <w:rFonts w:ascii="Arial" w:hAnsi="Arial" w:cs="Arial"/>
          <w:lang w:val="es-CO"/>
        </w:rPr>
      </w:pPr>
    </w:p>
    <w:p w14:paraId="17366311" w14:textId="77777777" w:rsidR="00B2442D" w:rsidRDefault="008A645F">
      <w:pPr>
        <w:jc w:val="both"/>
        <w:rPr>
          <w:rFonts w:ascii="Arial" w:hAnsi="Arial" w:cs="Arial"/>
          <w:lang w:val="es-CO"/>
        </w:rPr>
      </w:pPr>
      <w:r>
        <w:rPr>
          <w:rFonts w:ascii="Arial" w:hAnsi="Arial" w:cs="Arial"/>
          <w:lang w:val="es-CO"/>
        </w:rPr>
        <w:t>Los movimientos créditos, débitos y/o contables realizados por intermedio de corresponsales no bancarios cons</w:t>
      </w:r>
      <w:r>
        <w:rPr>
          <w:rFonts w:ascii="Arial" w:hAnsi="Arial" w:cs="Arial"/>
          <w:lang w:val="es-CO"/>
        </w:rPr>
        <w:t>tituyen una sola operación gravada en cabeza del usuario o cliente de la entidad financiera, siempre y cuando se trate de operaciones efectuadas en desarrollo del contrato de corresponsalía no bancaria, para lo cual deberá identificarse una cuenta en la en</w:t>
      </w:r>
      <w:r>
        <w:rPr>
          <w:rFonts w:ascii="Arial" w:hAnsi="Arial" w:cs="Arial"/>
          <w:lang w:val="es-CO"/>
        </w:rPr>
        <w:t xml:space="preserve">tidad bancaria, en la cual se manejen de manera exclusiva los recursos objeto de corresponsalía. La cuenta identificada de los corresponsales no bancarios podrá ser abierta en una entidad financiera diferente de la entidad de crédito contratante. </w:t>
      </w:r>
    </w:p>
    <w:p w14:paraId="1C8333CF" w14:textId="77777777" w:rsidR="00B2442D" w:rsidRDefault="00B2442D">
      <w:pPr>
        <w:jc w:val="both"/>
        <w:rPr>
          <w:rFonts w:ascii="Arial" w:hAnsi="Arial" w:cs="Arial"/>
          <w:lang w:val="es-CO"/>
        </w:rPr>
      </w:pPr>
    </w:p>
    <w:p w14:paraId="70673B40" w14:textId="77777777" w:rsidR="00B2442D" w:rsidRDefault="008A645F">
      <w:pPr>
        <w:jc w:val="both"/>
        <w:rPr>
          <w:rFonts w:ascii="Arial" w:hAnsi="Arial" w:cs="Arial"/>
          <w:lang w:val="es-CO"/>
        </w:rPr>
      </w:pPr>
      <w:r>
        <w:rPr>
          <w:rFonts w:ascii="Arial" w:hAnsi="Arial" w:cs="Arial"/>
          <w:b/>
          <w:lang w:val="es-CO"/>
        </w:rPr>
        <w:t>Parágra</w:t>
      </w:r>
      <w:r>
        <w:rPr>
          <w:rFonts w:ascii="Arial" w:hAnsi="Arial" w:cs="Arial"/>
          <w:b/>
          <w:lang w:val="es-CO"/>
        </w:rPr>
        <w:t>fo 1.</w:t>
      </w:r>
      <w:r>
        <w:rPr>
          <w:rFonts w:ascii="Arial" w:hAnsi="Arial" w:cs="Arial"/>
          <w:lang w:val="es-CO"/>
        </w:rPr>
        <w:t xml:space="preserve"> El agente retenedor responsable del recaudo y pago del impuesto, es la entidad de crédito contratante. </w:t>
      </w:r>
    </w:p>
    <w:p w14:paraId="43590926" w14:textId="77777777" w:rsidR="00B2442D" w:rsidRDefault="00B2442D">
      <w:pPr>
        <w:jc w:val="both"/>
        <w:rPr>
          <w:rFonts w:ascii="Arial" w:hAnsi="Arial" w:cs="Arial"/>
          <w:lang w:val="es-CO"/>
        </w:rPr>
      </w:pPr>
    </w:p>
    <w:p w14:paraId="49C0DD3B"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Se entiende como una sola operación los movimientos créditos, débitos y/o contables realizados por intermedio de entidades que tenga</w:t>
      </w:r>
      <w:r>
        <w:rPr>
          <w:rFonts w:ascii="Arial" w:hAnsi="Arial" w:cs="Arial"/>
          <w:lang w:val="es-CO"/>
        </w:rPr>
        <w:t>n suscritos y vigentes contratos de corresponsalía no bancaria, que se efectúen en desarrollo de convenios de recaudo directo, para el traslado y entrega de los recursos recaudados al titular del convenio respectivo. Para ello, tales entidades deberán iden</w:t>
      </w:r>
      <w:r>
        <w:rPr>
          <w:rFonts w:ascii="Arial" w:hAnsi="Arial" w:cs="Arial"/>
          <w:lang w:val="es-CO"/>
        </w:rPr>
        <w:t>tificar las cuentas en las que se llevará a cabo el recaudo, en una entidad bancaria. Esta operación se encuentra gravada en cabeza del titular del convenio de recaudo y actuará como agente retenedor la entidad bancaria en la cual se encuentre la cuenta de</w:t>
      </w:r>
      <w:r>
        <w:rPr>
          <w:rFonts w:ascii="Arial" w:hAnsi="Arial" w:cs="Arial"/>
          <w:lang w:val="es-CO"/>
        </w:rPr>
        <w:t xml:space="preserve"> dicho titular.</w:t>
      </w:r>
    </w:p>
    <w:p w14:paraId="06F405E4" w14:textId="77777777" w:rsidR="00B2442D" w:rsidRDefault="00B2442D">
      <w:pPr>
        <w:jc w:val="both"/>
        <w:rPr>
          <w:rFonts w:ascii="Arial" w:hAnsi="Arial" w:cs="Arial"/>
          <w:lang w:val="es-CO"/>
        </w:rPr>
      </w:pPr>
    </w:p>
    <w:p w14:paraId="5A92AD0E" w14:textId="77777777" w:rsidR="00B2442D" w:rsidRDefault="008A645F">
      <w:pPr>
        <w:jc w:val="both"/>
        <w:rPr>
          <w:rFonts w:ascii="Arial" w:hAnsi="Arial" w:cs="Arial"/>
          <w:i/>
          <w:lang w:val="es-CO"/>
        </w:rPr>
      </w:pPr>
      <w:r>
        <w:rPr>
          <w:rFonts w:ascii="Arial" w:hAnsi="Arial" w:cs="Arial"/>
          <w:i/>
          <w:lang w:val="es-CO"/>
        </w:rPr>
        <w:t>(Art. 1, Decreto 086 de 2008, modificado por el art. 12, del Decreto 660 de 2011)</w:t>
      </w:r>
    </w:p>
    <w:p w14:paraId="4805D8E3" w14:textId="77777777" w:rsidR="00B2442D" w:rsidRDefault="00B2442D">
      <w:pPr>
        <w:jc w:val="both"/>
        <w:rPr>
          <w:rFonts w:ascii="Arial" w:hAnsi="Arial" w:cs="Arial"/>
          <w:lang w:val="es-CO"/>
        </w:rPr>
      </w:pPr>
    </w:p>
    <w:p w14:paraId="235E5E66"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Disposición de recursos de clientes de compañías de financiamiento y entidades cooperativas o asociados a cooperativas a través de cuentas de afinidad en ba</w:t>
      </w:r>
      <w:r>
        <w:rPr>
          <w:rFonts w:ascii="Arial" w:hAnsi="Arial" w:cs="Arial"/>
          <w:b/>
          <w:i/>
          <w:lang w:val="es-CO"/>
        </w:rPr>
        <w:t>ncos.</w:t>
      </w:r>
      <w:r>
        <w:rPr>
          <w:rFonts w:ascii="Arial" w:hAnsi="Arial" w:cs="Arial"/>
          <w:lang w:val="es-CO"/>
        </w:rPr>
        <w:t xml:space="preserve"> La disposición de recursos depositados en las cuentas de ahorro de los clientes de las compañías de financiamiento o los clientes o cooperados, de las cooperativas financieras de ahorro y crédito y secciones de ahorro y crédito de las cooperativas mu</w:t>
      </w:r>
      <w:r>
        <w:rPr>
          <w:rFonts w:ascii="Arial" w:hAnsi="Arial" w:cs="Arial"/>
          <w:lang w:val="es-CO"/>
        </w:rPr>
        <w:t>ltiactivas, mediante cheques, tarjetas débito, cajeros electrónicos, puntos de pago o cualquier otra modalidad de transacción, que se haga a través de cuentas corrientes abiertas en establecimientos bancarios por las entidades mencionadas, así como los res</w:t>
      </w:r>
      <w:r>
        <w:rPr>
          <w:rFonts w:ascii="Arial" w:hAnsi="Arial" w:cs="Arial"/>
          <w:lang w:val="es-CO"/>
        </w:rPr>
        <w:t>pectivos débitos que deba efectuar la cooperativa o compañía de financiamiento en las cuentas de ahorros de sus clientes o cooperados, se consideran, para efectos del Gravamen a los Movimientos Financieros, como una sola operación.</w:t>
      </w:r>
    </w:p>
    <w:p w14:paraId="7658320A" w14:textId="77777777" w:rsidR="00B2442D" w:rsidRDefault="00B2442D">
      <w:pPr>
        <w:jc w:val="both"/>
        <w:rPr>
          <w:rFonts w:ascii="Arial" w:hAnsi="Arial" w:cs="Arial"/>
          <w:lang w:val="es-CO"/>
        </w:rPr>
      </w:pPr>
    </w:p>
    <w:p w14:paraId="3084924F" w14:textId="77777777" w:rsidR="00B2442D" w:rsidRDefault="008A645F">
      <w:pPr>
        <w:jc w:val="both"/>
        <w:rPr>
          <w:rFonts w:ascii="Arial" w:hAnsi="Arial" w:cs="Arial"/>
          <w:lang w:val="es-CO"/>
        </w:rPr>
      </w:pPr>
      <w:r>
        <w:rPr>
          <w:rFonts w:ascii="Arial" w:hAnsi="Arial" w:cs="Arial"/>
          <w:lang w:val="es-CO"/>
        </w:rPr>
        <w:t>Para los efectos señala</w:t>
      </w:r>
      <w:r>
        <w:rPr>
          <w:rFonts w:ascii="Arial" w:hAnsi="Arial" w:cs="Arial"/>
          <w:lang w:val="es-CO"/>
        </w:rPr>
        <w:t>dos en el presente artículo, los recursos depositados en las cuentas corrientes abiertas por las compañías de financiamiento o cooperativas en establecimientos bancarios, se destinarán exclusivamente a permitir que los cooperados o clientes de las entidade</w:t>
      </w:r>
      <w:r>
        <w:rPr>
          <w:rFonts w:ascii="Arial" w:hAnsi="Arial" w:cs="Arial"/>
          <w:lang w:val="es-CO"/>
        </w:rPr>
        <w:t xml:space="preserve">s enunciadas dispongan de los recursos depositados en las cuentas de ahorro que tengan en la cooperativa o compañía de financiamiento, lo cual se acreditará mediante certificación expedida por el revisor fiscal o contador público, según corresponda. </w:t>
      </w:r>
    </w:p>
    <w:p w14:paraId="68EDB118" w14:textId="77777777" w:rsidR="00B2442D" w:rsidRDefault="00B2442D">
      <w:pPr>
        <w:jc w:val="both"/>
        <w:rPr>
          <w:rFonts w:ascii="Arial" w:hAnsi="Arial" w:cs="Arial"/>
          <w:lang w:val="es-CO"/>
        </w:rPr>
      </w:pPr>
    </w:p>
    <w:p w14:paraId="01AFE21B" w14:textId="77777777" w:rsidR="00B2442D" w:rsidRDefault="008A645F">
      <w:pPr>
        <w:jc w:val="both"/>
        <w:rPr>
          <w:rFonts w:ascii="Arial" w:hAnsi="Arial" w:cs="Arial"/>
          <w:lang w:val="es-CO"/>
        </w:rPr>
      </w:pPr>
      <w:r>
        <w:rPr>
          <w:rFonts w:ascii="Arial" w:hAnsi="Arial" w:cs="Arial"/>
          <w:b/>
          <w:lang w:val="es-CO"/>
        </w:rPr>
        <w:t>Pará</w:t>
      </w:r>
      <w:r>
        <w:rPr>
          <w:rFonts w:ascii="Arial" w:hAnsi="Arial" w:cs="Arial"/>
          <w:b/>
          <w:lang w:val="es-CO"/>
        </w:rPr>
        <w:t>grafo.</w:t>
      </w:r>
      <w:r>
        <w:rPr>
          <w:rFonts w:ascii="Arial" w:hAnsi="Arial" w:cs="Arial"/>
          <w:lang w:val="es-CO"/>
        </w:rPr>
        <w:t xml:space="preserve"> El agente retenedor responsable del recaudo y pago del impuesto por la disposición de los recursos conforme con lo señalado en los artículos 1.4.2.1.6 y 1.4.2.1.7 del presente decreto será la cooperativa y/o la compañía de financiamiento titular de </w:t>
      </w:r>
      <w:r>
        <w:rPr>
          <w:rFonts w:ascii="Arial" w:hAnsi="Arial" w:cs="Arial"/>
          <w:lang w:val="es-CO"/>
        </w:rPr>
        <w:t>la cuenta corriente en el establecimiento bancario, para lo cual según corresponda, deberá identificar la cuenta correspondiente, sin perjuicio de la exención consagrada en el numeral 1 del artículo 879 del Estatuto Tributario, cuando el ahorrador haga uso</w:t>
      </w:r>
      <w:r>
        <w:rPr>
          <w:rFonts w:ascii="Arial" w:hAnsi="Arial" w:cs="Arial"/>
          <w:lang w:val="es-CO"/>
        </w:rPr>
        <w:t xml:space="preserve"> del beneficio allí previsto.</w:t>
      </w:r>
    </w:p>
    <w:p w14:paraId="5381C700" w14:textId="77777777" w:rsidR="00B2442D" w:rsidRDefault="00B2442D">
      <w:pPr>
        <w:jc w:val="both"/>
        <w:rPr>
          <w:rFonts w:ascii="Arial" w:hAnsi="Arial" w:cs="Arial"/>
          <w:lang w:val="es-CO"/>
        </w:rPr>
      </w:pPr>
    </w:p>
    <w:p w14:paraId="34BC36C0" w14:textId="77777777" w:rsidR="00B2442D" w:rsidRDefault="008A645F">
      <w:pPr>
        <w:jc w:val="both"/>
        <w:rPr>
          <w:rFonts w:ascii="Arial" w:hAnsi="Arial" w:cs="Arial"/>
          <w:i/>
          <w:lang w:val="es-CO"/>
        </w:rPr>
      </w:pPr>
      <w:r>
        <w:rPr>
          <w:rFonts w:ascii="Arial" w:hAnsi="Arial" w:cs="Arial"/>
          <w:i/>
          <w:lang w:val="es-CO"/>
        </w:rPr>
        <w:t>(Art. 1, Decreto 2102 de 2008, modificado por el art. 2 Decreto 1744 de 2013)</w:t>
      </w:r>
    </w:p>
    <w:p w14:paraId="338D35DF" w14:textId="77777777" w:rsidR="00B2442D" w:rsidRDefault="00B2442D">
      <w:pPr>
        <w:jc w:val="both"/>
        <w:rPr>
          <w:rFonts w:ascii="Arial" w:hAnsi="Arial" w:cs="Arial"/>
          <w:lang w:val="es-CO"/>
        </w:rPr>
      </w:pPr>
    </w:p>
    <w:p w14:paraId="4B5888D9"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Aplicación de normas.</w:t>
      </w:r>
      <w:r>
        <w:rPr>
          <w:rFonts w:ascii="Arial" w:hAnsi="Arial" w:cs="Arial"/>
          <w:lang w:val="es-CO"/>
        </w:rPr>
        <w:t xml:space="preserve"> A las operaciones que realicen las compañías de financiamiento, las cooperativas de ahorro y crédito y las secciones de ahor</w:t>
      </w:r>
      <w:r>
        <w:rPr>
          <w:rFonts w:ascii="Arial" w:hAnsi="Arial" w:cs="Arial"/>
          <w:lang w:val="es-CO"/>
        </w:rPr>
        <w:t>ro y crédito de las cooperativas multiactivas, a través de corresponsales no bancarios, les serán aplicables las disposiciones contenidas en los artículos 1.3.1.3.4 y 1.4.2.1.5 del presente Decreto.</w:t>
      </w:r>
    </w:p>
    <w:p w14:paraId="1E86C8B2" w14:textId="77777777" w:rsidR="00B2442D" w:rsidRDefault="00B2442D">
      <w:pPr>
        <w:jc w:val="both"/>
        <w:rPr>
          <w:rFonts w:ascii="Arial" w:hAnsi="Arial" w:cs="Arial"/>
          <w:lang w:val="es-CO"/>
        </w:rPr>
      </w:pPr>
    </w:p>
    <w:p w14:paraId="33CE22AA" w14:textId="77777777" w:rsidR="00B2442D" w:rsidRDefault="008A645F">
      <w:pPr>
        <w:jc w:val="both"/>
        <w:rPr>
          <w:rFonts w:ascii="Arial" w:hAnsi="Arial" w:cs="Arial"/>
          <w:i/>
          <w:lang w:val="es-CO"/>
        </w:rPr>
      </w:pPr>
      <w:r>
        <w:rPr>
          <w:rFonts w:ascii="Arial" w:hAnsi="Arial" w:cs="Arial"/>
          <w:i/>
          <w:lang w:val="es-CO"/>
        </w:rPr>
        <w:t xml:space="preserve">(Art. 2, Decreto 2102 de 2008, modificado por el art. 3 </w:t>
      </w:r>
      <w:r>
        <w:rPr>
          <w:rFonts w:ascii="Arial" w:hAnsi="Arial" w:cs="Arial"/>
          <w:i/>
          <w:lang w:val="es-CO"/>
        </w:rPr>
        <w:t>Decreto 1744 de 2013)</w:t>
      </w:r>
    </w:p>
    <w:p w14:paraId="0614B0F9" w14:textId="77777777" w:rsidR="00B2442D" w:rsidRDefault="00B2442D">
      <w:pPr>
        <w:rPr>
          <w:rFonts w:ascii="Arial" w:hAnsi="Arial" w:cs="Arial"/>
          <w:lang w:val="es-CO"/>
        </w:rPr>
      </w:pPr>
    </w:p>
    <w:p w14:paraId="62D5F26F"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Débitos en las cuentas de depósito en moneda nacional o extranjera en el Banco de la República.</w:t>
      </w:r>
      <w:r>
        <w:rPr>
          <w:rFonts w:ascii="Arial" w:hAnsi="Arial" w:cs="Arial"/>
          <w:lang w:val="es-CO"/>
        </w:rPr>
        <w:t xml:space="preserve"> De conformidad con el artículo 871 del Estatuto Tributario las transacciones financieras que realicen los usuarios de las cuentas de depó</w:t>
      </w:r>
      <w:r>
        <w:rPr>
          <w:rFonts w:ascii="Arial" w:hAnsi="Arial" w:cs="Arial"/>
          <w:lang w:val="es-CO"/>
        </w:rPr>
        <w:t>sito en moneda nacional o extranjera abiertas en el Banco de la República, y no exceptuadas expresamente en el artículo 879 del Estatuto Tributario, estarán sujetas al Gravamen a los Movimientos Financieros.</w:t>
      </w:r>
    </w:p>
    <w:p w14:paraId="44C26C15" w14:textId="77777777" w:rsidR="00B2442D" w:rsidRDefault="00B2442D">
      <w:pPr>
        <w:jc w:val="both"/>
        <w:rPr>
          <w:rFonts w:ascii="Arial" w:hAnsi="Arial" w:cs="Arial"/>
          <w:lang w:val="es-CO"/>
        </w:rPr>
      </w:pPr>
    </w:p>
    <w:p w14:paraId="71B940B6" w14:textId="77777777" w:rsidR="00B2442D" w:rsidRDefault="008A645F">
      <w:pPr>
        <w:jc w:val="both"/>
        <w:rPr>
          <w:rFonts w:ascii="Arial" w:hAnsi="Arial" w:cs="Arial"/>
          <w:lang w:val="es-CO"/>
        </w:rPr>
      </w:pPr>
      <w:r>
        <w:rPr>
          <w:rFonts w:ascii="Arial" w:hAnsi="Arial" w:cs="Arial"/>
          <w:lang w:val="es-CO"/>
        </w:rPr>
        <w:t>El sujeto pasivo será el establecimiento de cré</w:t>
      </w:r>
      <w:r>
        <w:rPr>
          <w:rFonts w:ascii="Arial" w:hAnsi="Arial" w:cs="Arial"/>
          <w:lang w:val="es-CO"/>
        </w:rPr>
        <w:t>dito o el titular de la cuenta de depósito cuando disponga de sus recursos en dichas cuentas.</w:t>
      </w:r>
    </w:p>
    <w:p w14:paraId="6AF47336" w14:textId="77777777" w:rsidR="00B2442D" w:rsidRDefault="00B2442D">
      <w:pPr>
        <w:jc w:val="both"/>
        <w:rPr>
          <w:rFonts w:ascii="Arial" w:hAnsi="Arial" w:cs="Arial"/>
          <w:i/>
          <w:lang w:val="es-CO"/>
        </w:rPr>
      </w:pPr>
    </w:p>
    <w:p w14:paraId="3EF4CA70" w14:textId="77777777" w:rsidR="00B2442D" w:rsidRDefault="008A645F">
      <w:pPr>
        <w:jc w:val="both"/>
        <w:rPr>
          <w:rFonts w:ascii="Arial" w:hAnsi="Arial" w:cs="Arial"/>
          <w:i/>
          <w:lang w:val="es-CO"/>
        </w:rPr>
      </w:pPr>
      <w:r>
        <w:rPr>
          <w:rFonts w:ascii="Arial" w:hAnsi="Arial" w:cs="Arial"/>
          <w:i/>
          <w:lang w:val="es-CO"/>
        </w:rPr>
        <w:t>(Art. 3, Decreto 405 de 2001)</w:t>
      </w:r>
    </w:p>
    <w:p w14:paraId="50071336" w14:textId="77777777" w:rsidR="00B2442D" w:rsidRDefault="00B2442D">
      <w:pPr>
        <w:jc w:val="both"/>
        <w:rPr>
          <w:rFonts w:ascii="Arial" w:hAnsi="Arial" w:cs="Arial"/>
          <w:lang w:val="es-CO"/>
        </w:rPr>
      </w:pPr>
    </w:p>
    <w:p w14:paraId="3A78E75E" w14:textId="77777777" w:rsidR="00B2442D" w:rsidRDefault="008A645F">
      <w:pPr>
        <w:pStyle w:val="Prrafodelista"/>
        <w:numPr>
          <w:ilvl w:val="0"/>
          <w:numId w:val="88"/>
        </w:numPr>
        <w:ind w:left="0" w:firstLine="0"/>
        <w:jc w:val="both"/>
        <w:rPr>
          <w:rFonts w:ascii="Arial" w:hAnsi="Arial" w:cs="Arial"/>
          <w:lang w:val="es-CO"/>
        </w:rPr>
      </w:pPr>
      <w:r>
        <w:rPr>
          <w:rFonts w:ascii="Arial" w:hAnsi="Arial" w:cs="Arial"/>
          <w:b/>
          <w:i/>
          <w:lang w:val="es-CO"/>
        </w:rPr>
        <w:t>Cancelación del importe de los Depósitos a Término</w:t>
      </w:r>
      <w:r>
        <w:rPr>
          <w:rFonts w:ascii="Arial" w:hAnsi="Arial" w:cs="Arial"/>
          <w:lang w:val="es-CO"/>
        </w:rPr>
        <w:t xml:space="preserve">. Para efectos de lo dispuesto en el parágrafo del artículo 871 del </w:t>
      </w:r>
      <w:r>
        <w:rPr>
          <w:rFonts w:ascii="Arial" w:hAnsi="Arial" w:cs="Arial"/>
          <w:lang w:val="es-CO"/>
        </w:rPr>
        <w:t>Estatuto Tributario, el Gravamen a los Movimientos Financieros (GMF) se causa en la cancelación del capital, intereses o rendimientos de los depósitos a término y en todo caso en el pago o reinversión de los intereses o rendimientos, cuando dicho pago se r</w:t>
      </w:r>
      <w:r>
        <w:rPr>
          <w:rFonts w:ascii="Arial" w:hAnsi="Arial" w:cs="Arial"/>
          <w:lang w:val="es-CO"/>
        </w:rPr>
        <w:t>ealice mediante abono en cuenta corriente, de ahorros o de depósito en el Banco de la República. En caso de prórroga del depósito no se causa el gravamen siempre y cuando no haya cambio de titular.</w:t>
      </w:r>
    </w:p>
    <w:p w14:paraId="4B50D871" w14:textId="77777777" w:rsidR="00B2442D" w:rsidRDefault="00B2442D">
      <w:pPr>
        <w:jc w:val="both"/>
        <w:rPr>
          <w:rFonts w:ascii="Arial" w:hAnsi="Arial" w:cs="Arial"/>
          <w:lang w:val="es-CO"/>
        </w:rPr>
      </w:pPr>
    </w:p>
    <w:p w14:paraId="778C31FA" w14:textId="77777777" w:rsidR="00B2442D" w:rsidRDefault="008A645F">
      <w:pPr>
        <w:jc w:val="both"/>
        <w:rPr>
          <w:rFonts w:ascii="Arial" w:hAnsi="Arial" w:cs="Arial"/>
          <w:lang w:val="es-CO"/>
        </w:rPr>
      </w:pPr>
      <w:r>
        <w:rPr>
          <w:rFonts w:ascii="Arial" w:hAnsi="Arial" w:cs="Arial"/>
          <w:lang w:val="es-CO"/>
        </w:rPr>
        <w:t>Actuarán como autorretenedores del gravamen en la cancela</w:t>
      </w:r>
      <w:r>
        <w:rPr>
          <w:rFonts w:ascii="Arial" w:hAnsi="Arial" w:cs="Arial"/>
          <w:lang w:val="es-CO"/>
        </w:rPr>
        <w:t>ción de depósitos a término las entidades que efectúen pagos o abono en cuenta por cualquier medio.</w:t>
      </w:r>
    </w:p>
    <w:p w14:paraId="5866363C" w14:textId="77777777" w:rsidR="00B2442D" w:rsidRDefault="00B2442D">
      <w:pPr>
        <w:jc w:val="both"/>
        <w:rPr>
          <w:rFonts w:ascii="Arial" w:hAnsi="Arial" w:cs="Arial"/>
          <w:lang w:val="es-CO"/>
        </w:rPr>
      </w:pPr>
    </w:p>
    <w:p w14:paraId="643B83B8" w14:textId="77777777" w:rsidR="00B2442D" w:rsidRDefault="008A645F">
      <w:pPr>
        <w:jc w:val="both"/>
        <w:rPr>
          <w:rFonts w:ascii="Arial" w:hAnsi="Arial" w:cs="Arial"/>
          <w:i/>
          <w:lang w:val="es-CO"/>
        </w:rPr>
      </w:pPr>
      <w:r>
        <w:rPr>
          <w:rFonts w:ascii="Arial" w:hAnsi="Arial" w:cs="Arial"/>
          <w:i/>
          <w:lang w:val="es-CO"/>
        </w:rPr>
        <w:t>(Art. 7, Decreto 449 de 2003)</w:t>
      </w:r>
      <w:r>
        <w:rPr>
          <w:rFonts w:ascii="Arial" w:hAnsi="Arial" w:cs="Arial"/>
        </w:rPr>
        <w:t xml:space="preserve"> </w:t>
      </w:r>
      <w:r>
        <w:rPr>
          <w:rFonts w:ascii="Arial" w:hAnsi="Arial" w:cs="Arial"/>
          <w:i/>
          <w:lang w:val="es-CO"/>
        </w:rPr>
        <w:t xml:space="preserve">(El Decreto 449 de 2003 rige a partir de la fecha de su publicación y deroga, los artículos 2°, 4°, 17, y 25 del Decreto 405 </w:t>
      </w:r>
      <w:r>
        <w:rPr>
          <w:rFonts w:ascii="Arial" w:hAnsi="Arial" w:cs="Arial"/>
          <w:i/>
          <w:lang w:val="es-CO"/>
        </w:rPr>
        <w:t>de 2001, el parágrafo del artículo 1° del Decreto 518 de 2001 y el Decreto 707 de 2001. Art. 16, Decreto 449 de 2003)</w:t>
      </w:r>
    </w:p>
    <w:p w14:paraId="5A392792" w14:textId="77777777" w:rsidR="00B2442D" w:rsidRDefault="00B2442D">
      <w:pPr>
        <w:jc w:val="both"/>
        <w:rPr>
          <w:rFonts w:ascii="Arial" w:hAnsi="Arial" w:cs="Arial"/>
          <w:lang w:val="es-CO"/>
        </w:rPr>
      </w:pPr>
    </w:p>
    <w:p w14:paraId="5DB0044C" w14:textId="77777777" w:rsidR="00B2442D" w:rsidRDefault="008A645F">
      <w:pPr>
        <w:pStyle w:val="Ttulo4"/>
      </w:pPr>
      <w:r>
        <w:t>CAPÍTULO 2</w:t>
      </w:r>
    </w:p>
    <w:p w14:paraId="44A1C5E7" w14:textId="77777777" w:rsidR="00B2442D" w:rsidRDefault="008A645F">
      <w:pPr>
        <w:pStyle w:val="Ttulo4"/>
      </w:pPr>
      <w:r>
        <w:t>Exenciones del Gravamen a los Movimientos Financieros – GMF</w:t>
      </w:r>
    </w:p>
    <w:p w14:paraId="0D321726" w14:textId="77777777" w:rsidR="00B2442D" w:rsidRDefault="00B2442D">
      <w:pPr>
        <w:rPr>
          <w:rFonts w:ascii="Arial" w:hAnsi="Arial" w:cs="Arial"/>
        </w:rPr>
      </w:pPr>
    </w:p>
    <w:p w14:paraId="55AEB351"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Elección de la tarjeta prepago o cuentas exentas del gravamen a l</w:t>
      </w:r>
      <w:r>
        <w:rPr>
          <w:rFonts w:ascii="Arial" w:hAnsi="Arial" w:cs="Arial"/>
          <w:b/>
          <w:i/>
          <w:lang w:val="es-CO"/>
        </w:rPr>
        <w:t>os movimientos financieros.</w:t>
      </w:r>
      <w:r>
        <w:rPr>
          <w:rFonts w:ascii="Arial" w:hAnsi="Arial" w:cs="Arial"/>
          <w:lang w:val="es-CO"/>
        </w:rPr>
        <w:t xml:space="preserve"> Para efectos de determinar la cuenta de ahorro o tarjeta prepago nominada beneficiada con la exención prevista en el numeral 1 del artículo 879 del Estatuto Tributario, el titular de la cuenta de ahorro o la tarjeta prepago nomi</w:t>
      </w:r>
      <w:r>
        <w:rPr>
          <w:rFonts w:ascii="Arial" w:hAnsi="Arial" w:cs="Arial"/>
          <w:lang w:val="es-CO"/>
        </w:rPr>
        <w:t xml:space="preserve">nada deberá presentar una solicitud por medio electrónico o físico ante el respectivo establecimiento de crédito vigilado por la Superintendencia Financiera de Colombia o de Economía Solidaria el cual debe conservar, indicando: </w:t>
      </w:r>
    </w:p>
    <w:p w14:paraId="2A221234" w14:textId="77777777" w:rsidR="00B2442D" w:rsidRDefault="00B2442D">
      <w:pPr>
        <w:jc w:val="both"/>
        <w:rPr>
          <w:rFonts w:ascii="Arial" w:hAnsi="Arial" w:cs="Arial"/>
          <w:lang w:val="es-CO"/>
        </w:rPr>
      </w:pPr>
    </w:p>
    <w:p w14:paraId="78211E51" w14:textId="77777777" w:rsidR="00B2442D" w:rsidRDefault="008A645F">
      <w:pPr>
        <w:ind w:left="284" w:hanging="284"/>
        <w:jc w:val="both"/>
        <w:rPr>
          <w:rFonts w:ascii="Arial" w:hAnsi="Arial" w:cs="Arial"/>
          <w:lang w:val="es-CO"/>
        </w:rPr>
      </w:pPr>
      <w:r>
        <w:rPr>
          <w:rFonts w:ascii="Arial" w:hAnsi="Arial" w:cs="Arial"/>
          <w:lang w:val="es-CO"/>
        </w:rPr>
        <w:t>1. Que conoce y acepta que</w:t>
      </w:r>
      <w:r>
        <w:rPr>
          <w:rFonts w:ascii="Arial" w:hAnsi="Arial" w:cs="Arial"/>
          <w:lang w:val="es-CO"/>
        </w:rPr>
        <w:t xml:space="preserve"> la exención prevista en el numeral 1 del artículo 879 del Estatuto Tributario sólo se puede aplicar a una cuenta de ahorro individual o a una tarjeta prepago nominada por persona, que pertenezca a un mismo y único titular. </w:t>
      </w:r>
    </w:p>
    <w:p w14:paraId="299509EE" w14:textId="77777777" w:rsidR="00B2442D" w:rsidRDefault="00B2442D">
      <w:pPr>
        <w:ind w:left="284" w:hanging="284"/>
        <w:jc w:val="both"/>
        <w:rPr>
          <w:rFonts w:ascii="Arial" w:hAnsi="Arial" w:cs="Arial"/>
          <w:lang w:val="es-CO"/>
        </w:rPr>
      </w:pPr>
    </w:p>
    <w:p w14:paraId="55AAB6B7" w14:textId="77777777" w:rsidR="00B2442D" w:rsidRDefault="008A645F">
      <w:pPr>
        <w:ind w:left="284" w:hanging="284"/>
        <w:jc w:val="both"/>
        <w:rPr>
          <w:rFonts w:ascii="Arial" w:hAnsi="Arial" w:cs="Arial"/>
          <w:lang w:val="es-CO"/>
        </w:rPr>
      </w:pPr>
      <w:r>
        <w:rPr>
          <w:rFonts w:ascii="Arial" w:hAnsi="Arial" w:cs="Arial"/>
          <w:lang w:val="es-CO"/>
        </w:rPr>
        <w:t>2. Que hace la solicitud de ex</w:t>
      </w:r>
      <w:r>
        <w:rPr>
          <w:rFonts w:ascii="Arial" w:hAnsi="Arial" w:cs="Arial"/>
          <w:lang w:val="es-CO"/>
        </w:rPr>
        <w:t xml:space="preserve">ención en razón a que no es beneficiario de esta en ninguna otra cuenta de ahorros o tarjeta prepago nominada en la misma entidad o en otro establecimiento de crédito o cooperativa de ahorro y crédito. </w:t>
      </w:r>
    </w:p>
    <w:p w14:paraId="113080B8" w14:textId="77777777" w:rsidR="00B2442D" w:rsidRDefault="00B2442D">
      <w:pPr>
        <w:ind w:left="284" w:hanging="284"/>
        <w:jc w:val="both"/>
        <w:rPr>
          <w:rFonts w:ascii="Arial" w:hAnsi="Arial" w:cs="Arial"/>
          <w:lang w:val="es-CO"/>
        </w:rPr>
      </w:pPr>
    </w:p>
    <w:p w14:paraId="0CC6DE73" w14:textId="77777777" w:rsidR="00B2442D" w:rsidRDefault="008A645F">
      <w:pPr>
        <w:ind w:left="284" w:hanging="284"/>
        <w:jc w:val="both"/>
        <w:rPr>
          <w:rFonts w:ascii="Arial" w:hAnsi="Arial" w:cs="Arial"/>
          <w:lang w:val="es-CO"/>
        </w:rPr>
      </w:pPr>
      <w:r>
        <w:rPr>
          <w:rFonts w:ascii="Arial" w:hAnsi="Arial" w:cs="Arial"/>
          <w:lang w:val="es-CO"/>
        </w:rPr>
        <w:t>3. Que autoriza el suministro de la información rela</w:t>
      </w:r>
      <w:r>
        <w:rPr>
          <w:rFonts w:ascii="Arial" w:hAnsi="Arial" w:cs="Arial"/>
          <w:lang w:val="es-CO"/>
        </w:rPr>
        <w:t>cionada con la cuenta de ahorros o la tarjeta prepago nominada seleccionada a las autoridades correspondientes y a los demás establecimientos de crédito, para verificar la adecuada aplicación de la exención prevista en el numeral 1 del artículo 879 del Est</w:t>
      </w:r>
      <w:r>
        <w:rPr>
          <w:rFonts w:ascii="Arial" w:hAnsi="Arial" w:cs="Arial"/>
          <w:lang w:val="es-CO"/>
        </w:rPr>
        <w:t>atuto Tributario</w:t>
      </w:r>
    </w:p>
    <w:p w14:paraId="44509FD1" w14:textId="77777777" w:rsidR="00B2442D" w:rsidRDefault="00B2442D">
      <w:pPr>
        <w:jc w:val="both"/>
        <w:rPr>
          <w:rFonts w:ascii="Arial" w:hAnsi="Arial" w:cs="Arial"/>
          <w:lang w:val="es-CO"/>
        </w:rPr>
      </w:pPr>
    </w:p>
    <w:p w14:paraId="640FFE0C" w14:textId="77777777" w:rsidR="00B2442D" w:rsidRDefault="008A645F">
      <w:pPr>
        <w:jc w:val="both"/>
        <w:rPr>
          <w:rFonts w:ascii="Arial" w:hAnsi="Arial" w:cs="Arial"/>
          <w:i/>
          <w:lang w:val="es-CO"/>
        </w:rPr>
      </w:pPr>
      <w:r>
        <w:rPr>
          <w:rFonts w:ascii="Arial" w:hAnsi="Arial" w:cs="Arial"/>
          <w:i/>
          <w:lang w:val="es-CO"/>
        </w:rPr>
        <w:t>(Art. 6, Decreto 405 de 2001, modificado por el art. 1 del Decreto 518 de 2001 y el 10 del Decreto 660 de 2011)</w:t>
      </w:r>
    </w:p>
    <w:p w14:paraId="54920C7E" w14:textId="77777777" w:rsidR="00B2442D" w:rsidRDefault="00B2442D">
      <w:pPr>
        <w:jc w:val="both"/>
        <w:rPr>
          <w:rFonts w:ascii="Arial" w:hAnsi="Arial" w:cs="Arial"/>
          <w:lang w:val="es-CO"/>
        </w:rPr>
      </w:pPr>
    </w:p>
    <w:p w14:paraId="01F61A77"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Identificación de cuentas por parte de la Dirección del Tesoro Nacional.</w:t>
      </w:r>
      <w:r>
        <w:rPr>
          <w:rFonts w:ascii="Arial" w:hAnsi="Arial" w:cs="Arial"/>
          <w:lang w:val="es-CO"/>
        </w:rPr>
        <w:t xml:space="preserve"> Para efectos de lo establecido en el numeral 3° del </w:t>
      </w:r>
      <w:r>
        <w:rPr>
          <w:rFonts w:ascii="Arial" w:hAnsi="Arial" w:cs="Arial"/>
          <w:lang w:val="es-CO"/>
        </w:rPr>
        <w:t>artículo 879 del Estatuto Tributario se entenderá como “Operaciones que realice la Dirección General de Crédito Público y Tesoro Nacional directamente o a través de sus órganos ejecutores” aquellas operaciones mediante las cuales se efectúa la ejecución de</w:t>
      </w:r>
      <w:r>
        <w:rPr>
          <w:rFonts w:ascii="Arial" w:hAnsi="Arial" w:cs="Arial"/>
          <w:lang w:val="es-CO"/>
        </w:rPr>
        <w:t>l Presupuesto General de la Nación, con o sin situación de fondos, salvo cuando dicha ejecución se realice con los recursos propios de los establecimientos públicos y como “órganos ejecutores” las entidades del orden nacional que ejecutan recursos del Pres</w:t>
      </w:r>
      <w:r>
        <w:rPr>
          <w:rFonts w:ascii="Arial" w:hAnsi="Arial" w:cs="Arial"/>
          <w:lang w:val="es-CO"/>
        </w:rPr>
        <w:t>upuesto General de la Nación.</w:t>
      </w:r>
    </w:p>
    <w:p w14:paraId="5961EECB" w14:textId="77777777" w:rsidR="00B2442D" w:rsidRDefault="00B2442D">
      <w:pPr>
        <w:jc w:val="both"/>
        <w:rPr>
          <w:rFonts w:ascii="Arial" w:hAnsi="Arial" w:cs="Arial"/>
          <w:lang w:val="es-CO"/>
        </w:rPr>
      </w:pPr>
    </w:p>
    <w:p w14:paraId="1D12B7FE" w14:textId="77777777" w:rsidR="00B2442D" w:rsidRDefault="008A645F">
      <w:pPr>
        <w:jc w:val="both"/>
        <w:rPr>
          <w:rFonts w:ascii="Arial" w:hAnsi="Arial" w:cs="Arial"/>
          <w:lang w:val="es-CO"/>
        </w:rPr>
      </w:pPr>
      <w:r>
        <w:rPr>
          <w:rFonts w:ascii="Arial" w:hAnsi="Arial" w:cs="Arial"/>
          <w:lang w:val="es-CO"/>
        </w:rPr>
        <w:t>La Dirección General de Crédito Público y Tesoro Nacional será la encargada de identificar las cuentas en las cuales se manejen de manera exclusiva operaciones con recursos del Presupuesto General de la Nación.</w:t>
      </w:r>
    </w:p>
    <w:p w14:paraId="7229585F" w14:textId="77777777" w:rsidR="00B2442D" w:rsidRDefault="00B2442D">
      <w:pPr>
        <w:jc w:val="both"/>
        <w:rPr>
          <w:rFonts w:ascii="Arial" w:hAnsi="Arial" w:cs="Arial"/>
          <w:i/>
          <w:lang w:val="es-CO"/>
        </w:rPr>
      </w:pPr>
    </w:p>
    <w:p w14:paraId="37303131" w14:textId="77777777" w:rsidR="00B2442D" w:rsidRDefault="008A645F">
      <w:pPr>
        <w:tabs>
          <w:tab w:val="left" w:pos="9781"/>
        </w:tabs>
        <w:jc w:val="both"/>
        <w:rPr>
          <w:rFonts w:ascii="Arial" w:hAnsi="Arial" w:cs="Arial"/>
          <w:i/>
          <w:lang w:val="es-CO"/>
        </w:rPr>
      </w:pPr>
      <w:r>
        <w:rPr>
          <w:rFonts w:ascii="Arial" w:hAnsi="Arial" w:cs="Arial"/>
          <w:i/>
          <w:lang w:val="es-CO"/>
        </w:rPr>
        <w:t xml:space="preserve">(Art. 8, </w:t>
      </w:r>
      <w:r>
        <w:rPr>
          <w:rFonts w:ascii="Arial" w:hAnsi="Arial" w:cs="Arial"/>
          <w:i/>
          <w:lang w:val="es-CO"/>
        </w:rPr>
        <w:t>Decreto 405 de 2001)</w:t>
      </w:r>
    </w:p>
    <w:p w14:paraId="4EDC083B" w14:textId="77777777" w:rsidR="00B2442D" w:rsidRDefault="00B2442D">
      <w:pPr>
        <w:tabs>
          <w:tab w:val="left" w:pos="9781"/>
        </w:tabs>
        <w:jc w:val="both"/>
        <w:rPr>
          <w:rFonts w:ascii="Arial" w:hAnsi="Arial" w:cs="Arial"/>
          <w:lang w:val="es-CO"/>
        </w:rPr>
      </w:pPr>
    </w:p>
    <w:p w14:paraId="6A349AB2"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Identificación de las cuentas por parte de las tesorerías de las entidades territoriales.</w:t>
      </w:r>
      <w:r>
        <w:rPr>
          <w:rFonts w:ascii="Arial" w:hAnsi="Arial" w:cs="Arial"/>
          <w:lang w:val="es-CO"/>
        </w:rPr>
        <w:t xml:space="preserve"> Para efectos del numeral 9° del artículo 879 del Estatuto Tributario se entenderá como “manejo de recursos públicos” aquellas operaciones median</w:t>
      </w:r>
      <w:r>
        <w:rPr>
          <w:rFonts w:ascii="Arial" w:hAnsi="Arial" w:cs="Arial"/>
          <w:lang w:val="es-CO"/>
        </w:rPr>
        <w:t>te las cuales se efectúa la ejecución del Presupuesto General Territorial en forma directa o a través de sus órganos ejecutores respectivos, salvo que se trate de recursos propios de los establecimientos públicos del orden territorial los cuales no están e</w:t>
      </w:r>
      <w:r>
        <w:rPr>
          <w:rFonts w:ascii="Arial" w:hAnsi="Arial" w:cs="Arial"/>
          <w:lang w:val="es-CO"/>
        </w:rPr>
        <w:t>xentos de gravamen a los movimientos financieros y como “tesorerías de las entidades territoriales” aquellas instancias administrativas del orden territorial asimilables en cuanto a sus funciones legales a la Dirección General de Crédito Público y Tesoro N</w:t>
      </w:r>
      <w:r>
        <w:rPr>
          <w:rFonts w:ascii="Arial" w:hAnsi="Arial" w:cs="Arial"/>
          <w:lang w:val="es-CO"/>
        </w:rPr>
        <w:t>acional.</w:t>
      </w:r>
    </w:p>
    <w:p w14:paraId="7F1F81A4" w14:textId="77777777" w:rsidR="00B2442D" w:rsidRDefault="00B2442D">
      <w:pPr>
        <w:jc w:val="both"/>
        <w:rPr>
          <w:rFonts w:ascii="Arial" w:hAnsi="Arial" w:cs="Arial"/>
          <w:lang w:val="es-CO"/>
        </w:rPr>
      </w:pPr>
    </w:p>
    <w:p w14:paraId="76BD6EC1" w14:textId="77777777" w:rsidR="00B2442D" w:rsidRDefault="008A645F">
      <w:pPr>
        <w:jc w:val="both"/>
        <w:rPr>
          <w:rFonts w:ascii="Arial" w:hAnsi="Arial" w:cs="Arial"/>
          <w:lang w:val="es-CO"/>
        </w:rPr>
      </w:pPr>
      <w:r>
        <w:rPr>
          <w:rFonts w:ascii="Arial" w:hAnsi="Arial" w:cs="Arial"/>
          <w:lang w:val="es-CO"/>
        </w:rPr>
        <w:t>Igualmente se considera manejo de recursos públicos, el traslado de impuestos de las entidades recaudadoras a las tesorerías de los entes territoriales o a las entidades que se designen para tal fin.</w:t>
      </w:r>
    </w:p>
    <w:p w14:paraId="5C4EDDD2" w14:textId="77777777" w:rsidR="00B2442D" w:rsidRDefault="00B2442D">
      <w:pPr>
        <w:jc w:val="both"/>
        <w:rPr>
          <w:rFonts w:ascii="Arial" w:hAnsi="Arial" w:cs="Arial"/>
          <w:lang w:val="es-CO"/>
        </w:rPr>
      </w:pPr>
    </w:p>
    <w:p w14:paraId="58A096EE" w14:textId="77777777" w:rsidR="00B2442D" w:rsidRDefault="008A645F">
      <w:pPr>
        <w:jc w:val="both"/>
        <w:rPr>
          <w:rFonts w:ascii="Arial" w:hAnsi="Arial" w:cs="Arial"/>
          <w:lang w:val="es-CO"/>
        </w:rPr>
      </w:pPr>
      <w:r>
        <w:rPr>
          <w:rFonts w:ascii="Arial" w:hAnsi="Arial" w:cs="Arial"/>
          <w:lang w:val="es-CO"/>
        </w:rPr>
        <w:t xml:space="preserve">La identificación, ante los establecimientos </w:t>
      </w:r>
      <w:r>
        <w:rPr>
          <w:rFonts w:ascii="Arial" w:hAnsi="Arial" w:cs="Arial"/>
          <w:lang w:val="es-CO"/>
        </w:rPr>
        <w:t>de crédito respectivos, de las cuentas corrientes o de ahorro donde se manejen de manera exclusiva recursos públicos del Presupuesto General Territorial corresponderá a los tesoreros departamentales, municipales o distritales.</w:t>
      </w:r>
    </w:p>
    <w:p w14:paraId="23CB19E8" w14:textId="77777777" w:rsidR="00B2442D" w:rsidRDefault="00B2442D">
      <w:pPr>
        <w:jc w:val="both"/>
        <w:rPr>
          <w:rFonts w:ascii="Arial" w:hAnsi="Arial" w:cs="Arial"/>
          <w:i/>
          <w:lang w:val="es-CO"/>
        </w:rPr>
      </w:pPr>
    </w:p>
    <w:p w14:paraId="41AD8CE8" w14:textId="77777777" w:rsidR="00B2442D" w:rsidRDefault="008A645F">
      <w:pPr>
        <w:jc w:val="both"/>
        <w:rPr>
          <w:rFonts w:ascii="Arial" w:hAnsi="Arial" w:cs="Arial"/>
          <w:i/>
          <w:lang w:val="es-CO"/>
        </w:rPr>
      </w:pPr>
      <w:r>
        <w:rPr>
          <w:rFonts w:ascii="Arial" w:hAnsi="Arial" w:cs="Arial"/>
          <w:i/>
          <w:lang w:val="es-CO"/>
        </w:rPr>
        <w:t>(Art. 9, Decreto 405 de 2001</w:t>
      </w:r>
      <w:r>
        <w:rPr>
          <w:rFonts w:ascii="Arial" w:hAnsi="Arial" w:cs="Arial"/>
          <w:i/>
          <w:lang w:val="es-CO"/>
        </w:rPr>
        <w:t>)</w:t>
      </w:r>
    </w:p>
    <w:p w14:paraId="3A037FE4" w14:textId="77777777" w:rsidR="00B2442D" w:rsidRDefault="00B2442D">
      <w:pPr>
        <w:jc w:val="both"/>
        <w:rPr>
          <w:rFonts w:ascii="Arial" w:hAnsi="Arial" w:cs="Arial"/>
          <w:lang w:val="es-CO"/>
        </w:rPr>
      </w:pPr>
    </w:p>
    <w:p w14:paraId="334E1EFA"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 xml:space="preserve">Capitalización de banca pública. </w:t>
      </w:r>
      <w:r>
        <w:rPr>
          <w:rFonts w:ascii="Arial" w:hAnsi="Arial" w:cs="Arial"/>
          <w:lang w:val="es-CO"/>
        </w:rPr>
        <w:t xml:space="preserve">No obstante lo dispuesto en el artículo 1.4.2.2.2 del presente decreto, para efectos del numeral 3° del artículo 879 del Estatuto Tributario, se entenderá que el Fondo de Garantías de Instituciones Financieras, Fogafín, </w:t>
      </w:r>
      <w:r>
        <w:rPr>
          <w:rFonts w:ascii="Arial" w:hAnsi="Arial" w:cs="Arial"/>
          <w:lang w:val="es-CO"/>
        </w:rPr>
        <w:t>actúa como órgano ejecutor de la Dirección General de Crédito Público y Tesoro Nacional, cuando efectúe pagos de servicio de la deuda de títulos emitidos para la capitalización de la Banca Pública, independientemente de que los recursos utilizados para tal</w:t>
      </w:r>
      <w:r>
        <w:rPr>
          <w:rFonts w:ascii="Arial" w:hAnsi="Arial" w:cs="Arial"/>
          <w:lang w:val="es-CO"/>
        </w:rPr>
        <w:t xml:space="preserve"> fin provengan del Presupuesto Nacional o de recursos propios de la misma entidad.</w:t>
      </w:r>
    </w:p>
    <w:p w14:paraId="57072BCB" w14:textId="77777777" w:rsidR="00B2442D" w:rsidRDefault="00B2442D">
      <w:pPr>
        <w:jc w:val="both"/>
        <w:rPr>
          <w:rFonts w:ascii="Arial" w:hAnsi="Arial" w:cs="Arial"/>
          <w:lang w:val="es-CO"/>
        </w:rPr>
      </w:pPr>
    </w:p>
    <w:p w14:paraId="4927F5D2" w14:textId="77777777" w:rsidR="00B2442D" w:rsidRDefault="008A645F">
      <w:pPr>
        <w:jc w:val="both"/>
        <w:rPr>
          <w:rFonts w:ascii="Arial" w:hAnsi="Arial" w:cs="Arial"/>
          <w:lang w:val="es-CO"/>
        </w:rPr>
      </w:pPr>
      <w:r>
        <w:rPr>
          <w:rFonts w:ascii="Arial" w:hAnsi="Arial" w:cs="Arial"/>
          <w:lang w:val="es-CO"/>
        </w:rPr>
        <w:t>Así mismo, se encuentran exentas del Gravamen a los Movimientos Financieros todas aquellas operaciones tendientes a que el Fondo de Garantías de Instituciones Financieras -</w:t>
      </w:r>
      <w:r>
        <w:rPr>
          <w:rFonts w:ascii="Arial" w:hAnsi="Arial" w:cs="Arial"/>
          <w:lang w:val="es-CO"/>
        </w:rPr>
        <w:t xml:space="preserve"> Fogafín, lleve a cabo la capitalización de instituciones financieras de carácter público, durante el año 2001, siempre y cuando los recursos que se utilicen para el efecto, sean invertidos en títulos emitidos por Fogafín para la capitalización de la Banca</w:t>
      </w:r>
      <w:r>
        <w:rPr>
          <w:rFonts w:ascii="Arial" w:hAnsi="Arial" w:cs="Arial"/>
          <w:lang w:val="es-CO"/>
        </w:rPr>
        <w:t xml:space="preserve"> Pública.</w:t>
      </w:r>
    </w:p>
    <w:p w14:paraId="1D0E426C" w14:textId="77777777" w:rsidR="00B2442D" w:rsidRDefault="00B2442D">
      <w:pPr>
        <w:jc w:val="both"/>
        <w:rPr>
          <w:rFonts w:ascii="Arial" w:hAnsi="Arial" w:cs="Arial"/>
          <w:i/>
          <w:lang w:val="es-CO"/>
        </w:rPr>
      </w:pPr>
    </w:p>
    <w:p w14:paraId="4716E780" w14:textId="77777777" w:rsidR="00B2442D" w:rsidRDefault="008A645F">
      <w:pPr>
        <w:jc w:val="both"/>
        <w:rPr>
          <w:rFonts w:ascii="Arial" w:hAnsi="Arial" w:cs="Arial"/>
          <w:i/>
          <w:lang w:val="es-CO"/>
        </w:rPr>
      </w:pPr>
      <w:r>
        <w:rPr>
          <w:rFonts w:ascii="Arial" w:hAnsi="Arial" w:cs="Arial"/>
          <w:i/>
          <w:lang w:val="es-CO"/>
        </w:rPr>
        <w:t>(Art. 10, Decreto 405 de 2001)</w:t>
      </w:r>
    </w:p>
    <w:p w14:paraId="54BBF12A" w14:textId="77777777" w:rsidR="00B2442D" w:rsidRDefault="00B2442D">
      <w:pPr>
        <w:jc w:val="both"/>
        <w:rPr>
          <w:rFonts w:ascii="Arial" w:hAnsi="Arial" w:cs="Arial"/>
          <w:lang w:val="es-CO"/>
        </w:rPr>
      </w:pPr>
    </w:p>
    <w:p w14:paraId="491FC607"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Créditos interbancarios y operaciones de reporto.</w:t>
      </w:r>
      <w:r>
        <w:rPr>
          <w:rFonts w:ascii="Arial" w:hAnsi="Arial" w:cs="Arial"/>
          <w:lang w:val="es-CO"/>
        </w:rPr>
        <w:t xml:space="preserve"> Para los efectos establecidos en el numeral 5 del artículo 879 del Estatuto Tributario, son créditos interbancarios los realizados entre establecimientos de crédit</w:t>
      </w:r>
      <w:r>
        <w:rPr>
          <w:rFonts w:ascii="Arial" w:hAnsi="Arial" w:cs="Arial"/>
          <w:lang w:val="es-CO"/>
        </w:rPr>
        <w:t>o, sociedades comisionistas de bolsa, sociedades fiduciarias, sociedades administradoras de fondos de pensiones y cesantías, y entidades aseguradoras, vigiladas por la Superintendencia Financiera de Colombia para equilibrar sus posiciones transitorias de t</w:t>
      </w:r>
      <w:r>
        <w:rPr>
          <w:rFonts w:ascii="Arial" w:hAnsi="Arial" w:cs="Arial"/>
          <w:lang w:val="es-CO"/>
        </w:rPr>
        <w:t xml:space="preserve">esorería por defectos o excesos de liquidez. </w:t>
      </w:r>
    </w:p>
    <w:p w14:paraId="62FCD85A" w14:textId="77777777" w:rsidR="00B2442D" w:rsidRDefault="00B2442D">
      <w:pPr>
        <w:jc w:val="both"/>
        <w:rPr>
          <w:rFonts w:ascii="Arial" w:hAnsi="Arial" w:cs="Arial"/>
          <w:lang w:val="es-CO"/>
        </w:rPr>
      </w:pPr>
    </w:p>
    <w:p w14:paraId="1904DE6C" w14:textId="77777777" w:rsidR="00B2442D" w:rsidRDefault="008A645F">
      <w:pPr>
        <w:jc w:val="both"/>
        <w:rPr>
          <w:rFonts w:ascii="Arial" w:hAnsi="Arial" w:cs="Arial"/>
          <w:lang w:val="es-CO"/>
        </w:rPr>
      </w:pPr>
      <w:r>
        <w:rPr>
          <w:rFonts w:ascii="Arial" w:hAnsi="Arial" w:cs="Arial"/>
          <w:lang w:val="es-CO"/>
        </w:rPr>
        <w:t>Cuando se trate de operaciones de reporto, simultáneas y transferencia temporal de valores realizadas por sociedades comisionistas de bolsa en contrato de comisión, las entidades que intervienen deberán identi</w:t>
      </w:r>
      <w:r>
        <w:rPr>
          <w:rFonts w:ascii="Arial" w:hAnsi="Arial" w:cs="Arial"/>
          <w:lang w:val="es-CO"/>
        </w:rPr>
        <w:t xml:space="preserve">ficar una cuenta corriente o de ahorros exclusiva a través de la cual se ejecuten las transacciones relacionadas con las operaciones de reporto, simultáneas y transferencia temporal de valores. </w:t>
      </w:r>
    </w:p>
    <w:p w14:paraId="6AD59406" w14:textId="77777777" w:rsidR="00B2442D" w:rsidRDefault="00B2442D">
      <w:pPr>
        <w:jc w:val="both"/>
        <w:rPr>
          <w:rFonts w:ascii="Arial" w:hAnsi="Arial" w:cs="Arial"/>
          <w:lang w:val="es-CO"/>
        </w:rPr>
      </w:pPr>
    </w:p>
    <w:p w14:paraId="1E9C8C43" w14:textId="77777777" w:rsidR="00B2442D" w:rsidRDefault="008A645F">
      <w:pPr>
        <w:jc w:val="both"/>
        <w:rPr>
          <w:rFonts w:ascii="Arial" w:hAnsi="Arial" w:cs="Arial"/>
          <w:lang w:val="es-CO"/>
        </w:rPr>
      </w:pPr>
      <w:r>
        <w:rPr>
          <w:rFonts w:ascii="Arial" w:hAnsi="Arial" w:cs="Arial"/>
          <w:lang w:val="es-CO"/>
        </w:rPr>
        <w:t>En ningún caso la exención referida en este artículo compren</w:t>
      </w:r>
      <w:r>
        <w:rPr>
          <w:rFonts w:ascii="Arial" w:hAnsi="Arial" w:cs="Arial"/>
          <w:lang w:val="es-CO"/>
        </w:rPr>
        <w:t>de los pagos a terceros por cuenta del comitente, fideicomitente o mandante por conceptos tales como nómina, servicios, proveedores, adquisición de bienes o cualquier cumplimiento de obligaciones.</w:t>
      </w:r>
    </w:p>
    <w:p w14:paraId="76BDB756" w14:textId="77777777" w:rsidR="00B2442D" w:rsidRDefault="00B2442D">
      <w:pPr>
        <w:jc w:val="both"/>
        <w:rPr>
          <w:rFonts w:ascii="Arial" w:hAnsi="Arial" w:cs="Arial"/>
          <w:lang w:val="es-CO"/>
        </w:rPr>
      </w:pPr>
    </w:p>
    <w:p w14:paraId="672F45A4" w14:textId="77777777" w:rsidR="00B2442D" w:rsidRDefault="008A645F">
      <w:pPr>
        <w:jc w:val="both"/>
        <w:rPr>
          <w:rFonts w:ascii="Arial" w:hAnsi="Arial" w:cs="Arial"/>
          <w:i/>
          <w:lang w:val="es-CO"/>
        </w:rPr>
      </w:pPr>
      <w:r>
        <w:rPr>
          <w:rFonts w:ascii="Arial" w:hAnsi="Arial" w:cs="Arial"/>
          <w:i/>
          <w:lang w:val="es-CO"/>
        </w:rPr>
        <w:t>(Art. 11, Decreto 405 de 2001, modificado por el art. 9 de</w:t>
      </w:r>
      <w:r>
        <w:rPr>
          <w:rFonts w:ascii="Arial" w:hAnsi="Arial" w:cs="Arial"/>
          <w:i/>
          <w:lang w:val="es-CO"/>
        </w:rPr>
        <w:t>l Decreto 660 de 2011)</w:t>
      </w:r>
    </w:p>
    <w:p w14:paraId="1B8F97E5" w14:textId="77777777" w:rsidR="00B2442D" w:rsidRDefault="00B2442D">
      <w:pPr>
        <w:jc w:val="both"/>
        <w:rPr>
          <w:rFonts w:ascii="Arial" w:hAnsi="Arial" w:cs="Arial"/>
          <w:lang w:val="es-CO"/>
        </w:rPr>
      </w:pPr>
    </w:p>
    <w:p w14:paraId="6EC2F492"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Compensación interbancaria.</w:t>
      </w:r>
      <w:r>
        <w:rPr>
          <w:rFonts w:ascii="Arial" w:hAnsi="Arial" w:cs="Arial"/>
          <w:lang w:val="es-CO"/>
        </w:rPr>
        <w:t xml:space="preserve"> De conformidad con el numeral 6 del artículo 879 del Estatuto Tributario se entenderá como compensación interbancaria, todas aquellas operaciones contempladas en el artículo 1° del Decreto 1207 de 1996 y </w:t>
      </w:r>
      <w:r>
        <w:rPr>
          <w:rFonts w:ascii="Arial" w:hAnsi="Arial" w:cs="Arial"/>
          <w:lang w:val="es-CO"/>
        </w:rPr>
        <w:t>las disposiciones que lo modifiquen.</w:t>
      </w:r>
    </w:p>
    <w:p w14:paraId="482D70B6" w14:textId="77777777" w:rsidR="00B2442D" w:rsidRDefault="00B2442D">
      <w:pPr>
        <w:jc w:val="both"/>
        <w:rPr>
          <w:rFonts w:ascii="Arial" w:hAnsi="Arial" w:cs="Arial"/>
          <w:lang w:val="es-CO"/>
        </w:rPr>
      </w:pPr>
    </w:p>
    <w:p w14:paraId="1249D0B5" w14:textId="77777777" w:rsidR="00B2442D" w:rsidRDefault="008A645F">
      <w:pPr>
        <w:jc w:val="both"/>
        <w:rPr>
          <w:rFonts w:ascii="Arial" w:hAnsi="Arial" w:cs="Arial"/>
          <w:i/>
          <w:lang w:val="es-CO"/>
        </w:rPr>
      </w:pPr>
      <w:r>
        <w:rPr>
          <w:rFonts w:ascii="Arial" w:hAnsi="Arial" w:cs="Arial"/>
          <w:i/>
          <w:lang w:val="es-CO"/>
        </w:rPr>
        <w:t>(Art. 12, Decreto 405 de 2001)</w:t>
      </w:r>
    </w:p>
    <w:p w14:paraId="34D87A62" w14:textId="77777777" w:rsidR="00B2442D" w:rsidRDefault="00B2442D">
      <w:pPr>
        <w:jc w:val="both"/>
        <w:rPr>
          <w:rFonts w:ascii="Arial" w:hAnsi="Arial" w:cs="Arial"/>
          <w:lang w:val="es-CO"/>
        </w:rPr>
      </w:pPr>
    </w:p>
    <w:p w14:paraId="6FDBD824"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Transferencias para la negociación de títulos en depósitos centralizados.</w:t>
      </w:r>
      <w:r>
        <w:rPr>
          <w:rFonts w:ascii="Arial" w:hAnsi="Arial" w:cs="Arial"/>
          <w:lang w:val="es-CO"/>
        </w:rPr>
        <w:t xml:space="preserve"> Cuando la transferencia de títulos depositados en el DCV o en el Deceval la efectúa una entidad vigilada por la Superintendencia Financiera de Colombia, se considera exenta la transferencia ordenada por la entidad financiera al banco comercial con el cual</w:t>
      </w:r>
      <w:r>
        <w:rPr>
          <w:rFonts w:ascii="Arial" w:hAnsi="Arial" w:cs="Arial"/>
          <w:lang w:val="es-CO"/>
        </w:rPr>
        <w:t xml:space="preserve"> opera, del dinero de su cuenta corriente a la cuenta de depósito, y la transferencia a través del sistema Sebra del dinero a la cuenta de depósito de la entidad financiera vendedora, así como la transferencia que esta realice a su cuenta corriente.</w:t>
      </w:r>
    </w:p>
    <w:p w14:paraId="5FFFD569" w14:textId="77777777" w:rsidR="00B2442D" w:rsidRDefault="00B2442D">
      <w:pPr>
        <w:jc w:val="both"/>
        <w:rPr>
          <w:rFonts w:ascii="Arial" w:hAnsi="Arial" w:cs="Arial"/>
          <w:i/>
          <w:lang w:val="es-CO"/>
        </w:rPr>
      </w:pPr>
    </w:p>
    <w:p w14:paraId="74AB128E"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xml:space="preserve"> 14, Decreto 405 de 2001)</w:t>
      </w:r>
    </w:p>
    <w:p w14:paraId="61F3C3A0" w14:textId="77777777" w:rsidR="00B2442D" w:rsidRDefault="00B2442D">
      <w:pPr>
        <w:jc w:val="both"/>
        <w:rPr>
          <w:rFonts w:ascii="Arial" w:hAnsi="Arial" w:cs="Arial"/>
          <w:lang w:val="es-CO"/>
        </w:rPr>
      </w:pPr>
    </w:p>
    <w:p w14:paraId="5FA4BCA5"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Identificación de cuentas corrientes a cargo de Fogacoop.</w:t>
      </w:r>
      <w:r>
        <w:rPr>
          <w:rFonts w:ascii="Arial" w:hAnsi="Arial" w:cs="Arial"/>
          <w:lang w:val="es-CO"/>
        </w:rPr>
        <w:t xml:space="preserve"> Con el fin de hacer efectiva la exención al Gravamen a los Movimientos Financieros consagrada en el numeral 8 del artículo 879 del Estatuto Tributario, en desarrollo de la</w:t>
      </w:r>
      <w:r>
        <w:rPr>
          <w:rFonts w:ascii="Arial" w:hAnsi="Arial" w:cs="Arial"/>
          <w:lang w:val="es-CO"/>
        </w:rPr>
        <w:t>s operaciones de reporto realizadas por parte del Fondo de Garantías Instituciones Cooperativas - Fogacoop, con entidades inscritas ante esta entidad, deberá abrir en un establecimiento de crédito una cuenta corriente o de ahorros de uso exclusivo, para gi</w:t>
      </w:r>
      <w:r>
        <w:rPr>
          <w:rFonts w:ascii="Arial" w:hAnsi="Arial" w:cs="Arial"/>
          <w:lang w:val="es-CO"/>
        </w:rPr>
        <w:t>rar los recursos relacionados con tales operaciones, advirtiendo al establecimiento de crédito respectivo que los pagos efectuados con cargo a la misma corresponden a una operación exenta.</w:t>
      </w:r>
    </w:p>
    <w:p w14:paraId="4DE5F8E2" w14:textId="77777777" w:rsidR="00B2442D" w:rsidRDefault="00B2442D">
      <w:pPr>
        <w:jc w:val="both"/>
        <w:rPr>
          <w:rFonts w:ascii="Arial" w:hAnsi="Arial" w:cs="Arial"/>
          <w:i/>
          <w:lang w:val="es-CO"/>
        </w:rPr>
      </w:pPr>
    </w:p>
    <w:p w14:paraId="0A89C202" w14:textId="77777777" w:rsidR="00B2442D" w:rsidRDefault="008A645F">
      <w:pPr>
        <w:jc w:val="both"/>
        <w:rPr>
          <w:rFonts w:ascii="Arial" w:hAnsi="Arial" w:cs="Arial"/>
          <w:i/>
          <w:lang w:val="es-CO"/>
        </w:rPr>
      </w:pPr>
      <w:r>
        <w:rPr>
          <w:rFonts w:ascii="Arial" w:hAnsi="Arial" w:cs="Arial"/>
          <w:i/>
          <w:lang w:val="es-CO"/>
        </w:rPr>
        <w:t>(Art. 16, Decreto 405 de 2001)</w:t>
      </w:r>
    </w:p>
    <w:p w14:paraId="61E47A47" w14:textId="77777777" w:rsidR="00B2442D" w:rsidRDefault="00B2442D">
      <w:pPr>
        <w:jc w:val="both"/>
        <w:rPr>
          <w:rFonts w:ascii="Arial" w:hAnsi="Arial" w:cs="Arial"/>
          <w:lang w:val="es-CO"/>
        </w:rPr>
      </w:pPr>
    </w:p>
    <w:p w14:paraId="1533CE70"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Compra y venta de divisas.</w:t>
      </w:r>
      <w:r>
        <w:rPr>
          <w:rFonts w:ascii="Arial" w:hAnsi="Arial" w:cs="Arial"/>
          <w:lang w:val="es-CO"/>
        </w:rPr>
        <w:t xml:space="preserve"> Para ef</w:t>
      </w:r>
      <w:r>
        <w:rPr>
          <w:rFonts w:ascii="Arial" w:hAnsi="Arial" w:cs="Arial"/>
          <w:lang w:val="es-CO"/>
        </w:rPr>
        <w:t xml:space="preserve">ectos de la exención consagrada en el numeral 12 del artículo 879 del Estatuto Tributario, cuando se realice la transferencia de recursos por compra y venta de divisas efectuada entre intermediarios del mercado cambiario, vigilados por la Superintendencia </w:t>
      </w:r>
      <w:r>
        <w:rPr>
          <w:rFonts w:ascii="Arial" w:hAnsi="Arial" w:cs="Arial"/>
          <w:lang w:val="es-CO"/>
        </w:rPr>
        <w:t>Financiera de Colombia, se considera exenta la transferencia ordenada por la entidad respectiva al banco comercial con el cual opera, del dinero de su cuenta corriente a la cuenta de depósito, y la transferencia a través del sistema Sebra del dinero a la c</w:t>
      </w:r>
      <w:r>
        <w:rPr>
          <w:rFonts w:ascii="Arial" w:hAnsi="Arial" w:cs="Arial"/>
          <w:lang w:val="es-CO"/>
        </w:rPr>
        <w:t>uenta de depósito de la entidad financiera vendedora, así como la transferencia que esta realice a su cuenta corriente.</w:t>
      </w:r>
    </w:p>
    <w:p w14:paraId="7F834D97" w14:textId="77777777" w:rsidR="00B2442D" w:rsidRDefault="00B2442D">
      <w:pPr>
        <w:jc w:val="both"/>
        <w:rPr>
          <w:rFonts w:ascii="Arial" w:hAnsi="Arial" w:cs="Arial"/>
          <w:lang w:val="es-CO"/>
        </w:rPr>
      </w:pPr>
    </w:p>
    <w:p w14:paraId="6B448ED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Identificación de cuentas corrientes de los intermediarios del mercado cambiario. Para hacer efectiva la exención al Gravame</w:t>
      </w:r>
      <w:r>
        <w:rPr>
          <w:rFonts w:ascii="Arial" w:hAnsi="Arial" w:cs="Arial"/>
          <w:lang w:val="es-CO"/>
        </w:rPr>
        <w:t>n de los Movimientos Financieros en las operaciones de compra y venta de divisas efectuadas a través de cuentas de depósito del Banco de la República o de cuentas corrientes, realizadas entre intermediarios del mercado cambiario, se requiere:</w:t>
      </w:r>
    </w:p>
    <w:p w14:paraId="4027D698" w14:textId="77777777" w:rsidR="00B2442D" w:rsidRDefault="00B2442D">
      <w:pPr>
        <w:jc w:val="both"/>
        <w:rPr>
          <w:rFonts w:ascii="Arial" w:hAnsi="Arial" w:cs="Arial"/>
          <w:lang w:val="es-CO"/>
        </w:rPr>
      </w:pPr>
    </w:p>
    <w:p w14:paraId="536069FF" w14:textId="77777777" w:rsidR="00B2442D" w:rsidRDefault="008A645F">
      <w:pPr>
        <w:jc w:val="both"/>
        <w:rPr>
          <w:rFonts w:ascii="Arial" w:hAnsi="Arial" w:cs="Arial"/>
          <w:lang w:val="es-CO"/>
        </w:rPr>
      </w:pPr>
      <w:r>
        <w:rPr>
          <w:rFonts w:ascii="Arial" w:hAnsi="Arial" w:cs="Arial"/>
          <w:lang w:val="es-CO"/>
        </w:rPr>
        <w:t>– Que se tra</w:t>
      </w:r>
      <w:r>
        <w:rPr>
          <w:rFonts w:ascii="Arial" w:hAnsi="Arial" w:cs="Arial"/>
          <w:lang w:val="es-CO"/>
        </w:rPr>
        <w:t>te de operaciones realizadas entre intermediarios del mercado cambiario vigilados por la Superintendencia Financiera de Colombia, el Banco de la República y la Dirección General de Crédito Público y del Tesoro Nacional.</w:t>
      </w:r>
    </w:p>
    <w:p w14:paraId="34CF413E" w14:textId="77777777" w:rsidR="00B2442D" w:rsidRDefault="00B2442D">
      <w:pPr>
        <w:jc w:val="both"/>
        <w:rPr>
          <w:rFonts w:ascii="Arial" w:hAnsi="Arial" w:cs="Arial"/>
          <w:lang w:val="es-CO"/>
        </w:rPr>
      </w:pPr>
    </w:p>
    <w:p w14:paraId="0E06A6B1" w14:textId="77777777" w:rsidR="00B2442D" w:rsidRDefault="008A645F">
      <w:pPr>
        <w:jc w:val="both"/>
        <w:rPr>
          <w:rFonts w:ascii="Arial" w:hAnsi="Arial" w:cs="Arial"/>
          <w:lang w:val="es-CO"/>
        </w:rPr>
      </w:pPr>
      <w:r>
        <w:rPr>
          <w:rFonts w:ascii="Arial" w:hAnsi="Arial" w:cs="Arial"/>
          <w:lang w:val="es-CO"/>
        </w:rPr>
        <w:t>- Identificar a los establecimiento</w:t>
      </w:r>
      <w:r>
        <w:rPr>
          <w:rFonts w:ascii="Arial" w:hAnsi="Arial" w:cs="Arial"/>
          <w:lang w:val="es-CO"/>
        </w:rPr>
        <w:t>s de crédito respectivos, las cuentas corrientes de uso exclusivo de las operaciones de compra y venta de divisas.</w:t>
      </w:r>
    </w:p>
    <w:p w14:paraId="30358C80" w14:textId="77777777" w:rsidR="00B2442D" w:rsidRDefault="00B2442D">
      <w:pPr>
        <w:jc w:val="both"/>
        <w:rPr>
          <w:rFonts w:ascii="Arial" w:hAnsi="Arial" w:cs="Arial"/>
          <w:lang w:val="es-CO"/>
        </w:rPr>
      </w:pPr>
    </w:p>
    <w:p w14:paraId="115BC6D2" w14:textId="77777777" w:rsidR="00B2442D" w:rsidRDefault="008A645F">
      <w:pPr>
        <w:jc w:val="both"/>
        <w:rPr>
          <w:rFonts w:ascii="Arial" w:hAnsi="Arial" w:cs="Arial"/>
          <w:lang w:val="es-CO"/>
        </w:rPr>
      </w:pPr>
      <w:r>
        <w:rPr>
          <w:rFonts w:ascii="Arial" w:hAnsi="Arial" w:cs="Arial"/>
          <w:lang w:val="es-CO"/>
        </w:rPr>
        <w:t>Será responsabilidad del establecimiento bancario en donde se manejen cuentas corrientes para uso exclusivo de recursos provenientes de la v</w:t>
      </w:r>
      <w:r>
        <w:rPr>
          <w:rFonts w:ascii="Arial" w:hAnsi="Arial" w:cs="Arial"/>
          <w:lang w:val="es-CO"/>
        </w:rPr>
        <w:t>enta o compra de divisas, verificar que los titulares de las mismas sean intermediarios autorizados.</w:t>
      </w:r>
    </w:p>
    <w:p w14:paraId="08E7223C" w14:textId="77777777" w:rsidR="00B2442D" w:rsidRDefault="00B2442D">
      <w:pPr>
        <w:jc w:val="both"/>
        <w:rPr>
          <w:rFonts w:ascii="Arial" w:hAnsi="Arial" w:cs="Arial"/>
          <w:lang w:val="es-CO"/>
        </w:rPr>
      </w:pPr>
    </w:p>
    <w:p w14:paraId="26191743" w14:textId="77777777" w:rsidR="00B2442D" w:rsidRDefault="008A645F">
      <w:pPr>
        <w:jc w:val="both"/>
        <w:rPr>
          <w:rFonts w:ascii="Arial" w:hAnsi="Arial" w:cs="Arial"/>
          <w:lang w:val="es-CO"/>
        </w:rPr>
      </w:pPr>
      <w:r>
        <w:rPr>
          <w:rFonts w:ascii="Arial" w:hAnsi="Arial" w:cs="Arial"/>
          <w:lang w:val="es-CO"/>
        </w:rPr>
        <w:t xml:space="preserve">Cuando se utilice la cuenta de depósito del Banco de la República correspondiente a una operación de compraventa de divisas entre entidades vigiladas por </w:t>
      </w:r>
      <w:r>
        <w:rPr>
          <w:rFonts w:ascii="Arial" w:hAnsi="Arial" w:cs="Arial"/>
          <w:lang w:val="es-CO"/>
        </w:rPr>
        <w:t>la Superintendencia Financiera de Colombia, el Banco de la República o la Dirección General de Crédito Público y del Tesoro Nacional, deberá utilizar el código de operación establecido para este efecto.</w:t>
      </w:r>
    </w:p>
    <w:p w14:paraId="2B9E3969" w14:textId="77777777" w:rsidR="00B2442D" w:rsidRDefault="00B2442D">
      <w:pPr>
        <w:jc w:val="both"/>
        <w:rPr>
          <w:rFonts w:ascii="Arial" w:hAnsi="Arial" w:cs="Arial"/>
          <w:i/>
          <w:lang w:val="es-CO"/>
        </w:rPr>
      </w:pPr>
    </w:p>
    <w:p w14:paraId="700D4357" w14:textId="77777777" w:rsidR="00B2442D" w:rsidRDefault="008A645F">
      <w:pPr>
        <w:jc w:val="both"/>
        <w:rPr>
          <w:rFonts w:ascii="Arial" w:hAnsi="Arial" w:cs="Arial"/>
          <w:i/>
          <w:lang w:val="es-CO"/>
        </w:rPr>
      </w:pPr>
      <w:r>
        <w:rPr>
          <w:rFonts w:ascii="Arial" w:hAnsi="Arial" w:cs="Arial"/>
          <w:i/>
          <w:lang w:val="es-CO"/>
        </w:rPr>
        <w:t>(Art. 19, Decreto 405 de 2001)</w:t>
      </w:r>
    </w:p>
    <w:p w14:paraId="47DD4469" w14:textId="77777777" w:rsidR="00B2442D" w:rsidRDefault="00B2442D">
      <w:pPr>
        <w:jc w:val="both"/>
        <w:rPr>
          <w:rFonts w:ascii="Arial" w:hAnsi="Arial" w:cs="Arial"/>
          <w:lang w:val="es-CO"/>
        </w:rPr>
      </w:pPr>
    </w:p>
    <w:p w14:paraId="0E9647E4"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Mecanismo de control</w:t>
      </w:r>
      <w:r>
        <w:rPr>
          <w:rFonts w:ascii="Arial" w:hAnsi="Arial" w:cs="Arial"/>
          <w:b/>
          <w:i/>
          <w:lang w:val="es-CO"/>
        </w:rPr>
        <w:t>.</w:t>
      </w:r>
      <w:r>
        <w:rPr>
          <w:rFonts w:ascii="Arial" w:hAnsi="Arial" w:cs="Arial"/>
          <w:lang w:val="es-CO"/>
        </w:rPr>
        <w:t xml:space="preserve"> De conformidad con lo señalado en el parágrafo 2° del artículo 879 del Estatuto Tributario, previamente a la apertura de la cuenta de ahorros, los establecimientos de crédito y las entidades vigiladas por la Superintendencia de la Economía Solidaria debe</w:t>
      </w:r>
      <w:r>
        <w:rPr>
          <w:rFonts w:ascii="Arial" w:hAnsi="Arial" w:cs="Arial"/>
          <w:lang w:val="es-CO"/>
        </w:rPr>
        <w:t>rán implantar un mecanismo de verificación y control.</w:t>
      </w:r>
    </w:p>
    <w:p w14:paraId="36509DD7" w14:textId="77777777" w:rsidR="00B2442D" w:rsidRDefault="00B2442D">
      <w:pPr>
        <w:jc w:val="both"/>
        <w:rPr>
          <w:rFonts w:ascii="Arial" w:hAnsi="Arial" w:cs="Arial"/>
          <w:lang w:val="es-CO"/>
        </w:rPr>
      </w:pPr>
    </w:p>
    <w:p w14:paraId="4DC41ACB" w14:textId="77777777" w:rsidR="00B2442D" w:rsidRDefault="008A645F">
      <w:pPr>
        <w:jc w:val="both"/>
        <w:rPr>
          <w:rFonts w:ascii="Arial" w:hAnsi="Arial" w:cs="Arial"/>
          <w:lang w:val="es-CO"/>
        </w:rPr>
      </w:pPr>
      <w:r>
        <w:rPr>
          <w:rFonts w:ascii="Arial" w:hAnsi="Arial" w:cs="Arial"/>
          <w:lang w:val="es-CO"/>
        </w:rPr>
        <w:t xml:space="preserve">En el evento en que el establecimiento de crédito o las entidades vigiladas por la Superintendencia de la Economía Solidaria autoricen la apertura de una segunda cuenta amparada con el </w:t>
      </w:r>
      <w:r>
        <w:rPr>
          <w:rFonts w:ascii="Arial" w:hAnsi="Arial" w:cs="Arial"/>
          <w:lang w:val="es-CO"/>
        </w:rPr>
        <w:t>beneficio de la exención, deberán responder por los impuestos y sanciones a que haya lugar.</w:t>
      </w:r>
    </w:p>
    <w:p w14:paraId="7744C7D7" w14:textId="77777777" w:rsidR="00B2442D" w:rsidRDefault="00B2442D">
      <w:pPr>
        <w:jc w:val="both"/>
        <w:rPr>
          <w:rFonts w:ascii="Arial" w:hAnsi="Arial" w:cs="Arial"/>
          <w:lang w:val="es-CO"/>
        </w:rPr>
      </w:pPr>
    </w:p>
    <w:p w14:paraId="24B38B1A" w14:textId="77777777" w:rsidR="00B2442D" w:rsidRDefault="008A645F">
      <w:pPr>
        <w:jc w:val="both"/>
        <w:rPr>
          <w:rFonts w:ascii="Arial" w:hAnsi="Arial" w:cs="Arial"/>
          <w:i/>
          <w:lang w:val="es-CO"/>
        </w:rPr>
      </w:pPr>
      <w:r>
        <w:rPr>
          <w:rFonts w:ascii="Arial" w:hAnsi="Arial" w:cs="Arial"/>
          <w:i/>
          <w:lang w:val="es-CO"/>
        </w:rPr>
        <w:t>(Art. 6, Decreto 449 de 2003)</w:t>
      </w:r>
      <w:r>
        <w:rPr>
          <w:rFonts w:ascii="Arial" w:hAnsi="Arial" w:cs="Arial"/>
        </w:rPr>
        <w:t xml:space="preserve"> </w:t>
      </w:r>
      <w:r>
        <w:rPr>
          <w:rFonts w:ascii="Arial" w:hAnsi="Arial" w:cs="Arial"/>
          <w:i/>
          <w:lang w:val="es-CO"/>
        </w:rPr>
        <w:t>(El Decreto 449 de 2003 rige a partir de la fecha de su publicación y deroga, los artículos 2°, 4°, 17, y 25 del Decreto 405 de 2001,</w:t>
      </w:r>
      <w:r>
        <w:rPr>
          <w:rFonts w:ascii="Arial" w:hAnsi="Arial" w:cs="Arial"/>
          <w:i/>
          <w:lang w:val="es-CO"/>
        </w:rPr>
        <w:t xml:space="preserve"> el parágrafo del artículo 1° del Decreto 518 de 2001 y el Decreto 707 de 2001. Art. 16, Decreto 449 de 2003)</w:t>
      </w:r>
    </w:p>
    <w:p w14:paraId="16EC3200" w14:textId="77777777" w:rsidR="00B2442D" w:rsidRDefault="00B2442D">
      <w:pPr>
        <w:jc w:val="both"/>
        <w:rPr>
          <w:rFonts w:ascii="Arial" w:hAnsi="Arial" w:cs="Arial"/>
          <w:lang w:val="es-CO"/>
        </w:rPr>
      </w:pPr>
    </w:p>
    <w:p w14:paraId="7E46DD66"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Sistemas generales de pensiones, salud y riesgos profesionales</w:t>
      </w:r>
      <w:r>
        <w:rPr>
          <w:rFonts w:ascii="Arial" w:hAnsi="Arial" w:cs="Arial"/>
          <w:b/>
          <w:lang w:val="es-CO"/>
        </w:rPr>
        <w:t>.</w:t>
      </w:r>
      <w:r>
        <w:rPr>
          <w:rFonts w:ascii="Arial" w:hAnsi="Arial" w:cs="Arial"/>
          <w:lang w:val="es-CO"/>
        </w:rPr>
        <w:t xml:space="preserve"> Las operaciones financieras consideradas como exentas por el numeral 10 del artíc</w:t>
      </w:r>
      <w:r>
        <w:rPr>
          <w:rFonts w:ascii="Arial" w:hAnsi="Arial" w:cs="Arial"/>
          <w:lang w:val="es-CO"/>
        </w:rPr>
        <w:t>ulo 879 del Estatuto Tributario, serán las realizadas por las entidades administradoras de dichos recursos hasta el pago a las Entidades Promotoras de Salud (EPS), a las entidades Administradoras del Régimen Subsidiado de Salud (ARS), a las Instituciones P</w:t>
      </w:r>
      <w:r>
        <w:rPr>
          <w:rFonts w:ascii="Arial" w:hAnsi="Arial" w:cs="Arial"/>
          <w:lang w:val="es-CO"/>
        </w:rPr>
        <w:t>restadoras de Salud (IPS) y el cincuenta por ciento (50%) de las operaciones que realicen las IPS con los recursos del Plan Obligatorio de Salud, así como el pago al pensionado, afiliado o beneficiario, según el caso, de acuerdo con lo siguiente:</w:t>
      </w:r>
    </w:p>
    <w:p w14:paraId="7FA8831E" w14:textId="77777777" w:rsidR="00B2442D" w:rsidRDefault="00B2442D">
      <w:pPr>
        <w:jc w:val="both"/>
        <w:rPr>
          <w:rFonts w:ascii="Arial" w:hAnsi="Arial" w:cs="Arial"/>
          <w:lang w:val="es-CO"/>
        </w:rPr>
      </w:pPr>
    </w:p>
    <w:p w14:paraId="7EBB19D8"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Recur</w:t>
      </w:r>
      <w:r>
        <w:rPr>
          <w:rFonts w:ascii="Arial" w:hAnsi="Arial" w:cs="Arial"/>
          <w:lang w:val="es-CO"/>
        </w:rPr>
        <w:t>sos de los fondos de pensiones. Gozarán de esta exención los recursos de los fondos pensionales del régimen de ahorro individual con solidaridad, de los fondos de reparto del régimen de prima media con prestación definida, de los fondos para el pago de los</w:t>
      </w:r>
      <w:r>
        <w:rPr>
          <w:rFonts w:ascii="Arial" w:hAnsi="Arial" w:cs="Arial"/>
          <w:lang w:val="es-CO"/>
        </w:rPr>
        <w:t xml:space="preserve"> bonos y cuotas partes de bonos pensionales, del fondo de solidaridad pensional, de los fondos de pensiones de que trata el Decreto 2513 de 1987, y las reservas matemáticas de los seguros de pensiones de jubilación o vejez, invalidez y sobrevivientes, así </w:t>
      </w:r>
      <w:r>
        <w:rPr>
          <w:rFonts w:ascii="Arial" w:hAnsi="Arial" w:cs="Arial"/>
          <w:lang w:val="es-CO"/>
        </w:rPr>
        <w:t>como sus rendimientos.</w:t>
      </w:r>
    </w:p>
    <w:p w14:paraId="6ADB6EB9" w14:textId="77777777" w:rsidR="00B2442D" w:rsidRDefault="00B2442D">
      <w:pPr>
        <w:ind w:left="284" w:hanging="284"/>
        <w:jc w:val="both"/>
        <w:rPr>
          <w:rFonts w:ascii="Arial" w:hAnsi="Arial" w:cs="Arial"/>
          <w:lang w:val="es-CO"/>
        </w:rPr>
      </w:pPr>
    </w:p>
    <w:p w14:paraId="7F33A7C3"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Recursos del sistema de seguridad social en salud. Gozarán de esta exención todas las transacciones realizadas con los recursos del Fondo de Solidaridad y Garantía, Fosyga.</w:t>
      </w:r>
    </w:p>
    <w:p w14:paraId="7BB7EE14" w14:textId="77777777" w:rsidR="00B2442D" w:rsidRDefault="00B2442D">
      <w:pPr>
        <w:ind w:left="284" w:hanging="284"/>
        <w:jc w:val="both"/>
        <w:rPr>
          <w:rFonts w:ascii="Arial" w:hAnsi="Arial" w:cs="Arial"/>
          <w:lang w:val="es-CO"/>
        </w:rPr>
      </w:pPr>
    </w:p>
    <w:p w14:paraId="5A357A69" w14:textId="77777777" w:rsidR="00B2442D" w:rsidRDefault="008A645F">
      <w:pPr>
        <w:ind w:left="284"/>
        <w:jc w:val="both"/>
        <w:rPr>
          <w:rFonts w:ascii="Arial" w:hAnsi="Arial" w:cs="Arial"/>
          <w:lang w:val="es-CO"/>
        </w:rPr>
      </w:pPr>
      <w:r>
        <w:rPr>
          <w:rFonts w:ascii="Arial" w:hAnsi="Arial" w:cs="Arial"/>
          <w:lang w:val="es-CO"/>
        </w:rPr>
        <w:t xml:space="preserve">Las cotizaciones que realizan los afiliados al sistema </w:t>
      </w:r>
      <w:r>
        <w:rPr>
          <w:rFonts w:ascii="Arial" w:hAnsi="Arial" w:cs="Arial"/>
          <w:lang w:val="es-CO"/>
        </w:rPr>
        <w:t>general de seguridad social en salud pertenecen al Fondo de Solidaridad y Garantía, Fosyga, por ello están exentas las transacciones que realicen las entidades promotoras de salud de las cuentas de que trata el parágrafo del artículo 182 de la Ley 100 de 1</w:t>
      </w:r>
      <w:r>
        <w:rPr>
          <w:rFonts w:ascii="Arial" w:hAnsi="Arial" w:cs="Arial"/>
          <w:lang w:val="es-CO"/>
        </w:rPr>
        <w:t>993, hasta que se realice el proceso de giro y compensación previsto para el régimen contributivo. Después de realizado este proceso están gravadas todas las transacciones financieras cuyo propósito sea diferente al cubrimiento de los servicios del Plan Ob</w:t>
      </w:r>
      <w:r>
        <w:rPr>
          <w:rFonts w:ascii="Arial" w:hAnsi="Arial" w:cs="Arial"/>
          <w:lang w:val="es-CO"/>
        </w:rPr>
        <w:t>ligatorio de Salud (POS). En tal sentido, los pagos destinados a gastos administrativos están sometidos al Gravamen a los Movimientos Financieros (GMF)</w:t>
      </w:r>
    </w:p>
    <w:p w14:paraId="50A605CE" w14:textId="77777777" w:rsidR="00B2442D" w:rsidRDefault="00B2442D">
      <w:pPr>
        <w:ind w:left="284" w:hanging="284"/>
        <w:jc w:val="both"/>
        <w:rPr>
          <w:rFonts w:ascii="Arial" w:hAnsi="Arial" w:cs="Arial"/>
          <w:lang w:val="es-CO"/>
        </w:rPr>
      </w:pPr>
    </w:p>
    <w:p w14:paraId="0C398CC0" w14:textId="77777777" w:rsidR="00B2442D" w:rsidRDefault="008A645F">
      <w:pPr>
        <w:ind w:left="284"/>
        <w:jc w:val="both"/>
        <w:rPr>
          <w:rFonts w:ascii="Arial" w:hAnsi="Arial" w:cs="Arial"/>
          <w:lang w:val="es-CO"/>
        </w:rPr>
      </w:pPr>
      <w:r>
        <w:rPr>
          <w:rFonts w:ascii="Arial" w:hAnsi="Arial" w:cs="Arial"/>
          <w:lang w:val="es-CO"/>
        </w:rPr>
        <w:t>Los pagos que realicen las entidades prestadoras de salud (EPS) y las entidades Administradoras del Rég</w:t>
      </w:r>
      <w:r>
        <w:rPr>
          <w:rFonts w:ascii="Arial" w:hAnsi="Arial" w:cs="Arial"/>
          <w:lang w:val="es-CO"/>
        </w:rPr>
        <w:t>imen Subsidiado de Salud (ARS) a las Instituciones Prestadoras de Salud (IPS), por concepto del Plan Obligatorio de Salud están exentos del Gravamen a los movimientos financieros. Igualmente, cada operación que realicen las instituciones prestadoras de sal</w:t>
      </w:r>
      <w:r>
        <w:rPr>
          <w:rFonts w:ascii="Arial" w:hAnsi="Arial" w:cs="Arial"/>
          <w:lang w:val="es-CO"/>
        </w:rPr>
        <w:t xml:space="preserve">ud (IPS) con los recursos recibidos por el mismo concepto están exentas del gravamen en un cincuenta por ciento (50%), para lo cual deberán identificar la cuenta corriente o de ahorros en la que se manejen dichos recursos. </w:t>
      </w:r>
    </w:p>
    <w:p w14:paraId="16D95E38" w14:textId="77777777" w:rsidR="00B2442D" w:rsidRDefault="00B2442D">
      <w:pPr>
        <w:ind w:left="284" w:hanging="284"/>
        <w:jc w:val="both"/>
        <w:rPr>
          <w:rFonts w:ascii="Arial" w:hAnsi="Arial" w:cs="Arial"/>
          <w:lang w:val="es-CO"/>
        </w:rPr>
      </w:pPr>
    </w:p>
    <w:p w14:paraId="2C005439"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Recursos del sistema general</w:t>
      </w:r>
      <w:r>
        <w:rPr>
          <w:rFonts w:ascii="Arial" w:hAnsi="Arial" w:cs="Arial"/>
          <w:lang w:val="es-CO"/>
        </w:rPr>
        <w:t xml:space="preserve"> de riesgos profesionales. Gozarán de esta exención las operaciones financieras realizadas con los recursos del sistema general de riesgos profesionales, provenientes de las cotizaciones, incluyendo los que permanezcan en las reservas de que tratan los Dec</w:t>
      </w:r>
      <w:r>
        <w:rPr>
          <w:rFonts w:ascii="Arial" w:hAnsi="Arial" w:cs="Arial"/>
          <w:lang w:val="es-CO"/>
        </w:rPr>
        <w:t>retos 2347 de 1995 y 2656 de 1998 y demás normas que los sustituyan, modifiquen, adicionen o aclaren (hoy  Libro 31, Título 4,  Capítulo 2, y en el Libro 31, Título 4, Capítulo 2, artículo 2.31.4.2.3 del Decreto 2555 de 2010), hasta el pago a la Entidad Pr</w:t>
      </w:r>
      <w:r>
        <w:rPr>
          <w:rFonts w:ascii="Arial" w:hAnsi="Arial" w:cs="Arial"/>
          <w:lang w:val="es-CO"/>
        </w:rPr>
        <w:t>omotora de Salud (EPS), a las Instituciones Prestadoras de Salud (IPS) o al pensionado, afiliado o beneficiario, según el caso, y hasta que dichos recursos no sean incorporados al patrimonio de la Administradora de Riesgos Profesionales, al cierre del ejer</w:t>
      </w:r>
      <w:r>
        <w:rPr>
          <w:rFonts w:ascii="Arial" w:hAnsi="Arial" w:cs="Arial"/>
          <w:lang w:val="es-CO"/>
        </w:rPr>
        <w:t>cicio fiscal.</w:t>
      </w:r>
    </w:p>
    <w:p w14:paraId="23ABEC4B" w14:textId="77777777" w:rsidR="00B2442D" w:rsidRDefault="00B2442D">
      <w:pPr>
        <w:ind w:left="284" w:hanging="284"/>
        <w:jc w:val="both"/>
        <w:rPr>
          <w:rFonts w:ascii="Arial" w:hAnsi="Arial" w:cs="Arial"/>
          <w:lang w:val="es-CO"/>
        </w:rPr>
      </w:pPr>
    </w:p>
    <w:p w14:paraId="1594CE11" w14:textId="77777777" w:rsidR="00B2442D" w:rsidRDefault="008A645F">
      <w:pPr>
        <w:ind w:left="284"/>
        <w:jc w:val="both"/>
        <w:rPr>
          <w:rFonts w:ascii="Arial" w:hAnsi="Arial" w:cs="Arial"/>
          <w:lang w:val="es-CO"/>
        </w:rPr>
      </w:pPr>
      <w:r>
        <w:rPr>
          <w:rFonts w:ascii="Arial" w:hAnsi="Arial" w:cs="Arial"/>
          <w:lang w:val="es-CO"/>
        </w:rPr>
        <w:t>No gozará de esta exención ninguna operación que tenga por objeto el pago o giro de recursos destinados a cubrir los gastos administrativos que realice la administradora de riesgos profesionales.</w:t>
      </w:r>
    </w:p>
    <w:p w14:paraId="08B22D55" w14:textId="77777777" w:rsidR="00B2442D" w:rsidRDefault="00B2442D">
      <w:pPr>
        <w:jc w:val="both"/>
        <w:rPr>
          <w:rFonts w:ascii="Arial" w:hAnsi="Arial" w:cs="Arial"/>
          <w:lang w:val="es-CO"/>
        </w:rPr>
      </w:pPr>
    </w:p>
    <w:p w14:paraId="3681D079" w14:textId="77777777" w:rsidR="00B2442D" w:rsidRDefault="008A645F">
      <w:pPr>
        <w:jc w:val="both"/>
        <w:rPr>
          <w:rFonts w:ascii="Arial" w:hAnsi="Arial" w:cs="Arial"/>
          <w:i/>
          <w:lang w:val="es-CO"/>
        </w:rPr>
      </w:pPr>
      <w:r>
        <w:rPr>
          <w:rFonts w:ascii="Arial" w:hAnsi="Arial" w:cs="Arial"/>
          <w:i/>
          <w:lang w:val="es-CO"/>
        </w:rPr>
        <w:t>(Art. 8 Decreto 449 de 2003. La expresión</w:t>
      </w:r>
      <w:r>
        <w:rPr>
          <w:rFonts w:ascii="Arial" w:hAnsi="Arial" w:cs="Arial"/>
          <w:i/>
        </w:rPr>
        <w:t xml:space="preserve"> de</w:t>
      </w:r>
      <w:r>
        <w:rPr>
          <w:rFonts w:ascii="Arial" w:hAnsi="Arial" w:cs="Arial"/>
          <w:i/>
        </w:rPr>
        <w:t>l inciso 2 numeral 2 “</w:t>
      </w:r>
      <w:r>
        <w:rPr>
          <w:rFonts w:ascii="Arial" w:hAnsi="Arial" w:cs="Arial"/>
          <w:i/>
          <w:lang w:val="es-CO"/>
        </w:rPr>
        <w:t>En tal sentido, los pagos destinados a gastos administrativos están sometidos al Gravamen a los Movimientos Financieros (GMF)”, citada en la Circular No. 000063 del 23 de diciembre de 2010, expedida por la Superintendencia Nacional de</w:t>
      </w:r>
      <w:r>
        <w:rPr>
          <w:rFonts w:ascii="Arial" w:hAnsi="Arial" w:cs="Arial"/>
          <w:i/>
          <w:lang w:val="es-CO"/>
        </w:rPr>
        <w:t xml:space="preserve"> Salud, fue declarada nula por el Consejo de Estado, Sección Cuarta, Expediente No. 18841 de 23 de enero de 2014. Los Decretos 2347 de 1995 y 2656 de 1998, fueron derogados expresamente por el Decreto 2555 de 2010 y sus contenidos reproducidos)</w:t>
      </w:r>
      <w:r>
        <w:rPr>
          <w:rFonts w:ascii="Arial" w:hAnsi="Arial" w:cs="Arial"/>
        </w:rPr>
        <w:t xml:space="preserve"> </w:t>
      </w:r>
      <w:r>
        <w:rPr>
          <w:rFonts w:ascii="Arial" w:hAnsi="Arial" w:cs="Arial"/>
          <w:i/>
          <w:lang w:val="es-CO"/>
        </w:rPr>
        <w:t>(El Decreto</w:t>
      </w:r>
      <w:r>
        <w:rPr>
          <w:rFonts w:ascii="Arial" w:hAnsi="Arial" w:cs="Arial"/>
          <w:i/>
          <w:lang w:val="es-CO"/>
        </w:rPr>
        <w:t xml:space="preserve"> 449 de 2003 rige a partir de la fecha de su publicación y deroga, los artículos 2°, 4°, 17, y 25 del Decreto 405 de 2001, el parágrafo del artículo 1° del Decreto 518 de 2001 y el Decreto 707 de 2001. Art. 16, Decreto 449 de 2003)</w:t>
      </w:r>
    </w:p>
    <w:p w14:paraId="2D278D72" w14:textId="77777777" w:rsidR="00B2442D" w:rsidRDefault="00B2442D">
      <w:pPr>
        <w:jc w:val="both"/>
        <w:rPr>
          <w:rFonts w:ascii="Arial" w:hAnsi="Arial" w:cs="Arial"/>
          <w:i/>
          <w:lang w:val="es-CO"/>
        </w:rPr>
      </w:pPr>
    </w:p>
    <w:p w14:paraId="616A1FEF"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Identificación de Cuent</w:t>
      </w:r>
      <w:r>
        <w:rPr>
          <w:rFonts w:ascii="Arial" w:hAnsi="Arial" w:cs="Arial"/>
          <w:b/>
          <w:i/>
          <w:lang w:val="es-CO"/>
        </w:rPr>
        <w:t>as</w:t>
      </w:r>
      <w:r>
        <w:rPr>
          <w:rFonts w:ascii="Arial" w:hAnsi="Arial" w:cs="Arial"/>
          <w:lang w:val="es-CO"/>
        </w:rPr>
        <w:t xml:space="preserve">. Para hacer efectivas las exenciones al Gravamen a los Movimientos Financieros (GMF) de que trata el artículo 879 del Estatuto Tributario, los responsables de la operación están obligados a identificar las cuentas corrientes o de ahorros, en las cuales </w:t>
      </w:r>
      <w:r>
        <w:rPr>
          <w:rFonts w:ascii="Arial" w:hAnsi="Arial" w:cs="Arial"/>
          <w:lang w:val="es-CO"/>
        </w:rPr>
        <w:t>se manejen de manera exclusiva los recursos objeto de la exención, salvo cuando se trate de la cuenta de ahorro para financiación de vivienda y la de los pensionados, en cuyo caso solamente se deberá abrir una única cuenta.</w:t>
      </w:r>
    </w:p>
    <w:p w14:paraId="3F5805A4" w14:textId="77777777" w:rsidR="00B2442D" w:rsidRDefault="00B2442D">
      <w:pPr>
        <w:jc w:val="both"/>
        <w:rPr>
          <w:rFonts w:ascii="Arial" w:hAnsi="Arial" w:cs="Arial"/>
          <w:lang w:val="es-CO"/>
        </w:rPr>
      </w:pPr>
    </w:p>
    <w:p w14:paraId="2EDD3B0C" w14:textId="77777777" w:rsidR="00B2442D" w:rsidRDefault="008A645F">
      <w:pPr>
        <w:jc w:val="both"/>
        <w:rPr>
          <w:rFonts w:ascii="Arial" w:hAnsi="Arial" w:cs="Arial"/>
          <w:lang w:val="es-CO"/>
        </w:rPr>
      </w:pPr>
      <w:r>
        <w:rPr>
          <w:rFonts w:ascii="Arial" w:hAnsi="Arial" w:cs="Arial"/>
          <w:lang w:val="es-CO"/>
        </w:rPr>
        <w:t>Cuando no se cumpla con la ante</w:t>
      </w:r>
      <w:r>
        <w:rPr>
          <w:rFonts w:ascii="Arial" w:hAnsi="Arial" w:cs="Arial"/>
          <w:lang w:val="es-CO"/>
        </w:rPr>
        <w:t>rior obligación se causará el Gravamen a los Movimientos Financieros, el cual no será objeto de devolución y/o compensación.</w:t>
      </w:r>
    </w:p>
    <w:p w14:paraId="782F065C" w14:textId="77777777" w:rsidR="00B2442D" w:rsidRDefault="00B2442D">
      <w:pPr>
        <w:jc w:val="both"/>
        <w:rPr>
          <w:rFonts w:ascii="Arial" w:hAnsi="Arial" w:cs="Arial"/>
          <w:lang w:val="es-CO"/>
        </w:rPr>
      </w:pPr>
    </w:p>
    <w:p w14:paraId="3F13F0CE" w14:textId="77777777" w:rsidR="00B2442D" w:rsidRDefault="008A645F">
      <w:pPr>
        <w:jc w:val="both"/>
        <w:rPr>
          <w:rFonts w:ascii="Arial" w:hAnsi="Arial" w:cs="Arial"/>
          <w:i/>
          <w:lang w:val="es-CO"/>
        </w:rPr>
      </w:pPr>
      <w:r>
        <w:rPr>
          <w:rFonts w:ascii="Arial" w:hAnsi="Arial" w:cs="Arial"/>
          <w:i/>
          <w:lang w:val="es-CO"/>
        </w:rPr>
        <w:t>(Art. 11 Decreto 449 de 2003)</w:t>
      </w:r>
      <w:r>
        <w:rPr>
          <w:rFonts w:ascii="Arial" w:hAnsi="Arial" w:cs="Arial"/>
        </w:rPr>
        <w:t xml:space="preserve"> </w:t>
      </w:r>
      <w:r>
        <w:rPr>
          <w:rFonts w:ascii="Arial" w:hAnsi="Arial" w:cs="Arial"/>
          <w:i/>
          <w:lang w:val="es-CO"/>
        </w:rPr>
        <w:t xml:space="preserve">(El Decreto 449 de 2003 rige a partir de la fecha de su publicación y deroga, los artículos 2°, </w:t>
      </w:r>
      <w:r>
        <w:rPr>
          <w:rFonts w:ascii="Arial" w:hAnsi="Arial" w:cs="Arial"/>
          <w:i/>
          <w:lang w:val="es-CO"/>
        </w:rPr>
        <w:t>4°, 17, y 25 del Decreto 405 de 2001, el parágrafo del artículo 1° del Decreto 518 de 2001 y el Decreto 707 de 2001. Art. 16, Decreto 449 de 2003)</w:t>
      </w:r>
    </w:p>
    <w:p w14:paraId="7B09F290" w14:textId="77777777" w:rsidR="00B2442D" w:rsidRDefault="00B2442D">
      <w:pPr>
        <w:jc w:val="both"/>
        <w:rPr>
          <w:rFonts w:ascii="Arial" w:hAnsi="Arial" w:cs="Arial"/>
          <w:i/>
          <w:lang w:val="es-CO"/>
        </w:rPr>
      </w:pPr>
    </w:p>
    <w:p w14:paraId="47AB7573"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Marcación y/o identificación de cuentas corrientes o de ahorros.</w:t>
      </w:r>
      <w:r>
        <w:rPr>
          <w:rFonts w:ascii="Arial" w:hAnsi="Arial" w:cs="Arial"/>
          <w:lang w:val="es-CO"/>
        </w:rPr>
        <w:t xml:space="preserve"> Los intermediarios del mercado cambiario para el desarrollo de sus operaciones autorizadas, deben identificar como exentas del GMF, las cuentas corrientes y/o de ahorros de las cuales dispongan de sus recursos de manera exclusiva para la ejecución de oper</w:t>
      </w:r>
      <w:r>
        <w:rPr>
          <w:rFonts w:ascii="Arial" w:hAnsi="Arial" w:cs="Arial"/>
          <w:lang w:val="es-CO"/>
        </w:rPr>
        <w:t>aciones cambiarias, gravadas o exentas del impuesto. Los establecimientos de crédito deberán marcar la cuenta cuando lo solicite el intermediario.</w:t>
      </w:r>
    </w:p>
    <w:p w14:paraId="17C58F6D" w14:textId="77777777" w:rsidR="00B2442D" w:rsidRDefault="00B2442D">
      <w:pPr>
        <w:jc w:val="both"/>
        <w:rPr>
          <w:rFonts w:ascii="Arial" w:hAnsi="Arial" w:cs="Arial"/>
          <w:lang w:val="es-CO"/>
        </w:rPr>
      </w:pPr>
    </w:p>
    <w:p w14:paraId="111C097D" w14:textId="77777777" w:rsidR="00B2442D" w:rsidRDefault="008A645F">
      <w:pPr>
        <w:jc w:val="both"/>
        <w:rPr>
          <w:rFonts w:ascii="Arial" w:hAnsi="Arial" w:cs="Arial"/>
          <w:lang w:val="es-CO"/>
        </w:rPr>
      </w:pPr>
      <w:r>
        <w:rPr>
          <w:rFonts w:ascii="Arial" w:hAnsi="Arial" w:cs="Arial"/>
          <w:lang w:val="es-CO"/>
        </w:rPr>
        <w:t>Las operaciones que se efectúen con cargo a las cuentas administrativas que posean los Intermediarios del Me</w:t>
      </w:r>
      <w:r>
        <w:rPr>
          <w:rFonts w:ascii="Arial" w:hAnsi="Arial" w:cs="Arial"/>
          <w:lang w:val="es-CO"/>
        </w:rPr>
        <w:t>rcado Cambiario, se encuentran gravadas con el Gravamen a los Movimientos Financieros; y el agente retenedor es la entidad de crédito donde se encuentre la respectiva cuenta.</w:t>
      </w:r>
    </w:p>
    <w:p w14:paraId="7BA4BF6C" w14:textId="77777777" w:rsidR="00B2442D" w:rsidRDefault="00B2442D">
      <w:pPr>
        <w:jc w:val="both"/>
        <w:rPr>
          <w:rFonts w:ascii="Arial" w:hAnsi="Arial" w:cs="Arial"/>
          <w:lang w:val="es-CO"/>
        </w:rPr>
      </w:pPr>
    </w:p>
    <w:p w14:paraId="7A50893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en ejercicio de las facultades de fiscalización la Unidad Admi</w:t>
      </w:r>
      <w:r>
        <w:rPr>
          <w:rFonts w:ascii="Arial" w:hAnsi="Arial" w:cs="Arial"/>
          <w:lang w:val="es-CO"/>
        </w:rPr>
        <w:t>nistrativa Especial Dirección de Impuestos y Aduanas Nacionales-DIAN detecte el indebido manejo de las cuentas marcadas, se dará traslado a la Superintendencia Financiera de Colombia para lo de su competencia, sin perjuicio de las sanciones tributarias a q</w:t>
      </w:r>
      <w:r>
        <w:rPr>
          <w:rFonts w:ascii="Arial" w:hAnsi="Arial" w:cs="Arial"/>
          <w:lang w:val="es-CO"/>
        </w:rPr>
        <w:t>ue hubiere lugar y del desarrollo del proceso de determinación del impuesto.</w:t>
      </w:r>
    </w:p>
    <w:p w14:paraId="7EAD1443" w14:textId="77777777" w:rsidR="00B2442D" w:rsidRDefault="00B2442D">
      <w:pPr>
        <w:jc w:val="both"/>
        <w:rPr>
          <w:rFonts w:ascii="Arial" w:hAnsi="Arial" w:cs="Arial"/>
          <w:lang w:val="es-CO"/>
        </w:rPr>
      </w:pPr>
    </w:p>
    <w:p w14:paraId="50EF5656" w14:textId="77777777" w:rsidR="00B2442D" w:rsidRDefault="008A645F">
      <w:pPr>
        <w:jc w:val="both"/>
        <w:rPr>
          <w:rFonts w:ascii="Arial" w:hAnsi="Arial" w:cs="Arial"/>
          <w:i/>
          <w:lang w:val="es-CO"/>
        </w:rPr>
      </w:pPr>
      <w:r>
        <w:rPr>
          <w:rFonts w:ascii="Arial" w:hAnsi="Arial" w:cs="Arial"/>
          <w:i/>
          <w:lang w:val="es-CO"/>
        </w:rPr>
        <w:t>(Art. 1, Decreto 2892 de 2007)</w:t>
      </w:r>
    </w:p>
    <w:p w14:paraId="08CFEECC" w14:textId="77777777" w:rsidR="00B2442D" w:rsidRDefault="00B2442D">
      <w:pPr>
        <w:jc w:val="both"/>
        <w:rPr>
          <w:rFonts w:ascii="Arial" w:hAnsi="Arial" w:cs="Arial"/>
          <w:lang w:val="es-CO"/>
        </w:rPr>
      </w:pPr>
    </w:p>
    <w:p w14:paraId="2C08BB83"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Cuentas Beneficiadas.</w:t>
      </w:r>
      <w:r>
        <w:rPr>
          <w:rFonts w:ascii="Arial" w:hAnsi="Arial" w:cs="Arial"/>
          <w:lang w:val="es-CO"/>
        </w:rPr>
        <w:t xml:space="preserve"> Para efectos de determinar las cuentas beneficiadas con la exención prevista en el numeral 18 del artículo 879 del Estatuto </w:t>
      </w:r>
      <w:r>
        <w:rPr>
          <w:rFonts w:ascii="Arial" w:hAnsi="Arial" w:cs="Arial"/>
          <w:lang w:val="es-CO"/>
        </w:rPr>
        <w:t>Tributario, el Instituto Colombiano de Bienestar Familiar – ICBF - identificará la cuenta de ahorros o corriente en la cual se manejen, de forma exclusiva, los recursos asignados por esta entidad a las Asociaciones de Hogares Comunitarios de Bienestar.</w:t>
      </w:r>
    </w:p>
    <w:p w14:paraId="660E5B4B" w14:textId="77777777" w:rsidR="00B2442D" w:rsidRDefault="00B2442D">
      <w:pPr>
        <w:jc w:val="both"/>
        <w:rPr>
          <w:rFonts w:ascii="Arial" w:hAnsi="Arial" w:cs="Arial"/>
          <w:lang w:val="es-CO"/>
        </w:rPr>
      </w:pPr>
    </w:p>
    <w:p w14:paraId="4FD129C2" w14:textId="77777777" w:rsidR="00B2442D" w:rsidRDefault="008A645F">
      <w:pPr>
        <w:jc w:val="both"/>
        <w:rPr>
          <w:rFonts w:ascii="Arial" w:hAnsi="Arial" w:cs="Arial"/>
          <w:lang w:val="es-CO"/>
        </w:rPr>
      </w:pPr>
      <w:r>
        <w:rPr>
          <w:rFonts w:ascii="Arial" w:hAnsi="Arial" w:cs="Arial"/>
          <w:lang w:val="es-CO"/>
        </w:rPr>
        <w:t>Ca</w:t>
      </w:r>
      <w:r>
        <w:rPr>
          <w:rFonts w:ascii="Arial" w:hAnsi="Arial" w:cs="Arial"/>
          <w:lang w:val="es-CO"/>
        </w:rPr>
        <w:t>da Director Regional del ICBF remitirá a los establecimientos financieros respectivos la siguiente información, según repose en las bases de datos del Instituto:</w:t>
      </w:r>
    </w:p>
    <w:p w14:paraId="263BC554" w14:textId="77777777" w:rsidR="00B2442D" w:rsidRDefault="00B2442D">
      <w:pPr>
        <w:jc w:val="both"/>
        <w:rPr>
          <w:rFonts w:ascii="Arial" w:hAnsi="Arial" w:cs="Arial"/>
          <w:lang w:val="es-CO"/>
        </w:rPr>
      </w:pPr>
    </w:p>
    <w:p w14:paraId="5E0DF6CA"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Nombre y NIT de las Asociaciones de Hogares Comunitarios de Bienestar.</w:t>
      </w:r>
    </w:p>
    <w:p w14:paraId="58C183F7" w14:textId="77777777" w:rsidR="00B2442D" w:rsidRDefault="00B2442D">
      <w:pPr>
        <w:ind w:left="426" w:hanging="426"/>
        <w:jc w:val="both"/>
        <w:rPr>
          <w:rFonts w:ascii="Arial" w:hAnsi="Arial" w:cs="Arial"/>
          <w:lang w:val="es-CO"/>
        </w:rPr>
      </w:pPr>
    </w:p>
    <w:p w14:paraId="12F079BE"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Nombre y número</w:t>
      </w:r>
      <w:r>
        <w:rPr>
          <w:rFonts w:ascii="Arial" w:hAnsi="Arial" w:cs="Arial"/>
          <w:lang w:val="es-CO"/>
        </w:rPr>
        <w:t xml:space="preserve"> de cédula de ciudadanía del representante legal.</w:t>
      </w:r>
    </w:p>
    <w:p w14:paraId="2E7B2DCA" w14:textId="77777777" w:rsidR="00B2442D" w:rsidRDefault="00B2442D">
      <w:pPr>
        <w:ind w:left="426" w:hanging="426"/>
        <w:jc w:val="both"/>
        <w:rPr>
          <w:rFonts w:ascii="Arial" w:hAnsi="Arial" w:cs="Arial"/>
          <w:lang w:val="es-CO"/>
        </w:rPr>
      </w:pPr>
    </w:p>
    <w:p w14:paraId="469867F6"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Número de la cuenta corriente o de ahorros a la que se aplicará la exención y la entidad financiera respectiva, de acuerdo con la información que al respecto haya recibido de las Asociaciones de Hogares</w:t>
      </w:r>
      <w:r>
        <w:rPr>
          <w:rFonts w:ascii="Arial" w:hAnsi="Arial" w:cs="Arial"/>
          <w:lang w:val="es-CO"/>
        </w:rPr>
        <w:t xml:space="preserve"> Comunitarios de Bienestar.</w:t>
      </w:r>
    </w:p>
    <w:p w14:paraId="5FD93071" w14:textId="77777777" w:rsidR="00B2442D" w:rsidRDefault="00B2442D">
      <w:pPr>
        <w:ind w:left="426" w:hanging="426"/>
        <w:jc w:val="both"/>
        <w:rPr>
          <w:rFonts w:ascii="Arial" w:hAnsi="Arial" w:cs="Arial"/>
          <w:lang w:val="es-CO"/>
        </w:rPr>
      </w:pPr>
    </w:p>
    <w:p w14:paraId="2A24445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Asociaciones de Hogares Comunitarios de Bienestar estarán obligadas a utilizar la cuenta corriente o de ahorros por ellas abierta, exclusivamente para el manejo de los recursos asignados por el Instituto, como </w:t>
      </w:r>
      <w:r>
        <w:rPr>
          <w:rFonts w:ascii="Arial" w:hAnsi="Arial" w:cs="Arial"/>
          <w:lang w:val="es-CO"/>
        </w:rPr>
        <w:t>requisito para ser beneficiarías de la exención prevista en el numeral 18 del artículo 879 del Estatuto Tributario. El ICBF remitirá la información de esas cuentas a las entidades financieras correspondientes.</w:t>
      </w:r>
    </w:p>
    <w:p w14:paraId="4C5F20B6" w14:textId="77777777" w:rsidR="00B2442D" w:rsidRDefault="00B2442D">
      <w:pPr>
        <w:jc w:val="both"/>
        <w:rPr>
          <w:rFonts w:ascii="Arial" w:hAnsi="Arial" w:cs="Arial"/>
          <w:lang w:val="es-CO"/>
        </w:rPr>
      </w:pPr>
    </w:p>
    <w:p w14:paraId="7876D528"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exención prevista en el numer</w:t>
      </w:r>
      <w:r>
        <w:rPr>
          <w:rFonts w:ascii="Arial" w:hAnsi="Arial" w:cs="Arial"/>
          <w:lang w:val="es-CO"/>
        </w:rPr>
        <w:t xml:space="preserve">al 18 del artículo 879 del Estatuto Tributario sólo se aplicará para una cuenta, en los términos del inciso 2o del numeral 1 de la misma norma. Los establecimientos financieros procederán a la marcación de la cuenta una vez que sea recibida la información </w:t>
      </w:r>
      <w:r>
        <w:rPr>
          <w:rFonts w:ascii="Arial" w:hAnsi="Arial" w:cs="Arial"/>
          <w:lang w:val="es-CO"/>
        </w:rPr>
        <w:t>a que hace referencia este artículo. La exención se aplicará desde el día en que la entidad financiera reciba la información.</w:t>
      </w:r>
    </w:p>
    <w:p w14:paraId="01DC6715" w14:textId="77777777" w:rsidR="00B2442D" w:rsidRDefault="00B2442D">
      <w:pPr>
        <w:jc w:val="both"/>
        <w:rPr>
          <w:rFonts w:ascii="Arial" w:hAnsi="Arial" w:cs="Arial"/>
          <w:lang w:val="es-CO"/>
        </w:rPr>
      </w:pPr>
    </w:p>
    <w:p w14:paraId="7F6B345E"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El ICBF deberá informar a los establecimientos financieros de cualquier novedad que afecte la marcación de la cuenta</w:t>
      </w:r>
      <w:r>
        <w:rPr>
          <w:rFonts w:ascii="Arial" w:hAnsi="Arial" w:cs="Arial"/>
          <w:lang w:val="es-CO"/>
        </w:rPr>
        <w:t>. Esta información deberá ser entregada a dichos establecimientos siempre que se presente un evento modificatorio en el uso de la cuenta o en su titular.</w:t>
      </w:r>
    </w:p>
    <w:p w14:paraId="4EC4ECA4" w14:textId="77777777" w:rsidR="00B2442D" w:rsidRDefault="00B2442D">
      <w:pPr>
        <w:jc w:val="both"/>
        <w:rPr>
          <w:rFonts w:ascii="Arial" w:hAnsi="Arial" w:cs="Arial"/>
          <w:lang w:val="es-CO"/>
        </w:rPr>
      </w:pPr>
    </w:p>
    <w:p w14:paraId="73B72F1C" w14:textId="77777777" w:rsidR="00B2442D" w:rsidRDefault="008A645F">
      <w:pPr>
        <w:jc w:val="both"/>
        <w:rPr>
          <w:rFonts w:ascii="Arial" w:hAnsi="Arial" w:cs="Arial"/>
          <w:i/>
          <w:lang w:val="es-CO"/>
        </w:rPr>
      </w:pPr>
      <w:r>
        <w:rPr>
          <w:rFonts w:ascii="Arial" w:hAnsi="Arial" w:cs="Arial"/>
          <w:i/>
          <w:lang w:val="es-CO"/>
        </w:rPr>
        <w:t>(Art. 1, Decreto 4788 de 2009)</w:t>
      </w:r>
    </w:p>
    <w:p w14:paraId="559735B7" w14:textId="77777777" w:rsidR="00B2442D" w:rsidRDefault="00B2442D">
      <w:pPr>
        <w:jc w:val="both"/>
        <w:rPr>
          <w:rFonts w:ascii="Arial" w:hAnsi="Arial" w:cs="Arial"/>
          <w:lang w:val="es-CO"/>
        </w:rPr>
      </w:pPr>
    </w:p>
    <w:p w14:paraId="24F480BA"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Medios de pago.</w:t>
      </w:r>
      <w:r>
        <w:rPr>
          <w:rFonts w:ascii="Arial" w:hAnsi="Arial" w:cs="Arial"/>
          <w:lang w:val="es-CO"/>
        </w:rPr>
        <w:t xml:space="preserve"> Para efectos de las exenciones consagradas en los numerales 5, 7 y 11 del artículo 879 del Estatuto Tributario, los pagos deberán realizarse mediante el abono a las cuentas corrientes, de ahorros o de depósito en el Banco de la República o mediante la exp</w:t>
      </w:r>
      <w:r>
        <w:rPr>
          <w:rFonts w:ascii="Arial" w:hAnsi="Arial" w:cs="Arial"/>
          <w:lang w:val="es-CO"/>
        </w:rPr>
        <w:t>edición de cheques a los que se les incluya la restricción de "para consignar en la cuenta corriente o de ahorros del primer beneficiario". En el evento de levantarse la restricción anterior, se generará el gravamen en cabeza del cliente, inversionista o d</w:t>
      </w:r>
      <w:r>
        <w:rPr>
          <w:rFonts w:ascii="Arial" w:hAnsi="Arial" w:cs="Arial"/>
          <w:lang w:val="es-CO"/>
        </w:rPr>
        <w:t>eudor.</w:t>
      </w:r>
    </w:p>
    <w:p w14:paraId="52FB31D7" w14:textId="77777777" w:rsidR="00B2442D" w:rsidRDefault="00B2442D">
      <w:pPr>
        <w:jc w:val="both"/>
        <w:rPr>
          <w:rFonts w:ascii="Arial" w:hAnsi="Arial" w:cs="Arial"/>
          <w:lang w:val="es-CO"/>
        </w:rPr>
      </w:pPr>
    </w:p>
    <w:p w14:paraId="09B3EFE2" w14:textId="77777777" w:rsidR="00B2442D" w:rsidRDefault="008A645F">
      <w:pPr>
        <w:jc w:val="both"/>
        <w:rPr>
          <w:rFonts w:ascii="Arial" w:hAnsi="Arial" w:cs="Arial"/>
          <w:i/>
          <w:lang w:val="es-CO"/>
        </w:rPr>
      </w:pPr>
      <w:r>
        <w:rPr>
          <w:rFonts w:ascii="Arial" w:hAnsi="Arial" w:cs="Arial"/>
          <w:i/>
          <w:lang w:val="es-CO"/>
        </w:rPr>
        <w:t>(Art. 1, Decreto 660 de 2011)</w:t>
      </w:r>
      <w:r>
        <w:rPr>
          <w:rFonts w:ascii="Arial" w:hAnsi="Arial" w:cs="Arial"/>
        </w:rPr>
        <w:t xml:space="preserve"> (</w:t>
      </w:r>
      <w:r>
        <w:rPr>
          <w:rFonts w:ascii="Arial" w:hAnsi="Arial" w:cs="Arial"/>
          <w:i/>
          <w:lang w:val="es-CO"/>
        </w:rPr>
        <w:t>El Decreto 660 de 2011 rige a partir de la fecha de su publicación y deroga las disposiciones que le sean contrarias, en especial el inciso 2o del artículo 20 del Decreto 405 de 2001, el artículo 10 del Decreto 449 de</w:t>
      </w:r>
      <w:r>
        <w:rPr>
          <w:rFonts w:ascii="Arial" w:hAnsi="Arial" w:cs="Arial"/>
          <w:i/>
          <w:lang w:val="es-CO"/>
        </w:rPr>
        <w:t xml:space="preserve"> 2003 y el artículo 10 del Decreto 1797 de 2008. Art. 14, Decreto 660 de 2011)</w:t>
      </w:r>
    </w:p>
    <w:p w14:paraId="57065E5B" w14:textId="77777777" w:rsidR="00B2442D" w:rsidRDefault="00B2442D">
      <w:pPr>
        <w:jc w:val="both"/>
        <w:rPr>
          <w:rFonts w:ascii="Arial" w:hAnsi="Arial" w:cs="Arial"/>
          <w:lang w:val="es-CO"/>
        </w:rPr>
      </w:pPr>
    </w:p>
    <w:p w14:paraId="2A5EBE2C"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 xml:space="preserve">Operaciones de compensación y liquidación de valores, derivados, divisas o en bolsas de productos agropecuarios o de otros commodities. </w:t>
      </w:r>
      <w:r>
        <w:rPr>
          <w:rFonts w:ascii="Arial" w:hAnsi="Arial" w:cs="Arial"/>
          <w:lang w:val="es-CO"/>
        </w:rPr>
        <w:t>La exención prevista en el numeral 7 del</w:t>
      </w:r>
      <w:r>
        <w:rPr>
          <w:rFonts w:ascii="Arial" w:hAnsi="Arial" w:cs="Arial"/>
          <w:lang w:val="es-CO"/>
        </w:rPr>
        <w:t xml:space="preserve"> artículo 879 del Estatuto Tributario comprende la disposición de recursos en los sistemas de compensación y liquidación administrados por entidades autorizadas para tal fin, que sea necesaria para la compensación y liquidación de operaciones realizadas en</w:t>
      </w:r>
      <w:r>
        <w:rPr>
          <w:rFonts w:ascii="Arial" w:hAnsi="Arial" w:cs="Arial"/>
          <w:lang w:val="es-CO"/>
        </w:rPr>
        <w:t xml:space="preserve"> el mercado de valores, derivados, divisas o en las bolsas de productos agropecuarios o de otros </w:t>
      </w:r>
      <w:r>
        <w:rPr>
          <w:rFonts w:ascii="Arial" w:hAnsi="Arial" w:cs="Arial"/>
          <w:i/>
          <w:lang w:val="es-CO"/>
        </w:rPr>
        <w:t>commodities</w:t>
      </w:r>
      <w:r>
        <w:rPr>
          <w:rFonts w:ascii="Arial" w:hAnsi="Arial" w:cs="Arial"/>
          <w:lang w:val="es-CO"/>
        </w:rPr>
        <w:t>, que se efectúen mediante abono a la cuenta corriente o de ahorros o a la cuenta de depósito en el Banco de la República o mediante la expedición d</w:t>
      </w:r>
      <w:r>
        <w:rPr>
          <w:rFonts w:ascii="Arial" w:hAnsi="Arial" w:cs="Arial"/>
          <w:lang w:val="es-CO"/>
        </w:rPr>
        <w:t>e cheques con cruce o negociabilidad restringida en los que se incluya "para consignar en la cuenta corriente o de ahorros del primer beneficiario" a nombre de la entidad administradora, del participante autorizado en el sistema, del cliente inicial, comit</w:t>
      </w:r>
      <w:r>
        <w:rPr>
          <w:rFonts w:ascii="Arial" w:hAnsi="Arial" w:cs="Arial"/>
          <w:lang w:val="es-CO"/>
        </w:rPr>
        <w:t>ente constituyente, fideicomitente constituyente o mandante inicial.</w:t>
      </w:r>
    </w:p>
    <w:p w14:paraId="0FB27428" w14:textId="77777777" w:rsidR="00B2442D" w:rsidRDefault="00B2442D">
      <w:pPr>
        <w:jc w:val="both"/>
        <w:rPr>
          <w:rFonts w:ascii="Arial" w:hAnsi="Arial" w:cs="Arial"/>
          <w:lang w:val="es-CO"/>
        </w:rPr>
      </w:pPr>
    </w:p>
    <w:p w14:paraId="4C1ED1A9" w14:textId="77777777" w:rsidR="00B2442D" w:rsidRDefault="008A645F">
      <w:pPr>
        <w:jc w:val="both"/>
        <w:rPr>
          <w:rFonts w:ascii="Arial" w:hAnsi="Arial" w:cs="Arial"/>
          <w:lang w:val="es-CO"/>
        </w:rPr>
      </w:pPr>
      <w:r>
        <w:rPr>
          <w:rFonts w:ascii="Arial" w:hAnsi="Arial" w:cs="Arial"/>
          <w:lang w:val="es-CO"/>
        </w:rPr>
        <w:t>Esta exención también incluye la disposición de recursos que se realice para la constitución, ajuste, ejecución, devolución y liberación de garantías dentro de los sistemas de compensaci</w:t>
      </w:r>
      <w:r>
        <w:rPr>
          <w:rFonts w:ascii="Arial" w:hAnsi="Arial" w:cs="Arial"/>
          <w:lang w:val="es-CO"/>
        </w:rPr>
        <w:t>ón y liquidación administrados por entidades autorizadas para tal fin.</w:t>
      </w:r>
    </w:p>
    <w:p w14:paraId="555E23E6" w14:textId="77777777" w:rsidR="00B2442D" w:rsidRDefault="008A645F">
      <w:pPr>
        <w:jc w:val="both"/>
        <w:rPr>
          <w:rFonts w:ascii="Arial" w:hAnsi="Arial" w:cs="Arial"/>
          <w:lang w:val="es-CO"/>
        </w:rPr>
      </w:pPr>
      <w:r>
        <w:rPr>
          <w:rFonts w:ascii="Arial" w:hAnsi="Arial" w:cs="Arial"/>
          <w:lang w:val="es-CO"/>
        </w:rPr>
        <w:t xml:space="preserve"> </w:t>
      </w:r>
    </w:p>
    <w:p w14:paraId="179410CA"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el caso de los sistemas de compensación y liquidación administrados por una cámara de riesgo central de contraparte se entienden comprendidas las operaciones propias</w:t>
      </w:r>
      <w:r>
        <w:rPr>
          <w:rFonts w:ascii="Arial" w:hAnsi="Arial" w:cs="Arial"/>
          <w:lang w:val="es-CO"/>
        </w:rPr>
        <w:t xml:space="preserve"> del sistema de compensación y liquidación administradas por una cámara de riesgo central de contraparte, incluida la disposición inicial de recursos que efectúa el cliente en la operación para el cumplimiento de los flujos de liquidación parcial o diaria </w:t>
      </w:r>
      <w:r>
        <w:rPr>
          <w:rFonts w:ascii="Arial" w:hAnsi="Arial" w:cs="Arial"/>
          <w:lang w:val="es-CO"/>
        </w:rPr>
        <w:t>que se generen en virtud de la administración del sistema, así como aquellos relacionados con la constitución y ajuste de garantías y las originadas en el incumplimiento o mora de las partes que se beneficien del mismo.</w:t>
      </w:r>
    </w:p>
    <w:p w14:paraId="2654CDE1" w14:textId="77777777" w:rsidR="00B2442D" w:rsidRDefault="00B2442D">
      <w:pPr>
        <w:jc w:val="both"/>
        <w:rPr>
          <w:rFonts w:ascii="Arial" w:hAnsi="Arial" w:cs="Arial"/>
          <w:lang w:val="es-CO"/>
        </w:rPr>
      </w:pPr>
    </w:p>
    <w:p w14:paraId="1E6B08EE" w14:textId="77777777" w:rsidR="00B2442D" w:rsidRDefault="008A645F">
      <w:pPr>
        <w:jc w:val="both"/>
        <w:rPr>
          <w:rFonts w:ascii="Arial" w:hAnsi="Arial" w:cs="Arial"/>
          <w:lang w:val="es-CO"/>
        </w:rPr>
      </w:pPr>
      <w:r>
        <w:rPr>
          <w:rFonts w:ascii="Arial" w:hAnsi="Arial" w:cs="Arial"/>
          <w:lang w:val="es-CO"/>
        </w:rPr>
        <w:t>Para estos efectos, deberá identifi</w:t>
      </w:r>
      <w:r>
        <w:rPr>
          <w:rFonts w:ascii="Arial" w:hAnsi="Arial" w:cs="Arial"/>
          <w:lang w:val="es-CO"/>
        </w:rPr>
        <w:t>carse la cuenta o cuentas en la entidad financiera en la cual se manejen de manera exclusiva los recursos asociados a las operaciones a que se refiere el inciso anterior del presente parágrafo.</w:t>
      </w:r>
    </w:p>
    <w:p w14:paraId="0B426449" w14:textId="77777777" w:rsidR="00B2442D" w:rsidRDefault="00B2442D">
      <w:pPr>
        <w:jc w:val="both"/>
        <w:rPr>
          <w:rFonts w:ascii="Arial" w:hAnsi="Arial" w:cs="Arial"/>
          <w:lang w:val="es-CO"/>
        </w:rPr>
      </w:pPr>
    </w:p>
    <w:p w14:paraId="0D0E057C" w14:textId="77777777" w:rsidR="00B2442D" w:rsidRDefault="008A645F">
      <w:pPr>
        <w:jc w:val="both"/>
        <w:rPr>
          <w:rFonts w:ascii="Arial" w:hAnsi="Arial" w:cs="Arial"/>
          <w:lang w:val="es-CO"/>
        </w:rPr>
      </w:pPr>
      <w:r>
        <w:rPr>
          <w:rFonts w:ascii="Arial" w:hAnsi="Arial" w:cs="Arial"/>
          <w:lang w:val="es-CO"/>
        </w:rPr>
        <w:t>No se considera comprendida dentro de este parágrafo la dispo</w:t>
      </w:r>
      <w:r>
        <w:rPr>
          <w:rFonts w:ascii="Arial" w:hAnsi="Arial" w:cs="Arial"/>
          <w:lang w:val="es-CO"/>
        </w:rPr>
        <w:t>sición de recursos por fuera del sistema por parte del beneficiario efectivo, una vez se le pague o abone la utilidad derivada de la operación.</w:t>
      </w:r>
    </w:p>
    <w:p w14:paraId="6DF52C07" w14:textId="77777777" w:rsidR="00B2442D" w:rsidRDefault="00B2442D">
      <w:pPr>
        <w:jc w:val="both"/>
        <w:rPr>
          <w:rFonts w:ascii="Arial" w:hAnsi="Arial" w:cs="Arial"/>
          <w:lang w:val="es-CO"/>
        </w:rPr>
      </w:pPr>
    </w:p>
    <w:p w14:paraId="71A6FB68"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En ningún caso la exención referida en este artículo comprende los desembolsos o pagos a terceros,</w:t>
      </w:r>
      <w:r>
        <w:rPr>
          <w:rFonts w:ascii="Arial" w:hAnsi="Arial" w:cs="Arial"/>
          <w:lang w:val="es-CO"/>
        </w:rPr>
        <w:t xml:space="preserve"> mandatarios, o diputados para el cobro y/o el pago a cualquier título por cuenta del cliente por conceptos tales como nómina, servicios, proveedores, adquisición de bienes o cualquier cumplimiento de obligaciones distintas a las propias que surjan de la c</w:t>
      </w:r>
      <w:r>
        <w:rPr>
          <w:rFonts w:ascii="Arial" w:hAnsi="Arial" w:cs="Arial"/>
          <w:lang w:val="es-CO"/>
        </w:rPr>
        <w:t>ompensación y liquidación en el sistema autorizado.</w:t>
      </w:r>
    </w:p>
    <w:p w14:paraId="2E07B028" w14:textId="77777777" w:rsidR="00B2442D" w:rsidRDefault="00B2442D">
      <w:pPr>
        <w:jc w:val="both"/>
        <w:rPr>
          <w:rFonts w:ascii="Arial" w:hAnsi="Arial" w:cs="Arial"/>
          <w:lang w:val="es-CO"/>
        </w:rPr>
      </w:pPr>
    </w:p>
    <w:p w14:paraId="77FDAD3E" w14:textId="77777777" w:rsidR="00B2442D" w:rsidRDefault="008A645F">
      <w:pPr>
        <w:jc w:val="both"/>
        <w:rPr>
          <w:rFonts w:ascii="Arial" w:hAnsi="Arial" w:cs="Arial"/>
          <w:lang w:val="es-CO"/>
        </w:rPr>
      </w:pPr>
      <w:r>
        <w:rPr>
          <w:rFonts w:ascii="Arial" w:hAnsi="Arial" w:cs="Arial"/>
          <w:lang w:val="es-CO"/>
        </w:rPr>
        <w:t>De igual forma no procede la exención cuando la adquisición de títulos objeto de compensación y liquidación o venta, implique directa o indirectamente la extinción de obligaciones del adquirente, constit</w:t>
      </w:r>
      <w:r>
        <w:rPr>
          <w:rFonts w:ascii="Arial" w:hAnsi="Arial" w:cs="Arial"/>
          <w:lang w:val="es-CO"/>
        </w:rPr>
        <w:t>uyente, o cualquier otro proveedor de bienes o servicios que intervenga en la adquisición, modificación o transformación del bien o bienes objeto de la compensación y liquidación así sea cliente del mismo comisionista o administrador de valores.</w:t>
      </w:r>
    </w:p>
    <w:p w14:paraId="59EC2500" w14:textId="77777777" w:rsidR="00B2442D" w:rsidRDefault="00B2442D">
      <w:pPr>
        <w:jc w:val="both"/>
        <w:rPr>
          <w:rFonts w:ascii="Arial" w:hAnsi="Arial" w:cs="Arial"/>
          <w:lang w:val="es-CO"/>
        </w:rPr>
      </w:pPr>
    </w:p>
    <w:p w14:paraId="5354460B" w14:textId="77777777" w:rsidR="00B2442D" w:rsidRDefault="008A645F">
      <w:pPr>
        <w:jc w:val="both"/>
        <w:rPr>
          <w:rFonts w:ascii="Arial" w:hAnsi="Arial" w:cs="Arial"/>
          <w:i/>
          <w:lang w:val="es-CO"/>
        </w:rPr>
      </w:pPr>
      <w:r>
        <w:rPr>
          <w:rFonts w:ascii="Arial" w:hAnsi="Arial" w:cs="Arial"/>
          <w:i/>
          <w:lang w:val="es-CO"/>
        </w:rPr>
        <w:t xml:space="preserve">(Art. 2, </w:t>
      </w:r>
      <w:r>
        <w:rPr>
          <w:rFonts w:ascii="Arial" w:hAnsi="Arial" w:cs="Arial"/>
          <w:i/>
          <w:lang w:val="es-CO"/>
        </w:rPr>
        <w:t>Decreto 660 de 2011)</w:t>
      </w:r>
      <w:r>
        <w:rPr>
          <w:rFonts w:ascii="Arial" w:hAnsi="Arial" w:cs="Arial"/>
        </w:rPr>
        <w:t xml:space="preserve"> </w:t>
      </w:r>
      <w:r>
        <w:rPr>
          <w:rFonts w:ascii="Arial" w:hAnsi="Arial" w:cs="Arial"/>
          <w:i/>
          <w:lang w:val="es-CO"/>
        </w:rPr>
        <w:t>(El Decreto 660 de 2011 rige a partir de la fecha de su publicación y deroga las disposiciones que le sean contrarias, en especial el inciso 2o del artículo 20 del Decreto 405 de 2001, el artículo 10 del Decreto 449 de 2003 y el artícu</w:t>
      </w:r>
      <w:r>
        <w:rPr>
          <w:rFonts w:ascii="Arial" w:hAnsi="Arial" w:cs="Arial"/>
          <w:i/>
          <w:lang w:val="es-CO"/>
        </w:rPr>
        <w:t>lo 10 del Decreto 1797 de 2008. Art. 14, Decreto 660 de 2011)</w:t>
      </w:r>
    </w:p>
    <w:p w14:paraId="630FF40D" w14:textId="77777777" w:rsidR="00B2442D" w:rsidRDefault="00B2442D">
      <w:pPr>
        <w:jc w:val="both"/>
        <w:rPr>
          <w:rFonts w:ascii="Arial" w:hAnsi="Arial" w:cs="Arial"/>
          <w:lang w:val="es-CO"/>
        </w:rPr>
      </w:pPr>
    </w:p>
    <w:p w14:paraId="761291AD"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Desembolsos de crédito.</w:t>
      </w:r>
      <w:r>
        <w:rPr>
          <w:rFonts w:ascii="Arial" w:hAnsi="Arial" w:cs="Arial"/>
          <w:lang w:val="es-CO"/>
        </w:rPr>
        <w:t xml:space="preserve"> Para efectos de la exención establecida en el numeral 11 del artículo 879 del Estatuto Tributario, se entenderá como una sola operación el desembolso del crédito y las operaciones necesarias para acreditar los recursos en la cuenta del deudor incluyendo e</w:t>
      </w:r>
      <w:r>
        <w:rPr>
          <w:rFonts w:ascii="Arial" w:hAnsi="Arial" w:cs="Arial"/>
          <w:lang w:val="es-CO"/>
        </w:rPr>
        <w:t>l débito a la cuenta de depósito en el Banco de la República realizadas por los establecimientos de crédito y las entidades vigiladas por la Superintendencia de Economía Solidaria.</w:t>
      </w:r>
    </w:p>
    <w:p w14:paraId="416B9CD3" w14:textId="77777777" w:rsidR="00B2442D" w:rsidRDefault="00B2442D">
      <w:pPr>
        <w:jc w:val="both"/>
        <w:rPr>
          <w:rFonts w:ascii="Arial" w:hAnsi="Arial" w:cs="Arial"/>
          <w:lang w:val="es-CO"/>
        </w:rPr>
      </w:pPr>
    </w:p>
    <w:p w14:paraId="586C119C" w14:textId="77777777" w:rsidR="00B2442D" w:rsidRDefault="008A645F">
      <w:pPr>
        <w:jc w:val="both"/>
        <w:rPr>
          <w:rFonts w:ascii="Arial" w:hAnsi="Arial" w:cs="Arial"/>
          <w:lang w:val="es-CO"/>
        </w:rPr>
      </w:pPr>
      <w:r>
        <w:rPr>
          <w:rFonts w:ascii="Arial" w:hAnsi="Arial" w:cs="Arial"/>
          <w:lang w:val="es-CO"/>
        </w:rPr>
        <w:t xml:space="preserve">Para la procedencia de la exención será requisito abonar efectivamente el </w:t>
      </w:r>
      <w:r>
        <w:rPr>
          <w:rFonts w:ascii="Arial" w:hAnsi="Arial" w:cs="Arial"/>
          <w:lang w:val="es-CO"/>
        </w:rPr>
        <w:t>producto del crédito en una cuenta corriente, de ahorros o en la cuenta de depósito del Banco de la República que pertenezcan al beneficiario del mismo.</w:t>
      </w:r>
    </w:p>
    <w:p w14:paraId="44EC6809" w14:textId="77777777" w:rsidR="00B2442D" w:rsidRDefault="00B2442D">
      <w:pPr>
        <w:jc w:val="both"/>
        <w:rPr>
          <w:rFonts w:ascii="Arial" w:hAnsi="Arial" w:cs="Arial"/>
          <w:lang w:val="es-CO"/>
        </w:rPr>
      </w:pPr>
    </w:p>
    <w:p w14:paraId="3C5FFD5B" w14:textId="77777777" w:rsidR="00B2442D" w:rsidRDefault="008A645F">
      <w:pPr>
        <w:jc w:val="both"/>
        <w:rPr>
          <w:rFonts w:ascii="Arial" w:hAnsi="Arial" w:cs="Arial"/>
          <w:lang w:val="es-CO"/>
        </w:rPr>
      </w:pPr>
      <w:r>
        <w:rPr>
          <w:rFonts w:ascii="Arial" w:hAnsi="Arial" w:cs="Arial"/>
          <w:lang w:val="es-CO"/>
        </w:rPr>
        <w:t>Esta exención cobija igualmente los desembolsos de crédito mediante operaciones de descuento y redescuento, así como los pagos que efectúen las entidades intermediarias a las de descuento, los cuales se entenderán realizados al beneficiario del crédito. De</w:t>
      </w:r>
      <w:r>
        <w:rPr>
          <w:rFonts w:ascii="Arial" w:hAnsi="Arial" w:cs="Arial"/>
          <w:lang w:val="es-CO"/>
        </w:rPr>
        <w:t xml:space="preserve"> igual manera cobija los contratos de </w:t>
      </w:r>
      <w:r>
        <w:rPr>
          <w:rFonts w:ascii="Arial" w:hAnsi="Arial" w:cs="Arial"/>
          <w:i/>
          <w:lang w:val="es-CO"/>
        </w:rPr>
        <w:t>factoring</w:t>
      </w:r>
      <w:r>
        <w:rPr>
          <w:rFonts w:ascii="Arial" w:hAnsi="Arial" w:cs="Arial"/>
          <w:lang w:val="es-CO"/>
        </w:rPr>
        <w:t xml:space="preserve"> - compra o descuento de cartera, o descuento de contratos -cuando el factor sea una entidad vigilada por la Superintendencia Financiera de Colombia y/o de Economía Solidaria.</w:t>
      </w:r>
    </w:p>
    <w:p w14:paraId="49876EF7" w14:textId="77777777" w:rsidR="00B2442D" w:rsidRDefault="00B2442D">
      <w:pPr>
        <w:jc w:val="both"/>
        <w:rPr>
          <w:rFonts w:ascii="Arial" w:hAnsi="Arial" w:cs="Arial"/>
          <w:lang w:val="es-CO"/>
        </w:rPr>
      </w:pPr>
    </w:p>
    <w:p w14:paraId="6BB8CA93" w14:textId="77777777" w:rsidR="00B2442D" w:rsidRDefault="008A645F">
      <w:pPr>
        <w:jc w:val="both"/>
        <w:rPr>
          <w:rFonts w:ascii="Arial" w:hAnsi="Arial" w:cs="Arial"/>
          <w:lang w:val="es-CO"/>
        </w:rPr>
      </w:pPr>
      <w:r>
        <w:rPr>
          <w:rFonts w:ascii="Arial" w:hAnsi="Arial" w:cs="Arial"/>
          <w:lang w:val="es-CO"/>
        </w:rPr>
        <w:t xml:space="preserve">Cuando el desembolso de crédito </w:t>
      </w:r>
      <w:r>
        <w:rPr>
          <w:rFonts w:ascii="Arial" w:hAnsi="Arial" w:cs="Arial"/>
          <w:lang w:val="es-CO"/>
        </w:rPr>
        <w:t>sea gravado el agente retenedor será la entidad que otorga el crédito.</w:t>
      </w:r>
    </w:p>
    <w:p w14:paraId="2B40693B" w14:textId="77777777" w:rsidR="00B2442D" w:rsidRDefault="00B2442D">
      <w:pPr>
        <w:jc w:val="both"/>
        <w:rPr>
          <w:rFonts w:ascii="Arial" w:hAnsi="Arial" w:cs="Arial"/>
          <w:lang w:val="es-CO"/>
        </w:rPr>
      </w:pPr>
    </w:p>
    <w:p w14:paraId="6111D1C6"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Esta exención cobija las subrogaciones, novación y reestructuración de un crédito, cuyo desembolso se entenderá abonado a la cuenta del deudor. La totalidad de los registr</w:t>
      </w:r>
      <w:r>
        <w:rPr>
          <w:rFonts w:ascii="Arial" w:hAnsi="Arial" w:cs="Arial"/>
          <w:lang w:val="es-CO"/>
        </w:rPr>
        <w:t>os para la contabilización de estas operaciones, conforman una sola operación.</w:t>
      </w:r>
    </w:p>
    <w:p w14:paraId="03A994DD" w14:textId="77777777" w:rsidR="00B2442D" w:rsidRDefault="00B2442D">
      <w:pPr>
        <w:jc w:val="both"/>
        <w:rPr>
          <w:rFonts w:ascii="Arial" w:hAnsi="Arial" w:cs="Arial"/>
          <w:lang w:val="es-CO"/>
        </w:rPr>
      </w:pPr>
    </w:p>
    <w:p w14:paraId="1BC0A666"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desembolsos de crédito en divisas no causan el Gravamen a los Movimientos Financieros.</w:t>
      </w:r>
    </w:p>
    <w:p w14:paraId="48BC4ECD" w14:textId="77777777" w:rsidR="00B2442D" w:rsidRDefault="00B2442D">
      <w:pPr>
        <w:jc w:val="both"/>
        <w:rPr>
          <w:rFonts w:ascii="Arial" w:hAnsi="Arial" w:cs="Arial"/>
          <w:lang w:val="es-CO"/>
        </w:rPr>
      </w:pPr>
    </w:p>
    <w:p w14:paraId="7B27EDB4" w14:textId="77777777" w:rsidR="00B2442D" w:rsidRDefault="008A645F">
      <w:pPr>
        <w:jc w:val="both"/>
        <w:rPr>
          <w:rFonts w:ascii="Arial" w:hAnsi="Arial" w:cs="Arial"/>
          <w:lang w:val="es-CO"/>
        </w:rPr>
      </w:pPr>
      <w:r>
        <w:rPr>
          <w:rFonts w:ascii="Arial" w:hAnsi="Arial" w:cs="Arial"/>
          <w:i/>
          <w:lang w:val="es-CO"/>
        </w:rPr>
        <w:t>(Art. 4, Decreto 660 de 2011)</w:t>
      </w:r>
      <w:r>
        <w:rPr>
          <w:rFonts w:ascii="Arial" w:hAnsi="Arial" w:cs="Arial"/>
        </w:rPr>
        <w:t xml:space="preserve"> </w:t>
      </w:r>
      <w:r>
        <w:rPr>
          <w:rFonts w:ascii="Arial" w:hAnsi="Arial" w:cs="Arial"/>
          <w:i/>
          <w:lang w:val="es-CO"/>
        </w:rPr>
        <w:t xml:space="preserve">(El Decreto 660 de 2011 rige a partir de </w:t>
      </w:r>
      <w:r>
        <w:rPr>
          <w:rFonts w:ascii="Arial" w:hAnsi="Arial" w:cs="Arial"/>
          <w:i/>
          <w:lang w:val="es-CO"/>
        </w:rPr>
        <w:t>la fecha de su publicación y deroga las disposiciones que le sean contrarias, en especial el inciso 2o del artículo 20 del Decreto 405 de 2001, el artículo 10 del Decreto 449 de 2003 y el artículo 10 del Decreto 1797 de 2008. Art. 14, Decreto 660 de 2011)</w:t>
      </w:r>
    </w:p>
    <w:p w14:paraId="45D70D6C" w14:textId="77777777" w:rsidR="00B2442D" w:rsidRDefault="00B2442D">
      <w:pPr>
        <w:jc w:val="both"/>
        <w:rPr>
          <w:rFonts w:ascii="Arial" w:hAnsi="Arial" w:cs="Arial"/>
          <w:b/>
          <w:i/>
          <w:lang w:val="es-CO"/>
        </w:rPr>
      </w:pPr>
    </w:p>
    <w:p w14:paraId="662ACBF6"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Desembolsos de crédito a terceros.</w:t>
      </w:r>
      <w:r>
        <w:rPr>
          <w:rFonts w:ascii="Arial" w:hAnsi="Arial" w:cs="Arial"/>
          <w:lang w:val="es-CO"/>
        </w:rPr>
        <w:t xml:space="preserve"> Para efectos de la aplicación de la exención indicada en el numeral 11 del artículo 879 del Estatuto Tributario, cuando se solicite el desembolso a terceros para adquisición de vivienda nueva o usada o para construcción </w:t>
      </w:r>
      <w:r>
        <w:rPr>
          <w:rFonts w:ascii="Arial" w:hAnsi="Arial" w:cs="Arial"/>
          <w:lang w:val="es-CO"/>
        </w:rPr>
        <w:t>de vivienda individual, vehículos o activos fijos, el deudor deberá manifestar a quien le otorga el crédito a través de medio electrónico o físico, el destino del crédito y que su actividad no es la comercialización de los bienes.</w:t>
      </w:r>
    </w:p>
    <w:p w14:paraId="12DF9382" w14:textId="77777777" w:rsidR="00B2442D" w:rsidRDefault="00B2442D">
      <w:pPr>
        <w:jc w:val="both"/>
        <w:rPr>
          <w:rFonts w:ascii="Arial" w:hAnsi="Arial" w:cs="Arial"/>
          <w:lang w:val="es-CO"/>
        </w:rPr>
      </w:pPr>
    </w:p>
    <w:p w14:paraId="262A8E5C" w14:textId="77777777" w:rsidR="00B2442D" w:rsidRDefault="008A645F">
      <w:pPr>
        <w:jc w:val="both"/>
        <w:rPr>
          <w:rFonts w:ascii="Arial" w:hAnsi="Arial" w:cs="Arial"/>
          <w:lang w:val="es-CO"/>
        </w:rPr>
      </w:pPr>
      <w:r>
        <w:rPr>
          <w:rFonts w:ascii="Arial" w:hAnsi="Arial" w:cs="Arial"/>
          <w:lang w:val="es-CO"/>
        </w:rPr>
        <w:t>Para estos efectos el de</w:t>
      </w:r>
      <w:r>
        <w:rPr>
          <w:rFonts w:ascii="Arial" w:hAnsi="Arial" w:cs="Arial"/>
          <w:lang w:val="es-CO"/>
        </w:rPr>
        <w:t>sembolso deberá realizarse mediante abono a la cuenta corriente o de ahorros o a la cuenta de Deposito en el Banco de la República del tercero que provee la vivienda, el vehículo o el activo fijo o mediante la expedición de cheque a favor de estos en los q</w:t>
      </w:r>
      <w:r>
        <w:rPr>
          <w:rFonts w:ascii="Arial" w:hAnsi="Arial" w:cs="Arial"/>
          <w:lang w:val="es-CO"/>
        </w:rPr>
        <w:t>ue se incluya la restricción "para consignar en cuenta corriente o de ahorros del primer beneficiario".</w:t>
      </w:r>
    </w:p>
    <w:p w14:paraId="49A438BC" w14:textId="77777777" w:rsidR="00B2442D" w:rsidRDefault="00B2442D">
      <w:pPr>
        <w:jc w:val="both"/>
        <w:rPr>
          <w:rFonts w:ascii="Arial" w:hAnsi="Arial" w:cs="Arial"/>
          <w:lang w:val="es-CO"/>
        </w:rPr>
      </w:pPr>
    </w:p>
    <w:p w14:paraId="3C2171EB"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Los desembolsos de créditos abonados y/o cancelados el mismo día total o parcialmente están gravados conforme con las reglas generales, sa</w:t>
      </w:r>
      <w:r>
        <w:rPr>
          <w:rFonts w:ascii="Arial" w:hAnsi="Arial" w:cs="Arial"/>
          <w:lang w:val="es-CO"/>
        </w:rPr>
        <w:t>lvo las operaciones de crédito exentas en los términos del artículo 879 del Estatuto Tributario.</w:t>
      </w:r>
    </w:p>
    <w:p w14:paraId="6A1C143E" w14:textId="77777777" w:rsidR="00B2442D" w:rsidRDefault="00B2442D">
      <w:pPr>
        <w:jc w:val="both"/>
        <w:rPr>
          <w:rFonts w:ascii="Arial" w:hAnsi="Arial" w:cs="Arial"/>
          <w:lang w:val="es-CO"/>
        </w:rPr>
      </w:pPr>
    </w:p>
    <w:p w14:paraId="5241807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Esta exención cobija las subrogaciones, novación y reestructuración de un crédito, cuyo desembolso se entenderá abonado a la cuenta del deudor. L</w:t>
      </w:r>
      <w:r>
        <w:rPr>
          <w:rFonts w:ascii="Arial" w:hAnsi="Arial" w:cs="Arial"/>
          <w:lang w:val="es-CO"/>
        </w:rPr>
        <w:t>a totalidad de los registros para la contabilización de estas operaciones, conforman una sola operación.</w:t>
      </w:r>
    </w:p>
    <w:p w14:paraId="35EB1FD1" w14:textId="77777777" w:rsidR="00B2442D" w:rsidRDefault="00B2442D">
      <w:pPr>
        <w:jc w:val="both"/>
        <w:rPr>
          <w:rFonts w:ascii="Arial" w:hAnsi="Arial" w:cs="Arial"/>
          <w:lang w:val="es-CO"/>
        </w:rPr>
      </w:pPr>
    </w:p>
    <w:p w14:paraId="183057B1" w14:textId="77777777" w:rsidR="00B2442D" w:rsidRDefault="008A645F">
      <w:pPr>
        <w:jc w:val="both"/>
        <w:rPr>
          <w:rFonts w:ascii="Arial" w:hAnsi="Arial" w:cs="Arial"/>
          <w:lang w:val="es-CO"/>
        </w:rPr>
      </w:pPr>
      <w:r>
        <w:rPr>
          <w:rFonts w:ascii="Arial" w:hAnsi="Arial" w:cs="Arial"/>
          <w:i/>
          <w:lang w:val="es-CO"/>
        </w:rPr>
        <w:t>(Art. 5, Decreto 660 de 2011)</w:t>
      </w:r>
      <w:r>
        <w:rPr>
          <w:rFonts w:ascii="Arial" w:hAnsi="Arial" w:cs="Arial"/>
        </w:rPr>
        <w:t xml:space="preserve"> </w:t>
      </w:r>
      <w:r>
        <w:rPr>
          <w:rFonts w:ascii="Arial" w:hAnsi="Arial" w:cs="Arial"/>
          <w:i/>
          <w:lang w:val="es-CO"/>
        </w:rPr>
        <w:t>(El Decreto 660 de 2011 rige a partir de la fecha de su publicación y deroga las disposiciones que le sean contrarias, e</w:t>
      </w:r>
      <w:r>
        <w:rPr>
          <w:rFonts w:ascii="Arial" w:hAnsi="Arial" w:cs="Arial"/>
          <w:i/>
          <w:lang w:val="es-CO"/>
        </w:rPr>
        <w:t>n especial el inciso 2o del artículo 20 del Decreto 405 de 2001, el artículo 10 del Decreto 449 de 2003 y el artículo 10 del Decreto 1797 de 2008. Art. 14, Decreto 660 de 2011)</w:t>
      </w:r>
    </w:p>
    <w:p w14:paraId="11A0CEB6" w14:textId="77777777" w:rsidR="00B2442D" w:rsidRDefault="00B2442D">
      <w:pPr>
        <w:jc w:val="both"/>
        <w:rPr>
          <w:rFonts w:ascii="Arial" w:hAnsi="Arial" w:cs="Arial"/>
          <w:lang w:val="es-CO"/>
        </w:rPr>
      </w:pPr>
    </w:p>
    <w:p w14:paraId="6126D270"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Desembolsos de las compañías de financiamiento o bancos</w:t>
      </w:r>
      <w:r>
        <w:rPr>
          <w:rFonts w:ascii="Arial" w:hAnsi="Arial" w:cs="Arial"/>
          <w:lang w:val="es-CO"/>
        </w:rPr>
        <w:t>. Los desembolsos efect</w:t>
      </w:r>
      <w:r>
        <w:rPr>
          <w:rFonts w:ascii="Arial" w:hAnsi="Arial" w:cs="Arial"/>
          <w:lang w:val="es-CO"/>
        </w:rPr>
        <w:t xml:space="preserve">uados por las compañías de financiamiento o bancos para el pago a los comercializadores de bienes que serán entregados a terceros mediante contratos de </w:t>
      </w:r>
      <w:r>
        <w:rPr>
          <w:rFonts w:ascii="Arial" w:hAnsi="Arial" w:cs="Arial"/>
          <w:i/>
          <w:lang w:val="es-CO"/>
        </w:rPr>
        <w:t>leasing</w:t>
      </w:r>
      <w:r>
        <w:rPr>
          <w:rFonts w:ascii="Arial" w:hAnsi="Arial" w:cs="Arial"/>
          <w:lang w:val="es-CO"/>
        </w:rPr>
        <w:t xml:space="preserve"> financiero con opción de compra, deberán cumplir con los siguientes requisitos:</w:t>
      </w:r>
    </w:p>
    <w:p w14:paraId="296406FA" w14:textId="77777777" w:rsidR="00B2442D" w:rsidRDefault="00B2442D">
      <w:pPr>
        <w:jc w:val="both"/>
        <w:rPr>
          <w:rFonts w:ascii="Arial" w:hAnsi="Arial" w:cs="Arial"/>
          <w:lang w:val="es-CO"/>
        </w:rPr>
      </w:pPr>
    </w:p>
    <w:p w14:paraId="7D6C7B0F"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Que el locat</w:t>
      </w:r>
      <w:r>
        <w:rPr>
          <w:rFonts w:ascii="Arial" w:hAnsi="Arial" w:cs="Arial"/>
          <w:lang w:val="es-CO"/>
        </w:rPr>
        <w:t>ario o deudor por medio electrónico o físico autorice a la compañía de financiamiento o banco el desembolso al comercializador de los bienes;</w:t>
      </w:r>
    </w:p>
    <w:p w14:paraId="45B9F146" w14:textId="77777777" w:rsidR="00B2442D" w:rsidRDefault="00B2442D">
      <w:pPr>
        <w:ind w:left="284" w:hanging="284"/>
        <w:jc w:val="both"/>
        <w:rPr>
          <w:rFonts w:ascii="Arial" w:hAnsi="Arial" w:cs="Arial"/>
          <w:lang w:val="es-CO"/>
        </w:rPr>
      </w:pPr>
    </w:p>
    <w:p w14:paraId="0969E9F8"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Que el desembolso para la adquisición del bien se efectúe mediante abono directo en la cuenta corriente o de a</w:t>
      </w:r>
      <w:r>
        <w:rPr>
          <w:rFonts w:ascii="Arial" w:hAnsi="Arial" w:cs="Arial"/>
          <w:lang w:val="es-CO"/>
        </w:rPr>
        <w:t>horros del comercializador de los bienes. Si el desembolso se realiza mediante cheque, la(s) compañía(s) de financiamiento o banco(s) deberán imponer sobre el mismo la leyenda "para consignar en cuenta corriente o de ahorros del primer beneficiario". En el</w:t>
      </w:r>
      <w:r>
        <w:rPr>
          <w:rFonts w:ascii="Arial" w:hAnsi="Arial" w:cs="Arial"/>
          <w:lang w:val="es-CO"/>
        </w:rPr>
        <w:t xml:space="preserve"> evento de levantarse la restricción anterior, se generará el gravamen en cabeza del comercializador;</w:t>
      </w:r>
    </w:p>
    <w:p w14:paraId="3F4172E9" w14:textId="77777777" w:rsidR="00B2442D" w:rsidRDefault="00B2442D">
      <w:pPr>
        <w:ind w:left="284" w:hanging="284"/>
        <w:jc w:val="both"/>
        <w:rPr>
          <w:rFonts w:ascii="Arial" w:hAnsi="Arial" w:cs="Arial"/>
          <w:lang w:val="es-CO"/>
        </w:rPr>
      </w:pPr>
    </w:p>
    <w:p w14:paraId="4CE227BD"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Que la(s) compañía(s) de financiamiento o banco(s) tenga(n) a disposición de la Unidad Administrativa Especial Dirección de Impuestos y Aduanas </w:t>
      </w:r>
      <w:r>
        <w:rPr>
          <w:rFonts w:ascii="Arial" w:hAnsi="Arial" w:cs="Arial"/>
          <w:lang w:val="es-CO"/>
        </w:rPr>
        <w:t>Nacionales- DIAN, para fines de control, los contratos y soportes en donde conste el desembolso de los recursos a los comercializadores de los bienes, la utilización de los mismos y la autorización indicada en el literal a) de este artículo.</w:t>
      </w:r>
    </w:p>
    <w:p w14:paraId="1B1B685C" w14:textId="77777777" w:rsidR="00B2442D" w:rsidRDefault="00B2442D">
      <w:pPr>
        <w:jc w:val="both"/>
        <w:rPr>
          <w:rFonts w:ascii="Arial" w:hAnsi="Arial" w:cs="Arial"/>
          <w:lang w:val="es-CO"/>
        </w:rPr>
      </w:pPr>
    </w:p>
    <w:p w14:paraId="057F5E1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w:t>
      </w:r>
      <w:r>
        <w:rPr>
          <w:rFonts w:ascii="Arial" w:hAnsi="Arial" w:cs="Arial"/>
          <w:lang w:val="es-CO"/>
        </w:rPr>
        <w:t>Para efectos de lo establecido en el inciso 3° del numeral 11 del artículo 879 del Estatuto Tributario, se entiende como una sola operación los débitos contables imputables a la transacción y los desembolsos efectuados por las compañías de financiamiento y</w:t>
      </w:r>
      <w:r>
        <w:rPr>
          <w:rFonts w:ascii="Arial" w:hAnsi="Arial" w:cs="Arial"/>
          <w:lang w:val="es-CO"/>
        </w:rPr>
        <w:t xml:space="preserve"> los bancos por concepto de pagos y anticipos que se realicen a los comercializadores de bienes y que integren el costo de los activos que serán entregados a terceros mediante contratos de </w:t>
      </w:r>
      <w:r>
        <w:rPr>
          <w:rFonts w:ascii="Arial" w:hAnsi="Arial" w:cs="Arial"/>
          <w:i/>
          <w:lang w:val="es-CO"/>
        </w:rPr>
        <w:t>leasing</w:t>
      </w:r>
      <w:r>
        <w:rPr>
          <w:rFonts w:ascii="Arial" w:hAnsi="Arial" w:cs="Arial"/>
          <w:lang w:val="es-CO"/>
        </w:rPr>
        <w:t xml:space="preserve"> financiero con opción de compra.</w:t>
      </w:r>
    </w:p>
    <w:p w14:paraId="0248D1C7" w14:textId="77777777" w:rsidR="00B2442D" w:rsidRDefault="00B2442D">
      <w:pPr>
        <w:jc w:val="both"/>
        <w:rPr>
          <w:rFonts w:ascii="Arial" w:hAnsi="Arial" w:cs="Arial"/>
          <w:lang w:val="es-CO"/>
        </w:rPr>
      </w:pPr>
    </w:p>
    <w:p w14:paraId="3EA46EB9"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anterior </w:t>
      </w:r>
      <w:r>
        <w:rPr>
          <w:rFonts w:ascii="Arial" w:hAnsi="Arial" w:cs="Arial"/>
          <w:lang w:val="es-CO"/>
        </w:rPr>
        <w:t xml:space="preserve">exención cobija los contratos de </w:t>
      </w:r>
      <w:r>
        <w:rPr>
          <w:rFonts w:ascii="Arial" w:hAnsi="Arial" w:cs="Arial"/>
          <w:i/>
          <w:lang w:val="es-CO"/>
        </w:rPr>
        <w:t>leasing</w:t>
      </w:r>
      <w:r>
        <w:rPr>
          <w:rFonts w:ascii="Arial" w:hAnsi="Arial" w:cs="Arial"/>
          <w:lang w:val="es-CO"/>
        </w:rPr>
        <w:t xml:space="preserve"> financiero con opción de compra en los que el locatario sea quien provee el bien.</w:t>
      </w:r>
    </w:p>
    <w:p w14:paraId="45388839" w14:textId="77777777" w:rsidR="00B2442D" w:rsidRDefault="00B2442D">
      <w:pPr>
        <w:jc w:val="both"/>
        <w:rPr>
          <w:rFonts w:ascii="Arial" w:hAnsi="Arial" w:cs="Arial"/>
          <w:i/>
          <w:lang w:val="es-CO"/>
        </w:rPr>
      </w:pPr>
    </w:p>
    <w:p w14:paraId="24CEDB75" w14:textId="77777777" w:rsidR="00B2442D" w:rsidRDefault="008A645F">
      <w:pPr>
        <w:jc w:val="both"/>
        <w:rPr>
          <w:rFonts w:ascii="Arial" w:hAnsi="Arial" w:cs="Arial"/>
          <w:lang w:val="es-CO"/>
        </w:rPr>
      </w:pPr>
      <w:r>
        <w:rPr>
          <w:rFonts w:ascii="Arial" w:hAnsi="Arial" w:cs="Arial"/>
          <w:i/>
          <w:lang w:val="es-CO"/>
        </w:rPr>
        <w:t>(Art. 6, Decreto 660 de 2011)</w:t>
      </w:r>
      <w:r>
        <w:rPr>
          <w:rFonts w:ascii="Arial" w:hAnsi="Arial" w:cs="Arial"/>
        </w:rPr>
        <w:t xml:space="preserve"> </w:t>
      </w:r>
      <w:r>
        <w:rPr>
          <w:rFonts w:ascii="Arial" w:hAnsi="Arial" w:cs="Arial"/>
          <w:i/>
          <w:lang w:val="es-CO"/>
        </w:rPr>
        <w:t xml:space="preserve">(El Decreto 660 de 2011 rige a partir de la fecha de su publicación y deroga las disposiciones que le </w:t>
      </w:r>
      <w:r>
        <w:rPr>
          <w:rFonts w:ascii="Arial" w:hAnsi="Arial" w:cs="Arial"/>
          <w:i/>
          <w:lang w:val="es-CO"/>
        </w:rPr>
        <w:t>sean contrarias, en especial el inciso 2o del artículo 20 del Decreto 405 de 2001, el artículo 10 del Decreto 449 de 2003 y el artículo 10 del Decreto 1797 de 2008. Art. 14, Decreto 660 de 2011)</w:t>
      </w:r>
    </w:p>
    <w:p w14:paraId="2EC5EECC" w14:textId="77777777" w:rsidR="00B2442D" w:rsidRDefault="00B2442D">
      <w:pPr>
        <w:jc w:val="both"/>
        <w:rPr>
          <w:rFonts w:ascii="Arial" w:hAnsi="Arial" w:cs="Arial"/>
          <w:lang w:val="es-CO"/>
        </w:rPr>
      </w:pPr>
    </w:p>
    <w:p w14:paraId="7A66D309"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Inversiones o portafolios.</w:t>
      </w:r>
      <w:r>
        <w:rPr>
          <w:rFonts w:ascii="Arial" w:hAnsi="Arial" w:cs="Arial"/>
          <w:lang w:val="es-CO"/>
        </w:rPr>
        <w:t xml:space="preserve"> Para efectos de la exención del G</w:t>
      </w:r>
      <w:r>
        <w:rPr>
          <w:rFonts w:ascii="Arial" w:hAnsi="Arial" w:cs="Arial"/>
          <w:lang w:val="es-CO"/>
        </w:rPr>
        <w:t xml:space="preserve">ravamen a los movimientos financieros de que trata el numeral 14 del artículo 879 del Estatuto Tributario, se entienden como inversiones: </w:t>
      </w:r>
    </w:p>
    <w:p w14:paraId="55BAF2AF" w14:textId="77777777" w:rsidR="00B2442D" w:rsidRDefault="00B2442D">
      <w:pPr>
        <w:jc w:val="both"/>
        <w:rPr>
          <w:rFonts w:ascii="Arial" w:hAnsi="Arial" w:cs="Arial"/>
          <w:lang w:val="es-CO"/>
        </w:rPr>
      </w:pPr>
    </w:p>
    <w:p w14:paraId="7FFD0B7F"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r>
      <w:r>
        <w:rPr>
          <w:rFonts w:ascii="Arial" w:hAnsi="Arial" w:cs="Arial"/>
          <w:lang w:val="es-CO"/>
        </w:rPr>
        <w:t>Valores inscritos en el registro nacional de valores y emisores - RNVE, valores listados en sistemas de cotización de valores del extranjero, participaciones en fondos de inversión colectiva, divisas, e instrumentos transados en las Bolsas de productos agr</w:t>
      </w:r>
      <w:r>
        <w:rPr>
          <w:rFonts w:ascii="Arial" w:hAnsi="Arial" w:cs="Arial"/>
          <w:lang w:val="es-CO"/>
        </w:rPr>
        <w:t xml:space="preserve">opecuarios y otros </w:t>
      </w:r>
      <w:r>
        <w:rPr>
          <w:rFonts w:ascii="Arial" w:hAnsi="Arial" w:cs="Arial"/>
          <w:i/>
          <w:lang w:val="es-CO"/>
        </w:rPr>
        <w:t>commodities</w:t>
      </w:r>
      <w:r>
        <w:rPr>
          <w:rFonts w:ascii="Arial" w:hAnsi="Arial" w:cs="Arial"/>
          <w:lang w:val="es-CO"/>
        </w:rPr>
        <w:t>, adquiridos directamente o a través de fondos de inversión colectiva, fondos o patrimonios autónomos, encargos fiduciarios y cualquier otro mecanismo autorizado que se utilice para tal fin;</w:t>
      </w:r>
    </w:p>
    <w:p w14:paraId="29AF04DE" w14:textId="77777777" w:rsidR="00B2442D" w:rsidRDefault="00B2442D">
      <w:pPr>
        <w:ind w:left="284" w:hanging="284"/>
        <w:jc w:val="both"/>
        <w:rPr>
          <w:rFonts w:ascii="Arial" w:hAnsi="Arial" w:cs="Arial"/>
          <w:lang w:val="es-CO"/>
        </w:rPr>
      </w:pPr>
    </w:p>
    <w:p w14:paraId="3A5A8AB2"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Certificados de Depósito a Térm</w:t>
      </w:r>
      <w:r>
        <w:rPr>
          <w:rFonts w:ascii="Arial" w:hAnsi="Arial" w:cs="Arial"/>
          <w:lang w:val="es-CO"/>
        </w:rPr>
        <w:t>ino (CDT) y Certificados de Depósito de Ahorro a Término (CDAT); y</w:t>
      </w:r>
    </w:p>
    <w:p w14:paraId="3E87A488" w14:textId="77777777" w:rsidR="00B2442D" w:rsidRDefault="00B2442D">
      <w:pPr>
        <w:ind w:left="284" w:hanging="284"/>
        <w:jc w:val="both"/>
        <w:rPr>
          <w:rFonts w:ascii="Arial" w:hAnsi="Arial" w:cs="Arial"/>
          <w:lang w:val="es-CO"/>
        </w:rPr>
      </w:pPr>
    </w:p>
    <w:p w14:paraId="74BFD56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Operaciones del mercado monetario realizadas directamente o a través de fondos de inversión colectiva, fondos o patrimonios autónomos, encargos fiduciarios y cualquier otro mecanismo au</w:t>
      </w:r>
      <w:r>
        <w:rPr>
          <w:rFonts w:ascii="Arial" w:hAnsi="Arial" w:cs="Arial"/>
          <w:lang w:val="es-CO"/>
        </w:rPr>
        <w:t>torizado que se utilice para tal fin.</w:t>
      </w:r>
    </w:p>
    <w:p w14:paraId="7E6A2AF3" w14:textId="77777777" w:rsidR="00B2442D" w:rsidRDefault="00B2442D">
      <w:pPr>
        <w:jc w:val="both"/>
        <w:rPr>
          <w:rFonts w:ascii="Arial" w:hAnsi="Arial" w:cs="Arial"/>
          <w:lang w:val="es-CO"/>
        </w:rPr>
      </w:pPr>
    </w:p>
    <w:p w14:paraId="49FEB35F" w14:textId="77777777" w:rsidR="00B2442D" w:rsidRDefault="008A645F">
      <w:pPr>
        <w:jc w:val="both"/>
        <w:rPr>
          <w:rFonts w:ascii="Arial" w:hAnsi="Arial" w:cs="Arial"/>
          <w:lang w:val="es-CO"/>
        </w:rPr>
      </w:pPr>
      <w:r>
        <w:rPr>
          <w:rFonts w:ascii="Arial" w:hAnsi="Arial" w:cs="Arial"/>
          <w:lang w:val="es-CO"/>
        </w:rPr>
        <w:t>Para los mismos efectos, se entiende como portafolio un conjunto de inversiones.</w:t>
      </w:r>
    </w:p>
    <w:p w14:paraId="4B343088" w14:textId="77777777" w:rsidR="00B2442D" w:rsidRDefault="00B2442D">
      <w:pPr>
        <w:jc w:val="both"/>
        <w:rPr>
          <w:rFonts w:ascii="Arial" w:hAnsi="Arial" w:cs="Arial"/>
          <w:lang w:val="es-CO"/>
        </w:rPr>
      </w:pPr>
    </w:p>
    <w:p w14:paraId="2C36B643" w14:textId="77777777" w:rsidR="00B2442D" w:rsidRDefault="008A645F">
      <w:pPr>
        <w:jc w:val="both"/>
        <w:rPr>
          <w:rFonts w:ascii="Arial" w:hAnsi="Arial" w:cs="Arial"/>
          <w:lang w:val="es-CO"/>
        </w:rPr>
      </w:pPr>
      <w:r>
        <w:rPr>
          <w:rFonts w:ascii="Arial" w:hAnsi="Arial" w:cs="Arial"/>
          <w:i/>
          <w:lang w:val="es-CO"/>
        </w:rPr>
        <w:t>(Art. 7, Decreto 660 de 2011, modificado por el art. 1 del Decreto 1489 de 2015)</w:t>
      </w:r>
      <w:r>
        <w:rPr>
          <w:rFonts w:ascii="Arial" w:hAnsi="Arial" w:cs="Arial"/>
        </w:rPr>
        <w:t xml:space="preserve"> </w:t>
      </w:r>
      <w:r>
        <w:rPr>
          <w:rFonts w:ascii="Arial" w:hAnsi="Arial" w:cs="Arial"/>
          <w:i/>
          <w:lang w:val="es-CO"/>
        </w:rPr>
        <w:t>(El Decreto 660 de 2011 rige a partir de la fecha de s</w:t>
      </w:r>
      <w:r>
        <w:rPr>
          <w:rFonts w:ascii="Arial" w:hAnsi="Arial" w:cs="Arial"/>
          <w:i/>
          <w:lang w:val="es-CO"/>
        </w:rPr>
        <w:t>u publicación y deroga las disposiciones que le sean contrarias, en especial el inciso 2o del artículo 20 del Decreto 405 de 2001, el artículo 10 del Decreto 449 de 2003 y el artículo 10 del Decreto 1797 de 2008. Art. 14, Decreto 660 de 2011)</w:t>
      </w:r>
    </w:p>
    <w:p w14:paraId="49FAEE8C" w14:textId="77777777" w:rsidR="00B2442D" w:rsidRDefault="00B2442D">
      <w:pPr>
        <w:jc w:val="both"/>
        <w:rPr>
          <w:rFonts w:ascii="Arial" w:hAnsi="Arial" w:cs="Arial"/>
          <w:lang w:val="es-CO"/>
        </w:rPr>
      </w:pPr>
    </w:p>
    <w:p w14:paraId="3A9E5244"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Traslados ex</w:t>
      </w:r>
      <w:r>
        <w:rPr>
          <w:rFonts w:ascii="Arial" w:hAnsi="Arial" w:cs="Arial"/>
          <w:b/>
          <w:i/>
          <w:lang w:val="es-CO"/>
        </w:rPr>
        <w:t>entos.</w:t>
      </w:r>
      <w:r>
        <w:rPr>
          <w:rFonts w:ascii="Arial" w:hAnsi="Arial" w:cs="Arial"/>
          <w:lang w:val="es-CO"/>
        </w:rPr>
        <w:t xml:space="preserve"> De conformidad con el numeral 14 del artículo 879 del Estatuto Tributario están exentas del Gravamen a los Movimientos Financieros las siguientes operaciones:</w:t>
      </w:r>
    </w:p>
    <w:p w14:paraId="66C6D9A3" w14:textId="77777777" w:rsidR="00B2442D" w:rsidRDefault="00B2442D">
      <w:pPr>
        <w:jc w:val="both"/>
        <w:rPr>
          <w:rFonts w:ascii="Arial" w:hAnsi="Arial" w:cs="Arial"/>
          <w:lang w:val="es-CO"/>
        </w:rPr>
      </w:pPr>
    </w:p>
    <w:p w14:paraId="7598215F" w14:textId="77777777" w:rsidR="00B2442D" w:rsidRDefault="008A645F">
      <w:pPr>
        <w:ind w:left="284" w:hanging="284"/>
        <w:jc w:val="both"/>
        <w:rPr>
          <w:rFonts w:ascii="Arial" w:hAnsi="Arial" w:cs="Arial"/>
          <w:lang w:val="es-CO"/>
        </w:rPr>
      </w:pPr>
      <w:r>
        <w:rPr>
          <w:rFonts w:ascii="Arial" w:hAnsi="Arial" w:cs="Arial"/>
          <w:lang w:val="es-CO"/>
        </w:rPr>
        <w:t>1) Traslados entre cuentas de ahorro, cuentas corrientes, CDT, divisas, bonos - que hayan</w:t>
      </w:r>
      <w:r>
        <w:rPr>
          <w:rFonts w:ascii="Arial" w:hAnsi="Arial" w:cs="Arial"/>
          <w:lang w:val="es-CO"/>
        </w:rPr>
        <w:t xml:space="preserve"> sido emitidos por el mismo establecimiento de crédito, y/o tarjetas prepago nominadas abiertas(os) en una misma entidad vigilada por la Superintendencia Financiera de Colombia o por la Superintendencia de Economía Solidaria y a nombre de un mismo y único </w:t>
      </w:r>
      <w:r>
        <w:rPr>
          <w:rFonts w:ascii="Arial" w:hAnsi="Arial" w:cs="Arial"/>
          <w:lang w:val="es-CO"/>
        </w:rPr>
        <w:t>titular.</w:t>
      </w:r>
    </w:p>
    <w:p w14:paraId="68452D93" w14:textId="77777777" w:rsidR="00B2442D" w:rsidRDefault="00B2442D">
      <w:pPr>
        <w:ind w:left="284" w:hanging="284"/>
        <w:jc w:val="both"/>
        <w:rPr>
          <w:rFonts w:ascii="Arial" w:hAnsi="Arial" w:cs="Arial"/>
          <w:lang w:val="es-CO"/>
        </w:rPr>
      </w:pPr>
    </w:p>
    <w:p w14:paraId="40F2482E" w14:textId="77777777" w:rsidR="00B2442D" w:rsidRDefault="008A645F">
      <w:pPr>
        <w:ind w:left="284" w:hanging="284"/>
        <w:jc w:val="both"/>
        <w:rPr>
          <w:rFonts w:ascii="Arial" w:hAnsi="Arial" w:cs="Arial"/>
          <w:lang w:val="es-CO"/>
        </w:rPr>
      </w:pPr>
      <w:r>
        <w:rPr>
          <w:rFonts w:ascii="Arial" w:hAnsi="Arial" w:cs="Arial"/>
          <w:lang w:val="es-CO"/>
        </w:rPr>
        <w:t xml:space="preserve">2) Traslados entre cuentas de ahorro, cuentas corrientes, CDT, y/o tarjetas prepago nominadas, y cuentas abiertas a nombre de un fondo de inversión colectiva, de la cual sea partícipe o suscriptor el mismo y único titular de la cuenta </w:t>
      </w:r>
      <w:r>
        <w:rPr>
          <w:rFonts w:ascii="Arial" w:hAnsi="Arial" w:cs="Arial"/>
          <w:lang w:val="es-CO"/>
        </w:rPr>
        <w:t>individual, siempre y cuando estén abiertas en el mismo establecimiento de crédito.</w:t>
      </w:r>
    </w:p>
    <w:p w14:paraId="29C7D624" w14:textId="77777777" w:rsidR="00B2442D" w:rsidRDefault="00B2442D">
      <w:pPr>
        <w:ind w:left="284" w:hanging="284"/>
        <w:jc w:val="both"/>
        <w:rPr>
          <w:rFonts w:ascii="Arial" w:hAnsi="Arial" w:cs="Arial"/>
          <w:lang w:val="es-CO"/>
        </w:rPr>
      </w:pPr>
    </w:p>
    <w:p w14:paraId="726EFD37" w14:textId="77777777" w:rsidR="00B2442D" w:rsidRDefault="008A645F">
      <w:pPr>
        <w:ind w:left="284" w:hanging="284"/>
        <w:jc w:val="both"/>
        <w:rPr>
          <w:rFonts w:ascii="Arial" w:hAnsi="Arial" w:cs="Arial"/>
          <w:lang w:val="es-CO"/>
        </w:rPr>
      </w:pPr>
      <w:r>
        <w:rPr>
          <w:rFonts w:ascii="Arial" w:hAnsi="Arial" w:cs="Arial"/>
          <w:lang w:val="es-CO"/>
        </w:rPr>
        <w:t>3) Traslados entre fondos de inversión colectiva constituidos en la misma entidad vigilada por la Superintendencia Financiera de Colombia, de las cuales sea titular el mis</w:t>
      </w:r>
      <w:r>
        <w:rPr>
          <w:rFonts w:ascii="Arial" w:hAnsi="Arial" w:cs="Arial"/>
          <w:lang w:val="es-CO"/>
        </w:rPr>
        <w:t>mo y único partícipe o suscriptor.</w:t>
      </w:r>
    </w:p>
    <w:p w14:paraId="26F51487" w14:textId="77777777" w:rsidR="00B2442D" w:rsidRDefault="00B2442D">
      <w:pPr>
        <w:ind w:left="284" w:hanging="284"/>
        <w:jc w:val="both"/>
        <w:rPr>
          <w:rFonts w:ascii="Arial" w:hAnsi="Arial" w:cs="Arial"/>
          <w:lang w:val="es-CO"/>
        </w:rPr>
      </w:pPr>
    </w:p>
    <w:p w14:paraId="2321481A" w14:textId="77777777" w:rsidR="00B2442D" w:rsidRDefault="008A645F">
      <w:pPr>
        <w:ind w:left="284" w:hanging="284"/>
        <w:jc w:val="both"/>
        <w:rPr>
          <w:rFonts w:ascii="Arial" w:hAnsi="Arial" w:cs="Arial"/>
          <w:lang w:val="es-CO"/>
        </w:rPr>
      </w:pPr>
      <w:r>
        <w:rPr>
          <w:rFonts w:ascii="Arial" w:hAnsi="Arial" w:cs="Arial"/>
          <w:lang w:val="es-CO"/>
        </w:rPr>
        <w:t>4) Traslados entre cuentas de ahorro, cuentas corrientes, CDT, y/o tarjetas prepago nominadas, y un patrimonio autónomo o un encargo fiduciario, de los cuales sea aportante o suscriptor el mismo cliente inicial, fideicom</w:t>
      </w:r>
      <w:r>
        <w:rPr>
          <w:rFonts w:ascii="Arial" w:hAnsi="Arial" w:cs="Arial"/>
          <w:lang w:val="es-CO"/>
        </w:rPr>
        <w:t>itente constituyente o mandante inicial, siempre y cuando estén abiertas en el mismo establecimiento de crédito.</w:t>
      </w:r>
    </w:p>
    <w:p w14:paraId="4ED7C4BE" w14:textId="77777777" w:rsidR="00B2442D" w:rsidRDefault="00B2442D">
      <w:pPr>
        <w:ind w:left="284" w:hanging="284"/>
        <w:jc w:val="both"/>
        <w:rPr>
          <w:rFonts w:ascii="Arial" w:hAnsi="Arial" w:cs="Arial"/>
          <w:lang w:val="es-CO"/>
        </w:rPr>
      </w:pPr>
    </w:p>
    <w:p w14:paraId="46A388CF" w14:textId="77777777" w:rsidR="00B2442D" w:rsidRDefault="008A645F">
      <w:pPr>
        <w:ind w:left="284" w:hanging="284"/>
        <w:jc w:val="both"/>
        <w:rPr>
          <w:rFonts w:ascii="Arial" w:hAnsi="Arial" w:cs="Arial"/>
          <w:lang w:val="es-CO"/>
        </w:rPr>
      </w:pPr>
      <w:r>
        <w:rPr>
          <w:rFonts w:ascii="Arial" w:hAnsi="Arial" w:cs="Arial"/>
          <w:lang w:val="es-CO"/>
        </w:rPr>
        <w:t>5) Traslados entre patrimonios autónomos o encargos fiduciarios abiertos en la misma entidad vigilada por la Superintendencia Financiera de Co</w:t>
      </w:r>
      <w:r>
        <w:rPr>
          <w:rFonts w:ascii="Arial" w:hAnsi="Arial" w:cs="Arial"/>
          <w:lang w:val="es-CO"/>
        </w:rPr>
        <w:t>lombia, de los cuales sea aportante o suscriptor el mismo cliente inicial, fideicomitente constituyente o mandante inicial.</w:t>
      </w:r>
    </w:p>
    <w:p w14:paraId="0AC45A99" w14:textId="77777777" w:rsidR="00B2442D" w:rsidRDefault="00B2442D">
      <w:pPr>
        <w:ind w:left="284" w:hanging="284"/>
        <w:jc w:val="both"/>
        <w:rPr>
          <w:rFonts w:ascii="Arial" w:hAnsi="Arial" w:cs="Arial"/>
          <w:lang w:val="es-CO"/>
        </w:rPr>
      </w:pPr>
    </w:p>
    <w:p w14:paraId="29D45A8D" w14:textId="77777777" w:rsidR="00B2442D" w:rsidRDefault="008A645F">
      <w:pPr>
        <w:ind w:left="284" w:hanging="284"/>
        <w:jc w:val="both"/>
        <w:rPr>
          <w:rFonts w:ascii="Arial" w:hAnsi="Arial" w:cs="Arial"/>
          <w:lang w:val="es-CO"/>
        </w:rPr>
      </w:pPr>
      <w:r>
        <w:rPr>
          <w:rFonts w:ascii="Arial" w:hAnsi="Arial" w:cs="Arial"/>
          <w:lang w:val="es-CO"/>
        </w:rPr>
        <w:t>6) Traslados entre inversiones o portafolios constituidos en una misma entidad sea esta una sociedad comisionista de bolsa, socieda</w:t>
      </w:r>
      <w:r>
        <w:rPr>
          <w:rFonts w:ascii="Arial" w:hAnsi="Arial" w:cs="Arial"/>
          <w:lang w:val="es-CO"/>
        </w:rPr>
        <w:t>d fiduciaria o sociedad administradora de inversión vigilada por la Superintendencia Financiera de Colombia a favor de un mismo beneficiario.</w:t>
      </w:r>
    </w:p>
    <w:p w14:paraId="52A2AB30" w14:textId="77777777" w:rsidR="00B2442D" w:rsidRDefault="00B2442D">
      <w:pPr>
        <w:ind w:left="284" w:hanging="284"/>
        <w:jc w:val="both"/>
        <w:rPr>
          <w:rFonts w:ascii="Arial" w:hAnsi="Arial" w:cs="Arial"/>
          <w:lang w:val="es-CO"/>
        </w:rPr>
      </w:pPr>
    </w:p>
    <w:p w14:paraId="458E33B8" w14:textId="77777777" w:rsidR="00B2442D" w:rsidRDefault="008A645F">
      <w:pPr>
        <w:ind w:left="284" w:hanging="284"/>
        <w:jc w:val="both"/>
        <w:rPr>
          <w:rFonts w:ascii="Arial" w:hAnsi="Arial" w:cs="Arial"/>
          <w:lang w:val="es-CO"/>
        </w:rPr>
      </w:pPr>
      <w:r>
        <w:rPr>
          <w:rFonts w:ascii="Arial" w:hAnsi="Arial" w:cs="Arial"/>
          <w:lang w:val="es-CO"/>
        </w:rPr>
        <w:t>7) Los traslados entre las cuentas que tengan las entidades distribuidoras, incluidas las cuentas ómnibus, previs</w:t>
      </w:r>
      <w:r>
        <w:rPr>
          <w:rFonts w:ascii="Arial" w:hAnsi="Arial" w:cs="Arial"/>
          <w:lang w:val="es-CO"/>
        </w:rPr>
        <w:t>tas en el artículo 3.1.4.2.2 del Decreto 2555 de 2010 y cualquier norma que lo modifique o sustituya, en desarrollo de la actividad de distribución de fondos de inversión colectiva de que tratan los Capítulos 1 y 2 del Título 4 del Libro 1 de la Parte 3 Fo</w:t>
      </w:r>
      <w:r>
        <w:rPr>
          <w:rFonts w:ascii="Arial" w:hAnsi="Arial" w:cs="Arial"/>
          <w:lang w:val="es-CO"/>
        </w:rPr>
        <w:t>ndos de Inversión Colectiva del Decreto 2555 de 2010 y las cuentas que las entidades administradoras de fondos de inversión colectiva señalen para que la cuenta ómnibus o el participe, según sea el caso, se constituya como inversionista de un fondo de inve</w:t>
      </w:r>
      <w:r>
        <w:rPr>
          <w:rFonts w:ascii="Arial" w:hAnsi="Arial" w:cs="Arial"/>
          <w:lang w:val="es-CO"/>
        </w:rPr>
        <w:t>rsión colectiva, en el entendido que dichos traslados se realizan a favor de un mismo beneficiario entendiendo por este, el inversionista del fondo de inversión colectiva, bien sea, directamente o a través de una cuenta ómnibus.</w:t>
      </w:r>
    </w:p>
    <w:p w14:paraId="7B62E72B" w14:textId="77777777" w:rsidR="00B2442D" w:rsidRDefault="00B2442D">
      <w:pPr>
        <w:ind w:left="284" w:hanging="284"/>
        <w:jc w:val="both"/>
        <w:rPr>
          <w:rFonts w:ascii="Arial" w:hAnsi="Arial" w:cs="Arial"/>
          <w:lang w:val="es-CO"/>
        </w:rPr>
      </w:pPr>
    </w:p>
    <w:p w14:paraId="1C4B47D9" w14:textId="77777777" w:rsidR="00B2442D" w:rsidRDefault="008A645F">
      <w:pPr>
        <w:ind w:left="284" w:hanging="284"/>
        <w:jc w:val="both"/>
        <w:rPr>
          <w:rFonts w:ascii="Arial" w:hAnsi="Arial" w:cs="Arial"/>
          <w:lang w:val="es-CO"/>
        </w:rPr>
      </w:pPr>
      <w:r>
        <w:rPr>
          <w:rFonts w:ascii="Arial" w:hAnsi="Arial" w:cs="Arial"/>
          <w:lang w:val="es-CO"/>
        </w:rPr>
        <w:t>8) Los traslados entre las</w:t>
      </w:r>
      <w:r>
        <w:rPr>
          <w:rFonts w:ascii="Arial" w:hAnsi="Arial" w:cs="Arial"/>
          <w:lang w:val="es-CO"/>
        </w:rPr>
        <w:t xml:space="preserve"> cuentas que tengan las entidades administradoras de fondos de inversión colectiva y las cuentas de las entidades que desarrollen la actividad de custodia de valores en los términos del Título 1 del Libro 37 de la Parte 2 del Decreto 2555 de 2010, con el p</w:t>
      </w:r>
      <w:r>
        <w:rPr>
          <w:rFonts w:ascii="Arial" w:hAnsi="Arial" w:cs="Arial"/>
          <w:lang w:val="es-CO"/>
        </w:rPr>
        <w:t xml:space="preserve">ropósito de realizar la compensación y liquidación de las operaciones de inversión de conformidad con las instrucciones impartidas por el administrador de los fondos de inversión colectiva o el gestor de que trata el Capítulo 2 del Título 3 del Libro 1 de </w:t>
      </w:r>
      <w:r>
        <w:rPr>
          <w:rFonts w:ascii="Arial" w:hAnsi="Arial" w:cs="Arial"/>
          <w:lang w:val="es-CO"/>
        </w:rPr>
        <w:t>la Parte 3 del Decreto 2555 de 2010, en el entendido que dichos traslados se realizan a favor de un mismo beneficiario entendiendo por éste, el inversionista del fondo de inversión colectiva, bien sea, directamente o a través de una cuenta ómnibus.</w:t>
      </w:r>
    </w:p>
    <w:p w14:paraId="0F10009D" w14:textId="77777777" w:rsidR="00B2442D" w:rsidRDefault="00B2442D">
      <w:pPr>
        <w:ind w:left="284" w:hanging="284"/>
        <w:jc w:val="both"/>
        <w:rPr>
          <w:rFonts w:ascii="Arial" w:hAnsi="Arial" w:cs="Arial"/>
          <w:lang w:val="es-CO"/>
        </w:rPr>
      </w:pPr>
    </w:p>
    <w:p w14:paraId="73F44406" w14:textId="77777777" w:rsidR="00B2442D" w:rsidRDefault="008A645F">
      <w:pPr>
        <w:ind w:left="284" w:hanging="284"/>
        <w:jc w:val="both"/>
        <w:rPr>
          <w:rFonts w:ascii="Arial" w:hAnsi="Arial" w:cs="Arial"/>
          <w:lang w:val="es-CO"/>
        </w:rPr>
      </w:pPr>
      <w:r>
        <w:rPr>
          <w:rFonts w:ascii="Arial" w:hAnsi="Arial" w:cs="Arial"/>
          <w:lang w:val="es-CO"/>
        </w:rPr>
        <w:t>9) Los</w:t>
      </w:r>
      <w:r>
        <w:rPr>
          <w:rFonts w:ascii="Arial" w:hAnsi="Arial" w:cs="Arial"/>
          <w:lang w:val="es-CO"/>
        </w:rPr>
        <w:t xml:space="preserve"> traslados que se realicen entre las cuentas que tengan los custodiados y las cuentas de las entidades que desarrollen la actividad de custodia de valores en los términos del Título 1 del Libro 37 de la Parte 2 del Decreto 2555 de 2010, con el propósito de</w:t>
      </w:r>
      <w:r>
        <w:rPr>
          <w:rFonts w:ascii="Arial" w:hAnsi="Arial" w:cs="Arial"/>
          <w:lang w:val="es-CO"/>
        </w:rPr>
        <w:t xml:space="preserve"> realizar la compensación y liquidación de las operaciones de inversión de conformidad con las instrucciones impartidas por el custodiado o la persona a quien este autorice, en el entendido que dichos traslados se realizan a favor de un mismo beneficiario </w:t>
      </w:r>
      <w:r>
        <w:rPr>
          <w:rFonts w:ascii="Arial" w:hAnsi="Arial" w:cs="Arial"/>
          <w:lang w:val="es-CO"/>
        </w:rPr>
        <w:t>entendiendo por este, el inversionista, bien sea, directamente o a través de una cuenta ómnibus.</w:t>
      </w:r>
    </w:p>
    <w:p w14:paraId="7CE294D5" w14:textId="77777777" w:rsidR="00B2442D" w:rsidRDefault="00B2442D">
      <w:pPr>
        <w:jc w:val="both"/>
        <w:rPr>
          <w:rFonts w:ascii="Arial" w:hAnsi="Arial" w:cs="Arial"/>
          <w:lang w:val="es-CO"/>
        </w:rPr>
      </w:pPr>
    </w:p>
    <w:p w14:paraId="1B74BCEC"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exención de que trata el inciso primero del numeral 14 del artículo 879 del Estatuto Tributario no comprende las operaciones que impliquen el</w:t>
      </w:r>
      <w:r>
        <w:rPr>
          <w:rFonts w:ascii="Arial" w:hAnsi="Arial" w:cs="Arial"/>
          <w:lang w:val="es-CO"/>
        </w:rPr>
        <w:t xml:space="preserve"> traslado de recursos entre cuentas de ahorro y/o corrientes asociadas a patrimonios autónomos diferentes que pertenezcan a fideicomitentes o beneficiarios distintos al fideicomitente o beneficiarios iniciales.</w:t>
      </w:r>
    </w:p>
    <w:p w14:paraId="688061DB" w14:textId="77777777" w:rsidR="00B2442D" w:rsidRDefault="00B2442D">
      <w:pPr>
        <w:jc w:val="both"/>
        <w:rPr>
          <w:rFonts w:ascii="Arial" w:hAnsi="Arial" w:cs="Arial"/>
          <w:b/>
          <w:lang w:val="es-CO"/>
        </w:rPr>
      </w:pPr>
    </w:p>
    <w:p w14:paraId="2036EA46"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lo establecido</w:t>
      </w:r>
      <w:r>
        <w:rPr>
          <w:rFonts w:ascii="Arial" w:hAnsi="Arial" w:cs="Arial"/>
          <w:lang w:val="es-CO"/>
        </w:rPr>
        <w:t xml:space="preserve"> en los numerales 7, 8 y 9, en concordancia con el inciso 1 del numeral 14 del artículo 879 del Estatuto Tributario, los traslados exentos son solo aquellos efectuados por una sociedad comisionista de Bolsa, una sociedad fiduciaria o una sociedad administr</w:t>
      </w:r>
      <w:r>
        <w:rPr>
          <w:rFonts w:ascii="Arial" w:hAnsi="Arial" w:cs="Arial"/>
          <w:lang w:val="es-CO"/>
        </w:rPr>
        <w:t>adora de inversión, vigilada por la Superintendencia Financiera de Colombia.</w:t>
      </w:r>
    </w:p>
    <w:p w14:paraId="75C63F7E" w14:textId="77777777" w:rsidR="00B2442D" w:rsidRDefault="00B2442D">
      <w:pPr>
        <w:jc w:val="both"/>
        <w:rPr>
          <w:rFonts w:ascii="Arial" w:hAnsi="Arial" w:cs="Arial"/>
          <w:lang w:val="es-CO"/>
        </w:rPr>
      </w:pPr>
    </w:p>
    <w:p w14:paraId="517EAA3A" w14:textId="77777777" w:rsidR="00B2442D" w:rsidRDefault="008A645F">
      <w:pPr>
        <w:jc w:val="both"/>
        <w:rPr>
          <w:rFonts w:ascii="Arial" w:hAnsi="Arial" w:cs="Arial"/>
          <w:i/>
          <w:lang w:val="es-CO"/>
        </w:rPr>
      </w:pPr>
      <w:r>
        <w:rPr>
          <w:rFonts w:ascii="Arial" w:hAnsi="Arial" w:cs="Arial"/>
          <w:i/>
          <w:lang w:val="es-CO"/>
        </w:rPr>
        <w:t>(Art. 8, Decreto 660 de 2011, modificado por el art. 4 del Decreto 1744 de 2013.  Los numerales 7,8 y 9 y el parágrafo 2 adicionados por el art. 2 del Decreto 1489 de 2015)</w:t>
      </w:r>
      <w:r>
        <w:rPr>
          <w:rFonts w:ascii="Arial" w:hAnsi="Arial" w:cs="Arial"/>
        </w:rPr>
        <w:t xml:space="preserve"> </w:t>
      </w:r>
      <w:r>
        <w:rPr>
          <w:rFonts w:ascii="Arial" w:hAnsi="Arial" w:cs="Arial"/>
          <w:i/>
          <w:lang w:val="es-CO"/>
        </w:rPr>
        <w:t>(El D</w:t>
      </w:r>
      <w:r>
        <w:rPr>
          <w:rFonts w:ascii="Arial" w:hAnsi="Arial" w:cs="Arial"/>
          <w:i/>
          <w:lang w:val="es-CO"/>
        </w:rPr>
        <w:t xml:space="preserve">ecreto 660 de 2011 rige a partir de la fecha de su publicación y deroga las disposiciones que le sean contrarias, en especial el inciso 2o del artículo 20 del Decreto 405 de 2001, el artículo 10 del Decreto 449 de 2003 y el artículo 10 del Decreto 1797 de </w:t>
      </w:r>
      <w:r>
        <w:rPr>
          <w:rFonts w:ascii="Arial" w:hAnsi="Arial" w:cs="Arial"/>
          <w:i/>
          <w:lang w:val="es-CO"/>
        </w:rPr>
        <w:t>2008. Art. 14, Decreto 660 de 2011)</w:t>
      </w:r>
    </w:p>
    <w:p w14:paraId="03554AD1" w14:textId="77777777" w:rsidR="00B2442D" w:rsidRDefault="00B2442D">
      <w:pPr>
        <w:jc w:val="both"/>
        <w:rPr>
          <w:rFonts w:ascii="Arial" w:hAnsi="Arial" w:cs="Arial"/>
          <w:b/>
          <w:lang w:val="es-CO"/>
        </w:rPr>
      </w:pPr>
    </w:p>
    <w:p w14:paraId="7A23DBEF"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Cuentas exentas de los reclusos del INPEC.</w:t>
      </w:r>
      <w:r>
        <w:rPr>
          <w:rFonts w:ascii="Arial" w:hAnsi="Arial" w:cs="Arial"/>
          <w:lang w:val="es-CO"/>
        </w:rPr>
        <w:t xml:space="preserve"> Para efectos de lo dispuesto en el numeral 20 del artículo 879 del Estatuto Tributario, el INPEC deberá tener por cada establecimiento carcelario, dos (2) cuentas corrientes en</w:t>
      </w:r>
      <w:r>
        <w:rPr>
          <w:rFonts w:ascii="Arial" w:hAnsi="Arial" w:cs="Arial"/>
          <w:lang w:val="es-CO"/>
        </w:rPr>
        <w:t xml:space="preserve"> entidades bancarias identificando solo una como exenta del gravamen a los movimientos financieros.</w:t>
      </w:r>
    </w:p>
    <w:p w14:paraId="4CB95FE1" w14:textId="77777777" w:rsidR="00B2442D" w:rsidRDefault="00B2442D">
      <w:pPr>
        <w:jc w:val="both"/>
        <w:rPr>
          <w:rFonts w:ascii="Arial" w:hAnsi="Arial" w:cs="Arial"/>
          <w:lang w:val="es-CO"/>
        </w:rPr>
      </w:pPr>
    </w:p>
    <w:p w14:paraId="7EA01579" w14:textId="77777777" w:rsidR="00B2442D" w:rsidRDefault="008A645F">
      <w:pPr>
        <w:jc w:val="both"/>
        <w:rPr>
          <w:rFonts w:ascii="Arial" w:hAnsi="Arial" w:cs="Arial"/>
          <w:lang w:val="es-CO"/>
        </w:rPr>
      </w:pPr>
      <w:r>
        <w:rPr>
          <w:rFonts w:ascii="Arial" w:hAnsi="Arial" w:cs="Arial"/>
          <w:lang w:val="es-CO"/>
        </w:rPr>
        <w:t xml:space="preserve">El INPEC, deberá dar instrucciones claras a los reclusos y sus depositantes para que las sumas que exceden del valor de trescientas cincuenta (350) UVT en </w:t>
      </w:r>
      <w:r>
        <w:rPr>
          <w:rFonts w:ascii="Arial" w:hAnsi="Arial" w:cs="Arial"/>
          <w:lang w:val="es-CO"/>
        </w:rPr>
        <w:t>el mes por recluso, sean consignadas en la cuenta que no se encuentre identificada como exenta del gravamen a los movimientos financieros.</w:t>
      </w:r>
    </w:p>
    <w:p w14:paraId="5E64C1E2" w14:textId="77777777" w:rsidR="00B2442D" w:rsidRDefault="00B2442D">
      <w:pPr>
        <w:jc w:val="both"/>
        <w:rPr>
          <w:rFonts w:ascii="Arial" w:hAnsi="Arial" w:cs="Arial"/>
          <w:lang w:val="es-CO"/>
        </w:rPr>
      </w:pPr>
    </w:p>
    <w:p w14:paraId="5A6EEFEA" w14:textId="77777777" w:rsidR="00B2442D" w:rsidRDefault="008A645F">
      <w:pPr>
        <w:jc w:val="both"/>
        <w:rPr>
          <w:rFonts w:ascii="Arial" w:hAnsi="Arial" w:cs="Arial"/>
          <w:i/>
          <w:lang w:val="es-CO"/>
        </w:rPr>
      </w:pPr>
      <w:r>
        <w:rPr>
          <w:rFonts w:ascii="Arial" w:hAnsi="Arial" w:cs="Arial"/>
          <w:i/>
          <w:lang w:val="es-CO"/>
        </w:rPr>
        <w:t>(Art. 11, Decreto 660 de 2011)</w:t>
      </w:r>
      <w:r>
        <w:rPr>
          <w:rFonts w:ascii="Arial" w:hAnsi="Arial" w:cs="Arial"/>
        </w:rPr>
        <w:t xml:space="preserve"> </w:t>
      </w:r>
      <w:r>
        <w:rPr>
          <w:rFonts w:ascii="Arial" w:hAnsi="Arial" w:cs="Arial"/>
          <w:i/>
          <w:lang w:val="es-CO"/>
        </w:rPr>
        <w:t xml:space="preserve">(El Decreto 660 de 2011 rige a partir de la fecha de su publicación y deroga las </w:t>
      </w:r>
      <w:r>
        <w:rPr>
          <w:rFonts w:ascii="Arial" w:hAnsi="Arial" w:cs="Arial"/>
          <w:i/>
          <w:lang w:val="es-CO"/>
        </w:rPr>
        <w:t>disposiciones que le sean contrarias, en especial el inciso 2o del artículo 20 del Decreto 405 de 2001, el artículo 10 del Decreto 449 de 2003 y el artículo 10 del Decreto 1797 de 2008. Art. 14, Decreto 660 de 2011)</w:t>
      </w:r>
    </w:p>
    <w:p w14:paraId="6CF6C4AA" w14:textId="77777777" w:rsidR="00B2442D" w:rsidRDefault="00B2442D">
      <w:pPr>
        <w:jc w:val="both"/>
        <w:rPr>
          <w:rFonts w:ascii="Arial" w:hAnsi="Arial" w:cs="Arial"/>
          <w:b/>
          <w:i/>
          <w:lang w:val="es-CO"/>
        </w:rPr>
      </w:pPr>
    </w:p>
    <w:p w14:paraId="51E393BC"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Traslados al Tesoro Nacional.</w:t>
      </w:r>
      <w:r>
        <w:rPr>
          <w:rFonts w:ascii="Arial" w:hAnsi="Arial" w:cs="Arial"/>
          <w:lang w:val="es-CO"/>
        </w:rPr>
        <w:t xml:space="preserve"> El traslado de recursos que efectúan los establecimientos de crédito y otros agentes de retención del gravamen a los movimientos financieros al tesoro nacional para el pago de este impuesto se considera manejo de recursos públicos y por lo tanto no someti</w:t>
      </w:r>
      <w:r>
        <w:rPr>
          <w:rFonts w:ascii="Arial" w:hAnsi="Arial" w:cs="Arial"/>
          <w:lang w:val="es-CO"/>
        </w:rPr>
        <w:t>dos al Gravamen a los Movimientos Financieros.</w:t>
      </w:r>
    </w:p>
    <w:p w14:paraId="22A77561" w14:textId="77777777" w:rsidR="00B2442D" w:rsidRDefault="00B2442D">
      <w:pPr>
        <w:jc w:val="both"/>
        <w:rPr>
          <w:rFonts w:ascii="Arial" w:hAnsi="Arial" w:cs="Arial"/>
          <w:lang w:val="es-CO"/>
        </w:rPr>
      </w:pPr>
    </w:p>
    <w:p w14:paraId="0D4EDB2A" w14:textId="77777777" w:rsidR="00B2442D" w:rsidRDefault="008A645F">
      <w:pPr>
        <w:jc w:val="both"/>
        <w:rPr>
          <w:rFonts w:ascii="Arial" w:hAnsi="Arial" w:cs="Arial"/>
          <w:lang w:val="es-CO"/>
        </w:rPr>
      </w:pPr>
      <w:r>
        <w:rPr>
          <w:rFonts w:ascii="Arial" w:hAnsi="Arial" w:cs="Arial"/>
          <w:lang w:val="es-CO"/>
        </w:rPr>
        <w:t>Igualmente no está sometido al Gravamen a los Movimientos Financieros, el traslado que se realice por las entidades vigiladas por las Superintendencias Financiera de Colombia y de Economía Solidaria al establ</w:t>
      </w:r>
      <w:r>
        <w:rPr>
          <w:rFonts w:ascii="Arial" w:hAnsi="Arial" w:cs="Arial"/>
          <w:lang w:val="es-CO"/>
        </w:rPr>
        <w:t>ecimiento de crédito autorizado para recepcionar la declaración y el pago de la liquidación contenida en la respectiva declaración del gravamen dentro de los plazos señalados por el Gobierno Nacional.</w:t>
      </w:r>
    </w:p>
    <w:p w14:paraId="253A9454" w14:textId="77777777" w:rsidR="00B2442D" w:rsidRDefault="00B2442D">
      <w:pPr>
        <w:jc w:val="both"/>
        <w:rPr>
          <w:rFonts w:ascii="Arial" w:hAnsi="Arial" w:cs="Arial"/>
          <w:lang w:val="es-CO"/>
        </w:rPr>
      </w:pPr>
    </w:p>
    <w:p w14:paraId="53592B96" w14:textId="77777777" w:rsidR="00B2442D" w:rsidRDefault="008A645F">
      <w:pPr>
        <w:jc w:val="both"/>
        <w:rPr>
          <w:rFonts w:ascii="Arial" w:hAnsi="Arial" w:cs="Arial"/>
          <w:lang w:val="es-CO"/>
        </w:rPr>
      </w:pPr>
      <w:r>
        <w:rPr>
          <w:rFonts w:ascii="Arial" w:hAnsi="Arial" w:cs="Arial"/>
          <w:lang w:val="es-CO"/>
        </w:rPr>
        <w:t>Para tal efecto las entidades deberán identificar la c</w:t>
      </w:r>
      <w:r>
        <w:rPr>
          <w:rFonts w:ascii="Arial" w:hAnsi="Arial" w:cs="Arial"/>
          <w:lang w:val="es-CO"/>
        </w:rPr>
        <w:t>uenta de la cual se realizarán los traslados para el pago de este impuesto.</w:t>
      </w:r>
    </w:p>
    <w:p w14:paraId="1EEA07DD" w14:textId="77777777" w:rsidR="00B2442D" w:rsidRDefault="00B2442D">
      <w:pPr>
        <w:jc w:val="both"/>
        <w:rPr>
          <w:rFonts w:ascii="Arial" w:hAnsi="Arial" w:cs="Arial"/>
          <w:lang w:val="es-CO"/>
        </w:rPr>
      </w:pPr>
    </w:p>
    <w:p w14:paraId="133C721E" w14:textId="77777777" w:rsidR="00B2442D" w:rsidRDefault="008A645F">
      <w:pPr>
        <w:jc w:val="both"/>
        <w:rPr>
          <w:rFonts w:ascii="Arial" w:hAnsi="Arial" w:cs="Arial"/>
          <w:i/>
          <w:lang w:val="es-CO"/>
        </w:rPr>
      </w:pPr>
      <w:r>
        <w:rPr>
          <w:rFonts w:ascii="Arial" w:hAnsi="Arial" w:cs="Arial"/>
          <w:i/>
          <w:lang w:val="es-CO"/>
        </w:rPr>
        <w:t>(Art. 13, Decreto 660 de 2011)</w:t>
      </w:r>
      <w:r>
        <w:rPr>
          <w:rFonts w:ascii="Arial" w:hAnsi="Arial" w:cs="Arial"/>
        </w:rPr>
        <w:t xml:space="preserve"> </w:t>
      </w:r>
      <w:r>
        <w:rPr>
          <w:rFonts w:ascii="Arial" w:hAnsi="Arial" w:cs="Arial"/>
          <w:i/>
          <w:lang w:val="es-CO"/>
        </w:rPr>
        <w:t xml:space="preserve">(El Decreto 660 de 2011 rige a partir de la fecha de su publicación y deroga las disposiciones que le sean contrarias, en especial el inciso 2o del </w:t>
      </w:r>
      <w:r>
        <w:rPr>
          <w:rFonts w:ascii="Arial" w:hAnsi="Arial" w:cs="Arial"/>
          <w:i/>
          <w:lang w:val="es-CO"/>
        </w:rPr>
        <w:t>artículo 20 del Decreto 405 de 2001, el artículo 10 del Decreto 449 de 2003 y el artículo 10 del Decreto 1797 de 2008. Art. 14, Decreto 660 de 2011)</w:t>
      </w:r>
    </w:p>
    <w:p w14:paraId="10F2B1A8" w14:textId="77777777" w:rsidR="00B2442D" w:rsidRDefault="00B2442D">
      <w:pPr>
        <w:jc w:val="both"/>
        <w:rPr>
          <w:rFonts w:ascii="Arial" w:hAnsi="Arial" w:cs="Arial"/>
          <w:lang w:val="es-CO"/>
        </w:rPr>
      </w:pPr>
    </w:p>
    <w:p w14:paraId="49963BD1" w14:textId="77777777" w:rsidR="00B2442D" w:rsidRDefault="008A645F">
      <w:pPr>
        <w:pStyle w:val="Prrafodelista"/>
        <w:numPr>
          <w:ilvl w:val="0"/>
          <w:numId w:val="89"/>
        </w:numPr>
        <w:ind w:left="0" w:firstLine="0"/>
        <w:jc w:val="both"/>
        <w:rPr>
          <w:rFonts w:ascii="Arial" w:hAnsi="Arial" w:cs="Arial"/>
          <w:lang w:val="es-CO"/>
        </w:rPr>
      </w:pPr>
      <w:r>
        <w:rPr>
          <w:rFonts w:ascii="Arial" w:hAnsi="Arial" w:cs="Arial"/>
          <w:b/>
          <w:i/>
          <w:lang w:val="es-CO"/>
        </w:rPr>
        <w:t>Operaciones que no se encuentran comprendidas dentro de las operaciones de compensación y liquidación admi</w:t>
      </w:r>
      <w:r>
        <w:rPr>
          <w:rFonts w:ascii="Arial" w:hAnsi="Arial" w:cs="Arial"/>
          <w:b/>
          <w:i/>
          <w:lang w:val="es-CO"/>
        </w:rPr>
        <w:t xml:space="preserve">nistradas por Bolsas de productos agropecuarios o de otros commodities. </w:t>
      </w:r>
      <w:r>
        <w:rPr>
          <w:rFonts w:ascii="Arial" w:hAnsi="Arial" w:cs="Arial"/>
          <w:lang w:val="es-CO"/>
        </w:rPr>
        <w:t>Para efecto de la aplicación del numeral 7 del artículo 879 del Estatuto Tributario, no se encuentran comprendidas dentro de las operaciones de compensación y liquidación administradas</w:t>
      </w:r>
      <w:r>
        <w:rPr>
          <w:rFonts w:ascii="Arial" w:hAnsi="Arial" w:cs="Arial"/>
          <w:lang w:val="es-CO"/>
        </w:rPr>
        <w:t xml:space="preserve"> por Bolsas de productos agropecuarios o de otros </w:t>
      </w:r>
      <w:r>
        <w:rPr>
          <w:rFonts w:ascii="Arial" w:hAnsi="Arial" w:cs="Arial"/>
          <w:i/>
          <w:lang w:val="es-CO"/>
        </w:rPr>
        <w:t>commodities,</w:t>
      </w:r>
      <w:r>
        <w:rPr>
          <w:rFonts w:ascii="Arial" w:hAnsi="Arial" w:cs="Arial"/>
          <w:lang w:val="es-CO"/>
        </w:rPr>
        <w:t xml:space="preserve"> la disposición inicial de los recursos de la cuenta corriente o de ahorros de las personas que actúan como compradores o adquirentes de bienes o servicios, para transferir o canalizar dichos re</w:t>
      </w:r>
      <w:r>
        <w:rPr>
          <w:rFonts w:ascii="Arial" w:hAnsi="Arial" w:cs="Arial"/>
          <w:lang w:val="es-CO"/>
        </w:rPr>
        <w:t>cursos a la respectiva Bolsa.</w:t>
      </w:r>
    </w:p>
    <w:p w14:paraId="2381AD33" w14:textId="77777777" w:rsidR="00B2442D" w:rsidRDefault="00B2442D">
      <w:pPr>
        <w:jc w:val="both"/>
        <w:rPr>
          <w:rFonts w:ascii="Arial" w:hAnsi="Arial" w:cs="Arial"/>
          <w:lang w:val="es-CO"/>
        </w:rPr>
      </w:pPr>
    </w:p>
    <w:p w14:paraId="40DE4310" w14:textId="77777777" w:rsidR="00B2442D" w:rsidRDefault="008A645F">
      <w:pPr>
        <w:jc w:val="both"/>
        <w:rPr>
          <w:rFonts w:ascii="Arial" w:hAnsi="Arial" w:cs="Arial"/>
          <w:i/>
          <w:lang w:val="es-CO"/>
        </w:rPr>
      </w:pPr>
      <w:r>
        <w:rPr>
          <w:rFonts w:ascii="Arial" w:hAnsi="Arial" w:cs="Arial"/>
          <w:i/>
          <w:lang w:val="es-CO"/>
        </w:rPr>
        <w:t>(Art. 1, Decreto 1625 de 2012)</w:t>
      </w:r>
    </w:p>
    <w:p w14:paraId="29BF85DF" w14:textId="77777777" w:rsidR="00B2442D" w:rsidRDefault="00B2442D">
      <w:pPr>
        <w:jc w:val="both"/>
        <w:rPr>
          <w:rFonts w:ascii="Arial" w:hAnsi="Arial" w:cs="Arial"/>
          <w:lang w:val="es-CO"/>
        </w:rPr>
      </w:pPr>
    </w:p>
    <w:p w14:paraId="337F734F" w14:textId="77777777" w:rsidR="00B2442D" w:rsidRDefault="008A645F">
      <w:pPr>
        <w:pStyle w:val="Ttulo4"/>
      </w:pPr>
      <w:r>
        <w:t>CAPÍTULO 3</w:t>
      </w:r>
    </w:p>
    <w:p w14:paraId="3B77797D" w14:textId="77777777" w:rsidR="00B2442D" w:rsidRDefault="008A645F">
      <w:pPr>
        <w:pStyle w:val="Ttulo4"/>
      </w:pPr>
      <w:r>
        <w:t>Retención en la fuente a título de  Gravamen a los Movimientos Financieros – GMF</w:t>
      </w:r>
    </w:p>
    <w:p w14:paraId="717C7771" w14:textId="77777777" w:rsidR="00B2442D" w:rsidRDefault="00B2442D">
      <w:pPr>
        <w:jc w:val="both"/>
        <w:rPr>
          <w:rFonts w:ascii="Arial" w:hAnsi="Arial" w:cs="Arial"/>
          <w:i/>
          <w:lang w:val="es-CO"/>
        </w:rPr>
      </w:pPr>
    </w:p>
    <w:p w14:paraId="4EFF0B62" w14:textId="77777777" w:rsidR="00B2442D" w:rsidRDefault="008A645F">
      <w:pPr>
        <w:pStyle w:val="Prrafodelista"/>
        <w:numPr>
          <w:ilvl w:val="0"/>
          <w:numId w:val="90"/>
        </w:numPr>
        <w:ind w:left="0" w:firstLine="0"/>
        <w:jc w:val="both"/>
        <w:rPr>
          <w:rFonts w:ascii="Arial" w:hAnsi="Arial" w:cs="Arial"/>
          <w:lang w:val="es-CO"/>
        </w:rPr>
      </w:pPr>
      <w:r>
        <w:rPr>
          <w:rFonts w:ascii="Arial" w:hAnsi="Arial" w:cs="Arial"/>
          <w:b/>
          <w:i/>
          <w:lang w:val="es-CO"/>
        </w:rPr>
        <w:t>Agentes de retención.</w:t>
      </w:r>
      <w:r>
        <w:rPr>
          <w:rFonts w:ascii="Arial" w:hAnsi="Arial" w:cs="Arial"/>
          <w:lang w:val="es-CO"/>
        </w:rPr>
        <w:t xml:space="preserve"> Son agentes de retención y en consecuencia responsables del impuesto, en las o</w:t>
      </w:r>
      <w:r>
        <w:rPr>
          <w:rFonts w:ascii="Arial" w:hAnsi="Arial" w:cs="Arial"/>
          <w:lang w:val="es-CO"/>
        </w:rPr>
        <w:t>peraciones cambiarias gravadas, los Intermediarios del Mercado Cambiario diferentes a los establecimientos de crédito, cuando por su calidad dispongan de recursos depositados en cuentas corrientes o de ahorros que se encuentren identificadas como exentas d</w:t>
      </w:r>
      <w:r>
        <w:rPr>
          <w:rFonts w:ascii="Arial" w:hAnsi="Arial" w:cs="Arial"/>
          <w:lang w:val="es-CO"/>
        </w:rPr>
        <w:t>el gravamen ante el establecimiento bancario. En los demás casos seguirá actuando como agente retenedor el establecimiento de crédito donde se encuentre la respectiva cuenta.</w:t>
      </w:r>
    </w:p>
    <w:p w14:paraId="296486A5" w14:textId="77777777" w:rsidR="00B2442D" w:rsidRDefault="00B2442D">
      <w:pPr>
        <w:jc w:val="both"/>
        <w:rPr>
          <w:rFonts w:ascii="Arial" w:hAnsi="Arial" w:cs="Arial"/>
          <w:lang w:val="es-CO"/>
        </w:rPr>
      </w:pPr>
    </w:p>
    <w:p w14:paraId="108E2BD4" w14:textId="77777777" w:rsidR="00B2442D" w:rsidRDefault="008A645F">
      <w:pPr>
        <w:jc w:val="both"/>
        <w:rPr>
          <w:rFonts w:ascii="Arial" w:hAnsi="Arial" w:cs="Arial"/>
          <w:lang w:val="es-CO"/>
        </w:rPr>
      </w:pPr>
      <w:r>
        <w:rPr>
          <w:rFonts w:ascii="Arial" w:hAnsi="Arial" w:cs="Arial"/>
          <w:lang w:val="es-CO"/>
        </w:rPr>
        <w:t>Cuando el agente retenedor del GMF realice el pago en efectivo de manera inmedia</w:t>
      </w:r>
      <w:r>
        <w:rPr>
          <w:rFonts w:ascii="Arial" w:hAnsi="Arial" w:cs="Arial"/>
          <w:lang w:val="es-CO"/>
        </w:rPr>
        <w:t>ta, sin que haya lugar a registrar pasivo alguno y sobre el supuesto que los recursos no provienen de cuentas marcadas o de otras cuentas bancarias, no se causa el impuesto.</w:t>
      </w:r>
    </w:p>
    <w:p w14:paraId="39342D39" w14:textId="77777777" w:rsidR="00B2442D" w:rsidRDefault="00B2442D">
      <w:pPr>
        <w:jc w:val="both"/>
        <w:rPr>
          <w:rFonts w:ascii="Arial" w:hAnsi="Arial" w:cs="Arial"/>
          <w:lang w:val="es-CO"/>
        </w:rPr>
      </w:pPr>
    </w:p>
    <w:p w14:paraId="21B7A8F1" w14:textId="77777777" w:rsidR="00B2442D" w:rsidRDefault="008A645F">
      <w:pPr>
        <w:jc w:val="both"/>
        <w:rPr>
          <w:rFonts w:ascii="Arial" w:hAnsi="Arial" w:cs="Arial"/>
          <w:lang w:val="es-CO"/>
        </w:rPr>
      </w:pPr>
      <w:r>
        <w:rPr>
          <w:rFonts w:ascii="Arial" w:hAnsi="Arial" w:cs="Arial"/>
          <w:lang w:val="es-CO"/>
        </w:rPr>
        <w:t>Cuando el Intermediario del Mercado Cambiario realice pagos por operaciones cambi</w:t>
      </w:r>
      <w:r>
        <w:rPr>
          <w:rFonts w:ascii="Arial" w:hAnsi="Arial" w:cs="Arial"/>
          <w:lang w:val="es-CO"/>
        </w:rPr>
        <w:t>arias, mediante cheque al que se le haya puesto la restricción, para consignar en cuenta corriente o de ahorros del primer beneficiario, el gravamen se causará cuando el beneficiario de la operación cambiaría disponga de los recursos.</w:t>
      </w:r>
    </w:p>
    <w:p w14:paraId="1DD8F919" w14:textId="77777777" w:rsidR="00B2442D" w:rsidRDefault="00B2442D">
      <w:pPr>
        <w:jc w:val="both"/>
        <w:rPr>
          <w:rFonts w:ascii="Arial" w:hAnsi="Arial" w:cs="Arial"/>
          <w:lang w:val="es-CO"/>
        </w:rPr>
      </w:pPr>
    </w:p>
    <w:p w14:paraId="27D8FBDD" w14:textId="77777777" w:rsidR="00B2442D" w:rsidRDefault="008A645F">
      <w:pPr>
        <w:jc w:val="both"/>
        <w:rPr>
          <w:rFonts w:ascii="Arial" w:hAnsi="Arial" w:cs="Arial"/>
          <w:i/>
          <w:lang w:val="es-CO"/>
        </w:rPr>
      </w:pPr>
      <w:r>
        <w:rPr>
          <w:rFonts w:ascii="Arial" w:hAnsi="Arial" w:cs="Arial"/>
          <w:i/>
          <w:lang w:val="es-CO"/>
        </w:rPr>
        <w:t>(Art. 2, Decreto 289</w:t>
      </w:r>
      <w:r>
        <w:rPr>
          <w:rFonts w:ascii="Arial" w:hAnsi="Arial" w:cs="Arial"/>
          <w:i/>
          <w:lang w:val="es-CO"/>
        </w:rPr>
        <w:t>2 de 2007)</w:t>
      </w:r>
    </w:p>
    <w:p w14:paraId="4A432793" w14:textId="77777777" w:rsidR="00B2442D" w:rsidRDefault="00B2442D">
      <w:pPr>
        <w:jc w:val="center"/>
        <w:rPr>
          <w:rFonts w:ascii="Arial" w:hAnsi="Arial" w:cs="Arial"/>
          <w:b/>
          <w:lang w:val="es-CO"/>
        </w:rPr>
      </w:pPr>
    </w:p>
    <w:p w14:paraId="0D520786" w14:textId="77777777" w:rsidR="00B2442D" w:rsidRDefault="008A645F">
      <w:pPr>
        <w:pStyle w:val="Prrafodelista"/>
        <w:numPr>
          <w:ilvl w:val="0"/>
          <w:numId w:val="90"/>
        </w:numPr>
        <w:ind w:left="0" w:firstLine="0"/>
        <w:jc w:val="both"/>
        <w:rPr>
          <w:rFonts w:ascii="Arial" w:hAnsi="Arial" w:cs="Arial"/>
          <w:lang w:val="es-CO"/>
        </w:rPr>
      </w:pPr>
      <w:r>
        <w:rPr>
          <w:rFonts w:ascii="Arial" w:hAnsi="Arial" w:cs="Arial"/>
          <w:b/>
          <w:i/>
          <w:lang w:val="es-CO"/>
        </w:rPr>
        <w:t xml:space="preserve">Saldos positivos de tarjetas de crédito. </w:t>
      </w:r>
      <w:r>
        <w:rPr>
          <w:rFonts w:ascii="Arial" w:hAnsi="Arial" w:cs="Arial"/>
          <w:lang w:val="es-CO"/>
        </w:rPr>
        <w:t xml:space="preserve">De conformidad con el parágrafo del artículo 871 del Estatuto Tributario, actuarán como agentes de retención del Gravamen a los Movimientos Financieros - GMF - los establecimientos de crédito que </w:t>
      </w:r>
      <w:r>
        <w:rPr>
          <w:rFonts w:ascii="Arial" w:hAnsi="Arial" w:cs="Arial"/>
          <w:lang w:val="es-CO"/>
        </w:rPr>
        <w:t>efectúen cualquier débito sobre los depósitos acreditados como “saldos positivos de tarjetas de crédito”.</w:t>
      </w:r>
    </w:p>
    <w:p w14:paraId="1EF76058" w14:textId="77777777" w:rsidR="00B2442D" w:rsidRDefault="00B2442D">
      <w:pPr>
        <w:jc w:val="both"/>
        <w:rPr>
          <w:rFonts w:ascii="Arial" w:hAnsi="Arial" w:cs="Arial"/>
          <w:i/>
          <w:lang w:val="es-CO"/>
        </w:rPr>
      </w:pPr>
    </w:p>
    <w:p w14:paraId="1337E072" w14:textId="77777777" w:rsidR="00B2442D" w:rsidRDefault="008A645F">
      <w:pPr>
        <w:jc w:val="both"/>
        <w:rPr>
          <w:rFonts w:ascii="Arial" w:hAnsi="Arial" w:cs="Arial"/>
          <w:i/>
          <w:lang w:val="es-CO"/>
        </w:rPr>
      </w:pPr>
      <w:r>
        <w:rPr>
          <w:rFonts w:ascii="Arial" w:hAnsi="Arial" w:cs="Arial"/>
          <w:i/>
          <w:lang w:val="es-CO"/>
        </w:rPr>
        <w:t>(Art. 1, Decreto 405 de 2001)</w:t>
      </w:r>
    </w:p>
    <w:p w14:paraId="61AA2C09" w14:textId="77777777" w:rsidR="00B2442D" w:rsidRDefault="00B2442D">
      <w:pPr>
        <w:jc w:val="both"/>
        <w:rPr>
          <w:rFonts w:ascii="Arial" w:hAnsi="Arial" w:cs="Arial"/>
          <w:lang w:val="es-CO"/>
        </w:rPr>
      </w:pPr>
    </w:p>
    <w:p w14:paraId="58683F11" w14:textId="77777777" w:rsidR="00B2442D" w:rsidRDefault="008A645F">
      <w:pPr>
        <w:pStyle w:val="Prrafodelista"/>
        <w:numPr>
          <w:ilvl w:val="0"/>
          <w:numId w:val="90"/>
        </w:numPr>
        <w:ind w:left="0" w:firstLine="0"/>
        <w:jc w:val="both"/>
        <w:rPr>
          <w:rFonts w:ascii="Arial" w:hAnsi="Arial" w:cs="Arial"/>
          <w:lang w:val="es-CO"/>
        </w:rPr>
      </w:pPr>
      <w:r>
        <w:rPr>
          <w:rFonts w:ascii="Arial" w:hAnsi="Arial" w:cs="Arial"/>
          <w:b/>
          <w:i/>
          <w:lang w:val="es-CO"/>
        </w:rPr>
        <w:t>Entidades vigiladas por la Superintendencia de la Economía Solidaria que son agentes de retención del Gravamen a los M</w:t>
      </w:r>
      <w:r>
        <w:rPr>
          <w:rFonts w:ascii="Arial" w:hAnsi="Arial" w:cs="Arial"/>
          <w:b/>
          <w:i/>
          <w:lang w:val="es-CO"/>
        </w:rPr>
        <w:t xml:space="preserve">ovimientos Financieros. </w:t>
      </w:r>
      <w:r>
        <w:rPr>
          <w:rFonts w:ascii="Arial" w:hAnsi="Arial" w:cs="Arial"/>
          <w:lang w:val="es-CO"/>
        </w:rPr>
        <w:t>Son agentes retenedores del Gravamen a los Movimientos Financieros (GMF) siempre que capten ahorro, las Cooperativas de Ahorro y Crédito, las Cooperativas Multiactivas Integrales con sección de ahorro y crédito, los Fondos de Emplea</w:t>
      </w:r>
      <w:r>
        <w:rPr>
          <w:rFonts w:ascii="Arial" w:hAnsi="Arial" w:cs="Arial"/>
          <w:lang w:val="es-CO"/>
        </w:rPr>
        <w:t>dos y las Asociaciones Mutualistas, vigilados por la Superintendencia de la Economía Solidaria.</w:t>
      </w:r>
    </w:p>
    <w:p w14:paraId="32485B4C" w14:textId="77777777" w:rsidR="00B2442D" w:rsidRDefault="00B2442D">
      <w:pPr>
        <w:jc w:val="both"/>
        <w:rPr>
          <w:rFonts w:ascii="Arial" w:hAnsi="Arial" w:cs="Arial"/>
          <w:lang w:val="es-CO"/>
        </w:rPr>
      </w:pPr>
    </w:p>
    <w:p w14:paraId="1CE35092" w14:textId="77777777" w:rsidR="00B2442D" w:rsidRDefault="008A645F">
      <w:pPr>
        <w:jc w:val="both"/>
        <w:rPr>
          <w:rFonts w:ascii="Arial" w:hAnsi="Arial" w:cs="Arial"/>
          <w:lang w:val="es-CO"/>
        </w:rPr>
      </w:pPr>
      <w:r>
        <w:rPr>
          <w:rFonts w:ascii="Arial" w:hAnsi="Arial" w:cs="Arial"/>
          <w:lang w:val="es-CO"/>
        </w:rPr>
        <w:t>En los casos en que no proceda la exención prevista en los numerales 5 y 7 del artículo 879 del Estatuto Tributario, actuará como agente de retención el girado</w:t>
      </w:r>
      <w:r>
        <w:rPr>
          <w:rFonts w:ascii="Arial" w:hAnsi="Arial" w:cs="Arial"/>
          <w:lang w:val="es-CO"/>
        </w:rPr>
        <w:t>r.</w:t>
      </w:r>
    </w:p>
    <w:p w14:paraId="5796C256" w14:textId="77777777" w:rsidR="00B2442D" w:rsidRDefault="00B2442D">
      <w:pPr>
        <w:jc w:val="both"/>
        <w:rPr>
          <w:rFonts w:ascii="Arial" w:hAnsi="Arial" w:cs="Arial"/>
          <w:lang w:val="es-CO"/>
        </w:rPr>
      </w:pPr>
    </w:p>
    <w:p w14:paraId="4DAA3A27" w14:textId="77777777" w:rsidR="00B2442D" w:rsidRDefault="008A645F">
      <w:pPr>
        <w:jc w:val="both"/>
        <w:rPr>
          <w:rFonts w:ascii="Arial" w:hAnsi="Arial" w:cs="Arial"/>
          <w:lang w:val="es-CO"/>
        </w:rPr>
      </w:pPr>
      <w:r>
        <w:rPr>
          <w:rFonts w:ascii="Arial" w:hAnsi="Arial" w:cs="Arial"/>
          <w:lang w:val="es-CO"/>
        </w:rPr>
        <w:t xml:space="preserve">En el caso de cheques de gerencia que hayan sido solicitados por una sociedad comisionista de bolsa, sociedad fiduciaria o sociedad administradora de inversión actuará como agente de retención la respectiva comisionista de bolsa, sociedad fiduciaria o </w:t>
      </w:r>
      <w:r>
        <w:rPr>
          <w:rFonts w:ascii="Arial" w:hAnsi="Arial" w:cs="Arial"/>
          <w:lang w:val="es-CO"/>
        </w:rPr>
        <w:t>sociedad administradora de inversión.</w:t>
      </w:r>
    </w:p>
    <w:p w14:paraId="1685CD00" w14:textId="77777777" w:rsidR="00B2442D" w:rsidRDefault="00B2442D">
      <w:pPr>
        <w:jc w:val="both"/>
        <w:rPr>
          <w:rFonts w:ascii="Arial" w:hAnsi="Arial" w:cs="Arial"/>
          <w:lang w:val="es-CO"/>
        </w:rPr>
      </w:pPr>
    </w:p>
    <w:p w14:paraId="261642E2" w14:textId="77777777" w:rsidR="00B2442D" w:rsidRDefault="008A645F">
      <w:pPr>
        <w:jc w:val="both"/>
        <w:rPr>
          <w:rFonts w:ascii="Arial" w:hAnsi="Arial" w:cs="Arial"/>
          <w:i/>
          <w:lang w:val="es-CO"/>
        </w:rPr>
      </w:pPr>
      <w:r>
        <w:rPr>
          <w:rFonts w:ascii="Arial" w:hAnsi="Arial" w:cs="Arial"/>
          <w:i/>
          <w:lang w:val="es-CO"/>
        </w:rPr>
        <w:t>(Art. 1, Decreto 449 de 2003, adicionado por el art. 3 del Decreto 660 de 2011)</w:t>
      </w:r>
      <w:r>
        <w:rPr>
          <w:rFonts w:ascii="Arial" w:hAnsi="Arial" w:cs="Arial"/>
        </w:rPr>
        <w:t xml:space="preserve"> </w:t>
      </w:r>
      <w:r>
        <w:rPr>
          <w:rFonts w:ascii="Arial" w:hAnsi="Arial" w:cs="Arial"/>
          <w:i/>
          <w:lang w:val="es-CO"/>
        </w:rPr>
        <w:t xml:space="preserve">(El Decreto 449 de 2003 rige a partir de la fecha de su publicación y deroga, los artículos 2°, 4°, 17, y 25 del Decreto 405 de 2001, el </w:t>
      </w:r>
      <w:r>
        <w:rPr>
          <w:rFonts w:ascii="Arial" w:hAnsi="Arial" w:cs="Arial"/>
          <w:i/>
          <w:lang w:val="es-CO"/>
        </w:rPr>
        <w:t>parágrafo del artículo 1° del Decreto 518 de 2001 y el Decreto 707 de 2001. Art. 16, Decreto 449 de 2003)</w:t>
      </w:r>
    </w:p>
    <w:p w14:paraId="3F108F53" w14:textId="77777777" w:rsidR="00B2442D" w:rsidRDefault="00B2442D">
      <w:pPr>
        <w:jc w:val="both"/>
        <w:rPr>
          <w:rFonts w:ascii="Arial" w:hAnsi="Arial" w:cs="Arial"/>
          <w:lang w:val="es-CO"/>
        </w:rPr>
      </w:pPr>
    </w:p>
    <w:p w14:paraId="795737F8" w14:textId="77777777" w:rsidR="00B2442D" w:rsidRDefault="00B2442D">
      <w:pPr>
        <w:jc w:val="both"/>
        <w:rPr>
          <w:rFonts w:ascii="Arial" w:hAnsi="Arial" w:cs="Arial"/>
          <w:lang w:val="es-CO"/>
        </w:rPr>
      </w:pPr>
    </w:p>
    <w:p w14:paraId="220B169D" w14:textId="77777777" w:rsidR="00B2442D" w:rsidRDefault="008A645F">
      <w:pPr>
        <w:pStyle w:val="Ttulo2"/>
      </w:pPr>
      <w:bookmarkStart w:id="32" w:name="_Toc479171187"/>
      <w:r>
        <w:t>PARTE 5</w:t>
      </w:r>
      <w:bookmarkEnd w:id="32"/>
    </w:p>
    <w:p w14:paraId="1E6F3FB5" w14:textId="77777777" w:rsidR="00B2442D" w:rsidRDefault="008A645F">
      <w:pPr>
        <w:pStyle w:val="Ttulo2"/>
      </w:pPr>
      <w:bookmarkStart w:id="33" w:name="_Toc479171188"/>
      <w:r>
        <w:t>Impuesto sobre la renta para la equidad – CREE e impuesto nacional a la gasolina y al ACPM, y Complementario de Normalización Tributaria</w:t>
      </w:r>
      <w:bookmarkEnd w:id="33"/>
    </w:p>
    <w:p w14:paraId="2CEBBED9" w14:textId="77777777" w:rsidR="00B2442D" w:rsidRDefault="00B2442D">
      <w:pPr>
        <w:jc w:val="both"/>
        <w:rPr>
          <w:rFonts w:ascii="Arial" w:hAnsi="Arial" w:cs="Arial"/>
          <w:lang w:val="es-CO"/>
        </w:rPr>
      </w:pPr>
    </w:p>
    <w:p w14:paraId="6B05583B" w14:textId="77777777" w:rsidR="00B2442D" w:rsidRDefault="008A645F">
      <w:pPr>
        <w:pStyle w:val="Ttulo3"/>
      </w:pPr>
      <w:bookmarkStart w:id="34" w:name="_Toc479171189"/>
      <w:r>
        <w:t>TÍTULO 1</w:t>
      </w:r>
      <w:bookmarkEnd w:id="34"/>
    </w:p>
    <w:p w14:paraId="4716C1A0" w14:textId="77777777" w:rsidR="00B2442D" w:rsidRDefault="008A645F">
      <w:pPr>
        <w:pStyle w:val="Ttulo3"/>
      </w:pPr>
      <w:bookmarkStart w:id="35" w:name="_Toc479171190"/>
      <w:r>
        <w:t>Impuesto sobre la renta para la equidad – CREE</w:t>
      </w:r>
      <w:bookmarkEnd w:id="35"/>
    </w:p>
    <w:p w14:paraId="4F0EEA12" w14:textId="77777777" w:rsidR="00B2442D" w:rsidRDefault="00B2442D">
      <w:pPr>
        <w:rPr>
          <w:rFonts w:ascii="Arial" w:hAnsi="Arial" w:cs="Arial"/>
          <w:lang w:val="es-CO"/>
        </w:rPr>
      </w:pPr>
    </w:p>
    <w:p w14:paraId="0A36914E" w14:textId="77777777" w:rsidR="00B2442D" w:rsidRDefault="008A645F">
      <w:pPr>
        <w:pStyle w:val="Ttulo4"/>
      </w:pPr>
      <w:r>
        <w:t>CAPÍTULO 1</w:t>
      </w:r>
    </w:p>
    <w:p w14:paraId="6A710BDD" w14:textId="77777777" w:rsidR="00B2442D" w:rsidRDefault="008A645F">
      <w:pPr>
        <w:pStyle w:val="Ttulo4"/>
      </w:pPr>
      <w:r>
        <w:t>Contribuyentes sujetos pasivos</w:t>
      </w:r>
    </w:p>
    <w:p w14:paraId="0DE115C6" w14:textId="77777777" w:rsidR="00B2442D" w:rsidRDefault="00B2442D">
      <w:pPr>
        <w:rPr>
          <w:rFonts w:ascii="Arial" w:hAnsi="Arial" w:cs="Arial"/>
        </w:rPr>
      </w:pPr>
    </w:p>
    <w:p w14:paraId="0F0D0368" w14:textId="77777777" w:rsidR="00B2442D" w:rsidRDefault="008A645F">
      <w:pPr>
        <w:pStyle w:val="Prrafodelista"/>
        <w:numPr>
          <w:ilvl w:val="0"/>
          <w:numId w:val="91"/>
        </w:numPr>
        <w:ind w:left="0" w:firstLine="0"/>
        <w:jc w:val="both"/>
        <w:rPr>
          <w:rFonts w:ascii="Arial" w:hAnsi="Arial" w:cs="Arial"/>
          <w:lang w:val="es-CO"/>
        </w:rPr>
      </w:pPr>
      <w:r>
        <w:rPr>
          <w:rFonts w:ascii="Arial" w:hAnsi="Arial" w:cs="Arial"/>
          <w:b/>
          <w:i/>
          <w:lang w:val="es-CO"/>
        </w:rPr>
        <w:t xml:space="preserve">Contribuyentes sujetos pasivos del impuesto sobre la renta para la equidad - CREE. </w:t>
      </w:r>
      <w:r>
        <w:rPr>
          <w:rFonts w:ascii="Arial" w:hAnsi="Arial" w:cs="Arial"/>
          <w:lang w:val="es-CO"/>
        </w:rPr>
        <w:t>De conformidad con el artículo 20 de la Ley 1607 de 2012, son sujetos pasivos del impuesto sobre la renta para la equidad - CREE, las sociedades, personas jurídicas y asimil</w:t>
      </w:r>
      <w:r>
        <w:rPr>
          <w:rFonts w:ascii="Arial" w:hAnsi="Arial" w:cs="Arial"/>
          <w:lang w:val="es-CO"/>
        </w:rPr>
        <w:t>adas contribuyentes declarantes del impuesto sobre la renta y complementario y las sociedades y entidades extranjeras contribuyentes declarantes del impuesto sobre la renta, por sus ingresos de fuente nacional obtenidos mediante sucursales y establecimient</w:t>
      </w:r>
      <w:r>
        <w:rPr>
          <w:rFonts w:ascii="Arial" w:hAnsi="Arial" w:cs="Arial"/>
          <w:lang w:val="es-CO"/>
        </w:rPr>
        <w:t xml:space="preserve">os permanentes. </w:t>
      </w:r>
    </w:p>
    <w:p w14:paraId="01486249" w14:textId="77777777" w:rsidR="00B2442D" w:rsidRDefault="00B2442D">
      <w:pPr>
        <w:jc w:val="both"/>
        <w:rPr>
          <w:rFonts w:ascii="Arial" w:hAnsi="Arial" w:cs="Arial"/>
          <w:lang w:val="es-CO"/>
        </w:rPr>
      </w:pPr>
    </w:p>
    <w:p w14:paraId="50EF3228" w14:textId="77777777" w:rsidR="00B2442D" w:rsidRDefault="008A645F">
      <w:pPr>
        <w:jc w:val="both"/>
        <w:rPr>
          <w:rFonts w:ascii="Arial" w:hAnsi="Arial" w:cs="Arial"/>
          <w:lang w:val="es-CO"/>
        </w:rPr>
      </w:pPr>
      <w:r>
        <w:rPr>
          <w:rFonts w:ascii="Arial" w:hAnsi="Arial" w:cs="Arial"/>
          <w:lang w:val="es-CO"/>
        </w:rPr>
        <w:t>No son sujetos pasivos del impuesto sobre la renta para la equidad - CREE las entidades sin ánimo de lucro, así como las sociedades declaradas como zonas francas a 31 de diciembre de 2012, o aquellas que a dicha fecha hubieren radicado la</w:t>
      </w:r>
      <w:r>
        <w:rPr>
          <w:rFonts w:ascii="Arial" w:hAnsi="Arial" w:cs="Arial"/>
          <w:lang w:val="es-CO"/>
        </w:rPr>
        <w:t xml:space="preserve"> respectiva solicitud ante el Comité Intersectorial de Zonas Francas, y los usuarios que se hayan calificado o se califiquen a futuro en estas que se encuentren sujetos a la tarifa especial del impuesto sobre la renta del quince por ciento (15%) establecid</w:t>
      </w:r>
      <w:r>
        <w:rPr>
          <w:rFonts w:ascii="Arial" w:hAnsi="Arial" w:cs="Arial"/>
          <w:lang w:val="es-CO"/>
        </w:rPr>
        <w:t>a en el inciso 1° del artículo 240-1 del Estatuto Tributario; así como quienes no hayan sido previstas en la ley de manera expresa como sujetos pasivos. Estos sujetos continuarán obligados al pago de los aportes parafiscales y las cotizaciones en los térmi</w:t>
      </w:r>
      <w:r>
        <w:rPr>
          <w:rFonts w:ascii="Arial" w:hAnsi="Arial" w:cs="Arial"/>
          <w:lang w:val="es-CO"/>
        </w:rPr>
        <w:t>nos previstos por las disposiciones que rigen la materia, y en consecuencia no les es aplicable lo dispuesto en los artículos 1.5.1.1.1, 1.5.1.5.1 al 1.5.1.5.5 y 1.5.1.4.1 del presente Decreto.</w:t>
      </w:r>
    </w:p>
    <w:p w14:paraId="036405BF" w14:textId="77777777" w:rsidR="00B2442D" w:rsidRDefault="00B2442D">
      <w:pPr>
        <w:jc w:val="both"/>
        <w:rPr>
          <w:rFonts w:ascii="Arial" w:hAnsi="Arial" w:cs="Arial"/>
          <w:lang w:val="es-CO"/>
        </w:rPr>
      </w:pPr>
    </w:p>
    <w:p w14:paraId="2F3D2DD4" w14:textId="77777777" w:rsidR="00B2442D" w:rsidRDefault="008A645F">
      <w:pPr>
        <w:jc w:val="both"/>
        <w:rPr>
          <w:rFonts w:ascii="Arial" w:hAnsi="Arial" w:cs="Arial"/>
          <w:i/>
          <w:lang w:val="es-CO"/>
        </w:rPr>
      </w:pPr>
      <w:r>
        <w:rPr>
          <w:rFonts w:ascii="Arial" w:hAnsi="Arial" w:cs="Arial"/>
          <w:i/>
          <w:lang w:val="es-CO"/>
        </w:rPr>
        <w:t>(Art. 1, Decreto 1828 de 2013)</w:t>
      </w:r>
    </w:p>
    <w:p w14:paraId="5913F5C1" w14:textId="77777777" w:rsidR="00B2442D" w:rsidRDefault="00B2442D">
      <w:pPr>
        <w:jc w:val="both"/>
        <w:rPr>
          <w:rFonts w:ascii="Arial" w:hAnsi="Arial" w:cs="Arial"/>
          <w:lang w:val="es-CO"/>
        </w:rPr>
      </w:pPr>
    </w:p>
    <w:p w14:paraId="6DC7E1D9" w14:textId="77777777" w:rsidR="00B2442D" w:rsidRDefault="008A645F">
      <w:pPr>
        <w:pStyle w:val="Prrafodelista"/>
        <w:numPr>
          <w:ilvl w:val="0"/>
          <w:numId w:val="91"/>
        </w:numPr>
        <w:ind w:left="0" w:firstLine="0"/>
        <w:jc w:val="both"/>
        <w:rPr>
          <w:rFonts w:ascii="Arial" w:hAnsi="Arial" w:cs="Arial"/>
          <w:lang w:val="es-CO"/>
        </w:rPr>
      </w:pPr>
      <w:r>
        <w:rPr>
          <w:rFonts w:ascii="Arial" w:hAnsi="Arial" w:cs="Arial"/>
          <w:b/>
          <w:i/>
          <w:lang w:val="es-CO"/>
        </w:rPr>
        <w:t>Sujetos pasivos.</w:t>
      </w:r>
      <w:r>
        <w:rPr>
          <w:rFonts w:ascii="Arial" w:hAnsi="Arial" w:cs="Arial"/>
          <w:lang w:val="es-CO"/>
        </w:rPr>
        <w:t xml:space="preserve"> Son sujetos </w:t>
      </w:r>
      <w:r>
        <w:rPr>
          <w:rFonts w:ascii="Arial" w:hAnsi="Arial" w:cs="Arial"/>
          <w:lang w:val="es-CO"/>
        </w:rPr>
        <w:t>pasivos del impuesto sobre la renta para la equidad (CREE) las sociedades y personas jurídicas y asimiladas contribuyentes declarantes del impuesto sobre la renta, así como las sociedades y entidades extranjeras contribuyentes declarantes del impuesto sobr</w:t>
      </w:r>
      <w:r>
        <w:rPr>
          <w:rFonts w:ascii="Arial" w:hAnsi="Arial" w:cs="Arial"/>
          <w:lang w:val="es-CO"/>
        </w:rPr>
        <w:t>e la renta por sus ingresos de fuente nacional obtenidos mediante sucursales y establecimientos permanentes.</w:t>
      </w:r>
    </w:p>
    <w:p w14:paraId="283041E3" w14:textId="77777777" w:rsidR="00B2442D" w:rsidRDefault="00B2442D">
      <w:pPr>
        <w:jc w:val="both"/>
        <w:rPr>
          <w:rFonts w:ascii="Arial" w:hAnsi="Arial" w:cs="Arial"/>
          <w:lang w:val="es-CO"/>
        </w:rPr>
      </w:pPr>
    </w:p>
    <w:p w14:paraId="5E5C6546" w14:textId="77777777" w:rsidR="00B2442D" w:rsidRDefault="008A645F">
      <w:pPr>
        <w:jc w:val="both"/>
        <w:rPr>
          <w:rFonts w:ascii="Arial" w:hAnsi="Arial" w:cs="Arial"/>
          <w:lang w:val="es-CO"/>
        </w:rPr>
      </w:pPr>
      <w:r>
        <w:rPr>
          <w:rFonts w:ascii="Arial" w:hAnsi="Arial" w:cs="Arial"/>
          <w:lang w:val="es-CO"/>
        </w:rPr>
        <w:t>No son sujetos pasivos del impuesto sobre la renta para la equidad (CREE):</w:t>
      </w:r>
    </w:p>
    <w:p w14:paraId="19A61708" w14:textId="77777777" w:rsidR="00B2442D" w:rsidRDefault="00B2442D">
      <w:pPr>
        <w:jc w:val="both"/>
        <w:rPr>
          <w:rFonts w:ascii="Arial" w:hAnsi="Arial" w:cs="Arial"/>
          <w:lang w:val="es-CO"/>
        </w:rPr>
      </w:pPr>
    </w:p>
    <w:p w14:paraId="13CE5744"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Las entidades sin ánimo de lucro.</w:t>
      </w:r>
    </w:p>
    <w:p w14:paraId="6DF67882" w14:textId="77777777" w:rsidR="00B2442D" w:rsidRDefault="00B2442D">
      <w:pPr>
        <w:ind w:left="284" w:hanging="284"/>
        <w:jc w:val="both"/>
        <w:rPr>
          <w:rFonts w:ascii="Arial" w:hAnsi="Arial" w:cs="Arial"/>
          <w:lang w:val="es-CO"/>
        </w:rPr>
      </w:pPr>
    </w:p>
    <w:p w14:paraId="237A04E5"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Las sociedades declaradas com</w:t>
      </w:r>
      <w:r>
        <w:rPr>
          <w:rFonts w:ascii="Arial" w:hAnsi="Arial" w:cs="Arial"/>
          <w:lang w:val="es-CO"/>
        </w:rPr>
        <w:t>o zonas francas al 31 de diciembre de 2012 o aquellas que hubieren radicado la respectiva solicitud ante el Comité Intersectorial de Zonas Francas a 31 de diciembre de 2012.</w:t>
      </w:r>
    </w:p>
    <w:p w14:paraId="1B1A8DCD" w14:textId="77777777" w:rsidR="00B2442D" w:rsidRDefault="00B2442D">
      <w:pPr>
        <w:ind w:left="284" w:hanging="284"/>
        <w:jc w:val="both"/>
        <w:rPr>
          <w:rFonts w:ascii="Arial" w:hAnsi="Arial" w:cs="Arial"/>
          <w:lang w:val="es-CO"/>
        </w:rPr>
      </w:pPr>
    </w:p>
    <w:p w14:paraId="64BEA552"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Las personas jurídicas que sean usuarios de Zona Franca y que se encuentren su</w:t>
      </w:r>
      <w:r>
        <w:rPr>
          <w:rFonts w:ascii="Arial" w:hAnsi="Arial" w:cs="Arial"/>
          <w:lang w:val="es-CO"/>
        </w:rPr>
        <w:t>jetas a la tarifa especial del impuesto sobre la renta y complementario del quince por ciento (15%) establecida en el inciso 1 del artículo 240-1 del Estatuto Tributario.</w:t>
      </w:r>
    </w:p>
    <w:p w14:paraId="00D92F4F" w14:textId="77777777" w:rsidR="00B2442D" w:rsidRDefault="00B2442D">
      <w:pPr>
        <w:ind w:left="284" w:hanging="284"/>
        <w:jc w:val="both"/>
        <w:rPr>
          <w:rFonts w:ascii="Arial" w:hAnsi="Arial" w:cs="Arial"/>
          <w:lang w:val="es-CO"/>
        </w:rPr>
      </w:pPr>
    </w:p>
    <w:p w14:paraId="26F8881F"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Quienes no hayan sido previstos en la ley como sujetos pasivos del impuesto.</w:t>
      </w:r>
    </w:p>
    <w:p w14:paraId="278ADD5D" w14:textId="77777777" w:rsidR="00B2442D" w:rsidRDefault="00B2442D">
      <w:pPr>
        <w:jc w:val="both"/>
        <w:rPr>
          <w:rFonts w:ascii="Arial" w:hAnsi="Arial" w:cs="Arial"/>
          <w:lang w:val="es-CO"/>
        </w:rPr>
      </w:pPr>
    </w:p>
    <w:p w14:paraId="155AFE6F"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2, Decreto 2701 de 2013)</w:t>
      </w:r>
    </w:p>
    <w:p w14:paraId="5EDFA8A6" w14:textId="77777777" w:rsidR="00B2442D" w:rsidRDefault="00B2442D">
      <w:pPr>
        <w:jc w:val="both"/>
        <w:rPr>
          <w:rFonts w:ascii="Arial" w:hAnsi="Arial" w:cs="Arial"/>
          <w:lang w:val="es-CO"/>
        </w:rPr>
      </w:pPr>
    </w:p>
    <w:p w14:paraId="4555D2F7" w14:textId="77777777" w:rsidR="00B2442D" w:rsidRDefault="008A645F">
      <w:pPr>
        <w:pStyle w:val="Ttulo4"/>
      </w:pPr>
      <w:r>
        <w:t>CAPÍTULO 2</w:t>
      </w:r>
    </w:p>
    <w:p w14:paraId="088B2A0C" w14:textId="77777777" w:rsidR="00B2442D" w:rsidRDefault="008A645F">
      <w:pPr>
        <w:pStyle w:val="Ttulo4"/>
      </w:pPr>
      <w:r>
        <w:t>Hecho generador</w:t>
      </w:r>
    </w:p>
    <w:p w14:paraId="5DD8B971" w14:textId="77777777" w:rsidR="00B2442D" w:rsidRDefault="00B2442D">
      <w:pPr>
        <w:rPr>
          <w:rFonts w:ascii="Arial" w:hAnsi="Arial" w:cs="Arial"/>
        </w:rPr>
      </w:pPr>
    </w:p>
    <w:p w14:paraId="5E4F0EE6" w14:textId="77777777" w:rsidR="00B2442D" w:rsidRDefault="008A645F">
      <w:pPr>
        <w:pStyle w:val="Prrafodelista"/>
        <w:numPr>
          <w:ilvl w:val="0"/>
          <w:numId w:val="92"/>
        </w:numPr>
        <w:ind w:left="0" w:firstLine="0"/>
        <w:jc w:val="both"/>
        <w:rPr>
          <w:rFonts w:ascii="Arial" w:hAnsi="Arial" w:cs="Arial"/>
          <w:lang w:val="es-CO"/>
        </w:rPr>
      </w:pPr>
      <w:r>
        <w:rPr>
          <w:rFonts w:ascii="Arial" w:hAnsi="Arial" w:cs="Arial"/>
          <w:b/>
          <w:i/>
          <w:lang w:val="es-CO"/>
        </w:rPr>
        <w:t>Hecho generador.</w:t>
      </w:r>
      <w:r>
        <w:rPr>
          <w:rFonts w:ascii="Arial" w:hAnsi="Arial" w:cs="Arial"/>
          <w:lang w:val="es-CO"/>
        </w:rPr>
        <w:t xml:space="preserve"> El hecho generador del impuesto sobre la renta para la equidad (CREE) es la obtención de ingresos susceptibles de incrementar el patrimonio de los sujetos pasivos en el año o período gravable conforme lo dispuesto en el artículo 21 de la Ley 1607 de 2012.</w:t>
      </w:r>
    </w:p>
    <w:p w14:paraId="19FB6825" w14:textId="77777777" w:rsidR="00B2442D" w:rsidRDefault="00B2442D">
      <w:pPr>
        <w:jc w:val="both"/>
        <w:rPr>
          <w:rFonts w:ascii="Arial" w:hAnsi="Arial" w:cs="Arial"/>
          <w:lang w:val="es-CO"/>
        </w:rPr>
      </w:pPr>
    </w:p>
    <w:p w14:paraId="5CD71E12" w14:textId="77777777" w:rsidR="00B2442D" w:rsidRDefault="008A645F">
      <w:pPr>
        <w:jc w:val="both"/>
        <w:rPr>
          <w:rFonts w:ascii="Arial" w:hAnsi="Arial" w:cs="Arial"/>
          <w:i/>
          <w:lang w:val="es-CO"/>
        </w:rPr>
      </w:pPr>
      <w:r>
        <w:rPr>
          <w:rFonts w:ascii="Arial" w:hAnsi="Arial" w:cs="Arial"/>
          <w:i/>
          <w:lang w:val="es-CO"/>
        </w:rPr>
        <w:t>(Art. 1, Decreto 2701 de 2013)</w:t>
      </w:r>
    </w:p>
    <w:p w14:paraId="43A96F15" w14:textId="77777777" w:rsidR="00B2442D" w:rsidRDefault="00B2442D">
      <w:pPr>
        <w:jc w:val="both"/>
        <w:rPr>
          <w:rFonts w:ascii="Arial" w:hAnsi="Arial" w:cs="Arial"/>
          <w:lang w:val="es-CO"/>
        </w:rPr>
      </w:pPr>
    </w:p>
    <w:p w14:paraId="56174A99" w14:textId="77777777" w:rsidR="00B2442D" w:rsidRDefault="008A645F">
      <w:pPr>
        <w:pStyle w:val="Ttulo4"/>
      </w:pPr>
      <w:r>
        <w:t>CAPÍTULO 3</w:t>
      </w:r>
    </w:p>
    <w:p w14:paraId="5695C4D8" w14:textId="77777777" w:rsidR="00B2442D" w:rsidRDefault="008A645F">
      <w:pPr>
        <w:pStyle w:val="Ttulo4"/>
      </w:pPr>
      <w:r>
        <w:t>Base gravable del impuesto sobre la renta para la equidad – CREE</w:t>
      </w:r>
    </w:p>
    <w:p w14:paraId="4AAD7693" w14:textId="77777777" w:rsidR="00B2442D" w:rsidRDefault="00B2442D">
      <w:pPr>
        <w:jc w:val="both"/>
        <w:rPr>
          <w:rFonts w:ascii="Arial" w:hAnsi="Arial" w:cs="Arial"/>
          <w:lang w:val="es-CO"/>
        </w:rPr>
      </w:pPr>
    </w:p>
    <w:p w14:paraId="7BAAB2A6" w14:textId="77777777" w:rsidR="00B2442D" w:rsidRDefault="008A645F">
      <w:pPr>
        <w:pStyle w:val="Prrafodelista"/>
        <w:numPr>
          <w:ilvl w:val="0"/>
          <w:numId w:val="93"/>
        </w:numPr>
        <w:ind w:left="0" w:firstLine="0"/>
        <w:jc w:val="both"/>
        <w:rPr>
          <w:rFonts w:ascii="Arial" w:hAnsi="Arial" w:cs="Arial"/>
          <w:lang w:val="es-CO"/>
        </w:rPr>
      </w:pPr>
      <w:r>
        <w:rPr>
          <w:rFonts w:ascii="Arial" w:hAnsi="Arial" w:cs="Arial"/>
          <w:b/>
          <w:i/>
          <w:lang w:val="es-CO"/>
        </w:rPr>
        <w:t>Base gravable del impuesto sobre la renta para la equidad – CREE.</w:t>
      </w:r>
      <w:r>
        <w:rPr>
          <w:rFonts w:ascii="Arial" w:hAnsi="Arial" w:cs="Arial"/>
          <w:lang w:val="es-CO"/>
        </w:rPr>
        <w:t xml:space="preserve"> La base gravable del impuesto sobre la renta para la equidad (CREE) se determin</w:t>
      </w:r>
      <w:r>
        <w:rPr>
          <w:rFonts w:ascii="Arial" w:hAnsi="Arial" w:cs="Arial"/>
          <w:lang w:val="es-CO"/>
        </w:rPr>
        <w:t>a así: De la totalidad de los ingresos brutos realizados en el año o periodo gravable, susceptibles de incrementar el patrimonio, sin incluir las ganancias ocasionales, se restarán únicamente:</w:t>
      </w:r>
    </w:p>
    <w:p w14:paraId="5E9494EC" w14:textId="77777777" w:rsidR="00B2442D" w:rsidRDefault="00B2442D">
      <w:pPr>
        <w:jc w:val="both"/>
        <w:rPr>
          <w:rFonts w:ascii="Arial" w:hAnsi="Arial" w:cs="Arial"/>
          <w:lang w:val="es-CO"/>
        </w:rPr>
      </w:pPr>
    </w:p>
    <w:p w14:paraId="0521FD13"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Las devoluciones, rebajas y descuentos.</w:t>
      </w:r>
    </w:p>
    <w:p w14:paraId="03F6857E" w14:textId="77777777" w:rsidR="00B2442D" w:rsidRDefault="00B2442D">
      <w:pPr>
        <w:ind w:left="284" w:hanging="284"/>
        <w:jc w:val="both"/>
        <w:rPr>
          <w:rFonts w:ascii="Arial" w:hAnsi="Arial" w:cs="Arial"/>
          <w:lang w:val="es-CO"/>
        </w:rPr>
      </w:pPr>
    </w:p>
    <w:p w14:paraId="236BE01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Los ingresos no</w:t>
      </w:r>
      <w:r>
        <w:rPr>
          <w:rFonts w:ascii="Arial" w:hAnsi="Arial" w:cs="Arial"/>
          <w:lang w:val="es-CO"/>
        </w:rPr>
        <w:t xml:space="preserve"> constitutivos de renta previstos en el artículo 22 de la Ley 1607 de 2012 que en el año gravable correspondan a ingresos no constitutivos de renta ni ganancia ocasional.</w:t>
      </w:r>
    </w:p>
    <w:p w14:paraId="7C814186" w14:textId="77777777" w:rsidR="00B2442D" w:rsidRDefault="00B2442D">
      <w:pPr>
        <w:ind w:left="284" w:hanging="284"/>
        <w:jc w:val="both"/>
        <w:rPr>
          <w:rFonts w:ascii="Arial" w:hAnsi="Arial" w:cs="Arial"/>
          <w:lang w:val="es-CO"/>
        </w:rPr>
      </w:pPr>
    </w:p>
    <w:p w14:paraId="05BBAA18"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Los costos aceptables para la determinación del impuesto sobre la renta y complem</w:t>
      </w:r>
      <w:r>
        <w:rPr>
          <w:rFonts w:ascii="Arial" w:hAnsi="Arial" w:cs="Arial"/>
          <w:lang w:val="es-CO"/>
        </w:rPr>
        <w:t>entario de conformidad con el Capítulo II del Título 1 del Libro Primero del Estatuto Tributario.</w:t>
      </w:r>
    </w:p>
    <w:p w14:paraId="0B790A4D" w14:textId="77777777" w:rsidR="00B2442D" w:rsidRDefault="00B2442D">
      <w:pPr>
        <w:ind w:left="284" w:hanging="284"/>
        <w:jc w:val="both"/>
        <w:rPr>
          <w:rFonts w:ascii="Arial" w:hAnsi="Arial" w:cs="Arial"/>
          <w:lang w:val="es-CO"/>
        </w:rPr>
      </w:pPr>
    </w:p>
    <w:p w14:paraId="3D8CEC90" w14:textId="77777777" w:rsidR="00B2442D" w:rsidRDefault="008A645F">
      <w:pPr>
        <w:ind w:left="284" w:hanging="284"/>
        <w:jc w:val="both"/>
        <w:rPr>
          <w:rFonts w:ascii="Arial" w:hAnsi="Arial" w:cs="Arial"/>
          <w:lang w:val="es-CO"/>
        </w:rPr>
      </w:pPr>
      <w:r>
        <w:rPr>
          <w:rFonts w:ascii="Arial" w:hAnsi="Arial" w:cs="Arial"/>
          <w:lang w:val="es-CO"/>
        </w:rPr>
        <w:t>4. Las deducciones de los artículos 107 a 117,120 a 124, 126-1, 127-1,145, 146, 148, 149, 159, 171, 174 y 176 del Estatuto Tributario, siempre que cumplan co</w:t>
      </w:r>
      <w:r>
        <w:rPr>
          <w:rFonts w:ascii="Arial" w:hAnsi="Arial" w:cs="Arial"/>
          <w:lang w:val="es-CO"/>
        </w:rPr>
        <w:t>n los requisitos de los artículos 107 y 108 del Estatuto Tributario, así como las correspondientes a la depreciación y amortización de inversiones previstas en los artículos 127,128 a 131-1 y 134 a 144 del Estatuto Tributario.</w:t>
      </w:r>
    </w:p>
    <w:p w14:paraId="625C19D1" w14:textId="77777777" w:rsidR="00B2442D" w:rsidRDefault="00B2442D">
      <w:pPr>
        <w:ind w:left="284" w:hanging="284"/>
        <w:jc w:val="both"/>
        <w:rPr>
          <w:rFonts w:ascii="Arial" w:hAnsi="Arial" w:cs="Arial"/>
          <w:lang w:val="es-CO"/>
        </w:rPr>
      </w:pPr>
    </w:p>
    <w:p w14:paraId="02574809" w14:textId="77777777" w:rsidR="00B2442D" w:rsidRDefault="008A645F">
      <w:pPr>
        <w:ind w:left="284"/>
        <w:jc w:val="both"/>
        <w:rPr>
          <w:rFonts w:ascii="Arial" w:hAnsi="Arial" w:cs="Arial"/>
          <w:lang w:val="es-CO"/>
        </w:rPr>
      </w:pPr>
      <w:r>
        <w:rPr>
          <w:rFonts w:ascii="Arial" w:hAnsi="Arial" w:cs="Arial"/>
          <w:lang w:val="es-CO"/>
        </w:rPr>
        <w:t>Estas deducciones se aplicar</w:t>
      </w:r>
      <w:r>
        <w:rPr>
          <w:rFonts w:ascii="Arial" w:hAnsi="Arial" w:cs="Arial"/>
          <w:lang w:val="es-CO"/>
        </w:rPr>
        <w:t>án con las limitaciones y restricciones de los artículos 118, 124-1,124-2, 151 a 155 y 177 a 177-2 del Estatuto Tributario.</w:t>
      </w:r>
    </w:p>
    <w:p w14:paraId="69734454" w14:textId="77777777" w:rsidR="00B2442D" w:rsidRDefault="00B2442D">
      <w:pPr>
        <w:ind w:left="284" w:hanging="284"/>
        <w:jc w:val="both"/>
        <w:rPr>
          <w:rFonts w:ascii="Arial" w:hAnsi="Arial" w:cs="Arial"/>
          <w:lang w:val="es-CO"/>
        </w:rPr>
      </w:pPr>
    </w:p>
    <w:p w14:paraId="06113A2A"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 xml:space="preserve">Las rentas exentas de que trata la Decisión 578 de la Comunidad Andina de Naciones que contiene el régimen para evitar la doble </w:t>
      </w:r>
      <w:r>
        <w:rPr>
          <w:rFonts w:ascii="Arial" w:hAnsi="Arial" w:cs="Arial"/>
          <w:lang w:val="es-CO"/>
        </w:rPr>
        <w:t>tributación y prevenir la evasión fiscal, el artículo 4 del Decreto 841 de 1998, el artículo 135 de la Ley 100 de 1993, los artículos 16 y 56 de la Ley 546 de 1999 y las exenciones contempladas en el numeral 9 del artículo 207-2 del Estatuto Tributario por</w:t>
      </w:r>
      <w:r>
        <w:rPr>
          <w:rFonts w:ascii="Arial" w:hAnsi="Arial" w:cs="Arial"/>
          <w:lang w:val="es-CO"/>
        </w:rPr>
        <w:t xml:space="preserve"> los años 2013 a 2017.</w:t>
      </w:r>
    </w:p>
    <w:p w14:paraId="5DF11A19" w14:textId="77777777" w:rsidR="00B2442D" w:rsidRDefault="00B2442D">
      <w:pPr>
        <w:jc w:val="both"/>
        <w:rPr>
          <w:rFonts w:ascii="Arial" w:hAnsi="Arial" w:cs="Arial"/>
          <w:lang w:val="es-CO"/>
        </w:rPr>
      </w:pPr>
    </w:p>
    <w:p w14:paraId="05831DCF" w14:textId="77777777" w:rsidR="00B2442D" w:rsidRDefault="008A645F">
      <w:pPr>
        <w:jc w:val="both"/>
        <w:rPr>
          <w:rFonts w:ascii="Arial" w:hAnsi="Arial" w:cs="Arial"/>
          <w:i/>
          <w:lang w:val="es-CO"/>
        </w:rPr>
      </w:pPr>
      <w:r>
        <w:rPr>
          <w:rFonts w:ascii="Arial" w:hAnsi="Arial" w:cs="Arial"/>
          <w:i/>
          <w:lang w:val="es-CO"/>
        </w:rPr>
        <w:t>(Suspensión provisional de los efectos del parágrafo 1 del artículo 3 del Decreto 2701/13 mediante auto del 24-02-15. Consejo de Estado. Sección Cuarta. Expediente No. 110010327000201400012-00 -20998-). Consejero Ponente. Dr Jorge O</w:t>
      </w:r>
      <w:r>
        <w:rPr>
          <w:rFonts w:ascii="Arial" w:hAnsi="Arial" w:cs="Arial"/>
          <w:i/>
          <w:lang w:val="es-CO"/>
        </w:rPr>
        <w:t xml:space="preserve">ctavio Ramírez Ramírez. </w:t>
      </w:r>
    </w:p>
    <w:p w14:paraId="121B30D2" w14:textId="77777777" w:rsidR="00B2442D" w:rsidRDefault="00B2442D">
      <w:pPr>
        <w:jc w:val="both"/>
        <w:rPr>
          <w:rFonts w:ascii="Arial" w:hAnsi="Arial" w:cs="Arial"/>
          <w:lang w:val="es-CO"/>
        </w:rPr>
      </w:pPr>
    </w:p>
    <w:p w14:paraId="382C989E"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En todo caso, la base gravable del impuesto sobre la renta para la equidad (CREE), no podrá ser inferior al tres por ciento (3%) del patrimonio líquido del contribuyente en el último día del año gravable inmediatamente anterior determinado conforme a los </w:t>
      </w:r>
      <w:r>
        <w:rPr>
          <w:rFonts w:ascii="Arial" w:hAnsi="Arial" w:cs="Arial"/>
          <w:lang w:val="es-CO"/>
        </w:rPr>
        <w:t>artículos 189 y 193 del Estatuto Tributario. Esta base será aplicada por la totalidad de los contribuyentes del impuesto sobre la renta para la equidad (CREE).</w:t>
      </w:r>
    </w:p>
    <w:p w14:paraId="21E7C54F" w14:textId="77777777" w:rsidR="00B2442D" w:rsidRDefault="00B2442D">
      <w:pPr>
        <w:jc w:val="both"/>
        <w:rPr>
          <w:rFonts w:ascii="Arial" w:hAnsi="Arial" w:cs="Arial"/>
          <w:lang w:val="es-CO"/>
        </w:rPr>
      </w:pPr>
    </w:p>
    <w:p w14:paraId="53892E5B" w14:textId="77777777" w:rsidR="00B2442D" w:rsidRDefault="008A645F">
      <w:pPr>
        <w:jc w:val="both"/>
        <w:rPr>
          <w:rFonts w:ascii="Arial" w:hAnsi="Arial" w:cs="Arial"/>
          <w:i/>
          <w:lang w:val="es-CO"/>
        </w:rPr>
      </w:pPr>
      <w:r>
        <w:rPr>
          <w:rFonts w:ascii="Arial" w:hAnsi="Arial" w:cs="Arial"/>
          <w:i/>
          <w:lang w:val="es-CO"/>
        </w:rPr>
        <w:t>(Art. 3, Decreto 2701 de 2013, modificado el numeral 4 por el art. 6 del Decreto 3048 de 2013)</w:t>
      </w:r>
    </w:p>
    <w:p w14:paraId="50C43DE9" w14:textId="77777777" w:rsidR="00B2442D" w:rsidRDefault="00B2442D">
      <w:pPr>
        <w:jc w:val="both"/>
        <w:rPr>
          <w:rFonts w:ascii="Arial" w:hAnsi="Arial" w:cs="Arial"/>
          <w:lang w:val="es-CO"/>
        </w:rPr>
      </w:pPr>
    </w:p>
    <w:p w14:paraId="13880038" w14:textId="77777777" w:rsidR="00B2442D" w:rsidRDefault="008A645F">
      <w:pPr>
        <w:pStyle w:val="Ttulo4"/>
      </w:pPr>
      <w:r>
        <w:t>CAPÍTULO 4</w:t>
      </w:r>
    </w:p>
    <w:p w14:paraId="637D1F63" w14:textId="77777777" w:rsidR="00B2442D" w:rsidRDefault="00B2442D">
      <w:pPr>
        <w:jc w:val="both"/>
        <w:rPr>
          <w:rFonts w:ascii="Arial" w:hAnsi="Arial" w:cs="Arial"/>
          <w:lang w:val="es-CO"/>
        </w:rPr>
      </w:pPr>
    </w:p>
    <w:p w14:paraId="5229F7E6" w14:textId="77777777" w:rsidR="00B2442D" w:rsidRDefault="008A645F">
      <w:pPr>
        <w:jc w:val="both"/>
        <w:rPr>
          <w:rFonts w:ascii="Arial" w:hAnsi="Arial" w:cs="Arial"/>
          <w:i/>
          <w:lang w:val="es-CO"/>
        </w:rPr>
      </w:pPr>
      <w:r>
        <w:rPr>
          <w:rFonts w:ascii="Arial" w:hAnsi="Arial" w:cs="Arial"/>
          <w:i/>
          <w:lang w:val="es-CO"/>
        </w:rPr>
        <w:t xml:space="preserve">(Art. 1.5.1.4.1, eliminado por el </w:t>
      </w:r>
      <w:hyperlink r:id="rId37" w:history="1">
        <w:r>
          <w:rPr>
            <w:rStyle w:val="Hipervnculo"/>
            <w:rFonts w:ascii="Arial" w:hAnsi="Arial" w:cs="Arial"/>
            <w:i/>
            <w:lang w:val="es-CO"/>
          </w:rPr>
          <w:t>Art. 2 del Decreto 2201 de 2016</w:t>
        </w:r>
      </w:hyperlink>
      <w:r>
        <w:rPr>
          <w:rFonts w:ascii="Arial" w:hAnsi="Arial" w:cs="Arial"/>
          <w:i/>
          <w:lang w:val="es-CO"/>
        </w:rPr>
        <w:t>)</w:t>
      </w:r>
    </w:p>
    <w:p w14:paraId="2F1811B7" w14:textId="77777777" w:rsidR="00B2442D" w:rsidRDefault="00B2442D">
      <w:pPr>
        <w:jc w:val="both"/>
        <w:rPr>
          <w:rFonts w:ascii="Arial" w:hAnsi="Arial" w:cs="Arial"/>
          <w:lang w:val="es-CO"/>
        </w:rPr>
      </w:pPr>
    </w:p>
    <w:p w14:paraId="496C672E" w14:textId="77777777" w:rsidR="00B2442D" w:rsidRDefault="008A645F">
      <w:pPr>
        <w:pStyle w:val="Ttulo4"/>
      </w:pPr>
      <w:r>
        <w:t>CAPÍTULO 5</w:t>
      </w:r>
    </w:p>
    <w:p w14:paraId="5EBF3769" w14:textId="77777777" w:rsidR="00B2442D" w:rsidRDefault="00B2442D">
      <w:pPr>
        <w:jc w:val="both"/>
        <w:rPr>
          <w:rFonts w:ascii="Arial" w:hAnsi="Arial" w:cs="Arial"/>
          <w:lang w:val="es-CO"/>
        </w:rPr>
      </w:pPr>
    </w:p>
    <w:p w14:paraId="68BD9FF8" w14:textId="77777777" w:rsidR="00B2442D" w:rsidRDefault="008A645F">
      <w:pPr>
        <w:jc w:val="both"/>
        <w:rPr>
          <w:rFonts w:ascii="Arial" w:hAnsi="Arial" w:cs="Arial"/>
          <w:i/>
          <w:lang w:val="es-CO"/>
        </w:rPr>
      </w:pPr>
      <w:r>
        <w:rPr>
          <w:rFonts w:ascii="Arial" w:hAnsi="Arial" w:cs="Arial"/>
          <w:i/>
          <w:lang w:val="es-CO"/>
        </w:rPr>
        <w:t>(Arts. 1.5.1.5.1, 1.5.1.5.2, 1.5.1.5.3, 1.5.1.5.4 y 1.5.1.</w:t>
      </w:r>
      <w:r>
        <w:rPr>
          <w:rFonts w:ascii="Arial" w:hAnsi="Arial" w:cs="Arial"/>
          <w:i/>
          <w:lang w:val="es-CO"/>
        </w:rPr>
        <w:t xml:space="preserve">5.5, eliminados por el </w:t>
      </w:r>
      <w:hyperlink r:id="rId38" w:history="1">
        <w:r>
          <w:rPr>
            <w:rStyle w:val="Hipervnculo"/>
            <w:rFonts w:ascii="Arial" w:hAnsi="Arial" w:cs="Arial"/>
            <w:i/>
            <w:lang w:val="es-CO"/>
          </w:rPr>
          <w:t>Art. 3 del Decreto 2201 de 2016)</w:t>
        </w:r>
      </w:hyperlink>
    </w:p>
    <w:p w14:paraId="4DAECB5A" w14:textId="77777777" w:rsidR="00B2442D" w:rsidRDefault="00B2442D">
      <w:pPr>
        <w:jc w:val="both"/>
        <w:rPr>
          <w:rFonts w:ascii="Arial" w:hAnsi="Arial" w:cs="Arial"/>
          <w:lang w:val="es-CO"/>
        </w:rPr>
      </w:pPr>
    </w:p>
    <w:p w14:paraId="45BC28DE" w14:textId="77777777" w:rsidR="00B2442D" w:rsidRDefault="008A645F">
      <w:pPr>
        <w:pStyle w:val="Ttulo4"/>
      </w:pPr>
      <w:r>
        <w:t>CAPÍTULO 6</w:t>
      </w:r>
    </w:p>
    <w:p w14:paraId="5E789913" w14:textId="77777777" w:rsidR="00B2442D" w:rsidRDefault="008A645F">
      <w:pPr>
        <w:pStyle w:val="Ttulo4"/>
      </w:pPr>
      <w:r>
        <w:t>Devoluciones del impuesto sobre la renta para la equidad (CREE)</w:t>
      </w:r>
    </w:p>
    <w:p w14:paraId="5395523B" w14:textId="77777777" w:rsidR="00B2442D" w:rsidRDefault="00B2442D">
      <w:pPr>
        <w:jc w:val="both"/>
        <w:rPr>
          <w:rFonts w:ascii="Arial" w:hAnsi="Arial" w:cs="Arial"/>
          <w:b/>
          <w:lang w:val="es-CO"/>
        </w:rPr>
      </w:pPr>
    </w:p>
    <w:p w14:paraId="22808397"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Devolución de sald</w:t>
      </w:r>
      <w:r>
        <w:rPr>
          <w:rFonts w:ascii="Arial" w:hAnsi="Arial" w:cs="Arial"/>
          <w:b/>
          <w:i/>
          <w:lang w:val="es-CO"/>
        </w:rPr>
        <w:t>os a favor en el impuesto sobre la renta para la equidad (CREE).</w:t>
      </w:r>
      <w:r>
        <w:rPr>
          <w:rFonts w:ascii="Arial" w:hAnsi="Arial" w:cs="Arial"/>
          <w:lang w:val="es-CO"/>
        </w:rPr>
        <w:t xml:space="preserve"> Los sujetos pasivos del impuesto sobre la renta para la equidad (CREE) que liquiden saldos a favor en sus declaraciones del impuesto sobre la renta para la equidad (CREE), o quienes realicen </w:t>
      </w:r>
      <w:r>
        <w:rPr>
          <w:rFonts w:ascii="Arial" w:hAnsi="Arial" w:cs="Arial"/>
          <w:lang w:val="es-CO"/>
        </w:rPr>
        <w:t>pagos en exceso o de lo no debido, podrán solicitar su devolución, de acuerdo con lo señalado en el artículo 850 del Estatuto Tributario.</w:t>
      </w:r>
    </w:p>
    <w:p w14:paraId="37450FBF" w14:textId="77777777" w:rsidR="00B2442D" w:rsidRDefault="00B2442D">
      <w:pPr>
        <w:jc w:val="both"/>
        <w:rPr>
          <w:rFonts w:ascii="Arial" w:hAnsi="Arial" w:cs="Arial"/>
          <w:lang w:val="es-CO"/>
        </w:rPr>
      </w:pPr>
    </w:p>
    <w:p w14:paraId="6F79EEB2" w14:textId="77777777" w:rsidR="00B2442D" w:rsidRDefault="008A645F">
      <w:pPr>
        <w:jc w:val="both"/>
        <w:rPr>
          <w:rFonts w:ascii="Arial" w:hAnsi="Arial" w:cs="Arial"/>
          <w:lang w:val="es-CO"/>
        </w:rPr>
      </w:pPr>
      <w:r>
        <w:rPr>
          <w:rFonts w:ascii="Arial" w:hAnsi="Arial" w:cs="Arial"/>
          <w:i/>
          <w:lang w:val="es-CO"/>
        </w:rPr>
        <w:t>(Art. 7, Decreto 2701 de 2013. Las expresiones “o compensación” y “815” tienen decaimiento, en virtud del artículo 20</w:t>
      </w:r>
      <w:r>
        <w:rPr>
          <w:rFonts w:ascii="Arial" w:hAnsi="Arial" w:cs="Arial"/>
          <w:i/>
          <w:lang w:val="es-CO"/>
        </w:rPr>
        <w:t xml:space="preserve"> de la Ley 1739 de 2014 que adicionó el artículo 26-1 a la Ley 1607 de 2012)</w:t>
      </w:r>
    </w:p>
    <w:p w14:paraId="33C71A7A" w14:textId="77777777" w:rsidR="00B2442D" w:rsidRDefault="00B2442D">
      <w:pPr>
        <w:jc w:val="both"/>
        <w:rPr>
          <w:rFonts w:ascii="Arial" w:hAnsi="Arial" w:cs="Arial"/>
          <w:lang w:val="es-CO"/>
        </w:rPr>
      </w:pPr>
    </w:p>
    <w:p w14:paraId="784F7EE0"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Término para solicitar la devolución.</w:t>
      </w:r>
      <w:r>
        <w:rPr>
          <w:rFonts w:ascii="Arial" w:hAnsi="Arial" w:cs="Arial"/>
          <w:lang w:val="es-CO"/>
        </w:rPr>
        <w:t xml:space="preserve"> La solicitud de devolución del impuesto sobre la renta para la equidad (CREE), deberá presentarse a más tardar dos (2) años después de la fe</w:t>
      </w:r>
      <w:r>
        <w:rPr>
          <w:rFonts w:ascii="Arial" w:hAnsi="Arial" w:cs="Arial"/>
          <w:lang w:val="es-CO"/>
        </w:rPr>
        <w:t>cha de vencimiento del término para declarar.</w:t>
      </w:r>
    </w:p>
    <w:p w14:paraId="1CC35F4C" w14:textId="77777777" w:rsidR="00B2442D" w:rsidRDefault="00B2442D">
      <w:pPr>
        <w:jc w:val="both"/>
        <w:rPr>
          <w:rFonts w:ascii="Arial" w:hAnsi="Arial" w:cs="Arial"/>
          <w:lang w:val="es-CO"/>
        </w:rPr>
      </w:pPr>
    </w:p>
    <w:p w14:paraId="0E2BAD45" w14:textId="77777777" w:rsidR="00B2442D" w:rsidRDefault="008A645F">
      <w:pPr>
        <w:jc w:val="both"/>
        <w:rPr>
          <w:rFonts w:ascii="Arial" w:hAnsi="Arial" w:cs="Arial"/>
          <w:lang w:val="es-CO"/>
        </w:rPr>
      </w:pPr>
      <w:r>
        <w:rPr>
          <w:rFonts w:ascii="Arial" w:hAnsi="Arial" w:cs="Arial"/>
          <w:lang w:val="es-CO"/>
        </w:rPr>
        <w:t>Cuando el saldo a favor haya sido modificado mediante una liquidación oficial y no se hubiere efectuado la devolución, la parte rechazada no podrá solicitarse aunque dicha liquidación haya sido impugnada, hast</w:t>
      </w:r>
      <w:r>
        <w:rPr>
          <w:rFonts w:ascii="Arial" w:hAnsi="Arial" w:cs="Arial"/>
          <w:lang w:val="es-CO"/>
        </w:rPr>
        <w:t>a tanto se resuelva definitivamente sobre la procedencia del saldo.</w:t>
      </w:r>
    </w:p>
    <w:p w14:paraId="3CA2EE8F" w14:textId="77777777" w:rsidR="00B2442D" w:rsidRDefault="00B2442D">
      <w:pPr>
        <w:jc w:val="both"/>
        <w:rPr>
          <w:rFonts w:ascii="Arial" w:hAnsi="Arial" w:cs="Arial"/>
          <w:lang w:val="es-CO"/>
        </w:rPr>
      </w:pPr>
    </w:p>
    <w:p w14:paraId="51A6AA28" w14:textId="77777777" w:rsidR="00B2442D" w:rsidRDefault="008A645F">
      <w:pPr>
        <w:jc w:val="both"/>
        <w:rPr>
          <w:rFonts w:ascii="Arial" w:hAnsi="Arial" w:cs="Arial"/>
          <w:i/>
          <w:lang w:val="es-CO"/>
        </w:rPr>
      </w:pPr>
      <w:r>
        <w:rPr>
          <w:rFonts w:ascii="Arial" w:hAnsi="Arial" w:cs="Arial"/>
          <w:i/>
          <w:lang w:val="es-CO"/>
        </w:rPr>
        <w:t xml:space="preserve">(Art. 8, Decreto 2701 de 2013. Las expresiones “o compensación” y “815” tienen decaimiento por la evolución normativa (Art. 26-1 a la Ley 1607 de 2012 adicionado por el art. 20 de la Ley </w:t>
      </w:r>
      <w:r>
        <w:rPr>
          <w:rFonts w:ascii="Arial" w:hAnsi="Arial" w:cs="Arial"/>
          <w:i/>
          <w:lang w:val="es-CO"/>
        </w:rPr>
        <w:t>1739 de 2014))</w:t>
      </w:r>
    </w:p>
    <w:p w14:paraId="01DAA1F1" w14:textId="77777777" w:rsidR="00B2442D" w:rsidRDefault="00B2442D">
      <w:pPr>
        <w:jc w:val="both"/>
        <w:rPr>
          <w:rFonts w:ascii="Arial" w:hAnsi="Arial" w:cs="Arial"/>
          <w:lang w:val="es-CO"/>
        </w:rPr>
      </w:pPr>
    </w:p>
    <w:p w14:paraId="3B83531F"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 xml:space="preserve">Término para efectuar la devolución. </w:t>
      </w:r>
      <w:r>
        <w:rPr>
          <w:rFonts w:ascii="Arial" w:hAnsi="Arial" w:cs="Arial"/>
          <w:lang w:val="es-CO"/>
        </w:rPr>
        <w:t>El término para efectuar las devoluciones de que tratan los artículos 1.5.1.2.1, 1.5.1.1.2, 1.5.1.3.1, 1.2.1.18.15, 1.5.1.6.1 al 1.5.1.6.7 del presente Decreto será el consagrado en el artículo 855 del E</w:t>
      </w:r>
      <w:r>
        <w:rPr>
          <w:rFonts w:ascii="Arial" w:hAnsi="Arial" w:cs="Arial"/>
          <w:lang w:val="es-CO"/>
        </w:rPr>
        <w:t>statuto Tributario, contado a partir de la radicación de la solicitud de devolución, presentada oportunamente y en debida forma.</w:t>
      </w:r>
    </w:p>
    <w:p w14:paraId="3818AB6C" w14:textId="77777777" w:rsidR="00B2442D" w:rsidRDefault="00B2442D">
      <w:pPr>
        <w:jc w:val="both"/>
        <w:rPr>
          <w:rFonts w:ascii="Arial" w:hAnsi="Arial" w:cs="Arial"/>
          <w:b/>
          <w:lang w:val="es-CO"/>
        </w:rPr>
      </w:pPr>
    </w:p>
    <w:p w14:paraId="257532F1" w14:textId="77777777" w:rsidR="00B2442D" w:rsidRDefault="008A645F">
      <w:pPr>
        <w:jc w:val="both"/>
        <w:rPr>
          <w:rFonts w:ascii="Arial" w:hAnsi="Arial" w:cs="Arial"/>
          <w:i/>
          <w:lang w:val="es-CO"/>
        </w:rPr>
      </w:pPr>
      <w:r>
        <w:rPr>
          <w:rFonts w:ascii="Arial" w:hAnsi="Arial" w:cs="Arial"/>
          <w:i/>
          <w:lang w:val="es-CO"/>
        </w:rPr>
        <w:t xml:space="preserve">(Art. 9, Decreto 2701 de 2013. Las expresiones “o compensación” y “815” tienen decaimiento por la evolución normativa </w:t>
      </w:r>
      <w:r>
        <w:rPr>
          <w:rFonts w:ascii="Arial" w:hAnsi="Arial" w:cs="Arial"/>
          <w:i/>
          <w:lang w:val="es-CO"/>
        </w:rPr>
        <w:t>(Art. 26-1 a la Ley 1607 de 2012 adicionado por el art. 20 de la Ley 1739 de 2014))</w:t>
      </w:r>
    </w:p>
    <w:p w14:paraId="1C2FFFD3" w14:textId="77777777" w:rsidR="00B2442D" w:rsidRDefault="00B2442D">
      <w:pPr>
        <w:jc w:val="both"/>
        <w:rPr>
          <w:rFonts w:ascii="Arial" w:hAnsi="Arial" w:cs="Arial"/>
          <w:b/>
          <w:lang w:val="es-CO"/>
        </w:rPr>
      </w:pPr>
    </w:p>
    <w:p w14:paraId="787604EF"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Requisitos de la solicitud de devolución.</w:t>
      </w:r>
      <w:r>
        <w:rPr>
          <w:rFonts w:ascii="Arial" w:hAnsi="Arial" w:cs="Arial"/>
          <w:lang w:val="es-CO"/>
        </w:rPr>
        <w:t xml:space="preserve"> La solicitud de devolución deberá ser presentada personalmente por el sujeto pasivo, por su representante legal, o a través de ap</w:t>
      </w:r>
      <w:r>
        <w:rPr>
          <w:rFonts w:ascii="Arial" w:hAnsi="Arial" w:cs="Arial"/>
          <w:lang w:val="es-CO"/>
        </w:rPr>
        <w:t>oderado, acreditando la calidad correspondiente para cada caso, y deberá cumplir con los requisitos generales establecidos en el artículo 1.6.1.21.13 del presente Decreto, o en el que lo modifique o sustituya.</w:t>
      </w:r>
    </w:p>
    <w:p w14:paraId="62A8495F" w14:textId="77777777" w:rsidR="00B2442D" w:rsidRDefault="00B2442D">
      <w:pPr>
        <w:jc w:val="both"/>
        <w:rPr>
          <w:rFonts w:ascii="Arial" w:hAnsi="Arial" w:cs="Arial"/>
          <w:lang w:val="es-CO"/>
        </w:rPr>
      </w:pPr>
    </w:p>
    <w:p w14:paraId="6D13A7C9" w14:textId="77777777" w:rsidR="00B2442D" w:rsidRDefault="008A645F">
      <w:pPr>
        <w:jc w:val="both"/>
        <w:rPr>
          <w:rFonts w:ascii="Arial" w:hAnsi="Arial" w:cs="Arial"/>
          <w:lang w:val="es-CO"/>
        </w:rPr>
      </w:pPr>
      <w:r>
        <w:rPr>
          <w:rFonts w:ascii="Arial" w:hAnsi="Arial" w:cs="Arial"/>
          <w:lang w:val="es-CO"/>
        </w:rPr>
        <w:t>Adicionalmente, deberá adjuntarse una relació</w:t>
      </w:r>
      <w:r>
        <w:rPr>
          <w:rFonts w:ascii="Arial" w:hAnsi="Arial" w:cs="Arial"/>
          <w:lang w:val="es-CO"/>
        </w:rPr>
        <w:t>n de las autorretenciones que originaron el saldo a favor del período solicitado y de las que componen el arrastre, así como el valor base de autorretención, el valor autorretenido y el lugar donde consignaron la totalidad de los valores autorretenidos. Di</w:t>
      </w:r>
      <w:r>
        <w:rPr>
          <w:rFonts w:ascii="Arial" w:hAnsi="Arial" w:cs="Arial"/>
          <w:lang w:val="es-CO"/>
        </w:rPr>
        <w:t>cha relación debe ser certificada por revisor fiscal o contador público según el caso.</w:t>
      </w:r>
    </w:p>
    <w:p w14:paraId="2618C7E7" w14:textId="77777777" w:rsidR="00B2442D" w:rsidRDefault="00B2442D">
      <w:pPr>
        <w:jc w:val="both"/>
        <w:rPr>
          <w:rFonts w:ascii="Arial" w:hAnsi="Arial" w:cs="Arial"/>
          <w:lang w:val="es-CO"/>
        </w:rPr>
      </w:pPr>
    </w:p>
    <w:p w14:paraId="1FB9A26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el caso de las retenciones en la fuente que se hayan practicado en el año 2013 antes del 27 de agosto de 2013 (D. O. 48895), deberá adjuntarse a la solicitud de devolución, una relación de las retenciones en la fuente que originaron el saldo a favor de</w:t>
      </w:r>
      <w:r>
        <w:rPr>
          <w:rFonts w:ascii="Arial" w:hAnsi="Arial" w:cs="Arial"/>
          <w:lang w:val="es-CO"/>
        </w:rPr>
        <w:t>l período solicitado y de los que componen el arrastre, indicando el nombre o razón social y NIT de cada agente retenedor, así como el valor base de retención y el valor retenido, certificada por revisor fiscal o contador público según el caso.</w:t>
      </w:r>
    </w:p>
    <w:p w14:paraId="2F979605" w14:textId="77777777" w:rsidR="00B2442D" w:rsidRDefault="00B2442D">
      <w:pPr>
        <w:jc w:val="both"/>
        <w:rPr>
          <w:rFonts w:ascii="Arial" w:hAnsi="Arial" w:cs="Arial"/>
          <w:lang w:val="es-CO"/>
        </w:rPr>
      </w:pPr>
    </w:p>
    <w:p w14:paraId="6563006D" w14:textId="77777777" w:rsidR="00B2442D" w:rsidRDefault="008A645F">
      <w:pPr>
        <w:jc w:val="both"/>
        <w:rPr>
          <w:rFonts w:ascii="Arial" w:hAnsi="Arial" w:cs="Arial"/>
          <w:i/>
          <w:lang w:val="es-CO"/>
        </w:rPr>
      </w:pPr>
      <w:r>
        <w:rPr>
          <w:rFonts w:ascii="Arial" w:hAnsi="Arial" w:cs="Arial"/>
          <w:i/>
          <w:lang w:val="es-CO"/>
        </w:rPr>
        <w:t xml:space="preserve">(Art. 10, </w:t>
      </w:r>
      <w:r>
        <w:rPr>
          <w:rFonts w:ascii="Arial" w:hAnsi="Arial" w:cs="Arial"/>
          <w:i/>
          <w:lang w:val="es-CO"/>
        </w:rPr>
        <w:t>Decreto 2701 de 2013, la frase “o compensación” tiene decaimiento por la evolución normativa (Art. 26-1 a la Ley 1607 de 2012 adicionado por el art. 20 de la Ley 1739 de 2014))</w:t>
      </w:r>
    </w:p>
    <w:p w14:paraId="221441CC" w14:textId="77777777" w:rsidR="00B2442D" w:rsidRDefault="00B2442D">
      <w:pPr>
        <w:jc w:val="both"/>
        <w:rPr>
          <w:rFonts w:ascii="Arial" w:hAnsi="Arial" w:cs="Arial"/>
          <w:lang w:val="es-CO"/>
        </w:rPr>
      </w:pPr>
    </w:p>
    <w:p w14:paraId="7E2CEDAC"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Imputación de los saldos a favor.</w:t>
      </w:r>
      <w:r>
        <w:rPr>
          <w:rFonts w:ascii="Arial" w:hAnsi="Arial" w:cs="Arial"/>
          <w:lang w:val="es-CO"/>
        </w:rPr>
        <w:t xml:space="preserve"> Los saldos a favor originados en las declara</w:t>
      </w:r>
      <w:r>
        <w:rPr>
          <w:rFonts w:ascii="Arial" w:hAnsi="Arial" w:cs="Arial"/>
          <w:lang w:val="es-CO"/>
        </w:rPr>
        <w:t>ciones del impuesto sobre la renta para la equidad (CREE) se podrán imputar en la declaración tributaria del mismo impuesto en el período siguiente por su valor total, aun cuando con tal imputación se genere un nuevo saldo a favor.</w:t>
      </w:r>
    </w:p>
    <w:p w14:paraId="1CA6D307" w14:textId="77777777" w:rsidR="00B2442D" w:rsidRDefault="00B2442D">
      <w:pPr>
        <w:jc w:val="both"/>
        <w:rPr>
          <w:rFonts w:ascii="Arial" w:hAnsi="Arial" w:cs="Arial"/>
          <w:lang w:val="es-CO"/>
        </w:rPr>
      </w:pPr>
    </w:p>
    <w:p w14:paraId="46FA6A9D" w14:textId="77777777" w:rsidR="00B2442D" w:rsidRDefault="008A645F">
      <w:pPr>
        <w:jc w:val="both"/>
        <w:rPr>
          <w:rFonts w:ascii="Arial" w:hAnsi="Arial" w:cs="Arial"/>
          <w:lang w:val="es-CO"/>
        </w:rPr>
      </w:pPr>
      <w:r>
        <w:rPr>
          <w:rFonts w:ascii="Arial" w:hAnsi="Arial" w:cs="Arial"/>
          <w:lang w:val="es-CO"/>
        </w:rPr>
        <w:t>Cuando se encuentre imp</w:t>
      </w:r>
      <w:r>
        <w:rPr>
          <w:rFonts w:ascii="Arial" w:hAnsi="Arial" w:cs="Arial"/>
          <w:lang w:val="es-CO"/>
        </w:rPr>
        <w:t>rocedente un saldo a favor que hubiere sido imputado en períodos subsiguientes, las modificaciones a la liquidación privada se harán con respecto al período en el cual el sujeto pasivo determinó dicho saldo a favor, liquidando las sanciones a que hubiere l</w:t>
      </w:r>
      <w:r>
        <w:rPr>
          <w:rFonts w:ascii="Arial" w:hAnsi="Arial" w:cs="Arial"/>
          <w:lang w:val="es-CO"/>
        </w:rPr>
        <w:t>ugar. En tal caso, la Dirección Seccional exigirá el reintegro de los saldos a favor imputados en forma improcedente incrementados en los respectivos intereses moratorios, cuando haya lugar a ello, sin perjuicio de lo establecido en el artículo 43 de la Le</w:t>
      </w:r>
      <w:r>
        <w:rPr>
          <w:rFonts w:ascii="Arial" w:hAnsi="Arial" w:cs="Arial"/>
          <w:lang w:val="es-CO"/>
        </w:rPr>
        <w:t>y 962 de 2005.</w:t>
      </w:r>
    </w:p>
    <w:p w14:paraId="0FD8F649" w14:textId="77777777" w:rsidR="00B2442D" w:rsidRDefault="00B2442D">
      <w:pPr>
        <w:jc w:val="both"/>
        <w:rPr>
          <w:rFonts w:ascii="Arial" w:hAnsi="Arial" w:cs="Arial"/>
          <w:lang w:val="es-CO"/>
        </w:rPr>
      </w:pPr>
    </w:p>
    <w:p w14:paraId="116CFB8E" w14:textId="77777777" w:rsidR="00B2442D" w:rsidRDefault="008A645F">
      <w:pPr>
        <w:jc w:val="both"/>
        <w:rPr>
          <w:rFonts w:ascii="Arial" w:hAnsi="Arial" w:cs="Arial"/>
          <w:i/>
          <w:lang w:val="es-CO"/>
        </w:rPr>
      </w:pPr>
      <w:r>
        <w:rPr>
          <w:rFonts w:ascii="Arial" w:hAnsi="Arial" w:cs="Arial"/>
          <w:i/>
          <w:lang w:val="es-CO"/>
        </w:rPr>
        <w:t>(Art. 12, Decreto 2701 de 2013)</w:t>
      </w:r>
    </w:p>
    <w:p w14:paraId="1CFB306F" w14:textId="77777777" w:rsidR="00B2442D" w:rsidRDefault="00B2442D">
      <w:pPr>
        <w:jc w:val="both"/>
        <w:rPr>
          <w:rFonts w:ascii="Arial" w:hAnsi="Arial" w:cs="Arial"/>
          <w:b/>
          <w:i/>
          <w:lang w:val="es-CO"/>
        </w:rPr>
      </w:pPr>
    </w:p>
    <w:p w14:paraId="6B7DCE7D"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Las retenciones o autorretenciones deben descontarse en el mismo año fiscal en el que fueron practicadas.</w:t>
      </w:r>
      <w:r>
        <w:rPr>
          <w:rFonts w:ascii="Arial" w:hAnsi="Arial" w:cs="Arial"/>
          <w:lang w:val="es-CO"/>
        </w:rPr>
        <w:t xml:space="preserve"> El sujeto pasivo deberá incluir las autorretenciones practicadas en un ejercicio fiscal, dentro de la</w:t>
      </w:r>
      <w:r>
        <w:rPr>
          <w:rFonts w:ascii="Arial" w:hAnsi="Arial" w:cs="Arial"/>
          <w:lang w:val="es-CO"/>
        </w:rPr>
        <w:t xml:space="preserve"> liquidación privada del impuesto sobre la renta para la equidad (CREE) correspondiente al mismo periodo.</w:t>
      </w:r>
    </w:p>
    <w:p w14:paraId="54678C24" w14:textId="77777777" w:rsidR="00B2442D" w:rsidRDefault="00B2442D">
      <w:pPr>
        <w:jc w:val="both"/>
        <w:rPr>
          <w:rFonts w:ascii="Arial" w:hAnsi="Arial" w:cs="Arial"/>
          <w:lang w:val="es-CO"/>
        </w:rPr>
      </w:pPr>
    </w:p>
    <w:p w14:paraId="23782F4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el caso de las retenciones en la fuente que se hayan practicado en el año fiscal 2013 antes del 27 de agosto de 2013 (D. O. 48895), el </w:t>
      </w:r>
      <w:r>
        <w:rPr>
          <w:rFonts w:ascii="Arial" w:hAnsi="Arial" w:cs="Arial"/>
          <w:lang w:val="es-CO"/>
        </w:rPr>
        <w:t>sujeto pasivo deberá incluirlas dentro de la liquidación privada del impuesto sobre la renta para la equidad (CREE) correspondiente al mismo año fiscal.</w:t>
      </w:r>
    </w:p>
    <w:p w14:paraId="54BB57DE" w14:textId="77777777" w:rsidR="00B2442D" w:rsidRDefault="00B2442D">
      <w:pPr>
        <w:jc w:val="both"/>
        <w:rPr>
          <w:rFonts w:ascii="Arial" w:hAnsi="Arial" w:cs="Arial"/>
          <w:lang w:val="es-CO"/>
        </w:rPr>
      </w:pPr>
    </w:p>
    <w:p w14:paraId="3226B0A6" w14:textId="77777777" w:rsidR="00B2442D" w:rsidRDefault="008A645F">
      <w:pPr>
        <w:jc w:val="both"/>
        <w:rPr>
          <w:rFonts w:ascii="Arial" w:hAnsi="Arial" w:cs="Arial"/>
          <w:i/>
          <w:lang w:val="es-CO"/>
        </w:rPr>
      </w:pPr>
      <w:r>
        <w:rPr>
          <w:rFonts w:ascii="Arial" w:hAnsi="Arial" w:cs="Arial"/>
          <w:i/>
          <w:lang w:val="es-CO"/>
        </w:rPr>
        <w:t>(Art. 13, Decreto 2701 de 2013)</w:t>
      </w:r>
    </w:p>
    <w:p w14:paraId="11539158" w14:textId="77777777" w:rsidR="00B2442D" w:rsidRDefault="00B2442D">
      <w:pPr>
        <w:jc w:val="both"/>
        <w:rPr>
          <w:rFonts w:ascii="Arial" w:hAnsi="Arial" w:cs="Arial"/>
          <w:lang w:val="es-CO"/>
        </w:rPr>
      </w:pPr>
    </w:p>
    <w:p w14:paraId="4DFBA9EB" w14:textId="77777777" w:rsidR="00B2442D" w:rsidRDefault="008A645F">
      <w:pPr>
        <w:pStyle w:val="Prrafodelista"/>
        <w:numPr>
          <w:ilvl w:val="0"/>
          <w:numId w:val="94"/>
        </w:numPr>
        <w:ind w:left="0" w:firstLine="0"/>
        <w:jc w:val="both"/>
        <w:rPr>
          <w:rFonts w:ascii="Arial" w:hAnsi="Arial" w:cs="Arial"/>
          <w:lang w:val="es-CO"/>
        </w:rPr>
      </w:pPr>
      <w:r>
        <w:rPr>
          <w:rFonts w:ascii="Arial" w:hAnsi="Arial" w:cs="Arial"/>
          <w:b/>
          <w:i/>
          <w:lang w:val="es-CO"/>
        </w:rPr>
        <w:t xml:space="preserve">Normas aplicables. </w:t>
      </w:r>
      <w:r>
        <w:rPr>
          <w:rFonts w:ascii="Arial" w:hAnsi="Arial" w:cs="Arial"/>
          <w:lang w:val="es-CO"/>
        </w:rPr>
        <w:t>Las devoluciones e imputaciones en el impuesto sob</w:t>
      </w:r>
      <w:r>
        <w:rPr>
          <w:rFonts w:ascii="Arial" w:hAnsi="Arial" w:cs="Arial"/>
          <w:lang w:val="es-CO"/>
        </w:rPr>
        <w:t>re la renta para la equidad (CREE) se regirán por las normas generales en lo no previsto en los artículos 1.5.1.2.1, 1.5.1.1.2, 1.5.1.3.1, 1.2.1.18.15, 1.5.1.6.1 al 1.5.1.6.7 del presente Decreto.</w:t>
      </w:r>
    </w:p>
    <w:p w14:paraId="4AB28B1D" w14:textId="77777777" w:rsidR="00B2442D" w:rsidRDefault="00B2442D">
      <w:pPr>
        <w:jc w:val="both"/>
        <w:rPr>
          <w:rFonts w:ascii="Arial" w:hAnsi="Arial" w:cs="Arial"/>
          <w:lang w:val="es-CO"/>
        </w:rPr>
      </w:pPr>
    </w:p>
    <w:p w14:paraId="3E8FC335" w14:textId="77777777" w:rsidR="00B2442D" w:rsidRDefault="008A645F">
      <w:pPr>
        <w:jc w:val="both"/>
        <w:rPr>
          <w:rFonts w:ascii="Arial" w:hAnsi="Arial" w:cs="Arial"/>
          <w:i/>
          <w:lang w:val="es-CO"/>
        </w:rPr>
      </w:pPr>
      <w:r>
        <w:rPr>
          <w:rFonts w:ascii="Arial" w:hAnsi="Arial" w:cs="Arial"/>
          <w:i/>
          <w:lang w:val="es-CO"/>
        </w:rPr>
        <w:t xml:space="preserve">(Art. 14, Decreto 2701 de 2013, la frase “o compensación” </w:t>
      </w:r>
      <w:r>
        <w:rPr>
          <w:rFonts w:ascii="Arial" w:hAnsi="Arial" w:cs="Arial"/>
          <w:i/>
          <w:lang w:val="es-CO"/>
        </w:rPr>
        <w:t>tiene decaimiento por la evolución normativa (Art. 26-1 a la Ley 1607 de 2012 adicionado por el art. 20 de la Ley 1739 de 2014))</w:t>
      </w:r>
    </w:p>
    <w:p w14:paraId="2C40A2C5" w14:textId="77777777" w:rsidR="00B2442D" w:rsidRDefault="00B2442D">
      <w:pPr>
        <w:ind w:firstLine="708"/>
        <w:jc w:val="center"/>
        <w:rPr>
          <w:rFonts w:ascii="Arial" w:hAnsi="Arial" w:cs="Arial"/>
          <w:lang w:val="es-CO"/>
        </w:rPr>
      </w:pPr>
    </w:p>
    <w:p w14:paraId="46B1233A" w14:textId="77777777" w:rsidR="00B2442D" w:rsidRDefault="008A645F">
      <w:pPr>
        <w:pStyle w:val="Ttulo3"/>
      </w:pPr>
      <w:bookmarkStart w:id="36" w:name="_Toc479171191"/>
      <w:r>
        <w:t>TÍTULO 2</w:t>
      </w:r>
      <w:bookmarkEnd w:id="36"/>
    </w:p>
    <w:p w14:paraId="14A142BD" w14:textId="77777777" w:rsidR="00B2442D" w:rsidRDefault="008A645F">
      <w:pPr>
        <w:pStyle w:val="Ttulo3"/>
      </w:pPr>
      <w:bookmarkStart w:id="37" w:name="_Toc479171192"/>
      <w:r>
        <w:t>Impuesto Nacional a la Gasolina y al ACPM</w:t>
      </w:r>
      <w:bookmarkEnd w:id="37"/>
    </w:p>
    <w:p w14:paraId="0989F7E6" w14:textId="77777777" w:rsidR="00B2442D" w:rsidRDefault="00B2442D">
      <w:pPr>
        <w:rPr>
          <w:rFonts w:ascii="Arial" w:hAnsi="Arial" w:cs="Arial"/>
          <w:lang w:val="es-CO"/>
        </w:rPr>
      </w:pPr>
    </w:p>
    <w:p w14:paraId="0CF7DE9E" w14:textId="77777777" w:rsidR="00B2442D" w:rsidRDefault="008A645F">
      <w:pPr>
        <w:pStyle w:val="Ttulo4"/>
      </w:pPr>
      <w:r>
        <w:t>CAPÍTULO 1</w:t>
      </w:r>
    </w:p>
    <w:p w14:paraId="1C23FF62" w14:textId="77777777" w:rsidR="00B2442D" w:rsidRDefault="008A645F">
      <w:pPr>
        <w:pStyle w:val="Ttulo4"/>
      </w:pPr>
      <w:r>
        <w:t>Generalidades</w:t>
      </w:r>
    </w:p>
    <w:p w14:paraId="2C091DFB" w14:textId="77777777" w:rsidR="00B2442D" w:rsidRDefault="00B2442D">
      <w:pPr>
        <w:jc w:val="both"/>
        <w:rPr>
          <w:rFonts w:ascii="Arial" w:hAnsi="Arial" w:cs="Arial"/>
          <w:lang w:val="es-CO"/>
        </w:rPr>
      </w:pPr>
    </w:p>
    <w:p w14:paraId="74CFF5AE" w14:textId="77777777" w:rsidR="00B2442D" w:rsidRDefault="008A645F">
      <w:pPr>
        <w:pStyle w:val="Prrafodelista"/>
        <w:numPr>
          <w:ilvl w:val="0"/>
          <w:numId w:val="95"/>
        </w:numPr>
        <w:ind w:left="0" w:firstLine="0"/>
        <w:jc w:val="both"/>
        <w:rPr>
          <w:rFonts w:ascii="Arial" w:hAnsi="Arial" w:cs="Arial"/>
          <w:lang w:val="es-CO"/>
        </w:rPr>
      </w:pPr>
      <w:r>
        <w:rPr>
          <w:rFonts w:ascii="Arial" w:hAnsi="Arial" w:cs="Arial"/>
          <w:b/>
          <w:i/>
          <w:lang w:val="es-CO"/>
        </w:rPr>
        <w:t>Definición de gasolina y de ACPM.</w:t>
      </w:r>
      <w:r>
        <w:rPr>
          <w:rFonts w:ascii="Arial" w:hAnsi="Arial" w:cs="Arial"/>
          <w:lang w:val="es-CO"/>
        </w:rPr>
        <w:t xml:space="preserve"> Se entiende por gasolina, la gasolina corriente, la gasolina extra, la nafta o cualquier otro combustible o líquido derivado del petróleo que se pueda utilizar como carburante en motores de combustión interna diseñados para ser utilizados con gasolina.</w:t>
      </w:r>
    </w:p>
    <w:p w14:paraId="691109B2" w14:textId="77777777" w:rsidR="00B2442D" w:rsidRDefault="00B2442D">
      <w:pPr>
        <w:jc w:val="both"/>
        <w:rPr>
          <w:rFonts w:ascii="Arial" w:hAnsi="Arial" w:cs="Arial"/>
          <w:lang w:val="es-CO"/>
        </w:rPr>
      </w:pPr>
    </w:p>
    <w:p w14:paraId="4DADEAAC" w14:textId="77777777" w:rsidR="00B2442D" w:rsidRDefault="008A645F">
      <w:pPr>
        <w:jc w:val="both"/>
        <w:rPr>
          <w:rFonts w:ascii="Arial" w:hAnsi="Arial" w:cs="Arial"/>
          <w:lang w:val="es-CO"/>
        </w:rPr>
      </w:pPr>
      <w:r>
        <w:rPr>
          <w:rFonts w:ascii="Arial" w:hAnsi="Arial" w:cs="Arial"/>
          <w:lang w:val="es-CO"/>
        </w:rPr>
        <w:t>S</w:t>
      </w:r>
      <w:r>
        <w:rPr>
          <w:rFonts w:ascii="Arial" w:hAnsi="Arial" w:cs="Arial"/>
          <w:lang w:val="es-CO"/>
        </w:rPr>
        <w:t xml:space="preserve">e entiende por ACPM, el aceite combustible para motor, el diesel marino o fluvial, el marine diesel, el gas oil, intersol, diesel número 2, electro combustible o cualquier destilado medio y/o aceites vinculantes, que por sus propiedades físico químicas al </w:t>
      </w:r>
      <w:r>
        <w:rPr>
          <w:rFonts w:ascii="Arial" w:hAnsi="Arial" w:cs="Arial"/>
          <w:lang w:val="es-CO"/>
        </w:rPr>
        <w:t>igual que por sus desempeños en motores de altas revoluciones, puedan ser usados como combustible automotor.</w:t>
      </w:r>
    </w:p>
    <w:p w14:paraId="2410AFBD" w14:textId="77777777" w:rsidR="00B2442D" w:rsidRDefault="00B2442D">
      <w:pPr>
        <w:rPr>
          <w:rFonts w:ascii="Arial" w:hAnsi="Arial" w:cs="Arial"/>
          <w:lang w:val="es-CO"/>
        </w:rPr>
      </w:pPr>
    </w:p>
    <w:p w14:paraId="2F32A4AD" w14:textId="77777777" w:rsidR="00B2442D" w:rsidRDefault="008A645F">
      <w:pPr>
        <w:jc w:val="both"/>
        <w:rPr>
          <w:rFonts w:ascii="Arial" w:hAnsi="Arial" w:cs="Arial"/>
          <w:i/>
          <w:lang w:val="es-CO"/>
        </w:rPr>
      </w:pPr>
      <w:r>
        <w:rPr>
          <w:rFonts w:ascii="Arial" w:hAnsi="Arial" w:cs="Arial"/>
          <w:i/>
          <w:lang w:val="es-CO"/>
        </w:rPr>
        <w:t>(Art. 1, Decreto 0568 de 2013. Inciso primero tiene decaimiento por evolución normativa (Inciso 2 del artículo 167 de la Ley 1607 de 2012, modific</w:t>
      </w:r>
      <w:r>
        <w:rPr>
          <w:rFonts w:ascii="Arial" w:hAnsi="Arial" w:cs="Arial"/>
          <w:i/>
          <w:lang w:val="es-CO"/>
        </w:rPr>
        <w:t>ado por el artículo 49 de la Ley 1739 de 2014)</w:t>
      </w:r>
    </w:p>
    <w:p w14:paraId="44E45178" w14:textId="77777777" w:rsidR="00B2442D" w:rsidRDefault="00B2442D">
      <w:pPr>
        <w:jc w:val="both"/>
        <w:rPr>
          <w:rFonts w:ascii="Arial" w:hAnsi="Arial" w:cs="Arial"/>
          <w:lang w:val="es-CO"/>
        </w:rPr>
      </w:pPr>
    </w:p>
    <w:p w14:paraId="06165385" w14:textId="77777777" w:rsidR="00B2442D" w:rsidRDefault="008A645F">
      <w:pPr>
        <w:pStyle w:val="Ttulo4"/>
      </w:pPr>
      <w:r>
        <w:t>CAPÍTULO 2</w:t>
      </w:r>
    </w:p>
    <w:p w14:paraId="218ED083" w14:textId="77777777" w:rsidR="00B2442D" w:rsidRDefault="008A645F">
      <w:pPr>
        <w:pStyle w:val="Ttulo4"/>
      </w:pPr>
      <w:r>
        <w:t>Responsables del Impuesto Nacional a la Gasolina y al ACPM</w:t>
      </w:r>
    </w:p>
    <w:p w14:paraId="7EE1F818" w14:textId="77777777" w:rsidR="00B2442D" w:rsidRDefault="00B2442D">
      <w:pPr>
        <w:jc w:val="both"/>
        <w:rPr>
          <w:rFonts w:ascii="Arial" w:hAnsi="Arial" w:cs="Arial"/>
          <w:lang w:val="es-CO"/>
        </w:rPr>
      </w:pPr>
    </w:p>
    <w:p w14:paraId="3DF7AE00" w14:textId="77777777" w:rsidR="00B2442D" w:rsidRDefault="008A645F">
      <w:pPr>
        <w:pStyle w:val="Prrafodelista"/>
        <w:numPr>
          <w:ilvl w:val="0"/>
          <w:numId w:val="96"/>
        </w:numPr>
        <w:ind w:left="0" w:firstLine="0"/>
        <w:jc w:val="both"/>
        <w:rPr>
          <w:rFonts w:ascii="Arial" w:hAnsi="Arial" w:cs="Arial"/>
          <w:lang w:val="es-CO"/>
        </w:rPr>
      </w:pPr>
      <w:r>
        <w:rPr>
          <w:rFonts w:ascii="Arial" w:hAnsi="Arial" w:cs="Arial"/>
          <w:b/>
          <w:i/>
          <w:lang w:val="es-CO"/>
        </w:rPr>
        <w:t>Responsables del impuesto.</w:t>
      </w:r>
      <w:r>
        <w:rPr>
          <w:rFonts w:ascii="Arial" w:hAnsi="Arial" w:cs="Arial"/>
          <w:lang w:val="es-CO"/>
        </w:rPr>
        <w:t xml:space="preserve"> Son responsables del Impuesto Nacional a la Gasolina y al ACPM el productor o el importador de los bienes some</w:t>
      </w:r>
      <w:r>
        <w:rPr>
          <w:rFonts w:ascii="Arial" w:hAnsi="Arial" w:cs="Arial"/>
          <w:lang w:val="es-CO"/>
        </w:rPr>
        <w:t>tidos al impuesto, independientemente de su calidad de sujeto pasivo, cuando se realice el hecho generador de dicho impuesto.</w:t>
      </w:r>
    </w:p>
    <w:p w14:paraId="61DB0473" w14:textId="77777777" w:rsidR="00B2442D" w:rsidRDefault="00B2442D">
      <w:pPr>
        <w:jc w:val="both"/>
        <w:rPr>
          <w:rFonts w:ascii="Arial" w:hAnsi="Arial" w:cs="Arial"/>
          <w:lang w:val="es-CO"/>
        </w:rPr>
      </w:pPr>
    </w:p>
    <w:p w14:paraId="2A469070" w14:textId="77777777" w:rsidR="00B2442D" w:rsidRDefault="008A645F">
      <w:pPr>
        <w:jc w:val="both"/>
        <w:rPr>
          <w:rFonts w:ascii="Arial" w:hAnsi="Arial" w:cs="Arial"/>
          <w:lang w:val="es-CO"/>
        </w:rPr>
      </w:pPr>
      <w:r>
        <w:rPr>
          <w:rFonts w:ascii="Arial" w:hAnsi="Arial" w:cs="Arial"/>
          <w:lang w:val="es-CO"/>
        </w:rPr>
        <w:t>En tal carácter, deben cumplir con la obligación tributaria sustancial y las obligaciones formales derivadas de esa condición, pa</w:t>
      </w:r>
      <w:r>
        <w:rPr>
          <w:rFonts w:ascii="Arial" w:hAnsi="Arial" w:cs="Arial"/>
          <w:lang w:val="es-CO"/>
        </w:rPr>
        <w:t>ra lo cual observarán, en lo pertinente, lo dispuesto en el Título II del Libro Quinto del Estatuto Tributario.</w:t>
      </w:r>
    </w:p>
    <w:p w14:paraId="701FD84D" w14:textId="77777777" w:rsidR="00B2442D" w:rsidRDefault="00B2442D">
      <w:pPr>
        <w:jc w:val="both"/>
        <w:rPr>
          <w:rFonts w:ascii="Arial" w:hAnsi="Arial" w:cs="Arial"/>
          <w:lang w:val="es-CO"/>
        </w:rPr>
      </w:pPr>
    </w:p>
    <w:p w14:paraId="10B9E3FB" w14:textId="77777777" w:rsidR="00B2442D" w:rsidRDefault="008A645F">
      <w:pPr>
        <w:jc w:val="both"/>
        <w:rPr>
          <w:rFonts w:ascii="Arial" w:hAnsi="Arial" w:cs="Arial"/>
          <w:lang w:val="es-CO"/>
        </w:rPr>
      </w:pPr>
      <w:r>
        <w:rPr>
          <w:rFonts w:ascii="Arial" w:hAnsi="Arial" w:cs="Arial"/>
          <w:i/>
          <w:lang w:val="es-CO"/>
        </w:rPr>
        <w:t>(Art. 3, Decreto 0568 de 2013)</w:t>
      </w:r>
    </w:p>
    <w:p w14:paraId="466BDE23" w14:textId="77777777" w:rsidR="00B2442D" w:rsidRDefault="00B2442D">
      <w:pPr>
        <w:jc w:val="both"/>
        <w:rPr>
          <w:rFonts w:ascii="Arial" w:hAnsi="Arial" w:cs="Arial"/>
          <w:lang w:val="es-CO"/>
        </w:rPr>
      </w:pPr>
    </w:p>
    <w:p w14:paraId="3335C945" w14:textId="77777777" w:rsidR="00B2442D" w:rsidRDefault="008A645F">
      <w:pPr>
        <w:pStyle w:val="Ttulo4"/>
      </w:pPr>
      <w:r>
        <w:t>CAPÍTULO 3</w:t>
      </w:r>
    </w:p>
    <w:p w14:paraId="31772CC4" w14:textId="77777777" w:rsidR="00B2442D" w:rsidRDefault="008A645F">
      <w:pPr>
        <w:pStyle w:val="Ttulo4"/>
      </w:pPr>
      <w:r>
        <w:t xml:space="preserve"> Excepciones al impuesto nacional a la gasolina y al ACPM</w:t>
      </w:r>
    </w:p>
    <w:p w14:paraId="43FD26BB" w14:textId="77777777" w:rsidR="00B2442D" w:rsidRDefault="00B2442D">
      <w:pPr>
        <w:rPr>
          <w:rFonts w:ascii="Arial" w:hAnsi="Arial" w:cs="Arial"/>
        </w:rPr>
      </w:pPr>
    </w:p>
    <w:p w14:paraId="61C3B15E" w14:textId="77777777" w:rsidR="00B2442D" w:rsidRDefault="008A645F">
      <w:pPr>
        <w:pStyle w:val="Prrafodelista"/>
        <w:numPr>
          <w:ilvl w:val="0"/>
          <w:numId w:val="97"/>
        </w:numPr>
        <w:ind w:left="0" w:firstLine="0"/>
        <w:jc w:val="both"/>
        <w:rPr>
          <w:rFonts w:ascii="Arial" w:hAnsi="Arial" w:cs="Arial"/>
          <w:lang w:val="es-CO"/>
        </w:rPr>
      </w:pPr>
      <w:r>
        <w:rPr>
          <w:rFonts w:ascii="Arial" w:hAnsi="Arial" w:cs="Arial"/>
          <w:b/>
          <w:i/>
          <w:lang w:val="es-CO"/>
        </w:rPr>
        <w:t>Excepciones en el impuesto nacional a la gasolina y al ACPM</w:t>
      </w:r>
      <w:r>
        <w:rPr>
          <w:rFonts w:ascii="Arial" w:hAnsi="Arial" w:cs="Arial"/>
          <w:i/>
          <w:lang w:val="es-CO"/>
        </w:rPr>
        <w:t>.</w:t>
      </w:r>
      <w:r>
        <w:rPr>
          <w:rFonts w:ascii="Arial" w:hAnsi="Arial" w:cs="Arial"/>
          <w:lang w:val="es-CO"/>
        </w:rPr>
        <w:t xml:space="preserve"> Del Impuesto Nacional a la Gasolina y al ACPM están exceptuados, en la importación o en la venta:</w:t>
      </w:r>
    </w:p>
    <w:p w14:paraId="2B785065" w14:textId="77777777" w:rsidR="00B2442D" w:rsidRDefault="00B2442D">
      <w:pPr>
        <w:jc w:val="both"/>
        <w:rPr>
          <w:rFonts w:ascii="Arial" w:hAnsi="Arial" w:cs="Arial"/>
          <w:lang w:val="es-CO"/>
        </w:rPr>
      </w:pPr>
    </w:p>
    <w:p w14:paraId="41B10616"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Las gasolinas del tipo 100/130 utilizadas en aeronaves,</w:t>
      </w:r>
    </w:p>
    <w:p w14:paraId="3F435A33" w14:textId="77777777" w:rsidR="00B2442D" w:rsidRDefault="00B2442D">
      <w:pPr>
        <w:ind w:left="284" w:hanging="284"/>
        <w:jc w:val="both"/>
        <w:rPr>
          <w:rFonts w:ascii="Arial" w:hAnsi="Arial" w:cs="Arial"/>
          <w:lang w:val="es-CO"/>
        </w:rPr>
      </w:pPr>
    </w:p>
    <w:p w14:paraId="15E83910" w14:textId="77777777" w:rsidR="00B2442D" w:rsidRDefault="008A645F">
      <w:pPr>
        <w:ind w:left="284" w:hanging="284"/>
        <w:jc w:val="both"/>
        <w:rPr>
          <w:rFonts w:ascii="Arial" w:hAnsi="Arial" w:cs="Arial"/>
          <w:lang w:val="es-CO"/>
        </w:rPr>
      </w:pPr>
      <w:r>
        <w:rPr>
          <w:rFonts w:ascii="Arial" w:hAnsi="Arial" w:cs="Arial"/>
          <w:lang w:val="es-CO"/>
        </w:rPr>
        <w:t xml:space="preserve">- El ACPM utilizado para generación eléctrica en zonas no interconectadas, el turbo combustible </w:t>
      </w:r>
      <w:r>
        <w:rPr>
          <w:rFonts w:ascii="Arial" w:hAnsi="Arial" w:cs="Arial"/>
          <w:lang w:val="es-CO"/>
        </w:rPr>
        <w:t>de aviación y las mezclas del tipo IFO utilizadas para el funcionamiento de grandes naves marítimas,</w:t>
      </w:r>
    </w:p>
    <w:p w14:paraId="08E1C8D2" w14:textId="77777777" w:rsidR="00B2442D" w:rsidRDefault="00B2442D">
      <w:pPr>
        <w:ind w:left="284" w:hanging="284"/>
        <w:jc w:val="both"/>
        <w:rPr>
          <w:rFonts w:ascii="Arial" w:hAnsi="Arial" w:cs="Arial"/>
          <w:lang w:val="es-CO"/>
        </w:rPr>
      </w:pPr>
    </w:p>
    <w:p w14:paraId="58E1E7FF" w14:textId="77777777" w:rsidR="00B2442D" w:rsidRDefault="008A645F">
      <w:pPr>
        <w:ind w:left="284" w:hanging="284"/>
        <w:jc w:val="both"/>
        <w:rPr>
          <w:rFonts w:ascii="Arial" w:hAnsi="Arial" w:cs="Arial"/>
          <w:lang w:val="es-CO"/>
        </w:rPr>
      </w:pPr>
      <w:r>
        <w:rPr>
          <w:rFonts w:ascii="Arial" w:hAnsi="Arial" w:cs="Arial"/>
          <w:lang w:val="es-CO"/>
        </w:rPr>
        <w:t>- Los combustibles líquidos distribuidos en los departamentos y municipios ubicados en zonas de frontera, para ser consumidos en dichas zonas.</w:t>
      </w:r>
    </w:p>
    <w:p w14:paraId="6D8DF4F4" w14:textId="77777777" w:rsidR="00B2442D" w:rsidRDefault="00B2442D">
      <w:pPr>
        <w:jc w:val="both"/>
        <w:rPr>
          <w:rFonts w:ascii="Arial" w:hAnsi="Arial" w:cs="Arial"/>
          <w:lang w:val="es-CO"/>
        </w:rPr>
      </w:pPr>
    </w:p>
    <w:p w14:paraId="79FB343E"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b/>
          <w:lang w:val="es-CO"/>
        </w:rPr>
        <w:t>1°.</w:t>
      </w:r>
      <w:r>
        <w:rPr>
          <w:rFonts w:ascii="Arial" w:hAnsi="Arial" w:cs="Arial"/>
          <w:lang w:val="es-CO"/>
        </w:rPr>
        <w:t xml:space="preserve"> El alcohol carburante con destino a la mezcla con gasolina para los vehículos automotores y el biocombustible de origen vegetal o animal de producción nacional con destino a la mezcla con ACPM para uso en motores diesel, no están sujetos al impuesto na</w:t>
      </w:r>
      <w:r>
        <w:rPr>
          <w:rFonts w:ascii="Arial" w:hAnsi="Arial" w:cs="Arial"/>
          <w:lang w:val="es-CO"/>
        </w:rPr>
        <w:t>cional a la gasolina y al ACPM y conservan la calidad de exentos del Impuesto sobre las Ventas de acuerdo con lo establecido en el artículo 477 del Estatuto Tributario.</w:t>
      </w:r>
    </w:p>
    <w:p w14:paraId="35101540" w14:textId="77777777" w:rsidR="00B2442D" w:rsidRDefault="00B2442D">
      <w:pPr>
        <w:jc w:val="both"/>
        <w:rPr>
          <w:rFonts w:ascii="Arial" w:hAnsi="Arial" w:cs="Arial"/>
          <w:lang w:val="es-CO"/>
        </w:rPr>
      </w:pPr>
    </w:p>
    <w:p w14:paraId="450C134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lo previsto en el Título 2 de la Parte 5 de este Decreto</w:t>
      </w:r>
      <w:r>
        <w:rPr>
          <w:rFonts w:ascii="Arial" w:hAnsi="Arial" w:cs="Arial"/>
          <w:lang w:val="es-CO"/>
        </w:rPr>
        <w:t>, deben tenerse en cuenta las definiciones de los términos gasolina, ACPM y demás combustibles que consagra el parágrafo 1° del artículo 167 de la Ley 1607 de 2012.</w:t>
      </w:r>
    </w:p>
    <w:p w14:paraId="7B4CCBF4" w14:textId="77777777" w:rsidR="00B2442D" w:rsidRDefault="00B2442D">
      <w:pPr>
        <w:jc w:val="both"/>
        <w:rPr>
          <w:rFonts w:ascii="Arial" w:hAnsi="Arial" w:cs="Arial"/>
          <w:lang w:val="es-CO"/>
        </w:rPr>
      </w:pPr>
    </w:p>
    <w:p w14:paraId="4C395A2F" w14:textId="77777777" w:rsidR="00B2442D" w:rsidRDefault="008A645F">
      <w:pPr>
        <w:jc w:val="both"/>
        <w:rPr>
          <w:rFonts w:ascii="Arial" w:hAnsi="Arial" w:cs="Arial"/>
          <w:i/>
          <w:lang w:val="es-CO"/>
        </w:rPr>
      </w:pPr>
      <w:r>
        <w:rPr>
          <w:rFonts w:ascii="Arial" w:hAnsi="Arial" w:cs="Arial"/>
          <w:i/>
          <w:lang w:val="es-CO"/>
        </w:rPr>
        <w:t>(Art. 6, Decreto 568 de 2013)</w:t>
      </w:r>
    </w:p>
    <w:p w14:paraId="4F45915E" w14:textId="77777777" w:rsidR="00B2442D" w:rsidRDefault="00B2442D">
      <w:pPr>
        <w:jc w:val="both"/>
        <w:rPr>
          <w:rFonts w:ascii="Arial" w:hAnsi="Arial" w:cs="Arial"/>
          <w:lang w:val="es-CO"/>
        </w:rPr>
      </w:pPr>
    </w:p>
    <w:p w14:paraId="3AE6AA40" w14:textId="77777777" w:rsidR="00B2442D" w:rsidRDefault="008A645F">
      <w:pPr>
        <w:pStyle w:val="Prrafodelista"/>
        <w:numPr>
          <w:ilvl w:val="0"/>
          <w:numId w:val="97"/>
        </w:numPr>
        <w:ind w:left="0" w:firstLine="0"/>
        <w:jc w:val="both"/>
        <w:rPr>
          <w:rFonts w:ascii="Arial" w:hAnsi="Arial" w:cs="Arial"/>
          <w:lang w:val="es-CO"/>
        </w:rPr>
      </w:pPr>
      <w:r>
        <w:rPr>
          <w:rFonts w:ascii="Arial" w:hAnsi="Arial" w:cs="Arial"/>
          <w:b/>
          <w:i/>
          <w:lang w:val="es-CO"/>
        </w:rPr>
        <w:t xml:space="preserve">Distribución de combustibles líquidos exentos de arancel e </w:t>
      </w:r>
      <w:r>
        <w:rPr>
          <w:rFonts w:ascii="Arial" w:hAnsi="Arial" w:cs="Arial"/>
          <w:b/>
          <w:i/>
          <w:lang w:val="es-CO"/>
        </w:rPr>
        <w:t xml:space="preserve">impuesto nacional a la gasolina y al ACPM en departamentos y municipios ubicados en zonas de frontera. </w:t>
      </w:r>
      <w:r>
        <w:rPr>
          <w:rFonts w:ascii="Arial" w:hAnsi="Arial" w:cs="Arial"/>
          <w:i/>
          <w:lang w:val="es-CO"/>
        </w:rPr>
        <w:t>Conforme lo dispone el artículo 19 de la Ley 191 de 1995, tal como fue modificado por el artículo 173 de la Ley 1607 de 2012</w:t>
      </w:r>
      <w:r>
        <w:rPr>
          <w:rFonts w:ascii="Arial" w:hAnsi="Arial" w:cs="Arial"/>
          <w:lang w:val="es-CO"/>
        </w:rPr>
        <w:t>, el Ministerio de Minas y En</w:t>
      </w:r>
      <w:r>
        <w:rPr>
          <w:rFonts w:ascii="Arial" w:hAnsi="Arial" w:cs="Arial"/>
          <w:lang w:val="es-CO"/>
        </w:rPr>
        <w:t xml:space="preserve">ergía tiene la función de distribución de combustibles líquidos en los departamentos y municipios ubicados en zonas de frontera para satisfacer la demanda en dichas zonas; combustibles que en razón de su destinación y condición de quien los consume, están </w:t>
      </w:r>
      <w:r>
        <w:rPr>
          <w:rFonts w:ascii="Arial" w:hAnsi="Arial" w:cs="Arial"/>
          <w:lang w:val="es-CO"/>
        </w:rPr>
        <w:t xml:space="preserve">exentos de arancel e Impuesto Nacional a la Gasolina y al ACPM. </w:t>
      </w:r>
    </w:p>
    <w:p w14:paraId="3E1E30B1" w14:textId="77777777" w:rsidR="00B2442D" w:rsidRDefault="00B2442D">
      <w:pPr>
        <w:jc w:val="both"/>
        <w:rPr>
          <w:rFonts w:ascii="Arial" w:hAnsi="Arial" w:cs="Arial"/>
          <w:lang w:val="es-CO"/>
        </w:rPr>
      </w:pPr>
    </w:p>
    <w:p w14:paraId="273ECF2B" w14:textId="77777777" w:rsidR="00B2442D" w:rsidRDefault="008A645F">
      <w:pPr>
        <w:jc w:val="both"/>
        <w:rPr>
          <w:rFonts w:ascii="Arial" w:hAnsi="Arial" w:cs="Arial"/>
          <w:lang w:val="es-CO"/>
        </w:rPr>
      </w:pPr>
      <w:r>
        <w:rPr>
          <w:rFonts w:ascii="Arial" w:hAnsi="Arial" w:cs="Arial"/>
          <w:lang w:val="es-CO"/>
        </w:rPr>
        <w:t>Para el cumplimiento de la función de distribución atribuida en el artículo 173 de la Ley 1607 de 2012 el Ministerio de Minas y Energía podrá importar del país vecino los combustibles o aten</w:t>
      </w:r>
      <w:r>
        <w:rPr>
          <w:rFonts w:ascii="Arial" w:hAnsi="Arial" w:cs="Arial"/>
          <w:lang w:val="es-CO"/>
        </w:rPr>
        <w:t>der el suministro con combustibles producidos en Colombia.</w:t>
      </w:r>
    </w:p>
    <w:p w14:paraId="2F9E686F" w14:textId="77777777" w:rsidR="00B2442D" w:rsidRDefault="00B2442D">
      <w:pPr>
        <w:jc w:val="both"/>
        <w:rPr>
          <w:rFonts w:ascii="Arial" w:hAnsi="Arial" w:cs="Arial"/>
          <w:lang w:val="es-CO"/>
        </w:rPr>
      </w:pPr>
    </w:p>
    <w:p w14:paraId="6B192C8F" w14:textId="77777777" w:rsidR="00B2442D" w:rsidRDefault="008A645F">
      <w:pPr>
        <w:jc w:val="both"/>
        <w:rPr>
          <w:rFonts w:ascii="Arial" w:hAnsi="Arial" w:cs="Arial"/>
          <w:lang w:val="es-CO"/>
        </w:rPr>
      </w:pPr>
      <w:r>
        <w:rPr>
          <w:rFonts w:ascii="Arial" w:hAnsi="Arial" w:cs="Arial"/>
          <w:lang w:val="es-CO"/>
        </w:rPr>
        <w:t>Para el efecto, el Ministerio de Minas y Energía, por intermedio de la Dirección de Hidrocarburos o la dependencia que haga sus veces, podrá ceder o contratar, total o parcialmente con los distrib</w:t>
      </w:r>
      <w:r>
        <w:rPr>
          <w:rFonts w:ascii="Arial" w:hAnsi="Arial" w:cs="Arial"/>
          <w:lang w:val="es-CO"/>
        </w:rPr>
        <w:t>uidores mayoristas y terceros, la importación, transporte, almacenamiento, distribución o venta de los combustibles líquidos que por destinarse a los departamentos y municipios ubicados en zonas de frontera para satisfacer la demanda en dichas zonas, están</w:t>
      </w:r>
      <w:r>
        <w:rPr>
          <w:rFonts w:ascii="Arial" w:hAnsi="Arial" w:cs="Arial"/>
          <w:lang w:val="es-CO"/>
        </w:rPr>
        <w:t xml:space="preserve"> exentos de arancel e impuesto nacional a la gasolina y al ACPM.</w:t>
      </w:r>
    </w:p>
    <w:p w14:paraId="3FCF59AB" w14:textId="77777777" w:rsidR="00B2442D" w:rsidRDefault="00B2442D">
      <w:pPr>
        <w:jc w:val="both"/>
        <w:rPr>
          <w:rFonts w:ascii="Arial" w:hAnsi="Arial" w:cs="Arial"/>
          <w:lang w:val="es-CO"/>
        </w:rPr>
      </w:pPr>
    </w:p>
    <w:p w14:paraId="10AFC85F" w14:textId="77777777" w:rsidR="00B2442D" w:rsidRDefault="008A645F">
      <w:pPr>
        <w:jc w:val="both"/>
        <w:rPr>
          <w:rFonts w:ascii="Arial" w:hAnsi="Arial" w:cs="Arial"/>
          <w:lang w:val="es-CO"/>
        </w:rPr>
      </w:pPr>
      <w:r>
        <w:rPr>
          <w:rFonts w:ascii="Arial" w:hAnsi="Arial" w:cs="Arial"/>
          <w:lang w:val="es-CO"/>
        </w:rPr>
        <w:t>La cantidad máxima de combustibles líquidos exenta de arancel y del impuesto nacional a la gasolina y al ACPM a distribuir en las zonas de frontera, será fijada por Ministerio de Minas y Ene</w:t>
      </w:r>
      <w:r>
        <w:rPr>
          <w:rFonts w:ascii="Arial" w:hAnsi="Arial" w:cs="Arial"/>
          <w:lang w:val="es-CO"/>
        </w:rPr>
        <w:t xml:space="preserve">rgía por intermedio de la Dirección de Hidrocarburos, o quien haga sus veces. </w:t>
      </w:r>
    </w:p>
    <w:p w14:paraId="42A6906B" w14:textId="77777777" w:rsidR="00B2442D" w:rsidRDefault="00B2442D">
      <w:pPr>
        <w:jc w:val="both"/>
        <w:rPr>
          <w:rFonts w:ascii="Arial" w:hAnsi="Arial" w:cs="Arial"/>
          <w:lang w:val="es-CO"/>
        </w:rPr>
      </w:pPr>
    </w:p>
    <w:p w14:paraId="0AFF43A6" w14:textId="77777777" w:rsidR="00B2442D" w:rsidRDefault="008A645F">
      <w:pPr>
        <w:jc w:val="both"/>
        <w:rPr>
          <w:rFonts w:ascii="Arial" w:hAnsi="Arial" w:cs="Arial"/>
          <w:lang w:val="es-CO"/>
        </w:rPr>
      </w:pPr>
      <w:r>
        <w:rPr>
          <w:rFonts w:ascii="Arial" w:hAnsi="Arial" w:cs="Arial"/>
          <w:lang w:val="es-CO"/>
        </w:rPr>
        <w:t>Hasta que dicho Ministerio fije los cupos máximos a ser distribuidos en zonas de frontera, continuarán vigentes los establecidos en los artículos 2.2.1.1.2.2.5.1, 2.2.1.1.2.2.6</w:t>
      </w:r>
      <w:r>
        <w:rPr>
          <w:rFonts w:ascii="Arial" w:hAnsi="Arial" w:cs="Arial"/>
          <w:lang w:val="es-CO"/>
        </w:rPr>
        <w:t>.7 al 2.2.1.1.2.2.6.16, 2.2.1.1.2.2.6.7, 2.2.1.1.2.2.6.9, 2.2.1.1.2.2.6.11, 2.2.1.1.2.2.6.15, 2.2.1.1.2.2.6.17 al 2.2.1.1.2.2.6.21 del Decreto 1073 de 2015 y en la Resolución número 124434 de 2012 del Ministerio de Minas y Energía.</w:t>
      </w:r>
    </w:p>
    <w:p w14:paraId="7DD2E48F" w14:textId="77777777" w:rsidR="00B2442D" w:rsidRDefault="00B2442D">
      <w:pPr>
        <w:jc w:val="both"/>
        <w:rPr>
          <w:rFonts w:ascii="Arial" w:hAnsi="Arial" w:cs="Arial"/>
          <w:lang w:val="es-CO"/>
        </w:rPr>
      </w:pPr>
    </w:p>
    <w:p w14:paraId="1E973711" w14:textId="77777777" w:rsidR="00B2442D" w:rsidRDefault="008A645F">
      <w:pPr>
        <w:jc w:val="both"/>
        <w:rPr>
          <w:rFonts w:ascii="Arial" w:hAnsi="Arial" w:cs="Arial"/>
          <w:lang w:val="es-CO"/>
        </w:rPr>
      </w:pPr>
      <w:r>
        <w:rPr>
          <w:rFonts w:ascii="Arial" w:hAnsi="Arial" w:cs="Arial"/>
          <w:lang w:val="es-CO"/>
        </w:rPr>
        <w:t xml:space="preserve">Para efectos de </w:t>
      </w:r>
      <w:r>
        <w:rPr>
          <w:rFonts w:ascii="Arial" w:hAnsi="Arial" w:cs="Arial"/>
          <w:lang w:val="es-CO"/>
        </w:rPr>
        <w:t>control y sin excepción alguna, la persona o entidad que distribuya combustibles objeto de exención, está en la obligación de diligenciar y reportar a la Dirección de Gestión y Fiscalización de la Unidad Administrativa Especial Dirección de Impuestos y Adu</w:t>
      </w:r>
      <w:r>
        <w:rPr>
          <w:rFonts w:ascii="Arial" w:hAnsi="Arial" w:cs="Arial"/>
          <w:lang w:val="es-CO"/>
        </w:rPr>
        <w:t>anas Nacionales-DIAN, los galones distribuidos que sean objeto de la exención, en el formato que para el efecto establezca la DIAN mediante resolución.</w:t>
      </w:r>
    </w:p>
    <w:p w14:paraId="2A28370E" w14:textId="77777777" w:rsidR="00B2442D" w:rsidRDefault="00B2442D">
      <w:pPr>
        <w:jc w:val="both"/>
        <w:rPr>
          <w:rFonts w:ascii="Arial" w:hAnsi="Arial" w:cs="Arial"/>
          <w:lang w:val="es-CO"/>
        </w:rPr>
      </w:pPr>
    </w:p>
    <w:p w14:paraId="63D4F08C" w14:textId="77777777" w:rsidR="00B2442D" w:rsidRDefault="008A645F">
      <w:pPr>
        <w:jc w:val="both"/>
        <w:rPr>
          <w:rFonts w:ascii="Arial" w:hAnsi="Arial" w:cs="Arial"/>
          <w:i/>
          <w:lang w:val="es-CO"/>
        </w:rPr>
      </w:pPr>
      <w:r>
        <w:rPr>
          <w:rFonts w:ascii="Arial" w:hAnsi="Arial" w:cs="Arial"/>
          <w:i/>
          <w:lang w:val="es-CO"/>
        </w:rPr>
        <w:t>(Art. 7, Decreto 568 de 2013, modificado por el art. 1 del Decreto 3037 de 2013)</w:t>
      </w:r>
    </w:p>
    <w:p w14:paraId="7B1D0A3D" w14:textId="77777777" w:rsidR="00B2442D" w:rsidRDefault="00B2442D">
      <w:pPr>
        <w:jc w:val="both"/>
        <w:rPr>
          <w:rFonts w:ascii="Arial" w:hAnsi="Arial" w:cs="Arial"/>
          <w:b/>
          <w:lang w:val="es-CO"/>
        </w:rPr>
      </w:pPr>
    </w:p>
    <w:p w14:paraId="241ECF22" w14:textId="77777777" w:rsidR="00B2442D" w:rsidRDefault="008A645F">
      <w:pPr>
        <w:pStyle w:val="Prrafodelista"/>
        <w:numPr>
          <w:ilvl w:val="0"/>
          <w:numId w:val="97"/>
        </w:numPr>
        <w:ind w:left="0" w:firstLine="0"/>
        <w:jc w:val="both"/>
        <w:rPr>
          <w:rFonts w:ascii="Arial" w:hAnsi="Arial" w:cs="Arial"/>
          <w:lang w:val="es-CO"/>
        </w:rPr>
      </w:pPr>
      <w:r>
        <w:rPr>
          <w:rFonts w:ascii="Arial" w:hAnsi="Arial" w:cs="Arial"/>
          <w:b/>
          <w:i/>
          <w:lang w:val="es-CO"/>
        </w:rPr>
        <w:t>Requisitos de la exen</w:t>
      </w:r>
      <w:r>
        <w:rPr>
          <w:rFonts w:ascii="Arial" w:hAnsi="Arial" w:cs="Arial"/>
          <w:b/>
          <w:i/>
          <w:lang w:val="es-CO"/>
        </w:rPr>
        <w:t xml:space="preserve">ción de arancel e impuesto nacional a la gasolina y al ACPM. </w:t>
      </w:r>
      <w:r>
        <w:rPr>
          <w:rFonts w:ascii="Arial" w:hAnsi="Arial" w:cs="Arial"/>
          <w:lang w:val="es-CO"/>
        </w:rPr>
        <w:t>Es requisito esencial para la procedencia de la exención de arancel e Impuesto Nacional a la Gasolina y al ACPM sobre los combustibles líquidos distribuidos en los departamentos y municipios reco</w:t>
      </w:r>
      <w:r>
        <w:rPr>
          <w:rFonts w:ascii="Arial" w:hAnsi="Arial" w:cs="Arial"/>
          <w:lang w:val="es-CO"/>
        </w:rPr>
        <w:t>nocidos como zonas de frontera, que los combustibles objeto del beneficio sean entregados exclusivamente a las estaciones de servicio y/o comercializadores industriales ubicados en los municipios reconocidos como zonas de frontera, y que estas lo distribuy</w:t>
      </w:r>
      <w:r>
        <w:rPr>
          <w:rFonts w:ascii="Arial" w:hAnsi="Arial" w:cs="Arial"/>
          <w:lang w:val="es-CO"/>
        </w:rPr>
        <w:t>an en su totalidad suministrándolo al parque automotor en dichos municipios, o a aquellos consumidores no catalogados como grandes consumidores.</w:t>
      </w:r>
    </w:p>
    <w:p w14:paraId="4CFD0053" w14:textId="77777777" w:rsidR="00B2442D" w:rsidRDefault="00B2442D">
      <w:pPr>
        <w:jc w:val="both"/>
        <w:rPr>
          <w:rFonts w:ascii="Arial" w:hAnsi="Arial" w:cs="Arial"/>
          <w:lang w:val="es-CO"/>
        </w:rPr>
      </w:pPr>
    </w:p>
    <w:p w14:paraId="21025A1A" w14:textId="77777777" w:rsidR="00B2442D" w:rsidRDefault="008A645F">
      <w:pPr>
        <w:jc w:val="both"/>
        <w:rPr>
          <w:rFonts w:ascii="Arial" w:hAnsi="Arial" w:cs="Arial"/>
          <w:i/>
          <w:lang w:val="es-CO"/>
        </w:rPr>
      </w:pPr>
      <w:r>
        <w:rPr>
          <w:rFonts w:ascii="Arial" w:hAnsi="Arial" w:cs="Arial"/>
          <w:i/>
          <w:lang w:val="es-CO"/>
        </w:rPr>
        <w:t>(Art. 8, Decreto 568 de 2013)</w:t>
      </w:r>
    </w:p>
    <w:p w14:paraId="72476B23" w14:textId="77777777" w:rsidR="00B2442D" w:rsidRDefault="00B2442D">
      <w:pPr>
        <w:jc w:val="both"/>
        <w:rPr>
          <w:rFonts w:ascii="Arial" w:hAnsi="Arial" w:cs="Arial"/>
          <w:lang w:val="es-CO"/>
        </w:rPr>
      </w:pPr>
    </w:p>
    <w:p w14:paraId="38E619CC" w14:textId="77777777" w:rsidR="00B2442D" w:rsidRDefault="008A645F">
      <w:pPr>
        <w:pStyle w:val="Prrafodelista"/>
        <w:numPr>
          <w:ilvl w:val="0"/>
          <w:numId w:val="97"/>
        </w:numPr>
        <w:ind w:left="0" w:firstLine="0"/>
        <w:jc w:val="both"/>
        <w:rPr>
          <w:rFonts w:ascii="Arial" w:hAnsi="Arial" w:cs="Arial"/>
          <w:lang w:val="es-CO"/>
        </w:rPr>
      </w:pPr>
      <w:r>
        <w:rPr>
          <w:rFonts w:ascii="Arial" w:hAnsi="Arial" w:cs="Arial"/>
          <w:b/>
          <w:i/>
          <w:lang w:val="es-CO"/>
        </w:rPr>
        <w:t xml:space="preserve">Improcedencia de la exención de arancel e impuesto nacional a la gasolina y al </w:t>
      </w:r>
      <w:r>
        <w:rPr>
          <w:rFonts w:ascii="Arial" w:hAnsi="Arial" w:cs="Arial"/>
          <w:b/>
          <w:i/>
          <w:lang w:val="es-CO"/>
        </w:rPr>
        <w:t xml:space="preserve">ACPM. </w:t>
      </w:r>
      <w:r>
        <w:rPr>
          <w:rFonts w:ascii="Arial" w:hAnsi="Arial" w:cs="Arial"/>
          <w:lang w:val="es-CO"/>
        </w:rPr>
        <w:t>La Dirección Seccional de Impuestos o de Impuestos y Aduanas competente, en ejercicio de las amplias facultades de fiscalización, investigación, determinación y cobro, establecidas en el Libro Quinto del Estatuto Tributario, adelantará las actuacione</w:t>
      </w:r>
      <w:r>
        <w:rPr>
          <w:rFonts w:ascii="Arial" w:hAnsi="Arial" w:cs="Arial"/>
          <w:lang w:val="es-CO"/>
        </w:rPr>
        <w:t>s a que haya lugar con la finalidad de recuperar los tributos e impuestos por inobservancia de los requisitos y condiciones que hacen procedentes las exenciones, cuando se establezca, entre otras circunstancias, para los combustibles sobre los cuales se so</w:t>
      </w:r>
      <w:r>
        <w:rPr>
          <w:rFonts w:ascii="Arial" w:hAnsi="Arial" w:cs="Arial"/>
          <w:lang w:val="es-CO"/>
        </w:rPr>
        <w:t>licita el beneficio de arancel y/o impuesto nacional a la gasolina y al ACPM que:</w:t>
      </w:r>
    </w:p>
    <w:p w14:paraId="6E787927" w14:textId="77777777" w:rsidR="00B2442D" w:rsidRDefault="00B2442D">
      <w:pPr>
        <w:jc w:val="both"/>
        <w:rPr>
          <w:rFonts w:ascii="Arial" w:hAnsi="Arial" w:cs="Arial"/>
          <w:lang w:val="es-CO"/>
        </w:rPr>
      </w:pPr>
    </w:p>
    <w:p w14:paraId="1ECCC967"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No fueron entregados a las estaciones de servicio y/o a los comercializadores industriales ubicados en los municipios reconocidos como zonas de frontera o</w:t>
      </w:r>
    </w:p>
    <w:p w14:paraId="31572E30" w14:textId="77777777" w:rsidR="00B2442D" w:rsidRDefault="00B2442D">
      <w:pPr>
        <w:ind w:left="284" w:hanging="284"/>
        <w:jc w:val="both"/>
        <w:rPr>
          <w:rFonts w:ascii="Arial" w:hAnsi="Arial" w:cs="Arial"/>
          <w:lang w:val="es-CO"/>
        </w:rPr>
      </w:pPr>
    </w:p>
    <w:p w14:paraId="7893C2FF"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Entregados,</w:t>
      </w:r>
      <w:r>
        <w:rPr>
          <w:rFonts w:ascii="Arial" w:hAnsi="Arial" w:cs="Arial"/>
          <w:lang w:val="es-CO"/>
        </w:rPr>
        <w:t xml:space="preserve"> fueron objeto de desvío a zonas geográficas sin beneficio, o</w:t>
      </w:r>
    </w:p>
    <w:p w14:paraId="57ACAF7D" w14:textId="77777777" w:rsidR="00B2442D" w:rsidRDefault="00B2442D">
      <w:pPr>
        <w:ind w:left="284" w:hanging="284"/>
        <w:jc w:val="both"/>
        <w:rPr>
          <w:rFonts w:ascii="Arial" w:hAnsi="Arial" w:cs="Arial"/>
          <w:lang w:val="es-CO"/>
        </w:rPr>
      </w:pPr>
    </w:p>
    <w:p w14:paraId="16D53C2F"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Fueron adquiridos por consumidores para quienes no aplica la exención, o</w:t>
      </w:r>
    </w:p>
    <w:p w14:paraId="0D728E86" w14:textId="77777777" w:rsidR="00B2442D" w:rsidRDefault="00B2442D">
      <w:pPr>
        <w:ind w:left="284" w:hanging="284"/>
        <w:jc w:val="both"/>
        <w:rPr>
          <w:rFonts w:ascii="Arial" w:hAnsi="Arial" w:cs="Arial"/>
          <w:lang w:val="es-CO"/>
        </w:rPr>
      </w:pPr>
    </w:p>
    <w:p w14:paraId="7ED26E09"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La distribución con exención excede la cantidad máxima, fijada por la Dirección de Hidrocarburos del Ministerio d</w:t>
      </w:r>
      <w:r>
        <w:rPr>
          <w:rFonts w:ascii="Arial" w:hAnsi="Arial" w:cs="Arial"/>
          <w:lang w:val="es-CO"/>
        </w:rPr>
        <w:t>e Minas y Energía, o quien haga sus veces, de combustibles exentos de arancel y del impuesto nacional a la gasolina y al ACPM a distribuir en las zonas de frontera, o</w:t>
      </w:r>
    </w:p>
    <w:p w14:paraId="69D45AC9" w14:textId="77777777" w:rsidR="00B2442D" w:rsidRDefault="00B2442D">
      <w:pPr>
        <w:ind w:left="284" w:hanging="284"/>
        <w:jc w:val="both"/>
        <w:rPr>
          <w:rFonts w:ascii="Arial" w:hAnsi="Arial" w:cs="Arial"/>
          <w:lang w:val="es-CO"/>
        </w:rPr>
      </w:pPr>
    </w:p>
    <w:p w14:paraId="12ABB341"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La destinación no corresponde a la que goza del beneficio de exención, o</w:t>
      </w:r>
    </w:p>
    <w:p w14:paraId="60087D1C" w14:textId="77777777" w:rsidR="00B2442D" w:rsidRDefault="00B2442D">
      <w:pPr>
        <w:ind w:left="284" w:hanging="284"/>
        <w:jc w:val="both"/>
        <w:rPr>
          <w:rFonts w:ascii="Arial" w:hAnsi="Arial" w:cs="Arial"/>
          <w:lang w:val="es-CO"/>
        </w:rPr>
      </w:pPr>
    </w:p>
    <w:p w14:paraId="40B4735D" w14:textId="77777777" w:rsidR="00B2442D" w:rsidRDefault="008A645F">
      <w:pPr>
        <w:ind w:left="284" w:hanging="284"/>
        <w:jc w:val="both"/>
        <w:rPr>
          <w:rFonts w:ascii="Arial" w:hAnsi="Arial" w:cs="Arial"/>
          <w:lang w:val="es-CO"/>
        </w:rPr>
      </w:pPr>
      <w:r>
        <w:rPr>
          <w:rFonts w:ascii="Arial" w:hAnsi="Arial" w:cs="Arial"/>
          <w:lang w:val="es-CO"/>
        </w:rPr>
        <w:t xml:space="preserve">- </w:t>
      </w:r>
      <w:r>
        <w:rPr>
          <w:rFonts w:ascii="Arial" w:hAnsi="Arial" w:cs="Arial"/>
          <w:lang w:val="es-CO"/>
        </w:rPr>
        <w:tab/>
        <w:t>No corre</w:t>
      </w:r>
      <w:r>
        <w:rPr>
          <w:rFonts w:ascii="Arial" w:hAnsi="Arial" w:cs="Arial"/>
          <w:lang w:val="es-CO"/>
        </w:rPr>
        <w:t>sponde a operaciones que gozan de tarifas especiales o diferenciales menores que la general.</w:t>
      </w:r>
    </w:p>
    <w:p w14:paraId="65BA889B" w14:textId="77777777" w:rsidR="00B2442D" w:rsidRDefault="00B2442D">
      <w:pPr>
        <w:jc w:val="both"/>
        <w:rPr>
          <w:rFonts w:ascii="Arial" w:hAnsi="Arial" w:cs="Arial"/>
          <w:lang w:val="es-CO"/>
        </w:rPr>
      </w:pPr>
    </w:p>
    <w:p w14:paraId="401789A3" w14:textId="77777777" w:rsidR="00B2442D" w:rsidRDefault="008A645F">
      <w:pPr>
        <w:jc w:val="both"/>
        <w:rPr>
          <w:rFonts w:ascii="Arial" w:hAnsi="Arial" w:cs="Arial"/>
          <w:lang w:val="es-CO"/>
        </w:rPr>
      </w:pPr>
      <w:r>
        <w:rPr>
          <w:rFonts w:ascii="Arial" w:hAnsi="Arial" w:cs="Arial"/>
          <w:lang w:val="es-CO"/>
        </w:rPr>
        <w:t>De conformidad con lo dispuesto en el artículo 167 de la Ley 1607 de 2012 en concordancia con el artículo 1.5.2.2.1 del presente Decreto, son responsables directo</w:t>
      </w:r>
      <w:r>
        <w:rPr>
          <w:rFonts w:ascii="Arial" w:hAnsi="Arial" w:cs="Arial"/>
          <w:lang w:val="es-CO"/>
        </w:rPr>
        <w:t>s de los tributos e impuestos dejados de pagar, las personas o entidades respecto de las cuales se verifiquen los supuestos de hecho previstos en la ley como generadores de las obligaciones tributarias sustanciales y formales.</w:t>
      </w:r>
    </w:p>
    <w:p w14:paraId="6207F832" w14:textId="77777777" w:rsidR="00B2442D" w:rsidRDefault="00B2442D">
      <w:pPr>
        <w:jc w:val="both"/>
        <w:rPr>
          <w:rFonts w:ascii="Arial" w:hAnsi="Arial" w:cs="Arial"/>
          <w:lang w:val="es-CO"/>
        </w:rPr>
      </w:pPr>
    </w:p>
    <w:p w14:paraId="66C98907" w14:textId="77777777" w:rsidR="00B2442D" w:rsidRDefault="008A645F">
      <w:pPr>
        <w:jc w:val="both"/>
        <w:rPr>
          <w:rFonts w:ascii="Arial" w:hAnsi="Arial" w:cs="Arial"/>
          <w:i/>
          <w:lang w:val="es-CO"/>
        </w:rPr>
      </w:pPr>
      <w:r>
        <w:rPr>
          <w:rFonts w:ascii="Arial" w:hAnsi="Arial" w:cs="Arial"/>
          <w:i/>
          <w:lang w:val="es-CO"/>
        </w:rPr>
        <w:t xml:space="preserve">(Art. 9, Decreto 568 de </w:t>
      </w:r>
      <w:r>
        <w:rPr>
          <w:rFonts w:ascii="Arial" w:hAnsi="Arial" w:cs="Arial"/>
          <w:i/>
          <w:lang w:val="es-CO"/>
        </w:rPr>
        <w:t>2013)</w:t>
      </w:r>
    </w:p>
    <w:p w14:paraId="5C9ABCD7" w14:textId="77777777" w:rsidR="00B2442D" w:rsidRDefault="00B2442D">
      <w:pPr>
        <w:jc w:val="both"/>
        <w:rPr>
          <w:rFonts w:ascii="Arial" w:hAnsi="Arial" w:cs="Arial"/>
          <w:lang w:val="es-CO"/>
        </w:rPr>
      </w:pPr>
    </w:p>
    <w:p w14:paraId="374B6224" w14:textId="77777777" w:rsidR="00B2442D" w:rsidRDefault="008A645F">
      <w:pPr>
        <w:pStyle w:val="Ttulo4"/>
      </w:pPr>
      <w:r>
        <w:t>CAPÍTULO 4</w:t>
      </w:r>
    </w:p>
    <w:p w14:paraId="6200D758" w14:textId="77777777" w:rsidR="00B2442D" w:rsidRDefault="008A645F">
      <w:pPr>
        <w:pStyle w:val="Ttulo4"/>
      </w:pPr>
      <w:r>
        <w:t xml:space="preserve">Base gravable y tarifa del </w:t>
      </w:r>
      <w:r>
        <w:rPr>
          <w:b w:val="0"/>
          <w:lang w:val="es-CO"/>
        </w:rPr>
        <w:t>i</w:t>
      </w:r>
      <w:r>
        <w:rPr>
          <w:lang w:val="es-CO"/>
        </w:rPr>
        <w:t xml:space="preserve">mpuesto </w:t>
      </w:r>
      <w:r>
        <w:rPr>
          <w:b w:val="0"/>
          <w:lang w:val="es-CO"/>
        </w:rPr>
        <w:t>n</w:t>
      </w:r>
      <w:r>
        <w:rPr>
          <w:lang w:val="es-CO"/>
        </w:rPr>
        <w:t xml:space="preserve">acional a la </w:t>
      </w:r>
      <w:r>
        <w:rPr>
          <w:b w:val="0"/>
          <w:lang w:val="es-CO"/>
        </w:rPr>
        <w:t>g</w:t>
      </w:r>
      <w:r>
        <w:rPr>
          <w:lang w:val="es-CO"/>
        </w:rPr>
        <w:t>asolina</w:t>
      </w:r>
      <w:r>
        <w:t xml:space="preserve"> y al ACPM</w:t>
      </w:r>
    </w:p>
    <w:p w14:paraId="555223C2" w14:textId="77777777" w:rsidR="00B2442D" w:rsidRDefault="00B2442D">
      <w:pPr>
        <w:jc w:val="both"/>
        <w:rPr>
          <w:rFonts w:ascii="Arial" w:hAnsi="Arial" w:cs="Arial"/>
          <w:lang w:val="es-CO"/>
        </w:rPr>
      </w:pPr>
    </w:p>
    <w:p w14:paraId="4B32ACAE" w14:textId="77777777" w:rsidR="00B2442D" w:rsidRDefault="008A645F">
      <w:pPr>
        <w:pStyle w:val="Prrafodelista"/>
        <w:numPr>
          <w:ilvl w:val="0"/>
          <w:numId w:val="98"/>
        </w:numPr>
        <w:ind w:left="0" w:firstLine="0"/>
        <w:jc w:val="both"/>
        <w:rPr>
          <w:rFonts w:ascii="Arial" w:hAnsi="Arial" w:cs="Arial"/>
          <w:lang w:val="es-CO"/>
        </w:rPr>
      </w:pPr>
      <w:r>
        <w:rPr>
          <w:rFonts w:ascii="Arial" w:hAnsi="Arial" w:cs="Arial"/>
          <w:b/>
          <w:i/>
          <w:lang w:val="es-CO"/>
        </w:rPr>
        <w:t>Base gravable y tarifa.</w:t>
      </w:r>
      <w:r>
        <w:rPr>
          <w:rFonts w:ascii="Arial" w:hAnsi="Arial" w:cs="Arial"/>
          <w:lang w:val="es-CO"/>
        </w:rPr>
        <w:t xml:space="preserve"> El Impuesto Nacional a la Gasolina y al ACPM se liquidará a partir del 1° de febrero de 2013 sobre las bases gravables conforme con las tarifas generales o diferenciales a continuación mencionadas:</w:t>
      </w:r>
    </w:p>
    <w:p w14:paraId="72177BEE" w14:textId="77777777" w:rsidR="00B2442D" w:rsidRDefault="00B2442D">
      <w:pPr>
        <w:jc w:val="both"/>
        <w:rPr>
          <w:rFonts w:ascii="Arial" w:hAnsi="Arial" w:cs="Arial"/>
          <w:lang w:val="es-CO"/>
        </w:rPr>
      </w:pPr>
    </w:p>
    <w:p w14:paraId="09FA48CF" w14:textId="77777777" w:rsidR="00B2442D" w:rsidRDefault="008A645F">
      <w:pPr>
        <w:pStyle w:val="Prrafodelista"/>
        <w:numPr>
          <w:ilvl w:val="0"/>
          <w:numId w:val="10"/>
        </w:numPr>
        <w:ind w:left="426" w:hanging="426"/>
        <w:jc w:val="both"/>
        <w:rPr>
          <w:rFonts w:ascii="Arial" w:hAnsi="Arial" w:cs="Arial"/>
          <w:lang w:val="es-CO"/>
        </w:rPr>
      </w:pPr>
      <w:r>
        <w:rPr>
          <w:rFonts w:ascii="Arial" w:hAnsi="Arial" w:cs="Arial"/>
          <w:lang w:val="es-CO"/>
        </w:rPr>
        <w:t xml:space="preserve">El Impuesto Nacional a la gasolina extra se liquidará a </w:t>
      </w:r>
      <w:r>
        <w:rPr>
          <w:rFonts w:ascii="Arial" w:hAnsi="Arial" w:cs="Arial"/>
          <w:lang w:val="es-CO"/>
        </w:rPr>
        <w:t>razón de $1.555.00 por galón.</w:t>
      </w:r>
    </w:p>
    <w:p w14:paraId="61C7DDAD" w14:textId="77777777" w:rsidR="00B2442D" w:rsidRDefault="00B2442D">
      <w:pPr>
        <w:ind w:left="426" w:hanging="426"/>
        <w:jc w:val="both"/>
        <w:rPr>
          <w:rFonts w:ascii="Arial" w:hAnsi="Arial" w:cs="Arial"/>
          <w:lang w:val="es-CO"/>
        </w:rPr>
      </w:pPr>
    </w:p>
    <w:p w14:paraId="4B9023B1" w14:textId="77777777" w:rsidR="00B2442D" w:rsidRDefault="008A645F">
      <w:pPr>
        <w:ind w:left="426" w:hanging="426"/>
        <w:jc w:val="both"/>
        <w:rPr>
          <w:rFonts w:ascii="Arial" w:hAnsi="Arial" w:cs="Arial"/>
          <w:lang w:val="es-CO"/>
        </w:rPr>
      </w:pPr>
      <w:r>
        <w:rPr>
          <w:rFonts w:ascii="Arial" w:hAnsi="Arial" w:cs="Arial"/>
          <w:lang w:val="es-CO"/>
        </w:rPr>
        <w:t xml:space="preserve">- </w:t>
      </w:r>
      <w:r>
        <w:rPr>
          <w:rFonts w:ascii="Arial" w:hAnsi="Arial" w:cs="Arial"/>
          <w:lang w:val="es-CO"/>
        </w:rPr>
        <w:tab/>
        <w:t>El de la Gasolina Motor Corriente y el del ACPM, a razón de $1.075.62 por galón.</w:t>
      </w:r>
    </w:p>
    <w:p w14:paraId="73B62214" w14:textId="77777777" w:rsidR="00B2442D" w:rsidRDefault="00B2442D">
      <w:pPr>
        <w:ind w:left="426" w:hanging="426"/>
        <w:jc w:val="both"/>
        <w:rPr>
          <w:rFonts w:ascii="Arial" w:hAnsi="Arial" w:cs="Arial"/>
          <w:lang w:val="es-CO"/>
        </w:rPr>
      </w:pPr>
    </w:p>
    <w:p w14:paraId="2D463EDF" w14:textId="77777777" w:rsidR="00B2442D" w:rsidRDefault="008A645F">
      <w:pPr>
        <w:pStyle w:val="Prrafodelista"/>
        <w:numPr>
          <w:ilvl w:val="0"/>
          <w:numId w:val="10"/>
        </w:numPr>
        <w:ind w:left="426" w:hanging="426"/>
        <w:jc w:val="both"/>
        <w:rPr>
          <w:rFonts w:ascii="Arial" w:hAnsi="Arial" w:cs="Arial"/>
          <w:lang w:val="es-CO"/>
        </w:rPr>
      </w:pPr>
      <w:r>
        <w:rPr>
          <w:rFonts w:ascii="Arial" w:hAnsi="Arial" w:cs="Arial"/>
          <w:lang w:val="es-CO"/>
        </w:rPr>
        <w:t>El de la nafta o cualquier otro combustible o líquido derivado del petróleo que se pueda utilizar como carburante en motores de combustión i</w:t>
      </w:r>
      <w:r>
        <w:rPr>
          <w:rFonts w:ascii="Arial" w:hAnsi="Arial" w:cs="Arial"/>
          <w:lang w:val="es-CO"/>
        </w:rPr>
        <w:t>nterna diseñados para ser utilizados con gasolina; el del aceite combustible para motor, el diesel marino o fluvial, el marine diesel el gas oil, intersol, diesel número 2, electrocombustible o cualquier destilado medio y/o aceites vinculantes, que por sus</w:t>
      </w:r>
      <w:r>
        <w:rPr>
          <w:rFonts w:ascii="Arial" w:hAnsi="Arial" w:cs="Arial"/>
          <w:lang w:val="es-CO"/>
        </w:rPr>
        <w:t xml:space="preserve"> propiedades físico químicas al igual que por sus desempeños en motores de altas revoluciones, puedan ser usados como combustible automotor, se liquidará a la tarifa de $1.050 por galón.</w:t>
      </w:r>
    </w:p>
    <w:p w14:paraId="7AE6B02C" w14:textId="77777777" w:rsidR="00B2442D" w:rsidRDefault="00B2442D">
      <w:pPr>
        <w:ind w:left="426" w:hanging="426"/>
        <w:jc w:val="both"/>
        <w:rPr>
          <w:rFonts w:ascii="Arial" w:hAnsi="Arial" w:cs="Arial"/>
          <w:lang w:val="es-CO"/>
        </w:rPr>
      </w:pPr>
    </w:p>
    <w:p w14:paraId="7F018CE7" w14:textId="77777777" w:rsidR="00B2442D" w:rsidRDefault="008A645F">
      <w:pPr>
        <w:pStyle w:val="Prrafodelista"/>
        <w:numPr>
          <w:ilvl w:val="0"/>
          <w:numId w:val="10"/>
        </w:numPr>
        <w:ind w:left="426" w:hanging="426"/>
        <w:jc w:val="both"/>
        <w:rPr>
          <w:rFonts w:ascii="Arial" w:hAnsi="Arial" w:cs="Arial"/>
          <w:lang w:val="es-CO"/>
        </w:rPr>
      </w:pPr>
      <w:r>
        <w:rPr>
          <w:rFonts w:ascii="Arial" w:hAnsi="Arial" w:cs="Arial"/>
          <w:lang w:val="es-CO"/>
        </w:rPr>
        <w:t xml:space="preserve">El de la Gasolina Motor Corriente Oxigenada E8 (proporción Gasolina </w:t>
      </w:r>
      <w:r>
        <w:rPr>
          <w:rFonts w:ascii="Arial" w:hAnsi="Arial" w:cs="Arial"/>
          <w:lang w:val="es-CO"/>
        </w:rPr>
        <w:t>Motor Corriente (92%) - Alcohol Carburante (8%)), se liquidará a razón de $989.57 por galón.</w:t>
      </w:r>
    </w:p>
    <w:p w14:paraId="7987831C" w14:textId="77777777" w:rsidR="00B2442D" w:rsidRDefault="00B2442D">
      <w:pPr>
        <w:ind w:left="720" w:hanging="720"/>
        <w:jc w:val="both"/>
        <w:rPr>
          <w:rFonts w:ascii="Arial" w:hAnsi="Arial" w:cs="Arial"/>
          <w:lang w:val="es-CO"/>
        </w:rPr>
      </w:pPr>
    </w:p>
    <w:p w14:paraId="5EBDB97D" w14:textId="77777777" w:rsidR="00B2442D" w:rsidRDefault="008A645F">
      <w:pPr>
        <w:ind w:left="426" w:hanging="426"/>
        <w:jc w:val="both"/>
        <w:rPr>
          <w:rFonts w:ascii="Arial" w:hAnsi="Arial" w:cs="Arial"/>
          <w:lang w:val="es-CO"/>
        </w:rPr>
      </w:pPr>
      <w:r>
        <w:rPr>
          <w:rFonts w:ascii="Arial" w:hAnsi="Arial" w:cs="Arial"/>
          <w:lang w:val="es-CO"/>
        </w:rPr>
        <w:t xml:space="preserve">- </w:t>
      </w:r>
      <w:r>
        <w:rPr>
          <w:rFonts w:ascii="Arial" w:hAnsi="Arial" w:cs="Arial"/>
          <w:lang w:val="es-CO"/>
        </w:rPr>
        <w:tab/>
        <w:t>El de las mezclas ACPM - biocombustible para uso en motores diesel, se liquidará a las siguientes tarifas:</w:t>
      </w:r>
    </w:p>
    <w:p w14:paraId="2F81D50A" w14:textId="77777777" w:rsidR="00B2442D" w:rsidRDefault="00B2442D">
      <w:pPr>
        <w:jc w:val="both"/>
        <w:rPr>
          <w:rFonts w:ascii="Arial" w:hAnsi="Arial" w:cs="Arial"/>
          <w:lang w:val="es-CO"/>
        </w:rPr>
      </w:pPr>
    </w:p>
    <w:tbl>
      <w:tblPr>
        <w:tblW w:w="3004" w:type="pct"/>
        <w:tblInd w:w="1033" w:type="dxa"/>
        <w:tblLayout w:type="fixed"/>
        <w:tblCellMar>
          <w:left w:w="40" w:type="dxa"/>
          <w:right w:w="40" w:type="dxa"/>
        </w:tblCellMar>
        <w:tblLook w:val="0000" w:firstRow="0" w:lastRow="0" w:firstColumn="0" w:lastColumn="0" w:noHBand="0" w:noVBand="0"/>
      </w:tblPr>
      <w:tblGrid>
        <w:gridCol w:w="752"/>
        <w:gridCol w:w="3193"/>
        <w:gridCol w:w="1355"/>
      </w:tblGrid>
      <w:tr w:rsidR="00B2442D" w14:paraId="37654C0D" w14:textId="77777777">
        <w:trPr>
          <w:trHeight w:val="20"/>
        </w:trPr>
        <w:tc>
          <w:tcPr>
            <w:tcW w:w="3722" w:type="pct"/>
            <w:gridSpan w:val="2"/>
            <w:tcBorders>
              <w:top w:val="single" w:sz="6" w:space="0" w:color="auto"/>
              <w:left w:val="single" w:sz="6" w:space="0" w:color="auto"/>
              <w:bottom w:val="single" w:sz="6" w:space="0" w:color="auto"/>
              <w:right w:val="single" w:sz="6" w:space="0" w:color="auto"/>
            </w:tcBorders>
            <w:shd w:val="clear" w:color="auto" w:fill="FFFFFF"/>
          </w:tcPr>
          <w:p w14:paraId="22D6B84D" w14:textId="77777777" w:rsidR="00B2442D" w:rsidRDefault="008A645F">
            <w:pPr>
              <w:shd w:val="clear" w:color="auto" w:fill="FFFFFF"/>
              <w:spacing w:line="40" w:lineRule="atLeast"/>
              <w:ind w:left="590"/>
              <w:rPr>
                <w:rFonts w:ascii="Arial" w:eastAsiaTheme="minorHAnsi" w:hAnsi="Arial" w:cs="Arial"/>
                <w:lang w:val="es-CO" w:eastAsia="en-US"/>
              </w:rPr>
            </w:pPr>
            <w:r>
              <w:rPr>
                <w:rFonts w:ascii="Arial" w:eastAsiaTheme="minorHAnsi" w:hAnsi="Arial" w:cs="Arial"/>
                <w:bCs/>
                <w:lang w:val="es-ES_tradnl" w:eastAsia="en-US"/>
              </w:rPr>
              <w:t>Proporci</w:t>
            </w:r>
            <w:r>
              <w:rPr>
                <w:rFonts w:ascii="Arial" w:eastAsia="Times New Roman" w:hAnsi="Arial" w:cs="Arial"/>
                <w:bCs/>
                <w:lang w:val="es-ES_tradnl" w:eastAsia="en-US"/>
              </w:rPr>
              <w:t>ón</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22692962" w14:textId="77777777" w:rsidR="00B2442D" w:rsidRDefault="008A645F">
            <w:pPr>
              <w:shd w:val="clear" w:color="auto" w:fill="FFFFFF"/>
              <w:spacing w:line="40" w:lineRule="atLeast"/>
              <w:ind w:left="48"/>
              <w:rPr>
                <w:rFonts w:ascii="Arial" w:eastAsiaTheme="minorHAnsi" w:hAnsi="Arial" w:cs="Arial"/>
                <w:lang w:val="es-CO" w:eastAsia="en-US"/>
              </w:rPr>
            </w:pPr>
            <w:r>
              <w:rPr>
                <w:rFonts w:ascii="Arial" w:eastAsiaTheme="minorHAnsi" w:hAnsi="Arial" w:cs="Arial"/>
                <w:bCs/>
                <w:lang w:val="es-ES_tradnl" w:eastAsia="en-US"/>
              </w:rPr>
              <w:t>Impuesto</w:t>
            </w:r>
          </w:p>
        </w:tc>
      </w:tr>
      <w:tr w:rsidR="00B2442D" w14:paraId="65D0C995" w14:textId="77777777">
        <w:trPr>
          <w:trHeight w:val="20"/>
        </w:trPr>
        <w:tc>
          <w:tcPr>
            <w:tcW w:w="710" w:type="pct"/>
            <w:tcBorders>
              <w:top w:val="single" w:sz="6" w:space="0" w:color="auto"/>
              <w:left w:val="single" w:sz="6" w:space="0" w:color="auto"/>
              <w:bottom w:val="single" w:sz="6" w:space="0" w:color="auto"/>
              <w:right w:val="single" w:sz="6" w:space="0" w:color="auto"/>
            </w:tcBorders>
            <w:shd w:val="clear" w:color="auto" w:fill="FFFFFF"/>
          </w:tcPr>
          <w:p w14:paraId="44235215"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ACPM</w:t>
            </w:r>
          </w:p>
        </w:tc>
        <w:tc>
          <w:tcPr>
            <w:tcW w:w="3012" w:type="pct"/>
            <w:tcBorders>
              <w:top w:val="single" w:sz="6" w:space="0" w:color="auto"/>
              <w:left w:val="single" w:sz="6" w:space="0" w:color="auto"/>
              <w:bottom w:val="single" w:sz="6" w:space="0" w:color="auto"/>
              <w:right w:val="single" w:sz="6" w:space="0" w:color="auto"/>
            </w:tcBorders>
            <w:shd w:val="clear" w:color="auto" w:fill="FFFFFF"/>
          </w:tcPr>
          <w:p w14:paraId="1A10D4C9"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Biocombustible</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12BFDEBE" w14:textId="77777777" w:rsidR="00B2442D" w:rsidRDefault="00B2442D">
            <w:pPr>
              <w:shd w:val="clear" w:color="auto" w:fill="FFFFFF"/>
              <w:spacing w:line="40" w:lineRule="atLeast"/>
              <w:rPr>
                <w:rFonts w:ascii="Arial" w:eastAsiaTheme="minorHAnsi" w:hAnsi="Arial" w:cs="Arial"/>
                <w:lang w:val="es-CO" w:eastAsia="en-US"/>
              </w:rPr>
            </w:pPr>
          </w:p>
        </w:tc>
      </w:tr>
      <w:tr w:rsidR="00B2442D" w14:paraId="3FBD8C4A" w14:textId="77777777">
        <w:trPr>
          <w:trHeight w:val="20"/>
        </w:trPr>
        <w:tc>
          <w:tcPr>
            <w:tcW w:w="710" w:type="pct"/>
            <w:tcBorders>
              <w:top w:val="single" w:sz="6" w:space="0" w:color="auto"/>
              <w:left w:val="single" w:sz="6" w:space="0" w:color="auto"/>
              <w:bottom w:val="single" w:sz="6" w:space="0" w:color="auto"/>
              <w:right w:val="single" w:sz="6" w:space="0" w:color="auto"/>
            </w:tcBorders>
            <w:shd w:val="clear" w:color="auto" w:fill="FFFFFF"/>
          </w:tcPr>
          <w:p w14:paraId="15D23991"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98%</w:t>
            </w:r>
          </w:p>
        </w:tc>
        <w:tc>
          <w:tcPr>
            <w:tcW w:w="3012" w:type="pct"/>
            <w:tcBorders>
              <w:top w:val="single" w:sz="6" w:space="0" w:color="auto"/>
              <w:left w:val="single" w:sz="6" w:space="0" w:color="auto"/>
              <w:bottom w:val="single" w:sz="6" w:space="0" w:color="auto"/>
              <w:right w:val="single" w:sz="6" w:space="0" w:color="auto"/>
            </w:tcBorders>
            <w:shd w:val="clear" w:color="auto" w:fill="FFFFFF"/>
          </w:tcPr>
          <w:p w14:paraId="3CF71A63"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lang w:val="es-ES_tradnl" w:eastAsia="en-US"/>
              </w:rPr>
              <w:t>2%</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6EBC0FF8" w14:textId="77777777" w:rsidR="00B2442D" w:rsidRDefault="008A645F">
            <w:pPr>
              <w:shd w:val="clear" w:color="auto" w:fill="FFFFFF"/>
              <w:spacing w:line="40" w:lineRule="atLeast"/>
              <w:jc w:val="right"/>
              <w:rPr>
                <w:rFonts w:ascii="Arial" w:eastAsiaTheme="minorHAnsi" w:hAnsi="Arial" w:cs="Arial"/>
                <w:lang w:val="es-CO" w:eastAsia="en-US"/>
              </w:rPr>
            </w:pPr>
            <w:r>
              <w:rPr>
                <w:rFonts w:ascii="Arial" w:eastAsiaTheme="minorHAnsi" w:hAnsi="Arial" w:cs="Arial"/>
                <w:lang w:val="es-ES_tradnl" w:eastAsia="en-US"/>
              </w:rPr>
              <w:t>$1.054.11</w:t>
            </w:r>
          </w:p>
        </w:tc>
      </w:tr>
      <w:tr w:rsidR="00B2442D" w14:paraId="034C5510" w14:textId="77777777">
        <w:trPr>
          <w:trHeight w:val="20"/>
        </w:trPr>
        <w:tc>
          <w:tcPr>
            <w:tcW w:w="710" w:type="pct"/>
            <w:tcBorders>
              <w:top w:val="single" w:sz="6" w:space="0" w:color="auto"/>
              <w:left w:val="single" w:sz="6" w:space="0" w:color="auto"/>
              <w:bottom w:val="single" w:sz="6" w:space="0" w:color="auto"/>
              <w:right w:val="single" w:sz="6" w:space="0" w:color="auto"/>
            </w:tcBorders>
            <w:shd w:val="clear" w:color="auto" w:fill="FFFFFF"/>
          </w:tcPr>
          <w:p w14:paraId="65BBBBA3"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96%</w:t>
            </w:r>
          </w:p>
        </w:tc>
        <w:tc>
          <w:tcPr>
            <w:tcW w:w="3012" w:type="pct"/>
            <w:tcBorders>
              <w:top w:val="single" w:sz="6" w:space="0" w:color="auto"/>
              <w:left w:val="single" w:sz="6" w:space="0" w:color="auto"/>
              <w:bottom w:val="single" w:sz="6" w:space="0" w:color="auto"/>
              <w:right w:val="single" w:sz="6" w:space="0" w:color="auto"/>
            </w:tcBorders>
            <w:shd w:val="clear" w:color="auto" w:fill="FFFFFF"/>
          </w:tcPr>
          <w:p w14:paraId="6E1A445D"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4%</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00BD9010" w14:textId="77777777" w:rsidR="00B2442D" w:rsidRDefault="008A645F">
            <w:pPr>
              <w:shd w:val="clear" w:color="auto" w:fill="FFFFFF"/>
              <w:spacing w:line="40" w:lineRule="atLeast"/>
              <w:jc w:val="right"/>
              <w:rPr>
                <w:rFonts w:ascii="Arial" w:eastAsiaTheme="minorHAnsi" w:hAnsi="Arial" w:cs="Arial"/>
                <w:lang w:val="es-CO" w:eastAsia="en-US"/>
              </w:rPr>
            </w:pPr>
            <w:r>
              <w:rPr>
                <w:rFonts w:ascii="Arial" w:eastAsiaTheme="minorHAnsi" w:hAnsi="Arial" w:cs="Arial"/>
                <w:lang w:val="es-ES_tradnl" w:eastAsia="en-US"/>
              </w:rPr>
              <w:t>1.032.60</w:t>
            </w:r>
          </w:p>
        </w:tc>
      </w:tr>
      <w:tr w:rsidR="00B2442D" w14:paraId="6C75EA67" w14:textId="77777777">
        <w:trPr>
          <w:trHeight w:val="20"/>
        </w:trPr>
        <w:tc>
          <w:tcPr>
            <w:tcW w:w="710" w:type="pct"/>
            <w:tcBorders>
              <w:top w:val="single" w:sz="6" w:space="0" w:color="auto"/>
              <w:left w:val="single" w:sz="6" w:space="0" w:color="auto"/>
              <w:bottom w:val="single" w:sz="6" w:space="0" w:color="auto"/>
              <w:right w:val="single" w:sz="6" w:space="0" w:color="auto"/>
            </w:tcBorders>
            <w:shd w:val="clear" w:color="auto" w:fill="FFFFFF"/>
          </w:tcPr>
          <w:p w14:paraId="2267F07A"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92%</w:t>
            </w:r>
          </w:p>
        </w:tc>
        <w:tc>
          <w:tcPr>
            <w:tcW w:w="3012" w:type="pct"/>
            <w:tcBorders>
              <w:top w:val="single" w:sz="6" w:space="0" w:color="auto"/>
              <w:left w:val="single" w:sz="6" w:space="0" w:color="auto"/>
              <w:bottom w:val="single" w:sz="6" w:space="0" w:color="auto"/>
              <w:right w:val="single" w:sz="6" w:space="0" w:color="auto"/>
            </w:tcBorders>
            <w:shd w:val="clear" w:color="auto" w:fill="FFFFFF"/>
          </w:tcPr>
          <w:p w14:paraId="08813700"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8%</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6027A871" w14:textId="77777777" w:rsidR="00B2442D" w:rsidRDefault="008A645F">
            <w:pPr>
              <w:shd w:val="clear" w:color="auto" w:fill="FFFFFF"/>
              <w:spacing w:line="40" w:lineRule="atLeast"/>
              <w:jc w:val="right"/>
              <w:rPr>
                <w:rFonts w:ascii="Arial" w:eastAsiaTheme="minorHAnsi" w:hAnsi="Arial" w:cs="Arial"/>
                <w:lang w:val="es-CO" w:eastAsia="en-US"/>
              </w:rPr>
            </w:pPr>
            <w:r>
              <w:rPr>
                <w:rFonts w:ascii="Arial" w:eastAsiaTheme="minorHAnsi" w:hAnsi="Arial" w:cs="Arial"/>
                <w:lang w:val="es-ES_tradnl" w:eastAsia="en-US"/>
              </w:rPr>
              <w:t>989.57</w:t>
            </w:r>
          </w:p>
        </w:tc>
      </w:tr>
      <w:tr w:rsidR="00B2442D" w14:paraId="1157F8F6" w14:textId="77777777">
        <w:trPr>
          <w:trHeight w:val="20"/>
        </w:trPr>
        <w:tc>
          <w:tcPr>
            <w:tcW w:w="710" w:type="pct"/>
            <w:tcBorders>
              <w:top w:val="single" w:sz="6" w:space="0" w:color="auto"/>
              <w:left w:val="single" w:sz="6" w:space="0" w:color="auto"/>
              <w:bottom w:val="single" w:sz="6" w:space="0" w:color="auto"/>
              <w:right w:val="single" w:sz="6" w:space="0" w:color="auto"/>
            </w:tcBorders>
            <w:shd w:val="clear" w:color="auto" w:fill="FFFFFF"/>
          </w:tcPr>
          <w:p w14:paraId="02AE506E"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90%</w:t>
            </w:r>
          </w:p>
        </w:tc>
        <w:tc>
          <w:tcPr>
            <w:tcW w:w="3012" w:type="pct"/>
            <w:tcBorders>
              <w:top w:val="single" w:sz="6" w:space="0" w:color="auto"/>
              <w:left w:val="single" w:sz="6" w:space="0" w:color="auto"/>
              <w:bottom w:val="single" w:sz="6" w:space="0" w:color="auto"/>
              <w:right w:val="single" w:sz="6" w:space="0" w:color="auto"/>
            </w:tcBorders>
            <w:shd w:val="clear" w:color="auto" w:fill="FFFFFF"/>
          </w:tcPr>
          <w:p w14:paraId="74504BB9" w14:textId="77777777" w:rsidR="00B2442D" w:rsidRDefault="008A645F">
            <w:pPr>
              <w:shd w:val="clear" w:color="auto" w:fill="FFFFFF"/>
              <w:spacing w:line="40" w:lineRule="atLeast"/>
              <w:jc w:val="center"/>
              <w:rPr>
                <w:rFonts w:ascii="Arial" w:eastAsiaTheme="minorHAnsi" w:hAnsi="Arial" w:cs="Arial"/>
                <w:lang w:val="es-CO" w:eastAsia="en-US"/>
              </w:rPr>
            </w:pPr>
            <w:r>
              <w:rPr>
                <w:rFonts w:ascii="Arial" w:eastAsiaTheme="minorHAnsi" w:hAnsi="Arial" w:cs="Arial"/>
                <w:bCs/>
                <w:lang w:val="es-ES_tradnl" w:eastAsia="en-US"/>
              </w:rPr>
              <w:t>10%</w:t>
            </w:r>
          </w:p>
        </w:tc>
        <w:tc>
          <w:tcPr>
            <w:tcW w:w="1278" w:type="pct"/>
            <w:tcBorders>
              <w:top w:val="single" w:sz="6" w:space="0" w:color="auto"/>
              <w:left w:val="single" w:sz="6" w:space="0" w:color="auto"/>
              <w:bottom w:val="single" w:sz="6" w:space="0" w:color="auto"/>
              <w:right w:val="single" w:sz="6" w:space="0" w:color="auto"/>
            </w:tcBorders>
            <w:shd w:val="clear" w:color="auto" w:fill="FFFFFF"/>
          </w:tcPr>
          <w:p w14:paraId="4775E827" w14:textId="77777777" w:rsidR="00B2442D" w:rsidRDefault="008A645F">
            <w:pPr>
              <w:shd w:val="clear" w:color="auto" w:fill="FFFFFF"/>
              <w:spacing w:line="40" w:lineRule="atLeast"/>
              <w:jc w:val="right"/>
              <w:rPr>
                <w:rFonts w:ascii="Arial" w:eastAsiaTheme="minorHAnsi" w:hAnsi="Arial" w:cs="Arial"/>
                <w:lang w:val="es-CO" w:eastAsia="en-US"/>
              </w:rPr>
            </w:pPr>
            <w:r>
              <w:rPr>
                <w:rFonts w:ascii="Arial" w:eastAsiaTheme="minorHAnsi" w:hAnsi="Arial" w:cs="Arial"/>
                <w:lang w:val="es-ES_tradnl" w:eastAsia="en-US"/>
              </w:rPr>
              <w:t>968.06</w:t>
            </w:r>
          </w:p>
        </w:tc>
      </w:tr>
    </w:tbl>
    <w:p w14:paraId="76F6B235" w14:textId="77777777" w:rsidR="00B2442D" w:rsidRDefault="00B2442D">
      <w:pPr>
        <w:jc w:val="both"/>
        <w:rPr>
          <w:rFonts w:ascii="Arial" w:hAnsi="Arial" w:cs="Arial"/>
          <w:lang w:val="es-CO"/>
        </w:rPr>
      </w:pPr>
    </w:p>
    <w:p w14:paraId="711F87F9" w14:textId="77777777" w:rsidR="00B2442D" w:rsidRDefault="008A645F">
      <w:pPr>
        <w:jc w:val="both"/>
        <w:rPr>
          <w:rFonts w:ascii="Arial" w:hAnsi="Arial" w:cs="Arial"/>
          <w:lang w:val="es-CO"/>
        </w:rPr>
      </w:pPr>
      <w:r>
        <w:rPr>
          <w:rFonts w:ascii="Arial" w:hAnsi="Arial" w:cs="Arial"/>
          <w:lang w:val="es-CO"/>
        </w:rPr>
        <w:t xml:space="preserve">Los combustibles utilizados en las actividades de pesca y/o cabotaje en las costas colombianas y en las actividades marítimas desarrolladas por la armada nacional, </w:t>
      </w:r>
      <w:r>
        <w:rPr>
          <w:rFonts w:ascii="Arial" w:hAnsi="Arial" w:cs="Arial"/>
          <w:lang w:val="es-CO"/>
        </w:rPr>
        <w:t>propias del cuerpo de guardacostas, contempladas en el Decreto 1874 de 1979, y el diesel marino y fluvial y los aceites vinculados estarán sujetos al impuesto nacional a la gasolina y al ACPM, liquidado a razón de $501.00 por galón.</w:t>
      </w:r>
    </w:p>
    <w:p w14:paraId="61B04AE0" w14:textId="77777777" w:rsidR="00B2442D" w:rsidRDefault="00B2442D">
      <w:pPr>
        <w:jc w:val="both"/>
        <w:rPr>
          <w:rFonts w:ascii="Arial" w:hAnsi="Arial" w:cs="Arial"/>
          <w:lang w:val="es-CO"/>
        </w:rPr>
      </w:pPr>
    </w:p>
    <w:p w14:paraId="4335511C" w14:textId="77777777" w:rsidR="00B2442D" w:rsidRDefault="008A645F">
      <w:pPr>
        <w:pStyle w:val="Prrafodelista"/>
        <w:numPr>
          <w:ilvl w:val="0"/>
          <w:numId w:val="10"/>
        </w:numPr>
        <w:jc w:val="both"/>
        <w:rPr>
          <w:rFonts w:ascii="Arial" w:hAnsi="Arial" w:cs="Arial"/>
          <w:lang w:val="es-CO"/>
        </w:rPr>
      </w:pPr>
      <w:r>
        <w:rPr>
          <w:rFonts w:ascii="Arial" w:hAnsi="Arial" w:cs="Arial"/>
          <w:lang w:val="es-CO"/>
        </w:rPr>
        <w:t>La venta, retiro o imp</w:t>
      </w:r>
      <w:r>
        <w:rPr>
          <w:rFonts w:ascii="Arial" w:hAnsi="Arial" w:cs="Arial"/>
          <w:lang w:val="es-CO"/>
        </w:rPr>
        <w:t>ortación de gasolina y ACPM dentro del territorio del departamento Archipiélago de San Andrés, Providencia y Santa Catalina estarán sujetos al impuesto nacional a la gasolina y al ACPM así:</w:t>
      </w:r>
    </w:p>
    <w:p w14:paraId="6F7581ED" w14:textId="77777777" w:rsidR="00B2442D" w:rsidRDefault="00B2442D">
      <w:pPr>
        <w:pStyle w:val="Prrafodelista"/>
        <w:jc w:val="both"/>
        <w:rPr>
          <w:rFonts w:ascii="Arial" w:hAnsi="Arial" w:cs="Arial"/>
          <w:lang w:val="es-CO"/>
        </w:rPr>
      </w:pPr>
    </w:p>
    <w:p w14:paraId="0A064A60" w14:textId="77777777" w:rsidR="00B2442D" w:rsidRDefault="008A645F">
      <w:pPr>
        <w:pStyle w:val="Prrafodelista"/>
        <w:numPr>
          <w:ilvl w:val="0"/>
          <w:numId w:val="10"/>
        </w:numPr>
        <w:jc w:val="both"/>
        <w:rPr>
          <w:rFonts w:ascii="Arial" w:hAnsi="Arial" w:cs="Arial"/>
          <w:lang w:val="es-CO"/>
        </w:rPr>
      </w:pPr>
      <w:r>
        <w:rPr>
          <w:rFonts w:ascii="Arial" w:hAnsi="Arial" w:cs="Arial"/>
          <w:lang w:val="es-CO"/>
        </w:rPr>
        <w:t xml:space="preserve">A la gasolina corriente liquidado a razón de $809.00 por galón; </w:t>
      </w:r>
    </w:p>
    <w:p w14:paraId="2E60004B" w14:textId="77777777" w:rsidR="00B2442D" w:rsidRDefault="008A645F">
      <w:pPr>
        <w:pStyle w:val="Prrafodelista"/>
        <w:numPr>
          <w:ilvl w:val="0"/>
          <w:numId w:val="10"/>
        </w:numPr>
        <w:jc w:val="both"/>
        <w:rPr>
          <w:rFonts w:ascii="Arial" w:hAnsi="Arial" w:cs="Arial"/>
          <w:lang w:val="es-CO"/>
        </w:rPr>
      </w:pPr>
      <w:r>
        <w:rPr>
          <w:rFonts w:ascii="Arial" w:hAnsi="Arial" w:cs="Arial"/>
          <w:lang w:val="es-CO"/>
        </w:rPr>
        <w:t xml:space="preserve">A la gasolina extra liquidado a razón de $856.00 por galón y </w:t>
      </w:r>
    </w:p>
    <w:p w14:paraId="33F818A9" w14:textId="77777777" w:rsidR="00B2442D" w:rsidRDefault="008A645F">
      <w:pPr>
        <w:pStyle w:val="Prrafodelista"/>
        <w:numPr>
          <w:ilvl w:val="0"/>
          <w:numId w:val="10"/>
        </w:numPr>
        <w:jc w:val="both"/>
        <w:rPr>
          <w:rFonts w:ascii="Arial" w:hAnsi="Arial" w:cs="Arial"/>
          <w:lang w:val="es-CO"/>
        </w:rPr>
      </w:pPr>
      <w:r>
        <w:rPr>
          <w:rFonts w:ascii="Arial" w:hAnsi="Arial" w:cs="Arial"/>
          <w:lang w:val="es-CO"/>
        </w:rPr>
        <w:t>Al ACPM liquidado a razón de $536.00 por galón.</w:t>
      </w:r>
    </w:p>
    <w:p w14:paraId="4FD6D5F3" w14:textId="77777777" w:rsidR="00B2442D" w:rsidRDefault="00B2442D">
      <w:pPr>
        <w:pStyle w:val="Prrafodelista"/>
        <w:jc w:val="both"/>
        <w:rPr>
          <w:rFonts w:ascii="Arial" w:hAnsi="Arial" w:cs="Arial"/>
          <w:lang w:val="es-CO"/>
        </w:rPr>
      </w:pPr>
    </w:p>
    <w:p w14:paraId="7FDA9AD9"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A partir de la vigencia del presente Decreto el Director General de la Unidad Administrativa Especial Dirección de Impuestos y Adua</w:t>
      </w:r>
      <w:r>
        <w:rPr>
          <w:rFonts w:ascii="Arial" w:hAnsi="Arial" w:cs="Arial"/>
          <w:lang w:val="es-CO"/>
        </w:rPr>
        <w:t>nas Nacionales-DIAN, será el competente para efectuar mediante resolución el ajuste cada primero de febrero, con base en la inflación del año anterior.</w:t>
      </w:r>
    </w:p>
    <w:p w14:paraId="0073734B" w14:textId="77777777" w:rsidR="00B2442D" w:rsidRDefault="00B2442D">
      <w:pPr>
        <w:jc w:val="both"/>
        <w:rPr>
          <w:rFonts w:ascii="Arial" w:hAnsi="Arial" w:cs="Arial"/>
          <w:i/>
          <w:lang w:val="es-CO"/>
        </w:rPr>
      </w:pPr>
    </w:p>
    <w:p w14:paraId="681AAC7B" w14:textId="77777777" w:rsidR="00B2442D" w:rsidRDefault="008A645F">
      <w:pPr>
        <w:jc w:val="both"/>
        <w:rPr>
          <w:rFonts w:ascii="Arial" w:hAnsi="Arial" w:cs="Arial"/>
          <w:i/>
          <w:lang w:val="es-CO"/>
        </w:rPr>
      </w:pPr>
      <w:r>
        <w:rPr>
          <w:rFonts w:ascii="Arial" w:hAnsi="Arial" w:cs="Arial"/>
          <w:i/>
          <w:lang w:val="es-CO"/>
        </w:rPr>
        <w:t>(Art. 5, Decreto 0568 de 2013. Parágrafo 1 tiene pérdida de vigencia por cumplimiento del plazo)</w:t>
      </w:r>
    </w:p>
    <w:p w14:paraId="6257D947" w14:textId="77777777" w:rsidR="00B2442D" w:rsidRDefault="00B2442D">
      <w:pPr>
        <w:jc w:val="both"/>
        <w:rPr>
          <w:rFonts w:ascii="Arial" w:hAnsi="Arial" w:cs="Arial"/>
          <w:lang w:val="es-CO"/>
        </w:rPr>
      </w:pPr>
    </w:p>
    <w:p w14:paraId="5F3761FE" w14:textId="77777777" w:rsidR="00B2442D" w:rsidRDefault="008A645F">
      <w:pPr>
        <w:pStyle w:val="Ttulo4"/>
      </w:pPr>
      <w:r>
        <w:t>CAPÍTULO 5</w:t>
      </w:r>
    </w:p>
    <w:p w14:paraId="6AB72802" w14:textId="77777777" w:rsidR="00B2442D" w:rsidRDefault="008A645F">
      <w:pPr>
        <w:pStyle w:val="Ttulo4"/>
      </w:pPr>
      <w:r>
        <w:t>Determinación del impuesto nacional a la gasolina y al ACPM</w:t>
      </w:r>
    </w:p>
    <w:p w14:paraId="0F86D3A9" w14:textId="77777777" w:rsidR="00B2442D" w:rsidRDefault="00B2442D">
      <w:pPr>
        <w:rPr>
          <w:rFonts w:ascii="Arial" w:hAnsi="Arial" w:cs="Arial"/>
        </w:rPr>
      </w:pPr>
    </w:p>
    <w:p w14:paraId="4272A255" w14:textId="77777777" w:rsidR="00B2442D" w:rsidRDefault="008A645F">
      <w:pPr>
        <w:pStyle w:val="Prrafodelista"/>
        <w:numPr>
          <w:ilvl w:val="0"/>
          <w:numId w:val="99"/>
        </w:numPr>
        <w:ind w:left="0" w:firstLine="0"/>
        <w:jc w:val="both"/>
        <w:rPr>
          <w:rFonts w:ascii="Arial" w:hAnsi="Arial" w:cs="Arial"/>
          <w:lang w:val="es-CO"/>
        </w:rPr>
      </w:pPr>
      <w:r>
        <w:rPr>
          <w:rFonts w:ascii="Arial" w:hAnsi="Arial" w:cs="Arial"/>
          <w:b/>
          <w:i/>
          <w:lang w:val="es-CO"/>
        </w:rPr>
        <w:t>Determinación del impuesto a cargo de los responsables del impuesto nacional a la gasolina y al ACPM</w:t>
      </w:r>
      <w:r>
        <w:rPr>
          <w:rFonts w:ascii="Arial" w:hAnsi="Arial" w:cs="Arial"/>
          <w:lang w:val="es-CO"/>
        </w:rPr>
        <w:t xml:space="preserve">. El impuesto se determinará multiplicando la tarifa vigente y/o valor del impuesto </w:t>
      </w:r>
      <w:r>
        <w:rPr>
          <w:rFonts w:ascii="Arial" w:hAnsi="Arial" w:cs="Arial"/>
          <w:lang w:val="es-CO"/>
        </w:rPr>
        <w:t>que corresponda al respectivo galón del combustible gravado de acuerdo con el artículo 1.5.2.4.1 del presente Decreto, por el número de galones objeto de la venta, importación o retiro.</w:t>
      </w:r>
    </w:p>
    <w:p w14:paraId="42CA699A" w14:textId="77777777" w:rsidR="00B2442D" w:rsidRDefault="00B2442D">
      <w:pPr>
        <w:jc w:val="both"/>
        <w:rPr>
          <w:rFonts w:ascii="Arial" w:hAnsi="Arial" w:cs="Arial"/>
          <w:lang w:val="es-CO"/>
        </w:rPr>
      </w:pPr>
    </w:p>
    <w:p w14:paraId="6A4200CD" w14:textId="77777777" w:rsidR="00B2442D" w:rsidRDefault="008A645F">
      <w:pPr>
        <w:jc w:val="both"/>
        <w:rPr>
          <w:rFonts w:ascii="Arial" w:hAnsi="Arial" w:cs="Arial"/>
          <w:lang w:val="es-CO"/>
        </w:rPr>
      </w:pPr>
      <w:r>
        <w:rPr>
          <w:rFonts w:ascii="Arial" w:hAnsi="Arial" w:cs="Arial"/>
          <w:lang w:val="es-CO"/>
        </w:rPr>
        <w:t>Para la determinación del impuesto a cargo, se deberán restar las exe</w:t>
      </w:r>
      <w:r>
        <w:rPr>
          <w:rFonts w:ascii="Arial" w:hAnsi="Arial" w:cs="Arial"/>
          <w:lang w:val="es-CO"/>
        </w:rPr>
        <w:t>nciones y los excesos por la diferencia de los mayores valores facturados como consecuencia de la aplicación de tarifas diferenciales, de acuerdo con el instructivo para la elaboración de la declaración mensual del impuesto nacional a la gasolina y al ACPM</w:t>
      </w:r>
      <w:r>
        <w:rPr>
          <w:rFonts w:ascii="Arial" w:hAnsi="Arial" w:cs="Arial"/>
          <w:lang w:val="es-CO"/>
        </w:rPr>
        <w:t>, prescrito por la Unidad Administrativa Especial Dirección de Impuestos y Aduanas Nacionales- DIAN, siempre y cuando, hayan sido certificadas por quien realizó la venta directa con el propósito de la distribución, uso o consumo en las zonas o actividades,</w:t>
      </w:r>
      <w:r>
        <w:rPr>
          <w:rFonts w:ascii="Arial" w:hAnsi="Arial" w:cs="Arial"/>
          <w:lang w:val="es-CO"/>
        </w:rPr>
        <w:t xml:space="preserve"> de conformidad con los artículos 1.5.2.4.1 y 1.5.2.3.1 del presente Decreto.</w:t>
      </w:r>
    </w:p>
    <w:p w14:paraId="012599BC" w14:textId="77777777" w:rsidR="00B2442D" w:rsidRDefault="00B2442D">
      <w:pPr>
        <w:jc w:val="both"/>
        <w:rPr>
          <w:rFonts w:ascii="Arial" w:hAnsi="Arial" w:cs="Arial"/>
          <w:lang w:val="es-CO"/>
        </w:rPr>
      </w:pPr>
    </w:p>
    <w:p w14:paraId="1A876BEF" w14:textId="77777777" w:rsidR="00B2442D" w:rsidRDefault="008A645F">
      <w:pPr>
        <w:jc w:val="both"/>
        <w:rPr>
          <w:rFonts w:ascii="Arial" w:hAnsi="Arial" w:cs="Arial"/>
          <w:lang w:val="es-CO"/>
        </w:rPr>
      </w:pPr>
      <w:r>
        <w:rPr>
          <w:rFonts w:ascii="Arial" w:hAnsi="Arial" w:cs="Arial"/>
          <w:b/>
          <w:lang w:val="es-CO"/>
        </w:rPr>
        <w:t>Parágrafo 1 °.</w:t>
      </w:r>
      <w:r>
        <w:rPr>
          <w:rFonts w:ascii="Arial" w:hAnsi="Arial" w:cs="Arial"/>
          <w:lang w:val="es-CO"/>
        </w:rPr>
        <w:t xml:space="preserve"> Cuando se anulen, rescindan o resuelvan operaciones que hayan sido sometidas al impuesto nacional a la gasolina y al ACPM, el productor podrá descontar el impuest</w:t>
      </w:r>
      <w:r>
        <w:rPr>
          <w:rFonts w:ascii="Arial" w:hAnsi="Arial" w:cs="Arial"/>
          <w:lang w:val="es-CO"/>
        </w:rPr>
        <w:t>o que hubiere facturado por tales operaciones del monto del Impuesto Nacional a la Gasolina y al ACPM por declarar y consignar en el período en el cual se hayan anulado, rescindido o resuelto las mismas. Si el monto de los impuestos facturados en tal perío</w:t>
      </w:r>
      <w:r>
        <w:rPr>
          <w:rFonts w:ascii="Arial" w:hAnsi="Arial" w:cs="Arial"/>
          <w:lang w:val="es-CO"/>
        </w:rPr>
        <w:t>do no fuere suficiente, con el saldo podrá afectar el impuesto de los períodos inmediatamente siguientes.</w:t>
      </w:r>
    </w:p>
    <w:p w14:paraId="584470DD" w14:textId="77777777" w:rsidR="00B2442D" w:rsidRDefault="00B2442D">
      <w:pPr>
        <w:jc w:val="both"/>
        <w:rPr>
          <w:rFonts w:ascii="Arial" w:hAnsi="Arial" w:cs="Arial"/>
          <w:lang w:val="es-CO"/>
        </w:rPr>
      </w:pPr>
    </w:p>
    <w:p w14:paraId="54AAA6BD" w14:textId="77777777" w:rsidR="00B2442D" w:rsidRDefault="008A645F">
      <w:pPr>
        <w:jc w:val="both"/>
        <w:rPr>
          <w:rFonts w:ascii="Arial" w:hAnsi="Arial" w:cs="Arial"/>
          <w:lang w:val="es-CO"/>
        </w:rPr>
      </w:pPr>
      <w:r>
        <w:rPr>
          <w:rFonts w:ascii="Arial" w:hAnsi="Arial" w:cs="Arial"/>
          <w:lang w:val="es-CO"/>
        </w:rPr>
        <w:t xml:space="preserve">Para que proceda el descuento, el productor deberá conservar una manifestación del adquirente en la cual haga constar que tal impuesto no ha sido ni </w:t>
      </w:r>
      <w:r>
        <w:rPr>
          <w:rFonts w:ascii="Arial" w:hAnsi="Arial" w:cs="Arial"/>
          <w:lang w:val="es-CO"/>
        </w:rPr>
        <w:t>será imputado en la respectiva declaración del impuesto sobre las ventas ni en la declaración del impuesto sobre la renta y complementario.</w:t>
      </w:r>
    </w:p>
    <w:p w14:paraId="31CB77BA" w14:textId="77777777" w:rsidR="00B2442D" w:rsidRDefault="00B2442D">
      <w:pPr>
        <w:jc w:val="both"/>
        <w:rPr>
          <w:rFonts w:ascii="Arial" w:hAnsi="Arial" w:cs="Arial"/>
          <w:lang w:val="es-CO"/>
        </w:rPr>
      </w:pPr>
    </w:p>
    <w:p w14:paraId="65BCF6F4"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Cuando el productor haya facturado el Impuesto Nacional a la Gasolina y al ACPM, por un valor superio</w:t>
      </w:r>
      <w:r>
        <w:rPr>
          <w:rFonts w:ascii="Arial" w:hAnsi="Arial" w:cs="Arial"/>
          <w:lang w:val="es-CO"/>
        </w:rPr>
        <w:t xml:space="preserve">r al que ha debido cobrarse al adquirente, sobre combustibles que gozan de exención y/o de tarifas diferenciales, podrá reintegrar los valores facturados en exceso, previa la certificación o información, escrita a que se refieren los artículos 1.5.2.8.1 a </w:t>
      </w:r>
      <w:r>
        <w:rPr>
          <w:rFonts w:ascii="Arial" w:hAnsi="Arial" w:cs="Arial"/>
          <w:lang w:val="es-CO"/>
        </w:rPr>
        <w:t>1.5.2.8.5 del presente Decreto.</w:t>
      </w:r>
    </w:p>
    <w:p w14:paraId="1D5AED6C" w14:textId="77777777" w:rsidR="00B2442D" w:rsidRDefault="00B2442D">
      <w:pPr>
        <w:jc w:val="both"/>
        <w:rPr>
          <w:rFonts w:ascii="Arial" w:hAnsi="Arial" w:cs="Arial"/>
          <w:lang w:val="es-CO"/>
        </w:rPr>
      </w:pPr>
    </w:p>
    <w:p w14:paraId="44530899" w14:textId="77777777" w:rsidR="00B2442D" w:rsidRDefault="008A645F">
      <w:pPr>
        <w:jc w:val="both"/>
        <w:rPr>
          <w:rFonts w:ascii="Arial" w:hAnsi="Arial" w:cs="Arial"/>
          <w:lang w:val="es-CO"/>
        </w:rPr>
      </w:pPr>
      <w:r>
        <w:rPr>
          <w:rFonts w:ascii="Arial" w:hAnsi="Arial" w:cs="Arial"/>
          <w:lang w:val="es-CO"/>
        </w:rPr>
        <w:t>En el mismo período en el cual el productor efectúe el respectivo reintegro podrá descontar este valor del impuesto nacional a la gasolina y al ACPM por declarar y consignar. Cuando el monto del Impuesto sea insuficiente po</w:t>
      </w:r>
      <w:r>
        <w:rPr>
          <w:rFonts w:ascii="Arial" w:hAnsi="Arial" w:cs="Arial"/>
          <w:lang w:val="es-CO"/>
        </w:rPr>
        <w:t>drá efectuar el descuento del saldo en los períodos siguientes.</w:t>
      </w:r>
    </w:p>
    <w:p w14:paraId="407DB08C" w14:textId="77777777" w:rsidR="00B2442D" w:rsidRDefault="00B2442D">
      <w:pPr>
        <w:jc w:val="both"/>
        <w:rPr>
          <w:rFonts w:ascii="Arial" w:hAnsi="Arial" w:cs="Arial"/>
          <w:lang w:val="es-CO"/>
        </w:rPr>
      </w:pPr>
    </w:p>
    <w:p w14:paraId="30EAB1F8" w14:textId="77777777" w:rsidR="00B2442D" w:rsidRDefault="008A645F">
      <w:pPr>
        <w:jc w:val="both"/>
        <w:rPr>
          <w:rFonts w:ascii="Arial" w:hAnsi="Arial" w:cs="Arial"/>
          <w:lang w:val="es-CO"/>
        </w:rPr>
      </w:pPr>
      <w:r>
        <w:rPr>
          <w:rFonts w:ascii="Arial" w:hAnsi="Arial" w:cs="Arial"/>
          <w:lang w:val="es-CO"/>
        </w:rPr>
        <w:t xml:space="preserve">Para que proceda el descuento, el productor deberá conservar una manifestación del adquirente en la cual haga constar que tal impuesto no ha sido ni será imputado en la respectiva </w:t>
      </w:r>
      <w:r>
        <w:rPr>
          <w:rFonts w:ascii="Arial" w:hAnsi="Arial" w:cs="Arial"/>
          <w:lang w:val="es-CO"/>
        </w:rPr>
        <w:t>declaración del impuesto sobre las ventas ni en la declaración del impuesto sobre la renta y complementario.</w:t>
      </w:r>
    </w:p>
    <w:p w14:paraId="36BA3908" w14:textId="77777777" w:rsidR="00B2442D" w:rsidRDefault="00B2442D">
      <w:pPr>
        <w:jc w:val="both"/>
        <w:rPr>
          <w:rFonts w:ascii="Arial" w:hAnsi="Arial" w:cs="Arial"/>
          <w:lang w:val="es-CO"/>
        </w:rPr>
      </w:pPr>
    </w:p>
    <w:p w14:paraId="212ABBC1" w14:textId="77777777" w:rsidR="00B2442D" w:rsidRDefault="008A645F">
      <w:pPr>
        <w:jc w:val="both"/>
        <w:rPr>
          <w:rFonts w:ascii="Arial" w:hAnsi="Arial" w:cs="Arial"/>
          <w:i/>
          <w:lang w:val="es-CO"/>
        </w:rPr>
      </w:pPr>
      <w:r>
        <w:rPr>
          <w:rFonts w:ascii="Arial" w:hAnsi="Arial" w:cs="Arial"/>
          <w:i/>
          <w:lang w:val="es-CO"/>
        </w:rPr>
        <w:t>(Art. 10, Decreto 568 de 2013)</w:t>
      </w:r>
    </w:p>
    <w:p w14:paraId="7F719867" w14:textId="77777777" w:rsidR="00B2442D" w:rsidRDefault="00B2442D">
      <w:pPr>
        <w:jc w:val="both"/>
        <w:rPr>
          <w:rFonts w:ascii="Arial" w:hAnsi="Arial" w:cs="Arial"/>
          <w:i/>
          <w:lang w:val="es-CO"/>
        </w:rPr>
      </w:pPr>
    </w:p>
    <w:p w14:paraId="43F09796" w14:textId="77777777" w:rsidR="00B2442D" w:rsidRDefault="008A645F">
      <w:pPr>
        <w:pStyle w:val="Ttulo4"/>
      </w:pPr>
      <w:r>
        <w:t>CAPÍTULO 6</w:t>
      </w:r>
    </w:p>
    <w:p w14:paraId="7FF42C2E" w14:textId="77777777" w:rsidR="00B2442D" w:rsidRDefault="008A645F">
      <w:pPr>
        <w:pStyle w:val="Ttulo4"/>
      </w:pPr>
      <w:r>
        <w:t>Periodo gravable del impuesto nacional a la gasolina y al ACPM</w:t>
      </w:r>
    </w:p>
    <w:p w14:paraId="554FE6FB" w14:textId="77777777" w:rsidR="00B2442D" w:rsidRDefault="00B2442D">
      <w:pPr>
        <w:rPr>
          <w:rFonts w:ascii="Arial" w:hAnsi="Arial" w:cs="Arial"/>
        </w:rPr>
      </w:pPr>
    </w:p>
    <w:p w14:paraId="755D1834" w14:textId="77777777" w:rsidR="00B2442D" w:rsidRDefault="008A645F">
      <w:pPr>
        <w:pStyle w:val="Prrafodelista"/>
        <w:numPr>
          <w:ilvl w:val="0"/>
          <w:numId w:val="100"/>
        </w:numPr>
        <w:ind w:left="0" w:firstLine="0"/>
        <w:jc w:val="both"/>
        <w:rPr>
          <w:rFonts w:ascii="Arial" w:hAnsi="Arial" w:cs="Arial"/>
          <w:lang w:val="es-CO"/>
        </w:rPr>
      </w:pPr>
      <w:r>
        <w:rPr>
          <w:rFonts w:ascii="Arial" w:hAnsi="Arial" w:cs="Arial"/>
          <w:b/>
          <w:i/>
          <w:lang w:val="es-CO"/>
        </w:rPr>
        <w:t xml:space="preserve">Período gravable del impuesto nacional </w:t>
      </w:r>
      <w:r>
        <w:rPr>
          <w:rFonts w:ascii="Arial" w:hAnsi="Arial" w:cs="Arial"/>
          <w:b/>
          <w:i/>
          <w:lang w:val="es-CO"/>
        </w:rPr>
        <w:t xml:space="preserve">a la gasolina y al ACPM. </w:t>
      </w:r>
      <w:r>
        <w:rPr>
          <w:rFonts w:ascii="Arial" w:hAnsi="Arial" w:cs="Arial"/>
          <w:lang w:val="es-CO"/>
        </w:rPr>
        <w:t>El período gravable del impuesto nacional a la gasolina y al ACPM de que trata el presente decreto será mensual.</w:t>
      </w:r>
    </w:p>
    <w:p w14:paraId="0F7667BF" w14:textId="77777777" w:rsidR="00B2442D" w:rsidRDefault="00B2442D">
      <w:pPr>
        <w:jc w:val="both"/>
        <w:rPr>
          <w:rFonts w:ascii="Arial" w:hAnsi="Arial" w:cs="Arial"/>
          <w:lang w:val="es-CO"/>
        </w:rPr>
      </w:pPr>
    </w:p>
    <w:p w14:paraId="4C76D0BE" w14:textId="77777777" w:rsidR="00B2442D" w:rsidRDefault="008A645F">
      <w:pPr>
        <w:jc w:val="both"/>
        <w:rPr>
          <w:rFonts w:ascii="Arial" w:hAnsi="Arial" w:cs="Arial"/>
          <w:lang w:val="es-CO"/>
        </w:rPr>
      </w:pPr>
      <w:r>
        <w:rPr>
          <w:rFonts w:ascii="Arial" w:hAnsi="Arial" w:cs="Arial"/>
          <w:lang w:val="es-CO"/>
        </w:rPr>
        <w:t xml:space="preserve">Los períodos mensuales son: enero, febrero, marzo, abril, mayo, junio, julio, agosto, septiembre, octubre, </w:t>
      </w:r>
      <w:r>
        <w:rPr>
          <w:rFonts w:ascii="Arial" w:hAnsi="Arial" w:cs="Arial"/>
          <w:lang w:val="es-CO"/>
        </w:rPr>
        <w:t>noviembre y diciembre.</w:t>
      </w:r>
    </w:p>
    <w:p w14:paraId="0532F85F" w14:textId="77777777" w:rsidR="00B2442D" w:rsidRDefault="00B2442D">
      <w:pPr>
        <w:jc w:val="both"/>
        <w:rPr>
          <w:rFonts w:ascii="Arial" w:hAnsi="Arial" w:cs="Arial"/>
          <w:lang w:val="es-CO"/>
        </w:rPr>
      </w:pPr>
    </w:p>
    <w:p w14:paraId="0F6F04D8" w14:textId="77777777" w:rsidR="00B2442D" w:rsidRDefault="008A645F">
      <w:pPr>
        <w:jc w:val="both"/>
        <w:rPr>
          <w:rFonts w:ascii="Arial" w:hAnsi="Arial" w:cs="Arial"/>
          <w:lang w:val="es-CO"/>
        </w:rPr>
      </w:pPr>
      <w:r>
        <w:rPr>
          <w:rFonts w:ascii="Arial" w:hAnsi="Arial" w:cs="Arial"/>
          <w:lang w:val="es-CO"/>
        </w:rPr>
        <w:t>Cuando se inicien actividades durante el mes, el periodo fiscal será el comprendido entre la fecha de iniciación de actividades y la fecha de finalización del respectivo periodo.</w:t>
      </w:r>
    </w:p>
    <w:p w14:paraId="31198C04" w14:textId="77777777" w:rsidR="00B2442D" w:rsidRDefault="00B2442D">
      <w:pPr>
        <w:jc w:val="both"/>
        <w:rPr>
          <w:rFonts w:ascii="Arial" w:hAnsi="Arial" w:cs="Arial"/>
          <w:lang w:val="es-CO"/>
        </w:rPr>
      </w:pPr>
    </w:p>
    <w:p w14:paraId="3C1D3C1C" w14:textId="77777777" w:rsidR="00B2442D" w:rsidRDefault="008A645F">
      <w:pPr>
        <w:jc w:val="both"/>
        <w:rPr>
          <w:rFonts w:ascii="Arial" w:hAnsi="Arial" w:cs="Arial"/>
          <w:lang w:val="es-CO"/>
        </w:rPr>
      </w:pPr>
      <w:r>
        <w:rPr>
          <w:rFonts w:ascii="Arial" w:hAnsi="Arial" w:cs="Arial"/>
          <w:lang w:val="es-CO"/>
        </w:rPr>
        <w:t>En caso de liquidación o terminación de actividades,</w:t>
      </w:r>
      <w:r>
        <w:rPr>
          <w:rFonts w:ascii="Arial" w:hAnsi="Arial" w:cs="Arial"/>
          <w:lang w:val="es-CO"/>
        </w:rPr>
        <w:t xml:space="preserve"> el periodo fiscal se contará desde su iniciación hasta las fechas indicadas, en lo pertinente, en el artículo 595 del Estatuto Tributario.</w:t>
      </w:r>
    </w:p>
    <w:p w14:paraId="4897E306" w14:textId="77777777" w:rsidR="00B2442D" w:rsidRDefault="00B2442D">
      <w:pPr>
        <w:jc w:val="both"/>
        <w:rPr>
          <w:rFonts w:ascii="Arial" w:hAnsi="Arial" w:cs="Arial"/>
          <w:lang w:val="es-CO"/>
        </w:rPr>
      </w:pPr>
    </w:p>
    <w:p w14:paraId="05ED49C1" w14:textId="77777777" w:rsidR="00B2442D" w:rsidRDefault="008A645F">
      <w:pPr>
        <w:jc w:val="both"/>
        <w:rPr>
          <w:rFonts w:ascii="Arial" w:hAnsi="Arial" w:cs="Arial"/>
          <w:i/>
          <w:lang w:val="es-CO"/>
        </w:rPr>
      </w:pPr>
      <w:r>
        <w:rPr>
          <w:rFonts w:ascii="Arial" w:hAnsi="Arial" w:cs="Arial"/>
          <w:i/>
          <w:lang w:val="es-CO"/>
        </w:rPr>
        <w:t>(Art. 11, Decreto 568 de 2013)</w:t>
      </w:r>
    </w:p>
    <w:p w14:paraId="7B332C27" w14:textId="77777777" w:rsidR="00B2442D" w:rsidRDefault="00B2442D">
      <w:pPr>
        <w:jc w:val="both"/>
        <w:rPr>
          <w:rFonts w:ascii="Arial" w:hAnsi="Arial" w:cs="Arial"/>
          <w:lang w:val="es-CO"/>
        </w:rPr>
      </w:pPr>
    </w:p>
    <w:p w14:paraId="7531D976" w14:textId="77777777" w:rsidR="00B2442D" w:rsidRDefault="008A645F">
      <w:pPr>
        <w:pStyle w:val="Ttulo4"/>
      </w:pPr>
      <w:r>
        <w:t>CAPÍTULO 7</w:t>
      </w:r>
    </w:p>
    <w:p w14:paraId="14708978" w14:textId="77777777" w:rsidR="00B2442D" w:rsidRDefault="008A645F">
      <w:pPr>
        <w:pStyle w:val="Ttulo4"/>
      </w:pPr>
      <w:r>
        <w:t>Declaración y pago del impuesto nacional a la gasolina y al ACPM</w:t>
      </w:r>
    </w:p>
    <w:p w14:paraId="3C566EFA" w14:textId="77777777" w:rsidR="00B2442D" w:rsidRDefault="00B2442D">
      <w:pPr>
        <w:rPr>
          <w:rFonts w:ascii="Arial" w:hAnsi="Arial" w:cs="Arial"/>
        </w:rPr>
      </w:pPr>
    </w:p>
    <w:p w14:paraId="5AEC3101" w14:textId="77777777" w:rsidR="00B2442D" w:rsidRDefault="008A645F">
      <w:pPr>
        <w:pStyle w:val="Prrafodelista"/>
        <w:numPr>
          <w:ilvl w:val="0"/>
          <w:numId w:val="101"/>
        </w:numPr>
        <w:ind w:left="0" w:firstLine="0"/>
        <w:jc w:val="both"/>
        <w:rPr>
          <w:rFonts w:ascii="Arial" w:hAnsi="Arial" w:cs="Arial"/>
          <w:lang w:val="es-CO"/>
        </w:rPr>
      </w:pPr>
      <w:r>
        <w:rPr>
          <w:rFonts w:ascii="Arial" w:hAnsi="Arial" w:cs="Arial"/>
          <w:b/>
          <w:i/>
          <w:lang w:val="es-CO"/>
        </w:rPr>
        <w:t>Declar</w:t>
      </w:r>
      <w:r>
        <w:rPr>
          <w:rFonts w:ascii="Arial" w:hAnsi="Arial" w:cs="Arial"/>
          <w:b/>
          <w:i/>
          <w:lang w:val="es-CO"/>
        </w:rPr>
        <w:t>ación y Pago del impuesto nacional a la gasolina y al ACPM.</w:t>
      </w:r>
      <w:r>
        <w:rPr>
          <w:rFonts w:ascii="Arial" w:hAnsi="Arial" w:cs="Arial"/>
          <w:lang w:val="es-CO"/>
        </w:rPr>
        <w:t xml:space="preserve"> La declaración mensual del impuesto nacional a la gasolina y al ACPM deberá presentarse a través de los servicios informáticos electrónicos y en los casos previstos en las normas legales a través </w:t>
      </w:r>
      <w:r>
        <w:rPr>
          <w:rFonts w:ascii="Arial" w:hAnsi="Arial" w:cs="Arial"/>
          <w:lang w:val="es-CO"/>
        </w:rPr>
        <w:t>de los servicios documentales, en el formulario oficial que para el efecto prescriba el Director General de la Unidad Administrativa Especial Dirección de Impuestos y Aduanas Nacionales-DIAN.</w:t>
      </w:r>
    </w:p>
    <w:p w14:paraId="3220D871" w14:textId="77777777" w:rsidR="00B2442D" w:rsidRDefault="00B2442D">
      <w:pPr>
        <w:jc w:val="both"/>
        <w:rPr>
          <w:rFonts w:ascii="Arial" w:hAnsi="Arial" w:cs="Arial"/>
          <w:lang w:val="es-CO"/>
        </w:rPr>
      </w:pPr>
    </w:p>
    <w:p w14:paraId="311C422A" w14:textId="77777777" w:rsidR="00B2442D" w:rsidRDefault="008A645F">
      <w:pPr>
        <w:jc w:val="both"/>
        <w:rPr>
          <w:rFonts w:ascii="Arial" w:hAnsi="Arial" w:cs="Arial"/>
          <w:lang w:val="es-CO"/>
        </w:rPr>
      </w:pPr>
      <w:r>
        <w:rPr>
          <w:rFonts w:ascii="Arial" w:hAnsi="Arial" w:cs="Arial"/>
          <w:lang w:val="es-CO"/>
        </w:rPr>
        <w:t>La declaración deberá contener la siguiente información:</w:t>
      </w:r>
    </w:p>
    <w:p w14:paraId="24231A4E" w14:textId="77777777" w:rsidR="00B2442D" w:rsidRDefault="00B2442D">
      <w:pPr>
        <w:jc w:val="both"/>
        <w:rPr>
          <w:rFonts w:ascii="Arial" w:hAnsi="Arial" w:cs="Arial"/>
          <w:lang w:val="es-CO"/>
        </w:rPr>
      </w:pPr>
    </w:p>
    <w:p w14:paraId="71B4DC07" w14:textId="77777777" w:rsidR="00B2442D" w:rsidRDefault="008A645F">
      <w:pPr>
        <w:jc w:val="both"/>
        <w:rPr>
          <w:rFonts w:ascii="Arial" w:hAnsi="Arial" w:cs="Arial"/>
          <w:lang w:val="es-CO"/>
        </w:rPr>
      </w:pPr>
      <w:r>
        <w:rPr>
          <w:rFonts w:ascii="Arial" w:hAnsi="Arial" w:cs="Arial"/>
          <w:lang w:val="es-CO"/>
        </w:rPr>
        <w:t xml:space="preserve">- El </w:t>
      </w:r>
      <w:r>
        <w:rPr>
          <w:rFonts w:ascii="Arial" w:hAnsi="Arial" w:cs="Arial"/>
          <w:lang w:val="es-CO"/>
        </w:rPr>
        <w:t>formulario oficial debidamente diligenciado.</w:t>
      </w:r>
    </w:p>
    <w:p w14:paraId="4269F380" w14:textId="77777777" w:rsidR="00B2442D" w:rsidRDefault="00B2442D">
      <w:pPr>
        <w:jc w:val="both"/>
        <w:rPr>
          <w:rFonts w:ascii="Arial" w:hAnsi="Arial" w:cs="Arial"/>
          <w:lang w:val="es-CO"/>
        </w:rPr>
      </w:pPr>
    </w:p>
    <w:p w14:paraId="75AF522F" w14:textId="77777777" w:rsidR="00B2442D" w:rsidRDefault="008A645F">
      <w:pPr>
        <w:jc w:val="both"/>
        <w:rPr>
          <w:rFonts w:ascii="Arial" w:hAnsi="Arial" w:cs="Arial"/>
          <w:lang w:val="es-CO"/>
        </w:rPr>
      </w:pPr>
      <w:r>
        <w:rPr>
          <w:rFonts w:ascii="Arial" w:hAnsi="Arial" w:cs="Arial"/>
          <w:lang w:val="es-CO"/>
        </w:rPr>
        <w:t>- La información necesaria para la identificación del responsable.</w:t>
      </w:r>
    </w:p>
    <w:p w14:paraId="61F0C95C" w14:textId="77777777" w:rsidR="00B2442D" w:rsidRDefault="00B2442D">
      <w:pPr>
        <w:jc w:val="both"/>
        <w:rPr>
          <w:rFonts w:ascii="Arial" w:hAnsi="Arial" w:cs="Arial"/>
          <w:lang w:val="es-CO"/>
        </w:rPr>
      </w:pPr>
    </w:p>
    <w:p w14:paraId="6D69CB06" w14:textId="77777777" w:rsidR="00B2442D" w:rsidRDefault="008A645F">
      <w:pPr>
        <w:jc w:val="both"/>
        <w:rPr>
          <w:rFonts w:ascii="Arial" w:hAnsi="Arial" w:cs="Arial"/>
          <w:lang w:val="es-CO"/>
        </w:rPr>
      </w:pPr>
      <w:r>
        <w:rPr>
          <w:rFonts w:ascii="Arial" w:hAnsi="Arial" w:cs="Arial"/>
          <w:lang w:val="es-CO"/>
        </w:rPr>
        <w:t>- La discriminación de los factores necesarios para determinar las bases del cálculo del impuesto.</w:t>
      </w:r>
    </w:p>
    <w:p w14:paraId="0E9EA802" w14:textId="77777777" w:rsidR="00B2442D" w:rsidRDefault="00B2442D">
      <w:pPr>
        <w:jc w:val="both"/>
        <w:rPr>
          <w:rFonts w:ascii="Arial" w:hAnsi="Arial" w:cs="Arial"/>
          <w:lang w:val="es-CO"/>
        </w:rPr>
      </w:pPr>
    </w:p>
    <w:p w14:paraId="77A00DE5" w14:textId="77777777" w:rsidR="00B2442D" w:rsidRDefault="008A645F">
      <w:pPr>
        <w:jc w:val="both"/>
        <w:rPr>
          <w:rFonts w:ascii="Arial" w:hAnsi="Arial" w:cs="Arial"/>
          <w:lang w:val="es-CO"/>
        </w:rPr>
      </w:pPr>
      <w:r>
        <w:rPr>
          <w:rFonts w:ascii="Arial" w:hAnsi="Arial" w:cs="Arial"/>
          <w:lang w:val="es-CO"/>
        </w:rPr>
        <w:t>- La liquidación privada del impuesto, inc</w:t>
      </w:r>
      <w:r>
        <w:rPr>
          <w:rFonts w:ascii="Arial" w:hAnsi="Arial" w:cs="Arial"/>
          <w:lang w:val="es-CO"/>
        </w:rPr>
        <w:t>luidas las sanciones cuando fuere del caso.</w:t>
      </w:r>
    </w:p>
    <w:p w14:paraId="5241FABC" w14:textId="77777777" w:rsidR="00B2442D" w:rsidRDefault="00B2442D">
      <w:pPr>
        <w:jc w:val="both"/>
        <w:rPr>
          <w:rFonts w:ascii="Arial" w:hAnsi="Arial" w:cs="Arial"/>
          <w:lang w:val="es-CO"/>
        </w:rPr>
      </w:pPr>
    </w:p>
    <w:p w14:paraId="483CD18B" w14:textId="77777777" w:rsidR="00B2442D" w:rsidRDefault="008A645F">
      <w:pPr>
        <w:jc w:val="both"/>
        <w:rPr>
          <w:rFonts w:ascii="Arial" w:hAnsi="Arial" w:cs="Arial"/>
          <w:lang w:val="es-CO"/>
        </w:rPr>
      </w:pPr>
      <w:r>
        <w:rPr>
          <w:rFonts w:ascii="Arial" w:hAnsi="Arial" w:cs="Arial"/>
          <w:lang w:val="es-CO"/>
        </w:rPr>
        <w:t>- La firma del responsable del impuesto, que por razón de esa condición está obligado al cumplimiento del deber legal de declarar y pagar el impuesto.</w:t>
      </w:r>
    </w:p>
    <w:p w14:paraId="603F93C4" w14:textId="77777777" w:rsidR="00B2442D" w:rsidRDefault="00B2442D">
      <w:pPr>
        <w:jc w:val="both"/>
        <w:rPr>
          <w:rFonts w:ascii="Arial" w:hAnsi="Arial" w:cs="Arial"/>
          <w:lang w:val="es-CO"/>
        </w:rPr>
      </w:pPr>
    </w:p>
    <w:p w14:paraId="0214B0FB" w14:textId="77777777" w:rsidR="00B2442D" w:rsidRDefault="008A645F">
      <w:pPr>
        <w:jc w:val="both"/>
        <w:rPr>
          <w:rFonts w:ascii="Arial" w:hAnsi="Arial" w:cs="Arial"/>
          <w:lang w:val="es-CO"/>
        </w:rPr>
      </w:pPr>
      <w:r>
        <w:rPr>
          <w:rFonts w:ascii="Arial" w:hAnsi="Arial" w:cs="Arial"/>
          <w:lang w:val="es-CO"/>
        </w:rPr>
        <w:t xml:space="preserve">- La firma de revisor fiscal o del contador público, según </w:t>
      </w:r>
      <w:r>
        <w:rPr>
          <w:rFonts w:ascii="Arial" w:hAnsi="Arial" w:cs="Arial"/>
          <w:lang w:val="es-CO"/>
        </w:rPr>
        <w:t>corresponda.</w:t>
      </w:r>
    </w:p>
    <w:p w14:paraId="6ED63A70" w14:textId="77777777" w:rsidR="00B2442D" w:rsidRDefault="00B2442D">
      <w:pPr>
        <w:jc w:val="both"/>
        <w:rPr>
          <w:rFonts w:ascii="Arial" w:hAnsi="Arial" w:cs="Arial"/>
          <w:lang w:val="es-CO"/>
        </w:rPr>
      </w:pPr>
    </w:p>
    <w:p w14:paraId="2B8CCFCE" w14:textId="77777777" w:rsidR="00B2442D" w:rsidRDefault="008A645F">
      <w:pPr>
        <w:jc w:val="both"/>
        <w:rPr>
          <w:rFonts w:ascii="Arial" w:hAnsi="Arial" w:cs="Arial"/>
          <w:lang w:val="es-CO"/>
        </w:rPr>
      </w:pPr>
      <w:r>
        <w:rPr>
          <w:rFonts w:ascii="Arial" w:hAnsi="Arial" w:cs="Arial"/>
          <w:lang w:val="es-CO"/>
        </w:rPr>
        <w:t xml:space="preserve">El pago del impuesto declarado y determinado en la declaración del impuesto nacional a la gasolina y al ACPM, deberá efectuarse por parte de los responsables del impuesto en los bancos y demás entidades autorizadas para recaudar </w:t>
      </w:r>
      <w:r>
        <w:rPr>
          <w:rFonts w:ascii="Arial" w:hAnsi="Arial" w:cs="Arial"/>
          <w:lang w:val="es-CO"/>
        </w:rPr>
        <w:t>ubicados en el territorio nacional. De igual manera, procederán los responsables en relación con el pago de las sanciones e intereses determinados en las declaraciones del impuesto nacional a la gasolina y al ACPM.</w:t>
      </w:r>
    </w:p>
    <w:p w14:paraId="540CD8A4" w14:textId="77777777" w:rsidR="00B2442D" w:rsidRDefault="00B2442D">
      <w:pPr>
        <w:jc w:val="both"/>
        <w:rPr>
          <w:rFonts w:ascii="Arial" w:hAnsi="Arial" w:cs="Arial"/>
          <w:lang w:val="es-CO"/>
        </w:rPr>
      </w:pPr>
    </w:p>
    <w:p w14:paraId="0BDFFE5F" w14:textId="77777777" w:rsidR="00B2442D" w:rsidRDefault="008A645F">
      <w:pPr>
        <w:jc w:val="both"/>
        <w:rPr>
          <w:rFonts w:ascii="Arial" w:hAnsi="Arial" w:cs="Arial"/>
          <w:i/>
          <w:lang w:val="es-CO"/>
        </w:rPr>
      </w:pPr>
      <w:r>
        <w:rPr>
          <w:rFonts w:ascii="Arial" w:hAnsi="Arial" w:cs="Arial"/>
          <w:i/>
          <w:lang w:val="es-CO"/>
        </w:rPr>
        <w:t>(Art. 12, Decreto 568 de 2013. Parágrafo</w:t>
      </w:r>
      <w:r>
        <w:rPr>
          <w:rFonts w:ascii="Arial" w:hAnsi="Arial" w:cs="Arial"/>
          <w:i/>
          <w:lang w:val="es-CO"/>
        </w:rPr>
        <w:t xml:space="preserve"> tiene pérdida de vigencia por cumplimiento del plazo)</w:t>
      </w:r>
    </w:p>
    <w:p w14:paraId="2B2E407B" w14:textId="77777777" w:rsidR="00B2442D" w:rsidRDefault="00B2442D">
      <w:pPr>
        <w:jc w:val="both"/>
        <w:rPr>
          <w:rFonts w:ascii="Arial" w:hAnsi="Arial" w:cs="Arial"/>
          <w:b/>
          <w:lang w:val="es-CO"/>
        </w:rPr>
      </w:pPr>
    </w:p>
    <w:p w14:paraId="286C6A7A" w14:textId="77777777" w:rsidR="00B2442D" w:rsidRDefault="008A645F">
      <w:pPr>
        <w:pStyle w:val="Prrafodelista"/>
        <w:numPr>
          <w:ilvl w:val="0"/>
          <w:numId w:val="101"/>
        </w:numPr>
        <w:ind w:left="0" w:firstLine="0"/>
        <w:jc w:val="both"/>
        <w:rPr>
          <w:rFonts w:ascii="Arial" w:hAnsi="Arial" w:cs="Arial"/>
          <w:lang w:val="es-CO"/>
        </w:rPr>
      </w:pPr>
      <w:r>
        <w:rPr>
          <w:rFonts w:ascii="Arial" w:hAnsi="Arial" w:cs="Arial"/>
          <w:b/>
          <w:i/>
          <w:lang w:val="es-CO"/>
        </w:rPr>
        <w:t>Importación</w:t>
      </w:r>
      <w:r>
        <w:rPr>
          <w:rFonts w:ascii="Arial" w:hAnsi="Arial" w:cs="Arial"/>
          <w:i/>
          <w:lang w:val="es-CO"/>
        </w:rPr>
        <w:t>.</w:t>
      </w:r>
      <w:r>
        <w:rPr>
          <w:rFonts w:ascii="Arial" w:hAnsi="Arial" w:cs="Arial"/>
          <w:lang w:val="es-CO"/>
        </w:rPr>
        <w:t xml:space="preserve"> Cuando el impuesto nacional a la gasolina y al ACPM se cause en la importación de los combustibles definidos en el parágrafo 1° del artículo 167 de la Ley 1607 de 2012, se declarará y pag</w:t>
      </w:r>
      <w:r>
        <w:rPr>
          <w:rFonts w:ascii="Arial" w:hAnsi="Arial" w:cs="Arial"/>
          <w:lang w:val="es-CO"/>
        </w:rPr>
        <w:t>ará con la declaración del impuesto nacional a la gasolina y al ACPM correspondiente al mes en que ocurra la nacionalización, en los formularios prescritos por la Unidad Administrativa Especial Dirección de Impuestos y Aduanas Nacionales-DIAN y dentro de l</w:t>
      </w:r>
      <w:r>
        <w:rPr>
          <w:rFonts w:ascii="Arial" w:hAnsi="Arial" w:cs="Arial"/>
          <w:lang w:val="es-CO"/>
        </w:rPr>
        <w:t>os plazos señalados por el Gobierno Nacional.</w:t>
      </w:r>
    </w:p>
    <w:p w14:paraId="623DA236" w14:textId="77777777" w:rsidR="00B2442D" w:rsidRDefault="00B2442D">
      <w:pPr>
        <w:jc w:val="both"/>
        <w:rPr>
          <w:rFonts w:ascii="Arial" w:hAnsi="Arial" w:cs="Arial"/>
          <w:lang w:val="es-CO"/>
        </w:rPr>
      </w:pPr>
    </w:p>
    <w:p w14:paraId="7184CDED" w14:textId="77777777" w:rsidR="00B2442D" w:rsidRDefault="008A645F">
      <w:pPr>
        <w:jc w:val="both"/>
        <w:rPr>
          <w:rFonts w:ascii="Arial" w:hAnsi="Arial" w:cs="Arial"/>
          <w:lang w:val="es-CO"/>
        </w:rPr>
      </w:pPr>
      <w:r>
        <w:rPr>
          <w:rFonts w:ascii="Arial" w:hAnsi="Arial" w:cs="Arial"/>
          <w:lang w:val="es-CO"/>
        </w:rPr>
        <w:t xml:space="preserve">En los demás aspectos, para el desarrollo de las actividades de importación y/o exportación de combustibles se dará cumplimiento a lo señalado en la legislación aduanera vigente, en especial lo contemplado en </w:t>
      </w:r>
      <w:r>
        <w:rPr>
          <w:rFonts w:ascii="Arial" w:hAnsi="Arial" w:cs="Arial"/>
          <w:lang w:val="es-CO"/>
        </w:rPr>
        <w:t>el Decreto número 2685 de 1999 y las normas que lo aclaren, modifiquen o sustituyan.</w:t>
      </w:r>
    </w:p>
    <w:p w14:paraId="0EDCF4E9" w14:textId="77777777" w:rsidR="00B2442D" w:rsidRDefault="00B2442D">
      <w:pPr>
        <w:jc w:val="both"/>
        <w:rPr>
          <w:rFonts w:ascii="Arial" w:hAnsi="Arial" w:cs="Arial"/>
          <w:lang w:val="es-CO"/>
        </w:rPr>
      </w:pPr>
    </w:p>
    <w:p w14:paraId="4DAC5334" w14:textId="77777777" w:rsidR="00B2442D" w:rsidRDefault="008A645F">
      <w:pPr>
        <w:jc w:val="both"/>
        <w:rPr>
          <w:rFonts w:ascii="Arial" w:hAnsi="Arial" w:cs="Arial"/>
          <w:i/>
          <w:lang w:val="es-CO"/>
        </w:rPr>
      </w:pPr>
      <w:r>
        <w:rPr>
          <w:rFonts w:ascii="Arial" w:hAnsi="Arial" w:cs="Arial"/>
          <w:i/>
          <w:lang w:val="es-CO"/>
        </w:rPr>
        <w:t>(Art. 17, Decreto 568 de 2013)</w:t>
      </w:r>
    </w:p>
    <w:p w14:paraId="6700D372" w14:textId="77777777" w:rsidR="00B2442D" w:rsidRDefault="00B2442D">
      <w:pPr>
        <w:jc w:val="both"/>
        <w:rPr>
          <w:rFonts w:ascii="Arial" w:hAnsi="Arial" w:cs="Arial"/>
          <w:i/>
          <w:lang w:val="es-CO"/>
        </w:rPr>
      </w:pPr>
    </w:p>
    <w:p w14:paraId="25BCA949" w14:textId="77777777" w:rsidR="00B2442D" w:rsidRDefault="008A645F">
      <w:pPr>
        <w:pStyle w:val="Ttulo4"/>
      </w:pPr>
      <w:r>
        <w:t>CAPÍTULO 8</w:t>
      </w:r>
    </w:p>
    <w:p w14:paraId="51B72C70" w14:textId="77777777" w:rsidR="00B2442D" w:rsidRDefault="008A645F">
      <w:pPr>
        <w:pStyle w:val="Ttulo4"/>
      </w:pPr>
      <w:r>
        <w:t>Controles en el impuesto nacional a la gasolina y al ACPM</w:t>
      </w:r>
    </w:p>
    <w:p w14:paraId="7B309322" w14:textId="77777777" w:rsidR="00B2442D" w:rsidRDefault="00B2442D">
      <w:pPr>
        <w:rPr>
          <w:rFonts w:ascii="Arial" w:hAnsi="Arial" w:cs="Arial"/>
        </w:rPr>
      </w:pPr>
    </w:p>
    <w:p w14:paraId="11898660"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 xml:space="preserve">Control para las gasolinas del tipo 100/130 utilizadas en </w:t>
      </w:r>
      <w:r>
        <w:rPr>
          <w:rFonts w:ascii="Arial" w:hAnsi="Arial" w:cs="Arial"/>
          <w:b/>
          <w:i/>
          <w:lang w:val="es-CO"/>
        </w:rPr>
        <w:t>aeronaves.</w:t>
      </w:r>
      <w:r>
        <w:rPr>
          <w:rFonts w:ascii="Arial" w:hAnsi="Arial" w:cs="Arial"/>
          <w:lang w:val="es-CO"/>
        </w:rPr>
        <w:t xml:space="preserve"> Cuando se trate de gasolinas del tipo 100/130 utilizadas en aeronaves, los responsables del impuesto nacional a la gasolina y al ACPM, deberán relacionar y enviar mensualmente, a la Dirección de Gestión de Fiscalización de la Unidad Administrati</w:t>
      </w:r>
      <w:r>
        <w:rPr>
          <w:rFonts w:ascii="Arial" w:hAnsi="Arial" w:cs="Arial"/>
          <w:lang w:val="es-CO"/>
        </w:rPr>
        <w:t xml:space="preserve">va Especial Dirección de Impuestos y Aduanas Nacionales-DIAN, dentro de los cinco (5) primeros días hábiles siguientes al mes en que se efectuó la venta, los datos de los galones facturados durante el mes anterior, el nombre de la zona y la identificación </w:t>
      </w:r>
      <w:r>
        <w:rPr>
          <w:rFonts w:ascii="Arial" w:hAnsi="Arial" w:cs="Arial"/>
          <w:lang w:val="es-CO"/>
        </w:rPr>
        <w:t>del distribuidor, para lo cual tendrán como soporte las facturas de venta expedidas y la certificación entregada al productor y/o importador por los distribuidores mayoristas.</w:t>
      </w:r>
    </w:p>
    <w:p w14:paraId="63F4D0A3" w14:textId="77777777" w:rsidR="00B2442D" w:rsidRDefault="00B2442D">
      <w:pPr>
        <w:jc w:val="both"/>
        <w:rPr>
          <w:rFonts w:ascii="Arial" w:hAnsi="Arial" w:cs="Arial"/>
          <w:lang w:val="es-CO"/>
        </w:rPr>
      </w:pPr>
    </w:p>
    <w:p w14:paraId="41F4ED28" w14:textId="77777777" w:rsidR="00B2442D" w:rsidRDefault="008A645F">
      <w:pPr>
        <w:jc w:val="both"/>
        <w:rPr>
          <w:rFonts w:ascii="Arial" w:hAnsi="Arial" w:cs="Arial"/>
          <w:lang w:val="es-CO"/>
        </w:rPr>
      </w:pPr>
      <w:r>
        <w:rPr>
          <w:rFonts w:ascii="Arial" w:hAnsi="Arial" w:cs="Arial"/>
          <w:lang w:val="es-CO"/>
        </w:rPr>
        <w:t>El Director General de la Unidad Administrativa Especial Dirección de Impuestos</w:t>
      </w:r>
      <w:r>
        <w:rPr>
          <w:rFonts w:ascii="Arial" w:hAnsi="Arial" w:cs="Arial"/>
          <w:lang w:val="es-CO"/>
        </w:rPr>
        <w:t xml:space="preserve"> y Aduanas Nacionales–DIAN prescribirá el formato a utilizar para el registro y suministro de la información. El incumplimiento de la obligación de informar dará lugar a las sanciones establecidas en el artículo 651 del Estatuto Tributario.</w:t>
      </w:r>
    </w:p>
    <w:p w14:paraId="6C3AFF9B" w14:textId="77777777" w:rsidR="00B2442D" w:rsidRDefault="00B2442D">
      <w:pPr>
        <w:jc w:val="both"/>
        <w:rPr>
          <w:rFonts w:ascii="Arial" w:hAnsi="Arial" w:cs="Arial"/>
          <w:lang w:val="es-CO"/>
        </w:rPr>
      </w:pPr>
    </w:p>
    <w:p w14:paraId="2E6CC29D" w14:textId="77777777" w:rsidR="00B2442D" w:rsidRDefault="008A645F">
      <w:pPr>
        <w:jc w:val="both"/>
        <w:rPr>
          <w:rFonts w:ascii="Arial" w:hAnsi="Arial" w:cs="Arial"/>
          <w:i/>
          <w:lang w:val="es-CO"/>
        </w:rPr>
      </w:pPr>
      <w:r>
        <w:rPr>
          <w:rFonts w:ascii="Arial" w:hAnsi="Arial" w:cs="Arial"/>
          <w:i/>
          <w:lang w:val="es-CO"/>
        </w:rPr>
        <w:t>(Art. 18, Decr</w:t>
      </w:r>
      <w:r>
        <w:rPr>
          <w:rFonts w:ascii="Arial" w:hAnsi="Arial" w:cs="Arial"/>
          <w:i/>
          <w:lang w:val="es-CO"/>
        </w:rPr>
        <w:t>eto 568 de 2013)</w:t>
      </w:r>
    </w:p>
    <w:p w14:paraId="1D72CAB1" w14:textId="77777777" w:rsidR="00B2442D" w:rsidRDefault="00B2442D">
      <w:pPr>
        <w:jc w:val="both"/>
        <w:rPr>
          <w:rFonts w:ascii="Arial" w:hAnsi="Arial" w:cs="Arial"/>
          <w:lang w:val="es-CO"/>
        </w:rPr>
      </w:pPr>
    </w:p>
    <w:p w14:paraId="57D6B0FB"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Control para el ACPM utilizado para generación eléctrica en Zonas no Ínter conectadas y para otros combustibles exceptuados.</w:t>
      </w:r>
      <w:r>
        <w:rPr>
          <w:rFonts w:ascii="Arial" w:hAnsi="Arial" w:cs="Arial"/>
          <w:lang w:val="es-CO"/>
        </w:rPr>
        <w:t xml:space="preserve"> Cuando se trate de ACPM utilizado para generación eléctrica en Zonas No Interconectadas, los responsables del imp</w:t>
      </w:r>
      <w:r>
        <w:rPr>
          <w:rFonts w:ascii="Arial" w:hAnsi="Arial" w:cs="Arial"/>
          <w:lang w:val="es-CO"/>
        </w:rPr>
        <w:t>uesto nacional a la gasolina y al ACPM deberán relacionar y enviar mensualmente, a la Dirección de Gestión de Fiscalización de la Unidad Administrativa Especial Dirección de Impuestos y Aduanas Nacionales-DIAN, dentro de los cinco (5) primeros días hábiles</w:t>
      </w:r>
      <w:r>
        <w:rPr>
          <w:rFonts w:ascii="Arial" w:hAnsi="Arial" w:cs="Arial"/>
          <w:lang w:val="es-CO"/>
        </w:rPr>
        <w:t xml:space="preserve"> siguientes al mes en que se efectuó la venta, los datos de los galones que correspondan al cupo IPSE (Instituto de Planificación y Promoción de Soluciones Energéticas para las Zonas No Interconectadas), certificados por el distribuidor mayorista y/o minor</w:t>
      </w:r>
      <w:r>
        <w:rPr>
          <w:rFonts w:ascii="Arial" w:hAnsi="Arial" w:cs="Arial"/>
          <w:lang w:val="es-CO"/>
        </w:rPr>
        <w:t>ista durante el mes anterior, en donde se pueda establecer el nombre de la zona y la identificación del distribuidor.</w:t>
      </w:r>
    </w:p>
    <w:p w14:paraId="62506E5D" w14:textId="77777777" w:rsidR="00B2442D" w:rsidRDefault="00B2442D">
      <w:pPr>
        <w:jc w:val="both"/>
        <w:rPr>
          <w:rFonts w:ascii="Arial" w:hAnsi="Arial" w:cs="Arial"/>
          <w:lang w:val="es-CO"/>
        </w:rPr>
      </w:pPr>
    </w:p>
    <w:p w14:paraId="42A6D62E" w14:textId="77777777" w:rsidR="00B2442D" w:rsidRDefault="008A645F">
      <w:pPr>
        <w:jc w:val="both"/>
        <w:rPr>
          <w:rFonts w:ascii="Arial" w:hAnsi="Arial" w:cs="Arial"/>
          <w:lang w:val="es-CO"/>
        </w:rPr>
      </w:pPr>
      <w:r>
        <w:rPr>
          <w:rFonts w:ascii="Arial" w:hAnsi="Arial" w:cs="Arial"/>
          <w:lang w:val="es-CO"/>
        </w:rPr>
        <w:t>El Director General de la Unidad Administrativa Especial Dirección de Impuestos y Aduanas Nacionales- DIAN prescribirá el formato a utili</w:t>
      </w:r>
      <w:r>
        <w:rPr>
          <w:rFonts w:ascii="Arial" w:hAnsi="Arial" w:cs="Arial"/>
          <w:lang w:val="es-CO"/>
        </w:rPr>
        <w:t>zar para el registro y suministro de la información. El incumplimiento de la obligación de informar dará lugar a las sanciones establecidas en el artículo 651 del Estatuto Tributario.</w:t>
      </w:r>
    </w:p>
    <w:p w14:paraId="157367DF" w14:textId="77777777" w:rsidR="00B2442D" w:rsidRDefault="00B2442D">
      <w:pPr>
        <w:jc w:val="both"/>
        <w:rPr>
          <w:rFonts w:ascii="Arial" w:hAnsi="Arial" w:cs="Arial"/>
          <w:lang w:val="es-CO"/>
        </w:rPr>
      </w:pPr>
    </w:p>
    <w:p w14:paraId="0764A298"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 xml:space="preserve">Cuando se trate del turbo combustible de aviación y las </w:t>
      </w:r>
      <w:r>
        <w:rPr>
          <w:rFonts w:ascii="Arial" w:hAnsi="Arial" w:cs="Arial"/>
          <w:lang w:val="es-CO"/>
        </w:rPr>
        <w:t>mezclas del tipo IFO utilizadas para el funcionamiento de grandes naves marítimas de que trata el parágrafo 1° del artículo 167 de la Ley 1607 de 2012, los responsables del impuesto nacional a la gasolina y al ACPM deberán relacionar y enviar mensualmente,</w:t>
      </w:r>
      <w:r>
        <w:rPr>
          <w:rFonts w:ascii="Arial" w:hAnsi="Arial" w:cs="Arial"/>
          <w:lang w:val="es-CO"/>
        </w:rPr>
        <w:t xml:space="preserve"> a la Dirección de Gestión de Fiscalización de la Unidad Administrativa Especial Dirección de Impuestos y Aduanas Nacionales-DIAN, dentro de los cinco (5) primeros días hábiles siguientes al mes en que se efectuó la venta, los datos de los galones facturad</w:t>
      </w:r>
      <w:r>
        <w:rPr>
          <w:rFonts w:ascii="Arial" w:hAnsi="Arial" w:cs="Arial"/>
          <w:lang w:val="es-CO"/>
        </w:rPr>
        <w:t>os y certificados por el distribuidor mayorista y/o minorista durante el mes anterior, en donde se pueda establecer la identificación del distribuidor, entre otros.</w:t>
      </w:r>
    </w:p>
    <w:p w14:paraId="3ABE46C2" w14:textId="77777777" w:rsidR="00B2442D" w:rsidRDefault="00B2442D">
      <w:pPr>
        <w:jc w:val="both"/>
        <w:rPr>
          <w:rFonts w:ascii="Arial" w:hAnsi="Arial" w:cs="Arial"/>
          <w:lang w:val="es-CO"/>
        </w:rPr>
      </w:pPr>
    </w:p>
    <w:p w14:paraId="30AD5A64" w14:textId="77777777" w:rsidR="00B2442D" w:rsidRDefault="008A645F">
      <w:pPr>
        <w:jc w:val="both"/>
        <w:rPr>
          <w:rFonts w:ascii="Arial" w:hAnsi="Arial" w:cs="Arial"/>
          <w:i/>
          <w:lang w:val="es-CO"/>
        </w:rPr>
      </w:pPr>
      <w:r>
        <w:rPr>
          <w:rFonts w:ascii="Arial" w:hAnsi="Arial" w:cs="Arial"/>
          <w:i/>
          <w:lang w:val="es-CO"/>
        </w:rPr>
        <w:t>(Art. 19, Decreto 568 de 2013)</w:t>
      </w:r>
    </w:p>
    <w:p w14:paraId="057186F9" w14:textId="77777777" w:rsidR="00B2442D" w:rsidRDefault="00B2442D">
      <w:pPr>
        <w:jc w:val="both"/>
        <w:rPr>
          <w:rFonts w:ascii="Arial" w:hAnsi="Arial" w:cs="Arial"/>
          <w:lang w:val="es-CO"/>
        </w:rPr>
      </w:pPr>
    </w:p>
    <w:p w14:paraId="6F53AD5C"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lang w:val="es-CO"/>
        </w:rPr>
        <w:t>Control para combustibles distribuidos para zonas de front</w:t>
      </w:r>
      <w:r>
        <w:rPr>
          <w:rFonts w:ascii="Arial" w:hAnsi="Arial" w:cs="Arial"/>
          <w:b/>
          <w:lang w:val="es-CO"/>
        </w:rPr>
        <w:t>era.</w:t>
      </w:r>
      <w:r>
        <w:rPr>
          <w:rFonts w:ascii="Arial" w:hAnsi="Arial" w:cs="Arial"/>
          <w:lang w:val="es-CO"/>
        </w:rPr>
        <w:t xml:space="preserve"> Los responsables del impuesto nacional a la gasolina y al ACPM que vendan combustibles líquidos con destino a las zonas de frontera, deberán relacionar mensualmente los galones certificados por el Distribuidor Mayorista durante el mes anterior discrim</w:t>
      </w:r>
      <w:r>
        <w:rPr>
          <w:rFonts w:ascii="Arial" w:hAnsi="Arial" w:cs="Arial"/>
          <w:lang w:val="es-CO"/>
        </w:rPr>
        <w:t>inando el departamento, municipio y tipo de combustible, información que será remitida dentro de los cinco (5) primeros días hábiles siguientes al mes en que se efectuó su distribución, a la Dirección de Gestión de Fiscalización, en medio magnético y/o vir</w:t>
      </w:r>
      <w:r>
        <w:rPr>
          <w:rFonts w:ascii="Arial" w:hAnsi="Arial" w:cs="Arial"/>
          <w:lang w:val="es-CO"/>
        </w:rPr>
        <w:t>tual que se establezca, de conformidad con los requisitos, condiciones y características que determine mediante resolución el Director General de la Unidad Administrativa Especial Dirección de Impuestos y Aduanas Nacionales-DIAN.</w:t>
      </w:r>
    </w:p>
    <w:p w14:paraId="782E9762" w14:textId="77777777" w:rsidR="00B2442D" w:rsidRDefault="00B2442D">
      <w:pPr>
        <w:jc w:val="both"/>
        <w:rPr>
          <w:rFonts w:ascii="Arial" w:hAnsi="Arial" w:cs="Arial"/>
          <w:lang w:val="es-CO"/>
        </w:rPr>
      </w:pPr>
    </w:p>
    <w:p w14:paraId="2E727946" w14:textId="77777777" w:rsidR="00B2442D" w:rsidRDefault="008A645F">
      <w:pPr>
        <w:jc w:val="both"/>
        <w:rPr>
          <w:rFonts w:ascii="Arial" w:hAnsi="Arial" w:cs="Arial"/>
          <w:lang w:val="es-CO"/>
        </w:rPr>
      </w:pPr>
      <w:r>
        <w:rPr>
          <w:rFonts w:ascii="Arial" w:hAnsi="Arial" w:cs="Arial"/>
          <w:lang w:val="es-CO"/>
        </w:rPr>
        <w:t>El incumplimiento de la o</w:t>
      </w:r>
      <w:r>
        <w:rPr>
          <w:rFonts w:ascii="Arial" w:hAnsi="Arial" w:cs="Arial"/>
          <w:lang w:val="es-CO"/>
        </w:rPr>
        <w:t>bligación de informar dará lugar a las sanciones establecidas en el artículo 651 del Estatuto Tributario.</w:t>
      </w:r>
    </w:p>
    <w:p w14:paraId="78A330D8" w14:textId="77777777" w:rsidR="00B2442D" w:rsidRDefault="00B2442D">
      <w:pPr>
        <w:jc w:val="both"/>
        <w:rPr>
          <w:rFonts w:ascii="Arial" w:hAnsi="Arial" w:cs="Arial"/>
          <w:lang w:val="es-CO"/>
        </w:rPr>
      </w:pPr>
    </w:p>
    <w:p w14:paraId="2795B413" w14:textId="77777777" w:rsidR="00B2442D" w:rsidRDefault="008A645F">
      <w:pPr>
        <w:jc w:val="both"/>
        <w:rPr>
          <w:rFonts w:ascii="Arial" w:hAnsi="Arial" w:cs="Arial"/>
          <w:lang w:val="es-CO"/>
        </w:rPr>
      </w:pPr>
      <w:r>
        <w:rPr>
          <w:rFonts w:ascii="Arial" w:hAnsi="Arial" w:cs="Arial"/>
          <w:b/>
          <w:lang w:val="es-CO"/>
        </w:rPr>
        <w:t>Parágrafo 1 °.</w:t>
      </w:r>
      <w:r>
        <w:rPr>
          <w:rFonts w:ascii="Arial" w:hAnsi="Arial" w:cs="Arial"/>
          <w:lang w:val="es-CO"/>
        </w:rPr>
        <w:t xml:space="preserve"> El Ministerio de Minas y Energía deberá mantener actualizada la base de datos que permita controlar la distribución y venta en las zon</w:t>
      </w:r>
      <w:r>
        <w:rPr>
          <w:rFonts w:ascii="Arial" w:hAnsi="Arial" w:cs="Arial"/>
          <w:lang w:val="es-CO"/>
        </w:rPr>
        <w:t>as de frontera y enviará a la Unidad Administrativa Especial Dirección de Impuestos y Aduanas Nacionales-DIAN la relación de los distribuidores y/o sujetos que suministren combustibles a los departamentos y municipios ubicados en las zonas de frontera, que</w:t>
      </w:r>
      <w:r>
        <w:rPr>
          <w:rFonts w:ascii="Arial" w:hAnsi="Arial" w:cs="Arial"/>
          <w:lang w:val="es-CO"/>
        </w:rPr>
        <w:t xml:space="preserve"> tienen cupos asignados por dicha entidad, información que deberá contener al menos la identificación de estos, volúmenes de cupo, zona de distribución, entre otros, cuando esta así lo requiera.</w:t>
      </w:r>
    </w:p>
    <w:p w14:paraId="3529FC11" w14:textId="77777777" w:rsidR="00B2442D" w:rsidRDefault="00B2442D">
      <w:pPr>
        <w:jc w:val="both"/>
        <w:rPr>
          <w:rFonts w:ascii="Arial" w:hAnsi="Arial" w:cs="Arial"/>
          <w:lang w:val="es-CO"/>
        </w:rPr>
      </w:pPr>
    </w:p>
    <w:p w14:paraId="26B7F6B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distribuidores mayoristas y minoristas y t</w:t>
      </w:r>
      <w:r>
        <w:rPr>
          <w:rFonts w:ascii="Arial" w:hAnsi="Arial" w:cs="Arial"/>
          <w:lang w:val="es-CO"/>
        </w:rPr>
        <w:t>erceros con quienes contrate Ecopetrol S. A. o la entidad competente, seguirán regulándose para efectos del suministro de información por lo dispuesto en el artículo 2.2.1.1.2.2.6.21 del Decreto 1073 de 2015, en cuanto a que deberán entregar a dicha Empres</w:t>
      </w:r>
      <w:r>
        <w:rPr>
          <w:rFonts w:ascii="Arial" w:hAnsi="Arial" w:cs="Arial"/>
          <w:lang w:val="es-CO"/>
        </w:rPr>
        <w:t>a y a la DIAN, mensualmente y a más tardar el tercer día hábil del mes siguiente al de la adquisición del combustible, la información sobre los productos vendidos en cada uno de los municipios y corregimientos donde operan, debidamente certificada por cont</w:t>
      </w:r>
      <w:r>
        <w:rPr>
          <w:rFonts w:ascii="Arial" w:hAnsi="Arial" w:cs="Arial"/>
          <w:lang w:val="es-CO"/>
        </w:rPr>
        <w:t>ador público o revisor fiscal.</w:t>
      </w:r>
    </w:p>
    <w:p w14:paraId="7A816CF9" w14:textId="77777777" w:rsidR="00B2442D" w:rsidRDefault="00B2442D">
      <w:pPr>
        <w:jc w:val="both"/>
        <w:rPr>
          <w:rFonts w:ascii="Arial" w:hAnsi="Arial" w:cs="Arial"/>
          <w:lang w:val="es-CO"/>
        </w:rPr>
      </w:pPr>
    </w:p>
    <w:p w14:paraId="523E9520" w14:textId="77777777" w:rsidR="00B2442D" w:rsidRDefault="008A645F">
      <w:pPr>
        <w:jc w:val="both"/>
        <w:rPr>
          <w:rFonts w:ascii="Arial" w:hAnsi="Arial" w:cs="Arial"/>
          <w:lang w:val="es-CO"/>
        </w:rPr>
      </w:pPr>
      <w:r>
        <w:rPr>
          <w:rFonts w:ascii="Arial" w:hAnsi="Arial" w:cs="Arial"/>
          <w:lang w:val="es-CO"/>
        </w:rPr>
        <w:t>Las estaciones de servicio y los grandes consumidores ubicados en Zonas de Frontera, seguirán informando a través del Sistema de Información de la Cadena de Distribución de Combustibles (SICOM), en concordancia con los térmi</w:t>
      </w:r>
      <w:r>
        <w:rPr>
          <w:rFonts w:ascii="Arial" w:hAnsi="Arial" w:cs="Arial"/>
          <w:lang w:val="es-CO"/>
        </w:rPr>
        <w:t>nos y condiciones señalados en la Resolución número 18 2113 de 2007 del Ministerio de Minas y Energía o en las normas que las modifiquen o sustituyan, el volumen en galones de combustibles adquiridos y la relación de las ventas efectuadas en el mes calenda</w:t>
      </w:r>
      <w:r>
        <w:rPr>
          <w:rFonts w:ascii="Arial" w:hAnsi="Arial" w:cs="Arial"/>
          <w:lang w:val="es-CO"/>
        </w:rPr>
        <w:t>rio inmediatamente anterior, con discriminación de productos, cantidad en galones y precios de los mismos, so pena de la imposición de las sanciones señaladas en el Decreto 1073 de 2015 o las normas que lo modifiquen o sustituyan.</w:t>
      </w:r>
    </w:p>
    <w:p w14:paraId="45EBD274" w14:textId="77777777" w:rsidR="00B2442D" w:rsidRDefault="00B2442D">
      <w:pPr>
        <w:jc w:val="both"/>
        <w:rPr>
          <w:rFonts w:ascii="Arial" w:hAnsi="Arial" w:cs="Arial"/>
          <w:lang w:val="es-CO"/>
        </w:rPr>
      </w:pPr>
    </w:p>
    <w:p w14:paraId="02F58037" w14:textId="77777777" w:rsidR="00B2442D" w:rsidRDefault="008A645F">
      <w:pPr>
        <w:jc w:val="both"/>
        <w:rPr>
          <w:rFonts w:ascii="Arial" w:hAnsi="Arial" w:cs="Arial"/>
          <w:lang w:val="es-CO"/>
        </w:rPr>
      </w:pPr>
      <w:r>
        <w:rPr>
          <w:rFonts w:ascii="Arial" w:hAnsi="Arial" w:cs="Arial"/>
          <w:lang w:val="es-CO"/>
        </w:rPr>
        <w:t>El SICOM o el sistema de</w:t>
      </w:r>
      <w:r>
        <w:rPr>
          <w:rFonts w:ascii="Arial" w:hAnsi="Arial" w:cs="Arial"/>
          <w:lang w:val="es-CO"/>
        </w:rPr>
        <w:t xml:space="preserve"> base de datos que lo modifique, complemente o sustituya, pondrá a disposición de Ecopetrol S. A. o de la entidad competente y de la Unidad Administrativa Especial Dirección de Impuestos y Aduanas Nacionales-DIAN la información que requieran sobre el parti</w:t>
      </w:r>
      <w:r>
        <w:rPr>
          <w:rFonts w:ascii="Arial" w:hAnsi="Arial" w:cs="Arial"/>
          <w:lang w:val="es-CO"/>
        </w:rPr>
        <w:t>cular.</w:t>
      </w:r>
    </w:p>
    <w:p w14:paraId="1F4469D1" w14:textId="77777777" w:rsidR="00B2442D" w:rsidRDefault="00B2442D">
      <w:pPr>
        <w:jc w:val="both"/>
        <w:rPr>
          <w:rFonts w:ascii="Arial" w:hAnsi="Arial" w:cs="Arial"/>
          <w:lang w:val="es-CO"/>
        </w:rPr>
      </w:pPr>
    </w:p>
    <w:p w14:paraId="1E9C345F"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Quien importe o adquiera combustibles líquidos derivados del petróleo y no los distribuya dentro de los departamentos y municipios ubicados en las zonas de frontera o los distribuya incumpliendo con la normatividad establecida para el</w:t>
      </w:r>
      <w:r>
        <w:rPr>
          <w:rFonts w:ascii="Arial" w:hAnsi="Arial" w:cs="Arial"/>
          <w:lang w:val="es-CO"/>
        </w:rPr>
        <w:t xml:space="preserve"> abastecimiento de dichas regiones, será objeto de la sanción prevista en el artículo 8o de la Ley 1430 de 2010.</w:t>
      </w:r>
    </w:p>
    <w:p w14:paraId="6991E8E4" w14:textId="77777777" w:rsidR="00B2442D" w:rsidRDefault="00B2442D">
      <w:pPr>
        <w:jc w:val="both"/>
        <w:rPr>
          <w:rFonts w:ascii="Arial" w:hAnsi="Arial" w:cs="Arial"/>
          <w:lang w:val="es-CO"/>
        </w:rPr>
      </w:pPr>
    </w:p>
    <w:p w14:paraId="1DA05E81" w14:textId="77777777" w:rsidR="00B2442D" w:rsidRDefault="008A645F">
      <w:pPr>
        <w:jc w:val="both"/>
        <w:rPr>
          <w:rFonts w:ascii="Arial" w:hAnsi="Arial" w:cs="Arial"/>
          <w:lang w:val="es-CO"/>
        </w:rPr>
      </w:pPr>
      <w:r>
        <w:rPr>
          <w:rFonts w:ascii="Arial" w:hAnsi="Arial" w:cs="Arial"/>
          <w:lang w:val="es-CO"/>
        </w:rPr>
        <w:t>Para los demás efectos legales relacionados con la distribución de combustibles en los departamentos y municipios ubicados en zonas de fronter</w:t>
      </w:r>
      <w:r>
        <w:rPr>
          <w:rFonts w:ascii="Arial" w:hAnsi="Arial" w:cs="Arial"/>
          <w:lang w:val="es-CO"/>
        </w:rPr>
        <w:t>a por parte del Ministerio de Minas y Energía, se aplicará lo dispuesto en el artículo 9o de la Ley 1430 de 2010.</w:t>
      </w:r>
    </w:p>
    <w:p w14:paraId="2C562F04" w14:textId="77777777" w:rsidR="00B2442D" w:rsidRDefault="00B2442D">
      <w:pPr>
        <w:jc w:val="both"/>
        <w:rPr>
          <w:rFonts w:ascii="Arial" w:hAnsi="Arial" w:cs="Arial"/>
          <w:b/>
          <w:lang w:val="es-CO"/>
        </w:rPr>
      </w:pPr>
    </w:p>
    <w:p w14:paraId="0156701E" w14:textId="77777777" w:rsidR="00B2442D" w:rsidRDefault="008A645F">
      <w:pPr>
        <w:jc w:val="both"/>
        <w:rPr>
          <w:rFonts w:ascii="Arial" w:hAnsi="Arial" w:cs="Arial"/>
          <w:i/>
          <w:lang w:val="es-CO"/>
        </w:rPr>
      </w:pPr>
      <w:r>
        <w:rPr>
          <w:rFonts w:ascii="Arial" w:hAnsi="Arial" w:cs="Arial"/>
          <w:i/>
          <w:lang w:val="es-CO"/>
        </w:rPr>
        <w:t>(Art. 20, Decreto 568 de 2013)</w:t>
      </w:r>
    </w:p>
    <w:p w14:paraId="6C17E332" w14:textId="77777777" w:rsidR="00B2442D" w:rsidRDefault="00B2442D">
      <w:pPr>
        <w:jc w:val="both"/>
        <w:rPr>
          <w:rFonts w:ascii="Arial" w:hAnsi="Arial" w:cs="Arial"/>
          <w:b/>
          <w:lang w:val="es-CO"/>
        </w:rPr>
      </w:pPr>
    </w:p>
    <w:p w14:paraId="6B73ED20"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Control para la venta de combustibles en el departamento Archipiélago de San Andrés, Providencia y Santa Cata</w:t>
      </w:r>
      <w:r>
        <w:rPr>
          <w:rFonts w:ascii="Arial" w:hAnsi="Arial" w:cs="Arial"/>
          <w:b/>
          <w:i/>
          <w:lang w:val="es-CO"/>
        </w:rPr>
        <w:t>lina.</w:t>
      </w:r>
      <w:r>
        <w:rPr>
          <w:rFonts w:ascii="Arial" w:hAnsi="Arial" w:cs="Arial"/>
          <w:lang w:val="es-CO"/>
        </w:rPr>
        <w:t xml:space="preserve"> Cuando se trate de la venta, retiro o importación de gasolina y ACPM en el departamento Archipiélago de San Andrés, Providencia y Santa Catalina, los responsables del impuesto nacional a la gasolina y al ACPM, deberán relacionar mensualmente los galo</w:t>
      </w:r>
      <w:r>
        <w:rPr>
          <w:rFonts w:ascii="Arial" w:hAnsi="Arial" w:cs="Arial"/>
          <w:lang w:val="es-CO"/>
        </w:rPr>
        <w:t>nes facturados y certificados por los distribuidores mayoristas y/o minoristas durante el mes anterior que efectivamente se entregaron por venta o retiro en dicho departamento, discriminando tipo de combustible, identificación del distribuidor mayorista y/</w:t>
      </w:r>
      <w:r>
        <w:rPr>
          <w:rFonts w:ascii="Arial" w:hAnsi="Arial" w:cs="Arial"/>
          <w:lang w:val="es-CO"/>
        </w:rPr>
        <w:t>o minorista, entre otros, información que será remitida dentro de los cinco (5) días hábiles siguientes al mes en que se efectuó la venta o retiro, a la Dirección de Gestión de Fiscalización de la Unidad Administrativa Especial Dirección de Impuestos y Adu</w:t>
      </w:r>
      <w:r>
        <w:rPr>
          <w:rFonts w:ascii="Arial" w:hAnsi="Arial" w:cs="Arial"/>
          <w:lang w:val="es-CO"/>
        </w:rPr>
        <w:t>anas Nacionales-DIAN.</w:t>
      </w:r>
    </w:p>
    <w:p w14:paraId="595CC2A9" w14:textId="77777777" w:rsidR="00B2442D" w:rsidRDefault="00B2442D">
      <w:pPr>
        <w:jc w:val="both"/>
        <w:rPr>
          <w:rFonts w:ascii="Arial" w:hAnsi="Arial" w:cs="Arial"/>
          <w:lang w:val="es-CO"/>
        </w:rPr>
      </w:pPr>
    </w:p>
    <w:p w14:paraId="56A4A5BC" w14:textId="77777777" w:rsidR="00B2442D" w:rsidRDefault="008A645F">
      <w:pPr>
        <w:jc w:val="both"/>
        <w:rPr>
          <w:rFonts w:ascii="Arial" w:hAnsi="Arial" w:cs="Arial"/>
          <w:lang w:val="es-CO"/>
        </w:rPr>
      </w:pPr>
      <w:r>
        <w:rPr>
          <w:rFonts w:ascii="Arial" w:hAnsi="Arial" w:cs="Arial"/>
          <w:lang w:val="es-CO"/>
        </w:rPr>
        <w:t>El Director General de la Unidad Administrativa Especial Dirección de Impuestos y Aduanas Nacionales-DIAN, mediante resolución establecerá la forma, requisitos, condiciones y características de la información a suministrar.</w:t>
      </w:r>
    </w:p>
    <w:p w14:paraId="0576FD0F" w14:textId="77777777" w:rsidR="00B2442D" w:rsidRDefault="00B2442D">
      <w:pPr>
        <w:jc w:val="both"/>
        <w:rPr>
          <w:rFonts w:ascii="Arial" w:hAnsi="Arial" w:cs="Arial"/>
          <w:lang w:val="es-CO"/>
        </w:rPr>
      </w:pPr>
    </w:p>
    <w:p w14:paraId="40D6E12C" w14:textId="77777777" w:rsidR="00B2442D" w:rsidRDefault="008A645F">
      <w:pPr>
        <w:jc w:val="both"/>
        <w:rPr>
          <w:rFonts w:ascii="Arial" w:hAnsi="Arial" w:cs="Arial"/>
          <w:lang w:val="es-CO"/>
        </w:rPr>
      </w:pPr>
      <w:r>
        <w:rPr>
          <w:rFonts w:ascii="Arial" w:hAnsi="Arial" w:cs="Arial"/>
          <w:lang w:val="es-CO"/>
        </w:rPr>
        <w:t>El incum</w:t>
      </w:r>
      <w:r>
        <w:rPr>
          <w:rFonts w:ascii="Arial" w:hAnsi="Arial" w:cs="Arial"/>
          <w:lang w:val="es-CO"/>
        </w:rPr>
        <w:t>plimiento de la obligación de informar dará lugar a las sanciones establecidas en el artículo 651 del Estatuto Tributario.</w:t>
      </w:r>
    </w:p>
    <w:p w14:paraId="0E891BB8" w14:textId="77777777" w:rsidR="00B2442D" w:rsidRDefault="00B2442D">
      <w:pPr>
        <w:jc w:val="both"/>
        <w:rPr>
          <w:rFonts w:ascii="Arial" w:hAnsi="Arial" w:cs="Arial"/>
          <w:lang w:val="es-CO"/>
        </w:rPr>
      </w:pPr>
    </w:p>
    <w:p w14:paraId="3CF9274E" w14:textId="77777777" w:rsidR="00B2442D" w:rsidRDefault="008A645F">
      <w:pPr>
        <w:jc w:val="both"/>
        <w:rPr>
          <w:rFonts w:ascii="Arial" w:hAnsi="Arial" w:cs="Arial"/>
          <w:i/>
          <w:lang w:val="es-CO"/>
        </w:rPr>
      </w:pPr>
      <w:r>
        <w:rPr>
          <w:rFonts w:ascii="Arial" w:hAnsi="Arial" w:cs="Arial"/>
          <w:i/>
          <w:lang w:val="es-CO"/>
        </w:rPr>
        <w:t>(Art. 21, Decreto 568 de 2013)</w:t>
      </w:r>
    </w:p>
    <w:p w14:paraId="3D659D6C" w14:textId="77777777" w:rsidR="00B2442D" w:rsidRDefault="00B2442D">
      <w:pPr>
        <w:jc w:val="both"/>
        <w:rPr>
          <w:rFonts w:ascii="Arial" w:hAnsi="Arial" w:cs="Arial"/>
          <w:lang w:val="es-CO"/>
        </w:rPr>
      </w:pPr>
    </w:p>
    <w:p w14:paraId="7E551A03"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Control para combustibles de uso y actividades especiales.</w:t>
      </w:r>
      <w:r>
        <w:rPr>
          <w:rFonts w:ascii="Arial" w:hAnsi="Arial" w:cs="Arial"/>
          <w:lang w:val="es-CO"/>
        </w:rPr>
        <w:t xml:space="preserve"> Cuando se trate de combustibles utilizados en actividades de pesca y/o cabotaje en las costas colombianas y en las actividades marítimas desarrolladas por la Armada Nacional, propias del cuerpo de guardacostas, contempladas en el Decreto número 1874 de 19</w:t>
      </w:r>
      <w:r>
        <w:rPr>
          <w:rFonts w:ascii="Arial" w:hAnsi="Arial" w:cs="Arial"/>
          <w:lang w:val="es-CO"/>
        </w:rPr>
        <w:t>79, los responsables del Impuesto Nacional a la Gasolina y al ACPM deberán relacionar mensualmente los galones certificados y facturados durante el mes anterior discriminando el uso y remitirlos a la Dirección de Gestión de Fiscalización de la Unidad Admin</w:t>
      </w:r>
      <w:r>
        <w:rPr>
          <w:rFonts w:ascii="Arial" w:hAnsi="Arial" w:cs="Arial"/>
          <w:lang w:val="es-CO"/>
        </w:rPr>
        <w:t>istrativa Especial Dirección de Impuestos y Aduanas Nacionales-DIAN, dentro de los cinco (5) días hábiles siguientes al mes en que se haya efectuado su venta.</w:t>
      </w:r>
    </w:p>
    <w:p w14:paraId="21D3E6DE" w14:textId="77777777" w:rsidR="00B2442D" w:rsidRDefault="00B2442D">
      <w:pPr>
        <w:jc w:val="both"/>
        <w:rPr>
          <w:rFonts w:ascii="Arial" w:hAnsi="Arial" w:cs="Arial"/>
          <w:lang w:val="es-CO"/>
        </w:rPr>
      </w:pPr>
    </w:p>
    <w:p w14:paraId="594C9D33" w14:textId="77777777" w:rsidR="00B2442D" w:rsidRDefault="008A645F">
      <w:pPr>
        <w:jc w:val="both"/>
        <w:rPr>
          <w:rFonts w:ascii="Arial" w:hAnsi="Arial" w:cs="Arial"/>
          <w:lang w:val="es-CO"/>
        </w:rPr>
      </w:pPr>
      <w:r>
        <w:rPr>
          <w:rFonts w:ascii="Arial" w:hAnsi="Arial" w:cs="Arial"/>
          <w:lang w:val="es-CO"/>
        </w:rPr>
        <w:t>El Director General de la Unidad Administrativa Especial Dirección de Impuestos y Aduanas Nacion</w:t>
      </w:r>
      <w:r>
        <w:rPr>
          <w:rFonts w:ascii="Arial" w:hAnsi="Arial" w:cs="Arial"/>
          <w:lang w:val="es-CO"/>
        </w:rPr>
        <w:t>ales– DIAN prescribirá el formato a utilizar para el registro y suministro de la información.</w:t>
      </w:r>
    </w:p>
    <w:p w14:paraId="6B37A376" w14:textId="77777777" w:rsidR="00B2442D" w:rsidRDefault="00B2442D">
      <w:pPr>
        <w:jc w:val="both"/>
        <w:rPr>
          <w:rFonts w:ascii="Arial" w:hAnsi="Arial" w:cs="Arial"/>
          <w:lang w:val="es-CO"/>
        </w:rPr>
      </w:pPr>
    </w:p>
    <w:p w14:paraId="5086E253" w14:textId="77777777" w:rsidR="00B2442D" w:rsidRDefault="008A645F">
      <w:pPr>
        <w:jc w:val="both"/>
        <w:rPr>
          <w:rFonts w:ascii="Arial" w:hAnsi="Arial" w:cs="Arial"/>
          <w:lang w:val="es-CO"/>
        </w:rPr>
      </w:pPr>
      <w:r>
        <w:rPr>
          <w:rFonts w:ascii="Arial" w:hAnsi="Arial" w:cs="Arial"/>
          <w:lang w:val="es-CO"/>
        </w:rPr>
        <w:t>El incumplimiento de tal obligación dará lugar a las sanciones establecidas en el artículo 651 del Estatuto Tributario.</w:t>
      </w:r>
    </w:p>
    <w:p w14:paraId="61A558C0" w14:textId="77777777" w:rsidR="00B2442D" w:rsidRDefault="00B2442D">
      <w:pPr>
        <w:jc w:val="both"/>
        <w:rPr>
          <w:rFonts w:ascii="Arial" w:hAnsi="Arial" w:cs="Arial"/>
          <w:lang w:val="es-CO"/>
        </w:rPr>
      </w:pPr>
    </w:p>
    <w:p w14:paraId="1F4AAC59"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Se entiende por combustibles utilizados en actividades de pesca el diésel marino utilizado tanto en la acuicultura de acuerdo con los lineamientos que establezca el Ministerio de Agricultura y Desarrollo Rural, como en la pesca marina comercial definida e</w:t>
      </w:r>
      <w:r>
        <w:rPr>
          <w:rFonts w:ascii="Arial" w:hAnsi="Arial" w:cs="Arial"/>
          <w:lang w:val="es-CO"/>
        </w:rPr>
        <w:t>n los numerales 1.2 y 2.4 del artículo 2.16.1.2.8 del Decreto 1071 de 2015, Reglamentario de la Ley 13 de 1990, o las normas que la modifiquen, adicionen o deroguen; por combustibles utilizados en actividades de cabotaje, incluidos los remolcadores, el dié</w:t>
      </w:r>
      <w:r>
        <w:rPr>
          <w:rFonts w:ascii="Arial" w:hAnsi="Arial" w:cs="Arial"/>
          <w:lang w:val="es-CO"/>
        </w:rPr>
        <w:t>sel marino utilizado en el transporte por vía marítima entre puertos localizados en las costas colombianas; y, por combustible utilizado en actividades marítimas desarrolladas por la Armada Nacional, el ACPM utilizado en desarrollo de las actividades expre</w:t>
      </w:r>
      <w:r>
        <w:rPr>
          <w:rFonts w:ascii="Arial" w:hAnsi="Arial" w:cs="Arial"/>
          <w:lang w:val="es-CO"/>
        </w:rPr>
        <w:t>samente contempladas en el artículo 2.2.1.2.2.1 del Decreto 1073 de 2015, o las normas que lo modifiquen, adicionen o deroguen.</w:t>
      </w:r>
    </w:p>
    <w:p w14:paraId="0EC289B5" w14:textId="77777777" w:rsidR="00B2442D" w:rsidRDefault="00B2442D">
      <w:pPr>
        <w:jc w:val="both"/>
        <w:rPr>
          <w:rFonts w:ascii="Arial" w:hAnsi="Arial" w:cs="Arial"/>
          <w:lang w:val="es-CO"/>
        </w:rPr>
      </w:pPr>
    </w:p>
    <w:p w14:paraId="5829A12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efectos de volúmenes máximos, controles y cupos de los combustibles utilizados en actividades de pesca y/o ca</w:t>
      </w:r>
      <w:r>
        <w:rPr>
          <w:rFonts w:ascii="Arial" w:hAnsi="Arial" w:cs="Arial"/>
          <w:lang w:val="es-CO"/>
        </w:rPr>
        <w:t xml:space="preserve">botaje en las costas colombianas y en las actividades marítimas desarrolladas por la Armada Nacional, propias del cuerpo de guardacostas, contempladas en el Decreto 1073 de 2015, se debe aplicar, en lo pertinente, lo dispuesto en los artículos 2.2.1.2.2.1 </w:t>
      </w:r>
      <w:r>
        <w:rPr>
          <w:rFonts w:ascii="Arial" w:hAnsi="Arial" w:cs="Arial"/>
          <w:lang w:val="es-CO"/>
        </w:rPr>
        <w:t>y siguientes del Decreto 1073 de 2015.</w:t>
      </w:r>
    </w:p>
    <w:p w14:paraId="5017F1B7" w14:textId="77777777" w:rsidR="00B2442D" w:rsidRDefault="00B2442D">
      <w:pPr>
        <w:jc w:val="both"/>
        <w:rPr>
          <w:rFonts w:ascii="Arial" w:hAnsi="Arial" w:cs="Arial"/>
          <w:lang w:val="es-CO"/>
        </w:rPr>
      </w:pPr>
    </w:p>
    <w:p w14:paraId="41A0DB30" w14:textId="77777777" w:rsidR="00B2442D" w:rsidRDefault="008A645F">
      <w:pPr>
        <w:jc w:val="both"/>
        <w:rPr>
          <w:rFonts w:ascii="Arial" w:hAnsi="Arial" w:cs="Arial"/>
          <w:i/>
          <w:lang w:val="es-CO"/>
        </w:rPr>
      </w:pPr>
      <w:r>
        <w:rPr>
          <w:rFonts w:ascii="Arial" w:hAnsi="Arial" w:cs="Arial"/>
          <w:i/>
          <w:lang w:val="es-CO"/>
        </w:rPr>
        <w:t>(Art. 22, Decreto 568 de 2013)</w:t>
      </w:r>
    </w:p>
    <w:p w14:paraId="530594E1" w14:textId="77777777" w:rsidR="00B2442D" w:rsidRDefault="00B2442D">
      <w:pPr>
        <w:jc w:val="both"/>
        <w:rPr>
          <w:rFonts w:ascii="Arial" w:hAnsi="Arial" w:cs="Arial"/>
          <w:lang w:val="es-CO"/>
        </w:rPr>
      </w:pPr>
    </w:p>
    <w:p w14:paraId="182D70C7"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Forma de identificar las diferentes ventas, retiros e importaciones.</w:t>
      </w:r>
      <w:r>
        <w:rPr>
          <w:rFonts w:ascii="Arial" w:hAnsi="Arial" w:cs="Arial"/>
          <w:lang w:val="es-CO"/>
        </w:rPr>
        <w:t xml:space="preserve"> Para efectos del control del Impuesto Nacional a la Gasolina y al ACPM, los responsables del impuesto nacional a la</w:t>
      </w:r>
      <w:r>
        <w:rPr>
          <w:rFonts w:ascii="Arial" w:hAnsi="Arial" w:cs="Arial"/>
          <w:lang w:val="es-CO"/>
        </w:rPr>
        <w:t xml:space="preserve"> gasolina y al ACPM, deberán llevar cuentas separadas en la contabilidad o llevar un sistema virtual, documental o base de datos, que permita identificar las ventas, retiros e importaciones de los combustibles gravados a la tarifa general del impuesto naci</w:t>
      </w:r>
      <w:r>
        <w:rPr>
          <w:rFonts w:ascii="Arial" w:hAnsi="Arial" w:cs="Arial"/>
          <w:lang w:val="es-CO"/>
        </w:rPr>
        <w:t>onal a la gasolina y al ACPM, gravados a tarifas diferenciales, o exceptuados o exentos.</w:t>
      </w:r>
    </w:p>
    <w:p w14:paraId="224C517F" w14:textId="77777777" w:rsidR="00B2442D" w:rsidRDefault="00B2442D">
      <w:pPr>
        <w:jc w:val="both"/>
        <w:rPr>
          <w:rFonts w:ascii="Arial" w:hAnsi="Arial" w:cs="Arial"/>
          <w:lang w:val="es-CO"/>
        </w:rPr>
      </w:pPr>
    </w:p>
    <w:p w14:paraId="64DF2863" w14:textId="77777777" w:rsidR="00B2442D" w:rsidRDefault="008A645F">
      <w:pPr>
        <w:jc w:val="both"/>
        <w:rPr>
          <w:rFonts w:ascii="Arial" w:hAnsi="Arial" w:cs="Arial"/>
          <w:i/>
          <w:lang w:val="es-CO"/>
        </w:rPr>
      </w:pPr>
      <w:r>
        <w:rPr>
          <w:rFonts w:ascii="Arial" w:hAnsi="Arial" w:cs="Arial"/>
          <w:i/>
          <w:lang w:val="es-CO"/>
        </w:rPr>
        <w:t>(Art. 23, Decreto 568 de 2013)</w:t>
      </w:r>
    </w:p>
    <w:p w14:paraId="601D4118" w14:textId="77777777" w:rsidR="00B2442D" w:rsidRDefault="00B2442D">
      <w:pPr>
        <w:jc w:val="both"/>
        <w:rPr>
          <w:rFonts w:ascii="Arial" w:hAnsi="Arial" w:cs="Arial"/>
          <w:lang w:val="es-CO"/>
        </w:rPr>
      </w:pPr>
    </w:p>
    <w:p w14:paraId="5D571B78" w14:textId="77777777" w:rsidR="00B2442D" w:rsidRDefault="008A645F">
      <w:pPr>
        <w:pStyle w:val="Prrafodelista"/>
        <w:numPr>
          <w:ilvl w:val="0"/>
          <w:numId w:val="102"/>
        </w:numPr>
        <w:ind w:left="0" w:firstLine="0"/>
        <w:jc w:val="both"/>
        <w:rPr>
          <w:rFonts w:ascii="Arial" w:hAnsi="Arial" w:cs="Arial"/>
          <w:lang w:val="es-CO"/>
        </w:rPr>
      </w:pPr>
      <w:r>
        <w:rPr>
          <w:rFonts w:ascii="Arial" w:hAnsi="Arial" w:cs="Arial"/>
          <w:b/>
          <w:i/>
          <w:lang w:val="es-CO"/>
        </w:rPr>
        <w:t>Otros aspectos.</w:t>
      </w:r>
      <w:r>
        <w:rPr>
          <w:rFonts w:ascii="Arial" w:hAnsi="Arial" w:cs="Arial"/>
          <w:lang w:val="es-CO"/>
        </w:rPr>
        <w:t xml:space="preserve"> Los aspectos no regulados en el presente decreto (</w:t>
      </w:r>
      <w:r>
        <w:rPr>
          <w:rFonts w:ascii="Arial" w:hAnsi="Arial" w:cs="Arial"/>
          <w:i/>
          <w:lang w:val="es-CO"/>
        </w:rPr>
        <w:t>Decreto 568 de 2013)</w:t>
      </w:r>
      <w:r>
        <w:rPr>
          <w:rFonts w:ascii="Arial" w:hAnsi="Arial" w:cs="Arial"/>
          <w:lang w:val="es-CO"/>
        </w:rPr>
        <w:t>, se regirán por las disposiciones generales del</w:t>
      </w:r>
      <w:r>
        <w:rPr>
          <w:rFonts w:ascii="Arial" w:hAnsi="Arial" w:cs="Arial"/>
          <w:lang w:val="es-CO"/>
        </w:rPr>
        <w:t xml:space="preserve"> Estatuto Tributario y sus normas reglamentarias, en cuanto sean compatibles.</w:t>
      </w:r>
    </w:p>
    <w:p w14:paraId="71C5BE0E" w14:textId="77777777" w:rsidR="00B2442D" w:rsidRDefault="00B2442D">
      <w:pPr>
        <w:jc w:val="both"/>
        <w:rPr>
          <w:rFonts w:ascii="Arial" w:hAnsi="Arial" w:cs="Arial"/>
          <w:lang w:val="es-CO"/>
        </w:rPr>
      </w:pPr>
    </w:p>
    <w:p w14:paraId="4A191BC4" w14:textId="77777777" w:rsidR="00B2442D" w:rsidRDefault="008A645F">
      <w:pPr>
        <w:jc w:val="both"/>
        <w:rPr>
          <w:rFonts w:ascii="Arial" w:hAnsi="Arial" w:cs="Arial"/>
          <w:i/>
          <w:lang w:val="es-CO"/>
        </w:rPr>
      </w:pPr>
      <w:r>
        <w:rPr>
          <w:rFonts w:ascii="Arial" w:hAnsi="Arial" w:cs="Arial"/>
          <w:i/>
          <w:lang w:val="es-CO"/>
        </w:rPr>
        <w:t>(Art. 24, Decreto 568 de 2013)</w:t>
      </w:r>
    </w:p>
    <w:p w14:paraId="404B11A2" w14:textId="77777777" w:rsidR="00B2442D" w:rsidRDefault="00B2442D">
      <w:pPr>
        <w:jc w:val="both"/>
        <w:rPr>
          <w:rFonts w:ascii="Arial" w:hAnsi="Arial" w:cs="Arial"/>
          <w:i/>
          <w:lang w:val="es-CO"/>
        </w:rPr>
      </w:pPr>
    </w:p>
    <w:p w14:paraId="1AF04F1E" w14:textId="77777777" w:rsidR="00B2442D" w:rsidRDefault="008A645F">
      <w:pPr>
        <w:pStyle w:val="Ttulo3"/>
      </w:pPr>
      <w:bookmarkStart w:id="38" w:name="_Toc479171193"/>
      <w:r>
        <w:t>TÍTULO 3.</w:t>
      </w:r>
      <w:bookmarkEnd w:id="38"/>
    </w:p>
    <w:p w14:paraId="1017EE85" w14:textId="77777777" w:rsidR="00B2442D" w:rsidRDefault="008A645F">
      <w:pPr>
        <w:pStyle w:val="Ttulo3"/>
      </w:pPr>
      <w:bookmarkStart w:id="39" w:name="_Toc479171194"/>
      <w:r>
        <w:t>Impuesto Complementario de Normalización Tributaria</w:t>
      </w:r>
      <w:bookmarkEnd w:id="39"/>
    </w:p>
    <w:p w14:paraId="012615C6" w14:textId="77777777" w:rsidR="00B2442D" w:rsidRDefault="00B2442D">
      <w:pPr>
        <w:rPr>
          <w:rFonts w:ascii="Arial" w:hAnsi="Arial" w:cs="Arial"/>
          <w:lang w:val="es-CO"/>
        </w:rPr>
      </w:pPr>
    </w:p>
    <w:p w14:paraId="2D1DFBE9" w14:textId="77777777" w:rsidR="00B2442D" w:rsidRDefault="008A645F">
      <w:pPr>
        <w:spacing w:after="240"/>
        <w:jc w:val="both"/>
        <w:rPr>
          <w:rFonts w:ascii="Arial" w:hAnsi="Arial" w:cs="Arial"/>
          <w:b/>
          <w:lang w:val="es-CO"/>
        </w:rPr>
      </w:pPr>
      <w:r>
        <w:rPr>
          <w:rFonts w:ascii="Arial" w:hAnsi="Arial" w:cs="Arial"/>
          <w:b/>
          <w:lang w:val="es-CO"/>
        </w:rPr>
        <w:t>Artículo 1.5.3.1</w:t>
      </w:r>
      <w:r>
        <w:rPr>
          <w:rFonts w:ascii="Arial" w:hAnsi="Arial" w:cs="Arial"/>
          <w:lang w:val="es-CO"/>
        </w:rPr>
        <w:t xml:space="preserve"> </w:t>
      </w:r>
      <w:r>
        <w:rPr>
          <w:rFonts w:ascii="Arial" w:hAnsi="Arial" w:cs="Arial"/>
          <w:b/>
          <w:i/>
          <w:lang w:val="es-CO"/>
        </w:rPr>
        <w:t xml:space="preserve">Condiciones y efectos del impuesto complementario de </w:t>
      </w:r>
      <w:r>
        <w:rPr>
          <w:rFonts w:ascii="Arial" w:hAnsi="Arial" w:cs="Arial"/>
          <w:b/>
          <w:i/>
          <w:lang w:val="es-CO"/>
        </w:rPr>
        <w:t>Normalización tributaria.</w:t>
      </w:r>
      <w:r>
        <w:rPr>
          <w:rFonts w:ascii="Arial" w:hAnsi="Arial" w:cs="Arial"/>
          <w:b/>
          <w:lang w:val="es-CO"/>
        </w:rPr>
        <w:t xml:space="preserve"> </w:t>
      </w:r>
      <w:r>
        <w:rPr>
          <w:rFonts w:ascii="Arial" w:hAnsi="Arial" w:cs="Arial"/>
          <w:lang w:val="es-CO"/>
        </w:rPr>
        <w:t>Los activos omitidos o pasivos inexistentes declarados en el Impuesto Complementario de Normalización Tributaria por los años 2015, 2016 y 2017, no generarán incremento patrimonial, ni renta líquida gravable en el año que se decla</w:t>
      </w:r>
      <w:r>
        <w:rPr>
          <w:rFonts w:ascii="Arial" w:hAnsi="Arial" w:cs="Arial"/>
          <w:lang w:val="es-CO"/>
        </w:rPr>
        <w:t>ren ni en años anteriores respecto de las Declaraciones del Impuesto sobre la Renta y del Impuesto sobre la Renta para la Equidad (CREE).</w:t>
      </w:r>
    </w:p>
    <w:p w14:paraId="7255EF36" w14:textId="77777777" w:rsidR="00B2442D" w:rsidRDefault="008A645F">
      <w:pPr>
        <w:spacing w:after="240"/>
        <w:jc w:val="both"/>
        <w:rPr>
          <w:rFonts w:ascii="Arial" w:hAnsi="Arial" w:cs="Arial"/>
          <w:lang w:val="es-CO"/>
        </w:rPr>
      </w:pPr>
      <w:r>
        <w:rPr>
          <w:rFonts w:ascii="Arial" w:hAnsi="Arial" w:cs="Arial"/>
          <w:b/>
          <w:lang w:val="es-CO"/>
        </w:rPr>
        <w:t>Parágrafo.</w:t>
      </w:r>
      <w:r>
        <w:rPr>
          <w:rFonts w:ascii="Arial" w:hAnsi="Arial" w:cs="Arial"/>
          <w:lang w:val="es-CO"/>
        </w:rPr>
        <w:t xml:space="preserve"> Los contribuyentes del impuesto a la riqueza y los declarantes voluntarios de dicho impuesto a los cuales l</w:t>
      </w:r>
      <w:r>
        <w:rPr>
          <w:rFonts w:ascii="Arial" w:hAnsi="Arial" w:cs="Arial"/>
          <w:lang w:val="es-CO"/>
        </w:rPr>
        <w:t>a UNIDAD ADMINISTRATIVA ESPECIAL Dirección de Impuestos y Aduanas Nacionales- DIAN les adelante actuaciones administrativas referentes al régimen previsto en el artículo 239-1 del Estatuto Tributario, no podrán declarar el Impuesto Complementario de Normal</w:t>
      </w:r>
      <w:r>
        <w:rPr>
          <w:rFonts w:ascii="Arial" w:hAnsi="Arial" w:cs="Arial"/>
          <w:lang w:val="es-CO"/>
        </w:rPr>
        <w:t>ización Tributaria, respecto de los activos omitidos o pasivos inexistentes objeto de la actuación administrativa.</w:t>
      </w:r>
    </w:p>
    <w:p w14:paraId="65C6E097" w14:textId="77777777" w:rsidR="00B2442D" w:rsidRDefault="008A645F">
      <w:pPr>
        <w:spacing w:after="240"/>
        <w:jc w:val="both"/>
        <w:rPr>
          <w:rFonts w:ascii="Arial" w:hAnsi="Arial" w:cs="Arial"/>
          <w:i/>
          <w:lang w:val="es-CO"/>
        </w:rPr>
      </w:pPr>
      <w:r>
        <w:rPr>
          <w:rFonts w:ascii="Arial" w:hAnsi="Arial" w:cs="Arial"/>
          <w:i/>
          <w:lang w:val="es-CO"/>
        </w:rPr>
        <w:t>(Art. 15, Decreto 1123 de 2015)</w:t>
      </w:r>
    </w:p>
    <w:p w14:paraId="19A2EDBB" w14:textId="77777777" w:rsidR="00B2442D" w:rsidRDefault="008A645F">
      <w:pPr>
        <w:pStyle w:val="Ttulo2"/>
      </w:pPr>
      <w:bookmarkStart w:id="40" w:name="_Toc479171195"/>
      <w:r>
        <w:t>PARTE 6</w:t>
      </w:r>
      <w:bookmarkEnd w:id="40"/>
    </w:p>
    <w:p w14:paraId="1A86CF7D" w14:textId="77777777" w:rsidR="00B2442D" w:rsidRDefault="008A645F">
      <w:pPr>
        <w:pStyle w:val="Ttulo2"/>
      </w:pPr>
      <w:bookmarkStart w:id="41" w:name="_Toc479171196"/>
      <w:r>
        <w:t>Procedimiento Tributario, procedimiento administrativo de cobro coactivo y régimen sancionatorio</w:t>
      </w:r>
      <w:bookmarkEnd w:id="41"/>
    </w:p>
    <w:p w14:paraId="40D2BCDC" w14:textId="77777777" w:rsidR="00B2442D" w:rsidRDefault="00B2442D">
      <w:pPr>
        <w:rPr>
          <w:rFonts w:ascii="Arial" w:hAnsi="Arial" w:cs="Arial"/>
          <w:lang w:val="es-CO"/>
        </w:rPr>
      </w:pPr>
    </w:p>
    <w:p w14:paraId="6FA42494" w14:textId="77777777" w:rsidR="00B2442D" w:rsidRDefault="008A645F">
      <w:pPr>
        <w:pStyle w:val="Ttulo3"/>
      </w:pPr>
      <w:bookmarkStart w:id="42" w:name="_Toc479171197"/>
      <w:r>
        <w:t>TÍT</w:t>
      </w:r>
      <w:r>
        <w:t>ULO 1</w:t>
      </w:r>
      <w:bookmarkEnd w:id="42"/>
    </w:p>
    <w:p w14:paraId="071C27BF" w14:textId="77777777" w:rsidR="00B2442D" w:rsidRDefault="008A645F">
      <w:pPr>
        <w:pStyle w:val="Ttulo3"/>
      </w:pPr>
      <w:bookmarkStart w:id="43" w:name="_Toc479171198"/>
      <w:r>
        <w:t>Procedimiento tributario</w:t>
      </w:r>
      <w:bookmarkEnd w:id="43"/>
    </w:p>
    <w:p w14:paraId="5E2D861A" w14:textId="77777777" w:rsidR="00B2442D" w:rsidRDefault="00B2442D">
      <w:pPr>
        <w:rPr>
          <w:rFonts w:ascii="Arial" w:hAnsi="Arial" w:cs="Arial"/>
          <w:lang w:val="es-CO"/>
        </w:rPr>
      </w:pPr>
    </w:p>
    <w:p w14:paraId="137E8ABC" w14:textId="77777777" w:rsidR="00B2442D" w:rsidRDefault="008A645F">
      <w:pPr>
        <w:pStyle w:val="Ttulo4"/>
      </w:pPr>
      <w:r>
        <w:t>CAPÍTULO 1</w:t>
      </w:r>
    </w:p>
    <w:p w14:paraId="789D085D" w14:textId="77777777" w:rsidR="00B2442D" w:rsidRDefault="008A645F">
      <w:pPr>
        <w:pStyle w:val="Ttulo4"/>
      </w:pPr>
      <w:r>
        <w:t>Deberes y obligaciones formales</w:t>
      </w:r>
    </w:p>
    <w:p w14:paraId="3B56CF39" w14:textId="77777777" w:rsidR="00B2442D" w:rsidRDefault="00B2442D">
      <w:pPr>
        <w:rPr>
          <w:rFonts w:ascii="Arial" w:hAnsi="Arial" w:cs="Arial"/>
        </w:rPr>
      </w:pPr>
    </w:p>
    <w:p w14:paraId="0C5885DE"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Deberes formales.</w:t>
      </w:r>
      <w:r>
        <w:rPr>
          <w:rFonts w:ascii="Arial" w:hAnsi="Arial" w:cs="Arial"/>
          <w:lang w:val="es-CO"/>
        </w:rPr>
        <w:t xml:space="preserve"> Los contribuyentes o responsables directos deberán cumplir los deberes formales señalados en la Ley o en el reglamento, salvo en los siguientes casos, en los cual</w:t>
      </w:r>
      <w:r>
        <w:rPr>
          <w:rFonts w:ascii="Arial" w:hAnsi="Arial" w:cs="Arial"/>
          <w:lang w:val="es-CO"/>
        </w:rPr>
        <w:t xml:space="preserve">es la obligación es del representante: </w:t>
      </w:r>
    </w:p>
    <w:p w14:paraId="3B14460E" w14:textId="77777777" w:rsidR="00B2442D" w:rsidRDefault="008A645F">
      <w:pPr>
        <w:jc w:val="both"/>
        <w:rPr>
          <w:rFonts w:ascii="Arial" w:hAnsi="Arial" w:cs="Arial"/>
          <w:lang w:val="es-CO"/>
        </w:rPr>
      </w:pPr>
      <w:r>
        <w:rPr>
          <w:rFonts w:ascii="Arial" w:hAnsi="Arial" w:cs="Arial"/>
          <w:lang w:val="es-CO"/>
        </w:rPr>
        <w:t xml:space="preserve"> </w:t>
      </w:r>
    </w:p>
    <w:p w14:paraId="13D0479A" w14:textId="77777777" w:rsidR="00B2442D" w:rsidRDefault="008A645F">
      <w:pPr>
        <w:jc w:val="both"/>
        <w:rPr>
          <w:rFonts w:ascii="Arial" w:hAnsi="Arial" w:cs="Arial"/>
          <w:lang w:val="es-CO"/>
        </w:rPr>
      </w:pPr>
      <w:r>
        <w:rPr>
          <w:rFonts w:ascii="Arial" w:hAnsi="Arial" w:cs="Arial"/>
          <w:lang w:val="es-CO"/>
        </w:rPr>
        <w:t xml:space="preserve">a) En el del impúber, cuando el impuesto deba liquidárseles directamente. </w:t>
      </w:r>
    </w:p>
    <w:p w14:paraId="3857A17C" w14:textId="77777777" w:rsidR="00B2442D" w:rsidRDefault="008A645F">
      <w:pPr>
        <w:jc w:val="both"/>
        <w:rPr>
          <w:rFonts w:ascii="Arial" w:hAnsi="Arial" w:cs="Arial"/>
          <w:lang w:val="es-CO"/>
        </w:rPr>
      </w:pPr>
      <w:r>
        <w:rPr>
          <w:rFonts w:ascii="Arial" w:hAnsi="Arial" w:cs="Arial"/>
          <w:lang w:val="es-CO"/>
        </w:rPr>
        <w:t xml:space="preserve">b) En el de los demás incapaces. </w:t>
      </w:r>
    </w:p>
    <w:p w14:paraId="14DAD0EA" w14:textId="77777777" w:rsidR="00B2442D" w:rsidRDefault="008A645F">
      <w:pPr>
        <w:jc w:val="both"/>
        <w:rPr>
          <w:rFonts w:ascii="Arial" w:hAnsi="Arial" w:cs="Arial"/>
          <w:lang w:val="es-CO"/>
        </w:rPr>
      </w:pPr>
      <w:r>
        <w:rPr>
          <w:rFonts w:ascii="Arial" w:hAnsi="Arial" w:cs="Arial"/>
          <w:lang w:val="es-CO"/>
        </w:rPr>
        <w:t xml:space="preserve">c) En el de las sucesiones. </w:t>
      </w:r>
    </w:p>
    <w:p w14:paraId="298D63B2" w14:textId="77777777" w:rsidR="00B2442D" w:rsidRDefault="008A645F">
      <w:pPr>
        <w:jc w:val="both"/>
        <w:rPr>
          <w:rFonts w:ascii="Arial" w:hAnsi="Arial" w:cs="Arial"/>
          <w:lang w:val="es-CO"/>
        </w:rPr>
      </w:pPr>
      <w:r>
        <w:rPr>
          <w:rFonts w:ascii="Arial" w:hAnsi="Arial" w:cs="Arial"/>
          <w:lang w:val="es-CO"/>
        </w:rPr>
        <w:t xml:space="preserve">d) En el de las donaciones o asignaciones modales. </w:t>
      </w:r>
    </w:p>
    <w:p w14:paraId="30367078" w14:textId="77777777" w:rsidR="00B2442D" w:rsidRDefault="008A645F">
      <w:pPr>
        <w:jc w:val="both"/>
        <w:rPr>
          <w:rFonts w:ascii="Arial" w:hAnsi="Arial" w:cs="Arial"/>
          <w:lang w:val="es-CO"/>
        </w:rPr>
      </w:pPr>
      <w:r>
        <w:rPr>
          <w:rFonts w:ascii="Arial" w:hAnsi="Arial" w:cs="Arial"/>
          <w:lang w:val="es-CO"/>
        </w:rPr>
        <w:t xml:space="preserve">e) En el de las sociedades en liquidación. </w:t>
      </w:r>
    </w:p>
    <w:p w14:paraId="3385660A" w14:textId="77777777" w:rsidR="00B2442D" w:rsidRDefault="008A645F">
      <w:pPr>
        <w:jc w:val="both"/>
        <w:rPr>
          <w:rFonts w:ascii="Arial" w:hAnsi="Arial" w:cs="Arial"/>
          <w:lang w:val="es-CO"/>
        </w:rPr>
      </w:pPr>
      <w:r>
        <w:rPr>
          <w:rFonts w:ascii="Arial" w:hAnsi="Arial" w:cs="Arial"/>
          <w:lang w:val="es-CO"/>
        </w:rPr>
        <w:t>f) En el de las personas declaradas en quiebra (hoy apertura del trámite de liquidación obligatoria) o concurso de acreedores.</w:t>
      </w:r>
    </w:p>
    <w:p w14:paraId="1FA85B30" w14:textId="77777777" w:rsidR="00B2442D" w:rsidRDefault="00B2442D">
      <w:pPr>
        <w:jc w:val="both"/>
        <w:rPr>
          <w:rFonts w:ascii="Arial" w:hAnsi="Arial" w:cs="Arial"/>
          <w:i/>
          <w:lang w:val="es-CO"/>
        </w:rPr>
      </w:pPr>
    </w:p>
    <w:p w14:paraId="18BEF3D7" w14:textId="77777777" w:rsidR="00B2442D" w:rsidRDefault="008A645F">
      <w:pPr>
        <w:jc w:val="both"/>
        <w:rPr>
          <w:rFonts w:ascii="Arial" w:hAnsi="Arial" w:cs="Arial"/>
          <w:i/>
          <w:lang w:val="es-CO"/>
        </w:rPr>
      </w:pPr>
      <w:r>
        <w:rPr>
          <w:rFonts w:ascii="Arial" w:hAnsi="Arial" w:cs="Arial"/>
          <w:i/>
          <w:lang w:val="es-CO"/>
        </w:rPr>
        <w:t>(Art. 3, Decreto 825 de 1978)</w:t>
      </w:r>
    </w:p>
    <w:p w14:paraId="709D49CE" w14:textId="77777777" w:rsidR="00B2442D" w:rsidRDefault="00B2442D">
      <w:pPr>
        <w:jc w:val="both"/>
        <w:rPr>
          <w:rFonts w:ascii="Arial" w:hAnsi="Arial" w:cs="Arial"/>
          <w:b/>
          <w:lang w:val="es-CO"/>
        </w:rPr>
      </w:pPr>
    </w:p>
    <w:p w14:paraId="5D2567B5"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D</w:t>
      </w:r>
      <w:r>
        <w:rPr>
          <w:rFonts w:ascii="Arial" w:hAnsi="Arial" w:cs="Arial"/>
          <w:b/>
          <w:i/>
          <w:lang w:val="es-CO"/>
        </w:rPr>
        <w:t>eberes formales.</w:t>
      </w:r>
      <w:r>
        <w:rPr>
          <w:rFonts w:ascii="Arial" w:hAnsi="Arial" w:cs="Arial"/>
          <w:lang w:val="es-CO"/>
        </w:rPr>
        <w:t xml:space="preserve"> Los contribuyentes menores adultos pueden cumplir por sí los deberes formales tributarios.</w:t>
      </w:r>
    </w:p>
    <w:p w14:paraId="7F087EF7" w14:textId="77777777" w:rsidR="00B2442D" w:rsidRDefault="00B2442D">
      <w:pPr>
        <w:jc w:val="both"/>
        <w:rPr>
          <w:rFonts w:ascii="Arial" w:hAnsi="Arial" w:cs="Arial"/>
          <w:i/>
          <w:lang w:val="es-CO"/>
        </w:rPr>
      </w:pPr>
    </w:p>
    <w:p w14:paraId="03FBBF5F" w14:textId="77777777" w:rsidR="00B2442D" w:rsidRDefault="008A645F">
      <w:pPr>
        <w:jc w:val="both"/>
        <w:rPr>
          <w:rFonts w:ascii="Arial" w:hAnsi="Arial" w:cs="Arial"/>
          <w:i/>
          <w:lang w:val="es-CO"/>
        </w:rPr>
      </w:pPr>
      <w:r>
        <w:rPr>
          <w:rFonts w:ascii="Arial" w:hAnsi="Arial" w:cs="Arial"/>
          <w:i/>
          <w:lang w:val="es-CO"/>
        </w:rPr>
        <w:t>(Art. 4, Decreto 825 de 1978)</w:t>
      </w:r>
    </w:p>
    <w:p w14:paraId="6BE959E1" w14:textId="77777777" w:rsidR="00B2442D" w:rsidRDefault="00B2442D">
      <w:pPr>
        <w:jc w:val="both"/>
        <w:rPr>
          <w:rFonts w:ascii="Arial" w:hAnsi="Arial" w:cs="Arial"/>
          <w:lang w:val="es-CO"/>
        </w:rPr>
      </w:pPr>
    </w:p>
    <w:p w14:paraId="7229F9AE"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 xml:space="preserve">Deberes formales. </w:t>
      </w:r>
      <w:r>
        <w:rPr>
          <w:rFonts w:ascii="Arial" w:hAnsi="Arial" w:cs="Arial"/>
          <w:lang w:val="es-CO"/>
        </w:rPr>
        <w:t xml:space="preserve">Los enumerados a continuación cumplirán los deberes formales tributarios, así: </w:t>
      </w:r>
    </w:p>
    <w:p w14:paraId="4F5C8C9C" w14:textId="77777777" w:rsidR="00B2442D" w:rsidRDefault="008A645F">
      <w:pPr>
        <w:jc w:val="both"/>
        <w:rPr>
          <w:rFonts w:ascii="Arial" w:hAnsi="Arial" w:cs="Arial"/>
          <w:lang w:val="es-CO"/>
        </w:rPr>
      </w:pPr>
      <w:r>
        <w:rPr>
          <w:rFonts w:ascii="Arial" w:hAnsi="Arial" w:cs="Arial"/>
          <w:lang w:val="es-CO"/>
        </w:rPr>
        <w:t xml:space="preserve"> </w:t>
      </w:r>
    </w:p>
    <w:p w14:paraId="2C8B1504" w14:textId="77777777" w:rsidR="00B2442D" w:rsidRDefault="008A645F">
      <w:pPr>
        <w:jc w:val="both"/>
        <w:rPr>
          <w:rFonts w:ascii="Arial" w:hAnsi="Arial" w:cs="Arial"/>
          <w:lang w:val="es-CO"/>
        </w:rPr>
      </w:pPr>
      <w:r>
        <w:rPr>
          <w:rFonts w:ascii="Arial" w:hAnsi="Arial" w:cs="Arial"/>
          <w:lang w:val="es-CO"/>
        </w:rPr>
        <w:t>Las comunidades organizadas por medio de administradores privados o judiciales a falta de estos por los comuneros que hayan tomado parte en la administración de los bienes co</w:t>
      </w:r>
      <w:r>
        <w:rPr>
          <w:rFonts w:ascii="Arial" w:hAnsi="Arial" w:cs="Arial"/>
          <w:lang w:val="es-CO"/>
        </w:rPr>
        <w:t>munes.</w:t>
      </w:r>
    </w:p>
    <w:p w14:paraId="6EB1F3D8" w14:textId="77777777" w:rsidR="00B2442D" w:rsidRDefault="00B2442D">
      <w:pPr>
        <w:jc w:val="both"/>
        <w:rPr>
          <w:rFonts w:ascii="Arial" w:hAnsi="Arial" w:cs="Arial"/>
          <w:i/>
          <w:lang w:val="es-CO"/>
        </w:rPr>
      </w:pPr>
    </w:p>
    <w:p w14:paraId="3BE4AAEB" w14:textId="77777777" w:rsidR="00B2442D" w:rsidRDefault="008A645F">
      <w:pPr>
        <w:jc w:val="both"/>
        <w:rPr>
          <w:rFonts w:ascii="Arial" w:hAnsi="Arial" w:cs="Arial"/>
          <w:i/>
          <w:lang w:val="es-CO"/>
        </w:rPr>
      </w:pPr>
      <w:r>
        <w:rPr>
          <w:rFonts w:ascii="Arial" w:hAnsi="Arial" w:cs="Arial"/>
          <w:i/>
          <w:lang w:val="es-CO"/>
        </w:rPr>
        <w:t>(Art. 5, Decreto 825 de 1978. Literal a) tiene decaimiento por evolución normativa (Art. 172 de la Ley 223 de 1995))</w:t>
      </w:r>
    </w:p>
    <w:p w14:paraId="4E7DC02E" w14:textId="77777777" w:rsidR="00B2442D" w:rsidRDefault="00B2442D">
      <w:pPr>
        <w:jc w:val="both"/>
        <w:rPr>
          <w:rFonts w:ascii="Arial" w:hAnsi="Arial" w:cs="Arial"/>
          <w:lang w:val="es-CO"/>
        </w:rPr>
      </w:pPr>
    </w:p>
    <w:p w14:paraId="49427123"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Deberes formales.</w:t>
      </w:r>
      <w:r>
        <w:rPr>
          <w:rFonts w:ascii="Arial" w:hAnsi="Arial" w:cs="Arial"/>
          <w:lang w:val="es-CO"/>
        </w:rPr>
        <w:t xml:space="preserve"> Deben cumplir los deberes formales de sus representados, sin perjuicio de lo dispuesto en otras normas, los mand</w:t>
      </w:r>
      <w:r>
        <w:rPr>
          <w:rFonts w:ascii="Arial" w:hAnsi="Arial" w:cs="Arial"/>
          <w:lang w:val="es-CO"/>
        </w:rPr>
        <w:t>atarios o apoderados generales, los apoderados especiales para el correspondiente deber formal y los agentes exclusivos de negocios en Colombia de residentes en el exterior.</w:t>
      </w:r>
    </w:p>
    <w:p w14:paraId="14FB300C" w14:textId="77777777" w:rsidR="00B2442D" w:rsidRDefault="00B2442D">
      <w:pPr>
        <w:jc w:val="both"/>
        <w:rPr>
          <w:rFonts w:ascii="Arial" w:hAnsi="Arial" w:cs="Arial"/>
          <w:i/>
          <w:lang w:val="es-CO"/>
        </w:rPr>
      </w:pPr>
    </w:p>
    <w:p w14:paraId="036EF828" w14:textId="77777777" w:rsidR="00B2442D" w:rsidRDefault="008A645F">
      <w:pPr>
        <w:jc w:val="both"/>
        <w:rPr>
          <w:rFonts w:ascii="Arial" w:hAnsi="Arial" w:cs="Arial"/>
          <w:i/>
          <w:lang w:val="es-CO"/>
        </w:rPr>
      </w:pPr>
      <w:r>
        <w:rPr>
          <w:rFonts w:ascii="Arial" w:hAnsi="Arial" w:cs="Arial"/>
          <w:i/>
          <w:lang w:val="es-CO"/>
        </w:rPr>
        <w:t>(Art. 6, Decreto 825 de 1978)</w:t>
      </w:r>
    </w:p>
    <w:p w14:paraId="5332C80F" w14:textId="77777777" w:rsidR="00B2442D" w:rsidRDefault="00B2442D">
      <w:pPr>
        <w:jc w:val="both"/>
        <w:rPr>
          <w:rFonts w:ascii="Arial" w:hAnsi="Arial" w:cs="Arial"/>
          <w:lang w:val="es-CO"/>
        </w:rPr>
      </w:pPr>
    </w:p>
    <w:p w14:paraId="5E31C3C2"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Deberes formales.</w:t>
      </w:r>
      <w:r>
        <w:rPr>
          <w:rFonts w:ascii="Arial" w:hAnsi="Arial" w:cs="Arial"/>
          <w:lang w:val="es-CO"/>
        </w:rPr>
        <w:t xml:space="preserve"> Las personas no obligadas al pag</w:t>
      </w:r>
      <w:r>
        <w:rPr>
          <w:rFonts w:ascii="Arial" w:hAnsi="Arial" w:cs="Arial"/>
          <w:lang w:val="es-CO"/>
        </w:rPr>
        <w:t>o de la obligación sustancial, que deben cumplir obligaciones formales lo harán personalmente o a través de sus representantes legales o convencionales, según corresponda.</w:t>
      </w:r>
    </w:p>
    <w:p w14:paraId="362FE14A" w14:textId="77777777" w:rsidR="00B2442D" w:rsidRDefault="00B2442D">
      <w:pPr>
        <w:jc w:val="both"/>
        <w:rPr>
          <w:rFonts w:ascii="Arial" w:hAnsi="Arial" w:cs="Arial"/>
          <w:i/>
          <w:lang w:val="es-CO"/>
        </w:rPr>
      </w:pPr>
    </w:p>
    <w:p w14:paraId="65E2985E" w14:textId="77777777" w:rsidR="00B2442D" w:rsidRDefault="008A645F">
      <w:pPr>
        <w:jc w:val="both"/>
        <w:rPr>
          <w:rFonts w:ascii="Arial" w:hAnsi="Arial" w:cs="Arial"/>
          <w:i/>
          <w:lang w:val="es-CO"/>
        </w:rPr>
      </w:pPr>
      <w:r>
        <w:rPr>
          <w:rFonts w:ascii="Arial" w:hAnsi="Arial" w:cs="Arial"/>
          <w:i/>
          <w:lang w:val="es-CO"/>
        </w:rPr>
        <w:t>(Art. 7, Decreto 825 de 1978)</w:t>
      </w:r>
    </w:p>
    <w:p w14:paraId="40FC28BD" w14:textId="77777777" w:rsidR="00B2442D" w:rsidRDefault="00B2442D">
      <w:pPr>
        <w:jc w:val="both"/>
        <w:rPr>
          <w:rFonts w:ascii="Arial" w:hAnsi="Arial" w:cs="Arial"/>
          <w:lang w:val="es-CO"/>
        </w:rPr>
      </w:pPr>
    </w:p>
    <w:p w14:paraId="24B3A54A"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Deberes formales.</w:t>
      </w:r>
      <w:r>
        <w:rPr>
          <w:rFonts w:ascii="Arial" w:hAnsi="Arial" w:cs="Arial"/>
          <w:lang w:val="es-CO"/>
        </w:rPr>
        <w:t xml:space="preserve"> Los obligados  al cumplimiento de </w:t>
      </w:r>
      <w:r>
        <w:rPr>
          <w:rFonts w:ascii="Arial" w:hAnsi="Arial" w:cs="Arial"/>
          <w:lang w:val="es-CO"/>
        </w:rPr>
        <w:t>deberes formales de terceros responden subsidiariamente cuando omitan cumplirlas, por las consecuencias que se deriven de su omisión.</w:t>
      </w:r>
    </w:p>
    <w:p w14:paraId="1AD8DE6D" w14:textId="77777777" w:rsidR="00B2442D" w:rsidRDefault="00B2442D">
      <w:pPr>
        <w:jc w:val="both"/>
        <w:rPr>
          <w:rFonts w:ascii="Arial" w:hAnsi="Arial" w:cs="Arial"/>
          <w:i/>
          <w:lang w:val="es-CO"/>
        </w:rPr>
      </w:pPr>
    </w:p>
    <w:p w14:paraId="0CD9CD93" w14:textId="77777777" w:rsidR="00B2442D" w:rsidRDefault="008A645F">
      <w:pPr>
        <w:jc w:val="both"/>
        <w:rPr>
          <w:rFonts w:ascii="Arial" w:hAnsi="Arial" w:cs="Arial"/>
          <w:i/>
          <w:lang w:val="es-CO"/>
        </w:rPr>
      </w:pPr>
      <w:r>
        <w:rPr>
          <w:rFonts w:ascii="Arial" w:hAnsi="Arial" w:cs="Arial"/>
          <w:i/>
          <w:lang w:val="es-CO"/>
        </w:rPr>
        <w:t>(Art. 8, Decreto 825 de 1978)</w:t>
      </w:r>
    </w:p>
    <w:p w14:paraId="1AB028F1" w14:textId="77777777" w:rsidR="00B2442D" w:rsidRDefault="00B2442D">
      <w:pPr>
        <w:jc w:val="both"/>
        <w:rPr>
          <w:rFonts w:ascii="Arial" w:hAnsi="Arial" w:cs="Arial"/>
          <w:b/>
          <w:lang w:val="es-CO"/>
        </w:rPr>
      </w:pPr>
    </w:p>
    <w:p w14:paraId="731F634A"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Información que debe suministrar el Banco de la República por los pagos efectuados en la c</w:t>
      </w:r>
      <w:r>
        <w:rPr>
          <w:rFonts w:ascii="Arial" w:hAnsi="Arial" w:cs="Arial"/>
          <w:b/>
          <w:i/>
          <w:lang w:val="es-CO"/>
        </w:rPr>
        <w:t>ompra de oro de producción nacional</w:t>
      </w:r>
      <w:r>
        <w:rPr>
          <w:rFonts w:ascii="Arial" w:hAnsi="Arial" w:cs="Arial"/>
          <w:lang w:val="es-CO"/>
        </w:rPr>
        <w:t>. El Banco de la República enviará bimestralmente a la Dirección de Gestión de Fiscalización de la Unidad Administrativa Especial Dirección de Impuestos y Aduanas Nacionales- DIAN, y de acuerdo con los requerimientos técn</w:t>
      </w:r>
      <w:r>
        <w:rPr>
          <w:rFonts w:ascii="Arial" w:hAnsi="Arial" w:cs="Arial"/>
          <w:lang w:val="es-CO"/>
        </w:rPr>
        <w:t>icos que se señalen mediante resolución, una relación que identifique detalladamente cada una de las operaciones efectuadas de compra de oro de producción nacional, discriminando:</w:t>
      </w:r>
    </w:p>
    <w:p w14:paraId="16310180" w14:textId="77777777" w:rsidR="00B2442D" w:rsidRDefault="00B2442D">
      <w:pPr>
        <w:jc w:val="both"/>
        <w:rPr>
          <w:rFonts w:ascii="Arial" w:hAnsi="Arial" w:cs="Arial"/>
          <w:lang w:val="es-CO"/>
        </w:rPr>
      </w:pPr>
    </w:p>
    <w:p w14:paraId="71134977"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Apellidos y nombre o razón social y Número de Identificación Tributaria,</w:t>
      </w:r>
      <w:r>
        <w:rPr>
          <w:rFonts w:ascii="Arial" w:hAnsi="Arial" w:cs="Arial"/>
          <w:lang w:val="es-CO"/>
        </w:rPr>
        <w:t xml:space="preserve"> NIT del beneficiario del pago.</w:t>
      </w:r>
    </w:p>
    <w:p w14:paraId="0BF63C64" w14:textId="77777777" w:rsidR="00B2442D" w:rsidRDefault="00B2442D">
      <w:pPr>
        <w:ind w:left="284" w:hanging="284"/>
        <w:jc w:val="both"/>
        <w:rPr>
          <w:rFonts w:ascii="Arial" w:hAnsi="Arial" w:cs="Arial"/>
          <w:lang w:val="es-CO"/>
        </w:rPr>
      </w:pPr>
    </w:p>
    <w:p w14:paraId="00777A03"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Descripción específica o genérica del oro de producción nacional comprado, y</w:t>
      </w:r>
    </w:p>
    <w:p w14:paraId="0290629E" w14:textId="77777777" w:rsidR="00B2442D" w:rsidRDefault="00B2442D">
      <w:pPr>
        <w:ind w:left="284" w:hanging="284"/>
        <w:jc w:val="both"/>
        <w:rPr>
          <w:rFonts w:ascii="Arial" w:hAnsi="Arial" w:cs="Arial"/>
          <w:lang w:val="es-CO"/>
        </w:rPr>
      </w:pPr>
    </w:p>
    <w:p w14:paraId="7823EA3D"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El valor de la operación.</w:t>
      </w:r>
    </w:p>
    <w:p w14:paraId="14DE1D42" w14:textId="77777777" w:rsidR="00B2442D" w:rsidRDefault="00B2442D">
      <w:pPr>
        <w:jc w:val="both"/>
        <w:rPr>
          <w:rFonts w:ascii="Arial" w:hAnsi="Arial" w:cs="Arial"/>
          <w:b/>
          <w:lang w:val="es-CO"/>
        </w:rPr>
      </w:pPr>
    </w:p>
    <w:p w14:paraId="28153848" w14:textId="77777777" w:rsidR="00B2442D" w:rsidRDefault="008A645F">
      <w:pPr>
        <w:jc w:val="both"/>
        <w:rPr>
          <w:rFonts w:ascii="Arial" w:hAnsi="Arial" w:cs="Arial"/>
          <w:i/>
          <w:lang w:val="es-CO"/>
        </w:rPr>
      </w:pPr>
      <w:r>
        <w:rPr>
          <w:rFonts w:ascii="Arial" w:hAnsi="Arial" w:cs="Arial"/>
          <w:i/>
          <w:lang w:val="es-CO"/>
        </w:rPr>
        <w:t>(Art. 2, Decreto 3991 de 2010)</w:t>
      </w:r>
    </w:p>
    <w:p w14:paraId="511CEAB0" w14:textId="77777777" w:rsidR="00B2442D" w:rsidRDefault="00B2442D">
      <w:pPr>
        <w:rPr>
          <w:rFonts w:ascii="Arial" w:hAnsi="Arial" w:cs="Arial"/>
          <w:b/>
          <w:lang w:val="es-CO"/>
        </w:rPr>
      </w:pPr>
    </w:p>
    <w:p w14:paraId="5D64352E"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 xml:space="preserve">Deberes formales en los documentos de la empresa y de toda persona </w:t>
      </w:r>
      <w:r>
        <w:rPr>
          <w:rFonts w:ascii="Arial" w:hAnsi="Arial" w:cs="Arial"/>
          <w:b/>
          <w:i/>
          <w:lang w:val="es-CO"/>
        </w:rPr>
        <w:t>natural o entidades.</w:t>
      </w:r>
      <w:r>
        <w:rPr>
          <w:rFonts w:ascii="Arial" w:hAnsi="Arial" w:cs="Arial"/>
          <w:lang w:val="es-CO"/>
        </w:rPr>
        <w:t xml:space="preserve"> En los membretes de la correspondencia, facturas, recibos y demás documentos de toda empresa y de toda persona natural o entidad de cualquier naturaleza que reciba pagos en razón de su objeto, actividad o profesión, deberá imprimirse o</w:t>
      </w:r>
      <w:r>
        <w:rPr>
          <w:rFonts w:ascii="Arial" w:hAnsi="Arial" w:cs="Arial"/>
          <w:lang w:val="es-CO"/>
        </w:rPr>
        <w:t xml:space="preserve"> indicarse, junto con el nombre del empresario o profesional, el correspondiente número de identificación tributaria. El incumplimiento de este deber hará presumir la omisión de pagos declarados por terceros, por parte del presunto beneficiario de los mism</w:t>
      </w:r>
      <w:r>
        <w:rPr>
          <w:rFonts w:ascii="Arial" w:hAnsi="Arial" w:cs="Arial"/>
          <w:lang w:val="es-CO"/>
        </w:rPr>
        <w:t>os.</w:t>
      </w:r>
    </w:p>
    <w:p w14:paraId="68591E58" w14:textId="77777777" w:rsidR="00B2442D" w:rsidRDefault="00B2442D">
      <w:pPr>
        <w:jc w:val="both"/>
        <w:rPr>
          <w:rFonts w:ascii="Arial" w:hAnsi="Arial" w:cs="Arial"/>
          <w:i/>
          <w:lang w:val="es-CO"/>
        </w:rPr>
      </w:pPr>
    </w:p>
    <w:p w14:paraId="3DEE00BE" w14:textId="77777777" w:rsidR="00B2442D" w:rsidRDefault="008A645F">
      <w:pPr>
        <w:jc w:val="both"/>
        <w:rPr>
          <w:rFonts w:ascii="Arial" w:hAnsi="Arial" w:cs="Arial"/>
          <w:i/>
          <w:lang w:val="es-CO"/>
        </w:rPr>
      </w:pPr>
      <w:r>
        <w:rPr>
          <w:rFonts w:ascii="Arial" w:hAnsi="Arial" w:cs="Arial"/>
          <w:i/>
          <w:lang w:val="es-CO"/>
        </w:rPr>
        <w:t>(Art. 11, Decreto 80 de 1984)</w:t>
      </w:r>
    </w:p>
    <w:p w14:paraId="6E9F4CA4" w14:textId="77777777" w:rsidR="00B2442D" w:rsidRDefault="00B2442D">
      <w:pPr>
        <w:jc w:val="both"/>
        <w:rPr>
          <w:rFonts w:ascii="Arial" w:hAnsi="Arial" w:cs="Arial"/>
          <w:lang w:val="es-CO"/>
        </w:rPr>
      </w:pPr>
    </w:p>
    <w:p w14:paraId="704C24B0"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Libro fiscal de "registro de operaciones diarias" de las Asociaciones de Hogares Comunitarios.</w:t>
      </w:r>
      <w:r>
        <w:rPr>
          <w:rFonts w:ascii="Arial" w:hAnsi="Arial" w:cs="Arial"/>
          <w:lang w:val="es-CO"/>
        </w:rPr>
        <w:t xml:space="preserve"> Para efectos fiscales las Asociaciones de Hogares Comunitarios, que ejecuten exclusivamente recursos asignados por el Institu</w:t>
      </w:r>
      <w:r>
        <w:rPr>
          <w:rFonts w:ascii="Arial" w:hAnsi="Arial" w:cs="Arial"/>
          <w:lang w:val="es-CO"/>
        </w:rPr>
        <w:t xml:space="preserve">to Colombiano de Bienestar Familiar -ICBF- y estén constituidas como entidades sin ánimo de lucro, deberán llevar un libro de "registro de operaciones diarias", en el que anotarán diariamente, en forma global o discriminada, las operaciones realizadas por </w:t>
      </w:r>
      <w:r>
        <w:rPr>
          <w:rFonts w:ascii="Arial" w:hAnsi="Arial" w:cs="Arial"/>
          <w:lang w:val="es-CO"/>
        </w:rPr>
        <w:t>concepto de ingresos, compras y pagos efectuados con dichos recursos.</w:t>
      </w:r>
    </w:p>
    <w:p w14:paraId="3428708B" w14:textId="77777777" w:rsidR="00B2442D" w:rsidRDefault="00B2442D">
      <w:pPr>
        <w:jc w:val="both"/>
        <w:rPr>
          <w:rFonts w:ascii="Arial" w:hAnsi="Arial" w:cs="Arial"/>
          <w:lang w:val="es-CO"/>
        </w:rPr>
      </w:pPr>
    </w:p>
    <w:p w14:paraId="0E726109" w14:textId="77777777" w:rsidR="00B2442D" w:rsidRDefault="008A645F">
      <w:pPr>
        <w:jc w:val="both"/>
        <w:rPr>
          <w:rFonts w:ascii="Arial" w:hAnsi="Arial" w:cs="Arial"/>
          <w:lang w:val="es-CO"/>
        </w:rPr>
      </w:pPr>
      <w:r>
        <w:rPr>
          <w:rFonts w:ascii="Arial" w:hAnsi="Arial" w:cs="Arial"/>
          <w:lang w:val="es-CO"/>
        </w:rPr>
        <w:t>El libro de "registro de operaciones diarias", deberá estar debidamente foliado, actualizado y a disposición de las autoridades tributarias. El cumplimiento de esta obligación por parte</w:t>
      </w:r>
      <w:r>
        <w:rPr>
          <w:rFonts w:ascii="Arial" w:hAnsi="Arial" w:cs="Arial"/>
          <w:lang w:val="es-CO"/>
        </w:rPr>
        <w:t xml:space="preserve"> de las Asociaciones de Hogares Comunitarios equivale a llevar libros de contabilidad.</w:t>
      </w:r>
    </w:p>
    <w:p w14:paraId="55015642" w14:textId="77777777" w:rsidR="00B2442D" w:rsidRDefault="00B2442D">
      <w:pPr>
        <w:jc w:val="both"/>
        <w:rPr>
          <w:rFonts w:ascii="Arial" w:hAnsi="Arial" w:cs="Arial"/>
          <w:lang w:val="es-CO"/>
        </w:rPr>
      </w:pPr>
    </w:p>
    <w:p w14:paraId="2F57007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relación con los pagos derivados de la ejecución de los recursos a que se refiere el inciso primero de este artículo, las Asociaciones de Hogares Comunitarios, no ostentan la calidad de agentes de retención en la fuente a que se refiere el artículo 368</w:t>
      </w:r>
      <w:r>
        <w:rPr>
          <w:rFonts w:ascii="Arial" w:hAnsi="Arial" w:cs="Arial"/>
          <w:lang w:val="es-CO"/>
        </w:rPr>
        <w:t xml:space="preserve"> del Estatuto Tributario.</w:t>
      </w:r>
    </w:p>
    <w:p w14:paraId="37B98A95" w14:textId="77777777" w:rsidR="00B2442D" w:rsidRDefault="00B2442D">
      <w:pPr>
        <w:jc w:val="both"/>
        <w:rPr>
          <w:rFonts w:ascii="Arial" w:hAnsi="Arial" w:cs="Arial"/>
          <w:lang w:val="es-CO"/>
        </w:rPr>
      </w:pPr>
    </w:p>
    <w:p w14:paraId="64063631" w14:textId="77777777" w:rsidR="00B2442D" w:rsidRDefault="008A645F">
      <w:pPr>
        <w:jc w:val="both"/>
        <w:rPr>
          <w:rFonts w:ascii="Arial" w:hAnsi="Arial" w:cs="Arial"/>
          <w:i/>
          <w:lang w:val="es-CO"/>
        </w:rPr>
      </w:pPr>
      <w:r>
        <w:rPr>
          <w:rFonts w:ascii="Arial" w:hAnsi="Arial" w:cs="Arial"/>
          <w:i/>
          <w:lang w:val="es-CO"/>
        </w:rPr>
        <w:t>(Art. 1 Decreto 2707 de 2008)</w:t>
      </w:r>
    </w:p>
    <w:p w14:paraId="5D59DB41" w14:textId="77777777" w:rsidR="00B2442D" w:rsidRDefault="00B2442D">
      <w:pPr>
        <w:jc w:val="both"/>
        <w:rPr>
          <w:rFonts w:ascii="Arial" w:hAnsi="Arial" w:cs="Arial"/>
          <w:lang w:val="es-CO"/>
        </w:rPr>
      </w:pPr>
    </w:p>
    <w:p w14:paraId="5B3D2434" w14:textId="77777777" w:rsidR="00B2442D" w:rsidRDefault="008A645F">
      <w:pPr>
        <w:pStyle w:val="Prrafodelista"/>
        <w:numPr>
          <w:ilvl w:val="0"/>
          <w:numId w:val="103"/>
        </w:numPr>
        <w:ind w:left="0" w:firstLine="0"/>
        <w:jc w:val="both"/>
        <w:rPr>
          <w:rFonts w:ascii="Arial" w:hAnsi="Arial" w:cs="Arial"/>
          <w:lang w:val="es-CO"/>
        </w:rPr>
      </w:pPr>
      <w:r>
        <w:rPr>
          <w:rFonts w:ascii="Arial" w:hAnsi="Arial" w:cs="Arial"/>
          <w:b/>
          <w:i/>
          <w:lang w:val="es-CO"/>
        </w:rPr>
        <w:t>Libros de contabilidad de las organizaciones sindicales.</w:t>
      </w:r>
      <w:r>
        <w:rPr>
          <w:rFonts w:ascii="Arial" w:hAnsi="Arial" w:cs="Arial"/>
          <w:lang w:val="es-CO"/>
        </w:rPr>
        <w:t xml:space="preserve"> Las entidades sometidas al control y vigilancia del Departamento Administrativo de la Economía Solidaria y las organizaciones sindicales vigi</w:t>
      </w:r>
      <w:r>
        <w:rPr>
          <w:rFonts w:ascii="Arial" w:hAnsi="Arial" w:cs="Arial"/>
          <w:lang w:val="es-CO"/>
        </w:rPr>
        <w:t>ladas por el Ministerio de Trabajo, no estarán obligadas a registrar los libros de contabilidad en oficinas de la Administración de Impuestos (hoy Direcciones Seccionales) y se regirán por las disposiciones especiales que, en cuanto al registro de libros y</w:t>
      </w:r>
      <w:r>
        <w:rPr>
          <w:rFonts w:ascii="Arial" w:hAnsi="Arial" w:cs="Arial"/>
          <w:lang w:val="es-CO"/>
        </w:rPr>
        <w:t xml:space="preserve"> exigencias contables, les sean aplicables.</w:t>
      </w:r>
    </w:p>
    <w:p w14:paraId="53A2C5B1" w14:textId="77777777" w:rsidR="00B2442D" w:rsidRDefault="00B2442D">
      <w:pPr>
        <w:jc w:val="both"/>
        <w:rPr>
          <w:rFonts w:ascii="Arial" w:hAnsi="Arial" w:cs="Arial"/>
          <w:i/>
          <w:lang w:val="es-CO"/>
        </w:rPr>
      </w:pPr>
    </w:p>
    <w:p w14:paraId="2686F93C" w14:textId="77777777" w:rsidR="00B2442D" w:rsidRDefault="008A645F">
      <w:pPr>
        <w:jc w:val="both"/>
        <w:rPr>
          <w:rFonts w:ascii="Arial" w:hAnsi="Arial" w:cs="Arial"/>
          <w:i/>
          <w:lang w:val="es-CO"/>
        </w:rPr>
      </w:pPr>
      <w:r>
        <w:rPr>
          <w:rFonts w:ascii="Arial" w:hAnsi="Arial" w:cs="Arial"/>
          <w:i/>
          <w:lang w:val="es-CO"/>
        </w:rPr>
        <w:t>(Art. 3, Decreto 2500 de 1986)</w:t>
      </w:r>
    </w:p>
    <w:p w14:paraId="231435C9" w14:textId="77777777" w:rsidR="00B2442D" w:rsidRDefault="00B2442D">
      <w:pPr>
        <w:jc w:val="both"/>
        <w:rPr>
          <w:rFonts w:ascii="Arial" w:hAnsi="Arial" w:cs="Arial"/>
          <w:i/>
          <w:lang w:val="es-CO"/>
        </w:rPr>
      </w:pPr>
    </w:p>
    <w:p w14:paraId="59602254" w14:textId="77777777" w:rsidR="00B2442D" w:rsidRDefault="008A645F">
      <w:pPr>
        <w:pStyle w:val="Ttulo4"/>
      </w:pPr>
      <w:r>
        <w:t>CAPÍTULO 2</w:t>
      </w:r>
    </w:p>
    <w:p w14:paraId="5811E733" w14:textId="77777777" w:rsidR="00B2442D" w:rsidRDefault="008A645F">
      <w:pPr>
        <w:pStyle w:val="Ttulo4"/>
      </w:pPr>
      <w:r>
        <w:t>Registro Único Tributario</w:t>
      </w:r>
    </w:p>
    <w:p w14:paraId="41DF84F1" w14:textId="77777777" w:rsidR="00B2442D" w:rsidRDefault="00B2442D">
      <w:pPr>
        <w:rPr>
          <w:rFonts w:ascii="Arial" w:hAnsi="Arial" w:cs="Arial"/>
        </w:rPr>
      </w:pPr>
    </w:p>
    <w:p w14:paraId="36FBDD3B"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Obligación de inscripción en el Registro Único Tributario</w:t>
      </w:r>
      <w:r>
        <w:rPr>
          <w:rFonts w:ascii="Arial" w:hAnsi="Arial" w:cs="Arial"/>
          <w:lang w:val="es-CO"/>
        </w:rPr>
        <w:t xml:space="preserve">. Las personas naturales sin residencia en Colombia y las sociedades y </w:t>
      </w:r>
      <w:r>
        <w:rPr>
          <w:rFonts w:ascii="Arial" w:hAnsi="Arial" w:cs="Arial"/>
          <w:lang w:val="es-CO"/>
        </w:rPr>
        <w:t>entidades extranjeras están obligadas a inscribir en el Registro Único Tributario (RUT) cada establecimiento permanente o sucursal que tengan en el territorio nacional.</w:t>
      </w:r>
    </w:p>
    <w:p w14:paraId="7762E571" w14:textId="77777777" w:rsidR="00B2442D" w:rsidRDefault="00B2442D">
      <w:pPr>
        <w:jc w:val="both"/>
        <w:rPr>
          <w:rFonts w:ascii="Arial" w:hAnsi="Arial" w:cs="Arial"/>
          <w:lang w:val="es-CO"/>
        </w:rPr>
      </w:pPr>
    </w:p>
    <w:p w14:paraId="2809050E" w14:textId="77777777" w:rsidR="00B2442D" w:rsidRDefault="008A645F">
      <w:pPr>
        <w:jc w:val="both"/>
        <w:rPr>
          <w:rFonts w:ascii="Arial" w:hAnsi="Arial" w:cs="Arial"/>
          <w:lang w:val="es-CO"/>
        </w:rPr>
      </w:pPr>
      <w:r>
        <w:rPr>
          <w:rFonts w:ascii="Arial" w:hAnsi="Arial" w:cs="Arial"/>
          <w:lang w:val="es-CO"/>
        </w:rPr>
        <w:t xml:space="preserve">De igual manera, las personas naturales sin residencia en Colombia y las sociedades y </w:t>
      </w:r>
      <w:r>
        <w:rPr>
          <w:rFonts w:ascii="Arial" w:hAnsi="Arial" w:cs="Arial"/>
          <w:lang w:val="es-CO"/>
        </w:rPr>
        <w:t>entidades extranjeras están obligadas a inscribirse en el Registro Único Tributario (RUT) para el cumplimento de sus obligaciones fiscales, incluida la de declarar por las rentas y ganancias ocasionales de fuente nacional percibidas directamente y no atrib</w:t>
      </w:r>
      <w:r>
        <w:rPr>
          <w:rFonts w:ascii="Arial" w:hAnsi="Arial" w:cs="Arial"/>
          <w:lang w:val="es-CO"/>
        </w:rPr>
        <w:t>uibles a algún establecimiento permanente o sucursal en el país, cuando ello proceda de conformidad con lo previsto en los artículos 591 y 592 del Estatuto Tributario.</w:t>
      </w:r>
    </w:p>
    <w:p w14:paraId="7D13BE3A" w14:textId="77777777" w:rsidR="00B2442D" w:rsidRDefault="00B2442D">
      <w:pPr>
        <w:jc w:val="both"/>
        <w:rPr>
          <w:rFonts w:ascii="Arial" w:hAnsi="Arial" w:cs="Arial"/>
          <w:lang w:val="es-CO"/>
        </w:rPr>
      </w:pPr>
    </w:p>
    <w:p w14:paraId="7975B698" w14:textId="77777777" w:rsidR="00B2442D" w:rsidRDefault="008A645F">
      <w:pPr>
        <w:jc w:val="both"/>
        <w:rPr>
          <w:rFonts w:ascii="Arial" w:hAnsi="Arial" w:cs="Arial"/>
          <w:i/>
          <w:lang w:val="es-CO"/>
        </w:rPr>
      </w:pPr>
      <w:r>
        <w:rPr>
          <w:rFonts w:ascii="Arial" w:hAnsi="Arial" w:cs="Arial"/>
          <w:i/>
          <w:lang w:val="es-CO"/>
        </w:rPr>
        <w:t>(Art. 9, Decreto 3026 de 2013)</w:t>
      </w:r>
    </w:p>
    <w:p w14:paraId="33EAEB6B" w14:textId="77777777" w:rsidR="00B2442D" w:rsidRDefault="00B2442D">
      <w:pPr>
        <w:jc w:val="both"/>
        <w:rPr>
          <w:rFonts w:ascii="Arial" w:hAnsi="Arial" w:cs="Arial"/>
          <w:lang w:val="es-CO"/>
        </w:rPr>
      </w:pPr>
    </w:p>
    <w:p w14:paraId="565627A2"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Registro Único Tributario (RUT).</w:t>
      </w:r>
      <w:r>
        <w:rPr>
          <w:rFonts w:ascii="Arial" w:hAnsi="Arial" w:cs="Arial"/>
          <w:lang w:val="es-CO"/>
        </w:rPr>
        <w:t xml:space="preserve"> El Registro Único Trib</w:t>
      </w:r>
      <w:r>
        <w:rPr>
          <w:rFonts w:ascii="Arial" w:hAnsi="Arial" w:cs="Arial"/>
          <w:lang w:val="es-CO"/>
        </w:rPr>
        <w:t>utario (RUT) constituye el mecanismo único para identificar, ubicar y clasificar a las personas, entidades que tengan la calidad de contribuyentes declarantes del impuesto sobre la renta y no contribuyentes declarantes de ingresos y patrimonio; los respons</w:t>
      </w:r>
      <w:r>
        <w:rPr>
          <w:rFonts w:ascii="Arial" w:hAnsi="Arial" w:cs="Arial"/>
          <w:lang w:val="es-CO"/>
        </w:rPr>
        <w:t>ables del régimen común y los pertenecientes al régimen simplificado; los agentes retenedores; los importadores, exportadores y demás usuarios aduaneros, y los demás sujetos de obligaciones administradas por la Unidad Administrativa Especial Dirección de I</w:t>
      </w:r>
      <w:r>
        <w:rPr>
          <w:rFonts w:ascii="Arial" w:hAnsi="Arial" w:cs="Arial"/>
          <w:lang w:val="es-CO"/>
        </w:rPr>
        <w:t>mpuestos y Aduanas Nacionales-DIAN, respecto de los cuales esta requiera su inscripción.</w:t>
      </w:r>
    </w:p>
    <w:p w14:paraId="423B61CB" w14:textId="77777777" w:rsidR="00B2442D" w:rsidRDefault="00B2442D">
      <w:pPr>
        <w:jc w:val="both"/>
        <w:rPr>
          <w:rFonts w:ascii="Arial" w:hAnsi="Arial" w:cs="Arial"/>
          <w:lang w:val="es-CO"/>
        </w:rPr>
      </w:pPr>
    </w:p>
    <w:p w14:paraId="7B2390D1" w14:textId="77777777" w:rsidR="00B2442D" w:rsidRDefault="008A645F">
      <w:pPr>
        <w:jc w:val="both"/>
        <w:rPr>
          <w:rFonts w:ascii="Arial" w:hAnsi="Arial" w:cs="Arial"/>
          <w:i/>
          <w:lang w:val="es-CO"/>
        </w:rPr>
      </w:pPr>
      <w:r>
        <w:rPr>
          <w:rFonts w:ascii="Arial" w:hAnsi="Arial" w:cs="Arial"/>
          <w:i/>
          <w:lang w:val="es-CO"/>
        </w:rPr>
        <w:t>(Art. 1, Decreto 2460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2645 de </w:t>
      </w:r>
      <w:r>
        <w:rPr>
          <w:rFonts w:ascii="Arial" w:hAnsi="Arial" w:cs="Arial"/>
          <w:i/>
          <w:lang w:val="es-CO"/>
        </w:rPr>
        <w:t>2011 y 2820 de 2011, el artículo 10 del Decreto número 3026 de 2013, el artículo 11 del Decreto número 3028 de 2013 y las demás normas que le sean contrarias. Art. 23, Decreto 2460 de 2013, modificado por el art. 10 del Decreto 2620 de 2014)</w:t>
      </w:r>
    </w:p>
    <w:p w14:paraId="1E77AD98" w14:textId="77777777" w:rsidR="00B2442D" w:rsidRDefault="008A645F">
      <w:pPr>
        <w:tabs>
          <w:tab w:val="left" w:pos="2989"/>
        </w:tabs>
        <w:jc w:val="both"/>
        <w:rPr>
          <w:rFonts w:ascii="Arial" w:hAnsi="Arial" w:cs="Arial"/>
          <w:lang w:val="es-CO"/>
        </w:rPr>
      </w:pPr>
      <w:r>
        <w:rPr>
          <w:rFonts w:ascii="Arial" w:hAnsi="Arial" w:cs="Arial"/>
          <w:lang w:val="es-CO"/>
        </w:rPr>
        <w:tab/>
      </w:r>
    </w:p>
    <w:p w14:paraId="704B69DF"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Administraci</w:t>
      </w:r>
      <w:r>
        <w:rPr>
          <w:rFonts w:ascii="Arial" w:hAnsi="Arial" w:cs="Arial"/>
          <w:b/>
          <w:i/>
          <w:lang w:val="es-CO"/>
        </w:rPr>
        <w:t>ón del Registro Único Tributario (RUT).</w:t>
      </w:r>
      <w:r>
        <w:rPr>
          <w:rFonts w:ascii="Arial" w:hAnsi="Arial" w:cs="Arial"/>
          <w:lang w:val="es-CO"/>
        </w:rPr>
        <w:t xml:space="preserve"> El Registro Único Tributario (RUT) será administrado por la Unidad Administrativa Especial  Dirección de Impuestos y Aduanas Nacionales-DIAN.</w:t>
      </w:r>
    </w:p>
    <w:p w14:paraId="18297F0F" w14:textId="77777777" w:rsidR="00B2442D" w:rsidRDefault="00B2442D">
      <w:pPr>
        <w:jc w:val="both"/>
        <w:rPr>
          <w:rFonts w:ascii="Arial" w:hAnsi="Arial" w:cs="Arial"/>
          <w:lang w:val="es-CO"/>
        </w:rPr>
      </w:pPr>
    </w:p>
    <w:p w14:paraId="0AFC1D6C" w14:textId="77777777" w:rsidR="00B2442D" w:rsidRDefault="008A645F">
      <w:pPr>
        <w:jc w:val="both"/>
        <w:rPr>
          <w:rFonts w:ascii="Arial" w:hAnsi="Arial" w:cs="Arial"/>
          <w:lang w:val="es-CO"/>
        </w:rPr>
      </w:pPr>
      <w:r>
        <w:rPr>
          <w:rFonts w:ascii="Arial" w:hAnsi="Arial" w:cs="Arial"/>
          <w:lang w:val="es-CO"/>
        </w:rPr>
        <w:t xml:space="preserve">Para el ejercicio de las funciones públicas, la información contenida en </w:t>
      </w:r>
      <w:r>
        <w:rPr>
          <w:rFonts w:ascii="Arial" w:hAnsi="Arial" w:cs="Arial"/>
          <w:lang w:val="es-CO"/>
        </w:rPr>
        <w:t>el Registro Único Tributario (RUT), podrá ser compartida con las entidades públicas y los particulares que ejerzan funciones públicas, en los términos y condiciones que establezcan la Constitución, la ley y los reglamentos, previo cumplimiento de las forma</w:t>
      </w:r>
      <w:r>
        <w:rPr>
          <w:rFonts w:ascii="Arial" w:hAnsi="Arial" w:cs="Arial"/>
          <w:lang w:val="es-CO"/>
        </w:rPr>
        <w:t>s, condiciones, reserva y requisitos para el suministro, manejo, uso y salvaguarda de la información.</w:t>
      </w:r>
    </w:p>
    <w:p w14:paraId="050169D7" w14:textId="77777777" w:rsidR="00B2442D" w:rsidRDefault="00B2442D">
      <w:pPr>
        <w:jc w:val="both"/>
        <w:rPr>
          <w:rFonts w:ascii="Arial" w:hAnsi="Arial" w:cs="Arial"/>
          <w:lang w:val="es-CO"/>
        </w:rPr>
      </w:pPr>
    </w:p>
    <w:p w14:paraId="22461A06" w14:textId="77777777" w:rsidR="00B2442D" w:rsidRDefault="008A645F">
      <w:pPr>
        <w:jc w:val="both"/>
        <w:rPr>
          <w:rFonts w:ascii="Arial" w:hAnsi="Arial" w:cs="Arial"/>
          <w:i/>
          <w:lang w:val="es-CO"/>
        </w:rPr>
      </w:pPr>
      <w:r>
        <w:rPr>
          <w:rFonts w:ascii="Arial" w:hAnsi="Arial" w:cs="Arial"/>
          <w:i/>
          <w:lang w:val="es-CO"/>
        </w:rPr>
        <w:t>(Art. 2, Decreto 2460 de 2013)</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w:t>
      </w:r>
      <w:r>
        <w:rPr>
          <w:rFonts w:ascii="Arial" w:hAnsi="Arial" w:cs="Arial"/>
          <w:i/>
          <w:lang w:val="es-CO"/>
        </w:rPr>
        <w:t>008, 2645 de 2011 y 2820 de 2011, el artículo 10 del Decreto número 3026 de 2013, el artículo 11 del Decreto número 3028 de 2013 y las demás normas que le sean contrarias. Art. 23, Decreto 2460 de 2013, modificado por el art. 10 del Decreto 2620 de 2014)</w:t>
      </w:r>
    </w:p>
    <w:p w14:paraId="76612581" w14:textId="77777777" w:rsidR="00B2442D" w:rsidRDefault="00B2442D">
      <w:pPr>
        <w:jc w:val="both"/>
        <w:rPr>
          <w:rFonts w:ascii="Arial" w:hAnsi="Arial" w:cs="Arial"/>
          <w:lang w:val="es-CO"/>
        </w:rPr>
      </w:pPr>
    </w:p>
    <w:p w14:paraId="07E8B117"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Registros incorporados en el Registro Único Tributario (RUT</w:t>
      </w:r>
      <w:r>
        <w:rPr>
          <w:rFonts w:ascii="Arial" w:hAnsi="Arial" w:cs="Arial"/>
          <w:lang w:val="es-CO"/>
        </w:rPr>
        <w:t>). El Registro Único Tributario a que hace referencia el presente capítulo, incorporó los siguientes registros:</w:t>
      </w:r>
    </w:p>
    <w:p w14:paraId="04DE7023" w14:textId="77777777" w:rsidR="00B2442D" w:rsidRDefault="00B2442D">
      <w:pPr>
        <w:jc w:val="both"/>
        <w:rPr>
          <w:rFonts w:ascii="Arial" w:hAnsi="Arial" w:cs="Arial"/>
          <w:lang w:val="es-CO"/>
        </w:rPr>
      </w:pPr>
    </w:p>
    <w:p w14:paraId="6480ABB4"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 xml:space="preserve"> El Registro Tributario utilizado por la Unidad Administrativa Especial Dirección</w:t>
      </w:r>
      <w:r>
        <w:rPr>
          <w:rFonts w:ascii="Arial" w:hAnsi="Arial" w:cs="Arial"/>
          <w:lang w:val="es-CO"/>
        </w:rPr>
        <w:t xml:space="preserve"> de Impuestos y Aduanas Nacionales-DIAN.</w:t>
      </w:r>
    </w:p>
    <w:p w14:paraId="3748130D" w14:textId="77777777" w:rsidR="00B2442D" w:rsidRDefault="00B2442D">
      <w:pPr>
        <w:jc w:val="both"/>
        <w:rPr>
          <w:rFonts w:ascii="Arial" w:hAnsi="Arial" w:cs="Arial"/>
          <w:lang w:val="es-CO"/>
        </w:rPr>
      </w:pPr>
    </w:p>
    <w:p w14:paraId="630F9A75"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El Registro Nacional de Vendedores.</w:t>
      </w:r>
    </w:p>
    <w:p w14:paraId="68A5784E" w14:textId="77777777" w:rsidR="00B2442D" w:rsidRDefault="00B2442D">
      <w:pPr>
        <w:ind w:left="284" w:hanging="284"/>
        <w:jc w:val="both"/>
        <w:rPr>
          <w:rFonts w:ascii="Arial" w:hAnsi="Arial" w:cs="Arial"/>
          <w:lang w:val="es-CO"/>
        </w:rPr>
      </w:pPr>
    </w:p>
    <w:p w14:paraId="2F054791"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El Registro Nacional de Exportadores de Bienes y Servicios.</w:t>
      </w:r>
    </w:p>
    <w:p w14:paraId="7897497C" w14:textId="77777777" w:rsidR="00B2442D" w:rsidRDefault="00B2442D">
      <w:pPr>
        <w:ind w:left="284" w:hanging="284"/>
        <w:jc w:val="both"/>
        <w:rPr>
          <w:rFonts w:ascii="Arial" w:hAnsi="Arial" w:cs="Arial"/>
          <w:lang w:val="es-CO"/>
        </w:rPr>
      </w:pPr>
    </w:p>
    <w:p w14:paraId="5EEB02A5"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r>
      <w:r>
        <w:rPr>
          <w:rFonts w:ascii="Arial" w:hAnsi="Arial" w:cs="Arial"/>
          <w:lang w:val="es-CO"/>
        </w:rPr>
        <w:t xml:space="preserve"> El Registro de los Usuarios Aduaneros, autorizados por la Unidad Administrativa Especial Dirección de Impuestos y Aduanas Nacionales-DIAN.</w:t>
      </w:r>
    </w:p>
    <w:p w14:paraId="78D163A8" w14:textId="77777777" w:rsidR="00B2442D" w:rsidRDefault="00B2442D">
      <w:pPr>
        <w:ind w:left="284" w:hanging="284"/>
        <w:jc w:val="both"/>
        <w:rPr>
          <w:rFonts w:ascii="Arial" w:hAnsi="Arial" w:cs="Arial"/>
          <w:lang w:val="es-CO"/>
        </w:rPr>
      </w:pPr>
    </w:p>
    <w:p w14:paraId="13E91D91"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 xml:space="preserve"> El Registro de Profesionales de Compra y Venta de Divisas, autorizados por la Unidad Administrativa Especial  D</w:t>
      </w:r>
      <w:r>
        <w:rPr>
          <w:rFonts w:ascii="Arial" w:hAnsi="Arial" w:cs="Arial"/>
          <w:lang w:val="es-CO"/>
        </w:rPr>
        <w:t>irección de Impuestos y Aduanas Nacionales-DIAN.</w:t>
      </w:r>
    </w:p>
    <w:p w14:paraId="71200F20" w14:textId="77777777" w:rsidR="00B2442D" w:rsidRDefault="00B2442D">
      <w:pPr>
        <w:ind w:left="284" w:hanging="284"/>
        <w:jc w:val="both"/>
        <w:rPr>
          <w:rFonts w:ascii="Arial" w:hAnsi="Arial" w:cs="Arial"/>
          <w:lang w:val="es-CO"/>
        </w:rPr>
      </w:pPr>
    </w:p>
    <w:p w14:paraId="75F13B74"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t xml:space="preserve"> Y los demás que establezca el Gobierno Nacional.</w:t>
      </w:r>
    </w:p>
    <w:p w14:paraId="4282C2A8" w14:textId="77777777" w:rsidR="00B2442D" w:rsidRDefault="00B2442D">
      <w:pPr>
        <w:jc w:val="both"/>
        <w:rPr>
          <w:rFonts w:ascii="Arial" w:hAnsi="Arial" w:cs="Arial"/>
          <w:lang w:val="es-CO"/>
        </w:rPr>
      </w:pPr>
    </w:p>
    <w:p w14:paraId="2D728811" w14:textId="77777777" w:rsidR="00B2442D" w:rsidRDefault="008A645F">
      <w:pPr>
        <w:jc w:val="both"/>
        <w:rPr>
          <w:rFonts w:ascii="Arial" w:hAnsi="Arial" w:cs="Arial"/>
          <w:i/>
          <w:lang w:val="es-CO"/>
        </w:rPr>
      </w:pPr>
      <w:r>
        <w:rPr>
          <w:rFonts w:ascii="Arial" w:hAnsi="Arial" w:cs="Arial"/>
          <w:i/>
          <w:lang w:val="es-CO"/>
        </w:rPr>
        <w:t>(Art. 3, Decreto 2460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w:t>
      </w:r>
      <w:r>
        <w:rPr>
          <w:rFonts w:ascii="Arial" w:hAnsi="Arial" w:cs="Arial"/>
          <w:i/>
          <w:lang w:val="es-CO"/>
        </w:rPr>
        <w:t>2008, 2645 de 2011 y 2820 de 2011, el artículo 10 del Decreto número 3026 de 2013, el artículo 11 del Decreto número 3028 de 2013 y las demás normas que le sean contrarias. Art. 23, Decreto 2460 de 2013, modificado por el art. 10 del Decreto 2620 de 2014)</w:t>
      </w:r>
    </w:p>
    <w:p w14:paraId="1DDAB045" w14:textId="77777777" w:rsidR="00B2442D" w:rsidRDefault="00B2442D">
      <w:pPr>
        <w:jc w:val="both"/>
        <w:rPr>
          <w:rFonts w:ascii="Arial" w:hAnsi="Arial" w:cs="Arial"/>
          <w:lang w:val="es-CO"/>
        </w:rPr>
      </w:pPr>
    </w:p>
    <w:p w14:paraId="69A91477"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Elementos del Registro Único Tributario (RUT).</w:t>
      </w:r>
      <w:r>
        <w:rPr>
          <w:rFonts w:ascii="Arial" w:hAnsi="Arial" w:cs="Arial"/>
          <w:lang w:val="es-CO"/>
        </w:rPr>
        <w:t xml:space="preserve"> Los elementos que integran el Registro Único Tributario (RUT), son:</w:t>
      </w:r>
    </w:p>
    <w:p w14:paraId="16830B6D" w14:textId="77777777" w:rsidR="00B2442D" w:rsidRDefault="00B2442D">
      <w:pPr>
        <w:jc w:val="both"/>
        <w:rPr>
          <w:rFonts w:ascii="Arial" w:hAnsi="Arial" w:cs="Arial"/>
          <w:lang w:val="es-CO"/>
        </w:rPr>
      </w:pPr>
    </w:p>
    <w:p w14:paraId="3C5A012E" w14:textId="77777777" w:rsidR="00B2442D" w:rsidRDefault="008A645F">
      <w:pPr>
        <w:jc w:val="both"/>
        <w:rPr>
          <w:rFonts w:ascii="Arial" w:hAnsi="Arial" w:cs="Arial"/>
          <w:b/>
          <w:lang w:val="es-CO"/>
        </w:rPr>
      </w:pPr>
      <w:r>
        <w:rPr>
          <w:rFonts w:ascii="Arial" w:hAnsi="Arial" w:cs="Arial"/>
          <w:b/>
          <w:lang w:val="es-CO"/>
        </w:rPr>
        <w:t>1. IDENTIFICACIÓN</w:t>
      </w:r>
    </w:p>
    <w:p w14:paraId="63EC1E78" w14:textId="77777777" w:rsidR="00B2442D" w:rsidRDefault="00B2442D">
      <w:pPr>
        <w:jc w:val="both"/>
        <w:rPr>
          <w:rFonts w:ascii="Arial" w:hAnsi="Arial" w:cs="Arial"/>
          <w:lang w:val="es-CO"/>
        </w:rPr>
      </w:pPr>
    </w:p>
    <w:p w14:paraId="7459DCD9" w14:textId="77777777" w:rsidR="00B2442D" w:rsidRDefault="008A645F">
      <w:pPr>
        <w:jc w:val="both"/>
        <w:rPr>
          <w:rFonts w:ascii="Arial" w:hAnsi="Arial" w:cs="Arial"/>
          <w:lang w:val="es-CO"/>
        </w:rPr>
      </w:pPr>
      <w:r>
        <w:rPr>
          <w:rFonts w:ascii="Arial" w:hAnsi="Arial" w:cs="Arial"/>
          <w:lang w:val="es-CO"/>
        </w:rPr>
        <w:t>Identificación de las personas naturales. La identificación de las personas naturales está conformada por los nombres y apellidos, tipo y número de documento de identificación, fecha y lugar de expedición del documento de identificación o el que haga sus v</w:t>
      </w:r>
      <w:r>
        <w:rPr>
          <w:rFonts w:ascii="Arial" w:hAnsi="Arial" w:cs="Arial"/>
          <w:lang w:val="es-CO"/>
        </w:rPr>
        <w:t xml:space="preserve">eces, fecha y lugar de nacimiento, y el número de identificación tributaria otorgado en el exterior para los extranjeros que lo posean. </w:t>
      </w:r>
    </w:p>
    <w:p w14:paraId="367A6951" w14:textId="77777777" w:rsidR="00B2442D" w:rsidRDefault="00B2442D">
      <w:pPr>
        <w:jc w:val="both"/>
        <w:rPr>
          <w:rFonts w:ascii="Arial" w:hAnsi="Arial" w:cs="Arial"/>
          <w:lang w:val="es-CO"/>
        </w:rPr>
      </w:pPr>
    </w:p>
    <w:p w14:paraId="11272544" w14:textId="77777777" w:rsidR="00B2442D" w:rsidRDefault="008A645F">
      <w:pPr>
        <w:jc w:val="both"/>
        <w:rPr>
          <w:rFonts w:ascii="Arial" w:hAnsi="Arial" w:cs="Arial"/>
          <w:lang w:val="es-CO"/>
        </w:rPr>
      </w:pPr>
      <w:r>
        <w:rPr>
          <w:rFonts w:ascii="Arial" w:hAnsi="Arial" w:cs="Arial"/>
          <w:lang w:val="es-CO"/>
        </w:rPr>
        <w:t>Identificación de las personas jurídicas y asimiladas. La identificación de las personas jurídicas y asimiladas está c</w:t>
      </w:r>
      <w:r>
        <w:rPr>
          <w:rFonts w:ascii="Arial" w:hAnsi="Arial" w:cs="Arial"/>
          <w:lang w:val="es-CO"/>
        </w:rPr>
        <w:t xml:space="preserve">onformada por la razón social el Número de Identificación Tributaria (NIT) adicionado con un dígito de verificación y el número de identificación tributaria otorgado en el exterior para las personas jurídicas o entidades extranjeras que lo posean. </w:t>
      </w:r>
    </w:p>
    <w:p w14:paraId="25CD5734" w14:textId="77777777" w:rsidR="00B2442D" w:rsidRDefault="00B2442D">
      <w:pPr>
        <w:jc w:val="both"/>
        <w:rPr>
          <w:rFonts w:ascii="Arial" w:hAnsi="Arial" w:cs="Arial"/>
          <w:lang w:val="es-CO"/>
        </w:rPr>
      </w:pPr>
    </w:p>
    <w:p w14:paraId="519733E4" w14:textId="77777777" w:rsidR="00B2442D" w:rsidRDefault="008A645F">
      <w:pPr>
        <w:jc w:val="both"/>
        <w:rPr>
          <w:rFonts w:ascii="Arial" w:hAnsi="Arial" w:cs="Arial"/>
          <w:lang w:val="es-CO"/>
        </w:rPr>
      </w:pPr>
      <w:r>
        <w:rPr>
          <w:rFonts w:ascii="Arial" w:hAnsi="Arial" w:cs="Arial"/>
          <w:lang w:val="es-CO"/>
        </w:rPr>
        <w:t>Identi</w:t>
      </w:r>
      <w:r>
        <w:rPr>
          <w:rFonts w:ascii="Arial" w:hAnsi="Arial" w:cs="Arial"/>
          <w:lang w:val="es-CO"/>
        </w:rPr>
        <w:t>ficación de las personas naturales sin residencia en Colombia y las sociedades entidades extranjeras que realicen operaciones a través de establecimientos permanentes diferentes a sucursales de sociedades extranjeras y oficinas de representación extranjera</w:t>
      </w:r>
      <w:r>
        <w:rPr>
          <w:rFonts w:ascii="Arial" w:hAnsi="Arial" w:cs="Arial"/>
          <w:lang w:val="es-CO"/>
        </w:rPr>
        <w:t xml:space="preserve">. La identificación deberá incluir las letras EP al final de su razón social para las personas jurídicas o al final del número de identificación para el caso de las personas naturales, y en caso de tener más de un establecimiento permanente las letras EP2 </w:t>
      </w:r>
      <w:r>
        <w:rPr>
          <w:rFonts w:ascii="Arial" w:hAnsi="Arial" w:cs="Arial"/>
          <w:lang w:val="es-CO"/>
        </w:rPr>
        <w:t>o EP más el número de establecimiento permanente que corresponda.</w:t>
      </w:r>
    </w:p>
    <w:p w14:paraId="30AE8F0A" w14:textId="77777777" w:rsidR="00B2442D" w:rsidRDefault="00B2442D">
      <w:pPr>
        <w:jc w:val="both"/>
        <w:rPr>
          <w:rFonts w:ascii="Arial" w:hAnsi="Arial" w:cs="Arial"/>
          <w:lang w:val="es-CO"/>
        </w:rPr>
      </w:pPr>
    </w:p>
    <w:p w14:paraId="33B24AF9" w14:textId="77777777" w:rsidR="00B2442D" w:rsidRDefault="008A645F">
      <w:pPr>
        <w:jc w:val="both"/>
        <w:rPr>
          <w:rFonts w:ascii="Arial" w:hAnsi="Arial" w:cs="Arial"/>
          <w:lang w:val="es-CO"/>
        </w:rPr>
      </w:pPr>
      <w:r>
        <w:rPr>
          <w:rFonts w:ascii="Arial" w:hAnsi="Arial" w:cs="Arial"/>
          <w:lang w:val="es-CO"/>
        </w:rPr>
        <w:t>El Número de Identificación Tributaria (NIT), es asignado por la Unidad Administrativa Especial Dirección de Impuestos y Aduanas Nacionales-DIAN y permite la individualización inequívoca de</w:t>
      </w:r>
      <w:r>
        <w:rPr>
          <w:rFonts w:ascii="Arial" w:hAnsi="Arial" w:cs="Arial"/>
          <w:lang w:val="es-CO"/>
        </w:rPr>
        <w:t xml:space="preserve"> los inscritos, para todos los efectos, en materia tributaria, aduanera y de control cambiario y, en especial, para el cumplimiento de las obligaciones de la misma naturaleza.</w:t>
      </w:r>
    </w:p>
    <w:p w14:paraId="59F31237" w14:textId="77777777" w:rsidR="00B2442D" w:rsidRDefault="00B2442D">
      <w:pPr>
        <w:jc w:val="both"/>
        <w:rPr>
          <w:rFonts w:ascii="Arial" w:hAnsi="Arial" w:cs="Arial"/>
          <w:lang w:val="es-CO"/>
        </w:rPr>
      </w:pPr>
    </w:p>
    <w:p w14:paraId="5D0EA710" w14:textId="77777777" w:rsidR="00B2442D" w:rsidRDefault="008A645F">
      <w:pPr>
        <w:jc w:val="both"/>
        <w:rPr>
          <w:rFonts w:ascii="Arial" w:hAnsi="Arial" w:cs="Arial"/>
          <w:lang w:val="es-CO"/>
        </w:rPr>
      </w:pPr>
      <w:r>
        <w:rPr>
          <w:rFonts w:ascii="Arial" w:hAnsi="Arial" w:cs="Arial"/>
          <w:lang w:val="es-CO"/>
        </w:rPr>
        <w:t xml:space="preserve">La Unidad Administrativa Especial Dirección de Impuestos y Aduanas Nacionales, </w:t>
      </w:r>
      <w:r>
        <w:rPr>
          <w:rFonts w:ascii="Arial" w:hAnsi="Arial" w:cs="Arial"/>
          <w:lang w:val="es-CO"/>
        </w:rPr>
        <w:t>-DIAN, dentro de los seis (6) meses siguientes al 07 de noviembre de 2013 (D. O. 48967), habilitará en el Registro Único Tributario, (RUT) los campos requeridos con el fin de incluir el número de identificación tributaria otorgado en el exterior para los e</w:t>
      </w:r>
      <w:r>
        <w:rPr>
          <w:rFonts w:ascii="Arial" w:hAnsi="Arial" w:cs="Arial"/>
          <w:lang w:val="es-CO"/>
        </w:rPr>
        <w:t>xtranjeros, así como el desarrollo de los sistemas de información que permitan incluir la fecha y lugar de nacimiento de las personas naturales, garantizando la reserva y las condiciones de uso, y manejo salvaguarda de esta información</w:t>
      </w:r>
    </w:p>
    <w:p w14:paraId="162BFDE9" w14:textId="77777777" w:rsidR="00B2442D" w:rsidRDefault="00B2442D">
      <w:pPr>
        <w:jc w:val="both"/>
        <w:rPr>
          <w:rFonts w:ascii="Arial" w:hAnsi="Arial" w:cs="Arial"/>
          <w:lang w:val="es-CO"/>
        </w:rPr>
      </w:pPr>
    </w:p>
    <w:p w14:paraId="30B8991B" w14:textId="77777777" w:rsidR="00B2442D" w:rsidRDefault="008A645F">
      <w:pPr>
        <w:jc w:val="both"/>
        <w:rPr>
          <w:rFonts w:ascii="Arial" w:hAnsi="Arial" w:cs="Arial"/>
          <w:b/>
          <w:lang w:val="es-CO"/>
        </w:rPr>
      </w:pPr>
      <w:r>
        <w:rPr>
          <w:rFonts w:ascii="Arial" w:hAnsi="Arial" w:cs="Arial"/>
          <w:b/>
          <w:lang w:val="es-CO"/>
        </w:rPr>
        <w:t>2. UBICACIÓN</w:t>
      </w:r>
    </w:p>
    <w:p w14:paraId="34D662E5" w14:textId="77777777" w:rsidR="00B2442D" w:rsidRDefault="00B2442D">
      <w:pPr>
        <w:jc w:val="both"/>
        <w:rPr>
          <w:rFonts w:ascii="Arial" w:hAnsi="Arial" w:cs="Arial"/>
          <w:lang w:val="es-CO"/>
        </w:rPr>
      </w:pPr>
    </w:p>
    <w:p w14:paraId="1F9CCCFA" w14:textId="77777777" w:rsidR="00B2442D" w:rsidRDefault="008A645F">
      <w:pPr>
        <w:jc w:val="both"/>
        <w:rPr>
          <w:rFonts w:ascii="Arial" w:hAnsi="Arial" w:cs="Arial"/>
          <w:lang w:val="es-CO"/>
        </w:rPr>
      </w:pPr>
      <w:r>
        <w:rPr>
          <w:rFonts w:ascii="Arial" w:hAnsi="Arial" w:cs="Arial"/>
          <w:lang w:val="es-CO"/>
        </w:rPr>
        <w:t>La ub</w:t>
      </w:r>
      <w:r>
        <w:rPr>
          <w:rFonts w:ascii="Arial" w:hAnsi="Arial" w:cs="Arial"/>
          <w:lang w:val="es-CO"/>
        </w:rPr>
        <w:t>icación comprende el domicilio principal, números telefónicos y correo electrónico donde la Unidad Administrativa Especial Dirección de Impuestos y Aduanas Nacionales-DIAN puede contactar oficialmente y para todos los efectos, al respectivo inscrito.</w:t>
      </w:r>
    </w:p>
    <w:p w14:paraId="5D7047DE" w14:textId="77777777" w:rsidR="00B2442D" w:rsidRDefault="00B2442D">
      <w:pPr>
        <w:jc w:val="both"/>
        <w:rPr>
          <w:rFonts w:ascii="Arial" w:hAnsi="Arial" w:cs="Arial"/>
          <w:lang w:val="es-CO"/>
        </w:rPr>
      </w:pPr>
    </w:p>
    <w:p w14:paraId="37820091" w14:textId="77777777" w:rsidR="00B2442D" w:rsidRDefault="008A645F">
      <w:pPr>
        <w:jc w:val="both"/>
        <w:rPr>
          <w:rFonts w:ascii="Arial" w:hAnsi="Arial" w:cs="Arial"/>
          <w:lang w:val="es-CO"/>
        </w:rPr>
      </w:pPr>
      <w:r>
        <w:rPr>
          <w:rFonts w:ascii="Arial" w:hAnsi="Arial" w:cs="Arial"/>
          <w:lang w:val="es-CO"/>
        </w:rPr>
        <w:t xml:space="preserve">El </w:t>
      </w:r>
      <w:r>
        <w:rPr>
          <w:rFonts w:ascii="Arial" w:hAnsi="Arial" w:cs="Arial"/>
          <w:lang w:val="es-CO"/>
        </w:rPr>
        <w:t>domicilio principal inscrito en el formulario del Registro Único Tributario (RUT), será el informado por el obligado; en el caso de las personas jurídicas o asimiladas, dicha dirección deberá corresponder a la señalada en el documento de constitución vigen</w:t>
      </w:r>
      <w:r>
        <w:rPr>
          <w:rFonts w:ascii="Arial" w:hAnsi="Arial" w:cs="Arial"/>
          <w:lang w:val="es-CO"/>
        </w:rPr>
        <w:t>te y/o documento registrado.</w:t>
      </w:r>
    </w:p>
    <w:p w14:paraId="115C8A41" w14:textId="77777777" w:rsidR="00B2442D" w:rsidRDefault="00B2442D">
      <w:pPr>
        <w:jc w:val="both"/>
        <w:rPr>
          <w:rFonts w:ascii="Arial" w:hAnsi="Arial" w:cs="Arial"/>
          <w:lang w:val="es-CO"/>
        </w:rPr>
      </w:pPr>
    </w:p>
    <w:p w14:paraId="26308F58" w14:textId="77777777" w:rsidR="00B2442D" w:rsidRDefault="008A645F">
      <w:pPr>
        <w:jc w:val="both"/>
        <w:rPr>
          <w:rFonts w:ascii="Arial" w:hAnsi="Arial" w:cs="Arial"/>
          <w:lang w:val="es-CO"/>
        </w:rPr>
      </w:pPr>
      <w:r>
        <w:rPr>
          <w:rFonts w:ascii="Arial" w:hAnsi="Arial" w:cs="Arial"/>
          <w:lang w:val="es-CO"/>
        </w:rPr>
        <w:t>Sin perjuicio de la dirección registrada como domicilio principal, el responsable deberá informar la ubicación de los lugares donde desarrolla sus actividades económicas.</w:t>
      </w:r>
    </w:p>
    <w:p w14:paraId="2FF7F17F" w14:textId="77777777" w:rsidR="00B2442D" w:rsidRDefault="00B2442D">
      <w:pPr>
        <w:jc w:val="both"/>
        <w:rPr>
          <w:rFonts w:ascii="Arial" w:hAnsi="Arial" w:cs="Arial"/>
          <w:lang w:val="es-CO"/>
        </w:rPr>
      </w:pPr>
    </w:p>
    <w:p w14:paraId="55F85666" w14:textId="77777777" w:rsidR="00B2442D" w:rsidRDefault="008A645F">
      <w:pPr>
        <w:jc w:val="both"/>
        <w:rPr>
          <w:rFonts w:ascii="Arial" w:hAnsi="Arial" w:cs="Arial"/>
          <w:lang w:val="es-CO"/>
        </w:rPr>
      </w:pPr>
      <w:r>
        <w:rPr>
          <w:rFonts w:ascii="Arial" w:hAnsi="Arial" w:cs="Arial"/>
          <w:lang w:val="es-CO"/>
        </w:rPr>
        <w:t xml:space="preserve">Cuando la Unidad Administrativa Especial Dirección de </w:t>
      </w:r>
      <w:r>
        <w:rPr>
          <w:rFonts w:ascii="Arial" w:hAnsi="Arial" w:cs="Arial"/>
          <w:lang w:val="es-CO"/>
        </w:rPr>
        <w:t>Impuestos y Aduanas Nacionales-DIAN en desarrollo del artículo 579-1 del Estatuto Tributario determine el domicilio fiscal de una persona jurídica, este deberá incorporarse en el Registro Único Tributario (RUT) y tendrá validez para todos los efectos, incl</w:t>
      </w:r>
      <w:r>
        <w:rPr>
          <w:rFonts w:ascii="Arial" w:hAnsi="Arial" w:cs="Arial"/>
          <w:lang w:val="es-CO"/>
        </w:rPr>
        <w:t>uida la notificación de los actos administrativos proferidos por esta Entidad.</w:t>
      </w:r>
    </w:p>
    <w:p w14:paraId="331768EA" w14:textId="77777777" w:rsidR="00B2442D" w:rsidRDefault="00B2442D">
      <w:pPr>
        <w:jc w:val="both"/>
        <w:rPr>
          <w:rFonts w:ascii="Arial" w:hAnsi="Arial" w:cs="Arial"/>
          <w:lang w:val="es-CO"/>
        </w:rPr>
      </w:pPr>
    </w:p>
    <w:p w14:paraId="24209507" w14:textId="77777777" w:rsidR="00B2442D" w:rsidRDefault="008A645F">
      <w:pPr>
        <w:jc w:val="both"/>
        <w:rPr>
          <w:rFonts w:ascii="Arial" w:hAnsi="Arial" w:cs="Arial"/>
          <w:lang w:val="es-CO"/>
        </w:rPr>
      </w:pPr>
      <w:r>
        <w:rPr>
          <w:rFonts w:ascii="Arial" w:hAnsi="Arial" w:cs="Arial"/>
          <w:lang w:val="es-CO"/>
        </w:rPr>
        <w:t>La dirección que el obligado informe al momento de inscripción o actualización tendrá validez para todos los efectos, sin perjuicio de otras direcciones que para casos especial</w:t>
      </w:r>
      <w:r>
        <w:rPr>
          <w:rFonts w:ascii="Arial" w:hAnsi="Arial" w:cs="Arial"/>
          <w:lang w:val="es-CO"/>
        </w:rPr>
        <w:t>es consagre la Ley.</w:t>
      </w:r>
    </w:p>
    <w:p w14:paraId="1101F3FB" w14:textId="77777777" w:rsidR="00B2442D" w:rsidRDefault="00B2442D">
      <w:pPr>
        <w:jc w:val="both"/>
        <w:rPr>
          <w:rFonts w:ascii="Arial" w:hAnsi="Arial" w:cs="Arial"/>
          <w:b/>
          <w:lang w:val="es-CO"/>
        </w:rPr>
      </w:pPr>
    </w:p>
    <w:p w14:paraId="12F98DC6" w14:textId="77777777" w:rsidR="00B2442D" w:rsidRDefault="008A645F">
      <w:pPr>
        <w:jc w:val="both"/>
        <w:rPr>
          <w:rFonts w:ascii="Arial" w:hAnsi="Arial" w:cs="Arial"/>
          <w:b/>
          <w:lang w:val="es-CO"/>
        </w:rPr>
      </w:pPr>
      <w:r>
        <w:rPr>
          <w:rFonts w:ascii="Arial" w:hAnsi="Arial" w:cs="Arial"/>
          <w:b/>
          <w:lang w:val="es-CO"/>
        </w:rPr>
        <w:t>3. CLASIFICACIÓN</w:t>
      </w:r>
    </w:p>
    <w:p w14:paraId="0AC09124" w14:textId="77777777" w:rsidR="00B2442D" w:rsidRDefault="00B2442D">
      <w:pPr>
        <w:jc w:val="both"/>
        <w:rPr>
          <w:rFonts w:ascii="Arial" w:hAnsi="Arial" w:cs="Arial"/>
          <w:lang w:val="es-CO"/>
        </w:rPr>
      </w:pPr>
    </w:p>
    <w:p w14:paraId="188CCC00" w14:textId="77777777" w:rsidR="00B2442D" w:rsidRDefault="008A645F">
      <w:pPr>
        <w:jc w:val="both"/>
        <w:rPr>
          <w:rFonts w:ascii="Arial" w:hAnsi="Arial" w:cs="Arial"/>
          <w:lang w:val="es-CO"/>
        </w:rPr>
      </w:pPr>
      <w:r>
        <w:rPr>
          <w:rFonts w:ascii="Arial" w:hAnsi="Arial" w:cs="Arial"/>
          <w:lang w:val="es-CO"/>
        </w:rPr>
        <w:t>La Clasificación corresponde a la naturaleza, actividades, funciones, características, atributos, regímenes, autorizaciones, registro de responsabilidades tributarias, aduaneras y cambiarías, y demás elementos propios</w:t>
      </w:r>
      <w:r>
        <w:rPr>
          <w:rFonts w:ascii="Arial" w:hAnsi="Arial" w:cs="Arial"/>
          <w:lang w:val="es-CO"/>
        </w:rPr>
        <w:t xml:space="preserve"> de cada sujeto de las obligaciones administradas por la Unidad Administrativa Especial  Unidad Administrativa Especial Dirección de Impuestos y Aduanas Nacionales-DIAN.</w:t>
      </w:r>
    </w:p>
    <w:p w14:paraId="6C7ADF22" w14:textId="77777777" w:rsidR="00B2442D" w:rsidRDefault="00B2442D">
      <w:pPr>
        <w:jc w:val="both"/>
        <w:rPr>
          <w:rFonts w:ascii="Arial" w:hAnsi="Arial" w:cs="Arial"/>
          <w:lang w:val="es-CO"/>
        </w:rPr>
      </w:pPr>
    </w:p>
    <w:p w14:paraId="40CF11F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información de identificación, ubicación y clasificación es de caráct</w:t>
      </w:r>
      <w:r>
        <w:rPr>
          <w:rFonts w:ascii="Arial" w:hAnsi="Arial" w:cs="Arial"/>
          <w:lang w:val="es-CO"/>
        </w:rPr>
        <w:t>er obligatorio, a excepción del correo electrónico para las personas naturales que se inscriban como responsables del régimen simplificado del impuesto sobre las ventas o personas naturales del régimen simplificado del impuesto al consumo, o quienes produc</w:t>
      </w:r>
      <w:r>
        <w:rPr>
          <w:rFonts w:ascii="Arial" w:hAnsi="Arial" w:cs="Arial"/>
          <w:lang w:val="es-CO"/>
        </w:rPr>
        <w:t>to de la actualización del Registro Único Tributario (RUT) no tengan responsabilidades derivadas de las obligaciones administradas por la Unidad Administrativa Especial Dirección de Impuestos y Aduanas Nacionales-DIAN.</w:t>
      </w:r>
    </w:p>
    <w:p w14:paraId="62F0F8E2" w14:textId="77777777" w:rsidR="00B2442D" w:rsidRDefault="00B2442D">
      <w:pPr>
        <w:jc w:val="both"/>
        <w:rPr>
          <w:rFonts w:ascii="Arial" w:hAnsi="Arial" w:cs="Arial"/>
          <w:lang w:val="es-CO"/>
        </w:rPr>
      </w:pPr>
    </w:p>
    <w:p w14:paraId="5188F33B" w14:textId="77777777" w:rsidR="00B2442D" w:rsidRDefault="008A645F">
      <w:pPr>
        <w:jc w:val="both"/>
        <w:rPr>
          <w:rFonts w:ascii="Arial" w:hAnsi="Arial" w:cs="Arial"/>
          <w:lang w:val="es-CO"/>
        </w:rPr>
      </w:pPr>
      <w:r>
        <w:rPr>
          <w:rFonts w:ascii="Arial" w:hAnsi="Arial" w:cs="Arial"/>
          <w:lang w:val="es-CO"/>
        </w:rPr>
        <w:t xml:space="preserve">Sin perjuicio de lo anterior, todas </w:t>
      </w:r>
      <w:r>
        <w:rPr>
          <w:rFonts w:ascii="Arial" w:hAnsi="Arial" w:cs="Arial"/>
          <w:lang w:val="es-CO"/>
        </w:rPr>
        <w:t>las personas que adelanten la inscripción o actualización a través de los medios electrónicos de que dispone la Entidad, deberán informar con carácter obligatorio el correo electrónico.</w:t>
      </w:r>
    </w:p>
    <w:p w14:paraId="0DE80550" w14:textId="77777777" w:rsidR="00B2442D" w:rsidRDefault="00B2442D">
      <w:pPr>
        <w:jc w:val="both"/>
        <w:rPr>
          <w:rFonts w:ascii="Arial" w:hAnsi="Arial" w:cs="Arial"/>
          <w:lang w:val="es-CO"/>
        </w:rPr>
      </w:pPr>
    </w:p>
    <w:p w14:paraId="1920909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información básica de identificación y ubicación trib</w:t>
      </w:r>
      <w:r>
        <w:rPr>
          <w:rFonts w:ascii="Arial" w:hAnsi="Arial" w:cs="Arial"/>
          <w:lang w:val="es-CO"/>
        </w:rPr>
        <w:t>utaria para efectos fiscales del orden nacional y territorial de que trata el artículo 63 del Decreto-ley número 0019 de 2012, comprende: el número de identificación, el NIT, los nombres y apellidos, la razón social, la dirección, el municipio y el departa</w:t>
      </w:r>
      <w:r>
        <w:rPr>
          <w:rFonts w:ascii="Arial" w:hAnsi="Arial" w:cs="Arial"/>
          <w:lang w:val="es-CO"/>
        </w:rPr>
        <w:t>mento.</w:t>
      </w:r>
    </w:p>
    <w:p w14:paraId="115822D0" w14:textId="77777777" w:rsidR="00B2442D" w:rsidRDefault="00B2442D">
      <w:pPr>
        <w:jc w:val="both"/>
        <w:rPr>
          <w:rFonts w:ascii="Arial" w:hAnsi="Arial" w:cs="Arial"/>
          <w:lang w:val="es-CO"/>
        </w:rPr>
      </w:pPr>
    </w:p>
    <w:p w14:paraId="7D3C483F" w14:textId="77777777" w:rsidR="00B2442D" w:rsidRDefault="008A645F">
      <w:pPr>
        <w:jc w:val="both"/>
        <w:rPr>
          <w:rFonts w:ascii="Arial" w:hAnsi="Arial" w:cs="Arial"/>
          <w:i/>
          <w:lang w:val="es-CO"/>
        </w:rPr>
      </w:pPr>
      <w:r>
        <w:rPr>
          <w:rFonts w:ascii="Arial" w:hAnsi="Arial" w:cs="Arial"/>
          <w:i/>
          <w:lang w:val="es-CO"/>
        </w:rPr>
        <w:t>(Art. 4, Decreto 2460 de 2013. Numeral 1 modificado por el art. 1 del Decreto 2620 de 2014)</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2645 de 2011 y 2820 de 2011, </w:t>
      </w:r>
      <w:r>
        <w:rPr>
          <w:rFonts w:ascii="Arial" w:hAnsi="Arial" w:cs="Arial"/>
          <w:i/>
          <w:lang w:val="es-CO"/>
        </w:rPr>
        <w:t>el artículo 10 del Decreto número 3026 de 2013, el artículo 11 del Decreto número 3028 de 2013 y las demás normas que le sean contrarias. Art. 23, Decreto 2460 de 2013, modificado por el art. 10 del Decreto 2620 de 2014)</w:t>
      </w:r>
    </w:p>
    <w:p w14:paraId="0CAC8C0E" w14:textId="77777777" w:rsidR="00B2442D" w:rsidRDefault="00B2442D">
      <w:pPr>
        <w:jc w:val="both"/>
        <w:rPr>
          <w:rFonts w:ascii="Arial" w:hAnsi="Arial" w:cs="Arial"/>
          <w:lang w:val="es-CO"/>
        </w:rPr>
      </w:pPr>
    </w:p>
    <w:p w14:paraId="5285AF9B"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Obligados a inscribirse en el Regi</w:t>
      </w:r>
      <w:r>
        <w:rPr>
          <w:rFonts w:ascii="Arial" w:hAnsi="Arial" w:cs="Arial"/>
          <w:b/>
          <w:i/>
          <w:lang w:val="es-CO"/>
        </w:rPr>
        <w:t>stro Único Tributario (RUT).</w:t>
      </w:r>
      <w:r>
        <w:rPr>
          <w:rFonts w:ascii="Arial" w:hAnsi="Arial" w:cs="Arial"/>
          <w:lang w:val="es-CO"/>
        </w:rPr>
        <w:t xml:space="preserve"> Están obligados a inscribirse en el Registro Único Tributario (RUT):</w:t>
      </w:r>
    </w:p>
    <w:p w14:paraId="6DAEA1D3" w14:textId="77777777" w:rsidR="00B2442D" w:rsidRDefault="00B2442D">
      <w:pPr>
        <w:jc w:val="both"/>
        <w:rPr>
          <w:rFonts w:ascii="Arial" w:hAnsi="Arial" w:cs="Arial"/>
          <w:lang w:val="es-CO"/>
        </w:rPr>
      </w:pPr>
    </w:p>
    <w:p w14:paraId="5F8317A8"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 Las personas y entidades que tengan la calidad de contribuyentes declarantes del impuesto sobre la renta y complementario de ganancias ocasionales, y dem</w:t>
      </w:r>
      <w:r>
        <w:rPr>
          <w:rFonts w:ascii="Arial" w:hAnsi="Arial" w:cs="Arial"/>
          <w:lang w:val="es-CO"/>
        </w:rPr>
        <w:t>ás impuestos administrados por la Unidad Administrativa Especial Dirección de Impuestos y Aduanas Nacionales-DIAN;</w:t>
      </w:r>
    </w:p>
    <w:p w14:paraId="432F798C" w14:textId="77777777" w:rsidR="00B2442D" w:rsidRDefault="00B2442D">
      <w:pPr>
        <w:ind w:left="426" w:hanging="426"/>
        <w:jc w:val="both"/>
        <w:rPr>
          <w:rFonts w:ascii="Arial" w:hAnsi="Arial" w:cs="Arial"/>
          <w:lang w:val="es-CO"/>
        </w:rPr>
      </w:pPr>
    </w:p>
    <w:p w14:paraId="0F56D0D2"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 xml:space="preserve"> Los patrimonios autónomos, en aquellos casos que por disposiciones especiales deban contar con un NIT individual;</w:t>
      </w:r>
    </w:p>
    <w:p w14:paraId="1095BD6B" w14:textId="77777777" w:rsidR="00B2442D" w:rsidRDefault="00B2442D">
      <w:pPr>
        <w:ind w:left="426" w:hanging="426"/>
        <w:jc w:val="both"/>
        <w:rPr>
          <w:rFonts w:ascii="Arial" w:hAnsi="Arial" w:cs="Arial"/>
          <w:lang w:val="es-CO"/>
        </w:rPr>
      </w:pPr>
    </w:p>
    <w:p w14:paraId="5B905D07"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 Los inversionistas extranjeros obligados a cumplir deberes formales;</w:t>
      </w:r>
    </w:p>
    <w:p w14:paraId="4C4DC75C" w14:textId="77777777" w:rsidR="00B2442D" w:rsidRDefault="00B2442D">
      <w:pPr>
        <w:ind w:left="426" w:hanging="426"/>
        <w:jc w:val="both"/>
        <w:rPr>
          <w:rFonts w:ascii="Arial" w:hAnsi="Arial" w:cs="Arial"/>
          <w:lang w:val="es-CO"/>
        </w:rPr>
      </w:pPr>
    </w:p>
    <w:p w14:paraId="5EE5EAE3"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 Las sucursales en el país de personas jurídicas o entidades ex</w:t>
      </w:r>
      <w:r>
        <w:rPr>
          <w:rFonts w:ascii="Arial" w:hAnsi="Arial" w:cs="Arial"/>
          <w:lang w:val="es-CO"/>
        </w:rPr>
        <w:t>tranjeras;</w:t>
      </w:r>
    </w:p>
    <w:p w14:paraId="3570F7D5" w14:textId="77777777" w:rsidR="00B2442D" w:rsidRDefault="00B2442D">
      <w:pPr>
        <w:ind w:left="426" w:hanging="426"/>
        <w:jc w:val="both"/>
        <w:rPr>
          <w:rFonts w:ascii="Arial" w:hAnsi="Arial" w:cs="Arial"/>
          <w:lang w:val="es-CO"/>
        </w:rPr>
      </w:pPr>
    </w:p>
    <w:p w14:paraId="49E07966"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 xml:space="preserve"> Las personas naturales que actúan en calidad de representantes legales, mandatarios, delegados, apoderados y representantes en general que deban suscribir declaraciones, presentar información y cumplir otros deberes a nombre del contribuyen</w:t>
      </w:r>
      <w:r>
        <w:rPr>
          <w:rFonts w:ascii="Arial" w:hAnsi="Arial" w:cs="Arial"/>
          <w:lang w:val="es-CO"/>
        </w:rPr>
        <w:t>te, responsable, agente retenedor, declarante, informante o inversionista extranjero, en materia tributaria, aduanera o cambiaría. Así mismo, deben cumplir con esta inscripción los revisores fiscales y contadores, que deban suscribir declaraciones por disp</w:t>
      </w:r>
      <w:r>
        <w:rPr>
          <w:rFonts w:ascii="Arial" w:hAnsi="Arial" w:cs="Arial"/>
          <w:lang w:val="es-CO"/>
        </w:rPr>
        <w:t>osición legal;</w:t>
      </w:r>
    </w:p>
    <w:p w14:paraId="439E21C9" w14:textId="77777777" w:rsidR="00B2442D" w:rsidRDefault="00B2442D">
      <w:pPr>
        <w:ind w:left="426" w:hanging="426"/>
        <w:jc w:val="both"/>
        <w:rPr>
          <w:rFonts w:ascii="Arial" w:hAnsi="Arial" w:cs="Arial"/>
          <w:lang w:val="es-CO"/>
        </w:rPr>
      </w:pPr>
    </w:p>
    <w:p w14:paraId="2482ECCB" w14:textId="77777777" w:rsidR="00B2442D" w:rsidRDefault="008A645F">
      <w:pPr>
        <w:ind w:left="426" w:hanging="426"/>
        <w:jc w:val="both"/>
        <w:rPr>
          <w:rFonts w:ascii="Arial" w:hAnsi="Arial" w:cs="Arial"/>
          <w:lang w:val="es-CO"/>
        </w:rPr>
      </w:pPr>
      <w:r>
        <w:rPr>
          <w:rFonts w:ascii="Arial" w:hAnsi="Arial" w:cs="Arial"/>
          <w:lang w:val="es-CO"/>
        </w:rPr>
        <w:t>f)</w:t>
      </w:r>
      <w:r>
        <w:rPr>
          <w:rFonts w:ascii="Arial" w:hAnsi="Arial" w:cs="Arial"/>
          <w:lang w:val="es-CO"/>
        </w:rPr>
        <w:tab/>
        <w:t>Las personas y entidades no contribuyentes declarantes de ingresos y patrimonio y las personas naturales del régimen simplificado del impuesto al consumo;</w:t>
      </w:r>
    </w:p>
    <w:p w14:paraId="4DC2FA3E" w14:textId="77777777" w:rsidR="00B2442D" w:rsidRDefault="00B2442D">
      <w:pPr>
        <w:ind w:left="426" w:hanging="426"/>
        <w:jc w:val="both"/>
        <w:rPr>
          <w:rFonts w:ascii="Arial" w:hAnsi="Arial" w:cs="Arial"/>
          <w:lang w:val="es-CO"/>
        </w:rPr>
      </w:pPr>
    </w:p>
    <w:p w14:paraId="4C06F5D6" w14:textId="77777777" w:rsidR="00B2442D" w:rsidRDefault="008A645F">
      <w:pPr>
        <w:ind w:left="426" w:hanging="426"/>
        <w:jc w:val="both"/>
        <w:rPr>
          <w:rFonts w:ascii="Arial" w:hAnsi="Arial" w:cs="Arial"/>
          <w:lang w:val="es-CO"/>
        </w:rPr>
      </w:pPr>
      <w:r>
        <w:rPr>
          <w:rFonts w:ascii="Arial" w:hAnsi="Arial" w:cs="Arial"/>
          <w:lang w:val="es-CO"/>
        </w:rPr>
        <w:t>g)</w:t>
      </w:r>
      <w:r>
        <w:rPr>
          <w:rFonts w:ascii="Arial" w:hAnsi="Arial" w:cs="Arial"/>
          <w:lang w:val="es-CO"/>
        </w:rPr>
        <w:tab/>
        <w:t xml:space="preserve">Los responsables del impuesto sobre las ventas pertenecientes a los regímenes </w:t>
      </w:r>
      <w:r>
        <w:rPr>
          <w:rFonts w:ascii="Arial" w:hAnsi="Arial" w:cs="Arial"/>
          <w:lang w:val="es-CO"/>
        </w:rPr>
        <w:t>común o simplificado;</w:t>
      </w:r>
    </w:p>
    <w:p w14:paraId="4212005D" w14:textId="77777777" w:rsidR="00B2442D" w:rsidRDefault="00B2442D">
      <w:pPr>
        <w:ind w:left="426" w:hanging="426"/>
        <w:jc w:val="both"/>
        <w:rPr>
          <w:rFonts w:ascii="Arial" w:hAnsi="Arial" w:cs="Arial"/>
          <w:lang w:val="es-CO"/>
        </w:rPr>
      </w:pPr>
    </w:p>
    <w:p w14:paraId="47A4BFA9" w14:textId="77777777" w:rsidR="00B2442D" w:rsidRDefault="008A645F">
      <w:pPr>
        <w:ind w:left="426" w:hanging="426"/>
        <w:jc w:val="both"/>
        <w:rPr>
          <w:rFonts w:ascii="Arial" w:hAnsi="Arial" w:cs="Arial"/>
          <w:lang w:val="es-CO"/>
        </w:rPr>
      </w:pPr>
      <w:r>
        <w:rPr>
          <w:rFonts w:ascii="Arial" w:hAnsi="Arial" w:cs="Arial"/>
          <w:lang w:val="es-CO"/>
        </w:rPr>
        <w:t>h)</w:t>
      </w:r>
      <w:r>
        <w:rPr>
          <w:rFonts w:ascii="Arial" w:hAnsi="Arial" w:cs="Arial"/>
          <w:lang w:val="es-CO"/>
        </w:rPr>
        <w:tab/>
        <w:t xml:space="preserve">Las personas o entidades no responsables del impuesto sobre las ventas, que requieran la expedición de NIT cuando por disposiciones especiales estén obligadas a expedir factura, o como consecuencia del desarrollo de una actividad </w:t>
      </w:r>
      <w:r>
        <w:rPr>
          <w:rFonts w:ascii="Arial" w:hAnsi="Arial" w:cs="Arial"/>
          <w:lang w:val="es-CO"/>
        </w:rPr>
        <w:t>económica no gravada;</w:t>
      </w:r>
    </w:p>
    <w:p w14:paraId="16598200" w14:textId="77777777" w:rsidR="00B2442D" w:rsidRDefault="00B2442D">
      <w:pPr>
        <w:ind w:left="426" w:hanging="426"/>
        <w:jc w:val="both"/>
        <w:rPr>
          <w:rFonts w:ascii="Arial" w:hAnsi="Arial" w:cs="Arial"/>
          <w:lang w:val="es-CO"/>
        </w:rPr>
      </w:pPr>
    </w:p>
    <w:p w14:paraId="02DCF80B" w14:textId="77777777" w:rsidR="00B2442D" w:rsidRDefault="008A645F">
      <w:pPr>
        <w:ind w:left="426" w:hanging="426"/>
        <w:jc w:val="both"/>
        <w:rPr>
          <w:rFonts w:ascii="Arial" w:hAnsi="Arial" w:cs="Arial"/>
          <w:lang w:val="es-CO"/>
        </w:rPr>
      </w:pPr>
      <w:r>
        <w:rPr>
          <w:rFonts w:ascii="Arial" w:hAnsi="Arial" w:cs="Arial"/>
          <w:lang w:val="es-CO"/>
        </w:rPr>
        <w:t>i)</w:t>
      </w:r>
      <w:r>
        <w:rPr>
          <w:rFonts w:ascii="Arial" w:hAnsi="Arial" w:cs="Arial"/>
          <w:lang w:val="es-CO"/>
        </w:rPr>
        <w:tab/>
        <w:t>Los responsables del impuesto al consumo;</w:t>
      </w:r>
    </w:p>
    <w:p w14:paraId="722480C1" w14:textId="77777777" w:rsidR="00B2442D" w:rsidRDefault="00B2442D">
      <w:pPr>
        <w:ind w:left="426" w:hanging="426"/>
        <w:jc w:val="both"/>
        <w:rPr>
          <w:rFonts w:ascii="Arial" w:hAnsi="Arial" w:cs="Arial"/>
          <w:lang w:val="es-CO"/>
        </w:rPr>
      </w:pPr>
    </w:p>
    <w:p w14:paraId="7D6C663F" w14:textId="77777777" w:rsidR="00B2442D" w:rsidRDefault="008A645F">
      <w:pPr>
        <w:ind w:left="426" w:hanging="426"/>
        <w:jc w:val="both"/>
        <w:rPr>
          <w:rFonts w:ascii="Arial" w:hAnsi="Arial" w:cs="Arial"/>
          <w:lang w:val="es-CO"/>
        </w:rPr>
      </w:pPr>
      <w:r>
        <w:rPr>
          <w:rFonts w:ascii="Arial" w:hAnsi="Arial" w:cs="Arial"/>
          <w:lang w:val="es-CO"/>
        </w:rPr>
        <w:t>j)</w:t>
      </w:r>
      <w:r>
        <w:rPr>
          <w:rFonts w:ascii="Arial" w:hAnsi="Arial" w:cs="Arial"/>
          <w:lang w:val="es-CO"/>
        </w:rPr>
        <w:tab/>
        <w:t>Los responsables del impuesto nacional a la gasolina y al ACPM;</w:t>
      </w:r>
    </w:p>
    <w:p w14:paraId="429B72A7" w14:textId="77777777" w:rsidR="00B2442D" w:rsidRDefault="00B2442D">
      <w:pPr>
        <w:ind w:left="426" w:hanging="426"/>
        <w:jc w:val="both"/>
        <w:rPr>
          <w:rFonts w:ascii="Arial" w:hAnsi="Arial" w:cs="Arial"/>
          <w:lang w:val="es-CO"/>
        </w:rPr>
      </w:pPr>
    </w:p>
    <w:p w14:paraId="608A3C92" w14:textId="77777777" w:rsidR="00B2442D" w:rsidRDefault="008A645F">
      <w:pPr>
        <w:ind w:left="426" w:hanging="426"/>
        <w:jc w:val="both"/>
        <w:rPr>
          <w:rFonts w:ascii="Arial" w:hAnsi="Arial" w:cs="Arial"/>
          <w:lang w:val="es-CO"/>
        </w:rPr>
      </w:pPr>
      <w:r>
        <w:rPr>
          <w:rFonts w:ascii="Arial" w:hAnsi="Arial" w:cs="Arial"/>
          <w:lang w:val="es-CO"/>
        </w:rPr>
        <w:t>k)</w:t>
      </w:r>
      <w:r>
        <w:rPr>
          <w:rFonts w:ascii="Arial" w:hAnsi="Arial" w:cs="Arial"/>
          <w:lang w:val="es-CO"/>
        </w:rPr>
        <w:tab/>
        <w:t>Los agentes retenedores;</w:t>
      </w:r>
    </w:p>
    <w:p w14:paraId="324286F4" w14:textId="77777777" w:rsidR="00B2442D" w:rsidRDefault="00B2442D">
      <w:pPr>
        <w:ind w:left="426" w:hanging="426"/>
        <w:jc w:val="both"/>
        <w:rPr>
          <w:rFonts w:ascii="Arial" w:hAnsi="Arial" w:cs="Arial"/>
          <w:lang w:val="es-CO"/>
        </w:rPr>
      </w:pPr>
    </w:p>
    <w:p w14:paraId="3D401748" w14:textId="77777777" w:rsidR="00B2442D" w:rsidRDefault="008A645F">
      <w:pPr>
        <w:ind w:left="426" w:hanging="426"/>
        <w:jc w:val="both"/>
        <w:rPr>
          <w:rFonts w:ascii="Arial" w:hAnsi="Arial" w:cs="Arial"/>
          <w:lang w:val="es-CO"/>
        </w:rPr>
      </w:pPr>
      <w:r>
        <w:rPr>
          <w:rFonts w:ascii="Arial" w:hAnsi="Arial" w:cs="Arial"/>
          <w:lang w:val="es-CO"/>
        </w:rPr>
        <w:t>l)</w:t>
      </w:r>
      <w:r>
        <w:rPr>
          <w:rFonts w:ascii="Arial" w:hAnsi="Arial" w:cs="Arial"/>
          <w:lang w:val="es-CO"/>
        </w:rPr>
        <w:tab/>
        <w:t>Los importadores, exportadores y demás usuarios aduaneros;</w:t>
      </w:r>
    </w:p>
    <w:p w14:paraId="5EC9FA6C" w14:textId="77777777" w:rsidR="00B2442D" w:rsidRDefault="00B2442D">
      <w:pPr>
        <w:ind w:left="426" w:hanging="426"/>
        <w:jc w:val="both"/>
        <w:rPr>
          <w:rFonts w:ascii="Arial" w:hAnsi="Arial" w:cs="Arial"/>
          <w:lang w:val="es-CO"/>
        </w:rPr>
      </w:pPr>
    </w:p>
    <w:p w14:paraId="0598F634" w14:textId="77777777" w:rsidR="00B2442D" w:rsidRDefault="008A645F">
      <w:pPr>
        <w:ind w:left="426" w:hanging="426"/>
        <w:jc w:val="both"/>
        <w:rPr>
          <w:rFonts w:ascii="Arial" w:hAnsi="Arial" w:cs="Arial"/>
          <w:lang w:val="es-CO"/>
        </w:rPr>
      </w:pPr>
      <w:r>
        <w:rPr>
          <w:rFonts w:ascii="Arial" w:hAnsi="Arial" w:cs="Arial"/>
          <w:lang w:val="es-CO"/>
        </w:rPr>
        <w:t>m)</w:t>
      </w:r>
      <w:r>
        <w:rPr>
          <w:rFonts w:ascii="Arial" w:hAnsi="Arial" w:cs="Arial"/>
          <w:lang w:val="es-CO"/>
        </w:rPr>
        <w:tab/>
        <w:t xml:space="preserve">Los </w:t>
      </w:r>
      <w:r>
        <w:rPr>
          <w:rFonts w:ascii="Arial" w:hAnsi="Arial" w:cs="Arial"/>
          <w:lang w:val="es-CO"/>
        </w:rPr>
        <w:t>profesionales de compra y venta de divisas en efectivo y cheques de viajeros;</w:t>
      </w:r>
    </w:p>
    <w:p w14:paraId="5829CAC2" w14:textId="77777777" w:rsidR="00B2442D" w:rsidRDefault="00B2442D">
      <w:pPr>
        <w:ind w:left="426" w:hanging="426"/>
        <w:jc w:val="both"/>
        <w:rPr>
          <w:rFonts w:ascii="Arial" w:hAnsi="Arial" w:cs="Arial"/>
          <w:lang w:val="es-CO"/>
        </w:rPr>
      </w:pPr>
    </w:p>
    <w:p w14:paraId="56545236" w14:textId="77777777" w:rsidR="00B2442D" w:rsidRDefault="008A645F">
      <w:pPr>
        <w:ind w:left="426" w:hanging="426"/>
        <w:jc w:val="both"/>
        <w:rPr>
          <w:rFonts w:ascii="Arial" w:hAnsi="Arial" w:cs="Arial"/>
          <w:lang w:val="es-CO"/>
        </w:rPr>
      </w:pPr>
      <w:r>
        <w:rPr>
          <w:rFonts w:ascii="Arial" w:hAnsi="Arial" w:cs="Arial"/>
          <w:lang w:val="es-CO"/>
        </w:rPr>
        <w:t>n)</w:t>
      </w:r>
      <w:r>
        <w:rPr>
          <w:rFonts w:ascii="Arial" w:hAnsi="Arial" w:cs="Arial"/>
          <w:lang w:val="es-CO"/>
        </w:rPr>
        <w:tab/>
        <w:t>Los obligados a declarar el ingreso o salida del país de divisas o moneda legal colombiana en efectivo;</w:t>
      </w:r>
    </w:p>
    <w:p w14:paraId="7BE2C45F" w14:textId="77777777" w:rsidR="00B2442D" w:rsidRDefault="00B2442D">
      <w:pPr>
        <w:ind w:left="426" w:hanging="426"/>
        <w:jc w:val="both"/>
        <w:rPr>
          <w:rFonts w:ascii="Arial" w:hAnsi="Arial" w:cs="Arial"/>
          <w:lang w:val="es-CO"/>
        </w:rPr>
      </w:pPr>
    </w:p>
    <w:p w14:paraId="459459C9" w14:textId="77777777" w:rsidR="00B2442D" w:rsidRDefault="008A645F">
      <w:pPr>
        <w:ind w:left="426" w:hanging="426"/>
        <w:jc w:val="both"/>
        <w:rPr>
          <w:rFonts w:ascii="Arial" w:hAnsi="Arial" w:cs="Arial"/>
          <w:lang w:val="es-CO"/>
        </w:rPr>
      </w:pPr>
      <w:r>
        <w:rPr>
          <w:rFonts w:ascii="Arial" w:hAnsi="Arial" w:cs="Arial"/>
          <w:lang w:val="es-CO"/>
        </w:rPr>
        <w:t xml:space="preserve">o) </w:t>
      </w:r>
      <w:r>
        <w:rPr>
          <w:rFonts w:ascii="Arial" w:hAnsi="Arial" w:cs="Arial"/>
          <w:lang w:val="es-CO"/>
        </w:rPr>
        <w:tab/>
        <w:t>La Unidad Administrativa Especial Dirección de Impuestos y Aduana</w:t>
      </w:r>
      <w:r>
        <w:rPr>
          <w:rFonts w:ascii="Arial" w:hAnsi="Arial" w:cs="Arial"/>
          <w:lang w:val="es-CO"/>
        </w:rPr>
        <w:t>s Nacionales-DIAN podrá requerir la inscripción de otros sujetos diferentes de los enunciados en los literales anteriores, para efectos del control de las obligaciones sustanciales y formales que administra.</w:t>
      </w:r>
    </w:p>
    <w:p w14:paraId="674555CD" w14:textId="77777777" w:rsidR="00B2442D" w:rsidRDefault="00B2442D">
      <w:pPr>
        <w:ind w:left="426" w:hanging="426"/>
        <w:jc w:val="both"/>
        <w:rPr>
          <w:rFonts w:ascii="Arial" w:hAnsi="Arial" w:cs="Arial"/>
          <w:lang w:val="es-CO"/>
        </w:rPr>
      </w:pPr>
    </w:p>
    <w:p w14:paraId="69F974E2" w14:textId="77777777" w:rsidR="00B2442D" w:rsidRDefault="008A645F">
      <w:pPr>
        <w:ind w:left="426" w:hanging="426"/>
        <w:jc w:val="both"/>
        <w:rPr>
          <w:rFonts w:ascii="Arial" w:hAnsi="Arial" w:cs="Arial"/>
          <w:lang w:val="es-CO"/>
        </w:rPr>
      </w:pPr>
      <w:r>
        <w:rPr>
          <w:rFonts w:ascii="Arial" w:hAnsi="Arial" w:cs="Arial"/>
          <w:lang w:val="es-CO"/>
        </w:rPr>
        <w:t xml:space="preserve">p) </w:t>
      </w:r>
      <w:r>
        <w:rPr>
          <w:rFonts w:ascii="Arial" w:hAnsi="Arial" w:cs="Arial"/>
          <w:lang w:val="es-CO"/>
        </w:rPr>
        <w:tab/>
        <w:t xml:space="preserve">Los inversionistas no residentes ni </w:t>
      </w:r>
      <w:r>
        <w:rPr>
          <w:rFonts w:ascii="Arial" w:hAnsi="Arial" w:cs="Arial"/>
          <w:lang w:val="es-CO"/>
        </w:rPr>
        <w:t>domiciliados en Colombia titulares de inversiones de capital del exterior de portafolio, independientemente de la modalidad o vehículo utilizado para efectuar la inversión.</w:t>
      </w:r>
    </w:p>
    <w:p w14:paraId="2205F305" w14:textId="77777777" w:rsidR="00B2442D" w:rsidRDefault="00B2442D">
      <w:pPr>
        <w:jc w:val="both"/>
        <w:rPr>
          <w:rFonts w:ascii="Arial" w:hAnsi="Arial" w:cs="Arial"/>
          <w:lang w:val="es-CO"/>
        </w:rPr>
      </w:pPr>
    </w:p>
    <w:p w14:paraId="5948D66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las operaciones de importación, exportación, tránsit</w:t>
      </w:r>
      <w:r>
        <w:rPr>
          <w:rFonts w:ascii="Arial" w:hAnsi="Arial" w:cs="Arial"/>
          <w:lang w:val="es-CO"/>
        </w:rPr>
        <w:t>o aduanero, no estarán obligados a inscribirse en el RUT en calidad de usuarios aduaneros:</w:t>
      </w:r>
    </w:p>
    <w:p w14:paraId="5A55906B" w14:textId="77777777" w:rsidR="00B2442D" w:rsidRDefault="00B2442D">
      <w:pPr>
        <w:jc w:val="both"/>
        <w:rPr>
          <w:rFonts w:ascii="Arial" w:hAnsi="Arial" w:cs="Arial"/>
          <w:lang w:val="es-CO"/>
        </w:rPr>
      </w:pPr>
    </w:p>
    <w:p w14:paraId="1F924DC3" w14:textId="77777777" w:rsidR="00B2442D" w:rsidRDefault="008A645F">
      <w:pPr>
        <w:jc w:val="both"/>
        <w:rPr>
          <w:rFonts w:ascii="Arial" w:hAnsi="Arial" w:cs="Arial"/>
          <w:lang w:val="es-CO"/>
        </w:rPr>
      </w:pPr>
      <w:r>
        <w:rPr>
          <w:rFonts w:ascii="Arial" w:hAnsi="Arial" w:cs="Arial"/>
          <w:lang w:val="es-CO"/>
        </w:rPr>
        <w:t>Los extranjeros no residentes, diplomáticos, misiones diplomáticas, misiones consulares y misiones técnicas acreditadas en Colombia, los sujetos al régimen de menaj</w:t>
      </w:r>
      <w:r>
        <w:rPr>
          <w:rFonts w:ascii="Arial" w:hAnsi="Arial" w:cs="Arial"/>
          <w:lang w:val="es-CO"/>
        </w:rPr>
        <w:t>es y de viajeros, los transportadores internacionales no residentes, las personas naturales destinatarias o remitentes de mercancías bajo la modalidad de tráfico postal y envíos urgentes, salvo cuando utilicen la modalidad para la importación y/o exportaci</w:t>
      </w:r>
      <w:r>
        <w:rPr>
          <w:rFonts w:ascii="Arial" w:hAnsi="Arial" w:cs="Arial"/>
          <w:lang w:val="es-CO"/>
        </w:rPr>
        <w:t>ón de expediciones comerciales.</w:t>
      </w:r>
    </w:p>
    <w:p w14:paraId="4ABDF31A" w14:textId="77777777" w:rsidR="00B2442D" w:rsidRDefault="00B2442D">
      <w:pPr>
        <w:jc w:val="both"/>
        <w:rPr>
          <w:rFonts w:ascii="Arial" w:hAnsi="Arial" w:cs="Arial"/>
          <w:lang w:val="es-CO"/>
        </w:rPr>
      </w:pPr>
    </w:p>
    <w:p w14:paraId="74240E4C" w14:textId="77777777" w:rsidR="00B2442D" w:rsidRDefault="008A645F">
      <w:pPr>
        <w:jc w:val="both"/>
        <w:rPr>
          <w:rFonts w:ascii="Arial" w:hAnsi="Arial" w:cs="Arial"/>
          <w:lang w:val="es-CO"/>
        </w:rPr>
      </w:pPr>
      <w:r>
        <w:rPr>
          <w:rFonts w:ascii="Arial" w:hAnsi="Arial" w:cs="Arial"/>
          <w:lang w:val="es-CO"/>
        </w:rPr>
        <w:t>Estos usuarios aduaneros podrán identificarse con el número de pasaporte, número de documento de identidad o el número del documento que acredita la misión. Lo anterior sin perjuicio de la inscripción que deban cumplir en v</w:t>
      </w:r>
      <w:r>
        <w:rPr>
          <w:rFonts w:ascii="Arial" w:hAnsi="Arial" w:cs="Arial"/>
          <w:lang w:val="es-CO"/>
        </w:rPr>
        <w:t>irtud de otras responsabilidades u obligaciones a que estén sujetos.</w:t>
      </w:r>
    </w:p>
    <w:p w14:paraId="2645825B" w14:textId="77777777" w:rsidR="00B2442D" w:rsidRDefault="00B2442D">
      <w:pPr>
        <w:jc w:val="both"/>
        <w:rPr>
          <w:rFonts w:ascii="Arial" w:hAnsi="Arial" w:cs="Arial"/>
          <w:lang w:val="es-CO"/>
        </w:rPr>
      </w:pPr>
    </w:p>
    <w:p w14:paraId="53A6A391"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profesionales de compra y venta de divisas en efectivo y cheques de viajeros deberán obtener la autorización que acredite el cumplimiento de los requisitos y condicione</w:t>
      </w:r>
      <w:r>
        <w:rPr>
          <w:rFonts w:ascii="Arial" w:hAnsi="Arial" w:cs="Arial"/>
          <w:lang w:val="es-CO"/>
        </w:rPr>
        <w:t>s que establezca para el efecto la Unidad Administrativa Especial Dirección de Impuestos y Aduanas Nacionales- DIAN, mediante resolución de carácter general, de acuerdo con lo dispuesto por el numeral 2 del artículo 75 de la Resolución Externa 8 de 2000, m</w:t>
      </w:r>
      <w:r>
        <w:rPr>
          <w:rFonts w:ascii="Arial" w:hAnsi="Arial" w:cs="Arial"/>
          <w:lang w:val="es-CO"/>
        </w:rPr>
        <w:t>odificado por el artículo 1 de la Resolución Externa número 6 de 2004 y el artículo 3o de la Resolución Externa número 4 de 2005 de la Junta Directiva del Banco de la República.</w:t>
      </w:r>
    </w:p>
    <w:p w14:paraId="3ADDC898" w14:textId="77777777" w:rsidR="00B2442D" w:rsidRDefault="00B2442D">
      <w:pPr>
        <w:jc w:val="both"/>
        <w:rPr>
          <w:rFonts w:ascii="Arial" w:hAnsi="Arial" w:cs="Arial"/>
          <w:lang w:val="es-CO"/>
        </w:rPr>
      </w:pPr>
    </w:p>
    <w:p w14:paraId="69653DAB" w14:textId="77777777" w:rsidR="00B2442D" w:rsidRDefault="008A645F">
      <w:pPr>
        <w:jc w:val="both"/>
        <w:rPr>
          <w:rFonts w:ascii="Arial" w:hAnsi="Arial" w:cs="Arial"/>
          <w:i/>
          <w:lang w:val="es-CO"/>
        </w:rPr>
      </w:pPr>
      <w:r>
        <w:rPr>
          <w:rFonts w:ascii="Arial" w:hAnsi="Arial" w:cs="Arial"/>
          <w:i/>
          <w:lang w:val="es-CO"/>
        </w:rPr>
        <w:t>(Art. 5, Decreto 2460 de 2013. Literal p) adicionado por el art. 2 del Decret</w:t>
      </w:r>
      <w:r>
        <w:rPr>
          <w:rFonts w:ascii="Arial" w:hAnsi="Arial" w:cs="Arial"/>
          <w:i/>
          <w:lang w:val="es-CO"/>
        </w:rPr>
        <w:t>o 2620 de 2014. Las expresión “y jurídicas” del literal f) tiene decaimiento por evolución normativa (Art. 51 de la Ley 1739/14)</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w:t>
      </w:r>
      <w:r>
        <w:rPr>
          <w:rFonts w:ascii="Arial" w:hAnsi="Arial" w:cs="Arial"/>
          <w:i/>
          <w:lang w:val="es-CO"/>
        </w:rPr>
        <w:t>2645 de 2011 y 2820 de 2011, el artículo 10 del Decreto número 3026 de 2013, el artículo 11 del Decreto número 3028 de 2013 y las demás normas que le sean contrarias. Art. 23, Decreto 2460 de 2013, modificado por el art. 10 del Decreto 2620 de 2014)</w:t>
      </w:r>
    </w:p>
    <w:p w14:paraId="6BFBA9C7" w14:textId="77777777" w:rsidR="00B2442D" w:rsidRDefault="00B2442D">
      <w:pPr>
        <w:jc w:val="both"/>
        <w:rPr>
          <w:rFonts w:ascii="Arial" w:hAnsi="Arial" w:cs="Arial"/>
          <w:lang w:val="es-CO"/>
        </w:rPr>
      </w:pPr>
    </w:p>
    <w:p w14:paraId="30AD1D46"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Inscr</w:t>
      </w:r>
      <w:r>
        <w:rPr>
          <w:rFonts w:ascii="Arial" w:hAnsi="Arial" w:cs="Arial"/>
          <w:b/>
          <w:i/>
          <w:lang w:val="es-CO"/>
        </w:rPr>
        <w:t>ipción en el Registro Único Tributario (RUT).</w:t>
      </w:r>
      <w:r>
        <w:rPr>
          <w:rFonts w:ascii="Arial" w:hAnsi="Arial" w:cs="Arial"/>
          <w:lang w:val="es-CO"/>
        </w:rPr>
        <w:t xml:space="preserve"> Es el proceso por el cual las personas naturales, jurídicas y demás sujetos de obligaciones administradas por la Unidad Administrativa Especial Dirección de Impuestos y Aduanas Nacionales-DIAN, obligados a insc</w:t>
      </w:r>
      <w:r>
        <w:rPr>
          <w:rFonts w:ascii="Arial" w:hAnsi="Arial" w:cs="Arial"/>
          <w:lang w:val="es-CO"/>
        </w:rPr>
        <w:t>ribirse, se incorporan en el Registro Único Tributario (RUT), con el cumplimiento de las condiciones y requisitos establecidos en el presente capítulo.</w:t>
      </w:r>
    </w:p>
    <w:p w14:paraId="7C48C225" w14:textId="77777777" w:rsidR="00B2442D" w:rsidRDefault="00B2442D">
      <w:pPr>
        <w:jc w:val="both"/>
        <w:rPr>
          <w:rFonts w:ascii="Arial" w:hAnsi="Arial" w:cs="Arial"/>
          <w:lang w:val="es-CO"/>
        </w:rPr>
      </w:pPr>
    </w:p>
    <w:p w14:paraId="0E4CFCB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Sin perjuicio de las actualizaciones a que haya lugar, la inscripción en el Registro Único T</w:t>
      </w:r>
      <w:r>
        <w:rPr>
          <w:rFonts w:ascii="Arial" w:hAnsi="Arial" w:cs="Arial"/>
          <w:lang w:val="es-CO"/>
        </w:rPr>
        <w:t>ributario (RUT), tendrá vigencia indefinida y, en consecuencia, no se exigirá su renovación.</w:t>
      </w:r>
    </w:p>
    <w:p w14:paraId="3A884C01" w14:textId="77777777" w:rsidR="00B2442D" w:rsidRDefault="00B2442D">
      <w:pPr>
        <w:jc w:val="both"/>
        <w:rPr>
          <w:rFonts w:ascii="Arial" w:hAnsi="Arial" w:cs="Arial"/>
          <w:lang w:val="es-CO"/>
        </w:rPr>
      </w:pPr>
    </w:p>
    <w:p w14:paraId="19D89370" w14:textId="77777777" w:rsidR="00B2442D" w:rsidRDefault="008A645F">
      <w:pPr>
        <w:jc w:val="both"/>
        <w:rPr>
          <w:rFonts w:ascii="Arial" w:hAnsi="Arial" w:cs="Arial"/>
          <w:i/>
          <w:lang w:val="es-CO"/>
        </w:rPr>
      </w:pPr>
      <w:r>
        <w:rPr>
          <w:rFonts w:ascii="Arial" w:hAnsi="Arial" w:cs="Arial"/>
          <w:i/>
          <w:lang w:val="es-CO"/>
        </w:rPr>
        <w:t>(Art. 6, Decreto 2460 de 2013)</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w:t>
      </w:r>
      <w:r>
        <w:rPr>
          <w:rFonts w:ascii="Arial" w:hAnsi="Arial" w:cs="Arial"/>
          <w:i/>
          <w:lang w:val="es-CO"/>
        </w:rPr>
        <w:t xml:space="preserve"> de 2011 y 2820 de 2011, el artículo 10 del Decreto número 3026 de 2013, el artículo 11 del Decreto número 3028 de 2013 y las demás normas que le sean contrarias. Art. 23, Decreto 2460 de 2013, modificado por el art. 10 del Decreto 2620 de 2014)</w:t>
      </w:r>
    </w:p>
    <w:p w14:paraId="249CF7B2" w14:textId="77777777" w:rsidR="00B2442D" w:rsidRDefault="00B2442D">
      <w:pPr>
        <w:jc w:val="both"/>
        <w:rPr>
          <w:rFonts w:ascii="Arial" w:hAnsi="Arial" w:cs="Arial"/>
          <w:lang w:val="es-CO"/>
        </w:rPr>
      </w:pPr>
    </w:p>
    <w:p w14:paraId="34D7307F"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Oportunid</w:t>
      </w:r>
      <w:r>
        <w:rPr>
          <w:rFonts w:ascii="Arial" w:hAnsi="Arial" w:cs="Arial"/>
          <w:b/>
          <w:i/>
          <w:lang w:val="es-CO"/>
        </w:rPr>
        <w:t>ad de la inscripción en el Registro Único Tributario (RUT).</w:t>
      </w:r>
      <w:r>
        <w:rPr>
          <w:rFonts w:ascii="Arial" w:hAnsi="Arial" w:cs="Arial"/>
          <w:lang w:val="es-CO"/>
        </w:rPr>
        <w:t xml:space="preserve"> La inscripción en el Registro Único Tributario (RUT), deberá efectuarse en forma previa al inicio de la actividad económica, al cumplimiento de obligaciones administradas por la Unidad Administrat</w:t>
      </w:r>
      <w:r>
        <w:rPr>
          <w:rFonts w:ascii="Arial" w:hAnsi="Arial" w:cs="Arial"/>
          <w:lang w:val="es-CO"/>
        </w:rPr>
        <w:t>iva Especial  Unidad Administrativa Especial Dirección de Impuestos y Aduanas Nacionales-DIAN, y en general, a la realización de operaciones en calidad de importador, exportador o usuario aduanero.</w:t>
      </w:r>
    </w:p>
    <w:p w14:paraId="3E6C40E4" w14:textId="77777777" w:rsidR="00B2442D" w:rsidRDefault="00B2442D">
      <w:pPr>
        <w:jc w:val="both"/>
        <w:rPr>
          <w:rFonts w:ascii="Arial" w:hAnsi="Arial" w:cs="Arial"/>
          <w:lang w:val="es-CO"/>
        </w:rPr>
      </w:pPr>
    </w:p>
    <w:p w14:paraId="5A0252FA" w14:textId="77777777" w:rsidR="00B2442D" w:rsidRDefault="008A645F">
      <w:pPr>
        <w:jc w:val="both"/>
        <w:rPr>
          <w:rFonts w:ascii="Arial" w:hAnsi="Arial" w:cs="Arial"/>
          <w:lang w:val="es-CO"/>
        </w:rPr>
      </w:pPr>
      <w:r>
        <w:rPr>
          <w:rFonts w:ascii="Arial" w:hAnsi="Arial" w:cs="Arial"/>
          <w:lang w:val="es-CO"/>
        </w:rPr>
        <w:t>Las personas naturales que en el correspondiente año grav</w:t>
      </w:r>
      <w:r>
        <w:rPr>
          <w:rFonts w:ascii="Arial" w:hAnsi="Arial" w:cs="Arial"/>
          <w:lang w:val="es-CO"/>
        </w:rPr>
        <w:t xml:space="preserve">able adquieran la calidad de declarantes del impuesto sobre la renta y complementario, acorde con lo establecido en los artículos 592, 593 y 594-1 del Estatuto Tributario, tendrán plazo para inscribirse en el Registro Único Tributario (RUT) hasta la fecha </w:t>
      </w:r>
      <w:r>
        <w:rPr>
          <w:rFonts w:ascii="Arial" w:hAnsi="Arial" w:cs="Arial"/>
          <w:lang w:val="es-CO"/>
        </w:rPr>
        <w:t>de vencimiento prevista para presentar la respectiva declaración. Lo anterior, sin perjuicio de la obligación de registrarse por una situación diferente.</w:t>
      </w:r>
    </w:p>
    <w:p w14:paraId="26362D18" w14:textId="77777777" w:rsidR="00B2442D" w:rsidRDefault="00B2442D">
      <w:pPr>
        <w:jc w:val="both"/>
        <w:rPr>
          <w:rFonts w:ascii="Arial" w:hAnsi="Arial" w:cs="Arial"/>
          <w:lang w:val="es-CO"/>
        </w:rPr>
      </w:pPr>
    </w:p>
    <w:p w14:paraId="076CB742" w14:textId="77777777" w:rsidR="00B2442D" w:rsidRDefault="008A645F">
      <w:pPr>
        <w:jc w:val="both"/>
        <w:rPr>
          <w:rFonts w:ascii="Arial" w:hAnsi="Arial" w:cs="Arial"/>
          <w:i/>
          <w:lang w:val="es-CO"/>
        </w:rPr>
      </w:pPr>
      <w:r>
        <w:rPr>
          <w:rFonts w:ascii="Arial" w:hAnsi="Arial" w:cs="Arial"/>
          <w:i/>
          <w:lang w:val="es-CO"/>
        </w:rPr>
        <w:t>(Art. 7, Decreto 2460 de 2013)</w:t>
      </w:r>
      <w:r>
        <w:rPr>
          <w:rFonts w:ascii="Arial" w:hAnsi="Arial" w:cs="Arial"/>
        </w:rPr>
        <w:t xml:space="preserve"> </w:t>
      </w:r>
      <w:r>
        <w:rPr>
          <w:rFonts w:ascii="Arial" w:hAnsi="Arial" w:cs="Arial"/>
          <w:i/>
          <w:lang w:val="es-CO"/>
        </w:rPr>
        <w:t>(El Decreto 2460 de 2013 rige a partir de la fecha de su publicación y</w:t>
      </w:r>
      <w:r>
        <w:rPr>
          <w:rFonts w:ascii="Arial" w:hAnsi="Arial" w:cs="Arial"/>
          <w:i/>
          <w:lang w:val="es-CO"/>
        </w:rPr>
        <w:t xml:space="preserve"> deroga los Decretos números 2788 de 2004, 4714 de 2008, 2645 de 2011 y 2820 de 2011, el artículo 10 del Decreto número 3026 de 2013, el artículo 11 del Decreto número 3028 de 2013 y las demás normas que le sean contrarias. Art. 23, Decreto 2460 de 2013, m</w:t>
      </w:r>
      <w:r>
        <w:rPr>
          <w:rFonts w:ascii="Arial" w:hAnsi="Arial" w:cs="Arial"/>
          <w:i/>
          <w:lang w:val="es-CO"/>
        </w:rPr>
        <w:t>odificado por el art. 10 del Decreto 2620 de 2014)</w:t>
      </w:r>
    </w:p>
    <w:p w14:paraId="70BF01AA" w14:textId="77777777" w:rsidR="00B2442D" w:rsidRDefault="00B2442D">
      <w:pPr>
        <w:jc w:val="both"/>
        <w:rPr>
          <w:rFonts w:ascii="Arial" w:hAnsi="Arial" w:cs="Arial"/>
          <w:lang w:val="es-CO"/>
        </w:rPr>
      </w:pPr>
    </w:p>
    <w:p w14:paraId="6AAFDAC7"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Lugar de inscripción, actualización y solicitud de cancelación en el Registro Único Tributario (RUT).</w:t>
      </w:r>
      <w:r>
        <w:rPr>
          <w:rFonts w:ascii="Arial" w:hAnsi="Arial" w:cs="Arial"/>
          <w:lang w:val="es-CO"/>
        </w:rPr>
        <w:t xml:space="preserve"> La inscripción, actualización y solicitud de cancelación en el Registro Único Tributario se realizará </w:t>
      </w:r>
      <w:r>
        <w:rPr>
          <w:rFonts w:ascii="Arial" w:hAnsi="Arial" w:cs="Arial"/>
          <w:lang w:val="es-CO"/>
        </w:rPr>
        <w:t>en las instalaciones de la Dirección Seccional de Impuestos de Aduanas o de Impuestos y Aduanas, de la Unidad Administrativa Especial Dirección de Impuestos y Aduanas Nacionales-DIAN.</w:t>
      </w:r>
    </w:p>
    <w:p w14:paraId="77690697" w14:textId="77777777" w:rsidR="00B2442D" w:rsidRDefault="00B2442D">
      <w:pPr>
        <w:jc w:val="both"/>
        <w:rPr>
          <w:rFonts w:ascii="Arial" w:hAnsi="Arial" w:cs="Arial"/>
          <w:lang w:val="es-CO"/>
        </w:rPr>
      </w:pPr>
    </w:p>
    <w:p w14:paraId="132ECA31" w14:textId="77777777" w:rsidR="00B2442D" w:rsidRDefault="008A645F">
      <w:pPr>
        <w:jc w:val="both"/>
        <w:rPr>
          <w:rFonts w:ascii="Arial" w:hAnsi="Arial" w:cs="Arial"/>
          <w:lang w:val="es-CO"/>
        </w:rPr>
      </w:pPr>
      <w:r>
        <w:rPr>
          <w:rFonts w:ascii="Arial" w:hAnsi="Arial" w:cs="Arial"/>
          <w:lang w:val="es-CO"/>
        </w:rPr>
        <w:t xml:space="preserve">Lo anterior se aplicará sin perjuicio de las herramientas y </w:t>
      </w:r>
      <w:r>
        <w:rPr>
          <w:rFonts w:ascii="Arial" w:hAnsi="Arial" w:cs="Arial"/>
          <w:lang w:val="es-CO"/>
        </w:rPr>
        <w:t>mecanismos electrónicos que la Unidad Administrativa Especial Dirección de Impuestos y Aduanas Nacionales-DIAN ponga a disposición de las personas o entidades obligadas a inscribirse en el RUT.</w:t>
      </w:r>
    </w:p>
    <w:p w14:paraId="050F6CAE" w14:textId="77777777" w:rsidR="00B2442D" w:rsidRDefault="00B2442D">
      <w:pPr>
        <w:jc w:val="both"/>
        <w:rPr>
          <w:rFonts w:ascii="Arial" w:hAnsi="Arial" w:cs="Arial"/>
          <w:lang w:val="es-CO"/>
        </w:rPr>
      </w:pPr>
    </w:p>
    <w:p w14:paraId="3BC90F80" w14:textId="77777777" w:rsidR="00B2442D" w:rsidRDefault="008A645F">
      <w:pPr>
        <w:jc w:val="both"/>
        <w:rPr>
          <w:rFonts w:ascii="Arial" w:hAnsi="Arial" w:cs="Arial"/>
          <w:lang w:val="es-CO"/>
        </w:rPr>
      </w:pPr>
      <w:r>
        <w:rPr>
          <w:rFonts w:ascii="Arial" w:hAnsi="Arial" w:cs="Arial"/>
          <w:lang w:val="es-CO"/>
        </w:rPr>
        <w:t>La inscripción y actualización podrá realizarse en las Cámara</w:t>
      </w:r>
      <w:r>
        <w:rPr>
          <w:rFonts w:ascii="Arial" w:hAnsi="Arial" w:cs="Arial"/>
          <w:lang w:val="es-CO"/>
        </w:rPr>
        <w:t>s de Comercio, y en las sedes o establecimientos de otras entidades públicas o privadas, facultadas para el efecto o a través de convenios suscritos con la Unidad Administrativa Especial Dirección de Impuestos y Aduanas Nacionales-DIAN.</w:t>
      </w:r>
    </w:p>
    <w:p w14:paraId="2B64757F" w14:textId="77777777" w:rsidR="00B2442D" w:rsidRDefault="00B2442D">
      <w:pPr>
        <w:jc w:val="both"/>
        <w:rPr>
          <w:rFonts w:ascii="Arial" w:hAnsi="Arial" w:cs="Arial"/>
          <w:lang w:val="es-CO"/>
        </w:rPr>
      </w:pPr>
    </w:p>
    <w:p w14:paraId="47FC545D" w14:textId="77777777" w:rsidR="00B2442D" w:rsidRDefault="008A645F">
      <w:pPr>
        <w:jc w:val="both"/>
        <w:rPr>
          <w:rFonts w:ascii="Arial" w:hAnsi="Arial" w:cs="Arial"/>
          <w:i/>
          <w:lang w:val="es-CO"/>
        </w:rPr>
      </w:pPr>
      <w:r>
        <w:rPr>
          <w:rFonts w:ascii="Arial" w:hAnsi="Arial" w:cs="Arial"/>
          <w:i/>
          <w:lang w:val="es-CO"/>
        </w:rPr>
        <w:t>(Art. 8, Decreto 2</w:t>
      </w:r>
      <w:r>
        <w:rPr>
          <w:rFonts w:ascii="Arial" w:hAnsi="Arial" w:cs="Arial"/>
          <w:i/>
          <w:lang w:val="es-CO"/>
        </w:rPr>
        <w:t>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2645 de 2011 y 2820 de 2011, el artículo 10 del Decreto número 3026 de 2013, el artículo 11 del Decreto número 3028 </w:t>
      </w:r>
      <w:r>
        <w:rPr>
          <w:rFonts w:ascii="Arial" w:hAnsi="Arial" w:cs="Arial"/>
          <w:i/>
          <w:lang w:val="es-CO"/>
        </w:rPr>
        <w:t>de 2013 y las demás normas que le sean contrarias. Art. 23, Decreto 2460 de 2013, modificado por el art. 10 del Decreto 2620 de 2014)</w:t>
      </w:r>
    </w:p>
    <w:p w14:paraId="363D5BB6" w14:textId="77777777" w:rsidR="00B2442D" w:rsidRDefault="00B2442D">
      <w:pPr>
        <w:jc w:val="both"/>
        <w:rPr>
          <w:rFonts w:ascii="Arial" w:hAnsi="Arial" w:cs="Arial"/>
          <w:lang w:val="es-CO"/>
        </w:rPr>
      </w:pPr>
    </w:p>
    <w:p w14:paraId="6AF42C7B"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Formalización de la inscripción, actualización y solicitud de cancelación en el Registro Único Tributario (RUT).</w:t>
      </w:r>
      <w:r>
        <w:rPr>
          <w:rFonts w:ascii="Arial" w:hAnsi="Arial" w:cs="Arial"/>
          <w:lang w:val="es-CO"/>
        </w:rPr>
        <w:t xml:space="preserve">  Se ent</w:t>
      </w:r>
      <w:r>
        <w:rPr>
          <w:rFonts w:ascii="Arial" w:hAnsi="Arial" w:cs="Arial"/>
          <w:lang w:val="es-CO"/>
        </w:rPr>
        <w:t>iende por formalización de la inscripción, de la actualización o de la cancelación del Registro Único Tributario (RUT), el proceso de autenticación, validación e incorporación de la información, suministrada virtual o físicamente, por el obligado ante la U</w:t>
      </w:r>
      <w:r>
        <w:rPr>
          <w:rFonts w:ascii="Arial" w:hAnsi="Arial" w:cs="Arial"/>
          <w:lang w:val="es-CO"/>
        </w:rPr>
        <w:t>nidad Administrativa Especial Dirección de Impuestos y Aduanas Nacionales-DIAN, o demás entidades autorizadas, y la expedición del respectivo certificado.</w:t>
      </w:r>
    </w:p>
    <w:p w14:paraId="345B62F2" w14:textId="77777777" w:rsidR="00B2442D" w:rsidRDefault="00B2442D">
      <w:pPr>
        <w:jc w:val="both"/>
        <w:rPr>
          <w:rFonts w:ascii="Arial" w:hAnsi="Arial" w:cs="Arial"/>
          <w:lang w:val="es-CO"/>
        </w:rPr>
      </w:pPr>
    </w:p>
    <w:p w14:paraId="30EFA5EC" w14:textId="77777777" w:rsidR="00B2442D" w:rsidRDefault="008A645F">
      <w:pPr>
        <w:jc w:val="both"/>
        <w:rPr>
          <w:rFonts w:ascii="Arial" w:hAnsi="Arial" w:cs="Arial"/>
          <w:lang w:val="es-CO"/>
        </w:rPr>
      </w:pPr>
      <w:r>
        <w:rPr>
          <w:rFonts w:ascii="Arial" w:hAnsi="Arial" w:cs="Arial"/>
          <w:lang w:val="es-CO"/>
        </w:rPr>
        <w:t xml:space="preserve">El trámite de inscripción, actualización y solicitud de cancelación en el Registro Único Tributario </w:t>
      </w:r>
      <w:r>
        <w:rPr>
          <w:rFonts w:ascii="Arial" w:hAnsi="Arial" w:cs="Arial"/>
          <w:lang w:val="es-CO"/>
        </w:rPr>
        <w:t>(RUT), se podrá realizar de forma presencial:</w:t>
      </w:r>
    </w:p>
    <w:p w14:paraId="74BD1790" w14:textId="77777777" w:rsidR="00B2442D" w:rsidRDefault="00B2442D">
      <w:pPr>
        <w:jc w:val="both"/>
        <w:rPr>
          <w:rFonts w:ascii="Arial" w:hAnsi="Arial" w:cs="Arial"/>
          <w:lang w:val="es-CO"/>
        </w:rPr>
      </w:pPr>
    </w:p>
    <w:p w14:paraId="153DDE6F" w14:textId="77777777" w:rsidR="00B2442D" w:rsidRDefault="008A645F">
      <w:pPr>
        <w:jc w:val="both"/>
        <w:rPr>
          <w:rFonts w:ascii="Arial" w:hAnsi="Arial" w:cs="Arial"/>
          <w:lang w:val="es-CO"/>
        </w:rPr>
      </w:pPr>
      <w:r>
        <w:rPr>
          <w:rFonts w:ascii="Arial" w:hAnsi="Arial" w:cs="Arial"/>
          <w:lang w:val="es-CO"/>
        </w:rPr>
        <w:t xml:space="preserve">a) Directamente por el interesado o por quien ejerza la representación legal, acreditando la calidad correspondiente; </w:t>
      </w:r>
    </w:p>
    <w:p w14:paraId="018B0A31" w14:textId="77777777" w:rsidR="00B2442D" w:rsidRDefault="00B2442D">
      <w:pPr>
        <w:jc w:val="both"/>
        <w:rPr>
          <w:rFonts w:ascii="Arial" w:hAnsi="Arial" w:cs="Arial"/>
          <w:lang w:val="es-CO"/>
        </w:rPr>
      </w:pPr>
    </w:p>
    <w:p w14:paraId="4E12A050" w14:textId="77777777" w:rsidR="00B2442D" w:rsidRDefault="008A645F">
      <w:pPr>
        <w:jc w:val="both"/>
        <w:rPr>
          <w:rFonts w:ascii="Arial" w:hAnsi="Arial" w:cs="Arial"/>
          <w:lang w:val="es-CO"/>
        </w:rPr>
      </w:pPr>
      <w:r>
        <w:rPr>
          <w:rFonts w:ascii="Arial" w:hAnsi="Arial" w:cs="Arial"/>
          <w:lang w:val="es-CO"/>
        </w:rPr>
        <w:t xml:space="preserve">b) A través de apoderado debidamente acreditado, el cual no requiere tener la </w:t>
      </w:r>
      <w:r>
        <w:rPr>
          <w:rFonts w:ascii="Arial" w:hAnsi="Arial" w:cs="Arial"/>
          <w:lang w:val="es-CO"/>
        </w:rPr>
        <w:t>calidad de abogado.</w:t>
      </w:r>
    </w:p>
    <w:p w14:paraId="3B9D04D7" w14:textId="77777777" w:rsidR="00B2442D" w:rsidRDefault="00B2442D">
      <w:pPr>
        <w:jc w:val="both"/>
        <w:rPr>
          <w:rFonts w:ascii="Arial" w:hAnsi="Arial" w:cs="Arial"/>
          <w:lang w:val="es-CO"/>
        </w:rPr>
      </w:pPr>
    </w:p>
    <w:p w14:paraId="11CF8101" w14:textId="77777777" w:rsidR="00B2442D" w:rsidRDefault="008A645F">
      <w:pPr>
        <w:jc w:val="both"/>
        <w:rPr>
          <w:rFonts w:ascii="Arial" w:hAnsi="Arial" w:cs="Arial"/>
          <w:lang w:val="es-CO"/>
        </w:rPr>
      </w:pPr>
      <w:r>
        <w:rPr>
          <w:rFonts w:ascii="Arial" w:hAnsi="Arial" w:cs="Arial"/>
          <w:lang w:val="es-CO"/>
        </w:rPr>
        <w:t>De forma electrónica a través de la página web de la Unidad Administrativa Especial Dirección de Impuestos Aduanas Nacionales-DIAN, se podrán formalizar los siguientes trámites:</w:t>
      </w:r>
    </w:p>
    <w:p w14:paraId="6094AF1F" w14:textId="77777777" w:rsidR="00B2442D" w:rsidRDefault="00B2442D">
      <w:pPr>
        <w:jc w:val="both"/>
        <w:rPr>
          <w:rFonts w:ascii="Arial" w:hAnsi="Arial" w:cs="Arial"/>
          <w:lang w:val="es-CO"/>
        </w:rPr>
      </w:pPr>
    </w:p>
    <w:p w14:paraId="430F1519" w14:textId="77777777" w:rsidR="00B2442D" w:rsidRDefault="008A645F">
      <w:pPr>
        <w:jc w:val="both"/>
        <w:rPr>
          <w:rFonts w:ascii="Arial" w:hAnsi="Arial" w:cs="Arial"/>
          <w:lang w:val="es-CO"/>
        </w:rPr>
      </w:pPr>
      <w:r>
        <w:rPr>
          <w:rFonts w:ascii="Arial" w:hAnsi="Arial" w:cs="Arial"/>
          <w:lang w:val="es-CO"/>
        </w:rPr>
        <w:t>a) Inscripción en el Registro Único Tributario (RUT) par</w:t>
      </w:r>
      <w:r>
        <w:rPr>
          <w:rFonts w:ascii="Arial" w:hAnsi="Arial" w:cs="Arial"/>
          <w:lang w:val="es-CO"/>
        </w:rPr>
        <w:t>a las personas naturales del régimen simplificado del impuesto a las ventas que no realicen actividades mercantiles, previa verificación de información que realizará el sistema.</w:t>
      </w:r>
    </w:p>
    <w:p w14:paraId="34A93BF2" w14:textId="77777777" w:rsidR="00B2442D" w:rsidRDefault="00B2442D">
      <w:pPr>
        <w:jc w:val="both"/>
        <w:rPr>
          <w:rFonts w:ascii="Arial" w:hAnsi="Arial" w:cs="Arial"/>
          <w:lang w:val="es-CO"/>
        </w:rPr>
      </w:pPr>
    </w:p>
    <w:p w14:paraId="5B6D80EA" w14:textId="77777777" w:rsidR="00B2442D" w:rsidRDefault="008A645F">
      <w:pPr>
        <w:jc w:val="both"/>
        <w:rPr>
          <w:rFonts w:ascii="Arial" w:hAnsi="Arial" w:cs="Arial"/>
          <w:lang w:val="es-CO"/>
        </w:rPr>
      </w:pPr>
      <w:r>
        <w:rPr>
          <w:rFonts w:ascii="Arial" w:hAnsi="Arial" w:cs="Arial"/>
          <w:lang w:val="es-CO"/>
        </w:rPr>
        <w:t>b) Actualización del Registro Único Tributario (RUT) para las personas natura</w:t>
      </w:r>
      <w:r>
        <w:rPr>
          <w:rFonts w:ascii="Arial" w:hAnsi="Arial" w:cs="Arial"/>
          <w:lang w:val="es-CO"/>
        </w:rPr>
        <w:t>les, previa verificación de información que realizará el sistema.</w:t>
      </w:r>
    </w:p>
    <w:p w14:paraId="12F76E39" w14:textId="77777777" w:rsidR="00B2442D" w:rsidRDefault="00B2442D">
      <w:pPr>
        <w:jc w:val="both"/>
        <w:rPr>
          <w:rFonts w:ascii="Arial" w:hAnsi="Arial" w:cs="Arial"/>
          <w:lang w:val="es-CO"/>
        </w:rPr>
      </w:pPr>
    </w:p>
    <w:p w14:paraId="394C32AF" w14:textId="77777777" w:rsidR="00B2442D" w:rsidRDefault="008A645F">
      <w:pPr>
        <w:jc w:val="both"/>
        <w:rPr>
          <w:rFonts w:ascii="Arial" w:hAnsi="Arial" w:cs="Arial"/>
          <w:lang w:val="es-CO"/>
        </w:rPr>
      </w:pPr>
      <w:r>
        <w:rPr>
          <w:rFonts w:ascii="Arial" w:hAnsi="Arial" w:cs="Arial"/>
          <w:lang w:val="es-CO"/>
        </w:rPr>
        <w:t>c) Actualización y solicitud de cancelación del Registro Único Tributario (RUT), con mecanismo de firma respaldado con certificado digital, para aquellos inscritos a quienes la Unidad Admin</w:t>
      </w:r>
      <w:r>
        <w:rPr>
          <w:rFonts w:ascii="Arial" w:hAnsi="Arial" w:cs="Arial"/>
          <w:lang w:val="es-CO"/>
        </w:rPr>
        <w:t xml:space="preserve">istrativa Especial Dirección de Impuestos y Aduanas Nacionales-DIAN, le ha asignado tal mecanismo. </w:t>
      </w:r>
    </w:p>
    <w:p w14:paraId="3B414355" w14:textId="77777777" w:rsidR="00B2442D" w:rsidRDefault="00B2442D">
      <w:pPr>
        <w:jc w:val="both"/>
        <w:rPr>
          <w:rFonts w:ascii="Arial" w:hAnsi="Arial" w:cs="Arial"/>
          <w:b/>
          <w:lang w:val="es-CO"/>
        </w:rPr>
      </w:pPr>
    </w:p>
    <w:p w14:paraId="51C0F2F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personas naturales que se encuentren en el exterior, podrán enviar la solicitud de inscripción o actualización del Registro Único Tributario</w:t>
      </w:r>
      <w:r>
        <w:rPr>
          <w:rFonts w:ascii="Arial" w:hAnsi="Arial" w:cs="Arial"/>
          <w:lang w:val="es-CO"/>
        </w:rPr>
        <w:t xml:space="preserve"> (RUT), a través del sistema de peticiones, quejas, reclamos y sugerencias de la página web de la Unidad Administrativa Especial Dirección de Impuestos y Aduanas Nacionales, -DIAN, anexando escaneado su documento de identidad y pasaporte, en donde conste l</w:t>
      </w:r>
      <w:r>
        <w:rPr>
          <w:rFonts w:ascii="Arial" w:hAnsi="Arial" w:cs="Arial"/>
          <w:lang w:val="es-CO"/>
        </w:rPr>
        <w:t>a fecha de salida del país.</w:t>
      </w:r>
    </w:p>
    <w:p w14:paraId="7235B476" w14:textId="77777777" w:rsidR="00B2442D" w:rsidRDefault="00B2442D">
      <w:pPr>
        <w:jc w:val="both"/>
        <w:rPr>
          <w:rFonts w:ascii="Arial" w:hAnsi="Arial" w:cs="Arial"/>
          <w:lang w:val="es-CO"/>
        </w:rPr>
      </w:pPr>
    </w:p>
    <w:p w14:paraId="1158FEB1" w14:textId="77777777" w:rsidR="00B2442D" w:rsidRDefault="008A645F">
      <w:pPr>
        <w:jc w:val="both"/>
        <w:rPr>
          <w:rFonts w:ascii="Arial" w:hAnsi="Arial" w:cs="Arial"/>
          <w:lang w:val="es-CO"/>
        </w:rPr>
      </w:pPr>
      <w:r>
        <w:rPr>
          <w:rFonts w:ascii="Arial" w:hAnsi="Arial" w:cs="Arial"/>
          <w:lang w:val="es-CO"/>
        </w:rPr>
        <w:t xml:space="preserve">Una vez la Unidad Administrativa Especial Dirección de Impuestos y Aduanas Nacionales, -DIAN, formalice el respectivo trámite, enviará a la dirección electrónica informada el Registro Único Tributario (RUT) certificado. </w:t>
      </w:r>
    </w:p>
    <w:p w14:paraId="1E2F8E77" w14:textId="77777777" w:rsidR="00B2442D" w:rsidRDefault="00B2442D">
      <w:pPr>
        <w:jc w:val="both"/>
        <w:rPr>
          <w:rFonts w:ascii="Arial" w:hAnsi="Arial" w:cs="Arial"/>
          <w:lang w:val="es-CO"/>
        </w:rPr>
      </w:pPr>
    </w:p>
    <w:p w14:paraId="21792D9E" w14:textId="77777777" w:rsidR="00B2442D" w:rsidRDefault="008A645F">
      <w:pPr>
        <w:jc w:val="both"/>
        <w:rPr>
          <w:rFonts w:ascii="Arial" w:hAnsi="Arial" w:cs="Arial"/>
          <w:lang w:val="es-CO"/>
        </w:rPr>
      </w:pPr>
      <w:r>
        <w:rPr>
          <w:rFonts w:ascii="Arial" w:hAnsi="Arial" w:cs="Arial"/>
          <w:lang w:val="es-CO"/>
        </w:rPr>
        <w:t xml:space="preserve">Lo </w:t>
      </w:r>
      <w:r>
        <w:rPr>
          <w:rFonts w:ascii="Arial" w:hAnsi="Arial" w:cs="Arial"/>
          <w:lang w:val="es-CO"/>
        </w:rPr>
        <w:t>anterior, sin perjuicio de que la Unidad Administrativa Especial Dirección de Impuestos y Aduanas Nacionales-DIAN realice controles migratorios a que hubiere lugar.</w:t>
      </w:r>
    </w:p>
    <w:p w14:paraId="40D7DDB1" w14:textId="77777777" w:rsidR="00B2442D" w:rsidRDefault="00B2442D">
      <w:pPr>
        <w:jc w:val="both"/>
        <w:rPr>
          <w:rFonts w:ascii="Arial" w:hAnsi="Arial" w:cs="Arial"/>
          <w:lang w:val="es-CO"/>
        </w:rPr>
      </w:pPr>
    </w:p>
    <w:p w14:paraId="34609A3B" w14:textId="77777777" w:rsidR="00B2442D" w:rsidRDefault="008A645F">
      <w:pPr>
        <w:jc w:val="both"/>
        <w:rPr>
          <w:rFonts w:ascii="Arial" w:hAnsi="Arial" w:cs="Arial"/>
          <w:i/>
          <w:lang w:val="es-CO"/>
        </w:rPr>
      </w:pPr>
      <w:r>
        <w:rPr>
          <w:rFonts w:ascii="Arial" w:hAnsi="Arial" w:cs="Arial"/>
          <w:i/>
          <w:lang w:val="es-CO"/>
        </w:rPr>
        <w:t>(Art. 9, Decreto 2460 de 2013, modificado por el art. 3 del Decreto 2620 de 2014)</w:t>
      </w:r>
      <w:r>
        <w:rPr>
          <w:rFonts w:ascii="Arial" w:hAnsi="Arial" w:cs="Arial"/>
        </w:rPr>
        <w:t xml:space="preserve"> </w:t>
      </w:r>
      <w:r>
        <w:rPr>
          <w:rFonts w:ascii="Arial" w:hAnsi="Arial" w:cs="Arial"/>
          <w:i/>
          <w:lang w:val="es-CO"/>
        </w:rPr>
        <w:t>(El Decr</w:t>
      </w:r>
      <w:r>
        <w:rPr>
          <w:rFonts w:ascii="Arial" w:hAnsi="Arial" w:cs="Arial"/>
          <w:i/>
          <w:lang w:val="es-CO"/>
        </w:rPr>
        <w:t>eto 2460 de 2013 rige a partir de la fecha de su publicación y deroga los Decretos números 2788 de 2004, 4714 de 2008, 2645 de 2011 y 2820 de 2011, el artículo 10 del Decreto número 3026 de 2013, el artículo 11 del Decreto número 3028 de 2013 y las demás n</w:t>
      </w:r>
      <w:r>
        <w:rPr>
          <w:rFonts w:ascii="Arial" w:hAnsi="Arial" w:cs="Arial"/>
          <w:i/>
          <w:lang w:val="es-CO"/>
        </w:rPr>
        <w:t>ormas que le sean contrarias. Art. 23, Decreto 2460 de 2013, modificado por el art. 10 del Decreto 2620 de 2014)</w:t>
      </w:r>
    </w:p>
    <w:p w14:paraId="7909957C" w14:textId="77777777" w:rsidR="00B2442D" w:rsidRDefault="00B2442D">
      <w:pPr>
        <w:jc w:val="both"/>
        <w:rPr>
          <w:rFonts w:ascii="Arial" w:hAnsi="Arial" w:cs="Arial"/>
          <w:lang w:val="es-CO"/>
        </w:rPr>
      </w:pPr>
    </w:p>
    <w:p w14:paraId="7FB89DE5"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Documentos para la formalización de la inscripción en el Registro Único Tributario (RUT).</w:t>
      </w:r>
      <w:r>
        <w:rPr>
          <w:rFonts w:ascii="Arial" w:hAnsi="Arial" w:cs="Arial"/>
          <w:lang w:val="es-CO"/>
        </w:rPr>
        <w:t xml:space="preserve"> Para efectos de la formalización de la inscripción </w:t>
      </w:r>
      <w:r>
        <w:rPr>
          <w:rFonts w:ascii="Arial" w:hAnsi="Arial" w:cs="Arial"/>
          <w:lang w:val="es-CO"/>
        </w:rPr>
        <w:t>en el Registro Único Tributario (RUT) se deberán adjuntar los siguientes documentos:</w:t>
      </w:r>
    </w:p>
    <w:p w14:paraId="688E511A" w14:textId="77777777" w:rsidR="00B2442D" w:rsidRDefault="00B2442D">
      <w:pPr>
        <w:jc w:val="both"/>
        <w:rPr>
          <w:rFonts w:ascii="Arial" w:hAnsi="Arial" w:cs="Arial"/>
          <w:lang w:val="es-CO"/>
        </w:rPr>
      </w:pPr>
    </w:p>
    <w:p w14:paraId="36CA367A" w14:textId="77777777" w:rsidR="00B2442D" w:rsidRDefault="008A645F">
      <w:pPr>
        <w:jc w:val="both"/>
        <w:rPr>
          <w:rFonts w:ascii="Arial" w:hAnsi="Arial" w:cs="Arial"/>
          <w:lang w:val="es-CO"/>
        </w:rPr>
      </w:pPr>
      <w:r>
        <w:rPr>
          <w:rFonts w:ascii="Arial" w:hAnsi="Arial" w:cs="Arial"/>
          <w:lang w:val="es-CO"/>
        </w:rPr>
        <w:t>a) Personas jurídicas y asimiladas:</w:t>
      </w:r>
    </w:p>
    <w:p w14:paraId="0698AC9B" w14:textId="77777777" w:rsidR="00B2442D" w:rsidRDefault="00B2442D">
      <w:pPr>
        <w:jc w:val="both"/>
        <w:rPr>
          <w:rFonts w:ascii="Arial" w:hAnsi="Arial" w:cs="Arial"/>
          <w:lang w:val="es-CO"/>
        </w:rPr>
      </w:pPr>
    </w:p>
    <w:p w14:paraId="2A227852" w14:textId="77777777" w:rsidR="00B2442D" w:rsidRDefault="008A645F">
      <w:pPr>
        <w:ind w:left="284" w:hanging="284"/>
        <w:jc w:val="both"/>
        <w:rPr>
          <w:rFonts w:ascii="Arial" w:hAnsi="Arial" w:cs="Arial"/>
          <w:lang w:val="es-CO"/>
        </w:rPr>
      </w:pPr>
      <w:r>
        <w:rPr>
          <w:rFonts w:ascii="Arial" w:hAnsi="Arial" w:cs="Arial"/>
          <w:lang w:val="es-CO"/>
        </w:rPr>
        <w:t xml:space="preserve">1. Fotocopia del documento mediante el cual se acredite la existencia y representación legal para quienes no se encuentran obligados </w:t>
      </w:r>
      <w:r>
        <w:rPr>
          <w:rFonts w:ascii="Arial" w:hAnsi="Arial" w:cs="Arial"/>
          <w:lang w:val="es-CO"/>
        </w:rPr>
        <w:t>a registrarse ante Cámara de Comercio, con fecha de expedición no mayor a un (1) mes, expedido por la autoridad correspondiente, teniendo en cuenta que si en dicho documento se señala un término de vigencia superior a un (1) mes este será válido.</w:t>
      </w:r>
    </w:p>
    <w:p w14:paraId="076EBC9B" w14:textId="77777777" w:rsidR="00B2442D" w:rsidRDefault="00B2442D">
      <w:pPr>
        <w:ind w:left="284" w:hanging="284"/>
        <w:jc w:val="both"/>
        <w:rPr>
          <w:rFonts w:ascii="Arial" w:hAnsi="Arial" w:cs="Arial"/>
          <w:lang w:val="es-CO"/>
        </w:rPr>
      </w:pPr>
    </w:p>
    <w:p w14:paraId="3E463F7B" w14:textId="77777777" w:rsidR="00B2442D" w:rsidRDefault="008A645F">
      <w:pPr>
        <w:ind w:left="284" w:hanging="284"/>
        <w:jc w:val="both"/>
        <w:rPr>
          <w:rFonts w:ascii="Arial" w:hAnsi="Arial" w:cs="Arial"/>
          <w:lang w:val="es-CO"/>
        </w:rPr>
      </w:pPr>
      <w:r>
        <w:rPr>
          <w:rFonts w:ascii="Arial" w:hAnsi="Arial" w:cs="Arial"/>
          <w:lang w:val="es-CO"/>
        </w:rPr>
        <w:t>2. Fotoc</w:t>
      </w:r>
      <w:r>
        <w:rPr>
          <w:rFonts w:ascii="Arial" w:hAnsi="Arial" w:cs="Arial"/>
          <w:lang w:val="es-CO"/>
        </w:rPr>
        <w:t>opia del documento de identidad del representante legal, con exhibición del original; cuando el trámite se realice a través de apoderado, fotocopia del documento de identidad del apoderado con exhibición del mismo y fotocopia del documento de identidad del</w:t>
      </w:r>
      <w:r>
        <w:rPr>
          <w:rFonts w:ascii="Arial" w:hAnsi="Arial" w:cs="Arial"/>
          <w:lang w:val="es-CO"/>
        </w:rPr>
        <w:t xml:space="preserve"> poderdante; original del poder especial o copia simple del poder general, junto con la certificación de vigencia del mismo expedida por el notario, cuando el poder general tenga una vigencia mayor de seis (6) meses.</w:t>
      </w:r>
    </w:p>
    <w:p w14:paraId="27FE1BDD" w14:textId="77777777" w:rsidR="00B2442D" w:rsidRDefault="00B2442D">
      <w:pPr>
        <w:ind w:left="284" w:hanging="284"/>
        <w:jc w:val="both"/>
        <w:rPr>
          <w:rFonts w:ascii="Arial" w:hAnsi="Arial" w:cs="Arial"/>
          <w:lang w:val="es-CO"/>
        </w:rPr>
      </w:pPr>
    </w:p>
    <w:p w14:paraId="5A7FC061" w14:textId="77777777" w:rsidR="00B2442D" w:rsidRDefault="008A645F">
      <w:pPr>
        <w:ind w:left="284" w:hanging="284"/>
        <w:jc w:val="both"/>
        <w:rPr>
          <w:rFonts w:ascii="Arial" w:hAnsi="Arial" w:cs="Arial"/>
          <w:lang w:val="es-CO"/>
        </w:rPr>
      </w:pPr>
      <w:r>
        <w:rPr>
          <w:rFonts w:ascii="Arial" w:hAnsi="Arial" w:cs="Arial"/>
          <w:lang w:val="es-CO"/>
        </w:rPr>
        <w:t>b) Personas naturales:</w:t>
      </w:r>
    </w:p>
    <w:p w14:paraId="720433EF" w14:textId="77777777" w:rsidR="00B2442D" w:rsidRDefault="00B2442D">
      <w:pPr>
        <w:ind w:left="284" w:hanging="284"/>
        <w:jc w:val="both"/>
        <w:rPr>
          <w:rFonts w:ascii="Arial" w:hAnsi="Arial" w:cs="Arial"/>
          <w:lang w:val="es-CO"/>
        </w:rPr>
      </w:pPr>
    </w:p>
    <w:p w14:paraId="26494AD7" w14:textId="77777777" w:rsidR="00B2442D" w:rsidRDefault="008A645F">
      <w:pPr>
        <w:ind w:left="284" w:right="193"/>
        <w:jc w:val="both"/>
        <w:rPr>
          <w:rFonts w:ascii="Arial" w:hAnsi="Arial" w:cs="Arial"/>
        </w:rPr>
      </w:pPr>
      <w:r>
        <w:rPr>
          <w:rFonts w:ascii="Arial" w:hAnsi="Arial" w:cs="Arial"/>
        </w:rPr>
        <w:t xml:space="preserve">Fotocopia del </w:t>
      </w:r>
      <w:r>
        <w:rPr>
          <w:rFonts w:ascii="Arial" w:hAnsi="Arial" w:cs="Arial"/>
        </w:rPr>
        <w:t>documento de identidad del solicitante, con exhibición del original; cuando el trámite se realice a través de apoderado, fotocopia del documento de identidad del apoderado con exhibición del mismo y fotocopia del documento de identidad del poderdante; orig</w:t>
      </w:r>
      <w:r>
        <w:rPr>
          <w:rFonts w:ascii="Arial" w:hAnsi="Arial" w:cs="Arial"/>
        </w:rPr>
        <w:t>inal del poder especial o copia simple del poder general, junto con la certificación de vigencia del mismo expedida por el notario, cuando el poder general tenga una vigencia mayor de seis (6) meses.</w:t>
      </w:r>
    </w:p>
    <w:p w14:paraId="64C8ED0D" w14:textId="77777777" w:rsidR="00B2442D" w:rsidRDefault="00B2442D">
      <w:pPr>
        <w:ind w:left="284" w:hanging="284"/>
        <w:jc w:val="both"/>
        <w:rPr>
          <w:rFonts w:ascii="Arial" w:hAnsi="Arial" w:cs="Arial"/>
        </w:rPr>
      </w:pPr>
    </w:p>
    <w:p w14:paraId="0B3AE87D" w14:textId="77777777" w:rsidR="00B2442D" w:rsidRDefault="008A645F">
      <w:pPr>
        <w:ind w:left="284" w:hanging="284"/>
        <w:jc w:val="both"/>
        <w:rPr>
          <w:rFonts w:ascii="Arial" w:hAnsi="Arial" w:cs="Arial"/>
          <w:lang w:val="es-CO"/>
        </w:rPr>
      </w:pPr>
      <w:r>
        <w:rPr>
          <w:rFonts w:ascii="Arial" w:hAnsi="Arial" w:cs="Arial"/>
          <w:lang w:val="es-CO"/>
        </w:rPr>
        <w:t>c) Sucesiones ilíquidas:</w:t>
      </w:r>
    </w:p>
    <w:p w14:paraId="6DF5B1F0" w14:textId="77777777" w:rsidR="00B2442D" w:rsidRDefault="00B2442D">
      <w:pPr>
        <w:ind w:left="284" w:hanging="284"/>
        <w:jc w:val="both"/>
        <w:rPr>
          <w:rFonts w:ascii="Arial" w:hAnsi="Arial" w:cs="Arial"/>
          <w:lang w:val="es-CO"/>
        </w:rPr>
      </w:pPr>
    </w:p>
    <w:p w14:paraId="05B83CAD"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Fotocopia del documento de</w:t>
      </w:r>
      <w:r>
        <w:rPr>
          <w:rFonts w:ascii="Arial" w:hAnsi="Arial" w:cs="Arial"/>
          <w:lang w:val="es-CO"/>
        </w:rPr>
        <w:t xml:space="preserve"> identificación del causante o en su defecto certificación expedida por la Registraduría Nacional del Estado Civil donde conste el tipo de documento, número de identificación, lugar y fecha de expedición.</w:t>
      </w:r>
    </w:p>
    <w:p w14:paraId="07FC6F53" w14:textId="77777777" w:rsidR="00B2442D" w:rsidRDefault="00B2442D">
      <w:pPr>
        <w:ind w:left="284" w:hanging="284"/>
        <w:jc w:val="both"/>
        <w:rPr>
          <w:rFonts w:ascii="Arial" w:hAnsi="Arial" w:cs="Arial"/>
          <w:lang w:val="es-CO"/>
        </w:rPr>
      </w:pPr>
    </w:p>
    <w:p w14:paraId="7A4778A6" w14:textId="77777777" w:rsidR="00B2442D" w:rsidRDefault="008A645F">
      <w:pPr>
        <w:ind w:left="284" w:hanging="284"/>
        <w:jc w:val="both"/>
        <w:rPr>
          <w:rFonts w:ascii="Arial" w:hAnsi="Arial" w:cs="Arial"/>
          <w:lang w:val="es-CO"/>
        </w:rPr>
      </w:pPr>
      <w:r>
        <w:rPr>
          <w:rFonts w:ascii="Arial" w:hAnsi="Arial" w:cs="Arial"/>
          <w:lang w:val="es-CO"/>
        </w:rPr>
        <w:t>2. Fotocopia del Registro de defunción del causant</w:t>
      </w:r>
      <w:r>
        <w:rPr>
          <w:rFonts w:ascii="Arial" w:hAnsi="Arial" w:cs="Arial"/>
          <w:lang w:val="es-CO"/>
        </w:rPr>
        <w:t>e, donde figure su número de identificación. Si el causante en vida no obtuvo documento de identificación, se debe presentar constancia expedida por la Registraduría Nacional del Estado Civil.</w:t>
      </w:r>
    </w:p>
    <w:p w14:paraId="22EC6CAC" w14:textId="77777777" w:rsidR="00B2442D" w:rsidRDefault="00B2442D">
      <w:pPr>
        <w:ind w:left="284" w:hanging="284"/>
        <w:jc w:val="both"/>
        <w:rPr>
          <w:rFonts w:ascii="Arial" w:hAnsi="Arial" w:cs="Arial"/>
          <w:lang w:val="es-CO"/>
        </w:rPr>
      </w:pPr>
    </w:p>
    <w:p w14:paraId="6311B968" w14:textId="77777777" w:rsidR="00B2442D" w:rsidRDefault="008A645F">
      <w:pPr>
        <w:ind w:left="284" w:hanging="284"/>
        <w:jc w:val="both"/>
        <w:rPr>
          <w:rFonts w:ascii="Arial" w:hAnsi="Arial" w:cs="Arial"/>
          <w:lang w:val="es-CO"/>
        </w:rPr>
      </w:pPr>
      <w:r>
        <w:rPr>
          <w:rFonts w:ascii="Arial" w:hAnsi="Arial" w:cs="Arial"/>
          <w:lang w:val="es-CO"/>
        </w:rPr>
        <w:t>3. Fotocopia del documento de identidad del representante lega</w:t>
      </w:r>
      <w:r>
        <w:rPr>
          <w:rFonts w:ascii="Arial" w:hAnsi="Arial" w:cs="Arial"/>
          <w:lang w:val="es-CO"/>
        </w:rPr>
        <w:t>l de la sucesión, con exhibición del original; cuando el trámite se realice a través de apoderado, fotocopia del documento de identidad del apoderado con exhibición del mismo y fotocopia del documento de identidad del poderdante; original del poder especia</w:t>
      </w:r>
      <w:r>
        <w:rPr>
          <w:rFonts w:ascii="Arial" w:hAnsi="Arial" w:cs="Arial"/>
          <w:lang w:val="es-CO"/>
        </w:rPr>
        <w:t>l o copia simple del poder general, junto con la certificación de vigencia del mismo expedida por el notario, cuando el poder general tenga una vigencia mayor de seis (6) meses.</w:t>
      </w:r>
    </w:p>
    <w:p w14:paraId="3A02AA17" w14:textId="77777777" w:rsidR="00B2442D" w:rsidRDefault="00B2442D">
      <w:pPr>
        <w:ind w:left="284" w:hanging="284"/>
        <w:jc w:val="both"/>
        <w:rPr>
          <w:rFonts w:ascii="Arial" w:hAnsi="Arial" w:cs="Arial"/>
          <w:lang w:val="es-CO"/>
        </w:rPr>
      </w:pPr>
    </w:p>
    <w:p w14:paraId="13440FFF" w14:textId="77777777" w:rsidR="00B2442D" w:rsidRDefault="008A645F">
      <w:pPr>
        <w:ind w:left="284" w:hanging="284"/>
        <w:jc w:val="both"/>
        <w:rPr>
          <w:rFonts w:ascii="Arial" w:hAnsi="Arial" w:cs="Arial"/>
          <w:lang w:val="es-CO"/>
        </w:rPr>
      </w:pPr>
      <w:r>
        <w:rPr>
          <w:rFonts w:ascii="Arial" w:hAnsi="Arial" w:cs="Arial"/>
          <w:lang w:val="es-CO"/>
        </w:rPr>
        <w:t xml:space="preserve">4. Documento expedido por autoridad competente, en el cual se haga </w:t>
      </w:r>
      <w:r>
        <w:rPr>
          <w:rFonts w:ascii="Arial" w:hAnsi="Arial" w:cs="Arial"/>
          <w:lang w:val="es-CO"/>
        </w:rPr>
        <w:t>constar la calidad con la cual se actúa en la sucesión, ya sea como albacea, heredero con administración de bienes, o curador de la herencia yacente.</w:t>
      </w:r>
    </w:p>
    <w:p w14:paraId="352662BC" w14:textId="77777777" w:rsidR="00B2442D" w:rsidRDefault="00B2442D">
      <w:pPr>
        <w:ind w:left="284" w:hanging="284"/>
        <w:jc w:val="both"/>
        <w:rPr>
          <w:rFonts w:ascii="Arial" w:hAnsi="Arial" w:cs="Arial"/>
          <w:lang w:val="es-CO"/>
        </w:rPr>
      </w:pPr>
    </w:p>
    <w:p w14:paraId="1CA68983" w14:textId="77777777" w:rsidR="00B2442D" w:rsidRDefault="008A645F">
      <w:pPr>
        <w:ind w:left="284"/>
        <w:jc w:val="both"/>
        <w:rPr>
          <w:rFonts w:ascii="Arial" w:hAnsi="Arial" w:cs="Arial"/>
          <w:lang w:val="es-CO"/>
        </w:rPr>
      </w:pPr>
      <w:r>
        <w:rPr>
          <w:rFonts w:ascii="Arial" w:hAnsi="Arial" w:cs="Arial"/>
          <w:lang w:val="es-CO"/>
        </w:rPr>
        <w:t xml:space="preserve">Cuando no se haya iniciado el proceso de sucesión ante notaría o juzgado, los herederos de común acuerdo </w:t>
      </w:r>
      <w:r>
        <w:rPr>
          <w:rFonts w:ascii="Arial" w:hAnsi="Arial" w:cs="Arial"/>
          <w:lang w:val="es-CO"/>
        </w:rPr>
        <w:t>podrán nombrar un representante de la sucesión, mediante documento autenticado ante notario o autoridad competente, en el cual manifiesten bajo la gravedad de juramento que el nombramiento es autorizado por los herederos conocidos.</w:t>
      </w:r>
    </w:p>
    <w:p w14:paraId="3BF61772" w14:textId="77777777" w:rsidR="00B2442D" w:rsidRDefault="00B2442D">
      <w:pPr>
        <w:ind w:left="284" w:hanging="284"/>
        <w:jc w:val="both"/>
        <w:rPr>
          <w:rFonts w:ascii="Arial" w:hAnsi="Arial" w:cs="Arial"/>
          <w:lang w:val="es-CO"/>
        </w:rPr>
      </w:pPr>
    </w:p>
    <w:p w14:paraId="6AEE345F" w14:textId="77777777" w:rsidR="00B2442D" w:rsidRDefault="008A645F">
      <w:pPr>
        <w:ind w:left="284"/>
        <w:jc w:val="both"/>
        <w:rPr>
          <w:rFonts w:ascii="Arial" w:hAnsi="Arial" w:cs="Arial"/>
          <w:lang w:val="es-CO"/>
        </w:rPr>
      </w:pPr>
      <w:r>
        <w:rPr>
          <w:rFonts w:ascii="Arial" w:hAnsi="Arial" w:cs="Arial"/>
          <w:lang w:val="es-CO"/>
        </w:rPr>
        <w:t>De existir un único her</w:t>
      </w:r>
      <w:r>
        <w:rPr>
          <w:rFonts w:ascii="Arial" w:hAnsi="Arial" w:cs="Arial"/>
          <w:lang w:val="es-CO"/>
        </w:rPr>
        <w:t>edero, este deberá suscribir un documento debidamente autenticado ante notario o autoridad competente a través del cual manifieste que ostenta dicha condición.</w:t>
      </w:r>
    </w:p>
    <w:p w14:paraId="4F5C170C" w14:textId="77777777" w:rsidR="00B2442D" w:rsidRDefault="00B2442D">
      <w:pPr>
        <w:ind w:left="284" w:hanging="284"/>
        <w:jc w:val="both"/>
        <w:rPr>
          <w:rFonts w:ascii="Arial" w:hAnsi="Arial" w:cs="Arial"/>
          <w:lang w:val="es-CO"/>
        </w:rPr>
      </w:pPr>
    </w:p>
    <w:p w14:paraId="1AED0EFD" w14:textId="77777777" w:rsidR="00B2442D" w:rsidRDefault="008A645F">
      <w:pPr>
        <w:ind w:left="284" w:hanging="284"/>
        <w:jc w:val="both"/>
        <w:rPr>
          <w:rFonts w:ascii="Arial" w:hAnsi="Arial" w:cs="Arial"/>
          <w:lang w:val="es-CO"/>
        </w:rPr>
      </w:pPr>
      <w:r>
        <w:rPr>
          <w:rFonts w:ascii="Arial" w:hAnsi="Arial" w:cs="Arial"/>
          <w:lang w:val="es-CO"/>
        </w:rPr>
        <w:t>d) Consorcios y Uniones Temporales</w:t>
      </w:r>
    </w:p>
    <w:p w14:paraId="1364BB68" w14:textId="77777777" w:rsidR="00B2442D" w:rsidRDefault="00B2442D">
      <w:pPr>
        <w:ind w:left="284" w:hanging="284"/>
        <w:jc w:val="both"/>
        <w:rPr>
          <w:rFonts w:ascii="Arial" w:hAnsi="Arial" w:cs="Arial"/>
          <w:lang w:val="es-CO"/>
        </w:rPr>
      </w:pPr>
    </w:p>
    <w:p w14:paraId="1A7640CD"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Fotocopia del documento de identidad del representante l</w:t>
      </w:r>
      <w:r>
        <w:rPr>
          <w:rFonts w:ascii="Arial" w:hAnsi="Arial" w:cs="Arial"/>
          <w:lang w:val="es-CO"/>
        </w:rPr>
        <w:t>egal, con exhibición del original; cuando el trámite se realice a través de apoderado, fotocopia del documento de identidad del apoderado con exhibición del mismo y fotocopia del documento de identidad del poderdante; original del poder especial o copia si</w:t>
      </w:r>
      <w:r>
        <w:rPr>
          <w:rFonts w:ascii="Arial" w:hAnsi="Arial" w:cs="Arial"/>
          <w:lang w:val="es-CO"/>
        </w:rPr>
        <w:t>mple del poder general, junto con la certificación de vigencia del mismo expedida por el notario, cuando el poder general tenga una vigencia mayor de seis (6) meses.</w:t>
      </w:r>
    </w:p>
    <w:p w14:paraId="45A0BEE8" w14:textId="77777777" w:rsidR="00B2442D" w:rsidRDefault="00B2442D">
      <w:pPr>
        <w:ind w:left="284" w:hanging="284"/>
        <w:jc w:val="both"/>
        <w:rPr>
          <w:rFonts w:ascii="Arial" w:hAnsi="Arial" w:cs="Arial"/>
          <w:lang w:val="es-CO"/>
        </w:rPr>
      </w:pPr>
    </w:p>
    <w:p w14:paraId="42C89A3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Fotocopia de documento de constitución del Consorcio o Unión Temporal, que debe conten</w:t>
      </w:r>
      <w:r>
        <w:rPr>
          <w:rFonts w:ascii="Arial" w:hAnsi="Arial" w:cs="Arial"/>
          <w:lang w:val="es-CO"/>
        </w:rPr>
        <w:t>er por lo menos: nombre del Consorcio o de la Unión Temporal, miembros que lo conforman, domicilio principal, participación, representante legal y el objeto del Consorcio o de la Unión Temporal.</w:t>
      </w:r>
    </w:p>
    <w:p w14:paraId="24D19C02" w14:textId="77777777" w:rsidR="00B2442D" w:rsidRDefault="00B2442D">
      <w:pPr>
        <w:ind w:left="284" w:hanging="284"/>
        <w:jc w:val="both"/>
        <w:rPr>
          <w:rFonts w:ascii="Arial" w:hAnsi="Arial" w:cs="Arial"/>
          <w:lang w:val="es-CO"/>
        </w:rPr>
      </w:pPr>
    </w:p>
    <w:p w14:paraId="185AB2A6"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Fotocopia del acta de adjudicación de la </w:t>
      </w:r>
      <w:r>
        <w:rPr>
          <w:rFonts w:ascii="Arial" w:hAnsi="Arial" w:cs="Arial"/>
          <w:lang w:val="es-CO"/>
        </w:rPr>
        <w:t>licitación o del contrato o del documento que haga sus veces.</w:t>
      </w:r>
    </w:p>
    <w:p w14:paraId="6A844D70" w14:textId="77777777" w:rsidR="00B2442D" w:rsidRDefault="00B2442D">
      <w:pPr>
        <w:ind w:left="284" w:hanging="284"/>
        <w:jc w:val="both"/>
        <w:rPr>
          <w:rFonts w:ascii="Arial" w:hAnsi="Arial" w:cs="Arial"/>
          <w:lang w:val="es-CO"/>
        </w:rPr>
      </w:pPr>
    </w:p>
    <w:p w14:paraId="709BB84C" w14:textId="77777777" w:rsidR="00B2442D" w:rsidRDefault="008A645F">
      <w:pPr>
        <w:ind w:left="284" w:hanging="284"/>
        <w:jc w:val="both"/>
        <w:rPr>
          <w:rFonts w:ascii="Arial" w:hAnsi="Arial" w:cs="Arial"/>
          <w:lang w:val="es-CO"/>
        </w:rPr>
      </w:pPr>
      <w:r>
        <w:rPr>
          <w:rFonts w:ascii="Arial" w:hAnsi="Arial" w:cs="Arial"/>
          <w:lang w:val="es-CO"/>
        </w:rPr>
        <w:t>e) Inversionistas Extranjeros sin domicilio en Colombia, obligados a cumplir deberes formales.</w:t>
      </w:r>
    </w:p>
    <w:p w14:paraId="20FA2A0E" w14:textId="77777777" w:rsidR="00B2442D" w:rsidRDefault="00B2442D">
      <w:pPr>
        <w:ind w:left="284" w:hanging="284"/>
        <w:jc w:val="both"/>
        <w:rPr>
          <w:rFonts w:ascii="Arial" w:hAnsi="Arial" w:cs="Arial"/>
          <w:lang w:val="es-CO"/>
        </w:rPr>
      </w:pPr>
    </w:p>
    <w:p w14:paraId="382C2B09" w14:textId="77777777" w:rsidR="00B2442D" w:rsidRDefault="008A645F">
      <w:pPr>
        <w:ind w:left="284" w:hanging="284"/>
        <w:jc w:val="both"/>
        <w:rPr>
          <w:rFonts w:ascii="Arial" w:hAnsi="Arial" w:cs="Arial"/>
          <w:lang w:val="es-CO"/>
        </w:rPr>
      </w:pPr>
      <w:r>
        <w:rPr>
          <w:rFonts w:ascii="Arial" w:hAnsi="Arial" w:cs="Arial"/>
          <w:lang w:val="es-CO"/>
        </w:rPr>
        <w:t>Personas Naturales:</w:t>
      </w:r>
    </w:p>
    <w:p w14:paraId="117BCAD8" w14:textId="77777777" w:rsidR="00B2442D" w:rsidRDefault="008A645F">
      <w:pPr>
        <w:ind w:left="284" w:hanging="284"/>
        <w:jc w:val="both"/>
        <w:rPr>
          <w:rFonts w:ascii="Arial" w:hAnsi="Arial" w:cs="Arial"/>
          <w:lang w:val="es-CO"/>
        </w:rPr>
      </w:pPr>
      <w:r>
        <w:rPr>
          <w:rFonts w:ascii="Arial" w:hAnsi="Arial" w:cs="Arial"/>
          <w:lang w:val="es-CO"/>
        </w:rPr>
        <w:t xml:space="preserve"> </w:t>
      </w:r>
    </w:p>
    <w:p w14:paraId="55217A63"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Fotocopia del documento de identidad del inversionista extranjero.</w:t>
      </w:r>
    </w:p>
    <w:p w14:paraId="00611178" w14:textId="77777777" w:rsidR="00B2442D" w:rsidRDefault="00B2442D">
      <w:pPr>
        <w:ind w:left="284" w:hanging="284"/>
        <w:jc w:val="both"/>
        <w:rPr>
          <w:rFonts w:ascii="Arial" w:hAnsi="Arial" w:cs="Arial"/>
          <w:lang w:val="es-CO"/>
        </w:rPr>
      </w:pPr>
    </w:p>
    <w:p w14:paraId="26E7D27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r>
      <w:r>
        <w:rPr>
          <w:rFonts w:ascii="Arial" w:hAnsi="Arial" w:cs="Arial"/>
          <w:lang w:val="es-CO"/>
        </w:rPr>
        <w:t xml:space="preserve"> Fotocopia del poder otorgado por la persona natural en el exterior, en idioma español, debidamente apostillado o, si es el caso, autenticado ante el cónsul o el funcionario autorizado.</w:t>
      </w:r>
    </w:p>
    <w:p w14:paraId="268280C5" w14:textId="77777777" w:rsidR="00B2442D" w:rsidRDefault="00B2442D">
      <w:pPr>
        <w:ind w:left="284" w:hanging="284"/>
        <w:jc w:val="both"/>
        <w:rPr>
          <w:rFonts w:ascii="Arial" w:hAnsi="Arial" w:cs="Arial"/>
          <w:lang w:val="es-CO"/>
        </w:rPr>
      </w:pPr>
    </w:p>
    <w:p w14:paraId="7792BD6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Fotocopia del documento de identidad del apoderado del inversioni</w:t>
      </w:r>
      <w:r>
        <w:rPr>
          <w:rFonts w:ascii="Arial" w:hAnsi="Arial" w:cs="Arial"/>
          <w:lang w:val="es-CO"/>
        </w:rPr>
        <w:t>sta en Colombia, con exhibición del original.</w:t>
      </w:r>
    </w:p>
    <w:p w14:paraId="5378652B" w14:textId="77777777" w:rsidR="00B2442D" w:rsidRDefault="00B2442D">
      <w:pPr>
        <w:ind w:left="284" w:hanging="284"/>
        <w:jc w:val="both"/>
        <w:rPr>
          <w:rFonts w:ascii="Arial" w:hAnsi="Arial" w:cs="Arial"/>
          <w:lang w:val="es-CO"/>
        </w:rPr>
      </w:pPr>
    </w:p>
    <w:p w14:paraId="4CCDF32B" w14:textId="77777777" w:rsidR="00B2442D" w:rsidRDefault="008A645F">
      <w:pPr>
        <w:jc w:val="both"/>
        <w:rPr>
          <w:rFonts w:ascii="Arial" w:hAnsi="Arial" w:cs="Arial"/>
          <w:lang w:val="es-CO"/>
        </w:rPr>
      </w:pPr>
      <w:r>
        <w:rPr>
          <w:rFonts w:ascii="Arial" w:hAnsi="Arial" w:cs="Arial"/>
          <w:lang w:val="es-CO"/>
        </w:rPr>
        <w:t>Personas jurídicas:</w:t>
      </w:r>
    </w:p>
    <w:p w14:paraId="13F69C94" w14:textId="77777777" w:rsidR="00B2442D" w:rsidRDefault="00B2442D">
      <w:pPr>
        <w:ind w:left="284" w:hanging="284"/>
        <w:jc w:val="both"/>
        <w:rPr>
          <w:rFonts w:ascii="Arial" w:hAnsi="Arial" w:cs="Arial"/>
          <w:lang w:val="es-CO"/>
        </w:rPr>
      </w:pPr>
    </w:p>
    <w:p w14:paraId="76E19914"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r>
      <w:r>
        <w:rPr>
          <w:rFonts w:ascii="Arial" w:hAnsi="Arial" w:cs="Arial"/>
          <w:lang w:val="es-CO"/>
        </w:rPr>
        <w:t xml:space="preserve"> Original del documento mediante el cual se acredite la existencia y representación legal, en idioma español, debidamente apostillado o, si es el caso, autenticado ante el Cónsul o el funcionario autorizado.</w:t>
      </w:r>
    </w:p>
    <w:p w14:paraId="47BA80C3" w14:textId="77777777" w:rsidR="00B2442D" w:rsidRDefault="00B2442D">
      <w:pPr>
        <w:ind w:left="284" w:hanging="284"/>
        <w:jc w:val="both"/>
        <w:rPr>
          <w:rFonts w:ascii="Arial" w:hAnsi="Arial" w:cs="Arial"/>
          <w:lang w:val="es-CO"/>
        </w:rPr>
      </w:pPr>
    </w:p>
    <w:p w14:paraId="58EA9347"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Fotocopia del poder otorgado por el represe</w:t>
      </w:r>
      <w:r>
        <w:rPr>
          <w:rFonts w:ascii="Arial" w:hAnsi="Arial" w:cs="Arial"/>
          <w:lang w:val="es-CO"/>
        </w:rPr>
        <w:t>ntante legal de la sociedad en el exterior, en idioma español, debidamente extendido ante el Cónsul o el funcionario que la ley local autorice para ello.</w:t>
      </w:r>
    </w:p>
    <w:p w14:paraId="3A20EDD9" w14:textId="77777777" w:rsidR="00B2442D" w:rsidRDefault="00B2442D">
      <w:pPr>
        <w:ind w:left="284" w:hanging="284"/>
        <w:jc w:val="both"/>
        <w:rPr>
          <w:rFonts w:ascii="Arial" w:hAnsi="Arial" w:cs="Arial"/>
          <w:lang w:val="es-CO"/>
        </w:rPr>
      </w:pPr>
    </w:p>
    <w:p w14:paraId="1C517C9E"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Fotocopia del documento de identidad del apoderado del inversionista en Colombia, con exhibición </w:t>
      </w:r>
      <w:r>
        <w:rPr>
          <w:rFonts w:ascii="Arial" w:hAnsi="Arial" w:cs="Arial"/>
          <w:lang w:val="es-CO"/>
        </w:rPr>
        <w:t>del original.</w:t>
      </w:r>
    </w:p>
    <w:p w14:paraId="7D268A9E" w14:textId="77777777" w:rsidR="00B2442D" w:rsidRDefault="00B2442D">
      <w:pPr>
        <w:ind w:left="284" w:hanging="284"/>
        <w:jc w:val="both"/>
        <w:rPr>
          <w:rFonts w:ascii="Arial" w:hAnsi="Arial" w:cs="Arial"/>
          <w:lang w:val="es-CO"/>
        </w:rPr>
      </w:pPr>
    </w:p>
    <w:p w14:paraId="4AA0CBB4" w14:textId="77777777" w:rsidR="00B2442D" w:rsidRDefault="008A645F">
      <w:pPr>
        <w:ind w:left="284" w:hanging="284"/>
        <w:jc w:val="both"/>
        <w:rPr>
          <w:rFonts w:ascii="Arial" w:hAnsi="Arial" w:cs="Arial"/>
          <w:lang w:val="es-CO"/>
        </w:rPr>
      </w:pPr>
      <w:r>
        <w:rPr>
          <w:rFonts w:ascii="Arial" w:hAnsi="Arial" w:cs="Arial"/>
          <w:lang w:val="es-CO"/>
        </w:rPr>
        <w:t>f) Inversionistas no residentes ni domiciliados en Colombia titulares de inversiones de capital del exterior de portafolio.</w:t>
      </w:r>
    </w:p>
    <w:p w14:paraId="15B39F6C" w14:textId="77777777" w:rsidR="00B2442D" w:rsidRDefault="00B2442D">
      <w:pPr>
        <w:ind w:left="284" w:hanging="284"/>
        <w:jc w:val="both"/>
        <w:rPr>
          <w:rFonts w:ascii="Arial" w:hAnsi="Arial" w:cs="Arial"/>
          <w:lang w:val="es-CO"/>
        </w:rPr>
      </w:pPr>
    </w:p>
    <w:p w14:paraId="26F79C59" w14:textId="77777777" w:rsidR="00B2442D" w:rsidRDefault="008A645F">
      <w:pPr>
        <w:ind w:left="284" w:hanging="284"/>
        <w:jc w:val="both"/>
        <w:rPr>
          <w:rFonts w:ascii="Arial" w:hAnsi="Arial" w:cs="Arial"/>
          <w:lang w:val="es-CO"/>
        </w:rPr>
      </w:pPr>
      <w:r>
        <w:rPr>
          <w:rFonts w:ascii="Arial" w:hAnsi="Arial" w:cs="Arial"/>
          <w:lang w:val="es-CO"/>
        </w:rPr>
        <w:t>1. Fotocopia del documento de identidad del representante legal del administrador de la inversión en Colombia, con e</w:t>
      </w:r>
      <w:r>
        <w:rPr>
          <w:rFonts w:ascii="Arial" w:hAnsi="Arial" w:cs="Arial"/>
          <w:lang w:val="es-CO"/>
        </w:rPr>
        <w:t>xhibición del original; cuando el trámite se realice a través de apoderado, fotocopia del documento de identidad del apoderado con exhibición del mismo y fotocopia del documento de identidad del poderdante; original del poder especial o copia simple del po</w:t>
      </w:r>
      <w:r>
        <w:rPr>
          <w:rFonts w:ascii="Arial" w:hAnsi="Arial" w:cs="Arial"/>
          <w:lang w:val="es-CO"/>
        </w:rPr>
        <w:t>der general, junto con la certificación de vigencia del mismo expedida por el notario, cuando el poder general tenga fecha de expedición mayor de seis (6) meses.</w:t>
      </w:r>
    </w:p>
    <w:p w14:paraId="0435B8F5" w14:textId="77777777" w:rsidR="00B2442D" w:rsidRDefault="00B2442D">
      <w:pPr>
        <w:ind w:left="284" w:hanging="284"/>
        <w:jc w:val="both"/>
        <w:rPr>
          <w:rFonts w:ascii="Arial" w:hAnsi="Arial" w:cs="Arial"/>
          <w:lang w:val="es-CO"/>
        </w:rPr>
      </w:pPr>
    </w:p>
    <w:p w14:paraId="1C055271" w14:textId="77777777" w:rsidR="00B2442D" w:rsidRDefault="008A645F">
      <w:pPr>
        <w:ind w:left="284" w:hanging="284"/>
        <w:jc w:val="both"/>
        <w:rPr>
          <w:rFonts w:ascii="Arial" w:hAnsi="Arial" w:cs="Arial"/>
          <w:lang w:val="es-CO"/>
        </w:rPr>
      </w:pPr>
      <w:r>
        <w:rPr>
          <w:rFonts w:ascii="Arial" w:hAnsi="Arial" w:cs="Arial"/>
          <w:lang w:val="es-CO"/>
        </w:rPr>
        <w:t>2. Certificación expedida por el representante legal del administrador de la inversión en Col</w:t>
      </w:r>
      <w:r>
        <w:rPr>
          <w:rFonts w:ascii="Arial" w:hAnsi="Arial" w:cs="Arial"/>
          <w:lang w:val="es-CO"/>
        </w:rPr>
        <w:t>ombia donde informe el número de identificación en el exterior, país de origen y nombres y apellidos o razón social del inversionista de portafolio, según sea el caso.</w:t>
      </w:r>
    </w:p>
    <w:p w14:paraId="13387ED0" w14:textId="77777777" w:rsidR="00B2442D" w:rsidRDefault="00B2442D">
      <w:pPr>
        <w:ind w:left="284" w:hanging="284"/>
        <w:jc w:val="both"/>
        <w:rPr>
          <w:rFonts w:ascii="Arial" w:hAnsi="Arial" w:cs="Arial"/>
          <w:lang w:val="es-CO"/>
        </w:rPr>
      </w:pPr>
    </w:p>
    <w:p w14:paraId="7965A928" w14:textId="77777777" w:rsidR="00B2442D" w:rsidRDefault="008A645F">
      <w:pPr>
        <w:ind w:left="284" w:hanging="284"/>
        <w:jc w:val="both"/>
        <w:rPr>
          <w:rFonts w:ascii="Arial" w:hAnsi="Arial" w:cs="Arial"/>
          <w:lang w:val="es-CO"/>
        </w:rPr>
      </w:pPr>
      <w:r>
        <w:rPr>
          <w:rFonts w:ascii="Arial" w:hAnsi="Arial" w:cs="Arial"/>
          <w:lang w:val="es-CO"/>
        </w:rPr>
        <w:t>g) Inversionistas de capital del exterior de portafolio que inviertan a través de los s</w:t>
      </w:r>
      <w:r>
        <w:rPr>
          <w:rFonts w:ascii="Arial" w:hAnsi="Arial" w:cs="Arial"/>
          <w:lang w:val="es-CO"/>
        </w:rPr>
        <w:t>istemas de cotización de valores del extranjero mediante acuerdos o convenios de integración de Bolsas de Valores de que trata el Título 6 del Libro 15 de la Parte 2 del Decreto número 2555 de 2010, así como aquellos acuerdos o convenios que se suscriban c</w:t>
      </w:r>
      <w:r>
        <w:rPr>
          <w:rFonts w:ascii="Arial" w:hAnsi="Arial" w:cs="Arial"/>
          <w:lang w:val="es-CO"/>
        </w:rPr>
        <w:t>uyo objeto sea lograr la interconexión de los depósitos centralizados de valores del extranjero o entidades homólogas bajo la calidad de depositantes directos en los depósitos centralizados de valores locales de conformidad con el parágrafo del artículo 12</w:t>
      </w:r>
      <w:r>
        <w:rPr>
          <w:rFonts w:ascii="Arial" w:hAnsi="Arial" w:cs="Arial"/>
          <w:lang w:val="es-CO"/>
        </w:rPr>
        <w:t xml:space="preserve"> de la Ley 964 de 2005.</w:t>
      </w:r>
    </w:p>
    <w:p w14:paraId="4C175B31" w14:textId="77777777" w:rsidR="00B2442D" w:rsidRDefault="00B2442D">
      <w:pPr>
        <w:ind w:left="284" w:hanging="284"/>
        <w:jc w:val="both"/>
        <w:rPr>
          <w:rFonts w:ascii="Arial" w:hAnsi="Arial" w:cs="Arial"/>
          <w:lang w:val="es-CO"/>
        </w:rPr>
      </w:pPr>
    </w:p>
    <w:p w14:paraId="371243CA" w14:textId="77777777" w:rsidR="00B2442D" w:rsidRDefault="008A645F">
      <w:pPr>
        <w:ind w:left="284" w:hanging="284"/>
        <w:jc w:val="both"/>
        <w:rPr>
          <w:rFonts w:ascii="Arial" w:hAnsi="Arial" w:cs="Arial"/>
          <w:lang w:val="es-CO"/>
        </w:rPr>
      </w:pPr>
      <w:r>
        <w:rPr>
          <w:rFonts w:ascii="Arial" w:hAnsi="Arial" w:cs="Arial"/>
          <w:lang w:val="es-CO"/>
        </w:rPr>
        <w:t>1. Fotocopia del documento de identidad del representante legal del depósito centralizado de valores local; con exhibición del original; cuando el trámite se realice a través de apoderado, fotocopia del documento de identidad del a</w:t>
      </w:r>
      <w:r>
        <w:rPr>
          <w:rFonts w:ascii="Arial" w:hAnsi="Arial" w:cs="Arial"/>
          <w:lang w:val="es-CO"/>
        </w:rPr>
        <w:t>poderado con exhibición del mismo y fotocopia del documento de identidad del poderdante; original del poder especial o copia simple del poder general con exhibición del original, junto con la certificación de vigencia del mismo expedida por el notario, cua</w:t>
      </w:r>
      <w:r>
        <w:rPr>
          <w:rFonts w:ascii="Arial" w:hAnsi="Arial" w:cs="Arial"/>
          <w:lang w:val="es-CO"/>
        </w:rPr>
        <w:t xml:space="preserve">ndo el poder general tenga fecha de expedición mayor de seis (6) meses. </w:t>
      </w:r>
    </w:p>
    <w:p w14:paraId="52BF5FD1" w14:textId="77777777" w:rsidR="00B2442D" w:rsidRDefault="00B2442D">
      <w:pPr>
        <w:ind w:left="284" w:hanging="284"/>
        <w:jc w:val="both"/>
        <w:rPr>
          <w:rFonts w:ascii="Arial" w:hAnsi="Arial" w:cs="Arial"/>
          <w:lang w:val="es-CO"/>
        </w:rPr>
      </w:pPr>
    </w:p>
    <w:p w14:paraId="12CBC10D" w14:textId="77777777" w:rsidR="00B2442D" w:rsidRDefault="008A645F">
      <w:pPr>
        <w:ind w:left="284" w:hanging="284"/>
        <w:jc w:val="both"/>
        <w:rPr>
          <w:rFonts w:ascii="Arial" w:hAnsi="Arial" w:cs="Arial"/>
          <w:lang w:val="es-CO"/>
        </w:rPr>
      </w:pPr>
      <w:r>
        <w:rPr>
          <w:rFonts w:ascii="Arial" w:hAnsi="Arial" w:cs="Arial"/>
          <w:lang w:val="es-CO"/>
        </w:rPr>
        <w:t>2. Certificado de existencia y representación legal expedido por la Superintendencia Financiera de Colombia del depósito centralizado de valores local.</w:t>
      </w:r>
    </w:p>
    <w:p w14:paraId="2DB9C752" w14:textId="77777777" w:rsidR="00B2442D" w:rsidRDefault="00B2442D">
      <w:pPr>
        <w:ind w:left="284" w:hanging="284"/>
        <w:jc w:val="both"/>
        <w:rPr>
          <w:rFonts w:ascii="Arial" w:hAnsi="Arial" w:cs="Arial"/>
          <w:lang w:val="es-CO"/>
        </w:rPr>
      </w:pPr>
    </w:p>
    <w:p w14:paraId="4B206616" w14:textId="77777777" w:rsidR="00B2442D" w:rsidRDefault="008A645F">
      <w:pPr>
        <w:ind w:left="284" w:hanging="284"/>
        <w:jc w:val="both"/>
        <w:rPr>
          <w:rFonts w:ascii="Arial" w:hAnsi="Arial" w:cs="Arial"/>
          <w:lang w:val="es-CO"/>
        </w:rPr>
      </w:pPr>
      <w:r>
        <w:rPr>
          <w:rFonts w:ascii="Arial" w:hAnsi="Arial" w:cs="Arial"/>
          <w:lang w:val="es-CO"/>
        </w:rPr>
        <w:t>3. Certificación expedida por</w:t>
      </w:r>
      <w:r>
        <w:rPr>
          <w:rFonts w:ascii="Arial" w:hAnsi="Arial" w:cs="Arial"/>
          <w:lang w:val="es-CO"/>
        </w:rPr>
        <w:t xml:space="preserve"> el representante legal del depósito centralizado de valores local en el que conste la razón social del depósito centralizado de valores del extranjero, su identificación para efectos tributarios en el exterior, la fecha de celebración del acuerdo de inter</w:t>
      </w:r>
      <w:r>
        <w:rPr>
          <w:rFonts w:ascii="Arial" w:hAnsi="Arial" w:cs="Arial"/>
          <w:lang w:val="es-CO"/>
        </w:rPr>
        <w:t>conexión entre depósitos centralizados, el objeto de dicho acuerdo y el certificado de existencia y representación legal expedido por la autoridad competente del país de origen de la entidad.</w:t>
      </w:r>
    </w:p>
    <w:p w14:paraId="34F936E7" w14:textId="77777777" w:rsidR="00B2442D" w:rsidRDefault="00B2442D">
      <w:pPr>
        <w:ind w:left="284" w:hanging="284"/>
        <w:jc w:val="both"/>
        <w:rPr>
          <w:rFonts w:ascii="Arial" w:hAnsi="Arial" w:cs="Arial"/>
          <w:lang w:val="es-CO"/>
        </w:rPr>
      </w:pPr>
    </w:p>
    <w:p w14:paraId="57BC1EBF" w14:textId="77777777" w:rsidR="00B2442D" w:rsidRDefault="008A645F">
      <w:pPr>
        <w:ind w:left="284"/>
        <w:jc w:val="both"/>
        <w:rPr>
          <w:rFonts w:ascii="Arial" w:hAnsi="Arial" w:cs="Arial"/>
          <w:lang w:val="es-CO"/>
        </w:rPr>
      </w:pPr>
      <w:r>
        <w:rPr>
          <w:rFonts w:ascii="Arial" w:hAnsi="Arial" w:cs="Arial"/>
          <w:lang w:val="es-CO"/>
        </w:rPr>
        <w:t>Los depósitos centralizados de valores, en virtud de los acuerd</w:t>
      </w:r>
      <w:r>
        <w:rPr>
          <w:rFonts w:ascii="Arial" w:hAnsi="Arial" w:cs="Arial"/>
          <w:lang w:val="es-CO"/>
        </w:rPr>
        <w:t>os de interconexión están en la obligación de suministrar a la Unidad Administrativa Especial Dirección de Impuestos y Aduanas Nacionales-DIAN la información que esta requiera sobre los inversionistas de capital del exterior de portafolio para efectuar cru</w:t>
      </w:r>
      <w:r>
        <w:rPr>
          <w:rFonts w:ascii="Arial" w:hAnsi="Arial" w:cs="Arial"/>
          <w:lang w:val="es-CO"/>
        </w:rPr>
        <w:t>ces de información.</w:t>
      </w:r>
    </w:p>
    <w:p w14:paraId="66F475A1" w14:textId="77777777" w:rsidR="00B2442D" w:rsidRDefault="00B2442D">
      <w:pPr>
        <w:ind w:left="284" w:hanging="284"/>
        <w:jc w:val="both"/>
        <w:rPr>
          <w:rFonts w:ascii="Arial" w:hAnsi="Arial" w:cs="Arial"/>
          <w:lang w:val="es-CO"/>
        </w:rPr>
      </w:pPr>
    </w:p>
    <w:p w14:paraId="4B517F13" w14:textId="77777777" w:rsidR="00B2442D" w:rsidRDefault="008A645F">
      <w:pPr>
        <w:ind w:left="284"/>
        <w:jc w:val="both"/>
        <w:rPr>
          <w:rFonts w:ascii="Arial" w:hAnsi="Arial" w:cs="Arial"/>
          <w:lang w:val="es-CO"/>
        </w:rPr>
      </w:pPr>
      <w:r>
        <w:rPr>
          <w:rFonts w:ascii="Arial" w:hAnsi="Arial" w:cs="Arial"/>
          <w:lang w:val="es-CO"/>
        </w:rPr>
        <w:t>En caso de que en la operación de inversión de capital del exterior de portafolio intervenga un custodio en los términos del Decreto 2555 de 2010, modificado por el Decreto 1243 de 2013, este estará obligado a efectuar la inscripción e</w:t>
      </w:r>
      <w:r>
        <w:rPr>
          <w:rFonts w:ascii="Arial" w:hAnsi="Arial" w:cs="Arial"/>
          <w:lang w:val="es-CO"/>
        </w:rPr>
        <w:t>n el Registro Único Tributario de los inversionistas de capital del exterior de portafolio en los términos del literal f) del presente artículo.</w:t>
      </w:r>
    </w:p>
    <w:p w14:paraId="1084D0B9" w14:textId="77777777" w:rsidR="00B2442D" w:rsidRDefault="00B2442D">
      <w:pPr>
        <w:ind w:left="284" w:hanging="284"/>
        <w:jc w:val="both"/>
        <w:rPr>
          <w:rFonts w:ascii="Arial" w:hAnsi="Arial" w:cs="Arial"/>
          <w:lang w:val="es-CO"/>
        </w:rPr>
      </w:pPr>
    </w:p>
    <w:p w14:paraId="5248145C" w14:textId="77777777" w:rsidR="00B2442D" w:rsidRDefault="008A645F">
      <w:pPr>
        <w:ind w:left="284" w:hanging="284"/>
        <w:jc w:val="both"/>
        <w:rPr>
          <w:rFonts w:ascii="Arial" w:hAnsi="Arial" w:cs="Arial"/>
          <w:lang w:val="es-CO"/>
        </w:rPr>
      </w:pPr>
      <w:r>
        <w:rPr>
          <w:rFonts w:ascii="Arial" w:hAnsi="Arial" w:cs="Arial"/>
          <w:lang w:val="es-CO"/>
        </w:rPr>
        <w:t xml:space="preserve">h) </w:t>
      </w:r>
      <w:r>
        <w:rPr>
          <w:rFonts w:ascii="Arial" w:hAnsi="Arial" w:cs="Arial"/>
          <w:lang w:val="es-CO"/>
        </w:rPr>
        <w:tab/>
        <w:t>Las personas naturales sin residencia en Colombia y las sociedades y entidades extranjeras que realicen op</w:t>
      </w:r>
      <w:r>
        <w:rPr>
          <w:rFonts w:ascii="Arial" w:hAnsi="Arial" w:cs="Arial"/>
          <w:lang w:val="es-CO"/>
        </w:rPr>
        <w:t>eraciones a través de establecimientos permanentes diferentes a sucursales.</w:t>
      </w:r>
    </w:p>
    <w:p w14:paraId="3241EE61" w14:textId="77777777" w:rsidR="00B2442D" w:rsidRDefault="00B2442D">
      <w:pPr>
        <w:ind w:left="284" w:hanging="284"/>
        <w:jc w:val="both"/>
        <w:rPr>
          <w:rFonts w:ascii="Arial" w:hAnsi="Arial" w:cs="Arial"/>
          <w:lang w:val="es-CO"/>
        </w:rPr>
      </w:pPr>
    </w:p>
    <w:p w14:paraId="2662DABA" w14:textId="77777777" w:rsidR="00B2442D" w:rsidRDefault="008A645F">
      <w:pPr>
        <w:ind w:left="284" w:hanging="284"/>
        <w:jc w:val="both"/>
        <w:rPr>
          <w:rFonts w:ascii="Arial" w:hAnsi="Arial" w:cs="Arial"/>
          <w:lang w:val="es-CO"/>
        </w:rPr>
      </w:pPr>
      <w:r>
        <w:rPr>
          <w:rFonts w:ascii="Arial" w:hAnsi="Arial" w:cs="Arial"/>
          <w:lang w:val="es-CO"/>
        </w:rPr>
        <w:t>Personas naturales sin residencia en Colombia.</w:t>
      </w:r>
    </w:p>
    <w:p w14:paraId="396DE318" w14:textId="77777777" w:rsidR="00B2442D" w:rsidRDefault="00B2442D">
      <w:pPr>
        <w:ind w:left="284" w:hanging="284"/>
        <w:jc w:val="both"/>
        <w:rPr>
          <w:rFonts w:ascii="Arial" w:hAnsi="Arial" w:cs="Arial"/>
          <w:lang w:val="es-CO"/>
        </w:rPr>
      </w:pPr>
    </w:p>
    <w:p w14:paraId="47ADDB2C" w14:textId="77777777" w:rsidR="00B2442D" w:rsidRDefault="008A645F">
      <w:pPr>
        <w:ind w:left="284" w:hanging="284"/>
        <w:jc w:val="both"/>
        <w:rPr>
          <w:rFonts w:ascii="Arial" w:hAnsi="Arial" w:cs="Arial"/>
          <w:lang w:val="es-CO"/>
        </w:rPr>
      </w:pPr>
      <w:r>
        <w:rPr>
          <w:rFonts w:ascii="Arial" w:hAnsi="Arial" w:cs="Arial"/>
          <w:lang w:val="es-CO"/>
        </w:rPr>
        <w:t xml:space="preserve">1. Fotocopia del documento de identidad del solicitante, con exhibición del original; cuando el trámite se realice a través de </w:t>
      </w:r>
      <w:r>
        <w:rPr>
          <w:rFonts w:ascii="Arial" w:hAnsi="Arial" w:cs="Arial"/>
          <w:lang w:val="es-CO"/>
        </w:rPr>
        <w:t>apoderado, fotocopia del documento de identidad del apoderado con exhibición del mismo y fotocopia del documento de identidad del poderdante; original del poder especial o copia simple del poder general, junto con la certificación de vigencia del mismo exp</w:t>
      </w:r>
      <w:r>
        <w:rPr>
          <w:rFonts w:ascii="Arial" w:hAnsi="Arial" w:cs="Arial"/>
          <w:lang w:val="es-CO"/>
        </w:rPr>
        <w:t>edida por el notario, cuando el poder general tenga una vigencia mayor a seis (6) meses.</w:t>
      </w:r>
    </w:p>
    <w:p w14:paraId="73BDFD73" w14:textId="77777777" w:rsidR="00B2442D" w:rsidRDefault="00B2442D">
      <w:pPr>
        <w:ind w:left="284" w:hanging="284"/>
        <w:jc w:val="both"/>
        <w:rPr>
          <w:rFonts w:ascii="Arial" w:hAnsi="Arial" w:cs="Arial"/>
          <w:lang w:val="es-CO"/>
        </w:rPr>
      </w:pPr>
    </w:p>
    <w:p w14:paraId="5AB11624" w14:textId="77777777" w:rsidR="00B2442D" w:rsidRDefault="008A645F">
      <w:pPr>
        <w:ind w:left="284" w:hanging="284"/>
        <w:jc w:val="both"/>
        <w:rPr>
          <w:rFonts w:ascii="Arial" w:hAnsi="Arial" w:cs="Arial"/>
          <w:lang w:val="es-CO"/>
        </w:rPr>
      </w:pPr>
      <w:r>
        <w:rPr>
          <w:rFonts w:ascii="Arial" w:hAnsi="Arial" w:cs="Arial"/>
          <w:lang w:val="es-CO"/>
        </w:rPr>
        <w:t>2. Declaración, que se entiende presentada bajo la gravedad del juramento, en donde consten las circunstancias que dan lugar a la existencia de un establecimiento per</w:t>
      </w:r>
      <w:r>
        <w:rPr>
          <w:rFonts w:ascii="Arial" w:hAnsi="Arial" w:cs="Arial"/>
          <w:lang w:val="es-CO"/>
        </w:rPr>
        <w:t>manente en Colombia, y copia de los documentos o actos que soporten dicha declaración, cuando a ello haya lugar.</w:t>
      </w:r>
    </w:p>
    <w:p w14:paraId="56AB5C89" w14:textId="77777777" w:rsidR="00B2442D" w:rsidRDefault="00B2442D">
      <w:pPr>
        <w:ind w:left="284" w:hanging="284"/>
        <w:jc w:val="both"/>
        <w:rPr>
          <w:rFonts w:ascii="Arial" w:hAnsi="Arial" w:cs="Arial"/>
          <w:lang w:val="es-CO"/>
        </w:rPr>
      </w:pPr>
    </w:p>
    <w:p w14:paraId="0709DE79" w14:textId="77777777" w:rsidR="00B2442D" w:rsidRDefault="008A645F">
      <w:pPr>
        <w:ind w:left="284" w:hanging="284"/>
        <w:jc w:val="both"/>
        <w:rPr>
          <w:rFonts w:ascii="Arial" w:hAnsi="Arial" w:cs="Arial"/>
          <w:lang w:val="es-CO"/>
        </w:rPr>
      </w:pPr>
      <w:r>
        <w:rPr>
          <w:rFonts w:ascii="Arial" w:hAnsi="Arial" w:cs="Arial"/>
          <w:lang w:val="es-CO"/>
        </w:rPr>
        <w:t>Sociedades y entidades extranjeras.</w:t>
      </w:r>
    </w:p>
    <w:p w14:paraId="20A86E3F" w14:textId="77777777" w:rsidR="00B2442D" w:rsidRDefault="00B2442D">
      <w:pPr>
        <w:ind w:left="284" w:hanging="284"/>
        <w:jc w:val="both"/>
        <w:rPr>
          <w:rFonts w:ascii="Arial" w:hAnsi="Arial" w:cs="Arial"/>
          <w:lang w:val="es-CO"/>
        </w:rPr>
      </w:pPr>
    </w:p>
    <w:p w14:paraId="789A39C1" w14:textId="77777777" w:rsidR="00B2442D" w:rsidRDefault="008A645F">
      <w:pPr>
        <w:ind w:left="284" w:hanging="284"/>
        <w:jc w:val="both"/>
        <w:rPr>
          <w:rFonts w:ascii="Arial" w:hAnsi="Arial" w:cs="Arial"/>
          <w:lang w:val="es-CO"/>
        </w:rPr>
      </w:pPr>
      <w:r>
        <w:rPr>
          <w:rFonts w:ascii="Arial" w:hAnsi="Arial" w:cs="Arial"/>
          <w:lang w:val="es-CO"/>
        </w:rPr>
        <w:t xml:space="preserve">1.Original del documento mediante el cual se acredite la existencia y representación legal de la oficina </w:t>
      </w:r>
      <w:r>
        <w:rPr>
          <w:rFonts w:ascii="Arial" w:hAnsi="Arial" w:cs="Arial"/>
          <w:lang w:val="es-CO"/>
        </w:rPr>
        <w:t>principal, en idioma español, debidamente apostillado o, si es del caso, autenticado ante el Cónsul o el funcionario autorizado.</w:t>
      </w:r>
    </w:p>
    <w:p w14:paraId="4FA69D45" w14:textId="77777777" w:rsidR="00B2442D" w:rsidRDefault="00B2442D">
      <w:pPr>
        <w:ind w:left="284" w:hanging="284"/>
        <w:jc w:val="both"/>
        <w:rPr>
          <w:rFonts w:ascii="Arial" w:hAnsi="Arial" w:cs="Arial"/>
          <w:lang w:val="es-CO"/>
        </w:rPr>
      </w:pPr>
    </w:p>
    <w:p w14:paraId="45EC3928" w14:textId="77777777" w:rsidR="00B2442D" w:rsidRDefault="008A645F">
      <w:pPr>
        <w:ind w:left="284" w:hanging="284"/>
        <w:jc w:val="both"/>
        <w:rPr>
          <w:rFonts w:ascii="Arial" w:hAnsi="Arial" w:cs="Arial"/>
          <w:lang w:val="es-CO"/>
        </w:rPr>
      </w:pPr>
      <w:r>
        <w:rPr>
          <w:rFonts w:ascii="Arial" w:hAnsi="Arial" w:cs="Arial"/>
          <w:lang w:val="es-CO"/>
        </w:rPr>
        <w:t>2. Copia del documento o acto mediante el cual se acordó que la sociedad o entidad llevaría a cabo actividades constitutivas d</w:t>
      </w:r>
      <w:r>
        <w:rPr>
          <w:rFonts w:ascii="Arial" w:hAnsi="Arial" w:cs="Arial"/>
          <w:lang w:val="es-CO"/>
        </w:rPr>
        <w:t>e establecimiento permanente en Colombia o declaración, que se entiende presentada bajo la gravedad del juramento, donde consten las circunstancias que dan lugar a la existencia de un establecimiento permanente en Colombia.</w:t>
      </w:r>
    </w:p>
    <w:p w14:paraId="12598C40" w14:textId="77777777" w:rsidR="00B2442D" w:rsidRDefault="00B2442D">
      <w:pPr>
        <w:ind w:left="284" w:hanging="284"/>
        <w:jc w:val="both"/>
        <w:rPr>
          <w:rFonts w:ascii="Arial" w:hAnsi="Arial" w:cs="Arial"/>
          <w:lang w:val="es-CO"/>
        </w:rPr>
      </w:pPr>
    </w:p>
    <w:p w14:paraId="10662920" w14:textId="77777777" w:rsidR="00B2442D" w:rsidRDefault="008A645F">
      <w:pPr>
        <w:ind w:left="284" w:hanging="284"/>
        <w:jc w:val="both"/>
        <w:rPr>
          <w:rFonts w:ascii="Arial" w:hAnsi="Arial" w:cs="Arial"/>
          <w:lang w:val="es-CO"/>
        </w:rPr>
      </w:pPr>
      <w:r>
        <w:rPr>
          <w:rFonts w:ascii="Arial" w:hAnsi="Arial" w:cs="Arial"/>
          <w:lang w:val="es-CO"/>
        </w:rPr>
        <w:t>3. Fotocopia del documento de i</w:t>
      </w:r>
      <w:r>
        <w:rPr>
          <w:rFonts w:ascii="Arial" w:hAnsi="Arial" w:cs="Arial"/>
          <w:lang w:val="es-CO"/>
        </w:rPr>
        <w:t>dentidad del representante legal o del apoderado de la sociedad en Colombia, con exhibición del original. Cuando el trámite se realice a través de un apoderado, fotocopia del documento de identidad del apoderado con exhibición del mismo, y fotocopia del do</w:t>
      </w:r>
      <w:r>
        <w:rPr>
          <w:rFonts w:ascii="Arial" w:hAnsi="Arial" w:cs="Arial"/>
          <w:lang w:val="es-CO"/>
        </w:rPr>
        <w:t>cumento de identidad del poderdante; original del poder especial o copia simple del poder general, junto con la certificación de vigencia del mismo expedida por el notario, cuando el poder general tenga una vigencia mayor de seis (6) meses.</w:t>
      </w:r>
    </w:p>
    <w:p w14:paraId="3A447B1B" w14:textId="77777777" w:rsidR="00B2442D" w:rsidRDefault="00B2442D">
      <w:pPr>
        <w:ind w:left="284" w:hanging="284"/>
        <w:jc w:val="both"/>
        <w:rPr>
          <w:rFonts w:ascii="Arial" w:hAnsi="Arial" w:cs="Arial"/>
          <w:lang w:val="es-CO"/>
        </w:rPr>
      </w:pPr>
    </w:p>
    <w:p w14:paraId="70338369"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En caso de </w:t>
      </w:r>
      <w:r>
        <w:rPr>
          <w:rFonts w:ascii="Arial" w:hAnsi="Arial" w:cs="Arial"/>
          <w:lang w:val="es-CO"/>
        </w:rPr>
        <w:t>actuar a través de apoderado de la sociedad en Colombia se requiere presentar fotocopia del poder otorgado por el representante legal de la sociedad en el exterior, en idioma español, debidamente apostillado, o si es del caso autenticado ante el Cónsul o e</w:t>
      </w:r>
      <w:r>
        <w:rPr>
          <w:rFonts w:ascii="Arial" w:hAnsi="Arial" w:cs="Arial"/>
          <w:lang w:val="es-CO"/>
        </w:rPr>
        <w:t>l funcionario autorizado.</w:t>
      </w:r>
    </w:p>
    <w:p w14:paraId="034553BA" w14:textId="77777777" w:rsidR="00B2442D" w:rsidRDefault="00B2442D">
      <w:pPr>
        <w:ind w:left="284" w:hanging="284"/>
        <w:jc w:val="both"/>
        <w:rPr>
          <w:rFonts w:ascii="Arial" w:hAnsi="Arial" w:cs="Arial"/>
          <w:lang w:val="es-CO"/>
        </w:rPr>
      </w:pPr>
    </w:p>
    <w:p w14:paraId="15A9AE5C" w14:textId="77777777" w:rsidR="00B2442D" w:rsidRDefault="008A645F">
      <w:pPr>
        <w:ind w:left="284" w:hanging="284"/>
        <w:jc w:val="both"/>
        <w:rPr>
          <w:rFonts w:ascii="Arial" w:hAnsi="Arial" w:cs="Arial"/>
          <w:lang w:val="es-CO"/>
        </w:rPr>
      </w:pPr>
      <w:r>
        <w:rPr>
          <w:rFonts w:ascii="Arial" w:hAnsi="Arial" w:cs="Arial"/>
          <w:lang w:val="es-CO"/>
        </w:rPr>
        <w:t xml:space="preserve">i) </w:t>
      </w:r>
      <w:r>
        <w:rPr>
          <w:rFonts w:ascii="Arial" w:hAnsi="Arial" w:cs="Arial"/>
          <w:lang w:val="es-CO"/>
        </w:rPr>
        <w:tab/>
        <w:t>Sociedades o entidades consideradas nacionales por tener su sede efectiva de administración en el territorio colombiano.</w:t>
      </w:r>
    </w:p>
    <w:p w14:paraId="2992C436" w14:textId="77777777" w:rsidR="00B2442D" w:rsidRDefault="00B2442D">
      <w:pPr>
        <w:ind w:left="284" w:hanging="284"/>
        <w:jc w:val="both"/>
        <w:rPr>
          <w:rFonts w:ascii="Arial" w:hAnsi="Arial" w:cs="Arial"/>
          <w:lang w:val="es-CO"/>
        </w:rPr>
      </w:pPr>
    </w:p>
    <w:p w14:paraId="7E7E0C5A"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Original del documento mediante el cual se acredite la existencia y representación legal de la socie</w:t>
      </w:r>
      <w:r>
        <w:rPr>
          <w:rFonts w:ascii="Arial" w:hAnsi="Arial" w:cs="Arial"/>
          <w:lang w:val="es-CO"/>
        </w:rPr>
        <w:t>dad o entidad, en idioma español, debidamente apostillado o autenticado ante el Cónsul o el funcionario autorizado.</w:t>
      </w:r>
    </w:p>
    <w:p w14:paraId="44ACD680" w14:textId="77777777" w:rsidR="00B2442D" w:rsidRDefault="00B2442D">
      <w:pPr>
        <w:ind w:left="284" w:hanging="284"/>
        <w:jc w:val="both"/>
        <w:rPr>
          <w:rFonts w:ascii="Arial" w:hAnsi="Arial" w:cs="Arial"/>
          <w:lang w:val="es-CO"/>
        </w:rPr>
      </w:pPr>
    </w:p>
    <w:p w14:paraId="35ADC571"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Documento o acto mediante el cual se informa el domicilio donde tendrá la sede efectiva de administración en el territorio nacional.</w:t>
      </w:r>
    </w:p>
    <w:p w14:paraId="667C4AD4" w14:textId="77777777" w:rsidR="00B2442D" w:rsidRDefault="00B2442D">
      <w:pPr>
        <w:ind w:left="284" w:hanging="284"/>
        <w:jc w:val="both"/>
        <w:rPr>
          <w:rFonts w:ascii="Arial" w:hAnsi="Arial" w:cs="Arial"/>
          <w:lang w:val="es-CO"/>
        </w:rPr>
      </w:pPr>
    </w:p>
    <w:p w14:paraId="494F8B7F"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Fotocopia del documento de identidad del representante legal o del apoderado de la sociedad en Colombia, con exhibición del original. Cuando el trámite se realice a través de un apoderado, fotocopia del documento de identidad del apoderado con exhibición </w:t>
      </w:r>
      <w:r>
        <w:rPr>
          <w:rFonts w:ascii="Arial" w:hAnsi="Arial" w:cs="Arial"/>
          <w:lang w:val="es-CO"/>
        </w:rPr>
        <w:t>del mismo, y fotocopia del documento de identidad del poderdante, original del poder especial o copia simple del poder general, junto con la certificación, de vigencia del mismo expedida por el notario, cuando el poder general tenga una vigencia mayor de s</w:t>
      </w:r>
      <w:r>
        <w:rPr>
          <w:rFonts w:ascii="Arial" w:hAnsi="Arial" w:cs="Arial"/>
          <w:lang w:val="es-CO"/>
        </w:rPr>
        <w:t>eis (6) meses.</w:t>
      </w:r>
    </w:p>
    <w:p w14:paraId="0BA750DF" w14:textId="77777777" w:rsidR="00B2442D" w:rsidRDefault="00B2442D">
      <w:pPr>
        <w:ind w:left="284" w:hanging="284"/>
        <w:jc w:val="both"/>
        <w:rPr>
          <w:rFonts w:ascii="Arial" w:hAnsi="Arial" w:cs="Arial"/>
          <w:lang w:val="es-CO"/>
        </w:rPr>
      </w:pPr>
    </w:p>
    <w:p w14:paraId="2CD6244C" w14:textId="77777777" w:rsidR="00B2442D" w:rsidRDefault="008A645F">
      <w:pPr>
        <w:ind w:left="284" w:hanging="284"/>
        <w:jc w:val="both"/>
        <w:rPr>
          <w:rFonts w:ascii="Arial" w:hAnsi="Arial" w:cs="Arial"/>
          <w:lang w:val="es-CO"/>
        </w:rPr>
      </w:pPr>
      <w:r>
        <w:rPr>
          <w:rFonts w:ascii="Arial" w:hAnsi="Arial" w:cs="Arial"/>
          <w:lang w:val="es-CO"/>
        </w:rPr>
        <w:t>4. En caso de actuar a través de apoderado de la sociedad en Colombia se requiere presentar fotocopia del poder otorgado por el representante legal de la sociedad en el exterior en idioma español, debidamente apostillado o extendido ante el</w:t>
      </w:r>
      <w:r>
        <w:rPr>
          <w:rFonts w:ascii="Arial" w:hAnsi="Arial" w:cs="Arial"/>
          <w:lang w:val="es-CO"/>
        </w:rPr>
        <w:t xml:space="preserve"> Cónsul o funcionario autorizado.</w:t>
      </w:r>
    </w:p>
    <w:p w14:paraId="2E3B54AC" w14:textId="77777777" w:rsidR="00B2442D" w:rsidRDefault="00B2442D">
      <w:pPr>
        <w:ind w:left="284" w:hanging="284"/>
        <w:jc w:val="both"/>
        <w:rPr>
          <w:rFonts w:ascii="Arial" w:hAnsi="Arial" w:cs="Arial"/>
          <w:lang w:val="es-CO"/>
        </w:rPr>
      </w:pPr>
    </w:p>
    <w:p w14:paraId="352C14E4" w14:textId="77777777" w:rsidR="00B2442D" w:rsidRDefault="008A645F">
      <w:pPr>
        <w:ind w:left="284" w:hanging="284"/>
        <w:jc w:val="both"/>
        <w:rPr>
          <w:rFonts w:ascii="Arial" w:hAnsi="Arial" w:cs="Arial"/>
          <w:lang w:val="es-CO"/>
        </w:rPr>
      </w:pPr>
      <w:r>
        <w:rPr>
          <w:rFonts w:ascii="Arial" w:hAnsi="Arial" w:cs="Arial"/>
          <w:lang w:val="es-CO"/>
        </w:rPr>
        <w:t xml:space="preserve">j) Patrimonios autónomos:  </w:t>
      </w:r>
    </w:p>
    <w:p w14:paraId="772A3076" w14:textId="77777777" w:rsidR="00B2442D" w:rsidRDefault="00B2442D">
      <w:pPr>
        <w:ind w:left="284" w:hanging="284"/>
        <w:jc w:val="both"/>
        <w:rPr>
          <w:rFonts w:ascii="Arial" w:hAnsi="Arial" w:cs="Arial"/>
          <w:lang w:val="es-CO"/>
        </w:rPr>
      </w:pPr>
    </w:p>
    <w:p w14:paraId="28922391"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Fotocopia del documento de identidad del representante legal de la sociedad fiduciaria, con exhibición del original; cuando el trámite se realice a través de apoderado, fotocopia del docume</w:t>
      </w:r>
      <w:r>
        <w:rPr>
          <w:rFonts w:ascii="Arial" w:hAnsi="Arial" w:cs="Arial"/>
          <w:lang w:val="es-CO"/>
        </w:rPr>
        <w:t>nto de identidad del apoderado con exhibición del mismo y fotocopia del documento de identidad del poderdante; original del poder especial o copia simple del poder general, junto con la certificación de vigencia del mismo expedida por el notario, cuando el</w:t>
      </w:r>
      <w:r>
        <w:rPr>
          <w:rFonts w:ascii="Arial" w:hAnsi="Arial" w:cs="Arial"/>
          <w:lang w:val="es-CO"/>
        </w:rPr>
        <w:t xml:space="preserve"> poder general tenga una vigencia mayor de seis (6) meses.</w:t>
      </w:r>
    </w:p>
    <w:p w14:paraId="096B3F88" w14:textId="77777777" w:rsidR="00B2442D" w:rsidRDefault="00B2442D">
      <w:pPr>
        <w:ind w:left="284" w:hanging="284"/>
        <w:jc w:val="both"/>
        <w:rPr>
          <w:rFonts w:ascii="Arial" w:hAnsi="Arial" w:cs="Arial"/>
          <w:lang w:val="es-CO"/>
        </w:rPr>
      </w:pPr>
    </w:p>
    <w:p w14:paraId="7270ED50"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Certificado de existencia y representación legal de la sociedad fiduciaria expedido por la Superintendencia Financiera de Colombia.</w:t>
      </w:r>
    </w:p>
    <w:p w14:paraId="714D1D01" w14:textId="77777777" w:rsidR="00B2442D" w:rsidRDefault="00B2442D">
      <w:pPr>
        <w:ind w:left="284" w:hanging="284"/>
        <w:jc w:val="both"/>
        <w:rPr>
          <w:rFonts w:ascii="Arial" w:hAnsi="Arial" w:cs="Arial"/>
          <w:lang w:val="es-CO"/>
        </w:rPr>
      </w:pPr>
    </w:p>
    <w:p w14:paraId="365EB4D0"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Certificación del representante legal de la </w:t>
      </w:r>
      <w:r>
        <w:rPr>
          <w:rFonts w:ascii="Arial" w:hAnsi="Arial" w:cs="Arial"/>
          <w:lang w:val="es-CO"/>
        </w:rPr>
        <w:t>sociedad fiduciaria, que se entiende rendida bajo la gravedad del juramento, en la que conste:</w:t>
      </w:r>
    </w:p>
    <w:p w14:paraId="6A4B565E" w14:textId="77777777" w:rsidR="00B2442D" w:rsidRDefault="00B2442D">
      <w:pPr>
        <w:ind w:left="284" w:hanging="284"/>
        <w:jc w:val="both"/>
        <w:rPr>
          <w:rFonts w:ascii="Arial" w:hAnsi="Arial" w:cs="Arial"/>
          <w:lang w:val="es-CO"/>
        </w:rPr>
      </w:pPr>
    </w:p>
    <w:p w14:paraId="673D46F0"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Que el patrimonio autónomo desarrolla las operaciones del artículo 1.6.1.2.2 del presente decreto.</w:t>
      </w:r>
    </w:p>
    <w:p w14:paraId="34D74984" w14:textId="77777777" w:rsidR="00B2442D" w:rsidRDefault="00B2442D">
      <w:pPr>
        <w:ind w:left="284" w:hanging="284"/>
        <w:jc w:val="both"/>
        <w:rPr>
          <w:rFonts w:ascii="Arial" w:hAnsi="Arial" w:cs="Arial"/>
          <w:lang w:val="es-CO"/>
        </w:rPr>
      </w:pPr>
    </w:p>
    <w:p w14:paraId="422C2F1C"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Nombre o identificación del patrimonio autónomo.</w:t>
      </w:r>
    </w:p>
    <w:p w14:paraId="34181D10" w14:textId="77777777" w:rsidR="00B2442D" w:rsidRDefault="00B2442D">
      <w:pPr>
        <w:ind w:left="284" w:hanging="284"/>
        <w:jc w:val="both"/>
        <w:rPr>
          <w:rFonts w:ascii="Arial" w:hAnsi="Arial" w:cs="Arial"/>
          <w:lang w:val="es-CO"/>
        </w:rPr>
      </w:pPr>
    </w:p>
    <w:p w14:paraId="1C1FCB20"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D</w:t>
      </w:r>
      <w:r>
        <w:rPr>
          <w:rFonts w:ascii="Arial" w:hAnsi="Arial" w:cs="Arial"/>
          <w:lang w:val="es-CO"/>
        </w:rPr>
        <w:t>atos de ubicación de la sociedad fiduciaria que actúa como vocera o administradora del patrimonio autónomo.</w:t>
      </w:r>
    </w:p>
    <w:p w14:paraId="0AC05C13" w14:textId="77777777" w:rsidR="00B2442D" w:rsidRDefault="00B2442D">
      <w:pPr>
        <w:ind w:left="284" w:hanging="284"/>
        <w:jc w:val="both"/>
        <w:rPr>
          <w:rFonts w:ascii="Arial" w:hAnsi="Arial" w:cs="Arial"/>
          <w:lang w:val="es-CO"/>
        </w:rPr>
      </w:pPr>
    </w:p>
    <w:p w14:paraId="10990964"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Fecha de celebración del contrato de fiducia mercantil.</w:t>
      </w:r>
    </w:p>
    <w:p w14:paraId="5A09F58D" w14:textId="77777777" w:rsidR="00B2442D" w:rsidRDefault="00B2442D">
      <w:pPr>
        <w:jc w:val="both"/>
        <w:rPr>
          <w:rFonts w:ascii="Arial" w:hAnsi="Arial" w:cs="Arial"/>
          <w:lang w:val="es-CO"/>
        </w:rPr>
      </w:pPr>
    </w:p>
    <w:p w14:paraId="4B1E133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el interesado adelante el diligenciamiento del formulario de inscr</w:t>
      </w:r>
      <w:r>
        <w:rPr>
          <w:rFonts w:ascii="Arial" w:hAnsi="Arial" w:cs="Arial"/>
          <w:lang w:val="es-CO"/>
        </w:rPr>
        <w:t>ipción en el Registro Único Tributario (RUT) a través de internet, podrá tomar nota del número de formulario generado e informarlo ante las Direcciones Seccionales de Impuestos y/o Aduanas, de la Unidad Administrativa Especial Dirección de Impuestos y Adua</w:t>
      </w:r>
      <w:r>
        <w:rPr>
          <w:rFonts w:ascii="Arial" w:hAnsi="Arial" w:cs="Arial"/>
          <w:lang w:val="es-CO"/>
        </w:rPr>
        <w:t>nas Nacionales-DIAN, o en los lugares autorizados para su formalización, con los documentos exigidos para la inscripción en los términos del presente capítulo.</w:t>
      </w:r>
    </w:p>
    <w:p w14:paraId="5BD3FB85" w14:textId="77777777" w:rsidR="00B2442D" w:rsidRDefault="00B2442D">
      <w:pPr>
        <w:jc w:val="both"/>
        <w:rPr>
          <w:rFonts w:ascii="Arial" w:hAnsi="Arial" w:cs="Arial"/>
          <w:b/>
          <w:lang w:val="es-CO"/>
        </w:rPr>
      </w:pPr>
    </w:p>
    <w:p w14:paraId="6E6515A6"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Unidad Administrativa Especial Dirección de Impuestos y Aduanas Nacionales-DIAN, implementará procedimientos y utilizará la tecnología necesaria que permita garantizar la confiabilidad y seguridad en el trámite de inscripción, actualización, suspensión</w:t>
      </w:r>
      <w:r>
        <w:rPr>
          <w:rFonts w:ascii="Arial" w:hAnsi="Arial" w:cs="Arial"/>
          <w:lang w:val="es-CO"/>
        </w:rPr>
        <w:t xml:space="preserve"> y cancelación en el Registro Único Tributario (RUT), así como los mecanismos que permitan la recepción y conservación de la información, en armonía con las políticas de cero (0) papel.</w:t>
      </w:r>
    </w:p>
    <w:p w14:paraId="36FC7691" w14:textId="77777777" w:rsidR="00B2442D" w:rsidRDefault="00B2442D">
      <w:pPr>
        <w:jc w:val="both"/>
        <w:rPr>
          <w:rFonts w:ascii="Arial" w:hAnsi="Arial" w:cs="Arial"/>
          <w:lang w:val="es-CO"/>
        </w:rPr>
      </w:pPr>
    </w:p>
    <w:p w14:paraId="0E5D7CDC"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formalización de la inscripción en el Registro Único</w:t>
      </w:r>
      <w:r>
        <w:rPr>
          <w:rFonts w:ascii="Arial" w:hAnsi="Arial" w:cs="Arial"/>
          <w:lang w:val="es-CO"/>
        </w:rPr>
        <w:t xml:space="preserve"> Tributario (RUT) de las sociedades o entidades consideradas nacionales por tener su sede efectiva de administración en el territorio colombiano que tengan previamente registrada una sucursal o una inversión extranjera directa en Colombia, se tendrá como u</w:t>
      </w:r>
      <w:r>
        <w:rPr>
          <w:rFonts w:ascii="Arial" w:hAnsi="Arial" w:cs="Arial"/>
          <w:lang w:val="es-CO"/>
        </w:rPr>
        <w:t>na actualización en el RUT de dicha sucursal o entidad según corresponda.</w:t>
      </w:r>
    </w:p>
    <w:p w14:paraId="338BB1C7" w14:textId="77777777" w:rsidR="00B2442D" w:rsidRDefault="00B2442D">
      <w:pPr>
        <w:jc w:val="both"/>
        <w:rPr>
          <w:rFonts w:ascii="Arial" w:hAnsi="Arial" w:cs="Arial"/>
          <w:lang w:val="es-CO"/>
        </w:rPr>
      </w:pPr>
    </w:p>
    <w:p w14:paraId="112FFF6E" w14:textId="77777777" w:rsidR="00B2442D" w:rsidRDefault="008A645F">
      <w:pPr>
        <w:jc w:val="both"/>
        <w:rPr>
          <w:rFonts w:ascii="Arial" w:hAnsi="Arial" w:cs="Arial"/>
          <w:i/>
          <w:lang w:val="es-CO"/>
        </w:rPr>
      </w:pPr>
      <w:r>
        <w:rPr>
          <w:rFonts w:ascii="Arial" w:hAnsi="Arial" w:cs="Arial"/>
          <w:i/>
          <w:lang w:val="es-CO"/>
        </w:rPr>
        <w:t xml:space="preserve">(Art. 10, Decreto 2460 de 2013. Literal a) modificado por el art. 4 del Decreto 2620 de 2014. Literales f) a i) adicionados por el art. 5 del Decreto 2620 de 2014. Parágrafos 5 y 6 </w:t>
      </w:r>
      <w:r>
        <w:rPr>
          <w:rFonts w:ascii="Arial" w:hAnsi="Arial" w:cs="Arial"/>
          <w:i/>
          <w:lang w:val="es-CO"/>
        </w:rPr>
        <w:t>adicionados por el art. 6 del Decreto 2620 de 2014. Numeral 2 del literal a) modificado por el art. 6 del Decreto 589 de 2016. Literal b) modificado por el art. 7 del Decreto 589 de 2016. Literal c) modificado por el art. 8 del Decreto 589 de 2016. Literal</w:t>
      </w:r>
      <w:r>
        <w:rPr>
          <w:rFonts w:ascii="Arial" w:hAnsi="Arial" w:cs="Arial"/>
          <w:i/>
          <w:lang w:val="es-CO"/>
        </w:rPr>
        <w:t xml:space="preserve"> d) modificado por el art. 9 del Decreto 589 de 2016. Literal f) modificado por el art. 10 del Decreto 589 de 2016. Literal h) modificado por el art. 11 del Decreto 589 de 2016. Literal i) modificado por el art. 12 del Decreto 589 de 2016. Literal j) adici</w:t>
      </w:r>
      <w:r>
        <w:rPr>
          <w:rFonts w:ascii="Arial" w:hAnsi="Arial" w:cs="Arial"/>
          <w:i/>
          <w:lang w:val="es-CO"/>
        </w:rPr>
        <w:t>onado con el art. 3 del Decreto 589 de 2016)</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del Decreto número 3026 de 2013, el artí</w:t>
      </w:r>
      <w:r>
        <w:rPr>
          <w:rFonts w:ascii="Arial" w:hAnsi="Arial" w:cs="Arial"/>
          <w:i/>
          <w:lang w:val="es-CO"/>
        </w:rPr>
        <w:t xml:space="preserve">culo 11 del Decreto número 3028 de 2013 y las demás normas que le sean contrarias. Art. 23, Decreto 2460 de 2013, modificado por el art. 10 del Decreto 2620 de 2014. Se renumeró un parágrafo – tercero. Numeral 3 del literal a) derogado expresamente por el </w:t>
      </w:r>
      <w:r>
        <w:rPr>
          <w:rFonts w:ascii="Arial" w:hAnsi="Arial" w:cs="Arial"/>
          <w:i/>
          <w:lang w:val="es-CO"/>
        </w:rPr>
        <w:t>artículo 1 del Decreto 768 de 2016, que entró en vigencia el 11 de mayo de 2016)</w:t>
      </w:r>
    </w:p>
    <w:p w14:paraId="7966D428" w14:textId="77777777" w:rsidR="00B2442D" w:rsidRDefault="00B2442D">
      <w:pPr>
        <w:jc w:val="both"/>
        <w:rPr>
          <w:rFonts w:ascii="Arial" w:hAnsi="Arial" w:cs="Arial"/>
          <w:lang w:val="es-CO"/>
        </w:rPr>
      </w:pPr>
    </w:p>
    <w:p w14:paraId="78E60162"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Verificación de la información en el Registro Único Tributario (RUT).</w:t>
      </w:r>
      <w:r>
        <w:rPr>
          <w:rFonts w:ascii="Arial" w:hAnsi="Arial" w:cs="Arial"/>
          <w:lang w:val="es-CO"/>
        </w:rPr>
        <w:t xml:space="preserve"> Las Direcciones Seccionales, de la Unidad Administrativa Especial Dirección de Impuestos y Aduanas Naci</w:t>
      </w:r>
      <w:r>
        <w:rPr>
          <w:rFonts w:ascii="Arial" w:hAnsi="Arial" w:cs="Arial"/>
          <w:lang w:val="es-CO"/>
        </w:rPr>
        <w:t>onales - DIAN, a través de las áreas de gestión de asistencia al cliente o quien haga sus veces, podrán realizar visitas previas o posteriores a la formalización de la inscripción, actualización o cancelación en el Registro Único Tributario (RUT), con el f</w:t>
      </w:r>
      <w:r>
        <w:rPr>
          <w:rFonts w:ascii="Arial" w:hAnsi="Arial" w:cs="Arial"/>
          <w:lang w:val="es-CO"/>
        </w:rPr>
        <w:t>in de verificar la información suministrada por el interesado. En caso de constatar que los datos suministrados son incorrectos o inexactos se remitirá la información al área de fiscalización de la respectiva Dirección Seccional para adelantar el procedimi</w:t>
      </w:r>
      <w:r>
        <w:rPr>
          <w:rFonts w:ascii="Arial" w:hAnsi="Arial" w:cs="Arial"/>
          <w:lang w:val="es-CO"/>
        </w:rPr>
        <w:t>ento establecido en el artículo 658-3 del Estatuto Tributario.</w:t>
      </w:r>
    </w:p>
    <w:p w14:paraId="2ACFFA60" w14:textId="77777777" w:rsidR="00B2442D" w:rsidRDefault="00B2442D">
      <w:pPr>
        <w:jc w:val="both"/>
        <w:rPr>
          <w:rFonts w:ascii="Arial" w:hAnsi="Arial" w:cs="Arial"/>
          <w:lang w:val="es-CO"/>
        </w:rPr>
      </w:pPr>
    </w:p>
    <w:p w14:paraId="07C4EC67" w14:textId="77777777" w:rsidR="00B2442D" w:rsidRDefault="008A645F">
      <w:pPr>
        <w:jc w:val="both"/>
        <w:rPr>
          <w:rFonts w:ascii="Arial" w:hAnsi="Arial" w:cs="Arial"/>
          <w:lang w:val="es-CO"/>
        </w:rPr>
      </w:pPr>
      <w:r>
        <w:rPr>
          <w:rFonts w:ascii="Arial" w:hAnsi="Arial" w:cs="Arial"/>
          <w:lang w:val="es-CO"/>
        </w:rPr>
        <w:t>Cuando a través de visita de verificación, posterior a la formalización, se establezca que la dirección informada no existe o no es posible ubicar al contribuyente en el domicilio informado, e</w:t>
      </w:r>
      <w:r>
        <w:rPr>
          <w:rFonts w:ascii="Arial" w:hAnsi="Arial" w:cs="Arial"/>
          <w:lang w:val="es-CO"/>
        </w:rPr>
        <w:t>l área de asistencia al cliente o quien haga sus veces, podrá suspender mediante auto la inscripción en el Registro Único Tributario (RUT) hasta que el interesado informe los datos reales de ubicación.</w:t>
      </w:r>
    </w:p>
    <w:p w14:paraId="28ADCF63" w14:textId="77777777" w:rsidR="00B2442D" w:rsidRDefault="00B2442D">
      <w:pPr>
        <w:jc w:val="both"/>
        <w:rPr>
          <w:rFonts w:ascii="Arial" w:hAnsi="Arial" w:cs="Arial"/>
          <w:lang w:val="es-CO"/>
        </w:rPr>
      </w:pPr>
    </w:p>
    <w:p w14:paraId="2EF9C3A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en cualquiera de los procesos de competencia de la Unidad Administrativa Especial Dirección de Impuestos y Aduanas Nacionales-DIAN, se establezca mediante visita que la dirección informada por el inscrito en el Registro Único Tributario (RUT) no ex</w:t>
      </w:r>
      <w:r>
        <w:rPr>
          <w:rFonts w:ascii="Arial" w:hAnsi="Arial" w:cs="Arial"/>
          <w:lang w:val="es-CO"/>
        </w:rPr>
        <w:t>iste o no es posible ubicarlo en el domicilio informado, el área respectiva podrá mediante auto suspender la inscripción en el Registro Único Tributario (RUT) hasta que el interesado informe los datos reales de ubicación.</w:t>
      </w:r>
    </w:p>
    <w:p w14:paraId="3ED3004F" w14:textId="77777777" w:rsidR="00B2442D" w:rsidRDefault="00B2442D">
      <w:pPr>
        <w:jc w:val="both"/>
        <w:rPr>
          <w:rFonts w:ascii="Arial" w:hAnsi="Arial" w:cs="Arial"/>
          <w:lang w:val="es-CO"/>
        </w:rPr>
      </w:pPr>
    </w:p>
    <w:p w14:paraId="3FBFA41A" w14:textId="77777777" w:rsidR="00B2442D" w:rsidRDefault="008A645F">
      <w:pPr>
        <w:jc w:val="both"/>
        <w:rPr>
          <w:rFonts w:ascii="Arial" w:hAnsi="Arial" w:cs="Arial"/>
          <w:lang w:val="es-CO"/>
        </w:rPr>
      </w:pPr>
      <w:r>
        <w:rPr>
          <w:rFonts w:ascii="Arial" w:hAnsi="Arial" w:cs="Arial"/>
          <w:lang w:val="es-CO"/>
        </w:rPr>
        <w:t>Copia del auto de suspensión de l</w:t>
      </w:r>
      <w:r>
        <w:rPr>
          <w:rFonts w:ascii="Arial" w:hAnsi="Arial" w:cs="Arial"/>
          <w:lang w:val="es-CO"/>
        </w:rPr>
        <w:t xml:space="preserve">a inscripción en el Registro Único Tributario (RUT) se remitirá al área de asistencia al cliente o quien haga sus veces, de la Dirección Seccional de la Unidad Administrativa Especial  Dirección de Impuestos y Aduanas Nacionales-DIAN correspondiente, para </w:t>
      </w:r>
      <w:r>
        <w:rPr>
          <w:rFonts w:ascii="Arial" w:hAnsi="Arial" w:cs="Arial"/>
          <w:lang w:val="es-CO"/>
        </w:rPr>
        <w:t>que se registre la orden.</w:t>
      </w:r>
    </w:p>
    <w:p w14:paraId="36074546" w14:textId="77777777" w:rsidR="00B2442D" w:rsidRDefault="00B2442D">
      <w:pPr>
        <w:jc w:val="both"/>
        <w:rPr>
          <w:rFonts w:ascii="Arial" w:hAnsi="Arial" w:cs="Arial"/>
          <w:lang w:val="es-CO"/>
        </w:rPr>
      </w:pPr>
    </w:p>
    <w:p w14:paraId="4FF96160" w14:textId="77777777" w:rsidR="00B2442D" w:rsidRDefault="008A645F">
      <w:pPr>
        <w:jc w:val="both"/>
        <w:rPr>
          <w:rFonts w:ascii="Arial" w:hAnsi="Arial" w:cs="Arial"/>
          <w:i/>
          <w:lang w:val="es-CO"/>
        </w:rPr>
      </w:pPr>
      <w:r>
        <w:rPr>
          <w:rFonts w:ascii="Arial" w:hAnsi="Arial" w:cs="Arial"/>
          <w:i/>
          <w:lang w:val="es-CO"/>
        </w:rPr>
        <w:t>(Art. 11, Decreto 2460 de 2013)</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del Decreto número 3026 de</w:t>
      </w:r>
      <w:r>
        <w:rPr>
          <w:rFonts w:ascii="Arial" w:hAnsi="Arial" w:cs="Arial"/>
          <w:i/>
          <w:lang w:val="es-CO"/>
        </w:rPr>
        <w:t xml:space="preserve"> 2013, el artículo 11 del Decreto número 3028 de 2013 y las demás normas que le sean contrarias. Art. 23, Decreto 2460 de 2013, modificado por el art. 10 del Decreto 2620 de 2014)</w:t>
      </w:r>
    </w:p>
    <w:p w14:paraId="2D197CA3" w14:textId="77777777" w:rsidR="00B2442D" w:rsidRDefault="00B2442D">
      <w:pPr>
        <w:jc w:val="both"/>
        <w:rPr>
          <w:rFonts w:ascii="Arial" w:hAnsi="Arial" w:cs="Arial"/>
          <w:lang w:val="es-CO"/>
        </w:rPr>
      </w:pPr>
    </w:p>
    <w:p w14:paraId="45CF4E1C"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Inscripción de oficio en el Registro Único Tributario (RUT). </w:t>
      </w:r>
      <w:r>
        <w:rPr>
          <w:rFonts w:ascii="Arial" w:hAnsi="Arial" w:cs="Arial"/>
          <w:lang w:val="es-CO"/>
        </w:rPr>
        <w:t>La Unidad Adm</w:t>
      </w:r>
      <w:r>
        <w:rPr>
          <w:rFonts w:ascii="Arial" w:hAnsi="Arial" w:cs="Arial"/>
          <w:lang w:val="es-CO"/>
        </w:rPr>
        <w:t>inistrativa Especial Dirección de Impuestos y Aduanas Nacionales-DIAN podrá realizar de oficio la inscripción de los obligados, en el Registro Único Tributario (RUT), previa orden judicial o administrativa declarada por autoridad competente, siempre y cuan</w:t>
      </w:r>
      <w:r>
        <w:rPr>
          <w:rFonts w:ascii="Arial" w:hAnsi="Arial" w:cs="Arial"/>
          <w:lang w:val="es-CO"/>
        </w:rPr>
        <w:t>do la medida indique los datos relacionados con la identificación, ubicación y clasificación del obligado.</w:t>
      </w:r>
    </w:p>
    <w:p w14:paraId="3CF45A4B" w14:textId="77777777" w:rsidR="00B2442D" w:rsidRDefault="00B2442D">
      <w:pPr>
        <w:jc w:val="both"/>
        <w:rPr>
          <w:rFonts w:ascii="Arial" w:hAnsi="Arial" w:cs="Arial"/>
          <w:lang w:val="es-CO"/>
        </w:rPr>
      </w:pPr>
    </w:p>
    <w:p w14:paraId="0538CC16" w14:textId="77777777" w:rsidR="00B2442D" w:rsidRDefault="008A645F">
      <w:pPr>
        <w:jc w:val="both"/>
        <w:rPr>
          <w:rFonts w:ascii="Arial" w:hAnsi="Arial" w:cs="Arial"/>
          <w:lang w:val="es-CO"/>
        </w:rPr>
      </w:pPr>
      <w:r>
        <w:rPr>
          <w:rFonts w:ascii="Arial" w:hAnsi="Arial" w:cs="Arial"/>
          <w:lang w:val="es-CO"/>
        </w:rPr>
        <w:t>En todos los casos, la formalización requerirá de visita de constatación previa de ubicación y verificación de los datos suministrados en la orden.</w:t>
      </w:r>
    </w:p>
    <w:p w14:paraId="6EFA1D7D" w14:textId="77777777" w:rsidR="00B2442D" w:rsidRDefault="00B2442D">
      <w:pPr>
        <w:jc w:val="both"/>
        <w:rPr>
          <w:rFonts w:ascii="Arial" w:hAnsi="Arial" w:cs="Arial"/>
          <w:lang w:val="es-CO"/>
        </w:rPr>
      </w:pPr>
    </w:p>
    <w:p w14:paraId="0C4A38C7" w14:textId="77777777" w:rsidR="00B2442D" w:rsidRDefault="008A645F">
      <w:pPr>
        <w:jc w:val="both"/>
        <w:rPr>
          <w:rFonts w:ascii="Arial" w:hAnsi="Arial" w:cs="Arial"/>
          <w:lang w:val="es-CO"/>
        </w:rPr>
      </w:pPr>
      <w:r>
        <w:rPr>
          <w:rFonts w:ascii="Arial" w:hAnsi="Arial" w:cs="Arial"/>
          <w:lang w:val="es-CO"/>
        </w:rPr>
        <w:t>La inscripción de oficio se comunicará al interesado a través de alguno de los medios utilizados por la Unidad Administrativa Especial Dirección de Impuestos y Aduanas Nacionales-DIAN para el efecto. Comunicada la inscripción, la misma tendrá plena valide</w:t>
      </w:r>
      <w:r>
        <w:rPr>
          <w:rFonts w:ascii="Arial" w:hAnsi="Arial" w:cs="Arial"/>
          <w:lang w:val="es-CO"/>
        </w:rPr>
        <w:t>z legal.</w:t>
      </w:r>
    </w:p>
    <w:p w14:paraId="1670E138" w14:textId="77777777" w:rsidR="00B2442D" w:rsidRDefault="00B2442D">
      <w:pPr>
        <w:jc w:val="both"/>
        <w:rPr>
          <w:rFonts w:ascii="Arial" w:hAnsi="Arial" w:cs="Arial"/>
          <w:lang w:val="es-CO"/>
        </w:rPr>
      </w:pPr>
    </w:p>
    <w:p w14:paraId="037CDA4B" w14:textId="77777777" w:rsidR="00B2442D" w:rsidRDefault="008A645F">
      <w:pPr>
        <w:jc w:val="both"/>
        <w:rPr>
          <w:rFonts w:ascii="Arial" w:hAnsi="Arial" w:cs="Arial"/>
          <w:lang w:val="es-CO"/>
        </w:rPr>
      </w:pPr>
      <w:r>
        <w:rPr>
          <w:rFonts w:ascii="Arial" w:hAnsi="Arial" w:cs="Arial"/>
          <w:i/>
        </w:rPr>
        <w:t>(Art. 12, Decreto 2460 de 2013)</w:t>
      </w:r>
      <w:r>
        <w:rPr>
          <w:rFonts w:ascii="Arial" w:hAnsi="Arial" w:cs="Arial"/>
        </w:rPr>
        <w:t xml:space="preserve"> </w:t>
      </w:r>
      <w:r>
        <w:rPr>
          <w:rFonts w:ascii="Arial" w:hAnsi="Arial" w:cs="Arial"/>
          <w:i/>
        </w:rPr>
        <w:t>(El Decreto 2460 de 2013 rige a partir de la fecha de su publicación y deroga los Decretos números 2788 de 2004, 4714 de 2008, 2645 de 2011 y 2820 de 2011, el artículo 10 del Decreto número 3026 de 2013, el artícul</w:t>
      </w:r>
      <w:r>
        <w:rPr>
          <w:rFonts w:ascii="Arial" w:hAnsi="Arial" w:cs="Arial"/>
          <w:i/>
        </w:rPr>
        <w:t>o 11 del Decreto número 3028 de 2013 y las demás normas que le sean contrarias. Art. 23, Decreto 2460 de 2013, modificado por el art. 10 del Decreto 2620 de 2014)</w:t>
      </w:r>
    </w:p>
    <w:p w14:paraId="67CF2485" w14:textId="77777777" w:rsidR="00B2442D" w:rsidRDefault="00B2442D">
      <w:pPr>
        <w:jc w:val="both"/>
        <w:rPr>
          <w:rFonts w:ascii="Arial" w:hAnsi="Arial" w:cs="Arial"/>
          <w:lang w:val="es-CO"/>
        </w:rPr>
      </w:pPr>
    </w:p>
    <w:p w14:paraId="10B8E1C7"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Actualización del Registro Único Tributario (RUT).</w:t>
      </w:r>
      <w:r>
        <w:rPr>
          <w:rFonts w:ascii="Arial" w:hAnsi="Arial" w:cs="Arial"/>
          <w:lang w:val="es-CO"/>
        </w:rPr>
        <w:t xml:space="preserve"> Es el procedimiento que permite efectuar</w:t>
      </w:r>
      <w:r>
        <w:rPr>
          <w:rFonts w:ascii="Arial" w:hAnsi="Arial" w:cs="Arial"/>
          <w:lang w:val="es-CO"/>
        </w:rPr>
        <w:t xml:space="preserve"> modificaciones o adiciones a la información contenida en el Registro Único Tributario (RUT), acreditando los mismos documentos exigidos para la inscripción.</w:t>
      </w:r>
    </w:p>
    <w:p w14:paraId="1FBA5282" w14:textId="77777777" w:rsidR="00B2442D" w:rsidRDefault="00B2442D">
      <w:pPr>
        <w:jc w:val="both"/>
        <w:rPr>
          <w:rFonts w:ascii="Arial" w:hAnsi="Arial" w:cs="Arial"/>
          <w:lang w:val="es-CO"/>
        </w:rPr>
      </w:pPr>
    </w:p>
    <w:p w14:paraId="49FBF614" w14:textId="77777777" w:rsidR="00B2442D" w:rsidRDefault="008A645F">
      <w:pPr>
        <w:jc w:val="both"/>
        <w:rPr>
          <w:rFonts w:ascii="Arial" w:hAnsi="Arial" w:cs="Arial"/>
          <w:lang w:val="es-CO"/>
        </w:rPr>
      </w:pPr>
      <w:r>
        <w:rPr>
          <w:rFonts w:ascii="Arial" w:hAnsi="Arial" w:cs="Arial"/>
          <w:lang w:val="es-CO"/>
        </w:rPr>
        <w:t>Es responsabilidad de los obligados, actualizar la información contenida en el Registro Único Tri</w:t>
      </w:r>
      <w:r>
        <w:rPr>
          <w:rFonts w:ascii="Arial" w:hAnsi="Arial" w:cs="Arial"/>
          <w:lang w:val="es-CO"/>
        </w:rPr>
        <w:t>butario (RUT), a más tardar dentro del mes siguiente al hecho que genera la actualización, conforme a lo previsto en el artículo 658-3 del Estatuto Tributario.</w:t>
      </w:r>
    </w:p>
    <w:p w14:paraId="621C4796" w14:textId="77777777" w:rsidR="00B2442D" w:rsidRDefault="00B2442D">
      <w:pPr>
        <w:jc w:val="both"/>
        <w:rPr>
          <w:rFonts w:ascii="Arial" w:hAnsi="Arial" w:cs="Arial"/>
          <w:lang w:val="es-CO"/>
        </w:rPr>
      </w:pPr>
    </w:p>
    <w:p w14:paraId="71F33C07" w14:textId="77777777" w:rsidR="00B2442D" w:rsidRDefault="008A645F">
      <w:pPr>
        <w:jc w:val="both"/>
        <w:rPr>
          <w:rFonts w:ascii="Arial" w:hAnsi="Arial" w:cs="Arial"/>
          <w:lang w:val="es-CO"/>
        </w:rPr>
      </w:pPr>
      <w:r>
        <w:rPr>
          <w:rFonts w:ascii="Arial" w:hAnsi="Arial" w:cs="Arial"/>
          <w:lang w:val="es-CO"/>
        </w:rPr>
        <w:t>La actualización de la información relativa a los datos de identificación y de las calidades de</w:t>
      </w:r>
      <w:r>
        <w:rPr>
          <w:rFonts w:ascii="Arial" w:hAnsi="Arial" w:cs="Arial"/>
          <w:lang w:val="es-CO"/>
        </w:rPr>
        <w:t xml:space="preserve"> usuario aduanero se realizará en forma presencial.</w:t>
      </w:r>
    </w:p>
    <w:p w14:paraId="1B52C006" w14:textId="77777777" w:rsidR="00B2442D" w:rsidRDefault="00B2442D">
      <w:pPr>
        <w:jc w:val="both"/>
        <w:rPr>
          <w:rFonts w:ascii="Arial" w:hAnsi="Arial" w:cs="Arial"/>
          <w:lang w:val="es-CO"/>
        </w:rPr>
      </w:pPr>
    </w:p>
    <w:p w14:paraId="509D53CF" w14:textId="77777777" w:rsidR="00B2442D" w:rsidRDefault="008A645F">
      <w:pPr>
        <w:jc w:val="both"/>
        <w:rPr>
          <w:rFonts w:ascii="Arial" w:hAnsi="Arial" w:cs="Arial"/>
          <w:lang w:val="es-CO"/>
        </w:rPr>
      </w:pPr>
      <w:r>
        <w:rPr>
          <w:rFonts w:ascii="Arial" w:hAnsi="Arial" w:cs="Arial"/>
          <w:lang w:val="es-CO"/>
        </w:rPr>
        <w:t>La actualización virtual de la información relativa a los datos de dirección en el Registro Único Tributario (RUT), no podrá exceder de dos (2) modificaciones dentro de un periodo de seis (6) meses, de l</w:t>
      </w:r>
      <w:r>
        <w:rPr>
          <w:rFonts w:ascii="Arial" w:hAnsi="Arial" w:cs="Arial"/>
          <w:lang w:val="es-CO"/>
        </w:rPr>
        <w:t>o contrario, deberá efectuar el trámite de forma presencial.</w:t>
      </w:r>
    </w:p>
    <w:p w14:paraId="3EA51DCA" w14:textId="77777777" w:rsidR="00B2442D" w:rsidRDefault="00B2442D">
      <w:pPr>
        <w:jc w:val="both"/>
        <w:rPr>
          <w:rFonts w:ascii="Arial" w:hAnsi="Arial" w:cs="Arial"/>
          <w:lang w:val="es-CO"/>
        </w:rPr>
      </w:pPr>
    </w:p>
    <w:p w14:paraId="5F74B64F"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Cuando el trámite de actualización lo adelante directamente el interesado, el representante legal o el apoderado que se encuentre previamente registrado en la sección de representa</w:t>
      </w:r>
      <w:r>
        <w:rPr>
          <w:rFonts w:ascii="Arial" w:hAnsi="Arial" w:cs="Arial"/>
          <w:lang w:val="es-CO"/>
        </w:rPr>
        <w:t>ción del formulario del obligado, no será necesario adjuntar fotocopia de su documento de identidad, bastará con la exhibición del documento original.</w:t>
      </w:r>
    </w:p>
    <w:p w14:paraId="1B82CC11" w14:textId="77777777" w:rsidR="00B2442D" w:rsidRDefault="00B2442D">
      <w:pPr>
        <w:jc w:val="both"/>
        <w:rPr>
          <w:rFonts w:ascii="Arial" w:hAnsi="Arial" w:cs="Arial"/>
          <w:lang w:val="es-CO"/>
        </w:rPr>
      </w:pPr>
    </w:p>
    <w:p w14:paraId="03DB7A14"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Cuando se trate de actualización del Registro Único Tributario (RUT) por cambio de régimen</w:t>
      </w:r>
      <w:r>
        <w:rPr>
          <w:rFonts w:ascii="Arial" w:hAnsi="Arial" w:cs="Arial"/>
          <w:lang w:val="es-CO"/>
        </w:rPr>
        <w:t xml:space="preserve"> común al simplificado, de que trata el artículo 505 del Estatuto Tributario, además de los requisitos señalados en el presente capítulo, el solicitante deberá manifestar por escrito que en los tres (3) años fiscales anteriores, se cumplieron por cada año </w:t>
      </w:r>
      <w:r>
        <w:rPr>
          <w:rFonts w:ascii="Arial" w:hAnsi="Arial" w:cs="Arial"/>
          <w:lang w:val="es-CO"/>
        </w:rPr>
        <w:t>las condiciones establecidas en el artículo 499 del Estatuto Tributario. En todos los casos el trámite estará sujeto a verificación.</w:t>
      </w:r>
    </w:p>
    <w:p w14:paraId="15E6F2D6" w14:textId="77777777" w:rsidR="00B2442D" w:rsidRDefault="00B2442D">
      <w:pPr>
        <w:jc w:val="both"/>
        <w:rPr>
          <w:rFonts w:ascii="Arial" w:hAnsi="Arial" w:cs="Arial"/>
          <w:lang w:val="es-CO"/>
        </w:rPr>
      </w:pPr>
    </w:p>
    <w:p w14:paraId="57FEBD9A"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Cuando se trate de actualización por cese de actividades en el impuesto sobre las ventas para los responsabl</w:t>
      </w:r>
      <w:r>
        <w:rPr>
          <w:rFonts w:ascii="Arial" w:hAnsi="Arial" w:cs="Arial"/>
          <w:lang w:val="es-CO"/>
        </w:rPr>
        <w:t xml:space="preserve">es del régimen común, en cumplimiento de lo dispuesto en el artículo 614 del Estatuto Tributario, además de los requisitos señalados en el presente capítulo, deberá adjuntar certificación suscrita por revisor fiscal o contador público según el caso, en la </w:t>
      </w:r>
      <w:r>
        <w:rPr>
          <w:rFonts w:ascii="Arial" w:hAnsi="Arial" w:cs="Arial"/>
          <w:lang w:val="es-CO"/>
        </w:rPr>
        <w:t>que se especifique que no realiza actividades sometidas al impuesto sobre las ventas y la no existencia de inventario final pendiente de venta, de conformidad con lo establecido en la Ley 43 de 1990.</w:t>
      </w:r>
    </w:p>
    <w:p w14:paraId="62BCB02F" w14:textId="77777777" w:rsidR="00B2442D" w:rsidRDefault="00B2442D">
      <w:pPr>
        <w:jc w:val="both"/>
        <w:rPr>
          <w:rFonts w:ascii="Arial" w:hAnsi="Arial" w:cs="Arial"/>
          <w:lang w:val="es-CO"/>
        </w:rPr>
      </w:pPr>
    </w:p>
    <w:p w14:paraId="7BBFE2D9" w14:textId="77777777" w:rsidR="00B2442D" w:rsidRDefault="008A645F">
      <w:pPr>
        <w:jc w:val="both"/>
        <w:rPr>
          <w:rFonts w:ascii="Arial" w:hAnsi="Arial" w:cs="Arial"/>
          <w:lang w:val="es-CO"/>
        </w:rPr>
      </w:pPr>
      <w:r>
        <w:rPr>
          <w:rFonts w:ascii="Arial" w:hAnsi="Arial" w:cs="Arial"/>
          <w:lang w:val="es-CO"/>
        </w:rPr>
        <w:t xml:space="preserve">Para los inscritos no obligados a tener revisor </w:t>
      </w:r>
      <w:r>
        <w:rPr>
          <w:rFonts w:ascii="Arial" w:hAnsi="Arial" w:cs="Arial"/>
          <w:lang w:val="es-CO"/>
        </w:rPr>
        <w:t>fiscal o contador público, se debe adjuntar comunicación suscrita por el contribuyente en donde informe su nueva actividad económica, la inexistencia de inventario final pendiente de venta, y que al momento de la solicitud no vende productos o presta servi</w:t>
      </w:r>
      <w:r>
        <w:rPr>
          <w:rFonts w:ascii="Arial" w:hAnsi="Arial" w:cs="Arial"/>
          <w:lang w:val="es-CO"/>
        </w:rPr>
        <w:t>cios gravados con el impuesto sobre las ventas. En todos los casos el trámite estará sujeto a verificación.</w:t>
      </w:r>
    </w:p>
    <w:p w14:paraId="0B6E8EA1" w14:textId="77777777" w:rsidR="00B2442D" w:rsidRDefault="00B2442D">
      <w:pPr>
        <w:jc w:val="both"/>
        <w:rPr>
          <w:rFonts w:ascii="Arial" w:hAnsi="Arial" w:cs="Arial"/>
          <w:lang w:val="es-CO"/>
        </w:rPr>
      </w:pPr>
    </w:p>
    <w:p w14:paraId="2B626A44" w14:textId="77777777" w:rsidR="00B2442D" w:rsidRDefault="008A645F">
      <w:pPr>
        <w:jc w:val="both"/>
        <w:rPr>
          <w:rFonts w:ascii="Arial" w:hAnsi="Arial" w:cs="Arial"/>
          <w:i/>
          <w:lang w:val="es-CO"/>
        </w:rPr>
      </w:pPr>
      <w:r>
        <w:rPr>
          <w:rFonts w:ascii="Arial" w:hAnsi="Arial" w:cs="Arial"/>
          <w:i/>
          <w:lang w:val="es-CO"/>
        </w:rPr>
        <w:t>(Art. 13, Decreto 2460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w:t>
      </w:r>
      <w:r>
        <w:rPr>
          <w:rFonts w:ascii="Arial" w:hAnsi="Arial" w:cs="Arial"/>
          <w:i/>
          <w:lang w:val="es-CO"/>
        </w:rPr>
        <w:t xml:space="preserve">2004, 4714 de 2008, 2645 de 2011 y 2820 de 2011, el artículo 10 del Decreto número 3026 de 2013, el artículo 11 del Decreto número 3028 de 2013 y las demás normas que le sean contrarias. Art. 23, Decreto 2460 de 2013, modificado por el art. 10 del Decreto </w:t>
      </w:r>
      <w:r>
        <w:rPr>
          <w:rFonts w:ascii="Arial" w:hAnsi="Arial" w:cs="Arial"/>
          <w:i/>
          <w:lang w:val="es-CO"/>
        </w:rPr>
        <w:t>2620 de 2014)</w:t>
      </w:r>
    </w:p>
    <w:p w14:paraId="799379E2" w14:textId="77777777" w:rsidR="00B2442D" w:rsidRDefault="00B2442D">
      <w:pPr>
        <w:jc w:val="both"/>
        <w:rPr>
          <w:rFonts w:ascii="Arial" w:hAnsi="Arial" w:cs="Arial"/>
          <w:lang w:val="es-CO"/>
        </w:rPr>
      </w:pPr>
    </w:p>
    <w:p w14:paraId="29B7C25F"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Actualización de oficio en el Registro Único Tributario (RUT). </w:t>
      </w:r>
      <w:r>
        <w:rPr>
          <w:rFonts w:ascii="Arial" w:hAnsi="Arial" w:cs="Arial"/>
          <w:lang w:val="es-CO"/>
        </w:rPr>
        <w:t>La Unidad Administrativa Especial Dirección de Impuestos y Aduanas Nacionales-DIAN podrá actualizar de oficio la información del Registro Único Tributario (RUT) en los siguientes</w:t>
      </w:r>
      <w:r>
        <w:rPr>
          <w:rFonts w:ascii="Arial" w:hAnsi="Arial" w:cs="Arial"/>
          <w:lang w:val="es-CO"/>
        </w:rPr>
        <w:t xml:space="preserve"> eventos:</w:t>
      </w:r>
    </w:p>
    <w:p w14:paraId="09A88650" w14:textId="77777777" w:rsidR="00B2442D" w:rsidRDefault="00B2442D">
      <w:pPr>
        <w:jc w:val="both"/>
        <w:rPr>
          <w:rFonts w:ascii="Arial" w:hAnsi="Arial" w:cs="Arial"/>
          <w:lang w:val="es-CO"/>
        </w:rPr>
      </w:pPr>
    </w:p>
    <w:p w14:paraId="21356FB3" w14:textId="77777777" w:rsidR="00B2442D" w:rsidRDefault="008A645F">
      <w:pPr>
        <w:jc w:val="both"/>
        <w:rPr>
          <w:rFonts w:ascii="Arial" w:hAnsi="Arial" w:cs="Arial"/>
          <w:lang w:val="es-CO"/>
        </w:rPr>
      </w:pPr>
      <w:r>
        <w:rPr>
          <w:rFonts w:ascii="Arial" w:hAnsi="Arial" w:cs="Arial"/>
          <w:lang w:val="es-CO"/>
        </w:rPr>
        <w:t>1.</w:t>
      </w:r>
      <w:r>
        <w:rPr>
          <w:rFonts w:ascii="Arial" w:hAnsi="Arial" w:cs="Arial"/>
          <w:lang w:val="es-CO"/>
        </w:rPr>
        <w:tab/>
        <w:t xml:space="preserve"> Cuando en alguna de las áreas de la Unidad Administrativa Especial Dirección de Impuestos y Aduanas Nacionales-DIAN se establezca que la información contenida en el Registro Único Tributario (RUT) está desactualizada o presenta inconsistenci</w:t>
      </w:r>
      <w:r>
        <w:rPr>
          <w:rFonts w:ascii="Arial" w:hAnsi="Arial" w:cs="Arial"/>
          <w:lang w:val="es-CO"/>
        </w:rPr>
        <w:t>as.</w:t>
      </w:r>
    </w:p>
    <w:p w14:paraId="1A0AE831" w14:textId="77777777" w:rsidR="00B2442D" w:rsidRDefault="00B2442D">
      <w:pPr>
        <w:jc w:val="both"/>
        <w:rPr>
          <w:rFonts w:ascii="Arial" w:hAnsi="Arial" w:cs="Arial"/>
          <w:lang w:val="es-CO"/>
        </w:rPr>
      </w:pPr>
    </w:p>
    <w:p w14:paraId="2F7A6230" w14:textId="77777777" w:rsidR="00B2442D" w:rsidRDefault="008A645F">
      <w:pPr>
        <w:jc w:val="both"/>
        <w:rPr>
          <w:rFonts w:ascii="Arial" w:hAnsi="Arial" w:cs="Arial"/>
          <w:lang w:val="es-CO"/>
        </w:rPr>
      </w:pPr>
      <w:r>
        <w:rPr>
          <w:rFonts w:ascii="Arial" w:hAnsi="Arial" w:cs="Arial"/>
          <w:lang w:val="es-CO"/>
        </w:rPr>
        <w:t>2.</w:t>
      </w:r>
      <w:r>
        <w:rPr>
          <w:rFonts w:ascii="Arial" w:hAnsi="Arial" w:cs="Arial"/>
          <w:lang w:val="es-CO"/>
        </w:rPr>
        <w:tab/>
        <w:t xml:space="preserve"> Cuando en virtud de un acto administrativo proferido por la Unidad Administrativa Especial Dirección de Impuestos y Aduanas Nacionales-DIAN o por orden de autoridad competente, se requiera la inclusión o modificación de la información contenida en</w:t>
      </w:r>
      <w:r>
        <w:rPr>
          <w:rFonts w:ascii="Arial" w:hAnsi="Arial" w:cs="Arial"/>
          <w:lang w:val="es-CO"/>
        </w:rPr>
        <w:t xml:space="preserve"> el RUT.</w:t>
      </w:r>
    </w:p>
    <w:p w14:paraId="0515A2BC" w14:textId="77777777" w:rsidR="00B2442D" w:rsidRDefault="00B2442D">
      <w:pPr>
        <w:jc w:val="both"/>
        <w:rPr>
          <w:rFonts w:ascii="Arial" w:hAnsi="Arial" w:cs="Arial"/>
          <w:lang w:val="es-CO"/>
        </w:rPr>
      </w:pPr>
    </w:p>
    <w:p w14:paraId="2A10AADD" w14:textId="77777777" w:rsidR="00B2442D" w:rsidRDefault="008A645F">
      <w:pPr>
        <w:jc w:val="both"/>
        <w:rPr>
          <w:rFonts w:ascii="Arial" w:hAnsi="Arial" w:cs="Arial"/>
          <w:lang w:val="es-CO"/>
        </w:rPr>
      </w:pPr>
      <w:r>
        <w:rPr>
          <w:rFonts w:ascii="Arial" w:hAnsi="Arial" w:cs="Arial"/>
          <w:lang w:val="es-CO"/>
        </w:rPr>
        <w:t>3. Cuando por información suministrada por el interesado, a las entidades con las cuales la Unidad Administrativa Especial Dirección de Impuestos y Aduanas Nacionales-DIAN, tenga convenio de intercambio de información.</w:t>
      </w:r>
    </w:p>
    <w:p w14:paraId="5C77AC56" w14:textId="77777777" w:rsidR="00B2442D" w:rsidRDefault="00B2442D">
      <w:pPr>
        <w:jc w:val="both"/>
        <w:rPr>
          <w:rFonts w:ascii="Arial" w:hAnsi="Arial" w:cs="Arial"/>
          <w:lang w:val="es-CO"/>
        </w:rPr>
      </w:pPr>
    </w:p>
    <w:p w14:paraId="761B4717" w14:textId="77777777" w:rsidR="00B2442D" w:rsidRDefault="008A645F">
      <w:pPr>
        <w:jc w:val="both"/>
        <w:rPr>
          <w:rFonts w:ascii="Arial" w:hAnsi="Arial" w:cs="Arial"/>
          <w:lang w:val="es-CO"/>
        </w:rPr>
      </w:pPr>
      <w:r>
        <w:rPr>
          <w:rFonts w:ascii="Arial" w:hAnsi="Arial" w:cs="Arial"/>
          <w:lang w:val="es-CO"/>
        </w:rPr>
        <w:t>Para el caso de las Cámara</w:t>
      </w:r>
      <w:r>
        <w:rPr>
          <w:rFonts w:ascii="Arial" w:hAnsi="Arial" w:cs="Arial"/>
          <w:lang w:val="es-CO"/>
        </w:rPr>
        <w:t>s de Comercio, la Unidad Administrativa Especial Dirección de Impuestos y Aduanas Nacionales-DIAN facilitará la consulta de la información necesaria para la correcta construcción del reporte de la información que envían las Cámaras de Comercio, necesaria p</w:t>
      </w:r>
      <w:r>
        <w:rPr>
          <w:rFonts w:ascii="Arial" w:hAnsi="Arial" w:cs="Arial"/>
          <w:lang w:val="es-CO"/>
        </w:rPr>
        <w:t>ara la actualización de oficio del registro de los clientes, garantizando la confidencialidad y seguridad de la información.</w:t>
      </w:r>
    </w:p>
    <w:p w14:paraId="0F83341F" w14:textId="77777777" w:rsidR="00B2442D" w:rsidRDefault="00B2442D">
      <w:pPr>
        <w:jc w:val="both"/>
        <w:rPr>
          <w:rFonts w:ascii="Arial" w:hAnsi="Arial" w:cs="Arial"/>
          <w:lang w:val="es-CO"/>
        </w:rPr>
      </w:pPr>
    </w:p>
    <w:p w14:paraId="377338F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Registro Único Tributario (RUT) de las personas naturales se podrá actualizar con la información registrada en el Si</w:t>
      </w:r>
      <w:r>
        <w:rPr>
          <w:rFonts w:ascii="Arial" w:hAnsi="Arial" w:cs="Arial"/>
          <w:lang w:val="es-CO"/>
        </w:rPr>
        <w:t>stema de Seguridad Social en Salud, para lo cual la U. Unidad Administrativa Especial Dirección de Impuestos y Aduanas Nacionales-DIAN celebrará los respectivos convenios con el Ministerio de Salud y Protección Social o el que haga sus veces.</w:t>
      </w:r>
    </w:p>
    <w:p w14:paraId="5A5E36CC" w14:textId="77777777" w:rsidR="00B2442D" w:rsidRDefault="00B2442D">
      <w:pPr>
        <w:jc w:val="both"/>
        <w:rPr>
          <w:rFonts w:ascii="Arial" w:hAnsi="Arial" w:cs="Arial"/>
          <w:lang w:val="es-CO"/>
        </w:rPr>
      </w:pPr>
    </w:p>
    <w:p w14:paraId="6B6917BC" w14:textId="77777777" w:rsidR="00B2442D" w:rsidRDefault="008A645F">
      <w:pPr>
        <w:jc w:val="both"/>
        <w:rPr>
          <w:rFonts w:ascii="Arial" w:hAnsi="Arial" w:cs="Arial"/>
          <w:i/>
          <w:lang w:val="es-CO"/>
        </w:rPr>
      </w:pPr>
      <w:r>
        <w:rPr>
          <w:rFonts w:ascii="Arial" w:hAnsi="Arial" w:cs="Arial"/>
          <w:i/>
          <w:lang w:val="es-CO"/>
        </w:rPr>
        <w:t>(Art. 14, De</w:t>
      </w:r>
      <w:r>
        <w:rPr>
          <w:rFonts w:ascii="Arial" w:hAnsi="Arial" w:cs="Arial"/>
          <w:i/>
          <w:lang w:val="es-CO"/>
        </w:rPr>
        <w:t>creto 2460 de 2013, modificado el numeral 3 por el art. 7 del Decreto 2620 de 2014)</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w:t>
      </w:r>
      <w:r>
        <w:rPr>
          <w:rFonts w:ascii="Arial" w:hAnsi="Arial" w:cs="Arial"/>
          <w:i/>
          <w:lang w:val="es-CO"/>
        </w:rPr>
        <w:t>el Decreto número 3026 de 2013, el artículo 11 del Decreto número 3028 de 2013 y las demás normas que le sean contrarias. Art. 23, Decreto 2460 de 2013, modificado por el art. 10 del Decreto 2620 de 2014)</w:t>
      </w:r>
    </w:p>
    <w:p w14:paraId="39C06927" w14:textId="77777777" w:rsidR="00B2442D" w:rsidRDefault="00B2442D">
      <w:pPr>
        <w:jc w:val="both"/>
        <w:rPr>
          <w:rFonts w:ascii="Arial" w:hAnsi="Arial" w:cs="Arial"/>
          <w:lang w:val="es-CO"/>
        </w:rPr>
      </w:pPr>
    </w:p>
    <w:p w14:paraId="258EDFB3"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Suspensión de la inscripción en el Registro Único </w:t>
      </w:r>
      <w:r>
        <w:rPr>
          <w:rFonts w:ascii="Arial" w:hAnsi="Arial" w:cs="Arial"/>
          <w:b/>
          <w:i/>
          <w:lang w:val="es-CO"/>
        </w:rPr>
        <w:t>Tributario (RUT).</w:t>
      </w:r>
      <w:r>
        <w:rPr>
          <w:rFonts w:ascii="Arial" w:hAnsi="Arial" w:cs="Arial"/>
          <w:lang w:val="es-CO"/>
        </w:rPr>
        <w:t xml:space="preserve"> Es una actuación prevista en el artículo 555-2 del Estatuto Tributario, mediante la cual la Unidad Administrativa Especial Dirección de Impuestos y Aduanas Nacionales-DIAN suspende temporalmente la inscripción de los obligados, en el Regi</w:t>
      </w:r>
      <w:r>
        <w:rPr>
          <w:rFonts w:ascii="Arial" w:hAnsi="Arial" w:cs="Arial"/>
          <w:lang w:val="es-CO"/>
        </w:rPr>
        <w:t>stro Único Tributario (RUT), por orden judicial o administrativa declarada por autoridad competente o cuando mediante visita de verificación se constate que la dirección informada por el inscrito no existe o no es posible ubicarlo en el domicilio informado</w:t>
      </w:r>
      <w:r>
        <w:rPr>
          <w:rFonts w:ascii="Arial" w:hAnsi="Arial" w:cs="Arial"/>
          <w:lang w:val="es-CO"/>
        </w:rPr>
        <w:t>.</w:t>
      </w:r>
    </w:p>
    <w:p w14:paraId="7528AA65" w14:textId="77777777" w:rsidR="00B2442D" w:rsidRDefault="00B2442D">
      <w:pPr>
        <w:jc w:val="both"/>
        <w:rPr>
          <w:rFonts w:ascii="Arial" w:hAnsi="Arial" w:cs="Arial"/>
          <w:lang w:val="es-CO"/>
        </w:rPr>
      </w:pPr>
    </w:p>
    <w:p w14:paraId="341DD2C3"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En los casos de declaratoria de proveedores o exportadores ficticios, el correspondiente acto administrativo deberá señalar expresamente la orden de suspensión de la inscripción en el Registro Único Tributario (RUT) a partir de la fecha de</w:t>
      </w:r>
      <w:r>
        <w:rPr>
          <w:rFonts w:ascii="Arial" w:hAnsi="Arial" w:cs="Arial"/>
          <w:lang w:val="es-CO"/>
        </w:rPr>
        <w:t xml:space="preserve"> su publicación, de conformidad con lo establecido en el artículo 671 del Estatuto Tributario y se levantará a solicitud del interesado transcurridos los cinco (5) años de vigencia de la respectiva sanción, acreditando los documentos requeridos para formal</w:t>
      </w:r>
      <w:r>
        <w:rPr>
          <w:rFonts w:ascii="Arial" w:hAnsi="Arial" w:cs="Arial"/>
          <w:lang w:val="es-CO"/>
        </w:rPr>
        <w:t>izar la actualización.</w:t>
      </w:r>
    </w:p>
    <w:p w14:paraId="772B563B" w14:textId="77777777" w:rsidR="00B2442D" w:rsidRDefault="00B2442D">
      <w:pPr>
        <w:jc w:val="both"/>
        <w:rPr>
          <w:rFonts w:ascii="Arial" w:hAnsi="Arial" w:cs="Arial"/>
          <w:lang w:val="es-CO"/>
        </w:rPr>
      </w:pPr>
    </w:p>
    <w:p w14:paraId="54981C01"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La suspensión no exime al contribuyente o responsable del cumplimiento de sus deberes formales y sustanciales con la Unidad Administrativa Especial Dirección de Impuestos y Aduanas Nacionales-DIAN.</w:t>
      </w:r>
    </w:p>
    <w:p w14:paraId="6A7734E4" w14:textId="77777777" w:rsidR="00B2442D" w:rsidRDefault="00B2442D">
      <w:pPr>
        <w:jc w:val="both"/>
        <w:rPr>
          <w:rFonts w:ascii="Arial" w:hAnsi="Arial" w:cs="Arial"/>
          <w:lang w:val="es-CO"/>
        </w:rPr>
      </w:pPr>
    </w:p>
    <w:p w14:paraId="7A35098F" w14:textId="77777777" w:rsidR="00B2442D" w:rsidRDefault="008A645F">
      <w:pPr>
        <w:jc w:val="both"/>
        <w:rPr>
          <w:rFonts w:ascii="Arial" w:hAnsi="Arial" w:cs="Arial"/>
          <w:i/>
          <w:lang w:val="es-CO"/>
        </w:rPr>
      </w:pPr>
      <w:r>
        <w:rPr>
          <w:rFonts w:ascii="Arial" w:hAnsi="Arial" w:cs="Arial"/>
          <w:i/>
          <w:lang w:val="es-CO"/>
        </w:rPr>
        <w:t>(Art. 15, Decreto 2</w:t>
      </w:r>
      <w:r>
        <w:rPr>
          <w:rFonts w:ascii="Arial" w:hAnsi="Arial" w:cs="Arial"/>
          <w:i/>
          <w:lang w:val="es-CO"/>
        </w:rPr>
        <w:t>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2645 de 2011 y 2820 de 2011, el artículo 10 del Decreto número 3026 de 2013, el artículo 11 del Decreto número 3028 </w:t>
      </w:r>
      <w:r>
        <w:rPr>
          <w:rFonts w:ascii="Arial" w:hAnsi="Arial" w:cs="Arial"/>
          <w:i/>
          <w:lang w:val="es-CO"/>
        </w:rPr>
        <w:t>de 2013 y las demás normas que le sean contrarias. Art. 23, Decreto 2460 de 2013, modificado por el art. 10 del Decreto 2620 de 2014)</w:t>
      </w:r>
    </w:p>
    <w:p w14:paraId="5FBCA104" w14:textId="77777777" w:rsidR="00B2442D" w:rsidRDefault="00B2442D">
      <w:pPr>
        <w:jc w:val="both"/>
        <w:rPr>
          <w:rFonts w:ascii="Arial" w:hAnsi="Arial" w:cs="Arial"/>
          <w:lang w:val="es-CO"/>
        </w:rPr>
      </w:pPr>
    </w:p>
    <w:p w14:paraId="627A1036"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Trámite para la suspensión de la inscripción en el Registro Único Tributario (RUT). </w:t>
      </w:r>
      <w:r>
        <w:rPr>
          <w:rFonts w:ascii="Arial" w:hAnsi="Arial" w:cs="Arial"/>
          <w:lang w:val="es-CO"/>
        </w:rPr>
        <w:t>Para efectos de suspender la inscripción en el Registro Único Tributario (RUT) deberá atenderse el siguiente trámite:</w:t>
      </w:r>
    </w:p>
    <w:p w14:paraId="7FCCC7D2" w14:textId="77777777" w:rsidR="00B2442D" w:rsidRDefault="00B2442D">
      <w:pPr>
        <w:jc w:val="both"/>
        <w:rPr>
          <w:rFonts w:ascii="Arial" w:hAnsi="Arial" w:cs="Arial"/>
          <w:lang w:val="es-CO"/>
        </w:rPr>
      </w:pPr>
    </w:p>
    <w:p w14:paraId="6E1ACC2E" w14:textId="77777777" w:rsidR="00B2442D" w:rsidRDefault="008A645F">
      <w:pPr>
        <w:jc w:val="both"/>
        <w:rPr>
          <w:rFonts w:ascii="Arial" w:hAnsi="Arial" w:cs="Arial"/>
          <w:lang w:val="es-CO"/>
        </w:rPr>
      </w:pPr>
      <w:r>
        <w:rPr>
          <w:rFonts w:ascii="Arial" w:hAnsi="Arial" w:cs="Arial"/>
          <w:lang w:val="es-CO"/>
        </w:rPr>
        <w:t>La autoridad que disponga la suspensión remitirá copi</w:t>
      </w:r>
      <w:r>
        <w:rPr>
          <w:rFonts w:ascii="Arial" w:hAnsi="Arial" w:cs="Arial"/>
          <w:lang w:val="es-CO"/>
        </w:rPr>
        <w:t>a del documento que contenga la orden a la dependencia de gestión de asistencia al cliente o al área que haga sus veces en la jurisdicción del domicilio del inscrito, la cual la hará efectiva a más tardar el día hábil siguiente a la fecha de recibo.</w:t>
      </w:r>
    </w:p>
    <w:p w14:paraId="1517FB85" w14:textId="77777777" w:rsidR="00B2442D" w:rsidRDefault="00B2442D">
      <w:pPr>
        <w:jc w:val="both"/>
        <w:rPr>
          <w:rFonts w:ascii="Arial" w:hAnsi="Arial" w:cs="Arial"/>
          <w:lang w:val="es-CO"/>
        </w:rPr>
      </w:pPr>
    </w:p>
    <w:p w14:paraId="5418EC11" w14:textId="77777777" w:rsidR="00B2442D" w:rsidRDefault="008A645F">
      <w:pPr>
        <w:jc w:val="both"/>
        <w:rPr>
          <w:rFonts w:ascii="Arial" w:hAnsi="Arial" w:cs="Arial"/>
          <w:lang w:val="es-CO"/>
        </w:rPr>
      </w:pPr>
      <w:r>
        <w:rPr>
          <w:rFonts w:ascii="Arial" w:hAnsi="Arial" w:cs="Arial"/>
          <w:lang w:val="es-CO"/>
        </w:rPr>
        <w:t>El mi</w:t>
      </w:r>
      <w:r>
        <w:rPr>
          <w:rFonts w:ascii="Arial" w:hAnsi="Arial" w:cs="Arial"/>
          <w:lang w:val="es-CO"/>
        </w:rPr>
        <w:t>smo procedimiento se adelantará para el levantamiento de la suspensión, en los casos que haya lugar.</w:t>
      </w:r>
    </w:p>
    <w:p w14:paraId="5B251E58" w14:textId="77777777" w:rsidR="00B2442D" w:rsidRDefault="00B2442D">
      <w:pPr>
        <w:jc w:val="both"/>
        <w:rPr>
          <w:rFonts w:ascii="Arial" w:hAnsi="Arial" w:cs="Arial"/>
          <w:lang w:val="es-CO"/>
        </w:rPr>
      </w:pPr>
    </w:p>
    <w:p w14:paraId="3A09EB76" w14:textId="77777777" w:rsidR="00B2442D" w:rsidRDefault="008A645F">
      <w:pPr>
        <w:jc w:val="both"/>
        <w:rPr>
          <w:rFonts w:ascii="Arial" w:hAnsi="Arial" w:cs="Arial"/>
          <w:lang w:val="es-CO"/>
        </w:rPr>
      </w:pPr>
      <w:r>
        <w:rPr>
          <w:rFonts w:ascii="Arial" w:hAnsi="Arial" w:cs="Arial"/>
          <w:lang w:val="es-CO"/>
        </w:rPr>
        <w:t>La suspensión se comunicará al interesado por cualquiera de los medios utilizados por la DIAN para el efecto, salvo la suspensión por inexistencia de la d</w:t>
      </w:r>
      <w:r>
        <w:rPr>
          <w:rFonts w:ascii="Arial" w:hAnsi="Arial" w:cs="Arial"/>
          <w:lang w:val="es-CO"/>
        </w:rPr>
        <w:t>irección o no ubicación del inscrito en el domicilio informado, caso en el cual se comunicará a través de la página web de la DIAN.</w:t>
      </w:r>
    </w:p>
    <w:p w14:paraId="299AF160" w14:textId="77777777" w:rsidR="00B2442D" w:rsidRDefault="00B2442D">
      <w:pPr>
        <w:jc w:val="both"/>
        <w:rPr>
          <w:rFonts w:ascii="Arial" w:hAnsi="Arial" w:cs="Arial"/>
          <w:lang w:val="es-CO"/>
        </w:rPr>
      </w:pPr>
    </w:p>
    <w:p w14:paraId="382AABBE" w14:textId="77777777" w:rsidR="00B2442D" w:rsidRDefault="008A645F">
      <w:pPr>
        <w:jc w:val="both"/>
        <w:rPr>
          <w:rFonts w:ascii="Arial" w:hAnsi="Arial" w:cs="Arial"/>
          <w:lang w:val="es-CO"/>
        </w:rPr>
      </w:pPr>
      <w:r>
        <w:rPr>
          <w:rFonts w:ascii="Arial" w:hAnsi="Arial" w:cs="Arial"/>
          <w:i/>
          <w:lang w:val="es-CO"/>
        </w:rPr>
        <w:t>(Art. 16, Decreto 2460 de 2013)</w:t>
      </w:r>
      <w:r>
        <w:rPr>
          <w:rFonts w:ascii="Arial" w:hAnsi="Arial" w:cs="Arial"/>
        </w:rPr>
        <w:t xml:space="preserve"> </w:t>
      </w:r>
      <w:r>
        <w:rPr>
          <w:rFonts w:ascii="Arial" w:hAnsi="Arial" w:cs="Arial"/>
          <w:i/>
          <w:lang w:val="es-CO"/>
        </w:rPr>
        <w:t xml:space="preserve">(El Decreto 2460 de 2013 rige a partir de la fecha de su publicación y deroga los Decretos </w:t>
      </w:r>
      <w:r>
        <w:rPr>
          <w:rFonts w:ascii="Arial" w:hAnsi="Arial" w:cs="Arial"/>
          <w:i/>
          <w:lang w:val="es-CO"/>
        </w:rPr>
        <w:t>números 2788 de 2004, 4714 de 2008, 2645 de 2011 y 2820 de 2011, el artículo 10 del Decreto número 3026 de 2013, el artículo 11 del Decreto número 3028 de 2013 y las demás normas que le sean contrarias. Art. 23, Decreto 2460 de 2013, modificado por el art.</w:t>
      </w:r>
      <w:r>
        <w:rPr>
          <w:rFonts w:ascii="Arial" w:hAnsi="Arial" w:cs="Arial"/>
          <w:i/>
          <w:lang w:val="es-CO"/>
        </w:rPr>
        <w:t xml:space="preserve"> 10 del Decreto 2620 de 2014)</w:t>
      </w:r>
    </w:p>
    <w:p w14:paraId="580B76E2" w14:textId="77777777" w:rsidR="00B2442D" w:rsidRDefault="00B2442D">
      <w:pPr>
        <w:jc w:val="both"/>
        <w:rPr>
          <w:rFonts w:ascii="Arial" w:hAnsi="Arial" w:cs="Arial"/>
          <w:lang w:val="es-CO"/>
        </w:rPr>
      </w:pPr>
    </w:p>
    <w:p w14:paraId="4ADC944B"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Cancelación de la inscripción en el Registro Único Tributario (RUT</w:t>
      </w:r>
      <w:r>
        <w:rPr>
          <w:rFonts w:ascii="Arial" w:hAnsi="Arial" w:cs="Arial"/>
          <w:i/>
          <w:lang w:val="es-CO"/>
        </w:rPr>
        <w:t>). La</w:t>
      </w:r>
      <w:r>
        <w:rPr>
          <w:rFonts w:ascii="Arial" w:hAnsi="Arial" w:cs="Arial"/>
          <w:lang w:val="es-CO"/>
        </w:rPr>
        <w:t xml:space="preserve"> cancelación de la inscripción en el Registro Único Tributario (RUT) procederá en los siguientes casos:</w:t>
      </w:r>
    </w:p>
    <w:p w14:paraId="0B31D312" w14:textId="77777777" w:rsidR="00B2442D" w:rsidRDefault="00B2442D">
      <w:pPr>
        <w:jc w:val="both"/>
        <w:rPr>
          <w:rFonts w:ascii="Arial" w:hAnsi="Arial" w:cs="Arial"/>
          <w:lang w:val="es-CO"/>
        </w:rPr>
      </w:pPr>
    </w:p>
    <w:p w14:paraId="117B1A81" w14:textId="77777777" w:rsidR="00B2442D" w:rsidRDefault="008A645F">
      <w:pPr>
        <w:jc w:val="both"/>
        <w:rPr>
          <w:rFonts w:ascii="Arial" w:hAnsi="Arial" w:cs="Arial"/>
          <w:lang w:val="es-CO"/>
        </w:rPr>
      </w:pPr>
      <w:r>
        <w:rPr>
          <w:rFonts w:ascii="Arial" w:hAnsi="Arial" w:cs="Arial"/>
          <w:lang w:val="es-CO"/>
        </w:rPr>
        <w:t>1. A solicitud de parte:</w:t>
      </w:r>
    </w:p>
    <w:p w14:paraId="3AB48CD9" w14:textId="77777777" w:rsidR="00B2442D" w:rsidRDefault="00B2442D">
      <w:pPr>
        <w:jc w:val="both"/>
        <w:rPr>
          <w:rFonts w:ascii="Arial" w:hAnsi="Arial" w:cs="Arial"/>
          <w:lang w:val="es-CO"/>
        </w:rPr>
      </w:pPr>
    </w:p>
    <w:p w14:paraId="3B8C2D56" w14:textId="77777777" w:rsidR="00B2442D" w:rsidRDefault="008A645F">
      <w:pPr>
        <w:ind w:left="709" w:hanging="425"/>
        <w:jc w:val="both"/>
        <w:rPr>
          <w:rFonts w:ascii="Arial" w:hAnsi="Arial" w:cs="Arial"/>
          <w:lang w:val="es-CO"/>
        </w:rPr>
      </w:pPr>
      <w:r>
        <w:rPr>
          <w:rFonts w:ascii="Arial" w:hAnsi="Arial" w:cs="Arial"/>
          <w:lang w:val="es-CO"/>
        </w:rPr>
        <w:t>a)</w:t>
      </w:r>
      <w:r>
        <w:rPr>
          <w:rFonts w:ascii="Arial" w:hAnsi="Arial" w:cs="Arial"/>
          <w:lang w:val="es-CO"/>
        </w:rPr>
        <w:tab/>
        <w:t xml:space="preserve"> Por liquidación, fu</w:t>
      </w:r>
      <w:r>
        <w:rPr>
          <w:rFonts w:ascii="Arial" w:hAnsi="Arial" w:cs="Arial"/>
          <w:lang w:val="es-CO"/>
        </w:rPr>
        <w:t>sión o escisión de la persona jurídica o asimilada;</w:t>
      </w:r>
    </w:p>
    <w:p w14:paraId="0BB4012E" w14:textId="77777777" w:rsidR="00B2442D" w:rsidRDefault="00B2442D">
      <w:pPr>
        <w:ind w:left="709" w:hanging="425"/>
        <w:jc w:val="both"/>
        <w:rPr>
          <w:rFonts w:ascii="Arial" w:hAnsi="Arial" w:cs="Arial"/>
          <w:lang w:val="es-CO"/>
        </w:rPr>
      </w:pPr>
    </w:p>
    <w:p w14:paraId="139DF963" w14:textId="77777777" w:rsidR="00B2442D" w:rsidRDefault="008A645F">
      <w:pPr>
        <w:ind w:left="709" w:hanging="425"/>
        <w:jc w:val="both"/>
        <w:rPr>
          <w:rFonts w:ascii="Arial" w:hAnsi="Arial" w:cs="Arial"/>
          <w:lang w:val="es-CO"/>
        </w:rPr>
      </w:pPr>
      <w:r>
        <w:rPr>
          <w:rFonts w:ascii="Arial" w:hAnsi="Arial" w:cs="Arial"/>
          <w:lang w:val="es-CO"/>
        </w:rPr>
        <w:t>b)</w:t>
      </w:r>
      <w:r>
        <w:rPr>
          <w:rFonts w:ascii="Arial" w:hAnsi="Arial" w:cs="Arial"/>
          <w:lang w:val="es-CO"/>
        </w:rPr>
        <w:tab/>
        <w:t xml:space="preserve"> Al liquidarse la sucesión del causante, cuando a ello hubiere lugar;</w:t>
      </w:r>
    </w:p>
    <w:p w14:paraId="2E74FCDE" w14:textId="77777777" w:rsidR="00B2442D" w:rsidRDefault="00B2442D">
      <w:pPr>
        <w:ind w:left="709" w:hanging="425"/>
        <w:jc w:val="both"/>
        <w:rPr>
          <w:rFonts w:ascii="Arial" w:hAnsi="Arial" w:cs="Arial"/>
          <w:lang w:val="es-CO"/>
        </w:rPr>
      </w:pPr>
    </w:p>
    <w:p w14:paraId="5915A970" w14:textId="77777777" w:rsidR="00B2442D" w:rsidRDefault="008A645F">
      <w:pPr>
        <w:ind w:left="709" w:hanging="425"/>
        <w:jc w:val="both"/>
        <w:rPr>
          <w:rFonts w:ascii="Arial" w:hAnsi="Arial" w:cs="Arial"/>
          <w:lang w:val="es-CO"/>
        </w:rPr>
      </w:pPr>
      <w:r>
        <w:rPr>
          <w:rFonts w:ascii="Arial" w:hAnsi="Arial" w:cs="Arial"/>
          <w:lang w:val="es-CO"/>
        </w:rPr>
        <w:t>c)</w:t>
      </w:r>
      <w:r>
        <w:rPr>
          <w:rFonts w:ascii="Arial" w:hAnsi="Arial" w:cs="Arial"/>
          <w:lang w:val="es-CO"/>
        </w:rPr>
        <w:tab/>
        <w:t xml:space="preserve"> Por finalización del contrato de consorcio o unión temporal o cualquier otro tipo de colaboración empresarial.</w:t>
      </w:r>
    </w:p>
    <w:p w14:paraId="2F1210E5" w14:textId="77777777" w:rsidR="00B2442D" w:rsidRDefault="00B2442D">
      <w:pPr>
        <w:ind w:left="709" w:hanging="425"/>
        <w:jc w:val="both"/>
        <w:rPr>
          <w:rFonts w:ascii="Arial" w:hAnsi="Arial" w:cs="Arial"/>
          <w:lang w:val="es-CO"/>
        </w:rPr>
      </w:pPr>
    </w:p>
    <w:p w14:paraId="631EE78C" w14:textId="77777777" w:rsidR="00B2442D" w:rsidRDefault="008A645F">
      <w:pPr>
        <w:ind w:left="709" w:hanging="425"/>
        <w:jc w:val="both"/>
        <w:rPr>
          <w:rFonts w:ascii="Arial" w:hAnsi="Arial" w:cs="Arial"/>
          <w:lang w:val="es-CO"/>
        </w:rPr>
      </w:pPr>
      <w:r>
        <w:rPr>
          <w:rFonts w:ascii="Arial" w:hAnsi="Arial" w:cs="Arial"/>
          <w:lang w:val="es-CO"/>
        </w:rPr>
        <w:t xml:space="preserve">d) </w:t>
      </w:r>
      <w:r>
        <w:rPr>
          <w:rFonts w:ascii="Arial" w:hAnsi="Arial" w:cs="Arial"/>
          <w:lang w:val="es-CO"/>
        </w:rPr>
        <w:tab/>
        <w:t>Por susti</w:t>
      </w:r>
      <w:r>
        <w:rPr>
          <w:rFonts w:ascii="Arial" w:hAnsi="Arial" w:cs="Arial"/>
          <w:lang w:val="es-CO"/>
        </w:rPr>
        <w:t>tución o cancelación definitiva de la inversión extranjera directa.</w:t>
      </w:r>
    </w:p>
    <w:p w14:paraId="33A5D534" w14:textId="77777777" w:rsidR="00B2442D" w:rsidRDefault="00B2442D">
      <w:pPr>
        <w:ind w:left="709" w:hanging="425"/>
        <w:jc w:val="both"/>
        <w:rPr>
          <w:rFonts w:ascii="Arial" w:hAnsi="Arial" w:cs="Arial"/>
          <w:lang w:val="es-CO"/>
        </w:rPr>
      </w:pPr>
    </w:p>
    <w:p w14:paraId="7BF10294" w14:textId="77777777" w:rsidR="00B2442D" w:rsidRDefault="008A645F">
      <w:pPr>
        <w:ind w:left="709" w:hanging="425"/>
        <w:jc w:val="both"/>
        <w:rPr>
          <w:rFonts w:ascii="Arial" w:hAnsi="Arial" w:cs="Arial"/>
          <w:lang w:val="es-CO"/>
        </w:rPr>
      </w:pPr>
      <w:r>
        <w:rPr>
          <w:rFonts w:ascii="Arial" w:hAnsi="Arial" w:cs="Arial"/>
          <w:lang w:val="es-CO"/>
        </w:rPr>
        <w:t>e)</w:t>
      </w:r>
      <w:r>
        <w:rPr>
          <w:rFonts w:ascii="Arial" w:hAnsi="Arial" w:cs="Arial"/>
          <w:lang w:val="es-CO"/>
        </w:rPr>
        <w:tab/>
        <w:t xml:space="preserve"> Por orden de autoridad competente.</w:t>
      </w:r>
    </w:p>
    <w:p w14:paraId="67FCEE09" w14:textId="77777777" w:rsidR="00B2442D" w:rsidRDefault="00B2442D">
      <w:pPr>
        <w:ind w:left="709" w:hanging="425"/>
        <w:jc w:val="both"/>
        <w:rPr>
          <w:rFonts w:ascii="Arial" w:hAnsi="Arial" w:cs="Arial"/>
          <w:lang w:val="es-CO"/>
        </w:rPr>
      </w:pPr>
    </w:p>
    <w:p w14:paraId="6D44BC4A" w14:textId="77777777" w:rsidR="00B2442D" w:rsidRDefault="008A645F">
      <w:pPr>
        <w:ind w:left="709" w:hanging="425"/>
        <w:jc w:val="both"/>
        <w:rPr>
          <w:rFonts w:ascii="Arial" w:hAnsi="Arial" w:cs="Arial"/>
          <w:lang w:val="es-CO"/>
        </w:rPr>
      </w:pPr>
      <w:r>
        <w:rPr>
          <w:rFonts w:ascii="Arial" w:hAnsi="Arial" w:cs="Arial"/>
          <w:lang w:val="es-CO"/>
        </w:rPr>
        <w:t xml:space="preserve">f) </w:t>
      </w:r>
      <w:r>
        <w:rPr>
          <w:rFonts w:ascii="Arial" w:hAnsi="Arial" w:cs="Arial"/>
          <w:lang w:val="es-CO"/>
        </w:rPr>
        <w:tab/>
        <w:t>Por el cese definitivo de la inversión de portafolio del exterior, sin perjuicio de su posterior reactivación, a solicitud de parte, con el cum</w:t>
      </w:r>
      <w:r>
        <w:rPr>
          <w:rFonts w:ascii="Arial" w:hAnsi="Arial" w:cs="Arial"/>
          <w:lang w:val="es-CO"/>
        </w:rPr>
        <w:t>pliendo de los requisitos de que trata el artículo 1.6.1.2.11 del presente Decreto.</w:t>
      </w:r>
    </w:p>
    <w:p w14:paraId="00F847BE" w14:textId="77777777" w:rsidR="00B2442D" w:rsidRDefault="00B2442D">
      <w:pPr>
        <w:ind w:left="709" w:hanging="425"/>
        <w:jc w:val="both"/>
        <w:rPr>
          <w:rFonts w:ascii="Arial" w:hAnsi="Arial" w:cs="Arial"/>
          <w:lang w:val="es-CO"/>
        </w:rPr>
      </w:pPr>
    </w:p>
    <w:p w14:paraId="4FE4E404" w14:textId="77777777" w:rsidR="00B2442D" w:rsidRDefault="008A645F">
      <w:pPr>
        <w:ind w:left="709" w:hanging="425"/>
        <w:jc w:val="both"/>
        <w:rPr>
          <w:rFonts w:ascii="Arial" w:hAnsi="Arial" w:cs="Arial"/>
          <w:lang w:val="es-CO"/>
        </w:rPr>
      </w:pPr>
      <w:r>
        <w:rPr>
          <w:rFonts w:ascii="Arial" w:hAnsi="Arial" w:cs="Arial"/>
          <w:lang w:val="es-CO"/>
        </w:rPr>
        <w:t xml:space="preserve">g) </w:t>
      </w:r>
      <w:r>
        <w:rPr>
          <w:rFonts w:ascii="Arial" w:hAnsi="Arial" w:cs="Arial"/>
          <w:lang w:val="es-CO"/>
        </w:rPr>
        <w:tab/>
        <w:t>Por el cese de actividades a través de establecimiento permanente en Colombia.</w:t>
      </w:r>
    </w:p>
    <w:p w14:paraId="1B0C5CCD" w14:textId="77777777" w:rsidR="00B2442D" w:rsidRDefault="00B2442D">
      <w:pPr>
        <w:ind w:left="709" w:hanging="425"/>
        <w:jc w:val="both"/>
        <w:rPr>
          <w:rFonts w:ascii="Arial" w:hAnsi="Arial" w:cs="Arial"/>
          <w:lang w:val="es-CO"/>
        </w:rPr>
      </w:pPr>
    </w:p>
    <w:p w14:paraId="4450E044" w14:textId="77777777" w:rsidR="00B2442D" w:rsidRDefault="008A645F">
      <w:pPr>
        <w:ind w:left="709" w:hanging="425"/>
        <w:jc w:val="both"/>
        <w:rPr>
          <w:rFonts w:ascii="Arial" w:hAnsi="Arial" w:cs="Arial"/>
          <w:lang w:val="es-CO"/>
        </w:rPr>
      </w:pPr>
      <w:r>
        <w:rPr>
          <w:rFonts w:ascii="Arial" w:hAnsi="Arial" w:cs="Arial"/>
          <w:lang w:val="es-CO"/>
        </w:rPr>
        <w:t xml:space="preserve">h) </w:t>
      </w:r>
      <w:r>
        <w:rPr>
          <w:rFonts w:ascii="Arial" w:hAnsi="Arial" w:cs="Arial"/>
          <w:lang w:val="es-CO"/>
        </w:rPr>
        <w:tab/>
        <w:t xml:space="preserve">Por el cambio de la sede efectiva de administración fuera del territorio </w:t>
      </w:r>
      <w:r>
        <w:rPr>
          <w:rFonts w:ascii="Arial" w:hAnsi="Arial" w:cs="Arial"/>
          <w:lang w:val="es-CO"/>
        </w:rPr>
        <w:t>nacional, sin perjuicio de su posterior reactivación, a solicitud de parte, con el cumplimiento de los requisitos de que trata el artículo 1.6.1.2.11 del presente Decreto.</w:t>
      </w:r>
    </w:p>
    <w:p w14:paraId="6DB86897" w14:textId="77777777" w:rsidR="00B2442D" w:rsidRDefault="00B2442D">
      <w:pPr>
        <w:ind w:left="709" w:hanging="425"/>
        <w:jc w:val="both"/>
        <w:rPr>
          <w:rFonts w:ascii="Arial" w:hAnsi="Arial" w:cs="Arial"/>
          <w:lang w:val="es-CO"/>
        </w:rPr>
      </w:pPr>
    </w:p>
    <w:p w14:paraId="56916B88" w14:textId="77777777" w:rsidR="00B2442D" w:rsidRDefault="008A645F">
      <w:pPr>
        <w:ind w:left="709" w:hanging="425"/>
        <w:jc w:val="both"/>
        <w:rPr>
          <w:rFonts w:ascii="Arial" w:hAnsi="Arial" w:cs="Arial"/>
          <w:lang w:val="es-CO"/>
        </w:rPr>
      </w:pPr>
      <w:r>
        <w:rPr>
          <w:rFonts w:ascii="Arial" w:hAnsi="Arial" w:cs="Arial"/>
          <w:lang w:val="es-CO"/>
        </w:rPr>
        <w:t>i)  Por terminación y/o liquidación del contrato de fiducia mercantil.</w:t>
      </w:r>
    </w:p>
    <w:p w14:paraId="23D711DB" w14:textId="77777777" w:rsidR="00B2442D" w:rsidRDefault="00B2442D">
      <w:pPr>
        <w:jc w:val="both"/>
        <w:rPr>
          <w:rFonts w:ascii="Arial" w:hAnsi="Arial" w:cs="Arial"/>
          <w:lang w:val="es-CO"/>
        </w:rPr>
      </w:pPr>
    </w:p>
    <w:p w14:paraId="0CD4C30C" w14:textId="77777777" w:rsidR="00B2442D" w:rsidRDefault="008A645F">
      <w:pPr>
        <w:jc w:val="both"/>
        <w:rPr>
          <w:rFonts w:ascii="Arial" w:hAnsi="Arial" w:cs="Arial"/>
          <w:lang w:val="es-CO"/>
        </w:rPr>
      </w:pPr>
      <w:r>
        <w:rPr>
          <w:rFonts w:ascii="Arial" w:hAnsi="Arial" w:cs="Arial"/>
          <w:lang w:val="es-CO"/>
        </w:rPr>
        <w:t xml:space="preserve">2. De </w:t>
      </w:r>
      <w:r>
        <w:rPr>
          <w:rFonts w:ascii="Arial" w:hAnsi="Arial" w:cs="Arial"/>
          <w:lang w:val="es-CO"/>
        </w:rPr>
        <w:t>oficio:</w:t>
      </w:r>
    </w:p>
    <w:p w14:paraId="594B5795" w14:textId="77777777" w:rsidR="00B2442D" w:rsidRDefault="00B2442D">
      <w:pPr>
        <w:jc w:val="both"/>
        <w:rPr>
          <w:rFonts w:ascii="Arial" w:hAnsi="Arial" w:cs="Arial"/>
          <w:lang w:val="es-CO"/>
        </w:rPr>
      </w:pPr>
    </w:p>
    <w:p w14:paraId="3A6BE01F" w14:textId="77777777" w:rsidR="00B2442D" w:rsidRDefault="008A645F">
      <w:pPr>
        <w:tabs>
          <w:tab w:val="left" w:pos="567"/>
        </w:tabs>
        <w:ind w:left="567" w:hanging="283"/>
        <w:jc w:val="both"/>
        <w:rPr>
          <w:rFonts w:ascii="Arial" w:hAnsi="Arial" w:cs="Arial"/>
          <w:lang w:val="es-CO"/>
        </w:rPr>
      </w:pPr>
      <w:r>
        <w:rPr>
          <w:rFonts w:ascii="Arial" w:hAnsi="Arial" w:cs="Arial"/>
          <w:lang w:val="es-CO"/>
        </w:rPr>
        <w:t xml:space="preserve">a) </w:t>
      </w:r>
      <w:r>
        <w:rPr>
          <w:rFonts w:ascii="Arial" w:hAnsi="Arial" w:cs="Arial"/>
          <w:lang w:val="es-CO"/>
        </w:rPr>
        <w:tab/>
        <w:t>Cuando la persona natural hubiere fallecido, de acuerdo con información suministrada por la Registraduría Nacional del Estado Civil y se encuentre inscrita sin responsabilidades en el Registro Único Tributario (RUT) o únicamente como responsab</w:t>
      </w:r>
      <w:r>
        <w:rPr>
          <w:rFonts w:ascii="Arial" w:hAnsi="Arial" w:cs="Arial"/>
          <w:lang w:val="es-CO"/>
        </w:rPr>
        <w:t>le del régimen simplificado del impuesto sobre las ventas o del régimen simplificado del impuesto al consumo;</w:t>
      </w:r>
    </w:p>
    <w:p w14:paraId="5781DBCE" w14:textId="77777777" w:rsidR="00B2442D" w:rsidRDefault="00B2442D">
      <w:pPr>
        <w:tabs>
          <w:tab w:val="left" w:pos="567"/>
        </w:tabs>
        <w:ind w:left="567" w:hanging="283"/>
        <w:jc w:val="both"/>
        <w:rPr>
          <w:rFonts w:ascii="Arial" w:hAnsi="Arial" w:cs="Arial"/>
          <w:lang w:val="es-CO"/>
        </w:rPr>
      </w:pPr>
    </w:p>
    <w:p w14:paraId="2BDA3FCF" w14:textId="77777777" w:rsidR="00B2442D" w:rsidRDefault="008A645F">
      <w:pPr>
        <w:tabs>
          <w:tab w:val="left" w:pos="567"/>
        </w:tabs>
        <w:ind w:left="567" w:hanging="283"/>
        <w:jc w:val="both"/>
        <w:rPr>
          <w:rFonts w:ascii="Arial" w:hAnsi="Arial" w:cs="Arial"/>
          <w:lang w:val="es-CO"/>
        </w:rPr>
      </w:pPr>
      <w:r>
        <w:rPr>
          <w:rFonts w:ascii="Arial" w:hAnsi="Arial" w:cs="Arial"/>
          <w:lang w:val="es-CO"/>
        </w:rPr>
        <w:t>b)</w:t>
      </w:r>
      <w:r>
        <w:rPr>
          <w:rFonts w:ascii="Arial" w:hAnsi="Arial" w:cs="Arial"/>
          <w:lang w:val="es-CO"/>
        </w:rPr>
        <w:tab/>
        <w:t>Cuando la persona jurídica o asimilada se encuentre liquidada de acuerdo con información suministrada por la Cámara de Comercio o autoridad co</w:t>
      </w:r>
      <w:r>
        <w:rPr>
          <w:rFonts w:ascii="Arial" w:hAnsi="Arial" w:cs="Arial"/>
          <w:lang w:val="es-CO"/>
        </w:rPr>
        <w:t>mpetente;</w:t>
      </w:r>
    </w:p>
    <w:p w14:paraId="6ECEB719" w14:textId="77777777" w:rsidR="00B2442D" w:rsidRDefault="00B2442D">
      <w:pPr>
        <w:tabs>
          <w:tab w:val="left" w:pos="567"/>
        </w:tabs>
        <w:ind w:left="567" w:hanging="283"/>
        <w:jc w:val="both"/>
        <w:rPr>
          <w:rFonts w:ascii="Arial" w:hAnsi="Arial" w:cs="Arial"/>
          <w:lang w:val="es-CO"/>
        </w:rPr>
      </w:pPr>
    </w:p>
    <w:p w14:paraId="0B531E31" w14:textId="77777777" w:rsidR="00B2442D" w:rsidRDefault="008A645F">
      <w:pPr>
        <w:tabs>
          <w:tab w:val="left" w:pos="567"/>
        </w:tabs>
        <w:ind w:left="567" w:hanging="283"/>
        <w:jc w:val="both"/>
        <w:rPr>
          <w:rFonts w:ascii="Arial" w:hAnsi="Arial" w:cs="Arial"/>
          <w:lang w:val="es-CO"/>
        </w:rPr>
      </w:pPr>
      <w:r>
        <w:rPr>
          <w:rFonts w:ascii="Arial" w:hAnsi="Arial" w:cs="Arial"/>
          <w:lang w:val="es-CO"/>
        </w:rPr>
        <w:t>c)</w:t>
      </w:r>
      <w:r>
        <w:rPr>
          <w:rFonts w:ascii="Arial" w:hAnsi="Arial" w:cs="Arial"/>
          <w:lang w:val="es-CO"/>
        </w:rPr>
        <w:tab/>
        <w:t>Cuando por declaratoria de autoridad, competente se establezca que existió suplantación en la inscripción en el Registro Único Tributario (RUT);</w:t>
      </w:r>
    </w:p>
    <w:p w14:paraId="0EB9E4B1" w14:textId="77777777" w:rsidR="00B2442D" w:rsidRDefault="00B2442D">
      <w:pPr>
        <w:tabs>
          <w:tab w:val="left" w:pos="567"/>
        </w:tabs>
        <w:ind w:left="567" w:hanging="283"/>
        <w:jc w:val="both"/>
        <w:rPr>
          <w:rFonts w:ascii="Arial" w:hAnsi="Arial" w:cs="Arial"/>
          <w:lang w:val="es-CO"/>
        </w:rPr>
      </w:pPr>
    </w:p>
    <w:p w14:paraId="0C871832" w14:textId="77777777" w:rsidR="00B2442D" w:rsidRDefault="008A645F">
      <w:pPr>
        <w:tabs>
          <w:tab w:val="left" w:pos="567"/>
        </w:tabs>
        <w:ind w:left="567" w:hanging="283"/>
        <w:jc w:val="both"/>
        <w:rPr>
          <w:rFonts w:ascii="Arial" w:hAnsi="Arial" w:cs="Arial"/>
          <w:lang w:val="es-CO"/>
        </w:rPr>
      </w:pPr>
      <w:r>
        <w:rPr>
          <w:rFonts w:ascii="Arial" w:hAnsi="Arial" w:cs="Arial"/>
          <w:lang w:val="es-CO"/>
        </w:rPr>
        <w:t>d)</w:t>
      </w:r>
      <w:r>
        <w:rPr>
          <w:rFonts w:ascii="Arial" w:hAnsi="Arial" w:cs="Arial"/>
          <w:lang w:val="es-CO"/>
        </w:rPr>
        <w:tab/>
        <w:t>Por orden de autoridad competente.</w:t>
      </w:r>
    </w:p>
    <w:p w14:paraId="35B7EAFD" w14:textId="77777777" w:rsidR="00B2442D" w:rsidRDefault="00B2442D">
      <w:pPr>
        <w:jc w:val="both"/>
        <w:rPr>
          <w:rFonts w:ascii="Arial" w:hAnsi="Arial" w:cs="Arial"/>
          <w:lang w:val="es-CO"/>
        </w:rPr>
      </w:pPr>
    </w:p>
    <w:p w14:paraId="6BBEC7EB" w14:textId="77777777" w:rsidR="00B2442D" w:rsidRDefault="00B2442D">
      <w:pPr>
        <w:jc w:val="both"/>
        <w:rPr>
          <w:rFonts w:ascii="Arial" w:hAnsi="Arial" w:cs="Arial"/>
          <w:lang w:val="es-CO"/>
        </w:rPr>
      </w:pPr>
    </w:p>
    <w:p w14:paraId="110884A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trámite de cancelación, estará sujeto a la</w:t>
      </w:r>
      <w:r>
        <w:rPr>
          <w:rFonts w:ascii="Arial" w:hAnsi="Arial" w:cs="Arial"/>
          <w:lang w:val="es-CO"/>
        </w:rPr>
        <w:t xml:space="preserve"> verificación del cumplimiento de todas las obligaciones administradas por la Unidad Administrativa Especial Dirección de Impuestos y Aduanas Nacionales - DIAN, sin perjuicio de la aplicación de lo previsto en el artículo 820 del Estatuto Tributario.</w:t>
      </w:r>
    </w:p>
    <w:p w14:paraId="0ED68F88" w14:textId="77777777" w:rsidR="00B2442D" w:rsidRDefault="00B2442D">
      <w:pPr>
        <w:jc w:val="both"/>
        <w:rPr>
          <w:rFonts w:ascii="Arial" w:hAnsi="Arial" w:cs="Arial"/>
          <w:lang w:val="es-CO"/>
        </w:rPr>
      </w:pPr>
    </w:p>
    <w:p w14:paraId="584D0E1A" w14:textId="77777777" w:rsidR="00B2442D" w:rsidRDefault="008A645F">
      <w:pPr>
        <w:jc w:val="both"/>
        <w:rPr>
          <w:rFonts w:ascii="Arial" w:hAnsi="Arial" w:cs="Arial"/>
          <w:lang w:val="es-CO"/>
        </w:rPr>
      </w:pPr>
      <w:r>
        <w:rPr>
          <w:rFonts w:ascii="Arial" w:hAnsi="Arial" w:cs="Arial"/>
          <w:lang w:val="es-CO"/>
        </w:rPr>
        <w:t>Cuan</w:t>
      </w:r>
      <w:r>
        <w:rPr>
          <w:rFonts w:ascii="Arial" w:hAnsi="Arial" w:cs="Arial"/>
          <w:lang w:val="es-CO"/>
        </w:rPr>
        <w:t>do la orden de cancelación de oficio provenga de autoridad en ejercicio de funciones jurisdiccionales, esta se cumplirá de manera inmediata, según los términos prescritos por la misma. En este evento, la verificación de las obligaciones del inscrito se rea</w:t>
      </w:r>
      <w:r>
        <w:rPr>
          <w:rFonts w:ascii="Arial" w:hAnsi="Arial" w:cs="Arial"/>
          <w:lang w:val="es-CO"/>
        </w:rPr>
        <w:t>lizará posteriormente.</w:t>
      </w:r>
    </w:p>
    <w:p w14:paraId="1F22D00B" w14:textId="77777777" w:rsidR="00B2442D" w:rsidRDefault="00B2442D">
      <w:pPr>
        <w:jc w:val="both"/>
        <w:rPr>
          <w:rFonts w:ascii="Arial" w:hAnsi="Arial" w:cs="Arial"/>
          <w:lang w:val="es-CO"/>
        </w:rPr>
      </w:pPr>
    </w:p>
    <w:p w14:paraId="1593EC3F" w14:textId="77777777" w:rsidR="00B2442D" w:rsidRDefault="008A645F">
      <w:pPr>
        <w:jc w:val="both"/>
        <w:rPr>
          <w:rFonts w:ascii="Arial" w:hAnsi="Arial" w:cs="Arial"/>
          <w:i/>
          <w:lang w:val="es-CO"/>
        </w:rPr>
      </w:pPr>
      <w:r>
        <w:rPr>
          <w:rFonts w:ascii="Arial" w:hAnsi="Arial" w:cs="Arial"/>
          <w:i/>
          <w:lang w:val="es-CO"/>
        </w:rPr>
        <w:t>(Art. 17, Decreto 2460 de 2013. Modificado el literal d) del numeral 1 y adicionados los literales f) y g) y h) del numeral 1 por el art. 8 del Decreto 2620 de 2014. Literal i) del numeral primero adicionado por el art. 4 del Decret</w:t>
      </w:r>
      <w:r>
        <w:rPr>
          <w:rFonts w:ascii="Arial" w:hAnsi="Arial" w:cs="Arial"/>
          <w:i/>
          <w:lang w:val="es-CO"/>
        </w:rPr>
        <w:t>o 589 de 2016)</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del Decreto número 3026 de 2013, el artículo 11 del Decreto número 302</w:t>
      </w:r>
      <w:r>
        <w:rPr>
          <w:rFonts w:ascii="Arial" w:hAnsi="Arial" w:cs="Arial"/>
          <w:i/>
          <w:lang w:val="es-CO"/>
        </w:rPr>
        <w:t>8 de 2013 y las demás normas que le sean contrarias. Art. 23, Decreto 2460 de 2013, modificado por el art. 10 del Decreto 2620 de 2014</w:t>
      </w:r>
    </w:p>
    <w:p w14:paraId="66DAF3D7" w14:textId="77777777" w:rsidR="00B2442D" w:rsidRDefault="00B2442D">
      <w:pPr>
        <w:jc w:val="both"/>
        <w:rPr>
          <w:rFonts w:ascii="Arial" w:hAnsi="Arial" w:cs="Arial"/>
          <w:b/>
          <w:lang w:val="es-CO"/>
        </w:rPr>
      </w:pPr>
    </w:p>
    <w:p w14:paraId="78C97FD4"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Documentos para la solicitud de cancelación de la inscripción en el Registro Único Tributario (RUT).</w:t>
      </w:r>
      <w:r>
        <w:rPr>
          <w:rFonts w:ascii="Arial" w:hAnsi="Arial" w:cs="Arial"/>
          <w:lang w:val="es-CO"/>
        </w:rPr>
        <w:t xml:space="preserve"> Además de los requisitos exigidos para la inscripción en el Registro Único Tributario (RUT), se deberán acreditar los siguientes documentos:</w:t>
      </w:r>
    </w:p>
    <w:p w14:paraId="6539EA77" w14:textId="77777777" w:rsidR="00B2442D" w:rsidRDefault="00B2442D">
      <w:pPr>
        <w:jc w:val="both"/>
        <w:rPr>
          <w:rFonts w:ascii="Arial" w:hAnsi="Arial" w:cs="Arial"/>
          <w:lang w:val="es-CO"/>
        </w:rPr>
      </w:pPr>
    </w:p>
    <w:p w14:paraId="79E4BA35" w14:textId="77777777" w:rsidR="00B2442D" w:rsidRDefault="008A645F">
      <w:pPr>
        <w:jc w:val="both"/>
        <w:rPr>
          <w:rFonts w:ascii="Arial" w:hAnsi="Arial" w:cs="Arial"/>
          <w:lang w:val="es-CO"/>
        </w:rPr>
      </w:pPr>
      <w:r>
        <w:rPr>
          <w:rFonts w:ascii="Arial" w:hAnsi="Arial" w:cs="Arial"/>
          <w:lang w:val="es-CO"/>
        </w:rPr>
        <w:t>1. Personas jurídicas y asimiladas.</w:t>
      </w:r>
    </w:p>
    <w:p w14:paraId="56C8816F" w14:textId="77777777" w:rsidR="00B2442D" w:rsidRDefault="00B2442D">
      <w:pPr>
        <w:jc w:val="both"/>
        <w:rPr>
          <w:rFonts w:ascii="Arial" w:hAnsi="Arial" w:cs="Arial"/>
          <w:lang w:val="es-CO"/>
        </w:rPr>
      </w:pPr>
    </w:p>
    <w:p w14:paraId="651A54AA" w14:textId="77777777" w:rsidR="00B2442D" w:rsidRDefault="008A645F">
      <w:pPr>
        <w:jc w:val="both"/>
        <w:rPr>
          <w:rFonts w:ascii="Arial" w:hAnsi="Arial" w:cs="Arial"/>
          <w:lang w:val="es-CO"/>
        </w:rPr>
      </w:pPr>
      <w:r>
        <w:rPr>
          <w:rFonts w:ascii="Arial" w:hAnsi="Arial" w:cs="Arial"/>
          <w:lang w:val="es-CO"/>
        </w:rPr>
        <w:t>Documento mediante el cual se acredite que la organización se encuentra liqu</w:t>
      </w:r>
      <w:r>
        <w:rPr>
          <w:rFonts w:ascii="Arial" w:hAnsi="Arial" w:cs="Arial"/>
          <w:lang w:val="es-CO"/>
        </w:rPr>
        <w:t xml:space="preserve">idada, para quienes no se encuentren obligados a registrarse ante Cámara de Comercio. </w:t>
      </w:r>
    </w:p>
    <w:p w14:paraId="3E2EF9B1" w14:textId="77777777" w:rsidR="00B2442D" w:rsidRDefault="00B2442D">
      <w:pPr>
        <w:jc w:val="both"/>
        <w:rPr>
          <w:rFonts w:ascii="Arial" w:hAnsi="Arial" w:cs="Arial"/>
          <w:lang w:val="es-CO"/>
        </w:rPr>
      </w:pPr>
    </w:p>
    <w:p w14:paraId="2B2DBF6A" w14:textId="77777777" w:rsidR="00B2442D" w:rsidRDefault="008A645F">
      <w:pPr>
        <w:jc w:val="both"/>
        <w:rPr>
          <w:rFonts w:ascii="Arial" w:hAnsi="Arial" w:cs="Arial"/>
          <w:lang w:val="es-CO"/>
        </w:rPr>
      </w:pPr>
      <w:r>
        <w:rPr>
          <w:rFonts w:ascii="Arial" w:hAnsi="Arial" w:cs="Arial"/>
          <w:lang w:val="es-CO"/>
        </w:rPr>
        <w:t>2. Entidades de derecho público.</w:t>
      </w:r>
    </w:p>
    <w:p w14:paraId="1514FD42" w14:textId="77777777" w:rsidR="00B2442D" w:rsidRDefault="00B2442D">
      <w:pPr>
        <w:jc w:val="both"/>
        <w:rPr>
          <w:rFonts w:ascii="Arial" w:hAnsi="Arial" w:cs="Arial"/>
          <w:lang w:val="es-CO"/>
        </w:rPr>
      </w:pPr>
    </w:p>
    <w:p w14:paraId="614485D8" w14:textId="77777777" w:rsidR="00B2442D" w:rsidRDefault="008A645F">
      <w:pPr>
        <w:jc w:val="both"/>
        <w:rPr>
          <w:rFonts w:ascii="Arial" w:hAnsi="Arial" w:cs="Arial"/>
          <w:lang w:val="es-CO"/>
        </w:rPr>
      </w:pPr>
      <w:r>
        <w:rPr>
          <w:rFonts w:ascii="Arial" w:hAnsi="Arial" w:cs="Arial"/>
          <w:lang w:val="es-CO"/>
        </w:rPr>
        <w:t>Copia del acto administrativo por medio del cual se escinden, fusionen, suprimen, disuelven y/o liquiden entidades de derecho público.</w:t>
      </w:r>
    </w:p>
    <w:p w14:paraId="1CCFAA81" w14:textId="77777777" w:rsidR="00B2442D" w:rsidRDefault="00B2442D">
      <w:pPr>
        <w:jc w:val="both"/>
        <w:rPr>
          <w:rFonts w:ascii="Arial" w:hAnsi="Arial" w:cs="Arial"/>
          <w:lang w:val="es-CO"/>
        </w:rPr>
      </w:pPr>
    </w:p>
    <w:p w14:paraId="65CCD414" w14:textId="77777777" w:rsidR="00B2442D" w:rsidRDefault="008A645F">
      <w:pPr>
        <w:jc w:val="both"/>
        <w:rPr>
          <w:rFonts w:ascii="Arial" w:hAnsi="Arial" w:cs="Arial"/>
          <w:lang w:val="es-CO"/>
        </w:rPr>
      </w:pPr>
      <w:r>
        <w:rPr>
          <w:rFonts w:ascii="Arial" w:hAnsi="Arial" w:cs="Arial"/>
          <w:lang w:val="es-CO"/>
        </w:rPr>
        <w:t>3. Inversionistas extranjeros directos sin domicilio en Colombia.</w:t>
      </w:r>
    </w:p>
    <w:p w14:paraId="7DF0EC76" w14:textId="77777777" w:rsidR="00B2442D" w:rsidRDefault="00B2442D">
      <w:pPr>
        <w:jc w:val="both"/>
        <w:rPr>
          <w:rFonts w:ascii="Arial" w:hAnsi="Arial" w:cs="Arial"/>
          <w:lang w:val="es-CO"/>
        </w:rPr>
      </w:pPr>
    </w:p>
    <w:p w14:paraId="1EAC6BF9" w14:textId="77777777" w:rsidR="00B2442D" w:rsidRDefault="008A645F">
      <w:pPr>
        <w:jc w:val="both"/>
        <w:rPr>
          <w:rFonts w:ascii="Arial" w:hAnsi="Arial" w:cs="Arial"/>
          <w:lang w:val="es-CO"/>
        </w:rPr>
      </w:pPr>
      <w:r>
        <w:rPr>
          <w:rFonts w:ascii="Arial" w:hAnsi="Arial" w:cs="Arial"/>
          <w:lang w:val="es-CO"/>
        </w:rPr>
        <w:t>Comunicación suscrita por el representante legal de la sociedad extranjera o por la persona natural inversionista o el apoderado del inversionista que se encuentre previamente informado e</w:t>
      </w:r>
      <w:r>
        <w:rPr>
          <w:rFonts w:ascii="Arial" w:hAnsi="Arial" w:cs="Arial"/>
          <w:lang w:val="es-CO"/>
        </w:rPr>
        <w:t>n la sección de representación del Registro, donde informe la cancelación de la inversión en Colombia o cambio de titular de la inversión, en idioma español, debidamente apostillada o, si es el caso, autenticado ante el cónsul o el funcionario autorizado.</w:t>
      </w:r>
    </w:p>
    <w:p w14:paraId="57B6E1BC" w14:textId="77777777" w:rsidR="00B2442D" w:rsidRDefault="00B2442D">
      <w:pPr>
        <w:jc w:val="both"/>
        <w:rPr>
          <w:rFonts w:ascii="Arial" w:hAnsi="Arial" w:cs="Arial"/>
          <w:lang w:val="es-CO"/>
        </w:rPr>
      </w:pPr>
    </w:p>
    <w:p w14:paraId="1DFEBE91" w14:textId="77777777" w:rsidR="00B2442D" w:rsidRDefault="008A645F">
      <w:pPr>
        <w:jc w:val="both"/>
        <w:rPr>
          <w:rFonts w:ascii="Arial" w:hAnsi="Arial" w:cs="Arial"/>
          <w:lang w:val="es-CO"/>
        </w:rPr>
      </w:pPr>
      <w:r>
        <w:rPr>
          <w:rFonts w:ascii="Arial" w:hAnsi="Arial" w:cs="Arial"/>
          <w:lang w:val="es-CO"/>
        </w:rPr>
        <w:t xml:space="preserve">En caso de personas jurídicas, documento que acredite la existencia y representación legal de la sociedad en el país de origen, en idioma español, debidamente apostillada o, si es el caso, autenticado ante el cónsul o el funcionario autorizado. </w:t>
      </w:r>
    </w:p>
    <w:p w14:paraId="50E18F46" w14:textId="77777777" w:rsidR="00B2442D" w:rsidRDefault="00B2442D">
      <w:pPr>
        <w:jc w:val="both"/>
        <w:rPr>
          <w:rFonts w:ascii="Arial" w:hAnsi="Arial" w:cs="Arial"/>
          <w:lang w:val="es-CO"/>
        </w:rPr>
      </w:pPr>
    </w:p>
    <w:p w14:paraId="78425F05" w14:textId="77777777" w:rsidR="00B2442D" w:rsidRDefault="008A645F">
      <w:pPr>
        <w:jc w:val="both"/>
        <w:rPr>
          <w:rFonts w:ascii="Arial" w:hAnsi="Arial" w:cs="Arial"/>
          <w:lang w:val="es-CO"/>
        </w:rPr>
      </w:pPr>
      <w:r>
        <w:rPr>
          <w:rFonts w:ascii="Arial" w:hAnsi="Arial" w:cs="Arial"/>
          <w:lang w:val="es-CO"/>
        </w:rPr>
        <w:t>Fotocopi</w:t>
      </w:r>
      <w:r>
        <w:rPr>
          <w:rFonts w:ascii="Arial" w:hAnsi="Arial" w:cs="Arial"/>
          <w:lang w:val="es-CO"/>
        </w:rPr>
        <w:t>a del poder otorgado por el representante legal de la sociedad en el exterior, en idioma español, debidamente extendido ante el cónsul o el funcionario que la ley local autorice para ello.</w:t>
      </w:r>
    </w:p>
    <w:p w14:paraId="254446EB" w14:textId="77777777" w:rsidR="00B2442D" w:rsidRDefault="00B2442D">
      <w:pPr>
        <w:jc w:val="both"/>
        <w:rPr>
          <w:rFonts w:ascii="Arial" w:hAnsi="Arial" w:cs="Arial"/>
          <w:lang w:val="es-CO"/>
        </w:rPr>
      </w:pPr>
    </w:p>
    <w:p w14:paraId="476161D7" w14:textId="77777777" w:rsidR="00B2442D" w:rsidRDefault="008A645F">
      <w:pPr>
        <w:jc w:val="both"/>
        <w:rPr>
          <w:rFonts w:ascii="Arial" w:hAnsi="Arial" w:cs="Arial"/>
          <w:lang w:val="es-CO"/>
        </w:rPr>
      </w:pPr>
      <w:r>
        <w:rPr>
          <w:rFonts w:ascii="Arial" w:hAnsi="Arial" w:cs="Arial"/>
          <w:lang w:val="es-CO"/>
        </w:rPr>
        <w:t>4. Inversionistas no residentes ni domiciliados en Colombia titula</w:t>
      </w:r>
      <w:r>
        <w:rPr>
          <w:rFonts w:ascii="Arial" w:hAnsi="Arial" w:cs="Arial"/>
          <w:lang w:val="es-CO"/>
        </w:rPr>
        <w:t>res de inversiones de capital del exterior de portafolio.</w:t>
      </w:r>
    </w:p>
    <w:p w14:paraId="7DF33EFB" w14:textId="77777777" w:rsidR="00B2442D" w:rsidRDefault="00B2442D">
      <w:pPr>
        <w:jc w:val="both"/>
        <w:rPr>
          <w:rFonts w:ascii="Arial" w:hAnsi="Arial" w:cs="Arial"/>
          <w:lang w:val="es-CO"/>
        </w:rPr>
      </w:pPr>
    </w:p>
    <w:p w14:paraId="77C42721" w14:textId="77777777" w:rsidR="00B2442D" w:rsidRDefault="008A645F">
      <w:pPr>
        <w:jc w:val="both"/>
        <w:rPr>
          <w:rFonts w:ascii="Arial" w:hAnsi="Arial" w:cs="Arial"/>
          <w:lang w:val="es-CO"/>
        </w:rPr>
      </w:pPr>
      <w:r>
        <w:rPr>
          <w:rFonts w:ascii="Arial" w:hAnsi="Arial" w:cs="Arial"/>
          <w:lang w:val="es-CO"/>
        </w:rPr>
        <w:t>Documento mediante el cual el representante legal del administrador de la inversión de capital de portafolio del exterior o del depósito centralizado de valores local, según corresponda, informe el</w:t>
      </w:r>
      <w:r>
        <w:rPr>
          <w:rFonts w:ascii="Arial" w:hAnsi="Arial" w:cs="Arial"/>
          <w:lang w:val="es-CO"/>
        </w:rPr>
        <w:t xml:space="preserve"> cese de la inversión de portafolio y el número de identificación en el exterior, país de origen y nombres y apellidos o razón social del inversionista de portafolio. </w:t>
      </w:r>
    </w:p>
    <w:p w14:paraId="3B1E183F" w14:textId="77777777" w:rsidR="00B2442D" w:rsidRDefault="00B2442D">
      <w:pPr>
        <w:jc w:val="both"/>
        <w:rPr>
          <w:rFonts w:ascii="Arial" w:hAnsi="Arial" w:cs="Arial"/>
          <w:lang w:val="es-CO"/>
        </w:rPr>
      </w:pPr>
    </w:p>
    <w:p w14:paraId="0C94FB16" w14:textId="77777777" w:rsidR="00B2442D" w:rsidRDefault="008A645F">
      <w:pPr>
        <w:jc w:val="both"/>
        <w:rPr>
          <w:rFonts w:ascii="Arial" w:hAnsi="Arial" w:cs="Arial"/>
          <w:lang w:val="es-CO"/>
        </w:rPr>
      </w:pPr>
      <w:r>
        <w:rPr>
          <w:rFonts w:ascii="Arial" w:hAnsi="Arial" w:cs="Arial"/>
          <w:lang w:val="es-CO"/>
        </w:rPr>
        <w:t>5. Consorcios y uniones temporales.</w:t>
      </w:r>
    </w:p>
    <w:p w14:paraId="4A71386F" w14:textId="77777777" w:rsidR="00B2442D" w:rsidRDefault="00B2442D">
      <w:pPr>
        <w:jc w:val="both"/>
        <w:rPr>
          <w:rFonts w:ascii="Arial" w:hAnsi="Arial" w:cs="Arial"/>
          <w:lang w:val="es-CO"/>
        </w:rPr>
      </w:pPr>
    </w:p>
    <w:p w14:paraId="748ED210" w14:textId="77777777" w:rsidR="00B2442D" w:rsidRDefault="008A645F">
      <w:pPr>
        <w:jc w:val="both"/>
        <w:rPr>
          <w:rFonts w:ascii="Arial" w:hAnsi="Arial" w:cs="Arial"/>
          <w:lang w:val="es-CO"/>
        </w:rPr>
      </w:pPr>
      <w:r>
        <w:rPr>
          <w:rFonts w:ascii="Arial" w:hAnsi="Arial" w:cs="Arial"/>
          <w:lang w:val="es-CO"/>
        </w:rPr>
        <w:t>Fotocopia del acta o documento donde conste la ter</w:t>
      </w:r>
      <w:r>
        <w:rPr>
          <w:rFonts w:ascii="Arial" w:hAnsi="Arial" w:cs="Arial"/>
          <w:lang w:val="es-CO"/>
        </w:rPr>
        <w:t>minación del contrato de colaboración empresarial, suscrita por los integrantes del consorcio o unión temporal o sus representantes legales.</w:t>
      </w:r>
    </w:p>
    <w:p w14:paraId="261DA48D" w14:textId="77777777" w:rsidR="00B2442D" w:rsidRDefault="00B2442D">
      <w:pPr>
        <w:jc w:val="both"/>
        <w:rPr>
          <w:rFonts w:ascii="Arial" w:hAnsi="Arial" w:cs="Arial"/>
          <w:lang w:val="es-CO"/>
        </w:rPr>
      </w:pPr>
    </w:p>
    <w:p w14:paraId="5A3E8F0F" w14:textId="77777777" w:rsidR="00B2442D" w:rsidRDefault="008A645F">
      <w:pPr>
        <w:jc w:val="both"/>
        <w:rPr>
          <w:rFonts w:ascii="Arial" w:hAnsi="Arial" w:cs="Arial"/>
          <w:lang w:val="es-CO"/>
        </w:rPr>
      </w:pPr>
      <w:r>
        <w:rPr>
          <w:rFonts w:ascii="Arial" w:hAnsi="Arial" w:cs="Arial"/>
          <w:lang w:val="es-CO"/>
        </w:rPr>
        <w:t>Fotocopia del acta de finalización del contrato suscrita con la entidad contratante, en los casos que conforme a l</w:t>
      </w:r>
      <w:r>
        <w:rPr>
          <w:rFonts w:ascii="Arial" w:hAnsi="Arial" w:cs="Arial"/>
          <w:lang w:val="es-CO"/>
        </w:rPr>
        <w:t>a ley o al contrato, sea obligatoria la liquidación.</w:t>
      </w:r>
    </w:p>
    <w:p w14:paraId="2D032A7C" w14:textId="77777777" w:rsidR="00B2442D" w:rsidRDefault="00B2442D">
      <w:pPr>
        <w:jc w:val="both"/>
        <w:rPr>
          <w:rFonts w:ascii="Arial" w:hAnsi="Arial" w:cs="Arial"/>
          <w:lang w:val="es-CO"/>
        </w:rPr>
      </w:pPr>
    </w:p>
    <w:p w14:paraId="6D81B06F" w14:textId="77777777" w:rsidR="00B2442D" w:rsidRDefault="008A645F">
      <w:pPr>
        <w:jc w:val="both"/>
        <w:rPr>
          <w:rFonts w:ascii="Arial" w:hAnsi="Arial" w:cs="Arial"/>
          <w:lang w:val="es-CO"/>
        </w:rPr>
      </w:pPr>
      <w:r>
        <w:rPr>
          <w:rFonts w:ascii="Arial" w:hAnsi="Arial" w:cs="Arial"/>
          <w:lang w:val="es-CO"/>
        </w:rPr>
        <w:t>En el evento que no se haya ejecutado el contrato, comunicación suscrita por la entidad que adjudicó la licitación o contrato dejando constancia del hecho.</w:t>
      </w:r>
    </w:p>
    <w:p w14:paraId="235A86EA" w14:textId="77777777" w:rsidR="00B2442D" w:rsidRDefault="00B2442D">
      <w:pPr>
        <w:jc w:val="both"/>
        <w:rPr>
          <w:rFonts w:ascii="Arial" w:hAnsi="Arial" w:cs="Arial"/>
          <w:lang w:val="es-CO"/>
        </w:rPr>
      </w:pPr>
    </w:p>
    <w:p w14:paraId="62F68AC2" w14:textId="77777777" w:rsidR="00B2442D" w:rsidRDefault="008A645F">
      <w:pPr>
        <w:jc w:val="both"/>
        <w:rPr>
          <w:rFonts w:ascii="Arial" w:hAnsi="Arial" w:cs="Arial"/>
          <w:lang w:val="es-CO"/>
        </w:rPr>
      </w:pPr>
      <w:r>
        <w:rPr>
          <w:rFonts w:ascii="Arial" w:hAnsi="Arial" w:cs="Arial"/>
          <w:lang w:val="es-CO"/>
        </w:rPr>
        <w:t>6. Sucesiones ilíquidas.</w:t>
      </w:r>
    </w:p>
    <w:p w14:paraId="273626D2" w14:textId="77777777" w:rsidR="00B2442D" w:rsidRDefault="00B2442D">
      <w:pPr>
        <w:jc w:val="both"/>
        <w:rPr>
          <w:rFonts w:ascii="Arial" w:hAnsi="Arial" w:cs="Arial"/>
          <w:lang w:val="es-CO"/>
        </w:rPr>
      </w:pPr>
    </w:p>
    <w:p w14:paraId="637C00CE" w14:textId="77777777" w:rsidR="00B2442D" w:rsidRDefault="008A645F">
      <w:pPr>
        <w:jc w:val="both"/>
        <w:rPr>
          <w:rFonts w:ascii="Arial" w:hAnsi="Arial" w:cs="Arial"/>
          <w:lang w:val="es-CO"/>
        </w:rPr>
      </w:pPr>
      <w:r>
        <w:rPr>
          <w:rFonts w:ascii="Arial" w:hAnsi="Arial" w:cs="Arial"/>
          <w:lang w:val="es-CO"/>
        </w:rPr>
        <w:t xml:space="preserve">Documento </w:t>
      </w:r>
      <w:r>
        <w:rPr>
          <w:rFonts w:ascii="Arial" w:hAnsi="Arial" w:cs="Arial"/>
          <w:lang w:val="es-CO"/>
        </w:rPr>
        <w:t>expedido por juez o notario donde conste la terminación del proceso o fotocopia de la escritura de liquidación de la sucesión cuando se adelantó ante notario o de la sentencia debidamente ejecutoriada cuando el proceso se adelantó ante juez.</w:t>
      </w:r>
    </w:p>
    <w:p w14:paraId="2737D9B8" w14:textId="77777777" w:rsidR="00B2442D" w:rsidRDefault="00B2442D">
      <w:pPr>
        <w:jc w:val="both"/>
        <w:rPr>
          <w:rFonts w:ascii="Arial" w:hAnsi="Arial" w:cs="Arial"/>
          <w:lang w:val="es-CO"/>
        </w:rPr>
      </w:pPr>
    </w:p>
    <w:p w14:paraId="24A83D7D" w14:textId="77777777" w:rsidR="00B2442D" w:rsidRDefault="008A645F">
      <w:pPr>
        <w:jc w:val="both"/>
        <w:rPr>
          <w:rFonts w:ascii="Arial" w:hAnsi="Arial" w:cs="Arial"/>
          <w:lang w:val="es-CO"/>
        </w:rPr>
      </w:pPr>
      <w:r>
        <w:rPr>
          <w:rFonts w:ascii="Arial" w:hAnsi="Arial" w:cs="Arial"/>
          <w:lang w:val="es-CO"/>
        </w:rPr>
        <w:t xml:space="preserve">En el evento </w:t>
      </w:r>
      <w:r>
        <w:rPr>
          <w:rFonts w:ascii="Arial" w:hAnsi="Arial" w:cs="Arial"/>
          <w:lang w:val="es-CO"/>
        </w:rPr>
        <w:t xml:space="preserve">de no realizar proceso de sucesión, manifestación verbal o escrita del representante o herederos en la que informe que el fallecido no dejó masa sucesoral que haya implicado el inicio de dicho procedimiento. </w:t>
      </w:r>
    </w:p>
    <w:p w14:paraId="654BAF7D" w14:textId="77777777" w:rsidR="00B2442D" w:rsidRDefault="00B2442D">
      <w:pPr>
        <w:jc w:val="both"/>
        <w:rPr>
          <w:rFonts w:ascii="Arial" w:hAnsi="Arial" w:cs="Arial"/>
          <w:lang w:val="es-CO"/>
        </w:rPr>
      </w:pPr>
    </w:p>
    <w:p w14:paraId="23982867" w14:textId="77777777" w:rsidR="00B2442D" w:rsidRDefault="008A645F">
      <w:pPr>
        <w:jc w:val="both"/>
        <w:rPr>
          <w:rFonts w:ascii="Arial" w:hAnsi="Arial" w:cs="Arial"/>
          <w:lang w:val="es-CO"/>
        </w:rPr>
      </w:pPr>
      <w:r>
        <w:rPr>
          <w:rFonts w:ascii="Arial" w:hAnsi="Arial" w:cs="Arial"/>
          <w:lang w:val="es-CO"/>
        </w:rPr>
        <w:t>7. Las personas naturales sin residencia en Co</w:t>
      </w:r>
      <w:r>
        <w:rPr>
          <w:rFonts w:ascii="Arial" w:hAnsi="Arial" w:cs="Arial"/>
          <w:lang w:val="es-CO"/>
        </w:rPr>
        <w:t>lombia y las sociedades y entidades extranjeras que realicen operaciones a través de establecimientos permanentes.</w:t>
      </w:r>
    </w:p>
    <w:p w14:paraId="1F52B0AA" w14:textId="77777777" w:rsidR="00B2442D" w:rsidRDefault="00B2442D">
      <w:pPr>
        <w:jc w:val="both"/>
        <w:rPr>
          <w:rFonts w:ascii="Arial" w:hAnsi="Arial" w:cs="Arial"/>
          <w:lang w:val="es-CO"/>
        </w:rPr>
      </w:pPr>
    </w:p>
    <w:p w14:paraId="42503AE8" w14:textId="77777777" w:rsidR="00B2442D" w:rsidRDefault="008A645F">
      <w:pPr>
        <w:jc w:val="both"/>
        <w:rPr>
          <w:rFonts w:ascii="Arial" w:hAnsi="Arial" w:cs="Arial"/>
          <w:lang w:val="es-CO"/>
        </w:rPr>
      </w:pPr>
      <w:r>
        <w:rPr>
          <w:rFonts w:ascii="Arial" w:hAnsi="Arial" w:cs="Arial"/>
          <w:lang w:val="es-CO"/>
        </w:rPr>
        <w:t xml:space="preserve">Documento en el que se haga constar o se declare el cese de actividades en Colombia. </w:t>
      </w:r>
    </w:p>
    <w:p w14:paraId="1AF0A542" w14:textId="77777777" w:rsidR="00B2442D" w:rsidRDefault="00B2442D">
      <w:pPr>
        <w:jc w:val="both"/>
        <w:rPr>
          <w:rFonts w:ascii="Arial" w:hAnsi="Arial" w:cs="Arial"/>
          <w:lang w:val="es-CO"/>
        </w:rPr>
      </w:pPr>
    </w:p>
    <w:p w14:paraId="1D0099B0" w14:textId="77777777" w:rsidR="00B2442D" w:rsidRDefault="008A645F">
      <w:pPr>
        <w:jc w:val="both"/>
        <w:rPr>
          <w:rFonts w:ascii="Arial" w:hAnsi="Arial" w:cs="Arial"/>
          <w:lang w:val="es-CO"/>
        </w:rPr>
      </w:pPr>
      <w:r>
        <w:rPr>
          <w:rFonts w:ascii="Arial" w:hAnsi="Arial" w:cs="Arial"/>
          <w:lang w:val="es-CO"/>
        </w:rPr>
        <w:t xml:space="preserve">8. Sociedades o entidades consideradas </w:t>
      </w:r>
      <w:r>
        <w:rPr>
          <w:rFonts w:ascii="Arial" w:hAnsi="Arial" w:cs="Arial"/>
          <w:lang w:val="es-CO"/>
        </w:rPr>
        <w:t>nacionales por tener su sede efectiva de administración en el territorio colombiano.</w:t>
      </w:r>
    </w:p>
    <w:p w14:paraId="3B14BE11" w14:textId="77777777" w:rsidR="00B2442D" w:rsidRDefault="00B2442D">
      <w:pPr>
        <w:jc w:val="both"/>
        <w:rPr>
          <w:rFonts w:ascii="Arial" w:hAnsi="Arial" w:cs="Arial"/>
          <w:lang w:val="es-CO"/>
        </w:rPr>
      </w:pPr>
    </w:p>
    <w:p w14:paraId="25CC76CE" w14:textId="77777777" w:rsidR="00B2442D" w:rsidRDefault="008A645F">
      <w:pPr>
        <w:jc w:val="both"/>
        <w:rPr>
          <w:rFonts w:ascii="Arial" w:hAnsi="Arial" w:cs="Arial"/>
          <w:lang w:val="es-CO"/>
        </w:rPr>
      </w:pPr>
      <w:r>
        <w:rPr>
          <w:rFonts w:ascii="Arial" w:hAnsi="Arial" w:cs="Arial"/>
          <w:lang w:val="es-CO"/>
        </w:rPr>
        <w:t>Documento en el que se haga constar o se declare que la sede efectiva de administración no se encuentra en el territorio nacional.</w:t>
      </w:r>
    </w:p>
    <w:p w14:paraId="2FF69481" w14:textId="77777777" w:rsidR="00B2442D" w:rsidRDefault="00B2442D">
      <w:pPr>
        <w:jc w:val="both"/>
        <w:rPr>
          <w:rFonts w:ascii="Arial" w:hAnsi="Arial" w:cs="Arial"/>
          <w:lang w:val="es-CO"/>
        </w:rPr>
      </w:pPr>
    </w:p>
    <w:p w14:paraId="21ABE046" w14:textId="77777777" w:rsidR="00B2442D" w:rsidRDefault="008A645F">
      <w:pPr>
        <w:jc w:val="both"/>
        <w:rPr>
          <w:rFonts w:ascii="Arial" w:hAnsi="Arial" w:cs="Arial"/>
          <w:lang w:val="es-CO"/>
        </w:rPr>
      </w:pPr>
      <w:r>
        <w:rPr>
          <w:rFonts w:ascii="Arial" w:hAnsi="Arial" w:cs="Arial"/>
          <w:lang w:val="es-CO"/>
        </w:rPr>
        <w:t>9. Certificación del representante leg</w:t>
      </w:r>
      <w:r>
        <w:rPr>
          <w:rFonts w:ascii="Arial" w:hAnsi="Arial" w:cs="Arial"/>
          <w:lang w:val="es-CO"/>
        </w:rPr>
        <w:t>al de la sociedad fiduciaria en la que conste la terminación o liquidación del contrato de fiducia mercantil.</w:t>
      </w:r>
    </w:p>
    <w:p w14:paraId="59C794E0" w14:textId="77777777" w:rsidR="00B2442D" w:rsidRDefault="00B2442D">
      <w:pPr>
        <w:jc w:val="both"/>
        <w:rPr>
          <w:rFonts w:ascii="Arial" w:hAnsi="Arial" w:cs="Arial"/>
          <w:lang w:val="es-CO"/>
        </w:rPr>
      </w:pPr>
    </w:p>
    <w:p w14:paraId="58A73F1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trámite de solicitud de cancelación lo adelante directamente el interesado, el representante legal o el apoderado que se enc</w:t>
      </w:r>
      <w:r>
        <w:rPr>
          <w:rFonts w:ascii="Arial" w:hAnsi="Arial" w:cs="Arial"/>
          <w:lang w:val="es-CO"/>
        </w:rPr>
        <w:t>uentre previamente registrado en la sección de representación del formulario del obligado, no será necesario adjuntar fotocopia de su documento de identidad, bastará con la exhibición del documento original</w:t>
      </w:r>
    </w:p>
    <w:p w14:paraId="232C873D" w14:textId="77777777" w:rsidR="00B2442D" w:rsidRDefault="00B2442D">
      <w:pPr>
        <w:jc w:val="both"/>
        <w:rPr>
          <w:rFonts w:ascii="Arial" w:hAnsi="Arial" w:cs="Arial"/>
          <w:lang w:val="es-CO"/>
        </w:rPr>
      </w:pPr>
    </w:p>
    <w:p w14:paraId="7E4CEAE0" w14:textId="77777777" w:rsidR="00B2442D" w:rsidRDefault="008A645F">
      <w:pPr>
        <w:jc w:val="both"/>
        <w:rPr>
          <w:rFonts w:ascii="Arial" w:hAnsi="Arial" w:cs="Arial"/>
          <w:i/>
          <w:lang w:val="es-CO"/>
        </w:rPr>
      </w:pPr>
      <w:r>
        <w:rPr>
          <w:rFonts w:ascii="Arial" w:hAnsi="Arial" w:cs="Arial"/>
          <w:i/>
          <w:lang w:val="es-CO"/>
        </w:rPr>
        <w:t>(Artículo 17-1, Decreto 2460 de 2013, adicionado</w:t>
      </w:r>
      <w:r>
        <w:rPr>
          <w:rFonts w:ascii="Arial" w:hAnsi="Arial" w:cs="Arial"/>
          <w:i/>
          <w:lang w:val="es-CO"/>
        </w:rPr>
        <w:t xml:space="preserve"> por el art. 9 del Decreto 2620 de 2014. Numeral 9 adicionado por el art. 5 del Decreto 589 de 2016)</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w:t>
      </w:r>
      <w:r>
        <w:rPr>
          <w:rFonts w:ascii="Arial" w:hAnsi="Arial" w:cs="Arial"/>
          <w:i/>
          <w:lang w:val="es-CO"/>
        </w:rPr>
        <w:t xml:space="preserve"> el artículo 10 del Decreto número 3026 de 2013, el artículo 11 del Decreto número 3028 de 2013 y las demás normas que le sean contrarias. Art. 23, Decreto 2460 de 2013, modificado por el art. 10 del Decreto 2620 de 2014)</w:t>
      </w:r>
    </w:p>
    <w:p w14:paraId="67DB8AA9" w14:textId="77777777" w:rsidR="00B2442D" w:rsidRDefault="00B2442D">
      <w:pPr>
        <w:jc w:val="both"/>
        <w:rPr>
          <w:rFonts w:ascii="Arial" w:hAnsi="Arial" w:cs="Arial"/>
          <w:b/>
          <w:lang w:val="es-CO"/>
        </w:rPr>
      </w:pPr>
    </w:p>
    <w:p w14:paraId="6C6355D3"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Formulario oficial del Registro Ú</w:t>
      </w:r>
      <w:r>
        <w:rPr>
          <w:rFonts w:ascii="Arial" w:hAnsi="Arial" w:cs="Arial"/>
          <w:b/>
          <w:i/>
          <w:lang w:val="es-CO"/>
        </w:rPr>
        <w:t>nico Tributario (RUT).</w:t>
      </w:r>
      <w:r>
        <w:rPr>
          <w:rFonts w:ascii="Arial" w:hAnsi="Arial" w:cs="Arial"/>
          <w:lang w:val="es-CO"/>
        </w:rPr>
        <w:t xml:space="preserve"> La inscripción, actualización, suspensión y cancelación en el Registro Único Tributario (RUT) se realizarán en el formulario oficial que para el efecto establezca la Unidad Administrativa Especial Dirección de Impuestos y Aduanas Nac</w:t>
      </w:r>
      <w:r>
        <w:rPr>
          <w:rFonts w:ascii="Arial" w:hAnsi="Arial" w:cs="Arial"/>
          <w:lang w:val="es-CO"/>
        </w:rPr>
        <w:t>ionales-DIAN, a través de medios electrónicos, magnéticos o físicos.</w:t>
      </w:r>
    </w:p>
    <w:p w14:paraId="39E07717" w14:textId="77777777" w:rsidR="00B2442D" w:rsidRDefault="00B2442D">
      <w:pPr>
        <w:jc w:val="both"/>
        <w:rPr>
          <w:rFonts w:ascii="Arial" w:hAnsi="Arial" w:cs="Arial"/>
          <w:lang w:val="es-CO"/>
        </w:rPr>
      </w:pPr>
    </w:p>
    <w:p w14:paraId="7345758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información que suministren los obligados a la Unidad Administrativa Especial Dirección de Impuestos y Aduanas Nacionales-DIAN, a través del formulario oficial de inscripci</w:t>
      </w:r>
      <w:r>
        <w:rPr>
          <w:rFonts w:ascii="Arial" w:hAnsi="Arial" w:cs="Arial"/>
          <w:lang w:val="es-CO"/>
        </w:rPr>
        <w:t>ón, actualización, suspensión y cancelación del Registro Único Tributario (RUT), deberá ser exacta y veraz; en caso de constatar inexactitud en alguno de los datos suministrados se adelantarán los procedimientos administrativos sancionatorios o de suspensi</w:t>
      </w:r>
      <w:r>
        <w:rPr>
          <w:rFonts w:ascii="Arial" w:hAnsi="Arial" w:cs="Arial"/>
          <w:lang w:val="es-CO"/>
        </w:rPr>
        <w:t>ón, según el caso.</w:t>
      </w:r>
    </w:p>
    <w:p w14:paraId="4AB9F95B" w14:textId="77777777" w:rsidR="00B2442D" w:rsidRDefault="00B2442D">
      <w:pPr>
        <w:jc w:val="both"/>
        <w:rPr>
          <w:rFonts w:ascii="Arial" w:hAnsi="Arial" w:cs="Arial"/>
          <w:lang w:val="es-CO"/>
        </w:rPr>
      </w:pPr>
    </w:p>
    <w:p w14:paraId="5B9FFF15" w14:textId="77777777" w:rsidR="00B2442D" w:rsidRDefault="008A645F">
      <w:pPr>
        <w:jc w:val="both"/>
        <w:rPr>
          <w:rFonts w:ascii="Arial" w:hAnsi="Arial" w:cs="Arial"/>
          <w:i/>
          <w:lang w:val="es-CO"/>
        </w:rPr>
      </w:pPr>
      <w:r>
        <w:rPr>
          <w:rFonts w:ascii="Arial" w:hAnsi="Arial" w:cs="Arial"/>
          <w:i/>
          <w:lang w:val="es-CO"/>
        </w:rPr>
        <w:t>(Art. 18, Decreto 2460 de 2013)</w:t>
      </w:r>
      <w:r>
        <w:rPr>
          <w:rFonts w:ascii="Arial" w:hAnsi="Arial" w:cs="Arial"/>
        </w:rPr>
        <w:t xml:space="preserve"> </w:t>
      </w:r>
      <w:r>
        <w:rPr>
          <w:rFonts w:ascii="Arial" w:hAnsi="Arial" w:cs="Arial"/>
          <w:i/>
          <w:lang w:val="es-CO"/>
        </w:rPr>
        <w:t xml:space="preserve">(El Decreto 2460 de 2013 rige a partir de la fecha de su publicación y deroga los Decretos números 2788 de 2004, 4714 de 2008, 2645 de 2011 y 2820 de 2011, el artículo 10 del Decreto número 3026 de </w:t>
      </w:r>
      <w:r>
        <w:rPr>
          <w:rFonts w:ascii="Arial" w:hAnsi="Arial" w:cs="Arial"/>
          <w:i/>
          <w:lang w:val="es-CO"/>
        </w:rPr>
        <w:t>2013, el artículo 11 del Decreto número 3028 de 2013 y las demás normas que le sean contrarias. Art. 23, Decreto 2460 de 2013, modificado por el art. 10 del Decreto 2620 de 2014)</w:t>
      </w:r>
    </w:p>
    <w:p w14:paraId="2409BF78" w14:textId="77777777" w:rsidR="00B2442D" w:rsidRDefault="00B2442D">
      <w:pPr>
        <w:jc w:val="both"/>
        <w:rPr>
          <w:rFonts w:ascii="Arial" w:hAnsi="Arial" w:cs="Arial"/>
          <w:lang w:val="es-CO"/>
        </w:rPr>
      </w:pPr>
    </w:p>
    <w:p w14:paraId="25031538"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Prueba de inscripción, actualización, suspensión o cancelación en el Registr</w:t>
      </w:r>
      <w:r>
        <w:rPr>
          <w:rFonts w:ascii="Arial" w:hAnsi="Arial" w:cs="Arial"/>
          <w:b/>
          <w:i/>
          <w:lang w:val="es-CO"/>
        </w:rPr>
        <w:t>o Único Tributario (RUT).</w:t>
      </w:r>
      <w:r>
        <w:rPr>
          <w:rFonts w:ascii="Arial" w:hAnsi="Arial" w:cs="Arial"/>
          <w:lang w:val="es-CO"/>
        </w:rPr>
        <w:t xml:space="preserve"> Constituye prueba de la inscripción, actualización, suspensión o cancelación en el Registro Único Tributario (RUT), el documento que expida la Unidad Administrativa Especial  Dirección de Impuestos y Aduanas Nacionales-DIAN o las </w:t>
      </w:r>
      <w:r>
        <w:rPr>
          <w:rFonts w:ascii="Arial" w:hAnsi="Arial" w:cs="Arial"/>
          <w:lang w:val="es-CO"/>
        </w:rPr>
        <w:t>entidades autorizadas, que corresponde a la primera hoja del formulario oficial previamente validado, en donde conste la leyenda correspondiente a su estado.</w:t>
      </w:r>
    </w:p>
    <w:p w14:paraId="0251C8C9" w14:textId="77777777" w:rsidR="00B2442D" w:rsidRDefault="00B2442D">
      <w:pPr>
        <w:jc w:val="both"/>
        <w:rPr>
          <w:rFonts w:ascii="Arial" w:hAnsi="Arial" w:cs="Arial"/>
          <w:lang w:val="es-CO"/>
        </w:rPr>
      </w:pPr>
    </w:p>
    <w:p w14:paraId="1690666B" w14:textId="77777777" w:rsidR="00B2442D" w:rsidRDefault="008A645F">
      <w:pPr>
        <w:jc w:val="both"/>
        <w:rPr>
          <w:rFonts w:ascii="Arial" w:hAnsi="Arial" w:cs="Arial"/>
          <w:lang w:val="es-CO"/>
        </w:rPr>
      </w:pPr>
      <w:r>
        <w:rPr>
          <w:rFonts w:ascii="Arial" w:hAnsi="Arial" w:cs="Arial"/>
          <w:lang w:val="es-CO"/>
        </w:rPr>
        <w:t>Para todos los efectos legales será válida la entrega de fotocopia del documento a que se refiere</w:t>
      </w:r>
      <w:r>
        <w:rPr>
          <w:rFonts w:ascii="Arial" w:hAnsi="Arial" w:cs="Arial"/>
          <w:lang w:val="es-CO"/>
        </w:rPr>
        <w:t xml:space="preserve"> el inciso anterior, como prueba de la inscripción, actualización, suspensión o cancelación en el Registro Único Tributario (RUT).</w:t>
      </w:r>
    </w:p>
    <w:p w14:paraId="3CB5CE79" w14:textId="77777777" w:rsidR="00B2442D" w:rsidRDefault="00B2442D">
      <w:pPr>
        <w:jc w:val="both"/>
        <w:rPr>
          <w:rFonts w:ascii="Arial" w:hAnsi="Arial" w:cs="Arial"/>
          <w:lang w:val="es-CO"/>
        </w:rPr>
      </w:pPr>
    </w:p>
    <w:p w14:paraId="25BEB9E5" w14:textId="77777777" w:rsidR="00B2442D" w:rsidRDefault="008A645F">
      <w:pPr>
        <w:jc w:val="both"/>
        <w:rPr>
          <w:rFonts w:ascii="Arial" w:hAnsi="Arial" w:cs="Arial"/>
          <w:lang w:val="es-CO"/>
        </w:rPr>
      </w:pPr>
      <w:r>
        <w:rPr>
          <w:rFonts w:ascii="Arial" w:hAnsi="Arial" w:cs="Arial"/>
          <w:lang w:val="es-CO"/>
        </w:rPr>
        <w:t>Cuando la inscripción se encuentre suspendida o cancelada, así se dará a conocer en el formulario, en los demás eventos apar</w:t>
      </w:r>
      <w:r>
        <w:rPr>
          <w:rFonts w:ascii="Arial" w:hAnsi="Arial" w:cs="Arial"/>
          <w:lang w:val="es-CO"/>
        </w:rPr>
        <w:t>ecerá la leyenda "Certificado". Cuando se generan copias a través de los medios electrónicos que disponga la Entidad, dicho documento tendrá impresa la leyenda "Copia Certificado" y será válido sin firmas autógrafas.</w:t>
      </w:r>
    </w:p>
    <w:p w14:paraId="20EE5A0A" w14:textId="77777777" w:rsidR="00B2442D" w:rsidRDefault="00B2442D">
      <w:pPr>
        <w:jc w:val="both"/>
        <w:rPr>
          <w:rFonts w:ascii="Arial" w:hAnsi="Arial" w:cs="Arial"/>
          <w:i/>
          <w:lang w:val="es-CO"/>
        </w:rPr>
      </w:pPr>
    </w:p>
    <w:p w14:paraId="7300EEEC" w14:textId="77777777" w:rsidR="00B2442D" w:rsidRDefault="008A645F">
      <w:pPr>
        <w:jc w:val="both"/>
        <w:rPr>
          <w:rFonts w:ascii="Arial" w:hAnsi="Arial" w:cs="Arial"/>
          <w:i/>
          <w:lang w:val="es-CO"/>
        </w:rPr>
      </w:pPr>
      <w:r>
        <w:rPr>
          <w:rFonts w:ascii="Arial" w:hAnsi="Arial" w:cs="Arial"/>
          <w:i/>
          <w:lang w:val="es-CO"/>
        </w:rPr>
        <w:t>(Art. 19, Decreto 2460 de 2013)</w:t>
      </w:r>
      <w:r>
        <w:rPr>
          <w:rFonts w:ascii="Arial" w:hAnsi="Arial" w:cs="Arial"/>
        </w:rPr>
        <w:t xml:space="preserve"> </w:t>
      </w:r>
      <w:r>
        <w:rPr>
          <w:rFonts w:ascii="Arial" w:hAnsi="Arial" w:cs="Arial"/>
          <w:i/>
          <w:lang w:val="es-CO"/>
        </w:rPr>
        <w:t>(El De</w:t>
      </w:r>
      <w:r>
        <w:rPr>
          <w:rFonts w:ascii="Arial" w:hAnsi="Arial" w:cs="Arial"/>
          <w:i/>
          <w:lang w:val="es-CO"/>
        </w:rPr>
        <w:t>creto 2460 de 2013 rige a partir de la fecha de su publicación y deroga los Decretos números 2788 de 2004, 4714 de 2008, 2645 de 2011 y 2820 de 2011, el artículo 10 del Decreto número 3026 de 2013, el artículo 11 del Decreto número 3028 de 2013 y las demás</w:t>
      </w:r>
      <w:r>
        <w:rPr>
          <w:rFonts w:ascii="Arial" w:hAnsi="Arial" w:cs="Arial"/>
          <w:i/>
          <w:lang w:val="es-CO"/>
        </w:rPr>
        <w:t xml:space="preserve"> normas que le sean contrarias. Art. 23, Decreto 2460 de 2013, modificado por el art. 10 del Decreto 2620 de 2014)</w:t>
      </w:r>
    </w:p>
    <w:p w14:paraId="05DAC3E8" w14:textId="77777777" w:rsidR="00B2442D" w:rsidRDefault="00B2442D">
      <w:pPr>
        <w:jc w:val="both"/>
        <w:rPr>
          <w:rFonts w:ascii="Arial" w:hAnsi="Arial" w:cs="Arial"/>
          <w:lang w:val="es-CO"/>
        </w:rPr>
      </w:pPr>
    </w:p>
    <w:p w14:paraId="349A4B9C"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Deber de denuncia.</w:t>
      </w:r>
      <w:r>
        <w:rPr>
          <w:rFonts w:ascii="Arial" w:hAnsi="Arial" w:cs="Arial"/>
          <w:lang w:val="es-CO"/>
        </w:rPr>
        <w:t xml:space="preserve"> Cuando en la información reportada por el obligado en el formulario del Registro Único Tributario (RUT) se detecten cond</w:t>
      </w:r>
      <w:r>
        <w:rPr>
          <w:rFonts w:ascii="Arial" w:hAnsi="Arial" w:cs="Arial"/>
          <w:lang w:val="es-CO"/>
        </w:rPr>
        <w:t>uctas que puedan constituir conducta punible, el funcionario que conozca de tal situación deberá formular la denuncia ante la autoridad competente e informará a la División de Gestión Jurídica o quien haga sus veces, para efectos de la intervención de la U</w:t>
      </w:r>
      <w:r>
        <w:rPr>
          <w:rFonts w:ascii="Arial" w:hAnsi="Arial" w:cs="Arial"/>
          <w:lang w:val="es-CO"/>
        </w:rPr>
        <w:t>nidad Administrativa Especial Dirección de Impuestos y Aduanas Nacionales-DIAN en calidad de víctima y efectuar el seguimiento de las denuncias presentadas.</w:t>
      </w:r>
    </w:p>
    <w:p w14:paraId="1E537F95" w14:textId="77777777" w:rsidR="00B2442D" w:rsidRDefault="00B2442D">
      <w:pPr>
        <w:jc w:val="both"/>
        <w:rPr>
          <w:rFonts w:ascii="Arial" w:hAnsi="Arial" w:cs="Arial"/>
          <w:lang w:val="es-CO"/>
        </w:rPr>
      </w:pPr>
    </w:p>
    <w:p w14:paraId="04523DCA" w14:textId="77777777" w:rsidR="00B2442D" w:rsidRDefault="008A645F">
      <w:pPr>
        <w:jc w:val="both"/>
        <w:rPr>
          <w:rFonts w:ascii="Arial" w:hAnsi="Arial" w:cs="Arial"/>
          <w:i/>
          <w:lang w:val="es-CO"/>
        </w:rPr>
      </w:pPr>
      <w:r>
        <w:rPr>
          <w:rFonts w:ascii="Arial" w:hAnsi="Arial" w:cs="Arial"/>
          <w:i/>
          <w:lang w:val="es-CO"/>
        </w:rPr>
        <w:t>(Art. 20, Decreto 2460 de 2013)</w:t>
      </w:r>
      <w:r>
        <w:rPr>
          <w:rFonts w:ascii="Arial" w:hAnsi="Arial" w:cs="Arial"/>
        </w:rPr>
        <w:t xml:space="preserve"> </w:t>
      </w:r>
      <w:r>
        <w:rPr>
          <w:rFonts w:ascii="Arial" w:hAnsi="Arial" w:cs="Arial"/>
          <w:i/>
          <w:lang w:val="es-CO"/>
        </w:rPr>
        <w:t>(El Decreto 2460 de 2013 rige a partir de la fecha de su publicaci</w:t>
      </w:r>
      <w:r>
        <w:rPr>
          <w:rFonts w:ascii="Arial" w:hAnsi="Arial" w:cs="Arial"/>
          <w:i/>
          <w:lang w:val="es-CO"/>
        </w:rPr>
        <w:t>ón y deroga los Decretos números 2788 de 2004, 4714 de 2008, 2645 de 2011 y 2820 de 2011, el artículo 10 del Decreto número 3026 de 2013, el artículo 11 del Decreto número 3028 de 2013 y las demás normas que le sean contrarias. Art. 23, Decreto 2460 de 201</w:t>
      </w:r>
      <w:r>
        <w:rPr>
          <w:rFonts w:ascii="Arial" w:hAnsi="Arial" w:cs="Arial"/>
          <w:i/>
          <w:lang w:val="es-CO"/>
        </w:rPr>
        <w:t>3, modificado por el art. 10 del Decreto 2620 de 2014)</w:t>
      </w:r>
    </w:p>
    <w:p w14:paraId="62192CDF" w14:textId="77777777" w:rsidR="00B2442D" w:rsidRDefault="00B2442D">
      <w:pPr>
        <w:jc w:val="both"/>
        <w:rPr>
          <w:rFonts w:ascii="Arial" w:hAnsi="Arial" w:cs="Arial"/>
          <w:i/>
          <w:lang w:val="es-CO"/>
        </w:rPr>
      </w:pPr>
    </w:p>
    <w:p w14:paraId="7ADB5394"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Suscripción de convenios o acuerdos.</w:t>
      </w:r>
      <w:r>
        <w:rPr>
          <w:rFonts w:ascii="Arial" w:hAnsi="Arial" w:cs="Arial"/>
          <w:lang w:val="es-CO"/>
        </w:rPr>
        <w:t xml:space="preserve"> La Unidad Administrativa Especial Dirección de Impuestos y Aduanas Nacionales-DIAN podrá suscribir convenios o acuerdos con entidades públicas o particulares que </w:t>
      </w:r>
      <w:r>
        <w:rPr>
          <w:rFonts w:ascii="Arial" w:hAnsi="Arial" w:cs="Arial"/>
          <w:lang w:val="es-CO"/>
        </w:rPr>
        <w:t>ejerzan funciones públicas para:</w:t>
      </w:r>
    </w:p>
    <w:p w14:paraId="4B225C89" w14:textId="77777777" w:rsidR="00B2442D" w:rsidRDefault="00B2442D">
      <w:pPr>
        <w:jc w:val="both"/>
        <w:rPr>
          <w:rFonts w:ascii="Arial" w:hAnsi="Arial" w:cs="Arial"/>
          <w:lang w:val="es-CO"/>
        </w:rPr>
      </w:pPr>
    </w:p>
    <w:p w14:paraId="0044D2B5"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 xml:space="preserve"> Facilitar la inscripción, actualización y cancelación en el Registro Único Tributario (RUT);</w:t>
      </w:r>
    </w:p>
    <w:p w14:paraId="6B54228C" w14:textId="77777777" w:rsidR="00B2442D" w:rsidRDefault="00B2442D">
      <w:pPr>
        <w:ind w:left="284" w:hanging="284"/>
        <w:jc w:val="both"/>
        <w:rPr>
          <w:rFonts w:ascii="Arial" w:hAnsi="Arial" w:cs="Arial"/>
          <w:lang w:val="es-CO"/>
        </w:rPr>
      </w:pPr>
    </w:p>
    <w:p w14:paraId="15BE48ED"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 xml:space="preserve"> Verificar y constatar la veracidad de la información relativa al domicilio de los inscritos en el Registro Único Tributa</w:t>
      </w:r>
      <w:r>
        <w:rPr>
          <w:rFonts w:ascii="Arial" w:hAnsi="Arial" w:cs="Arial"/>
          <w:lang w:val="es-CO"/>
        </w:rPr>
        <w:t>rio (RUT);</w:t>
      </w:r>
    </w:p>
    <w:p w14:paraId="40007BE6" w14:textId="77777777" w:rsidR="00B2442D" w:rsidRDefault="00B2442D">
      <w:pPr>
        <w:ind w:left="284" w:hanging="284"/>
        <w:jc w:val="both"/>
        <w:rPr>
          <w:rFonts w:ascii="Arial" w:hAnsi="Arial" w:cs="Arial"/>
          <w:lang w:val="es-CO"/>
        </w:rPr>
      </w:pPr>
    </w:p>
    <w:p w14:paraId="6D9DEB30"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 En general, obtener información que le permita actualizar la información de los inscritos en el Registro Único Tributario (RUT).</w:t>
      </w:r>
    </w:p>
    <w:p w14:paraId="5E5478F6" w14:textId="77777777" w:rsidR="00B2442D" w:rsidRDefault="00B2442D">
      <w:pPr>
        <w:jc w:val="both"/>
        <w:rPr>
          <w:rFonts w:ascii="Arial" w:hAnsi="Arial" w:cs="Arial"/>
          <w:lang w:val="es-CO"/>
        </w:rPr>
      </w:pPr>
    </w:p>
    <w:p w14:paraId="69B15E31" w14:textId="77777777" w:rsidR="00B2442D" w:rsidRDefault="008A645F">
      <w:pPr>
        <w:jc w:val="both"/>
        <w:rPr>
          <w:rFonts w:ascii="Arial" w:hAnsi="Arial" w:cs="Arial"/>
          <w:lang w:val="es-CO"/>
        </w:rPr>
      </w:pPr>
      <w:r>
        <w:rPr>
          <w:rFonts w:ascii="Arial" w:hAnsi="Arial" w:cs="Arial"/>
          <w:lang w:val="es-CO"/>
        </w:rPr>
        <w:t>En estos convenios o acuerdos se establecerán los términos y condiciones de interoperabilidad, así como los re</w:t>
      </w:r>
      <w:r>
        <w:rPr>
          <w:rFonts w:ascii="Arial" w:hAnsi="Arial" w:cs="Arial"/>
          <w:lang w:val="es-CO"/>
        </w:rPr>
        <w:t>sponsables del manejo y uso de la información.</w:t>
      </w:r>
    </w:p>
    <w:p w14:paraId="54775C0F" w14:textId="77777777" w:rsidR="00B2442D" w:rsidRDefault="00B2442D">
      <w:pPr>
        <w:jc w:val="both"/>
        <w:rPr>
          <w:rFonts w:ascii="Arial" w:hAnsi="Arial" w:cs="Arial"/>
          <w:b/>
          <w:lang w:val="es-CO"/>
        </w:rPr>
      </w:pPr>
    </w:p>
    <w:p w14:paraId="021398A0" w14:textId="77777777" w:rsidR="00B2442D" w:rsidRDefault="008A645F">
      <w:pPr>
        <w:jc w:val="both"/>
        <w:rPr>
          <w:rFonts w:ascii="Arial" w:hAnsi="Arial" w:cs="Arial"/>
          <w:i/>
          <w:lang w:val="es-CO"/>
        </w:rPr>
      </w:pPr>
      <w:r>
        <w:rPr>
          <w:rFonts w:ascii="Arial" w:hAnsi="Arial" w:cs="Arial"/>
          <w:i/>
          <w:lang w:val="es-CO"/>
        </w:rPr>
        <w:t>(Art. 21, Decreto 2460 de 2013)</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del D</w:t>
      </w:r>
      <w:r>
        <w:rPr>
          <w:rFonts w:ascii="Arial" w:hAnsi="Arial" w:cs="Arial"/>
          <w:i/>
          <w:lang w:val="es-CO"/>
        </w:rPr>
        <w:t>ecreto número 3026 de 2013, el artículo 11 del Decreto número 3028 de 2013 y las demás normas que le sean contrarias. Art. 23, Decreto 2460 de 2013, modificado por el art. 10 del Decreto 2620 de 2014)</w:t>
      </w:r>
    </w:p>
    <w:p w14:paraId="44D2D830" w14:textId="77777777" w:rsidR="00B2442D" w:rsidRDefault="00B2442D">
      <w:pPr>
        <w:jc w:val="both"/>
        <w:rPr>
          <w:rFonts w:ascii="Arial" w:hAnsi="Arial" w:cs="Arial"/>
          <w:b/>
          <w:lang w:val="es-CO"/>
        </w:rPr>
      </w:pPr>
    </w:p>
    <w:p w14:paraId="67BC8DC4"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Solicitud de información.</w:t>
      </w:r>
      <w:r>
        <w:rPr>
          <w:rFonts w:ascii="Arial" w:hAnsi="Arial" w:cs="Arial"/>
          <w:b/>
          <w:lang w:val="es-CO"/>
        </w:rPr>
        <w:t xml:space="preserve"> </w:t>
      </w:r>
      <w:r>
        <w:rPr>
          <w:rFonts w:ascii="Arial" w:hAnsi="Arial" w:cs="Arial"/>
          <w:lang w:val="es-CO"/>
        </w:rPr>
        <w:t xml:space="preserve">El Director General de la </w:t>
      </w:r>
      <w:r>
        <w:rPr>
          <w:rFonts w:ascii="Arial" w:hAnsi="Arial" w:cs="Arial"/>
          <w:lang w:val="es-CO"/>
        </w:rPr>
        <w:t>Unidad Administrativa Especial Dirección de Impuestos y Aduanas Nacionales-DIAN en desarrollo de las facultades legales y en particular del artículo 631 del Estatuto Tributario, podrá solicitar mediante resolución a las entidades públicas o privadas que de</w:t>
      </w:r>
      <w:r>
        <w:rPr>
          <w:rFonts w:ascii="Arial" w:hAnsi="Arial" w:cs="Arial"/>
          <w:lang w:val="es-CO"/>
        </w:rPr>
        <w:t>termine, con la periodicidad que considere, en los términos y condiciones que establezca, la información que permita identificar, ubicar o clasificar a los obligados, con el fin de inscribir o actualizar la información contenida en el Registro Único Tribut</w:t>
      </w:r>
      <w:r>
        <w:rPr>
          <w:rFonts w:ascii="Arial" w:hAnsi="Arial" w:cs="Arial"/>
          <w:lang w:val="es-CO"/>
        </w:rPr>
        <w:t>ario (RUT).</w:t>
      </w:r>
    </w:p>
    <w:p w14:paraId="4797915D" w14:textId="77777777" w:rsidR="00B2442D" w:rsidRDefault="00B2442D">
      <w:pPr>
        <w:jc w:val="both"/>
        <w:rPr>
          <w:rFonts w:ascii="Arial" w:hAnsi="Arial" w:cs="Arial"/>
          <w:lang w:val="es-CO"/>
        </w:rPr>
      </w:pPr>
    </w:p>
    <w:p w14:paraId="1CB06B9D" w14:textId="77777777" w:rsidR="00B2442D" w:rsidRDefault="008A645F">
      <w:pPr>
        <w:jc w:val="both"/>
        <w:rPr>
          <w:rFonts w:ascii="Arial" w:hAnsi="Arial" w:cs="Arial"/>
          <w:i/>
          <w:lang w:val="es-CO"/>
        </w:rPr>
      </w:pPr>
      <w:r>
        <w:rPr>
          <w:rFonts w:ascii="Arial" w:hAnsi="Arial" w:cs="Arial"/>
          <w:i/>
          <w:lang w:val="es-CO"/>
        </w:rPr>
        <w:t>(Art. 22, Decreto 2460 de 2013)</w:t>
      </w:r>
      <w:r>
        <w:rPr>
          <w:rFonts w:ascii="Arial" w:hAnsi="Arial" w:cs="Arial"/>
        </w:rPr>
        <w:t xml:space="preserve"> </w:t>
      </w:r>
      <w:r>
        <w:rPr>
          <w:rFonts w:ascii="Arial" w:hAnsi="Arial" w:cs="Arial"/>
          <w:i/>
          <w:lang w:val="es-CO"/>
        </w:rPr>
        <w:t>(El Decreto 2460 de 2013 rige a partir de la fecha de su publicación y deroga los Decretos números 2788 de 2004, 4714 de 2008, 2645 de 2011 y 2820 de 2011, el artículo 10 del Decreto número 3026 de 2013, el artí</w:t>
      </w:r>
      <w:r>
        <w:rPr>
          <w:rFonts w:ascii="Arial" w:hAnsi="Arial" w:cs="Arial"/>
          <w:i/>
          <w:lang w:val="es-CO"/>
        </w:rPr>
        <w:t>culo 11 del Decreto número 3028 de 2013 y las demás normas que le sean contrarias. Art. 23, Decreto 2460 de 2013, modificado por el art. 10 del Decreto 2620 de 2014)</w:t>
      </w:r>
    </w:p>
    <w:p w14:paraId="371D1CCF" w14:textId="77777777" w:rsidR="00B2442D" w:rsidRDefault="00B2442D">
      <w:pPr>
        <w:jc w:val="both"/>
        <w:rPr>
          <w:rFonts w:ascii="Arial" w:hAnsi="Arial" w:cs="Arial"/>
          <w:b/>
          <w:lang w:val="es-CO"/>
        </w:rPr>
      </w:pPr>
    </w:p>
    <w:p w14:paraId="72E70292"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b/>
          <w:i/>
          <w:lang w:val="es-CO"/>
        </w:rPr>
        <w:t xml:space="preserve"> Identificación de los patrimonios autónomos que realicen operaciones de comercio exterio</w:t>
      </w:r>
      <w:r>
        <w:rPr>
          <w:rFonts w:ascii="Arial" w:hAnsi="Arial" w:cs="Arial"/>
          <w:b/>
          <w:i/>
          <w:lang w:val="es-CO"/>
        </w:rPr>
        <w:t xml:space="preserve">r. </w:t>
      </w:r>
      <w:r>
        <w:rPr>
          <w:rFonts w:ascii="Arial" w:hAnsi="Arial" w:cs="Arial"/>
          <w:lang w:val="es-CO"/>
        </w:rPr>
        <w:t>Las sociedades fiduciarias que administren patrimonios autónomos constituidos para desarrollar operaciones de comercio exterior, en desarrollo y cumplimiento de la regulación aduanera, deberán realizar la inscripción en el Registro Único Tributario –RUT</w:t>
      </w:r>
      <w:r>
        <w:rPr>
          <w:rFonts w:ascii="Arial" w:hAnsi="Arial" w:cs="Arial"/>
          <w:lang w:val="es-CO"/>
        </w:rPr>
        <w:t xml:space="preserve"> de dichos patrimonios autónomos para la obtención del Número de Identificación Tributaria - NIT, que los identifique de manera individual. </w:t>
      </w:r>
    </w:p>
    <w:p w14:paraId="235A7EEC" w14:textId="77777777" w:rsidR="00B2442D" w:rsidRDefault="00B2442D">
      <w:pPr>
        <w:pStyle w:val="Prrafodelista"/>
        <w:ind w:left="0"/>
        <w:jc w:val="both"/>
        <w:rPr>
          <w:rFonts w:ascii="Arial" w:hAnsi="Arial" w:cs="Arial"/>
          <w:lang w:val="es-CO"/>
        </w:rPr>
      </w:pPr>
    </w:p>
    <w:p w14:paraId="61C3DC27" w14:textId="77777777" w:rsidR="00B2442D" w:rsidRDefault="008A645F">
      <w:pPr>
        <w:jc w:val="both"/>
        <w:rPr>
          <w:rFonts w:ascii="Arial" w:hAnsi="Arial" w:cs="Arial"/>
          <w:i/>
          <w:lang w:val="es-CO"/>
        </w:rPr>
      </w:pPr>
      <w:r>
        <w:rPr>
          <w:rFonts w:ascii="Arial" w:hAnsi="Arial" w:cs="Arial"/>
          <w:i/>
          <w:lang w:val="es-CO"/>
        </w:rPr>
        <w:t xml:space="preserve">(Art. 1, Decreto 589 de 2016) </w:t>
      </w:r>
    </w:p>
    <w:p w14:paraId="31E1BBC1" w14:textId="77777777" w:rsidR="00B2442D" w:rsidRDefault="00B2442D">
      <w:pPr>
        <w:pStyle w:val="Prrafodelista"/>
        <w:ind w:left="0"/>
        <w:jc w:val="both"/>
        <w:rPr>
          <w:rFonts w:ascii="Arial" w:hAnsi="Arial" w:cs="Arial"/>
          <w:lang w:val="es-CO"/>
        </w:rPr>
      </w:pPr>
    </w:p>
    <w:p w14:paraId="3BECB10E" w14:textId="77777777" w:rsidR="00B2442D" w:rsidRDefault="008A645F">
      <w:pPr>
        <w:pStyle w:val="Prrafodelista"/>
        <w:numPr>
          <w:ilvl w:val="0"/>
          <w:numId w:val="104"/>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Declaración de los patrimonios autónomos con NIT independiente.</w:t>
      </w:r>
      <w:r>
        <w:rPr>
          <w:rFonts w:ascii="Arial" w:hAnsi="Arial" w:cs="Arial"/>
          <w:lang w:val="es-CO"/>
        </w:rPr>
        <w:t xml:space="preserve"> Las sociedades fi</w:t>
      </w:r>
      <w:r>
        <w:rPr>
          <w:rFonts w:ascii="Arial" w:hAnsi="Arial" w:cs="Arial"/>
          <w:lang w:val="es-CO"/>
        </w:rPr>
        <w:t>duciarias deberán presentar una declaración independiente por cada patrimonio autónomo con NIT independiente y suministrar la información que sobre los mismos le sea solicitada por la Unidad Administrativa Especial Dirección de Impuestos y Aduanas Nacional</w:t>
      </w:r>
      <w:r>
        <w:rPr>
          <w:rFonts w:ascii="Arial" w:hAnsi="Arial" w:cs="Arial"/>
          <w:lang w:val="es-CO"/>
        </w:rPr>
        <w:t>es - DIAN.</w:t>
      </w:r>
    </w:p>
    <w:p w14:paraId="02514D0B" w14:textId="77777777" w:rsidR="00B2442D" w:rsidRDefault="00B2442D">
      <w:pPr>
        <w:jc w:val="both"/>
        <w:rPr>
          <w:rFonts w:ascii="Arial" w:hAnsi="Arial" w:cs="Arial"/>
          <w:b/>
          <w:lang w:val="es-CO"/>
        </w:rPr>
      </w:pPr>
    </w:p>
    <w:p w14:paraId="04054224" w14:textId="77777777" w:rsidR="00B2442D" w:rsidRDefault="008A645F">
      <w:pPr>
        <w:jc w:val="both"/>
        <w:rPr>
          <w:rFonts w:ascii="Arial" w:hAnsi="Arial" w:cs="Arial"/>
          <w:i/>
          <w:lang w:val="es-CO"/>
        </w:rPr>
      </w:pPr>
      <w:r>
        <w:rPr>
          <w:rFonts w:ascii="Arial" w:hAnsi="Arial" w:cs="Arial"/>
          <w:i/>
          <w:lang w:val="es-CO"/>
        </w:rPr>
        <w:t xml:space="preserve">(Art. 2, Decreto 589 de 2016) </w:t>
      </w:r>
    </w:p>
    <w:p w14:paraId="58C719D3" w14:textId="77777777" w:rsidR="00B2442D" w:rsidRDefault="00B2442D">
      <w:pPr>
        <w:jc w:val="both"/>
        <w:rPr>
          <w:rFonts w:ascii="Arial" w:hAnsi="Arial" w:cs="Arial"/>
          <w:b/>
          <w:lang w:val="es-CO"/>
        </w:rPr>
      </w:pPr>
    </w:p>
    <w:p w14:paraId="69368DB4" w14:textId="77777777" w:rsidR="00B2442D" w:rsidRDefault="008A645F">
      <w:pPr>
        <w:pStyle w:val="Ttulo4"/>
        <w:rPr>
          <w:lang w:val="es-CO"/>
        </w:rPr>
      </w:pPr>
      <w:r>
        <w:rPr>
          <w:lang w:val="es-CO"/>
        </w:rPr>
        <w:t>CAPÍTULO 3</w:t>
      </w:r>
    </w:p>
    <w:p w14:paraId="6CE7300B" w14:textId="77777777" w:rsidR="00B2442D" w:rsidRDefault="008A645F">
      <w:pPr>
        <w:pStyle w:val="Ttulo4"/>
        <w:rPr>
          <w:lang w:val="es-CO"/>
        </w:rPr>
      </w:pPr>
      <w:r>
        <w:rPr>
          <w:lang w:val="es-CO"/>
        </w:rPr>
        <w:t>Firma electrónica</w:t>
      </w:r>
    </w:p>
    <w:p w14:paraId="7C2B0749" w14:textId="77777777" w:rsidR="00B2442D" w:rsidRDefault="00B2442D">
      <w:pPr>
        <w:rPr>
          <w:rFonts w:ascii="Arial" w:hAnsi="Arial" w:cs="Arial"/>
          <w:lang w:val="es-CO"/>
        </w:rPr>
      </w:pPr>
    </w:p>
    <w:p w14:paraId="19C36DF0" w14:textId="77777777" w:rsidR="00B2442D" w:rsidRDefault="008A645F">
      <w:pPr>
        <w:pStyle w:val="Prrafodelista"/>
        <w:numPr>
          <w:ilvl w:val="0"/>
          <w:numId w:val="105"/>
        </w:numPr>
        <w:ind w:left="0" w:firstLine="0"/>
        <w:jc w:val="both"/>
        <w:rPr>
          <w:rFonts w:ascii="Arial" w:hAnsi="Arial" w:cs="Arial"/>
          <w:lang w:val="es-CO"/>
        </w:rPr>
      </w:pPr>
      <w:r>
        <w:rPr>
          <w:rFonts w:ascii="Arial" w:hAnsi="Arial" w:cs="Arial"/>
          <w:b/>
          <w:i/>
          <w:lang w:val="es-CO"/>
        </w:rPr>
        <w:t>Firma electrónica.</w:t>
      </w:r>
      <w:r>
        <w:rPr>
          <w:rFonts w:ascii="Arial" w:hAnsi="Arial" w:cs="Arial"/>
          <w:lang w:val="es-CO"/>
        </w:rPr>
        <w:t xml:space="preserve"> El Director General de la Unidad Administrativa Especial Dirección de Impuestos y Aduanas Nacionales- DIAN, establecerá mediante resolución las personas naturales </w:t>
      </w:r>
      <w:r>
        <w:rPr>
          <w:rFonts w:ascii="Arial" w:hAnsi="Arial" w:cs="Arial"/>
          <w:lang w:val="es-CO"/>
        </w:rPr>
        <w:t>que podrán utilizar la firma electrónica de que trata este capítulo, para el cumplimiento de las obligaciones tributarias sustanciales y formales a través de los servicios informáticos electrónicos.</w:t>
      </w:r>
    </w:p>
    <w:p w14:paraId="795D51BF" w14:textId="77777777" w:rsidR="00B2442D" w:rsidRDefault="00B2442D">
      <w:pPr>
        <w:jc w:val="both"/>
        <w:rPr>
          <w:rFonts w:ascii="Arial" w:hAnsi="Arial" w:cs="Arial"/>
          <w:lang w:val="es-CO"/>
        </w:rPr>
      </w:pPr>
    </w:p>
    <w:p w14:paraId="0C160A1F" w14:textId="77777777" w:rsidR="00B2442D" w:rsidRDefault="008A645F">
      <w:pPr>
        <w:jc w:val="both"/>
        <w:rPr>
          <w:rFonts w:ascii="Arial" w:hAnsi="Arial" w:cs="Arial"/>
          <w:lang w:val="es-CO"/>
        </w:rPr>
      </w:pPr>
      <w:r>
        <w:rPr>
          <w:rFonts w:ascii="Arial" w:hAnsi="Arial" w:cs="Arial"/>
          <w:lang w:val="es-CO"/>
        </w:rPr>
        <w:t>La Unidad Administrativa Especial Dirección de Impuestos</w:t>
      </w:r>
      <w:r>
        <w:rPr>
          <w:rFonts w:ascii="Arial" w:hAnsi="Arial" w:cs="Arial"/>
          <w:lang w:val="es-CO"/>
        </w:rPr>
        <w:t xml:space="preserve"> y Aduanas Nacionales-DIAN, pondrá a disposición de los usuarios autorizados, el sistema de firma electrónica, sin uso de mecanismo digital (FESMD), el cual deberá cumplir los requisitos establecidos en los artículos 2.2.2.47.1 al 2.2.2.47.8 del Decreto 10</w:t>
      </w:r>
      <w:r>
        <w:rPr>
          <w:rFonts w:ascii="Arial" w:hAnsi="Arial" w:cs="Arial"/>
          <w:lang w:val="es-CO"/>
        </w:rPr>
        <w:t>74 de 2015.</w:t>
      </w:r>
    </w:p>
    <w:p w14:paraId="448EF2F2" w14:textId="77777777" w:rsidR="00B2442D" w:rsidRDefault="00B2442D">
      <w:pPr>
        <w:jc w:val="both"/>
        <w:rPr>
          <w:rFonts w:ascii="Arial" w:hAnsi="Arial" w:cs="Arial"/>
          <w:lang w:val="es-CO"/>
        </w:rPr>
      </w:pPr>
    </w:p>
    <w:p w14:paraId="3B0B03C8" w14:textId="77777777" w:rsidR="00B2442D" w:rsidRDefault="008A645F">
      <w:pPr>
        <w:jc w:val="both"/>
        <w:rPr>
          <w:rFonts w:ascii="Arial" w:hAnsi="Arial" w:cs="Arial"/>
          <w:i/>
          <w:lang w:val="es-CO"/>
        </w:rPr>
      </w:pPr>
      <w:r>
        <w:rPr>
          <w:rFonts w:ascii="Arial" w:hAnsi="Arial" w:cs="Arial"/>
          <w:i/>
          <w:lang w:val="es-CO"/>
        </w:rPr>
        <w:t>(Art. 1, Decreto 2926 de 2013)</w:t>
      </w:r>
    </w:p>
    <w:p w14:paraId="309CEFA4" w14:textId="77777777" w:rsidR="00B2442D" w:rsidRDefault="00B2442D">
      <w:pPr>
        <w:jc w:val="both"/>
        <w:rPr>
          <w:rFonts w:ascii="Arial" w:hAnsi="Arial" w:cs="Arial"/>
          <w:lang w:val="es-CO"/>
        </w:rPr>
      </w:pPr>
    </w:p>
    <w:p w14:paraId="0FA23435" w14:textId="77777777" w:rsidR="00B2442D" w:rsidRDefault="008A645F">
      <w:pPr>
        <w:pStyle w:val="Prrafodelista"/>
        <w:numPr>
          <w:ilvl w:val="0"/>
          <w:numId w:val="105"/>
        </w:numPr>
        <w:ind w:left="0" w:firstLine="0"/>
        <w:jc w:val="both"/>
        <w:rPr>
          <w:rFonts w:ascii="Arial" w:hAnsi="Arial" w:cs="Arial"/>
          <w:lang w:val="es-CO"/>
        </w:rPr>
      </w:pPr>
      <w:r>
        <w:rPr>
          <w:rFonts w:ascii="Arial" w:hAnsi="Arial" w:cs="Arial"/>
          <w:b/>
          <w:i/>
          <w:lang w:val="es-CO"/>
        </w:rPr>
        <w:t>Acuerdo.</w:t>
      </w:r>
      <w:r>
        <w:rPr>
          <w:rFonts w:ascii="Arial" w:hAnsi="Arial" w:cs="Arial"/>
          <w:lang w:val="es-CO"/>
        </w:rPr>
        <w:t xml:space="preserve"> Previo al uso de la firma electrónica, sin uso de mecanismo digital, el usuario deberá suscribir un documento de acuerdo, en el cual se definirán las reglas que regirán las comunicaciones electrónicas c</w:t>
      </w:r>
      <w:r>
        <w:rPr>
          <w:rFonts w:ascii="Arial" w:hAnsi="Arial" w:cs="Arial"/>
          <w:lang w:val="es-CO"/>
        </w:rPr>
        <w:t>onfiables entre el usuario y la Unidad Administrativa Especial Dirección de Impuestos y Aduanas Nacionales-DIAN.</w:t>
      </w:r>
    </w:p>
    <w:p w14:paraId="5CB98F9F" w14:textId="77777777" w:rsidR="00B2442D" w:rsidRDefault="00B2442D">
      <w:pPr>
        <w:jc w:val="both"/>
        <w:rPr>
          <w:rFonts w:ascii="Arial" w:hAnsi="Arial" w:cs="Arial"/>
          <w:lang w:val="es-CO"/>
        </w:rPr>
      </w:pPr>
    </w:p>
    <w:p w14:paraId="55C7B3B5" w14:textId="77777777" w:rsidR="00B2442D" w:rsidRDefault="008A645F">
      <w:pPr>
        <w:jc w:val="both"/>
        <w:rPr>
          <w:rFonts w:ascii="Arial" w:hAnsi="Arial" w:cs="Arial"/>
          <w:lang w:val="es-CO"/>
        </w:rPr>
      </w:pPr>
      <w:r>
        <w:rPr>
          <w:rFonts w:ascii="Arial" w:hAnsi="Arial" w:cs="Arial"/>
          <w:lang w:val="es-CO"/>
        </w:rPr>
        <w:t xml:space="preserve">Al momento de suscribir el acuerdo el usuario deberá proporcionar la información que permita desarrollar los mecanismos de </w:t>
      </w:r>
      <w:r>
        <w:rPr>
          <w:rFonts w:ascii="Arial" w:hAnsi="Arial" w:cs="Arial"/>
          <w:lang w:val="es-CO"/>
        </w:rPr>
        <w:t>autenticación que la Unidad Administrativa Especial Dirección de Impuestos y Aduanas Nacionales-DIAN usará como medio de identificación.</w:t>
      </w:r>
    </w:p>
    <w:p w14:paraId="694604A3" w14:textId="77777777" w:rsidR="00B2442D" w:rsidRDefault="00B2442D">
      <w:pPr>
        <w:jc w:val="both"/>
        <w:rPr>
          <w:rFonts w:ascii="Arial" w:hAnsi="Arial" w:cs="Arial"/>
          <w:lang w:val="es-CO"/>
        </w:rPr>
      </w:pPr>
    </w:p>
    <w:p w14:paraId="3E2CD1E8" w14:textId="77777777" w:rsidR="00B2442D" w:rsidRDefault="008A645F">
      <w:pPr>
        <w:jc w:val="both"/>
        <w:rPr>
          <w:rFonts w:ascii="Arial" w:hAnsi="Arial" w:cs="Arial"/>
          <w:i/>
          <w:lang w:val="es-CO"/>
        </w:rPr>
      </w:pPr>
      <w:r>
        <w:rPr>
          <w:rFonts w:ascii="Arial" w:hAnsi="Arial" w:cs="Arial"/>
          <w:i/>
          <w:lang w:val="es-CO"/>
        </w:rPr>
        <w:t>(Art. 2, Decreto 2926 de 2013)</w:t>
      </w:r>
    </w:p>
    <w:p w14:paraId="587D9250" w14:textId="77777777" w:rsidR="00B2442D" w:rsidRDefault="00B2442D">
      <w:pPr>
        <w:jc w:val="both"/>
        <w:rPr>
          <w:rFonts w:ascii="Arial" w:hAnsi="Arial" w:cs="Arial"/>
          <w:lang w:val="es-CO"/>
        </w:rPr>
      </w:pPr>
    </w:p>
    <w:p w14:paraId="6462E984" w14:textId="77777777" w:rsidR="00B2442D" w:rsidRDefault="008A645F">
      <w:pPr>
        <w:pStyle w:val="Prrafodelista"/>
        <w:numPr>
          <w:ilvl w:val="0"/>
          <w:numId w:val="105"/>
        </w:numPr>
        <w:ind w:left="0" w:firstLine="0"/>
        <w:jc w:val="both"/>
        <w:rPr>
          <w:rFonts w:ascii="Arial" w:hAnsi="Arial" w:cs="Arial"/>
          <w:lang w:val="es-CO"/>
        </w:rPr>
      </w:pPr>
      <w:r>
        <w:rPr>
          <w:rFonts w:ascii="Arial" w:hAnsi="Arial" w:cs="Arial"/>
          <w:b/>
          <w:i/>
          <w:lang w:val="es-CO"/>
        </w:rPr>
        <w:t>Validez.</w:t>
      </w:r>
      <w:r>
        <w:rPr>
          <w:rFonts w:ascii="Arial" w:hAnsi="Arial" w:cs="Arial"/>
          <w:lang w:val="es-CO"/>
        </w:rPr>
        <w:t xml:space="preserve"> La firma electrónica a que se refiere el presente decreto, tendrá la misma va</w:t>
      </w:r>
      <w:r>
        <w:rPr>
          <w:rFonts w:ascii="Arial" w:hAnsi="Arial" w:cs="Arial"/>
          <w:lang w:val="es-CO"/>
        </w:rPr>
        <w:t>lidez y efectos jurídicos de la firma autógrafa.</w:t>
      </w:r>
    </w:p>
    <w:p w14:paraId="41A560B8" w14:textId="77777777" w:rsidR="00B2442D" w:rsidRDefault="00B2442D">
      <w:pPr>
        <w:jc w:val="both"/>
        <w:rPr>
          <w:rFonts w:ascii="Arial" w:hAnsi="Arial" w:cs="Arial"/>
          <w:lang w:val="es-CO"/>
        </w:rPr>
      </w:pPr>
    </w:p>
    <w:p w14:paraId="007C3EAD" w14:textId="77777777" w:rsidR="00B2442D" w:rsidRDefault="008A645F">
      <w:pPr>
        <w:jc w:val="both"/>
        <w:rPr>
          <w:rFonts w:ascii="Arial" w:hAnsi="Arial" w:cs="Arial"/>
          <w:i/>
          <w:lang w:val="es-CO"/>
        </w:rPr>
      </w:pPr>
      <w:r>
        <w:rPr>
          <w:rFonts w:ascii="Arial" w:hAnsi="Arial" w:cs="Arial"/>
          <w:i/>
          <w:lang w:val="es-CO"/>
        </w:rPr>
        <w:t>(Art. 3, Decreto 2926 de 2013)</w:t>
      </w:r>
    </w:p>
    <w:p w14:paraId="397D1F6E" w14:textId="77777777" w:rsidR="00B2442D" w:rsidRDefault="00B2442D">
      <w:pPr>
        <w:jc w:val="both"/>
        <w:rPr>
          <w:rFonts w:ascii="Arial" w:hAnsi="Arial" w:cs="Arial"/>
          <w:i/>
          <w:lang w:val="es-CO"/>
        </w:rPr>
      </w:pPr>
    </w:p>
    <w:p w14:paraId="102B9BBA" w14:textId="77777777" w:rsidR="00B2442D" w:rsidRDefault="008A645F">
      <w:pPr>
        <w:pStyle w:val="Ttulo4"/>
      </w:pPr>
      <w:r>
        <w:t>CAPÍTULO 4</w:t>
      </w:r>
    </w:p>
    <w:p w14:paraId="7401E890" w14:textId="77777777" w:rsidR="00B2442D" w:rsidRDefault="008A645F">
      <w:pPr>
        <w:pStyle w:val="Ttulo4"/>
      </w:pPr>
      <w:r>
        <w:t>Facturación</w:t>
      </w:r>
    </w:p>
    <w:p w14:paraId="0843CCC9" w14:textId="77777777" w:rsidR="00B2442D" w:rsidRDefault="00B2442D">
      <w:pPr>
        <w:rPr>
          <w:rFonts w:ascii="Arial" w:hAnsi="Arial" w:cs="Arial"/>
        </w:rPr>
      </w:pPr>
    </w:p>
    <w:p w14:paraId="2C13E0DC"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Obligación de facturar.</w:t>
      </w:r>
      <w:r>
        <w:rPr>
          <w:rFonts w:ascii="Arial" w:hAnsi="Arial" w:cs="Arial"/>
          <w:lang w:val="es-CO"/>
        </w:rPr>
        <w:t xml:space="preserve"> Sin perjuicio de lo señalado en el artículo 511 del Estatuto Tributario, también están obligados a expedir factura o documento equivalente por cada una de la operaciones que realicen, todas las personas o entidades que tengan la calidad de comerciantes, e</w:t>
      </w:r>
      <w:r>
        <w:rPr>
          <w:rFonts w:ascii="Arial" w:hAnsi="Arial" w:cs="Arial"/>
          <w:lang w:val="es-CO"/>
        </w:rPr>
        <w:t>jerzan profesiones liberales o presten servicios inherentes a estas, o enajenen bienes producto de la actividad agrícola o ganadera, independientemente de su calidad de contribuyentes o no contribuyentes de los impuestos administrados por la Unidad Adminis</w:t>
      </w:r>
      <w:r>
        <w:rPr>
          <w:rFonts w:ascii="Arial" w:hAnsi="Arial" w:cs="Arial"/>
          <w:lang w:val="es-CO"/>
        </w:rPr>
        <w:t>trativa Especial Dirección de Impuestos y Aduanas Nacionales - DIAN.</w:t>
      </w:r>
    </w:p>
    <w:p w14:paraId="11A62759" w14:textId="77777777" w:rsidR="00B2442D" w:rsidRDefault="00B2442D">
      <w:pPr>
        <w:jc w:val="both"/>
        <w:rPr>
          <w:rFonts w:ascii="Arial" w:hAnsi="Arial" w:cs="Arial"/>
          <w:i/>
          <w:lang w:val="es-CO"/>
        </w:rPr>
      </w:pPr>
    </w:p>
    <w:p w14:paraId="2E40497D" w14:textId="77777777" w:rsidR="00B2442D" w:rsidRDefault="008A645F">
      <w:pPr>
        <w:jc w:val="both"/>
        <w:rPr>
          <w:rFonts w:ascii="Arial" w:hAnsi="Arial" w:cs="Arial"/>
          <w:i/>
          <w:lang w:val="es-CO"/>
        </w:rPr>
      </w:pPr>
      <w:r>
        <w:rPr>
          <w:rFonts w:ascii="Arial" w:hAnsi="Arial" w:cs="Arial"/>
          <w:i/>
          <w:lang w:val="es-CO"/>
        </w:rPr>
        <w:t>(Art. 1, Decreto 1165 de 1996)</w:t>
      </w:r>
      <w:r>
        <w:rPr>
          <w:rFonts w:ascii="Arial" w:hAnsi="Arial" w:cs="Arial"/>
          <w:lang w:val="es-CO"/>
        </w:rPr>
        <w:t xml:space="preserve"> </w:t>
      </w:r>
      <w:r>
        <w:rPr>
          <w:rFonts w:ascii="Arial" w:hAnsi="Arial" w:cs="Arial"/>
          <w:i/>
          <w:lang w:val="es-CO"/>
        </w:rPr>
        <w:t>( El Decreto 1165 de 1996 rige a partir de su expedición y deroga las normas que le sean contrarias, en especial las siguientes: artículos 4° y 7° del Decr</w:t>
      </w:r>
      <w:r>
        <w:rPr>
          <w:rFonts w:ascii="Arial" w:hAnsi="Arial" w:cs="Arial"/>
          <w:i/>
          <w:lang w:val="es-CO"/>
        </w:rPr>
        <w:t>eto 422 de 1991; artículos 21, 22, 23 del Decreto 836 de 1991 y artículo 39 del Decreto 2076 de 1992. Art. 15, Decreto 1165 de 1996)</w:t>
      </w:r>
    </w:p>
    <w:p w14:paraId="7350172D" w14:textId="77777777" w:rsidR="00B2442D" w:rsidRDefault="00B2442D">
      <w:pPr>
        <w:jc w:val="both"/>
        <w:rPr>
          <w:rFonts w:ascii="Arial" w:hAnsi="Arial" w:cs="Arial"/>
          <w:b/>
          <w:lang w:val="es-CO"/>
        </w:rPr>
      </w:pPr>
    </w:p>
    <w:p w14:paraId="62960039"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No obligados a facturar.</w:t>
      </w:r>
      <w:r>
        <w:rPr>
          <w:rFonts w:ascii="Arial" w:hAnsi="Arial" w:cs="Arial"/>
          <w:b/>
          <w:lang w:val="es-CO"/>
        </w:rPr>
        <w:t xml:space="preserve"> </w:t>
      </w:r>
      <w:r>
        <w:rPr>
          <w:rFonts w:ascii="Arial" w:hAnsi="Arial" w:cs="Arial"/>
          <w:lang w:val="es-CO"/>
        </w:rPr>
        <w:t xml:space="preserve">No se encuentran obligados a expedir factura en sus operaciones: </w:t>
      </w:r>
    </w:p>
    <w:p w14:paraId="2F9373AF" w14:textId="77777777" w:rsidR="00B2442D" w:rsidRDefault="008A645F">
      <w:pPr>
        <w:jc w:val="both"/>
        <w:rPr>
          <w:rFonts w:ascii="Arial" w:hAnsi="Arial" w:cs="Arial"/>
          <w:lang w:val="es-CO"/>
        </w:rPr>
      </w:pPr>
      <w:r>
        <w:rPr>
          <w:rFonts w:ascii="Arial" w:hAnsi="Arial" w:cs="Arial"/>
          <w:lang w:val="es-CO"/>
        </w:rPr>
        <w:t xml:space="preserve"> </w:t>
      </w:r>
    </w:p>
    <w:p w14:paraId="46C9C668" w14:textId="77777777" w:rsidR="00B2442D" w:rsidRDefault="008A645F">
      <w:pPr>
        <w:ind w:left="284" w:hanging="284"/>
        <w:jc w:val="both"/>
        <w:rPr>
          <w:rFonts w:ascii="Arial" w:hAnsi="Arial" w:cs="Arial"/>
          <w:lang w:val="es-CO"/>
        </w:rPr>
      </w:pPr>
      <w:r>
        <w:rPr>
          <w:rFonts w:ascii="Arial" w:hAnsi="Arial" w:cs="Arial"/>
          <w:lang w:val="es-CO"/>
        </w:rPr>
        <w:t>a) Los Bancos, las Corporacio</w:t>
      </w:r>
      <w:r>
        <w:rPr>
          <w:rFonts w:ascii="Arial" w:hAnsi="Arial" w:cs="Arial"/>
          <w:lang w:val="es-CO"/>
        </w:rPr>
        <w:t xml:space="preserve">nes Financieras y las Compañías de Financiamiento; </w:t>
      </w:r>
    </w:p>
    <w:p w14:paraId="45CD68B6" w14:textId="77777777" w:rsidR="00B2442D" w:rsidRDefault="00B2442D">
      <w:pPr>
        <w:ind w:left="284" w:hanging="284"/>
        <w:jc w:val="both"/>
        <w:rPr>
          <w:rFonts w:ascii="Arial" w:hAnsi="Arial" w:cs="Arial"/>
          <w:lang w:val="es-CO"/>
        </w:rPr>
      </w:pPr>
    </w:p>
    <w:p w14:paraId="7436DB4A" w14:textId="77777777" w:rsidR="00B2442D" w:rsidRDefault="008A645F">
      <w:pPr>
        <w:ind w:left="284" w:hanging="284"/>
        <w:jc w:val="both"/>
        <w:rPr>
          <w:rFonts w:ascii="Arial" w:hAnsi="Arial" w:cs="Arial"/>
          <w:lang w:val="es-CO"/>
        </w:rPr>
      </w:pPr>
      <w:r>
        <w:rPr>
          <w:rFonts w:ascii="Arial" w:hAnsi="Arial" w:cs="Arial"/>
          <w:lang w:val="es-CO"/>
        </w:rPr>
        <w:t>b) Las Cooperativas de Ahorro y Crédito, los Organismos Cooperativos de grado superior, las Instituciones Auxiliares del Cooperativismo, las Cooperativas Multiactivas e Integrales, y los Fondos de Emplea</w:t>
      </w:r>
      <w:r>
        <w:rPr>
          <w:rFonts w:ascii="Arial" w:hAnsi="Arial" w:cs="Arial"/>
          <w:lang w:val="es-CO"/>
        </w:rPr>
        <w:t xml:space="preserve">dos, en relación con las operaciones financieras que realicen tales entidades; </w:t>
      </w:r>
    </w:p>
    <w:p w14:paraId="7787A987" w14:textId="77777777" w:rsidR="00B2442D" w:rsidRDefault="00B2442D">
      <w:pPr>
        <w:ind w:left="284" w:hanging="284"/>
        <w:jc w:val="both"/>
        <w:rPr>
          <w:rFonts w:ascii="Arial" w:hAnsi="Arial" w:cs="Arial"/>
          <w:lang w:val="es-CO"/>
        </w:rPr>
      </w:pPr>
    </w:p>
    <w:p w14:paraId="2A7FA5CB" w14:textId="77777777" w:rsidR="00B2442D" w:rsidRDefault="008A645F">
      <w:pPr>
        <w:ind w:left="284" w:hanging="284"/>
        <w:jc w:val="both"/>
        <w:rPr>
          <w:rFonts w:ascii="Arial" w:hAnsi="Arial" w:cs="Arial"/>
          <w:lang w:val="es-CO"/>
        </w:rPr>
      </w:pPr>
      <w:r>
        <w:rPr>
          <w:rFonts w:ascii="Arial" w:hAnsi="Arial" w:cs="Arial"/>
          <w:lang w:val="es-CO"/>
        </w:rPr>
        <w:t xml:space="preserve">c) Los responsables del régimen simplificado; </w:t>
      </w:r>
    </w:p>
    <w:p w14:paraId="7E08190F" w14:textId="77777777" w:rsidR="00B2442D" w:rsidRDefault="00B2442D">
      <w:pPr>
        <w:ind w:left="284" w:hanging="284"/>
        <w:jc w:val="both"/>
        <w:rPr>
          <w:rFonts w:ascii="Arial" w:hAnsi="Arial" w:cs="Arial"/>
          <w:lang w:val="es-CO"/>
        </w:rPr>
      </w:pPr>
    </w:p>
    <w:p w14:paraId="17B65D1F" w14:textId="77777777" w:rsidR="00B2442D" w:rsidRDefault="008A645F">
      <w:pPr>
        <w:ind w:left="284" w:hanging="284"/>
        <w:jc w:val="both"/>
        <w:rPr>
          <w:rFonts w:ascii="Arial" w:hAnsi="Arial" w:cs="Arial"/>
          <w:lang w:val="es-CO"/>
        </w:rPr>
      </w:pPr>
      <w:r>
        <w:rPr>
          <w:rFonts w:ascii="Arial" w:hAnsi="Arial" w:cs="Arial"/>
          <w:lang w:val="es-CO"/>
        </w:rPr>
        <w:t xml:space="preserve">d) Los distribuidores minoristas de combustibles derivados del petróleo y gas natural comprimido, en lo referente a estos productos; </w:t>
      </w:r>
    </w:p>
    <w:p w14:paraId="4A1F2DBA" w14:textId="77777777" w:rsidR="00B2442D" w:rsidRDefault="00B2442D">
      <w:pPr>
        <w:ind w:left="284" w:hanging="284"/>
        <w:jc w:val="both"/>
        <w:rPr>
          <w:rFonts w:ascii="Arial" w:hAnsi="Arial" w:cs="Arial"/>
          <w:lang w:val="es-CO"/>
        </w:rPr>
      </w:pPr>
    </w:p>
    <w:p w14:paraId="292A0CA4" w14:textId="77777777" w:rsidR="00B2442D" w:rsidRDefault="008A645F">
      <w:pPr>
        <w:ind w:left="284" w:hanging="284"/>
        <w:jc w:val="both"/>
        <w:rPr>
          <w:rFonts w:ascii="Arial" w:hAnsi="Arial" w:cs="Arial"/>
          <w:lang w:val="es-CO"/>
        </w:rPr>
      </w:pPr>
      <w:r>
        <w:rPr>
          <w:rFonts w:ascii="Arial" w:hAnsi="Arial" w:cs="Arial"/>
          <w:lang w:val="es-CO"/>
        </w:rPr>
        <w:t xml:space="preserve">e) Las empresas que presten el servicio de transporte público urbano o metropolitano de pasajeros, en relación con estas </w:t>
      </w:r>
      <w:r>
        <w:rPr>
          <w:rFonts w:ascii="Arial" w:hAnsi="Arial" w:cs="Arial"/>
          <w:lang w:val="es-CO"/>
        </w:rPr>
        <w:t xml:space="preserve">actividades; </w:t>
      </w:r>
    </w:p>
    <w:p w14:paraId="4D33C1C6" w14:textId="77777777" w:rsidR="00B2442D" w:rsidRDefault="00B2442D">
      <w:pPr>
        <w:ind w:left="284" w:hanging="284"/>
        <w:jc w:val="both"/>
        <w:rPr>
          <w:rFonts w:ascii="Arial" w:hAnsi="Arial" w:cs="Arial"/>
          <w:lang w:val="es-CO"/>
        </w:rPr>
      </w:pPr>
    </w:p>
    <w:p w14:paraId="559DACBC" w14:textId="77777777" w:rsidR="00B2442D" w:rsidRDefault="008A645F">
      <w:pPr>
        <w:ind w:left="284" w:hanging="284"/>
        <w:jc w:val="both"/>
        <w:rPr>
          <w:rFonts w:ascii="Arial" w:hAnsi="Arial" w:cs="Arial"/>
          <w:lang w:val="es-CO"/>
        </w:rPr>
      </w:pPr>
      <w:r>
        <w:rPr>
          <w:rFonts w:ascii="Arial" w:hAnsi="Arial" w:cs="Arial"/>
          <w:lang w:val="es-CO"/>
        </w:rPr>
        <w:t xml:space="preserve">f) Quienes presten servicios de baños públicos, en relación con esta actividad; </w:t>
      </w:r>
    </w:p>
    <w:p w14:paraId="1CF8800A" w14:textId="77777777" w:rsidR="00B2442D" w:rsidRDefault="00B2442D">
      <w:pPr>
        <w:ind w:left="284" w:hanging="284"/>
        <w:jc w:val="both"/>
        <w:rPr>
          <w:rFonts w:ascii="Arial" w:hAnsi="Arial" w:cs="Arial"/>
          <w:lang w:val="es-CO"/>
        </w:rPr>
      </w:pPr>
    </w:p>
    <w:p w14:paraId="0454CE03" w14:textId="77777777" w:rsidR="00B2442D" w:rsidRDefault="008A645F">
      <w:pPr>
        <w:ind w:left="284" w:hanging="284"/>
        <w:jc w:val="both"/>
        <w:rPr>
          <w:rFonts w:ascii="Arial" w:hAnsi="Arial" w:cs="Arial"/>
          <w:lang w:val="es-CO"/>
        </w:rPr>
      </w:pPr>
      <w:r>
        <w:rPr>
          <w:rFonts w:ascii="Arial" w:hAnsi="Arial" w:cs="Arial"/>
          <w:lang w:val="es-CO"/>
        </w:rPr>
        <w:t xml:space="preserve">g) Las personas naturales vinculadas por una relación laboral o legal y reglamentaria, en relación con esta actividad; </w:t>
      </w:r>
    </w:p>
    <w:p w14:paraId="446FFC6A" w14:textId="77777777" w:rsidR="00B2442D" w:rsidRDefault="00B2442D">
      <w:pPr>
        <w:ind w:left="284" w:hanging="284"/>
        <w:jc w:val="both"/>
        <w:rPr>
          <w:rFonts w:ascii="Arial" w:hAnsi="Arial" w:cs="Arial"/>
          <w:lang w:val="es-CO"/>
        </w:rPr>
      </w:pPr>
    </w:p>
    <w:p w14:paraId="1733589C" w14:textId="77777777" w:rsidR="00B2442D" w:rsidRDefault="008A645F">
      <w:pPr>
        <w:ind w:left="284" w:hanging="284"/>
        <w:jc w:val="both"/>
        <w:rPr>
          <w:rFonts w:ascii="Arial" w:hAnsi="Arial" w:cs="Arial"/>
          <w:lang w:val="es-CO"/>
        </w:rPr>
      </w:pPr>
      <w:r>
        <w:rPr>
          <w:rFonts w:ascii="Arial" w:hAnsi="Arial" w:cs="Arial"/>
          <w:lang w:val="es-CO"/>
        </w:rPr>
        <w:t>h) Las personas naturales que únicamen</w:t>
      </w:r>
      <w:r>
        <w:rPr>
          <w:rFonts w:ascii="Arial" w:hAnsi="Arial" w:cs="Arial"/>
          <w:lang w:val="es-CO"/>
        </w:rPr>
        <w:t xml:space="preserve">te vendan excluidos del impuesto sobre las ventas o presten servicios no gravados, siempre y cuando no sobrepasen los topes de ingresos y patrimonio exigidos a los responsables del régimen simplificado. </w:t>
      </w:r>
    </w:p>
    <w:p w14:paraId="27DB13F1" w14:textId="77777777" w:rsidR="00B2442D" w:rsidRDefault="00B2442D">
      <w:pPr>
        <w:jc w:val="both"/>
        <w:rPr>
          <w:rFonts w:ascii="Arial" w:hAnsi="Arial" w:cs="Arial"/>
          <w:lang w:val="es-CO"/>
        </w:rPr>
      </w:pPr>
    </w:p>
    <w:p w14:paraId="1A98D20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personas no obligadas a expedir f</w:t>
      </w:r>
      <w:r>
        <w:rPr>
          <w:rFonts w:ascii="Arial" w:hAnsi="Arial" w:cs="Arial"/>
          <w:lang w:val="es-CO"/>
        </w:rPr>
        <w:t xml:space="preserve">actura o documento equivalente, si optan por expedirlos, deberán hacerlo cumpliendo los requisitos señalados para cada documento, según el caso. </w:t>
      </w:r>
    </w:p>
    <w:p w14:paraId="73BE2956" w14:textId="77777777" w:rsidR="00B2442D" w:rsidRDefault="008A645F">
      <w:pPr>
        <w:jc w:val="both"/>
        <w:rPr>
          <w:rFonts w:ascii="Arial" w:hAnsi="Arial" w:cs="Arial"/>
          <w:lang w:val="es-CO"/>
        </w:rPr>
      </w:pPr>
      <w:r>
        <w:rPr>
          <w:rFonts w:ascii="Arial" w:hAnsi="Arial" w:cs="Arial"/>
          <w:lang w:val="es-CO"/>
        </w:rPr>
        <w:t xml:space="preserve"> </w:t>
      </w:r>
    </w:p>
    <w:p w14:paraId="6144BD6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tipógrafos y litógrafos que pertenezcan al régimen simplificado del impuesto sobre las ven</w:t>
      </w:r>
      <w:r>
        <w:rPr>
          <w:rFonts w:ascii="Arial" w:hAnsi="Arial" w:cs="Arial"/>
          <w:lang w:val="es-CO"/>
        </w:rPr>
        <w:t>tas, deberán expedir factura por el servicio prestado, de conformidad con lo previsto en el artículo 618-2 del Estatuto Tributario.</w:t>
      </w:r>
    </w:p>
    <w:p w14:paraId="25240219" w14:textId="77777777" w:rsidR="00B2442D" w:rsidRDefault="00B2442D">
      <w:pPr>
        <w:jc w:val="both"/>
        <w:rPr>
          <w:rFonts w:ascii="Arial" w:hAnsi="Arial" w:cs="Arial"/>
          <w:i/>
        </w:rPr>
      </w:pPr>
    </w:p>
    <w:p w14:paraId="71714A74" w14:textId="77777777" w:rsidR="00B2442D" w:rsidRDefault="008A645F">
      <w:pPr>
        <w:jc w:val="both"/>
        <w:rPr>
          <w:rFonts w:ascii="Arial" w:hAnsi="Arial" w:cs="Arial"/>
          <w:i/>
        </w:rPr>
      </w:pPr>
      <w:r>
        <w:rPr>
          <w:rFonts w:ascii="Arial" w:hAnsi="Arial" w:cs="Arial"/>
          <w:i/>
        </w:rPr>
        <w:t>(Art. 2, Decreto 1001 de 1997. La expresión “sin perjuicio de lo previsto en el artículo anterior,”, derogada por el art. 1</w:t>
      </w:r>
      <w:r>
        <w:rPr>
          <w:rFonts w:ascii="Arial" w:hAnsi="Arial" w:cs="Arial"/>
          <w:i/>
        </w:rPr>
        <w:t xml:space="preserve"> del Decreto 1001 de 1997) (El Decreto 1001 de 1997 rige a partir de su publicación y deroga las disposiciones que le sean contrarias, en especial los artículos 3°; el numeral 7 del artículo 5° y el 10 del Decreto 1165 de 1996, y el artículo 33 del Decreto</w:t>
      </w:r>
      <w:r>
        <w:rPr>
          <w:rFonts w:ascii="Arial" w:hAnsi="Arial" w:cs="Arial"/>
          <w:i/>
        </w:rPr>
        <w:t xml:space="preserve"> 1813 de 1984. Art. 19, Decreto 1001 de 1997)</w:t>
      </w:r>
    </w:p>
    <w:p w14:paraId="22422806" w14:textId="77777777" w:rsidR="00B2442D" w:rsidRDefault="00B2442D">
      <w:pPr>
        <w:jc w:val="both"/>
        <w:rPr>
          <w:rFonts w:ascii="Arial" w:hAnsi="Arial" w:cs="Arial"/>
        </w:rPr>
      </w:pPr>
    </w:p>
    <w:p w14:paraId="5F062699"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Facturación en mandato.</w:t>
      </w:r>
      <w:r>
        <w:rPr>
          <w:rFonts w:ascii="Arial" w:hAnsi="Arial" w:cs="Arial"/>
          <w:lang w:val="es-CO"/>
        </w:rPr>
        <w:t xml:space="preserve"> En los contratos de mandato, las facturas deberán ser expedidas en todos los casos por el mandatario. </w:t>
      </w:r>
    </w:p>
    <w:p w14:paraId="0A03B32C" w14:textId="77777777" w:rsidR="00B2442D" w:rsidRDefault="008A645F">
      <w:pPr>
        <w:jc w:val="both"/>
        <w:rPr>
          <w:rFonts w:ascii="Arial" w:hAnsi="Arial" w:cs="Arial"/>
          <w:lang w:val="es-CO"/>
        </w:rPr>
      </w:pPr>
      <w:r>
        <w:rPr>
          <w:rFonts w:ascii="Arial" w:hAnsi="Arial" w:cs="Arial"/>
          <w:lang w:val="es-CO"/>
        </w:rPr>
        <w:t xml:space="preserve"> </w:t>
      </w:r>
    </w:p>
    <w:p w14:paraId="4AFD4E90" w14:textId="77777777" w:rsidR="00B2442D" w:rsidRDefault="008A645F">
      <w:pPr>
        <w:jc w:val="both"/>
        <w:rPr>
          <w:rFonts w:ascii="Arial" w:hAnsi="Arial" w:cs="Arial"/>
          <w:lang w:val="es-CO"/>
        </w:rPr>
      </w:pPr>
      <w:r>
        <w:rPr>
          <w:rFonts w:ascii="Arial" w:hAnsi="Arial" w:cs="Arial"/>
          <w:lang w:val="es-CO"/>
        </w:rPr>
        <w:t>Si el mandatario adquiere bienes o servicios en cumplimiento del mandato, la fac</w:t>
      </w:r>
      <w:r>
        <w:rPr>
          <w:rFonts w:ascii="Arial" w:hAnsi="Arial" w:cs="Arial"/>
          <w:lang w:val="es-CO"/>
        </w:rPr>
        <w:t xml:space="preserve">tura deberá ser expedida a nombre del mandatario. </w:t>
      </w:r>
    </w:p>
    <w:p w14:paraId="72BBD143" w14:textId="77777777" w:rsidR="00B2442D" w:rsidRDefault="008A645F">
      <w:pPr>
        <w:jc w:val="both"/>
        <w:rPr>
          <w:rFonts w:ascii="Arial" w:hAnsi="Arial" w:cs="Arial"/>
          <w:lang w:val="es-CO"/>
        </w:rPr>
      </w:pPr>
      <w:r>
        <w:rPr>
          <w:rFonts w:ascii="Arial" w:hAnsi="Arial" w:cs="Arial"/>
          <w:lang w:val="es-CO"/>
        </w:rPr>
        <w:t xml:space="preserve"> </w:t>
      </w:r>
    </w:p>
    <w:p w14:paraId="2A57E736" w14:textId="77777777" w:rsidR="00B2442D" w:rsidRDefault="008A645F">
      <w:pPr>
        <w:jc w:val="both"/>
        <w:rPr>
          <w:rFonts w:ascii="Arial" w:hAnsi="Arial" w:cs="Arial"/>
          <w:lang w:val="es-CO"/>
        </w:rPr>
      </w:pPr>
      <w:r>
        <w:rPr>
          <w:rFonts w:ascii="Arial" w:hAnsi="Arial" w:cs="Arial"/>
          <w:lang w:val="es-CO"/>
        </w:rPr>
        <w:t xml:space="preserve">Para efectos de soportar los respectivos costos, deducciones o impuestos descontables, o devoluciones a que tenga derecho el mandante, el mandatario deberá expedir al mandante una certificación donde se </w:t>
      </w:r>
      <w:r>
        <w:rPr>
          <w:rFonts w:ascii="Arial" w:hAnsi="Arial" w:cs="Arial"/>
          <w:lang w:val="es-CO"/>
        </w:rPr>
        <w:t xml:space="preserve">consigne la cuantía y concepto de estos, la cual debe ser avalada por contador público o revisor fiscal, según las disposiciones legales vigentes sobre la materia. </w:t>
      </w:r>
    </w:p>
    <w:p w14:paraId="094DBD71" w14:textId="77777777" w:rsidR="00B2442D" w:rsidRDefault="00B2442D">
      <w:pPr>
        <w:jc w:val="both"/>
        <w:rPr>
          <w:rFonts w:ascii="Arial" w:hAnsi="Arial" w:cs="Arial"/>
          <w:lang w:val="es-CO"/>
        </w:rPr>
      </w:pPr>
    </w:p>
    <w:p w14:paraId="06693BB8" w14:textId="77777777" w:rsidR="00B2442D" w:rsidRDefault="008A645F">
      <w:pPr>
        <w:jc w:val="both"/>
        <w:rPr>
          <w:rFonts w:ascii="Arial" w:hAnsi="Arial" w:cs="Arial"/>
          <w:lang w:val="es-CO"/>
        </w:rPr>
      </w:pPr>
      <w:r>
        <w:rPr>
          <w:rFonts w:ascii="Arial" w:hAnsi="Arial" w:cs="Arial"/>
          <w:lang w:val="es-CO"/>
        </w:rPr>
        <w:t xml:space="preserve">En el caso de devoluciones se adjuntará además una copia del contrato de mandato. </w:t>
      </w:r>
    </w:p>
    <w:p w14:paraId="0E24C702" w14:textId="77777777" w:rsidR="00B2442D" w:rsidRDefault="008A645F">
      <w:pPr>
        <w:jc w:val="both"/>
        <w:rPr>
          <w:rFonts w:ascii="Arial" w:hAnsi="Arial" w:cs="Arial"/>
          <w:lang w:val="es-CO"/>
        </w:rPr>
      </w:pPr>
      <w:r>
        <w:rPr>
          <w:rFonts w:ascii="Arial" w:hAnsi="Arial" w:cs="Arial"/>
          <w:lang w:val="es-CO"/>
        </w:rPr>
        <w:t xml:space="preserve"> </w:t>
      </w:r>
    </w:p>
    <w:p w14:paraId="33F33DF1" w14:textId="77777777" w:rsidR="00B2442D" w:rsidRDefault="008A645F">
      <w:pPr>
        <w:jc w:val="both"/>
        <w:rPr>
          <w:rFonts w:ascii="Arial" w:hAnsi="Arial" w:cs="Arial"/>
          <w:lang w:val="es-CO"/>
        </w:rPr>
      </w:pPr>
      <w:r>
        <w:rPr>
          <w:rFonts w:ascii="Arial" w:hAnsi="Arial" w:cs="Arial"/>
          <w:lang w:val="es-CO"/>
        </w:rPr>
        <w:t xml:space="preserve">El </w:t>
      </w:r>
      <w:r>
        <w:rPr>
          <w:rFonts w:ascii="Arial" w:hAnsi="Arial" w:cs="Arial"/>
          <w:lang w:val="es-CO"/>
        </w:rPr>
        <w:t>mandatario deberá conservar por el término señalado en el Estatuto Tributario, las facturas y demás documentos comerciales que soporten las operaciones que realizó por orden del mandante.</w:t>
      </w:r>
    </w:p>
    <w:p w14:paraId="159C1275" w14:textId="77777777" w:rsidR="00B2442D" w:rsidRDefault="00B2442D">
      <w:pPr>
        <w:jc w:val="both"/>
        <w:rPr>
          <w:rFonts w:ascii="Arial" w:hAnsi="Arial" w:cs="Arial"/>
          <w:i/>
          <w:lang w:val="es-CO"/>
        </w:rPr>
      </w:pPr>
    </w:p>
    <w:p w14:paraId="1F7CC60F" w14:textId="77777777" w:rsidR="00B2442D" w:rsidRDefault="008A645F">
      <w:pPr>
        <w:jc w:val="both"/>
        <w:rPr>
          <w:rFonts w:ascii="Arial" w:hAnsi="Arial" w:cs="Arial"/>
          <w:i/>
          <w:lang w:val="es-CO"/>
        </w:rPr>
      </w:pPr>
      <w:r>
        <w:rPr>
          <w:rFonts w:ascii="Arial" w:hAnsi="Arial" w:cs="Arial"/>
          <w:i/>
          <w:lang w:val="es-CO"/>
        </w:rPr>
        <w:t>(Art. 3, Decreto 1514 de 1998) (El Decreto 1514 de 1998 rige a part</w:t>
      </w:r>
      <w:r>
        <w:rPr>
          <w:rFonts w:ascii="Arial" w:hAnsi="Arial" w:cs="Arial"/>
          <w:i/>
          <w:lang w:val="es-CO"/>
        </w:rPr>
        <w:t>ir de le fecha de su publicación y deroga el Decreto 847 de 1996, el artículo 10 del Decreto 1001 de 1997, el último inciso del artículo 29 del Decreto 3050 de 1997 y las demás disposiciones que le sean contrarias. Art. 18, Decreto 1514 de 1998)</w:t>
      </w:r>
    </w:p>
    <w:p w14:paraId="10C6DFBB" w14:textId="77777777" w:rsidR="00B2442D" w:rsidRDefault="00B2442D">
      <w:pPr>
        <w:jc w:val="both"/>
        <w:rPr>
          <w:rFonts w:ascii="Arial" w:hAnsi="Arial" w:cs="Arial"/>
          <w:i/>
          <w:lang w:val="es-CO"/>
        </w:rPr>
      </w:pPr>
    </w:p>
    <w:p w14:paraId="3881B7D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Factura d</w:t>
      </w:r>
      <w:r>
        <w:rPr>
          <w:rFonts w:ascii="Arial" w:hAnsi="Arial" w:cs="Arial"/>
          <w:b/>
          <w:i/>
          <w:lang w:val="es-CO"/>
        </w:rPr>
        <w:t>e venta.</w:t>
      </w:r>
      <w:r>
        <w:rPr>
          <w:rFonts w:ascii="Arial" w:hAnsi="Arial" w:cs="Arial"/>
          <w:lang w:val="es-CO"/>
        </w:rPr>
        <w:t xml:space="preserve"> Conforme con el artículo 616-1 del Estatuto Tributario, quienes están en la obligación legal de facturar deben cumplir esa obligación expidiendo factura de venta o documento equivalente con el lleno de los requisitos y condiciones previstos en la </w:t>
      </w:r>
      <w:r>
        <w:rPr>
          <w:rFonts w:ascii="Arial" w:hAnsi="Arial" w:cs="Arial"/>
          <w:lang w:val="es-CO"/>
        </w:rPr>
        <w:t>ley, sin perjuicio de lo establecido para las operaciones de los responsables del Impuesto sobre las Ventas pertenecientes al régimen simplificado.</w:t>
      </w:r>
    </w:p>
    <w:p w14:paraId="637681B4" w14:textId="77777777" w:rsidR="00B2442D" w:rsidRDefault="00B2442D">
      <w:pPr>
        <w:jc w:val="both"/>
        <w:rPr>
          <w:rFonts w:ascii="Arial" w:hAnsi="Arial" w:cs="Arial"/>
          <w:lang w:val="es-CO"/>
        </w:rPr>
      </w:pPr>
    </w:p>
    <w:p w14:paraId="545AC4FC" w14:textId="77777777" w:rsidR="00B2442D" w:rsidRDefault="008A645F">
      <w:pPr>
        <w:jc w:val="both"/>
        <w:rPr>
          <w:rFonts w:ascii="Arial" w:hAnsi="Arial" w:cs="Arial"/>
          <w:lang w:val="es-CO"/>
        </w:rPr>
      </w:pPr>
      <w:r>
        <w:rPr>
          <w:rFonts w:ascii="Arial" w:hAnsi="Arial" w:cs="Arial"/>
          <w:lang w:val="es-CO"/>
        </w:rPr>
        <w:t>Por tanto, a quienes estando en la obligación de facturar emitan documentos distintos a la factura de venta</w:t>
      </w:r>
      <w:r>
        <w:rPr>
          <w:rFonts w:ascii="Arial" w:hAnsi="Arial" w:cs="Arial"/>
          <w:lang w:val="es-CO"/>
        </w:rPr>
        <w:t xml:space="preserve"> o documento equivalente tales como prefactura, cuenta de cobro, precuenta o similares, se les impondrá la sanción de cierre del establecimiento de comercio conforme con el artículo 652-1 del Estatuto citado y, además, serán objeto de revisión integral de </w:t>
      </w:r>
      <w:r>
        <w:rPr>
          <w:rFonts w:ascii="Arial" w:hAnsi="Arial" w:cs="Arial"/>
          <w:lang w:val="es-CO"/>
        </w:rPr>
        <w:t>su situación tributaria con fundamento en las facultades del artículo 684 Ib., en especial de la presunción de ingresos en ventas conforme con los artículos 756 y siguientes del Estatuto Tributario, y de la imposición de las demás sanciones a que haya luga</w:t>
      </w:r>
      <w:r>
        <w:rPr>
          <w:rFonts w:ascii="Arial" w:hAnsi="Arial" w:cs="Arial"/>
          <w:lang w:val="es-CO"/>
        </w:rPr>
        <w:t>r.</w:t>
      </w:r>
    </w:p>
    <w:p w14:paraId="3943D548" w14:textId="77777777" w:rsidR="00B2442D" w:rsidRDefault="00B2442D">
      <w:pPr>
        <w:jc w:val="both"/>
        <w:rPr>
          <w:rFonts w:ascii="Arial" w:hAnsi="Arial" w:cs="Arial"/>
          <w:lang w:val="es-CO"/>
        </w:rPr>
      </w:pPr>
    </w:p>
    <w:p w14:paraId="7A5A0DE9" w14:textId="77777777" w:rsidR="00B2442D" w:rsidRDefault="008A645F">
      <w:pPr>
        <w:jc w:val="both"/>
        <w:rPr>
          <w:rFonts w:ascii="Arial" w:hAnsi="Arial" w:cs="Arial"/>
          <w:i/>
          <w:lang w:val="es-CO"/>
        </w:rPr>
      </w:pPr>
      <w:r>
        <w:rPr>
          <w:rFonts w:ascii="Arial" w:hAnsi="Arial" w:cs="Arial"/>
          <w:i/>
          <w:lang w:val="es-CO"/>
        </w:rPr>
        <w:t>(Art. 19, Decreto 4910 de 2011)</w:t>
      </w:r>
    </w:p>
    <w:p w14:paraId="6BD48CEB" w14:textId="77777777" w:rsidR="00B2442D" w:rsidRDefault="00B2442D">
      <w:pPr>
        <w:jc w:val="both"/>
        <w:rPr>
          <w:rFonts w:ascii="Arial" w:hAnsi="Arial" w:cs="Arial"/>
          <w:i/>
          <w:lang w:val="es-CO"/>
        </w:rPr>
      </w:pPr>
    </w:p>
    <w:p w14:paraId="542EF52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sustitutivo de la factura en la distribución masiva y ambulante de bienes.</w:t>
      </w:r>
      <w:r>
        <w:rPr>
          <w:rFonts w:ascii="Arial" w:hAnsi="Arial" w:cs="Arial"/>
          <w:lang w:val="es-CO"/>
        </w:rPr>
        <w:t xml:space="preserve"> Cuando los obligados a facturar realicen operaciones de distribución masiva y ambulante de bienes, se entiende cumplida la obligación</w:t>
      </w:r>
      <w:r>
        <w:rPr>
          <w:rFonts w:ascii="Arial" w:hAnsi="Arial" w:cs="Arial"/>
          <w:lang w:val="es-CO"/>
        </w:rPr>
        <w:t xml:space="preserve"> de facturar, con el comprobante que estos deben elaborar a sus vendedores. </w:t>
      </w:r>
    </w:p>
    <w:p w14:paraId="287FB4A8" w14:textId="77777777" w:rsidR="00B2442D" w:rsidRDefault="008A645F">
      <w:pPr>
        <w:jc w:val="both"/>
        <w:rPr>
          <w:rFonts w:ascii="Arial" w:hAnsi="Arial" w:cs="Arial"/>
          <w:lang w:val="es-CO"/>
        </w:rPr>
      </w:pPr>
      <w:r>
        <w:rPr>
          <w:rFonts w:ascii="Arial" w:hAnsi="Arial" w:cs="Arial"/>
          <w:lang w:val="es-CO"/>
        </w:rPr>
        <w:t xml:space="preserve"> </w:t>
      </w:r>
    </w:p>
    <w:p w14:paraId="4642628E" w14:textId="77777777" w:rsidR="00B2442D" w:rsidRDefault="008A645F">
      <w:pPr>
        <w:jc w:val="both"/>
        <w:rPr>
          <w:rFonts w:ascii="Arial" w:hAnsi="Arial" w:cs="Arial"/>
          <w:lang w:val="es-CO"/>
        </w:rPr>
      </w:pPr>
      <w:r>
        <w:rPr>
          <w:rFonts w:ascii="Arial" w:hAnsi="Arial" w:cs="Arial"/>
          <w:lang w:val="es-CO"/>
        </w:rPr>
        <w:t>Los comprobantes deben contener como mínimo el nombre o razón social y NIT de la empresa, la fecha, período al cual corresponde el comprobante, nombre completo del vendedor y su</w:t>
      </w:r>
      <w:r>
        <w:rPr>
          <w:rFonts w:ascii="Arial" w:hAnsi="Arial" w:cs="Arial"/>
          <w:lang w:val="es-CO"/>
        </w:rPr>
        <w:t xml:space="preserve"> identificación, mercancía entregada, mercancía devuelta, mercancía vendida y valor de la venta. Cuando parte de la mercancía relacionada en el comprobante sea vendida a crédito, se realizará la respectiva conciliación con las facturas que se expidan para </w:t>
      </w:r>
      <w:r>
        <w:rPr>
          <w:rFonts w:ascii="Arial" w:hAnsi="Arial" w:cs="Arial"/>
          <w:lang w:val="es-CO"/>
        </w:rPr>
        <w:t xml:space="preserve">soportar esta última. Copia de estos comprobantes deberán reposar en el domicilio fiscal del emisor del documento, para cuando la administración tributaria lo solicite. </w:t>
      </w:r>
    </w:p>
    <w:p w14:paraId="7BCBAD09" w14:textId="77777777" w:rsidR="00B2442D" w:rsidRDefault="008A645F">
      <w:pPr>
        <w:jc w:val="both"/>
        <w:rPr>
          <w:rFonts w:ascii="Arial" w:hAnsi="Arial" w:cs="Arial"/>
          <w:lang w:val="es-CO"/>
        </w:rPr>
      </w:pPr>
      <w:r>
        <w:rPr>
          <w:rFonts w:ascii="Arial" w:hAnsi="Arial" w:cs="Arial"/>
          <w:lang w:val="es-CO"/>
        </w:rPr>
        <w:t xml:space="preserve"> </w:t>
      </w:r>
    </w:p>
    <w:p w14:paraId="4FBA2F1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documento soporte para la procedencia del costo, deducción o impuesto </w:t>
      </w:r>
      <w:r>
        <w:rPr>
          <w:rFonts w:ascii="Arial" w:hAnsi="Arial" w:cs="Arial"/>
          <w:lang w:val="es-CO"/>
        </w:rPr>
        <w:t xml:space="preserve">descontable, por concepto de la adquisición de los bienes de que trata este artículo, será el previsto en el artículo 1.6.1.4.44 del presente Decreto, salvo en lo que se refiere a las ventas a crédito en cuyo caso se aplicarán las normas generales. Cuando </w:t>
      </w:r>
      <w:r>
        <w:rPr>
          <w:rFonts w:ascii="Arial" w:hAnsi="Arial" w:cs="Arial"/>
          <w:lang w:val="es-CO"/>
        </w:rPr>
        <w:t>se trate de la distribución de productos de régimen monofásico, no será exigible el requisito señalado en el numeral 5° de la norma citada.</w:t>
      </w:r>
    </w:p>
    <w:p w14:paraId="34ADC399" w14:textId="77777777" w:rsidR="00B2442D" w:rsidRDefault="00B2442D">
      <w:pPr>
        <w:jc w:val="both"/>
        <w:rPr>
          <w:rFonts w:ascii="Arial" w:hAnsi="Arial" w:cs="Arial"/>
          <w:i/>
          <w:lang w:val="es-CO"/>
        </w:rPr>
      </w:pPr>
    </w:p>
    <w:p w14:paraId="0935A58B" w14:textId="77777777" w:rsidR="00B2442D" w:rsidRDefault="008A645F">
      <w:pPr>
        <w:jc w:val="both"/>
        <w:rPr>
          <w:rFonts w:ascii="Arial" w:hAnsi="Arial" w:cs="Arial"/>
          <w:i/>
          <w:lang w:val="es-CO"/>
        </w:rPr>
      </w:pPr>
      <w:r>
        <w:rPr>
          <w:rFonts w:ascii="Arial" w:hAnsi="Arial" w:cs="Arial"/>
          <w:i/>
          <w:lang w:val="es-CO"/>
        </w:rPr>
        <w:t>(Art. 1, Decreto 1514 de 1998) (El Decreto 1514 de 1998 rige a partir de le fecha de su publicación y deroga el Dec</w:t>
      </w:r>
      <w:r>
        <w:rPr>
          <w:rFonts w:ascii="Arial" w:hAnsi="Arial" w:cs="Arial"/>
          <w:i/>
          <w:lang w:val="es-CO"/>
        </w:rPr>
        <w:t>reto 847 de 1996, el artículo 10 del Decreto 1001 de 1997, el último inciso del artículo 29 del Decreto 3050 de 1997 y las demás disposiciones que le sean contrarias. Art. 18, Decreto 1514 de 1998)</w:t>
      </w:r>
    </w:p>
    <w:p w14:paraId="6A1C7A9E" w14:textId="77777777" w:rsidR="00B2442D" w:rsidRDefault="00B2442D">
      <w:pPr>
        <w:jc w:val="both"/>
        <w:rPr>
          <w:rFonts w:ascii="Arial" w:hAnsi="Arial" w:cs="Arial"/>
          <w:i/>
          <w:lang w:val="es-CO"/>
        </w:rPr>
      </w:pPr>
    </w:p>
    <w:p w14:paraId="6198F748"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Factura.</w:t>
      </w:r>
      <w:r>
        <w:rPr>
          <w:rFonts w:ascii="Arial" w:hAnsi="Arial" w:cs="Arial"/>
          <w:lang w:val="es-CO"/>
        </w:rPr>
        <w:t xml:space="preserve"> Cuando se trate de factura, el documento llevará</w:t>
      </w:r>
      <w:r>
        <w:rPr>
          <w:rFonts w:ascii="Arial" w:hAnsi="Arial" w:cs="Arial"/>
          <w:lang w:val="es-CO"/>
        </w:rPr>
        <w:t xml:space="preserve"> esta denominación, entendiéndose cumplido así el requisito señalado en el literal a) del artículo 617 del Estatuto Tributario. </w:t>
      </w:r>
    </w:p>
    <w:p w14:paraId="445376F9" w14:textId="77777777" w:rsidR="00B2442D" w:rsidRDefault="008A645F">
      <w:pPr>
        <w:jc w:val="both"/>
        <w:rPr>
          <w:rFonts w:ascii="Arial" w:hAnsi="Arial" w:cs="Arial"/>
          <w:lang w:val="es-CO"/>
        </w:rPr>
      </w:pPr>
      <w:r>
        <w:rPr>
          <w:rFonts w:ascii="Arial" w:hAnsi="Arial" w:cs="Arial"/>
          <w:lang w:val="es-CO"/>
        </w:rPr>
        <w:t xml:space="preserve"> </w:t>
      </w:r>
    </w:p>
    <w:p w14:paraId="510804E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la factura, tiquetes de transporte y cuando se utilicen sistemas especiales de impresión en papel químico como </w:t>
      </w:r>
      <w:r>
        <w:rPr>
          <w:rFonts w:ascii="Arial" w:hAnsi="Arial" w:cs="Arial"/>
          <w:lang w:val="es-CO"/>
        </w:rPr>
        <w:t>el sobreflex que impiden la entrega del original al comprador o usuario del servicio, se entenderá cumplida la exigencia señalada en el inciso 1° del artículo 617 del Estatuto Tributario con la entrega de la copia al comprador.</w:t>
      </w:r>
    </w:p>
    <w:p w14:paraId="3BB1C31A" w14:textId="77777777" w:rsidR="00B2442D" w:rsidRDefault="00B2442D">
      <w:pPr>
        <w:jc w:val="both"/>
        <w:rPr>
          <w:rFonts w:ascii="Arial" w:hAnsi="Arial" w:cs="Arial"/>
          <w:i/>
          <w:lang w:val="es-CO"/>
        </w:rPr>
      </w:pPr>
    </w:p>
    <w:p w14:paraId="2D968F78" w14:textId="77777777" w:rsidR="00B2442D" w:rsidRDefault="008A645F">
      <w:pPr>
        <w:jc w:val="both"/>
        <w:rPr>
          <w:rFonts w:ascii="Arial" w:hAnsi="Arial" w:cs="Arial"/>
          <w:i/>
          <w:lang w:val="es-CO"/>
        </w:rPr>
      </w:pPr>
      <w:r>
        <w:rPr>
          <w:rFonts w:ascii="Arial" w:hAnsi="Arial" w:cs="Arial"/>
          <w:i/>
          <w:lang w:val="es-CO"/>
        </w:rPr>
        <w:t>(Art. 2, Decreto 1165 de 19</w:t>
      </w:r>
      <w:r>
        <w:rPr>
          <w:rFonts w:ascii="Arial" w:hAnsi="Arial" w:cs="Arial"/>
          <w:i/>
          <w:lang w:val="es-CO"/>
        </w:rPr>
        <w:t>96. La expresión “cambiaria de compraventa” tiene decaimiento en virtud de la evolución normativa (Art. 772 del Código Comercio))(El Decreto 1165 de 1996 rige a partir de su expedición y deroga las normas que le sean contrarias, en especial las siguientes:</w:t>
      </w:r>
      <w:r>
        <w:rPr>
          <w:rFonts w:ascii="Arial" w:hAnsi="Arial" w:cs="Arial"/>
          <w:i/>
          <w:lang w:val="es-CO"/>
        </w:rPr>
        <w:t xml:space="preserve"> artículos 4° y 7° del Decreto 422 de 1991; artículos 21, 22, 23 del Decreto 836 de 1991 y artículo 39 del Decreto 2076 de 1992. Art. 15, Decreto 1165 de 1996)</w:t>
      </w:r>
    </w:p>
    <w:p w14:paraId="040AABF7" w14:textId="77777777" w:rsidR="00B2442D" w:rsidRDefault="00B2442D">
      <w:pPr>
        <w:jc w:val="both"/>
        <w:rPr>
          <w:rFonts w:ascii="Arial" w:hAnsi="Arial" w:cs="Arial"/>
          <w:i/>
          <w:lang w:val="es-CO"/>
        </w:rPr>
      </w:pPr>
    </w:p>
    <w:p w14:paraId="2873CD24"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Factura por computador</w:t>
      </w:r>
      <w:r>
        <w:rPr>
          <w:rFonts w:ascii="Arial" w:hAnsi="Arial" w:cs="Arial"/>
          <w:i/>
          <w:lang w:val="es-CO"/>
        </w:rPr>
        <w:t>.</w:t>
      </w:r>
      <w:r>
        <w:rPr>
          <w:rFonts w:ascii="Arial" w:hAnsi="Arial" w:cs="Arial"/>
          <w:lang w:val="es-CO"/>
        </w:rPr>
        <w:t xml:space="preserve"> La factura por computador es la que cumple con todos los requisitos est</w:t>
      </w:r>
      <w:r>
        <w:rPr>
          <w:rFonts w:ascii="Arial" w:hAnsi="Arial" w:cs="Arial"/>
          <w:lang w:val="es-CO"/>
        </w:rPr>
        <w:t>ablecidos en los artículos 617 y 618 del Estatuto Tributario que permiten al Software asociar la identificación del artículo o servicio a la tarifa del impuesto sobre las ventas correspondiente, en la que interactúan la programación, el control y la ejecuc</w:t>
      </w:r>
      <w:r>
        <w:rPr>
          <w:rFonts w:ascii="Arial" w:hAnsi="Arial" w:cs="Arial"/>
          <w:lang w:val="es-CO"/>
        </w:rPr>
        <w:t>ión de las funciones inherentes a la venta, tales como emisión de facturas, comprobantes, notas crédito, notas débito, programación de departamentos, códigos, grupos, familias, o subfamilias, etc.</w:t>
      </w:r>
    </w:p>
    <w:p w14:paraId="7D91B092" w14:textId="77777777" w:rsidR="00B2442D" w:rsidRDefault="00B2442D">
      <w:pPr>
        <w:jc w:val="both"/>
        <w:rPr>
          <w:rFonts w:ascii="Arial" w:hAnsi="Arial" w:cs="Arial"/>
          <w:i/>
          <w:lang w:val="es-CO"/>
        </w:rPr>
      </w:pPr>
    </w:p>
    <w:p w14:paraId="592FD0B7" w14:textId="77777777" w:rsidR="00B2442D" w:rsidRDefault="008A645F">
      <w:pPr>
        <w:jc w:val="both"/>
        <w:rPr>
          <w:rFonts w:ascii="Arial" w:hAnsi="Arial" w:cs="Arial"/>
          <w:i/>
          <w:lang w:val="es-CO"/>
        </w:rPr>
      </w:pPr>
      <w:r>
        <w:rPr>
          <w:rFonts w:ascii="Arial" w:hAnsi="Arial" w:cs="Arial"/>
          <w:i/>
          <w:lang w:val="es-CO"/>
        </w:rPr>
        <w:t>(Art. 13, Decreto 1165 de 1996)</w:t>
      </w:r>
      <w:r>
        <w:rPr>
          <w:rFonts w:ascii="Arial" w:hAnsi="Arial" w:cs="Arial"/>
          <w:lang w:val="es-CO"/>
        </w:rPr>
        <w:t xml:space="preserve"> </w:t>
      </w:r>
      <w:r>
        <w:rPr>
          <w:rFonts w:ascii="Arial" w:hAnsi="Arial" w:cs="Arial"/>
          <w:i/>
          <w:lang w:val="es-CO"/>
        </w:rPr>
        <w:t>(El Decreto 1165 de 1996 r</w:t>
      </w:r>
      <w:r>
        <w:rPr>
          <w:rFonts w:ascii="Arial" w:hAnsi="Arial" w:cs="Arial"/>
          <w:i/>
          <w:lang w:val="es-CO"/>
        </w:rPr>
        <w:t>ige a partir de su expedición y deroga las normas que le sean contrarias, en especial las siguientes: artículos 4° y 7° del Decreto 422 de 1991; artículos 21, 22, 23 del Decreto 836 de 1991 y artículo 39 del Decreto 2076 de 1992. Art. 15, Decreto 1165 de 1</w:t>
      </w:r>
      <w:r>
        <w:rPr>
          <w:rFonts w:ascii="Arial" w:hAnsi="Arial" w:cs="Arial"/>
          <w:i/>
          <w:lang w:val="es-CO"/>
        </w:rPr>
        <w:t>996)</w:t>
      </w:r>
    </w:p>
    <w:p w14:paraId="1A66EA1A" w14:textId="77777777" w:rsidR="00B2442D" w:rsidRDefault="00B2442D">
      <w:pPr>
        <w:jc w:val="both"/>
        <w:rPr>
          <w:rFonts w:ascii="Arial" w:hAnsi="Arial" w:cs="Arial"/>
          <w:lang w:val="es-CO"/>
        </w:rPr>
      </w:pPr>
    </w:p>
    <w:p w14:paraId="792FB751"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Facturación de consorcios y uniones temporales.</w:t>
      </w:r>
      <w:r>
        <w:rPr>
          <w:rFonts w:ascii="Arial" w:hAnsi="Arial" w:cs="Arial"/>
          <w:lang w:val="es-CO"/>
        </w:rPr>
        <w:t xml:space="preserve"> Sin perjuicio de la obligación de registrar y declarar de manera independiente los ingresos, costos y deducciones que incumben a los miembros del consorcio o unión temporal, para efectos del cumplimiento de la obligación formal de expedir factura, existir</w:t>
      </w:r>
      <w:r>
        <w:rPr>
          <w:rFonts w:ascii="Arial" w:hAnsi="Arial" w:cs="Arial"/>
          <w:lang w:val="es-CO"/>
        </w:rPr>
        <w:t xml:space="preserve">á la opción de que tales consorcios o uniones temporales lo hagan a nombre propio y en representación de sus miembros, o en forma separada o conjunta cada uno de los miembros de consorcio o unión temporal. </w:t>
      </w:r>
    </w:p>
    <w:p w14:paraId="36989065" w14:textId="77777777" w:rsidR="00B2442D" w:rsidRDefault="008A645F">
      <w:pPr>
        <w:jc w:val="both"/>
        <w:rPr>
          <w:rFonts w:ascii="Arial" w:hAnsi="Arial" w:cs="Arial"/>
          <w:lang w:val="es-CO"/>
        </w:rPr>
      </w:pPr>
      <w:r>
        <w:rPr>
          <w:rFonts w:ascii="Arial" w:hAnsi="Arial" w:cs="Arial"/>
          <w:lang w:val="es-CO"/>
        </w:rPr>
        <w:t xml:space="preserve"> </w:t>
      </w:r>
    </w:p>
    <w:p w14:paraId="15E830CF" w14:textId="77777777" w:rsidR="00B2442D" w:rsidRDefault="008A645F">
      <w:pPr>
        <w:jc w:val="both"/>
        <w:rPr>
          <w:rFonts w:ascii="Arial" w:hAnsi="Arial" w:cs="Arial"/>
          <w:lang w:val="es-CO"/>
        </w:rPr>
      </w:pPr>
      <w:r>
        <w:rPr>
          <w:rFonts w:ascii="Arial" w:hAnsi="Arial" w:cs="Arial"/>
          <w:lang w:val="es-CO"/>
        </w:rPr>
        <w:t>Cuando la facturación la efectúe el consorcio o</w:t>
      </w:r>
      <w:r>
        <w:rPr>
          <w:rFonts w:ascii="Arial" w:hAnsi="Arial" w:cs="Arial"/>
          <w:lang w:val="es-CO"/>
        </w:rPr>
        <w:t xml:space="preserve"> unión temporal bajo su propio NIT, esta, además de señalar el porcentaje o valor del ingreso que corresponda a cada uno de los miembros del consorcio o unión temporal, indicará el nombre o razón social y el NIT de cada uno de ellos. Estas facturas deberán</w:t>
      </w:r>
      <w:r>
        <w:rPr>
          <w:rFonts w:ascii="Arial" w:hAnsi="Arial" w:cs="Arial"/>
          <w:lang w:val="es-CO"/>
        </w:rPr>
        <w:t xml:space="preserve"> cumplir los requisitos señalados en las disposiciones legales y reglamentarias. </w:t>
      </w:r>
    </w:p>
    <w:p w14:paraId="07A53EEF" w14:textId="77777777" w:rsidR="00B2442D" w:rsidRDefault="008A645F">
      <w:pPr>
        <w:jc w:val="both"/>
        <w:rPr>
          <w:rFonts w:ascii="Arial" w:hAnsi="Arial" w:cs="Arial"/>
          <w:lang w:val="es-CO"/>
        </w:rPr>
      </w:pPr>
      <w:r>
        <w:rPr>
          <w:rFonts w:ascii="Arial" w:hAnsi="Arial" w:cs="Arial"/>
          <w:lang w:val="es-CO"/>
        </w:rPr>
        <w:t xml:space="preserve"> </w:t>
      </w:r>
    </w:p>
    <w:p w14:paraId="696C001C" w14:textId="77777777" w:rsidR="00B2442D" w:rsidRDefault="008A645F">
      <w:pPr>
        <w:jc w:val="both"/>
        <w:rPr>
          <w:rFonts w:ascii="Arial" w:hAnsi="Arial" w:cs="Arial"/>
          <w:lang w:val="es-CO"/>
        </w:rPr>
      </w:pPr>
      <w:r>
        <w:rPr>
          <w:rFonts w:ascii="Arial" w:hAnsi="Arial" w:cs="Arial"/>
          <w:lang w:val="es-CO"/>
        </w:rPr>
        <w:t>En el evento previsto en el inciso anterior, quien efectúe el pago o abono en cuenta deberá practicar al consorcio o unión temporal la respectiva retención en la fuente a t</w:t>
      </w:r>
      <w:r>
        <w:rPr>
          <w:rFonts w:ascii="Arial" w:hAnsi="Arial" w:cs="Arial"/>
          <w:lang w:val="es-CO"/>
        </w:rPr>
        <w:t xml:space="preserve">ítulo de renta, y corresponderá a cada uno de sus miembros asumir la retención en la fuente a prorrata de su participación en el ingreso facturado. </w:t>
      </w:r>
    </w:p>
    <w:p w14:paraId="6F4D0F3B" w14:textId="77777777" w:rsidR="00B2442D" w:rsidRDefault="008A645F">
      <w:pPr>
        <w:jc w:val="both"/>
        <w:rPr>
          <w:rFonts w:ascii="Arial" w:hAnsi="Arial" w:cs="Arial"/>
          <w:lang w:val="es-CO"/>
        </w:rPr>
      </w:pPr>
      <w:r>
        <w:rPr>
          <w:rFonts w:ascii="Arial" w:hAnsi="Arial" w:cs="Arial"/>
          <w:lang w:val="es-CO"/>
        </w:rPr>
        <w:t xml:space="preserve"> </w:t>
      </w:r>
    </w:p>
    <w:p w14:paraId="7A4E3B33" w14:textId="77777777" w:rsidR="00B2442D" w:rsidRDefault="008A645F">
      <w:pPr>
        <w:jc w:val="both"/>
        <w:rPr>
          <w:rFonts w:ascii="Arial" w:hAnsi="Arial" w:cs="Arial"/>
          <w:lang w:val="es-CO"/>
        </w:rPr>
      </w:pPr>
      <w:r>
        <w:rPr>
          <w:rFonts w:ascii="Arial" w:hAnsi="Arial" w:cs="Arial"/>
          <w:lang w:val="es-CO"/>
        </w:rPr>
        <w:t xml:space="preserve">El impuesto sobre las ventas discriminado en la factura que expida el consorcio o unión temporal, deberá </w:t>
      </w:r>
      <w:r>
        <w:rPr>
          <w:rFonts w:ascii="Arial" w:hAnsi="Arial" w:cs="Arial"/>
          <w:lang w:val="es-CO"/>
        </w:rPr>
        <w:t xml:space="preserve">ser distribuido a cada uno de los miembros de acuerdo con su participación en las actividades gravadas que dieron lugar al impuesto, para efectos de ser declarado. </w:t>
      </w:r>
    </w:p>
    <w:p w14:paraId="2641FB9B" w14:textId="77777777" w:rsidR="00B2442D" w:rsidRDefault="008A645F">
      <w:pPr>
        <w:jc w:val="both"/>
        <w:rPr>
          <w:rFonts w:ascii="Arial" w:hAnsi="Arial" w:cs="Arial"/>
          <w:lang w:val="es-CO"/>
        </w:rPr>
      </w:pPr>
      <w:r>
        <w:rPr>
          <w:rFonts w:ascii="Arial" w:hAnsi="Arial" w:cs="Arial"/>
          <w:lang w:val="es-CO"/>
        </w:rPr>
        <w:t xml:space="preserve"> </w:t>
      </w:r>
    </w:p>
    <w:p w14:paraId="4C5E2853" w14:textId="77777777" w:rsidR="00B2442D" w:rsidRDefault="008A645F">
      <w:pPr>
        <w:jc w:val="both"/>
        <w:rPr>
          <w:rFonts w:ascii="Arial" w:hAnsi="Arial" w:cs="Arial"/>
          <w:lang w:val="es-CO"/>
        </w:rPr>
      </w:pPr>
      <w:r>
        <w:rPr>
          <w:rFonts w:ascii="Arial" w:hAnsi="Arial" w:cs="Arial"/>
          <w:lang w:val="es-CO"/>
        </w:rPr>
        <w:t>La factura expedida en cumplimiento de estas disposiciones servirá para soportar los cost</w:t>
      </w:r>
      <w:r>
        <w:rPr>
          <w:rFonts w:ascii="Arial" w:hAnsi="Arial" w:cs="Arial"/>
          <w:lang w:val="es-CO"/>
        </w:rPr>
        <w:t>os y gastos, y los impuestos descontables de quienes efectúen los pagos correspondientes, para efectos del impuesto sobre la renta y del impuesto sobre las ventas.</w:t>
      </w:r>
    </w:p>
    <w:p w14:paraId="533DC8C6" w14:textId="77777777" w:rsidR="00B2442D" w:rsidRDefault="00B2442D">
      <w:pPr>
        <w:jc w:val="both"/>
        <w:rPr>
          <w:rFonts w:ascii="Arial" w:hAnsi="Arial" w:cs="Arial"/>
          <w:i/>
        </w:rPr>
      </w:pPr>
    </w:p>
    <w:p w14:paraId="044C3EDB" w14:textId="77777777" w:rsidR="00B2442D" w:rsidRDefault="008A645F">
      <w:pPr>
        <w:jc w:val="both"/>
        <w:rPr>
          <w:rFonts w:ascii="Arial" w:hAnsi="Arial" w:cs="Arial"/>
          <w:i/>
        </w:rPr>
      </w:pPr>
      <w:r>
        <w:rPr>
          <w:rFonts w:ascii="Arial" w:hAnsi="Arial" w:cs="Arial"/>
          <w:i/>
        </w:rPr>
        <w:t>(Art. 11, Decreto 3050 de 1997)</w:t>
      </w:r>
      <w:r>
        <w:rPr>
          <w:rFonts w:ascii="Arial" w:hAnsi="Arial" w:cs="Arial"/>
        </w:rPr>
        <w:t xml:space="preserve"> </w:t>
      </w:r>
      <w:r>
        <w:rPr>
          <w:rFonts w:ascii="Arial" w:hAnsi="Arial" w:cs="Arial"/>
          <w:i/>
        </w:rPr>
        <w:t xml:space="preserve">(El Decreto 3050 de 1997 rige a partir de la fecha de su </w:t>
      </w:r>
      <w:r>
        <w:rPr>
          <w:rFonts w:ascii="Arial" w:hAnsi="Arial" w:cs="Arial"/>
          <w:i/>
        </w:rPr>
        <w:t>publicación y deroga el artículo 10 del Decreto 380 de 1996, el inciso 1° del artículo 7 y el artículo 11 del Decreto 1165 de 1996, el inciso 2° del artículo 43 del Decreto 700 de 1997, el artículo 7, el parágrafo del artículo 14 y el artículo 18 del Decre</w:t>
      </w:r>
      <w:r>
        <w:rPr>
          <w:rFonts w:ascii="Arial" w:hAnsi="Arial" w:cs="Arial"/>
          <w:i/>
        </w:rPr>
        <w:t>to 1001 de 1997, y demás normas que le sean contrarias. Art. 34, Decreto 3050 de 1997)</w:t>
      </w:r>
    </w:p>
    <w:p w14:paraId="7C1412C0" w14:textId="77777777" w:rsidR="00B2442D" w:rsidRDefault="00B2442D">
      <w:pPr>
        <w:jc w:val="both"/>
        <w:rPr>
          <w:rFonts w:ascii="Arial" w:hAnsi="Arial" w:cs="Arial"/>
          <w:lang w:val="es-CO"/>
        </w:rPr>
      </w:pPr>
    </w:p>
    <w:p w14:paraId="29203C9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Intermediarios en la elaboración de facturas.</w:t>
      </w:r>
      <w:r>
        <w:rPr>
          <w:rFonts w:ascii="Arial" w:hAnsi="Arial" w:cs="Arial"/>
          <w:lang w:val="es-CO"/>
        </w:rPr>
        <w:t xml:space="preserve"> Cuando se contrate la elaboración de facturas a través de intermediarios, las obligaciones señaladas en el artículo 618-2 </w:t>
      </w:r>
      <w:r>
        <w:rPr>
          <w:rFonts w:ascii="Arial" w:hAnsi="Arial" w:cs="Arial"/>
          <w:lang w:val="es-CO"/>
        </w:rPr>
        <w:t>del Estatuto Tributario, serán exigibles a estos.</w:t>
      </w:r>
    </w:p>
    <w:p w14:paraId="54C276C1" w14:textId="77777777" w:rsidR="00B2442D" w:rsidRDefault="00B2442D">
      <w:pPr>
        <w:jc w:val="both"/>
        <w:rPr>
          <w:rFonts w:ascii="Arial" w:hAnsi="Arial" w:cs="Arial"/>
          <w:i/>
          <w:lang w:val="es-CO"/>
        </w:rPr>
      </w:pPr>
    </w:p>
    <w:p w14:paraId="43529F88" w14:textId="77777777" w:rsidR="00B2442D" w:rsidRDefault="008A645F">
      <w:pPr>
        <w:jc w:val="both"/>
        <w:rPr>
          <w:rFonts w:ascii="Arial" w:hAnsi="Arial" w:cs="Arial"/>
          <w:i/>
          <w:lang w:val="es-CO"/>
        </w:rPr>
      </w:pPr>
      <w:r>
        <w:rPr>
          <w:rFonts w:ascii="Arial" w:hAnsi="Arial" w:cs="Arial"/>
          <w:i/>
          <w:lang w:val="es-CO"/>
        </w:rPr>
        <w:t>(Art. 14, Decreto 1165 de 1996)</w:t>
      </w:r>
      <w:r>
        <w:rPr>
          <w:rFonts w:ascii="Arial" w:hAnsi="Arial" w:cs="Arial"/>
        </w:rPr>
        <w:t xml:space="preserve"> </w:t>
      </w:r>
      <w:r>
        <w:rPr>
          <w:rFonts w:ascii="Arial" w:hAnsi="Arial" w:cs="Arial"/>
          <w:i/>
          <w:lang w:val="es-CO"/>
        </w:rPr>
        <w:t>( El Decreto 1165 de 1996 rige a partir de su expedición y deroga las normas que le sean contrarias, en especial las siguientes: artículos 4° y 7° del Decreto 422 de 1991; a</w:t>
      </w:r>
      <w:r>
        <w:rPr>
          <w:rFonts w:ascii="Arial" w:hAnsi="Arial" w:cs="Arial"/>
          <w:i/>
          <w:lang w:val="es-CO"/>
        </w:rPr>
        <w:t>rtículos 21, 22, 23 del Decreto 836 de 1991 y artículo 39 del Decreto 2076 de 1992. Art. 15, Decreto 1165 de 1996)</w:t>
      </w:r>
    </w:p>
    <w:p w14:paraId="53BF00F1" w14:textId="77777777" w:rsidR="00B2442D" w:rsidRDefault="00B2442D">
      <w:pPr>
        <w:jc w:val="both"/>
        <w:rPr>
          <w:rFonts w:ascii="Arial" w:hAnsi="Arial" w:cs="Arial"/>
          <w:lang w:val="es-CO"/>
        </w:rPr>
      </w:pPr>
    </w:p>
    <w:p w14:paraId="619403E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Identificación del agente retenedor.</w:t>
      </w:r>
      <w:r>
        <w:rPr>
          <w:rFonts w:ascii="Arial" w:hAnsi="Arial" w:cs="Arial"/>
          <w:lang w:val="es-CO"/>
        </w:rPr>
        <w:t xml:space="preserve"> Únicamente los agentes de retención del impuesto sobre las ventas contemplados en los numerales 1° y 2°</w:t>
      </w:r>
      <w:r>
        <w:rPr>
          <w:rFonts w:ascii="Arial" w:hAnsi="Arial" w:cs="Arial"/>
          <w:lang w:val="es-CO"/>
        </w:rPr>
        <w:t xml:space="preserve"> del artículo 437-2 del Estatuto Tributario, deberán indicar esta calidad al expedir sus facturas.</w:t>
      </w:r>
    </w:p>
    <w:p w14:paraId="06669368" w14:textId="77777777" w:rsidR="00B2442D" w:rsidRDefault="00B2442D">
      <w:pPr>
        <w:jc w:val="both"/>
        <w:rPr>
          <w:rFonts w:ascii="Arial" w:hAnsi="Arial" w:cs="Arial"/>
          <w:i/>
        </w:rPr>
      </w:pPr>
    </w:p>
    <w:p w14:paraId="2831B222" w14:textId="77777777" w:rsidR="00B2442D" w:rsidRDefault="008A645F">
      <w:pPr>
        <w:jc w:val="both"/>
        <w:rPr>
          <w:rFonts w:ascii="Arial" w:hAnsi="Arial" w:cs="Arial"/>
          <w:i/>
        </w:rPr>
      </w:pPr>
      <w:r>
        <w:rPr>
          <w:rFonts w:ascii="Arial" w:hAnsi="Arial" w:cs="Arial"/>
          <w:i/>
        </w:rPr>
        <w:t>(Art. 6, Decreto 1001 de 1997)</w:t>
      </w:r>
      <w:r>
        <w:rPr>
          <w:rFonts w:ascii="Arial" w:hAnsi="Arial" w:cs="Arial"/>
        </w:rPr>
        <w:t xml:space="preserve"> </w:t>
      </w:r>
      <w:r>
        <w:rPr>
          <w:rFonts w:ascii="Arial" w:hAnsi="Arial" w:cs="Arial"/>
          <w:i/>
        </w:rPr>
        <w:t>(El Decreto 1001 de 1997 rige a partir de su publicación y deroga las disposiciones que le sean contrarias, en especial los a</w:t>
      </w:r>
      <w:r>
        <w:rPr>
          <w:rFonts w:ascii="Arial" w:hAnsi="Arial" w:cs="Arial"/>
          <w:i/>
        </w:rPr>
        <w:t>rtículos 3°; el numeral 7 del artículo 5° y el 10 del Decreto 1165 de 1996, y el artículo 33 del Decreto 1813 de 1984. Art. 19, Decreto 1001 de 1997)</w:t>
      </w:r>
    </w:p>
    <w:p w14:paraId="158B826B" w14:textId="77777777" w:rsidR="00B2442D" w:rsidRDefault="00B2442D">
      <w:pPr>
        <w:jc w:val="both"/>
        <w:rPr>
          <w:rFonts w:ascii="Arial" w:hAnsi="Arial" w:cs="Arial"/>
          <w:i/>
        </w:rPr>
      </w:pPr>
    </w:p>
    <w:p w14:paraId="241701F6"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Factura de venta.</w:t>
      </w:r>
      <w:r>
        <w:rPr>
          <w:rFonts w:ascii="Arial" w:hAnsi="Arial" w:cs="Arial"/>
          <w:lang w:val="es-CO"/>
        </w:rPr>
        <w:t xml:space="preserve"> Conforme con el artículo 616-1 y siguientes del Estatuto Tributario, las empresas a qu</w:t>
      </w:r>
      <w:r>
        <w:rPr>
          <w:rFonts w:ascii="Arial" w:hAnsi="Arial" w:cs="Arial"/>
          <w:lang w:val="es-CO"/>
        </w:rPr>
        <w:t xml:space="preserve">e se refiere este artículo, en todos los casos, están en la obligación legal de expedir factura de venta o documento equivalente, según corresponda, con el lleno de los requisitos y condiciones previstos en la ley, sin perjuicio de lo establecido para las </w:t>
      </w:r>
      <w:r>
        <w:rPr>
          <w:rFonts w:ascii="Arial" w:hAnsi="Arial" w:cs="Arial"/>
          <w:lang w:val="es-CO"/>
        </w:rPr>
        <w:t>operaciones de los responsables del impuesto sobre las ventas pertenecientes al régimen simplificado.</w:t>
      </w:r>
    </w:p>
    <w:p w14:paraId="21B311F6" w14:textId="77777777" w:rsidR="00B2442D" w:rsidRDefault="00B2442D">
      <w:pPr>
        <w:jc w:val="both"/>
        <w:rPr>
          <w:rFonts w:ascii="Arial" w:hAnsi="Arial" w:cs="Arial"/>
          <w:lang w:val="es-CO"/>
        </w:rPr>
      </w:pPr>
    </w:p>
    <w:p w14:paraId="6DC4CACE" w14:textId="77777777" w:rsidR="00B2442D" w:rsidRDefault="008A645F">
      <w:pPr>
        <w:jc w:val="both"/>
        <w:rPr>
          <w:rFonts w:ascii="Arial" w:hAnsi="Arial" w:cs="Arial"/>
          <w:i/>
          <w:lang w:val="es-CO"/>
        </w:rPr>
      </w:pPr>
      <w:r>
        <w:rPr>
          <w:rFonts w:ascii="Arial" w:hAnsi="Arial" w:cs="Arial"/>
          <w:lang w:val="es-CO"/>
        </w:rPr>
        <w:t>(</w:t>
      </w:r>
      <w:r>
        <w:rPr>
          <w:rFonts w:ascii="Arial" w:hAnsi="Arial" w:cs="Arial"/>
          <w:i/>
          <w:lang w:val="es-CO"/>
        </w:rPr>
        <w:t>Art. 14, Decreto 2763 de 2012)</w:t>
      </w:r>
    </w:p>
    <w:p w14:paraId="31A522C5" w14:textId="77777777" w:rsidR="00B2442D" w:rsidRDefault="00B2442D">
      <w:pPr>
        <w:jc w:val="both"/>
        <w:rPr>
          <w:rFonts w:ascii="Arial" w:hAnsi="Arial" w:cs="Arial"/>
          <w:i/>
          <w:lang w:val="es-CO"/>
        </w:rPr>
      </w:pPr>
    </w:p>
    <w:p w14:paraId="2733A2A1"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Aplicación del Decreto 2763 de 2012.</w:t>
      </w:r>
      <w:r>
        <w:rPr>
          <w:rFonts w:ascii="Arial" w:hAnsi="Arial" w:cs="Arial"/>
          <w:lang w:val="es-CO"/>
        </w:rPr>
        <w:t xml:space="preserve"> Los aspectos no regulados en el presente decreto (2763 de 2012), se regirán por la</w:t>
      </w:r>
      <w:r>
        <w:rPr>
          <w:rFonts w:ascii="Arial" w:hAnsi="Arial" w:cs="Arial"/>
          <w:lang w:val="es-CO"/>
        </w:rPr>
        <w:t xml:space="preserve">s disposiciones generales del Estatuto Tributario y sus normas reglamentarias. </w:t>
      </w:r>
    </w:p>
    <w:p w14:paraId="02F2C3C6" w14:textId="77777777" w:rsidR="00B2442D" w:rsidRDefault="00B2442D">
      <w:pPr>
        <w:jc w:val="both"/>
        <w:rPr>
          <w:rFonts w:ascii="Arial" w:hAnsi="Arial" w:cs="Arial"/>
          <w:i/>
          <w:lang w:val="es-CO"/>
        </w:rPr>
      </w:pPr>
    </w:p>
    <w:p w14:paraId="364D28C5" w14:textId="77777777" w:rsidR="00B2442D" w:rsidRDefault="008A645F">
      <w:pPr>
        <w:jc w:val="both"/>
        <w:rPr>
          <w:rFonts w:ascii="Arial" w:hAnsi="Arial" w:cs="Arial"/>
          <w:i/>
          <w:lang w:val="es-CO"/>
        </w:rPr>
      </w:pPr>
      <w:r>
        <w:rPr>
          <w:rFonts w:ascii="Arial" w:hAnsi="Arial" w:cs="Arial"/>
          <w:lang w:val="es-CO"/>
        </w:rPr>
        <w:t>(</w:t>
      </w:r>
      <w:r>
        <w:rPr>
          <w:rFonts w:ascii="Arial" w:hAnsi="Arial" w:cs="Arial"/>
          <w:i/>
          <w:lang w:val="es-CO"/>
        </w:rPr>
        <w:t>Art. 15, Decreto 2763 de 2012)</w:t>
      </w:r>
    </w:p>
    <w:p w14:paraId="4921DCFE" w14:textId="77777777" w:rsidR="00B2442D" w:rsidRDefault="00B2442D">
      <w:pPr>
        <w:jc w:val="both"/>
        <w:rPr>
          <w:rFonts w:ascii="Arial" w:hAnsi="Arial" w:cs="Arial"/>
          <w:i/>
          <w:lang w:val="es-CO"/>
        </w:rPr>
      </w:pPr>
    </w:p>
    <w:p w14:paraId="3327DB6F" w14:textId="77777777" w:rsidR="00B2442D" w:rsidRDefault="008A645F">
      <w:pPr>
        <w:pStyle w:val="Prrafodelista"/>
        <w:numPr>
          <w:ilvl w:val="0"/>
          <w:numId w:val="106"/>
        </w:numPr>
        <w:ind w:left="0" w:firstLine="0"/>
        <w:jc w:val="both"/>
        <w:rPr>
          <w:rFonts w:ascii="Arial" w:hAnsi="Arial" w:cs="Arial"/>
          <w:b/>
          <w:lang w:val="es-CO"/>
        </w:rPr>
      </w:pPr>
      <w:r>
        <w:rPr>
          <w:rFonts w:ascii="Arial" w:hAnsi="Arial" w:cs="Arial"/>
          <w:b/>
          <w:i/>
          <w:lang w:val="es-CO"/>
        </w:rPr>
        <w:t xml:space="preserve"> Definiciones.</w:t>
      </w:r>
      <w:r>
        <w:rPr>
          <w:rFonts w:ascii="Arial" w:hAnsi="Arial" w:cs="Arial"/>
          <w:lang w:val="es-CO"/>
        </w:rPr>
        <w:t xml:space="preserve"> Para la aplicación e interpretación de los 1.6.1.4.13 a 1.6.1.4.23 del presente Decreto, se tendrán en cuenta las siguientes definiciones:</w:t>
      </w:r>
    </w:p>
    <w:p w14:paraId="1B19FF07" w14:textId="77777777" w:rsidR="00B2442D" w:rsidRDefault="00B2442D">
      <w:pPr>
        <w:jc w:val="both"/>
        <w:rPr>
          <w:rFonts w:ascii="Arial" w:hAnsi="Arial" w:cs="Arial"/>
          <w:b/>
          <w:lang w:val="es-CO"/>
        </w:rPr>
      </w:pPr>
    </w:p>
    <w:p w14:paraId="4F5970E1" w14:textId="77777777" w:rsidR="00B2442D" w:rsidRDefault="008A645F">
      <w:pPr>
        <w:pStyle w:val="Prrafodelista"/>
        <w:numPr>
          <w:ilvl w:val="0"/>
          <w:numId w:val="6"/>
        </w:numPr>
        <w:ind w:left="0" w:firstLine="0"/>
        <w:jc w:val="both"/>
        <w:rPr>
          <w:rFonts w:ascii="Arial" w:hAnsi="Arial" w:cs="Arial"/>
          <w:lang w:val="es-CO"/>
        </w:rPr>
      </w:pPr>
      <w:r>
        <w:rPr>
          <w:rFonts w:ascii="Arial" w:hAnsi="Arial" w:cs="Arial"/>
          <w:b/>
          <w:lang w:val="es-CO"/>
        </w:rPr>
        <w:t>Factura electrónica:</w:t>
      </w:r>
      <w:r>
        <w:rPr>
          <w:rFonts w:ascii="Arial" w:hAnsi="Arial" w:cs="Arial"/>
          <w:lang w:val="es-CO"/>
        </w:rPr>
        <w:t xml:space="preserve"> Es el documento que soporta transacciones de venta de bienes y/o servicios, que para efectos f</w:t>
      </w:r>
      <w:r>
        <w:rPr>
          <w:rFonts w:ascii="Arial" w:hAnsi="Arial" w:cs="Arial"/>
          <w:lang w:val="es-CO"/>
        </w:rPr>
        <w:t>iscales debe ser expedida, entregada, aceptada y conservada por y en medios y formatos electrónicos, a través de un proceso de facturación que utilice procedimientos y tecnología de información, en forma directa o a través de terceros, que garantice su aut</w:t>
      </w:r>
      <w:r>
        <w:rPr>
          <w:rFonts w:ascii="Arial" w:hAnsi="Arial" w:cs="Arial"/>
          <w:lang w:val="es-CO"/>
        </w:rPr>
        <w:t>enticidad e integridad desde su expedición y durante todo el tiempo de su conservación, de conformidad con lo establecido en los artículos 1.6.1.4.13 a 1.6.1.4.23 del presente Decreto, incluidos los documentos que la afectan como son las notas crédito;</w:t>
      </w:r>
    </w:p>
    <w:p w14:paraId="354C5090" w14:textId="77777777" w:rsidR="00B2442D" w:rsidRDefault="00B2442D">
      <w:pPr>
        <w:pStyle w:val="Prrafodelista"/>
        <w:ind w:left="0"/>
        <w:jc w:val="both"/>
        <w:rPr>
          <w:rFonts w:ascii="Arial" w:hAnsi="Arial" w:cs="Arial"/>
          <w:lang w:val="es-CO"/>
        </w:rPr>
      </w:pPr>
    </w:p>
    <w:p w14:paraId="4BBB8292" w14:textId="77777777" w:rsidR="00B2442D" w:rsidRDefault="008A645F">
      <w:pPr>
        <w:pStyle w:val="Prrafodelista"/>
        <w:numPr>
          <w:ilvl w:val="0"/>
          <w:numId w:val="6"/>
        </w:numPr>
        <w:ind w:left="0" w:firstLine="0"/>
        <w:jc w:val="both"/>
        <w:rPr>
          <w:rFonts w:ascii="Arial" w:hAnsi="Arial" w:cs="Arial"/>
          <w:lang w:val="es-CO"/>
        </w:rPr>
      </w:pPr>
      <w:r>
        <w:rPr>
          <w:rFonts w:ascii="Arial" w:hAnsi="Arial" w:cs="Arial"/>
          <w:b/>
          <w:lang w:val="es-CO"/>
        </w:rPr>
        <w:t>Ob</w:t>
      </w:r>
      <w:r>
        <w:rPr>
          <w:rFonts w:ascii="Arial" w:hAnsi="Arial" w:cs="Arial"/>
          <w:b/>
          <w:lang w:val="es-CO"/>
        </w:rPr>
        <w:t>ligado a facturar:</w:t>
      </w:r>
      <w:r>
        <w:rPr>
          <w:rFonts w:ascii="Arial" w:hAnsi="Arial" w:cs="Arial"/>
          <w:lang w:val="es-CO"/>
        </w:rPr>
        <w:t xml:space="preserve"> Es la persona natural o jurídica que conforme a las normas tributarias tiene la obligación de facturar y que, tratándose de la factura electrónica, la expide, generándola y numerándola por medio de un sistema de facturación por computado</w:t>
      </w:r>
      <w:r>
        <w:rPr>
          <w:rFonts w:ascii="Arial" w:hAnsi="Arial" w:cs="Arial"/>
          <w:lang w:val="es-CO"/>
        </w:rPr>
        <w:t>r en los términos del artículo 1.6.1.4.7 del presente Decreto o las normas que lo modifiquen, entregándola al adquirente y conservándola para su posterior exhibición en los términos que se establecen en los artículos 1.6.1.4.13 a 1.6.1.4.23 del presente De</w:t>
      </w:r>
      <w:r>
        <w:rPr>
          <w:rFonts w:ascii="Arial" w:hAnsi="Arial" w:cs="Arial"/>
          <w:lang w:val="es-CO"/>
        </w:rPr>
        <w:t>creto;</w:t>
      </w:r>
    </w:p>
    <w:p w14:paraId="738D0835" w14:textId="77777777" w:rsidR="00B2442D" w:rsidRDefault="00B2442D">
      <w:pPr>
        <w:pStyle w:val="Prrafodelista"/>
        <w:ind w:left="0"/>
        <w:rPr>
          <w:rFonts w:ascii="Arial" w:hAnsi="Arial" w:cs="Arial"/>
          <w:lang w:val="es-CO"/>
        </w:rPr>
      </w:pPr>
    </w:p>
    <w:p w14:paraId="0480CC0C" w14:textId="77777777" w:rsidR="00B2442D" w:rsidRDefault="008A645F">
      <w:pPr>
        <w:pStyle w:val="Prrafodelista"/>
        <w:numPr>
          <w:ilvl w:val="0"/>
          <w:numId w:val="6"/>
        </w:numPr>
        <w:ind w:left="0" w:firstLine="0"/>
        <w:jc w:val="both"/>
        <w:rPr>
          <w:rFonts w:ascii="Arial" w:hAnsi="Arial" w:cs="Arial"/>
          <w:shd w:val="clear" w:color="auto" w:fill="BFBFBF" w:themeFill="background1" w:themeFillShade="BF"/>
          <w:lang w:val="es-CO"/>
        </w:rPr>
      </w:pPr>
      <w:r>
        <w:rPr>
          <w:rFonts w:ascii="Arial" w:hAnsi="Arial" w:cs="Arial"/>
          <w:b/>
          <w:lang w:val="es-CO"/>
        </w:rPr>
        <w:t xml:space="preserve">Adquirente: </w:t>
      </w:r>
      <w:r>
        <w:rPr>
          <w:rFonts w:ascii="Arial" w:hAnsi="Arial" w:cs="Arial"/>
          <w:lang w:val="es-CO"/>
        </w:rPr>
        <w:t>Es la persona natural o jurídica que como adquirente de bienes o servicios debe exigir factura o documento equivalente y, que tratándose de la factura electrónica, la acepta y conserva para su posterior exhibición, en los términos que s</w:t>
      </w:r>
      <w:r>
        <w:rPr>
          <w:rFonts w:ascii="Arial" w:hAnsi="Arial" w:cs="Arial"/>
          <w:lang w:val="es-CO"/>
        </w:rPr>
        <w:t>e establecen en los artículos 1.6.1.4.13 a 1.6.1.4.23 del presente Decreto;</w:t>
      </w:r>
    </w:p>
    <w:p w14:paraId="5C20A653" w14:textId="77777777" w:rsidR="00B2442D" w:rsidRDefault="00B2442D">
      <w:pPr>
        <w:jc w:val="both"/>
        <w:rPr>
          <w:rFonts w:ascii="Arial" w:hAnsi="Arial" w:cs="Arial"/>
          <w:b/>
          <w:lang w:val="es-CO"/>
        </w:rPr>
      </w:pPr>
    </w:p>
    <w:p w14:paraId="6B99A04E" w14:textId="77777777" w:rsidR="00B2442D" w:rsidRDefault="008A645F">
      <w:pPr>
        <w:pStyle w:val="Prrafodelista"/>
        <w:numPr>
          <w:ilvl w:val="0"/>
          <w:numId w:val="6"/>
        </w:numPr>
        <w:ind w:left="0" w:firstLine="0"/>
        <w:jc w:val="both"/>
        <w:rPr>
          <w:rFonts w:ascii="Arial" w:hAnsi="Arial" w:cs="Arial"/>
          <w:lang w:val="es-CO"/>
        </w:rPr>
      </w:pPr>
      <w:r>
        <w:rPr>
          <w:rFonts w:ascii="Arial" w:hAnsi="Arial" w:cs="Arial"/>
          <w:b/>
          <w:lang w:val="es-CO"/>
        </w:rPr>
        <w:t>Tercero:</w:t>
      </w:r>
      <w:r>
        <w:rPr>
          <w:rFonts w:ascii="Arial" w:hAnsi="Arial" w:cs="Arial"/>
          <w:lang w:val="es-CO"/>
        </w:rPr>
        <w:t xml:space="preserve"> Es la persona natural o jurídica que presta al obligado a facturar y/o al adquirente, los servicios inherentes al proceso de facturación, tales como: expedición, entrega, aceptación, conservación y exhibición, y debe en consecuencia cumplir todos los requ</w:t>
      </w:r>
      <w:r>
        <w:rPr>
          <w:rFonts w:ascii="Arial" w:hAnsi="Arial" w:cs="Arial"/>
          <w:lang w:val="es-CO"/>
        </w:rPr>
        <w:t xml:space="preserve">isitos y condiciones exigidos en el presente decreto. En todo caso el obligado a facturar y el adquirente son los responsables frente a la Unidad Administrativa Especial Dirección de Impuestos y Aduanas Nacionales– DIAN por las obligaciones que como tales </w:t>
      </w:r>
      <w:r>
        <w:rPr>
          <w:rFonts w:ascii="Arial" w:hAnsi="Arial" w:cs="Arial"/>
          <w:lang w:val="es-CO"/>
        </w:rPr>
        <w:t>les corresponden;</w:t>
      </w:r>
    </w:p>
    <w:p w14:paraId="7FA7CE96" w14:textId="77777777" w:rsidR="00B2442D" w:rsidRDefault="00B2442D">
      <w:pPr>
        <w:jc w:val="both"/>
        <w:rPr>
          <w:rFonts w:ascii="Arial" w:hAnsi="Arial" w:cs="Arial"/>
          <w:lang w:val="es-CO"/>
        </w:rPr>
      </w:pPr>
    </w:p>
    <w:p w14:paraId="63AD533D" w14:textId="77777777" w:rsidR="00B2442D" w:rsidRDefault="008A645F">
      <w:pPr>
        <w:pStyle w:val="Prrafodelista"/>
        <w:numPr>
          <w:ilvl w:val="0"/>
          <w:numId w:val="6"/>
        </w:numPr>
        <w:ind w:left="0" w:firstLine="0"/>
        <w:jc w:val="both"/>
        <w:rPr>
          <w:rFonts w:ascii="Arial" w:hAnsi="Arial" w:cs="Arial"/>
          <w:lang w:val="es-CO"/>
        </w:rPr>
      </w:pPr>
      <w:r>
        <w:rPr>
          <w:rFonts w:ascii="Arial" w:hAnsi="Arial" w:cs="Arial"/>
          <w:b/>
          <w:lang w:val="es-CO"/>
        </w:rPr>
        <w:t>Número de la factura electrónica:</w:t>
      </w:r>
      <w:r>
        <w:rPr>
          <w:rFonts w:ascii="Arial" w:hAnsi="Arial" w:cs="Arial"/>
          <w:lang w:val="es-CO"/>
        </w:rPr>
        <w:t xml:space="preserve"> Es el número que obedece a un sistema de numeración consecutivo autorizado por la Unidad Administrativa Especial Dirección de Impuestos y Aduanas Nacionales– DIAN y corresponde al mismo autorizado para l</w:t>
      </w:r>
      <w:r>
        <w:rPr>
          <w:rFonts w:ascii="Arial" w:hAnsi="Arial" w:cs="Arial"/>
          <w:lang w:val="es-CO"/>
        </w:rPr>
        <w:t>a factura por computador. Tratándose de las empresas de servicios públicos domiciliarios deberá solicitarse la respectiva autorización.</w:t>
      </w:r>
    </w:p>
    <w:p w14:paraId="0B5F4A04" w14:textId="77777777" w:rsidR="00B2442D" w:rsidRDefault="00B2442D">
      <w:pPr>
        <w:jc w:val="both"/>
        <w:rPr>
          <w:rFonts w:ascii="Arial" w:hAnsi="Arial" w:cs="Arial"/>
          <w:lang w:val="es-CO"/>
        </w:rPr>
      </w:pPr>
    </w:p>
    <w:p w14:paraId="61A742C8" w14:textId="77777777" w:rsidR="00B2442D" w:rsidRDefault="008A645F">
      <w:pPr>
        <w:jc w:val="both"/>
        <w:rPr>
          <w:rFonts w:ascii="Arial" w:hAnsi="Arial" w:cs="Arial"/>
          <w:i/>
          <w:lang w:val="es-CO"/>
        </w:rPr>
      </w:pPr>
      <w:r>
        <w:rPr>
          <w:rFonts w:ascii="Arial" w:hAnsi="Arial" w:cs="Arial"/>
          <w:i/>
          <w:lang w:val="es-CO"/>
        </w:rPr>
        <w:t>(Art. 1, Decreto 1929 de 2007)</w:t>
      </w:r>
      <w:r>
        <w:rPr>
          <w:rFonts w:ascii="Arial" w:hAnsi="Arial" w:cs="Arial"/>
        </w:rPr>
        <w:t xml:space="preserve"> (</w:t>
      </w:r>
      <w:r>
        <w:rPr>
          <w:rFonts w:ascii="Arial" w:hAnsi="Arial" w:cs="Arial"/>
          <w:i/>
          <w:lang w:val="es-CO"/>
        </w:rPr>
        <w:t>El Decreto 1929 de 2007 rige a partir de la fecha de su publicación y deroga las dispos</w:t>
      </w:r>
      <w:r>
        <w:rPr>
          <w:rFonts w:ascii="Arial" w:hAnsi="Arial" w:cs="Arial"/>
          <w:i/>
          <w:lang w:val="es-CO"/>
        </w:rPr>
        <w:t>iciones que le sean contrarias, en especial el Decreto 1094 de 1996, sin perjuicio de lo previsto en el inciso segundo del artículo anterior. Art. 13, Decreto 1929 de 2007)</w:t>
      </w:r>
    </w:p>
    <w:p w14:paraId="68B9EFDC" w14:textId="77777777" w:rsidR="00B2442D" w:rsidRDefault="00B2442D">
      <w:pPr>
        <w:jc w:val="both"/>
        <w:rPr>
          <w:rFonts w:ascii="Arial" w:hAnsi="Arial" w:cs="Arial"/>
          <w:lang w:val="es-CO"/>
        </w:rPr>
      </w:pPr>
    </w:p>
    <w:p w14:paraId="4033B8C4"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Principios básicos de autenticidad e integridad.</w:t>
      </w:r>
      <w:r>
        <w:rPr>
          <w:rFonts w:ascii="Arial" w:hAnsi="Arial" w:cs="Arial"/>
          <w:lang w:val="es-CO"/>
        </w:rPr>
        <w:t xml:space="preserve"> La factura electrónica cumple co</w:t>
      </w:r>
      <w:r>
        <w:rPr>
          <w:rFonts w:ascii="Arial" w:hAnsi="Arial" w:cs="Arial"/>
          <w:lang w:val="es-CO"/>
        </w:rPr>
        <w:t>n los principios básicos de autenticidad e integridad, si satisface lo dispuesto en los artículos 8o, 9o, 16 y 17 de la Ley 527 de 1999, en concordancia con los artículos 12 y 13 de la misma ley.</w:t>
      </w:r>
    </w:p>
    <w:p w14:paraId="1B441BFC" w14:textId="77777777" w:rsidR="00B2442D" w:rsidRDefault="00B2442D">
      <w:pPr>
        <w:jc w:val="both"/>
        <w:rPr>
          <w:rFonts w:ascii="Arial" w:hAnsi="Arial" w:cs="Arial"/>
          <w:lang w:val="es-CO"/>
        </w:rPr>
      </w:pPr>
    </w:p>
    <w:p w14:paraId="1EF251CA" w14:textId="77777777" w:rsidR="00B2442D" w:rsidRDefault="008A645F">
      <w:pPr>
        <w:jc w:val="both"/>
        <w:rPr>
          <w:rFonts w:ascii="Arial" w:hAnsi="Arial" w:cs="Arial"/>
          <w:lang w:val="es-CO"/>
        </w:rPr>
      </w:pPr>
      <w:r>
        <w:rPr>
          <w:rFonts w:ascii="Arial" w:hAnsi="Arial" w:cs="Arial"/>
          <w:lang w:val="es-CO"/>
        </w:rPr>
        <w:t>El obligado a facturar debe asegurar la aplicación de los p</w:t>
      </w:r>
      <w:r>
        <w:rPr>
          <w:rFonts w:ascii="Arial" w:hAnsi="Arial" w:cs="Arial"/>
          <w:lang w:val="es-CO"/>
        </w:rPr>
        <w:t>rincipios mencionados en el proceso de facturación empleado y, específicamente, en los procedimientos de expedición (generación y numeración), entrega, aceptación y conservación, incluyendo el procedimiento de exhibición, con la certificación ISO 9001:2000</w:t>
      </w:r>
      <w:r>
        <w:rPr>
          <w:rFonts w:ascii="Arial" w:hAnsi="Arial" w:cs="Arial"/>
          <w:lang w:val="es-CO"/>
        </w:rPr>
        <w:t>, o las normas que la sustituyan o adicionen, otorgada y vigente por organismos acreditados por la Superintendencia de Industria y Comercio.</w:t>
      </w:r>
    </w:p>
    <w:p w14:paraId="5138718C" w14:textId="77777777" w:rsidR="00B2442D" w:rsidRDefault="00B2442D">
      <w:pPr>
        <w:jc w:val="both"/>
        <w:rPr>
          <w:rFonts w:ascii="Arial" w:hAnsi="Arial" w:cs="Arial"/>
          <w:lang w:val="es-CO"/>
        </w:rPr>
      </w:pPr>
    </w:p>
    <w:p w14:paraId="7D68E66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obligado a facturar tenga la categoría de Microempresa o Pequeña Empresa y con el fin de aseg</w:t>
      </w:r>
      <w:r>
        <w:rPr>
          <w:rFonts w:ascii="Arial" w:hAnsi="Arial" w:cs="Arial"/>
          <w:lang w:val="es-CO"/>
        </w:rPr>
        <w:t>urar la aplicación de los principios mencionados en el proceso de facturación electrónica, este podrá optar por certificarse en la norma NTC 6001:2008 o las normas que la sustituyan o adicionen.</w:t>
      </w:r>
    </w:p>
    <w:p w14:paraId="3C5C798D" w14:textId="77777777" w:rsidR="00B2442D" w:rsidRDefault="00B2442D">
      <w:pPr>
        <w:jc w:val="both"/>
        <w:rPr>
          <w:rFonts w:ascii="Arial" w:hAnsi="Arial" w:cs="Arial"/>
          <w:lang w:val="es-CO"/>
        </w:rPr>
      </w:pPr>
    </w:p>
    <w:p w14:paraId="42AFF89B" w14:textId="77777777" w:rsidR="00B2442D" w:rsidRDefault="008A645F">
      <w:pPr>
        <w:jc w:val="both"/>
        <w:rPr>
          <w:rFonts w:ascii="Arial" w:hAnsi="Arial" w:cs="Arial"/>
          <w:lang w:val="es-CO"/>
        </w:rPr>
      </w:pPr>
      <w:r>
        <w:rPr>
          <w:rFonts w:ascii="Arial" w:hAnsi="Arial" w:cs="Arial"/>
          <w:lang w:val="es-CO"/>
        </w:rPr>
        <w:t>Cuando se superen los parámetros establecidos para estas cat</w:t>
      </w:r>
      <w:r>
        <w:rPr>
          <w:rFonts w:ascii="Arial" w:hAnsi="Arial" w:cs="Arial"/>
          <w:lang w:val="es-CO"/>
        </w:rPr>
        <w:t>egorías, y el obligado opte por seguir facturando electrónicamente, deberá obtener la certificación en la norma NTC ISO-9001:2008 o las normas que la sustituyan o adicionen</w:t>
      </w:r>
    </w:p>
    <w:p w14:paraId="73E118BD" w14:textId="77777777" w:rsidR="00B2442D" w:rsidRDefault="00B2442D">
      <w:pPr>
        <w:jc w:val="both"/>
        <w:rPr>
          <w:rFonts w:ascii="Arial" w:hAnsi="Arial" w:cs="Arial"/>
          <w:lang w:val="es-CO"/>
        </w:rPr>
      </w:pPr>
    </w:p>
    <w:p w14:paraId="1D7F00F9" w14:textId="77777777" w:rsidR="00B2442D" w:rsidRDefault="008A645F">
      <w:pPr>
        <w:jc w:val="both"/>
        <w:rPr>
          <w:rFonts w:ascii="Arial" w:hAnsi="Arial" w:cs="Arial"/>
          <w:i/>
          <w:lang w:val="es-CO"/>
        </w:rPr>
      </w:pPr>
      <w:r>
        <w:rPr>
          <w:rFonts w:ascii="Arial" w:hAnsi="Arial" w:cs="Arial"/>
          <w:i/>
          <w:lang w:val="es-CO"/>
        </w:rPr>
        <w:t xml:space="preserve">(Art. 2, Decreto 1929 de 2007. Parágrafo adicionado por el art. 1 del </w:t>
      </w:r>
      <w:r>
        <w:rPr>
          <w:rFonts w:ascii="Arial" w:hAnsi="Arial" w:cs="Arial"/>
          <w:i/>
          <w:lang w:val="es-CO"/>
        </w:rPr>
        <w:t>Decreto 2668 de 2010)</w:t>
      </w:r>
      <w:r>
        <w:rPr>
          <w:rFonts w:ascii="Arial" w:hAnsi="Arial" w:cs="Arial"/>
        </w:rPr>
        <w:t xml:space="preserve"> </w:t>
      </w:r>
      <w:r>
        <w:rPr>
          <w:rFonts w:ascii="Arial" w:hAnsi="Arial" w:cs="Arial"/>
          <w:i/>
          <w:lang w:val="es-CO"/>
        </w:rPr>
        <w:t>(El Decreto 1929 de 2007 rige a partir de la fecha de su publicación y deroga las disposiciones que le sean contrarias, en especial el Decreto 1094 de 1996, sin perjuicio de lo previsto en el inciso segundo del artículo anterior. Art.</w:t>
      </w:r>
      <w:r>
        <w:rPr>
          <w:rFonts w:ascii="Arial" w:hAnsi="Arial" w:cs="Arial"/>
          <w:i/>
          <w:lang w:val="es-CO"/>
        </w:rPr>
        <w:t xml:space="preserve"> 13, Decreto 1929 de 2007)</w:t>
      </w:r>
    </w:p>
    <w:p w14:paraId="2C55231B" w14:textId="77777777" w:rsidR="00B2442D" w:rsidRDefault="00B2442D">
      <w:pPr>
        <w:jc w:val="both"/>
        <w:rPr>
          <w:rFonts w:ascii="Arial" w:hAnsi="Arial" w:cs="Arial"/>
          <w:lang w:val="es-CO"/>
        </w:rPr>
      </w:pPr>
    </w:p>
    <w:p w14:paraId="593083B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Requisitos de contenido fiscal de la factura electrónica y de las notas crédito.</w:t>
      </w:r>
      <w:r>
        <w:rPr>
          <w:rFonts w:ascii="Arial" w:hAnsi="Arial" w:cs="Arial"/>
          <w:lang w:val="es-CO"/>
        </w:rPr>
        <w:t xml:space="preserve"> La factura electrónica deberá contener como mínimo los requisitos señalados en el artículo 617 del Estatuto Tributario y las normas que lo modifiq</w:t>
      </w:r>
      <w:r>
        <w:rPr>
          <w:rFonts w:ascii="Arial" w:hAnsi="Arial" w:cs="Arial"/>
          <w:lang w:val="es-CO"/>
        </w:rPr>
        <w:t>uen o complementen, salvo los referentes al nombre o razón social y NIT del impresor. La factura electrónica no requiere la preimpresión de los requisitos que según dicha norma deben cumplir con esta previsión.</w:t>
      </w:r>
    </w:p>
    <w:p w14:paraId="3539290B" w14:textId="77777777" w:rsidR="00B2442D" w:rsidRDefault="00B2442D">
      <w:pPr>
        <w:jc w:val="both"/>
        <w:rPr>
          <w:rFonts w:ascii="Arial" w:hAnsi="Arial" w:cs="Arial"/>
          <w:lang w:val="es-CO"/>
        </w:rPr>
      </w:pPr>
    </w:p>
    <w:p w14:paraId="6CE85B9E" w14:textId="77777777" w:rsidR="00B2442D" w:rsidRDefault="008A645F">
      <w:pPr>
        <w:jc w:val="both"/>
        <w:rPr>
          <w:rFonts w:ascii="Arial" w:hAnsi="Arial" w:cs="Arial"/>
          <w:lang w:val="es-CO"/>
        </w:rPr>
      </w:pPr>
      <w:r>
        <w:rPr>
          <w:rFonts w:ascii="Arial" w:hAnsi="Arial" w:cs="Arial"/>
          <w:lang w:val="es-CO"/>
        </w:rPr>
        <w:t>Cuando se trate de factura cambiaria de comp</w:t>
      </w:r>
      <w:r>
        <w:rPr>
          <w:rFonts w:ascii="Arial" w:hAnsi="Arial" w:cs="Arial"/>
          <w:lang w:val="es-CO"/>
        </w:rPr>
        <w:t>raventa, el documento llevará esta denominación, cumpliendo así el requisito del literal a) del artículo 617 del Estatuto Tributario. Lo anterior sin perjuicio de los requisitos y condiciones que conforme con el Código de Comercio en concordancia con la Le</w:t>
      </w:r>
      <w:r>
        <w:rPr>
          <w:rFonts w:ascii="Arial" w:hAnsi="Arial" w:cs="Arial"/>
          <w:lang w:val="es-CO"/>
        </w:rPr>
        <w:t>y 527 de 1999, debe cumplir dicha factura para su expedición.</w:t>
      </w:r>
    </w:p>
    <w:p w14:paraId="290FA753" w14:textId="77777777" w:rsidR="00B2442D" w:rsidRDefault="00B2442D">
      <w:pPr>
        <w:jc w:val="both"/>
        <w:rPr>
          <w:rFonts w:ascii="Arial" w:hAnsi="Arial" w:cs="Arial"/>
          <w:lang w:val="es-CO"/>
        </w:rPr>
      </w:pPr>
    </w:p>
    <w:p w14:paraId="5892D66B" w14:textId="77777777" w:rsidR="00B2442D" w:rsidRDefault="008A645F">
      <w:pPr>
        <w:jc w:val="both"/>
        <w:rPr>
          <w:rFonts w:ascii="Arial" w:hAnsi="Arial" w:cs="Arial"/>
          <w:lang w:val="es-CO"/>
        </w:rPr>
      </w:pPr>
      <w:r>
        <w:rPr>
          <w:rFonts w:ascii="Arial" w:hAnsi="Arial" w:cs="Arial"/>
          <w:lang w:val="es-CO"/>
        </w:rPr>
        <w:t>Tratándose de las empresas de servicios públicos domiciliarios, la factura electrónica deberá contener como mínimo los requisitos señalados en el artículo 1.6.1.4.39 del presente Decreto.</w:t>
      </w:r>
    </w:p>
    <w:p w14:paraId="1438BAB7" w14:textId="77777777" w:rsidR="00B2442D" w:rsidRDefault="00B2442D">
      <w:pPr>
        <w:jc w:val="both"/>
        <w:rPr>
          <w:rFonts w:ascii="Arial" w:hAnsi="Arial" w:cs="Arial"/>
          <w:lang w:val="es-CO"/>
        </w:rPr>
      </w:pPr>
    </w:p>
    <w:p w14:paraId="5F5FAAE9" w14:textId="77777777" w:rsidR="00B2442D" w:rsidRDefault="008A645F">
      <w:pPr>
        <w:jc w:val="both"/>
        <w:rPr>
          <w:rFonts w:ascii="Arial" w:hAnsi="Arial" w:cs="Arial"/>
          <w:lang w:val="es-CO"/>
        </w:rPr>
      </w:pPr>
      <w:r>
        <w:rPr>
          <w:rFonts w:ascii="Arial" w:hAnsi="Arial" w:cs="Arial"/>
          <w:b/>
          <w:lang w:val="es-CO"/>
        </w:rPr>
        <w:t>Pará</w:t>
      </w:r>
      <w:r>
        <w:rPr>
          <w:rFonts w:ascii="Arial" w:hAnsi="Arial" w:cs="Arial"/>
          <w:b/>
          <w:lang w:val="es-CO"/>
        </w:rPr>
        <w:t>grafo 1.</w:t>
      </w:r>
      <w:r>
        <w:rPr>
          <w:rFonts w:ascii="Arial" w:hAnsi="Arial" w:cs="Arial"/>
          <w:lang w:val="es-CO"/>
        </w:rPr>
        <w:t xml:space="preserve"> Las notas crédito deben corresponder a un sistema de numeración consecutiva y deben contener como mínimo el número y fecha de la factura a la cual hacen referencia, nombre o razón social y NIT del adquirente, la fecha de la nota, número de unidade</w:t>
      </w:r>
      <w:r>
        <w:rPr>
          <w:rFonts w:ascii="Arial" w:hAnsi="Arial" w:cs="Arial"/>
          <w:lang w:val="es-CO"/>
        </w:rPr>
        <w:t>s, descripción, IVA (cuando sea del caso), valor unitario y valor total.</w:t>
      </w:r>
    </w:p>
    <w:p w14:paraId="742CA1D4" w14:textId="77777777" w:rsidR="00B2442D" w:rsidRDefault="00B2442D">
      <w:pPr>
        <w:jc w:val="both"/>
        <w:rPr>
          <w:rFonts w:ascii="Arial" w:hAnsi="Arial" w:cs="Arial"/>
          <w:lang w:val="es-CO"/>
        </w:rPr>
      </w:pPr>
    </w:p>
    <w:p w14:paraId="6F494583"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Si hay lugar a devoluciones o rescisiones deberá emitirse la nota crédito, o efectuarse la anulación cuando se presente alguna inconsistencia, antes de ser aceptada la o</w:t>
      </w:r>
      <w:r>
        <w:rPr>
          <w:rFonts w:ascii="Arial" w:hAnsi="Arial" w:cs="Arial"/>
          <w:lang w:val="es-CO"/>
        </w:rPr>
        <w:t>peración por el adquirente. Los números de facturas anuladas no podrán ser utilizados nuevamente y deberá llevarse un registro de las mismas.</w:t>
      </w:r>
    </w:p>
    <w:p w14:paraId="68FCAA66" w14:textId="77777777" w:rsidR="00B2442D" w:rsidRDefault="00B2442D">
      <w:pPr>
        <w:jc w:val="both"/>
        <w:rPr>
          <w:rFonts w:ascii="Arial" w:hAnsi="Arial" w:cs="Arial"/>
          <w:lang w:val="es-CO"/>
        </w:rPr>
      </w:pPr>
    </w:p>
    <w:p w14:paraId="4021F5FA" w14:textId="77777777" w:rsidR="00B2442D" w:rsidRDefault="008A645F">
      <w:pPr>
        <w:jc w:val="both"/>
        <w:rPr>
          <w:rFonts w:ascii="Arial" w:hAnsi="Arial" w:cs="Arial"/>
          <w:i/>
          <w:lang w:val="es-CO"/>
        </w:rPr>
      </w:pPr>
      <w:r>
        <w:rPr>
          <w:rFonts w:ascii="Arial" w:hAnsi="Arial" w:cs="Arial"/>
          <w:i/>
          <w:lang w:val="es-CO"/>
        </w:rPr>
        <w:t>(Art. 3, Decreto 1929 de 2007)</w:t>
      </w:r>
      <w:r>
        <w:rPr>
          <w:rFonts w:ascii="Arial" w:hAnsi="Arial" w:cs="Arial"/>
        </w:rPr>
        <w:t xml:space="preserve"> </w:t>
      </w:r>
      <w:r>
        <w:rPr>
          <w:rFonts w:ascii="Arial" w:hAnsi="Arial" w:cs="Arial"/>
          <w:i/>
          <w:lang w:val="es-CO"/>
        </w:rPr>
        <w:t xml:space="preserve">(El Decreto 1929 de 2007 rige a partir de la fecha de su publicación y deroga las </w:t>
      </w:r>
      <w:r>
        <w:rPr>
          <w:rFonts w:ascii="Arial" w:hAnsi="Arial" w:cs="Arial"/>
          <w:i/>
          <w:lang w:val="es-CO"/>
        </w:rPr>
        <w:t>disposiciones que le sean contrarias, en especial el Decreto 1094 de 1996, sin perjuicio de lo previsto en el inciso segundo del artículo anterior. Art. 13, Decreto 1929 de 2007)</w:t>
      </w:r>
    </w:p>
    <w:p w14:paraId="71E65960" w14:textId="77777777" w:rsidR="00B2442D" w:rsidRDefault="00B2442D">
      <w:pPr>
        <w:jc w:val="both"/>
        <w:rPr>
          <w:rFonts w:ascii="Arial" w:hAnsi="Arial" w:cs="Arial"/>
          <w:lang w:val="es-CO"/>
        </w:rPr>
      </w:pPr>
    </w:p>
    <w:p w14:paraId="2CFFA4B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Requisitos de contenido técnico de la factura electrónica y de las notas cr</w:t>
      </w:r>
      <w:r>
        <w:rPr>
          <w:rFonts w:ascii="Arial" w:hAnsi="Arial" w:cs="Arial"/>
          <w:b/>
          <w:i/>
          <w:lang w:val="es-CO"/>
        </w:rPr>
        <w:t>édito.</w:t>
      </w:r>
      <w:r>
        <w:rPr>
          <w:rFonts w:ascii="Arial" w:hAnsi="Arial" w:cs="Arial"/>
          <w:lang w:val="es-CO"/>
        </w:rPr>
        <w:t xml:space="preserve"> La factura electrónica y las notas crédito deberán contener dentro del formato electrónico en el que se conservan, información técnica de control referida al contenido fiscal mismo, al momento de expedición y al formato electrónico de conservación d</w:t>
      </w:r>
      <w:r>
        <w:rPr>
          <w:rFonts w:ascii="Arial" w:hAnsi="Arial" w:cs="Arial"/>
          <w:lang w:val="es-CO"/>
        </w:rPr>
        <w:t>el documento, entre otros, de acuerdo con las características que establezca la Unidad Administrativa Especial Dirección de impuestos y Aduanas Nacionales- DIAN.</w:t>
      </w:r>
    </w:p>
    <w:p w14:paraId="66600A60" w14:textId="77777777" w:rsidR="00B2442D" w:rsidRDefault="00B2442D">
      <w:pPr>
        <w:jc w:val="both"/>
        <w:rPr>
          <w:rFonts w:ascii="Arial" w:hAnsi="Arial" w:cs="Arial"/>
          <w:lang w:val="es-CO"/>
        </w:rPr>
      </w:pPr>
    </w:p>
    <w:p w14:paraId="0D7B00A9" w14:textId="77777777" w:rsidR="00B2442D" w:rsidRDefault="008A645F">
      <w:pPr>
        <w:jc w:val="both"/>
        <w:rPr>
          <w:rFonts w:ascii="Arial" w:hAnsi="Arial" w:cs="Arial"/>
          <w:i/>
          <w:lang w:val="es-CO"/>
        </w:rPr>
      </w:pPr>
      <w:r>
        <w:rPr>
          <w:rFonts w:ascii="Arial" w:hAnsi="Arial" w:cs="Arial"/>
          <w:i/>
          <w:lang w:val="es-CO"/>
        </w:rPr>
        <w:t>(Art. 4, Decreto 1929 de 2007)</w:t>
      </w:r>
      <w:r>
        <w:rPr>
          <w:rFonts w:ascii="Arial" w:hAnsi="Arial" w:cs="Arial"/>
        </w:rPr>
        <w:t xml:space="preserve"> </w:t>
      </w:r>
      <w:r>
        <w:rPr>
          <w:rFonts w:ascii="Arial" w:hAnsi="Arial" w:cs="Arial"/>
          <w:i/>
          <w:lang w:val="es-CO"/>
        </w:rPr>
        <w:t>(El Decreto 1929 de 2007 rige a partir de la fecha de su publi</w:t>
      </w:r>
      <w:r>
        <w:rPr>
          <w:rFonts w:ascii="Arial" w:hAnsi="Arial" w:cs="Arial"/>
          <w:i/>
          <w:lang w:val="es-CO"/>
        </w:rPr>
        <w:t>cación y deroga las disposiciones que le sean contrarias, en especial el Decreto 1094 de 1996, sin perjuicio de lo previsto en el inciso segundo del artículo anterior. Art. 13, Decreto 1929 de 2007)</w:t>
      </w:r>
    </w:p>
    <w:p w14:paraId="42D50991" w14:textId="77777777" w:rsidR="00B2442D" w:rsidRDefault="00B2442D">
      <w:pPr>
        <w:jc w:val="both"/>
        <w:rPr>
          <w:rFonts w:ascii="Arial" w:hAnsi="Arial" w:cs="Arial"/>
          <w:lang w:val="es-CO"/>
        </w:rPr>
      </w:pPr>
    </w:p>
    <w:p w14:paraId="01DCE608"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Exhibición de la factura electrónica.</w:t>
      </w:r>
      <w:r>
        <w:rPr>
          <w:rFonts w:ascii="Arial" w:hAnsi="Arial" w:cs="Arial"/>
          <w:lang w:val="es-CO"/>
        </w:rPr>
        <w:t xml:space="preserve"> En caso de requer</w:t>
      </w:r>
      <w:r>
        <w:rPr>
          <w:rFonts w:ascii="Arial" w:hAnsi="Arial" w:cs="Arial"/>
          <w:lang w:val="es-CO"/>
        </w:rPr>
        <w:t>irse la exhibición de la factura electrónica, esta deberá realizarse por medios y en formatos electrónicos o físicos, según lo solicite la Unidad Administrativa Especial Dirección de Impuestos y Aduanas Nacionales– DIAN y demás entes de control, de modo qu</w:t>
      </w:r>
      <w:r>
        <w:rPr>
          <w:rFonts w:ascii="Arial" w:hAnsi="Arial" w:cs="Arial"/>
          <w:lang w:val="es-CO"/>
        </w:rPr>
        <w:t>e se reproduzca con exactitud y de manera comprensible la información correspondiente a los contenidos fiscal y técnico.</w:t>
      </w:r>
    </w:p>
    <w:p w14:paraId="12717908" w14:textId="77777777" w:rsidR="00B2442D" w:rsidRDefault="00B2442D">
      <w:pPr>
        <w:jc w:val="both"/>
        <w:rPr>
          <w:rFonts w:ascii="Arial" w:hAnsi="Arial" w:cs="Arial"/>
          <w:lang w:val="es-CO"/>
        </w:rPr>
      </w:pPr>
    </w:p>
    <w:p w14:paraId="263CDD4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 la exhibición se le requiere al adquirente, puede cumplir con esta obligación por medios propios, de terceros o del obli</w:t>
      </w:r>
      <w:r>
        <w:rPr>
          <w:rFonts w:ascii="Arial" w:hAnsi="Arial" w:cs="Arial"/>
          <w:lang w:val="es-CO"/>
        </w:rPr>
        <w:t>gado a facturar, según se establezca previamente en el acuerdo para la expedición y aceptación de facturas electrónicas, sin perjuicio de la responsabilidad del adquirente respecto de sus obligaciones contables y tributarias.</w:t>
      </w:r>
    </w:p>
    <w:p w14:paraId="0801040C" w14:textId="77777777" w:rsidR="00B2442D" w:rsidRDefault="00B2442D">
      <w:pPr>
        <w:jc w:val="both"/>
        <w:rPr>
          <w:rFonts w:ascii="Arial" w:hAnsi="Arial" w:cs="Arial"/>
          <w:lang w:val="es-CO"/>
        </w:rPr>
      </w:pPr>
    </w:p>
    <w:p w14:paraId="2A04F662" w14:textId="77777777" w:rsidR="00B2442D" w:rsidRDefault="008A645F">
      <w:pPr>
        <w:jc w:val="both"/>
        <w:rPr>
          <w:rFonts w:ascii="Arial" w:hAnsi="Arial" w:cs="Arial"/>
          <w:i/>
          <w:lang w:val="es-CO"/>
        </w:rPr>
      </w:pPr>
      <w:r>
        <w:rPr>
          <w:rFonts w:ascii="Arial" w:hAnsi="Arial" w:cs="Arial"/>
          <w:i/>
          <w:lang w:val="es-CO"/>
        </w:rPr>
        <w:t>(Art. 5, Decreto 1929 de 2007</w:t>
      </w:r>
      <w:r>
        <w:rPr>
          <w:rFonts w:ascii="Arial" w:hAnsi="Arial" w:cs="Arial"/>
          <w:i/>
          <w:lang w:val="es-CO"/>
        </w:rPr>
        <w:t>)</w:t>
      </w:r>
      <w:r>
        <w:rPr>
          <w:rFonts w:ascii="Arial" w:hAnsi="Arial" w:cs="Arial"/>
        </w:rPr>
        <w:t xml:space="preserve"> </w:t>
      </w:r>
      <w:r>
        <w:rPr>
          <w:rFonts w:ascii="Arial" w:hAnsi="Arial" w:cs="Arial"/>
          <w:i/>
          <w:lang w:val="es-CO"/>
        </w:rPr>
        <w:t>(El Decreto 1929 de 2007 rige a partir de la fecha de su publicación y deroga las disposiciones que le sean contrarias, en especial el Decreto 1094 de 1996, sin perjuicio de lo previsto en el inciso segundo del artículo anterior. Art. 13, Decreto 1929 de</w:t>
      </w:r>
      <w:r>
        <w:rPr>
          <w:rFonts w:ascii="Arial" w:hAnsi="Arial" w:cs="Arial"/>
          <w:i/>
          <w:lang w:val="es-CO"/>
        </w:rPr>
        <w:t xml:space="preserve"> 2007)</w:t>
      </w:r>
    </w:p>
    <w:p w14:paraId="1B6CE605" w14:textId="77777777" w:rsidR="00B2442D" w:rsidRDefault="00B2442D">
      <w:pPr>
        <w:jc w:val="both"/>
        <w:rPr>
          <w:rFonts w:ascii="Arial" w:hAnsi="Arial" w:cs="Arial"/>
          <w:lang w:val="es-CO"/>
        </w:rPr>
      </w:pPr>
    </w:p>
    <w:p w14:paraId="3BC10E2E"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Conservación de la factura electrónica.</w:t>
      </w:r>
      <w:r>
        <w:rPr>
          <w:rFonts w:ascii="Arial" w:hAnsi="Arial" w:cs="Arial"/>
          <w:lang w:val="es-CO"/>
        </w:rPr>
        <w:t xml:space="preserve"> El obligado a facturar y el adquirente deberán conservar las facturas electrónicas y las notas crédito en el mismo formato electrónico en que fueron generadas y por el mismo término de las facturas en papel. </w:t>
      </w:r>
      <w:r>
        <w:rPr>
          <w:rFonts w:ascii="Arial" w:hAnsi="Arial" w:cs="Arial"/>
          <w:lang w:val="es-CO"/>
        </w:rPr>
        <w:t>Las facturas electrónicas y las notas crédito, con su contenido fiscal y técnico, deberán ser conservadas asegurando que cumplan las condiciones señaladas en los artículos 12 y 13 de la Ley 527 de 1999.</w:t>
      </w:r>
    </w:p>
    <w:p w14:paraId="7849D5AC" w14:textId="77777777" w:rsidR="00B2442D" w:rsidRDefault="00B2442D">
      <w:pPr>
        <w:jc w:val="both"/>
        <w:rPr>
          <w:rFonts w:ascii="Arial" w:hAnsi="Arial" w:cs="Arial"/>
          <w:lang w:val="es-CO"/>
        </w:rPr>
      </w:pPr>
    </w:p>
    <w:p w14:paraId="439714F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adquirente puede cumplir con esta </w:t>
      </w:r>
      <w:r>
        <w:rPr>
          <w:rFonts w:ascii="Arial" w:hAnsi="Arial" w:cs="Arial"/>
          <w:lang w:val="es-CO"/>
        </w:rPr>
        <w:t>obligación por medios propios, de terceros o del obligado a facturar, siempre y cuando se pacte previamente en el acuerdo para la expedición y aceptación de facturas electrónicas, sin perjuicio de la responsabilidad del adquirente respecto de sus obligacio</w:t>
      </w:r>
      <w:r>
        <w:rPr>
          <w:rFonts w:ascii="Arial" w:hAnsi="Arial" w:cs="Arial"/>
          <w:lang w:val="es-CO"/>
        </w:rPr>
        <w:t>nes contables y tributarias.</w:t>
      </w:r>
    </w:p>
    <w:p w14:paraId="160BBD05" w14:textId="77777777" w:rsidR="00B2442D" w:rsidRDefault="00B2442D">
      <w:pPr>
        <w:jc w:val="both"/>
        <w:rPr>
          <w:rFonts w:ascii="Arial" w:hAnsi="Arial" w:cs="Arial"/>
          <w:lang w:val="es-CO"/>
        </w:rPr>
      </w:pPr>
    </w:p>
    <w:p w14:paraId="5B5F1D44" w14:textId="77777777" w:rsidR="00B2442D" w:rsidRDefault="008A645F">
      <w:pPr>
        <w:jc w:val="both"/>
        <w:rPr>
          <w:rFonts w:ascii="Arial" w:hAnsi="Arial" w:cs="Arial"/>
          <w:i/>
          <w:lang w:val="es-CO"/>
        </w:rPr>
      </w:pPr>
      <w:r>
        <w:rPr>
          <w:rFonts w:ascii="Arial" w:hAnsi="Arial" w:cs="Arial"/>
          <w:i/>
          <w:lang w:val="es-CO"/>
        </w:rPr>
        <w:t>(Art. 6, Decreto 1929 de 2007)</w:t>
      </w:r>
      <w:r>
        <w:rPr>
          <w:rFonts w:ascii="Arial" w:hAnsi="Arial" w:cs="Arial"/>
        </w:rPr>
        <w:t xml:space="preserve"> </w:t>
      </w:r>
      <w:r>
        <w:rPr>
          <w:rFonts w:ascii="Arial" w:hAnsi="Arial" w:cs="Arial"/>
          <w:i/>
          <w:lang w:val="es-CO"/>
        </w:rPr>
        <w:t xml:space="preserve">(El Decreto 1929 de 2007 rige a partir de la fecha de su publicación y deroga las disposiciones que le sean contrarias, en especial el Decreto 1094 de 1996, sin perjuicio de lo previsto en el </w:t>
      </w:r>
      <w:r>
        <w:rPr>
          <w:rFonts w:ascii="Arial" w:hAnsi="Arial" w:cs="Arial"/>
          <w:i/>
          <w:lang w:val="es-CO"/>
        </w:rPr>
        <w:t>inciso segundo del artículo anterior. Art. 13, Decreto 1929 de 2007)</w:t>
      </w:r>
    </w:p>
    <w:p w14:paraId="6AF2993C" w14:textId="77777777" w:rsidR="00B2442D" w:rsidRDefault="00B2442D">
      <w:pPr>
        <w:jc w:val="both"/>
        <w:rPr>
          <w:rFonts w:ascii="Arial" w:hAnsi="Arial" w:cs="Arial"/>
          <w:lang w:val="es-CO"/>
        </w:rPr>
      </w:pPr>
    </w:p>
    <w:p w14:paraId="77ED8356"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Acuerdo para la expedición y aceptación de facturas electrónicas.</w:t>
      </w:r>
      <w:r>
        <w:rPr>
          <w:rFonts w:ascii="Arial" w:hAnsi="Arial" w:cs="Arial"/>
          <w:lang w:val="es-CO"/>
        </w:rPr>
        <w:t xml:space="preserve"> Sólo se podrá usar la factura electrónica cuando el adquirente lo haya aceptado en forma expresa. Para tal efecto deber</w:t>
      </w:r>
      <w:r>
        <w:rPr>
          <w:rFonts w:ascii="Arial" w:hAnsi="Arial" w:cs="Arial"/>
          <w:lang w:val="es-CO"/>
        </w:rPr>
        <w:t xml:space="preserve">á suscribirse de manera independiente un acuerdo entre el obligado a facturar y el adquirente, donde se establezcan previa y claramente como mínimo: fecha a partir de la cual rige, causales de terminación, los intervinientes en el proceso, las operaciones </w:t>
      </w:r>
      <w:r>
        <w:rPr>
          <w:rFonts w:ascii="Arial" w:hAnsi="Arial" w:cs="Arial"/>
          <w:lang w:val="es-CO"/>
        </w:rPr>
        <w:t>de venta a las que aplica, los procedimientos de expedición, entrega, aceptación, conservación y exhibición, el formato electrónico de conservación, la tecnología de información usada, asegurando, en todo caso, que se garanticen los principios básicos enun</w:t>
      </w:r>
      <w:r>
        <w:rPr>
          <w:rFonts w:ascii="Arial" w:hAnsi="Arial" w:cs="Arial"/>
          <w:lang w:val="es-CO"/>
        </w:rPr>
        <w:t>ciados en los artículos 1.6.1.4.13 a 1.6.1.4.23 del presente Decreto.</w:t>
      </w:r>
    </w:p>
    <w:p w14:paraId="6DD473D9" w14:textId="77777777" w:rsidR="00B2442D" w:rsidRDefault="00B2442D">
      <w:pPr>
        <w:jc w:val="both"/>
        <w:rPr>
          <w:rFonts w:ascii="Arial" w:hAnsi="Arial" w:cs="Arial"/>
          <w:lang w:val="es-CO"/>
        </w:rPr>
      </w:pPr>
    </w:p>
    <w:p w14:paraId="0A6D448C" w14:textId="77777777" w:rsidR="00B2442D" w:rsidRDefault="008A645F">
      <w:pPr>
        <w:jc w:val="both"/>
        <w:rPr>
          <w:rFonts w:ascii="Arial" w:hAnsi="Arial" w:cs="Arial"/>
          <w:lang w:val="es-CO"/>
        </w:rPr>
      </w:pPr>
      <w:r>
        <w:rPr>
          <w:rFonts w:ascii="Arial" w:hAnsi="Arial" w:cs="Arial"/>
          <w:lang w:val="es-CO"/>
        </w:rPr>
        <w:t>Igualmente, en el acuerdo deberá preverse un procedimiento de contingencia, aplicable cuando se presenten situaciones que no permitan llevar a cabo los procedimientos y medios acordados</w:t>
      </w:r>
      <w:r>
        <w:rPr>
          <w:rFonts w:ascii="Arial" w:hAnsi="Arial" w:cs="Arial"/>
          <w:lang w:val="es-CO"/>
        </w:rPr>
        <w:t>.</w:t>
      </w:r>
    </w:p>
    <w:p w14:paraId="1CEB53F4" w14:textId="77777777" w:rsidR="00B2442D" w:rsidRDefault="00B2442D">
      <w:pPr>
        <w:jc w:val="both"/>
        <w:rPr>
          <w:rFonts w:ascii="Arial" w:hAnsi="Arial" w:cs="Arial"/>
          <w:lang w:val="es-CO"/>
        </w:rPr>
      </w:pPr>
    </w:p>
    <w:p w14:paraId="0B0067C0" w14:textId="77777777" w:rsidR="00B2442D" w:rsidRDefault="008A645F">
      <w:pPr>
        <w:jc w:val="both"/>
        <w:rPr>
          <w:rFonts w:ascii="Arial" w:hAnsi="Arial" w:cs="Arial"/>
          <w:lang w:val="es-CO"/>
        </w:rPr>
      </w:pPr>
      <w:r>
        <w:rPr>
          <w:rFonts w:ascii="Arial" w:hAnsi="Arial" w:cs="Arial"/>
          <w:lang w:val="es-CO"/>
        </w:rPr>
        <w:t>Podrán suscribirse acuerdos para la expedición y aceptación de facturas electrónicas, una vez el obligado a facturar cumpla con las condiciones para facturar bajo esta modalidad, conforme a los artículos 1.6.1.4.13 a 1.6.1.4.23 del presente Decreto y la</w:t>
      </w:r>
      <w:r>
        <w:rPr>
          <w:rFonts w:ascii="Arial" w:hAnsi="Arial" w:cs="Arial"/>
          <w:lang w:val="es-CO"/>
        </w:rPr>
        <w:t xml:space="preserve"> resolución que expida la Unidad Administrativa Especial Dirección de Impuestos y Aduanas Nacionales– DIAN sobre la materia.</w:t>
      </w:r>
    </w:p>
    <w:p w14:paraId="2998D564" w14:textId="77777777" w:rsidR="00B2442D" w:rsidRDefault="00B2442D">
      <w:pPr>
        <w:jc w:val="both"/>
        <w:rPr>
          <w:rFonts w:ascii="Arial" w:hAnsi="Arial" w:cs="Arial"/>
          <w:lang w:val="es-CO"/>
        </w:rPr>
      </w:pPr>
    </w:p>
    <w:p w14:paraId="673F3059" w14:textId="77777777" w:rsidR="00B2442D" w:rsidRDefault="008A645F">
      <w:pPr>
        <w:jc w:val="both"/>
        <w:rPr>
          <w:rFonts w:ascii="Arial" w:hAnsi="Arial" w:cs="Arial"/>
          <w:lang w:val="es-CO"/>
        </w:rPr>
      </w:pPr>
      <w:r>
        <w:rPr>
          <w:rFonts w:ascii="Arial" w:hAnsi="Arial" w:cs="Arial"/>
          <w:lang w:val="es-CO"/>
        </w:rPr>
        <w:t>El acuerdo debe ser conservado tanto por el obligado a facturar como por el adquirente y estar a disposición de la Unidad Administ</w:t>
      </w:r>
      <w:r>
        <w:rPr>
          <w:rFonts w:ascii="Arial" w:hAnsi="Arial" w:cs="Arial"/>
          <w:lang w:val="es-CO"/>
        </w:rPr>
        <w:t>rativa Especial Dirección de Impuestos y Aduanas Nacionales– DIAN para cuando la misma lo requiera.</w:t>
      </w:r>
    </w:p>
    <w:p w14:paraId="7E2EAA0F" w14:textId="77777777" w:rsidR="00B2442D" w:rsidRDefault="00B2442D">
      <w:pPr>
        <w:jc w:val="both"/>
        <w:rPr>
          <w:rFonts w:ascii="Arial" w:hAnsi="Arial" w:cs="Arial"/>
          <w:lang w:val="es-CO"/>
        </w:rPr>
      </w:pPr>
    </w:p>
    <w:p w14:paraId="5F3EF89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empresas de servicios públicos domiciliarios deberán garantizar al usuario dentro del proceso de facturación a que se refiere los artículos </w:t>
      </w:r>
      <w:r>
        <w:rPr>
          <w:rFonts w:ascii="Arial" w:hAnsi="Arial" w:cs="Arial"/>
          <w:lang w:val="es-CO"/>
        </w:rPr>
        <w:t>1.6.1.4.13 a 1.6.1.4.23 del presente Decreto, los servicios de exhibición y conservación.</w:t>
      </w:r>
    </w:p>
    <w:p w14:paraId="0DD36524" w14:textId="77777777" w:rsidR="00B2442D" w:rsidRDefault="00B2442D">
      <w:pPr>
        <w:jc w:val="both"/>
        <w:rPr>
          <w:rFonts w:ascii="Arial" w:hAnsi="Arial" w:cs="Arial"/>
          <w:lang w:val="es-CO"/>
        </w:rPr>
      </w:pPr>
    </w:p>
    <w:p w14:paraId="01DBD6F8" w14:textId="77777777" w:rsidR="00B2442D" w:rsidRDefault="008A645F">
      <w:pPr>
        <w:jc w:val="both"/>
        <w:rPr>
          <w:rFonts w:ascii="Arial" w:hAnsi="Arial" w:cs="Arial"/>
          <w:i/>
          <w:lang w:val="es-CO"/>
        </w:rPr>
      </w:pPr>
      <w:r>
        <w:rPr>
          <w:rFonts w:ascii="Arial" w:hAnsi="Arial" w:cs="Arial"/>
          <w:i/>
          <w:lang w:val="es-CO"/>
        </w:rPr>
        <w:t>(Art. 7, Decreto 1929 de 2007)</w:t>
      </w:r>
      <w:r>
        <w:rPr>
          <w:rFonts w:ascii="Arial" w:hAnsi="Arial" w:cs="Arial"/>
        </w:rPr>
        <w:t xml:space="preserve"> </w:t>
      </w:r>
      <w:r>
        <w:rPr>
          <w:rFonts w:ascii="Arial" w:hAnsi="Arial" w:cs="Arial"/>
          <w:i/>
          <w:lang w:val="es-CO"/>
        </w:rPr>
        <w:t>(El Decreto 1929 de 2007 rige a partir de la fecha de su publicación y deroga las disposiciones que le sean contrarias, en especial el</w:t>
      </w:r>
      <w:r>
        <w:rPr>
          <w:rFonts w:ascii="Arial" w:hAnsi="Arial" w:cs="Arial"/>
          <w:i/>
          <w:lang w:val="es-CO"/>
        </w:rPr>
        <w:t xml:space="preserve"> Decreto 1094 de 1996, sin perjuicio de lo previsto en el inciso segundo del artículo anterior. Art. 13, Decreto 1929 de 2007)</w:t>
      </w:r>
    </w:p>
    <w:p w14:paraId="69D2A71B" w14:textId="77777777" w:rsidR="00B2442D" w:rsidRDefault="00B2442D">
      <w:pPr>
        <w:jc w:val="both"/>
        <w:rPr>
          <w:rFonts w:ascii="Arial" w:hAnsi="Arial" w:cs="Arial"/>
          <w:lang w:val="es-CO"/>
        </w:rPr>
      </w:pPr>
    </w:p>
    <w:p w14:paraId="5161ADCC"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Control de emisión de factura electrónica.</w:t>
      </w:r>
      <w:r>
        <w:rPr>
          <w:rFonts w:ascii="Arial" w:hAnsi="Arial" w:cs="Arial"/>
          <w:lang w:val="es-CO"/>
        </w:rPr>
        <w:t xml:space="preserve"> El obligado a facturar que opte por utilizar la factura electrónica, deberá informar</w:t>
      </w:r>
      <w:r>
        <w:rPr>
          <w:rFonts w:ascii="Arial" w:hAnsi="Arial" w:cs="Arial"/>
          <w:lang w:val="es-CO"/>
        </w:rPr>
        <w:t xml:space="preserve"> las distintas situaciones relacionadas con el uso de la misma, tales como: inicio de operaciones bajo esta modalidad, agotamiento de numeración, contingencias, cese de esta forma de facturación, en los términos que señale la Unidad Administrativa Especial</w:t>
      </w:r>
      <w:r>
        <w:rPr>
          <w:rFonts w:ascii="Arial" w:hAnsi="Arial" w:cs="Arial"/>
          <w:lang w:val="es-CO"/>
        </w:rPr>
        <w:t xml:space="preserve"> Dirección de Impuestos y Aduanas Nacionales- DIAN.</w:t>
      </w:r>
    </w:p>
    <w:p w14:paraId="2B5546AC" w14:textId="77777777" w:rsidR="00B2442D" w:rsidRDefault="00B2442D">
      <w:pPr>
        <w:jc w:val="both"/>
        <w:rPr>
          <w:rFonts w:ascii="Arial" w:hAnsi="Arial" w:cs="Arial"/>
          <w:lang w:val="es-CO"/>
        </w:rPr>
      </w:pPr>
    </w:p>
    <w:p w14:paraId="01850CFB" w14:textId="77777777" w:rsidR="00B2442D" w:rsidRDefault="008A645F">
      <w:pPr>
        <w:jc w:val="both"/>
        <w:rPr>
          <w:rFonts w:ascii="Arial" w:hAnsi="Arial" w:cs="Arial"/>
          <w:i/>
          <w:lang w:val="es-CO"/>
        </w:rPr>
      </w:pPr>
      <w:r>
        <w:rPr>
          <w:rFonts w:ascii="Arial" w:hAnsi="Arial" w:cs="Arial"/>
          <w:i/>
          <w:lang w:val="es-CO"/>
        </w:rPr>
        <w:t>(Art. 8, Decreto 1929 de 2007)</w:t>
      </w:r>
      <w:r>
        <w:rPr>
          <w:rFonts w:ascii="Arial" w:hAnsi="Arial" w:cs="Arial"/>
        </w:rPr>
        <w:t xml:space="preserve"> </w:t>
      </w:r>
      <w:r>
        <w:rPr>
          <w:rFonts w:ascii="Arial" w:hAnsi="Arial" w:cs="Arial"/>
          <w:i/>
          <w:lang w:val="es-CO"/>
        </w:rPr>
        <w:t>(El Decreto 1929 de 2007 rige a partir de la fecha de su publicación y deroga las disposiciones que le sean contrarias, en especial el Decreto 1094 de 1996, sin perjuicio d</w:t>
      </w:r>
      <w:r>
        <w:rPr>
          <w:rFonts w:ascii="Arial" w:hAnsi="Arial" w:cs="Arial"/>
          <w:i/>
          <w:lang w:val="es-CO"/>
        </w:rPr>
        <w:t>e lo previsto en el inciso segundo del artículo anterior. Art. 13, Decreto 1929 de 2007)</w:t>
      </w:r>
    </w:p>
    <w:p w14:paraId="684F9A26" w14:textId="77777777" w:rsidR="00B2442D" w:rsidRDefault="00B2442D">
      <w:pPr>
        <w:jc w:val="both"/>
        <w:rPr>
          <w:rFonts w:ascii="Arial" w:hAnsi="Arial" w:cs="Arial"/>
          <w:b/>
          <w:lang w:val="es-CO"/>
        </w:rPr>
      </w:pPr>
    </w:p>
    <w:p w14:paraId="50D9A103"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Obligaciones generales.</w:t>
      </w:r>
      <w:r>
        <w:rPr>
          <w:rFonts w:ascii="Arial" w:hAnsi="Arial" w:cs="Arial"/>
          <w:lang w:val="es-CO"/>
        </w:rPr>
        <w:t xml:space="preserve"> Los sujetos que opten por expedir factura electrónica y los adquirentes tendrán, entre otras, las siguientes obligaciones:</w:t>
      </w:r>
    </w:p>
    <w:p w14:paraId="4802C309" w14:textId="77777777" w:rsidR="00B2442D" w:rsidRDefault="00B2442D">
      <w:pPr>
        <w:jc w:val="both"/>
        <w:rPr>
          <w:rFonts w:ascii="Arial" w:hAnsi="Arial" w:cs="Arial"/>
          <w:lang w:val="es-CO"/>
        </w:rPr>
      </w:pPr>
    </w:p>
    <w:p w14:paraId="2D010D08" w14:textId="77777777" w:rsidR="00B2442D" w:rsidRDefault="008A645F">
      <w:pPr>
        <w:pStyle w:val="Prrafodelista"/>
        <w:numPr>
          <w:ilvl w:val="0"/>
          <w:numId w:val="7"/>
        </w:numPr>
        <w:ind w:left="426" w:hanging="426"/>
        <w:jc w:val="both"/>
        <w:rPr>
          <w:rFonts w:ascii="Arial" w:hAnsi="Arial" w:cs="Arial"/>
          <w:lang w:val="es-CO"/>
        </w:rPr>
      </w:pPr>
      <w:r>
        <w:rPr>
          <w:rFonts w:ascii="Arial" w:hAnsi="Arial" w:cs="Arial"/>
          <w:lang w:val="es-CO"/>
        </w:rPr>
        <w:t>Realizar todas la</w:t>
      </w:r>
      <w:r>
        <w:rPr>
          <w:rFonts w:ascii="Arial" w:hAnsi="Arial" w:cs="Arial"/>
          <w:lang w:val="es-CO"/>
        </w:rPr>
        <w:t>s actividades que permitan cumplir lo dispuesto en los artículos 1.6.1.4.13 a 1.6.1.4.23 del presente Decreto.</w:t>
      </w:r>
    </w:p>
    <w:p w14:paraId="1C5DC0CD" w14:textId="77777777" w:rsidR="00B2442D" w:rsidRDefault="00B2442D">
      <w:pPr>
        <w:ind w:left="426" w:hanging="426"/>
        <w:jc w:val="both"/>
        <w:rPr>
          <w:rFonts w:ascii="Arial" w:hAnsi="Arial" w:cs="Arial"/>
          <w:lang w:val="es-CO"/>
        </w:rPr>
      </w:pPr>
    </w:p>
    <w:p w14:paraId="53BA4A98" w14:textId="77777777" w:rsidR="00B2442D" w:rsidRDefault="008A645F">
      <w:pPr>
        <w:pStyle w:val="Prrafodelista"/>
        <w:numPr>
          <w:ilvl w:val="0"/>
          <w:numId w:val="7"/>
        </w:numPr>
        <w:ind w:left="426" w:hanging="426"/>
        <w:jc w:val="both"/>
        <w:rPr>
          <w:rFonts w:ascii="Arial" w:hAnsi="Arial" w:cs="Arial"/>
          <w:lang w:val="es-CO"/>
        </w:rPr>
      </w:pPr>
      <w:r>
        <w:rPr>
          <w:rFonts w:ascii="Arial" w:hAnsi="Arial" w:cs="Arial"/>
          <w:lang w:val="es-CO"/>
        </w:rPr>
        <w:t xml:space="preserve">Tener disponibles y actualizados todos los registros en el domicilio social o asiento principal de los negocios, cuando estén obligados a </w:t>
      </w:r>
      <w:r>
        <w:rPr>
          <w:rFonts w:ascii="Arial" w:hAnsi="Arial" w:cs="Arial"/>
          <w:lang w:val="es-CO"/>
        </w:rPr>
        <w:t>llevar contabilidad.</w:t>
      </w:r>
    </w:p>
    <w:p w14:paraId="2CCC860E" w14:textId="77777777" w:rsidR="00B2442D" w:rsidRDefault="00B2442D">
      <w:pPr>
        <w:ind w:left="426" w:hanging="426"/>
        <w:jc w:val="both"/>
        <w:rPr>
          <w:rFonts w:ascii="Arial" w:hAnsi="Arial" w:cs="Arial"/>
          <w:lang w:val="es-CO"/>
        </w:rPr>
      </w:pPr>
    </w:p>
    <w:p w14:paraId="3D3FA2F3" w14:textId="77777777" w:rsidR="00B2442D" w:rsidRDefault="008A645F">
      <w:pPr>
        <w:pStyle w:val="Prrafodelista"/>
        <w:numPr>
          <w:ilvl w:val="0"/>
          <w:numId w:val="7"/>
        </w:numPr>
        <w:ind w:left="426" w:hanging="426"/>
        <w:jc w:val="both"/>
        <w:rPr>
          <w:rFonts w:ascii="Arial" w:hAnsi="Arial" w:cs="Arial"/>
          <w:lang w:val="es-CO"/>
        </w:rPr>
      </w:pPr>
      <w:r>
        <w:rPr>
          <w:rFonts w:ascii="Arial" w:hAnsi="Arial" w:cs="Arial"/>
          <w:lang w:val="es-CO"/>
        </w:rPr>
        <w:t>Registrar en la contabilidad las operaciones efectuadas electrónicamente, cuando estén obligados a llevarla.</w:t>
      </w:r>
    </w:p>
    <w:p w14:paraId="4D5B1247" w14:textId="77777777" w:rsidR="00B2442D" w:rsidRDefault="00B2442D">
      <w:pPr>
        <w:ind w:left="426" w:hanging="426"/>
        <w:jc w:val="both"/>
        <w:rPr>
          <w:rFonts w:ascii="Arial" w:hAnsi="Arial" w:cs="Arial"/>
          <w:lang w:val="es-CO"/>
        </w:rPr>
      </w:pPr>
    </w:p>
    <w:p w14:paraId="39D90B01" w14:textId="77777777" w:rsidR="00B2442D" w:rsidRDefault="008A645F">
      <w:pPr>
        <w:pStyle w:val="Prrafodelista"/>
        <w:numPr>
          <w:ilvl w:val="0"/>
          <w:numId w:val="7"/>
        </w:numPr>
        <w:ind w:left="426" w:hanging="426"/>
        <w:jc w:val="both"/>
        <w:rPr>
          <w:rFonts w:ascii="Arial" w:hAnsi="Arial" w:cs="Arial"/>
          <w:lang w:val="es-CO"/>
        </w:rPr>
      </w:pPr>
      <w:r>
        <w:rPr>
          <w:rFonts w:ascii="Arial" w:hAnsi="Arial" w:cs="Arial"/>
          <w:lang w:val="es-CO"/>
        </w:rPr>
        <w:t>Exhibir y/o entregar facturas en el mismo formato en que fueron generadas y/o conservadas, sin perjuicio de requerir informa</w:t>
      </w:r>
      <w:r>
        <w:rPr>
          <w:rFonts w:ascii="Arial" w:hAnsi="Arial" w:cs="Arial"/>
          <w:lang w:val="es-CO"/>
        </w:rPr>
        <w:t>ción relativa al formato utilizado.</w:t>
      </w:r>
    </w:p>
    <w:p w14:paraId="5687FDB4" w14:textId="77777777" w:rsidR="00B2442D" w:rsidRDefault="00B2442D">
      <w:pPr>
        <w:ind w:left="426" w:hanging="426"/>
        <w:jc w:val="both"/>
        <w:rPr>
          <w:rFonts w:ascii="Arial" w:hAnsi="Arial" w:cs="Arial"/>
          <w:lang w:val="es-CO"/>
        </w:rPr>
      </w:pPr>
    </w:p>
    <w:p w14:paraId="3A1CC226" w14:textId="77777777" w:rsidR="00B2442D" w:rsidRDefault="008A645F">
      <w:pPr>
        <w:pStyle w:val="Prrafodelista"/>
        <w:numPr>
          <w:ilvl w:val="0"/>
          <w:numId w:val="7"/>
        </w:numPr>
        <w:ind w:left="426" w:hanging="426"/>
        <w:jc w:val="both"/>
        <w:rPr>
          <w:rFonts w:ascii="Arial" w:hAnsi="Arial" w:cs="Arial"/>
          <w:lang w:val="es-CO"/>
        </w:rPr>
      </w:pPr>
      <w:r>
        <w:rPr>
          <w:rFonts w:ascii="Arial" w:hAnsi="Arial" w:cs="Arial"/>
          <w:lang w:val="es-CO"/>
        </w:rPr>
        <w:t>Entregar a la Unidad Administrativa Especial Dirección de Impuestos y Aduanas Nacionales- DIAN, con el contenido y en las condiciones de tiempo, modo, lugar y especificación técnica que señale esta entidad, la siguiente</w:t>
      </w:r>
      <w:r>
        <w:rPr>
          <w:rFonts w:ascii="Arial" w:hAnsi="Arial" w:cs="Arial"/>
          <w:lang w:val="es-CO"/>
        </w:rPr>
        <w:t xml:space="preserve"> información:</w:t>
      </w:r>
    </w:p>
    <w:p w14:paraId="7C510AE3" w14:textId="77777777" w:rsidR="00B2442D" w:rsidRDefault="00B2442D">
      <w:pPr>
        <w:ind w:left="426" w:hanging="426"/>
        <w:jc w:val="both"/>
        <w:rPr>
          <w:rFonts w:ascii="Arial" w:hAnsi="Arial" w:cs="Arial"/>
          <w:lang w:val="es-CO"/>
        </w:rPr>
      </w:pPr>
    </w:p>
    <w:p w14:paraId="4C1B938F" w14:textId="77777777" w:rsidR="00B2442D" w:rsidRDefault="008A645F">
      <w:pPr>
        <w:pStyle w:val="Prrafodelista"/>
        <w:numPr>
          <w:ilvl w:val="1"/>
          <w:numId w:val="7"/>
        </w:numPr>
        <w:ind w:left="426" w:hanging="426"/>
        <w:jc w:val="both"/>
        <w:rPr>
          <w:rFonts w:ascii="Arial" w:hAnsi="Arial" w:cs="Arial"/>
          <w:lang w:val="es-CO"/>
        </w:rPr>
      </w:pPr>
      <w:r>
        <w:rPr>
          <w:rFonts w:ascii="Arial" w:hAnsi="Arial" w:cs="Arial"/>
          <w:lang w:val="es-CO"/>
        </w:rPr>
        <w:t xml:space="preserve">Las facturas electrónicas expedidas, entregadas, aceptadas y conservadas, incluidas las anulaciones y notas crédito, cuando se trate del obligado a facturar y, las facturas electrónicas aceptadas y conservadas, cuando el adquirente pretenda </w:t>
      </w:r>
      <w:r>
        <w:rPr>
          <w:rFonts w:ascii="Arial" w:hAnsi="Arial" w:cs="Arial"/>
          <w:lang w:val="es-CO"/>
        </w:rPr>
        <w:t>soportar costos y deducciones.</w:t>
      </w:r>
    </w:p>
    <w:p w14:paraId="58F8C0C5" w14:textId="77777777" w:rsidR="00B2442D" w:rsidRDefault="00B2442D">
      <w:pPr>
        <w:ind w:left="426" w:hanging="426"/>
        <w:jc w:val="both"/>
        <w:rPr>
          <w:rFonts w:ascii="Arial" w:hAnsi="Arial" w:cs="Arial"/>
          <w:lang w:val="es-CO"/>
        </w:rPr>
      </w:pPr>
    </w:p>
    <w:p w14:paraId="5A082E04" w14:textId="77777777" w:rsidR="00B2442D" w:rsidRDefault="008A645F">
      <w:pPr>
        <w:pStyle w:val="Prrafodelista"/>
        <w:numPr>
          <w:ilvl w:val="1"/>
          <w:numId w:val="7"/>
        </w:numPr>
        <w:ind w:left="426" w:hanging="426"/>
        <w:jc w:val="both"/>
        <w:rPr>
          <w:rFonts w:ascii="Arial" w:hAnsi="Arial" w:cs="Arial"/>
          <w:lang w:val="es-CO"/>
        </w:rPr>
      </w:pPr>
      <w:r>
        <w:rPr>
          <w:rFonts w:ascii="Arial" w:hAnsi="Arial" w:cs="Arial"/>
          <w:lang w:val="es-CO"/>
        </w:rPr>
        <w:t>Las facturas expedidas, generadas y numeradas por el sistema de facturación por computador incluyendo las notas crédito y anulaciones.</w:t>
      </w:r>
    </w:p>
    <w:p w14:paraId="06DA313D" w14:textId="77777777" w:rsidR="00B2442D" w:rsidRDefault="00B2442D">
      <w:pPr>
        <w:jc w:val="both"/>
        <w:rPr>
          <w:rFonts w:ascii="Arial" w:hAnsi="Arial" w:cs="Arial"/>
          <w:lang w:val="es-CO"/>
        </w:rPr>
      </w:pPr>
    </w:p>
    <w:p w14:paraId="7B9FA635" w14:textId="77777777" w:rsidR="00B2442D" w:rsidRDefault="008A645F">
      <w:pPr>
        <w:jc w:val="both"/>
        <w:rPr>
          <w:rFonts w:ascii="Arial" w:hAnsi="Arial" w:cs="Arial"/>
          <w:i/>
          <w:lang w:val="es-CO"/>
        </w:rPr>
      </w:pPr>
      <w:r>
        <w:rPr>
          <w:rFonts w:ascii="Arial" w:hAnsi="Arial" w:cs="Arial"/>
          <w:i/>
          <w:lang w:val="es-CO"/>
        </w:rPr>
        <w:t>(Art. 9, Decreto 1929 de 2007)</w:t>
      </w:r>
      <w:r>
        <w:rPr>
          <w:rFonts w:ascii="Arial" w:hAnsi="Arial" w:cs="Arial"/>
        </w:rPr>
        <w:t xml:space="preserve"> </w:t>
      </w:r>
      <w:r>
        <w:rPr>
          <w:rFonts w:ascii="Arial" w:hAnsi="Arial" w:cs="Arial"/>
          <w:i/>
          <w:lang w:val="es-CO"/>
        </w:rPr>
        <w:t xml:space="preserve">(El Decreto 1929 de 2007 rige a partir de la fecha de su </w:t>
      </w:r>
      <w:r>
        <w:rPr>
          <w:rFonts w:ascii="Arial" w:hAnsi="Arial" w:cs="Arial"/>
          <w:i/>
          <w:lang w:val="es-CO"/>
        </w:rPr>
        <w:t>publicación y deroga las disposiciones que le sean contrarias, en especial el Decreto 1094 de 1996, sin perjuicio de lo previsto en el inciso segundo del artículo anterior. Art. 13, Decreto 1929 de 2007)</w:t>
      </w:r>
    </w:p>
    <w:p w14:paraId="36B8302C" w14:textId="77777777" w:rsidR="00B2442D" w:rsidRDefault="00B2442D">
      <w:pPr>
        <w:jc w:val="both"/>
        <w:rPr>
          <w:rFonts w:ascii="Arial" w:hAnsi="Arial" w:cs="Arial"/>
          <w:lang w:val="es-CO"/>
        </w:rPr>
      </w:pPr>
    </w:p>
    <w:p w14:paraId="531CD7A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Exclusiones.</w:t>
      </w:r>
      <w:r>
        <w:rPr>
          <w:rFonts w:ascii="Arial" w:hAnsi="Arial" w:cs="Arial"/>
          <w:lang w:val="es-CO"/>
        </w:rPr>
        <w:t xml:space="preserve"> No hay lugar a factura electrónica cu</w:t>
      </w:r>
      <w:r>
        <w:rPr>
          <w:rFonts w:ascii="Arial" w:hAnsi="Arial" w:cs="Arial"/>
          <w:lang w:val="es-CO"/>
        </w:rPr>
        <w:t>ando:</w:t>
      </w:r>
    </w:p>
    <w:p w14:paraId="14893EEA" w14:textId="77777777" w:rsidR="00B2442D" w:rsidRDefault="00B2442D">
      <w:pPr>
        <w:jc w:val="both"/>
        <w:rPr>
          <w:rFonts w:ascii="Arial" w:hAnsi="Arial" w:cs="Arial"/>
          <w:lang w:val="es-CO"/>
        </w:rPr>
      </w:pPr>
    </w:p>
    <w:p w14:paraId="703F6169"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Se expida factura de exportación.</w:t>
      </w:r>
    </w:p>
    <w:p w14:paraId="4A88E125" w14:textId="77777777" w:rsidR="00B2442D" w:rsidRDefault="00B2442D">
      <w:pPr>
        <w:jc w:val="both"/>
        <w:rPr>
          <w:rFonts w:ascii="Arial" w:hAnsi="Arial" w:cs="Arial"/>
          <w:lang w:val="es-CO"/>
        </w:rPr>
      </w:pPr>
    </w:p>
    <w:p w14:paraId="003226C8"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Se expida factura en talonario o en papel.</w:t>
      </w:r>
    </w:p>
    <w:p w14:paraId="1F066E12" w14:textId="77777777" w:rsidR="00B2442D" w:rsidRDefault="00B2442D">
      <w:pPr>
        <w:jc w:val="both"/>
        <w:rPr>
          <w:rFonts w:ascii="Arial" w:hAnsi="Arial" w:cs="Arial"/>
          <w:lang w:val="es-CO"/>
        </w:rPr>
      </w:pPr>
    </w:p>
    <w:p w14:paraId="54B970D8"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Se expida factura por computador u otra forma de factura o documento equivalente, para ser generada y entregada directamente al adquirente de bienes y/o servicios q</w:t>
      </w:r>
      <w:r>
        <w:rPr>
          <w:rFonts w:ascii="Arial" w:hAnsi="Arial" w:cs="Arial"/>
          <w:lang w:val="es-CO"/>
        </w:rPr>
        <w:t>ue se entregan y/o consumen en el local, consultorio o establecimiento de comercio.</w:t>
      </w:r>
    </w:p>
    <w:p w14:paraId="692B018E" w14:textId="77777777" w:rsidR="00B2442D" w:rsidRDefault="00B2442D">
      <w:pPr>
        <w:jc w:val="both"/>
        <w:rPr>
          <w:rFonts w:ascii="Arial" w:hAnsi="Arial" w:cs="Arial"/>
          <w:lang w:val="es-CO"/>
        </w:rPr>
      </w:pPr>
    </w:p>
    <w:p w14:paraId="31E7A4CA" w14:textId="77777777" w:rsidR="00B2442D" w:rsidRDefault="008A645F">
      <w:pPr>
        <w:jc w:val="both"/>
        <w:rPr>
          <w:rFonts w:ascii="Arial" w:hAnsi="Arial" w:cs="Arial"/>
          <w:i/>
          <w:lang w:val="es-CO"/>
        </w:rPr>
      </w:pPr>
      <w:r>
        <w:rPr>
          <w:rFonts w:ascii="Arial" w:hAnsi="Arial" w:cs="Arial"/>
          <w:i/>
          <w:lang w:val="es-CO"/>
        </w:rPr>
        <w:t>(Art. 10, Decreto 1929 de 2007)</w:t>
      </w:r>
      <w:r>
        <w:rPr>
          <w:rFonts w:ascii="Arial" w:hAnsi="Arial" w:cs="Arial"/>
        </w:rPr>
        <w:t xml:space="preserve"> </w:t>
      </w:r>
      <w:r>
        <w:rPr>
          <w:rFonts w:ascii="Arial" w:hAnsi="Arial" w:cs="Arial"/>
          <w:i/>
          <w:lang w:val="es-CO"/>
        </w:rPr>
        <w:t xml:space="preserve">(El Decreto 1929 de 2007 rige a partir de la fecha de su publicación y deroga las disposiciones que le sean contrarias, en especial el </w:t>
      </w:r>
      <w:r>
        <w:rPr>
          <w:rFonts w:ascii="Arial" w:hAnsi="Arial" w:cs="Arial"/>
          <w:i/>
          <w:lang w:val="es-CO"/>
        </w:rPr>
        <w:t>Decreto 1094 de 1996, sin perjuicio de lo previsto en el inciso segundo del artículo anterior. Art. 13, Decreto 1929 de 2007)</w:t>
      </w:r>
    </w:p>
    <w:p w14:paraId="1EA9AB0F" w14:textId="77777777" w:rsidR="00B2442D" w:rsidRDefault="00B2442D">
      <w:pPr>
        <w:jc w:val="both"/>
        <w:rPr>
          <w:rFonts w:ascii="Arial" w:hAnsi="Arial" w:cs="Arial"/>
          <w:lang w:val="es-CO"/>
        </w:rPr>
      </w:pPr>
    </w:p>
    <w:p w14:paraId="6E141179"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Factura electrónica como soporte fiscal.</w:t>
      </w:r>
      <w:r>
        <w:rPr>
          <w:rFonts w:ascii="Arial" w:hAnsi="Arial" w:cs="Arial"/>
          <w:lang w:val="es-CO"/>
        </w:rPr>
        <w:t xml:space="preserve"> La factura electrónica que cumpla los requisitos señalados en los artículos 1.6.1.4.13 </w:t>
      </w:r>
      <w:r>
        <w:rPr>
          <w:rFonts w:ascii="Arial" w:hAnsi="Arial" w:cs="Arial"/>
          <w:lang w:val="es-CO"/>
        </w:rPr>
        <w:t>a 1.6.1.4.23 del presente Decreto y sus condiciones técnicas, servirá como soporte fiscal de los ingresos, costos y/o deducciones, en el impuesto sobre la renta así como de los impuestos descontables en el impuesto sobre las ventas.</w:t>
      </w:r>
    </w:p>
    <w:p w14:paraId="12EF438C" w14:textId="77777777" w:rsidR="00B2442D" w:rsidRDefault="00B2442D">
      <w:pPr>
        <w:jc w:val="both"/>
        <w:rPr>
          <w:rFonts w:ascii="Arial" w:hAnsi="Arial" w:cs="Arial"/>
          <w:lang w:val="es-CO"/>
        </w:rPr>
      </w:pPr>
    </w:p>
    <w:p w14:paraId="7FFF1D9C" w14:textId="77777777" w:rsidR="00B2442D" w:rsidRDefault="008A645F">
      <w:pPr>
        <w:jc w:val="both"/>
        <w:rPr>
          <w:rFonts w:ascii="Arial" w:hAnsi="Arial" w:cs="Arial"/>
          <w:i/>
          <w:lang w:val="es-CO"/>
        </w:rPr>
      </w:pPr>
      <w:r>
        <w:rPr>
          <w:rFonts w:ascii="Arial" w:hAnsi="Arial" w:cs="Arial"/>
          <w:i/>
          <w:lang w:val="es-CO"/>
        </w:rPr>
        <w:t>(Art. 11, Decreto 1929</w:t>
      </w:r>
      <w:r>
        <w:rPr>
          <w:rFonts w:ascii="Arial" w:hAnsi="Arial" w:cs="Arial"/>
          <w:i/>
          <w:lang w:val="es-CO"/>
        </w:rPr>
        <w:t xml:space="preserve"> de 2007)</w:t>
      </w:r>
      <w:r>
        <w:rPr>
          <w:rFonts w:ascii="Arial" w:hAnsi="Arial" w:cs="Arial"/>
        </w:rPr>
        <w:t xml:space="preserve"> </w:t>
      </w:r>
      <w:r>
        <w:rPr>
          <w:rFonts w:ascii="Arial" w:hAnsi="Arial" w:cs="Arial"/>
          <w:i/>
          <w:lang w:val="es-CO"/>
        </w:rPr>
        <w:t>(El Decreto 1929 de 2007 rige a partir de la fecha de su publicación y deroga las disposiciones que le sean contrarias, en especial el Decreto 1094 de 1996, sin perjuicio de lo previsto en el inciso segundo del artículo anterior. Art. 13, Decreto</w:t>
      </w:r>
      <w:r>
        <w:rPr>
          <w:rFonts w:ascii="Arial" w:hAnsi="Arial" w:cs="Arial"/>
          <w:i/>
          <w:lang w:val="es-CO"/>
        </w:rPr>
        <w:t xml:space="preserve"> 1929 de 2007)</w:t>
      </w:r>
    </w:p>
    <w:p w14:paraId="791FDC02" w14:textId="77777777" w:rsidR="00B2442D" w:rsidRDefault="00B2442D">
      <w:pPr>
        <w:jc w:val="both"/>
        <w:rPr>
          <w:rFonts w:ascii="Arial" w:hAnsi="Arial" w:cs="Arial"/>
          <w:lang w:val="es-CO"/>
        </w:rPr>
      </w:pPr>
    </w:p>
    <w:p w14:paraId="5648401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Documentos equivalentes a la factura.</w:t>
      </w:r>
      <w:r>
        <w:rPr>
          <w:rFonts w:ascii="Arial" w:hAnsi="Arial" w:cs="Arial"/>
          <w:lang w:val="es-CO"/>
        </w:rPr>
        <w:t xml:space="preserve"> Son documentos equivalentes a la factura: </w:t>
      </w:r>
    </w:p>
    <w:p w14:paraId="2CD0C7CB" w14:textId="77777777" w:rsidR="00B2442D" w:rsidRDefault="008A645F">
      <w:pPr>
        <w:jc w:val="both"/>
        <w:rPr>
          <w:rFonts w:ascii="Arial" w:hAnsi="Arial" w:cs="Arial"/>
          <w:lang w:val="es-CO"/>
        </w:rPr>
      </w:pPr>
      <w:r>
        <w:rPr>
          <w:rFonts w:ascii="Arial" w:hAnsi="Arial" w:cs="Arial"/>
          <w:lang w:val="es-CO"/>
        </w:rPr>
        <w:t xml:space="preserve"> </w:t>
      </w:r>
    </w:p>
    <w:p w14:paraId="608D8B1D" w14:textId="77777777" w:rsidR="00B2442D" w:rsidRDefault="008A645F">
      <w:pPr>
        <w:jc w:val="both"/>
        <w:rPr>
          <w:rFonts w:ascii="Arial" w:hAnsi="Arial" w:cs="Arial"/>
          <w:lang w:val="es-CO"/>
        </w:rPr>
      </w:pPr>
      <w:r>
        <w:rPr>
          <w:rFonts w:ascii="Arial" w:hAnsi="Arial" w:cs="Arial"/>
          <w:lang w:val="es-CO"/>
        </w:rPr>
        <w:t xml:space="preserve">1. Los tiquetes de máquina registradora.  </w:t>
      </w:r>
    </w:p>
    <w:p w14:paraId="311EC59B" w14:textId="77777777" w:rsidR="00B2442D" w:rsidRDefault="00B2442D">
      <w:pPr>
        <w:jc w:val="both"/>
        <w:rPr>
          <w:rFonts w:ascii="Arial" w:hAnsi="Arial" w:cs="Arial"/>
          <w:lang w:val="es-CO"/>
        </w:rPr>
      </w:pPr>
    </w:p>
    <w:p w14:paraId="048F9EA2" w14:textId="77777777" w:rsidR="00B2442D" w:rsidRDefault="008A645F">
      <w:pPr>
        <w:jc w:val="both"/>
        <w:rPr>
          <w:rFonts w:ascii="Arial" w:hAnsi="Arial" w:cs="Arial"/>
          <w:lang w:val="es-CO"/>
        </w:rPr>
      </w:pPr>
      <w:r>
        <w:rPr>
          <w:rFonts w:ascii="Arial" w:hAnsi="Arial" w:cs="Arial"/>
          <w:lang w:val="es-CO"/>
        </w:rPr>
        <w:t xml:space="preserve">2. Las boletas de ingreso a espectáculos públicos.  </w:t>
      </w:r>
    </w:p>
    <w:p w14:paraId="14C55FBB" w14:textId="77777777" w:rsidR="00B2442D" w:rsidRDefault="00B2442D">
      <w:pPr>
        <w:jc w:val="both"/>
        <w:rPr>
          <w:rFonts w:ascii="Arial" w:hAnsi="Arial" w:cs="Arial"/>
          <w:lang w:val="es-CO"/>
        </w:rPr>
      </w:pPr>
    </w:p>
    <w:p w14:paraId="72F64938" w14:textId="77777777" w:rsidR="00B2442D" w:rsidRDefault="008A645F">
      <w:pPr>
        <w:jc w:val="both"/>
        <w:rPr>
          <w:rFonts w:ascii="Arial" w:hAnsi="Arial" w:cs="Arial"/>
          <w:lang w:val="es-CO"/>
        </w:rPr>
      </w:pPr>
      <w:r>
        <w:rPr>
          <w:rFonts w:ascii="Arial" w:hAnsi="Arial" w:cs="Arial"/>
          <w:lang w:val="es-CO"/>
        </w:rPr>
        <w:t>3. Los tiquetes de transporte de pasajeros.</w:t>
      </w:r>
    </w:p>
    <w:p w14:paraId="6D63E3B3" w14:textId="77777777" w:rsidR="00B2442D" w:rsidRDefault="00B2442D">
      <w:pPr>
        <w:jc w:val="both"/>
        <w:rPr>
          <w:rFonts w:ascii="Arial" w:hAnsi="Arial" w:cs="Arial"/>
          <w:lang w:val="es-CO"/>
        </w:rPr>
      </w:pPr>
    </w:p>
    <w:p w14:paraId="2C233BB2" w14:textId="77777777" w:rsidR="00B2442D" w:rsidRDefault="008A645F">
      <w:pPr>
        <w:jc w:val="both"/>
        <w:rPr>
          <w:rFonts w:ascii="Arial" w:hAnsi="Arial" w:cs="Arial"/>
          <w:lang w:val="es-CO"/>
        </w:rPr>
      </w:pPr>
      <w:r>
        <w:rPr>
          <w:rFonts w:ascii="Arial" w:hAnsi="Arial" w:cs="Arial"/>
          <w:lang w:val="es-CO"/>
        </w:rPr>
        <w:t>4. Los recibo</w:t>
      </w:r>
      <w:r>
        <w:rPr>
          <w:rFonts w:ascii="Arial" w:hAnsi="Arial" w:cs="Arial"/>
          <w:lang w:val="es-CO"/>
        </w:rPr>
        <w:t xml:space="preserve">s de pago de matrículas y pensiones expedidos por establecimientos de educación reconocidos por el Gobierno.  </w:t>
      </w:r>
    </w:p>
    <w:p w14:paraId="5EB5E445" w14:textId="77777777" w:rsidR="00B2442D" w:rsidRDefault="00B2442D">
      <w:pPr>
        <w:jc w:val="both"/>
        <w:rPr>
          <w:rFonts w:ascii="Arial" w:hAnsi="Arial" w:cs="Arial"/>
          <w:lang w:val="es-CO"/>
        </w:rPr>
      </w:pPr>
    </w:p>
    <w:p w14:paraId="03030549" w14:textId="77777777" w:rsidR="00B2442D" w:rsidRDefault="008A645F">
      <w:pPr>
        <w:jc w:val="both"/>
        <w:rPr>
          <w:rFonts w:ascii="Arial" w:hAnsi="Arial" w:cs="Arial"/>
          <w:lang w:val="es-CO"/>
        </w:rPr>
      </w:pPr>
      <w:r>
        <w:rPr>
          <w:rFonts w:ascii="Arial" w:hAnsi="Arial" w:cs="Arial"/>
          <w:lang w:val="es-CO"/>
        </w:rPr>
        <w:t xml:space="preserve">5. Pólizas de seguros, títulos de capitalización y los respectivos comprobantes de pago.  </w:t>
      </w:r>
    </w:p>
    <w:p w14:paraId="25EE694F" w14:textId="77777777" w:rsidR="00B2442D" w:rsidRDefault="00B2442D">
      <w:pPr>
        <w:jc w:val="both"/>
        <w:rPr>
          <w:rFonts w:ascii="Arial" w:hAnsi="Arial" w:cs="Arial"/>
          <w:lang w:val="es-CO"/>
        </w:rPr>
      </w:pPr>
    </w:p>
    <w:p w14:paraId="464AC07C" w14:textId="77777777" w:rsidR="00B2442D" w:rsidRDefault="008A645F">
      <w:pPr>
        <w:jc w:val="both"/>
        <w:rPr>
          <w:rFonts w:ascii="Arial" w:hAnsi="Arial" w:cs="Arial"/>
          <w:lang w:val="es-CO"/>
        </w:rPr>
      </w:pPr>
      <w:r>
        <w:rPr>
          <w:rFonts w:ascii="Arial" w:hAnsi="Arial" w:cs="Arial"/>
          <w:lang w:val="es-CO"/>
        </w:rPr>
        <w:t>6. Extractos expedidos por sociedades fiduciarias, f</w:t>
      </w:r>
      <w:r>
        <w:rPr>
          <w:rFonts w:ascii="Arial" w:hAnsi="Arial" w:cs="Arial"/>
          <w:lang w:val="es-CO"/>
        </w:rPr>
        <w:t xml:space="preserve">ondos de inversión, fondos de inversión extranjera, fondos mutuos de inversión, fondos de valores, fondos de pensiones y de cesantías.  </w:t>
      </w:r>
    </w:p>
    <w:p w14:paraId="3CC73C26" w14:textId="77777777" w:rsidR="00B2442D" w:rsidRDefault="00B2442D">
      <w:pPr>
        <w:jc w:val="both"/>
        <w:rPr>
          <w:rFonts w:ascii="Arial" w:hAnsi="Arial" w:cs="Arial"/>
          <w:lang w:val="es-CO"/>
        </w:rPr>
      </w:pPr>
    </w:p>
    <w:p w14:paraId="425B553F" w14:textId="77777777" w:rsidR="00B2442D" w:rsidRDefault="008A645F">
      <w:pPr>
        <w:jc w:val="both"/>
        <w:rPr>
          <w:rFonts w:ascii="Arial" w:hAnsi="Arial" w:cs="Arial"/>
          <w:lang w:val="es-CO"/>
        </w:rPr>
      </w:pPr>
      <w:r>
        <w:rPr>
          <w:rFonts w:ascii="Arial" w:hAnsi="Arial" w:cs="Arial"/>
          <w:lang w:val="es-CO"/>
        </w:rPr>
        <w:t>7. Los tiquetes o billetes de transporte aéreo de pasajeros, incluido el tiquete o billete electrónico (ETKT), el bono</w:t>
      </w:r>
      <w:r>
        <w:rPr>
          <w:rFonts w:ascii="Arial" w:hAnsi="Arial" w:cs="Arial"/>
          <w:lang w:val="es-CO"/>
        </w:rPr>
        <w:t xml:space="preserve"> de Crédito (MCO Miscellaneous Charges Order), el documento de uso múltiple o multipropósito - MPD., el documento de cobro de la tasa administrativa por parte de las agencias de viajes TASF (</w:t>
      </w:r>
      <w:r>
        <w:rPr>
          <w:rFonts w:ascii="Arial" w:hAnsi="Arial" w:cs="Arial"/>
          <w:i/>
          <w:lang w:val="es-CO"/>
        </w:rPr>
        <w:t>Ticket Agency Service Fee</w:t>
      </w:r>
      <w:r>
        <w:rPr>
          <w:rFonts w:ascii="Arial" w:hAnsi="Arial" w:cs="Arial"/>
          <w:lang w:val="es-CO"/>
        </w:rPr>
        <w:t xml:space="preserve">), así como los demás documentos que se </w:t>
      </w:r>
      <w:r>
        <w:rPr>
          <w:rFonts w:ascii="Arial" w:hAnsi="Arial" w:cs="Arial"/>
          <w:lang w:val="es-CO"/>
        </w:rPr>
        <w:t xml:space="preserve">expidan de conformidad con las regulaciones establecidas por la Asociación Internacional de Transporte Aéreo - IATA, sean estos virtuales o físicos. </w:t>
      </w:r>
    </w:p>
    <w:p w14:paraId="44E22AC0" w14:textId="77777777" w:rsidR="00B2442D" w:rsidRDefault="00B2442D">
      <w:pPr>
        <w:jc w:val="both"/>
        <w:rPr>
          <w:rFonts w:ascii="Arial" w:hAnsi="Arial" w:cs="Arial"/>
          <w:lang w:val="es-CO"/>
        </w:rPr>
      </w:pPr>
    </w:p>
    <w:p w14:paraId="338EF1ED" w14:textId="77777777" w:rsidR="00B2442D" w:rsidRDefault="008A645F">
      <w:pPr>
        <w:jc w:val="both"/>
        <w:rPr>
          <w:rFonts w:ascii="Arial" w:hAnsi="Arial" w:cs="Arial"/>
          <w:lang w:val="es-CO"/>
        </w:rPr>
      </w:pPr>
      <w:r>
        <w:rPr>
          <w:rFonts w:ascii="Arial" w:hAnsi="Arial" w:cs="Arial"/>
          <w:lang w:val="es-CO"/>
        </w:rPr>
        <w:t>Los documentos electrónicos se entenderán entregados al usuario una vez estén disponibles en medios elect</w:t>
      </w:r>
      <w:r>
        <w:rPr>
          <w:rFonts w:ascii="Arial" w:hAnsi="Arial" w:cs="Arial"/>
          <w:lang w:val="es-CO"/>
        </w:rPr>
        <w:t>rónicos para su respectiva descarga y la impresión de los mismos será el soporte de los costos, deducciones e impuestos descontables.</w:t>
      </w:r>
    </w:p>
    <w:p w14:paraId="0DE3D356" w14:textId="77777777" w:rsidR="00B2442D" w:rsidRDefault="00B2442D">
      <w:pPr>
        <w:jc w:val="both"/>
        <w:rPr>
          <w:rFonts w:ascii="Arial" w:hAnsi="Arial" w:cs="Arial"/>
          <w:lang w:val="es-CO"/>
        </w:rPr>
      </w:pPr>
    </w:p>
    <w:p w14:paraId="782F5398" w14:textId="77777777" w:rsidR="00B2442D" w:rsidRDefault="008A645F">
      <w:pPr>
        <w:jc w:val="both"/>
        <w:rPr>
          <w:rFonts w:ascii="Arial" w:hAnsi="Arial" w:cs="Arial"/>
          <w:lang w:val="es-CO"/>
        </w:rPr>
      </w:pPr>
      <w:r>
        <w:rPr>
          <w:rFonts w:ascii="Arial" w:hAnsi="Arial" w:cs="Arial"/>
          <w:lang w:val="es-CO"/>
        </w:rPr>
        <w:t>La compañía de transporte aéreo conservará copia física o electrónica de tales documentos.</w:t>
      </w:r>
    </w:p>
    <w:p w14:paraId="4AA6E7C1" w14:textId="77777777" w:rsidR="00B2442D" w:rsidRDefault="00B2442D">
      <w:pPr>
        <w:jc w:val="both"/>
        <w:rPr>
          <w:rFonts w:ascii="Arial" w:hAnsi="Arial" w:cs="Arial"/>
          <w:lang w:val="es-CO"/>
        </w:rPr>
      </w:pPr>
    </w:p>
    <w:p w14:paraId="0015A292" w14:textId="77777777" w:rsidR="00B2442D" w:rsidRDefault="008A645F">
      <w:pPr>
        <w:jc w:val="both"/>
        <w:rPr>
          <w:rFonts w:ascii="Arial" w:hAnsi="Arial" w:cs="Arial"/>
          <w:lang w:val="es-CO"/>
        </w:rPr>
      </w:pPr>
      <w:r>
        <w:rPr>
          <w:rFonts w:ascii="Arial" w:hAnsi="Arial" w:cs="Arial"/>
          <w:lang w:val="es-CO"/>
        </w:rPr>
        <w:t xml:space="preserve">En el caso de las </w:t>
      </w:r>
      <w:r>
        <w:rPr>
          <w:rFonts w:ascii="Arial" w:hAnsi="Arial" w:cs="Arial"/>
          <w:lang w:val="es-CO"/>
        </w:rPr>
        <w:t>empresas de transporte aéreo de pasajeros a las que se les ha autorizado la utilización de un único código designador, será documento equivalente a la factura de venta, el tiquete emitido conjuntamente por las compañías bajo este código. En todo caso, prev</w:t>
      </w:r>
      <w:r>
        <w:rPr>
          <w:rFonts w:ascii="Arial" w:hAnsi="Arial" w:cs="Arial"/>
          <w:lang w:val="es-CO"/>
        </w:rPr>
        <w:t>io a la adopción del documento conjunto, las compañías determinarán las reglas que regirán la emisión de estos documentos. El documento deberá identificar correctamente ambas compañías con su razón social y NIT.</w:t>
      </w:r>
    </w:p>
    <w:p w14:paraId="590A6B24" w14:textId="77777777" w:rsidR="00B2442D" w:rsidRDefault="008A645F">
      <w:pPr>
        <w:jc w:val="both"/>
        <w:rPr>
          <w:rFonts w:ascii="Arial" w:hAnsi="Arial" w:cs="Arial"/>
          <w:lang w:val="es-CO"/>
        </w:rPr>
      </w:pPr>
      <w:r>
        <w:rPr>
          <w:rFonts w:ascii="Arial" w:hAnsi="Arial" w:cs="Arial"/>
          <w:lang w:val="es-CO"/>
        </w:rPr>
        <w:t xml:space="preserve"> </w:t>
      </w:r>
    </w:p>
    <w:p w14:paraId="7FBD3571" w14:textId="77777777" w:rsidR="00B2442D" w:rsidRDefault="008A645F">
      <w:pPr>
        <w:jc w:val="both"/>
        <w:rPr>
          <w:rFonts w:ascii="Arial" w:hAnsi="Arial" w:cs="Arial"/>
          <w:lang w:val="es-CO"/>
        </w:rPr>
      </w:pPr>
      <w:r>
        <w:rPr>
          <w:rFonts w:ascii="Arial" w:hAnsi="Arial" w:cs="Arial"/>
          <w:lang w:val="es-CO"/>
        </w:rPr>
        <w:t>8. Factura electrónica.</w:t>
      </w:r>
    </w:p>
    <w:p w14:paraId="18B83713" w14:textId="77777777" w:rsidR="00B2442D" w:rsidRDefault="00B2442D">
      <w:pPr>
        <w:jc w:val="both"/>
        <w:rPr>
          <w:rFonts w:ascii="Arial" w:hAnsi="Arial" w:cs="Arial"/>
          <w:lang w:val="es-CO"/>
        </w:rPr>
      </w:pPr>
    </w:p>
    <w:p w14:paraId="6E2593AA" w14:textId="77777777" w:rsidR="00B2442D" w:rsidRDefault="008A645F">
      <w:pPr>
        <w:jc w:val="both"/>
        <w:rPr>
          <w:rFonts w:ascii="Arial" w:hAnsi="Arial" w:cs="Arial"/>
          <w:i/>
          <w:lang w:val="es-CO"/>
        </w:rPr>
      </w:pPr>
      <w:r>
        <w:rPr>
          <w:rFonts w:ascii="Arial" w:hAnsi="Arial" w:cs="Arial"/>
          <w:i/>
          <w:lang w:val="es-CO"/>
        </w:rPr>
        <w:t xml:space="preserve">(Art. 5, Decreto </w:t>
      </w:r>
      <w:r>
        <w:rPr>
          <w:rFonts w:ascii="Arial" w:hAnsi="Arial" w:cs="Arial"/>
          <w:i/>
          <w:lang w:val="es-CO"/>
        </w:rPr>
        <w:t>1165 de 1996. Numeral 3 modificado por el Art. 3 del Decreto 1001 de 1997. Numeral 7 modificado por el Art. 1 del Decreto 2559 de 2007)</w:t>
      </w:r>
      <w:r>
        <w:rPr>
          <w:rFonts w:ascii="Arial" w:hAnsi="Arial" w:cs="Arial"/>
        </w:rPr>
        <w:t xml:space="preserve"> </w:t>
      </w:r>
      <w:r>
        <w:rPr>
          <w:rFonts w:ascii="Arial" w:hAnsi="Arial" w:cs="Arial"/>
          <w:i/>
          <w:lang w:val="es-CO"/>
        </w:rPr>
        <w:t>(El Decreto 1165 de 1996 rige a partir de su expedición y deroga las normas que le sean contrarias, en especial las sigu</w:t>
      </w:r>
      <w:r>
        <w:rPr>
          <w:rFonts w:ascii="Arial" w:hAnsi="Arial" w:cs="Arial"/>
          <w:i/>
          <w:lang w:val="es-CO"/>
        </w:rPr>
        <w:t>ientes: artículos 4° y 7° del Decreto 422 de 1991; artículos 21, 22, 23 del Decreto 836 de 1991 y artículo 39 del Decreto 2076 de 1992. Art. 15, Decreto 1165 de 1996)</w:t>
      </w:r>
    </w:p>
    <w:p w14:paraId="329ED0B4" w14:textId="77777777" w:rsidR="00B2442D" w:rsidRDefault="00B2442D">
      <w:pPr>
        <w:jc w:val="both"/>
        <w:rPr>
          <w:rFonts w:ascii="Arial" w:hAnsi="Arial" w:cs="Arial"/>
          <w:lang w:val="es-CO"/>
        </w:rPr>
      </w:pPr>
    </w:p>
    <w:p w14:paraId="11B94B41" w14:textId="77777777" w:rsidR="00B2442D" w:rsidRDefault="008A645F">
      <w:pPr>
        <w:pStyle w:val="Prrafodelista"/>
        <w:numPr>
          <w:ilvl w:val="0"/>
          <w:numId w:val="106"/>
        </w:numPr>
        <w:ind w:left="0" w:firstLine="0"/>
        <w:jc w:val="both"/>
        <w:rPr>
          <w:rFonts w:ascii="Arial" w:hAnsi="Arial" w:cs="Arial"/>
          <w:b/>
          <w:i/>
          <w:lang w:val="es-CO"/>
        </w:rPr>
      </w:pPr>
      <w:r>
        <w:rPr>
          <w:rFonts w:ascii="Arial" w:hAnsi="Arial" w:cs="Arial"/>
          <w:b/>
          <w:i/>
          <w:lang w:val="es-CO"/>
        </w:rPr>
        <w:t xml:space="preserve"> Requisitos de los documentos equivalentes a la factura.</w:t>
      </w:r>
    </w:p>
    <w:p w14:paraId="0C88C97E" w14:textId="77777777" w:rsidR="00B2442D" w:rsidRDefault="00B2442D">
      <w:pPr>
        <w:jc w:val="both"/>
        <w:rPr>
          <w:rFonts w:ascii="Arial" w:hAnsi="Arial" w:cs="Arial"/>
          <w:b/>
          <w:i/>
          <w:lang w:val="es-CO"/>
        </w:rPr>
      </w:pPr>
    </w:p>
    <w:p w14:paraId="76A6A82F" w14:textId="77777777" w:rsidR="00B2442D" w:rsidRDefault="008A645F">
      <w:pPr>
        <w:jc w:val="both"/>
        <w:rPr>
          <w:rFonts w:ascii="Arial" w:hAnsi="Arial" w:cs="Arial"/>
          <w:lang w:val="es-CO"/>
        </w:rPr>
      </w:pPr>
      <w:r>
        <w:rPr>
          <w:rFonts w:ascii="Arial" w:hAnsi="Arial" w:cs="Arial"/>
          <w:lang w:val="es-CO"/>
        </w:rPr>
        <w:t xml:space="preserve">Los documentos equivalentes a </w:t>
      </w:r>
      <w:r>
        <w:rPr>
          <w:rFonts w:ascii="Arial" w:hAnsi="Arial" w:cs="Arial"/>
          <w:lang w:val="es-CO"/>
        </w:rPr>
        <w:t xml:space="preserve">la factura deberán contener como mínimo los siguientes requisitos: </w:t>
      </w:r>
    </w:p>
    <w:p w14:paraId="728F02DD" w14:textId="77777777" w:rsidR="00B2442D" w:rsidRDefault="008A645F">
      <w:pPr>
        <w:jc w:val="both"/>
        <w:rPr>
          <w:rFonts w:ascii="Arial" w:hAnsi="Arial" w:cs="Arial"/>
          <w:lang w:val="es-CO"/>
        </w:rPr>
      </w:pPr>
      <w:r>
        <w:rPr>
          <w:rFonts w:ascii="Arial" w:hAnsi="Arial" w:cs="Arial"/>
          <w:lang w:val="es-CO"/>
        </w:rPr>
        <w:t xml:space="preserve"> </w:t>
      </w:r>
    </w:p>
    <w:p w14:paraId="736DD8C9" w14:textId="77777777" w:rsidR="00B2442D" w:rsidRDefault="008A645F">
      <w:pPr>
        <w:jc w:val="both"/>
        <w:rPr>
          <w:rFonts w:ascii="Arial" w:hAnsi="Arial" w:cs="Arial"/>
          <w:lang w:val="es-CO"/>
        </w:rPr>
      </w:pPr>
      <w:r>
        <w:rPr>
          <w:rFonts w:ascii="Arial" w:hAnsi="Arial" w:cs="Arial"/>
          <w:lang w:val="es-CO"/>
        </w:rPr>
        <w:t xml:space="preserve">1. Máquinas registradoras </w:t>
      </w:r>
    </w:p>
    <w:p w14:paraId="582284A3" w14:textId="77777777" w:rsidR="00B2442D" w:rsidRDefault="008A645F">
      <w:pPr>
        <w:jc w:val="both"/>
        <w:rPr>
          <w:rFonts w:ascii="Arial" w:hAnsi="Arial" w:cs="Arial"/>
          <w:lang w:val="es-CO"/>
        </w:rPr>
      </w:pPr>
      <w:r>
        <w:rPr>
          <w:rFonts w:ascii="Arial" w:hAnsi="Arial" w:cs="Arial"/>
          <w:lang w:val="es-CO"/>
        </w:rPr>
        <w:t xml:space="preserve"> </w:t>
      </w:r>
    </w:p>
    <w:p w14:paraId="3F475787" w14:textId="77777777" w:rsidR="00B2442D" w:rsidRDefault="008A645F">
      <w:pPr>
        <w:jc w:val="both"/>
        <w:rPr>
          <w:rFonts w:ascii="Arial" w:hAnsi="Arial" w:cs="Arial"/>
          <w:lang w:val="es-CO"/>
        </w:rPr>
      </w:pPr>
      <w:r>
        <w:rPr>
          <w:rFonts w:ascii="Arial" w:hAnsi="Arial" w:cs="Arial"/>
          <w:lang w:val="es-CO"/>
        </w:rPr>
        <w:t xml:space="preserve">a) Máquinas registradoras con sistema POS </w:t>
      </w:r>
    </w:p>
    <w:p w14:paraId="2EF5A89E" w14:textId="77777777" w:rsidR="00B2442D" w:rsidRDefault="00B2442D">
      <w:pPr>
        <w:jc w:val="both"/>
        <w:rPr>
          <w:rFonts w:ascii="Arial" w:hAnsi="Arial" w:cs="Arial"/>
          <w:lang w:val="es-CO"/>
        </w:rPr>
      </w:pPr>
    </w:p>
    <w:p w14:paraId="21526F52" w14:textId="77777777" w:rsidR="00B2442D" w:rsidRDefault="008A645F">
      <w:pPr>
        <w:jc w:val="both"/>
        <w:rPr>
          <w:rFonts w:ascii="Arial" w:hAnsi="Arial" w:cs="Arial"/>
          <w:lang w:val="es-CO"/>
        </w:rPr>
      </w:pPr>
      <w:r>
        <w:rPr>
          <w:rFonts w:ascii="Arial" w:hAnsi="Arial" w:cs="Arial"/>
          <w:lang w:val="es-CO"/>
        </w:rPr>
        <w:t xml:space="preserve">Los documentos emitidos por esta clase de máquinas deben cumplir los siguientes requisitos mínimos: </w:t>
      </w:r>
    </w:p>
    <w:p w14:paraId="72855FEC" w14:textId="77777777" w:rsidR="00B2442D" w:rsidRDefault="008A645F">
      <w:pPr>
        <w:jc w:val="both"/>
        <w:rPr>
          <w:rFonts w:ascii="Arial" w:hAnsi="Arial" w:cs="Arial"/>
          <w:lang w:val="es-CO"/>
        </w:rPr>
      </w:pPr>
      <w:r>
        <w:rPr>
          <w:rFonts w:ascii="Arial" w:hAnsi="Arial" w:cs="Arial"/>
          <w:lang w:val="es-CO"/>
        </w:rPr>
        <w:t xml:space="preserve"> </w:t>
      </w:r>
    </w:p>
    <w:p w14:paraId="01BDD75A" w14:textId="77777777" w:rsidR="00B2442D" w:rsidRDefault="008A645F">
      <w:pPr>
        <w:jc w:val="both"/>
        <w:rPr>
          <w:rFonts w:ascii="Arial" w:hAnsi="Arial" w:cs="Arial"/>
          <w:lang w:val="es-CO"/>
        </w:rPr>
      </w:pPr>
      <w:r>
        <w:rPr>
          <w:rFonts w:ascii="Arial" w:hAnsi="Arial" w:cs="Arial"/>
          <w:lang w:val="es-CO"/>
        </w:rPr>
        <w:t xml:space="preserve">1. Nombre </w:t>
      </w:r>
      <w:r>
        <w:rPr>
          <w:rFonts w:ascii="Arial" w:hAnsi="Arial" w:cs="Arial"/>
          <w:lang w:val="es-CO"/>
        </w:rPr>
        <w:t xml:space="preserve">o razón social y NIT del vendedor o quien presta el servicio.  </w:t>
      </w:r>
    </w:p>
    <w:p w14:paraId="6AFB397C" w14:textId="77777777" w:rsidR="00B2442D" w:rsidRDefault="008A645F">
      <w:pPr>
        <w:jc w:val="both"/>
        <w:rPr>
          <w:rFonts w:ascii="Arial" w:hAnsi="Arial" w:cs="Arial"/>
          <w:lang w:val="es-CO"/>
        </w:rPr>
      </w:pPr>
      <w:r>
        <w:rPr>
          <w:rFonts w:ascii="Arial" w:hAnsi="Arial" w:cs="Arial"/>
          <w:lang w:val="es-CO"/>
        </w:rPr>
        <w:t xml:space="preserve">2. Número consecutivo de la transacción.  </w:t>
      </w:r>
    </w:p>
    <w:p w14:paraId="42D9472E" w14:textId="77777777" w:rsidR="00B2442D" w:rsidRDefault="008A645F">
      <w:pPr>
        <w:jc w:val="both"/>
        <w:rPr>
          <w:rFonts w:ascii="Arial" w:hAnsi="Arial" w:cs="Arial"/>
          <w:lang w:val="es-CO"/>
        </w:rPr>
      </w:pPr>
      <w:r>
        <w:rPr>
          <w:rFonts w:ascii="Arial" w:hAnsi="Arial" w:cs="Arial"/>
          <w:lang w:val="es-CO"/>
        </w:rPr>
        <w:t xml:space="preserve">3. Fecha de la operación.  </w:t>
      </w:r>
    </w:p>
    <w:p w14:paraId="248C874E" w14:textId="77777777" w:rsidR="00B2442D" w:rsidRDefault="008A645F">
      <w:pPr>
        <w:jc w:val="both"/>
        <w:rPr>
          <w:rFonts w:ascii="Arial" w:hAnsi="Arial" w:cs="Arial"/>
          <w:lang w:val="es-CO"/>
        </w:rPr>
      </w:pPr>
      <w:r>
        <w:rPr>
          <w:rFonts w:ascii="Arial" w:hAnsi="Arial" w:cs="Arial"/>
          <w:lang w:val="es-CO"/>
        </w:rPr>
        <w:t xml:space="preserve">4. Descripción de los bienes o servicios.  </w:t>
      </w:r>
    </w:p>
    <w:p w14:paraId="3E2F7BC6" w14:textId="77777777" w:rsidR="00B2442D" w:rsidRDefault="008A645F">
      <w:pPr>
        <w:jc w:val="both"/>
        <w:rPr>
          <w:rFonts w:ascii="Arial" w:hAnsi="Arial" w:cs="Arial"/>
          <w:lang w:val="es-CO"/>
        </w:rPr>
      </w:pPr>
      <w:r>
        <w:rPr>
          <w:rFonts w:ascii="Arial" w:hAnsi="Arial" w:cs="Arial"/>
          <w:lang w:val="es-CO"/>
        </w:rPr>
        <w:t xml:space="preserve">5. Valor total de la transacción. </w:t>
      </w:r>
    </w:p>
    <w:p w14:paraId="3EAC3CDD" w14:textId="77777777" w:rsidR="00B2442D" w:rsidRDefault="008A645F">
      <w:pPr>
        <w:jc w:val="both"/>
        <w:rPr>
          <w:rFonts w:ascii="Arial" w:hAnsi="Arial" w:cs="Arial"/>
          <w:lang w:val="es-CO"/>
        </w:rPr>
      </w:pPr>
      <w:r>
        <w:rPr>
          <w:rFonts w:ascii="Arial" w:hAnsi="Arial" w:cs="Arial"/>
          <w:lang w:val="es-CO"/>
        </w:rPr>
        <w:t xml:space="preserve"> </w:t>
      </w:r>
    </w:p>
    <w:p w14:paraId="70A7AD45" w14:textId="77777777" w:rsidR="00B2442D" w:rsidRDefault="008A645F">
      <w:pPr>
        <w:jc w:val="both"/>
        <w:rPr>
          <w:rFonts w:ascii="Arial" w:hAnsi="Arial" w:cs="Arial"/>
          <w:lang w:val="es-CO"/>
        </w:rPr>
      </w:pPr>
      <w:r>
        <w:rPr>
          <w:rFonts w:ascii="Arial" w:hAnsi="Arial" w:cs="Arial"/>
          <w:lang w:val="es-CO"/>
        </w:rPr>
        <w:t xml:space="preserve">b) Máquinas registradoras por artículo (PLU) con departamentos y máquinas registradoras por departamentos.  </w:t>
      </w:r>
    </w:p>
    <w:p w14:paraId="6BAF18BD" w14:textId="77777777" w:rsidR="00B2442D" w:rsidRDefault="00B2442D">
      <w:pPr>
        <w:jc w:val="both"/>
        <w:rPr>
          <w:rFonts w:ascii="Arial" w:hAnsi="Arial" w:cs="Arial"/>
          <w:lang w:val="es-CO"/>
        </w:rPr>
      </w:pPr>
    </w:p>
    <w:p w14:paraId="3755016C" w14:textId="77777777" w:rsidR="00B2442D" w:rsidRDefault="008A645F">
      <w:pPr>
        <w:jc w:val="both"/>
        <w:rPr>
          <w:rFonts w:ascii="Arial" w:hAnsi="Arial" w:cs="Arial"/>
          <w:lang w:val="es-CO"/>
        </w:rPr>
      </w:pPr>
      <w:r>
        <w:rPr>
          <w:rFonts w:ascii="Arial" w:hAnsi="Arial" w:cs="Arial"/>
          <w:lang w:val="es-CO"/>
        </w:rPr>
        <w:t xml:space="preserve">Los tiquetes emitidos por esta clase de máquinas deben cumplir los siguientes requisitos mínimos: </w:t>
      </w:r>
    </w:p>
    <w:p w14:paraId="53246253" w14:textId="77777777" w:rsidR="00B2442D" w:rsidRDefault="008A645F">
      <w:pPr>
        <w:jc w:val="both"/>
        <w:rPr>
          <w:rFonts w:ascii="Arial" w:hAnsi="Arial" w:cs="Arial"/>
          <w:lang w:val="es-CO"/>
        </w:rPr>
      </w:pPr>
      <w:r>
        <w:rPr>
          <w:rFonts w:ascii="Arial" w:hAnsi="Arial" w:cs="Arial"/>
          <w:lang w:val="es-CO"/>
        </w:rPr>
        <w:t xml:space="preserve"> </w:t>
      </w:r>
    </w:p>
    <w:p w14:paraId="35DCFF0B" w14:textId="77777777" w:rsidR="00B2442D" w:rsidRDefault="008A645F">
      <w:pPr>
        <w:jc w:val="both"/>
        <w:rPr>
          <w:rFonts w:ascii="Arial" w:hAnsi="Arial" w:cs="Arial"/>
          <w:lang w:val="es-CO"/>
        </w:rPr>
      </w:pPr>
      <w:r>
        <w:rPr>
          <w:rFonts w:ascii="Arial" w:hAnsi="Arial" w:cs="Arial"/>
          <w:lang w:val="es-CO"/>
        </w:rPr>
        <w:t>1. Nombre o razón social y NIT del vendedor o</w:t>
      </w:r>
      <w:r>
        <w:rPr>
          <w:rFonts w:ascii="Arial" w:hAnsi="Arial" w:cs="Arial"/>
          <w:lang w:val="es-CO"/>
        </w:rPr>
        <w:t xml:space="preserve"> de quien preste el servicio. </w:t>
      </w:r>
    </w:p>
    <w:p w14:paraId="7A310A41" w14:textId="77777777" w:rsidR="00B2442D" w:rsidRDefault="008A645F">
      <w:pPr>
        <w:jc w:val="both"/>
        <w:rPr>
          <w:rFonts w:ascii="Arial" w:hAnsi="Arial" w:cs="Arial"/>
          <w:lang w:val="es-CO"/>
        </w:rPr>
      </w:pPr>
      <w:r>
        <w:rPr>
          <w:rFonts w:ascii="Arial" w:hAnsi="Arial" w:cs="Arial"/>
          <w:lang w:val="es-CO"/>
        </w:rPr>
        <w:t xml:space="preserve">2. Número consecutivo de la transacción.  </w:t>
      </w:r>
    </w:p>
    <w:p w14:paraId="466367D5" w14:textId="77777777" w:rsidR="00B2442D" w:rsidRDefault="008A645F">
      <w:pPr>
        <w:jc w:val="both"/>
        <w:rPr>
          <w:rFonts w:ascii="Arial" w:hAnsi="Arial" w:cs="Arial"/>
          <w:lang w:val="es-CO"/>
        </w:rPr>
      </w:pPr>
      <w:r>
        <w:rPr>
          <w:rFonts w:ascii="Arial" w:hAnsi="Arial" w:cs="Arial"/>
          <w:lang w:val="es-CO"/>
        </w:rPr>
        <w:t xml:space="preserve">3. Fecha de la operación.  </w:t>
      </w:r>
    </w:p>
    <w:p w14:paraId="6E9338E8" w14:textId="77777777" w:rsidR="00B2442D" w:rsidRDefault="008A645F">
      <w:pPr>
        <w:jc w:val="both"/>
        <w:rPr>
          <w:rFonts w:ascii="Arial" w:hAnsi="Arial" w:cs="Arial"/>
          <w:lang w:val="es-CO"/>
        </w:rPr>
      </w:pPr>
      <w:r>
        <w:rPr>
          <w:rFonts w:ascii="Arial" w:hAnsi="Arial" w:cs="Arial"/>
          <w:lang w:val="es-CO"/>
        </w:rPr>
        <w:t xml:space="preserve">4. Valor total de la transacción. </w:t>
      </w:r>
    </w:p>
    <w:p w14:paraId="20FB1704" w14:textId="77777777" w:rsidR="00B2442D" w:rsidRDefault="008A645F">
      <w:pPr>
        <w:jc w:val="both"/>
        <w:rPr>
          <w:rFonts w:ascii="Arial" w:hAnsi="Arial" w:cs="Arial"/>
          <w:lang w:val="es-CO"/>
        </w:rPr>
      </w:pPr>
      <w:r>
        <w:rPr>
          <w:rFonts w:ascii="Arial" w:hAnsi="Arial" w:cs="Arial"/>
          <w:lang w:val="es-CO"/>
        </w:rPr>
        <w:t xml:space="preserve"> </w:t>
      </w:r>
    </w:p>
    <w:p w14:paraId="5BAEBC4F" w14:textId="77777777" w:rsidR="00B2442D" w:rsidRDefault="008A645F">
      <w:pPr>
        <w:jc w:val="both"/>
        <w:rPr>
          <w:rFonts w:ascii="Arial" w:hAnsi="Arial" w:cs="Arial"/>
          <w:lang w:val="es-CO"/>
        </w:rPr>
      </w:pPr>
      <w:r>
        <w:rPr>
          <w:rFonts w:ascii="Arial" w:hAnsi="Arial" w:cs="Arial"/>
          <w:lang w:val="es-CO"/>
        </w:rPr>
        <w:t xml:space="preserve">2. Boletas de ingreso a espectáculos públicos y recibos de pago de matrículas y pensiones </w:t>
      </w:r>
    </w:p>
    <w:p w14:paraId="597B03F4" w14:textId="77777777" w:rsidR="00B2442D" w:rsidRDefault="008A645F">
      <w:pPr>
        <w:jc w:val="both"/>
        <w:rPr>
          <w:rFonts w:ascii="Arial" w:hAnsi="Arial" w:cs="Arial"/>
          <w:lang w:val="es-CO"/>
        </w:rPr>
      </w:pPr>
      <w:r>
        <w:rPr>
          <w:rFonts w:ascii="Arial" w:hAnsi="Arial" w:cs="Arial"/>
          <w:lang w:val="es-CO"/>
        </w:rPr>
        <w:t xml:space="preserve"> </w:t>
      </w:r>
    </w:p>
    <w:p w14:paraId="5F539F00" w14:textId="77777777" w:rsidR="00B2442D" w:rsidRDefault="008A645F">
      <w:pPr>
        <w:jc w:val="both"/>
        <w:rPr>
          <w:rFonts w:ascii="Arial" w:hAnsi="Arial" w:cs="Arial"/>
          <w:lang w:val="es-CO"/>
        </w:rPr>
      </w:pPr>
      <w:r>
        <w:rPr>
          <w:rFonts w:ascii="Arial" w:hAnsi="Arial" w:cs="Arial"/>
          <w:lang w:val="es-CO"/>
        </w:rPr>
        <w:t xml:space="preserve">a) Boletas de ingreso a cine.  </w:t>
      </w:r>
    </w:p>
    <w:p w14:paraId="2607AA67" w14:textId="77777777" w:rsidR="00B2442D" w:rsidRDefault="00B2442D">
      <w:pPr>
        <w:jc w:val="both"/>
        <w:rPr>
          <w:rFonts w:ascii="Arial" w:hAnsi="Arial" w:cs="Arial"/>
          <w:lang w:val="es-CO"/>
        </w:rPr>
      </w:pPr>
    </w:p>
    <w:p w14:paraId="0F20FE5F" w14:textId="77777777" w:rsidR="00B2442D" w:rsidRDefault="008A645F">
      <w:pPr>
        <w:jc w:val="both"/>
        <w:rPr>
          <w:rFonts w:ascii="Arial" w:hAnsi="Arial" w:cs="Arial"/>
          <w:lang w:val="es-CO"/>
        </w:rPr>
      </w:pPr>
      <w:r>
        <w:rPr>
          <w:rFonts w:ascii="Arial" w:hAnsi="Arial" w:cs="Arial"/>
          <w:lang w:val="es-CO"/>
        </w:rPr>
        <w:t xml:space="preserve">Las boletas de ingreso a salas de exhibición cinematográfica deberán contener los siguientes requisitos mínimos: </w:t>
      </w:r>
    </w:p>
    <w:p w14:paraId="7FCB4AE4" w14:textId="77777777" w:rsidR="00B2442D" w:rsidRDefault="008A645F">
      <w:pPr>
        <w:jc w:val="both"/>
        <w:rPr>
          <w:rFonts w:ascii="Arial" w:hAnsi="Arial" w:cs="Arial"/>
          <w:lang w:val="es-CO"/>
        </w:rPr>
      </w:pPr>
      <w:r>
        <w:rPr>
          <w:rFonts w:ascii="Arial" w:hAnsi="Arial" w:cs="Arial"/>
          <w:lang w:val="es-CO"/>
        </w:rPr>
        <w:t xml:space="preserve"> </w:t>
      </w:r>
    </w:p>
    <w:p w14:paraId="3504F880" w14:textId="77777777" w:rsidR="00B2442D" w:rsidRDefault="008A645F">
      <w:pPr>
        <w:jc w:val="both"/>
        <w:rPr>
          <w:rFonts w:ascii="Arial" w:hAnsi="Arial" w:cs="Arial"/>
          <w:lang w:val="es-CO"/>
        </w:rPr>
      </w:pPr>
      <w:r>
        <w:rPr>
          <w:rFonts w:ascii="Arial" w:hAnsi="Arial" w:cs="Arial"/>
          <w:lang w:val="es-CO"/>
        </w:rPr>
        <w:t>1. Nombre o ra</w:t>
      </w:r>
      <w:r>
        <w:rPr>
          <w:rFonts w:ascii="Arial" w:hAnsi="Arial" w:cs="Arial"/>
          <w:lang w:val="es-CO"/>
        </w:rPr>
        <w:t xml:space="preserve">zón social de quien presta el servicio y su NIT.  </w:t>
      </w:r>
    </w:p>
    <w:p w14:paraId="1ABE2117" w14:textId="77777777" w:rsidR="00B2442D" w:rsidRDefault="008A645F">
      <w:pPr>
        <w:jc w:val="both"/>
        <w:rPr>
          <w:rFonts w:ascii="Arial" w:hAnsi="Arial" w:cs="Arial"/>
          <w:lang w:val="es-CO"/>
        </w:rPr>
      </w:pPr>
      <w:r>
        <w:rPr>
          <w:rFonts w:ascii="Arial" w:hAnsi="Arial" w:cs="Arial"/>
          <w:lang w:val="es-CO"/>
        </w:rPr>
        <w:t xml:space="preserve">2. Numeración consecutiva.  </w:t>
      </w:r>
    </w:p>
    <w:p w14:paraId="0B0839FD" w14:textId="77777777" w:rsidR="00B2442D" w:rsidRDefault="00B2442D">
      <w:pPr>
        <w:jc w:val="both"/>
        <w:rPr>
          <w:rFonts w:ascii="Arial" w:hAnsi="Arial" w:cs="Arial"/>
          <w:lang w:val="es-CO"/>
        </w:rPr>
      </w:pPr>
    </w:p>
    <w:p w14:paraId="55A54F17" w14:textId="77777777" w:rsidR="00B2442D" w:rsidRDefault="008A645F">
      <w:pPr>
        <w:jc w:val="both"/>
        <w:rPr>
          <w:rFonts w:ascii="Arial" w:hAnsi="Arial" w:cs="Arial"/>
          <w:lang w:val="es-CO"/>
        </w:rPr>
      </w:pPr>
      <w:r>
        <w:rPr>
          <w:rFonts w:ascii="Arial" w:hAnsi="Arial" w:cs="Arial"/>
          <w:lang w:val="es-CO"/>
        </w:rPr>
        <w:t xml:space="preserve">b) Boletas de ingreso a otros espectáculos públicos y recibos de pago de matrículas y pensiones.  </w:t>
      </w:r>
    </w:p>
    <w:p w14:paraId="41D7F754" w14:textId="77777777" w:rsidR="00B2442D" w:rsidRDefault="00B2442D">
      <w:pPr>
        <w:jc w:val="both"/>
        <w:rPr>
          <w:rFonts w:ascii="Arial" w:hAnsi="Arial" w:cs="Arial"/>
          <w:lang w:val="es-CO"/>
        </w:rPr>
      </w:pPr>
    </w:p>
    <w:p w14:paraId="1538206B" w14:textId="77777777" w:rsidR="00B2442D" w:rsidRDefault="008A645F">
      <w:pPr>
        <w:jc w:val="both"/>
        <w:rPr>
          <w:rFonts w:ascii="Arial" w:hAnsi="Arial" w:cs="Arial"/>
          <w:lang w:val="es-CO"/>
        </w:rPr>
      </w:pPr>
      <w:r>
        <w:rPr>
          <w:rFonts w:ascii="Arial" w:hAnsi="Arial" w:cs="Arial"/>
          <w:lang w:val="es-CO"/>
        </w:rPr>
        <w:t>Estos documentos equivalentes deberán tener como mínimo los siguientes requ</w:t>
      </w:r>
      <w:r>
        <w:rPr>
          <w:rFonts w:ascii="Arial" w:hAnsi="Arial" w:cs="Arial"/>
          <w:lang w:val="es-CO"/>
        </w:rPr>
        <w:t xml:space="preserve">isitos: </w:t>
      </w:r>
    </w:p>
    <w:p w14:paraId="2540669D" w14:textId="77777777" w:rsidR="00B2442D" w:rsidRDefault="00B2442D">
      <w:pPr>
        <w:jc w:val="both"/>
        <w:rPr>
          <w:rFonts w:ascii="Arial" w:hAnsi="Arial" w:cs="Arial"/>
          <w:lang w:val="es-CO"/>
        </w:rPr>
      </w:pPr>
    </w:p>
    <w:p w14:paraId="32AD624A" w14:textId="77777777" w:rsidR="00B2442D" w:rsidRDefault="008A645F">
      <w:pPr>
        <w:jc w:val="both"/>
        <w:rPr>
          <w:rFonts w:ascii="Arial" w:hAnsi="Arial" w:cs="Arial"/>
          <w:lang w:val="es-CO"/>
        </w:rPr>
      </w:pPr>
      <w:r>
        <w:rPr>
          <w:rFonts w:ascii="Arial" w:hAnsi="Arial" w:cs="Arial"/>
          <w:lang w:val="es-CO"/>
        </w:rPr>
        <w:t xml:space="preserve">1. Nombre o razón social de quien presta el servicio y su NIT.  </w:t>
      </w:r>
    </w:p>
    <w:p w14:paraId="40A06EC6" w14:textId="77777777" w:rsidR="00B2442D" w:rsidRDefault="008A645F">
      <w:pPr>
        <w:jc w:val="both"/>
        <w:rPr>
          <w:rFonts w:ascii="Arial" w:hAnsi="Arial" w:cs="Arial"/>
          <w:lang w:val="es-CO"/>
        </w:rPr>
      </w:pPr>
      <w:r>
        <w:rPr>
          <w:rFonts w:ascii="Arial" w:hAnsi="Arial" w:cs="Arial"/>
          <w:lang w:val="es-CO"/>
        </w:rPr>
        <w:t xml:space="preserve">2. Numeración consecutiva.  </w:t>
      </w:r>
    </w:p>
    <w:p w14:paraId="65C67D1E" w14:textId="77777777" w:rsidR="00B2442D" w:rsidRDefault="008A645F">
      <w:pPr>
        <w:jc w:val="both"/>
        <w:rPr>
          <w:rFonts w:ascii="Arial" w:hAnsi="Arial" w:cs="Arial"/>
          <w:lang w:val="es-CO"/>
        </w:rPr>
      </w:pPr>
      <w:r>
        <w:rPr>
          <w:rFonts w:ascii="Arial" w:hAnsi="Arial" w:cs="Arial"/>
          <w:lang w:val="es-CO"/>
        </w:rPr>
        <w:t xml:space="preserve">3. Descripción específica o genérica del servicio. </w:t>
      </w:r>
    </w:p>
    <w:p w14:paraId="0ABAC3EA" w14:textId="77777777" w:rsidR="00B2442D" w:rsidRDefault="008A645F">
      <w:pPr>
        <w:jc w:val="both"/>
        <w:rPr>
          <w:rFonts w:ascii="Arial" w:hAnsi="Arial" w:cs="Arial"/>
          <w:lang w:val="es-CO"/>
        </w:rPr>
      </w:pPr>
      <w:r>
        <w:rPr>
          <w:rFonts w:ascii="Arial" w:hAnsi="Arial" w:cs="Arial"/>
          <w:lang w:val="es-CO"/>
        </w:rPr>
        <w:t xml:space="preserve">4. Fecha.  </w:t>
      </w:r>
    </w:p>
    <w:p w14:paraId="39FA9D95" w14:textId="77777777" w:rsidR="00B2442D" w:rsidRDefault="008A645F">
      <w:pPr>
        <w:jc w:val="both"/>
        <w:rPr>
          <w:rFonts w:ascii="Arial" w:hAnsi="Arial" w:cs="Arial"/>
          <w:lang w:val="es-CO"/>
        </w:rPr>
      </w:pPr>
      <w:r>
        <w:rPr>
          <w:rFonts w:ascii="Arial" w:hAnsi="Arial" w:cs="Arial"/>
          <w:lang w:val="es-CO"/>
        </w:rPr>
        <w:t xml:space="preserve">5. Valor de la operación.  </w:t>
      </w:r>
    </w:p>
    <w:p w14:paraId="5E7C3219" w14:textId="77777777" w:rsidR="00B2442D" w:rsidRDefault="00B2442D">
      <w:pPr>
        <w:jc w:val="both"/>
        <w:rPr>
          <w:rFonts w:ascii="Arial" w:hAnsi="Arial" w:cs="Arial"/>
          <w:lang w:val="es-CO"/>
        </w:rPr>
      </w:pPr>
    </w:p>
    <w:p w14:paraId="5D9AC22C" w14:textId="77777777" w:rsidR="00B2442D" w:rsidRDefault="008A645F">
      <w:pPr>
        <w:jc w:val="both"/>
        <w:rPr>
          <w:rFonts w:ascii="Arial" w:hAnsi="Arial" w:cs="Arial"/>
          <w:lang w:val="es-CO"/>
        </w:rPr>
      </w:pPr>
      <w:r>
        <w:rPr>
          <w:rFonts w:ascii="Arial" w:hAnsi="Arial" w:cs="Arial"/>
          <w:lang w:val="es-CO"/>
        </w:rPr>
        <w:t>3. Tiquetes de transporte de pasajeros, pólizas de seguros,</w:t>
      </w:r>
      <w:r>
        <w:rPr>
          <w:rFonts w:ascii="Arial" w:hAnsi="Arial" w:cs="Arial"/>
          <w:lang w:val="es-CO"/>
        </w:rPr>
        <w:t xml:space="preserve"> títulos de capitalización y sus comprobantes de pago.</w:t>
      </w:r>
    </w:p>
    <w:p w14:paraId="1517EAB4" w14:textId="77777777" w:rsidR="00B2442D" w:rsidRDefault="00B2442D">
      <w:pPr>
        <w:jc w:val="both"/>
        <w:rPr>
          <w:rFonts w:ascii="Arial" w:hAnsi="Arial" w:cs="Arial"/>
          <w:lang w:val="es-CO"/>
        </w:rPr>
      </w:pPr>
    </w:p>
    <w:p w14:paraId="5193B143" w14:textId="77777777" w:rsidR="00B2442D" w:rsidRDefault="008A645F">
      <w:pPr>
        <w:jc w:val="both"/>
        <w:rPr>
          <w:rFonts w:ascii="Arial" w:hAnsi="Arial" w:cs="Arial"/>
          <w:lang w:val="es-CO"/>
        </w:rPr>
      </w:pPr>
      <w:r>
        <w:rPr>
          <w:rFonts w:ascii="Arial" w:hAnsi="Arial" w:cs="Arial"/>
          <w:lang w:val="es-CO"/>
        </w:rPr>
        <w:t xml:space="preserve">Estos documentos deberán contener como mínimo los siguientes requisitos: </w:t>
      </w:r>
    </w:p>
    <w:p w14:paraId="2A04482F" w14:textId="77777777" w:rsidR="00B2442D" w:rsidRDefault="008A645F">
      <w:pPr>
        <w:jc w:val="both"/>
        <w:rPr>
          <w:rFonts w:ascii="Arial" w:hAnsi="Arial" w:cs="Arial"/>
          <w:lang w:val="es-CO"/>
        </w:rPr>
      </w:pPr>
      <w:r>
        <w:rPr>
          <w:rFonts w:ascii="Arial" w:hAnsi="Arial" w:cs="Arial"/>
          <w:lang w:val="es-CO"/>
        </w:rPr>
        <w:t xml:space="preserve"> </w:t>
      </w:r>
    </w:p>
    <w:p w14:paraId="0151FBAF" w14:textId="77777777" w:rsidR="00B2442D" w:rsidRDefault="008A645F">
      <w:pPr>
        <w:jc w:val="both"/>
        <w:rPr>
          <w:rFonts w:ascii="Arial" w:hAnsi="Arial" w:cs="Arial"/>
          <w:lang w:val="es-CO"/>
        </w:rPr>
      </w:pPr>
      <w:r>
        <w:rPr>
          <w:rFonts w:ascii="Arial" w:hAnsi="Arial" w:cs="Arial"/>
          <w:lang w:val="es-CO"/>
        </w:rPr>
        <w:t xml:space="preserve">1. Nombre o razón social de quien prestan el servicio su NIT. </w:t>
      </w:r>
    </w:p>
    <w:p w14:paraId="41311C6D" w14:textId="77777777" w:rsidR="00B2442D" w:rsidRDefault="008A645F">
      <w:pPr>
        <w:jc w:val="both"/>
        <w:rPr>
          <w:rFonts w:ascii="Arial" w:hAnsi="Arial" w:cs="Arial"/>
          <w:lang w:val="es-CO"/>
        </w:rPr>
      </w:pPr>
      <w:r>
        <w:rPr>
          <w:rFonts w:ascii="Arial" w:hAnsi="Arial" w:cs="Arial"/>
          <w:lang w:val="es-CO"/>
        </w:rPr>
        <w:t xml:space="preserve">2. Numeración consecutiva.  </w:t>
      </w:r>
    </w:p>
    <w:p w14:paraId="141C4FC1" w14:textId="77777777" w:rsidR="00B2442D" w:rsidRDefault="008A645F">
      <w:pPr>
        <w:jc w:val="both"/>
        <w:rPr>
          <w:rFonts w:ascii="Arial" w:hAnsi="Arial" w:cs="Arial"/>
          <w:lang w:val="es-CO"/>
        </w:rPr>
      </w:pPr>
      <w:r>
        <w:rPr>
          <w:rFonts w:ascii="Arial" w:hAnsi="Arial" w:cs="Arial"/>
          <w:lang w:val="es-CO"/>
        </w:rPr>
        <w:t xml:space="preserve">3. Fecha de expedición.  </w:t>
      </w:r>
    </w:p>
    <w:p w14:paraId="1D2C4900" w14:textId="77777777" w:rsidR="00B2442D" w:rsidRDefault="008A645F">
      <w:pPr>
        <w:jc w:val="both"/>
        <w:rPr>
          <w:rFonts w:ascii="Arial" w:hAnsi="Arial" w:cs="Arial"/>
          <w:lang w:val="es-CO"/>
        </w:rPr>
      </w:pPr>
      <w:r>
        <w:rPr>
          <w:rFonts w:ascii="Arial" w:hAnsi="Arial" w:cs="Arial"/>
          <w:lang w:val="es-CO"/>
        </w:rPr>
        <w:t xml:space="preserve">4. Descripción específica o genérica del servicio.  </w:t>
      </w:r>
    </w:p>
    <w:p w14:paraId="46F94D15" w14:textId="77777777" w:rsidR="00B2442D" w:rsidRDefault="008A645F">
      <w:pPr>
        <w:jc w:val="both"/>
        <w:rPr>
          <w:rFonts w:ascii="Arial" w:hAnsi="Arial" w:cs="Arial"/>
          <w:lang w:val="es-CO"/>
        </w:rPr>
      </w:pPr>
      <w:r>
        <w:rPr>
          <w:rFonts w:ascii="Arial" w:hAnsi="Arial" w:cs="Arial"/>
          <w:lang w:val="es-CO"/>
        </w:rPr>
        <w:t xml:space="preserve">5. Valor de la operación. </w:t>
      </w:r>
    </w:p>
    <w:p w14:paraId="650EEE6D" w14:textId="77777777" w:rsidR="00B2442D" w:rsidRDefault="00B2442D">
      <w:pPr>
        <w:jc w:val="both"/>
        <w:rPr>
          <w:rFonts w:ascii="Arial" w:hAnsi="Arial" w:cs="Arial"/>
          <w:lang w:val="es-CO"/>
        </w:rPr>
      </w:pPr>
    </w:p>
    <w:p w14:paraId="08DDB699" w14:textId="77777777" w:rsidR="00B2442D" w:rsidRDefault="008A645F">
      <w:pPr>
        <w:jc w:val="both"/>
        <w:rPr>
          <w:rFonts w:ascii="Arial" w:hAnsi="Arial" w:cs="Arial"/>
          <w:lang w:val="es-CO"/>
        </w:rPr>
      </w:pPr>
      <w:r>
        <w:rPr>
          <w:rFonts w:ascii="Arial" w:hAnsi="Arial" w:cs="Arial"/>
          <w:lang w:val="es-CO"/>
        </w:rPr>
        <w:t>4. Extractos expedidos por sociedades fiduciarias, fondos de inversión, fondos de inversión extranjera, fondos mutuos de inversión, fondos de valores</w:t>
      </w:r>
      <w:r>
        <w:rPr>
          <w:rFonts w:ascii="Arial" w:hAnsi="Arial" w:cs="Arial"/>
          <w:lang w:val="es-CO"/>
        </w:rPr>
        <w:t xml:space="preserve">, fondos de pensiones y de cesantías </w:t>
      </w:r>
    </w:p>
    <w:p w14:paraId="3CB2CDBF" w14:textId="77777777" w:rsidR="00B2442D" w:rsidRDefault="008A645F">
      <w:pPr>
        <w:jc w:val="both"/>
        <w:rPr>
          <w:rFonts w:ascii="Arial" w:hAnsi="Arial" w:cs="Arial"/>
          <w:lang w:val="es-CO"/>
        </w:rPr>
      </w:pPr>
      <w:r>
        <w:rPr>
          <w:rFonts w:ascii="Arial" w:hAnsi="Arial" w:cs="Arial"/>
          <w:lang w:val="es-CO"/>
        </w:rPr>
        <w:t xml:space="preserve"> </w:t>
      </w:r>
    </w:p>
    <w:p w14:paraId="328BDAC6" w14:textId="77777777" w:rsidR="00B2442D" w:rsidRDefault="008A645F">
      <w:pPr>
        <w:jc w:val="both"/>
        <w:rPr>
          <w:rFonts w:ascii="Arial" w:hAnsi="Arial" w:cs="Arial"/>
          <w:lang w:val="es-CO"/>
        </w:rPr>
      </w:pPr>
      <w:r>
        <w:rPr>
          <w:rFonts w:ascii="Arial" w:hAnsi="Arial" w:cs="Arial"/>
          <w:lang w:val="es-CO"/>
        </w:rPr>
        <w:t xml:space="preserve">Estos documentos equivalentes deberán tener como mínimo los siguientes requisitos: </w:t>
      </w:r>
    </w:p>
    <w:p w14:paraId="3A54B539" w14:textId="77777777" w:rsidR="00B2442D" w:rsidRDefault="008A645F">
      <w:pPr>
        <w:jc w:val="both"/>
        <w:rPr>
          <w:rFonts w:ascii="Arial" w:hAnsi="Arial" w:cs="Arial"/>
          <w:lang w:val="es-CO"/>
        </w:rPr>
      </w:pPr>
      <w:r>
        <w:rPr>
          <w:rFonts w:ascii="Arial" w:hAnsi="Arial" w:cs="Arial"/>
          <w:lang w:val="es-CO"/>
        </w:rPr>
        <w:t xml:space="preserve"> </w:t>
      </w:r>
    </w:p>
    <w:p w14:paraId="5EB916A2" w14:textId="77777777" w:rsidR="00B2442D" w:rsidRDefault="008A645F">
      <w:pPr>
        <w:jc w:val="both"/>
        <w:rPr>
          <w:rFonts w:ascii="Arial" w:hAnsi="Arial" w:cs="Arial"/>
          <w:lang w:val="es-CO"/>
        </w:rPr>
      </w:pPr>
      <w:r>
        <w:rPr>
          <w:rFonts w:ascii="Arial" w:hAnsi="Arial" w:cs="Arial"/>
          <w:lang w:val="es-CO"/>
        </w:rPr>
        <w:t xml:space="preserve">1. Nombre o razón social de quien presta el servicio y su NIT. </w:t>
      </w:r>
    </w:p>
    <w:p w14:paraId="7DA63743" w14:textId="77777777" w:rsidR="00B2442D" w:rsidRDefault="008A645F">
      <w:pPr>
        <w:jc w:val="both"/>
        <w:rPr>
          <w:rFonts w:ascii="Arial" w:hAnsi="Arial" w:cs="Arial"/>
          <w:lang w:val="es-CO"/>
        </w:rPr>
      </w:pPr>
      <w:r>
        <w:rPr>
          <w:rFonts w:ascii="Arial" w:hAnsi="Arial" w:cs="Arial"/>
          <w:lang w:val="es-CO"/>
        </w:rPr>
        <w:t xml:space="preserve">2. Numeración consecutiva. </w:t>
      </w:r>
    </w:p>
    <w:p w14:paraId="6CA3138D" w14:textId="77777777" w:rsidR="00B2442D" w:rsidRDefault="008A645F">
      <w:pPr>
        <w:jc w:val="both"/>
        <w:rPr>
          <w:rFonts w:ascii="Arial" w:hAnsi="Arial" w:cs="Arial"/>
          <w:lang w:val="es-CO"/>
        </w:rPr>
      </w:pPr>
      <w:r>
        <w:rPr>
          <w:rFonts w:ascii="Arial" w:hAnsi="Arial" w:cs="Arial"/>
          <w:lang w:val="es-CO"/>
        </w:rPr>
        <w:t xml:space="preserve">3. Fecha del extracto. </w:t>
      </w:r>
    </w:p>
    <w:p w14:paraId="4731FF22" w14:textId="77777777" w:rsidR="00B2442D" w:rsidRDefault="008A645F">
      <w:pPr>
        <w:jc w:val="both"/>
        <w:rPr>
          <w:rFonts w:ascii="Arial" w:hAnsi="Arial" w:cs="Arial"/>
          <w:lang w:val="es-CO"/>
        </w:rPr>
      </w:pPr>
      <w:r>
        <w:rPr>
          <w:rFonts w:ascii="Arial" w:hAnsi="Arial" w:cs="Arial"/>
          <w:lang w:val="es-CO"/>
        </w:rPr>
        <w:t>4. Descripción</w:t>
      </w:r>
      <w:r>
        <w:rPr>
          <w:rFonts w:ascii="Arial" w:hAnsi="Arial" w:cs="Arial"/>
          <w:lang w:val="es-CO"/>
        </w:rPr>
        <w:t xml:space="preserve"> específica o genérica del servicio. </w:t>
      </w:r>
    </w:p>
    <w:p w14:paraId="64159F61" w14:textId="77777777" w:rsidR="00B2442D" w:rsidRDefault="008A645F">
      <w:pPr>
        <w:jc w:val="both"/>
        <w:rPr>
          <w:rFonts w:ascii="Arial" w:hAnsi="Arial" w:cs="Arial"/>
          <w:lang w:val="es-CO"/>
        </w:rPr>
      </w:pPr>
      <w:r>
        <w:rPr>
          <w:rFonts w:ascii="Arial" w:hAnsi="Arial" w:cs="Arial"/>
          <w:lang w:val="es-CO"/>
        </w:rPr>
        <w:t>5. Valor de la operación.</w:t>
      </w:r>
    </w:p>
    <w:p w14:paraId="2C9038E3" w14:textId="77777777" w:rsidR="00B2442D" w:rsidRDefault="00B2442D">
      <w:pPr>
        <w:jc w:val="both"/>
        <w:rPr>
          <w:rFonts w:ascii="Arial" w:hAnsi="Arial" w:cs="Arial"/>
          <w:i/>
          <w:lang w:val="es-CO"/>
        </w:rPr>
      </w:pPr>
    </w:p>
    <w:p w14:paraId="33E31E7A" w14:textId="77777777" w:rsidR="00B2442D" w:rsidRDefault="008A645F">
      <w:pPr>
        <w:jc w:val="both"/>
        <w:rPr>
          <w:rFonts w:ascii="Arial" w:hAnsi="Arial" w:cs="Arial"/>
          <w:i/>
          <w:lang w:val="es-CO"/>
        </w:rPr>
      </w:pPr>
      <w:r>
        <w:rPr>
          <w:rFonts w:ascii="Arial" w:hAnsi="Arial" w:cs="Arial"/>
          <w:i/>
          <w:lang w:val="es-CO"/>
        </w:rPr>
        <w:t xml:space="preserve">(Art. 6, Decreto 1165 de 1996. La expresión “Recibos de servicios públicos”, contenida en el numeral 3, tiene derogatoria tácita porque el numeral 7 del artículo 5 del decreto </w:t>
      </w:r>
      <w:r>
        <w:rPr>
          <w:rFonts w:ascii="Arial" w:hAnsi="Arial" w:cs="Arial"/>
          <w:i/>
          <w:lang w:val="es-CO"/>
        </w:rPr>
        <w:t xml:space="preserve">Reglamentario 1165 de 1996, fue derogado expresamente por el artículo 19 del Decreto Reglamentario 1001 de 1997; el numeral 5 tiene decaimiento por la evolución normativa (El Decreto 1929 de 2007 derogó expresamente el Decreto 1094/96))(El Decreto 1165 de </w:t>
      </w:r>
      <w:r>
        <w:rPr>
          <w:rFonts w:ascii="Arial" w:hAnsi="Arial" w:cs="Arial"/>
          <w:i/>
          <w:lang w:val="es-CO"/>
        </w:rPr>
        <w:t>1996 rige a partir de su expedición y deroga las normas que le sean contrarias, en especial las siguientes: artículos 4° y 7° del Decreto 422 de 1991; artículos 21, 22, 23 del Decreto 836 de 1991 y artículo 39 del Decreto 2076 de 1992. Art. 15, Decreto 116</w:t>
      </w:r>
      <w:r>
        <w:rPr>
          <w:rFonts w:ascii="Arial" w:hAnsi="Arial" w:cs="Arial"/>
          <w:i/>
          <w:lang w:val="es-CO"/>
        </w:rPr>
        <w:t>5 de 1996)</w:t>
      </w:r>
    </w:p>
    <w:p w14:paraId="2B150923" w14:textId="77777777" w:rsidR="00B2442D" w:rsidRDefault="00B2442D">
      <w:pPr>
        <w:jc w:val="both"/>
        <w:rPr>
          <w:rFonts w:ascii="Arial" w:hAnsi="Arial" w:cs="Arial"/>
          <w:lang w:val="es-CO"/>
        </w:rPr>
      </w:pPr>
    </w:p>
    <w:p w14:paraId="610C3CE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Documentos sustitutivos de la factura.</w:t>
      </w:r>
      <w:r>
        <w:rPr>
          <w:rFonts w:ascii="Arial" w:hAnsi="Arial" w:cs="Arial"/>
          <w:lang w:val="es-CO"/>
        </w:rPr>
        <w:t xml:space="preserve"> En el servicio de utilización o préstamo a cualquier título de juegos de suerte y azar o electrónicos, el responsable del régimen común del IVA elaborará un documento que cumpla los requisitos señalados e</w:t>
      </w:r>
      <w:r>
        <w:rPr>
          <w:rFonts w:ascii="Arial" w:hAnsi="Arial" w:cs="Arial"/>
          <w:lang w:val="es-CO"/>
        </w:rPr>
        <w:t>n el numeral tercero (3°) del artículo 1.6.1.4.25 del presente Decreto, por cada establecimiento o sitio en que preste el servicio, en donde registre en forma global las operaciones día y el IVA generado en las mismas.</w:t>
      </w:r>
    </w:p>
    <w:p w14:paraId="2D889AA5" w14:textId="77777777" w:rsidR="00B2442D" w:rsidRDefault="00B2442D">
      <w:pPr>
        <w:jc w:val="both"/>
        <w:rPr>
          <w:rFonts w:ascii="Arial" w:hAnsi="Arial" w:cs="Arial"/>
          <w:i/>
          <w:lang w:val="es-CO"/>
        </w:rPr>
      </w:pPr>
    </w:p>
    <w:p w14:paraId="6CA17F09" w14:textId="77777777" w:rsidR="00B2442D" w:rsidRDefault="008A645F">
      <w:pPr>
        <w:jc w:val="both"/>
        <w:rPr>
          <w:rFonts w:ascii="Arial" w:hAnsi="Arial" w:cs="Arial"/>
          <w:i/>
          <w:lang w:val="es-CO"/>
        </w:rPr>
      </w:pPr>
      <w:r>
        <w:rPr>
          <w:rFonts w:ascii="Arial" w:hAnsi="Arial" w:cs="Arial"/>
          <w:i/>
          <w:lang w:val="es-CO"/>
        </w:rPr>
        <w:t>(Art. 7, Decreto 1165 de 1996. Incis</w:t>
      </w:r>
      <w:r>
        <w:rPr>
          <w:rFonts w:ascii="Arial" w:hAnsi="Arial" w:cs="Arial"/>
          <w:i/>
          <w:lang w:val="es-CO"/>
        </w:rPr>
        <w:t>o 1º fue derogado expresamente por el artículo 34 del Decreto 3050 de 1997)</w:t>
      </w:r>
      <w:r>
        <w:rPr>
          <w:rFonts w:ascii="Arial" w:hAnsi="Arial" w:cs="Arial"/>
        </w:rPr>
        <w:t xml:space="preserve"> </w:t>
      </w:r>
      <w:r>
        <w:rPr>
          <w:rFonts w:ascii="Arial" w:hAnsi="Arial" w:cs="Arial"/>
          <w:i/>
          <w:lang w:val="es-CO"/>
        </w:rPr>
        <w:t>(El Decreto 1165 de 1996 rige a partir de su expedición y deroga las normas que le sean contrarias, en especial las siguientes: artículos 4° y 7° del Decreto 422 de 1991; artículos</w:t>
      </w:r>
      <w:r>
        <w:rPr>
          <w:rFonts w:ascii="Arial" w:hAnsi="Arial" w:cs="Arial"/>
          <w:i/>
          <w:lang w:val="es-CO"/>
        </w:rPr>
        <w:t xml:space="preserve"> 21, 22, 23 del Decreto 836 de 1991 y artículo 39 del Decreto 2076 de 1992. Art. 15, Decreto 1165 de 1996)</w:t>
      </w:r>
    </w:p>
    <w:p w14:paraId="0A9366F9" w14:textId="77777777" w:rsidR="00B2442D" w:rsidRDefault="00B2442D">
      <w:pPr>
        <w:jc w:val="both"/>
        <w:rPr>
          <w:rFonts w:ascii="Arial" w:hAnsi="Arial" w:cs="Arial"/>
          <w:lang w:val="es-CO"/>
        </w:rPr>
      </w:pPr>
    </w:p>
    <w:p w14:paraId="53E204B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Reportes de las agencias de viaje.</w:t>
      </w:r>
      <w:r>
        <w:rPr>
          <w:rFonts w:ascii="Arial" w:hAnsi="Arial" w:cs="Arial"/>
          <w:lang w:val="es-CO"/>
        </w:rPr>
        <w:t xml:space="preserve"> En el caso de las agencias de viaje, la obligación de facturar a las empresas transportadoras, se cumple con la r</w:t>
      </w:r>
      <w:r>
        <w:rPr>
          <w:rFonts w:ascii="Arial" w:hAnsi="Arial" w:cs="Arial"/>
          <w:lang w:val="es-CO"/>
        </w:rPr>
        <w:t>elación periódica de operaciones que haya realizado el intermediario por cuenta de la empresa transportadora, siempre que precise el lapso durante el cual se realizaron las operaciones, el valor individual y total de las mismas, junto con el IVA generado y</w:t>
      </w:r>
      <w:r>
        <w:rPr>
          <w:rFonts w:ascii="Arial" w:hAnsi="Arial" w:cs="Arial"/>
          <w:lang w:val="es-CO"/>
        </w:rPr>
        <w:t>, dado el caso, se fije el monto de las comisiones causadas junto con el valor del IVA correspondiente al servicio de intermediación. Esta relación periódica servirá de soporte para el cálculo del impuesto descontable conforme a lo dispuesto en el artículo</w:t>
      </w:r>
      <w:r>
        <w:rPr>
          <w:rFonts w:ascii="Arial" w:hAnsi="Arial" w:cs="Arial"/>
          <w:lang w:val="es-CO"/>
        </w:rPr>
        <w:t xml:space="preserve"> 497 del Estatuto Tributario. </w:t>
      </w:r>
    </w:p>
    <w:p w14:paraId="20DCE642" w14:textId="77777777" w:rsidR="00B2442D" w:rsidRDefault="008A645F">
      <w:pPr>
        <w:jc w:val="both"/>
        <w:rPr>
          <w:rFonts w:ascii="Arial" w:hAnsi="Arial" w:cs="Arial"/>
          <w:lang w:val="es-CO"/>
        </w:rPr>
      </w:pPr>
      <w:r>
        <w:rPr>
          <w:rFonts w:ascii="Arial" w:hAnsi="Arial" w:cs="Arial"/>
          <w:lang w:val="es-CO"/>
        </w:rPr>
        <w:t xml:space="preserve"> </w:t>
      </w:r>
    </w:p>
    <w:p w14:paraId="557A47C5" w14:textId="77777777" w:rsidR="00B2442D" w:rsidRDefault="008A645F">
      <w:pPr>
        <w:jc w:val="both"/>
        <w:rPr>
          <w:rFonts w:ascii="Arial" w:hAnsi="Arial" w:cs="Arial"/>
          <w:lang w:val="es-CO"/>
        </w:rPr>
      </w:pPr>
      <w:r>
        <w:rPr>
          <w:rFonts w:ascii="Arial" w:hAnsi="Arial" w:cs="Arial"/>
          <w:lang w:val="es-CO"/>
        </w:rPr>
        <w:t>Lo anterior sin perjuicio de la obligación de expedir factura o documento equivalente a los usuarios.</w:t>
      </w:r>
    </w:p>
    <w:p w14:paraId="4F202995" w14:textId="77777777" w:rsidR="00B2442D" w:rsidRDefault="00B2442D">
      <w:pPr>
        <w:jc w:val="both"/>
        <w:rPr>
          <w:rFonts w:ascii="Arial" w:hAnsi="Arial" w:cs="Arial"/>
          <w:i/>
          <w:lang w:val="es-CO"/>
        </w:rPr>
      </w:pPr>
    </w:p>
    <w:p w14:paraId="1FE80AE1" w14:textId="77777777" w:rsidR="00B2442D" w:rsidRDefault="008A645F">
      <w:pPr>
        <w:jc w:val="both"/>
        <w:rPr>
          <w:rFonts w:ascii="Arial" w:hAnsi="Arial" w:cs="Arial"/>
          <w:lang w:val="es-CO"/>
        </w:rPr>
      </w:pPr>
      <w:r>
        <w:rPr>
          <w:rFonts w:ascii="Arial" w:hAnsi="Arial" w:cs="Arial"/>
          <w:i/>
          <w:lang w:val="es-CO"/>
        </w:rPr>
        <w:t>(Art. 8, Decreto 1165 de 1996)</w:t>
      </w:r>
      <w:r>
        <w:rPr>
          <w:rFonts w:ascii="Arial" w:hAnsi="Arial" w:cs="Arial"/>
        </w:rPr>
        <w:t xml:space="preserve"> </w:t>
      </w:r>
      <w:r>
        <w:rPr>
          <w:rFonts w:ascii="Arial" w:hAnsi="Arial" w:cs="Arial"/>
          <w:i/>
          <w:lang w:val="es-CO"/>
        </w:rPr>
        <w:t xml:space="preserve">( El Decreto 1165 de 1996 rige a partir de su expedición y deroga las normas que le sean </w:t>
      </w:r>
      <w:r>
        <w:rPr>
          <w:rFonts w:ascii="Arial" w:hAnsi="Arial" w:cs="Arial"/>
          <w:i/>
          <w:lang w:val="es-CO"/>
        </w:rPr>
        <w:t>contrarias, en especial las siguientes: artículos 4° y 7° del Decreto 422 de 1991; artículos 21, 22, 23 del Decreto 836 de 1991 y artículo 39 del Decreto 2076 de 1992. Art. 15, Decreto 1165 de 1996)</w:t>
      </w:r>
    </w:p>
    <w:p w14:paraId="23F613BC" w14:textId="77777777" w:rsidR="00B2442D" w:rsidRDefault="00B2442D">
      <w:pPr>
        <w:jc w:val="both"/>
        <w:rPr>
          <w:rFonts w:ascii="Arial" w:hAnsi="Arial" w:cs="Arial"/>
          <w:lang w:val="es-CO"/>
        </w:rPr>
      </w:pPr>
    </w:p>
    <w:p w14:paraId="325FDD6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Suscripción masiva de servicios de televisión.</w:t>
      </w:r>
      <w:r>
        <w:rPr>
          <w:rFonts w:ascii="Arial" w:hAnsi="Arial" w:cs="Arial"/>
          <w:lang w:val="es-CO"/>
        </w:rPr>
        <w:t xml:space="preserve"> Tratándo</w:t>
      </w:r>
      <w:r>
        <w:rPr>
          <w:rFonts w:ascii="Arial" w:hAnsi="Arial" w:cs="Arial"/>
          <w:lang w:val="es-CO"/>
        </w:rPr>
        <w:t xml:space="preserve">se de servicios de televisión por suscripción o cable, se entiende cumplida la obligación de facturar con la expedición de la factura a la sociedad o junta administradora del edificio o condominio. </w:t>
      </w:r>
    </w:p>
    <w:p w14:paraId="22BD848C" w14:textId="77777777" w:rsidR="00B2442D" w:rsidRDefault="008A645F">
      <w:pPr>
        <w:jc w:val="both"/>
        <w:rPr>
          <w:rFonts w:ascii="Arial" w:hAnsi="Arial" w:cs="Arial"/>
          <w:lang w:val="es-CO"/>
        </w:rPr>
      </w:pPr>
      <w:r>
        <w:rPr>
          <w:rFonts w:ascii="Arial" w:hAnsi="Arial" w:cs="Arial"/>
          <w:lang w:val="es-CO"/>
        </w:rPr>
        <w:t xml:space="preserve"> </w:t>
      </w:r>
    </w:p>
    <w:p w14:paraId="5B92B750" w14:textId="77777777" w:rsidR="00B2442D" w:rsidRDefault="008A645F">
      <w:pPr>
        <w:jc w:val="both"/>
        <w:rPr>
          <w:rFonts w:ascii="Arial" w:hAnsi="Arial" w:cs="Arial"/>
          <w:lang w:val="es-CO"/>
        </w:rPr>
      </w:pPr>
      <w:r>
        <w:rPr>
          <w:rFonts w:ascii="Arial" w:hAnsi="Arial" w:cs="Arial"/>
          <w:lang w:val="es-CO"/>
        </w:rPr>
        <w:t xml:space="preserve">La entidad prestadora del servicio deberá </w:t>
      </w:r>
      <w:r>
        <w:rPr>
          <w:rFonts w:ascii="Arial" w:hAnsi="Arial" w:cs="Arial"/>
          <w:lang w:val="es-CO"/>
        </w:rPr>
        <w:t>mantener a disposición de la Administración de Impuestos y Aduanas Nacionales, los registros completos de sus usuarios y generar al menos mensualmente una relación de los pagos recibidos, la que deberá coincidir con los registros contables.</w:t>
      </w:r>
    </w:p>
    <w:p w14:paraId="268F6AB4" w14:textId="77777777" w:rsidR="00B2442D" w:rsidRDefault="00B2442D">
      <w:pPr>
        <w:jc w:val="both"/>
        <w:rPr>
          <w:rFonts w:ascii="Arial" w:hAnsi="Arial" w:cs="Arial"/>
          <w:i/>
          <w:lang w:val="es-CO"/>
        </w:rPr>
      </w:pPr>
    </w:p>
    <w:p w14:paraId="66FD51C8" w14:textId="77777777" w:rsidR="00B2442D" w:rsidRDefault="008A645F">
      <w:pPr>
        <w:jc w:val="both"/>
        <w:rPr>
          <w:rFonts w:ascii="Arial" w:hAnsi="Arial" w:cs="Arial"/>
          <w:lang w:val="es-CO"/>
        </w:rPr>
      </w:pPr>
      <w:r>
        <w:rPr>
          <w:rFonts w:ascii="Arial" w:hAnsi="Arial" w:cs="Arial"/>
          <w:i/>
          <w:lang w:val="es-CO"/>
        </w:rPr>
        <w:t>(Art. 9, Decre</w:t>
      </w:r>
      <w:r>
        <w:rPr>
          <w:rFonts w:ascii="Arial" w:hAnsi="Arial" w:cs="Arial"/>
          <w:i/>
          <w:lang w:val="es-CO"/>
        </w:rPr>
        <w:t>to 1165 de 1996)</w:t>
      </w:r>
      <w:r>
        <w:rPr>
          <w:rFonts w:ascii="Arial" w:hAnsi="Arial" w:cs="Arial"/>
        </w:rPr>
        <w:t xml:space="preserve"> </w:t>
      </w:r>
      <w:r>
        <w:rPr>
          <w:rFonts w:ascii="Arial" w:hAnsi="Arial" w:cs="Arial"/>
          <w:i/>
          <w:lang w:val="es-CO"/>
        </w:rPr>
        <w:t>(El Decreto 1165 de 1996 rige a partir de su expedición y deroga las normas que le sean contrarias, en especial las siguientes: artículos 4° y 7° del Decreto 422 de 1991; artículos 21, 22, 23 del Decreto 836 de 1991 y artículo 39 del Decre</w:t>
      </w:r>
      <w:r>
        <w:rPr>
          <w:rFonts w:ascii="Arial" w:hAnsi="Arial" w:cs="Arial"/>
          <w:i/>
          <w:lang w:val="es-CO"/>
        </w:rPr>
        <w:t>to 2076 de 1992. Art. 15, Decreto 1165 de 1996)</w:t>
      </w:r>
    </w:p>
    <w:p w14:paraId="1F37500F" w14:textId="77777777" w:rsidR="00B2442D" w:rsidRDefault="00B2442D">
      <w:pPr>
        <w:jc w:val="both"/>
        <w:rPr>
          <w:rFonts w:ascii="Arial" w:hAnsi="Arial" w:cs="Arial"/>
          <w:lang w:val="es-CO"/>
        </w:rPr>
      </w:pPr>
    </w:p>
    <w:p w14:paraId="2807003B"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sustitutivo en la entrada a espectáculos públicos.</w:t>
      </w:r>
      <w:r>
        <w:rPr>
          <w:rFonts w:ascii="Arial" w:hAnsi="Arial" w:cs="Arial"/>
          <w:lang w:val="es-CO"/>
        </w:rPr>
        <w:t xml:space="preserve"> Cuando el ingreso a espectáculos públicos se realice mediante el uso de un documento adquirido por una suma única, que autorice la entrada a vari</w:t>
      </w:r>
      <w:r>
        <w:rPr>
          <w:rFonts w:ascii="Arial" w:hAnsi="Arial" w:cs="Arial"/>
          <w:lang w:val="es-CO"/>
        </w:rPr>
        <w:t>os espectáculos sin la expedición de una boleta para cada uno de ellos, se entiende cumplida la obligación de facturar con el comprobante soporte de ventas diarias arrojado por un sistema de computadora que contenga como mínimo los siguientes requisitos: N</w:t>
      </w:r>
      <w:r>
        <w:rPr>
          <w:rFonts w:ascii="Arial" w:hAnsi="Arial" w:cs="Arial"/>
          <w:lang w:val="es-CO"/>
        </w:rPr>
        <w:t xml:space="preserve">ombre o razón social y NIT de la empresa, fecha que corresponde al comprobante, descripción específica o genérica del servicio y valor total de la venta diaria. </w:t>
      </w:r>
    </w:p>
    <w:p w14:paraId="2FA0946D" w14:textId="77777777" w:rsidR="00B2442D" w:rsidRDefault="008A645F">
      <w:pPr>
        <w:jc w:val="both"/>
        <w:rPr>
          <w:rFonts w:ascii="Arial" w:hAnsi="Arial" w:cs="Arial"/>
          <w:lang w:val="es-CO"/>
        </w:rPr>
      </w:pPr>
      <w:r>
        <w:rPr>
          <w:rFonts w:ascii="Arial" w:hAnsi="Arial" w:cs="Arial"/>
          <w:lang w:val="es-CO"/>
        </w:rPr>
        <w:t xml:space="preserve"> </w:t>
      </w:r>
    </w:p>
    <w:p w14:paraId="3E6AEDE4" w14:textId="77777777" w:rsidR="00B2442D" w:rsidRDefault="008A645F">
      <w:pPr>
        <w:jc w:val="both"/>
        <w:rPr>
          <w:rFonts w:ascii="Arial" w:hAnsi="Arial" w:cs="Arial"/>
          <w:lang w:val="es-CO"/>
        </w:rPr>
      </w:pPr>
      <w:r>
        <w:rPr>
          <w:rFonts w:ascii="Arial" w:hAnsi="Arial" w:cs="Arial"/>
          <w:lang w:val="es-CO"/>
        </w:rPr>
        <w:t>Para la procedencia del costo o gasto, el adquirente deberá elaborar un documento que conten</w:t>
      </w:r>
      <w:r>
        <w:rPr>
          <w:rFonts w:ascii="Arial" w:hAnsi="Arial" w:cs="Arial"/>
          <w:lang w:val="es-CO"/>
        </w:rPr>
        <w:t xml:space="preserve">ga los siguientes requisitos: </w:t>
      </w:r>
    </w:p>
    <w:p w14:paraId="27352AEE" w14:textId="77777777" w:rsidR="00B2442D" w:rsidRDefault="008A645F">
      <w:pPr>
        <w:jc w:val="both"/>
        <w:rPr>
          <w:rFonts w:ascii="Arial" w:hAnsi="Arial" w:cs="Arial"/>
          <w:lang w:val="es-CO"/>
        </w:rPr>
      </w:pPr>
      <w:r>
        <w:rPr>
          <w:rFonts w:ascii="Arial" w:hAnsi="Arial" w:cs="Arial"/>
          <w:lang w:val="es-CO"/>
        </w:rPr>
        <w:t xml:space="preserve"> </w:t>
      </w:r>
    </w:p>
    <w:p w14:paraId="3DBCC3E7" w14:textId="77777777" w:rsidR="00B2442D" w:rsidRDefault="008A645F">
      <w:pPr>
        <w:ind w:left="284" w:hanging="284"/>
        <w:jc w:val="both"/>
        <w:rPr>
          <w:rFonts w:ascii="Arial" w:hAnsi="Arial" w:cs="Arial"/>
          <w:lang w:val="es-CO"/>
        </w:rPr>
      </w:pPr>
      <w:r>
        <w:rPr>
          <w:rFonts w:ascii="Arial" w:hAnsi="Arial" w:cs="Arial"/>
          <w:lang w:val="es-CO"/>
        </w:rPr>
        <w:t xml:space="preserve">1. Apellidos y nombre o razón social y NIT de la persona o entidad beneficiaria del pago o abono. </w:t>
      </w:r>
    </w:p>
    <w:p w14:paraId="0DB44DC9" w14:textId="77777777" w:rsidR="00B2442D" w:rsidRDefault="008A645F">
      <w:pPr>
        <w:jc w:val="both"/>
        <w:rPr>
          <w:rFonts w:ascii="Arial" w:hAnsi="Arial" w:cs="Arial"/>
          <w:lang w:val="es-CO"/>
        </w:rPr>
      </w:pPr>
      <w:r>
        <w:rPr>
          <w:rFonts w:ascii="Arial" w:hAnsi="Arial" w:cs="Arial"/>
          <w:lang w:val="es-CO"/>
        </w:rPr>
        <w:t xml:space="preserve">2. Fecha de la transacción. </w:t>
      </w:r>
    </w:p>
    <w:p w14:paraId="5918DBD4" w14:textId="77777777" w:rsidR="00B2442D" w:rsidRDefault="008A645F">
      <w:pPr>
        <w:jc w:val="both"/>
        <w:rPr>
          <w:rFonts w:ascii="Arial" w:hAnsi="Arial" w:cs="Arial"/>
          <w:lang w:val="es-CO"/>
        </w:rPr>
      </w:pPr>
      <w:r>
        <w:rPr>
          <w:rFonts w:ascii="Arial" w:hAnsi="Arial" w:cs="Arial"/>
          <w:lang w:val="es-CO"/>
        </w:rPr>
        <w:t xml:space="preserve">3. Concepto. </w:t>
      </w:r>
    </w:p>
    <w:p w14:paraId="29B63C9E" w14:textId="77777777" w:rsidR="00B2442D" w:rsidRDefault="008A645F">
      <w:pPr>
        <w:jc w:val="both"/>
        <w:rPr>
          <w:rFonts w:ascii="Arial" w:hAnsi="Arial" w:cs="Arial"/>
          <w:lang w:val="es-CO"/>
        </w:rPr>
      </w:pPr>
      <w:r>
        <w:rPr>
          <w:rFonts w:ascii="Arial" w:hAnsi="Arial" w:cs="Arial"/>
          <w:lang w:val="es-CO"/>
        </w:rPr>
        <w:t>4. Valor de la operación.</w:t>
      </w:r>
    </w:p>
    <w:p w14:paraId="4F4042C1" w14:textId="77777777" w:rsidR="00B2442D" w:rsidRDefault="00B2442D">
      <w:pPr>
        <w:jc w:val="both"/>
        <w:rPr>
          <w:rFonts w:ascii="Arial" w:hAnsi="Arial" w:cs="Arial"/>
          <w:i/>
        </w:rPr>
      </w:pPr>
    </w:p>
    <w:p w14:paraId="6F4DB948" w14:textId="77777777" w:rsidR="00B2442D" w:rsidRDefault="008A645F">
      <w:pPr>
        <w:jc w:val="both"/>
        <w:rPr>
          <w:rFonts w:ascii="Arial" w:hAnsi="Arial" w:cs="Arial"/>
          <w:i/>
        </w:rPr>
      </w:pPr>
      <w:r>
        <w:rPr>
          <w:rFonts w:ascii="Arial" w:hAnsi="Arial" w:cs="Arial"/>
          <w:i/>
        </w:rPr>
        <w:t>(Art. 10, Decreto 3050 de 1997)</w:t>
      </w:r>
    </w:p>
    <w:p w14:paraId="13C9F0D3" w14:textId="77777777" w:rsidR="00B2442D" w:rsidRDefault="00B2442D">
      <w:pPr>
        <w:jc w:val="both"/>
        <w:rPr>
          <w:rFonts w:ascii="Arial" w:hAnsi="Arial" w:cs="Arial"/>
          <w:lang w:val="es-CO"/>
        </w:rPr>
      </w:pPr>
    </w:p>
    <w:p w14:paraId="4528974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equivalent</w:t>
      </w:r>
      <w:r>
        <w:rPr>
          <w:rFonts w:ascii="Arial" w:hAnsi="Arial" w:cs="Arial"/>
          <w:b/>
          <w:i/>
          <w:lang w:val="es-CO"/>
        </w:rPr>
        <w:t>e a la factura en juegos localizados.</w:t>
      </w:r>
      <w:r>
        <w:rPr>
          <w:rFonts w:ascii="Arial" w:hAnsi="Arial" w:cs="Arial"/>
          <w:lang w:val="es-CO"/>
        </w:rPr>
        <w:t xml:space="preserve">  En los juegos localizados tales como máquinas tragamonedas, bingos, videobingos, esferódromos y los operados en casino y similares, constituye documento equivalente a la factura la relación diaria de control de ventas</w:t>
      </w:r>
      <w:r>
        <w:rPr>
          <w:rFonts w:ascii="Arial" w:hAnsi="Arial" w:cs="Arial"/>
          <w:lang w:val="es-CO"/>
        </w:rPr>
        <w:t xml:space="preserve"> llevada por el operador, que contenga los siguientes requisitos:</w:t>
      </w:r>
    </w:p>
    <w:p w14:paraId="413F9931" w14:textId="77777777" w:rsidR="00B2442D" w:rsidRDefault="00B2442D">
      <w:pPr>
        <w:jc w:val="both"/>
        <w:rPr>
          <w:rFonts w:ascii="Arial" w:hAnsi="Arial" w:cs="Arial"/>
          <w:lang w:val="es-CO"/>
        </w:rPr>
      </w:pPr>
    </w:p>
    <w:p w14:paraId="3FE4BAF4"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Fecha de la operación;</w:t>
      </w:r>
    </w:p>
    <w:p w14:paraId="44E4E76D"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Número de instrumentos de juego;</w:t>
      </w:r>
    </w:p>
    <w:p w14:paraId="1C8F10B3" w14:textId="77777777" w:rsidR="00B2442D" w:rsidRDefault="008A645F">
      <w:pPr>
        <w:jc w:val="both"/>
        <w:rPr>
          <w:rFonts w:ascii="Arial" w:hAnsi="Arial" w:cs="Arial"/>
          <w:lang w:val="es-CO"/>
        </w:rPr>
      </w:pPr>
      <w:r>
        <w:rPr>
          <w:rFonts w:ascii="Arial" w:hAnsi="Arial" w:cs="Arial"/>
          <w:lang w:val="es-CO"/>
        </w:rPr>
        <w:t>c)</w:t>
      </w:r>
      <w:r>
        <w:rPr>
          <w:rFonts w:ascii="Arial" w:hAnsi="Arial" w:cs="Arial"/>
          <w:lang w:val="es-CO"/>
        </w:rPr>
        <w:tab/>
        <w:t>Valor de la respectiva operación;</w:t>
      </w:r>
    </w:p>
    <w:p w14:paraId="37805D2C" w14:textId="77777777" w:rsidR="00B2442D" w:rsidRDefault="008A645F">
      <w:pPr>
        <w:jc w:val="both"/>
        <w:rPr>
          <w:rFonts w:ascii="Arial" w:hAnsi="Arial" w:cs="Arial"/>
          <w:lang w:val="es-CO"/>
        </w:rPr>
      </w:pPr>
      <w:r>
        <w:rPr>
          <w:rFonts w:ascii="Arial" w:hAnsi="Arial" w:cs="Arial"/>
          <w:lang w:val="es-CO"/>
        </w:rPr>
        <w:t>d)</w:t>
      </w:r>
      <w:r>
        <w:rPr>
          <w:rFonts w:ascii="Arial" w:hAnsi="Arial" w:cs="Arial"/>
          <w:lang w:val="es-CO"/>
        </w:rPr>
        <w:tab/>
        <w:t>Valor del IVA recaudado.</w:t>
      </w:r>
    </w:p>
    <w:p w14:paraId="52833906" w14:textId="77777777" w:rsidR="00B2442D" w:rsidRDefault="00B2442D">
      <w:pPr>
        <w:jc w:val="both"/>
        <w:rPr>
          <w:rFonts w:ascii="Arial" w:hAnsi="Arial" w:cs="Arial"/>
          <w:lang w:val="es-CO"/>
        </w:rPr>
      </w:pPr>
    </w:p>
    <w:p w14:paraId="0F2F856E" w14:textId="77777777" w:rsidR="00B2442D" w:rsidRDefault="008A645F">
      <w:pPr>
        <w:jc w:val="both"/>
        <w:rPr>
          <w:rFonts w:ascii="Arial" w:hAnsi="Arial" w:cs="Arial"/>
          <w:i/>
          <w:lang w:val="es-CO"/>
        </w:rPr>
      </w:pPr>
      <w:r>
        <w:rPr>
          <w:rFonts w:ascii="Arial" w:hAnsi="Arial" w:cs="Arial"/>
          <w:i/>
          <w:lang w:val="es-CO"/>
        </w:rPr>
        <w:t>(Art. 2, Decreto 427 de 2004)</w:t>
      </w:r>
    </w:p>
    <w:p w14:paraId="2D1E962B" w14:textId="77777777" w:rsidR="00B2442D" w:rsidRDefault="00B2442D">
      <w:pPr>
        <w:jc w:val="both"/>
        <w:rPr>
          <w:rFonts w:ascii="Arial" w:hAnsi="Arial" w:cs="Arial"/>
          <w:lang w:val="es-CO"/>
        </w:rPr>
      </w:pPr>
    </w:p>
    <w:p w14:paraId="0973B4DC"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soporte en los juegos de suerte y azar.</w:t>
      </w:r>
      <w:r>
        <w:rPr>
          <w:rFonts w:ascii="Arial" w:hAnsi="Arial" w:cs="Arial"/>
          <w:lang w:val="es-CO"/>
        </w:rPr>
        <w:t xml:space="preserve">  En los juegos de suerte y azar en los que se expida documento, formulario, boleta, billete o instrumento que da derecho a participar en el juego como documento equivalente a la factura, constituye soporte</w:t>
      </w:r>
      <w:r>
        <w:rPr>
          <w:rFonts w:ascii="Arial" w:hAnsi="Arial" w:cs="Arial"/>
          <w:lang w:val="es-CO"/>
        </w:rPr>
        <w:t xml:space="preserve"> de las operaciones la planilla diaria de control de ventas llevada por el operador, la cual deberá cumplir con los siguientes requisitos: </w:t>
      </w:r>
    </w:p>
    <w:p w14:paraId="36EE091B" w14:textId="77777777" w:rsidR="00B2442D" w:rsidRDefault="00B2442D">
      <w:pPr>
        <w:jc w:val="both"/>
        <w:rPr>
          <w:rFonts w:ascii="Arial" w:hAnsi="Arial" w:cs="Arial"/>
          <w:lang w:val="es-CO"/>
        </w:rPr>
      </w:pPr>
    </w:p>
    <w:p w14:paraId="64E01897" w14:textId="77777777" w:rsidR="00B2442D" w:rsidRDefault="008A645F">
      <w:pPr>
        <w:jc w:val="both"/>
        <w:rPr>
          <w:rFonts w:ascii="Arial" w:hAnsi="Arial" w:cs="Arial"/>
          <w:lang w:val="es-CO"/>
        </w:rPr>
      </w:pPr>
      <w:r>
        <w:rPr>
          <w:rFonts w:ascii="Arial" w:hAnsi="Arial" w:cs="Arial"/>
          <w:lang w:val="es-CO"/>
        </w:rPr>
        <w:t>a)  Fecha de la operación;</w:t>
      </w:r>
    </w:p>
    <w:p w14:paraId="041C3326" w14:textId="77777777" w:rsidR="00B2442D" w:rsidRDefault="008A645F">
      <w:pPr>
        <w:jc w:val="both"/>
        <w:rPr>
          <w:rFonts w:ascii="Arial" w:hAnsi="Arial" w:cs="Arial"/>
          <w:lang w:val="es-CO"/>
        </w:rPr>
      </w:pPr>
      <w:r>
        <w:rPr>
          <w:rFonts w:ascii="Arial" w:hAnsi="Arial" w:cs="Arial"/>
          <w:lang w:val="es-CO"/>
        </w:rPr>
        <w:t>b)  Número de cartones, boletas, billetes o formularios vendidos;</w:t>
      </w:r>
    </w:p>
    <w:p w14:paraId="48E2E78F" w14:textId="77777777" w:rsidR="00B2442D" w:rsidRDefault="008A645F">
      <w:pPr>
        <w:jc w:val="both"/>
        <w:rPr>
          <w:rFonts w:ascii="Arial" w:hAnsi="Arial" w:cs="Arial"/>
          <w:lang w:val="es-CO"/>
        </w:rPr>
      </w:pPr>
      <w:r>
        <w:rPr>
          <w:rFonts w:ascii="Arial" w:hAnsi="Arial" w:cs="Arial"/>
          <w:lang w:val="es-CO"/>
        </w:rPr>
        <w:t xml:space="preserve">c)  Valor de cada uno </w:t>
      </w:r>
      <w:r>
        <w:rPr>
          <w:rFonts w:ascii="Arial" w:hAnsi="Arial" w:cs="Arial"/>
          <w:lang w:val="es-CO"/>
        </w:rPr>
        <w:t>de los anteriores documentos;</w:t>
      </w:r>
    </w:p>
    <w:p w14:paraId="43DA3FFA" w14:textId="77777777" w:rsidR="00B2442D" w:rsidRDefault="008A645F">
      <w:pPr>
        <w:jc w:val="both"/>
        <w:rPr>
          <w:rFonts w:ascii="Arial" w:hAnsi="Arial" w:cs="Arial"/>
          <w:lang w:val="es-CO"/>
        </w:rPr>
      </w:pPr>
      <w:r>
        <w:rPr>
          <w:rFonts w:ascii="Arial" w:hAnsi="Arial" w:cs="Arial"/>
          <w:lang w:val="es-CO"/>
        </w:rPr>
        <w:t>d)  Valor del IVA recaudado.</w:t>
      </w:r>
    </w:p>
    <w:p w14:paraId="26D52A4C" w14:textId="77777777" w:rsidR="00B2442D" w:rsidRDefault="00B2442D">
      <w:pPr>
        <w:jc w:val="both"/>
        <w:rPr>
          <w:rFonts w:ascii="Arial" w:hAnsi="Arial" w:cs="Arial"/>
          <w:lang w:val="es-CO"/>
        </w:rPr>
      </w:pPr>
    </w:p>
    <w:p w14:paraId="5AC45C3B" w14:textId="77777777" w:rsidR="00B2442D" w:rsidRDefault="008A645F">
      <w:pPr>
        <w:jc w:val="both"/>
        <w:rPr>
          <w:rFonts w:ascii="Arial" w:hAnsi="Arial" w:cs="Arial"/>
          <w:i/>
          <w:lang w:val="es-CO"/>
        </w:rPr>
      </w:pPr>
      <w:r>
        <w:rPr>
          <w:rFonts w:ascii="Arial" w:hAnsi="Arial" w:cs="Arial"/>
          <w:i/>
          <w:lang w:val="es-CO"/>
        </w:rPr>
        <w:t>(Art. 3, Decreto 427 de 2004)</w:t>
      </w:r>
    </w:p>
    <w:p w14:paraId="3A132D3C" w14:textId="77777777" w:rsidR="00B2442D" w:rsidRDefault="00B2442D">
      <w:pPr>
        <w:jc w:val="both"/>
        <w:rPr>
          <w:rFonts w:ascii="Arial" w:hAnsi="Arial" w:cs="Arial"/>
          <w:lang w:val="es-CO"/>
        </w:rPr>
      </w:pPr>
    </w:p>
    <w:p w14:paraId="0CBB1C8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Contratos de medicina prepagada y afiliaciones a planes de salud.</w:t>
      </w:r>
      <w:r>
        <w:rPr>
          <w:rFonts w:ascii="Arial" w:hAnsi="Arial" w:cs="Arial"/>
          <w:lang w:val="es-CO"/>
        </w:rPr>
        <w:t xml:space="preserve"> Son documentos equivalentes a la factura los contratos de medicina prepagada, sus planes complemen</w:t>
      </w:r>
      <w:r>
        <w:rPr>
          <w:rFonts w:ascii="Arial" w:hAnsi="Arial" w:cs="Arial"/>
          <w:lang w:val="es-CO"/>
        </w:rPr>
        <w:t xml:space="preserve">tarios y las afiliaciones a planes obligatorios de salud, los cuales cumplirán con los siguientes requisitos: </w:t>
      </w:r>
    </w:p>
    <w:p w14:paraId="0143518D" w14:textId="77777777" w:rsidR="00B2442D" w:rsidRDefault="008A645F">
      <w:pPr>
        <w:jc w:val="both"/>
        <w:rPr>
          <w:rFonts w:ascii="Arial" w:hAnsi="Arial" w:cs="Arial"/>
          <w:lang w:val="es-CO"/>
        </w:rPr>
      </w:pPr>
      <w:r>
        <w:rPr>
          <w:rFonts w:ascii="Arial" w:hAnsi="Arial" w:cs="Arial"/>
          <w:lang w:val="es-CO"/>
        </w:rPr>
        <w:t xml:space="preserve"> </w:t>
      </w:r>
    </w:p>
    <w:p w14:paraId="0E9C3929" w14:textId="77777777" w:rsidR="00B2442D" w:rsidRDefault="008A645F">
      <w:pPr>
        <w:jc w:val="both"/>
        <w:rPr>
          <w:rFonts w:ascii="Arial" w:hAnsi="Arial" w:cs="Arial"/>
          <w:lang w:val="es-CO"/>
        </w:rPr>
      </w:pPr>
      <w:r>
        <w:rPr>
          <w:rFonts w:ascii="Arial" w:hAnsi="Arial" w:cs="Arial"/>
          <w:lang w:val="es-CO"/>
        </w:rPr>
        <w:t xml:space="preserve">1. Razón social y NIT de la empresa de medicina prepagada o E.P.S. </w:t>
      </w:r>
    </w:p>
    <w:p w14:paraId="1A499072" w14:textId="77777777" w:rsidR="00B2442D" w:rsidRDefault="008A645F">
      <w:pPr>
        <w:jc w:val="both"/>
        <w:rPr>
          <w:rFonts w:ascii="Arial" w:hAnsi="Arial" w:cs="Arial"/>
          <w:lang w:val="es-CO"/>
        </w:rPr>
      </w:pPr>
      <w:r>
        <w:rPr>
          <w:rFonts w:ascii="Arial" w:hAnsi="Arial" w:cs="Arial"/>
          <w:lang w:val="es-CO"/>
        </w:rPr>
        <w:t xml:space="preserve">2. Numeración consecutiva. </w:t>
      </w:r>
    </w:p>
    <w:p w14:paraId="13372D63" w14:textId="77777777" w:rsidR="00B2442D" w:rsidRDefault="008A645F">
      <w:pPr>
        <w:jc w:val="both"/>
        <w:rPr>
          <w:rFonts w:ascii="Arial" w:hAnsi="Arial" w:cs="Arial"/>
          <w:lang w:val="es-CO"/>
        </w:rPr>
      </w:pPr>
      <w:r>
        <w:rPr>
          <w:rFonts w:ascii="Arial" w:hAnsi="Arial" w:cs="Arial"/>
          <w:lang w:val="es-CO"/>
        </w:rPr>
        <w:t xml:space="preserve">3. Fecha de expedición. </w:t>
      </w:r>
    </w:p>
    <w:p w14:paraId="46D4E121" w14:textId="77777777" w:rsidR="00B2442D" w:rsidRDefault="008A645F">
      <w:pPr>
        <w:jc w:val="both"/>
        <w:rPr>
          <w:rFonts w:ascii="Arial" w:hAnsi="Arial" w:cs="Arial"/>
          <w:lang w:val="es-CO"/>
        </w:rPr>
      </w:pPr>
      <w:r>
        <w:rPr>
          <w:rFonts w:ascii="Arial" w:hAnsi="Arial" w:cs="Arial"/>
          <w:lang w:val="es-CO"/>
        </w:rPr>
        <w:t>4. Descripción específ</w:t>
      </w:r>
      <w:r>
        <w:rPr>
          <w:rFonts w:ascii="Arial" w:hAnsi="Arial" w:cs="Arial"/>
          <w:lang w:val="es-CO"/>
        </w:rPr>
        <w:t xml:space="preserve">ica o genérica del servicio. </w:t>
      </w:r>
    </w:p>
    <w:p w14:paraId="6FCD8CFC" w14:textId="77777777" w:rsidR="00B2442D" w:rsidRDefault="008A645F">
      <w:pPr>
        <w:jc w:val="both"/>
        <w:rPr>
          <w:rFonts w:ascii="Arial" w:hAnsi="Arial" w:cs="Arial"/>
          <w:lang w:val="es-CO"/>
        </w:rPr>
      </w:pPr>
      <w:r>
        <w:rPr>
          <w:rFonts w:ascii="Arial" w:hAnsi="Arial" w:cs="Arial"/>
          <w:lang w:val="es-CO"/>
        </w:rPr>
        <w:t>5. Valor de la operación.</w:t>
      </w:r>
    </w:p>
    <w:p w14:paraId="3BA6878C" w14:textId="77777777" w:rsidR="00B2442D" w:rsidRDefault="00B2442D">
      <w:pPr>
        <w:jc w:val="both"/>
        <w:rPr>
          <w:rFonts w:ascii="Arial" w:hAnsi="Arial" w:cs="Arial"/>
          <w:i/>
        </w:rPr>
      </w:pPr>
    </w:p>
    <w:p w14:paraId="7EAAE431" w14:textId="77777777" w:rsidR="00B2442D" w:rsidRDefault="008A645F">
      <w:pPr>
        <w:jc w:val="both"/>
        <w:rPr>
          <w:rFonts w:ascii="Arial" w:hAnsi="Arial" w:cs="Arial"/>
          <w:i/>
        </w:rPr>
      </w:pPr>
      <w:r>
        <w:rPr>
          <w:rFonts w:ascii="Arial" w:hAnsi="Arial" w:cs="Arial"/>
          <w:i/>
        </w:rPr>
        <w:t>(Art. 4, Decreto 1001 de 1997)</w:t>
      </w:r>
      <w:r>
        <w:rPr>
          <w:rFonts w:ascii="Arial" w:hAnsi="Arial" w:cs="Arial"/>
        </w:rPr>
        <w:t xml:space="preserve"> </w:t>
      </w:r>
      <w:r>
        <w:rPr>
          <w:rFonts w:ascii="Arial" w:hAnsi="Arial" w:cs="Arial"/>
          <w:i/>
        </w:rPr>
        <w:t>(El Decreto 1001 de 1997 rige a partir de su publicación y deroga las disposiciones que le sean contrarias, en especial los artículos 3°; el numeral 7 del artículo 5° y</w:t>
      </w:r>
      <w:r>
        <w:rPr>
          <w:rFonts w:ascii="Arial" w:hAnsi="Arial" w:cs="Arial"/>
          <w:i/>
        </w:rPr>
        <w:t xml:space="preserve"> el 10 del Decreto 1165 de 1996, y el artículo 33 del Decreto 1813 de 1984. Art. 19, Decreto 1001 de 1997)</w:t>
      </w:r>
    </w:p>
    <w:p w14:paraId="7D011FF0" w14:textId="77777777" w:rsidR="00B2442D" w:rsidRDefault="00B2442D">
      <w:pPr>
        <w:jc w:val="both"/>
        <w:rPr>
          <w:rFonts w:ascii="Arial" w:hAnsi="Arial" w:cs="Arial"/>
          <w:lang w:val="es-CO"/>
        </w:rPr>
      </w:pPr>
    </w:p>
    <w:p w14:paraId="2F33290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equivalente en juegos de suerte y azar diferentes de los juegos localizados.</w:t>
      </w:r>
      <w:r>
        <w:rPr>
          <w:rFonts w:ascii="Arial" w:hAnsi="Arial" w:cs="Arial"/>
          <w:lang w:val="es-CO"/>
        </w:rPr>
        <w:t xml:space="preserve"> En la venta de los juegos de suerte y azar efectuadas al púb</w:t>
      </w:r>
      <w:r>
        <w:rPr>
          <w:rFonts w:ascii="Arial" w:hAnsi="Arial" w:cs="Arial"/>
          <w:lang w:val="es-CO"/>
        </w:rPr>
        <w:t>lico, diferentes de los juegos localizados, constituye documento equivalente la boleta, fracción o formulario.</w:t>
      </w:r>
    </w:p>
    <w:p w14:paraId="58B8FE14" w14:textId="77777777" w:rsidR="00B2442D" w:rsidRDefault="00B2442D">
      <w:pPr>
        <w:jc w:val="both"/>
        <w:rPr>
          <w:rFonts w:ascii="Arial" w:hAnsi="Arial" w:cs="Arial"/>
          <w:lang w:val="es-CO"/>
        </w:rPr>
      </w:pPr>
    </w:p>
    <w:p w14:paraId="4BF822A0" w14:textId="77777777" w:rsidR="00B2442D" w:rsidRDefault="008A645F">
      <w:pPr>
        <w:jc w:val="both"/>
        <w:rPr>
          <w:rFonts w:ascii="Arial" w:hAnsi="Arial" w:cs="Arial"/>
          <w:lang w:val="es-CO"/>
        </w:rPr>
      </w:pPr>
      <w:r>
        <w:rPr>
          <w:rFonts w:ascii="Arial" w:hAnsi="Arial" w:cs="Arial"/>
          <w:lang w:val="es-CO"/>
        </w:rPr>
        <w:t>El documento equivalente deberá contener como mínimo los siguientes requisitos:</w:t>
      </w:r>
    </w:p>
    <w:p w14:paraId="09553A68" w14:textId="77777777" w:rsidR="00B2442D" w:rsidRDefault="00B2442D">
      <w:pPr>
        <w:jc w:val="both"/>
        <w:rPr>
          <w:rFonts w:ascii="Arial" w:hAnsi="Arial" w:cs="Arial"/>
          <w:lang w:val="es-CO"/>
        </w:rPr>
      </w:pPr>
    </w:p>
    <w:p w14:paraId="25AE58F0" w14:textId="77777777" w:rsidR="00B2442D" w:rsidRDefault="008A645F">
      <w:pPr>
        <w:jc w:val="both"/>
        <w:rPr>
          <w:rFonts w:ascii="Arial" w:hAnsi="Arial" w:cs="Arial"/>
          <w:lang w:val="es-CO"/>
        </w:rPr>
      </w:pPr>
      <w:r>
        <w:rPr>
          <w:rFonts w:ascii="Arial" w:hAnsi="Arial" w:cs="Arial"/>
          <w:lang w:val="es-CO"/>
        </w:rPr>
        <w:t>a) Nombre o razón social de la empresa responsable del sorteo;</w:t>
      </w:r>
    </w:p>
    <w:p w14:paraId="2C96A8A9" w14:textId="77777777" w:rsidR="00B2442D" w:rsidRDefault="008A645F">
      <w:pPr>
        <w:jc w:val="both"/>
        <w:rPr>
          <w:rFonts w:ascii="Arial" w:hAnsi="Arial" w:cs="Arial"/>
          <w:lang w:val="es-CO"/>
        </w:rPr>
      </w:pPr>
      <w:r>
        <w:rPr>
          <w:rFonts w:ascii="Arial" w:hAnsi="Arial" w:cs="Arial"/>
          <w:lang w:val="es-CO"/>
        </w:rPr>
        <w:t>b) Fecha de realización del sorteo;</w:t>
      </w:r>
    </w:p>
    <w:p w14:paraId="2AD11B16" w14:textId="77777777" w:rsidR="00B2442D" w:rsidRDefault="008A645F">
      <w:pPr>
        <w:jc w:val="both"/>
        <w:rPr>
          <w:rFonts w:ascii="Arial" w:hAnsi="Arial" w:cs="Arial"/>
          <w:lang w:val="es-CO"/>
        </w:rPr>
      </w:pPr>
      <w:r>
        <w:rPr>
          <w:rFonts w:ascii="Arial" w:hAnsi="Arial" w:cs="Arial"/>
          <w:lang w:val="es-CO"/>
        </w:rPr>
        <w:t>c) Valor de la fracción, boleta o apuesta;</w:t>
      </w:r>
    </w:p>
    <w:p w14:paraId="3308DD9B" w14:textId="77777777" w:rsidR="00B2442D" w:rsidRDefault="008A645F">
      <w:pPr>
        <w:jc w:val="both"/>
        <w:rPr>
          <w:rFonts w:ascii="Arial" w:hAnsi="Arial" w:cs="Arial"/>
          <w:lang w:val="es-CO"/>
        </w:rPr>
      </w:pPr>
      <w:r>
        <w:rPr>
          <w:rFonts w:ascii="Arial" w:hAnsi="Arial" w:cs="Arial"/>
          <w:lang w:val="es-CO"/>
        </w:rPr>
        <w:t>d) Discriminación del IVA, cuando el juego esté gravado con este impuesto”.</w:t>
      </w:r>
    </w:p>
    <w:p w14:paraId="762A4924" w14:textId="77777777" w:rsidR="00B2442D" w:rsidRDefault="00B2442D">
      <w:pPr>
        <w:jc w:val="both"/>
        <w:rPr>
          <w:rFonts w:ascii="Arial" w:hAnsi="Arial" w:cs="Arial"/>
          <w:lang w:val="es-CO"/>
        </w:rPr>
      </w:pPr>
    </w:p>
    <w:p w14:paraId="4F44CF0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No se entenderá cumplido el deber de expedir el documento equivalente cuando se omita cualquiera de los anteriores requisitos. Así mismo, tampoco se entenderá cumplido el deber de expedir documento equivalente cuando se omita cualquiera de los requisitos </w:t>
      </w:r>
      <w:r>
        <w:rPr>
          <w:rFonts w:ascii="Arial" w:hAnsi="Arial" w:cs="Arial"/>
          <w:lang w:val="es-CO"/>
        </w:rPr>
        <w:t>establecidos en el artículo 1.6.1.4.30 del presente Decreto, para los juegos localizados</w:t>
      </w:r>
    </w:p>
    <w:p w14:paraId="1DC64CFB" w14:textId="77777777" w:rsidR="00B2442D" w:rsidRDefault="00B2442D">
      <w:pPr>
        <w:jc w:val="both"/>
        <w:rPr>
          <w:rFonts w:ascii="Arial" w:hAnsi="Arial" w:cs="Arial"/>
          <w:i/>
        </w:rPr>
      </w:pPr>
    </w:p>
    <w:p w14:paraId="5B83F713" w14:textId="77777777" w:rsidR="00B2442D" w:rsidRDefault="008A645F">
      <w:pPr>
        <w:jc w:val="both"/>
        <w:rPr>
          <w:rFonts w:ascii="Arial" w:hAnsi="Arial" w:cs="Arial"/>
          <w:i/>
        </w:rPr>
      </w:pPr>
      <w:r>
        <w:rPr>
          <w:rFonts w:ascii="Arial" w:hAnsi="Arial" w:cs="Arial"/>
          <w:i/>
        </w:rPr>
        <w:t>(Art. 8, Decreto 1001 de 1997, modificado por el art. 1 del Decreto 870 de 2010)</w:t>
      </w:r>
      <w:r>
        <w:rPr>
          <w:rFonts w:ascii="Arial" w:hAnsi="Arial" w:cs="Arial"/>
        </w:rPr>
        <w:t xml:space="preserve"> </w:t>
      </w:r>
      <w:r>
        <w:rPr>
          <w:rFonts w:ascii="Arial" w:hAnsi="Arial" w:cs="Arial"/>
          <w:i/>
        </w:rPr>
        <w:t>(El Decreto 1001 de 1997 rige a partir de su publicación y deroga las disposiciones q</w:t>
      </w:r>
      <w:r>
        <w:rPr>
          <w:rFonts w:ascii="Arial" w:hAnsi="Arial" w:cs="Arial"/>
          <w:i/>
        </w:rPr>
        <w:t>ue le sean contrarias, en especial los artículos 3°; el numeral 7 del artículo 5° y el 10 del Decreto 1165 de 1996, y el artículo 33 del Decreto 1813 de 1984. Art. 19, Decreto 1001 de 1997)</w:t>
      </w:r>
    </w:p>
    <w:p w14:paraId="70AA6F16" w14:textId="77777777" w:rsidR="00B2442D" w:rsidRDefault="00B2442D">
      <w:pPr>
        <w:jc w:val="both"/>
        <w:rPr>
          <w:rFonts w:ascii="Arial" w:hAnsi="Arial" w:cs="Arial"/>
        </w:rPr>
      </w:pPr>
    </w:p>
    <w:p w14:paraId="5574A15E"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Documentos soporte.</w:t>
      </w:r>
      <w:r>
        <w:rPr>
          <w:rFonts w:ascii="Arial" w:hAnsi="Arial" w:cs="Arial"/>
          <w:lang w:val="es-CO"/>
        </w:rPr>
        <w:t xml:space="preserve"> En los espectáculos públicos y en la venta d</w:t>
      </w:r>
      <w:r>
        <w:rPr>
          <w:rFonts w:ascii="Arial" w:hAnsi="Arial" w:cs="Arial"/>
          <w:lang w:val="es-CO"/>
        </w:rPr>
        <w:t>e loterías y rifas al público, no será necesario expedir copia del documento. El soporte de sus operaciones será la planilla de control de ventas, llevada por la entidad que efectúa el sorteo o los empresarios para los espectáculos públicos.</w:t>
      </w:r>
    </w:p>
    <w:p w14:paraId="765F6F15" w14:textId="77777777" w:rsidR="00B2442D" w:rsidRDefault="00B2442D">
      <w:pPr>
        <w:jc w:val="both"/>
        <w:rPr>
          <w:rFonts w:ascii="Arial" w:hAnsi="Arial" w:cs="Arial"/>
          <w:i/>
        </w:rPr>
      </w:pPr>
    </w:p>
    <w:p w14:paraId="463573F6" w14:textId="77777777" w:rsidR="00B2442D" w:rsidRDefault="008A645F">
      <w:pPr>
        <w:jc w:val="both"/>
        <w:rPr>
          <w:rFonts w:ascii="Arial" w:hAnsi="Arial" w:cs="Arial"/>
          <w:i/>
        </w:rPr>
      </w:pPr>
      <w:r>
        <w:rPr>
          <w:rFonts w:ascii="Arial" w:hAnsi="Arial" w:cs="Arial"/>
          <w:i/>
        </w:rPr>
        <w:t>(Art. 9, Decr</w:t>
      </w:r>
      <w:r>
        <w:rPr>
          <w:rFonts w:ascii="Arial" w:hAnsi="Arial" w:cs="Arial"/>
          <w:i/>
        </w:rPr>
        <w:t>eto 1001 de 1997)</w:t>
      </w:r>
      <w:r>
        <w:rPr>
          <w:rFonts w:ascii="Arial" w:hAnsi="Arial" w:cs="Arial"/>
        </w:rPr>
        <w:t xml:space="preserve"> </w:t>
      </w:r>
      <w:r>
        <w:rPr>
          <w:rFonts w:ascii="Arial" w:hAnsi="Arial" w:cs="Arial"/>
          <w:i/>
        </w:rPr>
        <w:t xml:space="preserve">(El Decreto 1001 de 1997 rige a partir de su publicación y deroga las disposiciones que le sean contrarias, en especial los artículos 3°; el numeral 7 del artículo 5° y el 10 del Decreto 1165 de 1996, y el artículo 33 del Decreto 1813 </w:t>
      </w:r>
      <w:r>
        <w:rPr>
          <w:rFonts w:ascii="Arial" w:hAnsi="Arial" w:cs="Arial"/>
          <w:i/>
        </w:rPr>
        <w:t>de 1984. Art. 19, Decreto 1001 de 1997)</w:t>
      </w:r>
    </w:p>
    <w:p w14:paraId="0BAE7D9C" w14:textId="77777777" w:rsidR="00B2442D" w:rsidRDefault="00B2442D">
      <w:pPr>
        <w:jc w:val="both"/>
        <w:rPr>
          <w:rFonts w:ascii="Arial" w:hAnsi="Arial" w:cs="Arial"/>
          <w:i/>
        </w:rPr>
      </w:pPr>
    </w:p>
    <w:p w14:paraId="401589F6" w14:textId="77777777" w:rsidR="00B2442D" w:rsidRDefault="008A645F">
      <w:pPr>
        <w:pStyle w:val="Prrafodelista"/>
        <w:numPr>
          <w:ilvl w:val="0"/>
          <w:numId w:val="106"/>
        </w:numPr>
        <w:ind w:left="0" w:firstLine="0"/>
        <w:jc w:val="both"/>
        <w:rPr>
          <w:rFonts w:ascii="Arial" w:hAnsi="Arial" w:cs="Arial"/>
        </w:rPr>
      </w:pPr>
      <w:r>
        <w:rPr>
          <w:rFonts w:ascii="Arial" w:hAnsi="Arial" w:cs="Arial"/>
          <w:b/>
          <w:i/>
        </w:rPr>
        <w:t xml:space="preserve"> Pagos a miembros de juntas directivas. </w:t>
      </w:r>
      <w:r>
        <w:rPr>
          <w:rFonts w:ascii="Arial" w:hAnsi="Arial" w:cs="Arial"/>
        </w:rPr>
        <w:t>En el pago de honorarios a miembros de las juntas directivas, constituye documento equivalente a la factura el expedido por quien efectúa el pago. Este documento deberá conten</w:t>
      </w:r>
      <w:r>
        <w:rPr>
          <w:rFonts w:ascii="Arial" w:hAnsi="Arial" w:cs="Arial"/>
        </w:rPr>
        <w:t xml:space="preserve">er como mínimo los siguientes requisitos: </w:t>
      </w:r>
    </w:p>
    <w:p w14:paraId="155A765D" w14:textId="77777777" w:rsidR="00B2442D" w:rsidRDefault="008A645F">
      <w:pPr>
        <w:jc w:val="both"/>
        <w:rPr>
          <w:rFonts w:ascii="Arial" w:hAnsi="Arial" w:cs="Arial"/>
        </w:rPr>
      </w:pPr>
      <w:r>
        <w:rPr>
          <w:rFonts w:ascii="Arial" w:hAnsi="Arial" w:cs="Arial"/>
        </w:rPr>
        <w:t xml:space="preserve"> </w:t>
      </w:r>
    </w:p>
    <w:p w14:paraId="4A7B9903" w14:textId="77777777" w:rsidR="00B2442D" w:rsidRDefault="008A645F">
      <w:pPr>
        <w:jc w:val="both"/>
        <w:rPr>
          <w:rFonts w:ascii="Arial" w:hAnsi="Arial" w:cs="Arial"/>
        </w:rPr>
      </w:pPr>
      <w:r>
        <w:rPr>
          <w:rFonts w:ascii="Arial" w:hAnsi="Arial" w:cs="Arial"/>
        </w:rPr>
        <w:t xml:space="preserve">a) Razón social y NIT de quien hace el pago; </w:t>
      </w:r>
    </w:p>
    <w:p w14:paraId="02A9F005" w14:textId="77777777" w:rsidR="00B2442D" w:rsidRDefault="008A645F">
      <w:pPr>
        <w:jc w:val="both"/>
        <w:rPr>
          <w:rFonts w:ascii="Arial" w:hAnsi="Arial" w:cs="Arial"/>
        </w:rPr>
      </w:pPr>
      <w:r>
        <w:rPr>
          <w:rFonts w:ascii="Arial" w:hAnsi="Arial" w:cs="Arial"/>
        </w:rPr>
        <w:t xml:space="preserve">b) Apellidos y nombre e identificación de la persona a quien se hace el pago; </w:t>
      </w:r>
    </w:p>
    <w:p w14:paraId="4C69A0D2" w14:textId="77777777" w:rsidR="00B2442D" w:rsidRDefault="008A645F">
      <w:pPr>
        <w:jc w:val="both"/>
        <w:rPr>
          <w:rFonts w:ascii="Arial" w:hAnsi="Arial" w:cs="Arial"/>
        </w:rPr>
      </w:pPr>
      <w:r>
        <w:rPr>
          <w:rFonts w:ascii="Arial" w:hAnsi="Arial" w:cs="Arial"/>
        </w:rPr>
        <w:t xml:space="preserve">c) Fecha; </w:t>
      </w:r>
    </w:p>
    <w:p w14:paraId="0B4B6A31" w14:textId="77777777" w:rsidR="00B2442D" w:rsidRDefault="008A645F">
      <w:pPr>
        <w:jc w:val="both"/>
        <w:rPr>
          <w:rFonts w:ascii="Arial" w:hAnsi="Arial" w:cs="Arial"/>
        </w:rPr>
      </w:pPr>
      <w:r>
        <w:rPr>
          <w:rFonts w:ascii="Arial" w:hAnsi="Arial" w:cs="Arial"/>
        </w:rPr>
        <w:t xml:space="preserve">d) Concepto; </w:t>
      </w:r>
    </w:p>
    <w:p w14:paraId="6735925F" w14:textId="77777777" w:rsidR="00B2442D" w:rsidRDefault="008A645F">
      <w:pPr>
        <w:jc w:val="both"/>
        <w:rPr>
          <w:rFonts w:ascii="Arial" w:hAnsi="Arial" w:cs="Arial"/>
        </w:rPr>
      </w:pPr>
      <w:r>
        <w:rPr>
          <w:rFonts w:ascii="Arial" w:hAnsi="Arial" w:cs="Arial"/>
        </w:rPr>
        <w:t>e) Valor.</w:t>
      </w:r>
    </w:p>
    <w:p w14:paraId="0D3D25AD" w14:textId="77777777" w:rsidR="00B2442D" w:rsidRDefault="00B2442D">
      <w:pPr>
        <w:jc w:val="both"/>
        <w:rPr>
          <w:rFonts w:ascii="Arial" w:hAnsi="Arial" w:cs="Arial"/>
          <w:i/>
        </w:rPr>
      </w:pPr>
    </w:p>
    <w:p w14:paraId="7DDB052E" w14:textId="77777777" w:rsidR="00B2442D" w:rsidRDefault="008A645F">
      <w:pPr>
        <w:jc w:val="both"/>
        <w:rPr>
          <w:rFonts w:ascii="Arial" w:hAnsi="Arial" w:cs="Arial"/>
          <w:i/>
        </w:rPr>
      </w:pPr>
      <w:r>
        <w:rPr>
          <w:rFonts w:ascii="Arial" w:hAnsi="Arial" w:cs="Arial"/>
          <w:i/>
        </w:rPr>
        <w:t>(Art. 11, Decreto 1001 de 1997)</w:t>
      </w:r>
      <w:r>
        <w:rPr>
          <w:rFonts w:ascii="Arial" w:hAnsi="Arial" w:cs="Arial"/>
        </w:rPr>
        <w:t xml:space="preserve"> </w:t>
      </w:r>
      <w:r>
        <w:rPr>
          <w:rFonts w:ascii="Arial" w:hAnsi="Arial" w:cs="Arial"/>
          <w:i/>
        </w:rPr>
        <w:t>(El Decreto 1001 d</w:t>
      </w:r>
      <w:r>
        <w:rPr>
          <w:rFonts w:ascii="Arial" w:hAnsi="Arial" w:cs="Arial"/>
          <w:i/>
        </w:rPr>
        <w:t>e 1997 rige a partir de su publicación y deroga las disposiciones que le sean contrarias, en especial los artículos 3°; el numeral 7 del artículo 5° y el 10 del Decreto 1165 de 1996, y el artículo 33 del Decreto 1813 de 1984. Art. 19, Decreto 1001 de 1997)</w:t>
      </w:r>
    </w:p>
    <w:p w14:paraId="5662C3C6" w14:textId="77777777" w:rsidR="00B2442D" w:rsidRDefault="00B2442D">
      <w:pPr>
        <w:jc w:val="both"/>
        <w:rPr>
          <w:rFonts w:ascii="Arial" w:hAnsi="Arial" w:cs="Arial"/>
        </w:rPr>
      </w:pPr>
    </w:p>
    <w:p w14:paraId="25FD6BC2" w14:textId="77777777" w:rsidR="00B2442D" w:rsidRDefault="008A645F">
      <w:pPr>
        <w:pStyle w:val="Prrafodelista"/>
        <w:numPr>
          <w:ilvl w:val="0"/>
          <w:numId w:val="106"/>
        </w:numPr>
        <w:ind w:left="0" w:firstLine="0"/>
        <w:jc w:val="both"/>
        <w:rPr>
          <w:rFonts w:ascii="Arial" w:hAnsi="Arial" w:cs="Arial"/>
        </w:rPr>
      </w:pPr>
      <w:r>
        <w:rPr>
          <w:rFonts w:ascii="Arial" w:hAnsi="Arial" w:cs="Arial"/>
          <w:b/>
          <w:i/>
        </w:rPr>
        <w:t xml:space="preserve"> Descuentos por nómina.</w:t>
      </w:r>
      <w:r>
        <w:rPr>
          <w:rFonts w:ascii="Arial" w:hAnsi="Arial" w:cs="Arial"/>
        </w:rPr>
        <w:t xml:space="preserve"> Constituye documento equivalente a la factura, la nómina, donde consten los descuentos efectuados a los trabajadores, originados en la venta de bienes o prestación de servicios por parte del empleador. Este documento deberá conten</w:t>
      </w:r>
      <w:r>
        <w:rPr>
          <w:rFonts w:ascii="Arial" w:hAnsi="Arial" w:cs="Arial"/>
        </w:rPr>
        <w:t xml:space="preserve">er como mínimo los siguientes requisitos: </w:t>
      </w:r>
    </w:p>
    <w:p w14:paraId="061BA960" w14:textId="77777777" w:rsidR="00B2442D" w:rsidRDefault="008A645F">
      <w:pPr>
        <w:jc w:val="both"/>
        <w:rPr>
          <w:rFonts w:ascii="Arial" w:hAnsi="Arial" w:cs="Arial"/>
        </w:rPr>
      </w:pPr>
      <w:r>
        <w:rPr>
          <w:rFonts w:ascii="Arial" w:hAnsi="Arial" w:cs="Arial"/>
        </w:rPr>
        <w:t xml:space="preserve"> </w:t>
      </w:r>
    </w:p>
    <w:p w14:paraId="6E3D8EAE" w14:textId="77777777" w:rsidR="00B2442D" w:rsidRDefault="008A645F">
      <w:pPr>
        <w:jc w:val="both"/>
        <w:rPr>
          <w:rFonts w:ascii="Arial" w:hAnsi="Arial" w:cs="Arial"/>
        </w:rPr>
      </w:pPr>
      <w:r>
        <w:rPr>
          <w:rFonts w:ascii="Arial" w:hAnsi="Arial" w:cs="Arial"/>
        </w:rPr>
        <w:t xml:space="preserve">a) Nombre o razón social y NIT del empleador; </w:t>
      </w:r>
    </w:p>
    <w:p w14:paraId="4A979C00" w14:textId="77777777" w:rsidR="00B2442D" w:rsidRDefault="008A645F">
      <w:pPr>
        <w:jc w:val="both"/>
        <w:rPr>
          <w:rFonts w:ascii="Arial" w:hAnsi="Arial" w:cs="Arial"/>
        </w:rPr>
      </w:pPr>
      <w:r>
        <w:rPr>
          <w:rFonts w:ascii="Arial" w:hAnsi="Arial" w:cs="Arial"/>
        </w:rPr>
        <w:t xml:space="preserve">b) Descripción específica o genérica de los artículos vendidos o servicios prestados; </w:t>
      </w:r>
    </w:p>
    <w:p w14:paraId="35489054" w14:textId="77777777" w:rsidR="00B2442D" w:rsidRDefault="008A645F">
      <w:pPr>
        <w:jc w:val="both"/>
        <w:rPr>
          <w:rFonts w:ascii="Arial" w:hAnsi="Arial" w:cs="Arial"/>
        </w:rPr>
      </w:pPr>
      <w:r>
        <w:rPr>
          <w:rFonts w:ascii="Arial" w:hAnsi="Arial" w:cs="Arial"/>
        </w:rPr>
        <w:t xml:space="preserve">c) Fecha; </w:t>
      </w:r>
    </w:p>
    <w:p w14:paraId="3BD5C8AC" w14:textId="77777777" w:rsidR="00B2442D" w:rsidRDefault="008A645F">
      <w:pPr>
        <w:jc w:val="both"/>
        <w:rPr>
          <w:rFonts w:ascii="Arial" w:hAnsi="Arial" w:cs="Arial"/>
        </w:rPr>
      </w:pPr>
      <w:r>
        <w:rPr>
          <w:rFonts w:ascii="Arial" w:hAnsi="Arial" w:cs="Arial"/>
        </w:rPr>
        <w:t>d) Valor de los descuentos.</w:t>
      </w:r>
    </w:p>
    <w:p w14:paraId="13804661" w14:textId="77777777" w:rsidR="00B2442D" w:rsidRDefault="00B2442D">
      <w:pPr>
        <w:jc w:val="both"/>
        <w:rPr>
          <w:rFonts w:ascii="Arial" w:hAnsi="Arial" w:cs="Arial"/>
          <w:i/>
        </w:rPr>
      </w:pPr>
    </w:p>
    <w:p w14:paraId="3B18AD30" w14:textId="77777777" w:rsidR="00B2442D" w:rsidRDefault="008A645F">
      <w:pPr>
        <w:jc w:val="both"/>
        <w:rPr>
          <w:rFonts w:ascii="Arial" w:hAnsi="Arial" w:cs="Arial"/>
          <w:i/>
        </w:rPr>
      </w:pPr>
      <w:r>
        <w:rPr>
          <w:rFonts w:ascii="Arial" w:hAnsi="Arial" w:cs="Arial"/>
          <w:i/>
        </w:rPr>
        <w:t>(Art. 12, Decreto 1001 de 1997)</w:t>
      </w:r>
      <w:r>
        <w:rPr>
          <w:rFonts w:ascii="Arial" w:hAnsi="Arial" w:cs="Arial"/>
        </w:rPr>
        <w:t xml:space="preserve"> </w:t>
      </w:r>
      <w:r>
        <w:rPr>
          <w:rFonts w:ascii="Arial" w:hAnsi="Arial" w:cs="Arial"/>
          <w:i/>
        </w:rPr>
        <w:t>(El D</w:t>
      </w:r>
      <w:r>
        <w:rPr>
          <w:rFonts w:ascii="Arial" w:hAnsi="Arial" w:cs="Arial"/>
          <w:i/>
        </w:rPr>
        <w:t xml:space="preserve">ecreto 1001 de 1997 rige a partir de su publicación y deroga las disposiciones que le sean contrarias, en especial los artículos 3°; el numeral 7 del artículo 5° y el 10 del Decreto 1165 de 1996, y el artículo 33 del Decreto 1813 de 1984. Art. 19, Decreto </w:t>
      </w:r>
      <w:r>
        <w:rPr>
          <w:rFonts w:ascii="Arial" w:hAnsi="Arial" w:cs="Arial"/>
          <w:i/>
        </w:rPr>
        <w:t>1001 de 1997)</w:t>
      </w:r>
    </w:p>
    <w:p w14:paraId="3CB8DBE3" w14:textId="77777777" w:rsidR="00B2442D" w:rsidRDefault="00B2442D">
      <w:pPr>
        <w:jc w:val="both"/>
        <w:rPr>
          <w:rFonts w:ascii="Arial" w:hAnsi="Arial" w:cs="Arial"/>
        </w:rPr>
      </w:pPr>
    </w:p>
    <w:p w14:paraId="1AD857F4" w14:textId="77777777" w:rsidR="00B2442D" w:rsidRDefault="008A645F">
      <w:pPr>
        <w:pStyle w:val="Prrafodelista"/>
        <w:numPr>
          <w:ilvl w:val="0"/>
          <w:numId w:val="106"/>
        </w:numPr>
        <w:ind w:left="0" w:firstLine="0"/>
        <w:jc w:val="both"/>
        <w:rPr>
          <w:rFonts w:ascii="Arial" w:hAnsi="Arial" w:cs="Arial"/>
        </w:rPr>
      </w:pPr>
      <w:r>
        <w:rPr>
          <w:rFonts w:ascii="Arial" w:hAnsi="Arial" w:cs="Arial"/>
          <w:b/>
          <w:i/>
        </w:rPr>
        <w:t xml:space="preserve"> Transacciones en Bolsas de Valores.</w:t>
      </w:r>
      <w:r>
        <w:rPr>
          <w:rFonts w:ascii="Arial" w:hAnsi="Arial" w:cs="Arial"/>
        </w:rPr>
        <w:t xml:space="preserve"> En las comisiones recibidas por las Bolsas de Valores, constituye documento equivalente, el certificado de liquidación expedido por estas entidades. Este documento deberá contener como mínimo los siguientes requisitos: </w:t>
      </w:r>
    </w:p>
    <w:p w14:paraId="78B2DFDD" w14:textId="77777777" w:rsidR="00B2442D" w:rsidRDefault="008A645F">
      <w:pPr>
        <w:jc w:val="both"/>
        <w:rPr>
          <w:rFonts w:ascii="Arial" w:hAnsi="Arial" w:cs="Arial"/>
        </w:rPr>
      </w:pPr>
      <w:r>
        <w:rPr>
          <w:rFonts w:ascii="Arial" w:hAnsi="Arial" w:cs="Arial"/>
        </w:rPr>
        <w:t xml:space="preserve"> </w:t>
      </w:r>
    </w:p>
    <w:p w14:paraId="01431248" w14:textId="77777777" w:rsidR="00B2442D" w:rsidRDefault="008A645F">
      <w:pPr>
        <w:jc w:val="both"/>
        <w:rPr>
          <w:rFonts w:ascii="Arial" w:hAnsi="Arial" w:cs="Arial"/>
        </w:rPr>
      </w:pPr>
      <w:r>
        <w:rPr>
          <w:rFonts w:ascii="Arial" w:hAnsi="Arial" w:cs="Arial"/>
        </w:rPr>
        <w:t>a) Razón social y NIT de la Bolsa</w:t>
      </w:r>
      <w:r>
        <w:rPr>
          <w:rFonts w:ascii="Arial" w:hAnsi="Arial" w:cs="Arial"/>
        </w:rPr>
        <w:t xml:space="preserve"> de Valores; </w:t>
      </w:r>
    </w:p>
    <w:p w14:paraId="05210457" w14:textId="77777777" w:rsidR="00B2442D" w:rsidRDefault="008A645F">
      <w:pPr>
        <w:jc w:val="both"/>
        <w:rPr>
          <w:rFonts w:ascii="Arial" w:hAnsi="Arial" w:cs="Arial"/>
        </w:rPr>
      </w:pPr>
      <w:r>
        <w:rPr>
          <w:rFonts w:ascii="Arial" w:hAnsi="Arial" w:cs="Arial"/>
        </w:rPr>
        <w:t xml:space="preserve">b) Número y fecha de la operación; </w:t>
      </w:r>
    </w:p>
    <w:p w14:paraId="5EB02937" w14:textId="77777777" w:rsidR="00B2442D" w:rsidRDefault="008A645F">
      <w:pPr>
        <w:jc w:val="both"/>
        <w:rPr>
          <w:rFonts w:ascii="Arial" w:hAnsi="Arial" w:cs="Arial"/>
        </w:rPr>
      </w:pPr>
      <w:r>
        <w:rPr>
          <w:rFonts w:ascii="Arial" w:hAnsi="Arial" w:cs="Arial"/>
        </w:rPr>
        <w:t xml:space="preserve">c) Tipo de operación; </w:t>
      </w:r>
    </w:p>
    <w:p w14:paraId="2729FD61" w14:textId="77777777" w:rsidR="00B2442D" w:rsidRDefault="008A645F">
      <w:pPr>
        <w:jc w:val="both"/>
        <w:rPr>
          <w:rFonts w:ascii="Arial" w:hAnsi="Arial" w:cs="Arial"/>
        </w:rPr>
      </w:pPr>
      <w:r>
        <w:rPr>
          <w:rFonts w:ascii="Arial" w:hAnsi="Arial" w:cs="Arial"/>
        </w:rPr>
        <w:t xml:space="preserve">d) Valor de la transacción; </w:t>
      </w:r>
    </w:p>
    <w:p w14:paraId="10EA3707" w14:textId="77777777" w:rsidR="00B2442D" w:rsidRDefault="008A645F">
      <w:pPr>
        <w:jc w:val="both"/>
        <w:rPr>
          <w:rFonts w:ascii="Arial" w:hAnsi="Arial" w:cs="Arial"/>
        </w:rPr>
      </w:pPr>
      <w:r>
        <w:rPr>
          <w:rFonts w:ascii="Arial" w:hAnsi="Arial" w:cs="Arial"/>
        </w:rPr>
        <w:t>e) Comisión facturada a favor de la Bolsa.</w:t>
      </w:r>
    </w:p>
    <w:p w14:paraId="044DB148" w14:textId="77777777" w:rsidR="00B2442D" w:rsidRDefault="00B2442D">
      <w:pPr>
        <w:jc w:val="both"/>
        <w:rPr>
          <w:rFonts w:ascii="Arial" w:hAnsi="Arial" w:cs="Arial"/>
          <w:i/>
        </w:rPr>
      </w:pPr>
    </w:p>
    <w:p w14:paraId="3396D14D" w14:textId="77777777" w:rsidR="00B2442D" w:rsidRDefault="008A645F">
      <w:pPr>
        <w:jc w:val="both"/>
        <w:rPr>
          <w:rFonts w:ascii="Arial" w:hAnsi="Arial" w:cs="Arial"/>
          <w:i/>
        </w:rPr>
      </w:pPr>
      <w:r>
        <w:rPr>
          <w:rFonts w:ascii="Arial" w:hAnsi="Arial" w:cs="Arial"/>
          <w:i/>
        </w:rPr>
        <w:t>(Art. 13, Decreto 1001 de 1997)</w:t>
      </w:r>
      <w:r>
        <w:rPr>
          <w:rFonts w:ascii="Arial" w:hAnsi="Arial" w:cs="Arial"/>
        </w:rPr>
        <w:t xml:space="preserve"> </w:t>
      </w:r>
      <w:r>
        <w:rPr>
          <w:rFonts w:ascii="Arial" w:hAnsi="Arial" w:cs="Arial"/>
          <w:i/>
        </w:rPr>
        <w:t>(El Decreto 1001 de 1997 rige a partir de su publicación y deroga las disposic</w:t>
      </w:r>
      <w:r>
        <w:rPr>
          <w:rFonts w:ascii="Arial" w:hAnsi="Arial" w:cs="Arial"/>
          <w:i/>
        </w:rPr>
        <w:t>iones que le sean contrarias, en especial los artículos 3°; el numeral 7 del artículo 5° y el 10 del Decreto 1165 de 1996, y el artículo 33 del Decreto 1813 de 1984. Art. 19, Decreto 1001 de 1997)</w:t>
      </w:r>
    </w:p>
    <w:p w14:paraId="3BE84F04" w14:textId="77777777" w:rsidR="00B2442D" w:rsidRDefault="00B2442D">
      <w:pPr>
        <w:jc w:val="both"/>
        <w:rPr>
          <w:rFonts w:ascii="Arial" w:hAnsi="Arial" w:cs="Arial"/>
          <w:lang w:val="es-CO"/>
        </w:rPr>
      </w:pPr>
    </w:p>
    <w:p w14:paraId="5A2C1056"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Discriminación del IVA en la factura.</w:t>
      </w:r>
      <w:r>
        <w:rPr>
          <w:rFonts w:ascii="Arial" w:hAnsi="Arial" w:cs="Arial"/>
          <w:lang w:val="es-CO"/>
        </w:rPr>
        <w:t xml:space="preserve"> Los responsables de</w:t>
      </w:r>
      <w:r>
        <w:rPr>
          <w:rFonts w:ascii="Arial" w:hAnsi="Arial" w:cs="Arial"/>
          <w:lang w:val="es-CO"/>
        </w:rPr>
        <w:t>l régimen común del impuesto sobre las ventas, en los precios de venta al público de bienes y servicios gravados, incluirán el valor correspondiente al impuesto sobre las ventas</w:t>
      </w:r>
    </w:p>
    <w:p w14:paraId="677BA2CF" w14:textId="77777777" w:rsidR="00B2442D" w:rsidRDefault="00B2442D">
      <w:pPr>
        <w:jc w:val="both"/>
        <w:rPr>
          <w:rFonts w:ascii="Arial" w:hAnsi="Arial" w:cs="Arial"/>
          <w:i/>
        </w:rPr>
      </w:pPr>
    </w:p>
    <w:p w14:paraId="0D21CACD" w14:textId="77777777" w:rsidR="00B2442D" w:rsidRDefault="008A645F">
      <w:pPr>
        <w:jc w:val="both"/>
        <w:rPr>
          <w:rFonts w:ascii="Arial" w:hAnsi="Arial" w:cs="Arial"/>
          <w:i/>
        </w:rPr>
      </w:pPr>
      <w:r>
        <w:rPr>
          <w:rFonts w:ascii="Arial" w:hAnsi="Arial" w:cs="Arial"/>
          <w:i/>
        </w:rPr>
        <w:t>(Art. 14, Decreto 1001 de 1997. La expresión “y en las facturas expedidas dis</w:t>
      </w:r>
      <w:r>
        <w:rPr>
          <w:rFonts w:ascii="Arial" w:hAnsi="Arial" w:cs="Arial"/>
          <w:i/>
        </w:rPr>
        <w:t>criminarán el valor total del impuesto generado” del inciso 1 tiene decaimiento por la evolución legislativa (Literal c) del artículo 617 del Estatuto Tributario modificado por el artículo 64 de la Ley 788 de 2002). Parágrafo derogado expresamente por el a</w:t>
      </w:r>
      <w:r>
        <w:rPr>
          <w:rFonts w:ascii="Arial" w:hAnsi="Arial" w:cs="Arial"/>
          <w:i/>
        </w:rPr>
        <w:t>rt. 34 del Decreto 3050 de 1997, igualmente, el Consejo de Estado- Sección Cuarta mediante Sentencia del 4 de septiembre de 1998, Expedientes 8401 y 8653, acumulados, declaró la nulidad del parágrafo)</w:t>
      </w:r>
      <w:r>
        <w:rPr>
          <w:rFonts w:ascii="Arial" w:hAnsi="Arial" w:cs="Arial"/>
        </w:rPr>
        <w:t xml:space="preserve"> </w:t>
      </w:r>
      <w:r>
        <w:rPr>
          <w:rFonts w:ascii="Arial" w:hAnsi="Arial" w:cs="Arial"/>
          <w:i/>
        </w:rPr>
        <w:t>(El Decreto 1001 de 1997 rige a partir de su publicació</w:t>
      </w:r>
      <w:r>
        <w:rPr>
          <w:rFonts w:ascii="Arial" w:hAnsi="Arial" w:cs="Arial"/>
          <w:i/>
        </w:rPr>
        <w:t>n y deroga las disposiciones que le sean contrarias, en especial los artículos 3°; el numeral 7 del artículo 5° y el 10 del Decreto 1165 de 1996, y el artículo 33 del Decreto 1813 de 1984. Art. 19, Decreto 1001 de 1997)</w:t>
      </w:r>
    </w:p>
    <w:p w14:paraId="646DC7A7" w14:textId="77777777" w:rsidR="00B2442D" w:rsidRDefault="00B2442D">
      <w:pPr>
        <w:jc w:val="both"/>
        <w:rPr>
          <w:rFonts w:ascii="Arial" w:hAnsi="Arial" w:cs="Arial"/>
        </w:rPr>
      </w:pPr>
    </w:p>
    <w:p w14:paraId="62913FD0"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Otros documentos equivalentes a la</w:t>
      </w:r>
      <w:r>
        <w:rPr>
          <w:rFonts w:ascii="Arial" w:hAnsi="Arial" w:cs="Arial"/>
          <w:b/>
          <w:i/>
          <w:lang w:val="es-CO"/>
        </w:rPr>
        <w:t xml:space="preserve"> factura.</w:t>
      </w:r>
      <w:r>
        <w:rPr>
          <w:rFonts w:ascii="Arial" w:hAnsi="Arial" w:cs="Arial"/>
          <w:lang w:val="es-CO"/>
        </w:rPr>
        <w:t xml:space="preserve"> Constituyen documentos equivalentes a la factura, los expedidos por entidades de derecho público incluidas las Empresas Industriales y Comerciales del Estado y Sociedades de Economía Mixta donde el Estado posea más del cincuenta por ciento (50%) </w:t>
      </w:r>
      <w:r>
        <w:rPr>
          <w:rFonts w:ascii="Arial" w:hAnsi="Arial" w:cs="Arial"/>
          <w:lang w:val="es-CO"/>
        </w:rPr>
        <w:t>de su capital, los expedidos por empresas o entidades que presten servicios públicos domiciliarios, cámaras de comercio, notarías y en general los expedidos por los no responsables del impuesto sobre las ventas que simultáneamente no sean contribuyentes de</w:t>
      </w:r>
      <w:r>
        <w:rPr>
          <w:rFonts w:ascii="Arial" w:hAnsi="Arial" w:cs="Arial"/>
          <w:lang w:val="es-CO"/>
        </w:rPr>
        <w:t xml:space="preserve">l impuesto sobre la renta. Estos documentos deberán contener como mínimo los siguientes requisitos: </w:t>
      </w:r>
    </w:p>
    <w:p w14:paraId="7949E8D9" w14:textId="77777777" w:rsidR="00B2442D" w:rsidRDefault="008A645F">
      <w:pPr>
        <w:jc w:val="both"/>
        <w:rPr>
          <w:rFonts w:ascii="Arial" w:hAnsi="Arial" w:cs="Arial"/>
          <w:lang w:val="es-CO"/>
        </w:rPr>
      </w:pPr>
      <w:r>
        <w:rPr>
          <w:rFonts w:ascii="Arial" w:hAnsi="Arial" w:cs="Arial"/>
          <w:lang w:val="es-CO"/>
        </w:rPr>
        <w:t xml:space="preserve"> </w:t>
      </w:r>
    </w:p>
    <w:p w14:paraId="2376C851" w14:textId="77777777" w:rsidR="00B2442D" w:rsidRDefault="008A645F">
      <w:pPr>
        <w:jc w:val="both"/>
        <w:rPr>
          <w:rFonts w:ascii="Arial" w:hAnsi="Arial" w:cs="Arial"/>
          <w:lang w:val="es-CO"/>
        </w:rPr>
      </w:pPr>
      <w:r>
        <w:rPr>
          <w:rFonts w:ascii="Arial" w:hAnsi="Arial" w:cs="Arial"/>
          <w:lang w:val="es-CO"/>
        </w:rPr>
        <w:t xml:space="preserve">1. Numeración consecutiva. </w:t>
      </w:r>
    </w:p>
    <w:p w14:paraId="1EEF8C17" w14:textId="77777777" w:rsidR="00B2442D" w:rsidRDefault="008A645F">
      <w:pPr>
        <w:jc w:val="both"/>
        <w:rPr>
          <w:rFonts w:ascii="Arial" w:hAnsi="Arial" w:cs="Arial"/>
          <w:lang w:val="es-CO"/>
        </w:rPr>
      </w:pPr>
      <w:r>
        <w:rPr>
          <w:rFonts w:ascii="Arial" w:hAnsi="Arial" w:cs="Arial"/>
          <w:lang w:val="es-CO"/>
        </w:rPr>
        <w:t xml:space="preserve">2. Descripción específica o genérica de bienes o servicios. </w:t>
      </w:r>
    </w:p>
    <w:p w14:paraId="66DE1ED4" w14:textId="77777777" w:rsidR="00B2442D" w:rsidRDefault="008A645F">
      <w:pPr>
        <w:jc w:val="both"/>
        <w:rPr>
          <w:rFonts w:ascii="Arial" w:hAnsi="Arial" w:cs="Arial"/>
          <w:lang w:val="es-CO"/>
        </w:rPr>
      </w:pPr>
      <w:r>
        <w:rPr>
          <w:rFonts w:ascii="Arial" w:hAnsi="Arial" w:cs="Arial"/>
          <w:lang w:val="es-CO"/>
        </w:rPr>
        <w:t xml:space="preserve">3. Fecha. </w:t>
      </w:r>
    </w:p>
    <w:p w14:paraId="72518800" w14:textId="77777777" w:rsidR="00B2442D" w:rsidRDefault="008A645F">
      <w:pPr>
        <w:jc w:val="both"/>
        <w:rPr>
          <w:rFonts w:ascii="Arial" w:hAnsi="Arial" w:cs="Arial"/>
          <w:lang w:val="es-CO"/>
        </w:rPr>
      </w:pPr>
      <w:r>
        <w:rPr>
          <w:rFonts w:ascii="Arial" w:hAnsi="Arial" w:cs="Arial"/>
          <w:lang w:val="es-CO"/>
        </w:rPr>
        <w:t>4. Valor.</w:t>
      </w:r>
    </w:p>
    <w:p w14:paraId="3CDB51CD" w14:textId="77777777" w:rsidR="00B2442D" w:rsidRDefault="00B2442D">
      <w:pPr>
        <w:jc w:val="both"/>
        <w:rPr>
          <w:rFonts w:ascii="Arial" w:hAnsi="Arial" w:cs="Arial"/>
          <w:i/>
        </w:rPr>
      </w:pPr>
    </w:p>
    <w:p w14:paraId="44DDEB3B" w14:textId="77777777" w:rsidR="00B2442D" w:rsidRDefault="008A645F">
      <w:pPr>
        <w:jc w:val="both"/>
        <w:rPr>
          <w:rFonts w:ascii="Arial" w:hAnsi="Arial" w:cs="Arial"/>
          <w:i/>
        </w:rPr>
      </w:pPr>
      <w:r>
        <w:rPr>
          <w:rFonts w:ascii="Arial" w:hAnsi="Arial" w:cs="Arial"/>
          <w:i/>
        </w:rPr>
        <w:t xml:space="preserve">(Art. 17, Decreto 1001 de 1997. </w:t>
      </w:r>
      <w:r>
        <w:rPr>
          <w:rFonts w:ascii="Arial" w:hAnsi="Arial" w:cs="Arial"/>
          <w:i/>
        </w:rPr>
        <w:t>Numeral 1 derogado tácitamente por el art. 4 del Decreto 522 de 2003)</w:t>
      </w:r>
      <w:r>
        <w:rPr>
          <w:rFonts w:ascii="Arial" w:hAnsi="Arial" w:cs="Arial"/>
        </w:rPr>
        <w:t xml:space="preserve"> </w:t>
      </w:r>
      <w:r>
        <w:rPr>
          <w:rFonts w:ascii="Arial" w:hAnsi="Arial" w:cs="Arial"/>
          <w:i/>
        </w:rPr>
        <w:t>(El Decreto 1001 de 1997 rige a partir de su publicación y deroga las disposiciones que le sean contrarias, en especial los artículos 3°; el numeral 7 del artículo 5° y el 10 del Decreto</w:t>
      </w:r>
      <w:r>
        <w:rPr>
          <w:rFonts w:ascii="Arial" w:hAnsi="Arial" w:cs="Arial"/>
          <w:i/>
        </w:rPr>
        <w:t xml:space="preserve"> 1165 de 1996, y el artículo 33 del Decreto 1813 de 1984. Art. 19, Decreto 1001 de 1997)</w:t>
      </w:r>
    </w:p>
    <w:p w14:paraId="10961466" w14:textId="77777777" w:rsidR="00B2442D" w:rsidRDefault="00B2442D">
      <w:pPr>
        <w:jc w:val="both"/>
        <w:rPr>
          <w:rFonts w:ascii="Arial" w:hAnsi="Arial" w:cs="Arial"/>
          <w:b/>
        </w:rPr>
      </w:pPr>
    </w:p>
    <w:p w14:paraId="689937FD" w14:textId="77777777" w:rsidR="00B2442D" w:rsidRDefault="008A645F">
      <w:pPr>
        <w:pStyle w:val="Prrafodelista"/>
        <w:numPr>
          <w:ilvl w:val="0"/>
          <w:numId w:val="106"/>
        </w:numPr>
        <w:ind w:left="0" w:firstLine="0"/>
        <w:jc w:val="both"/>
        <w:rPr>
          <w:rFonts w:ascii="Arial" w:hAnsi="Arial" w:cs="Arial"/>
        </w:rPr>
      </w:pPr>
      <w:r>
        <w:rPr>
          <w:rFonts w:ascii="Arial" w:hAnsi="Arial" w:cs="Arial"/>
          <w:b/>
          <w:i/>
        </w:rPr>
        <w:t xml:space="preserve"> Documento equivalente a la factura en adquisiciones efectuadas por responsables del régimen común a personas naturales no comerciantes o inscritas en el régimen simp</w:t>
      </w:r>
      <w:r>
        <w:rPr>
          <w:rFonts w:ascii="Arial" w:hAnsi="Arial" w:cs="Arial"/>
          <w:b/>
          <w:i/>
        </w:rPr>
        <w:t>lificado.</w:t>
      </w:r>
      <w:r>
        <w:rPr>
          <w:rFonts w:ascii="Arial" w:hAnsi="Arial" w:cs="Arial"/>
        </w:rPr>
        <w:t xml:space="preserve"> El adquirente, responsable del régimen común que adquiera bienes o servicios de personas naturales no comerciantes o inscritas en el régimen simplificado, expedirá a su proveedor un documento equivalente a la factura con el lleno de los siguiente</w:t>
      </w:r>
      <w:r>
        <w:rPr>
          <w:rFonts w:ascii="Arial" w:hAnsi="Arial" w:cs="Arial"/>
        </w:rPr>
        <w:t>s requisitos:</w:t>
      </w:r>
    </w:p>
    <w:p w14:paraId="5905C1D2" w14:textId="77777777" w:rsidR="00B2442D" w:rsidRDefault="00B2442D">
      <w:pPr>
        <w:jc w:val="both"/>
        <w:rPr>
          <w:rFonts w:ascii="Arial" w:hAnsi="Arial" w:cs="Arial"/>
        </w:rPr>
      </w:pPr>
    </w:p>
    <w:p w14:paraId="4CE9781E" w14:textId="77777777" w:rsidR="00B2442D" w:rsidRDefault="008A645F">
      <w:pPr>
        <w:ind w:left="426" w:hanging="426"/>
        <w:jc w:val="both"/>
        <w:rPr>
          <w:rFonts w:ascii="Arial" w:hAnsi="Arial" w:cs="Arial"/>
        </w:rPr>
      </w:pPr>
      <w:r>
        <w:rPr>
          <w:rFonts w:ascii="Arial" w:hAnsi="Arial" w:cs="Arial"/>
        </w:rPr>
        <w:t>a.</w:t>
      </w:r>
      <w:r>
        <w:rPr>
          <w:rFonts w:ascii="Arial" w:hAnsi="Arial" w:cs="Arial"/>
        </w:rPr>
        <w:tab/>
        <w:t>Apellidos, nombre o razón social y NIT del adquirente de los bienes o servicios;</w:t>
      </w:r>
    </w:p>
    <w:p w14:paraId="33B20724" w14:textId="77777777" w:rsidR="00B2442D" w:rsidRDefault="00B2442D">
      <w:pPr>
        <w:ind w:left="426" w:hanging="426"/>
        <w:jc w:val="both"/>
        <w:rPr>
          <w:rFonts w:ascii="Arial" w:hAnsi="Arial" w:cs="Arial"/>
        </w:rPr>
      </w:pPr>
    </w:p>
    <w:p w14:paraId="4FC8CDAA" w14:textId="77777777" w:rsidR="00B2442D" w:rsidRDefault="008A645F">
      <w:pPr>
        <w:ind w:left="426" w:hanging="426"/>
        <w:jc w:val="both"/>
        <w:rPr>
          <w:rFonts w:ascii="Arial" w:hAnsi="Arial" w:cs="Arial"/>
        </w:rPr>
      </w:pPr>
      <w:r>
        <w:rPr>
          <w:rFonts w:ascii="Arial" w:hAnsi="Arial" w:cs="Arial"/>
        </w:rPr>
        <w:t>b.</w:t>
      </w:r>
      <w:r>
        <w:rPr>
          <w:rFonts w:ascii="Arial" w:hAnsi="Arial" w:cs="Arial"/>
        </w:rPr>
        <w:tab/>
        <w:t>Apellidos, nombre y NIT de la persona natural beneficiaria del pago o abono;</w:t>
      </w:r>
    </w:p>
    <w:p w14:paraId="6586C793" w14:textId="77777777" w:rsidR="00B2442D" w:rsidRDefault="00B2442D">
      <w:pPr>
        <w:ind w:left="426" w:hanging="426"/>
        <w:jc w:val="both"/>
        <w:rPr>
          <w:rFonts w:ascii="Arial" w:hAnsi="Arial" w:cs="Arial"/>
        </w:rPr>
      </w:pPr>
    </w:p>
    <w:p w14:paraId="7EA343EA" w14:textId="77777777" w:rsidR="00B2442D" w:rsidRDefault="008A645F">
      <w:pPr>
        <w:ind w:left="426" w:hanging="426"/>
        <w:jc w:val="both"/>
        <w:rPr>
          <w:rFonts w:ascii="Arial" w:hAnsi="Arial" w:cs="Arial"/>
        </w:rPr>
      </w:pPr>
      <w:r>
        <w:rPr>
          <w:rFonts w:ascii="Arial" w:hAnsi="Arial" w:cs="Arial"/>
        </w:rPr>
        <w:t>c.</w:t>
      </w:r>
      <w:r>
        <w:rPr>
          <w:rFonts w:ascii="Arial" w:hAnsi="Arial" w:cs="Arial"/>
        </w:rPr>
        <w:tab/>
        <w:t xml:space="preserve">Número que corresponda a un sistema de numeración </w:t>
      </w:r>
      <w:r>
        <w:rPr>
          <w:rFonts w:ascii="Arial" w:hAnsi="Arial" w:cs="Arial"/>
        </w:rPr>
        <w:t>consecutiva;</w:t>
      </w:r>
    </w:p>
    <w:p w14:paraId="58716F54" w14:textId="77777777" w:rsidR="00B2442D" w:rsidRDefault="00B2442D">
      <w:pPr>
        <w:ind w:left="426" w:hanging="426"/>
        <w:jc w:val="both"/>
        <w:rPr>
          <w:rFonts w:ascii="Arial" w:hAnsi="Arial" w:cs="Arial"/>
        </w:rPr>
      </w:pPr>
    </w:p>
    <w:p w14:paraId="12C8C528" w14:textId="77777777" w:rsidR="00B2442D" w:rsidRDefault="008A645F">
      <w:pPr>
        <w:ind w:left="426" w:hanging="426"/>
        <w:jc w:val="both"/>
        <w:rPr>
          <w:rFonts w:ascii="Arial" w:hAnsi="Arial" w:cs="Arial"/>
        </w:rPr>
      </w:pPr>
      <w:r>
        <w:rPr>
          <w:rFonts w:ascii="Arial" w:hAnsi="Arial" w:cs="Arial"/>
        </w:rPr>
        <w:t>d.</w:t>
      </w:r>
      <w:r>
        <w:rPr>
          <w:rFonts w:ascii="Arial" w:hAnsi="Arial" w:cs="Arial"/>
        </w:rPr>
        <w:tab/>
        <w:t>Fecha de la operación;</w:t>
      </w:r>
    </w:p>
    <w:p w14:paraId="3B4048A1" w14:textId="77777777" w:rsidR="00B2442D" w:rsidRDefault="00B2442D">
      <w:pPr>
        <w:ind w:left="426" w:hanging="426"/>
        <w:jc w:val="both"/>
        <w:rPr>
          <w:rFonts w:ascii="Arial" w:hAnsi="Arial" w:cs="Arial"/>
        </w:rPr>
      </w:pPr>
    </w:p>
    <w:p w14:paraId="2C2F0BB3" w14:textId="77777777" w:rsidR="00B2442D" w:rsidRDefault="008A645F">
      <w:pPr>
        <w:ind w:left="426" w:hanging="426"/>
        <w:jc w:val="both"/>
        <w:rPr>
          <w:rFonts w:ascii="Arial" w:hAnsi="Arial" w:cs="Arial"/>
        </w:rPr>
      </w:pPr>
      <w:r>
        <w:rPr>
          <w:rFonts w:ascii="Arial" w:hAnsi="Arial" w:cs="Arial"/>
        </w:rPr>
        <w:t>e.</w:t>
      </w:r>
      <w:r>
        <w:rPr>
          <w:rFonts w:ascii="Arial" w:hAnsi="Arial" w:cs="Arial"/>
        </w:rPr>
        <w:tab/>
        <w:t xml:space="preserve">Concepto; </w:t>
      </w:r>
    </w:p>
    <w:p w14:paraId="23E0A93F" w14:textId="77777777" w:rsidR="00B2442D" w:rsidRDefault="00B2442D">
      <w:pPr>
        <w:ind w:left="426" w:hanging="426"/>
        <w:jc w:val="both"/>
        <w:rPr>
          <w:rFonts w:ascii="Arial" w:hAnsi="Arial" w:cs="Arial"/>
        </w:rPr>
      </w:pPr>
    </w:p>
    <w:p w14:paraId="7CC999D8" w14:textId="77777777" w:rsidR="00B2442D" w:rsidRDefault="008A645F">
      <w:pPr>
        <w:ind w:left="426" w:hanging="426"/>
        <w:jc w:val="both"/>
        <w:rPr>
          <w:rFonts w:ascii="Arial" w:hAnsi="Arial" w:cs="Arial"/>
        </w:rPr>
      </w:pPr>
      <w:r>
        <w:rPr>
          <w:rFonts w:ascii="Arial" w:hAnsi="Arial" w:cs="Arial"/>
        </w:rPr>
        <w:t>f.</w:t>
      </w:r>
      <w:r>
        <w:rPr>
          <w:rFonts w:ascii="Arial" w:hAnsi="Arial" w:cs="Arial"/>
        </w:rPr>
        <w:tab/>
        <w:t>Valor de la operación;</w:t>
      </w:r>
    </w:p>
    <w:p w14:paraId="5D1FEA01" w14:textId="77777777" w:rsidR="00B2442D" w:rsidRDefault="00B2442D">
      <w:pPr>
        <w:ind w:left="426" w:hanging="426"/>
        <w:jc w:val="both"/>
        <w:rPr>
          <w:rFonts w:ascii="Arial" w:hAnsi="Arial" w:cs="Arial"/>
        </w:rPr>
      </w:pPr>
    </w:p>
    <w:p w14:paraId="2C610FFE" w14:textId="77777777" w:rsidR="00B2442D" w:rsidRDefault="008A645F">
      <w:pPr>
        <w:ind w:left="426" w:hanging="426"/>
        <w:jc w:val="both"/>
        <w:rPr>
          <w:rFonts w:ascii="Arial" w:hAnsi="Arial" w:cs="Arial"/>
        </w:rPr>
      </w:pPr>
      <w:r>
        <w:rPr>
          <w:rFonts w:ascii="Arial" w:hAnsi="Arial" w:cs="Arial"/>
        </w:rPr>
        <w:t>g.</w:t>
      </w:r>
      <w:r>
        <w:rPr>
          <w:rFonts w:ascii="Arial" w:hAnsi="Arial" w:cs="Arial"/>
        </w:rPr>
        <w:tab/>
        <w:t>Discriminación del impuesto asumido por el adquirente en la operación;</w:t>
      </w:r>
    </w:p>
    <w:p w14:paraId="22AF3EC5" w14:textId="77777777" w:rsidR="00B2442D" w:rsidRDefault="00B2442D">
      <w:pPr>
        <w:jc w:val="both"/>
        <w:rPr>
          <w:rFonts w:ascii="Arial" w:hAnsi="Arial" w:cs="Arial"/>
        </w:rPr>
      </w:pPr>
    </w:p>
    <w:p w14:paraId="3807C796" w14:textId="77777777" w:rsidR="00B2442D" w:rsidRDefault="008A645F">
      <w:pPr>
        <w:jc w:val="both"/>
        <w:rPr>
          <w:rFonts w:ascii="Arial" w:hAnsi="Arial" w:cs="Arial"/>
          <w:i/>
        </w:rPr>
      </w:pPr>
      <w:r>
        <w:rPr>
          <w:rFonts w:ascii="Arial" w:hAnsi="Arial" w:cs="Arial"/>
        </w:rPr>
        <w:t xml:space="preserve"> </w:t>
      </w:r>
      <w:r>
        <w:rPr>
          <w:rFonts w:ascii="Arial" w:hAnsi="Arial" w:cs="Arial"/>
          <w:i/>
        </w:rPr>
        <w:t>(Art. 3, Decreto 522 de 2003. Literal h) derogado expresamente por el artículo 2 del Decreto 3228</w:t>
      </w:r>
      <w:r>
        <w:rPr>
          <w:rFonts w:ascii="Arial" w:hAnsi="Arial" w:cs="Arial"/>
          <w:i/>
        </w:rPr>
        <w:t xml:space="preserve"> de 2003)</w:t>
      </w:r>
      <w:r>
        <w:rPr>
          <w:rFonts w:ascii="Arial" w:hAnsi="Arial" w:cs="Arial"/>
        </w:rPr>
        <w:t xml:space="preserve"> </w:t>
      </w:r>
      <w:r>
        <w:rPr>
          <w:rFonts w:ascii="Arial" w:hAnsi="Arial" w:cs="Arial"/>
          <w:i/>
        </w:rPr>
        <w:t>(El Decreto 522 de 2003 rige a partir de la fecha de su publicación y deroga los artículos 1° del Decreto 1001 de 1997, 6° del Decreto 3050 de 1997, y las disposiciones que le sean contrarias. Art. 27, Decreto 522 de 2003)</w:t>
      </w:r>
    </w:p>
    <w:p w14:paraId="1D808BED" w14:textId="77777777" w:rsidR="00B2442D" w:rsidRDefault="00B2442D">
      <w:pPr>
        <w:jc w:val="both"/>
        <w:rPr>
          <w:rFonts w:ascii="Arial" w:hAnsi="Arial" w:cs="Arial"/>
        </w:rPr>
      </w:pPr>
    </w:p>
    <w:p w14:paraId="6784D30B" w14:textId="77777777" w:rsidR="00B2442D" w:rsidRDefault="008A645F">
      <w:pPr>
        <w:pStyle w:val="Prrafodelista"/>
        <w:numPr>
          <w:ilvl w:val="0"/>
          <w:numId w:val="106"/>
        </w:numPr>
        <w:ind w:left="0" w:firstLine="0"/>
        <w:jc w:val="both"/>
        <w:rPr>
          <w:rFonts w:ascii="Arial" w:hAnsi="Arial" w:cs="Arial"/>
        </w:rPr>
      </w:pPr>
      <w:r>
        <w:rPr>
          <w:rFonts w:ascii="Arial" w:hAnsi="Arial" w:cs="Arial"/>
          <w:b/>
          <w:i/>
        </w:rPr>
        <w:t xml:space="preserve"> Requisitos de los doc</w:t>
      </w:r>
      <w:r>
        <w:rPr>
          <w:rFonts w:ascii="Arial" w:hAnsi="Arial" w:cs="Arial"/>
          <w:b/>
          <w:i/>
        </w:rPr>
        <w:t>umentos equivalentes a la factura.</w:t>
      </w:r>
      <w:r>
        <w:rPr>
          <w:rFonts w:ascii="Arial" w:hAnsi="Arial" w:cs="Arial"/>
        </w:rPr>
        <w:t xml:space="preserve"> Para efectos de lo previsto en el artículo 64 de la Ley 788 de 2002 que modificó el literal c) del artículo 617 del Estatuto Tributario, cuando los vendedores de bienes o los prestadores de servicios expidan documentos eq</w:t>
      </w:r>
      <w:r>
        <w:rPr>
          <w:rFonts w:ascii="Arial" w:hAnsi="Arial" w:cs="Arial"/>
        </w:rPr>
        <w:t>uivalentes a la factura no será necesario identificar al adquirente por su nombre o razón social y NIT.</w:t>
      </w:r>
    </w:p>
    <w:p w14:paraId="6DA145EE" w14:textId="77777777" w:rsidR="00B2442D" w:rsidRDefault="00B2442D">
      <w:pPr>
        <w:jc w:val="both"/>
        <w:rPr>
          <w:rFonts w:ascii="Arial" w:hAnsi="Arial" w:cs="Arial"/>
        </w:rPr>
      </w:pPr>
    </w:p>
    <w:p w14:paraId="5F049BBE" w14:textId="77777777" w:rsidR="00B2442D" w:rsidRDefault="008A645F">
      <w:pPr>
        <w:jc w:val="both"/>
        <w:rPr>
          <w:rFonts w:ascii="Arial" w:hAnsi="Arial" w:cs="Arial"/>
          <w:i/>
        </w:rPr>
      </w:pPr>
      <w:r>
        <w:rPr>
          <w:rFonts w:ascii="Arial" w:hAnsi="Arial" w:cs="Arial"/>
          <w:i/>
        </w:rPr>
        <w:t>(Art. 4, Decreto 522 de 2003)</w:t>
      </w:r>
      <w:r>
        <w:rPr>
          <w:rFonts w:ascii="Arial" w:hAnsi="Arial" w:cs="Arial"/>
        </w:rPr>
        <w:t xml:space="preserve"> </w:t>
      </w:r>
      <w:r>
        <w:rPr>
          <w:rFonts w:ascii="Arial" w:hAnsi="Arial" w:cs="Arial"/>
          <w:i/>
        </w:rPr>
        <w:t>(El Decreto 522 de 2003 rige a partir de la fecha de su publicación y deroga los artículos 1° del Decreto 1001 de 1997, 6</w:t>
      </w:r>
      <w:r>
        <w:rPr>
          <w:rFonts w:ascii="Arial" w:hAnsi="Arial" w:cs="Arial"/>
          <w:i/>
        </w:rPr>
        <w:t>° del Decreto 3050 de 1997, y las disposiciones que le sean contrarias. Art. 27, Decreto 522 de 2003)</w:t>
      </w:r>
    </w:p>
    <w:p w14:paraId="4ED7B199" w14:textId="77777777" w:rsidR="00B2442D" w:rsidRDefault="00B2442D">
      <w:pPr>
        <w:jc w:val="both"/>
        <w:rPr>
          <w:rFonts w:ascii="Arial" w:hAnsi="Arial" w:cs="Arial"/>
          <w:b/>
          <w:lang w:val="es-CO"/>
        </w:rPr>
      </w:pPr>
    </w:p>
    <w:p w14:paraId="43C511CC"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Comprobante de transacción en bolsas de bienes y productos agropecuarios, agroindustriales y de otros commodities, como documento equivalente a la factu</w:t>
      </w:r>
      <w:r>
        <w:rPr>
          <w:rFonts w:ascii="Arial" w:hAnsi="Arial" w:cs="Arial"/>
          <w:b/>
          <w:i/>
          <w:lang w:val="es-CO"/>
        </w:rPr>
        <w:t>ra.</w:t>
      </w:r>
      <w:r>
        <w:rPr>
          <w:rFonts w:ascii="Arial" w:hAnsi="Arial" w:cs="Arial"/>
          <w:lang w:val="es-CO"/>
        </w:rPr>
        <w:t xml:space="preserve"> Para los efectos de lo previsto en el artículo 615 del Estatuto Tributario, se considera documento equivalente a la factura, respecto de los precios de venta, comisiones y otras remuneraciones por transacciones realizadas a través de Bolsas de producto</w:t>
      </w:r>
      <w:r>
        <w:rPr>
          <w:rFonts w:ascii="Arial" w:hAnsi="Arial" w:cs="Arial"/>
          <w:lang w:val="es-CO"/>
        </w:rPr>
        <w:t xml:space="preserve">s agropecuarios, agroindustriales y de otros </w:t>
      </w:r>
      <w:r>
        <w:rPr>
          <w:rFonts w:ascii="Arial" w:hAnsi="Arial" w:cs="Arial"/>
          <w:i/>
          <w:lang w:val="es-CO"/>
        </w:rPr>
        <w:t>commodities</w:t>
      </w:r>
      <w:r>
        <w:rPr>
          <w:rFonts w:ascii="Arial" w:hAnsi="Arial" w:cs="Arial"/>
          <w:lang w:val="es-CO"/>
        </w:rPr>
        <w:t>, el correspondiente "comprobante de transacción".</w:t>
      </w:r>
    </w:p>
    <w:p w14:paraId="7A48A96E" w14:textId="77777777" w:rsidR="00B2442D" w:rsidRDefault="00B2442D">
      <w:pPr>
        <w:jc w:val="both"/>
        <w:rPr>
          <w:rFonts w:ascii="Arial" w:hAnsi="Arial" w:cs="Arial"/>
          <w:lang w:val="es-CO"/>
        </w:rPr>
      </w:pPr>
    </w:p>
    <w:p w14:paraId="5098D77F" w14:textId="77777777" w:rsidR="00B2442D" w:rsidRDefault="008A645F">
      <w:pPr>
        <w:jc w:val="both"/>
        <w:rPr>
          <w:rFonts w:ascii="Arial" w:hAnsi="Arial" w:cs="Arial"/>
          <w:lang w:val="es-CO"/>
        </w:rPr>
      </w:pPr>
      <w:r>
        <w:rPr>
          <w:rFonts w:ascii="Arial" w:hAnsi="Arial" w:cs="Arial"/>
          <w:lang w:val="es-CO"/>
        </w:rPr>
        <w:t xml:space="preserve">El "comprobante de transacción" deberá indicar el importe del precio, comisión o remuneración de que se trate; el nombre o razón social y NIT de la </w:t>
      </w:r>
      <w:r>
        <w:rPr>
          <w:rFonts w:ascii="Arial" w:hAnsi="Arial" w:cs="Arial"/>
          <w:lang w:val="es-CO"/>
        </w:rPr>
        <w:t>correspondiente Bolsa; el nombre o razón social y NIT de la persona representada por el comisionista, el nombre o razón social y NIT de la sociedad comisionista, y el número y fecha de la operación.</w:t>
      </w:r>
    </w:p>
    <w:p w14:paraId="12900AC4" w14:textId="77777777" w:rsidR="00B2442D" w:rsidRDefault="00B2442D">
      <w:pPr>
        <w:jc w:val="both"/>
        <w:rPr>
          <w:rFonts w:ascii="Arial" w:hAnsi="Arial" w:cs="Arial"/>
          <w:lang w:val="es-CO"/>
        </w:rPr>
      </w:pPr>
    </w:p>
    <w:p w14:paraId="3AF9BCB2" w14:textId="77777777" w:rsidR="00B2442D" w:rsidRDefault="008A645F">
      <w:pPr>
        <w:jc w:val="both"/>
        <w:rPr>
          <w:rFonts w:ascii="Arial" w:hAnsi="Arial" w:cs="Arial"/>
          <w:lang w:val="es-CO"/>
        </w:rPr>
      </w:pPr>
      <w:r>
        <w:rPr>
          <w:rFonts w:ascii="Arial" w:hAnsi="Arial" w:cs="Arial"/>
          <w:lang w:val="es-CO"/>
        </w:rPr>
        <w:t xml:space="preserve">No obstante lo anterior, los interesados podrán </w:t>
      </w:r>
      <w:r>
        <w:rPr>
          <w:rFonts w:ascii="Arial" w:hAnsi="Arial" w:cs="Arial"/>
          <w:lang w:val="es-CO"/>
        </w:rPr>
        <w:t>emitir factura en lugar del documento equivalente, con el cumplimiento de los requisitos previstos en el artículo 617 del Estatuto Tributario.</w:t>
      </w:r>
    </w:p>
    <w:p w14:paraId="19C8DB0C" w14:textId="77777777" w:rsidR="00B2442D" w:rsidRDefault="00B2442D">
      <w:pPr>
        <w:jc w:val="both"/>
        <w:rPr>
          <w:rFonts w:ascii="Arial" w:hAnsi="Arial" w:cs="Arial"/>
          <w:b/>
          <w:lang w:val="es-CO"/>
        </w:rPr>
      </w:pPr>
    </w:p>
    <w:p w14:paraId="498821CB"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relación con las operaciones forward, los vendedores deberán emitir factura, con los requisitos del artículo 617 del Estatuto Tributario, respecto de cada una de las operaciones en que se concrete su ejecución.</w:t>
      </w:r>
    </w:p>
    <w:p w14:paraId="068538B3" w14:textId="77777777" w:rsidR="00B2442D" w:rsidRDefault="00B2442D">
      <w:pPr>
        <w:jc w:val="both"/>
        <w:rPr>
          <w:rFonts w:ascii="Arial" w:hAnsi="Arial" w:cs="Arial"/>
          <w:lang w:val="es-CO"/>
        </w:rPr>
      </w:pPr>
    </w:p>
    <w:p w14:paraId="3FDCD73C" w14:textId="77777777" w:rsidR="00B2442D" w:rsidRDefault="008A645F">
      <w:pPr>
        <w:jc w:val="both"/>
        <w:rPr>
          <w:rFonts w:ascii="Arial" w:hAnsi="Arial" w:cs="Arial"/>
          <w:i/>
          <w:lang w:val="es-CO"/>
        </w:rPr>
      </w:pPr>
      <w:r>
        <w:rPr>
          <w:rFonts w:ascii="Arial" w:hAnsi="Arial" w:cs="Arial"/>
          <w:i/>
          <w:lang w:val="es-CO"/>
        </w:rPr>
        <w:t>(Art. 1, Decreto 2044 de 2007)</w:t>
      </w:r>
    </w:p>
    <w:p w14:paraId="1639F915" w14:textId="77777777" w:rsidR="00B2442D" w:rsidRDefault="00B2442D">
      <w:pPr>
        <w:jc w:val="both"/>
        <w:rPr>
          <w:rFonts w:ascii="Arial" w:hAnsi="Arial" w:cs="Arial"/>
          <w:b/>
        </w:rPr>
      </w:pPr>
    </w:p>
    <w:p w14:paraId="49155DC4"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Requisi</w:t>
      </w:r>
      <w:r>
        <w:rPr>
          <w:rFonts w:ascii="Arial" w:hAnsi="Arial" w:cs="Arial"/>
          <w:b/>
          <w:i/>
          <w:lang w:val="es-CO"/>
        </w:rPr>
        <w:t>tos de la factura para la procedencia de costos, deducciones e impuestos descontables.</w:t>
      </w:r>
      <w:r>
        <w:rPr>
          <w:rFonts w:ascii="Arial" w:hAnsi="Arial" w:cs="Arial"/>
          <w:lang w:val="es-CO"/>
        </w:rPr>
        <w:t xml:space="preserve"> Para la procedencia de los costos y deducciones en el impuesto sobre la renta, así como de los impuestos descontables en el impuesto sobre las ventas, la factura o docum</w:t>
      </w:r>
      <w:r>
        <w:rPr>
          <w:rFonts w:ascii="Arial" w:hAnsi="Arial" w:cs="Arial"/>
          <w:lang w:val="es-CO"/>
        </w:rPr>
        <w:t xml:space="preserve">ento equivalente deberá reunir como mínimo los requisitos contemplados en el artículo 771-2 del Estatuto Tributario. </w:t>
      </w:r>
    </w:p>
    <w:p w14:paraId="53BAF873" w14:textId="77777777" w:rsidR="00B2442D" w:rsidRDefault="008A645F">
      <w:pPr>
        <w:jc w:val="both"/>
        <w:rPr>
          <w:rFonts w:ascii="Arial" w:hAnsi="Arial" w:cs="Arial"/>
          <w:lang w:val="es-CO"/>
        </w:rPr>
      </w:pPr>
      <w:r>
        <w:rPr>
          <w:rFonts w:ascii="Arial" w:hAnsi="Arial" w:cs="Arial"/>
          <w:lang w:val="es-CO"/>
        </w:rPr>
        <w:t xml:space="preserve"> </w:t>
      </w:r>
    </w:p>
    <w:p w14:paraId="46DA4239" w14:textId="77777777" w:rsidR="00B2442D" w:rsidRDefault="008A645F">
      <w:pPr>
        <w:jc w:val="both"/>
        <w:rPr>
          <w:rFonts w:ascii="Arial" w:hAnsi="Arial" w:cs="Arial"/>
          <w:lang w:val="es-CO"/>
        </w:rPr>
      </w:pPr>
      <w:r>
        <w:rPr>
          <w:rFonts w:ascii="Arial" w:hAnsi="Arial" w:cs="Arial"/>
          <w:lang w:val="es-CO"/>
        </w:rPr>
        <w:t>Lo dispuesto en el parágrafo del referido artículo, se entiende sin perjuicio de la obligación para quien expide la factura o documento,</w:t>
      </w:r>
      <w:r>
        <w:rPr>
          <w:rFonts w:ascii="Arial" w:hAnsi="Arial" w:cs="Arial"/>
          <w:lang w:val="es-CO"/>
        </w:rPr>
        <w:t xml:space="preserve"> de hacerlo con el lleno de los requisitos de numeración consecutiva, preimpresión y autorización previa contemplados en las normas vigentes.</w:t>
      </w:r>
    </w:p>
    <w:p w14:paraId="3E2B5482" w14:textId="77777777" w:rsidR="00B2442D" w:rsidRDefault="00B2442D">
      <w:pPr>
        <w:jc w:val="both"/>
        <w:rPr>
          <w:rFonts w:ascii="Arial" w:hAnsi="Arial" w:cs="Arial"/>
          <w:i/>
        </w:rPr>
      </w:pPr>
    </w:p>
    <w:p w14:paraId="1F55C3DD" w14:textId="77777777" w:rsidR="00B2442D" w:rsidRDefault="008A645F">
      <w:pPr>
        <w:jc w:val="both"/>
        <w:rPr>
          <w:rFonts w:ascii="Arial" w:hAnsi="Arial" w:cs="Arial"/>
          <w:i/>
        </w:rPr>
      </w:pPr>
      <w:r>
        <w:rPr>
          <w:rFonts w:ascii="Arial" w:hAnsi="Arial" w:cs="Arial"/>
          <w:i/>
        </w:rPr>
        <w:t>(Art. 2, Decreto 3050 de 1997)</w:t>
      </w:r>
    </w:p>
    <w:p w14:paraId="3847B773" w14:textId="77777777" w:rsidR="00B2442D" w:rsidRDefault="00B2442D">
      <w:pPr>
        <w:jc w:val="both"/>
        <w:rPr>
          <w:rFonts w:ascii="Arial" w:hAnsi="Arial" w:cs="Arial"/>
          <w:lang w:val="es-CO"/>
        </w:rPr>
      </w:pPr>
    </w:p>
    <w:p w14:paraId="3255792A"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Requisitos para la procedencia de costos, deducciones e impuestos descontables p</w:t>
      </w:r>
      <w:r>
        <w:rPr>
          <w:rFonts w:ascii="Arial" w:hAnsi="Arial" w:cs="Arial"/>
          <w:b/>
          <w:i/>
          <w:lang w:val="es-CO"/>
        </w:rPr>
        <w:t>or operaciones realizadas con no obligados a facturar.</w:t>
      </w:r>
      <w:r>
        <w:rPr>
          <w:rFonts w:ascii="Arial" w:hAnsi="Arial" w:cs="Arial"/>
          <w:i/>
          <w:lang w:val="es-CO"/>
        </w:rPr>
        <w:t xml:space="preserve"> </w:t>
      </w:r>
      <w:r>
        <w:rPr>
          <w:rFonts w:ascii="Arial" w:hAnsi="Arial" w:cs="Arial"/>
          <w:lang w:val="es-CO"/>
        </w:rPr>
        <w:t>De conformidad con lo estipulado en el inciso 3° del artículo 771-2 del Estatuto Tributario, el documento soporte para la procedencia de costos, deducciones e impuestos descontables por operaciones rea</w:t>
      </w:r>
      <w:r>
        <w:rPr>
          <w:rFonts w:ascii="Arial" w:hAnsi="Arial" w:cs="Arial"/>
          <w:lang w:val="es-CO"/>
        </w:rPr>
        <w:t xml:space="preserve">lizadas con personas no obligadas a expedir facturas o documento equivalente, será el expedido por el vendedor o por el adquirente del bien y/o servicio, y deberá reunir los siguientes requisitos: </w:t>
      </w:r>
    </w:p>
    <w:p w14:paraId="1416178D" w14:textId="77777777" w:rsidR="00B2442D" w:rsidRDefault="008A645F">
      <w:pPr>
        <w:jc w:val="both"/>
        <w:rPr>
          <w:rFonts w:ascii="Arial" w:hAnsi="Arial" w:cs="Arial"/>
          <w:lang w:val="es-CO"/>
        </w:rPr>
      </w:pPr>
      <w:r>
        <w:rPr>
          <w:rFonts w:ascii="Arial" w:hAnsi="Arial" w:cs="Arial"/>
          <w:lang w:val="es-CO"/>
        </w:rPr>
        <w:t xml:space="preserve"> </w:t>
      </w:r>
    </w:p>
    <w:p w14:paraId="2E924727" w14:textId="77777777" w:rsidR="00B2442D" w:rsidRDefault="008A645F">
      <w:pPr>
        <w:ind w:left="284" w:hanging="284"/>
        <w:jc w:val="both"/>
        <w:rPr>
          <w:rFonts w:ascii="Arial" w:hAnsi="Arial" w:cs="Arial"/>
          <w:lang w:val="es-CO"/>
        </w:rPr>
      </w:pPr>
      <w:r>
        <w:rPr>
          <w:rFonts w:ascii="Arial" w:hAnsi="Arial" w:cs="Arial"/>
          <w:lang w:val="es-CO"/>
        </w:rPr>
        <w:t>1. Apellidos y nombre o razón social y NIT de la persona</w:t>
      </w:r>
      <w:r>
        <w:rPr>
          <w:rFonts w:ascii="Arial" w:hAnsi="Arial" w:cs="Arial"/>
          <w:lang w:val="es-CO"/>
        </w:rPr>
        <w:t xml:space="preserve"> o entidad beneficiaria del pago o abono. </w:t>
      </w:r>
    </w:p>
    <w:p w14:paraId="3CC06F39" w14:textId="77777777" w:rsidR="00B2442D" w:rsidRDefault="008A645F">
      <w:pPr>
        <w:ind w:left="284" w:hanging="284"/>
        <w:jc w:val="both"/>
        <w:rPr>
          <w:rFonts w:ascii="Arial" w:hAnsi="Arial" w:cs="Arial"/>
          <w:lang w:val="es-CO"/>
        </w:rPr>
      </w:pPr>
      <w:r>
        <w:rPr>
          <w:rFonts w:ascii="Arial" w:hAnsi="Arial" w:cs="Arial"/>
          <w:lang w:val="es-CO"/>
        </w:rPr>
        <w:t xml:space="preserve">2. Fecha de la transacción </w:t>
      </w:r>
    </w:p>
    <w:p w14:paraId="3D779F32" w14:textId="77777777" w:rsidR="00B2442D" w:rsidRDefault="008A645F">
      <w:pPr>
        <w:ind w:left="284" w:hanging="284"/>
        <w:jc w:val="both"/>
        <w:rPr>
          <w:rFonts w:ascii="Arial" w:hAnsi="Arial" w:cs="Arial"/>
          <w:lang w:val="es-CO"/>
        </w:rPr>
      </w:pPr>
      <w:r>
        <w:rPr>
          <w:rFonts w:ascii="Arial" w:hAnsi="Arial" w:cs="Arial"/>
          <w:lang w:val="es-CO"/>
        </w:rPr>
        <w:t xml:space="preserve">3. Concepto </w:t>
      </w:r>
    </w:p>
    <w:p w14:paraId="31231190" w14:textId="77777777" w:rsidR="00B2442D" w:rsidRDefault="008A645F">
      <w:pPr>
        <w:ind w:left="284" w:hanging="284"/>
        <w:jc w:val="both"/>
        <w:rPr>
          <w:rFonts w:ascii="Arial" w:hAnsi="Arial" w:cs="Arial"/>
          <w:lang w:val="es-CO"/>
        </w:rPr>
      </w:pPr>
      <w:r>
        <w:rPr>
          <w:rFonts w:ascii="Arial" w:hAnsi="Arial" w:cs="Arial"/>
          <w:lang w:val="es-CO"/>
        </w:rPr>
        <w:t xml:space="preserve">4. Valor de la operación </w:t>
      </w:r>
    </w:p>
    <w:p w14:paraId="29659755" w14:textId="77777777" w:rsidR="00B2442D" w:rsidRDefault="008A645F">
      <w:pPr>
        <w:ind w:left="284" w:hanging="284"/>
        <w:jc w:val="both"/>
        <w:rPr>
          <w:rFonts w:ascii="Arial" w:hAnsi="Arial" w:cs="Arial"/>
          <w:lang w:val="es-CO"/>
        </w:rPr>
      </w:pPr>
      <w:r>
        <w:rPr>
          <w:rFonts w:ascii="Arial" w:hAnsi="Arial" w:cs="Arial"/>
          <w:lang w:val="es-CO"/>
        </w:rPr>
        <w:t xml:space="preserve">5. La discriminación del impuesto generado en la operación, para el caso del impuesto sobre las ventas descontable. </w:t>
      </w:r>
    </w:p>
    <w:p w14:paraId="396B5F70" w14:textId="77777777" w:rsidR="00B2442D" w:rsidRDefault="008A645F">
      <w:pPr>
        <w:jc w:val="both"/>
        <w:rPr>
          <w:rFonts w:ascii="Arial" w:hAnsi="Arial" w:cs="Arial"/>
          <w:lang w:val="es-CO"/>
        </w:rPr>
      </w:pPr>
      <w:r>
        <w:rPr>
          <w:rFonts w:ascii="Arial" w:hAnsi="Arial" w:cs="Arial"/>
          <w:lang w:val="es-CO"/>
        </w:rPr>
        <w:t xml:space="preserve"> </w:t>
      </w:r>
    </w:p>
    <w:p w14:paraId="67391112" w14:textId="77777777" w:rsidR="00B2442D" w:rsidRDefault="008A645F">
      <w:pPr>
        <w:jc w:val="both"/>
        <w:rPr>
          <w:rFonts w:ascii="Arial" w:hAnsi="Arial" w:cs="Arial"/>
          <w:lang w:val="es-CO"/>
        </w:rPr>
      </w:pPr>
      <w:r>
        <w:rPr>
          <w:rFonts w:ascii="Arial" w:hAnsi="Arial" w:cs="Arial"/>
          <w:lang w:val="es-CO"/>
        </w:rPr>
        <w:t>Lo dispuesto en el presente</w:t>
      </w:r>
      <w:r>
        <w:rPr>
          <w:rFonts w:ascii="Arial" w:hAnsi="Arial" w:cs="Arial"/>
          <w:lang w:val="es-CO"/>
        </w:rPr>
        <w:t xml:space="preserve"> artículo no será aplicable para la procedencia de los costos, deducciones e impuestos descontables correspondientes a la retención asumida en operaciones realizadas con responsables del impuesto sobre las ventas del régimen simplificado. </w:t>
      </w:r>
    </w:p>
    <w:p w14:paraId="1350C106" w14:textId="77777777" w:rsidR="00B2442D" w:rsidRDefault="00B2442D">
      <w:pPr>
        <w:jc w:val="both"/>
        <w:rPr>
          <w:rFonts w:ascii="Arial" w:hAnsi="Arial" w:cs="Arial"/>
          <w:i/>
        </w:rPr>
      </w:pPr>
    </w:p>
    <w:p w14:paraId="1C09C2B9" w14:textId="77777777" w:rsidR="00B2442D" w:rsidRDefault="008A645F">
      <w:pPr>
        <w:jc w:val="both"/>
        <w:rPr>
          <w:rFonts w:ascii="Arial" w:hAnsi="Arial" w:cs="Arial"/>
          <w:i/>
        </w:rPr>
      </w:pPr>
      <w:r>
        <w:rPr>
          <w:rFonts w:ascii="Arial" w:hAnsi="Arial" w:cs="Arial"/>
          <w:i/>
        </w:rPr>
        <w:t>(Art. 3, Decret</w:t>
      </w:r>
      <w:r>
        <w:rPr>
          <w:rFonts w:ascii="Arial" w:hAnsi="Arial" w:cs="Arial"/>
          <w:i/>
        </w:rPr>
        <w:t>o 3050 de 1997, parágrafo tiene decaimiento, teniendo en cuenta la exclusión del IVA realizada por el artículo 52 de la Ley 1607 de 2012)</w:t>
      </w:r>
    </w:p>
    <w:p w14:paraId="3D7FE7E2" w14:textId="77777777" w:rsidR="00B2442D" w:rsidRDefault="00B2442D">
      <w:pPr>
        <w:jc w:val="both"/>
        <w:rPr>
          <w:rFonts w:ascii="Arial" w:hAnsi="Arial" w:cs="Arial"/>
        </w:rPr>
      </w:pPr>
    </w:p>
    <w:p w14:paraId="6EEF972D"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Documentos equivalentes a la factura.</w:t>
      </w:r>
      <w:r>
        <w:rPr>
          <w:rFonts w:ascii="Arial" w:hAnsi="Arial" w:cs="Arial"/>
          <w:lang w:val="es-CO"/>
        </w:rPr>
        <w:t xml:space="preserve"> Además de los contemplados en otras disposiciones, constituyen documentos equi</w:t>
      </w:r>
      <w:r>
        <w:rPr>
          <w:rFonts w:ascii="Arial" w:hAnsi="Arial" w:cs="Arial"/>
          <w:lang w:val="es-CO"/>
        </w:rPr>
        <w:t xml:space="preserve">valentes a la factura los siguientes: </w:t>
      </w:r>
    </w:p>
    <w:p w14:paraId="78877D86" w14:textId="77777777" w:rsidR="00B2442D" w:rsidRDefault="008A645F">
      <w:pPr>
        <w:jc w:val="both"/>
        <w:rPr>
          <w:rFonts w:ascii="Arial" w:hAnsi="Arial" w:cs="Arial"/>
          <w:lang w:val="es-CO"/>
        </w:rPr>
      </w:pPr>
      <w:r>
        <w:rPr>
          <w:rFonts w:ascii="Arial" w:hAnsi="Arial" w:cs="Arial"/>
          <w:lang w:val="es-CO"/>
        </w:rPr>
        <w:t xml:space="preserve"> </w:t>
      </w:r>
    </w:p>
    <w:p w14:paraId="00E77857" w14:textId="77777777" w:rsidR="00B2442D" w:rsidRDefault="008A645F">
      <w:pPr>
        <w:ind w:left="284" w:hanging="284"/>
        <w:jc w:val="both"/>
        <w:rPr>
          <w:rFonts w:ascii="Arial" w:hAnsi="Arial" w:cs="Arial"/>
          <w:lang w:val="es-CO"/>
        </w:rPr>
      </w:pPr>
      <w:r>
        <w:rPr>
          <w:rFonts w:ascii="Arial" w:hAnsi="Arial" w:cs="Arial"/>
          <w:lang w:val="es-CO"/>
        </w:rPr>
        <w:t xml:space="preserve">1. Los expedidos para el cobro de peajes, siempre y cuando reúnan los requisitos previstos en el artículo 1.6.1.4.39 del presente Decreto. </w:t>
      </w:r>
    </w:p>
    <w:p w14:paraId="4B00626B" w14:textId="77777777" w:rsidR="00B2442D" w:rsidRDefault="008A645F">
      <w:pPr>
        <w:ind w:left="284" w:hanging="284"/>
        <w:jc w:val="both"/>
        <w:rPr>
          <w:rFonts w:ascii="Arial" w:hAnsi="Arial" w:cs="Arial"/>
          <w:lang w:val="es-CO"/>
        </w:rPr>
      </w:pPr>
      <w:r>
        <w:rPr>
          <w:rFonts w:ascii="Arial" w:hAnsi="Arial" w:cs="Arial"/>
          <w:lang w:val="es-CO"/>
        </w:rPr>
        <w:t xml:space="preserve"> </w:t>
      </w:r>
    </w:p>
    <w:p w14:paraId="68CC8148" w14:textId="77777777" w:rsidR="00B2442D" w:rsidRDefault="008A645F">
      <w:pPr>
        <w:ind w:left="284" w:hanging="284"/>
        <w:jc w:val="both"/>
        <w:rPr>
          <w:rFonts w:ascii="Arial" w:hAnsi="Arial" w:cs="Arial"/>
          <w:lang w:val="es-CO"/>
        </w:rPr>
      </w:pPr>
      <w:r>
        <w:rPr>
          <w:rFonts w:ascii="Arial" w:hAnsi="Arial" w:cs="Arial"/>
          <w:lang w:val="es-CO"/>
        </w:rPr>
        <w:t xml:space="preserve">2. Los contratos celebrados con extranjeros sin residencia o domicilio en el país, en cuyo caso, para la </w:t>
      </w:r>
      <w:r>
        <w:rPr>
          <w:rFonts w:ascii="Arial" w:hAnsi="Arial" w:cs="Arial"/>
          <w:lang w:val="es-CO"/>
        </w:rPr>
        <w:t>procedencia del IVA descontable se deberá acreditar, adicionalmente, que se ha practicado la respectiva retención en la fuente.</w:t>
      </w:r>
    </w:p>
    <w:p w14:paraId="0888875E" w14:textId="77777777" w:rsidR="00B2442D" w:rsidRDefault="00B2442D">
      <w:pPr>
        <w:jc w:val="both"/>
        <w:rPr>
          <w:rFonts w:ascii="Arial" w:hAnsi="Arial" w:cs="Arial"/>
          <w:i/>
        </w:rPr>
      </w:pPr>
    </w:p>
    <w:p w14:paraId="78BDDD50" w14:textId="77777777" w:rsidR="00B2442D" w:rsidRDefault="008A645F">
      <w:pPr>
        <w:jc w:val="both"/>
        <w:rPr>
          <w:rFonts w:ascii="Arial" w:hAnsi="Arial" w:cs="Arial"/>
          <w:i/>
        </w:rPr>
      </w:pPr>
      <w:r>
        <w:rPr>
          <w:rFonts w:ascii="Arial" w:hAnsi="Arial" w:cs="Arial"/>
          <w:i/>
        </w:rPr>
        <w:t>(Art. 5, Decreto 3050 de 1997)</w:t>
      </w:r>
    </w:p>
    <w:p w14:paraId="26E040CC" w14:textId="77777777" w:rsidR="00B2442D" w:rsidRDefault="00B2442D">
      <w:pPr>
        <w:jc w:val="both"/>
        <w:rPr>
          <w:rFonts w:ascii="Arial" w:hAnsi="Arial" w:cs="Arial"/>
          <w:lang w:val="es-CO"/>
        </w:rPr>
      </w:pPr>
    </w:p>
    <w:p w14:paraId="042299F8"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Coexistencia de facturas y tiquetes de máquina registradora.</w:t>
      </w:r>
      <w:r>
        <w:rPr>
          <w:rFonts w:ascii="Arial" w:hAnsi="Arial" w:cs="Arial"/>
          <w:lang w:val="es-CO"/>
        </w:rPr>
        <w:t xml:space="preserve"> En el caso de contribuyentes que </w:t>
      </w:r>
      <w:r>
        <w:rPr>
          <w:rFonts w:ascii="Arial" w:hAnsi="Arial" w:cs="Arial"/>
          <w:lang w:val="es-CO"/>
        </w:rPr>
        <w:t>utilizan el mecanismo de máquinas registradoras para facturar sus operaciones, se podrá aceptar la coexistencia de la factura y del tiquete de máquina registradora sobre una misma operación, cuando se trate de bienes gravados con el impuesto sobre las vent</w:t>
      </w:r>
      <w:r>
        <w:rPr>
          <w:rFonts w:ascii="Arial" w:hAnsi="Arial" w:cs="Arial"/>
          <w:lang w:val="es-CO"/>
        </w:rPr>
        <w:t>as y el adquirente exija la expedición de factura con la discriminación del impuesto sobre las ventas por tratarse de un responsable con derecho al correspondiente descuento. En la contabilidad del vendedor se efectuará la respectiva conciliación y en la f</w:t>
      </w:r>
      <w:r>
        <w:rPr>
          <w:rFonts w:ascii="Arial" w:hAnsi="Arial" w:cs="Arial"/>
          <w:lang w:val="es-CO"/>
        </w:rPr>
        <w:t>actura deberá identificarse el número consecutivo registrado en el respectivo tiquete.</w:t>
      </w:r>
    </w:p>
    <w:p w14:paraId="3E7979FD" w14:textId="77777777" w:rsidR="00B2442D" w:rsidRDefault="00B2442D">
      <w:pPr>
        <w:jc w:val="both"/>
        <w:rPr>
          <w:rFonts w:ascii="Arial" w:hAnsi="Arial" w:cs="Arial"/>
          <w:i/>
        </w:rPr>
      </w:pPr>
    </w:p>
    <w:p w14:paraId="5549AFE8" w14:textId="77777777" w:rsidR="00B2442D" w:rsidRDefault="008A645F">
      <w:pPr>
        <w:jc w:val="both"/>
        <w:rPr>
          <w:rFonts w:ascii="Arial" w:hAnsi="Arial" w:cs="Arial"/>
          <w:i/>
        </w:rPr>
      </w:pPr>
      <w:r>
        <w:rPr>
          <w:rFonts w:ascii="Arial" w:hAnsi="Arial" w:cs="Arial"/>
          <w:i/>
        </w:rPr>
        <w:t>(Art. 7, Decreto 3050 de 1997)</w:t>
      </w:r>
    </w:p>
    <w:p w14:paraId="06EE3EB0" w14:textId="77777777" w:rsidR="00B2442D" w:rsidRDefault="00B2442D">
      <w:pPr>
        <w:jc w:val="both"/>
        <w:rPr>
          <w:rFonts w:ascii="Arial" w:hAnsi="Arial" w:cs="Arial"/>
          <w:lang w:val="es-CO"/>
        </w:rPr>
      </w:pPr>
    </w:p>
    <w:p w14:paraId="7CE78C86"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Procedencia de costos, gastos o impuestos descontables por servicios públicos domiciliarios.</w:t>
      </w:r>
      <w:r>
        <w:rPr>
          <w:rFonts w:ascii="Arial" w:hAnsi="Arial" w:cs="Arial"/>
          <w:lang w:val="es-CO"/>
        </w:rPr>
        <w:t xml:space="preserve"> En el caso de los servicios públicos domic</w:t>
      </w:r>
      <w:r>
        <w:rPr>
          <w:rFonts w:ascii="Arial" w:hAnsi="Arial" w:cs="Arial"/>
          <w:lang w:val="es-CO"/>
        </w:rPr>
        <w:t xml:space="preserve">iliarios, para la procedencia del costo, la deducción o el descuento del impuesto sobre las ventas, no es necesario que en la factura figure el nombre del propietario o del arrendatario que solicita el costo, el gasto o el impuesto descontable. </w:t>
      </w:r>
    </w:p>
    <w:p w14:paraId="5A06DF6C" w14:textId="77777777" w:rsidR="00B2442D" w:rsidRDefault="008A645F">
      <w:pPr>
        <w:jc w:val="both"/>
        <w:rPr>
          <w:rFonts w:ascii="Arial" w:hAnsi="Arial" w:cs="Arial"/>
          <w:lang w:val="es-CO"/>
        </w:rPr>
      </w:pPr>
      <w:r>
        <w:rPr>
          <w:rFonts w:ascii="Arial" w:hAnsi="Arial" w:cs="Arial"/>
          <w:lang w:val="es-CO"/>
        </w:rPr>
        <w:t xml:space="preserve"> </w:t>
      </w:r>
    </w:p>
    <w:p w14:paraId="54B61E0E" w14:textId="77777777" w:rsidR="00B2442D" w:rsidRDefault="008A645F">
      <w:pPr>
        <w:jc w:val="both"/>
        <w:rPr>
          <w:rFonts w:ascii="Arial" w:hAnsi="Arial" w:cs="Arial"/>
          <w:lang w:val="es-CO"/>
        </w:rPr>
      </w:pPr>
      <w:r>
        <w:rPr>
          <w:rFonts w:ascii="Arial" w:hAnsi="Arial" w:cs="Arial"/>
          <w:lang w:val="es-CO"/>
        </w:rPr>
        <w:t>Para tal</w:t>
      </w:r>
      <w:r>
        <w:rPr>
          <w:rFonts w:ascii="Arial" w:hAnsi="Arial" w:cs="Arial"/>
          <w:lang w:val="es-CO"/>
        </w:rPr>
        <w:t xml:space="preserve"> efecto, bastará que se acredite la calidad de propietario o de arrendatario, obligado al pago de los respectivos servicios públicos domiciliarios. En estos casos, el costo, la deducción o el impuesto descontable no podrán ser solicitados por el tercero qu</w:t>
      </w:r>
      <w:r>
        <w:rPr>
          <w:rFonts w:ascii="Arial" w:hAnsi="Arial" w:cs="Arial"/>
          <w:lang w:val="es-CO"/>
        </w:rPr>
        <w:t>e figura en la factura.</w:t>
      </w:r>
    </w:p>
    <w:p w14:paraId="69ABE789" w14:textId="77777777" w:rsidR="00B2442D" w:rsidRDefault="00B2442D">
      <w:pPr>
        <w:jc w:val="both"/>
        <w:rPr>
          <w:rFonts w:ascii="Arial" w:hAnsi="Arial" w:cs="Arial"/>
          <w:i/>
        </w:rPr>
      </w:pPr>
    </w:p>
    <w:p w14:paraId="02DE548E" w14:textId="77777777" w:rsidR="00B2442D" w:rsidRDefault="008A645F">
      <w:pPr>
        <w:jc w:val="both"/>
        <w:rPr>
          <w:rFonts w:ascii="Arial" w:hAnsi="Arial" w:cs="Arial"/>
          <w:i/>
        </w:rPr>
      </w:pPr>
      <w:r>
        <w:rPr>
          <w:rFonts w:ascii="Arial" w:hAnsi="Arial" w:cs="Arial"/>
          <w:i/>
        </w:rPr>
        <w:t>(Art. 4, Decreto 3050 de 1997)</w:t>
      </w:r>
    </w:p>
    <w:p w14:paraId="265E80A3" w14:textId="77777777" w:rsidR="00B2442D" w:rsidRDefault="00B2442D">
      <w:pPr>
        <w:jc w:val="both"/>
        <w:rPr>
          <w:rFonts w:ascii="Arial" w:hAnsi="Arial" w:cs="Arial"/>
          <w:i/>
        </w:rPr>
      </w:pPr>
    </w:p>
    <w:p w14:paraId="1279B7C6"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Documento equivalente para comisionistas de Bolsas de Valores.</w:t>
      </w:r>
      <w:r>
        <w:rPr>
          <w:rFonts w:ascii="Arial" w:hAnsi="Arial" w:cs="Arial"/>
          <w:lang w:val="es-CO"/>
        </w:rPr>
        <w:t xml:space="preserve"> Tratándose de la obligación de facturar a cargo de las sociedades comisionistas de Bolsa, por concepto de comisiones originadas en opera</w:t>
      </w:r>
      <w:r>
        <w:rPr>
          <w:rFonts w:ascii="Arial" w:hAnsi="Arial" w:cs="Arial"/>
          <w:lang w:val="es-CO"/>
        </w:rPr>
        <w:t>ciones realizadas a través de una Bolsa de Valores, constituye documento equivalente a la factura, el comprobante de liquidación en Bolsa, expedido de conformidad con las disposiciones de la Superintendencia Financiera de Colombia, donde se indique el valo</w:t>
      </w:r>
      <w:r>
        <w:rPr>
          <w:rFonts w:ascii="Arial" w:hAnsi="Arial" w:cs="Arial"/>
          <w:lang w:val="es-CO"/>
        </w:rPr>
        <w:t>r de la comisión, el nombre o razón social y NIT de la Bolsa de Valores que lo expide, el nombre o razón social de la persona representada por el comisionista, el nombre o razón social y NIT de la sociedad comisionista, el número y fecha de la operación.</w:t>
      </w:r>
    </w:p>
    <w:p w14:paraId="628BE724" w14:textId="77777777" w:rsidR="00B2442D" w:rsidRDefault="00B2442D">
      <w:pPr>
        <w:jc w:val="both"/>
        <w:rPr>
          <w:rFonts w:ascii="Arial" w:hAnsi="Arial" w:cs="Arial"/>
          <w:i/>
          <w:lang w:val="es-CO"/>
        </w:rPr>
      </w:pPr>
    </w:p>
    <w:p w14:paraId="2C2F4378" w14:textId="77777777" w:rsidR="00B2442D" w:rsidRDefault="008A645F">
      <w:pPr>
        <w:jc w:val="both"/>
        <w:rPr>
          <w:rFonts w:ascii="Arial" w:hAnsi="Arial" w:cs="Arial"/>
          <w:i/>
          <w:lang w:val="es-CO"/>
        </w:rPr>
      </w:pPr>
      <w:r>
        <w:rPr>
          <w:rFonts w:ascii="Arial" w:hAnsi="Arial" w:cs="Arial"/>
          <w:i/>
          <w:lang w:val="es-CO"/>
        </w:rPr>
        <w:t>(Art. 2, Decreto 1514 de 1998) (El Decreto 1514 de 1998 rige a partir de le fecha de su publicación y deroga el Decreto 847 de 1996, el artículo 10 del Decreto 1001 de 1997, el último inciso del artículo 29 del Decreto 3050 de 1997 y las demás disposicione</w:t>
      </w:r>
      <w:r>
        <w:rPr>
          <w:rFonts w:ascii="Arial" w:hAnsi="Arial" w:cs="Arial"/>
          <w:i/>
          <w:lang w:val="es-CO"/>
        </w:rPr>
        <w:t>s que le sean contrarias. Art. 18, Decreto 1514 de 1998)</w:t>
      </w:r>
    </w:p>
    <w:p w14:paraId="2C3C21F2" w14:textId="77777777" w:rsidR="00B2442D" w:rsidRDefault="00B2442D">
      <w:pPr>
        <w:jc w:val="both"/>
        <w:rPr>
          <w:rFonts w:ascii="Arial" w:hAnsi="Arial" w:cs="Arial"/>
          <w:lang w:val="es-CO"/>
        </w:rPr>
      </w:pPr>
    </w:p>
    <w:p w14:paraId="19EF021B"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Documento equivalente a la factura.</w:t>
      </w:r>
      <w:r>
        <w:rPr>
          <w:rFonts w:ascii="Arial" w:hAnsi="Arial" w:cs="Arial"/>
          <w:lang w:val="es-CO"/>
        </w:rPr>
        <w:t xml:space="preserve"> Se considera documento equivalente a la factura el comprobante para liquidación que transmita la Cámara de Riesgo Central de Contraparte para la liquidación de l</w:t>
      </w:r>
      <w:r>
        <w:rPr>
          <w:rFonts w:ascii="Arial" w:hAnsi="Arial" w:cs="Arial"/>
          <w:lang w:val="es-CO"/>
        </w:rPr>
        <w:t>a posición neta de los miembros o contrapartes liquidadores o no liquidadores. Los requisitos de este comprobante. Con tal fin, son:</w:t>
      </w:r>
    </w:p>
    <w:p w14:paraId="01307A56" w14:textId="77777777" w:rsidR="00B2442D" w:rsidRDefault="00B2442D">
      <w:pPr>
        <w:jc w:val="both"/>
        <w:rPr>
          <w:rFonts w:ascii="Arial" w:hAnsi="Arial" w:cs="Arial"/>
          <w:lang w:val="es-CO"/>
        </w:rPr>
      </w:pPr>
    </w:p>
    <w:p w14:paraId="3BD1F562"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Nombre o razón social y NIT de la Cámara de Riesgo Central de Contraparte;</w:t>
      </w:r>
    </w:p>
    <w:p w14:paraId="00BF76AA"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Número consecutivo de la transacción;</w:t>
      </w:r>
    </w:p>
    <w:p w14:paraId="4C381054"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r>
      <w:r>
        <w:rPr>
          <w:rFonts w:ascii="Arial" w:hAnsi="Arial" w:cs="Arial"/>
          <w:lang w:val="es-CO"/>
        </w:rPr>
        <w:t>Fecha de la operación;</w:t>
      </w:r>
    </w:p>
    <w:p w14:paraId="1DD745AE"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Descripción de los servicios prestados;</w:t>
      </w:r>
    </w:p>
    <w:p w14:paraId="6698D703"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Valor de la remuneración a favor de la Cámara de Riesgo Central de Contraparte.</w:t>
      </w:r>
    </w:p>
    <w:p w14:paraId="107D6DC7" w14:textId="77777777" w:rsidR="00B2442D" w:rsidRDefault="00B2442D">
      <w:pPr>
        <w:jc w:val="both"/>
        <w:rPr>
          <w:rFonts w:ascii="Arial" w:hAnsi="Arial" w:cs="Arial"/>
          <w:lang w:val="es-CO"/>
        </w:rPr>
      </w:pPr>
    </w:p>
    <w:p w14:paraId="36E91D0C" w14:textId="77777777" w:rsidR="00B2442D" w:rsidRDefault="008A645F">
      <w:pPr>
        <w:jc w:val="both"/>
        <w:rPr>
          <w:rFonts w:ascii="Arial" w:hAnsi="Arial" w:cs="Arial"/>
          <w:lang w:val="es-CO"/>
        </w:rPr>
      </w:pPr>
      <w:r>
        <w:rPr>
          <w:rFonts w:ascii="Arial" w:hAnsi="Arial" w:cs="Arial"/>
          <w:lang w:val="es-CO"/>
        </w:rPr>
        <w:t xml:space="preserve">Los archivos de este documento equivalente deberán conservarse para ser exhibidos cuando la </w:t>
      </w:r>
      <w:r>
        <w:rPr>
          <w:rFonts w:ascii="Arial" w:hAnsi="Arial" w:cs="Arial"/>
          <w:lang w:val="es-CO"/>
        </w:rPr>
        <w:t>Administración Tributaria los requiera.</w:t>
      </w:r>
    </w:p>
    <w:p w14:paraId="280C2037" w14:textId="77777777" w:rsidR="00B2442D" w:rsidRDefault="00B2442D">
      <w:pPr>
        <w:jc w:val="both"/>
        <w:rPr>
          <w:rFonts w:ascii="Arial" w:hAnsi="Arial" w:cs="Arial"/>
          <w:lang w:val="es-CO"/>
        </w:rPr>
      </w:pPr>
    </w:p>
    <w:p w14:paraId="743CA31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Será responsabilidad de cada miembro o contraparte de las Cámaras de Riesgo Central de Contraparte, el expedir la respectiva factura a sus clientes o terceros, según corresponda.</w:t>
      </w:r>
    </w:p>
    <w:p w14:paraId="554888C8" w14:textId="77777777" w:rsidR="00B2442D" w:rsidRDefault="00B2442D">
      <w:pPr>
        <w:jc w:val="both"/>
        <w:rPr>
          <w:rFonts w:ascii="Arial" w:hAnsi="Arial" w:cs="Arial"/>
          <w:lang w:val="es-CO"/>
        </w:rPr>
      </w:pPr>
    </w:p>
    <w:p w14:paraId="5AB4571E" w14:textId="77777777" w:rsidR="00B2442D" w:rsidRDefault="008A645F">
      <w:pPr>
        <w:jc w:val="both"/>
        <w:rPr>
          <w:rFonts w:ascii="Arial" w:hAnsi="Arial" w:cs="Arial"/>
          <w:i/>
          <w:lang w:val="es-CO"/>
        </w:rPr>
      </w:pPr>
      <w:r>
        <w:rPr>
          <w:rFonts w:ascii="Arial" w:hAnsi="Arial" w:cs="Arial"/>
          <w:i/>
          <w:lang w:val="es-CO"/>
        </w:rPr>
        <w:t>(Art. 13, Decreto 1797 d</w:t>
      </w:r>
      <w:r>
        <w:rPr>
          <w:rFonts w:ascii="Arial" w:hAnsi="Arial" w:cs="Arial"/>
          <w:i/>
          <w:lang w:val="es-CO"/>
        </w:rPr>
        <w:t>e 2008)</w:t>
      </w:r>
    </w:p>
    <w:p w14:paraId="537EFA68" w14:textId="77777777" w:rsidR="00B2442D" w:rsidRDefault="00B2442D">
      <w:pPr>
        <w:jc w:val="both"/>
        <w:rPr>
          <w:rFonts w:ascii="Arial" w:hAnsi="Arial" w:cs="Arial"/>
          <w:lang w:val="es-CO"/>
        </w:rPr>
      </w:pPr>
    </w:p>
    <w:p w14:paraId="49593FD2"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Sistema Técnico de Control Tarjeta Fiscal. </w:t>
      </w:r>
      <w:r>
        <w:rPr>
          <w:rFonts w:ascii="Arial" w:hAnsi="Arial" w:cs="Arial"/>
          <w:lang w:val="es-CO"/>
        </w:rPr>
        <w:t xml:space="preserve">Implantase el Sistema Técnico de Control Tarjeta Fiscal, como un instrumento que permite controlar la evasión y tiene como efecto mejorar los niveles de recaudo de los impuestos, dirigido a las personas </w:t>
      </w:r>
      <w:r>
        <w:rPr>
          <w:rFonts w:ascii="Arial" w:hAnsi="Arial" w:cs="Arial"/>
          <w:lang w:val="es-CO"/>
        </w:rPr>
        <w:t>o entidades, contribuyentes o responsables, que se encuentren obligados a expedir factura o documento equivalente.</w:t>
      </w:r>
    </w:p>
    <w:p w14:paraId="7FF24589" w14:textId="77777777" w:rsidR="00B2442D" w:rsidRDefault="00B2442D">
      <w:pPr>
        <w:jc w:val="both"/>
        <w:rPr>
          <w:rFonts w:ascii="Arial" w:hAnsi="Arial" w:cs="Arial"/>
          <w:lang w:val="es-CO"/>
        </w:rPr>
      </w:pPr>
    </w:p>
    <w:p w14:paraId="0C62885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No estarán obligados a adoptar el Sistema Técnico de Control Tarjeta Fiscal, aquellos contribuyentes que opten por el esquema de </w:t>
      </w:r>
      <w:r>
        <w:rPr>
          <w:rFonts w:ascii="Arial" w:hAnsi="Arial" w:cs="Arial"/>
          <w:lang w:val="es-CO"/>
        </w:rPr>
        <w:t>facturación electrónica, de conformidad con los artículos 1.6.1.4.13 a 1.6.1.4.23 del presente Decreto.</w:t>
      </w:r>
    </w:p>
    <w:p w14:paraId="3B1536EA" w14:textId="77777777" w:rsidR="00B2442D" w:rsidRDefault="00B2442D">
      <w:pPr>
        <w:jc w:val="both"/>
        <w:rPr>
          <w:rFonts w:ascii="Arial" w:hAnsi="Arial" w:cs="Arial"/>
          <w:lang w:val="es-CO"/>
        </w:rPr>
      </w:pPr>
    </w:p>
    <w:p w14:paraId="37E88986" w14:textId="77777777" w:rsidR="00B2442D" w:rsidRDefault="008A645F">
      <w:pPr>
        <w:jc w:val="both"/>
        <w:rPr>
          <w:rFonts w:ascii="Arial" w:hAnsi="Arial" w:cs="Arial"/>
          <w:i/>
          <w:lang w:val="es-CO"/>
        </w:rPr>
      </w:pPr>
      <w:r>
        <w:rPr>
          <w:rFonts w:ascii="Arial" w:hAnsi="Arial" w:cs="Arial"/>
          <w:i/>
          <w:lang w:val="es-CO"/>
        </w:rPr>
        <w:t>(Art. 1, Decreto 2670 de 2010)</w:t>
      </w:r>
    </w:p>
    <w:p w14:paraId="6EF09D56" w14:textId="77777777" w:rsidR="00B2442D" w:rsidRDefault="00B2442D">
      <w:pPr>
        <w:jc w:val="both"/>
        <w:rPr>
          <w:rFonts w:ascii="Arial" w:hAnsi="Arial" w:cs="Arial"/>
          <w:lang w:val="es-CO"/>
        </w:rPr>
      </w:pPr>
    </w:p>
    <w:p w14:paraId="1FD0ED45"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Características y condiciones del Sistema Técnico de Control Tarjeta Fiscal. </w:t>
      </w:r>
      <w:r>
        <w:rPr>
          <w:rFonts w:ascii="Arial" w:hAnsi="Arial" w:cs="Arial"/>
          <w:lang w:val="es-CO"/>
        </w:rPr>
        <w:t>Es un mecanismo compuesto por dispositivo</w:t>
      </w:r>
      <w:r>
        <w:rPr>
          <w:rFonts w:ascii="Arial" w:hAnsi="Arial" w:cs="Arial"/>
          <w:lang w:val="es-CO"/>
        </w:rPr>
        <w:t>s electrónicos y programas de computador que se integran e interactúan con el propósito de procesar, registrar, almacenar y suministrar información confiable e inviolable de interés fiscal, generada como consecuencia de las operaciones económicas de los se</w:t>
      </w:r>
      <w:r>
        <w:rPr>
          <w:rFonts w:ascii="Arial" w:hAnsi="Arial" w:cs="Arial"/>
          <w:lang w:val="es-CO"/>
        </w:rPr>
        <w:t>ctores de personas o entidades, contribuyentes, o responsables de los impuestos administrados por la Unidad Administrativa Especial Dirección de Impuestos y Aduanas Nacionales-DIAN, obligados a su adopción.</w:t>
      </w:r>
    </w:p>
    <w:p w14:paraId="2D2B41D1" w14:textId="77777777" w:rsidR="00B2442D" w:rsidRDefault="00B2442D">
      <w:pPr>
        <w:jc w:val="both"/>
        <w:rPr>
          <w:rFonts w:ascii="Arial" w:hAnsi="Arial" w:cs="Arial"/>
          <w:lang w:val="es-CO"/>
        </w:rPr>
      </w:pPr>
    </w:p>
    <w:p w14:paraId="6F88A8EB" w14:textId="77777777" w:rsidR="00B2442D" w:rsidRDefault="008A645F">
      <w:pPr>
        <w:jc w:val="both"/>
        <w:rPr>
          <w:rFonts w:ascii="Arial" w:hAnsi="Arial" w:cs="Arial"/>
          <w:lang w:val="es-CO"/>
        </w:rPr>
      </w:pPr>
      <w:r>
        <w:rPr>
          <w:rFonts w:ascii="Arial" w:hAnsi="Arial" w:cs="Arial"/>
          <w:lang w:val="es-CO"/>
        </w:rPr>
        <w:t>Los sectores de contribuyentes obligados a adopt</w:t>
      </w:r>
      <w:r>
        <w:rPr>
          <w:rFonts w:ascii="Arial" w:hAnsi="Arial" w:cs="Arial"/>
          <w:lang w:val="es-CO"/>
        </w:rPr>
        <w:t>ar el Sistema Técnico de Control Tarjeta Fiscal, tendrán derecho al descuento tributario establecido en el artículo 684-3 del Estatuto Tributario.</w:t>
      </w:r>
    </w:p>
    <w:p w14:paraId="68C52FD6" w14:textId="77777777" w:rsidR="00B2442D" w:rsidRDefault="00B2442D">
      <w:pPr>
        <w:jc w:val="both"/>
        <w:rPr>
          <w:rFonts w:ascii="Arial" w:hAnsi="Arial" w:cs="Arial"/>
          <w:lang w:val="es-CO"/>
        </w:rPr>
      </w:pPr>
    </w:p>
    <w:p w14:paraId="6FC9174E" w14:textId="77777777" w:rsidR="00B2442D" w:rsidRDefault="008A645F">
      <w:pPr>
        <w:jc w:val="both"/>
        <w:rPr>
          <w:rFonts w:ascii="Arial" w:hAnsi="Arial" w:cs="Arial"/>
          <w:i/>
          <w:lang w:val="es-CO"/>
        </w:rPr>
      </w:pPr>
      <w:r>
        <w:rPr>
          <w:rFonts w:ascii="Arial" w:hAnsi="Arial" w:cs="Arial"/>
          <w:i/>
          <w:lang w:val="es-CO"/>
        </w:rPr>
        <w:t>(Art. 2, Decreto 2670 de 2010)</w:t>
      </w:r>
    </w:p>
    <w:p w14:paraId="10900120" w14:textId="77777777" w:rsidR="00B2442D" w:rsidRDefault="00B2442D">
      <w:pPr>
        <w:jc w:val="both"/>
        <w:rPr>
          <w:rFonts w:ascii="Arial" w:hAnsi="Arial" w:cs="Arial"/>
          <w:lang w:val="es-CO"/>
        </w:rPr>
      </w:pPr>
    </w:p>
    <w:p w14:paraId="7F87F0C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Sectores obligados a adoptar el Sistema Técnico de Control Tarjeta Fiscal.</w:t>
      </w:r>
      <w:r>
        <w:rPr>
          <w:rFonts w:ascii="Arial" w:hAnsi="Arial" w:cs="Arial"/>
          <w:lang w:val="es-CO"/>
        </w:rPr>
        <w:t xml:space="preserve"> </w:t>
      </w:r>
      <w:r>
        <w:rPr>
          <w:rFonts w:ascii="Arial" w:hAnsi="Arial" w:cs="Arial"/>
          <w:lang w:val="es-CO"/>
        </w:rPr>
        <w:t>Para los efectos previstos en el parágrafo del artículo 684-3 del Estatuto Tributario y teniendo en cuenta lo establecido en su parágrafo, de conformidad con la CLASIFICACIÓN INDUSTRIAL INTERNACIONAL UNIFORME REVISIÓN 3.1 - ADAPTADA PARA COLOMBIA POR EL DA</w:t>
      </w:r>
      <w:r>
        <w:rPr>
          <w:rFonts w:ascii="Arial" w:hAnsi="Arial" w:cs="Arial"/>
          <w:lang w:val="es-CO"/>
        </w:rPr>
        <w:t>NE CIIU - REV 3.1 A. C., se determinan los siguientes sectores como obligados a adoptar el Sistema Técnico de Control Tarjeta Fiscal:</w:t>
      </w:r>
    </w:p>
    <w:p w14:paraId="1D2CFF6D" w14:textId="77777777" w:rsidR="00B2442D" w:rsidRDefault="00B2442D">
      <w:pPr>
        <w:jc w:val="both"/>
        <w:rPr>
          <w:rFonts w:ascii="Arial" w:hAnsi="Arial" w:cs="Arial"/>
          <w:lang w:val="es-CO"/>
        </w:rPr>
      </w:pPr>
    </w:p>
    <w:p w14:paraId="624FB942" w14:textId="77777777" w:rsidR="00B2442D" w:rsidRDefault="008A645F">
      <w:pPr>
        <w:jc w:val="both"/>
        <w:rPr>
          <w:rFonts w:ascii="Arial" w:hAnsi="Arial" w:cs="Arial"/>
          <w:lang w:val="es-CO"/>
        </w:rPr>
      </w:pPr>
      <w:r>
        <w:rPr>
          <w:rFonts w:ascii="Arial" w:hAnsi="Arial" w:cs="Arial"/>
          <w:lang w:val="es-CO"/>
        </w:rPr>
        <w:t xml:space="preserve">SECCIÓN G. COMERCIO AL POR MAYOR Y AL POR MENOR; REPARACIÓN DE VEHÍCULOS AUTOMOTORES, MOTOCICLETAS, EFECTOS PERSONALES Y </w:t>
      </w:r>
      <w:r>
        <w:rPr>
          <w:rFonts w:ascii="Arial" w:hAnsi="Arial" w:cs="Arial"/>
          <w:lang w:val="es-CO"/>
        </w:rPr>
        <w:t>ENSERES DOMÉSTICOS.</w:t>
      </w:r>
    </w:p>
    <w:p w14:paraId="27830FD1" w14:textId="77777777" w:rsidR="00B2442D" w:rsidRDefault="00B2442D">
      <w:pPr>
        <w:jc w:val="both"/>
        <w:rPr>
          <w:rFonts w:ascii="Arial" w:hAnsi="Arial" w:cs="Arial"/>
          <w:lang w:val="es-CO"/>
        </w:rPr>
      </w:pPr>
    </w:p>
    <w:p w14:paraId="6A027B8C" w14:textId="77777777" w:rsidR="00B2442D" w:rsidRDefault="008A645F">
      <w:pPr>
        <w:jc w:val="both"/>
        <w:rPr>
          <w:rFonts w:ascii="Arial" w:hAnsi="Arial" w:cs="Arial"/>
          <w:lang w:val="es-CO"/>
        </w:rPr>
      </w:pPr>
      <w:r>
        <w:rPr>
          <w:rFonts w:ascii="Arial" w:hAnsi="Arial" w:cs="Arial"/>
          <w:lang w:val="es-CO"/>
        </w:rPr>
        <w:t>DIVISIÓN 50. COMERCIO, MANTENIMIENTO Y REPARACIÓN DE VEHÍCULOS AUTOMOTORES Y MOTOCICLETAS, SUS PARTES, PIEZAS Y ACCESORIOS; COMERCIO AL POR MENOR DE COMBUSTIBLES Y LUBRICANTES PARA VEHÍCULOS AUTOMOTORES.</w:t>
      </w:r>
    </w:p>
    <w:p w14:paraId="7C4A93A8" w14:textId="77777777" w:rsidR="00B2442D" w:rsidRDefault="00B2442D">
      <w:pPr>
        <w:jc w:val="both"/>
        <w:rPr>
          <w:rFonts w:ascii="Arial" w:hAnsi="Arial" w:cs="Arial"/>
          <w:lang w:val="es-CO"/>
        </w:rPr>
      </w:pPr>
    </w:p>
    <w:p w14:paraId="540F8027" w14:textId="77777777" w:rsidR="00B2442D" w:rsidRDefault="008A645F">
      <w:pPr>
        <w:jc w:val="both"/>
        <w:rPr>
          <w:rFonts w:ascii="Arial" w:hAnsi="Arial" w:cs="Arial"/>
          <w:lang w:val="es-CO"/>
        </w:rPr>
      </w:pPr>
      <w:r>
        <w:rPr>
          <w:rFonts w:ascii="Arial" w:hAnsi="Arial" w:cs="Arial"/>
          <w:lang w:val="es-CO"/>
        </w:rPr>
        <w:t xml:space="preserve">DIVISIÓN 51. COMERCIO AL </w:t>
      </w:r>
      <w:r>
        <w:rPr>
          <w:rFonts w:ascii="Arial" w:hAnsi="Arial" w:cs="Arial"/>
          <w:lang w:val="es-CO"/>
        </w:rPr>
        <w:t>POR MAYOR Y EN COMISIÓN O POR CONTRATA, EXCEPTO EL COMERCIO DE VEHÍCULOS AUTOMOTORES Y MOTOCICLETAS; MANTENIMIENTO Y REPARACIÓN DE MAQUINARIA Y EQUIPO.</w:t>
      </w:r>
    </w:p>
    <w:p w14:paraId="71B43633" w14:textId="77777777" w:rsidR="00B2442D" w:rsidRDefault="00B2442D">
      <w:pPr>
        <w:jc w:val="both"/>
        <w:rPr>
          <w:rFonts w:ascii="Arial" w:hAnsi="Arial" w:cs="Arial"/>
          <w:lang w:val="es-CO"/>
        </w:rPr>
      </w:pPr>
    </w:p>
    <w:p w14:paraId="29904128" w14:textId="77777777" w:rsidR="00B2442D" w:rsidRDefault="008A645F">
      <w:pPr>
        <w:jc w:val="both"/>
        <w:rPr>
          <w:rFonts w:ascii="Arial" w:hAnsi="Arial" w:cs="Arial"/>
          <w:lang w:val="es-CO"/>
        </w:rPr>
      </w:pPr>
      <w:r>
        <w:rPr>
          <w:rFonts w:ascii="Arial" w:hAnsi="Arial" w:cs="Arial"/>
          <w:lang w:val="es-CO"/>
        </w:rPr>
        <w:t>DIVISIÓN 52. COMERCIO AL POR MENOR, EXCEPTO EL COMERCIO DE VEHÍCULOS AUTOMOTORES Y MOTOCICLETAS; REPARA</w:t>
      </w:r>
      <w:r>
        <w:rPr>
          <w:rFonts w:ascii="Arial" w:hAnsi="Arial" w:cs="Arial"/>
          <w:lang w:val="es-CO"/>
        </w:rPr>
        <w:t>CIÓN DE EFECTOS PERSONALES Y ENSERES DOMÉSTICOS</w:t>
      </w:r>
    </w:p>
    <w:p w14:paraId="1E207479" w14:textId="77777777" w:rsidR="00B2442D" w:rsidRDefault="00B2442D">
      <w:pPr>
        <w:jc w:val="both"/>
        <w:rPr>
          <w:rFonts w:ascii="Arial" w:hAnsi="Arial" w:cs="Arial"/>
          <w:lang w:val="es-CO"/>
        </w:rPr>
      </w:pPr>
    </w:p>
    <w:p w14:paraId="5E2110BC" w14:textId="77777777" w:rsidR="00B2442D" w:rsidRDefault="008A645F">
      <w:pPr>
        <w:jc w:val="both"/>
        <w:rPr>
          <w:rFonts w:ascii="Arial" w:hAnsi="Arial" w:cs="Arial"/>
          <w:lang w:val="es-CO"/>
        </w:rPr>
      </w:pPr>
      <w:r>
        <w:rPr>
          <w:rFonts w:ascii="Arial" w:hAnsi="Arial" w:cs="Arial"/>
          <w:lang w:val="es-CO"/>
        </w:rPr>
        <w:t>SECCIÓN H. HOTELES Y RESTAURANTES</w:t>
      </w:r>
    </w:p>
    <w:p w14:paraId="358BE0C7" w14:textId="77777777" w:rsidR="00B2442D" w:rsidRDefault="00B2442D">
      <w:pPr>
        <w:jc w:val="both"/>
        <w:rPr>
          <w:rFonts w:ascii="Arial" w:hAnsi="Arial" w:cs="Arial"/>
          <w:lang w:val="es-CO"/>
        </w:rPr>
      </w:pPr>
    </w:p>
    <w:p w14:paraId="523AFC06" w14:textId="77777777" w:rsidR="00B2442D" w:rsidRDefault="008A645F">
      <w:pPr>
        <w:jc w:val="both"/>
        <w:rPr>
          <w:rFonts w:ascii="Arial" w:hAnsi="Arial" w:cs="Arial"/>
          <w:lang w:val="es-CO"/>
        </w:rPr>
      </w:pPr>
      <w:r>
        <w:rPr>
          <w:rFonts w:ascii="Arial" w:hAnsi="Arial" w:cs="Arial"/>
          <w:lang w:val="es-CO"/>
        </w:rPr>
        <w:t>DIVISIÓN 55. HOTELES, RESTAURANTES, BARES Y SIMILARES</w:t>
      </w:r>
    </w:p>
    <w:p w14:paraId="3BE341D4" w14:textId="77777777" w:rsidR="00B2442D" w:rsidRDefault="00B2442D">
      <w:pPr>
        <w:jc w:val="both"/>
        <w:rPr>
          <w:rFonts w:ascii="Arial" w:hAnsi="Arial" w:cs="Arial"/>
          <w:lang w:val="es-CO"/>
        </w:rPr>
      </w:pPr>
    </w:p>
    <w:p w14:paraId="18613F14" w14:textId="77777777" w:rsidR="00B2442D" w:rsidRDefault="008A645F">
      <w:pPr>
        <w:jc w:val="both"/>
        <w:rPr>
          <w:rFonts w:ascii="Arial" w:hAnsi="Arial" w:cs="Arial"/>
          <w:lang w:val="es-CO"/>
        </w:rPr>
      </w:pPr>
      <w:r>
        <w:rPr>
          <w:rFonts w:ascii="Arial" w:hAnsi="Arial" w:cs="Arial"/>
          <w:lang w:val="es-CO"/>
        </w:rPr>
        <w:t>SECCIÓN I. TRANSPORTE, ALMACENAMIENTO Y COMUNICACIONES.</w:t>
      </w:r>
    </w:p>
    <w:p w14:paraId="65BDACAB" w14:textId="77777777" w:rsidR="00B2442D" w:rsidRDefault="00B2442D">
      <w:pPr>
        <w:jc w:val="both"/>
        <w:rPr>
          <w:rFonts w:ascii="Arial" w:hAnsi="Arial" w:cs="Arial"/>
          <w:lang w:val="es-CO"/>
        </w:rPr>
      </w:pPr>
    </w:p>
    <w:p w14:paraId="3896041F" w14:textId="77777777" w:rsidR="00B2442D" w:rsidRDefault="008A645F">
      <w:pPr>
        <w:jc w:val="both"/>
        <w:rPr>
          <w:rFonts w:ascii="Arial" w:hAnsi="Arial" w:cs="Arial"/>
          <w:lang w:val="es-CO"/>
        </w:rPr>
      </w:pPr>
      <w:r>
        <w:rPr>
          <w:rFonts w:ascii="Arial" w:hAnsi="Arial" w:cs="Arial"/>
          <w:lang w:val="es-CO"/>
        </w:rPr>
        <w:t>DIVISIÓN 63. ACTIVIDADES COMPLEMENTARIAS Y AUXILIARES AL TRA</w:t>
      </w:r>
      <w:r>
        <w:rPr>
          <w:rFonts w:ascii="Arial" w:hAnsi="Arial" w:cs="Arial"/>
          <w:lang w:val="es-CO"/>
        </w:rPr>
        <w:t>NSPORTE; ACTIVIDADES DE AGENCIAS DE VIAJES</w:t>
      </w:r>
    </w:p>
    <w:p w14:paraId="6E28F798" w14:textId="77777777" w:rsidR="00B2442D" w:rsidRDefault="00B2442D">
      <w:pPr>
        <w:jc w:val="both"/>
        <w:rPr>
          <w:rFonts w:ascii="Arial" w:hAnsi="Arial" w:cs="Arial"/>
          <w:lang w:val="es-CO"/>
        </w:rPr>
      </w:pPr>
    </w:p>
    <w:p w14:paraId="34AF765C" w14:textId="77777777" w:rsidR="00B2442D" w:rsidRDefault="008A645F">
      <w:pPr>
        <w:jc w:val="both"/>
        <w:rPr>
          <w:rFonts w:ascii="Arial" w:hAnsi="Arial" w:cs="Arial"/>
          <w:lang w:val="es-CO"/>
        </w:rPr>
      </w:pPr>
      <w:r>
        <w:rPr>
          <w:rFonts w:ascii="Arial" w:hAnsi="Arial" w:cs="Arial"/>
          <w:lang w:val="es-CO"/>
        </w:rPr>
        <w:t>DIVISIÓN 64. CORREO Y TELECOMUNICACIONES</w:t>
      </w:r>
    </w:p>
    <w:p w14:paraId="4A5C6FE1" w14:textId="77777777" w:rsidR="00B2442D" w:rsidRDefault="00B2442D">
      <w:pPr>
        <w:jc w:val="both"/>
        <w:rPr>
          <w:rFonts w:ascii="Arial" w:hAnsi="Arial" w:cs="Arial"/>
          <w:lang w:val="es-CO"/>
        </w:rPr>
      </w:pPr>
    </w:p>
    <w:p w14:paraId="573CD704" w14:textId="77777777" w:rsidR="00B2442D" w:rsidRDefault="008A645F">
      <w:pPr>
        <w:jc w:val="both"/>
        <w:rPr>
          <w:rFonts w:ascii="Arial" w:hAnsi="Arial" w:cs="Arial"/>
          <w:lang w:val="es-CO"/>
        </w:rPr>
      </w:pPr>
      <w:r>
        <w:rPr>
          <w:rFonts w:ascii="Arial" w:hAnsi="Arial" w:cs="Arial"/>
          <w:lang w:val="es-CO"/>
        </w:rPr>
        <w:t>SECCIÓN O. OTRAS ACTIVIDADES DE SERVICIOS COMUNITARIOS, SOCIALES Y PERSONALES</w:t>
      </w:r>
    </w:p>
    <w:p w14:paraId="54118AD8" w14:textId="77777777" w:rsidR="00B2442D" w:rsidRDefault="00B2442D">
      <w:pPr>
        <w:jc w:val="both"/>
        <w:rPr>
          <w:rFonts w:ascii="Arial" w:hAnsi="Arial" w:cs="Arial"/>
          <w:lang w:val="es-CO"/>
        </w:rPr>
      </w:pPr>
    </w:p>
    <w:p w14:paraId="40086ADE" w14:textId="77777777" w:rsidR="00B2442D" w:rsidRDefault="008A645F">
      <w:pPr>
        <w:jc w:val="both"/>
        <w:rPr>
          <w:rFonts w:ascii="Arial" w:hAnsi="Arial" w:cs="Arial"/>
          <w:lang w:val="es-CO"/>
        </w:rPr>
      </w:pPr>
      <w:r>
        <w:rPr>
          <w:rFonts w:ascii="Arial" w:hAnsi="Arial" w:cs="Arial"/>
          <w:lang w:val="es-CO"/>
        </w:rPr>
        <w:t>DIVISIÓN 92. ACTIVIDADES DE ESPARCIMIENTO Y ACTIVIDADES CULTURALES Y DEPORTIVAS</w:t>
      </w:r>
    </w:p>
    <w:p w14:paraId="1DF89DCB" w14:textId="77777777" w:rsidR="00B2442D" w:rsidRDefault="00B2442D">
      <w:pPr>
        <w:jc w:val="both"/>
        <w:rPr>
          <w:rFonts w:ascii="Arial" w:hAnsi="Arial" w:cs="Arial"/>
          <w:lang w:val="es-CO"/>
        </w:rPr>
      </w:pPr>
    </w:p>
    <w:p w14:paraId="65CA31BC" w14:textId="77777777" w:rsidR="00B2442D" w:rsidRDefault="008A645F">
      <w:pPr>
        <w:jc w:val="both"/>
        <w:rPr>
          <w:rFonts w:ascii="Arial" w:hAnsi="Arial" w:cs="Arial"/>
          <w:lang w:val="es-CO"/>
        </w:rPr>
      </w:pPr>
      <w:r>
        <w:rPr>
          <w:rFonts w:ascii="Arial" w:hAnsi="Arial" w:cs="Arial"/>
          <w:lang w:val="es-CO"/>
        </w:rPr>
        <w:t>DIVISIÓN 9</w:t>
      </w:r>
      <w:r>
        <w:rPr>
          <w:rFonts w:ascii="Arial" w:hAnsi="Arial" w:cs="Arial"/>
          <w:lang w:val="es-CO"/>
        </w:rPr>
        <w:t>3. OTRAS ACTIVIDADES DE SERVICIOS.</w:t>
      </w:r>
    </w:p>
    <w:p w14:paraId="18E2F3F5" w14:textId="77777777" w:rsidR="00B2442D" w:rsidRDefault="00B2442D">
      <w:pPr>
        <w:jc w:val="both"/>
        <w:rPr>
          <w:rFonts w:ascii="Arial" w:hAnsi="Arial" w:cs="Arial"/>
          <w:lang w:val="es-CO"/>
        </w:rPr>
      </w:pPr>
    </w:p>
    <w:p w14:paraId="55B5BEB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Unidad Administrativa Especial Dirección de Impuestos y Aduanas Nacionales- DIAN, mediante resolución de carácter general, señalará los contribuyentes o responsables de las actividades económicas correspond</w:t>
      </w:r>
      <w:r>
        <w:rPr>
          <w:rFonts w:ascii="Arial" w:hAnsi="Arial" w:cs="Arial"/>
          <w:lang w:val="es-CO"/>
        </w:rPr>
        <w:t>ientes a los sectores definidos en este artículo, obligados a adoptar el Sistema Técnico de Control Tarjeta Fiscal y fijará los plazos para su adopción.</w:t>
      </w:r>
    </w:p>
    <w:p w14:paraId="38635677" w14:textId="77777777" w:rsidR="00B2442D" w:rsidRDefault="00B2442D">
      <w:pPr>
        <w:jc w:val="both"/>
        <w:rPr>
          <w:rFonts w:ascii="Arial" w:hAnsi="Arial" w:cs="Arial"/>
          <w:lang w:val="es-CO"/>
        </w:rPr>
      </w:pPr>
    </w:p>
    <w:p w14:paraId="55F8EC18" w14:textId="77777777" w:rsidR="00B2442D" w:rsidRDefault="008A645F">
      <w:pPr>
        <w:jc w:val="both"/>
        <w:rPr>
          <w:rFonts w:ascii="Arial" w:hAnsi="Arial" w:cs="Arial"/>
          <w:i/>
          <w:lang w:val="es-CO"/>
        </w:rPr>
      </w:pPr>
      <w:r>
        <w:rPr>
          <w:rFonts w:ascii="Arial" w:hAnsi="Arial" w:cs="Arial"/>
          <w:i/>
          <w:lang w:val="es-CO"/>
        </w:rPr>
        <w:t>(Art. 3, Decreto 2670 de 2010)</w:t>
      </w:r>
    </w:p>
    <w:p w14:paraId="49863EE4" w14:textId="77777777" w:rsidR="00B2442D" w:rsidRDefault="00B2442D">
      <w:pPr>
        <w:jc w:val="both"/>
        <w:rPr>
          <w:rFonts w:ascii="Arial" w:hAnsi="Arial" w:cs="Arial"/>
          <w:lang w:val="es-CO"/>
        </w:rPr>
      </w:pPr>
    </w:p>
    <w:p w14:paraId="3E27996E"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Implementación del Sistema Técnico de Control Tarjeta Fiscal.</w:t>
      </w:r>
      <w:r>
        <w:rPr>
          <w:rFonts w:ascii="Arial" w:hAnsi="Arial" w:cs="Arial"/>
          <w:lang w:val="es-CO"/>
        </w:rPr>
        <w:t xml:space="preserve"> La Unid</w:t>
      </w:r>
      <w:r>
        <w:rPr>
          <w:rFonts w:ascii="Arial" w:hAnsi="Arial" w:cs="Arial"/>
          <w:lang w:val="es-CO"/>
        </w:rPr>
        <w:t>ad Administrativa Especial Dirección de Impuestos y Aduanas Nacionales - DIAN, mediante resolución de carácter general, establecerá los aspectos técnicos, operativos y de procedimiento que deberán cumplir los contribuyentes o responsables obligados a su ad</w:t>
      </w:r>
      <w:r>
        <w:rPr>
          <w:rFonts w:ascii="Arial" w:hAnsi="Arial" w:cs="Arial"/>
          <w:lang w:val="es-CO"/>
        </w:rPr>
        <w:t>opción, los proveedores que sean fabricantes y los comercializadores e intermediarios de los equipos.</w:t>
      </w:r>
    </w:p>
    <w:p w14:paraId="1035DA52" w14:textId="77777777" w:rsidR="00B2442D" w:rsidRDefault="00B2442D">
      <w:pPr>
        <w:jc w:val="both"/>
        <w:rPr>
          <w:rFonts w:ascii="Arial" w:hAnsi="Arial" w:cs="Arial"/>
          <w:lang w:val="es-CO"/>
        </w:rPr>
      </w:pPr>
    </w:p>
    <w:p w14:paraId="7D05289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los proveedores que sean fabricantes, se homologará el cumplimiento de las características técnicas de los dispositivos en relación con su uso, las especificaciones de tipo técnico y la función que desarrollan dentro del sistema.</w:t>
      </w:r>
    </w:p>
    <w:p w14:paraId="49F340E2" w14:textId="77777777" w:rsidR="00B2442D" w:rsidRDefault="00B2442D">
      <w:pPr>
        <w:jc w:val="both"/>
        <w:rPr>
          <w:rFonts w:ascii="Arial" w:hAnsi="Arial" w:cs="Arial"/>
          <w:lang w:val="es-CO"/>
        </w:rPr>
      </w:pPr>
    </w:p>
    <w:p w14:paraId="140D0D13" w14:textId="77777777" w:rsidR="00B2442D" w:rsidRDefault="008A645F">
      <w:pPr>
        <w:jc w:val="both"/>
        <w:rPr>
          <w:rFonts w:ascii="Arial" w:hAnsi="Arial" w:cs="Arial"/>
          <w:i/>
          <w:lang w:val="es-CO"/>
        </w:rPr>
      </w:pPr>
      <w:r>
        <w:rPr>
          <w:rFonts w:ascii="Arial" w:hAnsi="Arial" w:cs="Arial"/>
          <w:i/>
          <w:lang w:val="es-CO"/>
        </w:rPr>
        <w:t>(Art. 4, Decreto 26</w:t>
      </w:r>
      <w:r>
        <w:rPr>
          <w:rFonts w:ascii="Arial" w:hAnsi="Arial" w:cs="Arial"/>
          <w:i/>
          <w:lang w:val="es-CO"/>
        </w:rPr>
        <w:t>70 de 2010)</w:t>
      </w:r>
    </w:p>
    <w:p w14:paraId="53BB45C0" w14:textId="77777777" w:rsidR="00B2442D" w:rsidRDefault="00B2442D">
      <w:pPr>
        <w:jc w:val="both"/>
        <w:rPr>
          <w:rFonts w:ascii="Arial" w:hAnsi="Arial" w:cs="Arial"/>
          <w:lang w:val="es-CO"/>
        </w:rPr>
      </w:pPr>
    </w:p>
    <w:p w14:paraId="526FCB43"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Controles.</w:t>
      </w:r>
      <w:r>
        <w:rPr>
          <w:rFonts w:ascii="Arial" w:hAnsi="Arial" w:cs="Arial"/>
          <w:lang w:val="es-CO"/>
        </w:rPr>
        <w:t xml:space="preserve"> La Unidad Administrativa Especial Dirección de Impuestos y Aduanas Nacionales– DIAN deberá verificar el cumplimiento de las características técnicas y condiciones de operación que garanticen la efectividad del Sistema Técnico de Co</w:t>
      </w:r>
      <w:r>
        <w:rPr>
          <w:rFonts w:ascii="Arial" w:hAnsi="Arial" w:cs="Arial"/>
          <w:lang w:val="es-CO"/>
        </w:rPr>
        <w:t>ntrol Tarjeta Fiscal.</w:t>
      </w:r>
    </w:p>
    <w:p w14:paraId="25D5B47D" w14:textId="77777777" w:rsidR="00B2442D" w:rsidRDefault="00B2442D">
      <w:pPr>
        <w:jc w:val="both"/>
        <w:rPr>
          <w:rFonts w:ascii="Arial" w:hAnsi="Arial" w:cs="Arial"/>
          <w:lang w:val="es-CO"/>
        </w:rPr>
      </w:pPr>
    </w:p>
    <w:p w14:paraId="1279EF83" w14:textId="77777777" w:rsidR="00B2442D" w:rsidRDefault="008A645F">
      <w:pPr>
        <w:jc w:val="both"/>
        <w:rPr>
          <w:rFonts w:ascii="Arial" w:hAnsi="Arial" w:cs="Arial"/>
          <w:i/>
          <w:lang w:val="es-CO"/>
        </w:rPr>
      </w:pPr>
      <w:r>
        <w:rPr>
          <w:rFonts w:ascii="Arial" w:hAnsi="Arial" w:cs="Arial"/>
          <w:i/>
          <w:lang w:val="es-CO"/>
        </w:rPr>
        <w:t>(Art. 5, Decreto 2670 de 2010)</w:t>
      </w:r>
    </w:p>
    <w:p w14:paraId="6AE62EBB" w14:textId="77777777" w:rsidR="00B2442D" w:rsidRDefault="00B2442D">
      <w:pPr>
        <w:jc w:val="both"/>
        <w:rPr>
          <w:rFonts w:ascii="Arial" w:hAnsi="Arial" w:cs="Arial"/>
          <w:lang w:val="es-CO"/>
        </w:rPr>
      </w:pPr>
    </w:p>
    <w:p w14:paraId="1B9BBA57"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b/>
          <w:i/>
          <w:lang w:val="es-CO"/>
        </w:rPr>
        <w:t xml:space="preserve"> Sanciones.</w:t>
      </w:r>
      <w:r>
        <w:rPr>
          <w:rFonts w:ascii="Arial" w:hAnsi="Arial" w:cs="Arial"/>
          <w:lang w:val="es-CO"/>
        </w:rPr>
        <w:t xml:space="preserve"> La no adopción del Sistema Técnico de Control Tarjeta Fiscal por parte de los obligados, dará lugar a la sanción prescrita por el artículo 657 del Estatuto Tributario, sin perjuicio de las </w:t>
      </w:r>
      <w:r>
        <w:rPr>
          <w:rFonts w:ascii="Arial" w:hAnsi="Arial" w:cs="Arial"/>
          <w:lang w:val="es-CO"/>
        </w:rPr>
        <w:t>demás que se deriven de este incumplimiento.</w:t>
      </w:r>
    </w:p>
    <w:p w14:paraId="40485F91" w14:textId="77777777" w:rsidR="00B2442D" w:rsidRDefault="00B2442D">
      <w:pPr>
        <w:jc w:val="both"/>
        <w:rPr>
          <w:rFonts w:ascii="Arial" w:hAnsi="Arial" w:cs="Arial"/>
          <w:lang w:val="es-CO"/>
        </w:rPr>
      </w:pPr>
    </w:p>
    <w:p w14:paraId="33870DDA" w14:textId="77777777" w:rsidR="00B2442D" w:rsidRDefault="008A645F">
      <w:pPr>
        <w:jc w:val="both"/>
        <w:rPr>
          <w:rFonts w:ascii="Arial" w:hAnsi="Arial" w:cs="Arial"/>
          <w:i/>
          <w:lang w:val="es-CO"/>
        </w:rPr>
      </w:pPr>
      <w:r>
        <w:rPr>
          <w:rFonts w:ascii="Arial" w:hAnsi="Arial" w:cs="Arial"/>
          <w:i/>
          <w:lang w:val="es-CO"/>
        </w:rPr>
        <w:t>(Art. 6, Decreto 2670 de 2010)</w:t>
      </w:r>
    </w:p>
    <w:p w14:paraId="5F2B254E" w14:textId="77777777" w:rsidR="00B2442D" w:rsidRDefault="00B2442D">
      <w:pPr>
        <w:jc w:val="both"/>
        <w:rPr>
          <w:rFonts w:ascii="Arial" w:hAnsi="Arial" w:cs="Arial"/>
          <w:i/>
          <w:lang w:val="es-CO"/>
        </w:rPr>
      </w:pPr>
    </w:p>
    <w:p w14:paraId="15431B9F" w14:textId="77777777" w:rsidR="00B2442D" w:rsidRDefault="008A645F">
      <w:pPr>
        <w:pStyle w:val="Prrafodelista"/>
        <w:numPr>
          <w:ilvl w:val="0"/>
          <w:numId w:val="106"/>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Efectos tributarios de las copias de la factura.</w:t>
      </w:r>
      <w:r>
        <w:rPr>
          <w:rFonts w:ascii="Arial" w:hAnsi="Arial" w:cs="Arial"/>
          <w:lang w:val="es-CO"/>
        </w:rPr>
        <w:t xml:space="preserve"> El emisor vendedor del bien o prestador del servicio deberá anotar en cada copia de la factura, de manera preimpresa o por cualq</w:t>
      </w:r>
      <w:r>
        <w:rPr>
          <w:rFonts w:ascii="Arial" w:hAnsi="Arial" w:cs="Arial"/>
          <w:lang w:val="es-CO"/>
        </w:rPr>
        <w:t>uier medio mecánico aceptable, la leyenda “copia” o una equivalente. Las copias de la factura, son idóneas para todos los efectos tributarios y contables contemplados en las leyes pertinentes.</w:t>
      </w:r>
    </w:p>
    <w:p w14:paraId="4A876705" w14:textId="77777777" w:rsidR="00B2442D" w:rsidRDefault="00B2442D">
      <w:pPr>
        <w:jc w:val="both"/>
        <w:rPr>
          <w:rFonts w:ascii="Arial" w:hAnsi="Arial" w:cs="Arial"/>
          <w:lang w:val="es-CO"/>
        </w:rPr>
      </w:pPr>
    </w:p>
    <w:p w14:paraId="478816DD" w14:textId="77777777" w:rsidR="00B2442D" w:rsidRDefault="008A645F">
      <w:pPr>
        <w:jc w:val="both"/>
        <w:rPr>
          <w:rFonts w:ascii="Arial" w:hAnsi="Arial" w:cs="Arial"/>
          <w:i/>
          <w:lang w:val="es-CO"/>
        </w:rPr>
      </w:pPr>
      <w:r>
        <w:rPr>
          <w:rFonts w:ascii="Arial" w:hAnsi="Arial" w:cs="Arial"/>
          <w:i/>
          <w:lang w:val="es-CO"/>
        </w:rPr>
        <w:t>(Art. 3, Decreto 3327 de 2009)</w:t>
      </w:r>
    </w:p>
    <w:p w14:paraId="4AE1F347" w14:textId="77777777" w:rsidR="00B2442D" w:rsidRDefault="00B2442D">
      <w:pPr>
        <w:jc w:val="both"/>
        <w:rPr>
          <w:rFonts w:ascii="Arial" w:hAnsi="Arial" w:cs="Arial"/>
          <w:lang w:val="es-CO"/>
        </w:rPr>
      </w:pPr>
    </w:p>
    <w:p w14:paraId="593EC036" w14:textId="77777777" w:rsidR="00B2442D" w:rsidRDefault="00B2442D">
      <w:pPr>
        <w:jc w:val="both"/>
        <w:rPr>
          <w:rFonts w:ascii="Arial" w:hAnsi="Arial" w:cs="Arial"/>
          <w:lang w:val="es-CO"/>
        </w:rPr>
      </w:pPr>
    </w:p>
    <w:p w14:paraId="5760B427" w14:textId="77777777" w:rsidR="00B2442D" w:rsidRDefault="008A645F">
      <w:pPr>
        <w:pStyle w:val="Ttulo5"/>
      </w:pPr>
      <w:r>
        <w:t>SECCIÓN 1</w:t>
      </w:r>
    </w:p>
    <w:p w14:paraId="33EC2285" w14:textId="77777777" w:rsidR="00B2442D" w:rsidRDefault="008A645F">
      <w:pPr>
        <w:pStyle w:val="Ttulo5"/>
      </w:pPr>
      <w:r>
        <w:t>Factura Electrónica</w:t>
      </w:r>
    </w:p>
    <w:p w14:paraId="04F526CE" w14:textId="77777777" w:rsidR="00B2442D" w:rsidRDefault="00B2442D">
      <w:pPr>
        <w:jc w:val="both"/>
        <w:rPr>
          <w:rFonts w:ascii="Arial" w:hAnsi="Arial" w:cs="Arial"/>
          <w:lang w:val="es-CO"/>
        </w:rPr>
      </w:pPr>
    </w:p>
    <w:p w14:paraId="4BDE622F" w14:textId="77777777" w:rsidR="00B2442D" w:rsidRDefault="008A645F">
      <w:pPr>
        <w:pStyle w:val="Prrafodelista"/>
        <w:numPr>
          <w:ilvl w:val="0"/>
          <w:numId w:val="154"/>
        </w:numPr>
        <w:spacing w:line="40" w:lineRule="atLeast"/>
        <w:ind w:left="0" w:firstLine="0"/>
        <w:jc w:val="both"/>
        <w:rPr>
          <w:rFonts w:ascii="Arial" w:eastAsia="Calibri" w:hAnsi="Arial" w:cs="Arial"/>
        </w:rPr>
      </w:pPr>
      <w:r>
        <w:rPr>
          <w:rFonts w:ascii="Arial" w:hAnsi="Arial" w:cs="Arial"/>
          <w:b/>
          <w:i/>
        </w:rPr>
        <w:t>Ámbito de aplicación.</w:t>
      </w:r>
      <w:r>
        <w:rPr>
          <w:rFonts w:ascii="Arial" w:hAnsi="Arial" w:cs="Arial"/>
        </w:rPr>
        <w:t xml:space="preserve"> Este Decreto aplica a:</w:t>
      </w:r>
    </w:p>
    <w:p w14:paraId="2D698B81" w14:textId="77777777" w:rsidR="00B2442D" w:rsidRDefault="00B2442D">
      <w:pPr>
        <w:spacing w:line="40" w:lineRule="atLeast"/>
        <w:jc w:val="both"/>
        <w:rPr>
          <w:rFonts w:ascii="Arial" w:hAnsi="Arial" w:cs="Arial"/>
        </w:rPr>
      </w:pPr>
    </w:p>
    <w:p w14:paraId="451992F4" w14:textId="77777777" w:rsidR="00B2442D" w:rsidRDefault="008A645F">
      <w:pPr>
        <w:spacing w:line="40" w:lineRule="atLeast"/>
        <w:ind w:left="284" w:hanging="284"/>
        <w:jc w:val="both"/>
        <w:rPr>
          <w:rFonts w:ascii="Arial" w:hAnsi="Arial" w:cs="Arial"/>
        </w:rPr>
      </w:pPr>
      <w:r>
        <w:rPr>
          <w:rFonts w:ascii="Arial" w:hAnsi="Arial" w:cs="Arial"/>
        </w:rPr>
        <w:t xml:space="preserve">1. Las personas naturales o jurídicas que de acuerdo con el Estatuto Tributario tienen la obligación de facturar y sean seleccionadas por la </w:t>
      </w:r>
      <w:r>
        <w:rPr>
          <w:rFonts w:ascii="Arial" w:hAnsi="Arial" w:cs="Arial"/>
          <w:lang w:val="es-CO"/>
        </w:rPr>
        <w:t>Unidad Administrativa Especial Dirección de Impuestos y Aduanas Nacionales-</w:t>
      </w:r>
      <w:r>
        <w:rPr>
          <w:rFonts w:ascii="Arial" w:hAnsi="Arial" w:cs="Arial"/>
        </w:rPr>
        <w:t>DIAN para expedir factura electrónica.</w:t>
      </w:r>
    </w:p>
    <w:p w14:paraId="0127723C" w14:textId="77777777" w:rsidR="00B2442D" w:rsidRDefault="00B2442D">
      <w:pPr>
        <w:spacing w:line="40" w:lineRule="atLeast"/>
        <w:ind w:left="284" w:hanging="284"/>
        <w:jc w:val="both"/>
        <w:rPr>
          <w:rFonts w:ascii="Arial" w:hAnsi="Arial" w:cs="Arial"/>
        </w:rPr>
      </w:pPr>
    </w:p>
    <w:p w14:paraId="6156283C" w14:textId="77777777" w:rsidR="00B2442D" w:rsidRDefault="008A645F">
      <w:pPr>
        <w:spacing w:line="40" w:lineRule="atLeast"/>
        <w:ind w:left="284" w:hanging="284"/>
        <w:jc w:val="both"/>
        <w:rPr>
          <w:rFonts w:ascii="Arial" w:hAnsi="Arial" w:cs="Arial"/>
        </w:rPr>
      </w:pPr>
      <w:r>
        <w:rPr>
          <w:rFonts w:ascii="Arial" w:hAnsi="Arial" w:cs="Arial"/>
        </w:rPr>
        <w:t>2. Las personas naturales o jurídicas que de acuerdo con el Estatuto Tributario tienen la obligación de facturar y opten por expedir factura electrónica.</w:t>
      </w:r>
    </w:p>
    <w:p w14:paraId="415267BB" w14:textId="77777777" w:rsidR="00B2442D" w:rsidRDefault="00B2442D">
      <w:pPr>
        <w:spacing w:line="40" w:lineRule="atLeast"/>
        <w:ind w:left="284" w:hanging="284"/>
        <w:jc w:val="both"/>
        <w:rPr>
          <w:rFonts w:ascii="Arial" w:hAnsi="Arial" w:cs="Arial"/>
        </w:rPr>
      </w:pPr>
    </w:p>
    <w:p w14:paraId="11623F63" w14:textId="77777777" w:rsidR="00B2442D" w:rsidRDefault="008A645F">
      <w:pPr>
        <w:spacing w:line="40" w:lineRule="atLeast"/>
        <w:ind w:left="284" w:hanging="284"/>
        <w:jc w:val="both"/>
        <w:rPr>
          <w:rFonts w:ascii="Arial" w:hAnsi="Arial" w:cs="Arial"/>
        </w:rPr>
      </w:pPr>
      <w:r>
        <w:rPr>
          <w:rFonts w:ascii="Arial" w:hAnsi="Arial" w:cs="Arial"/>
        </w:rPr>
        <w:t>3. Las personas que no siendo obligadas a facturar de acuerdo con el Estatuto Tributario y/o decretos</w:t>
      </w:r>
      <w:r>
        <w:rPr>
          <w:rFonts w:ascii="Arial" w:hAnsi="Arial" w:cs="Arial"/>
        </w:rPr>
        <w:t xml:space="preserve"> reglamentarios, opten por expedir factura electrónica.</w:t>
      </w:r>
    </w:p>
    <w:p w14:paraId="01267343" w14:textId="77777777" w:rsidR="00B2442D" w:rsidRDefault="00B2442D">
      <w:pPr>
        <w:spacing w:line="40" w:lineRule="atLeast"/>
        <w:jc w:val="both"/>
        <w:rPr>
          <w:rFonts w:ascii="Arial" w:hAnsi="Arial" w:cs="Arial"/>
        </w:rPr>
      </w:pPr>
    </w:p>
    <w:p w14:paraId="3B2090F4" w14:textId="77777777" w:rsidR="00B2442D" w:rsidRDefault="008A645F">
      <w:pPr>
        <w:spacing w:line="40" w:lineRule="atLeast"/>
        <w:jc w:val="both"/>
        <w:rPr>
          <w:rFonts w:ascii="Arial" w:hAnsi="Arial" w:cs="Arial"/>
        </w:rPr>
      </w:pPr>
      <w:r>
        <w:rPr>
          <w:rFonts w:ascii="Arial" w:hAnsi="Arial" w:cs="Arial"/>
        </w:rPr>
        <w:t>En cualquiera de estos casos, las personas naturales o jurídicas deberán surtir el procedimiento de habilitación previsto en el artículo 1.6.1.4.1.10 del presente Decreto. Una vez agotado el mismo, d</w:t>
      </w:r>
      <w:r>
        <w:rPr>
          <w:rFonts w:ascii="Arial" w:hAnsi="Arial" w:cs="Arial"/>
        </w:rPr>
        <w:t>eberán expedir factura electrónica en las condiciones señaladas en este decreto y, en adelante, no podrán expedir, si fuere el caso, la factura electrónica a que se refieren los artículos 1.6.1.4.13 al 1.6.1.4.23 del presente Decreto, ni la factura por com</w:t>
      </w:r>
      <w:r>
        <w:rPr>
          <w:rFonts w:ascii="Arial" w:hAnsi="Arial" w:cs="Arial"/>
        </w:rPr>
        <w:t>putador prevista en el artículo 1.6.1.4.7 de este Decreto, ni la factura por talonario.</w:t>
      </w:r>
    </w:p>
    <w:p w14:paraId="6B65C2A5" w14:textId="77777777" w:rsidR="00B2442D" w:rsidRDefault="00B2442D">
      <w:pPr>
        <w:spacing w:line="40" w:lineRule="atLeast"/>
        <w:jc w:val="both"/>
        <w:rPr>
          <w:rFonts w:ascii="Arial" w:hAnsi="Arial" w:cs="Arial"/>
        </w:rPr>
      </w:pPr>
    </w:p>
    <w:p w14:paraId="39E92FB9" w14:textId="77777777" w:rsidR="00B2442D" w:rsidRDefault="008A645F">
      <w:pPr>
        <w:spacing w:line="40" w:lineRule="atLeast"/>
        <w:jc w:val="both"/>
        <w:rPr>
          <w:rFonts w:ascii="Arial" w:hAnsi="Arial" w:cs="Arial"/>
        </w:rPr>
      </w:pPr>
      <w:r>
        <w:rPr>
          <w:rFonts w:ascii="Arial" w:hAnsi="Arial" w:cs="Arial"/>
          <w:b/>
        </w:rPr>
        <w:t>Parágrafo.</w:t>
      </w:r>
      <w:r>
        <w:rPr>
          <w:rFonts w:ascii="Arial" w:hAnsi="Arial" w:cs="Arial"/>
        </w:rPr>
        <w:t xml:space="preserve"> La </w:t>
      </w:r>
      <w:r>
        <w:rPr>
          <w:rFonts w:ascii="Arial" w:hAnsi="Arial" w:cs="Arial"/>
          <w:lang w:val="es-CO"/>
        </w:rPr>
        <w:t>Unidad Administrativa Especial  Dirección de Impuestos y Aduanas Nacionales-</w:t>
      </w:r>
      <w:r>
        <w:rPr>
          <w:rFonts w:ascii="Arial" w:hAnsi="Arial" w:cs="Arial"/>
        </w:rPr>
        <w:t>DIAN no podrá establecer la obligación de facturar electrónicamente, hasta qu</w:t>
      </w:r>
      <w:r>
        <w:rPr>
          <w:rFonts w:ascii="Arial" w:hAnsi="Arial" w:cs="Arial"/>
        </w:rPr>
        <w:t>e se expida la reglamentación de la Ley 1231 de 2008 y demás normas relacionadas que permita la puesta en circulación de la factura electrónica como título valor. No obstante lo anterior, las personas de que tratan los numerales 2 y 3 del presente artículo</w:t>
      </w:r>
      <w:r>
        <w:rPr>
          <w:rFonts w:ascii="Arial" w:hAnsi="Arial" w:cs="Arial"/>
        </w:rPr>
        <w:t>, es decir, aquellas que voluntariamente opten por expedir factura electrónica, podrán hacer la solicitud a partir de la publicación del presente decreto.</w:t>
      </w:r>
    </w:p>
    <w:p w14:paraId="41D8A8BE" w14:textId="77777777" w:rsidR="00B2442D" w:rsidRDefault="00B2442D">
      <w:pPr>
        <w:spacing w:line="40" w:lineRule="atLeast"/>
        <w:jc w:val="both"/>
        <w:rPr>
          <w:rFonts w:ascii="Arial" w:hAnsi="Arial" w:cs="Arial"/>
        </w:rPr>
      </w:pPr>
    </w:p>
    <w:p w14:paraId="2FCE6760" w14:textId="77777777" w:rsidR="00B2442D" w:rsidRDefault="008A645F">
      <w:pPr>
        <w:jc w:val="both"/>
        <w:rPr>
          <w:rFonts w:ascii="Arial" w:hAnsi="Arial" w:cs="Arial"/>
          <w:i/>
          <w:lang w:val="es-CO"/>
        </w:rPr>
      </w:pPr>
      <w:r>
        <w:rPr>
          <w:rFonts w:ascii="Arial" w:hAnsi="Arial" w:cs="Arial"/>
          <w:i/>
          <w:lang w:val="es-CO"/>
        </w:rPr>
        <w:t>(Art. 1, Decreto 2242 de 2015)</w:t>
      </w:r>
    </w:p>
    <w:p w14:paraId="1C60AC5D" w14:textId="77777777" w:rsidR="00B2442D" w:rsidRDefault="00B2442D">
      <w:pPr>
        <w:spacing w:line="40" w:lineRule="atLeast"/>
        <w:jc w:val="both"/>
        <w:rPr>
          <w:rFonts w:ascii="Arial" w:hAnsi="Arial" w:cs="Arial"/>
        </w:rPr>
      </w:pPr>
    </w:p>
    <w:p w14:paraId="43C12122"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Definiciones.</w:t>
      </w:r>
      <w:r>
        <w:rPr>
          <w:rFonts w:ascii="Arial" w:hAnsi="Arial" w:cs="Arial"/>
        </w:rPr>
        <w:t xml:space="preserve"> Para efectos de la aplicación e interpretación de la p</w:t>
      </w:r>
      <w:r>
        <w:rPr>
          <w:rFonts w:ascii="Arial" w:hAnsi="Arial" w:cs="Arial"/>
        </w:rPr>
        <w:t>resente Sección, se tendrán en cuenta siguientes definiciones:</w:t>
      </w:r>
    </w:p>
    <w:p w14:paraId="6320FBC7" w14:textId="77777777" w:rsidR="00B2442D" w:rsidRDefault="00B2442D">
      <w:pPr>
        <w:spacing w:line="40" w:lineRule="atLeast"/>
        <w:jc w:val="both"/>
        <w:rPr>
          <w:rFonts w:ascii="Arial" w:hAnsi="Arial" w:cs="Arial"/>
        </w:rPr>
      </w:pPr>
    </w:p>
    <w:p w14:paraId="0367E6C0" w14:textId="77777777" w:rsidR="00B2442D" w:rsidRDefault="008A645F">
      <w:pPr>
        <w:spacing w:line="40" w:lineRule="atLeast"/>
        <w:jc w:val="both"/>
        <w:rPr>
          <w:rFonts w:ascii="Arial" w:hAnsi="Arial" w:cs="Arial"/>
        </w:rPr>
      </w:pPr>
      <w:r>
        <w:rPr>
          <w:rFonts w:ascii="Arial" w:hAnsi="Arial" w:cs="Arial"/>
        </w:rPr>
        <w:t>1. Factura electrónica: Es el documento que soporta transacciones de venta bienes y/o servicios y que operativamente tiene lugar a través de sistemas computacionales y/o soluciones informática</w:t>
      </w:r>
      <w:r>
        <w:rPr>
          <w:rFonts w:ascii="Arial" w:hAnsi="Arial" w:cs="Arial"/>
        </w:rPr>
        <w:t>s que permiten el cumplimiento de las características y condiciones que se establecen de la presente Sección en relación con la expedición, recibo, rechazo y conservación. La expedición de la factura electrónica comprende la generación por el obligado a fa</w:t>
      </w:r>
      <w:r>
        <w:rPr>
          <w:rFonts w:ascii="Arial" w:hAnsi="Arial" w:cs="Arial"/>
        </w:rPr>
        <w:t>cturar y su entrega al adquirente.</w:t>
      </w:r>
    </w:p>
    <w:p w14:paraId="440C04FA" w14:textId="77777777" w:rsidR="00B2442D" w:rsidRDefault="00B2442D">
      <w:pPr>
        <w:spacing w:line="40" w:lineRule="atLeast"/>
        <w:jc w:val="both"/>
        <w:rPr>
          <w:rFonts w:ascii="Arial" w:hAnsi="Arial" w:cs="Arial"/>
        </w:rPr>
      </w:pPr>
    </w:p>
    <w:p w14:paraId="1C27D1A0" w14:textId="77777777" w:rsidR="00B2442D" w:rsidRDefault="008A645F">
      <w:pPr>
        <w:spacing w:line="40" w:lineRule="atLeast"/>
        <w:jc w:val="both"/>
        <w:rPr>
          <w:rFonts w:ascii="Arial" w:hAnsi="Arial" w:cs="Arial"/>
        </w:rPr>
      </w:pPr>
      <w:r>
        <w:rPr>
          <w:rFonts w:ascii="Arial" w:hAnsi="Arial" w:cs="Arial"/>
        </w:rPr>
        <w:t>2. Obligado a facturar electrónicamente: Persona natural o jurídica comprendida en el ámbito de este Decreto y que como tal debe facturar electrónicamente en las condiciones que se establecen en los artículos siguientes.</w:t>
      </w:r>
    </w:p>
    <w:p w14:paraId="3EA1A2B2" w14:textId="77777777" w:rsidR="00B2442D" w:rsidRDefault="00B2442D">
      <w:pPr>
        <w:spacing w:line="40" w:lineRule="atLeast"/>
        <w:jc w:val="both"/>
        <w:rPr>
          <w:rFonts w:ascii="Arial" w:hAnsi="Arial" w:cs="Arial"/>
        </w:rPr>
      </w:pPr>
    </w:p>
    <w:p w14:paraId="59EB49A6" w14:textId="77777777" w:rsidR="00B2442D" w:rsidRDefault="008A645F">
      <w:pPr>
        <w:spacing w:line="40" w:lineRule="atLeast"/>
        <w:jc w:val="both"/>
        <w:rPr>
          <w:rFonts w:ascii="Arial" w:hAnsi="Arial" w:cs="Arial"/>
        </w:rPr>
      </w:pPr>
      <w:r>
        <w:rPr>
          <w:rFonts w:ascii="Arial" w:hAnsi="Arial" w:cs="Arial"/>
        </w:rPr>
        <w:t>3. Adquirente: Persona natural o jurídica que adquiere bienes y/o servicios y debe exigir factura o documento equivalente y, que tratándose de la factura electrónica, la recibe, rechaza, cuando sea del caso y, conserva para su posterior exhibición, en la</w:t>
      </w:r>
      <w:r>
        <w:rPr>
          <w:rFonts w:ascii="Arial" w:hAnsi="Arial" w:cs="Arial"/>
        </w:rPr>
        <w:t>s condiciones que se establecen en el presente Decreto.</w:t>
      </w:r>
    </w:p>
    <w:p w14:paraId="32754DFB" w14:textId="77777777" w:rsidR="00B2442D" w:rsidRDefault="00B2442D">
      <w:pPr>
        <w:spacing w:line="40" w:lineRule="atLeast"/>
        <w:jc w:val="both"/>
        <w:rPr>
          <w:rFonts w:ascii="Arial" w:hAnsi="Arial" w:cs="Arial"/>
        </w:rPr>
      </w:pPr>
    </w:p>
    <w:p w14:paraId="593D6681" w14:textId="77777777" w:rsidR="00B2442D" w:rsidRDefault="008A645F">
      <w:pPr>
        <w:spacing w:line="40" w:lineRule="atLeast"/>
        <w:jc w:val="both"/>
        <w:rPr>
          <w:rFonts w:ascii="Arial" w:hAnsi="Arial" w:cs="Arial"/>
        </w:rPr>
      </w:pPr>
      <w:r>
        <w:rPr>
          <w:rFonts w:ascii="Arial" w:hAnsi="Arial" w:cs="Arial"/>
        </w:rPr>
        <w:t xml:space="preserve">4. Proveedor tecnológico: Es la persona natural o jurídica que podrá prestar a los obligados a facturar electrónicamente y/o a los adquirentes que opten por recibir la factura en formato electrónico </w:t>
      </w:r>
      <w:r>
        <w:rPr>
          <w:rFonts w:ascii="Arial" w:hAnsi="Arial" w:cs="Arial"/>
        </w:rPr>
        <w:t xml:space="preserve">de generación, cuando unos u otros así lo autoricen, los servicios inherentes a la expedición de la factura electrónica, incluida la entrega del ejemplar a la </w:t>
      </w:r>
      <w:r>
        <w:rPr>
          <w:rFonts w:ascii="Arial" w:hAnsi="Arial" w:cs="Arial"/>
          <w:lang w:val="es-CO"/>
        </w:rPr>
        <w:t>Unidad Administrativa Especial  Dirección de Impuestos y Aduanas Nacionales-</w:t>
      </w:r>
      <w:r>
        <w:rPr>
          <w:rFonts w:ascii="Arial" w:hAnsi="Arial" w:cs="Arial"/>
        </w:rPr>
        <w:t>DIAN como se indica e</w:t>
      </w:r>
      <w:r>
        <w:rPr>
          <w:rFonts w:ascii="Arial" w:hAnsi="Arial" w:cs="Arial"/>
        </w:rPr>
        <w:t>n el artículo 1.6.1.4.1.7 del presente Decreto, así como los servicios relacionados con su recibo, rechazo y conservación. El proveedor tecnológico deberá surtir el proceso de autorización por parte de la DIAN previsto en el artículo 1.6.1.4.1.12 del prese</w:t>
      </w:r>
      <w:r>
        <w:rPr>
          <w:rFonts w:ascii="Arial" w:hAnsi="Arial" w:cs="Arial"/>
        </w:rPr>
        <w:t>nte Decreto.</w:t>
      </w:r>
    </w:p>
    <w:p w14:paraId="23925847" w14:textId="77777777" w:rsidR="00B2442D" w:rsidRDefault="00B2442D">
      <w:pPr>
        <w:spacing w:line="40" w:lineRule="atLeast"/>
        <w:jc w:val="both"/>
        <w:rPr>
          <w:rFonts w:ascii="Arial" w:hAnsi="Arial" w:cs="Arial"/>
        </w:rPr>
      </w:pPr>
    </w:p>
    <w:p w14:paraId="40516779" w14:textId="77777777" w:rsidR="00B2442D" w:rsidRDefault="008A645F">
      <w:pPr>
        <w:spacing w:line="40" w:lineRule="atLeast"/>
        <w:jc w:val="both"/>
        <w:rPr>
          <w:rFonts w:ascii="Arial" w:hAnsi="Arial" w:cs="Arial"/>
        </w:rPr>
      </w:pPr>
      <w:r>
        <w:rPr>
          <w:rFonts w:ascii="Arial" w:hAnsi="Arial" w:cs="Arial"/>
        </w:rPr>
        <w:t xml:space="preserve">5. Catálogo de Participantes de Factura Electrónica: Es el registro electrónico administrado por la </w:t>
      </w:r>
      <w:r>
        <w:rPr>
          <w:rFonts w:ascii="Arial" w:hAnsi="Arial" w:cs="Arial"/>
          <w:lang w:val="es-CO"/>
        </w:rPr>
        <w:t>Unidad Administrativa Especial  Dirección de Impuestos y Aduanas Nacionales-</w:t>
      </w:r>
      <w:r>
        <w:rPr>
          <w:rFonts w:ascii="Arial" w:hAnsi="Arial" w:cs="Arial"/>
        </w:rPr>
        <w:t>DIAN, que provee información de los obligados a facturar electróni</w:t>
      </w:r>
      <w:r>
        <w:rPr>
          <w:rFonts w:ascii="Arial" w:hAnsi="Arial" w:cs="Arial"/>
        </w:rPr>
        <w:t>camente dentro del ámbito de la presente Sección, de los adquirentes que decidan recibirla electrónicamente y proveedores tecnológicos, con el fin de facilitar su operatividad.</w:t>
      </w:r>
    </w:p>
    <w:p w14:paraId="0DFB51F8" w14:textId="77777777" w:rsidR="00B2442D" w:rsidRDefault="00B2442D">
      <w:pPr>
        <w:spacing w:line="40" w:lineRule="atLeast"/>
        <w:jc w:val="both"/>
        <w:rPr>
          <w:rFonts w:ascii="Arial" w:hAnsi="Arial" w:cs="Arial"/>
        </w:rPr>
      </w:pPr>
    </w:p>
    <w:p w14:paraId="7D8455BB" w14:textId="77777777" w:rsidR="00B2442D" w:rsidRDefault="008A645F">
      <w:pPr>
        <w:spacing w:line="40" w:lineRule="atLeast"/>
        <w:jc w:val="both"/>
        <w:rPr>
          <w:rFonts w:ascii="Arial" w:hAnsi="Arial" w:cs="Arial"/>
        </w:rPr>
      </w:pPr>
      <w:r>
        <w:rPr>
          <w:rFonts w:ascii="Arial" w:hAnsi="Arial" w:cs="Arial"/>
        </w:rPr>
        <w:t>6. Código Único de Factura Electrónica: El código único de factura electrónica para las facturas electrónicas, corresponde a un valor alfanumérico obtenido a partir de la aplicación de un procedimiento que utiliza datos de la factura, que adicionalmente in</w:t>
      </w:r>
      <w:r>
        <w:rPr>
          <w:rFonts w:ascii="Arial" w:hAnsi="Arial" w:cs="Arial"/>
        </w:rPr>
        <w:t xml:space="preserve">cluye la clave de contenido técnico de control generada y entregada por la </w:t>
      </w:r>
      <w:r>
        <w:rPr>
          <w:rFonts w:ascii="Arial" w:hAnsi="Arial" w:cs="Arial"/>
          <w:lang w:val="es-CO"/>
        </w:rPr>
        <w:t>Unidad Administrativa Especial  Dirección de Impuestos y Aduanas Nacionales-</w:t>
      </w:r>
      <w:r>
        <w:rPr>
          <w:rFonts w:ascii="Arial" w:hAnsi="Arial" w:cs="Arial"/>
        </w:rPr>
        <w:t>DIAN.</w:t>
      </w:r>
    </w:p>
    <w:p w14:paraId="58D9E171" w14:textId="77777777" w:rsidR="00B2442D" w:rsidRDefault="00B2442D">
      <w:pPr>
        <w:spacing w:line="40" w:lineRule="atLeast"/>
        <w:jc w:val="both"/>
        <w:rPr>
          <w:rFonts w:ascii="Arial" w:hAnsi="Arial" w:cs="Arial"/>
        </w:rPr>
      </w:pPr>
    </w:p>
    <w:p w14:paraId="39AA854B" w14:textId="77777777" w:rsidR="00B2442D" w:rsidRDefault="008A645F">
      <w:pPr>
        <w:spacing w:line="40" w:lineRule="atLeast"/>
        <w:jc w:val="both"/>
        <w:rPr>
          <w:rFonts w:ascii="Arial" w:hAnsi="Arial" w:cs="Arial"/>
        </w:rPr>
      </w:pPr>
      <w:r>
        <w:rPr>
          <w:rFonts w:ascii="Arial" w:hAnsi="Arial" w:cs="Arial"/>
        </w:rPr>
        <w:t xml:space="preserve">El código único de factura electrónica deberá ser incluido como un campo más dentro de la factura </w:t>
      </w:r>
      <w:r>
        <w:rPr>
          <w:rFonts w:ascii="Arial" w:hAnsi="Arial" w:cs="Arial"/>
        </w:rPr>
        <w:t>electrónica. Este código deberá visualizarse en la representación gráfica de las facturas electrónicas y en los códigos bidimensionales definidos para tal fin.</w:t>
      </w:r>
    </w:p>
    <w:p w14:paraId="5DC84E88" w14:textId="77777777" w:rsidR="00B2442D" w:rsidRDefault="00B2442D">
      <w:pPr>
        <w:spacing w:line="40" w:lineRule="atLeast"/>
        <w:jc w:val="both"/>
        <w:rPr>
          <w:rFonts w:ascii="Arial" w:hAnsi="Arial" w:cs="Arial"/>
        </w:rPr>
      </w:pPr>
    </w:p>
    <w:p w14:paraId="6879B1C3" w14:textId="77777777" w:rsidR="00B2442D" w:rsidRDefault="008A645F">
      <w:pPr>
        <w:jc w:val="both"/>
        <w:rPr>
          <w:rFonts w:ascii="Arial" w:hAnsi="Arial" w:cs="Arial"/>
          <w:i/>
          <w:lang w:val="es-CO"/>
        </w:rPr>
      </w:pPr>
      <w:r>
        <w:rPr>
          <w:rFonts w:ascii="Arial" w:hAnsi="Arial" w:cs="Arial"/>
          <w:i/>
          <w:lang w:val="es-CO"/>
        </w:rPr>
        <w:t>(Art. 2, Decreto 2242 de 2015)</w:t>
      </w:r>
    </w:p>
    <w:p w14:paraId="1FA5776F" w14:textId="77777777" w:rsidR="00B2442D" w:rsidRDefault="00B2442D">
      <w:pPr>
        <w:spacing w:line="40" w:lineRule="atLeast"/>
        <w:jc w:val="both"/>
        <w:rPr>
          <w:rFonts w:ascii="Arial" w:hAnsi="Arial" w:cs="Arial"/>
        </w:rPr>
      </w:pPr>
    </w:p>
    <w:p w14:paraId="29E39EE3"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Condiciones de expedición de la factura electrónica.</w:t>
      </w:r>
      <w:r>
        <w:rPr>
          <w:rFonts w:ascii="Arial" w:hAnsi="Arial" w:cs="Arial"/>
        </w:rPr>
        <w:t xml:space="preserve"> Para efect</w:t>
      </w:r>
      <w:r>
        <w:rPr>
          <w:rFonts w:ascii="Arial" w:hAnsi="Arial" w:cs="Arial"/>
        </w:rPr>
        <w:t>os de control fiscal, la expedición (generación y entrega) de la factura electrónica deberá cumplir las siguientes condiciones tecnológicas y de contenido fiscal:</w:t>
      </w:r>
    </w:p>
    <w:p w14:paraId="1C5341D5" w14:textId="77777777" w:rsidR="00B2442D" w:rsidRDefault="00B2442D">
      <w:pPr>
        <w:spacing w:line="40" w:lineRule="atLeast"/>
        <w:jc w:val="both"/>
        <w:rPr>
          <w:rFonts w:ascii="Arial" w:hAnsi="Arial" w:cs="Arial"/>
        </w:rPr>
      </w:pPr>
    </w:p>
    <w:p w14:paraId="41115A47" w14:textId="77777777" w:rsidR="00B2442D" w:rsidRDefault="008A645F">
      <w:pPr>
        <w:spacing w:line="40" w:lineRule="atLeast"/>
        <w:jc w:val="both"/>
        <w:rPr>
          <w:rFonts w:ascii="Arial" w:hAnsi="Arial" w:cs="Arial"/>
        </w:rPr>
      </w:pPr>
      <w:r>
        <w:rPr>
          <w:rFonts w:ascii="Arial" w:hAnsi="Arial" w:cs="Arial"/>
        </w:rPr>
        <w:t>1. Condiciones de generación:</w:t>
      </w:r>
    </w:p>
    <w:p w14:paraId="51C11DB9" w14:textId="77777777" w:rsidR="00B2442D" w:rsidRDefault="00B2442D">
      <w:pPr>
        <w:spacing w:line="40" w:lineRule="atLeast"/>
        <w:jc w:val="both"/>
        <w:rPr>
          <w:rFonts w:ascii="Arial" w:hAnsi="Arial" w:cs="Arial"/>
        </w:rPr>
      </w:pPr>
    </w:p>
    <w:p w14:paraId="789E2A6E" w14:textId="77777777" w:rsidR="00B2442D" w:rsidRDefault="008A645F">
      <w:pPr>
        <w:spacing w:line="40" w:lineRule="atLeast"/>
        <w:ind w:left="426" w:hanging="426"/>
        <w:jc w:val="both"/>
        <w:rPr>
          <w:rFonts w:ascii="Arial" w:hAnsi="Arial" w:cs="Arial"/>
        </w:rPr>
      </w:pPr>
      <w:r>
        <w:rPr>
          <w:rFonts w:ascii="Arial" w:hAnsi="Arial" w:cs="Arial"/>
        </w:rPr>
        <w:t xml:space="preserve">a) </w:t>
      </w:r>
      <w:r>
        <w:rPr>
          <w:rFonts w:ascii="Arial" w:hAnsi="Arial" w:cs="Arial"/>
        </w:rPr>
        <w:tab/>
        <w:t>Utilizar el formato electrónico de generación XML estánda</w:t>
      </w:r>
      <w:r>
        <w:rPr>
          <w:rFonts w:ascii="Arial" w:hAnsi="Arial" w:cs="Arial"/>
        </w:rPr>
        <w:t xml:space="preserve">r establecido por la </w:t>
      </w:r>
      <w:r>
        <w:rPr>
          <w:rFonts w:ascii="Arial" w:hAnsi="Arial" w:cs="Arial"/>
          <w:lang w:val="es-CO"/>
        </w:rPr>
        <w:t>Unidad Administrativa Especial Dirección de Impuestos y Aduanas Nacionales-</w:t>
      </w:r>
      <w:r>
        <w:rPr>
          <w:rFonts w:ascii="Arial" w:hAnsi="Arial" w:cs="Arial"/>
        </w:rPr>
        <w:t>DIAN.</w:t>
      </w:r>
    </w:p>
    <w:p w14:paraId="66CEB133" w14:textId="77777777" w:rsidR="00B2442D" w:rsidRDefault="00B2442D">
      <w:pPr>
        <w:spacing w:line="40" w:lineRule="atLeast"/>
        <w:ind w:left="426" w:hanging="426"/>
        <w:jc w:val="both"/>
        <w:rPr>
          <w:rFonts w:ascii="Arial" w:hAnsi="Arial" w:cs="Arial"/>
        </w:rPr>
      </w:pPr>
    </w:p>
    <w:p w14:paraId="2270D974" w14:textId="77777777" w:rsidR="00B2442D" w:rsidRDefault="008A645F">
      <w:pPr>
        <w:spacing w:line="40" w:lineRule="atLeast"/>
        <w:ind w:left="426" w:hanging="426"/>
        <w:jc w:val="both"/>
        <w:rPr>
          <w:rFonts w:ascii="Arial" w:hAnsi="Arial" w:cs="Arial"/>
        </w:rPr>
      </w:pPr>
      <w:r>
        <w:rPr>
          <w:rFonts w:ascii="Arial" w:hAnsi="Arial" w:cs="Arial"/>
        </w:rPr>
        <w:t xml:space="preserve">b) </w:t>
      </w:r>
      <w:r>
        <w:rPr>
          <w:rFonts w:ascii="Arial" w:hAnsi="Arial" w:cs="Arial"/>
        </w:rPr>
        <w:tab/>
        <w:t xml:space="preserve">Llevar numeración consecutiva autorizada por la </w:t>
      </w:r>
      <w:r>
        <w:rPr>
          <w:rFonts w:ascii="Arial" w:hAnsi="Arial" w:cs="Arial"/>
          <w:lang w:val="es-CO"/>
        </w:rPr>
        <w:t>Unidad Administrativa Especial Dirección de Impuestos y Aduanas Nacionales-</w:t>
      </w:r>
      <w:r>
        <w:rPr>
          <w:rFonts w:ascii="Arial" w:hAnsi="Arial" w:cs="Arial"/>
        </w:rPr>
        <w:t>DIAN en las condiciones qu</w:t>
      </w:r>
      <w:r>
        <w:rPr>
          <w:rFonts w:ascii="Arial" w:hAnsi="Arial" w:cs="Arial"/>
        </w:rPr>
        <w:t>e ésta señale.</w:t>
      </w:r>
    </w:p>
    <w:p w14:paraId="5E530E81" w14:textId="77777777" w:rsidR="00B2442D" w:rsidRDefault="00B2442D">
      <w:pPr>
        <w:spacing w:line="40" w:lineRule="atLeast"/>
        <w:ind w:left="426" w:hanging="426"/>
        <w:jc w:val="both"/>
        <w:rPr>
          <w:rFonts w:ascii="Arial" w:hAnsi="Arial" w:cs="Arial"/>
        </w:rPr>
      </w:pPr>
    </w:p>
    <w:p w14:paraId="33606320" w14:textId="77777777" w:rsidR="00B2442D" w:rsidRDefault="008A645F">
      <w:pPr>
        <w:spacing w:line="40" w:lineRule="atLeast"/>
        <w:ind w:left="426" w:hanging="426"/>
        <w:jc w:val="both"/>
        <w:rPr>
          <w:rFonts w:ascii="Arial" w:hAnsi="Arial" w:cs="Arial"/>
        </w:rPr>
      </w:pPr>
      <w:r>
        <w:rPr>
          <w:rFonts w:ascii="Arial" w:hAnsi="Arial" w:cs="Arial"/>
        </w:rPr>
        <w:t xml:space="preserve">c) </w:t>
      </w:r>
      <w:r>
        <w:rPr>
          <w:rFonts w:ascii="Arial" w:hAnsi="Arial" w:cs="Arial"/>
        </w:rPr>
        <w:tab/>
        <w:t xml:space="preserve">Cumplir los requisitos señalados en el artículo 617 del Estatuto Tributario, salvo lo referente al nombre o razón social y NIT del impresor y la pre- impresión de los requisitos a que se refiere esta norma; y discriminar el impuesto al </w:t>
      </w:r>
      <w:r>
        <w:rPr>
          <w:rFonts w:ascii="Arial" w:hAnsi="Arial" w:cs="Arial"/>
        </w:rPr>
        <w:t>consumo, cuando sea del caso.</w:t>
      </w:r>
    </w:p>
    <w:p w14:paraId="13C78A8F" w14:textId="77777777" w:rsidR="00B2442D" w:rsidRDefault="00B2442D">
      <w:pPr>
        <w:spacing w:line="40" w:lineRule="atLeast"/>
        <w:ind w:left="426" w:hanging="426"/>
        <w:jc w:val="both"/>
        <w:rPr>
          <w:rFonts w:ascii="Arial" w:hAnsi="Arial" w:cs="Arial"/>
        </w:rPr>
      </w:pPr>
    </w:p>
    <w:p w14:paraId="691B51CF" w14:textId="77777777" w:rsidR="00B2442D" w:rsidRDefault="008A645F">
      <w:pPr>
        <w:spacing w:line="40" w:lineRule="atLeast"/>
        <w:ind w:left="426"/>
        <w:jc w:val="both"/>
        <w:rPr>
          <w:rFonts w:ascii="Arial" w:hAnsi="Arial" w:cs="Arial"/>
        </w:rPr>
      </w:pPr>
      <w:r>
        <w:rPr>
          <w:rFonts w:ascii="Arial" w:hAnsi="Arial" w:cs="Arial"/>
        </w:rPr>
        <w:t>Cuando el adquirente persona natural no tenga NIT deberá incluirse el tipo y número del documento de identificación.</w:t>
      </w:r>
    </w:p>
    <w:p w14:paraId="581E6570" w14:textId="77777777" w:rsidR="00B2442D" w:rsidRDefault="00B2442D">
      <w:pPr>
        <w:spacing w:line="40" w:lineRule="atLeast"/>
        <w:ind w:left="426" w:hanging="426"/>
        <w:jc w:val="both"/>
        <w:rPr>
          <w:rFonts w:ascii="Arial" w:hAnsi="Arial" w:cs="Arial"/>
        </w:rPr>
      </w:pPr>
    </w:p>
    <w:p w14:paraId="21266177" w14:textId="77777777" w:rsidR="00B2442D" w:rsidRDefault="008A645F">
      <w:pPr>
        <w:spacing w:line="40" w:lineRule="atLeast"/>
        <w:ind w:left="426" w:hanging="426"/>
        <w:jc w:val="both"/>
        <w:rPr>
          <w:rFonts w:ascii="Arial" w:hAnsi="Arial" w:cs="Arial"/>
        </w:rPr>
      </w:pPr>
      <w:r>
        <w:rPr>
          <w:rFonts w:ascii="Arial" w:hAnsi="Arial" w:cs="Arial"/>
        </w:rPr>
        <w:t xml:space="preserve">d) </w:t>
      </w:r>
      <w:r>
        <w:rPr>
          <w:rFonts w:ascii="Arial" w:hAnsi="Arial" w:cs="Arial"/>
        </w:rPr>
        <w:tab/>
        <w:t>Incluir firma digital o electrónica como elemento para garantizar autenticidad e integridad de la factu</w:t>
      </w:r>
      <w:r>
        <w:rPr>
          <w:rFonts w:ascii="Arial" w:hAnsi="Arial" w:cs="Arial"/>
        </w:rPr>
        <w:t>ra electrónica desde su expedición hasta su conservación, de acuerdo con la Ley 962 de 2005 en concordancia con la Ley 527 de 1999, los artículos 2.2.2.47.1 y siguientes, y 2.2.2.48.1.1 y siguientes del Decreto Único Reglamentario 1074 de 2015 y las normas</w:t>
      </w:r>
      <w:r>
        <w:rPr>
          <w:rFonts w:ascii="Arial" w:hAnsi="Arial" w:cs="Arial"/>
        </w:rPr>
        <w:t xml:space="preserve"> que los modifiquen, adicionen o sustituyan, y de acuerdo con la política de firma que establezca la </w:t>
      </w:r>
      <w:r>
        <w:rPr>
          <w:rFonts w:ascii="Arial" w:hAnsi="Arial" w:cs="Arial"/>
          <w:lang w:val="es-CO"/>
        </w:rPr>
        <w:t>Unidad Administrativa Especial  Dirección de Impuestos y Aduanas Nacionales-</w:t>
      </w:r>
      <w:r>
        <w:rPr>
          <w:rFonts w:ascii="Arial" w:hAnsi="Arial" w:cs="Arial"/>
        </w:rPr>
        <w:t>DIAN.</w:t>
      </w:r>
    </w:p>
    <w:p w14:paraId="5875DBA9" w14:textId="77777777" w:rsidR="00B2442D" w:rsidRDefault="00B2442D">
      <w:pPr>
        <w:spacing w:line="40" w:lineRule="atLeast"/>
        <w:jc w:val="both"/>
        <w:rPr>
          <w:rFonts w:ascii="Arial" w:hAnsi="Arial" w:cs="Arial"/>
        </w:rPr>
      </w:pPr>
    </w:p>
    <w:p w14:paraId="3C78BC89" w14:textId="77777777" w:rsidR="00B2442D" w:rsidRDefault="008A645F">
      <w:pPr>
        <w:spacing w:line="40" w:lineRule="atLeast"/>
        <w:jc w:val="both"/>
        <w:rPr>
          <w:rFonts w:ascii="Arial" w:hAnsi="Arial" w:cs="Arial"/>
        </w:rPr>
      </w:pPr>
      <w:r>
        <w:rPr>
          <w:rFonts w:ascii="Arial" w:hAnsi="Arial" w:cs="Arial"/>
        </w:rPr>
        <w:t xml:space="preserve">La firma digital o electrónica que se incluya en la factura electrónica </w:t>
      </w:r>
      <w:r>
        <w:rPr>
          <w:rFonts w:ascii="Arial" w:hAnsi="Arial" w:cs="Arial"/>
        </w:rPr>
        <w:t>como elemento tecnológico para el control fiscal podrá pertenecer:</w:t>
      </w:r>
    </w:p>
    <w:p w14:paraId="7EE59AF3" w14:textId="77777777" w:rsidR="00B2442D" w:rsidRDefault="00B2442D">
      <w:pPr>
        <w:spacing w:line="40" w:lineRule="atLeast"/>
        <w:jc w:val="both"/>
        <w:rPr>
          <w:rFonts w:ascii="Arial" w:hAnsi="Arial" w:cs="Arial"/>
        </w:rPr>
      </w:pPr>
    </w:p>
    <w:p w14:paraId="49764B8C" w14:textId="77777777" w:rsidR="00B2442D" w:rsidRDefault="008A645F">
      <w:pPr>
        <w:numPr>
          <w:ilvl w:val="0"/>
          <w:numId w:val="153"/>
        </w:numPr>
        <w:spacing w:line="40" w:lineRule="atLeast"/>
        <w:ind w:left="284" w:hanging="284"/>
        <w:jc w:val="both"/>
        <w:rPr>
          <w:rFonts w:ascii="Arial" w:hAnsi="Arial" w:cs="Arial"/>
        </w:rPr>
      </w:pPr>
      <w:r>
        <w:rPr>
          <w:rFonts w:ascii="Arial" w:hAnsi="Arial" w:cs="Arial"/>
        </w:rPr>
        <w:t>Al obligado a facturar electrónicamente.</w:t>
      </w:r>
    </w:p>
    <w:p w14:paraId="5A3D09A8" w14:textId="77777777" w:rsidR="00B2442D" w:rsidRDefault="00B2442D">
      <w:pPr>
        <w:spacing w:line="40" w:lineRule="atLeast"/>
        <w:ind w:left="284" w:hanging="284"/>
        <w:jc w:val="both"/>
        <w:rPr>
          <w:rFonts w:ascii="Arial" w:hAnsi="Arial" w:cs="Arial"/>
        </w:rPr>
      </w:pPr>
    </w:p>
    <w:p w14:paraId="72A85D07" w14:textId="77777777" w:rsidR="00B2442D" w:rsidRDefault="008A645F">
      <w:pPr>
        <w:numPr>
          <w:ilvl w:val="0"/>
          <w:numId w:val="153"/>
        </w:numPr>
        <w:spacing w:line="40" w:lineRule="atLeast"/>
        <w:ind w:left="284" w:hanging="284"/>
        <w:jc w:val="both"/>
        <w:rPr>
          <w:rFonts w:ascii="Arial" w:hAnsi="Arial" w:cs="Arial"/>
        </w:rPr>
      </w:pPr>
      <w:r>
        <w:rPr>
          <w:rFonts w:ascii="Arial" w:hAnsi="Arial" w:cs="Arial"/>
        </w:rPr>
        <w:t>A los sujetos autorizados en su empresa.</w:t>
      </w:r>
    </w:p>
    <w:p w14:paraId="4005BE11" w14:textId="77777777" w:rsidR="00B2442D" w:rsidRDefault="00B2442D">
      <w:pPr>
        <w:pStyle w:val="Prrafodelista"/>
        <w:ind w:left="284" w:hanging="284"/>
        <w:rPr>
          <w:rFonts w:ascii="Arial" w:hAnsi="Arial" w:cs="Arial"/>
        </w:rPr>
      </w:pPr>
    </w:p>
    <w:p w14:paraId="37597B00" w14:textId="77777777" w:rsidR="00B2442D" w:rsidRDefault="008A645F">
      <w:pPr>
        <w:numPr>
          <w:ilvl w:val="0"/>
          <w:numId w:val="153"/>
        </w:numPr>
        <w:spacing w:line="40" w:lineRule="atLeast"/>
        <w:ind w:left="284" w:hanging="284"/>
        <w:jc w:val="both"/>
        <w:rPr>
          <w:rFonts w:ascii="Arial" w:hAnsi="Arial" w:cs="Arial"/>
        </w:rPr>
      </w:pPr>
      <w:r>
        <w:rPr>
          <w:rFonts w:ascii="Arial" w:hAnsi="Arial" w:cs="Arial"/>
        </w:rPr>
        <w:t xml:space="preserve">Al proveedor tecnológico, en las condiciones que acuerden, cuando sea expresamente autorizado por el </w:t>
      </w:r>
      <w:r>
        <w:rPr>
          <w:rFonts w:ascii="Arial" w:hAnsi="Arial" w:cs="Arial"/>
        </w:rPr>
        <w:t>obligado a facturar electrónicamente, para este efecto.</w:t>
      </w:r>
    </w:p>
    <w:p w14:paraId="7ED08D42" w14:textId="77777777" w:rsidR="00B2442D" w:rsidRDefault="00B2442D">
      <w:pPr>
        <w:spacing w:line="40" w:lineRule="atLeast"/>
        <w:jc w:val="both"/>
        <w:rPr>
          <w:rFonts w:ascii="Arial" w:hAnsi="Arial" w:cs="Arial"/>
        </w:rPr>
      </w:pPr>
    </w:p>
    <w:p w14:paraId="21C80A26" w14:textId="77777777" w:rsidR="00B2442D" w:rsidRDefault="008A645F">
      <w:pPr>
        <w:spacing w:line="40" w:lineRule="atLeast"/>
        <w:ind w:left="426" w:hanging="426"/>
        <w:jc w:val="both"/>
        <w:rPr>
          <w:rFonts w:ascii="Arial" w:hAnsi="Arial" w:cs="Arial"/>
        </w:rPr>
      </w:pPr>
      <w:r>
        <w:rPr>
          <w:rFonts w:ascii="Arial" w:hAnsi="Arial" w:cs="Arial"/>
        </w:rPr>
        <w:t xml:space="preserve">e) </w:t>
      </w:r>
      <w:r>
        <w:rPr>
          <w:rFonts w:ascii="Arial" w:hAnsi="Arial" w:cs="Arial"/>
        </w:rPr>
        <w:tab/>
        <w:t>Incluir el Código Único de Factura Electrónica.</w:t>
      </w:r>
    </w:p>
    <w:p w14:paraId="123A204F" w14:textId="77777777" w:rsidR="00B2442D" w:rsidRDefault="00B2442D">
      <w:pPr>
        <w:spacing w:line="40" w:lineRule="atLeast"/>
        <w:jc w:val="both"/>
        <w:rPr>
          <w:rFonts w:ascii="Arial" w:hAnsi="Arial" w:cs="Arial"/>
        </w:rPr>
      </w:pPr>
    </w:p>
    <w:p w14:paraId="5AF63BA2" w14:textId="77777777" w:rsidR="00B2442D" w:rsidRDefault="008A645F">
      <w:pPr>
        <w:spacing w:line="40" w:lineRule="atLeast"/>
        <w:jc w:val="both"/>
        <w:rPr>
          <w:rFonts w:ascii="Arial" w:hAnsi="Arial" w:cs="Arial"/>
        </w:rPr>
      </w:pPr>
      <w:r>
        <w:rPr>
          <w:rFonts w:ascii="Arial" w:hAnsi="Arial" w:cs="Arial"/>
        </w:rPr>
        <w:t xml:space="preserve">2. Condiciones de entrega: El obligado a facturar electrónicamente deberá entregar o poner a disposición del adquirente la factura en el </w:t>
      </w:r>
      <w:r>
        <w:rPr>
          <w:rFonts w:ascii="Arial" w:hAnsi="Arial" w:cs="Arial"/>
        </w:rPr>
        <w:t>formato electrónico de generación, siempre que:</w:t>
      </w:r>
    </w:p>
    <w:p w14:paraId="335A93E3" w14:textId="77777777" w:rsidR="00B2442D" w:rsidRDefault="00B2442D">
      <w:pPr>
        <w:spacing w:line="40" w:lineRule="atLeast"/>
        <w:jc w:val="both"/>
        <w:rPr>
          <w:rFonts w:ascii="Arial" w:hAnsi="Arial" w:cs="Arial"/>
        </w:rPr>
      </w:pPr>
    </w:p>
    <w:p w14:paraId="34E843BB" w14:textId="77777777" w:rsidR="00B2442D" w:rsidRDefault="008A645F">
      <w:pPr>
        <w:pStyle w:val="Prrafodelista"/>
        <w:numPr>
          <w:ilvl w:val="0"/>
          <w:numId w:val="164"/>
        </w:numPr>
        <w:spacing w:line="40" w:lineRule="atLeast"/>
        <w:ind w:left="426" w:hanging="426"/>
        <w:jc w:val="both"/>
        <w:rPr>
          <w:rFonts w:ascii="Arial" w:hAnsi="Arial" w:cs="Arial"/>
        </w:rPr>
      </w:pPr>
      <w:r>
        <w:rPr>
          <w:rFonts w:ascii="Arial" w:hAnsi="Arial" w:cs="Arial"/>
        </w:rPr>
        <w:t>El adquirente también expida factura electrónica, por tratarse de un obligado a facturar electrónicamente en el ámbito de la presente Sección.</w:t>
      </w:r>
    </w:p>
    <w:p w14:paraId="4D7B35B9" w14:textId="77777777" w:rsidR="00B2442D" w:rsidRDefault="00B2442D">
      <w:pPr>
        <w:pStyle w:val="Prrafodelista"/>
        <w:spacing w:line="40" w:lineRule="atLeast"/>
        <w:ind w:left="426" w:hanging="426"/>
        <w:jc w:val="both"/>
        <w:rPr>
          <w:rFonts w:ascii="Arial" w:hAnsi="Arial" w:cs="Arial"/>
        </w:rPr>
      </w:pPr>
    </w:p>
    <w:p w14:paraId="0AC8DD6A" w14:textId="77777777" w:rsidR="00B2442D" w:rsidRDefault="008A645F">
      <w:pPr>
        <w:pStyle w:val="Prrafodelista"/>
        <w:numPr>
          <w:ilvl w:val="0"/>
          <w:numId w:val="164"/>
        </w:numPr>
        <w:spacing w:line="40" w:lineRule="atLeast"/>
        <w:ind w:left="426" w:hanging="426"/>
        <w:jc w:val="both"/>
        <w:rPr>
          <w:rFonts w:ascii="Arial" w:hAnsi="Arial" w:cs="Arial"/>
        </w:rPr>
      </w:pPr>
      <w:r>
        <w:rPr>
          <w:rFonts w:ascii="Arial" w:hAnsi="Arial" w:cs="Arial"/>
        </w:rPr>
        <w:t xml:space="preserve"> El adquirente, no obligado a facturar electrónicamente en el á</w:t>
      </w:r>
      <w:r>
        <w:rPr>
          <w:rFonts w:ascii="Arial" w:hAnsi="Arial" w:cs="Arial"/>
        </w:rPr>
        <w:t>mbito de la presente Sección, decida recibir factura en formato electrónico de generación.</w:t>
      </w:r>
    </w:p>
    <w:p w14:paraId="56E2F1DD" w14:textId="77777777" w:rsidR="00B2442D" w:rsidRDefault="00B2442D">
      <w:pPr>
        <w:spacing w:line="40" w:lineRule="atLeast"/>
        <w:jc w:val="both"/>
        <w:rPr>
          <w:rFonts w:ascii="Arial" w:hAnsi="Arial" w:cs="Arial"/>
        </w:rPr>
      </w:pPr>
    </w:p>
    <w:p w14:paraId="5B659AA1" w14:textId="77777777" w:rsidR="00B2442D" w:rsidRDefault="008A645F">
      <w:pPr>
        <w:spacing w:line="40" w:lineRule="atLeast"/>
        <w:jc w:val="both"/>
        <w:rPr>
          <w:rFonts w:ascii="Arial" w:hAnsi="Arial" w:cs="Arial"/>
        </w:rPr>
      </w:pPr>
      <w:r>
        <w:rPr>
          <w:rFonts w:ascii="Arial" w:hAnsi="Arial" w:cs="Arial"/>
        </w:rPr>
        <w:t>Para efectos de la entrega de la factura electrónica en formato electrónico de generación se tendrá en cuenta lo dispuesto en el numeral 2 del artículo 1.6.1.4.1.15</w:t>
      </w:r>
      <w:r>
        <w:rPr>
          <w:rFonts w:ascii="Arial" w:hAnsi="Arial" w:cs="Arial"/>
        </w:rPr>
        <w:t xml:space="preserve"> de este Decreto.</w:t>
      </w:r>
    </w:p>
    <w:p w14:paraId="63E9E92E" w14:textId="77777777" w:rsidR="00B2442D" w:rsidRDefault="00B2442D">
      <w:pPr>
        <w:spacing w:line="40" w:lineRule="atLeast"/>
        <w:jc w:val="both"/>
        <w:rPr>
          <w:rFonts w:ascii="Arial" w:hAnsi="Arial" w:cs="Arial"/>
        </w:rPr>
      </w:pPr>
    </w:p>
    <w:p w14:paraId="1FA3699F" w14:textId="77777777" w:rsidR="00B2442D" w:rsidRDefault="008A645F">
      <w:pPr>
        <w:spacing w:line="40" w:lineRule="atLeast"/>
        <w:jc w:val="both"/>
        <w:rPr>
          <w:rFonts w:ascii="Arial" w:hAnsi="Arial" w:cs="Arial"/>
        </w:rPr>
      </w:pPr>
      <w:r>
        <w:rPr>
          <w:rFonts w:ascii="Arial" w:hAnsi="Arial" w:cs="Arial"/>
          <w:b/>
        </w:rPr>
        <w:t>Parágrafo 1.</w:t>
      </w:r>
      <w:r>
        <w:rPr>
          <w:rFonts w:ascii="Arial" w:hAnsi="Arial" w:cs="Arial"/>
        </w:rPr>
        <w:t xml:space="preserve"> El obligado a facturar electrónicamente deberá entregar al adquirente una representación gráfica de la factura electrónica en formato impreso o en formato digital. En este último caso deberá enviarla al correo o dirección el</w:t>
      </w:r>
      <w:r>
        <w:rPr>
          <w:rFonts w:ascii="Arial" w:hAnsi="Arial" w:cs="Arial"/>
        </w:rPr>
        <w:t>ectrónica indicada por el adquirente o ponerla a disposición del mismo en sitios electrónicos del obligado a facturar electrónicamente, cuando se trate de:</w:t>
      </w:r>
    </w:p>
    <w:p w14:paraId="5B17BF6B" w14:textId="77777777" w:rsidR="00B2442D" w:rsidRDefault="00B2442D">
      <w:pPr>
        <w:spacing w:line="40" w:lineRule="atLeast"/>
        <w:jc w:val="both"/>
        <w:rPr>
          <w:rFonts w:ascii="Arial" w:hAnsi="Arial" w:cs="Arial"/>
        </w:rPr>
      </w:pPr>
    </w:p>
    <w:p w14:paraId="391750BA" w14:textId="77777777" w:rsidR="00B2442D" w:rsidRDefault="008A645F">
      <w:pPr>
        <w:spacing w:line="40" w:lineRule="atLeast"/>
        <w:jc w:val="both"/>
        <w:rPr>
          <w:rFonts w:ascii="Arial" w:hAnsi="Arial" w:cs="Arial"/>
        </w:rPr>
      </w:pPr>
      <w:r>
        <w:rPr>
          <w:rFonts w:ascii="Arial" w:hAnsi="Arial" w:cs="Arial"/>
        </w:rPr>
        <w:t xml:space="preserve">1. Obligados a facturar de acuerdo con el Estatuto Tributario que a su vez sean </w:t>
      </w:r>
      <w:r>
        <w:rPr>
          <w:rFonts w:ascii="Arial" w:hAnsi="Arial" w:cs="Arial"/>
        </w:rPr>
        <w:t>adquirentes de bienes o servicios, que no se encuentran obligados a facturar electrónicamente y que no optaron por recibirla en formato electrónico de generación.</w:t>
      </w:r>
    </w:p>
    <w:p w14:paraId="4E80B5C7" w14:textId="77777777" w:rsidR="00B2442D" w:rsidRDefault="00B2442D">
      <w:pPr>
        <w:spacing w:line="40" w:lineRule="atLeast"/>
        <w:jc w:val="both"/>
        <w:rPr>
          <w:rFonts w:ascii="Arial" w:hAnsi="Arial" w:cs="Arial"/>
        </w:rPr>
      </w:pPr>
    </w:p>
    <w:p w14:paraId="3ACA74B3" w14:textId="77777777" w:rsidR="00B2442D" w:rsidRDefault="008A645F">
      <w:pPr>
        <w:spacing w:line="40" w:lineRule="atLeast"/>
        <w:jc w:val="both"/>
        <w:rPr>
          <w:rFonts w:ascii="Arial" w:hAnsi="Arial" w:cs="Arial"/>
        </w:rPr>
      </w:pPr>
      <w:r>
        <w:rPr>
          <w:rFonts w:ascii="Arial" w:hAnsi="Arial" w:cs="Arial"/>
        </w:rPr>
        <w:t xml:space="preserve">2. Personas naturales o jurídicas, no obligadas a facturar según el Estatuto Tributario que </w:t>
      </w:r>
      <w:r>
        <w:rPr>
          <w:rFonts w:ascii="Arial" w:hAnsi="Arial" w:cs="Arial"/>
        </w:rPr>
        <w:t>a su vez sean adquirentes de bienes o servicios, o que solamente tienen la calidad de adquirentes, que no hayan optado por recibir factura electrónica en formato electrónico de generación.</w:t>
      </w:r>
    </w:p>
    <w:p w14:paraId="03EBD5F7" w14:textId="77777777" w:rsidR="00B2442D" w:rsidRDefault="00B2442D">
      <w:pPr>
        <w:spacing w:line="40" w:lineRule="atLeast"/>
        <w:jc w:val="both"/>
        <w:rPr>
          <w:rFonts w:ascii="Arial" w:hAnsi="Arial" w:cs="Arial"/>
        </w:rPr>
      </w:pPr>
    </w:p>
    <w:p w14:paraId="097C1D88" w14:textId="77777777" w:rsidR="00B2442D" w:rsidRDefault="008A645F">
      <w:pPr>
        <w:spacing w:line="40" w:lineRule="atLeast"/>
        <w:jc w:val="both"/>
        <w:rPr>
          <w:rFonts w:ascii="Arial" w:hAnsi="Arial" w:cs="Arial"/>
        </w:rPr>
      </w:pPr>
      <w:r>
        <w:rPr>
          <w:rFonts w:ascii="Arial" w:hAnsi="Arial" w:cs="Arial"/>
        </w:rPr>
        <w:t>La representación gráfica de la factura electrónica contendrá elem</w:t>
      </w:r>
      <w:r>
        <w:rPr>
          <w:rFonts w:ascii="Arial" w:hAnsi="Arial" w:cs="Arial"/>
        </w:rPr>
        <w:t xml:space="preserve">entos gráficos como códigos de barras o bidimensionales establecidos por la </w:t>
      </w:r>
      <w:r>
        <w:rPr>
          <w:rFonts w:ascii="Arial" w:hAnsi="Arial" w:cs="Arial"/>
          <w:lang w:val="es-CO"/>
        </w:rPr>
        <w:t>Unidad Administrativa Especial Dirección de Impuestos y Aduanas Nacionales-</w:t>
      </w:r>
      <w:r>
        <w:rPr>
          <w:rFonts w:ascii="Arial" w:hAnsi="Arial" w:cs="Arial"/>
        </w:rPr>
        <w:t>DIAN, para facilitar la verificación ante la Entidad por el adquirente y las autoridades que por sus func</w:t>
      </w:r>
      <w:r>
        <w:rPr>
          <w:rFonts w:ascii="Arial" w:hAnsi="Arial" w:cs="Arial"/>
        </w:rPr>
        <w:t>iones lo requieran.</w:t>
      </w:r>
    </w:p>
    <w:p w14:paraId="798591BE" w14:textId="77777777" w:rsidR="00B2442D" w:rsidRDefault="00B2442D">
      <w:pPr>
        <w:spacing w:line="40" w:lineRule="atLeast"/>
        <w:jc w:val="both"/>
        <w:rPr>
          <w:rFonts w:ascii="Arial" w:hAnsi="Arial" w:cs="Arial"/>
        </w:rPr>
      </w:pPr>
    </w:p>
    <w:p w14:paraId="14350DBA" w14:textId="77777777" w:rsidR="00B2442D" w:rsidRDefault="008A645F">
      <w:pPr>
        <w:spacing w:line="40" w:lineRule="atLeast"/>
        <w:jc w:val="both"/>
        <w:rPr>
          <w:rFonts w:ascii="Arial" w:hAnsi="Arial" w:cs="Arial"/>
        </w:rPr>
      </w:pPr>
      <w:r>
        <w:rPr>
          <w:rFonts w:ascii="Arial" w:hAnsi="Arial" w:cs="Arial"/>
        </w:rPr>
        <w:t>Para efectos de la representación gráfica de la factura electrónica en formato digital, los obligados a facturar electrónicamente deberán utilizar formatos que sean de fácil y amplio acceso por el adquirente, garantizando que la factur</w:t>
      </w:r>
      <w:r>
        <w:rPr>
          <w:rFonts w:ascii="Arial" w:hAnsi="Arial" w:cs="Arial"/>
        </w:rPr>
        <w:t>a se pueda leer, copiar, descargar e imprimir de forma gratuita sin tener que acudir a otras fuentes para proveerse de las aplicaciones necesarias para ello.</w:t>
      </w:r>
    </w:p>
    <w:p w14:paraId="525C5B08" w14:textId="77777777" w:rsidR="00B2442D" w:rsidRDefault="00B2442D">
      <w:pPr>
        <w:spacing w:line="40" w:lineRule="atLeast"/>
        <w:jc w:val="both"/>
        <w:rPr>
          <w:rFonts w:ascii="Arial" w:hAnsi="Arial" w:cs="Arial"/>
        </w:rPr>
      </w:pPr>
    </w:p>
    <w:p w14:paraId="3C1D202B" w14:textId="77777777" w:rsidR="00B2442D" w:rsidRDefault="008A645F">
      <w:pPr>
        <w:spacing w:line="40" w:lineRule="atLeast"/>
        <w:jc w:val="both"/>
        <w:rPr>
          <w:rFonts w:ascii="Arial" w:hAnsi="Arial" w:cs="Arial"/>
        </w:rPr>
      </w:pPr>
      <w:r>
        <w:rPr>
          <w:rFonts w:ascii="Arial" w:hAnsi="Arial" w:cs="Arial"/>
          <w:b/>
        </w:rPr>
        <w:t>Parágrafo 2.</w:t>
      </w:r>
      <w:r>
        <w:rPr>
          <w:rFonts w:ascii="Arial" w:hAnsi="Arial" w:cs="Arial"/>
        </w:rPr>
        <w:t xml:space="preserve"> Cuando deban expedirse notas crédito y/o débito, las mismas deben generarse en el fo</w:t>
      </w:r>
      <w:r>
        <w:rPr>
          <w:rFonts w:ascii="Arial" w:hAnsi="Arial" w:cs="Arial"/>
        </w:rPr>
        <w:t xml:space="preserve">rmato electrónico XML que establezca la </w:t>
      </w:r>
      <w:r>
        <w:rPr>
          <w:rFonts w:ascii="Arial" w:hAnsi="Arial" w:cs="Arial"/>
          <w:lang w:val="es-CO"/>
        </w:rPr>
        <w:t>Unidad Administrativa Especial  Dirección de Impuestos y Aduanas Nacionales-</w:t>
      </w:r>
      <w:r>
        <w:rPr>
          <w:rFonts w:ascii="Arial" w:hAnsi="Arial" w:cs="Arial"/>
        </w:rPr>
        <w:t>DIAN, corresponder a un sistema de numeración consecutiva propio de quien las expide y contener como mínimo la fecha de expedición, el númer</w:t>
      </w:r>
      <w:r>
        <w:rPr>
          <w:rFonts w:ascii="Arial" w:hAnsi="Arial" w:cs="Arial"/>
        </w:rPr>
        <w:t xml:space="preserve">o y la fecha de las facturas a las cuales hacen referencia, cuando sea el caso; así mismo, el nombre o razón social y NIT del obligado a facturar y del adquirente, descripción de la mercancía, número de unidades, valor de los impuestos, valores unitario y </w:t>
      </w:r>
      <w:r>
        <w:rPr>
          <w:rFonts w:ascii="Arial" w:hAnsi="Arial" w:cs="Arial"/>
        </w:rPr>
        <w:t>valor total.</w:t>
      </w:r>
    </w:p>
    <w:p w14:paraId="4467D86E" w14:textId="77777777" w:rsidR="00B2442D" w:rsidRDefault="00B2442D">
      <w:pPr>
        <w:spacing w:line="40" w:lineRule="atLeast"/>
        <w:jc w:val="both"/>
        <w:rPr>
          <w:rFonts w:ascii="Arial" w:hAnsi="Arial" w:cs="Arial"/>
        </w:rPr>
      </w:pPr>
    </w:p>
    <w:p w14:paraId="5EE6C063" w14:textId="77777777" w:rsidR="00B2442D" w:rsidRDefault="008A645F">
      <w:pPr>
        <w:spacing w:line="40" w:lineRule="atLeast"/>
        <w:jc w:val="both"/>
        <w:rPr>
          <w:rFonts w:ascii="Arial" w:hAnsi="Arial" w:cs="Arial"/>
        </w:rPr>
      </w:pPr>
      <w:r>
        <w:rPr>
          <w:rFonts w:ascii="Arial" w:hAnsi="Arial" w:cs="Arial"/>
        </w:rPr>
        <w:t>Las notas crédito y/o débito deben ser entregadas al adquirente en formato electrónico de generación, o en representación gráfica en formato impreso o en formato digital, según como se haya entregado la factura electrónica. Estos documentos d</w:t>
      </w:r>
      <w:r>
        <w:rPr>
          <w:rFonts w:ascii="Arial" w:hAnsi="Arial" w:cs="Arial"/>
        </w:rPr>
        <w:t>eberán ser suministrados a la DIAN siempre en formato electrónico de generación.</w:t>
      </w:r>
    </w:p>
    <w:p w14:paraId="556F7A4B" w14:textId="77777777" w:rsidR="00B2442D" w:rsidRDefault="00B2442D">
      <w:pPr>
        <w:spacing w:line="40" w:lineRule="atLeast"/>
        <w:jc w:val="both"/>
        <w:rPr>
          <w:rFonts w:ascii="Arial" w:hAnsi="Arial" w:cs="Arial"/>
        </w:rPr>
      </w:pPr>
    </w:p>
    <w:p w14:paraId="30B37167" w14:textId="77777777" w:rsidR="00B2442D" w:rsidRDefault="008A645F">
      <w:pPr>
        <w:spacing w:line="40" w:lineRule="atLeast"/>
        <w:jc w:val="both"/>
        <w:rPr>
          <w:rFonts w:ascii="Arial" w:hAnsi="Arial" w:cs="Arial"/>
        </w:rPr>
      </w:pPr>
      <w:r>
        <w:rPr>
          <w:rFonts w:ascii="Arial" w:hAnsi="Arial" w:cs="Arial"/>
          <w:b/>
        </w:rPr>
        <w:t xml:space="preserve">Parágrafo 3. </w:t>
      </w:r>
      <w:r>
        <w:rPr>
          <w:rFonts w:ascii="Arial" w:hAnsi="Arial" w:cs="Arial"/>
        </w:rPr>
        <w:t>Cuando la factura electrónica haya sido generada y tengan lugar devoluciones, anulaciones, rescisiones o resoluciones deberá emitirse la correspondiente nota cré</w:t>
      </w:r>
      <w:r>
        <w:rPr>
          <w:rFonts w:ascii="Arial" w:hAnsi="Arial" w:cs="Arial"/>
        </w:rPr>
        <w:t>dito, dejando clara la justificación de la misma. En caso de anulaciones, los números de las facturas anuladas no podrán ser utilizados nuevamente.</w:t>
      </w:r>
    </w:p>
    <w:p w14:paraId="6F12544E" w14:textId="77777777" w:rsidR="00B2442D" w:rsidRDefault="00B2442D">
      <w:pPr>
        <w:spacing w:line="40" w:lineRule="atLeast"/>
        <w:jc w:val="both"/>
        <w:rPr>
          <w:rFonts w:ascii="Arial" w:hAnsi="Arial" w:cs="Arial"/>
        </w:rPr>
      </w:pPr>
    </w:p>
    <w:p w14:paraId="2D393703" w14:textId="77777777" w:rsidR="00B2442D" w:rsidRDefault="008A645F">
      <w:pPr>
        <w:spacing w:line="40" w:lineRule="atLeast"/>
        <w:jc w:val="both"/>
        <w:rPr>
          <w:rFonts w:ascii="Arial" w:hAnsi="Arial" w:cs="Arial"/>
        </w:rPr>
      </w:pPr>
      <w:r>
        <w:rPr>
          <w:rFonts w:ascii="Arial" w:hAnsi="Arial" w:cs="Arial"/>
        </w:rPr>
        <w:t xml:space="preserve">Estas notas deben ser entregadas al adquirente y a la </w:t>
      </w:r>
      <w:r>
        <w:rPr>
          <w:rFonts w:ascii="Arial" w:hAnsi="Arial" w:cs="Arial"/>
          <w:lang w:val="es-CO"/>
        </w:rPr>
        <w:t>Unidad Administrativa Especial Dirección de Impuestos</w:t>
      </w:r>
      <w:r>
        <w:rPr>
          <w:rFonts w:ascii="Arial" w:hAnsi="Arial" w:cs="Arial"/>
          <w:lang w:val="es-CO"/>
        </w:rPr>
        <w:t xml:space="preserve"> y Aduanas Nacionales</w:t>
      </w:r>
      <w:r>
        <w:rPr>
          <w:rFonts w:ascii="Arial" w:hAnsi="Arial" w:cs="Arial"/>
        </w:rPr>
        <w:t>-DIAN, en la forma prevista en el parágrafo 2 de este artículo.</w:t>
      </w:r>
    </w:p>
    <w:p w14:paraId="07003F8A" w14:textId="77777777" w:rsidR="00B2442D" w:rsidRDefault="00B2442D">
      <w:pPr>
        <w:spacing w:line="40" w:lineRule="atLeast"/>
        <w:jc w:val="both"/>
        <w:rPr>
          <w:rFonts w:ascii="Arial" w:hAnsi="Arial" w:cs="Arial"/>
        </w:rPr>
      </w:pPr>
    </w:p>
    <w:p w14:paraId="2F92559E" w14:textId="77777777" w:rsidR="00B2442D" w:rsidRDefault="008A645F">
      <w:pPr>
        <w:spacing w:line="40" w:lineRule="atLeast"/>
        <w:jc w:val="both"/>
        <w:rPr>
          <w:rFonts w:ascii="Arial" w:hAnsi="Arial" w:cs="Arial"/>
        </w:rPr>
      </w:pPr>
      <w:r>
        <w:rPr>
          <w:rFonts w:ascii="Arial" w:hAnsi="Arial" w:cs="Arial"/>
          <w:b/>
        </w:rPr>
        <w:t>Parágrafo 4.</w:t>
      </w:r>
      <w:r>
        <w:rPr>
          <w:rFonts w:ascii="Arial" w:hAnsi="Arial" w:cs="Arial"/>
        </w:rPr>
        <w:t xml:space="preserve"> Lo previsto en este artículo aplica a toda factura electrónica. En todo caso, para efectos de su circulación deberá atenderse en lo relativo a su aceptación,</w:t>
      </w:r>
      <w:r>
        <w:rPr>
          <w:rFonts w:ascii="Arial" w:hAnsi="Arial" w:cs="Arial"/>
        </w:rPr>
        <w:t xml:space="preserve"> endoso y trámites relacionados, la reglamentación que sobre estos aspectos se haga en desarrollo de la Ley 1231 de 2008 y las normas que la modifiquen, adicionen o sustituyan.</w:t>
      </w:r>
    </w:p>
    <w:p w14:paraId="1BEB68FD" w14:textId="77777777" w:rsidR="00B2442D" w:rsidRDefault="00B2442D">
      <w:pPr>
        <w:spacing w:line="40" w:lineRule="atLeast"/>
        <w:jc w:val="both"/>
        <w:rPr>
          <w:rFonts w:ascii="Arial" w:hAnsi="Arial" w:cs="Arial"/>
        </w:rPr>
      </w:pPr>
    </w:p>
    <w:p w14:paraId="31277C8A" w14:textId="77777777" w:rsidR="00B2442D" w:rsidRDefault="008A645F">
      <w:pPr>
        <w:jc w:val="both"/>
        <w:rPr>
          <w:rFonts w:ascii="Arial" w:hAnsi="Arial" w:cs="Arial"/>
          <w:i/>
          <w:lang w:val="es-CO"/>
        </w:rPr>
      </w:pPr>
      <w:r>
        <w:rPr>
          <w:rFonts w:ascii="Arial" w:hAnsi="Arial" w:cs="Arial"/>
          <w:i/>
          <w:lang w:val="es-CO"/>
        </w:rPr>
        <w:t>(Art. 3, Decreto 2242 de 2015)</w:t>
      </w:r>
    </w:p>
    <w:p w14:paraId="52E190AD" w14:textId="77777777" w:rsidR="00B2442D" w:rsidRDefault="00B2442D">
      <w:pPr>
        <w:spacing w:line="40" w:lineRule="atLeast"/>
        <w:jc w:val="both"/>
        <w:rPr>
          <w:rFonts w:ascii="Arial" w:hAnsi="Arial" w:cs="Arial"/>
        </w:rPr>
      </w:pPr>
    </w:p>
    <w:p w14:paraId="32780ED2"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Acuse de recibo de la factura electrónica.</w:t>
      </w:r>
      <w:r>
        <w:rPr>
          <w:rFonts w:ascii="Arial" w:hAnsi="Arial" w:cs="Arial"/>
        </w:rPr>
        <w:t xml:space="preserve"> El </w:t>
      </w:r>
      <w:r>
        <w:rPr>
          <w:rFonts w:ascii="Arial" w:hAnsi="Arial" w:cs="Arial"/>
        </w:rPr>
        <w:t xml:space="preserve">adquirente que reciba una factura electrónica en formato electrónico de generación deberá informar al obligado a facturar electrónicamente el recibo de la misma, para lo cual podrá utilizar sus propios medios tecnológicos o los que disponga para este fin, </w:t>
      </w:r>
      <w:r>
        <w:rPr>
          <w:rFonts w:ascii="Arial" w:hAnsi="Arial" w:cs="Arial"/>
        </w:rPr>
        <w:t xml:space="preserve">el obligado a facturar electrónicamente. Así mismo, podrá utilizar para este efecto el formato que establezca la </w:t>
      </w:r>
      <w:r>
        <w:rPr>
          <w:rFonts w:ascii="Arial" w:hAnsi="Arial" w:cs="Arial"/>
          <w:lang w:val="es-CO"/>
        </w:rPr>
        <w:t>Unidad Administrativa Especial Dirección de Impuestos y Aduanas Nacionales</w:t>
      </w:r>
      <w:r>
        <w:rPr>
          <w:rFonts w:ascii="Arial" w:hAnsi="Arial" w:cs="Arial"/>
        </w:rPr>
        <w:t>-DIAN como alternativa.</w:t>
      </w:r>
    </w:p>
    <w:p w14:paraId="42DD5D30" w14:textId="77777777" w:rsidR="00B2442D" w:rsidRDefault="00B2442D">
      <w:pPr>
        <w:spacing w:line="40" w:lineRule="atLeast"/>
        <w:jc w:val="both"/>
        <w:rPr>
          <w:rFonts w:ascii="Arial" w:hAnsi="Arial" w:cs="Arial"/>
        </w:rPr>
      </w:pPr>
    </w:p>
    <w:p w14:paraId="414CDE8B" w14:textId="77777777" w:rsidR="00B2442D" w:rsidRDefault="008A645F">
      <w:pPr>
        <w:spacing w:line="40" w:lineRule="atLeast"/>
        <w:jc w:val="both"/>
        <w:rPr>
          <w:rFonts w:ascii="Arial" w:hAnsi="Arial" w:cs="Arial"/>
        </w:rPr>
      </w:pPr>
      <w:r>
        <w:rPr>
          <w:rFonts w:ascii="Arial" w:hAnsi="Arial" w:cs="Arial"/>
        </w:rPr>
        <w:t xml:space="preserve">Cuando la factura electrónica sea entregada </w:t>
      </w:r>
      <w:r>
        <w:rPr>
          <w:rFonts w:ascii="Arial" w:hAnsi="Arial" w:cs="Arial"/>
        </w:rPr>
        <w:t>en representación gráfica en formato impreso o formato digital, el adquirente podrá, de ser necesario, manifestar su recibo, caso en el cual lo hará en documento separado físico o electrónico, a través de sus propios medios o a través de los que disponga e</w:t>
      </w:r>
      <w:r>
        <w:rPr>
          <w:rFonts w:ascii="Arial" w:hAnsi="Arial" w:cs="Arial"/>
        </w:rPr>
        <w:t>l obligado a facturar electrónicamente, para este efecto.</w:t>
      </w:r>
    </w:p>
    <w:p w14:paraId="3D0247BF" w14:textId="77777777" w:rsidR="00B2442D" w:rsidRDefault="00B2442D">
      <w:pPr>
        <w:spacing w:line="40" w:lineRule="atLeast"/>
        <w:jc w:val="both"/>
        <w:rPr>
          <w:rFonts w:ascii="Arial" w:hAnsi="Arial" w:cs="Arial"/>
        </w:rPr>
      </w:pPr>
    </w:p>
    <w:p w14:paraId="1B874EA5" w14:textId="77777777" w:rsidR="00B2442D" w:rsidRDefault="008A645F">
      <w:pPr>
        <w:jc w:val="both"/>
        <w:rPr>
          <w:rFonts w:ascii="Arial" w:hAnsi="Arial" w:cs="Arial"/>
          <w:i/>
          <w:lang w:val="es-CO"/>
        </w:rPr>
      </w:pPr>
      <w:r>
        <w:rPr>
          <w:rFonts w:ascii="Arial" w:hAnsi="Arial" w:cs="Arial"/>
          <w:i/>
          <w:lang w:val="es-CO"/>
        </w:rPr>
        <w:t>(Art. 4, Decreto 2242 de 2015)</w:t>
      </w:r>
    </w:p>
    <w:p w14:paraId="30E0C4C4" w14:textId="77777777" w:rsidR="00B2442D" w:rsidRDefault="00B2442D">
      <w:pPr>
        <w:spacing w:line="40" w:lineRule="atLeast"/>
        <w:jc w:val="both"/>
        <w:rPr>
          <w:rFonts w:ascii="Arial" w:hAnsi="Arial" w:cs="Arial"/>
        </w:rPr>
      </w:pPr>
    </w:p>
    <w:p w14:paraId="39E96F37"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Verificación y Rechazo de la factura electrónica.</w:t>
      </w:r>
      <w:r>
        <w:rPr>
          <w:rFonts w:ascii="Arial" w:hAnsi="Arial" w:cs="Arial"/>
        </w:rPr>
        <w:t xml:space="preserve"> El adquirente que reciba la factura electrónica en formato electrónico de generación deberá verificar las siguientes condiciones:</w:t>
      </w:r>
    </w:p>
    <w:p w14:paraId="4B5C6CEB" w14:textId="77777777" w:rsidR="00B2442D" w:rsidRDefault="00B2442D">
      <w:pPr>
        <w:spacing w:line="40" w:lineRule="atLeast"/>
        <w:jc w:val="both"/>
        <w:rPr>
          <w:rFonts w:ascii="Arial" w:hAnsi="Arial" w:cs="Arial"/>
        </w:rPr>
      </w:pPr>
    </w:p>
    <w:p w14:paraId="33CB4857" w14:textId="77777777" w:rsidR="00B2442D" w:rsidRDefault="008A645F">
      <w:pPr>
        <w:spacing w:line="40" w:lineRule="atLeast"/>
        <w:jc w:val="both"/>
        <w:rPr>
          <w:rFonts w:ascii="Arial" w:hAnsi="Arial" w:cs="Arial"/>
        </w:rPr>
      </w:pPr>
      <w:r>
        <w:rPr>
          <w:rFonts w:ascii="Arial" w:hAnsi="Arial" w:cs="Arial"/>
        </w:rPr>
        <w:t xml:space="preserve">1. Entrega en el formato XML estándar establecido por la </w:t>
      </w:r>
      <w:r>
        <w:rPr>
          <w:rFonts w:ascii="Arial" w:hAnsi="Arial" w:cs="Arial"/>
          <w:lang w:val="es-CO"/>
        </w:rPr>
        <w:t>Unidad Administrativa Especial Dirección de Impuestos y Aduanas Nac</w:t>
      </w:r>
      <w:r>
        <w:rPr>
          <w:rFonts w:ascii="Arial" w:hAnsi="Arial" w:cs="Arial"/>
          <w:lang w:val="es-CO"/>
        </w:rPr>
        <w:t>ionales</w:t>
      </w:r>
      <w:r>
        <w:rPr>
          <w:rFonts w:ascii="Arial" w:hAnsi="Arial" w:cs="Arial"/>
        </w:rPr>
        <w:t>-DIAN.</w:t>
      </w:r>
    </w:p>
    <w:p w14:paraId="18A30AB3" w14:textId="77777777" w:rsidR="00B2442D" w:rsidRDefault="00B2442D">
      <w:pPr>
        <w:spacing w:line="40" w:lineRule="atLeast"/>
        <w:jc w:val="both"/>
        <w:rPr>
          <w:rFonts w:ascii="Arial" w:hAnsi="Arial" w:cs="Arial"/>
        </w:rPr>
      </w:pPr>
    </w:p>
    <w:p w14:paraId="41DE2761" w14:textId="77777777" w:rsidR="00B2442D" w:rsidRDefault="008A645F">
      <w:pPr>
        <w:spacing w:line="40" w:lineRule="atLeast"/>
        <w:jc w:val="both"/>
        <w:rPr>
          <w:rFonts w:ascii="Arial" w:hAnsi="Arial" w:cs="Arial"/>
        </w:rPr>
      </w:pPr>
      <w:r>
        <w:rPr>
          <w:rFonts w:ascii="Arial" w:hAnsi="Arial" w:cs="Arial"/>
        </w:rPr>
        <w:t>2. Existencia de los requisitos señalados en el artículo 617 del Estatuto Tributario, salvo lo referente a los literales a), h), i), así como la pre - impresión de los requisitos que según esta norma deben cumplir con esta previsión; discrim</w:t>
      </w:r>
      <w:r>
        <w:rPr>
          <w:rFonts w:ascii="Arial" w:hAnsi="Arial" w:cs="Arial"/>
        </w:rPr>
        <w:t>inando el impuesto al consumo, cuando sea del caso.</w:t>
      </w:r>
    </w:p>
    <w:p w14:paraId="0299907B" w14:textId="77777777" w:rsidR="00B2442D" w:rsidRDefault="00B2442D">
      <w:pPr>
        <w:spacing w:line="40" w:lineRule="atLeast"/>
        <w:jc w:val="both"/>
        <w:rPr>
          <w:rFonts w:ascii="Arial" w:hAnsi="Arial" w:cs="Arial"/>
        </w:rPr>
      </w:pPr>
    </w:p>
    <w:p w14:paraId="584862CC" w14:textId="77777777" w:rsidR="00B2442D" w:rsidRDefault="008A645F">
      <w:pPr>
        <w:spacing w:line="40" w:lineRule="atLeast"/>
        <w:jc w:val="both"/>
        <w:rPr>
          <w:rFonts w:ascii="Arial" w:hAnsi="Arial" w:cs="Arial"/>
        </w:rPr>
      </w:pPr>
      <w:r>
        <w:rPr>
          <w:rFonts w:ascii="Arial" w:hAnsi="Arial" w:cs="Arial"/>
        </w:rPr>
        <w:t>Cuando el adquirente persona natural no tenga NIT deberá verificarse que se haya incluido el tipo y número del documento de identificación.</w:t>
      </w:r>
    </w:p>
    <w:p w14:paraId="6C031B14" w14:textId="77777777" w:rsidR="00B2442D" w:rsidRDefault="00B2442D">
      <w:pPr>
        <w:spacing w:line="40" w:lineRule="atLeast"/>
        <w:jc w:val="both"/>
        <w:rPr>
          <w:rFonts w:ascii="Arial" w:hAnsi="Arial" w:cs="Arial"/>
        </w:rPr>
      </w:pPr>
    </w:p>
    <w:p w14:paraId="4E32BF7B" w14:textId="77777777" w:rsidR="00B2442D" w:rsidRDefault="008A645F">
      <w:pPr>
        <w:spacing w:line="40" w:lineRule="atLeast"/>
        <w:jc w:val="both"/>
        <w:rPr>
          <w:rFonts w:ascii="Arial" w:hAnsi="Arial" w:cs="Arial"/>
        </w:rPr>
      </w:pPr>
      <w:r>
        <w:rPr>
          <w:rFonts w:ascii="Arial" w:hAnsi="Arial" w:cs="Arial"/>
        </w:rPr>
        <w:t>3. Existencia de la firma digital o electrónica y validez de l</w:t>
      </w:r>
      <w:r>
        <w:rPr>
          <w:rFonts w:ascii="Arial" w:hAnsi="Arial" w:cs="Arial"/>
        </w:rPr>
        <w:t>a misma.</w:t>
      </w:r>
    </w:p>
    <w:p w14:paraId="0BE8BD36" w14:textId="77777777" w:rsidR="00B2442D" w:rsidRDefault="00B2442D">
      <w:pPr>
        <w:spacing w:line="40" w:lineRule="atLeast"/>
        <w:jc w:val="both"/>
        <w:rPr>
          <w:rFonts w:ascii="Arial" w:hAnsi="Arial" w:cs="Arial"/>
        </w:rPr>
      </w:pPr>
    </w:p>
    <w:p w14:paraId="7AAF66D4" w14:textId="77777777" w:rsidR="00B2442D" w:rsidRDefault="008A645F">
      <w:pPr>
        <w:spacing w:line="40" w:lineRule="atLeast"/>
        <w:jc w:val="both"/>
        <w:rPr>
          <w:rFonts w:ascii="Arial" w:hAnsi="Arial" w:cs="Arial"/>
        </w:rPr>
      </w:pPr>
      <w:r>
        <w:rPr>
          <w:rFonts w:ascii="Arial" w:hAnsi="Arial" w:cs="Arial"/>
        </w:rPr>
        <w:t xml:space="preserve">El adquirente deberá rechazar la factura electrónica cuando no cumpla alguna de las condiciones señaladas en los numerales anteriores, incluida la imposibilidad de leer la información. Lo anterior, sin perjuicio del rechazo por incumplimiento de </w:t>
      </w:r>
      <w:r>
        <w:rPr>
          <w:rFonts w:ascii="Arial" w:hAnsi="Arial" w:cs="Arial"/>
        </w:rPr>
        <w:t>requisitos propios de la operación comercial.</w:t>
      </w:r>
    </w:p>
    <w:p w14:paraId="3608C548" w14:textId="77777777" w:rsidR="00B2442D" w:rsidRDefault="00B2442D">
      <w:pPr>
        <w:spacing w:line="40" w:lineRule="atLeast"/>
        <w:jc w:val="both"/>
        <w:rPr>
          <w:rFonts w:ascii="Arial" w:hAnsi="Arial" w:cs="Arial"/>
        </w:rPr>
      </w:pPr>
    </w:p>
    <w:p w14:paraId="09853526" w14:textId="77777777" w:rsidR="00B2442D" w:rsidRDefault="008A645F">
      <w:pPr>
        <w:spacing w:line="40" w:lineRule="atLeast"/>
        <w:jc w:val="both"/>
        <w:rPr>
          <w:rFonts w:ascii="Arial" w:hAnsi="Arial" w:cs="Arial"/>
        </w:rPr>
      </w:pPr>
      <w:r>
        <w:rPr>
          <w:rFonts w:ascii="Arial" w:hAnsi="Arial" w:cs="Arial"/>
        </w:rPr>
        <w:t>En los casos de rechazo de la factura electrónica por incumplimiento de alguna de las condiciones señaladas en los numerales 1, 2 ó 3 del presente artículo procede su anulación por parte del obligado a factura</w:t>
      </w:r>
      <w:r>
        <w:rPr>
          <w:rFonts w:ascii="Arial" w:hAnsi="Arial" w:cs="Arial"/>
        </w:rPr>
        <w:t>r electrónicamente, evento en el cual deberá generar el correspondiente registro a través de una nota crédito, la cual deberá relacionar el número y la fecha de la factura objeto de anulación, sin perjuicio de proceder a expedir al adquirente una nueva fac</w:t>
      </w:r>
      <w:r>
        <w:rPr>
          <w:rFonts w:ascii="Arial" w:hAnsi="Arial" w:cs="Arial"/>
        </w:rPr>
        <w:t>tura electrónica con la imposibilidad de reutilizar la numeración utilizada en la factura anulada.</w:t>
      </w:r>
    </w:p>
    <w:p w14:paraId="5654AC0D" w14:textId="77777777" w:rsidR="00B2442D" w:rsidRDefault="00B2442D">
      <w:pPr>
        <w:spacing w:line="40" w:lineRule="atLeast"/>
        <w:jc w:val="both"/>
        <w:rPr>
          <w:rFonts w:ascii="Arial" w:hAnsi="Arial" w:cs="Arial"/>
        </w:rPr>
      </w:pPr>
    </w:p>
    <w:p w14:paraId="09593FE0" w14:textId="77777777" w:rsidR="00B2442D" w:rsidRDefault="008A645F">
      <w:pPr>
        <w:spacing w:line="40" w:lineRule="atLeast"/>
        <w:jc w:val="both"/>
        <w:rPr>
          <w:rFonts w:ascii="Arial" w:hAnsi="Arial" w:cs="Arial"/>
        </w:rPr>
      </w:pPr>
      <w:r>
        <w:rPr>
          <w:rFonts w:ascii="Arial" w:hAnsi="Arial" w:cs="Arial"/>
        </w:rPr>
        <w:t>El adquirente que reciba factura electrónica en formato electrónico de generación deberá informar al obligado a facturar electrónicamente el correspondiente</w:t>
      </w:r>
      <w:r>
        <w:rPr>
          <w:rFonts w:ascii="Arial" w:hAnsi="Arial" w:cs="Arial"/>
        </w:rPr>
        <w:t xml:space="preserve"> rechazo. En este caso podrá utilizar sus propios medios tecnológicos o los que disponga, para este fin, el obligado a facturar. Así mismo, podrá utilizar para este efecto el formato que establezca la </w:t>
      </w:r>
      <w:r>
        <w:rPr>
          <w:rFonts w:ascii="Arial" w:hAnsi="Arial" w:cs="Arial"/>
          <w:lang w:val="es-CO"/>
        </w:rPr>
        <w:t>Unidad Administrativa Especial Dirección de Impuestos y</w:t>
      </w:r>
      <w:r>
        <w:rPr>
          <w:rFonts w:ascii="Arial" w:hAnsi="Arial" w:cs="Arial"/>
          <w:lang w:val="es-CO"/>
        </w:rPr>
        <w:t xml:space="preserve"> Aduanas Nacionales</w:t>
      </w:r>
      <w:r>
        <w:rPr>
          <w:rFonts w:ascii="Arial" w:hAnsi="Arial" w:cs="Arial"/>
        </w:rPr>
        <w:t>-DIAN como alternativa.</w:t>
      </w:r>
    </w:p>
    <w:p w14:paraId="3FF41CFD" w14:textId="77777777" w:rsidR="00B2442D" w:rsidRDefault="00B2442D">
      <w:pPr>
        <w:spacing w:line="40" w:lineRule="atLeast"/>
        <w:jc w:val="both"/>
        <w:rPr>
          <w:rFonts w:ascii="Arial" w:hAnsi="Arial" w:cs="Arial"/>
        </w:rPr>
      </w:pPr>
    </w:p>
    <w:p w14:paraId="1308DA9F" w14:textId="77777777" w:rsidR="00B2442D" w:rsidRDefault="008A645F">
      <w:pPr>
        <w:spacing w:line="40" w:lineRule="atLeast"/>
        <w:jc w:val="both"/>
        <w:rPr>
          <w:rFonts w:ascii="Arial" w:hAnsi="Arial" w:cs="Arial"/>
        </w:rPr>
      </w:pPr>
      <w:r>
        <w:rPr>
          <w:rFonts w:ascii="Arial" w:hAnsi="Arial" w:cs="Arial"/>
          <w:b/>
        </w:rPr>
        <w:t>Parágrafo.</w:t>
      </w:r>
      <w:r>
        <w:rPr>
          <w:rFonts w:ascii="Arial" w:hAnsi="Arial" w:cs="Arial"/>
        </w:rPr>
        <w:t xml:space="preserve"> Tratándose de la entrega de la factura electrónica en su representación gráfica en formato impreso o formato digital, el adquirente verificará el cumplimiento los requisitos del numeral 2 de este artículo sobre el ejemplar recibido, y podrá a través de lo</w:t>
      </w:r>
      <w:r>
        <w:rPr>
          <w:rFonts w:ascii="Arial" w:hAnsi="Arial" w:cs="Arial"/>
        </w:rPr>
        <w:t xml:space="preserve">s servicios ofrecidos por la </w:t>
      </w:r>
      <w:r>
        <w:rPr>
          <w:rFonts w:ascii="Arial" w:hAnsi="Arial" w:cs="Arial"/>
          <w:lang w:val="es-CO"/>
        </w:rPr>
        <w:t>Unidad Administrativa Especial Dirección de Impuestos y Aduanas Nacionales</w:t>
      </w:r>
      <w:r>
        <w:rPr>
          <w:rFonts w:ascii="Arial" w:hAnsi="Arial" w:cs="Arial"/>
        </w:rPr>
        <w:t>-DIAN consultar las otras condiciones.</w:t>
      </w:r>
    </w:p>
    <w:p w14:paraId="55B7CEE4" w14:textId="77777777" w:rsidR="00B2442D" w:rsidRDefault="00B2442D">
      <w:pPr>
        <w:spacing w:line="40" w:lineRule="atLeast"/>
        <w:jc w:val="both"/>
        <w:rPr>
          <w:rFonts w:ascii="Arial" w:hAnsi="Arial" w:cs="Arial"/>
        </w:rPr>
      </w:pPr>
    </w:p>
    <w:p w14:paraId="0788E576" w14:textId="77777777" w:rsidR="00B2442D" w:rsidRDefault="008A645F">
      <w:pPr>
        <w:spacing w:line="40" w:lineRule="atLeast"/>
        <w:jc w:val="both"/>
        <w:rPr>
          <w:rFonts w:ascii="Arial" w:hAnsi="Arial" w:cs="Arial"/>
        </w:rPr>
      </w:pPr>
      <w:r>
        <w:rPr>
          <w:rFonts w:ascii="Arial" w:hAnsi="Arial" w:cs="Arial"/>
        </w:rPr>
        <w:t>Cuando la factura electrónica sea entregada en representación gráfica en formato impreso o formato digital, el ad</w:t>
      </w:r>
      <w:r>
        <w:rPr>
          <w:rFonts w:ascii="Arial" w:hAnsi="Arial" w:cs="Arial"/>
        </w:rPr>
        <w:t>quirente podrá, de ser necesario, manifestar su rechazo, caso en el cual lo hará en documento separado físico o electrónico, a través de sus propios medios o a través de los que disponga el obligado a facturar electrónicamente, para este efecto.</w:t>
      </w:r>
    </w:p>
    <w:p w14:paraId="29D7912C" w14:textId="77777777" w:rsidR="00B2442D" w:rsidRDefault="00B2442D">
      <w:pPr>
        <w:spacing w:line="40" w:lineRule="atLeast"/>
        <w:jc w:val="both"/>
        <w:rPr>
          <w:rFonts w:ascii="Arial" w:hAnsi="Arial" w:cs="Arial"/>
        </w:rPr>
      </w:pPr>
    </w:p>
    <w:p w14:paraId="4DE90C64" w14:textId="77777777" w:rsidR="00B2442D" w:rsidRDefault="008A645F">
      <w:pPr>
        <w:spacing w:line="40" w:lineRule="atLeast"/>
        <w:jc w:val="both"/>
        <w:rPr>
          <w:rFonts w:ascii="Arial" w:hAnsi="Arial" w:cs="Arial"/>
        </w:rPr>
      </w:pPr>
      <w:r>
        <w:rPr>
          <w:rFonts w:ascii="Arial" w:hAnsi="Arial" w:cs="Arial"/>
        </w:rPr>
        <w:t>En este e</w:t>
      </w:r>
      <w:r>
        <w:rPr>
          <w:rFonts w:ascii="Arial" w:hAnsi="Arial" w:cs="Arial"/>
        </w:rPr>
        <w:t>vento deberá generarse también por el obligado a facturar el correspondiente registro a través de una nota crédito, como se indica en este artículo.</w:t>
      </w:r>
    </w:p>
    <w:p w14:paraId="008D3624" w14:textId="77777777" w:rsidR="00B2442D" w:rsidRDefault="00B2442D">
      <w:pPr>
        <w:spacing w:line="40" w:lineRule="atLeast"/>
        <w:jc w:val="both"/>
        <w:rPr>
          <w:rFonts w:ascii="Arial" w:hAnsi="Arial" w:cs="Arial"/>
        </w:rPr>
      </w:pPr>
    </w:p>
    <w:p w14:paraId="4462C670" w14:textId="77777777" w:rsidR="00B2442D" w:rsidRDefault="008A645F">
      <w:pPr>
        <w:jc w:val="both"/>
        <w:rPr>
          <w:rFonts w:ascii="Arial" w:hAnsi="Arial" w:cs="Arial"/>
          <w:i/>
          <w:lang w:val="es-CO"/>
        </w:rPr>
      </w:pPr>
      <w:r>
        <w:rPr>
          <w:rFonts w:ascii="Arial" w:hAnsi="Arial" w:cs="Arial"/>
          <w:i/>
          <w:lang w:val="es-CO"/>
        </w:rPr>
        <w:t>(Art. 5, Decreto 2242 de 2015)</w:t>
      </w:r>
    </w:p>
    <w:p w14:paraId="1C639BD8" w14:textId="77777777" w:rsidR="00B2442D" w:rsidRDefault="00B2442D">
      <w:pPr>
        <w:spacing w:line="40" w:lineRule="atLeast"/>
        <w:jc w:val="both"/>
        <w:rPr>
          <w:rFonts w:ascii="Arial" w:hAnsi="Arial" w:cs="Arial"/>
        </w:rPr>
      </w:pPr>
    </w:p>
    <w:p w14:paraId="345E74A7"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Conservación de la factura electrónica.</w:t>
      </w:r>
      <w:r>
        <w:rPr>
          <w:rFonts w:ascii="Arial" w:hAnsi="Arial" w:cs="Arial"/>
          <w:b/>
        </w:rPr>
        <w:t xml:space="preserve"> </w:t>
      </w:r>
      <w:r>
        <w:rPr>
          <w:rFonts w:ascii="Arial" w:hAnsi="Arial" w:cs="Arial"/>
        </w:rPr>
        <w:t xml:space="preserve">Para efectos fiscales, la factura </w:t>
      </w:r>
      <w:r>
        <w:rPr>
          <w:rFonts w:ascii="Arial" w:hAnsi="Arial" w:cs="Arial"/>
        </w:rPr>
        <w:t xml:space="preserve">electrónica, las notas crédito y débito se conservarán en el formato electrónico de generación establecido por la </w:t>
      </w:r>
      <w:r>
        <w:rPr>
          <w:rFonts w:ascii="Arial" w:hAnsi="Arial" w:cs="Arial"/>
          <w:lang w:val="es-CO"/>
        </w:rPr>
        <w:t>Unidad Administrativa Especial Dirección de Impuestos y Aduanas Nacionales</w:t>
      </w:r>
      <w:r>
        <w:rPr>
          <w:rFonts w:ascii="Arial" w:hAnsi="Arial" w:cs="Arial"/>
        </w:rPr>
        <w:t>-DIAN, tanto por el obligado a facturar electrónicamente como por el</w:t>
      </w:r>
      <w:r>
        <w:rPr>
          <w:rFonts w:ascii="Arial" w:hAnsi="Arial" w:cs="Arial"/>
        </w:rPr>
        <w:t xml:space="preserve"> adquirente que recibe en ese formato.</w:t>
      </w:r>
    </w:p>
    <w:p w14:paraId="26ADF393" w14:textId="77777777" w:rsidR="00B2442D" w:rsidRDefault="00B2442D">
      <w:pPr>
        <w:spacing w:line="40" w:lineRule="atLeast"/>
        <w:jc w:val="both"/>
        <w:rPr>
          <w:rFonts w:ascii="Arial" w:hAnsi="Arial" w:cs="Arial"/>
        </w:rPr>
      </w:pPr>
    </w:p>
    <w:p w14:paraId="7A661E1F" w14:textId="77777777" w:rsidR="00B2442D" w:rsidRDefault="008A645F">
      <w:pPr>
        <w:spacing w:line="40" w:lineRule="atLeast"/>
        <w:jc w:val="both"/>
        <w:rPr>
          <w:rFonts w:ascii="Arial" w:hAnsi="Arial" w:cs="Arial"/>
        </w:rPr>
      </w:pPr>
      <w:r>
        <w:rPr>
          <w:rFonts w:ascii="Arial" w:hAnsi="Arial" w:cs="Arial"/>
        </w:rPr>
        <w:t xml:space="preserve">La factura electrónica, las notas crédito y débito como las constancias recibo y rechazo, si fuere el caso, deberán ser conservadas por el término establecido en el artículo 632 del Estatuto Tributario o las </w:t>
      </w:r>
      <w:r>
        <w:rPr>
          <w:rFonts w:ascii="Arial" w:hAnsi="Arial" w:cs="Arial"/>
        </w:rPr>
        <w:t>normas que lo modifiquen o sustituyan.</w:t>
      </w:r>
    </w:p>
    <w:p w14:paraId="3A9E95A8" w14:textId="77777777" w:rsidR="00B2442D" w:rsidRDefault="00B2442D">
      <w:pPr>
        <w:spacing w:line="40" w:lineRule="atLeast"/>
        <w:jc w:val="both"/>
        <w:rPr>
          <w:rFonts w:ascii="Arial" w:hAnsi="Arial" w:cs="Arial"/>
        </w:rPr>
      </w:pPr>
    </w:p>
    <w:p w14:paraId="70E01463" w14:textId="77777777" w:rsidR="00B2442D" w:rsidRDefault="008A645F">
      <w:pPr>
        <w:spacing w:line="40" w:lineRule="atLeast"/>
        <w:jc w:val="both"/>
        <w:rPr>
          <w:rFonts w:ascii="Arial" w:hAnsi="Arial" w:cs="Arial"/>
        </w:rPr>
      </w:pPr>
      <w:r>
        <w:rPr>
          <w:rFonts w:ascii="Arial" w:hAnsi="Arial" w:cs="Arial"/>
        </w:rPr>
        <w:t>La factura electrónica entregada al adquirente en representación gráfica, en formato impreso o formato digital, de acuerdo con lo establecido en el parágrafo 1 del artículo 1.6.1.4.1.3 del presente Decreto, podrá ser</w:t>
      </w:r>
      <w:r>
        <w:rPr>
          <w:rFonts w:ascii="Arial" w:hAnsi="Arial" w:cs="Arial"/>
        </w:rPr>
        <w:t xml:space="preserve"> conservada por el adquirente, en el formato en que la recibió.</w:t>
      </w:r>
    </w:p>
    <w:p w14:paraId="5F7B094F" w14:textId="77777777" w:rsidR="00B2442D" w:rsidRDefault="00B2442D">
      <w:pPr>
        <w:spacing w:line="40" w:lineRule="atLeast"/>
        <w:jc w:val="both"/>
        <w:rPr>
          <w:rFonts w:ascii="Arial" w:hAnsi="Arial" w:cs="Arial"/>
        </w:rPr>
      </w:pPr>
    </w:p>
    <w:p w14:paraId="0E20F28B" w14:textId="77777777" w:rsidR="00B2442D" w:rsidRDefault="008A645F">
      <w:pPr>
        <w:spacing w:line="40" w:lineRule="atLeast"/>
        <w:jc w:val="both"/>
        <w:rPr>
          <w:rFonts w:ascii="Arial" w:hAnsi="Arial" w:cs="Arial"/>
        </w:rPr>
      </w:pPr>
      <w:r>
        <w:rPr>
          <w:rFonts w:ascii="Arial" w:hAnsi="Arial" w:cs="Arial"/>
        </w:rPr>
        <w:t>En todo caso deberá asegurarse que la información conservada sea accesible para su posterior consulta y, en general, cumpliendo las condiciones señaladas en los artículos 12 y 13 de la Ley 52</w:t>
      </w:r>
      <w:r>
        <w:rPr>
          <w:rFonts w:ascii="Arial" w:hAnsi="Arial" w:cs="Arial"/>
        </w:rPr>
        <w:t>7 de 1999.</w:t>
      </w:r>
    </w:p>
    <w:p w14:paraId="210585FB" w14:textId="77777777" w:rsidR="00B2442D" w:rsidRDefault="00B2442D">
      <w:pPr>
        <w:spacing w:line="40" w:lineRule="atLeast"/>
        <w:jc w:val="both"/>
        <w:rPr>
          <w:rFonts w:ascii="Arial" w:hAnsi="Arial" w:cs="Arial"/>
        </w:rPr>
      </w:pPr>
    </w:p>
    <w:p w14:paraId="6BF1AC99" w14:textId="77777777" w:rsidR="00B2442D" w:rsidRDefault="008A645F">
      <w:pPr>
        <w:jc w:val="both"/>
        <w:rPr>
          <w:rFonts w:ascii="Arial" w:hAnsi="Arial" w:cs="Arial"/>
          <w:i/>
          <w:lang w:val="es-CO"/>
        </w:rPr>
      </w:pPr>
      <w:r>
        <w:rPr>
          <w:rFonts w:ascii="Arial" w:hAnsi="Arial" w:cs="Arial"/>
          <w:i/>
          <w:lang w:val="es-CO"/>
        </w:rPr>
        <w:t>(Art. 6, Decreto 2242 de 2015)</w:t>
      </w:r>
    </w:p>
    <w:p w14:paraId="31774F30" w14:textId="77777777" w:rsidR="00B2442D" w:rsidRDefault="00B2442D">
      <w:pPr>
        <w:spacing w:line="40" w:lineRule="atLeast"/>
        <w:jc w:val="both"/>
        <w:rPr>
          <w:rFonts w:ascii="Arial" w:hAnsi="Arial" w:cs="Arial"/>
        </w:rPr>
      </w:pPr>
    </w:p>
    <w:p w14:paraId="4925A39A"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 xml:space="preserve">Ejemplar de la factura electrónica para la DIAN. </w:t>
      </w:r>
      <w:r>
        <w:rPr>
          <w:rFonts w:ascii="Arial" w:hAnsi="Arial" w:cs="Arial"/>
        </w:rPr>
        <w:t xml:space="preserve">El obligado a facturar electrónicamente deberá suministrar a la </w:t>
      </w:r>
      <w:r>
        <w:rPr>
          <w:rFonts w:ascii="Arial" w:hAnsi="Arial" w:cs="Arial"/>
          <w:lang w:val="es-CO"/>
        </w:rPr>
        <w:t>Unidad Administrativa Especial  Dirección de Impuestos y Aduanas Nacionales</w:t>
      </w:r>
      <w:r>
        <w:rPr>
          <w:rFonts w:ascii="Arial" w:hAnsi="Arial" w:cs="Arial"/>
        </w:rPr>
        <w:t>-DIAN un ejemplar de tod</w:t>
      </w:r>
      <w:r>
        <w:rPr>
          <w:rFonts w:ascii="Arial" w:hAnsi="Arial" w:cs="Arial"/>
        </w:rPr>
        <w:t xml:space="preserve">as las facturas electrónicas generadas, independientemente de la forma de entrega al adquirente, en las condiciones que disponga la </w:t>
      </w:r>
      <w:r>
        <w:rPr>
          <w:rFonts w:ascii="Arial" w:hAnsi="Arial" w:cs="Arial"/>
          <w:lang w:val="es-CO"/>
        </w:rPr>
        <w:t>Unidad Administrativa Especial  Dirección de Impuestos y Aduanas Nacionales</w:t>
      </w:r>
      <w:r>
        <w:rPr>
          <w:rFonts w:ascii="Arial" w:hAnsi="Arial" w:cs="Arial"/>
        </w:rPr>
        <w:t>-DIAN, teniendo en cuenta las siguientes disposic</w:t>
      </w:r>
      <w:r>
        <w:rPr>
          <w:rFonts w:ascii="Arial" w:hAnsi="Arial" w:cs="Arial"/>
        </w:rPr>
        <w:t>iones:</w:t>
      </w:r>
    </w:p>
    <w:p w14:paraId="44022981" w14:textId="77777777" w:rsidR="00B2442D" w:rsidRDefault="00B2442D">
      <w:pPr>
        <w:spacing w:line="40" w:lineRule="atLeast"/>
        <w:jc w:val="both"/>
        <w:rPr>
          <w:rFonts w:ascii="Arial" w:hAnsi="Arial" w:cs="Arial"/>
        </w:rPr>
      </w:pPr>
    </w:p>
    <w:p w14:paraId="21FF1C8C" w14:textId="77777777" w:rsidR="00B2442D" w:rsidRDefault="008A645F">
      <w:pPr>
        <w:spacing w:line="40" w:lineRule="atLeast"/>
        <w:jc w:val="both"/>
        <w:rPr>
          <w:rFonts w:ascii="Arial" w:hAnsi="Arial" w:cs="Arial"/>
        </w:rPr>
      </w:pPr>
      <w:r>
        <w:rPr>
          <w:rFonts w:ascii="Arial" w:hAnsi="Arial" w:cs="Arial"/>
        </w:rPr>
        <w:t xml:space="preserve">El ejemplar de la factura en formato electrónico de generación deberá ser entregado a la </w:t>
      </w:r>
      <w:r>
        <w:rPr>
          <w:rFonts w:ascii="Arial" w:hAnsi="Arial" w:cs="Arial"/>
          <w:lang w:val="es-CO"/>
        </w:rPr>
        <w:t>Unidad Administrativa Especial  Dirección de Impuestos y Aduanas Nacionales</w:t>
      </w:r>
      <w:r>
        <w:rPr>
          <w:rFonts w:ascii="Arial" w:hAnsi="Arial" w:cs="Arial"/>
        </w:rPr>
        <w:t xml:space="preserve">-DIAN dentro del término que establezca la misma, máximo cuarenta y ocho (48) horas </w:t>
      </w:r>
      <w:r>
        <w:rPr>
          <w:rFonts w:ascii="Arial" w:hAnsi="Arial" w:cs="Arial"/>
        </w:rPr>
        <w:t>siguientes a su generación. Dentro del mismo término se deben entregar las correspondientes notas crédito o débito generadas, cuando sea el caso.</w:t>
      </w:r>
    </w:p>
    <w:p w14:paraId="52F6E2CD" w14:textId="77777777" w:rsidR="00B2442D" w:rsidRDefault="00B2442D">
      <w:pPr>
        <w:spacing w:line="40" w:lineRule="atLeast"/>
        <w:jc w:val="both"/>
        <w:rPr>
          <w:rFonts w:ascii="Arial" w:hAnsi="Arial" w:cs="Arial"/>
        </w:rPr>
      </w:pPr>
    </w:p>
    <w:p w14:paraId="6467B84C" w14:textId="77777777" w:rsidR="00B2442D" w:rsidRDefault="008A645F">
      <w:pPr>
        <w:spacing w:line="40" w:lineRule="atLeast"/>
        <w:jc w:val="both"/>
        <w:rPr>
          <w:rFonts w:ascii="Arial" w:hAnsi="Arial" w:cs="Arial"/>
        </w:rPr>
      </w:pPr>
      <w:r>
        <w:rPr>
          <w:rFonts w:ascii="Arial" w:hAnsi="Arial" w:cs="Arial"/>
        </w:rPr>
        <w:t xml:space="preserve">Sobre el ejemplar entregado a la </w:t>
      </w:r>
      <w:r>
        <w:rPr>
          <w:rFonts w:ascii="Arial" w:hAnsi="Arial" w:cs="Arial"/>
          <w:lang w:val="es-CO"/>
        </w:rPr>
        <w:t>Unidad Administrativa Especial Dirección de Impuestos y Aduanas Nacionales</w:t>
      </w:r>
      <w:r>
        <w:rPr>
          <w:rFonts w:ascii="Arial" w:hAnsi="Arial" w:cs="Arial"/>
        </w:rPr>
        <w:t>-D</w:t>
      </w:r>
      <w:r>
        <w:rPr>
          <w:rFonts w:ascii="Arial" w:hAnsi="Arial" w:cs="Arial"/>
        </w:rPr>
        <w:t>IAN, la Entidad verificará el cumplimiento de las siguientes condiciones:</w:t>
      </w:r>
    </w:p>
    <w:p w14:paraId="7A16360A" w14:textId="77777777" w:rsidR="00B2442D" w:rsidRDefault="00B2442D">
      <w:pPr>
        <w:spacing w:line="40" w:lineRule="atLeast"/>
        <w:jc w:val="both"/>
        <w:rPr>
          <w:rFonts w:ascii="Arial" w:hAnsi="Arial" w:cs="Arial"/>
        </w:rPr>
      </w:pPr>
    </w:p>
    <w:p w14:paraId="41241631" w14:textId="77777777" w:rsidR="00B2442D" w:rsidRDefault="008A645F">
      <w:pPr>
        <w:spacing w:line="40" w:lineRule="atLeast"/>
        <w:jc w:val="both"/>
        <w:rPr>
          <w:rFonts w:ascii="Arial" w:hAnsi="Arial" w:cs="Arial"/>
        </w:rPr>
      </w:pPr>
      <w:r>
        <w:rPr>
          <w:rFonts w:ascii="Arial" w:hAnsi="Arial" w:cs="Arial"/>
        </w:rPr>
        <w:t>1. Uso del formato de generación XML estándar establecido.</w:t>
      </w:r>
    </w:p>
    <w:p w14:paraId="207439AF" w14:textId="77777777" w:rsidR="00B2442D" w:rsidRDefault="00B2442D">
      <w:pPr>
        <w:spacing w:line="40" w:lineRule="atLeast"/>
        <w:jc w:val="both"/>
        <w:rPr>
          <w:rFonts w:ascii="Arial" w:hAnsi="Arial" w:cs="Arial"/>
        </w:rPr>
      </w:pPr>
    </w:p>
    <w:p w14:paraId="25D5A6EC" w14:textId="77777777" w:rsidR="00B2442D" w:rsidRDefault="008A645F">
      <w:pPr>
        <w:spacing w:line="40" w:lineRule="atLeast"/>
        <w:jc w:val="both"/>
        <w:rPr>
          <w:rFonts w:ascii="Arial" w:hAnsi="Arial" w:cs="Arial"/>
        </w:rPr>
      </w:pPr>
      <w:r>
        <w:rPr>
          <w:rFonts w:ascii="Arial" w:hAnsi="Arial" w:cs="Arial"/>
        </w:rPr>
        <w:t xml:space="preserve">2. Numeración consecutiva vigente y uso del código único de factura electrónica en las condiciones señaladas por la </w:t>
      </w:r>
      <w:r>
        <w:rPr>
          <w:rFonts w:ascii="Arial" w:hAnsi="Arial" w:cs="Arial"/>
          <w:lang w:val="es-CO"/>
        </w:rPr>
        <w:t>Unida</w:t>
      </w:r>
      <w:r>
        <w:rPr>
          <w:rFonts w:ascii="Arial" w:hAnsi="Arial" w:cs="Arial"/>
          <w:lang w:val="es-CO"/>
        </w:rPr>
        <w:t>d Administrativa Especial Dirección de Impuestos y Aduanas Nacionales</w:t>
      </w:r>
      <w:r>
        <w:rPr>
          <w:rFonts w:ascii="Arial" w:hAnsi="Arial" w:cs="Arial"/>
        </w:rPr>
        <w:t>-DIAN.</w:t>
      </w:r>
    </w:p>
    <w:p w14:paraId="107175FE" w14:textId="77777777" w:rsidR="00B2442D" w:rsidRDefault="00B2442D">
      <w:pPr>
        <w:spacing w:line="40" w:lineRule="atLeast"/>
        <w:jc w:val="both"/>
        <w:rPr>
          <w:rFonts w:ascii="Arial" w:hAnsi="Arial" w:cs="Arial"/>
        </w:rPr>
      </w:pPr>
    </w:p>
    <w:p w14:paraId="6BC844F9" w14:textId="77777777" w:rsidR="00B2442D" w:rsidRDefault="008A645F">
      <w:pPr>
        <w:spacing w:line="40" w:lineRule="atLeast"/>
        <w:jc w:val="both"/>
        <w:rPr>
          <w:rFonts w:ascii="Arial" w:hAnsi="Arial" w:cs="Arial"/>
        </w:rPr>
      </w:pPr>
      <w:r>
        <w:rPr>
          <w:rFonts w:ascii="Arial" w:hAnsi="Arial" w:cs="Arial"/>
        </w:rPr>
        <w:t>3. Existencia de los requisitos señalados en el artículo 617 del Estatuto Tributario, salvo lo referente al nombre o razón social y NIT del impresor y la pre - impresión de los re</w:t>
      </w:r>
      <w:r>
        <w:rPr>
          <w:rFonts w:ascii="Arial" w:hAnsi="Arial" w:cs="Arial"/>
        </w:rPr>
        <w:t>quisitos a que se refiere esta norma; discriminando el impuesto al consumo, cuando sea del caso.</w:t>
      </w:r>
    </w:p>
    <w:p w14:paraId="7D0AEB08" w14:textId="77777777" w:rsidR="00B2442D" w:rsidRDefault="00B2442D">
      <w:pPr>
        <w:spacing w:line="40" w:lineRule="atLeast"/>
        <w:jc w:val="both"/>
        <w:rPr>
          <w:rFonts w:ascii="Arial" w:hAnsi="Arial" w:cs="Arial"/>
        </w:rPr>
      </w:pPr>
    </w:p>
    <w:p w14:paraId="26E7855F" w14:textId="77777777" w:rsidR="00B2442D" w:rsidRDefault="008A645F">
      <w:pPr>
        <w:spacing w:line="40" w:lineRule="atLeast"/>
        <w:jc w:val="both"/>
        <w:rPr>
          <w:rFonts w:ascii="Arial" w:hAnsi="Arial" w:cs="Arial"/>
        </w:rPr>
      </w:pPr>
      <w:r>
        <w:rPr>
          <w:rFonts w:ascii="Arial" w:hAnsi="Arial" w:cs="Arial"/>
        </w:rPr>
        <w:t>Cuando el adquirente persona natural no tenga NIT deberá verificarse que se haya incluido el tipo y número del documento de identificación.</w:t>
      </w:r>
    </w:p>
    <w:p w14:paraId="1AF463E8" w14:textId="77777777" w:rsidR="00B2442D" w:rsidRDefault="00B2442D">
      <w:pPr>
        <w:spacing w:line="40" w:lineRule="atLeast"/>
        <w:jc w:val="both"/>
        <w:rPr>
          <w:rFonts w:ascii="Arial" w:hAnsi="Arial" w:cs="Arial"/>
        </w:rPr>
      </w:pPr>
    </w:p>
    <w:p w14:paraId="2CA97F51" w14:textId="77777777" w:rsidR="00B2442D" w:rsidRDefault="008A645F">
      <w:pPr>
        <w:spacing w:line="40" w:lineRule="atLeast"/>
        <w:jc w:val="both"/>
        <w:rPr>
          <w:rFonts w:ascii="Arial" w:hAnsi="Arial" w:cs="Arial"/>
        </w:rPr>
      </w:pPr>
      <w:r>
        <w:rPr>
          <w:rFonts w:ascii="Arial" w:hAnsi="Arial" w:cs="Arial"/>
        </w:rPr>
        <w:t>4. Existencia y v</w:t>
      </w:r>
      <w:r>
        <w:rPr>
          <w:rFonts w:ascii="Arial" w:hAnsi="Arial" w:cs="Arial"/>
        </w:rPr>
        <w:t>alidez de la firma digital o electrónica.</w:t>
      </w:r>
    </w:p>
    <w:p w14:paraId="7D861D90" w14:textId="77777777" w:rsidR="00B2442D" w:rsidRDefault="00B2442D">
      <w:pPr>
        <w:spacing w:line="40" w:lineRule="atLeast"/>
        <w:jc w:val="both"/>
        <w:rPr>
          <w:rFonts w:ascii="Arial" w:hAnsi="Arial" w:cs="Arial"/>
        </w:rPr>
      </w:pPr>
    </w:p>
    <w:p w14:paraId="1D292708" w14:textId="77777777" w:rsidR="00B2442D" w:rsidRDefault="008A645F">
      <w:pPr>
        <w:spacing w:line="40" w:lineRule="atLeast"/>
        <w:jc w:val="both"/>
        <w:rPr>
          <w:rFonts w:ascii="Arial" w:hAnsi="Arial" w:cs="Arial"/>
        </w:rPr>
      </w:pPr>
      <w:r>
        <w:rPr>
          <w:rFonts w:ascii="Arial" w:hAnsi="Arial" w:cs="Arial"/>
        </w:rPr>
        <w:t>5. Validez del NIT del obligado a facturar electrónicamente y del adquirente, si fuera el caso.</w:t>
      </w:r>
    </w:p>
    <w:p w14:paraId="4ECB325A" w14:textId="77777777" w:rsidR="00B2442D" w:rsidRDefault="00B2442D">
      <w:pPr>
        <w:spacing w:line="40" w:lineRule="atLeast"/>
        <w:jc w:val="both"/>
        <w:rPr>
          <w:rFonts w:ascii="Arial" w:hAnsi="Arial" w:cs="Arial"/>
        </w:rPr>
      </w:pPr>
    </w:p>
    <w:p w14:paraId="6457755E" w14:textId="77777777" w:rsidR="00B2442D" w:rsidRDefault="008A645F">
      <w:pPr>
        <w:spacing w:line="40" w:lineRule="atLeast"/>
        <w:jc w:val="both"/>
        <w:rPr>
          <w:rFonts w:ascii="Arial" w:hAnsi="Arial" w:cs="Arial"/>
        </w:rPr>
      </w:pPr>
      <w:r>
        <w:rPr>
          <w:rFonts w:ascii="Arial" w:hAnsi="Arial" w:cs="Arial"/>
        </w:rPr>
        <w:t>6. Existencia y validez del Código Único de Factura Electrónica.</w:t>
      </w:r>
    </w:p>
    <w:p w14:paraId="0A3E8CB7" w14:textId="77777777" w:rsidR="00B2442D" w:rsidRDefault="00B2442D">
      <w:pPr>
        <w:spacing w:line="40" w:lineRule="atLeast"/>
        <w:jc w:val="both"/>
        <w:rPr>
          <w:rFonts w:ascii="Arial" w:hAnsi="Arial" w:cs="Arial"/>
        </w:rPr>
      </w:pPr>
    </w:p>
    <w:p w14:paraId="1CA8FBBC" w14:textId="77777777" w:rsidR="00B2442D" w:rsidRDefault="008A645F">
      <w:pPr>
        <w:spacing w:line="40" w:lineRule="atLeast"/>
        <w:jc w:val="both"/>
        <w:rPr>
          <w:rFonts w:ascii="Arial" w:hAnsi="Arial" w:cs="Arial"/>
        </w:rPr>
      </w:pPr>
      <w:r>
        <w:rPr>
          <w:rFonts w:ascii="Arial" w:hAnsi="Arial" w:cs="Arial"/>
        </w:rPr>
        <w:t xml:space="preserve">La </w:t>
      </w:r>
      <w:r>
        <w:rPr>
          <w:rFonts w:ascii="Arial" w:hAnsi="Arial" w:cs="Arial"/>
          <w:lang w:val="es-CO"/>
        </w:rPr>
        <w:t xml:space="preserve">Unidad Administrativa Especial </w:t>
      </w:r>
      <w:r>
        <w:rPr>
          <w:rFonts w:ascii="Arial" w:hAnsi="Arial" w:cs="Arial"/>
          <w:lang w:val="es-CO"/>
        </w:rPr>
        <w:t>Dirección de Impuestos y Aduanas Nacionales</w:t>
      </w:r>
      <w:r>
        <w:rPr>
          <w:rFonts w:ascii="Arial" w:hAnsi="Arial" w:cs="Arial"/>
        </w:rPr>
        <w:t>-DIAN dará a conocer la recepción del ejemplar de la factura electrónica recibido por los medios que establezca y podrá ofrecer servicios de consulta del resultado de la verificación realizada por la Entidad, a lo</w:t>
      </w:r>
      <w:r>
        <w:rPr>
          <w:rFonts w:ascii="Arial" w:hAnsi="Arial" w:cs="Arial"/>
        </w:rPr>
        <w:t>s obligados a facturar electrónicamente y a los adquirentes que reciben la factura en formato electrónico de generación, respecto de sus propias transacciones.</w:t>
      </w:r>
    </w:p>
    <w:p w14:paraId="19CE1811" w14:textId="77777777" w:rsidR="00B2442D" w:rsidRDefault="00B2442D">
      <w:pPr>
        <w:spacing w:line="40" w:lineRule="atLeast"/>
        <w:jc w:val="both"/>
        <w:rPr>
          <w:rFonts w:ascii="Arial" w:hAnsi="Arial" w:cs="Arial"/>
        </w:rPr>
      </w:pPr>
    </w:p>
    <w:p w14:paraId="127E0391" w14:textId="77777777" w:rsidR="00B2442D" w:rsidRDefault="008A645F">
      <w:pPr>
        <w:spacing w:line="40" w:lineRule="atLeast"/>
        <w:jc w:val="both"/>
        <w:rPr>
          <w:rFonts w:ascii="Arial" w:hAnsi="Arial" w:cs="Arial"/>
        </w:rPr>
      </w:pPr>
      <w:r>
        <w:rPr>
          <w:rFonts w:ascii="Arial" w:hAnsi="Arial" w:cs="Arial"/>
        </w:rPr>
        <w:t xml:space="preserve">Cuando como resultado de la verificación que realice la </w:t>
      </w:r>
      <w:r>
        <w:rPr>
          <w:rFonts w:ascii="Arial" w:hAnsi="Arial" w:cs="Arial"/>
          <w:lang w:val="es-CO"/>
        </w:rPr>
        <w:t>Unidad Administrativa Especial  Direcci</w:t>
      </w:r>
      <w:r>
        <w:rPr>
          <w:rFonts w:ascii="Arial" w:hAnsi="Arial" w:cs="Arial"/>
          <w:lang w:val="es-CO"/>
        </w:rPr>
        <w:t>ón de Impuestos y Aduanas Nacionales</w:t>
      </w:r>
      <w:r>
        <w:rPr>
          <w:rFonts w:ascii="Arial" w:hAnsi="Arial" w:cs="Arial"/>
        </w:rPr>
        <w:t>-DIAN se establezca la imposibilidad de acceder al contenido de la factura electrónica, procederá su reenvío por el obligado a facturar electrónicamente dentro de las cuarenta y ocho (48) horas siguientes a la comunicaci</w:t>
      </w:r>
      <w:r>
        <w:rPr>
          <w:rFonts w:ascii="Arial" w:hAnsi="Arial" w:cs="Arial"/>
        </w:rPr>
        <w:t xml:space="preserve">ón de este resultado por la </w:t>
      </w:r>
      <w:r>
        <w:rPr>
          <w:rFonts w:ascii="Arial" w:hAnsi="Arial" w:cs="Arial"/>
          <w:lang w:val="es-CO"/>
        </w:rPr>
        <w:t>Unidad Administrativa Especial  Dirección de Impuestos y Aduanas Nacionales</w:t>
      </w:r>
      <w:r>
        <w:rPr>
          <w:rFonts w:ascii="Arial" w:hAnsi="Arial" w:cs="Arial"/>
        </w:rPr>
        <w:t>-DIAN, por los medios que la misma establezca.</w:t>
      </w:r>
    </w:p>
    <w:p w14:paraId="075B9EC8" w14:textId="77777777" w:rsidR="00B2442D" w:rsidRDefault="00B2442D">
      <w:pPr>
        <w:spacing w:line="40" w:lineRule="atLeast"/>
        <w:jc w:val="both"/>
        <w:rPr>
          <w:rFonts w:ascii="Arial" w:hAnsi="Arial" w:cs="Arial"/>
        </w:rPr>
      </w:pPr>
    </w:p>
    <w:p w14:paraId="60E70E9C" w14:textId="77777777" w:rsidR="00B2442D" w:rsidRDefault="008A645F">
      <w:pPr>
        <w:spacing w:line="40" w:lineRule="atLeast"/>
        <w:jc w:val="both"/>
        <w:rPr>
          <w:rFonts w:ascii="Arial" w:hAnsi="Arial" w:cs="Arial"/>
        </w:rPr>
      </w:pPr>
      <w:r>
        <w:rPr>
          <w:rFonts w:ascii="Arial" w:hAnsi="Arial" w:cs="Arial"/>
        </w:rPr>
        <w:t xml:space="preserve">La </w:t>
      </w:r>
      <w:r>
        <w:rPr>
          <w:rFonts w:ascii="Arial" w:hAnsi="Arial" w:cs="Arial"/>
          <w:lang w:val="es-CO"/>
        </w:rPr>
        <w:t>Unidad Administrativa Especial Dirección de Impuestos y Aduanas Nacionales</w:t>
      </w:r>
      <w:r>
        <w:rPr>
          <w:rFonts w:ascii="Arial" w:hAnsi="Arial" w:cs="Arial"/>
        </w:rPr>
        <w:t>-DIAN podrá prestar igualmen</w:t>
      </w:r>
      <w:r>
        <w:rPr>
          <w:rFonts w:ascii="Arial" w:hAnsi="Arial" w:cs="Arial"/>
        </w:rPr>
        <w:t>te servicios de consulta a los adquirentes respecto de sus propias transacciones, cuando la factura electrónica se hubiere entregado en representación gráfica en formato impreso o formato digital.</w:t>
      </w:r>
    </w:p>
    <w:p w14:paraId="1B285A1B" w14:textId="77777777" w:rsidR="00B2442D" w:rsidRDefault="00B2442D">
      <w:pPr>
        <w:spacing w:line="40" w:lineRule="atLeast"/>
        <w:jc w:val="both"/>
        <w:rPr>
          <w:rFonts w:ascii="Arial" w:hAnsi="Arial" w:cs="Arial"/>
        </w:rPr>
      </w:pPr>
    </w:p>
    <w:p w14:paraId="761572B4" w14:textId="77777777" w:rsidR="00B2442D" w:rsidRDefault="008A645F">
      <w:pPr>
        <w:spacing w:line="40" w:lineRule="atLeast"/>
        <w:jc w:val="both"/>
        <w:rPr>
          <w:rFonts w:ascii="Arial" w:hAnsi="Arial" w:cs="Arial"/>
        </w:rPr>
      </w:pPr>
      <w:r>
        <w:rPr>
          <w:rFonts w:ascii="Arial" w:hAnsi="Arial" w:cs="Arial"/>
          <w:b/>
        </w:rPr>
        <w:t>Parágrafo 1.</w:t>
      </w:r>
      <w:r>
        <w:rPr>
          <w:rFonts w:ascii="Arial" w:hAnsi="Arial" w:cs="Arial"/>
        </w:rPr>
        <w:t xml:space="preserve"> El ejemplar de la factura electrónica suministrado a la </w:t>
      </w:r>
      <w:r>
        <w:rPr>
          <w:rFonts w:ascii="Arial" w:hAnsi="Arial" w:cs="Arial"/>
          <w:lang w:val="es-CO"/>
        </w:rPr>
        <w:t>Unidad Administrativa Especial Dirección de Impuestos y Aduanas Nacionales</w:t>
      </w:r>
      <w:r>
        <w:rPr>
          <w:rFonts w:ascii="Arial" w:hAnsi="Arial" w:cs="Arial"/>
        </w:rPr>
        <w:t xml:space="preserve">-DIAN no podrá ser objeto de cesión, endoso o circulación y, así se indicará, en las condiciones que establezca la </w:t>
      </w:r>
      <w:r>
        <w:rPr>
          <w:rFonts w:ascii="Arial" w:hAnsi="Arial" w:cs="Arial"/>
          <w:lang w:val="es-CO"/>
        </w:rPr>
        <w:t>Unidad Adm</w:t>
      </w:r>
      <w:r>
        <w:rPr>
          <w:rFonts w:ascii="Arial" w:hAnsi="Arial" w:cs="Arial"/>
          <w:lang w:val="es-CO"/>
        </w:rPr>
        <w:t>inistrativa Especial  Dirección de Impuestos y Aduanas Nacionales</w:t>
      </w:r>
      <w:r>
        <w:rPr>
          <w:rFonts w:ascii="Arial" w:hAnsi="Arial" w:cs="Arial"/>
        </w:rPr>
        <w:t xml:space="preserve">-DIAN a través del formato que disponga. La </w:t>
      </w:r>
      <w:r>
        <w:rPr>
          <w:rFonts w:ascii="Arial" w:hAnsi="Arial" w:cs="Arial"/>
          <w:lang w:val="es-CO"/>
        </w:rPr>
        <w:t>Unidad Administrativa Especial Dirección de Impuestos y Aduanas Nacionales</w:t>
      </w:r>
      <w:r>
        <w:rPr>
          <w:rFonts w:ascii="Arial" w:hAnsi="Arial" w:cs="Arial"/>
        </w:rPr>
        <w:t>-DIAN conservará el ejemplar de la factura electrónica recibido exclusiva</w:t>
      </w:r>
      <w:r>
        <w:rPr>
          <w:rFonts w:ascii="Arial" w:hAnsi="Arial" w:cs="Arial"/>
        </w:rPr>
        <w:t>mente para fines de control, verificación y fiscalización y, dará cumplimento a las disposiciones en materia de reserva de la información.</w:t>
      </w:r>
    </w:p>
    <w:p w14:paraId="2FDE6CBC" w14:textId="77777777" w:rsidR="00B2442D" w:rsidRDefault="00B2442D">
      <w:pPr>
        <w:spacing w:line="40" w:lineRule="atLeast"/>
        <w:jc w:val="both"/>
        <w:rPr>
          <w:rFonts w:ascii="Arial" w:hAnsi="Arial" w:cs="Arial"/>
        </w:rPr>
      </w:pPr>
    </w:p>
    <w:p w14:paraId="02FE4031" w14:textId="77777777" w:rsidR="00B2442D" w:rsidRDefault="008A645F">
      <w:pPr>
        <w:spacing w:line="40" w:lineRule="atLeast"/>
        <w:jc w:val="both"/>
        <w:rPr>
          <w:rFonts w:ascii="Arial" w:hAnsi="Arial" w:cs="Arial"/>
        </w:rPr>
      </w:pPr>
      <w:r>
        <w:rPr>
          <w:rFonts w:ascii="Arial" w:hAnsi="Arial" w:cs="Arial"/>
        </w:rPr>
        <w:t xml:space="preserve">La verificación por parte de la </w:t>
      </w:r>
      <w:r>
        <w:rPr>
          <w:rFonts w:ascii="Arial" w:hAnsi="Arial" w:cs="Arial"/>
          <w:lang w:val="es-CO"/>
        </w:rPr>
        <w:t>Unidad Administrativa Especial Dirección de Impuestos y Aduanas Nacionales</w:t>
      </w:r>
      <w:r>
        <w:rPr>
          <w:rFonts w:ascii="Arial" w:hAnsi="Arial" w:cs="Arial"/>
        </w:rPr>
        <w:t xml:space="preserve">-DIAN del </w:t>
      </w:r>
      <w:r>
        <w:rPr>
          <w:rFonts w:ascii="Arial" w:hAnsi="Arial" w:cs="Arial"/>
        </w:rPr>
        <w:t>ejemplar de factura que el obligado a facturar electrónicamente le suministra, en ningún momento limita o excluye las facultades de fiscalización de la entidad.</w:t>
      </w:r>
    </w:p>
    <w:p w14:paraId="6EF14DBF" w14:textId="77777777" w:rsidR="00B2442D" w:rsidRDefault="00B2442D">
      <w:pPr>
        <w:spacing w:line="40" w:lineRule="atLeast"/>
        <w:jc w:val="both"/>
        <w:rPr>
          <w:rFonts w:ascii="Arial" w:hAnsi="Arial" w:cs="Arial"/>
        </w:rPr>
      </w:pPr>
    </w:p>
    <w:p w14:paraId="3A409033" w14:textId="77777777" w:rsidR="00B2442D" w:rsidRDefault="008A645F">
      <w:pPr>
        <w:spacing w:line="40" w:lineRule="atLeast"/>
        <w:jc w:val="both"/>
        <w:rPr>
          <w:rFonts w:ascii="Arial" w:hAnsi="Arial" w:cs="Arial"/>
        </w:rPr>
      </w:pPr>
      <w:r>
        <w:rPr>
          <w:rFonts w:ascii="Arial" w:hAnsi="Arial" w:cs="Arial"/>
          <w:b/>
        </w:rPr>
        <w:t>Parágrafo 2.</w:t>
      </w:r>
      <w:r>
        <w:rPr>
          <w:rFonts w:ascii="Arial" w:hAnsi="Arial" w:cs="Arial"/>
        </w:rPr>
        <w:t xml:space="preserve"> El incumplimiento por el obligado a facturar electrónicamente de la entrega del e</w:t>
      </w:r>
      <w:r>
        <w:rPr>
          <w:rFonts w:ascii="Arial" w:hAnsi="Arial" w:cs="Arial"/>
        </w:rPr>
        <w:t xml:space="preserve">jemplar a la </w:t>
      </w:r>
      <w:r>
        <w:rPr>
          <w:rFonts w:ascii="Arial" w:hAnsi="Arial" w:cs="Arial"/>
          <w:lang w:val="es-CO"/>
        </w:rPr>
        <w:t>Unidad Administrativa Especial Dirección de Impuestos y Aduanas Nacionales</w:t>
      </w:r>
      <w:r>
        <w:rPr>
          <w:rFonts w:ascii="Arial" w:hAnsi="Arial" w:cs="Arial"/>
        </w:rPr>
        <w:t>- DIAN y su reenvío, si fuere el caso, dentro del término y/o en las condiciones establecidas de la presente Sección, dará lugar a la aplicación de las sanciones contemp</w:t>
      </w:r>
      <w:r>
        <w:rPr>
          <w:rFonts w:ascii="Arial" w:hAnsi="Arial" w:cs="Arial"/>
        </w:rPr>
        <w:t>ladas en el artículo 651 del Estatuto Tributario.</w:t>
      </w:r>
    </w:p>
    <w:p w14:paraId="59E8D003" w14:textId="77777777" w:rsidR="00B2442D" w:rsidRDefault="00B2442D">
      <w:pPr>
        <w:spacing w:line="40" w:lineRule="atLeast"/>
        <w:jc w:val="both"/>
        <w:rPr>
          <w:rFonts w:ascii="Arial" w:hAnsi="Arial" w:cs="Arial"/>
        </w:rPr>
      </w:pPr>
    </w:p>
    <w:p w14:paraId="5380FAF9" w14:textId="77777777" w:rsidR="00B2442D" w:rsidRDefault="008A645F">
      <w:pPr>
        <w:jc w:val="both"/>
        <w:rPr>
          <w:rFonts w:ascii="Arial" w:hAnsi="Arial" w:cs="Arial"/>
          <w:i/>
          <w:lang w:val="es-CO"/>
        </w:rPr>
      </w:pPr>
      <w:r>
        <w:rPr>
          <w:rFonts w:ascii="Arial" w:hAnsi="Arial" w:cs="Arial"/>
          <w:i/>
          <w:lang w:val="es-CO"/>
        </w:rPr>
        <w:t>(Art. 7, Decreto 2242 de 2015)</w:t>
      </w:r>
    </w:p>
    <w:p w14:paraId="16291447" w14:textId="77777777" w:rsidR="00B2442D" w:rsidRDefault="00B2442D">
      <w:pPr>
        <w:spacing w:line="40" w:lineRule="atLeast"/>
        <w:jc w:val="both"/>
        <w:rPr>
          <w:rFonts w:ascii="Arial" w:hAnsi="Arial" w:cs="Arial"/>
        </w:rPr>
      </w:pPr>
    </w:p>
    <w:p w14:paraId="40FB97E6"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Medidas en caso de inconvenientes técnicos y situaciones especiales.</w:t>
      </w:r>
      <w:r>
        <w:rPr>
          <w:rFonts w:ascii="Arial" w:hAnsi="Arial" w:cs="Arial"/>
        </w:rPr>
        <w:t xml:space="preserve"> En caso de inconvenientes técnicos que impidan la generación y/o entrega de la factura electrónica entre</w:t>
      </w:r>
      <w:r>
        <w:rPr>
          <w:rFonts w:ascii="Arial" w:hAnsi="Arial" w:cs="Arial"/>
        </w:rPr>
        <w:t xml:space="preserve"> el obligado a facturar y el adquirente, y/o la entrega del ejemplar para la </w:t>
      </w:r>
      <w:r>
        <w:rPr>
          <w:rFonts w:ascii="Arial" w:hAnsi="Arial" w:cs="Arial"/>
          <w:lang w:val="es-CO"/>
        </w:rPr>
        <w:t>Unidad Administrativa Especial  Dirección de Impuestos y Aduanas Nacionales</w:t>
      </w:r>
      <w:r>
        <w:rPr>
          <w:rFonts w:ascii="Arial" w:hAnsi="Arial" w:cs="Arial"/>
        </w:rPr>
        <w:t xml:space="preserve">-DIAN, o en situaciones de fuerza mayor o caso fortuito, aplicarán las medidas que establezca la </w:t>
      </w:r>
      <w:r>
        <w:rPr>
          <w:rFonts w:ascii="Arial" w:hAnsi="Arial" w:cs="Arial"/>
          <w:lang w:val="es-CO"/>
        </w:rPr>
        <w:t xml:space="preserve">Unidad </w:t>
      </w:r>
      <w:r>
        <w:rPr>
          <w:rFonts w:ascii="Arial" w:hAnsi="Arial" w:cs="Arial"/>
          <w:lang w:val="es-CO"/>
        </w:rPr>
        <w:t>Administrativa Especial  Dirección de Impuestos y Aduanas Nacionales</w:t>
      </w:r>
      <w:r>
        <w:rPr>
          <w:rFonts w:ascii="Arial" w:hAnsi="Arial" w:cs="Arial"/>
        </w:rPr>
        <w:t>- DIAN en relación con:</w:t>
      </w:r>
    </w:p>
    <w:p w14:paraId="0EFF1D90" w14:textId="77777777" w:rsidR="00B2442D" w:rsidRDefault="00B2442D">
      <w:pPr>
        <w:spacing w:line="40" w:lineRule="atLeast"/>
        <w:jc w:val="both"/>
        <w:rPr>
          <w:rFonts w:ascii="Arial" w:hAnsi="Arial" w:cs="Arial"/>
        </w:rPr>
      </w:pPr>
    </w:p>
    <w:p w14:paraId="6C1DC9F8" w14:textId="77777777" w:rsidR="00B2442D" w:rsidRDefault="008A645F">
      <w:pPr>
        <w:spacing w:line="40" w:lineRule="atLeast"/>
        <w:jc w:val="both"/>
        <w:rPr>
          <w:rFonts w:ascii="Arial" w:hAnsi="Arial" w:cs="Arial"/>
        </w:rPr>
      </w:pPr>
      <w:r>
        <w:rPr>
          <w:rFonts w:ascii="Arial" w:hAnsi="Arial" w:cs="Arial"/>
        </w:rPr>
        <w:t>1. Los sistemas del obligado a facturar electrónicamente o sus proveedores tecnológicos.</w:t>
      </w:r>
    </w:p>
    <w:p w14:paraId="4DDA12D3" w14:textId="77777777" w:rsidR="00B2442D" w:rsidRDefault="00B2442D">
      <w:pPr>
        <w:spacing w:line="40" w:lineRule="atLeast"/>
        <w:jc w:val="both"/>
        <w:rPr>
          <w:rFonts w:ascii="Arial" w:hAnsi="Arial" w:cs="Arial"/>
        </w:rPr>
      </w:pPr>
    </w:p>
    <w:p w14:paraId="4210F980" w14:textId="77777777" w:rsidR="00B2442D" w:rsidRDefault="008A645F">
      <w:pPr>
        <w:spacing w:line="40" w:lineRule="atLeast"/>
        <w:jc w:val="both"/>
        <w:rPr>
          <w:rFonts w:ascii="Arial" w:hAnsi="Arial" w:cs="Arial"/>
        </w:rPr>
      </w:pPr>
      <w:r>
        <w:rPr>
          <w:rFonts w:ascii="Arial" w:hAnsi="Arial" w:cs="Arial"/>
        </w:rPr>
        <w:t>2. Los sistemas del adquirente que recibe la factura en formato electróni</w:t>
      </w:r>
      <w:r>
        <w:rPr>
          <w:rFonts w:ascii="Arial" w:hAnsi="Arial" w:cs="Arial"/>
        </w:rPr>
        <w:t>co de generación.</w:t>
      </w:r>
    </w:p>
    <w:p w14:paraId="20407CF7" w14:textId="77777777" w:rsidR="00B2442D" w:rsidRDefault="00B2442D">
      <w:pPr>
        <w:spacing w:line="40" w:lineRule="atLeast"/>
        <w:jc w:val="both"/>
        <w:rPr>
          <w:rFonts w:ascii="Arial" w:hAnsi="Arial" w:cs="Arial"/>
        </w:rPr>
      </w:pPr>
    </w:p>
    <w:p w14:paraId="6506E4EC" w14:textId="77777777" w:rsidR="00B2442D" w:rsidRDefault="008A645F">
      <w:pPr>
        <w:spacing w:line="40" w:lineRule="atLeast"/>
        <w:jc w:val="both"/>
        <w:rPr>
          <w:rFonts w:ascii="Arial" w:hAnsi="Arial" w:cs="Arial"/>
        </w:rPr>
      </w:pPr>
      <w:r>
        <w:rPr>
          <w:rFonts w:ascii="Arial" w:hAnsi="Arial" w:cs="Arial"/>
        </w:rPr>
        <w:t xml:space="preserve">3. Los servicios informáticos electrónicos de la </w:t>
      </w:r>
      <w:r>
        <w:rPr>
          <w:rFonts w:ascii="Arial" w:hAnsi="Arial" w:cs="Arial"/>
          <w:lang w:val="es-CO"/>
        </w:rPr>
        <w:t>Unidad Administrativa Especial Dirección de Impuestos y Aduanas Nacionales</w:t>
      </w:r>
      <w:r>
        <w:rPr>
          <w:rFonts w:ascii="Arial" w:hAnsi="Arial" w:cs="Arial"/>
        </w:rPr>
        <w:t>-DIAN.</w:t>
      </w:r>
    </w:p>
    <w:p w14:paraId="54891FBA" w14:textId="77777777" w:rsidR="00B2442D" w:rsidRDefault="00B2442D">
      <w:pPr>
        <w:spacing w:line="40" w:lineRule="atLeast"/>
        <w:jc w:val="both"/>
        <w:rPr>
          <w:rFonts w:ascii="Arial" w:hAnsi="Arial" w:cs="Arial"/>
        </w:rPr>
      </w:pPr>
    </w:p>
    <w:p w14:paraId="2B931549" w14:textId="77777777" w:rsidR="00B2442D" w:rsidRDefault="008A645F">
      <w:pPr>
        <w:spacing w:line="40" w:lineRule="atLeast"/>
        <w:jc w:val="both"/>
        <w:rPr>
          <w:rFonts w:ascii="Arial" w:hAnsi="Arial" w:cs="Arial"/>
        </w:rPr>
      </w:pPr>
      <w:r>
        <w:rPr>
          <w:rFonts w:ascii="Arial" w:hAnsi="Arial" w:cs="Arial"/>
        </w:rPr>
        <w:t>Cuando se presenten situaciones especiales que impidan al obligado a facturar electrónicamente la expedici</w:t>
      </w:r>
      <w:r>
        <w:rPr>
          <w:rFonts w:ascii="Arial" w:hAnsi="Arial" w:cs="Arial"/>
        </w:rPr>
        <w:t xml:space="preserve">ón de la factura electrónica en alguna zona geográfica específica o se cancele o no se renueve la autorización a su proveedor tecnológico, aplicarán al obligado a facturar electrónicamente las medidas que establezca la </w:t>
      </w:r>
      <w:r>
        <w:rPr>
          <w:rFonts w:ascii="Arial" w:hAnsi="Arial" w:cs="Arial"/>
          <w:lang w:val="es-CO"/>
        </w:rPr>
        <w:t>Unidad Administrativa Especial Direcc</w:t>
      </w:r>
      <w:r>
        <w:rPr>
          <w:rFonts w:ascii="Arial" w:hAnsi="Arial" w:cs="Arial"/>
          <w:lang w:val="es-CO"/>
        </w:rPr>
        <w:t>ión de Impuestos y Aduanas Nacionales</w:t>
      </w:r>
      <w:r>
        <w:rPr>
          <w:rFonts w:ascii="Arial" w:hAnsi="Arial" w:cs="Arial"/>
        </w:rPr>
        <w:t>- DIAN.</w:t>
      </w:r>
    </w:p>
    <w:p w14:paraId="44A46EE1" w14:textId="77777777" w:rsidR="00B2442D" w:rsidRDefault="00B2442D">
      <w:pPr>
        <w:spacing w:line="40" w:lineRule="atLeast"/>
        <w:jc w:val="both"/>
        <w:rPr>
          <w:rFonts w:ascii="Arial" w:hAnsi="Arial" w:cs="Arial"/>
        </w:rPr>
      </w:pPr>
    </w:p>
    <w:p w14:paraId="733E9403" w14:textId="77777777" w:rsidR="00B2442D" w:rsidRDefault="008A645F">
      <w:pPr>
        <w:spacing w:line="40" w:lineRule="atLeast"/>
        <w:jc w:val="both"/>
        <w:rPr>
          <w:rFonts w:ascii="Arial" w:hAnsi="Arial" w:cs="Arial"/>
        </w:rPr>
      </w:pPr>
      <w:r>
        <w:rPr>
          <w:rFonts w:ascii="Arial" w:hAnsi="Arial" w:cs="Arial"/>
        </w:rPr>
        <w:t xml:space="preserve">En estos eventos la </w:t>
      </w:r>
      <w:r>
        <w:rPr>
          <w:rFonts w:ascii="Arial" w:hAnsi="Arial" w:cs="Arial"/>
          <w:lang w:val="es-CO"/>
        </w:rPr>
        <w:t>Unidad Administrativa Especial Dirección de Impuestos y Aduanas Nacionales</w:t>
      </w:r>
      <w:r>
        <w:rPr>
          <w:rFonts w:ascii="Arial" w:hAnsi="Arial" w:cs="Arial"/>
        </w:rPr>
        <w:t>- DIAN señalará, cuando sea del caso, las alternativas de facturación que considere viables.</w:t>
      </w:r>
    </w:p>
    <w:p w14:paraId="42C134F8" w14:textId="77777777" w:rsidR="00B2442D" w:rsidRDefault="00B2442D">
      <w:pPr>
        <w:spacing w:line="40" w:lineRule="atLeast"/>
        <w:jc w:val="both"/>
        <w:rPr>
          <w:rFonts w:ascii="Arial" w:hAnsi="Arial" w:cs="Arial"/>
        </w:rPr>
      </w:pPr>
    </w:p>
    <w:p w14:paraId="0919EDEE" w14:textId="77777777" w:rsidR="00B2442D" w:rsidRDefault="008A645F">
      <w:pPr>
        <w:jc w:val="both"/>
        <w:rPr>
          <w:rFonts w:ascii="Arial" w:hAnsi="Arial" w:cs="Arial"/>
          <w:i/>
          <w:lang w:val="es-CO"/>
        </w:rPr>
      </w:pPr>
      <w:r>
        <w:rPr>
          <w:rFonts w:ascii="Arial" w:hAnsi="Arial" w:cs="Arial"/>
          <w:i/>
          <w:lang w:val="es-CO"/>
        </w:rPr>
        <w:t xml:space="preserve">(Art. 8, </w:t>
      </w:r>
      <w:r>
        <w:rPr>
          <w:rFonts w:ascii="Arial" w:hAnsi="Arial" w:cs="Arial"/>
          <w:i/>
          <w:lang w:val="es-CO"/>
        </w:rPr>
        <w:t>Decreto 2242 de 2015)</w:t>
      </w:r>
    </w:p>
    <w:p w14:paraId="42C98326" w14:textId="77777777" w:rsidR="00B2442D" w:rsidRDefault="00B2442D">
      <w:pPr>
        <w:spacing w:line="40" w:lineRule="atLeast"/>
        <w:jc w:val="both"/>
        <w:rPr>
          <w:rFonts w:ascii="Arial" w:hAnsi="Arial" w:cs="Arial"/>
        </w:rPr>
      </w:pPr>
    </w:p>
    <w:p w14:paraId="47B931C7"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Información a entregar a la Unidad Administrativa Especial Dirección de Impuestos y Aduanas Nacionales-DIAN.</w:t>
      </w:r>
      <w:r>
        <w:rPr>
          <w:rFonts w:ascii="Arial" w:hAnsi="Arial" w:cs="Arial"/>
        </w:rPr>
        <w:t xml:space="preserve"> El obligado a facturar electrónicamente deberá entregar a la </w:t>
      </w:r>
      <w:r>
        <w:rPr>
          <w:rFonts w:ascii="Arial" w:hAnsi="Arial" w:cs="Arial"/>
          <w:lang w:val="es-CO"/>
        </w:rPr>
        <w:t>Unidad Administrativa Especial  Dirección de Impuestos y Aduana</w:t>
      </w:r>
      <w:r>
        <w:rPr>
          <w:rFonts w:ascii="Arial" w:hAnsi="Arial" w:cs="Arial"/>
          <w:lang w:val="es-CO"/>
        </w:rPr>
        <w:t>s Nacionales</w:t>
      </w:r>
      <w:r>
        <w:rPr>
          <w:rFonts w:ascii="Arial" w:hAnsi="Arial" w:cs="Arial"/>
        </w:rPr>
        <w:t>-DIAN, a través de los servicios informáticos electrónicos que disponga la Entidad, en las condiciones y términos que ésta señale:</w:t>
      </w:r>
    </w:p>
    <w:p w14:paraId="26B78B7E" w14:textId="77777777" w:rsidR="00B2442D" w:rsidRDefault="00B2442D">
      <w:pPr>
        <w:spacing w:line="40" w:lineRule="atLeast"/>
        <w:jc w:val="both"/>
        <w:rPr>
          <w:rFonts w:ascii="Arial" w:hAnsi="Arial" w:cs="Arial"/>
        </w:rPr>
      </w:pPr>
    </w:p>
    <w:p w14:paraId="6A6F1F56" w14:textId="77777777" w:rsidR="00B2442D" w:rsidRDefault="008A645F">
      <w:pPr>
        <w:spacing w:line="40" w:lineRule="atLeast"/>
        <w:jc w:val="both"/>
        <w:rPr>
          <w:rFonts w:ascii="Arial" w:hAnsi="Arial" w:cs="Arial"/>
        </w:rPr>
      </w:pPr>
      <w:r>
        <w:rPr>
          <w:rFonts w:ascii="Arial" w:hAnsi="Arial" w:cs="Arial"/>
        </w:rPr>
        <w:t>1. La información de las facturas que se expidan (generación y entrega) en los casos contemplados en el artículo</w:t>
      </w:r>
      <w:r>
        <w:rPr>
          <w:rFonts w:ascii="Arial" w:hAnsi="Arial" w:cs="Arial"/>
        </w:rPr>
        <w:t xml:space="preserve"> 1.6.1.4.1.8 de este Decreto, según las medidas determinadas.</w:t>
      </w:r>
    </w:p>
    <w:p w14:paraId="441219C8" w14:textId="77777777" w:rsidR="00B2442D" w:rsidRDefault="00B2442D">
      <w:pPr>
        <w:spacing w:line="40" w:lineRule="atLeast"/>
        <w:jc w:val="both"/>
        <w:rPr>
          <w:rFonts w:ascii="Arial" w:hAnsi="Arial" w:cs="Arial"/>
        </w:rPr>
      </w:pPr>
    </w:p>
    <w:p w14:paraId="0573EAF2" w14:textId="77777777" w:rsidR="00B2442D" w:rsidRDefault="008A645F">
      <w:pPr>
        <w:spacing w:line="40" w:lineRule="atLeast"/>
        <w:jc w:val="both"/>
        <w:rPr>
          <w:rFonts w:ascii="Arial" w:hAnsi="Arial" w:cs="Arial"/>
        </w:rPr>
      </w:pPr>
      <w:r>
        <w:rPr>
          <w:rFonts w:ascii="Arial" w:hAnsi="Arial" w:cs="Arial"/>
        </w:rPr>
        <w:t xml:space="preserve">2. Registro Auxiliar de Ventas y Compras e IVA por pagar e Impuesto Nacional al Consumo, cuando la </w:t>
      </w:r>
      <w:r>
        <w:rPr>
          <w:rFonts w:ascii="Arial" w:hAnsi="Arial" w:cs="Arial"/>
          <w:lang w:val="es-CO"/>
        </w:rPr>
        <w:t>Unidad Administrativa Especial Dirección de Impuestos y Aduanas Nacionales</w:t>
      </w:r>
      <w:r>
        <w:rPr>
          <w:rFonts w:ascii="Arial" w:hAnsi="Arial" w:cs="Arial"/>
        </w:rPr>
        <w:t>-DIAN lo disponga.</w:t>
      </w:r>
    </w:p>
    <w:p w14:paraId="4B08FEDC" w14:textId="77777777" w:rsidR="00B2442D" w:rsidRDefault="00B2442D">
      <w:pPr>
        <w:spacing w:line="40" w:lineRule="atLeast"/>
        <w:jc w:val="both"/>
        <w:rPr>
          <w:rFonts w:ascii="Arial" w:hAnsi="Arial" w:cs="Arial"/>
        </w:rPr>
      </w:pPr>
    </w:p>
    <w:p w14:paraId="3326198F" w14:textId="77777777" w:rsidR="00B2442D" w:rsidRDefault="008A645F">
      <w:pPr>
        <w:spacing w:line="40" w:lineRule="atLeast"/>
        <w:jc w:val="both"/>
        <w:rPr>
          <w:rFonts w:ascii="Arial" w:hAnsi="Arial" w:cs="Arial"/>
        </w:rPr>
      </w:pPr>
      <w:r>
        <w:rPr>
          <w:rFonts w:ascii="Arial" w:hAnsi="Arial" w:cs="Arial"/>
          <w:b/>
        </w:rPr>
        <w:t xml:space="preserve">Parágrafo. </w:t>
      </w:r>
      <w:r>
        <w:rPr>
          <w:rFonts w:ascii="Arial" w:hAnsi="Arial" w:cs="Arial"/>
        </w:rPr>
        <w:t xml:space="preserve">La </w:t>
      </w:r>
      <w:r>
        <w:rPr>
          <w:rFonts w:ascii="Arial" w:hAnsi="Arial" w:cs="Arial"/>
          <w:lang w:val="es-CO"/>
        </w:rPr>
        <w:t>Unidad Administrativa Especial Dirección de Impuestos y Aduanas Nacionales</w:t>
      </w:r>
      <w:r>
        <w:rPr>
          <w:rFonts w:ascii="Arial" w:hAnsi="Arial" w:cs="Arial"/>
        </w:rPr>
        <w:t>-DIAN podrá relevar la entrega total o parcial de información por parte de obligados a facturar, que se derive de otras disposiciones de carácter tributario en donde se</w:t>
      </w:r>
      <w:r>
        <w:rPr>
          <w:rFonts w:ascii="Arial" w:hAnsi="Arial" w:cs="Arial"/>
        </w:rPr>
        <w:t>a requerida la información de la factura.</w:t>
      </w:r>
    </w:p>
    <w:p w14:paraId="57AF6268" w14:textId="77777777" w:rsidR="00B2442D" w:rsidRDefault="00B2442D">
      <w:pPr>
        <w:spacing w:line="40" w:lineRule="atLeast"/>
        <w:jc w:val="both"/>
        <w:rPr>
          <w:rFonts w:ascii="Arial" w:hAnsi="Arial" w:cs="Arial"/>
        </w:rPr>
      </w:pPr>
    </w:p>
    <w:p w14:paraId="7E5F195A" w14:textId="77777777" w:rsidR="00B2442D" w:rsidRDefault="008A645F">
      <w:pPr>
        <w:jc w:val="both"/>
        <w:rPr>
          <w:rFonts w:ascii="Arial" w:hAnsi="Arial" w:cs="Arial"/>
          <w:i/>
          <w:lang w:val="es-CO"/>
        </w:rPr>
      </w:pPr>
      <w:r>
        <w:rPr>
          <w:rFonts w:ascii="Arial" w:hAnsi="Arial" w:cs="Arial"/>
          <w:i/>
          <w:lang w:val="es-CO"/>
        </w:rPr>
        <w:t>(Art. 9, Decreto 2242 de 2015)</w:t>
      </w:r>
    </w:p>
    <w:p w14:paraId="215C8F47" w14:textId="77777777" w:rsidR="00B2442D" w:rsidRDefault="00B2442D">
      <w:pPr>
        <w:spacing w:line="40" w:lineRule="atLeast"/>
        <w:jc w:val="both"/>
        <w:rPr>
          <w:rFonts w:ascii="Arial" w:hAnsi="Arial" w:cs="Arial"/>
        </w:rPr>
      </w:pPr>
    </w:p>
    <w:p w14:paraId="76F15AC0"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Habilitación para expedir factura electrónica.</w:t>
      </w:r>
      <w:r>
        <w:rPr>
          <w:rFonts w:ascii="Arial" w:hAnsi="Arial" w:cs="Arial"/>
          <w:b/>
        </w:rPr>
        <w:t xml:space="preserve"> </w:t>
      </w:r>
      <w:r>
        <w:rPr>
          <w:rFonts w:ascii="Arial" w:hAnsi="Arial" w:cs="Arial"/>
        </w:rPr>
        <w:t xml:space="preserve">Para expedir factura electrónica en el ámbito de la presente Sección, deberá surtirse el procedimiento de habilitación que señale la </w:t>
      </w:r>
      <w:r>
        <w:rPr>
          <w:rFonts w:ascii="Arial" w:hAnsi="Arial" w:cs="Arial"/>
          <w:lang w:val="es-CO"/>
        </w:rPr>
        <w:t>U</w:t>
      </w:r>
      <w:r>
        <w:rPr>
          <w:rFonts w:ascii="Arial" w:hAnsi="Arial" w:cs="Arial"/>
          <w:lang w:val="es-CO"/>
        </w:rPr>
        <w:t>nidad Administrativa Especial Dirección de Impuestos y Aduanas Nacionales</w:t>
      </w:r>
      <w:r>
        <w:rPr>
          <w:rFonts w:ascii="Arial" w:hAnsi="Arial" w:cs="Arial"/>
        </w:rPr>
        <w:t xml:space="preserve">-DIAN y que contemplará como mínimo las condiciones que se indican a continuación. Quienes se encuentran obligados a facturar electrónicamente serán sancionados por el incumplimiento </w:t>
      </w:r>
      <w:r>
        <w:rPr>
          <w:rFonts w:ascii="Arial" w:hAnsi="Arial" w:cs="Arial"/>
        </w:rPr>
        <w:t>en los términos y/o condiciones establecidos en la presente Sección para la adopción y expedición de la factura electrónica, de conformidad con los artículos 684-2 y 657 del Estatuto Tributario y el artículo 183 de la Ley 1607 de 2012.</w:t>
      </w:r>
    </w:p>
    <w:p w14:paraId="24336E4A" w14:textId="77777777" w:rsidR="00B2442D" w:rsidRDefault="00B2442D">
      <w:pPr>
        <w:spacing w:line="40" w:lineRule="atLeast"/>
        <w:jc w:val="both"/>
        <w:rPr>
          <w:rFonts w:ascii="Arial" w:hAnsi="Arial" w:cs="Arial"/>
        </w:rPr>
      </w:pPr>
    </w:p>
    <w:p w14:paraId="641ACE25" w14:textId="77777777" w:rsidR="00B2442D" w:rsidRDefault="008A645F">
      <w:pPr>
        <w:spacing w:line="40" w:lineRule="atLeast"/>
        <w:jc w:val="both"/>
        <w:rPr>
          <w:rFonts w:ascii="Arial" w:hAnsi="Arial" w:cs="Arial"/>
        </w:rPr>
      </w:pPr>
      <w:r>
        <w:rPr>
          <w:rFonts w:ascii="Arial" w:hAnsi="Arial" w:cs="Arial"/>
        </w:rPr>
        <w:t>1. Para personas na</w:t>
      </w:r>
      <w:r>
        <w:rPr>
          <w:rFonts w:ascii="Arial" w:hAnsi="Arial" w:cs="Arial"/>
        </w:rPr>
        <w:t xml:space="preserve">turales o jurídicas que de acuerdo con el Estatuto Tributario tienen la obligación de facturar y sean seleccionadas por la </w:t>
      </w:r>
      <w:r>
        <w:rPr>
          <w:rFonts w:ascii="Arial" w:hAnsi="Arial" w:cs="Arial"/>
          <w:lang w:val="es-CO"/>
        </w:rPr>
        <w:t>Unidad Administrativa Especial Dirección de Impuestos y Aduanas Nacionales</w:t>
      </w:r>
      <w:r>
        <w:rPr>
          <w:rFonts w:ascii="Arial" w:hAnsi="Arial" w:cs="Arial"/>
        </w:rPr>
        <w:t>-DIAN.</w:t>
      </w:r>
    </w:p>
    <w:p w14:paraId="7363434C" w14:textId="77777777" w:rsidR="00B2442D" w:rsidRDefault="00B2442D">
      <w:pPr>
        <w:spacing w:line="40" w:lineRule="atLeast"/>
        <w:jc w:val="both"/>
        <w:rPr>
          <w:rFonts w:ascii="Arial" w:hAnsi="Arial" w:cs="Arial"/>
        </w:rPr>
      </w:pPr>
    </w:p>
    <w:p w14:paraId="42199CFE" w14:textId="77777777" w:rsidR="00B2442D" w:rsidRDefault="008A645F">
      <w:pPr>
        <w:spacing w:line="40" w:lineRule="atLeast"/>
        <w:jc w:val="both"/>
        <w:rPr>
          <w:rFonts w:ascii="Arial" w:hAnsi="Arial" w:cs="Arial"/>
        </w:rPr>
      </w:pPr>
      <w:r>
        <w:rPr>
          <w:rFonts w:ascii="Arial" w:hAnsi="Arial" w:cs="Arial"/>
        </w:rPr>
        <w:t xml:space="preserve">La </w:t>
      </w:r>
      <w:r>
        <w:rPr>
          <w:rFonts w:ascii="Arial" w:hAnsi="Arial" w:cs="Arial"/>
          <w:lang w:val="es-CO"/>
        </w:rPr>
        <w:t xml:space="preserve">Unidad Administrativa Especial </w:t>
      </w:r>
      <w:r>
        <w:rPr>
          <w:rFonts w:ascii="Arial" w:hAnsi="Arial" w:cs="Arial"/>
          <w:lang w:val="es-CO"/>
        </w:rPr>
        <w:t>Dirección de Impuestos y Aduanas Nacionales</w:t>
      </w:r>
      <w:r>
        <w:rPr>
          <w:rFonts w:ascii="Arial" w:hAnsi="Arial" w:cs="Arial"/>
        </w:rPr>
        <w:t>-DIAN mediante resolución de carácter general seleccionará de manera gradual las personas naturales o jurídicas que deberán facturar electrónicamente de acuerdo con la clasificación de actividades económicas adopt</w:t>
      </w:r>
      <w:r>
        <w:rPr>
          <w:rFonts w:ascii="Arial" w:hAnsi="Arial" w:cs="Arial"/>
        </w:rPr>
        <w:t>ada por la DIAN a través de la Resolución 000139 de 2012 y las que la modifiquen o sustituyan, dentro de los sectores que se definen a continuación:</w:t>
      </w:r>
    </w:p>
    <w:p w14:paraId="6BA882C7" w14:textId="77777777" w:rsidR="00B2442D" w:rsidRDefault="00B2442D">
      <w:pPr>
        <w:spacing w:line="40" w:lineRule="atLeast"/>
        <w:jc w:val="both"/>
        <w:rPr>
          <w:rFonts w:ascii="Arial" w:hAnsi="Arial" w:cs="Arial"/>
        </w:rPr>
      </w:pPr>
    </w:p>
    <w:p w14:paraId="3AAE0993" w14:textId="77777777" w:rsidR="00B2442D" w:rsidRDefault="008A645F">
      <w:pPr>
        <w:spacing w:line="40" w:lineRule="atLeast"/>
        <w:ind w:left="426" w:hanging="426"/>
        <w:jc w:val="both"/>
        <w:rPr>
          <w:rFonts w:ascii="Arial" w:hAnsi="Arial" w:cs="Arial"/>
        </w:rPr>
      </w:pPr>
      <w:r>
        <w:rPr>
          <w:rFonts w:ascii="Arial" w:hAnsi="Arial" w:cs="Arial"/>
        </w:rPr>
        <w:t>a)</w:t>
      </w:r>
      <w:r>
        <w:rPr>
          <w:rFonts w:ascii="Arial" w:hAnsi="Arial" w:cs="Arial"/>
        </w:rPr>
        <w:tab/>
        <w:t>Agricultura, ganadería, caza, silvicultura y pesca.</w:t>
      </w:r>
    </w:p>
    <w:p w14:paraId="41B21ADA" w14:textId="77777777" w:rsidR="00B2442D" w:rsidRDefault="008A645F">
      <w:pPr>
        <w:spacing w:line="40" w:lineRule="atLeast"/>
        <w:ind w:left="426" w:hanging="426"/>
        <w:jc w:val="both"/>
        <w:rPr>
          <w:rFonts w:ascii="Arial" w:hAnsi="Arial" w:cs="Arial"/>
        </w:rPr>
      </w:pPr>
      <w:r>
        <w:rPr>
          <w:rFonts w:ascii="Arial" w:hAnsi="Arial" w:cs="Arial"/>
        </w:rPr>
        <w:t>b)</w:t>
      </w:r>
      <w:r>
        <w:rPr>
          <w:rFonts w:ascii="Arial" w:hAnsi="Arial" w:cs="Arial"/>
        </w:rPr>
        <w:tab/>
        <w:t>Explotación de minas y canteras.</w:t>
      </w:r>
    </w:p>
    <w:p w14:paraId="68BCFDDA" w14:textId="77777777" w:rsidR="00B2442D" w:rsidRDefault="008A645F">
      <w:pPr>
        <w:spacing w:line="40" w:lineRule="atLeast"/>
        <w:ind w:left="426" w:hanging="426"/>
        <w:jc w:val="both"/>
        <w:rPr>
          <w:rFonts w:ascii="Arial" w:hAnsi="Arial" w:cs="Arial"/>
        </w:rPr>
      </w:pPr>
      <w:r>
        <w:rPr>
          <w:rFonts w:ascii="Arial" w:hAnsi="Arial" w:cs="Arial"/>
        </w:rPr>
        <w:t>c)</w:t>
      </w:r>
      <w:r>
        <w:rPr>
          <w:rFonts w:ascii="Arial" w:hAnsi="Arial" w:cs="Arial"/>
        </w:rPr>
        <w:tab/>
        <w:t>Industrias m</w:t>
      </w:r>
      <w:r>
        <w:rPr>
          <w:rFonts w:ascii="Arial" w:hAnsi="Arial" w:cs="Arial"/>
        </w:rPr>
        <w:t>anufactureras</w:t>
      </w:r>
    </w:p>
    <w:p w14:paraId="35637A2C" w14:textId="77777777" w:rsidR="00B2442D" w:rsidRDefault="008A645F">
      <w:pPr>
        <w:spacing w:line="40" w:lineRule="atLeast"/>
        <w:ind w:left="426" w:hanging="426"/>
        <w:jc w:val="both"/>
        <w:rPr>
          <w:rFonts w:ascii="Arial" w:hAnsi="Arial" w:cs="Arial"/>
        </w:rPr>
      </w:pPr>
      <w:r>
        <w:rPr>
          <w:rFonts w:ascii="Arial" w:hAnsi="Arial" w:cs="Arial"/>
        </w:rPr>
        <w:t>d)</w:t>
      </w:r>
      <w:r>
        <w:rPr>
          <w:rFonts w:ascii="Arial" w:hAnsi="Arial" w:cs="Arial"/>
        </w:rPr>
        <w:tab/>
        <w:t>Suministro de electricidad, gas, vapor y aire acondicionado</w:t>
      </w:r>
    </w:p>
    <w:p w14:paraId="4452CBFE" w14:textId="77777777" w:rsidR="00B2442D" w:rsidRDefault="008A645F">
      <w:pPr>
        <w:spacing w:line="40" w:lineRule="atLeast"/>
        <w:ind w:left="426" w:hanging="426"/>
        <w:jc w:val="both"/>
        <w:rPr>
          <w:rFonts w:ascii="Arial" w:hAnsi="Arial" w:cs="Arial"/>
        </w:rPr>
      </w:pPr>
      <w:r>
        <w:rPr>
          <w:rFonts w:ascii="Arial" w:hAnsi="Arial" w:cs="Arial"/>
        </w:rPr>
        <w:t>e)</w:t>
      </w:r>
      <w:r>
        <w:rPr>
          <w:rFonts w:ascii="Arial" w:hAnsi="Arial" w:cs="Arial"/>
        </w:rPr>
        <w:tab/>
        <w:t>Distribución de agua; evacuación y tratamiento de aguas residuales, gestión de desechos y actividades de saneamiento ambiental.</w:t>
      </w:r>
    </w:p>
    <w:p w14:paraId="3768993A" w14:textId="77777777" w:rsidR="00B2442D" w:rsidRDefault="008A645F">
      <w:pPr>
        <w:spacing w:line="40" w:lineRule="atLeast"/>
        <w:ind w:left="426" w:hanging="426"/>
        <w:jc w:val="both"/>
        <w:rPr>
          <w:rFonts w:ascii="Arial" w:hAnsi="Arial" w:cs="Arial"/>
        </w:rPr>
      </w:pPr>
      <w:r>
        <w:rPr>
          <w:rFonts w:ascii="Arial" w:hAnsi="Arial" w:cs="Arial"/>
        </w:rPr>
        <w:t>f)</w:t>
      </w:r>
      <w:r>
        <w:rPr>
          <w:rFonts w:ascii="Arial" w:hAnsi="Arial" w:cs="Arial"/>
        </w:rPr>
        <w:tab/>
        <w:t>Construcción.</w:t>
      </w:r>
    </w:p>
    <w:p w14:paraId="42CB2AA0" w14:textId="77777777" w:rsidR="00B2442D" w:rsidRDefault="008A645F">
      <w:pPr>
        <w:spacing w:line="40" w:lineRule="atLeast"/>
        <w:ind w:left="426" w:hanging="426"/>
        <w:jc w:val="both"/>
        <w:rPr>
          <w:rFonts w:ascii="Arial" w:hAnsi="Arial" w:cs="Arial"/>
        </w:rPr>
      </w:pPr>
      <w:r>
        <w:rPr>
          <w:rFonts w:ascii="Arial" w:hAnsi="Arial" w:cs="Arial"/>
        </w:rPr>
        <w:t>g)</w:t>
      </w:r>
      <w:r>
        <w:rPr>
          <w:rFonts w:ascii="Arial" w:hAnsi="Arial" w:cs="Arial"/>
        </w:rPr>
        <w:tab/>
        <w:t xml:space="preserve">Comercio al por mayor y al </w:t>
      </w:r>
      <w:r>
        <w:rPr>
          <w:rFonts w:ascii="Arial" w:hAnsi="Arial" w:cs="Arial"/>
        </w:rPr>
        <w:t>por menor; reparación de vehículos automotores y motocicletas.</w:t>
      </w:r>
    </w:p>
    <w:p w14:paraId="072F0CD4" w14:textId="77777777" w:rsidR="00B2442D" w:rsidRDefault="008A645F">
      <w:pPr>
        <w:spacing w:line="40" w:lineRule="atLeast"/>
        <w:ind w:left="426" w:hanging="426"/>
        <w:jc w:val="both"/>
        <w:rPr>
          <w:rFonts w:ascii="Arial" w:hAnsi="Arial" w:cs="Arial"/>
        </w:rPr>
      </w:pPr>
      <w:r>
        <w:rPr>
          <w:rFonts w:ascii="Arial" w:hAnsi="Arial" w:cs="Arial"/>
        </w:rPr>
        <w:t>h)</w:t>
      </w:r>
      <w:r>
        <w:rPr>
          <w:rFonts w:ascii="Arial" w:hAnsi="Arial" w:cs="Arial"/>
        </w:rPr>
        <w:tab/>
        <w:t>Transporte y almacenamiento.</w:t>
      </w:r>
    </w:p>
    <w:p w14:paraId="330BC62E" w14:textId="77777777" w:rsidR="00B2442D" w:rsidRDefault="008A645F">
      <w:pPr>
        <w:spacing w:line="40" w:lineRule="atLeast"/>
        <w:ind w:left="426" w:hanging="426"/>
        <w:jc w:val="both"/>
        <w:rPr>
          <w:rFonts w:ascii="Arial" w:hAnsi="Arial" w:cs="Arial"/>
        </w:rPr>
      </w:pPr>
      <w:r>
        <w:rPr>
          <w:rFonts w:ascii="Arial" w:hAnsi="Arial" w:cs="Arial"/>
        </w:rPr>
        <w:t>i)</w:t>
      </w:r>
      <w:r>
        <w:rPr>
          <w:rFonts w:ascii="Arial" w:hAnsi="Arial" w:cs="Arial"/>
        </w:rPr>
        <w:tab/>
        <w:t>Alojamiento y servicios de comida.</w:t>
      </w:r>
    </w:p>
    <w:p w14:paraId="65BEB025" w14:textId="77777777" w:rsidR="00B2442D" w:rsidRDefault="008A645F">
      <w:pPr>
        <w:spacing w:line="40" w:lineRule="atLeast"/>
        <w:ind w:left="426" w:hanging="426"/>
        <w:jc w:val="both"/>
        <w:rPr>
          <w:rFonts w:ascii="Arial" w:hAnsi="Arial" w:cs="Arial"/>
        </w:rPr>
      </w:pPr>
      <w:r>
        <w:rPr>
          <w:rFonts w:ascii="Arial" w:hAnsi="Arial" w:cs="Arial"/>
        </w:rPr>
        <w:t>j)</w:t>
      </w:r>
      <w:r>
        <w:rPr>
          <w:rFonts w:ascii="Arial" w:hAnsi="Arial" w:cs="Arial"/>
        </w:rPr>
        <w:tab/>
        <w:t>Información y comunicaciones.</w:t>
      </w:r>
    </w:p>
    <w:p w14:paraId="5F7868AF" w14:textId="77777777" w:rsidR="00B2442D" w:rsidRDefault="008A645F">
      <w:pPr>
        <w:spacing w:line="40" w:lineRule="atLeast"/>
        <w:ind w:left="426" w:hanging="426"/>
        <w:jc w:val="both"/>
        <w:rPr>
          <w:rFonts w:ascii="Arial" w:hAnsi="Arial" w:cs="Arial"/>
        </w:rPr>
      </w:pPr>
      <w:r>
        <w:rPr>
          <w:rFonts w:ascii="Arial" w:hAnsi="Arial" w:cs="Arial"/>
        </w:rPr>
        <w:t>k)</w:t>
      </w:r>
      <w:r>
        <w:rPr>
          <w:rFonts w:ascii="Arial" w:hAnsi="Arial" w:cs="Arial"/>
        </w:rPr>
        <w:tab/>
        <w:t>Actividades financieras y de seguros.</w:t>
      </w:r>
    </w:p>
    <w:p w14:paraId="2954FB56" w14:textId="77777777" w:rsidR="00B2442D" w:rsidRDefault="008A645F">
      <w:pPr>
        <w:spacing w:line="40" w:lineRule="atLeast"/>
        <w:ind w:left="426" w:hanging="426"/>
        <w:jc w:val="both"/>
        <w:rPr>
          <w:rFonts w:ascii="Arial" w:hAnsi="Arial" w:cs="Arial"/>
        </w:rPr>
      </w:pPr>
      <w:r>
        <w:rPr>
          <w:rFonts w:ascii="Arial" w:hAnsi="Arial" w:cs="Arial"/>
        </w:rPr>
        <w:t>l)</w:t>
      </w:r>
      <w:r>
        <w:rPr>
          <w:rFonts w:ascii="Arial" w:hAnsi="Arial" w:cs="Arial"/>
        </w:rPr>
        <w:tab/>
        <w:t>Actividades inmobiliarias.</w:t>
      </w:r>
    </w:p>
    <w:p w14:paraId="3C3ACC16" w14:textId="77777777" w:rsidR="00B2442D" w:rsidRDefault="008A645F">
      <w:pPr>
        <w:spacing w:line="40" w:lineRule="atLeast"/>
        <w:ind w:left="426" w:hanging="426"/>
        <w:jc w:val="both"/>
        <w:rPr>
          <w:rFonts w:ascii="Arial" w:hAnsi="Arial" w:cs="Arial"/>
        </w:rPr>
      </w:pPr>
      <w:r>
        <w:rPr>
          <w:rFonts w:ascii="Arial" w:hAnsi="Arial" w:cs="Arial"/>
        </w:rPr>
        <w:t>m)</w:t>
      </w:r>
      <w:r>
        <w:rPr>
          <w:rFonts w:ascii="Arial" w:hAnsi="Arial" w:cs="Arial"/>
        </w:rPr>
        <w:tab/>
        <w:t>Actividades prof</w:t>
      </w:r>
      <w:r>
        <w:rPr>
          <w:rFonts w:ascii="Arial" w:hAnsi="Arial" w:cs="Arial"/>
        </w:rPr>
        <w:t>esionales, científicas y técnicas.</w:t>
      </w:r>
    </w:p>
    <w:p w14:paraId="36B44A86" w14:textId="77777777" w:rsidR="00B2442D" w:rsidRDefault="008A645F">
      <w:pPr>
        <w:spacing w:line="40" w:lineRule="atLeast"/>
        <w:ind w:left="426" w:hanging="426"/>
        <w:jc w:val="both"/>
        <w:rPr>
          <w:rFonts w:ascii="Arial" w:hAnsi="Arial" w:cs="Arial"/>
        </w:rPr>
      </w:pPr>
      <w:r>
        <w:rPr>
          <w:rFonts w:ascii="Arial" w:hAnsi="Arial" w:cs="Arial"/>
        </w:rPr>
        <w:t>n)</w:t>
      </w:r>
      <w:r>
        <w:rPr>
          <w:rFonts w:ascii="Arial" w:hAnsi="Arial" w:cs="Arial"/>
        </w:rPr>
        <w:tab/>
        <w:t>Actividades de servicios administrativos y de apoyo.</w:t>
      </w:r>
    </w:p>
    <w:p w14:paraId="3D9BCB0D" w14:textId="77777777" w:rsidR="00B2442D" w:rsidRDefault="008A645F">
      <w:pPr>
        <w:spacing w:line="40" w:lineRule="atLeast"/>
        <w:ind w:left="426" w:hanging="426"/>
        <w:jc w:val="both"/>
        <w:rPr>
          <w:rFonts w:ascii="Arial" w:hAnsi="Arial" w:cs="Arial"/>
        </w:rPr>
      </w:pPr>
      <w:r>
        <w:rPr>
          <w:rFonts w:ascii="Arial" w:hAnsi="Arial" w:cs="Arial"/>
        </w:rPr>
        <w:t>o)</w:t>
      </w:r>
      <w:r>
        <w:rPr>
          <w:rFonts w:ascii="Arial" w:hAnsi="Arial" w:cs="Arial"/>
        </w:rPr>
        <w:tab/>
        <w:t>Educación.</w:t>
      </w:r>
    </w:p>
    <w:p w14:paraId="1CC9796E" w14:textId="77777777" w:rsidR="00B2442D" w:rsidRDefault="008A645F">
      <w:pPr>
        <w:spacing w:line="40" w:lineRule="atLeast"/>
        <w:ind w:left="426" w:hanging="426"/>
        <w:jc w:val="both"/>
        <w:rPr>
          <w:rFonts w:ascii="Arial" w:hAnsi="Arial" w:cs="Arial"/>
        </w:rPr>
      </w:pPr>
      <w:r>
        <w:rPr>
          <w:rFonts w:ascii="Arial" w:hAnsi="Arial" w:cs="Arial"/>
        </w:rPr>
        <w:t>p)</w:t>
      </w:r>
      <w:r>
        <w:rPr>
          <w:rFonts w:ascii="Arial" w:hAnsi="Arial" w:cs="Arial"/>
        </w:rPr>
        <w:tab/>
        <w:t>Actividades de atención de la salud humana y de asistencia social.</w:t>
      </w:r>
    </w:p>
    <w:p w14:paraId="78444447" w14:textId="77777777" w:rsidR="00B2442D" w:rsidRDefault="008A645F">
      <w:pPr>
        <w:spacing w:line="40" w:lineRule="atLeast"/>
        <w:ind w:left="426" w:hanging="426"/>
        <w:jc w:val="both"/>
        <w:rPr>
          <w:rFonts w:ascii="Arial" w:hAnsi="Arial" w:cs="Arial"/>
        </w:rPr>
      </w:pPr>
      <w:r>
        <w:rPr>
          <w:rFonts w:ascii="Arial" w:hAnsi="Arial" w:cs="Arial"/>
        </w:rPr>
        <w:t>q)</w:t>
      </w:r>
      <w:r>
        <w:rPr>
          <w:rFonts w:ascii="Arial" w:hAnsi="Arial" w:cs="Arial"/>
        </w:rPr>
        <w:tab/>
        <w:t>Actividades artísticas, de entretenimiento y recreación.</w:t>
      </w:r>
    </w:p>
    <w:p w14:paraId="6DFC5765" w14:textId="77777777" w:rsidR="00B2442D" w:rsidRDefault="008A645F">
      <w:pPr>
        <w:spacing w:line="40" w:lineRule="atLeast"/>
        <w:ind w:left="426" w:hanging="426"/>
        <w:jc w:val="both"/>
        <w:rPr>
          <w:rFonts w:ascii="Arial" w:hAnsi="Arial" w:cs="Arial"/>
        </w:rPr>
      </w:pPr>
      <w:r>
        <w:rPr>
          <w:rFonts w:ascii="Arial" w:hAnsi="Arial" w:cs="Arial"/>
        </w:rPr>
        <w:t>r)</w:t>
      </w:r>
      <w:r>
        <w:rPr>
          <w:rFonts w:ascii="Arial" w:hAnsi="Arial" w:cs="Arial"/>
        </w:rPr>
        <w:tab/>
        <w:t xml:space="preserve">Otras actividades </w:t>
      </w:r>
      <w:r>
        <w:rPr>
          <w:rFonts w:ascii="Arial" w:hAnsi="Arial" w:cs="Arial"/>
        </w:rPr>
        <w:t>de servicios.</w:t>
      </w:r>
    </w:p>
    <w:p w14:paraId="04B1A46C" w14:textId="77777777" w:rsidR="00B2442D" w:rsidRDefault="00B2442D">
      <w:pPr>
        <w:spacing w:line="40" w:lineRule="atLeast"/>
        <w:jc w:val="both"/>
        <w:rPr>
          <w:rFonts w:ascii="Arial" w:hAnsi="Arial" w:cs="Arial"/>
        </w:rPr>
      </w:pPr>
    </w:p>
    <w:p w14:paraId="2DFD77E9" w14:textId="77777777" w:rsidR="00B2442D" w:rsidRDefault="008A645F">
      <w:pPr>
        <w:spacing w:line="40" w:lineRule="atLeast"/>
        <w:jc w:val="both"/>
        <w:rPr>
          <w:rFonts w:ascii="Arial" w:hAnsi="Arial" w:cs="Arial"/>
        </w:rPr>
      </w:pPr>
      <w:r>
        <w:rPr>
          <w:rFonts w:ascii="Arial" w:hAnsi="Arial" w:cs="Arial"/>
        </w:rPr>
        <w:t xml:space="preserve">En todo caso, la selección que haga la </w:t>
      </w:r>
      <w:r>
        <w:rPr>
          <w:rFonts w:ascii="Arial" w:hAnsi="Arial" w:cs="Arial"/>
          <w:lang w:val="es-CO"/>
        </w:rPr>
        <w:t>Unidad Administrativa Especial Dirección de Impuestos y Aduanas Nacionales</w:t>
      </w:r>
      <w:r>
        <w:rPr>
          <w:rFonts w:ascii="Arial" w:hAnsi="Arial" w:cs="Arial"/>
        </w:rPr>
        <w:t>-DIAN deberá efectuarse teniendo en cuenta que se trate de sujetos obligados a facturar y atenderá, entre otros, a criterios tal</w:t>
      </w:r>
      <w:r>
        <w:rPr>
          <w:rFonts w:ascii="Arial" w:hAnsi="Arial" w:cs="Arial"/>
        </w:rPr>
        <w:t>es como: volumen de operaciones, ingresos, patrimonio, importancia en el recaudo, nivel de riesgo, cumplimiento de obligaciones tributarias, solicitantes de devoluciones, zonas urbanas y/o rurales.</w:t>
      </w:r>
    </w:p>
    <w:p w14:paraId="6FEDF3B8" w14:textId="77777777" w:rsidR="00B2442D" w:rsidRDefault="00B2442D">
      <w:pPr>
        <w:spacing w:line="40" w:lineRule="atLeast"/>
        <w:jc w:val="both"/>
        <w:rPr>
          <w:rFonts w:ascii="Arial" w:hAnsi="Arial" w:cs="Arial"/>
        </w:rPr>
      </w:pPr>
    </w:p>
    <w:p w14:paraId="16ABBE07" w14:textId="77777777" w:rsidR="00B2442D" w:rsidRDefault="008A645F">
      <w:pPr>
        <w:spacing w:line="40" w:lineRule="atLeast"/>
        <w:jc w:val="both"/>
        <w:rPr>
          <w:rFonts w:ascii="Arial" w:hAnsi="Arial" w:cs="Arial"/>
        </w:rPr>
      </w:pPr>
      <w:r>
        <w:rPr>
          <w:rFonts w:ascii="Arial" w:hAnsi="Arial" w:cs="Arial"/>
        </w:rPr>
        <w:t xml:space="preserve">Las resoluciones de la </w:t>
      </w:r>
      <w:r>
        <w:rPr>
          <w:rFonts w:ascii="Arial" w:hAnsi="Arial" w:cs="Arial"/>
          <w:lang w:val="es-CO"/>
        </w:rPr>
        <w:t>Unidad Administrativa Especial Dir</w:t>
      </w:r>
      <w:r>
        <w:rPr>
          <w:rFonts w:ascii="Arial" w:hAnsi="Arial" w:cs="Arial"/>
          <w:lang w:val="es-CO"/>
        </w:rPr>
        <w:t>ección de Impuestos y Aduanas Nacionales</w:t>
      </w:r>
      <w:r>
        <w:rPr>
          <w:rFonts w:ascii="Arial" w:hAnsi="Arial" w:cs="Arial"/>
        </w:rPr>
        <w:t>-DIAN que fijen los seleccionados obligados a facturar electrónicamente entrarán en vigencia en un plazo no inferior a tres meses después de su publicación en el Diario Oficial. Lo anterior, sin perjuicio del plazo a</w:t>
      </w:r>
      <w:r>
        <w:rPr>
          <w:rFonts w:ascii="Arial" w:hAnsi="Arial" w:cs="Arial"/>
        </w:rPr>
        <w:t xml:space="preserve">dicional de tres meses que otorga el artículo 684-2 del Estatuto Tributario para que la </w:t>
      </w:r>
      <w:r>
        <w:rPr>
          <w:rFonts w:ascii="Arial" w:hAnsi="Arial" w:cs="Arial"/>
          <w:lang w:val="es-CO"/>
        </w:rPr>
        <w:t>Unidad Administrativa Especial  Dirección de Impuestos y Aduanas Nacionales</w:t>
      </w:r>
      <w:r>
        <w:rPr>
          <w:rFonts w:ascii="Arial" w:hAnsi="Arial" w:cs="Arial"/>
        </w:rPr>
        <w:t>-DIAN pueda hacer exigible la facturación electrónica y de la condición establecida en el par</w:t>
      </w:r>
      <w:r>
        <w:rPr>
          <w:rFonts w:ascii="Arial" w:hAnsi="Arial" w:cs="Arial"/>
        </w:rPr>
        <w:t>ágrafo del artículo 1.6.1.4.1.1 del presente Decreto.</w:t>
      </w:r>
    </w:p>
    <w:p w14:paraId="55A5C079" w14:textId="77777777" w:rsidR="00B2442D" w:rsidRDefault="00B2442D">
      <w:pPr>
        <w:spacing w:line="40" w:lineRule="atLeast"/>
        <w:jc w:val="both"/>
        <w:rPr>
          <w:rFonts w:ascii="Arial" w:hAnsi="Arial" w:cs="Arial"/>
        </w:rPr>
      </w:pPr>
    </w:p>
    <w:p w14:paraId="52D5C90F" w14:textId="77777777" w:rsidR="00B2442D" w:rsidRDefault="008A645F">
      <w:pPr>
        <w:spacing w:line="40" w:lineRule="atLeast"/>
        <w:jc w:val="both"/>
        <w:rPr>
          <w:rFonts w:ascii="Arial" w:hAnsi="Arial" w:cs="Arial"/>
        </w:rPr>
      </w:pPr>
      <w:r>
        <w:rPr>
          <w:rFonts w:ascii="Arial" w:hAnsi="Arial" w:cs="Arial"/>
        </w:rPr>
        <w:t xml:space="preserve">Una vez la </w:t>
      </w:r>
      <w:r>
        <w:rPr>
          <w:rFonts w:ascii="Arial" w:hAnsi="Arial" w:cs="Arial"/>
          <w:lang w:val="es-CO"/>
        </w:rPr>
        <w:t>Unidad Administrativa Especial  Dirección de Impuestos y Aduanas Nacionales</w:t>
      </w:r>
      <w:r>
        <w:rPr>
          <w:rFonts w:ascii="Arial" w:hAnsi="Arial" w:cs="Arial"/>
        </w:rPr>
        <w:t>-DIAN publique las respectivas resoluciones seleccionados para facturar electrónicamente, los mismos deberán, direc</w:t>
      </w:r>
      <w:r>
        <w:rPr>
          <w:rFonts w:ascii="Arial" w:hAnsi="Arial" w:cs="Arial"/>
        </w:rPr>
        <w:t>tamente o a través de un proveedor tecnológico autorizado, surtir satisfactoriamente las pruebas tecnológicas que establezca la Entidad, tendientes a demostrar el cumplimiento de condiciones técnicas de expedición (generación - entrega) de la factura elect</w:t>
      </w:r>
      <w:r>
        <w:rPr>
          <w:rFonts w:ascii="Arial" w:hAnsi="Arial" w:cs="Arial"/>
        </w:rPr>
        <w:t>rónica, recibo, rechazo, y las demás condiciones tecnológicas y operativas establecidas.</w:t>
      </w:r>
    </w:p>
    <w:p w14:paraId="6E8F1BE3" w14:textId="77777777" w:rsidR="00B2442D" w:rsidRDefault="00B2442D">
      <w:pPr>
        <w:spacing w:line="40" w:lineRule="atLeast"/>
        <w:jc w:val="both"/>
        <w:rPr>
          <w:rFonts w:ascii="Arial" w:hAnsi="Arial" w:cs="Arial"/>
        </w:rPr>
      </w:pPr>
    </w:p>
    <w:p w14:paraId="032DD2B2" w14:textId="77777777" w:rsidR="00B2442D" w:rsidRDefault="008A645F">
      <w:pPr>
        <w:spacing w:line="40" w:lineRule="atLeast"/>
        <w:jc w:val="both"/>
        <w:rPr>
          <w:rFonts w:ascii="Arial" w:hAnsi="Arial" w:cs="Arial"/>
        </w:rPr>
      </w:pPr>
      <w:r>
        <w:rPr>
          <w:rFonts w:ascii="Arial" w:hAnsi="Arial" w:cs="Arial"/>
        </w:rPr>
        <w:t>2. Personas naturales o jurídicas que opten por expedir factura electrónica de manera voluntaria.</w:t>
      </w:r>
    </w:p>
    <w:p w14:paraId="0FF8BAA1" w14:textId="77777777" w:rsidR="00B2442D" w:rsidRDefault="00B2442D">
      <w:pPr>
        <w:spacing w:line="40" w:lineRule="atLeast"/>
        <w:jc w:val="both"/>
        <w:rPr>
          <w:rFonts w:ascii="Arial" w:hAnsi="Arial" w:cs="Arial"/>
        </w:rPr>
      </w:pPr>
    </w:p>
    <w:p w14:paraId="541C5C4D" w14:textId="77777777" w:rsidR="00B2442D" w:rsidRDefault="008A645F">
      <w:pPr>
        <w:spacing w:line="40" w:lineRule="atLeast"/>
        <w:jc w:val="both"/>
        <w:rPr>
          <w:rFonts w:ascii="Arial" w:hAnsi="Arial" w:cs="Arial"/>
        </w:rPr>
      </w:pPr>
      <w:r>
        <w:rPr>
          <w:rFonts w:ascii="Arial" w:hAnsi="Arial" w:cs="Arial"/>
        </w:rPr>
        <w:t>Quienes de manera voluntaria opten por facturar electrónicamente, d</w:t>
      </w:r>
      <w:r>
        <w:rPr>
          <w:rFonts w:ascii="Arial" w:hAnsi="Arial" w:cs="Arial"/>
        </w:rPr>
        <w:t xml:space="preserve">eberán manifestarlo expresamente a la </w:t>
      </w:r>
      <w:r>
        <w:rPr>
          <w:rFonts w:ascii="Arial" w:hAnsi="Arial" w:cs="Arial"/>
          <w:lang w:val="es-CO"/>
        </w:rPr>
        <w:t>Unidad Administrativa Especial Dirección de Impuestos y Aduanas Nacionales</w:t>
      </w:r>
      <w:r>
        <w:rPr>
          <w:rFonts w:ascii="Arial" w:hAnsi="Arial" w:cs="Arial"/>
        </w:rPr>
        <w:t>-DIAN en la forma que esta disponga y dentro de los tres (3) meses siguientes a la fecha de recibo de esta manifestación por la Entidad, deberán</w:t>
      </w:r>
      <w:r>
        <w:rPr>
          <w:rFonts w:ascii="Arial" w:hAnsi="Arial" w:cs="Arial"/>
        </w:rPr>
        <w:t xml:space="preserve"> cumplir, en lo pertinente, lo establecido en el inciso final del numeral 1 de este artículo.</w:t>
      </w:r>
    </w:p>
    <w:p w14:paraId="5F0DCE16" w14:textId="77777777" w:rsidR="00B2442D" w:rsidRDefault="00B2442D">
      <w:pPr>
        <w:spacing w:line="40" w:lineRule="atLeast"/>
        <w:jc w:val="both"/>
        <w:rPr>
          <w:rFonts w:ascii="Arial" w:hAnsi="Arial" w:cs="Arial"/>
        </w:rPr>
      </w:pPr>
    </w:p>
    <w:p w14:paraId="2FA81336" w14:textId="77777777" w:rsidR="00B2442D" w:rsidRDefault="008A645F">
      <w:pPr>
        <w:spacing w:line="40" w:lineRule="atLeast"/>
        <w:jc w:val="both"/>
        <w:rPr>
          <w:rFonts w:ascii="Arial" w:hAnsi="Arial" w:cs="Arial"/>
        </w:rPr>
      </w:pPr>
      <w:r>
        <w:rPr>
          <w:rFonts w:ascii="Arial" w:hAnsi="Arial" w:cs="Arial"/>
        </w:rPr>
        <w:t xml:space="preserve">Obtenido el visto bueno del cumplimiento de las condiciones establecidas, a más tardar dentro de los diez (10) días hábiles siguientes la </w:t>
      </w:r>
      <w:r>
        <w:rPr>
          <w:rFonts w:ascii="Arial" w:hAnsi="Arial" w:cs="Arial"/>
          <w:lang w:val="es-CO"/>
        </w:rPr>
        <w:t>Unidad Administrativa Especial Dirección de Impuestos y Aduanas Nacionales</w:t>
      </w:r>
      <w:r>
        <w:rPr>
          <w:rFonts w:ascii="Arial" w:hAnsi="Arial" w:cs="Arial"/>
        </w:rPr>
        <w:t>-DIAN expedirá una resolución indicando la f</w:t>
      </w:r>
      <w:r>
        <w:rPr>
          <w:rFonts w:ascii="Arial" w:hAnsi="Arial" w:cs="Arial"/>
        </w:rPr>
        <w:t xml:space="preserve">echa a partir de la cual el obligado debe empezar a facturar electrónicamente, sin que exceda de los tres (3) meses siguientes a la fecha de notificación de la resolución. Vencido este término la DIAN puede hacer exigible la facturación electrónica acorde </w:t>
      </w:r>
      <w:r>
        <w:rPr>
          <w:rFonts w:ascii="Arial" w:hAnsi="Arial" w:cs="Arial"/>
        </w:rPr>
        <w:t>con el artículo 684-2 del Estatuto Tributario.</w:t>
      </w:r>
    </w:p>
    <w:p w14:paraId="5DF5C3B3" w14:textId="77777777" w:rsidR="00B2442D" w:rsidRDefault="00B2442D">
      <w:pPr>
        <w:spacing w:line="40" w:lineRule="atLeast"/>
        <w:jc w:val="both"/>
        <w:rPr>
          <w:rFonts w:ascii="Arial" w:hAnsi="Arial" w:cs="Arial"/>
        </w:rPr>
      </w:pPr>
    </w:p>
    <w:p w14:paraId="38619600" w14:textId="77777777" w:rsidR="00B2442D" w:rsidRDefault="008A645F">
      <w:pPr>
        <w:spacing w:line="40" w:lineRule="atLeast"/>
        <w:jc w:val="both"/>
        <w:rPr>
          <w:rFonts w:ascii="Arial" w:hAnsi="Arial" w:cs="Arial"/>
        </w:rPr>
      </w:pPr>
      <w:r>
        <w:rPr>
          <w:rFonts w:ascii="Arial" w:hAnsi="Arial" w:cs="Arial"/>
        </w:rPr>
        <w:t xml:space="preserve">Si el interesado no obtiene el visto bueno de la </w:t>
      </w:r>
      <w:r>
        <w:rPr>
          <w:rFonts w:ascii="Arial" w:hAnsi="Arial" w:cs="Arial"/>
          <w:lang w:val="es-CO"/>
        </w:rPr>
        <w:t>Unidad Administrativa Especial Dirección de Impuestos y Aduanas Nacionales</w:t>
      </w:r>
      <w:r>
        <w:rPr>
          <w:rFonts w:ascii="Arial" w:hAnsi="Arial" w:cs="Arial"/>
        </w:rPr>
        <w:t>-DIAN, podrá agotar nuevamente el procedimiento respectivo hasta obtenerlo.</w:t>
      </w:r>
    </w:p>
    <w:p w14:paraId="12C44E07" w14:textId="77777777" w:rsidR="00B2442D" w:rsidRDefault="00B2442D">
      <w:pPr>
        <w:spacing w:line="40" w:lineRule="atLeast"/>
        <w:jc w:val="both"/>
        <w:rPr>
          <w:rFonts w:ascii="Arial" w:hAnsi="Arial" w:cs="Arial"/>
        </w:rPr>
      </w:pPr>
    </w:p>
    <w:p w14:paraId="0FF215B9" w14:textId="77777777" w:rsidR="00B2442D" w:rsidRDefault="008A645F">
      <w:pPr>
        <w:spacing w:line="40" w:lineRule="atLeast"/>
        <w:jc w:val="both"/>
        <w:rPr>
          <w:rFonts w:ascii="Arial" w:hAnsi="Arial" w:cs="Arial"/>
        </w:rPr>
      </w:pPr>
      <w:r>
        <w:rPr>
          <w:rFonts w:ascii="Arial" w:hAnsi="Arial" w:cs="Arial"/>
          <w:b/>
        </w:rPr>
        <w:t>Parágraf</w:t>
      </w:r>
      <w:r>
        <w:rPr>
          <w:rFonts w:ascii="Arial" w:hAnsi="Arial" w:cs="Arial"/>
          <w:b/>
        </w:rPr>
        <w:t>o 1.</w:t>
      </w:r>
      <w:r>
        <w:rPr>
          <w:rFonts w:ascii="Arial" w:hAnsi="Arial" w:cs="Arial"/>
        </w:rPr>
        <w:t xml:space="preserve"> Los obligados a facturar electrónicamente que facturen directamente y los proveedores tecnológicos definidos de la presente Sección podrán, para este efecto, adquirir soluciones tecnológicas o desarrollarlas; las mismas deberán cumplir, en todo caso, </w:t>
      </w:r>
      <w:r>
        <w:rPr>
          <w:rFonts w:ascii="Arial" w:hAnsi="Arial" w:cs="Arial"/>
        </w:rPr>
        <w:t>las condiciones técnicas y tecnológicas que fije la DIAN y en la forma que la Entidad establezca.</w:t>
      </w:r>
    </w:p>
    <w:p w14:paraId="55381001" w14:textId="77777777" w:rsidR="00B2442D" w:rsidRDefault="00B2442D">
      <w:pPr>
        <w:spacing w:line="40" w:lineRule="atLeast"/>
        <w:jc w:val="both"/>
        <w:rPr>
          <w:rFonts w:ascii="Arial" w:hAnsi="Arial" w:cs="Arial"/>
        </w:rPr>
      </w:pPr>
    </w:p>
    <w:p w14:paraId="62CAE03C" w14:textId="77777777" w:rsidR="00B2442D" w:rsidRDefault="008A645F">
      <w:pPr>
        <w:spacing w:line="40" w:lineRule="atLeast"/>
        <w:jc w:val="both"/>
        <w:rPr>
          <w:rFonts w:ascii="Arial" w:hAnsi="Arial" w:cs="Arial"/>
        </w:rPr>
      </w:pPr>
      <w:r>
        <w:rPr>
          <w:rFonts w:ascii="Arial" w:hAnsi="Arial" w:cs="Arial"/>
          <w:b/>
        </w:rPr>
        <w:t>Parágrafo 2.</w:t>
      </w:r>
      <w:r>
        <w:rPr>
          <w:rFonts w:ascii="Arial" w:hAnsi="Arial" w:cs="Arial"/>
        </w:rPr>
        <w:t xml:space="preserve"> La </w:t>
      </w:r>
      <w:r>
        <w:rPr>
          <w:rFonts w:ascii="Arial" w:hAnsi="Arial" w:cs="Arial"/>
          <w:lang w:val="es-CO"/>
        </w:rPr>
        <w:t>Unidad Administrativa Especial  Dirección de Impuestos y Aduanas Nacionales</w:t>
      </w:r>
      <w:r>
        <w:rPr>
          <w:rFonts w:ascii="Arial" w:hAnsi="Arial" w:cs="Arial"/>
        </w:rPr>
        <w:t>-DIAN deberá, a más tardar en el año 2017, disponer de manera grat</w:t>
      </w:r>
      <w:r>
        <w:rPr>
          <w:rFonts w:ascii="Arial" w:hAnsi="Arial" w:cs="Arial"/>
        </w:rPr>
        <w:t>uita los servicios informáticos electrónicos correspondientes con el fin de facilitar la expedición de la factura electrónica en las condiciones establecidas en la presente Sección, a microempresas y pequeñas empresas conforme con las definiciones del artí</w:t>
      </w:r>
      <w:r>
        <w:rPr>
          <w:rFonts w:ascii="Arial" w:hAnsi="Arial" w:cs="Arial"/>
        </w:rPr>
        <w:t xml:space="preserve">culo 2 de la Ley 905 de 2004 o las que establezca el Gobierno Nacional en desarrollo del artículo 43 de la Ley 1450 de 2011 o las disposiciones que modifiquen o sustituyan estas normas. La </w:t>
      </w:r>
      <w:r>
        <w:rPr>
          <w:rFonts w:ascii="Arial" w:hAnsi="Arial" w:cs="Arial"/>
          <w:lang w:val="es-CO"/>
        </w:rPr>
        <w:t>Unidad Administrativa Especial Dirección de Impuestos y Aduanas Nac</w:t>
      </w:r>
      <w:r>
        <w:rPr>
          <w:rFonts w:ascii="Arial" w:hAnsi="Arial" w:cs="Arial"/>
          <w:lang w:val="es-CO"/>
        </w:rPr>
        <w:t>ionales</w:t>
      </w:r>
      <w:r>
        <w:rPr>
          <w:rFonts w:ascii="Arial" w:hAnsi="Arial" w:cs="Arial"/>
        </w:rPr>
        <w:t>-DIAN tendrá en cuenta estos elementos con el fin de identificar las empresas de menor capacidad empresarial a las cuales estarán dirigidos principalmente estos servicios y dispondrá los servicios respectivos acorde con los estándares y lineamientos</w:t>
      </w:r>
      <w:r>
        <w:rPr>
          <w:rFonts w:ascii="Arial" w:hAnsi="Arial" w:cs="Arial"/>
        </w:rPr>
        <w:t xml:space="preserve"> que expida el Ministerio de Tecnologías de la Información y las Comunicaciones a través del Viceministerio de Tecnologías y Sistemas de la Información.</w:t>
      </w:r>
    </w:p>
    <w:p w14:paraId="1C0950E4" w14:textId="77777777" w:rsidR="00B2442D" w:rsidRDefault="00B2442D">
      <w:pPr>
        <w:spacing w:line="40" w:lineRule="atLeast"/>
        <w:jc w:val="both"/>
        <w:rPr>
          <w:rFonts w:ascii="Arial" w:hAnsi="Arial" w:cs="Arial"/>
        </w:rPr>
      </w:pPr>
    </w:p>
    <w:p w14:paraId="2C70EE4E" w14:textId="77777777" w:rsidR="00B2442D" w:rsidRDefault="008A645F">
      <w:pPr>
        <w:spacing w:line="40" w:lineRule="atLeast"/>
        <w:jc w:val="both"/>
        <w:rPr>
          <w:rFonts w:ascii="Arial" w:hAnsi="Arial" w:cs="Arial"/>
        </w:rPr>
      </w:pPr>
      <w:r>
        <w:rPr>
          <w:rFonts w:ascii="Arial" w:hAnsi="Arial" w:cs="Arial"/>
          <w:b/>
        </w:rPr>
        <w:t xml:space="preserve">Parágrafo 3. </w:t>
      </w:r>
      <w:r>
        <w:rPr>
          <w:rFonts w:ascii="Arial" w:hAnsi="Arial" w:cs="Arial"/>
        </w:rPr>
        <w:t>La habilitación para expedir factura electrónica deberá actualizarse por el obligado a fa</w:t>
      </w:r>
      <w:r>
        <w:rPr>
          <w:rFonts w:ascii="Arial" w:hAnsi="Arial" w:cs="Arial"/>
        </w:rPr>
        <w:t>cturar en caso de:</w:t>
      </w:r>
    </w:p>
    <w:p w14:paraId="0372F803" w14:textId="77777777" w:rsidR="00B2442D" w:rsidRDefault="00B2442D">
      <w:pPr>
        <w:spacing w:line="40" w:lineRule="atLeast"/>
        <w:jc w:val="both"/>
        <w:rPr>
          <w:rFonts w:ascii="Arial" w:hAnsi="Arial" w:cs="Arial"/>
        </w:rPr>
      </w:pPr>
    </w:p>
    <w:p w14:paraId="6CA13E1D" w14:textId="77777777" w:rsidR="00B2442D" w:rsidRDefault="008A645F">
      <w:pPr>
        <w:spacing w:line="40" w:lineRule="atLeast"/>
        <w:ind w:left="284" w:hanging="284"/>
        <w:jc w:val="both"/>
        <w:rPr>
          <w:rFonts w:ascii="Arial" w:hAnsi="Arial" w:cs="Arial"/>
        </w:rPr>
      </w:pPr>
      <w:r>
        <w:rPr>
          <w:rFonts w:ascii="Arial" w:hAnsi="Arial" w:cs="Arial"/>
        </w:rPr>
        <w:t>a) Cambio de proveedor tecnológico.</w:t>
      </w:r>
    </w:p>
    <w:p w14:paraId="00D8D321" w14:textId="77777777" w:rsidR="00B2442D" w:rsidRDefault="00B2442D">
      <w:pPr>
        <w:spacing w:line="40" w:lineRule="atLeast"/>
        <w:ind w:left="284" w:hanging="284"/>
        <w:jc w:val="both"/>
        <w:rPr>
          <w:rFonts w:ascii="Arial" w:hAnsi="Arial" w:cs="Arial"/>
        </w:rPr>
      </w:pPr>
    </w:p>
    <w:p w14:paraId="19283E61" w14:textId="77777777" w:rsidR="00B2442D" w:rsidRDefault="008A645F">
      <w:pPr>
        <w:spacing w:line="40" w:lineRule="atLeast"/>
        <w:ind w:left="284" w:hanging="284"/>
        <w:jc w:val="both"/>
        <w:rPr>
          <w:rFonts w:ascii="Arial" w:hAnsi="Arial" w:cs="Arial"/>
        </w:rPr>
      </w:pPr>
      <w:r>
        <w:rPr>
          <w:rFonts w:ascii="Arial" w:hAnsi="Arial" w:cs="Arial"/>
        </w:rPr>
        <w:t>b) Cambio de la solución tecnológica.</w:t>
      </w:r>
    </w:p>
    <w:p w14:paraId="37EDDB38" w14:textId="77777777" w:rsidR="00B2442D" w:rsidRDefault="00B2442D">
      <w:pPr>
        <w:spacing w:line="40" w:lineRule="atLeast"/>
        <w:ind w:left="284" w:hanging="284"/>
        <w:jc w:val="both"/>
        <w:rPr>
          <w:rFonts w:ascii="Arial" w:hAnsi="Arial" w:cs="Arial"/>
        </w:rPr>
      </w:pPr>
    </w:p>
    <w:p w14:paraId="3AFFB95D" w14:textId="77777777" w:rsidR="00B2442D" w:rsidRDefault="008A645F">
      <w:pPr>
        <w:spacing w:line="40" w:lineRule="atLeast"/>
        <w:ind w:left="284" w:hanging="284"/>
        <w:jc w:val="both"/>
        <w:rPr>
          <w:rFonts w:ascii="Arial" w:hAnsi="Arial" w:cs="Arial"/>
        </w:rPr>
      </w:pPr>
      <w:r>
        <w:rPr>
          <w:rFonts w:ascii="Arial" w:hAnsi="Arial" w:cs="Arial"/>
        </w:rPr>
        <w:t xml:space="preserve">c) Cancelación o no renovación de la autorización de su proveedor tecnológico, evento en el cual deberán tenerse en cuenta las medidas especiales que fije la </w:t>
      </w:r>
      <w:r>
        <w:rPr>
          <w:rFonts w:ascii="Arial" w:hAnsi="Arial" w:cs="Arial"/>
          <w:lang w:val="es-CO"/>
        </w:rPr>
        <w:t>Unidad Administrativa Especial  Dirección de Impuestos y Aduanas Nacionales</w:t>
      </w:r>
      <w:r>
        <w:rPr>
          <w:rFonts w:ascii="Arial" w:hAnsi="Arial" w:cs="Arial"/>
        </w:rPr>
        <w:t>-DIAN de acuerdo con el inciso segundo del artículo 1.6.1.4.1.8 del presente Decreto.</w:t>
      </w:r>
    </w:p>
    <w:p w14:paraId="7F7707FD" w14:textId="77777777" w:rsidR="00B2442D" w:rsidRDefault="00B2442D">
      <w:pPr>
        <w:spacing w:line="40" w:lineRule="atLeast"/>
        <w:jc w:val="both"/>
        <w:rPr>
          <w:rFonts w:ascii="Arial" w:hAnsi="Arial" w:cs="Arial"/>
        </w:rPr>
      </w:pPr>
    </w:p>
    <w:p w14:paraId="147A61A2" w14:textId="77777777" w:rsidR="00B2442D" w:rsidRDefault="008A645F">
      <w:pPr>
        <w:spacing w:line="40" w:lineRule="atLeast"/>
        <w:jc w:val="both"/>
        <w:rPr>
          <w:rFonts w:ascii="Arial" w:hAnsi="Arial" w:cs="Arial"/>
        </w:rPr>
      </w:pPr>
      <w:r>
        <w:rPr>
          <w:rFonts w:ascii="Arial" w:hAnsi="Arial" w:cs="Arial"/>
          <w:b/>
        </w:rPr>
        <w:t>Parágrafo 4.</w:t>
      </w:r>
      <w:r>
        <w:rPr>
          <w:rFonts w:ascii="Arial" w:hAnsi="Arial" w:cs="Arial"/>
        </w:rPr>
        <w:t xml:space="preserve"> Los adquirentes a que se refiere el literal b) del numeral 2 del artículo 1.6.1.4</w:t>
      </w:r>
      <w:r>
        <w:rPr>
          <w:rFonts w:ascii="Arial" w:hAnsi="Arial" w:cs="Arial"/>
        </w:rPr>
        <w:t xml:space="preserve">.1.3 del presente Decreto, no requieren habilitación para recibir la factura en formato electrónico de generación, en todo caso, deberán registrarse en el Catálogo de Participantes de Factura Electrónica y cumplir en lo pertinente, las disposiciones de la </w:t>
      </w:r>
      <w:r>
        <w:rPr>
          <w:rFonts w:ascii="Arial" w:hAnsi="Arial" w:cs="Arial"/>
        </w:rPr>
        <w:t>presente Sección.</w:t>
      </w:r>
    </w:p>
    <w:p w14:paraId="36004CE8" w14:textId="77777777" w:rsidR="00B2442D" w:rsidRDefault="00B2442D">
      <w:pPr>
        <w:spacing w:line="40" w:lineRule="atLeast"/>
        <w:jc w:val="both"/>
        <w:rPr>
          <w:rFonts w:ascii="Arial" w:hAnsi="Arial" w:cs="Arial"/>
        </w:rPr>
      </w:pPr>
    </w:p>
    <w:p w14:paraId="44933DF1" w14:textId="77777777" w:rsidR="00B2442D" w:rsidRDefault="008A645F">
      <w:pPr>
        <w:jc w:val="both"/>
        <w:rPr>
          <w:rFonts w:ascii="Arial" w:hAnsi="Arial" w:cs="Arial"/>
          <w:i/>
          <w:lang w:val="es-CO"/>
        </w:rPr>
      </w:pPr>
      <w:r>
        <w:rPr>
          <w:rFonts w:ascii="Arial" w:hAnsi="Arial" w:cs="Arial"/>
          <w:i/>
          <w:lang w:val="es-CO"/>
        </w:rPr>
        <w:t>(Art. 10, Decreto 2242 de 2015)</w:t>
      </w:r>
    </w:p>
    <w:p w14:paraId="5FBC2256" w14:textId="77777777" w:rsidR="00B2442D" w:rsidRDefault="00B2442D">
      <w:pPr>
        <w:spacing w:line="40" w:lineRule="atLeast"/>
        <w:jc w:val="both"/>
        <w:rPr>
          <w:rFonts w:ascii="Arial" w:hAnsi="Arial" w:cs="Arial"/>
        </w:rPr>
      </w:pPr>
    </w:p>
    <w:p w14:paraId="4F7E2AA3" w14:textId="77777777" w:rsidR="00B2442D" w:rsidRDefault="008A645F">
      <w:pPr>
        <w:pStyle w:val="Prrafodelista"/>
        <w:numPr>
          <w:ilvl w:val="0"/>
          <w:numId w:val="154"/>
        </w:numPr>
        <w:spacing w:line="40" w:lineRule="atLeast"/>
        <w:ind w:left="0" w:firstLine="0"/>
        <w:jc w:val="both"/>
        <w:rPr>
          <w:rFonts w:ascii="Arial" w:hAnsi="Arial" w:cs="Arial"/>
          <w:b/>
          <w:i/>
        </w:rPr>
      </w:pPr>
      <w:r>
        <w:rPr>
          <w:rFonts w:ascii="Arial" w:hAnsi="Arial" w:cs="Arial"/>
          <w:b/>
          <w:i/>
        </w:rPr>
        <w:t>Factura electrónica en los contratos de mandato, consorcio y uniones temporales.</w:t>
      </w:r>
    </w:p>
    <w:p w14:paraId="3636908C" w14:textId="77777777" w:rsidR="00B2442D" w:rsidRDefault="00B2442D">
      <w:pPr>
        <w:pStyle w:val="Prrafodelista"/>
        <w:spacing w:line="40" w:lineRule="atLeast"/>
        <w:ind w:left="0"/>
        <w:jc w:val="both"/>
        <w:rPr>
          <w:rFonts w:ascii="Arial" w:hAnsi="Arial" w:cs="Arial"/>
          <w:b/>
          <w:i/>
        </w:rPr>
      </w:pPr>
    </w:p>
    <w:p w14:paraId="665422D3" w14:textId="77777777" w:rsidR="00B2442D" w:rsidRDefault="008A645F">
      <w:pPr>
        <w:spacing w:line="40" w:lineRule="atLeast"/>
        <w:jc w:val="both"/>
        <w:rPr>
          <w:rFonts w:ascii="Arial" w:hAnsi="Arial" w:cs="Arial"/>
        </w:rPr>
      </w:pPr>
      <w:r>
        <w:rPr>
          <w:rFonts w:ascii="Arial" w:hAnsi="Arial" w:cs="Arial"/>
        </w:rPr>
        <w:t xml:space="preserve">1. En los contratos de mandato, las facturas deben ser expedidas en todos los casos por el mandatario. En </w:t>
      </w:r>
      <w:r>
        <w:rPr>
          <w:rFonts w:ascii="Arial" w:hAnsi="Arial" w:cs="Arial"/>
        </w:rPr>
        <w:t>consecuencia:</w:t>
      </w:r>
    </w:p>
    <w:p w14:paraId="44C8DBEF" w14:textId="77777777" w:rsidR="00B2442D" w:rsidRDefault="00B2442D">
      <w:pPr>
        <w:spacing w:line="40" w:lineRule="atLeast"/>
        <w:jc w:val="both"/>
        <w:rPr>
          <w:rFonts w:ascii="Arial" w:hAnsi="Arial" w:cs="Arial"/>
        </w:rPr>
      </w:pPr>
    </w:p>
    <w:p w14:paraId="68AA2D26" w14:textId="77777777" w:rsidR="00B2442D" w:rsidRDefault="008A645F">
      <w:pPr>
        <w:spacing w:line="40" w:lineRule="atLeast"/>
        <w:jc w:val="both"/>
        <w:rPr>
          <w:rFonts w:ascii="Arial" w:hAnsi="Arial" w:cs="Arial"/>
        </w:rPr>
      </w:pPr>
      <w:r>
        <w:rPr>
          <w:rFonts w:ascii="Arial" w:hAnsi="Arial" w:cs="Arial"/>
        </w:rPr>
        <w:t xml:space="preserve">Si el mandante es elegido por la </w:t>
      </w:r>
      <w:r>
        <w:rPr>
          <w:rFonts w:ascii="Arial" w:hAnsi="Arial" w:cs="Arial"/>
          <w:lang w:val="es-CO"/>
        </w:rPr>
        <w:t>Unidad Administrativa Especial Dirección de Impuestos y Aduanas Nacionales</w:t>
      </w:r>
      <w:r>
        <w:rPr>
          <w:rFonts w:ascii="Arial" w:hAnsi="Arial" w:cs="Arial"/>
        </w:rPr>
        <w:t>-DIAN para facturar electrónicamente o lo es en forma voluntaria, el mandatario deberá facturar en forma electrónica. Para tal efecto,</w:t>
      </w:r>
      <w:r>
        <w:rPr>
          <w:rFonts w:ascii="Arial" w:hAnsi="Arial" w:cs="Arial"/>
        </w:rPr>
        <w:t xml:space="preserve"> éste deberá surtir el procedimiento de habilitación respectivo y cumplir las disposiciones de la presente Sección. Las facturas electrónicas deberán permitir diferenciar las operaciones relacionadas con el mandante de las del mandatario.</w:t>
      </w:r>
    </w:p>
    <w:p w14:paraId="6392F606" w14:textId="77777777" w:rsidR="00B2442D" w:rsidRDefault="00B2442D">
      <w:pPr>
        <w:spacing w:line="40" w:lineRule="atLeast"/>
        <w:jc w:val="both"/>
        <w:rPr>
          <w:rFonts w:ascii="Arial" w:hAnsi="Arial" w:cs="Arial"/>
        </w:rPr>
      </w:pPr>
    </w:p>
    <w:p w14:paraId="17F5419D" w14:textId="77777777" w:rsidR="00B2442D" w:rsidRDefault="008A645F">
      <w:pPr>
        <w:spacing w:line="40" w:lineRule="atLeast"/>
        <w:jc w:val="both"/>
        <w:rPr>
          <w:rFonts w:ascii="Arial" w:hAnsi="Arial" w:cs="Arial"/>
        </w:rPr>
      </w:pPr>
      <w:r>
        <w:rPr>
          <w:rFonts w:ascii="Arial" w:hAnsi="Arial" w:cs="Arial"/>
        </w:rPr>
        <w:t>Si el mandante s</w:t>
      </w:r>
      <w:r>
        <w:rPr>
          <w:rFonts w:ascii="Arial" w:hAnsi="Arial" w:cs="Arial"/>
        </w:rPr>
        <w:t xml:space="preserve">eleccionado por la </w:t>
      </w:r>
      <w:r>
        <w:rPr>
          <w:rFonts w:ascii="Arial" w:hAnsi="Arial" w:cs="Arial"/>
          <w:lang w:val="es-CO"/>
        </w:rPr>
        <w:t>Unidad Administrativa Especial Dirección de Impuestos y Aduanas Nacionales</w:t>
      </w:r>
      <w:r>
        <w:rPr>
          <w:rFonts w:ascii="Arial" w:hAnsi="Arial" w:cs="Arial"/>
        </w:rPr>
        <w:t>-DIAN o voluntario para expedir factura electrónica, por su parte, factura además operaciones en forma directa, también deberá adelantar el respectivo procedimient</w:t>
      </w:r>
      <w:r>
        <w:rPr>
          <w:rFonts w:ascii="Arial" w:hAnsi="Arial" w:cs="Arial"/>
        </w:rPr>
        <w:t>o de habilitación y cumplir las disposiciones de la presente Sección.</w:t>
      </w:r>
    </w:p>
    <w:p w14:paraId="36E2DA0F" w14:textId="77777777" w:rsidR="00B2442D" w:rsidRDefault="00B2442D">
      <w:pPr>
        <w:spacing w:line="40" w:lineRule="atLeast"/>
        <w:jc w:val="both"/>
        <w:rPr>
          <w:rFonts w:ascii="Arial" w:hAnsi="Arial" w:cs="Arial"/>
        </w:rPr>
      </w:pPr>
    </w:p>
    <w:p w14:paraId="37D449DE" w14:textId="77777777" w:rsidR="00B2442D" w:rsidRDefault="008A645F">
      <w:pPr>
        <w:spacing w:line="40" w:lineRule="atLeast"/>
        <w:jc w:val="both"/>
        <w:rPr>
          <w:rFonts w:ascii="Arial" w:hAnsi="Arial" w:cs="Arial"/>
        </w:rPr>
      </w:pPr>
      <w:r>
        <w:rPr>
          <w:rFonts w:ascii="Arial" w:hAnsi="Arial" w:cs="Arial"/>
        </w:rPr>
        <w:t xml:space="preserve">Cuando el mandatario sea el sujeto elegido por la </w:t>
      </w:r>
      <w:r>
        <w:rPr>
          <w:rFonts w:ascii="Arial" w:hAnsi="Arial" w:cs="Arial"/>
          <w:lang w:val="es-CO"/>
        </w:rPr>
        <w:t>Unidad Administrativa Especial Dirección de Impuestos y Aduanas Nacionales</w:t>
      </w:r>
      <w:r>
        <w:rPr>
          <w:rFonts w:ascii="Arial" w:hAnsi="Arial" w:cs="Arial"/>
        </w:rPr>
        <w:t>-DIAN para facturar electrónicamente o éste decida hacerlo vo</w:t>
      </w:r>
      <w:r>
        <w:rPr>
          <w:rFonts w:ascii="Arial" w:hAnsi="Arial" w:cs="Arial"/>
        </w:rPr>
        <w:t>luntariamente, debe facturar en forma electrónica. Los mandantes por los cuales actúa, si facturan además operaciones por su cuenta, lo harán en forma electrónica si son obligados de acuerdo con el ámbito de esta Sección, o por las demás formas de facturac</w:t>
      </w:r>
      <w:r>
        <w:rPr>
          <w:rFonts w:ascii="Arial" w:hAnsi="Arial" w:cs="Arial"/>
        </w:rPr>
        <w:t>ión vigentes, si fuere ese el caso.</w:t>
      </w:r>
    </w:p>
    <w:p w14:paraId="66228A03" w14:textId="77777777" w:rsidR="00B2442D" w:rsidRDefault="00B2442D">
      <w:pPr>
        <w:spacing w:line="40" w:lineRule="atLeast"/>
        <w:jc w:val="both"/>
        <w:rPr>
          <w:rFonts w:ascii="Arial" w:hAnsi="Arial" w:cs="Arial"/>
        </w:rPr>
      </w:pPr>
    </w:p>
    <w:p w14:paraId="5615700D" w14:textId="77777777" w:rsidR="00B2442D" w:rsidRDefault="008A645F">
      <w:pPr>
        <w:spacing w:line="40" w:lineRule="atLeast"/>
        <w:jc w:val="both"/>
        <w:rPr>
          <w:rFonts w:ascii="Arial" w:hAnsi="Arial" w:cs="Arial"/>
        </w:rPr>
      </w:pPr>
      <w:r>
        <w:rPr>
          <w:rFonts w:ascii="Arial" w:hAnsi="Arial" w:cs="Arial"/>
        </w:rPr>
        <w:t xml:space="preserve">2. Cuando el obligado a facturar electrónicamente, seleccionado por la </w:t>
      </w:r>
      <w:r>
        <w:rPr>
          <w:rFonts w:ascii="Arial" w:hAnsi="Arial" w:cs="Arial"/>
          <w:lang w:val="es-CO"/>
        </w:rPr>
        <w:t>Unidad Administrativa Especial Dirección de Impuestos y Aduanas Nacionales</w:t>
      </w:r>
      <w:r>
        <w:rPr>
          <w:rFonts w:ascii="Arial" w:hAnsi="Arial" w:cs="Arial"/>
        </w:rPr>
        <w:t>-DIAN o voluntario, sea un consorcio o unión temporal, podrá, según éste l</w:t>
      </w:r>
      <w:r>
        <w:rPr>
          <w:rFonts w:ascii="Arial" w:hAnsi="Arial" w:cs="Arial"/>
        </w:rPr>
        <w:t>o determine:</w:t>
      </w:r>
    </w:p>
    <w:p w14:paraId="0F789032" w14:textId="77777777" w:rsidR="00B2442D" w:rsidRDefault="00B2442D">
      <w:pPr>
        <w:spacing w:line="40" w:lineRule="atLeast"/>
        <w:jc w:val="both"/>
        <w:rPr>
          <w:rFonts w:ascii="Arial" w:hAnsi="Arial" w:cs="Arial"/>
        </w:rPr>
      </w:pPr>
    </w:p>
    <w:p w14:paraId="1F40901A" w14:textId="77777777" w:rsidR="00B2442D" w:rsidRDefault="008A645F">
      <w:pPr>
        <w:spacing w:line="40" w:lineRule="atLeast"/>
        <w:jc w:val="both"/>
        <w:rPr>
          <w:rFonts w:ascii="Arial" w:hAnsi="Arial" w:cs="Arial"/>
        </w:rPr>
      </w:pPr>
      <w:r>
        <w:rPr>
          <w:rFonts w:ascii="Arial" w:hAnsi="Arial" w:cs="Arial"/>
        </w:rPr>
        <w:t>a) Facturar en su propio nombre y bajo su propio NIT, evento en el cual quien lo representa deberá adelantar el respectivo procedimiento de habilitación. Para efectos del contenido de la factura, sin perjuicio de lo establecido en el artículo</w:t>
      </w:r>
      <w:r>
        <w:rPr>
          <w:rFonts w:ascii="Arial" w:hAnsi="Arial" w:cs="Arial"/>
        </w:rPr>
        <w:t xml:space="preserve"> 1.6.1.4.1.3 del presente Decreto, deberá señalar el porcentaje o valor del ingreso que corresponda a cada uno de los miembros del consorcio o unión temporal, indicando el nombre o razón social y el NIT de cada uno de ellos. La factura deberá incluir una s</w:t>
      </w:r>
      <w:r>
        <w:rPr>
          <w:rFonts w:ascii="Arial" w:hAnsi="Arial" w:cs="Arial"/>
        </w:rPr>
        <w:t>ola firma digital o electrónica y, deberá cumplir los lineamientos del literal d) del numeral 1 del artículo 1.6.1.4.1.3 del presente Decreto.</w:t>
      </w:r>
    </w:p>
    <w:p w14:paraId="0AE5094B" w14:textId="77777777" w:rsidR="00B2442D" w:rsidRDefault="00B2442D">
      <w:pPr>
        <w:spacing w:line="40" w:lineRule="atLeast"/>
        <w:jc w:val="both"/>
        <w:rPr>
          <w:rFonts w:ascii="Arial" w:hAnsi="Arial" w:cs="Arial"/>
        </w:rPr>
      </w:pPr>
    </w:p>
    <w:p w14:paraId="0FA23F8A" w14:textId="77777777" w:rsidR="00B2442D" w:rsidRDefault="008A645F">
      <w:pPr>
        <w:spacing w:line="40" w:lineRule="atLeast"/>
        <w:jc w:val="both"/>
        <w:rPr>
          <w:rFonts w:ascii="Arial" w:hAnsi="Arial" w:cs="Arial"/>
        </w:rPr>
      </w:pPr>
      <w:r>
        <w:rPr>
          <w:rFonts w:ascii="Arial" w:hAnsi="Arial" w:cs="Arial"/>
        </w:rPr>
        <w:t xml:space="preserve">b) Facturar en forma independiente cada uno de los miembros del consorcio o unión temporal. En este evento cada </w:t>
      </w:r>
      <w:r>
        <w:rPr>
          <w:rFonts w:ascii="Arial" w:hAnsi="Arial" w:cs="Arial"/>
        </w:rPr>
        <w:t>miembro deberá agotar el respectivo procedimiento de habilitación. En este caso, cada uno de ellos deberá facturar en forma electrónica sus operaciones, incluidas las relacionadas con el consorcio o unión temporal. Las facturas deberán permitir identificar</w:t>
      </w:r>
      <w:r>
        <w:rPr>
          <w:rFonts w:ascii="Arial" w:hAnsi="Arial" w:cs="Arial"/>
        </w:rPr>
        <w:t xml:space="preserve"> la facturación realizada respecto de su participación en el consorcio o unión temporal.</w:t>
      </w:r>
    </w:p>
    <w:p w14:paraId="5E6C5AF0" w14:textId="77777777" w:rsidR="00B2442D" w:rsidRDefault="00B2442D">
      <w:pPr>
        <w:spacing w:line="40" w:lineRule="atLeast"/>
        <w:jc w:val="both"/>
        <w:rPr>
          <w:rFonts w:ascii="Arial" w:hAnsi="Arial" w:cs="Arial"/>
        </w:rPr>
      </w:pPr>
    </w:p>
    <w:p w14:paraId="7DE97FCD" w14:textId="77777777" w:rsidR="00B2442D" w:rsidRDefault="008A645F">
      <w:pPr>
        <w:spacing w:line="40" w:lineRule="atLeast"/>
        <w:jc w:val="both"/>
        <w:rPr>
          <w:rFonts w:ascii="Arial" w:hAnsi="Arial" w:cs="Arial"/>
        </w:rPr>
      </w:pPr>
      <w:r>
        <w:rPr>
          <w:rFonts w:ascii="Arial" w:hAnsi="Arial" w:cs="Arial"/>
        </w:rPr>
        <w:t xml:space="preserve">Cuando la </w:t>
      </w:r>
      <w:r>
        <w:rPr>
          <w:rFonts w:ascii="Arial" w:hAnsi="Arial" w:cs="Arial"/>
          <w:lang w:val="es-CO"/>
        </w:rPr>
        <w:t>Unidad Administrativa Especial Dirección de Impuestos y Aduanas Nacionales</w:t>
      </w:r>
      <w:r>
        <w:rPr>
          <w:rFonts w:ascii="Arial" w:hAnsi="Arial" w:cs="Arial"/>
        </w:rPr>
        <w:t>-DIAN seleccione obligados a facturar en forma electrónica a sujetos que formen pa</w:t>
      </w:r>
      <w:r>
        <w:rPr>
          <w:rFonts w:ascii="Arial" w:hAnsi="Arial" w:cs="Arial"/>
        </w:rPr>
        <w:t>rte de consorcios o uniones temporales y, en relación con éstos, facturan en forma separada, agotarán el procedimiento de habilitación y deberán expedir factura electrónica de sus operaciones incluidas las relacionadas con el consorcio o unión temporal, cu</w:t>
      </w:r>
      <w:r>
        <w:rPr>
          <w:rFonts w:ascii="Arial" w:hAnsi="Arial" w:cs="Arial"/>
        </w:rPr>
        <w:t>mpliendo en lo pertinente lo dispuesto en este literal. Los demás miembros del consorcio o unión temporal, facturarán en forma electrónica, si son obligados a ello en el ámbito de la presente Sección, o por las demás formas de facturación vigentes, si fuer</w:t>
      </w:r>
      <w:r>
        <w:rPr>
          <w:rFonts w:ascii="Arial" w:hAnsi="Arial" w:cs="Arial"/>
        </w:rPr>
        <w:t>e ese el caso.</w:t>
      </w:r>
    </w:p>
    <w:p w14:paraId="01D8DAC8" w14:textId="77777777" w:rsidR="00B2442D" w:rsidRDefault="00B2442D">
      <w:pPr>
        <w:spacing w:line="40" w:lineRule="atLeast"/>
        <w:jc w:val="both"/>
        <w:rPr>
          <w:rFonts w:ascii="Arial" w:hAnsi="Arial" w:cs="Arial"/>
        </w:rPr>
      </w:pPr>
    </w:p>
    <w:p w14:paraId="774DCF25" w14:textId="77777777" w:rsidR="00B2442D" w:rsidRDefault="008A645F">
      <w:pPr>
        <w:spacing w:line="40" w:lineRule="atLeast"/>
        <w:jc w:val="both"/>
        <w:rPr>
          <w:rFonts w:ascii="Arial" w:hAnsi="Arial" w:cs="Arial"/>
        </w:rPr>
      </w:pPr>
      <w:r>
        <w:rPr>
          <w:rFonts w:ascii="Arial" w:hAnsi="Arial" w:cs="Arial"/>
          <w:b/>
        </w:rPr>
        <w:t>Parágrafo 1.</w:t>
      </w:r>
      <w:r>
        <w:rPr>
          <w:rFonts w:ascii="Arial" w:hAnsi="Arial" w:cs="Arial"/>
        </w:rPr>
        <w:t xml:space="preserve"> Cuando el consorcio o unión temporal realice directamente actividades gravadas, en este caso, por ser responsable del IVA de acuerdo con el artículo 66 de la Ley 488 de 1998, deberá facturar electrónicamente en los términos del</w:t>
      </w:r>
      <w:r>
        <w:rPr>
          <w:rFonts w:ascii="Arial" w:hAnsi="Arial" w:cs="Arial"/>
        </w:rPr>
        <w:t xml:space="preserve"> literal a) del numeral 2 de este artículo.</w:t>
      </w:r>
    </w:p>
    <w:p w14:paraId="7F10A9E3" w14:textId="77777777" w:rsidR="00B2442D" w:rsidRDefault="00B2442D">
      <w:pPr>
        <w:spacing w:line="40" w:lineRule="atLeast"/>
        <w:jc w:val="both"/>
        <w:rPr>
          <w:rFonts w:ascii="Arial" w:hAnsi="Arial" w:cs="Arial"/>
        </w:rPr>
      </w:pPr>
    </w:p>
    <w:p w14:paraId="3D526C84" w14:textId="77777777" w:rsidR="00B2442D" w:rsidRDefault="008A645F">
      <w:pPr>
        <w:spacing w:line="40" w:lineRule="atLeast"/>
        <w:jc w:val="both"/>
        <w:rPr>
          <w:rFonts w:ascii="Arial" w:hAnsi="Arial" w:cs="Arial"/>
        </w:rPr>
      </w:pPr>
      <w:r>
        <w:rPr>
          <w:rFonts w:ascii="Arial" w:hAnsi="Arial" w:cs="Arial"/>
          <w:b/>
        </w:rPr>
        <w:t xml:space="preserve">Parágrafo 2. </w:t>
      </w:r>
      <w:r>
        <w:rPr>
          <w:rFonts w:ascii="Arial" w:hAnsi="Arial" w:cs="Arial"/>
        </w:rPr>
        <w:t>Para efectos de la práctica de la retención en la fuente y la distribución del impuesto sobre las ventas facturado, debe tenerse en cuenta lo dispuesto en los incisos 3 y 4 del artículo 1.6.1.4.8 de</w:t>
      </w:r>
      <w:r>
        <w:rPr>
          <w:rFonts w:ascii="Arial" w:hAnsi="Arial" w:cs="Arial"/>
        </w:rPr>
        <w:t>l presente Decreto.</w:t>
      </w:r>
    </w:p>
    <w:p w14:paraId="1E19D1F5" w14:textId="77777777" w:rsidR="00B2442D" w:rsidRDefault="00B2442D">
      <w:pPr>
        <w:spacing w:line="40" w:lineRule="atLeast"/>
        <w:jc w:val="both"/>
        <w:rPr>
          <w:rFonts w:ascii="Arial" w:hAnsi="Arial" w:cs="Arial"/>
        </w:rPr>
      </w:pPr>
    </w:p>
    <w:p w14:paraId="5F985ADA" w14:textId="77777777" w:rsidR="00B2442D" w:rsidRDefault="008A645F">
      <w:pPr>
        <w:jc w:val="both"/>
        <w:rPr>
          <w:rFonts w:ascii="Arial" w:hAnsi="Arial" w:cs="Arial"/>
          <w:i/>
          <w:lang w:val="es-CO"/>
        </w:rPr>
      </w:pPr>
      <w:r>
        <w:rPr>
          <w:rFonts w:ascii="Arial" w:hAnsi="Arial" w:cs="Arial"/>
          <w:i/>
          <w:lang w:val="es-CO"/>
        </w:rPr>
        <w:t>(Art. 11, Decreto 2242 de 2015)</w:t>
      </w:r>
    </w:p>
    <w:p w14:paraId="72E23588" w14:textId="77777777" w:rsidR="00B2442D" w:rsidRDefault="00B2442D">
      <w:pPr>
        <w:spacing w:line="40" w:lineRule="atLeast"/>
        <w:jc w:val="both"/>
        <w:rPr>
          <w:rFonts w:ascii="Arial" w:hAnsi="Arial" w:cs="Arial"/>
        </w:rPr>
      </w:pPr>
    </w:p>
    <w:p w14:paraId="6B2CA887"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Autorización de Proveedores Tecnológicos.</w:t>
      </w:r>
      <w:r>
        <w:rPr>
          <w:rFonts w:ascii="Arial" w:hAnsi="Arial" w:cs="Arial"/>
          <w:b/>
        </w:rPr>
        <w:t xml:space="preserve"> </w:t>
      </w:r>
      <w:r>
        <w:rPr>
          <w:rFonts w:ascii="Arial" w:hAnsi="Arial" w:cs="Arial"/>
        </w:rPr>
        <w:t>Sin perjuicio de la expedición de la factura electrónica directamente por el obligado a facturar electrónicamente, éste podrá para tal efecto contratar los serv</w:t>
      </w:r>
      <w:r>
        <w:rPr>
          <w:rFonts w:ascii="Arial" w:hAnsi="Arial" w:cs="Arial"/>
        </w:rPr>
        <w:t xml:space="preserve">icios de proveedores tecnológicos autorizados por la </w:t>
      </w:r>
      <w:r>
        <w:rPr>
          <w:rFonts w:ascii="Arial" w:hAnsi="Arial" w:cs="Arial"/>
          <w:lang w:val="es-CO"/>
        </w:rPr>
        <w:t xml:space="preserve">Unidad Administrativa Especial Dirección de Impuestos y Aduanas Nacionales </w:t>
      </w:r>
      <w:r>
        <w:rPr>
          <w:rFonts w:ascii="Arial" w:hAnsi="Arial" w:cs="Arial"/>
        </w:rPr>
        <w:t>- DIAN.</w:t>
      </w:r>
    </w:p>
    <w:p w14:paraId="2B4A2247" w14:textId="77777777" w:rsidR="00B2442D" w:rsidRDefault="00B2442D">
      <w:pPr>
        <w:spacing w:line="40" w:lineRule="atLeast"/>
        <w:jc w:val="both"/>
        <w:rPr>
          <w:rFonts w:ascii="Arial" w:hAnsi="Arial" w:cs="Arial"/>
        </w:rPr>
      </w:pPr>
    </w:p>
    <w:p w14:paraId="5611D289" w14:textId="77777777" w:rsidR="00B2442D" w:rsidRDefault="008A645F">
      <w:pPr>
        <w:spacing w:line="40" w:lineRule="atLeast"/>
        <w:jc w:val="both"/>
        <w:rPr>
          <w:rFonts w:ascii="Arial" w:hAnsi="Arial" w:cs="Arial"/>
        </w:rPr>
      </w:pPr>
      <w:r>
        <w:rPr>
          <w:rFonts w:ascii="Arial" w:hAnsi="Arial" w:cs="Arial"/>
        </w:rPr>
        <w:t>Los proveedores tecnológicos que ofrezcan los servicios de factura electrónica, previa solicitud, serán autorizados por</w:t>
      </w:r>
      <w:r>
        <w:rPr>
          <w:rFonts w:ascii="Arial" w:hAnsi="Arial" w:cs="Arial"/>
        </w:rPr>
        <w:t xml:space="preserve"> la </w:t>
      </w:r>
      <w:r>
        <w:rPr>
          <w:rFonts w:ascii="Arial" w:hAnsi="Arial" w:cs="Arial"/>
          <w:lang w:val="es-CO"/>
        </w:rPr>
        <w:t xml:space="preserve">Unidad Administrativa Especial Dirección de Impuestos y Aduanas Nacionales </w:t>
      </w:r>
      <w:r>
        <w:rPr>
          <w:rFonts w:ascii="Arial" w:hAnsi="Arial" w:cs="Arial"/>
        </w:rPr>
        <w:t>- DIAN, por períodos de cinco (5) años. Esta autorización estará condicionada a su renovación por igual término, en forma sucesiva, debiendo seguir el procedimiento que la misma</w:t>
      </w:r>
      <w:r>
        <w:rPr>
          <w:rFonts w:ascii="Arial" w:hAnsi="Arial" w:cs="Arial"/>
        </w:rPr>
        <w:t xml:space="preserve"> señale, teniendo en cuenta, entre otros, los siguientes aspectos:</w:t>
      </w:r>
    </w:p>
    <w:p w14:paraId="04C6BC52" w14:textId="77777777" w:rsidR="00B2442D" w:rsidRDefault="00B2442D">
      <w:pPr>
        <w:spacing w:line="40" w:lineRule="atLeast"/>
        <w:jc w:val="both"/>
        <w:rPr>
          <w:rFonts w:ascii="Arial" w:hAnsi="Arial" w:cs="Arial"/>
        </w:rPr>
      </w:pPr>
    </w:p>
    <w:p w14:paraId="57335481" w14:textId="77777777" w:rsidR="00B2442D" w:rsidRDefault="008A645F">
      <w:pPr>
        <w:spacing w:line="40" w:lineRule="atLeast"/>
        <w:jc w:val="both"/>
        <w:rPr>
          <w:rFonts w:ascii="Arial" w:hAnsi="Arial" w:cs="Arial"/>
        </w:rPr>
      </w:pPr>
      <w:r>
        <w:rPr>
          <w:rFonts w:ascii="Arial" w:hAnsi="Arial" w:cs="Arial"/>
        </w:rPr>
        <w:t xml:space="preserve">Quienes opten por ser autorizados como proveedores tecnológicos, deberán agotar previamente el procedimiento de habilitación para facturar electrónicamente indicado en el numeral 2 del </w:t>
      </w:r>
      <w:r>
        <w:rPr>
          <w:rFonts w:ascii="Arial" w:hAnsi="Arial" w:cs="Arial"/>
        </w:rPr>
        <w:t>artículo 1.6.1.4.1.10 del presente Decreto, salvo que para cuando decidan solicitar la autorización ya se encuentren habilitados.</w:t>
      </w:r>
    </w:p>
    <w:p w14:paraId="673DB3F9" w14:textId="77777777" w:rsidR="00B2442D" w:rsidRDefault="00B2442D">
      <w:pPr>
        <w:spacing w:line="40" w:lineRule="atLeast"/>
        <w:jc w:val="both"/>
        <w:rPr>
          <w:rFonts w:ascii="Arial" w:hAnsi="Arial" w:cs="Arial"/>
        </w:rPr>
      </w:pPr>
    </w:p>
    <w:p w14:paraId="452E52DD" w14:textId="77777777" w:rsidR="00B2442D" w:rsidRDefault="008A645F">
      <w:pPr>
        <w:spacing w:line="40" w:lineRule="atLeast"/>
        <w:jc w:val="both"/>
        <w:rPr>
          <w:rFonts w:ascii="Arial" w:hAnsi="Arial" w:cs="Arial"/>
        </w:rPr>
      </w:pPr>
      <w:r>
        <w:rPr>
          <w:rFonts w:ascii="Arial" w:hAnsi="Arial" w:cs="Arial"/>
        </w:rPr>
        <w:t xml:space="preserve">Agotado lo anterior, el interesado deberá presentar a la </w:t>
      </w:r>
      <w:r>
        <w:rPr>
          <w:rFonts w:ascii="Arial" w:hAnsi="Arial" w:cs="Arial"/>
          <w:lang w:val="es-CO"/>
        </w:rPr>
        <w:t>Unidad Administrativa Especial Dirección de Impuestos y Aduanas Naci</w:t>
      </w:r>
      <w:r>
        <w:rPr>
          <w:rFonts w:ascii="Arial" w:hAnsi="Arial" w:cs="Arial"/>
          <w:lang w:val="es-CO"/>
        </w:rPr>
        <w:t xml:space="preserve">onales </w:t>
      </w:r>
      <w:r>
        <w:rPr>
          <w:rFonts w:ascii="Arial" w:hAnsi="Arial" w:cs="Arial"/>
        </w:rPr>
        <w:t>- DIAN una solicitud y cumplir como mínimo los siguientes requisitos:</w:t>
      </w:r>
    </w:p>
    <w:p w14:paraId="1D2DC858" w14:textId="77777777" w:rsidR="00B2442D" w:rsidRDefault="00B2442D">
      <w:pPr>
        <w:spacing w:line="40" w:lineRule="atLeast"/>
        <w:jc w:val="both"/>
        <w:rPr>
          <w:rFonts w:ascii="Arial" w:hAnsi="Arial" w:cs="Arial"/>
        </w:rPr>
      </w:pPr>
    </w:p>
    <w:p w14:paraId="006BAC91" w14:textId="77777777" w:rsidR="00B2442D" w:rsidRDefault="008A645F">
      <w:pPr>
        <w:spacing w:line="40" w:lineRule="atLeast"/>
        <w:jc w:val="both"/>
        <w:rPr>
          <w:rFonts w:ascii="Arial" w:hAnsi="Arial" w:cs="Arial"/>
        </w:rPr>
      </w:pPr>
      <w:r>
        <w:rPr>
          <w:rFonts w:ascii="Arial" w:hAnsi="Arial" w:cs="Arial"/>
        </w:rPr>
        <w:t>1. Tener vigente y actualizado el Registro Único Tributario - RUT.</w:t>
      </w:r>
    </w:p>
    <w:p w14:paraId="3DC7ECED" w14:textId="77777777" w:rsidR="00B2442D" w:rsidRDefault="00B2442D">
      <w:pPr>
        <w:spacing w:line="40" w:lineRule="atLeast"/>
        <w:jc w:val="both"/>
        <w:rPr>
          <w:rFonts w:ascii="Arial" w:hAnsi="Arial" w:cs="Arial"/>
        </w:rPr>
      </w:pPr>
    </w:p>
    <w:p w14:paraId="39D9070E" w14:textId="77777777" w:rsidR="00B2442D" w:rsidRDefault="008A645F">
      <w:pPr>
        <w:spacing w:line="40" w:lineRule="atLeast"/>
        <w:jc w:val="both"/>
        <w:rPr>
          <w:rFonts w:ascii="Arial" w:hAnsi="Arial" w:cs="Arial"/>
        </w:rPr>
      </w:pPr>
      <w:r>
        <w:rPr>
          <w:rFonts w:ascii="Arial" w:hAnsi="Arial" w:cs="Arial"/>
        </w:rPr>
        <w:t>2. Ser responsable del impuesto sobre las ventas y pertenecer al régimen común.</w:t>
      </w:r>
    </w:p>
    <w:p w14:paraId="55F089EA" w14:textId="77777777" w:rsidR="00B2442D" w:rsidRDefault="00B2442D">
      <w:pPr>
        <w:spacing w:line="40" w:lineRule="atLeast"/>
        <w:jc w:val="both"/>
        <w:rPr>
          <w:rFonts w:ascii="Arial" w:hAnsi="Arial" w:cs="Arial"/>
        </w:rPr>
      </w:pPr>
    </w:p>
    <w:p w14:paraId="07E7AA15" w14:textId="77777777" w:rsidR="00B2442D" w:rsidRDefault="008A645F">
      <w:pPr>
        <w:spacing w:line="40" w:lineRule="atLeast"/>
        <w:jc w:val="both"/>
        <w:rPr>
          <w:rFonts w:ascii="Arial" w:hAnsi="Arial" w:cs="Arial"/>
        </w:rPr>
      </w:pPr>
      <w:r>
        <w:rPr>
          <w:rFonts w:ascii="Arial" w:hAnsi="Arial" w:cs="Arial"/>
        </w:rPr>
        <w:t xml:space="preserve">3. Estar acreditado con certificación ISO 27001 sobre sistemas de gestión de la seguridad de la información vigente, o por las normas que las modifiquen o sustituyan. Si para la fecha de presentación de la solicitud como proveedor tecnológico ante la </w:t>
      </w:r>
      <w:r>
        <w:rPr>
          <w:rFonts w:ascii="Arial" w:hAnsi="Arial" w:cs="Arial"/>
          <w:lang w:val="es-CO"/>
        </w:rPr>
        <w:t>Unida</w:t>
      </w:r>
      <w:r>
        <w:rPr>
          <w:rFonts w:ascii="Arial" w:hAnsi="Arial" w:cs="Arial"/>
          <w:lang w:val="es-CO"/>
        </w:rPr>
        <w:t xml:space="preserve">d Administrativa Especial  Dirección de Impuestos y Aduanas Nacionales - </w:t>
      </w:r>
      <w:r>
        <w:rPr>
          <w:rFonts w:ascii="Arial" w:hAnsi="Arial" w:cs="Arial"/>
        </w:rPr>
        <w:t>DIAN, no se cuenta con esta certificación, deberá manifestarse el compromiso de aportarla a más tardar dentro de los dos (2) años siguientes a la fecha de notificación de la autorizac</w:t>
      </w:r>
      <w:r>
        <w:rPr>
          <w:rFonts w:ascii="Arial" w:hAnsi="Arial" w:cs="Arial"/>
        </w:rPr>
        <w:t xml:space="preserve">ión como proveedor tecnológico, término dentro del cual deberá allegarse a la </w:t>
      </w:r>
      <w:r>
        <w:rPr>
          <w:rFonts w:ascii="Arial" w:hAnsi="Arial" w:cs="Arial"/>
          <w:lang w:val="es-CO"/>
        </w:rPr>
        <w:t>Unidad Administrativa Especial  Dirección de Impuestos y Aduanas Nacionales</w:t>
      </w:r>
      <w:r>
        <w:rPr>
          <w:rFonts w:ascii="Arial" w:hAnsi="Arial" w:cs="Arial"/>
        </w:rPr>
        <w:t>-DIAN la certificación correspondiente, como requisito necesario para operar como tal.</w:t>
      </w:r>
    </w:p>
    <w:p w14:paraId="5D749376" w14:textId="77777777" w:rsidR="00B2442D" w:rsidRDefault="00B2442D">
      <w:pPr>
        <w:spacing w:line="40" w:lineRule="atLeast"/>
        <w:jc w:val="both"/>
        <w:rPr>
          <w:rFonts w:ascii="Arial" w:hAnsi="Arial" w:cs="Arial"/>
        </w:rPr>
      </w:pPr>
    </w:p>
    <w:p w14:paraId="5C49F9AC" w14:textId="77777777" w:rsidR="00B2442D" w:rsidRDefault="008A645F">
      <w:pPr>
        <w:spacing w:line="40" w:lineRule="atLeast"/>
        <w:jc w:val="both"/>
        <w:rPr>
          <w:rFonts w:ascii="Arial" w:hAnsi="Arial" w:cs="Arial"/>
        </w:rPr>
      </w:pPr>
      <w:r>
        <w:rPr>
          <w:rFonts w:ascii="Arial" w:hAnsi="Arial" w:cs="Arial"/>
        </w:rPr>
        <w:t xml:space="preserve">4. Poseer para </w:t>
      </w:r>
      <w:r>
        <w:rPr>
          <w:rFonts w:ascii="Arial" w:hAnsi="Arial" w:cs="Arial"/>
        </w:rPr>
        <w:t xml:space="preserve">la fecha de presentación de la solicitud un patrimonio líquido igual o superior a veinte mil (20.000) UVT y unos activos fijos que representen por lo menos el cincuenta por ciento (50%) del patrimonio líquido. En este caso se aceptarán estados financieros </w:t>
      </w:r>
      <w:r>
        <w:rPr>
          <w:rFonts w:ascii="Arial" w:hAnsi="Arial" w:cs="Arial"/>
        </w:rPr>
        <w:t>certificados por contador público o revisor fiscal. En todo caso, la DIAN podrá efectuar las verificaciones que considere pertinentes.</w:t>
      </w:r>
    </w:p>
    <w:p w14:paraId="1CFC133A" w14:textId="77777777" w:rsidR="00B2442D" w:rsidRDefault="00B2442D">
      <w:pPr>
        <w:spacing w:line="40" w:lineRule="atLeast"/>
        <w:jc w:val="both"/>
        <w:rPr>
          <w:rFonts w:ascii="Arial" w:hAnsi="Arial" w:cs="Arial"/>
        </w:rPr>
      </w:pPr>
    </w:p>
    <w:p w14:paraId="0D7A6673" w14:textId="77777777" w:rsidR="00B2442D" w:rsidRDefault="008A645F">
      <w:pPr>
        <w:spacing w:line="40" w:lineRule="atLeast"/>
        <w:jc w:val="both"/>
        <w:rPr>
          <w:rFonts w:ascii="Arial" w:hAnsi="Arial" w:cs="Arial"/>
        </w:rPr>
      </w:pPr>
      <w:r>
        <w:rPr>
          <w:rFonts w:ascii="Arial" w:hAnsi="Arial" w:cs="Arial"/>
        </w:rPr>
        <w:t xml:space="preserve">5. Cumplir las condiciones de operatividad tecnológica que señale la </w:t>
      </w:r>
      <w:r>
        <w:rPr>
          <w:rFonts w:ascii="Arial" w:hAnsi="Arial" w:cs="Arial"/>
          <w:lang w:val="es-CO"/>
        </w:rPr>
        <w:t>Unidad Administrativa Especial Dirección de Impuest</w:t>
      </w:r>
      <w:r>
        <w:rPr>
          <w:rFonts w:ascii="Arial" w:hAnsi="Arial" w:cs="Arial"/>
          <w:lang w:val="es-CO"/>
        </w:rPr>
        <w:t>os y Aduanas Nacionales</w:t>
      </w:r>
      <w:r>
        <w:rPr>
          <w:rFonts w:ascii="Arial" w:hAnsi="Arial" w:cs="Arial"/>
        </w:rPr>
        <w:t>-DIAN.</w:t>
      </w:r>
    </w:p>
    <w:p w14:paraId="2BB8FD1B" w14:textId="77777777" w:rsidR="00B2442D" w:rsidRDefault="00B2442D">
      <w:pPr>
        <w:spacing w:line="40" w:lineRule="atLeast"/>
        <w:jc w:val="both"/>
        <w:rPr>
          <w:rFonts w:ascii="Arial" w:hAnsi="Arial" w:cs="Arial"/>
        </w:rPr>
      </w:pPr>
    </w:p>
    <w:p w14:paraId="72D2B88A" w14:textId="77777777" w:rsidR="00B2442D" w:rsidRDefault="008A645F">
      <w:pPr>
        <w:spacing w:line="40" w:lineRule="atLeast"/>
        <w:jc w:val="both"/>
        <w:rPr>
          <w:rFonts w:ascii="Arial" w:hAnsi="Arial" w:cs="Arial"/>
        </w:rPr>
      </w:pPr>
      <w:r>
        <w:rPr>
          <w:rFonts w:ascii="Arial" w:hAnsi="Arial" w:cs="Arial"/>
        </w:rPr>
        <w:t xml:space="preserve">A más tardar dentro de los dos (2) meses siguientes al recibo de la solicitud, Entidad decidirá sobre la misma, previas las verificaciones que considere pertinentes. Si la decisión es favorable autorizará al solicitante para </w:t>
      </w:r>
      <w:r>
        <w:rPr>
          <w:rFonts w:ascii="Arial" w:hAnsi="Arial" w:cs="Arial"/>
        </w:rPr>
        <w:t>prestar a los obligados a facturar electrónicamente y/o a los adquirentes que así lo decidan, los servicios de proveedor tecnológico en el ámbito de la presente Sección.</w:t>
      </w:r>
    </w:p>
    <w:p w14:paraId="18FE8E21" w14:textId="77777777" w:rsidR="00B2442D" w:rsidRDefault="00B2442D">
      <w:pPr>
        <w:spacing w:line="40" w:lineRule="atLeast"/>
        <w:jc w:val="both"/>
        <w:rPr>
          <w:rFonts w:ascii="Arial" w:hAnsi="Arial" w:cs="Arial"/>
        </w:rPr>
      </w:pPr>
    </w:p>
    <w:p w14:paraId="789F5589" w14:textId="77777777" w:rsidR="00B2442D" w:rsidRDefault="008A645F">
      <w:pPr>
        <w:spacing w:line="40" w:lineRule="atLeast"/>
        <w:jc w:val="both"/>
        <w:rPr>
          <w:rFonts w:ascii="Arial" w:hAnsi="Arial" w:cs="Arial"/>
        </w:rPr>
      </w:pPr>
      <w:r>
        <w:rPr>
          <w:rFonts w:ascii="Arial" w:hAnsi="Arial" w:cs="Arial"/>
        </w:rPr>
        <w:t>Contra la resolución que decida en forma negativa la solicitud de autorización, proce</w:t>
      </w:r>
      <w:r>
        <w:rPr>
          <w:rFonts w:ascii="Arial" w:hAnsi="Arial" w:cs="Arial"/>
        </w:rPr>
        <w:t>den los recursos de reposición y apelación de acuerdo con el Código de Procedimiento Administrativo y de lo Contencioso Administrativo.</w:t>
      </w:r>
    </w:p>
    <w:p w14:paraId="13A168E6" w14:textId="77777777" w:rsidR="00B2442D" w:rsidRDefault="00B2442D">
      <w:pPr>
        <w:spacing w:line="40" w:lineRule="atLeast"/>
        <w:jc w:val="both"/>
        <w:rPr>
          <w:rFonts w:ascii="Arial" w:hAnsi="Arial" w:cs="Arial"/>
        </w:rPr>
      </w:pPr>
    </w:p>
    <w:p w14:paraId="32420A69" w14:textId="77777777" w:rsidR="00B2442D" w:rsidRDefault="008A645F">
      <w:pPr>
        <w:spacing w:line="40" w:lineRule="atLeast"/>
        <w:jc w:val="both"/>
        <w:rPr>
          <w:rFonts w:ascii="Arial" w:hAnsi="Arial" w:cs="Arial"/>
        </w:rPr>
      </w:pPr>
      <w:r>
        <w:rPr>
          <w:rFonts w:ascii="Arial" w:hAnsi="Arial" w:cs="Arial"/>
          <w:b/>
        </w:rPr>
        <w:t>Parágrafo 1.</w:t>
      </w:r>
      <w:r>
        <w:rPr>
          <w:rFonts w:ascii="Arial" w:hAnsi="Arial" w:cs="Arial"/>
        </w:rPr>
        <w:t xml:space="preserve"> Las condiciones señaladas en el presente artículo deberán cumplirse por el proveedor tecnológico para la f</w:t>
      </w:r>
      <w:r>
        <w:rPr>
          <w:rFonts w:ascii="Arial" w:hAnsi="Arial" w:cs="Arial"/>
        </w:rPr>
        <w:t>echa de presentación de la solicitud de autorización y, las señaladas en los numerales 1 a 5, serán también condición necesaria para su renovación. Para efectos de la renovación de la autorización, el requisito señalado en el numeral 4 de este artículo, se</w:t>
      </w:r>
      <w:r>
        <w:rPr>
          <w:rFonts w:ascii="Arial" w:hAnsi="Arial" w:cs="Arial"/>
        </w:rPr>
        <w:t xml:space="preserve"> tendrá en cuenta el valor de la UVT para la fecha de presentación de la solicitud de renovación.</w:t>
      </w:r>
    </w:p>
    <w:p w14:paraId="2A96233B" w14:textId="77777777" w:rsidR="00B2442D" w:rsidRDefault="00B2442D">
      <w:pPr>
        <w:spacing w:line="40" w:lineRule="atLeast"/>
        <w:jc w:val="both"/>
        <w:rPr>
          <w:rFonts w:ascii="Arial" w:hAnsi="Arial" w:cs="Arial"/>
        </w:rPr>
      </w:pPr>
    </w:p>
    <w:p w14:paraId="5CD2540A" w14:textId="77777777" w:rsidR="00B2442D" w:rsidRDefault="008A645F">
      <w:pPr>
        <w:spacing w:line="40" w:lineRule="atLeast"/>
        <w:jc w:val="both"/>
        <w:rPr>
          <w:rFonts w:ascii="Arial" w:hAnsi="Arial" w:cs="Arial"/>
        </w:rPr>
      </w:pPr>
      <w:r>
        <w:rPr>
          <w:rFonts w:ascii="Arial" w:hAnsi="Arial" w:cs="Arial"/>
        </w:rPr>
        <w:t xml:space="preserve">Sin perjuicio de lo anterior, las condiciones señaladas en el presente artículo deberán cumplirse por el proveedor tecnológico para la fecha de presentación </w:t>
      </w:r>
      <w:r>
        <w:rPr>
          <w:rFonts w:ascii="Arial" w:hAnsi="Arial" w:cs="Arial"/>
        </w:rPr>
        <w:t>de la respectiva solicitud y durante el tiempo que ofrezca servicios de facturación electrónica.</w:t>
      </w:r>
    </w:p>
    <w:p w14:paraId="0BEEFA06" w14:textId="77777777" w:rsidR="00B2442D" w:rsidRDefault="00B2442D">
      <w:pPr>
        <w:spacing w:line="40" w:lineRule="atLeast"/>
        <w:jc w:val="both"/>
        <w:rPr>
          <w:rFonts w:ascii="Arial" w:hAnsi="Arial" w:cs="Arial"/>
        </w:rPr>
      </w:pPr>
    </w:p>
    <w:p w14:paraId="69FA6B5A" w14:textId="77777777" w:rsidR="00B2442D" w:rsidRDefault="008A645F">
      <w:pPr>
        <w:spacing w:line="40" w:lineRule="atLeast"/>
        <w:jc w:val="both"/>
        <w:rPr>
          <w:rFonts w:ascii="Arial" w:hAnsi="Arial" w:cs="Arial"/>
        </w:rPr>
      </w:pPr>
      <w:r>
        <w:rPr>
          <w:rFonts w:ascii="Arial" w:hAnsi="Arial" w:cs="Arial"/>
        </w:rPr>
        <w:t xml:space="preserve">Cuando la </w:t>
      </w:r>
      <w:r>
        <w:rPr>
          <w:rFonts w:ascii="Arial" w:hAnsi="Arial" w:cs="Arial"/>
          <w:lang w:val="es-CO"/>
        </w:rPr>
        <w:t>Unidad Administrativa Especial Dirección de Impuestos y Aduanas Nacionales</w:t>
      </w:r>
      <w:r>
        <w:rPr>
          <w:rFonts w:ascii="Arial" w:hAnsi="Arial" w:cs="Arial"/>
        </w:rPr>
        <w:t>-DIAN efectúe verificaciones tendientes a establecer el cumplimiento o man</w:t>
      </w:r>
      <w:r>
        <w:rPr>
          <w:rFonts w:ascii="Arial" w:hAnsi="Arial" w:cs="Arial"/>
        </w:rPr>
        <w:t>tenimiento de las condiciones de autorización o renovación, en relación con el patrimonio líquido y activos fijos, tendrá en cuenta los niveles de patrimonio líquido y activos fijos en términos de UVT del año de verificación.</w:t>
      </w:r>
    </w:p>
    <w:p w14:paraId="46F55E38" w14:textId="77777777" w:rsidR="00B2442D" w:rsidRDefault="00B2442D">
      <w:pPr>
        <w:spacing w:line="40" w:lineRule="atLeast"/>
        <w:jc w:val="both"/>
        <w:rPr>
          <w:rFonts w:ascii="Arial" w:hAnsi="Arial" w:cs="Arial"/>
        </w:rPr>
      </w:pPr>
    </w:p>
    <w:p w14:paraId="4E2C7438" w14:textId="77777777" w:rsidR="00B2442D" w:rsidRDefault="008A645F">
      <w:pPr>
        <w:spacing w:line="40" w:lineRule="atLeast"/>
        <w:jc w:val="both"/>
        <w:rPr>
          <w:rFonts w:ascii="Arial" w:hAnsi="Arial" w:cs="Arial"/>
        </w:rPr>
      </w:pPr>
      <w:r>
        <w:rPr>
          <w:rFonts w:ascii="Arial" w:hAnsi="Arial" w:cs="Arial"/>
          <w:b/>
        </w:rPr>
        <w:t xml:space="preserve">Parágrafo 2. </w:t>
      </w:r>
      <w:r>
        <w:rPr>
          <w:rFonts w:ascii="Arial" w:hAnsi="Arial" w:cs="Arial"/>
        </w:rPr>
        <w:t xml:space="preserve">Los proveedores </w:t>
      </w:r>
      <w:r>
        <w:rPr>
          <w:rFonts w:ascii="Arial" w:hAnsi="Arial" w:cs="Arial"/>
        </w:rPr>
        <w:t>tecnológicos no podrán ceder la autorización otorgada por la DIAN.</w:t>
      </w:r>
    </w:p>
    <w:p w14:paraId="1A735513" w14:textId="77777777" w:rsidR="00B2442D" w:rsidRDefault="00B2442D">
      <w:pPr>
        <w:spacing w:line="40" w:lineRule="atLeast"/>
        <w:jc w:val="both"/>
        <w:rPr>
          <w:rFonts w:ascii="Arial" w:hAnsi="Arial" w:cs="Arial"/>
          <w:i/>
        </w:rPr>
      </w:pPr>
    </w:p>
    <w:p w14:paraId="55936D61" w14:textId="77777777" w:rsidR="00B2442D" w:rsidRDefault="008A645F">
      <w:pPr>
        <w:jc w:val="both"/>
        <w:rPr>
          <w:rFonts w:ascii="Arial" w:hAnsi="Arial" w:cs="Arial"/>
          <w:i/>
          <w:lang w:val="es-CO"/>
        </w:rPr>
      </w:pPr>
      <w:r>
        <w:rPr>
          <w:rFonts w:ascii="Arial" w:hAnsi="Arial" w:cs="Arial"/>
          <w:i/>
          <w:lang w:val="es-CO"/>
        </w:rPr>
        <w:t>(Art. 12, Decreto 2242 de 2015)</w:t>
      </w:r>
    </w:p>
    <w:p w14:paraId="13D7F3EA" w14:textId="77777777" w:rsidR="00B2442D" w:rsidRDefault="00B2442D">
      <w:pPr>
        <w:spacing w:line="40" w:lineRule="atLeast"/>
        <w:jc w:val="both"/>
        <w:rPr>
          <w:rFonts w:ascii="Arial" w:hAnsi="Arial" w:cs="Arial"/>
          <w:i/>
        </w:rPr>
      </w:pPr>
    </w:p>
    <w:p w14:paraId="5EB50B08"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Obligaciones de los Proveedores Tecnológicos.</w:t>
      </w:r>
      <w:r>
        <w:rPr>
          <w:rFonts w:ascii="Arial" w:hAnsi="Arial" w:cs="Arial"/>
        </w:rPr>
        <w:t xml:space="preserve"> Los proveedores tecnológicos que ofrezcan servicios de facturación electrónica deberán como mínimo, prestar a obligados a facturar y/o al adquirente los servicios de facturación electrónica contratados, cumpliendo en la facturación las disposiciones de la</w:t>
      </w:r>
      <w:r>
        <w:rPr>
          <w:rFonts w:ascii="Arial" w:hAnsi="Arial" w:cs="Arial"/>
        </w:rPr>
        <w:t xml:space="preserve"> presente Sección y las condiciones de operatividad tecnológica que establezca la </w:t>
      </w:r>
      <w:r>
        <w:rPr>
          <w:rFonts w:ascii="Arial" w:hAnsi="Arial" w:cs="Arial"/>
          <w:lang w:val="es-CO"/>
        </w:rPr>
        <w:t xml:space="preserve">Unidad Administrativa Especial  Dirección de Impuestos y Aduanas Nacionales </w:t>
      </w:r>
      <w:r>
        <w:rPr>
          <w:rFonts w:ascii="Arial" w:hAnsi="Arial" w:cs="Arial"/>
        </w:rPr>
        <w:t>-DIAN.</w:t>
      </w:r>
    </w:p>
    <w:p w14:paraId="6275267E" w14:textId="77777777" w:rsidR="00B2442D" w:rsidRDefault="00B2442D">
      <w:pPr>
        <w:spacing w:line="40" w:lineRule="atLeast"/>
        <w:jc w:val="both"/>
        <w:rPr>
          <w:rFonts w:ascii="Arial" w:hAnsi="Arial" w:cs="Arial"/>
        </w:rPr>
      </w:pPr>
    </w:p>
    <w:p w14:paraId="4352A1E4" w14:textId="77777777" w:rsidR="00B2442D" w:rsidRDefault="008A645F">
      <w:pPr>
        <w:spacing w:line="40" w:lineRule="atLeast"/>
        <w:jc w:val="both"/>
        <w:rPr>
          <w:rFonts w:ascii="Arial" w:hAnsi="Arial" w:cs="Arial"/>
        </w:rPr>
      </w:pPr>
      <w:r>
        <w:rPr>
          <w:rFonts w:ascii="Arial" w:hAnsi="Arial" w:cs="Arial"/>
          <w:b/>
        </w:rPr>
        <w:t>Parágrafo.</w:t>
      </w:r>
      <w:r>
        <w:rPr>
          <w:rFonts w:ascii="Arial" w:hAnsi="Arial" w:cs="Arial"/>
        </w:rPr>
        <w:t xml:space="preserve"> En todo caso, el obligado a facturar electrónicamente y el adquirente son los r</w:t>
      </w:r>
      <w:r>
        <w:rPr>
          <w:rFonts w:ascii="Arial" w:hAnsi="Arial" w:cs="Arial"/>
        </w:rPr>
        <w:t xml:space="preserve">esponsables ante la </w:t>
      </w:r>
      <w:r>
        <w:rPr>
          <w:rFonts w:ascii="Arial" w:hAnsi="Arial" w:cs="Arial"/>
          <w:lang w:val="es-CO"/>
        </w:rPr>
        <w:t>Unidad Administrativa Especial Dirección de Impuestos y Aduanas Nacionales</w:t>
      </w:r>
      <w:r>
        <w:rPr>
          <w:rFonts w:ascii="Arial" w:hAnsi="Arial" w:cs="Arial"/>
        </w:rPr>
        <w:t>-DIAN por las obligaciones que como tales les corresponden.</w:t>
      </w:r>
    </w:p>
    <w:p w14:paraId="541973CE" w14:textId="77777777" w:rsidR="00B2442D" w:rsidRDefault="00B2442D">
      <w:pPr>
        <w:spacing w:line="40" w:lineRule="atLeast"/>
        <w:jc w:val="both"/>
        <w:rPr>
          <w:rFonts w:ascii="Arial" w:hAnsi="Arial" w:cs="Arial"/>
        </w:rPr>
      </w:pPr>
    </w:p>
    <w:p w14:paraId="6F7C86B7" w14:textId="77777777" w:rsidR="00B2442D" w:rsidRDefault="008A645F">
      <w:pPr>
        <w:jc w:val="both"/>
        <w:rPr>
          <w:rFonts w:ascii="Arial" w:hAnsi="Arial" w:cs="Arial"/>
          <w:i/>
          <w:lang w:val="es-CO"/>
        </w:rPr>
      </w:pPr>
      <w:r>
        <w:rPr>
          <w:rFonts w:ascii="Arial" w:hAnsi="Arial" w:cs="Arial"/>
          <w:i/>
          <w:lang w:val="es-CO"/>
        </w:rPr>
        <w:t>(Art. 13, Decreto 2242 de 2015)</w:t>
      </w:r>
    </w:p>
    <w:p w14:paraId="1749155E" w14:textId="77777777" w:rsidR="00B2442D" w:rsidRDefault="00B2442D">
      <w:pPr>
        <w:spacing w:line="40" w:lineRule="atLeast"/>
        <w:jc w:val="both"/>
        <w:rPr>
          <w:rFonts w:ascii="Arial" w:hAnsi="Arial" w:cs="Arial"/>
        </w:rPr>
      </w:pPr>
    </w:p>
    <w:p w14:paraId="69C5666D" w14:textId="77777777" w:rsidR="00B2442D" w:rsidRDefault="008A645F">
      <w:pPr>
        <w:pStyle w:val="Prrafodelista"/>
        <w:numPr>
          <w:ilvl w:val="0"/>
          <w:numId w:val="154"/>
        </w:numPr>
        <w:spacing w:line="40" w:lineRule="atLeast"/>
        <w:ind w:left="0" w:firstLine="0"/>
        <w:jc w:val="both"/>
        <w:rPr>
          <w:rFonts w:ascii="Arial" w:hAnsi="Arial" w:cs="Arial"/>
          <w:i/>
        </w:rPr>
      </w:pPr>
      <w:r>
        <w:rPr>
          <w:rFonts w:ascii="Arial" w:hAnsi="Arial" w:cs="Arial"/>
          <w:b/>
          <w:i/>
        </w:rPr>
        <w:t>Cancelación la autorización a Proveedores Tecnológicos.</w:t>
      </w:r>
      <w:r>
        <w:rPr>
          <w:rFonts w:ascii="Arial" w:hAnsi="Arial" w:cs="Arial"/>
          <w:i/>
        </w:rPr>
        <w:t xml:space="preserve"> </w:t>
      </w:r>
    </w:p>
    <w:p w14:paraId="54F7550A" w14:textId="77777777" w:rsidR="00B2442D" w:rsidRDefault="00B2442D">
      <w:pPr>
        <w:spacing w:line="40" w:lineRule="atLeast"/>
        <w:jc w:val="both"/>
        <w:rPr>
          <w:rFonts w:ascii="Arial" w:hAnsi="Arial" w:cs="Arial"/>
        </w:rPr>
      </w:pPr>
    </w:p>
    <w:p w14:paraId="2F863A9F" w14:textId="77777777" w:rsidR="00B2442D" w:rsidRDefault="008A645F">
      <w:pPr>
        <w:spacing w:line="40" w:lineRule="atLeast"/>
        <w:jc w:val="both"/>
        <w:rPr>
          <w:rFonts w:ascii="Arial" w:hAnsi="Arial" w:cs="Arial"/>
        </w:rPr>
      </w:pPr>
      <w:r>
        <w:rPr>
          <w:rFonts w:ascii="Arial" w:hAnsi="Arial" w:cs="Arial"/>
        </w:rPr>
        <w:t xml:space="preserve">1. Cuando </w:t>
      </w:r>
      <w:r>
        <w:rPr>
          <w:rFonts w:ascii="Arial" w:hAnsi="Arial" w:cs="Arial"/>
        </w:rPr>
        <w:t xml:space="preserve">el proveedor tecnológico autorizado por la </w:t>
      </w:r>
      <w:r>
        <w:rPr>
          <w:rFonts w:ascii="Arial" w:hAnsi="Arial" w:cs="Arial"/>
          <w:lang w:val="es-CO"/>
        </w:rPr>
        <w:t>Unidad Administrativa Especial Dirección de Impuestos y Aduanas Nacionales</w:t>
      </w:r>
      <w:r>
        <w:rPr>
          <w:rFonts w:ascii="Arial" w:hAnsi="Arial" w:cs="Arial"/>
        </w:rPr>
        <w:t xml:space="preserve">-DIAN decida terminar con su actividad como Proveedor de los servicios inherentes a la facturación electrónica, deberá solicitar a la </w:t>
      </w:r>
      <w:r>
        <w:rPr>
          <w:rFonts w:ascii="Arial" w:hAnsi="Arial" w:cs="Arial"/>
          <w:lang w:val="es-CO"/>
        </w:rPr>
        <w:t>Unida</w:t>
      </w:r>
      <w:r>
        <w:rPr>
          <w:rFonts w:ascii="Arial" w:hAnsi="Arial" w:cs="Arial"/>
          <w:lang w:val="es-CO"/>
        </w:rPr>
        <w:t>d Administrativa Especial  Dirección de Impuestos y Aduanas Nacionales</w:t>
      </w:r>
      <w:r>
        <w:rPr>
          <w:rFonts w:ascii="Arial" w:hAnsi="Arial" w:cs="Arial"/>
        </w:rPr>
        <w:t xml:space="preserve">-DIAN la cancelación de la autorización. La </w:t>
      </w:r>
      <w:r>
        <w:rPr>
          <w:rFonts w:ascii="Arial" w:hAnsi="Arial" w:cs="Arial"/>
          <w:lang w:val="es-CO"/>
        </w:rPr>
        <w:t>Unidad Administrativa Especial Dirección de Impuestos y Aduanas Nacionales</w:t>
      </w:r>
      <w:r>
        <w:rPr>
          <w:rFonts w:ascii="Arial" w:hAnsi="Arial" w:cs="Arial"/>
        </w:rPr>
        <w:t>-DIAN resolverá la petición dentro de los términos de ley.</w:t>
      </w:r>
    </w:p>
    <w:p w14:paraId="4B83C55F" w14:textId="77777777" w:rsidR="00B2442D" w:rsidRDefault="00B2442D">
      <w:pPr>
        <w:spacing w:line="40" w:lineRule="atLeast"/>
        <w:jc w:val="both"/>
        <w:rPr>
          <w:rFonts w:ascii="Arial" w:hAnsi="Arial" w:cs="Arial"/>
        </w:rPr>
      </w:pPr>
    </w:p>
    <w:p w14:paraId="19379EA9" w14:textId="77777777" w:rsidR="00B2442D" w:rsidRDefault="008A645F">
      <w:pPr>
        <w:spacing w:line="40" w:lineRule="atLeast"/>
        <w:jc w:val="both"/>
        <w:rPr>
          <w:rFonts w:ascii="Arial" w:hAnsi="Arial" w:cs="Arial"/>
        </w:rPr>
      </w:pPr>
      <w:r>
        <w:rPr>
          <w:rFonts w:ascii="Arial" w:hAnsi="Arial" w:cs="Arial"/>
        </w:rPr>
        <w:t xml:space="preserve">En caso </w:t>
      </w:r>
      <w:r>
        <w:rPr>
          <w:rFonts w:ascii="Arial" w:hAnsi="Arial" w:cs="Arial"/>
        </w:rPr>
        <w:t>de liquidación de la sucesión ilíquida, liquidación de la persona jurídica o asimilada, fusión por absorción o fusión por creación, o de escisión cuando el proveedor tecnológico autorizado desaparezca jurídicamente, así como cuando tenga lugar el cese de a</w:t>
      </w:r>
      <w:r>
        <w:rPr>
          <w:rFonts w:ascii="Arial" w:hAnsi="Arial" w:cs="Arial"/>
        </w:rPr>
        <w:t xml:space="preserve">ctividades mercantiles en forma definitiva, o la liquidación de la sucesión, que implican la cancelación del RUT, opera también la cancelación de la autorización como proveedor de servicios de factura electrónica. En este evento, a partir del documento de </w:t>
      </w:r>
      <w:r>
        <w:rPr>
          <w:rFonts w:ascii="Arial" w:hAnsi="Arial" w:cs="Arial"/>
        </w:rPr>
        <w:t xml:space="preserve">cancelación del RUT, la </w:t>
      </w:r>
      <w:r>
        <w:rPr>
          <w:rFonts w:ascii="Arial" w:hAnsi="Arial" w:cs="Arial"/>
          <w:lang w:val="es-CO"/>
        </w:rPr>
        <w:t xml:space="preserve">Unidad Administrativa Especial Dirección de Impuestos y Aduanas Nacionales </w:t>
      </w:r>
      <w:r>
        <w:rPr>
          <w:rFonts w:ascii="Arial" w:hAnsi="Arial" w:cs="Arial"/>
        </w:rPr>
        <w:t>- DIAN procederá a actualizar el Catálogo de Participantes de Factura Electrónica en tal sentido, sin que se requiera ninguna otra actuación.</w:t>
      </w:r>
    </w:p>
    <w:p w14:paraId="05CE885F" w14:textId="77777777" w:rsidR="00B2442D" w:rsidRDefault="00B2442D">
      <w:pPr>
        <w:spacing w:line="40" w:lineRule="atLeast"/>
        <w:jc w:val="both"/>
        <w:rPr>
          <w:rFonts w:ascii="Arial" w:hAnsi="Arial" w:cs="Arial"/>
        </w:rPr>
      </w:pPr>
    </w:p>
    <w:p w14:paraId="5F526938" w14:textId="77777777" w:rsidR="00B2442D" w:rsidRDefault="008A645F">
      <w:pPr>
        <w:spacing w:line="40" w:lineRule="atLeast"/>
        <w:jc w:val="both"/>
        <w:rPr>
          <w:rFonts w:ascii="Arial" w:hAnsi="Arial" w:cs="Arial"/>
        </w:rPr>
      </w:pPr>
      <w:r>
        <w:rPr>
          <w:rFonts w:ascii="Arial" w:hAnsi="Arial" w:cs="Arial"/>
        </w:rPr>
        <w:t>2. Si el prove</w:t>
      </w:r>
      <w:r>
        <w:rPr>
          <w:rFonts w:ascii="Arial" w:hAnsi="Arial" w:cs="Arial"/>
        </w:rPr>
        <w:t xml:space="preserve">edor tecnológico autorizado por la </w:t>
      </w:r>
      <w:r>
        <w:rPr>
          <w:rFonts w:ascii="Arial" w:hAnsi="Arial" w:cs="Arial"/>
          <w:lang w:val="es-CO"/>
        </w:rPr>
        <w:t xml:space="preserve">Unidad Administrativa Especial  Dirección de Impuestos y Aduanas Nacionales </w:t>
      </w:r>
      <w:r>
        <w:rPr>
          <w:rFonts w:ascii="Arial" w:hAnsi="Arial" w:cs="Arial"/>
        </w:rPr>
        <w:t>- DIAN no aporta dentro de la oportunidad la certificación ISO a que se refiere el numeral 3 del artículo 1.6.1.4.1.12 del presente Decreto, la a</w:t>
      </w:r>
      <w:r>
        <w:rPr>
          <w:rFonts w:ascii="Arial" w:hAnsi="Arial" w:cs="Arial"/>
        </w:rPr>
        <w:t>utorización será cancelada.</w:t>
      </w:r>
    </w:p>
    <w:p w14:paraId="779B78D5" w14:textId="77777777" w:rsidR="00B2442D" w:rsidRDefault="00B2442D">
      <w:pPr>
        <w:spacing w:line="40" w:lineRule="atLeast"/>
        <w:jc w:val="both"/>
        <w:rPr>
          <w:rFonts w:ascii="Arial" w:hAnsi="Arial" w:cs="Arial"/>
        </w:rPr>
      </w:pPr>
    </w:p>
    <w:p w14:paraId="22778E5F" w14:textId="77777777" w:rsidR="00B2442D" w:rsidRDefault="008A645F">
      <w:pPr>
        <w:spacing w:line="40" w:lineRule="atLeast"/>
        <w:jc w:val="both"/>
        <w:rPr>
          <w:rFonts w:ascii="Arial" w:hAnsi="Arial" w:cs="Arial"/>
        </w:rPr>
      </w:pPr>
      <w:r>
        <w:rPr>
          <w:rFonts w:ascii="Arial" w:hAnsi="Arial" w:cs="Arial"/>
          <w:b/>
        </w:rPr>
        <w:t>Parágrafo.</w:t>
      </w:r>
      <w:r>
        <w:rPr>
          <w:rFonts w:ascii="Arial" w:hAnsi="Arial" w:cs="Arial"/>
        </w:rPr>
        <w:t xml:space="preserve"> El obligado a facturar electrónicamente que tenía contratados los servicios de un proveedor tecnológico a quien no se le renueve la autorización o se le cancele la misma deberá actualizar su habilitación. Para tal efecto podrá:</w:t>
      </w:r>
    </w:p>
    <w:p w14:paraId="5F9DAA40" w14:textId="77777777" w:rsidR="00B2442D" w:rsidRDefault="00B2442D">
      <w:pPr>
        <w:spacing w:line="40" w:lineRule="atLeast"/>
        <w:jc w:val="both"/>
        <w:rPr>
          <w:rFonts w:ascii="Arial" w:hAnsi="Arial" w:cs="Arial"/>
        </w:rPr>
      </w:pPr>
    </w:p>
    <w:p w14:paraId="3E994DFD" w14:textId="77777777" w:rsidR="00B2442D" w:rsidRDefault="008A645F">
      <w:pPr>
        <w:spacing w:line="40" w:lineRule="atLeast"/>
        <w:jc w:val="both"/>
        <w:rPr>
          <w:rFonts w:ascii="Arial" w:hAnsi="Arial" w:cs="Arial"/>
        </w:rPr>
      </w:pPr>
      <w:r>
        <w:rPr>
          <w:rFonts w:ascii="Arial" w:hAnsi="Arial" w:cs="Arial"/>
        </w:rPr>
        <w:t xml:space="preserve">a) Registrar ante la </w:t>
      </w:r>
      <w:r>
        <w:rPr>
          <w:rFonts w:ascii="Arial" w:hAnsi="Arial" w:cs="Arial"/>
          <w:lang w:val="es-CO"/>
        </w:rPr>
        <w:t>Unida</w:t>
      </w:r>
      <w:r>
        <w:rPr>
          <w:rFonts w:ascii="Arial" w:hAnsi="Arial" w:cs="Arial"/>
          <w:lang w:val="es-CO"/>
        </w:rPr>
        <w:t>d Administrativa Especial Dirección de Impuestos y Aduanas Nacionales</w:t>
      </w:r>
      <w:r>
        <w:rPr>
          <w:rFonts w:ascii="Arial" w:hAnsi="Arial" w:cs="Arial"/>
        </w:rPr>
        <w:t>-DIAN un nuevo proveedor tecnológico, previo agotamiento de las pruebas pertinentes y, en todo caso, deberá reanudar la facturación electrónica, a más tardar, dentro de los tres (3) meses</w:t>
      </w:r>
      <w:r>
        <w:rPr>
          <w:rFonts w:ascii="Arial" w:hAnsi="Arial" w:cs="Arial"/>
        </w:rPr>
        <w:t xml:space="preserve"> siguientes al vencimiento de la autorización respectiva o dentro de los tres (3) meses siguientes a la ejecutoria del acto administrativo por el cual se hubiere cancelado la autorización.</w:t>
      </w:r>
    </w:p>
    <w:p w14:paraId="1A51BC9A" w14:textId="77777777" w:rsidR="00B2442D" w:rsidRDefault="00B2442D">
      <w:pPr>
        <w:spacing w:line="40" w:lineRule="atLeast"/>
        <w:jc w:val="both"/>
        <w:rPr>
          <w:rFonts w:ascii="Arial" w:hAnsi="Arial" w:cs="Arial"/>
        </w:rPr>
      </w:pPr>
    </w:p>
    <w:p w14:paraId="4CBD23AE" w14:textId="77777777" w:rsidR="00B2442D" w:rsidRDefault="008A645F">
      <w:pPr>
        <w:spacing w:line="40" w:lineRule="atLeast"/>
        <w:jc w:val="both"/>
        <w:rPr>
          <w:rFonts w:ascii="Arial" w:hAnsi="Arial" w:cs="Arial"/>
        </w:rPr>
      </w:pPr>
      <w:r>
        <w:rPr>
          <w:rFonts w:ascii="Arial" w:hAnsi="Arial" w:cs="Arial"/>
        </w:rPr>
        <w:t>b) Facturar electrónicamente en forma directa, evento en el cual d</w:t>
      </w:r>
      <w:r>
        <w:rPr>
          <w:rFonts w:ascii="Arial" w:hAnsi="Arial" w:cs="Arial"/>
        </w:rPr>
        <w:t xml:space="preserve">eberá surtir las pruebas necesarias ante la </w:t>
      </w:r>
      <w:r>
        <w:rPr>
          <w:rFonts w:ascii="Arial" w:hAnsi="Arial" w:cs="Arial"/>
          <w:lang w:val="es-CO"/>
        </w:rPr>
        <w:t xml:space="preserve">Unidad Administrativa Especial Dirección de Impuestos y Aduanas Nacionales - </w:t>
      </w:r>
      <w:r>
        <w:rPr>
          <w:rFonts w:ascii="Arial" w:hAnsi="Arial" w:cs="Arial"/>
        </w:rPr>
        <w:t xml:space="preserve">DIAN y, en todo caso, deberá reanudar la facturación electrónica, a más tardar, dentro de los seis (6) meses siguientes al vencimiento </w:t>
      </w:r>
      <w:r>
        <w:rPr>
          <w:rFonts w:ascii="Arial" w:hAnsi="Arial" w:cs="Arial"/>
        </w:rPr>
        <w:t>de la autorización respectiva o dentro de los seis (6) meses siguientes a la ejecutoria del acto administrativo por el cual se hubiere cancelado la autorización.</w:t>
      </w:r>
    </w:p>
    <w:p w14:paraId="0F0EABD9" w14:textId="77777777" w:rsidR="00B2442D" w:rsidRDefault="00B2442D">
      <w:pPr>
        <w:spacing w:line="40" w:lineRule="atLeast"/>
        <w:jc w:val="both"/>
        <w:rPr>
          <w:rFonts w:ascii="Arial" w:hAnsi="Arial" w:cs="Arial"/>
        </w:rPr>
      </w:pPr>
    </w:p>
    <w:p w14:paraId="40E34AF2" w14:textId="77777777" w:rsidR="00B2442D" w:rsidRDefault="008A645F">
      <w:pPr>
        <w:spacing w:line="40" w:lineRule="atLeast"/>
        <w:jc w:val="both"/>
        <w:rPr>
          <w:rFonts w:ascii="Arial" w:hAnsi="Arial" w:cs="Arial"/>
        </w:rPr>
      </w:pPr>
      <w:r>
        <w:rPr>
          <w:rFonts w:ascii="Arial" w:hAnsi="Arial" w:cs="Arial"/>
        </w:rPr>
        <w:t>Durante el término que dure el trámite y, a más tardar dentro de los términos señalados en lo</w:t>
      </w:r>
      <w:r>
        <w:rPr>
          <w:rFonts w:ascii="Arial" w:hAnsi="Arial" w:cs="Arial"/>
        </w:rPr>
        <w:t xml:space="preserve">s literales a) o b), según el caso, aplicarán las medidas especiales que para estos eventos determine la </w:t>
      </w:r>
      <w:r>
        <w:rPr>
          <w:rFonts w:ascii="Arial" w:hAnsi="Arial" w:cs="Arial"/>
          <w:lang w:val="es-CO"/>
        </w:rPr>
        <w:t>Unidad Administrativa Especial  Dirección de Impuestos y Aduanas Nacionales</w:t>
      </w:r>
      <w:r>
        <w:rPr>
          <w:rFonts w:ascii="Arial" w:hAnsi="Arial" w:cs="Arial"/>
        </w:rPr>
        <w:t>-DIAN, en concordancia con el artículo 1.6.1.4.1.8 del presente Decreto.</w:t>
      </w:r>
    </w:p>
    <w:p w14:paraId="6ABEF8B5" w14:textId="77777777" w:rsidR="00B2442D" w:rsidRDefault="00B2442D">
      <w:pPr>
        <w:spacing w:line="40" w:lineRule="atLeast"/>
        <w:jc w:val="both"/>
        <w:rPr>
          <w:rFonts w:ascii="Arial" w:hAnsi="Arial" w:cs="Arial"/>
        </w:rPr>
      </w:pPr>
    </w:p>
    <w:p w14:paraId="3B582CF1" w14:textId="77777777" w:rsidR="00B2442D" w:rsidRDefault="008A645F">
      <w:pPr>
        <w:jc w:val="both"/>
        <w:rPr>
          <w:rFonts w:ascii="Arial" w:hAnsi="Arial" w:cs="Arial"/>
          <w:i/>
          <w:lang w:val="es-CO"/>
        </w:rPr>
      </w:pPr>
      <w:r>
        <w:rPr>
          <w:rFonts w:ascii="Arial" w:hAnsi="Arial" w:cs="Arial"/>
          <w:i/>
          <w:lang w:val="es-CO"/>
        </w:rPr>
        <w:t>(A</w:t>
      </w:r>
      <w:r>
        <w:rPr>
          <w:rFonts w:ascii="Arial" w:hAnsi="Arial" w:cs="Arial"/>
          <w:i/>
          <w:lang w:val="es-CO"/>
        </w:rPr>
        <w:t>rt. 14, Decreto 2242 de 2015)</w:t>
      </w:r>
    </w:p>
    <w:p w14:paraId="40C0F6B0" w14:textId="77777777" w:rsidR="00B2442D" w:rsidRDefault="00B2442D">
      <w:pPr>
        <w:spacing w:line="40" w:lineRule="atLeast"/>
        <w:jc w:val="both"/>
        <w:rPr>
          <w:rFonts w:ascii="Arial" w:hAnsi="Arial" w:cs="Arial"/>
        </w:rPr>
      </w:pPr>
    </w:p>
    <w:p w14:paraId="45C48F4F"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Catálogo de Participantes de Factura Electrónica.</w:t>
      </w:r>
      <w:r>
        <w:rPr>
          <w:rFonts w:ascii="Arial" w:hAnsi="Arial" w:cs="Arial"/>
          <w:b/>
        </w:rPr>
        <w:t xml:space="preserve"> </w:t>
      </w:r>
      <w:r>
        <w:rPr>
          <w:rFonts w:ascii="Arial" w:hAnsi="Arial" w:cs="Arial"/>
        </w:rPr>
        <w:t>Los obligados a facturar electrónicamente, los adquirentes que decidan recibir factura en formato electrónico de generación y los proveedores tecnológicos deben estar registra</w:t>
      </w:r>
      <w:r>
        <w:rPr>
          <w:rFonts w:ascii="Arial" w:hAnsi="Arial" w:cs="Arial"/>
        </w:rPr>
        <w:t xml:space="preserve">dos en el Catálogo de Participantes de Factura Electrónica. Este registro permanecerá a disposición de los participantes y deberá mantenerse actualizado por los mismos y por la </w:t>
      </w:r>
      <w:r>
        <w:rPr>
          <w:rFonts w:ascii="Arial" w:hAnsi="Arial" w:cs="Arial"/>
          <w:lang w:val="es-CO"/>
        </w:rPr>
        <w:t>Unidad Administrativa Especial Dirección de Impuestos y Aduanas Nacionales</w:t>
      </w:r>
      <w:r>
        <w:rPr>
          <w:rFonts w:ascii="Arial" w:hAnsi="Arial" w:cs="Arial"/>
        </w:rPr>
        <w:t>-DIAN</w:t>
      </w:r>
      <w:r>
        <w:rPr>
          <w:rFonts w:ascii="Arial" w:hAnsi="Arial" w:cs="Arial"/>
        </w:rPr>
        <w:t xml:space="preserve"> en lo que corresponda. El Catálogo de Participantes contendrá como mínimo:</w:t>
      </w:r>
    </w:p>
    <w:p w14:paraId="20BAAD95" w14:textId="77777777" w:rsidR="00B2442D" w:rsidRDefault="00B2442D">
      <w:pPr>
        <w:spacing w:line="40" w:lineRule="atLeast"/>
        <w:jc w:val="both"/>
        <w:rPr>
          <w:rFonts w:ascii="Arial" w:hAnsi="Arial" w:cs="Arial"/>
        </w:rPr>
      </w:pPr>
    </w:p>
    <w:p w14:paraId="34A1E57A" w14:textId="77777777" w:rsidR="00B2442D" w:rsidRDefault="008A645F">
      <w:pPr>
        <w:spacing w:line="40" w:lineRule="atLeast"/>
        <w:jc w:val="both"/>
        <w:rPr>
          <w:rFonts w:ascii="Arial" w:hAnsi="Arial" w:cs="Arial"/>
        </w:rPr>
      </w:pPr>
      <w:r>
        <w:rPr>
          <w:rFonts w:ascii="Arial" w:hAnsi="Arial" w:cs="Arial"/>
        </w:rPr>
        <w:t xml:space="preserve">1. La información actualizada idéntica a la del RUT en relación con la identificación del obligado a facturar electrónicamente y, en general, la identificación de los </w:t>
      </w:r>
      <w:r>
        <w:rPr>
          <w:rFonts w:ascii="Arial" w:hAnsi="Arial" w:cs="Arial"/>
        </w:rPr>
        <w:t>participantes.</w:t>
      </w:r>
    </w:p>
    <w:p w14:paraId="41ED4393" w14:textId="77777777" w:rsidR="00B2442D" w:rsidRDefault="00B2442D">
      <w:pPr>
        <w:spacing w:line="40" w:lineRule="atLeast"/>
        <w:jc w:val="both"/>
        <w:rPr>
          <w:rFonts w:ascii="Arial" w:hAnsi="Arial" w:cs="Arial"/>
        </w:rPr>
      </w:pPr>
    </w:p>
    <w:p w14:paraId="46463877" w14:textId="77777777" w:rsidR="00B2442D" w:rsidRDefault="008A645F">
      <w:pPr>
        <w:spacing w:line="40" w:lineRule="atLeast"/>
        <w:jc w:val="both"/>
        <w:rPr>
          <w:rFonts w:ascii="Arial" w:hAnsi="Arial" w:cs="Arial"/>
        </w:rPr>
      </w:pPr>
      <w:r>
        <w:rPr>
          <w:rFonts w:ascii="Arial" w:hAnsi="Arial" w:cs="Arial"/>
        </w:rPr>
        <w:t>2. La información técnica necesaria, como mínimo una casilla de correo electrónico, para la entrega de la factura electrónica en formato electrónico de generación y de las notas crédito y débito, sin perjuicio de utilizar e informar otros e</w:t>
      </w:r>
      <w:r>
        <w:rPr>
          <w:rFonts w:ascii="Arial" w:hAnsi="Arial" w:cs="Arial"/>
        </w:rPr>
        <w:t>squemas electrónicos para su entrega previamente acordados entre el obligado a facturar electrónicamente y el adquirente que recibe factura en formato electrónico de generación, siempre y cuando los esquemas adoptados no impliquen costos o dependencias tec</w:t>
      </w:r>
      <w:r>
        <w:rPr>
          <w:rFonts w:ascii="Arial" w:hAnsi="Arial" w:cs="Arial"/>
        </w:rPr>
        <w:t>nológicas para éste último.</w:t>
      </w:r>
    </w:p>
    <w:p w14:paraId="0EF113D0" w14:textId="77777777" w:rsidR="00B2442D" w:rsidRDefault="00B2442D">
      <w:pPr>
        <w:spacing w:line="40" w:lineRule="atLeast"/>
        <w:jc w:val="both"/>
        <w:rPr>
          <w:rFonts w:ascii="Arial" w:hAnsi="Arial" w:cs="Arial"/>
        </w:rPr>
      </w:pPr>
    </w:p>
    <w:p w14:paraId="5191B93A" w14:textId="77777777" w:rsidR="00B2442D" w:rsidRDefault="008A645F">
      <w:pPr>
        <w:spacing w:line="40" w:lineRule="atLeast"/>
        <w:jc w:val="both"/>
        <w:rPr>
          <w:rFonts w:ascii="Arial" w:hAnsi="Arial" w:cs="Arial"/>
        </w:rPr>
      </w:pPr>
      <w:r>
        <w:rPr>
          <w:rFonts w:ascii="Arial" w:hAnsi="Arial" w:cs="Arial"/>
        </w:rPr>
        <w:t>3. La información concerniente a las diferentes situaciones relacionadas con los participantes.</w:t>
      </w:r>
    </w:p>
    <w:p w14:paraId="5E7BB56B" w14:textId="77777777" w:rsidR="00B2442D" w:rsidRDefault="00B2442D">
      <w:pPr>
        <w:spacing w:line="40" w:lineRule="atLeast"/>
        <w:jc w:val="both"/>
        <w:rPr>
          <w:rFonts w:ascii="Arial" w:hAnsi="Arial" w:cs="Arial"/>
        </w:rPr>
      </w:pPr>
    </w:p>
    <w:p w14:paraId="4AEBB16C" w14:textId="77777777" w:rsidR="00B2442D" w:rsidRDefault="008A645F">
      <w:pPr>
        <w:spacing w:line="40" w:lineRule="atLeast"/>
        <w:jc w:val="both"/>
        <w:rPr>
          <w:rFonts w:ascii="Arial" w:hAnsi="Arial" w:cs="Arial"/>
        </w:rPr>
      </w:pPr>
      <w:r>
        <w:rPr>
          <w:rFonts w:ascii="Arial" w:hAnsi="Arial" w:cs="Arial"/>
        </w:rPr>
        <w:t>4. La información de los autorizados por los participantes para intervenir u operar los distintos procedimientos asociados a la fa</w:t>
      </w:r>
      <w:r>
        <w:rPr>
          <w:rFonts w:ascii="Arial" w:hAnsi="Arial" w:cs="Arial"/>
        </w:rPr>
        <w:t>ctura electrónica.</w:t>
      </w:r>
    </w:p>
    <w:p w14:paraId="4F02571F" w14:textId="77777777" w:rsidR="00B2442D" w:rsidRDefault="00B2442D">
      <w:pPr>
        <w:spacing w:line="40" w:lineRule="atLeast"/>
        <w:jc w:val="both"/>
        <w:rPr>
          <w:rFonts w:ascii="Arial" w:hAnsi="Arial" w:cs="Arial"/>
        </w:rPr>
      </w:pPr>
    </w:p>
    <w:p w14:paraId="27D526C4" w14:textId="77777777" w:rsidR="00B2442D" w:rsidRDefault="008A645F">
      <w:pPr>
        <w:spacing w:line="40" w:lineRule="atLeast"/>
        <w:jc w:val="both"/>
        <w:rPr>
          <w:rFonts w:ascii="Arial" w:hAnsi="Arial" w:cs="Arial"/>
        </w:rPr>
      </w:pPr>
      <w:r>
        <w:rPr>
          <w:rFonts w:ascii="Arial" w:hAnsi="Arial" w:cs="Arial"/>
        </w:rPr>
        <w:t xml:space="preserve">La </w:t>
      </w:r>
      <w:r>
        <w:rPr>
          <w:rFonts w:ascii="Arial" w:hAnsi="Arial" w:cs="Arial"/>
          <w:lang w:val="es-CO"/>
        </w:rPr>
        <w:t>Unidad Administrativa Especial Dirección de Impuestos y Aduanas Nacionales</w:t>
      </w:r>
      <w:r>
        <w:rPr>
          <w:rFonts w:ascii="Arial" w:hAnsi="Arial" w:cs="Arial"/>
        </w:rPr>
        <w:t>-DIAN establecerá los procedimientos y protocolos tecnológicos para su acceso y actualización.</w:t>
      </w:r>
    </w:p>
    <w:p w14:paraId="373CF343" w14:textId="77777777" w:rsidR="00B2442D" w:rsidRDefault="00B2442D">
      <w:pPr>
        <w:spacing w:line="40" w:lineRule="atLeast"/>
        <w:jc w:val="both"/>
        <w:rPr>
          <w:rFonts w:ascii="Arial" w:hAnsi="Arial" w:cs="Arial"/>
        </w:rPr>
      </w:pPr>
    </w:p>
    <w:p w14:paraId="384D24D0" w14:textId="77777777" w:rsidR="00B2442D" w:rsidRDefault="008A645F">
      <w:pPr>
        <w:jc w:val="both"/>
        <w:rPr>
          <w:rFonts w:ascii="Arial" w:hAnsi="Arial" w:cs="Arial"/>
          <w:i/>
          <w:lang w:val="es-CO"/>
        </w:rPr>
      </w:pPr>
      <w:r>
        <w:rPr>
          <w:rFonts w:ascii="Arial" w:hAnsi="Arial" w:cs="Arial"/>
          <w:i/>
          <w:lang w:val="es-CO"/>
        </w:rPr>
        <w:t>(Art. 15, Decreto 2242 de 2015)</w:t>
      </w:r>
    </w:p>
    <w:p w14:paraId="028A0061" w14:textId="77777777" w:rsidR="00B2442D" w:rsidRDefault="00B2442D">
      <w:pPr>
        <w:spacing w:line="40" w:lineRule="atLeast"/>
        <w:jc w:val="both"/>
        <w:rPr>
          <w:rFonts w:ascii="Arial" w:hAnsi="Arial" w:cs="Arial"/>
        </w:rPr>
      </w:pPr>
    </w:p>
    <w:p w14:paraId="033D414A"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 xml:space="preserve">Otros documentos equivalentes </w:t>
      </w:r>
      <w:r>
        <w:rPr>
          <w:rFonts w:ascii="Arial" w:hAnsi="Arial" w:cs="Arial"/>
          <w:b/>
          <w:i/>
        </w:rPr>
        <w:t>de la factura.</w:t>
      </w:r>
      <w:r>
        <w:rPr>
          <w:rFonts w:ascii="Arial" w:hAnsi="Arial" w:cs="Arial"/>
          <w:b/>
        </w:rPr>
        <w:t xml:space="preserve"> </w:t>
      </w:r>
      <w:r>
        <w:rPr>
          <w:rFonts w:ascii="Arial" w:hAnsi="Arial" w:cs="Arial"/>
        </w:rPr>
        <w:t>Mientras no se modifiquen las disposiciones vigentes, podrán utilizarse los otros documentos equivalentes en las condiciones actuales.</w:t>
      </w:r>
    </w:p>
    <w:p w14:paraId="5FFE6244" w14:textId="77777777" w:rsidR="00B2442D" w:rsidRDefault="00B2442D">
      <w:pPr>
        <w:spacing w:line="40" w:lineRule="atLeast"/>
        <w:jc w:val="both"/>
        <w:rPr>
          <w:rFonts w:ascii="Arial" w:hAnsi="Arial" w:cs="Arial"/>
        </w:rPr>
      </w:pPr>
    </w:p>
    <w:p w14:paraId="3D0CA5E3" w14:textId="77777777" w:rsidR="00B2442D" w:rsidRDefault="008A645F">
      <w:pPr>
        <w:spacing w:line="40" w:lineRule="atLeast"/>
        <w:jc w:val="both"/>
        <w:rPr>
          <w:rFonts w:ascii="Arial" w:hAnsi="Arial" w:cs="Arial"/>
        </w:rPr>
      </w:pPr>
      <w:r>
        <w:rPr>
          <w:rFonts w:ascii="Arial" w:hAnsi="Arial" w:cs="Arial"/>
        </w:rPr>
        <w:t>El obligado a facturar electrónicamente podrá continuar utilizando los tiquetes de máquinas registradoras</w:t>
      </w:r>
      <w:r>
        <w:rPr>
          <w:rFonts w:ascii="Arial" w:hAnsi="Arial" w:cs="Arial"/>
        </w:rPr>
        <w:t xml:space="preserve"> POS, cuando su modelo de negocio lo requiera. En estos casos, cuando el adquirente sea un responsable del impuesto sobre las ventas del régimen común, si lo requiere para efectos de impuestos descontables, podrá solicitar la factura correspondiente. En es</w:t>
      </w:r>
      <w:r>
        <w:rPr>
          <w:rFonts w:ascii="Arial" w:hAnsi="Arial" w:cs="Arial"/>
        </w:rPr>
        <w:t>te evento el obligado a facturar electrónicamente, deberá expedir factura electrónica en las condiciones de la presente Sección.</w:t>
      </w:r>
    </w:p>
    <w:p w14:paraId="2944C9D6" w14:textId="77777777" w:rsidR="00B2442D" w:rsidRDefault="00B2442D">
      <w:pPr>
        <w:spacing w:line="40" w:lineRule="atLeast"/>
        <w:jc w:val="both"/>
        <w:rPr>
          <w:rFonts w:ascii="Arial" w:hAnsi="Arial" w:cs="Arial"/>
        </w:rPr>
      </w:pPr>
    </w:p>
    <w:p w14:paraId="4EFFDE73" w14:textId="77777777" w:rsidR="00B2442D" w:rsidRDefault="008A645F">
      <w:pPr>
        <w:jc w:val="both"/>
        <w:rPr>
          <w:rFonts w:ascii="Arial" w:hAnsi="Arial" w:cs="Arial"/>
          <w:i/>
          <w:lang w:val="es-CO"/>
        </w:rPr>
      </w:pPr>
      <w:r>
        <w:rPr>
          <w:rFonts w:ascii="Arial" w:hAnsi="Arial" w:cs="Arial"/>
          <w:i/>
          <w:lang w:val="es-CO"/>
        </w:rPr>
        <w:t>(Art. 16, Decreto 2242 de 2015)</w:t>
      </w:r>
    </w:p>
    <w:p w14:paraId="4905B519" w14:textId="77777777" w:rsidR="00B2442D" w:rsidRDefault="00B2442D">
      <w:pPr>
        <w:spacing w:line="40" w:lineRule="atLeast"/>
        <w:jc w:val="both"/>
        <w:rPr>
          <w:rFonts w:ascii="Arial" w:hAnsi="Arial" w:cs="Arial"/>
        </w:rPr>
      </w:pPr>
    </w:p>
    <w:p w14:paraId="7B015951"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Factura electrónica como soporte fiscal.</w:t>
      </w:r>
      <w:r>
        <w:rPr>
          <w:rFonts w:ascii="Arial" w:hAnsi="Arial" w:cs="Arial"/>
          <w:i/>
        </w:rPr>
        <w:t xml:space="preserve"> </w:t>
      </w:r>
      <w:r>
        <w:rPr>
          <w:rFonts w:ascii="Arial" w:hAnsi="Arial" w:cs="Arial"/>
        </w:rPr>
        <w:t>La factura electrónica que cumpla las condiciones se</w:t>
      </w:r>
      <w:r>
        <w:rPr>
          <w:rFonts w:ascii="Arial" w:hAnsi="Arial" w:cs="Arial"/>
        </w:rPr>
        <w:t>ñaladas en la presente Sección, servirá como soporte fiscal de los ingresos, costos y/o deducciones, en el impuesto sobre la renta y complementarios, impuesto sobre la renta para la equidad CREE así como de los impuestos descontables en el impuesto sobre l</w:t>
      </w:r>
      <w:r>
        <w:rPr>
          <w:rFonts w:ascii="Arial" w:hAnsi="Arial" w:cs="Arial"/>
        </w:rPr>
        <w:t>as ventas.</w:t>
      </w:r>
    </w:p>
    <w:p w14:paraId="7DCC8570" w14:textId="77777777" w:rsidR="00B2442D" w:rsidRDefault="00B2442D">
      <w:pPr>
        <w:spacing w:line="40" w:lineRule="atLeast"/>
        <w:jc w:val="both"/>
        <w:rPr>
          <w:rFonts w:ascii="Arial" w:hAnsi="Arial" w:cs="Arial"/>
        </w:rPr>
      </w:pPr>
    </w:p>
    <w:p w14:paraId="2A281432" w14:textId="77777777" w:rsidR="00B2442D" w:rsidRDefault="008A645F">
      <w:pPr>
        <w:jc w:val="both"/>
        <w:rPr>
          <w:rFonts w:ascii="Arial" w:hAnsi="Arial" w:cs="Arial"/>
          <w:i/>
          <w:lang w:val="es-CO"/>
        </w:rPr>
      </w:pPr>
      <w:r>
        <w:rPr>
          <w:rFonts w:ascii="Arial" w:hAnsi="Arial" w:cs="Arial"/>
          <w:i/>
          <w:lang w:val="es-CO"/>
        </w:rPr>
        <w:t>(Art. 17, Decreto 2242 de 2015)</w:t>
      </w:r>
    </w:p>
    <w:p w14:paraId="5E9B9B67" w14:textId="77777777" w:rsidR="00B2442D" w:rsidRDefault="00B2442D">
      <w:pPr>
        <w:spacing w:line="40" w:lineRule="atLeast"/>
        <w:jc w:val="both"/>
        <w:rPr>
          <w:rFonts w:ascii="Arial" w:hAnsi="Arial" w:cs="Arial"/>
        </w:rPr>
      </w:pPr>
    </w:p>
    <w:p w14:paraId="12A5A513"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La factura electrónica de comercio exterior.</w:t>
      </w:r>
      <w:r>
        <w:rPr>
          <w:rFonts w:ascii="Arial" w:hAnsi="Arial" w:cs="Arial"/>
        </w:rPr>
        <w:t xml:space="preserve"> Los sujetos obligados a facturar electrónicamente en el ámbito de la presente Sección, deberán cuando sea del caso, soportar con factura electrónica la venta de biene</w:t>
      </w:r>
      <w:r>
        <w:rPr>
          <w:rFonts w:ascii="Arial" w:hAnsi="Arial" w:cs="Arial"/>
        </w:rPr>
        <w:t>s y/o servicios desde cualquier zona geográfica del Territorio Aduanero Nacional hacia mercados externos. Lo anterior incluye las operaciones de venta de bienes y/o servicios desde zonas francas hacia el exterior.</w:t>
      </w:r>
    </w:p>
    <w:p w14:paraId="77BA7788" w14:textId="77777777" w:rsidR="00B2442D" w:rsidRDefault="00B2442D">
      <w:pPr>
        <w:spacing w:line="40" w:lineRule="atLeast"/>
        <w:jc w:val="both"/>
        <w:rPr>
          <w:rFonts w:ascii="Arial" w:hAnsi="Arial" w:cs="Arial"/>
        </w:rPr>
      </w:pPr>
    </w:p>
    <w:p w14:paraId="47888DFF" w14:textId="77777777" w:rsidR="00B2442D" w:rsidRDefault="008A645F">
      <w:pPr>
        <w:spacing w:line="40" w:lineRule="atLeast"/>
        <w:jc w:val="both"/>
        <w:rPr>
          <w:rFonts w:ascii="Arial" w:hAnsi="Arial" w:cs="Arial"/>
        </w:rPr>
      </w:pPr>
      <w:r>
        <w:rPr>
          <w:rFonts w:ascii="Arial" w:hAnsi="Arial" w:cs="Arial"/>
        </w:rPr>
        <w:t>La entrega de la factura electrónica al a</w:t>
      </w:r>
      <w:r>
        <w:rPr>
          <w:rFonts w:ascii="Arial" w:hAnsi="Arial" w:cs="Arial"/>
        </w:rPr>
        <w:t>dquirente del exterior podrá realizarse, previo acuerdo, en el formato electrónico de generación, en las condiciones de la presente Sección, y a través de los medios igualmente acordados o los que disponga el obligado a facturar electrónicamente. En caso c</w:t>
      </w:r>
      <w:r>
        <w:rPr>
          <w:rFonts w:ascii="Arial" w:hAnsi="Arial" w:cs="Arial"/>
        </w:rPr>
        <w:t>ontrario, el obligado a facturar electrónicamente deberá generarla en este formato y entregarla al adquirente del exterior en representación gráfica en formato impreso o formato digital. En todo caso, el obligado a facturar electrónicamente deberá entregar</w:t>
      </w:r>
      <w:r>
        <w:rPr>
          <w:rFonts w:ascii="Arial" w:hAnsi="Arial" w:cs="Arial"/>
        </w:rPr>
        <w:t xml:space="preserve"> a la </w:t>
      </w:r>
      <w:r>
        <w:rPr>
          <w:rFonts w:ascii="Arial" w:hAnsi="Arial" w:cs="Arial"/>
          <w:lang w:val="es-CO"/>
        </w:rPr>
        <w:t>Unidad Administrativa Especial Dirección de Impuestos y Aduanas Nacionales</w:t>
      </w:r>
      <w:r>
        <w:rPr>
          <w:rFonts w:ascii="Arial" w:hAnsi="Arial" w:cs="Arial"/>
        </w:rPr>
        <w:t>-DIAN el ejemplar en formato electrónico de generación.</w:t>
      </w:r>
    </w:p>
    <w:p w14:paraId="5CBC5790" w14:textId="77777777" w:rsidR="00B2442D" w:rsidRDefault="00B2442D">
      <w:pPr>
        <w:spacing w:line="40" w:lineRule="atLeast"/>
        <w:jc w:val="both"/>
        <w:rPr>
          <w:rFonts w:ascii="Arial" w:hAnsi="Arial" w:cs="Arial"/>
        </w:rPr>
      </w:pPr>
    </w:p>
    <w:p w14:paraId="407806AE" w14:textId="77777777" w:rsidR="00B2442D" w:rsidRDefault="008A645F">
      <w:pPr>
        <w:spacing w:line="40" w:lineRule="atLeast"/>
        <w:jc w:val="both"/>
        <w:rPr>
          <w:rFonts w:ascii="Arial" w:hAnsi="Arial" w:cs="Arial"/>
        </w:rPr>
      </w:pPr>
      <w:r>
        <w:rPr>
          <w:rFonts w:ascii="Arial" w:hAnsi="Arial" w:cs="Arial"/>
        </w:rPr>
        <w:t xml:space="preserve">Lo anterior en concordancia con las disposiciones en materia aduanera de orden nacional o supranacional, de </w:t>
      </w:r>
      <w:r>
        <w:rPr>
          <w:rFonts w:ascii="Arial" w:hAnsi="Arial" w:cs="Arial"/>
        </w:rPr>
        <w:t>comercio electrónico y sin perjuicio de lo dispuesto en tratados internacionales.</w:t>
      </w:r>
    </w:p>
    <w:p w14:paraId="57A5131B" w14:textId="77777777" w:rsidR="00B2442D" w:rsidRDefault="00B2442D">
      <w:pPr>
        <w:spacing w:line="40" w:lineRule="atLeast"/>
        <w:jc w:val="both"/>
        <w:rPr>
          <w:rFonts w:ascii="Arial" w:hAnsi="Arial" w:cs="Arial"/>
        </w:rPr>
      </w:pPr>
    </w:p>
    <w:p w14:paraId="72DAE11A" w14:textId="77777777" w:rsidR="00B2442D" w:rsidRDefault="008A645F">
      <w:pPr>
        <w:spacing w:line="40" w:lineRule="atLeast"/>
        <w:jc w:val="both"/>
        <w:rPr>
          <w:rFonts w:ascii="Arial" w:hAnsi="Arial" w:cs="Arial"/>
        </w:rPr>
      </w:pPr>
      <w:r>
        <w:rPr>
          <w:rFonts w:ascii="Arial" w:hAnsi="Arial" w:cs="Arial"/>
          <w:b/>
        </w:rPr>
        <w:t>Parágrafo.</w:t>
      </w:r>
      <w:r>
        <w:rPr>
          <w:rFonts w:ascii="Arial" w:hAnsi="Arial" w:cs="Arial"/>
        </w:rPr>
        <w:t xml:space="preserve"> En las operaciones de venta de bienes y/o servicios al interior de zonas francas o desde zonas francas hacia el resto del Territorio Aduanero Nacional y desde ést</w:t>
      </w:r>
      <w:r>
        <w:rPr>
          <w:rFonts w:ascii="Arial" w:hAnsi="Arial" w:cs="Arial"/>
        </w:rPr>
        <w:t>e hacia zonas francas, aplican en general, las disposiciones de la presente Sección.</w:t>
      </w:r>
    </w:p>
    <w:p w14:paraId="51FA8AAB" w14:textId="77777777" w:rsidR="00B2442D" w:rsidRDefault="00B2442D">
      <w:pPr>
        <w:spacing w:line="40" w:lineRule="atLeast"/>
        <w:jc w:val="both"/>
        <w:rPr>
          <w:rFonts w:ascii="Arial" w:hAnsi="Arial" w:cs="Arial"/>
        </w:rPr>
      </w:pPr>
    </w:p>
    <w:p w14:paraId="13A6B570" w14:textId="77777777" w:rsidR="00B2442D" w:rsidRDefault="008A645F">
      <w:pPr>
        <w:jc w:val="both"/>
        <w:rPr>
          <w:rFonts w:ascii="Arial" w:hAnsi="Arial" w:cs="Arial"/>
          <w:i/>
          <w:lang w:val="es-CO"/>
        </w:rPr>
      </w:pPr>
      <w:r>
        <w:rPr>
          <w:rFonts w:ascii="Arial" w:hAnsi="Arial" w:cs="Arial"/>
          <w:i/>
          <w:lang w:val="es-CO"/>
        </w:rPr>
        <w:t>(Art. 18, Decreto 2242 de 2015)</w:t>
      </w:r>
    </w:p>
    <w:p w14:paraId="7D8B5211" w14:textId="77777777" w:rsidR="00B2442D" w:rsidRDefault="00B2442D">
      <w:pPr>
        <w:spacing w:line="40" w:lineRule="atLeast"/>
        <w:jc w:val="both"/>
        <w:rPr>
          <w:rFonts w:ascii="Arial" w:hAnsi="Arial" w:cs="Arial"/>
        </w:rPr>
      </w:pPr>
    </w:p>
    <w:p w14:paraId="64D841D9"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Otras disposiciones.</w:t>
      </w:r>
      <w:r>
        <w:rPr>
          <w:rFonts w:ascii="Arial" w:hAnsi="Arial" w:cs="Arial"/>
        </w:rPr>
        <w:t xml:space="preserve"> La </w:t>
      </w:r>
      <w:r>
        <w:rPr>
          <w:rFonts w:ascii="Arial" w:hAnsi="Arial" w:cs="Arial"/>
          <w:lang w:val="es-CO"/>
        </w:rPr>
        <w:t>Unidad Administrativa Especial  Dirección de Impuestos y Aduanas Nacionales</w:t>
      </w:r>
      <w:r>
        <w:rPr>
          <w:rFonts w:ascii="Arial" w:hAnsi="Arial" w:cs="Arial"/>
        </w:rPr>
        <w:t xml:space="preserve">-DIAN mediante resolución, </w:t>
      </w:r>
      <w:r>
        <w:rPr>
          <w:rFonts w:ascii="Arial" w:hAnsi="Arial" w:cs="Arial"/>
        </w:rPr>
        <w:t>deberá:</w:t>
      </w:r>
    </w:p>
    <w:p w14:paraId="5762FC6B" w14:textId="77777777" w:rsidR="00B2442D" w:rsidRDefault="00B2442D">
      <w:pPr>
        <w:spacing w:line="40" w:lineRule="atLeast"/>
        <w:jc w:val="both"/>
        <w:rPr>
          <w:rFonts w:ascii="Arial" w:hAnsi="Arial" w:cs="Arial"/>
        </w:rPr>
      </w:pPr>
    </w:p>
    <w:p w14:paraId="0B7A85DE" w14:textId="77777777" w:rsidR="00B2442D" w:rsidRDefault="008A645F">
      <w:pPr>
        <w:spacing w:line="40" w:lineRule="atLeast"/>
        <w:jc w:val="both"/>
        <w:rPr>
          <w:rFonts w:ascii="Arial" w:hAnsi="Arial" w:cs="Arial"/>
        </w:rPr>
      </w:pPr>
      <w:r>
        <w:rPr>
          <w:rFonts w:ascii="Arial" w:hAnsi="Arial" w:cs="Arial"/>
        </w:rPr>
        <w:t>1. Establecer dentro de los tres (3) meses siguientes al 24 de noviembre de 2015 (D. O. 49706), el formato electrónico de generación XML estándar de la factura electrónica, los formatos XML correspondientes a las notas crédito, débito, y los forma</w:t>
      </w:r>
      <w:r>
        <w:rPr>
          <w:rFonts w:ascii="Arial" w:hAnsi="Arial" w:cs="Arial"/>
        </w:rPr>
        <w:t>tos alternativos para el recibo y rechazo de la factura electrónica. Adoptar dentro del mismo término, la política de firma a que se refiere el literal d) del numeral 1 del artículo 1.6.1.4.1.3 de este Decreto.</w:t>
      </w:r>
    </w:p>
    <w:p w14:paraId="766E45D3" w14:textId="77777777" w:rsidR="00B2442D" w:rsidRDefault="00B2442D">
      <w:pPr>
        <w:spacing w:line="40" w:lineRule="atLeast"/>
        <w:jc w:val="both"/>
        <w:rPr>
          <w:rFonts w:ascii="Arial" w:hAnsi="Arial" w:cs="Arial"/>
        </w:rPr>
      </w:pPr>
    </w:p>
    <w:p w14:paraId="7F79A7FC" w14:textId="77777777" w:rsidR="00B2442D" w:rsidRDefault="008A645F">
      <w:pPr>
        <w:spacing w:line="40" w:lineRule="atLeast"/>
        <w:jc w:val="both"/>
        <w:rPr>
          <w:rFonts w:ascii="Arial" w:hAnsi="Arial" w:cs="Arial"/>
        </w:rPr>
      </w:pPr>
      <w:r>
        <w:rPr>
          <w:rFonts w:ascii="Arial" w:hAnsi="Arial" w:cs="Arial"/>
        </w:rPr>
        <w:t>2. Establecer dentro de los cuatro (4) meses</w:t>
      </w:r>
      <w:r>
        <w:rPr>
          <w:rFonts w:ascii="Arial" w:hAnsi="Arial" w:cs="Arial"/>
        </w:rPr>
        <w:t xml:space="preserve"> siguientes al 24 de noviembre de 2015 (D. O. 49706), los procedimientos que deberán agotar los sujetos del ámbito del mismo, así como las condiciones de operatividad tecnológica que deberán cumplir, con el fin de ser habilitados para expedir factura elect</w:t>
      </w:r>
      <w:r>
        <w:rPr>
          <w:rFonts w:ascii="Arial" w:hAnsi="Arial" w:cs="Arial"/>
        </w:rPr>
        <w:t>rónica; así mismo, los procedimientos que deben surtir y las condiciones que deben cumplir los proveedores tecnológicos con el fin de obtener la autorización para prestar los servicios asociados a la facturación electrónica, cuando sea el caso.</w:t>
      </w:r>
    </w:p>
    <w:p w14:paraId="792E63F5" w14:textId="77777777" w:rsidR="00B2442D" w:rsidRDefault="00B2442D">
      <w:pPr>
        <w:spacing w:line="40" w:lineRule="atLeast"/>
        <w:jc w:val="both"/>
        <w:rPr>
          <w:rFonts w:ascii="Arial" w:hAnsi="Arial" w:cs="Arial"/>
        </w:rPr>
      </w:pPr>
    </w:p>
    <w:p w14:paraId="03BDA020" w14:textId="77777777" w:rsidR="00B2442D" w:rsidRDefault="008A645F">
      <w:pPr>
        <w:spacing w:line="40" w:lineRule="atLeast"/>
        <w:jc w:val="both"/>
        <w:rPr>
          <w:rFonts w:ascii="Arial" w:hAnsi="Arial" w:cs="Arial"/>
        </w:rPr>
      </w:pPr>
      <w:r>
        <w:rPr>
          <w:rFonts w:ascii="Arial" w:hAnsi="Arial" w:cs="Arial"/>
        </w:rPr>
        <w:t>3. Adecuar</w:t>
      </w:r>
      <w:r>
        <w:rPr>
          <w:rFonts w:ascii="Arial" w:hAnsi="Arial" w:cs="Arial"/>
        </w:rPr>
        <w:t xml:space="preserve"> dentro de los seis (6) meses siguientes al 24 de noviembre de 2015 (D. O. 49706), las disposiciones relacionadas con la numeración y los procedimientos correspondientes, incluida la autorización al proveedor tecnológico para recibir la numeración respecti</w:t>
      </w:r>
      <w:r>
        <w:rPr>
          <w:rFonts w:ascii="Arial" w:hAnsi="Arial" w:cs="Arial"/>
        </w:rPr>
        <w:t>va, si fuere el caso, y lo pertinente para la inhabilitación de la numeración asociada a la factura electrónica y la factura por computador que se hubieren autorizado conforme con los artículos 1.6.1.4.13 al 1.6.1.4.23 del presente Decreto y el artículo 1.</w:t>
      </w:r>
      <w:r>
        <w:rPr>
          <w:rFonts w:ascii="Arial" w:hAnsi="Arial" w:cs="Arial"/>
        </w:rPr>
        <w:t xml:space="preserve">6.1.4.7 del presente Decreto  y sus reglamentos, y la factura por talonario, cuando fuere el caso; así como establecer los procedimientos, elementos y condiciones necesarias para la asignación de la clave de contenido técnico de control y la obtención del </w:t>
      </w:r>
      <w:r>
        <w:rPr>
          <w:rFonts w:ascii="Arial" w:hAnsi="Arial" w:cs="Arial"/>
        </w:rPr>
        <w:t>Código Único de Factura Electrónica por el obligado a facturar o su proveedor tecnológico, cuando así lo autorice para este efecto.</w:t>
      </w:r>
    </w:p>
    <w:p w14:paraId="1CB49151" w14:textId="77777777" w:rsidR="00B2442D" w:rsidRDefault="00B2442D">
      <w:pPr>
        <w:spacing w:line="40" w:lineRule="atLeast"/>
        <w:jc w:val="both"/>
        <w:rPr>
          <w:rFonts w:ascii="Arial" w:hAnsi="Arial" w:cs="Arial"/>
        </w:rPr>
      </w:pPr>
    </w:p>
    <w:p w14:paraId="563791E9" w14:textId="77777777" w:rsidR="00B2442D" w:rsidRDefault="008A645F">
      <w:pPr>
        <w:spacing w:line="40" w:lineRule="atLeast"/>
        <w:jc w:val="both"/>
        <w:rPr>
          <w:rFonts w:ascii="Arial" w:hAnsi="Arial" w:cs="Arial"/>
        </w:rPr>
      </w:pPr>
      <w:r>
        <w:rPr>
          <w:rFonts w:ascii="Arial" w:hAnsi="Arial" w:cs="Arial"/>
        </w:rPr>
        <w:t>4. Poner a disposición de los obligados a facturar electrónicamente y adquirentes que opten por recibir factura electrónica</w:t>
      </w:r>
      <w:r>
        <w:rPr>
          <w:rFonts w:ascii="Arial" w:hAnsi="Arial" w:cs="Arial"/>
        </w:rPr>
        <w:t xml:space="preserve"> en formato electrónico de generación, a más tardar dentro de los seis (6) meses siguientes al 24 de noviembre de 2015 (D. O. 49706), los servicios informáticos y tecnológicos correspondientes al Catálogo de Participantes de Factura Electrónica y los neces</w:t>
      </w:r>
      <w:r>
        <w:rPr>
          <w:rFonts w:ascii="Arial" w:hAnsi="Arial" w:cs="Arial"/>
        </w:rPr>
        <w:t>arios para el recibo y verificación del ejemplar de factura electrónica suministrado a la DIAN.</w:t>
      </w:r>
    </w:p>
    <w:p w14:paraId="2CE58E68" w14:textId="77777777" w:rsidR="00B2442D" w:rsidRDefault="00B2442D">
      <w:pPr>
        <w:spacing w:line="40" w:lineRule="atLeast"/>
        <w:jc w:val="both"/>
        <w:rPr>
          <w:rFonts w:ascii="Arial" w:hAnsi="Arial" w:cs="Arial"/>
        </w:rPr>
      </w:pPr>
    </w:p>
    <w:p w14:paraId="7D9501CC" w14:textId="77777777" w:rsidR="00B2442D" w:rsidRDefault="008A645F">
      <w:pPr>
        <w:spacing w:line="40" w:lineRule="atLeast"/>
        <w:jc w:val="both"/>
        <w:rPr>
          <w:rFonts w:ascii="Arial" w:hAnsi="Arial" w:cs="Arial"/>
        </w:rPr>
      </w:pPr>
      <w:r>
        <w:rPr>
          <w:rFonts w:ascii="Arial" w:hAnsi="Arial" w:cs="Arial"/>
        </w:rPr>
        <w:t>5. Poner a disposición de los obligados a facturar electrónicamente en el ámbito de la presente Sección, dentro los seis (6) meses siguientes a su publicación,</w:t>
      </w:r>
      <w:r>
        <w:rPr>
          <w:rFonts w:ascii="Arial" w:hAnsi="Arial" w:cs="Arial"/>
        </w:rPr>
        <w:t xml:space="preserve"> un ambiente de pruebas según lo previsto en el artículo 1.6.1.4.1.10 del presente Decreto.</w:t>
      </w:r>
    </w:p>
    <w:p w14:paraId="5872DD07" w14:textId="77777777" w:rsidR="00B2442D" w:rsidRDefault="00B2442D">
      <w:pPr>
        <w:spacing w:line="40" w:lineRule="atLeast"/>
        <w:jc w:val="both"/>
        <w:rPr>
          <w:rFonts w:ascii="Arial" w:hAnsi="Arial" w:cs="Arial"/>
        </w:rPr>
      </w:pPr>
    </w:p>
    <w:p w14:paraId="4996415D" w14:textId="77777777" w:rsidR="00B2442D" w:rsidRDefault="008A645F">
      <w:pPr>
        <w:spacing w:line="40" w:lineRule="atLeast"/>
        <w:jc w:val="both"/>
        <w:rPr>
          <w:rFonts w:ascii="Arial" w:hAnsi="Arial" w:cs="Arial"/>
        </w:rPr>
      </w:pPr>
      <w:r>
        <w:rPr>
          <w:rFonts w:ascii="Arial" w:hAnsi="Arial" w:cs="Arial"/>
        </w:rPr>
        <w:t>6. Disponer dentro de los cuatro (4) meses siguientes al 24 de noviembre de 2015 (D. O. 49706) las especificaciones necesarias de los elementos gráficos de control</w:t>
      </w:r>
      <w:r>
        <w:rPr>
          <w:rFonts w:ascii="Arial" w:hAnsi="Arial" w:cs="Arial"/>
        </w:rPr>
        <w:t>, tales como códigos de barras y/o bidimensionales que debe incorporar la factura electrónica cuando sea entregada en representación gráfica en formato impreso o formato digital.</w:t>
      </w:r>
    </w:p>
    <w:p w14:paraId="2456753D" w14:textId="77777777" w:rsidR="00B2442D" w:rsidRDefault="00B2442D">
      <w:pPr>
        <w:spacing w:line="40" w:lineRule="atLeast"/>
        <w:jc w:val="both"/>
        <w:rPr>
          <w:rFonts w:ascii="Arial" w:hAnsi="Arial" w:cs="Arial"/>
        </w:rPr>
      </w:pPr>
    </w:p>
    <w:p w14:paraId="23DC6095" w14:textId="77777777" w:rsidR="00B2442D" w:rsidRDefault="008A645F">
      <w:pPr>
        <w:spacing w:line="40" w:lineRule="atLeast"/>
        <w:jc w:val="both"/>
        <w:rPr>
          <w:rFonts w:ascii="Arial" w:hAnsi="Arial" w:cs="Arial"/>
        </w:rPr>
      </w:pPr>
      <w:r>
        <w:rPr>
          <w:rFonts w:ascii="Arial" w:hAnsi="Arial" w:cs="Arial"/>
        </w:rPr>
        <w:t>7. Establecer a más tardar dentro de los cuatro (4) meses siguientes al 24 d</w:t>
      </w:r>
      <w:r>
        <w:rPr>
          <w:rFonts w:ascii="Arial" w:hAnsi="Arial" w:cs="Arial"/>
        </w:rPr>
        <w:t>e noviembre de 2015 (D. O. 49706) las medidas en caso de inconvenientes técnicos y situaciones especiales que deberán operar acorde con lo indicado en el artículo 1.6.1.4.1.8 del mismo.</w:t>
      </w:r>
    </w:p>
    <w:p w14:paraId="5871E92D" w14:textId="77777777" w:rsidR="00B2442D" w:rsidRDefault="00B2442D">
      <w:pPr>
        <w:spacing w:line="40" w:lineRule="atLeast"/>
        <w:jc w:val="both"/>
        <w:rPr>
          <w:rFonts w:ascii="Arial" w:hAnsi="Arial" w:cs="Arial"/>
        </w:rPr>
      </w:pPr>
    </w:p>
    <w:p w14:paraId="250B5444" w14:textId="77777777" w:rsidR="00B2442D" w:rsidRDefault="008A645F">
      <w:pPr>
        <w:spacing w:line="40" w:lineRule="atLeast"/>
        <w:jc w:val="both"/>
        <w:rPr>
          <w:rFonts w:ascii="Arial" w:hAnsi="Arial" w:cs="Arial"/>
        </w:rPr>
      </w:pPr>
      <w:r>
        <w:rPr>
          <w:rFonts w:ascii="Arial" w:hAnsi="Arial" w:cs="Arial"/>
        </w:rPr>
        <w:t>8. Señalar dentro de los cuatro (4) meses siguientes al 24 de noviemb</w:t>
      </w:r>
      <w:r>
        <w:rPr>
          <w:rFonts w:ascii="Arial" w:hAnsi="Arial" w:cs="Arial"/>
        </w:rPr>
        <w:t>re de 2015 (D. O. 49706), las especificaciones técnicas de la información que debe ser entregada a la DIAN por los obligados a facturar electrónicamente, de acuerdo con el numeral 1 del artículo 1.6.1.4.1.9 del presente Decreto.</w:t>
      </w:r>
    </w:p>
    <w:p w14:paraId="3EAC8447" w14:textId="77777777" w:rsidR="00B2442D" w:rsidRDefault="00B2442D">
      <w:pPr>
        <w:spacing w:line="40" w:lineRule="atLeast"/>
        <w:jc w:val="both"/>
        <w:rPr>
          <w:rFonts w:ascii="Arial" w:hAnsi="Arial" w:cs="Arial"/>
        </w:rPr>
      </w:pPr>
    </w:p>
    <w:p w14:paraId="7B5B6DE2" w14:textId="77777777" w:rsidR="00B2442D" w:rsidRDefault="008A645F">
      <w:pPr>
        <w:spacing w:line="40" w:lineRule="atLeast"/>
        <w:jc w:val="both"/>
        <w:rPr>
          <w:rFonts w:ascii="Arial" w:hAnsi="Arial" w:cs="Arial"/>
        </w:rPr>
      </w:pPr>
      <w:r>
        <w:rPr>
          <w:rFonts w:ascii="Arial" w:hAnsi="Arial" w:cs="Arial"/>
          <w:b/>
        </w:rPr>
        <w:t xml:space="preserve">Parágrafo. </w:t>
      </w:r>
      <w:r>
        <w:rPr>
          <w:rFonts w:ascii="Arial" w:hAnsi="Arial" w:cs="Arial"/>
        </w:rPr>
        <w:t xml:space="preserve">Cuando la </w:t>
      </w:r>
      <w:r>
        <w:rPr>
          <w:rFonts w:ascii="Arial" w:hAnsi="Arial" w:cs="Arial"/>
          <w:lang w:val="es-CO"/>
        </w:rPr>
        <w:t>Unida</w:t>
      </w:r>
      <w:r>
        <w:rPr>
          <w:rFonts w:ascii="Arial" w:hAnsi="Arial" w:cs="Arial"/>
          <w:lang w:val="es-CO"/>
        </w:rPr>
        <w:t xml:space="preserve">d Administrativa Especial  Dirección de Impuestos y Aduanas Nacionales </w:t>
      </w:r>
      <w:r>
        <w:rPr>
          <w:rFonts w:ascii="Arial" w:hAnsi="Arial" w:cs="Arial"/>
        </w:rPr>
        <w:t xml:space="preserve">-DIAN efectúe modificaciones sobre el formato electrónico de generación de la factura electrónica, notas crédito, débito así como sobre los formatos alternativos para efectos de recibo </w:t>
      </w:r>
      <w:r>
        <w:rPr>
          <w:rFonts w:ascii="Arial" w:hAnsi="Arial" w:cs="Arial"/>
        </w:rPr>
        <w:t>o rechazo de la factura electrónica y/o de los servicios informáticos electrónicos dispuestos por la Entidad en relación con la factura electrónica y/o sobre los procedimientos establecidos, deberá adoptarlas mediante resolución de carácter general; las mo</w:t>
      </w:r>
      <w:r>
        <w:rPr>
          <w:rFonts w:ascii="Arial" w:hAnsi="Arial" w:cs="Arial"/>
        </w:rPr>
        <w:t>dificaciones que se establezcan aplicarán mínimo dentro de los tres (3) meses siguientes a su publicación.</w:t>
      </w:r>
    </w:p>
    <w:p w14:paraId="7D936BFC" w14:textId="77777777" w:rsidR="00B2442D" w:rsidRDefault="00B2442D">
      <w:pPr>
        <w:spacing w:line="40" w:lineRule="atLeast"/>
        <w:jc w:val="both"/>
        <w:rPr>
          <w:rFonts w:ascii="Arial" w:hAnsi="Arial" w:cs="Arial"/>
        </w:rPr>
      </w:pPr>
    </w:p>
    <w:p w14:paraId="1BA2B08A" w14:textId="77777777" w:rsidR="00B2442D" w:rsidRDefault="008A645F">
      <w:pPr>
        <w:jc w:val="both"/>
        <w:rPr>
          <w:rFonts w:ascii="Arial" w:hAnsi="Arial" w:cs="Arial"/>
          <w:i/>
          <w:lang w:val="es-CO"/>
        </w:rPr>
      </w:pPr>
      <w:r>
        <w:rPr>
          <w:rFonts w:ascii="Arial" w:hAnsi="Arial" w:cs="Arial"/>
          <w:i/>
          <w:lang w:val="es-CO"/>
        </w:rPr>
        <w:t>(Art. 19, Decreto 2242 de 2015)</w:t>
      </w:r>
    </w:p>
    <w:p w14:paraId="4B5B59B3" w14:textId="77777777" w:rsidR="00B2442D" w:rsidRDefault="00B2442D">
      <w:pPr>
        <w:spacing w:line="40" w:lineRule="atLeast"/>
        <w:jc w:val="both"/>
        <w:rPr>
          <w:rFonts w:ascii="Arial" w:hAnsi="Arial" w:cs="Arial"/>
        </w:rPr>
      </w:pPr>
    </w:p>
    <w:p w14:paraId="0A8D1161" w14:textId="77777777" w:rsidR="00B2442D" w:rsidRDefault="008A645F">
      <w:pPr>
        <w:pStyle w:val="Prrafodelista"/>
        <w:numPr>
          <w:ilvl w:val="0"/>
          <w:numId w:val="154"/>
        </w:numPr>
        <w:spacing w:line="40" w:lineRule="atLeast"/>
        <w:ind w:left="0" w:firstLine="0"/>
        <w:jc w:val="both"/>
        <w:rPr>
          <w:rFonts w:ascii="Arial" w:hAnsi="Arial" w:cs="Arial"/>
          <w:b/>
          <w:i/>
        </w:rPr>
      </w:pPr>
      <w:r>
        <w:rPr>
          <w:rFonts w:ascii="Arial" w:hAnsi="Arial" w:cs="Arial"/>
          <w:b/>
          <w:i/>
        </w:rPr>
        <w:t>Transición.</w:t>
      </w:r>
    </w:p>
    <w:p w14:paraId="60E0788C" w14:textId="77777777" w:rsidR="00B2442D" w:rsidRDefault="00B2442D">
      <w:pPr>
        <w:spacing w:line="40" w:lineRule="atLeast"/>
        <w:jc w:val="both"/>
        <w:rPr>
          <w:rFonts w:ascii="Arial" w:hAnsi="Arial" w:cs="Arial"/>
        </w:rPr>
      </w:pPr>
    </w:p>
    <w:p w14:paraId="1E7D898C" w14:textId="77777777" w:rsidR="00B2442D" w:rsidRDefault="008A645F">
      <w:pPr>
        <w:spacing w:line="40" w:lineRule="atLeast"/>
        <w:jc w:val="both"/>
        <w:rPr>
          <w:rFonts w:ascii="Arial" w:hAnsi="Arial" w:cs="Arial"/>
        </w:rPr>
      </w:pPr>
      <w:r>
        <w:rPr>
          <w:rFonts w:ascii="Arial" w:hAnsi="Arial" w:cs="Arial"/>
        </w:rPr>
        <w:t>1. Una vez los obligados a facturar electrónicamente sean habilitados de conformidad con lo establecido en el artículo 1.6.1.4.1.10 del presente Decreto y deban comenzar a expedir factura electrónica bajo las condiciones establecidas en el mismo, deberán c</w:t>
      </w:r>
      <w:r>
        <w:rPr>
          <w:rFonts w:ascii="Arial" w:hAnsi="Arial" w:cs="Arial"/>
        </w:rPr>
        <w:t xml:space="preserve">esar la expedición de la factura electrónica prevista en los artículos 1.6.1.4.13 al 1.6.1.4.23 del presente Decreto y/o la factura por computador prevista en el artículo 1.6.1.4.7 del presente Decreto y sus reglamentos, así como la factura por talonario, </w:t>
      </w:r>
      <w:r>
        <w:rPr>
          <w:rFonts w:ascii="Arial" w:hAnsi="Arial" w:cs="Arial"/>
        </w:rPr>
        <w:t xml:space="preserve">si fuere el caso. La numeración autorizada en estos eventos será inhabilitada, debiendo seguir para el efecto el procedimiento que señale la </w:t>
      </w:r>
      <w:r>
        <w:rPr>
          <w:rFonts w:ascii="Arial" w:hAnsi="Arial" w:cs="Arial"/>
          <w:lang w:val="es-CO"/>
        </w:rPr>
        <w:t>Unidad Administrativa Especial Dirección de Impuestos y Aduanas Nacionales</w:t>
      </w:r>
      <w:r>
        <w:rPr>
          <w:rFonts w:ascii="Arial" w:hAnsi="Arial" w:cs="Arial"/>
        </w:rPr>
        <w:t>-DIAN.</w:t>
      </w:r>
    </w:p>
    <w:p w14:paraId="51128EE8" w14:textId="77777777" w:rsidR="00B2442D" w:rsidRDefault="00B2442D">
      <w:pPr>
        <w:spacing w:line="40" w:lineRule="atLeast"/>
        <w:jc w:val="both"/>
        <w:rPr>
          <w:rFonts w:ascii="Arial" w:hAnsi="Arial" w:cs="Arial"/>
        </w:rPr>
      </w:pPr>
    </w:p>
    <w:p w14:paraId="50014C52" w14:textId="77777777" w:rsidR="00B2442D" w:rsidRDefault="008A645F">
      <w:pPr>
        <w:spacing w:line="40" w:lineRule="atLeast"/>
        <w:jc w:val="both"/>
        <w:rPr>
          <w:rFonts w:ascii="Arial" w:hAnsi="Arial" w:cs="Arial"/>
        </w:rPr>
      </w:pPr>
      <w:r>
        <w:rPr>
          <w:rFonts w:ascii="Arial" w:hAnsi="Arial" w:cs="Arial"/>
        </w:rPr>
        <w:t>Las operaciones que el obligado v</w:t>
      </w:r>
      <w:r>
        <w:rPr>
          <w:rFonts w:ascii="Arial" w:hAnsi="Arial" w:cs="Arial"/>
        </w:rPr>
        <w:t>enía facturando en cualquiera de las formas de que trata este numeral deberán en adelante ser facturadas electrónicamente, en las condiciones de esta Sección.</w:t>
      </w:r>
    </w:p>
    <w:p w14:paraId="5CD9D129" w14:textId="77777777" w:rsidR="00B2442D" w:rsidRDefault="00B2442D">
      <w:pPr>
        <w:spacing w:line="40" w:lineRule="atLeast"/>
        <w:jc w:val="both"/>
        <w:rPr>
          <w:rFonts w:ascii="Arial" w:hAnsi="Arial" w:cs="Arial"/>
        </w:rPr>
      </w:pPr>
    </w:p>
    <w:p w14:paraId="2B39F6E6" w14:textId="77777777" w:rsidR="00B2442D" w:rsidRDefault="008A645F">
      <w:pPr>
        <w:spacing w:line="40" w:lineRule="atLeast"/>
        <w:jc w:val="both"/>
        <w:rPr>
          <w:rFonts w:ascii="Arial" w:hAnsi="Arial" w:cs="Arial"/>
        </w:rPr>
      </w:pPr>
      <w:r>
        <w:rPr>
          <w:rFonts w:ascii="Arial" w:hAnsi="Arial" w:cs="Arial"/>
        </w:rPr>
        <w:t>2. Quienes con anterioridad al 24 de noviembre de 2015 (D. O. 49.706) expidan factura electrónic</w:t>
      </w:r>
      <w:r>
        <w:rPr>
          <w:rFonts w:ascii="Arial" w:hAnsi="Arial" w:cs="Arial"/>
        </w:rPr>
        <w:t xml:space="preserve">a y/o por computador de acuerdo con los artículos 1.6.1.4.13 al 1.6.1.4.23 y/o el artículo 1.6.1.4.7 del presente Decreto y sus reglamentos, o por talonario, podrán continuar facturando en tales condiciones. En caso de ser elegidos por la </w:t>
      </w:r>
      <w:r>
        <w:rPr>
          <w:rFonts w:ascii="Arial" w:hAnsi="Arial" w:cs="Arial"/>
          <w:lang w:val="es-CO"/>
        </w:rPr>
        <w:t>Unidad Administra</w:t>
      </w:r>
      <w:r>
        <w:rPr>
          <w:rFonts w:ascii="Arial" w:hAnsi="Arial" w:cs="Arial"/>
          <w:lang w:val="es-CO"/>
        </w:rPr>
        <w:t>tiva Especial Dirección de Impuestos y Aduanas Nacionales</w:t>
      </w:r>
      <w:r>
        <w:rPr>
          <w:rFonts w:ascii="Arial" w:hAnsi="Arial" w:cs="Arial"/>
        </w:rPr>
        <w:t>-DIAN u optar voluntariamente por facturar electrónicamente de conformidad con la presente Sección, seguirán la disposición del numeral anterior.</w:t>
      </w:r>
    </w:p>
    <w:p w14:paraId="69C1A9B2" w14:textId="77777777" w:rsidR="00B2442D" w:rsidRDefault="00B2442D">
      <w:pPr>
        <w:spacing w:line="40" w:lineRule="atLeast"/>
        <w:jc w:val="both"/>
        <w:rPr>
          <w:rFonts w:ascii="Arial" w:hAnsi="Arial" w:cs="Arial"/>
        </w:rPr>
      </w:pPr>
    </w:p>
    <w:p w14:paraId="45981131" w14:textId="77777777" w:rsidR="00B2442D" w:rsidRDefault="008A645F">
      <w:pPr>
        <w:spacing w:line="40" w:lineRule="atLeast"/>
        <w:jc w:val="both"/>
        <w:rPr>
          <w:rFonts w:ascii="Arial" w:hAnsi="Arial" w:cs="Arial"/>
        </w:rPr>
      </w:pPr>
      <w:r>
        <w:rPr>
          <w:rFonts w:ascii="Arial" w:hAnsi="Arial" w:cs="Arial"/>
        </w:rPr>
        <w:t>3. Quienes para 24 de noviembre de 2015 hayan inicia</w:t>
      </w:r>
      <w:r>
        <w:rPr>
          <w:rFonts w:ascii="Arial" w:hAnsi="Arial" w:cs="Arial"/>
        </w:rPr>
        <w:t xml:space="preserve">do ante la </w:t>
      </w:r>
      <w:r>
        <w:rPr>
          <w:rFonts w:ascii="Arial" w:hAnsi="Arial" w:cs="Arial"/>
          <w:lang w:val="es-CO"/>
        </w:rPr>
        <w:t>Unidad Administrativa Especial  Dirección de Impuestos y Aduanas Nacionales</w:t>
      </w:r>
      <w:r>
        <w:rPr>
          <w:rFonts w:ascii="Arial" w:hAnsi="Arial" w:cs="Arial"/>
        </w:rPr>
        <w:t>-DIAN el procedimiento para comenzar a facturar electrónicamente en las condiciones de los artículos 1.6.1.4.13 al 1.6.1.4.23 del presente Decreto y la Resolución 14465 d</w:t>
      </w:r>
      <w:r>
        <w:rPr>
          <w:rFonts w:ascii="Arial" w:hAnsi="Arial" w:cs="Arial"/>
        </w:rPr>
        <w:t xml:space="preserve">el mismo año, podrán culminarlos. Estos sujetos, una vez sean elegidos por la </w:t>
      </w:r>
      <w:r>
        <w:rPr>
          <w:rFonts w:ascii="Arial" w:hAnsi="Arial" w:cs="Arial"/>
          <w:lang w:val="es-CO"/>
        </w:rPr>
        <w:t>Unidad Administrativa Especial  Dirección de Impuestos y Aduanas Nacionales</w:t>
      </w:r>
      <w:r>
        <w:rPr>
          <w:rFonts w:ascii="Arial" w:hAnsi="Arial" w:cs="Arial"/>
        </w:rPr>
        <w:t>-DIAN para facturar electrónicamente de conformidad con la presente Sección u opten voluntariamente por</w:t>
      </w:r>
      <w:r>
        <w:rPr>
          <w:rFonts w:ascii="Arial" w:hAnsi="Arial" w:cs="Arial"/>
        </w:rPr>
        <w:t xml:space="preserve"> expedir factura electrónica de acuerdo con el mismo, darán aplicación a lo señalado en el numeral primero de este artículo.</w:t>
      </w:r>
    </w:p>
    <w:p w14:paraId="75D8647B" w14:textId="77777777" w:rsidR="00B2442D" w:rsidRDefault="00B2442D">
      <w:pPr>
        <w:spacing w:line="40" w:lineRule="atLeast"/>
        <w:jc w:val="both"/>
        <w:rPr>
          <w:rFonts w:ascii="Arial" w:hAnsi="Arial" w:cs="Arial"/>
        </w:rPr>
      </w:pPr>
    </w:p>
    <w:p w14:paraId="0993C12B" w14:textId="77777777" w:rsidR="00B2442D" w:rsidRDefault="008A645F">
      <w:pPr>
        <w:spacing w:line="40" w:lineRule="atLeast"/>
        <w:jc w:val="both"/>
        <w:rPr>
          <w:rFonts w:ascii="Arial" w:hAnsi="Arial" w:cs="Arial"/>
        </w:rPr>
      </w:pPr>
      <w:r>
        <w:rPr>
          <w:rFonts w:ascii="Arial" w:hAnsi="Arial" w:cs="Arial"/>
        </w:rPr>
        <w:t>A partir del 24 de noviembre de 2015 (D.O. 49.706) no habrá lugar a iniciar el procedimiento para facturar electrónicamente confor</w:t>
      </w:r>
      <w:r>
        <w:rPr>
          <w:rFonts w:ascii="Arial" w:hAnsi="Arial" w:cs="Arial"/>
        </w:rPr>
        <w:t>me con los artículos 1.6.1.4.13 al 1.6.1.4.23 del presente Decreto y sus reglamentos.</w:t>
      </w:r>
    </w:p>
    <w:p w14:paraId="0466331D" w14:textId="77777777" w:rsidR="00B2442D" w:rsidRDefault="00B2442D">
      <w:pPr>
        <w:spacing w:line="40" w:lineRule="atLeast"/>
        <w:jc w:val="both"/>
        <w:rPr>
          <w:rFonts w:ascii="Arial" w:hAnsi="Arial" w:cs="Arial"/>
        </w:rPr>
      </w:pPr>
    </w:p>
    <w:p w14:paraId="5FC3A49E" w14:textId="77777777" w:rsidR="00B2442D" w:rsidRDefault="008A645F">
      <w:pPr>
        <w:spacing w:line="40" w:lineRule="atLeast"/>
        <w:jc w:val="both"/>
        <w:rPr>
          <w:rFonts w:ascii="Arial" w:hAnsi="Arial" w:cs="Arial"/>
        </w:rPr>
      </w:pPr>
      <w:r>
        <w:rPr>
          <w:rFonts w:ascii="Arial" w:hAnsi="Arial" w:cs="Arial"/>
        </w:rPr>
        <w:t>4. Quienes para el 24 de noviembre de 2015 (D. O. 49.706) facturen por computador o quienes con posterioridad a su publicación soliciten esta forma de facturación podrán</w:t>
      </w:r>
      <w:r>
        <w:rPr>
          <w:rFonts w:ascii="Arial" w:hAnsi="Arial" w:cs="Arial"/>
        </w:rPr>
        <w:t xml:space="preserve"> hacerlo, no obstante, una vez sean seleccionados para facturar electrónicamente o entren voluntariamente en esta modalidad deberán dejar de facturar por computador, como se indica en el numeral 1 de este artículo.</w:t>
      </w:r>
    </w:p>
    <w:p w14:paraId="6F8F2D5E" w14:textId="77777777" w:rsidR="00B2442D" w:rsidRDefault="00B2442D">
      <w:pPr>
        <w:spacing w:line="40" w:lineRule="atLeast"/>
        <w:jc w:val="both"/>
        <w:rPr>
          <w:rFonts w:ascii="Arial" w:hAnsi="Arial" w:cs="Arial"/>
        </w:rPr>
      </w:pPr>
    </w:p>
    <w:p w14:paraId="62CC6589" w14:textId="77777777" w:rsidR="00B2442D" w:rsidRDefault="008A645F">
      <w:pPr>
        <w:spacing w:line="40" w:lineRule="atLeast"/>
        <w:jc w:val="both"/>
        <w:rPr>
          <w:rFonts w:ascii="Arial" w:hAnsi="Arial" w:cs="Arial"/>
        </w:rPr>
      </w:pPr>
      <w:r>
        <w:rPr>
          <w:rFonts w:ascii="Arial" w:hAnsi="Arial" w:cs="Arial"/>
        </w:rPr>
        <w:t>La misma regla aplica para quienes factu</w:t>
      </w:r>
      <w:r>
        <w:rPr>
          <w:rFonts w:ascii="Arial" w:hAnsi="Arial" w:cs="Arial"/>
        </w:rPr>
        <w:t xml:space="preserve">ren por talonario y sean elegidos por la </w:t>
      </w:r>
      <w:r>
        <w:rPr>
          <w:rFonts w:ascii="Arial" w:hAnsi="Arial" w:cs="Arial"/>
          <w:lang w:val="es-CO"/>
        </w:rPr>
        <w:t>Unidad Administrativa Especial Dirección de Impuestos y Aduanas Nacionales</w:t>
      </w:r>
      <w:r>
        <w:rPr>
          <w:rFonts w:ascii="Arial" w:hAnsi="Arial" w:cs="Arial"/>
        </w:rPr>
        <w:t>-DIAN u opten voluntariamente por facturar electrónicamente.</w:t>
      </w:r>
    </w:p>
    <w:p w14:paraId="5660124F" w14:textId="77777777" w:rsidR="00B2442D" w:rsidRDefault="00B2442D">
      <w:pPr>
        <w:spacing w:line="40" w:lineRule="atLeast"/>
        <w:jc w:val="both"/>
        <w:rPr>
          <w:rFonts w:ascii="Arial" w:hAnsi="Arial" w:cs="Arial"/>
        </w:rPr>
      </w:pPr>
    </w:p>
    <w:p w14:paraId="3EAB3CDD" w14:textId="77777777" w:rsidR="00B2442D" w:rsidRDefault="008A645F">
      <w:pPr>
        <w:spacing w:line="40" w:lineRule="atLeast"/>
        <w:jc w:val="both"/>
        <w:rPr>
          <w:rFonts w:ascii="Arial" w:hAnsi="Arial" w:cs="Arial"/>
        </w:rPr>
      </w:pPr>
      <w:r>
        <w:rPr>
          <w:rFonts w:ascii="Arial" w:hAnsi="Arial" w:cs="Arial"/>
          <w:b/>
        </w:rPr>
        <w:t xml:space="preserve">Parágrafo: </w:t>
      </w:r>
      <w:r>
        <w:rPr>
          <w:rFonts w:ascii="Arial" w:hAnsi="Arial" w:cs="Arial"/>
        </w:rPr>
        <w:t>En todo caso, la factura electrónica prevista en los artículos 1.6.1</w:t>
      </w:r>
      <w:r>
        <w:rPr>
          <w:rFonts w:ascii="Arial" w:hAnsi="Arial" w:cs="Arial"/>
        </w:rPr>
        <w:t>.4.13 al 1.6.1.4.23 del presente Decreto, tendrá aplicación solamente hasta el 31 de diciembre del año 2017.</w:t>
      </w:r>
    </w:p>
    <w:p w14:paraId="4A4AADCC" w14:textId="77777777" w:rsidR="00B2442D" w:rsidRDefault="00B2442D">
      <w:pPr>
        <w:spacing w:line="40" w:lineRule="atLeast"/>
        <w:jc w:val="both"/>
        <w:rPr>
          <w:rFonts w:ascii="Arial" w:hAnsi="Arial" w:cs="Arial"/>
        </w:rPr>
      </w:pPr>
    </w:p>
    <w:p w14:paraId="2DFA37D6" w14:textId="77777777" w:rsidR="00B2442D" w:rsidRDefault="008A645F">
      <w:pPr>
        <w:jc w:val="both"/>
        <w:rPr>
          <w:rFonts w:ascii="Arial" w:hAnsi="Arial" w:cs="Arial"/>
          <w:i/>
          <w:lang w:val="es-CO"/>
        </w:rPr>
      </w:pPr>
      <w:r>
        <w:rPr>
          <w:rFonts w:ascii="Arial" w:hAnsi="Arial" w:cs="Arial"/>
          <w:i/>
          <w:lang w:val="es-CO"/>
        </w:rPr>
        <w:t>(Art. 20, Decreto 2242 de 2015)</w:t>
      </w:r>
    </w:p>
    <w:p w14:paraId="733CE694" w14:textId="77777777" w:rsidR="00B2442D" w:rsidRDefault="00B2442D">
      <w:pPr>
        <w:spacing w:line="40" w:lineRule="atLeast"/>
        <w:jc w:val="both"/>
        <w:rPr>
          <w:rFonts w:ascii="Arial" w:hAnsi="Arial" w:cs="Arial"/>
        </w:rPr>
      </w:pPr>
    </w:p>
    <w:p w14:paraId="0266B3CE" w14:textId="77777777" w:rsidR="00B2442D" w:rsidRDefault="008A645F">
      <w:pPr>
        <w:pStyle w:val="Prrafodelista"/>
        <w:numPr>
          <w:ilvl w:val="0"/>
          <w:numId w:val="154"/>
        </w:numPr>
        <w:spacing w:line="40" w:lineRule="atLeast"/>
        <w:ind w:left="0" w:firstLine="0"/>
        <w:jc w:val="both"/>
        <w:rPr>
          <w:rFonts w:ascii="Arial" w:hAnsi="Arial" w:cs="Arial"/>
        </w:rPr>
      </w:pPr>
      <w:r>
        <w:rPr>
          <w:rFonts w:ascii="Arial" w:hAnsi="Arial" w:cs="Arial"/>
          <w:b/>
          <w:i/>
        </w:rPr>
        <w:t>Vigencia.</w:t>
      </w:r>
      <w:r>
        <w:rPr>
          <w:rFonts w:ascii="Arial" w:hAnsi="Arial" w:cs="Arial"/>
          <w:b/>
        </w:rPr>
        <w:t xml:space="preserve"> </w:t>
      </w:r>
      <w:r>
        <w:rPr>
          <w:rFonts w:ascii="Arial" w:hAnsi="Arial" w:cs="Arial"/>
        </w:rPr>
        <w:t xml:space="preserve">La presente Sección rige a partir de la fecha de publicación y deroga  </w:t>
      </w:r>
      <w:r>
        <w:rPr>
          <w:rFonts w:ascii="Arial" w:hAnsi="Arial" w:cs="Arial"/>
          <w:color w:val="FFFFFF" w:themeColor="background1"/>
        </w:rPr>
        <w:t>los artículos 1.6.1.4.1.13. al 1</w:t>
      </w:r>
      <w:r>
        <w:rPr>
          <w:rFonts w:ascii="Arial" w:hAnsi="Arial" w:cs="Arial"/>
          <w:color w:val="FFFFFF" w:themeColor="background1"/>
        </w:rPr>
        <w:t xml:space="preserve">.6.1.4.1.21. </w:t>
      </w:r>
      <w:r>
        <w:rPr>
          <w:rFonts w:ascii="Arial" w:hAnsi="Arial" w:cs="Arial"/>
        </w:rPr>
        <w:t>a partir del 1 de enero del año 2018.</w:t>
      </w:r>
    </w:p>
    <w:p w14:paraId="390C9903" w14:textId="77777777" w:rsidR="00B2442D" w:rsidRDefault="00B2442D">
      <w:pPr>
        <w:jc w:val="both"/>
        <w:rPr>
          <w:rFonts w:ascii="Arial" w:hAnsi="Arial" w:cs="Arial"/>
        </w:rPr>
      </w:pPr>
    </w:p>
    <w:p w14:paraId="3356E441" w14:textId="77777777" w:rsidR="00B2442D" w:rsidRDefault="008A645F">
      <w:pPr>
        <w:jc w:val="both"/>
        <w:rPr>
          <w:rFonts w:ascii="Arial" w:hAnsi="Arial" w:cs="Arial"/>
          <w:i/>
          <w:lang w:val="es-CO"/>
        </w:rPr>
      </w:pPr>
      <w:r>
        <w:rPr>
          <w:rFonts w:ascii="Arial" w:hAnsi="Arial" w:cs="Arial"/>
          <w:i/>
          <w:lang w:val="es-CO"/>
        </w:rPr>
        <w:t>(Art. 21, Decreto 2242 de 2015)</w:t>
      </w:r>
    </w:p>
    <w:p w14:paraId="277F6C21" w14:textId="77777777" w:rsidR="00B2442D" w:rsidRDefault="00B2442D">
      <w:pPr>
        <w:jc w:val="both"/>
        <w:rPr>
          <w:rFonts w:ascii="Arial" w:hAnsi="Arial" w:cs="Arial"/>
          <w:lang w:val="es-CO"/>
        </w:rPr>
      </w:pPr>
    </w:p>
    <w:p w14:paraId="5E63F1A6" w14:textId="77777777" w:rsidR="00B2442D" w:rsidRDefault="008A645F">
      <w:pPr>
        <w:pStyle w:val="Ttulo4"/>
      </w:pPr>
      <w:r>
        <w:t>CAPÍTULO 5</w:t>
      </w:r>
    </w:p>
    <w:p w14:paraId="3B3A47F8" w14:textId="77777777" w:rsidR="00B2442D" w:rsidRDefault="008A645F">
      <w:pPr>
        <w:pStyle w:val="Ttulo4"/>
        <w:rPr>
          <w:lang w:val="es-CO"/>
        </w:rPr>
      </w:pPr>
      <w:r>
        <w:rPr>
          <w:lang w:val="es-CO"/>
        </w:rPr>
        <w:t>Declaración del impuesto sobre la renta y complementario</w:t>
      </w:r>
    </w:p>
    <w:p w14:paraId="45E7C6B1" w14:textId="77777777" w:rsidR="00B2442D" w:rsidRDefault="00B2442D">
      <w:pPr>
        <w:rPr>
          <w:rFonts w:ascii="Arial" w:hAnsi="Arial" w:cs="Arial"/>
          <w:lang w:val="es-CO"/>
        </w:rPr>
      </w:pPr>
    </w:p>
    <w:p w14:paraId="67BE46B8" w14:textId="77777777" w:rsidR="00B2442D" w:rsidRDefault="008A645F">
      <w:pPr>
        <w:pStyle w:val="Prrafodelista"/>
        <w:numPr>
          <w:ilvl w:val="0"/>
          <w:numId w:val="107"/>
        </w:numPr>
        <w:ind w:left="0" w:firstLine="0"/>
        <w:jc w:val="both"/>
        <w:rPr>
          <w:rFonts w:ascii="Arial" w:hAnsi="Arial" w:cs="Arial"/>
          <w:lang w:val="es-CO"/>
        </w:rPr>
      </w:pPr>
      <w:r>
        <w:rPr>
          <w:rFonts w:ascii="Arial" w:hAnsi="Arial" w:cs="Arial"/>
          <w:b/>
          <w:i/>
          <w:lang w:val="es-CO"/>
        </w:rPr>
        <w:t>Día de pago para efectos tributarios.</w:t>
      </w:r>
      <w:r>
        <w:rPr>
          <w:rFonts w:ascii="Arial" w:hAnsi="Arial" w:cs="Arial"/>
          <w:lang w:val="es-CO"/>
        </w:rPr>
        <w:t xml:space="preserve"> Para los efectos tributarios a que se refieren los artículos 27, 385 y 386 del Estatuto Tributario, se entenderá como día de pago de la remuneración en moneda extranjera de los funcionarios del servicio exterior del Ministerio de Relaciones Exteriores y d</w:t>
      </w:r>
      <w:r>
        <w:rPr>
          <w:rFonts w:ascii="Arial" w:hAnsi="Arial" w:cs="Arial"/>
          <w:lang w:val="es-CO"/>
        </w:rPr>
        <w:t>e los funcionarios en el exterior de entidades oficiales colombianas, el primer día hábil del mes al cual corresponda el pago.</w:t>
      </w:r>
    </w:p>
    <w:p w14:paraId="09ABF98F" w14:textId="77777777" w:rsidR="00B2442D" w:rsidRDefault="00B2442D">
      <w:pPr>
        <w:jc w:val="both"/>
        <w:rPr>
          <w:rFonts w:ascii="Arial" w:hAnsi="Arial" w:cs="Arial"/>
          <w:lang w:val="es-CO"/>
        </w:rPr>
      </w:pPr>
    </w:p>
    <w:p w14:paraId="259187F7" w14:textId="77777777" w:rsidR="00B2442D" w:rsidRDefault="008A645F">
      <w:pPr>
        <w:jc w:val="both"/>
        <w:rPr>
          <w:rFonts w:ascii="Arial" w:hAnsi="Arial" w:cs="Arial"/>
          <w:i/>
          <w:lang w:val="es-CO"/>
        </w:rPr>
      </w:pPr>
      <w:r>
        <w:rPr>
          <w:rFonts w:ascii="Arial" w:hAnsi="Arial" w:cs="Arial"/>
          <w:i/>
          <w:lang w:val="es-CO"/>
        </w:rPr>
        <w:t>(Art. 1, Decreto 2414 de 2007)</w:t>
      </w:r>
    </w:p>
    <w:p w14:paraId="5B19DE3A" w14:textId="77777777" w:rsidR="00B2442D" w:rsidRDefault="00B2442D">
      <w:pPr>
        <w:jc w:val="both"/>
        <w:rPr>
          <w:rFonts w:ascii="Arial" w:hAnsi="Arial" w:cs="Arial"/>
          <w:lang w:val="es-ES_tradnl"/>
        </w:rPr>
      </w:pPr>
    </w:p>
    <w:p w14:paraId="0A6F4C90" w14:textId="77777777" w:rsidR="00B2442D" w:rsidRDefault="008A645F">
      <w:pPr>
        <w:pStyle w:val="Prrafodelista"/>
        <w:numPr>
          <w:ilvl w:val="0"/>
          <w:numId w:val="166"/>
        </w:numPr>
        <w:ind w:left="0" w:firstLine="0"/>
        <w:jc w:val="both"/>
        <w:rPr>
          <w:rFonts w:ascii="Arial" w:hAnsi="Arial" w:cs="Arial"/>
          <w:lang w:val="es-ES_tradnl"/>
        </w:rPr>
      </w:pPr>
      <w:r>
        <w:rPr>
          <w:rFonts w:ascii="Arial" w:hAnsi="Arial" w:cs="Arial"/>
          <w:b/>
          <w:i/>
          <w:lang w:val="es-ES_tradnl"/>
        </w:rPr>
        <w:t>Documentos soporte de la Declaración del Impuesto sobre la Renta y Complementarios.</w:t>
      </w:r>
      <w:r>
        <w:rPr>
          <w:rFonts w:ascii="Arial" w:hAnsi="Arial" w:cs="Arial"/>
          <w:lang w:val="es-ES_tradnl"/>
        </w:rPr>
        <w:t xml:space="preserve"> Para efectos</w:t>
      </w:r>
      <w:r>
        <w:rPr>
          <w:rFonts w:ascii="Arial" w:hAnsi="Arial" w:cs="Arial"/>
          <w:lang w:val="es-ES_tradnl"/>
        </w:rPr>
        <w:t xml:space="preserve"> de ejercer las facultades de fiscalización sobre la declaración tributaria que se presente por el cambio de titular de la inversión extranjera, los inversionistas extranjeros directamente o a través de su representante, agente o apoderado deberán conserva</w:t>
      </w:r>
      <w:r>
        <w:rPr>
          <w:rFonts w:ascii="Arial" w:hAnsi="Arial" w:cs="Arial"/>
          <w:lang w:val="es-ES_tradnl"/>
        </w:rPr>
        <w:t>r por cada operación o transacción los siguientes documentos, informaciones y pruebas soportes de la declaración, por el término establecido en el artículo 632 del Estatuto Tributario y presentarlos a la Administración Tributaria cuando esta los requiera:</w:t>
      </w:r>
    </w:p>
    <w:p w14:paraId="6AD8DC98" w14:textId="77777777" w:rsidR="00B2442D" w:rsidRDefault="00B2442D">
      <w:pPr>
        <w:jc w:val="both"/>
        <w:rPr>
          <w:rFonts w:ascii="Arial" w:hAnsi="Arial" w:cs="Arial"/>
          <w:lang w:val="es-ES_tradnl"/>
        </w:rPr>
      </w:pPr>
    </w:p>
    <w:p w14:paraId="1C939A79" w14:textId="77777777" w:rsidR="00B2442D" w:rsidRDefault="008A645F">
      <w:pPr>
        <w:jc w:val="both"/>
        <w:rPr>
          <w:rFonts w:ascii="Arial" w:hAnsi="Arial" w:cs="Arial"/>
          <w:lang w:val="es-ES_tradnl"/>
        </w:rPr>
      </w:pPr>
      <w:r>
        <w:rPr>
          <w:rFonts w:ascii="Arial" w:hAnsi="Arial" w:cs="Arial"/>
          <w:lang w:val="es-ES_tradnl"/>
        </w:rPr>
        <w:t>1. Poder otorgado por el cedente de la inversión al apoderado, representante o agente con su protocolo respectivo.</w:t>
      </w:r>
    </w:p>
    <w:p w14:paraId="6599D31F" w14:textId="77777777" w:rsidR="00B2442D" w:rsidRDefault="00B2442D">
      <w:pPr>
        <w:jc w:val="both"/>
        <w:rPr>
          <w:rFonts w:ascii="Arial" w:hAnsi="Arial" w:cs="Arial"/>
          <w:lang w:val="es-ES_tradnl"/>
        </w:rPr>
      </w:pPr>
    </w:p>
    <w:p w14:paraId="59452AD2" w14:textId="77777777" w:rsidR="00B2442D" w:rsidRDefault="008A645F">
      <w:pPr>
        <w:jc w:val="both"/>
        <w:rPr>
          <w:rFonts w:ascii="Arial" w:hAnsi="Arial" w:cs="Arial"/>
          <w:lang w:val="es-ES_tradnl"/>
        </w:rPr>
      </w:pPr>
      <w:r>
        <w:rPr>
          <w:rFonts w:ascii="Arial" w:hAnsi="Arial" w:cs="Arial"/>
          <w:lang w:val="es-ES_tradnl"/>
        </w:rPr>
        <w:t>2. Certificación del revisor fiscal y/o contador público de la sociedad en la que tenga la inversión, en la cual conste el número de accion</w:t>
      </w:r>
      <w:r>
        <w:rPr>
          <w:rFonts w:ascii="Arial" w:hAnsi="Arial" w:cs="Arial"/>
          <w:lang w:val="es-ES_tradnl"/>
        </w:rPr>
        <w:t>es o cuotas de interés social de propiedad del inversionista, fecha y costo de adquisición y valor nominal, cuando se trate de acciones y/o aportes.</w:t>
      </w:r>
    </w:p>
    <w:p w14:paraId="4D889CF8" w14:textId="77777777" w:rsidR="00B2442D" w:rsidRDefault="00B2442D">
      <w:pPr>
        <w:jc w:val="both"/>
        <w:rPr>
          <w:rFonts w:ascii="Arial" w:hAnsi="Arial" w:cs="Arial"/>
          <w:lang w:val="es-ES_tradnl"/>
        </w:rPr>
      </w:pPr>
    </w:p>
    <w:p w14:paraId="0CFAB867" w14:textId="77777777" w:rsidR="00B2442D" w:rsidRDefault="008A645F">
      <w:pPr>
        <w:jc w:val="both"/>
        <w:rPr>
          <w:rFonts w:ascii="Arial" w:hAnsi="Arial" w:cs="Arial"/>
          <w:lang w:val="es-ES_tradnl"/>
        </w:rPr>
      </w:pPr>
      <w:r>
        <w:rPr>
          <w:rFonts w:ascii="Arial" w:hAnsi="Arial" w:cs="Arial"/>
          <w:lang w:val="es-ES_tradnl"/>
        </w:rPr>
        <w:t>3. Explicación detallada de la determinación del costo fiscal de la inversión objeto de la transacción, di</w:t>
      </w:r>
      <w:r>
        <w:rPr>
          <w:rFonts w:ascii="Arial" w:hAnsi="Arial" w:cs="Arial"/>
          <w:lang w:val="es-ES_tradnl"/>
        </w:rPr>
        <w:t xml:space="preserve">scriminando los factores que lo componen tales como fecha, costo de adquisición, prima en colocación de acciones y reajustes anuales si los hubiere. En caso de existir prima en colocación de acciones debe estar certificada por contador público y/o revisor </w:t>
      </w:r>
      <w:r>
        <w:rPr>
          <w:rFonts w:ascii="Arial" w:hAnsi="Arial" w:cs="Arial"/>
          <w:lang w:val="es-ES_tradnl"/>
        </w:rPr>
        <w:t>fiscal.</w:t>
      </w:r>
    </w:p>
    <w:p w14:paraId="098106E3" w14:textId="77777777" w:rsidR="00B2442D" w:rsidRDefault="00B2442D">
      <w:pPr>
        <w:jc w:val="both"/>
        <w:rPr>
          <w:rFonts w:ascii="Arial" w:hAnsi="Arial" w:cs="Arial"/>
          <w:lang w:val="es-ES_tradnl"/>
        </w:rPr>
      </w:pPr>
    </w:p>
    <w:p w14:paraId="35F1E02C" w14:textId="77777777" w:rsidR="00B2442D" w:rsidRDefault="008A645F">
      <w:pPr>
        <w:jc w:val="both"/>
        <w:rPr>
          <w:rFonts w:ascii="Arial" w:hAnsi="Arial" w:cs="Arial"/>
          <w:lang w:val="es-ES_tradnl"/>
        </w:rPr>
      </w:pPr>
      <w:r>
        <w:rPr>
          <w:rFonts w:ascii="Arial" w:hAnsi="Arial" w:cs="Arial"/>
          <w:lang w:val="es-ES_tradnl"/>
        </w:rPr>
        <w:t>4. Certificado del Banco de la República en el que conste el registro de la inversión extranjera objeto de la transacción.</w:t>
      </w:r>
    </w:p>
    <w:p w14:paraId="1B31CA2F" w14:textId="77777777" w:rsidR="00B2442D" w:rsidRDefault="00B2442D">
      <w:pPr>
        <w:jc w:val="both"/>
        <w:rPr>
          <w:rFonts w:ascii="Arial" w:hAnsi="Arial" w:cs="Arial"/>
          <w:lang w:val="es-ES_tradnl"/>
        </w:rPr>
      </w:pPr>
    </w:p>
    <w:p w14:paraId="60262A84" w14:textId="77777777" w:rsidR="00B2442D" w:rsidRDefault="008A645F">
      <w:pPr>
        <w:jc w:val="both"/>
        <w:rPr>
          <w:rFonts w:ascii="Arial" w:hAnsi="Arial" w:cs="Arial"/>
          <w:lang w:val="es-ES_tradnl"/>
        </w:rPr>
      </w:pPr>
      <w:r>
        <w:rPr>
          <w:rFonts w:ascii="Arial" w:hAnsi="Arial" w:cs="Arial"/>
          <w:lang w:val="es-ES_tradnl"/>
        </w:rPr>
        <w:t>5. Estados financieros y notas a los mismos debidamente certificados por el revisor fiscal y/o contador público de la socie</w:t>
      </w:r>
      <w:r>
        <w:rPr>
          <w:rFonts w:ascii="Arial" w:hAnsi="Arial" w:cs="Arial"/>
          <w:lang w:val="es-ES_tradnl"/>
        </w:rPr>
        <w:t>dad receptora a la fecha de transacción o al cierre del período más cercano a la misma, en los que conste el número de acciones o cuotas en circulación a la misma fecha, cuando se trate de acciones y/o aportes en sociedades.</w:t>
      </w:r>
    </w:p>
    <w:p w14:paraId="3339E1B2" w14:textId="77777777" w:rsidR="00B2442D" w:rsidRDefault="00B2442D">
      <w:pPr>
        <w:jc w:val="both"/>
        <w:rPr>
          <w:rFonts w:ascii="Arial" w:hAnsi="Arial" w:cs="Arial"/>
          <w:lang w:val="es-ES_tradnl"/>
        </w:rPr>
      </w:pPr>
    </w:p>
    <w:p w14:paraId="4E94380A" w14:textId="77777777" w:rsidR="00B2442D" w:rsidRDefault="008A645F">
      <w:pPr>
        <w:jc w:val="both"/>
        <w:rPr>
          <w:rFonts w:ascii="Arial" w:hAnsi="Arial" w:cs="Arial"/>
          <w:lang w:val="es-ES_tradnl"/>
        </w:rPr>
      </w:pPr>
      <w:r>
        <w:rPr>
          <w:rFonts w:ascii="Arial" w:hAnsi="Arial" w:cs="Arial"/>
          <w:lang w:val="es-ES_tradnl"/>
        </w:rPr>
        <w:t>6. Certificado de constitución</w:t>
      </w:r>
      <w:r>
        <w:rPr>
          <w:rFonts w:ascii="Arial" w:hAnsi="Arial" w:cs="Arial"/>
          <w:lang w:val="es-ES_tradnl"/>
        </w:rPr>
        <w:t xml:space="preserve"> y gerencia expedido por la Cámara de Comercio del domicilio de la sociedad receptora.</w:t>
      </w:r>
    </w:p>
    <w:p w14:paraId="2736B153" w14:textId="77777777" w:rsidR="00B2442D" w:rsidRDefault="00B2442D">
      <w:pPr>
        <w:jc w:val="both"/>
        <w:rPr>
          <w:rFonts w:ascii="Arial" w:hAnsi="Arial" w:cs="Arial"/>
          <w:lang w:val="es-ES_tradnl"/>
        </w:rPr>
      </w:pPr>
    </w:p>
    <w:p w14:paraId="783D80E2" w14:textId="77777777" w:rsidR="00B2442D" w:rsidRDefault="008A645F">
      <w:pPr>
        <w:jc w:val="both"/>
        <w:rPr>
          <w:rFonts w:ascii="Arial" w:hAnsi="Arial" w:cs="Arial"/>
          <w:lang w:val="es-ES_tradnl"/>
        </w:rPr>
      </w:pPr>
      <w:r>
        <w:rPr>
          <w:rFonts w:ascii="Arial" w:hAnsi="Arial" w:cs="Arial"/>
          <w:lang w:val="es-ES_tradnl"/>
        </w:rPr>
        <w:t>7. Fotocopia de los folios del libro de accionistas de la sociedad receptora en los que conste el registro de las acciones y copia de los títulos endosados.</w:t>
      </w:r>
    </w:p>
    <w:p w14:paraId="6A866618" w14:textId="77777777" w:rsidR="00B2442D" w:rsidRDefault="00B2442D">
      <w:pPr>
        <w:jc w:val="both"/>
        <w:rPr>
          <w:rFonts w:ascii="Arial" w:hAnsi="Arial" w:cs="Arial"/>
          <w:lang w:val="es-ES_tradnl"/>
        </w:rPr>
      </w:pPr>
    </w:p>
    <w:p w14:paraId="41079AA2" w14:textId="77777777" w:rsidR="00B2442D" w:rsidRDefault="008A645F">
      <w:pPr>
        <w:jc w:val="both"/>
        <w:rPr>
          <w:rFonts w:ascii="Arial" w:hAnsi="Arial" w:cs="Arial"/>
          <w:lang w:val="es-ES_tradnl"/>
        </w:rPr>
      </w:pPr>
      <w:r>
        <w:rPr>
          <w:rFonts w:ascii="Arial" w:hAnsi="Arial" w:cs="Arial"/>
          <w:lang w:val="es-ES_tradnl"/>
        </w:rPr>
        <w:t>8. Copia d</w:t>
      </w:r>
      <w:r>
        <w:rPr>
          <w:rFonts w:ascii="Arial" w:hAnsi="Arial" w:cs="Arial"/>
          <w:lang w:val="es-ES_tradnl"/>
        </w:rPr>
        <w:t>e los estados financieros correspondientes a cada uno de los años en que se hayan obtenido las utilidades a que hace referencia el inciso 3 del artículo 36-1 del Estatuto Tributario, adicionando además, la información necesaria para dar aplicación al artíc</w:t>
      </w:r>
      <w:r>
        <w:rPr>
          <w:rFonts w:ascii="Arial" w:hAnsi="Arial" w:cs="Arial"/>
          <w:lang w:val="es-ES_tradnl"/>
        </w:rPr>
        <w:t>ulo 1.2.3.8 del presente Decreto cuando a ello hubiere lugar.</w:t>
      </w:r>
    </w:p>
    <w:p w14:paraId="5BC4129D" w14:textId="77777777" w:rsidR="00B2442D" w:rsidRDefault="00B2442D">
      <w:pPr>
        <w:jc w:val="both"/>
        <w:rPr>
          <w:rFonts w:ascii="Arial" w:hAnsi="Arial" w:cs="Arial"/>
          <w:lang w:val="es-ES_tradnl"/>
        </w:rPr>
      </w:pPr>
    </w:p>
    <w:p w14:paraId="0C0B021B" w14:textId="77777777" w:rsidR="00B2442D" w:rsidRDefault="008A645F">
      <w:pPr>
        <w:jc w:val="both"/>
        <w:rPr>
          <w:rFonts w:ascii="Arial" w:hAnsi="Arial" w:cs="Arial"/>
          <w:lang w:val="es-ES_tradnl"/>
        </w:rPr>
      </w:pPr>
      <w:r>
        <w:rPr>
          <w:rFonts w:ascii="Arial" w:hAnsi="Arial" w:cs="Arial"/>
          <w:lang w:val="es-ES_tradnl"/>
        </w:rPr>
        <w:t>9. Certificación de la respectiva Bolsa de Valores cuando la enajenación se haya efectuado por este medio.</w:t>
      </w:r>
    </w:p>
    <w:p w14:paraId="1D5C7CF5" w14:textId="77777777" w:rsidR="00B2442D" w:rsidRDefault="00B2442D">
      <w:pPr>
        <w:jc w:val="both"/>
        <w:rPr>
          <w:rFonts w:ascii="Arial" w:hAnsi="Arial" w:cs="Arial"/>
          <w:lang w:val="es-ES_tradnl"/>
        </w:rPr>
      </w:pPr>
    </w:p>
    <w:p w14:paraId="003290DC" w14:textId="77777777" w:rsidR="00B2442D" w:rsidRDefault="008A645F">
      <w:pPr>
        <w:jc w:val="both"/>
        <w:rPr>
          <w:rFonts w:ascii="Arial" w:hAnsi="Arial" w:cs="Arial"/>
          <w:lang w:val="es-ES_tradnl"/>
        </w:rPr>
      </w:pPr>
      <w:r>
        <w:rPr>
          <w:rFonts w:ascii="Arial" w:hAnsi="Arial" w:cs="Arial"/>
          <w:lang w:val="es-ES_tradnl"/>
        </w:rPr>
        <w:t xml:space="preserve">10. Documentos que acrediten la fusión o escisión de la sociedad </w:t>
      </w:r>
      <w:r>
        <w:rPr>
          <w:rFonts w:ascii="Arial" w:hAnsi="Arial" w:cs="Arial"/>
          <w:lang w:val="es-ES_tradnl"/>
        </w:rPr>
        <w:t>debidamente protocolizados, cuando sea del caso.</w:t>
      </w:r>
    </w:p>
    <w:p w14:paraId="2EEBF0D6" w14:textId="77777777" w:rsidR="00B2442D" w:rsidRDefault="00B2442D">
      <w:pPr>
        <w:jc w:val="both"/>
        <w:rPr>
          <w:rFonts w:ascii="Arial" w:hAnsi="Arial" w:cs="Arial"/>
          <w:lang w:val="es-ES_tradnl"/>
        </w:rPr>
      </w:pPr>
    </w:p>
    <w:p w14:paraId="2C82FBF7" w14:textId="77777777" w:rsidR="00B2442D" w:rsidRDefault="008A645F">
      <w:pPr>
        <w:jc w:val="both"/>
        <w:rPr>
          <w:rFonts w:ascii="Arial" w:hAnsi="Arial" w:cs="Arial"/>
          <w:lang w:val="es-ES_tradnl"/>
        </w:rPr>
      </w:pPr>
      <w:r>
        <w:rPr>
          <w:rFonts w:ascii="Arial" w:hAnsi="Arial" w:cs="Arial"/>
          <w:lang w:val="es-ES_tradnl"/>
        </w:rPr>
        <w:t>11. Los demás documentos necesarios para soportar la respectiva transacción.</w:t>
      </w:r>
    </w:p>
    <w:p w14:paraId="3808F9C3" w14:textId="77777777" w:rsidR="00B2442D" w:rsidRDefault="00B2442D">
      <w:pPr>
        <w:jc w:val="both"/>
        <w:rPr>
          <w:rFonts w:ascii="Arial" w:hAnsi="Arial" w:cs="Arial"/>
          <w:lang w:val="es-ES_tradnl"/>
        </w:rPr>
      </w:pPr>
    </w:p>
    <w:p w14:paraId="4B628F2C" w14:textId="77777777" w:rsidR="00B2442D" w:rsidRDefault="008A645F">
      <w:pPr>
        <w:jc w:val="both"/>
        <w:rPr>
          <w:rFonts w:ascii="Arial" w:hAnsi="Arial" w:cs="Arial"/>
          <w:i/>
          <w:lang w:val="es-CO"/>
        </w:rPr>
      </w:pPr>
      <w:r>
        <w:rPr>
          <w:rFonts w:ascii="Arial" w:hAnsi="Arial" w:cs="Arial"/>
          <w:i/>
          <w:lang w:val="es-CO"/>
        </w:rPr>
        <w:t>(Art. 3, Decreto 1242 de 2003. Numerales 1 y 5 anulados por el Consejo de Estado Sección IV, Sentencia de octubre 12 de 2006. Se</w:t>
      </w:r>
      <w:r>
        <w:rPr>
          <w:rFonts w:ascii="Arial" w:hAnsi="Arial" w:cs="Arial"/>
          <w:i/>
          <w:lang w:val="es-CO"/>
        </w:rPr>
        <w:t xml:space="preserve"> renumera el artículo)</w:t>
      </w:r>
    </w:p>
    <w:p w14:paraId="1F1B62F4" w14:textId="77777777" w:rsidR="00B2442D" w:rsidRDefault="00B2442D">
      <w:pPr>
        <w:jc w:val="both"/>
        <w:rPr>
          <w:rFonts w:ascii="Arial" w:hAnsi="Arial" w:cs="Arial"/>
          <w:lang w:val="es-ES_tradnl"/>
        </w:rPr>
      </w:pPr>
    </w:p>
    <w:p w14:paraId="78AFE78E" w14:textId="77777777" w:rsidR="00B2442D" w:rsidRDefault="008A645F">
      <w:pPr>
        <w:pStyle w:val="Prrafodelista"/>
        <w:numPr>
          <w:ilvl w:val="0"/>
          <w:numId w:val="166"/>
        </w:numPr>
        <w:ind w:left="0" w:firstLine="0"/>
        <w:jc w:val="both"/>
        <w:rPr>
          <w:rFonts w:ascii="Arial" w:hAnsi="Arial" w:cs="Arial"/>
          <w:lang w:val="es-ES_tradnl"/>
        </w:rPr>
      </w:pPr>
      <w:r>
        <w:rPr>
          <w:rFonts w:ascii="Arial" w:hAnsi="Arial" w:cs="Arial"/>
          <w:b/>
          <w:i/>
          <w:lang w:val="es-ES_tradnl"/>
        </w:rPr>
        <w:t>Fusión o escisión de sociedades.</w:t>
      </w:r>
      <w:r>
        <w:rPr>
          <w:rFonts w:ascii="Arial" w:hAnsi="Arial" w:cs="Arial"/>
          <w:lang w:val="es-ES_tradnl"/>
        </w:rPr>
        <w:t xml:space="preserve"> En el caso de fusión o escisión de sociedades, para registrar el cambio de titular de la inversión extranjera se deberá presentar al Banco de la República, certificación del revisor fiscal y/o contad</w:t>
      </w:r>
      <w:r>
        <w:rPr>
          <w:rFonts w:ascii="Arial" w:hAnsi="Arial" w:cs="Arial"/>
          <w:lang w:val="es-ES_tradnl"/>
        </w:rPr>
        <w:t>or público de la empresa receptora de la inversión en la que conste tal hecho.</w:t>
      </w:r>
    </w:p>
    <w:p w14:paraId="0F532647" w14:textId="77777777" w:rsidR="00B2442D" w:rsidRDefault="00B2442D">
      <w:pPr>
        <w:jc w:val="both"/>
        <w:rPr>
          <w:rFonts w:ascii="Arial" w:hAnsi="Arial" w:cs="Arial"/>
          <w:i/>
          <w:lang w:val="es-ES_tradnl"/>
        </w:rPr>
      </w:pPr>
    </w:p>
    <w:p w14:paraId="03F036A8" w14:textId="77777777" w:rsidR="00B2442D" w:rsidRDefault="008A645F">
      <w:pPr>
        <w:jc w:val="both"/>
        <w:rPr>
          <w:rFonts w:ascii="Arial" w:hAnsi="Arial" w:cs="Arial"/>
          <w:i/>
          <w:lang w:val="es-CO"/>
        </w:rPr>
      </w:pPr>
      <w:r>
        <w:rPr>
          <w:rFonts w:ascii="Arial" w:hAnsi="Arial" w:cs="Arial"/>
          <w:i/>
          <w:lang w:val="es-CO"/>
        </w:rPr>
        <w:t>(Art. 4, Decreto 1242 de 2003)</w:t>
      </w:r>
    </w:p>
    <w:p w14:paraId="316D7BBC" w14:textId="77777777" w:rsidR="00B2442D" w:rsidRDefault="00B2442D">
      <w:pPr>
        <w:jc w:val="both"/>
        <w:rPr>
          <w:rFonts w:ascii="Arial" w:hAnsi="Arial" w:cs="Arial"/>
          <w:i/>
          <w:lang w:val="es-ES_tradnl"/>
        </w:rPr>
      </w:pPr>
    </w:p>
    <w:p w14:paraId="5030B7AF" w14:textId="77777777" w:rsidR="00B2442D" w:rsidRDefault="00B2442D">
      <w:pPr>
        <w:pStyle w:val="Prrafodelista"/>
        <w:numPr>
          <w:ilvl w:val="0"/>
          <w:numId w:val="107"/>
        </w:numPr>
        <w:ind w:left="0" w:firstLine="0"/>
        <w:jc w:val="both"/>
        <w:rPr>
          <w:rFonts w:ascii="Arial" w:hAnsi="Arial" w:cs="Arial"/>
          <w:b/>
          <w:i/>
          <w:vanish/>
          <w:lang w:val="es-CO"/>
        </w:rPr>
      </w:pPr>
    </w:p>
    <w:p w14:paraId="78038CFD" w14:textId="77777777" w:rsidR="00B2442D" w:rsidRDefault="00B2442D">
      <w:pPr>
        <w:pStyle w:val="Prrafodelista"/>
        <w:numPr>
          <w:ilvl w:val="0"/>
          <w:numId w:val="107"/>
        </w:numPr>
        <w:ind w:left="0" w:firstLine="0"/>
        <w:jc w:val="both"/>
        <w:rPr>
          <w:rFonts w:ascii="Arial" w:hAnsi="Arial" w:cs="Arial"/>
          <w:b/>
          <w:i/>
          <w:vanish/>
          <w:lang w:val="es-CO"/>
        </w:rPr>
      </w:pPr>
    </w:p>
    <w:p w14:paraId="3B44ACA3" w14:textId="77777777" w:rsidR="00B2442D" w:rsidRDefault="008A645F">
      <w:pPr>
        <w:pStyle w:val="Prrafodelista"/>
        <w:numPr>
          <w:ilvl w:val="0"/>
          <w:numId w:val="107"/>
        </w:numPr>
        <w:ind w:left="0" w:firstLine="0"/>
        <w:jc w:val="both"/>
        <w:rPr>
          <w:rFonts w:ascii="Arial" w:hAnsi="Arial" w:cs="Arial"/>
          <w:lang w:val="es-CO"/>
        </w:rPr>
      </w:pPr>
      <w:r>
        <w:rPr>
          <w:rFonts w:ascii="Arial" w:hAnsi="Arial" w:cs="Arial"/>
          <w:b/>
          <w:i/>
          <w:lang w:val="es-CO"/>
        </w:rPr>
        <w:t>Independencia de cada declaración tributaria.</w:t>
      </w:r>
      <w:r>
        <w:rPr>
          <w:rFonts w:ascii="Arial" w:hAnsi="Arial" w:cs="Arial"/>
          <w:lang w:val="es-CO"/>
        </w:rPr>
        <w:t xml:space="preserve"> Toda declaración que se presente dentro de un mismo período fiscal por cada una de las operaciones de enajenación que impliquen la transferencia de la titularidad de la inversión extranjera, es independiente. En consecuencia, las declaraciones del impuest</w:t>
      </w:r>
      <w:r>
        <w:rPr>
          <w:rFonts w:ascii="Arial" w:hAnsi="Arial" w:cs="Arial"/>
          <w:lang w:val="es-CO"/>
        </w:rPr>
        <w:t>o sobre la renta y complementario que se presenten con posterioridad a la declaración inicial, respecto de operaciones diferente, no serán consideradas como correcciones.</w:t>
      </w:r>
    </w:p>
    <w:p w14:paraId="549FC440" w14:textId="77777777" w:rsidR="00B2442D" w:rsidRDefault="00B2442D">
      <w:pPr>
        <w:jc w:val="both"/>
        <w:rPr>
          <w:rFonts w:ascii="Arial" w:hAnsi="Arial" w:cs="Arial"/>
          <w:lang w:val="es-CO"/>
        </w:rPr>
      </w:pPr>
    </w:p>
    <w:p w14:paraId="1038BFB1" w14:textId="77777777" w:rsidR="00B2442D" w:rsidRDefault="008A645F">
      <w:pPr>
        <w:jc w:val="both"/>
        <w:rPr>
          <w:rFonts w:ascii="Arial" w:hAnsi="Arial" w:cs="Arial"/>
          <w:lang w:val="es-CO"/>
        </w:rPr>
      </w:pPr>
      <w:r>
        <w:rPr>
          <w:rFonts w:ascii="Arial" w:hAnsi="Arial" w:cs="Arial"/>
          <w:lang w:val="es-CO"/>
        </w:rPr>
        <w:t>Cuando se presente una corrección a la declaración del impuesto sobre la renta y com</w:t>
      </w:r>
      <w:r>
        <w:rPr>
          <w:rFonts w:ascii="Arial" w:hAnsi="Arial" w:cs="Arial"/>
          <w:lang w:val="es-CO"/>
        </w:rPr>
        <w:t>plementario respecto de una misma operación, se aplicarán las disposiciones generales contenidas en el Estatuto Tributario.</w:t>
      </w:r>
    </w:p>
    <w:p w14:paraId="6C1EA71D" w14:textId="77777777" w:rsidR="00B2442D" w:rsidRDefault="00B2442D">
      <w:pPr>
        <w:jc w:val="both"/>
        <w:rPr>
          <w:rFonts w:ascii="Arial" w:hAnsi="Arial" w:cs="Arial"/>
          <w:lang w:val="es-CO"/>
        </w:rPr>
      </w:pPr>
    </w:p>
    <w:p w14:paraId="6EFDFE1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lo no previsto en forma expresa en los artículos 1.6.1.13.1.1, 1.6.1.5.2 y 1.6.1.5.3 del presente Decreto se aplicará</w:t>
      </w:r>
      <w:r>
        <w:rPr>
          <w:rFonts w:ascii="Arial" w:hAnsi="Arial" w:cs="Arial"/>
          <w:lang w:val="es-CO"/>
        </w:rPr>
        <w:t>n las disposiciones generales contenidas en el Estatuto Tributario que sean compatibles.</w:t>
      </w:r>
    </w:p>
    <w:p w14:paraId="210AA509" w14:textId="77777777" w:rsidR="00B2442D" w:rsidRDefault="00B2442D">
      <w:pPr>
        <w:jc w:val="both"/>
        <w:rPr>
          <w:rFonts w:ascii="Arial" w:hAnsi="Arial" w:cs="Arial"/>
          <w:lang w:val="es-CO"/>
        </w:rPr>
      </w:pPr>
    </w:p>
    <w:p w14:paraId="3069FF8B" w14:textId="77777777" w:rsidR="00B2442D" w:rsidRDefault="008A645F">
      <w:pPr>
        <w:jc w:val="both"/>
        <w:rPr>
          <w:rFonts w:ascii="Arial" w:hAnsi="Arial" w:cs="Arial"/>
          <w:i/>
          <w:lang w:val="es-CO"/>
        </w:rPr>
      </w:pPr>
      <w:r>
        <w:rPr>
          <w:rFonts w:ascii="Arial" w:hAnsi="Arial" w:cs="Arial"/>
          <w:i/>
          <w:lang w:val="es-CO"/>
        </w:rPr>
        <w:t>(Art. 5, Decreto 1242 de 2003)</w:t>
      </w:r>
    </w:p>
    <w:p w14:paraId="6D7D56F4" w14:textId="77777777" w:rsidR="00B2442D" w:rsidRDefault="00B2442D">
      <w:pPr>
        <w:jc w:val="both"/>
        <w:rPr>
          <w:rFonts w:ascii="Arial" w:hAnsi="Arial" w:cs="Arial"/>
          <w:b/>
          <w:lang w:val="es-CO"/>
        </w:rPr>
      </w:pPr>
    </w:p>
    <w:p w14:paraId="7C7DB836" w14:textId="77777777" w:rsidR="00B2442D" w:rsidRDefault="008A645F">
      <w:pPr>
        <w:pStyle w:val="Prrafodelista"/>
        <w:numPr>
          <w:ilvl w:val="0"/>
          <w:numId w:val="107"/>
        </w:numPr>
        <w:ind w:left="0" w:firstLine="0"/>
        <w:jc w:val="both"/>
        <w:rPr>
          <w:rFonts w:ascii="Arial" w:hAnsi="Arial" w:cs="Arial"/>
          <w:lang w:val="es-CO"/>
        </w:rPr>
      </w:pPr>
      <w:r>
        <w:rPr>
          <w:rFonts w:ascii="Arial" w:hAnsi="Arial" w:cs="Arial"/>
          <w:b/>
          <w:i/>
          <w:lang w:val="es-CO"/>
        </w:rPr>
        <w:t xml:space="preserve">Enajenación de más del diez por ciento (10%) de acciones inscritas en una Bolsa de Valores colombiana. </w:t>
      </w:r>
      <w:r>
        <w:rPr>
          <w:rFonts w:ascii="Arial" w:hAnsi="Arial" w:cs="Arial"/>
          <w:lang w:val="es-CO"/>
        </w:rPr>
        <w:t>La declaración del impuesto sob</w:t>
      </w:r>
      <w:r>
        <w:rPr>
          <w:rFonts w:ascii="Arial" w:hAnsi="Arial" w:cs="Arial"/>
          <w:lang w:val="es-CO"/>
        </w:rPr>
        <w:t>re la renta y complementario que, de acuerdo con el numeral 5 del artículo 18-1 del Estatuto Tributario, están obligados a presentar los inversionistas de capital del exterior de portafolio por las utilidades obtenidas en la enajenación de más del diez por</w:t>
      </w:r>
      <w:r>
        <w:rPr>
          <w:rFonts w:ascii="Arial" w:hAnsi="Arial" w:cs="Arial"/>
          <w:lang w:val="es-CO"/>
        </w:rPr>
        <w:t xml:space="preserve"> ciento (10%) de las acciones en circulación de una sociedad, inscritas en una Bolsa de Valores colombiana y de las cuales sea titular un mismo beneficiario real, se sujetará a lo dispuesto en la parte final del inciso 1o del artículo 240 del Estatuto Trib</w:t>
      </w:r>
      <w:r>
        <w:rPr>
          <w:rFonts w:ascii="Arial" w:hAnsi="Arial" w:cs="Arial"/>
          <w:lang w:val="es-CO"/>
        </w:rPr>
        <w:t>utario, o en el inciso 1° del artículo 247 del Estatuto Tributario, según corresponda.</w:t>
      </w:r>
    </w:p>
    <w:p w14:paraId="7E10ED45" w14:textId="77777777" w:rsidR="00B2442D" w:rsidRDefault="00B2442D">
      <w:pPr>
        <w:jc w:val="both"/>
        <w:rPr>
          <w:rFonts w:ascii="Arial" w:hAnsi="Arial" w:cs="Arial"/>
          <w:lang w:val="es-CO"/>
        </w:rPr>
      </w:pPr>
    </w:p>
    <w:p w14:paraId="6A6B616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declaración del impuesto sobre la renta y complementario de que trata este artículo debe presentarse en los plazos que para el efecto establezca el Gobierno Nacional.</w:t>
      </w:r>
    </w:p>
    <w:p w14:paraId="3485B26C" w14:textId="77777777" w:rsidR="00B2442D" w:rsidRDefault="00B2442D">
      <w:pPr>
        <w:jc w:val="both"/>
        <w:rPr>
          <w:rFonts w:ascii="Arial" w:hAnsi="Arial" w:cs="Arial"/>
          <w:lang w:val="es-CO"/>
        </w:rPr>
      </w:pPr>
    </w:p>
    <w:p w14:paraId="081A9D93" w14:textId="77777777" w:rsidR="00B2442D" w:rsidRDefault="008A645F">
      <w:pPr>
        <w:jc w:val="both"/>
        <w:rPr>
          <w:rFonts w:ascii="Arial" w:hAnsi="Arial" w:cs="Arial"/>
          <w:i/>
          <w:lang w:val="es-CO"/>
        </w:rPr>
      </w:pPr>
      <w:r>
        <w:rPr>
          <w:rFonts w:ascii="Arial" w:hAnsi="Arial" w:cs="Arial"/>
          <w:i/>
          <w:lang w:val="es-CO"/>
        </w:rPr>
        <w:t>(Art. 1, Decreto 2108 de 2013)</w:t>
      </w:r>
    </w:p>
    <w:p w14:paraId="001BB6B2" w14:textId="77777777" w:rsidR="00B2442D" w:rsidRDefault="00B2442D">
      <w:pPr>
        <w:jc w:val="both"/>
        <w:rPr>
          <w:rFonts w:ascii="Arial" w:hAnsi="Arial" w:cs="Arial"/>
          <w:i/>
          <w:lang w:val="es-CO"/>
        </w:rPr>
      </w:pPr>
    </w:p>
    <w:p w14:paraId="423C772C" w14:textId="77777777" w:rsidR="00B2442D" w:rsidRDefault="008A645F">
      <w:pPr>
        <w:pStyle w:val="Prrafodelista"/>
        <w:numPr>
          <w:ilvl w:val="0"/>
          <w:numId w:val="107"/>
        </w:numPr>
        <w:ind w:left="0" w:firstLine="0"/>
        <w:jc w:val="both"/>
        <w:rPr>
          <w:rFonts w:ascii="Arial" w:hAnsi="Arial" w:cs="Arial"/>
          <w:lang w:val="es-CO"/>
        </w:rPr>
      </w:pPr>
      <w:r>
        <w:rPr>
          <w:rFonts w:ascii="Arial" w:hAnsi="Arial" w:cs="Arial"/>
          <w:b/>
          <w:i/>
          <w:lang w:val="es-CO"/>
        </w:rPr>
        <w:t>Declaración del impuesto sobre la renta y complement</w:t>
      </w:r>
      <w:r>
        <w:rPr>
          <w:rFonts w:ascii="Arial" w:hAnsi="Arial" w:cs="Arial"/>
          <w:b/>
          <w:i/>
          <w:lang w:val="es-CO"/>
        </w:rPr>
        <w:t>ario de las personas naturales sin residencia en Colombia y de las sociedades y entidades extranjeras</w:t>
      </w:r>
      <w:r>
        <w:rPr>
          <w:rFonts w:ascii="Arial" w:hAnsi="Arial" w:cs="Arial"/>
          <w:lang w:val="es-CO"/>
        </w:rPr>
        <w:t>. Las personas naturales sin residencia en Colombia y las sociedades o entidades extranjeras que, en virtud de lo establecido en el artículo 20-1 del Estat</w:t>
      </w:r>
      <w:r>
        <w:rPr>
          <w:rFonts w:ascii="Arial" w:hAnsi="Arial" w:cs="Arial"/>
          <w:lang w:val="es-CO"/>
        </w:rPr>
        <w:t>uto Tributario, tengan uno o más establecimientos permanentes en el país o una sucursal en Colombia deberán presentar declaración por las rentas y ganancias ocasionales de fuente nacional atribuibles a dichos establecimientos permanentes o sucursal en Colo</w:t>
      </w:r>
      <w:r>
        <w:rPr>
          <w:rFonts w:ascii="Arial" w:hAnsi="Arial" w:cs="Arial"/>
          <w:lang w:val="es-CO"/>
        </w:rPr>
        <w:t>mbia, así como por las rentas y ganancias ocasionales de fuente nacional percibidas directamente, de conformidad con lo previsto en los artículos 591 y 592 del Estatuto Tributario.</w:t>
      </w:r>
    </w:p>
    <w:p w14:paraId="24B4A8C8" w14:textId="77777777" w:rsidR="00B2442D" w:rsidRDefault="00B2442D">
      <w:pPr>
        <w:jc w:val="both"/>
        <w:rPr>
          <w:rFonts w:ascii="Arial" w:hAnsi="Arial" w:cs="Arial"/>
          <w:lang w:val="es-CO"/>
        </w:rPr>
      </w:pPr>
    </w:p>
    <w:p w14:paraId="41BBC1B2" w14:textId="77777777" w:rsidR="00B2442D" w:rsidRDefault="008A645F">
      <w:pPr>
        <w:jc w:val="both"/>
        <w:rPr>
          <w:rFonts w:ascii="Arial" w:hAnsi="Arial" w:cs="Arial"/>
          <w:lang w:val="es-CO"/>
        </w:rPr>
      </w:pPr>
      <w:r>
        <w:rPr>
          <w:rFonts w:ascii="Arial" w:hAnsi="Arial" w:cs="Arial"/>
          <w:lang w:val="es-CO"/>
        </w:rPr>
        <w:t>Cuando la persona natural sin residencia en Colombia o la sociedad o entid</w:t>
      </w:r>
      <w:r>
        <w:rPr>
          <w:rFonts w:ascii="Arial" w:hAnsi="Arial" w:cs="Arial"/>
          <w:lang w:val="es-CO"/>
        </w:rPr>
        <w:t>ad extranjera tenga más de un establecimiento permanente o sucursal en el país, deberá presentar una declaración de renta y complementarios por cada establecimiento permanente y sucursal, y en ella deberá consignar las rentas y ganancias ocasionales de fue</w:t>
      </w:r>
      <w:r>
        <w:rPr>
          <w:rFonts w:ascii="Arial" w:hAnsi="Arial" w:cs="Arial"/>
          <w:lang w:val="es-CO"/>
        </w:rPr>
        <w:t>nte nacional que les sean atribuibles a cada uno de ellos.</w:t>
      </w:r>
    </w:p>
    <w:p w14:paraId="5B02969D" w14:textId="77777777" w:rsidR="00B2442D" w:rsidRDefault="00B2442D">
      <w:pPr>
        <w:jc w:val="both"/>
        <w:rPr>
          <w:rFonts w:ascii="Arial" w:hAnsi="Arial" w:cs="Arial"/>
          <w:lang w:val="es-CO"/>
        </w:rPr>
      </w:pPr>
    </w:p>
    <w:p w14:paraId="0D58F3C8" w14:textId="77777777" w:rsidR="00B2442D" w:rsidRDefault="008A645F">
      <w:pPr>
        <w:jc w:val="both"/>
        <w:rPr>
          <w:rFonts w:ascii="Arial" w:hAnsi="Arial" w:cs="Arial"/>
          <w:lang w:val="es-CO"/>
        </w:rPr>
      </w:pPr>
      <w:r>
        <w:rPr>
          <w:rFonts w:ascii="Arial" w:hAnsi="Arial" w:cs="Arial"/>
          <w:lang w:val="es-CO"/>
        </w:rPr>
        <w:t>Cuando una persona natural sin residencia en Colombia o una sociedad o entidad extranjera tenga uno o más establecimientos permanentes o una sucursal en Colombia y esté, de conformidad con lo prev</w:t>
      </w:r>
      <w:r>
        <w:rPr>
          <w:rFonts w:ascii="Arial" w:hAnsi="Arial" w:cs="Arial"/>
          <w:lang w:val="es-CO"/>
        </w:rPr>
        <w:t>isto en los artículos 591 y 592 del Estatuto Tributario, obligada a declarar con respecto a las rentas y ganancias ocasionales percibidas directamente y no atribuibles a algún establecimiento permanente o sucursal en Colombia, uno cualquiera de los estable</w:t>
      </w:r>
      <w:r>
        <w:rPr>
          <w:rFonts w:ascii="Arial" w:hAnsi="Arial" w:cs="Arial"/>
          <w:lang w:val="es-CO"/>
        </w:rPr>
        <w:t>cimientos permanentes o la sucursal, a elección de la persona natural o sociedad o entidad extranjera, deberá presentar la declaración correspondiente a dichas rentas y ganancias ocasionales por la persona natural sin residencia en Colombia o la sociedad o</w:t>
      </w:r>
      <w:r>
        <w:rPr>
          <w:rFonts w:ascii="Arial" w:hAnsi="Arial" w:cs="Arial"/>
          <w:lang w:val="es-CO"/>
        </w:rPr>
        <w:t xml:space="preserve"> entidad extranjera.</w:t>
      </w:r>
    </w:p>
    <w:p w14:paraId="288D04F7" w14:textId="77777777" w:rsidR="00B2442D" w:rsidRDefault="00B2442D">
      <w:pPr>
        <w:jc w:val="both"/>
        <w:rPr>
          <w:rFonts w:ascii="Arial" w:hAnsi="Arial" w:cs="Arial"/>
          <w:lang w:val="es-CO"/>
        </w:rPr>
      </w:pPr>
    </w:p>
    <w:p w14:paraId="4504523E" w14:textId="77777777" w:rsidR="00B2442D" w:rsidRDefault="008A645F">
      <w:pPr>
        <w:jc w:val="both"/>
        <w:rPr>
          <w:rFonts w:ascii="Arial" w:hAnsi="Arial" w:cs="Arial"/>
          <w:i/>
          <w:lang w:val="es-CO"/>
        </w:rPr>
      </w:pPr>
      <w:r>
        <w:rPr>
          <w:rFonts w:ascii="Arial" w:hAnsi="Arial" w:cs="Arial"/>
          <w:i/>
          <w:lang w:val="es-CO"/>
        </w:rPr>
        <w:t>(Art. 7, Decreto 3026 de 2013)</w:t>
      </w:r>
    </w:p>
    <w:p w14:paraId="51D3FE8C" w14:textId="77777777" w:rsidR="00B2442D" w:rsidRDefault="00B2442D">
      <w:pPr>
        <w:jc w:val="both"/>
        <w:rPr>
          <w:rFonts w:ascii="Arial" w:hAnsi="Arial" w:cs="Arial"/>
          <w:lang w:val="es-CO"/>
        </w:rPr>
      </w:pPr>
    </w:p>
    <w:p w14:paraId="4CD91B86" w14:textId="77777777" w:rsidR="00B2442D" w:rsidRDefault="008A645F">
      <w:pPr>
        <w:pStyle w:val="Prrafodelista"/>
        <w:numPr>
          <w:ilvl w:val="0"/>
          <w:numId w:val="107"/>
        </w:numPr>
        <w:ind w:left="0" w:firstLine="0"/>
        <w:jc w:val="both"/>
        <w:rPr>
          <w:rFonts w:ascii="Arial" w:hAnsi="Arial" w:cs="Arial"/>
          <w:lang w:val="es-CO"/>
        </w:rPr>
      </w:pPr>
      <w:r>
        <w:rPr>
          <w:rFonts w:ascii="Arial" w:hAnsi="Arial" w:cs="Arial"/>
          <w:b/>
          <w:i/>
          <w:lang w:val="es-CO"/>
        </w:rPr>
        <w:t>Ejercicio impositivo.</w:t>
      </w:r>
      <w:r>
        <w:rPr>
          <w:rFonts w:ascii="Arial" w:hAnsi="Arial" w:cs="Arial"/>
          <w:lang w:val="es-CO"/>
        </w:rPr>
        <w:t xml:space="preserve"> El año, período o ejercicio impositivo, en materia de impuesto sobre la renta y complementarios, es el mismo año calendario que comienza el 1o de enero y termina el 31 de diciembre</w:t>
      </w:r>
      <w:r>
        <w:rPr>
          <w:rFonts w:ascii="Arial" w:hAnsi="Arial" w:cs="Arial"/>
          <w:lang w:val="es-CO"/>
        </w:rPr>
        <w:t xml:space="preserve">. </w:t>
      </w:r>
    </w:p>
    <w:p w14:paraId="4001B547" w14:textId="77777777" w:rsidR="00B2442D" w:rsidRDefault="008A645F">
      <w:pPr>
        <w:jc w:val="both"/>
        <w:rPr>
          <w:rFonts w:ascii="Arial" w:hAnsi="Arial" w:cs="Arial"/>
          <w:lang w:val="es-CO"/>
        </w:rPr>
      </w:pPr>
      <w:r>
        <w:rPr>
          <w:rFonts w:ascii="Arial" w:hAnsi="Arial" w:cs="Arial"/>
          <w:lang w:val="es-CO"/>
        </w:rPr>
        <w:t xml:space="preserve"> </w:t>
      </w:r>
    </w:p>
    <w:p w14:paraId="1C943737" w14:textId="77777777" w:rsidR="00B2442D" w:rsidRDefault="008A645F">
      <w:pPr>
        <w:jc w:val="both"/>
        <w:rPr>
          <w:rFonts w:ascii="Arial" w:hAnsi="Arial" w:cs="Arial"/>
          <w:lang w:val="es-CO"/>
        </w:rPr>
      </w:pPr>
      <w:r>
        <w:rPr>
          <w:rFonts w:ascii="Arial" w:hAnsi="Arial" w:cs="Arial"/>
          <w:lang w:val="es-CO"/>
        </w:rPr>
        <w:t xml:space="preserve">Puede comprender lapsos menores en los siguientes casos: </w:t>
      </w:r>
    </w:p>
    <w:p w14:paraId="7D170B53" w14:textId="77777777" w:rsidR="00B2442D" w:rsidRDefault="008A645F">
      <w:pPr>
        <w:jc w:val="both"/>
        <w:rPr>
          <w:rFonts w:ascii="Arial" w:hAnsi="Arial" w:cs="Arial"/>
          <w:lang w:val="es-CO"/>
        </w:rPr>
      </w:pPr>
      <w:r>
        <w:rPr>
          <w:rFonts w:ascii="Arial" w:hAnsi="Arial" w:cs="Arial"/>
          <w:lang w:val="es-CO"/>
        </w:rPr>
        <w:t xml:space="preserve"> </w:t>
      </w:r>
    </w:p>
    <w:p w14:paraId="781A60E4" w14:textId="77777777" w:rsidR="00B2442D" w:rsidRDefault="008A645F">
      <w:pPr>
        <w:ind w:left="284" w:hanging="284"/>
        <w:jc w:val="both"/>
        <w:rPr>
          <w:rFonts w:ascii="Arial" w:hAnsi="Arial" w:cs="Arial"/>
          <w:lang w:val="es-CO"/>
        </w:rPr>
      </w:pPr>
      <w:r>
        <w:rPr>
          <w:rFonts w:ascii="Arial" w:hAnsi="Arial" w:cs="Arial"/>
          <w:lang w:val="es-CO"/>
        </w:rPr>
        <w:t xml:space="preserve">1. Sociedades que se constituyan dentro del año, caso en el cual el ejercicio se inicia a partir de la fecha de la escritura pública de constitución. </w:t>
      </w:r>
    </w:p>
    <w:p w14:paraId="270400D8" w14:textId="77777777" w:rsidR="00B2442D" w:rsidRDefault="008A645F">
      <w:pPr>
        <w:ind w:left="284" w:hanging="284"/>
        <w:jc w:val="both"/>
        <w:rPr>
          <w:rFonts w:ascii="Arial" w:hAnsi="Arial" w:cs="Arial"/>
          <w:lang w:val="es-CO"/>
        </w:rPr>
      </w:pPr>
      <w:r>
        <w:rPr>
          <w:rFonts w:ascii="Arial" w:hAnsi="Arial" w:cs="Arial"/>
          <w:lang w:val="es-CO"/>
        </w:rPr>
        <w:t xml:space="preserve"> </w:t>
      </w:r>
    </w:p>
    <w:p w14:paraId="5FA1153D" w14:textId="77777777" w:rsidR="00B2442D" w:rsidRDefault="008A645F">
      <w:pPr>
        <w:ind w:left="284" w:hanging="284"/>
        <w:jc w:val="both"/>
        <w:rPr>
          <w:rFonts w:ascii="Arial" w:hAnsi="Arial" w:cs="Arial"/>
          <w:lang w:val="es-CO"/>
        </w:rPr>
      </w:pPr>
      <w:r>
        <w:rPr>
          <w:rFonts w:ascii="Arial" w:hAnsi="Arial" w:cs="Arial"/>
          <w:lang w:val="es-CO"/>
        </w:rPr>
        <w:t xml:space="preserve">2. Extranjeros que lleguen al país o </w:t>
      </w:r>
      <w:r>
        <w:rPr>
          <w:rFonts w:ascii="Arial" w:hAnsi="Arial" w:cs="Arial"/>
          <w:lang w:val="es-CO"/>
        </w:rPr>
        <w:t>se sustenten de él durante el respectivo año gravable, evento en el cual éste comienza o termina en las respectivas fechas de llegada y de salida, sin perjuicio de lo dispuesto en el artículo 6° del Decreto 1651 de 1961.</w:t>
      </w:r>
    </w:p>
    <w:p w14:paraId="41B8BCE5" w14:textId="77777777" w:rsidR="00B2442D" w:rsidRDefault="00B2442D">
      <w:pPr>
        <w:jc w:val="both"/>
        <w:rPr>
          <w:rFonts w:ascii="Arial" w:hAnsi="Arial" w:cs="Arial"/>
          <w:lang w:val="es-CO"/>
        </w:rPr>
      </w:pPr>
    </w:p>
    <w:p w14:paraId="67338112" w14:textId="77777777" w:rsidR="00B2442D" w:rsidRDefault="008A645F">
      <w:pPr>
        <w:jc w:val="both"/>
        <w:rPr>
          <w:rFonts w:ascii="Arial" w:hAnsi="Arial" w:cs="Arial"/>
          <w:lang w:val="es-CO"/>
        </w:rPr>
      </w:pPr>
      <w:r>
        <w:rPr>
          <w:rFonts w:ascii="Arial" w:hAnsi="Arial" w:cs="Arial"/>
          <w:lang w:val="es-CO"/>
        </w:rPr>
        <w:t>Se tendrán como equivalentes las e</w:t>
      </w:r>
      <w:r>
        <w:rPr>
          <w:rFonts w:ascii="Arial" w:hAnsi="Arial" w:cs="Arial"/>
          <w:lang w:val="es-CO"/>
        </w:rPr>
        <w:t>xpresiones, año o período gravable, ejercicio gravable y año, período o ejercicio impositivo o fiscal.</w:t>
      </w:r>
    </w:p>
    <w:p w14:paraId="3DEB6E40" w14:textId="77777777" w:rsidR="00B2442D" w:rsidRDefault="00B2442D">
      <w:pPr>
        <w:jc w:val="both"/>
        <w:rPr>
          <w:rFonts w:ascii="Arial" w:hAnsi="Arial" w:cs="Arial"/>
          <w:i/>
          <w:lang w:val="es-CO"/>
        </w:rPr>
      </w:pPr>
    </w:p>
    <w:p w14:paraId="0BF15782" w14:textId="77777777" w:rsidR="00B2442D" w:rsidRDefault="008A645F">
      <w:pPr>
        <w:pStyle w:val="Prrafodelista"/>
        <w:ind w:left="0"/>
        <w:jc w:val="both"/>
        <w:rPr>
          <w:rFonts w:ascii="Arial" w:hAnsi="Arial" w:cs="Arial"/>
          <w:lang w:val="es-CO"/>
        </w:rPr>
      </w:pPr>
      <w:r>
        <w:rPr>
          <w:rFonts w:ascii="Arial" w:hAnsi="Arial" w:cs="Arial"/>
          <w:i/>
          <w:lang w:val="es-CO"/>
        </w:rPr>
        <w:t>(Art. 1, Decreto 187 de 1975. El inciso 3 derogado tácitamente por el art. 16 del Decreto 2503 de 1987) (Vigencia del Decreto 187 de 1975. El Decreto 18</w:t>
      </w:r>
      <w:r>
        <w:rPr>
          <w:rFonts w:ascii="Arial" w:hAnsi="Arial" w:cs="Arial"/>
          <w:i/>
          <w:lang w:val="es-CO"/>
        </w:rPr>
        <w:t>7 de 1975 se aplicará a partir del ejercicio impositivo de 1974 salvo los casos expresamente exceptuados en el mismo o en las normas sustantivas y procedimentales del impuesto sobre la renta y complementario. (Art. 117, Decreto 187 de 1975))</w:t>
      </w:r>
    </w:p>
    <w:p w14:paraId="44B6C9ED" w14:textId="77777777" w:rsidR="00B2442D" w:rsidRDefault="00B2442D">
      <w:pPr>
        <w:jc w:val="both"/>
        <w:rPr>
          <w:rFonts w:ascii="Arial" w:hAnsi="Arial" w:cs="Arial"/>
          <w:lang w:val="es-CO"/>
        </w:rPr>
      </w:pPr>
    </w:p>
    <w:p w14:paraId="336D6FAD" w14:textId="77777777" w:rsidR="00B2442D" w:rsidRDefault="008A645F">
      <w:pPr>
        <w:pStyle w:val="Ttulo4"/>
        <w:rPr>
          <w:lang w:val="es-CO"/>
        </w:rPr>
      </w:pPr>
      <w:r>
        <w:rPr>
          <w:lang w:val="es-CO"/>
        </w:rPr>
        <w:t>CAPÍTULO 6</w:t>
      </w:r>
    </w:p>
    <w:p w14:paraId="08620CE1" w14:textId="77777777" w:rsidR="00B2442D" w:rsidRDefault="008A645F">
      <w:pPr>
        <w:pStyle w:val="Ttulo4"/>
        <w:rPr>
          <w:lang w:val="es-CO"/>
        </w:rPr>
      </w:pPr>
      <w:r>
        <w:rPr>
          <w:lang w:val="es-CO"/>
        </w:rPr>
        <w:t>Declaración del impuesto sobre las ventas - IVA</w:t>
      </w:r>
    </w:p>
    <w:p w14:paraId="3494BCBA" w14:textId="77777777" w:rsidR="00B2442D" w:rsidRDefault="00B2442D">
      <w:pPr>
        <w:jc w:val="both"/>
        <w:rPr>
          <w:rFonts w:ascii="Arial" w:hAnsi="Arial" w:cs="Arial"/>
          <w:b/>
          <w:i/>
          <w:lang w:val="es-CO"/>
        </w:rPr>
      </w:pPr>
    </w:p>
    <w:p w14:paraId="4918ECC2"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Cambio de período gravable.</w:t>
      </w:r>
      <w:r>
        <w:rPr>
          <w:rFonts w:ascii="Arial" w:hAnsi="Arial" w:cs="Arial"/>
          <w:lang w:val="es-CO"/>
        </w:rPr>
        <w:t xml:space="preserve"> Con el fin de informar a la Unidad Administrativa Especial  Dirección de Impuestos y Aduanas Nacionales- DIAN, el cambio de periodo gravable del impuesto sobre las vent</w:t>
      </w:r>
      <w:r>
        <w:rPr>
          <w:rFonts w:ascii="Arial" w:hAnsi="Arial" w:cs="Arial"/>
          <w:lang w:val="es-CO"/>
        </w:rPr>
        <w:t>as, conforme con lo establecido en el artículo 600 del Estatuto Tributario, el responsable deberá señalar en la casilla 24 de la primera declaración de IVA del correspondiente año, el nuevo periodo gravable, el cual operará a partir de la fecha de presenta</w:t>
      </w:r>
      <w:r>
        <w:rPr>
          <w:rFonts w:ascii="Arial" w:hAnsi="Arial" w:cs="Arial"/>
          <w:lang w:val="es-CO"/>
        </w:rPr>
        <w:t>ción de dicha declaración.</w:t>
      </w:r>
    </w:p>
    <w:p w14:paraId="5C3FA95D" w14:textId="77777777" w:rsidR="00B2442D" w:rsidRDefault="00B2442D">
      <w:pPr>
        <w:jc w:val="both"/>
        <w:rPr>
          <w:rFonts w:ascii="Arial" w:hAnsi="Arial" w:cs="Arial"/>
          <w:lang w:val="es-CO"/>
        </w:rPr>
      </w:pPr>
    </w:p>
    <w:p w14:paraId="11513B4A" w14:textId="77777777" w:rsidR="00B2442D" w:rsidRDefault="008A645F">
      <w:pPr>
        <w:jc w:val="both"/>
        <w:rPr>
          <w:rFonts w:ascii="Arial" w:hAnsi="Arial" w:cs="Arial"/>
          <w:lang w:val="es-CO"/>
        </w:rPr>
      </w:pPr>
      <w:r>
        <w:rPr>
          <w:rFonts w:ascii="Arial" w:hAnsi="Arial" w:cs="Arial"/>
          <w:lang w:val="es-CO"/>
        </w:rPr>
        <w:t>El cambio de periodo gravable de que trata el inciso anterior, deberá estar debidamente soportado con la certificación de contador público o revisor fiscal en la que conste el aumento o disminución de los ingresos del año gravab</w:t>
      </w:r>
      <w:r>
        <w:rPr>
          <w:rFonts w:ascii="Arial" w:hAnsi="Arial" w:cs="Arial"/>
          <w:lang w:val="es-CO"/>
        </w:rPr>
        <w:t>le anterior, la cual deberá ponerse a disposición de la autoridad tributaria en el momento en que así lo requiera.</w:t>
      </w:r>
    </w:p>
    <w:p w14:paraId="745C4BF0" w14:textId="77777777" w:rsidR="00B2442D" w:rsidRDefault="00B2442D">
      <w:pPr>
        <w:jc w:val="both"/>
        <w:rPr>
          <w:rFonts w:ascii="Arial" w:hAnsi="Arial" w:cs="Arial"/>
          <w:lang w:val="es-CO"/>
        </w:rPr>
      </w:pPr>
    </w:p>
    <w:p w14:paraId="13DA3006" w14:textId="77777777" w:rsidR="00B2442D" w:rsidRDefault="008A645F">
      <w:pPr>
        <w:jc w:val="both"/>
        <w:rPr>
          <w:rFonts w:ascii="Arial" w:hAnsi="Arial" w:cs="Arial"/>
          <w:i/>
          <w:lang w:val="es-CO"/>
        </w:rPr>
      </w:pPr>
      <w:r>
        <w:rPr>
          <w:rFonts w:ascii="Arial" w:hAnsi="Arial" w:cs="Arial"/>
          <w:i/>
          <w:lang w:val="es-CO"/>
        </w:rPr>
        <w:t>(Art. 23, Decreto 1794 de 2013)</w:t>
      </w:r>
    </w:p>
    <w:p w14:paraId="34711725" w14:textId="77777777" w:rsidR="00B2442D" w:rsidRDefault="00B2442D">
      <w:pPr>
        <w:jc w:val="both"/>
        <w:rPr>
          <w:rFonts w:ascii="Arial" w:hAnsi="Arial" w:cs="Arial"/>
          <w:lang w:val="es-CO"/>
        </w:rPr>
      </w:pPr>
    </w:p>
    <w:p w14:paraId="7191AC6C"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Periodo en el impuesto sobre las ventas y retención en la fuente.</w:t>
      </w:r>
      <w:r>
        <w:rPr>
          <w:rFonts w:ascii="Arial" w:hAnsi="Arial" w:cs="Arial"/>
          <w:lang w:val="es-CO"/>
        </w:rPr>
        <w:t xml:space="preserve"> Los responsables del impuesto sobre las v</w:t>
      </w:r>
      <w:r>
        <w:rPr>
          <w:rFonts w:ascii="Arial" w:hAnsi="Arial" w:cs="Arial"/>
          <w:lang w:val="es-CO"/>
        </w:rPr>
        <w:t>entas y los agentes de retención en la fuente, podrán utilizar los calendarios propios de la empresa con el fin de determinar los meses, bimestres o cuatrimestres objeto de pago, siempre y cuando se cumplan las siguientes condiciones:</w:t>
      </w:r>
    </w:p>
    <w:p w14:paraId="7C909E19" w14:textId="77777777" w:rsidR="00B2442D" w:rsidRDefault="00B2442D">
      <w:pPr>
        <w:jc w:val="both"/>
        <w:rPr>
          <w:rFonts w:ascii="Arial" w:hAnsi="Arial" w:cs="Arial"/>
          <w:b/>
          <w:lang w:val="es-CO"/>
        </w:rPr>
      </w:pPr>
    </w:p>
    <w:p w14:paraId="530E1074" w14:textId="77777777" w:rsidR="00B2442D" w:rsidRDefault="008A645F">
      <w:pPr>
        <w:jc w:val="both"/>
        <w:rPr>
          <w:rFonts w:ascii="Arial" w:hAnsi="Arial" w:cs="Arial"/>
          <w:lang w:val="es-CO"/>
        </w:rPr>
      </w:pPr>
      <w:r>
        <w:rPr>
          <w:rFonts w:ascii="Arial" w:hAnsi="Arial" w:cs="Arial"/>
          <w:lang w:val="es-CO"/>
        </w:rPr>
        <w:t>1. El primer mes del</w:t>
      </w:r>
      <w:r>
        <w:rPr>
          <w:rFonts w:ascii="Arial" w:hAnsi="Arial" w:cs="Arial"/>
          <w:lang w:val="es-CO"/>
        </w:rPr>
        <w:t xml:space="preserve"> año debe comenzar el 1º de enero. </w:t>
      </w:r>
    </w:p>
    <w:p w14:paraId="5D9A1738" w14:textId="77777777" w:rsidR="00B2442D" w:rsidRDefault="008A645F">
      <w:pPr>
        <w:jc w:val="both"/>
        <w:rPr>
          <w:rFonts w:ascii="Arial" w:hAnsi="Arial" w:cs="Arial"/>
          <w:lang w:val="es-CO"/>
        </w:rPr>
      </w:pPr>
      <w:r>
        <w:rPr>
          <w:rFonts w:ascii="Arial" w:hAnsi="Arial" w:cs="Arial"/>
          <w:lang w:val="es-CO"/>
        </w:rPr>
        <w:t xml:space="preserve">2. Los meses deben cerrar como máximo cinco (5) días calendario antes o después del último día de cada mes. </w:t>
      </w:r>
    </w:p>
    <w:p w14:paraId="7B799A74" w14:textId="77777777" w:rsidR="00B2442D" w:rsidRDefault="008A645F">
      <w:pPr>
        <w:jc w:val="both"/>
        <w:rPr>
          <w:rFonts w:ascii="Arial" w:hAnsi="Arial" w:cs="Arial"/>
          <w:lang w:val="es-CO"/>
        </w:rPr>
      </w:pPr>
      <w:r>
        <w:rPr>
          <w:rFonts w:ascii="Arial" w:hAnsi="Arial" w:cs="Arial"/>
          <w:lang w:val="es-CO"/>
        </w:rPr>
        <w:t>3. El último mes del año debe cerrar el 31 de diciembre.</w:t>
      </w:r>
    </w:p>
    <w:p w14:paraId="03274F8D" w14:textId="77777777" w:rsidR="00B2442D" w:rsidRDefault="00B2442D">
      <w:pPr>
        <w:jc w:val="both"/>
        <w:rPr>
          <w:rFonts w:ascii="Arial" w:hAnsi="Arial" w:cs="Arial"/>
          <w:i/>
          <w:lang w:val="es-CO"/>
        </w:rPr>
      </w:pPr>
    </w:p>
    <w:p w14:paraId="16238DFF" w14:textId="77777777" w:rsidR="00B2442D" w:rsidRDefault="008A645F">
      <w:pPr>
        <w:jc w:val="both"/>
        <w:rPr>
          <w:rFonts w:ascii="Arial" w:hAnsi="Arial" w:cs="Arial"/>
          <w:i/>
          <w:lang w:val="es-CO"/>
        </w:rPr>
      </w:pPr>
      <w:r>
        <w:rPr>
          <w:rFonts w:ascii="Arial" w:hAnsi="Arial" w:cs="Arial"/>
          <w:i/>
          <w:lang w:val="es-CO"/>
        </w:rPr>
        <w:t>(Art. 8, Decreto 1189 de 1988)</w:t>
      </w:r>
    </w:p>
    <w:p w14:paraId="6D0B24D6" w14:textId="77777777" w:rsidR="00B2442D" w:rsidRDefault="00B2442D">
      <w:pPr>
        <w:jc w:val="both"/>
        <w:rPr>
          <w:rFonts w:ascii="Arial" w:hAnsi="Arial" w:cs="Arial"/>
          <w:b/>
          <w:lang w:val="es-CO"/>
        </w:rPr>
      </w:pPr>
    </w:p>
    <w:p w14:paraId="5F91153C"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Nuevos periodos grava</w:t>
      </w:r>
      <w:r>
        <w:rPr>
          <w:rFonts w:ascii="Arial" w:hAnsi="Arial" w:cs="Arial"/>
          <w:b/>
          <w:i/>
          <w:lang w:val="es-CO"/>
        </w:rPr>
        <w:t xml:space="preserve">bles del impuesto sobre las ventas: declaración y pago. </w:t>
      </w:r>
      <w:r>
        <w:rPr>
          <w:rFonts w:ascii="Arial" w:hAnsi="Arial" w:cs="Arial"/>
          <w:lang w:val="es-CO"/>
        </w:rPr>
        <w:t>De conformidad con lo dispuesto en el artículo 600 del Estatuto Tributario, los periodos gravables del impuesto sobre las ventas son bimestral, cuatrimestral y anual, según que se cumplan los presupue</w:t>
      </w:r>
      <w:r>
        <w:rPr>
          <w:rFonts w:ascii="Arial" w:hAnsi="Arial" w:cs="Arial"/>
          <w:lang w:val="es-CO"/>
        </w:rPr>
        <w:t>stos allí establecidos para cada periodo, los cuales son de obligatorio cumplimiento.</w:t>
      </w:r>
    </w:p>
    <w:p w14:paraId="5BE8836D" w14:textId="77777777" w:rsidR="00B2442D" w:rsidRDefault="00B2442D">
      <w:pPr>
        <w:jc w:val="both"/>
        <w:rPr>
          <w:rFonts w:ascii="Arial" w:hAnsi="Arial" w:cs="Arial"/>
          <w:lang w:val="es-CO"/>
        </w:rPr>
      </w:pPr>
    </w:p>
    <w:p w14:paraId="0206C445"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Los nuevos responsables del impuesto sobre las ventas que inicien actividades durante el ejercicio deberán presentar su declaración y pago de manera bimest</w:t>
      </w:r>
      <w:r>
        <w:rPr>
          <w:rFonts w:ascii="Arial" w:hAnsi="Arial" w:cs="Arial"/>
          <w:lang w:val="es-CO"/>
        </w:rPr>
        <w:t>ral, de conformidad con lo dispuesto en el inciso segundo del parágrafo del artículo 600 del Estatuto Tributario.</w:t>
      </w:r>
    </w:p>
    <w:p w14:paraId="58A42C1C" w14:textId="77777777" w:rsidR="00B2442D" w:rsidRDefault="00B2442D">
      <w:pPr>
        <w:jc w:val="both"/>
        <w:rPr>
          <w:rFonts w:ascii="Arial" w:hAnsi="Arial" w:cs="Arial"/>
          <w:lang w:val="es-CO"/>
        </w:rPr>
      </w:pPr>
    </w:p>
    <w:p w14:paraId="2D3D0BFC"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Los responsables cuyo periodo gravable es cuatrimestral o anual conforme a lo establecido en el presente artículo, que hubieren</w:t>
      </w:r>
      <w:r>
        <w:rPr>
          <w:rFonts w:ascii="Arial" w:hAnsi="Arial" w:cs="Arial"/>
          <w:lang w:val="es-CO"/>
        </w:rPr>
        <w:t xml:space="preserve"> presentado la declaración del impuesto sobre las ventas en forma bimestral, deberán presentar la declaración de acuerdo con el periodo que les corresponde. Las declaraciones que se hubieren presentado en periodos diferentes a los establecidos por la ley n</w:t>
      </w:r>
      <w:r>
        <w:rPr>
          <w:rFonts w:ascii="Arial" w:hAnsi="Arial" w:cs="Arial"/>
          <w:lang w:val="es-CO"/>
        </w:rPr>
        <w:t>o tienen efecto legal alguno; por lo tanto, los valores efectivamente pagados con dichas declaraciones podrán ser tomados como un abono al saldo a pagar en la declaración del impuesto sobre las ventas del periodo correspondiente.</w:t>
      </w:r>
    </w:p>
    <w:p w14:paraId="1A019CEA" w14:textId="77777777" w:rsidR="00B2442D" w:rsidRDefault="00B2442D">
      <w:pPr>
        <w:jc w:val="both"/>
        <w:rPr>
          <w:rFonts w:ascii="Arial" w:hAnsi="Arial" w:cs="Arial"/>
          <w:b/>
          <w:lang w:val="es-CO"/>
        </w:rPr>
      </w:pPr>
    </w:p>
    <w:p w14:paraId="4AED72BB" w14:textId="77777777" w:rsidR="00B2442D" w:rsidRDefault="008A645F">
      <w:pPr>
        <w:jc w:val="both"/>
        <w:rPr>
          <w:rFonts w:ascii="Arial" w:hAnsi="Arial" w:cs="Arial"/>
          <w:i/>
          <w:lang w:val="es-CO"/>
        </w:rPr>
      </w:pPr>
      <w:r>
        <w:rPr>
          <w:rFonts w:ascii="Arial" w:hAnsi="Arial" w:cs="Arial"/>
          <w:i/>
          <w:lang w:val="es-CO"/>
        </w:rPr>
        <w:t>(Art. 24, Decreto 1794 de</w:t>
      </w:r>
      <w:r>
        <w:rPr>
          <w:rFonts w:ascii="Arial" w:hAnsi="Arial" w:cs="Arial"/>
          <w:i/>
          <w:lang w:val="es-CO"/>
        </w:rPr>
        <w:t xml:space="preserve"> 2013)</w:t>
      </w:r>
    </w:p>
    <w:p w14:paraId="125752D8" w14:textId="77777777" w:rsidR="00B2442D" w:rsidRDefault="00B2442D">
      <w:pPr>
        <w:jc w:val="both"/>
        <w:rPr>
          <w:rFonts w:ascii="Arial" w:hAnsi="Arial" w:cs="Arial"/>
          <w:b/>
          <w:lang w:val="es-CO"/>
        </w:rPr>
      </w:pPr>
    </w:p>
    <w:p w14:paraId="3B11D2F4"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Pagos cuatrimestrales sin declaración a modo de anticipo del impuesto sobre las ventas.</w:t>
      </w:r>
      <w:r>
        <w:rPr>
          <w:rFonts w:ascii="Arial" w:hAnsi="Arial" w:cs="Arial"/>
          <w:lang w:val="es-CO"/>
        </w:rPr>
        <w:t xml:space="preserve"> Los responsables del impuesto sobre las ventas cuyo periodo gravable es anual, de conformidad con el numeral 3 del artículo 600 del Estatuto Tributario, deberán</w:t>
      </w:r>
      <w:r>
        <w:rPr>
          <w:rFonts w:ascii="Arial" w:hAnsi="Arial" w:cs="Arial"/>
          <w:lang w:val="es-CO"/>
        </w:rPr>
        <w:t xml:space="preserve"> tener en cuenta lo siguiente:</w:t>
      </w:r>
    </w:p>
    <w:p w14:paraId="35D6B41B" w14:textId="77777777" w:rsidR="00B2442D" w:rsidRDefault="00B2442D">
      <w:pPr>
        <w:jc w:val="both"/>
        <w:rPr>
          <w:rFonts w:ascii="Arial" w:hAnsi="Arial" w:cs="Arial"/>
          <w:lang w:val="es-CO"/>
        </w:rPr>
      </w:pPr>
    </w:p>
    <w:p w14:paraId="08C84501"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r>
      <w:r>
        <w:rPr>
          <w:rFonts w:ascii="Arial" w:hAnsi="Arial" w:cs="Arial"/>
          <w:lang w:val="es-CO"/>
        </w:rPr>
        <w:t xml:space="preserve"> El treinta por ciento (30%) de anticipo cuatrimestral deberá calcularse sobre la suma de la casilla "saldo a pagar por impuesto" de la totalidad de las declaraciones del impuesto sobre las ventas correspondientes al año gravable inmediatamente anterior.</w:t>
      </w:r>
    </w:p>
    <w:p w14:paraId="060BFF00" w14:textId="77777777" w:rsidR="00B2442D" w:rsidRDefault="00B2442D">
      <w:pPr>
        <w:ind w:left="426" w:hanging="426"/>
        <w:jc w:val="both"/>
        <w:rPr>
          <w:rFonts w:ascii="Arial" w:hAnsi="Arial" w:cs="Arial"/>
          <w:lang w:val="es-CO"/>
        </w:rPr>
      </w:pPr>
    </w:p>
    <w:p w14:paraId="154248FE"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 xml:space="preserve"> En caso de que el valor calculado en el literal anterior haya arrojado un saldo a favor del contribuyente, este no estará obligado a hacer los abonos parciales de que trata el presente artículo.</w:t>
      </w:r>
    </w:p>
    <w:p w14:paraId="2AF6EF46" w14:textId="77777777" w:rsidR="00B2442D" w:rsidRDefault="00B2442D">
      <w:pPr>
        <w:ind w:left="426" w:hanging="426"/>
        <w:jc w:val="both"/>
        <w:rPr>
          <w:rFonts w:ascii="Arial" w:hAnsi="Arial" w:cs="Arial"/>
          <w:lang w:val="es-CO"/>
        </w:rPr>
      </w:pPr>
    </w:p>
    <w:p w14:paraId="5E461058"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 En caso de que el contribuyente se encuentre en liqu</w:t>
      </w:r>
      <w:r>
        <w:rPr>
          <w:rFonts w:ascii="Arial" w:hAnsi="Arial" w:cs="Arial"/>
          <w:lang w:val="es-CO"/>
        </w:rPr>
        <w:t>idación, los anticipos deberán pagarse solo si este realiza operaciones gravadas en el cuatrimestre anterior a la fecha de pago del anticipo correspondiente.</w:t>
      </w:r>
    </w:p>
    <w:p w14:paraId="40EDD77C" w14:textId="77777777" w:rsidR="00B2442D" w:rsidRDefault="00B2442D">
      <w:pPr>
        <w:ind w:left="426" w:hanging="426"/>
        <w:jc w:val="both"/>
        <w:rPr>
          <w:rFonts w:ascii="Arial" w:hAnsi="Arial" w:cs="Arial"/>
          <w:lang w:val="es-CO"/>
        </w:rPr>
      </w:pPr>
    </w:p>
    <w:p w14:paraId="7F708FE0"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r>
      <w:r>
        <w:rPr>
          <w:rFonts w:ascii="Arial" w:hAnsi="Arial" w:cs="Arial"/>
          <w:lang w:val="es-CO"/>
        </w:rPr>
        <w:t xml:space="preserve"> Para el pago del anticipo de que trata el presente artículo, el responsable deberá utilizar el recibo de pago número 490 prescrito por la Unidad Administrativa Especial Dirección de Impuestos y Aduanas Nacionales- DIAN, y efectuar el pago en los plazos se</w:t>
      </w:r>
      <w:r>
        <w:rPr>
          <w:rFonts w:ascii="Arial" w:hAnsi="Arial" w:cs="Arial"/>
          <w:lang w:val="es-CO"/>
        </w:rPr>
        <w:t>ñalados por el Gobierno Nacional.</w:t>
      </w:r>
    </w:p>
    <w:p w14:paraId="1C4C90CB" w14:textId="77777777" w:rsidR="00B2442D" w:rsidRDefault="00B2442D">
      <w:pPr>
        <w:jc w:val="both"/>
        <w:rPr>
          <w:rFonts w:ascii="Arial" w:hAnsi="Arial" w:cs="Arial"/>
          <w:lang w:val="es-CO"/>
        </w:rPr>
      </w:pPr>
    </w:p>
    <w:p w14:paraId="405B7E82" w14:textId="77777777" w:rsidR="00B2442D" w:rsidRDefault="008A645F">
      <w:pPr>
        <w:jc w:val="both"/>
        <w:rPr>
          <w:rFonts w:ascii="Arial" w:hAnsi="Arial" w:cs="Arial"/>
          <w:i/>
          <w:lang w:val="es-CO"/>
        </w:rPr>
      </w:pPr>
      <w:r>
        <w:rPr>
          <w:rFonts w:ascii="Arial" w:hAnsi="Arial" w:cs="Arial"/>
          <w:i/>
          <w:lang w:val="es-CO"/>
        </w:rPr>
        <w:t>(Art. 25, Decreto 1794 de 2013)</w:t>
      </w:r>
    </w:p>
    <w:p w14:paraId="11111500" w14:textId="77777777" w:rsidR="00B2442D" w:rsidRDefault="00B2442D">
      <w:pPr>
        <w:jc w:val="both"/>
        <w:rPr>
          <w:rFonts w:ascii="Arial" w:hAnsi="Arial" w:cs="Arial"/>
          <w:lang w:val="es-CO"/>
        </w:rPr>
      </w:pPr>
    </w:p>
    <w:p w14:paraId="575F5752"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Monto máximo de los anticipos</w:t>
      </w:r>
      <w:r>
        <w:rPr>
          <w:rFonts w:ascii="Arial" w:hAnsi="Arial" w:cs="Arial"/>
          <w:lang w:val="es-CO"/>
        </w:rPr>
        <w:t>. Para efectos de lo previsto en el numeral 3 del artículo 600 del Estatuto Tributario, el monto máximo de los pagos cuatrimestrales por concepto de impuesto s</w:t>
      </w:r>
      <w:r>
        <w:rPr>
          <w:rFonts w:ascii="Arial" w:hAnsi="Arial" w:cs="Arial"/>
          <w:lang w:val="es-CO"/>
        </w:rPr>
        <w:t>obre las ventas, que en todo caso no podrán exceder el valor del impuesto sobre las ventas generado por las operaciones efectivamente realizadas en el respectivo periodo, será el siguiente:</w:t>
      </w:r>
    </w:p>
    <w:p w14:paraId="7FA5D913" w14:textId="77777777" w:rsidR="00B2442D" w:rsidRDefault="00B2442D">
      <w:pPr>
        <w:jc w:val="both"/>
        <w:rPr>
          <w:rFonts w:ascii="Arial" w:hAnsi="Arial" w:cs="Arial"/>
          <w:lang w:val="es-CO"/>
        </w:rPr>
      </w:pPr>
    </w:p>
    <w:p w14:paraId="1885AA83"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 Un primer pago, por el treinta por ciento (30%) del total de </w:t>
      </w:r>
      <w:r>
        <w:rPr>
          <w:rFonts w:ascii="Arial" w:hAnsi="Arial" w:cs="Arial"/>
          <w:lang w:val="es-CO"/>
        </w:rPr>
        <w:t>los IVA pagado a 31 de diciembre del año anterior, que se cancelará en el mes de mayo, de conformidad con los plazos establecidos por la Unidad Administrativa Especial  Dirección de Impuestos y Aduanas Nacionales-DIAN.</w:t>
      </w:r>
    </w:p>
    <w:p w14:paraId="5AEB19C3" w14:textId="77777777" w:rsidR="00B2442D" w:rsidRDefault="00B2442D">
      <w:pPr>
        <w:ind w:left="284" w:hanging="284"/>
        <w:jc w:val="both"/>
        <w:rPr>
          <w:rFonts w:ascii="Arial" w:hAnsi="Arial" w:cs="Arial"/>
          <w:lang w:val="es-CO"/>
        </w:rPr>
      </w:pPr>
    </w:p>
    <w:p w14:paraId="08483432"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Un segundo pago, por el 30% del </w:t>
      </w:r>
      <w:r>
        <w:rPr>
          <w:rFonts w:ascii="Arial" w:hAnsi="Arial" w:cs="Arial"/>
          <w:lang w:val="es-CO"/>
        </w:rPr>
        <w:t>total de los IVA pagado a 31 de diciembre del año anterior, que se cancelará en el mes de septiembre, de conformidad con los plazos establecidos por la Unidad Administrativa Especial  Dirección de Impuestos y Aduanas Nacionales-DIAN.</w:t>
      </w:r>
    </w:p>
    <w:p w14:paraId="55071A49" w14:textId="77777777" w:rsidR="00B2442D" w:rsidRDefault="00B2442D">
      <w:pPr>
        <w:ind w:left="284" w:hanging="284"/>
        <w:jc w:val="both"/>
        <w:rPr>
          <w:rFonts w:ascii="Arial" w:hAnsi="Arial" w:cs="Arial"/>
          <w:lang w:val="es-CO"/>
        </w:rPr>
      </w:pPr>
    </w:p>
    <w:p w14:paraId="0C883E3C" w14:textId="77777777" w:rsidR="00B2442D" w:rsidRDefault="008A645F">
      <w:pPr>
        <w:ind w:left="284" w:hanging="284"/>
        <w:jc w:val="both"/>
        <w:rPr>
          <w:rFonts w:ascii="Arial" w:hAnsi="Arial" w:cs="Arial"/>
          <w:lang w:val="es-CO"/>
        </w:rPr>
      </w:pPr>
      <w:r>
        <w:rPr>
          <w:rFonts w:ascii="Arial" w:hAnsi="Arial" w:cs="Arial"/>
          <w:lang w:val="es-CO"/>
        </w:rPr>
        <w:t>c) Un último pago, qu</w:t>
      </w:r>
      <w:r>
        <w:rPr>
          <w:rFonts w:ascii="Arial" w:hAnsi="Arial" w:cs="Arial"/>
          <w:lang w:val="es-CO"/>
        </w:rPr>
        <w:t>e corresponderá al saldo por impuesto sobre las ventas efectivamente generado en el periodo gravable y que deberá pagarse al tiempo con la presentación de la declaración de IVA.</w:t>
      </w:r>
    </w:p>
    <w:p w14:paraId="61C843DC" w14:textId="77777777" w:rsidR="00B2442D" w:rsidRDefault="00B2442D">
      <w:pPr>
        <w:jc w:val="both"/>
        <w:rPr>
          <w:rFonts w:ascii="Arial" w:hAnsi="Arial" w:cs="Arial"/>
          <w:lang w:val="es-CO"/>
        </w:rPr>
      </w:pPr>
    </w:p>
    <w:p w14:paraId="5AE03460"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Cuando el contribuyente no haya realizado operaciones gravadas </w:t>
      </w:r>
      <w:r>
        <w:rPr>
          <w:rFonts w:ascii="Arial" w:hAnsi="Arial" w:cs="Arial"/>
          <w:lang w:val="es-CO"/>
        </w:rPr>
        <w:t>con el impuesto sobre las ventas, en el cuatrimestre anterior a la fecha de pago del anticipo correspondiente, no deberá pagar el impuesto mediante anticipo a que hacen referencia los literales a) y b) del presente artículo.</w:t>
      </w:r>
    </w:p>
    <w:p w14:paraId="66461E77" w14:textId="77777777" w:rsidR="00B2442D" w:rsidRDefault="00B2442D">
      <w:pPr>
        <w:jc w:val="both"/>
        <w:rPr>
          <w:rFonts w:ascii="Arial" w:hAnsi="Arial" w:cs="Arial"/>
          <w:lang w:val="es-CO"/>
        </w:rPr>
      </w:pPr>
    </w:p>
    <w:p w14:paraId="2B0BA209"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los respons</w:t>
      </w:r>
      <w:r>
        <w:rPr>
          <w:rFonts w:ascii="Arial" w:hAnsi="Arial" w:cs="Arial"/>
          <w:lang w:val="es-CO"/>
        </w:rPr>
        <w:t>ables cuyo periodo gravable es anual conforme a lo establecido en el presente artículo, que hubieren pagado el primer anticipo antes del 22 de agosto de 2013 (D. O. 48890), los valores efectivamente pagados que superen el monto máximo establecido en el pre</w:t>
      </w:r>
      <w:r>
        <w:rPr>
          <w:rFonts w:ascii="Arial" w:hAnsi="Arial" w:cs="Arial"/>
          <w:lang w:val="es-CO"/>
        </w:rPr>
        <w:t xml:space="preserve">sente artículo, podrán ser tomados como un abono al siguiente anticipo o al saldo a pagar en la declaración del impuesto sobre las ventas del periodo. </w:t>
      </w:r>
    </w:p>
    <w:p w14:paraId="7853EED6" w14:textId="77777777" w:rsidR="00B2442D" w:rsidRDefault="00B2442D">
      <w:pPr>
        <w:jc w:val="both"/>
        <w:rPr>
          <w:rFonts w:ascii="Arial" w:hAnsi="Arial" w:cs="Arial"/>
          <w:lang w:val="es-CO"/>
        </w:rPr>
      </w:pPr>
    </w:p>
    <w:p w14:paraId="46FE7117" w14:textId="77777777" w:rsidR="00B2442D" w:rsidRDefault="008A645F">
      <w:pPr>
        <w:jc w:val="both"/>
        <w:rPr>
          <w:rFonts w:ascii="Arial" w:hAnsi="Arial" w:cs="Arial"/>
          <w:i/>
          <w:lang w:val="es-CO"/>
        </w:rPr>
      </w:pPr>
      <w:r>
        <w:rPr>
          <w:rFonts w:ascii="Arial" w:hAnsi="Arial" w:cs="Arial"/>
          <w:i/>
          <w:lang w:val="es-CO"/>
        </w:rPr>
        <w:t xml:space="preserve"> (Art. 26, Decreto 1794 de 2013)</w:t>
      </w:r>
    </w:p>
    <w:p w14:paraId="2A45682F" w14:textId="77777777" w:rsidR="00B2442D" w:rsidRDefault="00B2442D">
      <w:pPr>
        <w:jc w:val="both"/>
        <w:rPr>
          <w:rFonts w:ascii="Arial" w:hAnsi="Arial" w:cs="Arial"/>
          <w:lang w:val="es-CO"/>
        </w:rPr>
      </w:pPr>
    </w:p>
    <w:p w14:paraId="43BA8AF9" w14:textId="77777777" w:rsidR="00B2442D" w:rsidRDefault="008A645F">
      <w:pPr>
        <w:pStyle w:val="Prrafodelista"/>
        <w:numPr>
          <w:ilvl w:val="0"/>
          <w:numId w:val="108"/>
        </w:numPr>
        <w:ind w:left="0" w:firstLine="0"/>
        <w:jc w:val="both"/>
        <w:rPr>
          <w:rFonts w:ascii="Arial" w:hAnsi="Arial" w:cs="Arial"/>
          <w:lang w:val="es-CO"/>
        </w:rPr>
      </w:pPr>
      <w:r>
        <w:rPr>
          <w:rFonts w:ascii="Arial" w:hAnsi="Arial" w:cs="Arial"/>
          <w:b/>
          <w:i/>
          <w:lang w:val="es-CO"/>
        </w:rPr>
        <w:t>Tratamiento del IVA retenido.</w:t>
      </w:r>
      <w:r>
        <w:rPr>
          <w:rFonts w:ascii="Arial" w:hAnsi="Arial" w:cs="Arial"/>
          <w:lang w:val="es-CO"/>
        </w:rPr>
        <w:t xml:space="preserve"> Los responsables del impuesto sobre las ventas a quienes se hubiere practicado retención por este impuesto, podrán incluir el monto que les hubiese sido retenido, como menor valor del saldo a pagar o mayor valor del saldo a favor, en la declaración del IV</w:t>
      </w:r>
      <w:r>
        <w:rPr>
          <w:rFonts w:ascii="Arial" w:hAnsi="Arial" w:cs="Arial"/>
          <w:lang w:val="es-CO"/>
        </w:rPr>
        <w:t xml:space="preserve">A correspondiente al período fiscal en que se hubiere efectuado la retención, o la de cualquiera de los dos (2) períodos fiscales inmediatamente siguientes. </w:t>
      </w:r>
    </w:p>
    <w:p w14:paraId="66723943" w14:textId="77777777" w:rsidR="00B2442D" w:rsidRDefault="008A645F">
      <w:pPr>
        <w:jc w:val="both"/>
        <w:rPr>
          <w:rFonts w:ascii="Arial" w:hAnsi="Arial" w:cs="Arial"/>
          <w:lang w:val="es-CO"/>
        </w:rPr>
      </w:pPr>
      <w:r>
        <w:rPr>
          <w:rFonts w:ascii="Arial" w:hAnsi="Arial" w:cs="Arial"/>
          <w:lang w:val="es-CO"/>
        </w:rPr>
        <w:t xml:space="preserve"> </w:t>
      </w:r>
    </w:p>
    <w:p w14:paraId="470BB221" w14:textId="77777777" w:rsidR="00B2442D" w:rsidRDefault="008A645F">
      <w:pPr>
        <w:jc w:val="both"/>
        <w:rPr>
          <w:rFonts w:ascii="Arial" w:hAnsi="Arial" w:cs="Arial"/>
          <w:lang w:val="es-CO"/>
        </w:rPr>
      </w:pPr>
      <w:r>
        <w:rPr>
          <w:rFonts w:ascii="Arial" w:hAnsi="Arial" w:cs="Arial"/>
          <w:lang w:val="es-CO"/>
        </w:rPr>
        <w:t>Para los efectos previstos en el presente artículo, los sujetos a quienes se les practique reten</w:t>
      </w:r>
      <w:r>
        <w:rPr>
          <w:rFonts w:ascii="Arial" w:hAnsi="Arial" w:cs="Arial"/>
          <w:lang w:val="es-CO"/>
        </w:rPr>
        <w:t xml:space="preserve">ción, deberán llevar una subcuenta en donde se registren las retenciones que correspondan a las facturas expedidas a favor de los adquirentes de bienes o servicios que acrediten la calidad de agente retenedor. En todo caso, deberán coincidir el período de </w:t>
      </w:r>
      <w:r>
        <w:rPr>
          <w:rFonts w:ascii="Arial" w:hAnsi="Arial" w:cs="Arial"/>
          <w:lang w:val="es-CO"/>
        </w:rPr>
        <w:t>contabilización de los valores de la subcuenta y el de su inclusión en la declaración correspondiente.</w:t>
      </w:r>
    </w:p>
    <w:p w14:paraId="26BD8052" w14:textId="77777777" w:rsidR="00B2442D" w:rsidRDefault="00B2442D">
      <w:pPr>
        <w:jc w:val="both"/>
        <w:rPr>
          <w:rFonts w:ascii="Arial" w:hAnsi="Arial" w:cs="Arial"/>
          <w:i/>
        </w:rPr>
      </w:pPr>
    </w:p>
    <w:p w14:paraId="4EF08595" w14:textId="77777777" w:rsidR="00B2442D" w:rsidRDefault="008A645F">
      <w:pPr>
        <w:jc w:val="both"/>
        <w:rPr>
          <w:rFonts w:ascii="Arial" w:hAnsi="Arial" w:cs="Arial"/>
          <w:i/>
        </w:rPr>
      </w:pPr>
      <w:r>
        <w:rPr>
          <w:rFonts w:ascii="Arial" w:hAnsi="Arial" w:cs="Arial"/>
          <w:i/>
        </w:rPr>
        <w:t>(Art. 31, Decreto 3050 de 1997)</w:t>
      </w:r>
    </w:p>
    <w:p w14:paraId="7C417D04" w14:textId="77777777" w:rsidR="00B2442D" w:rsidRDefault="00B2442D">
      <w:pPr>
        <w:jc w:val="both"/>
        <w:rPr>
          <w:rFonts w:ascii="Arial" w:hAnsi="Arial" w:cs="Arial"/>
          <w:b/>
        </w:rPr>
      </w:pPr>
    </w:p>
    <w:p w14:paraId="77660520" w14:textId="77777777" w:rsidR="00B2442D" w:rsidRDefault="008A645F">
      <w:pPr>
        <w:pStyle w:val="Ttulo4"/>
        <w:rPr>
          <w:lang w:val="es-CO"/>
        </w:rPr>
      </w:pPr>
      <w:r>
        <w:rPr>
          <w:lang w:val="es-CO"/>
        </w:rPr>
        <w:t>CAPÍTULO 7</w:t>
      </w:r>
    </w:p>
    <w:p w14:paraId="1FDF9470" w14:textId="77777777" w:rsidR="00B2442D" w:rsidRDefault="008A645F">
      <w:pPr>
        <w:pStyle w:val="Ttulo4"/>
        <w:rPr>
          <w:lang w:val="es-CO"/>
        </w:rPr>
      </w:pPr>
      <w:r>
        <w:rPr>
          <w:lang w:val="es-CO"/>
        </w:rPr>
        <w:t>Declaración y pago del impuesto nacional al consumo</w:t>
      </w:r>
    </w:p>
    <w:p w14:paraId="5F4E513F" w14:textId="77777777" w:rsidR="00B2442D" w:rsidRDefault="00B2442D">
      <w:pPr>
        <w:rPr>
          <w:rFonts w:ascii="Arial" w:hAnsi="Arial" w:cs="Arial"/>
          <w:lang w:val="es-CO"/>
        </w:rPr>
      </w:pPr>
    </w:p>
    <w:p w14:paraId="5A8FBF71" w14:textId="77777777" w:rsidR="00B2442D" w:rsidRDefault="008A645F">
      <w:pPr>
        <w:pStyle w:val="Prrafodelista"/>
        <w:numPr>
          <w:ilvl w:val="0"/>
          <w:numId w:val="109"/>
        </w:numPr>
        <w:ind w:left="0" w:firstLine="0"/>
        <w:jc w:val="both"/>
        <w:rPr>
          <w:rFonts w:ascii="Arial" w:hAnsi="Arial" w:cs="Arial"/>
          <w:lang w:val="es-CO"/>
        </w:rPr>
      </w:pPr>
      <w:r>
        <w:rPr>
          <w:rFonts w:ascii="Arial" w:hAnsi="Arial" w:cs="Arial"/>
          <w:b/>
          <w:i/>
          <w:lang w:val="es-CO"/>
        </w:rPr>
        <w:t xml:space="preserve">Declaración y pago del impuesto nacional al consumo en </w:t>
      </w:r>
      <w:r>
        <w:rPr>
          <w:rFonts w:ascii="Arial" w:hAnsi="Arial" w:cs="Arial"/>
          <w:b/>
          <w:i/>
          <w:lang w:val="es-CO"/>
        </w:rPr>
        <w:t>la importación de bienes gravados.</w:t>
      </w:r>
      <w:r>
        <w:rPr>
          <w:rFonts w:ascii="Arial" w:hAnsi="Arial" w:cs="Arial"/>
          <w:lang w:val="es-CO"/>
        </w:rPr>
        <w:t xml:space="preserve"> De conformidad con lo previsto en el artículo 512-1 del Estatuto Tributario, en el caso del impuesto nacional al consumo que se causa en el momento de la nacionalización de bienes gravados por parte del consumidor final, </w:t>
      </w:r>
      <w:r>
        <w:rPr>
          <w:rFonts w:ascii="Arial" w:hAnsi="Arial" w:cs="Arial"/>
          <w:lang w:val="es-CO"/>
        </w:rPr>
        <w:t>la declaración y pago de dicho impuesto deberá hacerse de acuerdo con lo establecido en el parágrafo 1 del mismo artículo y en las fechas establecidas para tal fin por la Unidad Administrativa Especial Dirección de Impuestos y Aduanas Nacionales-DIAN.</w:t>
      </w:r>
    </w:p>
    <w:p w14:paraId="57B03EEC" w14:textId="77777777" w:rsidR="00B2442D" w:rsidRDefault="00B2442D">
      <w:pPr>
        <w:jc w:val="both"/>
        <w:rPr>
          <w:rFonts w:ascii="Arial" w:hAnsi="Arial" w:cs="Arial"/>
          <w:lang w:val="es-CO"/>
        </w:rPr>
      </w:pPr>
    </w:p>
    <w:p w14:paraId="1F6ABAA7"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27, Decreto 1794 de 2013)</w:t>
      </w:r>
    </w:p>
    <w:p w14:paraId="5C87671E" w14:textId="77777777" w:rsidR="00B2442D" w:rsidRDefault="00B2442D">
      <w:pPr>
        <w:jc w:val="both"/>
        <w:rPr>
          <w:rFonts w:ascii="Arial" w:hAnsi="Arial" w:cs="Arial"/>
          <w:b/>
          <w:lang w:val="es-CO"/>
        </w:rPr>
      </w:pPr>
    </w:p>
    <w:p w14:paraId="518BCA8E" w14:textId="77777777" w:rsidR="00B2442D" w:rsidRDefault="008A645F">
      <w:pPr>
        <w:pStyle w:val="Ttulo4"/>
        <w:rPr>
          <w:lang w:val="es-CO"/>
        </w:rPr>
      </w:pPr>
      <w:r>
        <w:rPr>
          <w:lang w:val="es-CO"/>
        </w:rPr>
        <w:t>CAPÍTULO 8</w:t>
      </w:r>
    </w:p>
    <w:p w14:paraId="7AE68F8F" w14:textId="77777777" w:rsidR="00B2442D" w:rsidRDefault="008A645F">
      <w:pPr>
        <w:pStyle w:val="Ttulo4"/>
        <w:rPr>
          <w:lang w:val="es-CO"/>
        </w:rPr>
      </w:pPr>
      <w:r>
        <w:rPr>
          <w:lang w:val="es-CO"/>
        </w:rPr>
        <w:t>Declaración y pago de la retención en la fuente</w:t>
      </w:r>
    </w:p>
    <w:p w14:paraId="7A1E6951" w14:textId="77777777" w:rsidR="00B2442D" w:rsidRDefault="00B2442D">
      <w:pPr>
        <w:jc w:val="center"/>
        <w:rPr>
          <w:rFonts w:ascii="Arial" w:hAnsi="Arial" w:cs="Arial"/>
          <w:b/>
          <w:lang w:val="es-CO"/>
        </w:rPr>
      </w:pPr>
    </w:p>
    <w:p w14:paraId="7BBB38BD" w14:textId="77777777" w:rsidR="00B2442D" w:rsidRDefault="008A645F">
      <w:pPr>
        <w:pStyle w:val="Prrafodelista"/>
        <w:numPr>
          <w:ilvl w:val="0"/>
          <w:numId w:val="110"/>
        </w:numPr>
        <w:ind w:left="0" w:firstLine="0"/>
        <w:jc w:val="both"/>
        <w:rPr>
          <w:rFonts w:ascii="Arial" w:hAnsi="Arial" w:cs="Arial"/>
          <w:lang w:val="es-CO"/>
        </w:rPr>
      </w:pPr>
      <w:r>
        <w:rPr>
          <w:rFonts w:ascii="Arial" w:hAnsi="Arial" w:cs="Arial"/>
          <w:b/>
          <w:i/>
          <w:lang w:val="es-CO"/>
        </w:rPr>
        <w:t>Declaración y pago de la retención en la fuente.</w:t>
      </w:r>
      <w:r>
        <w:rPr>
          <w:rFonts w:ascii="Arial" w:hAnsi="Arial" w:cs="Arial"/>
          <w:lang w:val="es-CO"/>
        </w:rPr>
        <w:t xml:space="preserve"> Cuando el agente retenedor tenga sucursales o agencias, deberá presentar la declaración mensual de retenciones en forma consolidada, pero podrá efectuar los pagos correspondientes en los bancos de la jurisdicción de la Administración que corresponda a la </w:t>
      </w:r>
      <w:r>
        <w:rPr>
          <w:rFonts w:ascii="Arial" w:hAnsi="Arial" w:cs="Arial"/>
          <w:lang w:val="es-CO"/>
        </w:rPr>
        <w:t xml:space="preserve">dirección de la oficina principal, de las sucursales o de las agencias.  </w:t>
      </w:r>
    </w:p>
    <w:p w14:paraId="587CB5A7" w14:textId="77777777" w:rsidR="00B2442D" w:rsidRDefault="00B2442D">
      <w:pPr>
        <w:jc w:val="both"/>
        <w:rPr>
          <w:rFonts w:ascii="Arial" w:hAnsi="Arial" w:cs="Arial"/>
          <w:lang w:val="es-CO"/>
        </w:rPr>
      </w:pPr>
    </w:p>
    <w:p w14:paraId="43519F69" w14:textId="77777777" w:rsidR="00B2442D" w:rsidRDefault="008A645F">
      <w:pPr>
        <w:jc w:val="both"/>
        <w:rPr>
          <w:rFonts w:ascii="Arial" w:hAnsi="Arial" w:cs="Arial"/>
          <w:lang w:val="es-CO"/>
        </w:rPr>
      </w:pPr>
      <w:r>
        <w:rPr>
          <w:rFonts w:ascii="Arial" w:hAnsi="Arial" w:cs="Arial"/>
          <w:lang w:val="es-CO"/>
        </w:rPr>
        <w:t>Cuando se trate de entidades de derecho público diferentes de las empresas industriales y comerciales del Estado y de las sociedades de economía mixta, se podrá presentar una declar</w:t>
      </w:r>
      <w:r>
        <w:rPr>
          <w:rFonts w:ascii="Arial" w:hAnsi="Arial" w:cs="Arial"/>
          <w:lang w:val="es-CO"/>
        </w:rPr>
        <w:t>ación por cada oficina retenedora, en cuyo caso la firma del revisor fiscal o contador, cuando fuere obligatorio, sólo será exigible en la declaración que presente la oficina principal, y a falta de esta, en una cualquiera de las que presenten las sucursal</w:t>
      </w:r>
      <w:r>
        <w:rPr>
          <w:rFonts w:ascii="Arial" w:hAnsi="Arial" w:cs="Arial"/>
          <w:lang w:val="es-CO"/>
        </w:rPr>
        <w:t>es.</w:t>
      </w:r>
    </w:p>
    <w:p w14:paraId="2D5D4D85" w14:textId="77777777" w:rsidR="00B2442D" w:rsidRDefault="00B2442D">
      <w:pPr>
        <w:jc w:val="both"/>
        <w:rPr>
          <w:rFonts w:ascii="Arial" w:hAnsi="Arial" w:cs="Arial"/>
          <w:i/>
          <w:lang w:val="es-CO"/>
        </w:rPr>
      </w:pPr>
    </w:p>
    <w:p w14:paraId="6F73C101" w14:textId="77777777" w:rsidR="00B2442D" w:rsidRDefault="008A645F">
      <w:pPr>
        <w:jc w:val="both"/>
        <w:rPr>
          <w:rFonts w:ascii="Arial" w:hAnsi="Arial" w:cs="Arial"/>
          <w:i/>
          <w:lang w:val="es-CO"/>
        </w:rPr>
      </w:pPr>
      <w:r>
        <w:rPr>
          <w:rFonts w:ascii="Arial" w:hAnsi="Arial" w:cs="Arial"/>
          <w:i/>
          <w:lang w:val="es-CO"/>
        </w:rPr>
        <w:t>(Art. 3, Decreto 1000 de 1989)</w:t>
      </w:r>
    </w:p>
    <w:p w14:paraId="46C02D76" w14:textId="77777777" w:rsidR="00B2442D" w:rsidRDefault="00B2442D">
      <w:pPr>
        <w:jc w:val="both"/>
        <w:rPr>
          <w:rFonts w:ascii="Arial" w:hAnsi="Arial" w:cs="Arial"/>
          <w:lang w:val="es-CO"/>
        </w:rPr>
      </w:pPr>
    </w:p>
    <w:p w14:paraId="559CE97F" w14:textId="77777777" w:rsidR="00B2442D" w:rsidRDefault="008A645F">
      <w:pPr>
        <w:pStyle w:val="Ttulo4"/>
        <w:rPr>
          <w:lang w:val="es-CO"/>
        </w:rPr>
      </w:pPr>
      <w:r>
        <w:rPr>
          <w:lang w:val="es-CO"/>
        </w:rPr>
        <w:t>CAPÍTULO 9</w:t>
      </w:r>
    </w:p>
    <w:p w14:paraId="7FB6A0F9" w14:textId="77777777" w:rsidR="00B2442D" w:rsidRDefault="008A645F">
      <w:pPr>
        <w:pStyle w:val="Ttulo4"/>
        <w:rPr>
          <w:lang w:val="es-CO"/>
        </w:rPr>
      </w:pPr>
      <w:r>
        <w:rPr>
          <w:lang w:val="es-CO"/>
        </w:rPr>
        <w:t>Declaración del valor correspondiente al ajuste por actualización de las sanciones</w:t>
      </w:r>
    </w:p>
    <w:p w14:paraId="1C4A699E" w14:textId="77777777" w:rsidR="00B2442D" w:rsidRDefault="00B2442D">
      <w:pPr>
        <w:rPr>
          <w:rFonts w:ascii="Arial" w:hAnsi="Arial" w:cs="Arial"/>
          <w:lang w:val="es-CO"/>
        </w:rPr>
      </w:pPr>
    </w:p>
    <w:p w14:paraId="6DC2A14C" w14:textId="77777777" w:rsidR="00B2442D" w:rsidRDefault="008A645F">
      <w:pPr>
        <w:pStyle w:val="Prrafodelista"/>
        <w:numPr>
          <w:ilvl w:val="0"/>
          <w:numId w:val="111"/>
        </w:numPr>
        <w:ind w:left="0" w:firstLine="0"/>
        <w:jc w:val="both"/>
        <w:rPr>
          <w:rFonts w:ascii="Arial" w:hAnsi="Arial" w:cs="Arial"/>
          <w:lang w:val="es-CO"/>
        </w:rPr>
      </w:pPr>
      <w:r>
        <w:rPr>
          <w:rFonts w:ascii="Arial" w:hAnsi="Arial" w:cs="Arial"/>
          <w:b/>
          <w:i/>
          <w:lang w:val="es-CO"/>
        </w:rPr>
        <w:t xml:space="preserve">Declaración del valor correspondiente al ajuste por actualización. </w:t>
      </w:r>
      <w:r>
        <w:rPr>
          <w:rFonts w:ascii="Arial" w:hAnsi="Arial" w:cs="Arial"/>
          <w:lang w:val="es-CO"/>
        </w:rPr>
        <w:t xml:space="preserve"> El valor correspondiente al ajuste por actualización, deberá llevarse al renglón establecido para tal efecto en el recibo oficial de pago. </w:t>
      </w:r>
    </w:p>
    <w:p w14:paraId="5EB2C4B6" w14:textId="77777777" w:rsidR="00B2442D" w:rsidRDefault="008A645F">
      <w:pPr>
        <w:jc w:val="both"/>
        <w:rPr>
          <w:rFonts w:ascii="Arial" w:hAnsi="Arial" w:cs="Arial"/>
          <w:lang w:val="es-CO"/>
        </w:rPr>
      </w:pPr>
      <w:r>
        <w:rPr>
          <w:rFonts w:ascii="Arial" w:hAnsi="Arial" w:cs="Arial"/>
          <w:lang w:val="es-CO"/>
        </w:rPr>
        <w:t xml:space="preserve"> </w:t>
      </w:r>
    </w:p>
    <w:p w14:paraId="0B316DBC" w14:textId="77777777" w:rsidR="00B2442D" w:rsidRDefault="008A645F">
      <w:pPr>
        <w:jc w:val="both"/>
        <w:rPr>
          <w:rFonts w:ascii="Arial" w:hAnsi="Arial" w:cs="Arial"/>
          <w:lang w:val="es-CO"/>
        </w:rPr>
      </w:pPr>
      <w:r>
        <w:rPr>
          <w:rFonts w:ascii="Arial" w:hAnsi="Arial" w:cs="Arial"/>
          <w:lang w:val="es-CO"/>
        </w:rPr>
        <w:t>Si se trata de una liquidación privada present</w:t>
      </w:r>
      <w:r>
        <w:rPr>
          <w:rFonts w:ascii="Arial" w:hAnsi="Arial" w:cs="Arial"/>
          <w:lang w:val="es-CO"/>
        </w:rPr>
        <w:t>ada extemporáneamente, la actualización a que haya lugar debe registrarse en el respectivo renglón de la declaración. En caso de no disponer de tal renglón, el valor de actualización se registrará y cancelará por separado en el recibo oficial de pago.</w:t>
      </w:r>
    </w:p>
    <w:p w14:paraId="024B8331" w14:textId="77777777" w:rsidR="00B2442D" w:rsidRDefault="00B2442D">
      <w:pPr>
        <w:jc w:val="both"/>
        <w:rPr>
          <w:rFonts w:ascii="Arial" w:hAnsi="Arial" w:cs="Arial"/>
          <w:i/>
          <w:lang w:val="es-CO"/>
        </w:rPr>
      </w:pPr>
    </w:p>
    <w:p w14:paraId="25F4A3A1" w14:textId="77777777" w:rsidR="00B2442D" w:rsidRDefault="008A645F">
      <w:pPr>
        <w:jc w:val="both"/>
        <w:rPr>
          <w:rFonts w:ascii="Arial" w:hAnsi="Arial" w:cs="Arial"/>
          <w:i/>
          <w:lang w:val="es-CO"/>
        </w:rPr>
      </w:pPr>
      <w:r>
        <w:rPr>
          <w:rFonts w:ascii="Arial" w:hAnsi="Arial" w:cs="Arial"/>
          <w:i/>
          <w:lang w:val="es-CO"/>
        </w:rPr>
        <w:t>(Ar</w:t>
      </w:r>
      <w:r>
        <w:rPr>
          <w:rFonts w:ascii="Arial" w:hAnsi="Arial" w:cs="Arial"/>
          <w:i/>
          <w:lang w:val="es-CO"/>
        </w:rPr>
        <w:t>t. 7, Decreto 0020 de 1994)</w:t>
      </w:r>
    </w:p>
    <w:p w14:paraId="35360D24" w14:textId="77777777" w:rsidR="00B2442D" w:rsidRDefault="00B2442D">
      <w:pPr>
        <w:jc w:val="both"/>
        <w:rPr>
          <w:rFonts w:ascii="Arial" w:hAnsi="Arial" w:cs="Arial"/>
          <w:lang w:val="es-CO"/>
        </w:rPr>
      </w:pPr>
    </w:p>
    <w:p w14:paraId="75A2EAA7" w14:textId="77777777" w:rsidR="00B2442D" w:rsidRDefault="008A645F">
      <w:pPr>
        <w:pStyle w:val="Ttulo4"/>
        <w:rPr>
          <w:lang w:val="es-CO"/>
        </w:rPr>
      </w:pPr>
      <w:r>
        <w:rPr>
          <w:lang w:val="es-CO"/>
        </w:rPr>
        <w:t>CAPÍTULO 10</w:t>
      </w:r>
    </w:p>
    <w:p w14:paraId="0610FAF0" w14:textId="77777777" w:rsidR="00B2442D" w:rsidRDefault="008A645F">
      <w:pPr>
        <w:pStyle w:val="Ttulo4"/>
        <w:rPr>
          <w:lang w:val="es-CO"/>
        </w:rPr>
      </w:pPr>
      <w:r>
        <w:rPr>
          <w:lang w:val="es-CO"/>
        </w:rPr>
        <w:t>Corrección de las declaraciones tributarias</w:t>
      </w:r>
    </w:p>
    <w:p w14:paraId="54777CD0" w14:textId="77777777" w:rsidR="00B2442D" w:rsidRDefault="00B2442D">
      <w:pPr>
        <w:rPr>
          <w:rFonts w:ascii="Arial" w:hAnsi="Arial" w:cs="Arial"/>
          <w:lang w:val="es-CO"/>
        </w:rPr>
      </w:pPr>
    </w:p>
    <w:p w14:paraId="06FC172D" w14:textId="77777777" w:rsidR="00B2442D" w:rsidRDefault="008A645F">
      <w:pPr>
        <w:pStyle w:val="Prrafodelista"/>
        <w:numPr>
          <w:ilvl w:val="0"/>
          <w:numId w:val="112"/>
        </w:numPr>
        <w:ind w:left="0" w:firstLine="0"/>
        <w:jc w:val="both"/>
        <w:rPr>
          <w:rFonts w:ascii="Arial" w:hAnsi="Arial" w:cs="Arial"/>
          <w:lang w:val="es-CO"/>
        </w:rPr>
      </w:pPr>
      <w:r>
        <w:rPr>
          <w:rFonts w:ascii="Arial" w:hAnsi="Arial" w:cs="Arial"/>
          <w:b/>
          <w:i/>
          <w:lang w:val="es-CO"/>
        </w:rPr>
        <w:t>Ajustes contables por corrección a la declaración.</w:t>
      </w:r>
      <w:r>
        <w:rPr>
          <w:rFonts w:ascii="Arial" w:hAnsi="Arial" w:cs="Arial"/>
          <w:lang w:val="es-CO"/>
        </w:rPr>
        <w:t xml:space="preserve"> Cuando un contribuyente, agente de retención, responsable o declarante, proceda a corregir una declaración tributaria, </w:t>
      </w:r>
      <w:r>
        <w:rPr>
          <w:rFonts w:ascii="Arial" w:hAnsi="Arial" w:cs="Arial"/>
          <w:lang w:val="es-CO"/>
        </w:rPr>
        <w:t>deberá hacer en el año en que efectúe la corrección, los ajustes contables del caso, para reflejar en su contabilidad las modificaciones efectuadas.</w:t>
      </w:r>
    </w:p>
    <w:p w14:paraId="1011C423" w14:textId="77777777" w:rsidR="00B2442D" w:rsidRDefault="00B2442D">
      <w:pPr>
        <w:jc w:val="both"/>
        <w:rPr>
          <w:rFonts w:ascii="Arial" w:hAnsi="Arial" w:cs="Arial"/>
          <w:i/>
          <w:lang w:val="es-CO"/>
        </w:rPr>
      </w:pPr>
    </w:p>
    <w:p w14:paraId="149E1B54" w14:textId="77777777" w:rsidR="00B2442D" w:rsidRDefault="008A645F">
      <w:pPr>
        <w:jc w:val="both"/>
        <w:rPr>
          <w:rFonts w:ascii="Arial" w:hAnsi="Arial" w:cs="Arial"/>
          <w:i/>
          <w:lang w:val="es-CO"/>
        </w:rPr>
      </w:pPr>
      <w:r>
        <w:rPr>
          <w:rFonts w:ascii="Arial" w:hAnsi="Arial" w:cs="Arial"/>
          <w:i/>
          <w:lang w:val="es-CO"/>
        </w:rPr>
        <w:t>(Art. 19, Decreto 0836 de 1991)</w:t>
      </w:r>
    </w:p>
    <w:p w14:paraId="108B2A3A" w14:textId="77777777" w:rsidR="00B2442D" w:rsidRDefault="00B2442D">
      <w:pPr>
        <w:jc w:val="both"/>
        <w:rPr>
          <w:rFonts w:ascii="Arial" w:hAnsi="Arial" w:cs="Arial"/>
          <w:lang w:val="es-CO"/>
        </w:rPr>
      </w:pPr>
    </w:p>
    <w:p w14:paraId="45DFBC33" w14:textId="77777777" w:rsidR="00B2442D" w:rsidRDefault="008A645F">
      <w:pPr>
        <w:pStyle w:val="Prrafodelista"/>
        <w:numPr>
          <w:ilvl w:val="0"/>
          <w:numId w:val="112"/>
        </w:numPr>
        <w:ind w:left="0" w:firstLine="0"/>
        <w:jc w:val="both"/>
        <w:rPr>
          <w:rFonts w:ascii="Arial" w:hAnsi="Arial" w:cs="Arial"/>
          <w:lang w:val="es-CO"/>
        </w:rPr>
      </w:pPr>
      <w:r>
        <w:rPr>
          <w:rFonts w:ascii="Arial" w:hAnsi="Arial" w:cs="Arial"/>
          <w:b/>
          <w:i/>
          <w:lang w:val="es-CO"/>
        </w:rPr>
        <w:t>Corrección por diferencias de criterio cuando hay emplazamiento.</w:t>
      </w:r>
      <w:r>
        <w:rPr>
          <w:rFonts w:ascii="Arial" w:hAnsi="Arial" w:cs="Arial"/>
          <w:lang w:val="es-CO"/>
        </w:rPr>
        <w:t xml:space="preserve"> Cuando e</w:t>
      </w:r>
      <w:r>
        <w:rPr>
          <w:rFonts w:ascii="Arial" w:hAnsi="Arial" w:cs="Arial"/>
          <w:lang w:val="es-CO"/>
        </w:rPr>
        <w:t>l emplazamiento para corregir se refiere a hechos que correspondan a diferencias de interpretación o criterio que no configuran inexactitud, el contribuyente podrá corregir su declaración, sin sanción de corrección, presentándola ante las entidades financi</w:t>
      </w:r>
      <w:r>
        <w:rPr>
          <w:rFonts w:ascii="Arial" w:hAnsi="Arial" w:cs="Arial"/>
          <w:lang w:val="es-CO"/>
        </w:rPr>
        <w:t xml:space="preserve">eras autorizadas para recibir declaraciones. </w:t>
      </w:r>
    </w:p>
    <w:p w14:paraId="3343D528" w14:textId="77777777" w:rsidR="00B2442D" w:rsidRDefault="00B2442D">
      <w:pPr>
        <w:jc w:val="both"/>
        <w:rPr>
          <w:rFonts w:ascii="Arial" w:hAnsi="Arial" w:cs="Arial"/>
          <w:lang w:val="es-CO"/>
        </w:rPr>
      </w:pPr>
    </w:p>
    <w:p w14:paraId="4C553732" w14:textId="77777777" w:rsidR="00B2442D" w:rsidRDefault="008A645F">
      <w:pPr>
        <w:jc w:val="both"/>
        <w:rPr>
          <w:rFonts w:ascii="Arial" w:hAnsi="Arial" w:cs="Arial"/>
          <w:lang w:val="es-CO"/>
        </w:rPr>
      </w:pPr>
      <w:r>
        <w:rPr>
          <w:rFonts w:ascii="Arial" w:hAnsi="Arial" w:cs="Arial"/>
          <w:lang w:val="es-CO"/>
        </w:rPr>
        <w:t>En igual forma podrá proceder, cuando a más de tales hechos el emplazamiento se refiera a hechos constitutivos de inexactitud, caso en el cual deberán liquidar la sanción por corrección solamente en lo que cor</w:t>
      </w:r>
      <w:r>
        <w:rPr>
          <w:rFonts w:ascii="Arial" w:hAnsi="Arial" w:cs="Arial"/>
          <w:lang w:val="es-CO"/>
        </w:rPr>
        <w:t xml:space="preserve">responda al mayor valor originado por estos últimos. </w:t>
      </w:r>
    </w:p>
    <w:p w14:paraId="7C3366EE" w14:textId="77777777" w:rsidR="00B2442D" w:rsidRDefault="008A645F">
      <w:pPr>
        <w:jc w:val="both"/>
        <w:rPr>
          <w:rFonts w:ascii="Arial" w:hAnsi="Arial" w:cs="Arial"/>
          <w:lang w:val="es-CO"/>
        </w:rPr>
      </w:pPr>
      <w:r>
        <w:rPr>
          <w:rFonts w:ascii="Arial" w:hAnsi="Arial" w:cs="Arial"/>
          <w:lang w:val="es-CO"/>
        </w:rPr>
        <w:t xml:space="preserve"> </w:t>
      </w:r>
    </w:p>
    <w:p w14:paraId="5B00BCA2" w14:textId="77777777" w:rsidR="00B2442D" w:rsidRDefault="008A645F">
      <w:pPr>
        <w:jc w:val="both"/>
        <w:rPr>
          <w:rFonts w:ascii="Arial" w:hAnsi="Arial" w:cs="Arial"/>
          <w:lang w:val="es-CO"/>
        </w:rPr>
      </w:pPr>
      <w:r>
        <w:rPr>
          <w:rFonts w:ascii="Arial" w:hAnsi="Arial" w:cs="Arial"/>
          <w:lang w:val="es-CO"/>
        </w:rPr>
        <w:t>En ambos casos, el contribuyente deberá remitir una copia de la corrección a la declaración, a la División de Fiscalización de la respectiva administración de impuestos.</w:t>
      </w:r>
    </w:p>
    <w:p w14:paraId="46517C93" w14:textId="77777777" w:rsidR="00B2442D" w:rsidRDefault="00B2442D">
      <w:pPr>
        <w:jc w:val="both"/>
        <w:rPr>
          <w:rFonts w:ascii="Arial" w:hAnsi="Arial" w:cs="Arial"/>
          <w:i/>
          <w:lang w:val="es-CO"/>
        </w:rPr>
      </w:pPr>
    </w:p>
    <w:p w14:paraId="3F24F88E" w14:textId="77777777" w:rsidR="00B2442D" w:rsidRDefault="008A645F">
      <w:pPr>
        <w:jc w:val="both"/>
        <w:rPr>
          <w:rFonts w:ascii="Arial" w:hAnsi="Arial" w:cs="Arial"/>
          <w:i/>
          <w:lang w:val="es-CO"/>
        </w:rPr>
      </w:pPr>
      <w:r>
        <w:rPr>
          <w:rFonts w:ascii="Arial" w:hAnsi="Arial" w:cs="Arial"/>
          <w:i/>
          <w:lang w:val="es-CO"/>
        </w:rPr>
        <w:t>(Art. 20, Decreto 0836 de 199</w:t>
      </w:r>
      <w:r>
        <w:rPr>
          <w:rFonts w:ascii="Arial" w:hAnsi="Arial" w:cs="Arial"/>
          <w:i/>
          <w:lang w:val="es-CO"/>
        </w:rPr>
        <w:t>1)</w:t>
      </w:r>
    </w:p>
    <w:p w14:paraId="086041AC" w14:textId="77777777" w:rsidR="00B2442D" w:rsidRDefault="00B2442D">
      <w:pPr>
        <w:jc w:val="both"/>
        <w:rPr>
          <w:rFonts w:ascii="Arial" w:hAnsi="Arial" w:cs="Arial"/>
          <w:lang w:val="es-CO"/>
        </w:rPr>
      </w:pPr>
    </w:p>
    <w:p w14:paraId="6FC40E0B" w14:textId="77777777" w:rsidR="00B2442D" w:rsidRDefault="008A645F">
      <w:pPr>
        <w:pStyle w:val="Ttulo4"/>
        <w:rPr>
          <w:lang w:val="es-CO"/>
        </w:rPr>
      </w:pPr>
      <w:r>
        <w:rPr>
          <w:lang w:val="es-CO"/>
        </w:rPr>
        <w:t>CAPÍTULO 11</w:t>
      </w:r>
    </w:p>
    <w:p w14:paraId="4F5B9C6E" w14:textId="77777777" w:rsidR="00B2442D" w:rsidRDefault="008A645F">
      <w:pPr>
        <w:pStyle w:val="Ttulo4"/>
        <w:rPr>
          <w:lang w:val="es-CO"/>
        </w:rPr>
      </w:pPr>
      <w:r>
        <w:rPr>
          <w:lang w:val="es-CO"/>
        </w:rPr>
        <w:t>Presentación virtual de las declaraciones</w:t>
      </w:r>
    </w:p>
    <w:p w14:paraId="088CF91D" w14:textId="77777777" w:rsidR="00B2442D" w:rsidRDefault="00B2442D">
      <w:pPr>
        <w:rPr>
          <w:rFonts w:ascii="Arial" w:hAnsi="Arial" w:cs="Arial"/>
          <w:lang w:val="es-CO"/>
        </w:rPr>
      </w:pPr>
    </w:p>
    <w:p w14:paraId="233D7626"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Presentación virtual de las declaraciones.</w:t>
      </w:r>
      <w:r>
        <w:rPr>
          <w:rFonts w:ascii="Arial" w:hAnsi="Arial" w:cs="Arial"/>
          <w:lang w:val="es-CO"/>
        </w:rPr>
        <w:t xml:space="preserve"> Las declaraciones tributarias de los impuestos y de las retenciones en la fuente administrados por la Unidad Administrativa Especial Dirección de Impuestos y Aduanas Nacionales– DIAN se presentarán a través de los servicios informáticos electrónicos de la</w:t>
      </w:r>
      <w:r>
        <w:rPr>
          <w:rFonts w:ascii="Arial" w:hAnsi="Arial" w:cs="Arial"/>
          <w:lang w:val="es-CO"/>
        </w:rPr>
        <w:t xml:space="preserve"> entidad, para lo cual se establecen entre la DIAN y el contribuyente o usuario las siguientes condiciones:</w:t>
      </w:r>
    </w:p>
    <w:p w14:paraId="07EA5485" w14:textId="77777777" w:rsidR="00B2442D" w:rsidRDefault="00B2442D">
      <w:pPr>
        <w:jc w:val="both"/>
        <w:rPr>
          <w:rFonts w:ascii="Arial" w:hAnsi="Arial" w:cs="Arial"/>
          <w:lang w:val="es-CO"/>
        </w:rPr>
      </w:pPr>
    </w:p>
    <w:p w14:paraId="43B91515"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Identificación inequívoca de origen y destino.</w:t>
      </w:r>
    </w:p>
    <w:p w14:paraId="2E6AAB42"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Cifrado de datos transmitidos.</w:t>
      </w:r>
    </w:p>
    <w:p w14:paraId="4D38DAA4"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 xml:space="preserve">Protocolo que impide la negación del envío y/o recepción de la </w:t>
      </w:r>
      <w:r>
        <w:rPr>
          <w:rFonts w:ascii="Arial" w:hAnsi="Arial" w:cs="Arial"/>
          <w:lang w:val="es-CO"/>
        </w:rPr>
        <w:t>información.</w:t>
      </w:r>
    </w:p>
    <w:p w14:paraId="1928B35A" w14:textId="77777777" w:rsidR="00B2442D" w:rsidRDefault="008A645F">
      <w:pPr>
        <w:ind w:left="426" w:hanging="426"/>
        <w:jc w:val="both"/>
        <w:rPr>
          <w:rFonts w:ascii="Arial" w:hAnsi="Arial" w:cs="Arial"/>
          <w:lang w:val="es-CO"/>
        </w:rPr>
      </w:pPr>
      <w:r>
        <w:rPr>
          <w:rFonts w:ascii="Arial" w:hAnsi="Arial" w:cs="Arial"/>
          <w:lang w:val="es-CO"/>
        </w:rPr>
        <w:t>-</w:t>
      </w:r>
      <w:r>
        <w:rPr>
          <w:rFonts w:ascii="Arial" w:hAnsi="Arial" w:cs="Arial"/>
          <w:lang w:val="es-CO"/>
        </w:rPr>
        <w:tab/>
        <w:t>Mecanismo de firma digital amparado en certificado digital para declarantes y contador público o revisor fiscal.</w:t>
      </w:r>
    </w:p>
    <w:p w14:paraId="49753B24" w14:textId="77777777" w:rsidR="00B2442D" w:rsidRDefault="00B2442D">
      <w:pPr>
        <w:jc w:val="both"/>
        <w:rPr>
          <w:rFonts w:ascii="Arial" w:hAnsi="Arial" w:cs="Arial"/>
          <w:lang w:val="es-CO"/>
        </w:rPr>
      </w:pPr>
    </w:p>
    <w:p w14:paraId="316ABDCE" w14:textId="77777777" w:rsidR="00B2442D" w:rsidRDefault="008A645F">
      <w:pPr>
        <w:jc w:val="both"/>
        <w:rPr>
          <w:rFonts w:ascii="Arial" w:hAnsi="Arial" w:cs="Arial"/>
          <w:lang w:val="es-CO"/>
        </w:rPr>
      </w:pPr>
      <w:r>
        <w:rPr>
          <w:rFonts w:ascii="Arial" w:hAnsi="Arial" w:cs="Arial"/>
          <w:lang w:val="es-CO"/>
        </w:rPr>
        <w:t>El contribuyente, responsable o agente retenedor obligado a la presentación electrónica de las declaraciones deberá diligenciar</w:t>
      </w:r>
      <w:r>
        <w:rPr>
          <w:rFonts w:ascii="Arial" w:hAnsi="Arial" w:cs="Arial"/>
          <w:lang w:val="es-CO"/>
        </w:rPr>
        <w:t xml:space="preserve"> también a través de este medio los recibos oficiales de pago en bancos.</w:t>
      </w:r>
    </w:p>
    <w:p w14:paraId="670046A0" w14:textId="77777777" w:rsidR="00B2442D" w:rsidRDefault="00B2442D">
      <w:pPr>
        <w:jc w:val="both"/>
        <w:rPr>
          <w:rFonts w:ascii="Arial" w:hAnsi="Arial" w:cs="Arial"/>
          <w:lang w:val="es-CO"/>
        </w:rPr>
      </w:pPr>
    </w:p>
    <w:p w14:paraId="10A24A3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cambio de domicilio de los contribuyentes, responsables, o agentes retenedores, no afecta la obligación de presentar declaraciones a través de los sistemas informáticos</w:t>
      </w:r>
      <w:r>
        <w:rPr>
          <w:rFonts w:ascii="Arial" w:hAnsi="Arial" w:cs="Arial"/>
          <w:lang w:val="es-CO"/>
        </w:rPr>
        <w:t>.</w:t>
      </w:r>
    </w:p>
    <w:p w14:paraId="3D05A42D" w14:textId="77777777" w:rsidR="00B2442D" w:rsidRDefault="00B2442D">
      <w:pPr>
        <w:jc w:val="both"/>
        <w:rPr>
          <w:rFonts w:ascii="Arial" w:hAnsi="Arial" w:cs="Arial"/>
          <w:lang w:val="es-CO"/>
        </w:rPr>
      </w:pPr>
    </w:p>
    <w:p w14:paraId="1C7832C8" w14:textId="77777777" w:rsidR="00B2442D" w:rsidRDefault="008A645F">
      <w:pPr>
        <w:jc w:val="both"/>
        <w:rPr>
          <w:rFonts w:ascii="Arial" w:hAnsi="Arial" w:cs="Arial"/>
          <w:i/>
          <w:lang w:val="es-CO"/>
        </w:rPr>
      </w:pPr>
      <w:r>
        <w:rPr>
          <w:rFonts w:ascii="Arial" w:hAnsi="Arial" w:cs="Arial"/>
          <w:i/>
          <w:lang w:val="es-CO"/>
        </w:rPr>
        <w:t>(Art. 1, Decreto 1791 de 2007)</w:t>
      </w:r>
      <w:r>
        <w:rPr>
          <w:rFonts w:ascii="Arial" w:hAnsi="Arial" w:cs="Arial"/>
        </w:rPr>
        <w:t xml:space="preserve"> </w:t>
      </w:r>
      <w:r>
        <w:rPr>
          <w:rFonts w:ascii="Arial" w:hAnsi="Arial" w:cs="Arial"/>
          <w:i/>
          <w:lang w:val="es-CO"/>
        </w:rPr>
        <w:t xml:space="preserve">(Vigencia del Decreto 1791 de 2007. Las normas expedidas con fundamento en los Decretos 408 de 2001, 4694 de 2005 y 1849 de 2006, vigentes a la fecha de entrada en vigencia del Decreto 1791 de 2007, que no sean contrarias </w:t>
      </w:r>
      <w:r>
        <w:rPr>
          <w:rFonts w:ascii="Arial" w:hAnsi="Arial" w:cs="Arial"/>
          <w:i/>
          <w:lang w:val="es-CO"/>
        </w:rPr>
        <w:t>a lo dispuesto en este último continuarán vigentes. (Art. 10, Decreto 1791 de 2007))</w:t>
      </w:r>
      <w:r>
        <w:rPr>
          <w:rFonts w:ascii="Arial" w:hAnsi="Arial" w:cs="Arial"/>
        </w:rPr>
        <w:t xml:space="preserve"> (</w:t>
      </w:r>
      <w:r>
        <w:rPr>
          <w:rFonts w:ascii="Arial" w:hAnsi="Arial" w:cs="Arial"/>
          <w:i/>
          <w:lang w:val="es-CO"/>
        </w:rPr>
        <w:t xml:space="preserve">El Decreto 1791 de 2007 rige a partir de la fecha de su publicación y deroga los Decretos 408 'de 2001, 4694 de 2005 y los artículos 1o, 2o y 3o del Decreto 1849 de </w:t>
      </w:r>
      <w:r>
        <w:rPr>
          <w:rFonts w:ascii="Arial" w:hAnsi="Arial" w:cs="Arial"/>
          <w:i/>
          <w:lang w:val="es-CO"/>
        </w:rPr>
        <w:t>2006. Art. 11, Decreto 1791 de 2007)</w:t>
      </w:r>
    </w:p>
    <w:p w14:paraId="4A40F3BA" w14:textId="77777777" w:rsidR="00B2442D" w:rsidRDefault="00B2442D">
      <w:pPr>
        <w:jc w:val="both"/>
        <w:rPr>
          <w:rFonts w:ascii="Arial" w:hAnsi="Arial" w:cs="Arial"/>
          <w:lang w:val="es-CO"/>
        </w:rPr>
      </w:pPr>
    </w:p>
    <w:p w14:paraId="38D314F1"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Equivalente funcional.</w:t>
      </w:r>
      <w:r>
        <w:rPr>
          <w:rFonts w:ascii="Arial" w:hAnsi="Arial" w:cs="Arial"/>
          <w:lang w:val="es-CO"/>
        </w:rPr>
        <w:t xml:space="preserve"> Las declaraciones tributarias que se presenten virtualmente a través de los servicios informáticos electrónicos de la Unidad Administrativa Especial Dirección de Impuestos y Aduanas Nacionales- </w:t>
      </w:r>
      <w:r>
        <w:rPr>
          <w:rFonts w:ascii="Arial" w:hAnsi="Arial" w:cs="Arial"/>
          <w:lang w:val="es-CO"/>
        </w:rPr>
        <w:t>DIAN, deben ser firmadas electrónicamente, para tal efecto deberá utilizarse el mecanismo de firma amparado con certificado digital de la persona obligada a cumplir con dicho deber formal y del contador público o revisor fiscal, cuando sea el caso, que ser</w:t>
      </w:r>
      <w:r>
        <w:rPr>
          <w:rFonts w:ascii="Arial" w:hAnsi="Arial" w:cs="Arial"/>
          <w:lang w:val="es-CO"/>
        </w:rPr>
        <w:t>án emitidos por la Unidad Administrativa Especial Dirección de Impuestos y Aduanas Nacionales- DIAN a través de dichos servicios.</w:t>
      </w:r>
    </w:p>
    <w:p w14:paraId="14D72A62" w14:textId="77777777" w:rsidR="00B2442D" w:rsidRDefault="00B2442D">
      <w:pPr>
        <w:jc w:val="both"/>
        <w:rPr>
          <w:rFonts w:ascii="Arial" w:hAnsi="Arial" w:cs="Arial"/>
          <w:lang w:val="es-CO"/>
        </w:rPr>
      </w:pPr>
    </w:p>
    <w:p w14:paraId="1D81BA5C" w14:textId="77777777" w:rsidR="00B2442D" w:rsidRDefault="008A645F">
      <w:pPr>
        <w:jc w:val="both"/>
        <w:rPr>
          <w:rFonts w:ascii="Arial" w:hAnsi="Arial" w:cs="Arial"/>
          <w:lang w:val="es-CO"/>
        </w:rPr>
      </w:pPr>
      <w:r>
        <w:rPr>
          <w:rFonts w:ascii="Arial" w:hAnsi="Arial" w:cs="Arial"/>
          <w:lang w:val="es-CO"/>
        </w:rPr>
        <w:t>Las declaraciones tributarias que se presenten a través de los servicios informáticos electrónicos no requieren para su valid</w:t>
      </w:r>
      <w:r>
        <w:rPr>
          <w:rFonts w:ascii="Arial" w:hAnsi="Arial" w:cs="Arial"/>
          <w:lang w:val="es-CO"/>
        </w:rPr>
        <w:t>ez de la firma autógrafa de la persona obligada a cumplir con el deber formal de declarar ni la del contador público o revisor fiscal, cuando sea el caso. La firma electrónica de las declaraciones presentadas virtualmente surte los mismos efectos legales d</w:t>
      </w:r>
      <w:r>
        <w:rPr>
          <w:rFonts w:ascii="Arial" w:hAnsi="Arial" w:cs="Arial"/>
          <w:lang w:val="es-CO"/>
        </w:rPr>
        <w:t>e la firma autógrafa.</w:t>
      </w:r>
    </w:p>
    <w:p w14:paraId="14D71D36" w14:textId="77777777" w:rsidR="00B2442D" w:rsidRDefault="00B2442D">
      <w:pPr>
        <w:jc w:val="both"/>
        <w:rPr>
          <w:rFonts w:ascii="Arial" w:hAnsi="Arial" w:cs="Arial"/>
          <w:lang w:val="es-CO"/>
        </w:rPr>
      </w:pPr>
    </w:p>
    <w:p w14:paraId="1B886687" w14:textId="77777777" w:rsidR="00B2442D" w:rsidRDefault="008A645F">
      <w:pPr>
        <w:jc w:val="both"/>
        <w:rPr>
          <w:rFonts w:ascii="Arial" w:hAnsi="Arial" w:cs="Arial"/>
          <w:i/>
          <w:lang w:val="es-CO"/>
        </w:rPr>
      </w:pPr>
      <w:r>
        <w:rPr>
          <w:rFonts w:ascii="Arial" w:hAnsi="Arial" w:cs="Arial"/>
          <w:i/>
          <w:lang w:val="es-CO"/>
        </w:rPr>
        <w:t>(Art. 2, Decreto 1791 de 2007) (Vigencia del Decreto 1791 de 2007. Las normas expedidas con fundamento en los Decretos 408 de 2001, 4694 de 2005 y 1849 de 2006, vigentes a la fecha de entrada en vigencia del Decreto 1791 de 2007, que</w:t>
      </w:r>
      <w:r>
        <w:rPr>
          <w:rFonts w:ascii="Arial" w:hAnsi="Arial" w:cs="Arial"/>
          <w:i/>
          <w:lang w:val="es-CO"/>
        </w:rPr>
        <w:t xml:space="preserve"> no sean contrarias a lo dispuesto en este último continuarán vigentes. (Art. 10, Decreto 1791 de 2007))</w:t>
      </w:r>
      <w:r>
        <w:rPr>
          <w:rFonts w:ascii="Arial" w:hAnsi="Arial" w:cs="Arial"/>
        </w:rPr>
        <w:t xml:space="preserve"> </w:t>
      </w:r>
      <w:r>
        <w:rPr>
          <w:rFonts w:ascii="Arial" w:hAnsi="Arial" w:cs="Arial"/>
          <w:i/>
          <w:lang w:val="es-CO"/>
        </w:rPr>
        <w:t>(El Decreto 1791 de 2007 rige a partir de la fecha de su publicación y deroga los Decretos 408 'de 2001, 4694 de 2005 y los artículos 1o, 2o y 3o del D</w:t>
      </w:r>
      <w:r>
        <w:rPr>
          <w:rFonts w:ascii="Arial" w:hAnsi="Arial" w:cs="Arial"/>
          <w:i/>
          <w:lang w:val="es-CO"/>
        </w:rPr>
        <w:t>ecreto 1849 de 2006. Art. 11, Decreto 1791 de 2007)</w:t>
      </w:r>
    </w:p>
    <w:p w14:paraId="5AD20E93" w14:textId="77777777" w:rsidR="00B2442D" w:rsidRDefault="00B2442D">
      <w:pPr>
        <w:jc w:val="both"/>
        <w:rPr>
          <w:rFonts w:ascii="Arial" w:hAnsi="Arial" w:cs="Arial"/>
          <w:lang w:val="es-CO"/>
        </w:rPr>
      </w:pPr>
    </w:p>
    <w:p w14:paraId="47860CD2"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Procedimiento para la emisión, renovación, revocación de mecanismo de firma digital amparado en certificado digital.</w:t>
      </w:r>
      <w:r>
        <w:rPr>
          <w:rFonts w:ascii="Arial" w:hAnsi="Arial" w:cs="Arial"/>
          <w:lang w:val="es-CO"/>
        </w:rPr>
        <w:t xml:space="preserve"> Para efectos de la emisión, renovación y revocación del mecanismo de firma amparado e</w:t>
      </w:r>
      <w:r>
        <w:rPr>
          <w:rFonts w:ascii="Arial" w:hAnsi="Arial" w:cs="Arial"/>
          <w:lang w:val="es-CO"/>
        </w:rPr>
        <w:t>n certificado digital emitido por la Unidad Administrativa Especial Dirección de Impuestos y Aduanas Nacionales- DIAN, se deberá seguir el procedimiento que señale dicha entidad.</w:t>
      </w:r>
    </w:p>
    <w:p w14:paraId="7CA6B1F2" w14:textId="77777777" w:rsidR="00B2442D" w:rsidRDefault="00B2442D">
      <w:pPr>
        <w:jc w:val="both"/>
        <w:rPr>
          <w:rFonts w:ascii="Arial" w:hAnsi="Arial" w:cs="Arial"/>
          <w:lang w:val="es-CO"/>
        </w:rPr>
      </w:pPr>
    </w:p>
    <w:p w14:paraId="22059311" w14:textId="77777777" w:rsidR="00B2442D" w:rsidRDefault="008A645F">
      <w:pPr>
        <w:jc w:val="both"/>
        <w:rPr>
          <w:rFonts w:ascii="Arial" w:hAnsi="Arial" w:cs="Arial"/>
          <w:lang w:val="es-CO"/>
        </w:rPr>
      </w:pPr>
      <w:r>
        <w:rPr>
          <w:rFonts w:ascii="Arial" w:hAnsi="Arial" w:cs="Arial"/>
          <w:lang w:val="es-CO"/>
        </w:rPr>
        <w:t>Será responsabilidad del obligado a cumplir con el deber formal de declarar,</w:t>
      </w:r>
      <w:r>
        <w:rPr>
          <w:rFonts w:ascii="Arial" w:hAnsi="Arial" w:cs="Arial"/>
          <w:lang w:val="es-CO"/>
        </w:rPr>
        <w:t xml:space="preserve"> así como del contador público o revisor fiscal, observar al interior de la empresa y respecto de terceros, las medidas de seguridad y protección del mecanismo de firma amparado en certificado digital y la información asociada al mismo.</w:t>
      </w:r>
    </w:p>
    <w:p w14:paraId="4AE7BA48" w14:textId="77777777" w:rsidR="00B2442D" w:rsidRDefault="00B2442D">
      <w:pPr>
        <w:jc w:val="both"/>
        <w:rPr>
          <w:rFonts w:ascii="Arial" w:hAnsi="Arial" w:cs="Arial"/>
          <w:lang w:val="es-CO"/>
        </w:rPr>
      </w:pPr>
    </w:p>
    <w:p w14:paraId="36E24475" w14:textId="77777777" w:rsidR="00B2442D" w:rsidRDefault="008A645F">
      <w:pPr>
        <w:jc w:val="both"/>
        <w:rPr>
          <w:rFonts w:ascii="Arial" w:hAnsi="Arial" w:cs="Arial"/>
          <w:lang w:val="es-CO"/>
        </w:rPr>
      </w:pPr>
      <w:r>
        <w:rPr>
          <w:rFonts w:ascii="Arial" w:hAnsi="Arial" w:cs="Arial"/>
          <w:lang w:val="es-CO"/>
        </w:rPr>
        <w:t xml:space="preserve">Cuando sea </w:t>
      </w:r>
      <w:r>
        <w:rPr>
          <w:rFonts w:ascii="Arial" w:hAnsi="Arial" w:cs="Arial"/>
          <w:lang w:val="es-CO"/>
        </w:rPr>
        <w:t>necesaria la emisión de un nuevo mecanismo de firma amparado con certificado digital, el contribuyente o el representante legal, en el caso de personas jurídicas, deberá solicitarlo por escrito a la Administración correspondiente, anexando los documentos q</w:t>
      </w:r>
      <w:r>
        <w:rPr>
          <w:rFonts w:ascii="Arial" w:hAnsi="Arial" w:cs="Arial"/>
          <w:lang w:val="es-CO"/>
        </w:rPr>
        <w:t>ue lo acrediten para el efecto. Cuando exista cambio de contador público o revisor fiscal, será responsabilidad del representante legal informar el cambio a la Administración correspondiente.</w:t>
      </w:r>
    </w:p>
    <w:p w14:paraId="2169105A" w14:textId="77777777" w:rsidR="00B2442D" w:rsidRDefault="00B2442D">
      <w:pPr>
        <w:jc w:val="both"/>
        <w:rPr>
          <w:rFonts w:ascii="Arial" w:hAnsi="Arial" w:cs="Arial"/>
          <w:lang w:val="es-CO"/>
        </w:rPr>
      </w:pPr>
    </w:p>
    <w:p w14:paraId="56A509FC" w14:textId="77777777" w:rsidR="00B2442D" w:rsidRDefault="008A645F">
      <w:pPr>
        <w:jc w:val="both"/>
        <w:rPr>
          <w:rFonts w:ascii="Arial" w:hAnsi="Arial" w:cs="Arial"/>
          <w:lang w:val="es-CO"/>
        </w:rPr>
      </w:pPr>
      <w:r>
        <w:rPr>
          <w:rFonts w:ascii="Arial" w:hAnsi="Arial" w:cs="Arial"/>
          <w:lang w:val="es-CO"/>
        </w:rPr>
        <w:t>La Administración dispondrá de tres (3) días hábiles para la em</w:t>
      </w:r>
      <w:r>
        <w:rPr>
          <w:rFonts w:ascii="Arial" w:hAnsi="Arial" w:cs="Arial"/>
          <w:lang w:val="es-CO"/>
        </w:rPr>
        <w:t>isión del mecanismo de firma amparado con certificado digital.</w:t>
      </w:r>
    </w:p>
    <w:p w14:paraId="147CF8B8" w14:textId="77777777" w:rsidR="00B2442D" w:rsidRDefault="00B2442D">
      <w:pPr>
        <w:jc w:val="both"/>
        <w:rPr>
          <w:rFonts w:ascii="Arial" w:hAnsi="Arial" w:cs="Arial"/>
          <w:lang w:val="es-CO"/>
        </w:rPr>
      </w:pPr>
    </w:p>
    <w:p w14:paraId="195E5B1A" w14:textId="77777777" w:rsidR="00B2442D" w:rsidRDefault="008A645F">
      <w:pPr>
        <w:jc w:val="both"/>
        <w:rPr>
          <w:rFonts w:ascii="Arial" w:hAnsi="Arial" w:cs="Arial"/>
          <w:lang w:val="es-CO"/>
        </w:rPr>
      </w:pPr>
      <w:r>
        <w:rPr>
          <w:rFonts w:ascii="Arial" w:hAnsi="Arial" w:cs="Arial"/>
          <w:lang w:val="es-CO"/>
        </w:rPr>
        <w:t>El mismo procedimiento se seguirá cuando por daños eventuales en los servicios informáticos electrónicos o la pérdida del mecanismo de firma con certificado digital o las claves secretas asoci</w:t>
      </w:r>
      <w:r>
        <w:rPr>
          <w:rFonts w:ascii="Arial" w:hAnsi="Arial" w:cs="Arial"/>
          <w:lang w:val="es-CO"/>
        </w:rPr>
        <w:t>adas al mismo, sea necesaria la expedición de un nuevo certificado.</w:t>
      </w:r>
    </w:p>
    <w:p w14:paraId="53D9A705" w14:textId="77777777" w:rsidR="00B2442D" w:rsidRDefault="00B2442D">
      <w:pPr>
        <w:jc w:val="both"/>
        <w:rPr>
          <w:rFonts w:ascii="Arial" w:hAnsi="Arial" w:cs="Arial"/>
          <w:lang w:val="es-CO"/>
        </w:rPr>
      </w:pPr>
    </w:p>
    <w:p w14:paraId="5FE95BF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Unidad Administrativa Especial Dirección de Impuestos y Aduanas Nacionales- DIAN establecerá las causales de revocación del mecanismo de firma con certificado digital.</w:t>
      </w:r>
    </w:p>
    <w:p w14:paraId="1679AA7C" w14:textId="77777777" w:rsidR="00B2442D" w:rsidRDefault="00B2442D">
      <w:pPr>
        <w:jc w:val="both"/>
        <w:rPr>
          <w:rFonts w:ascii="Arial" w:hAnsi="Arial" w:cs="Arial"/>
          <w:lang w:val="es-CO"/>
        </w:rPr>
      </w:pPr>
    </w:p>
    <w:p w14:paraId="548E20C6"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3, Decreto 1791 de 2007) (Vigencia del Decreto 1791 de 2007. Las normas expedidas con fundamento en los Decretos 408 de 2001, 4694 de 2005 y 1849 de 2006, vigentes a la fecha de entrada en vigencia del Decreto 1791 de 2007, que no sean contrarias a lo di</w:t>
      </w:r>
      <w:r>
        <w:rPr>
          <w:rFonts w:ascii="Arial" w:hAnsi="Arial" w:cs="Arial"/>
          <w:i/>
          <w:lang w:val="es-CO"/>
        </w:rPr>
        <w:t>spuesto en este último continuarán vigentes. (Art. 10, Decreto 1791 de 2007))</w:t>
      </w:r>
    </w:p>
    <w:p w14:paraId="6B8C41F0" w14:textId="77777777" w:rsidR="00B2442D" w:rsidRDefault="00B2442D">
      <w:pPr>
        <w:jc w:val="both"/>
        <w:rPr>
          <w:rFonts w:ascii="Arial" w:hAnsi="Arial" w:cs="Arial"/>
          <w:b/>
          <w:lang w:val="es-CO"/>
        </w:rPr>
      </w:pPr>
    </w:p>
    <w:p w14:paraId="7ECA979C"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Previsiones.</w:t>
      </w:r>
      <w:r>
        <w:rPr>
          <w:rFonts w:ascii="Arial" w:hAnsi="Arial" w:cs="Arial"/>
          <w:lang w:val="es-CO"/>
        </w:rPr>
        <w:t xml:space="preserve"> Para efectos de lo dispuesto en los artículos 1.6.1.11.1 al 1.6.1.11.9. del presente Decreto, el obligado a declarar virtualmente deberá prever con suficiente ante</w:t>
      </w:r>
      <w:r>
        <w:rPr>
          <w:rFonts w:ascii="Arial" w:hAnsi="Arial" w:cs="Arial"/>
          <w:lang w:val="es-CO"/>
        </w:rPr>
        <w:t>lación el adecuado funcionamiento de los medios requeridos para asegurar el cumplimiento de sus obligaciones.</w:t>
      </w:r>
    </w:p>
    <w:p w14:paraId="3D272C97" w14:textId="77777777" w:rsidR="00B2442D" w:rsidRDefault="00B2442D">
      <w:pPr>
        <w:jc w:val="both"/>
        <w:rPr>
          <w:rFonts w:ascii="Arial" w:hAnsi="Arial" w:cs="Arial"/>
          <w:lang w:val="es-CO"/>
        </w:rPr>
      </w:pPr>
    </w:p>
    <w:p w14:paraId="22E66C82" w14:textId="77777777" w:rsidR="00B2442D" w:rsidRDefault="008A645F">
      <w:pPr>
        <w:jc w:val="both"/>
        <w:rPr>
          <w:rFonts w:ascii="Arial" w:hAnsi="Arial" w:cs="Arial"/>
          <w:lang w:val="es-CO"/>
        </w:rPr>
      </w:pPr>
      <w:r>
        <w:rPr>
          <w:rFonts w:ascii="Arial" w:hAnsi="Arial" w:cs="Arial"/>
          <w:lang w:val="es-CO"/>
        </w:rPr>
        <w:t>En ningún caso constituirán causales de justificación de la extemporaneidad en la presentación de la declaración:</w:t>
      </w:r>
    </w:p>
    <w:p w14:paraId="7CDD6DEC" w14:textId="77777777" w:rsidR="00B2442D" w:rsidRDefault="00B2442D">
      <w:pPr>
        <w:jc w:val="both"/>
        <w:rPr>
          <w:rFonts w:ascii="Arial" w:hAnsi="Arial" w:cs="Arial"/>
          <w:lang w:val="es-CO"/>
        </w:rPr>
      </w:pPr>
    </w:p>
    <w:p w14:paraId="55CEE780"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 xml:space="preserve">Los daños en los sistemas, </w:t>
      </w:r>
      <w:r>
        <w:rPr>
          <w:rFonts w:ascii="Arial" w:hAnsi="Arial" w:cs="Arial"/>
          <w:lang w:val="es-CO"/>
        </w:rPr>
        <w:t>conexiones y/o equipos informáticos del declarante;</w:t>
      </w:r>
    </w:p>
    <w:p w14:paraId="7D940192"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Los daños en el mecanismo de firma con certificado digital;</w:t>
      </w:r>
    </w:p>
    <w:p w14:paraId="320D49B5"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El olvido de las claves asociadas al mismo, por quienes deben cumplir el deber formal de declarar;</w:t>
      </w:r>
    </w:p>
    <w:p w14:paraId="42D16E69" w14:textId="77777777" w:rsidR="00B2442D" w:rsidRDefault="008A645F">
      <w:pPr>
        <w:ind w:left="426" w:hanging="426"/>
        <w:jc w:val="both"/>
        <w:rPr>
          <w:rFonts w:ascii="Arial" w:hAnsi="Arial" w:cs="Arial"/>
          <w:lang w:val="es-CO"/>
        </w:rPr>
      </w:pPr>
      <w:r>
        <w:rPr>
          <w:rFonts w:ascii="Arial" w:hAnsi="Arial" w:cs="Arial"/>
          <w:lang w:val="es-CO"/>
        </w:rPr>
        <w:t xml:space="preserve">d) </w:t>
      </w:r>
      <w:r>
        <w:rPr>
          <w:rFonts w:ascii="Arial" w:hAnsi="Arial" w:cs="Arial"/>
          <w:lang w:val="es-CO"/>
        </w:rPr>
        <w:tab/>
        <w:t>La solicitud de cambio o asignación</w:t>
      </w:r>
      <w:r>
        <w:rPr>
          <w:rFonts w:ascii="Arial" w:hAnsi="Arial" w:cs="Arial"/>
          <w:lang w:val="es-CO"/>
        </w:rPr>
        <w:t xml:space="preserve"> de un nuevo mecanismo de firma amparado con certificado digital, con una antelación inferior al término señalado en el artículo 1.6.1.11.3 del presente Decreto.</w:t>
      </w:r>
    </w:p>
    <w:p w14:paraId="77857AD2" w14:textId="77777777" w:rsidR="00B2442D" w:rsidRDefault="00B2442D">
      <w:pPr>
        <w:jc w:val="both"/>
        <w:rPr>
          <w:rFonts w:ascii="Arial" w:hAnsi="Arial" w:cs="Arial"/>
          <w:lang w:val="es-CO"/>
        </w:rPr>
      </w:pPr>
    </w:p>
    <w:p w14:paraId="56C5D1D5" w14:textId="77777777" w:rsidR="00B2442D" w:rsidRDefault="008A645F">
      <w:pPr>
        <w:jc w:val="both"/>
        <w:rPr>
          <w:rFonts w:ascii="Arial" w:hAnsi="Arial" w:cs="Arial"/>
          <w:i/>
          <w:lang w:val="es-CO"/>
        </w:rPr>
      </w:pPr>
      <w:r>
        <w:rPr>
          <w:rFonts w:ascii="Arial" w:hAnsi="Arial" w:cs="Arial"/>
          <w:i/>
          <w:lang w:val="es-CO"/>
        </w:rPr>
        <w:t>(Art. 4, Decreto 1791 de 2007. Los incisos tercero y cuarto, y el parágrafo tienen decaimient</w:t>
      </w:r>
      <w:r>
        <w:rPr>
          <w:rFonts w:ascii="Arial" w:hAnsi="Arial" w:cs="Arial"/>
          <w:i/>
          <w:lang w:val="es-CO"/>
        </w:rPr>
        <w:t>o por evolución normativa (Artículo 136 de la Ley 1607 de 2012)) (Vigencia del Decreto 1791 de 2007. Las normas expedidas con fundamento en los Decretos 408 de 2001, 4694 de 2005 y 1849 de 2006, vigentes a la fecha de entrada en vigencia del Decreto 1791 d</w:t>
      </w:r>
      <w:r>
        <w:rPr>
          <w:rFonts w:ascii="Arial" w:hAnsi="Arial" w:cs="Arial"/>
          <w:i/>
          <w:lang w:val="es-CO"/>
        </w:rPr>
        <w:t>e 2007, que no sean contrarias a lo dispuesto en este último continuarán vigentes. (Art. 10, Decreto 1791 de 2007))</w:t>
      </w:r>
      <w:r>
        <w:rPr>
          <w:rFonts w:ascii="Arial" w:hAnsi="Arial" w:cs="Arial"/>
        </w:rPr>
        <w:t xml:space="preserve"> </w:t>
      </w:r>
      <w:r>
        <w:rPr>
          <w:rFonts w:ascii="Arial" w:hAnsi="Arial" w:cs="Arial"/>
          <w:i/>
          <w:lang w:val="es-CO"/>
        </w:rPr>
        <w:t>(El Decreto 1791 de 2007 rige a partir de la fecha de su publicación y deroga los Decretos 408 'de 2001, 4694 de 2005 y los artículos 1o, 2o</w:t>
      </w:r>
      <w:r>
        <w:rPr>
          <w:rFonts w:ascii="Arial" w:hAnsi="Arial" w:cs="Arial"/>
          <w:i/>
          <w:lang w:val="es-CO"/>
        </w:rPr>
        <w:t xml:space="preserve"> y 3o del Decreto 1849 de 2006. Art. 11, Decreto 1791 de 2007)</w:t>
      </w:r>
    </w:p>
    <w:p w14:paraId="7E0FC8D8" w14:textId="77777777" w:rsidR="00B2442D" w:rsidRDefault="00B2442D">
      <w:pPr>
        <w:jc w:val="both"/>
        <w:rPr>
          <w:rFonts w:ascii="Arial" w:hAnsi="Arial" w:cs="Arial"/>
          <w:lang w:val="es-CO"/>
        </w:rPr>
      </w:pPr>
    </w:p>
    <w:p w14:paraId="3E98F8F6"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Pago.</w:t>
      </w:r>
      <w:r>
        <w:rPr>
          <w:rFonts w:ascii="Arial" w:hAnsi="Arial" w:cs="Arial"/>
          <w:lang w:val="es-CO"/>
        </w:rPr>
        <w:t xml:space="preserve"> La transacción de pago de las obligaciones tributarias, aduaneras y cambiarias administradas por la Unidad Administrativa Especial Dirección de Impuestos y Aduanas Nacionales- DIAN, se </w:t>
      </w:r>
      <w:r>
        <w:rPr>
          <w:rFonts w:ascii="Arial" w:hAnsi="Arial" w:cs="Arial"/>
          <w:lang w:val="es-CO"/>
        </w:rPr>
        <w:t>efectuará entre los contribuyentes, responsables, agentes retenedores, declarantes, usuarios aduaneros y la entidad autorizada para recaudar, y podrá realizarse a través de canales presenciales o electrónicos a elección del obligado.</w:t>
      </w:r>
    </w:p>
    <w:p w14:paraId="0D93BDD4" w14:textId="77777777" w:rsidR="00B2442D" w:rsidRDefault="00B2442D">
      <w:pPr>
        <w:jc w:val="both"/>
        <w:rPr>
          <w:rFonts w:ascii="Arial" w:hAnsi="Arial" w:cs="Arial"/>
          <w:lang w:val="es-CO"/>
        </w:rPr>
      </w:pPr>
    </w:p>
    <w:p w14:paraId="77E613ED" w14:textId="77777777" w:rsidR="00B2442D" w:rsidRDefault="008A645F">
      <w:pPr>
        <w:pStyle w:val="Prrafodelista"/>
        <w:numPr>
          <w:ilvl w:val="0"/>
          <w:numId w:val="4"/>
        </w:numPr>
        <w:ind w:left="0" w:firstLine="0"/>
        <w:jc w:val="both"/>
        <w:rPr>
          <w:rFonts w:ascii="Arial" w:hAnsi="Arial" w:cs="Arial"/>
          <w:lang w:val="es-CO"/>
        </w:rPr>
      </w:pPr>
      <w:r>
        <w:rPr>
          <w:rFonts w:ascii="Arial" w:hAnsi="Arial" w:cs="Arial"/>
          <w:b/>
          <w:lang w:val="es-CO"/>
        </w:rPr>
        <w:t xml:space="preserve">Canales </w:t>
      </w:r>
      <w:r>
        <w:rPr>
          <w:rFonts w:ascii="Arial" w:hAnsi="Arial" w:cs="Arial"/>
          <w:b/>
          <w:lang w:val="es-CO"/>
        </w:rPr>
        <w:t>presenciales.</w:t>
      </w:r>
      <w:r>
        <w:rPr>
          <w:rFonts w:ascii="Arial" w:hAnsi="Arial" w:cs="Arial"/>
          <w:lang w:val="es-CO"/>
        </w:rPr>
        <w:t xml:space="preserve"> Supone la presentación física del documento de pago ante las entidades autorizadas para recaudar.</w:t>
      </w:r>
    </w:p>
    <w:p w14:paraId="509767DA" w14:textId="77777777" w:rsidR="00B2442D" w:rsidRDefault="00B2442D">
      <w:pPr>
        <w:pStyle w:val="Prrafodelista"/>
        <w:ind w:left="0"/>
        <w:jc w:val="both"/>
        <w:rPr>
          <w:rFonts w:ascii="Arial" w:hAnsi="Arial" w:cs="Arial"/>
          <w:lang w:val="es-CO"/>
        </w:rPr>
      </w:pPr>
    </w:p>
    <w:p w14:paraId="5B7800AB" w14:textId="77777777" w:rsidR="00B2442D" w:rsidRDefault="008A645F">
      <w:pPr>
        <w:jc w:val="both"/>
        <w:rPr>
          <w:rFonts w:ascii="Arial" w:hAnsi="Arial" w:cs="Arial"/>
          <w:lang w:val="es-CO"/>
        </w:rPr>
      </w:pPr>
      <w:r>
        <w:rPr>
          <w:rFonts w:ascii="Arial" w:hAnsi="Arial" w:cs="Arial"/>
          <w:b/>
          <w:lang w:val="es-CO"/>
        </w:rPr>
        <w:t>b)</w:t>
      </w:r>
      <w:r>
        <w:rPr>
          <w:rFonts w:ascii="Arial" w:hAnsi="Arial" w:cs="Arial"/>
          <w:b/>
          <w:lang w:val="es-CO"/>
        </w:rPr>
        <w:tab/>
        <w:t>Canales electrónicos.</w:t>
      </w:r>
      <w:r>
        <w:rPr>
          <w:rFonts w:ascii="Arial" w:hAnsi="Arial" w:cs="Arial"/>
          <w:lang w:val="es-CO"/>
        </w:rPr>
        <w:t xml:space="preserve"> Supone la presentación de información electrónica por medios electrónicos relacionada con el pago, que puede realizars</w:t>
      </w:r>
      <w:r>
        <w:rPr>
          <w:rFonts w:ascii="Arial" w:hAnsi="Arial" w:cs="Arial"/>
          <w:lang w:val="es-CO"/>
        </w:rPr>
        <w:t>e a través de servicios ofrecidos por Internet, audiorrespuesta, por cajeros automáticos (ATM), puntos de pago o quioscos de autoservicio, sin la presentación física del documento de pago, con la seguridad para los sujetos que intervienen en la operación d</w:t>
      </w:r>
      <w:r>
        <w:rPr>
          <w:rFonts w:ascii="Arial" w:hAnsi="Arial" w:cs="Arial"/>
          <w:lang w:val="es-CO"/>
        </w:rPr>
        <w:t>e que esta es realizada de manera completa, segura y satisfactoria para todos. En todo caso, se debe dar un número de operación o autorización al usuario.</w:t>
      </w:r>
    </w:p>
    <w:p w14:paraId="25BE7E3C" w14:textId="77777777" w:rsidR="00B2442D" w:rsidRDefault="00B2442D">
      <w:pPr>
        <w:jc w:val="both"/>
        <w:rPr>
          <w:rFonts w:ascii="Arial" w:hAnsi="Arial" w:cs="Arial"/>
          <w:lang w:val="es-CO"/>
        </w:rPr>
      </w:pPr>
    </w:p>
    <w:p w14:paraId="17FD7CAC" w14:textId="77777777" w:rsidR="00B2442D" w:rsidRDefault="008A645F">
      <w:pPr>
        <w:jc w:val="both"/>
        <w:rPr>
          <w:rFonts w:ascii="Arial" w:hAnsi="Arial" w:cs="Arial"/>
          <w:lang w:val="es-CO"/>
        </w:rPr>
      </w:pPr>
      <w:r>
        <w:rPr>
          <w:rFonts w:ascii="Arial" w:hAnsi="Arial" w:cs="Arial"/>
          <w:lang w:val="es-CO"/>
        </w:rPr>
        <w:t xml:space="preserve">Para realizar el pago a través de canales electrónicos se utilizará la información suministrada por </w:t>
      </w:r>
      <w:r>
        <w:rPr>
          <w:rFonts w:ascii="Arial" w:hAnsi="Arial" w:cs="Arial"/>
          <w:lang w:val="es-CO"/>
        </w:rPr>
        <w:t>los servicios informáticos electrónicos de la Unidad Administrativa Especial Dirección de Impuestos y Aduanas Nacionales- DIAN, relacionada con obligaciones tramitadas virtualmente ante esa entidad.</w:t>
      </w:r>
    </w:p>
    <w:p w14:paraId="72A480CA" w14:textId="77777777" w:rsidR="00B2442D" w:rsidRDefault="00B2442D">
      <w:pPr>
        <w:jc w:val="both"/>
        <w:rPr>
          <w:rFonts w:ascii="Arial" w:hAnsi="Arial" w:cs="Arial"/>
          <w:lang w:val="es-CO"/>
        </w:rPr>
      </w:pPr>
    </w:p>
    <w:p w14:paraId="2BEDA8F7" w14:textId="77777777" w:rsidR="00B2442D" w:rsidRDefault="008A645F">
      <w:pPr>
        <w:jc w:val="both"/>
        <w:rPr>
          <w:rFonts w:ascii="Arial" w:hAnsi="Arial" w:cs="Arial"/>
          <w:lang w:val="es-CO"/>
        </w:rPr>
      </w:pPr>
      <w:r>
        <w:rPr>
          <w:rFonts w:ascii="Arial" w:hAnsi="Arial" w:cs="Arial"/>
          <w:lang w:val="es-CO"/>
        </w:rPr>
        <w:t>Sin perjuicio de las reglas de seguridad que deben rodea</w:t>
      </w:r>
      <w:r>
        <w:rPr>
          <w:rFonts w:ascii="Arial" w:hAnsi="Arial" w:cs="Arial"/>
          <w:lang w:val="es-CO"/>
        </w:rPr>
        <w:t>r las transacciones presenciales, tratándose de las transacciones a través de canales electrónicos se deberán efectuar en las condiciones y reglas de servicio, seguridad y validación definidas para el sector financiero, que deben ser puestas en conocimient</w:t>
      </w:r>
      <w:r>
        <w:rPr>
          <w:rFonts w:ascii="Arial" w:hAnsi="Arial" w:cs="Arial"/>
          <w:lang w:val="es-CO"/>
        </w:rPr>
        <w:t>o previo del cliente por parte de la entidad autorizada para recaudar, la cual a su vez le debe permitir al obligado que realiza el pago efectuar el débito a su cuenta y el crédito a la cuenta de la entidad autorizada para recaudar, para su posterior trans</w:t>
      </w:r>
      <w:r>
        <w:rPr>
          <w:rFonts w:ascii="Arial" w:hAnsi="Arial" w:cs="Arial"/>
          <w:lang w:val="es-CO"/>
        </w:rPr>
        <w:t>ferencia a la Dirección General de Crédito Público y Tesoro Nacional.</w:t>
      </w:r>
    </w:p>
    <w:p w14:paraId="5777CEA4" w14:textId="77777777" w:rsidR="00B2442D" w:rsidRDefault="00B2442D">
      <w:pPr>
        <w:jc w:val="both"/>
        <w:rPr>
          <w:rFonts w:ascii="Arial" w:hAnsi="Arial" w:cs="Arial"/>
          <w:lang w:val="es-CO"/>
        </w:rPr>
      </w:pPr>
    </w:p>
    <w:p w14:paraId="2A3F4B49"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entidades autorizadas para recaudar que ofrezcan la transacción de pago de las obligaciones tributarias administradas por la Unidad Administrativa Especial Dirección de</w:t>
      </w:r>
      <w:r>
        <w:rPr>
          <w:rFonts w:ascii="Arial" w:hAnsi="Arial" w:cs="Arial"/>
          <w:lang w:val="es-CO"/>
        </w:rPr>
        <w:t xml:space="preserve"> Impuestos y Aduanas Nacionales- DIAN, a través de canales electrónicos, relacionada con obligaciones tramitadas virtualmente ante la Unidad Administrativa Especial Dirección de Impuestos y Aduanas Nacionales- DIAN, estarán sujetas a las condiciones del co</w:t>
      </w:r>
      <w:r>
        <w:rPr>
          <w:rFonts w:ascii="Arial" w:hAnsi="Arial" w:cs="Arial"/>
          <w:lang w:val="es-CO"/>
        </w:rPr>
        <w:t>nvenio de autorización suscrito con esa entidad.</w:t>
      </w:r>
    </w:p>
    <w:p w14:paraId="593803F6" w14:textId="77777777" w:rsidR="00B2442D" w:rsidRDefault="00B2442D">
      <w:pPr>
        <w:jc w:val="both"/>
        <w:rPr>
          <w:rFonts w:ascii="Arial" w:hAnsi="Arial" w:cs="Arial"/>
          <w:lang w:val="es-CO"/>
        </w:rPr>
      </w:pPr>
    </w:p>
    <w:p w14:paraId="54FCE967"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Las entidades autorizadas para recaudar que ofrezcan la transacción de pago de las obligaciones tributarias administradas por la Unidad Administrativa Especial Dirección de Impuestos y Aduanas Nacionales- DIAN, a través de canales electrónicos, relacionad</w:t>
      </w:r>
      <w:r>
        <w:rPr>
          <w:rFonts w:ascii="Arial" w:hAnsi="Arial" w:cs="Arial"/>
          <w:lang w:val="es-CO"/>
        </w:rPr>
        <w:t xml:space="preserve">a con obligaciones tramitadas virtualmente ante la Unidad Administrativa Especial Dirección de Impuestos y Aduanas Nacionales- DIAN, podrán prestar el servicio en forma directa o a través de redes de pago electrónico o por prestadores de servicios de pago </w:t>
      </w:r>
      <w:r>
        <w:rPr>
          <w:rFonts w:ascii="Arial" w:hAnsi="Arial" w:cs="Arial"/>
          <w:lang w:val="es-CO"/>
        </w:rPr>
        <w:t>electrónico públicas o privadas. En todo caso la entidad autorizada responderá directamente ante la Unidad Administrativa Especial Dirección de Impuestos y Aduanas Nacionales– DIAN por los correspondientes recaudos, de acuerdo a las condiciones del conveni</w:t>
      </w:r>
      <w:r>
        <w:rPr>
          <w:rFonts w:ascii="Arial" w:hAnsi="Arial" w:cs="Arial"/>
          <w:lang w:val="es-CO"/>
        </w:rPr>
        <w:t>o de autorización suscrito con dicha entidad.</w:t>
      </w:r>
    </w:p>
    <w:p w14:paraId="059309FC" w14:textId="77777777" w:rsidR="00B2442D" w:rsidRDefault="00B2442D">
      <w:pPr>
        <w:jc w:val="both"/>
        <w:rPr>
          <w:rFonts w:ascii="Arial" w:hAnsi="Arial" w:cs="Arial"/>
          <w:lang w:val="es-CO"/>
        </w:rPr>
      </w:pPr>
    </w:p>
    <w:p w14:paraId="74F2BBCC"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Los aspectos técnicos y procedimentales relacionados con los informes que deben suministrarse en relación con los dineros recaudados a través de canales electrónicos de pago, y la conciliación a q</w:t>
      </w:r>
      <w:r>
        <w:rPr>
          <w:rFonts w:ascii="Arial" w:hAnsi="Arial" w:cs="Arial"/>
          <w:lang w:val="es-CO"/>
        </w:rPr>
        <w:t>ue haya lugar serán objeto de reglamentación por la Unidad Administrativa Especial Dirección de Impuestos y Aduanas Nacionales- DIAN.</w:t>
      </w:r>
    </w:p>
    <w:p w14:paraId="1F1B643E" w14:textId="77777777" w:rsidR="00B2442D" w:rsidRDefault="00B2442D">
      <w:pPr>
        <w:jc w:val="both"/>
        <w:rPr>
          <w:rFonts w:ascii="Arial" w:hAnsi="Arial" w:cs="Arial"/>
          <w:lang w:val="es-CO"/>
        </w:rPr>
      </w:pPr>
    </w:p>
    <w:p w14:paraId="78E15DFC" w14:textId="77777777" w:rsidR="00B2442D" w:rsidRDefault="008A645F">
      <w:pPr>
        <w:jc w:val="both"/>
        <w:rPr>
          <w:rFonts w:ascii="Arial" w:hAnsi="Arial" w:cs="Arial"/>
          <w:i/>
          <w:lang w:val="es-CO"/>
        </w:rPr>
      </w:pPr>
      <w:r>
        <w:rPr>
          <w:rFonts w:ascii="Arial" w:hAnsi="Arial" w:cs="Arial"/>
          <w:i/>
          <w:lang w:val="es-CO"/>
        </w:rPr>
        <w:t>(Art. 5, Decreto 1791 de 2007) (Vigencia del Decreto 1791 de 2007. Las normas expedidas con fundamento en los Decretos 40</w:t>
      </w:r>
      <w:r>
        <w:rPr>
          <w:rFonts w:ascii="Arial" w:hAnsi="Arial" w:cs="Arial"/>
          <w:i/>
          <w:lang w:val="es-CO"/>
        </w:rPr>
        <w:t>8 de 2001, 4694 de 2005 y 1849 de 2006, vigentes a la fecha de entrada en vigencia del Decreto 1791 de 2007, que no sean contrarias a lo dispuesto en este último continuarán vigentes. Art. 10, Decreto 1791 de 2007))</w:t>
      </w:r>
      <w:r>
        <w:rPr>
          <w:rFonts w:ascii="Arial" w:hAnsi="Arial" w:cs="Arial"/>
        </w:rPr>
        <w:t xml:space="preserve"> </w:t>
      </w:r>
      <w:r>
        <w:rPr>
          <w:rFonts w:ascii="Arial" w:hAnsi="Arial" w:cs="Arial"/>
          <w:i/>
          <w:lang w:val="es-CO"/>
        </w:rPr>
        <w:t>(El Decreto 1791 de 2007 rige a partir d</w:t>
      </w:r>
      <w:r>
        <w:rPr>
          <w:rFonts w:ascii="Arial" w:hAnsi="Arial" w:cs="Arial"/>
          <w:i/>
          <w:lang w:val="es-CO"/>
        </w:rPr>
        <w:t>e la fecha de su publicación y deroga los Decretos 408 'de 2001, 4694 de 2005 y los artículos 1o, 2o y 3o del Decreto 1849 de 2006. Art. 11, Decreto 1791 de 2007)</w:t>
      </w:r>
    </w:p>
    <w:p w14:paraId="78DF86FA" w14:textId="77777777" w:rsidR="00B2442D" w:rsidRDefault="00B2442D">
      <w:pPr>
        <w:jc w:val="both"/>
        <w:rPr>
          <w:rFonts w:ascii="Arial" w:hAnsi="Arial" w:cs="Arial"/>
          <w:lang w:val="es-CO"/>
        </w:rPr>
      </w:pPr>
    </w:p>
    <w:p w14:paraId="324A1D88"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Obligaciones generales.</w:t>
      </w:r>
      <w:r>
        <w:rPr>
          <w:rFonts w:ascii="Arial" w:hAnsi="Arial" w:cs="Arial"/>
          <w:lang w:val="es-CO"/>
        </w:rPr>
        <w:t xml:space="preserve"> Las entidades autorizadas para recaudar que ofrezcan la transacción </w:t>
      </w:r>
      <w:r>
        <w:rPr>
          <w:rFonts w:ascii="Arial" w:hAnsi="Arial" w:cs="Arial"/>
          <w:lang w:val="es-CO"/>
        </w:rPr>
        <w:t>de pago de las obligaciones tributarias administradas por la Unidad Administrativa Especial Dirección de Impuestos y Aduanas Nacionales- DIAN, sobre la información suministrada por los servicios informáticos electrónicos, relacionada con obligaciones trami</w:t>
      </w:r>
      <w:r>
        <w:rPr>
          <w:rFonts w:ascii="Arial" w:hAnsi="Arial" w:cs="Arial"/>
          <w:lang w:val="es-CO"/>
        </w:rPr>
        <w:t>tadas virtualmente ante la Unidad Administrativa Especial Dirección de Impuestos y Aduanas Nacionales- DIAN, y sin perjuicio de las que se fijen en el convenio de autorización, deberán cumplir además de las obligaciones que se deriven de los artículos ante</w:t>
      </w:r>
      <w:r>
        <w:rPr>
          <w:rFonts w:ascii="Arial" w:hAnsi="Arial" w:cs="Arial"/>
          <w:lang w:val="es-CO"/>
        </w:rPr>
        <w:t>riores, las siguientes:</w:t>
      </w:r>
    </w:p>
    <w:p w14:paraId="605BB5DB" w14:textId="77777777" w:rsidR="00B2442D" w:rsidRDefault="00B2442D">
      <w:pPr>
        <w:jc w:val="both"/>
        <w:rPr>
          <w:rFonts w:ascii="Arial" w:hAnsi="Arial" w:cs="Arial"/>
          <w:lang w:val="es-CO"/>
        </w:rPr>
      </w:pPr>
    </w:p>
    <w:p w14:paraId="395C8F64"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 xml:space="preserve">Efectuar transacciones de pago a través de canales electrónicos únicamente sobre recibos de pago generadas a través de los servicios informáticos electrónicos de la Unidad Administrativa Especial Dirección de Impuestos y Aduanas </w:t>
      </w:r>
      <w:r>
        <w:rPr>
          <w:rFonts w:ascii="Arial" w:hAnsi="Arial" w:cs="Arial"/>
          <w:lang w:val="es-CO"/>
        </w:rPr>
        <w:t>Nacionales- DIAN.</w:t>
      </w:r>
    </w:p>
    <w:p w14:paraId="2EF5BA55" w14:textId="77777777" w:rsidR="00B2442D" w:rsidRDefault="00B2442D">
      <w:pPr>
        <w:ind w:left="284" w:hanging="284"/>
        <w:jc w:val="both"/>
        <w:rPr>
          <w:rFonts w:ascii="Arial" w:hAnsi="Arial" w:cs="Arial"/>
          <w:lang w:val="es-CO"/>
        </w:rPr>
      </w:pPr>
    </w:p>
    <w:p w14:paraId="23FA21E7"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Realizar las verificaciones pertinentes previas a la transacción de pago. Entre otras: que el pago sea realizado dentro de la fecha límite y por el monto total del recibo, además de las exigencias que al interior de la entidad se apliq</w:t>
      </w:r>
      <w:r>
        <w:rPr>
          <w:rFonts w:ascii="Arial" w:hAnsi="Arial" w:cs="Arial"/>
          <w:lang w:val="es-CO"/>
        </w:rPr>
        <w:t>ue a este tipo de transacciones.</w:t>
      </w:r>
    </w:p>
    <w:p w14:paraId="4DF35849" w14:textId="77777777" w:rsidR="00B2442D" w:rsidRDefault="00B2442D">
      <w:pPr>
        <w:ind w:left="284" w:hanging="284"/>
        <w:jc w:val="both"/>
        <w:rPr>
          <w:rFonts w:ascii="Arial" w:hAnsi="Arial" w:cs="Arial"/>
          <w:lang w:val="es-CO"/>
        </w:rPr>
      </w:pPr>
    </w:p>
    <w:p w14:paraId="0B8EB94C"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Generar un número de autorización del pago y suministrarlo al interesado.</w:t>
      </w:r>
    </w:p>
    <w:p w14:paraId="7D6744BD" w14:textId="77777777" w:rsidR="00B2442D" w:rsidRDefault="00B2442D">
      <w:pPr>
        <w:ind w:left="284" w:hanging="284"/>
        <w:jc w:val="both"/>
        <w:rPr>
          <w:rFonts w:ascii="Arial" w:hAnsi="Arial" w:cs="Arial"/>
          <w:lang w:val="es-CO"/>
        </w:rPr>
      </w:pPr>
    </w:p>
    <w:p w14:paraId="7DC50656"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 xml:space="preserve">Confirmar al cliente la transacción financiera y la transacción electrónica a la Unidad Administrativa Especial Dirección de Impuestos y </w:t>
      </w:r>
      <w:r>
        <w:rPr>
          <w:rFonts w:ascii="Arial" w:hAnsi="Arial" w:cs="Arial"/>
          <w:lang w:val="es-CO"/>
        </w:rPr>
        <w:t>Aduanas Nacionales- DIAN.</w:t>
      </w:r>
    </w:p>
    <w:p w14:paraId="0A90FEDE" w14:textId="77777777" w:rsidR="00B2442D" w:rsidRDefault="00B2442D">
      <w:pPr>
        <w:ind w:left="284" w:hanging="284"/>
        <w:jc w:val="both"/>
        <w:rPr>
          <w:rFonts w:ascii="Arial" w:hAnsi="Arial" w:cs="Arial"/>
          <w:lang w:val="es-CO"/>
        </w:rPr>
      </w:pPr>
    </w:p>
    <w:p w14:paraId="778E343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En caso de autorizar la operación financiera, realizar el pago transfiriendo los fondos al esquema de recaudo establecido para la Unidad Administrativa Especial Dirección de Impuestos y Aduanas Nacionales- DIAN.</w:t>
      </w:r>
    </w:p>
    <w:p w14:paraId="2576B45F" w14:textId="77777777" w:rsidR="00B2442D" w:rsidRDefault="00B2442D">
      <w:pPr>
        <w:ind w:left="284" w:hanging="284"/>
        <w:jc w:val="both"/>
        <w:rPr>
          <w:rFonts w:ascii="Arial" w:hAnsi="Arial" w:cs="Arial"/>
          <w:lang w:val="es-CO"/>
        </w:rPr>
      </w:pPr>
    </w:p>
    <w:p w14:paraId="55F25A95"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Garantizar a</w:t>
      </w:r>
      <w:r>
        <w:rPr>
          <w:rFonts w:ascii="Arial" w:hAnsi="Arial" w:cs="Arial"/>
          <w:lang w:val="es-CO"/>
        </w:rPr>
        <w:t xml:space="preserve"> los clientes y a la Unidad Administrativa Especial Dirección de Impuestos y Aduanas Nacionales- DIAN las condiciones de seguridad y confiabilidad de la transacción de pago y posterior transferencia a la Dirección General de Crédito Público y Tesoro Nacion</w:t>
      </w:r>
      <w:r>
        <w:rPr>
          <w:rFonts w:ascii="Arial" w:hAnsi="Arial" w:cs="Arial"/>
          <w:lang w:val="es-CO"/>
        </w:rPr>
        <w:t>al.</w:t>
      </w:r>
    </w:p>
    <w:p w14:paraId="4D89D733" w14:textId="77777777" w:rsidR="00B2442D" w:rsidRDefault="00B2442D">
      <w:pPr>
        <w:jc w:val="both"/>
        <w:rPr>
          <w:rFonts w:ascii="Arial" w:hAnsi="Arial" w:cs="Arial"/>
          <w:lang w:val="es-CO"/>
        </w:rPr>
      </w:pPr>
    </w:p>
    <w:p w14:paraId="3C11ADE6" w14:textId="77777777" w:rsidR="00B2442D" w:rsidRDefault="008A645F">
      <w:pPr>
        <w:pStyle w:val="Prrafodelista"/>
        <w:numPr>
          <w:ilvl w:val="0"/>
          <w:numId w:val="153"/>
        </w:numPr>
        <w:ind w:left="284" w:hanging="284"/>
        <w:jc w:val="both"/>
        <w:rPr>
          <w:rFonts w:ascii="Arial" w:hAnsi="Arial" w:cs="Arial"/>
          <w:lang w:val="es-CO"/>
        </w:rPr>
      </w:pPr>
      <w:r>
        <w:rPr>
          <w:rFonts w:ascii="Arial" w:hAnsi="Arial" w:cs="Arial"/>
          <w:lang w:val="es-CO"/>
        </w:rPr>
        <w:t>Entregar la información que la Unidad Administrativa Especial Dirección de Impuestos y Aduanas Nacionales- DIAN solicite con el contenido y en las condiciones de tiempo, modo, lugar y especificación técnica que la misma establezca.</w:t>
      </w:r>
    </w:p>
    <w:p w14:paraId="0D491963" w14:textId="77777777" w:rsidR="00B2442D" w:rsidRDefault="00B2442D">
      <w:pPr>
        <w:jc w:val="both"/>
        <w:rPr>
          <w:rFonts w:ascii="Arial" w:hAnsi="Arial" w:cs="Arial"/>
          <w:lang w:val="es-CO"/>
        </w:rPr>
      </w:pPr>
    </w:p>
    <w:p w14:paraId="485FB3B8" w14:textId="77777777" w:rsidR="00B2442D" w:rsidRDefault="008A645F">
      <w:pPr>
        <w:jc w:val="both"/>
        <w:rPr>
          <w:rFonts w:ascii="Arial" w:hAnsi="Arial" w:cs="Arial"/>
          <w:i/>
          <w:lang w:val="es-CO"/>
        </w:rPr>
      </w:pPr>
      <w:r>
        <w:rPr>
          <w:rFonts w:ascii="Arial" w:hAnsi="Arial" w:cs="Arial"/>
          <w:i/>
          <w:lang w:val="es-CO"/>
        </w:rPr>
        <w:t>(Art. 6, Decreto 1</w:t>
      </w:r>
      <w:r>
        <w:rPr>
          <w:rFonts w:ascii="Arial" w:hAnsi="Arial" w:cs="Arial"/>
          <w:i/>
          <w:lang w:val="es-CO"/>
        </w:rPr>
        <w:t>791 de 2007) (Vigencia del Decreto 1791 de 2007. Las normas expedidas con fundamento en los Decretos 408 de 2001, 4694 de 2005 y 1849 de 2006, vigentes a la fecha de entrada en vigencia del Decreto 1791 de 2007, que no sean contrarias a lo dispuesto en est</w:t>
      </w:r>
      <w:r>
        <w:rPr>
          <w:rFonts w:ascii="Arial" w:hAnsi="Arial" w:cs="Arial"/>
          <w:i/>
          <w:lang w:val="es-CO"/>
        </w:rPr>
        <w:t>e último continuarán vigentes. (Art. 10, Decreto 1791 de 2007))</w:t>
      </w:r>
      <w:r>
        <w:rPr>
          <w:rFonts w:ascii="Arial" w:hAnsi="Arial" w:cs="Arial"/>
        </w:rPr>
        <w:t xml:space="preserve"> </w:t>
      </w:r>
      <w:r>
        <w:rPr>
          <w:rFonts w:ascii="Arial" w:hAnsi="Arial" w:cs="Arial"/>
          <w:i/>
          <w:lang w:val="es-CO"/>
        </w:rPr>
        <w:t>(El Decreto 1791 de 2007 rige a partir de la fecha de su publicación y deroga los Decretos 408 'de 2001, 4694 de 2005 y los artículos 1o, 2o y 3o del Decreto 1849 de 2006. Art. 11, Decreto 179</w:t>
      </w:r>
      <w:r>
        <w:rPr>
          <w:rFonts w:ascii="Arial" w:hAnsi="Arial" w:cs="Arial"/>
          <w:i/>
          <w:lang w:val="es-CO"/>
        </w:rPr>
        <w:t>1 de 2007)</w:t>
      </w:r>
    </w:p>
    <w:p w14:paraId="1A7E81FF" w14:textId="77777777" w:rsidR="00B2442D" w:rsidRDefault="00B2442D">
      <w:pPr>
        <w:jc w:val="both"/>
        <w:rPr>
          <w:rFonts w:ascii="Arial" w:hAnsi="Arial" w:cs="Arial"/>
          <w:lang w:val="es-CO"/>
        </w:rPr>
      </w:pPr>
    </w:p>
    <w:p w14:paraId="024DD98D"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Aplicación.</w:t>
      </w:r>
      <w:r>
        <w:rPr>
          <w:rFonts w:ascii="Arial" w:hAnsi="Arial" w:cs="Arial"/>
          <w:lang w:val="es-CO"/>
        </w:rPr>
        <w:t xml:space="preserve"> Las condiciones establecidas en los artículos 1.6.1.11.1 al 1.6.1.11.9 del presente Decreto, aplican a las declaraciones iníciales, extemporáneas y correcciones por los conceptos en relación con los cuales al 22 de agosto de 2013 (</w:t>
      </w:r>
      <w:r>
        <w:rPr>
          <w:rFonts w:ascii="Arial" w:hAnsi="Arial" w:cs="Arial"/>
          <w:lang w:val="es-CO"/>
        </w:rPr>
        <w:t>D. O. 48890) se encuentre implementada la presentación a través de los servicios informáticos electrónicos de la Unidad Administrativa Especial Dirección de Impuestos y Aduanas Nacionales- DIAN, así como sobre las demás declaraciones o impuestos administra</w:t>
      </w:r>
      <w:r>
        <w:rPr>
          <w:rFonts w:ascii="Arial" w:hAnsi="Arial" w:cs="Arial"/>
          <w:lang w:val="es-CO"/>
        </w:rPr>
        <w:t>dos por la Unidad Administrativa Especial Dirección de Impuestos y Aduanas Nacionales- DIAN, que la misma señale.</w:t>
      </w:r>
    </w:p>
    <w:p w14:paraId="7F9F9564" w14:textId="77777777" w:rsidR="00B2442D" w:rsidRDefault="00B2442D">
      <w:pPr>
        <w:jc w:val="both"/>
        <w:rPr>
          <w:rFonts w:ascii="Arial" w:hAnsi="Arial" w:cs="Arial"/>
          <w:lang w:val="es-CO"/>
        </w:rPr>
      </w:pPr>
    </w:p>
    <w:p w14:paraId="28330CC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contribuyentes, responsables, agentes de retención y declarantes, obligados a presentar electrónicamente las declaraciones, d</w:t>
      </w:r>
      <w:r>
        <w:rPr>
          <w:rFonts w:ascii="Arial" w:hAnsi="Arial" w:cs="Arial"/>
          <w:lang w:val="es-CO"/>
        </w:rPr>
        <w:t>eberán presentar las declaraciones en forma manual, en los siguientes casos:</w:t>
      </w:r>
    </w:p>
    <w:p w14:paraId="497CF00D" w14:textId="77777777" w:rsidR="00B2442D" w:rsidRDefault="00B2442D">
      <w:pPr>
        <w:jc w:val="both"/>
        <w:rPr>
          <w:rFonts w:ascii="Arial" w:hAnsi="Arial" w:cs="Arial"/>
          <w:lang w:val="es-CO"/>
        </w:rPr>
      </w:pPr>
    </w:p>
    <w:p w14:paraId="5911F571"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Declaraciones de renta y complementario o de ingresos y patrimonio, iniciales o de corrección, para:</w:t>
      </w:r>
    </w:p>
    <w:p w14:paraId="2101DE46" w14:textId="77777777" w:rsidR="00B2442D" w:rsidRDefault="00B2442D">
      <w:pPr>
        <w:jc w:val="both"/>
        <w:rPr>
          <w:rFonts w:ascii="Arial" w:hAnsi="Arial" w:cs="Arial"/>
          <w:lang w:val="es-CO"/>
        </w:rPr>
      </w:pPr>
    </w:p>
    <w:p w14:paraId="5FB8DE52" w14:textId="77777777" w:rsidR="00B2442D" w:rsidRDefault="008A645F">
      <w:pPr>
        <w:pStyle w:val="Prrafodelista"/>
        <w:numPr>
          <w:ilvl w:val="0"/>
          <w:numId w:val="5"/>
        </w:numPr>
        <w:ind w:left="426" w:hanging="426"/>
        <w:jc w:val="both"/>
        <w:rPr>
          <w:rFonts w:ascii="Arial" w:hAnsi="Arial" w:cs="Arial"/>
          <w:lang w:val="es-CO"/>
        </w:rPr>
      </w:pPr>
      <w:r>
        <w:rPr>
          <w:rFonts w:ascii="Arial" w:hAnsi="Arial" w:cs="Arial"/>
          <w:lang w:val="es-CO"/>
        </w:rPr>
        <w:t>Instituciones financieras intervenidas;</w:t>
      </w:r>
    </w:p>
    <w:p w14:paraId="5235E726" w14:textId="77777777" w:rsidR="00B2442D" w:rsidRDefault="00B2442D">
      <w:pPr>
        <w:pStyle w:val="Prrafodelista"/>
        <w:ind w:left="426" w:hanging="426"/>
        <w:jc w:val="both"/>
        <w:rPr>
          <w:rFonts w:ascii="Arial" w:hAnsi="Arial" w:cs="Arial"/>
          <w:lang w:val="es-CO"/>
        </w:rPr>
      </w:pPr>
    </w:p>
    <w:p w14:paraId="78F18434" w14:textId="77777777" w:rsidR="00B2442D" w:rsidRDefault="008A645F">
      <w:pPr>
        <w:pStyle w:val="Prrafodelista"/>
        <w:numPr>
          <w:ilvl w:val="0"/>
          <w:numId w:val="5"/>
        </w:numPr>
        <w:ind w:left="426" w:hanging="426"/>
        <w:jc w:val="both"/>
        <w:rPr>
          <w:rFonts w:ascii="Arial" w:hAnsi="Arial" w:cs="Arial"/>
          <w:lang w:val="es-CO"/>
        </w:rPr>
      </w:pPr>
      <w:r>
        <w:rPr>
          <w:rFonts w:ascii="Arial" w:hAnsi="Arial" w:cs="Arial"/>
          <w:lang w:val="es-CO"/>
        </w:rPr>
        <w:t xml:space="preserve">Sucursales de </w:t>
      </w:r>
      <w:r>
        <w:rPr>
          <w:rFonts w:ascii="Arial" w:hAnsi="Arial" w:cs="Arial"/>
          <w:lang w:val="es-CO"/>
        </w:rPr>
        <w:t>sociedades extranjeras o personas naturales no residentes que presten en forma regular el servicio de transporte aéreo, marítimo, terrestre o fluvial entre lugares colombianos y extranjeros;</w:t>
      </w:r>
    </w:p>
    <w:p w14:paraId="6469B234" w14:textId="77777777" w:rsidR="00B2442D" w:rsidRDefault="00B2442D">
      <w:pPr>
        <w:ind w:left="426" w:hanging="426"/>
        <w:jc w:val="both"/>
        <w:rPr>
          <w:rFonts w:ascii="Arial" w:hAnsi="Arial" w:cs="Arial"/>
          <w:lang w:val="es-CO"/>
        </w:rPr>
      </w:pPr>
    </w:p>
    <w:p w14:paraId="45E663B6" w14:textId="77777777" w:rsidR="00B2442D" w:rsidRDefault="008A645F">
      <w:pPr>
        <w:pStyle w:val="Prrafodelista"/>
        <w:numPr>
          <w:ilvl w:val="0"/>
          <w:numId w:val="5"/>
        </w:numPr>
        <w:ind w:left="426" w:hanging="426"/>
        <w:jc w:val="both"/>
        <w:rPr>
          <w:rFonts w:ascii="Arial" w:hAnsi="Arial" w:cs="Arial"/>
          <w:lang w:val="es-CO"/>
        </w:rPr>
      </w:pPr>
      <w:r>
        <w:rPr>
          <w:rFonts w:ascii="Arial" w:hAnsi="Arial" w:cs="Arial"/>
          <w:lang w:val="es-CO"/>
        </w:rPr>
        <w:t>Entidades cooperativas de integración, del régimen tributario es</w:t>
      </w:r>
      <w:r>
        <w:rPr>
          <w:rFonts w:ascii="Arial" w:hAnsi="Arial" w:cs="Arial"/>
          <w:lang w:val="es-CO"/>
        </w:rPr>
        <w:t>pecial del impuesto sobre la renta;</w:t>
      </w:r>
    </w:p>
    <w:p w14:paraId="328C0965" w14:textId="77777777" w:rsidR="00B2442D" w:rsidRDefault="00B2442D">
      <w:pPr>
        <w:ind w:left="426" w:hanging="426"/>
        <w:jc w:val="both"/>
        <w:rPr>
          <w:rFonts w:ascii="Arial" w:hAnsi="Arial" w:cs="Arial"/>
          <w:lang w:val="es-CO"/>
        </w:rPr>
      </w:pPr>
    </w:p>
    <w:p w14:paraId="41513E15" w14:textId="77777777" w:rsidR="00B2442D" w:rsidRDefault="008A645F">
      <w:pPr>
        <w:pStyle w:val="Prrafodelista"/>
        <w:numPr>
          <w:ilvl w:val="0"/>
          <w:numId w:val="5"/>
        </w:numPr>
        <w:ind w:left="426" w:hanging="426"/>
        <w:jc w:val="both"/>
        <w:rPr>
          <w:rFonts w:ascii="Arial" w:hAnsi="Arial" w:cs="Arial"/>
          <w:lang w:val="es-CO"/>
        </w:rPr>
      </w:pPr>
      <w:r>
        <w:rPr>
          <w:rFonts w:ascii="Arial" w:hAnsi="Arial" w:cs="Arial"/>
          <w:lang w:val="es-CO"/>
        </w:rPr>
        <w:t>Sociedades y entidades extranjeras de cualquier naturaleza y personas naturales sin domicilio o residencia en el país, que hayan percibido ingresos por conceptos diferentes a los señalados en los artículos 407 a 411 y 4</w:t>
      </w:r>
      <w:r>
        <w:rPr>
          <w:rFonts w:ascii="Arial" w:hAnsi="Arial" w:cs="Arial"/>
          <w:lang w:val="es-CO"/>
        </w:rPr>
        <w:t>14-1 del Estatuto Tributario o cuando la totalidad de los pagos por tales conceptos no se hayan sometido a retención en la fuente;</w:t>
      </w:r>
    </w:p>
    <w:p w14:paraId="64C79606" w14:textId="77777777" w:rsidR="00B2442D" w:rsidRDefault="00B2442D">
      <w:pPr>
        <w:ind w:left="426" w:hanging="426"/>
        <w:jc w:val="both"/>
        <w:rPr>
          <w:rFonts w:ascii="Arial" w:hAnsi="Arial" w:cs="Arial"/>
          <w:lang w:val="es-CO"/>
        </w:rPr>
      </w:pPr>
    </w:p>
    <w:p w14:paraId="57D361AF" w14:textId="77777777" w:rsidR="00B2442D" w:rsidRDefault="008A645F">
      <w:pPr>
        <w:ind w:left="426" w:hanging="426"/>
        <w:jc w:val="both"/>
        <w:rPr>
          <w:rFonts w:ascii="Arial" w:hAnsi="Arial" w:cs="Arial"/>
          <w:lang w:val="es-CO"/>
        </w:rPr>
      </w:pPr>
      <w:r>
        <w:rPr>
          <w:rFonts w:ascii="Arial" w:hAnsi="Arial" w:cs="Arial"/>
          <w:lang w:val="es-CO"/>
        </w:rPr>
        <w:t>e)</w:t>
      </w:r>
      <w:r>
        <w:rPr>
          <w:rFonts w:ascii="Arial" w:hAnsi="Arial" w:cs="Arial"/>
          <w:lang w:val="es-CO"/>
        </w:rPr>
        <w:tab/>
        <w:t>Cambio de titular de inversión extranjera.</w:t>
      </w:r>
    </w:p>
    <w:p w14:paraId="635759ED" w14:textId="77777777" w:rsidR="00B2442D" w:rsidRDefault="00B2442D">
      <w:pPr>
        <w:jc w:val="both"/>
        <w:rPr>
          <w:rFonts w:ascii="Arial" w:hAnsi="Arial" w:cs="Arial"/>
          <w:lang w:val="es-CO"/>
        </w:rPr>
      </w:pPr>
    </w:p>
    <w:p w14:paraId="2921D3C2"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Declaraciones de corrección, cuando existe una liquidación oficial de corr</w:t>
      </w:r>
      <w:r>
        <w:rPr>
          <w:rFonts w:ascii="Arial" w:hAnsi="Arial" w:cs="Arial"/>
          <w:lang w:val="es-CO"/>
        </w:rPr>
        <w:t>ección anterior que presenta un saldo a pagar inferior o saldo a favor superior.</w:t>
      </w:r>
    </w:p>
    <w:p w14:paraId="11C57A38" w14:textId="77777777" w:rsidR="00B2442D" w:rsidRDefault="00B2442D">
      <w:pPr>
        <w:ind w:left="284" w:hanging="284"/>
        <w:jc w:val="both"/>
        <w:rPr>
          <w:rFonts w:ascii="Arial" w:hAnsi="Arial" w:cs="Arial"/>
          <w:lang w:val="es-CO"/>
        </w:rPr>
      </w:pPr>
    </w:p>
    <w:p w14:paraId="5FEE676C"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Declaraciones de corrección del parágrafo 1 del artículo 588 del Estatuto Tributario, cuando se encuentre vencido el término para corregir previsto en este artículo, siemp</w:t>
      </w:r>
      <w:r>
        <w:rPr>
          <w:rFonts w:ascii="Arial" w:hAnsi="Arial" w:cs="Arial"/>
          <w:lang w:val="es-CO"/>
        </w:rPr>
        <w:t>re y cuando se realice en el término de respuesta al pliego de cargos o el emplazamiento para corregir.</w:t>
      </w:r>
    </w:p>
    <w:p w14:paraId="58027319" w14:textId="77777777" w:rsidR="00B2442D" w:rsidRDefault="00B2442D">
      <w:pPr>
        <w:ind w:left="284" w:hanging="284"/>
        <w:jc w:val="both"/>
        <w:rPr>
          <w:rFonts w:ascii="Arial" w:hAnsi="Arial" w:cs="Arial"/>
          <w:lang w:val="es-CO"/>
        </w:rPr>
      </w:pPr>
    </w:p>
    <w:p w14:paraId="71067041"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Las declaraciones extemporáneas y/o de corrección correspondientes a los períodos anteriores a la vigencia de la resolución que impone la obligación</w:t>
      </w:r>
      <w:r>
        <w:rPr>
          <w:rFonts w:ascii="Arial" w:hAnsi="Arial" w:cs="Arial"/>
          <w:lang w:val="es-CO"/>
        </w:rPr>
        <w:t xml:space="preserve"> de presentar por los sistemas informáticos electrónicos la presentación de las declaraciones.</w:t>
      </w:r>
    </w:p>
    <w:p w14:paraId="1F0D5637" w14:textId="77777777" w:rsidR="00B2442D" w:rsidRDefault="00B2442D">
      <w:pPr>
        <w:jc w:val="both"/>
        <w:rPr>
          <w:rFonts w:ascii="Arial" w:hAnsi="Arial" w:cs="Arial"/>
          <w:lang w:val="es-CO"/>
        </w:rPr>
      </w:pPr>
    </w:p>
    <w:p w14:paraId="5DB14555" w14:textId="77777777" w:rsidR="00B2442D" w:rsidRDefault="008A645F">
      <w:pPr>
        <w:jc w:val="both"/>
        <w:rPr>
          <w:rFonts w:ascii="Arial" w:hAnsi="Arial" w:cs="Arial"/>
          <w:i/>
          <w:lang w:val="es-CO"/>
        </w:rPr>
      </w:pPr>
      <w:r>
        <w:rPr>
          <w:rFonts w:ascii="Arial" w:hAnsi="Arial" w:cs="Arial"/>
          <w:i/>
          <w:lang w:val="es-CO"/>
        </w:rPr>
        <w:t xml:space="preserve">(Art. 7, Decreto 1791 de 2007. Los numerales 1, 2 y 3 del parágrafo tienen pérdida de vigencia por cumplimiento del plazo. Numeral 4° literal c) modificado por </w:t>
      </w:r>
      <w:r>
        <w:rPr>
          <w:rFonts w:ascii="Arial" w:hAnsi="Arial" w:cs="Arial"/>
          <w:i/>
          <w:lang w:val="es-CO"/>
        </w:rPr>
        <w:t>el art. 42 del Decreto 4929 de 2009) (Vigencia del Decreto 1791 de 2007. Las normas expedidas con fundamento en los Decretos 408 de 2001, 4694 de 2005 y 1849 de 2006, vigentes a la fecha de entrada en vigencia del Decreto 1791 de 2007, que no sean contrari</w:t>
      </w:r>
      <w:r>
        <w:rPr>
          <w:rFonts w:ascii="Arial" w:hAnsi="Arial" w:cs="Arial"/>
          <w:i/>
          <w:lang w:val="es-CO"/>
        </w:rPr>
        <w:t>as a lo dispuesto en este último continuarán vigentes. Art. 10, Decreto 1791 de 2007))</w:t>
      </w:r>
      <w:r>
        <w:rPr>
          <w:rFonts w:ascii="Arial" w:hAnsi="Arial" w:cs="Arial"/>
        </w:rPr>
        <w:t xml:space="preserve"> </w:t>
      </w:r>
      <w:r>
        <w:rPr>
          <w:rFonts w:ascii="Arial" w:hAnsi="Arial" w:cs="Arial"/>
          <w:i/>
          <w:lang w:val="es-CO"/>
        </w:rPr>
        <w:t>(El Decreto 1791 de 2007 rige a partir de la fecha de su publicación y deroga los Decretos 408 'de 2001, 4694 de 2005 y los artículos 1o, 2o y 3o del Decreto 1849 de 200</w:t>
      </w:r>
      <w:r>
        <w:rPr>
          <w:rFonts w:ascii="Arial" w:hAnsi="Arial" w:cs="Arial"/>
          <w:i/>
          <w:lang w:val="es-CO"/>
        </w:rPr>
        <w:t>6. Art. 11, Decreto 1791 de 2007)</w:t>
      </w:r>
    </w:p>
    <w:p w14:paraId="74BDC769" w14:textId="77777777" w:rsidR="00B2442D" w:rsidRDefault="00B2442D">
      <w:pPr>
        <w:jc w:val="both"/>
        <w:rPr>
          <w:rFonts w:ascii="Arial" w:hAnsi="Arial" w:cs="Arial"/>
          <w:lang w:val="es-CO"/>
        </w:rPr>
      </w:pPr>
    </w:p>
    <w:p w14:paraId="2F97F8D0"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Valor probatorio.</w:t>
      </w:r>
      <w:r>
        <w:rPr>
          <w:rFonts w:ascii="Arial" w:hAnsi="Arial" w:cs="Arial"/>
          <w:lang w:val="es-CO"/>
        </w:rPr>
        <w:t xml:space="preserve"> Para todos los efectos jurídicos, las declaraciones presentadas a través de los servicios informáticos electrónicos y los recibos que soportan las transacciones de pago electrónicas reemplazarán los doc</w:t>
      </w:r>
      <w:r>
        <w:rPr>
          <w:rFonts w:ascii="Arial" w:hAnsi="Arial" w:cs="Arial"/>
          <w:lang w:val="es-CO"/>
        </w:rPr>
        <w:t>umentos físicos en papel.</w:t>
      </w:r>
    </w:p>
    <w:p w14:paraId="74310C2A" w14:textId="77777777" w:rsidR="00B2442D" w:rsidRDefault="00B2442D">
      <w:pPr>
        <w:jc w:val="both"/>
        <w:rPr>
          <w:rFonts w:ascii="Arial" w:hAnsi="Arial" w:cs="Arial"/>
          <w:lang w:val="es-CO"/>
        </w:rPr>
      </w:pPr>
    </w:p>
    <w:p w14:paraId="18ACA7D6" w14:textId="77777777" w:rsidR="00B2442D" w:rsidRDefault="008A645F">
      <w:pPr>
        <w:jc w:val="both"/>
        <w:rPr>
          <w:rFonts w:ascii="Arial" w:hAnsi="Arial" w:cs="Arial"/>
          <w:lang w:val="es-CO"/>
        </w:rPr>
      </w:pPr>
      <w:r>
        <w:rPr>
          <w:rFonts w:ascii="Arial" w:hAnsi="Arial" w:cs="Arial"/>
          <w:lang w:val="es-CO"/>
        </w:rPr>
        <w:t xml:space="preserve">Cuando el contribuyente requiera presentar ante terceros o cuando autoridad competente solicite copia de la declaración o recibo de pago, la impresión en papel que se haga de dichos documentos, tendrá valor probatorio, siempre y </w:t>
      </w:r>
      <w:r>
        <w:rPr>
          <w:rFonts w:ascii="Arial" w:hAnsi="Arial" w:cs="Arial"/>
          <w:lang w:val="es-CO"/>
        </w:rPr>
        <w:t>cuando se impriman a través de los mismos servicios informáticos electrónicos de que disponga la entidad.</w:t>
      </w:r>
    </w:p>
    <w:p w14:paraId="32AF8AE5" w14:textId="77777777" w:rsidR="00B2442D" w:rsidRDefault="00B2442D">
      <w:pPr>
        <w:jc w:val="both"/>
        <w:rPr>
          <w:rFonts w:ascii="Arial" w:hAnsi="Arial" w:cs="Arial"/>
          <w:lang w:val="es-CO"/>
        </w:rPr>
      </w:pPr>
    </w:p>
    <w:p w14:paraId="137037FB" w14:textId="77777777" w:rsidR="00B2442D" w:rsidRDefault="008A645F">
      <w:pPr>
        <w:jc w:val="both"/>
        <w:rPr>
          <w:rFonts w:ascii="Arial" w:hAnsi="Arial" w:cs="Arial"/>
          <w:i/>
          <w:lang w:val="es-CO"/>
        </w:rPr>
      </w:pPr>
      <w:r>
        <w:rPr>
          <w:rFonts w:ascii="Arial" w:hAnsi="Arial" w:cs="Arial"/>
          <w:i/>
          <w:lang w:val="es-CO"/>
        </w:rPr>
        <w:t>(Art. 8, Decreto 1791 de 2007) (Vigencia del Decreto 1791 de 2007. Las normas expedidas con fundamento en los Decretos 408 de 2001, 4694 de 2005 y 18</w:t>
      </w:r>
      <w:r>
        <w:rPr>
          <w:rFonts w:ascii="Arial" w:hAnsi="Arial" w:cs="Arial"/>
          <w:i/>
          <w:lang w:val="es-CO"/>
        </w:rPr>
        <w:t>49 de 2006, vigentes a la fecha de entrada en vigencia del Decreto 1791 de 2007, que no sean contrarias a lo dispuesto en este último continuarán vigentes. Art. 10, Decreto 1791 de 2007))</w:t>
      </w:r>
      <w:r>
        <w:rPr>
          <w:rFonts w:ascii="Arial" w:hAnsi="Arial" w:cs="Arial"/>
        </w:rPr>
        <w:t xml:space="preserve"> </w:t>
      </w:r>
      <w:r>
        <w:rPr>
          <w:rFonts w:ascii="Arial" w:hAnsi="Arial" w:cs="Arial"/>
          <w:i/>
          <w:lang w:val="es-CO"/>
        </w:rPr>
        <w:t xml:space="preserve">(El Decreto 1791 de 2007 rige a partir de la fecha de su </w:t>
      </w:r>
      <w:r>
        <w:rPr>
          <w:rFonts w:ascii="Arial" w:hAnsi="Arial" w:cs="Arial"/>
          <w:i/>
          <w:lang w:val="es-CO"/>
        </w:rPr>
        <w:t>publicación y deroga los Decretos 408 'de 2001, 4694 de 2005 y los artículos 1o, 2o y 3o del Decreto 1849 de 2006. Art. 11, Decreto 1791 de 2007)</w:t>
      </w:r>
    </w:p>
    <w:p w14:paraId="532041EB" w14:textId="77777777" w:rsidR="00B2442D" w:rsidRDefault="00B2442D">
      <w:pPr>
        <w:jc w:val="both"/>
        <w:rPr>
          <w:rFonts w:ascii="Arial" w:hAnsi="Arial" w:cs="Arial"/>
          <w:lang w:val="es-CO"/>
        </w:rPr>
      </w:pPr>
    </w:p>
    <w:p w14:paraId="178DB4E2" w14:textId="77777777" w:rsidR="00B2442D" w:rsidRDefault="008A645F">
      <w:pPr>
        <w:pStyle w:val="Prrafodelista"/>
        <w:numPr>
          <w:ilvl w:val="0"/>
          <w:numId w:val="113"/>
        </w:numPr>
        <w:ind w:left="0" w:firstLine="0"/>
        <w:jc w:val="both"/>
        <w:rPr>
          <w:rFonts w:ascii="Arial" w:hAnsi="Arial" w:cs="Arial"/>
          <w:lang w:val="es-CO"/>
        </w:rPr>
      </w:pPr>
      <w:r>
        <w:rPr>
          <w:rFonts w:ascii="Arial" w:hAnsi="Arial" w:cs="Arial"/>
          <w:b/>
          <w:i/>
          <w:lang w:val="es-CO"/>
        </w:rPr>
        <w:t xml:space="preserve"> Actualización de información.</w:t>
      </w:r>
      <w:r>
        <w:rPr>
          <w:rFonts w:ascii="Arial" w:hAnsi="Arial" w:cs="Arial"/>
          <w:lang w:val="es-CO"/>
        </w:rPr>
        <w:t xml:space="preserve"> Cuando para la presentación electrónica de declaraciones, y el diligenciamiento de los recibos de pago, ante la Unidad Administrativa Especial Dirección de Impuestos y Aduanas Nacionales- DIAN, se requiera actualizar la información del Registro Único Trib</w:t>
      </w:r>
      <w:r>
        <w:rPr>
          <w:rFonts w:ascii="Arial" w:hAnsi="Arial" w:cs="Arial"/>
          <w:lang w:val="es-CO"/>
        </w:rPr>
        <w:t>utario – RUT - respecto de la ubicación del contribuyente, responsable o agente de retención, así como de información de clasificación, los servicios informáticos electrónicos permitirán efectuar el trámite en las condiciones y seguridades mencionadas en e</w:t>
      </w:r>
      <w:r>
        <w:rPr>
          <w:rFonts w:ascii="Arial" w:hAnsi="Arial" w:cs="Arial"/>
          <w:lang w:val="es-CO"/>
        </w:rPr>
        <w:t>l artículo 1.6.1.11.1 del presente Decreto.</w:t>
      </w:r>
    </w:p>
    <w:p w14:paraId="3260F3C8" w14:textId="77777777" w:rsidR="00B2442D" w:rsidRDefault="00B2442D">
      <w:pPr>
        <w:jc w:val="both"/>
        <w:rPr>
          <w:rFonts w:ascii="Arial" w:hAnsi="Arial" w:cs="Arial"/>
          <w:lang w:val="es-CO"/>
        </w:rPr>
      </w:pPr>
    </w:p>
    <w:p w14:paraId="4C75038A" w14:textId="77777777" w:rsidR="00B2442D" w:rsidRDefault="008A645F">
      <w:pPr>
        <w:jc w:val="both"/>
        <w:rPr>
          <w:rFonts w:ascii="Arial" w:hAnsi="Arial" w:cs="Arial"/>
          <w:lang w:val="es-CO"/>
        </w:rPr>
      </w:pPr>
      <w:r>
        <w:rPr>
          <w:rFonts w:ascii="Arial" w:hAnsi="Arial" w:cs="Arial"/>
          <w:lang w:val="es-CO"/>
        </w:rPr>
        <w:t>En los demás casos se debe dar aplicación al procedimiento establecido en el capítulo 2 del Título 1, Parte 6 del presente Decreto y las normas que lo modifiquen o adicionen.</w:t>
      </w:r>
    </w:p>
    <w:p w14:paraId="4015B4B4" w14:textId="77777777" w:rsidR="00B2442D" w:rsidRDefault="00B2442D">
      <w:pPr>
        <w:jc w:val="both"/>
        <w:rPr>
          <w:rFonts w:ascii="Arial" w:hAnsi="Arial" w:cs="Arial"/>
          <w:lang w:val="es-CO"/>
        </w:rPr>
      </w:pPr>
    </w:p>
    <w:p w14:paraId="1BC222A0" w14:textId="77777777" w:rsidR="00B2442D" w:rsidRDefault="008A645F">
      <w:pPr>
        <w:jc w:val="both"/>
        <w:rPr>
          <w:rFonts w:ascii="Arial" w:hAnsi="Arial" w:cs="Arial"/>
          <w:i/>
          <w:lang w:val="es-CO"/>
        </w:rPr>
      </w:pPr>
      <w:r>
        <w:rPr>
          <w:rFonts w:ascii="Arial" w:hAnsi="Arial" w:cs="Arial"/>
          <w:i/>
          <w:lang w:val="es-CO"/>
        </w:rPr>
        <w:t>(Art. 9, Decreto 1791 de 2007) (Vig</w:t>
      </w:r>
      <w:r>
        <w:rPr>
          <w:rFonts w:ascii="Arial" w:hAnsi="Arial" w:cs="Arial"/>
          <w:i/>
          <w:lang w:val="es-CO"/>
        </w:rPr>
        <w:t>encia del Decreto 1791 de 2007. Las normas expedidas con fundamento en los Decretos 408 de 2001, 4694 de 2005 y 1849 de 2006, vigentes a la fecha de entrada en vigencia del Decreto 1791 de 2007, que no sean contrarias a lo dispuesto en este último continua</w:t>
      </w:r>
      <w:r>
        <w:rPr>
          <w:rFonts w:ascii="Arial" w:hAnsi="Arial" w:cs="Arial"/>
          <w:i/>
          <w:lang w:val="es-CO"/>
        </w:rPr>
        <w:t>rán vigentes. Art. 10, Decreto 1791 de 2007))</w:t>
      </w:r>
      <w:r>
        <w:rPr>
          <w:rFonts w:ascii="Arial" w:hAnsi="Arial" w:cs="Arial"/>
        </w:rPr>
        <w:t xml:space="preserve"> </w:t>
      </w:r>
      <w:r>
        <w:rPr>
          <w:rFonts w:ascii="Arial" w:hAnsi="Arial" w:cs="Arial"/>
          <w:i/>
          <w:lang w:val="es-CO"/>
        </w:rPr>
        <w:t>(El Decreto 1791 de 2007 rige a partir de la fecha de su publicación y deroga los Decretos 408 'de 2001, 4694 de 2005 y los artículos 1o, 2o y 3o del Decreto 1849 de 2006. Art. 11, Decreto 1791 de 2007)</w:t>
      </w:r>
    </w:p>
    <w:p w14:paraId="01B727AD" w14:textId="77777777" w:rsidR="00B2442D" w:rsidRDefault="00B2442D">
      <w:pPr>
        <w:jc w:val="both"/>
        <w:rPr>
          <w:rFonts w:ascii="Arial" w:hAnsi="Arial" w:cs="Arial"/>
          <w:i/>
          <w:lang w:val="es-CO"/>
        </w:rPr>
      </w:pPr>
    </w:p>
    <w:p w14:paraId="6A79B943" w14:textId="77777777" w:rsidR="00B2442D" w:rsidRDefault="008A645F">
      <w:pPr>
        <w:pStyle w:val="Prrafodelista"/>
        <w:widowControl w:val="0"/>
        <w:numPr>
          <w:ilvl w:val="0"/>
          <w:numId w:val="113"/>
        </w:numPr>
        <w:autoSpaceDE w:val="0"/>
        <w:autoSpaceDN w:val="0"/>
        <w:adjustRightInd w:val="0"/>
        <w:spacing w:line="40" w:lineRule="atLeast"/>
        <w:ind w:left="0" w:firstLine="0"/>
        <w:jc w:val="both"/>
        <w:rPr>
          <w:rFonts w:ascii="Arial" w:hAnsi="Arial" w:cs="Arial"/>
        </w:rPr>
      </w:pPr>
      <w:r>
        <w:rPr>
          <w:rFonts w:ascii="Arial" w:hAnsi="Arial" w:cs="Arial"/>
          <w:vanish/>
        </w:rPr>
        <w:t>&amp;$</w:t>
      </w:r>
      <w:r>
        <w:rPr>
          <w:rFonts w:ascii="Arial" w:hAnsi="Arial" w:cs="Arial"/>
          <w:b/>
          <w:bCs/>
          <w:i/>
        </w:rPr>
        <w:t>Decl</w:t>
      </w:r>
      <w:r>
        <w:rPr>
          <w:rFonts w:ascii="Arial" w:hAnsi="Arial" w:cs="Arial"/>
          <w:b/>
          <w:bCs/>
          <w:i/>
        </w:rPr>
        <w:t>araciones que se tienen por no presentadas.</w:t>
      </w:r>
      <w:r>
        <w:rPr>
          <w:rFonts w:ascii="Arial" w:hAnsi="Arial" w:cs="Arial"/>
        </w:rPr>
        <w:t xml:space="preserve"> No se entenderá cumplido el deber de presentar la declaración tributarla, en los siguientes casos: </w:t>
      </w:r>
    </w:p>
    <w:p w14:paraId="5AC53FFE"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5C34DF65"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 xml:space="preserve">a) Cuando la declaración no se presente en los lugares señalados para tal efecto. </w:t>
      </w:r>
    </w:p>
    <w:p w14:paraId="736B03A6" w14:textId="77777777" w:rsidR="00B2442D" w:rsidRDefault="008A645F">
      <w:pPr>
        <w:widowControl w:val="0"/>
        <w:autoSpaceDE w:val="0"/>
        <w:autoSpaceDN w:val="0"/>
        <w:adjustRightInd w:val="0"/>
        <w:spacing w:line="40" w:lineRule="atLeast"/>
        <w:ind w:left="284" w:hanging="284"/>
        <w:rPr>
          <w:rFonts w:ascii="Arial" w:hAnsi="Arial" w:cs="Arial"/>
        </w:rPr>
      </w:pPr>
      <w:r>
        <w:rPr>
          <w:rFonts w:ascii="Arial" w:hAnsi="Arial" w:cs="Arial"/>
        </w:rPr>
        <w:t xml:space="preserve"> </w:t>
      </w:r>
    </w:p>
    <w:p w14:paraId="6B77EEF6"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b) Cuando no se suministr</w:t>
      </w:r>
      <w:r>
        <w:rPr>
          <w:rFonts w:ascii="Arial" w:hAnsi="Arial" w:cs="Arial"/>
        </w:rPr>
        <w:t xml:space="preserve">e la identificación del declarante, o se haga en forma equivocada. </w:t>
      </w:r>
    </w:p>
    <w:p w14:paraId="731756B7" w14:textId="77777777" w:rsidR="00B2442D" w:rsidRDefault="008A645F">
      <w:pPr>
        <w:widowControl w:val="0"/>
        <w:autoSpaceDE w:val="0"/>
        <w:autoSpaceDN w:val="0"/>
        <w:adjustRightInd w:val="0"/>
        <w:spacing w:line="40" w:lineRule="atLeast"/>
        <w:ind w:left="284" w:hanging="284"/>
        <w:rPr>
          <w:rFonts w:ascii="Arial" w:hAnsi="Arial" w:cs="Arial"/>
        </w:rPr>
      </w:pPr>
      <w:r>
        <w:rPr>
          <w:rFonts w:ascii="Arial" w:hAnsi="Arial" w:cs="Arial"/>
        </w:rPr>
        <w:t xml:space="preserve"> </w:t>
      </w:r>
    </w:p>
    <w:p w14:paraId="6166945A"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c)</w:t>
      </w:r>
      <w:r>
        <w:rPr>
          <w:rFonts w:ascii="Arial" w:hAnsi="Arial" w:cs="Arial"/>
        </w:rPr>
        <w:tab/>
        <w:t xml:space="preserve">Cuando no contenga los factores necesarios para identificar las bases gravables. </w:t>
      </w:r>
    </w:p>
    <w:p w14:paraId="375633DC" w14:textId="77777777" w:rsidR="00B2442D" w:rsidRDefault="008A645F">
      <w:pPr>
        <w:widowControl w:val="0"/>
        <w:autoSpaceDE w:val="0"/>
        <w:autoSpaceDN w:val="0"/>
        <w:adjustRightInd w:val="0"/>
        <w:spacing w:line="40" w:lineRule="atLeast"/>
        <w:ind w:left="284" w:hanging="284"/>
        <w:rPr>
          <w:rFonts w:ascii="Arial" w:hAnsi="Arial" w:cs="Arial"/>
        </w:rPr>
      </w:pPr>
      <w:r>
        <w:rPr>
          <w:rFonts w:ascii="Arial" w:hAnsi="Arial" w:cs="Arial"/>
        </w:rPr>
        <w:t xml:space="preserve"> </w:t>
      </w:r>
    </w:p>
    <w:p w14:paraId="01105FBC" w14:textId="77777777" w:rsidR="00B2442D" w:rsidRDefault="008A645F">
      <w:pPr>
        <w:widowControl w:val="0"/>
        <w:autoSpaceDE w:val="0"/>
        <w:autoSpaceDN w:val="0"/>
        <w:adjustRightInd w:val="0"/>
        <w:spacing w:line="40" w:lineRule="atLeast"/>
        <w:ind w:left="284" w:hanging="284"/>
        <w:jc w:val="both"/>
        <w:rPr>
          <w:rFonts w:ascii="Arial" w:hAnsi="Arial" w:cs="Arial"/>
        </w:rPr>
      </w:pPr>
      <w:r>
        <w:rPr>
          <w:rFonts w:ascii="Arial" w:hAnsi="Arial" w:cs="Arial"/>
        </w:rPr>
        <w:t>d) Cuando no se presente firmada por quien deba cumplir el deber formal de declarar; o cuando se om</w:t>
      </w:r>
      <w:r>
        <w:rPr>
          <w:rFonts w:ascii="Arial" w:hAnsi="Arial" w:cs="Arial"/>
        </w:rPr>
        <w:t xml:space="preserve">ita la firma del contador público o revisor fiscal existiendo la obligación legal. </w:t>
      </w:r>
    </w:p>
    <w:p w14:paraId="6C35567B" w14:textId="77777777" w:rsidR="00B2442D" w:rsidRDefault="00B2442D">
      <w:pPr>
        <w:jc w:val="both"/>
        <w:rPr>
          <w:rFonts w:ascii="Arial" w:hAnsi="Arial" w:cs="Arial"/>
        </w:rPr>
      </w:pPr>
    </w:p>
    <w:p w14:paraId="5543ACD0" w14:textId="77777777" w:rsidR="00B2442D" w:rsidRDefault="008A645F">
      <w:pPr>
        <w:spacing w:line="40" w:lineRule="atLeast"/>
        <w:jc w:val="both"/>
        <w:rPr>
          <w:rFonts w:ascii="Arial" w:hAnsi="Arial" w:cs="Arial"/>
          <w:i/>
          <w:lang w:val="es-CO"/>
        </w:rPr>
      </w:pPr>
      <w:r>
        <w:rPr>
          <w:rFonts w:ascii="Arial" w:hAnsi="Arial" w:cs="Arial"/>
          <w:i/>
          <w:lang w:val="es-CO"/>
        </w:rPr>
        <w:t xml:space="preserve">(Art. 24, Decreto 88 de 1988, literal e) </w:t>
      </w:r>
      <w:r>
        <w:rPr>
          <w:rFonts w:ascii="Arial" w:hAnsi="Arial" w:cs="Arial"/>
          <w:i/>
        </w:rPr>
        <w:t>tiene decaimiento en virtud de la derogatoria del literal e) del artículo 580 del Estatuto Tributario, por el artículo 140 de la L</w:t>
      </w:r>
      <w:r>
        <w:rPr>
          <w:rFonts w:ascii="Arial" w:hAnsi="Arial" w:cs="Arial"/>
          <w:i/>
        </w:rPr>
        <w:t>ey 6 de 1992</w:t>
      </w:r>
      <w:r>
        <w:rPr>
          <w:rFonts w:ascii="Arial" w:hAnsi="Arial" w:cs="Arial"/>
          <w:i/>
          <w:lang w:val="es-CO"/>
        </w:rPr>
        <w:t>)</w:t>
      </w:r>
    </w:p>
    <w:p w14:paraId="20497DCF" w14:textId="77777777" w:rsidR="00B2442D" w:rsidRDefault="00B2442D">
      <w:pPr>
        <w:spacing w:line="40" w:lineRule="atLeast"/>
        <w:jc w:val="both"/>
        <w:rPr>
          <w:rFonts w:ascii="Arial" w:hAnsi="Arial" w:cs="Arial"/>
          <w:i/>
          <w:lang w:val="es-CO"/>
        </w:rPr>
      </w:pPr>
    </w:p>
    <w:p w14:paraId="3E6C244C" w14:textId="77777777" w:rsidR="00B2442D" w:rsidRDefault="008A645F">
      <w:pPr>
        <w:pStyle w:val="Prrafodelista"/>
        <w:widowControl w:val="0"/>
        <w:numPr>
          <w:ilvl w:val="0"/>
          <w:numId w:val="113"/>
        </w:numPr>
        <w:autoSpaceDE w:val="0"/>
        <w:autoSpaceDN w:val="0"/>
        <w:adjustRightInd w:val="0"/>
        <w:spacing w:line="40" w:lineRule="atLeast"/>
        <w:ind w:left="0" w:firstLine="0"/>
        <w:jc w:val="both"/>
        <w:rPr>
          <w:rFonts w:ascii="Arial" w:hAnsi="Arial" w:cs="Arial"/>
        </w:rPr>
      </w:pPr>
      <w:r>
        <w:rPr>
          <w:rFonts w:ascii="Arial" w:hAnsi="Arial" w:cs="Arial"/>
          <w:vanish/>
        </w:rPr>
        <w:t>&amp;$</w:t>
      </w:r>
      <w:r>
        <w:rPr>
          <w:rFonts w:ascii="Arial" w:hAnsi="Arial" w:cs="Arial"/>
          <w:b/>
          <w:bCs/>
          <w:i/>
        </w:rPr>
        <w:t>Aproximación de los valores de las declaraciones tributarias.</w:t>
      </w:r>
      <w:r>
        <w:rPr>
          <w:rFonts w:ascii="Arial" w:hAnsi="Arial" w:cs="Arial"/>
        </w:rPr>
        <w:t xml:space="preserve"> Los valores diligenciados en los formularios de las declaraciones tributarias y recibos de pago, deberán aproximarse al múltiplo de mil (1.000) más cercano. </w:t>
      </w:r>
    </w:p>
    <w:p w14:paraId="55B956FE" w14:textId="77777777" w:rsidR="00B2442D" w:rsidRDefault="008A645F">
      <w:pPr>
        <w:widowControl w:val="0"/>
        <w:autoSpaceDE w:val="0"/>
        <w:autoSpaceDN w:val="0"/>
        <w:adjustRightInd w:val="0"/>
        <w:spacing w:line="40" w:lineRule="atLeast"/>
        <w:rPr>
          <w:rFonts w:ascii="Arial" w:hAnsi="Arial" w:cs="Arial"/>
        </w:rPr>
      </w:pPr>
      <w:r>
        <w:rPr>
          <w:rFonts w:ascii="Arial" w:hAnsi="Arial" w:cs="Arial"/>
        </w:rPr>
        <w:t xml:space="preserve"> </w:t>
      </w:r>
    </w:p>
    <w:p w14:paraId="424B30E1" w14:textId="77777777" w:rsidR="00B2442D" w:rsidRDefault="008A645F">
      <w:pPr>
        <w:spacing w:line="40" w:lineRule="atLeast"/>
        <w:jc w:val="both"/>
        <w:rPr>
          <w:rFonts w:ascii="Arial" w:hAnsi="Arial" w:cs="Arial"/>
        </w:rPr>
      </w:pPr>
      <w:r>
        <w:rPr>
          <w:rFonts w:ascii="Arial" w:hAnsi="Arial" w:cs="Arial"/>
        </w:rPr>
        <w:t>Lo dispuesto en este artículo no será aplicable en materia del impuesto de timbre, cuando el va</w:t>
      </w:r>
      <w:r>
        <w:rPr>
          <w:rFonts w:ascii="Arial" w:hAnsi="Arial" w:cs="Arial"/>
        </w:rPr>
        <w:t>lor del impuesto correspondiente al respectivo documento o acto sea inferior a mil pesos ($ 1.000), en cuyo caso se liquidará y cancelará en su totalidad. Esta cifra no se reajustará anualmente.</w:t>
      </w:r>
    </w:p>
    <w:p w14:paraId="599F0313" w14:textId="77777777" w:rsidR="00B2442D" w:rsidRDefault="00B2442D">
      <w:pPr>
        <w:spacing w:line="40" w:lineRule="atLeast"/>
        <w:jc w:val="both"/>
        <w:rPr>
          <w:rFonts w:ascii="Arial" w:hAnsi="Arial" w:cs="Arial"/>
        </w:rPr>
      </w:pPr>
    </w:p>
    <w:p w14:paraId="4445D9DA" w14:textId="77777777" w:rsidR="00B2442D" w:rsidRDefault="008A645F">
      <w:pPr>
        <w:spacing w:line="40" w:lineRule="atLeast"/>
        <w:jc w:val="both"/>
        <w:rPr>
          <w:rFonts w:ascii="Arial" w:hAnsi="Arial" w:cs="Arial"/>
          <w:i/>
          <w:lang w:val="es-CO"/>
        </w:rPr>
      </w:pPr>
      <w:r>
        <w:rPr>
          <w:rFonts w:ascii="Arial" w:hAnsi="Arial" w:cs="Arial"/>
          <w:i/>
          <w:lang w:val="es-CO"/>
        </w:rPr>
        <w:t>(Art. 26, Decreto 88 de 1988)</w:t>
      </w:r>
    </w:p>
    <w:p w14:paraId="46C353E4" w14:textId="77777777" w:rsidR="00B2442D" w:rsidRDefault="00B2442D">
      <w:pPr>
        <w:spacing w:line="40" w:lineRule="atLeast"/>
        <w:jc w:val="both"/>
        <w:rPr>
          <w:rFonts w:ascii="Arial" w:hAnsi="Arial" w:cs="Arial"/>
          <w:i/>
          <w:lang w:val="es-CO"/>
        </w:rPr>
      </w:pPr>
    </w:p>
    <w:p w14:paraId="4E76278C" w14:textId="77777777" w:rsidR="00B2442D" w:rsidRDefault="008A645F">
      <w:pPr>
        <w:pStyle w:val="Ttulo4"/>
        <w:rPr>
          <w:lang w:val="es-ES_tradnl"/>
        </w:rPr>
      </w:pPr>
      <w:r>
        <w:rPr>
          <w:lang w:val="es-ES_tradnl"/>
        </w:rPr>
        <w:t>CAPÍTULO 12</w:t>
      </w:r>
    </w:p>
    <w:p w14:paraId="25D7F7E8" w14:textId="77777777" w:rsidR="00B2442D" w:rsidRDefault="008A645F">
      <w:pPr>
        <w:pStyle w:val="Ttulo4"/>
        <w:rPr>
          <w:lang w:val="es-ES_tradnl"/>
        </w:rPr>
      </w:pPr>
      <w:r>
        <w:rPr>
          <w:lang w:val="es-ES_tradnl"/>
        </w:rPr>
        <w:t>Expedición de cer</w:t>
      </w:r>
      <w:r>
        <w:rPr>
          <w:lang w:val="es-ES_tradnl"/>
        </w:rPr>
        <w:t>tificados</w:t>
      </w:r>
    </w:p>
    <w:p w14:paraId="694E5526" w14:textId="77777777" w:rsidR="00B2442D" w:rsidRDefault="00B2442D">
      <w:pPr>
        <w:rPr>
          <w:rFonts w:ascii="Arial" w:hAnsi="Arial" w:cs="Arial"/>
          <w:lang w:val="es-ES_tradnl"/>
        </w:rPr>
      </w:pPr>
    </w:p>
    <w:p w14:paraId="7D2572C9"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Expedición de certificado. </w:t>
      </w:r>
      <w:r>
        <w:rPr>
          <w:rFonts w:ascii="Arial" w:hAnsi="Arial" w:cs="Arial"/>
          <w:lang w:val="es-CO"/>
        </w:rPr>
        <w:t>Los bancos comerciales expedirán a sus deudores, un certificado en el cual conste:</w:t>
      </w:r>
    </w:p>
    <w:p w14:paraId="20B17D03" w14:textId="77777777" w:rsidR="00B2442D" w:rsidRDefault="00B2442D">
      <w:pPr>
        <w:jc w:val="both"/>
        <w:rPr>
          <w:rFonts w:ascii="Arial" w:hAnsi="Arial" w:cs="Arial"/>
          <w:lang w:val="es-CO"/>
        </w:rPr>
      </w:pPr>
    </w:p>
    <w:p w14:paraId="54159675" w14:textId="77777777" w:rsidR="00B2442D" w:rsidRDefault="008A645F">
      <w:pPr>
        <w:jc w:val="both"/>
        <w:rPr>
          <w:rFonts w:ascii="Arial" w:hAnsi="Arial" w:cs="Arial"/>
          <w:lang w:val="es-CO"/>
        </w:rPr>
      </w:pPr>
      <w:r>
        <w:rPr>
          <w:rFonts w:ascii="Arial" w:hAnsi="Arial" w:cs="Arial"/>
          <w:lang w:val="es-CO"/>
        </w:rPr>
        <w:t>a). El monto original del préstamo;</w:t>
      </w:r>
    </w:p>
    <w:p w14:paraId="5B39F373" w14:textId="77777777" w:rsidR="00B2442D" w:rsidRDefault="008A645F">
      <w:pPr>
        <w:jc w:val="both"/>
        <w:rPr>
          <w:rFonts w:ascii="Arial" w:hAnsi="Arial" w:cs="Arial"/>
          <w:lang w:val="es-CO"/>
        </w:rPr>
      </w:pPr>
      <w:r>
        <w:rPr>
          <w:rFonts w:ascii="Arial" w:hAnsi="Arial" w:cs="Arial"/>
          <w:lang w:val="es-CO"/>
        </w:rPr>
        <w:t>b). El saldo a 31 de diciembre del año gravable;</w:t>
      </w:r>
    </w:p>
    <w:p w14:paraId="593D60A9" w14:textId="77777777" w:rsidR="00B2442D" w:rsidRDefault="008A645F">
      <w:pPr>
        <w:jc w:val="both"/>
        <w:rPr>
          <w:rFonts w:ascii="Arial" w:hAnsi="Arial" w:cs="Arial"/>
          <w:lang w:val="es-CO"/>
        </w:rPr>
      </w:pPr>
      <w:r>
        <w:rPr>
          <w:rFonts w:ascii="Arial" w:hAnsi="Arial" w:cs="Arial"/>
          <w:lang w:val="es-CO"/>
        </w:rPr>
        <w:t xml:space="preserve">c). El saldo a 31 de diciembre del año </w:t>
      </w:r>
      <w:r>
        <w:rPr>
          <w:rFonts w:ascii="Arial" w:hAnsi="Arial" w:cs="Arial"/>
          <w:lang w:val="es-CO"/>
        </w:rPr>
        <w:t>anterior;</w:t>
      </w:r>
    </w:p>
    <w:p w14:paraId="22B22417" w14:textId="77777777" w:rsidR="00B2442D" w:rsidRDefault="008A645F">
      <w:pPr>
        <w:jc w:val="both"/>
        <w:rPr>
          <w:rFonts w:ascii="Arial" w:hAnsi="Arial" w:cs="Arial"/>
          <w:lang w:val="es-CO"/>
        </w:rPr>
      </w:pPr>
      <w:r>
        <w:rPr>
          <w:rFonts w:ascii="Arial" w:hAnsi="Arial" w:cs="Arial"/>
          <w:lang w:val="es-CO"/>
        </w:rPr>
        <w:t>d). El total pagado por todo concepto;</w:t>
      </w:r>
    </w:p>
    <w:p w14:paraId="271F4107" w14:textId="77777777" w:rsidR="00B2442D" w:rsidRDefault="008A645F">
      <w:pPr>
        <w:jc w:val="both"/>
        <w:rPr>
          <w:rFonts w:ascii="Arial" w:hAnsi="Arial" w:cs="Arial"/>
          <w:lang w:val="es-CO"/>
        </w:rPr>
      </w:pPr>
      <w:r>
        <w:rPr>
          <w:rFonts w:ascii="Arial" w:hAnsi="Arial" w:cs="Arial"/>
          <w:lang w:val="es-CO"/>
        </w:rPr>
        <w:t>e). La suma deducible conforme al artículo anterior.</w:t>
      </w:r>
    </w:p>
    <w:p w14:paraId="750E65A2" w14:textId="77777777" w:rsidR="00B2442D" w:rsidRDefault="00B2442D">
      <w:pPr>
        <w:jc w:val="both"/>
        <w:rPr>
          <w:rFonts w:ascii="Arial" w:hAnsi="Arial" w:cs="Arial"/>
          <w:lang w:val="es-CO"/>
        </w:rPr>
      </w:pPr>
    </w:p>
    <w:p w14:paraId="445DEB9E" w14:textId="77777777" w:rsidR="00B2442D" w:rsidRDefault="008A645F">
      <w:pPr>
        <w:jc w:val="both"/>
        <w:rPr>
          <w:rFonts w:ascii="Arial" w:hAnsi="Arial" w:cs="Arial"/>
          <w:lang w:val="es-CO"/>
        </w:rPr>
      </w:pPr>
      <w:r>
        <w:rPr>
          <w:rFonts w:ascii="Arial" w:hAnsi="Arial" w:cs="Arial"/>
          <w:lang w:val="es-CO"/>
        </w:rPr>
        <w:t>Las cantidades que contenga el certificado se expresarán únicamente en pesos.</w:t>
      </w:r>
    </w:p>
    <w:p w14:paraId="6224D84D" w14:textId="77777777" w:rsidR="00B2442D" w:rsidRDefault="00B2442D">
      <w:pPr>
        <w:jc w:val="both"/>
        <w:rPr>
          <w:rFonts w:ascii="Arial" w:hAnsi="Arial" w:cs="Arial"/>
          <w:i/>
          <w:lang w:val="es-CO"/>
        </w:rPr>
      </w:pPr>
    </w:p>
    <w:p w14:paraId="3A8ADBE3" w14:textId="77777777" w:rsidR="00B2442D" w:rsidRDefault="008A645F">
      <w:pPr>
        <w:jc w:val="both"/>
        <w:rPr>
          <w:rFonts w:ascii="Arial" w:hAnsi="Arial" w:cs="Arial"/>
          <w:i/>
          <w:lang w:val="es-CO"/>
        </w:rPr>
      </w:pPr>
      <w:r>
        <w:rPr>
          <w:rFonts w:ascii="Arial" w:hAnsi="Arial" w:cs="Arial"/>
          <w:i/>
          <w:lang w:val="es-CO"/>
        </w:rPr>
        <w:t xml:space="preserve">(Art. 3, Decreto 331 de 1976, parcialmente derogado por el artículo 4 del </w:t>
      </w:r>
      <w:r>
        <w:rPr>
          <w:rFonts w:ascii="Arial" w:hAnsi="Arial" w:cs="Arial"/>
          <w:i/>
          <w:lang w:val="es-CO"/>
        </w:rPr>
        <w:t>Decreto 2503 de 1987)</w:t>
      </w:r>
    </w:p>
    <w:p w14:paraId="7C226C1A" w14:textId="77777777" w:rsidR="00B2442D" w:rsidRDefault="00B2442D">
      <w:pPr>
        <w:jc w:val="both"/>
        <w:rPr>
          <w:rFonts w:ascii="Arial" w:hAnsi="Arial" w:cs="Arial"/>
          <w:i/>
          <w:lang w:val="es-CO"/>
        </w:rPr>
      </w:pPr>
    </w:p>
    <w:p w14:paraId="4F9A1D14"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Certificado de ingresos para trabajadores independientes. </w:t>
      </w:r>
      <w:r>
        <w:rPr>
          <w:rFonts w:ascii="Arial" w:hAnsi="Arial" w:cs="Arial"/>
          <w:lang w:val="es-CO"/>
        </w:rPr>
        <w:t xml:space="preserve">Los trabajadores independientes no obligados a declarar, podrán reemplazar, para efectos comerciales, la declaración del impuesto sobre la renta y </w:t>
      </w:r>
      <w:r>
        <w:rPr>
          <w:rFonts w:ascii="Arial" w:hAnsi="Arial" w:cs="Arial"/>
          <w:lang w:val="es-CO"/>
        </w:rPr>
        <w:t>complementarios, mediante una relación privada de sus ingresos, retenciones y patrimonio debidamente firmada por el contribuyente. Esta relación no requiere presentación ante la Administración de Impuestos.</w:t>
      </w:r>
    </w:p>
    <w:p w14:paraId="665A5703" w14:textId="77777777" w:rsidR="00B2442D" w:rsidRDefault="00B2442D">
      <w:pPr>
        <w:jc w:val="both"/>
        <w:rPr>
          <w:rFonts w:ascii="Arial" w:hAnsi="Arial" w:cs="Arial"/>
          <w:i/>
          <w:lang w:val="es-CO"/>
        </w:rPr>
      </w:pPr>
    </w:p>
    <w:p w14:paraId="32C90A9F" w14:textId="77777777" w:rsidR="00B2442D" w:rsidRDefault="008A645F">
      <w:pPr>
        <w:jc w:val="both"/>
        <w:rPr>
          <w:rFonts w:ascii="Arial" w:hAnsi="Arial" w:cs="Arial"/>
          <w:i/>
          <w:lang w:val="es-CO"/>
        </w:rPr>
      </w:pPr>
      <w:r>
        <w:rPr>
          <w:rFonts w:ascii="Arial" w:hAnsi="Arial" w:cs="Arial"/>
          <w:i/>
          <w:lang w:val="es-CO"/>
        </w:rPr>
        <w:t>(Art. 29, Decreto 0836 de 1991)</w:t>
      </w:r>
    </w:p>
    <w:p w14:paraId="65A94B41" w14:textId="77777777" w:rsidR="00B2442D" w:rsidRDefault="00B2442D">
      <w:pPr>
        <w:jc w:val="both"/>
        <w:rPr>
          <w:rFonts w:ascii="Arial" w:hAnsi="Arial" w:cs="Arial"/>
          <w:b/>
          <w:lang w:val="es-CO"/>
        </w:rPr>
      </w:pPr>
    </w:p>
    <w:p w14:paraId="2AB8E01F"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Certificación </w:t>
      </w:r>
      <w:r>
        <w:rPr>
          <w:rFonts w:ascii="Arial" w:hAnsi="Arial" w:cs="Arial"/>
          <w:b/>
          <w:i/>
          <w:lang w:val="es-CO"/>
        </w:rPr>
        <w:t>para efectos de la exclusión del literal e) del artículo 428 del Estatuto Tributario.</w:t>
      </w:r>
      <w:r>
        <w:rPr>
          <w:rFonts w:ascii="Arial" w:hAnsi="Arial" w:cs="Arial"/>
          <w:b/>
          <w:lang w:val="es-CO"/>
        </w:rPr>
        <w:t xml:space="preserve"> </w:t>
      </w:r>
      <w:r>
        <w:rPr>
          <w:rFonts w:ascii="Arial" w:hAnsi="Arial" w:cs="Arial"/>
          <w:lang w:val="es-CO"/>
        </w:rPr>
        <w:t>Para los efectos de la exclusión establecida en el literal e) del artículo 428 del Estatuto Tributario, la Unidad Administrativa Especial Dirección de Impuestos y Aduanas</w:t>
      </w:r>
      <w:r>
        <w:rPr>
          <w:rFonts w:ascii="Arial" w:hAnsi="Arial" w:cs="Arial"/>
          <w:lang w:val="es-CO"/>
        </w:rPr>
        <w:t xml:space="preserve"> Nacionales, exigirá al interesado al momento del levante de las mercancías, la certificación expedida por el Ministerio de Comercio, Industria y Turismo,  en la que conste como mínimo lo siguiente:</w:t>
      </w:r>
    </w:p>
    <w:p w14:paraId="117AC122" w14:textId="77777777" w:rsidR="00B2442D" w:rsidRDefault="00B2442D">
      <w:pPr>
        <w:jc w:val="both"/>
        <w:rPr>
          <w:rFonts w:ascii="Arial" w:hAnsi="Arial" w:cs="Arial"/>
          <w:lang w:val="es-CO"/>
        </w:rPr>
      </w:pPr>
    </w:p>
    <w:p w14:paraId="2D4FEDD9" w14:textId="77777777" w:rsidR="00B2442D" w:rsidRDefault="008A645F">
      <w:pPr>
        <w:ind w:left="284" w:hanging="284"/>
        <w:jc w:val="both"/>
        <w:rPr>
          <w:rFonts w:ascii="Arial" w:hAnsi="Arial" w:cs="Arial"/>
          <w:lang w:val="es-CO"/>
        </w:rPr>
      </w:pPr>
      <w:r>
        <w:rPr>
          <w:rFonts w:ascii="Arial" w:hAnsi="Arial" w:cs="Arial"/>
          <w:lang w:val="es-CO"/>
        </w:rPr>
        <w:t>a) Que los bienes importados poseen la calidad de maquin</w:t>
      </w:r>
      <w:r>
        <w:rPr>
          <w:rFonts w:ascii="Arial" w:hAnsi="Arial" w:cs="Arial"/>
          <w:lang w:val="es-CO"/>
        </w:rPr>
        <w:t>aria pesada no producida en el país.</w:t>
      </w:r>
    </w:p>
    <w:p w14:paraId="6E647605" w14:textId="77777777" w:rsidR="00B2442D" w:rsidRDefault="00B2442D">
      <w:pPr>
        <w:ind w:left="284" w:hanging="284"/>
        <w:jc w:val="both"/>
        <w:rPr>
          <w:rFonts w:ascii="Arial" w:hAnsi="Arial" w:cs="Arial"/>
          <w:lang w:val="es-CO"/>
        </w:rPr>
      </w:pPr>
    </w:p>
    <w:p w14:paraId="1F109601" w14:textId="77777777" w:rsidR="00B2442D" w:rsidRDefault="008A645F">
      <w:pPr>
        <w:ind w:left="284" w:hanging="284"/>
        <w:jc w:val="both"/>
        <w:rPr>
          <w:rFonts w:ascii="Arial" w:hAnsi="Arial" w:cs="Arial"/>
          <w:lang w:val="es-CO"/>
        </w:rPr>
      </w:pPr>
      <w:r>
        <w:rPr>
          <w:rFonts w:ascii="Arial" w:hAnsi="Arial" w:cs="Arial"/>
          <w:lang w:val="es-CO"/>
        </w:rPr>
        <w:t>b) Que los bienes importados se usarán en las industrias básicas enumeradas en el literal e) del artículo 428 del Estatuto Tributario.</w:t>
      </w:r>
    </w:p>
    <w:p w14:paraId="5A576553" w14:textId="77777777" w:rsidR="00B2442D" w:rsidRDefault="00B2442D">
      <w:pPr>
        <w:jc w:val="both"/>
        <w:rPr>
          <w:rFonts w:ascii="Arial" w:hAnsi="Arial" w:cs="Arial"/>
          <w:lang w:val="es-CO"/>
        </w:rPr>
      </w:pPr>
    </w:p>
    <w:p w14:paraId="65D70D7F" w14:textId="77777777" w:rsidR="00B2442D" w:rsidRDefault="008A645F">
      <w:pPr>
        <w:jc w:val="both"/>
        <w:rPr>
          <w:rFonts w:ascii="Arial" w:hAnsi="Arial" w:cs="Arial"/>
          <w:lang w:val="es-CO"/>
        </w:rPr>
      </w:pPr>
      <w:r>
        <w:rPr>
          <w:rFonts w:ascii="Arial" w:hAnsi="Arial" w:cs="Arial"/>
          <w:lang w:val="es-CO"/>
        </w:rPr>
        <w:t>Para los efectos del presente Decreto, la vigencia de la certificación expedida po</w:t>
      </w:r>
      <w:r>
        <w:rPr>
          <w:rFonts w:ascii="Arial" w:hAnsi="Arial" w:cs="Arial"/>
          <w:lang w:val="es-CO"/>
        </w:rPr>
        <w:t>r el Ministerio de Comercio, Industria y Turismo, será igual a la del registro o licencia de importación correspondiente.</w:t>
      </w:r>
    </w:p>
    <w:p w14:paraId="062DB401" w14:textId="77777777" w:rsidR="00B2442D" w:rsidRDefault="00B2442D">
      <w:pPr>
        <w:jc w:val="both"/>
        <w:rPr>
          <w:rFonts w:ascii="Arial" w:hAnsi="Arial" w:cs="Arial"/>
          <w:lang w:val="es-CO"/>
        </w:rPr>
      </w:pPr>
    </w:p>
    <w:p w14:paraId="225F4F4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expedir la certificación pertinente de los bienes objetos de importación, se verificará la información actualizada de</w:t>
      </w:r>
      <w:r>
        <w:rPr>
          <w:rFonts w:ascii="Arial" w:hAnsi="Arial" w:cs="Arial"/>
          <w:lang w:val="es-CO"/>
        </w:rPr>
        <w:t xml:space="preserve"> los fabricantes nacionales, registrada ante el Ministerio de Comercio, Industria y Turismo. </w:t>
      </w:r>
    </w:p>
    <w:p w14:paraId="3D71F4A5" w14:textId="77777777" w:rsidR="00B2442D" w:rsidRDefault="00B2442D">
      <w:pPr>
        <w:jc w:val="both"/>
        <w:rPr>
          <w:rFonts w:ascii="Arial" w:hAnsi="Arial" w:cs="Arial"/>
          <w:i/>
          <w:lang w:val="es-CO"/>
        </w:rPr>
      </w:pPr>
    </w:p>
    <w:p w14:paraId="57C33635" w14:textId="77777777" w:rsidR="00B2442D" w:rsidRDefault="008A645F">
      <w:pPr>
        <w:jc w:val="both"/>
        <w:rPr>
          <w:rFonts w:ascii="Arial" w:hAnsi="Arial" w:cs="Arial"/>
          <w:i/>
          <w:lang w:val="es-CO"/>
        </w:rPr>
      </w:pPr>
      <w:r>
        <w:rPr>
          <w:rFonts w:ascii="Arial" w:hAnsi="Arial" w:cs="Arial"/>
          <w:i/>
          <w:lang w:val="es-CO"/>
        </w:rPr>
        <w:t>(Art. 1, Decreto 1803 de 1994)</w:t>
      </w:r>
    </w:p>
    <w:p w14:paraId="7703680A" w14:textId="77777777" w:rsidR="00B2442D" w:rsidRDefault="00B2442D">
      <w:pPr>
        <w:jc w:val="both"/>
        <w:rPr>
          <w:rFonts w:ascii="Arial" w:hAnsi="Arial" w:cs="Arial"/>
          <w:lang w:val="es-CO"/>
        </w:rPr>
      </w:pPr>
    </w:p>
    <w:p w14:paraId="58BB5133"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Certificación.</w:t>
      </w:r>
      <w:r>
        <w:rPr>
          <w:rFonts w:ascii="Arial" w:hAnsi="Arial" w:cs="Arial"/>
          <w:lang w:val="es-CO"/>
        </w:rPr>
        <w:t xml:space="preserve"> Cuando por razones técnicas o comerciales o por las características de volumen, peso y diseño de las mercancías s</w:t>
      </w:r>
      <w:r>
        <w:rPr>
          <w:rFonts w:ascii="Arial" w:hAnsi="Arial" w:cs="Arial"/>
          <w:lang w:val="es-CO"/>
        </w:rPr>
        <w:t>e introduzca la maquinaria pesada al país en varios embarques, el Ministerio de Comercio, Industria y Turismo,  al expedir la certificación a que se refiere el artículo anterior, deberá analizar previamente la función que los componentes de la maquinaria t</w:t>
      </w:r>
      <w:r>
        <w:rPr>
          <w:rFonts w:ascii="Arial" w:hAnsi="Arial" w:cs="Arial"/>
          <w:lang w:val="es-CO"/>
        </w:rPr>
        <w:t>iene dentro de los procesos de la industria básica, con el fin de establecer que los mismos serán utilizados directamente en la conformación, montaje, ensamble o instalación de la maquinaria pesada objeto de importación fraccionada.</w:t>
      </w:r>
    </w:p>
    <w:p w14:paraId="2526FE40" w14:textId="77777777" w:rsidR="00B2442D" w:rsidRDefault="00B2442D">
      <w:pPr>
        <w:jc w:val="both"/>
        <w:rPr>
          <w:rFonts w:ascii="Arial" w:hAnsi="Arial" w:cs="Arial"/>
          <w:lang w:val="es-CO"/>
        </w:rPr>
      </w:pPr>
    </w:p>
    <w:p w14:paraId="63F4A63A" w14:textId="77777777" w:rsidR="00B2442D" w:rsidRDefault="008A645F">
      <w:pPr>
        <w:jc w:val="both"/>
        <w:rPr>
          <w:rFonts w:ascii="Arial" w:hAnsi="Arial" w:cs="Arial"/>
          <w:lang w:val="es-CO"/>
        </w:rPr>
      </w:pPr>
      <w:r>
        <w:rPr>
          <w:rFonts w:ascii="Arial" w:hAnsi="Arial" w:cs="Arial"/>
          <w:lang w:val="es-CO"/>
        </w:rPr>
        <w:t>Los componentes así im</w:t>
      </w:r>
      <w:r>
        <w:rPr>
          <w:rFonts w:ascii="Arial" w:hAnsi="Arial" w:cs="Arial"/>
          <w:lang w:val="es-CO"/>
        </w:rPr>
        <w:t>portados, tanto en su función como en su finalidad específica, deben corresponder a la maquinaria pesada amparada y descrita con un mismo registro o licencia de importación.</w:t>
      </w:r>
    </w:p>
    <w:p w14:paraId="3B99FC20" w14:textId="77777777" w:rsidR="00B2442D" w:rsidRDefault="00B2442D">
      <w:pPr>
        <w:jc w:val="both"/>
        <w:rPr>
          <w:rFonts w:ascii="Arial" w:hAnsi="Arial" w:cs="Arial"/>
          <w:lang w:val="es-CO"/>
        </w:rPr>
      </w:pPr>
    </w:p>
    <w:p w14:paraId="1D6A3789"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la expedición de la certificación, el importador deb</w:t>
      </w:r>
      <w:r>
        <w:rPr>
          <w:rFonts w:ascii="Arial" w:hAnsi="Arial" w:cs="Arial"/>
          <w:lang w:val="es-CO"/>
        </w:rPr>
        <w:t>erá presentar ante el Ministerio de Comercio, Industria y Turismo, la descripción genérica de la maquinaria pesada que se pretende importar de manera fraccionada y acreditar la existencia y el funcionamiento de la industria básica, señalando las razones po</w:t>
      </w:r>
      <w:r>
        <w:rPr>
          <w:rFonts w:ascii="Arial" w:hAnsi="Arial" w:cs="Arial"/>
          <w:lang w:val="es-CO"/>
        </w:rPr>
        <w:t xml:space="preserve">r las cuales no es posible importarla en un mismo embarque. </w:t>
      </w:r>
    </w:p>
    <w:p w14:paraId="0EE1496E" w14:textId="77777777" w:rsidR="00B2442D" w:rsidRDefault="00B2442D">
      <w:pPr>
        <w:jc w:val="both"/>
        <w:rPr>
          <w:rFonts w:ascii="Arial" w:hAnsi="Arial" w:cs="Arial"/>
          <w:lang w:val="es-CO"/>
        </w:rPr>
      </w:pPr>
    </w:p>
    <w:p w14:paraId="73CABF73" w14:textId="77777777" w:rsidR="00B2442D" w:rsidRDefault="008A645F">
      <w:pPr>
        <w:jc w:val="both"/>
        <w:rPr>
          <w:rFonts w:ascii="Arial" w:hAnsi="Arial" w:cs="Arial"/>
          <w:lang w:val="es-CO"/>
        </w:rPr>
      </w:pPr>
      <w:r>
        <w:rPr>
          <w:rFonts w:ascii="Arial" w:hAnsi="Arial" w:cs="Arial"/>
          <w:lang w:val="es-CO"/>
        </w:rPr>
        <w:t>Cuando el Ministerio de Comercio, Industria y Turismo, lo considere necesario, podrá solicitar al importador información adicional que le permita establecer que los componentes objeto de embarqu</w:t>
      </w:r>
      <w:r>
        <w:rPr>
          <w:rFonts w:ascii="Arial" w:hAnsi="Arial" w:cs="Arial"/>
          <w:lang w:val="es-CO"/>
        </w:rPr>
        <w:t>es parciales cumplen una función esencial en la autorización de la respectiva maquinaria.</w:t>
      </w:r>
    </w:p>
    <w:p w14:paraId="441F8B59" w14:textId="77777777" w:rsidR="00B2442D" w:rsidRDefault="00B2442D">
      <w:pPr>
        <w:jc w:val="both"/>
        <w:rPr>
          <w:rFonts w:ascii="Arial" w:hAnsi="Arial" w:cs="Arial"/>
          <w:lang w:val="es-CO"/>
        </w:rPr>
      </w:pPr>
    </w:p>
    <w:p w14:paraId="0931B6D1" w14:textId="77777777" w:rsidR="00B2442D" w:rsidRDefault="008A645F">
      <w:pPr>
        <w:jc w:val="both"/>
        <w:rPr>
          <w:rFonts w:ascii="Arial" w:hAnsi="Arial" w:cs="Arial"/>
          <w:lang w:val="es-CO"/>
        </w:rPr>
      </w:pPr>
      <w:r>
        <w:rPr>
          <w:rFonts w:ascii="Arial" w:hAnsi="Arial" w:cs="Arial"/>
          <w:lang w:val="es-CO"/>
        </w:rPr>
        <w:t xml:space="preserve">Para las importaciones de maquinaria pesada fraccionada en varios registros o licencias de importación, la certificación del Ministerio de Comercio, </w:t>
      </w:r>
      <w:r>
        <w:rPr>
          <w:rFonts w:ascii="Arial" w:hAnsi="Arial" w:cs="Arial"/>
          <w:lang w:val="es-CO"/>
        </w:rPr>
        <w:t>Industria y Turismo, deberá contener las descripciones a que se refiere el inciso anterior.</w:t>
      </w:r>
    </w:p>
    <w:p w14:paraId="533F2F77" w14:textId="77777777" w:rsidR="00B2442D" w:rsidRDefault="00B2442D">
      <w:pPr>
        <w:jc w:val="both"/>
        <w:rPr>
          <w:rFonts w:ascii="Arial" w:hAnsi="Arial" w:cs="Arial"/>
          <w:lang w:val="es-CO"/>
        </w:rPr>
      </w:pPr>
    </w:p>
    <w:p w14:paraId="3A0CC345" w14:textId="77777777" w:rsidR="00B2442D" w:rsidRDefault="008A645F">
      <w:pPr>
        <w:jc w:val="both"/>
        <w:rPr>
          <w:rFonts w:ascii="Arial" w:hAnsi="Arial" w:cs="Arial"/>
          <w:lang w:val="es-CO"/>
        </w:rPr>
      </w:pPr>
      <w:r>
        <w:rPr>
          <w:rFonts w:ascii="Arial" w:hAnsi="Arial" w:cs="Arial"/>
          <w:lang w:val="es-CO"/>
        </w:rPr>
        <w:t>Tratándose de licencias globales no será obligatorio describir la mercancía, pero para obtener la certificación correspondiente el importador deberá cumplir con lo</w:t>
      </w:r>
      <w:r>
        <w:rPr>
          <w:rFonts w:ascii="Arial" w:hAnsi="Arial" w:cs="Arial"/>
          <w:lang w:val="es-CO"/>
        </w:rPr>
        <w:t xml:space="preserve"> señalado en el presente parágrafo.</w:t>
      </w:r>
    </w:p>
    <w:p w14:paraId="16ABFC25" w14:textId="77777777" w:rsidR="00B2442D" w:rsidRDefault="00B2442D">
      <w:pPr>
        <w:jc w:val="both"/>
        <w:rPr>
          <w:rFonts w:ascii="Arial" w:hAnsi="Arial" w:cs="Arial"/>
          <w:lang w:val="es-CO"/>
        </w:rPr>
      </w:pPr>
    </w:p>
    <w:p w14:paraId="5EF4D541" w14:textId="77777777" w:rsidR="00B2442D" w:rsidRDefault="008A645F">
      <w:pPr>
        <w:jc w:val="both"/>
        <w:rPr>
          <w:rFonts w:ascii="Arial" w:hAnsi="Arial" w:cs="Arial"/>
          <w:i/>
          <w:lang w:val="es-CO"/>
        </w:rPr>
      </w:pPr>
      <w:r>
        <w:rPr>
          <w:rFonts w:ascii="Arial" w:hAnsi="Arial" w:cs="Arial"/>
          <w:i/>
          <w:lang w:val="es-CO"/>
        </w:rPr>
        <w:t>(Art. 2, Decreto 1803 de 1994, parágrafo segundo derogado tácitamente por el artículo 121 del Decreto 2685 de 1999)</w:t>
      </w:r>
    </w:p>
    <w:p w14:paraId="71A61931" w14:textId="77777777" w:rsidR="00B2442D" w:rsidRDefault="00B2442D">
      <w:pPr>
        <w:jc w:val="both"/>
        <w:rPr>
          <w:rFonts w:ascii="Arial" w:hAnsi="Arial" w:cs="Arial"/>
          <w:lang w:val="es-CO"/>
        </w:rPr>
      </w:pPr>
    </w:p>
    <w:p w14:paraId="0C21734D"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Certificación.</w:t>
      </w:r>
      <w:r>
        <w:rPr>
          <w:rFonts w:ascii="Arial" w:hAnsi="Arial" w:cs="Arial"/>
          <w:lang w:val="es-CO"/>
        </w:rPr>
        <w:t xml:space="preserve"> Tratándose de los componentes necesarios para armar, montar y poner en funcionamiento </w:t>
      </w:r>
      <w:r>
        <w:rPr>
          <w:rFonts w:ascii="Arial" w:hAnsi="Arial" w:cs="Arial"/>
          <w:lang w:val="es-CO"/>
        </w:rPr>
        <w:t>la maquinaria pesada, previstos en el artículo 1.6.1.12.4 del presente Decreto, procederá la exclusión del impuesto sobre las ventas establecidas en el literal e) del artículo 428 del Estatuto Tributario. En este caso, el importador justificará ante el Min</w:t>
      </w:r>
      <w:r>
        <w:rPr>
          <w:rFonts w:ascii="Arial" w:hAnsi="Arial" w:cs="Arial"/>
          <w:lang w:val="es-CO"/>
        </w:rPr>
        <w:t>isterio de Comercio, Industria y Turismo, la destinación y la función que estos cumplen dentro del proceso de la industria básica, con el fin de obtener la certificación a que se refiere el presente decreto.</w:t>
      </w:r>
    </w:p>
    <w:p w14:paraId="7A51063E" w14:textId="77777777" w:rsidR="00B2442D" w:rsidRDefault="00B2442D">
      <w:pPr>
        <w:jc w:val="both"/>
        <w:rPr>
          <w:rFonts w:ascii="Arial" w:hAnsi="Arial" w:cs="Arial"/>
          <w:i/>
          <w:lang w:val="es-CO"/>
        </w:rPr>
      </w:pPr>
    </w:p>
    <w:p w14:paraId="11697E59" w14:textId="77777777" w:rsidR="00B2442D" w:rsidRDefault="008A645F">
      <w:pPr>
        <w:jc w:val="both"/>
        <w:rPr>
          <w:rFonts w:ascii="Arial" w:hAnsi="Arial" w:cs="Arial"/>
          <w:i/>
          <w:lang w:val="es-CO"/>
        </w:rPr>
      </w:pPr>
      <w:r>
        <w:rPr>
          <w:rFonts w:ascii="Arial" w:hAnsi="Arial" w:cs="Arial"/>
          <w:i/>
          <w:lang w:val="es-CO"/>
        </w:rPr>
        <w:t>(Art. 3, Decreto 1803 de 1994)</w:t>
      </w:r>
    </w:p>
    <w:p w14:paraId="1720DFB2" w14:textId="77777777" w:rsidR="00B2442D" w:rsidRDefault="00B2442D">
      <w:pPr>
        <w:jc w:val="both"/>
        <w:rPr>
          <w:rFonts w:ascii="Arial" w:hAnsi="Arial" w:cs="Arial"/>
          <w:i/>
          <w:lang w:val="es-CO"/>
        </w:rPr>
      </w:pPr>
    </w:p>
    <w:p w14:paraId="63326E74"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 Exclusión del impuesto sobre las ventas del literal e) del artículo 428 del Estatuto Tributario.</w:t>
      </w:r>
      <w:r>
        <w:rPr>
          <w:rFonts w:ascii="Arial" w:hAnsi="Arial" w:cs="Arial"/>
          <w:lang w:val="es-CO"/>
        </w:rPr>
        <w:t xml:space="preserve"> El registro o licencia de importación, deberá estar vigente al momento de obtener el levante de las mercancías; y la certificación expedida por el Ministerio </w:t>
      </w:r>
      <w:r>
        <w:rPr>
          <w:rFonts w:ascii="Arial" w:hAnsi="Arial" w:cs="Arial"/>
          <w:lang w:val="es-CO"/>
        </w:rPr>
        <w:t>de Comercio, Industria y Turismo, identificará plenamente la mercancía importada por el sistema de licencia global y las mercancías objeto de embarque parcial. La descripción contenida en la declaración de importación deberá contener como mínimo la señalad</w:t>
      </w:r>
      <w:r>
        <w:rPr>
          <w:rFonts w:ascii="Arial" w:hAnsi="Arial" w:cs="Arial"/>
          <w:lang w:val="es-CO"/>
        </w:rPr>
        <w:t>a en la certificación.</w:t>
      </w:r>
    </w:p>
    <w:p w14:paraId="20C43A39" w14:textId="77777777" w:rsidR="00B2442D" w:rsidRDefault="00B2442D">
      <w:pPr>
        <w:jc w:val="both"/>
        <w:rPr>
          <w:rFonts w:ascii="Arial" w:hAnsi="Arial" w:cs="Arial"/>
          <w:lang w:val="es-CO"/>
        </w:rPr>
      </w:pPr>
    </w:p>
    <w:p w14:paraId="22FA6DA2" w14:textId="77777777" w:rsidR="00B2442D" w:rsidRDefault="008A645F">
      <w:pPr>
        <w:jc w:val="both"/>
        <w:rPr>
          <w:rFonts w:ascii="Arial" w:hAnsi="Arial" w:cs="Arial"/>
          <w:lang w:val="es-CO"/>
        </w:rPr>
      </w:pPr>
      <w:r>
        <w:rPr>
          <w:rFonts w:ascii="Arial" w:hAnsi="Arial" w:cs="Arial"/>
          <w:lang w:val="es-CO"/>
        </w:rPr>
        <w:t>La información a que se refiere el artículo 1.6.1.12.8 del presente Decreto y la señalada en el inciso anterior, deberá ser aportada en la inspección aduanera, si hubiere lugar a ella, para obtener la autorización del levante de las</w:t>
      </w:r>
      <w:r>
        <w:rPr>
          <w:rFonts w:ascii="Arial" w:hAnsi="Arial" w:cs="Arial"/>
          <w:lang w:val="es-CO"/>
        </w:rPr>
        <w:t xml:space="preserve"> mercancías, incluso tratándose de aquellas que a la entrada en vigencia de este Decreto se encuentre en proceso de importación y aún no hayan obtenido tal autorización.</w:t>
      </w:r>
    </w:p>
    <w:p w14:paraId="7C4C99EB" w14:textId="77777777" w:rsidR="00B2442D" w:rsidRDefault="00B2442D">
      <w:pPr>
        <w:jc w:val="both"/>
        <w:rPr>
          <w:rFonts w:ascii="Arial" w:hAnsi="Arial" w:cs="Arial"/>
          <w:i/>
          <w:lang w:val="es-CO"/>
        </w:rPr>
      </w:pPr>
    </w:p>
    <w:p w14:paraId="21B9C3CF" w14:textId="77777777" w:rsidR="00B2442D" w:rsidRDefault="008A645F">
      <w:pPr>
        <w:jc w:val="both"/>
        <w:rPr>
          <w:rFonts w:ascii="Arial" w:hAnsi="Arial" w:cs="Arial"/>
          <w:i/>
          <w:lang w:val="es-CO"/>
        </w:rPr>
      </w:pPr>
      <w:r>
        <w:rPr>
          <w:rFonts w:ascii="Arial" w:hAnsi="Arial" w:cs="Arial"/>
          <w:i/>
          <w:lang w:val="es-CO"/>
        </w:rPr>
        <w:t>(Art. 5, Decreto 1803 de 1994)</w:t>
      </w:r>
    </w:p>
    <w:p w14:paraId="6E99A45A" w14:textId="77777777" w:rsidR="00B2442D" w:rsidRDefault="00B2442D">
      <w:pPr>
        <w:jc w:val="both"/>
        <w:rPr>
          <w:rFonts w:ascii="Arial" w:hAnsi="Arial" w:cs="Arial"/>
          <w:lang w:val="es-CO"/>
        </w:rPr>
      </w:pPr>
    </w:p>
    <w:p w14:paraId="17430DD4"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Certificación para efectos de la exclusión del litera</w:t>
      </w:r>
      <w:r>
        <w:rPr>
          <w:rFonts w:ascii="Arial" w:hAnsi="Arial" w:cs="Arial"/>
          <w:b/>
          <w:i/>
          <w:lang w:val="es-CO"/>
        </w:rPr>
        <w:t>l e) del artículo 428 del Estatuto Tributario.</w:t>
      </w:r>
      <w:r>
        <w:rPr>
          <w:rFonts w:ascii="Arial" w:hAnsi="Arial" w:cs="Arial"/>
          <w:lang w:val="es-CO"/>
        </w:rPr>
        <w:t xml:space="preserve"> Cuando la maquinaria pesada se vaya a someter a la modalidad de importación temporal de largo plazo, el importador deberá obtener del Ministerio de Comercio, Industria y Turismo, la certificación a que se refi</w:t>
      </w:r>
      <w:r>
        <w:rPr>
          <w:rFonts w:ascii="Arial" w:hAnsi="Arial" w:cs="Arial"/>
          <w:lang w:val="es-CO"/>
        </w:rPr>
        <w:t>eren los artículos 1.6.1.12.3 a 1.6.1.12.5, 1.6.1.12.8 y 1.6.1.12.9 del presente Decreto, la cual deberá adjuntarse a la declaración de importación para obtener la autorización de levante.</w:t>
      </w:r>
    </w:p>
    <w:p w14:paraId="02763EAF" w14:textId="77777777" w:rsidR="00B2442D" w:rsidRDefault="00B2442D">
      <w:pPr>
        <w:jc w:val="both"/>
        <w:rPr>
          <w:rFonts w:ascii="Arial" w:hAnsi="Arial" w:cs="Arial"/>
          <w:lang w:val="es-CO"/>
        </w:rPr>
      </w:pPr>
    </w:p>
    <w:p w14:paraId="0D4F69B0" w14:textId="77777777" w:rsidR="00B2442D" w:rsidRDefault="008A645F">
      <w:pPr>
        <w:jc w:val="both"/>
        <w:rPr>
          <w:rFonts w:ascii="Arial" w:hAnsi="Arial" w:cs="Arial"/>
          <w:lang w:val="es-CO"/>
        </w:rPr>
      </w:pPr>
      <w:r>
        <w:rPr>
          <w:rFonts w:ascii="Arial" w:hAnsi="Arial" w:cs="Arial"/>
          <w:lang w:val="es-CO"/>
        </w:rPr>
        <w:t>Para el efecto, el Ministerio de Comercio, Industria y Turismo, so</w:t>
      </w:r>
      <w:r>
        <w:rPr>
          <w:rFonts w:ascii="Arial" w:hAnsi="Arial" w:cs="Arial"/>
          <w:lang w:val="es-CO"/>
        </w:rPr>
        <w:t>licitará al importador que aporte los elementos de juicio necesarios, que le permitan establecer la calidad de maquinaria pesada con destino a la industria básica no producida en el país.</w:t>
      </w:r>
    </w:p>
    <w:p w14:paraId="3A963B90" w14:textId="77777777" w:rsidR="00B2442D" w:rsidRDefault="00B2442D">
      <w:pPr>
        <w:jc w:val="both"/>
        <w:rPr>
          <w:rFonts w:ascii="Arial" w:hAnsi="Arial" w:cs="Arial"/>
          <w:lang w:val="es-CO"/>
        </w:rPr>
      </w:pPr>
    </w:p>
    <w:p w14:paraId="3077DDB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maquinaria pesada importada temporalmente a largo pla</w:t>
      </w:r>
      <w:r>
        <w:rPr>
          <w:rFonts w:ascii="Arial" w:hAnsi="Arial" w:cs="Arial"/>
          <w:lang w:val="es-CO"/>
        </w:rPr>
        <w:t>zo, deberá corresponder a los bienes de capital a que se refiere el artículo 6° de la Resolución 408 de 1992 de la Unidad Administrativa Especial Dirección de Impuestos y Aduanas Nacionales, así como las adiciones y modificaciones a la citada Resolución.</w:t>
      </w:r>
    </w:p>
    <w:p w14:paraId="018295CC" w14:textId="77777777" w:rsidR="00B2442D" w:rsidRDefault="00B2442D">
      <w:pPr>
        <w:jc w:val="both"/>
        <w:rPr>
          <w:rFonts w:ascii="Arial" w:hAnsi="Arial" w:cs="Arial"/>
          <w:i/>
          <w:lang w:val="es-CO"/>
        </w:rPr>
      </w:pPr>
    </w:p>
    <w:p w14:paraId="09B96970" w14:textId="77777777" w:rsidR="00B2442D" w:rsidRDefault="008A645F">
      <w:pPr>
        <w:jc w:val="both"/>
        <w:rPr>
          <w:rFonts w:ascii="Arial" w:hAnsi="Arial" w:cs="Arial"/>
          <w:i/>
          <w:lang w:val="es-CO"/>
        </w:rPr>
      </w:pPr>
      <w:r>
        <w:rPr>
          <w:rFonts w:ascii="Arial" w:hAnsi="Arial" w:cs="Arial"/>
          <w:i/>
          <w:lang w:val="es-CO"/>
        </w:rPr>
        <w:t>(Art. 6, Decreto 1803 de 1994)</w:t>
      </w:r>
    </w:p>
    <w:p w14:paraId="290E9541" w14:textId="77777777" w:rsidR="00B2442D" w:rsidRDefault="00B2442D">
      <w:pPr>
        <w:jc w:val="both"/>
        <w:rPr>
          <w:rFonts w:ascii="Arial" w:hAnsi="Arial" w:cs="Arial"/>
          <w:lang w:val="es-CO"/>
        </w:rPr>
      </w:pPr>
    </w:p>
    <w:p w14:paraId="2F8099FF"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Control del importador.</w:t>
      </w:r>
      <w:r>
        <w:rPr>
          <w:rFonts w:ascii="Arial" w:hAnsi="Arial" w:cs="Arial"/>
          <w:lang w:val="es-CO"/>
        </w:rPr>
        <w:t xml:space="preserve"> El importador deberá llevar el control de los embarques recibidos, y de la mercancía pendiente de importar respecto del registro o licencia correspondiente.</w:t>
      </w:r>
    </w:p>
    <w:p w14:paraId="73A09061" w14:textId="77777777" w:rsidR="00B2442D" w:rsidRDefault="00B2442D">
      <w:pPr>
        <w:jc w:val="both"/>
        <w:rPr>
          <w:rFonts w:ascii="Arial" w:hAnsi="Arial" w:cs="Arial"/>
          <w:i/>
          <w:lang w:val="es-CO"/>
        </w:rPr>
      </w:pPr>
    </w:p>
    <w:p w14:paraId="71CFDF65" w14:textId="77777777" w:rsidR="00B2442D" w:rsidRDefault="008A645F">
      <w:pPr>
        <w:jc w:val="both"/>
        <w:rPr>
          <w:rFonts w:ascii="Arial" w:hAnsi="Arial" w:cs="Arial"/>
          <w:i/>
          <w:lang w:val="es-CO"/>
        </w:rPr>
      </w:pPr>
      <w:r>
        <w:rPr>
          <w:rFonts w:ascii="Arial" w:hAnsi="Arial" w:cs="Arial"/>
          <w:i/>
          <w:lang w:val="es-CO"/>
        </w:rPr>
        <w:t>(Art. 7, Decreto 1803 de 1994)</w:t>
      </w:r>
    </w:p>
    <w:p w14:paraId="4EBA1B8E" w14:textId="77777777" w:rsidR="00B2442D" w:rsidRDefault="00B2442D">
      <w:pPr>
        <w:jc w:val="both"/>
        <w:rPr>
          <w:rFonts w:ascii="Arial" w:hAnsi="Arial" w:cs="Arial"/>
          <w:lang w:val="es-CO"/>
        </w:rPr>
      </w:pPr>
    </w:p>
    <w:p w14:paraId="54BFE5C9"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Importaciones a través de líneas o similares.</w:t>
      </w:r>
      <w:r>
        <w:rPr>
          <w:rFonts w:ascii="Arial" w:hAnsi="Arial" w:cs="Arial"/>
          <w:lang w:val="es-CO"/>
        </w:rPr>
        <w:t xml:space="preserve"> Las importaciones que se realicen a través de líneas de financiación no tradicionales, tales como: </w:t>
      </w:r>
      <w:r>
        <w:rPr>
          <w:rFonts w:ascii="Arial" w:hAnsi="Arial" w:cs="Arial"/>
          <w:i/>
          <w:lang w:val="es-CO"/>
        </w:rPr>
        <w:t>Leasing</w:t>
      </w:r>
      <w:r>
        <w:rPr>
          <w:rFonts w:ascii="Arial" w:hAnsi="Arial" w:cs="Arial"/>
          <w:lang w:val="es-CO"/>
        </w:rPr>
        <w:t>, BOT, BOMT, o similares, podrán utilizar sus licencias globales de acuerdo con las disposiciones vigent</w:t>
      </w:r>
      <w:r>
        <w:rPr>
          <w:rFonts w:ascii="Arial" w:hAnsi="Arial" w:cs="Arial"/>
          <w:lang w:val="es-CO"/>
        </w:rPr>
        <w:t>es sobre la materia.</w:t>
      </w:r>
    </w:p>
    <w:p w14:paraId="60DF29A2" w14:textId="77777777" w:rsidR="00B2442D" w:rsidRDefault="00B2442D">
      <w:pPr>
        <w:jc w:val="both"/>
        <w:rPr>
          <w:rFonts w:ascii="Arial" w:hAnsi="Arial" w:cs="Arial"/>
          <w:i/>
          <w:lang w:val="es-CO"/>
        </w:rPr>
      </w:pPr>
    </w:p>
    <w:p w14:paraId="6C4D0EFB" w14:textId="77777777" w:rsidR="00B2442D" w:rsidRDefault="008A645F">
      <w:pPr>
        <w:jc w:val="both"/>
        <w:rPr>
          <w:rFonts w:ascii="Arial" w:hAnsi="Arial" w:cs="Arial"/>
          <w:i/>
          <w:lang w:val="es-CO"/>
        </w:rPr>
      </w:pPr>
      <w:r>
        <w:rPr>
          <w:rFonts w:ascii="Arial" w:hAnsi="Arial" w:cs="Arial"/>
          <w:i/>
          <w:lang w:val="es-CO"/>
        </w:rPr>
        <w:t>(Art. 8, Decreto 1803 de 1994)</w:t>
      </w:r>
    </w:p>
    <w:p w14:paraId="634498EF" w14:textId="77777777" w:rsidR="00B2442D" w:rsidRDefault="00B2442D">
      <w:pPr>
        <w:jc w:val="both"/>
        <w:rPr>
          <w:rFonts w:ascii="Arial" w:hAnsi="Arial" w:cs="Arial"/>
          <w:lang w:val="es-CO"/>
        </w:rPr>
      </w:pPr>
    </w:p>
    <w:p w14:paraId="59ABFC70"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Información sobre el valor no gravado de los rendimientos financieros.</w:t>
      </w:r>
      <w:r>
        <w:rPr>
          <w:rFonts w:ascii="Arial" w:hAnsi="Arial" w:cs="Arial"/>
          <w:lang w:val="es-CO"/>
        </w:rPr>
        <w:t xml:space="preserve"> Para efectos de la información sobre el valor no gravado de los rendimientos financieros, que debe suministrarse a los ahorradores </w:t>
      </w:r>
      <w:r>
        <w:rPr>
          <w:rFonts w:ascii="Arial" w:hAnsi="Arial" w:cs="Arial"/>
          <w:lang w:val="es-CO"/>
        </w:rPr>
        <w:t xml:space="preserve">personas naturales y sucesiones ilíquidas conforme al artículo 27 de la Ley 75 de 1986 (hoy artículo 38 del Estatuto Tributario), deberá observar la siguiente regla: </w:t>
      </w:r>
    </w:p>
    <w:p w14:paraId="360038F1" w14:textId="77777777" w:rsidR="00B2442D" w:rsidRDefault="008A645F">
      <w:pPr>
        <w:jc w:val="both"/>
        <w:rPr>
          <w:rFonts w:ascii="Arial" w:hAnsi="Arial" w:cs="Arial"/>
          <w:lang w:val="es-CO"/>
        </w:rPr>
      </w:pPr>
      <w:r>
        <w:rPr>
          <w:rFonts w:ascii="Arial" w:hAnsi="Arial" w:cs="Arial"/>
          <w:lang w:val="es-CO"/>
        </w:rPr>
        <w:t xml:space="preserve"> </w:t>
      </w:r>
    </w:p>
    <w:p w14:paraId="419550BD" w14:textId="77777777" w:rsidR="00B2442D" w:rsidRDefault="008A645F">
      <w:pPr>
        <w:jc w:val="both"/>
        <w:rPr>
          <w:rFonts w:ascii="Arial" w:hAnsi="Arial" w:cs="Arial"/>
          <w:lang w:val="es-CO"/>
        </w:rPr>
      </w:pPr>
      <w:r>
        <w:rPr>
          <w:rFonts w:ascii="Arial" w:hAnsi="Arial" w:cs="Arial"/>
          <w:lang w:val="es-CO"/>
        </w:rPr>
        <w:t>En el caso de títulos con descuento, solamente se informará el porcentaje aplicable par</w:t>
      </w:r>
      <w:r>
        <w:rPr>
          <w:rFonts w:ascii="Arial" w:hAnsi="Arial" w:cs="Arial"/>
          <w:lang w:val="es-CO"/>
        </w:rPr>
        <w:t>a la determinación del rendimiento financiero no gravable, de tal forma que el respectivo ahorrador calcule la parte no gravada como el resultado de aplicar al rendimiento percibido el porcentaje informado. Cuando el título con descuento reconozca adiciona</w:t>
      </w:r>
      <w:r>
        <w:rPr>
          <w:rFonts w:ascii="Arial" w:hAnsi="Arial" w:cs="Arial"/>
          <w:lang w:val="es-CO"/>
        </w:rPr>
        <w:t xml:space="preserve">lmente intereses, el porcentaje informado por la entidad emisora del título deberá calcularse teniendo en cuenta que el rendimiento financiero está compuesto por la sumatoria de intereses y descuento; </w:t>
      </w:r>
    </w:p>
    <w:p w14:paraId="18473EAD" w14:textId="77777777" w:rsidR="00B2442D" w:rsidRDefault="00B2442D">
      <w:pPr>
        <w:jc w:val="both"/>
        <w:rPr>
          <w:rFonts w:ascii="Arial" w:hAnsi="Arial" w:cs="Arial"/>
          <w:lang w:val="es-CO"/>
        </w:rPr>
      </w:pPr>
    </w:p>
    <w:p w14:paraId="003C286D" w14:textId="77777777" w:rsidR="00B2442D" w:rsidRDefault="008A645F">
      <w:pPr>
        <w:jc w:val="both"/>
        <w:rPr>
          <w:rFonts w:ascii="Arial" w:hAnsi="Arial" w:cs="Arial"/>
          <w:i/>
          <w:lang w:val="es-CO"/>
        </w:rPr>
      </w:pPr>
      <w:r>
        <w:rPr>
          <w:rFonts w:ascii="Arial" w:hAnsi="Arial" w:cs="Arial"/>
          <w:i/>
          <w:lang w:val="es-CO"/>
        </w:rPr>
        <w:t>(Art. 4, Decreto 535 de 1987. Literal a) tiene decaim</w:t>
      </w:r>
      <w:r>
        <w:rPr>
          <w:rFonts w:ascii="Arial" w:hAnsi="Arial" w:cs="Arial"/>
          <w:i/>
          <w:lang w:val="es-CO"/>
        </w:rPr>
        <w:t>iento por evolución normativa (Art. 69 de la Ley 223 de 1995). Literal c) tiene derogatoria tácita por el parágrafo 2 del artículo 42 del Decreto 2972 de 2013. Literal d) perdió vigencia por la declaratoria de inexequibilidad parcial del Decreto 663 de 199</w:t>
      </w:r>
      <w:r>
        <w:rPr>
          <w:rFonts w:ascii="Arial" w:hAnsi="Arial" w:cs="Arial"/>
          <w:i/>
          <w:lang w:val="es-CO"/>
        </w:rPr>
        <w:t>3 por la Corte Constitucional, mediante sentencia C-700 de 1999)</w:t>
      </w:r>
    </w:p>
    <w:p w14:paraId="1EE78C35" w14:textId="77777777" w:rsidR="00B2442D" w:rsidRDefault="00B2442D">
      <w:pPr>
        <w:jc w:val="both"/>
        <w:rPr>
          <w:rFonts w:ascii="Arial" w:hAnsi="Arial" w:cs="Arial"/>
        </w:rPr>
      </w:pPr>
    </w:p>
    <w:p w14:paraId="33FA7FFC"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Expedición de certificados.</w:t>
      </w:r>
      <w:r>
        <w:rPr>
          <w:rFonts w:ascii="Arial" w:hAnsi="Arial" w:cs="Arial"/>
          <w:b/>
          <w:lang w:val="es-CO"/>
        </w:rPr>
        <w:t xml:space="preserve"> </w:t>
      </w:r>
      <w:r>
        <w:rPr>
          <w:rFonts w:ascii="Arial" w:hAnsi="Arial" w:cs="Arial"/>
          <w:lang w:val="es-CO"/>
        </w:rPr>
        <w:t xml:space="preserve">Para efectos de expedir los certificados sobre la parte no constitutiva de renta ni de ganancia ocasional de los rendimientos financieros percibidos por personas </w:t>
      </w:r>
      <w:r>
        <w:rPr>
          <w:rFonts w:ascii="Arial" w:hAnsi="Arial" w:cs="Arial"/>
          <w:lang w:val="es-CO"/>
        </w:rPr>
        <w:t xml:space="preserve">naturales y sucesiones ilíquidas, el Banco de la República procederá así para los títulos valores que emita: </w:t>
      </w:r>
    </w:p>
    <w:p w14:paraId="2C0CA749" w14:textId="77777777" w:rsidR="00B2442D" w:rsidRDefault="00B2442D">
      <w:pPr>
        <w:jc w:val="both"/>
        <w:rPr>
          <w:rFonts w:ascii="Arial" w:hAnsi="Arial" w:cs="Arial"/>
          <w:lang w:val="es-CO"/>
        </w:rPr>
      </w:pPr>
    </w:p>
    <w:p w14:paraId="7C7A72F5" w14:textId="77777777" w:rsidR="00B2442D" w:rsidRDefault="008A645F">
      <w:pPr>
        <w:jc w:val="both"/>
        <w:rPr>
          <w:rFonts w:ascii="Arial" w:hAnsi="Arial" w:cs="Arial"/>
          <w:lang w:val="es-CO"/>
        </w:rPr>
      </w:pPr>
      <w:r>
        <w:rPr>
          <w:rFonts w:ascii="Arial" w:hAnsi="Arial" w:cs="Arial"/>
          <w:lang w:val="es-CO"/>
        </w:rPr>
        <w:t>Para cada tipo de título y plazo, calculará una tasa efectiva promedio anual para los suscritos por el sistema de ofertas y otra para las colocac</w:t>
      </w:r>
      <w:r>
        <w:rPr>
          <w:rFonts w:ascii="Arial" w:hAnsi="Arial" w:cs="Arial"/>
          <w:lang w:val="es-CO"/>
        </w:rPr>
        <w:t>iones por ventanilla.</w:t>
      </w:r>
    </w:p>
    <w:p w14:paraId="0099203D" w14:textId="77777777" w:rsidR="00B2442D" w:rsidRDefault="00B2442D">
      <w:pPr>
        <w:jc w:val="both"/>
        <w:rPr>
          <w:rFonts w:ascii="Arial" w:hAnsi="Arial" w:cs="Arial"/>
          <w:i/>
          <w:lang w:val="es-CO"/>
        </w:rPr>
      </w:pPr>
    </w:p>
    <w:p w14:paraId="0D7661C3" w14:textId="77777777" w:rsidR="00B2442D" w:rsidRDefault="008A645F">
      <w:pPr>
        <w:jc w:val="both"/>
        <w:rPr>
          <w:rFonts w:ascii="Arial" w:hAnsi="Arial" w:cs="Arial"/>
          <w:i/>
          <w:lang w:val="es-CO"/>
        </w:rPr>
      </w:pPr>
      <w:r>
        <w:rPr>
          <w:rFonts w:ascii="Arial" w:hAnsi="Arial" w:cs="Arial"/>
          <w:i/>
          <w:lang w:val="es-CO"/>
        </w:rPr>
        <w:t>(Art. 9, Decreto 1189 de 1988. Numeral 2 tiene decaimiento en virtud de la eliminación de los certificados de cambio por el Banco de la República mediante la Resolución No. 2 de 1994)</w:t>
      </w:r>
    </w:p>
    <w:p w14:paraId="11911FA7" w14:textId="77777777" w:rsidR="00B2442D" w:rsidRDefault="00B2442D">
      <w:pPr>
        <w:jc w:val="both"/>
        <w:rPr>
          <w:rFonts w:ascii="Arial" w:hAnsi="Arial" w:cs="Arial"/>
          <w:i/>
          <w:lang w:val="es-CO"/>
        </w:rPr>
      </w:pPr>
    </w:p>
    <w:p w14:paraId="07781649" w14:textId="77777777" w:rsidR="00B2442D" w:rsidRDefault="008A645F">
      <w:pPr>
        <w:pStyle w:val="Prrafodelista"/>
        <w:numPr>
          <w:ilvl w:val="0"/>
          <w:numId w:val="114"/>
        </w:numPr>
        <w:ind w:left="0" w:firstLine="0"/>
        <w:jc w:val="both"/>
        <w:rPr>
          <w:rFonts w:ascii="Arial" w:hAnsi="Arial" w:cs="Arial"/>
          <w:lang w:val="es-CO"/>
        </w:rPr>
      </w:pPr>
      <w:r>
        <w:rPr>
          <w:rFonts w:ascii="Arial" w:hAnsi="Arial" w:cs="Arial"/>
          <w:b/>
          <w:i/>
          <w:lang w:val="es-CO"/>
        </w:rPr>
        <w:t xml:space="preserve">Certificados de retención en la fuente. </w:t>
      </w:r>
      <w:r>
        <w:rPr>
          <w:rFonts w:ascii="Arial" w:hAnsi="Arial" w:cs="Arial"/>
          <w:lang w:val="es-CO"/>
        </w:rPr>
        <w:t>Las pers</w:t>
      </w:r>
      <w:r>
        <w:rPr>
          <w:rFonts w:ascii="Arial" w:hAnsi="Arial" w:cs="Arial"/>
          <w:lang w:val="es-CO"/>
        </w:rPr>
        <w:t>onas jurídicas podrán entregar los certificados de retención en la fuente, en forma continua impresa por computador, sin necesidad de firma autógrafa.</w:t>
      </w:r>
    </w:p>
    <w:p w14:paraId="24FBAABA" w14:textId="77777777" w:rsidR="00B2442D" w:rsidRDefault="00B2442D">
      <w:pPr>
        <w:jc w:val="both"/>
        <w:rPr>
          <w:rFonts w:ascii="Arial" w:hAnsi="Arial" w:cs="Arial"/>
          <w:i/>
          <w:lang w:val="es-CO"/>
        </w:rPr>
      </w:pPr>
    </w:p>
    <w:p w14:paraId="65D1663D" w14:textId="77777777" w:rsidR="00B2442D" w:rsidRDefault="008A645F">
      <w:pPr>
        <w:jc w:val="both"/>
        <w:rPr>
          <w:rFonts w:ascii="Arial" w:hAnsi="Arial" w:cs="Arial"/>
          <w:i/>
          <w:lang w:val="es-CO"/>
        </w:rPr>
      </w:pPr>
      <w:r>
        <w:rPr>
          <w:rFonts w:ascii="Arial" w:hAnsi="Arial" w:cs="Arial"/>
          <w:i/>
          <w:lang w:val="es-CO"/>
        </w:rPr>
        <w:t>(Art. 10, Decreto 0836 de 1991)</w:t>
      </w:r>
    </w:p>
    <w:p w14:paraId="2D4C315A" w14:textId="77777777" w:rsidR="00B2442D" w:rsidRDefault="00B2442D">
      <w:pPr>
        <w:jc w:val="both"/>
        <w:rPr>
          <w:rFonts w:ascii="Arial" w:hAnsi="Arial" w:cs="Arial"/>
          <w:i/>
          <w:lang w:val="es-CO"/>
        </w:rPr>
      </w:pPr>
    </w:p>
    <w:p w14:paraId="5F0E1D2A" w14:textId="77777777" w:rsidR="00B2442D" w:rsidRDefault="008A645F">
      <w:pPr>
        <w:pStyle w:val="Prrafodelista"/>
        <w:numPr>
          <w:ilvl w:val="0"/>
          <w:numId w:val="114"/>
        </w:numPr>
        <w:ind w:left="0" w:firstLine="0"/>
        <w:jc w:val="both"/>
        <w:rPr>
          <w:rFonts w:ascii="Arial" w:hAnsi="Arial" w:cs="Arial"/>
          <w:b/>
          <w:i/>
          <w:lang w:val="es-CO"/>
        </w:rPr>
      </w:pPr>
      <w:r>
        <w:rPr>
          <w:rFonts w:ascii="Arial" w:hAnsi="Arial" w:cs="Arial"/>
          <w:b/>
          <w:i/>
          <w:lang w:val="es-CO"/>
        </w:rPr>
        <w:t xml:space="preserve">Contenido del certificado de retención por IVA. </w:t>
      </w:r>
    </w:p>
    <w:p w14:paraId="3B81BB6F" w14:textId="77777777" w:rsidR="00B2442D" w:rsidRDefault="00B2442D">
      <w:pPr>
        <w:jc w:val="both"/>
        <w:rPr>
          <w:rFonts w:ascii="Arial" w:hAnsi="Arial" w:cs="Arial"/>
          <w:lang w:val="es-CO"/>
        </w:rPr>
      </w:pPr>
    </w:p>
    <w:p w14:paraId="7B006FBB" w14:textId="77777777" w:rsidR="00B2442D" w:rsidRDefault="008A645F">
      <w:pPr>
        <w:jc w:val="both"/>
        <w:rPr>
          <w:rFonts w:ascii="Arial" w:hAnsi="Arial" w:cs="Arial"/>
          <w:lang w:val="es-CO"/>
        </w:rPr>
      </w:pPr>
      <w:r>
        <w:rPr>
          <w:rFonts w:ascii="Arial" w:hAnsi="Arial" w:cs="Arial"/>
          <w:lang w:val="es-CO"/>
        </w:rPr>
        <w:t>El certificado de ret</w:t>
      </w:r>
      <w:r>
        <w:rPr>
          <w:rFonts w:ascii="Arial" w:hAnsi="Arial" w:cs="Arial"/>
          <w:lang w:val="es-CO"/>
        </w:rPr>
        <w:t xml:space="preserve">ención por el impuesto sobre las ventas deberá contener: </w:t>
      </w:r>
    </w:p>
    <w:p w14:paraId="5ACB540A" w14:textId="77777777" w:rsidR="00B2442D" w:rsidRDefault="008A645F">
      <w:pPr>
        <w:jc w:val="both"/>
        <w:rPr>
          <w:rFonts w:ascii="Arial" w:hAnsi="Arial" w:cs="Arial"/>
          <w:lang w:val="es-CO"/>
        </w:rPr>
      </w:pPr>
      <w:r>
        <w:rPr>
          <w:rFonts w:ascii="Arial" w:hAnsi="Arial" w:cs="Arial"/>
          <w:lang w:val="es-CO"/>
        </w:rPr>
        <w:t xml:space="preserve"> </w:t>
      </w:r>
    </w:p>
    <w:p w14:paraId="4563EE41" w14:textId="77777777" w:rsidR="00B2442D" w:rsidRDefault="008A645F">
      <w:pPr>
        <w:ind w:left="284" w:hanging="284"/>
        <w:jc w:val="both"/>
        <w:rPr>
          <w:rFonts w:ascii="Arial" w:hAnsi="Arial" w:cs="Arial"/>
          <w:lang w:val="es-CO"/>
        </w:rPr>
      </w:pPr>
      <w:r>
        <w:rPr>
          <w:rFonts w:ascii="Arial" w:hAnsi="Arial" w:cs="Arial"/>
          <w:lang w:val="es-CO"/>
        </w:rPr>
        <w:t xml:space="preserve">a) Fecha de expedición del certificado;  </w:t>
      </w:r>
    </w:p>
    <w:p w14:paraId="25B81FA9" w14:textId="77777777" w:rsidR="00B2442D" w:rsidRDefault="00B2442D">
      <w:pPr>
        <w:ind w:left="284" w:hanging="284"/>
        <w:jc w:val="both"/>
        <w:rPr>
          <w:rFonts w:ascii="Arial" w:hAnsi="Arial" w:cs="Arial"/>
          <w:lang w:val="es-CO"/>
        </w:rPr>
      </w:pPr>
    </w:p>
    <w:p w14:paraId="23A36D63" w14:textId="77777777" w:rsidR="00B2442D" w:rsidRDefault="008A645F">
      <w:pPr>
        <w:ind w:left="284" w:hanging="284"/>
        <w:jc w:val="both"/>
        <w:rPr>
          <w:rFonts w:ascii="Arial" w:hAnsi="Arial" w:cs="Arial"/>
          <w:lang w:val="es-CO"/>
        </w:rPr>
      </w:pPr>
      <w:r>
        <w:rPr>
          <w:rFonts w:ascii="Arial" w:hAnsi="Arial" w:cs="Arial"/>
          <w:lang w:val="es-CO"/>
        </w:rPr>
        <w:t xml:space="preserve">b) Periodo y ciudad donde se practicó la retención;  </w:t>
      </w:r>
    </w:p>
    <w:p w14:paraId="4FA84462" w14:textId="77777777" w:rsidR="00B2442D" w:rsidRDefault="00B2442D">
      <w:pPr>
        <w:ind w:left="284" w:hanging="284"/>
        <w:jc w:val="both"/>
        <w:rPr>
          <w:rFonts w:ascii="Arial" w:hAnsi="Arial" w:cs="Arial"/>
          <w:lang w:val="es-CO"/>
        </w:rPr>
      </w:pPr>
    </w:p>
    <w:p w14:paraId="05544024" w14:textId="77777777" w:rsidR="00B2442D" w:rsidRDefault="008A645F">
      <w:pPr>
        <w:ind w:left="284" w:hanging="284"/>
        <w:jc w:val="both"/>
        <w:rPr>
          <w:rFonts w:ascii="Arial" w:hAnsi="Arial" w:cs="Arial"/>
          <w:lang w:val="es-CO"/>
        </w:rPr>
      </w:pPr>
      <w:r>
        <w:rPr>
          <w:rFonts w:ascii="Arial" w:hAnsi="Arial" w:cs="Arial"/>
          <w:lang w:val="es-CO"/>
        </w:rPr>
        <w:t xml:space="preserve">c) Apellidos y nombre o razón social y NIT del retenedor;  </w:t>
      </w:r>
    </w:p>
    <w:p w14:paraId="0C2D6512" w14:textId="77777777" w:rsidR="00B2442D" w:rsidRDefault="00B2442D">
      <w:pPr>
        <w:ind w:left="284" w:hanging="284"/>
        <w:jc w:val="both"/>
        <w:rPr>
          <w:rFonts w:ascii="Arial" w:hAnsi="Arial" w:cs="Arial"/>
          <w:lang w:val="es-CO"/>
        </w:rPr>
      </w:pPr>
    </w:p>
    <w:p w14:paraId="448B1BA9" w14:textId="77777777" w:rsidR="00B2442D" w:rsidRDefault="008A645F">
      <w:pPr>
        <w:ind w:left="284" w:hanging="284"/>
        <w:jc w:val="both"/>
        <w:rPr>
          <w:rFonts w:ascii="Arial" w:hAnsi="Arial" w:cs="Arial"/>
          <w:lang w:val="es-CO"/>
        </w:rPr>
      </w:pPr>
      <w:r>
        <w:rPr>
          <w:rFonts w:ascii="Arial" w:hAnsi="Arial" w:cs="Arial"/>
          <w:lang w:val="es-CO"/>
        </w:rPr>
        <w:t xml:space="preserve">d) Dirección del agente retenedor;  </w:t>
      </w:r>
    </w:p>
    <w:p w14:paraId="27B0FE1C" w14:textId="77777777" w:rsidR="00B2442D" w:rsidRDefault="00B2442D">
      <w:pPr>
        <w:ind w:left="284" w:hanging="284"/>
        <w:jc w:val="both"/>
        <w:rPr>
          <w:rFonts w:ascii="Arial" w:hAnsi="Arial" w:cs="Arial"/>
          <w:lang w:val="es-CO"/>
        </w:rPr>
      </w:pPr>
    </w:p>
    <w:p w14:paraId="4C11383C" w14:textId="77777777" w:rsidR="00B2442D" w:rsidRDefault="008A645F">
      <w:pPr>
        <w:ind w:left="284" w:hanging="284"/>
        <w:jc w:val="both"/>
        <w:rPr>
          <w:rFonts w:ascii="Arial" w:hAnsi="Arial" w:cs="Arial"/>
          <w:lang w:val="es-CO"/>
        </w:rPr>
      </w:pPr>
      <w:r>
        <w:rPr>
          <w:rFonts w:ascii="Arial" w:hAnsi="Arial" w:cs="Arial"/>
          <w:lang w:val="es-CO"/>
        </w:rPr>
        <w:t xml:space="preserve">e) Apellidos y nombre o razón social y NIT de la persona o entidad a quien se le practicó la retención;  </w:t>
      </w:r>
    </w:p>
    <w:p w14:paraId="4BA73B40" w14:textId="77777777" w:rsidR="00B2442D" w:rsidRDefault="00B2442D">
      <w:pPr>
        <w:ind w:left="284" w:hanging="284"/>
        <w:jc w:val="both"/>
        <w:rPr>
          <w:rFonts w:ascii="Arial" w:hAnsi="Arial" w:cs="Arial"/>
          <w:lang w:val="es-CO"/>
        </w:rPr>
      </w:pPr>
    </w:p>
    <w:p w14:paraId="6998DDD7" w14:textId="77777777" w:rsidR="00B2442D" w:rsidRDefault="008A645F">
      <w:pPr>
        <w:ind w:left="284" w:hanging="284"/>
        <w:jc w:val="both"/>
        <w:rPr>
          <w:rFonts w:ascii="Arial" w:hAnsi="Arial" w:cs="Arial"/>
          <w:lang w:val="es-CO"/>
        </w:rPr>
      </w:pPr>
      <w:r>
        <w:rPr>
          <w:rFonts w:ascii="Arial" w:hAnsi="Arial" w:cs="Arial"/>
          <w:lang w:val="es-CO"/>
        </w:rPr>
        <w:t>f) Monto total y concepto de la operación (venta d</w:t>
      </w:r>
      <w:r>
        <w:rPr>
          <w:rFonts w:ascii="Arial" w:hAnsi="Arial" w:cs="Arial"/>
          <w:lang w:val="es-CO"/>
        </w:rPr>
        <w:t xml:space="preserve">e bienes gravados o prestación de servicios), sin incluir IVA; </w:t>
      </w:r>
    </w:p>
    <w:p w14:paraId="288367E9" w14:textId="77777777" w:rsidR="00B2442D" w:rsidRDefault="00B2442D">
      <w:pPr>
        <w:ind w:left="284" w:hanging="284"/>
        <w:jc w:val="both"/>
        <w:rPr>
          <w:rFonts w:ascii="Arial" w:hAnsi="Arial" w:cs="Arial"/>
          <w:lang w:val="es-CO"/>
        </w:rPr>
      </w:pPr>
    </w:p>
    <w:p w14:paraId="54361136" w14:textId="77777777" w:rsidR="00B2442D" w:rsidRDefault="008A645F">
      <w:pPr>
        <w:ind w:left="284" w:hanging="284"/>
        <w:jc w:val="both"/>
        <w:rPr>
          <w:rFonts w:ascii="Arial" w:hAnsi="Arial" w:cs="Arial"/>
          <w:lang w:val="es-CO"/>
        </w:rPr>
      </w:pPr>
      <w:r>
        <w:rPr>
          <w:rFonts w:ascii="Arial" w:hAnsi="Arial" w:cs="Arial"/>
          <w:lang w:val="es-CO"/>
        </w:rPr>
        <w:t xml:space="preserve">g) Monto del IVA generado en la operación;  </w:t>
      </w:r>
    </w:p>
    <w:p w14:paraId="393F2DF8" w14:textId="77777777" w:rsidR="00B2442D" w:rsidRDefault="00B2442D">
      <w:pPr>
        <w:ind w:left="284" w:hanging="284"/>
        <w:jc w:val="both"/>
        <w:rPr>
          <w:rFonts w:ascii="Arial" w:hAnsi="Arial" w:cs="Arial"/>
          <w:lang w:val="es-CO"/>
        </w:rPr>
      </w:pPr>
    </w:p>
    <w:p w14:paraId="47D34568" w14:textId="77777777" w:rsidR="00B2442D" w:rsidRDefault="008A645F">
      <w:pPr>
        <w:ind w:left="284" w:hanging="284"/>
        <w:jc w:val="both"/>
        <w:rPr>
          <w:rFonts w:ascii="Arial" w:hAnsi="Arial" w:cs="Arial"/>
          <w:lang w:val="es-CO"/>
        </w:rPr>
      </w:pPr>
      <w:r>
        <w:rPr>
          <w:rFonts w:ascii="Arial" w:hAnsi="Arial" w:cs="Arial"/>
          <w:lang w:val="es-CO"/>
        </w:rPr>
        <w:t xml:space="preserve">h) Porcentaje aplicado y cuantía de la retención efectuada;  </w:t>
      </w:r>
    </w:p>
    <w:p w14:paraId="0F1A771C" w14:textId="77777777" w:rsidR="00B2442D" w:rsidRDefault="00B2442D">
      <w:pPr>
        <w:ind w:left="284" w:hanging="284"/>
        <w:jc w:val="both"/>
        <w:rPr>
          <w:rFonts w:ascii="Arial" w:hAnsi="Arial" w:cs="Arial"/>
          <w:lang w:val="es-CO"/>
        </w:rPr>
      </w:pPr>
    </w:p>
    <w:p w14:paraId="055815DD" w14:textId="77777777" w:rsidR="00B2442D" w:rsidRDefault="008A645F">
      <w:pPr>
        <w:ind w:left="284" w:hanging="284"/>
        <w:jc w:val="both"/>
        <w:rPr>
          <w:rFonts w:ascii="Arial" w:hAnsi="Arial" w:cs="Arial"/>
          <w:lang w:val="es-CO"/>
        </w:rPr>
      </w:pPr>
      <w:r>
        <w:rPr>
          <w:rFonts w:ascii="Arial" w:hAnsi="Arial" w:cs="Arial"/>
          <w:lang w:val="es-CO"/>
        </w:rPr>
        <w:t xml:space="preserve">i) Firma del agente retenedor y su identificación; </w:t>
      </w:r>
    </w:p>
    <w:p w14:paraId="1F4B649A" w14:textId="77777777" w:rsidR="00B2442D" w:rsidRDefault="008A645F">
      <w:pPr>
        <w:jc w:val="both"/>
        <w:rPr>
          <w:rFonts w:ascii="Arial" w:hAnsi="Arial" w:cs="Arial"/>
          <w:lang w:val="es-CO"/>
        </w:rPr>
      </w:pPr>
      <w:r>
        <w:rPr>
          <w:rFonts w:ascii="Arial" w:hAnsi="Arial" w:cs="Arial"/>
          <w:lang w:val="es-CO"/>
        </w:rPr>
        <w:t xml:space="preserve"> </w:t>
      </w:r>
    </w:p>
    <w:p w14:paraId="2A5F2CF5" w14:textId="77777777" w:rsidR="00B2442D" w:rsidRDefault="008A645F">
      <w:pPr>
        <w:jc w:val="both"/>
        <w:rPr>
          <w:rFonts w:ascii="Arial" w:hAnsi="Arial" w:cs="Arial"/>
          <w:lang w:val="es-CO"/>
        </w:rPr>
      </w:pPr>
      <w:r>
        <w:rPr>
          <w:rFonts w:ascii="Arial" w:hAnsi="Arial" w:cs="Arial"/>
          <w:lang w:val="es-CO"/>
        </w:rPr>
        <w:t>A solicitud del beneficiario</w:t>
      </w:r>
      <w:r>
        <w:rPr>
          <w:rFonts w:ascii="Arial" w:hAnsi="Arial" w:cs="Arial"/>
          <w:lang w:val="es-CO"/>
        </w:rPr>
        <w:t xml:space="preserve"> del pago, el agente retenedor expedirá un certificado por cada operación con las mismas especificaciones señaladas en este artículo. </w:t>
      </w:r>
    </w:p>
    <w:p w14:paraId="204C71A5" w14:textId="77777777" w:rsidR="00B2442D" w:rsidRDefault="008A645F">
      <w:pPr>
        <w:jc w:val="both"/>
        <w:rPr>
          <w:rFonts w:ascii="Arial" w:hAnsi="Arial" w:cs="Arial"/>
          <w:lang w:val="es-CO"/>
        </w:rPr>
      </w:pPr>
      <w:r>
        <w:rPr>
          <w:rFonts w:ascii="Arial" w:hAnsi="Arial" w:cs="Arial"/>
          <w:lang w:val="es-CO"/>
        </w:rPr>
        <w:t xml:space="preserve"> </w:t>
      </w:r>
    </w:p>
    <w:p w14:paraId="2FB09B1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la expedición del certificado a que se refiere este artículo, los agentes de retención podrá</w:t>
      </w:r>
      <w:r>
        <w:rPr>
          <w:rFonts w:ascii="Arial" w:hAnsi="Arial" w:cs="Arial"/>
          <w:lang w:val="es-CO"/>
        </w:rPr>
        <w:t>n elaborarlos en formas continuas impresas por computador, sin necesidad de firma autógrafa.</w:t>
      </w:r>
    </w:p>
    <w:p w14:paraId="253A7429" w14:textId="77777777" w:rsidR="00B2442D" w:rsidRDefault="00B2442D">
      <w:pPr>
        <w:jc w:val="both"/>
        <w:rPr>
          <w:rFonts w:ascii="Arial" w:hAnsi="Arial" w:cs="Arial"/>
          <w:i/>
          <w:lang w:val="es-CO"/>
        </w:rPr>
      </w:pPr>
    </w:p>
    <w:p w14:paraId="4E870237" w14:textId="77777777" w:rsidR="00B2442D" w:rsidRDefault="008A645F">
      <w:pPr>
        <w:jc w:val="both"/>
        <w:rPr>
          <w:rFonts w:ascii="Arial" w:hAnsi="Arial" w:cs="Arial"/>
          <w:i/>
          <w:lang w:val="es-CO"/>
        </w:rPr>
      </w:pPr>
      <w:r>
        <w:rPr>
          <w:rFonts w:ascii="Arial" w:hAnsi="Arial" w:cs="Arial"/>
          <w:i/>
          <w:lang w:val="es-CO"/>
        </w:rPr>
        <w:t>(Art. 7, Decreto 0380 de 1996, la palabra “bimestral” del literal b) del numeral 1 fue derogado tácitamente por el artículo 42 del Decreto Reglamentario 2623 de 2</w:t>
      </w:r>
      <w:r>
        <w:rPr>
          <w:rFonts w:ascii="Arial" w:hAnsi="Arial" w:cs="Arial"/>
          <w:i/>
          <w:lang w:val="es-CO"/>
        </w:rPr>
        <w:t>014. Inciso segundo modificado por el Decreto 3050 de 1997, artículo 33)</w:t>
      </w:r>
    </w:p>
    <w:p w14:paraId="2C6CD019" w14:textId="77777777" w:rsidR="00B2442D" w:rsidRDefault="00B2442D">
      <w:pPr>
        <w:jc w:val="both"/>
        <w:rPr>
          <w:rFonts w:ascii="Arial" w:hAnsi="Arial" w:cs="Arial"/>
          <w:i/>
          <w:lang w:val="es-CO"/>
        </w:rPr>
      </w:pPr>
    </w:p>
    <w:p w14:paraId="657819EF" w14:textId="77777777" w:rsidR="00B2442D" w:rsidRDefault="008A645F">
      <w:pPr>
        <w:pStyle w:val="Ttulo4"/>
        <w:rPr>
          <w:lang w:val="es-CO"/>
        </w:rPr>
      </w:pPr>
      <w:r>
        <w:rPr>
          <w:lang w:val="es-CO"/>
        </w:rPr>
        <w:t>CAPÍTULO 13</w:t>
      </w:r>
    </w:p>
    <w:p w14:paraId="4B87D145" w14:textId="77777777" w:rsidR="00B2442D" w:rsidRDefault="008A645F">
      <w:pPr>
        <w:pStyle w:val="Ttulo4"/>
        <w:rPr>
          <w:lang w:val="es-CO"/>
        </w:rPr>
      </w:pPr>
      <w:r>
        <w:rPr>
          <w:lang w:val="es-CO"/>
        </w:rPr>
        <w:t>Plazos para declarar y pagar</w:t>
      </w:r>
    </w:p>
    <w:p w14:paraId="3474300A" w14:textId="77777777" w:rsidR="00B2442D" w:rsidRDefault="00B2442D">
      <w:pPr>
        <w:rPr>
          <w:rFonts w:ascii="Arial" w:hAnsi="Arial" w:cs="Arial"/>
          <w:lang w:val="es-CO"/>
        </w:rPr>
      </w:pPr>
    </w:p>
    <w:p w14:paraId="6863BFA7" w14:textId="77777777" w:rsidR="00B2442D" w:rsidRDefault="008A645F">
      <w:pPr>
        <w:pStyle w:val="Ttulo5"/>
      </w:pPr>
      <w:r>
        <w:t>SECCIÓN 1</w:t>
      </w:r>
    </w:p>
    <w:p w14:paraId="55BC6992" w14:textId="77777777" w:rsidR="00B2442D" w:rsidRDefault="008A645F">
      <w:pPr>
        <w:pStyle w:val="Ttulo5"/>
      </w:pPr>
      <w:r>
        <w:t xml:space="preserve">Registro del cambio de titular ante el Banco de la República, no presentación de declaración GMF y plazos para </w:t>
      </w:r>
      <w:r>
        <w:t>facilidades de pago</w:t>
      </w:r>
    </w:p>
    <w:p w14:paraId="382AE234" w14:textId="77777777" w:rsidR="00B2442D" w:rsidRDefault="00B2442D">
      <w:pPr>
        <w:jc w:val="both"/>
        <w:rPr>
          <w:rFonts w:ascii="Arial" w:hAnsi="Arial" w:cs="Arial"/>
          <w:i/>
          <w:lang w:val="es-ES_tradnl"/>
        </w:rPr>
      </w:pPr>
    </w:p>
    <w:p w14:paraId="6034A866" w14:textId="77777777" w:rsidR="00B2442D" w:rsidRDefault="008A645F">
      <w:pPr>
        <w:pStyle w:val="Prrafodelista"/>
        <w:numPr>
          <w:ilvl w:val="0"/>
          <w:numId w:val="115"/>
        </w:numPr>
        <w:ind w:left="0" w:firstLine="0"/>
        <w:jc w:val="both"/>
        <w:rPr>
          <w:rFonts w:ascii="Arial" w:hAnsi="Arial" w:cs="Arial"/>
          <w:lang w:val="es-CO"/>
        </w:rPr>
      </w:pPr>
      <w:r>
        <w:rPr>
          <w:rFonts w:ascii="Arial" w:hAnsi="Arial" w:cs="Arial"/>
          <w:b/>
          <w:i/>
          <w:lang w:val="es-CO"/>
        </w:rPr>
        <w:t>Registro del cambio de titular ante el Banco de la República</w:t>
      </w:r>
      <w:r>
        <w:rPr>
          <w:rFonts w:ascii="Arial" w:hAnsi="Arial" w:cs="Arial"/>
          <w:i/>
          <w:lang w:val="es-CO"/>
        </w:rPr>
        <w:t>.</w:t>
      </w:r>
      <w:r>
        <w:rPr>
          <w:rFonts w:ascii="Arial" w:hAnsi="Arial" w:cs="Arial"/>
          <w:lang w:val="es-CO"/>
        </w:rPr>
        <w:t xml:space="preserve"> Sin perjuicio de los documentos exigidos por el Banco de la República para registrar el cambio de titular de la inversión extranjera conforme con el Régimen de Inversiones I</w:t>
      </w:r>
      <w:r>
        <w:rPr>
          <w:rFonts w:ascii="Arial" w:hAnsi="Arial" w:cs="Arial"/>
          <w:lang w:val="es-CO"/>
        </w:rPr>
        <w:t>nternacionales, para efectos fiscales el inversionista deberá presentar al Banco de la República, conjuntamente con dichos documentos, aquellos que acrediten la declaración, liquidación y pago del impuesto que se genere por la respectiva operación.</w:t>
      </w:r>
    </w:p>
    <w:p w14:paraId="5F2D4425" w14:textId="77777777" w:rsidR="00B2442D" w:rsidRDefault="00B2442D">
      <w:pPr>
        <w:jc w:val="both"/>
        <w:rPr>
          <w:rFonts w:ascii="Arial" w:hAnsi="Arial" w:cs="Arial"/>
          <w:lang w:val="es-CO"/>
        </w:rPr>
      </w:pPr>
    </w:p>
    <w:p w14:paraId="669C1947" w14:textId="77777777" w:rsidR="00B2442D" w:rsidRDefault="008A645F">
      <w:pPr>
        <w:jc w:val="both"/>
        <w:rPr>
          <w:rFonts w:ascii="Arial" w:hAnsi="Arial" w:cs="Arial"/>
          <w:lang w:val="es-CO"/>
        </w:rPr>
      </w:pPr>
      <w:r>
        <w:rPr>
          <w:rFonts w:ascii="Arial" w:hAnsi="Arial" w:cs="Arial"/>
          <w:lang w:val="es-CO"/>
        </w:rPr>
        <w:t>Para e</w:t>
      </w:r>
      <w:r>
        <w:rPr>
          <w:rFonts w:ascii="Arial" w:hAnsi="Arial" w:cs="Arial"/>
          <w:lang w:val="es-CO"/>
        </w:rPr>
        <w:t>stos efectos el cambio de titular de la inversión extranjera comprende todos los actos que implican la transferencia de la titularidad de los activos fijos en que está representada, ya sean acciones o aportes en sociedades nacionales, u otros activos poseí</w:t>
      </w:r>
      <w:r>
        <w:rPr>
          <w:rFonts w:ascii="Arial" w:hAnsi="Arial" w:cs="Arial"/>
          <w:lang w:val="es-CO"/>
        </w:rPr>
        <w:t>dos en el país por extranjeros sin residencia o domicilio en el mismo, incluyendo las transferencias que se realicen a los nacionales.</w:t>
      </w:r>
    </w:p>
    <w:p w14:paraId="0D82B0D5" w14:textId="77777777" w:rsidR="00B2442D" w:rsidRDefault="00B2442D">
      <w:pPr>
        <w:jc w:val="both"/>
        <w:rPr>
          <w:rFonts w:ascii="Arial" w:hAnsi="Arial" w:cs="Arial"/>
          <w:lang w:val="es-CO"/>
        </w:rPr>
      </w:pPr>
    </w:p>
    <w:p w14:paraId="69C68E67" w14:textId="77777777" w:rsidR="00B2442D" w:rsidRDefault="008A645F">
      <w:pPr>
        <w:jc w:val="both"/>
        <w:rPr>
          <w:rFonts w:ascii="Arial" w:hAnsi="Arial" w:cs="Arial"/>
          <w:lang w:val="es-CO"/>
        </w:rPr>
      </w:pPr>
      <w:r>
        <w:rPr>
          <w:rFonts w:ascii="Arial" w:hAnsi="Arial" w:cs="Arial"/>
          <w:lang w:val="es-CO"/>
        </w:rPr>
        <w:t>(Art. 2, Decreto 1242 de 2003)</w:t>
      </w:r>
    </w:p>
    <w:p w14:paraId="0151FA03" w14:textId="77777777" w:rsidR="00B2442D" w:rsidRDefault="00B2442D">
      <w:pPr>
        <w:jc w:val="both"/>
        <w:rPr>
          <w:rFonts w:ascii="Arial" w:hAnsi="Arial" w:cs="Arial"/>
          <w:lang w:val="es-CO"/>
        </w:rPr>
      </w:pPr>
    </w:p>
    <w:p w14:paraId="40F0EA7B" w14:textId="77777777" w:rsidR="00B2442D" w:rsidRDefault="008A645F">
      <w:pPr>
        <w:pStyle w:val="Prrafodelista"/>
        <w:numPr>
          <w:ilvl w:val="0"/>
          <w:numId w:val="115"/>
        </w:numPr>
        <w:ind w:left="0" w:firstLine="0"/>
        <w:jc w:val="both"/>
        <w:rPr>
          <w:rFonts w:ascii="Arial" w:hAnsi="Arial" w:cs="Arial"/>
          <w:lang w:val="es-CO"/>
        </w:rPr>
      </w:pPr>
      <w:r>
        <w:rPr>
          <w:rFonts w:ascii="Arial" w:hAnsi="Arial" w:cs="Arial"/>
          <w:b/>
          <w:i/>
          <w:lang w:val="es-CO"/>
        </w:rPr>
        <w:t>No presentación de declaración.</w:t>
      </w:r>
      <w:r>
        <w:rPr>
          <w:rFonts w:ascii="Arial" w:hAnsi="Arial" w:cs="Arial"/>
          <w:lang w:val="es-CO"/>
        </w:rPr>
        <w:t xml:space="preserve"> No será necesario presentar la declaración semanal del G</w:t>
      </w:r>
      <w:r>
        <w:rPr>
          <w:rFonts w:ascii="Arial" w:hAnsi="Arial" w:cs="Arial"/>
          <w:lang w:val="es-CO"/>
        </w:rPr>
        <w:t>ravamen a los Movimientos Financieros cuando en el período correspondiente no se originen operaciones sujetas al gravamen.</w:t>
      </w:r>
    </w:p>
    <w:p w14:paraId="75603CA9" w14:textId="77777777" w:rsidR="00B2442D" w:rsidRDefault="00B2442D">
      <w:pPr>
        <w:jc w:val="both"/>
        <w:rPr>
          <w:rFonts w:ascii="Arial" w:hAnsi="Arial" w:cs="Arial"/>
          <w:i/>
          <w:lang w:val="es-CO"/>
        </w:rPr>
      </w:pPr>
    </w:p>
    <w:p w14:paraId="08040BBF" w14:textId="77777777" w:rsidR="00B2442D" w:rsidRDefault="008A645F">
      <w:pPr>
        <w:jc w:val="both"/>
        <w:rPr>
          <w:rFonts w:ascii="Arial" w:hAnsi="Arial" w:cs="Arial"/>
          <w:i/>
          <w:lang w:val="es-CO"/>
        </w:rPr>
      </w:pPr>
      <w:r>
        <w:rPr>
          <w:rFonts w:ascii="Arial" w:hAnsi="Arial" w:cs="Arial"/>
          <w:i/>
          <w:lang w:val="es-CO"/>
        </w:rPr>
        <w:t>(Art. 24, Decreto 405 de 2001)</w:t>
      </w:r>
    </w:p>
    <w:p w14:paraId="1E4344AD" w14:textId="77777777" w:rsidR="00B2442D" w:rsidRDefault="00B2442D">
      <w:pPr>
        <w:jc w:val="both"/>
        <w:rPr>
          <w:rFonts w:ascii="Arial" w:hAnsi="Arial" w:cs="Arial"/>
          <w:lang w:val="es-CO"/>
        </w:rPr>
      </w:pPr>
    </w:p>
    <w:p w14:paraId="15AE73B9" w14:textId="77777777" w:rsidR="00B2442D" w:rsidRDefault="008A645F">
      <w:pPr>
        <w:pStyle w:val="Prrafodelista"/>
        <w:numPr>
          <w:ilvl w:val="0"/>
          <w:numId w:val="115"/>
        </w:numPr>
        <w:ind w:left="0" w:firstLine="0"/>
        <w:jc w:val="both"/>
        <w:rPr>
          <w:rFonts w:ascii="Arial" w:hAnsi="Arial" w:cs="Arial"/>
          <w:lang w:val="es-CO"/>
        </w:rPr>
      </w:pPr>
      <w:r>
        <w:rPr>
          <w:rFonts w:ascii="Arial" w:hAnsi="Arial" w:cs="Arial"/>
          <w:b/>
          <w:i/>
          <w:lang w:val="es-CO"/>
        </w:rPr>
        <w:t>Plazos para el pago de las obligaciones fiscales.</w:t>
      </w:r>
      <w:r>
        <w:rPr>
          <w:rFonts w:ascii="Arial" w:hAnsi="Arial" w:cs="Arial"/>
          <w:lang w:val="es-CO"/>
        </w:rPr>
        <w:t xml:space="preserve"> Las facilidades para el pago a que hace referencia</w:t>
      </w:r>
      <w:r>
        <w:rPr>
          <w:rFonts w:ascii="Arial" w:hAnsi="Arial" w:cs="Arial"/>
          <w:lang w:val="es-CO"/>
        </w:rPr>
        <w:t xml:space="preserve"> el artículo 48 de la Ley 633 de 2000, podrán ser concedidas con plazos superiores a los establecidos en el artículo 814 del Estatuto Tributario, pero en ningún caso el plazo concedido en la facilidad para el pago, podrá ser superior al menor plazo pactado</w:t>
      </w:r>
      <w:r>
        <w:rPr>
          <w:rFonts w:ascii="Arial" w:hAnsi="Arial" w:cs="Arial"/>
          <w:lang w:val="es-CO"/>
        </w:rPr>
        <w:t xml:space="preserve"> en el acuerdo de reestructuración con las entidades financieras.</w:t>
      </w:r>
    </w:p>
    <w:p w14:paraId="609A2FA3" w14:textId="77777777" w:rsidR="00B2442D" w:rsidRDefault="00B2442D">
      <w:pPr>
        <w:jc w:val="both"/>
        <w:rPr>
          <w:rFonts w:ascii="Arial" w:hAnsi="Arial" w:cs="Arial"/>
          <w:lang w:val="es-CO"/>
        </w:rPr>
      </w:pPr>
    </w:p>
    <w:p w14:paraId="1622593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Durante el plazo otorgado en la facilidad para el pago y hasta tanto se efectúe el pago, se liquidará y pagará la actualización a que hace referencia el artículo 867-1 del Estatu</w:t>
      </w:r>
      <w:r>
        <w:rPr>
          <w:rFonts w:ascii="Arial" w:hAnsi="Arial" w:cs="Arial"/>
          <w:lang w:val="es-CO"/>
        </w:rPr>
        <w:t>to Tributario.</w:t>
      </w:r>
    </w:p>
    <w:p w14:paraId="3EC5FE2E" w14:textId="77777777" w:rsidR="00B2442D" w:rsidRDefault="00B2442D">
      <w:pPr>
        <w:jc w:val="both"/>
        <w:rPr>
          <w:rFonts w:ascii="Arial" w:hAnsi="Arial" w:cs="Arial"/>
          <w:lang w:val="es-CO"/>
        </w:rPr>
      </w:pPr>
    </w:p>
    <w:p w14:paraId="4CB50B11" w14:textId="77777777" w:rsidR="00B2442D" w:rsidRDefault="008A645F">
      <w:pPr>
        <w:jc w:val="both"/>
        <w:rPr>
          <w:rFonts w:ascii="Arial" w:hAnsi="Arial" w:cs="Arial"/>
          <w:i/>
          <w:lang w:val="es-CO"/>
        </w:rPr>
      </w:pPr>
      <w:r>
        <w:rPr>
          <w:rFonts w:ascii="Arial" w:hAnsi="Arial" w:cs="Arial"/>
          <w:i/>
          <w:lang w:val="es-CO"/>
        </w:rPr>
        <w:t>(Art. 4, Decreto 1444 de 2001)</w:t>
      </w:r>
    </w:p>
    <w:p w14:paraId="58767BA4" w14:textId="77777777" w:rsidR="00B2442D" w:rsidRDefault="00B2442D">
      <w:pPr>
        <w:jc w:val="both"/>
        <w:rPr>
          <w:rFonts w:ascii="Arial" w:hAnsi="Arial" w:cs="Arial"/>
          <w:b/>
          <w:lang w:val="es-CO"/>
        </w:rPr>
      </w:pPr>
    </w:p>
    <w:p w14:paraId="54723511" w14:textId="77777777" w:rsidR="00B2442D" w:rsidRDefault="008A645F">
      <w:pPr>
        <w:pStyle w:val="Ttulo5"/>
        <w:rPr>
          <w:rFonts w:eastAsia="Arial"/>
        </w:rPr>
      </w:pPr>
      <w:r>
        <w:rPr>
          <w:rFonts w:eastAsia="Arial"/>
        </w:rPr>
        <w:t>SECCIÓN 2</w:t>
      </w:r>
    </w:p>
    <w:p w14:paraId="3C6ABBFF" w14:textId="77777777" w:rsidR="00B2442D" w:rsidRDefault="008A645F">
      <w:pPr>
        <w:pStyle w:val="Ttulo5"/>
        <w:rPr>
          <w:rFonts w:eastAsia="Arial"/>
        </w:rPr>
      </w:pPr>
      <w:r>
        <w:rPr>
          <w:rFonts w:eastAsia="Arial"/>
        </w:rPr>
        <w:t xml:space="preserve">Plazos para declarar y pagar durante el </w:t>
      </w:r>
      <w:r>
        <w:rPr>
          <w:rFonts w:eastAsia="Arial"/>
          <w:spacing w:val="-2"/>
        </w:rPr>
        <w:t>a</w:t>
      </w:r>
      <w:r>
        <w:rPr>
          <w:rFonts w:eastAsia="Arial"/>
        </w:rPr>
        <w:t>ño</w:t>
      </w:r>
      <w:r>
        <w:rPr>
          <w:rFonts w:eastAsia="Arial"/>
          <w:spacing w:val="24"/>
        </w:rPr>
        <w:t xml:space="preserve"> </w:t>
      </w:r>
      <w:r>
        <w:rPr>
          <w:rFonts w:eastAsia="Arial"/>
        </w:rPr>
        <w:t>2016</w:t>
      </w:r>
    </w:p>
    <w:p w14:paraId="65BAF1E9" w14:textId="77777777" w:rsidR="00B2442D" w:rsidRDefault="00B2442D">
      <w:pPr>
        <w:spacing w:line="40" w:lineRule="atLeast"/>
        <w:ind w:right="-30"/>
        <w:jc w:val="center"/>
        <w:rPr>
          <w:rFonts w:ascii="Arial" w:eastAsia="Arial" w:hAnsi="Arial" w:cs="Arial"/>
          <w:b/>
          <w:bCs/>
          <w:lang w:val="es-CO"/>
        </w:rPr>
      </w:pPr>
    </w:p>
    <w:p w14:paraId="4FDF7466" w14:textId="77777777" w:rsidR="00B2442D" w:rsidRDefault="008A645F">
      <w:pPr>
        <w:spacing w:line="40" w:lineRule="atLeast"/>
        <w:ind w:right="-30"/>
        <w:rPr>
          <w:rFonts w:ascii="Arial" w:eastAsia="Arial" w:hAnsi="Arial" w:cs="Arial"/>
          <w:b/>
          <w:bCs/>
          <w:lang w:val="es-CO"/>
        </w:rPr>
      </w:pPr>
      <w:r>
        <w:rPr>
          <w:rFonts w:ascii="Arial" w:eastAsia="Arial" w:hAnsi="Arial" w:cs="Arial"/>
          <w:b/>
          <w:bCs/>
          <w:lang w:val="es-CO"/>
        </w:rPr>
        <w:t>NORMAS</w:t>
      </w:r>
      <w:r>
        <w:rPr>
          <w:rFonts w:ascii="Arial" w:eastAsia="Arial" w:hAnsi="Arial" w:cs="Arial"/>
          <w:b/>
          <w:bCs/>
          <w:spacing w:val="54"/>
          <w:lang w:val="es-CO"/>
        </w:rPr>
        <w:t xml:space="preserve"> </w:t>
      </w:r>
      <w:r>
        <w:rPr>
          <w:rFonts w:ascii="Arial" w:eastAsia="Arial" w:hAnsi="Arial" w:cs="Arial"/>
          <w:b/>
          <w:bCs/>
          <w:lang w:val="es-CO"/>
        </w:rPr>
        <w:t>GENERALES</w:t>
      </w:r>
    </w:p>
    <w:p w14:paraId="4A815774" w14:textId="77777777" w:rsidR="00B2442D" w:rsidRDefault="00B2442D">
      <w:pPr>
        <w:spacing w:line="40" w:lineRule="atLeast"/>
        <w:ind w:right="-30"/>
        <w:jc w:val="both"/>
        <w:rPr>
          <w:rFonts w:ascii="Arial" w:eastAsia="Arial" w:hAnsi="Arial" w:cs="Arial"/>
          <w:b/>
          <w:bCs/>
          <w:lang w:val="es-CO"/>
        </w:rPr>
      </w:pPr>
    </w:p>
    <w:p w14:paraId="5F04D448" w14:textId="77777777" w:rsidR="00B2442D" w:rsidRDefault="008A645F">
      <w:pPr>
        <w:pStyle w:val="Prrafodelista"/>
        <w:numPr>
          <w:ilvl w:val="0"/>
          <w:numId w:val="152"/>
        </w:numPr>
        <w:spacing w:line="40" w:lineRule="atLeast"/>
        <w:ind w:left="0" w:right="-30" w:firstLine="0"/>
        <w:jc w:val="both"/>
        <w:rPr>
          <w:rFonts w:ascii="Arial" w:hAnsi="Arial" w:cs="Arial"/>
          <w:lang w:val="es-CO"/>
        </w:rPr>
      </w:pPr>
      <w:r>
        <w:rPr>
          <w:rFonts w:ascii="Arial" w:eastAsia="Arial" w:hAnsi="Arial" w:cs="Arial"/>
          <w:b/>
          <w:bCs/>
          <w:i/>
          <w:lang w:val="es-CO"/>
        </w:rPr>
        <w:t>Presentación de las declaraciones tributarias.</w:t>
      </w:r>
      <w:r>
        <w:rPr>
          <w:rFonts w:ascii="Arial" w:eastAsia="Arial" w:hAnsi="Arial" w:cs="Arial"/>
          <w:b/>
          <w:bCs/>
          <w:lang w:val="es-CO"/>
        </w:rPr>
        <w:t xml:space="preserve"> </w:t>
      </w:r>
      <w:r>
        <w:rPr>
          <w:rFonts w:ascii="Arial" w:eastAsia="Arial" w:hAnsi="Arial" w:cs="Arial"/>
          <w:lang w:val="es-CO"/>
        </w:rPr>
        <w:t xml:space="preserve">La </w:t>
      </w:r>
      <w:r>
        <w:rPr>
          <w:rFonts w:ascii="Arial" w:hAnsi="Arial" w:cs="Arial"/>
          <w:lang w:val="es-CO"/>
        </w:rPr>
        <w:t>presentación</w:t>
      </w:r>
      <w:r>
        <w:rPr>
          <w:rFonts w:ascii="Arial" w:hAnsi="Arial" w:cs="Arial"/>
          <w:spacing w:val="61"/>
          <w:lang w:val="es-CO"/>
        </w:rPr>
        <w:t xml:space="preserve"> </w:t>
      </w:r>
      <w:r>
        <w:rPr>
          <w:rFonts w:ascii="Arial" w:hAnsi="Arial" w:cs="Arial"/>
          <w:lang w:val="es-CO"/>
        </w:rPr>
        <w:t>de</w:t>
      </w:r>
      <w:r>
        <w:rPr>
          <w:rFonts w:ascii="Arial" w:hAnsi="Arial" w:cs="Arial"/>
          <w:spacing w:val="62"/>
          <w:lang w:val="es-CO"/>
        </w:rPr>
        <w:t xml:space="preserve"> </w:t>
      </w:r>
      <w:r>
        <w:rPr>
          <w:rFonts w:ascii="Arial" w:hAnsi="Arial" w:cs="Arial"/>
          <w:lang w:val="es-CO"/>
        </w:rPr>
        <w:t>las</w:t>
      </w:r>
      <w:r>
        <w:rPr>
          <w:rFonts w:ascii="Arial" w:hAnsi="Arial" w:cs="Arial"/>
          <w:spacing w:val="38"/>
          <w:lang w:val="es-CO"/>
        </w:rPr>
        <w:t xml:space="preserve"> </w:t>
      </w:r>
      <w:r>
        <w:rPr>
          <w:rFonts w:ascii="Arial" w:hAnsi="Arial" w:cs="Arial"/>
          <w:lang w:val="es-CO"/>
        </w:rPr>
        <w:t>declaraciones</w:t>
      </w:r>
      <w:r>
        <w:rPr>
          <w:rFonts w:ascii="Arial" w:hAnsi="Arial" w:cs="Arial"/>
          <w:spacing w:val="23"/>
          <w:lang w:val="es-CO"/>
        </w:rPr>
        <w:t xml:space="preserve"> </w:t>
      </w:r>
      <w:r>
        <w:rPr>
          <w:rFonts w:ascii="Arial" w:hAnsi="Arial" w:cs="Arial"/>
          <w:lang w:val="es-CO"/>
        </w:rPr>
        <w:t>litográficas</w:t>
      </w:r>
      <w:r>
        <w:rPr>
          <w:rFonts w:ascii="Arial" w:hAnsi="Arial" w:cs="Arial"/>
          <w:spacing w:val="63"/>
          <w:lang w:val="es-CO"/>
        </w:rPr>
        <w:t xml:space="preserve"> </w:t>
      </w:r>
      <w:r>
        <w:rPr>
          <w:rFonts w:ascii="Arial" w:hAnsi="Arial" w:cs="Arial"/>
          <w:lang w:val="es-CO"/>
        </w:rPr>
        <w:t>del</w:t>
      </w:r>
      <w:r>
        <w:rPr>
          <w:rFonts w:ascii="Arial" w:hAnsi="Arial" w:cs="Arial"/>
          <w:spacing w:val="56"/>
          <w:lang w:val="es-CO"/>
        </w:rPr>
        <w:t xml:space="preserve"> </w:t>
      </w:r>
      <w:r>
        <w:rPr>
          <w:rFonts w:ascii="Arial" w:hAnsi="Arial" w:cs="Arial"/>
          <w:lang w:val="es-CO"/>
        </w:rPr>
        <w:t>impuesto</w:t>
      </w:r>
      <w:r>
        <w:rPr>
          <w:rFonts w:ascii="Arial" w:hAnsi="Arial" w:cs="Arial"/>
          <w:spacing w:val="66"/>
          <w:lang w:val="es-CO"/>
        </w:rPr>
        <w:t xml:space="preserve"> </w:t>
      </w:r>
      <w:r>
        <w:rPr>
          <w:rFonts w:ascii="Arial" w:hAnsi="Arial" w:cs="Arial"/>
          <w:lang w:val="es-CO"/>
        </w:rPr>
        <w:t>sobre</w:t>
      </w:r>
      <w:r>
        <w:rPr>
          <w:rFonts w:ascii="Arial" w:hAnsi="Arial" w:cs="Arial"/>
          <w:spacing w:val="1"/>
          <w:lang w:val="es-CO"/>
        </w:rPr>
        <w:t xml:space="preserve"> </w:t>
      </w:r>
      <w:r>
        <w:rPr>
          <w:rFonts w:ascii="Arial" w:hAnsi="Arial" w:cs="Arial"/>
          <w:lang w:val="es-CO"/>
        </w:rPr>
        <w:t>la</w:t>
      </w:r>
      <w:r>
        <w:rPr>
          <w:rFonts w:ascii="Arial" w:hAnsi="Arial" w:cs="Arial"/>
          <w:spacing w:val="43"/>
          <w:lang w:val="es-CO"/>
        </w:rPr>
        <w:t xml:space="preserve"> </w:t>
      </w:r>
      <w:r>
        <w:rPr>
          <w:rFonts w:ascii="Arial" w:hAnsi="Arial" w:cs="Arial"/>
          <w:lang w:val="es-CO"/>
        </w:rPr>
        <w:t>renta</w:t>
      </w:r>
      <w:r>
        <w:rPr>
          <w:rFonts w:ascii="Arial" w:hAnsi="Arial" w:cs="Arial"/>
          <w:spacing w:val="49"/>
          <w:lang w:val="es-CO"/>
        </w:rPr>
        <w:t xml:space="preserve"> </w:t>
      </w:r>
      <w:r>
        <w:rPr>
          <w:rFonts w:ascii="Arial" w:hAnsi="Arial" w:cs="Arial"/>
          <w:lang w:val="es-CO"/>
        </w:rPr>
        <w:t>y</w:t>
      </w:r>
      <w:r>
        <w:rPr>
          <w:rFonts w:ascii="Arial" w:hAnsi="Arial" w:cs="Arial"/>
          <w:w w:val="99"/>
          <w:lang w:val="es-CO"/>
        </w:rPr>
        <w:t xml:space="preserve"> </w:t>
      </w:r>
      <w:r>
        <w:rPr>
          <w:rFonts w:ascii="Arial" w:hAnsi="Arial" w:cs="Arial"/>
          <w:lang w:val="es-CO"/>
        </w:rPr>
        <w:t>complementario,</w:t>
      </w:r>
      <w:r>
        <w:rPr>
          <w:rFonts w:ascii="Arial" w:hAnsi="Arial" w:cs="Arial"/>
          <w:spacing w:val="29"/>
          <w:lang w:val="es-CO"/>
        </w:rPr>
        <w:t xml:space="preserve"> </w:t>
      </w:r>
      <w:r>
        <w:rPr>
          <w:rFonts w:ascii="Arial" w:hAnsi="Arial" w:cs="Arial"/>
          <w:lang w:val="es-CO"/>
        </w:rPr>
        <w:t>de</w:t>
      </w:r>
      <w:r>
        <w:rPr>
          <w:rFonts w:ascii="Arial" w:hAnsi="Arial" w:cs="Arial"/>
          <w:spacing w:val="13"/>
          <w:lang w:val="es-CO"/>
        </w:rPr>
        <w:t xml:space="preserve"> </w:t>
      </w:r>
      <w:r>
        <w:rPr>
          <w:rFonts w:ascii="Arial" w:hAnsi="Arial" w:cs="Arial"/>
          <w:lang w:val="es-CO"/>
        </w:rPr>
        <w:t>ingresos</w:t>
      </w:r>
      <w:r>
        <w:rPr>
          <w:rFonts w:ascii="Arial" w:hAnsi="Arial" w:cs="Arial"/>
          <w:spacing w:val="9"/>
          <w:lang w:val="es-CO"/>
        </w:rPr>
        <w:t xml:space="preserve"> </w:t>
      </w:r>
      <w:r>
        <w:rPr>
          <w:rFonts w:ascii="Arial" w:hAnsi="Arial" w:cs="Arial"/>
          <w:lang w:val="es-CO"/>
        </w:rPr>
        <w:t>y</w:t>
      </w:r>
      <w:r>
        <w:rPr>
          <w:rFonts w:ascii="Arial" w:hAnsi="Arial" w:cs="Arial"/>
          <w:spacing w:val="14"/>
          <w:lang w:val="es-CO"/>
        </w:rPr>
        <w:t xml:space="preserve"> </w:t>
      </w:r>
      <w:r>
        <w:rPr>
          <w:rFonts w:ascii="Arial" w:hAnsi="Arial" w:cs="Arial"/>
          <w:lang w:val="es-CO"/>
        </w:rPr>
        <w:t>patrimonio,</w:t>
      </w:r>
      <w:r>
        <w:rPr>
          <w:rFonts w:ascii="Arial" w:hAnsi="Arial" w:cs="Arial"/>
          <w:spacing w:val="29"/>
          <w:lang w:val="es-CO"/>
        </w:rPr>
        <w:t xml:space="preserve"> </w:t>
      </w:r>
      <w:r>
        <w:rPr>
          <w:rFonts w:ascii="Arial" w:hAnsi="Arial" w:cs="Arial"/>
          <w:lang w:val="es-CO"/>
        </w:rPr>
        <w:t>impuesto</w:t>
      </w:r>
      <w:r>
        <w:rPr>
          <w:rFonts w:ascii="Arial" w:hAnsi="Arial" w:cs="Arial"/>
          <w:spacing w:val="17"/>
          <w:lang w:val="es-CO"/>
        </w:rPr>
        <w:t xml:space="preserve"> </w:t>
      </w:r>
      <w:r>
        <w:rPr>
          <w:rFonts w:ascii="Arial" w:hAnsi="Arial" w:cs="Arial"/>
          <w:lang w:val="es-CO"/>
        </w:rPr>
        <w:t>sobre</w:t>
      </w:r>
      <w:r>
        <w:rPr>
          <w:rFonts w:ascii="Arial" w:hAnsi="Arial" w:cs="Arial"/>
          <w:spacing w:val="22"/>
          <w:lang w:val="es-CO"/>
        </w:rPr>
        <w:t xml:space="preserve"> </w:t>
      </w:r>
      <w:r>
        <w:rPr>
          <w:rFonts w:ascii="Arial" w:hAnsi="Arial" w:cs="Arial"/>
          <w:lang w:val="es-CO"/>
        </w:rPr>
        <w:t>las</w:t>
      </w:r>
      <w:r>
        <w:rPr>
          <w:rFonts w:ascii="Arial" w:hAnsi="Arial" w:cs="Arial"/>
          <w:spacing w:val="2"/>
          <w:lang w:val="es-CO"/>
        </w:rPr>
        <w:t xml:space="preserve"> </w:t>
      </w:r>
      <w:r>
        <w:rPr>
          <w:rFonts w:ascii="Arial" w:hAnsi="Arial" w:cs="Arial"/>
          <w:lang w:val="es-CO"/>
        </w:rPr>
        <w:t>ventas,</w:t>
      </w:r>
      <w:r>
        <w:rPr>
          <w:rFonts w:ascii="Arial" w:hAnsi="Arial" w:cs="Arial"/>
          <w:spacing w:val="27"/>
          <w:lang w:val="es-CO"/>
        </w:rPr>
        <w:t xml:space="preserve"> </w:t>
      </w:r>
      <w:r>
        <w:rPr>
          <w:rFonts w:ascii="Arial" w:hAnsi="Arial" w:cs="Arial"/>
          <w:lang w:val="es-CO"/>
        </w:rPr>
        <w:t>impuesto</w:t>
      </w:r>
      <w:r>
        <w:rPr>
          <w:rFonts w:ascii="Arial" w:hAnsi="Arial" w:cs="Arial"/>
          <w:w w:val="99"/>
          <w:lang w:val="es-CO"/>
        </w:rPr>
        <w:t xml:space="preserve"> </w:t>
      </w:r>
      <w:r>
        <w:rPr>
          <w:rFonts w:ascii="Arial" w:hAnsi="Arial" w:cs="Arial"/>
          <w:lang w:val="es-CO"/>
        </w:rPr>
        <w:t>nacional</w:t>
      </w:r>
      <w:r>
        <w:rPr>
          <w:rFonts w:ascii="Arial" w:hAnsi="Arial" w:cs="Arial"/>
          <w:spacing w:val="30"/>
          <w:lang w:val="es-CO"/>
        </w:rPr>
        <w:t xml:space="preserve"> </w:t>
      </w:r>
      <w:r>
        <w:rPr>
          <w:rFonts w:ascii="Arial" w:hAnsi="Arial" w:cs="Arial"/>
          <w:lang w:val="es-CO"/>
        </w:rPr>
        <w:t>al</w:t>
      </w:r>
      <w:r>
        <w:rPr>
          <w:rFonts w:ascii="Arial" w:hAnsi="Arial" w:cs="Arial"/>
          <w:spacing w:val="19"/>
          <w:lang w:val="es-CO"/>
        </w:rPr>
        <w:t xml:space="preserve"> </w:t>
      </w:r>
      <w:r>
        <w:rPr>
          <w:rFonts w:ascii="Arial" w:hAnsi="Arial" w:cs="Arial"/>
          <w:lang w:val="es-CO"/>
        </w:rPr>
        <w:t>consumo,</w:t>
      </w:r>
      <w:r>
        <w:rPr>
          <w:rFonts w:ascii="Arial" w:hAnsi="Arial" w:cs="Arial"/>
          <w:spacing w:val="42"/>
          <w:lang w:val="es-CO"/>
        </w:rPr>
        <w:t xml:space="preserve"> </w:t>
      </w:r>
      <w:r>
        <w:rPr>
          <w:rFonts w:ascii="Arial" w:hAnsi="Arial" w:cs="Arial"/>
          <w:lang w:val="es-CO"/>
        </w:rPr>
        <w:t>retenciones</w:t>
      </w:r>
      <w:r>
        <w:rPr>
          <w:rFonts w:ascii="Arial" w:hAnsi="Arial" w:cs="Arial"/>
          <w:spacing w:val="30"/>
          <w:lang w:val="es-CO"/>
        </w:rPr>
        <w:t xml:space="preserve"> </w:t>
      </w:r>
      <w:r>
        <w:rPr>
          <w:rFonts w:ascii="Arial" w:hAnsi="Arial" w:cs="Arial"/>
          <w:lang w:val="es-CO"/>
        </w:rPr>
        <w:t>en</w:t>
      </w:r>
      <w:r>
        <w:rPr>
          <w:rFonts w:ascii="Arial" w:hAnsi="Arial" w:cs="Arial"/>
          <w:spacing w:val="30"/>
          <w:lang w:val="es-CO"/>
        </w:rPr>
        <w:t xml:space="preserve"> </w:t>
      </w:r>
      <w:r>
        <w:rPr>
          <w:rFonts w:ascii="Arial" w:hAnsi="Arial" w:cs="Arial"/>
          <w:lang w:val="es-CO"/>
        </w:rPr>
        <w:t>la</w:t>
      </w:r>
      <w:r>
        <w:rPr>
          <w:rFonts w:ascii="Arial" w:hAnsi="Arial" w:cs="Arial"/>
          <w:spacing w:val="10"/>
          <w:lang w:val="es-CO"/>
        </w:rPr>
        <w:t xml:space="preserve"> </w:t>
      </w:r>
      <w:r>
        <w:rPr>
          <w:rFonts w:ascii="Arial" w:hAnsi="Arial" w:cs="Arial"/>
          <w:lang w:val="es-CO"/>
        </w:rPr>
        <w:t>fuente</w:t>
      </w:r>
      <w:r>
        <w:rPr>
          <w:rFonts w:ascii="Arial" w:hAnsi="Arial" w:cs="Arial"/>
          <w:spacing w:val="29"/>
          <w:lang w:val="es-CO"/>
        </w:rPr>
        <w:t xml:space="preserve"> </w:t>
      </w:r>
      <w:r>
        <w:rPr>
          <w:rFonts w:ascii="Arial" w:hAnsi="Arial" w:cs="Arial"/>
          <w:lang w:val="es-CO"/>
        </w:rPr>
        <w:t>y</w:t>
      </w:r>
      <w:r>
        <w:rPr>
          <w:rFonts w:ascii="Arial" w:hAnsi="Arial" w:cs="Arial"/>
          <w:spacing w:val="29"/>
          <w:lang w:val="es-CO"/>
        </w:rPr>
        <w:t xml:space="preserve"> </w:t>
      </w:r>
      <w:r>
        <w:rPr>
          <w:rFonts w:ascii="Arial" w:hAnsi="Arial" w:cs="Arial"/>
          <w:lang w:val="es-CO"/>
        </w:rPr>
        <w:t>autorretenciones</w:t>
      </w:r>
      <w:r>
        <w:rPr>
          <w:rFonts w:ascii="Arial" w:hAnsi="Arial" w:cs="Arial"/>
          <w:spacing w:val="51"/>
          <w:lang w:val="es-CO"/>
        </w:rPr>
        <w:t xml:space="preserve"> </w:t>
      </w:r>
      <w:r>
        <w:rPr>
          <w:rFonts w:ascii="Arial" w:hAnsi="Arial" w:cs="Arial"/>
          <w:lang w:val="es-CO"/>
        </w:rPr>
        <w:t>se</w:t>
      </w:r>
      <w:r>
        <w:rPr>
          <w:rFonts w:ascii="Arial" w:hAnsi="Arial" w:cs="Arial"/>
          <w:spacing w:val="28"/>
          <w:lang w:val="es-CO"/>
        </w:rPr>
        <w:t xml:space="preserve"> </w:t>
      </w:r>
      <w:r>
        <w:rPr>
          <w:rFonts w:ascii="Arial" w:hAnsi="Arial" w:cs="Arial"/>
          <w:lang w:val="es-CO"/>
        </w:rPr>
        <w:t>hará</w:t>
      </w:r>
      <w:r>
        <w:rPr>
          <w:rFonts w:ascii="Arial" w:hAnsi="Arial" w:cs="Arial"/>
          <w:spacing w:val="24"/>
          <w:lang w:val="es-CO"/>
        </w:rPr>
        <w:t xml:space="preserve"> </w:t>
      </w:r>
      <w:r>
        <w:rPr>
          <w:rFonts w:ascii="Arial" w:hAnsi="Arial" w:cs="Arial"/>
          <w:lang w:val="es-CO"/>
        </w:rPr>
        <w:t>por</w:t>
      </w:r>
      <w:r>
        <w:rPr>
          <w:rFonts w:ascii="Arial" w:hAnsi="Arial" w:cs="Arial"/>
          <w:w w:val="103"/>
          <w:lang w:val="es-CO"/>
        </w:rPr>
        <w:t xml:space="preserve"> </w:t>
      </w:r>
      <w:r>
        <w:rPr>
          <w:rFonts w:ascii="Arial" w:hAnsi="Arial" w:cs="Arial"/>
          <w:lang w:val="es-CO"/>
        </w:rPr>
        <w:t>ventanilla</w:t>
      </w:r>
      <w:r>
        <w:rPr>
          <w:rFonts w:ascii="Arial" w:hAnsi="Arial" w:cs="Arial"/>
          <w:spacing w:val="25"/>
          <w:lang w:val="es-CO"/>
        </w:rPr>
        <w:t xml:space="preserve"> </w:t>
      </w:r>
      <w:r>
        <w:rPr>
          <w:rFonts w:ascii="Arial" w:hAnsi="Arial" w:cs="Arial"/>
          <w:lang w:val="es-CO"/>
        </w:rPr>
        <w:t>en</w:t>
      </w:r>
      <w:r>
        <w:rPr>
          <w:rFonts w:ascii="Arial" w:hAnsi="Arial" w:cs="Arial"/>
          <w:spacing w:val="11"/>
          <w:lang w:val="es-CO"/>
        </w:rPr>
        <w:t xml:space="preserve"> </w:t>
      </w:r>
      <w:r>
        <w:rPr>
          <w:rFonts w:ascii="Arial" w:hAnsi="Arial" w:cs="Arial"/>
          <w:lang w:val="es-CO"/>
        </w:rPr>
        <w:t>los</w:t>
      </w:r>
      <w:r>
        <w:rPr>
          <w:rFonts w:ascii="Arial" w:hAnsi="Arial" w:cs="Arial"/>
          <w:spacing w:val="3"/>
          <w:lang w:val="es-CO"/>
        </w:rPr>
        <w:t xml:space="preserve"> </w:t>
      </w:r>
      <w:r>
        <w:rPr>
          <w:rFonts w:ascii="Arial" w:hAnsi="Arial" w:cs="Arial"/>
          <w:lang w:val="es-CO"/>
        </w:rPr>
        <w:t>bancos</w:t>
      </w:r>
      <w:r>
        <w:rPr>
          <w:rFonts w:ascii="Arial" w:hAnsi="Arial" w:cs="Arial"/>
          <w:spacing w:val="1"/>
          <w:lang w:val="es-CO"/>
        </w:rPr>
        <w:t xml:space="preserve"> </w:t>
      </w:r>
      <w:r>
        <w:rPr>
          <w:rFonts w:ascii="Arial" w:hAnsi="Arial" w:cs="Arial"/>
          <w:lang w:val="es-CO"/>
        </w:rPr>
        <w:t>y</w:t>
      </w:r>
      <w:r>
        <w:rPr>
          <w:rFonts w:ascii="Arial" w:hAnsi="Arial" w:cs="Arial"/>
          <w:spacing w:val="10"/>
          <w:lang w:val="es-CO"/>
        </w:rPr>
        <w:t xml:space="preserve"> </w:t>
      </w:r>
      <w:r>
        <w:rPr>
          <w:rFonts w:ascii="Arial" w:hAnsi="Arial" w:cs="Arial"/>
          <w:lang w:val="es-CO"/>
        </w:rPr>
        <w:t>demás</w:t>
      </w:r>
      <w:r>
        <w:rPr>
          <w:rFonts w:ascii="Arial" w:hAnsi="Arial" w:cs="Arial"/>
          <w:spacing w:val="15"/>
          <w:lang w:val="es-CO"/>
        </w:rPr>
        <w:t xml:space="preserve"> </w:t>
      </w:r>
      <w:r>
        <w:rPr>
          <w:rFonts w:ascii="Arial" w:hAnsi="Arial" w:cs="Arial"/>
          <w:lang w:val="es-CO"/>
        </w:rPr>
        <w:t>entidades</w:t>
      </w:r>
      <w:r>
        <w:rPr>
          <w:rFonts w:ascii="Arial" w:hAnsi="Arial" w:cs="Arial"/>
          <w:spacing w:val="24"/>
          <w:lang w:val="es-CO"/>
        </w:rPr>
        <w:t xml:space="preserve"> </w:t>
      </w:r>
      <w:r>
        <w:rPr>
          <w:rFonts w:ascii="Arial" w:hAnsi="Arial" w:cs="Arial"/>
          <w:lang w:val="es-CO"/>
        </w:rPr>
        <w:t>autorizadas</w:t>
      </w:r>
      <w:r>
        <w:rPr>
          <w:rFonts w:ascii="Arial" w:hAnsi="Arial" w:cs="Arial"/>
          <w:spacing w:val="32"/>
          <w:lang w:val="es-CO"/>
        </w:rPr>
        <w:t xml:space="preserve"> </w:t>
      </w:r>
      <w:r>
        <w:rPr>
          <w:rFonts w:ascii="Arial" w:hAnsi="Arial" w:cs="Arial"/>
          <w:lang w:val="es-CO"/>
        </w:rPr>
        <w:t>para</w:t>
      </w:r>
      <w:r>
        <w:rPr>
          <w:rFonts w:ascii="Arial" w:hAnsi="Arial" w:cs="Arial"/>
          <w:spacing w:val="10"/>
          <w:lang w:val="es-CO"/>
        </w:rPr>
        <w:t xml:space="preserve"> </w:t>
      </w:r>
      <w:r>
        <w:rPr>
          <w:rFonts w:ascii="Arial" w:hAnsi="Arial" w:cs="Arial"/>
          <w:lang w:val="es-CO"/>
        </w:rPr>
        <w:t>recaudar</w:t>
      </w:r>
      <w:r>
        <w:rPr>
          <w:rFonts w:ascii="Arial" w:hAnsi="Arial" w:cs="Arial"/>
          <w:spacing w:val="14"/>
          <w:lang w:val="es-CO"/>
        </w:rPr>
        <w:t xml:space="preserve"> </w:t>
      </w:r>
      <w:r>
        <w:rPr>
          <w:rFonts w:ascii="Arial" w:hAnsi="Arial" w:cs="Arial"/>
          <w:lang w:val="es-CO"/>
        </w:rPr>
        <w:t>ubicados</w:t>
      </w:r>
      <w:r>
        <w:rPr>
          <w:rFonts w:ascii="Arial" w:hAnsi="Arial" w:cs="Arial"/>
          <w:spacing w:val="12"/>
          <w:lang w:val="es-CO"/>
        </w:rPr>
        <w:t xml:space="preserve"> </w:t>
      </w:r>
      <w:r>
        <w:rPr>
          <w:rFonts w:ascii="Arial" w:hAnsi="Arial" w:cs="Arial"/>
          <w:lang w:val="es-CO"/>
        </w:rPr>
        <w:t>en</w:t>
      </w:r>
      <w:r>
        <w:rPr>
          <w:rFonts w:ascii="Arial" w:hAnsi="Arial" w:cs="Arial"/>
          <w:spacing w:val="-4"/>
          <w:lang w:val="es-CO"/>
        </w:rPr>
        <w:t xml:space="preserve"> </w:t>
      </w:r>
      <w:r>
        <w:rPr>
          <w:rFonts w:ascii="Arial" w:hAnsi="Arial" w:cs="Arial"/>
          <w:lang w:val="es-CO"/>
        </w:rPr>
        <w:t>el</w:t>
      </w:r>
      <w:r>
        <w:rPr>
          <w:rFonts w:ascii="Arial" w:hAnsi="Arial" w:cs="Arial"/>
          <w:w w:val="106"/>
          <w:lang w:val="es-CO"/>
        </w:rPr>
        <w:t xml:space="preserve"> </w:t>
      </w:r>
      <w:r>
        <w:rPr>
          <w:rFonts w:ascii="Arial" w:hAnsi="Arial" w:cs="Arial"/>
          <w:lang w:val="es-CO"/>
        </w:rPr>
        <w:t>territorio</w:t>
      </w:r>
      <w:r>
        <w:rPr>
          <w:rFonts w:ascii="Arial" w:hAnsi="Arial" w:cs="Arial"/>
          <w:spacing w:val="37"/>
          <w:lang w:val="es-CO"/>
        </w:rPr>
        <w:t xml:space="preserve"> </w:t>
      </w:r>
      <w:r>
        <w:rPr>
          <w:rFonts w:ascii="Arial" w:hAnsi="Arial" w:cs="Arial"/>
          <w:lang w:val="es-CO"/>
        </w:rPr>
        <w:t>nacional,</w:t>
      </w:r>
      <w:r>
        <w:rPr>
          <w:rFonts w:ascii="Arial" w:hAnsi="Arial" w:cs="Arial"/>
          <w:spacing w:val="23"/>
          <w:lang w:val="es-CO"/>
        </w:rPr>
        <w:t xml:space="preserve"> </w:t>
      </w:r>
      <w:r>
        <w:rPr>
          <w:rFonts w:ascii="Arial" w:hAnsi="Arial" w:cs="Arial"/>
          <w:lang w:val="es-CO"/>
        </w:rPr>
        <w:t>salvo</w:t>
      </w:r>
      <w:r>
        <w:rPr>
          <w:rFonts w:ascii="Arial" w:hAnsi="Arial" w:cs="Arial"/>
          <w:spacing w:val="20"/>
          <w:lang w:val="es-CO"/>
        </w:rPr>
        <w:t xml:space="preserve"> </w:t>
      </w:r>
      <w:r>
        <w:rPr>
          <w:rFonts w:ascii="Arial" w:hAnsi="Arial" w:cs="Arial"/>
          <w:lang w:val="es-CO"/>
        </w:rPr>
        <w:t>aquellos</w:t>
      </w:r>
      <w:r>
        <w:rPr>
          <w:rFonts w:ascii="Arial" w:hAnsi="Arial" w:cs="Arial"/>
          <w:spacing w:val="27"/>
          <w:lang w:val="es-CO"/>
        </w:rPr>
        <w:t xml:space="preserve"> </w:t>
      </w:r>
      <w:r>
        <w:rPr>
          <w:rFonts w:ascii="Arial" w:hAnsi="Arial" w:cs="Arial"/>
          <w:lang w:val="es-CO"/>
        </w:rPr>
        <w:t>contribuyentes</w:t>
      </w:r>
      <w:r>
        <w:rPr>
          <w:rFonts w:ascii="Arial" w:hAnsi="Arial" w:cs="Arial"/>
          <w:spacing w:val="40"/>
          <w:lang w:val="es-CO"/>
        </w:rPr>
        <w:t xml:space="preserve"> </w:t>
      </w:r>
      <w:r>
        <w:rPr>
          <w:rFonts w:ascii="Arial" w:hAnsi="Arial" w:cs="Arial"/>
          <w:lang w:val="es-CO"/>
        </w:rPr>
        <w:t>y</w:t>
      </w:r>
      <w:r>
        <w:rPr>
          <w:rFonts w:ascii="Arial" w:hAnsi="Arial" w:cs="Arial"/>
          <w:spacing w:val="22"/>
          <w:lang w:val="es-CO"/>
        </w:rPr>
        <w:t xml:space="preserve"> </w:t>
      </w:r>
      <w:r>
        <w:rPr>
          <w:rFonts w:ascii="Arial" w:hAnsi="Arial" w:cs="Arial"/>
          <w:lang w:val="es-CO"/>
        </w:rPr>
        <w:t>responsables</w:t>
      </w:r>
      <w:r>
        <w:rPr>
          <w:rFonts w:ascii="Arial" w:hAnsi="Arial" w:cs="Arial"/>
          <w:spacing w:val="28"/>
          <w:lang w:val="es-CO"/>
        </w:rPr>
        <w:t xml:space="preserve"> </w:t>
      </w:r>
      <w:r>
        <w:rPr>
          <w:rFonts w:ascii="Arial" w:hAnsi="Arial" w:cs="Arial"/>
          <w:lang w:val="es-CO"/>
        </w:rPr>
        <w:t>obligados</w:t>
      </w:r>
      <w:r>
        <w:rPr>
          <w:rFonts w:ascii="Arial" w:hAnsi="Arial" w:cs="Arial"/>
          <w:spacing w:val="24"/>
          <w:lang w:val="es-CO"/>
        </w:rPr>
        <w:t xml:space="preserve"> </w:t>
      </w:r>
      <w:r>
        <w:rPr>
          <w:rFonts w:ascii="Arial" w:hAnsi="Arial" w:cs="Arial"/>
          <w:lang w:val="es-CO"/>
        </w:rPr>
        <w:t>a</w:t>
      </w:r>
      <w:r>
        <w:rPr>
          <w:rFonts w:ascii="Arial" w:hAnsi="Arial" w:cs="Arial"/>
          <w:spacing w:val="9"/>
          <w:lang w:val="es-CO"/>
        </w:rPr>
        <w:t xml:space="preserve"> </w:t>
      </w:r>
      <w:r>
        <w:rPr>
          <w:rFonts w:ascii="Arial" w:hAnsi="Arial" w:cs="Arial"/>
          <w:lang w:val="es-CO"/>
        </w:rPr>
        <w:t>declarar virtualmente</w:t>
      </w:r>
      <w:r>
        <w:rPr>
          <w:rFonts w:ascii="Arial" w:hAnsi="Arial" w:cs="Arial"/>
          <w:spacing w:val="39"/>
          <w:lang w:val="es-CO"/>
        </w:rPr>
        <w:t xml:space="preserve"> </w:t>
      </w:r>
      <w:r>
        <w:rPr>
          <w:rFonts w:ascii="Arial" w:hAnsi="Arial" w:cs="Arial"/>
          <w:lang w:val="es-CO"/>
        </w:rPr>
        <w:t>quienes</w:t>
      </w:r>
      <w:r>
        <w:rPr>
          <w:rFonts w:ascii="Arial" w:hAnsi="Arial" w:cs="Arial"/>
          <w:spacing w:val="28"/>
          <w:lang w:val="es-CO"/>
        </w:rPr>
        <w:t xml:space="preserve"> </w:t>
      </w:r>
      <w:r>
        <w:rPr>
          <w:rFonts w:ascii="Arial" w:hAnsi="Arial" w:cs="Arial"/>
          <w:lang w:val="es-CO"/>
        </w:rPr>
        <w:t>deberán</w:t>
      </w:r>
      <w:r>
        <w:rPr>
          <w:rFonts w:ascii="Arial" w:hAnsi="Arial" w:cs="Arial"/>
          <w:spacing w:val="33"/>
          <w:lang w:val="es-CO"/>
        </w:rPr>
        <w:t xml:space="preserve"> </w:t>
      </w:r>
      <w:r>
        <w:rPr>
          <w:rFonts w:ascii="Arial" w:hAnsi="Arial" w:cs="Arial"/>
          <w:lang w:val="es-CO"/>
        </w:rPr>
        <w:t>presentarla</w:t>
      </w:r>
      <w:r>
        <w:rPr>
          <w:rFonts w:ascii="Arial" w:hAnsi="Arial" w:cs="Arial"/>
          <w:spacing w:val="29"/>
          <w:lang w:val="es-CO"/>
        </w:rPr>
        <w:t xml:space="preserve"> </w:t>
      </w:r>
      <w:r>
        <w:rPr>
          <w:rFonts w:ascii="Arial" w:hAnsi="Arial" w:cs="Arial"/>
          <w:lang w:val="es-CO"/>
        </w:rPr>
        <w:t>a</w:t>
      </w:r>
      <w:r>
        <w:rPr>
          <w:rFonts w:ascii="Arial" w:hAnsi="Arial" w:cs="Arial"/>
          <w:spacing w:val="11"/>
          <w:lang w:val="es-CO"/>
        </w:rPr>
        <w:t xml:space="preserve"> </w:t>
      </w:r>
      <w:r>
        <w:rPr>
          <w:rFonts w:ascii="Arial" w:hAnsi="Arial" w:cs="Arial"/>
          <w:lang w:val="es-CO"/>
        </w:rPr>
        <w:t>través</w:t>
      </w:r>
      <w:r>
        <w:rPr>
          <w:rFonts w:ascii="Arial" w:hAnsi="Arial" w:cs="Arial"/>
          <w:spacing w:val="25"/>
          <w:lang w:val="es-CO"/>
        </w:rPr>
        <w:t xml:space="preserve"> </w:t>
      </w:r>
      <w:r>
        <w:rPr>
          <w:rFonts w:ascii="Arial" w:hAnsi="Arial" w:cs="Arial"/>
          <w:lang w:val="es-CO"/>
        </w:rPr>
        <w:t>de</w:t>
      </w:r>
      <w:r>
        <w:rPr>
          <w:rFonts w:ascii="Arial" w:hAnsi="Arial" w:cs="Arial"/>
          <w:spacing w:val="29"/>
          <w:lang w:val="es-CO"/>
        </w:rPr>
        <w:t xml:space="preserve"> </w:t>
      </w:r>
      <w:r>
        <w:rPr>
          <w:rFonts w:ascii="Arial" w:hAnsi="Arial" w:cs="Arial"/>
          <w:lang w:val="es-CO"/>
        </w:rPr>
        <w:t>los</w:t>
      </w:r>
      <w:r>
        <w:rPr>
          <w:rFonts w:ascii="Arial" w:hAnsi="Arial" w:cs="Arial"/>
          <w:spacing w:val="10"/>
          <w:lang w:val="es-CO"/>
        </w:rPr>
        <w:t xml:space="preserve"> </w:t>
      </w:r>
      <w:r>
        <w:rPr>
          <w:rFonts w:ascii="Arial" w:hAnsi="Arial" w:cs="Arial"/>
          <w:lang w:val="es-CO"/>
        </w:rPr>
        <w:t>servicios</w:t>
      </w:r>
      <w:r>
        <w:rPr>
          <w:rFonts w:ascii="Arial" w:hAnsi="Arial" w:cs="Arial"/>
          <w:spacing w:val="37"/>
          <w:lang w:val="es-CO"/>
        </w:rPr>
        <w:t xml:space="preserve"> </w:t>
      </w:r>
      <w:r>
        <w:rPr>
          <w:rFonts w:ascii="Arial" w:hAnsi="Arial" w:cs="Arial"/>
          <w:lang w:val="es-CO"/>
        </w:rPr>
        <w:t>informáticos</w:t>
      </w:r>
      <w:r>
        <w:rPr>
          <w:rFonts w:ascii="Arial" w:hAnsi="Arial" w:cs="Arial"/>
          <w:w w:val="99"/>
          <w:lang w:val="es-CO"/>
        </w:rPr>
        <w:t xml:space="preserve"> </w:t>
      </w:r>
      <w:r>
        <w:rPr>
          <w:rFonts w:ascii="Arial" w:hAnsi="Arial" w:cs="Arial"/>
          <w:lang w:val="es-CO"/>
        </w:rPr>
        <w:t>electrónicos.</w:t>
      </w:r>
    </w:p>
    <w:p w14:paraId="5750B183" w14:textId="77777777" w:rsidR="00B2442D" w:rsidRDefault="00B2442D">
      <w:pPr>
        <w:spacing w:line="40" w:lineRule="atLeast"/>
        <w:ind w:right="-30"/>
        <w:jc w:val="both"/>
        <w:rPr>
          <w:rFonts w:ascii="Arial" w:hAnsi="Arial" w:cs="Arial"/>
          <w:lang w:val="es-CO"/>
        </w:rPr>
      </w:pPr>
    </w:p>
    <w:p w14:paraId="4DB6C2E2" w14:textId="77777777" w:rsidR="00B2442D" w:rsidRDefault="008A645F">
      <w:pPr>
        <w:pStyle w:val="Textoindependiente"/>
        <w:spacing w:line="40" w:lineRule="atLeast"/>
        <w:ind w:right="-30"/>
        <w:jc w:val="both"/>
        <w:rPr>
          <w:rFonts w:cs="Arial"/>
          <w:lang w:val="es-CO"/>
        </w:rPr>
      </w:pPr>
      <w:r>
        <w:rPr>
          <w:rFonts w:cs="Arial"/>
          <w:lang w:val="es-CO"/>
        </w:rPr>
        <w:t>Las</w:t>
      </w:r>
      <w:r>
        <w:rPr>
          <w:rFonts w:cs="Arial"/>
          <w:spacing w:val="34"/>
          <w:lang w:val="es-CO"/>
        </w:rPr>
        <w:t xml:space="preserve"> </w:t>
      </w:r>
      <w:r>
        <w:rPr>
          <w:rFonts w:cs="Arial"/>
          <w:lang w:val="es-CO"/>
        </w:rPr>
        <w:t>declaraciones</w:t>
      </w:r>
      <w:r>
        <w:rPr>
          <w:rFonts w:cs="Arial"/>
          <w:spacing w:val="4"/>
          <w:lang w:val="es-CO"/>
        </w:rPr>
        <w:t xml:space="preserve"> </w:t>
      </w:r>
      <w:r>
        <w:rPr>
          <w:rFonts w:cs="Arial"/>
          <w:lang w:val="es-CO"/>
        </w:rPr>
        <w:t>de</w:t>
      </w:r>
      <w:r>
        <w:rPr>
          <w:rFonts w:cs="Arial"/>
          <w:spacing w:val="51"/>
          <w:lang w:val="es-CO"/>
        </w:rPr>
        <w:t xml:space="preserve"> </w:t>
      </w:r>
      <w:r>
        <w:rPr>
          <w:rFonts w:cs="Arial"/>
          <w:lang w:val="es-CO"/>
        </w:rPr>
        <w:t>Impuesto</w:t>
      </w:r>
      <w:r>
        <w:rPr>
          <w:rFonts w:cs="Arial"/>
          <w:spacing w:val="46"/>
          <w:lang w:val="es-CO"/>
        </w:rPr>
        <w:t xml:space="preserve"> </w:t>
      </w:r>
      <w:r>
        <w:rPr>
          <w:rFonts w:cs="Arial"/>
          <w:lang w:val="es-CO"/>
        </w:rPr>
        <w:t>sobre</w:t>
      </w:r>
      <w:r>
        <w:rPr>
          <w:rFonts w:cs="Arial"/>
          <w:spacing w:val="50"/>
          <w:lang w:val="es-CO"/>
        </w:rPr>
        <w:t xml:space="preserve"> </w:t>
      </w:r>
      <w:r>
        <w:rPr>
          <w:rFonts w:cs="Arial"/>
          <w:lang w:val="es-CO"/>
        </w:rPr>
        <w:t>la</w:t>
      </w:r>
      <w:r>
        <w:rPr>
          <w:rFonts w:cs="Arial"/>
          <w:spacing w:val="41"/>
          <w:lang w:val="es-CO"/>
        </w:rPr>
        <w:t xml:space="preserve"> </w:t>
      </w:r>
      <w:r>
        <w:rPr>
          <w:rFonts w:cs="Arial"/>
          <w:lang w:val="es-CO"/>
        </w:rPr>
        <w:t>Renta</w:t>
      </w:r>
      <w:r>
        <w:rPr>
          <w:rFonts w:cs="Arial"/>
          <w:spacing w:val="40"/>
          <w:lang w:val="es-CO"/>
        </w:rPr>
        <w:t xml:space="preserve"> </w:t>
      </w:r>
      <w:r>
        <w:rPr>
          <w:rFonts w:cs="Arial"/>
          <w:lang w:val="es-CO"/>
        </w:rPr>
        <w:t>para</w:t>
      </w:r>
      <w:r>
        <w:rPr>
          <w:rFonts w:cs="Arial"/>
          <w:spacing w:val="46"/>
          <w:lang w:val="es-CO"/>
        </w:rPr>
        <w:t xml:space="preserve"> </w:t>
      </w:r>
      <w:r>
        <w:rPr>
          <w:rFonts w:cs="Arial"/>
          <w:lang w:val="es-CO"/>
        </w:rPr>
        <w:t>la</w:t>
      </w:r>
      <w:r>
        <w:rPr>
          <w:rFonts w:cs="Arial"/>
          <w:spacing w:val="40"/>
          <w:lang w:val="es-CO"/>
        </w:rPr>
        <w:t xml:space="preserve"> </w:t>
      </w:r>
      <w:r>
        <w:rPr>
          <w:rFonts w:cs="Arial"/>
          <w:lang w:val="es-CO"/>
        </w:rPr>
        <w:t>Equidad</w:t>
      </w:r>
      <w:r>
        <w:rPr>
          <w:rFonts w:cs="Arial"/>
          <w:spacing w:val="41"/>
          <w:lang w:val="es-CO"/>
        </w:rPr>
        <w:t xml:space="preserve"> </w:t>
      </w:r>
      <w:r>
        <w:rPr>
          <w:rFonts w:cs="Arial"/>
          <w:lang w:val="es-CO"/>
        </w:rPr>
        <w:t>-</w:t>
      </w:r>
      <w:r>
        <w:rPr>
          <w:rFonts w:cs="Arial"/>
          <w:spacing w:val="35"/>
          <w:lang w:val="es-CO"/>
        </w:rPr>
        <w:t xml:space="preserve"> </w:t>
      </w:r>
      <w:r>
        <w:rPr>
          <w:rFonts w:cs="Arial"/>
          <w:lang w:val="es-CO"/>
        </w:rPr>
        <w:t>CREE,</w:t>
      </w:r>
      <w:r>
        <w:rPr>
          <w:rFonts w:cs="Arial"/>
          <w:spacing w:val="58"/>
          <w:lang w:val="es-CO"/>
        </w:rPr>
        <w:t xml:space="preserve"> </w:t>
      </w:r>
      <w:r>
        <w:rPr>
          <w:rFonts w:cs="Arial"/>
          <w:lang w:val="es-CO"/>
        </w:rPr>
        <w:t>Impuesto</w:t>
      </w:r>
      <w:r>
        <w:rPr>
          <w:rFonts w:cs="Arial"/>
          <w:w w:val="99"/>
          <w:lang w:val="es-CO"/>
        </w:rPr>
        <w:t xml:space="preserve"> </w:t>
      </w:r>
      <w:r>
        <w:rPr>
          <w:rFonts w:cs="Arial"/>
          <w:lang w:val="es-CO"/>
        </w:rPr>
        <w:t>Nacional</w:t>
      </w:r>
      <w:r>
        <w:rPr>
          <w:rFonts w:cs="Arial"/>
          <w:spacing w:val="40"/>
          <w:lang w:val="es-CO"/>
        </w:rPr>
        <w:t xml:space="preserve"> </w:t>
      </w:r>
      <w:r>
        <w:rPr>
          <w:rFonts w:cs="Arial"/>
          <w:lang w:val="es-CO"/>
        </w:rPr>
        <w:t>a</w:t>
      </w:r>
      <w:r>
        <w:rPr>
          <w:rFonts w:cs="Arial"/>
          <w:spacing w:val="42"/>
          <w:lang w:val="es-CO"/>
        </w:rPr>
        <w:t xml:space="preserve"> </w:t>
      </w:r>
      <w:r>
        <w:rPr>
          <w:rFonts w:cs="Arial"/>
          <w:lang w:val="es-CO"/>
        </w:rPr>
        <w:t>la</w:t>
      </w:r>
      <w:r>
        <w:rPr>
          <w:rFonts w:cs="Arial"/>
          <w:spacing w:val="31"/>
          <w:lang w:val="es-CO"/>
        </w:rPr>
        <w:t xml:space="preserve"> </w:t>
      </w:r>
      <w:r>
        <w:rPr>
          <w:rFonts w:cs="Arial"/>
          <w:lang w:val="es-CO"/>
        </w:rPr>
        <w:t>Gasolina</w:t>
      </w:r>
      <w:r>
        <w:rPr>
          <w:rFonts w:cs="Arial"/>
          <w:spacing w:val="36"/>
          <w:lang w:val="es-CO"/>
        </w:rPr>
        <w:t xml:space="preserve"> </w:t>
      </w:r>
      <w:r>
        <w:rPr>
          <w:rFonts w:cs="Arial"/>
          <w:lang w:val="es-CO"/>
        </w:rPr>
        <w:t>y</w:t>
      </w:r>
      <w:r>
        <w:rPr>
          <w:rFonts w:cs="Arial"/>
          <w:spacing w:val="27"/>
          <w:lang w:val="es-CO"/>
        </w:rPr>
        <w:t xml:space="preserve"> </w:t>
      </w:r>
      <w:r>
        <w:rPr>
          <w:rFonts w:cs="Arial"/>
          <w:lang w:val="es-CO"/>
        </w:rPr>
        <w:t>ACPM,</w:t>
      </w:r>
      <w:r>
        <w:rPr>
          <w:rFonts w:cs="Arial"/>
          <w:spacing w:val="55"/>
          <w:lang w:val="es-CO"/>
        </w:rPr>
        <w:t xml:space="preserve"> </w:t>
      </w:r>
      <w:r>
        <w:rPr>
          <w:rFonts w:cs="Arial"/>
          <w:lang w:val="es-CO"/>
        </w:rPr>
        <w:t>Gravamen</w:t>
      </w:r>
      <w:r>
        <w:rPr>
          <w:rFonts w:cs="Arial"/>
          <w:spacing w:val="47"/>
          <w:lang w:val="es-CO"/>
        </w:rPr>
        <w:t xml:space="preserve"> </w:t>
      </w:r>
      <w:r>
        <w:rPr>
          <w:rFonts w:cs="Arial"/>
          <w:lang w:val="es-CO"/>
        </w:rPr>
        <w:t>a</w:t>
      </w:r>
      <w:r>
        <w:rPr>
          <w:rFonts w:cs="Arial"/>
          <w:spacing w:val="46"/>
          <w:lang w:val="es-CO"/>
        </w:rPr>
        <w:t xml:space="preserve"> </w:t>
      </w:r>
      <w:r>
        <w:rPr>
          <w:rFonts w:cs="Arial"/>
          <w:lang w:val="es-CO"/>
        </w:rPr>
        <w:t>los</w:t>
      </w:r>
      <w:r>
        <w:rPr>
          <w:rFonts w:cs="Arial"/>
          <w:spacing w:val="34"/>
          <w:lang w:val="es-CO"/>
        </w:rPr>
        <w:t xml:space="preserve"> </w:t>
      </w:r>
      <w:r>
        <w:rPr>
          <w:rFonts w:cs="Arial"/>
          <w:lang w:val="es-CO"/>
        </w:rPr>
        <w:t>Movimientos</w:t>
      </w:r>
      <w:r>
        <w:rPr>
          <w:rFonts w:cs="Arial"/>
          <w:spacing w:val="50"/>
          <w:lang w:val="es-CO"/>
        </w:rPr>
        <w:t xml:space="preserve"> </w:t>
      </w:r>
      <w:r>
        <w:rPr>
          <w:rFonts w:cs="Arial"/>
          <w:lang w:val="es-CO"/>
        </w:rPr>
        <w:t>Financieros</w:t>
      </w:r>
      <w:r>
        <w:rPr>
          <w:rFonts w:cs="Arial"/>
          <w:spacing w:val="28"/>
          <w:lang w:val="es-CO"/>
        </w:rPr>
        <w:t xml:space="preserve"> </w:t>
      </w:r>
      <w:r>
        <w:rPr>
          <w:rFonts w:cs="Arial"/>
          <w:w w:val="190"/>
          <w:lang w:val="es-CO"/>
        </w:rPr>
        <w:t>-</w:t>
      </w:r>
      <w:r>
        <w:rPr>
          <w:rFonts w:cs="Arial"/>
          <w:spacing w:val="-50"/>
          <w:w w:val="190"/>
          <w:lang w:val="es-CO"/>
        </w:rPr>
        <w:t xml:space="preserve"> </w:t>
      </w:r>
      <w:r>
        <w:rPr>
          <w:rFonts w:cs="Arial"/>
          <w:lang w:val="es-CO"/>
        </w:rPr>
        <w:t>GMF,</w:t>
      </w:r>
      <w:r>
        <w:rPr>
          <w:rFonts w:cs="Arial"/>
          <w:w w:val="98"/>
          <w:lang w:val="es-CO"/>
        </w:rPr>
        <w:t xml:space="preserve"> </w:t>
      </w:r>
      <w:r>
        <w:rPr>
          <w:rFonts w:cs="Arial"/>
          <w:lang w:val="es-CO"/>
        </w:rPr>
        <w:t>Impuesto</w:t>
      </w:r>
      <w:r>
        <w:rPr>
          <w:rFonts w:cs="Arial"/>
          <w:spacing w:val="21"/>
          <w:lang w:val="es-CO"/>
        </w:rPr>
        <w:t xml:space="preserve"> </w:t>
      </w:r>
      <w:r>
        <w:rPr>
          <w:rFonts w:cs="Arial"/>
          <w:lang w:val="es-CO"/>
        </w:rPr>
        <w:t>a</w:t>
      </w:r>
      <w:r>
        <w:rPr>
          <w:rFonts w:cs="Arial"/>
          <w:spacing w:val="23"/>
          <w:lang w:val="es-CO"/>
        </w:rPr>
        <w:t xml:space="preserve"> </w:t>
      </w:r>
      <w:r>
        <w:rPr>
          <w:rFonts w:cs="Arial"/>
          <w:lang w:val="es-CO"/>
        </w:rPr>
        <w:t>la</w:t>
      </w:r>
      <w:r>
        <w:rPr>
          <w:rFonts w:cs="Arial"/>
          <w:spacing w:val="22"/>
          <w:lang w:val="es-CO"/>
        </w:rPr>
        <w:t xml:space="preserve"> </w:t>
      </w:r>
      <w:r>
        <w:rPr>
          <w:rFonts w:cs="Arial"/>
          <w:lang w:val="es-CO"/>
        </w:rPr>
        <w:t>Riqueza</w:t>
      </w:r>
      <w:r>
        <w:rPr>
          <w:rFonts w:cs="Arial"/>
          <w:spacing w:val="12"/>
          <w:lang w:val="es-CO"/>
        </w:rPr>
        <w:t xml:space="preserve"> </w:t>
      </w:r>
      <w:r>
        <w:rPr>
          <w:rFonts w:cs="Arial"/>
          <w:lang w:val="es-CO"/>
        </w:rPr>
        <w:t>y</w:t>
      </w:r>
      <w:r>
        <w:rPr>
          <w:rFonts w:cs="Arial"/>
          <w:spacing w:val="23"/>
          <w:lang w:val="es-CO"/>
        </w:rPr>
        <w:t xml:space="preserve"> </w:t>
      </w:r>
      <w:r>
        <w:rPr>
          <w:rFonts w:cs="Arial"/>
          <w:lang w:val="es-CO"/>
        </w:rPr>
        <w:t>Complementario</w:t>
      </w:r>
      <w:r>
        <w:rPr>
          <w:rFonts w:cs="Arial"/>
          <w:spacing w:val="39"/>
          <w:lang w:val="es-CO"/>
        </w:rPr>
        <w:t xml:space="preserve"> </w:t>
      </w:r>
      <w:r>
        <w:rPr>
          <w:rFonts w:cs="Arial"/>
          <w:lang w:val="es-CO"/>
        </w:rPr>
        <w:t>de</w:t>
      </w:r>
      <w:r>
        <w:rPr>
          <w:rFonts w:cs="Arial"/>
          <w:spacing w:val="22"/>
          <w:lang w:val="es-CO"/>
        </w:rPr>
        <w:t xml:space="preserve"> </w:t>
      </w:r>
      <w:r>
        <w:rPr>
          <w:rFonts w:cs="Arial"/>
          <w:lang w:val="es-CO"/>
        </w:rPr>
        <w:t>Normalización</w:t>
      </w:r>
      <w:r>
        <w:rPr>
          <w:rFonts w:cs="Arial"/>
          <w:spacing w:val="32"/>
          <w:lang w:val="es-CO"/>
        </w:rPr>
        <w:t xml:space="preserve"> </w:t>
      </w:r>
      <w:r>
        <w:rPr>
          <w:rFonts w:cs="Arial"/>
          <w:lang w:val="es-CO"/>
        </w:rPr>
        <w:t>Tributaria,</w:t>
      </w:r>
      <w:r>
        <w:rPr>
          <w:rFonts w:cs="Arial"/>
          <w:spacing w:val="28"/>
          <w:lang w:val="es-CO"/>
        </w:rPr>
        <w:t xml:space="preserve"> </w:t>
      </w:r>
      <w:r>
        <w:rPr>
          <w:rFonts w:cs="Arial"/>
          <w:lang w:val="es-CO"/>
        </w:rPr>
        <w:t>y</w:t>
      </w:r>
      <w:r>
        <w:rPr>
          <w:rFonts w:cs="Arial"/>
          <w:spacing w:val="27"/>
          <w:lang w:val="es-CO"/>
        </w:rPr>
        <w:t xml:space="preserve"> </w:t>
      </w:r>
      <w:r>
        <w:rPr>
          <w:rFonts w:cs="Arial"/>
          <w:lang w:val="es-CO"/>
        </w:rPr>
        <w:t>Declaración</w:t>
      </w:r>
      <w:r>
        <w:rPr>
          <w:rFonts w:cs="Arial"/>
          <w:w w:val="99"/>
          <w:lang w:val="es-CO"/>
        </w:rPr>
        <w:t xml:space="preserve"> </w:t>
      </w:r>
      <w:r>
        <w:rPr>
          <w:rFonts w:cs="Arial"/>
          <w:lang w:val="es-CO"/>
        </w:rPr>
        <w:t>Anual</w:t>
      </w:r>
      <w:r>
        <w:rPr>
          <w:rFonts w:cs="Arial"/>
          <w:spacing w:val="29"/>
          <w:lang w:val="es-CO"/>
        </w:rPr>
        <w:t xml:space="preserve"> </w:t>
      </w:r>
      <w:r>
        <w:rPr>
          <w:rFonts w:cs="Arial"/>
          <w:lang w:val="es-CO"/>
        </w:rPr>
        <w:t>de</w:t>
      </w:r>
      <w:r>
        <w:rPr>
          <w:rFonts w:cs="Arial"/>
          <w:spacing w:val="9"/>
          <w:lang w:val="es-CO"/>
        </w:rPr>
        <w:t xml:space="preserve"> </w:t>
      </w:r>
      <w:r>
        <w:rPr>
          <w:rFonts w:cs="Arial"/>
          <w:lang w:val="es-CO"/>
        </w:rPr>
        <w:t>Activos</w:t>
      </w:r>
      <w:r>
        <w:rPr>
          <w:rFonts w:cs="Arial"/>
          <w:spacing w:val="33"/>
          <w:lang w:val="es-CO"/>
        </w:rPr>
        <w:t xml:space="preserve"> </w:t>
      </w:r>
      <w:r>
        <w:rPr>
          <w:rFonts w:cs="Arial"/>
          <w:lang w:val="es-CO"/>
        </w:rPr>
        <w:t>en</w:t>
      </w:r>
      <w:r>
        <w:rPr>
          <w:rFonts w:cs="Arial"/>
          <w:spacing w:val="8"/>
          <w:lang w:val="es-CO"/>
        </w:rPr>
        <w:t xml:space="preserve"> </w:t>
      </w:r>
      <w:r>
        <w:rPr>
          <w:rFonts w:cs="Arial"/>
          <w:lang w:val="es-CO"/>
        </w:rPr>
        <w:t>el</w:t>
      </w:r>
      <w:r>
        <w:rPr>
          <w:rFonts w:cs="Arial"/>
          <w:spacing w:val="16"/>
          <w:lang w:val="es-CO"/>
        </w:rPr>
        <w:t xml:space="preserve"> </w:t>
      </w:r>
      <w:r>
        <w:rPr>
          <w:rFonts w:cs="Arial"/>
          <w:lang w:val="es-CO"/>
        </w:rPr>
        <w:t>Exterior</w:t>
      </w:r>
      <w:r>
        <w:rPr>
          <w:rFonts w:cs="Arial"/>
          <w:spacing w:val="27"/>
          <w:lang w:val="es-CO"/>
        </w:rPr>
        <w:t xml:space="preserve"> </w:t>
      </w:r>
      <w:r>
        <w:rPr>
          <w:rFonts w:cs="Arial"/>
          <w:lang w:val="es-CO"/>
        </w:rPr>
        <w:t>se</w:t>
      </w:r>
      <w:r>
        <w:rPr>
          <w:rFonts w:cs="Arial"/>
          <w:spacing w:val="19"/>
          <w:lang w:val="es-CO"/>
        </w:rPr>
        <w:t xml:space="preserve"> </w:t>
      </w:r>
      <w:r>
        <w:rPr>
          <w:rFonts w:cs="Arial"/>
          <w:lang w:val="es-CO"/>
        </w:rPr>
        <w:t>deberán</w:t>
      </w:r>
      <w:r>
        <w:rPr>
          <w:rFonts w:cs="Arial"/>
          <w:spacing w:val="37"/>
          <w:lang w:val="es-CO"/>
        </w:rPr>
        <w:t xml:space="preserve"> </w:t>
      </w:r>
      <w:r>
        <w:rPr>
          <w:rFonts w:cs="Arial"/>
          <w:lang w:val="es-CO"/>
        </w:rPr>
        <w:t>pre</w:t>
      </w:r>
      <w:r>
        <w:rPr>
          <w:rFonts w:cs="Arial"/>
          <w:spacing w:val="-9"/>
          <w:lang w:val="es-CO"/>
        </w:rPr>
        <w:t>s</w:t>
      </w:r>
      <w:r>
        <w:rPr>
          <w:rFonts w:cs="Arial"/>
          <w:spacing w:val="-5"/>
          <w:lang w:val="es-CO"/>
        </w:rPr>
        <w:t>e</w:t>
      </w:r>
      <w:r>
        <w:rPr>
          <w:rFonts w:cs="Arial"/>
          <w:lang w:val="es-CO"/>
        </w:rPr>
        <w:t>ntar</w:t>
      </w:r>
      <w:r>
        <w:rPr>
          <w:rFonts w:cs="Arial"/>
          <w:spacing w:val="17"/>
          <w:lang w:val="es-CO"/>
        </w:rPr>
        <w:t xml:space="preserve"> </w:t>
      </w:r>
      <w:r>
        <w:rPr>
          <w:rFonts w:cs="Arial"/>
          <w:lang w:val="es-CO"/>
        </w:rPr>
        <w:t>en</w:t>
      </w:r>
      <w:r>
        <w:rPr>
          <w:rFonts w:cs="Arial"/>
          <w:spacing w:val="10"/>
          <w:lang w:val="es-CO"/>
        </w:rPr>
        <w:t xml:space="preserve"> </w:t>
      </w:r>
      <w:r>
        <w:rPr>
          <w:rFonts w:cs="Arial"/>
          <w:lang w:val="es-CO"/>
        </w:rPr>
        <w:t>forma</w:t>
      </w:r>
      <w:r>
        <w:rPr>
          <w:rFonts w:cs="Arial"/>
          <w:spacing w:val="39"/>
          <w:lang w:val="es-CO"/>
        </w:rPr>
        <w:t xml:space="preserve"> </w:t>
      </w:r>
      <w:r>
        <w:rPr>
          <w:rFonts w:cs="Arial"/>
          <w:lang w:val="es-CO"/>
        </w:rPr>
        <w:t>virtual</w:t>
      </w:r>
      <w:r>
        <w:rPr>
          <w:rFonts w:cs="Arial"/>
          <w:spacing w:val="17"/>
          <w:lang w:val="es-CO"/>
        </w:rPr>
        <w:t xml:space="preserve"> </w:t>
      </w:r>
      <w:r>
        <w:rPr>
          <w:rFonts w:cs="Arial"/>
          <w:lang w:val="es-CO"/>
        </w:rPr>
        <w:t>a</w:t>
      </w:r>
      <w:r>
        <w:rPr>
          <w:rFonts w:cs="Arial"/>
          <w:spacing w:val="15"/>
          <w:lang w:val="es-CO"/>
        </w:rPr>
        <w:t xml:space="preserve"> </w:t>
      </w:r>
      <w:r>
        <w:rPr>
          <w:rFonts w:cs="Arial"/>
          <w:lang w:val="es-CO"/>
        </w:rPr>
        <w:t>tra</w:t>
      </w:r>
      <w:r>
        <w:rPr>
          <w:rFonts w:cs="Arial"/>
          <w:spacing w:val="4"/>
          <w:lang w:val="es-CO"/>
        </w:rPr>
        <w:t>v</w:t>
      </w:r>
      <w:r>
        <w:rPr>
          <w:rFonts w:cs="Arial"/>
          <w:lang w:val="es-CO"/>
        </w:rPr>
        <w:t>és</w:t>
      </w:r>
      <w:r>
        <w:rPr>
          <w:rFonts w:cs="Arial"/>
          <w:spacing w:val="9"/>
          <w:lang w:val="es-CO"/>
        </w:rPr>
        <w:t xml:space="preserve"> </w:t>
      </w:r>
      <w:r>
        <w:rPr>
          <w:rFonts w:cs="Arial"/>
          <w:lang w:val="es-CO"/>
        </w:rPr>
        <w:t>de</w:t>
      </w:r>
      <w:r>
        <w:rPr>
          <w:rFonts w:cs="Arial"/>
          <w:spacing w:val="25"/>
          <w:lang w:val="es-CO"/>
        </w:rPr>
        <w:t xml:space="preserve"> </w:t>
      </w:r>
      <w:r>
        <w:rPr>
          <w:rFonts w:cs="Arial"/>
          <w:lang w:val="es-CO"/>
        </w:rPr>
        <w:t>los</w:t>
      </w:r>
      <w:r>
        <w:rPr>
          <w:rFonts w:cs="Arial"/>
          <w:w w:val="102"/>
          <w:lang w:val="es-CO"/>
        </w:rPr>
        <w:t xml:space="preserve"> </w:t>
      </w:r>
      <w:r>
        <w:rPr>
          <w:rFonts w:cs="Arial"/>
          <w:lang w:val="es-CO"/>
        </w:rPr>
        <w:t>servicios</w:t>
      </w:r>
      <w:r>
        <w:rPr>
          <w:rFonts w:cs="Arial"/>
          <w:spacing w:val="-3"/>
          <w:lang w:val="es-CO"/>
        </w:rPr>
        <w:t xml:space="preserve"> </w:t>
      </w:r>
      <w:r>
        <w:rPr>
          <w:rFonts w:cs="Arial"/>
          <w:lang w:val="es-CO"/>
        </w:rPr>
        <w:t>informáticos</w:t>
      </w:r>
      <w:r>
        <w:rPr>
          <w:rFonts w:cs="Arial"/>
          <w:spacing w:val="-15"/>
          <w:lang w:val="es-CO"/>
        </w:rPr>
        <w:t xml:space="preserve"> </w:t>
      </w:r>
      <w:r>
        <w:rPr>
          <w:rFonts w:cs="Arial"/>
          <w:lang w:val="es-CO"/>
        </w:rPr>
        <w:t>electrónicos.</w:t>
      </w:r>
    </w:p>
    <w:p w14:paraId="775F3F33" w14:textId="77777777" w:rsidR="00B2442D" w:rsidRDefault="00B2442D">
      <w:pPr>
        <w:spacing w:line="40" w:lineRule="atLeast"/>
        <w:ind w:right="-30"/>
        <w:jc w:val="both"/>
        <w:rPr>
          <w:rFonts w:ascii="Arial" w:hAnsi="Arial" w:cs="Arial"/>
          <w:lang w:val="es-CO"/>
        </w:rPr>
      </w:pPr>
    </w:p>
    <w:p w14:paraId="1C088556" w14:textId="77777777" w:rsidR="00B2442D" w:rsidRDefault="008A645F">
      <w:pPr>
        <w:pStyle w:val="Textoindependiente"/>
        <w:spacing w:line="40" w:lineRule="atLeast"/>
        <w:ind w:right="-30"/>
        <w:jc w:val="both"/>
        <w:rPr>
          <w:rFonts w:cs="Arial"/>
          <w:lang w:val="es-CO"/>
        </w:rPr>
      </w:pPr>
      <w:r>
        <w:rPr>
          <w:rFonts w:cs="Arial"/>
          <w:lang w:val="es-CO"/>
        </w:rPr>
        <w:t>Los plazos</w:t>
      </w:r>
      <w:r>
        <w:rPr>
          <w:rFonts w:cs="Arial"/>
          <w:spacing w:val="2"/>
          <w:lang w:val="es-CO"/>
        </w:rPr>
        <w:t xml:space="preserve"> </w:t>
      </w:r>
      <w:r>
        <w:rPr>
          <w:rFonts w:cs="Arial"/>
          <w:lang w:val="es-CO"/>
        </w:rPr>
        <w:t>para</w:t>
      </w:r>
      <w:r>
        <w:rPr>
          <w:rFonts w:cs="Arial"/>
          <w:spacing w:val="-1"/>
          <w:lang w:val="es-CO"/>
        </w:rPr>
        <w:t xml:space="preserve"> </w:t>
      </w:r>
      <w:r>
        <w:rPr>
          <w:rFonts w:cs="Arial"/>
          <w:lang w:val="es-CO"/>
        </w:rPr>
        <w:t>la</w:t>
      </w:r>
      <w:r>
        <w:rPr>
          <w:rFonts w:cs="Arial"/>
          <w:spacing w:val="-4"/>
          <w:lang w:val="es-CO"/>
        </w:rPr>
        <w:t xml:space="preserve"> </w:t>
      </w:r>
      <w:r>
        <w:rPr>
          <w:rFonts w:cs="Arial"/>
          <w:lang w:val="es-CO"/>
        </w:rPr>
        <w:t>presentación</w:t>
      </w:r>
      <w:r>
        <w:rPr>
          <w:rFonts w:cs="Arial"/>
          <w:spacing w:val="20"/>
          <w:lang w:val="es-CO"/>
        </w:rPr>
        <w:t xml:space="preserve"> </w:t>
      </w:r>
      <w:r>
        <w:rPr>
          <w:rFonts w:cs="Arial"/>
          <w:lang w:val="es-CO"/>
        </w:rPr>
        <w:t>y</w:t>
      </w:r>
      <w:r>
        <w:rPr>
          <w:rFonts w:cs="Arial"/>
          <w:spacing w:val="4"/>
          <w:lang w:val="es-CO"/>
        </w:rPr>
        <w:t xml:space="preserve"> </w:t>
      </w:r>
      <w:r>
        <w:rPr>
          <w:rFonts w:cs="Arial"/>
          <w:lang w:val="es-CO"/>
        </w:rPr>
        <w:t>pago</w:t>
      </w:r>
      <w:r>
        <w:rPr>
          <w:rFonts w:cs="Arial"/>
          <w:spacing w:val="-2"/>
          <w:lang w:val="es-CO"/>
        </w:rPr>
        <w:t xml:space="preserve"> </w:t>
      </w:r>
      <w:r>
        <w:rPr>
          <w:rFonts w:cs="Arial"/>
          <w:lang w:val="es-CO"/>
        </w:rPr>
        <w:t>son</w:t>
      </w:r>
      <w:r>
        <w:rPr>
          <w:rFonts w:cs="Arial"/>
          <w:spacing w:val="15"/>
          <w:lang w:val="es-CO"/>
        </w:rPr>
        <w:t xml:space="preserve"> </w:t>
      </w:r>
      <w:r>
        <w:rPr>
          <w:rFonts w:cs="Arial"/>
          <w:lang w:val="es-CO"/>
        </w:rPr>
        <w:t>los</w:t>
      </w:r>
      <w:r>
        <w:rPr>
          <w:rFonts w:cs="Arial"/>
          <w:spacing w:val="-6"/>
          <w:lang w:val="es-CO"/>
        </w:rPr>
        <w:t xml:space="preserve"> </w:t>
      </w:r>
      <w:r>
        <w:rPr>
          <w:rFonts w:cs="Arial"/>
          <w:lang w:val="es-CO"/>
        </w:rPr>
        <w:t>señalados</w:t>
      </w:r>
      <w:r>
        <w:rPr>
          <w:rFonts w:cs="Arial"/>
          <w:spacing w:val="16"/>
          <w:lang w:val="es-CO"/>
        </w:rPr>
        <w:t xml:space="preserve"> </w:t>
      </w:r>
      <w:r>
        <w:rPr>
          <w:rFonts w:cs="Arial"/>
          <w:lang w:val="es-CO"/>
        </w:rPr>
        <w:t>en</w:t>
      </w:r>
      <w:r>
        <w:rPr>
          <w:rFonts w:cs="Arial"/>
          <w:spacing w:val="-7"/>
          <w:lang w:val="es-CO"/>
        </w:rPr>
        <w:t xml:space="preserve"> </w:t>
      </w:r>
      <w:r>
        <w:rPr>
          <w:rFonts w:cs="Arial"/>
          <w:lang w:val="es-CO"/>
        </w:rPr>
        <w:t>el</w:t>
      </w:r>
      <w:r>
        <w:rPr>
          <w:rFonts w:cs="Arial"/>
          <w:spacing w:val="1"/>
          <w:lang w:val="es-CO"/>
        </w:rPr>
        <w:t xml:space="preserve"> </w:t>
      </w:r>
      <w:r>
        <w:rPr>
          <w:rFonts w:cs="Arial"/>
          <w:lang w:val="es-CO"/>
        </w:rPr>
        <w:t>presente</w:t>
      </w:r>
      <w:r>
        <w:rPr>
          <w:rFonts w:cs="Arial"/>
          <w:spacing w:val="17"/>
          <w:lang w:val="es-CO"/>
        </w:rPr>
        <w:t xml:space="preserve"> </w:t>
      </w:r>
      <w:r>
        <w:rPr>
          <w:rFonts w:cs="Arial"/>
          <w:lang w:val="es-CO"/>
        </w:rPr>
        <w:t>Decret</w:t>
      </w:r>
      <w:r>
        <w:rPr>
          <w:rFonts w:cs="Arial"/>
          <w:spacing w:val="16"/>
          <w:lang w:val="es-CO"/>
        </w:rPr>
        <w:t>o</w:t>
      </w:r>
      <w:r>
        <w:rPr>
          <w:rFonts w:cs="Arial"/>
          <w:lang w:val="es-CO"/>
        </w:rPr>
        <w:t>.</w:t>
      </w:r>
    </w:p>
    <w:p w14:paraId="0DEFE6D2" w14:textId="77777777" w:rsidR="00B2442D" w:rsidRDefault="00B2442D">
      <w:pPr>
        <w:spacing w:line="40" w:lineRule="atLeast"/>
        <w:ind w:right="-30"/>
        <w:jc w:val="both"/>
        <w:rPr>
          <w:rFonts w:ascii="Arial" w:hAnsi="Arial" w:cs="Arial"/>
          <w:lang w:val="es-CO"/>
        </w:rPr>
      </w:pPr>
    </w:p>
    <w:p w14:paraId="4776D111" w14:textId="77777777" w:rsidR="00B2442D" w:rsidRDefault="008A645F">
      <w:pPr>
        <w:jc w:val="both"/>
        <w:rPr>
          <w:rFonts w:ascii="Arial" w:hAnsi="Arial" w:cs="Arial"/>
          <w:i/>
          <w:lang w:val="es-ES_tradnl"/>
        </w:rPr>
      </w:pPr>
      <w:r>
        <w:rPr>
          <w:rFonts w:ascii="Arial" w:hAnsi="Arial" w:cs="Arial"/>
          <w:i/>
          <w:lang w:val="es-ES_tradnl"/>
        </w:rPr>
        <w:t xml:space="preserve">(Art. 1, Decreto 2243 de 2015) (Plazos 2015: Decreto 2623 de 2014; plazos 2014: Decreto 2972 de 2013 y Decreto 685 de 2014; plazos </w:t>
      </w:r>
      <w:r>
        <w:rPr>
          <w:rFonts w:ascii="Arial" w:hAnsi="Arial" w:cs="Arial"/>
          <w:i/>
          <w:lang w:val="es-ES_tradnl"/>
        </w:rPr>
        <w:t>2013: Decreto 2634 de 2012 y Decreto 0187 de 2013; plazos 2012: Decreto 4907 de 2011; plazos 2011: Decreto 4836 de 2010 y Decreto 1358 de 2011)</w:t>
      </w:r>
    </w:p>
    <w:p w14:paraId="343F5DA8" w14:textId="77777777" w:rsidR="00B2442D" w:rsidRDefault="00B2442D">
      <w:pPr>
        <w:pStyle w:val="Textoindependiente"/>
        <w:spacing w:line="40" w:lineRule="atLeast"/>
        <w:ind w:right="-30"/>
        <w:jc w:val="both"/>
        <w:rPr>
          <w:rFonts w:cs="Arial"/>
          <w:lang w:val="es-CO"/>
        </w:rPr>
      </w:pPr>
    </w:p>
    <w:p w14:paraId="7DF8BFC2"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 Pago</w:t>
      </w:r>
      <w:r>
        <w:rPr>
          <w:rFonts w:cs="Arial"/>
          <w:b/>
          <w:i/>
          <w:spacing w:val="52"/>
          <w:lang w:val="es-CO"/>
        </w:rPr>
        <w:t xml:space="preserve"> </w:t>
      </w:r>
      <w:r>
        <w:rPr>
          <w:rFonts w:cs="Arial"/>
          <w:b/>
          <w:i/>
          <w:lang w:val="es-CO"/>
        </w:rPr>
        <w:t>de</w:t>
      </w:r>
      <w:r>
        <w:rPr>
          <w:rFonts w:cs="Arial"/>
          <w:b/>
          <w:i/>
          <w:spacing w:val="42"/>
          <w:lang w:val="es-CO"/>
        </w:rPr>
        <w:t xml:space="preserve"> </w:t>
      </w:r>
      <w:r>
        <w:rPr>
          <w:rFonts w:cs="Arial"/>
          <w:b/>
          <w:i/>
          <w:lang w:val="es-CO"/>
        </w:rPr>
        <w:t>las</w:t>
      </w:r>
      <w:r>
        <w:rPr>
          <w:rFonts w:cs="Arial"/>
          <w:b/>
          <w:i/>
          <w:spacing w:val="49"/>
          <w:lang w:val="es-CO"/>
        </w:rPr>
        <w:t xml:space="preserve"> </w:t>
      </w:r>
      <w:r>
        <w:rPr>
          <w:rFonts w:cs="Arial"/>
          <w:b/>
          <w:i/>
          <w:lang w:val="es-CO"/>
        </w:rPr>
        <w:t>declaraciones y</w:t>
      </w:r>
      <w:r>
        <w:rPr>
          <w:rFonts w:cs="Arial"/>
          <w:b/>
          <w:i/>
          <w:spacing w:val="64"/>
          <w:lang w:val="es-CO"/>
        </w:rPr>
        <w:t xml:space="preserve"> </w:t>
      </w:r>
      <w:r>
        <w:rPr>
          <w:rFonts w:cs="Arial"/>
          <w:b/>
          <w:i/>
          <w:lang w:val="es-CO"/>
        </w:rPr>
        <w:t>demás</w:t>
      </w:r>
      <w:r>
        <w:rPr>
          <w:rFonts w:cs="Arial"/>
          <w:b/>
          <w:i/>
          <w:spacing w:val="43"/>
          <w:lang w:val="es-CO"/>
        </w:rPr>
        <w:t xml:space="preserve"> </w:t>
      </w:r>
      <w:r>
        <w:rPr>
          <w:rFonts w:cs="Arial"/>
          <w:b/>
          <w:i/>
          <w:lang w:val="es-CO"/>
        </w:rPr>
        <w:t>obligaciones</w:t>
      </w:r>
      <w:r>
        <w:rPr>
          <w:rFonts w:cs="Arial"/>
          <w:b/>
          <w:i/>
          <w:spacing w:val="15"/>
          <w:lang w:val="es-CO"/>
        </w:rPr>
        <w:t xml:space="preserve"> </w:t>
      </w:r>
      <w:r>
        <w:rPr>
          <w:rFonts w:cs="Arial"/>
          <w:b/>
          <w:i/>
          <w:lang w:val="es-CO"/>
        </w:rPr>
        <w:t>en</w:t>
      </w:r>
      <w:r>
        <w:rPr>
          <w:rFonts w:cs="Arial"/>
          <w:b/>
          <w:i/>
          <w:w w:val="102"/>
          <w:lang w:val="es-CO"/>
        </w:rPr>
        <w:t xml:space="preserve"> </w:t>
      </w:r>
      <w:r>
        <w:rPr>
          <w:rFonts w:cs="Arial"/>
          <w:b/>
          <w:i/>
          <w:lang w:val="es-CO"/>
        </w:rPr>
        <w:t xml:space="preserve">bancos y </w:t>
      </w:r>
      <w:r>
        <w:rPr>
          <w:rFonts w:cs="Arial"/>
          <w:b/>
          <w:i/>
          <w:spacing w:val="43"/>
          <w:lang w:val="es-CO"/>
        </w:rPr>
        <w:t xml:space="preserve"> </w:t>
      </w:r>
      <w:r>
        <w:rPr>
          <w:rFonts w:cs="Arial"/>
          <w:b/>
          <w:i/>
          <w:lang w:val="es-CO"/>
        </w:rPr>
        <w:t xml:space="preserve">entidades </w:t>
      </w:r>
      <w:r>
        <w:rPr>
          <w:rFonts w:cs="Arial"/>
          <w:b/>
          <w:i/>
          <w:spacing w:val="38"/>
          <w:lang w:val="es-CO"/>
        </w:rPr>
        <w:t xml:space="preserve"> </w:t>
      </w:r>
      <w:r>
        <w:rPr>
          <w:rFonts w:cs="Arial"/>
          <w:b/>
          <w:i/>
          <w:lang w:val="es-CO"/>
        </w:rPr>
        <w:t xml:space="preserve">autorizadas  </w:t>
      </w:r>
      <w:r>
        <w:rPr>
          <w:rFonts w:cs="Arial"/>
          <w:b/>
          <w:i/>
          <w:spacing w:val="8"/>
          <w:lang w:val="es-CO"/>
        </w:rPr>
        <w:t xml:space="preserve"> </w:t>
      </w:r>
      <w:r>
        <w:rPr>
          <w:rFonts w:cs="Arial"/>
          <w:b/>
          <w:i/>
          <w:lang w:val="es-CO"/>
        </w:rPr>
        <w:t xml:space="preserve">para </w:t>
      </w:r>
      <w:r>
        <w:rPr>
          <w:rFonts w:cs="Arial"/>
          <w:b/>
          <w:i/>
          <w:spacing w:val="49"/>
          <w:lang w:val="es-CO"/>
        </w:rPr>
        <w:t xml:space="preserve"> </w:t>
      </w:r>
      <w:r>
        <w:rPr>
          <w:rFonts w:cs="Arial"/>
          <w:b/>
          <w:i/>
          <w:lang w:val="es-CO"/>
        </w:rPr>
        <w:t>recaudar.</w:t>
      </w:r>
      <w:r>
        <w:rPr>
          <w:rFonts w:cs="Arial"/>
          <w:i/>
          <w:lang w:val="es-CO"/>
        </w:rPr>
        <w:t xml:space="preserve"> </w:t>
      </w:r>
      <w:r>
        <w:rPr>
          <w:rFonts w:cs="Arial"/>
          <w:i/>
          <w:spacing w:val="50"/>
          <w:lang w:val="es-CO"/>
        </w:rPr>
        <w:t xml:space="preserve"> </w:t>
      </w:r>
      <w:r>
        <w:rPr>
          <w:rFonts w:cs="Arial"/>
          <w:lang w:val="es-CO"/>
        </w:rPr>
        <w:t xml:space="preserve">El </w:t>
      </w:r>
      <w:r>
        <w:rPr>
          <w:rFonts w:cs="Arial"/>
          <w:spacing w:val="19"/>
          <w:lang w:val="es-CO"/>
        </w:rPr>
        <w:t xml:space="preserve"> </w:t>
      </w:r>
      <w:r>
        <w:rPr>
          <w:rFonts w:cs="Arial"/>
          <w:lang w:val="es-CO"/>
        </w:rPr>
        <w:t xml:space="preserve">pago </w:t>
      </w:r>
      <w:r>
        <w:rPr>
          <w:rFonts w:cs="Arial"/>
          <w:spacing w:val="33"/>
          <w:lang w:val="es-CO"/>
        </w:rPr>
        <w:t xml:space="preserve"> </w:t>
      </w:r>
      <w:r>
        <w:rPr>
          <w:rFonts w:cs="Arial"/>
          <w:lang w:val="es-CO"/>
        </w:rPr>
        <w:t xml:space="preserve">de </w:t>
      </w:r>
      <w:r>
        <w:rPr>
          <w:rFonts w:cs="Arial"/>
          <w:spacing w:val="43"/>
          <w:lang w:val="es-CO"/>
        </w:rPr>
        <w:t xml:space="preserve"> </w:t>
      </w:r>
      <w:r>
        <w:rPr>
          <w:rFonts w:cs="Arial"/>
          <w:lang w:val="es-CO"/>
        </w:rPr>
        <w:t xml:space="preserve">los impuestos, </w:t>
      </w:r>
      <w:r>
        <w:rPr>
          <w:rFonts w:cs="Arial"/>
          <w:spacing w:val="26"/>
          <w:lang w:val="es-CO"/>
        </w:rPr>
        <w:t xml:space="preserve"> </w:t>
      </w:r>
      <w:r>
        <w:rPr>
          <w:rFonts w:cs="Arial"/>
          <w:lang w:val="es-CO"/>
        </w:rPr>
        <w:t xml:space="preserve">retenciones, </w:t>
      </w:r>
      <w:r>
        <w:rPr>
          <w:rFonts w:cs="Arial"/>
          <w:spacing w:val="32"/>
          <w:lang w:val="es-CO"/>
        </w:rPr>
        <w:t xml:space="preserve"> </w:t>
      </w:r>
      <w:r>
        <w:rPr>
          <w:rFonts w:cs="Arial"/>
          <w:lang w:val="es-CO"/>
        </w:rPr>
        <w:t xml:space="preserve">anticipos, </w:t>
      </w:r>
      <w:r>
        <w:rPr>
          <w:rFonts w:cs="Arial"/>
          <w:spacing w:val="24"/>
          <w:lang w:val="es-CO"/>
        </w:rPr>
        <w:t xml:space="preserve"> </w:t>
      </w:r>
      <w:r>
        <w:rPr>
          <w:rFonts w:cs="Arial"/>
          <w:lang w:val="es-CO"/>
        </w:rPr>
        <w:t xml:space="preserve">tributos </w:t>
      </w:r>
      <w:r>
        <w:rPr>
          <w:rFonts w:cs="Arial"/>
          <w:spacing w:val="37"/>
          <w:lang w:val="es-CO"/>
        </w:rPr>
        <w:t xml:space="preserve"> </w:t>
      </w:r>
      <w:r>
        <w:rPr>
          <w:rFonts w:cs="Arial"/>
          <w:lang w:val="es-CO"/>
        </w:rPr>
        <w:t xml:space="preserve">aduaneros, </w:t>
      </w:r>
      <w:r>
        <w:rPr>
          <w:rFonts w:cs="Arial"/>
          <w:spacing w:val="40"/>
          <w:lang w:val="es-CO"/>
        </w:rPr>
        <w:t xml:space="preserve"> </w:t>
      </w:r>
      <w:r>
        <w:rPr>
          <w:rFonts w:cs="Arial"/>
          <w:lang w:val="es-CO"/>
        </w:rPr>
        <w:t xml:space="preserve">sanciones </w:t>
      </w:r>
      <w:r>
        <w:rPr>
          <w:rFonts w:cs="Arial"/>
          <w:spacing w:val="30"/>
          <w:lang w:val="es-CO"/>
        </w:rPr>
        <w:t xml:space="preserve"> </w:t>
      </w:r>
      <w:r>
        <w:rPr>
          <w:rFonts w:cs="Arial"/>
          <w:lang w:val="es-CO"/>
        </w:rPr>
        <w:t xml:space="preserve">e </w:t>
      </w:r>
      <w:r>
        <w:rPr>
          <w:rFonts w:cs="Arial"/>
          <w:spacing w:val="18"/>
          <w:lang w:val="es-CO"/>
        </w:rPr>
        <w:t xml:space="preserve"> </w:t>
      </w:r>
      <w:r>
        <w:rPr>
          <w:rFonts w:cs="Arial"/>
          <w:lang w:val="es-CO"/>
        </w:rPr>
        <w:t xml:space="preserve">intereses </w:t>
      </w:r>
      <w:r>
        <w:rPr>
          <w:rFonts w:cs="Arial"/>
          <w:spacing w:val="17"/>
          <w:lang w:val="es-CO"/>
        </w:rPr>
        <w:t xml:space="preserve"> </w:t>
      </w:r>
      <w:r>
        <w:rPr>
          <w:rFonts w:cs="Arial"/>
          <w:lang w:val="es-CO"/>
        </w:rPr>
        <w:t>en materia</w:t>
      </w:r>
      <w:r>
        <w:rPr>
          <w:rFonts w:cs="Arial"/>
          <w:spacing w:val="36"/>
          <w:lang w:val="es-CO"/>
        </w:rPr>
        <w:t xml:space="preserve"> </w:t>
      </w:r>
      <w:r>
        <w:rPr>
          <w:rFonts w:cs="Arial"/>
          <w:lang w:val="es-CO"/>
        </w:rPr>
        <w:t>tributaria,</w:t>
      </w:r>
      <w:r>
        <w:rPr>
          <w:rFonts w:cs="Arial"/>
          <w:spacing w:val="64"/>
          <w:lang w:val="es-CO"/>
        </w:rPr>
        <w:t xml:space="preserve"> </w:t>
      </w:r>
      <w:r>
        <w:rPr>
          <w:rFonts w:cs="Arial"/>
          <w:lang w:val="es-CO"/>
        </w:rPr>
        <w:t>aduanera</w:t>
      </w:r>
      <w:r>
        <w:rPr>
          <w:rFonts w:cs="Arial"/>
          <w:spacing w:val="52"/>
          <w:lang w:val="es-CO"/>
        </w:rPr>
        <w:t xml:space="preserve"> </w:t>
      </w:r>
      <w:r>
        <w:rPr>
          <w:rFonts w:cs="Arial"/>
          <w:lang w:val="es-CO"/>
        </w:rPr>
        <w:t>y</w:t>
      </w:r>
      <w:r>
        <w:rPr>
          <w:rFonts w:cs="Arial"/>
          <w:spacing w:val="37"/>
          <w:lang w:val="es-CO"/>
        </w:rPr>
        <w:t xml:space="preserve"> </w:t>
      </w:r>
      <w:r>
        <w:rPr>
          <w:rFonts w:cs="Arial"/>
          <w:lang w:val="es-CO"/>
        </w:rPr>
        <w:t>cambiaria,</w:t>
      </w:r>
      <w:r>
        <w:rPr>
          <w:rFonts w:cs="Arial"/>
          <w:spacing w:val="49"/>
          <w:lang w:val="es-CO"/>
        </w:rPr>
        <w:t xml:space="preserve"> </w:t>
      </w:r>
      <w:r>
        <w:rPr>
          <w:rFonts w:cs="Arial"/>
          <w:lang w:val="es-CO"/>
        </w:rPr>
        <w:t>deberá</w:t>
      </w:r>
      <w:r>
        <w:rPr>
          <w:rFonts w:cs="Arial"/>
          <w:spacing w:val="56"/>
          <w:lang w:val="es-CO"/>
        </w:rPr>
        <w:t xml:space="preserve"> </w:t>
      </w:r>
      <w:r>
        <w:rPr>
          <w:rFonts w:cs="Arial"/>
          <w:lang w:val="es-CO"/>
        </w:rPr>
        <w:t>realizarse</w:t>
      </w:r>
      <w:r>
        <w:rPr>
          <w:rFonts w:cs="Arial"/>
          <w:spacing w:val="40"/>
          <w:lang w:val="es-CO"/>
        </w:rPr>
        <w:t xml:space="preserve"> </w:t>
      </w:r>
      <w:r>
        <w:rPr>
          <w:rFonts w:cs="Arial"/>
          <w:lang w:val="es-CO"/>
        </w:rPr>
        <w:t>en</w:t>
      </w:r>
      <w:r>
        <w:rPr>
          <w:rFonts w:cs="Arial"/>
          <w:spacing w:val="41"/>
          <w:lang w:val="es-CO"/>
        </w:rPr>
        <w:t xml:space="preserve"> </w:t>
      </w:r>
      <w:r>
        <w:rPr>
          <w:rFonts w:cs="Arial"/>
          <w:lang w:val="es-CO"/>
        </w:rPr>
        <w:t>los</w:t>
      </w:r>
      <w:r>
        <w:rPr>
          <w:rFonts w:cs="Arial"/>
          <w:spacing w:val="41"/>
          <w:lang w:val="es-CO"/>
        </w:rPr>
        <w:t xml:space="preserve"> </w:t>
      </w:r>
      <w:r>
        <w:rPr>
          <w:rFonts w:cs="Arial"/>
          <w:lang w:val="es-CO"/>
        </w:rPr>
        <w:t>bancos</w:t>
      </w:r>
      <w:r>
        <w:rPr>
          <w:rFonts w:cs="Arial"/>
          <w:spacing w:val="36"/>
          <w:lang w:val="es-CO"/>
        </w:rPr>
        <w:t xml:space="preserve"> </w:t>
      </w:r>
      <w:r>
        <w:rPr>
          <w:rFonts w:cs="Arial"/>
          <w:lang w:val="es-CO"/>
        </w:rPr>
        <w:t>y</w:t>
      </w:r>
      <w:r>
        <w:rPr>
          <w:rFonts w:cs="Arial"/>
          <w:spacing w:val="41"/>
          <w:lang w:val="es-CO"/>
        </w:rPr>
        <w:t xml:space="preserve"> </w:t>
      </w:r>
      <w:r>
        <w:rPr>
          <w:rFonts w:cs="Arial"/>
          <w:lang w:val="es-CO"/>
        </w:rPr>
        <w:t>demás entidades</w:t>
      </w:r>
      <w:r>
        <w:rPr>
          <w:rFonts w:cs="Arial"/>
          <w:spacing w:val="25"/>
          <w:lang w:val="es-CO"/>
        </w:rPr>
        <w:t xml:space="preserve"> </w:t>
      </w:r>
      <w:r>
        <w:rPr>
          <w:rFonts w:cs="Arial"/>
          <w:lang w:val="es-CO"/>
        </w:rPr>
        <w:t>autorizadas</w:t>
      </w:r>
      <w:r>
        <w:rPr>
          <w:rFonts w:cs="Arial"/>
          <w:spacing w:val="40"/>
          <w:lang w:val="es-CO"/>
        </w:rPr>
        <w:t xml:space="preserve"> </w:t>
      </w:r>
      <w:r>
        <w:rPr>
          <w:rFonts w:cs="Arial"/>
          <w:lang w:val="es-CO"/>
        </w:rPr>
        <w:t>para</w:t>
      </w:r>
      <w:r>
        <w:rPr>
          <w:rFonts w:cs="Arial"/>
          <w:spacing w:val="9"/>
          <w:lang w:val="es-CO"/>
        </w:rPr>
        <w:t xml:space="preserve"> </w:t>
      </w:r>
      <w:r>
        <w:rPr>
          <w:rFonts w:cs="Arial"/>
          <w:lang w:val="es-CO"/>
        </w:rPr>
        <w:t>el</w:t>
      </w:r>
      <w:r>
        <w:rPr>
          <w:rFonts w:cs="Arial"/>
          <w:spacing w:val="-9"/>
          <w:lang w:val="es-CO"/>
        </w:rPr>
        <w:t xml:space="preserve"> </w:t>
      </w:r>
      <w:r>
        <w:rPr>
          <w:rFonts w:cs="Arial"/>
          <w:lang w:val="es-CO"/>
        </w:rPr>
        <w:t>efecto,</w:t>
      </w:r>
      <w:r>
        <w:rPr>
          <w:rFonts w:cs="Arial"/>
          <w:spacing w:val="19"/>
          <w:lang w:val="es-CO"/>
        </w:rPr>
        <w:t xml:space="preserve"> </w:t>
      </w:r>
      <w:r>
        <w:rPr>
          <w:rFonts w:cs="Arial"/>
          <w:lang w:val="es-CO"/>
        </w:rPr>
        <w:t>en</w:t>
      </w:r>
      <w:r>
        <w:rPr>
          <w:rFonts w:cs="Arial"/>
          <w:spacing w:val="19"/>
          <w:lang w:val="es-CO"/>
        </w:rPr>
        <w:t xml:space="preserve"> </w:t>
      </w:r>
      <w:r>
        <w:rPr>
          <w:rFonts w:cs="Arial"/>
          <w:lang w:val="es-CO"/>
        </w:rPr>
        <w:t>la</w:t>
      </w:r>
      <w:r>
        <w:rPr>
          <w:rFonts w:cs="Arial"/>
          <w:spacing w:val="1"/>
          <w:lang w:val="es-CO"/>
        </w:rPr>
        <w:t xml:space="preserve"> </w:t>
      </w:r>
      <w:r>
        <w:rPr>
          <w:rFonts w:cs="Arial"/>
          <w:lang w:val="es-CO"/>
        </w:rPr>
        <w:t>forma</w:t>
      </w:r>
      <w:r>
        <w:rPr>
          <w:rFonts w:cs="Arial"/>
          <w:spacing w:val="18"/>
          <w:lang w:val="es-CO"/>
        </w:rPr>
        <w:t xml:space="preserve"> </w:t>
      </w:r>
      <w:r>
        <w:rPr>
          <w:rFonts w:cs="Arial"/>
          <w:lang w:val="es-CO"/>
        </w:rPr>
        <w:t>establecida</w:t>
      </w:r>
      <w:r>
        <w:rPr>
          <w:rFonts w:cs="Arial"/>
          <w:spacing w:val="37"/>
          <w:lang w:val="es-CO"/>
        </w:rPr>
        <w:t xml:space="preserve"> </w:t>
      </w:r>
      <w:r>
        <w:rPr>
          <w:rFonts w:cs="Arial"/>
          <w:lang w:val="es-CO"/>
        </w:rPr>
        <w:t>en</w:t>
      </w:r>
      <w:r>
        <w:rPr>
          <w:rFonts w:cs="Arial"/>
          <w:spacing w:val="9"/>
          <w:lang w:val="es-CO"/>
        </w:rPr>
        <w:t xml:space="preserve"> </w:t>
      </w:r>
      <w:r>
        <w:rPr>
          <w:rFonts w:cs="Arial"/>
          <w:lang w:val="es-CO"/>
        </w:rPr>
        <w:t>los</w:t>
      </w:r>
      <w:r>
        <w:rPr>
          <w:rFonts w:cs="Arial"/>
          <w:spacing w:val="8"/>
          <w:lang w:val="es-CO"/>
        </w:rPr>
        <w:t xml:space="preserve"> </w:t>
      </w:r>
      <w:r>
        <w:rPr>
          <w:rFonts w:cs="Arial"/>
          <w:lang w:val="es-CO"/>
        </w:rPr>
        <w:t>artículos</w:t>
      </w:r>
      <w:r>
        <w:rPr>
          <w:rFonts w:cs="Arial"/>
          <w:spacing w:val="19"/>
          <w:lang w:val="es-CO"/>
        </w:rPr>
        <w:t xml:space="preserve"> </w:t>
      </w:r>
      <w:r>
        <w:rPr>
          <w:rFonts w:cs="Arial"/>
          <w:lang w:val="es-CO"/>
        </w:rPr>
        <w:t>1.6.1.13.2.48. y 1.6.1.13.2.49. del</w:t>
      </w:r>
      <w:r>
        <w:rPr>
          <w:rFonts w:cs="Arial"/>
          <w:spacing w:val="-12"/>
          <w:lang w:val="es-CO"/>
        </w:rPr>
        <w:t xml:space="preserve"> </w:t>
      </w:r>
      <w:r>
        <w:rPr>
          <w:rFonts w:cs="Arial"/>
          <w:lang w:val="es-CO"/>
        </w:rPr>
        <w:t>presente</w:t>
      </w:r>
      <w:r>
        <w:rPr>
          <w:rFonts w:cs="Arial"/>
          <w:spacing w:val="12"/>
          <w:lang w:val="es-CO"/>
        </w:rPr>
        <w:t xml:space="preserve"> </w:t>
      </w:r>
      <w:r>
        <w:rPr>
          <w:rFonts w:cs="Arial"/>
          <w:lang w:val="es-CO"/>
        </w:rPr>
        <w:t>Decreto.</w:t>
      </w:r>
    </w:p>
    <w:p w14:paraId="4AE16B7D" w14:textId="77777777" w:rsidR="00B2442D" w:rsidRDefault="00B2442D">
      <w:pPr>
        <w:pStyle w:val="Textoindependiente"/>
        <w:spacing w:line="40" w:lineRule="atLeast"/>
        <w:ind w:right="-30"/>
        <w:jc w:val="both"/>
        <w:rPr>
          <w:rFonts w:cs="Arial"/>
          <w:lang w:val="es-CO"/>
        </w:rPr>
      </w:pPr>
    </w:p>
    <w:p w14:paraId="44E5778C" w14:textId="77777777" w:rsidR="00B2442D" w:rsidRDefault="008A645F">
      <w:pPr>
        <w:jc w:val="both"/>
        <w:rPr>
          <w:rFonts w:ascii="Arial" w:hAnsi="Arial" w:cs="Arial"/>
          <w:i/>
          <w:lang w:val="es-ES_tradnl"/>
        </w:rPr>
      </w:pPr>
      <w:r>
        <w:rPr>
          <w:rFonts w:ascii="Arial" w:hAnsi="Arial" w:cs="Arial"/>
          <w:i/>
          <w:lang w:val="es-ES_tradnl"/>
        </w:rPr>
        <w:t>(Art. 2, Decreto 2243 de 2015) (Plazos 2015: Decreto 2623 de 2014; plazos 2014: Decreto 2972 de 2013 y Decreto 685 de 2014; plazos 2013: Decreto 2634 de 2012 y Decreto 0187 de 2013; plazos 20</w:t>
      </w:r>
      <w:r>
        <w:rPr>
          <w:rFonts w:ascii="Arial" w:hAnsi="Arial" w:cs="Arial"/>
          <w:i/>
          <w:lang w:val="es-ES_tradnl"/>
        </w:rPr>
        <w:t>12: Decreto 4907 de 2011; plazos 2011: Decreto 4836 de 2010 y Decreto 1358 de 2011)</w:t>
      </w:r>
    </w:p>
    <w:p w14:paraId="3228073C" w14:textId="77777777" w:rsidR="00B2442D" w:rsidRDefault="00B2442D">
      <w:pPr>
        <w:pStyle w:val="Textoindependiente"/>
        <w:spacing w:line="40" w:lineRule="atLeast"/>
        <w:ind w:right="-30"/>
        <w:jc w:val="both"/>
        <w:rPr>
          <w:rFonts w:cs="Arial"/>
          <w:lang w:val="es-CO"/>
        </w:rPr>
      </w:pPr>
    </w:p>
    <w:p w14:paraId="44AA4650"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 Corrección de las declaraciones. </w:t>
      </w:r>
      <w:r>
        <w:rPr>
          <w:rFonts w:cs="Arial"/>
          <w:lang w:val="es-CO"/>
        </w:rPr>
        <w:t xml:space="preserve">La inconsistencia a que se refiere el literal d) del artículo 580 del Estatuto Tributario podrá corregirse mediante el </w:t>
      </w:r>
      <w:r>
        <w:rPr>
          <w:rFonts w:cs="Arial"/>
          <w:lang w:val="es-CO"/>
        </w:rPr>
        <w:t>procedimiento previsto en el artículo 588 del citado Estatuto, siempre y cuando no se haya notificado sanción por no declarar, liquidando una sanción equivalente al dos por ciento (2%) de la sanción por extemporaneidad prevista en el artículo 641 ibídem, s</w:t>
      </w:r>
      <w:r>
        <w:rPr>
          <w:rFonts w:cs="Arial"/>
          <w:lang w:val="es-CO"/>
        </w:rPr>
        <w:t>in que exceda de mil trescientas (1.300) UVT ($ 41.417.000 año 2017).”</w:t>
      </w:r>
    </w:p>
    <w:p w14:paraId="535849C5" w14:textId="77777777" w:rsidR="00B2442D" w:rsidRDefault="00B2442D">
      <w:pPr>
        <w:pStyle w:val="Textoindependiente"/>
        <w:spacing w:line="40" w:lineRule="atLeast"/>
        <w:ind w:left="720" w:right="-30"/>
        <w:jc w:val="both"/>
        <w:rPr>
          <w:rFonts w:cs="Arial"/>
          <w:lang w:val="es-CO"/>
        </w:rPr>
      </w:pPr>
    </w:p>
    <w:p w14:paraId="7D12FB2E" w14:textId="77777777" w:rsidR="00B2442D" w:rsidRDefault="008A645F">
      <w:pPr>
        <w:pStyle w:val="Textoindependiente"/>
        <w:spacing w:line="40" w:lineRule="atLeast"/>
        <w:ind w:right="-30"/>
        <w:jc w:val="both"/>
        <w:rPr>
          <w:rFonts w:cs="Arial"/>
          <w:i/>
          <w:lang w:val="es-ES_tradnl"/>
        </w:rPr>
      </w:pPr>
      <w:r>
        <w:rPr>
          <w:rFonts w:cs="Arial"/>
          <w:i/>
          <w:lang w:val="es-CO"/>
        </w:rPr>
        <w:t>(</w:t>
      </w:r>
      <w:hyperlink r:id="rId39" w:history="1">
        <w:r>
          <w:rPr>
            <w:rStyle w:val="Hipervnculo"/>
            <w:rFonts w:cs="Arial"/>
            <w:i/>
            <w:lang w:val="es-CO"/>
          </w:rPr>
          <w:t>Art. 1 Decreto 2105 de 2016</w:t>
        </w:r>
      </w:hyperlink>
      <w:r>
        <w:rPr>
          <w:rFonts w:cs="Arial"/>
          <w:i/>
          <w:lang w:val="es-CO"/>
        </w:rPr>
        <w:t>, plazos 2016: Decreto 2243 de 2015; plazos 2015: D</w:t>
      </w:r>
      <w:r>
        <w:rPr>
          <w:rFonts w:cs="Arial"/>
          <w:i/>
          <w:lang w:val="es-CO"/>
        </w:rPr>
        <w:t>ecreto 2623 de 2014; plazos 2014: Decreto 2972 de 2013 y Decreto 685 de 2014; plazos 2013: Decreto 2634 de 2012 y Decreto 0187 de 2013; plazos 2012: Decreto 4907 de 2011; plazos 2011: Decreto 4836 de 2010 y Decreto 1358 de 2011)</w:t>
      </w:r>
    </w:p>
    <w:p w14:paraId="5C3B1423" w14:textId="77777777" w:rsidR="00B2442D" w:rsidRDefault="00B2442D">
      <w:pPr>
        <w:pStyle w:val="Textoindependiente"/>
        <w:spacing w:line="40" w:lineRule="atLeast"/>
        <w:ind w:right="-30"/>
        <w:jc w:val="both"/>
        <w:rPr>
          <w:rFonts w:cs="Arial"/>
          <w:lang w:val="es-CO"/>
        </w:rPr>
      </w:pPr>
    </w:p>
    <w:p w14:paraId="61806971"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Cumplimiento de obligacion</w:t>
      </w:r>
      <w:r>
        <w:rPr>
          <w:rFonts w:cs="Arial"/>
          <w:b/>
          <w:i/>
          <w:lang w:val="es-CO"/>
        </w:rPr>
        <w:t xml:space="preserve">es por las </w:t>
      </w:r>
      <w:r>
        <w:rPr>
          <w:rFonts w:cs="Arial"/>
          <w:b/>
          <w:i/>
          <w:spacing w:val="34"/>
          <w:lang w:val="es-CO"/>
        </w:rPr>
        <w:t xml:space="preserve"> </w:t>
      </w:r>
      <w:r>
        <w:rPr>
          <w:rFonts w:cs="Arial"/>
          <w:b/>
          <w:i/>
          <w:lang w:val="es-CO"/>
        </w:rPr>
        <w:t>sociedades fiduciarias.</w:t>
      </w:r>
      <w:r>
        <w:rPr>
          <w:rFonts w:cs="Arial"/>
          <w:spacing w:val="11"/>
          <w:lang w:val="es-CO"/>
        </w:rPr>
        <w:t xml:space="preserve"> </w:t>
      </w:r>
      <w:r>
        <w:rPr>
          <w:rFonts w:cs="Arial"/>
          <w:lang w:val="es-CO"/>
        </w:rPr>
        <w:t>Las</w:t>
      </w:r>
      <w:r>
        <w:rPr>
          <w:rFonts w:cs="Arial"/>
          <w:spacing w:val="-14"/>
          <w:lang w:val="es-CO"/>
        </w:rPr>
        <w:t xml:space="preserve"> </w:t>
      </w:r>
      <w:r>
        <w:rPr>
          <w:rFonts w:cs="Arial"/>
          <w:lang w:val="es-CO"/>
        </w:rPr>
        <w:t>sociedades</w:t>
      </w:r>
      <w:r>
        <w:rPr>
          <w:rFonts w:cs="Arial"/>
          <w:spacing w:val="16"/>
          <w:lang w:val="es-CO"/>
        </w:rPr>
        <w:t xml:space="preserve"> </w:t>
      </w:r>
      <w:r>
        <w:rPr>
          <w:rFonts w:cs="Arial"/>
          <w:lang w:val="es-CO"/>
        </w:rPr>
        <w:t>fiduciarias</w:t>
      </w:r>
      <w:r>
        <w:rPr>
          <w:rFonts w:cs="Arial"/>
          <w:spacing w:val="31"/>
          <w:lang w:val="es-CO"/>
        </w:rPr>
        <w:t xml:space="preserve"> </w:t>
      </w:r>
      <w:r>
        <w:rPr>
          <w:rFonts w:cs="Arial"/>
          <w:lang w:val="es-CO"/>
        </w:rPr>
        <w:t>presentarán</w:t>
      </w:r>
      <w:r>
        <w:rPr>
          <w:rFonts w:cs="Arial"/>
          <w:spacing w:val="19"/>
          <w:lang w:val="es-CO"/>
        </w:rPr>
        <w:t xml:space="preserve"> </w:t>
      </w:r>
      <w:r>
        <w:rPr>
          <w:rFonts w:cs="Arial"/>
          <w:lang w:val="es-CO"/>
        </w:rPr>
        <w:t>una</w:t>
      </w:r>
      <w:r>
        <w:rPr>
          <w:rFonts w:cs="Arial"/>
          <w:spacing w:val="2"/>
          <w:lang w:val="es-CO"/>
        </w:rPr>
        <w:t xml:space="preserve"> </w:t>
      </w:r>
      <w:r>
        <w:rPr>
          <w:rFonts w:cs="Arial"/>
          <w:lang w:val="es-CO"/>
        </w:rPr>
        <w:t>sola</w:t>
      </w:r>
      <w:r>
        <w:rPr>
          <w:rFonts w:cs="Arial"/>
          <w:spacing w:val="3"/>
          <w:lang w:val="es-CO"/>
        </w:rPr>
        <w:t xml:space="preserve"> </w:t>
      </w:r>
      <w:r>
        <w:rPr>
          <w:rFonts w:cs="Arial"/>
          <w:lang w:val="es-CO"/>
        </w:rPr>
        <w:t>declaración</w:t>
      </w:r>
      <w:r>
        <w:rPr>
          <w:rFonts w:cs="Arial"/>
          <w:spacing w:val="24"/>
          <w:lang w:val="es-CO"/>
        </w:rPr>
        <w:t xml:space="preserve"> </w:t>
      </w:r>
      <w:r>
        <w:rPr>
          <w:rFonts w:cs="Arial"/>
          <w:lang w:val="es-CO"/>
        </w:rPr>
        <w:t>por</w:t>
      </w:r>
      <w:r>
        <w:rPr>
          <w:rFonts w:cs="Arial"/>
          <w:spacing w:val="-9"/>
          <w:lang w:val="es-CO"/>
        </w:rPr>
        <w:t xml:space="preserve"> </w:t>
      </w:r>
      <w:r>
        <w:rPr>
          <w:rFonts w:cs="Arial"/>
          <w:lang w:val="es-CO"/>
        </w:rPr>
        <w:t>todos</w:t>
      </w:r>
      <w:r>
        <w:rPr>
          <w:rFonts w:cs="Arial"/>
          <w:w w:val="99"/>
          <w:lang w:val="es-CO"/>
        </w:rPr>
        <w:t xml:space="preserve"> </w:t>
      </w:r>
      <w:r>
        <w:rPr>
          <w:rFonts w:cs="Arial"/>
          <w:lang w:val="es-CO"/>
        </w:rPr>
        <w:t>los</w:t>
      </w:r>
      <w:r>
        <w:rPr>
          <w:rFonts w:cs="Arial"/>
          <w:spacing w:val="53"/>
          <w:lang w:val="es-CO"/>
        </w:rPr>
        <w:t xml:space="preserve"> </w:t>
      </w:r>
      <w:r>
        <w:rPr>
          <w:rFonts w:cs="Arial"/>
          <w:lang w:val="es-CO"/>
        </w:rPr>
        <w:t>patrimonios</w:t>
      </w:r>
      <w:r>
        <w:rPr>
          <w:rFonts w:cs="Arial"/>
          <w:spacing w:val="3"/>
          <w:lang w:val="es-CO"/>
        </w:rPr>
        <w:t xml:space="preserve"> </w:t>
      </w:r>
      <w:r>
        <w:rPr>
          <w:rFonts w:cs="Arial"/>
          <w:lang w:val="es-CO"/>
        </w:rPr>
        <w:t>autónomos,</w:t>
      </w:r>
      <w:r>
        <w:rPr>
          <w:rFonts w:cs="Arial"/>
          <w:spacing w:val="7"/>
          <w:lang w:val="es-CO"/>
        </w:rPr>
        <w:t xml:space="preserve"> </w:t>
      </w:r>
      <w:r>
        <w:rPr>
          <w:rFonts w:cs="Arial"/>
          <w:lang w:val="es-CO"/>
        </w:rPr>
        <w:t>salvo</w:t>
      </w:r>
      <w:r>
        <w:rPr>
          <w:rFonts w:cs="Arial"/>
          <w:spacing w:val="57"/>
          <w:lang w:val="es-CO"/>
        </w:rPr>
        <w:t xml:space="preserve"> </w:t>
      </w:r>
      <w:r>
        <w:rPr>
          <w:rFonts w:cs="Arial"/>
          <w:lang w:val="es-CO"/>
        </w:rPr>
        <w:t>cuando</w:t>
      </w:r>
      <w:r>
        <w:rPr>
          <w:rFonts w:cs="Arial"/>
          <w:spacing w:val="57"/>
          <w:lang w:val="es-CO"/>
        </w:rPr>
        <w:t xml:space="preserve"> </w:t>
      </w:r>
      <w:r>
        <w:rPr>
          <w:rFonts w:cs="Arial"/>
          <w:lang w:val="es-CO"/>
        </w:rPr>
        <w:t>se</w:t>
      </w:r>
      <w:r>
        <w:rPr>
          <w:rFonts w:cs="Arial"/>
          <w:spacing w:val="55"/>
          <w:lang w:val="es-CO"/>
        </w:rPr>
        <w:t xml:space="preserve"> </w:t>
      </w:r>
      <w:r>
        <w:rPr>
          <w:rFonts w:cs="Arial"/>
          <w:lang w:val="es-CO"/>
        </w:rPr>
        <w:t>configure</w:t>
      </w:r>
      <w:r>
        <w:rPr>
          <w:rFonts w:cs="Arial"/>
          <w:spacing w:val="10"/>
          <w:lang w:val="es-CO"/>
        </w:rPr>
        <w:t xml:space="preserve"> </w:t>
      </w:r>
      <w:r>
        <w:rPr>
          <w:rFonts w:cs="Arial"/>
          <w:lang w:val="es-CO"/>
        </w:rPr>
        <w:t>la</w:t>
      </w:r>
      <w:r>
        <w:rPr>
          <w:rFonts w:cs="Arial"/>
          <w:spacing w:val="56"/>
          <w:lang w:val="es-CO"/>
        </w:rPr>
        <w:t xml:space="preserve"> </w:t>
      </w:r>
      <w:r>
        <w:rPr>
          <w:rFonts w:cs="Arial"/>
          <w:lang w:val="es-CO"/>
        </w:rPr>
        <w:t>situación</w:t>
      </w:r>
      <w:r>
        <w:rPr>
          <w:rFonts w:cs="Arial"/>
          <w:spacing w:val="7"/>
          <w:lang w:val="es-CO"/>
        </w:rPr>
        <w:t xml:space="preserve"> </w:t>
      </w:r>
      <w:r>
        <w:rPr>
          <w:rFonts w:cs="Arial"/>
          <w:lang w:val="es-CO"/>
        </w:rPr>
        <w:t>prevista</w:t>
      </w:r>
      <w:r>
        <w:rPr>
          <w:rFonts w:cs="Arial"/>
          <w:spacing w:val="59"/>
          <w:lang w:val="es-CO"/>
        </w:rPr>
        <w:t xml:space="preserve"> </w:t>
      </w:r>
      <w:r>
        <w:rPr>
          <w:rFonts w:cs="Arial"/>
          <w:lang w:val="es-CO"/>
        </w:rPr>
        <w:t>en</w:t>
      </w:r>
      <w:r>
        <w:rPr>
          <w:rFonts w:cs="Arial"/>
          <w:spacing w:val="55"/>
          <w:lang w:val="es-CO"/>
        </w:rPr>
        <w:t xml:space="preserve"> </w:t>
      </w:r>
      <w:r>
        <w:rPr>
          <w:rFonts w:cs="Arial"/>
          <w:lang w:val="es-CO"/>
        </w:rPr>
        <w:t>el</w:t>
      </w:r>
      <w:r>
        <w:rPr>
          <w:rFonts w:cs="Arial"/>
          <w:w w:val="106"/>
          <w:lang w:val="es-CO"/>
        </w:rPr>
        <w:t xml:space="preserve"> </w:t>
      </w:r>
      <w:r>
        <w:rPr>
          <w:rFonts w:cs="Arial"/>
          <w:lang w:val="es-CO"/>
        </w:rPr>
        <w:t>numeral</w:t>
      </w:r>
      <w:r>
        <w:rPr>
          <w:rFonts w:cs="Arial"/>
          <w:spacing w:val="13"/>
          <w:lang w:val="es-CO"/>
        </w:rPr>
        <w:t xml:space="preserve"> </w:t>
      </w:r>
      <w:r>
        <w:rPr>
          <w:rFonts w:cs="Arial"/>
          <w:lang w:val="es-CO"/>
        </w:rPr>
        <w:t>3</w:t>
      </w:r>
      <w:r>
        <w:rPr>
          <w:rFonts w:cs="Arial"/>
          <w:spacing w:val="-1"/>
          <w:lang w:val="es-CO"/>
        </w:rPr>
        <w:t xml:space="preserve"> </w:t>
      </w:r>
      <w:r>
        <w:rPr>
          <w:rFonts w:cs="Arial"/>
          <w:lang w:val="es-CO"/>
        </w:rPr>
        <w:t>en</w:t>
      </w:r>
      <w:r>
        <w:rPr>
          <w:rFonts w:cs="Arial"/>
          <w:spacing w:val="15"/>
          <w:lang w:val="es-CO"/>
        </w:rPr>
        <w:t xml:space="preserve"> </w:t>
      </w:r>
      <w:r>
        <w:rPr>
          <w:rFonts w:cs="Arial"/>
          <w:lang w:val="es-CO"/>
        </w:rPr>
        <w:t>concordancia</w:t>
      </w:r>
      <w:r>
        <w:rPr>
          <w:rFonts w:cs="Arial"/>
          <w:spacing w:val="36"/>
          <w:lang w:val="es-CO"/>
        </w:rPr>
        <w:t xml:space="preserve"> </w:t>
      </w:r>
      <w:r>
        <w:rPr>
          <w:rFonts w:cs="Arial"/>
          <w:lang w:val="es-CO"/>
        </w:rPr>
        <w:t>con</w:t>
      </w:r>
      <w:r>
        <w:rPr>
          <w:rFonts w:cs="Arial"/>
          <w:spacing w:val="12"/>
          <w:lang w:val="es-CO"/>
        </w:rPr>
        <w:t xml:space="preserve"> </w:t>
      </w:r>
      <w:r>
        <w:rPr>
          <w:rFonts w:cs="Arial"/>
          <w:lang w:val="es-CO"/>
        </w:rPr>
        <w:t>el</w:t>
      </w:r>
      <w:r>
        <w:rPr>
          <w:rFonts w:cs="Arial"/>
          <w:spacing w:val="8"/>
          <w:lang w:val="es-CO"/>
        </w:rPr>
        <w:t xml:space="preserve"> </w:t>
      </w:r>
      <w:r>
        <w:rPr>
          <w:rFonts w:cs="Arial"/>
          <w:lang w:val="es-CO"/>
        </w:rPr>
        <w:t>inciso</w:t>
      </w:r>
      <w:r>
        <w:rPr>
          <w:rFonts w:cs="Arial"/>
          <w:spacing w:val="13"/>
          <w:lang w:val="es-CO"/>
        </w:rPr>
        <w:t xml:space="preserve"> </w:t>
      </w:r>
      <w:r>
        <w:rPr>
          <w:rFonts w:cs="Arial"/>
          <w:lang w:val="es-CO"/>
        </w:rPr>
        <w:t>2</w:t>
      </w:r>
      <w:r>
        <w:rPr>
          <w:rFonts w:cs="Arial"/>
          <w:spacing w:val="4"/>
          <w:lang w:val="es-CO"/>
        </w:rPr>
        <w:t xml:space="preserve"> </w:t>
      </w:r>
      <w:r>
        <w:rPr>
          <w:rFonts w:cs="Arial"/>
          <w:lang w:val="es-CO"/>
        </w:rPr>
        <w:t>del</w:t>
      </w:r>
      <w:r>
        <w:rPr>
          <w:rFonts w:cs="Arial"/>
          <w:spacing w:val="18"/>
          <w:lang w:val="es-CO"/>
        </w:rPr>
        <w:t xml:space="preserve"> </w:t>
      </w:r>
      <w:r>
        <w:rPr>
          <w:rFonts w:cs="Arial"/>
          <w:lang w:val="es-CO"/>
        </w:rPr>
        <w:t>numeral</w:t>
      </w:r>
      <w:r>
        <w:rPr>
          <w:rFonts w:cs="Arial"/>
          <w:spacing w:val="19"/>
          <w:lang w:val="es-CO"/>
        </w:rPr>
        <w:t xml:space="preserve"> </w:t>
      </w:r>
      <w:r>
        <w:rPr>
          <w:rFonts w:cs="Arial"/>
          <w:lang w:val="es-CO"/>
        </w:rPr>
        <w:t>5</w:t>
      </w:r>
      <w:r>
        <w:rPr>
          <w:rFonts w:cs="Arial"/>
          <w:spacing w:val="4"/>
          <w:lang w:val="es-CO"/>
        </w:rPr>
        <w:t xml:space="preserve"> </w:t>
      </w:r>
      <w:r>
        <w:rPr>
          <w:rFonts w:cs="Arial"/>
          <w:lang w:val="es-CO"/>
        </w:rPr>
        <w:t>del</w:t>
      </w:r>
      <w:r>
        <w:rPr>
          <w:rFonts w:cs="Arial"/>
          <w:spacing w:val="8"/>
          <w:lang w:val="es-CO"/>
        </w:rPr>
        <w:t xml:space="preserve"> </w:t>
      </w:r>
      <w:r>
        <w:rPr>
          <w:rFonts w:cs="Arial"/>
          <w:lang w:val="es-CO"/>
        </w:rPr>
        <w:t>artículo</w:t>
      </w:r>
      <w:r>
        <w:rPr>
          <w:rFonts w:cs="Arial"/>
          <w:spacing w:val="38"/>
          <w:lang w:val="es-CO"/>
        </w:rPr>
        <w:t xml:space="preserve"> </w:t>
      </w:r>
      <w:r>
        <w:rPr>
          <w:rFonts w:cs="Arial"/>
          <w:lang w:val="es-CO"/>
        </w:rPr>
        <w:t>102</w:t>
      </w:r>
      <w:r>
        <w:rPr>
          <w:rFonts w:cs="Arial"/>
          <w:spacing w:val="7"/>
          <w:lang w:val="es-CO"/>
        </w:rPr>
        <w:t xml:space="preserve"> </w:t>
      </w:r>
      <w:r>
        <w:rPr>
          <w:rFonts w:cs="Arial"/>
          <w:lang w:val="es-CO"/>
        </w:rPr>
        <w:t>del</w:t>
      </w:r>
      <w:r>
        <w:rPr>
          <w:rFonts w:cs="Arial"/>
          <w:spacing w:val="19"/>
          <w:lang w:val="es-CO"/>
        </w:rPr>
        <w:t xml:space="preserve"> </w:t>
      </w:r>
      <w:r>
        <w:rPr>
          <w:rFonts w:cs="Arial"/>
          <w:lang w:val="es-CO"/>
        </w:rPr>
        <w:t>Estatuto</w:t>
      </w:r>
      <w:r>
        <w:rPr>
          <w:rFonts w:cs="Arial"/>
          <w:w w:val="99"/>
          <w:lang w:val="es-CO"/>
        </w:rPr>
        <w:t xml:space="preserve"> </w:t>
      </w:r>
      <w:r>
        <w:rPr>
          <w:rFonts w:cs="Arial"/>
          <w:lang w:val="es-CO"/>
        </w:rPr>
        <w:t>Tributario,</w:t>
      </w:r>
      <w:r>
        <w:rPr>
          <w:rFonts w:cs="Arial"/>
          <w:spacing w:val="46"/>
          <w:lang w:val="es-CO"/>
        </w:rPr>
        <w:t xml:space="preserve"> </w:t>
      </w:r>
      <w:r>
        <w:rPr>
          <w:rFonts w:cs="Arial"/>
          <w:lang w:val="es-CO"/>
        </w:rPr>
        <w:t>caso</w:t>
      </w:r>
      <w:r>
        <w:rPr>
          <w:rFonts w:cs="Arial"/>
          <w:spacing w:val="23"/>
          <w:lang w:val="es-CO"/>
        </w:rPr>
        <w:t xml:space="preserve"> </w:t>
      </w:r>
      <w:r>
        <w:rPr>
          <w:rFonts w:cs="Arial"/>
          <w:lang w:val="es-CO"/>
        </w:rPr>
        <w:t>en</w:t>
      </w:r>
      <w:r>
        <w:rPr>
          <w:rFonts w:cs="Arial"/>
          <w:spacing w:val="26"/>
          <w:lang w:val="es-CO"/>
        </w:rPr>
        <w:t xml:space="preserve"> </w:t>
      </w:r>
      <w:r>
        <w:rPr>
          <w:rFonts w:cs="Arial"/>
          <w:lang w:val="es-CO"/>
        </w:rPr>
        <w:t>el</w:t>
      </w:r>
      <w:r>
        <w:rPr>
          <w:rFonts w:cs="Arial"/>
          <w:spacing w:val="14"/>
          <w:lang w:val="es-CO"/>
        </w:rPr>
        <w:t xml:space="preserve"> </w:t>
      </w:r>
      <w:r>
        <w:rPr>
          <w:rFonts w:cs="Arial"/>
          <w:lang w:val="es-CO"/>
        </w:rPr>
        <w:t>cual</w:t>
      </w:r>
      <w:r>
        <w:rPr>
          <w:rFonts w:cs="Arial"/>
          <w:spacing w:val="24"/>
          <w:lang w:val="es-CO"/>
        </w:rPr>
        <w:t xml:space="preserve"> </w:t>
      </w:r>
      <w:r>
        <w:rPr>
          <w:rFonts w:cs="Arial"/>
          <w:lang w:val="es-CO"/>
        </w:rPr>
        <w:t>deberá</w:t>
      </w:r>
      <w:r>
        <w:rPr>
          <w:rFonts w:cs="Arial"/>
          <w:spacing w:val="52"/>
          <w:lang w:val="es-CO"/>
        </w:rPr>
        <w:t xml:space="preserve"> </w:t>
      </w:r>
      <w:r>
        <w:rPr>
          <w:rFonts w:cs="Arial"/>
          <w:lang w:val="es-CO"/>
        </w:rPr>
        <w:t>presentarse</w:t>
      </w:r>
      <w:r>
        <w:rPr>
          <w:rFonts w:cs="Arial"/>
          <w:spacing w:val="33"/>
          <w:lang w:val="es-CO"/>
        </w:rPr>
        <w:t xml:space="preserve"> </w:t>
      </w:r>
      <w:r>
        <w:rPr>
          <w:rFonts w:cs="Arial"/>
          <w:lang w:val="es-CO"/>
        </w:rPr>
        <w:t>declaración</w:t>
      </w:r>
      <w:r>
        <w:rPr>
          <w:rFonts w:cs="Arial"/>
          <w:spacing w:val="54"/>
          <w:lang w:val="es-CO"/>
        </w:rPr>
        <w:t xml:space="preserve"> </w:t>
      </w:r>
      <w:r>
        <w:rPr>
          <w:rFonts w:cs="Arial"/>
          <w:lang w:val="es-CO"/>
        </w:rPr>
        <w:t>individual</w:t>
      </w:r>
      <w:r>
        <w:rPr>
          <w:rFonts w:cs="Arial"/>
          <w:spacing w:val="40"/>
          <w:lang w:val="es-CO"/>
        </w:rPr>
        <w:t xml:space="preserve"> </w:t>
      </w:r>
      <w:r>
        <w:rPr>
          <w:rFonts w:cs="Arial"/>
          <w:lang w:val="es-CO"/>
        </w:rPr>
        <w:t>por</w:t>
      </w:r>
      <w:r>
        <w:rPr>
          <w:rFonts w:cs="Arial"/>
          <w:spacing w:val="24"/>
          <w:lang w:val="es-CO"/>
        </w:rPr>
        <w:t xml:space="preserve"> </w:t>
      </w:r>
      <w:r>
        <w:rPr>
          <w:rFonts w:cs="Arial"/>
          <w:lang w:val="es-CO"/>
        </w:rPr>
        <w:t>cada</w:t>
      </w:r>
      <w:r>
        <w:rPr>
          <w:rFonts w:cs="Arial"/>
          <w:w w:val="99"/>
          <w:lang w:val="es-CO"/>
        </w:rPr>
        <w:t xml:space="preserve"> </w:t>
      </w:r>
      <w:r>
        <w:rPr>
          <w:rFonts w:cs="Arial"/>
          <w:lang w:val="es-CO"/>
        </w:rPr>
        <w:t>patrimonio</w:t>
      </w:r>
      <w:r>
        <w:rPr>
          <w:rFonts w:cs="Arial"/>
          <w:spacing w:val="-36"/>
          <w:lang w:val="es-CO"/>
        </w:rPr>
        <w:t xml:space="preserve"> </w:t>
      </w:r>
      <w:r>
        <w:rPr>
          <w:rFonts w:cs="Arial"/>
          <w:lang w:val="es-CO"/>
        </w:rPr>
        <w:t>contribuyente.</w:t>
      </w:r>
    </w:p>
    <w:p w14:paraId="1659EF04" w14:textId="77777777" w:rsidR="00B2442D" w:rsidRDefault="00B2442D">
      <w:pPr>
        <w:spacing w:line="40" w:lineRule="atLeast"/>
        <w:ind w:right="-30"/>
        <w:jc w:val="both"/>
        <w:rPr>
          <w:rFonts w:ascii="Arial" w:hAnsi="Arial" w:cs="Arial"/>
          <w:lang w:val="es-CO"/>
        </w:rPr>
      </w:pPr>
    </w:p>
    <w:p w14:paraId="13333390" w14:textId="77777777" w:rsidR="00B2442D" w:rsidRDefault="008A645F">
      <w:pPr>
        <w:pStyle w:val="Textoindependiente"/>
        <w:spacing w:line="40" w:lineRule="atLeast"/>
        <w:ind w:right="-30"/>
        <w:jc w:val="both"/>
        <w:rPr>
          <w:rFonts w:cs="Arial"/>
          <w:lang w:val="es-CO"/>
        </w:rPr>
      </w:pPr>
      <w:r>
        <w:rPr>
          <w:rFonts w:cs="Arial"/>
          <w:lang w:val="es-CO"/>
        </w:rPr>
        <w:t>La</w:t>
      </w:r>
      <w:r>
        <w:rPr>
          <w:rFonts w:cs="Arial"/>
          <w:spacing w:val="39"/>
          <w:lang w:val="es-CO"/>
        </w:rPr>
        <w:t xml:space="preserve"> </w:t>
      </w:r>
      <w:r>
        <w:rPr>
          <w:rFonts w:cs="Arial"/>
          <w:lang w:val="es-CO"/>
        </w:rPr>
        <w:t>sociedad</w:t>
      </w:r>
      <w:r>
        <w:rPr>
          <w:rFonts w:cs="Arial"/>
          <w:spacing w:val="59"/>
          <w:lang w:val="es-CO"/>
        </w:rPr>
        <w:t xml:space="preserve"> </w:t>
      </w:r>
      <w:r>
        <w:rPr>
          <w:rFonts w:cs="Arial"/>
          <w:lang w:val="es-CO"/>
        </w:rPr>
        <w:t>fiduciaria</w:t>
      </w:r>
      <w:r>
        <w:rPr>
          <w:rFonts w:cs="Arial"/>
          <w:spacing w:val="60"/>
          <w:lang w:val="es-CO"/>
        </w:rPr>
        <w:t xml:space="preserve"> </w:t>
      </w:r>
      <w:r>
        <w:rPr>
          <w:rFonts w:cs="Arial"/>
          <w:lang w:val="es-CO"/>
        </w:rPr>
        <w:t>tendrá</w:t>
      </w:r>
      <w:r>
        <w:rPr>
          <w:rFonts w:cs="Arial"/>
          <w:spacing w:val="63"/>
          <w:lang w:val="es-CO"/>
        </w:rPr>
        <w:t xml:space="preserve"> </w:t>
      </w:r>
      <w:r>
        <w:rPr>
          <w:rFonts w:cs="Arial"/>
          <w:lang w:val="es-CO"/>
        </w:rPr>
        <w:t>una</w:t>
      </w:r>
      <w:r>
        <w:rPr>
          <w:rFonts w:cs="Arial"/>
          <w:spacing w:val="40"/>
          <w:lang w:val="es-CO"/>
        </w:rPr>
        <w:t xml:space="preserve"> </w:t>
      </w:r>
      <w:r>
        <w:rPr>
          <w:rFonts w:cs="Arial"/>
          <w:lang w:val="es-CO"/>
        </w:rPr>
        <w:t>desagregación</w:t>
      </w:r>
      <w:r>
        <w:rPr>
          <w:rFonts w:cs="Arial"/>
          <w:spacing w:val="63"/>
          <w:lang w:val="es-CO"/>
        </w:rPr>
        <w:t xml:space="preserve"> </w:t>
      </w:r>
      <w:r>
        <w:rPr>
          <w:rFonts w:cs="Arial"/>
          <w:lang w:val="es-CO"/>
        </w:rPr>
        <w:t>de</w:t>
      </w:r>
      <w:r>
        <w:rPr>
          <w:rFonts w:cs="Arial"/>
          <w:spacing w:val="49"/>
          <w:lang w:val="es-CO"/>
        </w:rPr>
        <w:t xml:space="preserve"> </w:t>
      </w:r>
      <w:r>
        <w:rPr>
          <w:rFonts w:cs="Arial"/>
          <w:lang w:val="es-CO"/>
        </w:rPr>
        <w:t>los</w:t>
      </w:r>
      <w:r>
        <w:rPr>
          <w:rFonts w:cs="Arial"/>
          <w:spacing w:val="32"/>
          <w:lang w:val="es-CO"/>
        </w:rPr>
        <w:t xml:space="preserve"> </w:t>
      </w:r>
      <w:r>
        <w:rPr>
          <w:rFonts w:cs="Arial"/>
          <w:lang w:val="es-CO"/>
        </w:rPr>
        <w:t>factores</w:t>
      </w:r>
      <w:r>
        <w:rPr>
          <w:rFonts w:cs="Arial"/>
          <w:spacing w:val="61"/>
          <w:lang w:val="es-CO"/>
        </w:rPr>
        <w:t xml:space="preserve"> </w:t>
      </w:r>
      <w:r>
        <w:rPr>
          <w:rFonts w:cs="Arial"/>
          <w:lang w:val="es-CO"/>
        </w:rPr>
        <w:t>de</w:t>
      </w:r>
      <w:r>
        <w:rPr>
          <w:rFonts w:cs="Arial"/>
          <w:spacing w:val="51"/>
          <w:lang w:val="es-CO"/>
        </w:rPr>
        <w:t xml:space="preserve"> </w:t>
      </w:r>
      <w:r>
        <w:rPr>
          <w:rFonts w:cs="Arial"/>
          <w:lang w:val="es-CO"/>
        </w:rPr>
        <w:t>la</w:t>
      </w:r>
      <w:r>
        <w:rPr>
          <w:rFonts w:cs="Arial"/>
          <w:spacing w:val="37"/>
          <w:lang w:val="es-CO"/>
        </w:rPr>
        <w:t xml:space="preserve"> </w:t>
      </w:r>
      <w:r>
        <w:rPr>
          <w:rFonts w:cs="Arial"/>
          <w:lang w:val="es-CO"/>
        </w:rPr>
        <w:t>declaración</w:t>
      </w:r>
      <w:r>
        <w:rPr>
          <w:rFonts w:cs="Arial"/>
          <w:w w:val="99"/>
          <w:lang w:val="es-CO"/>
        </w:rPr>
        <w:t xml:space="preserve"> </w:t>
      </w:r>
      <w:r>
        <w:rPr>
          <w:rFonts w:cs="Arial"/>
          <w:lang w:val="es-CO"/>
        </w:rPr>
        <w:t>atribuible</w:t>
      </w:r>
      <w:r>
        <w:rPr>
          <w:rFonts w:cs="Arial"/>
          <w:spacing w:val="6"/>
          <w:lang w:val="es-CO"/>
        </w:rPr>
        <w:t xml:space="preserve"> </w:t>
      </w:r>
      <w:r>
        <w:rPr>
          <w:rFonts w:cs="Arial"/>
          <w:lang w:val="es-CO"/>
        </w:rPr>
        <w:t>a</w:t>
      </w:r>
      <w:r>
        <w:rPr>
          <w:rFonts w:cs="Arial"/>
          <w:spacing w:val="55"/>
          <w:lang w:val="es-CO"/>
        </w:rPr>
        <w:t xml:space="preserve"> </w:t>
      </w:r>
      <w:r>
        <w:rPr>
          <w:rFonts w:cs="Arial"/>
          <w:lang w:val="es-CO"/>
        </w:rPr>
        <w:t>cada</w:t>
      </w:r>
      <w:r>
        <w:rPr>
          <w:rFonts w:cs="Arial"/>
          <w:spacing w:val="2"/>
          <w:lang w:val="es-CO"/>
        </w:rPr>
        <w:t xml:space="preserve"> </w:t>
      </w:r>
      <w:r>
        <w:rPr>
          <w:rFonts w:cs="Arial"/>
          <w:lang w:val="es-CO"/>
        </w:rPr>
        <w:t>patrimonio</w:t>
      </w:r>
      <w:r>
        <w:rPr>
          <w:rFonts w:cs="Arial"/>
          <w:spacing w:val="59"/>
          <w:lang w:val="es-CO"/>
        </w:rPr>
        <w:t xml:space="preserve"> </w:t>
      </w:r>
      <w:r>
        <w:rPr>
          <w:rFonts w:cs="Arial"/>
          <w:lang w:val="es-CO"/>
        </w:rPr>
        <w:t>autónomo,</w:t>
      </w:r>
      <w:r>
        <w:rPr>
          <w:rFonts w:cs="Arial"/>
          <w:spacing w:val="12"/>
          <w:lang w:val="es-CO"/>
        </w:rPr>
        <w:t xml:space="preserve"> </w:t>
      </w:r>
      <w:r>
        <w:rPr>
          <w:rFonts w:cs="Arial"/>
          <w:lang w:val="es-CO"/>
        </w:rPr>
        <w:t>a</w:t>
      </w:r>
      <w:r>
        <w:rPr>
          <w:rFonts w:cs="Arial"/>
          <w:spacing w:val="54"/>
          <w:lang w:val="es-CO"/>
        </w:rPr>
        <w:t xml:space="preserve"> </w:t>
      </w:r>
      <w:r>
        <w:rPr>
          <w:rFonts w:cs="Arial"/>
          <w:lang w:val="es-CO"/>
        </w:rPr>
        <w:t>disposición</w:t>
      </w:r>
      <w:r>
        <w:rPr>
          <w:rFonts w:cs="Arial"/>
          <w:spacing w:val="1"/>
          <w:lang w:val="es-CO"/>
        </w:rPr>
        <w:t xml:space="preserve"> </w:t>
      </w:r>
      <w:r>
        <w:rPr>
          <w:rFonts w:cs="Arial"/>
          <w:lang w:val="es-CO"/>
        </w:rPr>
        <w:t>de</w:t>
      </w:r>
      <w:r>
        <w:rPr>
          <w:rFonts w:cs="Arial"/>
          <w:spacing w:val="63"/>
          <w:lang w:val="es-CO"/>
        </w:rPr>
        <w:t xml:space="preserve"> </w:t>
      </w:r>
      <w:r>
        <w:rPr>
          <w:rFonts w:cs="Arial"/>
          <w:lang w:val="es-CO"/>
        </w:rPr>
        <w:t>la</w:t>
      </w:r>
      <w:r>
        <w:rPr>
          <w:rFonts w:cs="Arial"/>
          <w:spacing w:val="59"/>
          <w:lang w:val="es-CO"/>
        </w:rPr>
        <w:t xml:space="preserve"> </w:t>
      </w:r>
      <w:r>
        <w:rPr>
          <w:rFonts w:cs="Arial"/>
          <w:lang w:val="es-CO"/>
        </w:rPr>
        <w:t>Unidad</w:t>
      </w:r>
      <w:r>
        <w:rPr>
          <w:rFonts w:cs="Arial"/>
          <w:spacing w:val="43"/>
          <w:lang w:val="es-CO"/>
        </w:rPr>
        <w:t xml:space="preserve"> </w:t>
      </w:r>
      <w:r>
        <w:rPr>
          <w:rFonts w:cs="Arial"/>
          <w:lang w:val="es-CO"/>
        </w:rPr>
        <w:t>Administrativa</w:t>
      </w:r>
      <w:r>
        <w:rPr>
          <w:rFonts w:cs="Arial"/>
          <w:w w:val="98"/>
          <w:lang w:val="es-CO"/>
        </w:rPr>
        <w:t xml:space="preserve"> </w:t>
      </w:r>
      <w:r>
        <w:rPr>
          <w:rFonts w:cs="Arial"/>
          <w:lang w:val="es-CO"/>
        </w:rPr>
        <w:t>Especial</w:t>
      </w:r>
      <w:r>
        <w:rPr>
          <w:rFonts w:cs="Arial"/>
          <w:spacing w:val="24"/>
          <w:lang w:val="es-CO"/>
        </w:rPr>
        <w:t xml:space="preserve"> </w:t>
      </w:r>
      <w:r>
        <w:rPr>
          <w:rFonts w:cs="Arial"/>
          <w:lang w:val="es-CO"/>
        </w:rPr>
        <w:t>Dirección</w:t>
      </w:r>
      <w:r>
        <w:rPr>
          <w:rFonts w:cs="Arial"/>
          <w:spacing w:val="18"/>
          <w:lang w:val="es-CO"/>
        </w:rPr>
        <w:t xml:space="preserve"> </w:t>
      </w:r>
      <w:r>
        <w:rPr>
          <w:rFonts w:cs="Arial"/>
          <w:lang w:val="es-CO"/>
        </w:rPr>
        <w:t>de</w:t>
      </w:r>
      <w:r>
        <w:rPr>
          <w:rFonts w:cs="Arial"/>
          <w:spacing w:val="27"/>
          <w:lang w:val="es-CO"/>
        </w:rPr>
        <w:t xml:space="preserve"> </w:t>
      </w:r>
      <w:r>
        <w:rPr>
          <w:rFonts w:cs="Arial"/>
          <w:lang w:val="es-CO"/>
        </w:rPr>
        <w:t>Impuestos</w:t>
      </w:r>
      <w:r>
        <w:rPr>
          <w:rFonts w:cs="Arial"/>
          <w:spacing w:val="23"/>
          <w:lang w:val="es-CO"/>
        </w:rPr>
        <w:t xml:space="preserve"> </w:t>
      </w:r>
      <w:r>
        <w:rPr>
          <w:rFonts w:cs="Arial"/>
          <w:lang w:val="es-CO"/>
        </w:rPr>
        <w:t>y</w:t>
      </w:r>
      <w:r>
        <w:rPr>
          <w:rFonts w:cs="Arial"/>
          <w:spacing w:val="8"/>
          <w:lang w:val="es-CO"/>
        </w:rPr>
        <w:t xml:space="preserve"> </w:t>
      </w:r>
      <w:r>
        <w:rPr>
          <w:rFonts w:cs="Arial"/>
          <w:lang w:val="es-CO"/>
        </w:rPr>
        <w:t>Aduanas Nacionales-</w:t>
      </w:r>
      <w:r>
        <w:rPr>
          <w:rFonts w:cs="Arial"/>
          <w:spacing w:val="20"/>
          <w:lang w:val="es-CO"/>
        </w:rPr>
        <w:t xml:space="preserve"> </w:t>
      </w:r>
      <w:r>
        <w:rPr>
          <w:rFonts w:cs="Arial"/>
          <w:lang w:val="es-CO"/>
        </w:rPr>
        <w:t>DIAN,</w:t>
      </w:r>
      <w:r>
        <w:rPr>
          <w:rFonts w:cs="Arial"/>
          <w:spacing w:val="24"/>
          <w:lang w:val="es-CO"/>
        </w:rPr>
        <w:t xml:space="preserve"> </w:t>
      </w:r>
      <w:r>
        <w:rPr>
          <w:rFonts w:cs="Arial"/>
          <w:lang w:val="es-CO"/>
        </w:rPr>
        <w:t>para</w:t>
      </w:r>
      <w:r>
        <w:rPr>
          <w:rFonts w:cs="Arial"/>
          <w:spacing w:val="21"/>
          <w:lang w:val="es-CO"/>
        </w:rPr>
        <w:t xml:space="preserve"> </w:t>
      </w:r>
      <w:r>
        <w:rPr>
          <w:rFonts w:cs="Arial"/>
          <w:lang w:val="es-CO"/>
        </w:rPr>
        <w:t>cuando</w:t>
      </w:r>
      <w:r>
        <w:rPr>
          <w:rFonts w:cs="Arial"/>
          <w:spacing w:val="24"/>
          <w:lang w:val="es-CO"/>
        </w:rPr>
        <w:t xml:space="preserve"> </w:t>
      </w:r>
      <w:r>
        <w:rPr>
          <w:rFonts w:cs="Arial"/>
          <w:lang w:val="es-CO"/>
        </w:rPr>
        <w:t>ésta</w:t>
      </w:r>
      <w:r>
        <w:rPr>
          <w:rFonts w:cs="Arial"/>
          <w:spacing w:val="33"/>
          <w:lang w:val="es-CO"/>
        </w:rPr>
        <w:t xml:space="preserve"> </w:t>
      </w:r>
      <w:r>
        <w:rPr>
          <w:rFonts w:cs="Arial"/>
          <w:lang w:val="es-CO"/>
        </w:rPr>
        <w:t>lo</w:t>
      </w:r>
      <w:r>
        <w:rPr>
          <w:rFonts w:cs="Arial"/>
          <w:w w:val="102"/>
          <w:lang w:val="es-CO"/>
        </w:rPr>
        <w:t xml:space="preserve"> </w:t>
      </w:r>
      <w:r>
        <w:rPr>
          <w:rFonts w:cs="Arial"/>
          <w:lang w:val="es-CO"/>
        </w:rPr>
        <w:t>solicite.</w:t>
      </w:r>
    </w:p>
    <w:p w14:paraId="2E4DDD40" w14:textId="77777777" w:rsidR="00B2442D" w:rsidRDefault="00B2442D">
      <w:pPr>
        <w:pStyle w:val="Textoindependiente"/>
        <w:spacing w:line="40" w:lineRule="atLeast"/>
        <w:ind w:right="-30"/>
        <w:jc w:val="both"/>
        <w:rPr>
          <w:rFonts w:cs="Arial"/>
          <w:lang w:val="es-CO"/>
        </w:rPr>
      </w:pPr>
    </w:p>
    <w:p w14:paraId="7C2DB417" w14:textId="77777777" w:rsidR="00B2442D" w:rsidRDefault="008A645F">
      <w:pPr>
        <w:pStyle w:val="Textoindependiente"/>
        <w:spacing w:line="40" w:lineRule="atLeast"/>
        <w:ind w:right="-30"/>
        <w:jc w:val="both"/>
        <w:rPr>
          <w:rFonts w:cs="Arial"/>
          <w:lang w:val="es-CO"/>
        </w:rPr>
      </w:pPr>
      <w:r>
        <w:rPr>
          <w:rFonts w:cs="Arial"/>
          <w:lang w:val="es-CO"/>
        </w:rPr>
        <w:t>Los</w:t>
      </w:r>
      <w:r>
        <w:rPr>
          <w:rFonts w:cs="Arial"/>
          <w:spacing w:val="16"/>
          <w:lang w:val="es-CO"/>
        </w:rPr>
        <w:t xml:space="preserve"> </w:t>
      </w:r>
      <w:r>
        <w:rPr>
          <w:rFonts w:cs="Arial"/>
          <w:lang w:val="es-CO"/>
        </w:rPr>
        <w:t>fiduciarios</w:t>
      </w:r>
      <w:r>
        <w:rPr>
          <w:rFonts w:cs="Arial"/>
          <w:spacing w:val="48"/>
          <w:lang w:val="es-CO"/>
        </w:rPr>
        <w:t xml:space="preserve"> </w:t>
      </w:r>
      <w:r>
        <w:rPr>
          <w:rFonts w:cs="Arial"/>
          <w:lang w:val="es-CO"/>
        </w:rPr>
        <w:t>son</w:t>
      </w:r>
      <w:r>
        <w:rPr>
          <w:rFonts w:cs="Arial"/>
          <w:spacing w:val="34"/>
          <w:lang w:val="es-CO"/>
        </w:rPr>
        <w:t xml:space="preserve"> </w:t>
      </w:r>
      <w:r>
        <w:rPr>
          <w:rFonts w:cs="Arial"/>
          <w:lang w:val="es-CO"/>
        </w:rPr>
        <w:t>responsables</w:t>
      </w:r>
      <w:r>
        <w:rPr>
          <w:rFonts w:cs="Arial"/>
          <w:spacing w:val="47"/>
          <w:lang w:val="es-CO"/>
        </w:rPr>
        <w:t xml:space="preserve"> </w:t>
      </w:r>
      <w:r>
        <w:rPr>
          <w:rFonts w:cs="Arial"/>
          <w:lang w:val="es-CO"/>
        </w:rPr>
        <w:t>por</w:t>
      </w:r>
      <w:r>
        <w:rPr>
          <w:rFonts w:cs="Arial"/>
          <w:spacing w:val="30"/>
          <w:lang w:val="es-CO"/>
        </w:rPr>
        <w:t xml:space="preserve"> </w:t>
      </w:r>
      <w:r>
        <w:rPr>
          <w:rFonts w:cs="Arial"/>
          <w:lang w:val="es-CO"/>
        </w:rPr>
        <w:t>las</w:t>
      </w:r>
      <w:r>
        <w:rPr>
          <w:rFonts w:cs="Arial"/>
          <w:spacing w:val="21"/>
          <w:lang w:val="es-CO"/>
        </w:rPr>
        <w:t xml:space="preserve"> </w:t>
      </w:r>
      <w:r>
        <w:rPr>
          <w:rFonts w:cs="Arial"/>
          <w:lang w:val="es-CO"/>
        </w:rPr>
        <w:t>sanciones</w:t>
      </w:r>
      <w:r>
        <w:rPr>
          <w:rFonts w:cs="Arial"/>
          <w:spacing w:val="44"/>
          <w:lang w:val="es-CO"/>
        </w:rPr>
        <w:t xml:space="preserve"> </w:t>
      </w:r>
      <w:r>
        <w:rPr>
          <w:rFonts w:cs="Arial"/>
          <w:lang w:val="es-CO"/>
        </w:rPr>
        <w:t>derivadas</w:t>
      </w:r>
      <w:r>
        <w:rPr>
          <w:rFonts w:cs="Arial"/>
          <w:spacing w:val="39"/>
          <w:lang w:val="es-CO"/>
        </w:rPr>
        <w:t xml:space="preserve"> </w:t>
      </w:r>
      <w:r>
        <w:rPr>
          <w:rFonts w:cs="Arial"/>
          <w:lang w:val="es-CO"/>
        </w:rPr>
        <w:t>del</w:t>
      </w:r>
      <w:r>
        <w:rPr>
          <w:rFonts w:cs="Arial"/>
          <w:spacing w:val="31"/>
          <w:lang w:val="es-CO"/>
        </w:rPr>
        <w:t xml:space="preserve"> </w:t>
      </w:r>
      <w:r>
        <w:rPr>
          <w:rFonts w:cs="Arial"/>
          <w:lang w:val="es-CO"/>
        </w:rPr>
        <w:t>incumplimiento</w:t>
      </w:r>
      <w:r>
        <w:rPr>
          <w:rFonts w:cs="Arial"/>
          <w:spacing w:val="38"/>
          <w:lang w:val="es-CO"/>
        </w:rPr>
        <w:t xml:space="preserve"> </w:t>
      </w:r>
      <w:r>
        <w:rPr>
          <w:rFonts w:cs="Arial"/>
          <w:lang w:val="es-CO"/>
        </w:rPr>
        <w:t>de</w:t>
      </w:r>
      <w:r>
        <w:rPr>
          <w:rFonts w:cs="Arial"/>
          <w:w w:val="102"/>
          <w:lang w:val="es-CO"/>
        </w:rPr>
        <w:t xml:space="preserve"> </w:t>
      </w:r>
      <w:r>
        <w:rPr>
          <w:rFonts w:cs="Arial"/>
          <w:lang w:val="es-CO"/>
        </w:rPr>
        <w:t>las</w:t>
      </w:r>
      <w:r>
        <w:rPr>
          <w:rFonts w:cs="Arial"/>
          <w:spacing w:val="50"/>
          <w:lang w:val="es-CO"/>
        </w:rPr>
        <w:t xml:space="preserve"> </w:t>
      </w:r>
      <w:r>
        <w:rPr>
          <w:rFonts w:cs="Arial"/>
          <w:lang w:val="es-CO"/>
        </w:rPr>
        <w:t>obligaciones</w:t>
      </w:r>
      <w:r>
        <w:rPr>
          <w:rFonts w:cs="Arial"/>
          <w:spacing w:val="66"/>
          <w:lang w:val="es-CO"/>
        </w:rPr>
        <w:t xml:space="preserve"> </w:t>
      </w:r>
      <w:r>
        <w:rPr>
          <w:rFonts w:cs="Arial"/>
          <w:lang w:val="es-CO"/>
        </w:rPr>
        <w:t>formales,</w:t>
      </w:r>
      <w:r>
        <w:rPr>
          <w:rFonts w:cs="Arial"/>
          <w:spacing w:val="16"/>
          <w:lang w:val="es-CO"/>
        </w:rPr>
        <w:t xml:space="preserve"> </w:t>
      </w:r>
      <w:r>
        <w:rPr>
          <w:rFonts w:cs="Arial"/>
          <w:lang w:val="es-CO"/>
        </w:rPr>
        <w:t>a</w:t>
      </w:r>
      <w:r>
        <w:rPr>
          <w:rFonts w:cs="Arial"/>
          <w:spacing w:val="57"/>
          <w:lang w:val="es-CO"/>
        </w:rPr>
        <w:t xml:space="preserve"> </w:t>
      </w:r>
      <w:r>
        <w:rPr>
          <w:rFonts w:cs="Arial"/>
          <w:lang w:val="es-CO"/>
        </w:rPr>
        <w:t>cargo</w:t>
      </w:r>
      <w:r>
        <w:rPr>
          <w:rFonts w:cs="Arial"/>
          <w:spacing w:val="56"/>
          <w:lang w:val="es-CO"/>
        </w:rPr>
        <w:t xml:space="preserve"> </w:t>
      </w:r>
      <w:r>
        <w:rPr>
          <w:rFonts w:cs="Arial"/>
          <w:lang w:val="es-CO"/>
        </w:rPr>
        <w:t>de</w:t>
      </w:r>
      <w:r>
        <w:rPr>
          <w:rFonts w:cs="Arial"/>
          <w:spacing w:val="59"/>
          <w:lang w:val="es-CO"/>
        </w:rPr>
        <w:t xml:space="preserve"> </w:t>
      </w:r>
      <w:r>
        <w:rPr>
          <w:rFonts w:cs="Arial"/>
          <w:lang w:val="es-CO"/>
        </w:rPr>
        <w:t>los</w:t>
      </w:r>
      <w:r>
        <w:rPr>
          <w:rFonts w:cs="Arial"/>
          <w:spacing w:val="55"/>
          <w:lang w:val="es-CO"/>
        </w:rPr>
        <w:t xml:space="preserve"> </w:t>
      </w:r>
      <w:r>
        <w:rPr>
          <w:rFonts w:cs="Arial"/>
          <w:lang w:val="es-CO"/>
        </w:rPr>
        <w:t>patrimonios</w:t>
      </w:r>
      <w:r>
        <w:rPr>
          <w:rFonts w:cs="Arial"/>
          <w:spacing w:val="61"/>
          <w:lang w:val="es-CO"/>
        </w:rPr>
        <w:t xml:space="preserve"> </w:t>
      </w:r>
      <w:r>
        <w:rPr>
          <w:rFonts w:cs="Arial"/>
          <w:lang w:val="es-CO"/>
        </w:rPr>
        <w:t>autónomos</w:t>
      </w:r>
      <w:r>
        <w:rPr>
          <w:rFonts w:cs="Arial"/>
          <w:spacing w:val="4"/>
          <w:lang w:val="es-CO"/>
        </w:rPr>
        <w:t xml:space="preserve"> </w:t>
      </w:r>
      <w:r>
        <w:rPr>
          <w:rFonts w:cs="Arial"/>
          <w:lang w:val="es-CO"/>
        </w:rPr>
        <w:t>así</w:t>
      </w:r>
      <w:r>
        <w:rPr>
          <w:rFonts w:cs="Arial"/>
          <w:spacing w:val="62"/>
          <w:lang w:val="es-CO"/>
        </w:rPr>
        <w:t xml:space="preserve"> </w:t>
      </w:r>
      <w:r>
        <w:rPr>
          <w:rFonts w:cs="Arial"/>
          <w:lang w:val="es-CO"/>
        </w:rPr>
        <w:t>como</w:t>
      </w:r>
      <w:r>
        <w:rPr>
          <w:rFonts w:cs="Arial"/>
          <w:spacing w:val="49"/>
          <w:lang w:val="es-CO"/>
        </w:rPr>
        <w:t xml:space="preserve"> </w:t>
      </w:r>
      <w:r>
        <w:rPr>
          <w:rFonts w:cs="Arial"/>
          <w:lang w:val="es-CO"/>
        </w:rPr>
        <w:t>de</w:t>
      </w:r>
      <w:r>
        <w:rPr>
          <w:rFonts w:cs="Arial"/>
          <w:spacing w:val="61"/>
          <w:lang w:val="es-CO"/>
        </w:rPr>
        <w:t xml:space="preserve"> </w:t>
      </w:r>
      <w:r>
        <w:rPr>
          <w:rFonts w:cs="Arial"/>
          <w:lang w:val="es-CO"/>
        </w:rPr>
        <w:t>la</w:t>
      </w:r>
      <w:r>
        <w:rPr>
          <w:rFonts w:cs="Arial"/>
          <w:w w:val="99"/>
          <w:lang w:val="es-CO"/>
        </w:rPr>
        <w:t xml:space="preserve"> </w:t>
      </w:r>
      <w:r>
        <w:rPr>
          <w:rFonts w:cs="Arial"/>
          <w:lang w:val="es-CO"/>
        </w:rPr>
        <w:t>sanción</w:t>
      </w:r>
      <w:r>
        <w:rPr>
          <w:rFonts w:cs="Arial"/>
          <w:spacing w:val="38"/>
          <w:lang w:val="es-CO"/>
        </w:rPr>
        <w:t xml:space="preserve"> </w:t>
      </w:r>
      <w:r>
        <w:rPr>
          <w:rFonts w:cs="Arial"/>
          <w:lang w:val="es-CO"/>
        </w:rPr>
        <w:t>por</w:t>
      </w:r>
      <w:r>
        <w:rPr>
          <w:rFonts w:cs="Arial"/>
          <w:spacing w:val="19"/>
          <w:lang w:val="es-CO"/>
        </w:rPr>
        <w:t xml:space="preserve"> </w:t>
      </w:r>
      <w:r>
        <w:rPr>
          <w:rFonts w:cs="Arial"/>
          <w:lang w:val="es-CO"/>
        </w:rPr>
        <w:t>corrección,</w:t>
      </w:r>
      <w:r>
        <w:rPr>
          <w:rFonts w:cs="Arial"/>
          <w:spacing w:val="39"/>
          <w:lang w:val="es-CO"/>
        </w:rPr>
        <w:t xml:space="preserve"> </w:t>
      </w:r>
      <w:r>
        <w:rPr>
          <w:rFonts w:cs="Arial"/>
          <w:lang w:val="es-CO"/>
        </w:rPr>
        <w:t>por</w:t>
      </w:r>
      <w:r>
        <w:rPr>
          <w:rFonts w:cs="Arial"/>
          <w:spacing w:val="28"/>
          <w:lang w:val="es-CO"/>
        </w:rPr>
        <w:t xml:space="preserve"> </w:t>
      </w:r>
      <w:r>
        <w:rPr>
          <w:rFonts w:cs="Arial"/>
          <w:lang w:val="es-CO"/>
        </w:rPr>
        <w:t>inexactitud,</w:t>
      </w:r>
      <w:r>
        <w:rPr>
          <w:rFonts w:cs="Arial"/>
          <w:spacing w:val="40"/>
          <w:lang w:val="es-CO"/>
        </w:rPr>
        <w:t xml:space="preserve"> </w:t>
      </w:r>
      <w:r>
        <w:rPr>
          <w:rFonts w:cs="Arial"/>
          <w:lang w:val="es-CO"/>
        </w:rPr>
        <w:t>por</w:t>
      </w:r>
      <w:r>
        <w:rPr>
          <w:rFonts w:cs="Arial"/>
          <w:spacing w:val="17"/>
          <w:lang w:val="es-CO"/>
        </w:rPr>
        <w:t xml:space="preserve"> </w:t>
      </w:r>
      <w:r>
        <w:rPr>
          <w:rFonts w:cs="Arial"/>
          <w:lang w:val="es-CO"/>
        </w:rPr>
        <w:t>corrección</w:t>
      </w:r>
      <w:r>
        <w:rPr>
          <w:rFonts w:cs="Arial"/>
          <w:spacing w:val="39"/>
          <w:lang w:val="es-CO"/>
        </w:rPr>
        <w:t xml:space="preserve"> </w:t>
      </w:r>
      <w:r>
        <w:rPr>
          <w:rFonts w:cs="Arial"/>
          <w:lang w:val="es-CO"/>
        </w:rPr>
        <w:t>aritmética</w:t>
      </w:r>
      <w:r>
        <w:rPr>
          <w:rFonts w:cs="Arial"/>
          <w:spacing w:val="39"/>
          <w:lang w:val="es-CO"/>
        </w:rPr>
        <w:t xml:space="preserve"> </w:t>
      </w:r>
      <w:r>
        <w:rPr>
          <w:rFonts w:cs="Arial"/>
          <w:lang w:val="es-CO"/>
        </w:rPr>
        <w:t>y</w:t>
      </w:r>
      <w:r>
        <w:rPr>
          <w:rFonts w:cs="Arial"/>
          <w:spacing w:val="26"/>
          <w:lang w:val="es-CO"/>
        </w:rPr>
        <w:t xml:space="preserve"> </w:t>
      </w:r>
      <w:r>
        <w:rPr>
          <w:rFonts w:cs="Arial"/>
          <w:lang w:val="es-CO"/>
        </w:rPr>
        <w:t>de</w:t>
      </w:r>
      <w:r>
        <w:rPr>
          <w:rFonts w:cs="Arial"/>
          <w:spacing w:val="20"/>
          <w:lang w:val="es-CO"/>
        </w:rPr>
        <w:t xml:space="preserve"> </w:t>
      </w:r>
      <w:r>
        <w:rPr>
          <w:rFonts w:cs="Arial"/>
          <w:lang w:val="es-CO"/>
        </w:rPr>
        <w:t>cualquier</w:t>
      </w:r>
      <w:r>
        <w:rPr>
          <w:rFonts w:cs="Arial"/>
          <w:spacing w:val="37"/>
          <w:lang w:val="es-CO"/>
        </w:rPr>
        <w:t xml:space="preserve"> </w:t>
      </w:r>
      <w:r>
        <w:rPr>
          <w:rFonts w:cs="Arial"/>
          <w:lang w:val="es-CO"/>
        </w:rPr>
        <w:t>otra</w:t>
      </w:r>
      <w:r>
        <w:rPr>
          <w:rFonts w:cs="Arial"/>
          <w:w w:val="99"/>
          <w:lang w:val="es-CO"/>
        </w:rPr>
        <w:t xml:space="preserve"> </w:t>
      </w:r>
      <w:r>
        <w:rPr>
          <w:rFonts w:cs="Arial"/>
          <w:lang w:val="es-CO"/>
        </w:rPr>
        <w:t>sanción</w:t>
      </w:r>
      <w:r>
        <w:rPr>
          <w:rFonts w:cs="Arial"/>
          <w:spacing w:val="8"/>
          <w:lang w:val="es-CO"/>
        </w:rPr>
        <w:t xml:space="preserve"> </w:t>
      </w:r>
      <w:r>
        <w:rPr>
          <w:rFonts w:cs="Arial"/>
          <w:lang w:val="es-CO"/>
        </w:rPr>
        <w:t>relacionada</w:t>
      </w:r>
      <w:r>
        <w:rPr>
          <w:rFonts w:cs="Arial"/>
          <w:spacing w:val="8"/>
          <w:lang w:val="es-CO"/>
        </w:rPr>
        <w:t xml:space="preserve"> </w:t>
      </w:r>
      <w:r>
        <w:rPr>
          <w:rFonts w:cs="Arial"/>
          <w:lang w:val="es-CO"/>
        </w:rPr>
        <w:t>con</w:t>
      </w:r>
      <w:r>
        <w:rPr>
          <w:rFonts w:cs="Arial"/>
          <w:spacing w:val="-13"/>
          <w:lang w:val="es-CO"/>
        </w:rPr>
        <w:t xml:space="preserve"> </w:t>
      </w:r>
      <w:r>
        <w:rPr>
          <w:rFonts w:cs="Arial"/>
          <w:lang w:val="es-CO"/>
        </w:rPr>
        <w:t>dichas</w:t>
      </w:r>
      <w:r>
        <w:rPr>
          <w:rFonts w:cs="Arial"/>
          <w:spacing w:val="-4"/>
          <w:lang w:val="es-CO"/>
        </w:rPr>
        <w:t xml:space="preserve"> </w:t>
      </w:r>
      <w:r>
        <w:rPr>
          <w:rFonts w:cs="Arial"/>
          <w:lang w:val="es-CO"/>
        </w:rPr>
        <w:t>declaraciones.</w:t>
      </w:r>
    </w:p>
    <w:p w14:paraId="0062E061" w14:textId="77777777" w:rsidR="00B2442D" w:rsidRDefault="00B2442D">
      <w:pPr>
        <w:spacing w:line="40" w:lineRule="atLeast"/>
        <w:ind w:right="-30"/>
        <w:jc w:val="both"/>
        <w:rPr>
          <w:rFonts w:ascii="Arial" w:hAnsi="Arial" w:cs="Arial"/>
          <w:lang w:val="es-CO"/>
        </w:rPr>
      </w:pPr>
    </w:p>
    <w:p w14:paraId="6C468CD4" w14:textId="77777777" w:rsidR="00B2442D" w:rsidRDefault="008A645F">
      <w:pPr>
        <w:jc w:val="both"/>
        <w:rPr>
          <w:rFonts w:ascii="Arial" w:hAnsi="Arial" w:cs="Arial"/>
          <w:i/>
          <w:lang w:val="es-ES_tradnl"/>
        </w:rPr>
      </w:pPr>
      <w:r>
        <w:rPr>
          <w:rFonts w:ascii="Arial" w:hAnsi="Arial" w:cs="Arial"/>
          <w:i/>
          <w:lang w:val="es-ES_tradnl"/>
        </w:rPr>
        <w:t xml:space="preserve">(Art. 4, Decreto 2243 de 2015) (Plazos 2015: Decreto </w:t>
      </w:r>
      <w:r>
        <w:rPr>
          <w:rFonts w:ascii="Arial" w:hAnsi="Arial" w:cs="Arial"/>
          <w:i/>
          <w:lang w:val="es-ES_tradnl"/>
        </w:rPr>
        <w:t>2623 de 2014; plazos 2014: Decreto 2972 de 2013 y Decreto 685 de 2014; plazos 2013: Decreto 2634 de 2012 y Decreto 0187 de 2013; plazos 2012: Decreto 4907 de 2011; plazos 2011: Decreto 4836 de 2010 y Decreto 1358 de 2011)</w:t>
      </w:r>
    </w:p>
    <w:p w14:paraId="69958592" w14:textId="77777777" w:rsidR="00B2442D" w:rsidRDefault="00B2442D">
      <w:pPr>
        <w:spacing w:line="40" w:lineRule="atLeast"/>
        <w:ind w:right="-30"/>
        <w:jc w:val="both"/>
        <w:rPr>
          <w:rFonts w:ascii="Arial" w:hAnsi="Arial" w:cs="Arial"/>
          <w:lang w:val="es-CO"/>
        </w:rPr>
      </w:pPr>
    </w:p>
    <w:p w14:paraId="28321120"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Formularios y contenido de</w:t>
      </w:r>
      <w:r>
        <w:rPr>
          <w:rFonts w:cs="Arial"/>
          <w:b/>
          <w:i/>
          <w:spacing w:val="61"/>
          <w:lang w:val="es-CO"/>
        </w:rPr>
        <w:t xml:space="preserve"> </w:t>
      </w:r>
      <w:r>
        <w:rPr>
          <w:rFonts w:cs="Arial"/>
          <w:b/>
          <w:i/>
          <w:lang w:val="es-CO"/>
        </w:rPr>
        <w:t>las</w:t>
      </w:r>
      <w:r>
        <w:rPr>
          <w:rFonts w:cs="Arial"/>
          <w:b/>
          <w:i/>
          <w:spacing w:val="62"/>
          <w:lang w:val="es-CO"/>
        </w:rPr>
        <w:t xml:space="preserve"> </w:t>
      </w:r>
      <w:r>
        <w:rPr>
          <w:rFonts w:cs="Arial"/>
          <w:b/>
          <w:i/>
          <w:lang w:val="es-CO"/>
        </w:rPr>
        <w:t>de</w:t>
      </w:r>
      <w:r>
        <w:rPr>
          <w:rFonts w:cs="Arial"/>
          <w:b/>
          <w:i/>
          <w:lang w:val="es-CO"/>
        </w:rPr>
        <w:t xml:space="preserve">claraciones. </w:t>
      </w:r>
      <w:r>
        <w:rPr>
          <w:rFonts w:cs="Arial"/>
          <w:lang w:val="es-CO"/>
        </w:rPr>
        <w:t>Las declaraciones del impuesto sobre la renta y complementario, de ingresos y patrimonio,</w:t>
      </w:r>
      <w:r>
        <w:rPr>
          <w:rFonts w:cs="Arial"/>
          <w:spacing w:val="37"/>
          <w:lang w:val="es-CO"/>
        </w:rPr>
        <w:t xml:space="preserve"> </w:t>
      </w:r>
      <w:r>
        <w:rPr>
          <w:rFonts w:cs="Arial"/>
          <w:lang w:val="es-CO"/>
        </w:rPr>
        <w:t>impuesto</w:t>
      </w:r>
      <w:r>
        <w:rPr>
          <w:rFonts w:cs="Arial"/>
          <w:spacing w:val="20"/>
          <w:lang w:val="es-CO"/>
        </w:rPr>
        <w:t xml:space="preserve"> </w:t>
      </w:r>
      <w:r>
        <w:rPr>
          <w:rFonts w:cs="Arial"/>
          <w:lang w:val="es-CO"/>
        </w:rPr>
        <w:t>sobre</w:t>
      </w:r>
      <w:r>
        <w:rPr>
          <w:rFonts w:cs="Arial"/>
          <w:spacing w:val="28"/>
          <w:lang w:val="es-CO"/>
        </w:rPr>
        <w:t xml:space="preserve"> </w:t>
      </w:r>
      <w:r>
        <w:rPr>
          <w:rFonts w:cs="Arial"/>
          <w:lang w:val="es-CO"/>
        </w:rPr>
        <w:t>las</w:t>
      </w:r>
      <w:r>
        <w:rPr>
          <w:rFonts w:cs="Arial"/>
          <w:spacing w:val="7"/>
          <w:lang w:val="es-CO"/>
        </w:rPr>
        <w:t xml:space="preserve"> </w:t>
      </w:r>
      <w:r>
        <w:rPr>
          <w:rFonts w:cs="Arial"/>
          <w:lang w:val="es-CO"/>
        </w:rPr>
        <w:t>ventas,</w:t>
      </w:r>
      <w:r>
        <w:rPr>
          <w:rFonts w:cs="Arial"/>
          <w:spacing w:val="31"/>
          <w:lang w:val="es-CO"/>
        </w:rPr>
        <w:t xml:space="preserve"> </w:t>
      </w:r>
      <w:r>
        <w:rPr>
          <w:rFonts w:cs="Arial"/>
          <w:lang w:val="es-CO"/>
        </w:rPr>
        <w:t>gasolina</w:t>
      </w:r>
      <w:r>
        <w:rPr>
          <w:rFonts w:cs="Arial"/>
          <w:spacing w:val="32"/>
          <w:lang w:val="es-CO"/>
        </w:rPr>
        <w:t xml:space="preserve"> </w:t>
      </w:r>
      <w:r>
        <w:rPr>
          <w:rFonts w:cs="Arial"/>
          <w:lang w:val="es-CO"/>
        </w:rPr>
        <w:t>y</w:t>
      </w:r>
      <w:r>
        <w:rPr>
          <w:rFonts w:cs="Arial"/>
          <w:spacing w:val="3"/>
          <w:lang w:val="es-CO"/>
        </w:rPr>
        <w:t xml:space="preserve"> </w:t>
      </w:r>
      <w:r>
        <w:rPr>
          <w:rFonts w:cs="Arial"/>
          <w:lang w:val="es-CO"/>
        </w:rPr>
        <w:t>ACPM,</w:t>
      </w:r>
      <w:r>
        <w:rPr>
          <w:rFonts w:cs="Arial"/>
          <w:spacing w:val="50"/>
          <w:lang w:val="es-CO"/>
        </w:rPr>
        <w:t xml:space="preserve"> </w:t>
      </w:r>
      <w:r>
        <w:rPr>
          <w:rFonts w:cs="Arial"/>
          <w:lang w:val="es-CO"/>
        </w:rPr>
        <w:t>impuesto</w:t>
      </w:r>
      <w:r>
        <w:rPr>
          <w:rFonts w:cs="Arial"/>
          <w:spacing w:val="20"/>
          <w:lang w:val="es-CO"/>
        </w:rPr>
        <w:t xml:space="preserve"> </w:t>
      </w:r>
      <w:r>
        <w:rPr>
          <w:rFonts w:cs="Arial"/>
          <w:lang w:val="es-CO"/>
        </w:rPr>
        <w:t>nacional</w:t>
      </w:r>
      <w:r>
        <w:rPr>
          <w:rFonts w:cs="Arial"/>
          <w:spacing w:val="27"/>
          <w:lang w:val="es-CO"/>
        </w:rPr>
        <w:t xml:space="preserve"> </w:t>
      </w:r>
      <w:r>
        <w:rPr>
          <w:rFonts w:cs="Arial"/>
          <w:lang w:val="es-CO"/>
        </w:rPr>
        <w:t>al</w:t>
      </w:r>
      <w:r>
        <w:rPr>
          <w:rFonts w:cs="Arial"/>
          <w:w w:val="102"/>
          <w:lang w:val="es-CO"/>
        </w:rPr>
        <w:t xml:space="preserve"> </w:t>
      </w:r>
      <w:r>
        <w:rPr>
          <w:rFonts w:cs="Arial"/>
          <w:lang w:val="es-CO"/>
        </w:rPr>
        <w:t>consumo,</w:t>
      </w:r>
      <w:r>
        <w:rPr>
          <w:rFonts w:cs="Arial"/>
          <w:spacing w:val="33"/>
          <w:lang w:val="es-CO"/>
        </w:rPr>
        <w:t xml:space="preserve"> </w:t>
      </w:r>
      <w:r>
        <w:rPr>
          <w:rFonts w:cs="Arial"/>
          <w:lang w:val="es-CO"/>
        </w:rPr>
        <w:t>impuesto</w:t>
      </w:r>
      <w:r>
        <w:rPr>
          <w:rFonts w:cs="Arial"/>
          <w:spacing w:val="10"/>
          <w:lang w:val="es-CO"/>
        </w:rPr>
        <w:t xml:space="preserve"> </w:t>
      </w:r>
      <w:r>
        <w:rPr>
          <w:rFonts w:cs="Arial"/>
          <w:lang w:val="es-CO"/>
        </w:rPr>
        <w:t>sobre</w:t>
      </w:r>
      <w:r>
        <w:rPr>
          <w:rFonts w:cs="Arial"/>
          <w:spacing w:val="22"/>
          <w:lang w:val="es-CO"/>
        </w:rPr>
        <w:t xml:space="preserve"> </w:t>
      </w:r>
      <w:r>
        <w:rPr>
          <w:rFonts w:cs="Arial"/>
          <w:lang w:val="es-CO"/>
        </w:rPr>
        <w:t>la</w:t>
      </w:r>
      <w:r>
        <w:rPr>
          <w:rFonts w:cs="Arial"/>
          <w:spacing w:val="8"/>
          <w:lang w:val="es-CO"/>
        </w:rPr>
        <w:t xml:space="preserve"> </w:t>
      </w:r>
      <w:r>
        <w:rPr>
          <w:rFonts w:cs="Arial"/>
          <w:lang w:val="es-CO"/>
        </w:rPr>
        <w:t>renta</w:t>
      </w:r>
      <w:r>
        <w:rPr>
          <w:rFonts w:cs="Arial"/>
          <w:spacing w:val="12"/>
          <w:lang w:val="es-CO"/>
        </w:rPr>
        <w:t xml:space="preserve"> </w:t>
      </w:r>
      <w:r>
        <w:rPr>
          <w:rFonts w:cs="Arial"/>
          <w:lang w:val="es-CO"/>
        </w:rPr>
        <w:t>para</w:t>
      </w:r>
      <w:r>
        <w:rPr>
          <w:rFonts w:cs="Arial"/>
          <w:spacing w:val="12"/>
          <w:lang w:val="es-CO"/>
        </w:rPr>
        <w:t xml:space="preserve"> </w:t>
      </w:r>
      <w:r>
        <w:rPr>
          <w:rFonts w:cs="Arial"/>
          <w:lang w:val="es-CO"/>
        </w:rPr>
        <w:t>la</w:t>
      </w:r>
      <w:r>
        <w:rPr>
          <w:rFonts w:cs="Arial"/>
          <w:spacing w:val="4"/>
          <w:lang w:val="es-CO"/>
        </w:rPr>
        <w:t xml:space="preserve"> </w:t>
      </w:r>
      <w:r>
        <w:rPr>
          <w:rFonts w:cs="Arial"/>
          <w:lang w:val="es-CO"/>
        </w:rPr>
        <w:t>equidad</w:t>
      </w:r>
      <w:r>
        <w:rPr>
          <w:rFonts w:cs="Arial"/>
          <w:spacing w:val="9"/>
          <w:lang w:val="es-CO"/>
        </w:rPr>
        <w:t xml:space="preserve"> </w:t>
      </w:r>
      <w:r>
        <w:rPr>
          <w:rFonts w:cs="Arial"/>
          <w:lang w:val="es-CO"/>
        </w:rPr>
        <w:t>-</w:t>
      </w:r>
      <w:r>
        <w:rPr>
          <w:rFonts w:cs="Arial"/>
          <w:spacing w:val="5"/>
          <w:lang w:val="es-CO"/>
        </w:rPr>
        <w:t xml:space="preserve"> </w:t>
      </w:r>
      <w:r>
        <w:rPr>
          <w:rFonts w:cs="Arial"/>
          <w:lang w:val="es-CO"/>
        </w:rPr>
        <w:t>CREE,</w:t>
      </w:r>
      <w:r>
        <w:rPr>
          <w:rFonts w:cs="Arial"/>
          <w:spacing w:val="13"/>
          <w:lang w:val="es-CO"/>
        </w:rPr>
        <w:t xml:space="preserve"> </w:t>
      </w:r>
      <w:r>
        <w:rPr>
          <w:rFonts w:cs="Arial"/>
          <w:lang w:val="es-CO"/>
        </w:rPr>
        <w:t>de</w:t>
      </w:r>
      <w:r>
        <w:rPr>
          <w:rFonts w:cs="Arial"/>
          <w:spacing w:val="18"/>
          <w:lang w:val="es-CO"/>
        </w:rPr>
        <w:t xml:space="preserve"> </w:t>
      </w:r>
      <w:r>
        <w:rPr>
          <w:rFonts w:cs="Arial"/>
          <w:lang w:val="es-CO"/>
        </w:rPr>
        <w:t>retención</w:t>
      </w:r>
      <w:r>
        <w:rPr>
          <w:rFonts w:cs="Arial"/>
          <w:spacing w:val="20"/>
          <w:lang w:val="es-CO"/>
        </w:rPr>
        <w:t xml:space="preserve"> </w:t>
      </w:r>
      <w:r>
        <w:rPr>
          <w:rFonts w:cs="Arial"/>
          <w:lang w:val="es-CO"/>
        </w:rPr>
        <w:t>en</w:t>
      </w:r>
      <w:r>
        <w:rPr>
          <w:rFonts w:cs="Arial"/>
          <w:spacing w:val="13"/>
          <w:lang w:val="es-CO"/>
        </w:rPr>
        <w:t xml:space="preserve"> </w:t>
      </w:r>
      <w:r>
        <w:rPr>
          <w:rFonts w:cs="Arial"/>
          <w:lang w:val="es-CO"/>
        </w:rPr>
        <w:t>la</w:t>
      </w:r>
      <w:r>
        <w:rPr>
          <w:rFonts w:cs="Arial"/>
          <w:spacing w:val="-2"/>
          <w:lang w:val="es-CO"/>
        </w:rPr>
        <w:t xml:space="preserve"> </w:t>
      </w:r>
      <w:r>
        <w:rPr>
          <w:rFonts w:cs="Arial"/>
          <w:lang w:val="es-CO"/>
        </w:rPr>
        <w:t>fuente,</w:t>
      </w:r>
      <w:r>
        <w:rPr>
          <w:rFonts w:cs="Arial"/>
          <w:w w:val="99"/>
          <w:lang w:val="es-CO"/>
        </w:rPr>
        <w:t xml:space="preserve"> </w:t>
      </w:r>
      <w:r>
        <w:rPr>
          <w:rFonts w:cs="Arial"/>
          <w:lang w:val="es-CO"/>
        </w:rPr>
        <w:t>Impuesto</w:t>
      </w:r>
      <w:r>
        <w:rPr>
          <w:rFonts w:cs="Arial"/>
          <w:spacing w:val="62"/>
          <w:lang w:val="es-CO"/>
        </w:rPr>
        <w:t xml:space="preserve"> </w:t>
      </w:r>
      <w:r>
        <w:rPr>
          <w:rFonts w:cs="Arial"/>
          <w:lang w:val="es-CO"/>
        </w:rPr>
        <w:t>a</w:t>
      </w:r>
      <w:r>
        <w:rPr>
          <w:rFonts w:cs="Arial"/>
          <w:spacing w:val="2"/>
          <w:lang w:val="es-CO"/>
        </w:rPr>
        <w:t xml:space="preserve"> </w:t>
      </w:r>
      <w:r>
        <w:rPr>
          <w:rFonts w:cs="Arial"/>
          <w:lang w:val="es-CO"/>
        </w:rPr>
        <w:t>la</w:t>
      </w:r>
      <w:r>
        <w:rPr>
          <w:rFonts w:cs="Arial"/>
          <w:spacing w:val="2"/>
          <w:lang w:val="es-CO"/>
        </w:rPr>
        <w:t xml:space="preserve"> </w:t>
      </w:r>
      <w:r>
        <w:rPr>
          <w:rFonts w:cs="Arial"/>
          <w:lang w:val="es-CO"/>
        </w:rPr>
        <w:t>Riqueza</w:t>
      </w:r>
      <w:r>
        <w:rPr>
          <w:rFonts w:cs="Arial"/>
          <w:spacing w:val="63"/>
          <w:lang w:val="es-CO"/>
        </w:rPr>
        <w:t xml:space="preserve"> </w:t>
      </w:r>
      <w:r>
        <w:rPr>
          <w:rFonts w:cs="Arial"/>
          <w:lang w:val="es-CO"/>
        </w:rPr>
        <w:t>y</w:t>
      </w:r>
      <w:r>
        <w:rPr>
          <w:rFonts w:cs="Arial"/>
          <w:spacing w:val="1"/>
          <w:lang w:val="es-CO"/>
        </w:rPr>
        <w:t xml:space="preserve"> </w:t>
      </w:r>
      <w:r>
        <w:rPr>
          <w:rFonts w:cs="Arial"/>
          <w:lang w:val="es-CO"/>
        </w:rPr>
        <w:t>complementario</w:t>
      </w:r>
      <w:r>
        <w:rPr>
          <w:rFonts w:cs="Arial"/>
          <w:spacing w:val="11"/>
          <w:lang w:val="es-CO"/>
        </w:rPr>
        <w:t xml:space="preserve"> </w:t>
      </w:r>
      <w:r>
        <w:rPr>
          <w:rFonts w:cs="Arial"/>
          <w:lang w:val="es-CO"/>
        </w:rPr>
        <w:t>de</w:t>
      </w:r>
      <w:r>
        <w:rPr>
          <w:rFonts w:cs="Arial"/>
          <w:spacing w:val="7"/>
          <w:lang w:val="es-CO"/>
        </w:rPr>
        <w:t xml:space="preserve"> </w:t>
      </w:r>
      <w:r>
        <w:rPr>
          <w:rFonts w:cs="Arial"/>
          <w:lang w:val="es-CO"/>
        </w:rPr>
        <w:t>normalización</w:t>
      </w:r>
      <w:r>
        <w:rPr>
          <w:rFonts w:cs="Arial"/>
          <w:spacing w:val="12"/>
          <w:lang w:val="es-CO"/>
        </w:rPr>
        <w:t xml:space="preserve"> </w:t>
      </w:r>
      <w:r>
        <w:rPr>
          <w:rFonts w:cs="Arial"/>
          <w:lang w:val="es-CO"/>
        </w:rPr>
        <w:t>tributaria,</w:t>
      </w:r>
      <w:r>
        <w:rPr>
          <w:rFonts w:cs="Arial"/>
          <w:spacing w:val="15"/>
          <w:lang w:val="es-CO"/>
        </w:rPr>
        <w:t xml:space="preserve"> </w:t>
      </w:r>
      <w:r>
        <w:rPr>
          <w:rFonts w:cs="Arial"/>
          <w:lang w:val="es-CO"/>
        </w:rPr>
        <w:t>declaración</w:t>
      </w:r>
      <w:r>
        <w:rPr>
          <w:rFonts w:cs="Arial"/>
          <w:w w:val="99"/>
          <w:lang w:val="es-CO"/>
        </w:rPr>
        <w:t xml:space="preserve"> </w:t>
      </w:r>
      <w:r>
        <w:rPr>
          <w:rFonts w:cs="Arial"/>
          <w:lang w:val="es-CO"/>
        </w:rPr>
        <w:t>anual</w:t>
      </w:r>
      <w:r>
        <w:rPr>
          <w:rFonts w:cs="Arial"/>
          <w:spacing w:val="9"/>
          <w:lang w:val="es-CO"/>
        </w:rPr>
        <w:t xml:space="preserve"> </w:t>
      </w:r>
      <w:r>
        <w:rPr>
          <w:rFonts w:cs="Arial"/>
          <w:lang w:val="es-CO"/>
        </w:rPr>
        <w:t>de</w:t>
      </w:r>
      <w:r>
        <w:rPr>
          <w:rFonts w:cs="Arial"/>
          <w:spacing w:val="18"/>
          <w:lang w:val="es-CO"/>
        </w:rPr>
        <w:t xml:space="preserve"> </w:t>
      </w:r>
      <w:r>
        <w:rPr>
          <w:rFonts w:cs="Arial"/>
          <w:lang w:val="es-CO"/>
        </w:rPr>
        <w:t>activos</w:t>
      </w:r>
      <w:r>
        <w:rPr>
          <w:rFonts w:cs="Arial"/>
          <w:spacing w:val="24"/>
          <w:lang w:val="es-CO"/>
        </w:rPr>
        <w:t xml:space="preserve"> </w:t>
      </w:r>
      <w:r>
        <w:rPr>
          <w:rFonts w:cs="Arial"/>
          <w:lang w:val="es-CO"/>
        </w:rPr>
        <w:t>en</w:t>
      </w:r>
      <w:r>
        <w:rPr>
          <w:rFonts w:cs="Arial"/>
          <w:spacing w:val="8"/>
          <w:lang w:val="es-CO"/>
        </w:rPr>
        <w:t xml:space="preserve"> </w:t>
      </w:r>
      <w:r>
        <w:rPr>
          <w:rFonts w:cs="Arial"/>
          <w:lang w:val="es-CO"/>
        </w:rPr>
        <w:t>el</w:t>
      </w:r>
      <w:r>
        <w:rPr>
          <w:rFonts w:cs="Arial"/>
          <w:spacing w:val="-4"/>
          <w:lang w:val="es-CO"/>
        </w:rPr>
        <w:t xml:space="preserve"> </w:t>
      </w:r>
      <w:r>
        <w:rPr>
          <w:rFonts w:cs="Arial"/>
          <w:lang w:val="es-CO"/>
        </w:rPr>
        <w:t>exterior,</w:t>
      </w:r>
      <w:r>
        <w:rPr>
          <w:rFonts w:cs="Arial"/>
          <w:spacing w:val="19"/>
          <w:lang w:val="es-CO"/>
        </w:rPr>
        <w:t xml:space="preserve"> </w:t>
      </w:r>
      <w:r>
        <w:rPr>
          <w:rFonts w:cs="Arial"/>
          <w:lang w:val="es-CO"/>
        </w:rPr>
        <w:t>gravamen</w:t>
      </w:r>
      <w:r>
        <w:rPr>
          <w:rFonts w:cs="Arial"/>
          <w:spacing w:val="31"/>
          <w:lang w:val="es-CO"/>
        </w:rPr>
        <w:t xml:space="preserve"> </w:t>
      </w:r>
      <w:r>
        <w:rPr>
          <w:rFonts w:cs="Arial"/>
          <w:lang w:val="es-CO"/>
        </w:rPr>
        <w:t>a</w:t>
      </w:r>
      <w:r>
        <w:rPr>
          <w:rFonts w:cs="Arial"/>
          <w:spacing w:val="18"/>
          <w:lang w:val="es-CO"/>
        </w:rPr>
        <w:t xml:space="preserve"> </w:t>
      </w:r>
      <w:r>
        <w:rPr>
          <w:rFonts w:cs="Arial"/>
          <w:lang w:val="es-CO"/>
        </w:rPr>
        <w:t>los</w:t>
      </w:r>
      <w:r>
        <w:rPr>
          <w:rFonts w:cs="Arial"/>
          <w:spacing w:val="6"/>
          <w:lang w:val="es-CO"/>
        </w:rPr>
        <w:t xml:space="preserve"> </w:t>
      </w:r>
      <w:r>
        <w:rPr>
          <w:rFonts w:cs="Arial"/>
          <w:lang w:val="es-CO"/>
        </w:rPr>
        <w:t>movimientos</w:t>
      </w:r>
      <w:r>
        <w:rPr>
          <w:rFonts w:cs="Arial"/>
          <w:spacing w:val="7"/>
          <w:lang w:val="es-CO"/>
        </w:rPr>
        <w:t xml:space="preserve"> </w:t>
      </w:r>
      <w:r>
        <w:rPr>
          <w:rFonts w:cs="Arial"/>
          <w:lang w:val="es-CO"/>
        </w:rPr>
        <w:t>financieros</w:t>
      </w:r>
      <w:r>
        <w:rPr>
          <w:rFonts w:cs="Arial"/>
          <w:spacing w:val="33"/>
          <w:lang w:val="es-CO"/>
        </w:rPr>
        <w:t xml:space="preserve"> </w:t>
      </w:r>
      <w:r>
        <w:rPr>
          <w:rFonts w:cs="Arial"/>
          <w:lang w:val="es-CO"/>
        </w:rPr>
        <w:t>e</w:t>
      </w:r>
      <w:r>
        <w:rPr>
          <w:rFonts w:cs="Arial"/>
          <w:spacing w:val="18"/>
          <w:lang w:val="es-CO"/>
        </w:rPr>
        <w:t xml:space="preserve"> </w:t>
      </w:r>
      <w:r>
        <w:rPr>
          <w:rFonts w:cs="Arial"/>
          <w:lang w:val="es-CO"/>
        </w:rPr>
        <w:t>informativa</w:t>
      </w:r>
      <w:r>
        <w:rPr>
          <w:rFonts w:cs="Arial"/>
          <w:w w:val="98"/>
          <w:lang w:val="es-CO"/>
        </w:rPr>
        <w:t xml:space="preserve"> </w:t>
      </w:r>
      <w:r>
        <w:rPr>
          <w:rFonts w:cs="Arial"/>
          <w:lang w:val="es-CO"/>
        </w:rPr>
        <w:t>de</w:t>
      </w:r>
      <w:r>
        <w:rPr>
          <w:rFonts w:cs="Arial"/>
          <w:spacing w:val="9"/>
          <w:lang w:val="es-CO"/>
        </w:rPr>
        <w:t xml:space="preserve"> </w:t>
      </w:r>
      <w:r>
        <w:rPr>
          <w:rFonts w:cs="Arial"/>
          <w:lang w:val="es-CO"/>
        </w:rPr>
        <w:t>precios</w:t>
      </w:r>
      <w:r>
        <w:rPr>
          <w:rFonts w:cs="Arial"/>
          <w:spacing w:val="2"/>
          <w:lang w:val="es-CO"/>
        </w:rPr>
        <w:t xml:space="preserve"> </w:t>
      </w:r>
      <w:r>
        <w:rPr>
          <w:rFonts w:cs="Arial"/>
          <w:lang w:val="es-CO"/>
        </w:rPr>
        <w:t>de</w:t>
      </w:r>
      <w:r>
        <w:rPr>
          <w:rFonts w:cs="Arial"/>
          <w:spacing w:val="-4"/>
          <w:lang w:val="es-CO"/>
        </w:rPr>
        <w:t xml:space="preserve"> </w:t>
      </w:r>
      <w:r>
        <w:rPr>
          <w:rFonts w:cs="Arial"/>
          <w:lang w:val="es-CO"/>
        </w:rPr>
        <w:t>transferencia,</w:t>
      </w:r>
      <w:r>
        <w:rPr>
          <w:rFonts w:cs="Arial"/>
          <w:spacing w:val="36"/>
          <w:lang w:val="es-CO"/>
        </w:rPr>
        <w:t xml:space="preserve"> </w:t>
      </w:r>
      <w:r>
        <w:rPr>
          <w:rFonts w:cs="Arial"/>
          <w:lang w:val="es-CO"/>
        </w:rPr>
        <w:t>deberán</w:t>
      </w:r>
      <w:r>
        <w:rPr>
          <w:rFonts w:cs="Arial"/>
          <w:spacing w:val="22"/>
          <w:lang w:val="es-CO"/>
        </w:rPr>
        <w:t xml:space="preserve"> </w:t>
      </w:r>
      <w:r>
        <w:rPr>
          <w:rFonts w:cs="Arial"/>
          <w:lang w:val="es-CO"/>
        </w:rPr>
        <w:t>presentarse</w:t>
      </w:r>
      <w:r>
        <w:rPr>
          <w:rFonts w:cs="Arial"/>
          <w:spacing w:val="7"/>
          <w:lang w:val="es-CO"/>
        </w:rPr>
        <w:t xml:space="preserve"> </w:t>
      </w:r>
      <w:r>
        <w:rPr>
          <w:rFonts w:cs="Arial"/>
          <w:lang w:val="es-CO"/>
        </w:rPr>
        <w:t>en</w:t>
      </w:r>
      <w:r>
        <w:rPr>
          <w:rFonts w:cs="Arial"/>
          <w:spacing w:val="4"/>
          <w:lang w:val="es-CO"/>
        </w:rPr>
        <w:t xml:space="preserve"> </w:t>
      </w:r>
      <w:r>
        <w:rPr>
          <w:rFonts w:cs="Arial"/>
          <w:lang w:val="es-CO"/>
        </w:rPr>
        <w:t>los</w:t>
      </w:r>
      <w:r>
        <w:rPr>
          <w:rFonts w:cs="Arial"/>
          <w:spacing w:val="-5"/>
          <w:lang w:val="es-CO"/>
        </w:rPr>
        <w:t xml:space="preserve"> </w:t>
      </w:r>
      <w:r>
        <w:rPr>
          <w:rFonts w:cs="Arial"/>
          <w:lang w:val="es-CO"/>
        </w:rPr>
        <w:t>formularios</w:t>
      </w:r>
      <w:r>
        <w:rPr>
          <w:rFonts w:cs="Arial"/>
          <w:spacing w:val="24"/>
          <w:lang w:val="es-CO"/>
        </w:rPr>
        <w:t xml:space="preserve"> </w:t>
      </w:r>
      <w:r>
        <w:rPr>
          <w:rFonts w:cs="Arial"/>
          <w:lang w:val="es-CO"/>
        </w:rPr>
        <w:t>oficiales</w:t>
      </w:r>
      <w:r>
        <w:rPr>
          <w:rFonts w:cs="Arial"/>
          <w:spacing w:val="4"/>
          <w:lang w:val="es-CO"/>
        </w:rPr>
        <w:t xml:space="preserve"> </w:t>
      </w:r>
      <w:r>
        <w:rPr>
          <w:rFonts w:cs="Arial"/>
          <w:lang w:val="es-CO"/>
        </w:rPr>
        <w:t>que</w:t>
      </w:r>
      <w:r>
        <w:rPr>
          <w:rFonts w:cs="Arial"/>
          <w:spacing w:val="7"/>
          <w:lang w:val="es-CO"/>
        </w:rPr>
        <w:t xml:space="preserve"> </w:t>
      </w:r>
      <w:r>
        <w:rPr>
          <w:rFonts w:cs="Arial"/>
          <w:lang w:val="es-CO"/>
        </w:rPr>
        <w:t>para tal</w:t>
      </w:r>
      <w:r>
        <w:rPr>
          <w:rFonts w:cs="Arial"/>
          <w:spacing w:val="2"/>
          <w:lang w:val="es-CO"/>
        </w:rPr>
        <w:t xml:space="preserve"> </w:t>
      </w:r>
      <w:r>
        <w:rPr>
          <w:rFonts w:cs="Arial"/>
          <w:lang w:val="es-CO"/>
        </w:rPr>
        <w:t>efecto</w:t>
      </w:r>
      <w:r>
        <w:rPr>
          <w:rFonts w:cs="Arial"/>
          <w:spacing w:val="10"/>
          <w:lang w:val="es-CO"/>
        </w:rPr>
        <w:t xml:space="preserve"> </w:t>
      </w:r>
      <w:r>
        <w:rPr>
          <w:rFonts w:cs="Arial"/>
          <w:lang w:val="es-CO"/>
        </w:rPr>
        <w:t>señale</w:t>
      </w:r>
      <w:r>
        <w:rPr>
          <w:rFonts w:cs="Arial"/>
          <w:spacing w:val="17"/>
          <w:lang w:val="es-CO"/>
        </w:rPr>
        <w:t xml:space="preserve"> </w:t>
      </w:r>
      <w:r>
        <w:rPr>
          <w:rFonts w:cs="Arial"/>
          <w:lang w:val="es-CO"/>
        </w:rPr>
        <w:t>la</w:t>
      </w:r>
      <w:r>
        <w:rPr>
          <w:rFonts w:cs="Arial"/>
          <w:spacing w:val="9"/>
          <w:lang w:val="es-CO"/>
        </w:rPr>
        <w:t xml:space="preserve"> </w:t>
      </w:r>
      <w:r>
        <w:rPr>
          <w:rFonts w:cs="Arial"/>
          <w:lang w:val="es-CO"/>
        </w:rPr>
        <w:t>Unidad</w:t>
      </w:r>
      <w:r>
        <w:rPr>
          <w:rFonts w:cs="Arial"/>
          <w:spacing w:val="-6"/>
          <w:lang w:val="es-CO"/>
        </w:rPr>
        <w:t xml:space="preserve"> </w:t>
      </w:r>
      <w:r>
        <w:rPr>
          <w:rFonts w:cs="Arial"/>
          <w:lang w:val="es-CO"/>
        </w:rPr>
        <w:t>Administrativa</w:t>
      </w:r>
      <w:r>
        <w:rPr>
          <w:rFonts w:cs="Arial"/>
          <w:spacing w:val="57"/>
          <w:lang w:val="es-CO"/>
        </w:rPr>
        <w:t xml:space="preserve"> </w:t>
      </w:r>
      <w:r>
        <w:rPr>
          <w:rFonts w:cs="Arial"/>
          <w:lang w:val="es-CO"/>
        </w:rPr>
        <w:t>Especial</w:t>
      </w:r>
      <w:r>
        <w:rPr>
          <w:rFonts w:cs="Arial"/>
          <w:spacing w:val="1"/>
          <w:lang w:val="es-CO"/>
        </w:rPr>
        <w:t xml:space="preserve"> </w:t>
      </w:r>
      <w:r>
        <w:rPr>
          <w:rFonts w:cs="Arial"/>
          <w:lang w:val="es-CO"/>
        </w:rPr>
        <w:t>Dirección</w:t>
      </w:r>
      <w:r>
        <w:rPr>
          <w:rFonts w:cs="Arial"/>
          <w:spacing w:val="2"/>
          <w:lang w:val="es-CO"/>
        </w:rPr>
        <w:t xml:space="preserve"> </w:t>
      </w:r>
      <w:r>
        <w:rPr>
          <w:rFonts w:cs="Arial"/>
          <w:lang w:val="es-CO"/>
        </w:rPr>
        <w:t>de</w:t>
      </w:r>
      <w:r>
        <w:rPr>
          <w:rFonts w:cs="Arial"/>
          <w:spacing w:val="6"/>
          <w:lang w:val="es-CO"/>
        </w:rPr>
        <w:t xml:space="preserve"> </w:t>
      </w:r>
      <w:r>
        <w:rPr>
          <w:rFonts w:cs="Arial"/>
          <w:lang w:val="es-CO"/>
        </w:rPr>
        <w:t>Impuestos</w:t>
      </w:r>
      <w:r>
        <w:rPr>
          <w:rFonts w:cs="Arial"/>
          <w:spacing w:val="-4"/>
          <w:lang w:val="es-CO"/>
        </w:rPr>
        <w:t xml:space="preserve"> </w:t>
      </w:r>
      <w:r>
        <w:rPr>
          <w:rFonts w:cs="Arial"/>
          <w:lang w:val="es-CO"/>
        </w:rPr>
        <w:t>y</w:t>
      </w:r>
      <w:r>
        <w:rPr>
          <w:rFonts w:cs="Arial"/>
          <w:spacing w:val="-13"/>
          <w:lang w:val="es-CO"/>
        </w:rPr>
        <w:t xml:space="preserve"> </w:t>
      </w:r>
      <w:r>
        <w:rPr>
          <w:rFonts w:cs="Arial"/>
          <w:lang w:val="es-CO"/>
        </w:rPr>
        <w:t>Aduanas Nacionales-</w:t>
      </w:r>
      <w:r>
        <w:rPr>
          <w:rFonts w:cs="Arial"/>
          <w:spacing w:val="1"/>
          <w:lang w:val="es-CO"/>
        </w:rPr>
        <w:t xml:space="preserve"> </w:t>
      </w:r>
      <w:r>
        <w:rPr>
          <w:rFonts w:cs="Arial"/>
          <w:lang w:val="es-CO"/>
        </w:rPr>
        <w:t>DIAN,</w:t>
      </w:r>
      <w:r>
        <w:rPr>
          <w:rFonts w:cs="Arial"/>
          <w:spacing w:val="1"/>
          <w:lang w:val="es-CO"/>
        </w:rPr>
        <w:t xml:space="preserve"> </w:t>
      </w:r>
      <w:r>
        <w:rPr>
          <w:rFonts w:cs="Arial"/>
          <w:lang w:val="es-CO"/>
        </w:rPr>
        <w:t>a</w:t>
      </w:r>
      <w:r>
        <w:rPr>
          <w:rFonts w:cs="Arial"/>
          <w:spacing w:val="-17"/>
          <w:lang w:val="es-CO"/>
        </w:rPr>
        <w:t xml:space="preserve"> </w:t>
      </w:r>
      <w:r>
        <w:rPr>
          <w:rFonts w:cs="Arial"/>
          <w:lang w:val="es-CO"/>
        </w:rPr>
        <w:t>través</w:t>
      </w:r>
      <w:r>
        <w:rPr>
          <w:rFonts w:cs="Arial"/>
          <w:spacing w:val="5"/>
          <w:lang w:val="es-CO"/>
        </w:rPr>
        <w:t xml:space="preserve"> </w:t>
      </w:r>
      <w:r>
        <w:rPr>
          <w:rFonts w:cs="Arial"/>
          <w:lang w:val="es-CO"/>
        </w:rPr>
        <w:t>de</w:t>
      </w:r>
      <w:r>
        <w:rPr>
          <w:rFonts w:cs="Arial"/>
          <w:spacing w:val="-1"/>
          <w:lang w:val="es-CO"/>
        </w:rPr>
        <w:t xml:space="preserve"> </w:t>
      </w:r>
      <w:r>
        <w:rPr>
          <w:rFonts w:cs="Arial"/>
          <w:lang w:val="es-CO"/>
        </w:rPr>
        <w:t>los</w:t>
      </w:r>
      <w:r>
        <w:rPr>
          <w:rFonts w:cs="Arial"/>
          <w:spacing w:val="-9"/>
          <w:lang w:val="es-CO"/>
        </w:rPr>
        <w:t xml:space="preserve"> </w:t>
      </w:r>
      <w:r>
        <w:rPr>
          <w:rFonts w:cs="Arial"/>
          <w:lang w:val="es-CO"/>
        </w:rPr>
        <w:t>servicios</w:t>
      </w:r>
      <w:r>
        <w:rPr>
          <w:rFonts w:cs="Arial"/>
          <w:spacing w:val="20"/>
          <w:lang w:val="es-CO"/>
        </w:rPr>
        <w:t xml:space="preserve"> </w:t>
      </w:r>
      <w:r>
        <w:rPr>
          <w:rFonts w:cs="Arial"/>
          <w:lang w:val="es-CO"/>
        </w:rPr>
        <w:t>informáticos</w:t>
      </w:r>
      <w:r>
        <w:rPr>
          <w:rFonts w:cs="Arial"/>
          <w:spacing w:val="11"/>
          <w:lang w:val="es-CO"/>
        </w:rPr>
        <w:t xml:space="preserve"> </w:t>
      </w:r>
      <w:r>
        <w:rPr>
          <w:rFonts w:cs="Arial"/>
          <w:lang w:val="es-CO"/>
        </w:rPr>
        <w:t>electrónicos</w:t>
      </w:r>
      <w:r>
        <w:rPr>
          <w:rFonts w:cs="Arial"/>
          <w:spacing w:val="12"/>
          <w:lang w:val="es-CO"/>
        </w:rPr>
        <w:t xml:space="preserve"> </w:t>
      </w:r>
      <w:r>
        <w:rPr>
          <w:rFonts w:cs="Arial"/>
          <w:lang w:val="es-CO"/>
        </w:rPr>
        <w:t>o</w:t>
      </w:r>
      <w:r>
        <w:rPr>
          <w:rFonts w:cs="Arial"/>
          <w:spacing w:val="-11"/>
          <w:lang w:val="es-CO"/>
        </w:rPr>
        <w:t xml:space="preserve"> </w:t>
      </w:r>
      <w:r>
        <w:rPr>
          <w:rFonts w:cs="Arial"/>
          <w:lang w:val="es-CO"/>
        </w:rPr>
        <w:t>documentales.</w:t>
      </w:r>
    </w:p>
    <w:p w14:paraId="23C7BF5C" w14:textId="77777777" w:rsidR="00B2442D" w:rsidRDefault="00B2442D">
      <w:pPr>
        <w:spacing w:line="40" w:lineRule="atLeast"/>
        <w:ind w:right="-30"/>
        <w:jc w:val="both"/>
        <w:rPr>
          <w:rFonts w:ascii="Arial" w:hAnsi="Arial" w:cs="Arial"/>
          <w:lang w:val="es-CO"/>
        </w:rPr>
      </w:pPr>
    </w:p>
    <w:p w14:paraId="4104F1E1" w14:textId="77777777" w:rsidR="00B2442D" w:rsidRDefault="008A645F">
      <w:pPr>
        <w:pStyle w:val="Textoindependiente"/>
        <w:spacing w:line="40" w:lineRule="atLeast"/>
        <w:ind w:right="-30"/>
        <w:jc w:val="both"/>
        <w:rPr>
          <w:rFonts w:cs="Arial"/>
          <w:lang w:val="es-CO"/>
        </w:rPr>
      </w:pPr>
      <w:r>
        <w:rPr>
          <w:rFonts w:cs="Arial"/>
          <w:lang w:val="es-CO"/>
        </w:rPr>
        <w:t>Estas</w:t>
      </w:r>
      <w:r>
        <w:rPr>
          <w:rFonts w:cs="Arial"/>
          <w:spacing w:val="16"/>
          <w:lang w:val="es-CO"/>
        </w:rPr>
        <w:t xml:space="preserve"> </w:t>
      </w:r>
      <w:r>
        <w:rPr>
          <w:rFonts w:cs="Arial"/>
          <w:lang w:val="es-CO"/>
        </w:rPr>
        <w:t>declaraciones</w:t>
      </w:r>
      <w:r>
        <w:rPr>
          <w:rFonts w:cs="Arial"/>
          <w:spacing w:val="50"/>
          <w:lang w:val="es-CO"/>
        </w:rPr>
        <w:t xml:space="preserve"> </w:t>
      </w:r>
      <w:r>
        <w:rPr>
          <w:rFonts w:cs="Arial"/>
          <w:lang w:val="es-CO"/>
        </w:rPr>
        <w:t>deberán</w:t>
      </w:r>
      <w:r>
        <w:rPr>
          <w:rFonts w:cs="Arial"/>
          <w:spacing w:val="38"/>
          <w:lang w:val="es-CO"/>
        </w:rPr>
        <w:t xml:space="preserve"> </w:t>
      </w:r>
      <w:r>
        <w:rPr>
          <w:rFonts w:cs="Arial"/>
          <w:lang w:val="es-CO"/>
        </w:rPr>
        <w:t>contener</w:t>
      </w:r>
      <w:r>
        <w:rPr>
          <w:rFonts w:cs="Arial"/>
          <w:spacing w:val="48"/>
          <w:lang w:val="es-CO"/>
        </w:rPr>
        <w:t xml:space="preserve"> </w:t>
      </w:r>
      <w:r>
        <w:rPr>
          <w:rFonts w:cs="Arial"/>
          <w:lang w:val="es-CO"/>
        </w:rPr>
        <w:t>las</w:t>
      </w:r>
      <w:r>
        <w:rPr>
          <w:rFonts w:cs="Arial"/>
          <w:spacing w:val="20"/>
          <w:lang w:val="es-CO"/>
        </w:rPr>
        <w:t xml:space="preserve"> </w:t>
      </w:r>
      <w:r>
        <w:rPr>
          <w:rFonts w:cs="Arial"/>
          <w:lang w:val="es-CO"/>
        </w:rPr>
        <w:t>informaciones</w:t>
      </w:r>
      <w:r>
        <w:rPr>
          <w:rFonts w:cs="Arial"/>
          <w:spacing w:val="37"/>
          <w:lang w:val="es-CO"/>
        </w:rPr>
        <w:t xml:space="preserve"> </w:t>
      </w:r>
      <w:r>
        <w:rPr>
          <w:rFonts w:cs="Arial"/>
          <w:lang w:val="es-CO"/>
        </w:rPr>
        <w:t>a</w:t>
      </w:r>
      <w:r>
        <w:rPr>
          <w:rFonts w:cs="Arial"/>
          <w:spacing w:val="17"/>
          <w:lang w:val="es-CO"/>
        </w:rPr>
        <w:t xml:space="preserve"> </w:t>
      </w:r>
      <w:r>
        <w:rPr>
          <w:rFonts w:cs="Arial"/>
          <w:lang w:val="es-CO"/>
        </w:rPr>
        <w:t>que</w:t>
      </w:r>
      <w:r>
        <w:rPr>
          <w:rFonts w:cs="Arial"/>
          <w:spacing w:val="22"/>
          <w:lang w:val="es-CO"/>
        </w:rPr>
        <w:t xml:space="preserve"> </w:t>
      </w:r>
      <w:r>
        <w:rPr>
          <w:rFonts w:cs="Arial"/>
          <w:lang w:val="es-CO"/>
        </w:rPr>
        <w:t>se</w:t>
      </w:r>
      <w:r>
        <w:rPr>
          <w:rFonts w:cs="Arial"/>
          <w:spacing w:val="31"/>
          <w:lang w:val="es-CO"/>
        </w:rPr>
        <w:t xml:space="preserve"> </w:t>
      </w:r>
      <w:r>
        <w:rPr>
          <w:rFonts w:cs="Arial"/>
          <w:lang w:val="es-CO"/>
        </w:rPr>
        <w:t>refieren</w:t>
      </w:r>
      <w:r>
        <w:rPr>
          <w:rFonts w:cs="Arial"/>
          <w:spacing w:val="33"/>
          <w:lang w:val="es-CO"/>
        </w:rPr>
        <w:t xml:space="preserve"> </w:t>
      </w:r>
      <w:r>
        <w:rPr>
          <w:rFonts w:cs="Arial"/>
          <w:lang w:val="es-CO"/>
        </w:rPr>
        <w:t xml:space="preserve">los artículos </w:t>
      </w:r>
      <w:r>
        <w:rPr>
          <w:rFonts w:cs="Arial"/>
          <w:spacing w:val="16"/>
          <w:lang w:val="es-CO"/>
        </w:rPr>
        <w:t xml:space="preserve"> </w:t>
      </w:r>
      <w:r>
        <w:rPr>
          <w:rFonts w:cs="Arial"/>
          <w:lang w:val="es-CO"/>
        </w:rPr>
        <w:t xml:space="preserve">260-9, </w:t>
      </w:r>
      <w:r>
        <w:rPr>
          <w:rFonts w:cs="Arial"/>
          <w:spacing w:val="8"/>
          <w:lang w:val="es-CO"/>
        </w:rPr>
        <w:t xml:space="preserve"> </w:t>
      </w:r>
      <w:r>
        <w:rPr>
          <w:rFonts w:cs="Arial"/>
          <w:lang w:val="es-CO"/>
        </w:rPr>
        <w:t xml:space="preserve">298-1, </w:t>
      </w:r>
      <w:r>
        <w:rPr>
          <w:rFonts w:cs="Arial"/>
          <w:spacing w:val="20"/>
          <w:lang w:val="es-CO"/>
        </w:rPr>
        <w:t xml:space="preserve"> </w:t>
      </w:r>
      <w:r>
        <w:rPr>
          <w:rFonts w:cs="Arial"/>
          <w:lang w:val="es-CO"/>
        </w:rPr>
        <w:t xml:space="preserve">512-6, </w:t>
      </w:r>
      <w:r>
        <w:rPr>
          <w:rFonts w:cs="Arial"/>
          <w:spacing w:val="20"/>
          <w:lang w:val="es-CO"/>
        </w:rPr>
        <w:t xml:space="preserve"> </w:t>
      </w:r>
      <w:r>
        <w:rPr>
          <w:rFonts w:cs="Arial"/>
          <w:lang w:val="es-CO"/>
        </w:rPr>
        <w:t xml:space="preserve">596, </w:t>
      </w:r>
      <w:r>
        <w:rPr>
          <w:rFonts w:cs="Arial"/>
          <w:spacing w:val="8"/>
          <w:lang w:val="es-CO"/>
        </w:rPr>
        <w:t xml:space="preserve"> </w:t>
      </w:r>
      <w:r>
        <w:rPr>
          <w:rFonts w:cs="Arial"/>
          <w:lang w:val="es-CO"/>
        </w:rPr>
        <w:t xml:space="preserve">599, </w:t>
      </w:r>
      <w:r>
        <w:rPr>
          <w:rFonts w:cs="Arial"/>
          <w:spacing w:val="4"/>
          <w:lang w:val="es-CO"/>
        </w:rPr>
        <w:t xml:space="preserve"> </w:t>
      </w:r>
      <w:r>
        <w:rPr>
          <w:rFonts w:cs="Arial"/>
          <w:lang w:val="es-CO"/>
        </w:rPr>
        <w:t>602,</w:t>
      </w:r>
      <w:r>
        <w:rPr>
          <w:rFonts w:cs="Arial"/>
          <w:spacing w:val="65"/>
          <w:lang w:val="es-CO"/>
        </w:rPr>
        <w:t xml:space="preserve"> </w:t>
      </w:r>
      <w:r>
        <w:rPr>
          <w:rFonts w:cs="Arial"/>
          <w:lang w:val="es-CO"/>
        </w:rPr>
        <w:t xml:space="preserve">603, </w:t>
      </w:r>
      <w:r>
        <w:rPr>
          <w:rFonts w:cs="Arial"/>
          <w:spacing w:val="4"/>
          <w:lang w:val="es-CO"/>
        </w:rPr>
        <w:t xml:space="preserve"> </w:t>
      </w:r>
      <w:r>
        <w:rPr>
          <w:rFonts w:cs="Arial"/>
          <w:lang w:val="es-CO"/>
        </w:rPr>
        <w:t xml:space="preserve">606, </w:t>
      </w:r>
      <w:r>
        <w:rPr>
          <w:rFonts w:cs="Arial"/>
          <w:spacing w:val="4"/>
          <w:lang w:val="es-CO"/>
        </w:rPr>
        <w:t xml:space="preserve"> </w:t>
      </w:r>
      <w:r>
        <w:rPr>
          <w:rFonts w:cs="Arial"/>
          <w:lang w:val="es-CO"/>
        </w:rPr>
        <w:t xml:space="preserve">607 </w:t>
      </w:r>
      <w:r>
        <w:rPr>
          <w:rFonts w:cs="Arial"/>
          <w:spacing w:val="3"/>
          <w:lang w:val="es-CO"/>
        </w:rPr>
        <w:t xml:space="preserve"> </w:t>
      </w:r>
      <w:r>
        <w:rPr>
          <w:rFonts w:cs="Arial"/>
          <w:lang w:val="es-CO"/>
        </w:rPr>
        <w:t xml:space="preserve">y </w:t>
      </w:r>
      <w:r>
        <w:rPr>
          <w:rFonts w:cs="Arial"/>
          <w:spacing w:val="10"/>
          <w:lang w:val="es-CO"/>
        </w:rPr>
        <w:t xml:space="preserve"> </w:t>
      </w:r>
      <w:r>
        <w:rPr>
          <w:rFonts w:cs="Arial"/>
          <w:lang w:val="es-CO"/>
        </w:rPr>
        <w:t>877</w:t>
      </w:r>
      <w:r>
        <w:rPr>
          <w:rFonts w:cs="Arial"/>
          <w:spacing w:val="65"/>
          <w:lang w:val="es-CO"/>
        </w:rPr>
        <w:t xml:space="preserve"> </w:t>
      </w:r>
      <w:r>
        <w:rPr>
          <w:rFonts w:cs="Arial"/>
          <w:lang w:val="es-CO"/>
        </w:rPr>
        <w:t xml:space="preserve">del </w:t>
      </w:r>
      <w:r>
        <w:rPr>
          <w:rFonts w:cs="Arial"/>
          <w:spacing w:val="3"/>
          <w:lang w:val="es-CO"/>
        </w:rPr>
        <w:t xml:space="preserve"> </w:t>
      </w:r>
      <w:r>
        <w:rPr>
          <w:rFonts w:cs="Arial"/>
          <w:lang w:val="es-CO"/>
        </w:rPr>
        <w:t>Estatuto Tributario,</w:t>
      </w:r>
      <w:r>
        <w:rPr>
          <w:rFonts w:cs="Arial"/>
          <w:spacing w:val="18"/>
          <w:lang w:val="es-CO"/>
        </w:rPr>
        <w:t xml:space="preserve"> </w:t>
      </w:r>
      <w:r>
        <w:rPr>
          <w:rFonts w:cs="Arial"/>
          <w:lang w:val="es-CO"/>
        </w:rPr>
        <w:t>27</w:t>
      </w:r>
      <w:r>
        <w:rPr>
          <w:rFonts w:cs="Arial"/>
          <w:spacing w:val="-2"/>
          <w:lang w:val="es-CO"/>
        </w:rPr>
        <w:t xml:space="preserve"> </w:t>
      </w:r>
      <w:r>
        <w:rPr>
          <w:rFonts w:cs="Arial"/>
          <w:lang w:val="es-CO"/>
        </w:rPr>
        <w:t>y</w:t>
      </w:r>
      <w:r>
        <w:rPr>
          <w:rFonts w:cs="Arial"/>
          <w:spacing w:val="27"/>
          <w:lang w:val="es-CO"/>
        </w:rPr>
        <w:t xml:space="preserve"> </w:t>
      </w:r>
      <w:r>
        <w:rPr>
          <w:rFonts w:cs="Arial"/>
          <w:lang w:val="es-CO"/>
        </w:rPr>
        <w:t>170</w:t>
      </w:r>
      <w:r>
        <w:rPr>
          <w:rFonts w:cs="Arial"/>
          <w:spacing w:val="-15"/>
          <w:lang w:val="es-CO"/>
        </w:rPr>
        <w:t xml:space="preserve"> </w:t>
      </w:r>
      <w:r>
        <w:rPr>
          <w:rFonts w:cs="Arial"/>
          <w:lang w:val="es-CO"/>
        </w:rPr>
        <w:t>de</w:t>
      </w:r>
      <w:r>
        <w:rPr>
          <w:rFonts w:cs="Arial"/>
          <w:spacing w:val="7"/>
          <w:lang w:val="es-CO"/>
        </w:rPr>
        <w:t xml:space="preserve"> </w:t>
      </w:r>
      <w:r>
        <w:rPr>
          <w:rFonts w:cs="Arial"/>
          <w:lang w:val="es-CO"/>
        </w:rPr>
        <w:t>la</w:t>
      </w:r>
      <w:r>
        <w:rPr>
          <w:rFonts w:cs="Arial"/>
          <w:spacing w:val="9"/>
          <w:lang w:val="es-CO"/>
        </w:rPr>
        <w:t xml:space="preserve"> </w:t>
      </w:r>
      <w:r>
        <w:rPr>
          <w:rFonts w:cs="Arial"/>
          <w:lang w:val="es-CO"/>
        </w:rPr>
        <w:t>Ley</w:t>
      </w:r>
      <w:r>
        <w:rPr>
          <w:rFonts w:cs="Arial"/>
          <w:spacing w:val="12"/>
          <w:lang w:val="es-CO"/>
        </w:rPr>
        <w:t xml:space="preserve"> </w:t>
      </w:r>
      <w:r>
        <w:rPr>
          <w:rFonts w:cs="Arial"/>
          <w:lang w:val="es-CO"/>
        </w:rPr>
        <w:t>1607</w:t>
      </w:r>
      <w:r>
        <w:rPr>
          <w:rFonts w:cs="Arial"/>
          <w:spacing w:val="-14"/>
          <w:lang w:val="es-CO"/>
        </w:rPr>
        <w:t xml:space="preserve"> </w:t>
      </w:r>
      <w:r>
        <w:rPr>
          <w:rFonts w:cs="Arial"/>
          <w:lang w:val="es-CO"/>
        </w:rPr>
        <w:t>de</w:t>
      </w:r>
      <w:r>
        <w:rPr>
          <w:rFonts w:cs="Arial"/>
          <w:spacing w:val="-12"/>
          <w:lang w:val="es-CO"/>
        </w:rPr>
        <w:t xml:space="preserve"> </w:t>
      </w:r>
      <w:r>
        <w:rPr>
          <w:rFonts w:cs="Arial"/>
          <w:lang w:val="es-CO"/>
        </w:rPr>
        <w:t>2012</w:t>
      </w:r>
      <w:r>
        <w:rPr>
          <w:rFonts w:cs="Arial"/>
          <w:spacing w:val="6"/>
          <w:lang w:val="es-CO"/>
        </w:rPr>
        <w:t xml:space="preserve"> </w:t>
      </w:r>
      <w:r>
        <w:rPr>
          <w:rFonts w:cs="Arial"/>
          <w:lang w:val="es-CO"/>
        </w:rPr>
        <w:t>y</w:t>
      </w:r>
      <w:r>
        <w:rPr>
          <w:rFonts w:cs="Arial"/>
          <w:spacing w:val="7"/>
          <w:lang w:val="es-CO"/>
        </w:rPr>
        <w:t xml:space="preserve"> </w:t>
      </w:r>
      <w:r>
        <w:rPr>
          <w:rFonts w:cs="Arial"/>
          <w:lang w:val="es-CO"/>
        </w:rPr>
        <w:t>artículo</w:t>
      </w:r>
      <w:r>
        <w:rPr>
          <w:rFonts w:cs="Arial"/>
          <w:spacing w:val="17"/>
          <w:lang w:val="es-CO"/>
        </w:rPr>
        <w:t xml:space="preserve"> </w:t>
      </w:r>
      <w:r>
        <w:rPr>
          <w:rFonts w:cs="Arial"/>
          <w:lang w:val="es-CO"/>
        </w:rPr>
        <w:t>51</w:t>
      </w:r>
      <w:r>
        <w:rPr>
          <w:rFonts w:cs="Arial"/>
          <w:spacing w:val="-7"/>
          <w:lang w:val="es-CO"/>
        </w:rPr>
        <w:t xml:space="preserve"> </w:t>
      </w:r>
      <w:r>
        <w:rPr>
          <w:rFonts w:cs="Arial"/>
          <w:lang w:val="es-CO"/>
        </w:rPr>
        <w:t>de</w:t>
      </w:r>
      <w:r>
        <w:rPr>
          <w:rFonts w:cs="Arial"/>
          <w:spacing w:val="7"/>
          <w:lang w:val="es-CO"/>
        </w:rPr>
        <w:t xml:space="preserve"> </w:t>
      </w:r>
      <w:r>
        <w:rPr>
          <w:rFonts w:cs="Arial"/>
          <w:lang w:val="es-CO"/>
        </w:rPr>
        <w:t>la</w:t>
      </w:r>
      <w:r>
        <w:rPr>
          <w:rFonts w:cs="Arial"/>
          <w:spacing w:val="2"/>
          <w:lang w:val="es-CO"/>
        </w:rPr>
        <w:t xml:space="preserve"> </w:t>
      </w:r>
      <w:r>
        <w:rPr>
          <w:rFonts w:cs="Arial"/>
          <w:lang w:val="es-CO"/>
        </w:rPr>
        <w:t>Ley</w:t>
      </w:r>
      <w:r>
        <w:rPr>
          <w:rFonts w:cs="Arial"/>
          <w:spacing w:val="13"/>
          <w:lang w:val="es-CO"/>
        </w:rPr>
        <w:t xml:space="preserve"> </w:t>
      </w:r>
      <w:r>
        <w:rPr>
          <w:rFonts w:cs="Arial"/>
          <w:lang w:val="es-CO"/>
        </w:rPr>
        <w:t>1739</w:t>
      </w:r>
      <w:r>
        <w:rPr>
          <w:rFonts w:cs="Arial"/>
          <w:spacing w:val="-15"/>
          <w:lang w:val="es-CO"/>
        </w:rPr>
        <w:t xml:space="preserve"> </w:t>
      </w:r>
      <w:r>
        <w:rPr>
          <w:rFonts w:cs="Arial"/>
          <w:lang w:val="es-CO"/>
        </w:rPr>
        <w:t>de 2014.</w:t>
      </w:r>
    </w:p>
    <w:p w14:paraId="75C02D2F" w14:textId="77777777" w:rsidR="00B2442D" w:rsidRDefault="00B2442D">
      <w:pPr>
        <w:spacing w:line="40" w:lineRule="atLeast"/>
        <w:ind w:right="-30"/>
        <w:jc w:val="both"/>
        <w:rPr>
          <w:rFonts w:ascii="Arial" w:hAnsi="Arial" w:cs="Arial"/>
          <w:lang w:val="es-CO"/>
        </w:rPr>
      </w:pPr>
    </w:p>
    <w:p w14:paraId="68926C37"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spacing w:val="51"/>
          <w:lang w:val="es-CO"/>
        </w:rPr>
        <w:t xml:space="preserve"> </w:t>
      </w:r>
      <w:r>
        <w:rPr>
          <w:rFonts w:cs="Arial"/>
          <w:lang w:val="es-CO"/>
        </w:rPr>
        <w:t>Las</w:t>
      </w:r>
      <w:r>
        <w:rPr>
          <w:rFonts w:cs="Arial"/>
          <w:spacing w:val="41"/>
          <w:lang w:val="es-CO"/>
        </w:rPr>
        <w:t xml:space="preserve"> </w:t>
      </w:r>
      <w:r>
        <w:rPr>
          <w:rFonts w:cs="Arial"/>
          <w:lang w:val="es-CO"/>
        </w:rPr>
        <w:t>declaraciones</w:t>
      </w:r>
      <w:r>
        <w:rPr>
          <w:rFonts w:cs="Arial"/>
          <w:spacing w:val="11"/>
          <w:lang w:val="es-CO"/>
        </w:rPr>
        <w:t xml:space="preserve"> </w:t>
      </w:r>
      <w:r>
        <w:rPr>
          <w:rFonts w:cs="Arial"/>
          <w:lang w:val="es-CO"/>
        </w:rPr>
        <w:t>del</w:t>
      </w:r>
      <w:r>
        <w:rPr>
          <w:rFonts w:cs="Arial"/>
          <w:spacing w:val="45"/>
          <w:lang w:val="es-CO"/>
        </w:rPr>
        <w:t xml:space="preserve"> </w:t>
      </w:r>
      <w:r>
        <w:rPr>
          <w:rFonts w:cs="Arial"/>
          <w:lang w:val="es-CO"/>
        </w:rPr>
        <w:t>impuesto</w:t>
      </w:r>
      <w:r>
        <w:rPr>
          <w:rFonts w:cs="Arial"/>
          <w:spacing w:val="60"/>
          <w:lang w:val="es-CO"/>
        </w:rPr>
        <w:t xml:space="preserve"> </w:t>
      </w:r>
      <w:r>
        <w:rPr>
          <w:rFonts w:cs="Arial"/>
          <w:lang w:val="es-CO"/>
        </w:rPr>
        <w:t>sobre</w:t>
      </w:r>
      <w:r>
        <w:rPr>
          <w:rFonts w:cs="Arial"/>
          <w:spacing w:val="61"/>
          <w:lang w:val="es-CO"/>
        </w:rPr>
        <w:t xml:space="preserve"> </w:t>
      </w:r>
      <w:r>
        <w:rPr>
          <w:rFonts w:cs="Arial"/>
          <w:lang w:val="es-CO"/>
        </w:rPr>
        <w:t>la</w:t>
      </w:r>
      <w:r>
        <w:rPr>
          <w:rFonts w:cs="Arial"/>
          <w:spacing w:val="57"/>
          <w:lang w:val="es-CO"/>
        </w:rPr>
        <w:t xml:space="preserve"> </w:t>
      </w:r>
      <w:r>
        <w:rPr>
          <w:rFonts w:cs="Arial"/>
          <w:lang w:val="es-CO"/>
        </w:rPr>
        <w:t>renta</w:t>
      </w:r>
      <w:r>
        <w:rPr>
          <w:rFonts w:cs="Arial"/>
          <w:spacing w:val="49"/>
          <w:lang w:val="es-CO"/>
        </w:rPr>
        <w:t xml:space="preserve"> </w:t>
      </w:r>
      <w:r>
        <w:rPr>
          <w:rFonts w:cs="Arial"/>
          <w:lang w:val="es-CO"/>
        </w:rPr>
        <w:t>y</w:t>
      </w:r>
      <w:r>
        <w:rPr>
          <w:rFonts w:cs="Arial"/>
          <w:spacing w:val="52"/>
          <w:lang w:val="es-CO"/>
        </w:rPr>
        <w:t xml:space="preserve"> </w:t>
      </w:r>
      <w:r>
        <w:rPr>
          <w:rFonts w:cs="Arial"/>
          <w:lang w:val="es-CO"/>
        </w:rPr>
        <w:t>complementario,</w:t>
      </w:r>
      <w:r>
        <w:rPr>
          <w:rFonts w:cs="Arial"/>
          <w:w w:val="98"/>
          <w:lang w:val="es-CO"/>
        </w:rPr>
        <w:t xml:space="preserve"> </w:t>
      </w:r>
      <w:r>
        <w:rPr>
          <w:rFonts w:cs="Arial"/>
          <w:lang w:val="es-CO"/>
        </w:rPr>
        <w:t>impuesto</w:t>
      </w:r>
      <w:r>
        <w:rPr>
          <w:rFonts w:cs="Arial"/>
          <w:spacing w:val="14"/>
          <w:lang w:val="es-CO"/>
        </w:rPr>
        <w:t xml:space="preserve"> </w:t>
      </w:r>
      <w:r>
        <w:rPr>
          <w:rFonts w:cs="Arial"/>
          <w:lang w:val="es-CO"/>
        </w:rPr>
        <w:t>sobre</w:t>
      </w:r>
      <w:r>
        <w:rPr>
          <w:rFonts w:cs="Arial"/>
          <w:spacing w:val="23"/>
          <w:lang w:val="es-CO"/>
        </w:rPr>
        <w:t xml:space="preserve"> </w:t>
      </w:r>
      <w:r>
        <w:rPr>
          <w:rFonts w:cs="Arial"/>
          <w:lang w:val="es-CO"/>
        </w:rPr>
        <w:t>la</w:t>
      </w:r>
      <w:r>
        <w:rPr>
          <w:rFonts w:cs="Arial"/>
          <w:spacing w:val="18"/>
          <w:lang w:val="es-CO"/>
        </w:rPr>
        <w:t xml:space="preserve"> </w:t>
      </w:r>
      <w:r>
        <w:rPr>
          <w:rFonts w:cs="Arial"/>
          <w:lang w:val="es-CO"/>
        </w:rPr>
        <w:t>renta</w:t>
      </w:r>
      <w:r>
        <w:rPr>
          <w:rFonts w:cs="Arial"/>
          <w:spacing w:val="14"/>
          <w:lang w:val="es-CO"/>
        </w:rPr>
        <w:t xml:space="preserve"> </w:t>
      </w:r>
      <w:r>
        <w:rPr>
          <w:rFonts w:cs="Arial"/>
          <w:lang w:val="es-CO"/>
        </w:rPr>
        <w:t>para</w:t>
      </w:r>
      <w:r>
        <w:rPr>
          <w:rFonts w:cs="Arial"/>
          <w:spacing w:val="17"/>
          <w:lang w:val="es-CO"/>
        </w:rPr>
        <w:t xml:space="preserve"> </w:t>
      </w:r>
      <w:r>
        <w:rPr>
          <w:rFonts w:cs="Arial"/>
          <w:lang w:val="es-CO"/>
        </w:rPr>
        <w:t>la</w:t>
      </w:r>
      <w:r>
        <w:rPr>
          <w:rFonts w:cs="Arial"/>
          <w:spacing w:val="6"/>
          <w:lang w:val="es-CO"/>
        </w:rPr>
        <w:t xml:space="preserve"> </w:t>
      </w:r>
      <w:r>
        <w:rPr>
          <w:rFonts w:cs="Arial"/>
          <w:lang w:val="es-CO"/>
        </w:rPr>
        <w:t>equidad</w:t>
      </w:r>
      <w:r>
        <w:rPr>
          <w:rFonts w:cs="Arial"/>
          <w:spacing w:val="27"/>
          <w:lang w:val="es-CO"/>
        </w:rPr>
        <w:t xml:space="preserve"> </w:t>
      </w:r>
      <w:r>
        <w:rPr>
          <w:rFonts w:cs="Arial"/>
          <w:lang w:val="es-CO"/>
        </w:rPr>
        <w:t>CREE,</w:t>
      </w:r>
      <w:r>
        <w:rPr>
          <w:rFonts w:cs="Arial"/>
          <w:spacing w:val="14"/>
          <w:lang w:val="es-CO"/>
        </w:rPr>
        <w:t xml:space="preserve"> </w:t>
      </w:r>
      <w:r>
        <w:rPr>
          <w:rFonts w:cs="Arial"/>
          <w:lang w:val="es-CO"/>
        </w:rPr>
        <w:t>de</w:t>
      </w:r>
      <w:r>
        <w:rPr>
          <w:rFonts w:cs="Arial"/>
          <w:spacing w:val="16"/>
          <w:lang w:val="es-CO"/>
        </w:rPr>
        <w:t xml:space="preserve"> </w:t>
      </w:r>
      <w:r>
        <w:rPr>
          <w:rFonts w:cs="Arial"/>
          <w:lang w:val="es-CO"/>
        </w:rPr>
        <w:t>ingresos</w:t>
      </w:r>
      <w:r>
        <w:rPr>
          <w:rFonts w:cs="Arial"/>
          <w:spacing w:val="15"/>
          <w:lang w:val="es-CO"/>
        </w:rPr>
        <w:t xml:space="preserve"> </w:t>
      </w:r>
      <w:r>
        <w:rPr>
          <w:rFonts w:cs="Arial"/>
          <w:lang w:val="es-CO"/>
        </w:rPr>
        <w:t>y</w:t>
      </w:r>
      <w:r>
        <w:rPr>
          <w:rFonts w:cs="Arial"/>
          <w:spacing w:val="22"/>
          <w:lang w:val="es-CO"/>
        </w:rPr>
        <w:t xml:space="preserve"> </w:t>
      </w:r>
      <w:r>
        <w:rPr>
          <w:rFonts w:cs="Arial"/>
          <w:lang w:val="es-CO"/>
        </w:rPr>
        <w:t>patrimonio,</w:t>
      </w:r>
      <w:r>
        <w:rPr>
          <w:rFonts w:cs="Arial"/>
          <w:spacing w:val="28"/>
          <w:lang w:val="es-CO"/>
        </w:rPr>
        <w:t xml:space="preserve"> </w:t>
      </w:r>
      <w:r>
        <w:rPr>
          <w:rFonts w:cs="Arial"/>
          <w:lang w:val="es-CO"/>
        </w:rPr>
        <w:t>impuesto</w:t>
      </w:r>
      <w:r>
        <w:rPr>
          <w:rFonts w:cs="Arial"/>
          <w:spacing w:val="15"/>
          <w:lang w:val="es-CO"/>
        </w:rPr>
        <w:t xml:space="preserve"> </w:t>
      </w:r>
      <w:r>
        <w:rPr>
          <w:rFonts w:cs="Arial"/>
          <w:lang w:val="es-CO"/>
        </w:rPr>
        <w:t>a</w:t>
      </w:r>
      <w:r>
        <w:rPr>
          <w:rFonts w:cs="Arial"/>
          <w:w w:val="99"/>
          <w:lang w:val="es-CO"/>
        </w:rPr>
        <w:t xml:space="preserve"> </w:t>
      </w:r>
      <w:r>
        <w:rPr>
          <w:rFonts w:cs="Arial"/>
          <w:lang w:val="es-CO"/>
        </w:rPr>
        <w:t>la</w:t>
      </w:r>
      <w:r>
        <w:rPr>
          <w:rFonts w:cs="Arial"/>
          <w:spacing w:val="30"/>
          <w:lang w:val="es-CO"/>
        </w:rPr>
        <w:t xml:space="preserve"> </w:t>
      </w:r>
      <w:r>
        <w:rPr>
          <w:rFonts w:cs="Arial"/>
          <w:lang w:val="es-CO"/>
        </w:rPr>
        <w:t>Riqueza</w:t>
      </w:r>
      <w:r>
        <w:rPr>
          <w:rFonts w:cs="Arial"/>
          <w:spacing w:val="17"/>
          <w:lang w:val="es-CO"/>
        </w:rPr>
        <w:t xml:space="preserve"> </w:t>
      </w:r>
      <w:r>
        <w:rPr>
          <w:rFonts w:cs="Arial"/>
          <w:lang w:val="es-CO"/>
        </w:rPr>
        <w:t>y</w:t>
      </w:r>
      <w:r>
        <w:rPr>
          <w:rFonts w:cs="Arial"/>
          <w:spacing w:val="30"/>
          <w:lang w:val="es-CO"/>
        </w:rPr>
        <w:t xml:space="preserve"> </w:t>
      </w:r>
      <w:r>
        <w:rPr>
          <w:rFonts w:cs="Arial"/>
          <w:lang w:val="es-CO"/>
        </w:rPr>
        <w:t>complementario</w:t>
      </w:r>
      <w:r>
        <w:rPr>
          <w:rFonts w:cs="Arial"/>
          <w:spacing w:val="34"/>
          <w:lang w:val="es-CO"/>
        </w:rPr>
        <w:t xml:space="preserve"> </w:t>
      </w:r>
      <w:r>
        <w:rPr>
          <w:rFonts w:cs="Arial"/>
          <w:lang w:val="es-CO"/>
        </w:rPr>
        <w:t>de</w:t>
      </w:r>
      <w:r>
        <w:rPr>
          <w:rFonts w:cs="Arial"/>
          <w:spacing w:val="25"/>
          <w:lang w:val="es-CO"/>
        </w:rPr>
        <w:t xml:space="preserve"> </w:t>
      </w:r>
      <w:r>
        <w:rPr>
          <w:rFonts w:cs="Arial"/>
          <w:lang w:val="es-CO"/>
        </w:rPr>
        <w:t>normalización</w:t>
      </w:r>
      <w:r>
        <w:rPr>
          <w:rFonts w:cs="Arial"/>
          <w:spacing w:val="26"/>
          <w:lang w:val="es-CO"/>
        </w:rPr>
        <w:t xml:space="preserve"> </w:t>
      </w:r>
      <w:r>
        <w:rPr>
          <w:rFonts w:cs="Arial"/>
          <w:lang w:val="es-CO"/>
        </w:rPr>
        <w:t>tributaria,</w:t>
      </w:r>
      <w:r>
        <w:rPr>
          <w:rFonts w:cs="Arial"/>
          <w:spacing w:val="43"/>
          <w:lang w:val="es-CO"/>
        </w:rPr>
        <w:t xml:space="preserve"> </w:t>
      </w:r>
      <w:r>
        <w:rPr>
          <w:rFonts w:cs="Arial"/>
          <w:lang w:val="es-CO"/>
        </w:rPr>
        <w:t>impuesto</w:t>
      </w:r>
      <w:r>
        <w:rPr>
          <w:rFonts w:cs="Arial"/>
          <w:spacing w:val="22"/>
          <w:lang w:val="es-CO"/>
        </w:rPr>
        <w:t xml:space="preserve"> </w:t>
      </w:r>
      <w:r>
        <w:rPr>
          <w:rFonts w:cs="Arial"/>
          <w:lang w:val="es-CO"/>
        </w:rPr>
        <w:t>sobre</w:t>
      </w:r>
      <w:r>
        <w:rPr>
          <w:rFonts w:cs="Arial"/>
          <w:spacing w:val="34"/>
          <w:lang w:val="es-CO"/>
        </w:rPr>
        <w:t xml:space="preserve"> </w:t>
      </w:r>
      <w:r>
        <w:rPr>
          <w:rFonts w:cs="Arial"/>
          <w:lang w:val="es-CO"/>
        </w:rPr>
        <w:t>las</w:t>
      </w:r>
      <w:r>
        <w:rPr>
          <w:rFonts w:cs="Arial"/>
          <w:spacing w:val="6"/>
          <w:lang w:val="es-CO"/>
        </w:rPr>
        <w:t xml:space="preserve"> </w:t>
      </w:r>
      <w:r>
        <w:rPr>
          <w:rFonts w:cs="Arial"/>
          <w:lang w:val="es-CO"/>
        </w:rPr>
        <w:t>ventas,</w:t>
      </w:r>
      <w:r>
        <w:rPr>
          <w:rFonts w:cs="Arial"/>
          <w:w w:val="99"/>
          <w:lang w:val="es-CO"/>
        </w:rPr>
        <w:t xml:space="preserve"> </w:t>
      </w:r>
      <w:r>
        <w:rPr>
          <w:rFonts w:cs="Arial"/>
          <w:lang w:val="es-CO"/>
        </w:rPr>
        <w:t>impuesto</w:t>
      </w:r>
      <w:r>
        <w:rPr>
          <w:rFonts w:cs="Arial"/>
          <w:spacing w:val="7"/>
          <w:lang w:val="es-CO"/>
        </w:rPr>
        <w:t xml:space="preserve"> </w:t>
      </w:r>
      <w:r>
        <w:rPr>
          <w:rFonts w:cs="Arial"/>
          <w:lang w:val="es-CO"/>
        </w:rPr>
        <w:t>nacional</w:t>
      </w:r>
      <w:r>
        <w:rPr>
          <w:rFonts w:cs="Arial"/>
          <w:spacing w:val="5"/>
          <w:lang w:val="es-CO"/>
        </w:rPr>
        <w:t xml:space="preserve"> </w:t>
      </w:r>
      <w:r>
        <w:rPr>
          <w:rFonts w:cs="Arial"/>
          <w:lang w:val="es-CO"/>
        </w:rPr>
        <w:t>al</w:t>
      </w:r>
      <w:r>
        <w:rPr>
          <w:rFonts w:cs="Arial"/>
          <w:spacing w:val="-3"/>
          <w:lang w:val="es-CO"/>
        </w:rPr>
        <w:t xml:space="preserve"> </w:t>
      </w:r>
      <w:r>
        <w:rPr>
          <w:rFonts w:cs="Arial"/>
          <w:lang w:val="es-CO"/>
        </w:rPr>
        <w:t>consumo,</w:t>
      </w:r>
      <w:r>
        <w:rPr>
          <w:rFonts w:cs="Arial"/>
          <w:spacing w:val="26"/>
          <w:lang w:val="es-CO"/>
        </w:rPr>
        <w:t xml:space="preserve"> </w:t>
      </w:r>
      <w:r>
        <w:rPr>
          <w:rFonts w:cs="Arial"/>
          <w:lang w:val="es-CO"/>
        </w:rPr>
        <w:t>impuesto</w:t>
      </w:r>
      <w:r>
        <w:rPr>
          <w:rFonts w:cs="Arial"/>
          <w:spacing w:val="20"/>
          <w:lang w:val="es-CO"/>
        </w:rPr>
        <w:t xml:space="preserve"> </w:t>
      </w:r>
      <w:r>
        <w:rPr>
          <w:rFonts w:cs="Arial"/>
          <w:lang w:val="es-CO"/>
        </w:rPr>
        <w:t>nacional</w:t>
      </w:r>
      <w:r>
        <w:rPr>
          <w:rFonts w:cs="Arial"/>
          <w:spacing w:val="6"/>
          <w:lang w:val="es-CO"/>
        </w:rPr>
        <w:t xml:space="preserve"> </w:t>
      </w:r>
      <w:r>
        <w:rPr>
          <w:rFonts w:cs="Arial"/>
          <w:lang w:val="es-CO"/>
        </w:rPr>
        <w:t>a</w:t>
      </w:r>
      <w:r>
        <w:rPr>
          <w:rFonts w:cs="Arial"/>
          <w:spacing w:val="11"/>
          <w:lang w:val="es-CO"/>
        </w:rPr>
        <w:t xml:space="preserve"> </w:t>
      </w:r>
      <w:r>
        <w:rPr>
          <w:rFonts w:cs="Arial"/>
          <w:lang w:val="es-CO"/>
        </w:rPr>
        <w:t>la</w:t>
      </w:r>
      <w:r>
        <w:rPr>
          <w:rFonts w:cs="Arial"/>
          <w:spacing w:val="-3"/>
          <w:lang w:val="es-CO"/>
        </w:rPr>
        <w:t xml:space="preserve"> </w:t>
      </w:r>
      <w:r>
        <w:rPr>
          <w:rFonts w:cs="Arial"/>
          <w:lang w:val="es-CO"/>
        </w:rPr>
        <w:t>gasolina</w:t>
      </w:r>
      <w:r>
        <w:rPr>
          <w:rFonts w:cs="Arial"/>
          <w:spacing w:val="22"/>
          <w:lang w:val="es-CO"/>
        </w:rPr>
        <w:t xml:space="preserve"> </w:t>
      </w:r>
      <w:r>
        <w:rPr>
          <w:rFonts w:cs="Arial"/>
          <w:lang w:val="es-CO"/>
        </w:rPr>
        <w:t>y</w:t>
      </w:r>
      <w:r>
        <w:rPr>
          <w:rFonts w:cs="Arial"/>
          <w:spacing w:val="-8"/>
          <w:lang w:val="es-CO"/>
        </w:rPr>
        <w:t xml:space="preserve"> </w:t>
      </w:r>
      <w:r>
        <w:rPr>
          <w:rFonts w:cs="Arial"/>
          <w:lang w:val="es-CO"/>
        </w:rPr>
        <w:t>ACPM,</w:t>
      </w:r>
      <w:r>
        <w:rPr>
          <w:rFonts w:cs="Arial"/>
          <w:spacing w:val="22"/>
          <w:lang w:val="es-CO"/>
        </w:rPr>
        <w:t xml:space="preserve"> </w:t>
      </w:r>
      <w:r>
        <w:rPr>
          <w:rFonts w:cs="Arial"/>
          <w:lang w:val="es-CO"/>
        </w:rPr>
        <w:t>de</w:t>
      </w:r>
      <w:r>
        <w:rPr>
          <w:rFonts w:cs="Arial"/>
          <w:spacing w:val="10"/>
          <w:lang w:val="es-CO"/>
        </w:rPr>
        <w:t xml:space="preserve"> </w:t>
      </w:r>
      <w:r>
        <w:rPr>
          <w:rFonts w:cs="Arial"/>
          <w:lang w:val="es-CO"/>
        </w:rPr>
        <w:t>retención en</w:t>
      </w:r>
      <w:r>
        <w:rPr>
          <w:rFonts w:cs="Arial"/>
          <w:spacing w:val="64"/>
          <w:lang w:val="es-CO"/>
        </w:rPr>
        <w:t xml:space="preserve"> </w:t>
      </w:r>
      <w:r>
        <w:rPr>
          <w:rFonts w:cs="Arial"/>
          <w:lang w:val="es-CO"/>
        </w:rPr>
        <w:t>la</w:t>
      </w:r>
      <w:r>
        <w:rPr>
          <w:rFonts w:cs="Arial"/>
          <w:spacing w:val="44"/>
          <w:lang w:val="es-CO"/>
        </w:rPr>
        <w:t xml:space="preserve"> </w:t>
      </w:r>
      <w:r>
        <w:rPr>
          <w:rFonts w:cs="Arial"/>
          <w:lang w:val="es-CO"/>
        </w:rPr>
        <w:t>fuente,</w:t>
      </w:r>
      <w:r>
        <w:rPr>
          <w:rFonts w:cs="Arial"/>
          <w:spacing w:val="9"/>
          <w:lang w:val="es-CO"/>
        </w:rPr>
        <w:t xml:space="preserve"> </w:t>
      </w:r>
      <w:r>
        <w:rPr>
          <w:rFonts w:cs="Arial"/>
          <w:lang w:val="es-CO"/>
        </w:rPr>
        <w:t>gravamen</w:t>
      </w:r>
      <w:r>
        <w:rPr>
          <w:rFonts w:cs="Arial"/>
          <w:spacing w:val="5"/>
          <w:lang w:val="es-CO"/>
        </w:rPr>
        <w:t xml:space="preserve"> </w:t>
      </w:r>
      <w:r>
        <w:rPr>
          <w:rFonts w:cs="Arial"/>
          <w:lang w:val="es-CO"/>
        </w:rPr>
        <w:t>a</w:t>
      </w:r>
      <w:r>
        <w:rPr>
          <w:rFonts w:cs="Arial"/>
          <w:spacing w:val="64"/>
          <w:lang w:val="es-CO"/>
        </w:rPr>
        <w:t xml:space="preserve"> </w:t>
      </w:r>
      <w:r>
        <w:rPr>
          <w:rFonts w:cs="Arial"/>
          <w:lang w:val="es-CO"/>
        </w:rPr>
        <w:t>los</w:t>
      </w:r>
      <w:r>
        <w:rPr>
          <w:rFonts w:cs="Arial"/>
          <w:spacing w:val="63"/>
          <w:lang w:val="es-CO"/>
        </w:rPr>
        <w:t xml:space="preserve"> </w:t>
      </w:r>
      <w:r>
        <w:rPr>
          <w:rFonts w:cs="Arial"/>
          <w:lang w:val="es-CO"/>
        </w:rPr>
        <w:t>movimientos</w:t>
      </w:r>
      <w:r>
        <w:rPr>
          <w:rFonts w:cs="Arial"/>
          <w:spacing w:val="8"/>
          <w:lang w:val="es-CO"/>
        </w:rPr>
        <w:t xml:space="preserve"> </w:t>
      </w:r>
      <w:r>
        <w:rPr>
          <w:rFonts w:cs="Arial"/>
          <w:lang w:val="es-CO"/>
        </w:rPr>
        <w:t>financieros,</w:t>
      </w:r>
      <w:r>
        <w:rPr>
          <w:rFonts w:cs="Arial"/>
          <w:spacing w:val="30"/>
          <w:lang w:val="es-CO"/>
        </w:rPr>
        <w:t xml:space="preserve"> </w:t>
      </w:r>
      <w:r>
        <w:rPr>
          <w:rFonts w:cs="Arial"/>
          <w:lang w:val="es-CO"/>
        </w:rPr>
        <w:t>informativa</w:t>
      </w:r>
      <w:r>
        <w:rPr>
          <w:rFonts w:cs="Arial"/>
          <w:spacing w:val="7"/>
          <w:lang w:val="es-CO"/>
        </w:rPr>
        <w:t xml:space="preserve"> </w:t>
      </w:r>
      <w:r>
        <w:rPr>
          <w:rFonts w:cs="Arial"/>
          <w:lang w:val="es-CO"/>
        </w:rPr>
        <w:t>de precios</w:t>
      </w:r>
      <w:r>
        <w:rPr>
          <w:rFonts w:cs="Arial"/>
          <w:spacing w:val="64"/>
          <w:lang w:val="es-CO"/>
        </w:rPr>
        <w:t xml:space="preserve"> </w:t>
      </w:r>
      <w:r>
        <w:rPr>
          <w:rFonts w:cs="Arial"/>
          <w:lang w:val="es-CO"/>
        </w:rPr>
        <w:t>de</w:t>
      </w:r>
      <w:r>
        <w:rPr>
          <w:rFonts w:cs="Arial"/>
          <w:w w:val="103"/>
          <w:lang w:val="es-CO"/>
        </w:rPr>
        <w:t xml:space="preserve"> </w:t>
      </w:r>
      <w:r>
        <w:rPr>
          <w:rFonts w:cs="Arial"/>
          <w:lang w:val="es-CO"/>
        </w:rPr>
        <w:t>transferencia</w:t>
      </w:r>
      <w:r>
        <w:rPr>
          <w:rFonts w:cs="Arial"/>
          <w:spacing w:val="25"/>
          <w:lang w:val="es-CO"/>
        </w:rPr>
        <w:t xml:space="preserve"> </w:t>
      </w:r>
      <w:r>
        <w:rPr>
          <w:rFonts w:cs="Arial"/>
          <w:lang w:val="es-CO"/>
        </w:rPr>
        <w:t>y</w:t>
      </w:r>
      <w:r>
        <w:rPr>
          <w:rFonts w:cs="Arial"/>
          <w:spacing w:val="6"/>
          <w:lang w:val="es-CO"/>
        </w:rPr>
        <w:t xml:space="preserve"> </w:t>
      </w:r>
      <w:r>
        <w:rPr>
          <w:rFonts w:cs="Arial"/>
          <w:lang w:val="es-CO"/>
        </w:rPr>
        <w:t>anual</w:t>
      </w:r>
      <w:r>
        <w:rPr>
          <w:rFonts w:cs="Arial"/>
          <w:spacing w:val="3"/>
          <w:lang w:val="es-CO"/>
        </w:rPr>
        <w:t xml:space="preserve"> </w:t>
      </w:r>
      <w:r>
        <w:rPr>
          <w:rFonts w:cs="Arial"/>
          <w:lang w:val="es-CO"/>
        </w:rPr>
        <w:t>de</w:t>
      </w:r>
      <w:r>
        <w:rPr>
          <w:rFonts w:cs="Arial"/>
          <w:spacing w:val="-8"/>
          <w:lang w:val="es-CO"/>
        </w:rPr>
        <w:t xml:space="preserve"> </w:t>
      </w:r>
      <w:r>
        <w:rPr>
          <w:rFonts w:cs="Arial"/>
          <w:lang w:val="es-CO"/>
        </w:rPr>
        <w:t>activos</w:t>
      </w:r>
      <w:r>
        <w:rPr>
          <w:rFonts w:cs="Arial"/>
          <w:spacing w:val="-1"/>
          <w:lang w:val="es-CO"/>
        </w:rPr>
        <w:t xml:space="preserve"> </w:t>
      </w:r>
      <w:r>
        <w:rPr>
          <w:rFonts w:cs="Arial"/>
          <w:lang w:val="es-CO"/>
        </w:rPr>
        <w:t xml:space="preserve">en   </w:t>
      </w:r>
      <w:r>
        <w:rPr>
          <w:rFonts w:cs="Arial"/>
          <w:spacing w:val="26"/>
          <w:lang w:val="es-CO"/>
        </w:rPr>
        <w:t xml:space="preserve"> </w:t>
      </w:r>
      <w:r>
        <w:rPr>
          <w:rFonts w:cs="Arial"/>
          <w:lang w:val="es-CO"/>
        </w:rPr>
        <w:t>exterior,</w:t>
      </w:r>
      <w:r>
        <w:rPr>
          <w:rFonts w:cs="Arial"/>
          <w:spacing w:val="12"/>
          <w:lang w:val="es-CO"/>
        </w:rPr>
        <w:t xml:space="preserve"> </w:t>
      </w:r>
      <w:r>
        <w:rPr>
          <w:rFonts w:cs="Arial"/>
          <w:lang w:val="es-CO"/>
        </w:rPr>
        <w:t>deberán</w:t>
      </w:r>
      <w:r>
        <w:rPr>
          <w:rFonts w:cs="Arial"/>
          <w:spacing w:val="10"/>
          <w:lang w:val="es-CO"/>
        </w:rPr>
        <w:t xml:space="preserve"> </w:t>
      </w:r>
      <w:r>
        <w:rPr>
          <w:rFonts w:cs="Arial"/>
          <w:lang w:val="es-CO"/>
        </w:rPr>
        <w:t>ser</w:t>
      </w:r>
      <w:r>
        <w:rPr>
          <w:rFonts w:cs="Arial"/>
          <w:spacing w:val="-3"/>
          <w:lang w:val="es-CO"/>
        </w:rPr>
        <w:t xml:space="preserve"> </w:t>
      </w:r>
      <w:r>
        <w:rPr>
          <w:rFonts w:cs="Arial"/>
          <w:lang w:val="es-CO"/>
        </w:rPr>
        <w:t>firmadas</w:t>
      </w:r>
      <w:r>
        <w:rPr>
          <w:rFonts w:cs="Arial"/>
          <w:spacing w:val="16"/>
          <w:lang w:val="es-CO"/>
        </w:rPr>
        <w:t xml:space="preserve"> </w:t>
      </w:r>
      <w:r>
        <w:rPr>
          <w:rFonts w:cs="Arial"/>
          <w:lang w:val="es-CO"/>
        </w:rPr>
        <w:t>por:</w:t>
      </w:r>
    </w:p>
    <w:p w14:paraId="544E7BD5" w14:textId="77777777" w:rsidR="00B2442D" w:rsidRDefault="00B2442D">
      <w:pPr>
        <w:pStyle w:val="Textoindependiente"/>
        <w:spacing w:line="40" w:lineRule="atLeast"/>
        <w:ind w:right="-30"/>
        <w:jc w:val="both"/>
        <w:rPr>
          <w:rFonts w:cs="Arial"/>
          <w:lang w:val="es-CO"/>
        </w:rPr>
      </w:pPr>
    </w:p>
    <w:p w14:paraId="61F16BE6" w14:textId="77777777" w:rsidR="00B2442D" w:rsidRDefault="008A645F">
      <w:pPr>
        <w:pStyle w:val="Textoindependiente"/>
        <w:numPr>
          <w:ilvl w:val="0"/>
          <w:numId w:val="150"/>
        </w:numPr>
        <w:spacing w:line="40" w:lineRule="atLeast"/>
        <w:ind w:left="426" w:right="-30" w:hanging="426"/>
        <w:jc w:val="both"/>
        <w:rPr>
          <w:rFonts w:cs="Arial"/>
          <w:lang w:val="es-CO"/>
        </w:rPr>
      </w:pPr>
      <w:r>
        <w:rPr>
          <w:rFonts w:cs="Arial"/>
          <w:lang w:val="es-CO"/>
        </w:rPr>
        <w:t>Los</w:t>
      </w:r>
      <w:r>
        <w:rPr>
          <w:rFonts w:cs="Arial"/>
          <w:spacing w:val="5"/>
          <w:lang w:val="es-CO"/>
        </w:rPr>
        <w:t xml:space="preserve"> </w:t>
      </w:r>
      <w:r>
        <w:rPr>
          <w:rFonts w:cs="Arial"/>
          <w:lang w:val="es-CO"/>
        </w:rPr>
        <w:t>contribuyentes</w:t>
      </w:r>
      <w:r>
        <w:rPr>
          <w:rFonts w:cs="Arial"/>
          <w:spacing w:val="32"/>
          <w:lang w:val="es-CO"/>
        </w:rPr>
        <w:t xml:space="preserve"> </w:t>
      </w:r>
      <w:r>
        <w:rPr>
          <w:rFonts w:cs="Arial"/>
          <w:lang w:val="es-CO"/>
        </w:rPr>
        <w:t>o</w:t>
      </w:r>
      <w:r>
        <w:rPr>
          <w:rFonts w:cs="Arial"/>
          <w:spacing w:val="9"/>
          <w:lang w:val="es-CO"/>
        </w:rPr>
        <w:t xml:space="preserve"> </w:t>
      </w:r>
      <w:r>
        <w:rPr>
          <w:rFonts w:cs="Arial"/>
          <w:lang w:val="es-CO"/>
        </w:rPr>
        <w:t>responsables</w:t>
      </w:r>
      <w:r>
        <w:rPr>
          <w:rFonts w:cs="Arial"/>
          <w:spacing w:val="21"/>
          <w:lang w:val="es-CO"/>
        </w:rPr>
        <w:t xml:space="preserve"> </w:t>
      </w:r>
      <w:r>
        <w:rPr>
          <w:rFonts w:cs="Arial"/>
          <w:lang w:val="es-CO"/>
        </w:rPr>
        <w:t>directos</w:t>
      </w:r>
      <w:r>
        <w:rPr>
          <w:rFonts w:cs="Arial"/>
          <w:spacing w:val="19"/>
          <w:lang w:val="es-CO"/>
        </w:rPr>
        <w:t xml:space="preserve"> </w:t>
      </w:r>
      <w:r>
        <w:rPr>
          <w:rFonts w:cs="Arial"/>
          <w:lang w:val="es-CO"/>
        </w:rPr>
        <w:t>del</w:t>
      </w:r>
      <w:r>
        <w:rPr>
          <w:rFonts w:cs="Arial"/>
          <w:spacing w:val="9"/>
          <w:lang w:val="es-CO"/>
        </w:rPr>
        <w:t xml:space="preserve"> </w:t>
      </w:r>
      <w:r>
        <w:rPr>
          <w:rFonts w:cs="Arial"/>
          <w:lang w:val="es-CO"/>
        </w:rPr>
        <w:t>pago</w:t>
      </w:r>
      <w:r>
        <w:rPr>
          <w:rFonts w:cs="Arial"/>
          <w:spacing w:val="3"/>
          <w:lang w:val="es-CO"/>
        </w:rPr>
        <w:t xml:space="preserve"> </w:t>
      </w:r>
      <w:r>
        <w:rPr>
          <w:rFonts w:cs="Arial"/>
          <w:lang w:val="es-CO"/>
        </w:rPr>
        <w:t>del</w:t>
      </w:r>
      <w:r>
        <w:rPr>
          <w:rFonts w:cs="Arial"/>
          <w:spacing w:val="-3"/>
          <w:lang w:val="es-CO"/>
        </w:rPr>
        <w:t xml:space="preserve"> </w:t>
      </w:r>
      <w:r>
        <w:rPr>
          <w:rFonts w:cs="Arial"/>
          <w:lang w:val="es-CO"/>
        </w:rPr>
        <w:t>tributo,</w:t>
      </w:r>
      <w:r>
        <w:rPr>
          <w:rFonts w:cs="Arial"/>
          <w:spacing w:val="29"/>
          <w:lang w:val="es-CO"/>
        </w:rPr>
        <w:t xml:space="preserve"> </w:t>
      </w:r>
      <w:r>
        <w:rPr>
          <w:rFonts w:cs="Arial"/>
          <w:lang w:val="es-CO"/>
        </w:rPr>
        <w:t>personalmente</w:t>
      </w:r>
      <w:r>
        <w:rPr>
          <w:rFonts w:cs="Arial"/>
          <w:spacing w:val="36"/>
          <w:lang w:val="es-CO"/>
        </w:rPr>
        <w:t xml:space="preserve"> </w:t>
      </w:r>
      <w:r>
        <w:rPr>
          <w:rFonts w:cs="Arial"/>
          <w:lang w:val="es-CO"/>
        </w:rPr>
        <w:t>o</w:t>
      </w:r>
      <w:r>
        <w:rPr>
          <w:rFonts w:cs="Arial"/>
          <w:w w:val="102"/>
          <w:lang w:val="es-CO"/>
        </w:rPr>
        <w:t xml:space="preserve"> </w:t>
      </w:r>
      <w:r>
        <w:rPr>
          <w:rFonts w:cs="Arial"/>
          <w:lang w:val="es-CO"/>
        </w:rPr>
        <w:t>por</w:t>
      </w:r>
      <w:r>
        <w:rPr>
          <w:rFonts w:cs="Arial"/>
          <w:spacing w:val="21"/>
          <w:lang w:val="es-CO"/>
        </w:rPr>
        <w:t xml:space="preserve"> </w:t>
      </w:r>
      <w:r>
        <w:rPr>
          <w:rFonts w:cs="Arial"/>
          <w:lang w:val="es-CO"/>
        </w:rPr>
        <w:t>medio</w:t>
      </w:r>
      <w:r>
        <w:rPr>
          <w:rFonts w:cs="Arial"/>
          <w:spacing w:val="34"/>
          <w:lang w:val="es-CO"/>
        </w:rPr>
        <w:t xml:space="preserve"> </w:t>
      </w:r>
      <w:r>
        <w:rPr>
          <w:rFonts w:cs="Arial"/>
          <w:lang w:val="es-CO"/>
        </w:rPr>
        <w:t>sus</w:t>
      </w:r>
      <w:r>
        <w:rPr>
          <w:rFonts w:cs="Arial"/>
          <w:spacing w:val="27"/>
          <w:lang w:val="es-CO"/>
        </w:rPr>
        <w:t xml:space="preserve"> </w:t>
      </w:r>
      <w:r>
        <w:rPr>
          <w:rFonts w:cs="Arial"/>
          <w:lang w:val="es-CO"/>
        </w:rPr>
        <w:t>representantes</w:t>
      </w:r>
      <w:r>
        <w:rPr>
          <w:rFonts w:cs="Arial"/>
          <w:spacing w:val="34"/>
          <w:lang w:val="es-CO"/>
        </w:rPr>
        <w:t xml:space="preserve"> </w:t>
      </w:r>
      <w:r>
        <w:rPr>
          <w:rFonts w:cs="Arial"/>
          <w:lang w:val="es-CO"/>
        </w:rPr>
        <w:t>a</w:t>
      </w:r>
      <w:r>
        <w:rPr>
          <w:rFonts w:cs="Arial"/>
          <w:spacing w:val="7"/>
          <w:lang w:val="es-CO"/>
        </w:rPr>
        <w:t xml:space="preserve"> </w:t>
      </w:r>
      <w:r>
        <w:rPr>
          <w:rFonts w:cs="Arial"/>
          <w:lang w:val="es-CO"/>
        </w:rPr>
        <w:t>que</w:t>
      </w:r>
      <w:r>
        <w:rPr>
          <w:rFonts w:cs="Arial"/>
          <w:spacing w:val="23"/>
          <w:lang w:val="es-CO"/>
        </w:rPr>
        <w:t xml:space="preserve"> </w:t>
      </w:r>
      <w:r>
        <w:rPr>
          <w:rFonts w:cs="Arial"/>
          <w:lang w:val="es-CO"/>
        </w:rPr>
        <w:t>hace</w:t>
      </w:r>
      <w:r>
        <w:rPr>
          <w:rFonts w:cs="Arial"/>
          <w:spacing w:val="20"/>
          <w:lang w:val="es-CO"/>
        </w:rPr>
        <w:t xml:space="preserve"> </w:t>
      </w:r>
      <w:r>
        <w:rPr>
          <w:rFonts w:cs="Arial"/>
          <w:lang w:val="es-CO"/>
        </w:rPr>
        <w:t>relación el artículo</w:t>
      </w:r>
      <w:r>
        <w:rPr>
          <w:rFonts w:cs="Arial"/>
          <w:spacing w:val="22"/>
          <w:lang w:val="es-CO"/>
        </w:rPr>
        <w:t xml:space="preserve"> </w:t>
      </w:r>
      <w:r>
        <w:rPr>
          <w:rFonts w:cs="Arial"/>
          <w:lang w:val="es-CO"/>
        </w:rPr>
        <w:t>572</w:t>
      </w:r>
      <w:r>
        <w:rPr>
          <w:rFonts w:cs="Arial"/>
          <w:spacing w:val="15"/>
          <w:lang w:val="es-CO"/>
        </w:rPr>
        <w:t xml:space="preserve"> </w:t>
      </w:r>
      <w:r>
        <w:rPr>
          <w:rFonts w:cs="Arial"/>
          <w:lang w:val="es-CO"/>
        </w:rPr>
        <w:t>del</w:t>
      </w:r>
      <w:r>
        <w:rPr>
          <w:rFonts w:cs="Arial"/>
          <w:spacing w:val="22"/>
          <w:lang w:val="es-CO"/>
        </w:rPr>
        <w:t xml:space="preserve"> </w:t>
      </w:r>
      <w:r>
        <w:rPr>
          <w:rFonts w:cs="Arial"/>
          <w:lang w:val="es-CO"/>
        </w:rPr>
        <w:t>Estatuto</w:t>
      </w:r>
      <w:r>
        <w:rPr>
          <w:rFonts w:cs="Arial"/>
          <w:w w:val="99"/>
          <w:lang w:val="es-CO"/>
        </w:rPr>
        <w:t xml:space="preserve"> </w:t>
      </w:r>
      <w:r>
        <w:rPr>
          <w:rFonts w:cs="Arial"/>
          <w:lang w:val="es-CO"/>
        </w:rPr>
        <w:t>Tributario</w:t>
      </w:r>
      <w:r>
        <w:rPr>
          <w:rFonts w:cs="Arial"/>
          <w:spacing w:val="2"/>
          <w:lang w:val="es-CO"/>
        </w:rPr>
        <w:t xml:space="preserve"> </w:t>
      </w:r>
      <w:r>
        <w:rPr>
          <w:rFonts w:cs="Arial"/>
          <w:lang w:val="es-CO"/>
        </w:rPr>
        <w:t>y</w:t>
      </w:r>
      <w:r>
        <w:rPr>
          <w:rFonts w:cs="Arial"/>
          <w:spacing w:val="2"/>
          <w:lang w:val="es-CO"/>
        </w:rPr>
        <w:t xml:space="preserve"> </w:t>
      </w:r>
      <w:r>
        <w:rPr>
          <w:rFonts w:cs="Arial"/>
          <w:lang w:val="es-CO"/>
        </w:rPr>
        <w:t>a</w:t>
      </w:r>
      <w:r>
        <w:rPr>
          <w:rFonts w:cs="Arial"/>
          <w:spacing w:val="-15"/>
          <w:lang w:val="es-CO"/>
        </w:rPr>
        <w:t xml:space="preserve"> </w:t>
      </w:r>
      <w:r>
        <w:rPr>
          <w:rFonts w:cs="Arial"/>
          <w:lang w:val="es-CO"/>
        </w:rPr>
        <w:t>falta de estos</w:t>
      </w:r>
      <w:r>
        <w:rPr>
          <w:rFonts w:cs="Arial"/>
          <w:spacing w:val="7"/>
          <w:lang w:val="es-CO"/>
        </w:rPr>
        <w:t xml:space="preserve"> </w:t>
      </w:r>
      <w:r>
        <w:rPr>
          <w:rFonts w:cs="Arial"/>
          <w:lang w:val="es-CO"/>
        </w:rPr>
        <w:t>por</w:t>
      </w:r>
      <w:r>
        <w:rPr>
          <w:rFonts w:cs="Arial"/>
          <w:spacing w:val="-4"/>
          <w:lang w:val="es-CO"/>
        </w:rPr>
        <w:t xml:space="preserve"> </w:t>
      </w:r>
      <w:r>
        <w:rPr>
          <w:rFonts w:cs="Arial"/>
          <w:lang w:val="es-CO"/>
        </w:rPr>
        <w:t>el</w:t>
      </w:r>
      <w:r>
        <w:rPr>
          <w:rFonts w:cs="Arial"/>
          <w:spacing w:val="-8"/>
          <w:lang w:val="es-CO"/>
        </w:rPr>
        <w:t xml:space="preserve"> </w:t>
      </w:r>
      <w:r>
        <w:rPr>
          <w:rFonts w:cs="Arial"/>
          <w:lang w:val="es-CO"/>
        </w:rPr>
        <w:t>administrador</w:t>
      </w:r>
      <w:r>
        <w:rPr>
          <w:rFonts w:cs="Arial"/>
          <w:spacing w:val="24"/>
          <w:lang w:val="es-CO"/>
        </w:rPr>
        <w:t xml:space="preserve"> </w:t>
      </w:r>
      <w:r>
        <w:rPr>
          <w:rFonts w:cs="Arial"/>
          <w:lang w:val="es-CO"/>
        </w:rPr>
        <w:t>del respectivo</w:t>
      </w:r>
      <w:r>
        <w:rPr>
          <w:rFonts w:cs="Arial"/>
          <w:spacing w:val="8"/>
          <w:lang w:val="es-CO"/>
        </w:rPr>
        <w:t xml:space="preserve"> </w:t>
      </w:r>
      <w:r>
        <w:rPr>
          <w:rFonts w:cs="Arial"/>
          <w:lang w:val="es-CO"/>
        </w:rPr>
        <w:t>patrimonio.</w:t>
      </w:r>
    </w:p>
    <w:p w14:paraId="05C54860" w14:textId="77777777" w:rsidR="00B2442D" w:rsidRDefault="00B2442D">
      <w:pPr>
        <w:spacing w:line="40" w:lineRule="atLeast"/>
        <w:ind w:left="426" w:right="-30" w:hanging="426"/>
        <w:jc w:val="both"/>
        <w:rPr>
          <w:rFonts w:ascii="Arial" w:hAnsi="Arial" w:cs="Arial"/>
          <w:lang w:val="es-CO"/>
        </w:rPr>
      </w:pPr>
    </w:p>
    <w:p w14:paraId="7C763AFA" w14:textId="77777777" w:rsidR="00B2442D" w:rsidRDefault="008A645F">
      <w:pPr>
        <w:pStyle w:val="Textoindependiente"/>
        <w:spacing w:line="40" w:lineRule="atLeast"/>
        <w:ind w:left="426" w:right="-30"/>
        <w:jc w:val="both"/>
        <w:rPr>
          <w:rFonts w:cs="Arial"/>
          <w:lang w:val="es-CO"/>
        </w:rPr>
      </w:pPr>
      <w:r>
        <w:rPr>
          <w:rFonts w:cs="Arial"/>
          <w:lang w:val="es-CO"/>
        </w:rPr>
        <w:t>Tratándose de los</w:t>
      </w:r>
      <w:r>
        <w:rPr>
          <w:rFonts w:cs="Arial"/>
          <w:spacing w:val="46"/>
          <w:lang w:val="es-CO"/>
        </w:rPr>
        <w:t xml:space="preserve"> </w:t>
      </w:r>
      <w:r>
        <w:rPr>
          <w:rFonts w:cs="Arial"/>
          <w:lang w:val="es-CO"/>
        </w:rPr>
        <w:t>gerentes, administradores y</w:t>
      </w:r>
      <w:r>
        <w:rPr>
          <w:rFonts w:cs="Arial"/>
          <w:spacing w:val="62"/>
          <w:lang w:val="es-CO"/>
        </w:rPr>
        <w:t xml:space="preserve"> </w:t>
      </w:r>
      <w:r>
        <w:rPr>
          <w:rFonts w:cs="Arial"/>
          <w:lang w:val="es-CO"/>
        </w:rPr>
        <w:t>en</w:t>
      </w:r>
      <w:r>
        <w:rPr>
          <w:rFonts w:cs="Arial"/>
          <w:spacing w:val="55"/>
          <w:lang w:val="es-CO"/>
        </w:rPr>
        <w:t xml:space="preserve"> </w:t>
      </w:r>
      <w:r>
        <w:rPr>
          <w:rFonts w:cs="Arial"/>
          <w:lang w:val="es-CO"/>
        </w:rPr>
        <w:t xml:space="preserve">general los </w:t>
      </w:r>
      <w:r>
        <w:rPr>
          <w:rFonts w:cs="Arial"/>
          <w:lang w:val="es-CO"/>
        </w:rPr>
        <w:t>representantes legales de</w:t>
      </w:r>
      <w:r>
        <w:rPr>
          <w:rFonts w:cs="Arial"/>
          <w:spacing w:val="37"/>
          <w:lang w:val="es-CO"/>
        </w:rPr>
        <w:t xml:space="preserve"> </w:t>
      </w:r>
      <w:r>
        <w:rPr>
          <w:rFonts w:cs="Arial"/>
          <w:lang w:val="es-CO"/>
        </w:rPr>
        <w:t>las</w:t>
      </w:r>
      <w:r>
        <w:rPr>
          <w:rFonts w:cs="Arial"/>
          <w:spacing w:val="28"/>
          <w:lang w:val="es-CO"/>
        </w:rPr>
        <w:t xml:space="preserve"> </w:t>
      </w:r>
      <w:r>
        <w:rPr>
          <w:rFonts w:cs="Arial"/>
          <w:lang w:val="es-CO"/>
        </w:rPr>
        <w:t>personas</w:t>
      </w:r>
      <w:r>
        <w:rPr>
          <w:rFonts w:cs="Arial"/>
          <w:spacing w:val="12"/>
          <w:lang w:val="es-CO"/>
        </w:rPr>
        <w:t xml:space="preserve"> </w:t>
      </w:r>
      <w:r>
        <w:rPr>
          <w:rFonts w:cs="Arial"/>
          <w:lang w:val="es-CO"/>
        </w:rPr>
        <w:t>jurídicas</w:t>
      </w:r>
      <w:r>
        <w:rPr>
          <w:rFonts w:cs="Arial"/>
          <w:spacing w:val="51"/>
          <w:lang w:val="es-CO"/>
        </w:rPr>
        <w:t xml:space="preserve"> </w:t>
      </w:r>
      <w:r>
        <w:rPr>
          <w:rFonts w:cs="Arial"/>
          <w:lang w:val="es-CO"/>
        </w:rPr>
        <w:t>y</w:t>
      </w:r>
      <w:r>
        <w:rPr>
          <w:rFonts w:cs="Arial"/>
          <w:spacing w:val="28"/>
          <w:lang w:val="es-CO"/>
        </w:rPr>
        <w:t xml:space="preserve"> </w:t>
      </w:r>
      <w:r>
        <w:rPr>
          <w:rFonts w:cs="Arial"/>
          <w:lang w:val="es-CO"/>
        </w:rPr>
        <w:t>sociedades</w:t>
      </w:r>
      <w:r>
        <w:rPr>
          <w:rFonts w:cs="Arial"/>
          <w:spacing w:val="40"/>
          <w:lang w:val="es-CO"/>
        </w:rPr>
        <w:t xml:space="preserve"> </w:t>
      </w:r>
      <w:r>
        <w:rPr>
          <w:rFonts w:cs="Arial"/>
          <w:lang w:val="es-CO"/>
        </w:rPr>
        <w:t>de</w:t>
      </w:r>
      <w:r>
        <w:rPr>
          <w:rFonts w:cs="Arial"/>
          <w:spacing w:val="33"/>
          <w:lang w:val="es-CO"/>
        </w:rPr>
        <w:t xml:space="preserve"> </w:t>
      </w:r>
      <w:r>
        <w:rPr>
          <w:rFonts w:cs="Arial"/>
          <w:lang w:val="es-CO"/>
        </w:rPr>
        <w:t>hecho,</w:t>
      </w:r>
      <w:r>
        <w:rPr>
          <w:rFonts w:cs="Arial"/>
          <w:spacing w:val="32"/>
          <w:lang w:val="es-CO"/>
        </w:rPr>
        <w:t xml:space="preserve"> </w:t>
      </w:r>
      <w:r>
        <w:rPr>
          <w:rFonts w:cs="Arial"/>
          <w:lang w:val="es-CO"/>
        </w:rPr>
        <w:t>se</w:t>
      </w:r>
      <w:r>
        <w:rPr>
          <w:rFonts w:cs="Arial"/>
          <w:spacing w:val="35"/>
          <w:lang w:val="es-CO"/>
        </w:rPr>
        <w:t xml:space="preserve"> </w:t>
      </w:r>
      <w:r>
        <w:rPr>
          <w:rFonts w:cs="Arial"/>
          <w:lang w:val="es-CO"/>
        </w:rPr>
        <w:t>podrá</w:t>
      </w:r>
      <w:r>
        <w:rPr>
          <w:rFonts w:cs="Arial"/>
          <w:spacing w:val="22"/>
          <w:lang w:val="es-CO"/>
        </w:rPr>
        <w:t xml:space="preserve"> </w:t>
      </w:r>
      <w:r>
        <w:rPr>
          <w:rFonts w:cs="Arial"/>
          <w:lang w:val="es-CO"/>
        </w:rPr>
        <w:t>delegar</w:t>
      </w:r>
      <w:r>
        <w:rPr>
          <w:rFonts w:cs="Arial"/>
          <w:spacing w:val="42"/>
          <w:lang w:val="es-CO"/>
        </w:rPr>
        <w:t xml:space="preserve"> </w:t>
      </w:r>
      <w:r>
        <w:rPr>
          <w:rFonts w:cs="Arial"/>
          <w:lang w:val="es-CO"/>
        </w:rPr>
        <w:t>esta responsabilidad</w:t>
      </w:r>
      <w:r>
        <w:rPr>
          <w:rFonts w:cs="Arial"/>
          <w:spacing w:val="18"/>
          <w:lang w:val="es-CO"/>
        </w:rPr>
        <w:t xml:space="preserve"> </w:t>
      </w:r>
      <w:r>
        <w:rPr>
          <w:rFonts w:cs="Arial"/>
          <w:lang w:val="es-CO"/>
        </w:rPr>
        <w:t>en</w:t>
      </w:r>
      <w:r>
        <w:rPr>
          <w:rFonts w:cs="Arial"/>
          <w:spacing w:val="-8"/>
          <w:lang w:val="es-CO"/>
        </w:rPr>
        <w:t xml:space="preserve"> </w:t>
      </w:r>
      <w:r>
        <w:rPr>
          <w:rFonts w:cs="Arial"/>
          <w:lang w:val="es-CO"/>
        </w:rPr>
        <w:t>funcionarios</w:t>
      </w:r>
      <w:r>
        <w:rPr>
          <w:rFonts w:cs="Arial"/>
          <w:spacing w:val="26"/>
          <w:lang w:val="es-CO"/>
        </w:rPr>
        <w:t xml:space="preserve"> </w:t>
      </w:r>
      <w:r>
        <w:rPr>
          <w:rFonts w:cs="Arial"/>
          <w:lang w:val="es-CO"/>
        </w:rPr>
        <w:t>de</w:t>
      </w:r>
      <w:r>
        <w:rPr>
          <w:rFonts w:cs="Arial"/>
          <w:spacing w:val="8"/>
          <w:lang w:val="es-CO"/>
        </w:rPr>
        <w:t xml:space="preserve"> </w:t>
      </w:r>
      <w:r>
        <w:rPr>
          <w:rFonts w:cs="Arial"/>
          <w:lang w:val="es-CO"/>
        </w:rPr>
        <w:t>la</w:t>
      </w:r>
      <w:r>
        <w:rPr>
          <w:rFonts w:cs="Arial"/>
          <w:spacing w:val="-1"/>
          <w:lang w:val="es-CO"/>
        </w:rPr>
        <w:t xml:space="preserve"> </w:t>
      </w:r>
      <w:r>
        <w:rPr>
          <w:rFonts w:cs="Arial"/>
          <w:lang w:val="es-CO"/>
        </w:rPr>
        <w:t>empresa</w:t>
      </w:r>
      <w:r>
        <w:rPr>
          <w:rFonts w:cs="Arial"/>
          <w:spacing w:val="15"/>
          <w:lang w:val="es-CO"/>
        </w:rPr>
        <w:t xml:space="preserve"> </w:t>
      </w:r>
      <w:r>
        <w:rPr>
          <w:rFonts w:cs="Arial"/>
          <w:lang w:val="es-CO"/>
        </w:rPr>
        <w:t>designados</w:t>
      </w:r>
      <w:r>
        <w:rPr>
          <w:rFonts w:cs="Arial"/>
          <w:spacing w:val="21"/>
          <w:lang w:val="es-CO"/>
        </w:rPr>
        <w:t xml:space="preserve"> </w:t>
      </w:r>
      <w:r>
        <w:rPr>
          <w:rFonts w:cs="Arial"/>
          <w:lang w:val="es-CO"/>
        </w:rPr>
        <w:t>para el efecto,</w:t>
      </w:r>
      <w:r>
        <w:rPr>
          <w:rFonts w:cs="Arial"/>
          <w:spacing w:val="5"/>
          <w:lang w:val="es-CO"/>
        </w:rPr>
        <w:t xml:space="preserve"> </w:t>
      </w:r>
      <w:r>
        <w:rPr>
          <w:rFonts w:cs="Arial"/>
          <w:lang w:val="es-CO"/>
        </w:rPr>
        <w:t>en</w:t>
      </w:r>
      <w:r>
        <w:rPr>
          <w:rFonts w:cs="Arial"/>
          <w:spacing w:val="7"/>
          <w:lang w:val="es-CO"/>
        </w:rPr>
        <w:t xml:space="preserve"> </w:t>
      </w:r>
      <w:r>
        <w:rPr>
          <w:rFonts w:cs="Arial"/>
          <w:lang w:val="es-CO"/>
        </w:rPr>
        <w:t>cuyo caso</w:t>
      </w:r>
      <w:r>
        <w:rPr>
          <w:rFonts w:cs="Arial"/>
          <w:spacing w:val="36"/>
          <w:lang w:val="es-CO"/>
        </w:rPr>
        <w:t xml:space="preserve"> </w:t>
      </w:r>
      <w:r>
        <w:rPr>
          <w:rFonts w:cs="Arial"/>
          <w:lang w:val="es-CO"/>
        </w:rPr>
        <w:t>se</w:t>
      </w:r>
      <w:r>
        <w:rPr>
          <w:rFonts w:cs="Arial"/>
          <w:spacing w:val="34"/>
          <w:lang w:val="es-CO"/>
        </w:rPr>
        <w:t xml:space="preserve"> </w:t>
      </w:r>
      <w:r>
        <w:rPr>
          <w:rFonts w:cs="Arial"/>
          <w:lang w:val="es-CO"/>
        </w:rPr>
        <w:t>deberá</w:t>
      </w:r>
      <w:r>
        <w:rPr>
          <w:rFonts w:cs="Arial"/>
          <w:spacing w:val="59"/>
          <w:lang w:val="es-CO"/>
        </w:rPr>
        <w:t xml:space="preserve"> </w:t>
      </w:r>
      <w:r>
        <w:rPr>
          <w:rFonts w:cs="Arial"/>
          <w:lang w:val="es-CO"/>
        </w:rPr>
        <w:t>informar</w:t>
      </w:r>
      <w:r>
        <w:rPr>
          <w:rFonts w:cs="Arial"/>
          <w:spacing w:val="40"/>
          <w:lang w:val="es-CO"/>
        </w:rPr>
        <w:t xml:space="preserve"> </w:t>
      </w:r>
      <w:r>
        <w:rPr>
          <w:rFonts w:cs="Arial"/>
          <w:lang w:val="es-CO"/>
        </w:rPr>
        <w:t>de</w:t>
      </w:r>
      <w:r>
        <w:rPr>
          <w:rFonts w:cs="Arial"/>
          <w:spacing w:val="27"/>
          <w:lang w:val="es-CO"/>
        </w:rPr>
        <w:t xml:space="preserve"> </w:t>
      </w:r>
      <w:r>
        <w:rPr>
          <w:rFonts w:cs="Arial"/>
          <w:lang w:val="es-CO"/>
        </w:rPr>
        <w:t>tal</w:t>
      </w:r>
      <w:r>
        <w:rPr>
          <w:rFonts w:cs="Arial"/>
          <w:spacing w:val="44"/>
          <w:lang w:val="es-CO"/>
        </w:rPr>
        <w:t xml:space="preserve"> </w:t>
      </w:r>
      <w:r>
        <w:rPr>
          <w:rFonts w:cs="Arial"/>
          <w:lang w:val="es-CO"/>
        </w:rPr>
        <w:t>hecho</w:t>
      </w:r>
      <w:r>
        <w:rPr>
          <w:rFonts w:cs="Arial"/>
          <w:spacing w:val="36"/>
          <w:lang w:val="es-CO"/>
        </w:rPr>
        <w:t xml:space="preserve"> </w:t>
      </w:r>
      <w:r>
        <w:rPr>
          <w:rFonts w:cs="Arial"/>
          <w:lang w:val="es-CO"/>
        </w:rPr>
        <w:t>a</w:t>
      </w:r>
      <w:r>
        <w:rPr>
          <w:rFonts w:cs="Arial"/>
          <w:spacing w:val="44"/>
          <w:lang w:val="es-CO"/>
        </w:rPr>
        <w:t xml:space="preserve"> </w:t>
      </w:r>
      <w:r>
        <w:rPr>
          <w:rFonts w:cs="Arial"/>
          <w:lang w:val="es-CO"/>
        </w:rPr>
        <w:t>la</w:t>
      </w:r>
      <w:r>
        <w:rPr>
          <w:rFonts w:cs="Arial"/>
          <w:spacing w:val="43"/>
          <w:lang w:val="es-CO"/>
        </w:rPr>
        <w:t xml:space="preserve"> </w:t>
      </w:r>
      <w:r>
        <w:rPr>
          <w:rFonts w:cs="Arial"/>
          <w:lang w:val="es-CO"/>
        </w:rPr>
        <w:t>Dirección</w:t>
      </w:r>
      <w:r>
        <w:rPr>
          <w:rFonts w:cs="Arial"/>
          <w:spacing w:val="41"/>
          <w:lang w:val="es-CO"/>
        </w:rPr>
        <w:t xml:space="preserve"> </w:t>
      </w:r>
      <w:r>
        <w:rPr>
          <w:rFonts w:cs="Arial"/>
          <w:lang w:val="es-CO"/>
        </w:rPr>
        <w:t>Secciona!</w:t>
      </w:r>
      <w:r>
        <w:rPr>
          <w:rFonts w:cs="Arial"/>
          <w:spacing w:val="42"/>
          <w:lang w:val="es-CO"/>
        </w:rPr>
        <w:t xml:space="preserve"> </w:t>
      </w:r>
      <w:r>
        <w:rPr>
          <w:rFonts w:cs="Arial"/>
          <w:lang w:val="es-CO"/>
        </w:rPr>
        <w:t>de</w:t>
      </w:r>
      <w:r>
        <w:rPr>
          <w:rFonts w:cs="Arial"/>
          <w:spacing w:val="47"/>
          <w:lang w:val="es-CO"/>
        </w:rPr>
        <w:t xml:space="preserve"> </w:t>
      </w:r>
      <w:r>
        <w:rPr>
          <w:rFonts w:cs="Arial"/>
          <w:lang w:val="es-CO"/>
        </w:rPr>
        <w:t>Impuestos</w:t>
      </w:r>
      <w:r>
        <w:rPr>
          <w:rFonts w:cs="Arial"/>
          <w:spacing w:val="36"/>
          <w:lang w:val="es-CO"/>
        </w:rPr>
        <w:t xml:space="preserve"> </w:t>
      </w:r>
      <w:r>
        <w:rPr>
          <w:rFonts w:cs="Arial"/>
          <w:lang w:val="es-CO"/>
        </w:rPr>
        <w:t>y</w:t>
      </w:r>
      <w:r>
        <w:rPr>
          <w:rFonts w:cs="Arial"/>
          <w:w w:val="95"/>
          <w:lang w:val="es-CO"/>
        </w:rPr>
        <w:t xml:space="preserve"> </w:t>
      </w:r>
      <w:r>
        <w:rPr>
          <w:rFonts w:cs="Arial"/>
          <w:lang w:val="es-CO"/>
        </w:rPr>
        <w:t>Aduanas</w:t>
      </w:r>
      <w:r>
        <w:rPr>
          <w:rFonts w:cs="Arial"/>
          <w:spacing w:val="25"/>
          <w:lang w:val="es-CO"/>
        </w:rPr>
        <w:t xml:space="preserve"> </w:t>
      </w:r>
      <w:r>
        <w:rPr>
          <w:rFonts w:cs="Arial"/>
          <w:lang w:val="es-CO"/>
        </w:rPr>
        <w:t>o</w:t>
      </w:r>
      <w:r>
        <w:rPr>
          <w:rFonts w:cs="Arial"/>
          <w:spacing w:val="59"/>
          <w:lang w:val="es-CO"/>
        </w:rPr>
        <w:t xml:space="preserve"> </w:t>
      </w:r>
      <w:r>
        <w:rPr>
          <w:rFonts w:cs="Arial"/>
          <w:lang w:val="es-CO"/>
        </w:rPr>
        <w:t>a la Dirección</w:t>
      </w:r>
      <w:r>
        <w:rPr>
          <w:rFonts w:cs="Arial"/>
          <w:spacing w:val="13"/>
          <w:lang w:val="es-CO"/>
        </w:rPr>
        <w:t xml:space="preserve"> </w:t>
      </w:r>
      <w:r>
        <w:rPr>
          <w:rFonts w:cs="Arial"/>
          <w:lang w:val="es-CO"/>
        </w:rPr>
        <w:t>Secciona!</w:t>
      </w:r>
      <w:r>
        <w:rPr>
          <w:rFonts w:cs="Arial"/>
          <w:spacing w:val="7"/>
          <w:lang w:val="es-CO"/>
        </w:rPr>
        <w:t xml:space="preserve"> </w:t>
      </w:r>
      <w:r>
        <w:rPr>
          <w:rFonts w:cs="Arial"/>
          <w:lang w:val="es-CO"/>
        </w:rPr>
        <w:t>de</w:t>
      </w:r>
      <w:r>
        <w:rPr>
          <w:rFonts w:cs="Arial"/>
          <w:spacing w:val="8"/>
          <w:lang w:val="es-CO"/>
        </w:rPr>
        <w:t xml:space="preserve"> </w:t>
      </w:r>
      <w:r>
        <w:rPr>
          <w:rFonts w:cs="Arial"/>
          <w:lang w:val="es-CO"/>
        </w:rPr>
        <w:t>Impuestos</w:t>
      </w:r>
      <w:r>
        <w:rPr>
          <w:rFonts w:cs="Arial"/>
          <w:spacing w:val="7"/>
          <w:lang w:val="es-CO"/>
        </w:rPr>
        <w:t xml:space="preserve"> </w:t>
      </w:r>
      <w:r>
        <w:rPr>
          <w:rFonts w:cs="Arial"/>
          <w:lang w:val="es-CO"/>
        </w:rPr>
        <w:t>correspondiente,</w:t>
      </w:r>
      <w:r>
        <w:rPr>
          <w:rFonts w:cs="Arial"/>
          <w:spacing w:val="39"/>
          <w:lang w:val="es-CO"/>
        </w:rPr>
        <w:t xml:space="preserve"> </w:t>
      </w:r>
      <w:r>
        <w:rPr>
          <w:rFonts w:cs="Arial"/>
          <w:lang w:val="es-CO"/>
        </w:rPr>
        <w:t>una</w:t>
      </w:r>
      <w:r>
        <w:rPr>
          <w:rFonts w:cs="Arial"/>
          <w:spacing w:val="66"/>
          <w:lang w:val="es-CO"/>
        </w:rPr>
        <w:t xml:space="preserve"> </w:t>
      </w:r>
      <w:r>
        <w:rPr>
          <w:rFonts w:cs="Arial"/>
          <w:lang w:val="es-CO"/>
        </w:rPr>
        <w:t>vez</w:t>
      </w:r>
      <w:r>
        <w:rPr>
          <w:rFonts w:cs="Arial"/>
          <w:w w:val="97"/>
          <w:lang w:val="es-CO"/>
        </w:rPr>
        <w:t xml:space="preserve"> </w:t>
      </w:r>
      <w:r>
        <w:rPr>
          <w:rFonts w:cs="Arial"/>
          <w:lang w:val="es-CO"/>
        </w:rPr>
        <w:t>efectuada</w:t>
      </w:r>
      <w:r>
        <w:rPr>
          <w:rFonts w:cs="Arial"/>
          <w:spacing w:val="22"/>
          <w:lang w:val="es-CO"/>
        </w:rPr>
        <w:t xml:space="preserve"> </w:t>
      </w:r>
      <w:r>
        <w:rPr>
          <w:rFonts w:cs="Arial"/>
          <w:lang w:val="es-CO"/>
        </w:rPr>
        <w:t>la</w:t>
      </w:r>
      <w:r>
        <w:rPr>
          <w:rFonts w:cs="Arial"/>
          <w:spacing w:val="-10"/>
          <w:lang w:val="es-CO"/>
        </w:rPr>
        <w:t xml:space="preserve"> </w:t>
      </w:r>
      <w:r>
        <w:rPr>
          <w:rFonts w:cs="Arial"/>
          <w:lang w:val="es-CO"/>
        </w:rPr>
        <w:t>delegación</w:t>
      </w:r>
      <w:r>
        <w:rPr>
          <w:rFonts w:cs="Arial"/>
          <w:spacing w:val="8"/>
          <w:lang w:val="es-CO"/>
        </w:rPr>
        <w:t xml:space="preserve"> </w:t>
      </w:r>
      <w:r>
        <w:rPr>
          <w:rFonts w:cs="Arial"/>
          <w:lang w:val="es-CO"/>
        </w:rPr>
        <w:t>y en</w:t>
      </w:r>
      <w:r>
        <w:rPr>
          <w:rFonts w:cs="Arial"/>
          <w:spacing w:val="-8"/>
          <w:lang w:val="es-CO"/>
        </w:rPr>
        <w:t xml:space="preserve"> </w:t>
      </w:r>
      <w:r>
        <w:rPr>
          <w:rFonts w:cs="Arial"/>
          <w:lang w:val="es-CO"/>
        </w:rPr>
        <w:t>todo</w:t>
      </w:r>
      <w:r>
        <w:rPr>
          <w:rFonts w:cs="Arial"/>
          <w:spacing w:val="11"/>
          <w:lang w:val="es-CO"/>
        </w:rPr>
        <w:t xml:space="preserve"> </w:t>
      </w:r>
      <w:r>
        <w:rPr>
          <w:rFonts w:cs="Arial"/>
          <w:lang w:val="es-CO"/>
        </w:rPr>
        <w:t>caso</w:t>
      </w:r>
      <w:r>
        <w:rPr>
          <w:rFonts w:cs="Arial"/>
          <w:spacing w:val="8"/>
          <w:lang w:val="es-CO"/>
        </w:rPr>
        <w:t xml:space="preserve"> </w:t>
      </w:r>
      <w:r>
        <w:rPr>
          <w:rFonts w:cs="Arial"/>
          <w:lang w:val="es-CO"/>
        </w:rPr>
        <w:t>con</w:t>
      </w:r>
      <w:r>
        <w:rPr>
          <w:rFonts w:cs="Arial"/>
          <w:spacing w:val="-1"/>
          <w:lang w:val="es-CO"/>
        </w:rPr>
        <w:t xml:space="preserve"> </w:t>
      </w:r>
      <w:r>
        <w:rPr>
          <w:rFonts w:cs="Arial"/>
          <w:lang w:val="es-CO"/>
        </w:rPr>
        <w:t>anterioridad</w:t>
      </w:r>
      <w:r>
        <w:rPr>
          <w:rFonts w:cs="Arial"/>
          <w:spacing w:val="24"/>
          <w:lang w:val="es-CO"/>
        </w:rPr>
        <w:t xml:space="preserve"> </w:t>
      </w:r>
      <w:r>
        <w:rPr>
          <w:rFonts w:cs="Arial"/>
          <w:lang w:val="es-CO"/>
        </w:rPr>
        <w:t>al</w:t>
      </w:r>
      <w:r>
        <w:rPr>
          <w:rFonts w:cs="Arial"/>
          <w:spacing w:val="-6"/>
          <w:lang w:val="es-CO"/>
        </w:rPr>
        <w:t xml:space="preserve"> </w:t>
      </w:r>
      <w:r>
        <w:rPr>
          <w:rFonts w:cs="Arial"/>
          <w:lang w:val="es-CO"/>
        </w:rPr>
        <w:t>cumplimiento</w:t>
      </w:r>
      <w:r>
        <w:rPr>
          <w:rFonts w:cs="Arial"/>
          <w:spacing w:val="16"/>
          <w:lang w:val="es-CO"/>
        </w:rPr>
        <w:t xml:space="preserve"> </w:t>
      </w:r>
      <w:r>
        <w:rPr>
          <w:rFonts w:cs="Arial"/>
          <w:lang w:val="es-CO"/>
        </w:rPr>
        <w:t>del</w:t>
      </w:r>
      <w:r>
        <w:rPr>
          <w:rFonts w:cs="Arial"/>
          <w:spacing w:val="-6"/>
          <w:lang w:val="es-CO"/>
        </w:rPr>
        <w:t xml:space="preserve"> </w:t>
      </w:r>
      <w:r>
        <w:rPr>
          <w:rFonts w:cs="Arial"/>
          <w:lang w:val="es-CO"/>
        </w:rPr>
        <w:t>deber formal</w:t>
      </w:r>
      <w:r>
        <w:rPr>
          <w:rFonts w:cs="Arial"/>
          <w:spacing w:val="4"/>
          <w:lang w:val="es-CO"/>
        </w:rPr>
        <w:t xml:space="preserve"> </w:t>
      </w:r>
      <w:r>
        <w:rPr>
          <w:rFonts w:cs="Arial"/>
          <w:lang w:val="es-CO"/>
        </w:rPr>
        <w:t>de</w:t>
      </w:r>
      <w:r>
        <w:rPr>
          <w:rFonts w:cs="Arial"/>
          <w:spacing w:val="-10"/>
          <w:lang w:val="es-CO"/>
        </w:rPr>
        <w:t xml:space="preserve"> </w:t>
      </w:r>
      <w:r>
        <w:rPr>
          <w:rFonts w:cs="Arial"/>
          <w:lang w:val="es-CO"/>
        </w:rPr>
        <w:t>declarar.</w:t>
      </w:r>
    </w:p>
    <w:p w14:paraId="5EC17A2F" w14:textId="77777777" w:rsidR="00B2442D" w:rsidRDefault="00B2442D">
      <w:pPr>
        <w:pStyle w:val="Textoindependiente"/>
        <w:spacing w:line="40" w:lineRule="atLeast"/>
        <w:ind w:left="426" w:right="-30" w:hanging="426"/>
        <w:jc w:val="both"/>
        <w:rPr>
          <w:rFonts w:cs="Arial"/>
          <w:lang w:val="es-CO"/>
        </w:rPr>
      </w:pPr>
    </w:p>
    <w:p w14:paraId="3F795689" w14:textId="77777777" w:rsidR="00B2442D" w:rsidRDefault="008A645F">
      <w:pPr>
        <w:pStyle w:val="Textoindependiente"/>
        <w:numPr>
          <w:ilvl w:val="0"/>
          <w:numId w:val="150"/>
        </w:numPr>
        <w:spacing w:line="40" w:lineRule="atLeast"/>
        <w:ind w:left="426" w:right="-30" w:hanging="426"/>
        <w:jc w:val="both"/>
        <w:rPr>
          <w:rFonts w:cs="Arial"/>
          <w:lang w:val="es-CO"/>
        </w:rPr>
      </w:pPr>
      <w:r>
        <w:rPr>
          <w:rFonts w:cs="Arial"/>
          <w:lang w:val="es-CO"/>
        </w:rPr>
        <w:t xml:space="preserve">Los apoderados generales y mandatarios especiales que no sean </w:t>
      </w:r>
      <w:r>
        <w:rPr>
          <w:rFonts w:cs="Arial"/>
          <w:lang w:val="es-CO"/>
        </w:rPr>
        <w:t>abogados. En este caso se requiere poder otorgado mediante escritura pública, de conformidad con lo establecido en el artículo 572-1 del Estatuto Tributario.</w:t>
      </w:r>
    </w:p>
    <w:p w14:paraId="2CF98A1B" w14:textId="77777777" w:rsidR="00B2442D" w:rsidRDefault="00B2442D">
      <w:pPr>
        <w:pStyle w:val="Textoindependiente"/>
        <w:spacing w:line="40" w:lineRule="atLeast"/>
        <w:ind w:left="426" w:right="-30" w:hanging="426"/>
        <w:jc w:val="both"/>
        <w:rPr>
          <w:rFonts w:cs="Arial"/>
          <w:lang w:val="es-CO"/>
        </w:rPr>
      </w:pPr>
    </w:p>
    <w:p w14:paraId="7C33FA75" w14:textId="77777777" w:rsidR="00B2442D" w:rsidRDefault="008A645F">
      <w:pPr>
        <w:pStyle w:val="Textoindependiente"/>
        <w:numPr>
          <w:ilvl w:val="0"/>
          <w:numId w:val="150"/>
        </w:numPr>
        <w:spacing w:line="40" w:lineRule="atLeast"/>
        <w:ind w:left="426" w:right="-30" w:hanging="426"/>
        <w:jc w:val="both"/>
        <w:rPr>
          <w:rFonts w:cs="Arial"/>
          <w:lang w:val="es-CO"/>
        </w:rPr>
      </w:pPr>
      <w:r>
        <w:rPr>
          <w:rFonts w:cs="Arial"/>
          <w:lang w:val="es-CO"/>
        </w:rPr>
        <w:t>pagador</w:t>
      </w:r>
      <w:r>
        <w:rPr>
          <w:rFonts w:cs="Arial"/>
          <w:spacing w:val="20"/>
          <w:lang w:val="es-CO"/>
        </w:rPr>
        <w:t xml:space="preserve"> </w:t>
      </w:r>
      <w:r>
        <w:rPr>
          <w:rFonts w:cs="Arial"/>
          <w:lang w:val="es-CO"/>
        </w:rPr>
        <w:t>respectivo</w:t>
      </w:r>
      <w:r>
        <w:rPr>
          <w:rFonts w:cs="Arial"/>
          <w:spacing w:val="14"/>
          <w:lang w:val="es-CO"/>
        </w:rPr>
        <w:t xml:space="preserve"> </w:t>
      </w:r>
      <w:r>
        <w:rPr>
          <w:rFonts w:cs="Arial"/>
          <w:lang w:val="es-CO"/>
        </w:rPr>
        <w:t>o</w:t>
      </w:r>
      <w:r>
        <w:rPr>
          <w:rFonts w:cs="Arial"/>
          <w:spacing w:val="4"/>
          <w:lang w:val="es-CO"/>
        </w:rPr>
        <w:t xml:space="preserve"> </w:t>
      </w:r>
      <w:r>
        <w:rPr>
          <w:rFonts w:cs="Arial"/>
          <w:lang w:val="es-CO"/>
        </w:rPr>
        <w:t>quien</w:t>
      </w:r>
      <w:r>
        <w:rPr>
          <w:rFonts w:cs="Arial"/>
          <w:spacing w:val="22"/>
          <w:lang w:val="es-CO"/>
        </w:rPr>
        <w:t xml:space="preserve"> </w:t>
      </w:r>
      <w:r>
        <w:rPr>
          <w:rFonts w:cs="Arial"/>
          <w:lang w:val="es-CO"/>
        </w:rPr>
        <w:t>haga</w:t>
      </w:r>
      <w:r>
        <w:rPr>
          <w:rFonts w:cs="Arial"/>
          <w:spacing w:val="3"/>
          <w:lang w:val="es-CO"/>
        </w:rPr>
        <w:t xml:space="preserve"> </w:t>
      </w:r>
      <w:r>
        <w:rPr>
          <w:rFonts w:cs="Arial"/>
          <w:lang w:val="es-CO"/>
        </w:rPr>
        <w:t>sus</w:t>
      </w:r>
      <w:r>
        <w:rPr>
          <w:rFonts w:cs="Arial"/>
          <w:spacing w:val="6"/>
          <w:lang w:val="es-CO"/>
        </w:rPr>
        <w:t xml:space="preserve"> </w:t>
      </w:r>
      <w:r>
        <w:rPr>
          <w:rFonts w:cs="Arial"/>
          <w:lang w:val="es-CO"/>
        </w:rPr>
        <w:t>veces,</w:t>
      </w:r>
      <w:r>
        <w:rPr>
          <w:rFonts w:cs="Arial"/>
          <w:spacing w:val="20"/>
          <w:lang w:val="es-CO"/>
        </w:rPr>
        <w:t xml:space="preserve"> </w:t>
      </w:r>
      <w:r>
        <w:rPr>
          <w:rFonts w:cs="Arial"/>
          <w:lang w:val="es-CO"/>
        </w:rPr>
        <w:t>cuando</w:t>
      </w:r>
      <w:r>
        <w:rPr>
          <w:rFonts w:cs="Arial"/>
          <w:spacing w:val="19"/>
          <w:lang w:val="es-CO"/>
        </w:rPr>
        <w:t xml:space="preserve"> </w:t>
      </w:r>
      <w:r>
        <w:rPr>
          <w:rFonts w:cs="Arial"/>
          <w:lang w:val="es-CO"/>
        </w:rPr>
        <w:t>el</w:t>
      </w:r>
      <w:r>
        <w:rPr>
          <w:rFonts w:cs="Arial"/>
          <w:spacing w:val="-3"/>
          <w:lang w:val="es-CO"/>
        </w:rPr>
        <w:t xml:space="preserve"> </w:t>
      </w:r>
      <w:r>
        <w:rPr>
          <w:rFonts w:cs="Arial"/>
          <w:lang w:val="es-CO"/>
        </w:rPr>
        <w:t>declarante</w:t>
      </w:r>
      <w:r>
        <w:rPr>
          <w:rFonts w:cs="Arial"/>
          <w:spacing w:val="19"/>
          <w:lang w:val="es-CO"/>
        </w:rPr>
        <w:t xml:space="preserve"> </w:t>
      </w:r>
      <w:r>
        <w:rPr>
          <w:rFonts w:cs="Arial"/>
          <w:lang w:val="es-CO"/>
        </w:rPr>
        <w:t>de</w:t>
      </w:r>
      <w:r>
        <w:rPr>
          <w:rFonts w:cs="Arial"/>
          <w:spacing w:val="14"/>
          <w:lang w:val="es-CO"/>
        </w:rPr>
        <w:t xml:space="preserve"> </w:t>
      </w:r>
      <w:r>
        <w:rPr>
          <w:rFonts w:cs="Arial"/>
          <w:lang w:val="es-CO"/>
        </w:rPr>
        <w:t>retención</w:t>
      </w:r>
      <w:r>
        <w:rPr>
          <w:rFonts w:cs="Arial"/>
          <w:w w:val="98"/>
          <w:lang w:val="es-CO"/>
        </w:rPr>
        <w:t xml:space="preserve"> </w:t>
      </w:r>
      <w:r>
        <w:rPr>
          <w:rFonts w:cs="Arial"/>
          <w:lang w:val="es-CO"/>
        </w:rPr>
        <w:t>sea</w:t>
      </w:r>
      <w:r>
        <w:rPr>
          <w:rFonts w:cs="Arial"/>
          <w:spacing w:val="27"/>
          <w:lang w:val="es-CO"/>
        </w:rPr>
        <w:t xml:space="preserve"> </w:t>
      </w:r>
      <w:r>
        <w:rPr>
          <w:rFonts w:cs="Arial"/>
          <w:lang w:val="es-CO"/>
        </w:rPr>
        <w:t>la</w:t>
      </w:r>
      <w:r>
        <w:rPr>
          <w:rFonts w:cs="Arial"/>
          <w:spacing w:val="19"/>
          <w:lang w:val="es-CO"/>
        </w:rPr>
        <w:t xml:space="preserve"> </w:t>
      </w:r>
      <w:r>
        <w:rPr>
          <w:rFonts w:cs="Arial"/>
          <w:lang w:val="es-CO"/>
        </w:rPr>
        <w:t>Nación,</w:t>
      </w:r>
      <w:r>
        <w:rPr>
          <w:rFonts w:cs="Arial"/>
          <w:spacing w:val="33"/>
          <w:lang w:val="es-CO"/>
        </w:rPr>
        <w:t xml:space="preserve"> </w:t>
      </w:r>
      <w:r>
        <w:rPr>
          <w:rFonts w:cs="Arial"/>
          <w:lang w:val="es-CO"/>
        </w:rPr>
        <w:t>los</w:t>
      </w:r>
      <w:r>
        <w:rPr>
          <w:rFonts w:cs="Arial"/>
          <w:spacing w:val="19"/>
          <w:lang w:val="es-CO"/>
        </w:rPr>
        <w:t xml:space="preserve"> </w:t>
      </w:r>
      <w:r>
        <w:rPr>
          <w:rFonts w:cs="Arial"/>
          <w:lang w:val="es-CO"/>
        </w:rPr>
        <w:t>D</w:t>
      </w:r>
      <w:r>
        <w:rPr>
          <w:rFonts w:cs="Arial"/>
          <w:lang w:val="es-CO"/>
        </w:rPr>
        <w:t>epartamentos,</w:t>
      </w:r>
      <w:r>
        <w:rPr>
          <w:rFonts w:cs="Arial"/>
          <w:spacing w:val="38"/>
          <w:lang w:val="es-CO"/>
        </w:rPr>
        <w:t xml:space="preserve"> </w:t>
      </w:r>
      <w:r>
        <w:rPr>
          <w:rFonts w:cs="Arial"/>
          <w:lang w:val="es-CO"/>
        </w:rPr>
        <w:t>Municipios,</w:t>
      </w:r>
      <w:r>
        <w:rPr>
          <w:rFonts w:cs="Arial"/>
          <w:spacing w:val="26"/>
          <w:lang w:val="es-CO"/>
        </w:rPr>
        <w:t xml:space="preserve"> </w:t>
      </w:r>
      <w:r>
        <w:rPr>
          <w:rFonts w:cs="Arial"/>
          <w:lang w:val="es-CO"/>
        </w:rPr>
        <w:t>el</w:t>
      </w:r>
      <w:r>
        <w:rPr>
          <w:rFonts w:cs="Arial"/>
          <w:spacing w:val="15"/>
          <w:lang w:val="es-CO"/>
        </w:rPr>
        <w:t xml:space="preserve"> </w:t>
      </w:r>
      <w:r>
        <w:rPr>
          <w:rFonts w:cs="Arial"/>
          <w:lang w:val="es-CO"/>
        </w:rPr>
        <w:t>Distrito</w:t>
      </w:r>
      <w:r>
        <w:rPr>
          <w:rFonts w:cs="Arial"/>
          <w:spacing w:val="21"/>
          <w:lang w:val="es-CO"/>
        </w:rPr>
        <w:t xml:space="preserve"> </w:t>
      </w:r>
      <w:r>
        <w:rPr>
          <w:rFonts w:cs="Arial"/>
          <w:lang w:val="es-CO"/>
        </w:rPr>
        <w:t>Capital</w:t>
      </w:r>
      <w:r>
        <w:rPr>
          <w:rFonts w:cs="Arial"/>
          <w:spacing w:val="13"/>
          <w:lang w:val="es-CO"/>
        </w:rPr>
        <w:t xml:space="preserve"> </w:t>
      </w:r>
      <w:r>
        <w:rPr>
          <w:rFonts w:cs="Arial"/>
          <w:lang w:val="es-CO"/>
        </w:rPr>
        <w:t>de</w:t>
      </w:r>
      <w:r>
        <w:rPr>
          <w:rFonts w:cs="Arial"/>
          <w:spacing w:val="23"/>
          <w:lang w:val="es-CO"/>
        </w:rPr>
        <w:t xml:space="preserve"> </w:t>
      </w:r>
      <w:r>
        <w:rPr>
          <w:rFonts w:cs="Arial"/>
          <w:lang w:val="es-CO"/>
        </w:rPr>
        <w:t>Bogotá</w:t>
      </w:r>
      <w:r>
        <w:rPr>
          <w:rFonts w:cs="Arial"/>
          <w:spacing w:val="16"/>
          <w:lang w:val="es-CO"/>
        </w:rPr>
        <w:t xml:space="preserve"> </w:t>
      </w:r>
      <w:r>
        <w:rPr>
          <w:rFonts w:cs="Arial"/>
          <w:lang w:val="es-CO"/>
        </w:rPr>
        <w:t>y las demás entidades</w:t>
      </w:r>
      <w:r>
        <w:rPr>
          <w:rFonts w:cs="Arial"/>
          <w:spacing w:val="33"/>
          <w:lang w:val="es-CO"/>
        </w:rPr>
        <w:t xml:space="preserve"> </w:t>
      </w:r>
      <w:r>
        <w:rPr>
          <w:rFonts w:cs="Arial"/>
          <w:lang w:val="es-CO"/>
        </w:rPr>
        <w:t>territoriales.</w:t>
      </w:r>
    </w:p>
    <w:p w14:paraId="711C53BC" w14:textId="77777777" w:rsidR="00B2442D" w:rsidRDefault="00B2442D">
      <w:pPr>
        <w:spacing w:line="40" w:lineRule="atLeast"/>
        <w:ind w:right="-30"/>
        <w:jc w:val="both"/>
        <w:rPr>
          <w:rFonts w:ascii="Arial" w:hAnsi="Arial" w:cs="Arial"/>
          <w:lang w:val="es-CO"/>
        </w:rPr>
      </w:pPr>
    </w:p>
    <w:p w14:paraId="66C54F9A" w14:textId="77777777" w:rsidR="00B2442D" w:rsidRDefault="008A645F">
      <w:pPr>
        <w:jc w:val="both"/>
        <w:rPr>
          <w:rFonts w:ascii="Arial" w:hAnsi="Arial" w:cs="Arial"/>
          <w:i/>
          <w:lang w:val="es-ES_tradnl"/>
        </w:rPr>
      </w:pPr>
      <w:r>
        <w:rPr>
          <w:rFonts w:ascii="Arial" w:hAnsi="Arial" w:cs="Arial"/>
          <w:i/>
          <w:lang w:val="es-ES_tradnl"/>
        </w:rPr>
        <w:t xml:space="preserve">(Art. 5, Decreto 2243 de 2015) (Plazos 2015: Decreto 2623 de 2014; plazos 2014: Decreto 2972 de 2013 y Decreto 685 de 2014; plazos 2013: Decreto 2634 de 2012 y </w:t>
      </w:r>
      <w:r>
        <w:rPr>
          <w:rFonts w:ascii="Arial" w:hAnsi="Arial" w:cs="Arial"/>
          <w:i/>
          <w:lang w:val="es-ES_tradnl"/>
        </w:rPr>
        <w:t>Decreto 0187 de 2013; plazos 2012: Decreto 4907 de 2011; plazos 2011: Decreto 4836 de 2010 y Decreto 1358 de 2011)</w:t>
      </w:r>
    </w:p>
    <w:p w14:paraId="3A8BADF9" w14:textId="77777777" w:rsidR="00B2442D" w:rsidRDefault="00B2442D">
      <w:pPr>
        <w:spacing w:line="40" w:lineRule="atLeast"/>
        <w:ind w:right="-30"/>
        <w:jc w:val="both"/>
        <w:rPr>
          <w:rFonts w:ascii="Arial" w:hAnsi="Arial" w:cs="Arial"/>
          <w:lang w:val="es-CO"/>
        </w:rPr>
      </w:pPr>
    </w:p>
    <w:p w14:paraId="1B9DF9EF" w14:textId="77777777" w:rsidR="00B2442D" w:rsidRDefault="008A645F">
      <w:pPr>
        <w:pStyle w:val="Textoindependiente"/>
        <w:spacing w:line="40" w:lineRule="atLeast"/>
        <w:ind w:right="-30"/>
        <w:rPr>
          <w:rFonts w:cs="Arial"/>
          <w:b/>
          <w:lang w:val="es-CO"/>
        </w:rPr>
      </w:pPr>
      <w:r>
        <w:rPr>
          <w:rFonts w:cs="Arial"/>
          <w:b/>
          <w:lang w:val="es-CO"/>
        </w:rPr>
        <w:t>IMPUESTO</w:t>
      </w:r>
      <w:r>
        <w:rPr>
          <w:rFonts w:cs="Arial"/>
          <w:b/>
          <w:spacing w:val="-3"/>
          <w:lang w:val="es-CO"/>
        </w:rPr>
        <w:t xml:space="preserve"> </w:t>
      </w:r>
      <w:r>
        <w:rPr>
          <w:rFonts w:cs="Arial"/>
          <w:b/>
          <w:lang w:val="es-CO"/>
        </w:rPr>
        <w:t>SOBRE</w:t>
      </w:r>
      <w:r>
        <w:rPr>
          <w:rFonts w:cs="Arial"/>
          <w:b/>
          <w:spacing w:val="12"/>
          <w:lang w:val="es-CO"/>
        </w:rPr>
        <w:t xml:space="preserve"> </w:t>
      </w:r>
      <w:r>
        <w:rPr>
          <w:rFonts w:cs="Arial"/>
          <w:b/>
          <w:lang w:val="es-CO"/>
        </w:rPr>
        <w:t>LA</w:t>
      </w:r>
      <w:r>
        <w:rPr>
          <w:rFonts w:cs="Arial"/>
          <w:b/>
          <w:spacing w:val="-4"/>
          <w:lang w:val="es-CO"/>
        </w:rPr>
        <w:t xml:space="preserve"> </w:t>
      </w:r>
      <w:r>
        <w:rPr>
          <w:rFonts w:cs="Arial"/>
          <w:b/>
          <w:lang w:val="es-CO"/>
        </w:rPr>
        <w:t>RENTA</w:t>
      </w:r>
      <w:r>
        <w:rPr>
          <w:rFonts w:cs="Arial"/>
          <w:b/>
          <w:spacing w:val="-6"/>
          <w:lang w:val="es-CO"/>
        </w:rPr>
        <w:t xml:space="preserve"> </w:t>
      </w:r>
      <w:r>
        <w:rPr>
          <w:rFonts w:cs="Arial"/>
          <w:b/>
          <w:lang w:val="es-CO"/>
        </w:rPr>
        <w:t>Y</w:t>
      </w:r>
      <w:r>
        <w:rPr>
          <w:rFonts w:cs="Arial"/>
          <w:b/>
          <w:spacing w:val="-1"/>
          <w:lang w:val="es-CO"/>
        </w:rPr>
        <w:t xml:space="preserve"> </w:t>
      </w:r>
      <w:r>
        <w:rPr>
          <w:rFonts w:cs="Arial"/>
          <w:b/>
          <w:lang w:val="es-CO"/>
        </w:rPr>
        <w:t>COMPLEMENTARIO</w:t>
      </w:r>
    </w:p>
    <w:p w14:paraId="1689FC73" w14:textId="77777777" w:rsidR="00B2442D" w:rsidRDefault="00B2442D">
      <w:pPr>
        <w:spacing w:line="40" w:lineRule="atLeast"/>
        <w:ind w:right="-30"/>
        <w:jc w:val="both"/>
        <w:rPr>
          <w:rFonts w:ascii="Arial" w:hAnsi="Arial" w:cs="Arial"/>
          <w:lang w:val="es-CO"/>
        </w:rPr>
      </w:pPr>
    </w:p>
    <w:p w14:paraId="46A68B36"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Contribuyentes obligados</w:t>
      </w:r>
      <w:r>
        <w:rPr>
          <w:rFonts w:cs="Arial"/>
          <w:b/>
          <w:i/>
          <w:spacing w:val="58"/>
          <w:lang w:val="es-CO"/>
        </w:rPr>
        <w:t xml:space="preserve"> </w:t>
      </w:r>
      <w:r>
        <w:rPr>
          <w:rFonts w:cs="Arial"/>
          <w:b/>
          <w:i/>
          <w:lang w:val="es-CO"/>
        </w:rPr>
        <w:t>a</w:t>
      </w:r>
      <w:r>
        <w:rPr>
          <w:rFonts w:cs="Arial"/>
          <w:b/>
          <w:i/>
          <w:spacing w:val="1"/>
          <w:lang w:val="es-CO"/>
        </w:rPr>
        <w:t xml:space="preserve"> </w:t>
      </w:r>
      <w:r>
        <w:rPr>
          <w:rFonts w:cs="Arial"/>
          <w:b/>
          <w:i/>
          <w:lang w:val="es-CO"/>
        </w:rPr>
        <w:t>presentar</w:t>
      </w:r>
      <w:r>
        <w:rPr>
          <w:rFonts w:cs="Arial"/>
          <w:b/>
          <w:i/>
          <w:spacing w:val="19"/>
          <w:lang w:val="es-CO"/>
        </w:rPr>
        <w:t xml:space="preserve"> </w:t>
      </w:r>
      <w:r>
        <w:rPr>
          <w:rFonts w:cs="Arial"/>
          <w:b/>
          <w:i/>
          <w:lang w:val="es-CO"/>
        </w:rPr>
        <w:t>declaración del</w:t>
      </w:r>
      <w:r>
        <w:rPr>
          <w:rFonts w:cs="Arial"/>
          <w:b/>
          <w:i/>
          <w:spacing w:val="61"/>
          <w:lang w:val="es-CO"/>
        </w:rPr>
        <w:t xml:space="preserve"> </w:t>
      </w:r>
      <w:r>
        <w:rPr>
          <w:rFonts w:cs="Arial"/>
          <w:b/>
          <w:i/>
          <w:lang w:val="es-CO"/>
        </w:rPr>
        <w:t xml:space="preserve">impuesto sobre la renta y </w:t>
      </w:r>
      <w:r>
        <w:rPr>
          <w:rFonts w:cs="Arial"/>
          <w:b/>
          <w:i/>
          <w:lang w:val="es-CO"/>
        </w:rPr>
        <w:t>complementario.</w:t>
      </w:r>
      <w:r>
        <w:rPr>
          <w:rFonts w:cs="Arial"/>
          <w:lang w:val="es-CO"/>
        </w:rPr>
        <w:t xml:space="preserve"> </w:t>
      </w:r>
      <w:r>
        <w:rPr>
          <w:rFonts w:cs="Arial"/>
          <w:spacing w:val="43"/>
          <w:lang w:val="es-CO"/>
        </w:rPr>
        <w:t xml:space="preserve"> </w:t>
      </w:r>
      <w:r>
        <w:rPr>
          <w:rFonts w:cs="Arial"/>
          <w:lang w:val="es-CO"/>
        </w:rPr>
        <w:t>Están obligados a presentar declaración del impuesto sobre la renta y complementario por el año gravable 2016, todos los contribuyentes sometidos a dicho impuesto, con excepción de los que se enumeran en el artículo siguiente.</w:t>
      </w:r>
    </w:p>
    <w:p w14:paraId="7E3782BC" w14:textId="77777777" w:rsidR="00B2442D" w:rsidRDefault="00B2442D">
      <w:pPr>
        <w:pStyle w:val="Textoindependiente"/>
        <w:spacing w:line="40" w:lineRule="atLeast"/>
        <w:ind w:right="-30"/>
        <w:jc w:val="both"/>
        <w:rPr>
          <w:rFonts w:cs="Arial"/>
          <w:lang w:val="es-CO"/>
        </w:rPr>
      </w:pPr>
    </w:p>
    <w:p w14:paraId="329F6A9F"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lang w:val="es-CO"/>
        </w:rPr>
        <w:t xml:space="preserve"> </w:t>
      </w:r>
      <w:r>
        <w:rPr>
          <w:rFonts w:cs="Arial"/>
          <w:lang w:val="es-CO"/>
        </w:rPr>
        <w:t>Son contribuyentes del impuesto sobre la renta y complementario las Cajas de Compensación Familiar y los fondos de empleados, con respecto a los ingresos generados en actividades industriales, comerciales y en actividades financieras distintas a la inversi</w:t>
      </w:r>
      <w:r>
        <w:rPr>
          <w:rFonts w:cs="Arial"/>
          <w:lang w:val="es-CO"/>
        </w:rPr>
        <w:t>ón de su patrimonio, diferentes a las relacionadas con salud, educación, recreación y desarrollo social”.</w:t>
      </w:r>
    </w:p>
    <w:p w14:paraId="28CA2736" w14:textId="77777777" w:rsidR="00B2442D" w:rsidRDefault="00B2442D">
      <w:pPr>
        <w:pStyle w:val="Textoindependiente"/>
        <w:spacing w:line="40" w:lineRule="atLeast"/>
        <w:ind w:right="-30"/>
        <w:jc w:val="both"/>
        <w:rPr>
          <w:rFonts w:cs="Arial"/>
          <w:lang w:val="es-CO"/>
        </w:rPr>
      </w:pPr>
    </w:p>
    <w:p w14:paraId="6E4F0719" w14:textId="77777777" w:rsidR="00B2442D" w:rsidRDefault="008A645F">
      <w:pPr>
        <w:pStyle w:val="Textoindependiente"/>
        <w:spacing w:line="40" w:lineRule="atLeast"/>
        <w:ind w:right="-30"/>
        <w:jc w:val="both"/>
        <w:rPr>
          <w:rFonts w:cs="Arial"/>
          <w:i/>
          <w:lang w:val="es-CO"/>
        </w:rPr>
      </w:pPr>
      <w:r>
        <w:rPr>
          <w:rFonts w:cs="Arial"/>
          <w:i/>
          <w:lang w:val="es-CO"/>
        </w:rPr>
        <w:t>(</w:t>
      </w:r>
      <w:hyperlink r:id="rId40" w:history="1">
        <w:r>
          <w:rPr>
            <w:rStyle w:val="Hipervnculo"/>
            <w:rFonts w:cs="Arial"/>
            <w:i/>
            <w:lang w:val="es-CO"/>
          </w:rPr>
          <w:t>Art. 2 Decreto 2105 de 2016</w:t>
        </w:r>
      </w:hyperlink>
      <w:r>
        <w:rPr>
          <w:rFonts w:cs="Arial"/>
          <w:i/>
          <w:lang w:val="es-CO"/>
        </w:rPr>
        <w:t>, plazos 2016: D</w:t>
      </w:r>
      <w:r>
        <w:rPr>
          <w:rFonts w:cs="Arial"/>
          <w:i/>
          <w:lang w:val="es-CO"/>
        </w:rPr>
        <w:t>ecreto 2243 de 2015; plazos 2015: Decreto 2623 de 2014; plazos 2014: Decreto 2972 de 2013 y Decreto 685 de 2014; plazos 2013: Decreto 2634 de 2012 y Decreto 0187 de 2013; plazos 2012: Decreto 4907 de 2011; plazos 2011: Decreto 4836 de 2010 y Decreto 1358 d</w:t>
      </w:r>
      <w:r>
        <w:rPr>
          <w:rFonts w:cs="Arial"/>
          <w:i/>
          <w:lang w:val="es-CO"/>
        </w:rPr>
        <w:t>e 2011)</w:t>
      </w:r>
    </w:p>
    <w:p w14:paraId="68D04B08" w14:textId="77777777" w:rsidR="00B2442D" w:rsidRDefault="00B2442D">
      <w:pPr>
        <w:pStyle w:val="Textoindependiente"/>
        <w:spacing w:line="40" w:lineRule="atLeast"/>
        <w:ind w:left="720" w:right="-30"/>
        <w:jc w:val="both"/>
        <w:rPr>
          <w:rFonts w:cs="Arial"/>
          <w:lang w:val="es-CO"/>
        </w:rPr>
      </w:pPr>
    </w:p>
    <w:p w14:paraId="19DB62FA"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lang w:val="es-CO"/>
        </w:rPr>
        <w:t xml:space="preserve"> </w:t>
      </w:r>
      <w:r>
        <w:rPr>
          <w:rFonts w:cs="Arial"/>
          <w:b/>
          <w:i/>
          <w:lang w:val="es-CO"/>
        </w:rPr>
        <w:t>Contribuyentes no obligados a presentar</w:t>
      </w:r>
      <w:r>
        <w:rPr>
          <w:rFonts w:cs="Arial"/>
          <w:b/>
          <w:i/>
          <w:w w:val="98"/>
          <w:lang w:val="es-CO"/>
        </w:rPr>
        <w:t xml:space="preserve"> declaración del </w:t>
      </w:r>
      <w:r>
        <w:rPr>
          <w:rFonts w:cs="Arial"/>
          <w:b/>
          <w:i/>
          <w:lang w:val="es-CO"/>
        </w:rPr>
        <w:t>impuesto</w:t>
      </w:r>
      <w:r>
        <w:rPr>
          <w:rFonts w:cs="Arial"/>
          <w:b/>
          <w:i/>
          <w:spacing w:val="47"/>
          <w:lang w:val="es-CO"/>
        </w:rPr>
        <w:t xml:space="preserve"> </w:t>
      </w:r>
      <w:r>
        <w:rPr>
          <w:rFonts w:cs="Arial"/>
          <w:b/>
          <w:i/>
          <w:lang w:val="es-CO"/>
        </w:rPr>
        <w:t>sobre</w:t>
      </w:r>
      <w:r>
        <w:rPr>
          <w:rFonts w:cs="Arial"/>
          <w:b/>
          <w:i/>
          <w:spacing w:val="57"/>
          <w:lang w:val="es-CO"/>
        </w:rPr>
        <w:t xml:space="preserve"> </w:t>
      </w:r>
      <w:r>
        <w:rPr>
          <w:rFonts w:cs="Arial"/>
          <w:b/>
          <w:i/>
          <w:lang w:val="es-CO"/>
        </w:rPr>
        <w:t>la</w:t>
      </w:r>
      <w:r>
        <w:rPr>
          <w:rFonts w:cs="Arial"/>
          <w:b/>
          <w:i/>
          <w:spacing w:val="49"/>
          <w:lang w:val="es-CO"/>
        </w:rPr>
        <w:t xml:space="preserve"> </w:t>
      </w:r>
      <w:r>
        <w:rPr>
          <w:rFonts w:cs="Arial"/>
          <w:b/>
          <w:i/>
          <w:lang w:val="es-CO"/>
        </w:rPr>
        <w:t>renta</w:t>
      </w:r>
      <w:r>
        <w:rPr>
          <w:rFonts w:cs="Arial"/>
          <w:b/>
          <w:i/>
          <w:spacing w:val="43"/>
          <w:lang w:val="es-CO"/>
        </w:rPr>
        <w:t xml:space="preserve"> </w:t>
      </w:r>
      <w:r>
        <w:rPr>
          <w:rFonts w:cs="Arial"/>
          <w:b/>
          <w:i/>
          <w:lang w:val="es-CO"/>
        </w:rPr>
        <w:t>y</w:t>
      </w:r>
      <w:r>
        <w:rPr>
          <w:rFonts w:cs="Arial"/>
          <w:b/>
          <w:i/>
          <w:spacing w:val="55"/>
          <w:lang w:val="es-CO"/>
        </w:rPr>
        <w:t xml:space="preserve"> </w:t>
      </w:r>
      <w:r>
        <w:rPr>
          <w:rFonts w:cs="Arial"/>
          <w:b/>
          <w:i/>
          <w:lang w:val="es-CO"/>
        </w:rPr>
        <w:t>complementario.</w:t>
      </w:r>
      <w:r>
        <w:rPr>
          <w:rFonts w:cs="Arial"/>
          <w:lang w:val="es-CO"/>
        </w:rPr>
        <w:t xml:space="preserve"> No están obligados a presentar declaración del impuesto sobre la renta y complementario por el año gravable 2016 los siguientes contribuyentes:</w:t>
      </w:r>
    </w:p>
    <w:p w14:paraId="1070C7F9" w14:textId="77777777" w:rsidR="00B2442D" w:rsidRDefault="00B2442D">
      <w:pPr>
        <w:spacing w:line="40" w:lineRule="atLeast"/>
        <w:ind w:right="-30"/>
        <w:jc w:val="both"/>
        <w:rPr>
          <w:rFonts w:ascii="Arial" w:hAnsi="Arial" w:cs="Arial"/>
          <w:lang w:val="es-CO"/>
        </w:rPr>
      </w:pPr>
    </w:p>
    <w:p w14:paraId="51B442F2" w14:textId="77777777" w:rsidR="00B2442D" w:rsidRDefault="008A645F">
      <w:pPr>
        <w:spacing w:line="40" w:lineRule="atLeast"/>
        <w:ind w:left="284" w:hanging="284"/>
        <w:jc w:val="both"/>
        <w:rPr>
          <w:rFonts w:ascii="Arial" w:hAnsi="Arial" w:cs="Arial"/>
        </w:rPr>
      </w:pPr>
      <w:r>
        <w:rPr>
          <w:rFonts w:ascii="Arial" w:hAnsi="Arial" w:cs="Arial"/>
        </w:rPr>
        <w:t xml:space="preserve">a) Los empleados cuyos ingresos provengan, en una proporción igual o superior a un ochenta por ciento </w:t>
      </w:r>
      <w:r>
        <w:rPr>
          <w:rFonts w:ascii="Arial" w:hAnsi="Arial" w:cs="Arial"/>
        </w:rPr>
        <w:t>(80%), de la prestación de servicios de manera personal o de la realización de una actividad económica por cuenta y riesgo del empleador o contratante, mediante una vinculación laboral o legal y reglamentaria o de cualquier otra naturaleza, independienteme</w:t>
      </w:r>
      <w:r>
        <w:rPr>
          <w:rFonts w:ascii="Arial" w:hAnsi="Arial" w:cs="Arial"/>
        </w:rPr>
        <w:t>nte de su denominación. Serán considerados como empleados los trabajadores que presten servicios personales mediante el ejercicio de profesiones liberales o que presten servicios técnicos que no requieran la utilización de materiales o insumos especializad</w:t>
      </w:r>
      <w:r>
        <w:rPr>
          <w:rFonts w:ascii="Arial" w:hAnsi="Arial" w:cs="Arial"/>
        </w:rPr>
        <w:t>os o de maquinaria o equipo especializado, siempre que sus ingresos correspondan en un porcentaje igual o superior al (80%) del ejercicio de dichas actividades, que no sean responsables del impuesto sobre las ventas del régimen común, siempre y cuando en r</w:t>
      </w:r>
      <w:r>
        <w:rPr>
          <w:rFonts w:ascii="Arial" w:hAnsi="Arial" w:cs="Arial"/>
        </w:rPr>
        <w:t>elación con el año gravable 2016 se cumplan la totalidad de los siguientes requisitos adicionales:</w:t>
      </w:r>
    </w:p>
    <w:p w14:paraId="0B790D31" w14:textId="77777777" w:rsidR="00B2442D" w:rsidRDefault="00B2442D">
      <w:pPr>
        <w:spacing w:line="40" w:lineRule="atLeast"/>
        <w:jc w:val="both"/>
        <w:rPr>
          <w:rFonts w:ascii="Arial" w:hAnsi="Arial" w:cs="Arial"/>
        </w:rPr>
      </w:pPr>
    </w:p>
    <w:p w14:paraId="3DFBCB05" w14:textId="77777777" w:rsidR="00B2442D" w:rsidRDefault="008A645F">
      <w:pPr>
        <w:numPr>
          <w:ilvl w:val="0"/>
          <w:numId w:val="198"/>
        </w:numPr>
        <w:spacing w:line="40" w:lineRule="atLeast"/>
        <w:ind w:left="567" w:hanging="283"/>
        <w:jc w:val="both"/>
        <w:rPr>
          <w:rFonts w:ascii="Arial" w:hAnsi="Arial" w:cs="Arial"/>
        </w:rPr>
      </w:pPr>
      <w:r>
        <w:rPr>
          <w:rFonts w:ascii="Arial" w:hAnsi="Arial" w:cs="Arial"/>
        </w:rPr>
        <w:t>Que el patrimonio bruto en el último día del año gravable 2016 no exceda de cuatro mil quinientas (4.500) UVT ($133.889.000).</w:t>
      </w:r>
    </w:p>
    <w:p w14:paraId="7FA85DD2" w14:textId="77777777" w:rsidR="00B2442D" w:rsidRDefault="00B2442D">
      <w:pPr>
        <w:spacing w:line="40" w:lineRule="atLeast"/>
        <w:ind w:left="567" w:hanging="283"/>
        <w:jc w:val="both"/>
        <w:rPr>
          <w:rFonts w:ascii="Arial" w:hAnsi="Arial" w:cs="Arial"/>
        </w:rPr>
      </w:pPr>
    </w:p>
    <w:p w14:paraId="79244DC7" w14:textId="77777777" w:rsidR="00B2442D" w:rsidRDefault="008A645F">
      <w:pPr>
        <w:numPr>
          <w:ilvl w:val="0"/>
          <w:numId w:val="198"/>
        </w:numPr>
        <w:spacing w:line="40" w:lineRule="atLeast"/>
        <w:ind w:left="567" w:hanging="283"/>
        <w:jc w:val="both"/>
        <w:rPr>
          <w:rFonts w:ascii="Arial" w:hAnsi="Arial" w:cs="Arial"/>
        </w:rPr>
      </w:pPr>
      <w:r>
        <w:rPr>
          <w:rFonts w:ascii="Arial" w:hAnsi="Arial" w:cs="Arial"/>
        </w:rPr>
        <w:t xml:space="preserve">Que los ingresos brutos sean </w:t>
      </w:r>
      <w:r>
        <w:rPr>
          <w:rFonts w:ascii="Arial" w:hAnsi="Arial" w:cs="Arial"/>
        </w:rPr>
        <w:t>inferiores a mil cuatrocientas (1.400) UVT ($41.654.000).</w:t>
      </w:r>
    </w:p>
    <w:p w14:paraId="00C8BB51" w14:textId="77777777" w:rsidR="00B2442D" w:rsidRDefault="00B2442D">
      <w:pPr>
        <w:spacing w:line="40" w:lineRule="atLeast"/>
        <w:ind w:left="567" w:hanging="283"/>
        <w:jc w:val="both"/>
        <w:rPr>
          <w:rFonts w:ascii="Arial" w:hAnsi="Arial" w:cs="Arial"/>
        </w:rPr>
      </w:pPr>
    </w:p>
    <w:p w14:paraId="2FC6B4D2" w14:textId="77777777" w:rsidR="00B2442D" w:rsidRDefault="008A645F">
      <w:pPr>
        <w:numPr>
          <w:ilvl w:val="0"/>
          <w:numId w:val="198"/>
        </w:numPr>
        <w:spacing w:line="40" w:lineRule="atLeast"/>
        <w:ind w:left="567" w:hanging="283"/>
        <w:jc w:val="both"/>
        <w:rPr>
          <w:rFonts w:ascii="Arial" w:hAnsi="Arial" w:cs="Arial"/>
        </w:rPr>
      </w:pPr>
      <w:r>
        <w:rPr>
          <w:rFonts w:ascii="Arial" w:hAnsi="Arial" w:cs="Arial"/>
        </w:rPr>
        <w:t>Que los consumos mediante tarjeta de crédito no excedan de dos mil ochocientas (2.800) UVT ($83.308.000).</w:t>
      </w:r>
    </w:p>
    <w:p w14:paraId="75139E13" w14:textId="77777777" w:rsidR="00B2442D" w:rsidRDefault="00B2442D">
      <w:pPr>
        <w:spacing w:line="40" w:lineRule="atLeast"/>
        <w:ind w:left="567" w:hanging="283"/>
        <w:jc w:val="both"/>
        <w:rPr>
          <w:rFonts w:ascii="Arial" w:hAnsi="Arial" w:cs="Arial"/>
        </w:rPr>
      </w:pPr>
    </w:p>
    <w:p w14:paraId="0CA436AE" w14:textId="77777777" w:rsidR="00B2442D" w:rsidRDefault="008A645F">
      <w:pPr>
        <w:numPr>
          <w:ilvl w:val="0"/>
          <w:numId w:val="198"/>
        </w:numPr>
        <w:spacing w:line="40" w:lineRule="atLeast"/>
        <w:ind w:left="567" w:hanging="283"/>
        <w:jc w:val="both"/>
        <w:rPr>
          <w:rFonts w:ascii="Arial" w:hAnsi="Arial" w:cs="Arial"/>
        </w:rPr>
      </w:pPr>
      <w:r>
        <w:rPr>
          <w:rFonts w:ascii="Arial" w:hAnsi="Arial" w:cs="Arial"/>
        </w:rPr>
        <w:t>Que el valor total de compras y consumos no supere las dos mil ochocientas (2.800) UVT ($8</w:t>
      </w:r>
      <w:r>
        <w:rPr>
          <w:rFonts w:ascii="Arial" w:hAnsi="Arial" w:cs="Arial"/>
        </w:rPr>
        <w:t>3.308.000).</w:t>
      </w:r>
    </w:p>
    <w:p w14:paraId="12D25F25" w14:textId="77777777" w:rsidR="00B2442D" w:rsidRDefault="00B2442D">
      <w:pPr>
        <w:spacing w:line="40" w:lineRule="atLeast"/>
        <w:ind w:left="567" w:hanging="283"/>
        <w:jc w:val="both"/>
        <w:rPr>
          <w:rFonts w:ascii="Arial" w:hAnsi="Arial" w:cs="Arial"/>
        </w:rPr>
      </w:pPr>
    </w:p>
    <w:p w14:paraId="2B98CF2E" w14:textId="77777777" w:rsidR="00B2442D" w:rsidRDefault="008A645F">
      <w:pPr>
        <w:numPr>
          <w:ilvl w:val="0"/>
          <w:numId w:val="198"/>
        </w:numPr>
        <w:spacing w:line="40" w:lineRule="atLeast"/>
        <w:ind w:left="567" w:hanging="283"/>
        <w:jc w:val="both"/>
        <w:rPr>
          <w:rFonts w:ascii="Arial" w:hAnsi="Arial" w:cs="Arial"/>
        </w:rPr>
      </w:pPr>
      <w:r>
        <w:rPr>
          <w:rFonts w:ascii="Arial" w:hAnsi="Arial" w:cs="Arial"/>
        </w:rPr>
        <w:t>Que el valor total acumulado de consignaciones bancarias, depósitos o inversiones financieras, no excedan de cuatro mil quinientas (4.500) UVT ($133.889.000).</w:t>
      </w:r>
    </w:p>
    <w:p w14:paraId="2050EF28" w14:textId="77777777" w:rsidR="00B2442D" w:rsidRDefault="00B2442D">
      <w:pPr>
        <w:spacing w:line="40" w:lineRule="atLeast"/>
        <w:jc w:val="both"/>
        <w:rPr>
          <w:rFonts w:ascii="Arial" w:hAnsi="Arial" w:cs="Arial"/>
        </w:rPr>
      </w:pPr>
    </w:p>
    <w:p w14:paraId="5BF38408" w14:textId="77777777" w:rsidR="00B2442D" w:rsidRDefault="008A645F">
      <w:pPr>
        <w:spacing w:line="40" w:lineRule="atLeast"/>
        <w:ind w:left="284" w:hanging="284"/>
        <w:jc w:val="both"/>
        <w:rPr>
          <w:rFonts w:ascii="Arial" w:hAnsi="Arial" w:cs="Arial"/>
        </w:rPr>
      </w:pPr>
      <w:r>
        <w:rPr>
          <w:rFonts w:ascii="Arial" w:hAnsi="Arial" w:cs="Arial"/>
          <w:b/>
        </w:rPr>
        <w:t xml:space="preserve">b) Los Trabajadores por cuenta propia, </w:t>
      </w:r>
      <w:r>
        <w:rPr>
          <w:rFonts w:ascii="Arial" w:hAnsi="Arial" w:cs="Arial"/>
        </w:rPr>
        <w:t>residentes en el país, que no sean responsab</w:t>
      </w:r>
      <w:r>
        <w:rPr>
          <w:rFonts w:ascii="Arial" w:hAnsi="Arial" w:cs="Arial"/>
        </w:rPr>
        <w:t xml:space="preserve">les del impuesto a las ventas del régimen común, cuyos ingresos brutos se encuentren debidamente facturados, sobre los cuales se hubiere practicado retención en la fuente, y que provengan en una proporción igual o superior a un ochenta por ciento (80%) de </w:t>
      </w:r>
      <w:r>
        <w:rPr>
          <w:rFonts w:ascii="Arial" w:hAnsi="Arial" w:cs="Arial"/>
        </w:rPr>
        <w:t>la realización de una de las siguientes actividades económicas, desarrolladas por el artículo 1.2.1.20.10. del presente decreto:</w:t>
      </w:r>
    </w:p>
    <w:p w14:paraId="281D1115" w14:textId="77777777" w:rsidR="00B2442D" w:rsidRDefault="00B2442D">
      <w:pPr>
        <w:spacing w:line="40" w:lineRule="atLeast"/>
        <w:ind w:firstLine="426"/>
        <w:contextualSpacing/>
        <w:jc w:val="both"/>
        <w:rPr>
          <w:rFonts w:ascii="Arial" w:hAnsi="Arial" w:cs="Arial"/>
          <w:lang w:eastAsia="es-CO"/>
        </w:rPr>
      </w:pPr>
    </w:p>
    <w:p w14:paraId="7E2514DD"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Actividades deportivas y otras actividades de esparcimiento</w:t>
      </w:r>
    </w:p>
    <w:p w14:paraId="6F9E5200"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Agropecuario, silvicultura y pesca</w:t>
      </w:r>
    </w:p>
    <w:p w14:paraId="27BCC39C"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Comercio al por mayor</w:t>
      </w:r>
    </w:p>
    <w:p w14:paraId="0FA90A05"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Comercio al por menor</w:t>
      </w:r>
    </w:p>
    <w:p w14:paraId="62F22D31"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Comercio de vehículos automotores, accesorios y productos conexos</w:t>
      </w:r>
    </w:p>
    <w:p w14:paraId="7FBCA6A9"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Construcción</w:t>
      </w:r>
    </w:p>
    <w:p w14:paraId="035296E3"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Electricidad, gas y vapor</w:t>
      </w:r>
    </w:p>
    <w:p w14:paraId="12732EC0"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Fabricación de productos minerales y otros</w:t>
      </w:r>
    </w:p>
    <w:p w14:paraId="67D53CA3"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Fabricación de sustancias químicas</w:t>
      </w:r>
    </w:p>
    <w:p w14:paraId="7A843598"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Industria de la madera, corcho y papel</w:t>
      </w:r>
    </w:p>
    <w:p w14:paraId="3D08F624"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 xml:space="preserve">Manufactura </w:t>
      </w:r>
      <w:r>
        <w:rPr>
          <w:rFonts w:ascii="Arial" w:hAnsi="Arial" w:cs="Arial"/>
          <w:lang w:eastAsia="es-CO"/>
        </w:rPr>
        <w:t>alimentos</w:t>
      </w:r>
    </w:p>
    <w:p w14:paraId="1BD7888A"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Manufactura textiles, prendas de vestir y cuero</w:t>
      </w:r>
    </w:p>
    <w:p w14:paraId="369DD838"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Minería</w:t>
      </w:r>
    </w:p>
    <w:p w14:paraId="607CBE20"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Servicio de transporte, almacenamiento y comunicaciones</w:t>
      </w:r>
    </w:p>
    <w:p w14:paraId="2C96AD0A"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Servicios de hoteles, restaurantes y similares</w:t>
      </w:r>
    </w:p>
    <w:p w14:paraId="2B792330" w14:textId="77777777" w:rsidR="00B2442D" w:rsidRDefault="008A645F">
      <w:pPr>
        <w:numPr>
          <w:ilvl w:val="0"/>
          <w:numId w:val="201"/>
        </w:numPr>
        <w:spacing w:line="40" w:lineRule="atLeast"/>
        <w:contextualSpacing/>
        <w:jc w:val="both"/>
        <w:rPr>
          <w:rFonts w:ascii="Arial" w:hAnsi="Arial" w:cs="Arial"/>
          <w:lang w:eastAsia="es-CO"/>
        </w:rPr>
      </w:pPr>
      <w:r>
        <w:rPr>
          <w:rFonts w:ascii="Arial" w:hAnsi="Arial" w:cs="Arial"/>
          <w:lang w:eastAsia="es-CO"/>
        </w:rPr>
        <w:t>Servicios financieros</w:t>
      </w:r>
    </w:p>
    <w:p w14:paraId="6147B802" w14:textId="77777777" w:rsidR="00B2442D" w:rsidRDefault="00B2442D">
      <w:pPr>
        <w:spacing w:line="40" w:lineRule="atLeast"/>
        <w:jc w:val="both"/>
        <w:rPr>
          <w:rFonts w:ascii="Arial" w:hAnsi="Arial" w:cs="Arial"/>
        </w:rPr>
      </w:pPr>
    </w:p>
    <w:p w14:paraId="176B212F" w14:textId="77777777" w:rsidR="00B2442D" w:rsidRDefault="008A645F">
      <w:pPr>
        <w:spacing w:line="40" w:lineRule="atLeast"/>
        <w:ind w:left="284"/>
        <w:jc w:val="both"/>
        <w:rPr>
          <w:rFonts w:ascii="Arial" w:hAnsi="Arial" w:cs="Arial"/>
        </w:rPr>
      </w:pPr>
      <w:r>
        <w:rPr>
          <w:rFonts w:ascii="Arial" w:hAnsi="Arial" w:cs="Arial"/>
        </w:rPr>
        <w:t>En consecuencia, no estarán obligados a declarar las personas na</w:t>
      </w:r>
      <w:r>
        <w:rPr>
          <w:rFonts w:ascii="Arial" w:hAnsi="Arial" w:cs="Arial"/>
        </w:rPr>
        <w:t xml:space="preserve">turales, sucesiones ilíquidas pertenecientes a esta categoría, residentes en el país, siempre y cuando, en relación con el año 2016 se cumplan los siguientes requisitos adicionales: </w:t>
      </w:r>
    </w:p>
    <w:p w14:paraId="03E4D69A" w14:textId="77777777" w:rsidR="00B2442D" w:rsidRDefault="00B2442D">
      <w:pPr>
        <w:spacing w:line="40" w:lineRule="atLeast"/>
        <w:jc w:val="both"/>
        <w:rPr>
          <w:rFonts w:ascii="Arial" w:hAnsi="Arial" w:cs="Arial"/>
        </w:rPr>
      </w:pPr>
    </w:p>
    <w:p w14:paraId="7D099334" w14:textId="77777777" w:rsidR="00B2442D" w:rsidRDefault="008A645F">
      <w:pPr>
        <w:numPr>
          <w:ilvl w:val="0"/>
          <w:numId w:val="200"/>
        </w:numPr>
        <w:spacing w:line="40" w:lineRule="atLeast"/>
        <w:ind w:left="567" w:hanging="283"/>
        <w:jc w:val="both"/>
        <w:rPr>
          <w:rFonts w:ascii="Arial" w:hAnsi="Arial" w:cs="Arial"/>
        </w:rPr>
      </w:pPr>
      <w:r>
        <w:rPr>
          <w:rFonts w:ascii="Arial" w:hAnsi="Arial" w:cs="Arial"/>
        </w:rPr>
        <w:t>Que el patrimonio bruto en el último día del año gravable 2016 no exceda</w:t>
      </w:r>
      <w:r>
        <w:rPr>
          <w:rFonts w:ascii="Arial" w:hAnsi="Arial" w:cs="Arial"/>
        </w:rPr>
        <w:t xml:space="preserve"> de cuatro mil quinientas (4.500) UVT ($133.889.000).</w:t>
      </w:r>
    </w:p>
    <w:p w14:paraId="73613A1C" w14:textId="77777777" w:rsidR="00B2442D" w:rsidRDefault="00B2442D">
      <w:pPr>
        <w:spacing w:line="40" w:lineRule="atLeast"/>
        <w:ind w:left="567" w:hanging="283"/>
        <w:jc w:val="both"/>
        <w:rPr>
          <w:rFonts w:ascii="Arial" w:hAnsi="Arial" w:cs="Arial"/>
        </w:rPr>
      </w:pPr>
    </w:p>
    <w:p w14:paraId="73FF26B3" w14:textId="77777777" w:rsidR="00B2442D" w:rsidRDefault="008A645F">
      <w:pPr>
        <w:numPr>
          <w:ilvl w:val="0"/>
          <w:numId w:val="200"/>
        </w:numPr>
        <w:spacing w:line="40" w:lineRule="atLeast"/>
        <w:ind w:left="567" w:hanging="283"/>
        <w:jc w:val="both"/>
        <w:rPr>
          <w:rFonts w:ascii="Arial" w:hAnsi="Arial" w:cs="Arial"/>
        </w:rPr>
      </w:pPr>
      <w:r>
        <w:rPr>
          <w:rFonts w:ascii="Arial" w:hAnsi="Arial" w:cs="Arial"/>
        </w:rPr>
        <w:t xml:space="preserve">Que los ingresos totales del respectivo ejercicio gravable no sean superiores a mil cuatrocientas UVT (1.400) ($41.654.000). </w:t>
      </w:r>
    </w:p>
    <w:p w14:paraId="1E7C9BD6" w14:textId="77777777" w:rsidR="00B2442D" w:rsidRDefault="00B2442D">
      <w:pPr>
        <w:spacing w:line="40" w:lineRule="atLeast"/>
        <w:ind w:left="567" w:hanging="283"/>
        <w:jc w:val="both"/>
        <w:rPr>
          <w:rFonts w:ascii="Arial" w:hAnsi="Arial" w:cs="Arial"/>
        </w:rPr>
      </w:pPr>
    </w:p>
    <w:p w14:paraId="2D732F7E" w14:textId="77777777" w:rsidR="00B2442D" w:rsidRDefault="008A645F">
      <w:pPr>
        <w:numPr>
          <w:ilvl w:val="0"/>
          <w:numId w:val="200"/>
        </w:numPr>
        <w:spacing w:line="40" w:lineRule="atLeast"/>
        <w:ind w:left="567" w:hanging="283"/>
        <w:jc w:val="both"/>
        <w:rPr>
          <w:rFonts w:ascii="Arial" w:hAnsi="Arial" w:cs="Arial"/>
        </w:rPr>
      </w:pPr>
      <w:r>
        <w:rPr>
          <w:rFonts w:ascii="Arial" w:hAnsi="Arial" w:cs="Arial"/>
        </w:rPr>
        <w:t>Que los consumos mediante tarjeta de crédito no excedan dos mil ochocientas (2.800) UVT ($83.308.000).</w:t>
      </w:r>
    </w:p>
    <w:p w14:paraId="36F1CAF1" w14:textId="77777777" w:rsidR="00B2442D" w:rsidRDefault="00B2442D">
      <w:pPr>
        <w:spacing w:line="40" w:lineRule="atLeast"/>
        <w:ind w:left="567" w:hanging="283"/>
        <w:jc w:val="both"/>
        <w:rPr>
          <w:rFonts w:ascii="Arial" w:hAnsi="Arial" w:cs="Arial"/>
        </w:rPr>
      </w:pPr>
    </w:p>
    <w:p w14:paraId="7503550B" w14:textId="77777777" w:rsidR="00B2442D" w:rsidRDefault="008A645F">
      <w:pPr>
        <w:numPr>
          <w:ilvl w:val="0"/>
          <w:numId w:val="200"/>
        </w:numPr>
        <w:spacing w:line="40" w:lineRule="atLeast"/>
        <w:ind w:left="567" w:hanging="283"/>
        <w:jc w:val="both"/>
        <w:rPr>
          <w:rFonts w:ascii="Arial" w:hAnsi="Arial" w:cs="Arial"/>
        </w:rPr>
      </w:pPr>
      <w:r>
        <w:rPr>
          <w:rFonts w:ascii="Arial" w:hAnsi="Arial" w:cs="Arial"/>
        </w:rPr>
        <w:t>Que el valor total de com</w:t>
      </w:r>
      <w:r>
        <w:rPr>
          <w:rFonts w:ascii="Arial" w:hAnsi="Arial" w:cs="Arial"/>
        </w:rPr>
        <w:t>pras y consumos no supere las dos mil ochocientas (2.800) UVT ($83.308.000).</w:t>
      </w:r>
    </w:p>
    <w:p w14:paraId="1BE26A81" w14:textId="77777777" w:rsidR="00B2442D" w:rsidRDefault="00B2442D">
      <w:pPr>
        <w:spacing w:line="40" w:lineRule="atLeast"/>
        <w:ind w:left="567" w:hanging="283"/>
        <w:jc w:val="both"/>
        <w:rPr>
          <w:rFonts w:ascii="Arial" w:hAnsi="Arial" w:cs="Arial"/>
        </w:rPr>
      </w:pPr>
    </w:p>
    <w:p w14:paraId="581C92BB" w14:textId="77777777" w:rsidR="00B2442D" w:rsidRDefault="008A645F">
      <w:pPr>
        <w:numPr>
          <w:ilvl w:val="0"/>
          <w:numId w:val="200"/>
        </w:numPr>
        <w:spacing w:line="40" w:lineRule="atLeast"/>
        <w:ind w:left="567" w:hanging="283"/>
        <w:jc w:val="both"/>
        <w:rPr>
          <w:rFonts w:ascii="Arial" w:hAnsi="Arial" w:cs="Arial"/>
        </w:rPr>
      </w:pPr>
      <w:r>
        <w:rPr>
          <w:rFonts w:ascii="Arial" w:hAnsi="Arial" w:cs="Arial"/>
        </w:rPr>
        <w:t>Que el valor total acumulado de consignaciones bancarias, depósitos o inversiones financieras, no excedan de cuatro mil quinientas (4.500) UVT ($133.889.000).</w:t>
      </w:r>
    </w:p>
    <w:p w14:paraId="5B35EECB" w14:textId="77777777" w:rsidR="00B2442D" w:rsidRDefault="00B2442D">
      <w:pPr>
        <w:spacing w:line="40" w:lineRule="atLeast"/>
        <w:jc w:val="both"/>
        <w:rPr>
          <w:rFonts w:ascii="Arial" w:hAnsi="Arial" w:cs="Arial"/>
        </w:rPr>
      </w:pPr>
    </w:p>
    <w:p w14:paraId="3F16B9F0" w14:textId="77777777" w:rsidR="00B2442D" w:rsidRDefault="008A645F">
      <w:pPr>
        <w:pStyle w:val="Default"/>
        <w:spacing w:line="40" w:lineRule="atLeast"/>
        <w:ind w:left="284" w:hanging="284"/>
        <w:jc w:val="both"/>
      </w:pPr>
      <w:r>
        <w:rPr>
          <w:b/>
        </w:rPr>
        <w:t>c) Las demás perso</w:t>
      </w:r>
      <w:r>
        <w:rPr>
          <w:b/>
        </w:rPr>
        <w:t xml:space="preserve">nas naturales y asimiladas a estas, </w:t>
      </w:r>
      <w:r>
        <w:t xml:space="preserve">residentes que no se encuentren clasificadas dentro de las categorías de empleados o trabajador por cuenta propia señaladas anteriormente, que no sean responsables del impuesto a las ventas del régimen común respecto al </w:t>
      </w:r>
      <w:r>
        <w:t>año gravable 2016 y cumplan además los siguientes requisitos:</w:t>
      </w:r>
    </w:p>
    <w:p w14:paraId="65E7FE02" w14:textId="77777777" w:rsidR="00B2442D" w:rsidRDefault="00B2442D">
      <w:pPr>
        <w:spacing w:line="40" w:lineRule="atLeast"/>
        <w:jc w:val="both"/>
        <w:rPr>
          <w:rFonts w:ascii="Arial" w:hAnsi="Arial" w:cs="Arial"/>
          <w:lang w:val="es-CO"/>
        </w:rPr>
      </w:pPr>
    </w:p>
    <w:p w14:paraId="10087A0E" w14:textId="77777777" w:rsidR="00B2442D" w:rsidRDefault="008A645F">
      <w:pPr>
        <w:numPr>
          <w:ilvl w:val="0"/>
          <w:numId w:val="199"/>
        </w:numPr>
        <w:spacing w:line="40" w:lineRule="atLeast"/>
        <w:ind w:left="567" w:hanging="283"/>
        <w:jc w:val="both"/>
        <w:rPr>
          <w:rFonts w:ascii="Arial" w:hAnsi="Arial" w:cs="Arial"/>
        </w:rPr>
      </w:pPr>
      <w:r>
        <w:rPr>
          <w:rFonts w:ascii="Arial" w:hAnsi="Arial" w:cs="Arial"/>
        </w:rPr>
        <w:t xml:space="preserve">Que el patrimonio bruto en el último día del mismo año o período gravable no exceda de cuatro mil quinientas (4.500) UVT ($133.889.000). </w:t>
      </w:r>
    </w:p>
    <w:p w14:paraId="303F3112" w14:textId="77777777" w:rsidR="00B2442D" w:rsidRDefault="00B2442D">
      <w:pPr>
        <w:spacing w:line="40" w:lineRule="atLeast"/>
        <w:ind w:left="567" w:hanging="283"/>
        <w:jc w:val="both"/>
        <w:rPr>
          <w:rFonts w:ascii="Arial" w:hAnsi="Arial" w:cs="Arial"/>
        </w:rPr>
      </w:pPr>
    </w:p>
    <w:p w14:paraId="034A4C0B" w14:textId="77777777" w:rsidR="00B2442D" w:rsidRDefault="008A645F">
      <w:pPr>
        <w:numPr>
          <w:ilvl w:val="0"/>
          <w:numId w:val="199"/>
        </w:numPr>
        <w:spacing w:line="40" w:lineRule="atLeast"/>
        <w:ind w:left="567" w:hanging="283"/>
        <w:jc w:val="both"/>
        <w:rPr>
          <w:rFonts w:ascii="Arial" w:hAnsi="Arial" w:cs="Arial"/>
        </w:rPr>
      </w:pPr>
      <w:r>
        <w:rPr>
          <w:rFonts w:ascii="Arial" w:hAnsi="Arial" w:cs="Arial"/>
        </w:rPr>
        <w:t>Que los ingresos brutos sean inferiores a mil cuatroci</w:t>
      </w:r>
      <w:r>
        <w:rPr>
          <w:rFonts w:ascii="Arial" w:hAnsi="Arial" w:cs="Arial"/>
        </w:rPr>
        <w:t xml:space="preserve">entas (1.400) UVT ($41.654.000). </w:t>
      </w:r>
    </w:p>
    <w:p w14:paraId="545406EE" w14:textId="77777777" w:rsidR="00B2442D" w:rsidRDefault="00B2442D">
      <w:pPr>
        <w:spacing w:line="40" w:lineRule="atLeast"/>
        <w:ind w:left="567" w:hanging="283"/>
        <w:jc w:val="both"/>
        <w:rPr>
          <w:rFonts w:ascii="Arial" w:hAnsi="Arial" w:cs="Arial"/>
        </w:rPr>
      </w:pPr>
    </w:p>
    <w:p w14:paraId="369AB680" w14:textId="77777777" w:rsidR="00B2442D" w:rsidRDefault="008A645F">
      <w:pPr>
        <w:numPr>
          <w:ilvl w:val="0"/>
          <w:numId w:val="199"/>
        </w:numPr>
        <w:spacing w:line="40" w:lineRule="atLeast"/>
        <w:ind w:left="567" w:hanging="283"/>
        <w:jc w:val="both"/>
        <w:rPr>
          <w:rFonts w:ascii="Arial" w:hAnsi="Arial" w:cs="Arial"/>
        </w:rPr>
      </w:pPr>
      <w:r>
        <w:rPr>
          <w:rFonts w:ascii="Arial" w:hAnsi="Arial" w:cs="Arial"/>
        </w:rPr>
        <w:t xml:space="preserve">Que los consumos mediante tarjeta de crédito no excedan de dos mil ochocientas (2.800) UVT ($83.308.000). </w:t>
      </w:r>
    </w:p>
    <w:p w14:paraId="68581567" w14:textId="77777777" w:rsidR="00B2442D" w:rsidRDefault="00B2442D">
      <w:pPr>
        <w:pStyle w:val="Prrafodelista"/>
        <w:ind w:left="567" w:hanging="283"/>
        <w:jc w:val="both"/>
        <w:rPr>
          <w:rFonts w:ascii="Arial" w:hAnsi="Arial" w:cs="Arial"/>
        </w:rPr>
      </w:pPr>
    </w:p>
    <w:p w14:paraId="163A0682" w14:textId="77777777" w:rsidR="00B2442D" w:rsidRDefault="008A645F">
      <w:pPr>
        <w:numPr>
          <w:ilvl w:val="0"/>
          <w:numId w:val="199"/>
        </w:numPr>
        <w:spacing w:line="40" w:lineRule="atLeast"/>
        <w:ind w:left="567" w:hanging="283"/>
        <w:jc w:val="both"/>
        <w:rPr>
          <w:rFonts w:ascii="Arial" w:hAnsi="Arial" w:cs="Arial"/>
        </w:rPr>
      </w:pPr>
      <w:r>
        <w:rPr>
          <w:rFonts w:ascii="Arial" w:hAnsi="Arial" w:cs="Arial"/>
        </w:rPr>
        <w:t xml:space="preserve">Que el valor total de compras y consumos no supere las dos mil ochocientas (2.800) UVT ($83.308.000). </w:t>
      </w:r>
    </w:p>
    <w:p w14:paraId="4B1866E4" w14:textId="77777777" w:rsidR="00B2442D" w:rsidRDefault="00B2442D">
      <w:pPr>
        <w:spacing w:line="40" w:lineRule="atLeast"/>
        <w:ind w:left="567" w:hanging="283"/>
        <w:jc w:val="both"/>
        <w:rPr>
          <w:rFonts w:ascii="Arial" w:hAnsi="Arial" w:cs="Arial"/>
        </w:rPr>
      </w:pPr>
    </w:p>
    <w:p w14:paraId="0230257A" w14:textId="77777777" w:rsidR="00B2442D" w:rsidRDefault="008A645F">
      <w:pPr>
        <w:numPr>
          <w:ilvl w:val="0"/>
          <w:numId w:val="199"/>
        </w:numPr>
        <w:spacing w:line="40" w:lineRule="atLeast"/>
        <w:ind w:left="567" w:hanging="283"/>
        <w:jc w:val="both"/>
        <w:rPr>
          <w:rFonts w:ascii="Arial" w:hAnsi="Arial" w:cs="Arial"/>
        </w:rPr>
      </w:pPr>
      <w:r>
        <w:rPr>
          <w:rFonts w:ascii="Arial" w:hAnsi="Arial" w:cs="Arial"/>
        </w:rPr>
        <w:t>Que el va</w:t>
      </w:r>
      <w:r>
        <w:rPr>
          <w:rFonts w:ascii="Arial" w:hAnsi="Arial" w:cs="Arial"/>
        </w:rPr>
        <w:t xml:space="preserve">lor total acumulado de consignaciones bancarias, depósitos o inversiones financieras, no excedan de cuatro mil quinientas (4.500) UVT ($133.889.000). </w:t>
      </w:r>
    </w:p>
    <w:p w14:paraId="0C1A7B56" w14:textId="77777777" w:rsidR="00B2442D" w:rsidRDefault="00B2442D">
      <w:pPr>
        <w:autoSpaceDE w:val="0"/>
        <w:autoSpaceDN w:val="0"/>
        <w:adjustRightInd w:val="0"/>
        <w:spacing w:line="40" w:lineRule="atLeast"/>
        <w:jc w:val="both"/>
        <w:rPr>
          <w:rFonts w:ascii="Arial" w:hAnsi="Arial" w:cs="Arial"/>
          <w:color w:val="000000"/>
        </w:rPr>
      </w:pPr>
    </w:p>
    <w:p w14:paraId="6EFA46B1" w14:textId="77777777" w:rsidR="00B2442D" w:rsidRDefault="008A645F">
      <w:pPr>
        <w:autoSpaceDE w:val="0"/>
        <w:autoSpaceDN w:val="0"/>
        <w:adjustRightInd w:val="0"/>
        <w:spacing w:line="40" w:lineRule="atLeast"/>
        <w:ind w:left="284" w:hanging="284"/>
        <w:jc w:val="both"/>
        <w:rPr>
          <w:rFonts w:ascii="Arial" w:hAnsi="Arial" w:cs="Arial"/>
          <w:color w:val="000000"/>
        </w:rPr>
      </w:pPr>
      <w:r>
        <w:rPr>
          <w:rFonts w:ascii="Arial" w:hAnsi="Arial" w:cs="Arial"/>
          <w:b/>
          <w:color w:val="000000"/>
        </w:rPr>
        <w:t>d)</w:t>
      </w:r>
      <w:r>
        <w:rPr>
          <w:rFonts w:ascii="Arial" w:hAnsi="Arial" w:cs="Arial"/>
          <w:color w:val="000000"/>
        </w:rPr>
        <w:t xml:space="preserve"> </w:t>
      </w:r>
      <w:r>
        <w:rPr>
          <w:rFonts w:ascii="Arial" w:hAnsi="Arial" w:cs="Arial"/>
          <w:b/>
          <w:bCs/>
          <w:color w:val="000000"/>
        </w:rPr>
        <w:t xml:space="preserve">Personas naturales o jurídicas extranjeras. </w:t>
      </w:r>
      <w:r>
        <w:rPr>
          <w:rFonts w:ascii="Arial" w:hAnsi="Arial" w:cs="Arial"/>
          <w:color w:val="000000"/>
        </w:rPr>
        <w:t xml:space="preserve">Las personas naturales o jurídicas </w:t>
      </w:r>
      <w:r>
        <w:rPr>
          <w:rFonts w:ascii="Arial" w:hAnsi="Arial" w:cs="Arial"/>
          <w:color w:val="000000"/>
        </w:rPr>
        <w:t>extranjeras, sin residencia o domicilio en el país, cuando la totalidad de sus ingresos hubieren estado sometidos a la retención en la fuente de que tratan los artículos 407</w:t>
      </w:r>
      <w:r>
        <w:rPr>
          <w:rFonts w:ascii="Arial" w:hAnsi="Arial" w:cs="Arial"/>
          <w:vanish/>
          <w:color w:val="000000"/>
        </w:rPr>
        <w:t>49</w:t>
      </w:r>
      <w:r>
        <w:rPr>
          <w:rFonts w:ascii="Arial" w:hAnsi="Arial" w:cs="Arial"/>
          <w:color w:val="000000"/>
        </w:rPr>
        <w:t xml:space="preserve"> a 411</w:t>
      </w:r>
      <w:r>
        <w:rPr>
          <w:rFonts w:ascii="Arial" w:hAnsi="Arial" w:cs="Arial"/>
          <w:vanish/>
          <w:color w:val="000000"/>
        </w:rPr>
        <w:t>50</w:t>
      </w:r>
      <w:r>
        <w:rPr>
          <w:rFonts w:ascii="Arial" w:hAnsi="Arial" w:cs="Arial"/>
          <w:color w:val="000000"/>
        </w:rPr>
        <w:t xml:space="preserve"> inclusive del Estatuto Tributario y dicha retención en la fuente les hub</w:t>
      </w:r>
      <w:r>
        <w:rPr>
          <w:rFonts w:ascii="Arial" w:hAnsi="Arial" w:cs="Arial"/>
          <w:color w:val="000000"/>
        </w:rPr>
        <w:t xml:space="preserve">iere sido practicada. </w:t>
      </w:r>
    </w:p>
    <w:p w14:paraId="1276EAD5" w14:textId="77777777" w:rsidR="00B2442D" w:rsidRDefault="00B2442D">
      <w:pPr>
        <w:autoSpaceDE w:val="0"/>
        <w:autoSpaceDN w:val="0"/>
        <w:adjustRightInd w:val="0"/>
        <w:spacing w:line="40" w:lineRule="atLeast"/>
        <w:ind w:left="284" w:hanging="284"/>
        <w:jc w:val="both"/>
        <w:rPr>
          <w:rFonts w:ascii="Arial" w:hAnsi="Arial" w:cs="Arial"/>
          <w:color w:val="000000"/>
        </w:rPr>
      </w:pPr>
    </w:p>
    <w:p w14:paraId="771B9F5A" w14:textId="77777777" w:rsidR="00B2442D" w:rsidRDefault="008A645F">
      <w:pPr>
        <w:autoSpaceDE w:val="0"/>
        <w:autoSpaceDN w:val="0"/>
        <w:adjustRightInd w:val="0"/>
        <w:spacing w:line="40" w:lineRule="atLeast"/>
        <w:ind w:left="284" w:hanging="284"/>
        <w:jc w:val="both"/>
        <w:rPr>
          <w:rFonts w:ascii="Arial" w:hAnsi="Arial" w:cs="Arial"/>
          <w:color w:val="000000"/>
          <w:lang w:val="es-CO" w:eastAsia="es-CO"/>
        </w:rPr>
      </w:pPr>
      <w:r>
        <w:rPr>
          <w:rFonts w:ascii="Arial" w:hAnsi="Arial" w:cs="Arial"/>
          <w:b/>
          <w:iCs/>
          <w:color w:val="000000"/>
          <w:lang w:val="es-CO" w:eastAsia="es-CO"/>
        </w:rPr>
        <w:t>e) Declaración Voluntaria del Impuesto sobre la Renta.</w:t>
      </w:r>
      <w:r>
        <w:rPr>
          <w:rFonts w:ascii="Arial" w:hAnsi="Arial" w:cs="Arial"/>
          <w:iCs/>
          <w:color w:val="000000"/>
          <w:lang w:val="es-CO" w:eastAsia="es-CO"/>
        </w:rPr>
        <w:t xml:space="preserve"> </w:t>
      </w:r>
      <w:r>
        <w:rPr>
          <w:rFonts w:ascii="Arial" w:hAnsi="Arial" w:cs="Arial"/>
          <w:color w:val="000000"/>
          <w:lang w:val="es-CO" w:eastAsia="es-CO"/>
        </w:rPr>
        <w:t>El impuesto sobre la renta y complementario, a cargo de los contribuyentes no obligados a declarar, es el que resulte de sumar las retenciones en la fuente por todo concepto que</w:t>
      </w:r>
      <w:r>
        <w:rPr>
          <w:rFonts w:ascii="Arial" w:hAnsi="Arial" w:cs="Arial"/>
          <w:color w:val="000000"/>
          <w:lang w:val="es-CO" w:eastAsia="es-CO"/>
        </w:rPr>
        <w:t xml:space="preserve"> deban aplicarse a los pagos o abonos en cuenta, según el caso, realizados al contribuyente durante el respectivo año o período gravable.</w:t>
      </w:r>
    </w:p>
    <w:p w14:paraId="79BD45D0" w14:textId="77777777" w:rsidR="00B2442D" w:rsidRDefault="00B2442D">
      <w:pPr>
        <w:autoSpaceDE w:val="0"/>
        <w:autoSpaceDN w:val="0"/>
        <w:adjustRightInd w:val="0"/>
        <w:spacing w:line="40" w:lineRule="atLeast"/>
        <w:jc w:val="both"/>
        <w:rPr>
          <w:rFonts w:ascii="Arial" w:hAnsi="Arial" w:cs="Arial"/>
          <w:color w:val="000000"/>
          <w:lang w:val="es-CO" w:eastAsia="es-CO"/>
        </w:rPr>
      </w:pPr>
    </w:p>
    <w:p w14:paraId="6D2C4228" w14:textId="77777777" w:rsidR="00B2442D" w:rsidRDefault="008A645F">
      <w:pPr>
        <w:autoSpaceDE w:val="0"/>
        <w:autoSpaceDN w:val="0"/>
        <w:adjustRightInd w:val="0"/>
        <w:spacing w:line="40" w:lineRule="atLeast"/>
        <w:jc w:val="both"/>
        <w:rPr>
          <w:rFonts w:ascii="Arial" w:hAnsi="Arial" w:cs="Arial"/>
          <w:color w:val="000000"/>
          <w:lang w:val="es-CO" w:eastAsia="es-CO"/>
        </w:rPr>
      </w:pPr>
      <w:r>
        <w:rPr>
          <w:rFonts w:ascii="Arial" w:hAnsi="Arial" w:cs="Arial"/>
          <w:color w:val="000000"/>
          <w:lang w:val="es-CO" w:eastAsia="es-CO"/>
        </w:rPr>
        <w:t>Las personas naturales residentes en el país a quienes les hayan practicado retenciones en la fuente y que de acuerdo</w:t>
      </w:r>
      <w:r>
        <w:rPr>
          <w:rFonts w:ascii="Arial" w:hAnsi="Arial" w:cs="Arial"/>
          <w:color w:val="000000"/>
          <w:lang w:val="es-CO" w:eastAsia="es-CO"/>
        </w:rPr>
        <w:t xml:space="preserve"> con las disposiciones del Estatuto Tributario no estén obligadas a presentar declaración del impuesto sobre la renta y complementario, podrán presentarla. Dicha declaración produce efectos legales y se regirá por lo dispuesto en el Libro I del mismo Estat</w:t>
      </w:r>
      <w:r>
        <w:rPr>
          <w:rFonts w:ascii="Arial" w:hAnsi="Arial" w:cs="Arial"/>
          <w:color w:val="000000"/>
          <w:lang w:val="es-CO" w:eastAsia="es-CO"/>
        </w:rPr>
        <w:t>uto.</w:t>
      </w:r>
    </w:p>
    <w:p w14:paraId="55F2F3A3" w14:textId="77777777" w:rsidR="00B2442D" w:rsidRDefault="00B2442D">
      <w:pPr>
        <w:autoSpaceDE w:val="0"/>
        <w:autoSpaceDN w:val="0"/>
        <w:adjustRightInd w:val="0"/>
        <w:spacing w:line="40" w:lineRule="atLeast"/>
        <w:jc w:val="both"/>
        <w:rPr>
          <w:rFonts w:ascii="Arial" w:hAnsi="Arial" w:cs="Arial"/>
          <w:color w:val="000000"/>
          <w:lang w:val="es-CO"/>
        </w:rPr>
      </w:pPr>
    </w:p>
    <w:p w14:paraId="64799ED6" w14:textId="77777777" w:rsidR="00B2442D" w:rsidRDefault="008A645F">
      <w:pPr>
        <w:autoSpaceDE w:val="0"/>
        <w:autoSpaceDN w:val="0"/>
        <w:adjustRightInd w:val="0"/>
        <w:spacing w:line="40" w:lineRule="atLeast"/>
        <w:jc w:val="both"/>
        <w:rPr>
          <w:rStyle w:val="nfasis"/>
          <w:rFonts w:ascii="Arial" w:hAnsi="Arial" w:cs="Arial"/>
          <w:i w:val="0"/>
        </w:rPr>
      </w:pPr>
      <w:r>
        <w:rPr>
          <w:rFonts w:ascii="Arial" w:hAnsi="Arial" w:cs="Arial"/>
          <w:b/>
        </w:rPr>
        <w:t>Parágrafo 1</w:t>
      </w:r>
      <w:r>
        <w:rPr>
          <w:rFonts w:ascii="Arial" w:hAnsi="Arial" w:cs="Arial"/>
          <w:color w:val="000080"/>
        </w:rPr>
        <w:t>.</w:t>
      </w:r>
      <w:r>
        <w:rPr>
          <w:rFonts w:ascii="Arial" w:hAnsi="Arial" w:cs="Arial"/>
          <w:color w:val="000000"/>
        </w:rPr>
        <w:t xml:space="preserve"> </w:t>
      </w:r>
      <w:r>
        <w:rPr>
          <w:rStyle w:val="nfasis"/>
          <w:rFonts w:ascii="Arial" w:hAnsi="Arial" w:cs="Arial"/>
          <w:i w:val="0"/>
        </w:rPr>
        <w:t>Para efectos de establecer la cuantía de los ingresos brutos a que hacen referencia los numerales 2 de los literales a), b) y c) del presente artículo, deberán sumarse todos los ingresos provenientes de cualquier actividad económica, con</w:t>
      </w:r>
      <w:r>
        <w:rPr>
          <w:rStyle w:val="nfasis"/>
          <w:rFonts w:ascii="Arial" w:hAnsi="Arial" w:cs="Arial"/>
          <w:i w:val="0"/>
        </w:rPr>
        <w:t xml:space="preserve"> independencia de la categoría de persona natural a la que se pertenezca. </w:t>
      </w:r>
    </w:p>
    <w:p w14:paraId="28CF63CA" w14:textId="77777777" w:rsidR="00B2442D" w:rsidRDefault="00B2442D">
      <w:pPr>
        <w:autoSpaceDE w:val="0"/>
        <w:autoSpaceDN w:val="0"/>
        <w:adjustRightInd w:val="0"/>
        <w:spacing w:line="40" w:lineRule="atLeast"/>
        <w:jc w:val="both"/>
        <w:rPr>
          <w:rFonts w:ascii="Arial" w:hAnsi="Arial" w:cs="Arial"/>
        </w:rPr>
      </w:pPr>
    </w:p>
    <w:p w14:paraId="37341360" w14:textId="77777777" w:rsidR="00B2442D" w:rsidRDefault="008A645F">
      <w:pPr>
        <w:autoSpaceDE w:val="0"/>
        <w:autoSpaceDN w:val="0"/>
        <w:adjustRightInd w:val="0"/>
        <w:spacing w:line="40" w:lineRule="atLeast"/>
        <w:jc w:val="both"/>
        <w:rPr>
          <w:rFonts w:ascii="Arial" w:hAnsi="Arial" w:cs="Arial"/>
        </w:rPr>
      </w:pPr>
      <w:r>
        <w:rPr>
          <w:rFonts w:ascii="Arial" w:hAnsi="Arial" w:cs="Arial"/>
          <w:b/>
        </w:rPr>
        <w:t>Parágrafo 2.</w:t>
      </w:r>
      <w:r>
        <w:rPr>
          <w:rFonts w:ascii="Arial" w:hAnsi="Arial" w:cs="Arial"/>
        </w:rPr>
        <w:t xml:space="preserve"> Para establecer la base del cálculo del impuesto sobre la renta por cualquiera de los sistemas de determinación, no se incluirán los ingresos por concepto de ganancias ocasionales, en cuanto este impuesto complementario se determina de manera independient</w:t>
      </w:r>
      <w:r>
        <w:rPr>
          <w:rFonts w:ascii="Arial" w:hAnsi="Arial" w:cs="Arial"/>
        </w:rPr>
        <w:t>e.</w:t>
      </w:r>
    </w:p>
    <w:p w14:paraId="63D81F4B" w14:textId="77777777" w:rsidR="00B2442D" w:rsidRDefault="00B2442D">
      <w:pPr>
        <w:autoSpaceDE w:val="0"/>
        <w:autoSpaceDN w:val="0"/>
        <w:adjustRightInd w:val="0"/>
        <w:spacing w:line="40" w:lineRule="atLeast"/>
        <w:jc w:val="both"/>
        <w:rPr>
          <w:rFonts w:ascii="Arial" w:hAnsi="Arial" w:cs="Arial"/>
          <w:color w:val="000000"/>
        </w:rPr>
      </w:pPr>
    </w:p>
    <w:p w14:paraId="75355CC8"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 3</w:t>
      </w:r>
      <w:r>
        <w:rPr>
          <w:rFonts w:ascii="Arial" w:hAnsi="Arial" w:cs="Arial"/>
        </w:rPr>
        <w:t>.</w:t>
      </w:r>
      <w:r>
        <w:rPr>
          <w:rFonts w:ascii="Arial" w:hAnsi="Arial" w:cs="Arial"/>
          <w:color w:val="000000"/>
        </w:rPr>
        <w:t xml:space="preserve"> Para los efectos del presente artículo, dentro de los ingresos originados en la relación laboral o legal y reglamentaria, se entienden incorporadas las pensiones de jubilación, vejez, invalidez y muerte.</w:t>
      </w:r>
    </w:p>
    <w:p w14:paraId="1B354B03" w14:textId="77777777" w:rsidR="00B2442D" w:rsidRDefault="00B2442D">
      <w:pPr>
        <w:autoSpaceDE w:val="0"/>
        <w:autoSpaceDN w:val="0"/>
        <w:adjustRightInd w:val="0"/>
        <w:spacing w:line="40" w:lineRule="atLeast"/>
        <w:jc w:val="both"/>
        <w:rPr>
          <w:rFonts w:ascii="Arial" w:hAnsi="Arial" w:cs="Arial"/>
          <w:color w:val="000000"/>
        </w:rPr>
      </w:pPr>
    </w:p>
    <w:p w14:paraId="668B6A5C"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 4</w:t>
      </w:r>
      <w:r>
        <w:rPr>
          <w:rFonts w:ascii="Arial" w:hAnsi="Arial" w:cs="Arial"/>
        </w:rPr>
        <w:t>.</w:t>
      </w:r>
      <w:r>
        <w:rPr>
          <w:rFonts w:ascii="Arial" w:hAnsi="Arial" w:cs="Arial"/>
          <w:color w:val="000000"/>
        </w:rPr>
        <w:t xml:space="preserve"> Los contribuyentes a </w:t>
      </w:r>
      <w:r>
        <w:rPr>
          <w:rFonts w:ascii="Arial" w:hAnsi="Arial" w:cs="Arial"/>
          <w:color w:val="000000"/>
        </w:rPr>
        <w:t xml:space="preserve">que se refiere este artículo, deberán conservar en su poder los certificados de retención en la fuente expedidos por los agentes retenedores y exhibirlos cuando la </w:t>
      </w:r>
      <w:r>
        <w:rPr>
          <w:rFonts w:ascii="Arial" w:hAnsi="Arial" w:cs="Arial"/>
        </w:rPr>
        <w:t>Unidad Administrativa Especial Dirección de Impuestos y Aduanas Nacionales - DIAN</w:t>
      </w:r>
      <w:r>
        <w:rPr>
          <w:rFonts w:ascii="Arial" w:hAnsi="Arial" w:cs="Arial"/>
          <w:color w:val="000000"/>
        </w:rPr>
        <w:t xml:space="preserve"> lo requier</w:t>
      </w:r>
      <w:r>
        <w:rPr>
          <w:rFonts w:ascii="Arial" w:hAnsi="Arial" w:cs="Arial"/>
          <w:color w:val="000000"/>
        </w:rPr>
        <w:t>a.</w:t>
      </w:r>
    </w:p>
    <w:p w14:paraId="0D7C3513" w14:textId="77777777" w:rsidR="00B2442D" w:rsidRDefault="00B2442D">
      <w:pPr>
        <w:autoSpaceDE w:val="0"/>
        <w:autoSpaceDN w:val="0"/>
        <w:adjustRightInd w:val="0"/>
        <w:spacing w:line="40" w:lineRule="atLeast"/>
        <w:jc w:val="both"/>
        <w:rPr>
          <w:rFonts w:ascii="Arial" w:hAnsi="Arial" w:cs="Arial"/>
          <w:color w:val="000000"/>
        </w:rPr>
      </w:pPr>
    </w:p>
    <w:p w14:paraId="710CD1B9" w14:textId="77777777" w:rsidR="00B2442D" w:rsidRDefault="008A645F">
      <w:pPr>
        <w:pStyle w:val="Textocomentario"/>
        <w:spacing w:line="40" w:lineRule="atLeast"/>
        <w:jc w:val="both"/>
        <w:rPr>
          <w:rFonts w:ascii="Arial" w:hAnsi="Arial" w:cs="Arial"/>
          <w:sz w:val="24"/>
          <w:szCs w:val="24"/>
        </w:rPr>
      </w:pPr>
      <w:r>
        <w:rPr>
          <w:rFonts w:ascii="Arial" w:hAnsi="Arial" w:cs="Arial"/>
          <w:b/>
          <w:sz w:val="24"/>
          <w:szCs w:val="24"/>
        </w:rPr>
        <w:t>Parágrafo 5</w:t>
      </w:r>
      <w:r>
        <w:rPr>
          <w:rFonts w:ascii="Arial" w:hAnsi="Arial" w:cs="Arial"/>
          <w:color w:val="000080"/>
          <w:sz w:val="24"/>
          <w:szCs w:val="24"/>
        </w:rPr>
        <w:t>.</w:t>
      </w:r>
      <w:r>
        <w:rPr>
          <w:rFonts w:ascii="Arial" w:hAnsi="Arial" w:cs="Arial"/>
          <w:color w:val="000000"/>
          <w:sz w:val="24"/>
          <w:szCs w:val="24"/>
        </w:rPr>
        <w:t xml:space="preserve"> En el caso del literal d) de este artículo, serán no declarantes, siempre y cuando no se </w:t>
      </w:r>
      <w:r>
        <w:rPr>
          <w:rFonts w:ascii="Arial" w:hAnsi="Arial" w:cs="Arial"/>
          <w:sz w:val="24"/>
          <w:szCs w:val="24"/>
        </w:rPr>
        <w:t>configuren los supuestos de hecho previstos en los artículos</w:t>
      </w:r>
      <w:r>
        <w:rPr>
          <w:rFonts w:ascii="Arial" w:hAnsi="Arial" w:cs="Arial"/>
          <w:color w:val="000000"/>
          <w:sz w:val="24"/>
          <w:szCs w:val="24"/>
        </w:rPr>
        <w:t xml:space="preserve"> 20-1 y 20-2 del Estatuto Tributario en relación con los establecimientos permanentes. Si </w:t>
      </w:r>
      <w:r>
        <w:rPr>
          <w:rFonts w:ascii="Arial" w:hAnsi="Arial" w:cs="Arial"/>
          <w:color w:val="000000"/>
          <w:sz w:val="24"/>
          <w:szCs w:val="24"/>
        </w:rPr>
        <w:t xml:space="preserve">se configuran, </w:t>
      </w:r>
      <w:r>
        <w:rPr>
          <w:rFonts w:ascii="Arial" w:hAnsi="Arial" w:cs="Arial"/>
          <w:sz w:val="24"/>
          <w:szCs w:val="24"/>
        </w:rPr>
        <w:t xml:space="preserve">deben cumplirse las obligaciones tributarias en los lugares y en los plazos determinados en el presente Decreto. </w:t>
      </w:r>
    </w:p>
    <w:p w14:paraId="13D68C6A" w14:textId="77777777" w:rsidR="00B2442D" w:rsidRDefault="00B2442D">
      <w:pPr>
        <w:autoSpaceDE w:val="0"/>
        <w:autoSpaceDN w:val="0"/>
        <w:adjustRightInd w:val="0"/>
        <w:spacing w:line="40" w:lineRule="atLeast"/>
        <w:jc w:val="both"/>
        <w:rPr>
          <w:rFonts w:ascii="Arial" w:hAnsi="Arial" w:cs="Arial"/>
          <w:color w:val="000000"/>
        </w:rPr>
      </w:pPr>
    </w:p>
    <w:p w14:paraId="28D568B2" w14:textId="77777777" w:rsidR="00B2442D" w:rsidRDefault="008A645F">
      <w:pPr>
        <w:jc w:val="both"/>
        <w:rPr>
          <w:rFonts w:ascii="Arial" w:hAnsi="Arial" w:cs="Arial"/>
          <w:i/>
          <w:lang w:val="es-ES_tradnl"/>
        </w:rPr>
      </w:pPr>
      <w:r>
        <w:rPr>
          <w:rFonts w:ascii="Arial" w:hAnsi="Arial" w:cs="Arial"/>
          <w:i/>
        </w:rPr>
        <w:t>(</w:t>
      </w:r>
      <w:hyperlink r:id="rId41" w:history="1">
        <w:r>
          <w:rPr>
            <w:rStyle w:val="Hipervnculo"/>
            <w:rFonts w:ascii="Arial" w:hAnsi="Arial" w:cs="Arial"/>
            <w:i/>
          </w:rPr>
          <w:t>Art 3 Decreto 2105 d</w:t>
        </w:r>
        <w:r>
          <w:rPr>
            <w:rStyle w:val="Hipervnculo"/>
            <w:rFonts w:ascii="Arial" w:hAnsi="Arial" w:cs="Arial"/>
            <w:i/>
          </w:rPr>
          <w:t>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1E1E3242" w14:textId="77777777" w:rsidR="00B2442D" w:rsidRDefault="00B2442D">
      <w:pPr>
        <w:tabs>
          <w:tab w:val="left" w:pos="414"/>
          <w:tab w:val="left" w:pos="4238"/>
          <w:tab w:val="left" w:pos="6068"/>
        </w:tabs>
        <w:spacing w:line="40" w:lineRule="atLeast"/>
        <w:ind w:right="-30"/>
        <w:jc w:val="both"/>
        <w:rPr>
          <w:rFonts w:ascii="Arial" w:hAnsi="Arial" w:cs="Arial"/>
          <w:b/>
          <w:lang w:val="es-CO"/>
        </w:rPr>
      </w:pPr>
    </w:p>
    <w:p w14:paraId="077ACD4B" w14:textId="77777777" w:rsidR="00B2442D" w:rsidRDefault="008A645F">
      <w:pPr>
        <w:pStyle w:val="Prrafodelista"/>
        <w:numPr>
          <w:ilvl w:val="0"/>
          <w:numId w:val="152"/>
        </w:numPr>
        <w:tabs>
          <w:tab w:val="left" w:pos="414"/>
          <w:tab w:val="left" w:pos="2552"/>
          <w:tab w:val="left" w:pos="6068"/>
        </w:tabs>
        <w:spacing w:line="40" w:lineRule="atLeast"/>
        <w:ind w:left="0" w:right="-30" w:firstLine="0"/>
        <w:jc w:val="both"/>
        <w:rPr>
          <w:rFonts w:ascii="Arial" w:hAnsi="Arial" w:cs="Arial"/>
          <w:lang w:val="es-CO"/>
        </w:rPr>
      </w:pPr>
      <w:r>
        <w:rPr>
          <w:rFonts w:ascii="Arial" w:hAnsi="Arial" w:cs="Arial"/>
          <w:b/>
          <w:i/>
          <w:lang w:val="es-CO"/>
        </w:rPr>
        <w:t>Contribuyentes</w:t>
      </w:r>
      <w:r>
        <w:rPr>
          <w:rFonts w:ascii="Arial" w:hAnsi="Arial" w:cs="Arial"/>
          <w:b/>
          <w:i/>
          <w:spacing w:val="30"/>
          <w:lang w:val="es-CO"/>
        </w:rPr>
        <w:t xml:space="preserve"> </w:t>
      </w:r>
      <w:r>
        <w:rPr>
          <w:rFonts w:ascii="Arial" w:hAnsi="Arial" w:cs="Arial"/>
          <w:b/>
          <w:i/>
          <w:lang w:val="es-CO"/>
        </w:rPr>
        <w:t>con</w:t>
      </w:r>
      <w:r>
        <w:rPr>
          <w:rFonts w:ascii="Arial" w:hAnsi="Arial" w:cs="Arial"/>
          <w:b/>
          <w:i/>
          <w:spacing w:val="62"/>
          <w:lang w:val="es-CO"/>
        </w:rPr>
        <w:t xml:space="preserve"> </w:t>
      </w:r>
      <w:r>
        <w:rPr>
          <w:rFonts w:ascii="Arial" w:hAnsi="Arial" w:cs="Arial"/>
          <w:b/>
          <w:i/>
          <w:lang w:val="es-CO"/>
        </w:rPr>
        <w:t>régimen</w:t>
      </w:r>
      <w:r>
        <w:rPr>
          <w:rFonts w:ascii="Arial" w:hAnsi="Arial" w:cs="Arial"/>
          <w:b/>
          <w:i/>
          <w:spacing w:val="65"/>
          <w:lang w:val="es-CO"/>
        </w:rPr>
        <w:t xml:space="preserve"> </w:t>
      </w:r>
      <w:r>
        <w:rPr>
          <w:rFonts w:ascii="Arial" w:hAnsi="Arial" w:cs="Arial"/>
          <w:b/>
          <w:i/>
          <w:lang w:val="es-CO"/>
        </w:rPr>
        <w:t>especial</w:t>
      </w:r>
      <w:r>
        <w:rPr>
          <w:rFonts w:ascii="Arial" w:hAnsi="Arial" w:cs="Arial"/>
          <w:b/>
          <w:i/>
          <w:spacing w:val="60"/>
          <w:lang w:val="es-CO"/>
        </w:rPr>
        <w:t xml:space="preserve"> </w:t>
      </w:r>
      <w:r>
        <w:rPr>
          <w:rFonts w:ascii="Arial" w:hAnsi="Arial" w:cs="Arial"/>
          <w:b/>
          <w:i/>
          <w:lang w:val="es-CO"/>
        </w:rPr>
        <w:t>que deben presentar declaración</w:t>
      </w:r>
      <w:r>
        <w:rPr>
          <w:rFonts w:ascii="Arial" w:hAnsi="Arial" w:cs="Arial"/>
          <w:b/>
          <w:i/>
          <w:spacing w:val="48"/>
          <w:lang w:val="es-CO"/>
        </w:rPr>
        <w:t xml:space="preserve"> </w:t>
      </w:r>
      <w:r>
        <w:rPr>
          <w:rFonts w:ascii="Arial" w:hAnsi="Arial" w:cs="Arial"/>
          <w:b/>
          <w:i/>
          <w:lang w:val="es-CO"/>
        </w:rPr>
        <w:t>de</w:t>
      </w:r>
      <w:r>
        <w:rPr>
          <w:rFonts w:ascii="Arial" w:hAnsi="Arial" w:cs="Arial"/>
          <w:b/>
          <w:i/>
          <w:spacing w:val="12"/>
          <w:lang w:val="es-CO"/>
        </w:rPr>
        <w:t xml:space="preserve"> </w:t>
      </w:r>
      <w:r>
        <w:rPr>
          <w:rFonts w:ascii="Arial" w:hAnsi="Arial" w:cs="Arial"/>
          <w:b/>
          <w:i/>
          <w:lang w:val="es-CO"/>
        </w:rPr>
        <w:t>renta</w:t>
      </w:r>
      <w:r>
        <w:rPr>
          <w:rFonts w:ascii="Arial" w:hAnsi="Arial" w:cs="Arial"/>
          <w:b/>
          <w:i/>
          <w:spacing w:val="17"/>
          <w:lang w:val="es-CO"/>
        </w:rPr>
        <w:t xml:space="preserve"> </w:t>
      </w:r>
      <w:r>
        <w:rPr>
          <w:rFonts w:ascii="Arial" w:hAnsi="Arial" w:cs="Arial"/>
          <w:b/>
          <w:i/>
          <w:lang w:val="es-CO"/>
        </w:rPr>
        <w:t>y</w:t>
      </w:r>
      <w:r>
        <w:rPr>
          <w:rFonts w:ascii="Arial" w:hAnsi="Arial" w:cs="Arial"/>
          <w:b/>
          <w:i/>
          <w:spacing w:val="31"/>
          <w:lang w:val="es-CO"/>
        </w:rPr>
        <w:t xml:space="preserve"> </w:t>
      </w:r>
      <w:r>
        <w:rPr>
          <w:rFonts w:ascii="Arial" w:hAnsi="Arial" w:cs="Arial"/>
          <w:b/>
          <w:i/>
          <w:lang w:val="es-CO"/>
        </w:rPr>
        <w:t>complementario.</w:t>
      </w:r>
      <w:r>
        <w:rPr>
          <w:rFonts w:ascii="Arial" w:hAnsi="Arial" w:cs="Arial"/>
          <w:spacing w:val="63"/>
          <w:lang w:val="es-CO"/>
        </w:rPr>
        <w:t xml:space="preserve"> </w:t>
      </w:r>
      <w:r>
        <w:rPr>
          <w:rFonts w:ascii="Arial" w:hAnsi="Arial" w:cs="Arial"/>
          <w:lang w:val="es-CO"/>
        </w:rPr>
        <w:t xml:space="preserve">De conformidad con lo dispuesto en el </w:t>
      </w:r>
      <w:r>
        <w:rPr>
          <w:rFonts w:ascii="Arial" w:hAnsi="Arial" w:cs="Arial"/>
          <w:lang w:val="es-CO"/>
        </w:rPr>
        <w:t>artículo 19 del Estatuto Tributario, por el año gravable 2016 son contribuyentes con régimen tributario especial y deben presentar declaración del impuesto sobre la renta y complementario:</w:t>
      </w:r>
    </w:p>
    <w:p w14:paraId="0D227C62" w14:textId="77777777" w:rsidR="00B2442D" w:rsidRDefault="00B2442D">
      <w:pPr>
        <w:pStyle w:val="Prrafodelista"/>
        <w:tabs>
          <w:tab w:val="left" w:pos="414"/>
          <w:tab w:val="left" w:pos="2552"/>
          <w:tab w:val="left" w:pos="6068"/>
        </w:tabs>
        <w:spacing w:line="40" w:lineRule="atLeast"/>
        <w:ind w:left="0" w:right="-30"/>
        <w:jc w:val="both"/>
        <w:rPr>
          <w:rFonts w:ascii="Arial" w:hAnsi="Arial" w:cs="Arial"/>
          <w:lang w:val="es-CO"/>
        </w:rPr>
      </w:pPr>
    </w:p>
    <w:p w14:paraId="7F0A6FAC" w14:textId="77777777" w:rsidR="00B2442D" w:rsidRDefault="008A645F">
      <w:pPr>
        <w:numPr>
          <w:ilvl w:val="0"/>
          <w:numId w:val="202"/>
        </w:numPr>
        <w:autoSpaceDE w:val="0"/>
        <w:autoSpaceDN w:val="0"/>
        <w:adjustRightInd w:val="0"/>
        <w:spacing w:line="40" w:lineRule="atLeast"/>
        <w:jc w:val="both"/>
        <w:rPr>
          <w:rFonts w:ascii="Arial" w:hAnsi="Arial" w:cs="Arial"/>
          <w:color w:val="000000"/>
        </w:rPr>
      </w:pPr>
      <w:r>
        <w:rPr>
          <w:rFonts w:ascii="Arial" w:hAnsi="Arial" w:cs="Arial"/>
          <w:color w:val="000000"/>
        </w:rPr>
        <w:t xml:space="preserve">Las corporaciones, fundaciones y asociaciones sin ánimo de lucro, </w:t>
      </w:r>
      <w:r>
        <w:rPr>
          <w:rFonts w:ascii="Arial" w:hAnsi="Arial" w:cs="Arial"/>
          <w:color w:val="000000"/>
        </w:rPr>
        <w:t>cuyo objeto social principal y recursos estén destinados a las actividades de salud, deporte, educación formal, cultural, investigación científica o tecnológica, ecológica, protección ambiental, o a programas de desarrollo social, que sean de interés gener</w:t>
      </w:r>
      <w:r>
        <w:rPr>
          <w:rFonts w:ascii="Arial" w:hAnsi="Arial" w:cs="Arial"/>
          <w:color w:val="000000"/>
        </w:rPr>
        <w:t>al y siempre que sus excedentes sean reinvertidos totalmente en la actividad de su objeto social, con excepción de las contempladas en el artículo 23</w:t>
      </w:r>
      <w:r>
        <w:rPr>
          <w:rFonts w:ascii="Arial" w:hAnsi="Arial" w:cs="Arial"/>
          <w:vanish/>
          <w:color w:val="000000"/>
        </w:rPr>
        <w:t>53</w:t>
      </w:r>
      <w:r>
        <w:rPr>
          <w:rFonts w:ascii="Arial" w:hAnsi="Arial" w:cs="Arial"/>
          <w:color w:val="000000"/>
        </w:rPr>
        <w:t xml:space="preserve"> del mismo Estatuto.</w:t>
      </w:r>
    </w:p>
    <w:p w14:paraId="4E6B22E7" w14:textId="77777777" w:rsidR="00B2442D" w:rsidRDefault="00B2442D">
      <w:pPr>
        <w:autoSpaceDE w:val="0"/>
        <w:autoSpaceDN w:val="0"/>
        <w:adjustRightInd w:val="0"/>
        <w:spacing w:line="40" w:lineRule="atLeast"/>
        <w:jc w:val="both"/>
        <w:rPr>
          <w:rFonts w:ascii="Arial" w:hAnsi="Arial" w:cs="Arial"/>
          <w:color w:val="000000"/>
        </w:rPr>
      </w:pPr>
    </w:p>
    <w:p w14:paraId="7F26D6D9" w14:textId="77777777" w:rsidR="00B2442D" w:rsidRDefault="008A645F">
      <w:pPr>
        <w:autoSpaceDE w:val="0"/>
        <w:autoSpaceDN w:val="0"/>
        <w:adjustRightInd w:val="0"/>
        <w:spacing w:line="40" w:lineRule="atLeast"/>
        <w:ind w:left="360"/>
        <w:jc w:val="both"/>
        <w:rPr>
          <w:rFonts w:ascii="Arial" w:hAnsi="Arial" w:cs="Arial"/>
          <w:color w:val="000000"/>
        </w:rPr>
      </w:pPr>
      <w:r>
        <w:rPr>
          <w:rFonts w:ascii="Arial" w:hAnsi="Arial" w:cs="Arial"/>
          <w:color w:val="000000"/>
        </w:rPr>
        <w:t>Cuando estas entidades no cumplan las condiciones señaladas, se asimilarán a socied</w:t>
      </w:r>
      <w:r>
        <w:rPr>
          <w:rFonts w:ascii="Arial" w:hAnsi="Arial" w:cs="Arial"/>
          <w:color w:val="000000"/>
        </w:rPr>
        <w:t>ades limitadas.</w:t>
      </w:r>
    </w:p>
    <w:p w14:paraId="100D485C" w14:textId="77777777" w:rsidR="00B2442D" w:rsidRDefault="00B2442D">
      <w:pPr>
        <w:autoSpaceDE w:val="0"/>
        <w:autoSpaceDN w:val="0"/>
        <w:adjustRightInd w:val="0"/>
        <w:spacing w:line="40" w:lineRule="atLeast"/>
        <w:jc w:val="both"/>
        <w:rPr>
          <w:rFonts w:ascii="Arial" w:hAnsi="Arial" w:cs="Arial"/>
          <w:color w:val="000000"/>
        </w:rPr>
      </w:pPr>
    </w:p>
    <w:p w14:paraId="689D98E8" w14:textId="77777777" w:rsidR="00B2442D" w:rsidRDefault="008A645F">
      <w:pPr>
        <w:numPr>
          <w:ilvl w:val="0"/>
          <w:numId w:val="202"/>
        </w:numPr>
        <w:autoSpaceDE w:val="0"/>
        <w:autoSpaceDN w:val="0"/>
        <w:adjustRightInd w:val="0"/>
        <w:spacing w:line="40" w:lineRule="atLeast"/>
        <w:jc w:val="both"/>
        <w:rPr>
          <w:rFonts w:ascii="Arial" w:hAnsi="Arial" w:cs="Arial"/>
          <w:color w:val="000000"/>
        </w:rPr>
      </w:pPr>
      <w:r>
        <w:rPr>
          <w:rFonts w:ascii="Arial" w:hAnsi="Arial" w:cs="Arial"/>
          <w:color w:val="000000"/>
        </w:rPr>
        <w:t>Las personas jurídicas sin ánimo de lucro que realicen actividades de captación y colocación de recursos financieros y se encuentren sometidas a la vigilancia de la Superintendencia Financiera de Colombia.</w:t>
      </w:r>
    </w:p>
    <w:p w14:paraId="00FFF1EC" w14:textId="77777777" w:rsidR="00B2442D" w:rsidRDefault="00B2442D">
      <w:pPr>
        <w:autoSpaceDE w:val="0"/>
        <w:autoSpaceDN w:val="0"/>
        <w:adjustRightInd w:val="0"/>
        <w:spacing w:line="40" w:lineRule="atLeast"/>
        <w:jc w:val="both"/>
        <w:rPr>
          <w:rFonts w:ascii="Arial" w:hAnsi="Arial" w:cs="Arial"/>
          <w:color w:val="000000"/>
        </w:rPr>
      </w:pPr>
    </w:p>
    <w:p w14:paraId="75F0A4F3" w14:textId="77777777" w:rsidR="00B2442D" w:rsidRDefault="008A645F">
      <w:pPr>
        <w:numPr>
          <w:ilvl w:val="0"/>
          <w:numId w:val="202"/>
        </w:numPr>
        <w:autoSpaceDE w:val="0"/>
        <w:autoSpaceDN w:val="0"/>
        <w:adjustRightInd w:val="0"/>
        <w:spacing w:line="40" w:lineRule="atLeast"/>
        <w:jc w:val="both"/>
        <w:rPr>
          <w:rFonts w:ascii="Arial" w:hAnsi="Arial" w:cs="Arial"/>
          <w:color w:val="000000"/>
        </w:rPr>
      </w:pPr>
      <w:r>
        <w:rPr>
          <w:rFonts w:ascii="Arial" w:hAnsi="Arial" w:cs="Arial"/>
          <w:color w:val="000000"/>
        </w:rPr>
        <w:t>Los fondos mutuos de inversión y</w:t>
      </w:r>
      <w:r>
        <w:rPr>
          <w:rFonts w:ascii="Arial" w:hAnsi="Arial" w:cs="Arial"/>
          <w:color w:val="000000"/>
        </w:rPr>
        <w:t xml:space="preserve"> las asociaciones gremiales respecto de sus actividades industriales y de mercadeo.</w:t>
      </w:r>
    </w:p>
    <w:p w14:paraId="2BF503A7" w14:textId="77777777" w:rsidR="00B2442D" w:rsidRDefault="00B2442D">
      <w:pPr>
        <w:pStyle w:val="Prrafodelista"/>
        <w:ind w:left="708"/>
        <w:jc w:val="both"/>
        <w:rPr>
          <w:rFonts w:ascii="Arial" w:hAnsi="Arial" w:cs="Arial"/>
          <w:color w:val="000000"/>
        </w:rPr>
      </w:pPr>
    </w:p>
    <w:p w14:paraId="7199E8F8" w14:textId="77777777" w:rsidR="00B2442D" w:rsidRDefault="008A645F">
      <w:pPr>
        <w:numPr>
          <w:ilvl w:val="0"/>
          <w:numId w:val="202"/>
        </w:numPr>
        <w:autoSpaceDE w:val="0"/>
        <w:autoSpaceDN w:val="0"/>
        <w:adjustRightInd w:val="0"/>
        <w:spacing w:line="40" w:lineRule="atLeast"/>
        <w:jc w:val="both"/>
        <w:rPr>
          <w:rFonts w:ascii="Arial" w:hAnsi="Arial" w:cs="Arial"/>
          <w:color w:val="000000"/>
        </w:rPr>
      </w:pPr>
      <w:r>
        <w:rPr>
          <w:rFonts w:ascii="Arial" w:hAnsi="Arial" w:cs="Arial"/>
          <w:color w:val="000000"/>
        </w:rPr>
        <w:t>Las cooperativas, sus asociaciones, uniones, ligas centrales, organismos de grado superior de carácter financiero, las asociaciones mutualistas, instituciones auxiliares d</w:t>
      </w:r>
      <w:r>
        <w:rPr>
          <w:rFonts w:ascii="Arial" w:hAnsi="Arial" w:cs="Arial"/>
          <w:color w:val="000000"/>
        </w:rPr>
        <w:t>el cooperativismo y confederaciones cooperativas previstas en la legislación cooperativa.</w:t>
      </w:r>
    </w:p>
    <w:p w14:paraId="388B60FD" w14:textId="77777777" w:rsidR="00B2442D" w:rsidRDefault="00B2442D">
      <w:pPr>
        <w:pStyle w:val="Prrafodelista"/>
        <w:ind w:left="708"/>
        <w:jc w:val="both"/>
        <w:rPr>
          <w:rFonts w:ascii="Arial" w:hAnsi="Arial" w:cs="Arial"/>
          <w:color w:val="000000"/>
        </w:rPr>
      </w:pPr>
    </w:p>
    <w:p w14:paraId="56149D28" w14:textId="77777777" w:rsidR="00B2442D" w:rsidRDefault="008A645F">
      <w:pPr>
        <w:numPr>
          <w:ilvl w:val="0"/>
          <w:numId w:val="202"/>
        </w:numPr>
        <w:autoSpaceDE w:val="0"/>
        <w:autoSpaceDN w:val="0"/>
        <w:adjustRightInd w:val="0"/>
        <w:spacing w:line="40" w:lineRule="atLeast"/>
        <w:jc w:val="both"/>
        <w:rPr>
          <w:rFonts w:ascii="Arial" w:hAnsi="Arial" w:cs="Arial"/>
          <w:color w:val="000000"/>
        </w:rPr>
      </w:pPr>
      <w:r>
        <w:rPr>
          <w:rFonts w:ascii="Arial" w:hAnsi="Arial" w:cs="Arial"/>
          <w:color w:val="000000"/>
        </w:rPr>
        <w:t>El Fondo de Garantías de Entidades Cooperativas, según lo previsto en el artículo 108</w:t>
      </w:r>
      <w:r>
        <w:rPr>
          <w:rFonts w:ascii="Arial" w:hAnsi="Arial" w:cs="Arial"/>
          <w:vanish/>
          <w:color w:val="000000"/>
        </w:rPr>
        <w:t>54</w:t>
      </w:r>
      <w:r>
        <w:rPr>
          <w:rFonts w:ascii="Arial" w:hAnsi="Arial" w:cs="Arial"/>
          <w:color w:val="000000"/>
        </w:rPr>
        <w:t xml:space="preserve"> de la Ley 795 de 2003.</w:t>
      </w:r>
    </w:p>
    <w:p w14:paraId="6FDDD9CD" w14:textId="77777777" w:rsidR="00B2442D" w:rsidRDefault="00B2442D">
      <w:pPr>
        <w:autoSpaceDE w:val="0"/>
        <w:autoSpaceDN w:val="0"/>
        <w:adjustRightInd w:val="0"/>
        <w:spacing w:line="40" w:lineRule="atLeast"/>
        <w:jc w:val="both"/>
        <w:rPr>
          <w:rFonts w:ascii="Arial" w:hAnsi="Arial" w:cs="Arial"/>
          <w:b/>
        </w:rPr>
      </w:pPr>
    </w:p>
    <w:p w14:paraId="2CF9783F"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w:t>
      </w:r>
      <w:r>
        <w:rPr>
          <w:rFonts w:ascii="Arial" w:hAnsi="Arial" w:cs="Arial"/>
          <w:color w:val="000080"/>
        </w:rPr>
        <w:t>.</w:t>
      </w:r>
      <w:r>
        <w:rPr>
          <w:rFonts w:ascii="Arial" w:hAnsi="Arial" w:cs="Arial"/>
          <w:color w:val="000000"/>
        </w:rPr>
        <w:t xml:space="preserve"> Las entidades del régimen tributario espec</w:t>
      </w:r>
      <w:r>
        <w:rPr>
          <w:rFonts w:ascii="Arial" w:hAnsi="Arial" w:cs="Arial"/>
          <w:color w:val="000000"/>
        </w:rPr>
        <w:t>ial no requieren la calificación del Comité de Entidades sin Ánimo de Lucro, para gozar de la exención del beneficio neto o excedente consagrado en la ley”.</w:t>
      </w:r>
    </w:p>
    <w:p w14:paraId="7986DC94" w14:textId="77777777" w:rsidR="00B2442D" w:rsidRDefault="00B2442D">
      <w:pPr>
        <w:pStyle w:val="Textoindependiente"/>
        <w:tabs>
          <w:tab w:val="left" w:pos="1748"/>
        </w:tabs>
        <w:spacing w:line="40" w:lineRule="atLeast"/>
        <w:ind w:right="-30"/>
        <w:jc w:val="both"/>
        <w:rPr>
          <w:rFonts w:cs="Arial"/>
          <w:lang w:val="es-CO"/>
        </w:rPr>
      </w:pPr>
    </w:p>
    <w:p w14:paraId="45C915D9" w14:textId="77777777" w:rsidR="00B2442D" w:rsidRDefault="008A645F">
      <w:pPr>
        <w:pStyle w:val="Textoindependiente"/>
        <w:tabs>
          <w:tab w:val="left" w:pos="1748"/>
        </w:tabs>
        <w:spacing w:line="40" w:lineRule="atLeast"/>
        <w:ind w:right="-30"/>
        <w:jc w:val="both"/>
        <w:rPr>
          <w:rFonts w:eastAsia="MS Mincho" w:cs="Arial"/>
          <w:i/>
          <w:lang w:val="es-ES_tradnl" w:eastAsia="es-ES"/>
        </w:rPr>
      </w:pPr>
      <w:r>
        <w:rPr>
          <w:rFonts w:eastAsia="MS Mincho" w:cs="Arial"/>
          <w:i/>
          <w:lang w:val="es-ES_tradnl" w:eastAsia="es-ES"/>
        </w:rPr>
        <w:t>(</w:t>
      </w:r>
      <w:hyperlink r:id="rId42" w:history="1">
        <w:r>
          <w:rPr>
            <w:rStyle w:val="Hipervnculo"/>
            <w:rFonts w:eastAsia="MS Mincho" w:cs="Arial"/>
            <w:i/>
            <w:lang w:val="es-ES_tradnl" w:eastAsia="es-ES"/>
          </w:rPr>
          <w:t>Art. 4 Decreto 2105 de 2016</w:t>
        </w:r>
      </w:hyperlink>
      <w:r>
        <w:rPr>
          <w:rFonts w:eastAsia="MS Mincho" w:cs="Arial"/>
          <w:i/>
          <w:lang w:val="es-ES_tradnl" w:eastAsia="es-ES"/>
        </w:rPr>
        <w:t>, plazos 2016: Decreto 2243 de 2015; plazos 2015: Decreto 2623 de 2014; plazos 2014: Decreto 2972 de 2013 y Decreto 685 de 201</w:t>
      </w:r>
      <w:r>
        <w:rPr>
          <w:rFonts w:eastAsia="MS Mincho" w:cs="Arial"/>
          <w:i/>
          <w:lang w:val="es-ES_tradnl" w:eastAsia="es-ES"/>
        </w:rPr>
        <w:t>4; plazos 2013: Decreto 2634 de 2012 y Decreto 0187 de 2013; plazos 2012: Decreto 4907 de 2011; plazos 2011: Decreto 4836 de 2010 y Decreto 1358 de 2011)</w:t>
      </w:r>
    </w:p>
    <w:p w14:paraId="4E57F7E1" w14:textId="77777777" w:rsidR="00B2442D" w:rsidRDefault="00B2442D">
      <w:pPr>
        <w:pStyle w:val="Textoindependiente"/>
        <w:tabs>
          <w:tab w:val="left" w:pos="1748"/>
        </w:tabs>
        <w:spacing w:line="40" w:lineRule="atLeast"/>
        <w:ind w:right="-30"/>
        <w:jc w:val="both"/>
        <w:rPr>
          <w:rFonts w:cs="Arial"/>
          <w:lang w:val="es-CO"/>
        </w:rPr>
      </w:pPr>
    </w:p>
    <w:p w14:paraId="1FCD489C" w14:textId="77777777" w:rsidR="00B2442D" w:rsidRDefault="008A645F">
      <w:pPr>
        <w:pStyle w:val="Textoindependiente"/>
        <w:tabs>
          <w:tab w:val="left" w:pos="1748"/>
        </w:tabs>
        <w:spacing w:line="40" w:lineRule="atLeast"/>
        <w:ind w:right="-30"/>
        <w:rPr>
          <w:rFonts w:cs="Arial"/>
          <w:b/>
          <w:lang w:val="es-CO"/>
        </w:rPr>
      </w:pPr>
      <w:r>
        <w:rPr>
          <w:rFonts w:cs="Arial"/>
          <w:b/>
          <w:lang w:val="es-CO"/>
        </w:rPr>
        <w:t>DECLARACIÓN</w:t>
      </w:r>
      <w:r>
        <w:rPr>
          <w:rFonts w:cs="Arial"/>
          <w:b/>
          <w:spacing w:val="9"/>
          <w:lang w:val="es-CO"/>
        </w:rPr>
        <w:t xml:space="preserve"> </w:t>
      </w:r>
      <w:r>
        <w:rPr>
          <w:rFonts w:cs="Arial"/>
          <w:b/>
          <w:lang w:val="es-CO"/>
        </w:rPr>
        <w:t>DE</w:t>
      </w:r>
      <w:r>
        <w:rPr>
          <w:rFonts w:cs="Arial"/>
          <w:b/>
          <w:spacing w:val="-8"/>
          <w:lang w:val="es-CO"/>
        </w:rPr>
        <w:t xml:space="preserve"> </w:t>
      </w:r>
      <w:r>
        <w:rPr>
          <w:rFonts w:cs="Arial"/>
          <w:b/>
          <w:lang w:val="es-CO"/>
        </w:rPr>
        <w:t>INGRESOS</w:t>
      </w:r>
      <w:r>
        <w:rPr>
          <w:rFonts w:cs="Arial"/>
          <w:b/>
          <w:spacing w:val="-15"/>
          <w:lang w:val="es-CO"/>
        </w:rPr>
        <w:t xml:space="preserve"> </w:t>
      </w:r>
      <w:r>
        <w:rPr>
          <w:rFonts w:cs="Arial"/>
          <w:b/>
          <w:lang w:val="es-CO"/>
        </w:rPr>
        <w:t>Y</w:t>
      </w:r>
      <w:r>
        <w:rPr>
          <w:rFonts w:cs="Arial"/>
          <w:b/>
          <w:spacing w:val="5"/>
          <w:lang w:val="es-CO"/>
        </w:rPr>
        <w:t xml:space="preserve"> </w:t>
      </w:r>
      <w:r>
        <w:rPr>
          <w:rFonts w:cs="Arial"/>
          <w:b/>
          <w:lang w:val="es-CO"/>
        </w:rPr>
        <w:t>PATRIMONIO</w:t>
      </w:r>
    </w:p>
    <w:p w14:paraId="2167424B" w14:textId="77777777" w:rsidR="00B2442D" w:rsidRDefault="00B2442D">
      <w:pPr>
        <w:spacing w:line="40" w:lineRule="atLeast"/>
        <w:ind w:right="-30"/>
        <w:jc w:val="center"/>
        <w:rPr>
          <w:rFonts w:ascii="Arial" w:hAnsi="Arial" w:cs="Arial"/>
          <w:b/>
          <w:lang w:val="es-CO"/>
        </w:rPr>
      </w:pPr>
    </w:p>
    <w:p w14:paraId="116704E0" w14:textId="77777777" w:rsidR="00B2442D" w:rsidRDefault="008A645F">
      <w:pPr>
        <w:pStyle w:val="Textoindependiente"/>
        <w:numPr>
          <w:ilvl w:val="0"/>
          <w:numId w:val="152"/>
        </w:numPr>
        <w:tabs>
          <w:tab w:val="left" w:pos="1324"/>
        </w:tabs>
        <w:spacing w:line="40" w:lineRule="atLeast"/>
        <w:ind w:left="0" w:right="-30" w:firstLine="0"/>
        <w:jc w:val="both"/>
        <w:rPr>
          <w:rFonts w:cs="Arial"/>
          <w:lang w:val="es-CO"/>
        </w:rPr>
      </w:pPr>
      <w:r>
        <w:rPr>
          <w:rFonts w:cs="Arial"/>
          <w:b/>
          <w:i/>
          <w:lang w:val="es-CO"/>
        </w:rPr>
        <w:t>Entidades</w:t>
      </w:r>
      <w:r>
        <w:rPr>
          <w:rFonts w:cs="Arial"/>
          <w:b/>
          <w:i/>
          <w:spacing w:val="61"/>
          <w:lang w:val="es-CO"/>
        </w:rPr>
        <w:t xml:space="preserve"> </w:t>
      </w:r>
      <w:r>
        <w:rPr>
          <w:rFonts w:cs="Arial"/>
          <w:b/>
          <w:i/>
          <w:lang w:val="es-CO"/>
        </w:rPr>
        <w:t>no</w:t>
      </w:r>
      <w:r>
        <w:rPr>
          <w:rFonts w:cs="Arial"/>
          <w:b/>
          <w:i/>
          <w:spacing w:val="40"/>
          <w:lang w:val="es-CO"/>
        </w:rPr>
        <w:t xml:space="preserve"> </w:t>
      </w:r>
      <w:r>
        <w:rPr>
          <w:rFonts w:cs="Arial"/>
          <w:b/>
          <w:i/>
          <w:lang w:val="es-CO"/>
        </w:rPr>
        <w:t>contribuyentes</w:t>
      </w:r>
      <w:r>
        <w:rPr>
          <w:rFonts w:cs="Arial"/>
          <w:b/>
          <w:i/>
          <w:spacing w:val="19"/>
          <w:lang w:val="es-CO"/>
        </w:rPr>
        <w:t xml:space="preserve"> </w:t>
      </w:r>
      <w:r>
        <w:rPr>
          <w:rFonts w:cs="Arial"/>
          <w:b/>
          <w:i/>
          <w:lang w:val="es-CO"/>
        </w:rPr>
        <w:t>del</w:t>
      </w:r>
      <w:r>
        <w:rPr>
          <w:rFonts w:cs="Arial"/>
          <w:b/>
          <w:i/>
          <w:spacing w:val="49"/>
          <w:lang w:val="es-CO"/>
        </w:rPr>
        <w:t xml:space="preserve"> </w:t>
      </w:r>
      <w:r>
        <w:rPr>
          <w:rFonts w:cs="Arial"/>
          <w:b/>
          <w:i/>
          <w:lang w:val="es-CO"/>
        </w:rPr>
        <w:t>impuesto</w:t>
      </w:r>
      <w:r>
        <w:rPr>
          <w:rFonts w:cs="Arial"/>
          <w:b/>
          <w:i/>
          <w:spacing w:val="53"/>
          <w:lang w:val="es-CO"/>
        </w:rPr>
        <w:t xml:space="preserve"> </w:t>
      </w:r>
      <w:r>
        <w:rPr>
          <w:rFonts w:cs="Arial"/>
          <w:b/>
          <w:i/>
          <w:lang w:val="es-CO"/>
        </w:rPr>
        <w:t>sobre</w:t>
      </w:r>
      <w:r>
        <w:rPr>
          <w:rFonts w:cs="Arial"/>
          <w:b/>
          <w:i/>
          <w:spacing w:val="63"/>
          <w:lang w:val="es-CO"/>
        </w:rPr>
        <w:t xml:space="preserve"> </w:t>
      </w:r>
      <w:r>
        <w:rPr>
          <w:rFonts w:cs="Arial"/>
          <w:b/>
          <w:i/>
          <w:lang w:val="es-CO"/>
        </w:rPr>
        <w:t>la</w:t>
      </w:r>
      <w:r>
        <w:rPr>
          <w:rFonts w:cs="Arial"/>
          <w:b/>
          <w:i/>
          <w:w w:val="104"/>
          <w:lang w:val="es-CO"/>
        </w:rPr>
        <w:t xml:space="preserve"> </w:t>
      </w:r>
      <w:r>
        <w:rPr>
          <w:rFonts w:cs="Arial"/>
          <w:b/>
          <w:i/>
          <w:lang w:val="es-CO"/>
        </w:rPr>
        <w:t xml:space="preserve">renta y </w:t>
      </w:r>
      <w:r>
        <w:rPr>
          <w:rFonts w:cs="Arial"/>
          <w:b/>
          <w:i/>
          <w:lang w:val="es-CO"/>
        </w:rPr>
        <w:t>complementario con obligación de presentar declaración ingresos</w:t>
      </w:r>
      <w:r>
        <w:rPr>
          <w:rFonts w:cs="Arial"/>
          <w:b/>
          <w:i/>
          <w:spacing w:val="4"/>
          <w:lang w:val="es-CO"/>
        </w:rPr>
        <w:t xml:space="preserve"> </w:t>
      </w:r>
      <w:r>
        <w:rPr>
          <w:rFonts w:cs="Arial"/>
          <w:b/>
          <w:i/>
          <w:lang w:val="es-CO"/>
        </w:rPr>
        <w:t>y</w:t>
      </w:r>
      <w:r>
        <w:rPr>
          <w:rFonts w:cs="Arial"/>
          <w:b/>
          <w:i/>
          <w:spacing w:val="24"/>
          <w:lang w:val="es-CO"/>
        </w:rPr>
        <w:t xml:space="preserve"> </w:t>
      </w:r>
      <w:r>
        <w:rPr>
          <w:rFonts w:cs="Arial"/>
          <w:b/>
          <w:i/>
          <w:lang w:val="es-CO"/>
        </w:rPr>
        <w:t>patrimonio.</w:t>
      </w:r>
      <w:r>
        <w:rPr>
          <w:rFonts w:cs="Arial"/>
          <w:spacing w:val="31"/>
          <w:lang w:val="es-CO"/>
        </w:rPr>
        <w:t xml:space="preserve"> </w:t>
      </w:r>
      <w:r>
        <w:rPr>
          <w:rFonts w:cs="Arial"/>
          <w:lang w:val="es-CO"/>
        </w:rPr>
        <w:t>Las</w:t>
      </w:r>
      <w:r>
        <w:rPr>
          <w:rFonts w:cs="Arial"/>
          <w:spacing w:val="4"/>
          <w:lang w:val="es-CO"/>
        </w:rPr>
        <w:t xml:space="preserve"> </w:t>
      </w:r>
      <w:r>
        <w:rPr>
          <w:rFonts w:cs="Arial"/>
          <w:lang w:val="es-CO"/>
        </w:rPr>
        <w:t>entidades</w:t>
      </w:r>
      <w:r>
        <w:rPr>
          <w:rFonts w:cs="Arial"/>
          <w:spacing w:val="33"/>
          <w:lang w:val="es-CO"/>
        </w:rPr>
        <w:t xml:space="preserve"> </w:t>
      </w:r>
      <w:r>
        <w:rPr>
          <w:rFonts w:cs="Arial"/>
          <w:lang w:val="es-CO"/>
        </w:rPr>
        <w:t>que</w:t>
      </w:r>
      <w:r>
        <w:rPr>
          <w:rFonts w:cs="Arial"/>
          <w:spacing w:val="10"/>
          <w:lang w:val="es-CO"/>
        </w:rPr>
        <w:t xml:space="preserve"> </w:t>
      </w:r>
      <w:r>
        <w:rPr>
          <w:rFonts w:cs="Arial"/>
          <w:lang w:val="es-CO"/>
        </w:rPr>
        <w:t>se</w:t>
      </w:r>
      <w:r>
        <w:rPr>
          <w:rFonts w:cs="Arial"/>
          <w:spacing w:val="16"/>
          <w:lang w:val="es-CO"/>
        </w:rPr>
        <w:t xml:space="preserve"> </w:t>
      </w:r>
      <w:r>
        <w:rPr>
          <w:rFonts w:cs="Arial"/>
          <w:lang w:val="es-CO"/>
        </w:rPr>
        <w:t>enumeran</w:t>
      </w:r>
      <w:r>
        <w:rPr>
          <w:rFonts w:cs="Arial"/>
          <w:spacing w:val="19"/>
          <w:lang w:val="es-CO"/>
        </w:rPr>
        <w:t xml:space="preserve"> </w:t>
      </w:r>
      <w:r>
        <w:rPr>
          <w:rFonts w:cs="Arial"/>
          <w:lang w:val="es-CO"/>
        </w:rPr>
        <w:t>a continuación</w:t>
      </w:r>
      <w:r>
        <w:rPr>
          <w:rFonts w:cs="Arial"/>
          <w:spacing w:val="16"/>
          <w:lang w:val="es-CO"/>
        </w:rPr>
        <w:t xml:space="preserve"> </w:t>
      </w:r>
      <w:r>
        <w:rPr>
          <w:rFonts w:cs="Arial"/>
          <w:lang w:val="es-CO"/>
        </w:rPr>
        <w:t>deberán</w:t>
      </w:r>
      <w:r>
        <w:rPr>
          <w:rFonts w:cs="Arial"/>
          <w:spacing w:val="3"/>
          <w:lang w:val="es-CO"/>
        </w:rPr>
        <w:t xml:space="preserve"> </w:t>
      </w:r>
      <w:r>
        <w:rPr>
          <w:rFonts w:cs="Arial"/>
          <w:lang w:val="es-CO"/>
        </w:rPr>
        <w:t>presentar</w:t>
      </w:r>
      <w:r>
        <w:rPr>
          <w:rFonts w:cs="Arial"/>
          <w:spacing w:val="2"/>
          <w:lang w:val="es-CO"/>
        </w:rPr>
        <w:t xml:space="preserve"> </w:t>
      </w:r>
      <w:r>
        <w:rPr>
          <w:rFonts w:cs="Arial"/>
          <w:lang w:val="es-CO"/>
        </w:rPr>
        <w:t>declaración</w:t>
      </w:r>
      <w:r>
        <w:rPr>
          <w:rFonts w:cs="Arial"/>
          <w:spacing w:val="10"/>
          <w:lang w:val="es-CO"/>
        </w:rPr>
        <w:t xml:space="preserve"> </w:t>
      </w:r>
      <w:r>
        <w:rPr>
          <w:rFonts w:cs="Arial"/>
          <w:lang w:val="es-CO"/>
        </w:rPr>
        <w:t>de</w:t>
      </w:r>
      <w:r>
        <w:rPr>
          <w:rFonts w:cs="Arial"/>
          <w:spacing w:val="2"/>
          <w:lang w:val="es-CO"/>
        </w:rPr>
        <w:t xml:space="preserve"> </w:t>
      </w:r>
      <w:r>
        <w:rPr>
          <w:rFonts w:cs="Arial"/>
          <w:lang w:val="es-CO"/>
        </w:rPr>
        <w:t>ingresos</w:t>
      </w:r>
      <w:r>
        <w:rPr>
          <w:rFonts w:cs="Arial"/>
          <w:spacing w:val="1"/>
          <w:lang w:val="es-CO"/>
        </w:rPr>
        <w:t xml:space="preserve"> </w:t>
      </w:r>
      <w:r>
        <w:rPr>
          <w:rFonts w:cs="Arial"/>
          <w:lang w:val="es-CO"/>
        </w:rPr>
        <w:t>y</w:t>
      </w:r>
      <w:r>
        <w:rPr>
          <w:rFonts w:cs="Arial"/>
          <w:spacing w:val="-2"/>
          <w:lang w:val="es-CO"/>
        </w:rPr>
        <w:t xml:space="preserve"> </w:t>
      </w:r>
      <w:r>
        <w:rPr>
          <w:rFonts w:cs="Arial"/>
          <w:lang w:val="es-CO"/>
        </w:rPr>
        <w:t>patrimonio:</w:t>
      </w:r>
    </w:p>
    <w:p w14:paraId="3832BFBF" w14:textId="77777777" w:rsidR="00B2442D" w:rsidRDefault="00B2442D">
      <w:pPr>
        <w:pStyle w:val="Textoindependiente"/>
        <w:tabs>
          <w:tab w:val="left" w:pos="1324"/>
        </w:tabs>
        <w:spacing w:line="40" w:lineRule="atLeast"/>
        <w:ind w:right="-30"/>
        <w:jc w:val="both"/>
        <w:rPr>
          <w:rFonts w:cs="Arial"/>
          <w:lang w:val="es-CO"/>
        </w:rPr>
      </w:pPr>
    </w:p>
    <w:p w14:paraId="0DF2C8F9" w14:textId="77777777" w:rsidR="00B2442D" w:rsidRDefault="008A645F">
      <w:pPr>
        <w:pStyle w:val="Textoindependiente"/>
        <w:spacing w:line="40" w:lineRule="atLeast"/>
        <w:ind w:left="284" w:right="-30" w:hanging="284"/>
        <w:jc w:val="both"/>
        <w:rPr>
          <w:rFonts w:cs="Arial"/>
          <w:w w:val="95"/>
          <w:lang w:val="es-CO"/>
        </w:rPr>
      </w:pPr>
      <w:r>
        <w:rPr>
          <w:rFonts w:cs="Arial"/>
          <w:lang w:val="es-CO"/>
        </w:rPr>
        <w:t>1. Las</w:t>
      </w:r>
      <w:r>
        <w:rPr>
          <w:rFonts w:cs="Arial"/>
          <w:spacing w:val="6"/>
          <w:lang w:val="es-CO"/>
        </w:rPr>
        <w:t xml:space="preserve"> </w:t>
      </w:r>
      <w:r>
        <w:rPr>
          <w:rFonts w:cs="Arial"/>
          <w:lang w:val="es-CO"/>
        </w:rPr>
        <w:t>entidades</w:t>
      </w:r>
      <w:r>
        <w:rPr>
          <w:rFonts w:cs="Arial"/>
          <w:spacing w:val="33"/>
          <w:lang w:val="es-CO"/>
        </w:rPr>
        <w:t xml:space="preserve"> </w:t>
      </w:r>
      <w:r>
        <w:rPr>
          <w:rFonts w:cs="Arial"/>
          <w:lang w:val="es-CO"/>
        </w:rPr>
        <w:t>de</w:t>
      </w:r>
      <w:r>
        <w:rPr>
          <w:rFonts w:cs="Arial"/>
          <w:spacing w:val="13"/>
          <w:lang w:val="es-CO"/>
        </w:rPr>
        <w:t xml:space="preserve"> </w:t>
      </w:r>
      <w:r>
        <w:rPr>
          <w:rFonts w:cs="Arial"/>
          <w:lang w:val="es-CO"/>
        </w:rPr>
        <w:t>derecho</w:t>
      </w:r>
      <w:r>
        <w:rPr>
          <w:rFonts w:cs="Arial"/>
          <w:spacing w:val="22"/>
          <w:lang w:val="es-CO"/>
        </w:rPr>
        <w:t xml:space="preserve"> </w:t>
      </w:r>
      <w:r>
        <w:rPr>
          <w:rFonts w:cs="Arial"/>
          <w:lang w:val="es-CO"/>
        </w:rPr>
        <w:t>público</w:t>
      </w:r>
      <w:r>
        <w:rPr>
          <w:rFonts w:cs="Arial"/>
          <w:spacing w:val="19"/>
          <w:lang w:val="es-CO"/>
        </w:rPr>
        <w:t xml:space="preserve"> </w:t>
      </w:r>
      <w:r>
        <w:rPr>
          <w:rFonts w:cs="Arial"/>
          <w:lang w:val="es-CO"/>
        </w:rPr>
        <w:t>no</w:t>
      </w:r>
      <w:r>
        <w:rPr>
          <w:rFonts w:cs="Arial"/>
          <w:spacing w:val="6"/>
          <w:lang w:val="es-CO"/>
        </w:rPr>
        <w:t xml:space="preserve"> </w:t>
      </w:r>
      <w:r>
        <w:rPr>
          <w:rFonts w:cs="Arial"/>
          <w:lang w:val="es-CO"/>
        </w:rPr>
        <w:t>contribuyentes,</w:t>
      </w:r>
      <w:r>
        <w:rPr>
          <w:rFonts w:cs="Arial"/>
          <w:spacing w:val="37"/>
          <w:lang w:val="es-CO"/>
        </w:rPr>
        <w:t xml:space="preserve"> </w:t>
      </w:r>
      <w:r>
        <w:rPr>
          <w:rFonts w:cs="Arial"/>
          <w:lang w:val="es-CO"/>
        </w:rPr>
        <w:t>con</w:t>
      </w:r>
      <w:r>
        <w:rPr>
          <w:rFonts w:cs="Arial"/>
          <w:spacing w:val="12"/>
          <w:lang w:val="es-CO"/>
        </w:rPr>
        <w:t xml:space="preserve"> </w:t>
      </w:r>
      <w:r>
        <w:rPr>
          <w:rFonts w:cs="Arial"/>
          <w:lang w:val="es-CO"/>
        </w:rPr>
        <w:t>excepción</w:t>
      </w:r>
      <w:r>
        <w:rPr>
          <w:rFonts w:cs="Arial"/>
          <w:spacing w:val="22"/>
          <w:lang w:val="es-CO"/>
        </w:rPr>
        <w:t xml:space="preserve"> </w:t>
      </w:r>
      <w:r>
        <w:rPr>
          <w:rFonts w:cs="Arial"/>
          <w:lang w:val="es-CO"/>
        </w:rPr>
        <w:t>de</w:t>
      </w:r>
      <w:r>
        <w:rPr>
          <w:rFonts w:cs="Arial"/>
          <w:spacing w:val="22"/>
          <w:lang w:val="es-CO"/>
        </w:rPr>
        <w:t xml:space="preserve"> </w:t>
      </w:r>
      <w:r>
        <w:rPr>
          <w:rFonts w:cs="Arial"/>
          <w:lang w:val="es-CO"/>
        </w:rPr>
        <w:t>las que se señalan</w:t>
      </w:r>
      <w:r>
        <w:rPr>
          <w:rFonts w:cs="Arial"/>
          <w:spacing w:val="13"/>
          <w:lang w:val="es-CO"/>
        </w:rPr>
        <w:t xml:space="preserve"> </w:t>
      </w:r>
      <w:r>
        <w:rPr>
          <w:rFonts w:cs="Arial"/>
          <w:lang w:val="es-CO"/>
        </w:rPr>
        <w:t xml:space="preserve">en el </w:t>
      </w:r>
      <w:r>
        <w:rPr>
          <w:rFonts w:cs="Arial"/>
          <w:w w:val="95"/>
          <w:lang w:val="es-CO"/>
        </w:rPr>
        <w:t>artículo siguiente.</w:t>
      </w:r>
    </w:p>
    <w:p w14:paraId="3614AFFB" w14:textId="77777777" w:rsidR="00B2442D" w:rsidRDefault="00B2442D">
      <w:pPr>
        <w:pStyle w:val="Textoindependiente"/>
        <w:tabs>
          <w:tab w:val="left" w:pos="1324"/>
        </w:tabs>
        <w:spacing w:line="40" w:lineRule="atLeast"/>
        <w:ind w:left="284" w:right="-30" w:hanging="284"/>
        <w:jc w:val="both"/>
        <w:rPr>
          <w:rFonts w:cs="Arial"/>
          <w:lang w:val="es-CO"/>
        </w:rPr>
      </w:pPr>
    </w:p>
    <w:p w14:paraId="52AFFA83" w14:textId="77777777" w:rsidR="00B2442D" w:rsidRDefault="008A645F">
      <w:pPr>
        <w:pStyle w:val="Textoindependiente"/>
        <w:numPr>
          <w:ilvl w:val="0"/>
          <w:numId w:val="151"/>
        </w:numPr>
        <w:spacing w:line="40" w:lineRule="atLeast"/>
        <w:ind w:left="284" w:right="-30" w:hanging="284"/>
        <w:jc w:val="both"/>
        <w:rPr>
          <w:rFonts w:cs="Arial"/>
          <w:lang w:val="es-CO"/>
        </w:rPr>
      </w:pPr>
      <w:r>
        <w:rPr>
          <w:rFonts w:cs="Arial"/>
          <w:lang w:val="es-CO"/>
        </w:rPr>
        <w:t>Las siguientes</w:t>
      </w:r>
      <w:r>
        <w:rPr>
          <w:rFonts w:cs="Arial"/>
          <w:spacing w:val="9"/>
          <w:lang w:val="es-CO"/>
        </w:rPr>
        <w:t xml:space="preserve"> </w:t>
      </w:r>
      <w:r>
        <w:rPr>
          <w:rFonts w:cs="Arial"/>
          <w:lang w:val="es-CO"/>
        </w:rPr>
        <w:t>entidades</w:t>
      </w:r>
      <w:r>
        <w:rPr>
          <w:rFonts w:cs="Arial"/>
          <w:spacing w:val="8"/>
          <w:lang w:val="es-CO"/>
        </w:rPr>
        <w:t xml:space="preserve"> </w:t>
      </w:r>
      <w:r>
        <w:rPr>
          <w:rFonts w:cs="Arial"/>
          <w:lang w:val="es-CO"/>
        </w:rPr>
        <w:t>sin</w:t>
      </w:r>
      <w:r>
        <w:rPr>
          <w:rFonts w:cs="Arial"/>
          <w:spacing w:val="-6"/>
          <w:lang w:val="es-CO"/>
        </w:rPr>
        <w:t xml:space="preserve"> </w:t>
      </w:r>
      <w:r>
        <w:rPr>
          <w:rFonts w:cs="Arial"/>
          <w:lang w:val="es-CO"/>
        </w:rPr>
        <w:t>ánimo</w:t>
      </w:r>
      <w:r>
        <w:rPr>
          <w:rFonts w:cs="Arial"/>
          <w:spacing w:val="-3"/>
          <w:lang w:val="es-CO"/>
        </w:rPr>
        <w:t xml:space="preserve"> </w:t>
      </w:r>
      <w:r>
        <w:rPr>
          <w:rFonts w:cs="Arial"/>
          <w:lang w:val="es-CO"/>
        </w:rPr>
        <w:t>de</w:t>
      </w:r>
      <w:r>
        <w:rPr>
          <w:rFonts w:cs="Arial"/>
          <w:spacing w:val="-6"/>
          <w:lang w:val="es-CO"/>
        </w:rPr>
        <w:t xml:space="preserve"> </w:t>
      </w:r>
      <w:r>
        <w:rPr>
          <w:rFonts w:cs="Arial"/>
          <w:lang w:val="es-CO"/>
        </w:rPr>
        <w:t>lucro:</w:t>
      </w:r>
    </w:p>
    <w:p w14:paraId="442A549F" w14:textId="77777777" w:rsidR="00B2442D" w:rsidRDefault="00B2442D">
      <w:pPr>
        <w:spacing w:line="40" w:lineRule="atLeast"/>
        <w:ind w:left="284" w:right="-30" w:hanging="284"/>
        <w:jc w:val="both"/>
        <w:rPr>
          <w:rFonts w:ascii="Arial" w:hAnsi="Arial" w:cs="Arial"/>
          <w:lang w:val="es-CO"/>
        </w:rPr>
      </w:pPr>
    </w:p>
    <w:p w14:paraId="26FD3A38" w14:textId="77777777" w:rsidR="00B2442D" w:rsidRDefault="008A645F">
      <w:pPr>
        <w:pStyle w:val="Textoindependiente"/>
        <w:spacing w:line="40" w:lineRule="atLeast"/>
        <w:ind w:left="284" w:right="-30"/>
        <w:jc w:val="both"/>
        <w:rPr>
          <w:rFonts w:cs="Arial"/>
          <w:lang w:val="es-CO"/>
        </w:rPr>
      </w:pPr>
      <w:r>
        <w:rPr>
          <w:rFonts w:cs="Arial"/>
          <w:lang w:val="es-CO"/>
        </w:rPr>
        <w:t>Las sociedades de mejoras públicas; las instituciones de educación superior aprobadas</w:t>
      </w:r>
      <w:r>
        <w:rPr>
          <w:rFonts w:cs="Arial"/>
          <w:spacing w:val="27"/>
          <w:lang w:val="es-CO"/>
        </w:rPr>
        <w:t xml:space="preserve"> </w:t>
      </w:r>
      <w:r>
        <w:rPr>
          <w:rFonts w:cs="Arial"/>
          <w:lang w:val="es-CO"/>
        </w:rPr>
        <w:t>por</w:t>
      </w:r>
      <w:r>
        <w:rPr>
          <w:rFonts w:cs="Arial"/>
          <w:spacing w:val="1"/>
          <w:lang w:val="es-CO"/>
        </w:rPr>
        <w:t xml:space="preserve"> </w:t>
      </w:r>
      <w:r>
        <w:rPr>
          <w:rFonts w:cs="Arial"/>
          <w:lang w:val="es-CO"/>
        </w:rPr>
        <w:t>el</w:t>
      </w:r>
      <w:r>
        <w:rPr>
          <w:rFonts w:cs="Arial"/>
          <w:spacing w:val="8"/>
          <w:lang w:val="es-CO"/>
        </w:rPr>
        <w:t xml:space="preserve"> </w:t>
      </w:r>
      <w:r>
        <w:rPr>
          <w:rFonts w:cs="Arial"/>
          <w:lang w:val="es-CO"/>
        </w:rPr>
        <w:t>ICFES</w:t>
      </w:r>
      <w:r>
        <w:rPr>
          <w:rFonts w:cs="Arial"/>
          <w:spacing w:val="-2"/>
          <w:lang w:val="es-CO"/>
        </w:rPr>
        <w:t xml:space="preserve"> </w:t>
      </w:r>
      <w:r>
        <w:rPr>
          <w:rFonts w:cs="Arial"/>
          <w:lang w:val="es-CO"/>
        </w:rPr>
        <w:t>que</w:t>
      </w:r>
      <w:r>
        <w:rPr>
          <w:rFonts w:cs="Arial"/>
          <w:spacing w:val="3"/>
          <w:lang w:val="es-CO"/>
        </w:rPr>
        <w:t xml:space="preserve"> </w:t>
      </w:r>
      <w:r>
        <w:rPr>
          <w:rFonts w:cs="Arial"/>
          <w:lang w:val="es-CO"/>
        </w:rPr>
        <w:t>sean</w:t>
      </w:r>
      <w:r>
        <w:rPr>
          <w:rFonts w:cs="Arial"/>
          <w:spacing w:val="9"/>
          <w:lang w:val="es-CO"/>
        </w:rPr>
        <w:t xml:space="preserve"> </w:t>
      </w:r>
      <w:r>
        <w:rPr>
          <w:rFonts w:cs="Arial"/>
          <w:lang w:val="es-CO"/>
        </w:rPr>
        <w:t>entidades ánimo</w:t>
      </w:r>
      <w:r>
        <w:rPr>
          <w:rFonts w:cs="Arial"/>
          <w:spacing w:val="13"/>
          <w:lang w:val="es-CO"/>
        </w:rPr>
        <w:t xml:space="preserve"> </w:t>
      </w:r>
      <w:r>
        <w:rPr>
          <w:rFonts w:cs="Arial"/>
          <w:lang w:val="es-CO"/>
        </w:rPr>
        <w:t>de</w:t>
      </w:r>
      <w:r>
        <w:rPr>
          <w:rFonts w:cs="Arial"/>
          <w:spacing w:val="6"/>
          <w:lang w:val="es-CO"/>
        </w:rPr>
        <w:t xml:space="preserve"> </w:t>
      </w:r>
      <w:r>
        <w:rPr>
          <w:rFonts w:cs="Arial"/>
          <w:lang w:val="es-CO"/>
        </w:rPr>
        <w:t>lucro;</w:t>
      </w:r>
      <w:r>
        <w:rPr>
          <w:rFonts w:cs="Arial"/>
          <w:spacing w:val="12"/>
          <w:lang w:val="es-CO"/>
        </w:rPr>
        <w:t xml:space="preserve"> </w:t>
      </w:r>
      <w:r>
        <w:rPr>
          <w:rFonts w:cs="Arial"/>
          <w:lang w:val="es-CO"/>
        </w:rPr>
        <w:t>los</w:t>
      </w:r>
      <w:r>
        <w:rPr>
          <w:rFonts w:cs="Arial"/>
          <w:spacing w:val="6"/>
          <w:lang w:val="es-CO"/>
        </w:rPr>
        <w:t xml:space="preserve"> </w:t>
      </w:r>
      <w:r>
        <w:rPr>
          <w:rFonts w:cs="Arial"/>
          <w:lang w:val="es-CO"/>
        </w:rPr>
        <w:t>hospitales</w:t>
      </w:r>
      <w:r>
        <w:rPr>
          <w:rFonts w:cs="Arial"/>
          <w:spacing w:val="1"/>
          <w:lang w:val="es-CO"/>
        </w:rPr>
        <w:t xml:space="preserve"> </w:t>
      </w:r>
      <w:r>
        <w:rPr>
          <w:rFonts w:cs="Arial"/>
          <w:lang w:val="es-CO"/>
        </w:rPr>
        <w:t>que estén constituidos</w:t>
      </w:r>
      <w:r>
        <w:rPr>
          <w:rFonts w:cs="Arial"/>
          <w:spacing w:val="29"/>
          <w:lang w:val="es-CO"/>
        </w:rPr>
        <w:t xml:space="preserve"> </w:t>
      </w:r>
      <w:r>
        <w:rPr>
          <w:rFonts w:cs="Arial"/>
          <w:lang w:val="es-CO"/>
        </w:rPr>
        <w:t>como</w:t>
      </w:r>
      <w:r>
        <w:rPr>
          <w:rFonts w:cs="Arial"/>
          <w:spacing w:val="19"/>
          <w:lang w:val="es-CO"/>
        </w:rPr>
        <w:t xml:space="preserve"> </w:t>
      </w:r>
      <w:r>
        <w:rPr>
          <w:rFonts w:cs="Arial"/>
          <w:lang w:val="es-CO"/>
        </w:rPr>
        <w:t>personas</w:t>
      </w:r>
      <w:r>
        <w:rPr>
          <w:rFonts w:cs="Arial"/>
          <w:spacing w:val="-3"/>
          <w:lang w:val="es-CO"/>
        </w:rPr>
        <w:t xml:space="preserve"> </w:t>
      </w:r>
      <w:r>
        <w:rPr>
          <w:rFonts w:cs="Arial"/>
          <w:lang w:val="es-CO"/>
        </w:rPr>
        <w:t>jurídicas</w:t>
      </w:r>
      <w:r>
        <w:rPr>
          <w:rFonts w:cs="Arial"/>
          <w:spacing w:val="40"/>
          <w:lang w:val="es-CO"/>
        </w:rPr>
        <w:t xml:space="preserve"> </w:t>
      </w:r>
      <w:r>
        <w:rPr>
          <w:rFonts w:cs="Arial"/>
          <w:lang w:val="es-CO"/>
        </w:rPr>
        <w:t>sin</w:t>
      </w:r>
      <w:r>
        <w:rPr>
          <w:rFonts w:cs="Arial"/>
          <w:spacing w:val="8"/>
          <w:lang w:val="es-CO"/>
        </w:rPr>
        <w:t xml:space="preserve"> </w:t>
      </w:r>
      <w:r>
        <w:rPr>
          <w:rFonts w:cs="Arial"/>
          <w:lang w:val="es-CO"/>
        </w:rPr>
        <w:t>ánimo</w:t>
      </w:r>
      <w:r>
        <w:rPr>
          <w:rFonts w:cs="Arial"/>
          <w:spacing w:val="8"/>
          <w:lang w:val="es-CO"/>
        </w:rPr>
        <w:t xml:space="preserve"> </w:t>
      </w:r>
      <w:r>
        <w:rPr>
          <w:rFonts w:cs="Arial"/>
          <w:lang w:val="es-CO"/>
        </w:rPr>
        <w:t>de</w:t>
      </w:r>
      <w:r>
        <w:rPr>
          <w:rFonts w:cs="Arial"/>
          <w:spacing w:val="12"/>
          <w:lang w:val="es-CO"/>
        </w:rPr>
        <w:t xml:space="preserve"> </w:t>
      </w:r>
      <w:r>
        <w:rPr>
          <w:rFonts w:cs="Arial"/>
          <w:lang w:val="es-CO"/>
        </w:rPr>
        <w:t>lucro;</w:t>
      </w:r>
      <w:r>
        <w:rPr>
          <w:rFonts w:cs="Arial"/>
          <w:spacing w:val="18"/>
          <w:lang w:val="es-CO"/>
        </w:rPr>
        <w:t xml:space="preserve"> </w:t>
      </w:r>
      <w:r>
        <w:rPr>
          <w:rFonts w:cs="Arial"/>
          <w:lang w:val="es-CO"/>
        </w:rPr>
        <w:t>las</w:t>
      </w:r>
      <w:r>
        <w:rPr>
          <w:rFonts w:cs="Arial"/>
          <w:spacing w:val="-2"/>
          <w:lang w:val="es-CO"/>
        </w:rPr>
        <w:t xml:space="preserve"> </w:t>
      </w:r>
      <w:r>
        <w:rPr>
          <w:rFonts w:cs="Arial"/>
          <w:lang w:val="es-CO"/>
        </w:rPr>
        <w:t>organizaciones de alcohólicos anónimos; las asociaciones de exalumnos; los partidos o movimientos</w:t>
      </w:r>
      <w:r>
        <w:rPr>
          <w:rFonts w:cs="Arial"/>
          <w:spacing w:val="58"/>
          <w:lang w:val="es-CO"/>
        </w:rPr>
        <w:t xml:space="preserve"> </w:t>
      </w:r>
      <w:r>
        <w:rPr>
          <w:rFonts w:cs="Arial"/>
          <w:lang w:val="es-CO"/>
        </w:rPr>
        <w:t>políticos</w:t>
      </w:r>
      <w:r>
        <w:rPr>
          <w:rFonts w:cs="Arial"/>
          <w:spacing w:val="48"/>
          <w:lang w:val="es-CO"/>
        </w:rPr>
        <w:t xml:space="preserve"> </w:t>
      </w:r>
      <w:r>
        <w:rPr>
          <w:rFonts w:cs="Arial"/>
          <w:lang w:val="es-CO"/>
        </w:rPr>
        <w:t>aprobados por</w:t>
      </w:r>
      <w:r>
        <w:rPr>
          <w:rFonts w:cs="Arial"/>
          <w:spacing w:val="39"/>
          <w:lang w:val="es-CO"/>
        </w:rPr>
        <w:t xml:space="preserve"> </w:t>
      </w:r>
      <w:r>
        <w:rPr>
          <w:rFonts w:cs="Arial"/>
          <w:lang w:val="es-CO"/>
        </w:rPr>
        <w:t>el</w:t>
      </w:r>
      <w:r>
        <w:rPr>
          <w:rFonts w:cs="Arial"/>
          <w:spacing w:val="36"/>
          <w:lang w:val="es-CO"/>
        </w:rPr>
        <w:t xml:space="preserve"> </w:t>
      </w:r>
      <w:r>
        <w:rPr>
          <w:rFonts w:cs="Arial"/>
          <w:lang w:val="es-CO"/>
        </w:rPr>
        <w:t>Consejo</w:t>
      </w:r>
      <w:r>
        <w:rPr>
          <w:rFonts w:cs="Arial"/>
          <w:spacing w:val="61"/>
          <w:lang w:val="es-CO"/>
        </w:rPr>
        <w:t xml:space="preserve"> </w:t>
      </w:r>
      <w:r>
        <w:rPr>
          <w:rFonts w:cs="Arial"/>
          <w:lang w:val="es-CO"/>
        </w:rPr>
        <w:t>Nacional Electoral; las</w:t>
      </w:r>
      <w:r>
        <w:rPr>
          <w:rFonts w:cs="Arial"/>
          <w:spacing w:val="44"/>
          <w:lang w:val="es-CO"/>
        </w:rPr>
        <w:t xml:space="preserve"> </w:t>
      </w:r>
      <w:r>
        <w:rPr>
          <w:rFonts w:cs="Arial"/>
          <w:lang w:val="es-CO"/>
        </w:rPr>
        <w:t>ligas</w:t>
      </w:r>
      <w:r>
        <w:rPr>
          <w:rFonts w:cs="Arial"/>
          <w:spacing w:val="35"/>
          <w:lang w:val="es-CO"/>
        </w:rPr>
        <w:t xml:space="preserve"> </w:t>
      </w:r>
      <w:r>
        <w:rPr>
          <w:rFonts w:cs="Arial"/>
          <w:lang w:val="es-CO"/>
        </w:rPr>
        <w:t>de consumid</w:t>
      </w:r>
      <w:r>
        <w:rPr>
          <w:rFonts w:cs="Arial"/>
          <w:lang w:val="es-CO"/>
        </w:rPr>
        <w:t>ores;</w:t>
      </w:r>
      <w:r>
        <w:rPr>
          <w:rFonts w:cs="Arial"/>
          <w:spacing w:val="49"/>
          <w:lang w:val="es-CO"/>
        </w:rPr>
        <w:t xml:space="preserve"> </w:t>
      </w:r>
      <w:r>
        <w:rPr>
          <w:rFonts w:cs="Arial"/>
          <w:lang w:val="es-CO"/>
        </w:rPr>
        <w:t>los</w:t>
      </w:r>
      <w:r>
        <w:rPr>
          <w:rFonts w:cs="Arial"/>
          <w:spacing w:val="18"/>
          <w:lang w:val="es-CO"/>
        </w:rPr>
        <w:t xml:space="preserve"> </w:t>
      </w:r>
      <w:r>
        <w:rPr>
          <w:rFonts w:cs="Arial"/>
          <w:lang w:val="es-CO"/>
        </w:rPr>
        <w:t>Fondos</w:t>
      </w:r>
      <w:r>
        <w:rPr>
          <w:rFonts w:cs="Arial"/>
          <w:spacing w:val="9"/>
          <w:lang w:val="es-CO"/>
        </w:rPr>
        <w:t xml:space="preserve"> </w:t>
      </w:r>
      <w:r>
        <w:rPr>
          <w:rFonts w:cs="Arial"/>
          <w:lang w:val="es-CO"/>
        </w:rPr>
        <w:t>de</w:t>
      </w:r>
      <w:r>
        <w:rPr>
          <w:rFonts w:cs="Arial"/>
          <w:spacing w:val="18"/>
          <w:lang w:val="es-CO"/>
        </w:rPr>
        <w:t xml:space="preserve"> </w:t>
      </w:r>
      <w:r>
        <w:rPr>
          <w:rFonts w:cs="Arial"/>
          <w:lang w:val="es-CO"/>
        </w:rPr>
        <w:t>Pensionados;</w:t>
      </w:r>
      <w:r>
        <w:rPr>
          <w:rFonts w:cs="Arial"/>
          <w:spacing w:val="35"/>
          <w:lang w:val="es-CO"/>
        </w:rPr>
        <w:t xml:space="preserve"> </w:t>
      </w:r>
      <w:r>
        <w:rPr>
          <w:rFonts w:cs="Arial"/>
          <w:lang w:val="es-CO"/>
        </w:rPr>
        <w:t>los</w:t>
      </w:r>
      <w:r>
        <w:rPr>
          <w:rFonts w:cs="Arial"/>
          <w:spacing w:val="14"/>
          <w:lang w:val="es-CO"/>
        </w:rPr>
        <w:t xml:space="preserve"> </w:t>
      </w:r>
      <w:r>
        <w:rPr>
          <w:rFonts w:cs="Arial"/>
          <w:lang w:val="es-CO"/>
        </w:rPr>
        <w:t>movimientos,</w:t>
      </w:r>
      <w:r>
        <w:rPr>
          <w:rFonts w:cs="Arial"/>
          <w:spacing w:val="28"/>
          <w:lang w:val="es-CO"/>
        </w:rPr>
        <w:t xml:space="preserve"> </w:t>
      </w:r>
      <w:r>
        <w:rPr>
          <w:rFonts w:cs="Arial"/>
          <w:lang w:val="es-CO"/>
        </w:rPr>
        <w:t>asociaciones</w:t>
      </w:r>
      <w:r>
        <w:rPr>
          <w:rFonts w:cs="Arial"/>
          <w:spacing w:val="33"/>
          <w:lang w:val="es-CO"/>
        </w:rPr>
        <w:t xml:space="preserve"> </w:t>
      </w:r>
      <w:r>
        <w:rPr>
          <w:rFonts w:cs="Arial"/>
          <w:lang w:val="es-CO"/>
        </w:rPr>
        <w:t>y congregaciones</w:t>
      </w:r>
      <w:r>
        <w:rPr>
          <w:rFonts w:cs="Arial"/>
          <w:spacing w:val="31"/>
          <w:lang w:val="es-CO"/>
        </w:rPr>
        <w:t xml:space="preserve"> </w:t>
      </w:r>
      <w:r>
        <w:rPr>
          <w:rFonts w:cs="Arial"/>
          <w:lang w:val="es-CO"/>
        </w:rPr>
        <w:t>religiosas</w:t>
      </w:r>
      <w:r>
        <w:rPr>
          <w:rFonts w:cs="Arial"/>
          <w:spacing w:val="11"/>
          <w:lang w:val="es-CO"/>
        </w:rPr>
        <w:t xml:space="preserve"> </w:t>
      </w:r>
      <w:r>
        <w:rPr>
          <w:rFonts w:cs="Arial"/>
          <w:lang w:val="es-CO"/>
        </w:rPr>
        <w:t>que</w:t>
      </w:r>
      <w:r>
        <w:rPr>
          <w:rFonts w:cs="Arial"/>
          <w:spacing w:val="66"/>
          <w:lang w:val="es-CO"/>
        </w:rPr>
        <w:t xml:space="preserve"> </w:t>
      </w:r>
      <w:r>
        <w:rPr>
          <w:rFonts w:cs="Arial"/>
          <w:lang w:val="es-CO"/>
        </w:rPr>
        <w:t>sean</w:t>
      </w:r>
      <w:r>
        <w:rPr>
          <w:rFonts w:cs="Arial"/>
          <w:spacing w:val="6"/>
          <w:lang w:val="es-CO"/>
        </w:rPr>
        <w:t xml:space="preserve"> </w:t>
      </w:r>
      <w:r>
        <w:rPr>
          <w:rFonts w:cs="Arial"/>
          <w:lang w:val="es-CO"/>
        </w:rPr>
        <w:t>entidades</w:t>
      </w:r>
      <w:r>
        <w:rPr>
          <w:rFonts w:cs="Arial"/>
          <w:spacing w:val="7"/>
          <w:lang w:val="es-CO"/>
        </w:rPr>
        <w:t xml:space="preserve"> </w:t>
      </w:r>
      <w:r>
        <w:rPr>
          <w:rFonts w:cs="Arial"/>
          <w:lang w:val="es-CO"/>
        </w:rPr>
        <w:t>sin ánimo</w:t>
      </w:r>
      <w:r>
        <w:rPr>
          <w:rFonts w:cs="Arial"/>
          <w:spacing w:val="2"/>
          <w:lang w:val="es-CO"/>
        </w:rPr>
        <w:t xml:space="preserve"> </w:t>
      </w:r>
      <w:r>
        <w:rPr>
          <w:rFonts w:cs="Arial"/>
          <w:lang w:val="es-CO"/>
        </w:rPr>
        <w:t>de</w:t>
      </w:r>
      <w:r>
        <w:rPr>
          <w:rFonts w:cs="Arial"/>
          <w:spacing w:val="6"/>
          <w:lang w:val="es-CO"/>
        </w:rPr>
        <w:t xml:space="preserve"> </w:t>
      </w:r>
      <w:r>
        <w:rPr>
          <w:rFonts w:cs="Arial"/>
          <w:lang w:val="es-CO"/>
        </w:rPr>
        <w:t>lucro;</w:t>
      </w:r>
      <w:r>
        <w:rPr>
          <w:rFonts w:cs="Arial"/>
          <w:spacing w:val="4"/>
          <w:lang w:val="es-CO"/>
        </w:rPr>
        <w:t xml:space="preserve"> </w:t>
      </w:r>
      <w:r>
        <w:rPr>
          <w:rFonts w:cs="Arial"/>
          <w:lang w:val="es-CO"/>
        </w:rPr>
        <w:t>los</w:t>
      </w:r>
      <w:r>
        <w:rPr>
          <w:rFonts w:cs="Arial"/>
          <w:spacing w:val="58"/>
          <w:lang w:val="es-CO"/>
        </w:rPr>
        <w:t xml:space="preserve"> </w:t>
      </w:r>
      <w:r>
        <w:rPr>
          <w:rFonts w:cs="Arial"/>
          <w:lang w:val="es-CO"/>
        </w:rPr>
        <w:t>fondos</w:t>
      </w:r>
      <w:r>
        <w:rPr>
          <w:rFonts w:cs="Arial"/>
          <w:w w:val="99"/>
          <w:lang w:val="es-CO"/>
        </w:rPr>
        <w:t xml:space="preserve"> </w:t>
      </w:r>
      <w:r>
        <w:rPr>
          <w:rFonts w:cs="Arial"/>
          <w:lang w:val="es-CO"/>
        </w:rPr>
        <w:t>mutuos</w:t>
      </w:r>
      <w:r>
        <w:rPr>
          <w:rFonts w:cs="Arial"/>
          <w:spacing w:val="64"/>
          <w:lang w:val="es-CO"/>
        </w:rPr>
        <w:t xml:space="preserve"> </w:t>
      </w:r>
      <w:r>
        <w:rPr>
          <w:rFonts w:cs="Arial"/>
          <w:lang w:val="es-CO"/>
        </w:rPr>
        <w:t>de</w:t>
      </w:r>
      <w:r>
        <w:rPr>
          <w:rFonts w:cs="Arial"/>
          <w:spacing w:val="56"/>
          <w:lang w:val="es-CO"/>
        </w:rPr>
        <w:t xml:space="preserve"> </w:t>
      </w:r>
      <w:r>
        <w:rPr>
          <w:rFonts w:cs="Arial"/>
          <w:lang w:val="es-CO"/>
        </w:rPr>
        <w:t>inversión</w:t>
      </w:r>
      <w:r>
        <w:rPr>
          <w:rFonts w:cs="Arial"/>
          <w:spacing w:val="4"/>
          <w:lang w:val="es-CO"/>
        </w:rPr>
        <w:t xml:space="preserve"> </w:t>
      </w:r>
      <w:r>
        <w:rPr>
          <w:rFonts w:cs="Arial"/>
          <w:lang w:val="es-CO"/>
        </w:rPr>
        <w:t>y</w:t>
      </w:r>
      <w:r>
        <w:rPr>
          <w:rFonts w:cs="Arial"/>
          <w:spacing w:val="63"/>
          <w:lang w:val="es-CO"/>
        </w:rPr>
        <w:t xml:space="preserve"> </w:t>
      </w:r>
      <w:r>
        <w:rPr>
          <w:rFonts w:cs="Arial"/>
          <w:lang w:val="es-CO"/>
        </w:rPr>
        <w:t>las</w:t>
      </w:r>
      <w:r>
        <w:rPr>
          <w:rFonts w:cs="Arial"/>
          <w:spacing w:val="51"/>
          <w:lang w:val="es-CO"/>
        </w:rPr>
        <w:t xml:space="preserve"> </w:t>
      </w:r>
      <w:r>
        <w:rPr>
          <w:rFonts w:cs="Arial"/>
          <w:lang w:val="es-CO"/>
        </w:rPr>
        <w:t>asociaciones</w:t>
      </w:r>
      <w:r>
        <w:rPr>
          <w:rFonts w:cs="Arial"/>
          <w:spacing w:val="11"/>
          <w:lang w:val="es-CO"/>
        </w:rPr>
        <w:t xml:space="preserve"> </w:t>
      </w:r>
      <w:r>
        <w:rPr>
          <w:rFonts w:cs="Arial"/>
          <w:lang w:val="es-CO"/>
        </w:rPr>
        <w:t>gremiales</w:t>
      </w:r>
      <w:r>
        <w:rPr>
          <w:rFonts w:cs="Arial"/>
          <w:spacing w:val="16"/>
          <w:lang w:val="es-CO"/>
        </w:rPr>
        <w:t xml:space="preserve"> </w:t>
      </w:r>
      <w:r>
        <w:rPr>
          <w:rFonts w:cs="Arial"/>
          <w:lang w:val="es-CO"/>
        </w:rPr>
        <w:t>cuando</w:t>
      </w:r>
      <w:r>
        <w:rPr>
          <w:rFonts w:cs="Arial"/>
          <w:spacing w:val="6"/>
          <w:lang w:val="es-CO"/>
        </w:rPr>
        <w:t xml:space="preserve"> </w:t>
      </w:r>
      <w:r>
        <w:rPr>
          <w:rFonts w:cs="Arial"/>
          <w:lang w:val="es-CO"/>
        </w:rPr>
        <w:t>no</w:t>
      </w:r>
      <w:r>
        <w:rPr>
          <w:rFonts w:cs="Arial"/>
          <w:spacing w:val="50"/>
          <w:lang w:val="es-CO"/>
        </w:rPr>
        <w:t xml:space="preserve"> </w:t>
      </w:r>
      <w:r>
        <w:rPr>
          <w:rFonts w:cs="Arial"/>
          <w:lang w:val="es-CO"/>
        </w:rPr>
        <w:t>desarrollen</w:t>
      </w:r>
      <w:r>
        <w:rPr>
          <w:rFonts w:cs="Arial"/>
          <w:w w:val="99"/>
          <w:lang w:val="es-CO"/>
        </w:rPr>
        <w:t xml:space="preserve"> </w:t>
      </w:r>
      <w:r>
        <w:rPr>
          <w:rFonts w:cs="Arial"/>
          <w:lang w:val="es-CO"/>
        </w:rPr>
        <w:t>actividades</w:t>
      </w:r>
      <w:r>
        <w:rPr>
          <w:rFonts w:cs="Arial"/>
          <w:spacing w:val="32"/>
          <w:lang w:val="es-CO"/>
        </w:rPr>
        <w:t xml:space="preserve"> </w:t>
      </w:r>
      <w:r>
        <w:rPr>
          <w:rFonts w:cs="Arial"/>
          <w:lang w:val="es-CO"/>
        </w:rPr>
        <w:t>industriales</w:t>
      </w:r>
      <w:r>
        <w:rPr>
          <w:rFonts w:cs="Arial"/>
          <w:spacing w:val="13"/>
          <w:lang w:val="es-CO"/>
        </w:rPr>
        <w:t xml:space="preserve"> </w:t>
      </w:r>
      <w:r>
        <w:rPr>
          <w:rFonts w:cs="Arial"/>
          <w:lang w:val="es-CO"/>
        </w:rPr>
        <w:t>o</w:t>
      </w:r>
      <w:r>
        <w:rPr>
          <w:rFonts w:cs="Arial"/>
          <w:spacing w:val="4"/>
          <w:lang w:val="es-CO"/>
        </w:rPr>
        <w:t xml:space="preserve"> </w:t>
      </w:r>
      <w:r>
        <w:rPr>
          <w:rFonts w:cs="Arial"/>
          <w:lang w:val="es-CO"/>
        </w:rPr>
        <w:t>de</w:t>
      </w:r>
      <w:r>
        <w:rPr>
          <w:rFonts w:cs="Arial"/>
          <w:spacing w:val="9"/>
          <w:lang w:val="es-CO"/>
        </w:rPr>
        <w:t xml:space="preserve"> </w:t>
      </w:r>
      <w:r>
        <w:rPr>
          <w:rFonts w:cs="Arial"/>
          <w:lang w:val="es-CO"/>
        </w:rPr>
        <w:t>mercadeo,</w:t>
      </w:r>
      <w:r>
        <w:rPr>
          <w:rFonts w:cs="Arial"/>
          <w:spacing w:val="15"/>
          <w:lang w:val="es-CO"/>
        </w:rPr>
        <w:t xml:space="preserve"> </w:t>
      </w:r>
      <w:r>
        <w:rPr>
          <w:rFonts w:cs="Arial"/>
          <w:lang w:val="es-CO"/>
        </w:rPr>
        <w:t>y las personas</w:t>
      </w:r>
      <w:r>
        <w:rPr>
          <w:rFonts w:cs="Arial"/>
          <w:spacing w:val="-2"/>
          <w:lang w:val="es-CO"/>
        </w:rPr>
        <w:t xml:space="preserve"> </w:t>
      </w:r>
      <w:r>
        <w:rPr>
          <w:rFonts w:cs="Arial"/>
          <w:lang w:val="es-CO"/>
        </w:rPr>
        <w:t>jurídicas</w:t>
      </w:r>
      <w:r>
        <w:rPr>
          <w:rFonts w:cs="Arial"/>
          <w:spacing w:val="29"/>
          <w:lang w:val="es-CO"/>
        </w:rPr>
        <w:t xml:space="preserve"> </w:t>
      </w:r>
      <w:r>
        <w:rPr>
          <w:rFonts w:cs="Arial"/>
          <w:lang w:val="es-CO"/>
        </w:rPr>
        <w:t>sin</w:t>
      </w:r>
      <w:r>
        <w:rPr>
          <w:rFonts w:cs="Arial"/>
          <w:spacing w:val="3"/>
          <w:lang w:val="es-CO"/>
        </w:rPr>
        <w:t xml:space="preserve"> </w:t>
      </w:r>
      <w:r>
        <w:rPr>
          <w:rFonts w:cs="Arial"/>
          <w:lang w:val="es-CO"/>
        </w:rPr>
        <w:t>ánimo</w:t>
      </w:r>
      <w:r>
        <w:rPr>
          <w:rFonts w:cs="Arial"/>
          <w:spacing w:val="6"/>
          <w:lang w:val="es-CO"/>
        </w:rPr>
        <w:t xml:space="preserve"> </w:t>
      </w:r>
      <w:r>
        <w:rPr>
          <w:rFonts w:cs="Arial"/>
          <w:lang w:val="es-CO"/>
        </w:rPr>
        <w:t>de</w:t>
      </w:r>
      <w:r>
        <w:rPr>
          <w:rFonts w:cs="Arial"/>
          <w:spacing w:val="5"/>
          <w:lang w:val="es-CO"/>
        </w:rPr>
        <w:t xml:space="preserve"> </w:t>
      </w:r>
      <w:r>
        <w:rPr>
          <w:rFonts w:cs="Arial"/>
          <w:lang w:val="es-CO"/>
        </w:rPr>
        <w:t>lucro que</w:t>
      </w:r>
      <w:r>
        <w:rPr>
          <w:rFonts w:cs="Arial"/>
          <w:spacing w:val="33"/>
          <w:lang w:val="es-CO"/>
        </w:rPr>
        <w:t xml:space="preserve"> </w:t>
      </w:r>
      <w:r>
        <w:rPr>
          <w:rFonts w:cs="Arial"/>
          <w:lang w:val="es-CO"/>
        </w:rPr>
        <w:t>realicen</w:t>
      </w:r>
      <w:r>
        <w:rPr>
          <w:rFonts w:cs="Arial"/>
          <w:spacing w:val="29"/>
          <w:lang w:val="es-CO"/>
        </w:rPr>
        <w:t xml:space="preserve"> </w:t>
      </w:r>
      <w:r>
        <w:rPr>
          <w:rFonts w:cs="Arial"/>
          <w:lang w:val="es-CO"/>
        </w:rPr>
        <w:t>actividades</w:t>
      </w:r>
      <w:r>
        <w:rPr>
          <w:rFonts w:cs="Arial"/>
          <w:spacing w:val="63"/>
          <w:lang w:val="es-CO"/>
        </w:rPr>
        <w:t xml:space="preserve"> </w:t>
      </w:r>
      <w:r>
        <w:rPr>
          <w:rFonts w:cs="Arial"/>
          <w:lang w:val="es-CO"/>
        </w:rPr>
        <w:t>salud,</w:t>
      </w:r>
      <w:r>
        <w:rPr>
          <w:rFonts w:cs="Arial"/>
          <w:spacing w:val="43"/>
          <w:lang w:val="es-CO"/>
        </w:rPr>
        <w:t xml:space="preserve"> </w:t>
      </w:r>
      <w:r>
        <w:rPr>
          <w:rFonts w:cs="Arial"/>
          <w:lang w:val="es-CO"/>
        </w:rPr>
        <w:t>siempre</w:t>
      </w:r>
      <w:r>
        <w:rPr>
          <w:rFonts w:cs="Arial"/>
          <w:spacing w:val="34"/>
          <w:lang w:val="es-CO"/>
        </w:rPr>
        <w:t xml:space="preserve"> </w:t>
      </w:r>
      <w:r>
        <w:rPr>
          <w:rFonts w:cs="Arial"/>
          <w:lang w:val="es-CO"/>
        </w:rPr>
        <w:t>y</w:t>
      </w:r>
      <w:r>
        <w:rPr>
          <w:rFonts w:cs="Arial"/>
          <w:spacing w:val="24"/>
          <w:lang w:val="es-CO"/>
        </w:rPr>
        <w:t xml:space="preserve"> </w:t>
      </w:r>
      <w:r>
        <w:rPr>
          <w:rFonts w:cs="Arial"/>
          <w:lang w:val="es-CO"/>
        </w:rPr>
        <w:t>cuando</w:t>
      </w:r>
      <w:r>
        <w:rPr>
          <w:rFonts w:cs="Arial"/>
          <w:spacing w:val="42"/>
          <w:lang w:val="es-CO"/>
        </w:rPr>
        <w:t xml:space="preserve"> </w:t>
      </w:r>
      <w:r>
        <w:rPr>
          <w:rFonts w:cs="Arial"/>
          <w:lang w:val="es-CO"/>
        </w:rPr>
        <w:t>hayan</w:t>
      </w:r>
      <w:r>
        <w:rPr>
          <w:rFonts w:cs="Arial"/>
          <w:spacing w:val="23"/>
          <w:lang w:val="es-CO"/>
        </w:rPr>
        <w:t xml:space="preserve"> </w:t>
      </w:r>
      <w:r>
        <w:rPr>
          <w:rFonts w:cs="Arial"/>
          <w:lang w:val="es-CO"/>
        </w:rPr>
        <w:t>obtenido</w:t>
      </w:r>
      <w:r>
        <w:rPr>
          <w:rFonts w:cs="Arial"/>
          <w:spacing w:val="44"/>
          <w:lang w:val="es-CO"/>
        </w:rPr>
        <w:t xml:space="preserve"> </w:t>
      </w:r>
      <w:r>
        <w:rPr>
          <w:rFonts w:cs="Arial"/>
          <w:lang w:val="es-CO"/>
        </w:rPr>
        <w:t>permiso</w:t>
      </w:r>
      <w:r>
        <w:rPr>
          <w:rFonts w:cs="Arial"/>
          <w:spacing w:val="39"/>
          <w:lang w:val="es-CO"/>
        </w:rPr>
        <w:t xml:space="preserve"> </w:t>
      </w:r>
      <w:r>
        <w:rPr>
          <w:rFonts w:cs="Arial"/>
          <w:lang w:val="es-CO"/>
        </w:rPr>
        <w:t>de</w:t>
      </w:r>
      <w:r>
        <w:rPr>
          <w:rFonts w:cs="Arial"/>
          <w:w w:val="99"/>
          <w:lang w:val="es-CO"/>
        </w:rPr>
        <w:t xml:space="preserve"> </w:t>
      </w:r>
      <w:r>
        <w:rPr>
          <w:rFonts w:cs="Arial"/>
          <w:lang w:val="es-CO"/>
        </w:rPr>
        <w:t>funcionamiento</w:t>
      </w:r>
      <w:r>
        <w:rPr>
          <w:rFonts w:cs="Arial"/>
          <w:spacing w:val="57"/>
          <w:lang w:val="es-CO"/>
        </w:rPr>
        <w:t xml:space="preserve"> </w:t>
      </w:r>
      <w:r>
        <w:rPr>
          <w:rFonts w:cs="Arial"/>
          <w:lang w:val="es-CO"/>
        </w:rPr>
        <w:t>del</w:t>
      </w:r>
      <w:r>
        <w:rPr>
          <w:rFonts w:cs="Arial"/>
          <w:spacing w:val="14"/>
          <w:lang w:val="es-CO"/>
        </w:rPr>
        <w:t xml:space="preserve"> </w:t>
      </w:r>
      <w:r>
        <w:rPr>
          <w:rFonts w:cs="Arial"/>
          <w:lang w:val="es-CO"/>
        </w:rPr>
        <w:t>entonces</w:t>
      </w:r>
      <w:r>
        <w:rPr>
          <w:rFonts w:cs="Arial"/>
          <w:spacing w:val="33"/>
          <w:lang w:val="es-CO"/>
        </w:rPr>
        <w:t xml:space="preserve"> </w:t>
      </w:r>
      <w:r>
        <w:rPr>
          <w:rFonts w:cs="Arial"/>
          <w:lang w:val="es-CO"/>
        </w:rPr>
        <w:t>Ministerio</w:t>
      </w:r>
      <w:r>
        <w:rPr>
          <w:rFonts w:cs="Arial"/>
          <w:spacing w:val="21"/>
          <w:lang w:val="es-CO"/>
        </w:rPr>
        <w:t xml:space="preserve"> </w:t>
      </w:r>
      <w:r>
        <w:rPr>
          <w:rFonts w:cs="Arial"/>
          <w:lang w:val="es-CO"/>
        </w:rPr>
        <w:t>de</w:t>
      </w:r>
      <w:r>
        <w:rPr>
          <w:rFonts w:cs="Arial"/>
          <w:spacing w:val="23"/>
          <w:lang w:val="es-CO"/>
        </w:rPr>
        <w:t xml:space="preserve"> </w:t>
      </w:r>
      <w:r>
        <w:rPr>
          <w:rFonts w:cs="Arial"/>
          <w:lang w:val="es-CO"/>
        </w:rPr>
        <w:t>la</w:t>
      </w:r>
      <w:r>
        <w:rPr>
          <w:rFonts w:cs="Arial"/>
          <w:spacing w:val="25"/>
          <w:lang w:val="es-CO"/>
        </w:rPr>
        <w:t xml:space="preserve"> </w:t>
      </w:r>
      <w:r>
        <w:rPr>
          <w:rFonts w:cs="Arial"/>
          <w:lang w:val="es-CO"/>
        </w:rPr>
        <w:t>Protección</w:t>
      </w:r>
      <w:r>
        <w:rPr>
          <w:rFonts w:cs="Arial"/>
          <w:spacing w:val="29"/>
          <w:lang w:val="es-CO"/>
        </w:rPr>
        <w:t xml:space="preserve"> </w:t>
      </w:r>
      <w:r>
        <w:rPr>
          <w:rFonts w:cs="Arial"/>
          <w:lang w:val="es-CO"/>
        </w:rPr>
        <w:t>Social</w:t>
      </w:r>
      <w:r>
        <w:rPr>
          <w:rFonts w:cs="Arial"/>
          <w:spacing w:val="23"/>
          <w:lang w:val="es-CO"/>
        </w:rPr>
        <w:t xml:space="preserve"> </w:t>
      </w:r>
      <w:r>
        <w:rPr>
          <w:rFonts w:cs="Arial"/>
          <w:lang w:val="es-CO"/>
        </w:rPr>
        <w:t>o</w:t>
      </w:r>
      <w:r>
        <w:rPr>
          <w:rFonts w:cs="Arial"/>
          <w:spacing w:val="18"/>
          <w:lang w:val="es-CO"/>
        </w:rPr>
        <w:t xml:space="preserve"> </w:t>
      </w:r>
      <w:r>
        <w:rPr>
          <w:rFonts w:cs="Arial"/>
          <w:lang w:val="es-CO"/>
        </w:rPr>
        <w:t>del</w:t>
      </w:r>
      <w:r>
        <w:rPr>
          <w:rFonts w:cs="Arial"/>
          <w:spacing w:val="16"/>
          <w:lang w:val="es-CO"/>
        </w:rPr>
        <w:t xml:space="preserve"> </w:t>
      </w:r>
      <w:r>
        <w:rPr>
          <w:rFonts w:cs="Arial"/>
          <w:lang w:val="es-CO"/>
        </w:rPr>
        <w:t>actual</w:t>
      </w:r>
      <w:r>
        <w:rPr>
          <w:rFonts w:cs="Arial"/>
          <w:w w:val="98"/>
          <w:lang w:val="es-CO"/>
        </w:rPr>
        <w:t xml:space="preserve"> </w:t>
      </w:r>
      <w:r>
        <w:rPr>
          <w:rFonts w:cs="Arial"/>
          <w:lang w:val="es-CO"/>
        </w:rPr>
        <w:t>Ministerio Salud,</w:t>
      </w:r>
      <w:r>
        <w:rPr>
          <w:rFonts w:cs="Arial"/>
          <w:spacing w:val="33"/>
          <w:lang w:val="es-CO"/>
        </w:rPr>
        <w:t xml:space="preserve"> </w:t>
      </w:r>
      <w:r>
        <w:rPr>
          <w:rFonts w:cs="Arial"/>
          <w:lang w:val="es-CO"/>
        </w:rPr>
        <w:t>directamente</w:t>
      </w:r>
      <w:r>
        <w:rPr>
          <w:rFonts w:cs="Arial"/>
          <w:spacing w:val="48"/>
          <w:lang w:val="es-CO"/>
        </w:rPr>
        <w:t xml:space="preserve"> </w:t>
      </w:r>
      <w:r>
        <w:rPr>
          <w:rFonts w:cs="Arial"/>
          <w:lang w:val="es-CO"/>
        </w:rPr>
        <w:t>o</w:t>
      </w:r>
      <w:r>
        <w:rPr>
          <w:rFonts w:cs="Arial"/>
          <w:spacing w:val="30"/>
          <w:lang w:val="es-CO"/>
        </w:rPr>
        <w:t xml:space="preserve"> </w:t>
      </w:r>
      <w:r>
        <w:rPr>
          <w:rFonts w:cs="Arial"/>
          <w:lang w:val="es-CO"/>
        </w:rPr>
        <w:t>a través de</w:t>
      </w:r>
      <w:r>
        <w:rPr>
          <w:rFonts w:cs="Arial"/>
          <w:spacing w:val="36"/>
          <w:lang w:val="es-CO"/>
        </w:rPr>
        <w:t xml:space="preserve"> </w:t>
      </w:r>
      <w:r>
        <w:rPr>
          <w:rFonts w:cs="Arial"/>
          <w:lang w:val="es-CO"/>
        </w:rPr>
        <w:t>la</w:t>
      </w:r>
      <w:r>
        <w:rPr>
          <w:rFonts w:cs="Arial"/>
          <w:spacing w:val="29"/>
          <w:lang w:val="es-CO"/>
        </w:rPr>
        <w:t xml:space="preserve"> </w:t>
      </w:r>
      <w:r>
        <w:rPr>
          <w:rFonts w:cs="Arial"/>
          <w:lang w:val="es-CO"/>
        </w:rPr>
        <w:t>Superintendencia</w:t>
      </w:r>
      <w:r>
        <w:rPr>
          <w:rFonts w:cs="Arial"/>
          <w:spacing w:val="64"/>
          <w:lang w:val="es-CO"/>
        </w:rPr>
        <w:t xml:space="preserve"> </w:t>
      </w:r>
      <w:r>
        <w:rPr>
          <w:rFonts w:cs="Arial"/>
          <w:lang w:val="es-CO"/>
        </w:rPr>
        <w:t>Nacional</w:t>
      </w:r>
      <w:r>
        <w:rPr>
          <w:rFonts w:cs="Arial"/>
          <w:spacing w:val="19"/>
          <w:lang w:val="es-CO"/>
        </w:rPr>
        <w:t xml:space="preserve"> </w:t>
      </w:r>
      <w:r>
        <w:rPr>
          <w:rFonts w:cs="Arial"/>
          <w:lang w:val="es-CO"/>
        </w:rPr>
        <w:t>de</w:t>
      </w:r>
      <w:r>
        <w:rPr>
          <w:rFonts w:cs="Arial"/>
          <w:w w:val="101"/>
          <w:lang w:val="es-CO"/>
        </w:rPr>
        <w:t xml:space="preserve"> </w:t>
      </w:r>
      <w:r>
        <w:rPr>
          <w:rFonts w:cs="Arial"/>
          <w:lang w:val="es-CO"/>
        </w:rPr>
        <w:t>Salud</w:t>
      </w:r>
      <w:r>
        <w:rPr>
          <w:rFonts w:cs="Arial"/>
          <w:spacing w:val="21"/>
          <w:lang w:val="es-CO"/>
        </w:rPr>
        <w:t xml:space="preserve"> </w:t>
      </w:r>
      <w:r>
        <w:rPr>
          <w:rFonts w:cs="Arial"/>
          <w:lang w:val="es-CO"/>
        </w:rPr>
        <w:t>y</w:t>
      </w:r>
      <w:r>
        <w:rPr>
          <w:rFonts w:cs="Arial"/>
          <w:spacing w:val="28"/>
          <w:lang w:val="es-CO"/>
        </w:rPr>
        <w:t xml:space="preserve"> </w:t>
      </w:r>
      <w:r>
        <w:rPr>
          <w:rFonts w:cs="Arial"/>
          <w:lang w:val="es-CO"/>
        </w:rPr>
        <w:t>los</w:t>
      </w:r>
      <w:r>
        <w:rPr>
          <w:rFonts w:cs="Arial"/>
          <w:spacing w:val="22"/>
          <w:lang w:val="es-CO"/>
        </w:rPr>
        <w:t xml:space="preserve"> </w:t>
      </w:r>
      <w:r>
        <w:rPr>
          <w:rFonts w:cs="Arial"/>
          <w:lang w:val="es-CO"/>
        </w:rPr>
        <w:t>beneficios</w:t>
      </w:r>
      <w:r>
        <w:rPr>
          <w:rFonts w:cs="Arial"/>
          <w:spacing w:val="33"/>
          <w:lang w:val="es-CO"/>
        </w:rPr>
        <w:t xml:space="preserve"> </w:t>
      </w:r>
      <w:r>
        <w:rPr>
          <w:rFonts w:cs="Arial"/>
          <w:lang w:val="es-CO"/>
        </w:rPr>
        <w:t>o</w:t>
      </w:r>
      <w:r>
        <w:rPr>
          <w:rFonts w:cs="Arial"/>
          <w:spacing w:val="13"/>
          <w:lang w:val="es-CO"/>
        </w:rPr>
        <w:t xml:space="preserve"> </w:t>
      </w:r>
      <w:r>
        <w:rPr>
          <w:rFonts w:cs="Arial"/>
          <w:lang w:val="es-CO"/>
        </w:rPr>
        <w:t>excedentes</w:t>
      </w:r>
      <w:r>
        <w:rPr>
          <w:rFonts w:cs="Arial"/>
          <w:spacing w:val="38"/>
          <w:lang w:val="es-CO"/>
        </w:rPr>
        <w:t xml:space="preserve"> </w:t>
      </w:r>
      <w:r>
        <w:rPr>
          <w:rFonts w:cs="Arial"/>
          <w:lang w:val="es-CO"/>
        </w:rPr>
        <w:t>que</w:t>
      </w:r>
      <w:r>
        <w:rPr>
          <w:rFonts w:cs="Arial"/>
          <w:spacing w:val="22"/>
          <w:lang w:val="es-CO"/>
        </w:rPr>
        <w:t xml:space="preserve"> </w:t>
      </w:r>
      <w:r>
        <w:rPr>
          <w:rFonts w:cs="Arial"/>
          <w:lang w:val="es-CO"/>
        </w:rPr>
        <w:t>obtengan</w:t>
      </w:r>
      <w:r>
        <w:rPr>
          <w:rFonts w:cs="Arial"/>
          <w:spacing w:val="40"/>
          <w:lang w:val="es-CO"/>
        </w:rPr>
        <w:t xml:space="preserve"> </w:t>
      </w:r>
      <w:r>
        <w:rPr>
          <w:rFonts w:cs="Arial"/>
          <w:lang w:val="es-CO"/>
        </w:rPr>
        <w:t>se</w:t>
      </w:r>
      <w:r>
        <w:rPr>
          <w:rFonts w:cs="Arial"/>
          <w:spacing w:val="24"/>
          <w:lang w:val="es-CO"/>
        </w:rPr>
        <w:t xml:space="preserve"> </w:t>
      </w:r>
      <w:r>
        <w:rPr>
          <w:rFonts w:cs="Arial"/>
          <w:lang w:val="es-CO"/>
        </w:rPr>
        <w:t>destinen</w:t>
      </w:r>
      <w:r>
        <w:rPr>
          <w:rFonts w:cs="Arial"/>
          <w:spacing w:val="31"/>
          <w:lang w:val="es-CO"/>
        </w:rPr>
        <w:t xml:space="preserve"> </w:t>
      </w:r>
      <w:r>
        <w:rPr>
          <w:rFonts w:cs="Arial"/>
          <w:lang w:val="es-CO"/>
        </w:rPr>
        <w:t>en</w:t>
      </w:r>
      <w:r>
        <w:rPr>
          <w:rFonts w:cs="Arial"/>
          <w:spacing w:val="25"/>
          <w:lang w:val="es-CO"/>
        </w:rPr>
        <w:t xml:space="preserve"> </w:t>
      </w:r>
      <w:r>
        <w:rPr>
          <w:rFonts w:cs="Arial"/>
          <w:lang w:val="es-CO"/>
        </w:rPr>
        <w:t>su</w:t>
      </w:r>
      <w:r>
        <w:rPr>
          <w:rFonts w:cs="Arial"/>
          <w:spacing w:val="14"/>
          <w:lang w:val="es-CO"/>
        </w:rPr>
        <w:t xml:space="preserve"> </w:t>
      </w:r>
      <w:r>
        <w:rPr>
          <w:rFonts w:cs="Arial"/>
          <w:lang w:val="es-CO"/>
        </w:rPr>
        <w:t>totalidad</w:t>
      </w:r>
      <w:r>
        <w:rPr>
          <w:rFonts w:cs="Arial"/>
          <w:spacing w:val="40"/>
          <w:lang w:val="es-CO"/>
        </w:rPr>
        <w:t xml:space="preserve"> </w:t>
      </w:r>
      <w:r>
        <w:rPr>
          <w:rFonts w:cs="Arial"/>
          <w:lang w:val="es-CO"/>
        </w:rPr>
        <w:t>al</w:t>
      </w:r>
      <w:r>
        <w:rPr>
          <w:rFonts w:cs="Arial"/>
          <w:w w:val="97"/>
          <w:lang w:val="es-CO"/>
        </w:rPr>
        <w:t xml:space="preserve"> </w:t>
      </w:r>
      <w:r>
        <w:rPr>
          <w:rFonts w:cs="Arial"/>
          <w:lang w:val="es-CO"/>
        </w:rPr>
        <w:t>desarrollo</w:t>
      </w:r>
      <w:r>
        <w:rPr>
          <w:rFonts w:cs="Arial"/>
          <w:spacing w:val="14"/>
          <w:lang w:val="es-CO"/>
        </w:rPr>
        <w:t xml:space="preserve"> </w:t>
      </w:r>
      <w:r>
        <w:rPr>
          <w:rFonts w:cs="Arial"/>
          <w:lang w:val="es-CO"/>
        </w:rPr>
        <w:t>de</w:t>
      </w:r>
      <w:r>
        <w:rPr>
          <w:rFonts w:cs="Arial"/>
          <w:spacing w:val="6"/>
          <w:lang w:val="es-CO"/>
        </w:rPr>
        <w:t xml:space="preserve"> </w:t>
      </w:r>
      <w:r>
        <w:rPr>
          <w:rFonts w:cs="Arial"/>
          <w:lang w:val="es-CO"/>
        </w:rPr>
        <w:t>los</w:t>
      </w:r>
      <w:r>
        <w:rPr>
          <w:rFonts w:cs="Arial"/>
          <w:spacing w:val="2"/>
          <w:lang w:val="es-CO"/>
        </w:rPr>
        <w:t xml:space="preserve"> </w:t>
      </w:r>
      <w:r>
        <w:rPr>
          <w:rFonts w:cs="Arial"/>
          <w:lang w:val="es-CO"/>
        </w:rPr>
        <w:t>programas salud.</w:t>
      </w:r>
    </w:p>
    <w:p w14:paraId="5BAF43BE" w14:textId="77777777" w:rsidR="00B2442D" w:rsidRDefault="00B2442D">
      <w:pPr>
        <w:pStyle w:val="Textoindependiente"/>
        <w:spacing w:line="40" w:lineRule="atLeast"/>
        <w:ind w:left="284" w:right="-30" w:hanging="284"/>
        <w:jc w:val="both"/>
        <w:rPr>
          <w:rFonts w:cs="Arial"/>
          <w:lang w:val="es-CO"/>
        </w:rPr>
      </w:pPr>
    </w:p>
    <w:p w14:paraId="6DC6C236" w14:textId="77777777" w:rsidR="00B2442D" w:rsidRDefault="008A645F">
      <w:pPr>
        <w:pStyle w:val="Textoindependiente"/>
        <w:numPr>
          <w:ilvl w:val="0"/>
          <w:numId w:val="151"/>
        </w:numPr>
        <w:spacing w:line="40" w:lineRule="atLeast"/>
        <w:ind w:left="284" w:right="-30" w:hanging="284"/>
        <w:jc w:val="both"/>
        <w:rPr>
          <w:rFonts w:cs="Arial"/>
          <w:lang w:val="es-CO"/>
        </w:rPr>
      </w:pPr>
      <w:r>
        <w:rPr>
          <w:rFonts w:cs="Arial"/>
          <w:lang w:val="es-CO"/>
        </w:rPr>
        <w:t>Los</w:t>
      </w:r>
      <w:r>
        <w:rPr>
          <w:rFonts w:cs="Arial"/>
          <w:spacing w:val="-6"/>
          <w:lang w:val="es-CO"/>
        </w:rPr>
        <w:t xml:space="preserve"> </w:t>
      </w:r>
      <w:r>
        <w:rPr>
          <w:rFonts w:cs="Arial"/>
          <w:lang w:val="es-CO"/>
        </w:rPr>
        <w:t>fondos de inversión, fondos</w:t>
      </w:r>
      <w:r>
        <w:rPr>
          <w:rFonts w:cs="Arial"/>
          <w:spacing w:val="14"/>
          <w:lang w:val="es-CO"/>
        </w:rPr>
        <w:t xml:space="preserve"> </w:t>
      </w:r>
      <w:r>
        <w:rPr>
          <w:rFonts w:cs="Arial"/>
          <w:lang w:val="es-CO"/>
        </w:rPr>
        <w:t>de</w:t>
      </w:r>
      <w:r>
        <w:rPr>
          <w:rFonts w:cs="Arial"/>
          <w:spacing w:val="-1"/>
          <w:lang w:val="es-CO"/>
        </w:rPr>
        <w:t xml:space="preserve"> </w:t>
      </w:r>
      <w:r>
        <w:rPr>
          <w:rFonts w:cs="Arial"/>
          <w:lang w:val="es-CO"/>
        </w:rPr>
        <w:t>valores</w:t>
      </w:r>
      <w:r>
        <w:rPr>
          <w:rFonts w:cs="Arial"/>
          <w:spacing w:val="17"/>
          <w:lang w:val="es-CO"/>
        </w:rPr>
        <w:t xml:space="preserve"> </w:t>
      </w:r>
      <w:r>
        <w:rPr>
          <w:rFonts w:eastAsia="Times New Roman" w:cs="Arial"/>
          <w:lang w:val="es-CO"/>
        </w:rPr>
        <w:t>y</w:t>
      </w:r>
      <w:r>
        <w:rPr>
          <w:rFonts w:eastAsia="Times New Roman" w:cs="Arial"/>
          <w:spacing w:val="17"/>
          <w:lang w:val="es-CO"/>
        </w:rPr>
        <w:t xml:space="preserve"> </w:t>
      </w:r>
      <w:r>
        <w:rPr>
          <w:rFonts w:cs="Arial"/>
          <w:lang w:val="es-CO"/>
        </w:rPr>
        <w:t>los</w:t>
      </w:r>
      <w:r>
        <w:rPr>
          <w:rFonts w:cs="Arial"/>
          <w:spacing w:val="-1"/>
          <w:lang w:val="es-CO"/>
        </w:rPr>
        <w:t xml:space="preserve"> </w:t>
      </w:r>
      <w:r>
        <w:rPr>
          <w:rFonts w:cs="Arial"/>
          <w:lang w:val="es-CO"/>
        </w:rPr>
        <w:t>fondos</w:t>
      </w:r>
      <w:r>
        <w:rPr>
          <w:rFonts w:cs="Arial"/>
          <w:spacing w:val="19"/>
          <w:lang w:val="es-CO"/>
        </w:rPr>
        <w:t xml:space="preserve"> </w:t>
      </w:r>
      <w:r>
        <w:rPr>
          <w:rFonts w:cs="Arial"/>
          <w:lang w:val="es-CO"/>
        </w:rPr>
        <w:t>comunes</w:t>
      </w:r>
      <w:r>
        <w:rPr>
          <w:rFonts w:cs="Arial"/>
          <w:spacing w:val="13"/>
          <w:lang w:val="es-CO"/>
        </w:rPr>
        <w:t xml:space="preserve"> </w:t>
      </w:r>
      <w:r>
        <w:rPr>
          <w:rFonts w:cs="Arial"/>
          <w:lang w:val="es-CO"/>
        </w:rPr>
        <w:t>que</w:t>
      </w:r>
      <w:r>
        <w:rPr>
          <w:rFonts w:cs="Arial"/>
          <w:spacing w:val="3"/>
          <w:lang w:val="es-CO"/>
        </w:rPr>
        <w:t xml:space="preserve"> </w:t>
      </w:r>
      <w:r>
        <w:rPr>
          <w:rFonts w:cs="Arial"/>
          <w:lang w:val="es-CO"/>
        </w:rPr>
        <w:t>administren</w:t>
      </w:r>
      <w:r>
        <w:rPr>
          <w:rFonts w:cs="Arial"/>
          <w:w w:val="98"/>
          <w:lang w:val="es-CO"/>
        </w:rPr>
        <w:t xml:space="preserve"> </w:t>
      </w:r>
      <w:r>
        <w:rPr>
          <w:rFonts w:cs="Arial"/>
          <w:lang w:val="es-CO"/>
        </w:rPr>
        <w:t>entidades</w:t>
      </w:r>
      <w:r>
        <w:rPr>
          <w:rFonts w:cs="Arial"/>
          <w:spacing w:val="-35"/>
          <w:lang w:val="es-CO"/>
        </w:rPr>
        <w:t xml:space="preserve"> </w:t>
      </w:r>
      <w:r>
        <w:rPr>
          <w:rFonts w:cs="Arial"/>
          <w:lang w:val="es-CO"/>
        </w:rPr>
        <w:t>fiduciarias.</w:t>
      </w:r>
    </w:p>
    <w:p w14:paraId="7D158AEC" w14:textId="77777777" w:rsidR="00B2442D" w:rsidRDefault="00B2442D">
      <w:pPr>
        <w:pStyle w:val="Textoindependiente"/>
        <w:tabs>
          <w:tab w:val="left" w:pos="5748"/>
        </w:tabs>
        <w:spacing w:line="40" w:lineRule="atLeast"/>
        <w:ind w:left="284" w:right="-30" w:hanging="284"/>
        <w:jc w:val="both"/>
        <w:rPr>
          <w:rFonts w:cs="Arial"/>
          <w:lang w:val="es-CO"/>
        </w:rPr>
      </w:pPr>
    </w:p>
    <w:p w14:paraId="3E7F82EF" w14:textId="77777777" w:rsidR="00B2442D" w:rsidRDefault="008A645F">
      <w:pPr>
        <w:pStyle w:val="Textoindependiente"/>
        <w:numPr>
          <w:ilvl w:val="0"/>
          <w:numId w:val="149"/>
        </w:numPr>
        <w:spacing w:line="40" w:lineRule="atLeast"/>
        <w:ind w:left="284" w:right="-30" w:hanging="284"/>
        <w:jc w:val="both"/>
        <w:rPr>
          <w:rFonts w:cs="Arial"/>
          <w:lang w:val="es-CO"/>
        </w:rPr>
      </w:pPr>
      <w:r>
        <w:rPr>
          <w:rFonts w:cs="Arial"/>
          <w:lang w:val="es-CO"/>
        </w:rPr>
        <w:t>Los</w:t>
      </w:r>
      <w:r>
        <w:rPr>
          <w:rFonts w:cs="Arial"/>
          <w:spacing w:val="-14"/>
          <w:lang w:val="es-CO"/>
        </w:rPr>
        <w:t xml:space="preserve"> </w:t>
      </w:r>
      <w:r>
        <w:rPr>
          <w:rFonts w:cs="Arial"/>
          <w:lang w:val="es-CO"/>
        </w:rPr>
        <w:t>fondos</w:t>
      </w:r>
      <w:r>
        <w:rPr>
          <w:rFonts w:cs="Arial"/>
          <w:spacing w:val="16"/>
          <w:lang w:val="es-CO"/>
        </w:rPr>
        <w:t xml:space="preserve"> </w:t>
      </w:r>
      <w:r>
        <w:rPr>
          <w:rFonts w:cs="Arial"/>
          <w:lang w:val="es-CO"/>
        </w:rPr>
        <w:t>de</w:t>
      </w:r>
      <w:r>
        <w:rPr>
          <w:rFonts w:cs="Arial"/>
          <w:spacing w:val="9"/>
          <w:lang w:val="es-CO"/>
        </w:rPr>
        <w:t xml:space="preserve"> </w:t>
      </w:r>
      <w:r>
        <w:rPr>
          <w:rFonts w:cs="Arial"/>
          <w:lang w:val="es-CO"/>
        </w:rPr>
        <w:t>pensiones</w:t>
      </w:r>
      <w:r>
        <w:rPr>
          <w:rFonts w:cs="Arial"/>
          <w:spacing w:val="10"/>
          <w:lang w:val="es-CO"/>
        </w:rPr>
        <w:t xml:space="preserve"> </w:t>
      </w:r>
      <w:r>
        <w:rPr>
          <w:rFonts w:cs="Arial"/>
          <w:lang w:val="es-CO"/>
        </w:rPr>
        <w:t>de</w:t>
      </w:r>
      <w:r>
        <w:rPr>
          <w:rFonts w:cs="Arial"/>
          <w:spacing w:val="-15"/>
          <w:lang w:val="es-CO"/>
        </w:rPr>
        <w:t xml:space="preserve"> </w:t>
      </w:r>
      <w:r>
        <w:rPr>
          <w:rFonts w:cs="Arial"/>
          <w:lang w:val="es-CO"/>
        </w:rPr>
        <w:t>jubilación</w:t>
      </w:r>
      <w:r>
        <w:rPr>
          <w:rFonts w:cs="Arial"/>
          <w:spacing w:val="30"/>
          <w:lang w:val="es-CO"/>
        </w:rPr>
        <w:t xml:space="preserve"> </w:t>
      </w:r>
      <w:r>
        <w:rPr>
          <w:rFonts w:cs="Arial"/>
          <w:lang w:val="es-CO"/>
        </w:rPr>
        <w:t>e invalidez</w:t>
      </w:r>
      <w:r>
        <w:rPr>
          <w:rFonts w:cs="Arial"/>
          <w:spacing w:val="1"/>
          <w:lang w:val="es-CO"/>
        </w:rPr>
        <w:t xml:space="preserve"> </w:t>
      </w:r>
      <w:r>
        <w:rPr>
          <w:rFonts w:cs="Arial"/>
          <w:lang w:val="es-CO"/>
        </w:rPr>
        <w:t>y los fondos</w:t>
      </w:r>
      <w:r>
        <w:rPr>
          <w:rFonts w:cs="Arial"/>
          <w:spacing w:val="5"/>
          <w:lang w:val="es-CO"/>
        </w:rPr>
        <w:t xml:space="preserve"> </w:t>
      </w:r>
      <w:r>
        <w:rPr>
          <w:rFonts w:cs="Arial"/>
          <w:lang w:val="es-CO"/>
        </w:rPr>
        <w:t>de</w:t>
      </w:r>
      <w:r>
        <w:rPr>
          <w:rFonts w:cs="Arial"/>
          <w:spacing w:val="-6"/>
          <w:lang w:val="es-CO"/>
        </w:rPr>
        <w:t xml:space="preserve"> </w:t>
      </w:r>
      <w:r>
        <w:rPr>
          <w:rFonts w:cs="Arial"/>
          <w:lang w:val="es-CO"/>
        </w:rPr>
        <w:t>cesantías.</w:t>
      </w:r>
    </w:p>
    <w:p w14:paraId="3CCEE6C3" w14:textId="77777777" w:rsidR="00B2442D" w:rsidRDefault="00B2442D">
      <w:pPr>
        <w:pStyle w:val="Textoindependiente"/>
        <w:spacing w:line="40" w:lineRule="atLeast"/>
        <w:ind w:left="284" w:right="-30" w:hanging="284"/>
        <w:jc w:val="right"/>
        <w:rPr>
          <w:rFonts w:cs="Arial"/>
          <w:lang w:val="es-CO"/>
        </w:rPr>
      </w:pPr>
    </w:p>
    <w:p w14:paraId="68779BCE" w14:textId="77777777" w:rsidR="00B2442D" w:rsidRDefault="008A645F">
      <w:pPr>
        <w:pStyle w:val="Textoindependiente"/>
        <w:numPr>
          <w:ilvl w:val="0"/>
          <w:numId w:val="149"/>
        </w:numPr>
        <w:spacing w:line="40" w:lineRule="atLeast"/>
        <w:ind w:left="284" w:right="-30" w:hanging="284"/>
        <w:jc w:val="both"/>
        <w:rPr>
          <w:rFonts w:cs="Arial"/>
          <w:lang w:val="es-CO"/>
        </w:rPr>
      </w:pPr>
      <w:r>
        <w:rPr>
          <w:rFonts w:cs="Arial"/>
          <w:lang w:val="es-CO"/>
        </w:rPr>
        <w:t>Los</w:t>
      </w:r>
      <w:r>
        <w:rPr>
          <w:rFonts w:cs="Arial"/>
          <w:spacing w:val="4"/>
          <w:lang w:val="es-CO"/>
        </w:rPr>
        <w:t xml:space="preserve"> </w:t>
      </w:r>
      <w:r>
        <w:rPr>
          <w:rFonts w:cs="Arial"/>
          <w:lang w:val="es-CO"/>
        </w:rPr>
        <w:t>fondos</w:t>
      </w:r>
      <w:r>
        <w:rPr>
          <w:rFonts w:cs="Arial"/>
          <w:spacing w:val="39"/>
          <w:lang w:val="es-CO"/>
        </w:rPr>
        <w:t xml:space="preserve"> </w:t>
      </w:r>
      <w:r>
        <w:rPr>
          <w:rFonts w:cs="Arial"/>
          <w:lang w:val="es-CO"/>
        </w:rPr>
        <w:t>parafiscales</w:t>
      </w:r>
      <w:r>
        <w:rPr>
          <w:rFonts w:cs="Arial"/>
          <w:spacing w:val="32"/>
          <w:lang w:val="es-CO"/>
        </w:rPr>
        <w:t xml:space="preserve"> </w:t>
      </w:r>
      <w:r>
        <w:rPr>
          <w:rFonts w:cs="Arial"/>
          <w:lang w:val="es-CO"/>
        </w:rPr>
        <w:t>agropecuarios</w:t>
      </w:r>
      <w:r>
        <w:rPr>
          <w:rFonts w:cs="Arial"/>
          <w:spacing w:val="39"/>
          <w:lang w:val="es-CO"/>
        </w:rPr>
        <w:t xml:space="preserve"> </w:t>
      </w:r>
      <w:r>
        <w:rPr>
          <w:rFonts w:cs="Arial"/>
          <w:lang w:val="es-CO"/>
        </w:rPr>
        <w:t>y</w:t>
      </w:r>
      <w:r>
        <w:rPr>
          <w:rFonts w:cs="Arial"/>
          <w:spacing w:val="25"/>
          <w:lang w:val="es-CO"/>
        </w:rPr>
        <w:t xml:space="preserve"> </w:t>
      </w:r>
      <w:r>
        <w:rPr>
          <w:rFonts w:cs="Arial"/>
          <w:lang w:val="es-CO"/>
        </w:rPr>
        <w:t>pesqueros</w:t>
      </w:r>
      <w:r>
        <w:rPr>
          <w:rFonts w:cs="Arial"/>
          <w:spacing w:val="27"/>
          <w:lang w:val="es-CO"/>
        </w:rPr>
        <w:t xml:space="preserve"> </w:t>
      </w:r>
      <w:r>
        <w:rPr>
          <w:rFonts w:cs="Arial"/>
          <w:lang w:val="es-CO"/>
        </w:rPr>
        <w:t>de</w:t>
      </w:r>
      <w:r>
        <w:rPr>
          <w:rFonts w:cs="Arial"/>
          <w:spacing w:val="16"/>
          <w:lang w:val="es-CO"/>
        </w:rPr>
        <w:t xml:space="preserve"> </w:t>
      </w:r>
      <w:r>
        <w:rPr>
          <w:rFonts w:cs="Arial"/>
          <w:lang w:val="es-CO"/>
        </w:rPr>
        <w:t>que</w:t>
      </w:r>
      <w:r>
        <w:rPr>
          <w:rFonts w:cs="Arial"/>
          <w:spacing w:val="10"/>
          <w:lang w:val="es-CO"/>
        </w:rPr>
        <w:t xml:space="preserve"> </w:t>
      </w:r>
      <w:r>
        <w:rPr>
          <w:rFonts w:cs="Arial"/>
          <w:lang w:val="es-CO"/>
        </w:rPr>
        <w:t>trata</w:t>
      </w:r>
      <w:r>
        <w:rPr>
          <w:rFonts w:cs="Arial"/>
          <w:spacing w:val="29"/>
          <w:lang w:val="es-CO"/>
        </w:rPr>
        <w:t xml:space="preserve"> </w:t>
      </w:r>
      <w:r>
        <w:rPr>
          <w:rFonts w:cs="Arial"/>
          <w:lang w:val="es-CO"/>
        </w:rPr>
        <w:t>el</w:t>
      </w:r>
      <w:r>
        <w:rPr>
          <w:rFonts w:cs="Arial"/>
          <w:spacing w:val="14"/>
          <w:lang w:val="es-CO"/>
        </w:rPr>
        <w:t xml:space="preserve"> </w:t>
      </w:r>
      <w:r>
        <w:rPr>
          <w:rFonts w:cs="Arial"/>
          <w:lang w:val="es-CO"/>
        </w:rPr>
        <w:t>Capítulo</w:t>
      </w:r>
      <w:r>
        <w:rPr>
          <w:rFonts w:cs="Arial"/>
          <w:spacing w:val="16"/>
          <w:lang w:val="es-CO"/>
        </w:rPr>
        <w:t xml:space="preserve"> </w:t>
      </w:r>
      <w:r>
        <w:rPr>
          <w:rFonts w:cs="Arial"/>
          <w:lang w:val="es-CO"/>
        </w:rPr>
        <w:t>V la</w:t>
      </w:r>
      <w:r>
        <w:rPr>
          <w:rFonts w:cs="Arial"/>
          <w:spacing w:val="22"/>
          <w:lang w:val="es-CO"/>
        </w:rPr>
        <w:t xml:space="preserve"> </w:t>
      </w:r>
      <w:r>
        <w:rPr>
          <w:rFonts w:cs="Arial"/>
          <w:lang w:val="es-CO"/>
        </w:rPr>
        <w:t>Ley</w:t>
      </w:r>
      <w:r>
        <w:rPr>
          <w:rFonts w:cs="Arial"/>
          <w:spacing w:val="32"/>
          <w:lang w:val="es-CO"/>
        </w:rPr>
        <w:t xml:space="preserve"> </w:t>
      </w:r>
      <w:r>
        <w:rPr>
          <w:rFonts w:eastAsia="Times New Roman" w:cs="Arial"/>
          <w:lang w:val="es-CO"/>
        </w:rPr>
        <w:t>101</w:t>
      </w:r>
      <w:r>
        <w:rPr>
          <w:rFonts w:eastAsia="Times New Roman" w:cs="Arial"/>
          <w:spacing w:val="4"/>
          <w:lang w:val="es-CO"/>
        </w:rPr>
        <w:t xml:space="preserve"> </w:t>
      </w:r>
      <w:r>
        <w:rPr>
          <w:rFonts w:cs="Arial"/>
          <w:lang w:val="es-CO"/>
        </w:rPr>
        <w:t>de</w:t>
      </w:r>
      <w:r>
        <w:rPr>
          <w:rFonts w:cs="Arial"/>
          <w:spacing w:val="32"/>
          <w:lang w:val="es-CO"/>
        </w:rPr>
        <w:t xml:space="preserve"> </w:t>
      </w:r>
      <w:r>
        <w:rPr>
          <w:rFonts w:eastAsia="Times New Roman" w:cs="Arial"/>
          <w:lang w:val="es-CO"/>
        </w:rPr>
        <w:t xml:space="preserve">1993 y el </w:t>
      </w:r>
      <w:r>
        <w:rPr>
          <w:rFonts w:cs="Arial"/>
          <w:lang w:val="es-CO"/>
        </w:rPr>
        <w:t>Fondo de Promoción</w:t>
      </w:r>
      <w:r>
        <w:rPr>
          <w:rFonts w:cs="Arial"/>
          <w:spacing w:val="10"/>
          <w:lang w:val="es-CO"/>
        </w:rPr>
        <w:t xml:space="preserve"> </w:t>
      </w:r>
      <w:r>
        <w:rPr>
          <w:rFonts w:cs="Arial"/>
          <w:lang w:val="es-CO"/>
        </w:rPr>
        <w:t>Turística de que</w:t>
      </w:r>
      <w:r>
        <w:rPr>
          <w:rFonts w:cs="Arial"/>
          <w:spacing w:val="10"/>
          <w:lang w:val="es-CO"/>
        </w:rPr>
        <w:t xml:space="preserve"> </w:t>
      </w:r>
      <w:r>
        <w:rPr>
          <w:rFonts w:cs="Arial"/>
          <w:lang w:val="es-CO"/>
        </w:rPr>
        <w:t>trata</w:t>
      </w:r>
      <w:r>
        <w:rPr>
          <w:rFonts w:cs="Arial"/>
          <w:spacing w:val="37"/>
          <w:lang w:val="es-CO"/>
        </w:rPr>
        <w:t xml:space="preserve"> </w:t>
      </w:r>
      <w:r>
        <w:rPr>
          <w:rFonts w:cs="Arial"/>
          <w:lang w:val="es-CO"/>
        </w:rPr>
        <w:t xml:space="preserve">la </w:t>
      </w:r>
      <w:r>
        <w:rPr>
          <w:rFonts w:eastAsia="Times New Roman" w:cs="Arial"/>
          <w:lang w:val="es-CO"/>
        </w:rPr>
        <w:t>300</w:t>
      </w:r>
      <w:r>
        <w:rPr>
          <w:rFonts w:eastAsia="Times New Roman" w:cs="Arial"/>
          <w:spacing w:val="22"/>
          <w:lang w:val="es-CO"/>
        </w:rPr>
        <w:t xml:space="preserve"> </w:t>
      </w:r>
      <w:r>
        <w:rPr>
          <w:rFonts w:cs="Arial"/>
          <w:lang w:val="es-CO"/>
        </w:rPr>
        <w:t xml:space="preserve">de </w:t>
      </w:r>
      <w:r>
        <w:rPr>
          <w:rFonts w:eastAsia="Times New Roman" w:cs="Arial"/>
          <w:lang w:val="es-CO"/>
        </w:rPr>
        <w:t>1996,</w:t>
      </w:r>
      <w:r>
        <w:rPr>
          <w:rFonts w:eastAsia="Times New Roman" w:cs="Arial"/>
          <w:spacing w:val="7"/>
          <w:lang w:val="es-CO"/>
        </w:rPr>
        <w:t xml:space="preserve"> </w:t>
      </w:r>
      <w:r>
        <w:rPr>
          <w:rFonts w:cs="Arial"/>
          <w:lang w:val="es-CO"/>
        </w:rPr>
        <w:t>hoy Nacional</w:t>
      </w:r>
      <w:r>
        <w:rPr>
          <w:rFonts w:cs="Arial"/>
          <w:spacing w:val="-15"/>
          <w:lang w:val="es-CO"/>
        </w:rPr>
        <w:t xml:space="preserve"> </w:t>
      </w:r>
      <w:r>
        <w:rPr>
          <w:rFonts w:cs="Arial"/>
          <w:lang w:val="es-CO"/>
        </w:rPr>
        <w:t>de</w:t>
      </w:r>
      <w:r>
        <w:rPr>
          <w:rFonts w:cs="Arial"/>
          <w:spacing w:val="-18"/>
          <w:lang w:val="es-CO"/>
        </w:rPr>
        <w:t xml:space="preserve"> </w:t>
      </w:r>
      <w:r>
        <w:rPr>
          <w:rFonts w:cs="Arial"/>
          <w:lang w:val="es-CO"/>
        </w:rPr>
        <w:t>Turismo</w:t>
      </w:r>
      <w:r>
        <w:rPr>
          <w:rFonts w:cs="Arial"/>
          <w:spacing w:val="5"/>
          <w:lang w:val="es-CO"/>
        </w:rPr>
        <w:t xml:space="preserve"> </w:t>
      </w:r>
      <w:r>
        <w:rPr>
          <w:rFonts w:cs="Arial"/>
          <w:lang w:val="es-CO"/>
        </w:rPr>
        <w:t>(FONTUR).</w:t>
      </w:r>
    </w:p>
    <w:p w14:paraId="4FA12D4A" w14:textId="77777777" w:rsidR="00B2442D" w:rsidRDefault="00B2442D">
      <w:pPr>
        <w:pStyle w:val="Textoindependiente"/>
        <w:tabs>
          <w:tab w:val="left" w:pos="571"/>
          <w:tab w:val="left" w:pos="3239"/>
          <w:tab w:val="left" w:pos="4356"/>
          <w:tab w:val="left" w:pos="6943"/>
          <w:tab w:val="left" w:pos="8744"/>
        </w:tabs>
        <w:spacing w:line="40" w:lineRule="atLeast"/>
        <w:ind w:left="284" w:right="-30" w:hanging="284"/>
        <w:jc w:val="right"/>
        <w:rPr>
          <w:rFonts w:cs="Arial"/>
          <w:lang w:val="es-CO"/>
        </w:rPr>
      </w:pPr>
    </w:p>
    <w:p w14:paraId="75534898" w14:textId="77777777" w:rsidR="00B2442D" w:rsidRDefault="008A645F">
      <w:pPr>
        <w:pStyle w:val="Textoindependiente"/>
        <w:numPr>
          <w:ilvl w:val="0"/>
          <w:numId w:val="149"/>
        </w:numPr>
        <w:spacing w:line="40" w:lineRule="atLeast"/>
        <w:ind w:left="284" w:right="-30" w:hanging="284"/>
        <w:jc w:val="both"/>
        <w:rPr>
          <w:rFonts w:cs="Arial"/>
          <w:lang w:val="es-CO"/>
        </w:rPr>
      </w:pPr>
      <w:r>
        <w:rPr>
          <w:rFonts w:cs="Arial"/>
          <w:lang w:val="es-CO"/>
        </w:rPr>
        <w:t>Las</w:t>
      </w:r>
      <w:r>
        <w:rPr>
          <w:rFonts w:cs="Arial"/>
          <w:spacing w:val="51"/>
          <w:lang w:val="es-CO"/>
        </w:rPr>
        <w:t xml:space="preserve"> </w:t>
      </w:r>
      <w:r>
        <w:rPr>
          <w:rFonts w:cs="Arial"/>
          <w:lang w:val="es-CO"/>
        </w:rPr>
        <w:t>Cajas</w:t>
      </w:r>
      <w:r>
        <w:rPr>
          <w:rFonts w:cs="Arial"/>
          <w:spacing w:val="63"/>
          <w:lang w:val="es-CO"/>
        </w:rPr>
        <w:t xml:space="preserve"> </w:t>
      </w:r>
      <w:r>
        <w:rPr>
          <w:rFonts w:cs="Arial"/>
          <w:lang w:val="es-CO"/>
        </w:rPr>
        <w:t>de</w:t>
      </w:r>
      <w:r>
        <w:rPr>
          <w:rFonts w:cs="Arial"/>
          <w:spacing w:val="65"/>
          <w:lang w:val="es-CO"/>
        </w:rPr>
        <w:t xml:space="preserve"> </w:t>
      </w:r>
      <w:r>
        <w:rPr>
          <w:rFonts w:cs="Arial"/>
          <w:lang w:val="es-CO"/>
        </w:rPr>
        <w:t>Compensación</w:t>
      </w:r>
      <w:r>
        <w:rPr>
          <w:rFonts w:cs="Arial"/>
          <w:spacing w:val="26"/>
          <w:lang w:val="es-CO"/>
        </w:rPr>
        <w:t xml:space="preserve"> </w:t>
      </w:r>
      <w:r>
        <w:rPr>
          <w:rFonts w:cs="Arial"/>
          <w:lang w:val="es-CO"/>
        </w:rPr>
        <w:t>Familiar y los</w:t>
      </w:r>
      <w:r>
        <w:rPr>
          <w:rFonts w:cs="Arial"/>
          <w:spacing w:val="41"/>
          <w:lang w:val="es-CO"/>
        </w:rPr>
        <w:t xml:space="preserve"> </w:t>
      </w:r>
      <w:r>
        <w:rPr>
          <w:rFonts w:cs="Arial"/>
          <w:lang w:val="es-CO"/>
        </w:rPr>
        <w:t>fondos de empleados,</w:t>
      </w:r>
      <w:r>
        <w:rPr>
          <w:rFonts w:cs="Arial"/>
          <w:spacing w:val="21"/>
          <w:lang w:val="es-CO"/>
        </w:rPr>
        <w:t xml:space="preserve"> </w:t>
      </w:r>
      <w:r>
        <w:rPr>
          <w:rFonts w:cs="Arial"/>
          <w:lang w:val="es-CO"/>
        </w:rPr>
        <w:t>cuando</w:t>
      </w:r>
      <w:r>
        <w:rPr>
          <w:rFonts w:cs="Arial"/>
          <w:spacing w:val="10"/>
          <w:lang w:val="es-CO"/>
        </w:rPr>
        <w:t xml:space="preserve"> </w:t>
      </w:r>
      <w:r>
        <w:rPr>
          <w:rFonts w:cs="Arial"/>
          <w:lang w:val="es-CO"/>
        </w:rPr>
        <w:t>no</w:t>
      </w:r>
      <w:r>
        <w:rPr>
          <w:rFonts w:cs="Arial"/>
          <w:w w:val="99"/>
          <w:lang w:val="es-CO"/>
        </w:rPr>
        <w:t xml:space="preserve"> </w:t>
      </w:r>
      <w:r>
        <w:rPr>
          <w:rFonts w:cs="Arial"/>
          <w:lang w:val="es-CO"/>
        </w:rPr>
        <w:t>obtengan</w:t>
      </w:r>
      <w:r>
        <w:rPr>
          <w:rFonts w:cs="Arial"/>
          <w:spacing w:val="46"/>
          <w:lang w:val="es-CO"/>
        </w:rPr>
        <w:t xml:space="preserve"> </w:t>
      </w:r>
      <w:r>
        <w:rPr>
          <w:rFonts w:cs="Arial"/>
          <w:lang w:val="es-CO"/>
        </w:rPr>
        <w:t>ingresos</w:t>
      </w:r>
      <w:r>
        <w:rPr>
          <w:rFonts w:cs="Arial"/>
          <w:spacing w:val="40"/>
          <w:lang w:val="es-CO"/>
        </w:rPr>
        <w:t xml:space="preserve"> </w:t>
      </w:r>
      <w:r>
        <w:rPr>
          <w:rFonts w:cs="Arial"/>
          <w:lang w:val="es-CO"/>
        </w:rPr>
        <w:t>provenientes</w:t>
      </w:r>
      <w:r>
        <w:rPr>
          <w:rFonts w:cs="Arial"/>
          <w:spacing w:val="34"/>
          <w:lang w:val="es-CO"/>
        </w:rPr>
        <w:t xml:space="preserve"> </w:t>
      </w:r>
      <w:r>
        <w:rPr>
          <w:rFonts w:cs="Arial"/>
          <w:lang w:val="es-CO"/>
        </w:rPr>
        <w:t>de</w:t>
      </w:r>
      <w:r>
        <w:rPr>
          <w:rFonts w:cs="Arial"/>
          <w:spacing w:val="35"/>
          <w:lang w:val="es-CO"/>
        </w:rPr>
        <w:t xml:space="preserve"> </w:t>
      </w:r>
      <w:r>
        <w:rPr>
          <w:rFonts w:cs="Arial"/>
          <w:lang w:val="es-CO"/>
        </w:rPr>
        <w:t>actividades</w:t>
      </w:r>
      <w:r>
        <w:rPr>
          <w:rFonts w:cs="Arial"/>
          <w:spacing w:val="52"/>
          <w:lang w:val="es-CO"/>
        </w:rPr>
        <w:t xml:space="preserve"> </w:t>
      </w:r>
      <w:r>
        <w:rPr>
          <w:rFonts w:cs="Arial"/>
          <w:lang w:val="es-CO"/>
        </w:rPr>
        <w:t>industriales,</w:t>
      </w:r>
      <w:r>
        <w:rPr>
          <w:rFonts w:cs="Arial"/>
          <w:spacing w:val="38"/>
          <w:lang w:val="es-CO"/>
        </w:rPr>
        <w:t xml:space="preserve"> </w:t>
      </w:r>
      <w:r>
        <w:rPr>
          <w:rFonts w:cs="Arial"/>
          <w:lang w:val="es-CO"/>
        </w:rPr>
        <w:t>de</w:t>
      </w:r>
      <w:r>
        <w:rPr>
          <w:rFonts w:cs="Arial"/>
          <w:spacing w:val="28"/>
          <w:lang w:val="es-CO"/>
        </w:rPr>
        <w:t xml:space="preserve"> </w:t>
      </w:r>
      <w:r>
        <w:rPr>
          <w:rFonts w:cs="Arial"/>
          <w:lang w:val="es-CO"/>
        </w:rPr>
        <w:t>mercadeo y actividades</w:t>
      </w:r>
      <w:r>
        <w:rPr>
          <w:rFonts w:cs="Arial"/>
          <w:spacing w:val="8"/>
          <w:lang w:val="es-CO"/>
        </w:rPr>
        <w:t xml:space="preserve"> </w:t>
      </w:r>
      <w:r>
        <w:rPr>
          <w:rFonts w:cs="Arial"/>
          <w:lang w:val="es-CO"/>
        </w:rPr>
        <w:t>financieras</w:t>
      </w:r>
      <w:r>
        <w:rPr>
          <w:rFonts w:cs="Arial"/>
          <w:spacing w:val="18"/>
          <w:lang w:val="es-CO"/>
        </w:rPr>
        <w:t xml:space="preserve"> </w:t>
      </w:r>
      <w:r>
        <w:rPr>
          <w:rFonts w:cs="Arial"/>
          <w:lang w:val="es-CO"/>
        </w:rPr>
        <w:t>distintas</w:t>
      </w:r>
      <w:r>
        <w:rPr>
          <w:rFonts w:cs="Arial"/>
          <w:spacing w:val="8"/>
          <w:lang w:val="es-CO"/>
        </w:rPr>
        <w:t xml:space="preserve"> </w:t>
      </w:r>
      <w:r>
        <w:rPr>
          <w:rFonts w:cs="Arial"/>
          <w:lang w:val="es-CO"/>
        </w:rPr>
        <w:t>a la inversión</w:t>
      </w:r>
      <w:r>
        <w:rPr>
          <w:rFonts w:cs="Arial"/>
          <w:spacing w:val="-8"/>
          <w:lang w:val="es-CO"/>
        </w:rPr>
        <w:t xml:space="preserve"> </w:t>
      </w:r>
      <w:r>
        <w:rPr>
          <w:rFonts w:cs="Arial"/>
          <w:lang w:val="es-CO"/>
        </w:rPr>
        <w:t>de</w:t>
      </w:r>
      <w:r>
        <w:rPr>
          <w:rFonts w:cs="Arial"/>
          <w:spacing w:val="-2"/>
          <w:lang w:val="es-CO"/>
        </w:rPr>
        <w:t xml:space="preserve"> </w:t>
      </w:r>
      <w:r>
        <w:rPr>
          <w:rFonts w:cs="Arial"/>
          <w:lang w:val="es-CO"/>
        </w:rPr>
        <w:t>su</w:t>
      </w:r>
      <w:r>
        <w:rPr>
          <w:rFonts w:cs="Arial"/>
          <w:spacing w:val="-1"/>
          <w:lang w:val="es-CO"/>
        </w:rPr>
        <w:t xml:space="preserve"> </w:t>
      </w:r>
      <w:r>
        <w:rPr>
          <w:rFonts w:cs="Arial"/>
          <w:lang w:val="es-CO"/>
        </w:rPr>
        <w:t>patrimonio.</w:t>
      </w:r>
    </w:p>
    <w:p w14:paraId="1714F1D2" w14:textId="77777777" w:rsidR="00B2442D" w:rsidRDefault="00B2442D">
      <w:pPr>
        <w:pStyle w:val="Prrafodelista"/>
        <w:spacing w:line="40" w:lineRule="atLeast"/>
        <w:ind w:left="284" w:hanging="284"/>
        <w:rPr>
          <w:rFonts w:ascii="Arial" w:hAnsi="Arial" w:cs="Arial"/>
          <w:lang w:val="es-CO"/>
        </w:rPr>
      </w:pPr>
    </w:p>
    <w:p w14:paraId="198DCFD8" w14:textId="77777777" w:rsidR="00B2442D" w:rsidRDefault="008A645F">
      <w:pPr>
        <w:pStyle w:val="Textoindependiente"/>
        <w:numPr>
          <w:ilvl w:val="0"/>
          <w:numId w:val="149"/>
        </w:numPr>
        <w:spacing w:line="40" w:lineRule="atLeast"/>
        <w:ind w:left="284" w:right="-30" w:hanging="284"/>
        <w:jc w:val="both"/>
        <w:rPr>
          <w:rFonts w:cs="Arial"/>
          <w:lang w:val="es-CO"/>
        </w:rPr>
      </w:pPr>
      <w:r>
        <w:rPr>
          <w:rFonts w:cs="Arial"/>
          <w:lang w:val="es-CO"/>
        </w:rPr>
        <w:t>Las demás entidades no contribuyentes del impuesto sobre la renta, con excepción</w:t>
      </w:r>
      <w:r>
        <w:rPr>
          <w:rFonts w:cs="Arial"/>
          <w:spacing w:val="14"/>
          <w:lang w:val="es-CO"/>
        </w:rPr>
        <w:t xml:space="preserve"> </w:t>
      </w:r>
      <w:r>
        <w:rPr>
          <w:rFonts w:cs="Arial"/>
          <w:lang w:val="es-CO"/>
        </w:rPr>
        <w:t>de las indicadas</w:t>
      </w:r>
      <w:r>
        <w:rPr>
          <w:rFonts w:cs="Arial"/>
          <w:spacing w:val="-2"/>
          <w:lang w:val="es-CO"/>
        </w:rPr>
        <w:t xml:space="preserve"> </w:t>
      </w:r>
      <w:r>
        <w:rPr>
          <w:rFonts w:cs="Arial"/>
          <w:lang w:val="es-CO"/>
        </w:rPr>
        <w:t>en</w:t>
      </w:r>
      <w:r>
        <w:rPr>
          <w:rFonts w:cs="Arial"/>
          <w:spacing w:val="-6"/>
          <w:lang w:val="es-CO"/>
        </w:rPr>
        <w:t xml:space="preserve"> </w:t>
      </w:r>
      <w:r>
        <w:rPr>
          <w:rFonts w:cs="Arial"/>
          <w:lang w:val="es-CO"/>
        </w:rPr>
        <w:t>el</w:t>
      </w:r>
      <w:r>
        <w:rPr>
          <w:rFonts w:cs="Arial"/>
          <w:spacing w:val="-14"/>
          <w:lang w:val="es-CO"/>
        </w:rPr>
        <w:t xml:space="preserve"> </w:t>
      </w:r>
      <w:r>
        <w:rPr>
          <w:rFonts w:cs="Arial"/>
          <w:lang w:val="es-CO"/>
        </w:rPr>
        <w:t>artículo</w:t>
      </w:r>
      <w:r>
        <w:rPr>
          <w:rFonts w:cs="Arial"/>
          <w:spacing w:val="3"/>
          <w:lang w:val="es-CO"/>
        </w:rPr>
        <w:t xml:space="preserve"> </w:t>
      </w:r>
      <w:r>
        <w:rPr>
          <w:rFonts w:cs="Arial"/>
          <w:lang w:val="es-CO"/>
        </w:rPr>
        <w:t>siguiente.</w:t>
      </w:r>
    </w:p>
    <w:p w14:paraId="706B610A" w14:textId="77777777" w:rsidR="00B2442D" w:rsidRDefault="00B2442D">
      <w:pPr>
        <w:pStyle w:val="Prrafodelista"/>
        <w:spacing w:line="40" w:lineRule="atLeast"/>
        <w:ind w:left="0"/>
        <w:rPr>
          <w:rFonts w:ascii="Arial" w:hAnsi="Arial" w:cs="Arial"/>
          <w:lang w:val="es-CO"/>
        </w:rPr>
      </w:pPr>
    </w:p>
    <w:p w14:paraId="6276B916" w14:textId="77777777" w:rsidR="00B2442D" w:rsidRDefault="008A645F">
      <w:pPr>
        <w:jc w:val="both"/>
        <w:rPr>
          <w:rFonts w:ascii="Arial" w:hAnsi="Arial" w:cs="Arial"/>
          <w:i/>
          <w:lang w:val="es-ES_tradnl"/>
        </w:rPr>
      </w:pPr>
      <w:r>
        <w:rPr>
          <w:rFonts w:ascii="Arial" w:hAnsi="Arial" w:cs="Arial"/>
          <w:i/>
          <w:lang w:val="es-ES_tradnl"/>
        </w:rPr>
        <w:t xml:space="preserve">(Art. 9, Decreto 2243 de 2015) (Plazos 2015: Decreto 2623 de 2014; plazos 2014: Decreto 2972 de 2013 y Decreto 685 </w:t>
      </w:r>
      <w:r>
        <w:rPr>
          <w:rFonts w:ascii="Arial" w:hAnsi="Arial" w:cs="Arial"/>
          <w:i/>
          <w:lang w:val="es-ES_tradnl"/>
        </w:rPr>
        <w:t>de 2014; plazos 2013: Decreto 2634 de 2012 y Decreto 0187 de 2013; plazos 2012: Decreto 4907 de 2011; plazos 2011: Decreto 4836 de 2010 y Decreto 1358 de 2011)</w:t>
      </w:r>
    </w:p>
    <w:p w14:paraId="7FA775F4" w14:textId="77777777" w:rsidR="00B2442D" w:rsidRDefault="00B2442D">
      <w:pPr>
        <w:pStyle w:val="Prrafodelista"/>
        <w:spacing w:line="40" w:lineRule="atLeast"/>
        <w:ind w:left="0"/>
        <w:rPr>
          <w:rFonts w:ascii="Arial" w:hAnsi="Arial" w:cs="Arial"/>
          <w:lang w:val="es-CO"/>
        </w:rPr>
      </w:pPr>
    </w:p>
    <w:p w14:paraId="5665003C" w14:textId="77777777" w:rsidR="00B2442D" w:rsidRDefault="008A645F">
      <w:pPr>
        <w:pStyle w:val="Textoindependiente"/>
        <w:numPr>
          <w:ilvl w:val="0"/>
          <w:numId w:val="152"/>
        </w:numPr>
        <w:tabs>
          <w:tab w:val="left" w:pos="3239"/>
          <w:tab w:val="left" w:pos="4356"/>
          <w:tab w:val="left" w:pos="6943"/>
          <w:tab w:val="left" w:pos="8744"/>
        </w:tabs>
        <w:spacing w:line="40" w:lineRule="atLeast"/>
        <w:ind w:left="0" w:right="-30" w:firstLine="0"/>
        <w:jc w:val="both"/>
        <w:rPr>
          <w:rFonts w:cs="Arial"/>
          <w:lang w:val="es-CO"/>
        </w:rPr>
      </w:pPr>
      <w:r>
        <w:rPr>
          <w:rFonts w:cs="Arial"/>
          <w:b/>
          <w:i/>
          <w:lang w:val="es-CO"/>
        </w:rPr>
        <w:t>Entidades</w:t>
      </w:r>
      <w:r>
        <w:rPr>
          <w:rFonts w:cs="Arial"/>
          <w:b/>
          <w:i/>
          <w:spacing w:val="53"/>
          <w:lang w:val="es-CO"/>
        </w:rPr>
        <w:t xml:space="preserve"> </w:t>
      </w:r>
      <w:r>
        <w:rPr>
          <w:rFonts w:cs="Arial"/>
          <w:b/>
          <w:i/>
          <w:lang w:val="es-CO"/>
        </w:rPr>
        <w:t>no</w:t>
      </w:r>
      <w:r>
        <w:rPr>
          <w:rFonts w:cs="Arial"/>
          <w:b/>
          <w:i/>
          <w:spacing w:val="25"/>
          <w:lang w:val="es-CO"/>
        </w:rPr>
        <w:t xml:space="preserve"> </w:t>
      </w:r>
      <w:r>
        <w:rPr>
          <w:rFonts w:cs="Arial"/>
          <w:b/>
          <w:i/>
          <w:lang w:val="es-CO"/>
        </w:rPr>
        <w:t>contribuyentes</w:t>
      </w:r>
      <w:r>
        <w:rPr>
          <w:rFonts w:cs="Arial"/>
          <w:b/>
          <w:i/>
          <w:spacing w:val="5"/>
          <w:lang w:val="es-CO"/>
        </w:rPr>
        <w:t xml:space="preserve"> </w:t>
      </w:r>
      <w:r>
        <w:rPr>
          <w:rFonts w:cs="Arial"/>
          <w:b/>
          <w:i/>
          <w:lang w:val="es-CO"/>
        </w:rPr>
        <w:t>del</w:t>
      </w:r>
      <w:r>
        <w:rPr>
          <w:rFonts w:cs="Arial"/>
          <w:b/>
          <w:i/>
          <w:spacing w:val="38"/>
          <w:lang w:val="es-CO"/>
        </w:rPr>
        <w:t xml:space="preserve"> </w:t>
      </w:r>
      <w:r>
        <w:rPr>
          <w:rFonts w:cs="Arial"/>
          <w:b/>
          <w:i/>
          <w:lang w:val="es-CO"/>
        </w:rPr>
        <w:t>impuesto</w:t>
      </w:r>
      <w:r>
        <w:rPr>
          <w:rFonts w:cs="Arial"/>
          <w:b/>
          <w:i/>
          <w:spacing w:val="34"/>
          <w:lang w:val="es-CO"/>
        </w:rPr>
        <w:t xml:space="preserve"> </w:t>
      </w:r>
      <w:r>
        <w:rPr>
          <w:rFonts w:cs="Arial"/>
          <w:b/>
          <w:i/>
          <w:lang w:val="es-CO"/>
        </w:rPr>
        <w:t>sobre</w:t>
      </w:r>
      <w:r>
        <w:rPr>
          <w:rFonts w:cs="Arial"/>
          <w:b/>
          <w:i/>
          <w:spacing w:val="49"/>
          <w:lang w:val="es-CO"/>
        </w:rPr>
        <w:t xml:space="preserve"> </w:t>
      </w:r>
      <w:r>
        <w:rPr>
          <w:rFonts w:cs="Arial"/>
          <w:b/>
          <w:i/>
          <w:lang w:val="es-CO"/>
        </w:rPr>
        <w:t>la</w:t>
      </w:r>
      <w:r>
        <w:rPr>
          <w:rFonts w:cs="Arial"/>
          <w:b/>
          <w:i/>
          <w:w w:val="105"/>
          <w:lang w:val="es-CO"/>
        </w:rPr>
        <w:t xml:space="preserve"> </w:t>
      </w:r>
      <w:r>
        <w:rPr>
          <w:rFonts w:cs="Arial"/>
          <w:b/>
          <w:i/>
          <w:lang w:val="es-CO"/>
        </w:rPr>
        <w:t>renta</w:t>
      </w:r>
      <w:r>
        <w:rPr>
          <w:rFonts w:cs="Arial"/>
          <w:b/>
          <w:i/>
          <w:spacing w:val="15"/>
          <w:lang w:val="es-CO"/>
        </w:rPr>
        <w:t xml:space="preserve"> </w:t>
      </w:r>
      <w:r>
        <w:rPr>
          <w:rFonts w:cs="Arial"/>
          <w:b/>
          <w:i/>
          <w:lang w:val="es-CO"/>
        </w:rPr>
        <w:t>y</w:t>
      </w:r>
      <w:r>
        <w:rPr>
          <w:rFonts w:cs="Arial"/>
          <w:b/>
          <w:i/>
          <w:spacing w:val="20"/>
          <w:lang w:val="es-CO"/>
        </w:rPr>
        <w:t xml:space="preserve"> </w:t>
      </w:r>
      <w:r>
        <w:rPr>
          <w:rFonts w:cs="Arial"/>
          <w:b/>
          <w:i/>
          <w:lang w:val="es-CO"/>
        </w:rPr>
        <w:t>complementario</w:t>
      </w:r>
      <w:r>
        <w:rPr>
          <w:rFonts w:cs="Arial"/>
          <w:b/>
          <w:i/>
          <w:spacing w:val="41"/>
          <w:lang w:val="es-CO"/>
        </w:rPr>
        <w:t xml:space="preserve"> </w:t>
      </w:r>
      <w:r>
        <w:rPr>
          <w:rFonts w:cs="Arial"/>
          <w:b/>
          <w:i/>
          <w:lang w:val="es-CO"/>
        </w:rPr>
        <w:t>que</w:t>
      </w:r>
      <w:r>
        <w:rPr>
          <w:rFonts w:cs="Arial"/>
          <w:b/>
          <w:i/>
          <w:spacing w:val="14"/>
          <w:lang w:val="es-CO"/>
        </w:rPr>
        <w:t xml:space="preserve"> </w:t>
      </w:r>
      <w:r>
        <w:rPr>
          <w:rFonts w:cs="Arial"/>
          <w:b/>
          <w:i/>
          <w:lang w:val="es-CO"/>
        </w:rPr>
        <w:t>no</w:t>
      </w:r>
      <w:r>
        <w:rPr>
          <w:rFonts w:cs="Arial"/>
          <w:b/>
          <w:i/>
          <w:spacing w:val="6"/>
          <w:lang w:val="es-CO"/>
        </w:rPr>
        <w:t xml:space="preserve"> </w:t>
      </w:r>
      <w:r>
        <w:rPr>
          <w:rFonts w:cs="Arial"/>
          <w:b/>
          <w:i/>
          <w:lang w:val="es-CO"/>
        </w:rPr>
        <w:t>deben</w:t>
      </w:r>
      <w:r>
        <w:rPr>
          <w:rFonts w:cs="Arial"/>
          <w:b/>
          <w:i/>
          <w:spacing w:val="11"/>
          <w:lang w:val="es-CO"/>
        </w:rPr>
        <w:t xml:space="preserve"> </w:t>
      </w:r>
      <w:r>
        <w:rPr>
          <w:rFonts w:cs="Arial"/>
          <w:b/>
          <w:i/>
          <w:lang w:val="es-CO"/>
        </w:rPr>
        <w:t>presentar</w:t>
      </w:r>
      <w:r>
        <w:rPr>
          <w:rFonts w:cs="Arial"/>
          <w:b/>
          <w:i/>
          <w:spacing w:val="44"/>
          <w:lang w:val="es-CO"/>
        </w:rPr>
        <w:t xml:space="preserve"> </w:t>
      </w:r>
      <w:r>
        <w:rPr>
          <w:rFonts w:cs="Arial"/>
          <w:b/>
          <w:i/>
          <w:lang w:val="es-CO"/>
        </w:rPr>
        <w:t>declaración de renta</w:t>
      </w:r>
      <w:r>
        <w:rPr>
          <w:rFonts w:cs="Arial"/>
          <w:b/>
          <w:i/>
          <w:spacing w:val="27"/>
          <w:lang w:val="es-CO"/>
        </w:rPr>
        <w:t xml:space="preserve"> </w:t>
      </w:r>
      <w:r>
        <w:rPr>
          <w:rFonts w:cs="Arial"/>
          <w:b/>
          <w:i/>
          <w:lang w:val="es-CO"/>
        </w:rPr>
        <w:t>ni</w:t>
      </w:r>
      <w:r>
        <w:rPr>
          <w:rFonts w:cs="Arial"/>
          <w:b/>
          <w:i/>
          <w:spacing w:val="-1"/>
          <w:lang w:val="es-CO"/>
        </w:rPr>
        <w:t xml:space="preserve"> </w:t>
      </w:r>
      <w:r>
        <w:rPr>
          <w:rFonts w:cs="Arial"/>
          <w:b/>
          <w:i/>
          <w:lang w:val="es-CO"/>
        </w:rPr>
        <w:t>de</w:t>
      </w:r>
      <w:r>
        <w:rPr>
          <w:rFonts w:cs="Arial"/>
          <w:b/>
          <w:i/>
          <w:spacing w:val="10"/>
          <w:lang w:val="es-CO"/>
        </w:rPr>
        <w:t xml:space="preserve"> </w:t>
      </w:r>
      <w:r>
        <w:rPr>
          <w:rFonts w:cs="Arial"/>
          <w:b/>
          <w:i/>
          <w:lang w:val="es-CO"/>
        </w:rPr>
        <w:t>ingresos</w:t>
      </w:r>
      <w:r>
        <w:rPr>
          <w:rFonts w:cs="Arial"/>
          <w:b/>
          <w:i/>
          <w:spacing w:val="22"/>
          <w:lang w:val="es-CO"/>
        </w:rPr>
        <w:t xml:space="preserve"> </w:t>
      </w:r>
      <w:r>
        <w:rPr>
          <w:rFonts w:cs="Arial"/>
          <w:b/>
          <w:i/>
          <w:lang w:val="es-CO"/>
        </w:rPr>
        <w:t>y</w:t>
      </w:r>
      <w:r>
        <w:rPr>
          <w:rFonts w:cs="Arial"/>
          <w:b/>
          <w:i/>
          <w:spacing w:val="27"/>
          <w:lang w:val="es-CO"/>
        </w:rPr>
        <w:t xml:space="preserve"> </w:t>
      </w:r>
      <w:r>
        <w:rPr>
          <w:rFonts w:cs="Arial"/>
          <w:b/>
          <w:i/>
          <w:lang w:val="es-CO"/>
        </w:rPr>
        <w:t>patrimonio.</w:t>
      </w:r>
      <w:r>
        <w:rPr>
          <w:rFonts w:cs="Arial"/>
          <w:spacing w:val="36"/>
          <w:lang w:val="es-CO"/>
        </w:rPr>
        <w:t xml:space="preserve"> </w:t>
      </w:r>
      <w:r>
        <w:rPr>
          <w:rFonts w:cs="Arial"/>
          <w:lang w:val="es-CO"/>
        </w:rPr>
        <w:t>De conformidad con lo dispuesto en los artículos 22 y 598 del Estatuto Tributario, no son contribuyentes del impuesto sobre la renta y complementario y no deben presentar declaración de renta y co</w:t>
      </w:r>
      <w:r>
        <w:rPr>
          <w:rFonts w:cs="Arial"/>
          <w:lang w:val="es-CO"/>
        </w:rPr>
        <w:t>mplementario, ni declaración de ingresos y patrimonio, por el año gravable 2016 las siguientes entidades:</w:t>
      </w:r>
    </w:p>
    <w:p w14:paraId="7BC6DB87" w14:textId="77777777" w:rsidR="00B2442D" w:rsidRDefault="00B2442D">
      <w:pPr>
        <w:pStyle w:val="Textoindependiente"/>
        <w:tabs>
          <w:tab w:val="left" w:pos="571"/>
          <w:tab w:val="left" w:pos="3239"/>
          <w:tab w:val="left" w:pos="4356"/>
          <w:tab w:val="left" w:pos="6943"/>
          <w:tab w:val="left" w:pos="8744"/>
        </w:tabs>
        <w:spacing w:line="40" w:lineRule="atLeast"/>
        <w:ind w:right="-30"/>
        <w:jc w:val="both"/>
        <w:rPr>
          <w:rFonts w:cs="Arial"/>
          <w:lang w:val="es-CO"/>
        </w:rPr>
      </w:pPr>
    </w:p>
    <w:p w14:paraId="16E0D32A" w14:textId="77777777" w:rsidR="00B2442D" w:rsidRDefault="008A645F">
      <w:pPr>
        <w:numPr>
          <w:ilvl w:val="0"/>
          <w:numId w:val="203"/>
        </w:numPr>
        <w:autoSpaceDE w:val="0"/>
        <w:autoSpaceDN w:val="0"/>
        <w:adjustRightInd w:val="0"/>
        <w:spacing w:line="40" w:lineRule="atLeast"/>
        <w:jc w:val="both"/>
        <w:rPr>
          <w:rFonts w:ascii="Arial" w:hAnsi="Arial" w:cs="Arial"/>
          <w:color w:val="000000"/>
        </w:rPr>
      </w:pPr>
      <w:r>
        <w:rPr>
          <w:rFonts w:ascii="Arial" w:hAnsi="Arial" w:cs="Arial"/>
          <w:color w:val="000000"/>
        </w:rPr>
        <w:t xml:space="preserve">La Nación, los Departamentos, los Municipios, el Distrito Capital de Bogotá, el Distrito Turístico y Cultural de Cartagena, el Distrito Turístico de </w:t>
      </w:r>
      <w:r>
        <w:rPr>
          <w:rFonts w:ascii="Arial" w:hAnsi="Arial" w:cs="Arial"/>
          <w:color w:val="000000"/>
        </w:rPr>
        <w:t>Santa Marta, los Territorios Indígenas y las demás entidades territoriales.</w:t>
      </w:r>
    </w:p>
    <w:p w14:paraId="4A11B551" w14:textId="77777777" w:rsidR="00B2442D" w:rsidRDefault="00B2442D">
      <w:pPr>
        <w:autoSpaceDE w:val="0"/>
        <w:autoSpaceDN w:val="0"/>
        <w:adjustRightInd w:val="0"/>
        <w:spacing w:line="40" w:lineRule="atLeast"/>
        <w:jc w:val="both"/>
        <w:rPr>
          <w:rFonts w:ascii="Arial" w:hAnsi="Arial" w:cs="Arial"/>
          <w:color w:val="000000"/>
        </w:rPr>
      </w:pPr>
    </w:p>
    <w:p w14:paraId="2465D412" w14:textId="77777777" w:rsidR="00B2442D" w:rsidRDefault="008A645F">
      <w:pPr>
        <w:numPr>
          <w:ilvl w:val="0"/>
          <w:numId w:val="203"/>
        </w:numPr>
        <w:autoSpaceDE w:val="0"/>
        <w:autoSpaceDN w:val="0"/>
        <w:adjustRightInd w:val="0"/>
        <w:spacing w:line="40" w:lineRule="atLeast"/>
        <w:jc w:val="both"/>
        <w:rPr>
          <w:rFonts w:ascii="Arial" w:hAnsi="Arial" w:cs="Arial"/>
          <w:color w:val="000000"/>
        </w:rPr>
      </w:pPr>
      <w:r>
        <w:rPr>
          <w:rFonts w:ascii="Arial" w:hAnsi="Arial" w:cs="Arial"/>
          <w:color w:val="000000"/>
        </w:rPr>
        <w:t>Las juntas de acción comunal y defensa civil, los sindicatos, las asociaciones de padres de familia y las juntas de copropietarios administradoras de edificios organizados en prop</w:t>
      </w:r>
      <w:r>
        <w:rPr>
          <w:rFonts w:ascii="Arial" w:hAnsi="Arial" w:cs="Arial"/>
          <w:color w:val="000000"/>
        </w:rPr>
        <w:t>iedad horizontal o de copropietarios de conjuntos residenciales.</w:t>
      </w:r>
    </w:p>
    <w:p w14:paraId="718582BD" w14:textId="77777777" w:rsidR="00B2442D" w:rsidRDefault="00B2442D">
      <w:pPr>
        <w:pStyle w:val="Prrafodelista"/>
        <w:ind w:left="708"/>
        <w:jc w:val="both"/>
        <w:rPr>
          <w:rFonts w:ascii="Arial" w:hAnsi="Arial" w:cs="Arial"/>
          <w:color w:val="000000"/>
        </w:rPr>
      </w:pPr>
    </w:p>
    <w:p w14:paraId="29F58273" w14:textId="77777777" w:rsidR="00B2442D" w:rsidRDefault="008A645F">
      <w:pPr>
        <w:numPr>
          <w:ilvl w:val="0"/>
          <w:numId w:val="203"/>
        </w:numPr>
        <w:autoSpaceDE w:val="0"/>
        <w:autoSpaceDN w:val="0"/>
        <w:adjustRightInd w:val="0"/>
        <w:spacing w:line="40" w:lineRule="atLeast"/>
        <w:jc w:val="both"/>
        <w:rPr>
          <w:rFonts w:ascii="Arial" w:hAnsi="Arial" w:cs="Arial"/>
          <w:color w:val="000000"/>
        </w:rPr>
      </w:pPr>
      <w:r>
        <w:rPr>
          <w:rFonts w:ascii="Arial" w:hAnsi="Arial" w:cs="Arial"/>
          <w:color w:val="000000"/>
        </w:rPr>
        <w:t>Las asociaciones de hogares comunitarios y hogares infantiles del Instituto Colombiano de Bienestar Familiar o autorizados por este y las asociaciones de adultos mayores autorizados por el I</w:t>
      </w:r>
      <w:r>
        <w:rPr>
          <w:rFonts w:ascii="Arial" w:hAnsi="Arial" w:cs="Arial"/>
          <w:color w:val="000000"/>
        </w:rPr>
        <w:t>nstituto Colombiano de Bienestar Familiar.</w:t>
      </w:r>
    </w:p>
    <w:p w14:paraId="4A9A3DEF" w14:textId="77777777" w:rsidR="00B2442D" w:rsidRDefault="00B2442D">
      <w:pPr>
        <w:autoSpaceDE w:val="0"/>
        <w:autoSpaceDN w:val="0"/>
        <w:adjustRightInd w:val="0"/>
        <w:spacing w:line="40" w:lineRule="atLeast"/>
        <w:jc w:val="both"/>
        <w:rPr>
          <w:rFonts w:ascii="Arial" w:hAnsi="Arial" w:cs="Arial"/>
          <w:color w:val="000000"/>
        </w:rPr>
      </w:pPr>
    </w:p>
    <w:p w14:paraId="1A46D098"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color w:val="000000"/>
        </w:rPr>
        <w:t>Las entidades señaladas en los literales anteriores, están obligadas a presentar declaraciones de retención en la fuente e impuesto sobre las ventas, cuando sea del caso.</w:t>
      </w:r>
    </w:p>
    <w:p w14:paraId="29BD17BC" w14:textId="77777777" w:rsidR="00B2442D" w:rsidRDefault="00B2442D">
      <w:pPr>
        <w:autoSpaceDE w:val="0"/>
        <w:autoSpaceDN w:val="0"/>
        <w:adjustRightInd w:val="0"/>
        <w:spacing w:line="40" w:lineRule="atLeast"/>
        <w:jc w:val="both"/>
        <w:rPr>
          <w:rFonts w:ascii="Arial" w:hAnsi="Arial" w:cs="Arial"/>
        </w:rPr>
      </w:pPr>
    </w:p>
    <w:p w14:paraId="564449D5"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w:t>
      </w:r>
      <w:r>
        <w:rPr>
          <w:rFonts w:ascii="Arial" w:hAnsi="Arial" w:cs="Arial"/>
          <w:color w:val="000000"/>
        </w:rPr>
        <w:t xml:space="preserve"> No están obligados a presentar declaración del impuesto sobre la renta y complementario ni de ingresos y patrimonio, los Fondos de Inversión de Capital Extranjero.</w:t>
      </w:r>
    </w:p>
    <w:p w14:paraId="14D1559C" w14:textId="77777777" w:rsidR="00B2442D" w:rsidRDefault="00B2442D">
      <w:pPr>
        <w:pStyle w:val="Textoindependiente"/>
        <w:spacing w:line="40" w:lineRule="atLeast"/>
        <w:ind w:right="-30"/>
        <w:jc w:val="both"/>
        <w:rPr>
          <w:rFonts w:cs="Arial"/>
          <w:i/>
          <w:lang w:val="es-ES"/>
        </w:rPr>
      </w:pPr>
    </w:p>
    <w:p w14:paraId="3DCE045C" w14:textId="77777777" w:rsidR="00B2442D" w:rsidRDefault="008A645F">
      <w:pPr>
        <w:pStyle w:val="Textoindependiente"/>
        <w:spacing w:line="40" w:lineRule="atLeast"/>
        <w:ind w:right="-30"/>
        <w:jc w:val="both"/>
        <w:rPr>
          <w:rFonts w:cs="Arial"/>
          <w:i/>
          <w:iCs/>
          <w:color w:val="000000"/>
          <w:lang w:val="es-CO" w:eastAsia="es-CO"/>
        </w:rPr>
      </w:pPr>
      <w:r>
        <w:rPr>
          <w:rFonts w:cs="Arial"/>
          <w:i/>
          <w:lang w:val="es-ES"/>
        </w:rPr>
        <w:t>(</w:t>
      </w:r>
      <w:hyperlink r:id="rId43" w:history="1">
        <w:r>
          <w:rPr>
            <w:rStyle w:val="Hipervnculo"/>
            <w:rFonts w:cs="Arial"/>
            <w:i/>
            <w:lang w:val="es-ES"/>
          </w:rPr>
          <w:t>Art.5 Decreto 2105 de 2016</w:t>
        </w:r>
      </w:hyperlink>
      <w:r>
        <w:rPr>
          <w:rFonts w:cs="Arial"/>
          <w:i/>
          <w:lang w:val="es-ES"/>
        </w:rPr>
        <w:t>, plazos 2016: Decreto 2243 de 2015;</w:t>
      </w:r>
      <w:r>
        <w:rPr>
          <w:i/>
          <w:lang w:val="es-CO"/>
        </w:rPr>
        <w:t xml:space="preserve"> p</w:t>
      </w:r>
      <w:r>
        <w:rPr>
          <w:rFonts w:cs="Arial"/>
          <w:i/>
          <w:iCs/>
          <w:color w:val="000000"/>
          <w:lang w:val="es-CO" w:eastAsia="es-CO"/>
        </w:rPr>
        <w:t>lazos 2015: Decreto 2623</w:t>
      </w:r>
      <w:r>
        <w:rPr>
          <w:rFonts w:cs="Arial"/>
          <w:i/>
          <w:iCs/>
          <w:vanish/>
          <w:color w:val="000000"/>
          <w:lang w:val="es-CO" w:eastAsia="es-CO"/>
        </w:rPr>
        <w:t>7140</w:t>
      </w:r>
      <w:r>
        <w:rPr>
          <w:rFonts w:cs="Arial"/>
          <w:i/>
          <w:iCs/>
          <w:color w:val="000000"/>
          <w:lang w:val="es-CO" w:eastAsia="es-CO"/>
        </w:rPr>
        <w:t xml:space="preserve"> de 2014; plazos 2014: Decreto 2972</w:t>
      </w:r>
      <w:r>
        <w:rPr>
          <w:rFonts w:cs="Arial"/>
          <w:i/>
          <w:iCs/>
          <w:vanish/>
          <w:color w:val="000000"/>
          <w:lang w:val="es-CO" w:eastAsia="es-CO"/>
        </w:rPr>
        <w:t>7141</w:t>
      </w:r>
      <w:r>
        <w:rPr>
          <w:rFonts w:cs="Arial"/>
          <w:i/>
          <w:iCs/>
          <w:color w:val="000000"/>
          <w:lang w:val="es-CO" w:eastAsia="es-CO"/>
        </w:rPr>
        <w:t xml:space="preserve"> de 2013 y Decreto 685</w:t>
      </w:r>
      <w:r>
        <w:rPr>
          <w:rFonts w:cs="Arial"/>
          <w:i/>
          <w:iCs/>
          <w:vanish/>
          <w:color w:val="000000"/>
          <w:lang w:val="es-CO" w:eastAsia="es-CO"/>
        </w:rPr>
        <w:t>7142</w:t>
      </w:r>
      <w:r>
        <w:rPr>
          <w:rFonts w:cs="Arial"/>
          <w:i/>
          <w:iCs/>
          <w:color w:val="000000"/>
          <w:lang w:val="es-CO" w:eastAsia="es-CO"/>
        </w:rPr>
        <w:t xml:space="preserve"> de 2014; plazos 2013: Decreto 2634</w:t>
      </w:r>
      <w:r>
        <w:rPr>
          <w:rFonts w:cs="Arial"/>
          <w:i/>
          <w:iCs/>
          <w:vanish/>
          <w:color w:val="000000"/>
          <w:lang w:val="es-CO" w:eastAsia="es-CO"/>
        </w:rPr>
        <w:t>7143</w:t>
      </w:r>
      <w:r>
        <w:rPr>
          <w:rFonts w:cs="Arial"/>
          <w:i/>
          <w:iCs/>
          <w:color w:val="000000"/>
          <w:lang w:val="es-CO" w:eastAsia="es-CO"/>
        </w:rPr>
        <w:t xml:space="preserve"> de 2012 y Decreto 0187</w:t>
      </w:r>
      <w:r>
        <w:rPr>
          <w:rFonts w:cs="Arial"/>
          <w:i/>
          <w:iCs/>
          <w:vanish/>
          <w:color w:val="000000"/>
          <w:lang w:val="es-CO" w:eastAsia="es-CO"/>
        </w:rPr>
        <w:t>7144</w:t>
      </w:r>
      <w:r>
        <w:rPr>
          <w:rFonts w:cs="Arial"/>
          <w:i/>
          <w:iCs/>
          <w:color w:val="000000"/>
          <w:lang w:val="es-CO" w:eastAsia="es-CO"/>
        </w:rPr>
        <w:t xml:space="preserve"> de 2013; plazos 2012: Decreto 4907</w:t>
      </w:r>
      <w:r>
        <w:rPr>
          <w:rFonts w:cs="Arial"/>
          <w:i/>
          <w:iCs/>
          <w:vanish/>
          <w:color w:val="000000"/>
          <w:lang w:val="es-CO" w:eastAsia="es-CO"/>
        </w:rPr>
        <w:t>7145</w:t>
      </w:r>
      <w:r>
        <w:rPr>
          <w:rFonts w:cs="Arial"/>
          <w:i/>
          <w:iCs/>
          <w:color w:val="000000"/>
          <w:lang w:val="es-CO" w:eastAsia="es-CO"/>
        </w:rPr>
        <w:t xml:space="preserve"> de 2011; plazos 2011: Decreto 4836</w:t>
      </w:r>
      <w:r>
        <w:rPr>
          <w:rFonts w:cs="Arial"/>
          <w:i/>
          <w:iCs/>
          <w:vanish/>
          <w:color w:val="000000"/>
          <w:lang w:val="es-CO" w:eastAsia="es-CO"/>
        </w:rPr>
        <w:t>7146</w:t>
      </w:r>
      <w:r>
        <w:rPr>
          <w:rFonts w:cs="Arial"/>
          <w:i/>
          <w:iCs/>
          <w:color w:val="000000"/>
          <w:lang w:val="es-CO" w:eastAsia="es-CO"/>
        </w:rPr>
        <w:t xml:space="preserve"> de 2010 y Decreto 1358</w:t>
      </w:r>
      <w:r>
        <w:rPr>
          <w:rFonts w:cs="Arial"/>
          <w:i/>
          <w:iCs/>
          <w:vanish/>
          <w:color w:val="000000"/>
          <w:lang w:val="es-CO" w:eastAsia="es-CO"/>
        </w:rPr>
        <w:t>7147</w:t>
      </w:r>
      <w:r>
        <w:rPr>
          <w:rFonts w:cs="Arial"/>
          <w:i/>
          <w:iCs/>
          <w:color w:val="000000"/>
          <w:lang w:val="es-CO" w:eastAsia="es-CO"/>
        </w:rPr>
        <w:t xml:space="preserve"> de 2011)</w:t>
      </w:r>
    </w:p>
    <w:p w14:paraId="238A0A3A" w14:textId="77777777" w:rsidR="00B2442D" w:rsidRDefault="00B2442D">
      <w:pPr>
        <w:pStyle w:val="Textoindependiente"/>
        <w:spacing w:line="40" w:lineRule="atLeast"/>
        <w:ind w:right="-30"/>
        <w:jc w:val="both"/>
        <w:rPr>
          <w:rFonts w:cs="Arial"/>
          <w:lang w:val="es-CO"/>
        </w:rPr>
      </w:pPr>
    </w:p>
    <w:p w14:paraId="01B70D85" w14:textId="77777777" w:rsidR="00B2442D" w:rsidRDefault="008A645F">
      <w:pPr>
        <w:pStyle w:val="Textoindependiente"/>
        <w:spacing w:line="40" w:lineRule="atLeast"/>
        <w:ind w:right="-30"/>
        <w:rPr>
          <w:rFonts w:cs="Arial"/>
          <w:b/>
          <w:lang w:val="es-CO"/>
        </w:rPr>
      </w:pPr>
      <w:r>
        <w:rPr>
          <w:rFonts w:cs="Arial"/>
          <w:b/>
          <w:lang w:val="es-CO"/>
        </w:rPr>
        <w:t>PLAZOS</w:t>
      </w:r>
      <w:r>
        <w:rPr>
          <w:rFonts w:cs="Arial"/>
          <w:b/>
          <w:spacing w:val="7"/>
          <w:lang w:val="es-CO"/>
        </w:rPr>
        <w:t xml:space="preserve"> </w:t>
      </w:r>
      <w:r>
        <w:rPr>
          <w:rFonts w:cs="Arial"/>
          <w:b/>
          <w:lang w:val="es-CO"/>
        </w:rPr>
        <w:t>PARA</w:t>
      </w:r>
      <w:r>
        <w:rPr>
          <w:rFonts w:cs="Arial"/>
          <w:b/>
          <w:spacing w:val="16"/>
          <w:lang w:val="es-CO"/>
        </w:rPr>
        <w:t xml:space="preserve"> </w:t>
      </w:r>
      <w:r>
        <w:rPr>
          <w:rFonts w:cs="Arial"/>
          <w:b/>
          <w:lang w:val="es-CO"/>
        </w:rPr>
        <w:t>DECLARAR Y</w:t>
      </w:r>
      <w:r>
        <w:rPr>
          <w:rFonts w:cs="Arial"/>
          <w:b/>
          <w:spacing w:val="19"/>
          <w:lang w:val="es-CO"/>
        </w:rPr>
        <w:t xml:space="preserve"> </w:t>
      </w:r>
      <w:r>
        <w:rPr>
          <w:rFonts w:cs="Arial"/>
          <w:b/>
          <w:lang w:val="es-CO"/>
        </w:rPr>
        <w:t>PAGAR EL IMPUESTO SOBRE</w:t>
      </w:r>
      <w:r>
        <w:rPr>
          <w:rFonts w:cs="Arial"/>
          <w:b/>
          <w:spacing w:val="11"/>
          <w:lang w:val="es-CO"/>
        </w:rPr>
        <w:t xml:space="preserve"> </w:t>
      </w:r>
      <w:r>
        <w:rPr>
          <w:rFonts w:cs="Arial"/>
          <w:b/>
          <w:lang w:val="es-CO"/>
        </w:rPr>
        <w:t>LA</w:t>
      </w:r>
      <w:r>
        <w:rPr>
          <w:rFonts w:cs="Arial"/>
          <w:b/>
          <w:spacing w:val="4"/>
          <w:lang w:val="es-CO"/>
        </w:rPr>
        <w:t xml:space="preserve"> </w:t>
      </w:r>
      <w:r>
        <w:rPr>
          <w:rFonts w:cs="Arial"/>
          <w:b/>
          <w:lang w:val="es-CO"/>
        </w:rPr>
        <w:t>RENTA</w:t>
      </w:r>
      <w:r>
        <w:rPr>
          <w:rFonts w:cs="Arial"/>
          <w:b/>
          <w:spacing w:val="-2"/>
          <w:lang w:val="es-CO"/>
        </w:rPr>
        <w:t xml:space="preserve"> </w:t>
      </w:r>
      <w:r>
        <w:rPr>
          <w:rFonts w:cs="Arial"/>
          <w:b/>
          <w:lang w:val="es-CO"/>
        </w:rPr>
        <w:t>Y</w:t>
      </w:r>
      <w:r>
        <w:rPr>
          <w:rFonts w:cs="Arial"/>
          <w:b/>
          <w:spacing w:val="-2"/>
          <w:lang w:val="es-CO"/>
        </w:rPr>
        <w:t xml:space="preserve"> </w:t>
      </w:r>
      <w:r>
        <w:rPr>
          <w:rFonts w:cs="Arial"/>
          <w:b/>
          <w:lang w:val="es-CO"/>
        </w:rPr>
        <w:t>ANTICIPO</w:t>
      </w:r>
    </w:p>
    <w:p w14:paraId="668E4E80" w14:textId="77777777" w:rsidR="00B2442D" w:rsidRDefault="00B2442D">
      <w:pPr>
        <w:pStyle w:val="Textoindependiente"/>
        <w:spacing w:line="40" w:lineRule="atLeast"/>
        <w:ind w:right="-30"/>
        <w:jc w:val="both"/>
        <w:rPr>
          <w:rFonts w:cs="Arial"/>
          <w:lang w:val="es-CO"/>
        </w:rPr>
      </w:pPr>
    </w:p>
    <w:p w14:paraId="7C6684A0"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Grandes contribuyentes. Declaración de renta y complementario.</w:t>
      </w:r>
      <w:r>
        <w:rPr>
          <w:rFonts w:cs="Arial"/>
          <w:spacing w:val="60"/>
          <w:lang w:val="es-CO"/>
        </w:rPr>
        <w:t xml:space="preserve"> </w:t>
      </w:r>
      <w:r>
        <w:rPr>
          <w:rFonts w:cs="Arial"/>
          <w:color w:val="000000"/>
          <w:lang w:val="es-ES"/>
        </w:rPr>
        <w:t xml:space="preserve">Por el año gravable 2016 deberán presentar la declaración del impuesto sobre la renta y complementario en el formulario prescrito por la </w:t>
      </w:r>
      <w:r>
        <w:rPr>
          <w:rFonts w:cs="Arial"/>
          <w:lang w:val="es-CO"/>
        </w:rPr>
        <w:t>Unidad Administrativa Especial Dirección de Im</w:t>
      </w:r>
      <w:r>
        <w:rPr>
          <w:rFonts w:cs="Arial"/>
          <w:lang w:val="es-CO"/>
        </w:rPr>
        <w:t>puestos y Aduanas Nacionales - DIAN</w:t>
      </w:r>
      <w:r>
        <w:rPr>
          <w:rFonts w:cs="Arial"/>
          <w:color w:val="000000"/>
          <w:lang w:val="es-ES"/>
        </w:rPr>
        <w:t>, las personas naturales, jurídicas o asimiladas, las entidades sin ánimo de lucro con régimen especial y demás entidades que a 31 de diciembre de 2016 estén calificados como “Grandes Contribuyentes” por la Unidad Adminis</w:t>
      </w:r>
      <w:r>
        <w:rPr>
          <w:rFonts w:cs="Arial"/>
          <w:color w:val="000000"/>
          <w:lang w:val="es-ES"/>
        </w:rPr>
        <w:t>trativa Especial Dirección de Impuestos y Aduanas Nacionales - DIAN, de conformidad con lo dispuesto en el artículo 562</w:t>
      </w:r>
      <w:r>
        <w:rPr>
          <w:rFonts w:cs="Arial"/>
          <w:vanish/>
          <w:color w:val="000000"/>
          <w:lang w:val="es-ES"/>
        </w:rPr>
        <w:t>63</w:t>
      </w:r>
      <w:r>
        <w:rPr>
          <w:rFonts w:cs="Arial"/>
          <w:color w:val="000000"/>
          <w:lang w:val="es-ES"/>
        </w:rPr>
        <w:t xml:space="preserve"> del Estatuto Tributario.</w:t>
      </w:r>
    </w:p>
    <w:p w14:paraId="03FAF633" w14:textId="77777777" w:rsidR="00B2442D" w:rsidRDefault="00B2442D">
      <w:pPr>
        <w:autoSpaceDE w:val="0"/>
        <w:autoSpaceDN w:val="0"/>
        <w:adjustRightInd w:val="0"/>
        <w:spacing w:line="40" w:lineRule="atLeast"/>
        <w:ind w:left="720"/>
        <w:jc w:val="both"/>
        <w:rPr>
          <w:rFonts w:ascii="Arial" w:hAnsi="Arial" w:cs="Arial"/>
          <w:color w:val="000000"/>
        </w:rPr>
      </w:pPr>
    </w:p>
    <w:p w14:paraId="4DC3B09C" w14:textId="77777777" w:rsidR="00B2442D" w:rsidRDefault="008A645F">
      <w:pPr>
        <w:autoSpaceDE w:val="0"/>
        <w:autoSpaceDN w:val="0"/>
        <w:adjustRightInd w:val="0"/>
        <w:spacing w:line="40" w:lineRule="atLeast"/>
        <w:ind w:right="193"/>
        <w:jc w:val="both"/>
        <w:rPr>
          <w:rFonts w:ascii="Arial" w:hAnsi="Arial" w:cs="Arial"/>
          <w:color w:val="000000"/>
        </w:rPr>
      </w:pPr>
      <w:r>
        <w:rPr>
          <w:rFonts w:ascii="Arial" w:hAnsi="Arial" w:cs="Arial"/>
          <w:color w:val="000000"/>
        </w:rPr>
        <w:t>El plazo para presentar la declaración del impuesto sobre la renta y complementario, se inicia el 8 de marzo</w:t>
      </w:r>
      <w:r>
        <w:rPr>
          <w:rFonts w:ascii="Arial" w:hAnsi="Arial" w:cs="Arial"/>
          <w:color w:val="000000"/>
        </w:rPr>
        <w:t xml:space="preserve"> de año 2017 y vence entre el 10 y el 26 de abril del mismo año, atendiendo el último dígito del NIT del declarante que conste en el Certificado del Registro Único Tributario - RUT, sin tener en cuenta el dígito de verificación, así:</w:t>
      </w:r>
    </w:p>
    <w:p w14:paraId="675B1F58" w14:textId="77777777" w:rsidR="00B2442D" w:rsidRDefault="00B2442D">
      <w:pPr>
        <w:autoSpaceDE w:val="0"/>
        <w:autoSpaceDN w:val="0"/>
        <w:adjustRightInd w:val="0"/>
        <w:spacing w:line="40" w:lineRule="atLeast"/>
        <w:ind w:left="720" w:right="193"/>
        <w:jc w:val="both"/>
        <w:rPr>
          <w:rFonts w:ascii="Arial" w:hAnsi="Arial" w:cs="Arial"/>
          <w:color w:val="000000"/>
        </w:rPr>
      </w:pPr>
    </w:p>
    <w:p w14:paraId="2DCE6888" w14:textId="77777777" w:rsidR="00B2442D" w:rsidRDefault="008A645F">
      <w:pPr>
        <w:autoSpaceDE w:val="0"/>
        <w:autoSpaceDN w:val="0"/>
        <w:adjustRightInd w:val="0"/>
        <w:spacing w:line="40" w:lineRule="atLeast"/>
        <w:ind w:right="193"/>
        <w:jc w:val="both"/>
        <w:rPr>
          <w:rFonts w:ascii="Arial" w:hAnsi="Arial" w:cs="Arial"/>
          <w:color w:val="000000"/>
        </w:rPr>
      </w:pPr>
      <w:r>
        <w:rPr>
          <w:rFonts w:ascii="Arial" w:hAnsi="Arial" w:cs="Arial"/>
          <w:color w:val="000000"/>
        </w:rPr>
        <w:t xml:space="preserve">Estos contribuyentes </w:t>
      </w:r>
      <w:r>
        <w:rPr>
          <w:rFonts w:ascii="Arial" w:hAnsi="Arial" w:cs="Arial"/>
          <w:color w:val="000000"/>
        </w:rPr>
        <w:t>deberán cancelar el valor total del impuesto a pagar y el anticipo, en tres (3) cuotas a más tardar en las siguientes fechas:</w:t>
      </w:r>
    </w:p>
    <w:p w14:paraId="628D0305" w14:textId="77777777" w:rsidR="00B2442D" w:rsidRDefault="00B2442D">
      <w:pPr>
        <w:autoSpaceDE w:val="0"/>
        <w:autoSpaceDN w:val="0"/>
        <w:adjustRightInd w:val="0"/>
        <w:spacing w:line="40" w:lineRule="atLeast"/>
        <w:ind w:left="1440" w:right="193"/>
        <w:jc w:val="both"/>
        <w:rPr>
          <w:rFonts w:ascii="Arial" w:hAnsi="Arial" w:cs="Arial"/>
          <w:b/>
          <w:color w:val="000000"/>
        </w:rPr>
      </w:pPr>
    </w:p>
    <w:p w14:paraId="56B9B9F2" w14:textId="77777777" w:rsidR="00B2442D" w:rsidRDefault="008A645F">
      <w:pPr>
        <w:autoSpaceDE w:val="0"/>
        <w:autoSpaceDN w:val="0"/>
        <w:adjustRightInd w:val="0"/>
        <w:spacing w:line="40" w:lineRule="atLeast"/>
        <w:ind w:left="1440" w:right="193"/>
        <w:jc w:val="both"/>
        <w:rPr>
          <w:rFonts w:ascii="Arial" w:hAnsi="Arial" w:cs="Arial"/>
          <w:b/>
          <w:color w:val="000000"/>
        </w:rPr>
      </w:pPr>
      <w:r>
        <w:rPr>
          <w:rFonts w:ascii="Arial" w:hAnsi="Arial" w:cs="Arial"/>
          <w:b/>
          <w:color w:val="000000"/>
        </w:rPr>
        <w:t xml:space="preserve">                       PAGO PRIMERA CUOTA</w:t>
      </w:r>
    </w:p>
    <w:p w14:paraId="2E1F5EAB" w14:textId="77777777" w:rsidR="00B2442D" w:rsidRDefault="00B2442D">
      <w:pPr>
        <w:autoSpaceDE w:val="0"/>
        <w:autoSpaceDN w:val="0"/>
        <w:adjustRightInd w:val="0"/>
        <w:spacing w:line="40" w:lineRule="atLeast"/>
        <w:ind w:left="1440" w:right="193"/>
        <w:jc w:val="both"/>
        <w:rPr>
          <w:rFonts w:ascii="Arial" w:hAnsi="Arial" w:cs="Arial"/>
          <w:color w:val="000000"/>
        </w:rPr>
      </w:pPr>
    </w:p>
    <w:tbl>
      <w:tblPr>
        <w:tblW w:w="4219" w:type="dxa"/>
        <w:jc w:val="center"/>
        <w:tblCellMar>
          <w:left w:w="70" w:type="dxa"/>
          <w:right w:w="70" w:type="dxa"/>
        </w:tblCellMar>
        <w:tblLook w:val="04A0" w:firstRow="1" w:lastRow="0" w:firstColumn="1" w:lastColumn="0" w:noHBand="0" w:noVBand="1"/>
      </w:tblPr>
      <w:tblGrid>
        <w:gridCol w:w="1641"/>
        <w:gridCol w:w="2578"/>
      </w:tblGrid>
      <w:tr w:rsidR="00B2442D" w14:paraId="02E9719D" w14:textId="77777777">
        <w:trPr>
          <w:trHeight w:val="517"/>
          <w:tblHeader/>
          <w:jc w:val="center"/>
        </w:trPr>
        <w:tc>
          <w:tcPr>
            <w:tcW w:w="1641" w:type="dxa"/>
            <w:vMerge w:val="restart"/>
            <w:tcBorders>
              <w:top w:val="single" w:sz="4" w:space="0" w:color="auto"/>
              <w:left w:val="single" w:sz="8" w:space="0" w:color="auto"/>
              <w:bottom w:val="single" w:sz="8" w:space="0" w:color="000000"/>
              <w:right w:val="single" w:sz="8" w:space="0" w:color="auto"/>
            </w:tcBorders>
            <w:shd w:val="clear" w:color="000000" w:fill="BFBFBF"/>
            <w:vAlign w:val="center"/>
            <w:hideMark/>
          </w:tcPr>
          <w:p w14:paraId="047F933A"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578" w:type="dxa"/>
            <w:vMerge w:val="restart"/>
            <w:tcBorders>
              <w:top w:val="single" w:sz="4" w:space="0" w:color="auto"/>
              <w:left w:val="single" w:sz="8" w:space="0" w:color="auto"/>
              <w:bottom w:val="single" w:sz="8" w:space="0" w:color="000000"/>
              <w:right w:val="single" w:sz="8" w:space="0" w:color="auto"/>
            </w:tcBorders>
            <w:shd w:val="clear" w:color="000000" w:fill="BFBFBF"/>
            <w:noWrap/>
            <w:vAlign w:val="center"/>
            <w:hideMark/>
          </w:tcPr>
          <w:p w14:paraId="2D3FC807"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5C475CA7" w14:textId="77777777">
        <w:trPr>
          <w:trHeight w:val="517"/>
          <w:tblHeader/>
          <w:jc w:val="center"/>
        </w:trPr>
        <w:tc>
          <w:tcPr>
            <w:tcW w:w="1641" w:type="dxa"/>
            <w:vMerge/>
            <w:tcBorders>
              <w:top w:val="single" w:sz="8" w:space="0" w:color="auto"/>
              <w:left w:val="single" w:sz="8" w:space="0" w:color="auto"/>
              <w:bottom w:val="single" w:sz="8" w:space="0" w:color="000000"/>
              <w:right w:val="single" w:sz="8" w:space="0" w:color="auto"/>
            </w:tcBorders>
            <w:vAlign w:val="center"/>
            <w:hideMark/>
          </w:tcPr>
          <w:p w14:paraId="50B848EF" w14:textId="77777777" w:rsidR="00B2442D" w:rsidRDefault="00B2442D">
            <w:pPr>
              <w:jc w:val="both"/>
              <w:rPr>
                <w:rFonts w:ascii="Arial" w:hAnsi="Arial" w:cs="Arial"/>
                <w:b/>
                <w:bCs/>
                <w:color w:val="000000"/>
                <w:lang w:val="es-CO" w:eastAsia="es-CO"/>
              </w:rPr>
            </w:pPr>
          </w:p>
        </w:tc>
        <w:tc>
          <w:tcPr>
            <w:tcW w:w="2578" w:type="dxa"/>
            <w:vMerge/>
            <w:tcBorders>
              <w:top w:val="single" w:sz="8" w:space="0" w:color="auto"/>
              <w:left w:val="single" w:sz="8" w:space="0" w:color="auto"/>
              <w:bottom w:val="single" w:sz="8" w:space="0" w:color="000000"/>
              <w:right w:val="single" w:sz="8" w:space="0" w:color="auto"/>
            </w:tcBorders>
            <w:vAlign w:val="center"/>
            <w:hideMark/>
          </w:tcPr>
          <w:p w14:paraId="48D2DBCE" w14:textId="77777777" w:rsidR="00B2442D" w:rsidRDefault="00B2442D">
            <w:pPr>
              <w:jc w:val="both"/>
              <w:rPr>
                <w:rFonts w:ascii="Arial" w:hAnsi="Arial" w:cs="Arial"/>
                <w:b/>
                <w:bCs/>
                <w:color w:val="000000"/>
                <w:lang w:val="es-CO" w:eastAsia="es-CO"/>
              </w:rPr>
            </w:pPr>
          </w:p>
        </w:tc>
      </w:tr>
      <w:tr w:rsidR="00B2442D" w14:paraId="1E9F82C2"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38BA654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578" w:type="dxa"/>
            <w:tcBorders>
              <w:top w:val="nil"/>
              <w:left w:val="nil"/>
              <w:bottom w:val="single" w:sz="8" w:space="0" w:color="auto"/>
              <w:right w:val="single" w:sz="8" w:space="0" w:color="auto"/>
            </w:tcBorders>
            <w:shd w:val="clear" w:color="auto" w:fill="auto"/>
            <w:noWrap/>
            <w:vAlign w:val="center"/>
            <w:hideMark/>
          </w:tcPr>
          <w:p w14:paraId="61CD5E1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febrero de 2017</w:t>
            </w:r>
          </w:p>
        </w:tc>
      </w:tr>
      <w:tr w:rsidR="00B2442D" w14:paraId="5098C363"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6867FD4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578" w:type="dxa"/>
            <w:tcBorders>
              <w:top w:val="nil"/>
              <w:left w:val="nil"/>
              <w:bottom w:val="single" w:sz="8" w:space="0" w:color="auto"/>
              <w:right w:val="single" w:sz="8" w:space="0" w:color="auto"/>
            </w:tcBorders>
            <w:shd w:val="clear" w:color="auto" w:fill="auto"/>
            <w:noWrap/>
            <w:vAlign w:val="center"/>
            <w:hideMark/>
          </w:tcPr>
          <w:p w14:paraId="786B89F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9 de febrero de </w:t>
            </w:r>
            <w:r>
              <w:rPr>
                <w:rFonts w:ascii="Arial" w:hAnsi="Arial" w:cs="Arial"/>
                <w:color w:val="000000"/>
                <w:lang w:val="es-CO" w:eastAsia="es-CO"/>
              </w:rPr>
              <w:t>2017</w:t>
            </w:r>
          </w:p>
        </w:tc>
      </w:tr>
      <w:tr w:rsidR="00B2442D" w14:paraId="11581B28"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0F8C942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578" w:type="dxa"/>
            <w:tcBorders>
              <w:top w:val="nil"/>
              <w:left w:val="nil"/>
              <w:bottom w:val="single" w:sz="8" w:space="0" w:color="auto"/>
              <w:right w:val="single" w:sz="8" w:space="0" w:color="auto"/>
            </w:tcBorders>
            <w:shd w:val="clear" w:color="auto" w:fill="auto"/>
            <w:noWrap/>
            <w:vAlign w:val="center"/>
            <w:hideMark/>
          </w:tcPr>
          <w:p w14:paraId="1F1C077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febrero de 2017</w:t>
            </w:r>
          </w:p>
        </w:tc>
      </w:tr>
      <w:tr w:rsidR="00B2442D" w14:paraId="3A928F23"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7C1691B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578" w:type="dxa"/>
            <w:tcBorders>
              <w:top w:val="nil"/>
              <w:left w:val="nil"/>
              <w:bottom w:val="single" w:sz="8" w:space="0" w:color="auto"/>
              <w:right w:val="single" w:sz="8" w:space="0" w:color="auto"/>
            </w:tcBorders>
            <w:shd w:val="clear" w:color="auto" w:fill="auto"/>
            <w:noWrap/>
            <w:vAlign w:val="center"/>
            <w:hideMark/>
          </w:tcPr>
          <w:p w14:paraId="08E0FE9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febrero de 2017</w:t>
            </w:r>
          </w:p>
        </w:tc>
      </w:tr>
      <w:tr w:rsidR="00B2442D" w14:paraId="0AAB7433"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238A0DB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578" w:type="dxa"/>
            <w:tcBorders>
              <w:top w:val="nil"/>
              <w:left w:val="nil"/>
              <w:bottom w:val="single" w:sz="8" w:space="0" w:color="auto"/>
              <w:right w:val="single" w:sz="8" w:space="0" w:color="auto"/>
            </w:tcBorders>
            <w:shd w:val="clear" w:color="auto" w:fill="auto"/>
            <w:noWrap/>
            <w:vAlign w:val="center"/>
            <w:hideMark/>
          </w:tcPr>
          <w:p w14:paraId="023D748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febrero de 2017</w:t>
            </w:r>
          </w:p>
        </w:tc>
      </w:tr>
      <w:tr w:rsidR="00B2442D" w14:paraId="4430A01D"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6E957B4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578" w:type="dxa"/>
            <w:tcBorders>
              <w:top w:val="nil"/>
              <w:left w:val="nil"/>
              <w:bottom w:val="single" w:sz="8" w:space="0" w:color="auto"/>
              <w:right w:val="single" w:sz="8" w:space="0" w:color="auto"/>
            </w:tcBorders>
            <w:shd w:val="clear" w:color="auto" w:fill="auto"/>
            <w:noWrap/>
            <w:vAlign w:val="center"/>
            <w:hideMark/>
          </w:tcPr>
          <w:p w14:paraId="77A65C5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febrero de 2017</w:t>
            </w:r>
          </w:p>
        </w:tc>
      </w:tr>
      <w:tr w:rsidR="00B2442D" w14:paraId="4CE4283E"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187B48C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578" w:type="dxa"/>
            <w:tcBorders>
              <w:top w:val="nil"/>
              <w:left w:val="nil"/>
              <w:bottom w:val="single" w:sz="8" w:space="0" w:color="auto"/>
              <w:right w:val="single" w:sz="8" w:space="0" w:color="auto"/>
            </w:tcBorders>
            <w:shd w:val="clear" w:color="auto" w:fill="auto"/>
            <w:noWrap/>
            <w:vAlign w:val="center"/>
            <w:hideMark/>
          </w:tcPr>
          <w:p w14:paraId="4CA40F1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febrero de 2017</w:t>
            </w:r>
          </w:p>
        </w:tc>
      </w:tr>
      <w:tr w:rsidR="00B2442D" w14:paraId="422443DB"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67E8BD8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578" w:type="dxa"/>
            <w:tcBorders>
              <w:top w:val="nil"/>
              <w:left w:val="nil"/>
              <w:bottom w:val="single" w:sz="8" w:space="0" w:color="auto"/>
              <w:right w:val="single" w:sz="8" w:space="0" w:color="auto"/>
            </w:tcBorders>
            <w:shd w:val="clear" w:color="auto" w:fill="auto"/>
            <w:noWrap/>
            <w:vAlign w:val="center"/>
            <w:hideMark/>
          </w:tcPr>
          <w:p w14:paraId="66BB7FD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febrero de 2017</w:t>
            </w:r>
          </w:p>
        </w:tc>
      </w:tr>
      <w:tr w:rsidR="00B2442D" w14:paraId="7607ACAD"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044BFFD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578" w:type="dxa"/>
            <w:tcBorders>
              <w:top w:val="nil"/>
              <w:left w:val="nil"/>
              <w:bottom w:val="single" w:sz="8" w:space="0" w:color="auto"/>
              <w:right w:val="single" w:sz="8" w:space="0" w:color="auto"/>
            </w:tcBorders>
            <w:shd w:val="clear" w:color="auto" w:fill="auto"/>
            <w:noWrap/>
            <w:vAlign w:val="center"/>
            <w:hideMark/>
          </w:tcPr>
          <w:p w14:paraId="72A3191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febrero de 2017</w:t>
            </w:r>
          </w:p>
        </w:tc>
      </w:tr>
      <w:tr w:rsidR="00B2442D" w14:paraId="01857C61" w14:textId="77777777">
        <w:trPr>
          <w:trHeight w:val="345"/>
          <w:jc w:val="center"/>
        </w:trPr>
        <w:tc>
          <w:tcPr>
            <w:tcW w:w="1641" w:type="dxa"/>
            <w:tcBorders>
              <w:top w:val="nil"/>
              <w:left w:val="single" w:sz="8" w:space="0" w:color="auto"/>
              <w:bottom w:val="single" w:sz="8" w:space="0" w:color="auto"/>
              <w:right w:val="single" w:sz="8" w:space="0" w:color="auto"/>
            </w:tcBorders>
            <w:shd w:val="clear" w:color="auto" w:fill="auto"/>
            <w:noWrap/>
            <w:vAlign w:val="center"/>
            <w:hideMark/>
          </w:tcPr>
          <w:p w14:paraId="1F7850C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578" w:type="dxa"/>
            <w:tcBorders>
              <w:top w:val="nil"/>
              <w:left w:val="nil"/>
              <w:bottom w:val="single" w:sz="8" w:space="0" w:color="auto"/>
              <w:right w:val="single" w:sz="8" w:space="0" w:color="auto"/>
            </w:tcBorders>
            <w:shd w:val="clear" w:color="auto" w:fill="auto"/>
            <w:noWrap/>
            <w:vAlign w:val="center"/>
            <w:hideMark/>
          </w:tcPr>
          <w:p w14:paraId="65BF935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febrero de 2017</w:t>
            </w:r>
          </w:p>
        </w:tc>
      </w:tr>
    </w:tbl>
    <w:p w14:paraId="7901590C" w14:textId="77777777" w:rsidR="00B2442D" w:rsidRDefault="008A645F">
      <w:pPr>
        <w:pStyle w:val="Prrafodelista"/>
        <w:ind w:left="2148"/>
        <w:jc w:val="both"/>
        <w:rPr>
          <w:rFonts w:ascii="Arial" w:hAnsi="Arial" w:cs="Arial"/>
          <w:b/>
        </w:rPr>
      </w:pPr>
      <w:r>
        <w:rPr>
          <w:rFonts w:ascii="Arial" w:hAnsi="Arial" w:cs="Arial"/>
          <w:b/>
        </w:rPr>
        <w:t xml:space="preserve">  </w:t>
      </w:r>
    </w:p>
    <w:p w14:paraId="43C209F6" w14:textId="77777777" w:rsidR="00B2442D" w:rsidRDefault="008A645F">
      <w:pPr>
        <w:pStyle w:val="Prrafodelista"/>
        <w:ind w:left="2148"/>
        <w:jc w:val="both"/>
        <w:rPr>
          <w:rFonts w:ascii="Arial" w:hAnsi="Arial" w:cs="Arial"/>
          <w:b/>
        </w:rPr>
      </w:pPr>
      <w:r>
        <w:rPr>
          <w:rFonts w:ascii="Arial" w:hAnsi="Arial" w:cs="Arial"/>
          <w:b/>
        </w:rPr>
        <w:t>DECLARACIÓN Y PAGO SEGUNDA CUOTA</w:t>
      </w:r>
    </w:p>
    <w:p w14:paraId="0604F744" w14:textId="77777777" w:rsidR="00B2442D" w:rsidRDefault="00B2442D">
      <w:pPr>
        <w:pStyle w:val="Prrafodelista"/>
        <w:ind w:left="2148"/>
        <w:jc w:val="both"/>
        <w:rPr>
          <w:rFonts w:ascii="Arial" w:hAnsi="Arial" w:cs="Arial"/>
        </w:rPr>
      </w:pPr>
    </w:p>
    <w:tbl>
      <w:tblPr>
        <w:tblW w:w="4244" w:type="dxa"/>
        <w:jc w:val="center"/>
        <w:tblCellMar>
          <w:left w:w="70" w:type="dxa"/>
          <w:right w:w="70" w:type="dxa"/>
        </w:tblCellMar>
        <w:tblLook w:val="04A0" w:firstRow="1" w:lastRow="0" w:firstColumn="1" w:lastColumn="0" w:noHBand="0" w:noVBand="1"/>
      </w:tblPr>
      <w:tblGrid>
        <w:gridCol w:w="1672"/>
        <w:gridCol w:w="20"/>
        <w:gridCol w:w="2532"/>
        <w:gridCol w:w="20"/>
      </w:tblGrid>
      <w:tr w:rsidR="00B2442D" w14:paraId="5B51E340" w14:textId="77777777">
        <w:trPr>
          <w:trHeight w:val="345"/>
          <w:tblHeader/>
          <w:jc w:val="center"/>
        </w:trPr>
        <w:tc>
          <w:tcPr>
            <w:tcW w:w="1692" w:type="dxa"/>
            <w:gridSpan w:val="2"/>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078E9777"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 xml:space="preserve">Si el </w:t>
            </w:r>
            <w:r>
              <w:rPr>
                <w:rFonts w:ascii="Arial" w:hAnsi="Arial" w:cs="Arial"/>
                <w:b/>
                <w:bCs/>
                <w:color w:val="000000"/>
                <w:lang w:val="es-CO" w:eastAsia="es-CO"/>
              </w:rPr>
              <w:t>último dígito es</w:t>
            </w:r>
          </w:p>
        </w:tc>
        <w:tc>
          <w:tcPr>
            <w:tcW w:w="2552" w:type="dxa"/>
            <w:gridSpan w:val="2"/>
            <w:tcBorders>
              <w:top w:val="single" w:sz="8" w:space="0" w:color="auto"/>
              <w:left w:val="nil"/>
              <w:bottom w:val="nil"/>
              <w:right w:val="single" w:sz="8" w:space="0" w:color="auto"/>
            </w:tcBorders>
            <w:shd w:val="clear" w:color="000000" w:fill="BFBFBF"/>
            <w:noWrap/>
            <w:vAlign w:val="center"/>
            <w:hideMark/>
          </w:tcPr>
          <w:p w14:paraId="045566B5"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576A2F3A" w14:textId="77777777">
        <w:trPr>
          <w:gridAfter w:val="1"/>
          <w:wAfter w:w="20" w:type="dxa"/>
          <w:trHeight w:val="315"/>
          <w:tblHeader/>
          <w:jc w:val="center"/>
        </w:trPr>
        <w:tc>
          <w:tcPr>
            <w:tcW w:w="1692" w:type="dxa"/>
            <w:gridSpan w:val="2"/>
            <w:vMerge/>
            <w:tcBorders>
              <w:top w:val="single" w:sz="8" w:space="0" w:color="auto"/>
              <w:left w:val="single" w:sz="8" w:space="0" w:color="auto"/>
              <w:bottom w:val="single" w:sz="8" w:space="0" w:color="000000"/>
              <w:right w:val="single" w:sz="8" w:space="0" w:color="auto"/>
            </w:tcBorders>
            <w:vAlign w:val="center"/>
            <w:hideMark/>
          </w:tcPr>
          <w:p w14:paraId="6F88029C" w14:textId="77777777" w:rsidR="00B2442D" w:rsidRDefault="00B2442D">
            <w:pPr>
              <w:jc w:val="both"/>
              <w:rPr>
                <w:rFonts w:ascii="Arial" w:hAnsi="Arial" w:cs="Arial"/>
                <w:b/>
                <w:bCs/>
                <w:color w:val="000000"/>
                <w:lang w:val="es-CO" w:eastAsia="es-CO"/>
              </w:rPr>
            </w:pPr>
          </w:p>
        </w:tc>
        <w:tc>
          <w:tcPr>
            <w:tcW w:w="2532" w:type="dxa"/>
            <w:tcBorders>
              <w:top w:val="nil"/>
              <w:left w:val="nil"/>
              <w:bottom w:val="single" w:sz="8" w:space="0" w:color="auto"/>
              <w:right w:val="single" w:sz="8" w:space="0" w:color="auto"/>
            </w:tcBorders>
            <w:shd w:val="clear" w:color="000000" w:fill="BFBFBF"/>
            <w:noWrap/>
            <w:vAlign w:val="center"/>
            <w:hideMark/>
          </w:tcPr>
          <w:p w14:paraId="4FD91E3F"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 </w:t>
            </w:r>
          </w:p>
        </w:tc>
      </w:tr>
      <w:tr w:rsidR="00B2442D" w14:paraId="20A93B2E"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1FA2A3D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3D73DB1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abril de 2017</w:t>
            </w:r>
          </w:p>
        </w:tc>
      </w:tr>
      <w:tr w:rsidR="00B2442D" w14:paraId="67CBE752"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1750192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76E26F1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abril de 2017</w:t>
            </w:r>
          </w:p>
        </w:tc>
      </w:tr>
      <w:tr w:rsidR="00B2442D" w14:paraId="187EFFE2"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1476104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105B455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abril de 2017</w:t>
            </w:r>
          </w:p>
        </w:tc>
      </w:tr>
      <w:tr w:rsidR="00B2442D" w14:paraId="0C9D7C00"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5B2B313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230B894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abril de 2017</w:t>
            </w:r>
          </w:p>
        </w:tc>
      </w:tr>
      <w:tr w:rsidR="00B2442D" w14:paraId="15968F3C"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10AAC95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02FBEBE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abril de 2017</w:t>
            </w:r>
          </w:p>
        </w:tc>
      </w:tr>
      <w:tr w:rsidR="00B2442D" w14:paraId="2725C8E6"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4C01A3C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75F3DB0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abril de 2017</w:t>
            </w:r>
          </w:p>
        </w:tc>
      </w:tr>
      <w:tr w:rsidR="00B2442D" w14:paraId="43754DA3"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6F98EC0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58A4C06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abril de 2017</w:t>
            </w:r>
          </w:p>
        </w:tc>
      </w:tr>
      <w:tr w:rsidR="00B2442D" w14:paraId="55AC7E29"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06303E7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03D9CD7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24 de abril de 2017</w:t>
            </w:r>
          </w:p>
        </w:tc>
      </w:tr>
      <w:tr w:rsidR="00B2442D" w14:paraId="2E320CEF"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5570D79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650C916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25 de abril de 2017</w:t>
            </w:r>
          </w:p>
        </w:tc>
      </w:tr>
      <w:tr w:rsidR="00B2442D" w14:paraId="7FAE0379" w14:textId="77777777">
        <w:trPr>
          <w:trHeight w:val="345"/>
          <w:jc w:val="center"/>
        </w:trPr>
        <w:tc>
          <w:tcPr>
            <w:tcW w:w="1692" w:type="dxa"/>
            <w:gridSpan w:val="2"/>
            <w:tcBorders>
              <w:top w:val="nil"/>
              <w:left w:val="single" w:sz="8" w:space="0" w:color="auto"/>
              <w:bottom w:val="single" w:sz="8" w:space="0" w:color="auto"/>
              <w:right w:val="single" w:sz="8" w:space="0" w:color="auto"/>
            </w:tcBorders>
            <w:shd w:val="clear" w:color="auto" w:fill="auto"/>
            <w:noWrap/>
            <w:vAlign w:val="center"/>
            <w:hideMark/>
          </w:tcPr>
          <w:p w14:paraId="5126E65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5C60912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26 de </w:t>
            </w:r>
            <w:r>
              <w:rPr>
                <w:rFonts w:ascii="Arial" w:hAnsi="Arial" w:cs="Arial"/>
                <w:color w:val="000000"/>
                <w:lang w:val="es-CO" w:eastAsia="es-CO"/>
              </w:rPr>
              <w:t>abril de 2017</w:t>
            </w:r>
          </w:p>
        </w:tc>
      </w:tr>
      <w:tr w:rsidR="00B2442D" w14:paraId="74C63394" w14:textId="77777777">
        <w:trPr>
          <w:gridAfter w:val="1"/>
          <w:wAfter w:w="20" w:type="dxa"/>
          <w:trHeight w:val="525"/>
          <w:jc w:val="center"/>
        </w:trPr>
        <w:tc>
          <w:tcPr>
            <w:tcW w:w="4224" w:type="dxa"/>
            <w:gridSpan w:val="3"/>
            <w:tcBorders>
              <w:top w:val="nil"/>
              <w:left w:val="nil"/>
              <w:bottom w:val="nil"/>
              <w:right w:val="nil"/>
            </w:tcBorders>
            <w:shd w:val="clear" w:color="auto" w:fill="auto"/>
            <w:vAlign w:val="center"/>
            <w:hideMark/>
          </w:tcPr>
          <w:p w14:paraId="51C82587" w14:textId="77777777" w:rsidR="00B2442D" w:rsidRDefault="00B2442D">
            <w:pPr>
              <w:jc w:val="both"/>
              <w:rPr>
                <w:rFonts w:ascii="Arial" w:hAnsi="Arial" w:cs="Arial"/>
                <w:b/>
                <w:bCs/>
                <w:color w:val="000000"/>
                <w:lang w:val="es-CO" w:eastAsia="es-CO"/>
              </w:rPr>
            </w:pPr>
          </w:p>
          <w:p w14:paraId="06548D87"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PAGO TERCERA CUOTA</w:t>
            </w:r>
          </w:p>
        </w:tc>
      </w:tr>
      <w:tr w:rsidR="00B2442D" w14:paraId="4E8C39CA" w14:textId="77777777">
        <w:trPr>
          <w:gridAfter w:val="1"/>
          <w:wAfter w:w="20" w:type="dxa"/>
          <w:trHeight w:val="315"/>
          <w:jc w:val="center"/>
        </w:trPr>
        <w:tc>
          <w:tcPr>
            <w:tcW w:w="1672" w:type="dxa"/>
            <w:tcBorders>
              <w:top w:val="nil"/>
              <w:left w:val="nil"/>
              <w:bottom w:val="nil"/>
              <w:right w:val="nil"/>
            </w:tcBorders>
            <w:shd w:val="clear" w:color="auto" w:fill="auto"/>
            <w:noWrap/>
            <w:vAlign w:val="center"/>
            <w:hideMark/>
          </w:tcPr>
          <w:p w14:paraId="72B5B62A" w14:textId="77777777" w:rsidR="00B2442D" w:rsidRDefault="00B2442D">
            <w:pPr>
              <w:jc w:val="both"/>
              <w:rPr>
                <w:rFonts w:ascii="Arial" w:hAnsi="Arial" w:cs="Arial"/>
                <w:b/>
                <w:bCs/>
                <w:color w:val="000000"/>
                <w:lang w:val="es-CO" w:eastAsia="es-CO"/>
              </w:rPr>
            </w:pPr>
          </w:p>
        </w:tc>
        <w:tc>
          <w:tcPr>
            <w:tcW w:w="2552" w:type="dxa"/>
            <w:gridSpan w:val="2"/>
            <w:tcBorders>
              <w:top w:val="nil"/>
              <w:left w:val="nil"/>
              <w:bottom w:val="single" w:sz="4" w:space="0" w:color="auto"/>
              <w:right w:val="nil"/>
            </w:tcBorders>
            <w:shd w:val="clear" w:color="auto" w:fill="auto"/>
            <w:noWrap/>
            <w:vAlign w:val="bottom"/>
            <w:hideMark/>
          </w:tcPr>
          <w:p w14:paraId="401A5DC6" w14:textId="77777777" w:rsidR="00B2442D" w:rsidRDefault="00B2442D">
            <w:pPr>
              <w:jc w:val="both"/>
              <w:rPr>
                <w:rFonts w:ascii="Arial" w:hAnsi="Arial" w:cs="Arial"/>
                <w:lang w:val="es-CO" w:eastAsia="es-CO"/>
              </w:rPr>
            </w:pPr>
          </w:p>
        </w:tc>
      </w:tr>
      <w:tr w:rsidR="00B2442D" w14:paraId="095BF4C0" w14:textId="77777777">
        <w:trPr>
          <w:gridAfter w:val="1"/>
          <w:wAfter w:w="20" w:type="dxa"/>
          <w:trHeight w:val="680"/>
          <w:jc w:val="center"/>
        </w:trPr>
        <w:tc>
          <w:tcPr>
            <w:tcW w:w="1672" w:type="dxa"/>
            <w:tcBorders>
              <w:top w:val="single" w:sz="8" w:space="0" w:color="auto"/>
              <w:left w:val="single" w:sz="8" w:space="0" w:color="auto"/>
              <w:bottom w:val="single" w:sz="8" w:space="0" w:color="000000"/>
              <w:right w:val="single" w:sz="4" w:space="0" w:color="auto"/>
            </w:tcBorders>
            <w:shd w:val="clear" w:color="000000" w:fill="BFBFBF"/>
            <w:vAlign w:val="center"/>
            <w:hideMark/>
          </w:tcPr>
          <w:p w14:paraId="7491D172"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1D052B"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2479EE71"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27C9311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2552" w:type="dxa"/>
            <w:gridSpan w:val="2"/>
            <w:tcBorders>
              <w:top w:val="single" w:sz="4" w:space="0" w:color="auto"/>
              <w:left w:val="nil"/>
              <w:bottom w:val="single" w:sz="8" w:space="0" w:color="auto"/>
              <w:right w:val="single" w:sz="8" w:space="0" w:color="auto"/>
            </w:tcBorders>
            <w:shd w:val="clear" w:color="auto" w:fill="auto"/>
            <w:noWrap/>
            <w:vAlign w:val="center"/>
            <w:hideMark/>
          </w:tcPr>
          <w:p w14:paraId="6C6CC97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junio de 2017</w:t>
            </w:r>
          </w:p>
        </w:tc>
      </w:tr>
      <w:tr w:rsidR="00B2442D" w14:paraId="49D6B1D6"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74BD239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170C319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junio de 2017</w:t>
            </w:r>
          </w:p>
        </w:tc>
      </w:tr>
      <w:tr w:rsidR="00B2442D" w14:paraId="22E81C8C"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4C714BF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317CFC4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junio de 2017</w:t>
            </w:r>
          </w:p>
        </w:tc>
      </w:tr>
      <w:tr w:rsidR="00B2442D" w14:paraId="517673B7"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3D9BE30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206157E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junio de 2017</w:t>
            </w:r>
          </w:p>
        </w:tc>
      </w:tr>
      <w:tr w:rsidR="00B2442D" w14:paraId="65C68FC4"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484206C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280BBFB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junio de 2017</w:t>
            </w:r>
          </w:p>
        </w:tc>
      </w:tr>
      <w:tr w:rsidR="00B2442D" w14:paraId="0945C510" w14:textId="77777777">
        <w:trPr>
          <w:gridAfter w:val="1"/>
          <w:wAfter w:w="20" w:type="dxa"/>
          <w:trHeight w:val="345"/>
          <w:jc w:val="center"/>
        </w:trPr>
        <w:tc>
          <w:tcPr>
            <w:tcW w:w="167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0D864C9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2552" w:type="dxa"/>
            <w:gridSpan w:val="2"/>
            <w:tcBorders>
              <w:top w:val="single" w:sz="4" w:space="0" w:color="auto"/>
              <w:left w:val="nil"/>
              <w:bottom w:val="single" w:sz="8" w:space="0" w:color="auto"/>
              <w:right w:val="single" w:sz="8" w:space="0" w:color="auto"/>
            </w:tcBorders>
            <w:shd w:val="clear" w:color="auto" w:fill="auto"/>
            <w:noWrap/>
            <w:vAlign w:val="center"/>
            <w:hideMark/>
          </w:tcPr>
          <w:p w14:paraId="7433FB8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junio de 2017</w:t>
            </w:r>
          </w:p>
        </w:tc>
      </w:tr>
      <w:tr w:rsidR="00B2442D" w14:paraId="5108A679"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54A5A7E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7226AEB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junio de 2017</w:t>
            </w:r>
          </w:p>
        </w:tc>
      </w:tr>
      <w:tr w:rsidR="00B2442D" w14:paraId="4D930066"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53E758A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6D400F2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20 de junio de </w:t>
            </w:r>
            <w:r>
              <w:rPr>
                <w:rFonts w:ascii="Arial" w:hAnsi="Arial" w:cs="Arial"/>
                <w:color w:val="000000"/>
                <w:lang w:val="es-CO" w:eastAsia="es-CO"/>
              </w:rPr>
              <w:t>2017</w:t>
            </w:r>
          </w:p>
        </w:tc>
      </w:tr>
      <w:tr w:rsidR="00B2442D" w14:paraId="46B3403B"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1B8314C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0EC2152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junio de 2017</w:t>
            </w:r>
          </w:p>
        </w:tc>
      </w:tr>
      <w:tr w:rsidR="00B2442D" w14:paraId="54F04C99" w14:textId="77777777">
        <w:trPr>
          <w:gridAfter w:val="1"/>
          <w:wAfter w:w="20" w:type="dxa"/>
          <w:trHeight w:val="345"/>
          <w:jc w:val="center"/>
        </w:trPr>
        <w:tc>
          <w:tcPr>
            <w:tcW w:w="1672" w:type="dxa"/>
            <w:tcBorders>
              <w:top w:val="nil"/>
              <w:left w:val="single" w:sz="8" w:space="0" w:color="auto"/>
              <w:bottom w:val="single" w:sz="8" w:space="0" w:color="auto"/>
              <w:right w:val="single" w:sz="8" w:space="0" w:color="auto"/>
            </w:tcBorders>
            <w:shd w:val="clear" w:color="auto" w:fill="auto"/>
            <w:noWrap/>
            <w:vAlign w:val="center"/>
          </w:tcPr>
          <w:p w14:paraId="65B3EBF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2552" w:type="dxa"/>
            <w:gridSpan w:val="2"/>
            <w:tcBorders>
              <w:top w:val="nil"/>
              <w:left w:val="nil"/>
              <w:bottom w:val="single" w:sz="8" w:space="0" w:color="auto"/>
              <w:right w:val="single" w:sz="8" w:space="0" w:color="auto"/>
            </w:tcBorders>
            <w:shd w:val="clear" w:color="auto" w:fill="auto"/>
            <w:noWrap/>
            <w:vAlign w:val="center"/>
            <w:hideMark/>
          </w:tcPr>
          <w:p w14:paraId="426FC54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junio de 2017</w:t>
            </w:r>
          </w:p>
        </w:tc>
      </w:tr>
    </w:tbl>
    <w:p w14:paraId="21B76393" w14:textId="77777777" w:rsidR="00B2442D" w:rsidRDefault="00B2442D">
      <w:pPr>
        <w:tabs>
          <w:tab w:val="left" w:pos="144"/>
        </w:tabs>
        <w:autoSpaceDE w:val="0"/>
        <w:autoSpaceDN w:val="0"/>
        <w:adjustRightInd w:val="0"/>
        <w:spacing w:line="40" w:lineRule="atLeast"/>
        <w:ind w:left="1440"/>
        <w:jc w:val="both"/>
        <w:rPr>
          <w:rFonts w:ascii="Arial" w:hAnsi="Arial" w:cs="Arial"/>
          <w:b/>
          <w:bCs/>
          <w:color w:val="000000"/>
        </w:rPr>
      </w:pPr>
    </w:p>
    <w:p w14:paraId="1373B7A7" w14:textId="77777777" w:rsidR="00B2442D" w:rsidRDefault="008A645F">
      <w:pPr>
        <w:tabs>
          <w:tab w:val="left" w:pos="144"/>
        </w:tabs>
        <w:autoSpaceDE w:val="0"/>
        <w:autoSpaceDN w:val="0"/>
        <w:adjustRightInd w:val="0"/>
        <w:spacing w:line="40" w:lineRule="atLeast"/>
        <w:jc w:val="both"/>
        <w:rPr>
          <w:rFonts w:ascii="Arial" w:hAnsi="Arial" w:cs="Arial"/>
          <w:color w:val="000000"/>
        </w:rPr>
      </w:pPr>
      <w:r>
        <w:rPr>
          <w:rFonts w:ascii="Arial" w:hAnsi="Arial" w:cs="Arial"/>
          <w:b/>
          <w:bCs/>
          <w:color w:val="000000"/>
        </w:rPr>
        <w:t>Parágrafo</w:t>
      </w:r>
      <w:r>
        <w:rPr>
          <w:rFonts w:ascii="Arial" w:hAnsi="Arial" w:cs="Arial"/>
          <w:b/>
          <w:color w:val="000080"/>
        </w:rPr>
        <w:t>.</w:t>
      </w:r>
      <w:r>
        <w:rPr>
          <w:rFonts w:ascii="Arial" w:hAnsi="Arial" w:cs="Arial"/>
          <w:color w:val="000000"/>
        </w:rPr>
        <w:t xml:space="preserve"> El valor de la primera cuota no podrá ser inferior al 20% del saldo a pagar del año </w:t>
      </w:r>
      <w:r>
        <w:rPr>
          <w:rFonts w:ascii="Arial" w:hAnsi="Arial" w:cs="Arial"/>
        </w:rPr>
        <w:t>gravable 2015. Una</w:t>
      </w:r>
      <w:r>
        <w:rPr>
          <w:rFonts w:ascii="Arial" w:hAnsi="Arial" w:cs="Arial"/>
          <w:color w:val="000000"/>
        </w:rPr>
        <w:t xml:space="preserve"> vez liquidado el impuesto, el anticipo y el anticipo de la sobretasa en la respectiva declaración, del valor a pagar, se restará lo pagado en la primera cuota y el saldo se cancelará de la siguiente manera, de acuerdo con la cuota de pago así:</w:t>
      </w:r>
    </w:p>
    <w:p w14:paraId="59592C73" w14:textId="77777777" w:rsidR="00B2442D" w:rsidRDefault="00B2442D">
      <w:pPr>
        <w:pStyle w:val="Prrafodelista"/>
        <w:jc w:val="both"/>
        <w:rPr>
          <w:rFonts w:ascii="Arial" w:hAnsi="Arial" w:cs="Arial"/>
        </w:rPr>
      </w:pPr>
    </w:p>
    <w:p w14:paraId="4D0B2D1D" w14:textId="77777777" w:rsidR="00B2442D" w:rsidRDefault="008A645F">
      <w:pPr>
        <w:tabs>
          <w:tab w:val="left" w:pos="144"/>
        </w:tabs>
        <w:autoSpaceDE w:val="0"/>
        <w:autoSpaceDN w:val="0"/>
        <w:adjustRightInd w:val="0"/>
        <w:spacing w:line="40" w:lineRule="atLeast"/>
        <w:jc w:val="both"/>
        <w:rPr>
          <w:rFonts w:ascii="Arial" w:hAnsi="Arial" w:cs="Arial"/>
          <w:b/>
          <w:bCs/>
          <w:color w:val="000000"/>
        </w:rPr>
      </w:pPr>
      <w:r>
        <w:rPr>
          <w:rFonts w:ascii="Arial" w:hAnsi="Arial" w:cs="Arial"/>
          <w:b/>
          <w:bCs/>
          <w:color w:val="000000"/>
        </w:rPr>
        <w:t xml:space="preserve">DECLARACIÓN Y PAGO </w:t>
      </w:r>
    </w:p>
    <w:p w14:paraId="40CE9C9C" w14:textId="77777777" w:rsidR="00B2442D" w:rsidRDefault="00B2442D">
      <w:pPr>
        <w:tabs>
          <w:tab w:val="left" w:pos="144"/>
        </w:tabs>
        <w:autoSpaceDE w:val="0"/>
        <w:autoSpaceDN w:val="0"/>
        <w:adjustRightInd w:val="0"/>
        <w:spacing w:line="40" w:lineRule="atLeast"/>
        <w:ind w:left="720"/>
        <w:jc w:val="both"/>
        <w:rPr>
          <w:rFonts w:ascii="Arial" w:hAnsi="Arial" w:cs="Arial"/>
          <w:bCs/>
          <w:color w:val="000000"/>
        </w:rPr>
      </w:pPr>
    </w:p>
    <w:p w14:paraId="515AD5CD" w14:textId="77777777" w:rsidR="00B2442D" w:rsidRDefault="008A645F">
      <w:pPr>
        <w:tabs>
          <w:tab w:val="left" w:pos="144"/>
        </w:tabs>
        <w:autoSpaceDE w:val="0"/>
        <w:autoSpaceDN w:val="0"/>
        <w:adjustRightInd w:val="0"/>
        <w:spacing w:line="40" w:lineRule="atLeast"/>
        <w:jc w:val="both"/>
        <w:rPr>
          <w:rFonts w:ascii="Arial" w:hAnsi="Arial" w:cs="Arial"/>
          <w:bCs/>
          <w:color w:val="000000"/>
        </w:rPr>
      </w:pPr>
      <w:r>
        <w:rPr>
          <w:rFonts w:ascii="Arial" w:hAnsi="Arial" w:cs="Arial"/>
          <w:bCs/>
          <w:color w:val="000000"/>
        </w:rPr>
        <w:t xml:space="preserve">SEGUNDA CUOTA 50% </w:t>
      </w:r>
    </w:p>
    <w:p w14:paraId="24C8FE1A" w14:textId="77777777" w:rsidR="00B2442D" w:rsidRDefault="008A645F">
      <w:pPr>
        <w:tabs>
          <w:tab w:val="left" w:pos="144"/>
        </w:tabs>
        <w:autoSpaceDE w:val="0"/>
        <w:autoSpaceDN w:val="0"/>
        <w:adjustRightInd w:val="0"/>
        <w:spacing w:line="40" w:lineRule="atLeast"/>
        <w:jc w:val="both"/>
        <w:rPr>
          <w:rFonts w:ascii="Arial" w:hAnsi="Arial" w:cs="Arial"/>
          <w:bCs/>
          <w:color w:val="000000"/>
        </w:rPr>
      </w:pPr>
      <w:r>
        <w:rPr>
          <w:rFonts w:ascii="Arial" w:hAnsi="Arial" w:cs="Arial"/>
          <w:bCs/>
          <w:color w:val="000000"/>
        </w:rPr>
        <w:t xml:space="preserve">PAGO TERCERA CUOTA 50% </w:t>
      </w:r>
    </w:p>
    <w:p w14:paraId="4DC9031C" w14:textId="77777777" w:rsidR="00B2442D" w:rsidRDefault="00B2442D">
      <w:pPr>
        <w:tabs>
          <w:tab w:val="left" w:pos="144"/>
        </w:tabs>
        <w:autoSpaceDE w:val="0"/>
        <w:autoSpaceDN w:val="0"/>
        <w:adjustRightInd w:val="0"/>
        <w:spacing w:line="40" w:lineRule="atLeast"/>
        <w:ind w:left="720"/>
        <w:jc w:val="both"/>
        <w:rPr>
          <w:rFonts w:ascii="Arial" w:hAnsi="Arial" w:cs="Arial"/>
          <w:bCs/>
          <w:color w:val="000000"/>
        </w:rPr>
      </w:pPr>
    </w:p>
    <w:p w14:paraId="338936F1" w14:textId="77777777" w:rsidR="00B2442D" w:rsidRDefault="008A645F">
      <w:pPr>
        <w:tabs>
          <w:tab w:val="left" w:pos="144"/>
        </w:tabs>
        <w:autoSpaceDE w:val="0"/>
        <w:autoSpaceDN w:val="0"/>
        <w:adjustRightInd w:val="0"/>
        <w:spacing w:line="40" w:lineRule="atLeast"/>
        <w:jc w:val="both"/>
        <w:rPr>
          <w:rFonts w:ascii="Arial" w:hAnsi="Arial" w:cs="Arial"/>
          <w:bCs/>
          <w:color w:val="000000"/>
        </w:rPr>
      </w:pPr>
      <w:r>
        <w:rPr>
          <w:rFonts w:ascii="Arial" w:hAnsi="Arial" w:cs="Arial"/>
          <w:bCs/>
          <w:color w:val="000000"/>
        </w:rPr>
        <w:t>No obstante, cuando al momento del pago de la primera cuota ya se haya elaborado la declaración y se tenga por cierto que por el año gravable 2016 arroja saldo a favor, podrá el contribuyente</w:t>
      </w:r>
      <w:r>
        <w:rPr>
          <w:rFonts w:ascii="Arial" w:hAnsi="Arial" w:cs="Arial"/>
          <w:bCs/>
          <w:color w:val="000000"/>
        </w:rPr>
        <w:t xml:space="preserve"> no efectuar el pago de la primera cuota aquí señalada, siendo de su entera responsabilidad si posteriormente al momento de la presentación se genere un saldo a pagar. </w:t>
      </w:r>
    </w:p>
    <w:p w14:paraId="320D995D" w14:textId="77777777" w:rsidR="00B2442D" w:rsidRDefault="00B2442D">
      <w:pPr>
        <w:tabs>
          <w:tab w:val="left" w:pos="144"/>
        </w:tabs>
        <w:autoSpaceDE w:val="0"/>
        <w:autoSpaceDN w:val="0"/>
        <w:adjustRightInd w:val="0"/>
        <w:spacing w:line="40" w:lineRule="atLeast"/>
        <w:ind w:left="720"/>
        <w:rPr>
          <w:rFonts w:ascii="Arial" w:hAnsi="Arial" w:cs="Arial"/>
          <w:bCs/>
          <w:color w:val="000000"/>
        </w:rPr>
      </w:pPr>
    </w:p>
    <w:p w14:paraId="4EC14825"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44" w:history="1">
        <w:r>
          <w:rPr>
            <w:rStyle w:val="Hipervnculo"/>
            <w:rFonts w:ascii="Arial" w:hAnsi="Arial" w:cs="Arial"/>
            <w:i/>
          </w:rPr>
          <w:t>Art. 1 Decreto 220 de 2017</w:t>
        </w:r>
      </w:hyperlink>
      <w:r>
        <w:rPr>
          <w:rFonts w:ascii="Arial" w:hAnsi="Arial" w:cs="Arial"/>
          <w:i/>
        </w:rPr>
        <w:t xml:space="preserve"> modifica el </w:t>
      </w:r>
      <w:hyperlink r:id="rId45" w:history="1">
        <w:r>
          <w:rPr>
            <w:rStyle w:val="Hipervnculo"/>
            <w:rFonts w:ascii="Arial" w:hAnsi="Arial" w:cs="Arial"/>
            <w:i/>
          </w:rPr>
          <w:t>Art. 6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w:t>
      </w:r>
      <w:r>
        <w:rPr>
          <w:rFonts w:ascii="Arial" w:hAnsi="Arial" w:cs="Arial"/>
          <w:i/>
          <w:iCs/>
          <w:vanish/>
          <w:color w:val="000000"/>
          <w:lang w:val="es-CO" w:eastAsia="es-CO"/>
        </w:rPr>
        <w:t>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67F99898" w14:textId="77777777" w:rsidR="00B2442D" w:rsidRDefault="00B2442D">
      <w:pPr>
        <w:spacing w:line="40" w:lineRule="atLeast"/>
        <w:ind w:right="-30"/>
        <w:jc w:val="both"/>
        <w:rPr>
          <w:rFonts w:ascii="Arial" w:hAnsi="Arial" w:cs="Arial"/>
          <w:lang w:val="es-CO"/>
        </w:rPr>
      </w:pPr>
    </w:p>
    <w:p w14:paraId="6D5FE14C" w14:textId="77777777" w:rsidR="00B2442D" w:rsidRDefault="00B2442D">
      <w:pPr>
        <w:spacing w:line="40" w:lineRule="atLeast"/>
        <w:ind w:right="-30"/>
        <w:jc w:val="both"/>
        <w:rPr>
          <w:rFonts w:ascii="Arial" w:hAnsi="Arial" w:cs="Arial"/>
          <w:lang w:val="es-CO"/>
        </w:rPr>
      </w:pPr>
    </w:p>
    <w:p w14:paraId="125317E6" w14:textId="77777777" w:rsidR="00B2442D" w:rsidRDefault="008A645F">
      <w:pPr>
        <w:pStyle w:val="Prrafodelista"/>
        <w:numPr>
          <w:ilvl w:val="0"/>
          <w:numId w:val="152"/>
        </w:numPr>
        <w:tabs>
          <w:tab w:val="left" w:pos="1659"/>
        </w:tabs>
        <w:spacing w:line="40" w:lineRule="atLeast"/>
        <w:ind w:left="0" w:right="-30" w:firstLine="0"/>
        <w:jc w:val="both"/>
        <w:rPr>
          <w:rFonts w:ascii="Arial" w:hAnsi="Arial" w:cs="Arial"/>
          <w:lang w:val="es-CO"/>
        </w:rPr>
      </w:pPr>
      <w:r>
        <w:rPr>
          <w:rFonts w:ascii="Arial" w:eastAsia="Arial" w:hAnsi="Arial" w:cs="Arial"/>
          <w:b/>
          <w:w w:val="105"/>
          <w:lang w:val="es-CO"/>
        </w:rPr>
        <w:t xml:space="preserve"> </w:t>
      </w:r>
      <w:r>
        <w:rPr>
          <w:rFonts w:ascii="Arial" w:eastAsia="Arial" w:hAnsi="Arial" w:cs="Arial"/>
          <w:b/>
          <w:i/>
          <w:w w:val="105"/>
          <w:lang w:val="es-CO"/>
        </w:rPr>
        <w:t>Personas</w:t>
      </w:r>
      <w:r>
        <w:rPr>
          <w:rFonts w:ascii="Arial" w:eastAsia="Arial" w:hAnsi="Arial" w:cs="Arial"/>
          <w:b/>
          <w:i/>
          <w:spacing w:val="22"/>
          <w:w w:val="105"/>
          <w:lang w:val="es-CO"/>
        </w:rPr>
        <w:t xml:space="preserve"> </w:t>
      </w:r>
      <w:r>
        <w:rPr>
          <w:rFonts w:ascii="Arial" w:eastAsia="Arial" w:hAnsi="Arial" w:cs="Arial"/>
          <w:b/>
          <w:i/>
          <w:w w:val="105"/>
          <w:lang w:val="es-CO"/>
        </w:rPr>
        <w:t>jurídicas</w:t>
      </w:r>
      <w:r>
        <w:rPr>
          <w:rFonts w:ascii="Arial" w:eastAsia="Arial" w:hAnsi="Arial" w:cs="Arial"/>
          <w:b/>
          <w:i/>
          <w:spacing w:val="27"/>
          <w:w w:val="105"/>
          <w:lang w:val="es-CO"/>
        </w:rPr>
        <w:t xml:space="preserve"> </w:t>
      </w:r>
      <w:r>
        <w:rPr>
          <w:rFonts w:ascii="Arial" w:eastAsia="Arial" w:hAnsi="Arial" w:cs="Arial"/>
          <w:b/>
          <w:i/>
          <w:w w:val="105"/>
          <w:lang w:val="es-CO"/>
        </w:rPr>
        <w:t>y</w:t>
      </w:r>
      <w:r>
        <w:rPr>
          <w:rFonts w:ascii="Arial" w:eastAsia="Arial" w:hAnsi="Arial" w:cs="Arial"/>
          <w:b/>
          <w:i/>
          <w:spacing w:val="18"/>
          <w:w w:val="105"/>
          <w:lang w:val="es-CO"/>
        </w:rPr>
        <w:t xml:space="preserve"> </w:t>
      </w:r>
      <w:r>
        <w:rPr>
          <w:rFonts w:ascii="Arial" w:eastAsia="Arial" w:hAnsi="Arial" w:cs="Arial"/>
          <w:b/>
          <w:i/>
          <w:w w:val="105"/>
          <w:lang w:val="es-CO"/>
        </w:rPr>
        <w:t>demás</w:t>
      </w:r>
      <w:r>
        <w:rPr>
          <w:rFonts w:ascii="Arial" w:eastAsia="Arial" w:hAnsi="Arial" w:cs="Arial"/>
          <w:b/>
          <w:i/>
          <w:spacing w:val="11"/>
          <w:w w:val="105"/>
          <w:lang w:val="es-CO"/>
        </w:rPr>
        <w:t xml:space="preserve"> </w:t>
      </w:r>
      <w:r>
        <w:rPr>
          <w:rFonts w:ascii="Arial" w:eastAsia="Arial" w:hAnsi="Arial" w:cs="Arial"/>
          <w:b/>
          <w:i/>
          <w:w w:val="105"/>
          <w:lang w:val="es-CO"/>
        </w:rPr>
        <w:t>contribuyentes.</w:t>
      </w:r>
      <w:r>
        <w:rPr>
          <w:rFonts w:ascii="Arial" w:eastAsia="Arial" w:hAnsi="Arial" w:cs="Arial"/>
          <w:b/>
          <w:i/>
          <w:w w:val="104"/>
          <w:lang w:val="es-CO"/>
        </w:rPr>
        <w:t xml:space="preserve"> </w:t>
      </w:r>
      <w:r>
        <w:rPr>
          <w:rFonts w:ascii="Arial" w:eastAsia="Arial" w:hAnsi="Arial" w:cs="Arial"/>
          <w:b/>
          <w:i/>
          <w:w w:val="105"/>
          <w:lang w:val="es-CO"/>
        </w:rPr>
        <w:t xml:space="preserve">Declaración de </w:t>
      </w:r>
      <w:r>
        <w:rPr>
          <w:rFonts w:ascii="Arial" w:eastAsia="Arial" w:hAnsi="Arial" w:cs="Arial"/>
          <w:b/>
          <w:i/>
          <w:spacing w:val="10"/>
          <w:w w:val="105"/>
          <w:lang w:val="es-CO"/>
        </w:rPr>
        <w:t xml:space="preserve"> </w:t>
      </w:r>
      <w:r>
        <w:rPr>
          <w:rFonts w:ascii="Arial" w:eastAsia="Arial" w:hAnsi="Arial" w:cs="Arial"/>
          <w:b/>
          <w:i/>
          <w:w w:val="105"/>
          <w:lang w:val="es-CO"/>
        </w:rPr>
        <w:t xml:space="preserve">renta </w:t>
      </w:r>
      <w:r>
        <w:rPr>
          <w:rFonts w:ascii="Arial" w:eastAsia="Arial" w:hAnsi="Arial" w:cs="Arial"/>
          <w:b/>
          <w:i/>
          <w:spacing w:val="7"/>
          <w:w w:val="105"/>
          <w:lang w:val="es-CO"/>
        </w:rPr>
        <w:t xml:space="preserve"> </w:t>
      </w:r>
      <w:r>
        <w:rPr>
          <w:rFonts w:ascii="Arial" w:eastAsia="Arial" w:hAnsi="Arial" w:cs="Arial"/>
          <w:b/>
          <w:i/>
          <w:w w:val="105"/>
          <w:lang w:val="es-CO"/>
        </w:rPr>
        <w:t xml:space="preserve">y </w:t>
      </w:r>
      <w:r>
        <w:rPr>
          <w:rFonts w:ascii="Arial" w:eastAsia="Arial" w:hAnsi="Arial" w:cs="Arial"/>
          <w:b/>
          <w:i/>
          <w:spacing w:val="18"/>
          <w:w w:val="105"/>
          <w:lang w:val="es-CO"/>
        </w:rPr>
        <w:t xml:space="preserve"> </w:t>
      </w:r>
      <w:r>
        <w:rPr>
          <w:rFonts w:ascii="Arial" w:eastAsia="Arial" w:hAnsi="Arial" w:cs="Arial"/>
          <w:b/>
          <w:i/>
          <w:w w:val="105"/>
          <w:lang w:val="es-CO"/>
        </w:rPr>
        <w:t>complementario.</w:t>
      </w:r>
      <w:r>
        <w:rPr>
          <w:rFonts w:ascii="Arial" w:eastAsia="Arial" w:hAnsi="Arial" w:cs="Arial"/>
          <w:i/>
          <w:w w:val="105"/>
          <w:lang w:val="es-CO"/>
        </w:rPr>
        <w:t xml:space="preserve"> </w:t>
      </w:r>
      <w:r>
        <w:rPr>
          <w:rFonts w:ascii="Arial" w:eastAsia="Arial" w:hAnsi="Arial" w:cs="Arial"/>
          <w:spacing w:val="40"/>
          <w:w w:val="105"/>
          <w:lang w:val="es-CO"/>
        </w:rPr>
        <w:t xml:space="preserve"> </w:t>
      </w:r>
      <w:r>
        <w:rPr>
          <w:rFonts w:ascii="Arial" w:hAnsi="Arial" w:cs="Arial"/>
          <w:color w:val="000000"/>
        </w:rPr>
        <w:t xml:space="preserve">Por el año gravable 2016 deberán presentar la declaración del impuesto sobre la renta y complementario en el formulario prescrito por la </w:t>
      </w:r>
      <w:r>
        <w:rPr>
          <w:rFonts w:ascii="Arial" w:hAnsi="Arial" w:cs="Arial"/>
        </w:rPr>
        <w:t>Unidad Administrativa Especial Dirección de Impuestos y Aduanas Nacionales - DIAN</w:t>
      </w:r>
      <w:r>
        <w:rPr>
          <w:rFonts w:ascii="Arial" w:hAnsi="Arial" w:cs="Arial"/>
          <w:color w:val="000000"/>
        </w:rPr>
        <w:t>, las demás personas jurídicas, socied</w:t>
      </w:r>
      <w:r>
        <w:rPr>
          <w:rFonts w:ascii="Arial" w:hAnsi="Arial" w:cs="Arial"/>
          <w:color w:val="000000"/>
        </w:rPr>
        <w:t>ades y asimiladas, los contribuyentes del Régimen Tributario Especial, diferentes a los calificados como “Grandes Contribuyentes”.</w:t>
      </w:r>
    </w:p>
    <w:p w14:paraId="18C88CA0" w14:textId="77777777" w:rsidR="00B2442D" w:rsidRDefault="00B2442D">
      <w:pPr>
        <w:autoSpaceDE w:val="0"/>
        <w:autoSpaceDN w:val="0"/>
        <w:adjustRightInd w:val="0"/>
        <w:spacing w:line="40" w:lineRule="atLeast"/>
        <w:ind w:left="720"/>
        <w:jc w:val="both"/>
        <w:rPr>
          <w:rFonts w:ascii="Arial" w:hAnsi="Arial" w:cs="Arial"/>
          <w:color w:val="000000"/>
        </w:rPr>
      </w:pPr>
    </w:p>
    <w:p w14:paraId="60C7A732"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color w:val="000000"/>
        </w:rPr>
        <w:t>Los plazos para presentar la declaración del impuesto sobre la renta y complementario y para cancelar en dos (2) cuotas igua</w:t>
      </w:r>
      <w:r>
        <w:rPr>
          <w:rFonts w:ascii="Arial" w:hAnsi="Arial" w:cs="Arial"/>
          <w:color w:val="000000"/>
        </w:rPr>
        <w:t xml:space="preserve">les el valor a pagar por concepto del impuesto de renta y el anticipo, se inician el 8 de marzo del año 2017 y vencen en las fechas del mismo año que se indican a continuación, </w:t>
      </w:r>
      <w:r>
        <w:rPr>
          <w:rFonts w:ascii="Arial" w:hAnsi="Arial" w:cs="Arial"/>
          <w:iCs/>
          <w:color w:val="000000"/>
        </w:rPr>
        <w:t xml:space="preserve">atendiendo para la presentación y pago de la primera cuota los dos (2) últimos </w:t>
      </w:r>
      <w:r>
        <w:rPr>
          <w:rFonts w:ascii="Arial" w:hAnsi="Arial" w:cs="Arial"/>
          <w:iCs/>
          <w:color w:val="000000"/>
        </w:rPr>
        <w:t>dígitos del NIT del declarante que conste en el certificado del Registro Único Tributario - RUT, sin tener en cuenta el dígito de verificación, y para el pago de la segunda cuota atendiendo el último dígito del NIT del declarante, sin tener en cuenta el dí</w:t>
      </w:r>
      <w:r>
        <w:rPr>
          <w:rFonts w:ascii="Arial" w:hAnsi="Arial" w:cs="Arial"/>
          <w:iCs/>
          <w:color w:val="000000"/>
        </w:rPr>
        <w:t>gito de verificación así:</w:t>
      </w:r>
    </w:p>
    <w:p w14:paraId="66661788" w14:textId="77777777" w:rsidR="00B2442D" w:rsidRDefault="00B2442D">
      <w:pPr>
        <w:tabs>
          <w:tab w:val="left" w:pos="144"/>
        </w:tabs>
        <w:autoSpaceDE w:val="0"/>
        <w:autoSpaceDN w:val="0"/>
        <w:adjustRightInd w:val="0"/>
        <w:spacing w:line="40" w:lineRule="atLeast"/>
        <w:ind w:left="1440"/>
        <w:jc w:val="both"/>
        <w:rPr>
          <w:rFonts w:ascii="Arial" w:hAnsi="Arial" w:cs="Arial"/>
          <w:bCs/>
          <w:color w:val="000000"/>
        </w:rPr>
      </w:pPr>
    </w:p>
    <w:p w14:paraId="75A1AB99" w14:textId="77777777" w:rsidR="00B2442D" w:rsidRDefault="008A645F">
      <w:pPr>
        <w:tabs>
          <w:tab w:val="left" w:pos="144"/>
        </w:tabs>
        <w:autoSpaceDE w:val="0"/>
        <w:autoSpaceDN w:val="0"/>
        <w:adjustRightInd w:val="0"/>
        <w:spacing w:line="40" w:lineRule="atLeast"/>
        <w:ind w:left="1440"/>
        <w:jc w:val="both"/>
        <w:rPr>
          <w:rFonts w:ascii="Arial" w:hAnsi="Arial" w:cs="Arial"/>
          <w:b/>
          <w:bCs/>
          <w:color w:val="000000"/>
        </w:rPr>
      </w:pPr>
      <w:r>
        <w:rPr>
          <w:rFonts w:ascii="Arial" w:hAnsi="Arial" w:cs="Arial"/>
          <w:b/>
          <w:bCs/>
          <w:color w:val="000000"/>
        </w:rPr>
        <w:t xml:space="preserve">             DECLARACIÓN Y PAGO PRIMERA CUOTA</w:t>
      </w:r>
    </w:p>
    <w:p w14:paraId="5640FBB3" w14:textId="77777777" w:rsidR="00B2442D" w:rsidRDefault="00B2442D">
      <w:pPr>
        <w:tabs>
          <w:tab w:val="left" w:pos="144"/>
        </w:tabs>
        <w:autoSpaceDE w:val="0"/>
        <w:autoSpaceDN w:val="0"/>
        <w:adjustRightInd w:val="0"/>
        <w:spacing w:line="40" w:lineRule="atLeast"/>
        <w:ind w:left="1440"/>
        <w:jc w:val="both"/>
        <w:rPr>
          <w:rFonts w:ascii="Arial" w:hAnsi="Arial" w:cs="Arial"/>
          <w:bCs/>
          <w:color w:val="000000"/>
        </w:rPr>
      </w:pPr>
    </w:p>
    <w:tbl>
      <w:tblPr>
        <w:tblW w:w="4540" w:type="dxa"/>
        <w:jc w:val="center"/>
        <w:tblCellMar>
          <w:left w:w="70" w:type="dxa"/>
          <w:right w:w="70" w:type="dxa"/>
        </w:tblCellMar>
        <w:tblLook w:val="04A0" w:firstRow="1" w:lastRow="0" w:firstColumn="1" w:lastColumn="0" w:noHBand="0" w:noVBand="1"/>
      </w:tblPr>
      <w:tblGrid>
        <w:gridCol w:w="2246"/>
        <w:gridCol w:w="2294"/>
      </w:tblGrid>
      <w:tr w:rsidR="00B2442D" w14:paraId="4B697F2F" w14:textId="77777777">
        <w:trPr>
          <w:trHeight w:val="517"/>
          <w:tblHeader/>
          <w:jc w:val="center"/>
        </w:trPr>
        <w:tc>
          <w:tcPr>
            <w:tcW w:w="224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1604EA41" w14:textId="77777777" w:rsidR="00B2442D" w:rsidRDefault="008A645F">
            <w:pPr>
              <w:jc w:val="center"/>
              <w:rPr>
                <w:rFonts w:ascii="Arial" w:hAnsi="Arial" w:cs="Arial"/>
                <w:b/>
                <w:bCs/>
                <w:color w:val="000000"/>
                <w:highlight w:val="yellow"/>
                <w:lang w:val="es-CO" w:eastAsia="es-CO"/>
              </w:rPr>
            </w:pPr>
            <w:r>
              <w:rPr>
                <w:rFonts w:ascii="Arial" w:hAnsi="Arial" w:cs="Arial"/>
                <w:b/>
                <w:bCs/>
                <w:color w:val="000000"/>
                <w:lang w:val="es-CO" w:eastAsia="es-CO"/>
              </w:rPr>
              <w:t>Si los dos últimos dígito son</w:t>
            </w:r>
          </w:p>
        </w:tc>
        <w:tc>
          <w:tcPr>
            <w:tcW w:w="2294"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559B8C7D"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6CE8B790" w14:textId="77777777">
        <w:trPr>
          <w:trHeight w:val="517"/>
          <w:tblHeader/>
          <w:jc w:val="center"/>
        </w:trPr>
        <w:tc>
          <w:tcPr>
            <w:tcW w:w="2246" w:type="dxa"/>
            <w:vMerge/>
            <w:tcBorders>
              <w:top w:val="single" w:sz="8" w:space="0" w:color="auto"/>
              <w:left w:val="single" w:sz="8" w:space="0" w:color="auto"/>
              <w:bottom w:val="single" w:sz="8" w:space="0" w:color="000000"/>
              <w:right w:val="single" w:sz="8" w:space="0" w:color="auto"/>
            </w:tcBorders>
            <w:vAlign w:val="center"/>
            <w:hideMark/>
          </w:tcPr>
          <w:p w14:paraId="29411DDE" w14:textId="77777777" w:rsidR="00B2442D" w:rsidRDefault="00B2442D">
            <w:pPr>
              <w:jc w:val="both"/>
              <w:rPr>
                <w:rFonts w:ascii="Arial" w:hAnsi="Arial" w:cs="Arial"/>
                <w:b/>
                <w:bCs/>
                <w:color w:val="000000"/>
                <w:highlight w:val="yellow"/>
                <w:lang w:val="es-CO" w:eastAsia="es-CO"/>
              </w:rPr>
            </w:pPr>
          </w:p>
        </w:tc>
        <w:tc>
          <w:tcPr>
            <w:tcW w:w="2294" w:type="dxa"/>
            <w:vMerge/>
            <w:tcBorders>
              <w:top w:val="single" w:sz="8" w:space="0" w:color="auto"/>
              <w:left w:val="single" w:sz="8" w:space="0" w:color="auto"/>
              <w:bottom w:val="single" w:sz="8" w:space="0" w:color="000000"/>
              <w:right w:val="single" w:sz="8" w:space="0" w:color="auto"/>
            </w:tcBorders>
            <w:vAlign w:val="center"/>
            <w:hideMark/>
          </w:tcPr>
          <w:p w14:paraId="4223A7CA" w14:textId="77777777" w:rsidR="00B2442D" w:rsidRDefault="00B2442D">
            <w:pPr>
              <w:jc w:val="both"/>
              <w:rPr>
                <w:rFonts w:ascii="Arial" w:hAnsi="Arial" w:cs="Arial"/>
                <w:b/>
                <w:bCs/>
                <w:color w:val="000000"/>
                <w:lang w:val="es-CO" w:eastAsia="es-CO"/>
              </w:rPr>
            </w:pPr>
          </w:p>
        </w:tc>
      </w:tr>
      <w:tr w:rsidR="00B2442D" w14:paraId="78799418"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36D6FE95" w14:textId="77777777" w:rsidR="00B2442D" w:rsidRDefault="008A645F">
            <w:pPr>
              <w:jc w:val="center"/>
              <w:rPr>
                <w:rFonts w:ascii="Arial" w:hAnsi="Arial" w:cs="Arial"/>
                <w:color w:val="000000"/>
                <w:lang w:val="es-CO" w:eastAsia="es-CO"/>
              </w:rPr>
            </w:pPr>
            <w:r>
              <w:rPr>
                <w:rFonts w:ascii="Arial" w:hAnsi="Arial" w:cs="Arial"/>
                <w:color w:val="000000"/>
              </w:rPr>
              <w:t>96 al 00</w:t>
            </w:r>
          </w:p>
        </w:tc>
        <w:tc>
          <w:tcPr>
            <w:tcW w:w="2294" w:type="dxa"/>
            <w:tcBorders>
              <w:top w:val="nil"/>
              <w:left w:val="nil"/>
              <w:bottom w:val="single" w:sz="8" w:space="0" w:color="auto"/>
              <w:right w:val="single" w:sz="8" w:space="0" w:color="auto"/>
            </w:tcBorders>
            <w:shd w:val="clear" w:color="auto" w:fill="auto"/>
            <w:noWrap/>
            <w:vAlign w:val="center"/>
            <w:hideMark/>
          </w:tcPr>
          <w:p w14:paraId="70F169E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abril de 2017</w:t>
            </w:r>
          </w:p>
        </w:tc>
      </w:tr>
      <w:tr w:rsidR="00B2442D" w14:paraId="3DEEE8AB"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6B33453E" w14:textId="77777777" w:rsidR="00B2442D" w:rsidRDefault="008A645F">
            <w:pPr>
              <w:jc w:val="center"/>
              <w:rPr>
                <w:rFonts w:ascii="Arial" w:hAnsi="Arial" w:cs="Arial"/>
                <w:color w:val="000000"/>
              </w:rPr>
            </w:pPr>
            <w:r>
              <w:rPr>
                <w:rFonts w:ascii="Arial" w:hAnsi="Arial" w:cs="Arial"/>
                <w:color w:val="000000"/>
              </w:rPr>
              <w:t>91 al 95</w:t>
            </w:r>
          </w:p>
        </w:tc>
        <w:tc>
          <w:tcPr>
            <w:tcW w:w="2294" w:type="dxa"/>
            <w:tcBorders>
              <w:top w:val="nil"/>
              <w:left w:val="nil"/>
              <w:bottom w:val="single" w:sz="8" w:space="0" w:color="auto"/>
              <w:right w:val="single" w:sz="8" w:space="0" w:color="auto"/>
            </w:tcBorders>
            <w:shd w:val="clear" w:color="auto" w:fill="auto"/>
            <w:noWrap/>
            <w:vAlign w:val="center"/>
            <w:hideMark/>
          </w:tcPr>
          <w:p w14:paraId="28F4445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abril de 2017</w:t>
            </w:r>
          </w:p>
        </w:tc>
      </w:tr>
      <w:tr w:rsidR="00B2442D" w14:paraId="1440DCA1"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1160B5E6" w14:textId="77777777" w:rsidR="00B2442D" w:rsidRDefault="008A645F">
            <w:pPr>
              <w:jc w:val="center"/>
              <w:rPr>
                <w:rFonts w:ascii="Arial" w:hAnsi="Arial" w:cs="Arial"/>
                <w:color w:val="000000"/>
              </w:rPr>
            </w:pPr>
            <w:r>
              <w:rPr>
                <w:rFonts w:ascii="Arial" w:hAnsi="Arial" w:cs="Arial"/>
                <w:color w:val="000000"/>
              </w:rPr>
              <w:t>86 al 90</w:t>
            </w:r>
          </w:p>
        </w:tc>
        <w:tc>
          <w:tcPr>
            <w:tcW w:w="2294" w:type="dxa"/>
            <w:tcBorders>
              <w:top w:val="nil"/>
              <w:left w:val="nil"/>
              <w:bottom w:val="single" w:sz="8" w:space="0" w:color="auto"/>
              <w:right w:val="single" w:sz="8" w:space="0" w:color="auto"/>
            </w:tcBorders>
            <w:shd w:val="clear" w:color="auto" w:fill="auto"/>
            <w:noWrap/>
            <w:vAlign w:val="center"/>
            <w:hideMark/>
          </w:tcPr>
          <w:p w14:paraId="462F00D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abril de 2017</w:t>
            </w:r>
          </w:p>
        </w:tc>
      </w:tr>
      <w:tr w:rsidR="00B2442D" w14:paraId="454419CF"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175CC4C3" w14:textId="77777777" w:rsidR="00B2442D" w:rsidRDefault="008A645F">
            <w:pPr>
              <w:jc w:val="center"/>
              <w:rPr>
                <w:rFonts w:ascii="Arial" w:hAnsi="Arial" w:cs="Arial"/>
                <w:color w:val="000000"/>
              </w:rPr>
            </w:pPr>
            <w:r>
              <w:rPr>
                <w:rFonts w:ascii="Arial" w:hAnsi="Arial" w:cs="Arial"/>
                <w:color w:val="000000"/>
              </w:rPr>
              <w:t>81 al 85</w:t>
            </w:r>
          </w:p>
        </w:tc>
        <w:tc>
          <w:tcPr>
            <w:tcW w:w="2294" w:type="dxa"/>
            <w:tcBorders>
              <w:top w:val="nil"/>
              <w:left w:val="nil"/>
              <w:bottom w:val="single" w:sz="8" w:space="0" w:color="auto"/>
              <w:right w:val="single" w:sz="8" w:space="0" w:color="auto"/>
            </w:tcBorders>
            <w:shd w:val="clear" w:color="auto" w:fill="auto"/>
            <w:noWrap/>
            <w:vAlign w:val="center"/>
            <w:hideMark/>
          </w:tcPr>
          <w:p w14:paraId="5CF5302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abril de 2017</w:t>
            </w:r>
          </w:p>
        </w:tc>
      </w:tr>
      <w:tr w:rsidR="00B2442D" w14:paraId="65A5CAAF"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609F0066" w14:textId="77777777" w:rsidR="00B2442D" w:rsidRDefault="008A645F">
            <w:pPr>
              <w:jc w:val="center"/>
              <w:rPr>
                <w:rFonts w:ascii="Arial" w:hAnsi="Arial" w:cs="Arial"/>
                <w:color w:val="000000"/>
              </w:rPr>
            </w:pPr>
            <w:r>
              <w:rPr>
                <w:rFonts w:ascii="Arial" w:hAnsi="Arial" w:cs="Arial"/>
                <w:color w:val="000000"/>
              </w:rPr>
              <w:t>76 al 80</w:t>
            </w:r>
          </w:p>
        </w:tc>
        <w:tc>
          <w:tcPr>
            <w:tcW w:w="2294" w:type="dxa"/>
            <w:tcBorders>
              <w:top w:val="nil"/>
              <w:left w:val="nil"/>
              <w:bottom w:val="single" w:sz="8" w:space="0" w:color="auto"/>
              <w:right w:val="single" w:sz="8" w:space="0" w:color="auto"/>
            </w:tcBorders>
            <w:shd w:val="clear" w:color="auto" w:fill="auto"/>
            <w:noWrap/>
            <w:vAlign w:val="center"/>
            <w:hideMark/>
          </w:tcPr>
          <w:p w14:paraId="4EDF3FF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19 </w:t>
            </w:r>
            <w:r>
              <w:rPr>
                <w:rFonts w:ascii="Arial" w:hAnsi="Arial" w:cs="Arial"/>
                <w:color w:val="000000"/>
                <w:lang w:val="es-CO" w:eastAsia="es-CO"/>
              </w:rPr>
              <w:t>de abril de 2017</w:t>
            </w:r>
          </w:p>
        </w:tc>
      </w:tr>
      <w:tr w:rsidR="00B2442D" w14:paraId="1E7059D4" w14:textId="77777777">
        <w:trPr>
          <w:trHeight w:val="345"/>
          <w:jc w:val="center"/>
        </w:trPr>
        <w:tc>
          <w:tcPr>
            <w:tcW w:w="224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45D8141" w14:textId="77777777" w:rsidR="00B2442D" w:rsidRDefault="008A645F">
            <w:pPr>
              <w:jc w:val="center"/>
              <w:rPr>
                <w:rFonts w:ascii="Arial" w:hAnsi="Arial" w:cs="Arial"/>
                <w:color w:val="000000"/>
              </w:rPr>
            </w:pPr>
            <w:r>
              <w:rPr>
                <w:rFonts w:ascii="Arial" w:hAnsi="Arial" w:cs="Arial"/>
                <w:color w:val="000000"/>
              </w:rPr>
              <w:t>71 al 75</w:t>
            </w:r>
          </w:p>
        </w:tc>
        <w:tc>
          <w:tcPr>
            <w:tcW w:w="2294" w:type="dxa"/>
            <w:tcBorders>
              <w:top w:val="single" w:sz="4" w:space="0" w:color="auto"/>
              <w:left w:val="nil"/>
              <w:bottom w:val="single" w:sz="8" w:space="0" w:color="auto"/>
              <w:right w:val="single" w:sz="8" w:space="0" w:color="auto"/>
            </w:tcBorders>
            <w:shd w:val="clear" w:color="auto" w:fill="auto"/>
            <w:noWrap/>
            <w:vAlign w:val="center"/>
            <w:hideMark/>
          </w:tcPr>
          <w:p w14:paraId="323460B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abril de 2017</w:t>
            </w:r>
          </w:p>
        </w:tc>
      </w:tr>
      <w:tr w:rsidR="00B2442D" w14:paraId="1144CB5C"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5732D6B5" w14:textId="77777777" w:rsidR="00B2442D" w:rsidRDefault="008A645F">
            <w:pPr>
              <w:jc w:val="center"/>
              <w:rPr>
                <w:rFonts w:ascii="Arial" w:hAnsi="Arial" w:cs="Arial"/>
                <w:color w:val="000000"/>
              </w:rPr>
            </w:pPr>
            <w:r>
              <w:rPr>
                <w:rFonts w:ascii="Arial" w:hAnsi="Arial" w:cs="Arial"/>
                <w:color w:val="000000"/>
              </w:rPr>
              <w:t>66 al 70</w:t>
            </w:r>
          </w:p>
        </w:tc>
        <w:tc>
          <w:tcPr>
            <w:tcW w:w="2294" w:type="dxa"/>
            <w:tcBorders>
              <w:top w:val="nil"/>
              <w:left w:val="nil"/>
              <w:bottom w:val="single" w:sz="8" w:space="0" w:color="auto"/>
              <w:right w:val="single" w:sz="8" w:space="0" w:color="auto"/>
            </w:tcBorders>
            <w:shd w:val="clear" w:color="auto" w:fill="auto"/>
            <w:noWrap/>
            <w:vAlign w:val="center"/>
            <w:hideMark/>
          </w:tcPr>
          <w:p w14:paraId="5463BC8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5912E025"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173A3801" w14:textId="77777777" w:rsidR="00B2442D" w:rsidRDefault="008A645F">
            <w:pPr>
              <w:jc w:val="center"/>
              <w:rPr>
                <w:rFonts w:ascii="Arial" w:hAnsi="Arial" w:cs="Arial"/>
                <w:color w:val="000000"/>
              </w:rPr>
            </w:pPr>
            <w:r>
              <w:rPr>
                <w:rFonts w:ascii="Arial" w:hAnsi="Arial" w:cs="Arial"/>
                <w:color w:val="000000"/>
              </w:rPr>
              <w:t>61 al 65</w:t>
            </w:r>
          </w:p>
        </w:tc>
        <w:tc>
          <w:tcPr>
            <w:tcW w:w="2294" w:type="dxa"/>
            <w:tcBorders>
              <w:top w:val="nil"/>
              <w:left w:val="nil"/>
              <w:bottom w:val="single" w:sz="8" w:space="0" w:color="auto"/>
              <w:right w:val="single" w:sz="8" w:space="0" w:color="auto"/>
            </w:tcBorders>
            <w:shd w:val="clear" w:color="auto" w:fill="auto"/>
            <w:noWrap/>
            <w:vAlign w:val="center"/>
            <w:hideMark/>
          </w:tcPr>
          <w:p w14:paraId="2F833EF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abril de 2017</w:t>
            </w:r>
          </w:p>
        </w:tc>
      </w:tr>
      <w:tr w:rsidR="00B2442D" w14:paraId="09D0B9CE"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442DCC8C" w14:textId="77777777" w:rsidR="00B2442D" w:rsidRDefault="008A645F">
            <w:pPr>
              <w:jc w:val="center"/>
              <w:rPr>
                <w:rFonts w:ascii="Arial" w:hAnsi="Arial" w:cs="Arial"/>
                <w:color w:val="000000"/>
              </w:rPr>
            </w:pPr>
            <w:r>
              <w:rPr>
                <w:rFonts w:ascii="Arial" w:hAnsi="Arial" w:cs="Arial"/>
                <w:color w:val="000000"/>
              </w:rPr>
              <w:t>56 al 60</w:t>
            </w:r>
          </w:p>
        </w:tc>
        <w:tc>
          <w:tcPr>
            <w:tcW w:w="2294" w:type="dxa"/>
            <w:tcBorders>
              <w:top w:val="nil"/>
              <w:left w:val="nil"/>
              <w:bottom w:val="single" w:sz="8" w:space="0" w:color="auto"/>
              <w:right w:val="single" w:sz="8" w:space="0" w:color="auto"/>
            </w:tcBorders>
            <w:shd w:val="clear" w:color="auto" w:fill="auto"/>
            <w:noWrap/>
            <w:vAlign w:val="center"/>
            <w:hideMark/>
          </w:tcPr>
          <w:p w14:paraId="2C0D004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664BD295"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2774B9AD" w14:textId="77777777" w:rsidR="00B2442D" w:rsidRDefault="008A645F">
            <w:pPr>
              <w:jc w:val="center"/>
              <w:rPr>
                <w:rFonts w:ascii="Arial" w:hAnsi="Arial" w:cs="Arial"/>
                <w:color w:val="000000"/>
              </w:rPr>
            </w:pPr>
            <w:r>
              <w:rPr>
                <w:rFonts w:ascii="Arial" w:hAnsi="Arial" w:cs="Arial"/>
                <w:color w:val="000000"/>
              </w:rPr>
              <w:t>51 al 55</w:t>
            </w:r>
          </w:p>
        </w:tc>
        <w:tc>
          <w:tcPr>
            <w:tcW w:w="2294" w:type="dxa"/>
            <w:tcBorders>
              <w:top w:val="nil"/>
              <w:left w:val="nil"/>
              <w:bottom w:val="single" w:sz="8" w:space="0" w:color="auto"/>
              <w:right w:val="single" w:sz="8" w:space="0" w:color="auto"/>
            </w:tcBorders>
            <w:shd w:val="clear" w:color="auto" w:fill="auto"/>
            <w:noWrap/>
            <w:vAlign w:val="center"/>
            <w:hideMark/>
          </w:tcPr>
          <w:p w14:paraId="4403F14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r w:rsidR="00B2442D" w14:paraId="7683A918"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05DA9B43" w14:textId="77777777" w:rsidR="00B2442D" w:rsidRDefault="008A645F">
            <w:pPr>
              <w:jc w:val="center"/>
              <w:rPr>
                <w:rFonts w:ascii="Arial" w:hAnsi="Arial" w:cs="Arial"/>
                <w:color w:val="000000"/>
              </w:rPr>
            </w:pPr>
            <w:r>
              <w:rPr>
                <w:rFonts w:ascii="Arial" w:hAnsi="Arial" w:cs="Arial"/>
                <w:color w:val="000000"/>
              </w:rPr>
              <w:t>46 al 50</w:t>
            </w:r>
          </w:p>
        </w:tc>
        <w:tc>
          <w:tcPr>
            <w:tcW w:w="2294" w:type="dxa"/>
            <w:tcBorders>
              <w:top w:val="nil"/>
              <w:left w:val="nil"/>
              <w:bottom w:val="single" w:sz="8" w:space="0" w:color="auto"/>
              <w:right w:val="single" w:sz="8" w:space="0" w:color="auto"/>
            </w:tcBorders>
            <w:shd w:val="clear" w:color="auto" w:fill="auto"/>
            <w:noWrap/>
            <w:vAlign w:val="center"/>
            <w:hideMark/>
          </w:tcPr>
          <w:p w14:paraId="2E8319D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27 de abril de 2017</w:t>
            </w:r>
          </w:p>
        </w:tc>
      </w:tr>
      <w:tr w:rsidR="00B2442D" w14:paraId="6F6F1E66"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33FAE2F3" w14:textId="77777777" w:rsidR="00B2442D" w:rsidRDefault="008A645F">
            <w:pPr>
              <w:jc w:val="center"/>
              <w:rPr>
                <w:rFonts w:ascii="Arial" w:hAnsi="Arial" w:cs="Arial"/>
                <w:color w:val="000000"/>
              </w:rPr>
            </w:pPr>
            <w:r>
              <w:rPr>
                <w:rFonts w:ascii="Arial" w:hAnsi="Arial" w:cs="Arial"/>
                <w:color w:val="000000"/>
              </w:rPr>
              <w:t>41 al 45</w:t>
            </w:r>
          </w:p>
        </w:tc>
        <w:tc>
          <w:tcPr>
            <w:tcW w:w="2294" w:type="dxa"/>
            <w:tcBorders>
              <w:top w:val="nil"/>
              <w:left w:val="nil"/>
              <w:bottom w:val="single" w:sz="8" w:space="0" w:color="auto"/>
              <w:right w:val="single" w:sz="8" w:space="0" w:color="auto"/>
            </w:tcBorders>
            <w:shd w:val="clear" w:color="auto" w:fill="auto"/>
            <w:noWrap/>
            <w:vAlign w:val="center"/>
            <w:hideMark/>
          </w:tcPr>
          <w:p w14:paraId="3AE1470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abril de 2017</w:t>
            </w:r>
          </w:p>
        </w:tc>
      </w:tr>
      <w:tr w:rsidR="00B2442D" w14:paraId="086FF96A"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14EE321B" w14:textId="77777777" w:rsidR="00B2442D" w:rsidRDefault="008A645F">
            <w:pPr>
              <w:jc w:val="center"/>
              <w:rPr>
                <w:rFonts w:ascii="Arial" w:hAnsi="Arial" w:cs="Arial"/>
                <w:color w:val="000000"/>
                <w:highlight w:val="yellow"/>
              </w:rPr>
            </w:pPr>
            <w:r>
              <w:rPr>
                <w:rFonts w:ascii="Arial" w:hAnsi="Arial" w:cs="Arial"/>
                <w:color w:val="000000"/>
              </w:rPr>
              <w:t>36 al 40</w:t>
            </w:r>
          </w:p>
        </w:tc>
        <w:tc>
          <w:tcPr>
            <w:tcW w:w="2294" w:type="dxa"/>
            <w:tcBorders>
              <w:top w:val="nil"/>
              <w:left w:val="nil"/>
              <w:bottom w:val="single" w:sz="8" w:space="0" w:color="auto"/>
              <w:right w:val="single" w:sz="8" w:space="0" w:color="auto"/>
            </w:tcBorders>
            <w:shd w:val="clear" w:color="auto" w:fill="auto"/>
            <w:noWrap/>
            <w:vAlign w:val="center"/>
            <w:hideMark/>
          </w:tcPr>
          <w:p w14:paraId="110503D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02 de mayo de </w:t>
            </w:r>
            <w:r>
              <w:rPr>
                <w:rFonts w:ascii="Arial" w:hAnsi="Arial" w:cs="Arial"/>
                <w:color w:val="000000"/>
                <w:lang w:val="es-CO" w:eastAsia="es-CO"/>
              </w:rPr>
              <w:t>2017</w:t>
            </w:r>
          </w:p>
        </w:tc>
      </w:tr>
      <w:tr w:rsidR="00B2442D" w14:paraId="4F3CF2EB"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4AC0097C" w14:textId="77777777" w:rsidR="00B2442D" w:rsidRDefault="008A645F">
            <w:pPr>
              <w:jc w:val="center"/>
              <w:rPr>
                <w:rFonts w:ascii="Arial" w:hAnsi="Arial" w:cs="Arial"/>
                <w:color w:val="000000"/>
              </w:rPr>
            </w:pPr>
            <w:r>
              <w:rPr>
                <w:rFonts w:ascii="Arial" w:hAnsi="Arial" w:cs="Arial"/>
                <w:color w:val="000000"/>
              </w:rPr>
              <w:t>31 al 35</w:t>
            </w:r>
          </w:p>
        </w:tc>
        <w:tc>
          <w:tcPr>
            <w:tcW w:w="2294" w:type="dxa"/>
            <w:tcBorders>
              <w:top w:val="nil"/>
              <w:left w:val="nil"/>
              <w:bottom w:val="single" w:sz="8" w:space="0" w:color="auto"/>
              <w:right w:val="single" w:sz="8" w:space="0" w:color="auto"/>
            </w:tcBorders>
            <w:shd w:val="clear" w:color="auto" w:fill="auto"/>
            <w:noWrap/>
            <w:vAlign w:val="center"/>
            <w:hideMark/>
          </w:tcPr>
          <w:p w14:paraId="4438B9C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03 de mayo de 2017</w:t>
            </w:r>
          </w:p>
        </w:tc>
      </w:tr>
      <w:tr w:rsidR="00B2442D" w14:paraId="6481F63F"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70400E77" w14:textId="77777777" w:rsidR="00B2442D" w:rsidRDefault="008A645F">
            <w:pPr>
              <w:jc w:val="center"/>
              <w:rPr>
                <w:rFonts w:ascii="Arial" w:hAnsi="Arial" w:cs="Arial"/>
                <w:color w:val="000000"/>
              </w:rPr>
            </w:pPr>
            <w:r>
              <w:rPr>
                <w:rFonts w:ascii="Arial" w:hAnsi="Arial" w:cs="Arial"/>
                <w:color w:val="000000"/>
              </w:rPr>
              <w:t>26 al 30</w:t>
            </w:r>
          </w:p>
        </w:tc>
        <w:tc>
          <w:tcPr>
            <w:tcW w:w="2294" w:type="dxa"/>
            <w:tcBorders>
              <w:top w:val="nil"/>
              <w:left w:val="nil"/>
              <w:bottom w:val="single" w:sz="8" w:space="0" w:color="auto"/>
              <w:right w:val="single" w:sz="8" w:space="0" w:color="auto"/>
            </w:tcBorders>
            <w:shd w:val="clear" w:color="auto" w:fill="auto"/>
            <w:noWrap/>
            <w:vAlign w:val="center"/>
            <w:hideMark/>
          </w:tcPr>
          <w:p w14:paraId="6477D70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mayo de 2017</w:t>
            </w:r>
          </w:p>
        </w:tc>
      </w:tr>
      <w:tr w:rsidR="00B2442D" w14:paraId="6BBCA927"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68D0B7A2" w14:textId="77777777" w:rsidR="00B2442D" w:rsidRDefault="008A645F">
            <w:pPr>
              <w:jc w:val="center"/>
              <w:rPr>
                <w:rFonts w:ascii="Arial" w:hAnsi="Arial" w:cs="Arial"/>
                <w:color w:val="000000"/>
              </w:rPr>
            </w:pPr>
            <w:r>
              <w:rPr>
                <w:rFonts w:ascii="Arial" w:hAnsi="Arial" w:cs="Arial"/>
                <w:color w:val="000000"/>
              </w:rPr>
              <w:t>21 al 25</w:t>
            </w:r>
          </w:p>
        </w:tc>
        <w:tc>
          <w:tcPr>
            <w:tcW w:w="2294" w:type="dxa"/>
            <w:tcBorders>
              <w:top w:val="nil"/>
              <w:left w:val="nil"/>
              <w:bottom w:val="single" w:sz="8" w:space="0" w:color="auto"/>
              <w:right w:val="single" w:sz="8" w:space="0" w:color="auto"/>
            </w:tcBorders>
            <w:shd w:val="clear" w:color="auto" w:fill="auto"/>
            <w:noWrap/>
            <w:vAlign w:val="center"/>
            <w:hideMark/>
          </w:tcPr>
          <w:p w14:paraId="2A21BF8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mayo de 2017</w:t>
            </w:r>
          </w:p>
        </w:tc>
      </w:tr>
      <w:tr w:rsidR="00B2442D" w14:paraId="525DA374"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3FB22F95" w14:textId="77777777" w:rsidR="00B2442D" w:rsidRDefault="008A645F">
            <w:pPr>
              <w:jc w:val="center"/>
              <w:rPr>
                <w:rFonts w:ascii="Arial" w:hAnsi="Arial" w:cs="Arial"/>
                <w:color w:val="000000"/>
              </w:rPr>
            </w:pPr>
            <w:r>
              <w:rPr>
                <w:rFonts w:ascii="Arial" w:hAnsi="Arial" w:cs="Arial"/>
                <w:color w:val="000000"/>
              </w:rPr>
              <w:t>16 al 20</w:t>
            </w:r>
          </w:p>
        </w:tc>
        <w:tc>
          <w:tcPr>
            <w:tcW w:w="2294" w:type="dxa"/>
            <w:tcBorders>
              <w:top w:val="nil"/>
              <w:left w:val="nil"/>
              <w:bottom w:val="single" w:sz="8" w:space="0" w:color="auto"/>
              <w:right w:val="single" w:sz="8" w:space="0" w:color="auto"/>
            </w:tcBorders>
            <w:shd w:val="clear" w:color="auto" w:fill="auto"/>
            <w:noWrap/>
            <w:vAlign w:val="center"/>
            <w:hideMark/>
          </w:tcPr>
          <w:p w14:paraId="31D84F0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08 de mayo de 2017</w:t>
            </w:r>
          </w:p>
        </w:tc>
      </w:tr>
      <w:tr w:rsidR="00B2442D" w14:paraId="0D234A8B"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6D546B09" w14:textId="77777777" w:rsidR="00B2442D" w:rsidRDefault="008A645F">
            <w:pPr>
              <w:jc w:val="center"/>
              <w:rPr>
                <w:rFonts w:ascii="Arial" w:hAnsi="Arial" w:cs="Arial"/>
                <w:color w:val="000000"/>
              </w:rPr>
            </w:pPr>
            <w:r>
              <w:rPr>
                <w:rFonts w:ascii="Arial" w:hAnsi="Arial" w:cs="Arial"/>
                <w:color w:val="000000"/>
              </w:rPr>
              <w:t>11 al  15</w:t>
            </w:r>
          </w:p>
        </w:tc>
        <w:tc>
          <w:tcPr>
            <w:tcW w:w="2294" w:type="dxa"/>
            <w:tcBorders>
              <w:top w:val="nil"/>
              <w:left w:val="nil"/>
              <w:bottom w:val="single" w:sz="8" w:space="0" w:color="auto"/>
              <w:right w:val="single" w:sz="8" w:space="0" w:color="auto"/>
            </w:tcBorders>
            <w:shd w:val="clear" w:color="auto" w:fill="auto"/>
            <w:noWrap/>
            <w:vAlign w:val="center"/>
            <w:hideMark/>
          </w:tcPr>
          <w:p w14:paraId="5A9B269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09 de mayo de 2017</w:t>
            </w:r>
          </w:p>
        </w:tc>
      </w:tr>
      <w:tr w:rsidR="00B2442D" w14:paraId="003D074C"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1DEF5D03" w14:textId="77777777" w:rsidR="00B2442D" w:rsidRDefault="008A645F">
            <w:pPr>
              <w:jc w:val="center"/>
              <w:rPr>
                <w:rFonts w:ascii="Arial" w:hAnsi="Arial" w:cs="Arial"/>
                <w:color w:val="000000"/>
              </w:rPr>
            </w:pPr>
            <w:r>
              <w:rPr>
                <w:rFonts w:ascii="Arial" w:hAnsi="Arial" w:cs="Arial"/>
                <w:color w:val="000000"/>
              </w:rPr>
              <w:t>06 al 10</w:t>
            </w:r>
          </w:p>
        </w:tc>
        <w:tc>
          <w:tcPr>
            <w:tcW w:w="2294" w:type="dxa"/>
            <w:tcBorders>
              <w:top w:val="nil"/>
              <w:left w:val="nil"/>
              <w:bottom w:val="single" w:sz="8" w:space="0" w:color="auto"/>
              <w:right w:val="single" w:sz="8" w:space="0" w:color="auto"/>
            </w:tcBorders>
            <w:shd w:val="clear" w:color="auto" w:fill="auto"/>
            <w:noWrap/>
            <w:vAlign w:val="center"/>
            <w:hideMark/>
          </w:tcPr>
          <w:p w14:paraId="02CFFD8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mayo de 2017</w:t>
            </w:r>
          </w:p>
        </w:tc>
      </w:tr>
      <w:tr w:rsidR="00B2442D" w14:paraId="3C68F762" w14:textId="77777777">
        <w:trPr>
          <w:trHeight w:val="345"/>
          <w:jc w:val="center"/>
        </w:trPr>
        <w:tc>
          <w:tcPr>
            <w:tcW w:w="2246" w:type="dxa"/>
            <w:tcBorders>
              <w:top w:val="nil"/>
              <w:left w:val="single" w:sz="8" w:space="0" w:color="auto"/>
              <w:bottom w:val="single" w:sz="8" w:space="0" w:color="auto"/>
              <w:right w:val="single" w:sz="8" w:space="0" w:color="auto"/>
            </w:tcBorders>
            <w:shd w:val="clear" w:color="auto" w:fill="auto"/>
            <w:noWrap/>
            <w:vAlign w:val="center"/>
            <w:hideMark/>
          </w:tcPr>
          <w:p w14:paraId="404DA263" w14:textId="77777777" w:rsidR="00B2442D" w:rsidRDefault="008A645F">
            <w:pPr>
              <w:jc w:val="center"/>
              <w:rPr>
                <w:rFonts w:ascii="Arial" w:hAnsi="Arial" w:cs="Arial"/>
                <w:color w:val="000000"/>
              </w:rPr>
            </w:pPr>
            <w:r>
              <w:rPr>
                <w:rFonts w:ascii="Arial" w:hAnsi="Arial" w:cs="Arial"/>
                <w:color w:val="000000"/>
              </w:rPr>
              <w:t>01 al 05</w:t>
            </w:r>
          </w:p>
        </w:tc>
        <w:tc>
          <w:tcPr>
            <w:tcW w:w="2294" w:type="dxa"/>
            <w:tcBorders>
              <w:top w:val="nil"/>
              <w:left w:val="nil"/>
              <w:bottom w:val="single" w:sz="8" w:space="0" w:color="auto"/>
              <w:right w:val="single" w:sz="8" w:space="0" w:color="auto"/>
            </w:tcBorders>
            <w:shd w:val="clear" w:color="auto" w:fill="auto"/>
            <w:noWrap/>
            <w:vAlign w:val="center"/>
            <w:hideMark/>
          </w:tcPr>
          <w:p w14:paraId="7D5B8E2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mayo de 2017</w:t>
            </w:r>
          </w:p>
        </w:tc>
      </w:tr>
    </w:tbl>
    <w:p w14:paraId="21E751A1" w14:textId="77777777" w:rsidR="00B2442D" w:rsidRDefault="00B2442D">
      <w:pPr>
        <w:tabs>
          <w:tab w:val="left" w:pos="144"/>
        </w:tabs>
        <w:autoSpaceDE w:val="0"/>
        <w:autoSpaceDN w:val="0"/>
        <w:adjustRightInd w:val="0"/>
        <w:spacing w:line="40" w:lineRule="atLeast"/>
        <w:ind w:left="1440"/>
        <w:jc w:val="both"/>
        <w:rPr>
          <w:rFonts w:ascii="Arial" w:hAnsi="Arial" w:cs="Arial"/>
          <w:bCs/>
          <w:color w:val="000000"/>
        </w:rPr>
      </w:pPr>
    </w:p>
    <w:p w14:paraId="42335DF6" w14:textId="77777777" w:rsidR="00B2442D" w:rsidRDefault="008A645F">
      <w:pPr>
        <w:tabs>
          <w:tab w:val="left" w:pos="144"/>
        </w:tabs>
        <w:autoSpaceDE w:val="0"/>
        <w:autoSpaceDN w:val="0"/>
        <w:adjustRightInd w:val="0"/>
        <w:spacing w:line="40" w:lineRule="atLeast"/>
        <w:ind w:left="1440"/>
        <w:jc w:val="both"/>
        <w:rPr>
          <w:rFonts w:ascii="Arial" w:hAnsi="Arial" w:cs="Arial"/>
          <w:b/>
          <w:bCs/>
          <w:color w:val="000000"/>
        </w:rPr>
      </w:pPr>
      <w:r>
        <w:rPr>
          <w:rFonts w:ascii="Arial" w:hAnsi="Arial" w:cs="Arial"/>
          <w:b/>
          <w:bCs/>
          <w:color w:val="000000"/>
        </w:rPr>
        <w:t xml:space="preserve">                          PAGO SEGUNDA CUOTA</w:t>
      </w:r>
    </w:p>
    <w:p w14:paraId="47A8835A" w14:textId="77777777" w:rsidR="00B2442D" w:rsidRDefault="00B2442D">
      <w:pPr>
        <w:tabs>
          <w:tab w:val="left" w:pos="144"/>
        </w:tabs>
        <w:autoSpaceDE w:val="0"/>
        <w:autoSpaceDN w:val="0"/>
        <w:adjustRightInd w:val="0"/>
        <w:spacing w:line="40" w:lineRule="atLeast"/>
        <w:ind w:left="1440"/>
        <w:jc w:val="both"/>
        <w:rPr>
          <w:rFonts w:ascii="Arial" w:hAnsi="Arial" w:cs="Arial"/>
          <w:bCs/>
          <w:color w:val="000000"/>
        </w:rPr>
      </w:pPr>
    </w:p>
    <w:tbl>
      <w:tblPr>
        <w:tblW w:w="4503" w:type="dxa"/>
        <w:jc w:val="center"/>
        <w:tblCellMar>
          <w:left w:w="70" w:type="dxa"/>
          <w:right w:w="70" w:type="dxa"/>
        </w:tblCellMar>
        <w:tblLook w:val="04A0" w:firstRow="1" w:lastRow="0" w:firstColumn="1" w:lastColumn="0" w:noHBand="0" w:noVBand="1"/>
      </w:tblPr>
      <w:tblGrid>
        <w:gridCol w:w="1367"/>
        <w:gridCol w:w="3136"/>
      </w:tblGrid>
      <w:tr w:rsidR="00B2442D" w14:paraId="12D54D28" w14:textId="77777777">
        <w:trPr>
          <w:trHeight w:val="568"/>
          <w:tblHeader/>
          <w:jc w:val="center"/>
        </w:trPr>
        <w:tc>
          <w:tcPr>
            <w:tcW w:w="1367" w:type="dxa"/>
            <w:tcBorders>
              <w:top w:val="single" w:sz="8" w:space="0" w:color="auto"/>
              <w:left w:val="single" w:sz="8" w:space="0" w:color="auto"/>
              <w:bottom w:val="single" w:sz="8" w:space="0" w:color="000000"/>
              <w:right w:val="single" w:sz="8" w:space="0" w:color="auto"/>
            </w:tcBorders>
            <w:shd w:val="clear" w:color="000000" w:fill="BFBFBF"/>
            <w:vAlign w:val="center"/>
            <w:hideMark/>
          </w:tcPr>
          <w:p w14:paraId="26C3FD7F"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Si el último dígito es</w:t>
            </w:r>
          </w:p>
        </w:tc>
        <w:tc>
          <w:tcPr>
            <w:tcW w:w="3136" w:type="dxa"/>
            <w:tcBorders>
              <w:top w:val="single" w:sz="8" w:space="0" w:color="auto"/>
              <w:left w:val="single" w:sz="8" w:space="0" w:color="auto"/>
              <w:right w:val="single" w:sz="8" w:space="0" w:color="auto"/>
            </w:tcBorders>
            <w:shd w:val="clear" w:color="000000" w:fill="BFBFBF"/>
            <w:noWrap/>
            <w:vAlign w:val="center"/>
            <w:hideMark/>
          </w:tcPr>
          <w:p w14:paraId="47E0B6E5"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1C6323E9"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1BFDA27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3136" w:type="dxa"/>
            <w:tcBorders>
              <w:top w:val="single" w:sz="4" w:space="0" w:color="auto"/>
              <w:left w:val="nil"/>
              <w:bottom w:val="single" w:sz="8" w:space="0" w:color="auto"/>
              <w:right w:val="single" w:sz="8" w:space="0" w:color="auto"/>
            </w:tcBorders>
            <w:shd w:val="clear" w:color="auto" w:fill="auto"/>
            <w:noWrap/>
            <w:vAlign w:val="center"/>
            <w:hideMark/>
          </w:tcPr>
          <w:p w14:paraId="6C4E8C2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 8 de junio de 2017</w:t>
            </w:r>
          </w:p>
        </w:tc>
      </w:tr>
      <w:tr w:rsidR="00B2442D" w14:paraId="7EE15C69"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22656B9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3136" w:type="dxa"/>
            <w:tcBorders>
              <w:top w:val="nil"/>
              <w:left w:val="nil"/>
              <w:bottom w:val="single" w:sz="8" w:space="0" w:color="auto"/>
              <w:right w:val="single" w:sz="8" w:space="0" w:color="auto"/>
            </w:tcBorders>
            <w:shd w:val="clear" w:color="auto" w:fill="auto"/>
            <w:noWrap/>
            <w:vAlign w:val="center"/>
            <w:hideMark/>
          </w:tcPr>
          <w:p w14:paraId="27DDB12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junio de 2017</w:t>
            </w:r>
          </w:p>
        </w:tc>
      </w:tr>
      <w:tr w:rsidR="00B2442D" w14:paraId="3196EEA3"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26A31A0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3136" w:type="dxa"/>
            <w:tcBorders>
              <w:top w:val="nil"/>
              <w:left w:val="nil"/>
              <w:bottom w:val="single" w:sz="8" w:space="0" w:color="auto"/>
              <w:right w:val="single" w:sz="8" w:space="0" w:color="auto"/>
            </w:tcBorders>
            <w:shd w:val="clear" w:color="auto" w:fill="auto"/>
            <w:noWrap/>
            <w:vAlign w:val="center"/>
            <w:hideMark/>
          </w:tcPr>
          <w:p w14:paraId="5A2AA8B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junio de 2017</w:t>
            </w:r>
          </w:p>
        </w:tc>
      </w:tr>
      <w:tr w:rsidR="00B2442D" w14:paraId="753BC044"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064DB69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3136" w:type="dxa"/>
            <w:tcBorders>
              <w:top w:val="nil"/>
              <w:left w:val="nil"/>
              <w:bottom w:val="single" w:sz="8" w:space="0" w:color="auto"/>
              <w:right w:val="single" w:sz="8" w:space="0" w:color="auto"/>
            </w:tcBorders>
            <w:shd w:val="clear" w:color="auto" w:fill="auto"/>
            <w:noWrap/>
            <w:vAlign w:val="center"/>
            <w:hideMark/>
          </w:tcPr>
          <w:p w14:paraId="6E635EE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junio de 2017</w:t>
            </w:r>
          </w:p>
        </w:tc>
      </w:tr>
      <w:tr w:rsidR="00B2442D" w14:paraId="739D12C5"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104BEB8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3136" w:type="dxa"/>
            <w:tcBorders>
              <w:top w:val="nil"/>
              <w:left w:val="nil"/>
              <w:bottom w:val="single" w:sz="8" w:space="0" w:color="auto"/>
              <w:right w:val="single" w:sz="8" w:space="0" w:color="auto"/>
            </w:tcBorders>
            <w:shd w:val="clear" w:color="auto" w:fill="auto"/>
            <w:noWrap/>
            <w:vAlign w:val="center"/>
            <w:hideMark/>
          </w:tcPr>
          <w:p w14:paraId="4B96CF5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junio de 2017</w:t>
            </w:r>
          </w:p>
        </w:tc>
      </w:tr>
      <w:tr w:rsidR="00B2442D" w14:paraId="082541D7"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6BE60B6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3136" w:type="dxa"/>
            <w:tcBorders>
              <w:top w:val="nil"/>
              <w:left w:val="nil"/>
              <w:bottom w:val="single" w:sz="8" w:space="0" w:color="auto"/>
              <w:right w:val="single" w:sz="8" w:space="0" w:color="auto"/>
            </w:tcBorders>
            <w:shd w:val="clear" w:color="auto" w:fill="auto"/>
            <w:noWrap/>
            <w:vAlign w:val="center"/>
            <w:hideMark/>
          </w:tcPr>
          <w:p w14:paraId="735111D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junio de 2017</w:t>
            </w:r>
          </w:p>
        </w:tc>
      </w:tr>
      <w:tr w:rsidR="00B2442D" w14:paraId="02DBA347"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185B908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3136" w:type="dxa"/>
            <w:tcBorders>
              <w:top w:val="nil"/>
              <w:left w:val="nil"/>
              <w:bottom w:val="single" w:sz="8" w:space="0" w:color="auto"/>
              <w:right w:val="single" w:sz="8" w:space="0" w:color="auto"/>
            </w:tcBorders>
            <w:shd w:val="clear" w:color="auto" w:fill="auto"/>
            <w:noWrap/>
            <w:vAlign w:val="center"/>
            <w:hideMark/>
          </w:tcPr>
          <w:p w14:paraId="0BC4401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junio de 2017</w:t>
            </w:r>
          </w:p>
        </w:tc>
      </w:tr>
      <w:tr w:rsidR="00B2442D" w14:paraId="47049E08"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3F13840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3136" w:type="dxa"/>
            <w:tcBorders>
              <w:top w:val="nil"/>
              <w:left w:val="nil"/>
              <w:bottom w:val="single" w:sz="8" w:space="0" w:color="auto"/>
              <w:right w:val="single" w:sz="8" w:space="0" w:color="auto"/>
            </w:tcBorders>
            <w:shd w:val="clear" w:color="auto" w:fill="auto"/>
            <w:noWrap/>
            <w:vAlign w:val="center"/>
            <w:hideMark/>
          </w:tcPr>
          <w:p w14:paraId="6ABBF07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20 de </w:t>
            </w:r>
            <w:r>
              <w:rPr>
                <w:rFonts w:ascii="Arial" w:hAnsi="Arial" w:cs="Arial"/>
                <w:color w:val="000000"/>
                <w:lang w:val="es-CO" w:eastAsia="es-CO"/>
              </w:rPr>
              <w:t>junio de 2017</w:t>
            </w:r>
          </w:p>
        </w:tc>
      </w:tr>
      <w:tr w:rsidR="00B2442D" w14:paraId="0CA1B6F4"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172F777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3136" w:type="dxa"/>
            <w:tcBorders>
              <w:top w:val="nil"/>
              <w:left w:val="nil"/>
              <w:bottom w:val="single" w:sz="8" w:space="0" w:color="auto"/>
              <w:right w:val="single" w:sz="8" w:space="0" w:color="auto"/>
            </w:tcBorders>
            <w:shd w:val="clear" w:color="auto" w:fill="auto"/>
            <w:noWrap/>
            <w:vAlign w:val="center"/>
            <w:hideMark/>
          </w:tcPr>
          <w:p w14:paraId="1306F2E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junio de 2017</w:t>
            </w:r>
          </w:p>
        </w:tc>
      </w:tr>
      <w:tr w:rsidR="00B2442D" w14:paraId="7A89EAEE" w14:textId="77777777">
        <w:trPr>
          <w:trHeight w:val="345"/>
          <w:jc w:val="center"/>
        </w:trPr>
        <w:tc>
          <w:tcPr>
            <w:tcW w:w="1367" w:type="dxa"/>
            <w:tcBorders>
              <w:top w:val="nil"/>
              <w:left w:val="single" w:sz="8" w:space="0" w:color="auto"/>
              <w:bottom w:val="single" w:sz="8" w:space="0" w:color="auto"/>
              <w:right w:val="single" w:sz="8" w:space="0" w:color="auto"/>
            </w:tcBorders>
            <w:shd w:val="clear" w:color="auto" w:fill="auto"/>
            <w:noWrap/>
            <w:vAlign w:val="center"/>
          </w:tcPr>
          <w:p w14:paraId="32F46E1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3136" w:type="dxa"/>
            <w:tcBorders>
              <w:top w:val="nil"/>
              <w:left w:val="nil"/>
              <w:bottom w:val="single" w:sz="8" w:space="0" w:color="auto"/>
              <w:right w:val="single" w:sz="8" w:space="0" w:color="auto"/>
            </w:tcBorders>
            <w:shd w:val="clear" w:color="auto" w:fill="auto"/>
            <w:noWrap/>
            <w:vAlign w:val="center"/>
            <w:hideMark/>
          </w:tcPr>
          <w:p w14:paraId="6630D5E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junio de 2017</w:t>
            </w:r>
          </w:p>
        </w:tc>
      </w:tr>
    </w:tbl>
    <w:p w14:paraId="1806B6A2" w14:textId="77777777" w:rsidR="00B2442D" w:rsidRDefault="00B2442D">
      <w:pPr>
        <w:pStyle w:val="Prrafodelista"/>
        <w:ind w:left="2148"/>
        <w:jc w:val="both"/>
        <w:rPr>
          <w:rFonts w:ascii="Arial" w:hAnsi="Arial" w:cs="Arial"/>
        </w:rPr>
      </w:pPr>
    </w:p>
    <w:p w14:paraId="5499163A" w14:textId="77777777" w:rsidR="00B2442D" w:rsidRDefault="008A645F">
      <w:pPr>
        <w:shd w:val="clear" w:color="auto" w:fill="FFFFFF"/>
        <w:spacing w:line="40" w:lineRule="atLeast"/>
        <w:jc w:val="both"/>
        <w:rPr>
          <w:rFonts w:ascii="Arial" w:hAnsi="Arial" w:cs="Arial"/>
        </w:rPr>
      </w:pPr>
      <w:r>
        <w:rPr>
          <w:rFonts w:ascii="Arial" w:hAnsi="Arial" w:cs="Arial"/>
          <w:b/>
          <w:color w:val="000000"/>
        </w:rPr>
        <w:t>Parágrafo 1</w:t>
      </w:r>
      <w:r>
        <w:rPr>
          <w:rFonts w:ascii="Arial" w:hAnsi="Arial" w:cs="Arial"/>
          <w:color w:val="000000"/>
        </w:rPr>
        <w:t xml:space="preserve">. </w:t>
      </w:r>
      <w:r>
        <w:rPr>
          <w:rFonts w:ascii="Arial" w:hAnsi="Arial" w:cs="Arial"/>
        </w:rPr>
        <w:t xml:space="preserve">Las sucursales y demás establecimientos permanentes de sociedades y entidades extranjeras y de personas naturales no residentes en el país, que no tengan la calidad de Gran </w:t>
      </w:r>
      <w:r>
        <w:rPr>
          <w:rFonts w:ascii="Arial" w:hAnsi="Arial" w:cs="Arial"/>
        </w:rPr>
        <w:t>Contribuyente, que presten en forma regular el servicio de transporte aéreo, marítimo, terrestre o fluvial entre lugares colombianos y extranjeros, pueden presentar la declaración de renta y complementario por el año gravable 2016 y cancelar en una sola cu</w:t>
      </w:r>
      <w:r>
        <w:rPr>
          <w:rFonts w:ascii="Arial" w:hAnsi="Arial" w:cs="Arial"/>
        </w:rPr>
        <w:t>ota el impuesto a cargo, el anticipo y el anticipo de la sobretasa hasta el 20 de octubre de 2017, cualquiera sea el último dígito del NIT del declarante que conste en el certificado del Registro Único Tributario – RUT (sin tener en cuenta el dígito de ver</w:t>
      </w:r>
      <w:r>
        <w:rPr>
          <w:rFonts w:ascii="Arial" w:hAnsi="Arial" w:cs="Arial"/>
        </w:rPr>
        <w:t>ificación).</w:t>
      </w:r>
    </w:p>
    <w:p w14:paraId="0FF6A3D0" w14:textId="77777777" w:rsidR="00B2442D" w:rsidRDefault="008A645F">
      <w:pPr>
        <w:spacing w:line="40" w:lineRule="atLeast"/>
        <w:ind w:left="720" w:hanging="11"/>
        <w:jc w:val="both"/>
        <w:rPr>
          <w:rFonts w:ascii="Arial" w:hAnsi="Arial" w:cs="Arial"/>
          <w:color w:val="000000"/>
        </w:rPr>
      </w:pPr>
      <w:r>
        <w:rPr>
          <w:rFonts w:ascii="Arial" w:hAnsi="Arial" w:cs="Arial"/>
          <w:color w:val="000000"/>
        </w:rPr>
        <w:t>Lo anterior debe entenderse sin perjuicio de lo previsto en los tratados internacionales que haya suscrito Colombia y se encuentren en vigor.</w:t>
      </w:r>
    </w:p>
    <w:p w14:paraId="03F715E4" w14:textId="77777777" w:rsidR="00B2442D" w:rsidRDefault="00B2442D">
      <w:pPr>
        <w:ind w:left="720" w:hanging="11"/>
        <w:jc w:val="both"/>
        <w:rPr>
          <w:rFonts w:ascii="Arial" w:hAnsi="Arial" w:cs="Arial"/>
          <w:b/>
        </w:rPr>
      </w:pPr>
    </w:p>
    <w:p w14:paraId="390F8F90" w14:textId="77777777" w:rsidR="00B2442D" w:rsidRDefault="008A645F">
      <w:pPr>
        <w:jc w:val="both"/>
        <w:rPr>
          <w:rFonts w:ascii="Arial" w:hAnsi="Arial" w:cs="Arial"/>
        </w:rPr>
      </w:pPr>
      <w:r>
        <w:rPr>
          <w:rFonts w:ascii="Arial" w:hAnsi="Arial" w:cs="Arial"/>
          <w:b/>
        </w:rPr>
        <w:t>Parágrafo 2.</w:t>
      </w:r>
      <w:r>
        <w:rPr>
          <w:rFonts w:ascii="Arial" w:hAnsi="Arial" w:cs="Arial"/>
        </w:rPr>
        <w:t xml:space="preserve"> Las sociedades y entidades constituidas de acuerdo con leyes extranjeras que tengan su sede efectiva de administración en el territorio colombiano y que posean sucursales de sociedad extranjera en Colombia, deberán presentar una única declaración tributar</w:t>
      </w:r>
      <w:r>
        <w:rPr>
          <w:rFonts w:ascii="Arial" w:hAnsi="Arial" w:cs="Arial"/>
        </w:rPr>
        <w:t>ia respecto de cada uno de los tributos a cargo, en la que en forma consolidada se presente la información tributaria de la oficina principal y de la sucursal de sociedad extranjera en Colombia.</w:t>
      </w:r>
    </w:p>
    <w:p w14:paraId="250368F2" w14:textId="77777777" w:rsidR="00B2442D" w:rsidRDefault="00B2442D">
      <w:pPr>
        <w:ind w:left="720" w:hanging="11"/>
        <w:jc w:val="both"/>
        <w:rPr>
          <w:rFonts w:ascii="Arial" w:hAnsi="Arial" w:cs="Arial"/>
        </w:rPr>
      </w:pPr>
    </w:p>
    <w:p w14:paraId="0EDDD965" w14:textId="77777777" w:rsidR="00B2442D" w:rsidRDefault="008A645F">
      <w:pPr>
        <w:jc w:val="both"/>
        <w:rPr>
          <w:rFonts w:ascii="Arial" w:hAnsi="Arial" w:cs="Arial"/>
        </w:rPr>
      </w:pPr>
      <w:r>
        <w:rPr>
          <w:rFonts w:ascii="Arial" w:hAnsi="Arial" w:cs="Arial"/>
        </w:rPr>
        <w:t>Para el caso mencionado en el inciso anterior, la oficina pr</w:t>
      </w:r>
      <w:r>
        <w:rPr>
          <w:rFonts w:ascii="Arial" w:hAnsi="Arial" w:cs="Arial"/>
        </w:rPr>
        <w:t>incipal, en su calidad de sociedad o entidad con sede efectiva de administración en el territorio colombiano, será la obligada a presentar la declaración tributaria de manera consolidada respecto de cada uno de los tributos a cargo.</w:t>
      </w:r>
    </w:p>
    <w:p w14:paraId="6FE9A41F" w14:textId="77777777" w:rsidR="00B2442D" w:rsidRDefault="00B2442D">
      <w:pPr>
        <w:jc w:val="both"/>
        <w:rPr>
          <w:rFonts w:ascii="Arial" w:hAnsi="Arial" w:cs="Arial"/>
        </w:rPr>
      </w:pPr>
    </w:p>
    <w:p w14:paraId="714A2E72" w14:textId="77777777" w:rsidR="00B2442D" w:rsidRDefault="008A645F">
      <w:pPr>
        <w:spacing w:line="40" w:lineRule="atLeast"/>
        <w:ind w:right="-30"/>
        <w:jc w:val="both"/>
        <w:rPr>
          <w:rFonts w:ascii="Arial" w:hAnsi="Arial" w:cs="Arial"/>
          <w:i/>
          <w:iCs/>
          <w:color w:val="000000"/>
          <w:lang w:val="es-CO" w:eastAsia="es-CO"/>
        </w:rPr>
      </w:pPr>
      <w:r>
        <w:rPr>
          <w:rFonts w:ascii="Arial" w:hAnsi="Arial" w:cs="Arial"/>
          <w:i/>
        </w:rPr>
        <w:t>(</w:t>
      </w:r>
      <w:hyperlink r:id="rId46" w:history="1">
        <w:r>
          <w:rPr>
            <w:rStyle w:val="Hipervnculo"/>
            <w:rFonts w:ascii="Arial" w:hAnsi="Arial" w:cs="Arial"/>
            <w:i/>
          </w:rPr>
          <w:t>Art. 1 Decreto 220 de 2017</w:t>
        </w:r>
      </w:hyperlink>
      <w:r>
        <w:rPr>
          <w:rFonts w:ascii="Arial" w:hAnsi="Arial" w:cs="Arial"/>
          <w:i/>
        </w:rPr>
        <w:t xml:space="preserve"> modifica el </w:t>
      </w:r>
      <w:hyperlink r:id="rId47" w:history="1">
        <w:r>
          <w:rPr>
            <w:rStyle w:val="Hipervnculo"/>
            <w:rFonts w:ascii="Arial" w:hAnsi="Arial" w:cs="Arial"/>
            <w:i/>
          </w:rPr>
          <w:t>Art. 7 Decreto 2105 de 2016</w:t>
        </w:r>
      </w:hyperlink>
      <w:r>
        <w:rPr>
          <w:rFonts w:ascii="Arial" w:hAnsi="Arial" w:cs="Arial"/>
          <w:i/>
        </w:rPr>
        <w:t>,</w:t>
      </w:r>
      <w:r>
        <w:rPr>
          <w:rFonts w:ascii="Arial" w:hAnsi="Arial" w:cs="Arial"/>
          <w:i/>
        </w:rPr>
        <w:t xml:space="preserve">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45E4CEEA" w14:textId="77777777" w:rsidR="00B2442D" w:rsidRDefault="00B2442D">
      <w:pPr>
        <w:spacing w:line="40" w:lineRule="atLeast"/>
        <w:ind w:right="-30"/>
        <w:jc w:val="both"/>
        <w:rPr>
          <w:rFonts w:ascii="Arial" w:hAnsi="Arial" w:cs="Arial"/>
          <w:lang w:val="es-CO"/>
        </w:rPr>
      </w:pPr>
    </w:p>
    <w:p w14:paraId="75E2B874" w14:textId="77777777" w:rsidR="00B2442D" w:rsidRDefault="008A645F">
      <w:pPr>
        <w:pStyle w:val="Prrafodelista"/>
        <w:numPr>
          <w:ilvl w:val="0"/>
          <w:numId w:val="152"/>
        </w:numPr>
        <w:spacing w:line="40" w:lineRule="atLeast"/>
        <w:ind w:left="0" w:right="-30" w:firstLine="0"/>
        <w:jc w:val="both"/>
        <w:rPr>
          <w:rFonts w:ascii="Arial" w:eastAsia="Arial" w:hAnsi="Arial" w:cs="Arial"/>
          <w:w w:val="105"/>
          <w:lang w:val="es-CO"/>
        </w:rPr>
      </w:pPr>
      <w:r>
        <w:rPr>
          <w:rFonts w:ascii="Arial" w:eastAsia="Arial" w:hAnsi="Arial" w:cs="Arial"/>
          <w:b/>
          <w:w w:val="105"/>
          <w:lang w:val="es-CO"/>
        </w:rPr>
        <w:t xml:space="preserve"> </w:t>
      </w:r>
      <w:r>
        <w:rPr>
          <w:rFonts w:ascii="Arial" w:eastAsia="Arial" w:hAnsi="Arial" w:cs="Arial"/>
          <w:b/>
          <w:i/>
          <w:w w:val="105"/>
          <w:lang w:val="es-CO"/>
        </w:rPr>
        <w:t xml:space="preserve">Entidades del </w:t>
      </w:r>
      <w:r>
        <w:rPr>
          <w:rFonts w:ascii="Arial" w:eastAsia="Arial" w:hAnsi="Arial" w:cs="Arial"/>
          <w:b/>
          <w:i/>
          <w:spacing w:val="4"/>
          <w:w w:val="105"/>
          <w:lang w:val="es-CO"/>
        </w:rPr>
        <w:t xml:space="preserve"> </w:t>
      </w:r>
      <w:r>
        <w:rPr>
          <w:rFonts w:ascii="Arial" w:eastAsia="Arial" w:hAnsi="Arial" w:cs="Arial"/>
          <w:b/>
          <w:i/>
          <w:w w:val="105"/>
          <w:lang w:val="es-CO"/>
        </w:rPr>
        <w:t xml:space="preserve">sector </w:t>
      </w:r>
      <w:r>
        <w:rPr>
          <w:rFonts w:ascii="Arial" w:eastAsia="Arial" w:hAnsi="Arial" w:cs="Arial"/>
          <w:b/>
          <w:i/>
          <w:spacing w:val="25"/>
          <w:w w:val="105"/>
          <w:lang w:val="es-CO"/>
        </w:rPr>
        <w:t xml:space="preserve"> </w:t>
      </w:r>
      <w:r>
        <w:rPr>
          <w:rFonts w:ascii="Arial" w:eastAsia="Arial" w:hAnsi="Arial" w:cs="Arial"/>
          <w:b/>
          <w:i/>
          <w:w w:val="105"/>
          <w:lang w:val="es-CO"/>
        </w:rPr>
        <w:t>cooperativo.</w:t>
      </w:r>
      <w:r>
        <w:rPr>
          <w:rFonts w:ascii="Arial" w:eastAsia="Arial" w:hAnsi="Arial" w:cs="Arial"/>
          <w:b/>
          <w:w w:val="105"/>
          <w:lang w:val="es-CO"/>
        </w:rPr>
        <w:t xml:space="preserve"> </w:t>
      </w:r>
      <w:r>
        <w:rPr>
          <w:rFonts w:ascii="Arial" w:eastAsia="Arial" w:hAnsi="Arial" w:cs="Arial"/>
          <w:b/>
          <w:spacing w:val="37"/>
          <w:w w:val="105"/>
          <w:lang w:val="es-CO"/>
        </w:rPr>
        <w:t xml:space="preserve"> </w:t>
      </w:r>
      <w:r>
        <w:rPr>
          <w:rFonts w:ascii="Arial" w:eastAsia="Arial" w:hAnsi="Arial" w:cs="Arial"/>
          <w:w w:val="105"/>
          <w:lang w:val="es-CO"/>
        </w:rPr>
        <w:t>Las entidades del sector cooperativo del régimen tributario especial, deberán presentar y pagar la dec</w:t>
      </w:r>
      <w:r>
        <w:rPr>
          <w:rFonts w:ascii="Arial" w:eastAsia="Arial" w:hAnsi="Arial" w:cs="Arial"/>
          <w:w w:val="105"/>
          <w:lang w:val="es-CO"/>
        </w:rPr>
        <w:t>laración del Impuesto sobre la Renta y Complementario por el año gravable 2016, dentro de los plazos señalados para las personas jurídicas en el artículo 1.6.1.13.2.12 del presente decreto, de acuerdo con el último o los dos (2) últimos dígitos del NIT que</w:t>
      </w:r>
      <w:r>
        <w:rPr>
          <w:rFonts w:ascii="Arial" w:eastAsia="Arial" w:hAnsi="Arial" w:cs="Arial"/>
          <w:w w:val="105"/>
          <w:lang w:val="es-CO"/>
        </w:rPr>
        <w:t xml:space="preserve"> conste en el certificado del Registro Único Tributario - RUT, sin tener en cuenta el dígito de verificación.</w:t>
      </w:r>
    </w:p>
    <w:p w14:paraId="15CB24FE" w14:textId="77777777" w:rsidR="00B2442D" w:rsidRDefault="00B2442D">
      <w:pPr>
        <w:pStyle w:val="Prrafodelista"/>
        <w:spacing w:line="40" w:lineRule="atLeast"/>
        <w:ind w:left="0" w:right="-30"/>
        <w:jc w:val="both"/>
        <w:rPr>
          <w:rFonts w:ascii="Arial" w:eastAsia="Arial" w:hAnsi="Arial" w:cs="Arial"/>
          <w:w w:val="105"/>
          <w:lang w:val="es-CO"/>
        </w:rPr>
      </w:pPr>
    </w:p>
    <w:p w14:paraId="2D56D8A6" w14:textId="77777777" w:rsidR="00B2442D" w:rsidRDefault="008A645F">
      <w:pPr>
        <w:pStyle w:val="Prrafodelista"/>
        <w:spacing w:line="40" w:lineRule="atLeast"/>
        <w:ind w:left="0" w:right="-30"/>
        <w:jc w:val="both"/>
        <w:rPr>
          <w:rFonts w:ascii="Arial" w:eastAsia="Arial" w:hAnsi="Arial" w:cs="Arial"/>
          <w:w w:val="105"/>
          <w:lang w:val="es-CO"/>
        </w:rPr>
      </w:pPr>
      <w:r>
        <w:rPr>
          <w:rFonts w:ascii="Arial" w:eastAsia="Arial" w:hAnsi="Arial" w:cs="Arial"/>
          <w:w w:val="105"/>
          <w:lang w:val="es-CO"/>
        </w:rPr>
        <w:t>Las entidades cooperativas de integración del régimen tributario especial, podrán presentar la declaración del impuesto sobre la renta y compleme</w:t>
      </w:r>
      <w:r>
        <w:rPr>
          <w:rFonts w:ascii="Arial" w:eastAsia="Arial" w:hAnsi="Arial" w:cs="Arial"/>
          <w:w w:val="105"/>
          <w:lang w:val="es-CO"/>
        </w:rPr>
        <w:t>ntario por el año gravable 2016, hasta el día 23 de mayo del año 2017.</w:t>
      </w:r>
    </w:p>
    <w:p w14:paraId="77C230DE" w14:textId="77777777" w:rsidR="00B2442D" w:rsidRDefault="00B2442D">
      <w:pPr>
        <w:pStyle w:val="Prrafodelista"/>
        <w:spacing w:line="40" w:lineRule="atLeast"/>
        <w:ind w:left="0" w:right="-30"/>
        <w:jc w:val="both"/>
        <w:rPr>
          <w:rFonts w:ascii="Arial" w:hAnsi="Arial" w:cs="Arial"/>
          <w:lang w:val="es-CO"/>
        </w:rPr>
      </w:pPr>
    </w:p>
    <w:p w14:paraId="6FD9A94F" w14:textId="77777777" w:rsidR="00B2442D" w:rsidRDefault="008A645F">
      <w:pPr>
        <w:spacing w:line="40" w:lineRule="atLeast"/>
        <w:ind w:right="-30"/>
        <w:jc w:val="both"/>
        <w:rPr>
          <w:rFonts w:ascii="Arial" w:hAnsi="Arial" w:cs="Arial"/>
          <w:i/>
          <w:lang w:val="es-ES_tradnl"/>
        </w:rPr>
      </w:pPr>
      <w:r>
        <w:rPr>
          <w:rFonts w:ascii="Arial" w:hAnsi="Arial" w:cs="Arial"/>
          <w:i/>
          <w:lang w:val="es-ES_tradnl"/>
        </w:rPr>
        <w:t>(</w:t>
      </w:r>
      <w:hyperlink r:id="rId48" w:history="1">
        <w:r>
          <w:rPr>
            <w:rStyle w:val="Hipervnculo"/>
            <w:rFonts w:ascii="Arial" w:hAnsi="Arial" w:cs="Arial"/>
            <w:i/>
            <w:lang w:val="es-ES_tradnl"/>
          </w:rPr>
          <w:t>Art. 8 Decreto 2105 de 2016</w:t>
        </w:r>
      </w:hyperlink>
      <w:r>
        <w:rPr>
          <w:rFonts w:ascii="Arial" w:hAnsi="Arial" w:cs="Arial"/>
          <w:i/>
          <w:lang w:val="es-ES_tradnl"/>
        </w:rPr>
        <w:t>, plazos 2016: Decreto 2243 de 2015; plazos 2015: Decreto 2623 de 2014; plazos 2014: Decreto 2972 de 2013 y Decreto 685 de 201</w:t>
      </w:r>
      <w:r>
        <w:rPr>
          <w:rFonts w:ascii="Arial" w:hAnsi="Arial" w:cs="Arial"/>
          <w:i/>
          <w:lang w:val="es-ES_tradnl"/>
        </w:rPr>
        <w:t>4; plazos 2013: Decreto 2634 de 2012 y Decreto 0187 de 2013; plazos 2012: Decreto 4907 de 2011; plazos 2011: Decreto 4836 de 2010 y Decreto 1358 de 2011)</w:t>
      </w:r>
    </w:p>
    <w:p w14:paraId="0C4134DD" w14:textId="77777777" w:rsidR="00B2442D" w:rsidRDefault="00B2442D">
      <w:pPr>
        <w:spacing w:line="40" w:lineRule="atLeast"/>
        <w:ind w:right="-30"/>
        <w:jc w:val="both"/>
        <w:rPr>
          <w:rFonts w:ascii="Arial" w:hAnsi="Arial" w:cs="Arial"/>
          <w:lang w:val="es-CO"/>
        </w:rPr>
      </w:pPr>
    </w:p>
    <w:p w14:paraId="3C95AAD2"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w:t>
      </w:r>
      <w:r>
        <w:rPr>
          <w:rFonts w:cs="Arial"/>
          <w:b/>
          <w:i/>
          <w:spacing w:val="31"/>
          <w:lang w:val="es-CO"/>
        </w:rPr>
        <w:t xml:space="preserve"> </w:t>
      </w:r>
      <w:r>
        <w:rPr>
          <w:rFonts w:cs="Arial"/>
          <w:b/>
          <w:i/>
          <w:lang w:val="es-CO"/>
        </w:rPr>
        <w:t>de</w:t>
      </w:r>
      <w:r>
        <w:rPr>
          <w:rFonts w:cs="Arial"/>
          <w:b/>
          <w:i/>
          <w:spacing w:val="3"/>
          <w:lang w:val="es-CO"/>
        </w:rPr>
        <w:t xml:space="preserve"> </w:t>
      </w:r>
      <w:r>
        <w:rPr>
          <w:rFonts w:cs="Arial"/>
          <w:b/>
          <w:i/>
          <w:lang w:val="es-CO"/>
        </w:rPr>
        <w:t>renta</w:t>
      </w:r>
      <w:r>
        <w:rPr>
          <w:rFonts w:cs="Arial"/>
          <w:b/>
          <w:i/>
          <w:spacing w:val="2"/>
          <w:lang w:val="es-CO"/>
        </w:rPr>
        <w:t xml:space="preserve"> </w:t>
      </w:r>
      <w:r>
        <w:rPr>
          <w:rFonts w:cs="Arial"/>
          <w:b/>
          <w:i/>
          <w:lang w:val="es-CO"/>
        </w:rPr>
        <w:t>y</w:t>
      </w:r>
      <w:r>
        <w:rPr>
          <w:rFonts w:cs="Arial"/>
          <w:b/>
          <w:i/>
          <w:spacing w:val="15"/>
          <w:lang w:val="es-CO"/>
        </w:rPr>
        <w:t xml:space="preserve"> </w:t>
      </w:r>
      <w:r>
        <w:rPr>
          <w:rFonts w:cs="Arial"/>
          <w:b/>
          <w:i/>
          <w:lang w:val="es-CO"/>
        </w:rPr>
        <w:t>complementario</w:t>
      </w:r>
      <w:r>
        <w:rPr>
          <w:rFonts w:cs="Arial"/>
          <w:b/>
          <w:i/>
          <w:spacing w:val="45"/>
          <w:lang w:val="es-CO"/>
        </w:rPr>
        <w:t xml:space="preserve"> </w:t>
      </w:r>
      <w:r>
        <w:rPr>
          <w:rFonts w:cs="Arial"/>
          <w:b/>
          <w:i/>
          <w:lang w:val="es-CO"/>
        </w:rPr>
        <w:t>de</w:t>
      </w:r>
      <w:r>
        <w:rPr>
          <w:rFonts w:cs="Arial"/>
          <w:b/>
          <w:i/>
          <w:spacing w:val="3"/>
          <w:lang w:val="es-CO"/>
        </w:rPr>
        <w:t xml:space="preserve"> </w:t>
      </w:r>
      <w:r>
        <w:rPr>
          <w:rFonts w:cs="Arial"/>
          <w:b/>
          <w:i/>
          <w:lang w:val="es-CO"/>
        </w:rPr>
        <w:t>personas</w:t>
      </w:r>
      <w:r>
        <w:rPr>
          <w:rFonts w:cs="Arial"/>
          <w:b/>
          <w:i/>
          <w:w w:val="98"/>
          <w:lang w:val="es-CO"/>
        </w:rPr>
        <w:t xml:space="preserve"> </w:t>
      </w:r>
      <w:r>
        <w:rPr>
          <w:rFonts w:cs="Arial"/>
          <w:b/>
          <w:i/>
          <w:lang w:val="es-CO"/>
        </w:rPr>
        <w:t>naturales</w:t>
      </w:r>
      <w:r>
        <w:rPr>
          <w:rFonts w:cs="Arial"/>
          <w:b/>
          <w:i/>
          <w:spacing w:val="44"/>
          <w:lang w:val="es-CO"/>
        </w:rPr>
        <w:t xml:space="preserve"> </w:t>
      </w:r>
      <w:r>
        <w:rPr>
          <w:rFonts w:cs="Arial"/>
          <w:b/>
          <w:i/>
          <w:lang w:val="es-CO"/>
        </w:rPr>
        <w:t>(empleados,</w:t>
      </w:r>
      <w:r>
        <w:rPr>
          <w:rFonts w:cs="Arial"/>
          <w:b/>
          <w:i/>
          <w:spacing w:val="41"/>
          <w:lang w:val="es-CO"/>
        </w:rPr>
        <w:t xml:space="preserve"> </w:t>
      </w:r>
      <w:r>
        <w:rPr>
          <w:rFonts w:cs="Arial"/>
          <w:b/>
          <w:i/>
          <w:lang w:val="es-CO"/>
        </w:rPr>
        <w:t>trabajadores</w:t>
      </w:r>
      <w:r>
        <w:rPr>
          <w:rFonts w:cs="Arial"/>
          <w:b/>
          <w:i/>
          <w:spacing w:val="63"/>
          <w:lang w:val="es-CO"/>
        </w:rPr>
        <w:t xml:space="preserve"> </w:t>
      </w:r>
      <w:r>
        <w:rPr>
          <w:rFonts w:cs="Arial"/>
          <w:b/>
          <w:i/>
          <w:lang w:val="es-CO"/>
        </w:rPr>
        <w:t>por</w:t>
      </w:r>
      <w:r>
        <w:rPr>
          <w:rFonts w:cs="Arial"/>
          <w:b/>
          <w:i/>
          <w:spacing w:val="30"/>
          <w:lang w:val="es-CO"/>
        </w:rPr>
        <w:t xml:space="preserve"> </w:t>
      </w:r>
      <w:r>
        <w:rPr>
          <w:rFonts w:cs="Arial"/>
          <w:b/>
          <w:i/>
          <w:lang w:val="es-CO"/>
        </w:rPr>
        <w:t>cuenta</w:t>
      </w:r>
      <w:r>
        <w:rPr>
          <w:rFonts w:cs="Arial"/>
          <w:b/>
          <w:i/>
          <w:spacing w:val="55"/>
          <w:lang w:val="es-CO"/>
        </w:rPr>
        <w:t xml:space="preserve"> </w:t>
      </w:r>
      <w:r>
        <w:rPr>
          <w:rFonts w:cs="Arial"/>
          <w:b/>
          <w:i/>
          <w:lang w:val="es-CO"/>
        </w:rPr>
        <w:t>propia</w:t>
      </w:r>
      <w:r>
        <w:rPr>
          <w:rFonts w:cs="Arial"/>
          <w:b/>
          <w:i/>
          <w:spacing w:val="26"/>
          <w:lang w:val="es-CO"/>
        </w:rPr>
        <w:t xml:space="preserve"> </w:t>
      </w:r>
      <w:r>
        <w:rPr>
          <w:rFonts w:cs="Arial"/>
          <w:b/>
          <w:i/>
          <w:lang w:val="es-CO"/>
        </w:rPr>
        <w:t>y</w:t>
      </w:r>
      <w:r>
        <w:rPr>
          <w:rFonts w:cs="Arial"/>
          <w:b/>
          <w:i/>
          <w:spacing w:val="41"/>
          <w:lang w:val="es-CO"/>
        </w:rPr>
        <w:t xml:space="preserve"> </w:t>
      </w:r>
      <w:r>
        <w:rPr>
          <w:rFonts w:cs="Arial"/>
          <w:b/>
          <w:i/>
          <w:lang w:val="es-CO"/>
        </w:rPr>
        <w:t>demás</w:t>
      </w:r>
      <w:r>
        <w:rPr>
          <w:rFonts w:cs="Arial"/>
          <w:b/>
          <w:i/>
          <w:w w:val="99"/>
          <w:lang w:val="es-CO"/>
        </w:rPr>
        <w:t xml:space="preserve"> </w:t>
      </w:r>
      <w:r>
        <w:rPr>
          <w:rFonts w:cs="Arial"/>
          <w:b/>
          <w:i/>
          <w:lang w:val="es-CO"/>
        </w:rPr>
        <w:t xml:space="preserve">personas naturales y  </w:t>
      </w:r>
      <w:r>
        <w:rPr>
          <w:rFonts w:cs="Arial"/>
          <w:b/>
          <w:i/>
          <w:spacing w:val="25"/>
          <w:lang w:val="es-CO"/>
        </w:rPr>
        <w:t xml:space="preserve"> </w:t>
      </w:r>
      <w:r>
        <w:rPr>
          <w:rFonts w:cs="Arial"/>
          <w:b/>
          <w:i/>
          <w:lang w:val="es-CO"/>
        </w:rPr>
        <w:t xml:space="preserve">asimiladas   </w:t>
      </w:r>
      <w:r>
        <w:rPr>
          <w:rFonts w:cs="Arial"/>
          <w:b/>
          <w:i/>
          <w:spacing w:val="4"/>
          <w:lang w:val="es-CO"/>
        </w:rPr>
        <w:t xml:space="preserve"> </w:t>
      </w:r>
      <w:r>
        <w:rPr>
          <w:rFonts w:cs="Arial"/>
          <w:b/>
          <w:i/>
          <w:lang w:val="es-CO"/>
        </w:rPr>
        <w:t>residentes) y sucesiones ilíquidas.</w:t>
      </w:r>
      <w:r>
        <w:rPr>
          <w:rFonts w:cs="Arial"/>
          <w:spacing w:val="19"/>
          <w:lang w:val="es-CO"/>
        </w:rPr>
        <w:t xml:space="preserve"> </w:t>
      </w:r>
      <w:r>
        <w:rPr>
          <w:rFonts w:cs="Arial"/>
          <w:lang w:val="es-CO"/>
        </w:rPr>
        <w:t>Por el año gravable 2016 deberán presentar la declaración del impuesto sobre la renta y complementario, o declaración del impuesto mínimo alternativo simplificado -IMAS</w:t>
      </w:r>
      <w:r>
        <w:rPr>
          <w:rFonts w:cs="Arial"/>
          <w:lang w:val="es-CO"/>
        </w:rPr>
        <w:t xml:space="preserve"> cuando el contribuyente obligado a declarar opte por determinar la base gravable y declarar por este sistema, en el formulario prescrito por la Unidad Administrativa Especial Dirección de Impuestos y Aduanas Nacionales - DIAN, las personas naturales y las</w:t>
      </w:r>
      <w:r>
        <w:rPr>
          <w:rFonts w:cs="Arial"/>
          <w:lang w:val="es-CO"/>
        </w:rPr>
        <w:t xml:space="preserve"> sucesiones ilíquidas, con excepción de las señaladas en el artículo 1.6.1.13.2.7. del presente Decreto, así como los bienes destinados a fines especiales en virtud de donaciones y asignaciones modales, cuyos donatarios o asignatarios no los usufructúen pe</w:t>
      </w:r>
      <w:r>
        <w:rPr>
          <w:rFonts w:cs="Arial"/>
          <w:lang w:val="es-CO"/>
        </w:rPr>
        <w:t xml:space="preserve">rsonalmente, así como las personas naturales no residentes que obtengan renta a través de establecimientos permanentes en Colombia.  </w:t>
      </w:r>
    </w:p>
    <w:p w14:paraId="54C71E64" w14:textId="77777777" w:rsidR="00B2442D" w:rsidRDefault="00B2442D">
      <w:pPr>
        <w:pStyle w:val="Textoindependiente"/>
        <w:spacing w:line="40" w:lineRule="atLeast"/>
        <w:ind w:right="-30"/>
        <w:jc w:val="both"/>
        <w:rPr>
          <w:rFonts w:cs="Arial"/>
          <w:lang w:val="es-CO"/>
        </w:rPr>
      </w:pPr>
    </w:p>
    <w:p w14:paraId="75E5D5F1" w14:textId="77777777" w:rsidR="00B2442D" w:rsidRDefault="008A645F">
      <w:pPr>
        <w:pStyle w:val="Textoindependiente"/>
        <w:spacing w:line="40" w:lineRule="atLeast"/>
        <w:ind w:right="-30"/>
        <w:jc w:val="both"/>
        <w:rPr>
          <w:rFonts w:cs="Arial"/>
          <w:lang w:val="es-CO"/>
        </w:rPr>
      </w:pPr>
      <w:r>
        <w:rPr>
          <w:rFonts w:cs="Arial"/>
          <w:lang w:val="es-CO"/>
        </w:rPr>
        <w:t>El plazo para presentar la declaración y cancelar, en una sola cuota, el valor a pagar por concepto del impuesto sobre la</w:t>
      </w:r>
      <w:r>
        <w:rPr>
          <w:rFonts w:cs="Arial"/>
          <w:lang w:val="es-CO"/>
        </w:rPr>
        <w:t xml:space="preserve"> renta y complementario y del anticipo, se inicia el 8 de marzo de 2017 y vence en las fechas del mismo año que se indican a continuación, atendiendo los dos últimos dígitos del NIT del declarante que conste en el certificado del Registro Único Tributario </w:t>
      </w:r>
      <w:r>
        <w:rPr>
          <w:rFonts w:cs="Arial"/>
          <w:lang w:val="es-CO"/>
        </w:rPr>
        <w:t>- RUT, sin tener en cuenta el dígito de verificación, así:</w:t>
      </w:r>
    </w:p>
    <w:p w14:paraId="0D4D62CF" w14:textId="77777777" w:rsidR="00B2442D" w:rsidRDefault="00B2442D">
      <w:pPr>
        <w:pStyle w:val="Prrafodelista"/>
        <w:ind w:left="1428"/>
        <w:rPr>
          <w:rFonts w:ascii="Arial" w:hAnsi="Arial" w:cs="Arial"/>
        </w:rPr>
      </w:pPr>
    </w:p>
    <w:tbl>
      <w:tblPr>
        <w:tblW w:w="4668" w:type="dxa"/>
        <w:jc w:val="center"/>
        <w:tblCellMar>
          <w:left w:w="70" w:type="dxa"/>
          <w:right w:w="70" w:type="dxa"/>
        </w:tblCellMar>
        <w:tblLook w:val="04A0" w:firstRow="1" w:lastRow="0" w:firstColumn="1" w:lastColumn="0" w:noHBand="0" w:noVBand="1"/>
      </w:tblPr>
      <w:tblGrid>
        <w:gridCol w:w="1200"/>
        <w:gridCol w:w="3468"/>
      </w:tblGrid>
      <w:tr w:rsidR="00B2442D" w14:paraId="372675AB"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CD4542C"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Dos últimos dígitos</w:t>
            </w:r>
          </w:p>
        </w:tc>
        <w:tc>
          <w:tcPr>
            <w:tcW w:w="3468" w:type="dxa"/>
            <w:tcBorders>
              <w:top w:val="single" w:sz="8" w:space="0" w:color="auto"/>
              <w:left w:val="nil"/>
              <w:bottom w:val="single" w:sz="8" w:space="0" w:color="auto"/>
              <w:right w:val="single" w:sz="8" w:space="0" w:color="auto"/>
            </w:tcBorders>
            <w:shd w:val="clear" w:color="000000" w:fill="BFBFBF"/>
            <w:noWrap/>
            <w:vAlign w:val="center"/>
            <w:hideMark/>
          </w:tcPr>
          <w:p w14:paraId="28AE05EF"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57CF65B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97D04C6" w14:textId="77777777" w:rsidR="00B2442D" w:rsidRDefault="008A645F">
            <w:pPr>
              <w:jc w:val="center"/>
              <w:rPr>
                <w:rFonts w:ascii="Arial" w:hAnsi="Arial" w:cs="Arial"/>
                <w:color w:val="000000"/>
                <w:lang w:val="es-CO" w:eastAsia="es-CO"/>
              </w:rPr>
            </w:pPr>
            <w:r>
              <w:rPr>
                <w:rFonts w:ascii="Arial" w:hAnsi="Arial" w:cs="Arial"/>
                <w:color w:val="000000"/>
              </w:rPr>
              <w:t>99 y 00</w:t>
            </w:r>
          </w:p>
        </w:tc>
        <w:tc>
          <w:tcPr>
            <w:tcW w:w="3468" w:type="dxa"/>
            <w:tcBorders>
              <w:top w:val="nil"/>
              <w:left w:val="nil"/>
              <w:bottom w:val="single" w:sz="8" w:space="0" w:color="auto"/>
              <w:right w:val="single" w:sz="8" w:space="0" w:color="auto"/>
            </w:tcBorders>
            <w:shd w:val="clear" w:color="auto" w:fill="auto"/>
            <w:noWrap/>
            <w:vAlign w:val="center"/>
            <w:hideMark/>
          </w:tcPr>
          <w:p w14:paraId="2C2D101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agosto de 2017</w:t>
            </w:r>
          </w:p>
        </w:tc>
      </w:tr>
      <w:tr w:rsidR="00B2442D" w14:paraId="13E52F7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A7D5CF8" w14:textId="77777777" w:rsidR="00B2442D" w:rsidRDefault="008A645F">
            <w:pPr>
              <w:jc w:val="center"/>
              <w:rPr>
                <w:rFonts w:ascii="Arial" w:hAnsi="Arial" w:cs="Arial"/>
                <w:color w:val="000000"/>
              </w:rPr>
            </w:pPr>
            <w:r>
              <w:rPr>
                <w:rFonts w:ascii="Arial" w:hAnsi="Arial" w:cs="Arial"/>
                <w:color w:val="000000"/>
              </w:rPr>
              <w:t>97 y 98</w:t>
            </w:r>
          </w:p>
        </w:tc>
        <w:tc>
          <w:tcPr>
            <w:tcW w:w="3468" w:type="dxa"/>
            <w:tcBorders>
              <w:top w:val="nil"/>
              <w:left w:val="nil"/>
              <w:bottom w:val="single" w:sz="8" w:space="0" w:color="auto"/>
              <w:right w:val="single" w:sz="8" w:space="0" w:color="auto"/>
            </w:tcBorders>
            <w:shd w:val="clear" w:color="auto" w:fill="auto"/>
            <w:noWrap/>
            <w:vAlign w:val="center"/>
            <w:hideMark/>
          </w:tcPr>
          <w:p w14:paraId="466460D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agosto de 2017</w:t>
            </w:r>
          </w:p>
        </w:tc>
      </w:tr>
      <w:tr w:rsidR="00B2442D" w14:paraId="2A73C0A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A5BBE80" w14:textId="77777777" w:rsidR="00B2442D" w:rsidRDefault="008A645F">
            <w:pPr>
              <w:jc w:val="center"/>
              <w:rPr>
                <w:rFonts w:ascii="Arial" w:hAnsi="Arial" w:cs="Arial"/>
                <w:color w:val="000000"/>
              </w:rPr>
            </w:pPr>
            <w:r>
              <w:rPr>
                <w:rFonts w:ascii="Arial" w:hAnsi="Arial" w:cs="Arial"/>
                <w:color w:val="000000"/>
              </w:rPr>
              <w:t>95 y 96</w:t>
            </w:r>
          </w:p>
        </w:tc>
        <w:tc>
          <w:tcPr>
            <w:tcW w:w="3468" w:type="dxa"/>
            <w:tcBorders>
              <w:top w:val="nil"/>
              <w:left w:val="nil"/>
              <w:bottom w:val="single" w:sz="8" w:space="0" w:color="auto"/>
              <w:right w:val="single" w:sz="8" w:space="0" w:color="auto"/>
            </w:tcBorders>
            <w:shd w:val="clear" w:color="auto" w:fill="auto"/>
            <w:noWrap/>
            <w:vAlign w:val="center"/>
            <w:hideMark/>
          </w:tcPr>
          <w:p w14:paraId="0CA82A8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agosto de 2017</w:t>
            </w:r>
          </w:p>
        </w:tc>
      </w:tr>
      <w:tr w:rsidR="00B2442D" w14:paraId="6DE9577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5B29113" w14:textId="77777777" w:rsidR="00B2442D" w:rsidRDefault="008A645F">
            <w:pPr>
              <w:jc w:val="center"/>
              <w:rPr>
                <w:rFonts w:ascii="Arial" w:hAnsi="Arial" w:cs="Arial"/>
                <w:color w:val="000000"/>
              </w:rPr>
            </w:pPr>
            <w:r>
              <w:rPr>
                <w:rFonts w:ascii="Arial" w:hAnsi="Arial" w:cs="Arial"/>
                <w:color w:val="000000"/>
              </w:rPr>
              <w:t>93 y 94</w:t>
            </w:r>
          </w:p>
        </w:tc>
        <w:tc>
          <w:tcPr>
            <w:tcW w:w="3468" w:type="dxa"/>
            <w:tcBorders>
              <w:top w:val="nil"/>
              <w:left w:val="nil"/>
              <w:bottom w:val="single" w:sz="8" w:space="0" w:color="auto"/>
              <w:right w:val="single" w:sz="8" w:space="0" w:color="auto"/>
            </w:tcBorders>
            <w:shd w:val="clear" w:color="auto" w:fill="auto"/>
            <w:noWrap/>
            <w:vAlign w:val="center"/>
            <w:hideMark/>
          </w:tcPr>
          <w:p w14:paraId="1E74478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agosto de 2017</w:t>
            </w:r>
          </w:p>
        </w:tc>
      </w:tr>
      <w:tr w:rsidR="00B2442D" w14:paraId="19B1EE6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BCD645F" w14:textId="77777777" w:rsidR="00B2442D" w:rsidRDefault="008A645F">
            <w:pPr>
              <w:jc w:val="center"/>
              <w:rPr>
                <w:rFonts w:ascii="Arial" w:hAnsi="Arial" w:cs="Arial"/>
                <w:color w:val="000000"/>
              </w:rPr>
            </w:pPr>
            <w:r>
              <w:rPr>
                <w:rFonts w:ascii="Arial" w:hAnsi="Arial" w:cs="Arial"/>
                <w:color w:val="000000"/>
              </w:rPr>
              <w:t>91 y 92</w:t>
            </w:r>
          </w:p>
        </w:tc>
        <w:tc>
          <w:tcPr>
            <w:tcW w:w="3468" w:type="dxa"/>
            <w:tcBorders>
              <w:top w:val="nil"/>
              <w:left w:val="nil"/>
              <w:bottom w:val="single" w:sz="8" w:space="0" w:color="auto"/>
              <w:right w:val="single" w:sz="8" w:space="0" w:color="auto"/>
            </w:tcBorders>
            <w:shd w:val="clear" w:color="auto" w:fill="auto"/>
            <w:noWrap/>
            <w:vAlign w:val="center"/>
            <w:hideMark/>
          </w:tcPr>
          <w:p w14:paraId="019058F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agosto de 2017</w:t>
            </w:r>
          </w:p>
        </w:tc>
      </w:tr>
      <w:tr w:rsidR="00B2442D" w14:paraId="6A3B66A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A1288E7" w14:textId="77777777" w:rsidR="00B2442D" w:rsidRDefault="008A645F">
            <w:pPr>
              <w:jc w:val="center"/>
              <w:rPr>
                <w:rFonts w:ascii="Arial" w:hAnsi="Arial" w:cs="Arial"/>
                <w:color w:val="000000"/>
              </w:rPr>
            </w:pPr>
            <w:r>
              <w:rPr>
                <w:rFonts w:ascii="Arial" w:hAnsi="Arial" w:cs="Arial"/>
                <w:color w:val="000000"/>
              </w:rPr>
              <w:t>89 y 90</w:t>
            </w:r>
          </w:p>
        </w:tc>
        <w:tc>
          <w:tcPr>
            <w:tcW w:w="3468" w:type="dxa"/>
            <w:tcBorders>
              <w:top w:val="nil"/>
              <w:left w:val="nil"/>
              <w:bottom w:val="single" w:sz="8" w:space="0" w:color="auto"/>
              <w:right w:val="single" w:sz="8" w:space="0" w:color="auto"/>
            </w:tcBorders>
            <w:shd w:val="clear" w:color="auto" w:fill="auto"/>
            <w:noWrap/>
            <w:vAlign w:val="center"/>
            <w:hideMark/>
          </w:tcPr>
          <w:p w14:paraId="141AFBD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16 </w:t>
            </w:r>
            <w:r>
              <w:rPr>
                <w:rFonts w:ascii="Arial" w:hAnsi="Arial" w:cs="Arial"/>
                <w:color w:val="000000"/>
                <w:lang w:val="es-CO" w:eastAsia="es-CO"/>
              </w:rPr>
              <w:t xml:space="preserve"> de agosto de 2017</w:t>
            </w:r>
          </w:p>
        </w:tc>
      </w:tr>
      <w:tr w:rsidR="00B2442D" w14:paraId="5430F1A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3DEEE51" w14:textId="77777777" w:rsidR="00B2442D" w:rsidRDefault="008A645F">
            <w:pPr>
              <w:jc w:val="center"/>
              <w:rPr>
                <w:rFonts w:ascii="Arial" w:hAnsi="Arial" w:cs="Arial"/>
                <w:color w:val="000000"/>
              </w:rPr>
            </w:pPr>
            <w:r>
              <w:rPr>
                <w:rFonts w:ascii="Arial" w:hAnsi="Arial" w:cs="Arial"/>
                <w:color w:val="000000"/>
              </w:rPr>
              <w:t>87 y 88</w:t>
            </w:r>
          </w:p>
        </w:tc>
        <w:tc>
          <w:tcPr>
            <w:tcW w:w="3468" w:type="dxa"/>
            <w:tcBorders>
              <w:top w:val="nil"/>
              <w:left w:val="nil"/>
              <w:bottom w:val="single" w:sz="8" w:space="0" w:color="auto"/>
              <w:right w:val="single" w:sz="8" w:space="0" w:color="auto"/>
            </w:tcBorders>
            <w:shd w:val="clear" w:color="auto" w:fill="auto"/>
            <w:noWrap/>
            <w:vAlign w:val="center"/>
            <w:hideMark/>
          </w:tcPr>
          <w:p w14:paraId="1A69496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agosto de 2017</w:t>
            </w:r>
          </w:p>
        </w:tc>
      </w:tr>
      <w:tr w:rsidR="00B2442D" w14:paraId="0F157E0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4B40862" w14:textId="77777777" w:rsidR="00B2442D" w:rsidRDefault="008A645F">
            <w:pPr>
              <w:jc w:val="center"/>
              <w:rPr>
                <w:rFonts w:ascii="Arial" w:hAnsi="Arial" w:cs="Arial"/>
                <w:color w:val="000000"/>
              </w:rPr>
            </w:pPr>
            <w:r>
              <w:rPr>
                <w:rFonts w:ascii="Arial" w:hAnsi="Arial" w:cs="Arial"/>
                <w:color w:val="000000"/>
              </w:rPr>
              <w:t>85 y 86</w:t>
            </w:r>
          </w:p>
        </w:tc>
        <w:tc>
          <w:tcPr>
            <w:tcW w:w="3468" w:type="dxa"/>
            <w:tcBorders>
              <w:top w:val="nil"/>
              <w:left w:val="nil"/>
              <w:bottom w:val="single" w:sz="8" w:space="0" w:color="auto"/>
              <w:right w:val="single" w:sz="8" w:space="0" w:color="auto"/>
            </w:tcBorders>
            <w:shd w:val="clear" w:color="auto" w:fill="auto"/>
            <w:noWrap/>
            <w:vAlign w:val="center"/>
            <w:hideMark/>
          </w:tcPr>
          <w:p w14:paraId="39B27A9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agosto de 2017</w:t>
            </w:r>
          </w:p>
        </w:tc>
      </w:tr>
      <w:tr w:rsidR="00B2442D" w14:paraId="313A562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6906221" w14:textId="77777777" w:rsidR="00B2442D" w:rsidRDefault="008A645F">
            <w:pPr>
              <w:jc w:val="center"/>
              <w:rPr>
                <w:rFonts w:ascii="Arial" w:hAnsi="Arial" w:cs="Arial"/>
                <w:color w:val="000000"/>
              </w:rPr>
            </w:pPr>
            <w:r>
              <w:rPr>
                <w:rFonts w:ascii="Arial" w:hAnsi="Arial" w:cs="Arial"/>
                <w:color w:val="000000"/>
              </w:rPr>
              <w:t>83 y 84</w:t>
            </w:r>
          </w:p>
        </w:tc>
        <w:tc>
          <w:tcPr>
            <w:tcW w:w="3468" w:type="dxa"/>
            <w:tcBorders>
              <w:top w:val="nil"/>
              <w:left w:val="nil"/>
              <w:bottom w:val="single" w:sz="8" w:space="0" w:color="auto"/>
              <w:right w:val="single" w:sz="8" w:space="0" w:color="auto"/>
            </w:tcBorders>
            <w:shd w:val="clear" w:color="auto" w:fill="auto"/>
            <w:noWrap/>
            <w:vAlign w:val="center"/>
            <w:hideMark/>
          </w:tcPr>
          <w:p w14:paraId="2C115D7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agosto de 2017</w:t>
            </w:r>
          </w:p>
        </w:tc>
      </w:tr>
      <w:tr w:rsidR="00B2442D" w14:paraId="38A2837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608B093" w14:textId="77777777" w:rsidR="00B2442D" w:rsidRDefault="008A645F">
            <w:pPr>
              <w:jc w:val="center"/>
              <w:rPr>
                <w:rFonts w:ascii="Arial" w:hAnsi="Arial" w:cs="Arial"/>
                <w:color w:val="000000"/>
              </w:rPr>
            </w:pPr>
            <w:r>
              <w:rPr>
                <w:rFonts w:ascii="Arial" w:hAnsi="Arial" w:cs="Arial"/>
                <w:color w:val="000000"/>
              </w:rPr>
              <w:t>81 y 82</w:t>
            </w:r>
          </w:p>
        </w:tc>
        <w:tc>
          <w:tcPr>
            <w:tcW w:w="3468" w:type="dxa"/>
            <w:tcBorders>
              <w:top w:val="nil"/>
              <w:left w:val="nil"/>
              <w:bottom w:val="single" w:sz="8" w:space="0" w:color="auto"/>
              <w:right w:val="single" w:sz="8" w:space="0" w:color="auto"/>
            </w:tcBorders>
            <w:shd w:val="clear" w:color="auto" w:fill="auto"/>
            <w:noWrap/>
            <w:vAlign w:val="center"/>
            <w:hideMark/>
          </w:tcPr>
          <w:p w14:paraId="366AC20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23 de agosto de 2017</w:t>
            </w:r>
          </w:p>
        </w:tc>
      </w:tr>
      <w:tr w:rsidR="00B2442D" w14:paraId="5CEE4C6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D99A4C0" w14:textId="77777777" w:rsidR="00B2442D" w:rsidRDefault="008A645F">
            <w:pPr>
              <w:jc w:val="center"/>
              <w:rPr>
                <w:rFonts w:ascii="Arial" w:hAnsi="Arial" w:cs="Arial"/>
                <w:color w:val="000000"/>
              </w:rPr>
            </w:pPr>
            <w:r>
              <w:rPr>
                <w:rFonts w:ascii="Arial" w:hAnsi="Arial" w:cs="Arial"/>
                <w:color w:val="000000"/>
              </w:rPr>
              <w:t>79 y 80</w:t>
            </w:r>
          </w:p>
        </w:tc>
        <w:tc>
          <w:tcPr>
            <w:tcW w:w="3468" w:type="dxa"/>
            <w:tcBorders>
              <w:top w:val="nil"/>
              <w:left w:val="nil"/>
              <w:bottom w:val="single" w:sz="8" w:space="0" w:color="auto"/>
              <w:right w:val="single" w:sz="8" w:space="0" w:color="auto"/>
            </w:tcBorders>
            <w:shd w:val="clear" w:color="auto" w:fill="auto"/>
            <w:noWrap/>
            <w:vAlign w:val="center"/>
            <w:hideMark/>
          </w:tcPr>
          <w:p w14:paraId="1A5228A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agosto de 2017</w:t>
            </w:r>
          </w:p>
        </w:tc>
      </w:tr>
      <w:tr w:rsidR="00B2442D" w14:paraId="4ED75A1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CF62565" w14:textId="77777777" w:rsidR="00B2442D" w:rsidRDefault="008A645F">
            <w:pPr>
              <w:jc w:val="center"/>
              <w:rPr>
                <w:rFonts w:ascii="Arial" w:hAnsi="Arial" w:cs="Arial"/>
                <w:color w:val="000000"/>
              </w:rPr>
            </w:pPr>
            <w:r>
              <w:rPr>
                <w:rFonts w:ascii="Arial" w:hAnsi="Arial" w:cs="Arial"/>
                <w:color w:val="000000"/>
              </w:rPr>
              <w:t>77 y 78</w:t>
            </w:r>
          </w:p>
        </w:tc>
        <w:tc>
          <w:tcPr>
            <w:tcW w:w="3468" w:type="dxa"/>
            <w:tcBorders>
              <w:top w:val="nil"/>
              <w:left w:val="nil"/>
              <w:bottom w:val="single" w:sz="8" w:space="0" w:color="auto"/>
              <w:right w:val="single" w:sz="8" w:space="0" w:color="auto"/>
            </w:tcBorders>
            <w:shd w:val="clear" w:color="auto" w:fill="auto"/>
            <w:noWrap/>
            <w:vAlign w:val="center"/>
            <w:hideMark/>
          </w:tcPr>
          <w:p w14:paraId="4A0577F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agosto de 2017</w:t>
            </w:r>
          </w:p>
        </w:tc>
      </w:tr>
      <w:tr w:rsidR="00B2442D" w14:paraId="0C29630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6A87375" w14:textId="77777777" w:rsidR="00B2442D" w:rsidRDefault="008A645F">
            <w:pPr>
              <w:jc w:val="center"/>
              <w:rPr>
                <w:rFonts w:ascii="Arial" w:hAnsi="Arial" w:cs="Arial"/>
                <w:color w:val="000000"/>
              </w:rPr>
            </w:pPr>
            <w:r>
              <w:rPr>
                <w:rFonts w:ascii="Arial" w:hAnsi="Arial" w:cs="Arial"/>
                <w:color w:val="000000"/>
              </w:rPr>
              <w:t>75 y 76</w:t>
            </w:r>
          </w:p>
        </w:tc>
        <w:tc>
          <w:tcPr>
            <w:tcW w:w="3468" w:type="dxa"/>
            <w:tcBorders>
              <w:top w:val="nil"/>
              <w:left w:val="nil"/>
              <w:bottom w:val="single" w:sz="8" w:space="0" w:color="auto"/>
              <w:right w:val="single" w:sz="8" w:space="0" w:color="auto"/>
            </w:tcBorders>
            <w:shd w:val="clear" w:color="auto" w:fill="auto"/>
            <w:noWrap/>
            <w:vAlign w:val="center"/>
            <w:hideMark/>
          </w:tcPr>
          <w:p w14:paraId="77622B7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agosto de 2017</w:t>
            </w:r>
          </w:p>
        </w:tc>
      </w:tr>
      <w:tr w:rsidR="00B2442D" w14:paraId="433ED9A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AC8900F" w14:textId="77777777" w:rsidR="00B2442D" w:rsidRDefault="008A645F">
            <w:pPr>
              <w:jc w:val="center"/>
              <w:rPr>
                <w:rFonts w:ascii="Arial" w:hAnsi="Arial" w:cs="Arial"/>
                <w:color w:val="000000"/>
              </w:rPr>
            </w:pPr>
            <w:r>
              <w:rPr>
                <w:rFonts w:ascii="Arial" w:hAnsi="Arial" w:cs="Arial"/>
                <w:color w:val="000000"/>
              </w:rPr>
              <w:t>73 y 74</w:t>
            </w:r>
          </w:p>
        </w:tc>
        <w:tc>
          <w:tcPr>
            <w:tcW w:w="3468" w:type="dxa"/>
            <w:tcBorders>
              <w:top w:val="nil"/>
              <w:left w:val="nil"/>
              <w:bottom w:val="single" w:sz="8" w:space="0" w:color="auto"/>
              <w:right w:val="single" w:sz="8" w:space="0" w:color="auto"/>
            </w:tcBorders>
            <w:shd w:val="clear" w:color="auto" w:fill="auto"/>
            <w:noWrap/>
            <w:vAlign w:val="center"/>
            <w:hideMark/>
          </w:tcPr>
          <w:p w14:paraId="6B4B4FB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29 de </w:t>
            </w:r>
            <w:r>
              <w:rPr>
                <w:rFonts w:ascii="Arial" w:hAnsi="Arial" w:cs="Arial"/>
                <w:color w:val="000000"/>
                <w:lang w:val="es-CO" w:eastAsia="es-CO"/>
              </w:rPr>
              <w:t>agosto de 2017</w:t>
            </w:r>
          </w:p>
        </w:tc>
      </w:tr>
      <w:tr w:rsidR="00B2442D" w14:paraId="6889932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30CD55" w14:textId="77777777" w:rsidR="00B2442D" w:rsidRDefault="008A645F">
            <w:pPr>
              <w:jc w:val="center"/>
              <w:rPr>
                <w:rFonts w:ascii="Arial" w:hAnsi="Arial" w:cs="Arial"/>
                <w:color w:val="000000"/>
              </w:rPr>
            </w:pPr>
            <w:r>
              <w:rPr>
                <w:rFonts w:ascii="Arial" w:hAnsi="Arial" w:cs="Arial"/>
                <w:color w:val="000000"/>
              </w:rPr>
              <w:t>71 y 72</w:t>
            </w:r>
          </w:p>
        </w:tc>
        <w:tc>
          <w:tcPr>
            <w:tcW w:w="3468" w:type="dxa"/>
            <w:tcBorders>
              <w:top w:val="nil"/>
              <w:left w:val="nil"/>
              <w:bottom w:val="single" w:sz="8" w:space="0" w:color="auto"/>
              <w:right w:val="single" w:sz="8" w:space="0" w:color="auto"/>
            </w:tcBorders>
            <w:shd w:val="clear" w:color="auto" w:fill="auto"/>
            <w:noWrap/>
            <w:vAlign w:val="center"/>
            <w:hideMark/>
          </w:tcPr>
          <w:p w14:paraId="344224C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30 de agosto de 2017</w:t>
            </w:r>
          </w:p>
        </w:tc>
      </w:tr>
      <w:tr w:rsidR="00B2442D" w14:paraId="3822929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0DFF7A0" w14:textId="77777777" w:rsidR="00B2442D" w:rsidRDefault="008A645F">
            <w:pPr>
              <w:jc w:val="center"/>
              <w:rPr>
                <w:rFonts w:ascii="Arial" w:hAnsi="Arial" w:cs="Arial"/>
                <w:color w:val="000000"/>
              </w:rPr>
            </w:pPr>
            <w:r>
              <w:rPr>
                <w:rFonts w:ascii="Arial" w:hAnsi="Arial" w:cs="Arial"/>
                <w:color w:val="000000"/>
              </w:rPr>
              <w:t>69 y 70</w:t>
            </w:r>
          </w:p>
        </w:tc>
        <w:tc>
          <w:tcPr>
            <w:tcW w:w="3468" w:type="dxa"/>
            <w:tcBorders>
              <w:top w:val="nil"/>
              <w:left w:val="nil"/>
              <w:bottom w:val="single" w:sz="8" w:space="0" w:color="auto"/>
              <w:right w:val="single" w:sz="8" w:space="0" w:color="auto"/>
            </w:tcBorders>
            <w:shd w:val="clear" w:color="auto" w:fill="auto"/>
            <w:noWrap/>
            <w:vAlign w:val="center"/>
            <w:hideMark/>
          </w:tcPr>
          <w:p w14:paraId="2B2B532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31 de agosto de 2017</w:t>
            </w:r>
          </w:p>
        </w:tc>
      </w:tr>
      <w:tr w:rsidR="00B2442D" w14:paraId="5DA3FD0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15F1E90" w14:textId="77777777" w:rsidR="00B2442D" w:rsidRDefault="008A645F">
            <w:pPr>
              <w:jc w:val="center"/>
              <w:rPr>
                <w:rFonts w:ascii="Arial" w:hAnsi="Arial" w:cs="Arial"/>
                <w:color w:val="000000"/>
              </w:rPr>
            </w:pPr>
            <w:r>
              <w:rPr>
                <w:rFonts w:ascii="Arial" w:hAnsi="Arial" w:cs="Arial"/>
                <w:color w:val="000000"/>
              </w:rPr>
              <w:t>67 y 68</w:t>
            </w:r>
          </w:p>
        </w:tc>
        <w:tc>
          <w:tcPr>
            <w:tcW w:w="3468" w:type="dxa"/>
            <w:tcBorders>
              <w:top w:val="nil"/>
              <w:left w:val="nil"/>
              <w:bottom w:val="single" w:sz="8" w:space="0" w:color="auto"/>
              <w:right w:val="single" w:sz="8" w:space="0" w:color="auto"/>
            </w:tcBorders>
            <w:shd w:val="clear" w:color="auto" w:fill="auto"/>
            <w:noWrap/>
            <w:vAlign w:val="center"/>
            <w:hideMark/>
          </w:tcPr>
          <w:p w14:paraId="592438C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01 de Septiembre de 2017</w:t>
            </w:r>
          </w:p>
        </w:tc>
      </w:tr>
      <w:tr w:rsidR="00B2442D" w14:paraId="51E5A1E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72F7066" w14:textId="77777777" w:rsidR="00B2442D" w:rsidRDefault="008A645F">
            <w:pPr>
              <w:jc w:val="center"/>
              <w:rPr>
                <w:rFonts w:ascii="Arial" w:hAnsi="Arial" w:cs="Arial"/>
                <w:color w:val="000000"/>
              </w:rPr>
            </w:pPr>
            <w:r>
              <w:rPr>
                <w:rFonts w:ascii="Arial" w:hAnsi="Arial" w:cs="Arial"/>
                <w:color w:val="000000"/>
              </w:rPr>
              <w:t>65 y 66</w:t>
            </w:r>
          </w:p>
        </w:tc>
        <w:tc>
          <w:tcPr>
            <w:tcW w:w="3468" w:type="dxa"/>
            <w:tcBorders>
              <w:top w:val="nil"/>
              <w:left w:val="nil"/>
              <w:bottom w:val="single" w:sz="8" w:space="0" w:color="auto"/>
              <w:right w:val="single" w:sz="8" w:space="0" w:color="auto"/>
            </w:tcBorders>
            <w:shd w:val="clear" w:color="auto" w:fill="auto"/>
            <w:noWrap/>
            <w:vAlign w:val="center"/>
            <w:hideMark/>
          </w:tcPr>
          <w:p w14:paraId="71F7FE5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Septiembre de 2017</w:t>
            </w:r>
          </w:p>
        </w:tc>
      </w:tr>
      <w:tr w:rsidR="00B2442D" w14:paraId="1E9C4AE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181FC34" w14:textId="77777777" w:rsidR="00B2442D" w:rsidRDefault="008A645F">
            <w:pPr>
              <w:jc w:val="center"/>
              <w:rPr>
                <w:rFonts w:ascii="Arial" w:hAnsi="Arial" w:cs="Arial"/>
                <w:color w:val="000000"/>
              </w:rPr>
            </w:pPr>
            <w:r>
              <w:rPr>
                <w:rFonts w:ascii="Arial" w:hAnsi="Arial" w:cs="Arial"/>
                <w:color w:val="000000"/>
              </w:rPr>
              <w:t>63 y 64</w:t>
            </w:r>
          </w:p>
        </w:tc>
        <w:tc>
          <w:tcPr>
            <w:tcW w:w="3468" w:type="dxa"/>
            <w:tcBorders>
              <w:top w:val="nil"/>
              <w:left w:val="nil"/>
              <w:bottom w:val="single" w:sz="8" w:space="0" w:color="auto"/>
              <w:right w:val="single" w:sz="8" w:space="0" w:color="auto"/>
            </w:tcBorders>
            <w:shd w:val="clear" w:color="auto" w:fill="auto"/>
            <w:noWrap/>
            <w:vAlign w:val="center"/>
            <w:hideMark/>
          </w:tcPr>
          <w:p w14:paraId="22B5417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Septiembre de 2017</w:t>
            </w:r>
          </w:p>
        </w:tc>
      </w:tr>
      <w:tr w:rsidR="00B2442D" w14:paraId="26709022"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CF2DC0E" w14:textId="77777777" w:rsidR="00B2442D" w:rsidRDefault="008A645F">
            <w:pPr>
              <w:jc w:val="center"/>
              <w:rPr>
                <w:rFonts w:ascii="Arial" w:hAnsi="Arial" w:cs="Arial"/>
                <w:color w:val="000000"/>
              </w:rPr>
            </w:pPr>
            <w:r>
              <w:rPr>
                <w:rFonts w:ascii="Arial" w:hAnsi="Arial" w:cs="Arial"/>
                <w:color w:val="000000"/>
              </w:rPr>
              <w:t>61 y 62</w:t>
            </w:r>
          </w:p>
        </w:tc>
        <w:tc>
          <w:tcPr>
            <w:tcW w:w="3468" w:type="dxa"/>
            <w:tcBorders>
              <w:top w:val="nil"/>
              <w:left w:val="nil"/>
              <w:bottom w:val="single" w:sz="8" w:space="0" w:color="auto"/>
              <w:right w:val="single" w:sz="8" w:space="0" w:color="auto"/>
            </w:tcBorders>
            <w:shd w:val="clear" w:color="auto" w:fill="auto"/>
            <w:noWrap/>
            <w:vAlign w:val="center"/>
            <w:hideMark/>
          </w:tcPr>
          <w:p w14:paraId="3BF0F84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06 de Septiembre de 2017</w:t>
            </w:r>
          </w:p>
        </w:tc>
      </w:tr>
      <w:tr w:rsidR="00B2442D" w14:paraId="4974541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7563CDF" w14:textId="77777777" w:rsidR="00B2442D" w:rsidRDefault="008A645F">
            <w:pPr>
              <w:jc w:val="center"/>
              <w:rPr>
                <w:rFonts w:ascii="Arial" w:hAnsi="Arial" w:cs="Arial"/>
                <w:color w:val="000000"/>
              </w:rPr>
            </w:pPr>
            <w:r>
              <w:rPr>
                <w:rFonts w:ascii="Arial" w:hAnsi="Arial" w:cs="Arial"/>
                <w:color w:val="000000"/>
              </w:rPr>
              <w:t>59 y 60</w:t>
            </w:r>
          </w:p>
        </w:tc>
        <w:tc>
          <w:tcPr>
            <w:tcW w:w="3468" w:type="dxa"/>
            <w:tcBorders>
              <w:top w:val="nil"/>
              <w:left w:val="nil"/>
              <w:bottom w:val="single" w:sz="8" w:space="0" w:color="auto"/>
              <w:right w:val="single" w:sz="8" w:space="0" w:color="auto"/>
            </w:tcBorders>
            <w:shd w:val="clear" w:color="auto" w:fill="auto"/>
            <w:noWrap/>
            <w:vAlign w:val="center"/>
            <w:hideMark/>
          </w:tcPr>
          <w:p w14:paraId="526A0CA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07 de Septiembre de 2017</w:t>
            </w:r>
          </w:p>
        </w:tc>
      </w:tr>
      <w:tr w:rsidR="00B2442D" w14:paraId="1AC4AA0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ECB902A" w14:textId="77777777" w:rsidR="00B2442D" w:rsidRDefault="008A645F">
            <w:pPr>
              <w:jc w:val="center"/>
              <w:rPr>
                <w:rFonts w:ascii="Arial" w:hAnsi="Arial" w:cs="Arial"/>
                <w:color w:val="000000"/>
              </w:rPr>
            </w:pPr>
            <w:r>
              <w:rPr>
                <w:rFonts w:ascii="Arial" w:hAnsi="Arial" w:cs="Arial"/>
                <w:color w:val="000000"/>
              </w:rPr>
              <w:t>57 y 58</w:t>
            </w:r>
          </w:p>
        </w:tc>
        <w:tc>
          <w:tcPr>
            <w:tcW w:w="3468" w:type="dxa"/>
            <w:tcBorders>
              <w:top w:val="nil"/>
              <w:left w:val="nil"/>
              <w:bottom w:val="single" w:sz="8" w:space="0" w:color="auto"/>
              <w:right w:val="single" w:sz="8" w:space="0" w:color="auto"/>
            </w:tcBorders>
            <w:shd w:val="clear" w:color="auto" w:fill="auto"/>
            <w:noWrap/>
            <w:vAlign w:val="center"/>
            <w:hideMark/>
          </w:tcPr>
          <w:p w14:paraId="3266548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08 de Septiembre de 2017</w:t>
            </w:r>
          </w:p>
        </w:tc>
      </w:tr>
      <w:tr w:rsidR="00B2442D" w14:paraId="4369019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5BB0411" w14:textId="77777777" w:rsidR="00B2442D" w:rsidRDefault="008A645F">
            <w:pPr>
              <w:jc w:val="center"/>
              <w:rPr>
                <w:rFonts w:ascii="Arial" w:hAnsi="Arial" w:cs="Arial"/>
                <w:color w:val="000000"/>
              </w:rPr>
            </w:pPr>
            <w:r>
              <w:rPr>
                <w:rFonts w:ascii="Arial" w:hAnsi="Arial" w:cs="Arial"/>
                <w:color w:val="000000"/>
              </w:rPr>
              <w:t>55 y 56</w:t>
            </w:r>
          </w:p>
        </w:tc>
        <w:tc>
          <w:tcPr>
            <w:tcW w:w="3468" w:type="dxa"/>
            <w:tcBorders>
              <w:top w:val="nil"/>
              <w:left w:val="nil"/>
              <w:bottom w:val="single" w:sz="8" w:space="0" w:color="auto"/>
              <w:right w:val="single" w:sz="8" w:space="0" w:color="auto"/>
            </w:tcBorders>
            <w:shd w:val="clear" w:color="auto" w:fill="auto"/>
            <w:noWrap/>
            <w:vAlign w:val="center"/>
            <w:hideMark/>
          </w:tcPr>
          <w:p w14:paraId="7297C4E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Septiembre de 2017</w:t>
            </w:r>
          </w:p>
        </w:tc>
      </w:tr>
      <w:tr w:rsidR="00B2442D" w14:paraId="1C57A9E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E6F08D9" w14:textId="77777777" w:rsidR="00B2442D" w:rsidRDefault="008A645F">
            <w:pPr>
              <w:jc w:val="center"/>
              <w:rPr>
                <w:rFonts w:ascii="Arial" w:hAnsi="Arial" w:cs="Arial"/>
                <w:color w:val="000000"/>
              </w:rPr>
            </w:pPr>
            <w:r>
              <w:rPr>
                <w:rFonts w:ascii="Arial" w:hAnsi="Arial" w:cs="Arial"/>
                <w:color w:val="000000"/>
              </w:rPr>
              <w:t>53 y 54</w:t>
            </w:r>
          </w:p>
        </w:tc>
        <w:tc>
          <w:tcPr>
            <w:tcW w:w="3468" w:type="dxa"/>
            <w:tcBorders>
              <w:top w:val="nil"/>
              <w:left w:val="nil"/>
              <w:bottom w:val="single" w:sz="8" w:space="0" w:color="auto"/>
              <w:right w:val="single" w:sz="8" w:space="0" w:color="auto"/>
            </w:tcBorders>
            <w:shd w:val="clear" w:color="auto" w:fill="auto"/>
            <w:noWrap/>
            <w:vAlign w:val="center"/>
            <w:hideMark/>
          </w:tcPr>
          <w:p w14:paraId="74B3447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Septiembre de 2017</w:t>
            </w:r>
          </w:p>
        </w:tc>
      </w:tr>
      <w:tr w:rsidR="00B2442D" w14:paraId="01AE395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A1E072A" w14:textId="77777777" w:rsidR="00B2442D" w:rsidRDefault="008A645F">
            <w:pPr>
              <w:jc w:val="center"/>
              <w:rPr>
                <w:rFonts w:ascii="Arial" w:hAnsi="Arial" w:cs="Arial"/>
                <w:color w:val="000000"/>
              </w:rPr>
            </w:pPr>
            <w:r>
              <w:rPr>
                <w:rFonts w:ascii="Arial" w:hAnsi="Arial" w:cs="Arial"/>
                <w:color w:val="000000"/>
              </w:rPr>
              <w:t>51 y 52</w:t>
            </w:r>
          </w:p>
        </w:tc>
        <w:tc>
          <w:tcPr>
            <w:tcW w:w="3468" w:type="dxa"/>
            <w:tcBorders>
              <w:top w:val="nil"/>
              <w:left w:val="nil"/>
              <w:bottom w:val="single" w:sz="8" w:space="0" w:color="auto"/>
              <w:right w:val="single" w:sz="8" w:space="0" w:color="auto"/>
            </w:tcBorders>
            <w:shd w:val="clear" w:color="auto" w:fill="auto"/>
            <w:noWrap/>
            <w:vAlign w:val="center"/>
            <w:hideMark/>
          </w:tcPr>
          <w:p w14:paraId="1D05C6F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Septiembre de 2017</w:t>
            </w:r>
          </w:p>
        </w:tc>
      </w:tr>
      <w:tr w:rsidR="00B2442D" w14:paraId="6913D0A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3D96E28" w14:textId="77777777" w:rsidR="00B2442D" w:rsidRDefault="008A645F">
            <w:pPr>
              <w:jc w:val="center"/>
              <w:rPr>
                <w:rFonts w:ascii="Arial" w:hAnsi="Arial" w:cs="Arial"/>
                <w:color w:val="000000"/>
              </w:rPr>
            </w:pPr>
            <w:r>
              <w:rPr>
                <w:rFonts w:ascii="Arial" w:hAnsi="Arial" w:cs="Arial"/>
                <w:color w:val="000000"/>
              </w:rPr>
              <w:t>49 y 50</w:t>
            </w:r>
          </w:p>
        </w:tc>
        <w:tc>
          <w:tcPr>
            <w:tcW w:w="3468" w:type="dxa"/>
            <w:tcBorders>
              <w:top w:val="nil"/>
              <w:left w:val="nil"/>
              <w:bottom w:val="single" w:sz="8" w:space="0" w:color="auto"/>
              <w:right w:val="single" w:sz="8" w:space="0" w:color="auto"/>
            </w:tcBorders>
            <w:shd w:val="clear" w:color="auto" w:fill="auto"/>
            <w:noWrap/>
            <w:vAlign w:val="center"/>
            <w:hideMark/>
          </w:tcPr>
          <w:p w14:paraId="1763C1F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Septiembre de 2017</w:t>
            </w:r>
          </w:p>
        </w:tc>
      </w:tr>
      <w:tr w:rsidR="00B2442D" w14:paraId="6C708A4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83886E9" w14:textId="77777777" w:rsidR="00B2442D" w:rsidRDefault="008A645F">
            <w:pPr>
              <w:jc w:val="center"/>
              <w:rPr>
                <w:rFonts w:ascii="Arial" w:hAnsi="Arial" w:cs="Arial"/>
                <w:color w:val="000000"/>
              </w:rPr>
            </w:pPr>
            <w:r>
              <w:rPr>
                <w:rFonts w:ascii="Arial" w:hAnsi="Arial" w:cs="Arial"/>
                <w:color w:val="000000"/>
              </w:rPr>
              <w:t>47 y 48</w:t>
            </w:r>
          </w:p>
        </w:tc>
        <w:tc>
          <w:tcPr>
            <w:tcW w:w="3468" w:type="dxa"/>
            <w:tcBorders>
              <w:top w:val="nil"/>
              <w:left w:val="nil"/>
              <w:bottom w:val="single" w:sz="8" w:space="0" w:color="auto"/>
              <w:right w:val="single" w:sz="8" w:space="0" w:color="auto"/>
            </w:tcBorders>
            <w:shd w:val="clear" w:color="auto" w:fill="auto"/>
            <w:noWrap/>
            <w:vAlign w:val="center"/>
            <w:hideMark/>
          </w:tcPr>
          <w:p w14:paraId="6B9C763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Septiembre de 2017</w:t>
            </w:r>
          </w:p>
        </w:tc>
      </w:tr>
      <w:tr w:rsidR="00B2442D" w14:paraId="660A9A4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74AAC4" w14:textId="77777777" w:rsidR="00B2442D" w:rsidRDefault="008A645F">
            <w:pPr>
              <w:jc w:val="center"/>
              <w:rPr>
                <w:rFonts w:ascii="Arial" w:hAnsi="Arial" w:cs="Arial"/>
                <w:color w:val="000000"/>
              </w:rPr>
            </w:pPr>
            <w:r>
              <w:rPr>
                <w:rFonts w:ascii="Arial" w:hAnsi="Arial" w:cs="Arial"/>
                <w:color w:val="000000"/>
              </w:rPr>
              <w:t>45 y 46</w:t>
            </w:r>
          </w:p>
        </w:tc>
        <w:tc>
          <w:tcPr>
            <w:tcW w:w="3468" w:type="dxa"/>
            <w:tcBorders>
              <w:top w:val="nil"/>
              <w:left w:val="nil"/>
              <w:bottom w:val="single" w:sz="8" w:space="0" w:color="auto"/>
              <w:right w:val="single" w:sz="8" w:space="0" w:color="auto"/>
            </w:tcBorders>
            <w:shd w:val="clear" w:color="auto" w:fill="auto"/>
            <w:noWrap/>
            <w:vAlign w:val="center"/>
            <w:hideMark/>
          </w:tcPr>
          <w:p w14:paraId="7AC8023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Septiembre de 2017</w:t>
            </w:r>
          </w:p>
        </w:tc>
      </w:tr>
      <w:tr w:rsidR="00B2442D" w14:paraId="1B5746E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FCC7D2A" w14:textId="77777777" w:rsidR="00B2442D" w:rsidRDefault="008A645F">
            <w:pPr>
              <w:jc w:val="center"/>
              <w:rPr>
                <w:rFonts w:ascii="Arial" w:hAnsi="Arial" w:cs="Arial"/>
                <w:color w:val="000000"/>
              </w:rPr>
            </w:pPr>
            <w:r>
              <w:rPr>
                <w:rFonts w:ascii="Arial" w:hAnsi="Arial" w:cs="Arial"/>
                <w:color w:val="000000"/>
              </w:rPr>
              <w:t>43 y 44</w:t>
            </w:r>
          </w:p>
        </w:tc>
        <w:tc>
          <w:tcPr>
            <w:tcW w:w="3468" w:type="dxa"/>
            <w:tcBorders>
              <w:top w:val="nil"/>
              <w:left w:val="nil"/>
              <w:bottom w:val="single" w:sz="8" w:space="0" w:color="auto"/>
              <w:right w:val="single" w:sz="8" w:space="0" w:color="auto"/>
            </w:tcBorders>
            <w:shd w:val="clear" w:color="auto" w:fill="auto"/>
            <w:noWrap/>
            <w:vAlign w:val="center"/>
            <w:hideMark/>
          </w:tcPr>
          <w:p w14:paraId="22EA8E0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19 de </w:t>
            </w:r>
            <w:r>
              <w:rPr>
                <w:rFonts w:ascii="Arial" w:hAnsi="Arial" w:cs="Arial"/>
                <w:color w:val="000000"/>
                <w:lang w:val="es-CO" w:eastAsia="es-CO"/>
              </w:rPr>
              <w:t>Septiembre de 2017</w:t>
            </w:r>
          </w:p>
        </w:tc>
      </w:tr>
      <w:tr w:rsidR="00B2442D" w14:paraId="21FD88D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E47299C" w14:textId="77777777" w:rsidR="00B2442D" w:rsidRDefault="008A645F">
            <w:pPr>
              <w:jc w:val="center"/>
              <w:rPr>
                <w:rFonts w:ascii="Arial" w:hAnsi="Arial" w:cs="Arial"/>
                <w:color w:val="000000"/>
              </w:rPr>
            </w:pPr>
            <w:r>
              <w:rPr>
                <w:rFonts w:ascii="Arial" w:hAnsi="Arial" w:cs="Arial"/>
                <w:color w:val="000000"/>
              </w:rPr>
              <w:t>41 y 42</w:t>
            </w:r>
          </w:p>
        </w:tc>
        <w:tc>
          <w:tcPr>
            <w:tcW w:w="3468" w:type="dxa"/>
            <w:tcBorders>
              <w:top w:val="nil"/>
              <w:left w:val="nil"/>
              <w:bottom w:val="single" w:sz="8" w:space="0" w:color="auto"/>
              <w:right w:val="single" w:sz="8" w:space="0" w:color="auto"/>
            </w:tcBorders>
            <w:shd w:val="clear" w:color="auto" w:fill="auto"/>
            <w:noWrap/>
            <w:vAlign w:val="center"/>
            <w:hideMark/>
          </w:tcPr>
          <w:p w14:paraId="0B1439E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Septiembre de 2017</w:t>
            </w:r>
          </w:p>
        </w:tc>
      </w:tr>
      <w:tr w:rsidR="00B2442D" w14:paraId="5EC42FB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6767B1E" w14:textId="77777777" w:rsidR="00B2442D" w:rsidRDefault="008A645F">
            <w:pPr>
              <w:jc w:val="center"/>
              <w:rPr>
                <w:rFonts w:ascii="Arial" w:hAnsi="Arial" w:cs="Arial"/>
                <w:color w:val="000000"/>
              </w:rPr>
            </w:pPr>
            <w:r>
              <w:rPr>
                <w:rFonts w:ascii="Arial" w:hAnsi="Arial" w:cs="Arial"/>
                <w:color w:val="000000"/>
              </w:rPr>
              <w:t>39 y 40</w:t>
            </w:r>
          </w:p>
        </w:tc>
        <w:tc>
          <w:tcPr>
            <w:tcW w:w="3468" w:type="dxa"/>
            <w:tcBorders>
              <w:top w:val="nil"/>
              <w:left w:val="nil"/>
              <w:bottom w:val="single" w:sz="8" w:space="0" w:color="auto"/>
              <w:right w:val="single" w:sz="8" w:space="0" w:color="auto"/>
            </w:tcBorders>
            <w:shd w:val="clear" w:color="auto" w:fill="auto"/>
            <w:noWrap/>
            <w:vAlign w:val="center"/>
            <w:hideMark/>
          </w:tcPr>
          <w:p w14:paraId="5A5DE26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Septiembre de 2017</w:t>
            </w:r>
          </w:p>
        </w:tc>
      </w:tr>
      <w:tr w:rsidR="00B2442D" w14:paraId="6572B53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7682BB8" w14:textId="77777777" w:rsidR="00B2442D" w:rsidRDefault="008A645F">
            <w:pPr>
              <w:jc w:val="center"/>
              <w:rPr>
                <w:rFonts w:ascii="Arial" w:hAnsi="Arial" w:cs="Arial"/>
                <w:color w:val="000000"/>
              </w:rPr>
            </w:pPr>
            <w:r>
              <w:rPr>
                <w:rFonts w:ascii="Arial" w:hAnsi="Arial" w:cs="Arial"/>
                <w:color w:val="000000"/>
              </w:rPr>
              <w:t>37 y 38</w:t>
            </w:r>
          </w:p>
        </w:tc>
        <w:tc>
          <w:tcPr>
            <w:tcW w:w="3468" w:type="dxa"/>
            <w:tcBorders>
              <w:top w:val="nil"/>
              <w:left w:val="nil"/>
              <w:bottom w:val="single" w:sz="8" w:space="0" w:color="auto"/>
              <w:right w:val="single" w:sz="8" w:space="0" w:color="auto"/>
            </w:tcBorders>
            <w:shd w:val="clear" w:color="auto" w:fill="auto"/>
            <w:noWrap/>
            <w:vAlign w:val="center"/>
            <w:hideMark/>
          </w:tcPr>
          <w:p w14:paraId="6262055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Septiembre de 2017</w:t>
            </w:r>
          </w:p>
        </w:tc>
      </w:tr>
      <w:tr w:rsidR="00B2442D" w14:paraId="670BBF4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9FC391" w14:textId="77777777" w:rsidR="00B2442D" w:rsidRDefault="008A645F">
            <w:pPr>
              <w:jc w:val="center"/>
              <w:rPr>
                <w:rFonts w:ascii="Arial" w:hAnsi="Arial" w:cs="Arial"/>
                <w:color w:val="000000"/>
              </w:rPr>
            </w:pPr>
            <w:r>
              <w:rPr>
                <w:rFonts w:ascii="Arial" w:hAnsi="Arial" w:cs="Arial"/>
                <w:color w:val="000000"/>
              </w:rPr>
              <w:t>35 y 36</w:t>
            </w:r>
          </w:p>
        </w:tc>
        <w:tc>
          <w:tcPr>
            <w:tcW w:w="3468" w:type="dxa"/>
            <w:tcBorders>
              <w:top w:val="nil"/>
              <w:left w:val="nil"/>
              <w:bottom w:val="single" w:sz="8" w:space="0" w:color="auto"/>
              <w:right w:val="single" w:sz="8" w:space="0" w:color="auto"/>
            </w:tcBorders>
            <w:shd w:val="clear" w:color="auto" w:fill="auto"/>
            <w:noWrap/>
            <w:vAlign w:val="center"/>
            <w:hideMark/>
          </w:tcPr>
          <w:p w14:paraId="181E8CC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Septiembre de 2017</w:t>
            </w:r>
          </w:p>
        </w:tc>
      </w:tr>
      <w:tr w:rsidR="00B2442D" w14:paraId="232E098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8B5F2D7" w14:textId="77777777" w:rsidR="00B2442D" w:rsidRDefault="008A645F">
            <w:pPr>
              <w:jc w:val="center"/>
              <w:rPr>
                <w:rFonts w:ascii="Arial" w:hAnsi="Arial" w:cs="Arial"/>
                <w:color w:val="000000"/>
              </w:rPr>
            </w:pPr>
            <w:r>
              <w:rPr>
                <w:rFonts w:ascii="Arial" w:hAnsi="Arial" w:cs="Arial"/>
                <w:color w:val="000000"/>
              </w:rPr>
              <w:t>33 y 34</w:t>
            </w:r>
          </w:p>
        </w:tc>
        <w:tc>
          <w:tcPr>
            <w:tcW w:w="3468" w:type="dxa"/>
            <w:tcBorders>
              <w:top w:val="nil"/>
              <w:left w:val="nil"/>
              <w:bottom w:val="single" w:sz="8" w:space="0" w:color="auto"/>
              <w:right w:val="single" w:sz="8" w:space="0" w:color="auto"/>
            </w:tcBorders>
            <w:shd w:val="clear" w:color="auto" w:fill="auto"/>
            <w:noWrap/>
            <w:vAlign w:val="center"/>
            <w:hideMark/>
          </w:tcPr>
          <w:p w14:paraId="0731F91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Septiembre de 2017</w:t>
            </w:r>
          </w:p>
        </w:tc>
      </w:tr>
      <w:tr w:rsidR="00B2442D" w14:paraId="47E1653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82F500A" w14:textId="77777777" w:rsidR="00B2442D" w:rsidRDefault="008A645F">
            <w:pPr>
              <w:jc w:val="center"/>
              <w:rPr>
                <w:rFonts w:ascii="Arial" w:hAnsi="Arial" w:cs="Arial"/>
                <w:color w:val="000000"/>
              </w:rPr>
            </w:pPr>
            <w:r>
              <w:rPr>
                <w:rFonts w:ascii="Arial" w:hAnsi="Arial" w:cs="Arial"/>
                <w:color w:val="000000"/>
              </w:rPr>
              <w:t>31 y 32</w:t>
            </w:r>
          </w:p>
        </w:tc>
        <w:tc>
          <w:tcPr>
            <w:tcW w:w="3468" w:type="dxa"/>
            <w:tcBorders>
              <w:top w:val="nil"/>
              <w:left w:val="nil"/>
              <w:bottom w:val="single" w:sz="8" w:space="0" w:color="auto"/>
              <w:right w:val="single" w:sz="8" w:space="0" w:color="auto"/>
            </w:tcBorders>
            <w:shd w:val="clear" w:color="auto" w:fill="auto"/>
            <w:noWrap/>
            <w:vAlign w:val="center"/>
            <w:hideMark/>
          </w:tcPr>
          <w:p w14:paraId="0A1E4FA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27 de Septiembre de 2017</w:t>
            </w:r>
          </w:p>
        </w:tc>
      </w:tr>
      <w:tr w:rsidR="00B2442D" w14:paraId="7475DB2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F5FD9A" w14:textId="77777777" w:rsidR="00B2442D" w:rsidRDefault="008A645F">
            <w:pPr>
              <w:jc w:val="center"/>
              <w:rPr>
                <w:rFonts w:ascii="Arial" w:hAnsi="Arial" w:cs="Arial"/>
                <w:color w:val="000000"/>
              </w:rPr>
            </w:pPr>
            <w:r>
              <w:rPr>
                <w:rFonts w:ascii="Arial" w:hAnsi="Arial" w:cs="Arial"/>
                <w:color w:val="000000"/>
              </w:rPr>
              <w:t>29 y 30</w:t>
            </w:r>
          </w:p>
        </w:tc>
        <w:tc>
          <w:tcPr>
            <w:tcW w:w="3468" w:type="dxa"/>
            <w:tcBorders>
              <w:top w:val="nil"/>
              <w:left w:val="nil"/>
              <w:bottom w:val="single" w:sz="8" w:space="0" w:color="auto"/>
              <w:right w:val="single" w:sz="8" w:space="0" w:color="auto"/>
            </w:tcBorders>
            <w:shd w:val="clear" w:color="auto" w:fill="auto"/>
            <w:noWrap/>
            <w:vAlign w:val="center"/>
            <w:hideMark/>
          </w:tcPr>
          <w:p w14:paraId="740EBD0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28 de </w:t>
            </w:r>
            <w:r>
              <w:rPr>
                <w:rFonts w:ascii="Arial" w:hAnsi="Arial" w:cs="Arial"/>
                <w:color w:val="000000"/>
                <w:lang w:val="es-CO" w:eastAsia="es-CO"/>
              </w:rPr>
              <w:t>Septiembre de 2017</w:t>
            </w:r>
          </w:p>
        </w:tc>
      </w:tr>
      <w:tr w:rsidR="00B2442D" w14:paraId="62EAD48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8664B73" w14:textId="77777777" w:rsidR="00B2442D" w:rsidRDefault="008A645F">
            <w:pPr>
              <w:jc w:val="center"/>
              <w:rPr>
                <w:rFonts w:ascii="Arial" w:hAnsi="Arial" w:cs="Arial"/>
                <w:color w:val="000000"/>
              </w:rPr>
            </w:pPr>
            <w:r>
              <w:rPr>
                <w:rFonts w:ascii="Arial" w:hAnsi="Arial" w:cs="Arial"/>
                <w:color w:val="000000"/>
              </w:rPr>
              <w:t>27 y 28</w:t>
            </w:r>
          </w:p>
        </w:tc>
        <w:tc>
          <w:tcPr>
            <w:tcW w:w="3468" w:type="dxa"/>
            <w:tcBorders>
              <w:top w:val="nil"/>
              <w:left w:val="nil"/>
              <w:bottom w:val="single" w:sz="8" w:space="0" w:color="auto"/>
              <w:right w:val="single" w:sz="8" w:space="0" w:color="auto"/>
            </w:tcBorders>
            <w:shd w:val="clear" w:color="auto" w:fill="auto"/>
            <w:noWrap/>
            <w:vAlign w:val="center"/>
            <w:hideMark/>
          </w:tcPr>
          <w:p w14:paraId="37696F9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29 de Septiembre de 2017</w:t>
            </w:r>
          </w:p>
        </w:tc>
      </w:tr>
      <w:tr w:rsidR="00B2442D" w14:paraId="434CD28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E78B91" w14:textId="77777777" w:rsidR="00B2442D" w:rsidRDefault="008A645F">
            <w:pPr>
              <w:jc w:val="center"/>
              <w:rPr>
                <w:rFonts w:ascii="Arial" w:hAnsi="Arial" w:cs="Arial"/>
                <w:color w:val="000000"/>
              </w:rPr>
            </w:pPr>
            <w:r>
              <w:rPr>
                <w:rFonts w:ascii="Arial" w:hAnsi="Arial" w:cs="Arial"/>
                <w:color w:val="000000"/>
              </w:rPr>
              <w:t>25 y 26</w:t>
            </w:r>
          </w:p>
        </w:tc>
        <w:tc>
          <w:tcPr>
            <w:tcW w:w="3468" w:type="dxa"/>
            <w:tcBorders>
              <w:top w:val="nil"/>
              <w:left w:val="nil"/>
              <w:bottom w:val="single" w:sz="8" w:space="0" w:color="auto"/>
              <w:right w:val="single" w:sz="8" w:space="0" w:color="auto"/>
            </w:tcBorders>
            <w:shd w:val="clear" w:color="auto" w:fill="auto"/>
            <w:noWrap/>
            <w:vAlign w:val="center"/>
          </w:tcPr>
          <w:p w14:paraId="7EE21BA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02 de Octubre de 2017</w:t>
            </w:r>
          </w:p>
        </w:tc>
      </w:tr>
      <w:tr w:rsidR="00B2442D" w14:paraId="000276B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53569AB" w14:textId="77777777" w:rsidR="00B2442D" w:rsidRDefault="008A645F">
            <w:pPr>
              <w:jc w:val="center"/>
              <w:rPr>
                <w:rFonts w:ascii="Arial" w:hAnsi="Arial" w:cs="Arial"/>
                <w:color w:val="000000"/>
              </w:rPr>
            </w:pPr>
            <w:r>
              <w:rPr>
                <w:rFonts w:ascii="Arial" w:hAnsi="Arial" w:cs="Arial"/>
                <w:color w:val="000000"/>
              </w:rPr>
              <w:t>23 y 24</w:t>
            </w:r>
          </w:p>
        </w:tc>
        <w:tc>
          <w:tcPr>
            <w:tcW w:w="3468" w:type="dxa"/>
            <w:tcBorders>
              <w:top w:val="nil"/>
              <w:left w:val="nil"/>
              <w:bottom w:val="single" w:sz="8" w:space="0" w:color="auto"/>
              <w:right w:val="single" w:sz="8" w:space="0" w:color="auto"/>
            </w:tcBorders>
            <w:shd w:val="clear" w:color="auto" w:fill="auto"/>
            <w:noWrap/>
            <w:vAlign w:val="center"/>
          </w:tcPr>
          <w:p w14:paraId="1D23C32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03 de Octubre de 2017</w:t>
            </w:r>
          </w:p>
        </w:tc>
      </w:tr>
      <w:tr w:rsidR="00B2442D" w14:paraId="312D150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99182F3" w14:textId="77777777" w:rsidR="00B2442D" w:rsidRDefault="008A645F">
            <w:pPr>
              <w:jc w:val="center"/>
              <w:rPr>
                <w:rFonts w:ascii="Arial" w:hAnsi="Arial" w:cs="Arial"/>
                <w:color w:val="000000"/>
              </w:rPr>
            </w:pPr>
            <w:r>
              <w:rPr>
                <w:rFonts w:ascii="Arial" w:hAnsi="Arial" w:cs="Arial"/>
                <w:color w:val="000000"/>
              </w:rPr>
              <w:t>21 y 22</w:t>
            </w:r>
          </w:p>
        </w:tc>
        <w:tc>
          <w:tcPr>
            <w:tcW w:w="3468" w:type="dxa"/>
            <w:tcBorders>
              <w:top w:val="nil"/>
              <w:left w:val="nil"/>
              <w:bottom w:val="single" w:sz="8" w:space="0" w:color="auto"/>
              <w:right w:val="single" w:sz="8" w:space="0" w:color="auto"/>
            </w:tcBorders>
            <w:shd w:val="clear" w:color="auto" w:fill="auto"/>
            <w:noWrap/>
            <w:vAlign w:val="center"/>
          </w:tcPr>
          <w:p w14:paraId="5E59AC1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Octubre de 2017</w:t>
            </w:r>
          </w:p>
        </w:tc>
      </w:tr>
      <w:tr w:rsidR="00B2442D" w14:paraId="13CCD945"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98C795F" w14:textId="77777777" w:rsidR="00B2442D" w:rsidRDefault="008A645F">
            <w:pPr>
              <w:jc w:val="center"/>
              <w:rPr>
                <w:rFonts w:ascii="Arial" w:hAnsi="Arial" w:cs="Arial"/>
                <w:color w:val="000000"/>
              </w:rPr>
            </w:pPr>
            <w:r>
              <w:rPr>
                <w:rFonts w:ascii="Arial" w:hAnsi="Arial" w:cs="Arial"/>
                <w:color w:val="000000"/>
              </w:rPr>
              <w:t>19 y 20</w:t>
            </w:r>
          </w:p>
        </w:tc>
        <w:tc>
          <w:tcPr>
            <w:tcW w:w="3468" w:type="dxa"/>
            <w:tcBorders>
              <w:top w:val="nil"/>
              <w:left w:val="nil"/>
              <w:bottom w:val="single" w:sz="8" w:space="0" w:color="auto"/>
              <w:right w:val="single" w:sz="8" w:space="0" w:color="auto"/>
            </w:tcBorders>
            <w:shd w:val="clear" w:color="auto" w:fill="auto"/>
            <w:noWrap/>
            <w:vAlign w:val="center"/>
          </w:tcPr>
          <w:p w14:paraId="0D1904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Octubre de 2017</w:t>
            </w:r>
          </w:p>
        </w:tc>
      </w:tr>
      <w:tr w:rsidR="00B2442D" w14:paraId="0BCA633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B7DA99" w14:textId="77777777" w:rsidR="00B2442D" w:rsidRDefault="008A645F">
            <w:pPr>
              <w:jc w:val="center"/>
              <w:rPr>
                <w:rFonts w:ascii="Arial" w:hAnsi="Arial" w:cs="Arial"/>
                <w:color w:val="000000"/>
              </w:rPr>
            </w:pPr>
            <w:r>
              <w:rPr>
                <w:rFonts w:ascii="Arial" w:hAnsi="Arial" w:cs="Arial"/>
                <w:color w:val="000000"/>
              </w:rPr>
              <w:t>17 y 18</w:t>
            </w:r>
          </w:p>
        </w:tc>
        <w:tc>
          <w:tcPr>
            <w:tcW w:w="3468" w:type="dxa"/>
            <w:tcBorders>
              <w:top w:val="nil"/>
              <w:left w:val="nil"/>
              <w:bottom w:val="single" w:sz="8" w:space="0" w:color="auto"/>
              <w:right w:val="single" w:sz="8" w:space="0" w:color="auto"/>
            </w:tcBorders>
            <w:shd w:val="clear" w:color="auto" w:fill="auto"/>
            <w:noWrap/>
            <w:vAlign w:val="center"/>
          </w:tcPr>
          <w:p w14:paraId="0C49F1B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06 de Octubre de 2017</w:t>
            </w:r>
          </w:p>
        </w:tc>
      </w:tr>
      <w:tr w:rsidR="00B2442D" w14:paraId="44DCBCF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4D83EE" w14:textId="77777777" w:rsidR="00B2442D" w:rsidRDefault="008A645F">
            <w:pPr>
              <w:jc w:val="center"/>
              <w:rPr>
                <w:rFonts w:ascii="Arial" w:hAnsi="Arial" w:cs="Arial"/>
                <w:color w:val="000000"/>
              </w:rPr>
            </w:pPr>
            <w:r>
              <w:rPr>
                <w:rFonts w:ascii="Arial" w:hAnsi="Arial" w:cs="Arial"/>
                <w:color w:val="000000"/>
              </w:rPr>
              <w:t>15 y 16</w:t>
            </w:r>
          </w:p>
        </w:tc>
        <w:tc>
          <w:tcPr>
            <w:tcW w:w="3468" w:type="dxa"/>
            <w:tcBorders>
              <w:top w:val="nil"/>
              <w:left w:val="nil"/>
              <w:bottom w:val="single" w:sz="8" w:space="0" w:color="auto"/>
              <w:right w:val="single" w:sz="8" w:space="0" w:color="auto"/>
            </w:tcBorders>
            <w:shd w:val="clear" w:color="auto" w:fill="auto"/>
            <w:noWrap/>
            <w:vAlign w:val="center"/>
          </w:tcPr>
          <w:p w14:paraId="2ECB35D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09 de Octubre de 2017</w:t>
            </w:r>
          </w:p>
        </w:tc>
      </w:tr>
      <w:tr w:rsidR="00B2442D" w14:paraId="01F7B46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349227F" w14:textId="77777777" w:rsidR="00B2442D" w:rsidRDefault="008A645F">
            <w:pPr>
              <w:jc w:val="center"/>
              <w:rPr>
                <w:rFonts w:ascii="Arial" w:hAnsi="Arial" w:cs="Arial"/>
                <w:color w:val="000000"/>
              </w:rPr>
            </w:pPr>
            <w:r>
              <w:rPr>
                <w:rFonts w:ascii="Arial" w:hAnsi="Arial" w:cs="Arial"/>
                <w:color w:val="000000"/>
              </w:rPr>
              <w:t>13 y 14</w:t>
            </w:r>
          </w:p>
        </w:tc>
        <w:tc>
          <w:tcPr>
            <w:tcW w:w="3468" w:type="dxa"/>
            <w:tcBorders>
              <w:top w:val="nil"/>
              <w:left w:val="nil"/>
              <w:bottom w:val="single" w:sz="8" w:space="0" w:color="auto"/>
              <w:right w:val="single" w:sz="8" w:space="0" w:color="auto"/>
            </w:tcBorders>
            <w:shd w:val="clear" w:color="auto" w:fill="auto"/>
            <w:noWrap/>
            <w:vAlign w:val="center"/>
          </w:tcPr>
          <w:p w14:paraId="07BD3DC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10 de </w:t>
            </w:r>
            <w:r>
              <w:rPr>
                <w:rFonts w:ascii="Arial" w:hAnsi="Arial" w:cs="Arial"/>
                <w:color w:val="000000"/>
                <w:lang w:val="es-CO" w:eastAsia="es-CO"/>
              </w:rPr>
              <w:t>Octubre de 2017</w:t>
            </w:r>
          </w:p>
        </w:tc>
      </w:tr>
      <w:tr w:rsidR="00B2442D" w14:paraId="204823A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6D0238B" w14:textId="77777777" w:rsidR="00B2442D" w:rsidRDefault="008A645F">
            <w:pPr>
              <w:jc w:val="center"/>
              <w:rPr>
                <w:rFonts w:ascii="Arial" w:hAnsi="Arial" w:cs="Arial"/>
                <w:color w:val="000000"/>
              </w:rPr>
            </w:pPr>
            <w:r>
              <w:rPr>
                <w:rFonts w:ascii="Arial" w:hAnsi="Arial" w:cs="Arial"/>
                <w:color w:val="000000"/>
              </w:rPr>
              <w:t>11 y 12</w:t>
            </w:r>
          </w:p>
        </w:tc>
        <w:tc>
          <w:tcPr>
            <w:tcW w:w="3468" w:type="dxa"/>
            <w:tcBorders>
              <w:top w:val="nil"/>
              <w:left w:val="nil"/>
              <w:bottom w:val="single" w:sz="8" w:space="0" w:color="auto"/>
              <w:right w:val="single" w:sz="8" w:space="0" w:color="auto"/>
            </w:tcBorders>
            <w:shd w:val="clear" w:color="auto" w:fill="auto"/>
            <w:noWrap/>
            <w:vAlign w:val="center"/>
          </w:tcPr>
          <w:p w14:paraId="49F03C5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Octubre de 2017</w:t>
            </w:r>
          </w:p>
        </w:tc>
      </w:tr>
      <w:tr w:rsidR="00B2442D" w14:paraId="66F4A35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14:paraId="0A8CD181" w14:textId="77777777" w:rsidR="00B2442D" w:rsidRDefault="008A645F">
            <w:pPr>
              <w:jc w:val="center"/>
              <w:rPr>
                <w:rFonts w:ascii="Arial" w:hAnsi="Arial" w:cs="Arial"/>
                <w:color w:val="000000"/>
              </w:rPr>
            </w:pPr>
            <w:r>
              <w:rPr>
                <w:rFonts w:ascii="Arial" w:hAnsi="Arial" w:cs="Arial"/>
                <w:color w:val="000000"/>
              </w:rPr>
              <w:t>09 y 10</w:t>
            </w:r>
          </w:p>
        </w:tc>
        <w:tc>
          <w:tcPr>
            <w:tcW w:w="3468" w:type="dxa"/>
            <w:tcBorders>
              <w:top w:val="nil"/>
              <w:left w:val="nil"/>
              <w:bottom w:val="single" w:sz="8" w:space="0" w:color="auto"/>
              <w:right w:val="single" w:sz="8" w:space="0" w:color="auto"/>
            </w:tcBorders>
            <w:shd w:val="clear" w:color="auto" w:fill="auto"/>
            <w:noWrap/>
            <w:vAlign w:val="center"/>
          </w:tcPr>
          <w:p w14:paraId="574E03C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Octubre de 2017</w:t>
            </w:r>
          </w:p>
        </w:tc>
      </w:tr>
      <w:tr w:rsidR="00B2442D" w14:paraId="4251F9F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22A3E14" w14:textId="77777777" w:rsidR="00B2442D" w:rsidRDefault="008A645F">
            <w:pPr>
              <w:jc w:val="center"/>
              <w:rPr>
                <w:rFonts w:ascii="Arial" w:hAnsi="Arial" w:cs="Arial"/>
                <w:color w:val="000000"/>
              </w:rPr>
            </w:pPr>
            <w:r>
              <w:rPr>
                <w:rFonts w:ascii="Arial" w:hAnsi="Arial" w:cs="Arial"/>
                <w:color w:val="000000"/>
              </w:rPr>
              <w:t>07 y 08</w:t>
            </w:r>
          </w:p>
        </w:tc>
        <w:tc>
          <w:tcPr>
            <w:tcW w:w="3468" w:type="dxa"/>
            <w:tcBorders>
              <w:top w:val="nil"/>
              <w:left w:val="nil"/>
              <w:bottom w:val="single" w:sz="8" w:space="0" w:color="auto"/>
              <w:right w:val="single" w:sz="8" w:space="0" w:color="auto"/>
            </w:tcBorders>
            <w:shd w:val="clear" w:color="auto" w:fill="auto"/>
            <w:noWrap/>
            <w:vAlign w:val="center"/>
          </w:tcPr>
          <w:p w14:paraId="399C756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Octubre de 2017</w:t>
            </w:r>
          </w:p>
        </w:tc>
      </w:tr>
      <w:tr w:rsidR="00B2442D" w14:paraId="435C84B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EE6B7D" w14:textId="77777777" w:rsidR="00B2442D" w:rsidRDefault="008A645F">
            <w:pPr>
              <w:jc w:val="center"/>
              <w:rPr>
                <w:rFonts w:ascii="Arial" w:hAnsi="Arial" w:cs="Arial"/>
                <w:color w:val="000000"/>
              </w:rPr>
            </w:pPr>
            <w:r>
              <w:rPr>
                <w:rFonts w:ascii="Arial" w:hAnsi="Arial" w:cs="Arial"/>
                <w:color w:val="000000"/>
              </w:rPr>
              <w:t>05 y 06</w:t>
            </w:r>
          </w:p>
        </w:tc>
        <w:tc>
          <w:tcPr>
            <w:tcW w:w="3468" w:type="dxa"/>
            <w:tcBorders>
              <w:top w:val="nil"/>
              <w:left w:val="nil"/>
              <w:bottom w:val="single" w:sz="8" w:space="0" w:color="auto"/>
              <w:right w:val="single" w:sz="8" w:space="0" w:color="auto"/>
            </w:tcBorders>
            <w:shd w:val="clear" w:color="auto" w:fill="auto"/>
            <w:noWrap/>
            <w:vAlign w:val="center"/>
          </w:tcPr>
          <w:p w14:paraId="1E9E8B8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Octubre de 2017</w:t>
            </w:r>
          </w:p>
        </w:tc>
      </w:tr>
      <w:tr w:rsidR="00B2442D" w14:paraId="15DC9AB5"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F5BB71F" w14:textId="77777777" w:rsidR="00B2442D" w:rsidRDefault="008A645F">
            <w:pPr>
              <w:jc w:val="center"/>
              <w:rPr>
                <w:rFonts w:ascii="Arial" w:hAnsi="Arial" w:cs="Arial"/>
                <w:color w:val="000000"/>
              </w:rPr>
            </w:pPr>
            <w:r>
              <w:rPr>
                <w:rFonts w:ascii="Arial" w:hAnsi="Arial" w:cs="Arial"/>
                <w:color w:val="000000"/>
              </w:rPr>
              <w:t>03 y 04</w:t>
            </w:r>
          </w:p>
        </w:tc>
        <w:tc>
          <w:tcPr>
            <w:tcW w:w="3468" w:type="dxa"/>
            <w:tcBorders>
              <w:top w:val="nil"/>
              <w:left w:val="nil"/>
              <w:bottom w:val="single" w:sz="8" w:space="0" w:color="auto"/>
              <w:right w:val="single" w:sz="8" w:space="0" w:color="auto"/>
            </w:tcBorders>
            <w:shd w:val="clear" w:color="auto" w:fill="auto"/>
            <w:noWrap/>
            <w:vAlign w:val="center"/>
          </w:tcPr>
          <w:p w14:paraId="0C8CEFE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Octubre de 2017</w:t>
            </w:r>
          </w:p>
        </w:tc>
      </w:tr>
      <w:tr w:rsidR="00B2442D" w14:paraId="52DA89B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B27DC28" w14:textId="77777777" w:rsidR="00B2442D" w:rsidRDefault="008A645F">
            <w:pPr>
              <w:jc w:val="center"/>
              <w:rPr>
                <w:rFonts w:ascii="Arial" w:hAnsi="Arial" w:cs="Arial"/>
                <w:color w:val="000000"/>
              </w:rPr>
            </w:pPr>
            <w:r>
              <w:rPr>
                <w:rFonts w:ascii="Arial" w:hAnsi="Arial" w:cs="Arial"/>
                <w:color w:val="000000"/>
              </w:rPr>
              <w:t>01 y 02</w:t>
            </w:r>
          </w:p>
        </w:tc>
        <w:tc>
          <w:tcPr>
            <w:tcW w:w="3468" w:type="dxa"/>
            <w:tcBorders>
              <w:top w:val="nil"/>
              <w:left w:val="nil"/>
              <w:bottom w:val="single" w:sz="8" w:space="0" w:color="auto"/>
              <w:right w:val="single" w:sz="8" w:space="0" w:color="auto"/>
            </w:tcBorders>
            <w:shd w:val="clear" w:color="auto" w:fill="auto"/>
            <w:noWrap/>
            <w:vAlign w:val="center"/>
          </w:tcPr>
          <w:p w14:paraId="5335D28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Octubre de 2017</w:t>
            </w:r>
          </w:p>
        </w:tc>
      </w:tr>
    </w:tbl>
    <w:p w14:paraId="24E30BCD" w14:textId="77777777" w:rsidR="00B2442D" w:rsidRDefault="00B2442D">
      <w:pPr>
        <w:pStyle w:val="Prrafodelista"/>
        <w:rPr>
          <w:rFonts w:ascii="Arial" w:hAnsi="Arial" w:cs="Arial"/>
        </w:rPr>
      </w:pPr>
    </w:p>
    <w:p w14:paraId="35487FC8" w14:textId="77777777" w:rsidR="00B2442D" w:rsidRDefault="008A645F">
      <w:pPr>
        <w:tabs>
          <w:tab w:val="left" w:pos="144"/>
        </w:tabs>
        <w:autoSpaceDE w:val="0"/>
        <w:autoSpaceDN w:val="0"/>
        <w:adjustRightInd w:val="0"/>
        <w:ind w:left="144"/>
        <w:jc w:val="both"/>
        <w:rPr>
          <w:rFonts w:ascii="Arial" w:hAnsi="Arial" w:cs="Arial"/>
          <w:b/>
          <w:bCs/>
          <w:color w:val="000000"/>
        </w:rPr>
      </w:pPr>
      <w:r>
        <w:rPr>
          <w:rFonts w:ascii="Arial" w:hAnsi="Arial" w:cs="Arial"/>
          <w:b/>
          <w:bCs/>
          <w:color w:val="000000"/>
        </w:rPr>
        <w:t>Parágrafo 1</w:t>
      </w:r>
      <w:r>
        <w:rPr>
          <w:rFonts w:ascii="Arial" w:hAnsi="Arial" w:cs="Arial"/>
          <w:b/>
          <w:color w:val="000080"/>
        </w:rPr>
        <w:t>.</w:t>
      </w:r>
      <w:r>
        <w:rPr>
          <w:rFonts w:ascii="Arial" w:hAnsi="Arial" w:cs="Arial"/>
          <w:color w:val="000000"/>
        </w:rPr>
        <w:t xml:space="preserve"> </w:t>
      </w:r>
      <w:r>
        <w:rPr>
          <w:rFonts w:ascii="Arial" w:hAnsi="Arial" w:cs="Arial"/>
        </w:rPr>
        <w:t xml:space="preserve">Los plazos anteriormente </w:t>
      </w:r>
      <w:r>
        <w:rPr>
          <w:rFonts w:ascii="Arial" w:hAnsi="Arial" w:cs="Arial"/>
        </w:rPr>
        <w:t>señalados, aplican con independencia del sistema de determinación del impuesto aplicable para las distintas categorías de contribuyentes personas naturales.</w:t>
      </w:r>
    </w:p>
    <w:p w14:paraId="395AD9FF" w14:textId="77777777" w:rsidR="00B2442D" w:rsidRDefault="00B2442D">
      <w:pPr>
        <w:pStyle w:val="Default"/>
        <w:ind w:left="144"/>
        <w:jc w:val="both"/>
      </w:pPr>
    </w:p>
    <w:p w14:paraId="6D69EA45" w14:textId="77777777" w:rsidR="00B2442D" w:rsidRDefault="008A645F">
      <w:pPr>
        <w:pStyle w:val="Default"/>
        <w:ind w:left="144" w:right="-119"/>
        <w:jc w:val="both"/>
        <w:rPr>
          <w:b/>
          <w:lang w:val="es-ES"/>
        </w:rPr>
      </w:pPr>
      <w:r>
        <w:rPr>
          <w:b/>
        </w:rPr>
        <w:t>Parágrafo 2.</w:t>
      </w:r>
      <w:r>
        <w:t xml:space="preserve"> Las personas naturales residentes en el exterior deberán presentar la declaración de </w:t>
      </w:r>
      <w:r>
        <w:t>renta y complementario en forma electrónica y dentro de los plazos antes señalados. Igualmente, el pago del impuesto y el anticipo podrán efectuarlo electrónicamente o en los bancos y demás entidades autorizadas en el territorio colombiano dentro del mismo</w:t>
      </w:r>
      <w:r>
        <w:t xml:space="preserve"> plazo.</w:t>
      </w:r>
    </w:p>
    <w:p w14:paraId="134D42B8" w14:textId="77777777" w:rsidR="00B2442D" w:rsidRDefault="00B2442D">
      <w:pPr>
        <w:pStyle w:val="Default"/>
        <w:ind w:left="144" w:right="193"/>
        <w:jc w:val="both"/>
        <w:rPr>
          <w:b/>
          <w:lang w:val="es-ES"/>
        </w:rPr>
      </w:pPr>
    </w:p>
    <w:p w14:paraId="160544D1" w14:textId="77777777" w:rsidR="00B2442D" w:rsidRDefault="008A645F">
      <w:pPr>
        <w:tabs>
          <w:tab w:val="left" w:pos="144"/>
        </w:tabs>
        <w:autoSpaceDE w:val="0"/>
        <w:autoSpaceDN w:val="0"/>
        <w:adjustRightInd w:val="0"/>
        <w:ind w:left="144"/>
        <w:jc w:val="both"/>
        <w:rPr>
          <w:rFonts w:ascii="Arial" w:hAnsi="Arial" w:cs="Arial"/>
        </w:rPr>
      </w:pPr>
      <w:r>
        <w:rPr>
          <w:rFonts w:ascii="Arial" w:hAnsi="Arial" w:cs="Arial"/>
          <w:b/>
          <w:color w:val="000000"/>
        </w:rPr>
        <w:t>Parágrafo 3</w:t>
      </w:r>
      <w:r>
        <w:rPr>
          <w:rFonts w:ascii="Arial" w:hAnsi="Arial" w:cs="Arial"/>
          <w:color w:val="000000"/>
        </w:rPr>
        <w:t xml:space="preserve">. </w:t>
      </w:r>
      <w:r>
        <w:rPr>
          <w:rFonts w:ascii="Arial" w:hAnsi="Arial" w:cs="Arial"/>
        </w:rPr>
        <w:t>La liquidación privada de los contribuyentes del impuesto sobre la renta y complementario que apliquen voluntariamente el Sistema de Impuesto Mínimo Alternativo Simple (IMAS), quedará en firme después de seis (6) meses contados a partir del momento de la p</w:t>
      </w:r>
      <w:r>
        <w:rPr>
          <w:rFonts w:ascii="Arial" w:hAnsi="Arial" w:cs="Arial"/>
        </w:rPr>
        <w:t>resentación, siempre que sea debidamente presentada en forma oportuna, el pago se realice en los plazos que para tal efecto fije el presente Decreto y que la administración no tenga prueba sumaria sobre la ocurrencia de fraude mediante la utilización de do</w:t>
      </w:r>
      <w:r>
        <w:rPr>
          <w:rFonts w:ascii="Arial" w:hAnsi="Arial" w:cs="Arial"/>
        </w:rPr>
        <w:t xml:space="preserve">cumentos o información falsa en los conceptos de ingresos, aportes a la seguridad social, pagos catastróficos y pérdidas por calamidades, u otros. </w:t>
      </w:r>
    </w:p>
    <w:p w14:paraId="632DD3B3" w14:textId="77777777" w:rsidR="00B2442D" w:rsidRDefault="00B2442D">
      <w:pPr>
        <w:tabs>
          <w:tab w:val="left" w:pos="144"/>
        </w:tabs>
        <w:autoSpaceDE w:val="0"/>
        <w:autoSpaceDN w:val="0"/>
        <w:adjustRightInd w:val="0"/>
        <w:ind w:left="144"/>
        <w:jc w:val="both"/>
        <w:rPr>
          <w:rFonts w:ascii="Arial" w:hAnsi="Arial" w:cs="Arial"/>
        </w:rPr>
      </w:pPr>
    </w:p>
    <w:p w14:paraId="701F68B2" w14:textId="77777777" w:rsidR="00B2442D" w:rsidRDefault="008A645F">
      <w:pPr>
        <w:tabs>
          <w:tab w:val="left" w:pos="144"/>
        </w:tabs>
        <w:autoSpaceDE w:val="0"/>
        <w:autoSpaceDN w:val="0"/>
        <w:adjustRightInd w:val="0"/>
        <w:ind w:left="144"/>
        <w:jc w:val="both"/>
        <w:rPr>
          <w:rFonts w:ascii="Arial" w:hAnsi="Arial" w:cs="Arial"/>
        </w:rPr>
      </w:pPr>
      <w:r>
        <w:rPr>
          <w:rFonts w:ascii="Arial" w:hAnsi="Arial" w:cs="Arial"/>
        </w:rPr>
        <w:t xml:space="preserve">Los contribuyentes que opten por aplicar voluntariamente el IMAS, no estarán obligados a presentar la declaración del Impuesto sobre la Renta establecida en el régimen ordinario. </w:t>
      </w:r>
    </w:p>
    <w:p w14:paraId="0000595F" w14:textId="77777777" w:rsidR="00B2442D" w:rsidRDefault="00B2442D">
      <w:pPr>
        <w:tabs>
          <w:tab w:val="left" w:pos="144"/>
        </w:tabs>
        <w:autoSpaceDE w:val="0"/>
        <w:autoSpaceDN w:val="0"/>
        <w:adjustRightInd w:val="0"/>
        <w:ind w:left="720"/>
        <w:jc w:val="both"/>
        <w:rPr>
          <w:rFonts w:ascii="Arial" w:hAnsi="Arial" w:cs="Arial"/>
        </w:rPr>
      </w:pPr>
    </w:p>
    <w:p w14:paraId="287149C9"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49" w:history="1">
        <w:r>
          <w:rPr>
            <w:rStyle w:val="Hipervnculo"/>
            <w:rFonts w:ascii="Arial" w:hAnsi="Arial" w:cs="Arial"/>
            <w:i/>
          </w:rPr>
          <w:t>Art. 9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w:t>
      </w:r>
      <w:r>
        <w:rPr>
          <w:rFonts w:ascii="Arial" w:hAnsi="Arial" w:cs="Arial"/>
          <w:i/>
          <w:iCs/>
          <w:color w:val="000000"/>
          <w:lang w:val="es-CO" w:eastAsia="es-CO"/>
        </w:rPr>
        <w:t>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1D28674F" w14:textId="77777777" w:rsidR="00B2442D" w:rsidRDefault="00B2442D">
      <w:pPr>
        <w:jc w:val="both"/>
        <w:rPr>
          <w:rFonts w:ascii="Arial" w:hAnsi="Arial" w:cs="Arial"/>
          <w:i/>
          <w:lang w:val="es-ES_tradnl"/>
        </w:rPr>
      </w:pPr>
    </w:p>
    <w:p w14:paraId="3210074F"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 Plazo especial para presentar la declaración de instituciones</w:t>
      </w:r>
      <w:r>
        <w:rPr>
          <w:rFonts w:cs="Arial"/>
          <w:b/>
          <w:i/>
          <w:spacing w:val="40"/>
          <w:lang w:val="es-CO"/>
        </w:rPr>
        <w:t xml:space="preserve"> </w:t>
      </w:r>
      <w:r>
        <w:rPr>
          <w:rFonts w:cs="Arial"/>
          <w:b/>
          <w:i/>
          <w:lang w:val="es-CO"/>
        </w:rPr>
        <w:t>financieras</w:t>
      </w:r>
      <w:r>
        <w:rPr>
          <w:rFonts w:cs="Arial"/>
          <w:b/>
          <w:i/>
          <w:spacing w:val="39"/>
          <w:lang w:val="es-CO"/>
        </w:rPr>
        <w:t xml:space="preserve"> </w:t>
      </w:r>
      <w:r>
        <w:rPr>
          <w:rFonts w:cs="Arial"/>
          <w:b/>
          <w:i/>
          <w:lang w:val="es-CO"/>
        </w:rPr>
        <w:t>intervenidas.</w:t>
      </w:r>
      <w:r>
        <w:rPr>
          <w:rFonts w:cs="Arial"/>
          <w:spacing w:val="59"/>
          <w:lang w:val="es-CO"/>
        </w:rPr>
        <w:t xml:space="preserve"> </w:t>
      </w:r>
      <w:r>
        <w:rPr>
          <w:rFonts w:cs="Arial"/>
          <w:lang w:val="es-CO"/>
        </w:rPr>
        <w:t>Las instituciones financieras que hubieren sido inte</w:t>
      </w:r>
      <w:r>
        <w:rPr>
          <w:rFonts w:cs="Arial"/>
          <w:lang w:val="es-CO"/>
        </w:rPr>
        <w:t>rvenidas de conformidad con el Decreto 2920 de 1982 o normas posteriores, podrán presentar la declaración del impuesto sobre la renta y complementario correspondiente a los años gravables 1987 y siguientes, en el formulario prescrito por la Unidad Administ</w:t>
      </w:r>
      <w:r>
        <w:rPr>
          <w:rFonts w:cs="Arial"/>
          <w:lang w:val="es-CO"/>
        </w:rPr>
        <w:t>rativa Especial Dirección de Impuestos y Aduanas Nacionales - DIAN para los grandes contribuyentes y demás personas jurídicas por el año gravable 2016 y cancelar el impuesto a cargo determinado, dentro de los dos (2) meses siguientes a la fecha en que se a</w:t>
      </w:r>
      <w:r>
        <w:rPr>
          <w:rFonts w:cs="Arial"/>
          <w:lang w:val="es-CO"/>
        </w:rPr>
        <w:t>prueben de manera definitiva los respectivos estados financieros correspondientes al segundo semestre del año gravable objeto de aprobación, de acuerdo con lo establecido en el Estatuto Orgánico del Sistema Financiero.</w:t>
      </w:r>
    </w:p>
    <w:p w14:paraId="2BF531B9" w14:textId="77777777" w:rsidR="00B2442D" w:rsidRDefault="00B2442D">
      <w:pPr>
        <w:pStyle w:val="Textoindependiente"/>
        <w:spacing w:line="40" w:lineRule="atLeast"/>
        <w:ind w:right="-30"/>
        <w:jc w:val="both"/>
        <w:rPr>
          <w:rFonts w:cs="Arial"/>
          <w:lang w:val="es-CO"/>
        </w:rPr>
      </w:pPr>
    </w:p>
    <w:p w14:paraId="78815FBE" w14:textId="77777777" w:rsidR="00B2442D" w:rsidRDefault="008A645F">
      <w:pPr>
        <w:pStyle w:val="Textoindependiente"/>
        <w:spacing w:line="40" w:lineRule="atLeast"/>
        <w:ind w:right="-30"/>
        <w:jc w:val="both"/>
        <w:rPr>
          <w:rFonts w:cs="Arial"/>
          <w:lang w:val="es-CO"/>
        </w:rPr>
      </w:pPr>
      <w:r>
        <w:rPr>
          <w:rFonts w:cs="Arial"/>
          <w:lang w:val="es-CO"/>
        </w:rPr>
        <w:t>Parágrafo. Lo dispuesto en este artí</w:t>
      </w:r>
      <w:r>
        <w:rPr>
          <w:rFonts w:cs="Arial"/>
          <w:lang w:val="es-CO"/>
        </w:rPr>
        <w:t>culo también se aplicará a las entidades promotoras de salud intervenidas.”</w:t>
      </w:r>
    </w:p>
    <w:p w14:paraId="1642FE8D" w14:textId="77777777" w:rsidR="00B2442D" w:rsidRDefault="00B2442D">
      <w:pPr>
        <w:pStyle w:val="Textoindependiente"/>
        <w:spacing w:line="40" w:lineRule="atLeast"/>
        <w:ind w:right="-30"/>
        <w:jc w:val="both"/>
        <w:rPr>
          <w:rFonts w:cs="Arial"/>
          <w:lang w:val="es-CO"/>
        </w:rPr>
      </w:pPr>
    </w:p>
    <w:p w14:paraId="232C2AE3" w14:textId="77777777" w:rsidR="00B2442D" w:rsidRDefault="008A645F">
      <w:pPr>
        <w:pStyle w:val="Textoindependiente"/>
        <w:spacing w:line="40" w:lineRule="atLeast"/>
        <w:ind w:right="-30"/>
        <w:jc w:val="both"/>
        <w:rPr>
          <w:rFonts w:cs="Arial"/>
          <w:i/>
          <w:lang w:val="es-ES_tradnl"/>
        </w:rPr>
      </w:pPr>
      <w:r>
        <w:rPr>
          <w:rFonts w:cs="Arial"/>
          <w:i/>
          <w:lang w:val="es-CO"/>
        </w:rPr>
        <w:t>(</w:t>
      </w:r>
      <w:hyperlink r:id="rId50" w:history="1">
        <w:r>
          <w:rPr>
            <w:rStyle w:val="Hipervnculo"/>
            <w:rFonts w:cs="Arial"/>
            <w:i/>
            <w:lang w:val="es-CO"/>
          </w:rPr>
          <w:t>Art. 10 Decreto 2105 de 2016</w:t>
        </w:r>
      </w:hyperlink>
      <w:r>
        <w:rPr>
          <w:rFonts w:cs="Arial"/>
          <w:i/>
          <w:lang w:val="es-CO"/>
        </w:rPr>
        <w:t>, plazos 2016: Decreto 2243 de 2015; plazos 2015: Decreto 2623 de 2014; plazos 2014: Decreto 2972 de 2013 y Decreto 685 de 20</w:t>
      </w:r>
      <w:r>
        <w:rPr>
          <w:rFonts w:cs="Arial"/>
          <w:i/>
          <w:lang w:val="es-CO"/>
        </w:rPr>
        <w:t>14; plazos 2013: Decreto 2634 de 2012 y Decreto 0187 de 2013; plazos 2012: Decreto 4907 de 2011; plazos 2011: Decreto 4836 de 2010 y Decreto 1358 de 2011)</w:t>
      </w:r>
    </w:p>
    <w:p w14:paraId="7075FAC3" w14:textId="77777777" w:rsidR="00B2442D" w:rsidRDefault="00B2442D">
      <w:pPr>
        <w:spacing w:line="40" w:lineRule="atLeast"/>
        <w:ind w:right="-30"/>
        <w:jc w:val="both"/>
        <w:rPr>
          <w:rFonts w:ascii="Arial" w:hAnsi="Arial" w:cs="Arial"/>
          <w:lang w:val="es-CO"/>
        </w:rPr>
      </w:pPr>
    </w:p>
    <w:p w14:paraId="792202CC"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 de</w:t>
      </w:r>
      <w:r>
        <w:rPr>
          <w:rFonts w:cs="Arial"/>
          <w:b/>
          <w:i/>
          <w:spacing w:val="62"/>
          <w:lang w:val="es-CO"/>
        </w:rPr>
        <w:t xml:space="preserve"> </w:t>
      </w:r>
      <w:r>
        <w:rPr>
          <w:rFonts w:cs="Arial"/>
          <w:b/>
          <w:i/>
          <w:lang w:val="es-CO"/>
        </w:rPr>
        <w:t>ingresos y</w:t>
      </w:r>
      <w:r>
        <w:rPr>
          <w:rFonts w:cs="Arial"/>
          <w:b/>
          <w:i/>
          <w:spacing w:val="19"/>
          <w:lang w:val="es-CO"/>
        </w:rPr>
        <w:t xml:space="preserve"> </w:t>
      </w:r>
      <w:r>
        <w:rPr>
          <w:rFonts w:cs="Arial"/>
          <w:b/>
          <w:i/>
          <w:lang w:val="es-CO"/>
        </w:rPr>
        <w:t>patrimonio.</w:t>
      </w:r>
      <w:r>
        <w:rPr>
          <w:rFonts w:cs="Arial"/>
          <w:lang w:val="es-CO"/>
        </w:rPr>
        <w:t xml:space="preserve"> </w:t>
      </w:r>
      <w:r>
        <w:rPr>
          <w:rFonts w:cs="Arial"/>
          <w:spacing w:val="30"/>
          <w:lang w:val="es-CO"/>
        </w:rPr>
        <w:t xml:space="preserve"> </w:t>
      </w:r>
      <w:r>
        <w:rPr>
          <w:rFonts w:cs="Arial"/>
          <w:lang w:val="es-CO"/>
        </w:rPr>
        <w:t>Las</w:t>
      </w:r>
      <w:r>
        <w:rPr>
          <w:rFonts w:cs="Arial"/>
          <w:spacing w:val="60"/>
          <w:lang w:val="es-CO"/>
        </w:rPr>
        <w:t xml:space="preserve"> </w:t>
      </w:r>
      <w:r>
        <w:rPr>
          <w:rFonts w:cs="Arial"/>
          <w:lang w:val="es-CO"/>
        </w:rPr>
        <w:t>entidades calificadas</w:t>
      </w:r>
      <w:r>
        <w:rPr>
          <w:rFonts w:cs="Arial"/>
          <w:spacing w:val="32"/>
          <w:lang w:val="es-CO"/>
        </w:rPr>
        <w:t xml:space="preserve"> </w:t>
      </w:r>
      <w:r>
        <w:rPr>
          <w:rFonts w:cs="Arial"/>
          <w:lang w:val="es-CO"/>
        </w:rPr>
        <w:t>como</w:t>
      </w:r>
      <w:r>
        <w:rPr>
          <w:rFonts w:cs="Arial"/>
          <w:spacing w:val="30"/>
          <w:lang w:val="es-CO"/>
        </w:rPr>
        <w:t xml:space="preserve"> </w:t>
      </w:r>
      <w:r>
        <w:rPr>
          <w:rFonts w:cs="Arial"/>
          <w:lang w:val="es-CO"/>
        </w:rPr>
        <w:t>Grandes</w:t>
      </w:r>
      <w:r>
        <w:rPr>
          <w:rFonts w:cs="Arial"/>
          <w:spacing w:val="30"/>
          <w:lang w:val="es-CO"/>
        </w:rPr>
        <w:t xml:space="preserve"> </w:t>
      </w:r>
      <w:r>
        <w:rPr>
          <w:rFonts w:cs="Arial"/>
          <w:lang w:val="es-CO"/>
        </w:rPr>
        <w:t>Contribuyentes</w:t>
      </w:r>
      <w:r>
        <w:rPr>
          <w:rFonts w:cs="Arial"/>
          <w:spacing w:val="51"/>
          <w:lang w:val="es-CO"/>
        </w:rPr>
        <w:t xml:space="preserve"> </w:t>
      </w:r>
      <w:r>
        <w:rPr>
          <w:rFonts w:cs="Arial"/>
          <w:lang w:val="es-CO"/>
        </w:rPr>
        <w:t>obligad</w:t>
      </w:r>
      <w:r>
        <w:rPr>
          <w:rFonts w:cs="Arial"/>
          <w:lang w:val="es-CO"/>
        </w:rPr>
        <w:t>as</w:t>
      </w:r>
      <w:r>
        <w:rPr>
          <w:rFonts w:cs="Arial"/>
          <w:spacing w:val="40"/>
          <w:lang w:val="es-CO"/>
        </w:rPr>
        <w:t xml:space="preserve"> </w:t>
      </w:r>
      <w:r>
        <w:rPr>
          <w:rFonts w:cs="Arial"/>
          <w:lang w:val="es-CO"/>
        </w:rPr>
        <w:t>a</w:t>
      </w:r>
      <w:r>
        <w:rPr>
          <w:rFonts w:cs="Arial"/>
          <w:spacing w:val="18"/>
          <w:lang w:val="es-CO"/>
        </w:rPr>
        <w:t xml:space="preserve"> </w:t>
      </w:r>
      <w:r>
        <w:rPr>
          <w:rFonts w:cs="Arial"/>
          <w:lang w:val="es-CO"/>
        </w:rPr>
        <w:t>presentar</w:t>
      </w:r>
      <w:r>
        <w:rPr>
          <w:rFonts w:cs="Arial"/>
          <w:spacing w:val="30"/>
          <w:lang w:val="es-CO"/>
        </w:rPr>
        <w:t xml:space="preserve"> </w:t>
      </w:r>
      <w:r>
        <w:rPr>
          <w:rFonts w:cs="Arial"/>
          <w:lang w:val="es-CO"/>
        </w:rPr>
        <w:t>declaración</w:t>
      </w:r>
      <w:r>
        <w:rPr>
          <w:rFonts w:cs="Arial"/>
          <w:spacing w:val="38"/>
          <w:lang w:val="es-CO"/>
        </w:rPr>
        <w:t xml:space="preserve"> </w:t>
      </w:r>
      <w:r>
        <w:rPr>
          <w:rFonts w:cs="Arial"/>
          <w:lang w:val="es-CO"/>
        </w:rPr>
        <w:t>de</w:t>
      </w:r>
      <w:r>
        <w:rPr>
          <w:rFonts w:cs="Arial"/>
          <w:w w:val="104"/>
          <w:lang w:val="es-CO"/>
        </w:rPr>
        <w:t xml:space="preserve"> </w:t>
      </w:r>
      <w:r>
        <w:rPr>
          <w:rFonts w:cs="Arial"/>
          <w:lang w:val="es-CO"/>
        </w:rPr>
        <w:t xml:space="preserve">ingresos </w:t>
      </w:r>
      <w:r>
        <w:rPr>
          <w:rFonts w:cs="Arial"/>
          <w:spacing w:val="53"/>
          <w:lang w:val="es-CO"/>
        </w:rPr>
        <w:t xml:space="preserve"> </w:t>
      </w:r>
      <w:r>
        <w:rPr>
          <w:rFonts w:cs="Arial"/>
          <w:lang w:val="es-CO"/>
        </w:rPr>
        <w:t xml:space="preserve">y  </w:t>
      </w:r>
      <w:r>
        <w:rPr>
          <w:rFonts w:cs="Arial"/>
          <w:spacing w:val="4"/>
          <w:lang w:val="es-CO"/>
        </w:rPr>
        <w:t xml:space="preserve"> </w:t>
      </w:r>
      <w:r>
        <w:rPr>
          <w:rFonts w:cs="Arial"/>
          <w:lang w:val="es-CO"/>
        </w:rPr>
        <w:t xml:space="preserve">patrimonio, </w:t>
      </w:r>
      <w:r>
        <w:rPr>
          <w:rFonts w:cs="Arial"/>
          <w:spacing w:val="63"/>
          <w:lang w:val="es-CO"/>
        </w:rPr>
        <w:t xml:space="preserve"> </w:t>
      </w:r>
      <w:r>
        <w:rPr>
          <w:rFonts w:cs="Arial"/>
          <w:lang w:val="es-CO"/>
        </w:rPr>
        <w:t xml:space="preserve">deberán  </w:t>
      </w:r>
      <w:r>
        <w:rPr>
          <w:rFonts w:cs="Arial"/>
          <w:spacing w:val="13"/>
          <w:lang w:val="es-CO"/>
        </w:rPr>
        <w:t xml:space="preserve"> </w:t>
      </w:r>
      <w:r>
        <w:rPr>
          <w:rFonts w:cs="Arial"/>
          <w:lang w:val="es-CO"/>
        </w:rPr>
        <w:t xml:space="preserve">utilizar </w:t>
      </w:r>
      <w:r>
        <w:rPr>
          <w:rFonts w:cs="Arial"/>
          <w:spacing w:val="64"/>
          <w:lang w:val="es-CO"/>
        </w:rPr>
        <w:t xml:space="preserve"> </w:t>
      </w:r>
      <w:r>
        <w:rPr>
          <w:rFonts w:cs="Arial"/>
          <w:lang w:val="es-CO"/>
        </w:rPr>
        <w:t xml:space="preserve">el </w:t>
      </w:r>
      <w:r>
        <w:rPr>
          <w:rFonts w:cs="Arial"/>
          <w:spacing w:val="45"/>
          <w:lang w:val="es-CO"/>
        </w:rPr>
        <w:t xml:space="preserve"> </w:t>
      </w:r>
      <w:r>
        <w:rPr>
          <w:rFonts w:cs="Arial"/>
          <w:lang w:val="es-CO"/>
        </w:rPr>
        <w:t xml:space="preserve">formulario  </w:t>
      </w:r>
      <w:r>
        <w:rPr>
          <w:rFonts w:cs="Arial"/>
          <w:spacing w:val="20"/>
          <w:lang w:val="es-CO"/>
        </w:rPr>
        <w:t xml:space="preserve"> </w:t>
      </w:r>
      <w:r>
        <w:rPr>
          <w:rFonts w:cs="Arial"/>
          <w:lang w:val="es-CO"/>
        </w:rPr>
        <w:t xml:space="preserve">prescrito  </w:t>
      </w:r>
      <w:r>
        <w:rPr>
          <w:rFonts w:cs="Arial"/>
          <w:spacing w:val="2"/>
          <w:lang w:val="es-CO"/>
        </w:rPr>
        <w:t xml:space="preserve"> </w:t>
      </w:r>
      <w:r>
        <w:rPr>
          <w:rFonts w:cs="Arial"/>
          <w:lang w:val="es-CO"/>
        </w:rPr>
        <w:t xml:space="preserve">por </w:t>
      </w:r>
      <w:r>
        <w:rPr>
          <w:rFonts w:cs="Arial"/>
          <w:spacing w:val="65"/>
          <w:lang w:val="es-CO"/>
        </w:rPr>
        <w:t xml:space="preserve"> </w:t>
      </w:r>
      <w:r>
        <w:rPr>
          <w:rFonts w:cs="Arial"/>
          <w:lang w:val="es-CO"/>
        </w:rPr>
        <w:t xml:space="preserve">la </w:t>
      </w:r>
      <w:r>
        <w:rPr>
          <w:rFonts w:cs="Arial"/>
          <w:spacing w:val="52"/>
          <w:lang w:val="es-CO"/>
        </w:rPr>
        <w:t xml:space="preserve"> </w:t>
      </w:r>
      <w:r>
        <w:rPr>
          <w:rFonts w:cs="Arial"/>
          <w:lang w:val="es-CO"/>
        </w:rPr>
        <w:t xml:space="preserve">Unidad Administrativa </w:t>
      </w:r>
      <w:r>
        <w:rPr>
          <w:rFonts w:cs="Arial"/>
          <w:spacing w:val="42"/>
          <w:lang w:val="es-CO"/>
        </w:rPr>
        <w:t xml:space="preserve"> </w:t>
      </w:r>
      <w:r>
        <w:rPr>
          <w:rFonts w:cs="Arial"/>
          <w:lang w:val="es-CO"/>
        </w:rPr>
        <w:t xml:space="preserve">Especial </w:t>
      </w:r>
      <w:r>
        <w:rPr>
          <w:rFonts w:cs="Arial"/>
          <w:spacing w:val="3"/>
          <w:lang w:val="es-CO"/>
        </w:rPr>
        <w:t xml:space="preserve"> </w:t>
      </w:r>
      <w:r>
        <w:rPr>
          <w:rFonts w:cs="Arial"/>
          <w:lang w:val="es-CO"/>
        </w:rPr>
        <w:t>Dirección</w:t>
      </w:r>
      <w:r>
        <w:rPr>
          <w:rFonts w:cs="Arial"/>
          <w:spacing w:val="65"/>
          <w:lang w:val="es-CO"/>
        </w:rPr>
        <w:t xml:space="preserve"> </w:t>
      </w:r>
      <w:r>
        <w:rPr>
          <w:rFonts w:cs="Arial"/>
          <w:lang w:val="es-CO"/>
        </w:rPr>
        <w:t xml:space="preserve">de </w:t>
      </w:r>
      <w:r>
        <w:rPr>
          <w:rFonts w:cs="Arial"/>
          <w:spacing w:val="11"/>
          <w:lang w:val="es-CO"/>
        </w:rPr>
        <w:t xml:space="preserve"> </w:t>
      </w:r>
      <w:r>
        <w:rPr>
          <w:rFonts w:cs="Arial"/>
          <w:lang w:val="es-CO"/>
        </w:rPr>
        <w:t xml:space="preserve">Impuestos </w:t>
      </w:r>
      <w:r>
        <w:rPr>
          <w:rFonts w:cs="Arial"/>
          <w:spacing w:val="1"/>
          <w:lang w:val="es-CO"/>
        </w:rPr>
        <w:t xml:space="preserve"> </w:t>
      </w:r>
      <w:r>
        <w:rPr>
          <w:rFonts w:eastAsia="Times New Roman" w:cs="Arial"/>
          <w:lang w:val="es-CO"/>
        </w:rPr>
        <w:t>y</w:t>
      </w:r>
      <w:r>
        <w:rPr>
          <w:rFonts w:eastAsia="Times New Roman" w:cs="Arial"/>
          <w:spacing w:val="61"/>
          <w:lang w:val="es-CO"/>
        </w:rPr>
        <w:t xml:space="preserve"> </w:t>
      </w:r>
      <w:r>
        <w:rPr>
          <w:rFonts w:cs="Arial"/>
          <w:lang w:val="es-CO"/>
        </w:rPr>
        <w:t xml:space="preserve">Aduanas </w:t>
      </w:r>
      <w:r>
        <w:rPr>
          <w:rFonts w:cs="Arial"/>
          <w:spacing w:val="28"/>
          <w:lang w:val="es-CO"/>
        </w:rPr>
        <w:t xml:space="preserve"> </w:t>
      </w:r>
      <w:r>
        <w:rPr>
          <w:rFonts w:cs="Arial"/>
          <w:lang w:val="es-CO"/>
        </w:rPr>
        <w:t xml:space="preserve">Nacionales </w:t>
      </w:r>
      <w:r>
        <w:rPr>
          <w:rFonts w:cs="Arial"/>
          <w:spacing w:val="9"/>
          <w:lang w:val="es-CO"/>
        </w:rPr>
        <w:t xml:space="preserve"> </w:t>
      </w:r>
      <w:r>
        <w:rPr>
          <w:rFonts w:cs="Arial"/>
          <w:lang w:val="es-CO"/>
        </w:rPr>
        <w:t xml:space="preserve">- </w:t>
      </w:r>
      <w:r>
        <w:rPr>
          <w:rFonts w:cs="Arial"/>
          <w:spacing w:val="4"/>
          <w:lang w:val="es-CO"/>
        </w:rPr>
        <w:t xml:space="preserve"> </w:t>
      </w:r>
      <w:r>
        <w:rPr>
          <w:rFonts w:cs="Arial"/>
          <w:lang w:val="es-CO"/>
        </w:rPr>
        <w:t>DIAN</w:t>
      </w:r>
      <w:r>
        <w:rPr>
          <w:rFonts w:cs="Arial"/>
          <w:spacing w:val="54"/>
          <w:lang w:val="es-CO"/>
        </w:rPr>
        <w:t xml:space="preserve"> </w:t>
      </w:r>
      <w:r>
        <w:rPr>
          <w:rFonts w:eastAsia="Times New Roman" w:cs="Arial"/>
          <w:lang w:val="es-CO"/>
        </w:rPr>
        <w:t xml:space="preserve">y </w:t>
      </w:r>
      <w:r>
        <w:rPr>
          <w:rFonts w:cs="Arial"/>
          <w:lang w:val="es-CO"/>
        </w:rPr>
        <w:t>presentarla</w:t>
      </w:r>
      <w:r>
        <w:rPr>
          <w:rFonts w:cs="Arial"/>
          <w:spacing w:val="12"/>
          <w:lang w:val="es-CO"/>
        </w:rPr>
        <w:t xml:space="preserve"> </w:t>
      </w:r>
      <w:r>
        <w:rPr>
          <w:rFonts w:cs="Arial"/>
          <w:lang w:val="es-CO"/>
        </w:rPr>
        <w:t>dentro</w:t>
      </w:r>
      <w:r>
        <w:rPr>
          <w:rFonts w:cs="Arial"/>
          <w:spacing w:val="6"/>
          <w:lang w:val="es-CO"/>
        </w:rPr>
        <w:t xml:space="preserve"> </w:t>
      </w:r>
      <w:r>
        <w:rPr>
          <w:rFonts w:cs="Arial"/>
          <w:lang w:val="es-CO"/>
        </w:rPr>
        <w:t>del</w:t>
      </w:r>
      <w:r>
        <w:rPr>
          <w:rFonts w:cs="Arial"/>
          <w:spacing w:val="-2"/>
          <w:lang w:val="es-CO"/>
        </w:rPr>
        <w:t xml:space="preserve"> </w:t>
      </w:r>
      <w:r>
        <w:rPr>
          <w:rFonts w:cs="Arial"/>
          <w:lang w:val="es-CO"/>
        </w:rPr>
        <w:t>plazo</w:t>
      </w:r>
      <w:r>
        <w:rPr>
          <w:rFonts w:cs="Arial"/>
          <w:spacing w:val="-2"/>
          <w:lang w:val="es-CO"/>
        </w:rPr>
        <w:t xml:space="preserve"> </w:t>
      </w:r>
      <w:r>
        <w:rPr>
          <w:rFonts w:cs="Arial"/>
          <w:lang w:val="es-CO"/>
        </w:rPr>
        <w:t>previsto</w:t>
      </w:r>
      <w:r>
        <w:rPr>
          <w:rFonts w:cs="Arial"/>
          <w:spacing w:val="4"/>
          <w:lang w:val="es-CO"/>
        </w:rPr>
        <w:t xml:space="preserve"> </w:t>
      </w:r>
      <w:r>
        <w:rPr>
          <w:rFonts w:cs="Arial"/>
          <w:lang w:val="es-CO"/>
        </w:rPr>
        <w:t>en el</w:t>
      </w:r>
      <w:r>
        <w:rPr>
          <w:rFonts w:cs="Arial"/>
          <w:spacing w:val="-12"/>
          <w:lang w:val="es-CO"/>
        </w:rPr>
        <w:t xml:space="preserve"> </w:t>
      </w:r>
      <w:r>
        <w:rPr>
          <w:rFonts w:cs="Arial"/>
          <w:lang w:val="es-CO"/>
        </w:rPr>
        <w:t>artículo</w:t>
      </w:r>
      <w:r>
        <w:rPr>
          <w:rFonts w:cs="Arial"/>
          <w:spacing w:val="21"/>
          <w:lang w:val="es-CO"/>
        </w:rPr>
        <w:t xml:space="preserve"> </w:t>
      </w:r>
      <w:r>
        <w:rPr>
          <w:rFonts w:cs="Arial"/>
          <w:lang w:val="es-CO"/>
        </w:rPr>
        <w:t xml:space="preserve">1.6.1.13.2.11. </w:t>
      </w:r>
      <w:r>
        <w:rPr>
          <w:rFonts w:cs="Arial"/>
          <w:spacing w:val="-21"/>
          <w:lang w:val="es-CO"/>
        </w:rPr>
        <w:t xml:space="preserve"> </w:t>
      </w:r>
      <w:r>
        <w:rPr>
          <w:rFonts w:cs="Arial"/>
          <w:lang w:val="es-CO"/>
        </w:rPr>
        <w:t>del</w:t>
      </w:r>
      <w:r>
        <w:rPr>
          <w:rFonts w:cs="Arial"/>
          <w:spacing w:val="3"/>
          <w:lang w:val="es-CO"/>
        </w:rPr>
        <w:t xml:space="preserve"> </w:t>
      </w:r>
      <w:r>
        <w:rPr>
          <w:rFonts w:cs="Arial"/>
          <w:lang w:val="es-CO"/>
        </w:rPr>
        <w:t>presente</w:t>
      </w:r>
      <w:r>
        <w:rPr>
          <w:rFonts w:cs="Arial"/>
          <w:spacing w:val="17"/>
          <w:lang w:val="es-CO"/>
        </w:rPr>
        <w:t xml:space="preserve"> </w:t>
      </w:r>
      <w:r>
        <w:rPr>
          <w:rFonts w:cs="Arial"/>
          <w:lang w:val="es-CO"/>
        </w:rPr>
        <w:t>Decreto.</w:t>
      </w:r>
    </w:p>
    <w:p w14:paraId="28D244F8" w14:textId="77777777" w:rsidR="00B2442D" w:rsidRDefault="00B2442D">
      <w:pPr>
        <w:pStyle w:val="Textoindependiente"/>
        <w:spacing w:line="40" w:lineRule="atLeast"/>
        <w:ind w:right="-30"/>
        <w:jc w:val="both"/>
        <w:rPr>
          <w:rFonts w:cs="Arial"/>
          <w:lang w:val="es-CO"/>
        </w:rPr>
      </w:pPr>
    </w:p>
    <w:p w14:paraId="25ACB77C" w14:textId="77777777" w:rsidR="00B2442D" w:rsidRDefault="008A645F">
      <w:pPr>
        <w:pStyle w:val="Textoindependiente"/>
        <w:spacing w:line="40" w:lineRule="atLeast"/>
        <w:ind w:right="-30"/>
        <w:jc w:val="both"/>
        <w:rPr>
          <w:rFonts w:cs="Arial"/>
          <w:lang w:val="es-CO"/>
        </w:rPr>
      </w:pPr>
      <w:r>
        <w:rPr>
          <w:rFonts w:cs="Arial"/>
          <w:lang w:val="es-CO"/>
        </w:rPr>
        <w:t>Las</w:t>
      </w:r>
      <w:r>
        <w:rPr>
          <w:rFonts w:cs="Arial"/>
          <w:spacing w:val="51"/>
          <w:lang w:val="es-CO"/>
        </w:rPr>
        <w:t xml:space="preserve"> </w:t>
      </w:r>
      <w:r>
        <w:rPr>
          <w:rFonts w:cs="Arial"/>
          <w:lang w:val="es-CO"/>
        </w:rPr>
        <w:t>demás</w:t>
      </w:r>
      <w:r>
        <w:rPr>
          <w:rFonts w:cs="Arial"/>
          <w:spacing w:val="63"/>
          <w:lang w:val="es-CO"/>
        </w:rPr>
        <w:t xml:space="preserve"> </w:t>
      </w:r>
      <w:r>
        <w:rPr>
          <w:rFonts w:cs="Arial"/>
          <w:lang w:val="es-CO"/>
        </w:rPr>
        <w:t>entidades</w:t>
      </w:r>
      <w:r>
        <w:rPr>
          <w:rFonts w:cs="Arial"/>
          <w:spacing w:val="65"/>
          <w:lang w:val="es-CO"/>
        </w:rPr>
        <w:t xml:space="preserve"> </w:t>
      </w:r>
      <w:r>
        <w:rPr>
          <w:rFonts w:cs="Arial"/>
          <w:lang w:val="es-CO"/>
        </w:rPr>
        <w:t>deberán</w:t>
      </w:r>
      <w:r>
        <w:rPr>
          <w:rFonts w:cs="Arial"/>
          <w:spacing w:val="7"/>
          <w:lang w:val="es-CO"/>
        </w:rPr>
        <w:t xml:space="preserve"> </w:t>
      </w:r>
      <w:r>
        <w:rPr>
          <w:rFonts w:cs="Arial"/>
          <w:lang w:val="es-CO"/>
        </w:rPr>
        <w:t>utilizar</w:t>
      </w:r>
      <w:r>
        <w:rPr>
          <w:rFonts w:cs="Arial"/>
          <w:spacing w:val="56"/>
          <w:lang w:val="es-CO"/>
        </w:rPr>
        <w:t xml:space="preserve"> </w:t>
      </w:r>
      <w:r>
        <w:rPr>
          <w:rFonts w:cs="Arial"/>
          <w:lang w:val="es-CO"/>
        </w:rPr>
        <w:t>el</w:t>
      </w:r>
      <w:r>
        <w:rPr>
          <w:rFonts w:cs="Arial"/>
          <w:spacing w:val="37"/>
          <w:lang w:val="es-CO"/>
        </w:rPr>
        <w:t xml:space="preserve"> </w:t>
      </w:r>
      <w:r>
        <w:rPr>
          <w:rFonts w:cs="Arial"/>
          <w:lang w:val="es-CO"/>
        </w:rPr>
        <w:t>formulario</w:t>
      </w:r>
      <w:r>
        <w:rPr>
          <w:rFonts w:cs="Arial"/>
          <w:spacing w:val="6"/>
          <w:lang w:val="es-CO"/>
        </w:rPr>
        <w:t xml:space="preserve"> </w:t>
      </w:r>
      <w:r>
        <w:rPr>
          <w:rFonts w:cs="Arial"/>
          <w:lang w:val="es-CO"/>
        </w:rPr>
        <w:t>que</w:t>
      </w:r>
      <w:r>
        <w:rPr>
          <w:rFonts w:cs="Arial"/>
          <w:spacing w:val="2"/>
          <w:lang w:val="es-CO"/>
        </w:rPr>
        <w:t xml:space="preserve"> </w:t>
      </w:r>
      <w:r>
        <w:rPr>
          <w:rFonts w:cs="Arial"/>
          <w:lang w:val="es-CO"/>
        </w:rPr>
        <w:t>prescriba</w:t>
      </w:r>
      <w:r>
        <w:rPr>
          <w:rFonts w:cs="Arial"/>
          <w:spacing w:val="4"/>
          <w:lang w:val="es-CO"/>
        </w:rPr>
        <w:t xml:space="preserve"> </w:t>
      </w:r>
      <w:r>
        <w:rPr>
          <w:rFonts w:cs="Arial"/>
          <w:lang w:val="es-CO"/>
        </w:rPr>
        <w:t>la</w:t>
      </w:r>
      <w:r>
        <w:rPr>
          <w:rFonts w:cs="Arial"/>
          <w:spacing w:val="57"/>
          <w:lang w:val="es-CO"/>
        </w:rPr>
        <w:t xml:space="preserve"> </w:t>
      </w:r>
      <w:r>
        <w:rPr>
          <w:rFonts w:cs="Arial"/>
          <w:lang w:val="es-CO"/>
        </w:rPr>
        <w:t>Unidad Administrativa</w:t>
      </w:r>
      <w:r>
        <w:rPr>
          <w:rFonts w:cs="Arial"/>
          <w:spacing w:val="42"/>
          <w:lang w:val="es-CO"/>
        </w:rPr>
        <w:t xml:space="preserve"> </w:t>
      </w:r>
      <w:r>
        <w:rPr>
          <w:rFonts w:cs="Arial"/>
          <w:lang w:val="es-CO"/>
        </w:rPr>
        <w:t>Especial</w:t>
      </w:r>
      <w:r>
        <w:rPr>
          <w:rFonts w:cs="Arial"/>
          <w:spacing w:val="3"/>
          <w:lang w:val="es-CO"/>
        </w:rPr>
        <w:t xml:space="preserve"> </w:t>
      </w:r>
      <w:r>
        <w:rPr>
          <w:rFonts w:cs="Arial"/>
          <w:lang w:val="es-CO"/>
        </w:rPr>
        <w:t>Dirección</w:t>
      </w:r>
      <w:r>
        <w:rPr>
          <w:rFonts w:cs="Arial"/>
          <w:spacing w:val="3"/>
          <w:lang w:val="es-CO"/>
        </w:rPr>
        <w:t xml:space="preserve"> </w:t>
      </w:r>
      <w:r>
        <w:rPr>
          <w:rFonts w:cs="Arial"/>
          <w:lang w:val="es-CO"/>
        </w:rPr>
        <w:t>de</w:t>
      </w:r>
      <w:r>
        <w:rPr>
          <w:rFonts w:cs="Arial"/>
          <w:spacing w:val="6"/>
          <w:lang w:val="es-CO"/>
        </w:rPr>
        <w:t xml:space="preserve"> </w:t>
      </w:r>
      <w:r>
        <w:rPr>
          <w:rFonts w:cs="Arial"/>
          <w:lang w:val="es-CO"/>
        </w:rPr>
        <w:t>Impuestos</w:t>
      </w:r>
      <w:r>
        <w:rPr>
          <w:rFonts w:cs="Arial"/>
          <w:spacing w:val="63"/>
          <w:lang w:val="es-CO"/>
        </w:rPr>
        <w:t xml:space="preserve"> </w:t>
      </w:r>
      <w:r>
        <w:rPr>
          <w:rFonts w:eastAsia="Times New Roman" w:cs="Arial"/>
          <w:lang w:val="es-CO"/>
        </w:rPr>
        <w:t>y</w:t>
      </w:r>
      <w:r>
        <w:rPr>
          <w:rFonts w:eastAsia="Times New Roman" w:cs="Arial"/>
          <w:spacing w:val="64"/>
          <w:lang w:val="es-CO"/>
        </w:rPr>
        <w:t xml:space="preserve"> </w:t>
      </w:r>
      <w:r>
        <w:rPr>
          <w:rFonts w:cs="Arial"/>
          <w:lang w:val="es-CO"/>
        </w:rPr>
        <w:t>Aduanas Nacionales-</w:t>
      </w:r>
      <w:r>
        <w:rPr>
          <w:rFonts w:cs="Arial"/>
          <w:spacing w:val="2"/>
          <w:lang w:val="es-CO"/>
        </w:rPr>
        <w:t xml:space="preserve"> </w:t>
      </w:r>
      <w:r>
        <w:rPr>
          <w:rFonts w:cs="Arial"/>
          <w:lang w:val="es-CO"/>
        </w:rPr>
        <w:t>DIAN</w:t>
      </w:r>
      <w:r>
        <w:rPr>
          <w:rFonts w:cs="Arial"/>
          <w:spacing w:val="52"/>
          <w:lang w:val="es-CO"/>
        </w:rPr>
        <w:t xml:space="preserve"> </w:t>
      </w:r>
      <w:r>
        <w:rPr>
          <w:rFonts w:eastAsia="Times New Roman" w:cs="Arial"/>
          <w:lang w:val="es-CO"/>
        </w:rPr>
        <w:t>y</w:t>
      </w:r>
      <w:r>
        <w:rPr>
          <w:rFonts w:eastAsia="Times New Roman" w:cs="Arial"/>
          <w:w w:val="85"/>
          <w:lang w:val="es-CO"/>
        </w:rPr>
        <w:t xml:space="preserve"> </w:t>
      </w:r>
      <w:r>
        <w:rPr>
          <w:rFonts w:cs="Arial"/>
          <w:lang w:val="es-CO"/>
        </w:rPr>
        <w:t>presentarla</w:t>
      </w:r>
      <w:r>
        <w:rPr>
          <w:rFonts w:cs="Arial"/>
          <w:spacing w:val="13"/>
          <w:lang w:val="es-CO"/>
        </w:rPr>
        <w:t xml:space="preserve"> </w:t>
      </w:r>
      <w:r>
        <w:rPr>
          <w:rFonts w:cs="Arial"/>
          <w:lang w:val="es-CO"/>
        </w:rPr>
        <w:t>dentro de los</w:t>
      </w:r>
      <w:r>
        <w:rPr>
          <w:rFonts w:cs="Arial"/>
          <w:spacing w:val="-6"/>
          <w:lang w:val="es-CO"/>
        </w:rPr>
        <w:t xml:space="preserve"> </w:t>
      </w:r>
      <w:r>
        <w:rPr>
          <w:rFonts w:cs="Arial"/>
          <w:lang w:val="es-CO"/>
        </w:rPr>
        <w:t>plazos</w:t>
      </w:r>
      <w:r>
        <w:rPr>
          <w:rFonts w:cs="Arial"/>
          <w:spacing w:val="7"/>
          <w:lang w:val="es-CO"/>
        </w:rPr>
        <w:t xml:space="preserve"> </w:t>
      </w:r>
      <w:r>
        <w:rPr>
          <w:rFonts w:cs="Arial"/>
          <w:lang w:val="es-CO"/>
        </w:rPr>
        <w:t>previstos</w:t>
      </w:r>
      <w:r>
        <w:rPr>
          <w:rFonts w:cs="Arial"/>
          <w:spacing w:val="16"/>
          <w:lang w:val="es-CO"/>
        </w:rPr>
        <w:t xml:space="preserve"> </w:t>
      </w:r>
      <w:r>
        <w:rPr>
          <w:rFonts w:cs="Arial"/>
          <w:lang w:val="es-CO"/>
        </w:rPr>
        <w:t>en</w:t>
      </w:r>
      <w:r>
        <w:rPr>
          <w:rFonts w:cs="Arial"/>
          <w:spacing w:val="-7"/>
          <w:lang w:val="es-CO"/>
        </w:rPr>
        <w:t xml:space="preserve"> </w:t>
      </w:r>
      <w:r>
        <w:rPr>
          <w:rFonts w:cs="Arial"/>
          <w:lang w:val="es-CO"/>
        </w:rPr>
        <w:t>el</w:t>
      </w:r>
      <w:r>
        <w:rPr>
          <w:rFonts w:cs="Arial"/>
          <w:spacing w:val="-11"/>
          <w:lang w:val="es-CO"/>
        </w:rPr>
        <w:t xml:space="preserve"> </w:t>
      </w:r>
      <w:r>
        <w:rPr>
          <w:rFonts w:cs="Arial"/>
          <w:lang w:val="es-CO"/>
        </w:rPr>
        <w:t>artículo</w:t>
      </w:r>
      <w:r>
        <w:rPr>
          <w:rFonts w:cs="Arial"/>
          <w:spacing w:val="23"/>
          <w:lang w:val="es-CO"/>
        </w:rPr>
        <w:t xml:space="preserve"> </w:t>
      </w:r>
      <w:r>
        <w:rPr>
          <w:rFonts w:cs="Arial"/>
          <w:lang w:val="es-CO"/>
        </w:rPr>
        <w:t>1.6.1.13.2.12</w:t>
      </w:r>
      <w:r>
        <w:rPr>
          <w:rFonts w:cs="Arial"/>
          <w:spacing w:val="-14"/>
          <w:lang w:val="es-CO"/>
        </w:rPr>
        <w:t xml:space="preserve"> </w:t>
      </w:r>
      <w:r>
        <w:rPr>
          <w:rFonts w:cs="Arial"/>
          <w:lang w:val="es-CO"/>
        </w:rPr>
        <w:t>del</w:t>
      </w:r>
      <w:r>
        <w:rPr>
          <w:rFonts w:cs="Arial"/>
          <w:spacing w:val="-1"/>
          <w:lang w:val="es-CO"/>
        </w:rPr>
        <w:t xml:space="preserve"> </w:t>
      </w:r>
      <w:r>
        <w:rPr>
          <w:rFonts w:cs="Arial"/>
          <w:lang w:val="es-CO"/>
        </w:rPr>
        <w:t>presente</w:t>
      </w:r>
      <w:r>
        <w:rPr>
          <w:rFonts w:cs="Arial"/>
          <w:spacing w:val="12"/>
          <w:lang w:val="es-CO"/>
        </w:rPr>
        <w:t xml:space="preserve"> </w:t>
      </w:r>
      <w:r>
        <w:rPr>
          <w:rFonts w:cs="Arial"/>
          <w:lang w:val="es-CO"/>
        </w:rPr>
        <w:t>Decreto.</w:t>
      </w:r>
    </w:p>
    <w:p w14:paraId="6E07DE45" w14:textId="77777777" w:rsidR="00B2442D" w:rsidRDefault="00B2442D">
      <w:pPr>
        <w:pStyle w:val="Textoindependiente"/>
        <w:spacing w:line="40" w:lineRule="atLeast"/>
        <w:ind w:right="-30"/>
        <w:jc w:val="both"/>
        <w:rPr>
          <w:rFonts w:cs="Arial"/>
          <w:lang w:val="es-CO"/>
        </w:rPr>
      </w:pPr>
    </w:p>
    <w:p w14:paraId="3EE6EF2F" w14:textId="77777777" w:rsidR="00B2442D" w:rsidRDefault="008A645F">
      <w:pPr>
        <w:pStyle w:val="Textoindependiente"/>
        <w:spacing w:line="40" w:lineRule="atLeast"/>
        <w:ind w:right="-30"/>
        <w:jc w:val="both"/>
        <w:rPr>
          <w:rFonts w:cs="Arial"/>
          <w:lang w:val="es-CO"/>
        </w:rPr>
      </w:pPr>
      <w:r>
        <w:rPr>
          <w:rFonts w:cs="Arial"/>
          <w:lang w:val="es-CO"/>
        </w:rPr>
        <w:t>En ambos casos se omitirá el diligenciamiento de los datos relativos a la liquidación del impuesto y el anticipo.</w:t>
      </w:r>
    </w:p>
    <w:p w14:paraId="3C72AA21" w14:textId="77777777" w:rsidR="00B2442D" w:rsidRDefault="00B2442D">
      <w:pPr>
        <w:pStyle w:val="Textoindependiente"/>
        <w:spacing w:line="40" w:lineRule="atLeast"/>
        <w:ind w:right="-30"/>
        <w:jc w:val="both"/>
        <w:rPr>
          <w:rFonts w:cs="Arial"/>
          <w:lang w:val="es-CO"/>
        </w:rPr>
      </w:pPr>
    </w:p>
    <w:p w14:paraId="15F5757A" w14:textId="77777777" w:rsidR="00B2442D" w:rsidRDefault="008A645F">
      <w:pPr>
        <w:jc w:val="both"/>
        <w:rPr>
          <w:rFonts w:ascii="Arial" w:hAnsi="Arial" w:cs="Arial"/>
          <w:i/>
          <w:lang w:val="es-ES_tradnl"/>
        </w:rPr>
      </w:pPr>
      <w:r>
        <w:rPr>
          <w:rFonts w:ascii="Arial" w:hAnsi="Arial" w:cs="Arial"/>
          <w:i/>
          <w:lang w:val="es-ES_tradnl"/>
        </w:rPr>
        <w:t xml:space="preserve">(Art. 16, Decreto 2243 de 2015) (Plazos 2015: Decreto 2623 de 2014; plazos 2014: Decreto </w:t>
      </w:r>
      <w:r>
        <w:rPr>
          <w:rFonts w:ascii="Arial" w:hAnsi="Arial" w:cs="Arial"/>
          <w:i/>
          <w:lang w:val="es-ES_tradnl"/>
        </w:rPr>
        <w:t>2972 de 2013 y Decreto 685 de 2014; plazos 2013: Decreto 2634 de 2012 y Decreto 0187 de 2013; plazos 2012: Decreto 4907 de 2011; plazos 2011: Decreto 4836 de 2010 y Decreto 1358 de 2011)</w:t>
      </w:r>
    </w:p>
    <w:p w14:paraId="04A899B9" w14:textId="77777777" w:rsidR="00B2442D" w:rsidRDefault="00B2442D">
      <w:pPr>
        <w:pStyle w:val="Textoindependiente"/>
        <w:spacing w:line="40" w:lineRule="atLeast"/>
        <w:ind w:right="-30"/>
        <w:jc w:val="both"/>
        <w:rPr>
          <w:rFonts w:cs="Arial"/>
          <w:lang w:val="es-CO"/>
        </w:rPr>
      </w:pPr>
    </w:p>
    <w:p w14:paraId="531DFDDC"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 por fracción de año.</w:t>
      </w:r>
      <w:r>
        <w:rPr>
          <w:rFonts w:cs="Arial"/>
          <w:b/>
          <w:lang w:val="es-CO"/>
        </w:rPr>
        <w:t xml:space="preserve"> </w:t>
      </w:r>
      <w:r>
        <w:rPr>
          <w:rFonts w:cs="Arial"/>
          <w:lang w:val="es-CO"/>
        </w:rPr>
        <w:t xml:space="preserve"> Las declaraciones tributarias de las personas jurídicas y asimiladas a estas, así como de las sucesiones que se liquidaron durante el año gravable 2016 o se liquiden durante el año gravable 2017, podrán presentarse a partir del día siguiente a su liquidac</w:t>
      </w:r>
      <w:r>
        <w:rPr>
          <w:rFonts w:cs="Arial"/>
          <w:lang w:val="es-CO"/>
        </w:rPr>
        <w:t>ión y a más tardar en las fechas de vencimiento indicadas para el grupo de contribuyentes o declarantes del año gravable correspondiente al cual pertenecerían de no haberse liquidado. Para este efecto se habilitará el último formulario vigente prescrito po</w:t>
      </w:r>
      <w:r>
        <w:rPr>
          <w:rFonts w:cs="Arial"/>
          <w:lang w:val="es-CO"/>
        </w:rPr>
        <w:t>r la Unidad Administrativa Especial Dirección de Impuestos y Aduanas Nacionales - DIAN.</w:t>
      </w:r>
    </w:p>
    <w:p w14:paraId="40A0CED8" w14:textId="77777777" w:rsidR="00B2442D" w:rsidRDefault="00B2442D">
      <w:pPr>
        <w:pStyle w:val="Textoindependiente"/>
        <w:spacing w:line="40" w:lineRule="atLeast"/>
        <w:ind w:right="-30"/>
        <w:jc w:val="both"/>
        <w:rPr>
          <w:rFonts w:cs="Arial"/>
          <w:lang w:val="es-CO"/>
        </w:rPr>
      </w:pPr>
    </w:p>
    <w:p w14:paraId="742BF9D9" w14:textId="77777777" w:rsidR="00B2442D" w:rsidRDefault="008A645F">
      <w:pPr>
        <w:pStyle w:val="Textoindependiente"/>
        <w:spacing w:line="40" w:lineRule="atLeast"/>
        <w:ind w:right="-30"/>
        <w:jc w:val="both"/>
        <w:rPr>
          <w:rFonts w:cs="Arial"/>
          <w:lang w:val="es-CO"/>
        </w:rPr>
      </w:pPr>
      <w:r>
        <w:rPr>
          <w:rFonts w:cs="Arial"/>
          <w:lang w:val="es-CO"/>
        </w:rPr>
        <w:t>Para efectos de la liquidación de la hijuela de gastos, las sucesiones ilíquidas presentarán proyectos de las declaraciones tributarias ante la Notaría o el juzgado de</w:t>
      </w:r>
      <w:r>
        <w:rPr>
          <w:rFonts w:cs="Arial"/>
          <w:lang w:val="es-CO"/>
        </w:rPr>
        <w:t>l conocimiento, sin perjuicio de la presentación de las mismas que debe hacerse de conformidad con el inciso anterior.</w:t>
      </w:r>
    </w:p>
    <w:p w14:paraId="561D01AD" w14:textId="77777777" w:rsidR="00B2442D" w:rsidRDefault="00B2442D">
      <w:pPr>
        <w:pStyle w:val="Textoindependiente"/>
        <w:spacing w:line="40" w:lineRule="atLeast"/>
        <w:ind w:right="-30"/>
        <w:jc w:val="both"/>
        <w:rPr>
          <w:rFonts w:cs="Arial"/>
          <w:lang w:val="es-CO"/>
        </w:rPr>
      </w:pPr>
    </w:p>
    <w:p w14:paraId="31D62FD4" w14:textId="77777777" w:rsidR="00B2442D" w:rsidRDefault="008A645F">
      <w:pPr>
        <w:pStyle w:val="Textoindependiente"/>
        <w:spacing w:line="40" w:lineRule="atLeast"/>
        <w:ind w:right="-30"/>
        <w:jc w:val="both"/>
        <w:rPr>
          <w:rFonts w:cs="Arial"/>
          <w:i/>
          <w:lang w:val="es-ES_tradnl"/>
        </w:rPr>
      </w:pPr>
      <w:r>
        <w:rPr>
          <w:rFonts w:cs="Arial"/>
          <w:i/>
          <w:lang w:val="es-CO"/>
        </w:rPr>
        <w:t>(</w:t>
      </w:r>
      <w:hyperlink r:id="rId51" w:history="1">
        <w:r>
          <w:rPr>
            <w:rStyle w:val="Hipervnculo"/>
            <w:rFonts w:cs="Arial"/>
            <w:i/>
            <w:lang w:val="es-CO"/>
          </w:rPr>
          <w:t>Art. 11 Decreto 2105 de 2016</w:t>
        </w:r>
      </w:hyperlink>
      <w:r>
        <w:rPr>
          <w:rFonts w:cs="Arial"/>
          <w:i/>
          <w:lang w:val="es-CO"/>
        </w:rPr>
        <w:t xml:space="preserve">, </w:t>
      </w:r>
      <w:r>
        <w:rPr>
          <w:rFonts w:cs="Arial"/>
          <w:i/>
          <w:lang w:val="es-CO"/>
        </w:rPr>
        <w:t xml:space="preserve">plazos 2016: Decreto 2243 de 2015; plazos 2015: Decreto 2623 de 2014; plazos 2014: Decreto 2972 de 2013 y Decreto 685 de 2014; plazos 2013: Decreto 2634 de 2012 y Decreto 0187 de 2013; plazos 2012: Decreto 4907 de 2011; plazos 2011: Decreto 4836 de 2010 y </w:t>
      </w:r>
      <w:r>
        <w:rPr>
          <w:rFonts w:cs="Arial"/>
          <w:i/>
          <w:lang w:val="es-CO"/>
        </w:rPr>
        <w:t>Decreto 1358 de 2011)</w:t>
      </w:r>
    </w:p>
    <w:p w14:paraId="00F593AA" w14:textId="77777777" w:rsidR="00B2442D" w:rsidRDefault="00B2442D">
      <w:pPr>
        <w:pStyle w:val="Textoindependiente"/>
        <w:spacing w:line="40" w:lineRule="atLeast"/>
        <w:ind w:right="-30"/>
        <w:jc w:val="both"/>
        <w:rPr>
          <w:rFonts w:cs="Arial"/>
          <w:lang w:val="es-CO"/>
        </w:rPr>
      </w:pPr>
    </w:p>
    <w:p w14:paraId="682E8459"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 por</w:t>
      </w:r>
      <w:r>
        <w:rPr>
          <w:rFonts w:cs="Arial"/>
          <w:b/>
          <w:i/>
          <w:spacing w:val="57"/>
          <w:lang w:val="es-CO"/>
        </w:rPr>
        <w:t xml:space="preserve"> </w:t>
      </w:r>
      <w:r>
        <w:rPr>
          <w:rFonts w:cs="Arial"/>
          <w:b/>
          <w:i/>
          <w:lang w:val="es-CO"/>
        </w:rPr>
        <w:t xml:space="preserve">cambio </w:t>
      </w:r>
      <w:r>
        <w:rPr>
          <w:rFonts w:cs="Arial"/>
          <w:b/>
          <w:i/>
          <w:spacing w:val="3"/>
          <w:lang w:val="es-CO"/>
        </w:rPr>
        <w:t xml:space="preserve"> </w:t>
      </w:r>
      <w:r>
        <w:rPr>
          <w:rFonts w:cs="Arial"/>
          <w:b/>
          <w:i/>
          <w:lang w:val="es-CO"/>
        </w:rPr>
        <w:t>de</w:t>
      </w:r>
      <w:r>
        <w:rPr>
          <w:rFonts w:cs="Arial"/>
          <w:b/>
          <w:i/>
          <w:spacing w:val="40"/>
          <w:lang w:val="es-CO"/>
        </w:rPr>
        <w:t xml:space="preserve"> </w:t>
      </w:r>
      <w:r>
        <w:rPr>
          <w:rFonts w:cs="Arial"/>
          <w:b/>
          <w:i/>
          <w:lang w:val="es-CO"/>
        </w:rPr>
        <w:t>titular la</w:t>
      </w:r>
      <w:r>
        <w:rPr>
          <w:rFonts w:cs="Arial"/>
          <w:b/>
          <w:i/>
          <w:spacing w:val="55"/>
          <w:lang w:val="es-CO"/>
        </w:rPr>
        <w:t xml:space="preserve"> </w:t>
      </w:r>
      <w:r>
        <w:rPr>
          <w:rFonts w:cs="Arial"/>
          <w:b/>
          <w:i/>
          <w:lang w:val="es-CO"/>
        </w:rPr>
        <w:t>inversión extranjera.</w:t>
      </w:r>
      <w:r>
        <w:rPr>
          <w:rFonts w:cs="Arial"/>
          <w:lang w:val="es-CO"/>
        </w:rPr>
        <w:t xml:space="preserve"> El titular de la inversión extranjera que realice la transacción o venta de su inversión, deberá presentar, dentro del mes siguiente a la fecha de la transacción o venta, “D</w:t>
      </w:r>
      <w:r>
        <w:rPr>
          <w:rFonts w:cs="Arial"/>
          <w:lang w:val="es-CO"/>
        </w:rPr>
        <w:t>eclaración de renta por cambio de titularidad de la inversión extranjera”, con la liquidación y pago del impuesto que se genere por la respectiva operación, utilizando el Formulario que para el efecto prescriba la Unidad Administrativa Especial Dirección d</w:t>
      </w:r>
      <w:r>
        <w:rPr>
          <w:rFonts w:cs="Arial"/>
          <w:lang w:val="es-CO"/>
        </w:rPr>
        <w:t>e Impuestos y Aduanas Nacionales – DIAN y podrá realizarlo a través de su apoderado, agente o representante en Colombia del inversionista, según el caso. La presentación de esta declaración se realizará de forma virtual a través de los Servicios Informátic</w:t>
      </w:r>
      <w:r>
        <w:rPr>
          <w:rFonts w:cs="Arial"/>
          <w:lang w:val="es-CO"/>
        </w:rPr>
        <w:t>os Electrónicos, mediante el mecanismo de firma digital o firma electrónica dispuesto por la entidad, si así lo establece la Resolución que expida la Unidad Administrativa Especial Dirección de Impuestos y Aduanas Nacionales – DIAN, conforme con lo previst</w:t>
      </w:r>
      <w:r>
        <w:rPr>
          <w:rFonts w:cs="Arial"/>
          <w:lang w:val="es-CO"/>
        </w:rPr>
        <w:t xml:space="preserve">o en el artículo 579-2 del Estatuto Tributario. Para lo anterior, el apoderado, agente o representante en Colombia del inversionista deberá estar inscrito en el Registro Único Tributario – RUT y contar con el mecanismo de firma digital o firma electrónica </w:t>
      </w:r>
      <w:r>
        <w:rPr>
          <w:rFonts w:cs="Arial"/>
          <w:lang w:val="es-CO"/>
        </w:rPr>
        <w:t>que disponga la entidad.</w:t>
      </w:r>
    </w:p>
    <w:p w14:paraId="5B982EE3" w14:textId="77777777" w:rsidR="00B2442D" w:rsidRDefault="00B2442D">
      <w:pPr>
        <w:pStyle w:val="Textoindependiente"/>
        <w:spacing w:line="40" w:lineRule="atLeast"/>
        <w:ind w:left="720" w:right="-30"/>
        <w:jc w:val="both"/>
        <w:rPr>
          <w:rFonts w:cs="Arial"/>
          <w:lang w:val="es-CO"/>
        </w:rPr>
      </w:pPr>
    </w:p>
    <w:p w14:paraId="784B96A0" w14:textId="77777777" w:rsidR="00B2442D" w:rsidRDefault="008A645F">
      <w:pPr>
        <w:pStyle w:val="Textoindependiente"/>
        <w:spacing w:line="40" w:lineRule="atLeast"/>
        <w:ind w:right="-30"/>
        <w:jc w:val="both"/>
        <w:rPr>
          <w:rFonts w:cs="Arial"/>
          <w:lang w:val="es-CO"/>
        </w:rPr>
      </w:pPr>
      <w:r>
        <w:rPr>
          <w:rFonts w:cs="Arial"/>
          <w:lang w:val="es-CO"/>
        </w:rPr>
        <w:t>La presentación de la “Declaración de renta por cambio de titularidad de la inversión extranjera” será obligatoria por cada operación, aún en el evento en que no se genere impuesto a cargo por la respectiva transacción.</w:t>
      </w:r>
    </w:p>
    <w:p w14:paraId="06DE6201" w14:textId="77777777" w:rsidR="00B2442D" w:rsidRDefault="00B2442D">
      <w:pPr>
        <w:pStyle w:val="Textoindependiente"/>
        <w:spacing w:line="40" w:lineRule="atLeast"/>
        <w:ind w:left="720" w:right="-30"/>
        <w:jc w:val="both"/>
        <w:rPr>
          <w:rFonts w:cs="Arial"/>
          <w:lang w:val="es-CO"/>
        </w:rPr>
      </w:pPr>
    </w:p>
    <w:p w14:paraId="1C6266CE"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b/>
          <w:lang w:val="es-CO"/>
        </w:rPr>
        <w:t>.</w:t>
      </w:r>
      <w:r>
        <w:rPr>
          <w:rFonts w:cs="Arial"/>
          <w:lang w:val="es-CO"/>
        </w:rPr>
        <w:t xml:space="preserve"> La transferencia de valores inscritos en el Registro Nacional de Valores y Emisores RNVE, calificada como inversión de portafolio por el artículo 2.17.2.2.1.2 del Decreto Único Reglamentario 1068 de 2015 del Sector de Hacienda y Crédito Público, no requi</w:t>
      </w:r>
      <w:r>
        <w:rPr>
          <w:rFonts w:cs="Arial"/>
          <w:lang w:val="es-CO"/>
        </w:rPr>
        <w:t>ere la presentación de la declaración señalada en este artículo, salvo que se configure lo previsto en el inciso 20 del artículo 36-1 del Estatuto Tributario, es decir, que la enajenación de las acciones supere el diez por ciento (10%) de las acciones en c</w:t>
      </w:r>
      <w:r>
        <w:rPr>
          <w:rFonts w:cs="Arial"/>
          <w:lang w:val="es-CO"/>
        </w:rPr>
        <w:t>irculación de la respectiva sociedad, durante un mismo año gravable, caso en el cual, el inversionista estará obligado a presentar la declaración anual del impuesto sobre la renta y complementario, por las utilidades provenientes de dicha enajenación.</w:t>
      </w:r>
    </w:p>
    <w:p w14:paraId="060EA749" w14:textId="77777777" w:rsidR="00B2442D" w:rsidRDefault="00B2442D">
      <w:pPr>
        <w:pStyle w:val="Textoindependiente"/>
        <w:spacing w:line="40" w:lineRule="atLeast"/>
        <w:ind w:left="720" w:right="-30"/>
        <w:jc w:val="both"/>
        <w:rPr>
          <w:rFonts w:cs="Arial"/>
          <w:lang w:val="es-CO"/>
        </w:rPr>
      </w:pPr>
    </w:p>
    <w:p w14:paraId="7B3442B4" w14:textId="77777777" w:rsidR="00B2442D" w:rsidRDefault="008A645F">
      <w:pPr>
        <w:pStyle w:val="Textoindependiente"/>
        <w:spacing w:line="40" w:lineRule="atLeast"/>
        <w:ind w:right="-30"/>
        <w:jc w:val="both"/>
        <w:rPr>
          <w:rFonts w:cs="Arial"/>
          <w:i/>
          <w:highlight w:val="yellow"/>
          <w:lang w:val="es-ES_tradnl"/>
        </w:rPr>
      </w:pPr>
      <w:r>
        <w:rPr>
          <w:rFonts w:cs="Arial"/>
          <w:i/>
          <w:lang w:val="es-CO"/>
        </w:rPr>
        <w:t>(</w:t>
      </w:r>
      <w:hyperlink r:id="rId52" w:history="1">
        <w:r>
          <w:rPr>
            <w:rStyle w:val="Hipervnculo"/>
            <w:rFonts w:cs="Arial"/>
            <w:i/>
            <w:lang w:val="es-CO"/>
          </w:rPr>
          <w:t>Art. 12 Decreto 2105 de 2016</w:t>
        </w:r>
      </w:hyperlink>
      <w:r>
        <w:rPr>
          <w:rFonts w:cs="Arial"/>
          <w:i/>
          <w:lang w:val="es-CO"/>
        </w:rPr>
        <w:t>, plazos 2016: Decreto 2243 de 2015; plazos 2015: Decreto 2623 de 2014; plazos 2014: Decreto 2972 de 2013 y Decreto 685 de 20</w:t>
      </w:r>
      <w:r>
        <w:rPr>
          <w:rFonts w:cs="Arial"/>
          <w:i/>
          <w:lang w:val="es-CO"/>
        </w:rPr>
        <w:t>14; plazos 2013: Decreto 2634 de 2012 y Decreto 0187 de 2013; plazos 2012: Decreto 4907 de 2011; plazos 2011: Decreto 4836 de 2010 y Decreto 1358 de 2011)</w:t>
      </w:r>
    </w:p>
    <w:p w14:paraId="1EEFF385" w14:textId="77777777" w:rsidR="00B2442D" w:rsidRDefault="00B2442D">
      <w:pPr>
        <w:pStyle w:val="Textoindependiente"/>
        <w:spacing w:line="40" w:lineRule="atLeast"/>
        <w:ind w:right="-30"/>
        <w:jc w:val="both"/>
        <w:rPr>
          <w:rFonts w:cs="Arial"/>
          <w:lang w:val="es-CO"/>
        </w:rPr>
      </w:pPr>
    </w:p>
    <w:p w14:paraId="765E002B" w14:textId="77777777" w:rsidR="00B2442D" w:rsidRDefault="008A645F">
      <w:pPr>
        <w:pStyle w:val="Textoindependiente"/>
        <w:spacing w:line="40" w:lineRule="atLeast"/>
        <w:ind w:right="-30"/>
        <w:jc w:val="center"/>
        <w:rPr>
          <w:rFonts w:cs="Arial"/>
          <w:b/>
          <w:lang w:val="es-CO"/>
        </w:rPr>
      </w:pPr>
      <w:r>
        <w:rPr>
          <w:rFonts w:cs="Arial"/>
          <w:b/>
          <w:lang w:val="es-CO"/>
        </w:rPr>
        <w:t>IMPUESTO</w:t>
      </w:r>
      <w:r>
        <w:rPr>
          <w:rFonts w:cs="Arial"/>
          <w:b/>
          <w:spacing w:val="-1"/>
          <w:lang w:val="es-CO"/>
        </w:rPr>
        <w:t xml:space="preserve"> </w:t>
      </w:r>
      <w:r>
        <w:rPr>
          <w:rFonts w:cs="Arial"/>
          <w:b/>
          <w:lang w:val="es-CO"/>
        </w:rPr>
        <w:t>SOBRE</w:t>
      </w:r>
      <w:r>
        <w:rPr>
          <w:rFonts w:cs="Arial"/>
          <w:b/>
          <w:spacing w:val="14"/>
          <w:lang w:val="es-CO"/>
        </w:rPr>
        <w:t xml:space="preserve"> </w:t>
      </w:r>
      <w:r>
        <w:rPr>
          <w:rFonts w:cs="Arial"/>
          <w:b/>
          <w:lang w:val="es-CO"/>
        </w:rPr>
        <w:t>LA</w:t>
      </w:r>
      <w:r>
        <w:rPr>
          <w:rFonts w:cs="Arial"/>
          <w:b/>
          <w:spacing w:val="2"/>
          <w:lang w:val="es-CO"/>
        </w:rPr>
        <w:t xml:space="preserve"> </w:t>
      </w:r>
      <w:r>
        <w:rPr>
          <w:rFonts w:cs="Arial"/>
          <w:b/>
          <w:lang w:val="es-CO"/>
        </w:rPr>
        <w:t>RENTA</w:t>
      </w:r>
      <w:r>
        <w:rPr>
          <w:rFonts w:cs="Arial"/>
          <w:b/>
          <w:spacing w:val="10"/>
          <w:lang w:val="es-CO"/>
        </w:rPr>
        <w:t xml:space="preserve"> </w:t>
      </w:r>
      <w:r>
        <w:rPr>
          <w:rFonts w:cs="Arial"/>
          <w:b/>
          <w:lang w:val="es-CO"/>
        </w:rPr>
        <w:t>PARA</w:t>
      </w:r>
      <w:r>
        <w:rPr>
          <w:rFonts w:cs="Arial"/>
          <w:b/>
          <w:spacing w:val="4"/>
          <w:lang w:val="es-CO"/>
        </w:rPr>
        <w:t xml:space="preserve"> </w:t>
      </w:r>
      <w:r>
        <w:rPr>
          <w:rFonts w:cs="Arial"/>
          <w:b/>
          <w:lang w:val="es-CO"/>
        </w:rPr>
        <w:t>LA</w:t>
      </w:r>
      <w:r>
        <w:rPr>
          <w:rFonts w:cs="Arial"/>
          <w:b/>
          <w:spacing w:val="1"/>
          <w:lang w:val="es-CO"/>
        </w:rPr>
        <w:t xml:space="preserve"> </w:t>
      </w:r>
      <w:r>
        <w:rPr>
          <w:rFonts w:cs="Arial"/>
          <w:b/>
          <w:lang w:val="es-CO"/>
        </w:rPr>
        <w:t>EQUIDAD - CREE</w:t>
      </w:r>
    </w:p>
    <w:p w14:paraId="0F395D12" w14:textId="77777777" w:rsidR="00B2442D" w:rsidRDefault="00B2442D">
      <w:pPr>
        <w:pStyle w:val="Textoindependiente"/>
        <w:spacing w:line="40" w:lineRule="atLeast"/>
        <w:ind w:right="-30"/>
        <w:jc w:val="both"/>
        <w:rPr>
          <w:rFonts w:cs="Arial"/>
          <w:b/>
          <w:lang w:val="es-CO"/>
        </w:rPr>
      </w:pPr>
    </w:p>
    <w:p w14:paraId="26B4414D"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Contribuyentes</w:t>
      </w:r>
      <w:r>
        <w:rPr>
          <w:rFonts w:cs="Arial"/>
          <w:b/>
          <w:i/>
          <w:spacing w:val="66"/>
          <w:lang w:val="es-CO"/>
        </w:rPr>
        <w:t xml:space="preserve"> </w:t>
      </w:r>
      <w:r>
        <w:rPr>
          <w:rFonts w:cs="Arial"/>
          <w:b/>
          <w:i/>
          <w:lang w:val="es-CO"/>
        </w:rPr>
        <w:t>obligados</w:t>
      </w:r>
      <w:r>
        <w:rPr>
          <w:rFonts w:cs="Arial"/>
          <w:b/>
          <w:i/>
          <w:spacing w:val="53"/>
          <w:lang w:val="es-CO"/>
        </w:rPr>
        <w:t xml:space="preserve"> </w:t>
      </w:r>
      <w:r>
        <w:rPr>
          <w:rFonts w:cs="Arial"/>
          <w:b/>
          <w:i/>
          <w:lang w:val="es-CO"/>
        </w:rPr>
        <w:t>a</w:t>
      </w:r>
      <w:r>
        <w:rPr>
          <w:rFonts w:cs="Arial"/>
          <w:b/>
          <w:i/>
          <w:spacing w:val="45"/>
          <w:lang w:val="es-CO"/>
        </w:rPr>
        <w:t xml:space="preserve"> </w:t>
      </w:r>
      <w:r>
        <w:rPr>
          <w:rFonts w:cs="Arial"/>
          <w:b/>
          <w:i/>
          <w:lang w:val="es-CO"/>
        </w:rPr>
        <w:t>presentar</w:t>
      </w:r>
      <w:r>
        <w:rPr>
          <w:rFonts w:cs="Arial"/>
          <w:b/>
          <w:i/>
          <w:spacing w:val="49"/>
          <w:lang w:val="es-CO"/>
        </w:rPr>
        <w:t xml:space="preserve"> </w:t>
      </w:r>
      <w:r>
        <w:rPr>
          <w:rFonts w:cs="Arial"/>
          <w:b/>
          <w:i/>
          <w:lang w:val="es-CO"/>
        </w:rPr>
        <w:t>declaración del impuesto sobre la</w:t>
      </w:r>
      <w:r>
        <w:rPr>
          <w:rFonts w:cs="Arial"/>
          <w:b/>
          <w:i/>
          <w:spacing w:val="15"/>
          <w:lang w:val="es-CO"/>
        </w:rPr>
        <w:t xml:space="preserve"> </w:t>
      </w:r>
      <w:r>
        <w:rPr>
          <w:rFonts w:cs="Arial"/>
          <w:b/>
          <w:i/>
          <w:lang w:val="es-CO"/>
        </w:rPr>
        <w:t>renta</w:t>
      </w:r>
      <w:r>
        <w:rPr>
          <w:rFonts w:cs="Arial"/>
          <w:b/>
          <w:i/>
          <w:spacing w:val="25"/>
          <w:lang w:val="es-CO"/>
        </w:rPr>
        <w:t xml:space="preserve"> </w:t>
      </w:r>
      <w:r>
        <w:rPr>
          <w:rFonts w:cs="Arial"/>
          <w:b/>
          <w:i/>
          <w:lang w:val="es-CO"/>
        </w:rPr>
        <w:t>para</w:t>
      </w:r>
      <w:r>
        <w:rPr>
          <w:rFonts w:cs="Arial"/>
          <w:b/>
          <w:i/>
          <w:spacing w:val="28"/>
          <w:lang w:val="es-CO"/>
        </w:rPr>
        <w:t xml:space="preserve"> </w:t>
      </w:r>
      <w:r>
        <w:rPr>
          <w:rFonts w:cs="Arial"/>
          <w:b/>
          <w:i/>
          <w:lang w:val="es-CO"/>
        </w:rPr>
        <w:t>la</w:t>
      </w:r>
      <w:r>
        <w:rPr>
          <w:rFonts w:cs="Arial"/>
          <w:b/>
          <w:i/>
          <w:spacing w:val="16"/>
          <w:lang w:val="es-CO"/>
        </w:rPr>
        <w:t xml:space="preserve"> </w:t>
      </w:r>
      <w:r>
        <w:rPr>
          <w:rFonts w:cs="Arial"/>
          <w:b/>
          <w:i/>
          <w:lang w:val="es-CO"/>
        </w:rPr>
        <w:t>equidad - CREE.</w:t>
      </w:r>
      <w:r>
        <w:rPr>
          <w:rFonts w:cs="Arial"/>
          <w:spacing w:val="49"/>
          <w:lang w:val="es-CO"/>
        </w:rPr>
        <w:t xml:space="preserve"> </w:t>
      </w:r>
      <w:r>
        <w:rPr>
          <w:rFonts w:cs="Arial"/>
          <w:lang w:val="es-CO"/>
        </w:rPr>
        <w:t>Están obligados a presentar declaración del impuesto sobre la renta para la equidad, CREE por el año gravable 2016, los contribuyentes sometidos a dicho impuesto:</w:t>
      </w:r>
    </w:p>
    <w:p w14:paraId="6C39DE91" w14:textId="77777777" w:rsidR="00B2442D" w:rsidRDefault="00B2442D">
      <w:pPr>
        <w:spacing w:line="40" w:lineRule="atLeast"/>
        <w:ind w:right="-30"/>
        <w:jc w:val="both"/>
        <w:rPr>
          <w:rFonts w:ascii="Arial" w:hAnsi="Arial" w:cs="Arial"/>
          <w:highlight w:val="yellow"/>
          <w:lang w:val="es-CO"/>
        </w:rPr>
      </w:pPr>
    </w:p>
    <w:p w14:paraId="031C5857" w14:textId="77777777" w:rsidR="00B2442D" w:rsidRDefault="008A645F">
      <w:pPr>
        <w:numPr>
          <w:ilvl w:val="0"/>
          <w:numId w:val="204"/>
        </w:numPr>
        <w:autoSpaceDE w:val="0"/>
        <w:autoSpaceDN w:val="0"/>
        <w:adjustRightInd w:val="0"/>
        <w:spacing w:line="40" w:lineRule="atLeast"/>
        <w:jc w:val="both"/>
        <w:rPr>
          <w:rFonts w:ascii="Arial" w:hAnsi="Arial" w:cs="Arial"/>
        </w:rPr>
      </w:pPr>
      <w:r>
        <w:rPr>
          <w:rFonts w:ascii="Arial" w:hAnsi="Arial" w:cs="Arial"/>
        </w:rPr>
        <w:t xml:space="preserve">Las sociedades y </w:t>
      </w:r>
      <w:r>
        <w:rPr>
          <w:rFonts w:ascii="Arial" w:hAnsi="Arial" w:cs="Arial"/>
        </w:rPr>
        <w:t>personas jurídicas y asimiladas contribuyentes declarantes del impuesto sobre la renta y complementario.</w:t>
      </w:r>
    </w:p>
    <w:p w14:paraId="7175B83A" w14:textId="77777777" w:rsidR="00B2442D" w:rsidRDefault="00B2442D">
      <w:pPr>
        <w:autoSpaceDE w:val="0"/>
        <w:autoSpaceDN w:val="0"/>
        <w:adjustRightInd w:val="0"/>
        <w:spacing w:line="40" w:lineRule="atLeast"/>
        <w:ind w:left="360"/>
        <w:jc w:val="both"/>
        <w:rPr>
          <w:rFonts w:ascii="Arial" w:hAnsi="Arial" w:cs="Arial"/>
        </w:rPr>
      </w:pPr>
    </w:p>
    <w:p w14:paraId="4C2972DF" w14:textId="77777777" w:rsidR="00B2442D" w:rsidRDefault="008A645F">
      <w:pPr>
        <w:numPr>
          <w:ilvl w:val="0"/>
          <w:numId w:val="204"/>
        </w:numPr>
        <w:autoSpaceDE w:val="0"/>
        <w:autoSpaceDN w:val="0"/>
        <w:adjustRightInd w:val="0"/>
        <w:spacing w:line="40" w:lineRule="atLeast"/>
        <w:jc w:val="both"/>
        <w:rPr>
          <w:rFonts w:ascii="Arial" w:hAnsi="Arial" w:cs="Arial"/>
        </w:rPr>
      </w:pPr>
      <w:r>
        <w:rPr>
          <w:rFonts w:ascii="Arial" w:hAnsi="Arial" w:cs="Arial"/>
        </w:rPr>
        <w:t>L</w:t>
      </w:r>
      <w:r>
        <w:rPr>
          <w:rFonts w:ascii="Arial" w:hAnsi="Arial" w:cs="Arial"/>
          <w:color w:val="000000"/>
          <w:lang w:val="es-CO" w:eastAsia="es-CO"/>
        </w:rPr>
        <w:t>as sociedades y entidades extranjeras contribuyentes declarantes del impuesto sobre la renta por sus ingresos de fuente nacional obtenidos mediante s</w:t>
      </w:r>
      <w:r>
        <w:rPr>
          <w:rFonts w:ascii="Arial" w:hAnsi="Arial" w:cs="Arial"/>
          <w:color w:val="000000"/>
          <w:lang w:val="es-CO" w:eastAsia="es-CO"/>
        </w:rPr>
        <w:t>ucursales y establecimientos permanentes.</w:t>
      </w:r>
    </w:p>
    <w:p w14:paraId="6D28B1D8" w14:textId="77777777" w:rsidR="00B2442D" w:rsidRDefault="00B2442D">
      <w:pPr>
        <w:pStyle w:val="Prrafodelista"/>
        <w:jc w:val="both"/>
        <w:rPr>
          <w:rFonts w:ascii="Arial" w:hAnsi="Arial" w:cs="Arial"/>
        </w:rPr>
      </w:pPr>
    </w:p>
    <w:p w14:paraId="4D3BADB2"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53" w:history="1">
        <w:r>
          <w:rPr>
            <w:rStyle w:val="Hipervnculo"/>
            <w:rFonts w:ascii="Arial" w:hAnsi="Arial" w:cs="Arial"/>
            <w:i/>
          </w:rPr>
          <w:t>Art. 13 Decreto 2105 de 2016</w:t>
        </w:r>
      </w:hyperlink>
      <w:r>
        <w:rPr>
          <w:rFonts w:ascii="Arial" w:hAnsi="Arial" w:cs="Arial"/>
          <w:i/>
        </w:rPr>
        <w:t xml:space="preserve">, plazos 2016: Decreto 2243 de 2015; </w:t>
      </w:r>
      <w:r>
        <w:rPr>
          <w:rFonts w:ascii="Arial" w:hAnsi="Arial" w:cs="Arial"/>
          <w:i/>
          <w:iCs/>
          <w:color w:val="000000"/>
          <w:lang w:val="es-CO" w:eastAsia="es-CO"/>
        </w:rPr>
        <w:t>plazos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w:t>
      </w:r>
      <w:r>
        <w:rPr>
          <w:rFonts w:ascii="Arial" w:hAnsi="Arial" w:cs="Arial"/>
          <w:i/>
          <w:iCs/>
          <w:color w:val="000000"/>
          <w:lang w:val="es-CO" w:eastAsia="es-CO"/>
        </w:rPr>
        <w:t>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058353D1" w14:textId="77777777" w:rsidR="00B2442D" w:rsidRDefault="00B2442D">
      <w:pPr>
        <w:jc w:val="both"/>
        <w:rPr>
          <w:rFonts w:ascii="Arial" w:hAnsi="Arial" w:cs="Arial"/>
          <w:i/>
          <w:highlight w:val="yellow"/>
        </w:rPr>
      </w:pPr>
    </w:p>
    <w:p w14:paraId="1A333DB6"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Declaración del </w:t>
      </w:r>
      <w:r>
        <w:rPr>
          <w:rFonts w:cs="Arial"/>
          <w:b/>
          <w:i/>
          <w:spacing w:val="4"/>
          <w:lang w:val="es-CO"/>
        </w:rPr>
        <w:t xml:space="preserve"> </w:t>
      </w:r>
      <w:r>
        <w:rPr>
          <w:rFonts w:cs="Arial"/>
          <w:b/>
          <w:i/>
          <w:lang w:val="es-CO"/>
        </w:rPr>
        <w:t>impue</w:t>
      </w:r>
      <w:r>
        <w:rPr>
          <w:rFonts w:cs="Arial"/>
          <w:b/>
          <w:i/>
          <w:lang w:val="es-CO"/>
        </w:rPr>
        <w:t xml:space="preserve">sto </w:t>
      </w:r>
      <w:r>
        <w:rPr>
          <w:rFonts w:cs="Arial"/>
          <w:b/>
          <w:i/>
          <w:spacing w:val="8"/>
          <w:lang w:val="es-CO"/>
        </w:rPr>
        <w:t xml:space="preserve"> </w:t>
      </w:r>
      <w:r>
        <w:rPr>
          <w:rFonts w:cs="Arial"/>
          <w:b/>
          <w:i/>
          <w:lang w:val="es-CO"/>
        </w:rPr>
        <w:t xml:space="preserve">sobre </w:t>
      </w:r>
      <w:r>
        <w:rPr>
          <w:rFonts w:cs="Arial"/>
          <w:b/>
          <w:i/>
          <w:spacing w:val="15"/>
          <w:lang w:val="es-CO"/>
        </w:rPr>
        <w:t xml:space="preserve"> </w:t>
      </w:r>
      <w:r>
        <w:rPr>
          <w:rFonts w:cs="Arial"/>
          <w:b/>
          <w:i/>
          <w:lang w:val="es-CO"/>
        </w:rPr>
        <w:t xml:space="preserve">la </w:t>
      </w:r>
      <w:r>
        <w:rPr>
          <w:rFonts w:cs="Arial"/>
          <w:b/>
          <w:i/>
          <w:spacing w:val="5"/>
          <w:lang w:val="es-CO"/>
        </w:rPr>
        <w:t xml:space="preserve"> </w:t>
      </w:r>
      <w:r>
        <w:rPr>
          <w:rFonts w:cs="Arial"/>
          <w:b/>
          <w:i/>
          <w:lang w:val="es-CO"/>
        </w:rPr>
        <w:t xml:space="preserve">renta </w:t>
      </w:r>
      <w:r>
        <w:rPr>
          <w:rFonts w:cs="Arial"/>
          <w:b/>
          <w:i/>
          <w:spacing w:val="23"/>
          <w:lang w:val="es-CO"/>
        </w:rPr>
        <w:t xml:space="preserve"> </w:t>
      </w:r>
      <w:r>
        <w:rPr>
          <w:rFonts w:cs="Arial"/>
          <w:b/>
          <w:i/>
          <w:lang w:val="es-CO"/>
        </w:rPr>
        <w:t xml:space="preserve">para </w:t>
      </w:r>
      <w:r>
        <w:rPr>
          <w:rFonts w:cs="Arial"/>
          <w:b/>
          <w:i/>
          <w:spacing w:val="16"/>
          <w:lang w:val="es-CO"/>
        </w:rPr>
        <w:t xml:space="preserve"> </w:t>
      </w:r>
      <w:r>
        <w:rPr>
          <w:rFonts w:cs="Arial"/>
          <w:b/>
          <w:i/>
          <w:lang w:val="es-CO"/>
        </w:rPr>
        <w:t>la equidad - CREE.</w:t>
      </w:r>
      <w:r>
        <w:rPr>
          <w:rFonts w:cs="Arial"/>
          <w:i/>
          <w:spacing w:val="30"/>
          <w:lang w:val="es-CO"/>
        </w:rPr>
        <w:t xml:space="preserve"> </w:t>
      </w:r>
      <w:r>
        <w:rPr>
          <w:rFonts w:cs="Arial"/>
          <w:lang w:val="es-CO"/>
        </w:rPr>
        <w:t>Por el año gravable 2016 deberán presentar la declaración del impuesto sobre la renta para la equidad CREE, los sujetos pasivos del impuesto señalados en el artículo anterior, para lo cual deberán utilizar el formulario prescrito por la Unidad Administrati</w:t>
      </w:r>
      <w:r>
        <w:rPr>
          <w:rFonts w:cs="Arial"/>
          <w:lang w:val="es-CO"/>
        </w:rPr>
        <w:t xml:space="preserve">va Especial Dirección de Impuestos y Aduanas Nacionales - DIAN y presentarla dentro de los plazos previstos en el artículo 1.6.1.13.2.22. </w:t>
      </w:r>
    </w:p>
    <w:p w14:paraId="3AD33F37" w14:textId="77777777" w:rsidR="00B2442D" w:rsidRDefault="00B2442D">
      <w:pPr>
        <w:pStyle w:val="Textoindependiente"/>
        <w:spacing w:line="40" w:lineRule="atLeast"/>
        <w:ind w:right="-30"/>
        <w:jc w:val="both"/>
        <w:rPr>
          <w:rFonts w:cs="Arial"/>
          <w:lang w:val="es-CO"/>
        </w:rPr>
      </w:pPr>
    </w:p>
    <w:p w14:paraId="552D017D"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lang w:val="es-CO"/>
        </w:rPr>
        <w:t xml:space="preserve"> Se entenderán como no presentadas las declaraciones, que se presenten sin pago total dentro del plazo par</w:t>
      </w:r>
      <w:r>
        <w:rPr>
          <w:rFonts w:cs="Arial"/>
          <w:lang w:val="es-CO"/>
        </w:rPr>
        <w:t xml:space="preserve">a declarar. Las declaraciones que se hayan presentado sin pago total antes del vencimiento para declarar, producirán efectos legales, siempre y cuando el pago del impuesto se efectúe o se haya efectuado dentro del plazo fijado para ello en el ordenamiento </w:t>
      </w:r>
      <w:r>
        <w:rPr>
          <w:rFonts w:cs="Arial"/>
          <w:lang w:val="es-CO"/>
        </w:rPr>
        <w:t>jurídico.</w:t>
      </w:r>
    </w:p>
    <w:p w14:paraId="3A9EF074" w14:textId="77777777" w:rsidR="00B2442D" w:rsidRDefault="00B2442D">
      <w:pPr>
        <w:pStyle w:val="Textoindependiente"/>
        <w:spacing w:line="40" w:lineRule="atLeast"/>
        <w:ind w:right="-30"/>
        <w:jc w:val="both"/>
        <w:rPr>
          <w:rFonts w:cs="Arial"/>
          <w:i/>
          <w:lang w:val="es-CO"/>
        </w:rPr>
      </w:pPr>
    </w:p>
    <w:p w14:paraId="7E7B5606" w14:textId="77777777" w:rsidR="00B2442D" w:rsidRDefault="008A645F">
      <w:pPr>
        <w:pStyle w:val="Textoindependiente"/>
        <w:spacing w:line="40" w:lineRule="atLeast"/>
        <w:ind w:right="-30"/>
        <w:jc w:val="both"/>
        <w:rPr>
          <w:rFonts w:cs="Arial"/>
          <w:i/>
          <w:lang w:val="es-CO"/>
        </w:rPr>
      </w:pPr>
      <w:r>
        <w:rPr>
          <w:rFonts w:cs="Arial"/>
          <w:i/>
          <w:lang w:val="es-CO"/>
        </w:rPr>
        <w:t>(</w:t>
      </w:r>
      <w:hyperlink r:id="rId54" w:history="1">
        <w:r>
          <w:rPr>
            <w:rStyle w:val="Hipervnculo"/>
            <w:rFonts w:cs="Arial"/>
            <w:i/>
            <w:lang w:val="es-CO"/>
          </w:rPr>
          <w:t>Art. 14 Decreto 2105 de 2016</w:t>
        </w:r>
      </w:hyperlink>
      <w:r>
        <w:rPr>
          <w:rFonts w:cs="Arial"/>
          <w:i/>
          <w:lang w:val="es-CO"/>
        </w:rPr>
        <w:t>, plazos 2016: Decreto 2243 de 2015; plazos 2015: Decreto 2623 de 2014; plazos 2014: Decreto 2972 de 2013 y Dec</w:t>
      </w:r>
      <w:r>
        <w:rPr>
          <w:rFonts w:cs="Arial"/>
          <w:i/>
          <w:lang w:val="es-CO"/>
        </w:rPr>
        <w:t>reto 685 de 2014; plazos 2013: Decreto 2634 de 2012 y Decreto 0187 de 2013; plazos 2012: Decreto 4907 de 2011; plazos 2011: Decreto 4836 de 2010 y Decreto 1358 de 2011)</w:t>
      </w:r>
    </w:p>
    <w:p w14:paraId="5CA013BF" w14:textId="77777777" w:rsidR="00B2442D" w:rsidRDefault="00B2442D">
      <w:pPr>
        <w:pStyle w:val="Textoindependiente"/>
        <w:spacing w:line="40" w:lineRule="atLeast"/>
        <w:ind w:right="-30"/>
        <w:jc w:val="both"/>
        <w:rPr>
          <w:rFonts w:cs="Arial"/>
          <w:highlight w:val="yellow"/>
          <w:lang w:val="es-CO"/>
        </w:rPr>
      </w:pPr>
    </w:p>
    <w:p w14:paraId="04227210"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Sobretasa al  </w:t>
      </w:r>
      <w:r>
        <w:rPr>
          <w:rFonts w:cs="Arial"/>
          <w:b/>
          <w:i/>
          <w:spacing w:val="4"/>
          <w:lang w:val="es-CO"/>
        </w:rPr>
        <w:t xml:space="preserve"> </w:t>
      </w:r>
      <w:r>
        <w:rPr>
          <w:rFonts w:cs="Arial"/>
          <w:b/>
          <w:i/>
          <w:lang w:val="es-CO"/>
        </w:rPr>
        <w:t xml:space="preserve">impuesto sobre  </w:t>
      </w:r>
      <w:r>
        <w:rPr>
          <w:rFonts w:cs="Arial"/>
          <w:b/>
          <w:i/>
          <w:spacing w:val="7"/>
          <w:lang w:val="es-CO"/>
        </w:rPr>
        <w:t xml:space="preserve"> </w:t>
      </w:r>
      <w:r>
        <w:rPr>
          <w:rFonts w:cs="Arial"/>
          <w:b/>
          <w:i/>
          <w:lang w:val="es-CO"/>
        </w:rPr>
        <w:t xml:space="preserve">la </w:t>
      </w:r>
      <w:r>
        <w:rPr>
          <w:rFonts w:cs="Arial"/>
          <w:b/>
          <w:i/>
          <w:spacing w:val="55"/>
          <w:lang w:val="es-CO"/>
        </w:rPr>
        <w:t xml:space="preserve"> </w:t>
      </w:r>
      <w:r>
        <w:rPr>
          <w:rFonts w:cs="Arial"/>
          <w:b/>
          <w:i/>
          <w:lang w:val="es-CO"/>
        </w:rPr>
        <w:t xml:space="preserve">renta  </w:t>
      </w:r>
      <w:r>
        <w:rPr>
          <w:rFonts w:cs="Arial"/>
          <w:b/>
          <w:i/>
          <w:spacing w:val="3"/>
          <w:lang w:val="es-CO"/>
        </w:rPr>
        <w:t xml:space="preserve"> </w:t>
      </w:r>
      <w:r>
        <w:rPr>
          <w:rFonts w:cs="Arial"/>
          <w:b/>
          <w:i/>
          <w:lang w:val="es-CO"/>
        </w:rPr>
        <w:t xml:space="preserve">para </w:t>
      </w:r>
      <w:r>
        <w:rPr>
          <w:rFonts w:cs="Arial"/>
          <w:b/>
          <w:i/>
          <w:spacing w:val="62"/>
          <w:lang w:val="es-CO"/>
        </w:rPr>
        <w:t xml:space="preserve"> </w:t>
      </w:r>
      <w:r>
        <w:rPr>
          <w:rFonts w:cs="Arial"/>
          <w:b/>
          <w:i/>
          <w:lang w:val="es-CO"/>
        </w:rPr>
        <w:t>la equidad – CREE.</w:t>
      </w:r>
      <w:r>
        <w:rPr>
          <w:rFonts w:cs="Arial"/>
          <w:b/>
          <w:lang w:val="es-CO"/>
        </w:rPr>
        <w:t xml:space="preserve"> </w:t>
      </w:r>
      <w:r>
        <w:rPr>
          <w:rFonts w:cs="Arial"/>
          <w:lang w:val="es-CO"/>
        </w:rPr>
        <w:t>Por el período gr</w:t>
      </w:r>
      <w:r>
        <w:rPr>
          <w:rFonts w:cs="Arial"/>
          <w:lang w:val="es-CO"/>
        </w:rPr>
        <w:t>avable 2017, los contribuyentes señalados en el artículo 20 de la Ley 1607 de 2012 con excepción de los usuarios calificados y autorizados para operar en las zonas francas costa afuera, tendrán a cargo la Sobretasa al Impuesto sobre la Renta para la Equida</w:t>
      </w:r>
      <w:r>
        <w:rPr>
          <w:rFonts w:cs="Arial"/>
          <w:lang w:val="es-CO"/>
        </w:rPr>
        <w:t>d – CREE.</w:t>
      </w:r>
    </w:p>
    <w:p w14:paraId="387E83F7" w14:textId="77777777" w:rsidR="00B2442D" w:rsidRDefault="00B2442D">
      <w:pPr>
        <w:pStyle w:val="Textoindependiente"/>
        <w:spacing w:line="40" w:lineRule="atLeast"/>
        <w:ind w:right="-30"/>
        <w:jc w:val="both"/>
        <w:rPr>
          <w:rFonts w:cs="Arial"/>
          <w:lang w:val="es-CO"/>
        </w:rPr>
      </w:pPr>
    </w:p>
    <w:p w14:paraId="68995E63" w14:textId="77777777" w:rsidR="00B2442D" w:rsidRDefault="008A645F">
      <w:pPr>
        <w:pStyle w:val="Textoindependiente"/>
        <w:spacing w:line="40" w:lineRule="atLeast"/>
        <w:ind w:right="-30"/>
        <w:jc w:val="both"/>
        <w:rPr>
          <w:rFonts w:cs="Arial"/>
          <w:lang w:val="es-CO"/>
        </w:rPr>
      </w:pPr>
      <w:r>
        <w:rPr>
          <w:rFonts w:cs="Arial"/>
          <w:lang w:val="es-CO"/>
        </w:rPr>
        <w:t>La Sobretasa al Impuesto sobre la Renta para la Equidad - CREE del período gravable 2017 está sujeta a un anticipo del ciento por ciento (100%) del valor de la misma, que se liquidará en la Declaración del Impuesto sobre la Renta para la Equidad CREE del a</w:t>
      </w:r>
      <w:r>
        <w:rPr>
          <w:rFonts w:cs="Arial"/>
          <w:lang w:val="es-CO"/>
        </w:rPr>
        <w:t xml:space="preserve">ño gravable 2016. </w:t>
      </w:r>
    </w:p>
    <w:p w14:paraId="5EC6FCFD" w14:textId="77777777" w:rsidR="00B2442D" w:rsidRDefault="00B2442D">
      <w:pPr>
        <w:pStyle w:val="Textoindependiente"/>
        <w:spacing w:line="40" w:lineRule="atLeast"/>
        <w:ind w:right="-30"/>
        <w:jc w:val="both"/>
        <w:rPr>
          <w:rFonts w:cs="Arial"/>
          <w:lang w:val="es-CO"/>
        </w:rPr>
      </w:pPr>
    </w:p>
    <w:p w14:paraId="12E46DE0" w14:textId="77777777" w:rsidR="00B2442D" w:rsidRDefault="008A645F">
      <w:pPr>
        <w:pStyle w:val="Textoindependiente"/>
        <w:spacing w:line="40" w:lineRule="atLeast"/>
        <w:ind w:right="-30"/>
        <w:jc w:val="both"/>
        <w:rPr>
          <w:rFonts w:cs="Arial"/>
          <w:lang w:val="es-CO"/>
        </w:rPr>
      </w:pPr>
      <w:r>
        <w:rPr>
          <w:rFonts w:cs="Arial"/>
          <w:lang w:val="es-CO"/>
        </w:rPr>
        <w:t xml:space="preserve">Para calcular dicho anticipo, el contribuyente debe tomar la base gravable del Impuesto sobre la Renta para la Equidad – CREE - del año gravable 2016 y aplicar la tarifa prevista en la tabla del artículo 22 literal b) de la Ley 1739 </w:t>
      </w:r>
      <w:r>
        <w:rPr>
          <w:rFonts w:cs="Arial"/>
          <w:lang w:val="es-CO"/>
        </w:rPr>
        <w:t>de 2014 para el año gravable 2017.</w:t>
      </w:r>
    </w:p>
    <w:p w14:paraId="6057D66E" w14:textId="77777777" w:rsidR="00B2442D" w:rsidRDefault="00B2442D">
      <w:pPr>
        <w:pStyle w:val="Textoindependiente"/>
        <w:spacing w:line="40" w:lineRule="atLeast"/>
        <w:ind w:left="720" w:right="-30"/>
        <w:jc w:val="both"/>
        <w:rPr>
          <w:rFonts w:cs="Arial"/>
          <w:lang w:val="es-CO"/>
        </w:rPr>
      </w:pPr>
    </w:p>
    <w:p w14:paraId="24CA32AC" w14:textId="77777777" w:rsidR="00B2442D" w:rsidRDefault="008A645F">
      <w:pPr>
        <w:pStyle w:val="Textoindependiente"/>
        <w:spacing w:line="40" w:lineRule="atLeast"/>
        <w:ind w:right="-30"/>
        <w:jc w:val="both"/>
        <w:rPr>
          <w:rFonts w:cs="Arial"/>
          <w:i/>
          <w:lang w:val="es-CO"/>
        </w:rPr>
      </w:pPr>
      <w:r>
        <w:rPr>
          <w:rFonts w:cs="Arial"/>
          <w:i/>
          <w:lang w:val="es-CO"/>
        </w:rPr>
        <w:t>(</w:t>
      </w:r>
      <w:hyperlink r:id="rId55" w:history="1">
        <w:r>
          <w:rPr>
            <w:rStyle w:val="Hipervnculo"/>
            <w:rFonts w:cs="Arial"/>
            <w:i/>
            <w:lang w:val="es-CO"/>
          </w:rPr>
          <w:t>Art, 15 Decreto 2105 de 2016</w:t>
        </w:r>
      </w:hyperlink>
      <w:r>
        <w:rPr>
          <w:rFonts w:cs="Arial"/>
          <w:i/>
          <w:lang w:val="es-CO"/>
        </w:rPr>
        <w:t>, plazos 2016: Decreto 2243 de 2015; plazos 2015: Decreto 2623 de 2014; plazos 2014: D</w:t>
      </w:r>
      <w:r>
        <w:rPr>
          <w:rFonts w:cs="Arial"/>
          <w:i/>
          <w:lang w:val="es-CO"/>
        </w:rPr>
        <w:t>ecreto 2972 de 2013 y Decreto 685 de 2014; plazos 2013: Decreto 2634 de 2012 y Decreto 0187 de 2013; plazos 2012: Decreto 4907 de 2011; plazos 2011: Decreto 4836 de 2010 y Decreto 1358 de 2011)</w:t>
      </w:r>
    </w:p>
    <w:p w14:paraId="7C06BBDC" w14:textId="77777777" w:rsidR="00B2442D" w:rsidRDefault="00B2442D">
      <w:pPr>
        <w:pStyle w:val="Textoindependiente"/>
        <w:spacing w:line="40" w:lineRule="atLeast"/>
        <w:ind w:right="-30"/>
        <w:jc w:val="both"/>
        <w:rPr>
          <w:rFonts w:cs="Arial"/>
          <w:lang w:val="es-CO"/>
        </w:rPr>
      </w:pPr>
    </w:p>
    <w:p w14:paraId="2961DCC9" w14:textId="77777777" w:rsidR="00B2442D" w:rsidRDefault="008A645F">
      <w:pPr>
        <w:pStyle w:val="Textoindependiente"/>
        <w:numPr>
          <w:ilvl w:val="0"/>
          <w:numId w:val="152"/>
        </w:numPr>
        <w:autoSpaceDE w:val="0"/>
        <w:autoSpaceDN w:val="0"/>
        <w:adjustRightInd w:val="0"/>
        <w:spacing w:line="40" w:lineRule="atLeast"/>
        <w:ind w:left="0" w:right="-30" w:firstLine="0"/>
        <w:jc w:val="both"/>
        <w:rPr>
          <w:rFonts w:cs="Arial"/>
          <w:lang w:val="es-CO" w:eastAsia="es-CO"/>
        </w:rPr>
      </w:pPr>
      <w:r>
        <w:rPr>
          <w:rFonts w:cs="Arial"/>
          <w:b/>
          <w:i/>
          <w:lang w:val="es-CO"/>
        </w:rPr>
        <w:t xml:space="preserve">Plazos. </w:t>
      </w:r>
      <w:r>
        <w:rPr>
          <w:rFonts w:cs="Arial"/>
          <w:lang w:val="es-CO" w:eastAsia="es-CO"/>
        </w:rPr>
        <w:t>El plazo para presentar la declaración del Impuesto s</w:t>
      </w:r>
      <w:r>
        <w:rPr>
          <w:rFonts w:cs="Arial"/>
          <w:lang w:val="es-CO" w:eastAsia="es-CO"/>
        </w:rPr>
        <w:t>obre la renta para la equidad – CREE y para cancelar en dos (2) cuotas iguales el valor por concepto de este impuesto y la sobretasa al impuesto sobre la renta para la equidad, si hubiere lugar a ello, del año gravable 2016, vence en las fechas que se indi</w:t>
      </w:r>
      <w:r>
        <w:rPr>
          <w:rFonts w:cs="Arial"/>
          <w:lang w:val="es-CO" w:eastAsia="es-CO"/>
        </w:rPr>
        <w:t>can a continuación, atendiendo el último dígito del NIT del declarante que conste en el certificado del Registro Único Tributario - RUT, sin tener en cuenta el dígito de verificación, así:</w:t>
      </w:r>
    </w:p>
    <w:p w14:paraId="2A5FDA38" w14:textId="77777777" w:rsidR="00B2442D" w:rsidRDefault="00B2442D">
      <w:pPr>
        <w:autoSpaceDE w:val="0"/>
        <w:autoSpaceDN w:val="0"/>
        <w:adjustRightInd w:val="0"/>
        <w:ind w:left="720"/>
        <w:jc w:val="both"/>
        <w:rPr>
          <w:rFonts w:ascii="Arial" w:hAnsi="Arial" w:cs="Arial"/>
          <w:lang w:val="es-CO" w:eastAsia="es-CO"/>
        </w:rPr>
      </w:pPr>
    </w:p>
    <w:p w14:paraId="3A436FF5" w14:textId="77777777" w:rsidR="00B2442D" w:rsidRDefault="008A645F">
      <w:pPr>
        <w:autoSpaceDE w:val="0"/>
        <w:autoSpaceDN w:val="0"/>
        <w:adjustRightInd w:val="0"/>
        <w:ind w:left="1440"/>
        <w:jc w:val="both"/>
        <w:rPr>
          <w:rFonts w:ascii="Arial" w:hAnsi="Arial" w:cs="Arial"/>
          <w:b/>
          <w:lang w:val="es-CO" w:eastAsia="es-CO"/>
        </w:rPr>
      </w:pPr>
      <w:r>
        <w:rPr>
          <w:rFonts w:ascii="Arial" w:hAnsi="Arial" w:cs="Arial"/>
          <w:b/>
          <w:lang w:val="es-CO" w:eastAsia="es-CO"/>
        </w:rPr>
        <w:t xml:space="preserve">          DECLARACIÓN Y PAGO PRIMERA CUOTA</w:t>
      </w:r>
    </w:p>
    <w:p w14:paraId="482AED22" w14:textId="77777777" w:rsidR="00B2442D" w:rsidRDefault="00B2442D">
      <w:pPr>
        <w:autoSpaceDE w:val="0"/>
        <w:autoSpaceDN w:val="0"/>
        <w:adjustRightInd w:val="0"/>
        <w:ind w:left="1440"/>
        <w:jc w:val="both"/>
        <w:rPr>
          <w:rFonts w:ascii="Arial" w:hAnsi="Arial" w:cs="Arial"/>
          <w:lang w:val="es-CO" w:eastAsia="es-CO"/>
        </w:rPr>
      </w:pPr>
    </w:p>
    <w:tbl>
      <w:tblPr>
        <w:tblW w:w="3440" w:type="dxa"/>
        <w:jc w:val="center"/>
        <w:tblCellMar>
          <w:left w:w="70" w:type="dxa"/>
          <w:right w:w="70" w:type="dxa"/>
        </w:tblCellMar>
        <w:tblLook w:val="04A0" w:firstRow="1" w:lastRow="0" w:firstColumn="1" w:lastColumn="0" w:noHBand="0" w:noVBand="1"/>
      </w:tblPr>
      <w:tblGrid>
        <w:gridCol w:w="1234"/>
        <w:gridCol w:w="2206"/>
      </w:tblGrid>
      <w:tr w:rsidR="00B2442D" w14:paraId="450347F6" w14:textId="77777777">
        <w:trPr>
          <w:trHeight w:val="517"/>
          <w:tblHeader/>
          <w:jc w:val="center"/>
        </w:trPr>
        <w:tc>
          <w:tcPr>
            <w:tcW w:w="123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1D8171B"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206"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49FB33E9"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2E67DB7E" w14:textId="77777777">
        <w:trPr>
          <w:trHeight w:val="517"/>
          <w:tblHeader/>
          <w:jc w:val="center"/>
        </w:trPr>
        <w:tc>
          <w:tcPr>
            <w:tcW w:w="1234" w:type="dxa"/>
            <w:vMerge/>
            <w:tcBorders>
              <w:top w:val="single" w:sz="8" w:space="0" w:color="auto"/>
              <w:left w:val="single" w:sz="8" w:space="0" w:color="auto"/>
              <w:bottom w:val="single" w:sz="8" w:space="0" w:color="000000"/>
              <w:right w:val="single" w:sz="8" w:space="0" w:color="auto"/>
            </w:tcBorders>
            <w:vAlign w:val="center"/>
            <w:hideMark/>
          </w:tcPr>
          <w:p w14:paraId="29EC8BCC" w14:textId="77777777" w:rsidR="00B2442D" w:rsidRDefault="00B2442D">
            <w:pPr>
              <w:jc w:val="center"/>
              <w:rPr>
                <w:rFonts w:ascii="Arial" w:hAnsi="Arial" w:cs="Arial"/>
                <w:b/>
                <w:bCs/>
                <w:color w:val="000000"/>
                <w:lang w:val="es-CO" w:eastAsia="es-CO"/>
              </w:rPr>
            </w:pPr>
          </w:p>
        </w:tc>
        <w:tc>
          <w:tcPr>
            <w:tcW w:w="2206" w:type="dxa"/>
            <w:vMerge/>
            <w:tcBorders>
              <w:top w:val="single" w:sz="8" w:space="0" w:color="auto"/>
              <w:left w:val="single" w:sz="8" w:space="0" w:color="auto"/>
              <w:bottom w:val="single" w:sz="8" w:space="0" w:color="000000"/>
              <w:right w:val="single" w:sz="8" w:space="0" w:color="auto"/>
            </w:tcBorders>
            <w:vAlign w:val="center"/>
            <w:hideMark/>
          </w:tcPr>
          <w:p w14:paraId="72BBEC5F" w14:textId="77777777" w:rsidR="00B2442D" w:rsidRDefault="00B2442D">
            <w:pPr>
              <w:jc w:val="center"/>
              <w:rPr>
                <w:rFonts w:ascii="Arial" w:hAnsi="Arial" w:cs="Arial"/>
                <w:b/>
                <w:bCs/>
                <w:color w:val="000000"/>
                <w:lang w:val="es-CO" w:eastAsia="es-CO"/>
              </w:rPr>
            </w:pPr>
          </w:p>
        </w:tc>
      </w:tr>
      <w:tr w:rsidR="00B2442D" w14:paraId="735D49FC"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615C48A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206" w:type="dxa"/>
            <w:tcBorders>
              <w:top w:val="nil"/>
              <w:left w:val="nil"/>
              <w:bottom w:val="single" w:sz="8" w:space="0" w:color="auto"/>
              <w:right w:val="single" w:sz="8" w:space="0" w:color="auto"/>
            </w:tcBorders>
            <w:shd w:val="clear" w:color="auto" w:fill="auto"/>
            <w:noWrap/>
            <w:vAlign w:val="center"/>
          </w:tcPr>
          <w:p w14:paraId="2C5C7E1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abril de 2017</w:t>
            </w:r>
          </w:p>
        </w:tc>
      </w:tr>
      <w:tr w:rsidR="00B2442D" w14:paraId="7FF14886"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5CEC336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206" w:type="dxa"/>
            <w:tcBorders>
              <w:top w:val="nil"/>
              <w:left w:val="nil"/>
              <w:bottom w:val="single" w:sz="8" w:space="0" w:color="auto"/>
              <w:right w:val="single" w:sz="8" w:space="0" w:color="auto"/>
            </w:tcBorders>
            <w:shd w:val="clear" w:color="auto" w:fill="auto"/>
            <w:noWrap/>
            <w:vAlign w:val="center"/>
          </w:tcPr>
          <w:p w14:paraId="6C7C846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abril de 2017</w:t>
            </w:r>
          </w:p>
        </w:tc>
      </w:tr>
      <w:tr w:rsidR="00B2442D" w14:paraId="6C0134CF"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6678317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206" w:type="dxa"/>
            <w:tcBorders>
              <w:top w:val="nil"/>
              <w:left w:val="nil"/>
              <w:bottom w:val="single" w:sz="8" w:space="0" w:color="auto"/>
              <w:right w:val="single" w:sz="8" w:space="0" w:color="auto"/>
            </w:tcBorders>
            <w:shd w:val="clear" w:color="auto" w:fill="auto"/>
            <w:noWrap/>
            <w:vAlign w:val="center"/>
          </w:tcPr>
          <w:p w14:paraId="2C0F8F8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abril de 2017</w:t>
            </w:r>
          </w:p>
        </w:tc>
      </w:tr>
      <w:tr w:rsidR="00B2442D" w14:paraId="54EA47B1"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0553C71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206" w:type="dxa"/>
            <w:tcBorders>
              <w:top w:val="nil"/>
              <w:left w:val="nil"/>
              <w:bottom w:val="single" w:sz="8" w:space="0" w:color="auto"/>
              <w:right w:val="single" w:sz="8" w:space="0" w:color="auto"/>
            </w:tcBorders>
            <w:shd w:val="clear" w:color="auto" w:fill="auto"/>
            <w:noWrap/>
            <w:vAlign w:val="center"/>
          </w:tcPr>
          <w:p w14:paraId="7A09616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abril de 2017</w:t>
            </w:r>
          </w:p>
        </w:tc>
      </w:tr>
      <w:tr w:rsidR="00B2442D" w14:paraId="3621D195"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3ACD2FA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206" w:type="dxa"/>
            <w:tcBorders>
              <w:top w:val="nil"/>
              <w:left w:val="nil"/>
              <w:bottom w:val="single" w:sz="8" w:space="0" w:color="auto"/>
              <w:right w:val="single" w:sz="8" w:space="0" w:color="auto"/>
            </w:tcBorders>
            <w:shd w:val="clear" w:color="auto" w:fill="auto"/>
            <w:noWrap/>
            <w:vAlign w:val="center"/>
          </w:tcPr>
          <w:p w14:paraId="6CA94DF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abril de 2017</w:t>
            </w:r>
          </w:p>
        </w:tc>
      </w:tr>
      <w:tr w:rsidR="00B2442D" w14:paraId="55B16D9C"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4A71FF8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206" w:type="dxa"/>
            <w:tcBorders>
              <w:top w:val="nil"/>
              <w:left w:val="nil"/>
              <w:bottom w:val="single" w:sz="8" w:space="0" w:color="auto"/>
              <w:right w:val="single" w:sz="8" w:space="0" w:color="auto"/>
            </w:tcBorders>
            <w:shd w:val="clear" w:color="auto" w:fill="auto"/>
            <w:noWrap/>
            <w:vAlign w:val="center"/>
          </w:tcPr>
          <w:p w14:paraId="12655D1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abril de 2017</w:t>
            </w:r>
          </w:p>
        </w:tc>
      </w:tr>
      <w:tr w:rsidR="00B2442D" w14:paraId="5F2964D7"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12C6D83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206" w:type="dxa"/>
            <w:tcBorders>
              <w:top w:val="nil"/>
              <w:left w:val="nil"/>
              <w:bottom w:val="single" w:sz="8" w:space="0" w:color="auto"/>
              <w:right w:val="single" w:sz="8" w:space="0" w:color="auto"/>
            </w:tcBorders>
            <w:shd w:val="clear" w:color="auto" w:fill="auto"/>
            <w:noWrap/>
            <w:vAlign w:val="center"/>
          </w:tcPr>
          <w:p w14:paraId="7162321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19F67064"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520E71E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206" w:type="dxa"/>
            <w:tcBorders>
              <w:top w:val="nil"/>
              <w:left w:val="nil"/>
              <w:bottom w:val="single" w:sz="8" w:space="0" w:color="auto"/>
              <w:right w:val="single" w:sz="8" w:space="0" w:color="auto"/>
            </w:tcBorders>
            <w:shd w:val="clear" w:color="auto" w:fill="auto"/>
            <w:noWrap/>
            <w:vAlign w:val="center"/>
          </w:tcPr>
          <w:p w14:paraId="0F35B1E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abril de 2017</w:t>
            </w:r>
          </w:p>
        </w:tc>
      </w:tr>
      <w:tr w:rsidR="00B2442D" w14:paraId="63F3DF13"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1E4269C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206" w:type="dxa"/>
            <w:tcBorders>
              <w:top w:val="nil"/>
              <w:left w:val="nil"/>
              <w:bottom w:val="single" w:sz="8" w:space="0" w:color="auto"/>
              <w:right w:val="single" w:sz="8" w:space="0" w:color="auto"/>
            </w:tcBorders>
            <w:shd w:val="clear" w:color="auto" w:fill="auto"/>
            <w:noWrap/>
            <w:vAlign w:val="center"/>
          </w:tcPr>
          <w:p w14:paraId="74E0824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04DB850F" w14:textId="77777777">
        <w:trPr>
          <w:trHeight w:val="345"/>
          <w:jc w:val="center"/>
        </w:trPr>
        <w:tc>
          <w:tcPr>
            <w:tcW w:w="1234" w:type="dxa"/>
            <w:tcBorders>
              <w:top w:val="nil"/>
              <w:left w:val="single" w:sz="8" w:space="0" w:color="auto"/>
              <w:bottom w:val="single" w:sz="8" w:space="0" w:color="auto"/>
              <w:right w:val="single" w:sz="8" w:space="0" w:color="auto"/>
            </w:tcBorders>
            <w:shd w:val="clear" w:color="auto" w:fill="auto"/>
            <w:noWrap/>
            <w:vAlign w:val="center"/>
            <w:hideMark/>
          </w:tcPr>
          <w:p w14:paraId="1DC1B5B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206" w:type="dxa"/>
            <w:tcBorders>
              <w:top w:val="nil"/>
              <w:left w:val="nil"/>
              <w:bottom w:val="single" w:sz="8" w:space="0" w:color="auto"/>
              <w:right w:val="single" w:sz="8" w:space="0" w:color="auto"/>
            </w:tcBorders>
            <w:shd w:val="clear" w:color="auto" w:fill="auto"/>
            <w:noWrap/>
            <w:vAlign w:val="center"/>
          </w:tcPr>
          <w:p w14:paraId="2B660BB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bl>
    <w:p w14:paraId="748C384F" w14:textId="77777777" w:rsidR="00B2442D" w:rsidRDefault="00B2442D">
      <w:pPr>
        <w:ind w:left="1440"/>
        <w:jc w:val="center"/>
        <w:rPr>
          <w:rFonts w:ascii="Arial" w:hAnsi="Arial" w:cs="Arial"/>
          <w:b/>
          <w:bCs/>
          <w:color w:val="000000"/>
          <w:lang w:val="es-CO" w:eastAsia="es-CO"/>
        </w:rPr>
      </w:pPr>
    </w:p>
    <w:p w14:paraId="425920D1" w14:textId="77777777" w:rsidR="00B2442D" w:rsidRDefault="008A645F">
      <w:pPr>
        <w:ind w:left="2856" w:firstLine="684"/>
        <w:rPr>
          <w:rFonts w:ascii="Arial" w:hAnsi="Arial" w:cs="Arial"/>
          <w:b/>
          <w:bCs/>
          <w:color w:val="000000"/>
          <w:lang w:val="es-CO" w:eastAsia="es-CO"/>
        </w:rPr>
      </w:pPr>
      <w:r>
        <w:rPr>
          <w:rFonts w:ascii="Arial" w:hAnsi="Arial" w:cs="Arial"/>
          <w:b/>
          <w:bCs/>
          <w:color w:val="000000"/>
          <w:lang w:val="es-CO" w:eastAsia="es-CO"/>
        </w:rPr>
        <w:t>SEGUNDA CUOTA</w:t>
      </w:r>
    </w:p>
    <w:p w14:paraId="704CBDFA" w14:textId="77777777" w:rsidR="00B2442D" w:rsidRDefault="00B2442D">
      <w:pPr>
        <w:ind w:left="1440"/>
        <w:jc w:val="center"/>
        <w:rPr>
          <w:rFonts w:ascii="Arial" w:hAnsi="Arial" w:cs="Arial"/>
          <w:b/>
          <w:bCs/>
          <w:color w:val="000000"/>
          <w:lang w:val="es-CO" w:eastAsia="es-CO"/>
        </w:rPr>
      </w:pPr>
    </w:p>
    <w:tbl>
      <w:tblPr>
        <w:tblW w:w="3392" w:type="dxa"/>
        <w:jc w:val="center"/>
        <w:tblCellMar>
          <w:left w:w="70" w:type="dxa"/>
          <w:right w:w="70" w:type="dxa"/>
        </w:tblCellMar>
        <w:tblLook w:val="04A0" w:firstRow="1" w:lastRow="0" w:firstColumn="1" w:lastColumn="0" w:noHBand="0" w:noVBand="1"/>
      </w:tblPr>
      <w:tblGrid>
        <w:gridCol w:w="1200"/>
        <w:gridCol w:w="2192"/>
      </w:tblGrid>
      <w:tr w:rsidR="00B2442D" w14:paraId="4A9670DC" w14:textId="77777777">
        <w:trPr>
          <w:trHeight w:val="517"/>
          <w:tblHeader/>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4B2107AC"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192"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4D302208"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2C0DC0B5" w14:textId="77777777">
        <w:trPr>
          <w:trHeight w:val="517"/>
          <w:tblHeader/>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08748D9A" w14:textId="77777777" w:rsidR="00B2442D" w:rsidRDefault="00B2442D">
            <w:pPr>
              <w:jc w:val="center"/>
              <w:rPr>
                <w:rFonts w:ascii="Arial" w:hAnsi="Arial" w:cs="Arial"/>
                <w:b/>
                <w:bCs/>
                <w:color w:val="000000"/>
                <w:lang w:val="es-CO" w:eastAsia="es-CO"/>
              </w:rPr>
            </w:pPr>
          </w:p>
        </w:tc>
        <w:tc>
          <w:tcPr>
            <w:tcW w:w="2192" w:type="dxa"/>
            <w:vMerge/>
            <w:tcBorders>
              <w:top w:val="single" w:sz="8" w:space="0" w:color="auto"/>
              <w:left w:val="single" w:sz="8" w:space="0" w:color="auto"/>
              <w:bottom w:val="single" w:sz="8" w:space="0" w:color="000000"/>
              <w:right w:val="single" w:sz="8" w:space="0" w:color="auto"/>
            </w:tcBorders>
            <w:vAlign w:val="center"/>
            <w:hideMark/>
          </w:tcPr>
          <w:p w14:paraId="7A691313" w14:textId="77777777" w:rsidR="00B2442D" w:rsidRDefault="00B2442D">
            <w:pPr>
              <w:jc w:val="center"/>
              <w:rPr>
                <w:rFonts w:ascii="Arial" w:hAnsi="Arial" w:cs="Arial"/>
                <w:b/>
                <w:bCs/>
                <w:color w:val="000000"/>
                <w:lang w:val="es-CO" w:eastAsia="es-CO"/>
              </w:rPr>
            </w:pPr>
          </w:p>
        </w:tc>
      </w:tr>
      <w:tr w:rsidR="00B2442D" w14:paraId="1370FFA5"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6A69C8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192" w:type="dxa"/>
            <w:tcBorders>
              <w:top w:val="nil"/>
              <w:left w:val="nil"/>
              <w:bottom w:val="single" w:sz="8" w:space="0" w:color="auto"/>
              <w:right w:val="single" w:sz="8" w:space="0" w:color="auto"/>
            </w:tcBorders>
            <w:shd w:val="clear" w:color="auto" w:fill="auto"/>
            <w:noWrap/>
            <w:vAlign w:val="center"/>
          </w:tcPr>
          <w:p w14:paraId="60CF801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junio de 2017</w:t>
            </w:r>
          </w:p>
        </w:tc>
      </w:tr>
      <w:tr w:rsidR="00B2442D" w14:paraId="1853FF1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10C0CE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192" w:type="dxa"/>
            <w:tcBorders>
              <w:top w:val="nil"/>
              <w:left w:val="nil"/>
              <w:bottom w:val="single" w:sz="8" w:space="0" w:color="auto"/>
              <w:right w:val="single" w:sz="8" w:space="0" w:color="auto"/>
            </w:tcBorders>
            <w:shd w:val="clear" w:color="auto" w:fill="auto"/>
            <w:noWrap/>
            <w:vAlign w:val="center"/>
          </w:tcPr>
          <w:p w14:paraId="7657909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junio de 2017</w:t>
            </w:r>
          </w:p>
        </w:tc>
      </w:tr>
      <w:tr w:rsidR="00B2442D" w14:paraId="5C1C2D8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96E4C1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192" w:type="dxa"/>
            <w:tcBorders>
              <w:top w:val="nil"/>
              <w:left w:val="nil"/>
              <w:bottom w:val="single" w:sz="8" w:space="0" w:color="auto"/>
              <w:right w:val="single" w:sz="8" w:space="0" w:color="auto"/>
            </w:tcBorders>
            <w:shd w:val="clear" w:color="auto" w:fill="auto"/>
            <w:noWrap/>
            <w:vAlign w:val="center"/>
          </w:tcPr>
          <w:p w14:paraId="476A827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junio de 2017</w:t>
            </w:r>
          </w:p>
        </w:tc>
      </w:tr>
      <w:tr w:rsidR="00B2442D" w14:paraId="291B324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00C730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192" w:type="dxa"/>
            <w:tcBorders>
              <w:top w:val="nil"/>
              <w:left w:val="nil"/>
              <w:bottom w:val="single" w:sz="8" w:space="0" w:color="auto"/>
              <w:right w:val="single" w:sz="8" w:space="0" w:color="auto"/>
            </w:tcBorders>
            <w:shd w:val="clear" w:color="auto" w:fill="auto"/>
            <w:noWrap/>
            <w:vAlign w:val="center"/>
          </w:tcPr>
          <w:p w14:paraId="38A4E61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junio de 2017</w:t>
            </w:r>
          </w:p>
        </w:tc>
      </w:tr>
      <w:tr w:rsidR="00B2442D" w14:paraId="365B782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364C3A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192" w:type="dxa"/>
            <w:tcBorders>
              <w:top w:val="nil"/>
              <w:left w:val="nil"/>
              <w:bottom w:val="single" w:sz="8" w:space="0" w:color="auto"/>
              <w:right w:val="single" w:sz="8" w:space="0" w:color="auto"/>
            </w:tcBorders>
            <w:shd w:val="clear" w:color="auto" w:fill="auto"/>
            <w:noWrap/>
            <w:vAlign w:val="center"/>
          </w:tcPr>
          <w:p w14:paraId="1BB2D32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junio de 2017</w:t>
            </w:r>
          </w:p>
        </w:tc>
      </w:tr>
      <w:tr w:rsidR="00B2442D" w14:paraId="1427DD1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1E3D9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192" w:type="dxa"/>
            <w:tcBorders>
              <w:top w:val="nil"/>
              <w:left w:val="nil"/>
              <w:bottom w:val="single" w:sz="8" w:space="0" w:color="auto"/>
              <w:right w:val="single" w:sz="8" w:space="0" w:color="auto"/>
            </w:tcBorders>
            <w:shd w:val="clear" w:color="auto" w:fill="auto"/>
            <w:noWrap/>
            <w:vAlign w:val="center"/>
          </w:tcPr>
          <w:p w14:paraId="192DFBF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junio de 2017</w:t>
            </w:r>
          </w:p>
        </w:tc>
      </w:tr>
      <w:tr w:rsidR="00B2442D" w14:paraId="0E1EE9E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858A0B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192" w:type="dxa"/>
            <w:tcBorders>
              <w:top w:val="nil"/>
              <w:left w:val="nil"/>
              <w:bottom w:val="single" w:sz="8" w:space="0" w:color="auto"/>
              <w:right w:val="single" w:sz="8" w:space="0" w:color="auto"/>
            </w:tcBorders>
            <w:shd w:val="clear" w:color="auto" w:fill="auto"/>
            <w:noWrap/>
            <w:vAlign w:val="center"/>
          </w:tcPr>
          <w:p w14:paraId="5B19F6D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junio de 2017</w:t>
            </w:r>
          </w:p>
        </w:tc>
      </w:tr>
      <w:tr w:rsidR="00B2442D" w14:paraId="3C69009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2FFEFF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192" w:type="dxa"/>
            <w:tcBorders>
              <w:top w:val="nil"/>
              <w:left w:val="nil"/>
              <w:bottom w:val="single" w:sz="8" w:space="0" w:color="auto"/>
              <w:right w:val="single" w:sz="8" w:space="0" w:color="auto"/>
            </w:tcBorders>
            <w:shd w:val="clear" w:color="auto" w:fill="auto"/>
            <w:noWrap/>
            <w:vAlign w:val="center"/>
          </w:tcPr>
          <w:p w14:paraId="3FA51D7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junio de 2017</w:t>
            </w:r>
          </w:p>
        </w:tc>
      </w:tr>
      <w:tr w:rsidR="00B2442D" w14:paraId="7890C28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348022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192" w:type="dxa"/>
            <w:tcBorders>
              <w:top w:val="nil"/>
              <w:left w:val="nil"/>
              <w:bottom w:val="single" w:sz="8" w:space="0" w:color="auto"/>
              <w:right w:val="single" w:sz="8" w:space="0" w:color="auto"/>
            </w:tcBorders>
            <w:shd w:val="clear" w:color="auto" w:fill="auto"/>
            <w:noWrap/>
            <w:vAlign w:val="center"/>
          </w:tcPr>
          <w:p w14:paraId="1C86C06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21 de junio de </w:t>
            </w:r>
            <w:r>
              <w:rPr>
                <w:rFonts w:ascii="Arial" w:hAnsi="Arial" w:cs="Arial"/>
                <w:color w:val="000000"/>
                <w:lang w:val="es-CO" w:eastAsia="es-CO"/>
              </w:rPr>
              <w:t>2017</w:t>
            </w:r>
          </w:p>
        </w:tc>
      </w:tr>
      <w:tr w:rsidR="00B2442D" w14:paraId="4DD49F3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4849AD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192" w:type="dxa"/>
            <w:tcBorders>
              <w:top w:val="nil"/>
              <w:left w:val="nil"/>
              <w:bottom w:val="single" w:sz="8" w:space="0" w:color="auto"/>
              <w:right w:val="single" w:sz="8" w:space="0" w:color="auto"/>
            </w:tcBorders>
            <w:shd w:val="clear" w:color="auto" w:fill="auto"/>
            <w:noWrap/>
            <w:vAlign w:val="center"/>
          </w:tcPr>
          <w:p w14:paraId="4E3477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junio de 2017</w:t>
            </w:r>
          </w:p>
        </w:tc>
      </w:tr>
    </w:tbl>
    <w:p w14:paraId="70EC54FF" w14:textId="77777777" w:rsidR="00B2442D" w:rsidRDefault="00B2442D">
      <w:pPr>
        <w:pStyle w:val="Prrafodelista"/>
        <w:ind w:left="2148"/>
        <w:jc w:val="both"/>
        <w:rPr>
          <w:rFonts w:ascii="Arial" w:hAnsi="Arial" w:cs="Arial"/>
        </w:rPr>
      </w:pPr>
    </w:p>
    <w:p w14:paraId="3585A2F0" w14:textId="77777777" w:rsidR="00B2442D" w:rsidRDefault="008A645F">
      <w:pPr>
        <w:shd w:val="clear" w:color="auto" w:fill="FFFFFF"/>
        <w:spacing w:line="40" w:lineRule="atLeast"/>
        <w:ind w:right="193"/>
        <w:jc w:val="both"/>
        <w:rPr>
          <w:rFonts w:ascii="Arial" w:hAnsi="Arial" w:cs="Arial"/>
          <w:color w:val="000000"/>
        </w:rPr>
      </w:pPr>
      <w:r>
        <w:rPr>
          <w:rFonts w:ascii="Arial" w:hAnsi="Arial" w:cs="Arial"/>
          <w:b/>
          <w:color w:val="000000"/>
        </w:rPr>
        <w:t>Parágrafo 1</w:t>
      </w:r>
      <w:r>
        <w:rPr>
          <w:rFonts w:ascii="Arial" w:hAnsi="Arial" w:cs="Arial"/>
          <w:color w:val="000000"/>
        </w:rPr>
        <w:t xml:space="preserve">. </w:t>
      </w:r>
      <w:r>
        <w:rPr>
          <w:rFonts w:ascii="Arial" w:hAnsi="Arial" w:cs="Arial"/>
        </w:rPr>
        <w:t xml:space="preserve">Las sucursales y demás establecimientos permanentes de sociedades y entidades extranjeras, que presten en forma regular el servicio de transporte aéreo, marítimo, terrestre o fluvial entre lugares </w:t>
      </w:r>
      <w:r>
        <w:rPr>
          <w:rFonts w:ascii="Arial" w:hAnsi="Arial" w:cs="Arial"/>
        </w:rPr>
        <w:t>colombianos y extranjeros, pueden presentar la declaración del impuesto sobre la renta para la equidad – CREE-, por el año gravable 2016 y cancelar en una sola cuota el impuesto a cargo y la sobretasa,</w:t>
      </w:r>
      <w:r>
        <w:rPr>
          <w:rFonts w:ascii="Arial" w:hAnsi="Arial" w:cs="Arial"/>
          <w:lang w:val="es-CO" w:eastAsia="es-CO"/>
        </w:rPr>
        <w:t xml:space="preserve"> si hubiere lugar a ello, </w:t>
      </w:r>
      <w:r>
        <w:rPr>
          <w:rFonts w:ascii="Arial" w:hAnsi="Arial" w:cs="Arial"/>
        </w:rPr>
        <w:t xml:space="preserve"> hasta el 20 de octubre de 20</w:t>
      </w:r>
      <w:r>
        <w:rPr>
          <w:rFonts w:ascii="Arial" w:hAnsi="Arial" w:cs="Arial"/>
        </w:rPr>
        <w:t>17, cualquiera sea el último dígito del NIT del declarante que conste en el certificado del Registro Único Tributario - RUT (sin tener en cuenta el dígito de verificación).</w:t>
      </w:r>
      <w:r>
        <w:rPr>
          <w:rFonts w:ascii="Arial" w:hAnsi="Arial" w:cs="Arial"/>
          <w:color w:val="000000"/>
        </w:rPr>
        <w:t xml:space="preserve"> </w:t>
      </w:r>
    </w:p>
    <w:p w14:paraId="62C8A508" w14:textId="77777777" w:rsidR="00B2442D" w:rsidRDefault="00B2442D">
      <w:pPr>
        <w:spacing w:line="40" w:lineRule="atLeast"/>
        <w:ind w:left="720" w:right="193"/>
        <w:jc w:val="both"/>
        <w:rPr>
          <w:rFonts w:ascii="Arial" w:hAnsi="Arial" w:cs="Arial"/>
          <w:color w:val="000000"/>
        </w:rPr>
      </w:pPr>
    </w:p>
    <w:p w14:paraId="46700790" w14:textId="77777777" w:rsidR="00B2442D" w:rsidRDefault="008A645F">
      <w:pPr>
        <w:spacing w:line="40" w:lineRule="atLeast"/>
        <w:ind w:right="193"/>
        <w:jc w:val="both"/>
        <w:rPr>
          <w:rFonts w:ascii="Arial" w:hAnsi="Arial" w:cs="Arial"/>
          <w:color w:val="000000"/>
        </w:rPr>
      </w:pPr>
      <w:r>
        <w:rPr>
          <w:rFonts w:ascii="Arial" w:hAnsi="Arial" w:cs="Arial"/>
          <w:color w:val="000000"/>
        </w:rPr>
        <w:t>Lo anterior debe entenderse sin perjuicio de lo previsto en los tratados internac</w:t>
      </w:r>
      <w:r>
        <w:rPr>
          <w:rFonts w:ascii="Arial" w:hAnsi="Arial" w:cs="Arial"/>
          <w:color w:val="000000"/>
        </w:rPr>
        <w:t>ionales que se encuentren en vigor.</w:t>
      </w:r>
    </w:p>
    <w:p w14:paraId="52DEE91E" w14:textId="77777777" w:rsidR="00B2442D" w:rsidRDefault="00B2442D">
      <w:pPr>
        <w:spacing w:line="40" w:lineRule="atLeast"/>
        <w:ind w:left="720" w:right="193"/>
        <w:jc w:val="both"/>
        <w:rPr>
          <w:rFonts w:ascii="Arial" w:hAnsi="Arial" w:cs="Arial"/>
          <w:color w:val="000000"/>
        </w:rPr>
      </w:pPr>
    </w:p>
    <w:p w14:paraId="4CA1FA84" w14:textId="77777777" w:rsidR="00B2442D" w:rsidRDefault="008A645F">
      <w:pPr>
        <w:jc w:val="both"/>
        <w:rPr>
          <w:rFonts w:ascii="Arial" w:hAnsi="Arial" w:cs="Arial"/>
        </w:rPr>
      </w:pPr>
      <w:r>
        <w:rPr>
          <w:rFonts w:ascii="Arial" w:hAnsi="Arial" w:cs="Arial"/>
          <w:b/>
        </w:rPr>
        <w:t>Parágrafo 2.</w:t>
      </w:r>
      <w:r>
        <w:rPr>
          <w:rFonts w:ascii="Arial" w:hAnsi="Arial" w:cs="Arial"/>
        </w:rPr>
        <w:t xml:space="preserve"> Las sociedades y entidades constituidas de acuerdo con leyes extranjeras que tengan su sede efectiva de administración en el territorio colombiano y que posean sucursales de sociedad extranjera en Colombia,</w:t>
      </w:r>
      <w:r>
        <w:rPr>
          <w:rFonts w:ascii="Arial" w:hAnsi="Arial" w:cs="Arial"/>
        </w:rPr>
        <w:t xml:space="preserve"> deberán presentar una única declaración tributaria respecto de cada uno de los tributos a cargo, en la que en forma consolidada se presente la información tributaria de la oficina principal y de la sucursal de sociedad extranjera en Colombia.</w:t>
      </w:r>
    </w:p>
    <w:p w14:paraId="7D1472E4" w14:textId="77777777" w:rsidR="00B2442D" w:rsidRDefault="00B2442D">
      <w:pPr>
        <w:ind w:left="720"/>
        <w:jc w:val="both"/>
        <w:rPr>
          <w:rFonts w:ascii="Arial" w:hAnsi="Arial" w:cs="Arial"/>
        </w:rPr>
      </w:pPr>
    </w:p>
    <w:p w14:paraId="148885F9" w14:textId="77777777" w:rsidR="00B2442D" w:rsidRDefault="008A645F">
      <w:pPr>
        <w:jc w:val="both"/>
        <w:rPr>
          <w:rFonts w:ascii="Arial" w:hAnsi="Arial" w:cs="Arial"/>
        </w:rPr>
      </w:pPr>
      <w:r>
        <w:rPr>
          <w:rFonts w:ascii="Arial" w:hAnsi="Arial" w:cs="Arial"/>
        </w:rPr>
        <w:t xml:space="preserve">Para el </w:t>
      </w:r>
      <w:r>
        <w:rPr>
          <w:rFonts w:ascii="Arial" w:hAnsi="Arial" w:cs="Arial"/>
        </w:rPr>
        <w:t xml:space="preserve">caso mencionado en el inciso anterior, la oficina principal, en su calidad de sociedad o entidad con sede efectiva de administración en el territorio colombiano, será la obligada a presentar la declaración tributaria de manera consolidada respecto de cada </w:t>
      </w:r>
      <w:r>
        <w:rPr>
          <w:rFonts w:ascii="Arial" w:hAnsi="Arial" w:cs="Arial"/>
        </w:rPr>
        <w:t>uno de los tributos a cargo.</w:t>
      </w:r>
    </w:p>
    <w:p w14:paraId="54885FB9" w14:textId="77777777" w:rsidR="00B2442D" w:rsidRDefault="00B2442D">
      <w:pPr>
        <w:tabs>
          <w:tab w:val="left" w:pos="144"/>
        </w:tabs>
        <w:autoSpaceDE w:val="0"/>
        <w:autoSpaceDN w:val="0"/>
        <w:adjustRightInd w:val="0"/>
        <w:spacing w:line="40" w:lineRule="atLeast"/>
        <w:ind w:left="720" w:right="193"/>
        <w:rPr>
          <w:rFonts w:cs="Arial"/>
          <w:b/>
          <w:lang w:eastAsia="es-CO"/>
        </w:rPr>
      </w:pPr>
    </w:p>
    <w:p w14:paraId="0ECD13E0" w14:textId="77777777" w:rsidR="00B2442D" w:rsidRDefault="008A645F">
      <w:pPr>
        <w:spacing w:line="40" w:lineRule="atLeast"/>
        <w:ind w:right="-30"/>
        <w:jc w:val="both"/>
        <w:rPr>
          <w:rFonts w:ascii="Arial" w:hAnsi="Arial" w:cs="Arial"/>
        </w:rPr>
      </w:pPr>
      <w:r>
        <w:rPr>
          <w:rFonts w:ascii="Arial" w:hAnsi="Arial" w:cs="Arial"/>
          <w:b/>
        </w:rPr>
        <w:t>Parágrafo 3</w:t>
      </w:r>
      <w:r>
        <w:rPr>
          <w:rFonts w:ascii="Arial" w:hAnsi="Arial" w:cs="Arial"/>
        </w:rPr>
        <w:t>. En los casos de constitución de una persona jurídica durante el ejercicio, el período gravable empieza desde la fecha del registro del acto de constitución en la correspondiente Cámara de Comercio. En los casos de</w:t>
      </w:r>
      <w:r>
        <w:rPr>
          <w:rFonts w:ascii="Arial" w:hAnsi="Arial" w:cs="Arial"/>
        </w:rPr>
        <w:t xml:space="preserve"> liquidación, el año gravable concluye en la fecha en que se efectúe la aprobación de la respectiva acta de liquidación, cuando estén sometidas a la vigilancia del Estado, o en la fecha en que finalizó la liquidación de conformidad con el último asiento de</w:t>
      </w:r>
      <w:r>
        <w:rPr>
          <w:rFonts w:ascii="Arial" w:hAnsi="Arial" w:cs="Arial"/>
        </w:rPr>
        <w:t xml:space="preserve"> cierre de la contabilidad, cuando no estén sometidas a vigilancia del Estado.</w:t>
      </w:r>
    </w:p>
    <w:p w14:paraId="6C803FC7" w14:textId="77777777" w:rsidR="00B2442D" w:rsidRDefault="00B2442D">
      <w:pPr>
        <w:spacing w:line="40" w:lineRule="atLeast"/>
        <w:ind w:right="-30"/>
        <w:jc w:val="both"/>
        <w:rPr>
          <w:rFonts w:ascii="Arial" w:eastAsia="Arial" w:hAnsi="Arial" w:cs="Arial"/>
          <w:w w:val="110"/>
          <w:lang w:val="es-CO"/>
        </w:rPr>
      </w:pPr>
    </w:p>
    <w:p w14:paraId="0F1BB978" w14:textId="77777777" w:rsidR="00B2442D" w:rsidRDefault="008A645F">
      <w:pPr>
        <w:spacing w:line="40" w:lineRule="atLeast"/>
        <w:ind w:right="-30"/>
        <w:jc w:val="both"/>
        <w:rPr>
          <w:rFonts w:ascii="Arial" w:eastAsia="Arial" w:hAnsi="Arial" w:cs="Arial"/>
          <w:i/>
          <w:w w:val="110"/>
          <w:lang w:val="es-CO"/>
        </w:rPr>
      </w:pPr>
      <w:r>
        <w:rPr>
          <w:rFonts w:ascii="Arial" w:hAnsi="Arial" w:cs="Arial"/>
          <w:i/>
        </w:rPr>
        <w:t>(</w:t>
      </w:r>
      <w:hyperlink r:id="rId56" w:history="1">
        <w:r>
          <w:rPr>
            <w:rStyle w:val="Hipervnculo"/>
            <w:rFonts w:ascii="Arial" w:hAnsi="Arial" w:cs="Arial"/>
            <w:i/>
          </w:rPr>
          <w:t>Art. 1 Decreto 220 de 2017</w:t>
        </w:r>
      </w:hyperlink>
      <w:r>
        <w:rPr>
          <w:rFonts w:ascii="Arial" w:hAnsi="Arial" w:cs="Arial"/>
          <w:i/>
        </w:rPr>
        <w:t xml:space="preserve"> modifica el </w:t>
      </w:r>
      <w:hyperlink r:id="rId57" w:history="1">
        <w:r>
          <w:rPr>
            <w:rStyle w:val="Hipervnculo"/>
            <w:rFonts w:ascii="Arial" w:eastAsia="Arial" w:hAnsi="Arial" w:cs="Arial"/>
            <w:i/>
            <w:w w:val="110"/>
            <w:lang w:val="es-CO"/>
          </w:rPr>
          <w:t>Art. 16 Decreto 2105 de 2016</w:t>
        </w:r>
      </w:hyperlink>
      <w:r>
        <w:rPr>
          <w:rFonts w:ascii="Arial" w:eastAsia="Arial" w:hAnsi="Arial" w:cs="Arial"/>
          <w:i/>
          <w:w w:val="110"/>
          <w:lang w:val="es-CO"/>
        </w:rPr>
        <w:t>, plazos 2016: Decreto 2243 de 2015; plazos 2015: Decreto 2623 de 2014; plazos 2014: Decreto 2972 de 2013 y Decreto 685 de 2014; plazos 2013: Decreto 2634</w:t>
      </w:r>
      <w:r>
        <w:rPr>
          <w:rFonts w:ascii="Arial" w:eastAsia="Arial" w:hAnsi="Arial" w:cs="Arial"/>
          <w:i/>
          <w:w w:val="110"/>
          <w:lang w:val="es-CO"/>
        </w:rPr>
        <w:t xml:space="preserve"> de 2012 y Decreto 0187 de 2013; plazos 2012: Decreto 4907 de 2011; plazos 2011: Decreto 4836 de 2010 y Decreto 1358 de 2011)</w:t>
      </w:r>
    </w:p>
    <w:p w14:paraId="35A6F3F5" w14:textId="77777777" w:rsidR="00B2442D" w:rsidRDefault="00B2442D">
      <w:pPr>
        <w:spacing w:line="40" w:lineRule="atLeast"/>
        <w:ind w:right="-30"/>
        <w:jc w:val="both"/>
        <w:rPr>
          <w:rFonts w:ascii="Arial" w:hAnsi="Arial" w:cs="Arial"/>
          <w:highlight w:val="yellow"/>
          <w:lang w:val="es-CO"/>
        </w:rPr>
      </w:pPr>
    </w:p>
    <w:p w14:paraId="60E9BCCB" w14:textId="77777777" w:rsidR="00B2442D" w:rsidRDefault="008A645F">
      <w:pPr>
        <w:pStyle w:val="Textoindependiente"/>
        <w:spacing w:line="40" w:lineRule="atLeast"/>
        <w:ind w:right="-30"/>
        <w:rPr>
          <w:rFonts w:cs="Arial"/>
          <w:b/>
          <w:lang w:val="es-CO"/>
        </w:rPr>
      </w:pPr>
      <w:r>
        <w:rPr>
          <w:rFonts w:cs="Arial"/>
          <w:b/>
          <w:lang w:val="es-CO"/>
        </w:rPr>
        <w:t>IMPUESTO</w:t>
      </w:r>
      <w:r>
        <w:rPr>
          <w:rFonts w:cs="Arial"/>
          <w:b/>
          <w:spacing w:val="-12"/>
          <w:lang w:val="es-CO"/>
        </w:rPr>
        <w:t xml:space="preserve"> </w:t>
      </w:r>
      <w:r>
        <w:rPr>
          <w:rFonts w:cs="Arial"/>
          <w:b/>
          <w:lang w:val="es-CO"/>
        </w:rPr>
        <w:t>A</w:t>
      </w:r>
      <w:r>
        <w:rPr>
          <w:rFonts w:cs="Arial"/>
          <w:b/>
          <w:spacing w:val="14"/>
          <w:lang w:val="es-CO"/>
        </w:rPr>
        <w:t xml:space="preserve"> </w:t>
      </w:r>
      <w:r>
        <w:rPr>
          <w:rFonts w:cs="Arial"/>
          <w:b/>
          <w:lang w:val="es-CO"/>
        </w:rPr>
        <w:t>LA</w:t>
      </w:r>
      <w:r>
        <w:rPr>
          <w:rFonts w:cs="Arial"/>
          <w:b/>
          <w:spacing w:val="-7"/>
          <w:lang w:val="es-CO"/>
        </w:rPr>
        <w:t xml:space="preserve"> </w:t>
      </w:r>
      <w:r>
        <w:rPr>
          <w:rFonts w:cs="Arial"/>
          <w:b/>
          <w:lang w:val="es-CO"/>
        </w:rPr>
        <w:t>RIQUEZA</w:t>
      </w:r>
      <w:r>
        <w:rPr>
          <w:rFonts w:cs="Arial"/>
          <w:b/>
          <w:spacing w:val="10"/>
          <w:lang w:val="es-CO"/>
        </w:rPr>
        <w:t xml:space="preserve"> </w:t>
      </w:r>
      <w:r>
        <w:rPr>
          <w:rFonts w:cs="Arial"/>
          <w:b/>
          <w:lang w:val="es-CO"/>
        </w:rPr>
        <w:t>E</w:t>
      </w:r>
      <w:r>
        <w:rPr>
          <w:rFonts w:cs="Arial"/>
          <w:b/>
          <w:spacing w:val="-9"/>
          <w:lang w:val="es-CO"/>
        </w:rPr>
        <w:t xml:space="preserve"> </w:t>
      </w:r>
      <w:r>
        <w:rPr>
          <w:rFonts w:cs="Arial"/>
          <w:b/>
          <w:lang w:val="es-CO"/>
        </w:rPr>
        <w:t>IMPUESTO</w:t>
      </w:r>
      <w:r>
        <w:rPr>
          <w:rFonts w:cs="Arial"/>
          <w:b/>
          <w:spacing w:val="4"/>
          <w:lang w:val="es-CO"/>
        </w:rPr>
        <w:t xml:space="preserve"> </w:t>
      </w:r>
      <w:r>
        <w:rPr>
          <w:rFonts w:cs="Arial"/>
          <w:b/>
          <w:lang w:val="es-CO"/>
        </w:rPr>
        <w:t>COMPLEMENTARIO</w:t>
      </w:r>
      <w:r>
        <w:rPr>
          <w:rFonts w:cs="Arial"/>
          <w:b/>
          <w:spacing w:val="40"/>
          <w:lang w:val="es-CO"/>
        </w:rPr>
        <w:t xml:space="preserve"> </w:t>
      </w:r>
      <w:r>
        <w:rPr>
          <w:rFonts w:cs="Arial"/>
          <w:b/>
          <w:lang w:val="es-CO"/>
        </w:rPr>
        <w:t>DE NORMALIZACIÓN</w:t>
      </w:r>
      <w:r>
        <w:rPr>
          <w:rFonts w:cs="Arial"/>
          <w:b/>
          <w:spacing w:val="16"/>
          <w:lang w:val="es-CO"/>
        </w:rPr>
        <w:t xml:space="preserve"> </w:t>
      </w:r>
      <w:r>
        <w:rPr>
          <w:rFonts w:cs="Arial"/>
          <w:b/>
          <w:lang w:val="es-CO"/>
        </w:rPr>
        <w:t>TRIBUTARIA</w:t>
      </w:r>
      <w:r>
        <w:rPr>
          <w:rFonts w:cs="Arial"/>
          <w:b/>
          <w:spacing w:val="18"/>
          <w:lang w:val="es-CO"/>
        </w:rPr>
        <w:t xml:space="preserve"> </w:t>
      </w:r>
      <w:r>
        <w:rPr>
          <w:rFonts w:cs="Arial"/>
          <w:b/>
          <w:lang w:val="es-CO"/>
        </w:rPr>
        <w:t>AL</w:t>
      </w:r>
      <w:r>
        <w:rPr>
          <w:rFonts w:cs="Arial"/>
          <w:b/>
          <w:spacing w:val="11"/>
          <w:lang w:val="es-CO"/>
        </w:rPr>
        <w:t xml:space="preserve"> </w:t>
      </w:r>
      <w:r>
        <w:rPr>
          <w:rFonts w:cs="Arial"/>
          <w:b/>
          <w:lang w:val="es-CO"/>
        </w:rPr>
        <w:t>IMPUESTO</w:t>
      </w:r>
      <w:r>
        <w:rPr>
          <w:rFonts w:cs="Arial"/>
          <w:b/>
          <w:spacing w:val="1"/>
          <w:lang w:val="es-CO"/>
        </w:rPr>
        <w:t xml:space="preserve"> </w:t>
      </w:r>
      <w:r>
        <w:rPr>
          <w:rFonts w:cs="Arial"/>
          <w:b/>
          <w:lang w:val="es-CO"/>
        </w:rPr>
        <w:t>A</w:t>
      </w:r>
      <w:r>
        <w:rPr>
          <w:rFonts w:cs="Arial"/>
          <w:b/>
          <w:spacing w:val="18"/>
          <w:lang w:val="es-CO"/>
        </w:rPr>
        <w:t xml:space="preserve"> </w:t>
      </w:r>
      <w:r>
        <w:rPr>
          <w:rFonts w:cs="Arial"/>
          <w:b/>
          <w:lang w:val="es-CO"/>
        </w:rPr>
        <w:t>LA</w:t>
      </w:r>
      <w:r>
        <w:rPr>
          <w:rFonts w:cs="Arial"/>
          <w:b/>
          <w:spacing w:val="-3"/>
          <w:lang w:val="es-CO"/>
        </w:rPr>
        <w:t xml:space="preserve"> </w:t>
      </w:r>
      <w:r>
        <w:rPr>
          <w:rFonts w:cs="Arial"/>
          <w:b/>
          <w:lang w:val="es-CO"/>
        </w:rPr>
        <w:t>RIQUEZA</w:t>
      </w:r>
    </w:p>
    <w:p w14:paraId="01FC99D5" w14:textId="77777777" w:rsidR="00B2442D" w:rsidRDefault="00B2442D">
      <w:pPr>
        <w:spacing w:line="40" w:lineRule="atLeast"/>
        <w:ind w:right="-30"/>
        <w:jc w:val="both"/>
        <w:rPr>
          <w:rFonts w:ascii="Arial" w:hAnsi="Arial" w:cs="Arial"/>
          <w:lang w:val="es-CO"/>
        </w:rPr>
      </w:pPr>
    </w:p>
    <w:p w14:paraId="52A62AF0" w14:textId="77777777" w:rsidR="00B2442D" w:rsidRDefault="008A645F">
      <w:pPr>
        <w:pStyle w:val="Textoindependiente"/>
        <w:numPr>
          <w:ilvl w:val="0"/>
          <w:numId w:val="152"/>
        </w:numPr>
        <w:tabs>
          <w:tab w:val="left" w:pos="523"/>
        </w:tabs>
        <w:spacing w:line="40" w:lineRule="atLeast"/>
        <w:ind w:left="0" w:right="-30" w:firstLine="0"/>
        <w:jc w:val="both"/>
        <w:rPr>
          <w:rFonts w:cs="Arial"/>
          <w:highlight w:val="yellow"/>
          <w:lang w:val="es-CO"/>
        </w:rPr>
      </w:pPr>
      <w:r>
        <w:rPr>
          <w:rFonts w:cs="Arial"/>
          <w:b/>
          <w:i/>
          <w:lang w:val="es-CO"/>
        </w:rPr>
        <w:t>Plazo</w:t>
      </w:r>
      <w:r>
        <w:rPr>
          <w:rFonts w:cs="Arial"/>
          <w:b/>
          <w:i/>
          <w:spacing w:val="18"/>
          <w:lang w:val="es-CO"/>
        </w:rPr>
        <w:t xml:space="preserve"> </w:t>
      </w:r>
      <w:r>
        <w:rPr>
          <w:rFonts w:cs="Arial"/>
          <w:b/>
          <w:i/>
          <w:lang w:val="es-CO"/>
        </w:rPr>
        <w:t>para</w:t>
      </w:r>
      <w:r>
        <w:rPr>
          <w:rFonts w:cs="Arial"/>
          <w:b/>
          <w:i/>
          <w:spacing w:val="12"/>
          <w:lang w:val="es-CO"/>
        </w:rPr>
        <w:t xml:space="preserve"> </w:t>
      </w:r>
      <w:r>
        <w:rPr>
          <w:rFonts w:cs="Arial"/>
          <w:b/>
          <w:i/>
          <w:lang w:val="es-CO"/>
        </w:rPr>
        <w:t>declarar</w:t>
      </w:r>
      <w:r>
        <w:rPr>
          <w:rFonts w:cs="Arial"/>
          <w:b/>
          <w:i/>
          <w:spacing w:val="10"/>
          <w:lang w:val="es-CO"/>
        </w:rPr>
        <w:t xml:space="preserve"> </w:t>
      </w:r>
      <w:r>
        <w:rPr>
          <w:rFonts w:cs="Arial"/>
          <w:b/>
          <w:i/>
          <w:lang w:val="es-CO"/>
        </w:rPr>
        <w:t>y</w:t>
      </w:r>
      <w:r>
        <w:rPr>
          <w:rFonts w:cs="Arial"/>
          <w:b/>
          <w:i/>
          <w:spacing w:val="16"/>
          <w:lang w:val="es-CO"/>
        </w:rPr>
        <w:t xml:space="preserve"> </w:t>
      </w:r>
      <w:r>
        <w:rPr>
          <w:rFonts w:cs="Arial"/>
          <w:b/>
          <w:i/>
          <w:lang w:val="es-CO"/>
        </w:rPr>
        <w:t>pagar</w:t>
      </w:r>
      <w:r>
        <w:rPr>
          <w:rFonts w:cs="Arial"/>
          <w:b/>
          <w:i/>
          <w:spacing w:val="12"/>
          <w:lang w:val="es-CO"/>
        </w:rPr>
        <w:t xml:space="preserve"> </w:t>
      </w:r>
      <w:r>
        <w:rPr>
          <w:rFonts w:cs="Arial"/>
          <w:b/>
          <w:i/>
          <w:lang w:val="es-CO"/>
        </w:rPr>
        <w:t>el</w:t>
      </w:r>
      <w:r>
        <w:rPr>
          <w:rFonts w:cs="Arial"/>
          <w:b/>
          <w:i/>
          <w:spacing w:val="-7"/>
          <w:lang w:val="es-CO"/>
        </w:rPr>
        <w:t xml:space="preserve"> </w:t>
      </w:r>
      <w:r>
        <w:rPr>
          <w:rFonts w:cs="Arial"/>
          <w:b/>
          <w:i/>
          <w:lang w:val="es-CO"/>
        </w:rPr>
        <w:t>impuesto</w:t>
      </w:r>
      <w:r>
        <w:rPr>
          <w:rFonts w:cs="Arial"/>
          <w:b/>
          <w:i/>
          <w:spacing w:val="3"/>
          <w:lang w:val="es-CO"/>
        </w:rPr>
        <w:t xml:space="preserve"> </w:t>
      </w:r>
      <w:r>
        <w:rPr>
          <w:rFonts w:cs="Arial"/>
          <w:b/>
          <w:i/>
          <w:lang w:val="es-CO"/>
        </w:rPr>
        <w:t>a</w:t>
      </w:r>
      <w:r>
        <w:rPr>
          <w:rFonts w:cs="Arial"/>
          <w:b/>
          <w:i/>
          <w:spacing w:val="19"/>
          <w:lang w:val="es-CO"/>
        </w:rPr>
        <w:t xml:space="preserve"> </w:t>
      </w:r>
      <w:r>
        <w:rPr>
          <w:rFonts w:cs="Arial"/>
          <w:b/>
          <w:i/>
          <w:lang w:val="es-CO"/>
        </w:rPr>
        <w:t>la</w:t>
      </w:r>
      <w:r>
        <w:rPr>
          <w:rFonts w:cs="Arial"/>
          <w:b/>
          <w:i/>
          <w:spacing w:val="-2"/>
          <w:lang w:val="es-CO"/>
        </w:rPr>
        <w:t xml:space="preserve"> </w:t>
      </w:r>
      <w:r>
        <w:rPr>
          <w:rFonts w:cs="Arial"/>
          <w:b/>
          <w:i/>
          <w:lang w:val="es-CO"/>
        </w:rPr>
        <w:t>riqueza</w:t>
      </w:r>
      <w:r>
        <w:rPr>
          <w:rFonts w:cs="Arial"/>
          <w:b/>
          <w:i/>
          <w:w w:val="99"/>
          <w:lang w:val="es-CO"/>
        </w:rPr>
        <w:t xml:space="preserve"> </w:t>
      </w:r>
      <w:r>
        <w:rPr>
          <w:rFonts w:cs="Arial"/>
          <w:b/>
          <w:i/>
          <w:lang w:val="es-CO"/>
        </w:rPr>
        <w:t>e impuesto complementario de normalización tributaria al impuesto</w:t>
      </w:r>
      <w:r>
        <w:rPr>
          <w:rFonts w:cs="Arial"/>
          <w:b/>
          <w:i/>
          <w:spacing w:val="4"/>
          <w:lang w:val="es-CO"/>
        </w:rPr>
        <w:t xml:space="preserve"> </w:t>
      </w:r>
      <w:r>
        <w:rPr>
          <w:rFonts w:cs="Arial"/>
          <w:b/>
          <w:i/>
          <w:lang w:val="es-CO"/>
        </w:rPr>
        <w:t>a</w:t>
      </w:r>
      <w:r>
        <w:rPr>
          <w:rFonts w:cs="Arial"/>
          <w:b/>
          <w:i/>
          <w:spacing w:val="32"/>
          <w:lang w:val="es-CO"/>
        </w:rPr>
        <w:t xml:space="preserve"> </w:t>
      </w:r>
      <w:r>
        <w:rPr>
          <w:rFonts w:cs="Arial"/>
          <w:b/>
          <w:i/>
          <w:lang w:val="es-CO"/>
        </w:rPr>
        <w:t>la</w:t>
      </w:r>
      <w:r>
        <w:rPr>
          <w:rFonts w:cs="Arial"/>
          <w:b/>
          <w:i/>
          <w:spacing w:val="11"/>
          <w:lang w:val="es-CO"/>
        </w:rPr>
        <w:t xml:space="preserve"> </w:t>
      </w:r>
      <w:r>
        <w:rPr>
          <w:rFonts w:cs="Arial"/>
          <w:b/>
          <w:i/>
          <w:lang w:val="es-CO"/>
        </w:rPr>
        <w:t>riqueza.</w:t>
      </w:r>
      <w:r>
        <w:rPr>
          <w:rFonts w:cs="Arial"/>
          <w:spacing w:val="23"/>
          <w:lang w:val="es-CO"/>
        </w:rPr>
        <w:t xml:space="preserve"> </w:t>
      </w:r>
      <w:r>
        <w:rPr>
          <w:rFonts w:cs="Arial"/>
          <w:lang w:val="es-CO"/>
        </w:rPr>
        <w:t xml:space="preserve">El plazo para presentar la declaración del impuesto a la riqueza año gravable 2017 y su complementario de Normalización Tributaria y para </w:t>
      </w:r>
      <w:r>
        <w:rPr>
          <w:rFonts w:cs="Arial"/>
          <w:lang w:val="es-CO"/>
        </w:rPr>
        <w:t>cancelar en dos (2) cuotas iguales el valor a pagar por este impuesto, vence en las fechas que se indican a continuación, atendiendo el último dígito del NIT del declarante que conste en el certificado del Registro Único Tributario - RUT, sin tener en cuen</w:t>
      </w:r>
      <w:r>
        <w:rPr>
          <w:rFonts w:cs="Arial"/>
          <w:lang w:val="es-CO"/>
        </w:rPr>
        <w:t>ta el dígito de verificación, así:</w:t>
      </w:r>
    </w:p>
    <w:p w14:paraId="4BCA199F" w14:textId="77777777" w:rsidR="00B2442D" w:rsidRDefault="00B2442D">
      <w:pPr>
        <w:spacing w:line="40" w:lineRule="atLeast"/>
        <w:ind w:right="-30"/>
        <w:jc w:val="both"/>
        <w:rPr>
          <w:rFonts w:ascii="Arial" w:eastAsia="Arial" w:hAnsi="Arial" w:cs="Arial"/>
          <w:w w:val="105"/>
          <w:highlight w:val="yellow"/>
          <w:lang w:val="es-CO"/>
        </w:rPr>
      </w:pPr>
    </w:p>
    <w:p w14:paraId="2345D0D7" w14:textId="77777777" w:rsidR="00B2442D" w:rsidRDefault="00B2442D">
      <w:pPr>
        <w:autoSpaceDE w:val="0"/>
        <w:autoSpaceDN w:val="0"/>
        <w:adjustRightInd w:val="0"/>
        <w:spacing w:line="40" w:lineRule="atLeast"/>
        <w:ind w:left="720"/>
        <w:rPr>
          <w:rFonts w:ascii="Arial" w:hAnsi="Arial" w:cs="Arial"/>
          <w:b/>
          <w:bCs/>
          <w:color w:val="000000"/>
          <w:sz w:val="22"/>
          <w:szCs w:val="22"/>
          <w:lang w:val="es-CO" w:eastAsia="es-CO"/>
        </w:rPr>
      </w:pPr>
    </w:p>
    <w:p w14:paraId="4869870C" w14:textId="77777777" w:rsidR="00B2442D" w:rsidRDefault="008A645F">
      <w:pPr>
        <w:ind w:left="720"/>
        <w:rPr>
          <w:rFonts w:ascii="Arial" w:hAnsi="Arial" w:cs="Arial"/>
          <w:b/>
          <w:bCs/>
          <w:color w:val="000000"/>
          <w:lang w:val="es-CO" w:eastAsia="es-CO"/>
        </w:rPr>
      </w:pPr>
      <w:r>
        <w:rPr>
          <w:rFonts w:ascii="Arial" w:hAnsi="Arial" w:cs="Arial"/>
          <w:b/>
          <w:bCs/>
          <w:color w:val="000000"/>
          <w:lang w:val="es-CO" w:eastAsia="es-CO"/>
        </w:rPr>
        <w:t xml:space="preserve">                      DECLARACIÓN Y PAGO PRIMERA CUOTA</w:t>
      </w:r>
    </w:p>
    <w:p w14:paraId="136EA104" w14:textId="77777777" w:rsidR="00B2442D" w:rsidRDefault="00B2442D">
      <w:pPr>
        <w:autoSpaceDE w:val="0"/>
        <w:autoSpaceDN w:val="0"/>
        <w:adjustRightInd w:val="0"/>
        <w:spacing w:line="40" w:lineRule="atLeast"/>
        <w:ind w:left="720"/>
        <w:rPr>
          <w:rFonts w:ascii="Arial" w:hAnsi="Arial" w:cs="Arial"/>
          <w:color w:val="000000"/>
          <w:lang w:val="es-CO"/>
        </w:rPr>
      </w:pPr>
    </w:p>
    <w:tbl>
      <w:tblPr>
        <w:tblW w:w="4400" w:type="dxa"/>
        <w:jc w:val="center"/>
        <w:tblCellMar>
          <w:left w:w="70" w:type="dxa"/>
          <w:right w:w="70" w:type="dxa"/>
        </w:tblCellMar>
        <w:tblLook w:val="04A0" w:firstRow="1" w:lastRow="0" w:firstColumn="1" w:lastColumn="0" w:noHBand="0" w:noVBand="1"/>
      </w:tblPr>
      <w:tblGrid>
        <w:gridCol w:w="1200"/>
        <w:gridCol w:w="3200"/>
      </w:tblGrid>
      <w:tr w:rsidR="00B2442D" w14:paraId="5A6BDDCC"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623DF23"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dígito es</w:t>
            </w:r>
          </w:p>
        </w:tc>
        <w:tc>
          <w:tcPr>
            <w:tcW w:w="3200" w:type="dxa"/>
            <w:tcBorders>
              <w:top w:val="single" w:sz="4" w:space="0" w:color="auto"/>
              <w:left w:val="nil"/>
              <w:bottom w:val="single" w:sz="8" w:space="0" w:color="auto"/>
              <w:right w:val="single" w:sz="8" w:space="0" w:color="auto"/>
            </w:tcBorders>
            <w:shd w:val="clear" w:color="000000" w:fill="A6A6A6"/>
            <w:noWrap/>
            <w:vAlign w:val="center"/>
            <w:hideMark/>
          </w:tcPr>
          <w:p w14:paraId="7933FC88"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5B98A50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728C6A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3200" w:type="dxa"/>
            <w:tcBorders>
              <w:top w:val="nil"/>
              <w:left w:val="nil"/>
              <w:bottom w:val="single" w:sz="8" w:space="0" w:color="auto"/>
              <w:right w:val="single" w:sz="8" w:space="0" w:color="auto"/>
            </w:tcBorders>
            <w:shd w:val="clear" w:color="auto" w:fill="auto"/>
            <w:noWrap/>
            <w:vAlign w:val="center"/>
            <w:hideMark/>
          </w:tcPr>
          <w:p w14:paraId="7259016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  9 de mayo de 2017</w:t>
            </w:r>
          </w:p>
        </w:tc>
      </w:tr>
      <w:tr w:rsidR="00B2442D" w14:paraId="763CA62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9FF4C0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3200" w:type="dxa"/>
            <w:tcBorders>
              <w:top w:val="nil"/>
              <w:left w:val="nil"/>
              <w:bottom w:val="single" w:sz="8" w:space="0" w:color="auto"/>
              <w:right w:val="single" w:sz="8" w:space="0" w:color="auto"/>
            </w:tcBorders>
            <w:shd w:val="clear" w:color="auto" w:fill="auto"/>
            <w:noWrap/>
            <w:vAlign w:val="center"/>
            <w:hideMark/>
          </w:tcPr>
          <w:p w14:paraId="22140CD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10 de mayo de 2017</w:t>
            </w:r>
          </w:p>
        </w:tc>
      </w:tr>
      <w:tr w:rsidR="00B2442D" w14:paraId="410034C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FC0475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3200" w:type="dxa"/>
            <w:tcBorders>
              <w:top w:val="nil"/>
              <w:left w:val="nil"/>
              <w:bottom w:val="single" w:sz="8" w:space="0" w:color="auto"/>
              <w:right w:val="single" w:sz="8" w:space="0" w:color="auto"/>
            </w:tcBorders>
            <w:shd w:val="clear" w:color="auto" w:fill="auto"/>
            <w:noWrap/>
            <w:vAlign w:val="center"/>
            <w:hideMark/>
          </w:tcPr>
          <w:p w14:paraId="5E7EC95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mayo de 2017</w:t>
            </w:r>
          </w:p>
        </w:tc>
      </w:tr>
      <w:tr w:rsidR="00B2442D" w14:paraId="51C8491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FF4918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3200" w:type="dxa"/>
            <w:tcBorders>
              <w:top w:val="nil"/>
              <w:left w:val="nil"/>
              <w:bottom w:val="single" w:sz="8" w:space="0" w:color="auto"/>
              <w:right w:val="single" w:sz="8" w:space="0" w:color="auto"/>
            </w:tcBorders>
            <w:shd w:val="clear" w:color="auto" w:fill="auto"/>
            <w:noWrap/>
            <w:vAlign w:val="center"/>
            <w:hideMark/>
          </w:tcPr>
          <w:p w14:paraId="247FB17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mayo de 2017</w:t>
            </w:r>
          </w:p>
        </w:tc>
      </w:tr>
      <w:tr w:rsidR="00B2442D" w14:paraId="054B486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BA90B4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3200" w:type="dxa"/>
            <w:tcBorders>
              <w:top w:val="nil"/>
              <w:left w:val="nil"/>
              <w:bottom w:val="single" w:sz="8" w:space="0" w:color="auto"/>
              <w:right w:val="single" w:sz="8" w:space="0" w:color="auto"/>
            </w:tcBorders>
            <w:shd w:val="clear" w:color="auto" w:fill="auto"/>
            <w:noWrap/>
            <w:vAlign w:val="center"/>
            <w:hideMark/>
          </w:tcPr>
          <w:p w14:paraId="6F21F89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mayo de 2017</w:t>
            </w:r>
          </w:p>
        </w:tc>
      </w:tr>
      <w:tr w:rsidR="00B2442D" w14:paraId="31D6E4C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252EB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3200" w:type="dxa"/>
            <w:tcBorders>
              <w:top w:val="nil"/>
              <w:left w:val="nil"/>
              <w:bottom w:val="single" w:sz="8" w:space="0" w:color="auto"/>
              <w:right w:val="single" w:sz="8" w:space="0" w:color="auto"/>
            </w:tcBorders>
            <w:shd w:val="clear" w:color="auto" w:fill="auto"/>
            <w:noWrap/>
            <w:vAlign w:val="center"/>
            <w:hideMark/>
          </w:tcPr>
          <w:p w14:paraId="117E357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16 de </w:t>
            </w:r>
            <w:r>
              <w:rPr>
                <w:rFonts w:ascii="Arial" w:hAnsi="Arial" w:cs="Arial"/>
                <w:color w:val="000000"/>
                <w:sz w:val="22"/>
                <w:szCs w:val="22"/>
                <w:lang w:val="es-CO" w:eastAsia="es-CO"/>
              </w:rPr>
              <w:t>mayo de 2017</w:t>
            </w:r>
          </w:p>
        </w:tc>
      </w:tr>
      <w:tr w:rsidR="00B2442D" w14:paraId="3D56323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C13CDD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3200" w:type="dxa"/>
            <w:tcBorders>
              <w:top w:val="nil"/>
              <w:left w:val="nil"/>
              <w:bottom w:val="single" w:sz="8" w:space="0" w:color="auto"/>
              <w:right w:val="single" w:sz="8" w:space="0" w:color="auto"/>
            </w:tcBorders>
            <w:shd w:val="clear" w:color="auto" w:fill="auto"/>
            <w:noWrap/>
            <w:vAlign w:val="center"/>
            <w:hideMark/>
          </w:tcPr>
          <w:p w14:paraId="3ECC43E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mayo de 2017</w:t>
            </w:r>
          </w:p>
        </w:tc>
      </w:tr>
      <w:tr w:rsidR="00B2442D" w14:paraId="2CDB927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ED02E8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3200" w:type="dxa"/>
            <w:tcBorders>
              <w:top w:val="nil"/>
              <w:left w:val="nil"/>
              <w:bottom w:val="single" w:sz="8" w:space="0" w:color="auto"/>
              <w:right w:val="single" w:sz="8" w:space="0" w:color="auto"/>
            </w:tcBorders>
            <w:shd w:val="clear" w:color="auto" w:fill="auto"/>
            <w:noWrap/>
            <w:vAlign w:val="center"/>
            <w:hideMark/>
          </w:tcPr>
          <w:p w14:paraId="0396021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mayo de 2017</w:t>
            </w:r>
          </w:p>
        </w:tc>
      </w:tr>
      <w:tr w:rsidR="00B2442D" w14:paraId="648BE63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E8E8BB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3200" w:type="dxa"/>
            <w:tcBorders>
              <w:top w:val="nil"/>
              <w:left w:val="nil"/>
              <w:bottom w:val="single" w:sz="8" w:space="0" w:color="auto"/>
              <w:right w:val="single" w:sz="8" w:space="0" w:color="auto"/>
            </w:tcBorders>
            <w:shd w:val="clear" w:color="auto" w:fill="auto"/>
            <w:noWrap/>
            <w:vAlign w:val="center"/>
            <w:hideMark/>
          </w:tcPr>
          <w:p w14:paraId="3D93A77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mayo de 2017</w:t>
            </w:r>
          </w:p>
        </w:tc>
      </w:tr>
      <w:tr w:rsidR="00B2442D" w14:paraId="1D42B47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60C3E2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3200" w:type="dxa"/>
            <w:tcBorders>
              <w:top w:val="nil"/>
              <w:left w:val="nil"/>
              <w:bottom w:val="single" w:sz="8" w:space="0" w:color="auto"/>
              <w:right w:val="single" w:sz="8" w:space="0" w:color="auto"/>
            </w:tcBorders>
            <w:shd w:val="clear" w:color="auto" w:fill="auto"/>
            <w:noWrap/>
            <w:vAlign w:val="center"/>
            <w:hideMark/>
          </w:tcPr>
          <w:p w14:paraId="7EB9140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22 de mayo de 2017</w:t>
            </w:r>
          </w:p>
        </w:tc>
      </w:tr>
    </w:tbl>
    <w:p w14:paraId="23127514" w14:textId="77777777" w:rsidR="00B2442D" w:rsidRDefault="00B2442D">
      <w:pPr>
        <w:autoSpaceDE w:val="0"/>
        <w:autoSpaceDN w:val="0"/>
        <w:adjustRightInd w:val="0"/>
        <w:spacing w:line="40" w:lineRule="atLeast"/>
        <w:ind w:left="720"/>
        <w:jc w:val="center"/>
        <w:rPr>
          <w:rFonts w:ascii="Arial" w:hAnsi="Arial" w:cs="Arial"/>
          <w:b/>
          <w:color w:val="000000"/>
        </w:rPr>
      </w:pPr>
    </w:p>
    <w:p w14:paraId="1622420E" w14:textId="77777777" w:rsidR="00B2442D" w:rsidRDefault="008A645F">
      <w:pPr>
        <w:autoSpaceDE w:val="0"/>
        <w:autoSpaceDN w:val="0"/>
        <w:adjustRightInd w:val="0"/>
        <w:spacing w:line="40" w:lineRule="atLeast"/>
        <w:ind w:left="720"/>
        <w:rPr>
          <w:rFonts w:ascii="Arial" w:hAnsi="Arial" w:cs="Arial"/>
          <w:b/>
          <w:color w:val="000000"/>
        </w:rPr>
      </w:pPr>
      <w:r>
        <w:rPr>
          <w:rFonts w:ascii="Arial" w:hAnsi="Arial" w:cs="Arial"/>
          <w:b/>
          <w:color w:val="000000"/>
        </w:rPr>
        <w:t xml:space="preserve">                                      PAGO SEGUNDA CUOTA</w:t>
      </w:r>
    </w:p>
    <w:p w14:paraId="3B4CD8FF" w14:textId="77777777" w:rsidR="00B2442D" w:rsidRDefault="00B2442D">
      <w:pPr>
        <w:autoSpaceDE w:val="0"/>
        <w:autoSpaceDN w:val="0"/>
        <w:adjustRightInd w:val="0"/>
        <w:spacing w:line="40" w:lineRule="atLeast"/>
        <w:ind w:left="720"/>
        <w:rPr>
          <w:rFonts w:ascii="Arial" w:hAnsi="Arial" w:cs="Arial"/>
          <w:b/>
          <w:color w:val="000000"/>
        </w:rPr>
      </w:pPr>
    </w:p>
    <w:tbl>
      <w:tblPr>
        <w:tblW w:w="4400" w:type="dxa"/>
        <w:jc w:val="center"/>
        <w:tblCellMar>
          <w:left w:w="70" w:type="dxa"/>
          <w:right w:w="70" w:type="dxa"/>
        </w:tblCellMar>
        <w:tblLook w:val="04A0" w:firstRow="1" w:lastRow="0" w:firstColumn="1" w:lastColumn="0" w:noHBand="0" w:noVBand="1"/>
      </w:tblPr>
      <w:tblGrid>
        <w:gridCol w:w="1200"/>
        <w:gridCol w:w="3200"/>
      </w:tblGrid>
      <w:tr w:rsidR="00B2442D" w14:paraId="0DD2AE4C"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E2D742C"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dígito es</w:t>
            </w:r>
          </w:p>
        </w:tc>
        <w:tc>
          <w:tcPr>
            <w:tcW w:w="3200" w:type="dxa"/>
            <w:tcBorders>
              <w:top w:val="single" w:sz="4" w:space="0" w:color="auto"/>
              <w:left w:val="nil"/>
              <w:bottom w:val="single" w:sz="8" w:space="0" w:color="auto"/>
              <w:right w:val="single" w:sz="8" w:space="0" w:color="auto"/>
            </w:tcBorders>
            <w:shd w:val="clear" w:color="000000" w:fill="A6A6A6"/>
            <w:noWrap/>
            <w:vAlign w:val="center"/>
            <w:hideMark/>
          </w:tcPr>
          <w:p w14:paraId="00CE850B"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08214E6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6754F0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3200" w:type="dxa"/>
            <w:tcBorders>
              <w:top w:val="nil"/>
              <w:left w:val="nil"/>
              <w:bottom w:val="single" w:sz="8" w:space="0" w:color="auto"/>
              <w:right w:val="single" w:sz="8" w:space="0" w:color="auto"/>
            </w:tcBorders>
            <w:shd w:val="clear" w:color="auto" w:fill="auto"/>
            <w:noWrap/>
            <w:vAlign w:val="center"/>
          </w:tcPr>
          <w:p w14:paraId="3D65DEC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  de Septiembre de 2017</w:t>
            </w:r>
          </w:p>
        </w:tc>
      </w:tr>
      <w:tr w:rsidR="00B2442D" w14:paraId="69B240F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0CA209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3200" w:type="dxa"/>
            <w:tcBorders>
              <w:top w:val="nil"/>
              <w:left w:val="nil"/>
              <w:bottom w:val="single" w:sz="8" w:space="0" w:color="auto"/>
              <w:right w:val="single" w:sz="8" w:space="0" w:color="auto"/>
            </w:tcBorders>
            <w:shd w:val="clear" w:color="auto" w:fill="auto"/>
            <w:noWrap/>
            <w:vAlign w:val="center"/>
          </w:tcPr>
          <w:p w14:paraId="6550D96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Septiembre de 2017</w:t>
            </w:r>
          </w:p>
        </w:tc>
      </w:tr>
      <w:tr w:rsidR="00B2442D" w14:paraId="33613F0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673B15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3200" w:type="dxa"/>
            <w:tcBorders>
              <w:top w:val="nil"/>
              <w:left w:val="nil"/>
              <w:bottom w:val="single" w:sz="4" w:space="0" w:color="auto"/>
              <w:right w:val="single" w:sz="8" w:space="0" w:color="auto"/>
            </w:tcBorders>
            <w:shd w:val="clear" w:color="auto" w:fill="auto"/>
            <w:noWrap/>
            <w:vAlign w:val="center"/>
          </w:tcPr>
          <w:p w14:paraId="4F66BCA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Septiembre de 2017</w:t>
            </w:r>
          </w:p>
        </w:tc>
      </w:tr>
      <w:tr w:rsidR="00B2442D" w14:paraId="7535911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BC6F0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3200" w:type="dxa"/>
            <w:tcBorders>
              <w:top w:val="single" w:sz="4" w:space="0" w:color="auto"/>
              <w:left w:val="nil"/>
              <w:bottom w:val="single" w:sz="8" w:space="0" w:color="auto"/>
              <w:right w:val="single" w:sz="8" w:space="0" w:color="auto"/>
            </w:tcBorders>
            <w:shd w:val="clear" w:color="auto" w:fill="auto"/>
            <w:noWrap/>
            <w:vAlign w:val="center"/>
          </w:tcPr>
          <w:p w14:paraId="3BFD085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13 de Septiembre de 2017</w:t>
            </w:r>
          </w:p>
        </w:tc>
      </w:tr>
      <w:tr w:rsidR="00B2442D" w14:paraId="24EC16B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30B6AD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3200" w:type="dxa"/>
            <w:tcBorders>
              <w:top w:val="single" w:sz="8" w:space="0" w:color="auto"/>
              <w:left w:val="nil"/>
              <w:bottom w:val="single" w:sz="8" w:space="0" w:color="auto"/>
              <w:right w:val="single" w:sz="8" w:space="0" w:color="auto"/>
            </w:tcBorders>
            <w:shd w:val="clear" w:color="auto" w:fill="auto"/>
            <w:noWrap/>
            <w:vAlign w:val="center"/>
          </w:tcPr>
          <w:p w14:paraId="080E3AA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14 de Septiembre de 2017</w:t>
            </w:r>
          </w:p>
        </w:tc>
      </w:tr>
      <w:tr w:rsidR="00B2442D" w14:paraId="5C16A56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031523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3200" w:type="dxa"/>
            <w:tcBorders>
              <w:top w:val="single" w:sz="8" w:space="0" w:color="auto"/>
              <w:left w:val="nil"/>
              <w:bottom w:val="single" w:sz="4" w:space="0" w:color="auto"/>
              <w:right w:val="single" w:sz="8" w:space="0" w:color="auto"/>
            </w:tcBorders>
            <w:shd w:val="clear" w:color="auto" w:fill="auto"/>
            <w:noWrap/>
            <w:vAlign w:val="center"/>
          </w:tcPr>
          <w:p w14:paraId="4F2BBDA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Septiembre de 2017</w:t>
            </w:r>
          </w:p>
        </w:tc>
      </w:tr>
      <w:tr w:rsidR="00B2442D" w14:paraId="3CCCD1F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BD51B9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3200" w:type="dxa"/>
            <w:tcBorders>
              <w:top w:val="single" w:sz="4" w:space="0" w:color="auto"/>
              <w:left w:val="nil"/>
              <w:bottom w:val="single" w:sz="8" w:space="0" w:color="auto"/>
              <w:right w:val="single" w:sz="8" w:space="0" w:color="auto"/>
            </w:tcBorders>
            <w:shd w:val="clear" w:color="auto" w:fill="auto"/>
            <w:noWrap/>
            <w:vAlign w:val="center"/>
          </w:tcPr>
          <w:p w14:paraId="698F62C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Septiembre de 2017</w:t>
            </w:r>
          </w:p>
        </w:tc>
      </w:tr>
      <w:tr w:rsidR="00B2442D" w14:paraId="52F28FF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8A0E07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3200" w:type="dxa"/>
            <w:tcBorders>
              <w:top w:val="single" w:sz="8" w:space="0" w:color="auto"/>
              <w:left w:val="nil"/>
              <w:bottom w:val="single" w:sz="8" w:space="0" w:color="auto"/>
              <w:right w:val="single" w:sz="8" w:space="0" w:color="auto"/>
            </w:tcBorders>
            <w:shd w:val="clear" w:color="auto" w:fill="auto"/>
            <w:noWrap/>
            <w:vAlign w:val="center"/>
          </w:tcPr>
          <w:p w14:paraId="6ED0950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Septiembre de 2017</w:t>
            </w:r>
          </w:p>
        </w:tc>
      </w:tr>
      <w:tr w:rsidR="00B2442D" w14:paraId="116DE5F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E8A40A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3200" w:type="dxa"/>
            <w:tcBorders>
              <w:top w:val="single" w:sz="8" w:space="0" w:color="auto"/>
              <w:left w:val="nil"/>
              <w:bottom w:val="single" w:sz="8" w:space="0" w:color="auto"/>
              <w:right w:val="single" w:sz="8" w:space="0" w:color="auto"/>
            </w:tcBorders>
            <w:shd w:val="clear" w:color="auto" w:fill="auto"/>
            <w:noWrap/>
            <w:vAlign w:val="center"/>
          </w:tcPr>
          <w:p w14:paraId="58DF813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20 de Septiembre de 2017</w:t>
            </w:r>
          </w:p>
        </w:tc>
      </w:tr>
      <w:tr w:rsidR="00B2442D" w14:paraId="62F0403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01B0DC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3200" w:type="dxa"/>
            <w:tcBorders>
              <w:top w:val="single" w:sz="8" w:space="0" w:color="auto"/>
              <w:left w:val="nil"/>
              <w:bottom w:val="single" w:sz="4" w:space="0" w:color="auto"/>
              <w:right w:val="single" w:sz="8" w:space="0" w:color="auto"/>
            </w:tcBorders>
            <w:shd w:val="clear" w:color="auto" w:fill="auto"/>
            <w:noWrap/>
            <w:vAlign w:val="center"/>
          </w:tcPr>
          <w:p w14:paraId="68ECE3E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21 de Septiembre de 2017</w:t>
            </w:r>
          </w:p>
        </w:tc>
      </w:tr>
    </w:tbl>
    <w:p w14:paraId="35DBED92" w14:textId="77777777" w:rsidR="00B2442D" w:rsidRDefault="00B2442D">
      <w:pPr>
        <w:autoSpaceDE w:val="0"/>
        <w:autoSpaceDN w:val="0"/>
        <w:adjustRightInd w:val="0"/>
        <w:spacing w:line="40" w:lineRule="atLeast"/>
        <w:rPr>
          <w:rFonts w:cs="Arial"/>
          <w:b/>
        </w:rPr>
      </w:pPr>
    </w:p>
    <w:p w14:paraId="5135DC58"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58" w:history="1">
        <w:r>
          <w:rPr>
            <w:rStyle w:val="Hipervnculo"/>
            <w:rFonts w:ascii="Arial" w:hAnsi="Arial" w:cs="Arial"/>
            <w:i/>
          </w:rPr>
          <w:t>Art. 17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w:t>
      </w:r>
      <w:r>
        <w:rPr>
          <w:rFonts w:ascii="Arial" w:hAnsi="Arial" w:cs="Arial"/>
          <w:i/>
          <w:iCs/>
          <w:color w:val="000000"/>
          <w:lang w:val="es-CO" w:eastAsia="es-CO"/>
        </w:rPr>
        <w:t>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1A5301CD" w14:textId="77777777" w:rsidR="00B2442D" w:rsidRDefault="00B2442D">
      <w:pPr>
        <w:pStyle w:val="Textoindependiente"/>
        <w:spacing w:line="40" w:lineRule="atLeast"/>
        <w:ind w:right="-30"/>
        <w:jc w:val="both"/>
        <w:rPr>
          <w:rFonts w:cs="Arial"/>
          <w:lang w:val="es-ES"/>
        </w:rPr>
      </w:pPr>
    </w:p>
    <w:p w14:paraId="7D78C32D" w14:textId="77777777" w:rsidR="00B2442D" w:rsidRDefault="008A645F">
      <w:pPr>
        <w:pStyle w:val="Textoindependiente"/>
        <w:spacing w:line="40" w:lineRule="atLeast"/>
        <w:ind w:right="-30"/>
        <w:jc w:val="center"/>
        <w:rPr>
          <w:rFonts w:cs="Arial"/>
          <w:b/>
          <w:lang w:val="es-CO"/>
        </w:rPr>
      </w:pPr>
      <w:r>
        <w:rPr>
          <w:rFonts w:cs="Arial"/>
          <w:b/>
          <w:lang w:val="es-CO"/>
        </w:rPr>
        <w:t>DECLARACIÓN ANUAL</w:t>
      </w:r>
      <w:r>
        <w:rPr>
          <w:rFonts w:cs="Arial"/>
          <w:b/>
          <w:spacing w:val="26"/>
          <w:lang w:val="es-CO"/>
        </w:rPr>
        <w:t xml:space="preserve"> </w:t>
      </w:r>
      <w:r>
        <w:rPr>
          <w:rFonts w:cs="Arial"/>
          <w:b/>
          <w:lang w:val="es-CO"/>
        </w:rPr>
        <w:t>DE</w:t>
      </w:r>
      <w:r>
        <w:rPr>
          <w:rFonts w:cs="Arial"/>
          <w:b/>
          <w:spacing w:val="-14"/>
          <w:lang w:val="es-CO"/>
        </w:rPr>
        <w:t xml:space="preserve"> </w:t>
      </w:r>
      <w:r>
        <w:rPr>
          <w:rFonts w:cs="Arial"/>
          <w:b/>
          <w:lang w:val="es-CO"/>
        </w:rPr>
        <w:t>ACTIVOS</w:t>
      </w:r>
      <w:r>
        <w:rPr>
          <w:rFonts w:cs="Arial"/>
          <w:b/>
          <w:spacing w:val="40"/>
          <w:lang w:val="es-CO"/>
        </w:rPr>
        <w:t xml:space="preserve"> </w:t>
      </w:r>
      <w:r>
        <w:rPr>
          <w:rFonts w:cs="Arial"/>
          <w:b/>
          <w:lang w:val="es-CO"/>
        </w:rPr>
        <w:t>EN</w:t>
      </w:r>
      <w:r>
        <w:rPr>
          <w:rFonts w:cs="Arial"/>
          <w:b/>
          <w:spacing w:val="-4"/>
          <w:lang w:val="es-CO"/>
        </w:rPr>
        <w:t xml:space="preserve"> </w:t>
      </w:r>
      <w:r>
        <w:rPr>
          <w:rFonts w:cs="Arial"/>
          <w:b/>
          <w:lang w:val="es-CO"/>
        </w:rPr>
        <w:t>EL</w:t>
      </w:r>
      <w:r>
        <w:rPr>
          <w:rFonts w:cs="Arial"/>
          <w:b/>
          <w:spacing w:val="-4"/>
          <w:lang w:val="es-CO"/>
        </w:rPr>
        <w:t xml:space="preserve"> </w:t>
      </w:r>
      <w:r>
        <w:rPr>
          <w:rFonts w:cs="Arial"/>
          <w:b/>
          <w:lang w:val="es-CO"/>
        </w:rPr>
        <w:t>EXTERIOR</w:t>
      </w:r>
    </w:p>
    <w:p w14:paraId="1CE48DE9" w14:textId="77777777" w:rsidR="00B2442D" w:rsidRDefault="00B2442D">
      <w:pPr>
        <w:spacing w:line="40" w:lineRule="atLeast"/>
        <w:ind w:right="-30"/>
        <w:jc w:val="both"/>
        <w:rPr>
          <w:rFonts w:ascii="Arial" w:hAnsi="Arial" w:cs="Arial"/>
          <w:lang w:val="es-CO"/>
        </w:rPr>
      </w:pPr>
    </w:p>
    <w:p w14:paraId="0724E12A"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Plazo para </w:t>
      </w:r>
      <w:r>
        <w:rPr>
          <w:rFonts w:cs="Arial"/>
          <w:b/>
          <w:i/>
          <w:lang w:val="es-CO"/>
        </w:rPr>
        <w:t>presentar la declaración anual de activos</w:t>
      </w:r>
      <w:r>
        <w:rPr>
          <w:rFonts w:cs="Arial"/>
          <w:b/>
          <w:i/>
          <w:spacing w:val="22"/>
          <w:lang w:val="es-CO"/>
        </w:rPr>
        <w:t xml:space="preserve"> </w:t>
      </w:r>
      <w:r>
        <w:rPr>
          <w:rFonts w:cs="Arial"/>
          <w:b/>
          <w:i/>
          <w:lang w:val="es-CO"/>
        </w:rPr>
        <w:t>en</w:t>
      </w:r>
      <w:r>
        <w:rPr>
          <w:rFonts w:cs="Arial"/>
          <w:b/>
          <w:i/>
          <w:spacing w:val="51"/>
          <w:lang w:val="es-CO"/>
        </w:rPr>
        <w:t xml:space="preserve"> </w:t>
      </w:r>
      <w:r>
        <w:rPr>
          <w:rFonts w:cs="Arial"/>
          <w:b/>
          <w:i/>
          <w:lang w:val="es-CO"/>
        </w:rPr>
        <w:t>el</w:t>
      </w:r>
      <w:r>
        <w:rPr>
          <w:rFonts w:cs="Arial"/>
          <w:b/>
          <w:i/>
          <w:spacing w:val="57"/>
          <w:lang w:val="es-CO"/>
        </w:rPr>
        <w:t xml:space="preserve"> </w:t>
      </w:r>
      <w:r>
        <w:rPr>
          <w:rFonts w:cs="Arial"/>
          <w:b/>
          <w:i/>
          <w:lang w:val="es-CO"/>
        </w:rPr>
        <w:t>exterior.</w:t>
      </w:r>
      <w:r>
        <w:rPr>
          <w:rFonts w:cs="Arial"/>
          <w:b/>
          <w:lang w:val="es-CO"/>
        </w:rPr>
        <w:t xml:space="preserve"> </w:t>
      </w:r>
      <w:r>
        <w:rPr>
          <w:rFonts w:cs="Arial"/>
          <w:lang w:val="es-CO"/>
        </w:rPr>
        <w:t xml:space="preserve"> Los plazos para presentar la declaración anual de activos en el exterior, de que trata los artículos 42 y 43 de la Ley 1739 de 2014, vencen en las fechas que se indican a continuación, atendiendo e</w:t>
      </w:r>
      <w:r>
        <w:rPr>
          <w:rFonts w:cs="Arial"/>
          <w:lang w:val="es-CO"/>
        </w:rPr>
        <w:t>l tipo de declarante y el último o dos dígitos del NIT que conste en el certificado del Registro Único Tributario - RUT, sin tener en cuenta el dígito de verificación, así:</w:t>
      </w:r>
    </w:p>
    <w:p w14:paraId="2CDEC09B" w14:textId="77777777" w:rsidR="00B2442D" w:rsidRDefault="00B2442D">
      <w:pPr>
        <w:spacing w:line="40" w:lineRule="atLeast"/>
        <w:ind w:right="-30"/>
        <w:jc w:val="both"/>
        <w:rPr>
          <w:rFonts w:ascii="Arial" w:hAnsi="Arial" w:cs="Arial"/>
          <w:lang w:val="es-CO"/>
        </w:rPr>
      </w:pPr>
    </w:p>
    <w:p w14:paraId="788FC48F" w14:textId="77777777" w:rsidR="00B2442D" w:rsidRDefault="00B2442D">
      <w:pPr>
        <w:spacing w:line="40" w:lineRule="atLeast"/>
        <w:ind w:right="-30"/>
        <w:jc w:val="both"/>
        <w:rPr>
          <w:rFonts w:ascii="Arial" w:hAnsi="Arial" w:cs="Arial"/>
          <w:lang w:val="es-CO"/>
        </w:rPr>
      </w:pPr>
    </w:p>
    <w:p w14:paraId="3E74A260" w14:textId="77777777" w:rsidR="00B2442D" w:rsidRDefault="00B2442D">
      <w:pPr>
        <w:spacing w:line="40" w:lineRule="atLeast"/>
        <w:ind w:right="-30"/>
        <w:jc w:val="both"/>
        <w:rPr>
          <w:rFonts w:ascii="Arial" w:hAnsi="Arial" w:cs="Arial"/>
          <w:lang w:val="es-CO"/>
        </w:rPr>
      </w:pPr>
    </w:p>
    <w:p w14:paraId="1B86239B" w14:textId="77777777" w:rsidR="00B2442D" w:rsidRDefault="00B2442D">
      <w:pPr>
        <w:spacing w:line="40" w:lineRule="atLeast"/>
        <w:ind w:right="-30"/>
        <w:jc w:val="both"/>
        <w:rPr>
          <w:rFonts w:ascii="Arial" w:hAnsi="Arial" w:cs="Arial"/>
          <w:lang w:val="es-CO"/>
        </w:rPr>
      </w:pPr>
    </w:p>
    <w:p w14:paraId="0410A5EA"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i/>
        </w:rPr>
        <w:t xml:space="preserve">Artículo </w:t>
      </w:r>
      <w:r>
        <w:rPr>
          <w:rFonts w:ascii="Arial" w:hAnsi="Arial" w:cs="Arial"/>
          <w:b/>
          <w:i/>
          <w:color w:val="000000"/>
        </w:rPr>
        <w:t>1.6.1.13.2.</w:t>
      </w:r>
      <w:r>
        <w:rPr>
          <w:rFonts w:ascii="Arial" w:hAnsi="Arial" w:cs="Arial"/>
          <w:b/>
          <w:i/>
        </w:rPr>
        <w:t xml:space="preserve">24. Plazo para presentar la declaración anual de </w:t>
      </w:r>
      <w:r>
        <w:rPr>
          <w:rFonts w:ascii="Arial" w:hAnsi="Arial" w:cs="Arial"/>
          <w:b/>
          <w:i/>
        </w:rPr>
        <w:t>activos en el exterior.</w:t>
      </w:r>
      <w:r>
        <w:rPr>
          <w:rFonts w:ascii="Arial" w:hAnsi="Arial" w:cs="Arial"/>
          <w:b/>
        </w:rPr>
        <w:t xml:space="preserve"> </w:t>
      </w:r>
      <w:r>
        <w:rPr>
          <w:rFonts w:ascii="Arial" w:hAnsi="Arial" w:cs="Arial"/>
          <w:bCs/>
        </w:rPr>
        <w:t>Los</w:t>
      </w:r>
      <w:r>
        <w:rPr>
          <w:rFonts w:ascii="Arial" w:hAnsi="Arial" w:cs="Arial"/>
        </w:rPr>
        <w:t xml:space="preserve"> plazos para presentar la declaración anual de activos en el exterior, de que trata los artículos 42 y 43 de la Ley 1739 de 2014, </w:t>
      </w:r>
      <w:r>
        <w:rPr>
          <w:rFonts w:ascii="Arial" w:hAnsi="Arial" w:cs="Arial"/>
          <w:color w:val="000000"/>
        </w:rPr>
        <w:t xml:space="preserve">vencen en las fechas que se indican a continuación, atendiendo el tipo de declarante y el último o </w:t>
      </w:r>
      <w:r>
        <w:rPr>
          <w:rFonts w:ascii="Arial" w:hAnsi="Arial" w:cs="Arial"/>
          <w:color w:val="000000"/>
        </w:rPr>
        <w:t>dos dígitos del NIT que conste en el certificado del Registro Único Tributario - RUT, sin tener en cuenta el dígito de verificación, así:</w:t>
      </w:r>
    </w:p>
    <w:p w14:paraId="0DB9A2C1" w14:textId="77777777" w:rsidR="00B2442D" w:rsidRDefault="008A645F">
      <w:pPr>
        <w:autoSpaceDE w:val="0"/>
        <w:autoSpaceDN w:val="0"/>
        <w:adjustRightInd w:val="0"/>
        <w:spacing w:line="40" w:lineRule="atLeast"/>
        <w:ind w:left="1440"/>
        <w:jc w:val="both"/>
        <w:rPr>
          <w:rFonts w:ascii="Arial" w:hAnsi="Arial" w:cs="Arial"/>
          <w:b/>
          <w:color w:val="000000"/>
        </w:rPr>
      </w:pPr>
      <w:r>
        <w:rPr>
          <w:rFonts w:ascii="Arial" w:hAnsi="Arial" w:cs="Arial"/>
          <w:b/>
          <w:color w:val="000000"/>
        </w:rPr>
        <w:t xml:space="preserve">                     </w:t>
      </w:r>
    </w:p>
    <w:p w14:paraId="25A5880D" w14:textId="77777777" w:rsidR="00B2442D" w:rsidRDefault="008A645F">
      <w:pPr>
        <w:autoSpaceDE w:val="0"/>
        <w:autoSpaceDN w:val="0"/>
        <w:adjustRightInd w:val="0"/>
        <w:spacing w:line="40" w:lineRule="atLeast"/>
        <w:jc w:val="both"/>
        <w:rPr>
          <w:rFonts w:ascii="Arial" w:hAnsi="Arial" w:cs="Arial"/>
          <w:b/>
          <w:color w:val="000000"/>
        </w:rPr>
      </w:pPr>
      <w:r>
        <w:rPr>
          <w:rFonts w:ascii="Arial" w:hAnsi="Arial" w:cs="Arial"/>
          <w:b/>
          <w:color w:val="000000"/>
        </w:rPr>
        <w:t>GRANDES CONTRIBUYENTES</w:t>
      </w:r>
    </w:p>
    <w:p w14:paraId="5A612E91" w14:textId="77777777" w:rsidR="00B2442D" w:rsidRDefault="00B2442D">
      <w:pPr>
        <w:autoSpaceDE w:val="0"/>
        <w:autoSpaceDN w:val="0"/>
        <w:adjustRightInd w:val="0"/>
        <w:spacing w:line="40" w:lineRule="atLeast"/>
        <w:ind w:left="1440"/>
        <w:jc w:val="both"/>
        <w:rPr>
          <w:rFonts w:ascii="Arial" w:hAnsi="Arial" w:cs="Arial"/>
          <w:b/>
          <w:color w:val="000000"/>
        </w:rPr>
      </w:pPr>
    </w:p>
    <w:tbl>
      <w:tblPr>
        <w:tblW w:w="4532" w:type="dxa"/>
        <w:jc w:val="center"/>
        <w:tblCellMar>
          <w:left w:w="70" w:type="dxa"/>
          <w:right w:w="70" w:type="dxa"/>
        </w:tblCellMar>
        <w:tblLook w:val="04A0" w:firstRow="1" w:lastRow="0" w:firstColumn="1" w:lastColumn="0" w:noHBand="0" w:noVBand="1"/>
      </w:tblPr>
      <w:tblGrid>
        <w:gridCol w:w="19"/>
        <w:gridCol w:w="1521"/>
        <w:gridCol w:w="16"/>
        <w:gridCol w:w="2963"/>
        <w:gridCol w:w="13"/>
      </w:tblGrid>
      <w:tr w:rsidR="00B2442D" w14:paraId="4D92DABD" w14:textId="77777777">
        <w:trPr>
          <w:gridBefore w:val="1"/>
          <w:wBefore w:w="19" w:type="dxa"/>
          <w:trHeight w:val="345"/>
          <w:tblHeader/>
          <w:jc w:val="center"/>
        </w:trPr>
        <w:tc>
          <w:tcPr>
            <w:tcW w:w="1537" w:type="dxa"/>
            <w:gridSpan w:val="2"/>
            <w:tcBorders>
              <w:top w:val="single" w:sz="8" w:space="0" w:color="auto"/>
              <w:left w:val="single" w:sz="8" w:space="0" w:color="auto"/>
              <w:bottom w:val="single" w:sz="4" w:space="0" w:color="auto"/>
              <w:right w:val="single" w:sz="8" w:space="0" w:color="auto"/>
            </w:tcBorders>
            <w:shd w:val="clear" w:color="000000" w:fill="BFBFBF"/>
            <w:vAlign w:val="center"/>
            <w:hideMark/>
          </w:tcPr>
          <w:p w14:paraId="5D445454"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976" w:type="dxa"/>
            <w:gridSpan w:val="2"/>
            <w:tcBorders>
              <w:top w:val="single" w:sz="8" w:space="0" w:color="auto"/>
              <w:left w:val="nil"/>
              <w:bottom w:val="nil"/>
              <w:right w:val="single" w:sz="8" w:space="0" w:color="auto"/>
            </w:tcBorders>
            <w:shd w:val="clear" w:color="000000" w:fill="BFBFBF"/>
            <w:noWrap/>
            <w:vAlign w:val="center"/>
            <w:hideMark/>
          </w:tcPr>
          <w:p w14:paraId="21640AAF" w14:textId="77777777" w:rsidR="00B2442D" w:rsidRDefault="00B2442D">
            <w:pPr>
              <w:jc w:val="center"/>
              <w:rPr>
                <w:rFonts w:ascii="Arial" w:hAnsi="Arial" w:cs="Arial"/>
                <w:b/>
                <w:bCs/>
                <w:color w:val="000000"/>
                <w:lang w:val="es-CO" w:eastAsia="es-CO"/>
              </w:rPr>
            </w:pPr>
          </w:p>
          <w:p w14:paraId="15FAB232"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263BE35F"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15DE75C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979" w:type="dxa"/>
            <w:gridSpan w:val="2"/>
            <w:tcBorders>
              <w:top w:val="single" w:sz="4" w:space="0" w:color="auto"/>
              <w:left w:val="nil"/>
              <w:bottom w:val="single" w:sz="8" w:space="0" w:color="auto"/>
              <w:right w:val="single" w:sz="8" w:space="0" w:color="auto"/>
            </w:tcBorders>
            <w:shd w:val="clear" w:color="auto" w:fill="auto"/>
            <w:noWrap/>
            <w:vAlign w:val="center"/>
          </w:tcPr>
          <w:p w14:paraId="125A1DF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abril de 2017</w:t>
            </w:r>
          </w:p>
        </w:tc>
      </w:tr>
      <w:tr w:rsidR="00B2442D" w14:paraId="18DAB969"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628E832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979" w:type="dxa"/>
            <w:gridSpan w:val="2"/>
            <w:tcBorders>
              <w:top w:val="nil"/>
              <w:left w:val="nil"/>
              <w:bottom w:val="single" w:sz="8" w:space="0" w:color="auto"/>
              <w:right w:val="single" w:sz="8" w:space="0" w:color="auto"/>
            </w:tcBorders>
            <w:shd w:val="clear" w:color="auto" w:fill="auto"/>
            <w:noWrap/>
            <w:vAlign w:val="center"/>
          </w:tcPr>
          <w:p w14:paraId="104A98F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11 de </w:t>
            </w:r>
            <w:r>
              <w:rPr>
                <w:rFonts w:ascii="Arial" w:hAnsi="Arial" w:cs="Arial"/>
                <w:color w:val="000000"/>
                <w:lang w:val="es-CO" w:eastAsia="es-CO"/>
              </w:rPr>
              <w:t>abril de 2017</w:t>
            </w:r>
          </w:p>
        </w:tc>
      </w:tr>
      <w:tr w:rsidR="00B2442D" w14:paraId="41FB5E0D"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1A07B2C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979" w:type="dxa"/>
            <w:gridSpan w:val="2"/>
            <w:tcBorders>
              <w:top w:val="nil"/>
              <w:left w:val="nil"/>
              <w:bottom w:val="single" w:sz="8" w:space="0" w:color="auto"/>
              <w:right w:val="single" w:sz="8" w:space="0" w:color="auto"/>
            </w:tcBorders>
            <w:shd w:val="clear" w:color="auto" w:fill="auto"/>
            <w:noWrap/>
            <w:vAlign w:val="center"/>
          </w:tcPr>
          <w:p w14:paraId="346280F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abril de 2017</w:t>
            </w:r>
          </w:p>
        </w:tc>
      </w:tr>
      <w:tr w:rsidR="00B2442D" w14:paraId="49E58585"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6353E10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979" w:type="dxa"/>
            <w:gridSpan w:val="2"/>
            <w:tcBorders>
              <w:top w:val="nil"/>
              <w:left w:val="nil"/>
              <w:bottom w:val="single" w:sz="8" w:space="0" w:color="auto"/>
              <w:right w:val="single" w:sz="8" w:space="0" w:color="auto"/>
            </w:tcBorders>
            <w:shd w:val="clear" w:color="auto" w:fill="auto"/>
            <w:noWrap/>
            <w:vAlign w:val="center"/>
          </w:tcPr>
          <w:p w14:paraId="23ECAE4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abril de 2017</w:t>
            </w:r>
          </w:p>
        </w:tc>
      </w:tr>
      <w:tr w:rsidR="00B2442D" w14:paraId="389C1C36"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054028F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979" w:type="dxa"/>
            <w:gridSpan w:val="2"/>
            <w:tcBorders>
              <w:top w:val="single" w:sz="4" w:space="0" w:color="auto"/>
              <w:left w:val="nil"/>
              <w:bottom w:val="single" w:sz="8" w:space="0" w:color="auto"/>
              <w:right w:val="single" w:sz="8" w:space="0" w:color="auto"/>
            </w:tcBorders>
            <w:shd w:val="clear" w:color="auto" w:fill="auto"/>
            <w:noWrap/>
            <w:vAlign w:val="center"/>
          </w:tcPr>
          <w:p w14:paraId="097069E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abril de 2017</w:t>
            </w:r>
          </w:p>
        </w:tc>
      </w:tr>
      <w:tr w:rsidR="00B2442D" w14:paraId="39A5C44C"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57F3142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979" w:type="dxa"/>
            <w:gridSpan w:val="2"/>
            <w:tcBorders>
              <w:top w:val="nil"/>
              <w:left w:val="nil"/>
              <w:bottom w:val="single" w:sz="8" w:space="0" w:color="auto"/>
              <w:right w:val="single" w:sz="8" w:space="0" w:color="auto"/>
            </w:tcBorders>
            <w:shd w:val="clear" w:color="auto" w:fill="auto"/>
            <w:noWrap/>
            <w:vAlign w:val="center"/>
          </w:tcPr>
          <w:p w14:paraId="2359733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abril de 2017</w:t>
            </w:r>
          </w:p>
        </w:tc>
      </w:tr>
      <w:tr w:rsidR="00B2442D" w14:paraId="7C0DBDEB"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27685DB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979" w:type="dxa"/>
            <w:gridSpan w:val="2"/>
            <w:tcBorders>
              <w:top w:val="nil"/>
              <w:left w:val="nil"/>
              <w:bottom w:val="single" w:sz="8" w:space="0" w:color="auto"/>
              <w:right w:val="single" w:sz="8" w:space="0" w:color="auto"/>
            </w:tcBorders>
            <w:shd w:val="clear" w:color="auto" w:fill="auto"/>
            <w:noWrap/>
            <w:vAlign w:val="center"/>
          </w:tcPr>
          <w:p w14:paraId="69E11C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7A7B93F1"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363BE58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979" w:type="dxa"/>
            <w:gridSpan w:val="2"/>
            <w:tcBorders>
              <w:top w:val="single" w:sz="4" w:space="0" w:color="auto"/>
              <w:left w:val="nil"/>
              <w:bottom w:val="single" w:sz="8" w:space="0" w:color="auto"/>
              <w:right w:val="single" w:sz="8" w:space="0" w:color="auto"/>
            </w:tcBorders>
            <w:shd w:val="clear" w:color="auto" w:fill="auto"/>
            <w:noWrap/>
            <w:vAlign w:val="center"/>
          </w:tcPr>
          <w:p w14:paraId="32E0F09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abril de 2017</w:t>
            </w:r>
          </w:p>
        </w:tc>
      </w:tr>
      <w:tr w:rsidR="00B2442D" w14:paraId="33A1C83C"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71E78DB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979" w:type="dxa"/>
            <w:gridSpan w:val="2"/>
            <w:tcBorders>
              <w:top w:val="nil"/>
              <w:left w:val="nil"/>
              <w:bottom w:val="single" w:sz="8" w:space="0" w:color="auto"/>
              <w:right w:val="single" w:sz="8" w:space="0" w:color="auto"/>
            </w:tcBorders>
            <w:shd w:val="clear" w:color="auto" w:fill="auto"/>
            <w:noWrap/>
            <w:vAlign w:val="center"/>
          </w:tcPr>
          <w:p w14:paraId="5B35A25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0C3A1C07" w14:textId="77777777">
        <w:trPr>
          <w:gridAfter w:val="1"/>
          <w:wAfter w:w="13" w:type="dxa"/>
          <w:trHeight w:val="345"/>
          <w:jc w:val="center"/>
        </w:trPr>
        <w:tc>
          <w:tcPr>
            <w:tcW w:w="15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608B7D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979" w:type="dxa"/>
            <w:gridSpan w:val="2"/>
            <w:tcBorders>
              <w:top w:val="nil"/>
              <w:left w:val="nil"/>
              <w:bottom w:val="single" w:sz="8" w:space="0" w:color="auto"/>
              <w:right w:val="single" w:sz="8" w:space="0" w:color="auto"/>
            </w:tcBorders>
            <w:shd w:val="clear" w:color="auto" w:fill="auto"/>
            <w:noWrap/>
            <w:vAlign w:val="center"/>
          </w:tcPr>
          <w:p w14:paraId="625905A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bl>
    <w:p w14:paraId="2C51FBE8" w14:textId="77777777" w:rsidR="00B2442D" w:rsidRDefault="00B2442D">
      <w:pPr>
        <w:autoSpaceDE w:val="0"/>
        <w:autoSpaceDN w:val="0"/>
        <w:adjustRightInd w:val="0"/>
        <w:spacing w:line="40" w:lineRule="atLeast"/>
        <w:ind w:left="1440"/>
        <w:jc w:val="both"/>
        <w:rPr>
          <w:rFonts w:ascii="Arial" w:hAnsi="Arial" w:cs="Arial"/>
          <w:b/>
          <w:color w:val="000000"/>
        </w:rPr>
      </w:pPr>
    </w:p>
    <w:p w14:paraId="6039B212" w14:textId="77777777" w:rsidR="00B2442D" w:rsidRDefault="008A645F">
      <w:pPr>
        <w:autoSpaceDE w:val="0"/>
        <w:autoSpaceDN w:val="0"/>
        <w:adjustRightInd w:val="0"/>
        <w:spacing w:line="40" w:lineRule="atLeast"/>
        <w:jc w:val="both"/>
        <w:rPr>
          <w:rFonts w:ascii="Arial" w:hAnsi="Arial" w:cs="Arial"/>
          <w:b/>
          <w:color w:val="000000"/>
        </w:rPr>
      </w:pPr>
      <w:r>
        <w:rPr>
          <w:rFonts w:ascii="Arial" w:hAnsi="Arial" w:cs="Arial"/>
          <w:b/>
          <w:color w:val="000000"/>
        </w:rPr>
        <w:t>PERSONAS JURÍDICAS</w:t>
      </w:r>
    </w:p>
    <w:p w14:paraId="20713E9F" w14:textId="77777777" w:rsidR="00B2442D" w:rsidRDefault="00B2442D">
      <w:pPr>
        <w:autoSpaceDE w:val="0"/>
        <w:autoSpaceDN w:val="0"/>
        <w:adjustRightInd w:val="0"/>
        <w:spacing w:line="40" w:lineRule="atLeast"/>
        <w:ind w:left="1440"/>
        <w:jc w:val="both"/>
        <w:rPr>
          <w:rFonts w:ascii="Arial" w:hAnsi="Arial" w:cs="Arial"/>
          <w:b/>
          <w:color w:val="000000"/>
        </w:rPr>
      </w:pPr>
    </w:p>
    <w:tbl>
      <w:tblPr>
        <w:tblW w:w="4540" w:type="dxa"/>
        <w:jc w:val="center"/>
        <w:tblCellMar>
          <w:left w:w="70" w:type="dxa"/>
          <w:right w:w="70" w:type="dxa"/>
        </w:tblCellMar>
        <w:tblLook w:val="04A0" w:firstRow="1" w:lastRow="0" w:firstColumn="1" w:lastColumn="0" w:noHBand="0" w:noVBand="1"/>
      </w:tblPr>
      <w:tblGrid>
        <w:gridCol w:w="1340"/>
        <w:gridCol w:w="3200"/>
      </w:tblGrid>
      <w:tr w:rsidR="00B2442D" w14:paraId="339C89CD" w14:textId="77777777">
        <w:trPr>
          <w:trHeight w:val="517"/>
          <w:tblHeader/>
          <w:jc w:val="center"/>
        </w:trPr>
        <w:tc>
          <w:tcPr>
            <w:tcW w:w="13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37C2AAF" w14:textId="77777777" w:rsidR="00B2442D" w:rsidRDefault="008A645F">
            <w:pPr>
              <w:jc w:val="center"/>
              <w:rPr>
                <w:rFonts w:ascii="Arial" w:hAnsi="Arial" w:cs="Arial"/>
                <w:b/>
                <w:bCs/>
                <w:color w:val="000000"/>
                <w:highlight w:val="yellow"/>
                <w:lang w:val="es-CO" w:eastAsia="es-CO"/>
              </w:rPr>
            </w:pPr>
            <w:r>
              <w:rPr>
                <w:rFonts w:ascii="Arial" w:hAnsi="Arial" w:cs="Arial"/>
                <w:b/>
                <w:bCs/>
                <w:color w:val="000000"/>
                <w:lang w:val="es-CO" w:eastAsia="es-CO"/>
              </w:rPr>
              <w:t>Si los dos últimos dígitos son</w:t>
            </w:r>
          </w:p>
        </w:tc>
        <w:tc>
          <w:tcPr>
            <w:tcW w:w="320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3D7E5C02"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425FB8B5" w14:textId="77777777">
        <w:trPr>
          <w:trHeight w:val="517"/>
          <w:tblHeader/>
          <w:jc w:val="center"/>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175F457B" w14:textId="77777777" w:rsidR="00B2442D" w:rsidRDefault="00B2442D">
            <w:pPr>
              <w:jc w:val="center"/>
              <w:rPr>
                <w:rFonts w:ascii="Arial" w:hAnsi="Arial" w:cs="Arial"/>
                <w:b/>
                <w:bCs/>
                <w:color w:val="000000"/>
                <w:highlight w:val="yellow"/>
                <w:lang w:val="es-CO" w:eastAsia="es-CO"/>
              </w:rPr>
            </w:pPr>
          </w:p>
        </w:tc>
        <w:tc>
          <w:tcPr>
            <w:tcW w:w="3200" w:type="dxa"/>
            <w:vMerge/>
            <w:tcBorders>
              <w:top w:val="single" w:sz="8" w:space="0" w:color="auto"/>
              <w:left w:val="single" w:sz="8" w:space="0" w:color="auto"/>
              <w:bottom w:val="single" w:sz="8" w:space="0" w:color="000000"/>
              <w:right w:val="single" w:sz="8" w:space="0" w:color="auto"/>
            </w:tcBorders>
            <w:vAlign w:val="center"/>
            <w:hideMark/>
          </w:tcPr>
          <w:p w14:paraId="3CF94884" w14:textId="77777777" w:rsidR="00B2442D" w:rsidRDefault="00B2442D">
            <w:pPr>
              <w:jc w:val="center"/>
              <w:rPr>
                <w:rFonts w:ascii="Arial" w:hAnsi="Arial" w:cs="Arial"/>
                <w:b/>
                <w:bCs/>
                <w:color w:val="000000"/>
                <w:lang w:val="es-CO" w:eastAsia="es-CO"/>
              </w:rPr>
            </w:pPr>
          </w:p>
        </w:tc>
      </w:tr>
      <w:tr w:rsidR="00B2442D" w14:paraId="5E0C5668"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6D3DDFE7" w14:textId="77777777" w:rsidR="00B2442D" w:rsidRDefault="008A645F">
            <w:pPr>
              <w:jc w:val="center"/>
              <w:rPr>
                <w:rFonts w:ascii="Arial" w:hAnsi="Arial" w:cs="Arial"/>
                <w:color w:val="000000"/>
                <w:lang w:val="es-CO" w:eastAsia="es-CO"/>
              </w:rPr>
            </w:pPr>
            <w:r>
              <w:rPr>
                <w:rFonts w:ascii="Arial" w:hAnsi="Arial" w:cs="Arial"/>
                <w:color w:val="000000"/>
              </w:rPr>
              <w:t>96 al 00</w:t>
            </w:r>
          </w:p>
        </w:tc>
        <w:tc>
          <w:tcPr>
            <w:tcW w:w="3200" w:type="dxa"/>
            <w:tcBorders>
              <w:top w:val="nil"/>
              <w:left w:val="nil"/>
              <w:bottom w:val="single" w:sz="8" w:space="0" w:color="auto"/>
              <w:right w:val="single" w:sz="8" w:space="0" w:color="auto"/>
            </w:tcBorders>
            <w:shd w:val="clear" w:color="auto" w:fill="auto"/>
            <w:noWrap/>
            <w:vAlign w:val="center"/>
          </w:tcPr>
          <w:p w14:paraId="79C38D3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abril de 2017</w:t>
            </w:r>
          </w:p>
        </w:tc>
      </w:tr>
      <w:tr w:rsidR="00B2442D" w14:paraId="68B143F2"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1A5BCA3F" w14:textId="77777777" w:rsidR="00B2442D" w:rsidRDefault="008A645F">
            <w:pPr>
              <w:jc w:val="center"/>
              <w:rPr>
                <w:rFonts w:ascii="Arial" w:hAnsi="Arial" w:cs="Arial"/>
                <w:color w:val="000000"/>
              </w:rPr>
            </w:pPr>
            <w:r>
              <w:rPr>
                <w:rFonts w:ascii="Arial" w:hAnsi="Arial" w:cs="Arial"/>
                <w:color w:val="000000"/>
              </w:rPr>
              <w:t>91 al 95</w:t>
            </w:r>
          </w:p>
        </w:tc>
        <w:tc>
          <w:tcPr>
            <w:tcW w:w="3200" w:type="dxa"/>
            <w:tcBorders>
              <w:top w:val="nil"/>
              <w:left w:val="nil"/>
              <w:bottom w:val="single" w:sz="8" w:space="0" w:color="auto"/>
              <w:right w:val="single" w:sz="8" w:space="0" w:color="auto"/>
            </w:tcBorders>
            <w:shd w:val="clear" w:color="auto" w:fill="auto"/>
            <w:noWrap/>
            <w:vAlign w:val="center"/>
          </w:tcPr>
          <w:p w14:paraId="4E6A8D0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abril de 2017</w:t>
            </w:r>
          </w:p>
        </w:tc>
      </w:tr>
      <w:tr w:rsidR="00B2442D" w14:paraId="01664B8B"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3888529" w14:textId="77777777" w:rsidR="00B2442D" w:rsidRDefault="008A645F">
            <w:pPr>
              <w:jc w:val="center"/>
              <w:rPr>
                <w:rFonts w:ascii="Arial" w:hAnsi="Arial" w:cs="Arial"/>
                <w:color w:val="000000"/>
              </w:rPr>
            </w:pPr>
            <w:r>
              <w:rPr>
                <w:rFonts w:ascii="Arial" w:hAnsi="Arial" w:cs="Arial"/>
                <w:color w:val="000000"/>
              </w:rPr>
              <w:t>86 al 90</w:t>
            </w:r>
          </w:p>
        </w:tc>
        <w:tc>
          <w:tcPr>
            <w:tcW w:w="3200" w:type="dxa"/>
            <w:tcBorders>
              <w:top w:val="nil"/>
              <w:left w:val="nil"/>
              <w:bottom w:val="single" w:sz="8" w:space="0" w:color="auto"/>
              <w:right w:val="single" w:sz="8" w:space="0" w:color="auto"/>
            </w:tcBorders>
            <w:shd w:val="clear" w:color="auto" w:fill="auto"/>
            <w:noWrap/>
            <w:vAlign w:val="center"/>
          </w:tcPr>
          <w:p w14:paraId="576965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abril de 2017</w:t>
            </w:r>
          </w:p>
        </w:tc>
      </w:tr>
      <w:tr w:rsidR="00B2442D" w14:paraId="57635FDB"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4C6CC7A5" w14:textId="77777777" w:rsidR="00B2442D" w:rsidRDefault="008A645F">
            <w:pPr>
              <w:jc w:val="center"/>
              <w:rPr>
                <w:rFonts w:ascii="Arial" w:hAnsi="Arial" w:cs="Arial"/>
                <w:color w:val="000000"/>
              </w:rPr>
            </w:pPr>
            <w:r>
              <w:rPr>
                <w:rFonts w:ascii="Arial" w:hAnsi="Arial" w:cs="Arial"/>
                <w:color w:val="000000"/>
              </w:rPr>
              <w:t>81 al 85</w:t>
            </w:r>
          </w:p>
        </w:tc>
        <w:tc>
          <w:tcPr>
            <w:tcW w:w="3200" w:type="dxa"/>
            <w:tcBorders>
              <w:top w:val="nil"/>
              <w:left w:val="nil"/>
              <w:bottom w:val="single" w:sz="8" w:space="0" w:color="auto"/>
              <w:right w:val="single" w:sz="8" w:space="0" w:color="auto"/>
            </w:tcBorders>
            <w:shd w:val="clear" w:color="auto" w:fill="auto"/>
            <w:noWrap/>
            <w:vAlign w:val="center"/>
          </w:tcPr>
          <w:p w14:paraId="0433EEF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abril de 2017</w:t>
            </w:r>
          </w:p>
        </w:tc>
      </w:tr>
      <w:tr w:rsidR="00B2442D" w14:paraId="7AA14EB4"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1A614481" w14:textId="77777777" w:rsidR="00B2442D" w:rsidRDefault="008A645F">
            <w:pPr>
              <w:jc w:val="center"/>
              <w:rPr>
                <w:rFonts w:ascii="Arial" w:hAnsi="Arial" w:cs="Arial"/>
                <w:color w:val="000000"/>
              </w:rPr>
            </w:pPr>
            <w:r>
              <w:rPr>
                <w:rFonts w:ascii="Arial" w:hAnsi="Arial" w:cs="Arial"/>
                <w:color w:val="000000"/>
              </w:rPr>
              <w:t>76 al 80</w:t>
            </w:r>
          </w:p>
        </w:tc>
        <w:tc>
          <w:tcPr>
            <w:tcW w:w="3200" w:type="dxa"/>
            <w:tcBorders>
              <w:top w:val="nil"/>
              <w:left w:val="nil"/>
              <w:bottom w:val="single" w:sz="8" w:space="0" w:color="auto"/>
              <w:right w:val="single" w:sz="8" w:space="0" w:color="auto"/>
            </w:tcBorders>
            <w:shd w:val="clear" w:color="auto" w:fill="auto"/>
            <w:noWrap/>
            <w:vAlign w:val="center"/>
          </w:tcPr>
          <w:p w14:paraId="208DCA9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abril de 2017</w:t>
            </w:r>
          </w:p>
        </w:tc>
      </w:tr>
      <w:tr w:rsidR="00B2442D" w14:paraId="0494CAB5" w14:textId="77777777">
        <w:trPr>
          <w:trHeight w:val="345"/>
          <w:jc w:val="center"/>
        </w:trPr>
        <w:tc>
          <w:tcPr>
            <w:tcW w:w="13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9553F69" w14:textId="77777777" w:rsidR="00B2442D" w:rsidRDefault="008A645F">
            <w:pPr>
              <w:jc w:val="center"/>
              <w:rPr>
                <w:rFonts w:ascii="Arial" w:hAnsi="Arial" w:cs="Arial"/>
                <w:color w:val="000000"/>
              </w:rPr>
            </w:pPr>
            <w:r>
              <w:rPr>
                <w:rFonts w:ascii="Arial" w:hAnsi="Arial" w:cs="Arial"/>
                <w:color w:val="000000"/>
              </w:rPr>
              <w:t>71 al 75</w:t>
            </w:r>
          </w:p>
        </w:tc>
        <w:tc>
          <w:tcPr>
            <w:tcW w:w="3200" w:type="dxa"/>
            <w:tcBorders>
              <w:top w:val="nil"/>
              <w:left w:val="nil"/>
              <w:bottom w:val="single" w:sz="8" w:space="0" w:color="auto"/>
              <w:right w:val="single" w:sz="8" w:space="0" w:color="auto"/>
            </w:tcBorders>
            <w:shd w:val="clear" w:color="auto" w:fill="auto"/>
            <w:noWrap/>
            <w:vAlign w:val="center"/>
          </w:tcPr>
          <w:p w14:paraId="766E67E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abril de 2017</w:t>
            </w:r>
          </w:p>
        </w:tc>
      </w:tr>
      <w:tr w:rsidR="00B2442D" w14:paraId="75FF7C14"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B3147CF" w14:textId="77777777" w:rsidR="00B2442D" w:rsidRDefault="008A645F">
            <w:pPr>
              <w:jc w:val="center"/>
              <w:rPr>
                <w:rFonts w:ascii="Arial" w:hAnsi="Arial" w:cs="Arial"/>
                <w:color w:val="000000"/>
              </w:rPr>
            </w:pPr>
            <w:r>
              <w:rPr>
                <w:rFonts w:ascii="Arial" w:hAnsi="Arial" w:cs="Arial"/>
                <w:color w:val="000000"/>
              </w:rPr>
              <w:t>66 al 70</w:t>
            </w:r>
          </w:p>
        </w:tc>
        <w:tc>
          <w:tcPr>
            <w:tcW w:w="3200" w:type="dxa"/>
            <w:tcBorders>
              <w:top w:val="nil"/>
              <w:left w:val="nil"/>
              <w:bottom w:val="single" w:sz="8" w:space="0" w:color="auto"/>
              <w:right w:val="single" w:sz="8" w:space="0" w:color="auto"/>
            </w:tcBorders>
            <w:shd w:val="clear" w:color="auto" w:fill="auto"/>
            <w:noWrap/>
            <w:vAlign w:val="center"/>
          </w:tcPr>
          <w:p w14:paraId="0C9CCA0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392C616C"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65481009" w14:textId="77777777" w:rsidR="00B2442D" w:rsidRDefault="008A645F">
            <w:pPr>
              <w:jc w:val="center"/>
              <w:rPr>
                <w:rFonts w:ascii="Arial" w:hAnsi="Arial" w:cs="Arial"/>
                <w:color w:val="000000"/>
              </w:rPr>
            </w:pPr>
            <w:r>
              <w:rPr>
                <w:rFonts w:ascii="Arial" w:hAnsi="Arial" w:cs="Arial"/>
                <w:color w:val="000000"/>
              </w:rPr>
              <w:t>61 al 65</w:t>
            </w:r>
          </w:p>
        </w:tc>
        <w:tc>
          <w:tcPr>
            <w:tcW w:w="3200" w:type="dxa"/>
            <w:tcBorders>
              <w:top w:val="nil"/>
              <w:left w:val="nil"/>
              <w:bottom w:val="single" w:sz="8" w:space="0" w:color="auto"/>
              <w:right w:val="single" w:sz="8" w:space="0" w:color="auto"/>
            </w:tcBorders>
            <w:shd w:val="clear" w:color="auto" w:fill="auto"/>
            <w:noWrap/>
            <w:vAlign w:val="center"/>
          </w:tcPr>
          <w:p w14:paraId="189C24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24 de abril de </w:t>
            </w:r>
            <w:r>
              <w:rPr>
                <w:rFonts w:ascii="Arial" w:hAnsi="Arial" w:cs="Arial"/>
                <w:color w:val="000000"/>
                <w:lang w:val="es-CO" w:eastAsia="es-CO"/>
              </w:rPr>
              <w:t>2017</w:t>
            </w:r>
          </w:p>
        </w:tc>
      </w:tr>
      <w:tr w:rsidR="00B2442D" w14:paraId="0D68A465"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6A2514F" w14:textId="77777777" w:rsidR="00B2442D" w:rsidRDefault="008A645F">
            <w:pPr>
              <w:jc w:val="center"/>
              <w:rPr>
                <w:rFonts w:ascii="Arial" w:hAnsi="Arial" w:cs="Arial"/>
                <w:color w:val="000000"/>
              </w:rPr>
            </w:pPr>
            <w:r>
              <w:rPr>
                <w:rFonts w:ascii="Arial" w:hAnsi="Arial" w:cs="Arial"/>
                <w:color w:val="000000"/>
              </w:rPr>
              <w:t>56 al 60</w:t>
            </w:r>
          </w:p>
        </w:tc>
        <w:tc>
          <w:tcPr>
            <w:tcW w:w="3200" w:type="dxa"/>
            <w:tcBorders>
              <w:top w:val="nil"/>
              <w:left w:val="nil"/>
              <w:bottom w:val="single" w:sz="8" w:space="0" w:color="auto"/>
              <w:right w:val="single" w:sz="8" w:space="0" w:color="auto"/>
            </w:tcBorders>
            <w:shd w:val="clear" w:color="auto" w:fill="auto"/>
            <w:noWrap/>
            <w:vAlign w:val="center"/>
          </w:tcPr>
          <w:p w14:paraId="4C16452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3CE1FC90"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02777064" w14:textId="77777777" w:rsidR="00B2442D" w:rsidRDefault="008A645F">
            <w:pPr>
              <w:jc w:val="center"/>
              <w:rPr>
                <w:rFonts w:ascii="Arial" w:hAnsi="Arial" w:cs="Arial"/>
                <w:color w:val="000000"/>
              </w:rPr>
            </w:pPr>
            <w:r>
              <w:rPr>
                <w:rFonts w:ascii="Arial" w:hAnsi="Arial" w:cs="Arial"/>
                <w:color w:val="000000"/>
              </w:rPr>
              <w:t>51 al 55</w:t>
            </w:r>
          </w:p>
        </w:tc>
        <w:tc>
          <w:tcPr>
            <w:tcW w:w="3200" w:type="dxa"/>
            <w:tcBorders>
              <w:top w:val="nil"/>
              <w:left w:val="nil"/>
              <w:bottom w:val="single" w:sz="8" w:space="0" w:color="auto"/>
              <w:right w:val="single" w:sz="8" w:space="0" w:color="auto"/>
            </w:tcBorders>
            <w:shd w:val="clear" w:color="auto" w:fill="auto"/>
            <w:noWrap/>
            <w:vAlign w:val="center"/>
          </w:tcPr>
          <w:p w14:paraId="3B1F5A8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r w:rsidR="00B2442D" w14:paraId="23B3807C"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44A2FE46" w14:textId="77777777" w:rsidR="00B2442D" w:rsidRDefault="008A645F">
            <w:pPr>
              <w:jc w:val="center"/>
              <w:rPr>
                <w:rFonts w:ascii="Arial" w:hAnsi="Arial" w:cs="Arial"/>
                <w:color w:val="000000"/>
              </w:rPr>
            </w:pPr>
            <w:r>
              <w:rPr>
                <w:rFonts w:ascii="Arial" w:hAnsi="Arial" w:cs="Arial"/>
                <w:color w:val="000000"/>
              </w:rPr>
              <w:t>46 al 50</w:t>
            </w:r>
          </w:p>
        </w:tc>
        <w:tc>
          <w:tcPr>
            <w:tcW w:w="3200" w:type="dxa"/>
            <w:tcBorders>
              <w:top w:val="nil"/>
              <w:left w:val="nil"/>
              <w:bottom w:val="single" w:sz="8" w:space="0" w:color="auto"/>
              <w:right w:val="single" w:sz="8" w:space="0" w:color="auto"/>
            </w:tcBorders>
            <w:shd w:val="clear" w:color="auto" w:fill="auto"/>
            <w:noWrap/>
            <w:vAlign w:val="center"/>
          </w:tcPr>
          <w:p w14:paraId="3C0194B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27 de abril de 2017</w:t>
            </w:r>
          </w:p>
        </w:tc>
      </w:tr>
      <w:tr w:rsidR="00B2442D" w14:paraId="136C8EF8"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854D184" w14:textId="77777777" w:rsidR="00B2442D" w:rsidRDefault="008A645F">
            <w:pPr>
              <w:jc w:val="center"/>
              <w:rPr>
                <w:rFonts w:ascii="Arial" w:hAnsi="Arial" w:cs="Arial"/>
                <w:color w:val="000000"/>
              </w:rPr>
            </w:pPr>
            <w:r>
              <w:rPr>
                <w:rFonts w:ascii="Arial" w:hAnsi="Arial" w:cs="Arial"/>
                <w:color w:val="000000"/>
              </w:rPr>
              <w:t>41 al 45</w:t>
            </w:r>
          </w:p>
        </w:tc>
        <w:tc>
          <w:tcPr>
            <w:tcW w:w="3200" w:type="dxa"/>
            <w:tcBorders>
              <w:top w:val="nil"/>
              <w:left w:val="nil"/>
              <w:bottom w:val="single" w:sz="8" w:space="0" w:color="auto"/>
              <w:right w:val="single" w:sz="8" w:space="0" w:color="auto"/>
            </w:tcBorders>
            <w:shd w:val="clear" w:color="auto" w:fill="auto"/>
            <w:noWrap/>
            <w:vAlign w:val="center"/>
          </w:tcPr>
          <w:p w14:paraId="28F67ED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abril de 2017</w:t>
            </w:r>
          </w:p>
        </w:tc>
      </w:tr>
      <w:tr w:rsidR="00B2442D" w14:paraId="081F5DD6"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46B56E8D" w14:textId="77777777" w:rsidR="00B2442D" w:rsidRDefault="008A645F">
            <w:pPr>
              <w:jc w:val="center"/>
              <w:rPr>
                <w:rFonts w:ascii="Arial" w:hAnsi="Arial" w:cs="Arial"/>
                <w:color w:val="000000"/>
                <w:highlight w:val="yellow"/>
              </w:rPr>
            </w:pPr>
            <w:r>
              <w:rPr>
                <w:rFonts w:ascii="Arial" w:hAnsi="Arial" w:cs="Arial"/>
                <w:color w:val="000000"/>
              </w:rPr>
              <w:t>36 al 40</w:t>
            </w:r>
          </w:p>
        </w:tc>
        <w:tc>
          <w:tcPr>
            <w:tcW w:w="3200" w:type="dxa"/>
            <w:tcBorders>
              <w:top w:val="nil"/>
              <w:left w:val="nil"/>
              <w:bottom w:val="single" w:sz="8" w:space="0" w:color="auto"/>
              <w:right w:val="single" w:sz="8" w:space="0" w:color="auto"/>
            </w:tcBorders>
            <w:shd w:val="clear" w:color="auto" w:fill="auto"/>
            <w:noWrap/>
            <w:vAlign w:val="center"/>
          </w:tcPr>
          <w:p w14:paraId="395EE26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02 de mayo de 2017</w:t>
            </w:r>
          </w:p>
        </w:tc>
      </w:tr>
      <w:tr w:rsidR="00B2442D" w14:paraId="40AFA870"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65F8FDE" w14:textId="77777777" w:rsidR="00B2442D" w:rsidRDefault="008A645F">
            <w:pPr>
              <w:jc w:val="center"/>
              <w:rPr>
                <w:rFonts w:ascii="Arial" w:hAnsi="Arial" w:cs="Arial"/>
                <w:color w:val="000000"/>
              </w:rPr>
            </w:pPr>
            <w:r>
              <w:rPr>
                <w:rFonts w:ascii="Arial" w:hAnsi="Arial" w:cs="Arial"/>
                <w:color w:val="000000"/>
              </w:rPr>
              <w:t>31 al 35</w:t>
            </w:r>
          </w:p>
        </w:tc>
        <w:tc>
          <w:tcPr>
            <w:tcW w:w="3200" w:type="dxa"/>
            <w:tcBorders>
              <w:top w:val="nil"/>
              <w:left w:val="nil"/>
              <w:bottom w:val="single" w:sz="8" w:space="0" w:color="auto"/>
              <w:right w:val="single" w:sz="8" w:space="0" w:color="auto"/>
            </w:tcBorders>
            <w:shd w:val="clear" w:color="auto" w:fill="auto"/>
            <w:noWrap/>
            <w:vAlign w:val="center"/>
          </w:tcPr>
          <w:p w14:paraId="0B1F092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03 de mayo de 2017</w:t>
            </w:r>
          </w:p>
        </w:tc>
      </w:tr>
      <w:tr w:rsidR="00B2442D" w14:paraId="7B1D7EC9"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DDDA728" w14:textId="77777777" w:rsidR="00B2442D" w:rsidRDefault="008A645F">
            <w:pPr>
              <w:jc w:val="center"/>
              <w:rPr>
                <w:rFonts w:ascii="Arial" w:hAnsi="Arial" w:cs="Arial"/>
                <w:color w:val="000000"/>
              </w:rPr>
            </w:pPr>
            <w:r>
              <w:rPr>
                <w:rFonts w:ascii="Arial" w:hAnsi="Arial" w:cs="Arial"/>
                <w:color w:val="000000"/>
              </w:rPr>
              <w:t>26 al 30</w:t>
            </w:r>
          </w:p>
        </w:tc>
        <w:tc>
          <w:tcPr>
            <w:tcW w:w="3200" w:type="dxa"/>
            <w:tcBorders>
              <w:top w:val="nil"/>
              <w:left w:val="nil"/>
              <w:bottom w:val="single" w:sz="8" w:space="0" w:color="auto"/>
              <w:right w:val="single" w:sz="8" w:space="0" w:color="auto"/>
            </w:tcBorders>
            <w:shd w:val="clear" w:color="auto" w:fill="auto"/>
            <w:noWrap/>
            <w:vAlign w:val="center"/>
          </w:tcPr>
          <w:p w14:paraId="2B62748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mayo de 2017</w:t>
            </w:r>
          </w:p>
        </w:tc>
      </w:tr>
      <w:tr w:rsidR="00B2442D" w14:paraId="11991512"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595EF1D" w14:textId="77777777" w:rsidR="00B2442D" w:rsidRDefault="008A645F">
            <w:pPr>
              <w:jc w:val="center"/>
              <w:rPr>
                <w:rFonts w:ascii="Arial" w:hAnsi="Arial" w:cs="Arial"/>
                <w:color w:val="000000"/>
              </w:rPr>
            </w:pPr>
            <w:r>
              <w:rPr>
                <w:rFonts w:ascii="Arial" w:hAnsi="Arial" w:cs="Arial"/>
                <w:color w:val="000000"/>
              </w:rPr>
              <w:t>21 al 25</w:t>
            </w:r>
          </w:p>
        </w:tc>
        <w:tc>
          <w:tcPr>
            <w:tcW w:w="3200" w:type="dxa"/>
            <w:tcBorders>
              <w:top w:val="nil"/>
              <w:left w:val="nil"/>
              <w:bottom w:val="single" w:sz="8" w:space="0" w:color="auto"/>
              <w:right w:val="single" w:sz="8" w:space="0" w:color="auto"/>
            </w:tcBorders>
            <w:shd w:val="clear" w:color="auto" w:fill="auto"/>
            <w:noWrap/>
            <w:vAlign w:val="center"/>
          </w:tcPr>
          <w:p w14:paraId="5402FC6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mayo de 2017</w:t>
            </w:r>
          </w:p>
        </w:tc>
      </w:tr>
      <w:tr w:rsidR="00B2442D" w14:paraId="2E905DCB"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8CA025F" w14:textId="77777777" w:rsidR="00B2442D" w:rsidRDefault="008A645F">
            <w:pPr>
              <w:jc w:val="center"/>
              <w:rPr>
                <w:rFonts w:ascii="Arial" w:hAnsi="Arial" w:cs="Arial"/>
                <w:color w:val="000000"/>
              </w:rPr>
            </w:pPr>
            <w:r>
              <w:rPr>
                <w:rFonts w:ascii="Arial" w:hAnsi="Arial" w:cs="Arial"/>
                <w:color w:val="000000"/>
              </w:rPr>
              <w:t>16 al 20</w:t>
            </w:r>
          </w:p>
        </w:tc>
        <w:tc>
          <w:tcPr>
            <w:tcW w:w="3200" w:type="dxa"/>
            <w:tcBorders>
              <w:top w:val="nil"/>
              <w:left w:val="nil"/>
              <w:bottom w:val="single" w:sz="8" w:space="0" w:color="auto"/>
              <w:right w:val="single" w:sz="8" w:space="0" w:color="auto"/>
            </w:tcBorders>
            <w:shd w:val="clear" w:color="auto" w:fill="auto"/>
            <w:noWrap/>
            <w:vAlign w:val="center"/>
          </w:tcPr>
          <w:p w14:paraId="38C9BE2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08 </w:t>
            </w:r>
            <w:r>
              <w:rPr>
                <w:rFonts w:ascii="Arial" w:hAnsi="Arial" w:cs="Arial"/>
                <w:color w:val="000000"/>
                <w:lang w:val="es-CO" w:eastAsia="es-CO"/>
              </w:rPr>
              <w:t>de mayo de 2017</w:t>
            </w:r>
          </w:p>
        </w:tc>
      </w:tr>
      <w:tr w:rsidR="00B2442D" w14:paraId="0D7F2F96"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36B121B" w14:textId="77777777" w:rsidR="00B2442D" w:rsidRDefault="008A645F">
            <w:pPr>
              <w:jc w:val="center"/>
              <w:rPr>
                <w:rFonts w:ascii="Arial" w:hAnsi="Arial" w:cs="Arial"/>
                <w:color w:val="000000"/>
              </w:rPr>
            </w:pPr>
            <w:r>
              <w:rPr>
                <w:rFonts w:ascii="Arial" w:hAnsi="Arial" w:cs="Arial"/>
                <w:color w:val="000000"/>
              </w:rPr>
              <w:t>11 al  15</w:t>
            </w:r>
          </w:p>
        </w:tc>
        <w:tc>
          <w:tcPr>
            <w:tcW w:w="3200" w:type="dxa"/>
            <w:tcBorders>
              <w:top w:val="nil"/>
              <w:left w:val="nil"/>
              <w:bottom w:val="single" w:sz="8" w:space="0" w:color="auto"/>
              <w:right w:val="single" w:sz="8" w:space="0" w:color="auto"/>
            </w:tcBorders>
            <w:shd w:val="clear" w:color="auto" w:fill="auto"/>
            <w:noWrap/>
            <w:vAlign w:val="center"/>
          </w:tcPr>
          <w:p w14:paraId="6DA27C1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09 de mayo de 2017</w:t>
            </w:r>
          </w:p>
        </w:tc>
      </w:tr>
      <w:tr w:rsidR="00B2442D" w14:paraId="127BA092"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63514E01" w14:textId="77777777" w:rsidR="00B2442D" w:rsidRDefault="008A645F">
            <w:pPr>
              <w:jc w:val="center"/>
              <w:rPr>
                <w:rFonts w:ascii="Arial" w:hAnsi="Arial" w:cs="Arial"/>
                <w:color w:val="000000"/>
              </w:rPr>
            </w:pPr>
            <w:r>
              <w:rPr>
                <w:rFonts w:ascii="Arial" w:hAnsi="Arial" w:cs="Arial"/>
                <w:color w:val="000000"/>
              </w:rPr>
              <w:t>06 al 10</w:t>
            </w:r>
          </w:p>
        </w:tc>
        <w:tc>
          <w:tcPr>
            <w:tcW w:w="3200" w:type="dxa"/>
            <w:tcBorders>
              <w:top w:val="nil"/>
              <w:left w:val="nil"/>
              <w:bottom w:val="single" w:sz="8" w:space="0" w:color="auto"/>
              <w:right w:val="single" w:sz="8" w:space="0" w:color="auto"/>
            </w:tcBorders>
            <w:shd w:val="clear" w:color="auto" w:fill="auto"/>
            <w:noWrap/>
            <w:vAlign w:val="center"/>
          </w:tcPr>
          <w:p w14:paraId="412A654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mayo de 2017</w:t>
            </w:r>
          </w:p>
        </w:tc>
      </w:tr>
      <w:tr w:rsidR="00B2442D" w14:paraId="515CB451"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BCBC3BA" w14:textId="77777777" w:rsidR="00B2442D" w:rsidRDefault="008A645F">
            <w:pPr>
              <w:jc w:val="center"/>
              <w:rPr>
                <w:rFonts w:ascii="Arial" w:hAnsi="Arial" w:cs="Arial"/>
                <w:color w:val="000000"/>
              </w:rPr>
            </w:pPr>
            <w:r>
              <w:rPr>
                <w:rFonts w:ascii="Arial" w:hAnsi="Arial" w:cs="Arial"/>
                <w:color w:val="000000"/>
              </w:rPr>
              <w:t>01 al 05</w:t>
            </w:r>
          </w:p>
        </w:tc>
        <w:tc>
          <w:tcPr>
            <w:tcW w:w="3200" w:type="dxa"/>
            <w:tcBorders>
              <w:top w:val="nil"/>
              <w:left w:val="nil"/>
              <w:bottom w:val="single" w:sz="8" w:space="0" w:color="auto"/>
              <w:right w:val="single" w:sz="8" w:space="0" w:color="auto"/>
            </w:tcBorders>
            <w:shd w:val="clear" w:color="auto" w:fill="auto"/>
            <w:noWrap/>
            <w:vAlign w:val="center"/>
          </w:tcPr>
          <w:p w14:paraId="4320835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mayo de 2017</w:t>
            </w:r>
          </w:p>
        </w:tc>
      </w:tr>
    </w:tbl>
    <w:p w14:paraId="6C7E7B56" w14:textId="77777777" w:rsidR="00B2442D" w:rsidRDefault="008A645F">
      <w:pPr>
        <w:autoSpaceDE w:val="0"/>
        <w:autoSpaceDN w:val="0"/>
        <w:adjustRightInd w:val="0"/>
        <w:spacing w:line="40" w:lineRule="atLeast"/>
        <w:ind w:left="1440"/>
        <w:jc w:val="both"/>
        <w:rPr>
          <w:rFonts w:ascii="Arial" w:hAnsi="Arial" w:cs="Arial"/>
          <w:b/>
        </w:rPr>
      </w:pPr>
      <w:r>
        <w:rPr>
          <w:rFonts w:ascii="Arial" w:hAnsi="Arial" w:cs="Arial"/>
          <w:b/>
        </w:rPr>
        <w:t xml:space="preserve">                    </w:t>
      </w:r>
    </w:p>
    <w:p w14:paraId="4B4E925F" w14:textId="77777777" w:rsidR="00B2442D" w:rsidRDefault="008A645F">
      <w:pPr>
        <w:autoSpaceDE w:val="0"/>
        <w:autoSpaceDN w:val="0"/>
        <w:adjustRightInd w:val="0"/>
        <w:spacing w:line="40" w:lineRule="atLeast"/>
        <w:ind w:left="1440"/>
        <w:jc w:val="both"/>
        <w:rPr>
          <w:rFonts w:ascii="Arial" w:hAnsi="Arial" w:cs="Arial"/>
          <w:b/>
        </w:rPr>
      </w:pPr>
      <w:r>
        <w:rPr>
          <w:rFonts w:ascii="Arial" w:hAnsi="Arial" w:cs="Arial"/>
          <w:b/>
        </w:rPr>
        <w:t xml:space="preserve">    </w:t>
      </w:r>
    </w:p>
    <w:p w14:paraId="2052115E" w14:textId="77777777" w:rsidR="00B2442D" w:rsidRDefault="008A645F">
      <w:pPr>
        <w:autoSpaceDE w:val="0"/>
        <w:autoSpaceDN w:val="0"/>
        <w:adjustRightInd w:val="0"/>
        <w:spacing w:line="40" w:lineRule="atLeast"/>
        <w:jc w:val="both"/>
        <w:rPr>
          <w:rFonts w:ascii="Arial" w:hAnsi="Arial" w:cs="Arial"/>
          <w:b/>
        </w:rPr>
      </w:pPr>
      <w:r>
        <w:rPr>
          <w:rFonts w:ascii="Arial" w:hAnsi="Arial" w:cs="Arial"/>
          <w:b/>
        </w:rPr>
        <w:t>PERSONAS NATURALES</w:t>
      </w:r>
    </w:p>
    <w:p w14:paraId="0771083C" w14:textId="77777777" w:rsidR="00B2442D" w:rsidRDefault="00B2442D">
      <w:pPr>
        <w:autoSpaceDE w:val="0"/>
        <w:autoSpaceDN w:val="0"/>
        <w:adjustRightInd w:val="0"/>
        <w:spacing w:line="40" w:lineRule="atLeast"/>
        <w:ind w:left="1440"/>
        <w:jc w:val="both"/>
        <w:rPr>
          <w:rFonts w:ascii="Arial" w:hAnsi="Arial" w:cs="Arial"/>
          <w:b/>
        </w:rPr>
      </w:pPr>
    </w:p>
    <w:tbl>
      <w:tblPr>
        <w:tblW w:w="4668" w:type="dxa"/>
        <w:jc w:val="center"/>
        <w:tblCellMar>
          <w:left w:w="70" w:type="dxa"/>
          <w:right w:w="70" w:type="dxa"/>
        </w:tblCellMar>
        <w:tblLook w:val="04A0" w:firstRow="1" w:lastRow="0" w:firstColumn="1" w:lastColumn="0" w:noHBand="0" w:noVBand="1"/>
      </w:tblPr>
      <w:tblGrid>
        <w:gridCol w:w="1473"/>
        <w:gridCol w:w="3195"/>
      </w:tblGrid>
      <w:tr w:rsidR="00B2442D" w14:paraId="08FCAC61" w14:textId="77777777">
        <w:trPr>
          <w:trHeight w:val="675"/>
          <w:tblHeader/>
          <w:jc w:val="center"/>
        </w:trPr>
        <w:tc>
          <w:tcPr>
            <w:tcW w:w="147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655AB68"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los dos últimos dígitos son</w:t>
            </w:r>
          </w:p>
        </w:tc>
        <w:tc>
          <w:tcPr>
            <w:tcW w:w="3195" w:type="dxa"/>
            <w:tcBorders>
              <w:top w:val="single" w:sz="8" w:space="0" w:color="auto"/>
              <w:left w:val="nil"/>
              <w:bottom w:val="single" w:sz="8" w:space="0" w:color="auto"/>
              <w:right w:val="single" w:sz="8" w:space="0" w:color="auto"/>
            </w:tcBorders>
            <w:shd w:val="clear" w:color="000000" w:fill="BFBFBF"/>
            <w:noWrap/>
            <w:vAlign w:val="center"/>
            <w:hideMark/>
          </w:tcPr>
          <w:p w14:paraId="6F9D84CD"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39AFEC0F"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06DBB1C" w14:textId="77777777" w:rsidR="00B2442D" w:rsidRDefault="008A645F">
            <w:pPr>
              <w:jc w:val="center"/>
              <w:rPr>
                <w:rFonts w:ascii="Arial" w:hAnsi="Arial" w:cs="Arial"/>
                <w:color w:val="000000"/>
                <w:lang w:val="es-CO" w:eastAsia="es-CO"/>
              </w:rPr>
            </w:pPr>
            <w:r>
              <w:rPr>
                <w:rFonts w:ascii="Arial" w:hAnsi="Arial" w:cs="Arial"/>
                <w:color w:val="000000"/>
              </w:rPr>
              <w:t>99 y 00</w:t>
            </w:r>
          </w:p>
        </w:tc>
        <w:tc>
          <w:tcPr>
            <w:tcW w:w="3195" w:type="dxa"/>
            <w:tcBorders>
              <w:top w:val="nil"/>
              <w:left w:val="nil"/>
              <w:bottom w:val="single" w:sz="8" w:space="0" w:color="auto"/>
              <w:right w:val="single" w:sz="8" w:space="0" w:color="auto"/>
            </w:tcBorders>
            <w:shd w:val="clear" w:color="auto" w:fill="auto"/>
            <w:noWrap/>
            <w:vAlign w:val="center"/>
          </w:tcPr>
          <w:p w14:paraId="6CB0120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agosto de 2017</w:t>
            </w:r>
          </w:p>
        </w:tc>
      </w:tr>
      <w:tr w:rsidR="00B2442D" w14:paraId="35072152"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CFFD5BD" w14:textId="77777777" w:rsidR="00B2442D" w:rsidRDefault="008A645F">
            <w:pPr>
              <w:jc w:val="center"/>
              <w:rPr>
                <w:rFonts w:ascii="Arial" w:hAnsi="Arial" w:cs="Arial"/>
                <w:color w:val="000000"/>
              </w:rPr>
            </w:pPr>
            <w:r>
              <w:rPr>
                <w:rFonts w:ascii="Arial" w:hAnsi="Arial" w:cs="Arial"/>
                <w:color w:val="000000"/>
              </w:rPr>
              <w:t>97 y 98</w:t>
            </w:r>
          </w:p>
        </w:tc>
        <w:tc>
          <w:tcPr>
            <w:tcW w:w="3195" w:type="dxa"/>
            <w:tcBorders>
              <w:top w:val="nil"/>
              <w:left w:val="nil"/>
              <w:bottom w:val="single" w:sz="8" w:space="0" w:color="auto"/>
              <w:right w:val="single" w:sz="8" w:space="0" w:color="auto"/>
            </w:tcBorders>
            <w:shd w:val="clear" w:color="auto" w:fill="auto"/>
            <w:noWrap/>
            <w:vAlign w:val="center"/>
          </w:tcPr>
          <w:p w14:paraId="6DB788C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10 de agosto de </w:t>
            </w:r>
            <w:r>
              <w:rPr>
                <w:rFonts w:ascii="Arial" w:hAnsi="Arial" w:cs="Arial"/>
                <w:color w:val="000000"/>
                <w:lang w:val="es-CO" w:eastAsia="es-CO"/>
              </w:rPr>
              <w:t>2017</w:t>
            </w:r>
          </w:p>
        </w:tc>
      </w:tr>
      <w:tr w:rsidR="00B2442D" w14:paraId="49CEBDFE"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D961756" w14:textId="77777777" w:rsidR="00B2442D" w:rsidRDefault="008A645F">
            <w:pPr>
              <w:jc w:val="center"/>
              <w:rPr>
                <w:rFonts w:ascii="Arial" w:hAnsi="Arial" w:cs="Arial"/>
                <w:color w:val="000000"/>
              </w:rPr>
            </w:pPr>
            <w:r>
              <w:rPr>
                <w:rFonts w:ascii="Arial" w:hAnsi="Arial" w:cs="Arial"/>
                <w:color w:val="000000"/>
              </w:rPr>
              <w:t>95 y 96</w:t>
            </w:r>
          </w:p>
        </w:tc>
        <w:tc>
          <w:tcPr>
            <w:tcW w:w="3195" w:type="dxa"/>
            <w:tcBorders>
              <w:top w:val="nil"/>
              <w:left w:val="nil"/>
              <w:bottom w:val="single" w:sz="8" w:space="0" w:color="auto"/>
              <w:right w:val="single" w:sz="8" w:space="0" w:color="auto"/>
            </w:tcBorders>
            <w:shd w:val="clear" w:color="auto" w:fill="auto"/>
            <w:noWrap/>
            <w:vAlign w:val="center"/>
          </w:tcPr>
          <w:p w14:paraId="320A223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agosto de 2017</w:t>
            </w:r>
          </w:p>
        </w:tc>
      </w:tr>
      <w:tr w:rsidR="00B2442D" w14:paraId="14CC9E11"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1B5B8D58" w14:textId="77777777" w:rsidR="00B2442D" w:rsidRDefault="008A645F">
            <w:pPr>
              <w:jc w:val="center"/>
              <w:rPr>
                <w:rFonts w:ascii="Arial" w:hAnsi="Arial" w:cs="Arial"/>
                <w:color w:val="000000"/>
              </w:rPr>
            </w:pPr>
            <w:r>
              <w:rPr>
                <w:rFonts w:ascii="Arial" w:hAnsi="Arial" w:cs="Arial"/>
                <w:color w:val="000000"/>
              </w:rPr>
              <w:t>93 y 94</w:t>
            </w:r>
          </w:p>
        </w:tc>
        <w:tc>
          <w:tcPr>
            <w:tcW w:w="3195" w:type="dxa"/>
            <w:tcBorders>
              <w:top w:val="nil"/>
              <w:left w:val="nil"/>
              <w:bottom w:val="single" w:sz="8" w:space="0" w:color="auto"/>
              <w:right w:val="single" w:sz="8" w:space="0" w:color="auto"/>
            </w:tcBorders>
            <w:shd w:val="clear" w:color="auto" w:fill="auto"/>
            <w:noWrap/>
            <w:vAlign w:val="center"/>
          </w:tcPr>
          <w:p w14:paraId="224A3B2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agosto de 2017</w:t>
            </w:r>
          </w:p>
        </w:tc>
      </w:tr>
      <w:tr w:rsidR="00B2442D" w14:paraId="0520530F"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8D8A38F" w14:textId="77777777" w:rsidR="00B2442D" w:rsidRDefault="008A645F">
            <w:pPr>
              <w:jc w:val="center"/>
              <w:rPr>
                <w:rFonts w:ascii="Arial" w:hAnsi="Arial" w:cs="Arial"/>
                <w:color w:val="000000"/>
              </w:rPr>
            </w:pPr>
            <w:r>
              <w:rPr>
                <w:rFonts w:ascii="Arial" w:hAnsi="Arial" w:cs="Arial"/>
                <w:color w:val="000000"/>
              </w:rPr>
              <w:t>91 y 92</w:t>
            </w:r>
          </w:p>
        </w:tc>
        <w:tc>
          <w:tcPr>
            <w:tcW w:w="3195" w:type="dxa"/>
            <w:tcBorders>
              <w:top w:val="nil"/>
              <w:left w:val="nil"/>
              <w:bottom w:val="single" w:sz="8" w:space="0" w:color="auto"/>
              <w:right w:val="single" w:sz="8" w:space="0" w:color="auto"/>
            </w:tcBorders>
            <w:shd w:val="clear" w:color="auto" w:fill="auto"/>
            <w:noWrap/>
            <w:vAlign w:val="center"/>
          </w:tcPr>
          <w:p w14:paraId="7A074CF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agosto de 2017</w:t>
            </w:r>
          </w:p>
        </w:tc>
      </w:tr>
      <w:tr w:rsidR="00B2442D" w14:paraId="292D0D1F"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41F2A42" w14:textId="77777777" w:rsidR="00B2442D" w:rsidRDefault="008A645F">
            <w:pPr>
              <w:jc w:val="center"/>
              <w:rPr>
                <w:rFonts w:ascii="Arial" w:hAnsi="Arial" w:cs="Arial"/>
                <w:color w:val="000000"/>
              </w:rPr>
            </w:pPr>
            <w:r>
              <w:rPr>
                <w:rFonts w:ascii="Arial" w:hAnsi="Arial" w:cs="Arial"/>
                <w:color w:val="000000"/>
              </w:rPr>
              <w:t>89 y 90</w:t>
            </w:r>
          </w:p>
        </w:tc>
        <w:tc>
          <w:tcPr>
            <w:tcW w:w="3195" w:type="dxa"/>
            <w:tcBorders>
              <w:top w:val="nil"/>
              <w:left w:val="nil"/>
              <w:bottom w:val="single" w:sz="8" w:space="0" w:color="auto"/>
              <w:right w:val="single" w:sz="8" w:space="0" w:color="auto"/>
            </w:tcBorders>
            <w:shd w:val="clear" w:color="auto" w:fill="auto"/>
            <w:noWrap/>
            <w:vAlign w:val="center"/>
          </w:tcPr>
          <w:p w14:paraId="7AA50E9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agosto de 2017</w:t>
            </w:r>
          </w:p>
        </w:tc>
      </w:tr>
      <w:tr w:rsidR="00B2442D" w14:paraId="26A264E9"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05D3182" w14:textId="77777777" w:rsidR="00B2442D" w:rsidRDefault="008A645F">
            <w:pPr>
              <w:jc w:val="center"/>
              <w:rPr>
                <w:rFonts w:ascii="Arial" w:hAnsi="Arial" w:cs="Arial"/>
                <w:color w:val="000000"/>
              </w:rPr>
            </w:pPr>
            <w:r>
              <w:rPr>
                <w:rFonts w:ascii="Arial" w:hAnsi="Arial" w:cs="Arial"/>
                <w:color w:val="000000"/>
              </w:rPr>
              <w:t>87 y 88</w:t>
            </w:r>
          </w:p>
        </w:tc>
        <w:tc>
          <w:tcPr>
            <w:tcW w:w="3195" w:type="dxa"/>
            <w:tcBorders>
              <w:top w:val="nil"/>
              <w:left w:val="nil"/>
              <w:bottom w:val="single" w:sz="8" w:space="0" w:color="auto"/>
              <w:right w:val="single" w:sz="8" w:space="0" w:color="auto"/>
            </w:tcBorders>
            <w:shd w:val="clear" w:color="auto" w:fill="auto"/>
            <w:noWrap/>
            <w:vAlign w:val="center"/>
          </w:tcPr>
          <w:p w14:paraId="52411A7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agosto de 2017</w:t>
            </w:r>
          </w:p>
        </w:tc>
      </w:tr>
      <w:tr w:rsidR="00B2442D" w14:paraId="4160FD4F"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F061244" w14:textId="77777777" w:rsidR="00B2442D" w:rsidRDefault="008A645F">
            <w:pPr>
              <w:jc w:val="center"/>
              <w:rPr>
                <w:rFonts w:ascii="Arial" w:hAnsi="Arial" w:cs="Arial"/>
                <w:color w:val="000000"/>
              </w:rPr>
            </w:pPr>
            <w:r>
              <w:rPr>
                <w:rFonts w:ascii="Arial" w:hAnsi="Arial" w:cs="Arial"/>
                <w:color w:val="000000"/>
              </w:rPr>
              <w:t>85 y 86</w:t>
            </w:r>
          </w:p>
        </w:tc>
        <w:tc>
          <w:tcPr>
            <w:tcW w:w="3195" w:type="dxa"/>
            <w:tcBorders>
              <w:top w:val="nil"/>
              <w:left w:val="nil"/>
              <w:bottom w:val="single" w:sz="8" w:space="0" w:color="auto"/>
              <w:right w:val="single" w:sz="8" w:space="0" w:color="auto"/>
            </w:tcBorders>
            <w:shd w:val="clear" w:color="auto" w:fill="auto"/>
            <w:noWrap/>
            <w:vAlign w:val="center"/>
          </w:tcPr>
          <w:p w14:paraId="66F7897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agosto de 2017</w:t>
            </w:r>
          </w:p>
        </w:tc>
      </w:tr>
      <w:tr w:rsidR="00B2442D" w14:paraId="571BFE91"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0E29531" w14:textId="77777777" w:rsidR="00B2442D" w:rsidRDefault="008A645F">
            <w:pPr>
              <w:jc w:val="center"/>
              <w:rPr>
                <w:rFonts w:ascii="Arial" w:hAnsi="Arial" w:cs="Arial"/>
                <w:color w:val="000000"/>
              </w:rPr>
            </w:pPr>
            <w:r>
              <w:rPr>
                <w:rFonts w:ascii="Arial" w:hAnsi="Arial" w:cs="Arial"/>
                <w:color w:val="000000"/>
              </w:rPr>
              <w:t>83 y 84</w:t>
            </w:r>
          </w:p>
        </w:tc>
        <w:tc>
          <w:tcPr>
            <w:tcW w:w="3195" w:type="dxa"/>
            <w:tcBorders>
              <w:top w:val="nil"/>
              <w:left w:val="nil"/>
              <w:bottom w:val="single" w:sz="8" w:space="0" w:color="auto"/>
              <w:right w:val="single" w:sz="8" w:space="0" w:color="auto"/>
            </w:tcBorders>
            <w:shd w:val="clear" w:color="auto" w:fill="auto"/>
            <w:noWrap/>
            <w:vAlign w:val="center"/>
          </w:tcPr>
          <w:p w14:paraId="4F825C4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agosto de 2017</w:t>
            </w:r>
          </w:p>
        </w:tc>
      </w:tr>
      <w:tr w:rsidR="00B2442D" w14:paraId="56864930"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801DF88" w14:textId="77777777" w:rsidR="00B2442D" w:rsidRDefault="008A645F">
            <w:pPr>
              <w:jc w:val="center"/>
              <w:rPr>
                <w:rFonts w:ascii="Arial" w:hAnsi="Arial" w:cs="Arial"/>
                <w:color w:val="000000"/>
              </w:rPr>
            </w:pPr>
            <w:r>
              <w:rPr>
                <w:rFonts w:ascii="Arial" w:hAnsi="Arial" w:cs="Arial"/>
                <w:color w:val="000000"/>
              </w:rPr>
              <w:t>81 y 82</w:t>
            </w:r>
          </w:p>
        </w:tc>
        <w:tc>
          <w:tcPr>
            <w:tcW w:w="3195" w:type="dxa"/>
            <w:tcBorders>
              <w:top w:val="nil"/>
              <w:left w:val="nil"/>
              <w:bottom w:val="single" w:sz="8" w:space="0" w:color="auto"/>
              <w:right w:val="single" w:sz="8" w:space="0" w:color="auto"/>
            </w:tcBorders>
            <w:shd w:val="clear" w:color="auto" w:fill="auto"/>
            <w:noWrap/>
            <w:vAlign w:val="center"/>
          </w:tcPr>
          <w:p w14:paraId="2AE962F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23 de agosto de 2017</w:t>
            </w:r>
          </w:p>
        </w:tc>
      </w:tr>
      <w:tr w:rsidR="00B2442D" w14:paraId="0007B41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78B29DC3" w14:textId="77777777" w:rsidR="00B2442D" w:rsidRDefault="008A645F">
            <w:pPr>
              <w:jc w:val="center"/>
              <w:rPr>
                <w:rFonts w:ascii="Arial" w:hAnsi="Arial" w:cs="Arial"/>
                <w:color w:val="000000"/>
              </w:rPr>
            </w:pPr>
            <w:r>
              <w:rPr>
                <w:rFonts w:ascii="Arial" w:hAnsi="Arial" w:cs="Arial"/>
                <w:color w:val="000000"/>
              </w:rPr>
              <w:t xml:space="preserve">79 y </w:t>
            </w:r>
            <w:r>
              <w:rPr>
                <w:rFonts w:ascii="Arial" w:hAnsi="Arial" w:cs="Arial"/>
                <w:color w:val="000000"/>
              </w:rPr>
              <w:t>80</w:t>
            </w:r>
          </w:p>
        </w:tc>
        <w:tc>
          <w:tcPr>
            <w:tcW w:w="3195" w:type="dxa"/>
            <w:tcBorders>
              <w:top w:val="nil"/>
              <w:left w:val="nil"/>
              <w:bottom w:val="single" w:sz="8" w:space="0" w:color="auto"/>
              <w:right w:val="single" w:sz="8" w:space="0" w:color="auto"/>
            </w:tcBorders>
            <w:shd w:val="clear" w:color="auto" w:fill="auto"/>
            <w:noWrap/>
            <w:vAlign w:val="center"/>
          </w:tcPr>
          <w:p w14:paraId="775B2E2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agosto de 2017</w:t>
            </w:r>
          </w:p>
        </w:tc>
      </w:tr>
      <w:tr w:rsidR="00B2442D" w14:paraId="30A7CDD4"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294A94D" w14:textId="77777777" w:rsidR="00B2442D" w:rsidRDefault="008A645F">
            <w:pPr>
              <w:jc w:val="center"/>
              <w:rPr>
                <w:rFonts w:ascii="Arial" w:hAnsi="Arial" w:cs="Arial"/>
                <w:color w:val="000000"/>
              </w:rPr>
            </w:pPr>
            <w:r>
              <w:rPr>
                <w:rFonts w:ascii="Arial" w:hAnsi="Arial" w:cs="Arial"/>
                <w:color w:val="000000"/>
              </w:rPr>
              <w:t>77 y 78</w:t>
            </w:r>
          </w:p>
        </w:tc>
        <w:tc>
          <w:tcPr>
            <w:tcW w:w="3195" w:type="dxa"/>
            <w:tcBorders>
              <w:top w:val="nil"/>
              <w:left w:val="nil"/>
              <w:bottom w:val="single" w:sz="8" w:space="0" w:color="auto"/>
              <w:right w:val="single" w:sz="8" w:space="0" w:color="auto"/>
            </w:tcBorders>
            <w:shd w:val="clear" w:color="auto" w:fill="auto"/>
            <w:noWrap/>
            <w:vAlign w:val="center"/>
          </w:tcPr>
          <w:p w14:paraId="5C2FCBB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agosto de 2017</w:t>
            </w:r>
          </w:p>
        </w:tc>
      </w:tr>
      <w:tr w:rsidR="00B2442D" w14:paraId="79E4C4CD"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0901263" w14:textId="77777777" w:rsidR="00B2442D" w:rsidRDefault="008A645F">
            <w:pPr>
              <w:jc w:val="center"/>
              <w:rPr>
                <w:rFonts w:ascii="Arial" w:hAnsi="Arial" w:cs="Arial"/>
                <w:color w:val="000000"/>
              </w:rPr>
            </w:pPr>
            <w:r>
              <w:rPr>
                <w:rFonts w:ascii="Arial" w:hAnsi="Arial" w:cs="Arial"/>
                <w:color w:val="000000"/>
              </w:rPr>
              <w:t>75 y 76</w:t>
            </w:r>
          </w:p>
        </w:tc>
        <w:tc>
          <w:tcPr>
            <w:tcW w:w="3195" w:type="dxa"/>
            <w:tcBorders>
              <w:top w:val="nil"/>
              <w:left w:val="nil"/>
              <w:bottom w:val="single" w:sz="8" w:space="0" w:color="auto"/>
              <w:right w:val="single" w:sz="8" w:space="0" w:color="auto"/>
            </w:tcBorders>
            <w:shd w:val="clear" w:color="auto" w:fill="auto"/>
            <w:noWrap/>
            <w:vAlign w:val="center"/>
          </w:tcPr>
          <w:p w14:paraId="221E27A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agosto de 2017</w:t>
            </w:r>
          </w:p>
        </w:tc>
      </w:tr>
      <w:tr w:rsidR="00B2442D" w14:paraId="50FAAA73"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585EEC13" w14:textId="77777777" w:rsidR="00B2442D" w:rsidRDefault="008A645F">
            <w:pPr>
              <w:jc w:val="center"/>
              <w:rPr>
                <w:rFonts w:ascii="Arial" w:hAnsi="Arial" w:cs="Arial"/>
                <w:color w:val="000000"/>
              </w:rPr>
            </w:pPr>
            <w:r>
              <w:rPr>
                <w:rFonts w:ascii="Arial" w:hAnsi="Arial" w:cs="Arial"/>
                <w:color w:val="000000"/>
              </w:rPr>
              <w:t>73 y 74</w:t>
            </w:r>
          </w:p>
        </w:tc>
        <w:tc>
          <w:tcPr>
            <w:tcW w:w="3195" w:type="dxa"/>
            <w:tcBorders>
              <w:top w:val="nil"/>
              <w:left w:val="nil"/>
              <w:bottom w:val="single" w:sz="8" w:space="0" w:color="auto"/>
              <w:right w:val="single" w:sz="8" w:space="0" w:color="auto"/>
            </w:tcBorders>
            <w:shd w:val="clear" w:color="auto" w:fill="auto"/>
            <w:noWrap/>
            <w:vAlign w:val="center"/>
          </w:tcPr>
          <w:p w14:paraId="4C937BA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29 de agosto de 2017</w:t>
            </w:r>
          </w:p>
        </w:tc>
      </w:tr>
      <w:tr w:rsidR="00B2442D" w14:paraId="7110DD4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B69EB40" w14:textId="77777777" w:rsidR="00B2442D" w:rsidRDefault="008A645F">
            <w:pPr>
              <w:jc w:val="center"/>
              <w:rPr>
                <w:rFonts w:ascii="Arial" w:hAnsi="Arial" w:cs="Arial"/>
                <w:color w:val="000000"/>
              </w:rPr>
            </w:pPr>
            <w:r>
              <w:rPr>
                <w:rFonts w:ascii="Arial" w:hAnsi="Arial" w:cs="Arial"/>
                <w:color w:val="000000"/>
              </w:rPr>
              <w:t>71 y 72</w:t>
            </w:r>
          </w:p>
        </w:tc>
        <w:tc>
          <w:tcPr>
            <w:tcW w:w="3195" w:type="dxa"/>
            <w:tcBorders>
              <w:top w:val="nil"/>
              <w:left w:val="nil"/>
              <w:bottom w:val="single" w:sz="8" w:space="0" w:color="auto"/>
              <w:right w:val="single" w:sz="8" w:space="0" w:color="auto"/>
            </w:tcBorders>
            <w:shd w:val="clear" w:color="auto" w:fill="auto"/>
            <w:noWrap/>
            <w:vAlign w:val="center"/>
          </w:tcPr>
          <w:p w14:paraId="6972B82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30 de agosto de 2017</w:t>
            </w:r>
          </w:p>
        </w:tc>
      </w:tr>
      <w:tr w:rsidR="00B2442D" w14:paraId="5CC2D381"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F05F6D0" w14:textId="77777777" w:rsidR="00B2442D" w:rsidRDefault="008A645F">
            <w:pPr>
              <w:jc w:val="center"/>
              <w:rPr>
                <w:rFonts w:ascii="Arial" w:hAnsi="Arial" w:cs="Arial"/>
                <w:color w:val="000000"/>
              </w:rPr>
            </w:pPr>
            <w:r>
              <w:rPr>
                <w:rFonts w:ascii="Arial" w:hAnsi="Arial" w:cs="Arial"/>
                <w:color w:val="000000"/>
              </w:rPr>
              <w:t>69 y 70</w:t>
            </w:r>
          </w:p>
        </w:tc>
        <w:tc>
          <w:tcPr>
            <w:tcW w:w="3195" w:type="dxa"/>
            <w:tcBorders>
              <w:top w:val="nil"/>
              <w:left w:val="nil"/>
              <w:bottom w:val="single" w:sz="8" w:space="0" w:color="auto"/>
              <w:right w:val="single" w:sz="8" w:space="0" w:color="auto"/>
            </w:tcBorders>
            <w:shd w:val="clear" w:color="auto" w:fill="auto"/>
            <w:noWrap/>
            <w:vAlign w:val="center"/>
          </w:tcPr>
          <w:p w14:paraId="12DA538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31 de agosto de 2017</w:t>
            </w:r>
          </w:p>
        </w:tc>
      </w:tr>
      <w:tr w:rsidR="00B2442D" w14:paraId="2DCB8C90"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938F2ED" w14:textId="77777777" w:rsidR="00B2442D" w:rsidRDefault="008A645F">
            <w:pPr>
              <w:jc w:val="center"/>
              <w:rPr>
                <w:rFonts w:ascii="Arial" w:hAnsi="Arial" w:cs="Arial"/>
                <w:color w:val="000000"/>
              </w:rPr>
            </w:pPr>
            <w:r>
              <w:rPr>
                <w:rFonts w:ascii="Arial" w:hAnsi="Arial" w:cs="Arial"/>
                <w:color w:val="000000"/>
              </w:rPr>
              <w:t>67 y 68</w:t>
            </w:r>
          </w:p>
        </w:tc>
        <w:tc>
          <w:tcPr>
            <w:tcW w:w="3195" w:type="dxa"/>
            <w:tcBorders>
              <w:top w:val="nil"/>
              <w:left w:val="nil"/>
              <w:bottom w:val="single" w:sz="8" w:space="0" w:color="auto"/>
              <w:right w:val="single" w:sz="8" w:space="0" w:color="auto"/>
            </w:tcBorders>
            <w:shd w:val="clear" w:color="auto" w:fill="auto"/>
            <w:noWrap/>
            <w:vAlign w:val="center"/>
          </w:tcPr>
          <w:p w14:paraId="58CC39A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01 de Septiembre de 2017</w:t>
            </w:r>
          </w:p>
        </w:tc>
      </w:tr>
      <w:tr w:rsidR="00B2442D" w14:paraId="540BEA3B"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74DC3731" w14:textId="77777777" w:rsidR="00B2442D" w:rsidRDefault="008A645F">
            <w:pPr>
              <w:jc w:val="center"/>
              <w:rPr>
                <w:rFonts w:ascii="Arial" w:hAnsi="Arial" w:cs="Arial"/>
                <w:color w:val="000000"/>
              </w:rPr>
            </w:pPr>
            <w:r>
              <w:rPr>
                <w:rFonts w:ascii="Arial" w:hAnsi="Arial" w:cs="Arial"/>
                <w:color w:val="000000"/>
              </w:rPr>
              <w:t>65 y 66</w:t>
            </w:r>
          </w:p>
        </w:tc>
        <w:tc>
          <w:tcPr>
            <w:tcW w:w="3195" w:type="dxa"/>
            <w:tcBorders>
              <w:top w:val="nil"/>
              <w:left w:val="nil"/>
              <w:bottom w:val="single" w:sz="8" w:space="0" w:color="auto"/>
              <w:right w:val="single" w:sz="8" w:space="0" w:color="auto"/>
            </w:tcBorders>
            <w:shd w:val="clear" w:color="auto" w:fill="auto"/>
            <w:noWrap/>
            <w:vAlign w:val="center"/>
          </w:tcPr>
          <w:p w14:paraId="3F3E4C8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Septiembre de 2017</w:t>
            </w:r>
          </w:p>
        </w:tc>
      </w:tr>
      <w:tr w:rsidR="00B2442D" w14:paraId="177F6FFC"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825C2EE" w14:textId="77777777" w:rsidR="00B2442D" w:rsidRDefault="008A645F">
            <w:pPr>
              <w:jc w:val="center"/>
              <w:rPr>
                <w:rFonts w:ascii="Arial" w:hAnsi="Arial" w:cs="Arial"/>
                <w:color w:val="000000"/>
              </w:rPr>
            </w:pPr>
            <w:r>
              <w:rPr>
                <w:rFonts w:ascii="Arial" w:hAnsi="Arial" w:cs="Arial"/>
                <w:color w:val="000000"/>
              </w:rPr>
              <w:t>63 y 64</w:t>
            </w:r>
          </w:p>
        </w:tc>
        <w:tc>
          <w:tcPr>
            <w:tcW w:w="3195" w:type="dxa"/>
            <w:tcBorders>
              <w:top w:val="nil"/>
              <w:left w:val="nil"/>
              <w:bottom w:val="single" w:sz="8" w:space="0" w:color="auto"/>
              <w:right w:val="single" w:sz="8" w:space="0" w:color="auto"/>
            </w:tcBorders>
            <w:shd w:val="clear" w:color="auto" w:fill="auto"/>
            <w:noWrap/>
            <w:vAlign w:val="center"/>
          </w:tcPr>
          <w:p w14:paraId="0BB41B1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05 </w:t>
            </w:r>
            <w:r>
              <w:rPr>
                <w:rFonts w:ascii="Arial" w:hAnsi="Arial" w:cs="Arial"/>
                <w:color w:val="000000"/>
                <w:lang w:val="es-CO" w:eastAsia="es-CO"/>
              </w:rPr>
              <w:t>de Septiembre de 2017</w:t>
            </w:r>
          </w:p>
        </w:tc>
      </w:tr>
      <w:tr w:rsidR="00B2442D" w14:paraId="32FAF442"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EF7E659" w14:textId="77777777" w:rsidR="00B2442D" w:rsidRDefault="008A645F">
            <w:pPr>
              <w:jc w:val="center"/>
              <w:rPr>
                <w:rFonts w:ascii="Arial" w:hAnsi="Arial" w:cs="Arial"/>
                <w:color w:val="000000"/>
              </w:rPr>
            </w:pPr>
            <w:r>
              <w:rPr>
                <w:rFonts w:ascii="Arial" w:hAnsi="Arial" w:cs="Arial"/>
                <w:color w:val="000000"/>
              </w:rPr>
              <w:t>61 y 62</w:t>
            </w:r>
          </w:p>
        </w:tc>
        <w:tc>
          <w:tcPr>
            <w:tcW w:w="3195" w:type="dxa"/>
            <w:tcBorders>
              <w:top w:val="nil"/>
              <w:left w:val="nil"/>
              <w:bottom w:val="single" w:sz="8" w:space="0" w:color="auto"/>
              <w:right w:val="single" w:sz="8" w:space="0" w:color="auto"/>
            </w:tcBorders>
            <w:shd w:val="clear" w:color="auto" w:fill="auto"/>
            <w:noWrap/>
            <w:vAlign w:val="center"/>
          </w:tcPr>
          <w:p w14:paraId="574CA8F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06 de Septiembre de 2017</w:t>
            </w:r>
          </w:p>
        </w:tc>
      </w:tr>
      <w:tr w:rsidR="00B2442D" w14:paraId="6E312F31"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0794A5D" w14:textId="77777777" w:rsidR="00B2442D" w:rsidRDefault="008A645F">
            <w:pPr>
              <w:jc w:val="center"/>
              <w:rPr>
                <w:rFonts w:ascii="Arial" w:hAnsi="Arial" w:cs="Arial"/>
                <w:color w:val="000000"/>
              </w:rPr>
            </w:pPr>
            <w:r>
              <w:rPr>
                <w:rFonts w:ascii="Arial" w:hAnsi="Arial" w:cs="Arial"/>
                <w:color w:val="000000"/>
              </w:rPr>
              <w:t>59 y 60</w:t>
            </w:r>
          </w:p>
        </w:tc>
        <w:tc>
          <w:tcPr>
            <w:tcW w:w="3195" w:type="dxa"/>
            <w:tcBorders>
              <w:top w:val="nil"/>
              <w:left w:val="nil"/>
              <w:bottom w:val="single" w:sz="8" w:space="0" w:color="auto"/>
              <w:right w:val="single" w:sz="8" w:space="0" w:color="auto"/>
            </w:tcBorders>
            <w:shd w:val="clear" w:color="auto" w:fill="auto"/>
            <w:noWrap/>
            <w:vAlign w:val="center"/>
          </w:tcPr>
          <w:p w14:paraId="2826A91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07 de Septiembre de 2017</w:t>
            </w:r>
          </w:p>
        </w:tc>
      </w:tr>
      <w:tr w:rsidR="00B2442D" w14:paraId="599A11B9"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FEC5D37" w14:textId="77777777" w:rsidR="00B2442D" w:rsidRDefault="008A645F">
            <w:pPr>
              <w:jc w:val="center"/>
              <w:rPr>
                <w:rFonts w:ascii="Arial" w:hAnsi="Arial" w:cs="Arial"/>
                <w:color w:val="000000"/>
              </w:rPr>
            </w:pPr>
            <w:r>
              <w:rPr>
                <w:rFonts w:ascii="Arial" w:hAnsi="Arial" w:cs="Arial"/>
                <w:color w:val="000000"/>
              </w:rPr>
              <w:t>57 y 58</w:t>
            </w:r>
          </w:p>
        </w:tc>
        <w:tc>
          <w:tcPr>
            <w:tcW w:w="3195" w:type="dxa"/>
            <w:tcBorders>
              <w:top w:val="nil"/>
              <w:left w:val="nil"/>
              <w:bottom w:val="single" w:sz="8" w:space="0" w:color="auto"/>
              <w:right w:val="single" w:sz="8" w:space="0" w:color="auto"/>
            </w:tcBorders>
            <w:shd w:val="clear" w:color="auto" w:fill="auto"/>
            <w:noWrap/>
            <w:vAlign w:val="center"/>
          </w:tcPr>
          <w:p w14:paraId="59C0EEE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08 de Septiembre de 2017</w:t>
            </w:r>
          </w:p>
        </w:tc>
      </w:tr>
      <w:tr w:rsidR="00B2442D" w14:paraId="15EAD1B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6A6BF13" w14:textId="77777777" w:rsidR="00B2442D" w:rsidRDefault="008A645F">
            <w:pPr>
              <w:jc w:val="center"/>
              <w:rPr>
                <w:rFonts w:ascii="Arial" w:hAnsi="Arial" w:cs="Arial"/>
                <w:color w:val="000000"/>
              </w:rPr>
            </w:pPr>
            <w:r>
              <w:rPr>
                <w:rFonts w:ascii="Arial" w:hAnsi="Arial" w:cs="Arial"/>
                <w:color w:val="000000"/>
              </w:rPr>
              <w:t>55 y 56</w:t>
            </w:r>
          </w:p>
        </w:tc>
        <w:tc>
          <w:tcPr>
            <w:tcW w:w="3195" w:type="dxa"/>
            <w:tcBorders>
              <w:top w:val="nil"/>
              <w:left w:val="nil"/>
              <w:bottom w:val="single" w:sz="8" w:space="0" w:color="auto"/>
              <w:right w:val="single" w:sz="8" w:space="0" w:color="auto"/>
            </w:tcBorders>
            <w:shd w:val="clear" w:color="auto" w:fill="auto"/>
            <w:noWrap/>
            <w:vAlign w:val="center"/>
          </w:tcPr>
          <w:p w14:paraId="45FCFFB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Septiembre de 2017</w:t>
            </w:r>
          </w:p>
        </w:tc>
      </w:tr>
      <w:tr w:rsidR="00B2442D" w14:paraId="61BB2A7A"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C7C4932" w14:textId="77777777" w:rsidR="00B2442D" w:rsidRDefault="008A645F">
            <w:pPr>
              <w:jc w:val="center"/>
              <w:rPr>
                <w:rFonts w:ascii="Arial" w:hAnsi="Arial" w:cs="Arial"/>
                <w:color w:val="000000"/>
              </w:rPr>
            </w:pPr>
            <w:r>
              <w:rPr>
                <w:rFonts w:ascii="Arial" w:hAnsi="Arial" w:cs="Arial"/>
                <w:color w:val="000000"/>
              </w:rPr>
              <w:t>53 y 54</w:t>
            </w:r>
          </w:p>
        </w:tc>
        <w:tc>
          <w:tcPr>
            <w:tcW w:w="3195" w:type="dxa"/>
            <w:tcBorders>
              <w:top w:val="nil"/>
              <w:left w:val="nil"/>
              <w:bottom w:val="single" w:sz="8" w:space="0" w:color="auto"/>
              <w:right w:val="single" w:sz="8" w:space="0" w:color="auto"/>
            </w:tcBorders>
            <w:shd w:val="clear" w:color="auto" w:fill="auto"/>
            <w:noWrap/>
            <w:vAlign w:val="center"/>
          </w:tcPr>
          <w:p w14:paraId="7710FCB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Septiembre de 2017</w:t>
            </w:r>
          </w:p>
        </w:tc>
      </w:tr>
      <w:tr w:rsidR="00B2442D" w14:paraId="3F470AE5"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4598739" w14:textId="77777777" w:rsidR="00B2442D" w:rsidRDefault="008A645F">
            <w:pPr>
              <w:jc w:val="center"/>
              <w:rPr>
                <w:rFonts w:ascii="Arial" w:hAnsi="Arial" w:cs="Arial"/>
                <w:color w:val="000000"/>
              </w:rPr>
            </w:pPr>
            <w:r>
              <w:rPr>
                <w:rFonts w:ascii="Arial" w:hAnsi="Arial" w:cs="Arial"/>
                <w:color w:val="000000"/>
              </w:rPr>
              <w:t>51 y 52</w:t>
            </w:r>
          </w:p>
        </w:tc>
        <w:tc>
          <w:tcPr>
            <w:tcW w:w="3195" w:type="dxa"/>
            <w:tcBorders>
              <w:top w:val="nil"/>
              <w:left w:val="nil"/>
              <w:bottom w:val="single" w:sz="8" w:space="0" w:color="auto"/>
              <w:right w:val="single" w:sz="8" w:space="0" w:color="auto"/>
            </w:tcBorders>
            <w:shd w:val="clear" w:color="auto" w:fill="auto"/>
            <w:noWrap/>
            <w:vAlign w:val="center"/>
          </w:tcPr>
          <w:p w14:paraId="59A58E0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Septiembre de 2017</w:t>
            </w:r>
          </w:p>
        </w:tc>
      </w:tr>
      <w:tr w:rsidR="00B2442D" w14:paraId="417C1B2D"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379D74C" w14:textId="77777777" w:rsidR="00B2442D" w:rsidRDefault="008A645F">
            <w:pPr>
              <w:jc w:val="center"/>
              <w:rPr>
                <w:rFonts w:ascii="Arial" w:hAnsi="Arial" w:cs="Arial"/>
                <w:color w:val="000000"/>
              </w:rPr>
            </w:pPr>
            <w:r>
              <w:rPr>
                <w:rFonts w:ascii="Arial" w:hAnsi="Arial" w:cs="Arial"/>
                <w:color w:val="000000"/>
              </w:rPr>
              <w:t>49 y 50</w:t>
            </w:r>
          </w:p>
        </w:tc>
        <w:tc>
          <w:tcPr>
            <w:tcW w:w="3195" w:type="dxa"/>
            <w:tcBorders>
              <w:top w:val="nil"/>
              <w:left w:val="nil"/>
              <w:bottom w:val="single" w:sz="8" w:space="0" w:color="auto"/>
              <w:right w:val="single" w:sz="8" w:space="0" w:color="auto"/>
            </w:tcBorders>
            <w:shd w:val="clear" w:color="auto" w:fill="auto"/>
            <w:noWrap/>
            <w:vAlign w:val="center"/>
          </w:tcPr>
          <w:p w14:paraId="14454BD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14 de </w:t>
            </w:r>
            <w:r>
              <w:rPr>
                <w:rFonts w:ascii="Arial" w:hAnsi="Arial" w:cs="Arial"/>
                <w:color w:val="000000"/>
                <w:lang w:val="es-CO" w:eastAsia="es-CO"/>
              </w:rPr>
              <w:t>Septiembre de 2017</w:t>
            </w:r>
          </w:p>
        </w:tc>
      </w:tr>
      <w:tr w:rsidR="00B2442D" w14:paraId="49DA739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512B6889" w14:textId="77777777" w:rsidR="00B2442D" w:rsidRDefault="008A645F">
            <w:pPr>
              <w:jc w:val="center"/>
              <w:rPr>
                <w:rFonts w:ascii="Arial" w:hAnsi="Arial" w:cs="Arial"/>
                <w:color w:val="000000"/>
              </w:rPr>
            </w:pPr>
            <w:r>
              <w:rPr>
                <w:rFonts w:ascii="Arial" w:hAnsi="Arial" w:cs="Arial"/>
                <w:color w:val="000000"/>
              </w:rPr>
              <w:t>47 y 48</w:t>
            </w:r>
          </w:p>
        </w:tc>
        <w:tc>
          <w:tcPr>
            <w:tcW w:w="3195" w:type="dxa"/>
            <w:tcBorders>
              <w:top w:val="nil"/>
              <w:left w:val="nil"/>
              <w:bottom w:val="single" w:sz="8" w:space="0" w:color="auto"/>
              <w:right w:val="single" w:sz="8" w:space="0" w:color="auto"/>
            </w:tcBorders>
            <w:shd w:val="clear" w:color="auto" w:fill="auto"/>
            <w:noWrap/>
            <w:vAlign w:val="center"/>
          </w:tcPr>
          <w:p w14:paraId="09562BC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Septiembre de 2017</w:t>
            </w:r>
          </w:p>
        </w:tc>
      </w:tr>
      <w:tr w:rsidR="00B2442D" w14:paraId="4C2270C2"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5C916330" w14:textId="77777777" w:rsidR="00B2442D" w:rsidRDefault="008A645F">
            <w:pPr>
              <w:jc w:val="center"/>
              <w:rPr>
                <w:rFonts w:ascii="Arial" w:hAnsi="Arial" w:cs="Arial"/>
                <w:color w:val="000000"/>
              </w:rPr>
            </w:pPr>
            <w:r>
              <w:rPr>
                <w:rFonts w:ascii="Arial" w:hAnsi="Arial" w:cs="Arial"/>
                <w:color w:val="000000"/>
              </w:rPr>
              <w:t>45 y 46</w:t>
            </w:r>
          </w:p>
        </w:tc>
        <w:tc>
          <w:tcPr>
            <w:tcW w:w="3195" w:type="dxa"/>
            <w:tcBorders>
              <w:top w:val="nil"/>
              <w:left w:val="nil"/>
              <w:bottom w:val="single" w:sz="8" w:space="0" w:color="auto"/>
              <w:right w:val="single" w:sz="8" w:space="0" w:color="auto"/>
            </w:tcBorders>
            <w:shd w:val="clear" w:color="auto" w:fill="auto"/>
            <w:noWrap/>
            <w:vAlign w:val="center"/>
          </w:tcPr>
          <w:p w14:paraId="5097018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Septiembre de 2017</w:t>
            </w:r>
          </w:p>
        </w:tc>
      </w:tr>
      <w:tr w:rsidR="00B2442D" w14:paraId="7F9F51F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04C9EB6" w14:textId="77777777" w:rsidR="00B2442D" w:rsidRDefault="008A645F">
            <w:pPr>
              <w:jc w:val="center"/>
              <w:rPr>
                <w:rFonts w:ascii="Arial" w:hAnsi="Arial" w:cs="Arial"/>
                <w:color w:val="000000"/>
              </w:rPr>
            </w:pPr>
            <w:r>
              <w:rPr>
                <w:rFonts w:ascii="Arial" w:hAnsi="Arial" w:cs="Arial"/>
                <w:color w:val="000000"/>
              </w:rPr>
              <w:t>43 y 44</w:t>
            </w:r>
          </w:p>
        </w:tc>
        <w:tc>
          <w:tcPr>
            <w:tcW w:w="3195" w:type="dxa"/>
            <w:tcBorders>
              <w:top w:val="nil"/>
              <w:left w:val="nil"/>
              <w:bottom w:val="single" w:sz="8" w:space="0" w:color="auto"/>
              <w:right w:val="single" w:sz="8" w:space="0" w:color="auto"/>
            </w:tcBorders>
            <w:shd w:val="clear" w:color="auto" w:fill="auto"/>
            <w:noWrap/>
            <w:vAlign w:val="center"/>
          </w:tcPr>
          <w:p w14:paraId="76719CF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Septiembre de 2017</w:t>
            </w:r>
          </w:p>
        </w:tc>
      </w:tr>
      <w:tr w:rsidR="00B2442D" w14:paraId="1233CEC3"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1E1897BF" w14:textId="77777777" w:rsidR="00B2442D" w:rsidRDefault="008A645F">
            <w:pPr>
              <w:jc w:val="center"/>
              <w:rPr>
                <w:rFonts w:ascii="Arial" w:hAnsi="Arial" w:cs="Arial"/>
                <w:color w:val="000000"/>
              </w:rPr>
            </w:pPr>
            <w:r>
              <w:rPr>
                <w:rFonts w:ascii="Arial" w:hAnsi="Arial" w:cs="Arial"/>
                <w:color w:val="000000"/>
              </w:rPr>
              <w:t>41 y 42</w:t>
            </w:r>
          </w:p>
        </w:tc>
        <w:tc>
          <w:tcPr>
            <w:tcW w:w="3195" w:type="dxa"/>
            <w:tcBorders>
              <w:top w:val="nil"/>
              <w:left w:val="nil"/>
              <w:bottom w:val="single" w:sz="8" w:space="0" w:color="auto"/>
              <w:right w:val="single" w:sz="8" w:space="0" w:color="auto"/>
            </w:tcBorders>
            <w:shd w:val="clear" w:color="auto" w:fill="auto"/>
            <w:noWrap/>
            <w:vAlign w:val="center"/>
          </w:tcPr>
          <w:p w14:paraId="30824F9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Septiembre de 2017</w:t>
            </w:r>
          </w:p>
        </w:tc>
      </w:tr>
      <w:tr w:rsidR="00B2442D" w14:paraId="23EA3F2C"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88FDB31" w14:textId="77777777" w:rsidR="00B2442D" w:rsidRDefault="008A645F">
            <w:pPr>
              <w:jc w:val="center"/>
              <w:rPr>
                <w:rFonts w:ascii="Arial" w:hAnsi="Arial" w:cs="Arial"/>
                <w:color w:val="000000"/>
              </w:rPr>
            </w:pPr>
            <w:r>
              <w:rPr>
                <w:rFonts w:ascii="Arial" w:hAnsi="Arial" w:cs="Arial"/>
                <w:color w:val="000000"/>
              </w:rPr>
              <w:t>39 y 40</w:t>
            </w:r>
          </w:p>
        </w:tc>
        <w:tc>
          <w:tcPr>
            <w:tcW w:w="3195" w:type="dxa"/>
            <w:tcBorders>
              <w:top w:val="nil"/>
              <w:left w:val="nil"/>
              <w:bottom w:val="single" w:sz="8" w:space="0" w:color="auto"/>
              <w:right w:val="single" w:sz="8" w:space="0" w:color="auto"/>
            </w:tcBorders>
            <w:shd w:val="clear" w:color="auto" w:fill="auto"/>
            <w:noWrap/>
            <w:vAlign w:val="center"/>
          </w:tcPr>
          <w:p w14:paraId="71D8C42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Septiembre de 2017</w:t>
            </w:r>
          </w:p>
        </w:tc>
      </w:tr>
      <w:tr w:rsidR="00B2442D" w14:paraId="341984D3"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C865293" w14:textId="77777777" w:rsidR="00B2442D" w:rsidRDefault="008A645F">
            <w:pPr>
              <w:jc w:val="center"/>
              <w:rPr>
                <w:rFonts w:ascii="Arial" w:hAnsi="Arial" w:cs="Arial"/>
                <w:color w:val="000000"/>
              </w:rPr>
            </w:pPr>
            <w:r>
              <w:rPr>
                <w:rFonts w:ascii="Arial" w:hAnsi="Arial" w:cs="Arial"/>
                <w:color w:val="000000"/>
              </w:rPr>
              <w:t>37 y 38</w:t>
            </w:r>
          </w:p>
        </w:tc>
        <w:tc>
          <w:tcPr>
            <w:tcW w:w="3195" w:type="dxa"/>
            <w:tcBorders>
              <w:top w:val="nil"/>
              <w:left w:val="nil"/>
              <w:bottom w:val="single" w:sz="8" w:space="0" w:color="auto"/>
              <w:right w:val="single" w:sz="8" w:space="0" w:color="auto"/>
            </w:tcBorders>
            <w:shd w:val="clear" w:color="auto" w:fill="auto"/>
            <w:noWrap/>
            <w:vAlign w:val="center"/>
          </w:tcPr>
          <w:p w14:paraId="781AB83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Septiembre de 2017</w:t>
            </w:r>
          </w:p>
        </w:tc>
      </w:tr>
      <w:tr w:rsidR="00B2442D" w14:paraId="28B8030B"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520955B6" w14:textId="77777777" w:rsidR="00B2442D" w:rsidRDefault="008A645F">
            <w:pPr>
              <w:jc w:val="center"/>
              <w:rPr>
                <w:rFonts w:ascii="Arial" w:hAnsi="Arial" w:cs="Arial"/>
                <w:color w:val="000000"/>
              </w:rPr>
            </w:pPr>
            <w:r>
              <w:rPr>
                <w:rFonts w:ascii="Arial" w:hAnsi="Arial" w:cs="Arial"/>
                <w:color w:val="000000"/>
              </w:rPr>
              <w:t>35 y 36</w:t>
            </w:r>
          </w:p>
        </w:tc>
        <w:tc>
          <w:tcPr>
            <w:tcW w:w="3195" w:type="dxa"/>
            <w:tcBorders>
              <w:top w:val="nil"/>
              <w:left w:val="nil"/>
              <w:bottom w:val="single" w:sz="8" w:space="0" w:color="auto"/>
              <w:right w:val="single" w:sz="8" w:space="0" w:color="auto"/>
            </w:tcBorders>
            <w:shd w:val="clear" w:color="auto" w:fill="auto"/>
            <w:noWrap/>
            <w:vAlign w:val="center"/>
          </w:tcPr>
          <w:p w14:paraId="4B2A16C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25 de </w:t>
            </w:r>
            <w:r>
              <w:rPr>
                <w:rFonts w:ascii="Arial" w:hAnsi="Arial" w:cs="Arial"/>
                <w:color w:val="000000"/>
                <w:lang w:val="es-CO" w:eastAsia="es-CO"/>
              </w:rPr>
              <w:t>Septiembre de 2017</w:t>
            </w:r>
          </w:p>
        </w:tc>
      </w:tr>
      <w:tr w:rsidR="00B2442D" w14:paraId="7DF67A17"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6598C6C" w14:textId="77777777" w:rsidR="00B2442D" w:rsidRDefault="008A645F">
            <w:pPr>
              <w:jc w:val="center"/>
              <w:rPr>
                <w:rFonts w:ascii="Arial" w:hAnsi="Arial" w:cs="Arial"/>
                <w:color w:val="000000"/>
              </w:rPr>
            </w:pPr>
            <w:r>
              <w:rPr>
                <w:rFonts w:ascii="Arial" w:hAnsi="Arial" w:cs="Arial"/>
                <w:color w:val="000000"/>
              </w:rPr>
              <w:t>33 y 34</w:t>
            </w:r>
          </w:p>
        </w:tc>
        <w:tc>
          <w:tcPr>
            <w:tcW w:w="3195" w:type="dxa"/>
            <w:tcBorders>
              <w:top w:val="nil"/>
              <w:left w:val="nil"/>
              <w:bottom w:val="single" w:sz="8" w:space="0" w:color="auto"/>
              <w:right w:val="single" w:sz="8" w:space="0" w:color="auto"/>
            </w:tcBorders>
            <w:shd w:val="clear" w:color="auto" w:fill="auto"/>
            <w:noWrap/>
            <w:vAlign w:val="center"/>
          </w:tcPr>
          <w:p w14:paraId="246CD36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Septiembre de 2017</w:t>
            </w:r>
          </w:p>
        </w:tc>
      </w:tr>
      <w:tr w:rsidR="00B2442D" w14:paraId="05024D13"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73B6D198" w14:textId="77777777" w:rsidR="00B2442D" w:rsidRDefault="008A645F">
            <w:pPr>
              <w:jc w:val="center"/>
              <w:rPr>
                <w:rFonts w:ascii="Arial" w:hAnsi="Arial" w:cs="Arial"/>
                <w:color w:val="000000"/>
              </w:rPr>
            </w:pPr>
            <w:r>
              <w:rPr>
                <w:rFonts w:ascii="Arial" w:hAnsi="Arial" w:cs="Arial"/>
                <w:color w:val="000000"/>
              </w:rPr>
              <w:t>31 y 32</w:t>
            </w:r>
          </w:p>
        </w:tc>
        <w:tc>
          <w:tcPr>
            <w:tcW w:w="3195" w:type="dxa"/>
            <w:tcBorders>
              <w:top w:val="nil"/>
              <w:left w:val="nil"/>
              <w:bottom w:val="single" w:sz="8" w:space="0" w:color="auto"/>
              <w:right w:val="single" w:sz="8" w:space="0" w:color="auto"/>
            </w:tcBorders>
            <w:shd w:val="clear" w:color="auto" w:fill="auto"/>
            <w:noWrap/>
            <w:vAlign w:val="center"/>
          </w:tcPr>
          <w:p w14:paraId="47939D3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27 de Septiembre de 2017</w:t>
            </w:r>
          </w:p>
        </w:tc>
      </w:tr>
      <w:tr w:rsidR="00B2442D" w14:paraId="5D8992AF"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4539770" w14:textId="77777777" w:rsidR="00B2442D" w:rsidRDefault="008A645F">
            <w:pPr>
              <w:jc w:val="center"/>
              <w:rPr>
                <w:rFonts w:ascii="Arial" w:hAnsi="Arial" w:cs="Arial"/>
                <w:color w:val="000000"/>
              </w:rPr>
            </w:pPr>
            <w:r>
              <w:rPr>
                <w:rFonts w:ascii="Arial" w:hAnsi="Arial" w:cs="Arial"/>
                <w:color w:val="000000"/>
              </w:rPr>
              <w:t>29 y 30</w:t>
            </w:r>
          </w:p>
        </w:tc>
        <w:tc>
          <w:tcPr>
            <w:tcW w:w="3195" w:type="dxa"/>
            <w:tcBorders>
              <w:top w:val="nil"/>
              <w:left w:val="nil"/>
              <w:bottom w:val="single" w:sz="8" w:space="0" w:color="auto"/>
              <w:right w:val="single" w:sz="8" w:space="0" w:color="auto"/>
            </w:tcBorders>
            <w:shd w:val="clear" w:color="auto" w:fill="auto"/>
            <w:noWrap/>
            <w:vAlign w:val="center"/>
          </w:tcPr>
          <w:p w14:paraId="55E56CB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Septiembre de 2017</w:t>
            </w:r>
          </w:p>
        </w:tc>
      </w:tr>
      <w:tr w:rsidR="00B2442D" w14:paraId="65D4A842"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1CD1F5E" w14:textId="77777777" w:rsidR="00B2442D" w:rsidRDefault="008A645F">
            <w:pPr>
              <w:jc w:val="center"/>
              <w:rPr>
                <w:rFonts w:ascii="Arial" w:hAnsi="Arial" w:cs="Arial"/>
                <w:color w:val="000000"/>
              </w:rPr>
            </w:pPr>
            <w:r>
              <w:rPr>
                <w:rFonts w:ascii="Arial" w:hAnsi="Arial" w:cs="Arial"/>
                <w:color w:val="000000"/>
              </w:rPr>
              <w:t>27 y 28</w:t>
            </w:r>
          </w:p>
        </w:tc>
        <w:tc>
          <w:tcPr>
            <w:tcW w:w="3195" w:type="dxa"/>
            <w:tcBorders>
              <w:top w:val="nil"/>
              <w:left w:val="nil"/>
              <w:bottom w:val="single" w:sz="8" w:space="0" w:color="auto"/>
              <w:right w:val="single" w:sz="8" w:space="0" w:color="auto"/>
            </w:tcBorders>
            <w:shd w:val="clear" w:color="auto" w:fill="auto"/>
            <w:noWrap/>
            <w:vAlign w:val="center"/>
          </w:tcPr>
          <w:p w14:paraId="3538F9D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29 de Septiembre de 2017</w:t>
            </w:r>
          </w:p>
        </w:tc>
      </w:tr>
      <w:tr w:rsidR="00B2442D" w14:paraId="2AB9D024"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A47DAF2" w14:textId="77777777" w:rsidR="00B2442D" w:rsidRDefault="008A645F">
            <w:pPr>
              <w:jc w:val="center"/>
              <w:rPr>
                <w:rFonts w:ascii="Arial" w:hAnsi="Arial" w:cs="Arial"/>
                <w:color w:val="000000"/>
              </w:rPr>
            </w:pPr>
            <w:r>
              <w:rPr>
                <w:rFonts w:ascii="Arial" w:hAnsi="Arial" w:cs="Arial"/>
                <w:color w:val="000000"/>
              </w:rPr>
              <w:t>25 y 26</w:t>
            </w:r>
          </w:p>
        </w:tc>
        <w:tc>
          <w:tcPr>
            <w:tcW w:w="3195" w:type="dxa"/>
            <w:tcBorders>
              <w:top w:val="nil"/>
              <w:left w:val="nil"/>
              <w:bottom w:val="single" w:sz="8" w:space="0" w:color="auto"/>
              <w:right w:val="single" w:sz="8" w:space="0" w:color="auto"/>
            </w:tcBorders>
            <w:shd w:val="clear" w:color="auto" w:fill="auto"/>
            <w:noWrap/>
            <w:vAlign w:val="center"/>
          </w:tcPr>
          <w:p w14:paraId="21A7502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02 de Octubre de 2017</w:t>
            </w:r>
          </w:p>
        </w:tc>
      </w:tr>
      <w:tr w:rsidR="00B2442D" w14:paraId="7CC7471B"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572B9DD" w14:textId="77777777" w:rsidR="00B2442D" w:rsidRDefault="008A645F">
            <w:pPr>
              <w:jc w:val="center"/>
              <w:rPr>
                <w:rFonts w:ascii="Arial" w:hAnsi="Arial" w:cs="Arial"/>
                <w:color w:val="000000"/>
              </w:rPr>
            </w:pPr>
            <w:r>
              <w:rPr>
                <w:rFonts w:ascii="Arial" w:hAnsi="Arial" w:cs="Arial"/>
                <w:color w:val="000000"/>
              </w:rPr>
              <w:t>23 y 24</w:t>
            </w:r>
          </w:p>
        </w:tc>
        <w:tc>
          <w:tcPr>
            <w:tcW w:w="3195" w:type="dxa"/>
            <w:tcBorders>
              <w:top w:val="nil"/>
              <w:left w:val="nil"/>
              <w:bottom w:val="single" w:sz="8" w:space="0" w:color="auto"/>
              <w:right w:val="single" w:sz="8" w:space="0" w:color="auto"/>
            </w:tcBorders>
            <w:shd w:val="clear" w:color="auto" w:fill="auto"/>
            <w:noWrap/>
            <w:vAlign w:val="center"/>
          </w:tcPr>
          <w:p w14:paraId="0D51236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03 de Octubre de 2017</w:t>
            </w:r>
          </w:p>
        </w:tc>
      </w:tr>
      <w:tr w:rsidR="00B2442D" w14:paraId="7F1787B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3FFD537" w14:textId="77777777" w:rsidR="00B2442D" w:rsidRDefault="008A645F">
            <w:pPr>
              <w:jc w:val="center"/>
              <w:rPr>
                <w:rFonts w:ascii="Arial" w:hAnsi="Arial" w:cs="Arial"/>
                <w:color w:val="000000"/>
              </w:rPr>
            </w:pPr>
            <w:r>
              <w:rPr>
                <w:rFonts w:ascii="Arial" w:hAnsi="Arial" w:cs="Arial"/>
                <w:color w:val="000000"/>
              </w:rPr>
              <w:t>21 y 22</w:t>
            </w:r>
          </w:p>
        </w:tc>
        <w:tc>
          <w:tcPr>
            <w:tcW w:w="3195" w:type="dxa"/>
            <w:tcBorders>
              <w:top w:val="nil"/>
              <w:left w:val="nil"/>
              <w:bottom w:val="single" w:sz="8" w:space="0" w:color="auto"/>
              <w:right w:val="single" w:sz="8" w:space="0" w:color="auto"/>
            </w:tcBorders>
            <w:shd w:val="clear" w:color="auto" w:fill="auto"/>
            <w:noWrap/>
            <w:vAlign w:val="center"/>
          </w:tcPr>
          <w:p w14:paraId="08A362F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Octubre de 2017</w:t>
            </w:r>
          </w:p>
        </w:tc>
      </w:tr>
      <w:tr w:rsidR="00B2442D" w14:paraId="1733A845"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44BEABAF" w14:textId="77777777" w:rsidR="00B2442D" w:rsidRDefault="008A645F">
            <w:pPr>
              <w:jc w:val="center"/>
              <w:rPr>
                <w:rFonts w:ascii="Arial" w:hAnsi="Arial" w:cs="Arial"/>
                <w:color w:val="000000"/>
              </w:rPr>
            </w:pPr>
            <w:r>
              <w:rPr>
                <w:rFonts w:ascii="Arial" w:hAnsi="Arial" w:cs="Arial"/>
                <w:color w:val="000000"/>
              </w:rPr>
              <w:t xml:space="preserve">19 y </w:t>
            </w:r>
            <w:r>
              <w:rPr>
                <w:rFonts w:ascii="Arial" w:hAnsi="Arial" w:cs="Arial"/>
                <w:color w:val="000000"/>
              </w:rPr>
              <w:t>20</w:t>
            </w:r>
          </w:p>
        </w:tc>
        <w:tc>
          <w:tcPr>
            <w:tcW w:w="3195" w:type="dxa"/>
            <w:tcBorders>
              <w:top w:val="nil"/>
              <w:left w:val="nil"/>
              <w:bottom w:val="single" w:sz="8" w:space="0" w:color="auto"/>
              <w:right w:val="single" w:sz="8" w:space="0" w:color="auto"/>
            </w:tcBorders>
            <w:shd w:val="clear" w:color="auto" w:fill="auto"/>
            <w:noWrap/>
            <w:vAlign w:val="center"/>
          </w:tcPr>
          <w:p w14:paraId="61CD2C9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Octubre de 2017</w:t>
            </w:r>
          </w:p>
        </w:tc>
      </w:tr>
      <w:tr w:rsidR="00B2442D" w14:paraId="75617E74"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3CB20A1" w14:textId="77777777" w:rsidR="00B2442D" w:rsidRDefault="008A645F">
            <w:pPr>
              <w:jc w:val="center"/>
              <w:rPr>
                <w:rFonts w:ascii="Arial" w:hAnsi="Arial" w:cs="Arial"/>
                <w:color w:val="000000"/>
              </w:rPr>
            </w:pPr>
            <w:r>
              <w:rPr>
                <w:rFonts w:ascii="Arial" w:hAnsi="Arial" w:cs="Arial"/>
                <w:color w:val="000000"/>
              </w:rPr>
              <w:t>17 y 18</w:t>
            </w:r>
          </w:p>
        </w:tc>
        <w:tc>
          <w:tcPr>
            <w:tcW w:w="3195" w:type="dxa"/>
            <w:tcBorders>
              <w:top w:val="nil"/>
              <w:left w:val="nil"/>
              <w:bottom w:val="single" w:sz="8" w:space="0" w:color="auto"/>
              <w:right w:val="single" w:sz="8" w:space="0" w:color="auto"/>
            </w:tcBorders>
            <w:shd w:val="clear" w:color="auto" w:fill="auto"/>
            <w:noWrap/>
            <w:vAlign w:val="center"/>
          </w:tcPr>
          <w:p w14:paraId="12AF97D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06 de Octubre de 2017</w:t>
            </w:r>
          </w:p>
        </w:tc>
      </w:tr>
      <w:tr w:rsidR="00B2442D" w14:paraId="028D561A"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383D1670" w14:textId="77777777" w:rsidR="00B2442D" w:rsidRDefault="008A645F">
            <w:pPr>
              <w:jc w:val="center"/>
              <w:rPr>
                <w:rFonts w:ascii="Arial" w:hAnsi="Arial" w:cs="Arial"/>
                <w:color w:val="000000"/>
              </w:rPr>
            </w:pPr>
            <w:r>
              <w:rPr>
                <w:rFonts w:ascii="Arial" w:hAnsi="Arial" w:cs="Arial"/>
                <w:color w:val="000000"/>
              </w:rPr>
              <w:t>15 y 16</w:t>
            </w:r>
          </w:p>
        </w:tc>
        <w:tc>
          <w:tcPr>
            <w:tcW w:w="3195" w:type="dxa"/>
            <w:tcBorders>
              <w:top w:val="nil"/>
              <w:left w:val="nil"/>
              <w:bottom w:val="single" w:sz="8" w:space="0" w:color="auto"/>
              <w:right w:val="single" w:sz="8" w:space="0" w:color="auto"/>
            </w:tcBorders>
            <w:shd w:val="clear" w:color="auto" w:fill="auto"/>
            <w:noWrap/>
            <w:vAlign w:val="center"/>
          </w:tcPr>
          <w:p w14:paraId="1A92888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09 de Octubre de 2017</w:t>
            </w:r>
          </w:p>
        </w:tc>
      </w:tr>
      <w:tr w:rsidR="00B2442D" w14:paraId="03F28ED6"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32CE4DD" w14:textId="77777777" w:rsidR="00B2442D" w:rsidRDefault="008A645F">
            <w:pPr>
              <w:jc w:val="center"/>
              <w:rPr>
                <w:rFonts w:ascii="Arial" w:hAnsi="Arial" w:cs="Arial"/>
                <w:color w:val="000000"/>
              </w:rPr>
            </w:pPr>
            <w:r>
              <w:rPr>
                <w:rFonts w:ascii="Arial" w:hAnsi="Arial" w:cs="Arial"/>
                <w:color w:val="000000"/>
              </w:rPr>
              <w:t>13 y 14</w:t>
            </w:r>
          </w:p>
        </w:tc>
        <w:tc>
          <w:tcPr>
            <w:tcW w:w="3195" w:type="dxa"/>
            <w:tcBorders>
              <w:top w:val="nil"/>
              <w:left w:val="nil"/>
              <w:bottom w:val="single" w:sz="8" w:space="0" w:color="auto"/>
              <w:right w:val="single" w:sz="8" w:space="0" w:color="auto"/>
            </w:tcBorders>
            <w:shd w:val="clear" w:color="auto" w:fill="auto"/>
            <w:noWrap/>
            <w:vAlign w:val="center"/>
          </w:tcPr>
          <w:p w14:paraId="6C54955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Octubre de 2017</w:t>
            </w:r>
          </w:p>
        </w:tc>
      </w:tr>
      <w:tr w:rsidR="00B2442D" w14:paraId="2A97E341"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0B5E5E5E" w14:textId="77777777" w:rsidR="00B2442D" w:rsidRDefault="008A645F">
            <w:pPr>
              <w:jc w:val="center"/>
              <w:rPr>
                <w:rFonts w:ascii="Arial" w:hAnsi="Arial" w:cs="Arial"/>
                <w:color w:val="000000"/>
              </w:rPr>
            </w:pPr>
            <w:r>
              <w:rPr>
                <w:rFonts w:ascii="Arial" w:hAnsi="Arial" w:cs="Arial"/>
                <w:color w:val="000000"/>
              </w:rPr>
              <w:t>11 y 12</w:t>
            </w:r>
          </w:p>
        </w:tc>
        <w:tc>
          <w:tcPr>
            <w:tcW w:w="3195" w:type="dxa"/>
            <w:tcBorders>
              <w:top w:val="nil"/>
              <w:left w:val="nil"/>
              <w:bottom w:val="single" w:sz="8" w:space="0" w:color="auto"/>
              <w:right w:val="single" w:sz="8" w:space="0" w:color="auto"/>
            </w:tcBorders>
            <w:shd w:val="clear" w:color="auto" w:fill="auto"/>
            <w:noWrap/>
            <w:vAlign w:val="center"/>
          </w:tcPr>
          <w:p w14:paraId="3E56FF9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Octubre de 2017</w:t>
            </w:r>
          </w:p>
        </w:tc>
      </w:tr>
      <w:tr w:rsidR="00B2442D" w14:paraId="478A81EB"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FF5EC36" w14:textId="77777777" w:rsidR="00B2442D" w:rsidRDefault="008A645F">
            <w:pPr>
              <w:jc w:val="center"/>
              <w:rPr>
                <w:rFonts w:ascii="Arial" w:hAnsi="Arial" w:cs="Arial"/>
                <w:color w:val="000000"/>
              </w:rPr>
            </w:pPr>
            <w:r>
              <w:rPr>
                <w:rFonts w:ascii="Arial" w:hAnsi="Arial" w:cs="Arial"/>
                <w:color w:val="000000"/>
              </w:rPr>
              <w:t>09 y 10</w:t>
            </w:r>
          </w:p>
        </w:tc>
        <w:tc>
          <w:tcPr>
            <w:tcW w:w="3195" w:type="dxa"/>
            <w:tcBorders>
              <w:top w:val="nil"/>
              <w:left w:val="nil"/>
              <w:bottom w:val="single" w:sz="8" w:space="0" w:color="auto"/>
              <w:right w:val="single" w:sz="8" w:space="0" w:color="auto"/>
            </w:tcBorders>
            <w:shd w:val="clear" w:color="auto" w:fill="auto"/>
            <w:noWrap/>
            <w:vAlign w:val="center"/>
          </w:tcPr>
          <w:p w14:paraId="3873A4E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Octubre de 2017</w:t>
            </w:r>
          </w:p>
        </w:tc>
      </w:tr>
      <w:tr w:rsidR="00B2442D" w14:paraId="2F0F1627"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7A6F734" w14:textId="77777777" w:rsidR="00B2442D" w:rsidRDefault="008A645F">
            <w:pPr>
              <w:jc w:val="center"/>
              <w:rPr>
                <w:rFonts w:ascii="Arial" w:hAnsi="Arial" w:cs="Arial"/>
                <w:color w:val="000000"/>
              </w:rPr>
            </w:pPr>
            <w:r>
              <w:rPr>
                <w:rFonts w:ascii="Arial" w:hAnsi="Arial" w:cs="Arial"/>
                <w:color w:val="000000"/>
              </w:rPr>
              <w:t>07 y 08</w:t>
            </w:r>
          </w:p>
        </w:tc>
        <w:tc>
          <w:tcPr>
            <w:tcW w:w="3195" w:type="dxa"/>
            <w:tcBorders>
              <w:top w:val="nil"/>
              <w:left w:val="nil"/>
              <w:bottom w:val="single" w:sz="8" w:space="0" w:color="auto"/>
              <w:right w:val="single" w:sz="8" w:space="0" w:color="auto"/>
            </w:tcBorders>
            <w:shd w:val="clear" w:color="auto" w:fill="auto"/>
            <w:noWrap/>
            <w:vAlign w:val="center"/>
          </w:tcPr>
          <w:p w14:paraId="4B664FC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Octubre de 2017</w:t>
            </w:r>
          </w:p>
        </w:tc>
      </w:tr>
      <w:tr w:rsidR="00B2442D" w14:paraId="387981D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70D1AAFC" w14:textId="77777777" w:rsidR="00B2442D" w:rsidRDefault="008A645F">
            <w:pPr>
              <w:jc w:val="center"/>
              <w:rPr>
                <w:rFonts w:ascii="Arial" w:hAnsi="Arial" w:cs="Arial"/>
                <w:color w:val="000000"/>
              </w:rPr>
            </w:pPr>
            <w:r>
              <w:rPr>
                <w:rFonts w:ascii="Arial" w:hAnsi="Arial" w:cs="Arial"/>
                <w:color w:val="000000"/>
              </w:rPr>
              <w:t>05 y 06</w:t>
            </w:r>
          </w:p>
        </w:tc>
        <w:tc>
          <w:tcPr>
            <w:tcW w:w="3195" w:type="dxa"/>
            <w:tcBorders>
              <w:top w:val="nil"/>
              <w:left w:val="nil"/>
              <w:bottom w:val="single" w:sz="8" w:space="0" w:color="auto"/>
              <w:right w:val="single" w:sz="8" w:space="0" w:color="auto"/>
            </w:tcBorders>
            <w:shd w:val="clear" w:color="auto" w:fill="auto"/>
            <w:noWrap/>
            <w:vAlign w:val="center"/>
          </w:tcPr>
          <w:p w14:paraId="3699771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Octubre de 2017</w:t>
            </w:r>
          </w:p>
        </w:tc>
      </w:tr>
      <w:tr w:rsidR="00B2442D" w14:paraId="00A22C55"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28771DED" w14:textId="77777777" w:rsidR="00B2442D" w:rsidRDefault="008A645F">
            <w:pPr>
              <w:jc w:val="center"/>
              <w:rPr>
                <w:rFonts w:ascii="Arial" w:hAnsi="Arial" w:cs="Arial"/>
                <w:color w:val="000000"/>
              </w:rPr>
            </w:pPr>
            <w:r>
              <w:rPr>
                <w:rFonts w:ascii="Arial" w:hAnsi="Arial" w:cs="Arial"/>
                <w:color w:val="000000"/>
              </w:rPr>
              <w:t>03 y 04</w:t>
            </w:r>
          </w:p>
        </w:tc>
        <w:tc>
          <w:tcPr>
            <w:tcW w:w="3195" w:type="dxa"/>
            <w:tcBorders>
              <w:top w:val="nil"/>
              <w:left w:val="nil"/>
              <w:bottom w:val="single" w:sz="8" w:space="0" w:color="auto"/>
              <w:right w:val="single" w:sz="8" w:space="0" w:color="auto"/>
            </w:tcBorders>
            <w:shd w:val="clear" w:color="auto" w:fill="auto"/>
            <w:noWrap/>
            <w:vAlign w:val="center"/>
          </w:tcPr>
          <w:p w14:paraId="7CC3DA7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18 </w:t>
            </w:r>
            <w:r>
              <w:rPr>
                <w:rFonts w:ascii="Arial" w:hAnsi="Arial" w:cs="Arial"/>
                <w:color w:val="000000"/>
                <w:lang w:val="es-CO" w:eastAsia="es-CO"/>
              </w:rPr>
              <w:t>de Octubre de 2017</w:t>
            </w:r>
          </w:p>
        </w:tc>
      </w:tr>
      <w:tr w:rsidR="00B2442D" w14:paraId="57E2CCD8" w14:textId="77777777">
        <w:trPr>
          <w:trHeight w:val="345"/>
          <w:jc w:val="center"/>
        </w:trPr>
        <w:tc>
          <w:tcPr>
            <w:tcW w:w="1473" w:type="dxa"/>
            <w:tcBorders>
              <w:top w:val="nil"/>
              <w:left w:val="single" w:sz="8" w:space="0" w:color="auto"/>
              <w:bottom w:val="single" w:sz="8" w:space="0" w:color="auto"/>
              <w:right w:val="single" w:sz="8" w:space="0" w:color="auto"/>
            </w:tcBorders>
            <w:shd w:val="clear" w:color="auto" w:fill="auto"/>
            <w:noWrap/>
            <w:vAlign w:val="center"/>
            <w:hideMark/>
          </w:tcPr>
          <w:p w14:paraId="688B6576" w14:textId="77777777" w:rsidR="00B2442D" w:rsidRDefault="008A645F">
            <w:pPr>
              <w:jc w:val="center"/>
              <w:rPr>
                <w:rFonts w:ascii="Arial" w:hAnsi="Arial" w:cs="Arial"/>
                <w:color w:val="000000"/>
              </w:rPr>
            </w:pPr>
            <w:r>
              <w:rPr>
                <w:rFonts w:ascii="Arial" w:hAnsi="Arial" w:cs="Arial"/>
                <w:color w:val="000000"/>
              </w:rPr>
              <w:t>01 y 02</w:t>
            </w:r>
          </w:p>
        </w:tc>
        <w:tc>
          <w:tcPr>
            <w:tcW w:w="3195" w:type="dxa"/>
            <w:tcBorders>
              <w:top w:val="nil"/>
              <w:left w:val="nil"/>
              <w:bottom w:val="single" w:sz="8" w:space="0" w:color="auto"/>
              <w:right w:val="single" w:sz="8" w:space="0" w:color="auto"/>
            </w:tcBorders>
            <w:shd w:val="clear" w:color="auto" w:fill="auto"/>
            <w:noWrap/>
            <w:vAlign w:val="center"/>
          </w:tcPr>
          <w:p w14:paraId="46C03CA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Octubre de 2017</w:t>
            </w:r>
          </w:p>
        </w:tc>
      </w:tr>
    </w:tbl>
    <w:p w14:paraId="32D96AF0" w14:textId="77777777" w:rsidR="00B2442D" w:rsidRDefault="008A645F">
      <w:pPr>
        <w:autoSpaceDE w:val="0"/>
        <w:autoSpaceDN w:val="0"/>
        <w:adjustRightInd w:val="0"/>
        <w:spacing w:line="40" w:lineRule="atLeast"/>
        <w:ind w:left="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59E84550" w14:textId="77777777" w:rsidR="00B2442D" w:rsidRDefault="00B2442D">
      <w:pPr>
        <w:autoSpaceDE w:val="0"/>
        <w:autoSpaceDN w:val="0"/>
        <w:adjustRightInd w:val="0"/>
        <w:spacing w:line="40" w:lineRule="atLeast"/>
        <w:rPr>
          <w:rFonts w:ascii="Arial" w:hAnsi="Arial" w:cs="Arial"/>
          <w:b/>
        </w:rPr>
      </w:pPr>
    </w:p>
    <w:p w14:paraId="3EB7FCE2"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59" w:history="1">
        <w:r>
          <w:rPr>
            <w:rStyle w:val="Hipervnculo"/>
            <w:rFonts w:ascii="Arial" w:hAnsi="Arial" w:cs="Arial"/>
            <w:i/>
          </w:rPr>
          <w:t>Art. 1 Decreto 220 de 2017</w:t>
        </w:r>
      </w:hyperlink>
      <w:r>
        <w:rPr>
          <w:rFonts w:ascii="Arial" w:hAnsi="Arial" w:cs="Arial"/>
          <w:i/>
        </w:rPr>
        <w:t xml:space="preserve"> modifica el </w:t>
      </w:r>
      <w:hyperlink r:id="rId60" w:history="1">
        <w:r>
          <w:rPr>
            <w:rStyle w:val="Hipervnculo"/>
            <w:rFonts w:ascii="Arial" w:hAnsi="Arial" w:cs="Arial"/>
            <w:i/>
          </w:rPr>
          <w:t>Art. 18 D</w:t>
        </w:r>
        <w:r>
          <w:rPr>
            <w:rStyle w:val="Hipervnculo"/>
            <w:rFonts w:ascii="Arial" w:hAnsi="Arial" w:cs="Arial"/>
            <w:i/>
          </w:rPr>
          <w:t>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w:t>
      </w:r>
      <w:r>
        <w:rPr>
          <w:rFonts w:ascii="Arial" w:hAnsi="Arial" w:cs="Arial"/>
          <w:i/>
          <w:iCs/>
          <w:color w:val="000000"/>
          <w:lang w:val="es-CO" w:eastAsia="es-CO"/>
        </w:rPr>
        <w:t>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336D3661" w14:textId="77777777" w:rsidR="00B2442D" w:rsidRDefault="00B2442D">
      <w:pPr>
        <w:spacing w:line="40" w:lineRule="atLeast"/>
        <w:ind w:right="-30"/>
        <w:rPr>
          <w:rFonts w:ascii="Arial" w:eastAsia="Arial" w:hAnsi="Arial" w:cs="Arial"/>
          <w:b/>
          <w:w w:val="105"/>
          <w:lang w:val="es-CO"/>
        </w:rPr>
      </w:pPr>
    </w:p>
    <w:p w14:paraId="7FCBFDA1" w14:textId="77777777" w:rsidR="00B2442D" w:rsidRDefault="008A645F">
      <w:pPr>
        <w:spacing w:line="40" w:lineRule="atLeast"/>
        <w:ind w:right="-30"/>
        <w:jc w:val="center"/>
        <w:rPr>
          <w:rFonts w:ascii="Arial" w:eastAsia="Arial" w:hAnsi="Arial" w:cs="Arial"/>
          <w:b/>
          <w:lang w:val="es-CO"/>
        </w:rPr>
      </w:pPr>
      <w:r>
        <w:rPr>
          <w:rFonts w:ascii="Arial" w:eastAsia="Arial" w:hAnsi="Arial" w:cs="Arial"/>
          <w:b/>
          <w:w w:val="105"/>
          <w:lang w:val="es-CO"/>
        </w:rPr>
        <w:t>DECLARACIÓN</w:t>
      </w:r>
      <w:r>
        <w:rPr>
          <w:rFonts w:ascii="Arial" w:eastAsia="Arial" w:hAnsi="Arial" w:cs="Arial"/>
          <w:b/>
          <w:spacing w:val="-16"/>
          <w:w w:val="105"/>
          <w:lang w:val="es-CO"/>
        </w:rPr>
        <w:t xml:space="preserve"> </w:t>
      </w:r>
      <w:r>
        <w:rPr>
          <w:rFonts w:ascii="Arial" w:eastAsia="Arial" w:hAnsi="Arial" w:cs="Arial"/>
          <w:b/>
          <w:w w:val="105"/>
          <w:lang w:val="es-CO"/>
        </w:rPr>
        <w:t>INFORMATIVA</w:t>
      </w:r>
      <w:r>
        <w:rPr>
          <w:rFonts w:ascii="Arial" w:eastAsia="Arial" w:hAnsi="Arial" w:cs="Arial"/>
          <w:b/>
          <w:spacing w:val="-19"/>
          <w:w w:val="105"/>
          <w:lang w:val="es-CO"/>
        </w:rPr>
        <w:t xml:space="preserve"> </w:t>
      </w:r>
      <w:r>
        <w:rPr>
          <w:rFonts w:ascii="Arial" w:eastAsia="Arial" w:hAnsi="Arial" w:cs="Arial"/>
          <w:b/>
          <w:w w:val="105"/>
          <w:lang w:val="es-CO"/>
        </w:rPr>
        <w:t>Y</w:t>
      </w:r>
      <w:r>
        <w:rPr>
          <w:rFonts w:ascii="Arial" w:eastAsia="Arial" w:hAnsi="Arial" w:cs="Arial"/>
          <w:b/>
          <w:spacing w:val="-14"/>
          <w:w w:val="105"/>
          <w:lang w:val="es-CO"/>
        </w:rPr>
        <w:t xml:space="preserve"> </w:t>
      </w:r>
      <w:r>
        <w:rPr>
          <w:rFonts w:ascii="Arial" w:eastAsia="Arial" w:hAnsi="Arial" w:cs="Arial"/>
          <w:b/>
          <w:w w:val="105"/>
          <w:lang w:val="es-CO"/>
        </w:rPr>
        <w:t>DOCUMENTACIÓN</w:t>
      </w:r>
      <w:r>
        <w:rPr>
          <w:rFonts w:ascii="Arial" w:eastAsia="Arial" w:hAnsi="Arial" w:cs="Arial"/>
          <w:b/>
          <w:w w:val="103"/>
          <w:lang w:val="es-CO"/>
        </w:rPr>
        <w:t xml:space="preserve"> </w:t>
      </w:r>
      <w:r>
        <w:rPr>
          <w:rFonts w:ascii="Arial" w:eastAsia="Arial" w:hAnsi="Arial" w:cs="Arial"/>
          <w:b/>
          <w:w w:val="105"/>
          <w:lang w:val="es-CO"/>
        </w:rPr>
        <w:t>COMPROBATORIA</w:t>
      </w:r>
      <w:r>
        <w:rPr>
          <w:rFonts w:ascii="Arial" w:eastAsia="Arial" w:hAnsi="Arial" w:cs="Arial"/>
          <w:b/>
          <w:spacing w:val="11"/>
          <w:w w:val="105"/>
          <w:lang w:val="es-CO"/>
        </w:rPr>
        <w:t xml:space="preserve"> </w:t>
      </w:r>
      <w:r>
        <w:rPr>
          <w:rFonts w:ascii="Arial" w:eastAsia="Arial" w:hAnsi="Arial" w:cs="Arial"/>
          <w:b/>
          <w:w w:val="105"/>
          <w:lang w:val="es-CO"/>
        </w:rPr>
        <w:t>DE</w:t>
      </w:r>
      <w:r>
        <w:rPr>
          <w:rFonts w:ascii="Arial" w:eastAsia="Arial" w:hAnsi="Arial" w:cs="Arial"/>
          <w:b/>
          <w:spacing w:val="-27"/>
          <w:w w:val="105"/>
          <w:lang w:val="es-CO"/>
        </w:rPr>
        <w:t xml:space="preserve"> </w:t>
      </w:r>
      <w:r>
        <w:rPr>
          <w:rFonts w:ascii="Arial" w:eastAsia="Arial" w:hAnsi="Arial" w:cs="Arial"/>
          <w:b/>
          <w:w w:val="105"/>
          <w:lang w:val="es-CO"/>
        </w:rPr>
        <w:t>PRECIOS</w:t>
      </w:r>
      <w:r>
        <w:rPr>
          <w:rFonts w:ascii="Arial" w:eastAsia="Arial" w:hAnsi="Arial" w:cs="Arial"/>
          <w:b/>
          <w:spacing w:val="-10"/>
          <w:w w:val="105"/>
          <w:lang w:val="es-CO"/>
        </w:rPr>
        <w:t xml:space="preserve"> </w:t>
      </w:r>
      <w:r>
        <w:rPr>
          <w:rFonts w:ascii="Arial" w:eastAsia="Arial" w:hAnsi="Arial" w:cs="Arial"/>
          <w:b/>
          <w:w w:val="105"/>
          <w:lang w:val="es-CO"/>
        </w:rPr>
        <w:t>DE</w:t>
      </w:r>
      <w:r>
        <w:rPr>
          <w:rFonts w:ascii="Arial" w:eastAsia="Arial" w:hAnsi="Arial" w:cs="Arial"/>
          <w:b/>
          <w:spacing w:val="-26"/>
          <w:w w:val="105"/>
          <w:lang w:val="es-CO"/>
        </w:rPr>
        <w:t xml:space="preserve"> </w:t>
      </w:r>
      <w:r>
        <w:rPr>
          <w:rFonts w:ascii="Arial" w:eastAsia="Arial" w:hAnsi="Arial" w:cs="Arial"/>
          <w:b/>
          <w:w w:val="105"/>
          <w:lang w:val="es-CO"/>
        </w:rPr>
        <w:t>TRANSFERENCIA</w:t>
      </w:r>
    </w:p>
    <w:p w14:paraId="4FCDF3E3" w14:textId="77777777" w:rsidR="00B2442D" w:rsidRDefault="00B2442D">
      <w:pPr>
        <w:spacing w:line="40" w:lineRule="atLeast"/>
        <w:ind w:right="-30"/>
        <w:jc w:val="both"/>
        <w:rPr>
          <w:rFonts w:ascii="Arial" w:hAnsi="Arial" w:cs="Arial"/>
          <w:b/>
          <w:lang w:val="es-CO"/>
        </w:rPr>
      </w:pPr>
    </w:p>
    <w:p w14:paraId="2B12229C" w14:textId="77777777" w:rsidR="00B2442D" w:rsidRDefault="008A645F">
      <w:pPr>
        <w:pStyle w:val="Prrafodelista"/>
        <w:numPr>
          <w:ilvl w:val="0"/>
          <w:numId w:val="152"/>
        </w:numPr>
        <w:spacing w:line="40" w:lineRule="atLeast"/>
        <w:ind w:left="0" w:right="-30" w:firstLine="0"/>
        <w:jc w:val="both"/>
        <w:rPr>
          <w:rFonts w:ascii="Arial" w:eastAsia="Arial" w:hAnsi="Arial" w:cs="Arial"/>
          <w:lang w:val="es-CO"/>
        </w:rPr>
      </w:pPr>
      <w:r>
        <w:rPr>
          <w:rFonts w:ascii="Arial" w:eastAsia="Arial" w:hAnsi="Arial" w:cs="Arial"/>
          <w:b/>
          <w:i/>
          <w:w w:val="105"/>
          <w:lang w:val="es-CO"/>
        </w:rPr>
        <w:t>Contribuyentes</w:t>
      </w:r>
      <w:r>
        <w:rPr>
          <w:rFonts w:ascii="Arial" w:eastAsia="Arial" w:hAnsi="Arial" w:cs="Arial"/>
          <w:b/>
          <w:i/>
          <w:spacing w:val="57"/>
          <w:w w:val="105"/>
          <w:lang w:val="es-CO"/>
        </w:rPr>
        <w:t xml:space="preserve"> </w:t>
      </w:r>
      <w:r>
        <w:rPr>
          <w:rFonts w:ascii="Arial" w:eastAsia="Arial" w:hAnsi="Arial" w:cs="Arial"/>
          <w:b/>
          <w:i/>
          <w:w w:val="105"/>
          <w:lang w:val="es-CO"/>
        </w:rPr>
        <w:t>obligados</w:t>
      </w:r>
      <w:r>
        <w:rPr>
          <w:rFonts w:ascii="Arial" w:eastAsia="Arial" w:hAnsi="Arial" w:cs="Arial"/>
          <w:b/>
          <w:i/>
          <w:spacing w:val="25"/>
          <w:w w:val="105"/>
          <w:lang w:val="es-CO"/>
        </w:rPr>
        <w:t xml:space="preserve"> </w:t>
      </w:r>
      <w:r>
        <w:rPr>
          <w:rFonts w:ascii="Arial" w:eastAsia="Arial" w:hAnsi="Arial" w:cs="Arial"/>
          <w:b/>
          <w:i/>
          <w:w w:val="105"/>
          <w:lang w:val="es-CO"/>
        </w:rPr>
        <w:t>a</w:t>
      </w:r>
      <w:r>
        <w:rPr>
          <w:rFonts w:ascii="Arial" w:eastAsia="Arial" w:hAnsi="Arial" w:cs="Arial"/>
          <w:b/>
          <w:i/>
          <w:spacing w:val="35"/>
          <w:w w:val="105"/>
          <w:lang w:val="es-CO"/>
        </w:rPr>
        <w:t xml:space="preserve"> </w:t>
      </w:r>
      <w:r>
        <w:rPr>
          <w:rFonts w:ascii="Arial" w:eastAsia="Arial" w:hAnsi="Arial" w:cs="Arial"/>
          <w:b/>
          <w:i/>
          <w:w w:val="105"/>
          <w:lang w:val="es-CO"/>
        </w:rPr>
        <w:t>presentar declaración informativa.</w:t>
      </w:r>
      <w:r>
        <w:rPr>
          <w:rFonts w:ascii="Arial" w:eastAsia="Arial" w:hAnsi="Arial" w:cs="Arial"/>
          <w:spacing w:val="46"/>
          <w:w w:val="105"/>
          <w:lang w:val="es-CO"/>
        </w:rPr>
        <w:t xml:space="preserve"> </w:t>
      </w:r>
      <w:r>
        <w:rPr>
          <w:rFonts w:ascii="Arial" w:eastAsia="Arial" w:hAnsi="Arial" w:cs="Arial"/>
          <w:w w:val="105"/>
          <w:lang w:val="es-CO"/>
        </w:rPr>
        <w:t xml:space="preserve">Están obligados a </w:t>
      </w:r>
      <w:r>
        <w:rPr>
          <w:rFonts w:ascii="Arial" w:eastAsia="Arial" w:hAnsi="Arial" w:cs="Arial"/>
          <w:w w:val="105"/>
          <w:lang w:val="es-CO"/>
        </w:rPr>
        <w:t>presentar declaración informativa de precios de transferencia por el año gravable 2016:</w:t>
      </w:r>
    </w:p>
    <w:p w14:paraId="71C677A9" w14:textId="77777777" w:rsidR="00B2442D" w:rsidRDefault="00B2442D">
      <w:pPr>
        <w:spacing w:line="40" w:lineRule="atLeast"/>
        <w:ind w:right="-30"/>
        <w:jc w:val="both"/>
        <w:rPr>
          <w:rFonts w:ascii="Arial" w:hAnsi="Arial" w:cs="Arial"/>
          <w:lang w:val="es-CO"/>
        </w:rPr>
      </w:pPr>
    </w:p>
    <w:p w14:paraId="65E9890D" w14:textId="77777777" w:rsidR="00B2442D" w:rsidRDefault="008A645F">
      <w:pPr>
        <w:numPr>
          <w:ilvl w:val="0"/>
          <w:numId w:val="205"/>
        </w:numPr>
        <w:autoSpaceDE w:val="0"/>
        <w:autoSpaceDN w:val="0"/>
        <w:spacing w:line="40" w:lineRule="atLeast"/>
        <w:jc w:val="both"/>
        <w:rPr>
          <w:rFonts w:ascii="Arial" w:hAnsi="Arial" w:cs="Arial"/>
          <w:color w:val="000000"/>
          <w:lang w:val="es-CO" w:eastAsia="es-CO"/>
        </w:rPr>
      </w:pPr>
      <w:r>
        <w:rPr>
          <w:rFonts w:ascii="Arial" w:hAnsi="Arial" w:cs="Arial"/>
          <w:color w:val="000000"/>
          <w:lang w:eastAsia="es-CO"/>
        </w:rPr>
        <w:t>Los contribuyentes del impuesto sobre la renta y complementario, obligados a la aplicación de las normas que regulan el régimen de precios de transferencia, cuyo patri</w:t>
      </w:r>
      <w:r>
        <w:rPr>
          <w:rFonts w:ascii="Arial" w:hAnsi="Arial" w:cs="Arial"/>
          <w:color w:val="000000"/>
          <w:lang w:eastAsia="es-CO"/>
        </w:rPr>
        <w:t>monio bruto en el último día del año o período gravable sea igual o superior al equivalente a cien mil (100.000) UVT</w:t>
      </w:r>
      <w:r>
        <w:rPr>
          <w:rFonts w:ascii="Arial" w:hAnsi="Arial" w:cs="Arial"/>
          <w:color w:val="1F497D"/>
          <w:lang w:eastAsia="es-CO"/>
        </w:rPr>
        <w:t xml:space="preserve"> </w:t>
      </w:r>
      <w:r>
        <w:rPr>
          <w:rFonts w:ascii="Arial" w:hAnsi="Arial" w:cs="Arial"/>
          <w:color w:val="000000"/>
          <w:lang w:eastAsia="es-CO"/>
        </w:rPr>
        <w:t>($2.975.300.000) o cuyos ingresos brutos del respectivo año sean iguales o superiores al equivalente a sesenta y un mil (61.000) UVT ($1.81</w:t>
      </w:r>
      <w:r>
        <w:rPr>
          <w:rFonts w:ascii="Arial" w:hAnsi="Arial" w:cs="Arial"/>
          <w:color w:val="000000"/>
          <w:lang w:eastAsia="es-CO"/>
        </w:rPr>
        <w:t>4.933.000) que celebren operaciones con vinculados conforme con lo establecido en los artículos 260-1 y 260-2 del Estatuto Tributario.</w:t>
      </w:r>
    </w:p>
    <w:p w14:paraId="4B3B9EE6" w14:textId="77777777" w:rsidR="00B2442D" w:rsidRDefault="00B2442D">
      <w:pPr>
        <w:autoSpaceDE w:val="0"/>
        <w:autoSpaceDN w:val="0"/>
        <w:spacing w:line="40" w:lineRule="atLeast"/>
        <w:ind w:left="360"/>
        <w:rPr>
          <w:rFonts w:ascii="Arial" w:hAnsi="Arial" w:cs="Arial"/>
          <w:color w:val="000000"/>
          <w:lang w:val="es-CO" w:eastAsia="es-CO"/>
        </w:rPr>
      </w:pPr>
    </w:p>
    <w:p w14:paraId="494BBBF7" w14:textId="77777777" w:rsidR="00B2442D" w:rsidRDefault="008A645F">
      <w:pPr>
        <w:numPr>
          <w:ilvl w:val="0"/>
          <w:numId w:val="205"/>
        </w:numPr>
        <w:autoSpaceDE w:val="0"/>
        <w:autoSpaceDN w:val="0"/>
        <w:spacing w:line="40" w:lineRule="atLeast"/>
        <w:jc w:val="both"/>
        <w:rPr>
          <w:rFonts w:ascii="Arial" w:hAnsi="Arial" w:cs="Arial"/>
          <w:color w:val="000000"/>
          <w:lang w:val="es-CO" w:eastAsia="es-CO"/>
        </w:rPr>
      </w:pPr>
      <w:r>
        <w:rPr>
          <w:rFonts w:ascii="Arial" w:hAnsi="Arial" w:cs="Arial"/>
          <w:color w:val="000000"/>
        </w:rPr>
        <w:t>Los contribuyentes del impuesto sobre la renta y complementario residentes o domiciliados en Colombia que en dicho año g</w:t>
      </w:r>
      <w:r>
        <w:rPr>
          <w:rFonts w:ascii="Arial" w:hAnsi="Arial" w:cs="Arial"/>
          <w:color w:val="000000"/>
        </w:rPr>
        <w:t xml:space="preserve">ravable hubieran realizado operaciones con </w:t>
      </w:r>
      <w:r>
        <w:rPr>
          <w:rFonts w:ascii="Arial" w:hAnsi="Arial" w:cs="Arial"/>
        </w:rPr>
        <w:t>personas, sociedades, entidades o empresas ubicadas, residentes o domiciliadas en paraísos fiscales</w:t>
      </w:r>
      <w:r>
        <w:rPr>
          <w:rFonts w:ascii="Arial" w:hAnsi="Arial" w:cs="Arial"/>
          <w:color w:val="000000"/>
        </w:rPr>
        <w:t>, aunque su patrimonio bruto a 31 de diciembre de 2016 o sus ingresos brutos en el mismo año, hubieran sido inferi</w:t>
      </w:r>
      <w:r>
        <w:rPr>
          <w:rFonts w:ascii="Arial" w:hAnsi="Arial" w:cs="Arial"/>
          <w:color w:val="000000"/>
        </w:rPr>
        <w:t>ores a los topes señalados en el numeral anterior. (Artículo 260-7, parágrafo 2 del E.T).</w:t>
      </w:r>
    </w:p>
    <w:p w14:paraId="7976C779" w14:textId="77777777" w:rsidR="00B2442D" w:rsidRDefault="00B2442D">
      <w:pPr>
        <w:autoSpaceDE w:val="0"/>
        <w:autoSpaceDN w:val="0"/>
        <w:spacing w:line="40" w:lineRule="atLeast"/>
        <w:rPr>
          <w:rFonts w:ascii="Arial" w:hAnsi="Arial" w:cs="Arial"/>
          <w:color w:val="000000"/>
          <w:lang w:val="es-CO" w:eastAsia="en-US"/>
        </w:rPr>
      </w:pPr>
    </w:p>
    <w:p w14:paraId="5CCF5781"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61" w:history="1">
        <w:r>
          <w:rPr>
            <w:rStyle w:val="Hipervnculo"/>
            <w:rFonts w:ascii="Arial" w:hAnsi="Arial" w:cs="Arial"/>
            <w:i/>
          </w:rPr>
          <w:t>Art. 19 Decreto 2105 de 2016</w:t>
        </w:r>
      </w:hyperlink>
      <w:r>
        <w:rPr>
          <w:rFonts w:ascii="Arial" w:hAnsi="Arial" w:cs="Arial"/>
          <w:i/>
        </w:rPr>
        <w:t xml:space="preserve">, plazos 2016: Decreto 2243 </w:t>
      </w:r>
      <w:r>
        <w:rPr>
          <w:rFonts w:ascii="Arial" w:hAnsi="Arial" w:cs="Arial"/>
          <w:i/>
        </w:rPr>
        <w:t>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w:t>
      </w:r>
      <w:r>
        <w:rPr>
          <w:rFonts w:ascii="Arial" w:hAnsi="Arial" w:cs="Arial"/>
          <w:i/>
          <w:iCs/>
          <w:color w:val="000000"/>
          <w:lang w:val="es-CO" w:eastAsia="es-CO"/>
        </w:rPr>
        <w:t>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195CD518" w14:textId="77777777" w:rsidR="00B2442D" w:rsidRDefault="00B2442D">
      <w:pPr>
        <w:spacing w:line="40" w:lineRule="atLeast"/>
        <w:ind w:right="-30"/>
        <w:jc w:val="both"/>
        <w:rPr>
          <w:rFonts w:ascii="Arial" w:hAnsi="Arial" w:cs="Arial"/>
        </w:rPr>
      </w:pPr>
    </w:p>
    <w:p w14:paraId="1967BC68" w14:textId="77777777" w:rsidR="00B2442D" w:rsidRDefault="008A645F">
      <w:pPr>
        <w:pStyle w:val="Prrafodelista"/>
        <w:numPr>
          <w:ilvl w:val="0"/>
          <w:numId w:val="152"/>
        </w:numPr>
        <w:spacing w:line="40" w:lineRule="atLeast"/>
        <w:ind w:left="0" w:right="-30" w:firstLine="0"/>
        <w:jc w:val="both"/>
        <w:rPr>
          <w:rFonts w:ascii="Arial" w:eastAsia="Arial" w:hAnsi="Arial" w:cs="Arial"/>
          <w:lang w:val="es-CO"/>
        </w:rPr>
      </w:pPr>
      <w:r>
        <w:rPr>
          <w:rFonts w:ascii="Arial" w:eastAsia="Arial" w:hAnsi="Arial" w:cs="Arial"/>
          <w:b/>
          <w:i/>
          <w:w w:val="105"/>
          <w:lang w:val="es-CO"/>
        </w:rPr>
        <w:t>Plazos</w:t>
      </w:r>
      <w:r>
        <w:rPr>
          <w:rFonts w:ascii="Arial" w:eastAsia="Arial" w:hAnsi="Arial" w:cs="Arial"/>
          <w:b/>
          <w:i/>
          <w:spacing w:val="57"/>
          <w:w w:val="105"/>
          <w:lang w:val="es-CO"/>
        </w:rPr>
        <w:t xml:space="preserve"> </w:t>
      </w:r>
      <w:r>
        <w:rPr>
          <w:rFonts w:ascii="Arial" w:eastAsia="Arial" w:hAnsi="Arial" w:cs="Arial"/>
          <w:b/>
          <w:i/>
          <w:w w:val="105"/>
          <w:lang w:val="es-CO"/>
        </w:rPr>
        <w:t>para</w:t>
      </w:r>
      <w:r>
        <w:rPr>
          <w:rFonts w:ascii="Arial" w:eastAsia="Arial" w:hAnsi="Arial" w:cs="Arial"/>
          <w:b/>
          <w:i/>
          <w:spacing w:val="55"/>
          <w:w w:val="105"/>
          <w:lang w:val="es-CO"/>
        </w:rPr>
        <w:t xml:space="preserve"> </w:t>
      </w:r>
      <w:r>
        <w:rPr>
          <w:rFonts w:ascii="Arial" w:eastAsia="Arial" w:hAnsi="Arial" w:cs="Arial"/>
          <w:b/>
          <w:i/>
          <w:w w:val="105"/>
          <w:lang w:val="es-CO"/>
        </w:rPr>
        <w:t>presentar</w:t>
      </w:r>
      <w:r>
        <w:rPr>
          <w:rFonts w:ascii="Arial" w:eastAsia="Arial" w:hAnsi="Arial" w:cs="Arial"/>
          <w:b/>
          <w:i/>
          <w:spacing w:val="3"/>
          <w:w w:val="105"/>
          <w:lang w:val="es-CO"/>
        </w:rPr>
        <w:t xml:space="preserve"> </w:t>
      </w:r>
      <w:r>
        <w:rPr>
          <w:rFonts w:ascii="Arial" w:eastAsia="Arial" w:hAnsi="Arial" w:cs="Arial"/>
          <w:b/>
          <w:i/>
          <w:w w:val="105"/>
          <w:lang w:val="es-CO"/>
        </w:rPr>
        <w:t xml:space="preserve">la declaración informativa </w:t>
      </w:r>
      <w:r>
        <w:rPr>
          <w:rFonts w:ascii="Arial" w:eastAsia="Arial" w:hAnsi="Arial" w:cs="Arial"/>
          <w:b/>
          <w:i/>
          <w:lang w:val="es-CO"/>
        </w:rPr>
        <w:t>de</w:t>
      </w:r>
      <w:r>
        <w:rPr>
          <w:rFonts w:ascii="Arial" w:eastAsia="Arial" w:hAnsi="Arial" w:cs="Arial"/>
          <w:b/>
          <w:i/>
          <w:spacing w:val="26"/>
          <w:lang w:val="es-CO"/>
        </w:rPr>
        <w:t xml:space="preserve"> </w:t>
      </w:r>
      <w:r>
        <w:rPr>
          <w:rFonts w:ascii="Arial" w:eastAsia="Arial" w:hAnsi="Arial" w:cs="Arial"/>
          <w:b/>
          <w:i/>
          <w:lang w:val="es-CO"/>
        </w:rPr>
        <w:t>precios</w:t>
      </w:r>
      <w:r>
        <w:rPr>
          <w:rFonts w:ascii="Arial" w:eastAsia="Arial" w:hAnsi="Arial" w:cs="Arial"/>
          <w:b/>
          <w:i/>
          <w:spacing w:val="47"/>
          <w:lang w:val="es-CO"/>
        </w:rPr>
        <w:t xml:space="preserve"> </w:t>
      </w:r>
      <w:r>
        <w:rPr>
          <w:rFonts w:ascii="Arial" w:eastAsia="Arial" w:hAnsi="Arial" w:cs="Arial"/>
          <w:b/>
          <w:i/>
          <w:lang w:val="es-CO"/>
        </w:rPr>
        <w:t>de</w:t>
      </w:r>
      <w:r>
        <w:rPr>
          <w:rFonts w:ascii="Arial" w:eastAsia="Arial" w:hAnsi="Arial" w:cs="Arial"/>
          <w:b/>
          <w:i/>
          <w:spacing w:val="17"/>
          <w:lang w:val="es-CO"/>
        </w:rPr>
        <w:t xml:space="preserve"> </w:t>
      </w:r>
      <w:r>
        <w:rPr>
          <w:rFonts w:ascii="Arial" w:eastAsia="Arial" w:hAnsi="Arial" w:cs="Arial"/>
          <w:b/>
          <w:i/>
          <w:lang w:val="es-CO"/>
        </w:rPr>
        <w:t>transferencia.</w:t>
      </w:r>
      <w:r>
        <w:rPr>
          <w:rFonts w:ascii="Arial" w:eastAsia="Arial" w:hAnsi="Arial" w:cs="Arial"/>
          <w:spacing w:val="36"/>
          <w:lang w:val="es-CO"/>
        </w:rPr>
        <w:t xml:space="preserve"> </w:t>
      </w:r>
      <w:r>
        <w:rPr>
          <w:rFonts w:ascii="Arial" w:eastAsia="Arial" w:hAnsi="Arial" w:cs="Arial"/>
          <w:lang w:val="es-CO"/>
        </w:rPr>
        <w:t xml:space="preserve">Por el año gravable 2016, deberán presentar la declaración informativa de que trata el artículo anterior, los contribuyentes del impuesto sobre la </w:t>
      </w:r>
      <w:r>
        <w:rPr>
          <w:rFonts w:ascii="Arial" w:eastAsia="Arial" w:hAnsi="Arial" w:cs="Arial"/>
          <w:lang w:val="es-CO"/>
        </w:rPr>
        <w:t>renta y complementario obligados a la aplicación de las normas que regulan el régimen de precios de transferencia, que celebren operaciones con vinculados conforme con lo establecido en los artículos 260-1 y 260-2 del Estatuto Tributario o con personas, so</w:t>
      </w:r>
      <w:r>
        <w:rPr>
          <w:rFonts w:ascii="Arial" w:eastAsia="Arial" w:hAnsi="Arial" w:cs="Arial"/>
          <w:lang w:val="es-CO"/>
        </w:rPr>
        <w:t>ciedades, entidades o empresas ubicadas, residentes o domiciliadas en paraísos fiscales, en el formulario que para tal efecto señale la Unidad Administrativa Especial Dirección de Impuestos y Aduanas Nacionales - DIAN.</w:t>
      </w:r>
    </w:p>
    <w:p w14:paraId="3BB3AE95" w14:textId="77777777" w:rsidR="00B2442D" w:rsidRDefault="00B2442D">
      <w:pPr>
        <w:pStyle w:val="Prrafodelista"/>
        <w:spacing w:line="40" w:lineRule="atLeast"/>
        <w:ind w:left="0" w:right="-30"/>
        <w:jc w:val="both"/>
        <w:rPr>
          <w:rFonts w:ascii="Arial" w:eastAsia="Arial" w:hAnsi="Arial" w:cs="Arial"/>
          <w:lang w:val="es-CO"/>
        </w:rPr>
      </w:pPr>
    </w:p>
    <w:p w14:paraId="773D6AEF" w14:textId="77777777" w:rsidR="00B2442D" w:rsidRDefault="008A645F">
      <w:pPr>
        <w:pStyle w:val="Prrafodelista"/>
        <w:spacing w:line="40" w:lineRule="atLeast"/>
        <w:ind w:left="0" w:right="-30"/>
        <w:jc w:val="both"/>
        <w:rPr>
          <w:rFonts w:ascii="Arial" w:eastAsia="Arial" w:hAnsi="Arial" w:cs="Arial"/>
          <w:lang w:val="es-CO"/>
        </w:rPr>
      </w:pPr>
      <w:r>
        <w:rPr>
          <w:rFonts w:ascii="Arial" w:eastAsia="Arial" w:hAnsi="Arial" w:cs="Arial"/>
          <w:lang w:val="es-CO"/>
        </w:rPr>
        <w:t>La declaración informativa de precio</w:t>
      </w:r>
      <w:r>
        <w:rPr>
          <w:rFonts w:ascii="Arial" w:eastAsia="Arial" w:hAnsi="Arial" w:cs="Arial"/>
          <w:lang w:val="es-CO"/>
        </w:rPr>
        <w:t>s de transferencia, se presentará en forma virtual a través de los servicios informáticos electrónicos de la Unidad Administrativa Especial Dirección de Impuestos y Aduanas Nacionales - DIAN, atendiendo al último dígito del NIT del declarante que conste en</w:t>
      </w:r>
      <w:r>
        <w:rPr>
          <w:rFonts w:ascii="Arial" w:eastAsia="Arial" w:hAnsi="Arial" w:cs="Arial"/>
          <w:lang w:val="es-CO"/>
        </w:rPr>
        <w:t xml:space="preserve"> el certificado del Registro Único Tributario - RUT, sin el dígito de verificación, teniendo en cuenta para tal efecto los plazos establecidos a continuación:</w:t>
      </w:r>
    </w:p>
    <w:p w14:paraId="0A3C46BE" w14:textId="77777777" w:rsidR="00B2442D" w:rsidRDefault="00B2442D">
      <w:pPr>
        <w:pStyle w:val="Prrafodelista"/>
        <w:spacing w:line="40" w:lineRule="atLeast"/>
        <w:ind w:right="-30"/>
        <w:jc w:val="both"/>
        <w:rPr>
          <w:rFonts w:ascii="Arial" w:hAnsi="Arial" w:cs="Arial"/>
          <w:highlight w:val="yellow"/>
          <w:lang w:val="es-CO"/>
        </w:rPr>
      </w:pPr>
    </w:p>
    <w:tbl>
      <w:tblPr>
        <w:tblW w:w="3520" w:type="dxa"/>
        <w:jc w:val="center"/>
        <w:tblCellMar>
          <w:left w:w="70" w:type="dxa"/>
          <w:right w:w="70" w:type="dxa"/>
        </w:tblCellMar>
        <w:tblLook w:val="04A0" w:firstRow="1" w:lastRow="0" w:firstColumn="1" w:lastColumn="0" w:noHBand="0" w:noVBand="1"/>
      </w:tblPr>
      <w:tblGrid>
        <w:gridCol w:w="1200"/>
        <w:gridCol w:w="2320"/>
      </w:tblGrid>
      <w:tr w:rsidR="00B2442D" w14:paraId="3E605B60"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5729A80"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dígito es</w:t>
            </w:r>
          </w:p>
        </w:tc>
        <w:tc>
          <w:tcPr>
            <w:tcW w:w="2320" w:type="dxa"/>
            <w:tcBorders>
              <w:top w:val="single" w:sz="8" w:space="0" w:color="auto"/>
              <w:left w:val="nil"/>
              <w:bottom w:val="single" w:sz="8" w:space="0" w:color="auto"/>
              <w:right w:val="single" w:sz="8" w:space="0" w:color="auto"/>
            </w:tcBorders>
            <w:shd w:val="clear" w:color="000000" w:fill="BFBFBF"/>
            <w:noWrap/>
            <w:vAlign w:val="center"/>
            <w:hideMark/>
          </w:tcPr>
          <w:p w14:paraId="589DF22C"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54EAFD8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19E401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2320" w:type="dxa"/>
            <w:tcBorders>
              <w:top w:val="nil"/>
              <w:left w:val="nil"/>
              <w:bottom w:val="single" w:sz="8" w:space="0" w:color="auto"/>
              <w:right w:val="single" w:sz="8" w:space="0" w:color="auto"/>
            </w:tcBorders>
            <w:shd w:val="clear" w:color="auto" w:fill="auto"/>
            <w:noWrap/>
            <w:vAlign w:val="center"/>
            <w:hideMark/>
          </w:tcPr>
          <w:p w14:paraId="7F0DF13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julio de 2017</w:t>
            </w:r>
          </w:p>
        </w:tc>
      </w:tr>
      <w:tr w:rsidR="00B2442D" w14:paraId="6086C2B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60C1EE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2320" w:type="dxa"/>
            <w:tcBorders>
              <w:top w:val="nil"/>
              <w:left w:val="nil"/>
              <w:bottom w:val="single" w:sz="8" w:space="0" w:color="auto"/>
              <w:right w:val="single" w:sz="8" w:space="0" w:color="auto"/>
            </w:tcBorders>
            <w:shd w:val="clear" w:color="auto" w:fill="auto"/>
            <w:noWrap/>
            <w:vAlign w:val="center"/>
            <w:hideMark/>
          </w:tcPr>
          <w:p w14:paraId="2A0A19A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julio de 2017</w:t>
            </w:r>
          </w:p>
        </w:tc>
      </w:tr>
      <w:tr w:rsidR="00B2442D" w14:paraId="5EA72DA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E8659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2320" w:type="dxa"/>
            <w:tcBorders>
              <w:top w:val="nil"/>
              <w:left w:val="nil"/>
              <w:bottom w:val="single" w:sz="8" w:space="0" w:color="auto"/>
              <w:right w:val="single" w:sz="8" w:space="0" w:color="auto"/>
            </w:tcBorders>
            <w:shd w:val="clear" w:color="auto" w:fill="auto"/>
            <w:noWrap/>
            <w:vAlign w:val="center"/>
            <w:hideMark/>
          </w:tcPr>
          <w:p w14:paraId="6A8DD81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13 de </w:t>
            </w:r>
            <w:r>
              <w:rPr>
                <w:rFonts w:ascii="Arial" w:hAnsi="Arial" w:cs="Arial"/>
                <w:color w:val="000000"/>
                <w:sz w:val="22"/>
                <w:szCs w:val="22"/>
                <w:lang w:val="es-CO" w:eastAsia="es-CO"/>
              </w:rPr>
              <w:t>julio de 2017</w:t>
            </w:r>
          </w:p>
        </w:tc>
      </w:tr>
      <w:tr w:rsidR="00B2442D" w14:paraId="6C0FB93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E8FA7A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2320" w:type="dxa"/>
            <w:tcBorders>
              <w:top w:val="nil"/>
              <w:left w:val="nil"/>
              <w:bottom w:val="single" w:sz="8" w:space="0" w:color="auto"/>
              <w:right w:val="single" w:sz="8" w:space="0" w:color="auto"/>
            </w:tcBorders>
            <w:shd w:val="clear" w:color="auto" w:fill="auto"/>
            <w:noWrap/>
            <w:vAlign w:val="center"/>
            <w:hideMark/>
          </w:tcPr>
          <w:p w14:paraId="781F83C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14 de julio de 2017</w:t>
            </w:r>
          </w:p>
        </w:tc>
      </w:tr>
      <w:tr w:rsidR="00B2442D" w14:paraId="0809249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241754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2320" w:type="dxa"/>
            <w:tcBorders>
              <w:top w:val="nil"/>
              <w:left w:val="nil"/>
              <w:bottom w:val="single" w:sz="8" w:space="0" w:color="auto"/>
              <w:right w:val="single" w:sz="8" w:space="0" w:color="auto"/>
            </w:tcBorders>
            <w:shd w:val="clear" w:color="auto" w:fill="auto"/>
            <w:noWrap/>
            <w:vAlign w:val="center"/>
            <w:hideMark/>
          </w:tcPr>
          <w:p w14:paraId="143D203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julio de 2017</w:t>
            </w:r>
          </w:p>
        </w:tc>
      </w:tr>
      <w:tr w:rsidR="00B2442D" w14:paraId="1F4C4445"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1CD631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2320" w:type="dxa"/>
            <w:tcBorders>
              <w:top w:val="nil"/>
              <w:left w:val="nil"/>
              <w:bottom w:val="single" w:sz="8" w:space="0" w:color="auto"/>
              <w:right w:val="single" w:sz="8" w:space="0" w:color="auto"/>
            </w:tcBorders>
            <w:shd w:val="clear" w:color="auto" w:fill="auto"/>
            <w:noWrap/>
            <w:vAlign w:val="center"/>
            <w:hideMark/>
          </w:tcPr>
          <w:p w14:paraId="1F5F1F9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julio de 2017</w:t>
            </w:r>
          </w:p>
        </w:tc>
      </w:tr>
      <w:tr w:rsidR="00B2442D" w14:paraId="73F3AC3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BE3BF1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2320" w:type="dxa"/>
            <w:tcBorders>
              <w:top w:val="nil"/>
              <w:left w:val="nil"/>
              <w:bottom w:val="single" w:sz="8" w:space="0" w:color="auto"/>
              <w:right w:val="single" w:sz="8" w:space="0" w:color="auto"/>
            </w:tcBorders>
            <w:shd w:val="clear" w:color="auto" w:fill="auto"/>
            <w:noWrap/>
            <w:vAlign w:val="center"/>
            <w:hideMark/>
          </w:tcPr>
          <w:p w14:paraId="7B25CB4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julio de 2017</w:t>
            </w:r>
          </w:p>
        </w:tc>
      </w:tr>
      <w:tr w:rsidR="00B2442D" w14:paraId="276A23E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623BDB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2320" w:type="dxa"/>
            <w:tcBorders>
              <w:top w:val="nil"/>
              <w:left w:val="nil"/>
              <w:bottom w:val="single" w:sz="8" w:space="0" w:color="auto"/>
              <w:right w:val="single" w:sz="8" w:space="0" w:color="auto"/>
            </w:tcBorders>
            <w:shd w:val="clear" w:color="auto" w:fill="auto"/>
            <w:noWrap/>
            <w:vAlign w:val="center"/>
            <w:hideMark/>
          </w:tcPr>
          <w:p w14:paraId="0432AED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21 de julio de 2017</w:t>
            </w:r>
          </w:p>
        </w:tc>
      </w:tr>
      <w:tr w:rsidR="00B2442D" w14:paraId="158901C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DF03EC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2320" w:type="dxa"/>
            <w:tcBorders>
              <w:top w:val="nil"/>
              <w:left w:val="nil"/>
              <w:bottom w:val="single" w:sz="8" w:space="0" w:color="auto"/>
              <w:right w:val="single" w:sz="8" w:space="0" w:color="auto"/>
            </w:tcBorders>
            <w:shd w:val="clear" w:color="auto" w:fill="auto"/>
            <w:noWrap/>
            <w:vAlign w:val="center"/>
            <w:hideMark/>
          </w:tcPr>
          <w:p w14:paraId="74A5BE7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24 de julio de 2017</w:t>
            </w:r>
          </w:p>
        </w:tc>
      </w:tr>
      <w:tr w:rsidR="00B2442D" w14:paraId="44AC0E7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416C0D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2320" w:type="dxa"/>
            <w:tcBorders>
              <w:top w:val="nil"/>
              <w:left w:val="nil"/>
              <w:bottom w:val="single" w:sz="8" w:space="0" w:color="auto"/>
              <w:right w:val="single" w:sz="8" w:space="0" w:color="auto"/>
            </w:tcBorders>
            <w:shd w:val="clear" w:color="auto" w:fill="auto"/>
            <w:noWrap/>
            <w:vAlign w:val="center"/>
            <w:hideMark/>
          </w:tcPr>
          <w:p w14:paraId="37F171E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25 de julio de 2017</w:t>
            </w:r>
          </w:p>
        </w:tc>
      </w:tr>
    </w:tbl>
    <w:p w14:paraId="17B42A73" w14:textId="77777777" w:rsidR="00B2442D" w:rsidRDefault="00B2442D">
      <w:pPr>
        <w:autoSpaceDE w:val="0"/>
        <w:autoSpaceDN w:val="0"/>
        <w:adjustRightInd w:val="0"/>
        <w:spacing w:line="40" w:lineRule="atLeast"/>
        <w:ind w:left="720"/>
        <w:rPr>
          <w:rFonts w:ascii="Arial" w:hAnsi="Arial" w:cs="Arial"/>
          <w:b/>
        </w:rPr>
      </w:pPr>
    </w:p>
    <w:p w14:paraId="75CD463B"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62" w:history="1">
        <w:r>
          <w:rPr>
            <w:rStyle w:val="Hipervnculo"/>
            <w:rFonts w:ascii="Arial" w:hAnsi="Arial" w:cs="Arial"/>
            <w:i/>
          </w:rPr>
          <w:t>Art. 20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5F0C3813" w14:textId="77777777" w:rsidR="00B2442D" w:rsidRDefault="00B2442D">
      <w:pPr>
        <w:spacing w:line="40" w:lineRule="atLeast"/>
        <w:ind w:right="-30"/>
        <w:jc w:val="both"/>
        <w:rPr>
          <w:rFonts w:ascii="Arial" w:hAnsi="Arial" w:cs="Arial"/>
          <w:highlight w:val="yellow"/>
        </w:rPr>
      </w:pPr>
    </w:p>
    <w:p w14:paraId="72D00771"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Plazos para presentar la</w:t>
      </w:r>
      <w:r>
        <w:rPr>
          <w:rFonts w:cs="Arial"/>
          <w:b/>
          <w:i/>
          <w:spacing w:val="14"/>
          <w:lang w:val="es-CO"/>
        </w:rPr>
        <w:t xml:space="preserve"> </w:t>
      </w:r>
      <w:r>
        <w:rPr>
          <w:rFonts w:cs="Arial"/>
          <w:b/>
          <w:i/>
          <w:lang w:val="es-CO"/>
        </w:rPr>
        <w:t>documentación Comprobatoria.</w:t>
      </w:r>
      <w:r>
        <w:rPr>
          <w:rFonts w:cs="Arial"/>
          <w:spacing w:val="55"/>
          <w:lang w:val="es-CO"/>
        </w:rPr>
        <w:t xml:space="preserve"> </w:t>
      </w:r>
      <w:r>
        <w:rPr>
          <w:rFonts w:cs="Arial"/>
          <w:lang w:val="es-CO"/>
        </w:rPr>
        <w:t>Por el año gravable 2016, deberán presentar la documentación comprobatoria de que trata el artículo 260-5 del Estatuto Tributario, los contribuyentes que celebren operaciones con vinculados conforme con</w:t>
      </w:r>
      <w:r>
        <w:rPr>
          <w:rFonts w:cs="Arial"/>
          <w:lang w:val="es-CO"/>
        </w:rPr>
        <w:t xml:space="preserve"> lo establecido en los artículos 260-1 y 260-2 del Estatuto Tributario o con personas, sociedades, entidades o empresas ubicadas, residentes o domiciliadas en paraísos fiscales, en forma virtual a través de los servicios informáticos electrónicos de la Uni</w:t>
      </w:r>
      <w:r>
        <w:rPr>
          <w:rFonts w:cs="Arial"/>
          <w:lang w:val="es-CO"/>
        </w:rPr>
        <w:t>dad Administrativa Especial Dirección de Impuestos y Aduanas Nacionales - DIAN, y en las condiciones que ésta determine, atendiendo al último dígito del NIT del declarante que conste en el certificado del Registro Único Tributario - RUT, sin el dígito de v</w:t>
      </w:r>
      <w:r>
        <w:rPr>
          <w:rFonts w:cs="Arial"/>
          <w:lang w:val="es-CO"/>
        </w:rPr>
        <w:t>erificación, teniendo en cuenta para tal efecto los plazos establecidos a continuación:</w:t>
      </w:r>
    </w:p>
    <w:p w14:paraId="31BA7263" w14:textId="77777777" w:rsidR="00B2442D" w:rsidRDefault="00B2442D">
      <w:pPr>
        <w:pStyle w:val="Textoindependiente"/>
        <w:spacing w:line="40" w:lineRule="atLeast"/>
        <w:ind w:right="-30"/>
        <w:jc w:val="both"/>
        <w:rPr>
          <w:rFonts w:cs="Arial"/>
          <w:lang w:val="es-CO"/>
        </w:rPr>
      </w:pPr>
    </w:p>
    <w:tbl>
      <w:tblPr>
        <w:tblW w:w="3520" w:type="dxa"/>
        <w:jc w:val="center"/>
        <w:tblCellMar>
          <w:left w:w="70" w:type="dxa"/>
          <w:right w:w="70" w:type="dxa"/>
        </w:tblCellMar>
        <w:tblLook w:val="04A0" w:firstRow="1" w:lastRow="0" w:firstColumn="1" w:lastColumn="0" w:noHBand="0" w:noVBand="1"/>
      </w:tblPr>
      <w:tblGrid>
        <w:gridCol w:w="1200"/>
        <w:gridCol w:w="2320"/>
      </w:tblGrid>
      <w:tr w:rsidR="00B2442D" w14:paraId="5027555C"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8C30F03"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dígito es</w:t>
            </w:r>
          </w:p>
        </w:tc>
        <w:tc>
          <w:tcPr>
            <w:tcW w:w="2320" w:type="dxa"/>
            <w:tcBorders>
              <w:top w:val="single" w:sz="8" w:space="0" w:color="auto"/>
              <w:left w:val="nil"/>
              <w:bottom w:val="single" w:sz="8" w:space="0" w:color="auto"/>
              <w:right w:val="single" w:sz="8" w:space="0" w:color="auto"/>
            </w:tcBorders>
            <w:shd w:val="clear" w:color="000000" w:fill="BFBFBF"/>
            <w:noWrap/>
            <w:vAlign w:val="center"/>
            <w:hideMark/>
          </w:tcPr>
          <w:p w14:paraId="4E23D821"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6F6C7E2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0028F6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2320" w:type="dxa"/>
            <w:tcBorders>
              <w:top w:val="nil"/>
              <w:left w:val="nil"/>
              <w:bottom w:val="single" w:sz="8" w:space="0" w:color="auto"/>
              <w:right w:val="single" w:sz="8" w:space="0" w:color="auto"/>
            </w:tcBorders>
            <w:shd w:val="clear" w:color="auto" w:fill="auto"/>
            <w:noWrap/>
            <w:vAlign w:val="center"/>
          </w:tcPr>
          <w:p w14:paraId="4D451CB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julio de 2017</w:t>
            </w:r>
          </w:p>
        </w:tc>
      </w:tr>
      <w:tr w:rsidR="00B2442D" w14:paraId="14E36BF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031D71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2320" w:type="dxa"/>
            <w:tcBorders>
              <w:top w:val="nil"/>
              <w:left w:val="nil"/>
              <w:bottom w:val="single" w:sz="8" w:space="0" w:color="auto"/>
              <w:right w:val="single" w:sz="8" w:space="0" w:color="auto"/>
            </w:tcBorders>
            <w:shd w:val="clear" w:color="auto" w:fill="auto"/>
            <w:noWrap/>
            <w:vAlign w:val="center"/>
          </w:tcPr>
          <w:p w14:paraId="0316987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julio de 2017</w:t>
            </w:r>
          </w:p>
        </w:tc>
      </w:tr>
      <w:tr w:rsidR="00B2442D" w14:paraId="6FA88A2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3B1A3B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2320" w:type="dxa"/>
            <w:tcBorders>
              <w:top w:val="nil"/>
              <w:left w:val="nil"/>
              <w:bottom w:val="single" w:sz="8" w:space="0" w:color="auto"/>
              <w:right w:val="single" w:sz="8" w:space="0" w:color="auto"/>
            </w:tcBorders>
            <w:shd w:val="clear" w:color="auto" w:fill="auto"/>
            <w:noWrap/>
            <w:vAlign w:val="center"/>
          </w:tcPr>
          <w:p w14:paraId="00E1C0A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13 de julio de 2017</w:t>
            </w:r>
          </w:p>
        </w:tc>
      </w:tr>
      <w:tr w:rsidR="00B2442D" w14:paraId="4FE93DC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FC9D37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2320" w:type="dxa"/>
            <w:tcBorders>
              <w:top w:val="nil"/>
              <w:left w:val="nil"/>
              <w:bottom w:val="single" w:sz="8" w:space="0" w:color="auto"/>
              <w:right w:val="single" w:sz="8" w:space="0" w:color="auto"/>
            </w:tcBorders>
            <w:shd w:val="clear" w:color="auto" w:fill="auto"/>
            <w:noWrap/>
            <w:vAlign w:val="center"/>
          </w:tcPr>
          <w:p w14:paraId="6CC1551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14 de julio de 2017</w:t>
            </w:r>
          </w:p>
        </w:tc>
      </w:tr>
      <w:tr w:rsidR="00B2442D" w14:paraId="47D835B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1F4A60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2320" w:type="dxa"/>
            <w:tcBorders>
              <w:top w:val="nil"/>
              <w:left w:val="nil"/>
              <w:bottom w:val="single" w:sz="8" w:space="0" w:color="auto"/>
              <w:right w:val="single" w:sz="8" w:space="0" w:color="auto"/>
            </w:tcBorders>
            <w:shd w:val="clear" w:color="auto" w:fill="auto"/>
            <w:noWrap/>
            <w:vAlign w:val="center"/>
          </w:tcPr>
          <w:p w14:paraId="6192627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julio de 2017</w:t>
            </w:r>
          </w:p>
        </w:tc>
      </w:tr>
      <w:tr w:rsidR="00B2442D" w14:paraId="7569E4A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C926A9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2320" w:type="dxa"/>
            <w:tcBorders>
              <w:top w:val="nil"/>
              <w:left w:val="nil"/>
              <w:bottom w:val="single" w:sz="8" w:space="0" w:color="auto"/>
              <w:right w:val="single" w:sz="8" w:space="0" w:color="auto"/>
            </w:tcBorders>
            <w:shd w:val="clear" w:color="auto" w:fill="auto"/>
            <w:noWrap/>
            <w:vAlign w:val="center"/>
          </w:tcPr>
          <w:p w14:paraId="280F7E3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18 de </w:t>
            </w:r>
            <w:r>
              <w:rPr>
                <w:rFonts w:ascii="Arial" w:hAnsi="Arial" w:cs="Arial"/>
                <w:color w:val="000000"/>
                <w:sz w:val="22"/>
                <w:szCs w:val="22"/>
                <w:lang w:val="es-CO" w:eastAsia="es-CO"/>
              </w:rPr>
              <w:t>julio de 2017</w:t>
            </w:r>
          </w:p>
        </w:tc>
      </w:tr>
      <w:tr w:rsidR="00B2442D" w14:paraId="2EC4031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A75273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2320" w:type="dxa"/>
            <w:tcBorders>
              <w:top w:val="nil"/>
              <w:left w:val="nil"/>
              <w:bottom w:val="single" w:sz="8" w:space="0" w:color="auto"/>
              <w:right w:val="single" w:sz="8" w:space="0" w:color="auto"/>
            </w:tcBorders>
            <w:shd w:val="clear" w:color="auto" w:fill="auto"/>
            <w:noWrap/>
            <w:vAlign w:val="center"/>
          </w:tcPr>
          <w:p w14:paraId="7B6D64E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julio de 2017</w:t>
            </w:r>
          </w:p>
        </w:tc>
      </w:tr>
      <w:tr w:rsidR="00B2442D" w14:paraId="76123145"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0B7BD8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2320" w:type="dxa"/>
            <w:tcBorders>
              <w:top w:val="nil"/>
              <w:left w:val="nil"/>
              <w:bottom w:val="single" w:sz="8" w:space="0" w:color="auto"/>
              <w:right w:val="single" w:sz="8" w:space="0" w:color="auto"/>
            </w:tcBorders>
            <w:shd w:val="clear" w:color="auto" w:fill="auto"/>
            <w:noWrap/>
            <w:vAlign w:val="center"/>
          </w:tcPr>
          <w:p w14:paraId="13EFEAD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21 de julio de 2017</w:t>
            </w:r>
          </w:p>
        </w:tc>
      </w:tr>
      <w:tr w:rsidR="00B2442D" w14:paraId="53BC733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2F9101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2320" w:type="dxa"/>
            <w:tcBorders>
              <w:top w:val="nil"/>
              <w:left w:val="nil"/>
              <w:bottom w:val="single" w:sz="8" w:space="0" w:color="auto"/>
              <w:right w:val="single" w:sz="8" w:space="0" w:color="auto"/>
            </w:tcBorders>
            <w:shd w:val="clear" w:color="auto" w:fill="auto"/>
            <w:noWrap/>
            <w:vAlign w:val="center"/>
          </w:tcPr>
          <w:p w14:paraId="17EBFFA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24 de julio de 2017</w:t>
            </w:r>
          </w:p>
        </w:tc>
      </w:tr>
      <w:tr w:rsidR="00B2442D" w14:paraId="2A5895C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F9C662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2320" w:type="dxa"/>
            <w:tcBorders>
              <w:top w:val="nil"/>
              <w:left w:val="nil"/>
              <w:bottom w:val="single" w:sz="8" w:space="0" w:color="auto"/>
              <w:right w:val="single" w:sz="8" w:space="0" w:color="auto"/>
            </w:tcBorders>
            <w:shd w:val="clear" w:color="auto" w:fill="auto"/>
            <w:noWrap/>
            <w:vAlign w:val="center"/>
          </w:tcPr>
          <w:p w14:paraId="2E09002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25 de julio de 2017</w:t>
            </w:r>
          </w:p>
        </w:tc>
      </w:tr>
    </w:tbl>
    <w:p w14:paraId="23773F40" w14:textId="77777777" w:rsidR="00B2442D" w:rsidRDefault="00B2442D">
      <w:pPr>
        <w:pStyle w:val="Textoindependiente"/>
        <w:spacing w:line="40" w:lineRule="atLeast"/>
        <w:ind w:right="-30"/>
        <w:jc w:val="both"/>
        <w:rPr>
          <w:rFonts w:cs="Arial"/>
          <w:lang w:val="es-CO"/>
        </w:rPr>
      </w:pPr>
    </w:p>
    <w:p w14:paraId="30C23E10" w14:textId="77777777" w:rsidR="00B2442D" w:rsidRDefault="008A645F">
      <w:pPr>
        <w:pStyle w:val="Textoindependiente"/>
        <w:spacing w:line="40" w:lineRule="atLeast"/>
        <w:ind w:right="-30"/>
        <w:jc w:val="both"/>
        <w:rPr>
          <w:rFonts w:cs="Arial"/>
          <w:i/>
          <w:highlight w:val="yellow"/>
          <w:lang w:val="es-ES_tradnl"/>
        </w:rPr>
      </w:pPr>
      <w:r>
        <w:rPr>
          <w:rFonts w:cs="Arial"/>
          <w:i/>
          <w:lang w:val="es-CO"/>
        </w:rPr>
        <w:t>(</w:t>
      </w:r>
      <w:hyperlink r:id="rId63" w:history="1">
        <w:r>
          <w:rPr>
            <w:rStyle w:val="Hipervnculo"/>
            <w:rFonts w:cs="Arial"/>
            <w:i/>
            <w:lang w:val="es-CO"/>
          </w:rPr>
          <w:t>Art. 21 Decreto 2105 de 2016</w:t>
        </w:r>
      </w:hyperlink>
      <w:r>
        <w:rPr>
          <w:rFonts w:cs="Arial"/>
          <w:i/>
          <w:lang w:val="es-CO"/>
        </w:rPr>
        <w:t>, plazos 2016: Decreto 2243 de 2015; plazos 2015: Decreto 2623 de 2014; plazos 2014: Decreto 2972 de 2013 y Decreto 685 de 20</w:t>
      </w:r>
      <w:r>
        <w:rPr>
          <w:rFonts w:cs="Arial"/>
          <w:i/>
          <w:lang w:val="es-CO"/>
        </w:rPr>
        <w:t>14; plazos 2013: Decreto 2634 de 2012 y Decreto 0187 de 2013; plazos 2012: Decreto 4907 de 2011; plazos 2011: Decreto 4836 de 2010 y Decreto 1358 de 2011)</w:t>
      </w:r>
    </w:p>
    <w:p w14:paraId="26D3AE0D" w14:textId="77777777" w:rsidR="00B2442D" w:rsidRDefault="00B2442D">
      <w:pPr>
        <w:pStyle w:val="Textoindependiente"/>
        <w:spacing w:line="40" w:lineRule="atLeast"/>
        <w:ind w:right="-30"/>
        <w:rPr>
          <w:rFonts w:cs="Arial"/>
          <w:b/>
          <w:highlight w:val="yellow"/>
          <w:lang w:val="es-CO"/>
        </w:rPr>
      </w:pPr>
    </w:p>
    <w:p w14:paraId="21C8F214" w14:textId="77777777" w:rsidR="00B2442D" w:rsidRDefault="008A645F">
      <w:pPr>
        <w:pStyle w:val="Textoindependiente"/>
        <w:spacing w:line="40" w:lineRule="atLeast"/>
        <w:ind w:right="-30"/>
        <w:jc w:val="center"/>
        <w:rPr>
          <w:rFonts w:cs="Arial"/>
          <w:b/>
          <w:lang w:val="es-CO"/>
        </w:rPr>
      </w:pPr>
      <w:r>
        <w:rPr>
          <w:rFonts w:cs="Arial"/>
          <w:b/>
          <w:lang w:val="es-CO"/>
        </w:rPr>
        <w:t>PLAZO</w:t>
      </w:r>
      <w:r>
        <w:rPr>
          <w:rFonts w:cs="Arial"/>
          <w:b/>
          <w:spacing w:val="7"/>
          <w:lang w:val="es-CO"/>
        </w:rPr>
        <w:t xml:space="preserve"> </w:t>
      </w:r>
      <w:r>
        <w:rPr>
          <w:rFonts w:cs="Arial"/>
          <w:b/>
          <w:lang w:val="es-CO"/>
        </w:rPr>
        <w:t>PARA</w:t>
      </w:r>
      <w:r>
        <w:rPr>
          <w:rFonts w:cs="Arial"/>
          <w:b/>
          <w:spacing w:val="6"/>
          <w:lang w:val="es-CO"/>
        </w:rPr>
        <w:t xml:space="preserve"> </w:t>
      </w:r>
      <w:r>
        <w:rPr>
          <w:rFonts w:cs="Arial"/>
          <w:b/>
          <w:lang w:val="es-CO"/>
        </w:rPr>
        <w:t>DECLARAR</w:t>
      </w:r>
      <w:r>
        <w:rPr>
          <w:rFonts w:cs="Arial"/>
          <w:b/>
          <w:spacing w:val="17"/>
          <w:lang w:val="es-CO"/>
        </w:rPr>
        <w:t xml:space="preserve"> </w:t>
      </w:r>
      <w:r>
        <w:rPr>
          <w:rFonts w:cs="Arial"/>
          <w:b/>
          <w:lang w:val="es-CO"/>
        </w:rPr>
        <w:t>Y</w:t>
      </w:r>
      <w:r>
        <w:rPr>
          <w:rFonts w:cs="Arial"/>
          <w:b/>
          <w:spacing w:val="14"/>
          <w:lang w:val="es-CO"/>
        </w:rPr>
        <w:t xml:space="preserve"> </w:t>
      </w:r>
      <w:r>
        <w:rPr>
          <w:rFonts w:cs="Arial"/>
          <w:b/>
          <w:lang w:val="es-CO"/>
        </w:rPr>
        <w:t>PAGAR</w:t>
      </w:r>
      <w:r>
        <w:rPr>
          <w:rFonts w:cs="Arial"/>
          <w:b/>
          <w:spacing w:val="13"/>
          <w:lang w:val="es-CO"/>
        </w:rPr>
        <w:t xml:space="preserve"> </w:t>
      </w:r>
      <w:r>
        <w:rPr>
          <w:rFonts w:cs="Arial"/>
          <w:b/>
          <w:lang w:val="es-CO"/>
        </w:rPr>
        <w:t>EL</w:t>
      </w:r>
      <w:r>
        <w:rPr>
          <w:rFonts w:cs="Arial"/>
          <w:b/>
          <w:spacing w:val="-6"/>
          <w:lang w:val="es-CO"/>
        </w:rPr>
        <w:t xml:space="preserve"> </w:t>
      </w:r>
      <w:r>
        <w:rPr>
          <w:rFonts w:cs="Arial"/>
          <w:b/>
          <w:lang w:val="es-CO"/>
        </w:rPr>
        <w:t>IMPUESTO</w:t>
      </w:r>
      <w:r>
        <w:rPr>
          <w:rFonts w:cs="Arial"/>
          <w:b/>
          <w:spacing w:val="8"/>
          <w:lang w:val="es-CO"/>
        </w:rPr>
        <w:t xml:space="preserve"> </w:t>
      </w:r>
      <w:r>
        <w:rPr>
          <w:rFonts w:cs="Arial"/>
          <w:b/>
          <w:lang w:val="es-CO"/>
        </w:rPr>
        <w:t>SOBRE</w:t>
      </w:r>
      <w:r>
        <w:rPr>
          <w:rFonts w:cs="Arial"/>
          <w:b/>
          <w:spacing w:val="24"/>
          <w:lang w:val="es-CO"/>
        </w:rPr>
        <w:t xml:space="preserve"> </w:t>
      </w:r>
      <w:r>
        <w:rPr>
          <w:rFonts w:cs="Arial"/>
          <w:b/>
          <w:lang w:val="es-CO"/>
        </w:rPr>
        <w:t>LAS</w:t>
      </w:r>
      <w:r>
        <w:rPr>
          <w:rFonts w:cs="Arial"/>
          <w:b/>
          <w:spacing w:val="-7"/>
          <w:lang w:val="es-CO"/>
        </w:rPr>
        <w:t xml:space="preserve"> </w:t>
      </w:r>
      <w:r>
        <w:rPr>
          <w:rFonts w:cs="Arial"/>
          <w:b/>
          <w:lang w:val="es-CO"/>
        </w:rPr>
        <w:t>VENTAS</w:t>
      </w:r>
    </w:p>
    <w:p w14:paraId="34FBBC70" w14:textId="77777777" w:rsidR="00B2442D" w:rsidRDefault="00B2442D">
      <w:pPr>
        <w:spacing w:line="40" w:lineRule="atLeast"/>
        <w:ind w:right="-30"/>
        <w:jc w:val="both"/>
        <w:rPr>
          <w:rFonts w:ascii="Arial" w:hAnsi="Arial" w:cs="Arial"/>
          <w:lang w:val="es-CO"/>
        </w:rPr>
      </w:pPr>
    </w:p>
    <w:p w14:paraId="3878DFFE"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Declaración y pago bimestral del </w:t>
      </w:r>
      <w:r>
        <w:rPr>
          <w:rFonts w:cs="Arial"/>
          <w:b/>
          <w:i/>
          <w:lang w:val="es-CO"/>
        </w:rPr>
        <w:t>impuesto sobre las</w:t>
      </w:r>
      <w:r>
        <w:rPr>
          <w:rFonts w:cs="Arial"/>
          <w:b/>
          <w:i/>
          <w:spacing w:val="-16"/>
          <w:lang w:val="es-CO"/>
        </w:rPr>
        <w:t xml:space="preserve"> </w:t>
      </w:r>
      <w:r>
        <w:rPr>
          <w:rFonts w:cs="Arial"/>
          <w:b/>
          <w:i/>
          <w:lang w:val="es-CO"/>
        </w:rPr>
        <w:t>ventas.</w:t>
      </w:r>
      <w:r>
        <w:rPr>
          <w:rFonts w:cs="Arial"/>
          <w:lang w:val="es-ES"/>
        </w:rPr>
        <w:t xml:space="preserve"> </w:t>
      </w:r>
      <w:r>
        <w:rPr>
          <w:rFonts w:cs="Arial"/>
          <w:color w:val="000000"/>
          <w:lang w:val="es-CO"/>
        </w:rPr>
        <w:t xml:space="preserve">Los responsables </w:t>
      </w:r>
      <w:r>
        <w:rPr>
          <w:rFonts w:cs="Arial"/>
          <w:lang w:val="es-CO"/>
        </w:rPr>
        <w:t>de este impuesto, grandes contribuyentes y aquellas personas jurídicas y naturales cuyos ingresos brutos a 31 de diciembre del año gravable 2016, sean iguales o superiores a noventa y dos mil (92.000) UVT, ($2.73</w:t>
      </w:r>
      <w:r>
        <w:rPr>
          <w:rFonts w:cs="Arial"/>
          <w:lang w:val="es-CO"/>
        </w:rPr>
        <w:t xml:space="preserve">7.276.000) así como los responsables de que tratan los artículos 477 y 481 del Estatuto Tributario, </w:t>
      </w:r>
      <w:r>
        <w:rPr>
          <w:rFonts w:cs="Arial"/>
          <w:color w:val="000000"/>
          <w:lang w:val="es-CO"/>
        </w:rPr>
        <w:t>deberán presentar la declaración del impuesto sobre las ventas y pagar de manera bimestral utilizando el formulario prescrito por la Unidad Administrativa E</w:t>
      </w:r>
      <w:r>
        <w:rPr>
          <w:rFonts w:cs="Arial"/>
          <w:color w:val="000000"/>
          <w:lang w:val="es-CO"/>
        </w:rPr>
        <w:t>special Dirección de Impuestos y Aduanas Nacionales - DIAN.</w:t>
      </w:r>
    </w:p>
    <w:p w14:paraId="1035DBCF" w14:textId="77777777" w:rsidR="00B2442D" w:rsidRDefault="00B2442D">
      <w:pPr>
        <w:tabs>
          <w:tab w:val="left" w:pos="144"/>
        </w:tabs>
        <w:autoSpaceDE w:val="0"/>
        <w:autoSpaceDN w:val="0"/>
        <w:adjustRightInd w:val="0"/>
        <w:ind w:left="720"/>
        <w:jc w:val="both"/>
        <w:rPr>
          <w:rFonts w:ascii="Arial" w:hAnsi="Arial" w:cs="Arial"/>
          <w:color w:val="000000"/>
        </w:rPr>
      </w:pPr>
    </w:p>
    <w:p w14:paraId="7D3E4114" w14:textId="77777777" w:rsidR="00B2442D" w:rsidRDefault="008A645F">
      <w:pPr>
        <w:tabs>
          <w:tab w:val="left" w:pos="144"/>
        </w:tabs>
        <w:autoSpaceDE w:val="0"/>
        <w:autoSpaceDN w:val="0"/>
        <w:adjustRightInd w:val="0"/>
        <w:jc w:val="both"/>
        <w:rPr>
          <w:rFonts w:ascii="Arial" w:hAnsi="Arial" w:cs="Arial"/>
          <w:color w:val="000000"/>
        </w:rPr>
      </w:pPr>
      <w:r>
        <w:rPr>
          <w:rFonts w:ascii="Arial" w:hAnsi="Arial" w:cs="Arial"/>
          <w:color w:val="000000"/>
        </w:rPr>
        <w:t>Los períodos bimestrales son: Enero-febrero; marzo-abril; mayo-junio; julio-agosto; septiembre-octubre y noviembre-diciembre.</w:t>
      </w:r>
    </w:p>
    <w:p w14:paraId="585394E6" w14:textId="77777777" w:rsidR="00B2442D" w:rsidRDefault="00B2442D">
      <w:pPr>
        <w:tabs>
          <w:tab w:val="left" w:pos="144"/>
        </w:tabs>
        <w:autoSpaceDE w:val="0"/>
        <w:autoSpaceDN w:val="0"/>
        <w:adjustRightInd w:val="0"/>
        <w:ind w:left="720"/>
        <w:jc w:val="both"/>
        <w:rPr>
          <w:rFonts w:ascii="Arial" w:hAnsi="Arial" w:cs="Arial"/>
          <w:color w:val="000000"/>
        </w:rPr>
      </w:pPr>
    </w:p>
    <w:p w14:paraId="1984267B"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color w:val="000000"/>
        </w:rPr>
        <w:t xml:space="preserve">Los vencimientos, de acuerdo con el último dígito del NIT del </w:t>
      </w:r>
      <w:r>
        <w:rPr>
          <w:rFonts w:ascii="Arial" w:hAnsi="Arial" w:cs="Arial"/>
          <w:color w:val="000000"/>
        </w:rPr>
        <w:t>responsable, que conste en el certificado del Registro Único Tributario - RUT, sin tener en cuenta el dígito de verificación, serán los siguientes:</w:t>
      </w:r>
    </w:p>
    <w:p w14:paraId="7DC4F7E0" w14:textId="77777777" w:rsidR="00B2442D" w:rsidRDefault="00B2442D">
      <w:pPr>
        <w:autoSpaceDE w:val="0"/>
        <w:autoSpaceDN w:val="0"/>
        <w:adjustRightInd w:val="0"/>
        <w:spacing w:line="40" w:lineRule="atLeast"/>
        <w:ind w:left="720"/>
        <w:jc w:val="both"/>
        <w:rPr>
          <w:rFonts w:ascii="Arial" w:hAnsi="Arial" w:cs="Arial"/>
          <w:b/>
          <w:color w:val="000000"/>
        </w:rPr>
      </w:pPr>
    </w:p>
    <w:tbl>
      <w:tblPr>
        <w:tblW w:w="8626" w:type="dxa"/>
        <w:jc w:val="center"/>
        <w:tblCellMar>
          <w:left w:w="70" w:type="dxa"/>
          <w:right w:w="70" w:type="dxa"/>
        </w:tblCellMar>
        <w:tblLook w:val="04A0" w:firstRow="1" w:lastRow="0" w:firstColumn="1" w:lastColumn="0" w:noHBand="0" w:noVBand="1"/>
      </w:tblPr>
      <w:tblGrid>
        <w:gridCol w:w="1200"/>
        <w:gridCol w:w="2680"/>
        <w:gridCol w:w="2600"/>
        <w:gridCol w:w="2146"/>
      </w:tblGrid>
      <w:tr w:rsidR="00B2442D" w14:paraId="365BA287" w14:textId="77777777">
        <w:trPr>
          <w:trHeight w:val="330"/>
          <w:jc w:val="center"/>
        </w:trPr>
        <w:tc>
          <w:tcPr>
            <w:tcW w:w="1200" w:type="dxa"/>
            <w:tcBorders>
              <w:top w:val="single" w:sz="4" w:space="0" w:color="auto"/>
              <w:left w:val="single" w:sz="8" w:space="0" w:color="auto"/>
              <w:bottom w:val="nil"/>
              <w:right w:val="single" w:sz="8" w:space="0" w:color="auto"/>
            </w:tcBorders>
            <w:shd w:val="clear" w:color="000000" w:fill="BFBFBF"/>
            <w:noWrap/>
            <w:vAlign w:val="center"/>
            <w:hideMark/>
          </w:tcPr>
          <w:p w14:paraId="08663940"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último</w:t>
            </w:r>
          </w:p>
        </w:tc>
        <w:tc>
          <w:tcPr>
            <w:tcW w:w="2680" w:type="dxa"/>
            <w:tcBorders>
              <w:top w:val="single" w:sz="4" w:space="0" w:color="auto"/>
              <w:left w:val="nil"/>
              <w:bottom w:val="nil"/>
              <w:right w:val="single" w:sz="8" w:space="0" w:color="auto"/>
            </w:tcBorders>
            <w:shd w:val="clear" w:color="000000" w:fill="BFBFBF"/>
            <w:noWrap/>
            <w:vAlign w:val="center"/>
            <w:hideMark/>
          </w:tcPr>
          <w:p w14:paraId="54AEFCE1"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Enero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Febrero 2017</w:t>
            </w:r>
          </w:p>
        </w:tc>
        <w:tc>
          <w:tcPr>
            <w:tcW w:w="2600" w:type="dxa"/>
            <w:tcBorders>
              <w:top w:val="single" w:sz="4" w:space="0" w:color="auto"/>
              <w:left w:val="nil"/>
              <w:bottom w:val="nil"/>
              <w:right w:val="single" w:sz="8" w:space="0" w:color="auto"/>
            </w:tcBorders>
            <w:shd w:val="clear" w:color="000000" w:fill="BFBFBF"/>
            <w:noWrap/>
            <w:vAlign w:val="center"/>
            <w:hideMark/>
          </w:tcPr>
          <w:p w14:paraId="58281928"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Marzo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Abril 2017</w:t>
            </w:r>
          </w:p>
        </w:tc>
        <w:tc>
          <w:tcPr>
            <w:tcW w:w="2146" w:type="dxa"/>
            <w:tcBorders>
              <w:top w:val="single" w:sz="4" w:space="0" w:color="auto"/>
              <w:left w:val="nil"/>
              <w:bottom w:val="nil"/>
              <w:right w:val="single" w:sz="8" w:space="0" w:color="auto"/>
            </w:tcBorders>
            <w:shd w:val="clear" w:color="000000" w:fill="BFBFBF"/>
            <w:noWrap/>
            <w:vAlign w:val="center"/>
            <w:hideMark/>
          </w:tcPr>
          <w:p w14:paraId="1559F012"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Mayo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Junio 2017</w:t>
            </w:r>
          </w:p>
        </w:tc>
      </w:tr>
      <w:tr w:rsidR="00B2442D" w14:paraId="27BE6C3C" w14:textId="77777777">
        <w:trPr>
          <w:trHeight w:val="80"/>
          <w:jc w:val="center"/>
        </w:trPr>
        <w:tc>
          <w:tcPr>
            <w:tcW w:w="1200" w:type="dxa"/>
            <w:tcBorders>
              <w:top w:val="nil"/>
              <w:left w:val="single" w:sz="8" w:space="0" w:color="auto"/>
              <w:bottom w:val="single" w:sz="8" w:space="0" w:color="auto"/>
              <w:right w:val="single" w:sz="8" w:space="0" w:color="auto"/>
            </w:tcBorders>
            <w:shd w:val="clear" w:color="000000" w:fill="BFBFBF"/>
            <w:noWrap/>
            <w:vAlign w:val="center"/>
            <w:hideMark/>
          </w:tcPr>
          <w:p w14:paraId="7476F386"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dígito es</w:t>
            </w:r>
          </w:p>
        </w:tc>
        <w:tc>
          <w:tcPr>
            <w:tcW w:w="2680" w:type="dxa"/>
            <w:tcBorders>
              <w:top w:val="nil"/>
              <w:left w:val="nil"/>
              <w:bottom w:val="single" w:sz="8" w:space="0" w:color="auto"/>
              <w:right w:val="single" w:sz="8" w:space="0" w:color="auto"/>
            </w:tcBorders>
            <w:shd w:val="clear" w:color="000000" w:fill="BFBFBF"/>
            <w:noWrap/>
            <w:vAlign w:val="center"/>
            <w:hideMark/>
          </w:tcPr>
          <w:p w14:paraId="12695DC2"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600" w:type="dxa"/>
            <w:tcBorders>
              <w:top w:val="nil"/>
              <w:left w:val="nil"/>
              <w:bottom w:val="single" w:sz="8" w:space="0" w:color="auto"/>
              <w:right w:val="single" w:sz="8" w:space="0" w:color="auto"/>
            </w:tcBorders>
            <w:shd w:val="clear" w:color="000000" w:fill="BFBFBF"/>
            <w:noWrap/>
            <w:vAlign w:val="center"/>
            <w:hideMark/>
          </w:tcPr>
          <w:p w14:paraId="6F3E9B8A"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146" w:type="dxa"/>
            <w:tcBorders>
              <w:top w:val="nil"/>
              <w:left w:val="nil"/>
              <w:bottom w:val="single" w:sz="8" w:space="0" w:color="auto"/>
              <w:right w:val="single" w:sz="8" w:space="0" w:color="auto"/>
            </w:tcBorders>
            <w:shd w:val="clear" w:color="000000" w:fill="BFBFBF"/>
            <w:noWrap/>
            <w:vAlign w:val="center"/>
            <w:hideMark/>
          </w:tcPr>
          <w:p w14:paraId="4FE1E296"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r>
      <w:tr w:rsidR="00B2442D" w14:paraId="29453464"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4F4B082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680" w:type="dxa"/>
            <w:tcBorders>
              <w:top w:val="nil"/>
              <w:left w:val="nil"/>
              <w:bottom w:val="single" w:sz="8" w:space="0" w:color="auto"/>
              <w:right w:val="single" w:sz="8" w:space="0" w:color="auto"/>
            </w:tcBorders>
            <w:shd w:val="clear" w:color="auto" w:fill="auto"/>
            <w:noWrap/>
            <w:vAlign w:val="center"/>
            <w:hideMark/>
          </w:tcPr>
          <w:p w14:paraId="0C8559A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72CE059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mayo de 2017</w:t>
            </w:r>
          </w:p>
        </w:tc>
        <w:tc>
          <w:tcPr>
            <w:tcW w:w="2146" w:type="dxa"/>
            <w:tcBorders>
              <w:top w:val="nil"/>
              <w:left w:val="nil"/>
              <w:bottom w:val="single" w:sz="8" w:space="0" w:color="auto"/>
              <w:right w:val="single" w:sz="8" w:space="0" w:color="auto"/>
            </w:tcBorders>
            <w:shd w:val="clear" w:color="auto" w:fill="auto"/>
            <w:noWrap/>
            <w:vAlign w:val="center"/>
          </w:tcPr>
          <w:p w14:paraId="64B906C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julio de 2017</w:t>
            </w:r>
          </w:p>
        </w:tc>
      </w:tr>
      <w:tr w:rsidR="00B2442D" w14:paraId="30B9C170"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5EF7BA1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680" w:type="dxa"/>
            <w:tcBorders>
              <w:top w:val="nil"/>
              <w:left w:val="nil"/>
              <w:bottom w:val="single" w:sz="8" w:space="0" w:color="auto"/>
              <w:right w:val="single" w:sz="8" w:space="0" w:color="auto"/>
            </w:tcBorders>
            <w:shd w:val="clear" w:color="auto" w:fill="auto"/>
            <w:noWrap/>
            <w:vAlign w:val="center"/>
            <w:hideMark/>
          </w:tcPr>
          <w:p w14:paraId="60AAF56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19960DB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mayo de 2017</w:t>
            </w:r>
          </w:p>
        </w:tc>
        <w:tc>
          <w:tcPr>
            <w:tcW w:w="2146" w:type="dxa"/>
            <w:tcBorders>
              <w:top w:val="nil"/>
              <w:left w:val="nil"/>
              <w:bottom w:val="single" w:sz="8" w:space="0" w:color="auto"/>
              <w:right w:val="single" w:sz="8" w:space="0" w:color="auto"/>
            </w:tcBorders>
            <w:shd w:val="clear" w:color="auto" w:fill="auto"/>
            <w:noWrap/>
            <w:vAlign w:val="center"/>
          </w:tcPr>
          <w:p w14:paraId="2C9A263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julio de 2017</w:t>
            </w:r>
          </w:p>
        </w:tc>
      </w:tr>
      <w:tr w:rsidR="00B2442D" w14:paraId="32DAF733" w14:textId="77777777">
        <w:trPr>
          <w:trHeight w:val="345"/>
          <w:jc w:val="center"/>
        </w:trPr>
        <w:tc>
          <w:tcPr>
            <w:tcW w:w="12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613E9FE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680" w:type="dxa"/>
            <w:tcBorders>
              <w:top w:val="single" w:sz="4" w:space="0" w:color="auto"/>
              <w:left w:val="nil"/>
              <w:bottom w:val="single" w:sz="8" w:space="0" w:color="auto"/>
              <w:right w:val="single" w:sz="8" w:space="0" w:color="auto"/>
            </w:tcBorders>
            <w:shd w:val="clear" w:color="auto" w:fill="auto"/>
            <w:noWrap/>
            <w:vAlign w:val="center"/>
            <w:hideMark/>
          </w:tcPr>
          <w:p w14:paraId="3A89664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marzo de 2017</w:t>
            </w:r>
          </w:p>
        </w:tc>
        <w:tc>
          <w:tcPr>
            <w:tcW w:w="2600" w:type="dxa"/>
            <w:tcBorders>
              <w:top w:val="single" w:sz="4" w:space="0" w:color="auto"/>
              <w:left w:val="nil"/>
              <w:bottom w:val="single" w:sz="8" w:space="0" w:color="auto"/>
              <w:right w:val="single" w:sz="8" w:space="0" w:color="auto"/>
            </w:tcBorders>
            <w:shd w:val="clear" w:color="auto" w:fill="auto"/>
            <w:noWrap/>
            <w:vAlign w:val="center"/>
            <w:hideMark/>
          </w:tcPr>
          <w:p w14:paraId="44260B0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mayo de 2017</w:t>
            </w:r>
          </w:p>
        </w:tc>
        <w:tc>
          <w:tcPr>
            <w:tcW w:w="2146" w:type="dxa"/>
            <w:tcBorders>
              <w:top w:val="single" w:sz="4" w:space="0" w:color="auto"/>
              <w:left w:val="nil"/>
              <w:bottom w:val="single" w:sz="8" w:space="0" w:color="auto"/>
              <w:right w:val="single" w:sz="8" w:space="0" w:color="auto"/>
            </w:tcBorders>
            <w:shd w:val="clear" w:color="auto" w:fill="auto"/>
            <w:noWrap/>
            <w:vAlign w:val="center"/>
          </w:tcPr>
          <w:p w14:paraId="02813BA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13 de julio de </w:t>
            </w:r>
            <w:r>
              <w:rPr>
                <w:rFonts w:ascii="Arial" w:hAnsi="Arial" w:cs="Arial"/>
                <w:color w:val="000000"/>
                <w:lang w:val="es-CO" w:eastAsia="es-CO"/>
              </w:rPr>
              <w:t>2017</w:t>
            </w:r>
          </w:p>
        </w:tc>
      </w:tr>
      <w:tr w:rsidR="00B2442D" w14:paraId="32B81F39"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154A1E7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680" w:type="dxa"/>
            <w:tcBorders>
              <w:top w:val="nil"/>
              <w:left w:val="nil"/>
              <w:bottom w:val="single" w:sz="8" w:space="0" w:color="auto"/>
              <w:right w:val="single" w:sz="8" w:space="0" w:color="auto"/>
            </w:tcBorders>
            <w:shd w:val="clear" w:color="auto" w:fill="auto"/>
            <w:noWrap/>
            <w:vAlign w:val="center"/>
            <w:hideMark/>
          </w:tcPr>
          <w:p w14:paraId="577FC24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5B4BF73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mayo de 2017</w:t>
            </w:r>
          </w:p>
        </w:tc>
        <w:tc>
          <w:tcPr>
            <w:tcW w:w="2146" w:type="dxa"/>
            <w:tcBorders>
              <w:top w:val="nil"/>
              <w:left w:val="nil"/>
              <w:bottom w:val="single" w:sz="8" w:space="0" w:color="auto"/>
              <w:right w:val="single" w:sz="8" w:space="0" w:color="auto"/>
            </w:tcBorders>
            <w:shd w:val="clear" w:color="auto" w:fill="auto"/>
            <w:noWrap/>
            <w:vAlign w:val="center"/>
          </w:tcPr>
          <w:p w14:paraId="0C584E1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julio de 2017</w:t>
            </w:r>
          </w:p>
        </w:tc>
      </w:tr>
      <w:tr w:rsidR="00B2442D" w14:paraId="7F21FCD5"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5C928BE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680" w:type="dxa"/>
            <w:tcBorders>
              <w:top w:val="nil"/>
              <w:left w:val="nil"/>
              <w:bottom w:val="single" w:sz="8" w:space="0" w:color="auto"/>
              <w:right w:val="single" w:sz="8" w:space="0" w:color="auto"/>
            </w:tcBorders>
            <w:shd w:val="clear" w:color="auto" w:fill="auto"/>
            <w:noWrap/>
            <w:vAlign w:val="center"/>
            <w:hideMark/>
          </w:tcPr>
          <w:p w14:paraId="7D0DC74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14A1D42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mayo de 2017</w:t>
            </w:r>
          </w:p>
        </w:tc>
        <w:tc>
          <w:tcPr>
            <w:tcW w:w="2146" w:type="dxa"/>
            <w:tcBorders>
              <w:top w:val="nil"/>
              <w:left w:val="nil"/>
              <w:bottom w:val="single" w:sz="8" w:space="0" w:color="auto"/>
              <w:right w:val="single" w:sz="8" w:space="0" w:color="auto"/>
            </w:tcBorders>
            <w:shd w:val="clear" w:color="auto" w:fill="auto"/>
            <w:noWrap/>
            <w:vAlign w:val="center"/>
          </w:tcPr>
          <w:p w14:paraId="1F54468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julio de 2017</w:t>
            </w:r>
          </w:p>
        </w:tc>
      </w:tr>
      <w:tr w:rsidR="00B2442D" w14:paraId="50B3D8D0" w14:textId="77777777">
        <w:trPr>
          <w:trHeight w:val="345"/>
          <w:jc w:val="center"/>
        </w:trPr>
        <w:tc>
          <w:tcPr>
            <w:tcW w:w="12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55ED712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680" w:type="dxa"/>
            <w:tcBorders>
              <w:top w:val="single" w:sz="4" w:space="0" w:color="auto"/>
              <w:left w:val="nil"/>
              <w:bottom w:val="single" w:sz="8" w:space="0" w:color="auto"/>
              <w:right w:val="single" w:sz="8" w:space="0" w:color="auto"/>
            </w:tcBorders>
            <w:shd w:val="clear" w:color="auto" w:fill="auto"/>
            <w:noWrap/>
            <w:vAlign w:val="center"/>
            <w:hideMark/>
          </w:tcPr>
          <w:p w14:paraId="111A2C0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marzo de 2017</w:t>
            </w:r>
          </w:p>
        </w:tc>
        <w:tc>
          <w:tcPr>
            <w:tcW w:w="2600" w:type="dxa"/>
            <w:tcBorders>
              <w:top w:val="single" w:sz="4" w:space="0" w:color="auto"/>
              <w:left w:val="nil"/>
              <w:bottom w:val="single" w:sz="8" w:space="0" w:color="auto"/>
              <w:right w:val="single" w:sz="8" w:space="0" w:color="auto"/>
            </w:tcBorders>
            <w:shd w:val="clear" w:color="auto" w:fill="auto"/>
            <w:noWrap/>
            <w:vAlign w:val="center"/>
            <w:hideMark/>
          </w:tcPr>
          <w:p w14:paraId="3416BF2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mayo de 2017</w:t>
            </w:r>
          </w:p>
        </w:tc>
        <w:tc>
          <w:tcPr>
            <w:tcW w:w="2146" w:type="dxa"/>
            <w:tcBorders>
              <w:top w:val="nil"/>
              <w:left w:val="nil"/>
              <w:bottom w:val="single" w:sz="8" w:space="0" w:color="auto"/>
              <w:right w:val="single" w:sz="8" w:space="0" w:color="auto"/>
            </w:tcBorders>
            <w:shd w:val="clear" w:color="auto" w:fill="auto"/>
            <w:noWrap/>
            <w:vAlign w:val="center"/>
          </w:tcPr>
          <w:p w14:paraId="67AF71F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julio de 2017</w:t>
            </w:r>
          </w:p>
        </w:tc>
      </w:tr>
      <w:tr w:rsidR="00B2442D" w14:paraId="2EBF6558" w14:textId="77777777">
        <w:trPr>
          <w:trHeight w:val="345"/>
          <w:jc w:val="center"/>
        </w:trPr>
        <w:tc>
          <w:tcPr>
            <w:tcW w:w="120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E91735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680" w:type="dxa"/>
            <w:tcBorders>
              <w:top w:val="single" w:sz="4" w:space="0" w:color="auto"/>
              <w:left w:val="nil"/>
              <w:bottom w:val="single" w:sz="8" w:space="0" w:color="auto"/>
              <w:right w:val="single" w:sz="8" w:space="0" w:color="auto"/>
            </w:tcBorders>
            <w:shd w:val="clear" w:color="auto" w:fill="auto"/>
            <w:noWrap/>
            <w:vAlign w:val="center"/>
            <w:hideMark/>
          </w:tcPr>
          <w:p w14:paraId="4D037B6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marzo de 2017</w:t>
            </w:r>
          </w:p>
        </w:tc>
        <w:tc>
          <w:tcPr>
            <w:tcW w:w="2600" w:type="dxa"/>
            <w:tcBorders>
              <w:top w:val="single" w:sz="4" w:space="0" w:color="auto"/>
              <w:left w:val="nil"/>
              <w:bottom w:val="single" w:sz="8" w:space="0" w:color="auto"/>
              <w:right w:val="single" w:sz="8" w:space="0" w:color="auto"/>
            </w:tcBorders>
            <w:shd w:val="clear" w:color="auto" w:fill="auto"/>
            <w:noWrap/>
            <w:vAlign w:val="center"/>
            <w:hideMark/>
          </w:tcPr>
          <w:p w14:paraId="19A2A06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mayo de 2017</w:t>
            </w:r>
          </w:p>
        </w:tc>
        <w:tc>
          <w:tcPr>
            <w:tcW w:w="2146" w:type="dxa"/>
            <w:tcBorders>
              <w:top w:val="single" w:sz="4" w:space="0" w:color="auto"/>
              <w:left w:val="nil"/>
              <w:bottom w:val="single" w:sz="8" w:space="0" w:color="auto"/>
              <w:right w:val="single" w:sz="8" w:space="0" w:color="auto"/>
            </w:tcBorders>
            <w:shd w:val="clear" w:color="auto" w:fill="auto"/>
            <w:noWrap/>
            <w:vAlign w:val="center"/>
          </w:tcPr>
          <w:p w14:paraId="0EF02B7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julio de 2017</w:t>
            </w:r>
          </w:p>
        </w:tc>
      </w:tr>
      <w:tr w:rsidR="00B2442D" w14:paraId="06841A29"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7F9FABE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680" w:type="dxa"/>
            <w:tcBorders>
              <w:top w:val="nil"/>
              <w:left w:val="nil"/>
              <w:bottom w:val="single" w:sz="8" w:space="0" w:color="auto"/>
              <w:right w:val="single" w:sz="8" w:space="0" w:color="auto"/>
            </w:tcBorders>
            <w:shd w:val="clear" w:color="auto" w:fill="auto"/>
            <w:noWrap/>
            <w:vAlign w:val="center"/>
            <w:hideMark/>
          </w:tcPr>
          <w:p w14:paraId="2B92629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29DDBC3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mayo de 2017</w:t>
            </w:r>
          </w:p>
        </w:tc>
        <w:tc>
          <w:tcPr>
            <w:tcW w:w="2146" w:type="dxa"/>
            <w:tcBorders>
              <w:top w:val="nil"/>
              <w:left w:val="nil"/>
              <w:bottom w:val="single" w:sz="8" w:space="0" w:color="auto"/>
              <w:right w:val="single" w:sz="8" w:space="0" w:color="auto"/>
            </w:tcBorders>
            <w:shd w:val="clear" w:color="auto" w:fill="auto"/>
            <w:noWrap/>
            <w:vAlign w:val="center"/>
          </w:tcPr>
          <w:p w14:paraId="3A8B212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julio de 2017</w:t>
            </w:r>
          </w:p>
        </w:tc>
      </w:tr>
      <w:tr w:rsidR="00B2442D" w14:paraId="7A602E10"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14EC387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680" w:type="dxa"/>
            <w:tcBorders>
              <w:top w:val="nil"/>
              <w:left w:val="nil"/>
              <w:bottom w:val="single" w:sz="8" w:space="0" w:color="auto"/>
              <w:right w:val="single" w:sz="8" w:space="0" w:color="auto"/>
            </w:tcBorders>
            <w:shd w:val="clear" w:color="auto" w:fill="auto"/>
            <w:noWrap/>
            <w:vAlign w:val="center"/>
            <w:hideMark/>
          </w:tcPr>
          <w:p w14:paraId="453EEF1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1A67389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mayo de 2017</w:t>
            </w:r>
          </w:p>
        </w:tc>
        <w:tc>
          <w:tcPr>
            <w:tcW w:w="2146" w:type="dxa"/>
            <w:tcBorders>
              <w:top w:val="nil"/>
              <w:left w:val="nil"/>
              <w:bottom w:val="single" w:sz="8" w:space="0" w:color="auto"/>
              <w:right w:val="single" w:sz="8" w:space="0" w:color="auto"/>
            </w:tcBorders>
            <w:shd w:val="clear" w:color="auto" w:fill="auto"/>
            <w:noWrap/>
            <w:vAlign w:val="center"/>
          </w:tcPr>
          <w:p w14:paraId="04F3070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julio de 2017</w:t>
            </w:r>
          </w:p>
        </w:tc>
      </w:tr>
      <w:tr w:rsidR="00B2442D" w14:paraId="5B1477A4"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56D41C5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680" w:type="dxa"/>
            <w:tcBorders>
              <w:top w:val="nil"/>
              <w:left w:val="nil"/>
              <w:bottom w:val="single" w:sz="8" w:space="0" w:color="auto"/>
              <w:right w:val="single" w:sz="8" w:space="0" w:color="auto"/>
            </w:tcBorders>
            <w:shd w:val="clear" w:color="auto" w:fill="auto"/>
            <w:noWrap/>
            <w:vAlign w:val="center"/>
            <w:hideMark/>
          </w:tcPr>
          <w:p w14:paraId="224F16A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marzo de 2017</w:t>
            </w:r>
          </w:p>
        </w:tc>
        <w:tc>
          <w:tcPr>
            <w:tcW w:w="2600" w:type="dxa"/>
            <w:tcBorders>
              <w:top w:val="nil"/>
              <w:left w:val="nil"/>
              <w:bottom w:val="single" w:sz="8" w:space="0" w:color="auto"/>
              <w:right w:val="single" w:sz="8" w:space="0" w:color="auto"/>
            </w:tcBorders>
            <w:shd w:val="clear" w:color="auto" w:fill="auto"/>
            <w:noWrap/>
            <w:vAlign w:val="center"/>
            <w:hideMark/>
          </w:tcPr>
          <w:p w14:paraId="4F26077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mayo de 2017</w:t>
            </w:r>
          </w:p>
        </w:tc>
        <w:tc>
          <w:tcPr>
            <w:tcW w:w="2146" w:type="dxa"/>
            <w:tcBorders>
              <w:top w:val="nil"/>
              <w:left w:val="nil"/>
              <w:bottom w:val="single" w:sz="8" w:space="0" w:color="auto"/>
              <w:right w:val="single" w:sz="8" w:space="0" w:color="auto"/>
            </w:tcBorders>
            <w:shd w:val="clear" w:color="auto" w:fill="auto"/>
            <w:noWrap/>
            <w:vAlign w:val="center"/>
          </w:tcPr>
          <w:p w14:paraId="00F8926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julio de 2017</w:t>
            </w:r>
          </w:p>
        </w:tc>
      </w:tr>
      <w:tr w:rsidR="00B2442D" w14:paraId="3FEC2918" w14:textId="77777777">
        <w:trPr>
          <w:trHeight w:val="330"/>
          <w:jc w:val="center"/>
        </w:trPr>
        <w:tc>
          <w:tcPr>
            <w:tcW w:w="1200" w:type="dxa"/>
            <w:tcBorders>
              <w:top w:val="single" w:sz="4" w:space="0" w:color="auto"/>
              <w:left w:val="single" w:sz="8" w:space="0" w:color="auto"/>
              <w:bottom w:val="nil"/>
              <w:right w:val="single" w:sz="8" w:space="0" w:color="auto"/>
            </w:tcBorders>
            <w:shd w:val="clear" w:color="000000" w:fill="BFBFBF"/>
            <w:noWrap/>
            <w:vAlign w:val="center"/>
            <w:hideMark/>
          </w:tcPr>
          <w:p w14:paraId="3B3EB7B4"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último</w:t>
            </w:r>
          </w:p>
        </w:tc>
        <w:tc>
          <w:tcPr>
            <w:tcW w:w="2680" w:type="dxa"/>
            <w:tcBorders>
              <w:top w:val="single" w:sz="4" w:space="0" w:color="auto"/>
              <w:left w:val="nil"/>
              <w:bottom w:val="nil"/>
              <w:right w:val="single" w:sz="8" w:space="0" w:color="auto"/>
            </w:tcBorders>
            <w:shd w:val="clear" w:color="000000" w:fill="BFBFBF"/>
            <w:noWrap/>
            <w:vAlign w:val="center"/>
            <w:hideMark/>
          </w:tcPr>
          <w:p w14:paraId="701A539F"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julio - agosto de 2017</w:t>
            </w:r>
          </w:p>
        </w:tc>
        <w:tc>
          <w:tcPr>
            <w:tcW w:w="2600" w:type="dxa"/>
            <w:tcBorders>
              <w:top w:val="single" w:sz="4" w:space="0" w:color="auto"/>
              <w:left w:val="nil"/>
              <w:bottom w:val="nil"/>
              <w:right w:val="single" w:sz="8" w:space="0" w:color="auto"/>
            </w:tcBorders>
            <w:shd w:val="clear" w:color="000000" w:fill="BFBFBF"/>
            <w:noWrap/>
            <w:vAlign w:val="center"/>
            <w:hideMark/>
          </w:tcPr>
          <w:p w14:paraId="3D06F5CB"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Septiembre</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Octubre 2017</w:t>
            </w:r>
          </w:p>
        </w:tc>
        <w:tc>
          <w:tcPr>
            <w:tcW w:w="2146" w:type="dxa"/>
            <w:tcBorders>
              <w:top w:val="single" w:sz="4" w:space="0" w:color="auto"/>
              <w:left w:val="nil"/>
              <w:bottom w:val="nil"/>
              <w:right w:val="single" w:sz="8" w:space="0" w:color="auto"/>
            </w:tcBorders>
            <w:shd w:val="clear" w:color="000000" w:fill="BFBFBF"/>
            <w:noWrap/>
            <w:vAlign w:val="center"/>
            <w:hideMark/>
          </w:tcPr>
          <w:p w14:paraId="4F10507A"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Noviembre-Diciembre 2017</w:t>
            </w:r>
          </w:p>
        </w:tc>
      </w:tr>
      <w:tr w:rsidR="00B2442D" w14:paraId="4864ECBF" w14:textId="77777777">
        <w:trPr>
          <w:trHeight w:val="80"/>
          <w:jc w:val="center"/>
        </w:trPr>
        <w:tc>
          <w:tcPr>
            <w:tcW w:w="1200" w:type="dxa"/>
            <w:tcBorders>
              <w:top w:val="nil"/>
              <w:left w:val="single" w:sz="8" w:space="0" w:color="auto"/>
              <w:bottom w:val="single" w:sz="8" w:space="0" w:color="auto"/>
              <w:right w:val="single" w:sz="8" w:space="0" w:color="auto"/>
            </w:tcBorders>
            <w:shd w:val="clear" w:color="000000" w:fill="BFBFBF"/>
            <w:noWrap/>
            <w:vAlign w:val="center"/>
            <w:hideMark/>
          </w:tcPr>
          <w:p w14:paraId="61F15037"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dígito es</w:t>
            </w:r>
          </w:p>
        </w:tc>
        <w:tc>
          <w:tcPr>
            <w:tcW w:w="2680" w:type="dxa"/>
            <w:tcBorders>
              <w:top w:val="nil"/>
              <w:left w:val="nil"/>
              <w:bottom w:val="single" w:sz="8" w:space="0" w:color="auto"/>
              <w:right w:val="single" w:sz="8" w:space="0" w:color="auto"/>
            </w:tcBorders>
            <w:shd w:val="clear" w:color="000000" w:fill="BFBFBF"/>
            <w:noWrap/>
            <w:vAlign w:val="center"/>
            <w:hideMark/>
          </w:tcPr>
          <w:p w14:paraId="019F274D"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w:t>
            </w:r>
          </w:p>
        </w:tc>
        <w:tc>
          <w:tcPr>
            <w:tcW w:w="2600" w:type="dxa"/>
            <w:tcBorders>
              <w:top w:val="nil"/>
              <w:left w:val="nil"/>
              <w:bottom w:val="single" w:sz="8" w:space="0" w:color="auto"/>
              <w:right w:val="single" w:sz="8" w:space="0" w:color="auto"/>
            </w:tcBorders>
            <w:shd w:val="clear" w:color="000000" w:fill="BFBFBF"/>
            <w:noWrap/>
            <w:vAlign w:val="center"/>
            <w:hideMark/>
          </w:tcPr>
          <w:p w14:paraId="51B355DE"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w:t>
            </w:r>
            <w:r>
              <w:rPr>
                <w:rFonts w:ascii="Arial" w:hAnsi="Arial" w:cs="Arial"/>
                <w:b/>
                <w:bCs/>
                <w:color w:val="000000"/>
                <w:lang w:val="es-CO" w:eastAsia="es-CO"/>
              </w:rPr>
              <w:t>a el día</w:t>
            </w:r>
          </w:p>
        </w:tc>
        <w:tc>
          <w:tcPr>
            <w:tcW w:w="2146" w:type="dxa"/>
            <w:tcBorders>
              <w:top w:val="nil"/>
              <w:left w:val="nil"/>
              <w:bottom w:val="single" w:sz="8" w:space="0" w:color="auto"/>
              <w:right w:val="single" w:sz="8" w:space="0" w:color="auto"/>
            </w:tcBorders>
            <w:shd w:val="clear" w:color="000000" w:fill="BFBFBF"/>
            <w:noWrap/>
            <w:vAlign w:val="center"/>
            <w:hideMark/>
          </w:tcPr>
          <w:p w14:paraId="67F1F585"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1D51B399"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62DB37C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680" w:type="dxa"/>
            <w:tcBorders>
              <w:top w:val="nil"/>
              <w:left w:val="nil"/>
              <w:bottom w:val="single" w:sz="8" w:space="0" w:color="auto"/>
              <w:right w:val="single" w:sz="8" w:space="0" w:color="auto"/>
            </w:tcBorders>
            <w:shd w:val="clear" w:color="auto" w:fill="auto"/>
            <w:noWrap/>
            <w:vAlign w:val="center"/>
          </w:tcPr>
          <w:p w14:paraId="0EF77F5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Septiembre de 2017</w:t>
            </w:r>
          </w:p>
        </w:tc>
        <w:tc>
          <w:tcPr>
            <w:tcW w:w="2600" w:type="dxa"/>
            <w:tcBorders>
              <w:top w:val="nil"/>
              <w:left w:val="nil"/>
              <w:bottom w:val="single" w:sz="8" w:space="0" w:color="auto"/>
              <w:right w:val="single" w:sz="8" w:space="0" w:color="auto"/>
            </w:tcBorders>
            <w:shd w:val="clear" w:color="000000" w:fill="FFFFFF"/>
            <w:noWrap/>
            <w:vAlign w:val="center"/>
            <w:hideMark/>
          </w:tcPr>
          <w:p w14:paraId="47DD39B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noviembre de 2017</w:t>
            </w:r>
          </w:p>
        </w:tc>
        <w:tc>
          <w:tcPr>
            <w:tcW w:w="2146" w:type="dxa"/>
            <w:tcBorders>
              <w:top w:val="nil"/>
              <w:left w:val="nil"/>
              <w:bottom w:val="single" w:sz="8" w:space="0" w:color="auto"/>
              <w:right w:val="single" w:sz="8" w:space="0" w:color="auto"/>
            </w:tcBorders>
            <w:shd w:val="clear" w:color="auto" w:fill="auto"/>
            <w:noWrap/>
            <w:vAlign w:val="center"/>
            <w:hideMark/>
          </w:tcPr>
          <w:p w14:paraId="0CFB3CA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enero de 2018</w:t>
            </w:r>
          </w:p>
        </w:tc>
      </w:tr>
      <w:tr w:rsidR="00B2442D" w14:paraId="7CF0EA3B"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6263B68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680" w:type="dxa"/>
            <w:tcBorders>
              <w:top w:val="nil"/>
              <w:left w:val="nil"/>
              <w:bottom w:val="single" w:sz="8" w:space="0" w:color="auto"/>
              <w:right w:val="single" w:sz="8" w:space="0" w:color="auto"/>
            </w:tcBorders>
            <w:shd w:val="clear" w:color="auto" w:fill="auto"/>
            <w:noWrap/>
            <w:vAlign w:val="center"/>
          </w:tcPr>
          <w:p w14:paraId="265DE02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Septiembre de 2017</w:t>
            </w:r>
          </w:p>
        </w:tc>
        <w:tc>
          <w:tcPr>
            <w:tcW w:w="2600" w:type="dxa"/>
            <w:tcBorders>
              <w:top w:val="nil"/>
              <w:left w:val="nil"/>
              <w:bottom w:val="single" w:sz="8" w:space="0" w:color="auto"/>
              <w:right w:val="single" w:sz="8" w:space="0" w:color="auto"/>
            </w:tcBorders>
            <w:shd w:val="clear" w:color="000000" w:fill="FFFFFF"/>
            <w:noWrap/>
            <w:vAlign w:val="center"/>
            <w:hideMark/>
          </w:tcPr>
          <w:p w14:paraId="7A6D688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noviembre de 2017</w:t>
            </w:r>
          </w:p>
        </w:tc>
        <w:tc>
          <w:tcPr>
            <w:tcW w:w="2146" w:type="dxa"/>
            <w:tcBorders>
              <w:top w:val="nil"/>
              <w:left w:val="nil"/>
              <w:bottom w:val="single" w:sz="8" w:space="0" w:color="auto"/>
              <w:right w:val="single" w:sz="8" w:space="0" w:color="auto"/>
            </w:tcBorders>
            <w:shd w:val="clear" w:color="auto" w:fill="auto"/>
            <w:noWrap/>
            <w:vAlign w:val="center"/>
            <w:hideMark/>
          </w:tcPr>
          <w:p w14:paraId="5250B30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enero de 2018</w:t>
            </w:r>
          </w:p>
        </w:tc>
      </w:tr>
      <w:tr w:rsidR="00B2442D" w14:paraId="5090B6A9" w14:textId="77777777">
        <w:trPr>
          <w:trHeight w:val="345"/>
          <w:jc w:val="center"/>
        </w:trPr>
        <w:tc>
          <w:tcPr>
            <w:tcW w:w="1200" w:type="dxa"/>
            <w:tcBorders>
              <w:top w:val="nil"/>
              <w:left w:val="single" w:sz="8" w:space="0" w:color="auto"/>
              <w:bottom w:val="single" w:sz="4" w:space="0" w:color="auto"/>
              <w:right w:val="single" w:sz="8" w:space="0" w:color="auto"/>
            </w:tcBorders>
            <w:shd w:val="clear" w:color="000000" w:fill="FFFFFF"/>
            <w:noWrap/>
            <w:vAlign w:val="center"/>
            <w:hideMark/>
          </w:tcPr>
          <w:p w14:paraId="4156DFB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680" w:type="dxa"/>
            <w:tcBorders>
              <w:top w:val="nil"/>
              <w:left w:val="nil"/>
              <w:bottom w:val="single" w:sz="4" w:space="0" w:color="auto"/>
              <w:right w:val="single" w:sz="8" w:space="0" w:color="auto"/>
            </w:tcBorders>
            <w:shd w:val="clear" w:color="auto" w:fill="auto"/>
            <w:noWrap/>
            <w:vAlign w:val="center"/>
          </w:tcPr>
          <w:p w14:paraId="3CD0E96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Septiembre de 2017</w:t>
            </w:r>
          </w:p>
        </w:tc>
        <w:tc>
          <w:tcPr>
            <w:tcW w:w="2600" w:type="dxa"/>
            <w:tcBorders>
              <w:top w:val="nil"/>
              <w:left w:val="nil"/>
              <w:bottom w:val="single" w:sz="4" w:space="0" w:color="auto"/>
              <w:right w:val="single" w:sz="8" w:space="0" w:color="auto"/>
            </w:tcBorders>
            <w:shd w:val="clear" w:color="000000" w:fill="FFFFFF"/>
            <w:noWrap/>
            <w:vAlign w:val="center"/>
            <w:hideMark/>
          </w:tcPr>
          <w:p w14:paraId="3597460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noviembre de 2017</w:t>
            </w:r>
          </w:p>
        </w:tc>
        <w:tc>
          <w:tcPr>
            <w:tcW w:w="2146" w:type="dxa"/>
            <w:tcBorders>
              <w:top w:val="nil"/>
              <w:left w:val="nil"/>
              <w:bottom w:val="single" w:sz="4" w:space="0" w:color="auto"/>
              <w:right w:val="single" w:sz="8" w:space="0" w:color="auto"/>
            </w:tcBorders>
            <w:shd w:val="clear" w:color="auto" w:fill="auto"/>
            <w:noWrap/>
            <w:vAlign w:val="center"/>
            <w:hideMark/>
          </w:tcPr>
          <w:p w14:paraId="0765343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enero de 2018</w:t>
            </w:r>
          </w:p>
        </w:tc>
      </w:tr>
      <w:tr w:rsidR="00B2442D" w14:paraId="5E8C13C6" w14:textId="77777777">
        <w:trPr>
          <w:trHeight w:val="345"/>
          <w:jc w:val="center"/>
        </w:trPr>
        <w:tc>
          <w:tcPr>
            <w:tcW w:w="1200"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5ABC505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680" w:type="dxa"/>
            <w:tcBorders>
              <w:top w:val="single" w:sz="4" w:space="0" w:color="auto"/>
              <w:left w:val="nil"/>
              <w:bottom w:val="single" w:sz="8" w:space="0" w:color="auto"/>
              <w:right w:val="single" w:sz="8" w:space="0" w:color="auto"/>
            </w:tcBorders>
            <w:shd w:val="clear" w:color="auto" w:fill="auto"/>
            <w:noWrap/>
            <w:vAlign w:val="center"/>
          </w:tcPr>
          <w:p w14:paraId="056285A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13 de </w:t>
            </w:r>
            <w:r>
              <w:rPr>
                <w:rFonts w:ascii="Arial" w:hAnsi="Arial" w:cs="Arial"/>
                <w:color w:val="000000"/>
                <w:lang w:val="es-CO" w:eastAsia="es-CO"/>
              </w:rPr>
              <w:t>Septiembre de 2017</w:t>
            </w:r>
          </w:p>
        </w:tc>
        <w:tc>
          <w:tcPr>
            <w:tcW w:w="2600" w:type="dxa"/>
            <w:tcBorders>
              <w:top w:val="single" w:sz="4" w:space="0" w:color="auto"/>
              <w:left w:val="nil"/>
              <w:bottom w:val="single" w:sz="8" w:space="0" w:color="auto"/>
              <w:right w:val="single" w:sz="8" w:space="0" w:color="auto"/>
            </w:tcBorders>
            <w:shd w:val="clear" w:color="000000" w:fill="FFFFFF"/>
            <w:noWrap/>
            <w:vAlign w:val="center"/>
            <w:hideMark/>
          </w:tcPr>
          <w:p w14:paraId="2FAF0B8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noviembre de 2017</w:t>
            </w:r>
          </w:p>
        </w:tc>
        <w:tc>
          <w:tcPr>
            <w:tcW w:w="2146" w:type="dxa"/>
            <w:tcBorders>
              <w:top w:val="single" w:sz="4" w:space="0" w:color="auto"/>
              <w:left w:val="nil"/>
              <w:bottom w:val="single" w:sz="8" w:space="0" w:color="auto"/>
              <w:right w:val="single" w:sz="4" w:space="0" w:color="auto"/>
            </w:tcBorders>
            <w:shd w:val="clear" w:color="auto" w:fill="auto"/>
            <w:noWrap/>
            <w:vAlign w:val="center"/>
            <w:hideMark/>
          </w:tcPr>
          <w:p w14:paraId="695AE18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enero de 2018</w:t>
            </w:r>
          </w:p>
        </w:tc>
      </w:tr>
      <w:tr w:rsidR="00B2442D" w14:paraId="53B1014D"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3EDF713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680" w:type="dxa"/>
            <w:tcBorders>
              <w:top w:val="single" w:sz="8" w:space="0" w:color="auto"/>
              <w:left w:val="nil"/>
              <w:bottom w:val="single" w:sz="8" w:space="0" w:color="auto"/>
              <w:right w:val="single" w:sz="8" w:space="0" w:color="auto"/>
            </w:tcBorders>
            <w:shd w:val="clear" w:color="auto" w:fill="auto"/>
            <w:noWrap/>
            <w:vAlign w:val="center"/>
          </w:tcPr>
          <w:p w14:paraId="1D062B9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Septiembre de 2017</w:t>
            </w:r>
          </w:p>
        </w:tc>
        <w:tc>
          <w:tcPr>
            <w:tcW w:w="2600" w:type="dxa"/>
            <w:tcBorders>
              <w:top w:val="single" w:sz="8" w:space="0" w:color="auto"/>
              <w:left w:val="nil"/>
              <w:bottom w:val="single" w:sz="8" w:space="0" w:color="auto"/>
              <w:right w:val="single" w:sz="8" w:space="0" w:color="auto"/>
            </w:tcBorders>
            <w:shd w:val="clear" w:color="000000" w:fill="FFFFFF"/>
            <w:noWrap/>
            <w:vAlign w:val="center"/>
            <w:hideMark/>
          </w:tcPr>
          <w:p w14:paraId="10C3CC1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noviembre de 2017</w:t>
            </w:r>
          </w:p>
        </w:tc>
        <w:tc>
          <w:tcPr>
            <w:tcW w:w="2146" w:type="dxa"/>
            <w:tcBorders>
              <w:top w:val="single" w:sz="8" w:space="0" w:color="auto"/>
              <w:left w:val="nil"/>
              <w:bottom w:val="single" w:sz="8" w:space="0" w:color="auto"/>
              <w:right w:val="single" w:sz="4" w:space="0" w:color="auto"/>
            </w:tcBorders>
            <w:shd w:val="clear" w:color="auto" w:fill="auto"/>
            <w:noWrap/>
            <w:vAlign w:val="center"/>
            <w:hideMark/>
          </w:tcPr>
          <w:p w14:paraId="4279BF6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enero de 2018</w:t>
            </w:r>
          </w:p>
        </w:tc>
      </w:tr>
      <w:tr w:rsidR="00B2442D" w14:paraId="6AAA88EA"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488BBED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3426009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Septiembre de 2017</w:t>
            </w:r>
          </w:p>
        </w:tc>
        <w:tc>
          <w:tcPr>
            <w:tcW w:w="2600" w:type="dxa"/>
            <w:tcBorders>
              <w:top w:val="single" w:sz="8" w:space="0" w:color="auto"/>
              <w:left w:val="nil"/>
              <w:bottom w:val="single" w:sz="8" w:space="0" w:color="auto"/>
              <w:right w:val="single" w:sz="8" w:space="0" w:color="auto"/>
            </w:tcBorders>
            <w:shd w:val="clear" w:color="000000" w:fill="FFFFFF"/>
            <w:noWrap/>
            <w:vAlign w:val="center"/>
            <w:hideMark/>
          </w:tcPr>
          <w:p w14:paraId="30F1BF0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noviembre de 2017</w:t>
            </w:r>
          </w:p>
        </w:tc>
        <w:tc>
          <w:tcPr>
            <w:tcW w:w="2146" w:type="dxa"/>
            <w:tcBorders>
              <w:top w:val="single" w:sz="8" w:space="0" w:color="auto"/>
              <w:left w:val="nil"/>
              <w:bottom w:val="single" w:sz="8" w:space="0" w:color="auto"/>
              <w:right w:val="single" w:sz="4" w:space="0" w:color="auto"/>
            </w:tcBorders>
            <w:shd w:val="clear" w:color="auto" w:fill="auto"/>
            <w:noWrap/>
            <w:vAlign w:val="center"/>
            <w:hideMark/>
          </w:tcPr>
          <w:p w14:paraId="453A5A6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enero de 2018</w:t>
            </w:r>
          </w:p>
        </w:tc>
      </w:tr>
      <w:tr w:rsidR="00B2442D" w14:paraId="257435E1"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2B536A0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680" w:type="dxa"/>
            <w:tcBorders>
              <w:top w:val="single" w:sz="4" w:space="0" w:color="auto"/>
              <w:left w:val="nil"/>
              <w:bottom w:val="single" w:sz="8" w:space="0" w:color="auto"/>
              <w:right w:val="single" w:sz="8" w:space="0" w:color="auto"/>
            </w:tcBorders>
            <w:shd w:val="clear" w:color="auto" w:fill="auto"/>
            <w:noWrap/>
            <w:vAlign w:val="center"/>
          </w:tcPr>
          <w:p w14:paraId="3A16588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Septiembre de 2017</w:t>
            </w:r>
          </w:p>
        </w:tc>
        <w:tc>
          <w:tcPr>
            <w:tcW w:w="2600" w:type="dxa"/>
            <w:tcBorders>
              <w:top w:val="single" w:sz="8" w:space="0" w:color="auto"/>
              <w:left w:val="nil"/>
              <w:bottom w:val="single" w:sz="8" w:space="0" w:color="auto"/>
              <w:right w:val="single" w:sz="8" w:space="0" w:color="auto"/>
            </w:tcBorders>
            <w:shd w:val="clear" w:color="000000" w:fill="FFFFFF"/>
            <w:noWrap/>
            <w:vAlign w:val="center"/>
            <w:hideMark/>
          </w:tcPr>
          <w:p w14:paraId="064F9E7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20 de </w:t>
            </w:r>
            <w:r>
              <w:rPr>
                <w:rFonts w:ascii="Arial" w:hAnsi="Arial" w:cs="Arial"/>
                <w:color w:val="000000"/>
                <w:lang w:val="es-CO" w:eastAsia="es-CO"/>
              </w:rPr>
              <w:t>noviembre de 2017</w:t>
            </w:r>
          </w:p>
        </w:tc>
        <w:tc>
          <w:tcPr>
            <w:tcW w:w="2146" w:type="dxa"/>
            <w:tcBorders>
              <w:top w:val="single" w:sz="8" w:space="0" w:color="auto"/>
              <w:left w:val="nil"/>
              <w:bottom w:val="single" w:sz="8" w:space="0" w:color="auto"/>
              <w:right w:val="single" w:sz="4" w:space="0" w:color="auto"/>
            </w:tcBorders>
            <w:shd w:val="clear" w:color="auto" w:fill="auto"/>
            <w:noWrap/>
            <w:vAlign w:val="center"/>
            <w:hideMark/>
          </w:tcPr>
          <w:p w14:paraId="377F307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enero de 2018</w:t>
            </w:r>
          </w:p>
        </w:tc>
      </w:tr>
      <w:tr w:rsidR="00B2442D" w14:paraId="76EC4350"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7643C5F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680" w:type="dxa"/>
            <w:tcBorders>
              <w:top w:val="single" w:sz="8" w:space="0" w:color="auto"/>
              <w:left w:val="nil"/>
              <w:bottom w:val="single" w:sz="8" w:space="0" w:color="auto"/>
              <w:right w:val="single" w:sz="8" w:space="0" w:color="auto"/>
            </w:tcBorders>
            <w:shd w:val="clear" w:color="auto" w:fill="auto"/>
            <w:noWrap/>
            <w:vAlign w:val="center"/>
          </w:tcPr>
          <w:p w14:paraId="210F5F2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Septiembre de 2017</w:t>
            </w:r>
          </w:p>
        </w:tc>
        <w:tc>
          <w:tcPr>
            <w:tcW w:w="2600" w:type="dxa"/>
            <w:tcBorders>
              <w:top w:val="single" w:sz="8" w:space="0" w:color="auto"/>
              <w:left w:val="nil"/>
              <w:bottom w:val="single" w:sz="8" w:space="0" w:color="auto"/>
              <w:right w:val="single" w:sz="8" w:space="0" w:color="auto"/>
            </w:tcBorders>
            <w:shd w:val="clear" w:color="000000" w:fill="FFFFFF"/>
            <w:noWrap/>
            <w:vAlign w:val="center"/>
            <w:hideMark/>
          </w:tcPr>
          <w:p w14:paraId="65C2A99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noviembre de 2017</w:t>
            </w:r>
          </w:p>
        </w:tc>
        <w:tc>
          <w:tcPr>
            <w:tcW w:w="2146" w:type="dxa"/>
            <w:tcBorders>
              <w:top w:val="single" w:sz="8" w:space="0" w:color="auto"/>
              <w:left w:val="nil"/>
              <w:bottom w:val="single" w:sz="8" w:space="0" w:color="auto"/>
              <w:right w:val="single" w:sz="4" w:space="0" w:color="auto"/>
            </w:tcBorders>
            <w:shd w:val="clear" w:color="auto" w:fill="auto"/>
            <w:noWrap/>
            <w:vAlign w:val="center"/>
            <w:hideMark/>
          </w:tcPr>
          <w:p w14:paraId="77F1162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enero de 2018</w:t>
            </w:r>
          </w:p>
        </w:tc>
      </w:tr>
      <w:tr w:rsidR="00B2442D" w14:paraId="396E587E"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60DF503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680" w:type="dxa"/>
            <w:tcBorders>
              <w:top w:val="single" w:sz="8" w:space="0" w:color="auto"/>
              <w:left w:val="nil"/>
              <w:bottom w:val="single" w:sz="8" w:space="0" w:color="auto"/>
              <w:right w:val="single" w:sz="8" w:space="0" w:color="auto"/>
            </w:tcBorders>
            <w:shd w:val="clear" w:color="auto" w:fill="auto"/>
            <w:noWrap/>
            <w:vAlign w:val="center"/>
          </w:tcPr>
          <w:p w14:paraId="72154D6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Septiembre de 2017</w:t>
            </w:r>
          </w:p>
        </w:tc>
        <w:tc>
          <w:tcPr>
            <w:tcW w:w="2600" w:type="dxa"/>
            <w:tcBorders>
              <w:top w:val="single" w:sz="8" w:space="0" w:color="auto"/>
              <w:left w:val="nil"/>
              <w:bottom w:val="single" w:sz="8" w:space="0" w:color="auto"/>
              <w:right w:val="single" w:sz="8" w:space="0" w:color="auto"/>
            </w:tcBorders>
            <w:shd w:val="clear" w:color="000000" w:fill="FFFFFF"/>
            <w:noWrap/>
            <w:vAlign w:val="center"/>
            <w:hideMark/>
          </w:tcPr>
          <w:p w14:paraId="3648740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noviembre de 2017</w:t>
            </w:r>
          </w:p>
        </w:tc>
        <w:tc>
          <w:tcPr>
            <w:tcW w:w="2146" w:type="dxa"/>
            <w:tcBorders>
              <w:top w:val="single" w:sz="8" w:space="0" w:color="auto"/>
              <w:left w:val="nil"/>
              <w:bottom w:val="single" w:sz="8" w:space="0" w:color="auto"/>
              <w:right w:val="single" w:sz="4" w:space="0" w:color="auto"/>
            </w:tcBorders>
            <w:shd w:val="clear" w:color="auto" w:fill="auto"/>
            <w:noWrap/>
            <w:vAlign w:val="center"/>
            <w:hideMark/>
          </w:tcPr>
          <w:p w14:paraId="14987FD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23 de enero de 2018</w:t>
            </w:r>
          </w:p>
        </w:tc>
      </w:tr>
      <w:tr w:rsidR="00B2442D" w14:paraId="131E9E02" w14:textId="77777777">
        <w:trPr>
          <w:trHeight w:val="345"/>
          <w:jc w:val="center"/>
        </w:trPr>
        <w:tc>
          <w:tcPr>
            <w:tcW w:w="1200"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5945A2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5F733D7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Septiembre de 2017</w:t>
            </w:r>
          </w:p>
        </w:tc>
        <w:tc>
          <w:tcPr>
            <w:tcW w:w="2600" w:type="dxa"/>
            <w:tcBorders>
              <w:top w:val="single" w:sz="8" w:space="0" w:color="auto"/>
              <w:left w:val="nil"/>
              <w:bottom w:val="single" w:sz="4" w:space="0" w:color="auto"/>
              <w:right w:val="single" w:sz="8" w:space="0" w:color="auto"/>
            </w:tcBorders>
            <w:shd w:val="clear" w:color="000000" w:fill="FFFFFF"/>
            <w:noWrap/>
            <w:vAlign w:val="center"/>
            <w:hideMark/>
          </w:tcPr>
          <w:p w14:paraId="6309594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23 de noviembre de 2017</w:t>
            </w:r>
          </w:p>
        </w:tc>
        <w:tc>
          <w:tcPr>
            <w:tcW w:w="2146" w:type="dxa"/>
            <w:tcBorders>
              <w:top w:val="single" w:sz="8" w:space="0" w:color="auto"/>
              <w:left w:val="nil"/>
              <w:bottom w:val="single" w:sz="4" w:space="0" w:color="auto"/>
              <w:right w:val="single" w:sz="4" w:space="0" w:color="auto"/>
            </w:tcBorders>
            <w:shd w:val="clear" w:color="auto" w:fill="auto"/>
            <w:noWrap/>
            <w:vAlign w:val="center"/>
            <w:hideMark/>
          </w:tcPr>
          <w:p w14:paraId="78B3570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24 de enero de </w:t>
            </w:r>
            <w:r>
              <w:rPr>
                <w:rFonts w:ascii="Arial" w:hAnsi="Arial" w:cs="Arial"/>
                <w:color w:val="000000"/>
                <w:lang w:val="es-CO" w:eastAsia="es-CO"/>
              </w:rPr>
              <w:t>2018</w:t>
            </w:r>
          </w:p>
        </w:tc>
      </w:tr>
    </w:tbl>
    <w:p w14:paraId="18A06CF3" w14:textId="77777777" w:rsidR="00B2442D" w:rsidRDefault="00B2442D">
      <w:pPr>
        <w:autoSpaceDE w:val="0"/>
        <w:autoSpaceDN w:val="0"/>
        <w:adjustRightInd w:val="0"/>
        <w:spacing w:line="40" w:lineRule="atLeast"/>
        <w:ind w:left="720"/>
        <w:jc w:val="both"/>
        <w:rPr>
          <w:rFonts w:ascii="Arial" w:hAnsi="Arial" w:cs="Arial"/>
          <w:b/>
          <w:color w:val="000000"/>
        </w:rPr>
      </w:pPr>
    </w:p>
    <w:p w14:paraId="5D805EEC" w14:textId="77777777" w:rsidR="00B2442D" w:rsidRDefault="008A645F">
      <w:pPr>
        <w:tabs>
          <w:tab w:val="left" w:pos="-720"/>
        </w:tabs>
        <w:suppressAutoHyphens/>
        <w:spacing w:line="40" w:lineRule="atLeast"/>
        <w:jc w:val="both"/>
        <w:rPr>
          <w:rFonts w:ascii="Arial" w:hAnsi="Arial" w:cs="Arial"/>
          <w:color w:val="000000"/>
          <w:lang w:val="es-CO" w:eastAsia="es-CO"/>
        </w:rPr>
      </w:pPr>
      <w:r>
        <w:rPr>
          <w:rFonts w:ascii="Arial" w:hAnsi="Arial" w:cs="Arial"/>
          <w:b/>
          <w:color w:val="000000"/>
          <w:lang w:val="es-CO" w:eastAsia="es-CO"/>
        </w:rPr>
        <w:t>Parágrafo 1.</w:t>
      </w:r>
      <w:r>
        <w:rPr>
          <w:rFonts w:ascii="Arial" w:hAnsi="Arial" w:cs="Arial"/>
          <w:color w:val="000000"/>
          <w:lang w:val="es-CO" w:eastAsia="es-CO"/>
        </w:rPr>
        <w:t xml:space="preserve"> Los responsables por la prestación del servicio telefónico deberán presentar la declaración del impuesto sobre las ventas y cancelar el valor a pagar por cada uno de los bimestres del año 2017, de acuerdo con los plazos establecidos en este artículo.</w:t>
      </w:r>
    </w:p>
    <w:p w14:paraId="20C669DD" w14:textId="77777777" w:rsidR="00B2442D" w:rsidRDefault="00B2442D">
      <w:pPr>
        <w:autoSpaceDE w:val="0"/>
        <w:autoSpaceDN w:val="0"/>
        <w:adjustRightInd w:val="0"/>
        <w:spacing w:line="40" w:lineRule="atLeast"/>
        <w:ind w:left="720"/>
        <w:jc w:val="both"/>
        <w:rPr>
          <w:rFonts w:ascii="Arial" w:hAnsi="Arial" w:cs="Arial"/>
          <w:b/>
          <w:lang w:val="es-CO"/>
        </w:rPr>
      </w:pPr>
    </w:p>
    <w:p w14:paraId="76D80CDD" w14:textId="77777777" w:rsidR="00B2442D" w:rsidRDefault="008A645F">
      <w:pPr>
        <w:autoSpaceDE w:val="0"/>
        <w:autoSpaceDN w:val="0"/>
        <w:adjustRightInd w:val="0"/>
        <w:spacing w:line="40" w:lineRule="atLeast"/>
        <w:jc w:val="both"/>
        <w:rPr>
          <w:rFonts w:ascii="Arial" w:hAnsi="Arial" w:cs="Arial"/>
        </w:rPr>
      </w:pPr>
      <w:r>
        <w:rPr>
          <w:rFonts w:ascii="Arial" w:hAnsi="Arial" w:cs="Arial"/>
          <w:b/>
        </w:rPr>
        <w:t>Par</w:t>
      </w:r>
      <w:r>
        <w:rPr>
          <w:rFonts w:ascii="Arial" w:hAnsi="Arial" w:cs="Arial"/>
          <w:b/>
        </w:rPr>
        <w:t>ágrafo 2.</w:t>
      </w:r>
      <w:r>
        <w:rPr>
          <w:rFonts w:ascii="Arial" w:hAnsi="Arial" w:cs="Arial"/>
        </w:rPr>
        <w:t xml:space="preserve"> Para los responsables por la prestación de servicios financieros y las empresas de transporte aéreo regular, que en al año 2013 se les autorizó el plazo especial de que trata el parágrafo </w:t>
      </w:r>
      <w:r>
        <w:rPr>
          <w:rFonts w:ascii="Arial" w:hAnsi="Arial" w:cs="Arial"/>
          <w:color w:val="000000"/>
        </w:rPr>
        <w:t xml:space="preserve">1 del artículo 23 </w:t>
      </w:r>
      <w:r>
        <w:rPr>
          <w:rFonts w:ascii="Arial" w:hAnsi="Arial" w:cs="Arial"/>
        </w:rPr>
        <w:t xml:space="preserve">del Decreto 2634 de 2012, el plazo para </w:t>
      </w:r>
      <w:r>
        <w:rPr>
          <w:rFonts w:ascii="Arial" w:hAnsi="Arial" w:cs="Arial"/>
        </w:rPr>
        <w:t>presentar la declaración bimestral del impuesto sobre las ventas y cancelar el valor a pagar vencerá en las siguientes fechas:</w:t>
      </w:r>
    </w:p>
    <w:p w14:paraId="5972625C" w14:textId="77777777" w:rsidR="00B2442D" w:rsidRDefault="00B2442D">
      <w:pPr>
        <w:autoSpaceDE w:val="0"/>
        <w:autoSpaceDN w:val="0"/>
        <w:adjustRightInd w:val="0"/>
        <w:spacing w:line="40" w:lineRule="atLeast"/>
        <w:ind w:left="720"/>
        <w:jc w:val="both"/>
        <w:rPr>
          <w:rFonts w:ascii="Arial" w:hAnsi="Arial" w:cs="Arial"/>
        </w:rPr>
      </w:pPr>
    </w:p>
    <w:tbl>
      <w:tblPr>
        <w:tblW w:w="7938" w:type="dxa"/>
        <w:jc w:val="center"/>
        <w:tblCellMar>
          <w:left w:w="70" w:type="dxa"/>
          <w:right w:w="70" w:type="dxa"/>
        </w:tblCellMar>
        <w:tblLook w:val="04A0" w:firstRow="1" w:lastRow="0" w:firstColumn="1" w:lastColumn="0" w:noHBand="0" w:noVBand="1"/>
      </w:tblPr>
      <w:tblGrid>
        <w:gridCol w:w="2693"/>
        <w:gridCol w:w="2448"/>
        <w:gridCol w:w="2835"/>
      </w:tblGrid>
      <w:tr w:rsidR="00B2442D" w14:paraId="29300523" w14:textId="77777777">
        <w:trPr>
          <w:trHeight w:val="330"/>
          <w:jc w:val="center"/>
        </w:trPr>
        <w:tc>
          <w:tcPr>
            <w:tcW w:w="2693" w:type="dxa"/>
            <w:tcBorders>
              <w:top w:val="single" w:sz="4" w:space="0" w:color="auto"/>
              <w:left w:val="single" w:sz="4" w:space="0" w:color="auto"/>
              <w:bottom w:val="nil"/>
              <w:right w:val="single" w:sz="4" w:space="0" w:color="auto"/>
            </w:tcBorders>
            <w:shd w:val="clear" w:color="000000" w:fill="BFBFBF"/>
            <w:noWrap/>
            <w:vAlign w:val="center"/>
            <w:hideMark/>
          </w:tcPr>
          <w:p w14:paraId="143448CE"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Enero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Febrero 2017</w:t>
            </w:r>
          </w:p>
        </w:tc>
        <w:tc>
          <w:tcPr>
            <w:tcW w:w="2410" w:type="dxa"/>
            <w:tcBorders>
              <w:top w:val="single" w:sz="4" w:space="0" w:color="auto"/>
              <w:left w:val="nil"/>
              <w:bottom w:val="nil"/>
              <w:right w:val="single" w:sz="4" w:space="0" w:color="auto"/>
            </w:tcBorders>
            <w:shd w:val="clear" w:color="000000" w:fill="BFBFBF"/>
            <w:noWrap/>
            <w:vAlign w:val="center"/>
            <w:hideMark/>
          </w:tcPr>
          <w:p w14:paraId="34D9B119"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Marzo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 xml:space="preserve">Abril 2017 </w:t>
            </w:r>
          </w:p>
        </w:tc>
        <w:tc>
          <w:tcPr>
            <w:tcW w:w="2835" w:type="dxa"/>
            <w:tcBorders>
              <w:top w:val="single" w:sz="4" w:space="0" w:color="auto"/>
              <w:left w:val="nil"/>
              <w:bottom w:val="nil"/>
              <w:right w:val="single" w:sz="4" w:space="0" w:color="auto"/>
            </w:tcBorders>
            <w:shd w:val="clear" w:color="000000" w:fill="BFBFBF"/>
            <w:noWrap/>
            <w:vAlign w:val="center"/>
            <w:hideMark/>
          </w:tcPr>
          <w:p w14:paraId="1E6BD0A5"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Mayo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 xml:space="preserve">Junio 2017 </w:t>
            </w:r>
          </w:p>
        </w:tc>
      </w:tr>
      <w:tr w:rsidR="00B2442D" w14:paraId="250EE710" w14:textId="77777777">
        <w:trPr>
          <w:trHeight w:val="330"/>
          <w:jc w:val="center"/>
        </w:trPr>
        <w:tc>
          <w:tcPr>
            <w:tcW w:w="2693" w:type="dxa"/>
            <w:tcBorders>
              <w:top w:val="nil"/>
              <w:left w:val="single" w:sz="4" w:space="0" w:color="auto"/>
              <w:bottom w:val="single" w:sz="4" w:space="0" w:color="auto"/>
              <w:right w:val="single" w:sz="4" w:space="0" w:color="auto"/>
            </w:tcBorders>
            <w:shd w:val="clear" w:color="000000" w:fill="BFBFBF"/>
            <w:noWrap/>
            <w:vAlign w:val="center"/>
            <w:hideMark/>
          </w:tcPr>
          <w:p w14:paraId="3241D639"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hasta el </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día</w:t>
            </w:r>
          </w:p>
        </w:tc>
        <w:tc>
          <w:tcPr>
            <w:tcW w:w="2410" w:type="dxa"/>
            <w:tcBorders>
              <w:top w:val="nil"/>
              <w:left w:val="nil"/>
              <w:bottom w:val="single" w:sz="4" w:space="0" w:color="auto"/>
              <w:right w:val="single" w:sz="4" w:space="0" w:color="auto"/>
            </w:tcBorders>
            <w:shd w:val="clear" w:color="000000" w:fill="BFBFBF"/>
            <w:noWrap/>
            <w:vAlign w:val="center"/>
            <w:hideMark/>
          </w:tcPr>
          <w:p w14:paraId="22C41FA0"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hasta  el día</w:t>
            </w:r>
          </w:p>
        </w:tc>
        <w:tc>
          <w:tcPr>
            <w:tcW w:w="2835" w:type="dxa"/>
            <w:tcBorders>
              <w:top w:val="nil"/>
              <w:left w:val="nil"/>
              <w:bottom w:val="single" w:sz="4" w:space="0" w:color="auto"/>
              <w:right w:val="single" w:sz="4" w:space="0" w:color="auto"/>
            </w:tcBorders>
            <w:shd w:val="clear" w:color="000000" w:fill="BFBFBF"/>
            <w:noWrap/>
            <w:vAlign w:val="center"/>
            <w:hideMark/>
          </w:tcPr>
          <w:p w14:paraId="58FE0B93" w14:textId="77777777" w:rsidR="00B2442D" w:rsidRDefault="008A645F">
            <w:pPr>
              <w:contextualSpacing/>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r>
      <w:tr w:rsidR="00B2442D" w14:paraId="2F9EE1E5" w14:textId="77777777">
        <w:trPr>
          <w:trHeight w:val="504"/>
          <w:jc w:val="center"/>
        </w:trPr>
        <w:tc>
          <w:tcPr>
            <w:tcW w:w="2693" w:type="dxa"/>
            <w:tcBorders>
              <w:top w:val="nil"/>
              <w:left w:val="single" w:sz="4" w:space="0" w:color="auto"/>
              <w:bottom w:val="single" w:sz="4" w:space="0" w:color="auto"/>
              <w:right w:val="single" w:sz="4" w:space="0" w:color="auto"/>
            </w:tcBorders>
            <w:shd w:val="clear" w:color="000000" w:fill="FFFFFF"/>
            <w:noWrap/>
            <w:vAlign w:val="center"/>
            <w:hideMark/>
          </w:tcPr>
          <w:p w14:paraId="47C3106D"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28 de marzo de 2017</w:t>
            </w:r>
          </w:p>
        </w:tc>
        <w:tc>
          <w:tcPr>
            <w:tcW w:w="2410" w:type="dxa"/>
            <w:tcBorders>
              <w:top w:val="nil"/>
              <w:left w:val="nil"/>
              <w:bottom w:val="single" w:sz="4" w:space="0" w:color="auto"/>
              <w:right w:val="single" w:sz="4" w:space="0" w:color="auto"/>
            </w:tcBorders>
            <w:shd w:val="clear" w:color="000000" w:fill="FFFFFF"/>
            <w:noWrap/>
            <w:vAlign w:val="center"/>
            <w:hideMark/>
          </w:tcPr>
          <w:p w14:paraId="215A079B"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mayo de 2017</w:t>
            </w:r>
          </w:p>
        </w:tc>
        <w:tc>
          <w:tcPr>
            <w:tcW w:w="2835" w:type="dxa"/>
            <w:tcBorders>
              <w:top w:val="nil"/>
              <w:left w:val="nil"/>
              <w:bottom w:val="single" w:sz="4" w:space="0" w:color="auto"/>
              <w:right w:val="single" w:sz="4" w:space="0" w:color="auto"/>
            </w:tcBorders>
            <w:shd w:val="clear" w:color="000000" w:fill="FFFFFF"/>
            <w:noWrap/>
            <w:vAlign w:val="center"/>
            <w:hideMark/>
          </w:tcPr>
          <w:p w14:paraId="15E28F44"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 xml:space="preserve">26 de julio de 2017   </w:t>
            </w:r>
          </w:p>
        </w:tc>
      </w:tr>
      <w:tr w:rsidR="00B2442D" w14:paraId="6A2DCB04" w14:textId="77777777">
        <w:trPr>
          <w:trHeight w:val="330"/>
          <w:jc w:val="center"/>
        </w:trPr>
        <w:tc>
          <w:tcPr>
            <w:tcW w:w="2693" w:type="dxa"/>
            <w:tcBorders>
              <w:top w:val="single" w:sz="4" w:space="0" w:color="auto"/>
              <w:left w:val="single" w:sz="4" w:space="0" w:color="auto"/>
              <w:bottom w:val="nil"/>
              <w:right w:val="single" w:sz="4" w:space="0" w:color="auto"/>
            </w:tcBorders>
            <w:shd w:val="clear" w:color="000000" w:fill="BFBFBF"/>
            <w:noWrap/>
            <w:vAlign w:val="center"/>
            <w:hideMark/>
          </w:tcPr>
          <w:p w14:paraId="7D4CDEE3" w14:textId="77777777" w:rsidR="00B2442D" w:rsidRDefault="008A645F">
            <w:pPr>
              <w:spacing w:line="40" w:lineRule="atLeast"/>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julio - agosto de 2017</w:t>
            </w:r>
          </w:p>
        </w:tc>
        <w:tc>
          <w:tcPr>
            <w:tcW w:w="2410" w:type="dxa"/>
            <w:tcBorders>
              <w:top w:val="single" w:sz="4" w:space="0" w:color="auto"/>
              <w:left w:val="nil"/>
              <w:bottom w:val="nil"/>
              <w:right w:val="single" w:sz="4" w:space="0" w:color="auto"/>
            </w:tcBorders>
            <w:shd w:val="clear" w:color="000000" w:fill="BFBFBF"/>
            <w:noWrap/>
            <w:vAlign w:val="center"/>
            <w:hideMark/>
          </w:tcPr>
          <w:p w14:paraId="090F9C5C" w14:textId="77777777" w:rsidR="00B2442D" w:rsidRDefault="008A645F">
            <w:pPr>
              <w:spacing w:line="40" w:lineRule="atLeast"/>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Septiembre</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 xml:space="preserve">Octubre 2017  </w:t>
            </w:r>
          </w:p>
        </w:tc>
        <w:tc>
          <w:tcPr>
            <w:tcW w:w="2835" w:type="dxa"/>
            <w:tcBorders>
              <w:top w:val="single" w:sz="4" w:space="0" w:color="auto"/>
              <w:left w:val="nil"/>
              <w:bottom w:val="nil"/>
              <w:right w:val="single" w:sz="4" w:space="0" w:color="auto"/>
            </w:tcBorders>
            <w:shd w:val="clear" w:color="000000" w:fill="BFBFBF"/>
            <w:noWrap/>
            <w:vAlign w:val="center"/>
            <w:hideMark/>
          </w:tcPr>
          <w:p w14:paraId="36EE2C7F" w14:textId="77777777" w:rsidR="00B2442D" w:rsidRDefault="008A645F">
            <w:pPr>
              <w:spacing w:line="40" w:lineRule="atLeast"/>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Noviembre-Diciembre 2017  </w:t>
            </w:r>
          </w:p>
        </w:tc>
      </w:tr>
      <w:tr w:rsidR="00B2442D" w14:paraId="63614571" w14:textId="77777777">
        <w:trPr>
          <w:trHeight w:val="80"/>
          <w:jc w:val="center"/>
        </w:trPr>
        <w:tc>
          <w:tcPr>
            <w:tcW w:w="2693" w:type="dxa"/>
            <w:tcBorders>
              <w:top w:val="nil"/>
              <w:left w:val="single" w:sz="4" w:space="0" w:color="auto"/>
              <w:bottom w:val="single" w:sz="4" w:space="0" w:color="auto"/>
              <w:right w:val="single" w:sz="4" w:space="0" w:color="auto"/>
            </w:tcBorders>
            <w:shd w:val="clear" w:color="000000" w:fill="BFBFBF"/>
            <w:noWrap/>
            <w:vAlign w:val="center"/>
            <w:hideMark/>
          </w:tcPr>
          <w:p w14:paraId="79D25235" w14:textId="77777777" w:rsidR="00B2442D" w:rsidRDefault="008A645F">
            <w:pPr>
              <w:spacing w:line="40" w:lineRule="atLeast"/>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410" w:type="dxa"/>
            <w:tcBorders>
              <w:top w:val="nil"/>
              <w:left w:val="nil"/>
              <w:bottom w:val="single" w:sz="4" w:space="0" w:color="auto"/>
              <w:right w:val="single" w:sz="4" w:space="0" w:color="auto"/>
            </w:tcBorders>
            <w:shd w:val="clear" w:color="000000" w:fill="BFBFBF"/>
            <w:noWrap/>
            <w:hideMark/>
          </w:tcPr>
          <w:p w14:paraId="14A8C1D4"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hasta el día</w:t>
            </w:r>
          </w:p>
        </w:tc>
        <w:tc>
          <w:tcPr>
            <w:tcW w:w="2835" w:type="dxa"/>
            <w:tcBorders>
              <w:top w:val="nil"/>
              <w:left w:val="nil"/>
              <w:bottom w:val="single" w:sz="4" w:space="0" w:color="auto"/>
              <w:right w:val="single" w:sz="4" w:space="0" w:color="auto"/>
            </w:tcBorders>
            <w:shd w:val="clear" w:color="000000" w:fill="BFBFBF"/>
            <w:noWrap/>
            <w:hideMark/>
          </w:tcPr>
          <w:p w14:paraId="29209E2F"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464933CD" w14:textId="77777777">
        <w:trPr>
          <w:trHeight w:val="765"/>
          <w:jc w:val="center"/>
        </w:trPr>
        <w:tc>
          <w:tcPr>
            <w:tcW w:w="2693" w:type="dxa"/>
            <w:tcBorders>
              <w:top w:val="nil"/>
              <w:left w:val="single" w:sz="4" w:space="0" w:color="auto"/>
              <w:bottom w:val="single" w:sz="4" w:space="0" w:color="auto"/>
              <w:right w:val="single" w:sz="4" w:space="0" w:color="auto"/>
            </w:tcBorders>
            <w:shd w:val="clear" w:color="000000" w:fill="FFFFFF"/>
            <w:noWrap/>
            <w:vAlign w:val="center"/>
            <w:hideMark/>
          </w:tcPr>
          <w:p w14:paraId="25B1EE1F"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septiembre de 2017</w:t>
            </w:r>
          </w:p>
        </w:tc>
        <w:tc>
          <w:tcPr>
            <w:tcW w:w="2410" w:type="dxa"/>
            <w:tcBorders>
              <w:top w:val="nil"/>
              <w:left w:val="nil"/>
              <w:bottom w:val="single" w:sz="4" w:space="0" w:color="auto"/>
              <w:right w:val="single" w:sz="4" w:space="0" w:color="auto"/>
            </w:tcBorders>
            <w:shd w:val="clear" w:color="000000" w:fill="FFFFFF"/>
            <w:noWrap/>
            <w:vAlign w:val="center"/>
            <w:hideMark/>
          </w:tcPr>
          <w:p w14:paraId="3608EE95"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28 de noviembre de 2017</w:t>
            </w:r>
          </w:p>
        </w:tc>
        <w:tc>
          <w:tcPr>
            <w:tcW w:w="2835" w:type="dxa"/>
            <w:tcBorders>
              <w:top w:val="nil"/>
              <w:left w:val="nil"/>
              <w:bottom w:val="single" w:sz="4" w:space="0" w:color="auto"/>
              <w:right w:val="single" w:sz="4" w:space="0" w:color="auto"/>
            </w:tcBorders>
            <w:shd w:val="clear" w:color="000000" w:fill="FFFFFF"/>
            <w:noWrap/>
            <w:vAlign w:val="center"/>
            <w:hideMark/>
          </w:tcPr>
          <w:p w14:paraId="0FB5A35F"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enero de 2018</w:t>
            </w:r>
          </w:p>
        </w:tc>
      </w:tr>
    </w:tbl>
    <w:p w14:paraId="01551379" w14:textId="77777777" w:rsidR="00B2442D" w:rsidRDefault="00B2442D">
      <w:pPr>
        <w:autoSpaceDE w:val="0"/>
        <w:autoSpaceDN w:val="0"/>
        <w:adjustRightInd w:val="0"/>
        <w:spacing w:line="40" w:lineRule="atLeast"/>
        <w:ind w:left="720"/>
        <w:rPr>
          <w:rFonts w:ascii="Arial" w:hAnsi="Arial" w:cs="Arial"/>
          <w:b/>
        </w:rPr>
      </w:pPr>
    </w:p>
    <w:p w14:paraId="37D8ADD3"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64" w:history="1">
        <w:r>
          <w:rPr>
            <w:rStyle w:val="Hipervnculo"/>
            <w:rFonts w:ascii="Arial" w:hAnsi="Arial" w:cs="Arial"/>
            <w:i/>
          </w:rPr>
          <w:t>Art. 1 Decreto 220 de 2017</w:t>
        </w:r>
      </w:hyperlink>
      <w:r>
        <w:rPr>
          <w:rFonts w:ascii="Arial" w:hAnsi="Arial" w:cs="Arial"/>
          <w:i/>
        </w:rPr>
        <w:t xml:space="preserve"> modifica </w:t>
      </w:r>
      <w:hyperlink r:id="rId65" w:history="1">
        <w:r>
          <w:rPr>
            <w:rStyle w:val="Hipervnculo"/>
            <w:rFonts w:ascii="Arial" w:hAnsi="Arial" w:cs="Arial"/>
            <w:i/>
          </w:rPr>
          <w:t>Art. 22 Decr</w:t>
        </w:r>
        <w:r>
          <w:rPr>
            <w:rStyle w:val="Hipervnculo"/>
            <w:rFonts w:ascii="Arial" w:hAnsi="Arial" w:cs="Arial"/>
            <w:i/>
          </w:rPr>
          <w:t>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w:t>
      </w:r>
      <w:r>
        <w:rPr>
          <w:rFonts w:ascii="Arial" w:hAnsi="Arial" w:cs="Arial"/>
          <w:i/>
          <w:iCs/>
          <w:color w:val="000000"/>
          <w:lang w:val="es-CO" w:eastAsia="es-CO"/>
        </w:rPr>
        <w:t>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0E913938" w14:textId="77777777" w:rsidR="00B2442D" w:rsidRDefault="00B2442D">
      <w:pPr>
        <w:pStyle w:val="Textoindependiente"/>
        <w:spacing w:line="40" w:lineRule="atLeast"/>
        <w:ind w:right="-30"/>
        <w:jc w:val="both"/>
        <w:rPr>
          <w:rFonts w:cs="Arial"/>
          <w:highlight w:val="yellow"/>
          <w:lang w:val="es-ES"/>
        </w:rPr>
      </w:pPr>
    </w:p>
    <w:p w14:paraId="744CD5CF"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iCs/>
          <w:lang w:val="es-ES"/>
        </w:rPr>
        <w:t>Declaración y pago cuatrimestral del impuesto sobre las ventas.</w:t>
      </w:r>
      <w:r>
        <w:rPr>
          <w:rFonts w:cs="Arial"/>
          <w:b/>
          <w:iCs/>
          <w:lang w:val="es-ES"/>
        </w:rPr>
        <w:t xml:space="preserve"> </w:t>
      </w:r>
      <w:r>
        <w:rPr>
          <w:rFonts w:cs="Arial"/>
          <w:color w:val="000000"/>
          <w:lang w:val="es-ES"/>
        </w:rPr>
        <w:t xml:space="preserve">Los responsables </w:t>
      </w:r>
      <w:r>
        <w:rPr>
          <w:rFonts w:cs="Arial"/>
          <w:lang w:val="es-CO"/>
        </w:rPr>
        <w:t>de este impuesto, personas jurídicas y naturales cuyos ingresos brutos a 31 de diciembre del año grava</w:t>
      </w:r>
      <w:r>
        <w:rPr>
          <w:rFonts w:cs="Arial"/>
          <w:lang w:val="es-CO"/>
        </w:rPr>
        <w:t xml:space="preserve">ble 2016 sean inferiores a noventa y dos mil (92.000) UVT ($2.737.276.000), </w:t>
      </w:r>
      <w:r>
        <w:rPr>
          <w:rFonts w:cs="Arial"/>
          <w:color w:val="000000"/>
          <w:lang w:val="es-ES"/>
        </w:rPr>
        <w:t xml:space="preserve">deberán presentar la declaración del impuesto sobre las ventas y pagar de manera cuatrimestral utilizando el formulario prescrito por la </w:t>
      </w:r>
      <w:r>
        <w:rPr>
          <w:rFonts w:cs="Arial"/>
          <w:lang w:val="es-CO"/>
        </w:rPr>
        <w:t>Unidad Administrativa Especial Dirección de</w:t>
      </w:r>
      <w:r>
        <w:rPr>
          <w:rFonts w:cs="Arial"/>
          <w:lang w:val="es-CO"/>
        </w:rPr>
        <w:t xml:space="preserve"> Impuestos y Aduanas Nacionales - DIAN</w:t>
      </w:r>
      <w:r>
        <w:rPr>
          <w:rFonts w:cs="Arial"/>
          <w:color w:val="000000"/>
          <w:lang w:val="es-ES"/>
        </w:rPr>
        <w:t>.</w:t>
      </w:r>
    </w:p>
    <w:p w14:paraId="42B35671" w14:textId="77777777" w:rsidR="00B2442D" w:rsidRDefault="00B2442D">
      <w:pPr>
        <w:autoSpaceDE w:val="0"/>
        <w:autoSpaceDN w:val="0"/>
        <w:adjustRightInd w:val="0"/>
        <w:spacing w:line="40" w:lineRule="atLeast"/>
        <w:ind w:left="720"/>
        <w:jc w:val="both"/>
        <w:rPr>
          <w:rFonts w:ascii="Arial" w:hAnsi="Arial" w:cs="Arial"/>
          <w:color w:val="000000"/>
        </w:rPr>
      </w:pPr>
    </w:p>
    <w:p w14:paraId="75080AC8" w14:textId="77777777" w:rsidR="00B2442D" w:rsidRDefault="008A645F">
      <w:pPr>
        <w:tabs>
          <w:tab w:val="left" w:pos="-720"/>
        </w:tabs>
        <w:suppressAutoHyphens/>
        <w:spacing w:line="40" w:lineRule="atLeast"/>
        <w:jc w:val="both"/>
        <w:rPr>
          <w:rFonts w:ascii="Arial" w:hAnsi="Arial" w:cs="Arial"/>
        </w:rPr>
      </w:pPr>
      <w:r>
        <w:rPr>
          <w:rFonts w:ascii="Arial" w:hAnsi="Arial" w:cs="Arial"/>
        </w:rPr>
        <w:t>Los periodos cuatrimestrales serán enero-abril; mayo-agosto; y septiembre-diciembre.</w:t>
      </w:r>
    </w:p>
    <w:p w14:paraId="5092A3C6" w14:textId="77777777" w:rsidR="00B2442D" w:rsidRDefault="00B2442D">
      <w:pPr>
        <w:tabs>
          <w:tab w:val="left" w:pos="-720"/>
        </w:tabs>
        <w:suppressAutoHyphens/>
        <w:spacing w:line="40" w:lineRule="atLeast"/>
        <w:jc w:val="both"/>
        <w:rPr>
          <w:rFonts w:ascii="Arial" w:hAnsi="Arial" w:cs="Arial"/>
          <w:color w:val="000000"/>
        </w:rPr>
      </w:pPr>
    </w:p>
    <w:p w14:paraId="24A1CC5B" w14:textId="77777777" w:rsidR="00B2442D" w:rsidRDefault="008A645F">
      <w:pPr>
        <w:pStyle w:val="Default"/>
        <w:jc w:val="both"/>
      </w:pPr>
      <w:r>
        <w:t xml:space="preserve">Los vencimientos para la presentación y pago de la declaración serán los siguientes, de acuerdo con el último dígito del NIT </w:t>
      </w:r>
      <w:r>
        <w:t>del responsable que conste en el certificado del Registro Único Tributario - RUT, sin tener en cuenta el dígito de verificación:</w:t>
      </w:r>
    </w:p>
    <w:p w14:paraId="6E298856" w14:textId="77777777" w:rsidR="00B2442D" w:rsidRDefault="00B2442D">
      <w:pPr>
        <w:pStyle w:val="Default"/>
        <w:ind w:left="720"/>
        <w:jc w:val="both"/>
      </w:pPr>
    </w:p>
    <w:tbl>
      <w:tblPr>
        <w:tblW w:w="8068" w:type="dxa"/>
        <w:tblInd w:w="1074" w:type="dxa"/>
        <w:tblCellMar>
          <w:left w:w="70" w:type="dxa"/>
          <w:right w:w="70" w:type="dxa"/>
        </w:tblCellMar>
        <w:tblLook w:val="04A0" w:firstRow="1" w:lastRow="0" w:firstColumn="1" w:lastColumn="0" w:noHBand="0" w:noVBand="1"/>
      </w:tblPr>
      <w:tblGrid>
        <w:gridCol w:w="1123"/>
        <w:gridCol w:w="1984"/>
        <w:gridCol w:w="2835"/>
        <w:gridCol w:w="2126"/>
      </w:tblGrid>
      <w:tr w:rsidR="00B2442D" w14:paraId="3755ABD0" w14:textId="77777777">
        <w:trPr>
          <w:trHeight w:val="529"/>
        </w:trPr>
        <w:tc>
          <w:tcPr>
            <w:tcW w:w="1123"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14:paraId="4A603DCF" w14:textId="77777777" w:rsidR="00B2442D" w:rsidRDefault="008A645F">
            <w:pPr>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Si el último</w:t>
            </w:r>
          </w:p>
          <w:p w14:paraId="692FFDB2" w14:textId="77777777" w:rsidR="00B2442D" w:rsidRDefault="008A645F">
            <w:pPr>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dígito es</w:t>
            </w:r>
          </w:p>
        </w:tc>
        <w:tc>
          <w:tcPr>
            <w:tcW w:w="1984" w:type="dxa"/>
            <w:tcBorders>
              <w:top w:val="single" w:sz="4" w:space="0" w:color="auto"/>
              <w:left w:val="nil"/>
              <w:bottom w:val="nil"/>
              <w:right w:val="single" w:sz="8" w:space="0" w:color="auto"/>
            </w:tcBorders>
            <w:shd w:val="clear" w:color="000000" w:fill="BFBFBF"/>
            <w:noWrap/>
            <w:vAlign w:val="center"/>
          </w:tcPr>
          <w:p w14:paraId="71248B26"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Enero–Abril 2017</w:t>
            </w:r>
          </w:p>
        </w:tc>
        <w:tc>
          <w:tcPr>
            <w:tcW w:w="2835" w:type="dxa"/>
            <w:tcBorders>
              <w:top w:val="single" w:sz="4" w:space="0" w:color="auto"/>
              <w:left w:val="nil"/>
              <w:bottom w:val="nil"/>
              <w:right w:val="single" w:sz="8" w:space="0" w:color="auto"/>
            </w:tcBorders>
            <w:shd w:val="clear" w:color="000000" w:fill="BFBFBF"/>
            <w:noWrap/>
            <w:vAlign w:val="center"/>
          </w:tcPr>
          <w:p w14:paraId="21FB29D1"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Mayo–Agosto 2017</w:t>
            </w:r>
          </w:p>
        </w:tc>
        <w:tc>
          <w:tcPr>
            <w:tcW w:w="2126" w:type="dxa"/>
            <w:tcBorders>
              <w:top w:val="single" w:sz="4" w:space="0" w:color="auto"/>
              <w:left w:val="nil"/>
              <w:bottom w:val="nil"/>
              <w:right w:val="single" w:sz="8" w:space="0" w:color="auto"/>
            </w:tcBorders>
            <w:shd w:val="clear" w:color="000000" w:fill="BFBFBF"/>
            <w:vAlign w:val="center"/>
          </w:tcPr>
          <w:p w14:paraId="3B7FF7E4"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Septiembre–Diciembre 2017</w:t>
            </w:r>
          </w:p>
        </w:tc>
      </w:tr>
      <w:tr w:rsidR="00B2442D" w14:paraId="4FDEB841" w14:textId="77777777">
        <w:trPr>
          <w:trHeight w:val="46"/>
        </w:trPr>
        <w:tc>
          <w:tcPr>
            <w:tcW w:w="1123" w:type="dxa"/>
            <w:vMerge/>
            <w:tcBorders>
              <w:top w:val="single" w:sz="8" w:space="0" w:color="auto"/>
              <w:left w:val="single" w:sz="8" w:space="0" w:color="auto"/>
              <w:bottom w:val="single" w:sz="8" w:space="0" w:color="000000"/>
              <w:right w:val="single" w:sz="8" w:space="0" w:color="auto"/>
            </w:tcBorders>
            <w:shd w:val="clear" w:color="auto" w:fill="BFBFBF"/>
            <w:vAlign w:val="center"/>
            <w:hideMark/>
          </w:tcPr>
          <w:p w14:paraId="6CAD1710" w14:textId="77777777" w:rsidR="00B2442D" w:rsidRDefault="00B2442D">
            <w:pPr>
              <w:jc w:val="both"/>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p>
        </w:tc>
        <w:tc>
          <w:tcPr>
            <w:tcW w:w="1984" w:type="dxa"/>
            <w:tcBorders>
              <w:top w:val="nil"/>
              <w:left w:val="nil"/>
              <w:bottom w:val="single" w:sz="8" w:space="0" w:color="auto"/>
              <w:right w:val="single" w:sz="8" w:space="0" w:color="auto"/>
            </w:tcBorders>
            <w:shd w:val="clear" w:color="000000" w:fill="BFBFBF"/>
            <w:noWrap/>
            <w:vAlign w:val="center"/>
          </w:tcPr>
          <w:p w14:paraId="475AAC1C"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835" w:type="dxa"/>
            <w:tcBorders>
              <w:top w:val="nil"/>
              <w:left w:val="nil"/>
              <w:bottom w:val="single" w:sz="8" w:space="0" w:color="auto"/>
              <w:right w:val="single" w:sz="8" w:space="0" w:color="auto"/>
            </w:tcBorders>
            <w:shd w:val="clear" w:color="000000" w:fill="BFBFBF"/>
            <w:noWrap/>
            <w:vAlign w:val="center"/>
            <w:hideMark/>
          </w:tcPr>
          <w:p w14:paraId="7C898C34"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126" w:type="dxa"/>
            <w:tcBorders>
              <w:top w:val="nil"/>
              <w:left w:val="nil"/>
              <w:bottom w:val="single" w:sz="8" w:space="0" w:color="auto"/>
              <w:right w:val="single" w:sz="8" w:space="0" w:color="auto"/>
            </w:tcBorders>
            <w:shd w:val="clear" w:color="000000" w:fill="BFBFBF"/>
            <w:vAlign w:val="center"/>
            <w:hideMark/>
          </w:tcPr>
          <w:p w14:paraId="43D4A585" w14:textId="77777777" w:rsidR="00B2442D" w:rsidRDefault="008A645F">
            <w:pPr>
              <w:contextualSpacing/>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7AEB9C28" w14:textId="77777777">
        <w:trPr>
          <w:trHeight w:val="345"/>
        </w:trPr>
        <w:tc>
          <w:tcPr>
            <w:tcW w:w="1123" w:type="dxa"/>
            <w:tcBorders>
              <w:top w:val="nil"/>
              <w:left w:val="single" w:sz="8" w:space="0" w:color="auto"/>
              <w:bottom w:val="single" w:sz="8" w:space="0" w:color="auto"/>
              <w:right w:val="single" w:sz="8" w:space="0" w:color="auto"/>
            </w:tcBorders>
            <w:shd w:val="clear" w:color="000000" w:fill="FFFFFF"/>
            <w:noWrap/>
            <w:vAlign w:val="center"/>
          </w:tcPr>
          <w:p w14:paraId="2E4F86C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1984" w:type="dxa"/>
            <w:tcBorders>
              <w:top w:val="nil"/>
              <w:left w:val="nil"/>
              <w:bottom w:val="single" w:sz="8" w:space="0" w:color="auto"/>
              <w:right w:val="single" w:sz="8" w:space="0" w:color="auto"/>
            </w:tcBorders>
            <w:shd w:val="clear" w:color="auto" w:fill="auto"/>
            <w:noWrap/>
            <w:vAlign w:val="center"/>
          </w:tcPr>
          <w:p w14:paraId="3BF17E9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 9 de mayo de 2017</w:t>
            </w:r>
          </w:p>
        </w:tc>
        <w:tc>
          <w:tcPr>
            <w:tcW w:w="2835" w:type="dxa"/>
            <w:tcBorders>
              <w:top w:val="nil"/>
              <w:left w:val="nil"/>
              <w:bottom w:val="single" w:sz="8" w:space="0" w:color="auto"/>
              <w:right w:val="single" w:sz="8" w:space="0" w:color="auto"/>
            </w:tcBorders>
            <w:shd w:val="clear" w:color="auto" w:fill="auto"/>
            <w:noWrap/>
            <w:vAlign w:val="center"/>
          </w:tcPr>
          <w:p w14:paraId="3A9256F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Septiembre de 2017</w:t>
            </w:r>
          </w:p>
        </w:tc>
        <w:tc>
          <w:tcPr>
            <w:tcW w:w="2126" w:type="dxa"/>
            <w:tcBorders>
              <w:top w:val="nil"/>
              <w:left w:val="nil"/>
              <w:bottom w:val="single" w:sz="8" w:space="0" w:color="auto"/>
              <w:right w:val="single" w:sz="8" w:space="0" w:color="auto"/>
            </w:tcBorders>
            <w:shd w:val="clear" w:color="auto" w:fill="auto"/>
            <w:noWrap/>
            <w:vAlign w:val="center"/>
          </w:tcPr>
          <w:p w14:paraId="1B1E77E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enero de 2018</w:t>
            </w:r>
          </w:p>
        </w:tc>
      </w:tr>
      <w:tr w:rsidR="00B2442D" w14:paraId="3D62585F" w14:textId="77777777">
        <w:trPr>
          <w:trHeight w:val="345"/>
        </w:trPr>
        <w:tc>
          <w:tcPr>
            <w:tcW w:w="1123" w:type="dxa"/>
            <w:tcBorders>
              <w:top w:val="nil"/>
              <w:left w:val="single" w:sz="8" w:space="0" w:color="auto"/>
              <w:bottom w:val="single" w:sz="8" w:space="0" w:color="auto"/>
              <w:right w:val="single" w:sz="8" w:space="0" w:color="auto"/>
            </w:tcBorders>
            <w:shd w:val="clear" w:color="000000" w:fill="FFFFFF"/>
            <w:noWrap/>
            <w:vAlign w:val="center"/>
          </w:tcPr>
          <w:p w14:paraId="3BD29B4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1984" w:type="dxa"/>
            <w:tcBorders>
              <w:top w:val="nil"/>
              <w:left w:val="nil"/>
              <w:bottom w:val="single" w:sz="8" w:space="0" w:color="auto"/>
              <w:right w:val="single" w:sz="8" w:space="0" w:color="auto"/>
            </w:tcBorders>
            <w:shd w:val="clear" w:color="auto" w:fill="auto"/>
            <w:noWrap/>
            <w:vAlign w:val="center"/>
          </w:tcPr>
          <w:p w14:paraId="199C9AB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mayo de 2017</w:t>
            </w:r>
          </w:p>
        </w:tc>
        <w:tc>
          <w:tcPr>
            <w:tcW w:w="2835" w:type="dxa"/>
            <w:tcBorders>
              <w:top w:val="nil"/>
              <w:left w:val="nil"/>
              <w:bottom w:val="single" w:sz="8" w:space="0" w:color="auto"/>
              <w:right w:val="single" w:sz="8" w:space="0" w:color="auto"/>
            </w:tcBorders>
            <w:shd w:val="clear" w:color="auto" w:fill="auto"/>
            <w:noWrap/>
            <w:vAlign w:val="center"/>
          </w:tcPr>
          <w:p w14:paraId="27E710E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Septiembre de 2017</w:t>
            </w:r>
          </w:p>
        </w:tc>
        <w:tc>
          <w:tcPr>
            <w:tcW w:w="2126" w:type="dxa"/>
            <w:tcBorders>
              <w:top w:val="nil"/>
              <w:left w:val="nil"/>
              <w:bottom w:val="single" w:sz="8" w:space="0" w:color="auto"/>
              <w:right w:val="single" w:sz="8" w:space="0" w:color="auto"/>
            </w:tcBorders>
            <w:shd w:val="clear" w:color="auto" w:fill="auto"/>
            <w:noWrap/>
            <w:vAlign w:val="center"/>
          </w:tcPr>
          <w:p w14:paraId="667F516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enero de 2018</w:t>
            </w:r>
          </w:p>
        </w:tc>
      </w:tr>
      <w:tr w:rsidR="00B2442D" w14:paraId="77AB3A4A" w14:textId="77777777">
        <w:trPr>
          <w:trHeight w:val="345"/>
        </w:trPr>
        <w:tc>
          <w:tcPr>
            <w:tcW w:w="1123" w:type="dxa"/>
            <w:tcBorders>
              <w:top w:val="nil"/>
              <w:left w:val="single" w:sz="8" w:space="0" w:color="auto"/>
              <w:bottom w:val="single" w:sz="4" w:space="0" w:color="auto"/>
              <w:right w:val="single" w:sz="8" w:space="0" w:color="auto"/>
            </w:tcBorders>
            <w:shd w:val="clear" w:color="000000" w:fill="FFFFFF"/>
            <w:noWrap/>
            <w:vAlign w:val="center"/>
          </w:tcPr>
          <w:p w14:paraId="00E515B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1984" w:type="dxa"/>
            <w:tcBorders>
              <w:top w:val="nil"/>
              <w:left w:val="nil"/>
              <w:bottom w:val="single" w:sz="4" w:space="0" w:color="auto"/>
              <w:right w:val="single" w:sz="8" w:space="0" w:color="auto"/>
            </w:tcBorders>
            <w:shd w:val="clear" w:color="auto" w:fill="auto"/>
            <w:noWrap/>
            <w:vAlign w:val="center"/>
          </w:tcPr>
          <w:p w14:paraId="6F7E17B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mayo de 2017</w:t>
            </w:r>
          </w:p>
        </w:tc>
        <w:tc>
          <w:tcPr>
            <w:tcW w:w="2835" w:type="dxa"/>
            <w:tcBorders>
              <w:top w:val="nil"/>
              <w:left w:val="nil"/>
              <w:bottom w:val="single" w:sz="4" w:space="0" w:color="auto"/>
              <w:right w:val="single" w:sz="8" w:space="0" w:color="auto"/>
            </w:tcBorders>
            <w:shd w:val="clear" w:color="auto" w:fill="auto"/>
            <w:noWrap/>
            <w:vAlign w:val="center"/>
          </w:tcPr>
          <w:p w14:paraId="535FCCD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Septiembre de 2017</w:t>
            </w:r>
          </w:p>
        </w:tc>
        <w:tc>
          <w:tcPr>
            <w:tcW w:w="2126" w:type="dxa"/>
            <w:tcBorders>
              <w:top w:val="nil"/>
              <w:left w:val="nil"/>
              <w:bottom w:val="single" w:sz="4" w:space="0" w:color="auto"/>
              <w:right w:val="single" w:sz="8" w:space="0" w:color="auto"/>
            </w:tcBorders>
            <w:shd w:val="clear" w:color="auto" w:fill="auto"/>
            <w:noWrap/>
            <w:vAlign w:val="center"/>
          </w:tcPr>
          <w:p w14:paraId="1D4192D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enero de 2018</w:t>
            </w:r>
          </w:p>
        </w:tc>
      </w:tr>
      <w:tr w:rsidR="00B2442D" w14:paraId="3B211F65" w14:textId="77777777">
        <w:trPr>
          <w:trHeight w:val="345"/>
        </w:trPr>
        <w:tc>
          <w:tcPr>
            <w:tcW w:w="1123" w:type="dxa"/>
            <w:tcBorders>
              <w:top w:val="single" w:sz="4" w:space="0" w:color="auto"/>
              <w:left w:val="single" w:sz="4" w:space="0" w:color="auto"/>
              <w:bottom w:val="single" w:sz="8" w:space="0" w:color="auto"/>
              <w:right w:val="single" w:sz="8" w:space="0" w:color="auto"/>
            </w:tcBorders>
            <w:shd w:val="clear" w:color="000000" w:fill="FFFFFF"/>
            <w:noWrap/>
            <w:vAlign w:val="center"/>
          </w:tcPr>
          <w:p w14:paraId="7EE8103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1984" w:type="dxa"/>
            <w:tcBorders>
              <w:top w:val="single" w:sz="4" w:space="0" w:color="auto"/>
              <w:left w:val="nil"/>
              <w:bottom w:val="single" w:sz="8" w:space="0" w:color="auto"/>
              <w:right w:val="single" w:sz="8" w:space="0" w:color="auto"/>
            </w:tcBorders>
            <w:shd w:val="clear" w:color="auto" w:fill="auto"/>
            <w:noWrap/>
            <w:vAlign w:val="center"/>
          </w:tcPr>
          <w:p w14:paraId="27C2ADA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mayo de 2017</w:t>
            </w:r>
          </w:p>
        </w:tc>
        <w:tc>
          <w:tcPr>
            <w:tcW w:w="2835" w:type="dxa"/>
            <w:tcBorders>
              <w:top w:val="single" w:sz="4" w:space="0" w:color="auto"/>
              <w:left w:val="nil"/>
              <w:bottom w:val="single" w:sz="8" w:space="0" w:color="auto"/>
              <w:right w:val="single" w:sz="8" w:space="0" w:color="auto"/>
            </w:tcBorders>
            <w:shd w:val="clear" w:color="auto" w:fill="auto"/>
            <w:noWrap/>
            <w:vAlign w:val="center"/>
          </w:tcPr>
          <w:p w14:paraId="728D996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Septiembre de 2017</w:t>
            </w:r>
          </w:p>
        </w:tc>
        <w:tc>
          <w:tcPr>
            <w:tcW w:w="2126" w:type="dxa"/>
            <w:tcBorders>
              <w:top w:val="single" w:sz="4" w:space="0" w:color="auto"/>
              <w:left w:val="nil"/>
              <w:bottom w:val="single" w:sz="8" w:space="0" w:color="auto"/>
              <w:right w:val="single" w:sz="4" w:space="0" w:color="auto"/>
            </w:tcBorders>
            <w:shd w:val="clear" w:color="auto" w:fill="auto"/>
            <w:noWrap/>
            <w:vAlign w:val="center"/>
          </w:tcPr>
          <w:p w14:paraId="3D427F7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16 de </w:t>
            </w:r>
            <w:r>
              <w:rPr>
                <w:rFonts w:ascii="Arial" w:hAnsi="Arial" w:cs="Arial"/>
                <w:color w:val="000000"/>
                <w:lang w:val="es-CO" w:eastAsia="es-CO"/>
              </w:rPr>
              <w:t>enero de 2018</w:t>
            </w:r>
          </w:p>
        </w:tc>
      </w:tr>
      <w:tr w:rsidR="00B2442D" w14:paraId="6D369B4D" w14:textId="77777777">
        <w:trPr>
          <w:trHeight w:val="345"/>
        </w:trPr>
        <w:tc>
          <w:tcPr>
            <w:tcW w:w="1123"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00BE48C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1984" w:type="dxa"/>
            <w:tcBorders>
              <w:top w:val="single" w:sz="8" w:space="0" w:color="auto"/>
              <w:left w:val="nil"/>
              <w:bottom w:val="single" w:sz="8" w:space="0" w:color="auto"/>
              <w:right w:val="single" w:sz="8" w:space="0" w:color="auto"/>
            </w:tcBorders>
            <w:shd w:val="clear" w:color="auto" w:fill="auto"/>
            <w:noWrap/>
            <w:vAlign w:val="center"/>
          </w:tcPr>
          <w:p w14:paraId="1EF9A62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mayo de 2017</w:t>
            </w:r>
          </w:p>
        </w:tc>
        <w:tc>
          <w:tcPr>
            <w:tcW w:w="2835" w:type="dxa"/>
            <w:tcBorders>
              <w:top w:val="single" w:sz="8" w:space="0" w:color="auto"/>
              <w:left w:val="nil"/>
              <w:bottom w:val="single" w:sz="8" w:space="0" w:color="auto"/>
              <w:right w:val="single" w:sz="8" w:space="0" w:color="auto"/>
            </w:tcBorders>
            <w:shd w:val="clear" w:color="auto" w:fill="auto"/>
            <w:noWrap/>
            <w:vAlign w:val="center"/>
          </w:tcPr>
          <w:p w14:paraId="6A68B73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Septiembre de 2017</w:t>
            </w:r>
          </w:p>
        </w:tc>
        <w:tc>
          <w:tcPr>
            <w:tcW w:w="2126" w:type="dxa"/>
            <w:tcBorders>
              <w:top w:val="single" w:sz="8" w:space="0" w:color="auto"/>
              <w:left w:val="nil"/>
              <w:bottom w:val="single" w:sz="8" w:space="0" w:color="auto"/>
              <w:right w:val="single" w:sz="4" w:space="0" w:color="auto"/>
            </w:tcBorders>
            <w:shd w:val="clear" w:color="auto" w:fill="auto"/>
            <w:noWrap/>
            <w:vAlign w:val="center"/>
          </w:tcPr>
          <w:p w14:paraId="4E494DB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enero de 2018</w:t>
            </w:r>
          </w:p>
        </w:tc>
      </w:tr>
      <w:tr w:rsidR="00B2442D" w14:paraId="58A001FF" w14:textId="77777777">
        <w:trPr>
          <w:trHeight w:val="345"/>
        </w:trPr>
        <w:tc>
          <w:tcPr>
            <w:tcW w:w="1123"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62F0B98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1984" w:type="dxa"/>
            <w:tcBorders>
              <w:top w:val="single" w:sz="8" w:space="0" w:color="auto"/>
              <w:left w:val="nil"/>
              <w:bottom w:val="single" w:sz="8" w:space="0" w:color="auto"/>
              <w:right w:val="single" w:sz="8" w:space="0" w:color="auto"/>
            </w:tcBorders>
            <w:shd w:val="clear" w:color="auto" w:fill="auto"/>
            <w:noWrap/>
            <w:vAlign w:val="center"/>
          </w:tcPr>
          <w:p w14:paraId="480B5BA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mayo de 2017</w:t>
            </w:r>
          </w:p>
        </w:tc>
        <w:tc>
          <w:tcPr>
            <w:tcW w:w="2835" w:type="dxa"/>
            <w:tcBorders>
              <w:top w:val="single" w:sz="8" w:space="0" w:color="auto"/>
              <w:left w:val="nil"/>
              <w:bottom w:val="single" w:sz="4" w:space="0" w:color="auto"/>
              <w:right w:val="single" w:sz="8" w:space="0" w:color="auto"/>
            </w:tcBorders>
            <w:shd w:val="clear" w:color="auto" w:fill="auto"/>
            <w:noWrap/>
            <w:vAlign w:val="center"/>
          </w:tcPr>
          <w:p w14:paraId="76C89C3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Septiembre de 2017</w:t>
            </w:r>
          </w:p>
        </w:tc>
        <w:tc>
          <w:tcPr>
            <w:tcW w:w="2126" w:type="dxa"/>
            <w:tcBorders>
              <w:top w:val="single" w:sz="8" w:space="0" w:color="auto"/>
              <w:left w:val="nil"/>
              <w:bottom w:val="single" w:sz="8" w:space="0" w:color="auto"/>
              <w:right w:val="single" w:sz="4" w:space="0" w:color="auto"/>
            </w:tcBorders>
            <w:shd w:val="clear" w:color="auto" w:fill="auto"/>
            <w:noWrap/>
            <w:vAlign w:val="center"/>
          </w:tcPr>
          <w:p w14:paraId="091DD5C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enero de 2018</w:t>
            </w:r>
          </w:p>
        </w:tc>
      </w:tr>
      <w:tr w:rsidR="00B2442D" w14:paraId="7ECA2FBA" w14:textId="77777777">
        <w:trPr>
          <w:trHeight w:val="345"/>
        </w:trPr>
        <w:tc>
          <w:tcPr>
            <w:tcW w:w="1123"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0D797C6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1984" w:type="dxa"/>
            <w:tcBorders>
              <w:top w:val="single" w:sz="8" w:space="0" w:color="auto"/>
              <w:left w:val="nil"/>
              <w:bottom w:val="single" w:sz="8" w:space="0" w:color="auto"/>
              <w:right w:val="single" w:sz="8" w:space="0" w:color="auto"/>
            </w:tcBorders>
            <w:shd w:val="clear" w:color="auto" w:fill="auto"/>
            <w:noWrap/>
            <w:vAlign w:val="center"/>
          </w:tcPr>
          <w:p w14:paraId="08A5B94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mayo de 2017</w:t>
            </w:r>
          </w:p>
        </w:tc>
        <w:tc>
          <w:tcPr>
            <w:tcW w:w="2835" w:type="dxa"/>
            <w:tcBorders>
              <w:top w:val="single" w:sz="4" w:space="0" w:color="auto"/>
              <w:left w:val="nil"/>
              <w:bottom w:val="single" w:sz="8" w:space="0" w:color="auto"/>
              <w:right w:val="single" w:sz="8" w:space="0" w:color="auto"/>
            </w:tcBorders>
            <w:shd w:val="clear" w:color="auto" w:fill="auto"/>
            <w:noWrap/>
            <w:vAlign w:val="center"/>
          </w:tcPr>
          <w:p w14:paraId="58C0E3E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Septiembre de 2017</w:t>
            </w:r>
          </w:p>
        </w:tc>
        <w:tc>
          <w:tcPr>
            <w:tcW w:w="2126" w:type="dxa"/>
            <w:tcBorders>
              <w:top w:val="single" w:sz="8" w:space="0" w:color="auto"/>
              <w:left w:val="nil"/>
              <w:bottom w:val="single" w:sz="8" w:space="0" w:color="auto"/>
              <w:right w:val="single" w:sz="4" w:space="0" w:color="auto"/>
            </w:tcBorders>
            <w:shd w:val="clear" w:color="auto" w:fill="auto"/>
            <w:noWrap/>
            <w:vAlign w:val="center"/>
          </w:tcPr>
          <w:p w14:paraId="7AF4075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enero de 2018</w:t>
            </w:r>
          </w:p>
        </w:tc>
      </w:tr>
      <w:tr w:rsidR="00B2442D" w14:paraId="4596EA89" w14:textId="77777777">
        <w:trPr>
          <w:trHeight w:val="345"/>
        </w:trPr>
        <w:tc>
          <w:tcPr>
            <w:tcW w:w="1123"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2D95E97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1984" w:type="dxa"/>
            <w:tcBorders>
              <w:top w:val="single" w:sz="8" w:space="0" w:color="auto"/>
              <w:left w:val="nil"/>
              <w:bottom w:val="single" w:sz="8" w:space="0" w:color="auto"/>
              <w:right w:val="single" w:sz="8" w:space="0" w:color="auto"/>
            </w:tcBorders>
            <w:shd w:val="clear" w:color="auto" w:fill="auto"/>
            <w:noWrap/>
            <w:vAlign w:val="center"/>
          </w:tcPr>
          <w:p w14:paraId="6B2AF7B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mayo de 2017</w:t>
            </w:r>
          </w:p>
        </w:tc>
        <w:tc>
          <w:tcPr>
            <w:tcW w:w="2835" w:type="dxa"/>
            <w:tcBorders>
              <w:top w:val="single" w:sz="8" w:space="0" w:color="auto"/>
              <w:left w:val="nil"/>
              <w:bottom w:val="single" w:sz="8" w:space="0" w:color="auto"/>
              <w:right w:val="single" w:sz="8" w:space="0" w:color="auto"/>
            </w:tcBorders>
            <w:shd w:val="clear" w:color="auto" w:fill="auto"/>
            <w:noWrap/>
            <w:vAlign w:val="center"/>
          </w:tcPr>
          <w:p w14:paraId="6A6DEDC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19 de </w:t>
            </w:r>
            <w:r>
              <w:rPr>
                <w:rFonts w:ascii="Arial" w:hAnsi="Arial" w:cs="Arial"/>
                <w:color w:val="000000"/>
                <w:lang w:val="es-CO" w:eastAsia="es-CO"/>
              </w:rPr>
              <w:t>Septiembre de 2017</w:t>
            </w:r>
          </w:p>
        </w:tc>
        <w:tc>
          <w:tcPr>
            <w:tcW w:w="2126" w:type="dxa"/>
            <w:tcBorders>
              <w:top w:val="single" w:sz="8" w:space="0" w:color="auto"/>
              <w:left w:val="nil"/>
              <w:bottom w:val="single" w:sz="8" w:space="0" w:color="auto"/>
              <w:right w:val="single" w:sz="4" w:space="0" w:color="auto"/>
            </w:tcBorders>
            <w:shd w:val="clear" w:color="auto" w:fill="auto"/>
            <w:noWrap/>
            <w:vAlign w:val="center"/>
          </w:tcPr>
          <w:p w14:paraId="16473A5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enero de 2018</w:t>
            </w:r>
          </w:p>
        </w:tc>
      </w:tr>
      <w:tr w:rsidR="00B2442D" w14:paraId="418CCA83" w14:textId="77777777">
        <w:trPr>
          <w:trHeight w:val="345"/>
        </w:trPr>
        <w:tc>
          <w:tcPr>
            <w:tcW w:w="1123"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49B0611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1984" w:type="dxa"/>
            <w:tcBorders>
              <w:top w:val="single" w:sz="8" w:space="0" w:color="auto"/>
              <w:left w:val="nil"/>
              <w:bottom w:val="single" w:sz="8" w:space="0" w:color="auto"/>
              <w:right w:val="single" w:sz="8" w:space="0" w:color="auto"/>
            </w:tcBorders>
            <w:shd w:val="clear" w:color="auto" w:fill="auto"/>
            <w:noWrap/>
            <w:vAlign w:val="center"/>
          </w:tcPr>
          <w:p w14:paraId="0E886DB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mayo de 2017</w:t>
            </w:r>
          </w:p>
        </w:tc>
        <w:tc>
          <w:tcPr>
            <w:tcW w:w="2835" w:type="dxa"/>
            <w:tcBorders>
              <w:top w:val="single" w:sz="8" w:space="0" w:color="auto"/>
              <w:left w:val="nil"/>
              <w:bottom w:val="single" w:sz="8" w:space="0" w:color="auto"/>
              <w:right w:val="single" w:sz="8" w:space="0" w:color="auto"/>
            </w:tcBorders>
            <w:shd w:val="clear" w:color="auto" w:fill="auto"/>
            <w:noWrap/>
            <w:vAlign w:val="center"/>
          </w:tcPr>
          <w:p w14:paraId="22E6DE1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Septiembre de 2017</w:t>
            </w:r>
          </w:p>
        </w:tc>
        <w:tc>
          <w:tcPr>
            <w:tcW w:w="2126" w:type="dxa"/>
            <w:tcBorders>
              <w:top w:val="single" w:sz="8" w:space="0" w:color="auto"/>
              <w:left w:val="nil"/>
              <w:bottom w:val="single" w:sz="8" w:space="0" w:color="auto"/>
              <w:right w:val="single" w:sz="4" w:space="0" w:color="auto"/>
            </w:tcBorders>
            <w:shd w:val="clear" w:color="auto" w:fill="auto"/>
            <w:noWrap/>
            <w:vAlign w:val="center"/>
          </w:tcPr>
          <w:p w14:paraId="0DE266C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23 de enero de 2018</w:t>
            </w:r>
          </w:p>
        </w:tc>
      </w:tr>
      <w:tr w:rsidR="00B2442D" w14:paraId="59E66FAF" w14:textId="77777777">
        <w:trPr>
          <w:trHeight w:val="345"/>
        </w:trPr>
        <w:tc>
          <w:tcPr>
            <w:tcW w:w="1123" w:type="dxa"/>
            <w:tcBorders>
              <w:top w:val="single" w:sz="8" w:space="0" w:color="auto"/>
              <w:left w:val="single" w:sz="4" w:space="0" w:color="auto"/>
              <w:bottom w:val="single" w:sz="4" w:space="0" w:color="auto"/>
              <w:right w:val="single" w:sz="8" w:space="0" w:color="auto"/>
            </w:tcBorders>
            <w:shd w:val="clear" w:color="000000" w:fill="FFFFFF"/>
            <w:noWrap/>
            <w:vAlign w:val="center"/>
          </w:tcPr>
          <w:p w14:paraId="5141D99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1984" w:type="dxa"/>
            <w:tcBorders>
              <w:top w:val="single" w:sz="8" w:space="0" w:color="auto"/>
              <w:left w:val="nil"/>
              <w:bottom w:val="single" w:sz="4" w:space="0" w:color="auto"/>
              <w:right w:val="single" w:sz="8" w:space="0" w:color="auto"/>
            </w:tcBorders>
            <w:shd w:val="clear" w:color="auto" w:fill="auto"/>
            <w:noWrap/>
            <w:vAlign w:val="center"/>
          </w:tcPr>
          <w:p w14:paraId="6645FD3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mayo de 2017</w:t>
            </w:r>
          </w:p>
        </w:tc>
        <w:tc>
          <w:tcPr>
            <w:tcW w:w="2835" w:type="dxa"/>
            <w:tcBorders>
              <w:top w:val="single" w:sz="8" w:space="0" w:color="auto"/>
              <w:left w:val="nil"/>
              <w:bottom w:val="single" w:sz="4" w:space="0" w:color="auto"/>
              <w:right w:val="single" w:sz="8" w:space="0" w:color="auto"/>
            </w:tcBorders>
            <w:shd w:val="clear" w:color="auto" w:fill="auto"/>
            <w:noWrap/>
            <w:vAlign w:val="center"/>
          </w:tcPr>
          <w:p w14:paraId="261085D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Septiembre de 2017</w:t>
            </w:r>
          </w:p>
        </w:tc>
        <w:tc>
          <w:tcPr>
            <w:tcW w:w="2126" w:type="dxa"/>
            <w:tcBorders>
              <w:top w:val="single" w:sz="8" w:space="0" w:color="auto"/>
              <w:left w:val="nil"/>
              <w:bottom w:val="single" w:sz="4" w:space="0" w:color="auto"/>
              <w:right w:val="single" w:sz="4" w:space="0" w:color="auto"/>
            </w:tcBorders>
            <w:shd w:val="clear" w:color="auto" w:fill="auto"/>
            <w:noWrap/>
            <w:vAlign w:val="center"/>
          </w:tcPr>
          <w:p w14:paraId="62EA846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24 de enero de 2018</w:t>
            </w:r>
          </w:p>
        </w:tc>
      </w:tr>
    </w:tbl>
    <w:p w14:paraId="7857679C" w14:textId="77777777" w:rsidR="00B2442D" w:rsidRDefault="008A645F">
      <w:pPr>
        <w:autoSpaceDE w:val="0"/>
        <w:autoSpaceDN w:val="0"/>
        <w:adjustRightInd w:val="0"/>
        <w:spacing w:line="40" w:lineRule="atLeast"/>
        <w:ind w:left="1440"/>
        <w:jc w:val="both"/>
        <w:rPr>
          <w:rFonts w:ascii="Arial" w:hAnsi="Arial" w:cs="Arial"/>
          <w:b/>
          <w:color w:val="000000"/>
        </w:rPr>
      </w:pP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p>
    <w:p w14:paraId="4C2EC01C" w14:textId="77777777" w:rsidR="00B2442D" w:rsidRDefault="008A645F">
      <w:pPr>
        <w:spacing w:line="40" w:lineRule="atLeast"/>
        <w:ind w:left="720"/>
        <w:jc w:val="both"/>
        <w:rPr>
          <w:rFonts w:ascii="Arial" w:hAnsi="Arial" w:cs="Arial"/>
          <w:bCs/>
        </w:rPr>
      </w:pPr>
      <w:r>
        <w:rPr>
          <w:rFonts w:ascii="Arial" w:hAnsi="Arial" w:cs="Arial"/>
          <w:b/>
          <w:bCs/>
        </w:rPr>
        <w:t>Parágrafo 1.</w:t>
      </w:r>
      <w:r>
        <w:rPr>
          <w:rFonts w:ascii="Arial" w:hAnsi="Arial" w:cs="Arial"/>
          <w:bCs/>
        </w:rPr>
        <w:t xml:space="preserve"> No están obligados a presentar la declaración del impuesto sobre las ventas los responsables del régimen</w:t>
      </w:r>
      <w:r>
        <w:rPr>
          <w:rFonts w:ascii="Arial" w:hAnsi="Arial" w:cs="Arial"/>
          <w:b/>
          <w:bCs/>
          <w:color w:val="FF0000"/>
        </w:rPr>
        <w:t xml:space="preserve"> </w:t>
      </w:r>
      <w:r>
        <w:rPr>
          <w:rFonts w:ascii="Arial" w:hAnsi="Arial" w:cs="Arial"/>
          <w:bCs/>
        </w:rPr>
        <w:t>común en los períodos en los cuales no hayan efectuado operaciones sometidas al impuesto ni operaciones que den lugar a impuestos descontables, ajuste</w:t>
      </w:r>
      <w:r>
        <w:rPr>
          <w:rFonts w:ascii="Arial" w:hAnsi="Arial" w:cs="Arial"/>
          <w:bCs/>
        </w:rPr>
        <w:t>s o deducciones en los términos de lo dispuesto en los artículos 484 y 486 del Estatuto Tributario.</w:t>
      </w:r>
    </w:p>
    <w:p w14:paraId="388CD680" w14:textId="77777777" w:rsidR="00B2442D" w:rsidRDefault="00B2442D">
      <w:pPr>
        <w:spacing w:line="40" w:lineRule="atLeast"/>
        <w:ind w:left="720"/>
        <w:jc w:val="both"/>
        <w:rPr>
          <w:rFonts w:ascii="Arial" w:hAnsi="Arial" w:cs="Arial"/>
          <w:bCs/>
        </w:rPr>
      </w:pPr>
    </w:p>
    <w:p w14:paraId="0E0DCEA9" w14:textId="77777777" w:rsidR="00B2442D" w:rsidRDefault="008A645F">
      <w:pPr>
        <w:autoSpaceDE w:val="0"/>
        <w:autoSpaceDN w:val="0"/>
        <w:adjustRightInd w:val="0"/>
        <w:spacing w:line="40" w:lineRule="atLeast"/>
        <w:ind w:left="720"/>
        <w:jc w:val="both"/>
        <w:rPr>
          <w:rFonts w:ascii="Arial" w:hAnsi="Arial" w:cs="Arial"/>
        </w:rPr>
      </w:pPr>
      <w:r>
        <w:rPr>
          <w:rFonts w:ascii="Arial" w:hAnsi="Arial" w:cs="Arial"/>
          <w:b/>
        </w:rPr>
        <w:t>Parágrafo 2.</w:t>
      </w:r>
      <w:r>
        <w:rPr>
          <w:rFonts w:ascii="Arial" w:hAnsi="Arial" w:cs="Arial"/>
        </w:rPr>
        <w:t xml:space="preserve"> En el caso de liquidación o terminación de actividades durante el ejercicio, el período gravable se contará desde su iniciación hasta las fech</w:t>
      </w:r>
      <w:r>
        <w:rPr>
          <w:rFonts w:ascii="Arial" w:hAnsi="Arial" w:cs="Arial"/>
        </w:rPr>
        <w:t>as señaladas en el artículo 595 del Estatuto Tributario.</w:t>
      </w:r>
    </w:p>
    <w:p w14:paraId="42BDDAEC" w14:textId="77777777" w:rsidR="00B2442D" w:rsidRDefault="00B2442D">
      <w:pPr>
        <w:autoSpaceDE w:val="0"/>
        <w:autoSpaceDN w:val="0"/>
        <w:adjustRightInd w:val="0"/>
        <w:spacing w:line="40" w:lineRule="atLeast"/>
        <w:ind w:left="720"/>
        <w:jc w:val="both"/>
        <w:rPr>
          <w:rFonts w:ascii="Arial" w:hAnsi="Arial" w:cs="Arial"/>
        </w:rPr>
      </w:pPr>
    </w:p>
    <w:p w14:paraId="08846C0D" w14:textId="77777777" w:rsidR="00B2442D" w:rsidRDefault="008A645F">
      <w:pPr>
        <w:autoSpaceDE w:val="0"/>
        <w:autoSpaceDN w:val="0"/>
        <w:adjustRightInd w:val="0"/>
        <w:spacing w:line="40" w:lineRule="atLeast"/>
        <w:ind w:left="720"/>
        <w:jc w:val="both"/>
        <w:rPr>
          <w:rFonts w:ascii="Arial" w:hAnsi="Arial" w:cs="Arial"/>
        </w:rPr>
      </w:pPr>
      <w:r>
        <w:rPr>
          <w:rFonts w:ascii="Arial" w:hAnsi="Arial" w:cs="Arial"/>
        </w:rPr>
        <w:t>Cuando se inicien actividades durante el ejercicio, el periodo gravable será el comprendido entre la fecha de iniciación de actividades y la fecha de finalización del respectivo periodo.</w:t>
      </w:r>
    </w:p>
    <w:p w14:paraId="5B31D9CE" w14:textId="77777777" w:rsidR="00B2442D" w:rsidRDefault="00B2442D">
      <w:pPr>
        <w:pStyle w:val="Default"/>
        <w:spacing w:line="40" w:lineRule="atLeast"/>
        <w:ind w:left="720"/>
        <w:jc w:val="both"/>
      </w:pPr>
    </w:p>
    <w:p w14:paraId="227D9EB0" w14:textId="77777777" w:rsidR="00B2442D" w:rsidRDefault="008A645F">
      <w:pPr>
        <w:pStyle w:val="CM10"/>
        <w:spacing w:line="40" w:lineRule="atLeast"/>
        <w:ind w:left="720"/>
        <w:jc w:val="both"/>
      </w:pPr>
      <w:r>
        <w:t>En el evento en que el responsable cambie de periodo gravable del impuesto sobre las ventas, conforme con lo establecido en el artículo 600 del Estatuto Tributario, el responsable deberá señalar en la casilla 24 de la primera declaración de IVA del corresp</w:t>
      </w:r>
      <w:r>
        <w:t xml:space="preserve">ondiente año, el nuevo periodo gravable, el cual operará a partir de la fecha de presentación de dicha declaración. </w:t>
      </w:r>
    </w:p>
    <w:p w14:paraId="483D7A2A" w14:textId="77777777" w:rsidR="00B2442D" w:rsidRDefault="00B2442D">
      <w:pPr>
        <w:pStyle w:val="Default"/>
        <w:ind w:left="720"/>
        <w:jc w:val="both"/>
      </w:pPr>
    </w:p>
    <w:p w14:paraId="798467E2" w14:textId="77777777" w:rsidR="00B2442D" w:rsidRDefault="008A645F">
      <w:pPr>
        <w:autoSpaceDE w:val="0"/>
        <w:autoSpaceDN w:val="0"/>
        <w:adjustRightInd w:val="0"/>
        <w:spacing w:line="40" w:lineRule="atLeast"/>
        <w:ind w:left="720"/>
        <w:jc w:val="both"/>
        <w:rPr>
          <w:rFonts w:ascii="Arial" w:hAnsi="Arial" w:cs="Arial"/>
        </w:rPr>
      </w:pPr>
      <w:r>
        <w:rPr>
          <w:rFonts w:ascii="Arial" w:hAnsi="Arial" w:cs="Arial"/>
        </w:rPr>
        <w:t>El cambio de periodo gravable, deberá estar debidamente soportado con la certificación de contador público o revisor fiscal en la que cons</w:t>
      </w:r>
      <w:r>
        <w:rPr>
          <w:rFonts w:ascii="Arial" w:hAnsi="Arial" w:cs="Arial"/>
        </w:rPr>
        <w:t>te el aumento o disminución de los ingresos del año gravable anterior, la cual deberá ponerse a disposición de la autoridad tributaria en el momento en que así lo requiera.</w:t>
      </w:r>
    </w:p>
    <w:p w14:paraId="67924601" w14:textId="77777777" w:rsidR="00B2442D" w:rsidRDefault="00B2442D">
      <w:pPr>
        <w:pStyle w:val="Textoindependiente"/>
        <w:spacing w:line="40" w:lineRule="atLeast"/>
        <w:ind w:right="-30"/>
        <w:jc w:val="both"/>
        <w:rPr>
          <w:rFonts w:cs="Arial"/>
          <w:lang w:val="es-ES"/>
        </w:rPr>
      </w:pPr>
    </w:p>
    <w:p w14:paraId="71948CC5" w14:textId="77777777" w:rsidR="00B2442D" w:rsidRDefault="008A645F">
      <w:pPr>
        <w:pStyle w:val="Textoindependiente"/>
        <w:spacing w:line="40" w:lineRule="atLeast"/>
        <w:ind w:right="-30"/>
        <w:jc w:val="both"/>
        <w:rPr>
          <w:rFonts w:cs="Arial"/>
          <w:i/>
          <w:lang w:val="es-CO"/>
        </w:rPr>
      </w:pPr>
      <w:r>
        <w:rPr>
          <w:rFonts w:cs="Arial"/>
          <w:i/>
          <w:lang w:val="es-CO"/>
        </w:rPr>
        <w:t>(</w:t>
      </w:r>
      <w:hyperlink r:id="rId66" w:history="1">
        <w:r>
          <w:rPr>
            <w:rStyle w:val="Hipervnculo"/>
            <w:rFonts w:cs="Arial"/>
            <w:i/>
            <w:lang w:val="es-CO"/>
          </w:rPr>
          <w:t>Art. 23 Decreto 2105 de 2016</w:t>
        </w:r>
      </w:hyperlink>
      <w:r>
        <w:rPr>
          <w:rFonts w:cs="Arial"/>
          <w:i/>
          <w:lang w:val="es-CO"/>
        </w:rPr>
        <w:t>, plazos 2016: Decreto 2243 de 2015; plazos 2015: Decreto 2623 de 2014; plazos 2014: Decreto 2972 de 2013 y Decreto 685 de 2014; plazos 2013: Decreto 2634 de 2012 y Decreto 0187 de 2013; plazos 2012: Decr</w:t>
      </w:r>
      <w:r>
        <w:rPr>
          <w:rFonts w:cs="Arial"/>
          <w:i/>
          <w:lang w:val="es-CO"/>
        </w:rPr>
        <w:t>eto 4907 de 2011; plazos 2011: Decreto 4836 de 2010 y Decreto 1358 de 2011)</w:t>
      </w:r>
    </w:p>
    <w:p w14:paraId="6AE95DCC" w14:textId="77777777" w:rsidR="00B2442D" w:rsidRDefault="00B2442D">
      <w:pPr>
        <w:pStyle w:val="Textoindependiente"/>
        <w:spacing w:line="40" w:lineRule="atLeast"/>
        <w:ind w:right="-30"/>
        <w:jc w:val="both"/>
        <w:rPr>
          <w:rFonts w:cs="Arial"/>
          <w:lang w:val="es-ES"/>
        </w:rPr>
      </w:pPr>
    </w:p>
    <w:p w14:paraId="15C03B3F"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w:t>
      </w:r>
      <w:r>
        <w:rPr>
          <w:rFonts w:cs="Arial"/>
          <w:b/>
          <w:i/>
          <w:spacing w:val="62"/>
          <w:lang w:val="es-CO"/>
        </w:rPr>
        <w:t xml:space="preserve"> </w:t>
      </w:r>
      <w:r>
        <w:rPr>
          <w:rFonts w:cs="Arial"/>
          <w:b/>
          <w:i/>
          <w:lang w:val="es-CO"/>
        </w:rPr>
        <w:t>anual y pago</w:t>
      </w:r>
      <w:r>
        <w:rPr>
          <w:rFonts w:cs="Arial"/>
          <w:b/>
          <w:i/>
          <w:spacing w:val="6"/>
          <w:lang w:val="es-CO"/>
        </w:rPr>
        <w:t xml:space="preserve"> </w:t>
      </w:r>
      <w:r>
        <w:rPr>
          <w:rFonts w:cs="Arial"/>
          <w:b/>
          <w:i/>
          <w:lang w:val="es-CO"/>
        </w:rPr>
        <w:t>del impuesto</w:t>
      </w:r>
      <w:r>
        <w:rPr>
          <w:rFonts w:cs="Arial"/>
          <w:b/>
          <w:i/>
          <w:spacing w:val="4"/>
          <w:lang w:val="es-CO"/>
        </w:rPr>
        <w:t xml:space="preserve"> </w:t>
      </w:r>
      <w:r>
        <w:rPr>
          <w:rFonts w:cs="Arial"/>
          <w:b/>
          <w:i/>
          <w:lang w:val="es-CO"/>
        </w:rPr>
        <w:t>sobre las ventas.</w:t>
      </w:r>
      <w:r>
        <w:rPr>
          <w:rFonts w:cs="Arial"/>
          <w:spacing w:val="55"/>
          <w:lang w:val="es-CO"/>
        </w:rPr>
        <w:t xml:space="preserve"> </w:t>
      </w:r>
      <w:r>
        <w:rPr>
          <w:rFonts w:cs="Arial"/>
          <w:lang w:val="es-CO"/>
        </w:rPr>
        <w:t xml:space="preserve">Los responsables de este impuesto, personas jurídicas y naturales cuyos ingresos brutos generados a 31 de </w:t>
      </w:r>
      <w:r>
        <w:rPr>
          <w:rFonts w:cs="Arial"/>
          <w:lang w:val="es-CO"/>
        </w:rPr>
        <w:t xml:space="preserve">diciembre del año gravable 2016, sean inferiores a quince mil (15.000) UVT ($446.295.000), deberán presentar la declaración del impuesto sobre las ventas de manera anual utilizando el formulario prescrito por la Unidad Administrativa Especial Dirección de </w:t>
      </w:r>
      <w:r>
        <w:rPr>
          <w:rFonts w:cs="Arial"/>
          <w:lang w:val="es-CO"/>
        </w:rPr>
        <w:t>Impuestos y Aduanas Nacionales - DIAN.</w:t>
      </w:r>
    </w:p>
    <w:p w14:paraId="0AAD952A" w14:textId="77777777" w:rsidR="00B2442D" w:rsidRDefault="00B2442D">
      <w:pPr>
        <w:spacing w:line="40" w:lineRule="atLeast"/>
        <w:ind w:right="-30"/>
        <w:jc w:val="both"/>
        <w:rPr>
          <w:rFonts w:ascii="Arial" w:hAnsi="Arial" w:cs="Arial"/>
          <w:highlight w:val="yellow"/>
          <w:lang w:val="es-CO"/>
        </w:rPr>
      </w:pPr>
    </w:p>
    <w:p w14:paraId="4040255A" w14:textId="77777777" w:rsidR="00B2442D" w:rsidRDefault="008A645F">
      <w:pPr>
        <w:pStyle w:val="CM10"/>
        <w:spacing w:line="40" w:lineRule="atLeast"/>
        <w:jc w:val="both"/>
      </w:pPr>
      <w:r>
        <w:t xml:space="preserve">Los responsables aquí mencionados deberán tener en cuenta lo siguiente: </w:t>
      </w:r>
    </w:p>
    <w:p w14:paraId="77E5D744" w14:textId="77777777" w:rsidR="00B2442D" w:rsidRDefault="00B2442D">
      <w:pPr>
        <w:pStyle w:val="Default"/>
      </w:pPr>
    </w:p>
    <w:p w14:paraId="47804948" w14:textId="77777777" w:rsidR="00B2442D" w:rsidRDefault="008A645F">
      <w:pPr>
        <w:pStyle w:val="CM10"/>
        <w:numPr>
          <w:ilvl w:val="0"/>
          <w:numId w:val="206"/>
        </w:numPr>
        <w:spacing w:line="40" w:lineRule="atLeast"/>
        <w:ind w:left="426" w:hanging="426"/>
        <w:jc w:val="both"/>
      </w:pPr>
      <w:r>
        <w:t>El 30% de anticipo cuatrimestral deberá calcularse sobre la suma de la casilla "saldo a pagar por impuesto" de la totalidad de las declaracion</w:t>
      </w:r>
      <w:r>
        <w:t xml:space="preserve">es del impuesto sobre las ventas correspondientes al año gravable inmediatamente anterior. </w:t>
      </w:r>
    </w:p>
    <w:p w14:paraId="1F88397B" w14:textId="77777777" w:rsidR="00B2442D" w:rsidRDefault="00B2442D">
      <w:pPr>
        <w:pStyle w:val="Default"/>
        <w:ind w:left="426" w:hanging="426"/>
      </w:pPr>
    </w:p>
    <w:p w14:paraId="4811F3DB" w14:textId="77777777" w:rsidR="00B2442D" w:rsidRDefault="008A645F">
      <w:pPr>
        <w:pStyle w:val="CM10"/>
        <w:numPr>
          <w:ilvl w:val="0"/>
          <w:numId w:val="206"/>
        </w:numPr>
        <w:spacing w:line="40" w:lineRule="atLeast"/>
        <w:ind w:left="426" w:hanging="426"/>
        <w:jc w:val="both"/>
      </w:pPr>
      <w:r>
        <w:t xml:space="preserve">En caso de que el valor calculado en el literal anterior haya arrojado un saldo a favor del contribuyente, éste no estará obligado a hacer los pagos cuatrimestrales sin declaración, de que trata el artículo 600 del Estatuto Tributario. </w:t>
      </w:r>
    </w:p>
    <w:p w14:paraId="73C50008" w14:textId="77777777" w:rsidR="00B2442D" w:rsidRDefault="00B2442D">
      <w:pPr>
        <w:pStyle w:val="Default"/>
        <w:ind w:left="426" w:hanging="426"/>
      </w:pPr>
    </w:p>
    <w:p w14:paraId="679F2D30" w14:textId="77777777" w:rsidR="00B2442D" w:rsidRDefault="008A645F">
      <w:pPr>
        <w:pStyle w:val="CM10"/>
        <w:numPr>
          <w:ilvl w:val="0"/>
          <w:numId w:val="206"/>
        </w:numPr>
        <w:spacing w:line="40" w:lineRule="atLeast"/>
        <w:ind w:left="426" w:hanging="426"/>
        <w:jc w:val="both"/>
      </w:pPr>
      <w:r>
        <w:t xml:space="preserve">En caso de que el </w:t>
      </w:r>
      <w:r>
        <w:t>contribuyente se encuentre en liquidación, los anticipos deberán pagarse sólo si éste realiza operaciones gravadas en el cuatrimestre anterior a la fecha de pago del anticipo correspondiente.</w:t>
      </w:r>
    </w:p>
    <w:p w14:paraId="6095750F" w14:textId="77777777" w:rsidR="00B2442D" w:rsidRDefault="00B2442D">
      <w:pPr>
        <w:pStyle w:val="Default"/>
        <w:ind w:left="426" w:hanging="426"/>
      </w:pPr>
    </w:p>
    <w:p w14:paraId="60B8AC7F" w14:textId="77777777" w:rsidR="00B2442D" w:rsidRDefault="008A645F">
      <w:pPr>
        <w:pStyle w:val="CM10"/>
        <w:numPr>
          <w:ilvl w:val="0"/>
          <w:numId w:val="206"/>
        </w:numPr>
        <w:spacing w:line="40" w:lineRule="atLeast"/>
        <w:ind w:left="426" w:hanging="426"/>
        <w:jc w:val="both"/>
      </w:pPr>
      <w:r>
        <w:t>Para el pago del anticipo de que trata el presente artículo, el</w:t>
      </w:r>
      <w:r>
        <w:t xml:space="preserve"> responsable deberá utilizar el recibo de pago No.490 prescrito por la Unidad Administrativa Especial Dirección de Impuestos y Aduanas Nacionales - DIAN, y efectuar el pago en los plazos señalados en este Decreto.</w:t>
      </w:r>
    </w:p>
    <w:p w14:paraId="27BE5B21" w14:textId="77777777" w:rsidR="00B2442D" w:rsidRDefault="00B2442D">
      <w:pPr>
        <w:pStyle w:val="Default"/>
      </w:pPr>
    </w:p>
    <w:p w14:paraId="4CBAD668" w14:textId="77777777" w:rsidR="00B2442D" w:rsidRDefault="008A645F">
      <w:pPr>
        <w:spacing w:line="40" w:lineRule="atLeast"/>
        <w:ind w:right="-30"/>
        <w:jc w:val="both"/>
        <w:rPr>
          <w:rFonts w:ascii="Arial" w:hAnsi="Arial" w:cs="Arial"/>
          <w:i/>
          <w:iCs/>
          <w:color w:val="000000"/>
          <w:lang w:val="es-CO" w:eastAsia="es-CO"/>
        </w:rPr>
      </w:pPr>
      <w:r>
        <w:rPr>
          <w:rFonts w:ascii="Arial" w:hAnsi="Arial" w:cs="Arial"/>
          <w:i/>
        </w:rPr>
        <w:t>(</w:t>
      </w:r>
      <w:hyperlink r:id="rId67" w:history="1">
        <w:r>
          <w:rPr>
            <w:rStyle w:val="Hipervnculo"/>
            <w:rFonts w:ascii="Arial" w:hAnsi="Arial" w:cs="Arial"/>
            <w:i/>
          </w:rPr>
          <w:t>Art. 24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36C03052" w14:textId="77777777" w:rsidR="00B2442D" w:rsidRDefault="00B2442D">
      <w:pPr>
        <w:spacing w:line="40" w:lineRule="atLeast"/>
        <w:ind w:right="-30"/>
        <w:jc w:val="both"/>
        <w:rPr>
          <w:rFonts w:ascii="Arial" w:hAnsi="Arial" w:cs="Arial"/>
          <w:highlight w:val="yellow"/>
          <w:lang w:val="es-CO"/>
        </w:rPr>
      </w:pPr>
    </w:p>
    <w:p w14:paraId="060A79C8" w14:textId="77777777" w:rsidR="00B2442D" w:rsidRDefault="008A645F">
      <w:pPr>
        <w:pStyle w:val="Textoindependiente"/>
        <w:numPr>
          <w:ilvl w:val="0"/>
          <w:numId w:val="152"/>
        </w:numPr>
        <w:spacing w:line="40" w:lineRule="atLeast"/>
        <w:ind w:left="0" w:right="-30" w:firstLine="0"/>
        <w:jc w:val="both"/>
        <w:rPr>
          <w:rFonts w:cs="Arial"/>
          <w:b/>
          <w:i/>
          <w:lang w:val="es-CO"/>
        </w:rPr>
      </w:pPr>
      <w:r>
        <w:rPr>
          <w:rFonts w:cs="Arial"/>
          <w:b/>
          <w:i/>
          <w:lang w:val="es-CO"/>
        </w:rPr>
        <w:t>Plazo</w:t>
      </w:r>
      <w:r>
        <w:rPr>
          <w:rFonts w:cs="Arial"/>
          <w:b/>
          <w:i/>
          <w:spacing w:val="17"/>
          <w:lang w:val="es-CO"/>
        </w:rPr>
        <w:t xml:space="preserve"> </w:t>
      </w:r>
      <w:r>
        <w:rPr>
          <w:rFonts w:cs="Arial"/>
          <w:b/>
          <w:i/>
          <w:lang w:val="es-CO"/>
        </w:rPr>
        <w:t>para</w:t>
      </w:r>
      <w:r>
        <w:rPr>
          <w:rFonts w:cs="Arial"/>
          <w:b/>
          <w:i/>
          <w:spacing w:val="10"/>
          <w:lang w:val="es-CO"/>
        </w:rPr>
        <w:t xml:space="preserve"> </w:t>
      </w:r>
      <w:r>
        <w:rPr>
          <w:rFonts w:cs="Arial"/>
          <w:b/>
          <w:i/>
          <w:lang w:val="es-CO"/>
        </w:rPr>
        <w:t>el pago</w:t>
      </w:r>
      <w:r>
        <w:rPr>
          <w:rFonts w:cs="Arial"/>
          <w:b/>
          <w:i/>
          <w:spacing w:val="8"/>
          <w:lang w:val="es-CO"/>
        </w:rPr>
        <w:t xml:space="preserve"> </w:t>
      </w:r>
      <w:r>
        <w:rPr>
          <w:rFonts w:cs="Arial"/>
          <w:b/>
          <w:i/>
          <w:lang w:val="es-CO"/>
        </w:rPr>
        <w:t>de los</w:t>
      </w:r>
      <w:r>
        <w:rPr>
          <w:rFonts w:cs="Arial"/>
          <w:b/>
          <w:i/>
          <w:spacing w:val="-15"/>
          <w:lang w:val="es-CO"/>
        </w:rPr>
        <w:t xml:space="preserve"> </w:t>
      </w:r>
      <w:r>
        <w:rPr>
          <w:rFonts w:cs="Arial"/>
          <w:b/>
          <w:i/>
          <w:lang w:val="es-CO"/>
        </w:rPr>
        <w:t>anticipos</w:t>
      </w:r>
    </w:p>
    <w:p w14:paraId="5AEEA5C7" w14:textId="77777777" w:rsidR="00B2442D" w:rsidRDefault="00B2442D">
      <w:pPr>
        <w:pStyle w:val="CM10"/>
        <w:spacing w:line="40" w:lineRule="atLeast"/>
        <w:jc w:val="both"/>
        <w:rPr>
          <w:rFonts w:eastAsia="Arial"/>
          <w:b/>
          <w:i/>
          <w:lang w:eastAsia="en-US"/>
        </w:rPr>
      </w:pPr>
    </w:p>
    <w:p w14:paraId="105A9F02" w14:textId="77777777" w:rsidR="00B2442D" w:rsidRDefault="008A645F">
      <w:pPr>
        <w:pStyle w:val="CM10"/>
        <w:spacing w:line="40" w:lineRule="atLeast"/>
        <w:jc w:val="both"/>
        <w:rPr>
          <w:color w:val="000000"/>
          <w:lang w:val="es-ES"/>
        </w:rPr>
      </w:pPr>
      <w:r>
        <w:rPr>
          <w:rFonts w:eastAsia="Arial"/>
          <w:lang w:eastAsia="en-US"/>
        </w:rPr>
        <w:t xml:space="preserve">a) </w:t>
      </w:r>
      <w:r>
        <w:t>Un primer pago, por el 30% del to</w:t>
      </w:r>
      <w:r>
        <w:t xml:space="preserve">tal del IVA pagado a 31 de diciembre del año gravable 2016, que se cancelará en el mes de mayo, </w:t>
      </w:r>
      <w:r>
        <w:rPr>
          <w:color w:val="000000"/>
          <w:lang w:val="es-ES"/>
        </w:rPr>
        <w:t>de acuerdo con el último dígito del NIT del responsable, que conste en el certificado del Registro Único Tributario - RUT, sin tener en cuenta el dígito de veri</w:t>
      </w:r>
      <w:r>
        <w:rPr>
          <w:color w:val="000000"/>
          <w:lang w:val="es-ES"/>
        </w:rPr>
        <w:t>ficación.</w:t>
      </w:r>
    </w:p>
    <w:p w14:paraId="7F92CFC9" w14:textId="77777777" w:rsidR="00B2442D" w:rsidRDefault="00B2442D">
      <w:pPr>
        <w:pStyle w:val="Default"/>
        <w:rPr>
          <w:lang w:val="es-ES"/>
        </w:rPr>
      </w:pPr>
    </w:p>
    <w:p w14:paraId="3E3A5DD6" w14:textId="77777777" w:rsidR="00B2442D" w:rsidRDefault="00B2442D">
      <w:pPr>
        <w:pStyle w:val="Default"/>
        <w:ind w:left="720"/>
        <w:jc w:val="center"/>
        <w:rPr>
          <w:b/>
          <w:lang w:val="es-ES"/>
        </w:rPr>
      </w:pPr>
    </w:p>
    <w:p w14:paraId="602EB27B" w14:textId="77777777" w:rsidR="00B2442D" w:rsidRDefault="008A645F">
      <w:pPr>
        <w:pStyle w:val="Default"/>
        <w:ind w:left="720"/>
        <w:jc w:val="center"/>
        <w:rPr>
          <w:b/>
          <w:lang w:val="es-ES"/>
        </w:rPr>
      </w:pPr>
      <w:r>
        <w:rPr>
          <w:b/>
          <w:lang w:val="es-ES"/>
        </w:rPr>
        <w:t>PRIMER PAGO 30%</w:t>
      </w:r>
    </w:p>
    <w:p w14:paraId="7A820D6B" w14:textId="77777777" w:rsidR="00B2442D" w:rsidRDefault="00B2442D">
      <w:pPr>
        <w:autoSpaceDE w:val="0"/>
        <w:autoSpaceDN w:val="0"/>
        <w:adjustRightInd w:val="0"/>
        <w:spacing w:line="40" w:lineRule="atLeast"/>
        <w:ind w:left="720"/>
        <w:rPr>
          <w:rFonts w:ascii="Arial" w:hAnsi="Arial" w:cs="Arial"/>
          <w:b/>
          <w:color w:val="000000"/>
        </w:rPr>
      </w:pPr>
    </w:p>
    <w:tbl>
      <w:tblPr>
        <w:tblW w:w="3880" w:type="dxa"/>
        <w:jc w:val="center"/>
        <w:tblCellMar>
          <w:left w:w="70" w:type="dxa"/>
          <w:right w:w="70" w:type="dxa"/>
        </w:tblCellMar>
        <w:tblLook w:val="04A0" w:firstRow="1" w:lastRow="0" w:firstColumn="1" w:lastColumn="0" w:noHBand="0" w:noVBand="1"/>
      </w:tblPr>
      <w:tblGrid>
        <w:gridCol w:w="1200"/>
        <w:gridCol w:w="2680"/>
      </w:tblGrid>
      <w:tr w:rsidR="00B2442D" w14:paraId="0CA900E2"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auto" w:fill="BFBFBF"/>
            <w:vAlign w:val="center"/>
            <w:hideMark/>
          </w:tcPr>
          <w:p w14:paraId="6A49C1EC"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digito es</w:t>
            </w:r>
          </w:p>
        </w:tc>
        <w:tc>
          <w:tcPr>
            <w:tcW w:w="2680" w:type="dxa"/>
            <w:tcBorders>
              <w:top w:val="single" w:sz="8" w:space="0" w:color="auto"/>
              <w:left w:val="nil"/>
              <w:bottom w:val="single" w:sz="8" w:space="0" w:color="auto"/>
              <w:right w:val="single" w:sz="8" w:space="0" w:color="auto"/>
            </w:tcBorders>
            <w:shd w:val="clear" w:color="000000" w:fill="BFBFBF"/>
            <w:noWrap/>
            <w:vAlign w:val="center"/>
            <w:hideMark/>
          </w:tcPr>
          <w:p w14:paraId="2AA164E9" w14:textId="77777777" w:rsidR="00B2442D" w:rsidRDefault="008A645F">
            <w:pPr>
              <w:jc w:val="center"/>
              <w:rPr>
                <w:rFonts w:ascii="Arial" w:hAnsi="Arial" w:cs="Arial"/>
                <w:b/>
                <w:bCs/>
                <w:color w:val="000000"/>
                <w:sz w:val="22"/>
                <w:szCs w:val="22"/>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2"/>
                <w:szCs w:val="22"/>
                <w:lang w:val="es-CO" w:eastAsia="es-CO"/>
                <w14:shadow w14:blurRad="50800" w14:dist="38100" w14:dir="2700000" w14:sx="100000" w14:sy="100000" w14:kx="0" w14:ky="0" w14:algn="tl">
                  <w14:srgbClr w14:val="000000">
                    <w14:alpha w14:val="60000"/>
                  </w14:srgbClr>
                </w14:shadow>
              </w:rPr>
              <w:t xml:space="preserve">Hasta el día </w:t>
            </w:r>
          </w:p>
        </w:tc>
      </w:tr>
      <w:tr w:rsidR="00B2442D" w14:paraId="1FE8E627"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4A93A77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2680" w:type="dxa"/>
            <w:tcBorders>
              <w:top w:val="nil"/>
              <w:left w:val="nil"/>
              <w:bottom w:val="single" w:sz="8" w:space="0" w:color="auto"/>
              <w:right w:val="single" w:sz="8" w:space="0" w:color="auto"/>
            </w:tcBorders>
            <w:shd w:val="clear" w:color="auto" w:fill="auto"/>
            <w:noWrap/>
            <w:vAlign w:val="center"/>
          </w:tcPr>
          <w:p w14:paraId="1D8C06A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 9 de mayo de 2017</w:t>
            </w:r>
          </w:p>
        </w:tc>
      </w:tr>
      <w:tr w:rsidR="00B2442D" w14:paraId="621EBBB3"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44D22EB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2680" w:type="dxa"/>
            <w:tcBorders>
              <w:top w:val="nil"/>
              <w:left w:val="nil"/>
              <w:bottom w:val="single" w:sz="8" w:space="0" w:color="auto"/>
              <w:right w:val="single" w:sz="8" w:space="0" w:color="auto"/>
            </w:tcBorders>
            <w:shd w:val="clear" w:color="auto" w:fill="auto"/>
            <w:noWrap/>
            <w:vAlign w:val="center"/>
          </w:tcPr>
          <w:p w14:paraId="4E565C4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10 de mayo de 2017</w:t>
            </w:r>
          </w:p>
        </w:tc>
      </w:tr>
      <w:tr w:rsidR="00B2442D" w14:paraId="2A184F78"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5013ACC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2680" w:type="dxa"/>
            <w:tcBorders>
              <w:top w:val="nil"/>
              <w:left w:val="nil"/>
              <w:bottom w:val="single" w:sz="8" w:space="0" w:color="auto"/>
              <w:right w:val="single" w:sz="8" w:space="0" w:color="auto"/>
            </w:tcBorders>
            <w:shd w:val="clear" w:color="auto" w:fill="auto"/>
            <w:noWrap/>
            <w:vAlign w:val="center"/>
          </w:tcPr>
          <w:p w14:paraId="1DD9081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mayo de 2017</w:t>
            </w:r>
          </w:p>
        </w:tc>
      </w:tr>
      <w:tr w:rsidR="00B2442D" w14:paraId="1F255A63"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01AD84C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2680" w:type="dxa"/>
            <w:tcBorders>
              <w:top w:val="nil"/>
              <w:left w:val="nil"/>
              <w:bottom w:val="single" w:sz="8" w:space="0" w:color="auto"/>
              <w:right w:val="single" w:sz="8" w:space="0" w:color="auto"/>
            </w:tcBorders>
            <w:shd w:val="clear" w:color="auto" w:fill="auto"/>
            <w:noWrap/>
            <w:vAlign w:val="center"/>
          </w:tcPr>
          <w:p w14:paraId="78CB025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mayo de 2017</w:t>
            </w:r>
          </w:p>
        </w:tc>
      </w:tr>
      <w:tr w:rsidR="00B2442D" w14:paraId="16CB5FD4"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77095AE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2680" w:type="dxa"/>
            <w:tcBorders>
              <w:top w:val="nil"/>
              <w:left w:val="nil"/>
              <w:bottom w:val="single" w:sz="8" w:space="0" w:color="auto"/>
              <w:right w:val="single" w:sz="8" w:space="0" w:color="auto"/>
            </w:tcBorders>
            <w:shd w:val="clear" w:color="auto" w:fill="auto"/>
            <w:noWrap/>
            <w:vAlign w:val="center"/>
          </w:tcPr>
          <w:p w14:paraId="3CF1796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mayo de 2017</w:t>
            </w:r>
          </w:p>
        </w:tc>
      </w:tr>
      <w:tr w:rsidR="00B2442D" w14:paraId="3EBB5DBB"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132801B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2680" w:type="dxa"/>
            <w:tcBorders>
              <w:top w:val="single" w:sz="4" w:space="0" w:color="auto"/>
              <w:left w:val="nil"/>
              <w:bottom w:val="single" w:sz="8" w:space="0" w:color="auto"/>
              <w:right w:val="single" w:sz="8" w:space="0" w:color="auto"/>
            </w:tcBorders>
            <w:shd w:val="clear" w:color="auto" w:fill="auto"/>
            <w:noWrap/>
            <w:vAlign w:val="center"/>
          </w:tcPr>
          <w:p w14:paraId="00D677B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mayo de 2017</w:t>
            </w:r>
          </w:p>
        </w:tc>
      </w:tr>
      <w:tr w:rsidR="00B2442D" w14:paraId="5E93CE19"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350795E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2680" w:type="dxa"/>
            <w:tcBorders>
              <w:top w:val="nil"/>
              <w:left w:val="nil"/>
              <w:bottom w:val="single" w:sz="8" w:space="0" w:color="auto"/>
              <w:right w:val="single" w:sz="8" w:space="0" w:color="auto"/>
            </w:tcBorders>
            <w:shd w:val="clear" w:color="auto" w:fill="auto"/>
            <w:noWrap/>
            <w:vAlign w:val="center"/>
          </w:tcPr>
          <w:p w14:paraId="7F0E31A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mayo de 2017</w:t>
            </w:r>
          </w:p>
        </w:tc>
      </w:tr>
      <w:tr w:rsidR="00B2442D" w14:paraId="1FFC4B20"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67568DC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2680" w:type="dxa"/>
            <w:tcBorders>
              <w:top w:val="nil"/>
              <w:left w:val="nil"/>
              <w:bottom w:val="single" w:sz="8" w:space="0" w:color="auto"/>
              <w:right w:val="single" w:sz="8" w:space="0" w:color="auto"/>
            </w:tcBorders>
            <w:shd w:val="clear" w:color="auto" w:fill="auto"/>
            <w:noWrap/>
            <w:vAlign w:val="center"/>
          </w:tcPr>
          <w:p w14:paraId="7E8A701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mayo de 2017</w:t>
            </w:r>
          </w:p>
        </w:tc>
      </w:tr>
      <w:tr w:rsidR="00B2442D" w14:paraId="45180CD5"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2CDAD9D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2680" w:type="dxa"/>
            <w:tcBorders>
              <w:top w:val="nil"/>
              <w:left w:val="nil"/>
              <w:bottom w:val="single" w:sz="8" w:space="0" w:color="auto"/>
              <w:right w:val="single" w:sz="8" w:space="0" w:color="auto"/>
            </w:tcBorders>
            <w:shd w:val="clear" w:color="auto" w:fill="auto"/>
            <w:noWrap/>
            <w:vAlign w:val="center"/>
          </w:tcPr>
          <w:p w14:paraId="62E34D4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mayo de 2017</w:t>
            </w:r>
          </w:p>
        </w:tc>
      </w:tr>
      <w:tr w:rsidR="00B2442D" w14:paraId="7AF1BE74"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46B12D2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2680" w:type="dxa"/>
            <w:tcBorders>
              <w:top w:val="nil"/>
              <w:left w:val="nil"/>
              <w:bottom w:val="single" w:sz="8" w:space="0" w:color="auto"/>
              <w:right w:val="single" w:sz="8" w:space="0" w:color="auto"/>
            </w:tcBorders>
            <w:shd w:val="clear" w:color="auto" w:fill="auto"/>
            <w:noWrap/>
            <w:vAlign w:val="center"/>
          </w:tcPr>
          <w:p w14:paraId="161D3E7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22 de mayo de 2017</w:t>
            </w:r>
          </w:p>
        </w:tc>
      </w:tr>
    </w:tbl>
    <w:p w14:paraId="272471F0" w14:textId="77777777" w:rsidR="00B2442D" w:rsidRDefault="00B2442D">
      <w:pPr>
        <w:autoSpaceDE w:val="0"/>
        <w:autoSpaceDN w:val="0"/>
        <w:adjustRightInd w:val="0"/>
        <w:spacing w:line="40" w:lineRule="atLeast"/>
        <w:ind w:left="720"/>
        <w:rPr>
          <w:rFonts w:ascii="Arial" w:hAnsi="Arial" w:cs="Arial"/>
          <w:b/>
          <w:color w:val="000000"/>
        </w:rPr>
      </w:pPr>
    </w:p>
    <w:p w14:paraId="3C33B92A" w14:textId="77777777" w:rsidR="00B2442D" w:rsidRDefault="008A645F">
      <w:pPr>
        <w:pStyle w:val="CM10"/>
        <w:spacing w:line="40" w:lineRule="atLeast"/>
        <w:jc w:val="both"/>
        <w:rPr>
          <w:color w:val="000000"/>
          <w:lang w:val="es-ES"/>
        </w:rPr>
      </w:pPr>
      <w:r>
        <w:t xml:space="preserve">b) Un segundo pago, por el 30% del total del IVA pagado a 31 de diciembre del año gravable 2016, que se cancelará en el mes de septiembre, </w:t>
      </w:r>
      <w:r>
        <w:rPr>
          <w:color w:val="000000"/>
          <w:lang w:val="es-ES"/>
        </w:rPr>
        <w:t>de acuerdo con el último dígito del NIT del responsable, que conste en el certificado del Registro Único Tributario -</w:t>
      </w:r>
      <w:r>
        <w:rPr>
          <w:color w:val="000000"/>
          <w:lang w:val="es-ES"/>
        </w:rPr>
        <w:t xml:space="preserve"> RUT, sin tener en cuenta el dígito de verificación.</w:t>
      </w:r>
    </w:p>
    <w:p w14:paraId="275343D8" w14:textId="77777777" w:rsidR="00B2442D" w:rsidRDefault="00B2442D">
      <w:pPr>
        <w:pStyle w:val="Default"/>
        <w:rPr>
          <w:lang w:val="es-ES"/>
        </w:rPr>
      </w:pPr>
    </w:p>
    <w:p w14:paraId="405E892A" w14:textId="77777777" w:rsidR="00B2442D" w:rsidRDefault="008A645F">
      <w:pPr>
        <w:ind w:left="720"/>
        <w:jc w:val="center"/>
        <w:rPr>
          <w:rFonts w:ascii="Arial" w:hAnsi="Arial" w:cs="Arial"/>
          <w:b/>
          <w:bCs/>
          <w:color w:val="000000"/>
          <w:lang w:val="es-CO" w:eastAsia="es-CO"/>
        </w:rPr>
      </w:pPr>
      <w:r>
        <w:rPr>
          <w:rFonts w:ascii="Arial" w:hAnsi="Arial" w:cs="Arial"/>
          <w:b/>
          <w:bCs/>
          <w:color w:val="000000"/>
          <w:lang w:val="es-CO" w:eastAsia="es-CO"/>
        </w:rPr>
        <w:t>SEGUNDO PAGO 30%</w:t>
      </w:r>
    </w:p>
    <w:p w14:paraId="05C0E5FB" w14:textId="77777777" w:rsidR="00B2442D" w:rsidRDefault="00B2442D">
      <w:pPr>
        <w:ind w:left="720"/>
        <w:jc w:val="center"/>
        <w:rPr>
          <w:rFonts w:ascii="Arial" w:hAnsi="Arial" w:cs="Arial"/>
          <w:b/>
          <w:bCs/>
          <w:color w:val="000000"/>
          <w:lang w:val="es-CO" w:eastAsia="es-CO"/>
        </w:rPr>
      </w:pPr>
    </w:p>
    <w:tbl>
      <w:tblPr>
        <w:tblW w:w="4693" w:type="dxa"/>
        <w:jc w:val="center"/>
        <w:tblCellMar>
          <w:left w:w="70" w:type="dxa"/>
          <w:right w:w="70" w:type="dxa"/>
        </w:tblCellMar>
        <w:tblLook w:val="04A0" w:firstRow="1" w:lastRow="0" w:firstColumn="1" w:lastColumn="0" w:noHBand="0" w:noVBand="1"/>
      </w:tblPr>
      <w:tblGrid>
        <w:gridCol w:w="1200"/>
        <w:gridCol w:w="3493"/>
      </w:tblGrid>
      <w:tr w:rsidR="00B2442D" w14:paraId="130B1AF0"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544379DE"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digito es</w:t>
            </w:r>
          </w:p>
        </w:tc>
        <w:tc>
          <w:tcPr>
            <w:tcW w:w="3493" w:type="dxa"/>
            <w:tcBorders>
              <w:top w:val="single" w:sz="8" w:space="0" w:color="auto"/>
              <w:left w:val="nil"/>
              <w:bottom w:val="single" w:sz="8" w:space="0" w:color="auto"/>
              <w:right w:val="single" w:sz="8" w:space="0" w:color="auto"/>
            </w:tcBorders>
            <w:shd w:val="clear" w:color="000000" w:fill="A6A6A6"/>
            <w:noWrap/>
            <w:vAlign w:val="center"/>
            <w:hideMark/>
          </w:tcPr>
          <w:p w14:paraId="3BA70F84"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1365EC32"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2C1536D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3493" w:type="dxa"/>
            <w:tcBorders>
              <w:top w:val="nil"/>
              <w:left w:val="nil"/>
              <w:bottom w:val="single" w:sz="8" w:space="0" w:color="auto"/>
              <w:right w:val="single" w:sz="8" w:space="0" w:color="auto"/>
            </w:tcBorders>
            <w:shd w:val="clear" w:color="auto" w:fill="auto"/>
            <w:noWrap/>
            <w:vAlign w:val="center"/>
          </w:tcPr>
          <w:p w14:paraId="44E4AA4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  de Septiembre de 2017</w:t>
            </w:r>
          </w:p>
        </w:tc>
      </w:tr>
      <w:tr w:rsidR="00B2442D" w14:paraId="06E98CBD"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4822F1B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3493" w:type="dxa"/>
            <w:tcBorders>
              <w:top w:val="nil"/>
              <w:left w:val="nil"/>
              <w:bottom w:val="single" w:sz="8" w:space="0" w:color="auto"/>
              <w:right w:val="single" w:sz="8" w:space="0" w:color="auto"/>
            </w:tcBorders>
            <w:shd w:val="clear" w:color="auto" w:fill="auto"/>
            <w:noWrap/>
            <w:vAlign w:val="center"/>
          </w:tcPr>
          <w:p w14:paraId="7F9EB74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Septiembre de 2017</w:t>
            </w:r>
          </w:p>
        </w:tc>
      </w:tr>
      <w:tr w:rsidR="00B2442D" w14:paraId="2986ECAC"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48C8EAD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3493" w:type="dxa"/>
            <w:tcBorders>
              <w:top w:val="nil"/>
              <w:left w:val="nil"/>
              <w:bottom w:val="single" w:sz="4" w:space="0" w:color="auto"/>
              <w:right w:val="single" w:sz="8" w:space="0" w:color="auto"/>
            </w:tcBorders>
            <w:shd w:val="clear" w:color="auto" w:fill="auto"/>
            <w:noWrap/>
            <w:vAlign w:val="center"/>
          </w:tcPr>
          <w:p w14:paraId="5EE59B6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Septiembre de 2017</w:t>
            </w:r>
          </w:p>
        </w:tc>
      </w:tr>
      <w:tr w:rsidR="00B2442D" w14:paraId="2A87548E"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383255C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3493" w:type="dxa"/>
            <w:tcBorders>
              <w:top w:val="single" w:sz="4" w:space="0" w:color="auto"/>
              <w:left w:val="nil"/>
              <w:bottom w:val="single" w:sz="8" w:space="0" w:color="auto"/>
              <w:right w:val="single" w:sz="8" w:space="0" w:color="auto"/>
            </w:tcBorders>
            <w:shd w:val="clear" w:color="auto" w:fill="auto"/>
            <w:noWrap/>
            <w:vAlign w:val="center"/>
          </w:tcPr>
          <w:p w14:paraId="7E12991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13 de Septiembre de 2017</w:t>
            </w:r>
          </w:p>
        </w:tc>
      </w:tr>
      <w:tr w:rsidR="00B2442D" w14:paraId="74FE78C3"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24C39FB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3493" w:type="dxa"/>
            <w:tcBorders>
              <w:top w:val="single" w:sz="8" w:space="0" w:color="auto"/>
              <w:left w:val="nil"/>
              <w:bottom w:val="single" w:sz="8" w:space="0" w:color="auto"/>
              <w:right w:val="single" w:sz="8" w:space="0" w:color="auto"/>
            </w:tcBorders>
            <w:shd w:val="clear" w:color="auto" w:fill="auto"/>
            <w:noWrap/>
            <w:vAlign w:val="center"/>
          </w:tcPr>
          <w:p w14:paraId="7FD3A21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14 de Septiembre de 2017</w:t>
            </w:r>
          </w:p>
        </w:tc>
      </w:tr>
      <w:tr w:rsidR="00B2442D" w14:paraId="20FB93CA"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616BCF6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3493" w:type="dxa"/>
            <w:tcBorders>
              <w:top w:val="single" w:sz="8" w:space="0" w:color="auto"/>
              <w:left w:val="nil"/>
              <w:bottom w:val="single" w:sz="4" w:space="0" w:color="auto"/>
              <w:right w:val="single" w:sz="8" w:space="0" w:color="auto"/>
            </w:tcBorders>
            <w:shd w:val="clear" w:color="auto" w:fill="auto"/>
            <w:noWrap/>
            <w:vAlign w:val="center"/>
          </w:tcPr>
          <w:p w14:paraId="0000279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15 </w:t>
            </w:r>
            <w:r>
              <w:rPr>
                <w:rFonts w:ascii="Arial" w:hAnsi="Arial" w:cs="Arial"/>
                <w:color w:val="000000"/>
                <w:sz w:val="22"/>
                <w:szCs w:val="22"/>
                <w:lang w:val="es-CO" w:eastAsia="es-CO"/>
              </w:rPr>
              <w:t>de Septiembre de 2017</w:t>
            </w:r>
          </w:p>
        </w:tc>
      </w:tr>
      <w:tr w:rsidR="00B2442D" w14:paraId="6C128FF8"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6E616E3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3493" w:type="dxa"/>
            <w:tcBorders>
              <w:top w:val="single" w:sz="4" w:space="0" w:color="auto"/>
              <w:left w:val="nil"/>
              <w:bottom w:val="single" w:sz="8" w:space="0" w:color="auto"/>
              <w:right w:val="single" w:sz="8" w:space="0" w:color="auto"/>
            </w:tcBorders>
            <w:shd w:val="clear" w:color="auto" w:fill="auto"/>
            <w:noWrap/>
            <w:vAlign w:val="center"/>
          </w:tcPr>
          <w:p w14:paraId="2ACF418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Septiembre de 2017</w:t>
            </w:r>
          </w:p>
        </w:tc>
      </w:tr>
      <w:tr w:rsidR="00B2442D" w14:paraId="2A5A9DC2"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1F29FD7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3493" w:type="dxa"/>
            <w:tcBorders>
              <w:top w:val="single" w:sz="8" w:space="0" w:color="auto"/>
              <w:left w:val="nil"/>
              <w:bottom w:val="single" w:sz="8" w:space="0" w:color="auto"/>
              <w:right w:val="single" w:sz="8" w:space="0" w:color="auto"/>
            </w:tcBorders>
            <w:shd w:val="clear" w:color="auto" w:fill="auto"/>
            <w:noWrap/>
            <w:vAlign w:val="center"/>
          </w:tcPr>
          <w:p w14:paraId="28ED156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Septiembre de 2017</w:t>
            </w:r>
          </w:p>
        </w:tc>
      </w:tr>
      <w:tr w:rsidR="00B2442D" w14:paraId="36017FDE"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7162DBB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3493" w:type="dxa"/>
            <w:tcBorders>
              <w:top w:val="single" w:sz="8" w:space="0" w:color="auto"/>
              <w:left w:val="nil"/>
              <w:bottom w:val="single" w:sz="8" w:space="0" w:color="auto"/>
              <w:right w:val="single" w:sz="8" w:space="0" w:color="auto"/>
            </w:tcBorders>
            <w:shd w:val="clear" w:color="auto" w:fill="auto"/>
            <w:noWrap/>
            <w:vAlign w:val="center"/>
          </w:tcPr>
          <w:p w14:paraId="7892E25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20 de Septiembre de 2017</w:t>
            </w:r>
          </w:p>
        </w:tc>
      </w:tr>
      <w:tr w:rsidR="00B2442D" w14:paraId="05D79509"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14:paraId="729328E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3493" w:type="dxa"/>
            <w:tcBorders>
              <w:top w:val="single" w:sz="8" w:space="0" w:color="auto"/>
              <w:left w:val="nil"/>
              <w:bottom w:val="single" w:sz="4" w:space="0" w:color="auto"/>
              <w:right w:val="single" w:sz="8" w:space="0" w:color="auto"/>
            </w:tcBorders>
            <w:shd w:val="clear" w:color="auto" w:fill="auto"/>
            <w:noWrap/>
            <w:vAlign w:val="center"/>
          </w:tcPr>
          <w:p w14:paraId="1295548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21 de Septiembre de 2017</w:t>
            </w:r>
          </w:p>
        </w:tc>
      </w:tr>
    </w:tbl>
    <w:p w14:paraId="3A7D2847" w14:textId="77777777" w:rsidR="00B2442D" w:rsidRDefault="00B2442D">
      <w:pPr>
        <w:autoSpaceDE w:val="0"/>
        <w:autoSpaceDN w:val="0"/>
        <w:adjustRightInd w:val="0"/>
        <w:spacing w:line="40" w:lineRule="atLeast"/>
        <w:ind w:left="1080"/>
        <w:rPr>
          <w:rFonts w:ascii="Arial" w:hAnsi="Arial" w:cs="Arial"/>
        </w:rPr>
      </w:pPr>
    </w:p>
    <w:p w14:paraId="6E7EF37F" w14:textId="77777777" w:rsidR="00B2442D" w:rsidRDefault="008A645F">
      <w:pPr>
        <w:autoSpaceDE w:val="0"/>
        <w:autoSpaceDN w:val="0"/>
        <w:adjustRightInd w:val="0"/>
        <w:spacing w:line="40" w:lineRule="atLeast"/>
        <w:jc w:val="both"/>
        <w:rPr>
          <w:rFonts w:ascii="Arial" w:hAnsi="Arial" w:cs="Arial"/>
        </w:rPr>
      </w:pPr>
      <w:r>
        <w:rPr>
          <w:rFonts w:ascii="Arial" w:hAnsi="Arial" w:cs="Arial"/>
        </w:rPr>
        <w:t xml:space="preserve">c) Un último pago, que corresponderá al saldo por impuesto sobre las ventas efectivamente generado en el periodo gravable 2017 y que deberá pagarse al tiempo con la presentación de la declaración de IVA. </w:t>
      </w:r>
    </w:p>
    <w:p w14:paraId="175048D3" w14:textId="77777777" w:rsidR="00B2442D" w:rsidRDefault="00B2442D">
      <w:pPr>
        <w:autoSpaceDE w:val="0"/>
        <w:autoSpaceDN w:val="0"/>
        <w:adjustRightInd w:val="0"/>
        <w:spacing w:line="40" w:lineRule="atLeast"/>
        <w:ind w:left="1080"/>
        <w:rPr>
          <w:rFonts w:ascii="Arial" w:hAnsi="Arial" w:cs="Arial"/>
        </w:rPr>
      </w:pPr>
    </w:p>
    <w:p w14:paraId="7E067986" w14:textId="77777777" w:rsidR="00B2442D" w:rsidRDefault="008A645F">
      <w:pPr>
        <w:autoSpaceDE w:val="0"/>
        <w:autoSpaceDN w:val="0"/>
        <w:adjustRightInd w:val="0"/>
        <w:spacing w:line="40" w:lineRule="atLeast"/>
        <w:jc w:val="both"/>
        <w:rPr>
          <w:rFonts w:ascii="Arial" w:hAnsi="Arial" w:cs="Arial"/>
        </w:rPr>
      </w:pPr>
      <w:r>
        <w:rPr>
          <w:rFonts w:ascii="Arial" w:hAnsi="Arial" w:cs="Arial"/>
        </w:rPr>
        <w:t xml:space="preserve">Los vencimientos, de acuerdo con el último dígito </w:t>
      </w:r>
      <w:r>
        <w:rPr>
          <w:rFonts w:ascii="Arial" w:hAnsi="Arial" w:cs="Arial"/>
        </w:rPr>
        <w:t>del NIT del responsable, que conste en el certificado del Registro Único Tributario - RUT, sin tener en cuenta el dígito de verificación, serán los siguientes:</w:t>
      </w:r>
    </w:p>
    <w:p w14:paraId="597116B2" w14:textId="77777777" w:rsidR="00B2442D" w:rsidRDefault="00B2442D">
      <w:pPr>
        <w:autoSpaceDE w:val="0"/>
        <w:autoSpaceDN w:val="0"/>
        <w:adjustRightInd w:val="0"/>
        <w:spacing w:line="40" w:lineRule="atLeast"/>
        <w:jc w:val="both"/>
        <w:rPr>
          <w:rFonts w:ascii="Arial" w:hAnsi="Arial" w:cs="Arial"/>
        </w:rPr>
      </w:pPr>
    </w:p>
    <w:p w14:paraId="62807ECF" w14:textId="77777777" w:rsidR="00B2442D" w:rsidRDefault="008A645F">
      <w:pPr>
        <w:autoSpaceDE w:val="0"/>
        <w:autoSpaceDN w:val="0"/>
        <w:adjustRightInd w:val="0"/>
        <w:spacing w:line="40" w:lineRule="atLeast"/>
        <w:ind w:left="1080"/>
        <w:jc w:val="center"/>
        <w:rPr>
          <w:rFonts w:ascii="Arial" w:hAnsi="Arial" w:cs="Arial"/>
          <w:b/>
        </w:rPr>
      </w:pPr>
      <w:r>
        <w:rPr>
          <w:rFonts w:ascii="Arial" w:hAnsi="Arial" w:cs="Arial"/>
          <w:b/>
        </w:rPr>
        <w:t>PLAZO PARA DECLARAR Y PAGAR LA ÚLTIMA CUOTA</w:t>
      </w:r>
    </w:p>
    <w:p w14:paraId="768DA45C" w14:textId="77777777" w:rsidR="00B2442D" w:rsidRDefault="00B2442D">
      <w:pPr>
        <w:autoSpaceDE w:val="0"/>
        <w:autoSpaceDN w:val="0"/>
        <w:adjustRightInd w:val="0"/>
        <w:spacing w:line="40" w:lineRule="atLeast"/>
        <w:ind w:left="720"/>
        <w:rPr>
          <w:rFonts w:ascii="Arial" w:hAnsi="Arial" w:cs="Arial"/>
          <w:b/>
          <w:color w:val="000000"/>
        </w:rPr>
      </w:pPr>
    </w:p>
    <w:tbl>
      <w:tblPr>
        <w:tblW w:w="3880" w:type="dxa"/>
        <w:jc w:val="center"/>
        <w:tblCellMar>
          <w:left w:w="70" w:type="dxa"/>
          <w:right w:w="70" w:type="dxa"/>
        </w:tblCellMar>
        <w:tblLook w:val="04A0" w:firstRow="1" w:lastRow="0" w:firstColumn="1" w:lastColumn="0" w:noHBand="0" w:noVBand="1"/>
      </w:tblPr>
      <w:tblGrid>
        <w:gridCol w:w="1200"/>
        <w:gridCol w:w="2680"/>
      </w:tblGrid>
      <w:tr w:rsidR="00B2442D" w14:paraId="317352D8" w14:textId="77777777">
        <w:trPr>
          <w:trHeight w:val="675"/>
          <w:tblHeader/>
          <w:jc w:val="center"/>
        </w:trPr>
        <w:tc>
          <w:tcPr>
            <w:tcW w:w="12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32E76378"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digito es</w:t>
            </w:r>
          </w:p>
        </w:tc>
        <w:tc>
          <w:tcPr>
            <w:tcW w:w="2680" w:type="dxa"/>
            <w:tcBorders>
              <w:top w:val="single" w:sz="8" w:space="0" w:color="auto"/>
              <w:left w:val="nil"/>
              <w:bottom w:val="single" w:sz="8" w:space="0" w:color="auto"/>
              <w:right w:val="single" w:sz="8" w:space="0" w:color="auto"/>
            </w:tcBorders>
            <w:shd w:val="clear" w:color="000000" w:fill="A6A6A6"/>
            <w:noWrap/>
            <w:vAlign w:val="center"/>
            <w:hideMark/>
          </w:tcPr>
          <w:p w14:paraId="71DFCAC8"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3ED85C3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03DE96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2680" w:type="dxa"/>
            <w:tcBorders>
              <w:top w:val="nil"/>
              <w:left w:val="nil"/>
              <w:bottom w:val="single" w:sz="8" w:space="0" w:color="auto"/>
              <w:right w:val="single" w:sz="8" w:space="0" w:color="auto"/>
            </w:tcBorders>
            <w:shd w:val="clear" w:color="auto" w:fill="auto"/>
            <w:noWrap/>
            <w:vAlign w:val="center"/>
          </w:tcPr>
          <w:p w14:paraId="52310D4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11 de </w:t>
            </w:r>
            <w:r>
              <w:rPr>
                <w:rFonts w:ascii="Arial" w:hAnsi="Arial" w:cs="Arial"/>
                <w:color w:val="000000"/>
                <w:sz w:val="22"/>
                <w:szCs w:val="22"/>
                <w:lang w:val="es-CO" w:eastAsia="es-CO"/>
              </w:rPr>
              <w:t>enero de 2018</w:t>
            </w:r>
          </w:p>
        </w:tc>
      </w:tr>
      <w:tr w:rsidR="00B2442D" w14:paraId="4C89573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D55FBD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2680" w:type="dxa"/>
            <w:tcBorders>
              <w:top w:val="nil"/>
              <w:left w:val="nil"/>
              <w:bottom w:val="single" w:sz="8" w:space="0" w:color="auto"/>
              <w:right w:val="single" w:sz="8" w:space="0" w:color="auto"/>
            </w:tcBorders>
            <w:shd w:val="clear" w:color="auto" w:fill="auto"/>
            <w:noWrap/>
            <w:vAlign w:val="center"/>
          </w:tcPr>
          <w:p w14:paraId="36AAABB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enero de 2018</w:t>
            </w:r>
          </w:p>
        </w:tc>
      </w:tr>
      <w:tr w:rsidR="00B2442D" w14:paraId="5CF9DB3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BE33EA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2680" w:type="dxa"/>
            <w:tcBorders>
              <w:top w:val="nil"/>
              <w:left w:val="nil"/>
              <w:bottom w:val="single" w:sz="4" w:space="0" w:color="auto"/>
              <w:right w:val="single" w:sz="8" w:space="0" w:color="auto"/>
            </w:tcBorders>
            <w:shd w:val="clear" w:color="auto" w:fill="auto"/>
            <w:noWrap/>
            <w:vAlign w:val="center"/>
          </w:tcPr>
          <w:p w14:paraId="67E87C6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enero de 2018</w:t>
            </w:r>
          </w:p>
        </w:tc>
      </w:tr>
      <w:tr w:rsidR="00B2442D" w14:paraId="580DA082"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85C2F6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2680" w:type="dxa"/>
            <w:tcBorders>
              <w:top w:val="single" w:sz="4" w:space="0" w:color="auto"/>
              <w:left w:val="nil"/>
              <w:bottom w:val="single" w:sz="8" w:space="0" w:color="auto"/>
              <w:right w:val="single" w:sz="4" w:space="0" w:color="auto"/>
            </w:tcBorders>
            <w:shd w:val="clear" w:color="auto" w:fill="auto"/>
            <w:noWrap/>
            <w:vAlign w:val="center"/>
          </w:tcPr>
          <w:p w14:paraId="0393CC3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enero de 2018</w:t>
            </w:r>
          </w:p>
        </w:tc>
      </w:tr>
      <w:tr w:rsidR="00B2442D" w14:paraId="60F6601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DD38F3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2680" w:type="dxa"/>
            <w:tcBorders>
              <w:top w:val="single" w:sz="8" w:space="0" w:color="auto"/>
              <w:left w:val="nil"/>
              <w:bottom w:val="single" w:sz="8" w:space="0" w:color="auto"/>
              <w:right w:val="single" w:sz="4" w:space="0" w:color="auto"/>
            </w:tcBorders>
            <w:shd w:val="clear" w:color="auto" w:fill="auto"/>
            <w:noWrap/>
            <w:vAlign w:val="center"/>
          </w:tcPr>
          <w:p w14:paraId="582A11B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enero de 2018</w:t>
            </w:r>
          </w:p>
        </w:tc>
      </w:tr>
      <w:tr w:rsidR="00B2442D" w14:paraId="5A0F081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6D023B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2680" w:type="dxa"/>
            <w:tcBorders>
              <w:top w:val="single" w:sz="8" w:space="0" w:color="auto"/>
              <w:left w:val="nil"/>
              <w:bottom w:val="single" w:sz="8" w:space="0" w:color="auto"/>
              <w:right w:val="single" w:sz="4" w:space="0" w:color="auto"/>
            </w:tcBorders>
            <w:shd w:val="clear" w:color="auto" w:fill="auto"/>
            <w:noWrap/>
            <w:vAlign w:val="center"/>
          </w:tcPr>
          <w:p w14:paraId="59F6545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enero de 2018</w:t>
            </w:r>
          </w:p>
        </w:tc>
      </w:tr>
      <w:tr w:rsidR="00B2442D" w14:paraId="135C039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DB63CD1"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2680" w:type="dxa"/>
            <w:tcBorders>
              <w:top w:val="single" w:sz="8" w:space="0" w:color="auto"/>
              <w:left w:val="nil"/>
              <w:bottom w:val="single" w:sz="8" w:space="0" w:color="auto"/>
              <w:right w:val="single" w:sz="4" w:space="0" w:color="auto"/>
            </w:tcBorders>
            <w:shd w:val="clear" w:color="auto" w:fill="auto"/>
            <w:noWrap/>
            <w:vAlign w:val="center"/>
          </w:tcPr>
          <w:p w14:paraId="2347C4F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enero de 2018</w:t>
            </w:r>
          </w:p>
        </w:tc>
      </w:tr>
      <w:tr w:rsidR="00B2442D" w14:paraId="0F4B0D8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C0157E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2680" w:type="dxa"/>
            <w:tcBorders>
              <w:top w:val="single" w:sz="8" w:space="0" w:color="auto"/>
              <w:left w:val="nil"/>
              <w:bottom w:val="single" w:sz="8" w:space="0" w:color="auto"/>
              <w:right w:val="single" w:sz="4" w:space="0" w:color="auto"/>
            </w:tcBorders>
            <w:shd w:val="clear" w:color="auto" w:fill="auto"/>
            <w:noWrap/>
            <w:vAlign w:val="center"/>
          </w:tcPr>
          <w:p w14:paraId="6A95C8F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22 de enero de 2018</w:t>
            </w:r>
          </w:p>
        </w:tc>
      </w:tr>
      <w:tr w:rsidR="00B2442D" w14:paraId="6EC9029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D5312E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2680" w:type="dxa"/>
            <w:tcBorders>
              <w:top w:val="single" w:sz="8" w:space="0" w:color="auto"/>
              <w:left w:val="nil"/>
              <w:bottom w:val="single" w:sz="8" w:space="0" w:color="auto"/>
              <w:right w:val="single" w:sz="4" w:space="0" w:color="auto"/>
            </w:tcBorders>
            <w:shd w:val="clear" w:color="auto" w:fill="auto"/>
            <w:noWrap/>
            <w:vAlign w:val="center"/>
          </w:tcPr>
          <w:p w14:paraId="070891A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23 de enero de 2018</w:t>
            </w:r>
          </w:p>
        </w:tc>
      </w:tr>
      <w:tr w:rsidR="00B2442D" w14:paraId="0BBC1BF0"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0765BC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2680" w:type="dxa"/>
            <w:tcBorders>
              <w:top w:val="single" w:sz="8" w:space="0" w:color="auto"/>
              <w:left w:val="nil"/>
              <w:bottom w:val="single" w:sz="4" w:space="0" w:color="auto"/>
              <w:right w:val="single" w:sz="4" w:space="0" w:color="auto"/>
            </w:tcBorders>
            <w:shd w:val="clear" w:color="auto" w:fill="auto"/>
            <w:noWrap/>
            <w:vAlign w:val="center"/>
          </w:tcPr>
          <w:p w14:paraId="47AB252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24 de enero de 2018</w:t>
            </w:r>
          </w:p>
        </w:tc>
      </w:tr>
    </w:tbl>
    <w:p w14:paraId="4A887B76" w14:textId="77777777" w:rsidR="00B2442D" w:rsidRDefault="00B2442D">
      <w:pPr>
        <w:spacing w:line="40" w:lineRule="atLeast"/>
        <w:ind w:left="720"/>
        <w:rPr>
          <w:rFonts w:ascii="Arial" w:hAnsi="Arial" w:cs="Arial"/>
          <w:b/>
        </w:rPr>
      </w:pPr>
    </w:p>
    <w:p w14:paraId="70F53D53" w14:textId="77777777" w:rsidR="00B2442D" w:rsidRDefault="008A645F">
      <w:pPr>
        <w:spacing w:line="40" w:lineRule="atLeast"/>
        <w:jc w:val="both"/>
        <w:rPr>
          <w:rFonts w:ascii="Arial" w:hAnsi="Arial" w:cs="Arial"/>
        </w:rPr>
      </w:pPr>
      <w:r>
        <w:rPr>
          <w:rFonts w:ascii="Arial" w:hAnsi="Arial" w:cs="Arial"/>
          <w:b/>
        </w:rPr>
        <w:t>Parágrafo 1.</w:t>
      </w:r>
      <w:r>
        <w:rPr>
          <w:rFonts w:ascii="Arial" w:hAnsi="Arial" w:cs="Arial"/>
        </w:rPr>
        <w:t xml:space="preserve"> Cuando el contribuyente no haya realizado operaciones gravadas con el impuesto sobre las ventas, en el cuatrimestre anterior a la fecha de pago del anticipo correspondiente no deberá pagar el impuesto mediante anticipo a que hacen referencia los literales</w:t>
      </w:r>
      <w:r>
        <w:rPr>
          <w:rFonts w:ascii="Arial" w:hAnsi="Arial" w:cs="Arial"/>
        </w:rPr>
        <w:t xml:space="preserve"> a) y b) del presente artículo.</w:t>
      </w:r>
    </w:p>
    <w:p w14:paraId="0B3E82BB" w14:textId="77777777" w:rsidR="00B2442D" w:rsidRDefault="008A645F">
      <w:pPr>
        <w:tabs>
          <w:tab w:val="left" w:pos="1843"/>
        </w:tabs>
        <w:spacing w:line="40" w:lineRule="atLeast"/>
        <w:jc w:val="both"/>
        <w:rPr>
          <w:rFonts w:ascii="Arial" w:hAnsi="Arial" w:cs="Arial"/>
          <w:b/>
          <w:color w:val="000000"/>
          <w:lang w:val="es-CO" w:eastAsia="es-CO"/>
        </w:rPr>
      </w:pPr>
      <w:r>
        <w:rPr>
          <w:rFonts w:ascii="Arial" w:hAnsi="Arial" w:cs="Arial"/>
        </w:rPr>
        <w:tab/>
      </w:r>
    </w:p>
    <w:p w14:paraId="7829F0DC" w14:textId="77777777" w:rsidR="00B2442D" w:rsidRDefault="008A645F">
      <w:pPr>
        <w:tabs>
          <w:tab w:val="left" w:pos="-720"/>
        </w:tabs>
        <w:suppressAutoHyphens/>
        <w:spacing w:line="40" w:lineRule="atLeast"/>
        <w:jc w:val="both"/>
        <w:rPr>
          <w:rFonts w:ascii="Arial" w:hAnsi="Arial" w:cs="Arial"/>
          <w:color w:val="000000"/>
          <w:lang w:val="es-CO" w:eastAsia="es-CO"/>
        </w:rPr>
      </w:pPr>
      <w:r>
        <w:rPr>
          <w:rFonts w:ascii="Arial" w:hAnsi="Arial" w:cs="Arial"/>
          <w:b/>
          <w:color w:val="000000"/>
          <w:lang w:val="es-CO" w:eastAsia="es-CO"/>
        </w:rPr>
        <w:t>Parágrafo 2.</w:t>
      </w:r>
      <w:r>
        <w:rPr>
          <w:rFonts w:ascii="Arial" w:hAnsi="Arial" w:cs="Arial"/>
          <w:color w:val="000000"/>
          <w:lang w:val="es-CO" w:eastAsia="es-CO"/>
        </w:rPr>
        <w:t xml:space="preserve"> Los responsables por la prestación del servicio telefónico deberán presentar la declaración del impuesto sobre las ventas y cancelar el valor a pagar por cada uno de los bimestres del año 2017, de acuerdo con </w:t>
      </w:r>
      <w:r>
        <w:rPr>
          <w:rFonts w:ascii="Arial" w:hAnsi="Arial" w:cs="Arial"/>
          <w:color w:val="000000"/>
          <w:lang w:val="es-CO" w:eastAsia="es-CO"/>
        </w:rPr>
        <w:t xml:space="preserve">los plazos establecidos en el artículo </w:t>
      </w:r>
      <w:r>
        <w:rPr>
          <w:rFonts w:ascii="Arial" w:hAnsi="Arial" w:cs="Arial"/>
          <w:color w:val="000000"/>
        </w:rPr>
        <w:t>1.6.1.13.2.</w:t>
      </w:r>
      <w:r>
        <w:rPr>
          <w:rFonts w:ascii="Arial" w:hAnsi="Arial" w:cs="Arial"/>
          <w:color w:val="000000"/>
          <w:lang w:val="es-CO" w:eastAsia="es-CO"/>
        </w:rPr>
        <w:t>28 del presente Decreto.</w:t>
      </w:r>
    </w:p>
    <w:p w14:paraId="7C0A1936" w14:textId="77777777" w:rsidR="00B2442D" w:rsidRDefault="00B2442D">
      <w:pPr>
        <w:tabs>
          <w:tab w:val="left" w:pos="-720"/>
        </w:tabs>
        <w:suppressAutoHyphens/>
        <w:spacing w:line="40" w:lineRule="atLeast"/>
        <w:jc w:val="both"/>
        <w:rPr>
          <w:rFonts w:ascii="Arial" w:hAnsi="Arial" w:cs="Arial"/>
          <w:color w:val="000000"/>
          <w:lang w:val="es-CO" w:eastAsia="es-CO"/>
        </w:rPr>
      </w:pPr>
    </w:p>
    <w:p w14:paraId="2A761F09" w14:textId="77777777" w:rsidR="00B2442D" w:rsidRDefault="008A645F">
      <w:pPr>
        <w:spacing w:line="40" w:lineRule="atLeast"/>
        <w:jc w:val="both"/>
        <w:rPr>
          <w:rFonts w:ascii="Arial" w:hAnsi="Arial" w:cs="Arial"/>
          <w:bCs/>
        </w:rPr>
      </w:pPr>
      <w:r>
        <w:rPr>
          <w:rFonts w:ascii="Arial" w:hAnsi="Arial" w:cs="Arial"/>
          <w:b/>
          <w:bCs/>
        </w:rPr>
        <w:t>Parágrafo 3.</w:t>
      </w:r>
      <w:r>
        <w:rPr>
          <w:rFonts w:ascii="Arial" w:hAnsi="Arial" w:cs="Arial"/>
          <w:bCs/>
        </w:rPr>
        <w:t xml:space="preserve"> No están obligados a presentar la declaración del impuesto sobre las ventas los responsables del régimen</w:t>
      </w:r>
      <w:r>
        <w:rPr>
          <w:rFonts w:ascii="Arial" w:hAnsi="Arial" w:cs="Arial"/>
          <w:b/>
          <w:bCs/>
          <w:color w:val="FF0000"/>
        </w:rPr>
        <w:t xml:space="preserve"> </w:t>
      </w:r>
      <w:r>
        <w:rPr>
          <w:rFonts w:ascii="Arial" w:hAnsi="Arial" w:cs="Arial"/>
          <w:bCs/>
        </w:rPr>
        <w:t>común en los períodos en los cuales no hayan efectuado operaci</w:t>
      </w:r>
      <w:r>
        <w:rPr>
          <w:rFonts w:ascii="Arial" w:hAnsi="Arial" w:cs="Arial"/>
          <w:bCs/>
        </w:rPr>
        <w:t>ones sometidas al impuesto ni operaciones que den lugar a impuestos descontables, ajustes o deducciones en los términos de lo dispuesto en los artículos 484 y 486 del Estatuto Tributario.</w:t>
      </w:r>
    </w:p>
    <w:p w14:paraId="10915DD6" w14:textId="77777777" w:rsidR="00B2442D" w:rsidRDefault="00B2442D">
      <w:pPr>
        <w:spacing w:line="40" w:lineRule="atLeast"/>
        <w:jc w:val="both"/>
        <w:rPr>
          <w:rFonts w:ascii="Arial" w:hAnsi="Arial" w:cs="Arial"/>
          <w:bCs/>
        </w:rPr>
      </w:pPr>
    </w:p>
    <w:p w14:paraId="33C98BBF" w14:textId="77777777" w:rsidR="00B2442D" w:rsidRDefault="008A645F">
      <w:pPr>
        <w:autoSpaceDE w:val="0"/>
        <w:autoSpaceDN w:val="0"/>
        <w:adjustRightInd w:val="0"/>
        <w:spacing w:line="40" w:lineRule="atLeast"/>
        <w:jc w:val="both"/>
        <w:rPr>
          <w:rFonts w:ascii="Arial" w:hAnsi="Arial" w:cs="Arial"/>
        </w:rPr>
      </w:pPr>
      <w:r>
        <w:rPr>
          <w:rFonts w:ascii="Arial" w:hAnsi="Arial" w:cs="Arial"/>
          <w:b/>
        </w:rPr>
        <w:t>Parágrafo 4.</w:t>
      </w:r>
      <w:r>
        <w:rPr>
          <w:rFonts w:ascii="Arial" w:hAnsi="Arial" w:cs="Arial"/>
        </w:rPr>
        <w:t xml:space="preserve"> En el caso de liquidación o terminación de actividades durante el ejercicio, el período gravable se contará desde su iniciación hasta las fechas señaladas en el artículo 595 del Estatuto Tributario.</w:t>
      </w:r>
    </w:p>
    <w:p w14:paraId="5602F048" w14:textId="77777777" w:rsidR="00B2442D" w:rsidRDefault="00B2442D">
      <w:pPr>
        <w:autoSpaceDE w:val="0"/>
        <w:autoSpaceDN w:val="0"/>
        <w:adjustRightInd w:val="0"/>
        <w:spacing w:line="40" w:lineRule="atLeast"/>
        <w:jc w:val="both"/>
        <w:rPr>
          <w:rFonts w:ascii="Arial" w:hAnsi="Arial" w:cs="Arial"/>
        </w:rPr>
      </w:pPr>
    </w:p>
    <w:p w14:paraId="49C8E873" w14:textId="77777777" w:rsidR="00B2442D" w:rsidRDefault="008A645F">
      <w:pPr>
        <w:autoSpaceDE w:val="0"/>
        <w:autoSpaceDN w:val="0"/>
        <w:adjustRightInd w:val="0"/>
        <w:spacing w:line="40" w:lineRule="atLeast"/>
        <w:jc w:val="both"/>
        <w:rPr>
          <w:rFonts w:ascii="Arial" w:hAnsi="Arial" w:cs="Arial"/>
        </w:rPr>
      </w:pPr>
      <w:r>
        <w:rPr>
          <w:rFonts w:ascii="Arial" w:hAnsi="Arial" w:cs="Arial"/>
        </w:rPr>
        <w:t xml:space="preserve">Cuando se inicien actividades durante el ejercicio, el </w:t>
      </w:r>
      <w:r>
        <w:rPr>
          <w:rFonts w:ascii="Arial" w:hAnsi="Arial" w:cs="Arial"/>
        </w:rPr>
        <w:t>periodo gravable será el comprendido entre la fecha de iniciación de actividades y la fecha de finalización del respectivo periodo.</w:t>
      </w:r>
    </w:p>
    <w:p w14:paraId="3B8A6C01" w14:textId="77777777" w:rsidR="00B2442D" w:rsidRDefault="00B2442D">
      <w:pPr>
        <w:pStyle w:val="Default"/>
        <w:spacing w:line="40" w:lineRule="atLeast"/>
        <w:ind w:firstLine="720"/>
      </w:pPr>
    </w:p>
    <w:p w14:paraId="485E2F3D" w14:textId="77777777" w:rsidR="00B2442D" w:rsidRDefault="008A645F">
      <w:pPr>
        <w:pStyle w:val="CM10"/>
        <w:spacing w:line="40" w:lineRule="atLeast"/>
        <w:jc w:val="both"/>
      </w:pPr>
      <w:r>
        <w:t>En el evento en que el responsable cambie de periodo gravable del impuesto sobre las ventas, conforme con lo establecido en</w:t>
      </w:r>
      <w:r>
        <w:t xml:space="preserve"> el artículo 600 del Estatuto Tributario, el responsable deberá señalar en la casilla 24 de la primera declaración de IVA del correspondiente año, el nuevo periodo gravable, el cual operará a partir de la fecha de presentación de dicha declaración. </w:t>
      </w:r>
    </w:p>
    <w:p w14:paraId="60471EEF" w14:textId="77777777" w:rsidR="00B2442D" w:rsidRDefault="00B2442D">
      <w:pPr>
        <w:pStyle w:val="Default"/>
        <w:ind w:firstLine="720"/>
      </w:pPr>
    </w:p>
    <w:p w14:paraId="237AA69F" w14:textId="77777777" w:rsidR="00B2442D" w:rsidRDefault="008A645F">
      <w:pPr>
        <w:autoSpaceDE w:val="0"/>
        <w:autoSpaceDN w:val="0"/>
        <w:adjustRightInd w:val="0"/>
        <w:spacing w:line="40" w:lineRule="atLeast"/>
        <w:jc w:val="both"/>
        <w:rPr>
          <w:rFonts w:ascii="Arial" w:hAnsi="Arial" w:cs="Arial"/>
        </w:rPr>
      </w:pPr>
      <w:r>
        <w:rPr>
          <w:rFonts w:ascii="Arial" w:hAnsi="Arial" w:cs="Arial"/>
        </w:rPr>
        <w:t>El ca</w:t>
      </w:r>
      <w:r>
        <w:rPr>
          <w:rFonts w:ascii="Arial" w:hAnsi="Arial" w:cs="Arial"/>
        </w:rPr>
        <w:t>mbio de periodo gravable, deberá estar debidamente soportado con la certificación de contador público o revisor fiscal en la que conste el aumento o disminución de los ingresos del año gravable anterior, la cual deberá ponerse a disposición de la autoridad</w:t>
      </w:r>
      <w:r>
        <w:rPr>
          <w:rFonts w:ascii="Arial" w:hAnsi="Arial" w:cs="Arial"/>
        </w:rPr>
        <w:t xml:space="preserve"> tributaria en el momento en que así lo requiera.</w:t>
      </w:r>
    </w:p>
    <w:p w14:paraId="3356D58A" w14:textId="77777777" w:rsidR="00B2442D" w:rsidRDefault="00B2442D">
      <w:pPr>
        <w:autoSpaceDE w:val="0"/>
        <w:autoSpaceDN w:val="0"/>
        <w:adjustRightInd w:val="0"/>
        <w:spacing w:line="40" w:lineRule="atLeast"/>
        <w:ind w:left="720"/>
        <w:jc w:val="both"/>
        <w:rPr>
          <w:rFonts w:ascii="Arial" w:hAnsi="Arial" w:cs="Arial"/>
        </w:rPr>
      </w:pPr>
    </w:p>
    <w:p w14:paraId="254AD651"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68" w:history="1">
        <w:r>
          <w:rPr>
            <w:rStyle w:val="Hipervnculo"/>
            <w:rFonts w:ascii="Arial" w:hAnsi="Arial" w:cs="Arial"/>
            <w:i/>
          </w:rPr>
          <w:t>Art. 25 Decreto 2105 de 2016</w:t>
        </w:r>
      </w:hyperlink>
      <w:r>
        <w:rPr>
          <w:rFonts w:ascii="Arial" w:hAnsi="Arial" w:cs="Arial"/>
          <w:i/>
        </w:rPr>
        <w:t xml:space="preserve">, plazos 2016: Decreto 2243 de 2015; </w:t>
      </w:r>
      <w:r>
        <w:rPr>
          <w:rFonts w:ascii="Arial" w:hAnsi="Arial" w:cs="Arial"/>
          <w:i/>
          <w:iCs/>
          <w:color w:val="000000"/>
          <w:lang w:val="es-CO" w:eastAsia="es-CO"/>
        </w:rPr>
        <w:t>plazos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w:t>
      </w:r>
      <w:r>
        <w:rPr>
          <w:rFonts w:ascii="Arial" w:hAnsi="Arial" w:cs="Arial"/>
          <w:i/>
          <w:iCs/>
          <w:color w:val="000000"/>
          <w:lang w:val="es-CO" w:eastAsia="es-CO"/>
        </w:rPr>
        <w:t>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430CAA55" w14:textId="77777777" w:rsidR="00B2442D" w:rsidRDefault="00B2442D">
      <w:pPr>
        <w:jc w:val="both"/>
        <w:rPr>
          <w:rFonts w:ascii="Arial" w:hAnsi="Arial" w:cs="Arial"/>
          <w:i/>
        </w:rPr>
      </w:pPr>
    </w:p>
    <w:p w14:paraId="57EF4E9A" w14:textId="77777777" w:rsidR="00B2442D" w:rsidRDefault="008A645F">
      <w:pPr>
        <w:pStyle w:val="Textoindependiente"/>
        <w:spacing w:line="40" w:lineRule="atLeast"/>
        <w:ind w:right="-30"/>
        <w:jc w:val="center"/>
        <w:rPr>
          <w:rFonts w:cs="Arial"/>
          <w:b/>
          <w:w w:val="98"/>
          <w:lang w:val="es-CO"/>
        </w:rPr>
      </w:pPr>
      <w:r>
        <w:rPr>
          <w:rFonts w:cs="Arial"/>
          <w:b/>
          <w:lang w:val="es-CO"/>
        </w:rPr>
        <w:t>PLAZO</w:t>
      </w:r>
      <w:r>
        <w:rPr>
          <w:rFonts w:cs="Arial"/>
          <w:b/>
          <w:spacing w:val="-1"/>
          <w:lang w:val="es-CO"/>
        </w:rPr>
        <w:t xml:space="preserve"> </w:t>
      </w:r>
      <w:r>
        <w:rPr>
          <w:rFonts w:cs="Arial"/>
          <w:b/>
          <w:lang w:val="es-CO"/>
        </w:rPr>
        <w:t>PARA</w:t>
      </w:r>
      <w:r>
        <w:rPr>
          <w:rFonts w:cs="Arial"/>
          <w:b/>
          <w:spacing w:val="10"/>
          <w:lang w:val="es-CO"/>
        </w:rPr>
        <w:t xml:space="preserve"> </w:t>
      </w:r>
      <w:r>
        <w:rPr>
          <w:rFonts w:cs="Arial"/>
          <w:b/>
          <w:lang w:val="es-CO"/>
        </w:rPr>
        <w:t>DECLARAR</w:t>
      </w:r>
      <w:r>
        <w:rPr>
          <w:rFonts w:cs="Arial"/>
          <w:b/>
          <w:spacing w:val="10"/>
          <w:lang w:val="es-CO"/>
        </w:rPr>
        <w:t xml:space="preserve"> </w:t>
      </w:r>
      <w:r>
        <w:rPr>
          <w:rFonts w:cs="Arial"/>
          <w:b/>
          <w:lang w:val="es-CO"/>
        </w:rPr>
        <w:t>Y</w:t>
      </w:r>
      <w:r>
        <w:rPr>
          <w:rFonts w:cs="Arial"/>
          <w:b/>
          <w:spacing w:val="18"/>
          <w:lang w:val="es-CO"/>
        </w:rPr>
        <w:t xml:space="preserve"> </w:t>
      </w:r>
      <w:r>
        <w:rPr>
          <w:rFonts w:cs="Arial"/>
          <w:b/>
          <w:lang w:val="es-CO"/>
        </w:rPr>
        <w:t>PAGAR</w:t>
      </w:r>
      <w:r>
        <w:rPr>
          <w:rFonts w:cs="Arial"/>
          <w:b/>
          <w:spacing w:val="11"/>
          <w:lang w:val="es-CO"/>
        </w:rPr>
        <w:t xml:space="preserve"> </w:t>
      </w:r>
      <w:r>
        <w:rPr>
          <w:rFonts w:cs="Arial"/>
          <w:b/>
          <w:lang w:val="es-CO"/>
        </w:rPr>
        <w:t>EL</w:t>
      </w:r>
      <w:r>
        <w:rPr>
          <w:rFonts w:cs="Arial"/>
          <w:b/>
          <w:spacing w:val="-1"/>
          <w:lang w:val="es-CO"/>
        </w:rPr>
        <w:t xml:space="preserve"> </w:t>
      </w:r>
      <w:r>
        <w:rPr>
          <w:rFonts w:cs="Arial"/>
          <w:b/>
          <w:lang w:val="es-CO"/>
        </w:rPr>
        <w:t>IMPUESTO</w:t>
      </w:r>
      <w:r>
        <w:rPr>
          <w:rFonts w:cs="Arial"/>
          <w:b/>
          <w:spacing w:val="7"/>
          <w:lang w:val="es-CO"/>
        </w:rPr>
        <w:t xml:space="preserve"> </w:t>
      </w:r>
      <w:r>
        <w:rPr>
          <w:rFonts w:cs="Arial"/>
          <w:b/>
          <w:lang w:val="es-CO"/>
        </w:rPr>
        <w:t>NACIONAL</w:t>
      </w:r>
      <w:r>
        <w:rPr>
          <w:rFonts w:cs="Arial"/>
          <w:b/>
          <w:spacing w:val="6"/>
          <w:lang w:val="es-CO"/>
        </w:rPr>
        <w:t xml:space="preserve"> </w:t>
      </w:r>
      <w:r>
        <w:rPr>
          <w:rFonts w:cs="Arial"/>
          <w:b/>
          <w:lang w:val="es-CO"/>
        </w:rPr>
        <w:t>AL</w:t>
      </w:r>
      <w:r>
        <w:rPr>
          <w:rFonts w:cs="Arial"/>
          <w:b/>
          <w:spacing w:val="13"/>
          <w:lang w:val="es-CO"/>
        </w:rPr>
        <w:t xml:space="preserve"> </w:t>
      </w:r>
      <w:r>
        <w:rPr>
          <w:rFonts w:cs="Arial"/>
          <w:b/>
          <w:lang w:val="es-CO"/>
        </w:rPr>
        <w:t>CONSUMO</w:t>
      </w:r>
    </w:p>
    <w:p w14:paraId="12A74DFA" w14:textId="77777777" w:rsidR="00B2442D" w:rsidRDefault="00B2442D">
      <w:pPr>
        <w:pStyle w:val="Textoindependiente"/>
        <w:spacing w:line="40" w:lineRule="atLeast"/>
        <w:ind w:right="-30"/>
        <w:jc w:val="both"/>
        <w:rPr>
          <w:rFonts w:cs="Arial"/>
          <w:w w:val="98"/>
          <w:highlight w:val="yellow"/>
          <w:lang w:val="es-CO"/>
        </w:rPr>
      </w:pPr>
    </w:p>
    <w:p w14:paraId="3767361B"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w:t>
      </w:r>
      <w:r>
        <w:rPr>
          <w:rFonts w:cs="Arial"/>
          <w:b/>
          <w:i/>
          <w:spacing w:val="29"/>
          <w:lang w:val="es-CO"/>
        </w:rPr>
        <w:t xml:space="preserve"> </w:t>
      </w:r>
      <w:r>
        <w:rPr>
          <w:rFonts w:cs="Arial"/>
          <w:b/>
          <w:i/>
          <w:lang w:val="es-CO"/>
        </w:rPr>
        <w:t>y</w:t>
      </w:r>
      <w:r>
        <w:rPr>
          <w:rFonts w:cs="Arial"/>
          <w:b/>
          <w:i/>
          <w:spacing w:val="40"/>
          <w:lang w:val="es-CO"/>
        </w:rPr>
        <w:t xml:space="preserve"> </w:t>
      </w:r>
      <w:r>
        <w:rPr>
          <w:rFonts w:cs="Arial"/>
          <w:b/>
          <w:i/>
          <w:lang w:val="es-CO"/>
        </w:rPr>
        <w:t>pago</w:t>
      </w:r>
      <w:r>
        <w:rPr>
          <w:rFonts w:cs="Arial"/>
          <w:b/>
          <w:i/>
          <w:spacing w:val="23"/>
          <w:lang w:val="es-CO"/>
        </w:rPr>
        <w:t xml:space="preserve"> </w:t>
      </w:r>
      <w:r>
        <w:rPr>
          <w:rFonts w:cs="Arial"/>
          <w:b/>
          <w:i/>
          <w:lang w:val="es-CO"/>
        </w:rPr>
        <w:t>bimestral</w:t>
      </w:r>
      <w:r>
        <w:rPr>
          <w:rFonts w:cs="Arial"/>
          <w:b/>
          <w:i/>
          <w:spacing w:val="38"/>
          <w:lang w:val="es-CO"/>
        </w:rPr>
        <w:t xml:space="preserve"> </w:t>
      </w:r>
      <w:r>
        <w:rPr>
          <w:rFonts w:cs="Arial"/>
          <w:b/>
          <w:i/>
          <w:lang w:val="es-CO"/>
        </w:rPr>
        <w:t>del</w:t>
      </w:r>
      <w:r>
        <w:rPr>
          <w:rFonts w:cs="Arial"/>
          <w:b/>
          <w:i/>
          <w:spacing w:val="16"/>
          <w:lang w:val="es-CO"/>
        </w:rPr>
        <w:t xml:space="preserve"> </w:t>
      </w:r>
      <w:r>
        <w:rPr>
          <w:rFonts w:cs="Arial"/>
          <w:b/>
          <w:i/>
          <w:lang w:val="es-CO"/>
        </w:rPr>
        <w:t>impuesto</w:t>
      </w:r>
      <w:r>
        <w:rPr>
          <w:rFonts w:cs="Arial"/>
          <w:b/>
          <w:i/>
          <w:spacing w:val="30"/>
          <w:lang w:val="es-CO"/>
        </w:rPr>
        <w:t xml:space="preserve"> </w:t>
      </w:r>
      <w:r>
        <w:rPr>
          <w:rFonts w:cs="Arial"/>
          <w:b/>
          <w:i/>
          <w:lang w:val="es-CO"/>
        </w:rPr>
        <w:t>nacional al</w:t>
      </w:r>
      <w:r>
        <w:rPr>
          <w:rFonts w:cs="Arial"/>
          <w:b/>
          <w:i/>
          <w:spacing w:val="26"/>
          <w:lang w:val="es-CO"/>
        </w:rPr>
        <w:t xml:space="preserve"> </w:t>
      </w:r>
      <w:r>
        <w:rPr>
          <w:rFonts w:cs="Arial"/>
          <w:b/>
          <w:i/>
          <w:lang w:val="es-CO"/>
        </w:rPr>
        <w:t>consumo.</w:t>
      </w:r>
      <w:r>
        <w:rPr>
          <w:rFonts w:cs="Arial"/>
          <w:spacing w:val="30"/>
          <w:lang w:val="es-CO"/>
        </w:rPr>
        <w:t xml:space="preserve"> </w:t>
      </w:r>
      <w:r>
        <w:rPr>
          <w:rFonts w:cs="Arial"/>
          <w:lang w:val="es-CO"/>
        </w:rPr>
        <w:t xml:space="preserve">Los responsables del Impuesto Nacional al Consumo de que trata el artículo 512-1 y siguientes del Estatuto Tributario, deberán presentar y pagar la declaración del impuesto nacional al consumo </w:t>
      </w:r>
      <w:r>
        <w:rPr>
          <w:rFonts w:cs="Arial"/>
          <w:lang w:val="es-CO"/>
        </w:rPr>
        <w:t xml:space="preserve">de manera bimestral, utilizando el formulario prescrito por la Unidad Administrativa Especial Dirección de Impuestos y Aduanas Nacionales - DIAN. </w:t>
      </w:r>
    </w:p>
    <w:p w14:paraId="0D936BD3" w14:textId="77777777" w:rsidR="00B2442D" w:rsidRDefault="00B2442D">
      <w:pPr>
        <w:pStyle w:val="Textoindependiente"/>
        <w:spacing w:line="40" w:lineRule="atLeast"/>
        <w:ind w:right="-30"/>
        <w:jc w:val="both"/>
        <w:rPr>
          <w:rFonts w:cs="Arial"/>
          <w:lang w:val="es-CO"/>
        </w:rPr>
      </w:pPr>
    </w:p>
    <w:p w14:paraId="6B9C321A" w14:textId="77777777" w:rsidR="00B2442D" w:rsidRDefault="008A645F">
      <w:pPr>
        <w:pStyle w:val="Textoindependiente"/>
        <w:spacing w:line="40" w:lineRule="atLeast"/>
        <w:ind w:right="-30"/>
        <w:jc w:val="both"/>
        <w:rPr>
          <w:rFonts w:cs="Arial"/>
          <w:spacing w:val="-46"/>
          <w:highlight w:val="yellow"/>
          <w:lang w:val="es-CO"/>
        </w:rPr>
      </w:pPr>
      <w:r>
        <w:rPr>
          <w:rFonts w:cs="Arial"/>
          <w:lang w:val="es-CO"/>
        </w:rPr>
        <w:t xml:space="preserve">Los vencimientos, de acuerdo con el último dígito del NIT del responsable, que conste en el certificado del </w:t>
      </w:r>
      <w:r>
        <w:rPr>
          <w:rFonts w:cs="Arial"/>
          <w:lang w:val="es-CO"/>
        </w:rPr>
        <w:t>Registro Único Tributario - RUT, sin tener en cuenta el dígito de verificación, serán los siguientes:</w:t>
      </w:r>
    </w:p>
    <w:p w14:paraId="623AEEFA" w14:textId="77777777" w:rsidR="00B2442D" w:rsidRDefault="00B2442D">
      <w:pPr>
        <w:pStyle w:val="Textoindependiente"/>
        <w:spacing w:line="40" w:lineRule="atLeast"/>
        <w:ind w:right="-30"/>
        <w:jc w:val="both"/>
        <w:rPr>
          <w:rFonts w:cs="Arial"/>
          <w:highlight w:val="yellow"/>
          <w:lang w:val="es-CO"/>
        </w:rPr>
      </w:pPr>
    </w:p>
    <w:p w14:paraId="09EEDD71" w14:textId="77777777" w:rsidR="00B2442D" w:rsidRDefault="00B2442D">
      <w:pPr>
        <w:pStyle w:val="Textoindependiente"/>
        <w:spacing w:line="40" w:lineRule="atLeast"/>
        <w:ind w:right="-30"/>
        <w:jc w:val="both"/>
        <w:rPr>
          <w:rFonts w:cs="Arial"/>
          <w:highlight w:val="yellow"/>
          <w:lang w:val="es-CO"/>
        </w:rPr>
      </w:pPr>
    </w:p>
    <w:p w14:paraId="2BB1EBC1" w14:textId="77777777" w:rsidR="00B2442D" w:rsidRDefault="00B2442D">
      <w:pPr>
        <w:pStyle w:val="Textoindependiente"/>
        <w:spacing w:line="40" w:lineRule="atLeast"/>
        <w:ind w:right="-30"/>
        <w:jc w:val="both"/>
        <w:rPr>
          <w:rFonts w:cs="Arial"/>
          <w:highlight w:val="yellow"/>
          <w:lang w:val="es-CO"/>
        </w:rPr>
      </w:pPr>
    </w:p>
    <w:tbl>
      <w:tblPr>
        <w:tblW w:w="8626" w:type="dxa"/>
        <w:jc w:val="center"/>
        <w:tblCellMar>
          <w:left w:w="70" w:type="dxa"/>
          <w:right w:w="70" w:type="dxa"/>
        </w:tblCellMar>
        <w:tblLook w:val="04A0" w:firstRow="1" w:lastRow="0" w:firstColumn="1" w:lastColumn="0" w:noHBand="0" w:noVBand="1"/>
      </w:tblPr>
      <w:tblGrid>
        <w:gridCol w:w="1113"/>
        <w:gridCol w:w="2693"/>
        <w:gridCol w:w="2552"/>
        <w:gridCol w:w="2268"/>
      </w:tblGrid>
      <w:tr w:rsidR="00B2442D" w14:paraId="2FFEEDB5" w14:textId="77777777">
        <w:trPr>
          <w:trHeight w:val="330"/>
          <w:jc w:val="center"/>
        </w:trPr>
        <w:tc>
          <w:tcPr>
            <w:tcW w:w="1113" w:type="dxa"/>
            <w:vMerge w:val="restart"/>
            <w:tcBorders>
              <w:top w:val="single" w:sz="8" w:space="0" w:color="auto"/>
              <w:left w:val="single" w:sz="8" w:space="0" w:color="auto"/>
              <w:bottom w:val="single" w:sz="8" w:space="0" w:color="000000"/>
              <w:right w:val="single" w:sz="8" w:space="0" w:color="auto"/>
            </w:tcBorders>
            <w:shd w:val="clear" w:color="auto" w:fill="D0CECE"/>
            <w:vAlign w:val="center"/>
            <w:hideMark/>
          </w:tcPr>
          <w:p w14:paraId="63AE0B53"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Si el último dígito es</w:t>
            </w:r>
          </w:p>
        </w:tc>
        <w:tc>
          <w:tcPr>
            <w:tcW w:w="2693" w:type="dxa"/>
            <w:tcBorders>
              <w:top w:val="single" w:sz="8" w:space="0" w:color="auto"/>
              <w:left w:val="nil"/>
              <w:bottom w:val="nil"/>
              <w:right w:val="single" w:sz="8" w:space="0" w:color="auto"/>
            </w:tcBorders>
            <w:shd w:val="clear" w:color="auto" w:fill="D0CECE"/>
            <w:noWrap/>
            <w:vAlign w:val="center"/>
            <w:hideMark/>
          </w:tcPr>
          <w:p w14:paraId="26F5628B"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c>
          <w:tcPr>
            <w:tcW w:w="2552" w:type="dxa"/>
            <w:tcBorders>
              <w:top w:val="single" w:sz="8" w:space="0" w:color="auto"/>
              <w:left w:val="nil"/>
              <w:bottom w:val="nil"/>
              <w:right w:val="single" w:sz="8" w:space="0" w:color="auto"/>
            </w:tcBorders>
            <w:shd w:val="clear" w:color="auto" w:fill="D0CECE"/>
            <w:noWrap/>
            <w:vAlign w:val="center"/>
            <w:hideMark/>
          </w:tcPr>
          <w:p w14:paraId="2ED23DD9"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c>
          <w:tcPr>
            <w:tcW w:w="2268" w:type="dxa"/>
            <w:tcBorders>
              <w:top w:val="single" w:sz="8" w:space="0" w:color="auto"/>
              <w:left w:val="nil"/>
              <w:bottom w:val="nil"/>
              <w:right w:val="single" w:sz="8" w:space="0" w:color="auto"/>
            </w:tcBorders>
            <w:shd w:val="clear" w:color="auto" w:fill="D0CECE"/>
            <w:noWrap/>
            <w:vAlign w:val="center"/>
            <w:hideMark/>
          </w:tcPr>
          <w:p w14:paraId="529B6F05"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r>
      <w:tr w:rsidR="00B2442D" w14:paraId="79F01539" w14:textId="77777777">
        <w:trPr>
          <w:trHeight w:val="330"/>
          <w:jc w:val="center"/>
        </w:trPr>
        <w:tc>
          <w:tcPr>
            <w:tcW w:w="1113" w:type="dxa"/>
            <w:vMerge/>
            <w:tcBorders>
              <w:top w:val="single" w:sz="8" w:space="0" w:color="auto"/>
              <w:left w:val="single" w:sz="8" w:space="0" w:color="auto"/>
              <w:bottom w:val="single" w:sz="8" w:space="0" w:color="000000"/>
              <w:right w:val="single" w:sz="8" w:space="0" w:color="auto"/>
            </w:tcBorders>
            <w:vAlign w:val="center"/>
            <w:hideMark/>
          </w:tcPr>
          <w:p w14:paraId="61F1F8E4" w14:textId="77777777" w:rsidR="00B2442D" w:rsidRDefault="00B2442D">
            <w:pP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p>
        </w:tc>
        <w:tc>
          <w:tcPr>
            <w:tcW w:w="2693" w:type="dxa"/>
            <w:tcBorders>
              <w:top w:val="nil"/>
              <w:left w:val="nil"/>
              <w:bottom w:val="nil"/>
              <w:right w:val="single" w:sz="8" w:space="0" w:color="auto"/>
            </w:tcBorders>
            <w:shd w:val="clear" w:color="auto" w:fill="D0CECE"/>
            <w:noWrap/>
            <w:vAlign w:val="center"/>
            <w:hideMark/>
          </w:tcPr>
          <w:p w14:paraId="1AE62F40"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Enero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Febrero 2017</w:t>
            </w:r>
          </w:p>
        </w:tc>
        <w:tc>
          <w:tcPr>
            <w:tcW w:w="2552" w:type="dxa"/>
            <w:tcBorders>
              <w:top w:val="nil"/>
              <w:left w:val="nil"/>
              <w:bottom w:val="nil"/>
              <w:right w:val="single" w:sz="8" w:space="0" w:color="auto"/>
            </w:tcBorders>
            <w:shd w:val="clear" w:color="auto" w:fill="D0CECE"/>
            <w:noWrap/>
            <w:vAlign w:val="center"/>
            <w:hideMark/>
          </w:tcPr>
          <w:p w14:paraId="0BAF7DB9"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Marzo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Abril 2017</w:t>
            </w:r>
          </w:p>
        </w:tc>
        <w:tc>
          <w:tcPr>
            <w:tcW w:w="2268" w:type="dxa"/>
            <w:tcBorders>
              <w:top w:val="nil"/>
              <w:left w:val="nil"/>
              <w:bottom w:val="nil"/>
              <w:right w:val="single" w:sz="8" w:space="0" w:color="auto"/>
            </w:tcBorders>
            <w:shd w:val="clear" w:color="auto" w:fill="D0CECE"/>
            <w:noWrap/>
            <w:vAlign w:val="center"/>
            <w:hideMark/>
          </w:tcPr>
          <w:p w14:paraId="6676E305"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Mayo</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Junio 2017</w:t>
            </w:r>
          </w:p>
        </w:tc>
      </w:tr>
      <w:tr w:rsidR="00B2442D" w14:paraId="4AB10208" w14:textId="77777777">
        <w:trPr>
          <w:trHeight w:val="345"/>
          <w:jc w:val="center"/>
        </w:trPr>
        <w:tc>
          <w:tcPr>
            <w:tcW w:w="1113" w:type="dxa"/>
            <w:vMerge/>
            <w:tcBorders>
              <w:top w:val="single" w:sz="8" w:space="0" w:color="auto"/>
              <w:left w:val="single" w:sz="8" w:space="0" w:color="auto"/>
              <w:bottom w:val="single" w:sz="8" w:space="0" w:color="000000"/>
              <w:right w:val="single" w:sz="8" w:space="0" w:color="auto"/>
            </w:tcBorders>
            <w:vAlign w:val="center"/>
            <w:hideMark/>
          </w:tcPr>
          <w:p w14:paraId="0A6B26D1" w14:textId="77777777" w:rsidR="00B2442D" w:rsidRDefault="00B2442D">
            <w:pP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p>
        </w:tc>
        <w:tc>
          <w:tcPr>
            <w:tcW w:w="2693" w:type="dxa"/>
            <w:tcBorders>
              <w:top w:val="nil"/>
              <w:left w:val="nil"/>
              <w:bottom w:val="single" w:sz="8" w:space="0" w:color="auto"/>
              <w:right w:val="single" w:sz="8" w:space="0" w:color="auto"/>
            </w:tcBorders>
            <w:shd w:val="clear" w:color="auto" w:fill="D0CECE"/>
            <w:noWrap/>
            <w:vAlign w:val="center"/>
            <w:hideMark/>
          </w:tcPr>
          <w:p w14:paraId="4BBCE42F"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c>
          <w:tcPr>
            <w:tcW w:w="2552" w:type="dxa"/>
            <w:tcBorders>
              <w:top w:val="nil"/>
              <w:left w:val="nil"/>
              <w:bottom w:val="single" w:sz="8" w:space="0" w:color="auto"/>
              <w:right w:val="single" w:sz="8" w:space="0" w:color="auto"/>
            </w:tcBorders>
            <w:shd w:val="clear" w:color="auto" w:fill="D0CECE"/>
            <w:noWrap/>
            <w:vAlign w:val="center"/>
            <w:hideMark/>
          </w:tcPr>
          <w:p w14:paraId="288ACB1F"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hasta el día</w:t>
            </w:r>
          </w:p>
        </w:tc>
        <w:tc>
          <w:tcPr>
            <w:tcW w:w="2268" w:type="dxa"/>
            <w:tcBorders>
              <w:top w:val="nil"/>
              <w:left w:val="nil"/>
              <w:bottom w:val="single" w:sz="8" w:space="0" w:color="auto"/>
              <w:right w:val="single" w:sz="8" w:space="0" w:color="auto"/>
            </w:tcBorders>
            <w:shd w:val="clear" w:color="auto" w:fill="D0CECE"/>
            <w:noWrap/>
            <w:vAlign w:val="center"/>
            <w:hideMark/>
          </w:tcPr>
          <w:p w14:paraId="6F9F3B40"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r>
      <w:tr w:rsidR="00B2442D" w14:paraId="2B42B2EB" w14:textId="77777777">
        <w:trPr>
          <w:trHeight w:val="416"/>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03A7C97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693" w:type="dxa"/>
            <w:tcBorders>
              <w:top w:val="nil"/>
              <w:left w:val="nil"/>
              <w:bottom w:val="single" w:sz="8" w:space="0" w:color="auto"/>
              <w:right w:val="single" w:sz="8" w:space="0" w:color="auto"/>
            </w:tcBorders>
            <w:shd w:val="clear" w:color="auto" w:fill="auto"/>
            <w:noWrap/>
            <w:vAlign w:val="center"/>
          </w:tcPr>
          <w:p w14:paraId="56E7DA6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8 </w:t>
            </w:r>
            <w:r>
              <w:rPr>
                <w:rFonts w:ascii="Arial" w:hAnsi="Arial" w:cs="Arial"/>
                <w:color w:val="000000"/>
                <w:lang w:val="es-CO" w:eastAsia="es-CO"/>
              </w:rPr>
              <w:t>de marzo de 2017</w:t>
            </w:r>
          </w:p>
        </w:tc>
        <w:tc>
          <w:tcPr>
            <w:tcW w:w="2552" w:type="dxa"/>
            <w:tcBorders>
              <w:top w:val="nil"/>
              <w:left w:val="nil"/>
              <w:bottom w:val="single" w:sz="8" w:space="0" w:color="auto"/>
              <w:right w:val="single" w:sz="8" w:space="0" w:color="auto"/>
            </w:tcBorders>
            <w:shd w:val="clear" w:color="auto" w:fill="auto"/>
            <w:noWrap/>
            <w:vAlign w:val="center"/>
          </w:tcPr>
          <w:p w14:paraId="17B27FE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 9 de mayo de 2017</w:t>
            </w:r>
          </w:p>
        </w:tc>
        <w:tc>
          <w:tcPr>
            <w:tcW w:w="2268" w:type="dxa"/>
            <w:tcBorders>
              <w:top w:val="nil"/>
              <w:left w:val="nil"/>
              <w:bottom w:val="single" w:sz="8" w:space="0" w:color="auto"/>
              <w:right w:val="single" w:sz="8" w:space="0" w:color="auto"/>
            </w:tcBorders>
            <w:shd w:val="clear" w:color="auto" w:fill="auto"/>
            <w:noWrap/>
            <w:vAlign w:val="center"/>
          </w:tcPr>
          <w:p w14:paraId="35E19CA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julio de 2017</w:t>
            </w:r>
          </w:p>
        </w:tc>
      </w:tr>
      <w:tr w:rsidR="00B2442D" w14:paraId="40698921" w14:textId="77777777">
        <w:trPr>
          <w:trHeight w:val="408"/>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38D6A0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693" w:type="dxa"/>
            <w:tcBorders>
              <w:top w:val="single" w:sz="4" w:space="0" w:color="auto"/>
              <w:left w:val="nil"/>
              <w:bottom w:val="single" w:sz="8" w:space="0" w:color="auto"/>
              <w:right w:val="single" w:sz="8" w:space="0" w:color="auto"/>
            </w:tcBorders>
            <w:shd w:val="clear" w:color="auto" w:fill="auto"/>
            <w:noWrap/>
            <w:vAlign w:val="center"/>
          </w:tcPr>
          <w:p w14:paraId="1CD6A67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marzo de 2017</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71BCBD4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mayo de 2017</w:t>
            </w:r>
          </w:p>
        </w:tc>
        <w:tc>
          <w:tcPr>
            <w:tcW w:w="2268" w:type="dxa"/>
            <w:tcBorders>
              <w:top w:val="single" w:sz="4" w:space="0" w:color="auto"/>
              <w:left w:val="nil"/>
              <w:bottom w:val="single" w:sz="8" w:space="0" w:color="auto"/>
              <w:right w:val="single" w:sz="8" w:space="0" w:color="auto"/>
            </w:tcBorders>
            <w:shd w:val="clear" w:color="auto" w:fill="auto"/>
            <w:noWrap/>
            <w:vAlign w:val="center"/>
          </w:tcPr>
          <w:p w14:paraId="70B73B4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julio de 2017</w:t>
            </w:r>
          </w:p>
        </w:tc>
      </w:tr>
      <w:tr w:rsidR="00B2442D" w14:paraId="3574C299" w14:textId="77777777">
        <w:trPr>
          <w:trHeight w:val="415"/>
          <w:jc w:val="center"/>
        </w:trPr>
        <w:tc>
          <w:tcPr>
            <w:tcW w:w="1113" w:type="dxa"/>
            <w:tcBorders>
              <w:top w:val="nil"/>
              <w:left w:val="single" w:sz="8" w:space="0" w:color="auto"/>
              <w:bottom w:val="single" w:sz="4" w:space="0" w:color="auto"/>
              <w:right w:val="single" w:sz="8" w:space="0" w:color="auto"/>
            </w:tcBorders>
            <w:shd w:val="clear" w:color="000000" w:fill="FFFFFF"/>
            <w:noWrap/>
            <w:vAlign w:val="center"/>
            <w:hideMark/>
          </w:tcPr>
          <w:p w14:paraId="2BBE805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693" w:type="dxa"/>
            <w:tcBorders>
              <w:top w:val="nil"/>
              <w:left w:val="nil"/>
              <w:bottom w:val="single" w:sz="8" w:space="0" w:color="auto"/>
              <w:right w:val="single" w:sz="8" w:space="0" w:color="auto"/>
            </w:tcBorders>
            <w:shd w:val="clear" w:color="auto" w:fill="auto"/>
            <w:noWrap/>
            <w:vAlign w:val="center"/>
          </w:tcPr>
          <w:p w14:paraId="464E832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marzo de 2017</w:t>
            </w:r>
          </w:p>
        </w:tc>
        <w:tc>
          <w:tcPr>
            <w:tcW w:w="2552" w:type="dxa"/>
            <w:tcBorders>
              <w:top w:val="nil"/>
              <w:left w:val="nil"/>
              <w:bottom w:val="single" w:sz="8" w:space="0" w:color="auto"/>
              <w:right w:val="single" w:sz="8" w:space="0" w:color="auto"/>
            </w:tcBorders>
            <w:shd w:val="clear" w:color="auto" w:fill="auto"/>
            <w:noWrap/>
            <w:vAlign w:val="center"/>
          </w:tcPr>
          <w:p w14:paraId="4D09C7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mayo de 2017</w:t>
            </w:r>
          </w:p>
        </w:tc>
        <w:tc>
          <w:tcPr>
            <w:tcW w:w="2268" w:type="dxa"/>
            <w:tcBorders>
              <w:top w:val="nil"/>
              <w:left w:val="nil"/>
              <w:bottom w:val="single" w:sz="8" w:space="0" w:color="auto"/>
              <w:right w:val="single" w:sz="8" w:space="0" w:color="auto"/>
            </w:tcBorders>
            <w:shd w:val="clear" w:color="auto" w:fill="auto"/>
            <w:noWrap/>
            <w:vAlign w:val="center"/>
          </w:tcPr>
          <w:p w14:paraId="0B32C32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julio de 2017</w:t>
            </w:r>
          </w:p>
        </w:tc>
      </w:tr>
      <w:tr w:rsidR="00B2442D" w14:paraId="6B613399" w14:textId="77777777">
        <w:trPr>
          <w:trHeight w:val="407"/>
          <w:jc w:val="center"/>
        </w:trPr>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A39D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693" w:type="dxa"/>
            <w:tcBorders>
              <w:top w:val="nil"/>
              <w:left w:val="nil"/>
              <w:bottom w:val="single" w:sz="8" w:space="0" w:color="auto"/>
              <w:right w:val="single" w:sz="8" w:space="0" w:color="auto"/>
            </w:tcBorders>
            <w:shd w:val="clear" w:color="auto" w:fill="auto"/>
            <w:noWrap/>
            <w:vAlign w:val="center"/>
          </w:tcPr>
          <w:p w14:paraId="2F6A4AF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marzo de 2017</w:t>
            </w:r>
          </w:p>
        </w:tc>
        <w:tc>
          <w:tcPr>
            <w:tcW w:w="2552" w:type="dxa"/>
            <w:tcBorders>
              <w:top w:val="nil"/>
              <w:left w:val="nil"/>
              <w:bottom w:val="single" w:sz="8" w:space="0" w:color="auto"/>
              <w:right w:val="single" w:sz="8" w:space="0" w:color="auto"/>
            </w:tcBorders>
            <w:shd w:val="clear" w:color="auto" w:fill="auto"/>
            <w:noWrap/>
            <w:vAlign w:val="center"/>
          </w:tcPr>
          <w:p w14:paraId="1BCADFB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mayo de 2017</w:t>
            </w:r>
          </w:p>
        </w:tc>
        <w:tc>
          <w:tcPr>
            <w:tcW w:w="2268" w:type="dxa"/>
            <w:tcBorders>
              <w:top w:val="nil"/>
              <w:left w:val="nil"/>
              <w:bottom w:val="single" w:sz="8" w:space="0" w:color="auto"/>
              <w:right w:val="single" w:sz="8" w:space="0" w:color="auto"/>
            </w:tcBorders>
            <w:shd w:val="clear" w:color="auto" w:fill="auto"/>
            <w:noWrap/>
            <w:vAlign w:val="center"/>
          </w:tcPr>
          <w:p w14:paraId="50F53E3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julio de 2017</w:t>
            </w:r>
          </w:p>
        </w:tc>
      </w:tr>
      <w:tr w:rsidR="00B2442D" w14:paraId="2A410A99" w14:textId="77777777">
        <w:trPr>
          <w:trHeight w:val="399"/>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0B05707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693" w:type="dxa"/>
            <w:tcBorders>
              <w:top w:val="nil"/>
              <w:left w:val="nil"/>
              <w:bottom w:val="single" w:sz="8" w:space="0" w:color="auto"/>
              <w:right w:val="single" w:sz="8" w:space="0" w:color="auto"/>
            </w:tcBorders>
            <w:shd w:val="clear" w:color="auto" w:fill="auto"/>
            <w:noWrap/>
            <w:vAlign w:val="center"/>
          </w:tcPr>
          <w:p w14:paraId="6AB75C4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14 de </w:t>
            </w:r>
            <w:r>
              <w:rPr>
                <w:rFonts w:ascii="Arial" w:hAnsi="Arial" w:cs="Arial"/>
                <w:color w:val="000000"/>
                <w:lang w:val="es-CO" w:eastAsia="es-CO"/>
              </w:rPr>
              <w:t>marzo de 2017</w:t>
            </w:r>
          </w:p>
        </w:tc>
        <w:tc>
          <w:tcPr>
            <w:tcW w:w="2552" w:type="dxa"/>
            <w:tcBorders>
              <w:top w:val="nil"/>
              <w:left w:val="nil"/>
              <w:bottom w:val="single" w:sz="8" w:space="0" w:color="auto"/>
              <w:right w:val="single" w:sz="8" w:space="0" w:color="auto"/>
            </w:tcBorders>
            <w:shd w:val="clear" w:color="auto" w:fill="auto"/>
            <w:noWrap/>
            <w:vAlign w:val="center"/>
          </w:tcPr>
          <w:p w14:paraId="175B85E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mayo de 2017</w:t>
            </w:r>
          </w:p>
        </w:tc>
        <w:tc>
          <w:tcPr>
            <w:tcW w:w="2268" w:type="dxa"/>
            <w:tcBorders>
              <w:top w:val="nil"/>
              <w:left w:val="nil"/>
              <w:bottom w:val="single" w:sz="8" w:space="0" w:color="auto"/>
              <w:right w:val="single" w:sz="8" w:space="0" w:color="auto"/>
            </w:tcBorders>
            <w:shd w:val="clear" w:color="auto" w:fill="auto"/>
            <w:noWrap/>
            <w:vAlign w:val="center"/>
          </w:tcPr>
          <w:p w14:paraId="2D2CC9A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julio de 2017</w:t>
            </w:r>
          </w:p>
        </w:tc>
      </w:tr>
      <w:tr w:rsidR="00B2442D" w14:paraId="221624FE" w14:textId="77777777">
        <w:trPr>
          <w:trHeight w:val="404"/>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1C405DE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693" w:type="dxa"/>
            <w:tcBorders>
              <w:top w:val="single" w:sz="4" w:space="0" w:color="auto"/>
              <w:left w:val="nil"/>
              <w:bottom w:val="single" w:sz="8" w:space="0" w:color="auto"/>
              <w:right w:val="single" w:sz="8" w:space="0" w:color="auto"/>
            </w:tcBorders>
            <w:shd w:val="clear" w:color="auto" w:fill="auto"/>
            <w:noWrap/>
            <w:vAlign w:val="center"/>
          </w:tcPr>
          <w:p w14:paraId="6C5E79D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marzo de 2017</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7F745B8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mayo de 2017</w:t>
            </w:r>
          </w:p>
        </w:tc>
        <w:tc>
          <w:tcPr>
            <w:tcW w:w="2268" w:type="dxa"/>
            <w:tcBorders>
              <w:top w:val="nil"/>
              <w:left w:val="nil"/>
              <w:bottom w:val="single" w:sz="8" w:space="0" w:color="auto"/>
              <w:right w:val="single" w:sz="8" w:space="0" w:color="auto"/>
            </w:tcBorders>
            <w:shd w:val="clear" w:color="auto" w:fill="auto"/>
            <w:noWrap/>
            <w:vAlign w:val="center"/>
          </w:tcPr>
          <w:p w14:paraId="2DE76B8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julio de 2017</w:t>
            </w:r>
          </w:p>
        </w:tc>
      </w:tr>
      <w:tr w:rsidR="00B2442D" w14:paraId="0E0FF056" w14:textId="77777777">
        <w:trPr>
          <w:trHeight w:val="411"/>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4695E82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693" w:type="dxa"/>
            <w:tcBorders>
              <w:top w:val="nil"/>
              <w:left w:val="nil"/>
              <w:bottom w:val="single" w:sz="8" w:space="0" w:color="auto"/>
              <w:right w:val="single" w:sz="8" w:space="0" w:color="auto"/>
            </w:tcBorders>
            <w:shd w:val="clear" w:color="auto" w:fill="auto"/>
            <w:noWrap/>
            <w:vAlign w:val="center"/>
          </w:tcPr>
          <w:p w14:paraId="7FF8361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marzo de 2017</w:t>
            </w:r>
          </w:p>
        </w:tc>
        <w:tc>
          <w:tcPr>
            <w:tcW w:w="2552" w:type="dxa"/>
            <w:tcBorders>
              <w:top w:val="nil"/>
              <w:left w:val="nil"/>
              <w:bottom w:val="single" w:sz="8" w:space="0" w:color="auto"/>
              <w:right w:val="single" w:sz="8" w:space="0" w:color="auto"/>
            </w:tcBorders>
            <w:shd w:val="clear" w:color="auto" w:fill="auto"/>
            <w:noWrap/>
            <w:vAlign w:val="center"/>
          </w:tcPr>
          <w:p w14:paraId="704048A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mayo de 2017</w:t>
            </w:r>
          </w:p>
        </w:tc>
        <w:tc>
          <w:tcPr>
            <w:tcW w:w="2268" w:type="dxa"/>
            <w:tcBorders>
              <w:top w:val="nil"/>
              <w:left w:val="nil"/>
              <w:bottom w:val="single" w:sz="8" w:space="0" w:color="auto"/>
              <w:right w:val="single" w:sz="8" w:space="0" w:color="auto"/>
            </w:tcBorders>
            <w:shd w:val="clear" w:color="auto" w:fill="auto"/>
            <w:noWrap/>
            <w:vAlign w:val="center"/>
          </w:tcPr>
          <w:p w14:paraId="6D310EC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julio de 2017</w:t>
            </w:r>
          </w:p>
        </w:tc>
      </w:tr>
      <w:tr w:rsidR="00B2442D" w14:paraId="6EB1B3D0" w14:textId="77777777">
        <w:trPr>
          <w:trHeight w:val="403"/>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1483CE3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693" w:type="dxa"/>
            <w:tcBorders>
              <w:top w:val="nil"/>
              <w:left w:val="nil"/>
              <w:bottom w:val="single" w:sz="8" w:space="0" w:color="auto"/>
              <w:right w:val="single" w:sz="8" w:space="0" w:color="auto"/>
            </w:tcBorders>
            <w:shd w:val="clear" w:color="auto" w:fill="auto"/>
            <w:noWrap/>
            <w:vAlign w:val="center"/>
          </w:tcPr>
          <w:p w14:paraId="1F8AC59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marzo de 2017</w:t>
            </w:r>
          </w:p>
        </w:tc>
        <w:tc>
          <w:tcPr>
            <w:tcW w:w="2552" w:type="dxa"/>
            <w:tcBorders>
              <w:top w:val="nil"/>
              <w:left w:val="nil"/>
              <w:bottom w:val="single" w:sz="8" w:space="0" w:color="auto"/>
              <w:right w:val="single" w:sz="8" w:space="0" w:color="auto"/>
            </w:tcBorders>
            <w:shd w:val="clear" w:color="auto" w:fill="auto"/>
            <w:noWrap/>
            <w:vAlign w:val="center"/>
          </w:tcPr>
          <w:p w14:paraId="29CAC86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mayo de 2017</w:t>
            </w:r>
          </w:p>
        </w:tc>
        <w:tc>
          <w:tcPr>
            <w:tcW w:w="2268" w:type="dxa"/>
            <w:tcBorders>
              <w:top w:val="nil"/>
              <w:left w:val="nil"/>
              <w:bottom w:val="single" w:sz="8" w:space="0" w:color="auto"/>
              <w:right w:val="single" w:sz="8" w:space="0" w:color="auto"/>
            </w:tcBorders>
            <w:shd w:val="clear" w:color="auto" w:fill="auto"/>
            <w:noWrap/>
            <w:vAlign w:val="center"/>
          </w:tcPr>
          <w:p w14:paraId="6377317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julio de 2017</w:t>
            </w:r>
          </w:p>
        </w:tc>
      </w:tr>
      <w:tr w:rsidR="00B2442D" w14:paraId="04D01C78" w14:textId="77777777">
        <w:trPr>
          <w:trHeight w:val="408"/>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324C2FF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693" w:type="dxa"/>
            <w:tcBorders>
              <w:top w:val="nil"/>
              <w:left w:val="nil"/>
              <w:bottom w:val="single" w:sz="8" w:space="0" w:color="auto"/>
              <w:right w:val="single" w:sz="8" w:space="0" w:color="auto"/>
            </w:tcBorders>
            <w:shd w:val="clear" w:color="auto" w:fill="auto"/>
            <w:noWrap/>
            <w:vAlign w:val="center"/>
          </w:tcPr>
          <w:p w14:paraId="2FD9FFD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21 de </w:t>
            </w:r>
            <w:r>
              <w:rPr>
                <w:rFonts w:ascii="Arial" w:hAnsi="Arial" w:cs="Arial"/>
                <w:color w:val="000000"/>
                <w:lang w:val="es-CO" w:eastAsia="es-CO"/>
              </w:rPr>
              <w:t>marzo de 2017</w:t>
            </w:r>
          </w:p>
        </w:tc>
        <w:tc>
          <w:tcPr>
            <w:tcW w:w="2552" w:type="dxa"/>
            <w:tcBorders>
              <w:top w:val="nil"/>
              <w:left w:val="nil"/>
              <w:bottom w:val="single" w:sz="8" w:space="0" w:color="auto"/>
              <w:right w:val="single" w:sz="8" w:space="0" w:color="auto"/>
            </w:tcBorders>
            <w:shd w:val="clear" w:color="auto" w:fill="auto"/>
            <w:noWrap/>
            <w:vAlign w:val="center"/>
          </w:tcPr>
          <w:p w14:paraId="59378E8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mayo de 2017</w:t>
            </w:r>
          </w:p>
        </w:tc>
        <w:tc>
          <w:tcPr>
            <w:tcW w:w="2268" w:type="dxa"/>
            <w:tcBorders>
              <w:top w:val="nil"/>
              <w:left w:val="nil"/>
              <w:bottom w:val="single" w:sz="8" w:space="0" w:color="auto"/>
              <w:right w:val="single" w:sz="8" w:space="0" w:color="auto"/>
            </w:tcBorders>
            <w:shd w:val="clear" w:color="auto" w:fill="auto"/>
            <w:noWrap/>
            <w:vAlign w:val="center"/>
          </w:tcPr>
          <w:p w14:paraId="436495B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julio de 2017</w:t>
            </w:r>
          </w:p>
        </w:tc>
      </w:tr>
      <w:tr w:rsidR="00B2442D" w14:paraId="62D8BC62" w14:textId="77777777">
        <w:trPr>
          <w:trHeight w:val="542"/>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3EE0E7A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693" w:type="dxa"/>
            <w:tcBorders>
              <w:top w:val="nil"/>
              <w:left w:val="nil"/>
              <w:bottom w:val="single" w:sz="8" w:space="0" w:color="auto"/>
              <w:right w:val="single" w:sz="8" w:space="0" w:color="auto"/>
            </w:tcBorders>
            <w:shd w:val="clear" w:color="auto" w:fill="auto"/>
            <w:noWrap/>
            <w:vAlign w:val="center"/>
          </w:tcPr>
          <w:p w14:paraId="5523FD7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marzo de 2017</w:t>
            </w:r>
          </w:p>
        </w:tc>
        <w:tc>
          <w:tcPr>
            <w:tcW w:w="2552" w:type="dxa"/>
            <w:tcBorders>
              <w:top w:val="nil"/>
              <w:left w:val="nil"/>
              <w:bottom w:val="single" w:sz="8" w:space="0" w:color="auto"/>
              <w:right w:val="single" w:sz="8" w:space="0" w:color="auto"/>
            </w:tcBorders>
            <w:shd w:val="clear" w:color="auto" w:fill="auto"/>
            <w:noWrap/>
            <w:vAlign w:val="center"/>
          </w:tcPr>
          <w:p w14:paraId="60C055A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mayo de 2017</w:t>
            </w:r>
          </w:p>
        </w:tc>
        <w:tc>
          <w:tcPr>
            <w:tcW w:w="2268" w:type="dxa"/>
            <w:tcBorders>
              <w:top w:val="nil"/>
              <w:left w:val="nil"/>
              <w:bottom w:val="single" w:sz="8" w:space="0" w:color="auto"/>
              <w:right w:val="single" w:sz="8" w:space="0" w:color="auto"/>
            </w:tcBorders>
            <w:shd w:val="clear" w:color="auto" w:fill="auto"/>
            <w:noWrap/>
            <w:vAlign w:val="center"/>
          </w:tcPr>
          <w:p w14:paraId="4DA2350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julio de 2017</w:t>
            </w:r>
          </w:p>
        </w:tc>
      </w:tr>
      <w:tr w:rsidR="00B2442D" w14:paraId="25802C56" w14:textId="77777777">
        <w:trPr>
          <w:trHeight w:val="330"/>
          <w:jc w:val="center"/>
        </w:trPr>
        <w:tc>
          <w:tcPr>
            <w:tcW w:w="1113" w:type="dxa"/>
            <w:vMerge w:val="restart"/>
            <w:tcBorders>
              <w:top w:val="single" w:sz="4" w:space="0" w:color="auto"/>
              <w:left w:val="single" w:sz="8" w:space="0" w:color="auto"/>
              <w:bottom w:val="single" w:sz="8" w:space="0" w:color="000000"/>
              <w:right w:val="single" w:sz="8" w:space="0" w:color="auto"/>
            </w:tcBorders>
            <w:shd w:val="clear" w:color="auto" w:fill="D0CECE"/>
            <w:vAlign w:val="center"/>
            <w:hideMark/>
          </w:tcPr>
          <w:p w14:paraId="2FBFE4F4"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Si el último dígito  es</w:t>
            </w:r>
          </w:p>
        </w:tc>
        <w:tc>
          <w:tcPr>
            <w:tcW w:w="2693" w:type="dxa"/>
            <w:tcBorders>
              <w:top w:val="single" w:sz="4" w:space="0" w:color="auto"/>
              <w:left w:val="nil"/>
              <w:bottom w:val="nil"/>
              <w:right w:val="single" w:sz="8" w:space="0" w:color="auto"/>
            </w:tcBorders>
            <w:shd w:val="clear" w:color="auto" w:fill="D0CECE"/>
            <w:noWrap/>
            <w:vAlign w:val="center"/>
            <w:hideMark/>
          </w:tcPr>
          <w:p w14:paraId="6FBF26F3"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c>
          <w:tcPr>
            <w:tcW w:w="2552" w:type="dxa"/>
            <w:tcBorders>
              <w:top w:val="single" w:sz="4" w:space="0" w:color="auto"/>
              <w:left w:val="nil"/>
              <w:bottom w:val="nil"/>
              <w:right w:val="single" w:sz="8" w:space="0" w:color="auto"/>
            </w:tcBorders>
            <w:shd w:val="clear" w:color="auto" w:fill="D0CECE"/>
            <w:noWrap/>
            <w:vAlign w:val="center"/>
            <w:hideMark/>
          </w:tcPr>
          <w:p w14:paraId="13462EF8"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c>
          <w:tcPr>
            <w:tcW w:w="2268" w:type="dxa"/>
            <w:tcBorders>
              <w:top w:val="single" w:sz="4" w:space="0" w:color="auto"/>
              <w:left w:val="nil"/>
              <w:bottom w:val="nil"/>
              <w:right w:val="single" w:sz="8" w:space="0" w:color="auto"/>
            </w:tcBorders>
            <w:shd w:val="clear" w:color="auto" w:fill="D0CECE"/>
            <w:noWrap/>
            <w:vAlign w:val="center"/>
            <w:hideMark/>
          </w:tcPr>
          <w:p w14:paraId="068488C9"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Bimestre </w:t>
            </w:r>
          </w:p>
        </w:tc>
      </w:tr>
      <w:tr w:rsidR="00B2442D" w14:paraId="4DD9FB69" w14:textId="77777777">
        <w:trPr>
          <w:trHeight w:val="330"/>
          <w:jc w:val="center"/>
        </w:trPr>
        <w:tc>
          <w:tcPr>
            <w:tcW w:w="1113" w:type="dxa"/>
            <w:vMerge/>
            <w:tcBorders>
              <w:top w:val="nil"/>
              <w:left w:val="single" w:sz="8" w:space="0" w:color="auto"/>
              <w:bottom w:val="single" w:sz="8" w:space="0" w:color="000000"/>
              <w:right w:val="single" w:sz="8" w:space="0" w:color="auto"/>
            </w:tcBorders>
            <w:shd w:val="clear" w:color="auto" w:fill="D0CECE"/>
            <w:vAlign w:val="center"/>
            <w:hideMark/>
          </w:tcPr>
          <w:p w14:paraId="4131A440" w14:textId="77777777" w:rsidR="00B2442D" w:rsidRDefault="00B2442D">
            <w:pP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p>
        </w:tc>
        <w:tc>
          <w:tcPr>
            <w:tcW w:w="2693" w:type="dxa"/>
            <w:tcBorders>
              <w:top w:val="nil"/>
              <w:left w:val="nil"/>
              <w:bottom w:val="nil"/>
              <w:right w:val="single" w:sz="8" w:space="0" w:color="auto"/>
            </w:tcBorders>
            <w:shd w:val="clear" w:color="auto" w:fill="D0CECE"/>
            <w:noWrap/>
            <w:vAlign w:val="center"/>
            <w:hideMark/>
          </w:tcPr>
          <w:p w14:paraId="28771041"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julio - agosto de 2017</w:t>
            </w:r>
          </w:p>
        </w:tc>
        <w:tc>
          <w:tcPr>
            <w:tcW w:w="2552" w:type="dxa"/>
            <w:tcBorders>
              <w:top w:val="nil"/>
              <w:left w:val="nil"/>
              <w:bottom w:val="nil"/>
              <w:right w:val="single" w:sz="8" w:space="0" w:color="auto"/>
            </w:tcBorders>
            <w:shd w:val="clear" w:color="auto" w:fill="D0CECE"/>
            <w:noWrap/>
            <w:vAlign w:val="center"/>
            <w:hideMark/>
          </w:tcPr>
          <w:p w14:paraId="7AB761C1"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Septiembre</w:t>
            </w:r>
            <w:r>
              <w:rPr>
                <w:rFonts w:ascii="Arial" w:hAnsi="Arial" w:cs="Arial"/>
                <w:b/>
                <w:bCs/>
                <w:color w:val="000000"/>
                <w:lang w:val="es-CO" w:eastAsia="es-CO"/>
                <w14:shadow w14:blurRad="50800" w14:dist="38100" w14:dir="2700000" w14:sx="100000" w14:sy="100000" w14:kx="0" w14:ky="0" w14:algn="tl">
                  <w14:srgbClr w14:val="000000">
                    <w14:alpha w14:val="60000"/>
                  </w14:srgbClr>
                </w14:shadow>
              </w:rPr>
              <w:noBreakHyphen/>
              <w:t>Octubre 2017</w:t>
            </w:r>
          </w:p>
        </w:tc>
        <w:tc>
          <w:tcPr>
            <w:tcW w:w="2268" w:type="dxa"/>
            <w:tcBorders>
              <w:top w:val="nil"/>
              <w:left w:val="nil"/>
              <w:bottom w:val="nil"/>
              <w:right w:val="single" w:sz="8" w:space="0" w:color="auto"/>
            </w:tcBorders>
            <w:shd w:val="clear" w:color="auto" w:fill="D0CECE"/>
            <w:noWrap/>
            <w:vAlign w:val="center"/>
            <w:hideMark/>
          </w:tcPr>
          <w:p w14:paraId="682E28A4"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Noviembre-Diciembre 2017</w:t>
            </w:r>
          </w:p>
        </w:tc>
      </w:tr>
      <w:tr w:rsidR="00B2442D" w14:paraId="1A0DA5A8" w14:textId="77777777">
        <w:trPr>
          <w:trHeight w:val="345"/>
          <w:jc w:val="center"/>
        </w:trPr>
        <w:tc>
          <w:tcPr>
            <w:tcW w:w="1113" w:type="dxa"/>
            <w:vMerge/>
            <w:tcBorders>
              <w:top w:val="nil"/>
              <w:left w:val="single" w:sz="8" w:space="0" w:color="auto"/>
              <w:bottom w:val="single" w:sz="8" w:space="0" w:color="000000"/>
              <w:right w:val="single" w:sz="8" w:space="0" w:color="auto"/>
            </w:tcBorders>
            <w:shd w:val="clear" w:color="auto" w:fill="D0CECE"/>
            <w:vAlign w:val="center"/>
            <w:hideMark/>
          </w:tcPr>
          <w:p w14:paraId="3E8ED133" w14:textId="77777777" w:rsidR="00B2442D" w:rsidRDefault="00B2442D">
            <w:pP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p>
        </w:tc>
        <w:tc>
          <w:tcPr>
            <w:tcW w:w="2693" w:type="dxa"/>
            <w:tcBorders>
              <w:top w:val="nil"/>
              <w:left w:val="nil"/>
              <w:bottom w:val="single" w:sz="8" w:space="0" w:color="auto"/>
              <w:right w:val="single" w:sz="8" w:space="0" w:color="auto"/>
            </w:tcBorders>
            <w:shd w:val="clear" w:color="auto" w:fill="D0CECE"/>
            <w:noWrap/>
            <w:vAlign w:val="center"/>
            <w:hideMark/>
          </w:tcPr>
          <w:p w14:paraId="07FC5424" w14:textId="77777777" w:rsidR="00B2442D" w:rsidRDefault="008A645F">
            <w:pPr>
              <w:contextualSpacing/>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 hasta el día</w:t>
            </w:r>
          </w:p>
        </w:tc>
        <w:tc>
          <w:tcPr>
            <w:tcW w:w="2552" w:type="dxa"/>
            <w:tcBorders>
              <w:top w:val="nil"/>
              <w:left w:val="nil"/>
              <w:bottom w:val="single" w:sz="8" w:space="0" w:color="auto"/>
              <w:right w:val="single" w:sz="8" w:space="0" w:color="auto"/>
            </w:tcBorders>
            <w:shd w:val="clear" w:color="auto" w:fill="D0CECE"/>
            <w:noWrap/>
            <w:vAlign w:val="center"/>
            <w:hideMark/>
          </w:tcPr>
          <w:p w14:paraId="7634AEE9"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 xml:space="preserve">hasta el día </w:t>
            </w:r>
          </w:p>
        </w:tc>
        <w:tc>
          <w:tcPr>
            <w:tcW w:w="2268" w:type="dxa"/>
            <w:tcBorders>
              <w:top w:val="nil"/>
              <w:left w:val="nil"/>
              <w:bottom w:val="single" w:sz="8" w:space="0" w:color="auto"/>
              <w:right w:val="single" w:sz="8" w:space="0" w:color="auto"/>
            </w:tcBorders>
            <w:shd w:val="clear" w:color="auto" w:fill="D0CECE"/>
            <w:noWrap/>
            <w:vAlign w:val="center"/>
            <w:hideMark/>
          </w:tcPr>
          <w:p w14:paraId="5E270592" w14:textId="77777777" w:rsidR="00B2442D" w:rsidRDefault="008A645F">
            <w:pPr>
              <w:jc w:val="center"/>
              <w:rPr>
                <w:rFonts w:ascii="Arial" w:hAnsi="Arial" w:cs="Arial"/>
                <w:b/>
                <w:bCs/>
                <w:color w:val="00000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lang w:val="es-CO" w:eastAsia="es-CO"/>
                <w14:shadow w14:blurRad="50800" w14:dist="38100" w14:dir="2700000" w14:sx="100000" w14:sy="100000" w14:kx="0" w14:ky="0" w14:algn="tl">
                  <w14:srgbClr w14:val="000000">
                    <w14:alpha w14:val="60000"/>
                  </w14:srgbClr>
                </w14:shadow>
              </w:rPr>
              <w:t>hasta el día</w:t>
            </w:r>
          </w:p>
        </w:tc>
      </w:tr>
      <w:tr w:rsidR="00B2442D" w14:paraId="6BF7981E"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1898DBE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693" w:type="dxa"/>
            <w:tcBorders>
              <w:top w:val="nil"/>
              <w:left w:val="nil"/>
              <w:bottom w:val="single" w:sz="8" w:space="0" w:color="auto"/>
              <w:right w:val="single" w:sz="8" w:space="0" w:color="auto"/>
            </w:tcBorders>
            <w:shd w:val="clear" w:color="auto" w:fill="auto"/>
            <w:noWrap/>
            <w:vAlign w:val="center"/>
          </w:tcPr>
          <w:p w14:paraId="3B39C7E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Septiembre de 2017</w:t>
            </w:r>
          </w:p>
        </w:tc>
        <w:tc>
          <w:tcPr>
            <w:tcW w:w="2552" w:type="dxa"/>
            <w:tcBorders>
              <w:top w:val="nil"/>
              <w:left w:val="nil"/>
              <w:bottom w:val="single" w:sz="8" w:space="0" w:color="auto"/>
              <w:right w:val="single" w:sz="8" w:space="0" w:color="auto"/>
            </w:tcBorders>
            <w:shd w:val="clear" w:color="000000" w:fill="FFFFFF"/>
            <w:noWrap/>
            <w:vAlign w:val="center"/>
          </w:tcPr>
          <w:p w14:paraId="32B784B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  9 de noviembre de 2017</w:t>
            </w:r>
          </w:p>
        </w:tc>
        <w:tc>
          <w:tcPr>
            <w:tcW w:w="2268" w:type="dxa"/>
            <w:tcBorders>
              <w:top w:val="nil"/>
              <w:left w:val="nil"/>
              <w:bottom w:val="single" w:sz="8" w:space="0" w:color="auto"/>
              <w:right w:val="single" w:sz="8" w:space="0" w:color="auto"/>
            </w:tcBorders>
            <w:shd w:val="clear" w:color="auto" w:fill="auto"/>
            <w:noWrap/>
            <w:vAlign w:val="center"/>
          </w:tcPr>
          <w:p w14:paraId="456C6F5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enero de 2018</w:t>
            </w:r>
          </w:p>
        </w:tc>
      </w:tr>
      <w:tr w:rsidR="00B2442D" w14:paraId="7CDC3E70" w14:textId="77777777">
        <w:trPr>
          <w:trHeight w:val="345"/>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1493B65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693" w:type="dxa"/>
            <w:tcBorders>
              <w:top w:val="single" w:sz="4" w:space="0" w:color="auto"/>
              <w:left w:val="nil"/>
              <w:bottom w:val="single" w:sz="8" w:space="0" w:color="auto"/>
              <w:right w:val="single" w:sz="8" w:space="0" w:color="auto"/>
            </w:tcBorders>
            <w:shd w:val="clear" w:color="auto" w:fill="auto"/>
            <w:noWrap/>
            <w:vAlign w:val="center"/>
          </w:tcPr>
          <w:p w14:paraId="01C7737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Septiembre de 2017</w:t>
            </w:r>
          </w:p>
        </w:tc>
        <w:tc>
          <w:tcPr>
            <w:tcW w:w="2552" w:type="dxa"/>
            <w:tcBorders>
              <w:top w:val="single" w:sz="4" w:space="0" w:color="auto"/>
              <w:left w:val="nil"/>
              <w:bottom w:val="single" w:sz="8" w:space="0" w:color="auto"/>
              <w:right w:val="single" w:sz="8" w:space="0" w:color="auto"/>
            </w:tcBorders>
            <w:shd w:val="clear" w:color="000000" w:fill="FFFFFF"/>
            <w:noWrap/>
            <w:vAlign w:val="center"/>
          </w:tcPr>
          <w:p w14:paraId="5BA63F4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noviembre de 2017</w:t>
            </w:r>
          </w:p>
        </w:tc>
        <w:tc>
          <w:tcPr>
            <w:tcW w:w="2268" w:type="dxa"/>
            <w:tcBorders>
              <w:top w:val="single" w:sz="4" w:space="0" w:color="auto"/>
              <w:left w:val="nil"/>
              <w:bottom w:val="single" w:sz="8" w:space="0" w:color="auto"/>
              <w:right w:val="single" w:sz="8" w:space="0" w:color="auto"/>
            </w:tcBorders>
            <w:shd w:val="clear" w:color="auto" w:fill="auto"/>
            <w:noWrap/>
            <w:vAlign w:val="center"/>
          </w:tcPr>
          <w:p w14:paraId="13D566F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enero de 2018</w:t>
            </w:r>
          </w:p>
        </w:tc>
      </w:tr>
      <w:tr w:rsidR="00B2442D" w14:paraId="6EFD51B1"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285442A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693" w:type="dxa"/>
            <w:tcBorders>
              <w:top w:val="nil"/>
              <w:left w:val="nil"/>
              <w:bottom w:val="single" w:sz="4" w:space="0" w:color="auto"/>
              <w:right w:val="single" w:sz="8" w:space="0" w:color="auto"/>
            </w:tcBorders>
            <w:shd w:val="clear" w:color="auto" w:fill="auto"/>
            <w:noWrap/>
            <w:vAlign w:val="center"/>
          </w:tcPr>
          <w:p w14:paraId="438EC79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12 de </w:t>
            </w:r>
            <w:r>
              <w:rPr>
                <w:rFonts w:ascii="Arial" w:hAnsi="Arial" w:cs="Arial"/>
                <w:color w:val="000000"/>
                <w:lang w:val="es-CO" w:eastAsia="es-CO"/>
              </w:rPr>
              <w:t>Septiembre de 2017</w:t>
            </w:r>
          </w:p>
        </w:tc>
        <w:tc>
          <w:tcPr>
            <w:tcW w:w="2552" w:type="dxa"/>
            <w:tcBorders>
              <w:top w:val="nil"/>
              <w:left w:val="nil"/>
              <w:bottom w:val="single" w:sz="4" w:space="0" w:color="auto"/>
              <w:right w:val="single" w:sz="8" w:space="0" w:color="auto"/>
            </w:tcBorders>
            <w:shd w:val="clear" w:color="000000" w:fill="FFFFFF"/>
            <w:noWrap/>
            <w:vAlign w:val="center"/>
          </w:tcPr>
          <w:p w14:paraId="578B65B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noviembre de 2017</w:t>
            </w:r>
          </w:p>
        </w:tc>
        <w:tc>
          <w:tcPr>
            <w:tcW w:w="2268" w:type="dxa"/>
            <w:tcBorders>
              <w:top w:val="nil"/>
              <w:left w:val="nil"/>
              <w:bottom w:val="single" w:sz="4" w:space="0" w:color="auto"/>
              <w:right w:val="single" w:sz="8" w:space="0" w:color="auto"/>
            </w:tcBorders>
            <w:shd w:val="clear" w:color="auto" w:fill="auto"/>
            <w:noWrap/>
            <w:vAlign w:val="center"/>
          </w:tcPr>
          <w:p w14:paraId="19C9D50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enero de 2018</w:t>
            </w:r>
          </w:p>
        </w:tc>
      </w:tr>
      <w:tr w:rsidR="00B2442D" w14:paraId="6F4558B6"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0733D45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693" w:type="dxa"/>
            <w:tcBorders>
              <w:top w:val="single" w:sz="4" w:space="0" w:color="auto"/>
              <w:left w:val="nil"/>
              <w:bottom w:val="single" w:sz="8" w:space="0" w:color="auto"/>
              <w:right w:val="single" w:sz="8" w:space="0" w:color="auto"/>
            </w:tcBorders>
            <w:shd w:val="clear" w:color="auto" w:fill="auto"/>
            <w:noWrap/>
            <w:vAlign w:val="center"/>
          </w:tcPr>
          <w:p w14:paraId="6A65A36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Septiembre de 2017</w:t>
            </w:r>
          </w:p>
        </w:tc>
        <w:tc>
          <w:tcPr>
            <w:tcW w:w="2552" w:type="dxa"/>
            <w:tcBorders>
              <w:top w:val="single" w:sz="4" w:space="0" w:color="auto"/>
              <w:left w:val="nil"/>
              <w:bottom w:val="single" w:sz="8" w:space="0" w:color="auto"/>
              <w:right w:val="single" w:sz="8" w:space="0" w:color="auto"/>
            </w:tcBorders>
            <w:shd w:val="clear" w:color="000000" w:fill="FFFFFF"/>
            <w:noWrap/>
            <w:vAlign w:val="center"/>
          </w:tcPr>
          <w:p w14:paraId="583AC78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noviembre de 2017</w:t>
            </w:r>
          </w:p>
        </w:tc>
        <w:tc>
          <w:tcPr>
            <w:tcW w:w="2268" w:type="dxa"/>
            <w:tcBorders>
              <w:top w:val="single" w:sz="4" w:space="0" w:color="auto"/>
              <w:left w:val="nil"/>
              <w:bottom w:val="single" w:sz="8" w:space="0" w:color="auto"/>
              <w:right w:val="single" w:sz="4" w:space="0" w:color="auto"/>
            </w:tcBorders>
            <w:shd w:val="clear" w:color="auto" w:fill="auto"/>
            <w:noWrap/>
            <w:vAlign w:val="center"/>
          </w:tcPr>
          <w:p w14:paraId="6204DAA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enero de 2018</w:t>
            </w:r>
          </w:p>
        </w:tc>
      </w:tr>
      <w:tr w:rsidR="00B2442D" w14:paraId="31D8C2E5" w14:textId="77777777">
        <w:trPr>
          <w:trHeight w:val="345"/>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52693DB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693" w:type="dxa"/>
            <w:tcBorders>
              <w:top w:val="single" w:sz="8" w:space="0" w:color="auto"/>
              <w:left w:val="nil"/>
              <w:bottom w:val="single" w:sz="8" w:space="0" w:color="auto"/>
              <w:right w:val="single" w:sz="8" w:space="0" w:color="auto"/>
            </w:tcBorders>
            <w:shd w:val="clear" w:color="auto" w:fill="auto"/>
            <w:noWrap/>
            <w:vAlign w:val="center"/>
          </w:tcPr>
          <w:p w14:paraId="2A71A29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Septiembre de 2017</w:t>
            </w:r>
          </w:p>
        </w:tc>
        <w:tc>
          <w:tcPr>
            <w:tcW w:w="2552" w:type="dxa"/>
            <w:tcBorders>
              <w:top w:val="single" w:sz="8" w:space="0" w:color="auto"/>
              <w:left w:val="nil"/>
              <w:bottom w:val="single" w:sz="8" w:space="0" w:color="auto"/>
              <w:right w:val="single" w:sz="8" w:space="0" w:color="auto"/>
            </w:tcBorders>
            <w:shd w:val="clear" w:color="000000" w:fill="FFFFFF"/>
            <w:noWrap/>
            <w:vAlign w:val="center"/>
          </w:tcPr>
          <w:p w14:paraId="6476960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noviembre de 2017</w:t>
            </w:r>
          </w:p>
        </w:tc>
        <w:tc>
          <w:tcPr>
            <w:tcW w:w="2268" w:type="dxa"/>
            <w:tcBorders>
              <w:top w:val="single" w:sz="8" w:space="0" w:color="auto"/>
              <w:left w:val="nil"/>
              <w:bottom w:val="single" w:sz="8" w:space="0" w:color="auto"/>
              <w:right w:val="single" w:sz="4" w:space="0" w:color="auto"/>
            </w:tcBorders>
            <w:shd w:val="clear" w:color="auto" w:fill="auto"/>
            <w:noWrap/>
            <w:vAlign w:val="center"/>
          </w:tcPr>
          <w:p w14:paraId="34656B7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enero de 2018</w:t>
            </w:r>
          </w:p>
        </w:tc>
      </w:tr>
      <w:tr w:rsidR="00B2442D" w14:paraId="0F06F4B6"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63B99F0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693" w:type="dxa"/>
            <w:tcBorders>
              <w:top w:val="single" w:sz="8" w:space="0" w:color="auto"/>
              <w:left w:val="nil"/>
              <w:bottom w:val="single" w:sz="4" w:space="0" w:color="auto"/>
              <w:right w:val="single" w:sz="8" w:space="0" w:color="auto"/>
            </w:tcBorders>
            <w:shd w:val="clear" w:color="auto" w:fill="auto"/>
            <w:noWrap/>
            <w:vAlign w:val="center"/>
          </w:tcPr>
          <w:p w14:paraId="6316FFE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Septiembre de 2017</w:t>
            </w:r>
          </w:p>
        </w:tc>
        <w:tc>
          <w:tcPr>
            <w:tcW w:w="2552" w:type="dxa"/>
            <w:tcBorders>
              <w:top w:val="single" w:sz="8" w:space="0" w:color="auto"/>
              <w:left w:val="nil"/>
              <w:bottom w:val="single" w:sz="8" w:space="0" w:color="auto"/>
              <w:right w:val="single" w:sz="8" w:space="0" w:color="auto"/>
            </w:tcBorders>
            <w:shd w:val="clear" w:color="000000" w:fill="FFFFFF"/>
            <w:noWrap/>
            <w:vAlign w:val="center"/>
          </w:tcPr>
          <w:p w14:paraId="0464F0E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17 de </w:t>
            </w:r>
            <w:r>
              <w:rPr>
                <w:rFonts w:ascii="Arial" w:hAnsi="Arial" w:cs="Arial"/>
                <w:color w:val="000000"/>
                <w:lang w:val="es-CO" w:eastAsia="es-CO"/>
              </w:rPr>
              <w:t>noviembre de 2017</w:t>
            </w:r>
          </w:p>
        </w:tc>
        <w:tc>
          <w:tcPr>
            <w:tcW w:w="2268" w:type="dxa"/>
            <w:tcBorders>
              <w:top w:val="single" w:sz="8" w:space="0" w:color="auto"/>
              <w:left w:val="nil"/>
              <w:bottom w:val="single" w:sz="8" w:space="0" w:color="auto"/>
              <w:right w:val="single" w:sz="4" w:space="0" w:color="auto"/>
            </w:tcBorders>
            <w:shd w:val="clear" w:color="auto" w:fill="auto"/>
            <w:noWrap/>
            <w:vAlign w:val="center"/>
          </w:tcPr>
          <w:p w14:paraId="2F7AA48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enero de 2018</w:t>
            </w:r>
          </w:p>
        </w:tc>
      </w:tr>
      <w:tr w:rsidR="00B2442D" w14:paraId="0A68C38E"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18E6B4E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693" w:type="dxa"/>
            <w:tcBorders>
              <w:top w:val="single" w:sz="4" w:space="0" w:color="auto"/>
              <w:left w:val="nil"/>
              <w:bottom w:val="single" w:sz="8" w:space="0" w:color="auto"/>
              <w:right w:val="single" w:sz="8" w:space="0" w:color="auto"/>
            </w:tcBorders>
            <w:shd w:val="clear" w:color="auto" w:fill="auto"/>
            <w:noWrap/>
            <w:vAlign w:val="center"/>
          </w:tcPr>
          <w:p w14:paraId="65B699A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Septiembre de 2017</w:t>
            </w:r>
          </w:p>
        </w:tc>
        <w:tc>
          <w:tcPr>
            <w:tcW w:w="2552" w:type="dxa"/>
            <w:tcBorders>
              <w:top w:val="single" w:sz="8" w:space="0" w:color="auto"/>
              <w:left w:val="nil"/>
              <w:bottom w:val="single" w:sz="8" w:space="0" w:color="auto"/>
              <w:right w:val="single" w:sz="8" w:space="0" w:color="auto"/>
            </w:tcBorders>
            <w:shd w:val="clear" w:color="000000" w:fill="FFFFFF"/>
            <w:noWrap/>
            <w:vAlign w:val="center"/>
          </w:tcPr>
          <w:p w14:paraId="2932253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noviembre de 2017</w:t>
            </w:r>
          </w:p>
        </w:tc>
        <w:tc>
          <w:tcPr>
            <w:tcW w:w="2268" w:type="dxa"/>
            <w:tcBorders>
              <w:top w:val="single" w:sz="8" w:space="0" w:color="auto"/>
              <w:left w:val="nil"/>
              <w:bottom w:val="single" w:sz="8" w:space="0" w:color="auto"/>
              <w:right w:val="single" w:sz="4" w:space="0" w:color="auto"/>
            </w:tcBorders>
            <w:shd w:val="clear" w:color="auto" w:fill="auto"/>
            <w:noWrap/>
            <w:vAlign w:val="center"/>
          </w:tcPr>
          <w:p w14:paraId="03CA7EA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enero de 2018</w:t>
            </w:r>
          </w:p>
        </w:tc>
      </w:tr>
      <w:tr w:rsidR="00B2442D" w14:paraId="23D8FB37"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7022C2A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693" w:type="dxa"/>
            <w:tcBorders>
              <w:top w:val="single" w:sz="8" w:space="0" w:color="auto"/>
              <w:left w:val="nil"/>
              <w:bottom w:val="single" w:sz="8" w:space="0" w:color="auto"/>
              <w:right w:val="single" w:sz="8" w:space="0" w:color="auto"/>
            </w:tcBorders>
            <w:shd w:val="clear" w:color="auto" w:fill="auto"/>
            <w:noWrap/>
            <w:vAlign w:val="center"/>
          </w:tcPr>
          <w:p w14:paraId="00915C2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Septiembre de 2017</w:t>
            </w:r>
          </w:p>
        </w:tc>
        <w:tc>
          <w:tcPr>
            <w:tcW w:w="2552" w:type="dxa"/>
            <w:tcBorders>
              <w:top w:val="single" w:sz="8" w:space="0" w:color="auto"/>
              <w:left w:val="nil"/>
              <w:bottom w:val="single" w:sz="8" w:space="0" w:color="auto"/>
              <w:right w:val="single" w:sz="8" w:space="0" w:color="auto"/>
            </w:tcBorders>
            <w:shd w:val="clear" w:color="000000" w:fill="FFFFFF"/>
            <w:noWrap/>
            <w:vAlign w:val="center"/>
          </w:tcPr>
          <w:p w14:paraId="638815F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noviembre de 2017</w:t>
            </w:r>
          </w:p>
        </w:tc>
        <w:tc>
          <w:tcPr>
            <w:tcW w:w="2268" w:type="dxa"/>
            <w:tcBorders>
              <w:top w:val="single" w:sz="8" w:space="0" w:color="auto"/>
              <w:left w:val="nil"/>
              <w:bottom w:val="single" w:sz="8" w:space="0" w:color="auto"/>
              <w:right w:val="single" w:sz="4" w:space="0" w:color="auto"/>
            </w:tcBorders>
            <w:shd w:val="clear" w:color="auto" w:fill="auto"/>
            <w:noWrap/>
            <w:vAlign w:val="center"/>
          </w:tcPr>
          <w:p w14:paraId="76BF4C2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enero de 2018</w:t>
            </w:r>
          </w:p>
        </w:tc>
      </w:tr>
      <w:tr w:rsidR="00B2442D" w14:paraId="360987FA" w14:textId="77777777">
        <w:trPr>
          <w:trHeight w:val="345"/>
          <w:jc w:val="center"/>
        </w:trPr>
        <w:tc>
          <w:tcPr>
            <w:tcW w:w="111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562A237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693" w:type="dxa"/>
            <w:tcBorders>
              <w:top w:val="single" w:sz="8" w:space="0" w:color="auto"/>
              <w:left w:val="nil"/>
              <w:bottom w:val="single" w:sz="8" w:space="0" w:color="auto"/>
              <w:right w:val="single" w:sz="8" w:space="0" w:color="auto"/>
            </w:tcBorders>
            <w:shd w:val="clear" w:color="auto" w:fill="auto"/>
            <w:noWrap/>
            <w:vAlign w:val="center"/>
          </w:tcPr>
          <w:p w14:paraId="299EF50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Septiembre de 2017</w:t>
            </w:r>
          </w:p>
        </w:tc>
        <w:tc>
          <w:tcPr>
            <w:tcW w:w="2552" w:type="dxa"/>
            <w:tcBorders>
              <w:top w:val="single" w:sz="8" w:space="0" w:color="auto"/>
              <w:left w:val="nil"/>
              <w:bottom w:val="single" w:sz="8" w:space="0" w:color="auto"/>
              <w:right w:val="single" w:sz="8" w:space="0" w:color="auto"/>
            </w:tcBorders>
            <w:shd w:val="clear" w:color="000000" w:fill="FFFFFF"/>
            <w:noWrap/>
            <w:vAlign w:val="center"/>
          </w:tcPr>
          <w:p w14:paraId="5229F55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noviembre de 2017</w:t>
            </w:r>
          </w:p>
        </w:tc>
        <w:tc>
          <w:tcPr>
            <w:tcW w:w="2268" w:type="dxa"/>
            <w:tcBorders>
              <w:top w:val="single" w:sz="8" w:space="0" w:color="auto"/>
              <w:left w:val="nil"/>
              <w:bottom w:val="single" w:sz="8" w:space="0" w:color="auto"/>
              <w:right w:val="single" w:sz="4" w:space="0" w:color="auto"/>
            </w:tcBorders>
            <w:shd w:val="clear" w:color="auto" w:fill="auto"/>
            <w:noWrap/>
            <w:vAlign w:val="center"/>
          </w:tcPr>
          <w:p w14:paraId="2EB6CDF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23 de enero de </w:t>
            </w:r>
            <w:r>
              <w:rPr>
                <w:rFonts w:ascii="Arial" w:hAnsi="Arial" w:cs="Arial"/>
                <w:color w:val="000000"/>
                <w:lang w:val="es-CO" w:eastAsia="es-CO"/>
              </w:rPr>
              <w:t>2018</w:t>
            </w:r>
          </w:p>
        </w:tc>
      </w:tr>
      <w:tr w:rsidR="00B2442D" w14:paraId="281498D3" w14:textId="77777777">
        <w:trPr>
          <w:trHeight w:val="345"/>
          <w:jc w:val="center"/>
        </w:trPr>
        <w:tc>
          <w:tcPr>
            <w:tcW w:w="1113" w:type="dxa"/>
            <w:tcBorders>
              <w:top w:val="nil"/>
              <w:left w:val="single" w:sz="8" w:space="0" w:color="auto"/>
              <w:bottom w:val="single" w:sz="8" w:space="0" w:color="auto"/>
              <w:right w:val="single" w:sz="8" w:space="0" w:color="auto"/>
            </w:tcBorders>
            <w:shd w:val="clear" w:color="000000" w:fill="FFFFFF"/>
            <w:noWrap/>
            <w:vAlign w:val="center"/>
            <w:hideMark/>
          </w:tcPr>
          <w:p w14:paraId="26B2619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693" w:type="dxa"/>
            <w:tcBorders>
              <w:top w:val="single" w:sz="8" w:space="0" w:color="auto"/>
              <w:left w:val="nil"/>
              <w:bottom w:val="single" w:sz="4" w:space="0" w:color="auto"/>
              <w:right w:val="single" w:sz="8" w:space="0" w:color="auto"/>
            </w:tcBorders>
            <w:shd w:val="clear" w:color="auto" w:fill="auto"/>
            <w:noWrap/>
            <w:vAlign w:val="center"/>
          </w:tcPr>
          <w:p w14:paraId="245649D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Septiembre de 2017</w:t>
            </w:r>
          </w:p>
        </w:tc>
        <w:tc>
          <w:tcPr>
            <w:tcW w:w="2552" w:type="dxa"/>
            <w:tcBorders>
              <w:top w:val="single" w:sz="8" w:space="0" w:color="auto"/>
              <w:left w:val="nil"/>
              <w:bottom w:val="single" w:sz="4" w:space="0" w:color="auto"/>
              <w:right w:val="single" w:sz="8" w:space="0" w:color="auto"/>
            </w:tcBorders>
            <w:shd w:val="clear" w:color="000000" w:fill="FFFFFF"/>
            <w:noWrap/>
            <w:vAlign w:val="center"/>
          </w:tcPr>
          <w:p w14:paraId="1D5BF6E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23 de noviembre de 2017</w:t>
            </w:r>
          </w:p>
        </w:tc>
        <w:tc>
          <w:tcPr>
            <w:tcW w:w="2268" w:type="dxa"/>
            <w:tcBorders>
              <w:top w:val="single" w:sz="8" w:space="0" w:color="auto"/>
              <w:left w:val="nil"/>
              <w:bottom w:val="single" w:sz="4" w:space="0" w:color="auto"/>
              <w:right w:val="single" w:sz="4" w:space="0" w:color="auto"/>
            </w:tcBorders>
            <w:shd w:val="clear" w:color="auto" w:fill="auto"/>
            <w:noWrap/>
            <w:vAlign w:val="center"/>
          </w:tcPr>
          <w:p w14:paraId="6C1CCDE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enero de 2018</w:t>
            </w:r>
          </w:p>
        </w:tc>
      </w:tr>
    </w:tbl>
    <w:p w14:paraId="39379239" w14:textId="77777777" w:rsidR="00B2442D" w:rsidRDefault="00B2442D">
      <w:pPr>
        <w:pStyle w:val="Textoindependiente"/>
        <w:spacing w:line="40" w:lineRule="atLeast"/>
        <w:ind w:right="-30"/>
        <w:jc w:val="both"/>
        <w:rPr>
          <w:rFonts w:cs="Arial"/>
          <w:highlight w:val="yellow"/>
          <w:lang w:val="es-CO"/>
        </w:rPr>
      </w:pPr>
    </w:p>
    <w:p w14:paraId="23F157B2" w14:textId="77777777" w:rsidR="00B2442D" w:rsidRDefault="00B2442D">
      <w:pPr>
        <w:pStyle w:val="Textoindependiente"/>
        <w:spacing w:line="40" w:lineRule="atLeast"/>
        <w:ind w:right="-30"/>
        <w:jc w:val="both"/>
        <w:rPr>
          <w:rFonts w:cs="Arial"/>
          <w:highlight w:val="yellow"/>
          <w:lang w:val="es-CO"/>
        </w:rPr>
      </w:pPr>
    </w:p>
    <w:p w14:paraId="7CBE09F9"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69" w:history="1">
        <w:r>
          <w:rPr>
            <w:rStyle w:val="Hipervnculo"/>
            <w:rFonts w:ascii="Arial" w:hAnsi="Arial" w:cs="Arial"/>
            <w:i/>
          </w:rPr>
          <w:t>Art. 26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w:t>
      </w:r>
      <w:r>
        <w:rPr>
          <w:rFonts w:ascii="Arial" w:hAnsi="Arial" w:cs="Arial"/>
          <w:i/>
          <w:iCs/>
          <w:color w:val="000000"/>
          <w:lang w:val="es-CO" w:eastAsia="es-CO"/>
        </w:rPr>
        <w:t>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21918C25" w14:textId="77777777" w:rsidR="00B2442D" w:rsidRDefault="00B2442D">
      <w:pPr>
        <w:pStyle w:val="Textoindependiente"/>
        <w:spacing w:line="40" w:lineRule="atLeast"/>
        <w:ind w:right="-30"/>
        <w:jc w:val="both"/>
        <w:rPr>
          <w:rFonts w:cs="Arial"/>
          <w:highlight w:val="yellow"/>
          <w:lang w:val="es-CO"/>
        </w:rPr>
      </w:pPr>
    </w:p>
    <w:p w14:paraId="67BA367D" w14:textId="77777777" w:rsidR="00B2442D" w:rsidRDefault="00B2442D">
      <w:pPr>
        <w:spacing w:line="40" w:lineRule="atLeast"/>
        <w:ind w:right="-30"/>
        <w:jc w:val="both"/>
        <w:rPr>
          <w:rFonts w:ascii="Arial" w:eastAsia="Arial" w:hAnsi="Arial" w:cs="Arial"/>
          <w:b/>
          <w:w w:val="105"/>
          <w:lang w:val="es-CO"/>
        </w:rPr>
      </w:pPr>
    </w:p>
    <w:p w14:paraId="6DC94B73" w14:textId="77777777" w:rsidR="00B2442D" w:rsidRDefault="008A645F">
      <w:pPr>
        <w:pStyle w:val="Prrafodelista"/>
        <w:numPr>
          <w:ilvl w:val="0"/>
          <w:numId w:val="152"/>
        </w:numPr>
        <w:spacing w:line="40" w:lineRule="atLeast"/>
        <w:ind w:left="0" w:right="-30" w:firstLine="0"/>
        <w:jc w:val="both"/>
        <w:rPr>
          <w:rFonts w:ascii="Arial" w:eastAsia="Arial" w:hAnsi="Arial" w:cs="Arial"/>
          <w:lang w:val="es-CO"/>
        </w:rPr>
      </w:pPr>
      <w:r>
        <w:rPr>
          <w:rFonts w:ascii="Arial" w:eastAsia="Arial" w:hAnsi="Arial" w:cs="Arial"/>
          <w:b/>
          <w:i/>
          <w:w w:val="105"/>
          <w:lang w:val="es-CO"/>
        </w:rPr>
        <w:t>Declaración simplificada del</w:t>
      </w:r>
      <w:r>
        <w:rPr>
          <w:rFonts w:ascii="Arial" w:eastAsia="Arial" w:hAnsi="Arial" w:cs="Arial"/>
          <w:b/>
          <w:i/>
          <w:spacing w:val="60"/>
          <w:w w:val="105"/>
          <w:lang w:val="es-CO"/>
        </w:rPr>
        <w:t xml:space="preserve"> </w:t>
      </w:r>
      <w:r>
        <w:rPr>
          <w:rFonts w:ascii="Arial" w:eastAsia="Arial" w:hAnsi="Arial" w:cs="Arial"/>
          <w:b/>
          <w:i/>
          <w:w w:val="105"/>
          <w:lang w:val="es-CO"/>
        </w:rPr>
        <w:t xml:space="preserve">impuesto nacional al </w:t>
      </w:r>
      <w:r>
        <w:rPr>
          <w:rFonts w:ascii="Arial" w:eastAsia="Arial" w:hAnsi="Arial" w:cs="Arial"/>
          <w:b/>
          <w:i/>
          <w:lang w:val="es-CO"/>
        </w:rPr>
        <w:t>consumo.</w:t>
      </w:r>
      <w:r>
        <w:rPr>
          <w:rFonts w:ascii="Arial" w:eastAsia="Arial" w:hAnsi="Arial" w:cs="Arial"/>
          <w:i/>
          <w:spacing w:val="37"/>
          <w:lang w:val="es-CO"/>
        </w:rPr>
        <w:t xml:space="preserve"> </w:t>
      </w:r>
      <w:r>
        <w:rPr>
          <w:rFonts w:ascii="Arial" w:eastAsia="Arial" w:hAnsi="Arial" w:cs="Arial"/>
          <w:lang w:val="es-CO"/>
        </w:rPr>
        <w:t>Las</w:t>
      </w:r>
      <w:r>
        <w:rPr>
          <w:rFonts w:ascii="Arial" w:eastAsia="Arial" w:hAnsi="Arial" w:cs="Arial"/>
          <w:spacing w:val="6"/>
          <w:lang w:val="es-CO"/>
        </w:rPr>
        <w:t xml:space="preserve"> </w:t>
      </w:r>
      <w:r>
        <w:rPr>
          <w:rFonts w:ascii="Arial" w:eastAsia="Arial" w:hAnsi="Arial" w:cs="Arial"/>
          <w:lang w:val="es-CO"/>
        </w:rPr>
        <w:t>personas</w:t>
      </w:r>
      <w:r>
        <w:rPr>
          <w:rFonts w:ascii="Arial" w:eastAsia="Arial" w:hAnsi="Arial" w:cs="Arial"/>
          <w:spacing w:val="32"/>
          <w:lang w:val="es-CO"/>
        </w:rPr>
        <w:t xml:space="preserve"> </w:t>
      </w:r>
      <w:r>
        <w:rPr>
          <w:rFonts w:ascii="Arial" w:eastAsia="Arial" w:hAnsi="Arial" w:cs="Arial"/>
          <w:lang w:val="es-CO"/>
        </w:rPr>
        <w:t>naturales</w:t>
      </w:r>
      <w:r>
        <w:rPr>
          <w:rFonts w:ascii="Arial" w:eastAsia="Arial" w:hAnsi="Arial" w:cs="Arial"/>
          <w:spacing w:val="25"/>
          <w:lang w:val="es-CO"/>
        </w:rPr>
        <w:t xml:space="preserve"> </w:t>
      </w:r>
      <w:r>
        <w:rPr>
          <w:rFonts w:ascii="Arial" w:eastAsia="Arial" w:hAnsi="Arial" w:cs="Arial"/>
          <w:lang w:val="es-CO"/>
        </w:rPr>
        <w:t>responsables</w:t>
      </w:r>
      <w:r>
        <w:rPr>
          <w:rFonts w:ascii="Arial" w:eastAsia="Arial" w:hAnsi="Arial" w:cs="Arial"/>
          <w:spacing w:val="28"/>
          <w:lang w:val="es-CO"/>
        </w:rPr>
        <w:t xml:space="preserve"> </w:t>
      </w:r>
      <w:r>
        <w:rPr>
          <w:rFonts w:ascii="Arial" w:eastAsia="Arial" w:hAnsi="Arial" w:cs="Arial"/>
          <w:lang w:val="es-CO"/>
        </w:rPr>
        <w:t xml:space="preserve">del régimen </w:t>
      </w:r>
      <w:r>
        <w:rPr>
          <w:rFonts w:ascii="Arial" w:eastAsia="Arial" w:hAnsi="Arial" w:cs="Arial"/>
          <w:spacing w:val="13"/>
          <w:lang w:val="es-CO"/>
        </w:rPr>
        <w:t xml:space="preserve"> </w:t>
      </w:r>
      <w:r>
        <w:rPr>
          <w:rFonts w:ascii="Arial" w:eastAsia="Arial" w:hAnsi="Arial" w:cs="Arial"/>
          <w:lang w:val="es-CO"/>
        </w:rPr>
        <w:t xml:space="preserve">simplificado </w:t>
      </w:r>
      <w:r>
        <w:rPr>
          <w:rFonts w:ascii="Arial" w:eastAsia="Arial" w:hAnsi="Arial" w:cs="Arial"/>
          <w:spacing w:val="25"/>
          <w:lang w:val="es-CO"/>
        </w:rPr>
        <w:t xml:space="preserve"> </w:t>
      </w:r>
      <w:r>
        <w:rPr>
          <w:rFonts w:ascii="Arial" w:eastAsia="Arial" w:hAnsi="Arial" w:cs="Arial"/>
          <w:lang w:val="es-CO"/>
        </w:rPr>
        <w:t>del</w:t>
      </w:r>
      <w:r>
        <w:rPr>
          <w:rFonts w:ascii="Arial" w:eastAsia="Arial" w:hAnsi="Arial" w:cs="Arial"/>
          <w:w w:val="107"/>
          <w:lang w:val="es-CO"/>
        </w:rPr>
        <w:t xml:space="preserve"> </w:t>
      </w:r>
      <w:r>
        <w:rPr>
          <w:rFonts w:ascii="Arial" w:eastAsia="Arial" w:hAnsi="Arial" w:cs="Arial"/>
          <w:lang w:val="es-CO"/>
        </w:rPr>
        <w:t>impuesto</w:t>
      </w:r>
      <w:r>
        <w:rPr>
          <w:rFonts w:ascii="Arial" w:eastAsia="Arial" w:hAnsi="Arial" w:cs="Arial"/>
          <w:spacing w:val="51"/>
          <w:lang w:val="es-CO"/>
        </w:rPr>
        <w:t xml:space="preserve"> </w:t>
      </w:r>
      <w:r>
        <w:rPr>
          <w:rFonts w:ascii="Arial" w:eastAsia="Arial" w:hAnsi="Arial" w:cs="Arial"/>
          <w:lang w:val="es-CO"/>
        </w:rPr>
        <w:t>nacional</w:t>
      </w:r>
      <w:r>
        <w:rPr>
          <w:rFonts w:ascii="Arial" w:eastAsia="Arial" w:hAnsi="Arial" w:cs="Arial"/>
          <w:spacing w:val="34"/>
          <w:lang w:val="es-CO"/>
        </w:rPr>
        <w:t xml:space="preserve"> </w:t>
      </w:r>
      <w:r>
        <w:rPr>
          <w:rFonts w:ascii="Arial" w:eastAsia="Arial" w:hAnsi="Arial" w:cs="Arial"/>
          <w:lang w:val="es-CO"/>
        </w:rPr>
        <w:t>al</w:t>
      </w:r>
      <w:r>
        <w:rPr>
          <w:rFonts w:ascii="Arial" w:eastAsia="Arial" w:hAnsi="Arial" w:cs="Arial"/>
          <w:spacing w:val="24"/>
          <w:lang w:val="es-CO"/>
        </w:rPr>
        <w:t xml:space="preserve"> </w:t>
      </w:r>
      <w:r>
        <w:rPr>
          <w:rFonts w:ascii="Arial" w:eastAsia="Arial" w:hAnsi="Arial" w:cs="Arial"/>
          <w:lang w:val="es-CO"/>
        </w:rPr>
        <w:t>consumo,</w:t>
      </w:r>
      <w:r>
        <w:rPr>
          <w:rFonts w:ascii="Arial" w:eastAsia="Arial" w:hAnsi="Arial" w:cs="Arial"/>
          <w:spacing w:val="47"/>
          <w:lang w:val="es-CO"/>
        </w:rPr>
        <w:t xml:space="preserve"> </w:t>
      </w:r>
      <w:r>
        <w:rPr>
          <w:rFonts w:ascii="Arial" w:eastAsia="Arial" w:hAnsi="Arial" w:cs="Arial"/>
          <w:lang w:val="es-CO"/>
        </w:rPr>
        <w:t>deberán</w:t>
      </w:r>
      <w:r>
        <w:rPr>
          <w:rFonts w:ascii="Arial" w:eastAsia="Arial" w:hAnsi="Arial" w:cs="Arial"/>
          <w:spacing w:val="54"/>
          <w:lang w:val="es-CO"/>
        </w:rPr>
        <w:t xml:space="preserve"> </w:t>
      </w:r>
      <w:r>
        <w:rPr>
          <w:rFonts w:ascii="Arial" w:eastAsia="Arial" w:hAnsi="Arial" w:cs="Arial"/>
          <w:lang w:val="es-CO"/>
        </w:rPr>
        <w:t>presentar</w:t>
      </w:r>
      <w:r>
        <w:rPr>
          <w:rFonts w:ascii="Arial" w:eastAsia="Arial" w:hAnsi="Arial" w:cs="Arial"/>
          <w:spacing w:val="38"/>
          <w:lang w:val="es-CO"/>
        </w:rPr>
        <w:t xml:space="preserve"> </w:t>
      </w:r>
      <w:r>
        <w:rPr>
          <w:rFonts w:ascii="Arial" w:eastAsia="Arial" w:hAnsi="Arial" w:cs="Arial"/>
          <w:lang w:val="es-CO"/>
        </w:rPr>
        <w:t>anualmente la</w:t>
      </w:r>
      <w:r>
        <w:rPr>
          <w:rFonts w:ascii="Arial" w:eastAsia="Arial" w:hAnsi="Arial" w:cs="Arial"/>
          <w:spacing w:val="35"/>
          <w:lang w:val="es-CO"/>
        </w:rPr>
        <w:t xml:space="preserve"> </w:t>
      </w:r>
      <w:r>
        <w:rPr>
          <w:rFonts w:ascii="Arial" w:eastAsia="Arial" w:hAnsi="Arial" w:cs="Arial"/>
          <w:lang w:val="es-CO"/>
        </w:rPr>
        <w:t>declaración</w:t>
      </w:r>
      <w:r>
        <w:rPr>
          <w:rFonts w:ascii="Arial" w:eastAsia="Arial" w:hAnsi="Arial" w:cs="Arial"/>
          <w:w w:val="104"/>
          <w:lang w:val="es-CO"/>
        </w:rPr>
        <w:t xml:space="preserve"> </w:t>
      </w:r>
      <w:r>
        <w:rPr>
          <w:rFonts w:ascii="Arial" w:eastAsia="Arial" w:hAnsi="Arial" w:cs="Arial"/>
          <w:lang w:val="es-CO"/>
        </w:rPr>
        <w:t>simplificada</w:t>
      </w:r>
      <w:r>
        <w:rPr>
          <w:rFonts w:ascii="Arial" w:eastAsia="Arial" w:hAnsi="Arial" w:cs="Arial"/>
          <w:spacing w:val="61"/>
          <w:lang w:val="es-CO"/>
        </w:rPr>
        <w:t xml:space="preserve"> </w:t>
      </w:r>
      <w:r>
        <w:rPr>
          <w:rFonts w:ascii="Arial" w:eastAsia="Arial" w:hAnsi="Arial" w:cs="Arial"/>
          <w:lang w:val="es-CO"/>
        </w:rPr>
        <w:t>por</w:t>
      </w:r>
      <w:r>
        <w:rPr>
          <w:rFonts w:ascii="Arial" w:eastAsia="Arial" w:hAnsi="Arial" w:cs="Arial"/>
          <w:spacing w:val="19"/>
          <w:lang w:val="es-CO"/>
        </w:rPr>
        <w:t xml:space="preserve"> </w:t>
      </w:r>
      <w:r>
        <w:rPr>
          <w:rFonts w:ascii="Arial" w:eastAsia="Arial" w:hAnsi="Arial" w:cs="Arial"/>
          <w:lang w:val="es-CO"/>
        </w:rPr>
        <w:t>sus</w:t>
      </w:r>
      <w:r>
        <w:rPr>
          <w:rFonts w:ascii="Arial" w:eastAsia="Arial" w:hAnsi="Arial" w:cs="Arial"/>
          <w:spacing w:val="34"/>
          <w:lang w:val="es-CO"/>
        </w:rPr>
        <w:t xml:space="preserve"> </w:t>
      </w:r>
      <w:r>
        <w:rPr>
          <w:rFonts w:ascii="Arial" w:eastAsia="Arial" w:hAnsi="Arial" w:cs="Arial"/>
          <w:lang w:val="es-CO"/>
        </w:rPr>
        <w:t>ingresos</w:t>
      </w:r>
      <w:r>
        <w:rPr>
          <w:rFonts w:ascii="Arial" w:eastAsia="Arial" w:hAnsi="Arial" w:cs="Arial"/>
          <w:spacing w:val="32"/>
          <w:lang w:val="es-CO"/>
        </w:rPr>
        <w:t xml:space="preserve"> </w:t>
      </w:r>
      <w:r>
        <w:rPr>
          <w:rFonts w:ascii="Arial" w:eastAsia="Arial" w:hAnsi="Arial" w:cs="Arial"/>
          <w:lang w:val="es-CO"/>
        </w:rPr>
        <w:t>relacionados</w:t>
      </w:r>
      <w:r>
        <w:rPr>
          <w:rFonts w:ascii="Arial" w:eastAsia="Arial" w:hAnsi="Arial" w:cs="Arial"/>
          <w:spacing w:val="47"/>
          <w:lang w:val="es-CO"/>
        </w:rPr>
        <w:t xml:space="preserve"> </w:t>
      </w:r>
      <w:r>
        <w:rPr>
          <w:rFonts w:ascii="Arial" w:eastAsia="Arial" w:hAnsi="Arial" w:cs="Arial"/>
          <w:lang w:val="es-CO"/>
        </w:rPr>
        <w:t>con</w:t>
      </w:r>
      <w:r>
        <w:rPr>
          <w:rFonts w:ascii="Arial" w:eastAsia="Arial" w:hAnsi="Arial" w:cs="Arial"/>
          <w:spacing w:val="27"/>
          <w:lang w:val="es-CO"/>
        </w:rPr>
        <w:t xml:space="preserve"> </w:t>
      </w:r>
      <w:r>
        <w:rPr>
          <w:rFonts w:ascii="Arial" w:eastAsia="Arial" w:hAnsi="Arial" w:cs="Arial"/>
          <w:lang w:val="es-CO"/>
        </w:rPr>
        <w:t>la</w:t>
      </w:r>
      <w:r>
        <w:rPr>
          <w:rFonts w:ascii="Arial" w:eastAsia="Arial" w:hAnsi="Arial" w:cs="Arial"/>
          <w:spacing w:val="28"/>
          <w:lang w:val="es-CO"/>
        </w:rPr>
        <w:t xml:space="preserve"> </w:t>
      </w:r>
      <w:r>
        <w:rPr>
          <w:rFonts w:ascii="Arial" w:eastAsia="Arial" w:hAnsi="Arial" w:cs="Arial"/>
          <w:lang w:val="es-CO"/>
        </w:rPr>
        <w:t>prestación</w:t>
      </w:r>
      <w:r>
        <w:rPr>
          <w:rFonts w:ascii="Arial" w:eastAsia="Arial" w:hAnsi="Arial" w:cs="Arial"/>
          <w:spacing w:val="-33"/>
          <w:lang w:val="es-CO"/>
        </w:rPr>
        <w:t xml:space="preserve"> </w:t>
      </w:r>
      <w:r>
        <w:rPr>
          <w:rFonts w:ascii="Arial" w:eastAsia="Arial" w:hAnsi="Arial" w:cs="Arial"/>
          <w:w w:val="70"/>
          <w:lang w:val="es-CO"/>
        </w:rPr>
        <w:t>·</w:t>
      </w:r>
      <w:r>
        <w:rPr>
          <w:rFonts w:ascii="Arial" w:eastAsia="Arial" w:hAnsi="Arial" w:cs="Arial"/>
          <w:spacing w:val="16"/>
          <w:w w:val="70"/>
          <w:lang w:val="es-CO"/>
        </w:rPr>
        <w:t xml:space="preserve"> </w:t>
      </w:r>
      <w:r>
        <w:rPr>
          <w:rFonts w:ascii="Arial" w:eastAsia="Arial" w:hAnsi="Arial" w:cs="Arial"/>
          <w:lang w:val="es-CO"/>
        </w:rPr>
        <w:t>del</w:t>
      </w:r>
      <w:r>
        <w:rPr>
          <w:rFonts w:ascii="Arial" w:eastAsia="Arial" w:hAnsi="Arial" w:cs="Arial"/>
          <w:spacing w:val="17"/>
          <w:lang w:val="es-CO"/>
        </w:rPr>
        <w:t xml:space="preserve"> </w:t>
      </w:r>
      <w:r>
        <w:rPr>
          <w:rFonts w:ascii="Arial" w:eastAsia="Arial" w:hAnsi="Arial" w:cs="Arial"/>
          <w:lang w:val="es-CO"/>
        </w:rPr>
        <w:t>servicio</w:t>
      </w:r>
      <w:r>
        <w:rPr>
          <w:rFonts w:ascii="Arial" w:eastAsia="Arial" w:hAnsi="Arial" w:cs="Arial"/>
          <w:spacing w:val="27"/>
          <w:lang w:val="es-CO"/>
        </w:rPr>
        <w:t xml:space="preserve"> </w:t>
      </w:r>
      <w:r>
        <w:rPr>
          <w:rFonts w:ascii="Arial" w:eastAsia="Arial" w:hAnsi="Arial" w:cs="Arial"/>
          <w:lang w:val="es-CO"/>
        </w:rPr>
        <w:t>de</w:t>
      </w:r>
      <w:r>
        <w:rPr>
          <w:rFonts w:ascii="Arial" w:eastAsia="Arial" w:hAnsi="Arial" w:cs="Arial"/>
          <w:w w:val="105"/>
          <w:lang w:val="es-CO"/>
        </w:rPr>
        <w:t xml:space="preserve"> </w:t>
      </w:r>
      <w:r>
        <w:rPr>
          <w:rFonts w:ascii="Arial" w:eastAsia="Arial" w:hAnsi="Arial" w:cs="Arial"/>
          <w:lang w:val="es-CO"/>
        </w:rPr>
        <w:t>restaurantes,</w:t>
      </w:r>
      <w:r>
        <w:rPr>
          <w:rFonts w:ascii="Arial" w:eastAsia="Arial" w:hAnsi="Arial" w:cs="Arial"/>
          <w:spacing w:val="22"/>
          <w:lang w:val="es-CO"/>
        </w:rPr>
        <w:t xml:space="preserve"> </w:t>
      </w:r>
      <w:r>
        <w:rPr>
          <w:rFonts w:ascii="Arial" w:eastAsia="Arial" w:hAnsi="Arial" w:cs="Arial"/>
          <w:lang w:val="es-CO"/>
        </w:rPr>
        <w:t>bares</w:t>
      </w:r>
      <w:r>
        <w:rPr>
          <w:rFonts w:ascii="Arial" w:eastAsia="Arial" w:hAnsi="Arial" w:cs="Arial"/>
          <w:spacing w:val="49"/>
          <w:lang w:val="es-CO"/>
        </w:rPr>
        <w:t xml:space="preserve"> </w:t>
      </w:r>
      <w:r>
        <w:rPr>
          <w:rFonts w:ascii="Arial" w:eastAsia="Arial" w:hAnsi="Arial" w:cs="Arial"/>
          <w:lang w:val="es-CO"/>
        </w:rPr>
        <w:t>y</w:t>
      </w:r>
      <w:r>
        <w:rPr>
          <w:rFonts w:ascii="Arial" w:eastAsia="Arial" w:hAnsi="Arial" w:cs="Arial"/>
          <w:spacing w:val="60"/>
          <w:lang w:val="es-CO"/>
        </w:rPr>
        <w:t xml:space="preserve"> </w:t>
      </w:r>
      <w:r>
        <w:rPr>
          <w:rFonts w:ascii="Arial" w:eastAsia="Arial" w:hAnsi="Arial" w:cs="Arial"/>
          <w:lang w:val="es-CO"/>
        </w:rPr>
        <w:t>similares,</w:t>
      </w:r>
      <w:r>
        <w:rPr>
          <w:rFonts w:ascii="Arial" w:eastAsia="Arial" w:hAnsi="Arial" w:cs="Arial"/>
          <w:spacing w:val="3"/>
          <w:lang w:val="es-CO"/>
        </w:rPr>
        <w:t xml:space="preserve"> </w:t>
      </w:r>
      <w:r>
        <w:rPr>
          <w:rFonts w:ascii="Arial" w:eastAsia="Arial" w:hAnsi="Arial" w:cs="Arial"/>
          <w:lang w:val="es-CO"/>
        </w:rPr>
        <w:t>en</w:t>
      </w:r>
      <w:r>
        <w:rPr>
          <w:rFonts w:ascii="Arial" w:eastAsia="Arial" w:hAnsi="Arial" w:cs="Arial"/>
          <w:spacing w:val="45"/>
          <w:lang w:val="es-CO"/>
        </w:rPr>
        <w:t xml:space="preserve"> </w:t>
      </w:r>
      <w:r>
        <w:rPr>
          <w:rFonts w:ascii="Arial" w:eastAsia="Arial" w:hAnsi="Arial" w:cs="Arial"/>
          <w:lang w:val="es-CO"/>
        </w:rPr>
        <w:t>el</w:t>
      </w:r>
      <w:r>
        <w:rPr>
          <w:rFonts w:ascii="Arial" w:eastAsia="Arial" w:hAnsi="Arial" w:cs="Arial"/>
          <w:spacing w:val="41"/>
          <w:lang w:val="es-CO"/>
        </w:rPr>
        <w:t xml:space="preserve"> </w:t>
      </w:r>
      <w:r>
        <w:rPr>
          <w:rFonts w:ascii="Arial" w:eastAsia="Arial" w:hAnsi="Arial" w:cs="Arial"/>
          <w:lang w:val="es-CO"/>
        </w:rPr>
        <w:t>formulario</w:t>
      </w:r>
      <w:r>
        <w:rPr>
          <w:rFonts w:ascii="Arial" w:eastAsia="Arial" w:hAnsi="Arial" w:cs="Arial"/>
          <w:spacing w:val="61"/>
          <w:lang w:val="es-CO"/>
        </w:rPr>
        <w:t xml:space="preserve"> </w:t>
      </w:r>
      <w:r>
        <w:rPr>
          <w:rFonts w:ascii="Arial" w:eastAsia="Arial" w:hAnsi="Arial" w:cs="Arial"/>
          <w:lang w:val="es-CO"/>
        </w:rPr>
        <w:t>que</w:t>
      </w:r>
      <w:r>
        <w:rPr>
          <w:rFonts w:ascii="Arial" w:eastAsia="Arial" w:hAnsi="Arial" w:cs="Arial"/>
          <w:spacing w:val="57"/>
          <w:lang w:val="es-CO"/>
        </w:rPr>
        <w:t xml:space="preserve"> </w:t>
      </w:r>
      <w:r>
        <w:rPr>
          <w:rFonts w:ascii="Arial" w:eastAsia="Arial" w:hAnsi="Arial" w:cs="Arial"/>
          <w:lang w:val="es-CO"/>
        </w:rPr>
        <w:t>para</w:t>
      </w:r>
      <w:r>
        <w:rPr>
          <w:rFonts w:ascii="Arial" w:eastAsia="Arial" w:hAnsi="Arial" w:cs="Arial"/>
          <w:spacing w:val="54"/>
          <w:lang w:val="es-CO"/>
        </w:rPr>
        <w:t xml:space="preserve"> </w:t>
      </w:r>
      <w:r>
        <w:rPr>
          <w:rFonts w:ascii="Arial" w:eastAsia="Arial" w:hAnsi="Arial" w:cs="Arial"/>
          <w:lang w:val="es-CO"/>
        </w:rPr>
        <w:t>el</w:t>
      </w:r>
      <w:r>
        <w:rPr>
          <w:rFonts w:ascii="Arial" w:eastAsia="Arial" w:hAnsi="Arial" w:cs="Arial"/>
          <w:spacing w:val="41"/>
          <w:lang w:val="es-CO"/>
        </w:rPr>
        <w:t xml:space="preserve"> </w:t>
      </w:r>
      <w:r>
        <w:rPr>
          <w:rFonts w:ascii="Arial" w:eastAsia="Arial" w:hAnsi="Arial" w:cs="Arial"/>
          <w:lang w:val="es-CO"/>
        </w:rPr>
        <w:t>efecto</w:t>
      </w:r>
      <w:r>
        <w:rPr>
          <w:rFonts w:ascii="Arial" w:eastAsia="Arial" w:hAnsi="Arial" w:cs="Arial"/>
          <w:spacing w:val="58"/>
          <w:lang w:val="es-CO"/>
        </w:rPr>
        <w:t xml:space="preserve"> </w:t>
      </w:r>
      <w:r>
        <w:rPr>
          <w:rFonts w:ascii="Arial" w:eastAsia="Arial" w:hAnsi="Arial" w:cs="Arial"/>
          <w:lang w:val="es-CO"/>
        </w:rPr>
        <w:t>defina</w:t>
      </w:r>
      <w:r>
        <w:rPr>
          <w:rFonts w:ascii="Arial" w:eastAsia="Arial" w:hAnsi="Arial" w:cs="Arial"/>
          <w:spacing w:val="6"/>
          <w:lang w:val="es-CO"/>
        </w:rPr>
        <w:t xml:space="preserve"> </w:t>
      </w:r>
      <w:r>
        <w:rPr>
          <w:rFonts w:ascii="Arial" w:eastAsia="Arial" w:hAnsi="Arial" w:cs="Arial"/>
          <w:lang w:val="es-CO"/>
        </w:rPr>
        <w:t>la</w:t>
      </w:r>
      <w:r>
        <w:rPr>
          <w:rFonts w:ascii="Arial" w:eastAsia="Arial" w:hAnsi="Arial" w:cs="Arial"/>
          <w:spacing w:val="62"/>
          <w:lang w:val="es-CO"/>
        </w:rPr>
        <w:t xml:space="preserve"> </w:t>
      </w:r>
      <w:r>
        <w:rPr>
          <w:rFonts w:ascii="Arial" w:eastAsia="Arial" w:hAnsi="Arial" w:cs="Arial"/>
          <w:lang w:val="es-CO"/>
        </w:rPr>
        <w:t>Unidad</w:t>
      </w:r>
      <w:r>
        <w:rPr>
          <w:rFonts w:ascii="Arial" w:eastAsia="Arial" w:hAnsi="Arial" w:cs="Arial"/>
          <w:w w:val="103"/>
          <w:lang w:val="es-CO"/>
        </w:rPr>
        <w:t xml:space="preserve"> </w:t>
      </w:r>
      <w:r>
        <w:rPr>
          <w:rFonts w:ascii="Arial" w:eastAsia="Arial" w:hAnsi="Arial" w:cs="Arial"/>
          <w:lang w:val="es-CO"/>
        </w:rPr>
        <w:t xml:space="preserve">Administrativa </w:t>
      </w:r>
      <w:r>
        <w:rPr>
          <w:rFonts w:ascii="Arial" w:eastAsia="Arial" w:hAnsi="Arial" w:cs="Arial"/>
          <w:spacing w:val="26"/>
          <w:lang w:val="es-CO"/>
        </w:rPr>
        <w:t xml:space="preserve"> </w:t>
      </w:r>
      <w:r>
        <w:rPr>
          <w:rFonts w:ascii="Arial" w:eastAsia="Arial" w:hAnsi="Arial" w:cs="Arial"/>
          <w:lang w:val="es-CO"/>
        </w:rPr>
        <w:t>Especial</w:t>
      </w:r>
      <w:r>
        <w:rPr>
          <w:rFonts w:ascii="Arial" w:eastAsia="Arial" w:hAnsi="Arial" w:cs="Arial"/>
          <w:spacing w:val="39"/>
          <w:lang w:val="es-CO"/>
        </w:rPr>
        <w:t xml:space="preserve"> </w:t>
      </w:r>
      <w:r>
        <w:rPr>
          <w:rFonts w:ascii="Arial" w:eastAsia="Arial" w:hAnsi="Arial" w:cs="Arial"/>
          <w:lang w:val="es-CO"/>
        </w:rPr>
        <w:t>Dirección</w:t>
      </w:r>
      <w:r>
        <w:rPr>
          <w:rFonts w:ascii="Arial" w:eastAsia="Arial" w:hAnsi="Arial" w:cs="Arial"/>
          <w:spacing w:val="29"/>
          <w:lang w:val="es-CO"/>
        </w:rPr>
        <w:t xml:space="preserve"> </w:t>
      </w:r>
      <w:r>
        <w:rPr>
          <w:rFonts w:ascii="Arial" w:eastAsia="Arial" w:hAnsi="Arial" w:cs="Arial"/>
          <w:lang w:val="es-CO"/>
        </w:rPr>
        <w:t>de</w:t>
      </w:r>
      <w:r>
        <w:rPr>
          <w:rFonts w:ascii="Arial" w:eastAsia="Arial" w:hAnsi="Arial" w:cs="Arial"/>
          <w:spacing w:val="40"/>
          <w:lang w:val="es-CO"/>
        </w:rPr>
        <w:t xml:space="preserve"> </w:t>
      </w:r>
      <w:r>
        <w:rPr>
          <w:rFonts w:ascii="Arial" w:eastAsia="Arial" w:hAnsi="Arial" w:cs="Arial"/>
          <w:lang w:val="es-CO"/>
        </w:rPr>
        <w:t>Impuestos</w:t>
      </w:r>
      <w:r>
        <w:rPr>
          <w:rFonts w:ascii="Arial" w:eastAsia="Arial" w:hAnsi="Arial" w:cs="Arial"/>
          <w:spacing w:val="31"/>
          <w:lang w:val="es-CO"/>
        </w:rPr>
        <w:t xml:space="preserve"> </w:t>
      </w:r>
      <w:r>
        <w:rPr>
          <w:rFonts w:ascii="Arial" w:eastAsia="Arial" w:hAnsi="Arial" w:cs="Arial"/>
          <w:lang w:val="es-CO"/>
        </w:rPr>
        <w:t>y</w:t>
      </w:r>
      <w:r>
        <w:rPr>
          <w:rFonts w:ascii="Arial" w:eastAsia="Arial" w:hAnsi="Arial" w:cs="Arial"/>
          <w:spacing w:val="23"/>
          <w:lang w:val="es-CO"/>
        </w:rPr>
        <w:t xml:space="preserve"> </w:t>
      </w:r>
      <w:r>
        <w:rPr>
          <w:rFonts w:ascii="Arial" w:eastAsia="Arial" w:hAnsi="Arial" w:cs="Arial"/>
          <w:lang w:val="es-CO"/>
        </w:rPr>
        <w:t xml:space="preserve">Aduanas </w:t>
      </w:r>
      <w:r>
        <w:rPr>
          <w:rFonts w:ascii="Arial" w:eastAsia="Arial" w:hAnsi="Arial" w:cs="Arial"/>
          <w:spacing w:val="2"/>
          <w:lang w:val="es-CO"/>
        </w:rPr>
        <w:t xml:space="preserve"> </w:t>
      </w:r>
      <w:r>
        <w:rPr>
          <w:rFonts w:ascii="Arial" w:eastAsia="Arial" w:hAnsi="Arial" w:cs="Arial"/>
          <w:lang w:val="es-CO"/>
        </w:rPr>
        <w:t>Nacionales</w:t>
      </w:r>
      <w:r>
        <w:rPr>
          <w:rFonts w:ascii="Arial" w:eastAsia="Arial" w:hAnsi="Arial" w:cs="Arial"/>
          <w:spacing w:val="37"/>
          <w:lang w:val="es-CO"/>
        </w:rPr>
        <w:t xml:space="preserve"> </w:t>
      </w:r>
      <w:r>
        <w:rPr>
          <w:rFonts w:ascii="Arial" w:eastAsia="Arial" w:hAnsi="Arial" w:cs="Arial"/>
          <w:lang w:val="es-CO"/>
        </w:rPr>
        <w:t>-</w:t>
      </w:r>
      <w:r>
        <w:rPr>
          <w:rFonts w:ascii="Arial" w:eastAsia="Arial" w:hAnsi="Arial" w:cs="Arial"/>
          <w:spacing w:val="36"/>
          <w:lang w:val="es-CO"/>
        </w:rPr>
        <w:t xml:space="preserve"> </w:t>
      </w:r>
      <w:r>
        <w:rPr>
          <w:rFonts w:ascii="Arial" w:eastAsia="Arial" w:hAnsi="Arial" w:cs="Arial"/>
          <w:lang w:val="es-CO"/>
        </w:rPr>
        <w:t>DIAN.</w:t>
      </w:r>
    </w:p>
    <w:p w14:paraId="5E606626" w14:textId="77777777" w:rsidR="00B2442D" w:rsidRDefault="00B2442D">
      <w:pPr>
        <w:spacing w:line="40" w:lineRule="atLeast"/>
        <w:ind w:right="-30"/>
        <w:jc w:val="both"/>
        <w:rPr>
          <w:rFonts w:ascii="Arial" w:hAnsi="Arial" w:cs="Arial"/>
          <w:lang w:val="es-CO"/>
        </w:rPr>
      </w:pPr>
    </w:p>
    <w:p w14:paraId="333BA4E2" w14:textId="77777777" w:rsidR="00B2442D" w:rsidRDefault="008A645F">
      <w:pPr>
        <w:jc w:val="both"/>
        <w:rPr>
          <w:rFonts w:ascii="Arial" w:hAnsi="Arial" w:cs="Arial"/>
          <w:i/>
          <w:lang w:val="es-ES_tradnl"/>
        </w:rPr>
      </w:pPr>
      <w:r>
        <w:rPr>
          <w:rFonts w:ascii="Arial" w:hAnsi="Arial" w:cs="Arial"/>
          <w:i/>
          <w:lang w:val="es-ES_tradnl"/>
        </w:rPr>
        <w:t xml:space="preserve">(Art. 33, Decreto 2243 de 2015) (Plazos 2015: Decreto 2623 de 2014; plazos 2014: </w:t>
      </w:r>
      <w:r>
        <w:rPr>
          <w:rFonts w:ascii="Arial" w:hAnsi="Arial" w:cs="Arial"/>
          <w:i/>
          <w:lang w:val="es-ES_tradnl"/>
        </w:rPr>
        <w:t>Decreto 2972 de 2013 y Decreto 685 de 2014; plazos 2013: Decreto 2634 de 2012 y Decreto 0187 de 2013; plazos 2012: Decreto 4907 de 2011; plazos 2011: Decreto 4836 de 2010 y Decreto 1358 de 2011)</w:t>
      </w:r>
    </w:p>
    <w:p w14:paraId="12314D38" w14:textId="77777777" w:rsidR="00B2442D" w:rsidRDefault="00B2442D">
      <w:pPr>
        <w:spacing w:line="40" w:lineRule="atLeast"/>
        <w:ind w:right="-30"/>
        <w:jc w:val="both"/>
        <w:rPr>
          <w:rFonts w:ascii="Arial" w:hAnsi="Arial" w:cs="Arial"/>
          <w:lang w:val="es-CO"/>
        </w:rPr>
      </w:pPr>
    </w:p>
    <w:p w14:paraId="086C0C07" w14:textId="77777777" w:rsidR="00B2442D" w:rsidRDefault="008A645F">
      <w:pPr>
        <w:pStyle w:val="Prrafodelista"/>
        <w:numPr>
          <w:ilvl w:val="0"/>
          <w:numId w:val="152"/>
        </w:numPr>
        <w:spacing w:line="40" w:lineRule="atLeast"/>
        <w:ind w:left="0" w:right="-30" w:firstLine="0"/>
        <w:jc w:val="both"/>
        <w:rPr>
          <w:rFonts w:ascii="Arial" w:eastAsia="Arial" w:hAnsi="Arial" w:cs="Arial"/>
          <w:w w:val="105"/>
          <w:lang w:val="es-CO"/>
        </w:rPr>
      </w:pPr>
      <w:r>
        <w:rPr>
          <w:rFonts w:ascii="Arial" w:eastAsia="Arial" w:hAnsi="Arial" w:cs="Arial"/>
          <w:b/>
          <w:i/>
          <w:w w:val="105"/>
          <w:lang w:val="es-CO"/>
        </w:rPr>
        <w:t xml:space="preserve">Plazos  </w:t>
      </w:r>
      <w:r>
        <w:rPr>
          <w:rFonts w:ascii="Arial" w:eastAsia="Arial" w:hAnsi="Arial" w:cs="Arial"/>
          <w:b/>
          <w:i/>
          <w:spacing w:val="55"/>
          <w:w w:val="105"/>
          <w:lang w:val="es-CO"/>
        </w:rPr>
        <w:t xml:space="preserve"> </w:t>
      </w:r>
      <w:r>
        <w:rPr>
          <w:rFonts w:ascii="Arial" w:eastAsia="Arial" w:hAnsi="Arial" w:cs="Arial"/>
          <w:b/>
          <w:i/>
          <w:w w:val="105"/>
          <w:lang w:val="es-CO"/>
        </w:rPr>
        <w:t xml:space="preserve">declaración  </w:t>
      </w:r>
      <w:r>
        <w:rPr>
          <w:rFonts w:ascii="Arial" w:eastAsia="Arial" w:hAnsi="Arial" w:cs="Arial"/>
          <w:b/>
          <w:i/>
          <w:spacing w:val="66"/>
          <w:w w:val="105"/>
          <w:lang w:val="es-CO"/>
        </w:rPr>
        <w:t xml:space="preserve"> </w:t>
      </w:r>
      <w:r>
        <w:rPr>
          <w:rFonts w:ascii="Arial" w:eastAsia="Arial" w:hAnsi="Arial" w:cs="Arial"/>
          <w:b/>
          <w:i/>
          <w:w w:val="105"/>
          <w:lang w:val="es-CO"/>
        </w:rPr>
        <w:t xml:space="preserve">simplificada   </w:t>
      </w:r>
      <w:r>
        <w:rPr>
          <w:rFonts w:ascii="Arial" w:eastAsia="Arial" w:hAnsi="Arial" w:cs="Arial"/>
          <w:b/>
          <w:i/>
          <w:spacing w:val="11"/>
          <w:w w:val="105"/>
          <w:lang w:val="es-CO"/>
        </w:rPr>
        <w:t xml:space="preserve"> </w:t>
      </w:r>
      <w:r>
        <w:rPr>
          <w:rFonts w:ascii="Arial" w:eastAsia="Arial" w:hAnsi="Arial" w:cs="Arial"/>
          <w:b/>
          <w:i/>
          <w:w w:val="105"/>
          <w:lang w:val="es-CO"/>
        </w:rPr>
        <w:t xml:space="preserve">del impuesto </w:t>
      </w:r>
      <w:r>
        <w:rPr>
          <w:rFonts w:ascii="Arial" w:eastAsia="Arial" w:hAnsi="Arial" w:cs="Arial"/>
          <w:b/>
          <w:i/>
          <w:w w:val="105"/>
          <w:lang w:val="es-CO"/>
        </w:rPr>
        <w:t>nacional</w:t>
      </w:r>
      <w:r>
        <w:rPr>
          <w:rFonts w:ascii="Arial" w:eastAsia="Arial" w:hAnsi="Arial" w:cs="Arial"/>
          <w:b/>
          <w:i/>
          <w:spacing w:val="33"/>
          <w:w w:val="105"/>
          <w:lang w:val="es-CO"/>
        </w:rPr>
        <w:t xml:space="preserve"> </w:t>
      </w:r>
      <w:r>
        <w:rPr>
          <w:rFonts w:ascii="Arial" w:eastAsia="Arial" w:hAnsi="Arial" w:cs="Arial"/>
          <w:b/>
          <w:i/>
          <w:w w:val="105"/>
          <w:lang w:val="es-CO"/>
        </w:rPr>
        <w:t>al</w:t>
      </w:r>
      <w:r>
        <w:rPr>
          <w:rFonts w:ascii="Arial" w:eastAsia="Arial" w:hAnsi="Arial" w:cs="Arial"/>
          <w:b/>
          <w:i/>
          <w:spacing w:val="36"/>
          <w:w w:val="105"/>
          <w:lang w:val="es-CO"/>
        </w:rPr>
        <w:t xml:space="preserve"> </w:t>
      </w:r>
      <w:r>
        <w:rPr>
          <w:rFonts w:ascii="Arial" w:eastAsia="Arial" w:hAnsi="Arial" w:cs="Arial"/>
          <w:b/>
          <w:i/>
          <w:w w:val="105"/>
          <w:lang w:val="es-CO"/>
        </w:rPr>
        <w:t>consumo</w:t>
      </w:r>
      <w:r>
        <w:rPr>
          <w:rFonts w:ascii="Arial" w:eastAsia="Arial" w:hAnsi="Arial" w:cs="Arial"/>
          <w:b/>
          <w:i/>
          <w:spacing w:val="33"/>
          <w:w w:val="105"/>
          <w:lang w:val="es-CO"/>
        </w:rPr>
        <w:t xml:space="preserve"> </w:t>
      </w:r>
      <w:r>
        <w:rPr>
          <w:rFonts w:ascii="Arial" w:eastAsia="Arial" w:hAnsi="Arial" w:cs="Arial"/>
          <w:b/>
          <w:i/>
          <w:w w:val="105"/>
          <w:lang w:val="es-CO"/>
        </w:rPr>
        <w:t>año</w:t>
      </w:r>
      <w:r>
        <w:rPr>
          <w:rFonts w:ascii="Arial" w:eastAsia="Arial" w:hAnsi="Arial" w:cs="Arial"/>
          <w:b/>
          <w:i/>
          <w:spacing w:val="36"/>
          <w:w w:val="105"/>
          <w:lang w:val="es-CO"/>
        </w:rPr>
        <w:t xml:space="preserve"> </w:t>
      </w:r>
      <w:r>
        <w:rPr>
          <w:rFonts w:ascii="Arial" w:eastAsia="Arial" w:hAnsi="Arial" w:cs="Arial"/>
          <w:b/>
          <w:i/>
          <w:w w:val="105"/>
          <w:lang w:val="es-CO"/>
        </w:rPr>
        <w:t>gravable</w:t>
      </w:r>
      <w:r>
        <w:rPr>
          <w:rFonts w:ascii="Arial" w:eastAsia="Arial" w:hAnsi="Arial" w:cs="Arial"/>
          <w:b/>
          <w:i/>
          <w:spacing w:val="46"/>
          <w:w w:val="105"/>
          <w:lang w:val="es-CO"/>
        </w:rPr>
        <w:t xml:space="preserve"> </w:t>
      </w:r>
      <w:r>
        <w:rPr>
          <w:rFonts w:ascii="Arial" w:eastAsia="Arial" w:hAnsi="Arial" w:cs="Arial"/>
          <w:b/>
          <w:i/>
          <w:w w:val="105"/>
          <w:lang w:val="es-CO"/>
        </w:rPr>
        <w:t>2016.</w:t>
      </w:r>
      <w:r>
        <w:rPr>
          <w:rFonts w:ascii="Arial" w:eastAsia="Arial" w:hAnsi="Arial" w:cs="Arial"/>
          <w:spacing w:val="37"/>
          <w:w w:val="105"/>
          <w:lang w:val="es-CO"/>
        </w:rPr>
        <w:t xml:space="preserve"> </w:t>
      </w:r>
      <w:r>
        <w:rPr>
          <w:rFonts w:ascii="Arial" w:eastAsia="Arial" w:hAnsi="Arial" w:cs="Arial"/>
          <w:w w:val="105"/>
          <w:lang w:val="es-CO"/>
        </w:rPr>
        <w:t>Los vencimientos para la presentación de dicha declaración se definen de acuerdo al último dígito del NIT, que conste en el certificado del Registro Único Tributario - RUT, sin tener en cuenta el dígito de verificació</w:t>
      </w:r>
      <w:r>
        <w:rPr>
          <w:rFonts w:ascii="Arial" w:eastAsia="Arial" w:hAnsi="Arial" w:cs="Arial"/>
          <w:w w:val="105"/>
          <w:lang w:val="es-CO"/>
        </w:rPr>
        <w:t>n, y serán para el año gravable 2017, los siguientes plazos:</w:t>
      </w:r>
    </w:p>
    <w:p w14:paraId="3416223D" w14:textId="77777777" w:rsidR="00B2442D" w:rsidRDefault="00B2442D">
      <w:pPr>
        <w:spacing w:line="40" w:lineRule="atLeast"/>
        <w:ind w:right="-30"/>
        <w:jc w:val="both"/>
        <w:rPr>
          <w:rFonts w:ascii="Arial" w:eastAsia="Arial" w:hAnsi="Arial" w:cs="Arial"/>
          <w:w w:val="105"/>
          <w:highlight w:val="yellow"/>
          <w:lang w:val="es-CO"/>
        </w:rPr>
      </w:pPr>
    </w:p>
    <w:tbl>
      <w:tblPr>
        <w:tblW w:w="5240" w:type="dxa"/>
        <w:jc w:val="center"/>
        <w:tblCellMar>
          <w:left w:w="70" w:type="dxa"/>
          <w:right w:w="70" w:type="dxa"/>
        </w:tblCellMar>
        <w:tblLook w:val="04A0" w:firstRow="1" w:lastRow="0" w:firstColumn="1" w:lastColumn="0" w:noHBand="0" w:noVBand="1"/>
      </w:tblPr>
      <w:tblGrid>
        <w:gridCol w:w="1830"/>
        <w:gridCol w:w="3410"/>
      </w:tblGrid>
      <w:tr w:rsidR="00B2442D" w14:paraId="065CB088" w14:textId="77777777">
        <w:trPr>
          <w:trHeight w:val="345"/>
          <w:tblHeader/>
          <w:jc w:val="center"/>
        </w:trPr>
        <w:tc>
          <w:tcPr>
            <w:tcW w:w="1830" w:type="dxa"/>
            <w:tcBorders>
              <w:top w:val="single" w:sz="8" w:space="0" w:color="auto"/>
              <w:left w:val="single" w:sz="8" w:space="0" w:color="auto"/>
              <w:bottom w:val="single" w:sz="8" w:space="0" w:color="auto"/>
              <w:right w:val="single" w:sz="8" w:space="0" w:color="auto"/>
            </w:tcBorders>
            <w:shd w:val="clear" w:color="auto" w:fill="D0CECE"/>
            <w:vAlign w:val="center"/>
            <w:hideMark/>
          </w:tcPr>
          <w:p w14:paraId="502C52C1"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Si el último digito es</w:t>
            </w:r>
          </w:p>
        </w:tc>
        <w:tc>
          <w:tcPr>
            <w:tcW w:w="3410" w:type="dxa"/>
            <w:tcBorders>
              <w:top w:val="single" w:sz="8" w:space="0" w:color="auto"/>
              <w:left w:val="nil"/>
              <w:bottom w:val="single" w:sz="8" w:space="0" w:color="auto"/>
              <w:right w:val="single" w:sz="8" w:space="0" w:color="auto"/>
            </w:tcBorders>
            <w:shd w:val="clear" w:color="auto" w:fill="D0CECE"/>
            <w:noWrap/>
            <w:vAlign w:val="center"/>
            <w:hideMark/>
          </w:tcPr>
          <w:p w14:paraId="4F6F92B9"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2B13218E"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2CED056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0</w:t>
            </w:r>
          </w:p>
        </w:tc>
        <w:tc>
          <w:tcPr>
            <w:tcW w:w="3410" w:type="dxa"/>
            <w:tcBorders>
              <w:top w:val="nil"/>
              <w:left w:val="nil"/>
              <w:bottom w:val="single" w:sz="8" w:space="0" w:color="auto"/>
              <w:right w:val="single" w:sz="8" w:space="0" w:color="auto"/>
            </w:tcBorders>
            <w:shd w:val="clear" w:color="auto" w:fill="auto"/>
            <w:noWrap/>
            <w:vAlign w:val="center"/>
          </w:tcPr>
          <w:p w14:paraId="1BF542D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11 de enero de 2018</w:t>
            </w:r>
          </w:p>
        </w:tc>
      </w:tr>
      <w:tr w:rsidR="00B2442D" w14:paraId="32C74694"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17FB157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9</w:t>
            </w:r>
          </w:p>
        </w:tc>
        <w:tc>
          <w:tcPr>
            <w:tcW w:w="3410" w:type="dxa"/>
            <w:tcBorders>
              <w:top w:val="nil"/>
              <w:left w:val="nil"/>
              <w:bottom w:val="single" w:sz="8" w:space="0" w:color="auto"/>
              <w:right w:val="single" w:sz="8" w:space="0" w:color="auto"/>
            </w:tcBorders>
            <w:shd w:val="clear" w:color="auto" w:fill="auto"/>
            <w:noWrap/>
            <w:vAlign w:val="center"/>
          </w:tcPr>
          <w:p w14:paraId="16721CC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12 de enero de 2018</w:t>
            </w:r>
          </w:p>
        </w:tc>
      </w:tr>
      <w:tr w:rsidR="00B2442D" w14:paraId="6655CF24"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21EB636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8</w:t>
            </w:r>
          </w:p>
        </w:tc>
        <w:tc>
          <w:tcPr>
            <w:tcW w:w="3410" w:type="dxa"/>
            <w:tcBorders>
              <w:top w:val="nil"/>
              <w:left w:val="nil"/>
              <w:bottom w:val="single" w:sz="4" w:space="0" w:color="auto"/>
              <w:right w:val="single" w:sz="8" w:space="0" w:color="auto"/>
            </w:tcBorders>
            <w:shd w:val="clear" w:color="auto" w:fill="auto"/>
            <w:noWrap/>
            <w:vAlign w:val="center"/>
          </w:tcPr>
          <w:p w14:paraId="5E510C6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enero de 2018</w:t>
            </w:r>
          </w:p>
        </w:tc>
      </w:tr>
      <w:tr w:rsidR="00B2442D" w14:paraId="3FFE273C"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04F87E5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7</w:t>
            </w:r>
          </w:p>
        </w:tc>
        <w:tc>
          <w:tcPr>
            <w:tcW w:w="3410" w:type="dxa"/>
            <w:tcBorders>
              <w:top w:val="single" w:sz="4" w:space="0" w:color="auto"/>
              <w:left w:val="nil"/>
              <w:bottom w:val="single" w:sz="8" w:space="0" w:color="auto"/>
              <w:right w:val="single" w:sz="4" w:space="0" w:color="auto"/>
            </w:tcBorders>
            <w:shd w:val="clear" w:color="auto" w:fill="auto"/>
            <w:noWrap/>
            <w:vAlign w:val="center"/>
          </w:tcPr>
          <w:p w14:paraId="4C14409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enero de 2018</w:t>
            </w:r>
          </w:p>
        </w:tc>
      </w:tr>
      <w:tr w:rsidR="00B2442D" w14:paraId="760F6208"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14340ED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6</w:t>
            </w:r>
          </w:p>
        </w:tc>
        <w:tc>
          <w:tcPr>
            <w:tcW w:w="3410" w:type="dxa"/>
            <w:tcBorders>
              <w:top w:val="single" w:sz="8" w:space="0" w:color="auto"/>
              <w:left w:val="nil"/>
              <w:bottom w:val="single" w:sz="8" w:space="0" w:color="auto"/>
              <w:right w:val="single" w:sz="4" w:space="0" w:color="auto"/>
            </w:tcBorders>
            <w:shd w:val="clear" w:color="auto" w:fill="auto"/>
            <w:noWrap/>
            <w:vAlign w:val="center"/>
          </w:tcPr>
          <w:p w14:paraId="2C2A83C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enero de 2018</w:t>
            </w:r>
          </w:p>
        </w:tc>
      </w:tr>
      <w:tr w:rsidR="00B2442D" w14:paraId="0A5B9388"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4730B1D6"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5</w:t>
            </w:r>
          </w:p>
        </w:tc>
        <w:tc>
          <w:tcPr>
            <w:tcW w:w="3410" w:type="dxa"/>
            <w:tcBorders>
              <w:top w:val="single" w:sz="8" w:space="0" w:color="auto"/>
              <w:left w:val="nil"/>
              <w:bottom w:val="single" w:sz="8" w:space="0" w:color="auto"/>
              <w:right w:val="single" w:sz="4" w:space="0" w:color="auto"/>
            </w:tcBorders>
            <w:shd w:val="clear" w:color="auto" w:fill="auto"/>
            <w:noWrap/>
            <w:vAlign w:val="center"/>
          </w:tcPr>
          <w:p w14:paraId="32232BF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enero de 2018</w:t>
            </w:r>
          </w:p>
        </w:tc>
      </w:tr>
      <w:tr w:rsidR="00B2442D" w14:paraId="366C1D5A"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76377D3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4</w:t>
            </w:r>
          </w:p>
        </w:tc>
        <w:tc>
          <w:tcPr>
            <w:tcW w:w="3410" w:type="dxa"/>
            <w:tcBorders>
              <w:top w:val="single" w:sz="8" w:space="0" w:color="auto"/>
              <w:left w:val="nil"/>
              <w:bottom w:val="single" w:sz="8" w:space="0" w:color="auto"/>
              <w:right w:val="single" w:sz="4" w:space="0" w:color="auto"/>
            </w:tcBorders>
            <w:shd w:val="clear" w:color="auto" w:fill="auto"/>
            <w:noWrap/>
            <w:vAlign w:val="center"/>
          </w:tcPr>
          <w:p w14:paraId="49CC1C72"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19 de enero de </w:t>
            </w:r>
            <w:r>
              <w:rPr>
                <w:rFonts w:ascii="Arial" w:hAnsi="Arial" w:cs="Arial"/>
                <w:color w:val="000000"/>
                <w:sz w:val="22"/>
                <w:szCs w:val="22"/>
                <w:lang w:val="es-CO" w:eastAsia="es-CO"/>
              </w:rPr>
              <w:t>2018</w:t>
            </w:r>
          </w:p>
        </w:tc>
      </w:tr>
      <w:tr w:rsidR="00B2442D" w14:paraId="3A80519F"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6CAEDAA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3</w:t>
            </w:r>
          </w:p>
        </w:tc>
        <w:tc>
          <w:tcPr>
            <w:tcW w:w="3410" w:type="dxa"/>
            <w:tcBorders>
              <w:top w:val="single" w:sz="8" w:space="0" w:color="auto"/>
              <w:left w:val="nil"/>
              <w:bottom w:val="single" w:sz="8" w:space="0" w:color="auto"/>
              <w:right w:val="single" w:sz="4" w:space="0" w:color="auto"/>
            </w:tcBorders>
            <w:shd w:val="clear" w:color="auto" w:fill="auto"/>
            <w:noWrap/>
            <w:vAlign w:val="center"/>
          </w:tcPr>
          <w:p w14:paraId="0B0784D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22 de enero de 2018</w:t>
            </w:r>
          </w:p>
        </w:tc>
      </w:tr>
      <w:tr w:rsidR="00B2442D" w14:paraId="40DCD61F" w14:textId="77777777">
        <w:trPr>
          <w:trHeight w:val="345"/>
          <w:jc w:val="center"/>
        </w:trPr>
        <w:tc>
          <w:tcPr>
            <w:tcW w:w="18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7C823F7"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w:t>
            </w:r>
          </w:p>
        </w:tc>
        <w:tc>
          <w:tcPr>
            <w:tcW w:w="3410" w:type="dxa"/>
            <w:tcBorders>
              <w:top w:val="single" w:sz="4" w:space="0" w:color="auto"/>
              <w:left w:val="nil"/>
              <w:bottom w:val="single" w:sz="8" w:space="0" w:color="auto"/>
              <w:right w:val="single" w:sz="4" w:space="0" w:color="auto"/>
            </w:tcBorders>
            <w:shd w:val="clear" w:color="auto" w:fill="auto"/>
            <w:noWrap/>
            <w:vAlign w:val="center"/>
          </w:tcPr>
          <w:p w14:paraId="0418A77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23 de enero de 2018</w:t>
            </w:r>
          </w:p>
        </w:tc>
      </w:tr>
      <w:tr w:rsidR="00B2442D" w14:paraId="6DC058E1" w14:textId="77777777">
        <w:trPr>
          <w:trHeight w:val="345"/>
          <w:jc w:val="center"/>
        </w:trPr>
        <w:tc>
          <w:tcPr>
            <w:tcW w:w="1830" w:type="dxa"/>
            <w:tcBorders>
              <w:top w:val="nil"/>
              <w:left w:val="single" w:sz="8" w:space="0" w:color="auto"/>
              <w:bottom w:val="single" w:sz="8" w:space="0" w:color="auto"/>
              <w:right w:val="single" w:sz="8" w:space="0" w:color="auto"/>
            </w:tcBorders>
            <w:shd w:val="clear" w:color="auto" w:fill="auto"/>
            <w:noWrap/>
            <w:vAlign w:val="center"/>
            <w:hideMark/>
          </w:tcPr>
          <w:p w14:paraId="730F39F3"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w:t>
            </w:r>
          </w:p>
        </w:tc>
        <w:tc>
          <w:tcPr>
            <w:tcW w:w="3410" w:type="dxa"/>
            <w:tcBorders>
              <w:top w:val="single" w:sz="8" w:space="0" w:color="auto"/>
              <w:left w:val="nil"/>
              <w:bottom w:val="single" w:sz="4" w:space="0" w:color="auto"/>
              <w:right w:val="single" w:sz="4" w:space="0" w:color="auto"/>
            </w:tcBorders>
            <w:shd w:val="clear" w:color="auto" w:fill="auto"/>
            <w:noWrap/>
            <w:vAlign w:val="center"/>
          </w:tcPr>
          <w:p w14:paraId="2A2F258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24 de enero de 2018</w:t>
            </w:r>
          </w:p>
        </w:tc>
      </w:tr>
    </w:tbl>
    <w:p w14:paraId="071E9498" w14:textId="77777777" w:rsidR="00B2442D" w:rsidRDefault="00B2442D">
      <w:pPr>
        <w:spacing w:line="40" w:lineRule="atLeast"/>
        <w:ind w:right="-30"/>
        <w:jc w:val="both"/>
        <w:rPr>
          <w:rFonts w:ascii="Arial" w:eastAsia="Arial" w:hAnsi="Arial" w:cs="Arial"/>
          <w:w w:val="105"/>
          <w:highlight w:val="yellow"/>
          <w:lang w:val="es-CO"/>
        </w:rPr>
      </w:pPr>
    </w:p>
    <w:p w14:paraId="3B375194" w14:textId="77777777" w:rsidR="00B2442D" w:rsidRDefault="00B2442D">
      <w:pPr>
        <w:spacing w:line="40" w:lineRule="atLeast"/>
        <w:ind w:right="-30"/>
        <w:jc w:val="both"/>
        <w:rPr>
          <w:rFonts w:ascii="Arial" w:eastAsia="Arial" w:hAnsi="Arial" w:cs="Arial"/>
          <w:w w:val="105"/>
          <w:highlight w:val="yellow"/>
          <w:lang w:val="es-CO"/>
        </w:rPr>
      </w:pPr>
    </w:p>
    <w:p w14:paraId="544163BF" w14:textId="77777777" w:rsidR="00B2442D" w:rsidRDefault="008A645F">
      <w:pPr>
        <w:spacing w:line="40" w:lineRule="atLeast"/>
        <w:ind w:right="-30"/>
        <w:jc w:val="both"/>
        <w:rPr>
          <w:rFonts w:ascii="Arial" w:hAnsi="Arial" w:cs="Arial"/>
          <w:i/>
          <w:lang w:val="es-ES_tradnl"/>
        </w:rPr>
      </w:pPr>
      <w:r>
        <w:rPr>
          <w:rFonts w:ascii="Arial" w:hAnsi="Arial" w:cs="Arial"/>
          <w:i/>
          <w:lang w:val="es-ES_tradnl"/>
        </w:rPr>
        <w:t>(</w:t>
      </w:r>
      <w:hyperlink r:id="rId70" w:history="1">
        <w:r>
          <w:rPr>
            <w:rStyle w:val="Hipervnculo"/>
            <w:rFonts w:ascii="Arial" w:hAnsi="Arial" w:cs="Arial"/>
            <w:i/>
            <w:lang w:val="es-ES_tradnl"/>
          </w:rPr>
          <w:t>Art. 27 Decreto 2105 de 2016</w:t>
        </w:r>
      </w:hyperlink>
      <w:r>
        <w:rPr>
          <w:rFonts w:ascii="Arial" w:hAnsi="Arial" w:cs="Arial"/>
          <w:i/>
          <w:lang w:val="es-ES_tradnl"/>
        </w:rPr>
        <w:t>, plazos 2016: Decreto 2243 de 2015; plazos 2015: Decreto 2623 de 2014; plazos 2014: Decreto 2972 de 2013 y Decreto 685 de 20</w:t>
      </w:r>
      <w:r>
        <w:rPr>
          <w:rFonts w:ascii="Arial" w:hAnsi="Arial" w:cs="Arial"/>
          <w:i/>
          <w:lang w:val="es-ES_tradnl"/>
        </w:rPr>
        <w:t>14; plazos 2013: Decreto 2634 de 2012 y Decreto 0187 de 2013; plazos 2012: Decreto 4907 de 2011; plazos 2011: Decreto 4836 de 2010 y Decreto 1358 de 2011).</w:t>
      </w:r>
    </w:p>
    <w:p w14:paraId="6B9C6D14" w14:textId="77777777" w:rsidR="00B2442D" w:rsidRDefault="00B2442D">
      <w:pPr>
        <w:spacing w:line="40" w:lineRule="atLeast"/>
        <w:ind w:right="-30"/>
        <w:rPr>
          <w:rFonts w:ascii="Arial" w:eastAsia="Arial" w:hAnsi="Arial" w:cs="Arial"/>
          <w:b/>
          <w:w w:val="105"/>
          <w:lang w:val="es-CO"/>
        </w:rPr>
      </w:pPr>
    </w:p>
    <w:p w14:paraId="6B11782C" w14:textId="77777777" w:rsidR="00B2442D" w:rsidRDefault="008A645F">
      <w:pPr>
        <w:spacing w:line="40" w:lineRule="atLeast"/>
        <w:ind w:right="-30"/>
        <w:jc w:val="center"/>
        <w:rPr>
          <w:rFonts w:ascii="Arial" w:eastAsia="Arial" w:hAnsi="Arial" w:cs="Arial"/>
          <w:b/>
          <w:w w:val="103"/>
          <w:lang w:val="es-CO"/>
        </w:rPr>
      </w:pPr>
      <w:r>
        <w:rPr>
          <w:rFonts w:ascii="Arial" w:eastAsia="Arial" w:hAnsi="Arial" w:cs="Arial"/>
          <w:b/>
          <w:w w:val="105"/>
          <w:lang w:val="es-CO"/>
        </w:rPr>
        <w:t>PLAZOS</w:t>
      </w:r>
      <w:r>
        <w:rPr>
          <w:rFonts w:ascii="Arial" w:eastAsia="Arial" w:hAnsi="Arial" w:cs="Arial"/>
          <w:b/>
          <w:spacing w:val="3"/>
          <w:w w:val="105"/>
          <w:lang w:val="es-CO"/>
        </w:rPr>
        <w:t xml:space="preserve"> </w:t>
      </w:r>
      <w:r>
        <w:rPr>
          <w:rFonts w:ascii="Arial" w:eastAsia="Arial" w:hAnsi="Arial" w:cs="Arial"/>
          <w:b/>
          <w:w w:val="105"/>
          <w:lang w:val="es-CO"/>
        </w:rPr>
        <w:t>PARA</w:t>
      </w:r>
      <w:r>
        <w:rPr>
          <w:rFonts w:ascii="Arial" w:eastAsia="Arial" w:hAnsi="Arial" w:cs="Arial"/>
          <w:b/>
          <w:spacing w:val="11"/>
          <w:w w:val="105"/>
          <w:lang w:val="es-CO"/>
        </w:rPr>
        <w:t xml:space="preserve"> </w:t>
      </w:r>
      <w:r>
        <w:rPr>
          <w:rFonts w:ascii="Arial" w:eastAsia="Arial" w:hAnsi="Arial" w:cs="Arial"/>
          <w:b/>
          <w:w w:val="105"/>
          <w:lang w:val="es-CO"/>
        </w:rPr>
        <w:t>DECLARAR</w:t>
      </w:r>
      <w:r>
        <w:rPr>
          <w:rFonts w:ascii="Arial" w:eastAsia="Arial" w:hAnsi="Arial" w:cs="Arial"/>
          <w:b/>
          <w:spacing w:val="4"/>
          <w:w w:val="105"/>
          <w:lang w:val="es-CO"/>
        </w:rPr>
        <w:t xml:space="preserve"> </w:t>
      </w:r>
      <w:r>
        <w:rPr>
          <w:rFonts w:ascii="Arial" w:eastAsia="Arial" w:hAnsi="Arial" w:cs="Arial"/>
          <w:b/>
          <w:w w:val="105"/>
          <w:lang w:val="es-CO"/>
        </w:rPr>
        <w:t>Y</w:t>
      </w:r>
      <w:r>
        <w:rPr>
          <w:rFonts w:ascii="Arial" w:eastAsia="Arial" w:hAnsi="Arial" w:cs="Arial"/>
          <w:b/>
          <w:spacing w:val="10"/>
          <w:w w:val="105"/>
          <w:lang w:val="es-CO"/>
        </w:rPr>
        <w:t xml:space="preserve"> </w:t>
      </w:r>
      <w:r>
        <w:rPr>
          <w:rFonts w:ascii="Arial" w:eastAsia="Arial" w:hAnsi="Arial" w:cs="Arial"/>
          <w:b/>
          <w:w w:val="105"/>
          <w:lang w:val="es-CO"/>
        </w:rPr>
        <w:t>PAGAR</w:t>
      </w:r>
      <w:r>
        <w:rPr>
          <w:rFonts w:ascii="Arial" w:eastAsia="Arial" w:hAnsi="Arial" w:cs="Arial"/>
          <w:b/>
          <w:spacing w:val="11"/>
          <w:w w:val="105"/>
          <w:lang w:val="es-CO"/>
        </w:rPr>
        <w:t xml:space="preserve"> </w:t>
      </w:r>
      <w:r>
        <w:rPr>
          <w:rFonts w:ascii="Arial" w:eastAsia="Arial" w:hAnsi="Arial" w:cs="Arial"/>
          <w:b/>
          <w:w w:val="105"/>
          <w:lang w:val="es-CO"/>
        </w:rPr>
        <w:t>LA</w:t>
      </w:r>
      <w:r>
        <w:rPr>
          <w:rFonts w:ascii="Arial" w:eastAsia="Arial" w:hAnsi="Arial" w:cs="Arial"/>
          <w:b/>
          <w:spacing w:val="-2"/>
          <w:w w:val="105"/>
          <w:lang w:val="es-CO"/>
        </w:rPr>
        <w:t xml:space="preserve"> </w:t>
      </w:r>
      <w:r>
        <w:rPr>
          <w:rFonts w:ascii="Arial" w:eastAsia="Arial" w:hAnsi="Arial" w:cs="Arial"/>
          <w:b/>
          <w:w w:val="105"/>
          <w:lang w:val="es-CO"/>
        </w:rPr>
        <w:t>RETENCIÓN</w:t>
      </w:r>
      <w:r>
        <w:rPr>
          <w:rFonts w:ascii="Arial" w:eastAsia="Arial" w:hAnsi="Arial" w:cs="Arial"/>
          <w:b/>
          <w:spacing w:val="9"/>
          <w:w w:val="105"/>
          <w:lang w:val="es-CO"/>
        </w:rPr>
        <w:t xml:space="preserve"> </w:t>
      </w:r>
      <w:r>
        <w:rPr>
          <w:rFonts w:ascii="Arial" w:eastAsia="Arial" w:hAnsi="Arial" w:cs="Arial"/>
          <w:b/>
          <w:w w:val="105"/>
          <w:lang w:val="es-CO"/>
        </w:rPr>
        <w:t>EN</w:t>
      </w:r>
      <w:r>
        <w:rPr>
          <w:rFonts w:ascii="Arial" w:eastAsia="Arial" w:hAnsi="Arial" w:cs="Arial"/>
          <w:b/>
          <w:spacing w:val="-9"/>
          <w:w w:val="105"/>
          <w:lang w:val="es-CO"/>
        </w:rPr>
        <w:t xml:space="preserve"> </w:t>
      </w:r>
      <w:r>
        <w:rPr>
          <w:rFonts w:ascii="Arial" w:eastAsia="Arial" w:hAnsi="Arial" w:cs="Arial"/>
          <w:b/>
          <w:w w:val="105"/>
          <w:lang w:val="es-CO"/>
        </w:rPr>
        <w:t>LA</w:t>
      </w:r>
      <w:r>
        <w:rPr>
          <w:rFonts w:ascii="Arial" w:eastAsia="Arial" w:hAnsi="Arial" w:cs="Arial"/>
          <w:b/>
          <w:spacing w:val="-1"/>
          <w:w w:val="105"/>
          <w:lang w:val="es-CO"/>
        </w:rPr>
        <w:t xml:space="preserve"> </w:t>
      </w:r>
      <w:r>
        <w:rPr>
          <w:rFonts w:ascii="Arial" w:eastAsia="Arial" w:hAnsi="Arial" w:cs="Arial"/>
          <w:b/>
          <w:w w:val="105"/>
          <w:lang w:val="es-CO"/>
        </w:rPr>
        <w:t>FUENTE</w:t>
      </w:r>
    </w:p>
    <w:p w14:paraId="183C1D02" w14:textId="77777777" w:rsidR="00B2442D" w:rsidRDefault="00B2442D">
      <w:pPr>
        <w:spacing w:line="40" w:lineRule="atLeast"/>
        <w:ind w:right="-30"/>
        <w:jc w:val="both"/>
        <w:rPr>
          <w:rFonts w:ascii="Arial" w:eastAsia="Arial" w:hAnsi="Arial" w:cs="Arial"/>
          <w:b/>
          <w:w w:val="103"/>
          <w:lang w:val="es-CO"/>
        </w:rPr>
      </w:pPr>
    </w:p>
    <w:p w14:paraId="5531944A" w14:textId="77777777" w:rsidR="00B2442D" w:rsidRDefault="008A645F">
      <w:pPr>
        <w:pStyle w:val="Prrafodelista"/>
        <w:numPr>
          <w:ilvl w:val="0"/>
          <w:numId w:val="152"/>
        </w:numPr>
        <w:spacing w:line="40" w:lineRule="atLeast"/>
        <w:ind w:left="0" w:right="-30" w:firstLine="0"/>
        <w:jc w:val="both"/>
        <w:rPr>
          <w:rFonts w:ascii="Arial" w:eastAsia="Arial" w:hAnsi="Arial" w:cs="Arial"/>
          <w:w w:val="105"/>
          <w:lang w:val="es-CO"/>
        </w:rPr>
      </w:pPr>
      <w:r>
        <w:rPr>
          <w:rFonts w:ascii="Arial" w:hAnsi="Arial" w:cs="Arial"/>
          <w:b/>
          <w:i/>
        </w:rPr>
        <w:t>D</w:t>
      </w:r>
      <w:r>
        <w:rPr>
          <w:rFonts w:ascii="Arial" w:hAnsi="Arial" w:cs="Arial"/>
          <w:b/>
          <w:i/>
          <w:iCs/>
        </w:rPr>
        <w:t xml:space="preserve">eclaración mensual de </w:t>
      </w:r>
      <w:r>
        <w:rPr>
          <w:rFonts w:ascii="Arial" w:hAnsi="Arial" w:cs="Arial"/>
          <w:b/>
          <w:i/>
          <w:iCs/>
        </w:rPr>
        <w:t>retenciones y autorretenciones en la fuente de que trata el artículo 1.2.6.6. de este Decreto</w:t>
      </w:r>
      <w:r>
        <w:rPr>
          <w:rFonts w:ascii="Arial" w:hAnsi="Arial" w:cs="Arial"/>
          <w:i/>
          <w:color w:val="000080"/>
        </w:rPr>
        <w:t>.</w:t>
      </w:r>
      <w:r>
        <w:rPr>
          <w:rFonts w:ascii="Arial" w:hAnsi="Arial" w:cs="Arial"/>
          <w:color w:val="000000"/>
        </w:rPr>
        <w:t xml:space="preserve"> Los agentes de retención del impuesto sobre la renta y complementario y/o impuesto de timbre, y/o impuesto sobre las ventas a que se refieren los artículos 368</w:t>
      </w:r>
      <w:r>
        <w:rPr>
          <w:rFonts w:ascii="Arial" w:hAnsi="Arial" w:cs="Arial"/>
          <w:vanish/>
          <w:color w:val="000000"/>
        </w:rPr>
        <w:t>99</w:t>
      </w:r>
      <w:r>
        <w:rPr>
          <w:rFonts w:ascii="Arial" w:hAnsi="Arial" w:cs="Arial"/>
          <w:color w:val="000000"/>
        </w:rPr>
        <w:t>, 368-1</w:t>
      </w:r>
      <w:r>
        <w:rPr>
          <w:rFonts w:ascii="Arial" w:hAnsi="Arial" w:cs="Arial"/>
          <w:vanish/>
          <w:color w:val="000000"/>
        </w:rPr>
        <w:t>100</w:t>
      </w:r>
      <w:r>
        <w:rPr>
          <w:rFonts w:ascii="Arial" w:hAnsi="Arial" w:cs="Arial"/>
          <w:color w:val="000000"/>
        </w:rPr>
        <w:t>, 368-2</w:t>
      </w:r>
      <w:r>
        <w:rPr>
          <w:rFonts w:ascii="Arial" w:hAnsi="Arial" w:cs="Arial"/>
          <w:vanish/>
          <w:color w:val="000000"/>
        </w:rPr>
        <w:t>101</w:t>
      </w:r>
      <w:r>
        <w:rPr>
          <w:rFonts w:ascii="Arial" w:hAnsi="Arial" w:cs="Arial"/>
          <w:color w:val="000000"/>
        </w:rPr>
        <w:t>, 437-2</w:t>
      </w:r>
      <w:r>
        <w:rPr>
          <w:rFonts w:ascii="Arial" w:hAnsi="Arial" w:cs="Arial"/>
          <w:vanish/>
          <w:color w:val="000000"/>
        </w:rPr>
        <w:t>102</w:t>
      </w:r>
      <w:r>
        <w:rPr>
          <w:rFonts w:ascii="Arial" w:hAnsi="Arial" w:cs="Arial"/>
          <w:color w:val="000000"/>
        </w:rPr>
        <w:t xml:space="preserve"> y 518</w:t>
      </w:r>
      <w:r>
        <w:rPr>
          <w:rFonts w:ascii="Arial" w:hAnsi="Arial" w:cs="Arial"/>
          <w:vanish/>
          <w:color w:val="000000"/>
        </w:rPr>
        <w:t>103</w:t>
      </w:r>
      <w:r>
        <w:rPr>
          <w:rFonts w:ascii="Arial" w:hAnsi="Arial" w:cs="Arial"/>
          <w:color w:val="000000"/>
        </w:rPr>
        <w:t xml:space="preserve"> del Estatuto Tributario, así como los autorretenedores del impuesto sobre la renta y complementario de que trata el artículo 1.2.6.6. de este decreto deberán declarar y pagar las retenciones y autorretenciones efectu</w:t>
      </w:r>
      <w:r>
        <w:rPr>
          <w:rFonts w:ascii="Arial" w:hAnsi="Arial" w:cs="Arial"/>
          <w:color w:val="000000"/>
        </w:rPr>
        <w:t xml:space="preserve">adas en cada mes, en el formulario prescrito por la </w:t>
      </w:r>
      <w:r>
        <w:rPr>
          <w:rFonts w:ascii="Arial" w:hAnsi="Arial" w:cs="Arial"/>
        </w:rPr>
        <w:t>Unidad Administrativa Especial Dirección de Impuestos y Aduanas Nacionales - DIAN</w:t>
      </w:r>
      <w:r>
        <w:rPr>
          <w:rFonts w:ascii="Arial" w:hAnsi="Arial" w:cs="Arial"/>
          <w:color w:val="000000"/>
        </w:rPr>
        <w:t>.</w:t>
      </w:r>
    </w:p>
    <w:p w14:paraId="6A12CE6C" w14:textId="77777777" w:rsidR="00B2442D" w:rsidRDefault="00B2442D">
      <w:pPr>
        <w:tabs>
          <w:tab w:val="left" w:pos="144"/>
        </w:tabs>
        <w:autoSpaceDE w:val="0"/>
        <w:autoSpaceDN w:val="0"/>
        <w:adjustRightInd w:val="0"/>
        <w:spacing w:line="40" w:lineRule="atLeast"/>
        <w:ind w:left="720"/>
        <w:jc w:val="both"/>
        <w:rPr>
          <w:rFonts w:ascii="Arial" w:hAnsi="Arial" w:cs="Arial"/>
          <w:color w:val="000000"/>
        </w:rPr>
      </w:pPr>
    </w:p>
    <w:p w14:paraId="6E85E285"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color w:val="000000"/>
        </w:rPr>
        <w:t>Los plazos para presentar las declaraciones de retención en la fuente y autorretenciones correspondientes a los meses de</w:t>
      </w:r>
      <w:r>
        <w:rPr>
          <w:rFonts w:ascii="Arial" w:hAnsi="Arial" w:cs="Arial"/>
          <w:color w:val="000000"/>
        </w:rPr>
        <w:t xml:space="preserve">l año 2017 y cancelar el valor respectivo, vencen en las fechas del mismo año que se indican a continuación, excepto la referida al mes de diciembre que vence en el año 2018. </w:t>
      </w:r>
    </w:p>
    <w:p w14:paraId="214FE7A1" w14:textId="77777777" w:rsidR="00B2442D" w:rsidRDefault="00B2442D">
      <w:pPr>
        <w:autoSpaceDE w:val="0"/>
        <w:autoSpaceDN w:val="0"/>
        <w:adjustRightInd w:val="0"/>
        <w:spacing w:line="40" w:lineRule="atLeast"/>
        <w:ind w:left="720"/>
        <w:jc w:val="both"/>
        <w:rPr>
          <w:rFonts w:ascii="Arial" w:hAnsi="Arial" w:cs="Arial"/>
          <w:color w:val="000000"/>
        </w:rPr>
      </w:pPr>
    </w:p>
    <w:tbl>
      <w:tblPr>
        <w:tblW w:w="43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
        <w:gridCol w:w="2719"/>
        <w:gridCol w:w="2820"/>
        <w:gridCol w:w="2467"/>
      </w:tblGrid>
      <w:tr w:rsidR="00B2442D" w14:paraId="62C1A813" w14:textId="77777777">
        <w:trPr>
          <w:trHeight w:val="659"/>
          <w:jc w:val="center"/>
        </w:trPr>
        <w:tc>
          <w:tcPr>
            <w:tcW w:w="616" w:type="pct"/>
            <w:shd w:val="clear" w:color="auto" w:fill="D0CECE"/>
            <w:vAlign w:val="center"/>
            <w:hideMark/>
          </w:tcPr>
          <w:p w14:paraId="1175C0C4"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Si último dígito es</w:t>
            </w:r>
          </w:p>
        </w:tc>
        <w:tc>
          <w:tcPr>
            <w:tcW w:w="1488" w:type="pct"/>
            <w:shd w:val="clear" w:color="auto" w:fill="D0CECE"/>
            <w:vAlign w:val="center"/>
            <w:hideMark/>
          </w:tcPr>
          <w:p w14:paraId="6D70D84C"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enero año 2017 hasta el día</w:t>
            </w:r>
          </w:p>
        </w:tc>
        <w:tc>
          <w:tcPr>
            <w:tcW w:w="1544" w:type="pct"/>
            <w:shd w:val="clear" w:color="auto" w:fill="D0CECE"/>
            <w:vAlign w:val="center"/>
            <w:hideMark/>
          </w:tcPr>
          <w:p w14:paraId="1D26C530"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 xml:space="preserve">mes de febrero año </w:t>
            </w:r>
            <w:r>
              <w:rPr>
                <w:rFonts w:ascii="Arial" w:hAnsi="Arial" w:cs="Arial"/>
                <w:b/>
                <w:bCs/>
                <w:color w:val="000000"/>
                <w:lang w:val="es-CO" w:eastAsia="es-CO"/>
              </w:rPr>
              <w:t>2017 hasta el día</w:t>
            </w:r>
          </w:p>
        </w:tc>
        <w:tc>
          <w:tcPr>
            <w:tcW w:w="1352" w:type="pct"/>
            <w:shd w:val="clear" w:color="auto" w:fill="D0CECE"/>
            <w:vAlign w:val="center"/>
            <w:hideMark/>
          </w:tcPr>
          <w:p w14:paraId="7367735D"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marzo año 2017 hasta el día</w:t>
            </w:r>
          </w:p>
        </w:tc>
      </w:tr>
      <w:tr w:rsidR="00B2442D" w14:paraId="628C26D8" w14:textId="77777777">
        <w:trPr>
          <w:trHeight w:val="345"/>
          <w:jc w:val="center"/>
        </w:trPr>
        <w:tc>
          <w:tcPr>
            <w:tcW w:w="616" w:type="pct"/>
            <w:shd w:val="clear" w:color="auto" w:fill="auto"/>
            <w:noWrap/>
            <w:vAlign w:val="center"/>
            <w:hideMark/>
          </w:tcPr>
          <w:p w14:paraId="3A59D35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1488" w:type="pct"/>
            <w:shd w:val="clear" w:color="auto" w:fill="auto"/>
            <w:noWrap/>
            <w:vAlign w:val="center"/>
          </w:tcPr>
          <w:p w14:paraId="230CB24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febrero de 2017</w:t>
            </w:r>
          </w:p>
        </w:tc>
        <w:tc>
          <w:tcPr>
            <w:tcW w:w="1544" w:type="pct"/>
            <w:shd w:val="clear" w:color="auto" w:fill="auto"/>
            <w:noWrap/>
            <w:vAlign w:val="center"/>
          </w:tcPr>
          <w:p w14:paraId="39201E3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marzo de 2017</w:t>
            </w:r>
          </w:p>
        </w:tc>
        <w:tc>
          <w:tcPr>
            <w:tcW w:w="1352" w:type="pct"/>
            <w:shd w:val="clear" w:color="auto" w:fill="auto"/>
            <w:noWrap/>
            <w:vAlign w:val="center"/>
          </w:tcPr>
          <w:p w14:paraId="203313D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abril de 2017</w:t>
            </w:r>
          </w:p>
        </w:tc>
      </w:tr>
      <w:tr w:rsidR="00B2442D" w14:paraId="47174F62" w14:textId="77777777">
        <w:trPr>
          <w:trHeight w:val="345"/>
          <w:jc w:val="center"/>
        </w:trPr>
        <w:tc>
          <w:tcPr>
            <w:tcW w:w="616" w:type="pct"/>
            <w:shd w:val="clear" w:color="auto" w:fill="auto"/>
            <w:noWrap/>
            <w:vAlign w:val="center"/>
            <w:hideMark/>
          </w:tcPr>
          <w:p w14:paraId="35BB183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1488" w:type="pct"/>
            <w:shd w:val="clear" w:color="auto" w:fill="auto"/>
            <w:noWrap/>
            <w:vAlign w:val="center"/>
          </w:tcPr>
          <w:p w14:paraId="659CD77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febrero de 2017</w:t>
            </w:r>
          </w:p>
        </w:tc>
        <w:tc>
          <w:tcPr>
            <w:tcW w:w="1544" w:type="pct"/>
            <w:shd w:val="clear" w:color="auto" w:fill="auto"/>
            <w:noWrap/>
            <w:vAlign w:val="center"/>
          </w:tcPr>
          <w:p w14:paraId="4D02AFC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marzo de 2017</w:t>
            </w:r>
          </w:p>
        </w:tc>
        <w:tc>
          <w:tcPr>
            <w:tcW w:w="1352" w:type="pct"/>
            <w:shd w:val="clear" w:color="auto" w:fill="auto"/>
            <w:noWrap/>
            <w:vAlign w:val="center"/>
          </w:tcPr>
          <w:p w14:paraId="7B1DF39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abril de 2017</w:t>
            </w:r>
          </w:p>
        </w:tc>
      </w:tr>
      <w:tr w:rsidR="00B2442D" w14:paraId="1549E59D" w14:textId="77777777">
        <w:trPr>
          <w:trHeight w:val="345"/>
          <w:jc w:val="center"/>
        </w:trPr>
        <w:tc>
          <w:tcPr>
            <w:tcW w:w="616" w:type="pct"/>
            <w:shd w:val="clear" w:color="auto" w:fill="auto"/>
            <w:noWrap/>
            <w:vAlign w:val="center"/>
            <w:hideMark/>
          </w:tcPr>
          <w:p w14:paraId="644D46E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1488" w:type="pct"/>
            <w:shd w:val="clear" w:color="auto" w:fill="auto"/>
            <w:noWrap/>
            <w:vAlign w:val="center"/>
          </w:tcPr>
          <w:p w14:paraId="03A6FA9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febrero de 2017</w:t>
            </w:r>
          </w:p>
        </w:tc>
        <w:tc>
          <w:tcPr>
            <w:tcW w:w="1544" w:type="pct"/>
            <w:shd w:val="clear" w:color="auto" w:fill="auto"/>
            <w:noWrap/>
            <w:vAlign w:val="center"/>
          </w:tcPr>
          <w:p w14:paraId="37E9574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marzo de 2017</w:t>
            </w:r>
          </w:p>
        </w:tc>
        <w:tc>
          <w:tcPr>
            <w:tcW w:w="1352" w:type="pct"/>
            <w:shd w:val="clear" w:color="auto" w:fill="auto"/>
            <w:noWrap/>
            <w:vAlign w:val="center"/>
          </w:tcPr>
          <w:p w14:paraId="0DC68E3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abril de 2017</w:t>
            </w:r>
          </w:p>
        </w:tc>
      </w:tr>
      <w:tr w:rsidR="00B2442D" w14:paraId="3686C269" w14:textId="77777777">
        <w:trPr>
          <w:trHeight w:val="345"/>
          <w:jc w:val="center"/>
        </w:trPr>
        <w:tc>
          <w:tcPr>
            <w:tcW w:w="616" w:type="pct"/>
            <w:shd w:val="clear" w:color="auto" w:fill="auto"/>
            <w:noWrap/>
            <w:vAlign w:val="center"/>
            <w:hideMark/>
          </w:tcPr>
          <w:p w14:paraId="4EFA7C8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1488" w:type="pct"/>
            <w:shd w:val="clear" w:color="auto" w:fill="auto"/>
            <w:noWrap/>
            <w:vAlign w:val="center"/>
          </w:tcPr>
          <w:p w14:paraId="7A87D4E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13 de </w:t>
            </w:r>
            <w:r>
              <w:rPr>
                <w:rFonts w:ascii="Arial" w:hAnsi="Arial" w:cs="Arial"/>
                <w:color w:val="000000"/>
                <w:lang w:val="es-CO" w:eastAsia="es-CO"/>
              </w:rPr>
              <w:t>febrero de 2017</w:t>
            </w:r>
          </w:p>
        </w:tc>
        <w:tc>
          <w:tcPr>
            <w:tcW w:w="1544" w:type="pct"/>
            <w:shd w:val="clear" w:color="auto" w:fill="auto"/>
            <w:noWrap/>
            <w:vAlign w:val="center"/>
          </w:tcPr>
          <w:p w14:paraId="47FF92E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marzo de 2017</w:t>
            </w:r>
          </w:p>
        </w:tc>
        <w:tc>
          <w:tcPr>
            <w:tcW w:w="1352" w:type="pct"/>
            <w:shd w:val="clear" w:color="auto" w:fill="auto"/>
            <w:noWrap/>
            <w:vAlign w:val="center"/>
          </w:tcPr>
          <w:p w14:paraId="32B3CB3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abril de 2017</w:t>
            </w:r>
          </w:p>
        </w:tc>
      </w:tr>
      <w:tr w:rsidR="00B2442D" w14:paraId="2601EB90" w14:textId="77777777">
        <w:trPr>
          <w:trHeight w:val="345"/>
          <w:jc w:val="center"/>
        </w:trPr>
        <w:tc>
          <w:tcPr>
            <w:tcW w:w="616" w:type="pct"/>
            <w:shd w:val="clear" w:color="auto" w:fill="auto"/>
            <w:noWrap/>
            <w:vAlign w:val="center"/>
            <w:hideMark/>
          </w:tcPr>
          <w:p w14:paraId="6ADD050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1488" w:type="pct"/>
            <w:shd w:val="clear" w:color="auto" w:fill="auto"/>
            <w:noWrap/>
            <w:vAlign w:val="center"/>
          </w:tcPr>
          <w:p w14:paraId="3C175B1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febrero de 2017</w:t>
            </w:r>
          </w:p>
        </w:tc>
        <w:tc>
          <w:tcPr>
            <w:tcW w:w="1544" w:type="pct"/>
            <w:shd w:val="clear" w:color="auto" w:fill="auto"/>
            <w:noWrap/>
            <w:vAlign w:val="center"/>
          </w:tcPr>
          <w:p w14:paraId="670EC1B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marzo de 2017</w:t>
            </w:r>
          </w:p>
        </w:tc>
        <w:tc>
          <w:tcPr>
            <w:tcW w:w="1352" w:type="pct"/>
            <w:shd w:val="clear" w:color="auto" w:fill="auto"/>
            <w:noWrap/>
            <w:vAlign w:val="center"/>
          </w:tcPr>
          <w:p w14:paraId="3C29ADE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abril de 2017</w:t>
            </w:r>
          </w:p>
        </w:tc>
      </w:tr>
      <w:tr w:rsidR="00B2442D" w14:paraId="7306254F" w14:textId="77777777">
        <w:trPr>
          <w:trHeight w:val="345"/>
          <w:jc w:val="center"/>
        </w:trPr>
        <w:tc>
          <w:tcPr>
            <w:tcW w:w="616" w:type="pct"/>
            <w:shd w:val="clear" w:color="auto" w:fill="auto"/>
            <w:noWrap/>
            <w:vAlign w:val="center"/>
            <w:hideMark/>
          </w:tcPr>
          <w:p w14:paraId="32B6A8F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1488" w:type="pct"/>
            <w:shd w:val="clear" w:color="auto" w:fill="auto"/>
            <w:noWrap/>
            <w:vAlign w:val="center"/>
          </w:tcPr>
          <w:p w14:paraId="247CC14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febrero de 2017</w:t>
            </w:r>
          </w:p>
        </w:tc>
        <w:tc>
          <w:tcPr>
            <w:tcW w:w="1544" w:type="pct"/>
            <w:shd w:val="clear" w:color="auto" w:fill="auto"/>
            <w:noWrap/>
            <w:vAlign w:val="center"/>
          </w:tcPr>
          <w:p w14:paraId="6110A24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marzo de 2017</w:t>
            </w:r>
          </w:p>
        </w:tc>
        <w:tc>
          <w:tcPr>
            <w:tcW w:w="1352" w:type="pct"/>
            <w:shd w:val="clear" w:color="auto" w:fill="auto"/>
            <w:noWrap/>
            <w:vAlign w:val="center"/>
          </w:tcPr>
          <w:p w14:paraId="562F636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abril de 2017</w:t>
            </w:r>
          </w:p>
        </w:tc>
      </w:tr>
      <w:tr w:rsidR="00B2442D" w14:paraId="33B62F4D" w14:textId="77777777">
        <w:trPr>
          <w:trHeight w:val="345"/>
          <w:jc w:val="center"/>
        </w:trPr>
        <w:tc>
          <w:tcPr>
            <w:tcW w:w="616" w:type="pct"/>
            <w:shd w:val="clear" w:color="auto" w:fill="auto"/>
            <w:noWrap/>
            <w:vAlign w:val="center"/>
            <w:hideMark/>
          </w:tcPr>
          <w:p w14:paraId="4DD24A4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1488" w:type="pct"/>
            <w:shd w:val="clear" w:color="auto" w:fill="auto"/>
            <w:noWrap/>
            <w:vAlign w:val="center"/>
          </w:tcPr>
          <w:p w14:paraId="1779368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febrero de 2017</w:t>
            </w:r>
          </w:p>
        </w:tc>
        <w:tc>
          <w:tcPr>
            <w:tcW w:w="1544" w:type="pct"/>
            <w:shd w:val="clear" w:color="auto" w:fill="auto"/>
            <w:noWrap/>
            <w:vAlign w:val="center"/>
          </w:tcPr>
          <w:p w14:paraId="202DA89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marzo de 2017</w:t>
            </w:r>
          </w:p>
        </w:tc>
        <w:tc>
          <w:tcPr>
            <w:tcW w:w="1352" w:type="pct"/>
            <w:shd w:val="clear" w:color="auto" w:fill="auto"/>
            <w:noWrap/>
            <w:vAlign w:val="center"/>
          </w:tcPr>
          <w:p w14:paraId="12AA8B7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abril de 2017</w:t>
            </w:r>
          </w:p>
        </w:tc>
      </w:tr>
      <w:tr w:rsidR="00B2442D" w14:paraId="6C0CE169" w14:textId="77777777">
        <w:trPr>
          <w:trHeight w:val="345"/>
          <w:jc w:val="center"/>
        </w:trPr>
        <w:tc>
          <w:tcPr>
            <w:tcW w:w="616" w:type="pct"/>
            <w:shd w:val="clear" w:color="auto" w:fill="auto"/>
            <w:noWrap/>
            <w:vAlign w:val="center"/>
            <w:hideMark/>
          </w:tcPr>
          <w:p w14:paraId="6F415E3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1488" w:type="pct"/>
            <w:shd w:val="clear" w:color="auto" w:fill="auto"/>
            <w:noWrap/>
            <w:vAlign w:val="center"/>
          </w:tcPr>
          <w:p w14:paraId="39C905A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febrero de 2017</w:t>
            </w:r>
          </w:p>
        </w:tc>
        <w:tc>
          <w:tcPr>
            <w:tcW w:w="1544" w:type="pct"/>
            <w:shd w:val="clear" w:color="auto" w:fill="auto"/>
            <w:noWrap/>
            <w:vAlign w:val="center"/>
          </w:tcPr>
          <w:p w14:paraId="6FEABA3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marzo de 2017</w:t>
            </w:r>
          </w:p>
        </w:tc>
        <w:tc>
          <w:tcPr>
            <w:tcW w:w="1352" w:type="pct"/>
            <w:shd w:val="clear" w:color="auto" w:fill="auto"/>
            <w:noWrap/>
            <w:vAlign w:val="center"/>
          </w:tcPr>
          <w:p w14:paraId="1AF60AE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24 de abril de 2017</w:t>
            </w:r>
          </w:p>
        </w:tc>
      </w:tr>
      <w:tr w:rsidR="00B2442D" w14:paraId="227D1C1D" w14:textId="77777777">
        <w:trPr>
          <w:trHeight w:val="345"/>
          <w:jc w:val="center"/>
        </w:trPr>
        <w:tc>
          <w:tcPr>
            <w:tcW w:w="616" w:type="pct"/>
            <w:shd w:val="clear" w:color="auto" w:fill="auto"/>
            <w:noWrap/>
            <w:vAlign w:val="center"/>
            <w:hideMark/>
          </w:tcPr>
          <w:p w14:paraId="45305A6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1488" w:type="pct"/>
            <w:shd w:val="clear" w:color="auto" w:fill="auto"/>
            <w:noWrap/>
            <w:vAlign w:val="center"/>
          </w:tcPr>
          <w:p w14:paraId="6B08F29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febrero de 2017</w:t>
            </w:r>
          </w:p>
        </w:tc>
        <w:tc>
          <w:tcPr>
            <w:tcW w:w="1544" w:type="pct"/>
            <w:shd w:val="clear" w:color="auto" w:fill="auto"/>
            <w:noWrap/>
            <w:vAlign w:val="center"/>
          </w:tcPr>
          <w:p w14:paraId="514E73A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marzo de 2017</w:t>
            </w:r>
          </w:p>
        </w:tc>
        <w:tc>
          <w:tcPr>
            <w:tcW w:w="1352" w:type="pct"/>
            <w:shd w:val="clear" w:color="auto" w:fill="auto"/>
            <w:noWrap/>
            <w:vAlign w:val="center"/>
          </w:tcPr>
          <w:p w14:paraId="49B7928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25 de abril de 2017</w:t>
            </w:r>
          </w:p>
        </w:tc>
      </w:tr>
      <w:tr w:rsidR="00B2442D" w14:paraId="16B3D8B2" w14:textId="77777777">
        <w:trPr>
          <w:trHeight w:val="345"/>
          <w:jc w:val="center"/>
        </w:trPr>
        <w:tc>
          <w:tcPr>
            <w:tcW w:w="616" w:type="pct"/>
            <w:shd w:val="clear" w:color="auto" w:fill="auto"/>
            <w:noWrap/>
            <w:vAlign w:val="center"/>
            <w:hideMark/>
          </w:tcPr>
          <w:p w14:paraId="34AC3A8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1488" w:type="pct"/>
            <w:shd w:val="clear" w:color="auto" w:fill="auto"/>
            <w:noWrap/>
            <w:vAlign w:val="center"/>
          </w:tcPr>
          <w:p w14:paraId="4E4F585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febrero de 2017</w:t>
            </w:r>
          </w:p>
        </w:tc>
        <w:tc>
          <w:tcPr>
            <w:tcW w:w="1544" w:type="pct"/>
            <w:shd w:val="clear" w:color="auto" w:fill="auto"/>
            <w:noWrap/>
            <w:vAlign w:val="center"/>
          </w:tcPr>
          <w:p w14:paraId="54FDCE8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marzo de 2017</w:t>
            </w:r>
          </w:p>
        </w:tc>
        <w:tc>
          <w:tcPr>
            <w:tcW w:w="1352" w:type="pct"/>
            <w:shd w:val="clear" w:color="auto" w:fill="auto"/>
            <w:noWrap/>
            <w:vAlign w:val="center"/>
          </w:tcPr>
          <w:p w14:paraId="27E8528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26 de abril de 2017</w:t>
            </w:r>
          </w:p>
        </w:tc>
      </w:tr>
      <w:tr w:rsidR="00B2442D" w14:paraId="00099E4F" w14:textId="77777777">
        <w:trPr>
          <w:trHeight w:val="680"/>
          <w:jc w:val="center"/>
        </w:trPr>
        <w:tc>
          <w:tcPr>
            <w:tcW w:w="616" w:type="pct"/>
            <w:shd w:val="clear" w:color="auto" w:fill="D0CECE"/>
            <w:vAlign w:val="center"/>
            <w:hideMark/>
          </w:tcPr>
          <w:p w14:paraId="0C8CE69B"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Si el último dígito es</w:t>
            </w:r>
          </w:p>
        </w:tc>
        <w:tc>
          <w:tcPr>
            <w:tcW w:w="1488" w:type="pct"/>
            <w:shd w:val="clear" w:color="auto" w:fill="D0CECE"/>
            <w:vAlign w:val="center"/>
            <w:hideMark/>
          </w:tcPr>
          <w:p w14:paraId="147775CB"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abril año 2017 hasta el día</w:t>
            </w:r>
          </w:p>
        </w:tc>
        <w:tc>
          <w:tcPr>
            <w:tcW w:w="1544" w:type="pct"/>
            <w:shd w:val="clear" w:color="auto" w:fill="D0CECE"/>
            <w:vAlign w:val="center"/>
            <w:hideMark/>
          </w:tcPr>
          <w:p w14:paraId="45EEAA0A"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mayo año 2017 hasta el día</w:t>
            </w:r>
          </w:p>
        </w:tc>
        <w:tc>
          <w:tcPr>
            <w:tcW w:w="1352" w:type="pct"/>
            <w:shd w:val="clear" w:color="auto" w:fill="D0CECE"/>
            <w:vAlign w:val="center"/>
            <w:hideMark/>
          </w:tcPr>
          <w:p w14:paraId="6FFE0B6F"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junio año 2017 hasta el día</w:t>
            </w:r>
          </w:p>
        </w:tc>
      </w:tr>
      <w:tr w:rsidR="00B2442D" w14:paraId="621B4890" w14:textId="77777777">
        <w:trPr>
          <w:trHeight w:val="345"/>
          <w:jc w:val="center"/>
        </w:trPr>
        <w:tc>
          <w:tcPr>
            <w:tcW w:w="616" w:type="pct"/>
            <w:shd w:val="clear" w:color="auto" w:fill="auto"/>
            <w:noWrap/>
            <w:vAlign w:val="center"/>
            <w:hideMark/>
          </w:tcPr>
          <w:p w14:paraId="0C0AEF4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1488" w:type="pct"/>
            <w:shd w:val="clear" w:color="auto" w:fill="auto"/>
            <w:noWrap/>
            <w:vAlign w:val="center"/>
          </w:tcPr>
          <w:p w14:paraId="1A8A419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mayo de 2017</w:t>
            </w:r>
          </w:p>
        </w:tc>
        <w:tc>
          <w:tcPr>
            <w:tcW w:w="1544" w:type="pct"/>
            <w:shd w:val="clear" w:color="auto" w:fill="auto"/>
            <w:noWrap/>
            <w:vAlign w:val="center"/>
          </w:tcPr>
          <w:p w14:paraId="4502702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junio de 2017</w:t>
            </w:r>
          </w:p>
        </w:tc>
        <w:tc>
          <w:tcPr>
            <w:tcW w:w="1352" w:type="pct"/>
            <w:shd w:val="clear" w:color="auto" w:fill="auto"/>
            <w:noWrap/>
            <w:vAlign w:val="center"/>
          </w:tcPr>
          <w:p w14:paraId="0996327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julio de 2017</w:t>
            </w:r>
          </w:p>
        </w:tc>
      </w:tr>
      <w:tr w:rsidR="00B2442D" w14:paraId="56410774" w14:textId="77777777">
        <w:trPr>
          <w:trHeight w:val="345"/>
          <w:jc w:val="center"/>
        </w:trPr>
        <w:tc>
          <w:tcPr>
            <w:tcW w:w="616" w:type="pct"/>
            <w:shd w:val="clear" w:color="auto" w:fill="auto"/>
            <w:noWrap/>
            <w:vAlign w:val="center"/>
            <w:hideMark/>
          </w:tcPr>
          <w:p w14:paraId="4BBB98C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1488" w:type="pct"/>
            <w:shd w:val="clear" w:color="auto" w:fill="auto"/>
            <w:noWrap/>
            <w:vAlign w:val="center"/>
          </w:tcPr>
          <w:p w14:paraId="76E0C34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mayo de 2017</w:t>
            </w:r>
          </w:p>
        </w:tc>
        <w:tc>
          <w:tcPr>
            <w:tcW w:w="1544" w:type="pct"/>
            <w:shd w:val="clear" w:color="auto" w:fill="auto"/>
            <w:noWrap/>
            <w:vAlign w:val="center"/>
          </w:tcPr>
          <w:p w14:paraId="27B1B6A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junio de 2017</w:t>
            </w:r>
          </w:p>
        </w:tc>
        <w:tc>
          <w:tcPr>
            <w:tcW w:w="1352" w:type="pct"/>
            <w:shd w:val="clear" w:color="auto" w:fill="auto"/>
            <w:noWrap/>
            <w:vAlign w:val="center"/>
          </w:tcPr>
          <w:p w14:paraId="67B9997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julio de 2017</w:t>
            </w:r>
          </w:p>
        </w:tc>
      </w:tr>
      <w:tr w:rsidR="00B2442D" w14:paraId="30D7C25C" w14:textId="77777777">
        <w:trPr>
          <w:trHeight w:val="345"/>
          <w:jc w:val="center"/>
        </w:trPr>
        <w:tc>
          <w:tcPr>
            <w:tcW w:w="616" w:type="pct"/>
            <w:shd w:val="clear" w:color="auto" w:fill="auto"/>
            <w:noWrap/>
            <w:vAlign w:val="center"/>
            <w:hideMark/>
          </w:tcPr>
          <w:p w14:paraId="17C7C0D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1488" w:type="pct"/>
            <w:shd w:val="clear" w:color="auto" w:fill="auto"/>
            <w:noWrap/>
            <w:vAlign w:val="center"/>
          </w:tcPr>
          <w:p w14:paraId="653DA77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mayo de 2017</w:t>
            </w:r>
          </w:p>
        </w:tc>
        <w:tc>
          <w:tcPr>
            <w:tcW w:w="1544" w:type="pct"/>
            <w:shd w:val="clear" w:color="auto" w:fill="auto"/>
            <w:noWrap/>
            <w:vAlign w:val="center"/>
          </w:tcPr>
          <w:p w14:paraId="094E2BE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junio de 2017</w:t>
            </w:r>
          </w:p>
        </w:tc>
        <w:tc>
          <w:tcPr>
            <w:tcW w:w="1352" w:type="pct"/>
            <w:shd w:val="clear" w:color="auto" w:fill="auto"/>
            <w:noWrap/>
            <w:vAlign w:val="center"/>
          </w:tcPr>
          <w:p w14:paraId="16F785E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julio de 2017</w:t>
            </w:r>
          </w:p>
        </w:tc>
      </w:tr>
      <w:tr w:rsidR="00B2442D" w14:paraId="18710641" w14:textId="77777777">
        <w:trPr>
          <w:trHeight w:val="345"/>
          <w:jc w:val="center"/>
        </w:trPr>
        <w:tc>
          <w:tcPr>
            <w:tcW w:w="616" w:type="pct"/>
            <w:shd w:val="clear" w:color="auto" w:fill="auto"/>
            <w:noWrap/>
            <w:vAlign w:val="center"/>
            <w:hideMark/>
          </w:tcPr>
          <w:p w14:paraId="6048110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1488" w:type="pct"/>
            <w:shd w:val="clear" w:color="auto" w:fill="auto"/>
            <w:noWrap/>
            <w:vAlign w:val="center"/>
          </w:tcPr>
          <w:p w14:paraId="47C2DA1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mayo de 2017</w:t>
            </w:r>
          </w:p>
        </w:tc>
        <w:tc>
          <w:tcPr>
            <w:tcW w:w="1544" w:type="pct"/>
            <w:shd w:val="clear" w:color="auto" w:fill="auto"/>
            <w:noWrap/>
            <w:vAlign w:val="center"/>
          </w:tcPr>
          <w:p w14:paraId="1935914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junio de 2017</w:t>
            </w:r>
          </w:p>
        </w:tc>
        <w:tc>
          <w:tcPr>
            <w:tcW w:w="1352" w:type="pct"/>
            <w:shd w:val="clear" w:color="auto" w:fill="auto"/>
            <w:noWrap/>
            <w:vAlign w:val="center"/>
          </w:tcPr>
          <w:p w14:paraId="371414D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julio de 2017</w:t>
            </w:r>
          </w:p>
        </w:tc>
      </w:tr>
      <w:tr w:rsidR="00B2442D" w14:paraId="4CE234E6" w14:textId="77777777">
        <w:trPr>
          <w:trHeight w:val="345"/>
          <w:jc w:val="center"/>
        </w:trPr>
        <w:tc>
          <w:tcPr>
            <w:tcW w:w="616" w:type="pct"/>
            <w:shd w:val="clear" w:color="auto" w:fill="auto"/>
            <w:noWrap/>
            <w:vAlign w:val="center"/>
            <w:hideMark/>
          </w:tcPr>
          <w:p w14:paraId="4309A64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1488" w:type="pct"/>
            <w:shd w:val="clear" w:color="auto" w:fill="auto"/>
            <w:noWrap/>
            <w:vAlign w:val="center"/>
          </w:tcPr>
          <w:p w14:paraId="643CFA9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mayo de 2017</w:t>
            </w:r>
          </w:p>
        </w:tc>
        <w:tc>
          <w:tcPr>
            <w:tcW w:w="1544" w:type="pct"/>
            <w:shd w:val="clear" w:color="auto" w:fill="auto"/>
            <w:noWrap/>
            <w:vAlign w:val="center"/>
          </w:tcPr>
          <w:p w14:paraId="1267267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junio de 2017</w:t>
            </w:r>
          </w:p>
        </w:tc>
        <w:tc>
          <w:tcPr>
            <w:tcW w:w="1352" w:type="pct"/>
            <w:shd w:val="clear" w:color="auto" w:fill="auto"/>
            <w:noWrap/>
            <w:vAlign w:val="center"/>
          </w:tcPr>
          <w:p w14:paraId="1A3A628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julio de 2017</w:t>
            </w:r>
          </w:p>
        </w:tc>
      </w:tr>
      <w:tr w:rsidR="00B2442D" w14:paraId="58F0588B" w14:textId="77777777">
        <w:trPr>
          <w:trHeight w:val="345"/>
          <w:jc w:val="center"/>
        </w:trPr>
        <w:tc>
          <w:tcPr>
            <w:tcW w:w="616" w:type="pct"/>
            <w:shd w:val="clear" w:color="auto" w:fill="auto"/>
            <w:noWrap/>
            <w:vAlign w:val="center"/>
            <w:hideMark/>
          </w:tcPr>
          <w:p w14:paraId="1D14385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1488" w:type="pct"/>
            <w:shd w:val="clear" w:color="auto" w:fill="auto"/>
            <w:noWrap/>
            <w:vAlign w:val="center"/>
          </w:tcPr>
          <w:p w14:paraId="2BC1505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mayo de 2017</w:t>
            </w:r>
          </w:p>
        </w:tc>
        <w:tc>
          <w:tcPr>
            <w:tcW w:w="1544" w:type="pct"/>
            <w:shd w:val="clear" w:color="auto" w:fill="auto"/>
            <w:noWrap/>
            <w:vAlign w:val="center"/>
          </w:tcPr>
          <w:p w14:paraId="32332BE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junio de 2017</w:t>
            </w:r>
          </w:p>
        </w:tc>
        <w:tc>
          <w:tcPr>
            <w:tcW w:w="1352" w:type="pct"/>
            <w:shd w:val="clear" w:color="auto" w:fill="auto"/>
            <w:noWrap/>
            <w:vAlign w:val="center"/>
          </w:tcPr>
          <w:p w14:paraId="7028667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julio de 2017</w:t>
            </w:r>
          </w:p>
        </w:tc>
      </w:tr>
      <w:tr w:rsidR="00B2442D" w14:paraId="38853446" w14:textId="77777777">
        <w:trPr>
          <w:trHeight w:val="345"/>
          <w:jc w:val="center"/>
        </w:trPr>
        <w:tc>
          <w:tcPr>
            <w:tcW w:w="616" w:type="pct"/>
            <w:shd w:val="clear" w:color="auto" w:fill="auto"/>
            <w:noWrap/>
            <w:vAlign w:val="center"/>
            <w:hideMark/>
          </w:tcPr>
          <w:p w14:paraId="1781C10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1488" w:type="pct"/>
            <w:shd w:val="clear" w:color="auto" w:fill="auto"/>
            <w:noWrap/>
            <w:vAlign w:val="center"/>
          </w:tcPr>
          <w:p w14:paraId="67D654D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mayo de 2017</w:t>
            </w:r>
          </w:p>
        </w:tc>
        <w:tc>
          <w:tcPr>
            <w:tcW w:w="1544" w:type="pct"/>
            <w:shd w:val="clear" w:color="auto" w:fill="auto"/>
            <w:noWrap/>
            <w:vAlign w:val="center"/>
          </w:tcPr>
          <w:p w14:paraId="2482E57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junio de 2017</w:t>
            </w:r>
          </w:p>
        </w:tc>
        <w:tc>
          <w:tcPr>
            <w:tcW w:w="1352" w:type="pct"/>
            <w:shd w:val="clear" w:color="auto" w:fill="auto"/>
            <w:noWrap/>
            <w:vAlign w:val="center"/>
          </w:tcPr>
          <w:p w14:paraId="4CAA337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julio de 2017</w:t>
            </w:r>
          </w:p>
        </w:tc>
      </w:tr>
      <w:tr w:rsidR="00B2442D" w14:paraId="0D09F5EB" w14:textId="77777777">
        <w:trPr>
          <w:trHeight w:val="345"/>
          <w:jc w:val="center"/>
        </w:trPr>
        <w:tc>
          <w:tcPr>
            <w:tcW w:w="616" w:type="pct"/>
            <w:shd w:val="clear" w:color="auto" w:fill="auto"/>
            <w:noWrap/>
            <w:vAlign w:val="center"/>
            <w:hideMark/>
          </w:tcPr>
          <w:p w14:paraId="6933255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1488" w:type="pct"/>
            <w:shd w:val="clear" w:color="auto" w:fill="auto"/>
            <w:noWrap/>
            <w:vAlign w:val="center"/>
          </w:tcPr>
          <w:p w14:paraId="6A2B5DA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18 de </w:t>
            </w:r>
            <w:r>
              <w:rPr>
                <w:rFonts w:ascii="Arial" w:hAnsi="Arial" w:cs="Arial"/>
                <w:color w:val="000000"/>
                <w:lang w:val="es-CO" w:eastAsia="es-CO"/>
              </w:rPr>
              <w:t>mayo de 2017</w:t>
            </w:r>
          </w:p>
        </w:tc>
        <w:tc>
          <w:tcPr>
            <w:tcW w:w="1544" w:type="pct"/>
            <w:shd w:val="clear" w:color="auto" w:fill="auto"/>
            <w:noWrap/>
            <w:vAlign w:val="center"/>
          </w:tcPr>
          <w:p w14:paraId="1CB3D51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junio de 2017</w:t>
            </w:r>
          </w:p>
        </w:tc>
        <w:tc>
          <w:tcPr>
            <w:tcW w:w="1352" w:type="pct"/>
            <w:shd w:val="clear" w:color="auto" w:fill="auto"/>
            <w:noWrap/>
            <w:vAlign w:val="center"/>
          </w:tcPr>
          <w:p w14:paraId="3A02808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julio de 2017</w:t>
            </w:r>
          </w:p>
        </w:tc>
      </w:tr>
      <w:tr w:rsidR="00B2442D" w14:paraId="497C15F1" w14:textId="77777777">
        <w:trPr>
          <w:trHeight w:val="345"/>
          <w:jc w:val="center"/>
        </w:trPr>
        <w:tc>
          <w:tcPr>
            <w:tcW w:w="616" w:type="pct"/>
            <w:shd w:val="clear" w:color="auto" w:fill="auto"/>
            <w:noWrap/>
            <w:vAlign w:val="center"/>
            <w:hideMark/>
          </w:tcPr>
          <w:p w14:paraId="522BEC4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1488" w:type="pct"/>
            <w:shd w:val="clear" w:color="auto" w:fill="auto"/>
            <w:noWrap/>
            <w:vAlign w:val="center"/>
          </w:tcPr>
          <w:p w14:paraId="7A14F4B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mayo de 2017</w:t>
            </w:r>
          </w:p>
        </w:tc>
        <w:tc>
          <w:tcPr>
            <w:tcW w:w="1544" w:type="pct"/>
            <w:shd w:val="clear" w:color="auto" w:fill="auto"/>
            <w:noWrap/>
            <w:vAlign w:val="center"/>
          </w:tcPr>
          <w:p w14:paraId="10FD6A9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junio de 2017</w:t>
            </w:r>
          </w:p>
        </w:tc>
        <w:tc>
          <w:tcPr>
            <w:tcW w:w="1352" w:type="pct"/>
            <w:shd w:val="clear" w:color="auto" w:fill="auto"/>
            <w:noWrap/>
            <w:vAlign w:val="center"/>
          </w:tcPr>
          <w:p w14:paraId="64EF402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24 de julio de 2017</w:t>
            </w:r>
          </w:p>
        </w:tc>
      </w:tr>
      <w:tr w:rsidR="00B2442D" w14:paraId="09E7E0A5" w14:textId="77777777">
        <w:trPr>
          <w:trHeight w:val="345"/>
          <w:jc w:val="center"/>
        </w:trPr>
        <w:tc>
          <w:tcPr>
            <w:tcW w:w="616" w:type="pct"/>
            <w:shd w:val="clear" w:color="auto" w:fill="auto"/>
            <w:noWrap/>
            <w:vAlign w:val="center"/>
            <w:hideMark/>
          </w:tcPr>
          <w:p w14:paraId="3862A43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1488" w:type="pct"/>
            <w:shd w:val="clear" w:color="auto" w:fill="auto"/>
            <w:noWrap/>
            <w:vAlign w:val="center"/>
          </w:tcPr>
          <w:p w14:paraId="3B43319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mayo de 2017</w:t>
            </w:r>
          </w:p>
        </w:tc>
        <w:tc>
          <w:tcPr>
            <w:tcW w:w="1544" w:type="pct"/>
            <w:shd w:val="clear" w:color="auto" w:fill="auto"/>
            <w:noWrap/>
            <w:vAlign w:val="center"/>
          </w:tcPr>
          <w:p w14:paraId="1BD1621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junio de 2017</w:t>
            </w:r>
          </w:p>
        </w:tc>
        <w:tc>
          <w:tcPr>
            <w:tcW w:w="1352" w:type="pct"/>
            <w:shd w:val="clear" w:color="auto" w:fill="auto"/>
            <w:noWrap/>
            <w:vAlign w:val="center"/>
          </w:tcPr>
          <w:p w14:paraId="4AADD59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25 de julio de 2017</w:t>
            </w:r>
          </w:p>
        </w:tc>
      </w:tr>
      <w:tr w:rsidR="00B2442D" w14:paraId="7DB250B1" w14:textId="77777777">
        <w:trPr>
          <w:trHeight w:val="677"/>
          <w:jc w:val="center"/>
        </w:trPr>
        <w:tc>
          <w:tcPr>
            <w:tcW w:w="616" w:type="pct"/>
            <w:shd w:val="clear" w:color="auto" w:fill="D0CECE"/>
            <w:vAlign w:val="center"/>
            <w:hideMark/>
          </w:tcPr>
          <w:p w14:paraId="1FA1C4CD"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Si el último dígito es</w:t>
            </w:r>
          </w:p>
        </w:tc>
        <w:tc>
          <w:tcPr>
            <w:tcW w:w="1488" w:type="pct"/>
            <w:shd w:val="clear" w:color="auto" w:fill="D0CECE"/>
            <w:vAlign w:val="center"/>
            <w:hideMark/>
          </w:tcPr>
          <w:p w14:paraId="1C07C26B"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julio año 2017 hasta el día</w:t>
            </w:r>
          </w:p>
        </w:tc>
        <w:tc>
          <w:tcPr>
            <w:tcW w:w="1544" w:type="pct"/>
            <w:shd w:val="clear" w:color="auto" w:fill="D0CECE"/>
            <w:vAlign w:val="center"/>
            <w:hideMark/>
          </w:tcPr>
          <w:p w14:paraId="70BA4375"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 xml:space="preserve">mes de agosto año </w:t>
            </w:r>
            <w:r>
              <w:rPr>
                <w:rFonts w:ascii="Arial" w:hAnsi="Arial" w:cs="Arial"/>
                <w:b/>
                <w:bCs/>
                <w:color w:val="000000"/>
                <w:lang w:val="es-CO" w:eastAsia="es-CO"/>
              </w:rPr>
              <w:t>2017 hasta el día</w:t>
            </w:r>
          </w:p>
        </w:tc>
        <w:tc>
          <w:tcPr>
            <w:tcW w:w="1352" w:type="pct"/>
            <w:shd w:val="clear" w:color="auto" w:fill="D0CECE"/>
            <w:vAlign w:val="center"/>
            <w:hideMark/>
          </w:tcPr>
          <w:p w14:paraId="34BACF5F"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septiembre año 2017 hasta el día</w:t>
            </w:r>
          </w:p>
        </w:tc>
      </w:tr>
      <w:tr w:rsidR="00B2442D" w14:paraId="15999229" w14:textId="77777777">
        <w:trPr>
          <w:trHeight w:val="345"/>
          <w:jc w:val="center"/>
        </w:trPr>
        <w:tc>
          <w:tcPr>
            <w:tcW w:w="616" w:type="pct"/>
            <w:shd w:val="clear" w:color="auto" w:fill="auto"/>
            <w:noWrap/>
            <w:vAlign w:val="center"/>
            <w:hideMark/>
          </w:tcPr>
          <w:p w14:paraId="3CCE86B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1488" w:type="pct"/>
            <w:shd w:val="clear" w:color="auto" w:fill="auto"/>
            <w:noWrap/>
            <w:vAlign w:val="center"/>
          </w:tcPr>
          <w:p w14:paraId="5A121FD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agosto de 2017</w:t>
            </w:r>
          </w:p>
        </w:tc>
        <w:tc>
          <w:tcPr>
            <w:tcW w:w="1544" w:type="pct"/>
            <w:shd w:val="clear" w:color="auto" w:fill="auto"/>
            <w:noWrap/>
            <w:vAlign w:val="center"/>
          </w:tcPr>
          <w:p w14:paraId="045BAE3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  de Septiembre de 2017</w:t>
            </w:r>
          </w:p>
        </w:tc>
        <w:tc>
          <w:tcPr>
            <w:tcW w:w="1352" w:type="pct"/>
            <w:shd w:val="clear" w:color="auto" w:fill="auto"/>
            <w:noWrap/>
            <w:vAlign w:val="center"/>
          </w:tcPr>
          <w:p w14:paraId="4C37D95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Octubre de 2017</w:t>
            </w:r>
          </w:p>
        </w:tc>
      </w:tr>
      <w:tr w:rsidR="00B2442D" w14:paraId="0B7BECDC" w14:textId="77777777">
        <w:trPr>
          <w:trHeight w:val="345"/>
          <w:jc w:val="center"/>
        </w:trPr>
        <w:tc>
          <w:tcPr>
            <w:tcW w:w="616" w:type="pct"/>
            <w:shd w:val="clear" w:color="auto" w:fill="auto"/>
            <w:noWrap/>
            <w:vAlign w:val="center"/>
            <w:hideMark/>
          </w:tcPr>
          <w:p w14:paraId="3F88E12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1488" w:type="pct"/>
            <w:shd w:val="clear" w:color="auto" w:fill="auto"/>
            <w:noWrap/>
            <w:vAlign w:val="center"/>
          </w:tcPr>
          <w:p w14:paraId="01332A4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agosto de 2017</w:t>
            </w:r>
          </w:p>
        </w:tc>
        <w:tc>
          <w:tcPr>
            <w:tcW w:w="1544" w:type="pct"/>
            <w:shd w:val="clear" w:color="auto" w:fill="auto"/>
            <w:noWrap/>
            <w:vAlign w:val="center"/>
          </w:tcPr>
          <w:p w14:paraId="22E8CE3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Septiembre de 2017</w:t>
            </w:r>
          </w:p>
        </w:tc>
        <w:tc>
          <w:tcPr>
            <w:tcW w:w="1352" w:type="pct"/>
            <w:shd w:val="clear" w:color="auto" w:fill="auto"/>
            <w:noWrap/>
            <w:vAlign w:val="center"/>
          </w:tcPr>
          <w:p w14:paraId="583BDC3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Octubre de 2017</w:t>
            </w:r>
          </w:p>
        </w:tc>
      </w:tr>
      <w:tr w:rsidR="00B2442D" w14:paraId="5197075A" w14:textId="77777777">
        <w:trPr>
          <w:trHeight w:val="345"/>
          <w:jc w:val="center"/>
        </w:trPr>
        <w:tc>
          <w:tcPr>
            <w:tcW w:w="616" w:type="pct"/>
            <w:shd w:val="clear" w:color="auto" w:fill="auto"/>
            <w:noWrap/>
            <w:vAlign w:val="center"/>
            <w:hideMark/>
          </w:tcPr>
          <w:p w14:paraId="2C3A58A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1488" w:type="pct"/>
            <w:shd w:val="clear" w:color="auto" w:fill="auto"/>
            <w:noWrap/>
            <w:vAlign w:val="center"/>
          </w:tcPr>
          <w:p w14:paraId="55673F3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agosto de 2017</w:t>
            </w:r>
          </w:p>
        </w:tc>
        <w:tc>
          <w:tcPr>
            <w:tcW w:w="1544" w:type="pct"/>
            <w:shd w:val="clear" w:color="auto" w:fill="auto"/>
            <w:noWrap/>
            <w:vAlign w:val="center"/>
          </w:tcPr>
          <w:p w14:paraId="74F08D7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Septiembre de 2017</w:t>
            </w:r>
          </w:p>
        </w:tc>
        <w:tc>
          <w:tcPr>
            <w:tcW w:w="1352" w:type="pct"/>
            <w:shd w:val="clear" w:color="auto" w:fill="auto"/>
            <w:noWrap/>
            <w:vAlign w:val="center"/>
          </w:tcPr>
          <w:p w14:paraId="4B7138A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12 de </w:t>
            </w:r>
            <w:r>
              <w:rPr>
                <w:rFonts w:ascii="Arial" w:hAnsi="Arial" w:cs="Arial"/>
                <w:color w:val="000000"/>
                <w:lang w:val="es-CO" w:eastAsia="es-CO"/>
              </w:rPr>
              <w:t>Octubre de 2017</w:t>
            </w:r>
          </w:p>
        </w:tc>
      </w:tr>
      <w:tr w:rsidR="00B2442D" w14:paraId="582B4ABB" w14:textId="77777777">
        <w:trPr>
          <w:trHeight w:val="345"/>
          <w:jc w:val="center"/>
        </w:trPr>
        <w:tc>
          <w:tcPr>
            <w:tcW w:w="616" w:type="pct"/>
            <w:shd w:val="clear" w:color="auto" w:fill="auto"/>
            <w:noWrap/>
            <w:vAlign w:val="center"/>
            <w:hideMark/>
          </w:tcPr>
          <w:p w14:paraId="2A01F9B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1488" w:type="pct"/>
            <w:shd w:val="clear" w:color="auto" w:fill="auto"/>
            <w:noWrap/>
            <w:vAlign w:val="center"/>
          </w:tcPr>
          <w:p w14:paraId="28D68CA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agosto de 2017</w:t>
            </w:r>
          </w:p>
        </w:tc>
        <w:tc>
          <w:tcPr>
            <w:tcW w:w="1544" w:type="pct"/>
            <w:shd w:val="clear" w:color="auto" w:fill="auto"/>
            <w:noWrap/>
            <w:vAlign w:val="center"/>
          </w:tcPr>
          <w:p w14:paraId="49DF612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Septiembre de 2017</w:t>
            </w:r>
          </w:p>
        </w:tc>
        <w:tc>
          <w:tcPr>
            <w:tcW w:w="1352" w:type="pct"/>
            <w:shd w:val="clear" w:color="auto" w:fill="auto"/>
            <w:noWrap/>
            <w:vAlign w:val="center"/>
          </w:tcPr>
          <w:p w14:paraId="199DDCC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Octubre de 2017</w:t>
            </w:r>
          </w:p>
        </w:tc>
      </w:tr>
      <w:tr w:rsidR="00B2442D" w14:paraId="65EBA9FF" w14:textId="77777777">
        <w:trPr>
          <w:trHeight w:val="345"/>
          <w:jc w:val="center"/>
        </w:trPr>
        <w:tc>
          <w:tcPr>
            <w:tcW w:w="616" w:type="pct"/>
            <w:shd w:val="clear" w:color="auto" w:fill="auto"/>
            <w:noWrap/>
            <w:vAlign w:val="center"/>
            <w:hideMark/>
          </w:tcPr>
          <w:p w14:paraId="0FDEC79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1488" w:type="pct"/>
            <w:shd w:val="clear" w:color="auto" w:fill="auto"/>
            <w:noWrap/>
            <w:vAlign w:val="center"/>
          </w:tcPr>
          <w:p w14:paraId="709CD08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agosto de 2017</w:t>
            </w:r>
          </w:p>
        </w:tc>
        <w:tc>
          <w:tcPr>
            <w:tcW w:w="1544" w:type="pct"/>
            <w:shd w:val="clear" w:color="auto" w:fill="auto"/>
            <w:noWrap/>
            <w:vAlign w:val="center"/>
          </w:tcPr>
          <w:p w14:paraId="4AF822C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Septiembre de 2017</w:t>
            </w:r>
          </w:p>
        </w:tc>
        <w:tc>
          <w:tcPr>
            <w:tcW w:w="1352" w:type="pct"/>
            <w:shd w:val="clear" w:color="auto" w:fill="auto"/>
            <w:noWrap/>
            <w:vAlign w:val="center"/>
          </w:tcPr>
          <w:p w14:paraId="2C5C245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Octubre de 2017</w:t>
            </w:r>
          </w:p>
        </w:tc>
      </w:tr>
      <w:tr w:rsidR="00B2442D" w14:paraId="56FF8F97" w14:textId="77777777">
        <w:trPr>
          <w:trHeight w:val="345"/>
          <w:jc w:val="center"/>
        </w:trPr>
        <w:tc>
          <w:tcPr>
            <w:tcW w:w="616" w:type="pct"/>
            <w:shd w:val="clear" w:color="auto" w:fill="auto"/>
            <w:noWrap/>
            <w:vAlign w:val="center"/>
            <w:hideMark/>
          </w:tcPr>
          <w:p w14:paraId="1CE58DE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1488" w:type="pct"/>
            <w:shd w:val="clear" w:color="auto" w:fill="auto"/>
            <w:noWrap/>
            <w:vAlign w:val="center"/>
          </w:tcPr>
          <w:p w14:paraId="2D81B0D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agosto de 2017</w:t>
            </w:r>
          </w:p>
        </w:tc>
        <w:tc>
          <w:tcPr>
            <w:tcW w:w="1544" w:type="pct"/>
            <w:shd w:val="clear" w:color="auto" w:fill="auto"/>
            <w:noWrap/>
            <w:vAlign w:val="center"/>
          </w:tcPr>
          <w:p w14:paraId="6369B40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Septiembre de 2017</w:t>
            </w:r>
          </w:p>
        </w:tc>
        <w:tc>
          <w:tcPr>
            <w:tcW w:w="1352" w:type="pct"/>
            <w:shd w:val="clear" w:color="auto" w:fill="auto"/>
            <w:noWrap/>
            <w:vAlign w:val="center"/>
          </w:tcPr>
          <w:p w14:paraId="692BF91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Octubre de 2017</w:t>
            </w:r>
          </w:p>
        </w:tc>
      </w:tr>
      <w:tr w:rsidR="00B2442D" w14:paraId="038D843C" w14:textId="77777777">
        <w:trPr>
          <w:trHeight w:val="345"/>
          <w:jc w:val="center"/>
        </w:trPr>
        <w:tc>
          <w:tcPr>
            <w:tcW w:w="616" w:type="pct"/>
            <w:shd w:val="clear" w:color="auto" w:fill="auto"/>
            <w:noWrap/>
            <w:vAlign w:val="center"/>
            <w:hideMark/>
          </w:tcPr>
          <w:p w14:paraId="2534827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1488" w:type="pct"/>
            <w:shd w:val="clear" w:color="auto" w:fill="auto"/>
            <w:noWrap/>
            <w:vAlign w:val="center"/>
          </w:tcPr>
          <w:p w14:paraId="6A7D538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17  de agosto de </w:t>
            </w:r>
            <w:r>
              <w:rPr>
                <w:rFonts w:ascii="Arial" w:hAnsi="Arial" w:cs="Arial"/>
                <w:color w:val="000000"/>
                <w:lang w:val="es-CO" w:eastAsia="es-CO"/>
              </w:rPr>
              <w:t>2017</w:t>
            </w:r>
          </w:p>
        </w:tc>
        <w:tc>
          <w:tcPr>
            <w:tcW w:w="1544" w:type="pct"/>
            <w:shd w:val="clear" w:color="auto" w:fill="auto"/>
            <w:noWrap/>
            <w:vAlign w:val="center"/>
          </w:tcPr>
          <w:p w14:paraId="64F9AB58"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Septiembre de 2017</w:t>
            </w:r>
          </w:p>
        </w:tc>
        <w:tc>
          <w:tcPr>
            <w:tcW w:w="1352" w:type="pct"/>
            <w:shd w:val="clear" w:color="auto" w:fill="auto"/>
            <w:noWrap/>
            <w:vAlign w:val="center"/>
          </w:tcPr>
          <w:p w14:paraId="592F383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Octubre de 2017</w:t>
            </w:r>
          </w:p>
        </w:tc>
      </w:tr>
      <w:tr w:rsidR="00B2442D" w14:paraId="64D3D447" w14:textId="77777777">
        <w:trPr>
          <w:trHeight w:val="345"/>
          <w:jc w:val="center"/>
        </w:trPr>
        <w:tc>
          <w:tcPr>
            <w:tcW w:w="616" w:type="pct"/>
            <w:shd w:val="clear" w:color="auto" w:fill="auto"/>
            <w:noWrap/>
            <w:vAlign w:val="center"/>
            <w:hideMark/>
          </w:tcPr>
          <w:p w14:paraId="67169FE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1488" w:type="pct"/>
            <w:shd w:val="clear" w:color="auto" w:fill="auto"/>
            <w:noWrap/>
            <w:vAlign w:val="center"/>
          </w:tcPr>
          <w:p w14:paraId="6A00496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agosto de 2017</w:t>
            </w:r>
          </w:p>
        </w:tc>
        <w:tc>
          <w:tcPr>
            <w:tcW w:w="1544" w:type="pct"/>
            <w:shd w:val="clear" w:color="auto" w:fill="auto"/>
            <w:noWrap/>
            <w:vAlign w:val="center"/>
          </w:tcPr>
          <w:p w14:paraId="280D36B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Septiembre de 2017</w:t>
            </w:r>
          </w:p>
        </w:tc>
        <w:tc>
          <w:tcPr>
            <w:tcW w:w="1352" w:type="pct"/>
            <w:shd w:val="clear" w:color="auto" w:fill="auto"/>
            <w:noWrap/>
            <w:vAlign w:val="center"/>
          </w:tcPr>
          <w:p w14:paraId="1DF8975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Octubre de 2017</w:t>
            </w:r>
          </w:p>
        </w:tc>
      </w:tr>
      <w:tr w:rsidR="00B2442D" w14:paraId="04FF15A1" w14:textId="77777777">
        <w:trPr>
          <w:trHeight w:val="345"/>
          <w:jc w:val="center"/>
        </w:trPr>
        <w:tc>
          <w:tcPr>
            <w:tcW w:w="616" w:type="pct"/>
            <w:shd w:val="clear" w:color="auto" w:fill="auto"/>
            <w:noWrap/>
            <w:vAlign w:val="center"/>
            <w:hideMark/>
          </w:tcPr>
          <w:p w14:paraId="2D838D8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1488" w:type="pct"/>
            <w:shd w:val="clear" w:color="auto" w:fill="auto"/>
            <w:noWrap/>
            <w:vAlign w:val="center"/>
          </w:tcPr>
          <w:p w14:paraId="2ADA00F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agosto de 2017</w:t>
            </w:r>
          </w:p>
        </w:tc>
        <w:tc>
          <w:tcPr>
            <w:tcW w:w="1544" w:type="pct"/>
            <w:shd w:val="clear" w:color="auto" w:fill="auto"/>
            <w:noWrap/>
            <w:vAlign w:val="center"/>
          </w:tcPr>
          <w:p w14:paraId="0863B3B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Septiembre de 2017</w:t>
            </w:r>
          </w:p>
        </w:tc>
        <w:tc>
          <w:tcPr>
            <w:tcW w:w="1352" w:type="pct"/>
            <w:shd w:val="clear" w:color="auto" w:fill="auto"/>
            <w:noWrap/>
            <w:vAlign w:val="center"/>
          </w:tcPr>
          <w:p w14:paraId="73F1240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23 de Octubre de 2017</w:t>
            </w:r>
          </w:p>
        </w:tc>
      </w:tr>
      <w:tr w:rsidR="00B2442D" w14:paraId="2C887F1B" w14:textId="77777777">
        <w:trPr>
          <w:trHeight w:val="345"/>
          <w:jc w:val="center"/>
        </w:trPr>
        <w:tc>
          <w:tcPr>
            <w:tcW w:w="616" w:type="pct"/>
            <w:shd w:val="clear" w:color="auto" w:fill="auto"/>
            <w:noWrap/>
            <w:vAlign w:val="center"/>
            <w:hideMark/>
          </w:tcPr>
          <w:p w14:paraId="48ED7E4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1488" w:type="pct"/>
            <w:shd w:val="clear" w:color="auto" w:fill="auto"/>
            <w:noWrap/>
            <w:vAlign w:val="center"/>
          </w:tcPr>
          <w:p w14:paraId="5A11695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23 de agosto de 2017</w:t>
            </w:r>
          </w:p>
        </w:tc>
        <w:tc>
          <w:tcPr>
            <w:tcW w:w="1544" w:type="pct"/>
            <w:shd w:val="clear" w:color="auto" w:fill="auto"/>
            <w:noWrap/>
            <w:vAlign w:val="center"/>
          </w:tcPr>
          <w:p w14:paraId="6904083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Septiembre de 2017</w:t>
            </w:r>
          </w:p>
        </w:tc>
        <w:tc>
          <w:tcPr>
            <w:tcW w:w="1352" w:type="pct"/>
            <w:shd w:val="clear" w:color="auto" w:fill="auto"/>
            <w:noWrap/>
            <w:vAlign w:val="center"/>
          </w:tcPr>
          <w:p w14:paraId="5ABD559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24 de </w:t>
            </w:r>
            <w:r>
              <w:rPr>
                <w:rFonts w:ascii="Arial" w:hAnsi="Arial" w:cs="Arial"/>
                <w:color w:val="000000"/>
                <w:lang w:val="es-CO" w:eastAsia="es-CO"/>
              </w:rPr>
              <w:t>Octubre de 2017</w:t>
            </w:r>
          </w:p>
        </w:tc>
      </w:tr>
      <w:tr w:rsidR="00B2442D" w14:paraId="64D7243C" w14:textId="77777777">
        <w:trPr>
          <w:trHeight w:val="694"/>
          <w:jc w:val="center"/>
        </w:trPr>
        <w:tc>
          <w:tcPr>
            <w:tcW w:w="616" w:type="pct"/>
            <w:shd w:val="clear" w:color="auto" w:fill="D0CECE"/>
            <w:vAlign w:val="center"/>
            <w:hideMark/>
          </w:tcPr>
          <w:p w14:paraId="0B810A13"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Si el último dígito es</w:t>
            </w:r>
          </w:p>
        </w:tc>
        <w:tc>
          <w:tcPr>
            <w:tcW w:w="1488" w:type="pct"/>
            <w:shd w:val="clear" w:color="auto" w:fill="D0CECE"/>
            <w:vAlign w:val="center"/>
            <w:hideMark/>
          </w:tcPr>
          <w:p w14:paraId="706C3784"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octubre año 2017 hasta el día</w:t>
            </w:r>
          </w:p>
        </w:tc>
        <w:tc>
          <w:tcPr>
            <w:tcW w:w="1544" w:type="pct"/>
            <w:shd w:val="clear" w:color="auto" w:fill="D0CECE"/>
            <w:vAlign w:val="center"/>
            <w:hideMark/>
          </w:tcPr>
          <w:p w14:paraId="029AC123"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noviembre año 2017 hasta el día</w:t>
            </w:r>
          </w:p>
        </w:tc>
        <w:tc>
          <w:tcPr>
            <w:tcW w:w="1352" w:type="pct"/>
            <w:shd w:val="clear" w:color="auto" w:fill="D0CECE"/>
            <w:vAlign w:val="center"/>
            <w:hideMark/>
          </w:tcPr>
          <w:p w14:paraId="05F00AB3" w14:textId="77777777" w:rsidR="00B2442D" w:rsidRDefault="008A645F">
            <w:pPr>
              <w:jc w:val="both"/>
              <w:rPr>
                <w:rFonts w:ascii="Arial" w:hAnsi="Arial" w:cs="Arial"/>
                <w:b/>
                <w:bCs/>
                <w:color w:val="000000"/>
                <w:lang w:val="es-CO" w:eastAsia="es-CO"/>
              </w:rPr>
            </w:pPr>
            <w:r>
              <w:rPr>
                <w:rFonts w:ascii="Arial" w:hAnsi="Arial" w:cs="Arial"/>
                <w:b/>
                <w:bCs/>
                <w:color w:val="000000"/>
                <w:lang w:val="es-CO" w:eastAsia="es-CO"/>
              </w:rPr>
              <w:t>mes de diciembre año 2017 hasta el día</w:t>
            </w:r>
          </w:p>
        </w:tc>
      </w:tr>
      <w:tr w:rsidR="00B2442D" w14:paraId="0505D80D" w14:textId="77777777">
        <w:trPr>
          <w:trHeight w:val="345"/>
          <w:jc w:val="center"/>
        </w:trPr>
        <w:tc>
          <w:tcPr>
            <w:tcW w:w="616" w:type="pct"/>
            <w:shd w:val="clear" w:color="auto" w:fill="auto"/>
            <w:noWrap/>
            <w:vAlign w:val="center"/>
            <w:hideMark/>
          </w:tcPr>
          <w:p w14:paraId="2C95ECE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0</w:t>
            </w:r>
          </w:p>
        </w:tc>
        <w:tc>
          <w:tcPr>
            <w:tcW w:w="1488" w:type="pct"/>
            <w:shd w:val="clear" w:color="000000" w:fill="FFFFFF"/>
            <w:noWrap/>
            <w:vAlign w:val="center"/>
          </w:tcPr>
          <w:p w14:paraId="0EAE1FA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 de noviembre de 2017</w:t>
            </w:r>
          </w:p>
        </w:tc>
        <w:tc>
          <w:tcPr>
            <w:tcW w:w="1544" w:type="pct"/>
            <w:shd w:val="clear" w:color="000000" w:fill="FFFFFF"/>
            <w:noWrap/>
            <w:vAlign w:val="center"/>
          </w:tcPr>
          <w:p w14:paraId="49020DC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diciembre de 2017</w:t>
            </w:r>
          </w:p>
        </w:tc>
        <w:tc>
          <w:tcPr>
            <w:tcW w:w="1352" w:type="pct"/>
            <w:shd w:val="clear" w:color="auto" w:fill="auto"/>
            <w:noWrap/>
            <w:vAlign w:val="center"/>
          </w:tcPr>
          <w:p w14:paraId="6ED88F7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11 de enero de 2018</w:t>
            </w:r>
          </w:p>
        </w:tc>
      </w:tr>
      <w:tr w:rsidR="00B2442D" w14:paraId="20766F9E" w14:textId="77777777">
        <w:trPr>
          <w:trHeight w:val="345"/>
          <w:jc w:val="center"/>
        </w:trPr>
        <w:tc>
          <w:tcPr>
            <w:tcW w:w="616" w:type="pct"/>
            <w:shd w:val="clear" w:color="auto" w:fill="auto"/>
            <w:noWrap/>
            <w:vAlign w:val="center"/>
            <w:hideMark/>
          </w:tcPr>
          <w:p w14:paraId="4C3E273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9</w:t>
            </w:r>
          </w:p>
        </w:tc>
        <w:tc>
          <w:tcPr>
            <w:tcW w:w="1488" w:type="pct"/>
            <w:shd w:val="clear" w:color="000000" w:fill="FFFFFF"/>
            <w:noWrap/>
            <w:vAlign w:val="center"/>
          </w:tcPr>
          <w:p w14:paraId="07724CA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10 de noviembre de 2017</w:t>
            </w:r>
          </w:p>
        </w:tc>
        <w:tc>
          <w:tcPr>
            <w:tcW w:w="1544" w:type="pct"/>
            <w:shd w:val="clear" w:color="000000" w:fill="FFFFFF"/>
            <w:noWrap/>
            <w:vAlign w:val="center"/>
          </w:tcPr>
          <w:p w14:paraId="46F48CC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12 </w:t>
            </w:r>
            <w:r>
              <w:rPr>
                <w:rFonts w:ascii="Arial" w:hAnsi="Arial" w:cs="Arial"/>
                <w:color w:val="000000"/>
                <w:lang w:val="es-CO" w:eastAsia="es-CO"/>
              </w:rPr>
              <w:t>de diciembre de 2017</w:t>
            </w:r>
          </w:p>
        </w:tc>
        <w:tc>
          <w:tcPr>
            <w:tcW w:w="1352" w:type="pct"/>
            <w:shd w:val="clear" w:color="auto" w:fill="auto"/>
            <w:noWrap/>
            <w:vAlign w:val="center"/>
          </w:tcPr>
          <w:p w14:paraId="2ECA42E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12 de enero de 2018</w:t>
            </w:r>
          </w:p>
        </w:tc>
      </w:tr>
      <w:tr w:rsidR="00B2442D" w14:paraId="55209E84" w14:textId="77777777">
        <w:trPr>
          <w:trHeight w:val="345"/>
          <w:jc w:val="center"/>
        </w:trPr>
        <w:tc>
          <w:tcPr>
            <w:tcW w:w="616" w:type="pct"/>
            <w:shd w:val="clear" w:color="auto" w:fill="auto"/>
            <w:noWrap/>
            <w:vAlign w:val="center"/>
            <w:hideMark/>
          </w:tcPr>
          <w:p w14:paraId="7AA4BAF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8</w:t>
            </w:r>
          </w:p>
        </w:tc>
        <w:tc>
          <w:tcPr>
            <w:tcW w:w="1488" w:type="pct"/>
            <w:shd w:val="clear" w:color="000000" w:fill="FFFFFF"/>
            <w:noWrap/>
            <w:vAlign w:val="center"/>
          </w:tcPr>
          <w:p w14:paraId="1CA67DC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noviembre de 2017</w:t>
            </w:r>
          </w:p>
        </w:tc>
        <w:tc>
          <w:tcPr>
            <w:tcW w:w="1544" w:type="pct"/>
            <w:shd w:val="clear" w:color="000000" w:fill="FFFFFF"/>
            <w:noWrap/>
            <w:vAlign w:val="center"/>
          </w:tcPr>
          <w:p w14:paraId="3A33737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13 de diciembre de 2017</w:t>
            </w:r>
          </w:p>
        </w:tc>
        <w:tc>
          <w:tcPr>
            <w:tcW w:w="1352" w:type="pct"/>
            <w:shd w:val="clear" w:color="auto" w:fill="auto"/>
            <w:noWrap/>
            <w:vAlign w:val="center"/>
          </w:tcPr>
          <w:p w14:paraId="62E0621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enero de 2018</w:t>
            </w:r>
          </w:p>
        </w:tc>
      </w:tr>
      <w:tr w:rsidR="00B2442D" w14:paraId="7797B723" w14:textId="77777777">
        <w:trPr>
          <w:trHeight w:val="345"/>
          <w:jc w:val="center"/>
        </w:trPr>
        <w:tc>
          <w:tcPr>
            <w:tcW w:w="616" w:type="pct"/>
            <w:shd w:val="clear" w:color="auto" w:fill="auto"/>
            <w:noWrap/>
            <w:vAlign w:val="center"/>
            <w:hideMark/>
          </w:tcPr>
          <w:p w14:paraId="5F6E1FB1"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7</w:t>
            </w:r>
          </w:p>
        </w:tc>
        <w:tc>
          <w:tcPr>
            <w:tcW w:w="1488" w:type="pct"/>
            <w:shd w:val="clear" w:color="000000" w:fill="FFFFFF"/>
            <w:noWrap/>
            <w:vAlign w:val="center"/>
          </w:tcPr>
          <w:p w14:paraId="1EC2BF2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noviembre de 2017</w:t>
            </w:r>
          </w:p>
        </w:tc>
        <w:tc>
          <w:tcPr>
            <w:tcW w:w="1544" w:type="pct"/>
            <w:shd w:val="clear" w:color="000000" w:fill="FFFFFF"/>
            <w:noWrap/>
            <w:vAlign w:val="center"/>
          </w:tcPr>
          <w:p w14:paraId="302C7D6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14 de diciembre de 2017</w:t>
            </w:r>
          </w:p>
        </w:tc>
        <w:tc>
          <w:tcPr>
            <w:tcW w:w="1352" w:type="pct"/>
            <w:shd w:val="clear" w:color="auto" w:fill="auto"/>
            <w:noWrap/>
            <w:vAlign w:val="center"/>
          </w:tcPr>
          <w:p w14:paraId="35D2EB40"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enero de 2018</w:t>
            </w:r>
          </w:p>
        </w:tc>
      </w:tr>
      <w:tr w:rsidR="00B2442D" w14:paraId="2EA1C6A8" w14:textId="77777777">
        <w:trPr>
          <w:trHeight w:val="345"/>
          <w:jc w:val="center"/>
        </w:trPr>
        <w:tc>
          <w:tcPr>
            <w:tcW w:w="616" w:type="pct"/>
            <w:shd w:val="clear" w:color="auto" w:fill="auto"/>
            <w:noWrap/>
            <w:vAlign w:val="center"/>
            <w:hideMark/>
          </w:tcPr>
          <w:p w14:paraId="12599F19"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6</w:t>
            </w:r>
          </w:p>
        </w:tc>
        <w:tc>
          <w:tcPr>
            <w:tcW w:w="1488" w:type="pct"/>
            <w:shd w:val="clear" w:color="000000" w:fill="FFFFFF"/>
            <w:noWrap/>
            <w:vAlign w:val="center"/>
          </w:tcPr>
          <w:p w14:paraId="13392C6B"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16 de noviembre de 2017</w:t>
            </w:r>
          </w:p>
        </w:tc>
        <w:tc>
          <w:tcPr>
            <w:tcW w:w="1544" w:type="pct"/>
            <w:shd w:val="clear" w:color="000000" w:fill="FFFFFF"/>
            <w:noWrap/>
            <w:vAlign w:val="center"/>
          </w:tcPr>
          <w:p w14:paraId="1369D06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15 de diciembre de 2017</w:t>
            </w:r>
          </w:p>
        </w:tc>
        <w:tc>
          <w:tcPr>
            <w:tcW w:w="1352" w:type="pct"/>
            <w:shd w:val="clear" w:color="auto" w:fill="auto"/>
            <w:noWrap/>
            <w:vAlign w:val="center"/>
          </w:tcPr>
          <w:p w14:paraId="5D6CB67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17 de enero de </w:t>
            </w:r>
            <w:r>
              <w:rPr>
                <w:rFonts w:ascii="Arial" w:hAnsi="Arial" w:cs="Arial"/>
                <w:color w:val="000000"/>
                <w:lang w:val="es-CO" w:eastAsia="es-CO"/>
              </w:rPr>
              <w:t>2018</w:t>
            </w:r>
          </w:p>
        </w:tc>
      </w:tr>
      <w:tr w:rsidR="00B2442D" w14:paraId="1DA79806" w14:textId="77777777">
        <w:trPr>
          <w:trHeight w:val="345"/>
          <w:jc w:val="center"/>
        </w:trPr>
        <w:tc>
          <w:tcPr>
            <w:tcW w:w="616" w:type="pct"/>
            <w:shd w:val="clear" w:color="auto" w:fill="auto"/>
            <w:noWrap/>
            <w:vAlign w:val="center"/>
            <w:hideMark/>
          </w:tcPr>
          <w:p w14:paraId="0F4EEE6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5</w:t>
            </w:r>
          </w:p>
        </w:tc>
        <w:tc>
          <w:tcPr>
            <w:tcW w:w="1488" w:type="pct"/>
            <w:shd w:val="clear" w:color="000000" w:fill="FFFFFF"/>
            <w:noWrap/>
            <w:vAlign w:val="center"/>
          </w:tcPr>
          <w:p w14:paraId="621DABC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17 de noviembre de 2017</w:t>
            </w:r>
          </w:p>
        </w:tc>
        <w:tc>
          <w:tcPr>
            <w:tcW w:w="1544" w:type="pct"/>
            <w:shd w:val="clear" w:color="000000" w:fill="FFFFFF"/>
            <w:noWrap/>
            <w:vAlign w:val="center"/>
          </w:tcPr>
          <w:p w14:paraId="2754E05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diciembre de 2017</w:t>
            </w:r>
          </w:p>
        </w:tc>
        <w:tc>
          <w:tcPr>
            <w:tcW w:w="1352" w:type="pct"/>
            <w:shd w:val="clear" w:color="auto" w:fill="auto"/>
            <w:noWrap/>
            <w:vAlign w:val="center"/>
          </w:tcPr>
          <w:p w14:paraId="7E304A8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18 de enero de 2018</w:t>
            </w:r>
          </w:p>
        </w:tc>
      </w:tr>
      <w:tr w:rsidR="00B2442D" w14:paraId="57AF740C" w14:textId="77777777">
        <w:trPr>
          <w:trHeight w:val="345"/>
          <w:jc w:val="center"/>
        </w:trPr>
        <w:tc>
          <w:tcPr>
            <w:tcW w:w="616" w:type="pct"/>
            <w:shd w:val="clear" w:color="auto" w:fill="auto"/>
            <w:noWrap/>
            <w:vAlign w:val="center"/>
            <w:hideMark/>
          </w:tcPr>
          <w:p w14:paraId="417FF19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4</w:t>
            </w:r>
          </w:p>
        </w:tc>
        <w:tc>
          <w:tcPr>
            <w:tcW w:w="1488" w:type="pct"/>
            <w:shd w:val="clear" w:color="000000" w:fill="FFFFFF"/>
            <w:noWrap/>
            <w:vAlign w:val="center"/>
          </w:tcPr>
          <w:p w14:paraId="6463749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noviembre de 2017</w:t>
            </w:r>
          </w:p>
        </w:tc>
        <w:tc>
          <w:tcPr>
            <w:tcW w:w="1544" w:type="pct"/>
            <w:shd w:val="clear" w:color="000000" w:fill="FFFFFF"/>
            <w:noWrap/>
            <w:vAlign w:val="center"/>
          </w:tcPr>
          <w:p w14:paraId="567D673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diciembre de 2017</w:t>
            </w:r>
          </w:p>
        </w:tc>
        <w:tc>
          <w:tcPr>
            <w:tcW w:w="1352" w:type="pct"/>
            <w:shd w:val="clear" w:color="auto" w:fill="auto"/>
            <w:noWrap/>
            <w:vAlign w:val="center"/>
          </w:tcPr>
          <w:p w14:paraId="23ED0A43"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19 de enero de 2018</w:t>
            </w:r>
          </w:p>
        </w:tc>
      </w:tr>
      <w:tr w:rsidR="00B2442D" w14:paraId="63B6F26A" w14:textId="77777777">
        <w:trPr>
          <w:trHeight w:val="345"/>
          <w:jc w:val="center"/>
        </w:trPr>
        <w:tc>
          <w:tcPr>
            <w:tcW w:w="616" w:type="pct"/>
            <w:shd w:val="clear" w:color="auto" w:fill="auto"/>
            <w:noWrap/>
            <w:vAlign w:val="center"/>
            <w:hideMark/>
          </w:tcPr>
          <w:p w14:paraId="0103C3AF"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3</w:t>
            </w:r>
          </w:p>
        </w:tc>
        <w:tc>
          <w:tcPr>
            <w:tcW w:w="1488" w:type="pct"/>
            <w:shd w:val="clear" w:color="000000" w:fill="FFFFFF"/>
            <w:noWrap/>
            <w:vAlign w:val="center"/>
          </w:tcPr>
          <w:p w14:paraId="0876C374"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21 de noviembre de 2017</w:t>
            </w:r>
          </w:p>
        </w:tc>
        <w:tc>
          <w:tcPr>
            <w:tcW w:w="1544" w:type="pct"/>
            <w:shd w:val="clear" w:color="000000" w:fill="FFFFFF"/>
            <w:noWrap/>
            <w:vAlign w:val="center"/>
          </w:tcPr>
          <w:p w14:paraId="4F34F96E"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20 de diciembre de 2017</w:t>
            </w:r>
          </w:p>
        </w:tc>
        <w:tc>
          <w:tcPr>
            <w:tcW w:w="1352" w:type="pct"/>
            <w:shd w:val="clear" w:color="auto" w:fill="auto"/>
            <w:noWrap/>
            <w:vAlign w:val="center"/>
          </w:tcPr>
          <w:p w14:paraId="3E51D075"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enero de 2018</w:t>
            </w:r>
          </w:p>
        </w:tc>
      </w:tr>
      <w:tr w:rsidR="00B2442D" w14:paraId="3C760729" w14:textId="77777777">
        <w:trPr>
          <w:trHeight w:val="345"/>
          <w:jc w:val="center"/>
        </w:trPr>
        <w:tc>
          <w:tcPr>
            <w:tcW w:w="616" w:type="pct"/>
            <w:shd w:val="clear" w:color="auto" w:fill="auto"/>
            <w:noWrap/>
            <w:vAlign w:val="center"/>
            <w:hideMark/>
          </w:tcPr>
          <w:p w14:paraId="7C7ECB8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w:t>
            </w:r>
          </w:p>
        </w:tc>
        <w:tc>
          <w:tcPr>
            <w:tcW w:w="1488" w:type="pct"/>
            <w:shd w:val="clear" w:color="000000" w:fill="FFFFFF"/>
            <w:noWrap/>
            <w:vAlign w:val="center"/>
          </w:tcPr>
          <w:p w14:paraId="275235DC"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noviembre de 2017</w:t>
            </w:r>
          </w:p>
        </w:tc>
        <w:tc>
          <w:tcPr>
            <w:tcW w:w="1544" w:type="pct"/>
            <w:shd w:val="clear" w:color="000000" w:fill="FFFFFF"/>
            <w:noWrap/>
            <w:vAlign w:val="center"/>
          </w:tcPr>
          <w:p w14:paraId="17E907A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 xml:space="preserve">21 de </w:t>
            </w:r>
            <w:r>
              <w:rPr>
                <w:rFonts w:ascii="Arial" w:hAnsi="Arial" w:cs="Arial"/>
                <w:color w:val="000000"/>
                <w:lang w:val="es-CO" w:eastAsia="es-CO"/>
              </w:rPr>
              <w:t>diciembre de 2017</w:t>
            </w:r>
          </w:p>
        </w:tc>
        <w:tc>
          <w:tcPr>
            <w:tcW w:w="1352" w:type="pct"/>
            <w:shd w:val="clear" w:color="auto" w:fill="auto"/>
            <w:noWrap/>
            <w:vAlign w:val="center"/>
          </w:tcPr>
          <w:p w14:paraId="61D827A6"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23 de enero de 2018</w:t>
            </w:r>
          </w:p>
        </w:tc>
      </w:tr>
      <w:tr w:rsidR="00B2442D" w14:paraId="7448EBC8" w14:textId="77777777">
        <w:trPr>
          <w:trHeight w:val="345"/>
          <w:jc w:val="center"/>
        </w:trPr>
        <w:tc>
          <w:tcPr>
            <w:tcW w:w="616" w:type="pct"/>
            <w:shd w:val="clear" w:color="auto" w:fill="auto"/>
            <w:noWrap/>
            <w:vAlign w:val="center"/>
            <w:hideMark/>
          </w:tcPr>
          <w:p w14:paraId="16FD9367"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1</w:t>
            </w:r>
          </w:p>
        </w:tc>
        <w:tc>
          <w:tcPr>
            <w:tcW w:w="1488" w:type="pct"/>
            <w:shd w:val="clear" w:color="000000" w:fill="FFFFFF"/>
            <w:noWrap/>
            <w:vAlign w:val="center"/>
          </w:tcPr>
          <w:p w14:paraId="190C924A"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23 de noviembre de 2017</w:t>
            </w:r>
          </w:p>
        </w:tc>
        <w:tc>
          <w:tcPr>
            <w:tcW w:w="1544" w:type="pct"/>
            <w:shd w:val="clear" w:color="000000" w:fill="FFFFFF"/>
            <w:noWrap/>
            <w:vAlign w:val="center"/>
          </w:tcPr>
          <w:p w14:paraId="1254D962"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22 de diciembre de 2017</w:t>
            </w:r>
          </w:p>
        </w:tc>
        <w:tc>
          <w:tcPr>
            <w:tcW w:w="1352" w:type="pct"/>
            <w:shd w:val="clear" w:color="auto" w:fill="auto"/>
            <w:noWrap/>
            <w:vAlign w:val="center"/>
          </w:tcPr>
          <w:p w14:paraId="5C24366D" w14:textId="77777777" w:rsidR="00B2442D" w:rsidRDefault="008A645F">
            <w:pPr>
              <w:jc w:val="both"/>
              <w:rPr>
                <w:rFonts w:ascii="Arial" w:hAnsi="Arial" w:cs="Arial"/>
                <w:color w:val="000000"/>
                <w:lang w:val="es-CO" w:eastAsia="es-CO"/>
              </w:rPr>
            </w:pPr>
            <w:r>
              <w:rPr>
                <w:rFonts w:ascii="Arial" w:hAnsi="Arial" w:cs="Arial"/>
                <w:color w:val="000000"/>
                <w:lang w:val="es-CO" w:eastAsia="es-CO"/>
              </w:rPr>
              <w:t>24 de enero de 2018</w:t>
            </w:r>
          </w:p>
        </w:tc>
      </w:tr>
    </w:tbl>
    <w:p w14:paraId="2C8A3EFC" w14:textId="77777777" w:rsidR="00B2442D" w:rsidRDefault="00B2442D">
      <w:pPr>
        <w:autoSpaceDE w:val="0"/>
        <w:autoSpaceDN w:val="0"/>
        <w:adjustRightInd w:val="0"/>
        <w:spacing w:line="40" w:lineRule="atLeast"/>
        <w:ind w:left="720"/>
        <w:jc w:val="both"/>
        <w:rPr>
          <w:rFonts w:ascii="Arial" w:hAnsi="Arial" w:cs="Arial"/>
          <w:b/>
        </w:rPr>
      </w:pPr>
    </w:p>
    <w:p w14:paraId="4E9F0F9B" w14:textId="77777777" w:rsidR="00B2442D" w:rsidRDefault="008A645F">
      <w:pPr>
        <w:autoSpaceDE w:val="0"/>
        <w:autoSpaceDN w:val="0"/>
        <w:adjustRightInd w:val="0"/>
        <w:spacing w:line="40" w:lineRule="atLeast"/>
        <w:jc w:val="both"/>
        <w:rPr>
          <w:rFonts w:ascii="Arial" w:hAnsi="Arial" w:cs="Arial"/>
        </w:rPr>
      </w:pPr>
      <w:r>
        <w:rPr>
          <w:rFonts w:ascii="Arial" w:hAnsi="Arial" w:cs="Arial"/>
          <w:b/>
        </w:rPr>
        <w:t>Parágrafo 1.</w:t>
      </w:r>
      <w:r>
        <w:rPr>
          <w:rFonts w:ascii="Arial" w:hAnsi="Arial" w:cs="Arial"/>
        </w:rPr>
        <w:t xml:space="preserve">  Los agentes retenedores a quienes se les autorizó el plazo especial conforme al parágrafo 5 del artículo 24 del Decreto 2634 de 2012, y que posean más de cien (100) sucursales o agencias que practiquen retención en la fuente, que a su vez sean autorreten</w:t>
      </w:r>
      <w:r>
        <w:rPr>
          <w:rFonts w:ascii="Arial" w:hAnsi="Arial" w:cs="Arial"/>
        </w:rPr>
        <w:t>edores del impuesto sobre la renta de que trata el artículo 1.2.6.6. de este decreto, podrán presentar la declaración y cancelar el valor a pagar en las siguientes fechas:</w:t>
      </w:r>
    </w:p>
    <w:p w14:paraId="472680C7" w14:textId="77777777" w:rsidR="00B2442D" w:rsidRDefault="00B2442D">
      <w:pPr>
        <w:tabs>
          <w:tab w:val="left" w:pos="144"/>
        </w:tabs>
        <w:autoSpaceDE w:val="0"/>
        <w:autoSpaceDN w:val="0"/>
        <w:adjustRightInd w:val="0"/>
        <w:spacing w:line="276" w:lineRule="atLeast"/>
        <w:jc w:val="both"/>
        <w:rPr>
          <w:rFonts w:ascii="Arial" w:hAnsi="Arial" w:cs="Arial"/>
          <w:b/>
        </w:rPr>
      </w:pPr>
    </w:p>
    <w:tbl>
      <w:tblPr>
        <w:tblpPr w:leftFromText="141" w:rightFromText="141" w:vertAnchor="text" w:horzAnchor="margin" w:tblpXSpec="center" w:tblpY="66"/>
        <w:tblW w:w="7383" w:type="dxa"/>
        <w:tblCellMar>
          <w:left w:w="70" w:type="dxa"/>
          <w:right w:w="70" w:type="dxa"/>
        </w:tblCellMar>
        <w:tblLook w:val="04A0" w:firstRow="1" w:lastRow="0" w:firstColumn="1" w:lastColumn="0" w:noHBand="0" w:noVBand="1"/>
      </w:tblPr>
      <w:tblGrid>
        <w:gridCol w:w="2480"/>
        <w:gridCol w:w="2351"/>
        <w:gridCol w:w="2552"/>
      </w:tblGrid>
      <w:tr w:rsidR="00B2442D" w14:paraId="0B816C5C" w14:textId="77777777">
        <w:trPr>
          <w:trHeight w:val="552"/>
        </w:trPr>
        <w:tc>
          <w:tcPr>
            <w:tcW w:w="248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B273979"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enero año 2017 hasta el día</w:t>
            </w:r>
          </w:p>
        </w:tc>
        <w:tc>
          <w:tcPr>
            <w:tcW w:w="2351" w:type="dxa"/>
            <w:tcBorders>
              <w:top w:val="single" w:sz="4" w:space="0" w:color="auto"/>
              <w:left w:val="nil"/>
              <w:bottom w:val="single" w:sz="4" w:space="0" w:color="auto"/>
              <w:right w:val="single" w:sz="4" w:space="0" w:color="auto"/>
            </w:tcBorders>
            <w:shd w:val="clear" w:color="auto" w:fill="D0CECE"/>
            <w:noWrap/>
            <w:vAlign w:val="center"/>
            <w:hideMark/>
          </w:tcPr>
          <w:p w14:paraId="1AD48F02"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febrero año 2017 hasta el día</w:t>
            </w:r>
          </w:p>
        </w:tc>
        <w:tc>
          <w:tcPr>
            <w:tcW w:w="2552" w:type="dxa"/>
            <w:tcBorders>
              <w:top w:val="single" w:sz="4" w:space="0" w:color="auto"/>
              <w:left w:val="nil"/>
              <w:bottom w:val="single" w:sz="4" w:space="0" w:color="auto"/>
              <w:right w:val="single" w:sz="4" w:space="0" w:color="auto"/>
            </w:tcBorders>
            <w:shd w:val="clear" w:color="auto" w:fill="D0CECE"/>
            <w:noWrap/>
            <w:vAlign w:val="center"/>
            <w:hideMark/>
          </w:tcPr>
          <w:p w14:paraId="677EEE1B"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 xml:space="preserve">mes de </w:t>
            </w:r>
            <w:r>
              <w:rPr>
                <w:rFonts w:ascii="Arial" w:hAnsi="Arial" w:cs="Arial"/>
                <w:b/>
                <w:bCs/>
                <w:color w:val="000000"/>
                <w:lang w:val="es-CO" w:eastAsia="es-CO"/>
              </w:rPr>
              <w:t>marzo año 2017 hasta el día</w:t>
            </w:r>
          </w:p>
        </w:tc>
      </w:tr>
      <w:tr w:rsidR="00B2442D" w14:paraId="2EAB8682" w14:textId="77777777">
        <w:trPr>
          <w:trHeight w:val="330"/>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7F26C422"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24 de Febrero de 2017</w:t>
            </w:r>
          </w:p>
        </w:tc>
        <w:tc>
          <w:tcPr>
            <w:tcW w:w="2351" w:type="dxa"/>
            <w:tcBorders>
              <w:top w:val="nil"/>
              <w:left w:val="nil"/>
              <w:bottom w:val="single" w:sz="4" w:space="0" w:color="auto"/>
              <w:right w:val="single" w:sz="4" w:space="0" w:color="auto"/>
            </w:tcBorders>
            <w:shd w:val="clear" w:color="auto" w:fill="auto"/>
            <w:noWrap/>
            <w:vAlign w:val="center"/>
            <w:hideMark/>
          </w:tcPr>
          <w:p w14:paraId="0D3F4DD5"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28 de marzo de 2017</w:t>
            </w:r>
          </w:p>
        </w:tc>
        <w:tc>
          <w:tcPr>
            <w:tcW w:w="2552" w:type="dxa"/>
            <w:tcBorders>
              <w:top w:val="nil"/>
              <w:left w:val="nil"/>
              <w:bottom w:val="single" w:sz="4" w:space="0" w:color="auto"/>
              <w:right w:val="single" w:sz="4" w:space="0" w:color="auto"/>
            </w:tcBorders>
            <w:shd w:val="clear" w:color="auto" w:fill="auto"/>
            <w:noWrap/>
            <w:vAlign w:val="center"/>
            <w:hideMark/>
          </w:tcPr>
          <w:p w14:paraId="5099930F"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abril de 2017</w:t>
            </w:r>
          </w:p>
        </w:tc>
      </w:tr>
      <w:tr w:rsidR="00B2442D" w14:paraId="7F5BA4BD" w14:textId="77777777">
        <w:trPr>
          <w:trHeight w:val="495"/>
        </w:trPr>
        <w:tc>
          <w:tcPr>
            <w:tcW w:w="2480"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0553FDD3"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abril año 2017 hasta el día</w:t>
            </w:r>
          </w:p>
        </w:tc>
        <w:tc>
          <w:tcPr>
            <w:tcW w:w="2351" w:type="dxa"/>
            <w:tcBorders>
              <w:top w:val="single" w:sz="4" w:space="0" w:color="auto"/>
              <w:left w:val="nil"/>
              <w:bottom w:val="single" w:sz="4" w:space="0" w:color="auto"/>
              <w:right w:val="single" w:sz="4" w:space="0" w:color="auto"/>
            </w:tcBorders>
            <w:shd w:val="clear" w:color="auto" w:fill="D0CECE"/>
            <w:noWrap/>
            <w:vAlign w:val="center"/>
          </w:tcPr>
          <w:p w14:paraId="023D3DE8"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mayo año 2017 hasta el día</w:t>
            </w:r>
          </w:p>
        </w:tc>
        <w:tc>
          <w:tcPr>
            <w:tcW w:w="2552" w:type="dxa"/>
            <w:tcBorders>
              <w:top w:val="single" w:sz="4" w:space="0" w:color="auto"/>
              <w:left w:val="nil"/>
              <w:bottom w:val="single" w:sz="4" w:space="0" w:color="auto"/>
              <w:right w:val="single" w:sz="4" w:space="0" w:color="auto"/>
            </w:tcBorders>
            <w:shd w:val="clear" w:color="auto" w:fill="D0CECE"/>
            <w:noWrap/>
            <w:vAlign w:val="center"/>
          </w:tcPr>
          <w:p w14:paraId="027C8DE1"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junio año 2017 hasta el día</w:t>
            </w:r>
          </w:p>
        </w:tc>
      </w:tr>
      <w:tr w:rsidR="00B2442D" w14:paraId="462F4D38" w14:textId="77777777">
        <w:trPr>
          <w:trHeight w:val="283"/>
        </w:trPr>
        <w:tc>
          <w:tcPr>
            <w:tcW w:w="2480"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79CBD9BE" w14:textId="77777777" w:rsidR="00B2442D" w:rsidRDefault="008A645F">
            <w:pPr>
              <w:spacing w:line="40" w:lineRule="atLeast"/>
              <w:jc w:val="both"/>
              <w:rPr>
                <w:rFonts w:ascii="Arial" w:hAnsi="Arial" w:cs="Arial"/>
                <w:bCs/>
                <w:color w:val="000000"/>
                <w:lang w:val="es-CO" w:eastAsia="es-CO"/>
              </w:rPr>
            </w:pPr>
            <w:r>
              <w:rPr>
                <w:rFonts w:ascii="Arial" w:hAnsi="Arial" w:cs="Arial"/>
                <w:bCs/>
                <w:color w:val="000000"/>
                <w:lang w:val="es-CO" w:eastAsia="es-CO"/>
              </w:rPr>
              <w:t>26 de mayo de 2017</w:t>
            </w:r>
          </w:p>
        </w:tc>
        <w:tc>
          <w:tcPr>
            <w:tcW w:w="2351" w:type="dxa"/>
            <w:tcBorders>
              <w:top w:val="single" w:sz="4" w:space="0" w:color="auto"/>
              <w:left w:val="nil"/>
              <w:bottom w:val="single" w:sz="4" w:space="0" w:color="auto"/>
              <w:right w:val="single" w:sz="4" w:space="0" w:color="auto"/>
            </w:tcBorders>
            <w:shd w:val="clear" w:color="000000" w:fill="auto"/>
            <w:noWrap/>
            <w:vAlign w:val="center"/>
          </w:tcPr>
          <w:p w14:paraId="1C6D46BC" w14:textId="77777777" w:rsidR="00B2442D" w:rsidRDefault="008A645F">
            <w:pPr>
              <w:spacing w:line="40" w:lineRule="atLeast"/>
              <w:jc w:val="both"/>
              <w:rPr>
                <w:rFonts w:ascii="Arial" w:hAnsi="Arial" w:cs="Arial"/>
                <w:bCs/>
                <w:color w:val="000000"/>
                <w:lang w:val="es-CO" w:eastAsia="es-CO"/>
              </w:rPr>
            </w:pPr>
            <w:r>
              <w:rPr>
                <w:rFonts w:ascii="Arial" w:hAnsi="Arial" w:cs="Arial"/>
                <w:bCs/>
                <w:color w:val="000000"/>
                <w:lang w:val="es-CO" w:eastAsia="es-CO"/>
              </w:rPr>
              <w:t>28 de junio de 2017</w:t>
            </w:r>
          </w:p>
        </w:tc>
        <w:tc>
          <w:tcPr>
            <w:tcW w:w="2552" w:type="dxa"/>
            <w:tcBorders>
              <w:top w:val="single" w:sz="4" w:space="0" w:color="auto"/>
              <w:left w:val="nil"/>
              <w:bottom w:val="single" w:sz="4" w:space="0" w:color="auto"/>
              <w:right w:val="single" w:sz="4" w:space="0" w:color="auto"/>
            </w:tcBorders>
            <w:shd w:val="clear" w:color="000000" w:fill="auto"/>
            <w:noWrap/>
            <w:vAlign w:val="center"/>
          </w:tcPr>
          <w:p w14:paraId="273F65C0" w14:textId="77777777" w:rsidR="00B2442D" w:rsidRDefault="008A645F">
            <w:pPr>
              <w:spacing w:line="40" w:lineRule="atLeast"/>
              <w:jc w:val="both"/>
              <w:rPr>
                <w:rFonts w:ascii="Arial" w:hAnsi="Arial" w:cs="Arial"/>
                <w:bCs/>
                <w:color w:val="000000"/>
                <w:lang w:val="es-CO" w:eastAsia="es-CO"/>
              </w:rPr>
            </w:pPr>
            <w:r>
              <w:rPr>
                <w:rFonts w:ascii="Arial" w:hAnsi="Arial" w:cs="Arial"/>
                <w:bCs/>
                <w:color w:val="000000"/>
                <w:lang w:val="es-CO" w:eastAsia="es-CO"/>
              </w:rPr>
              <w:t xml:space="preserve">26 de julio de </w:t>
            </w:r>
            <w:r>
              <w:rPr>
                <w:rFonts w:ascii="Arial" w:hAnsi="Arial" w:cs="Arial"/>
                <w:bCs/>
                <w:color w:val="000000"/>
                <w:lang w:val="es-CO" w:eastAsia="es-CO"/>
              </w:rPr>
              <w:t>2017</w:t>
            </w:r>
          </w:p>
        </w:tc>
      </w:tr>
      <w:tr w:rsidR="00B2442D" w14:paraId="527BFF5F" w14:textId="77777777">
        <w:trPr>
          <w:trHeight w:val="420"/>
        </w:trPr>
        <w:tc>
          <w:tcPr>
            <w:tcW w:w="248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FB22859"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julio año 2017 hasta el día</w:t>
            </w:r>
          </w:p>
        </w:tc>
        <w:tc>
          <w:tcPr>
            <w:tcW w:w="2351" w:type="dxa"/>
            <w:tcBorders>
              <w:top w:val="single" w:sz="4" w:space="0" w:color="auto"/>
              <w:left w:val="nil"/>
              <w:bottom w:val="single" w:sz="4" w:space="0" w:color="auto"/>
              <w:right w:val="single" w:sz="4" w:space="0" w:color="auto"/>
            </w:tcBorders>
            <w:shd w:val="clear" w:color="auto" w:fill="D0CECE"/>
            <w:noWrap/>
            <w:vAlign w:val="center"/>
            <w:hideMark/>
          </w:tcPr>
          <w:p w14:paraId="10C2B15B"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agosto año 2017 hasta el día</w:t>
            </w:r>
          </w:p>
        </w:tc>
        <w:tc>
          <w:tcPr>
            <w:tcW w:w="2552" w:type="dxa"/>
            <w:tcBorders>
              <w:top w:val="single" w:sz="4" w:space="0" w:color="auto"/>
              <w:left w:val="nil"/>
              <w:bottom w:val="single" w:sz="4" w:space="0" w:color="auto"/>
              <w:right w:val="single" w:sz="4" w:space="0" w:color="auto"/>
            </w:tcBorders>
            <w:shd w:val="clear" w:color="auto" w:fill="D0CECE"/>
            <w:noWrap/>
            <w:vAlign w:val="center"/>
            <w:hideMark/>
          </w:tcPr>
          <w:p w14:paraId="181AAD6D"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septiembre año 2017 hasta el día</w:t>
            </w:r>
          </w:p>
        </w:tc>
      </w:tr>
      <w:tr w:rsidR="00B2442D" w14:paraId="02F6767E" w14:textId="77777777">
        <w:trPr>
          <w:trHeight w:val="253"/>
        </w:trPr>
        <w:tc>
          <w:tcPr>
            <w:tcW w:w="2480" w:type="dxa"/>
            <w:tcBorders>
              <w:top w:val="nil"/>
              <w:left w:val="single" w:sz="4" w:space="0" w:color="auto"/>
              <w:bottom w:val="single" w:sz="4" w:space="0" w:color="auto"/>
              <w:right w:val="single" w:sz="4" w:space="0" w:color="auto"/>
            </w:tcBorders>
            <w:shd w:val="clear" w:color="000000" w:fill="FFFFFF"/>
            <w:noWrap/>
            <w:vAlign w:val="center"/>
          </w:tcPr>
          <w:p w14:paraId="7A00B201"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25 de agosto de 2017</w:t>
            </w:r>
          </w:p>
        </w:tc>
        <w:tc>
          <w:tcPr>
            <w:tcW w:w="2351" w:type="dxa"/>
            <w:tcBorders>
              <w:top w:val="nil"/>
              <w:left w:val="nil"/>
              <w:bottom w:val="single" w:sz="4" w:space="0" w:color="auto"/>
              <w:right w:val="single" w:sz="4" w:space="0" w:color="auto"/>
            </w:tcBorders>
            <w:shd w:val="clear" w:color="auto" w:fill="auto"/>
            <w:noWrap/>
            <w:vAlign w:val="center"/>
          </w:tcPr>
          <w:p w14:paraId="07B9D00B"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septiembre de 2017</w:t>
            </w:r>
          </w:p>
        </w:tc>
        <w:tc>
          <w:tcPr>
            <w:tcW w:w="2552" w:type="dxa"/>
            <w:tcBorders>
              <w:top w:val="nil"/>
              <w:left w:val="nil"/>
              <w:bottom w:val="single" w:sz="4" w:space="0" w:color="auto"/>
              <w:right w:val="single" w:sz="4" w:space="0" w:color="auto"/>
            </w:tcBorders>
            <w:shd w:val="clear" w:color="auto" w:fill="auto"/>
            <w:noWrap/>
            <w:vAlign w:val="center"/>
          </w:tcPr>
          <w:p w14:paraId="7E6EFD40"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27 de octubre de 2017</w:t>
            </w:r>
          </w:p>
        </w:tc>
      </w:tr>
      <w:tr w:rsidR="00B2442D" w14:paraId="7A3D0E06" w14:textId="77777777">
        <w:trPr>
          <w:trHeight w:val="330"/>
        </w:trPr>
        <w:tc>
          <w:tcPr>
            <w:tcW w:w="2480"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442C652A"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octubre año 2017 hasta el día</w:t>
            </w:r>
          </w:p>
        </w:tc>
        <w:tc>
          <w:tcPr>
            <w:tcW w:w="2351" w:type="dxa"/>
            <w:tcBorders>
              <w:top w:val="single" w:sz="4" w:space="0" w:color="auto"/>
              <w:left w:val="nil"/>
              <w:bottom w:val="single" w:sz="4" w:space="0" w:color="auto"/>
              <w:right w:val="single" w:sz="4" w:space="0" w:color="auto"/>
            </w:tcBorders>
            <w:shd w:val="clear" w:color="auto" w:fill="D0CECE"/>
            <w:noWrap/>
            <w:vAlign w:val="center"/>
          </w:tcPr>
          <w:p w14:paraId="7631C83C"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 xml:space="preserve">mes de noviembre año 2017 </w:t>
            </w:r>
            <w:r>
              <w:rPr>
                <w:rFonts w:ascii="Arial" w:hAnsi="Arial" w:cs="Arial"/>
                <w:b/>
                <w:bCs/>
                <w:color w:val="000000"/>
                <w:lang w:val="es-CO" w:eastAsia="es-CO"/>
              </w:rPr>
              <w:t>hasta el día</w:t>
            </w:r>
          </w:p>
        </w:tc>
        <w:tc>
          <w:tcPr>
            <w:tcW w:w="2552" w:type="dxa"/>
            <w:tcBorders>
              <w:top w:val="single" w:sz="4" w:space="0" w:color="auto"/>
              <w:left w:val="nil"/>
              <w:bottom w:val="single" w:sz="4" w:space="0" w:color="auto"/>
              <w:right w:val="single" w:sz="4" w:space="0" w:color="auto"/>
            </w:tcBorders>
            <w:shd w:val="clear" w:color="auto" w:fill="D0CECE"/>
            <w:noWrap/>
            <w:vAlign w:val="center"/>
          </w:tcPr>
          <w:p w14:paraId="6EDB9DAE" w14:textId="77777777" w:rsidR="00B2442D" w:rsidRDefault="008A645F">
            <w:pPr>
              <w:spacing w:line="40" w:lineRule="atLeast"/>
              <w:jc w:val="both"/>
              <w:rPr>
                <w:rFonts w:ascii="Arial" w:hAnsi="Arial" w:cs="Arial"/>
                <w:b/>
                <w:bCs/>
                <w:color w:val="000000"/>
                <w:lang w:val="es-CO" w:eastAsia="es-CO"/>
              </w:rPr>
            </w:pPr>
            <w:r>
              <w:rPr>
                <w:rFonts w:ascii="Arial" w:hAnsi="Arial" w:cs="Arial"/>
                <w:b/>
                <w:bCs/>
                <w:color w:val="000000"/>
                <w:lang w:val="es-CO" w:eastAsia="es-CO"/>
              </w:rPr>
              <w:t>mes de diciembre año 2017 hasta el día</w:t>
            </w:r>
          </w:p>
        </w:tc>
      </w:tr>
      <w:tr w:rsidR="00B2442D" w14:paraId="2DD85AA2" w14:textId="77777777">
        <w:trPr>
          <w:trHeight w:val="330"/>
        </w:trPr>
        <w:tc>
          <w:tcPr>
            <w:tcW w:w="248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F917"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27 de noviembre de 2017</w:t>
            </w:r>
          </w:p>
        </w:tc>
        <w:tc>
          <w:tcPr>
            <w:tcW w:w="2351" w:type="dxa"/>
            <w:tcBorders>
              <w:top w:val="nil"/>
              <w:left w:val="single" w:sz="4" w:space="0" w:color="auto"/>
              <w:bottom w:val="single" w:sz="4" w:space="0" w:color="auto"/>
              <w:right w:val="single" w:sz="4" w:space="0" w:color="auto"/>
            </w:tcBorders>
            <w:shd w:val="clear" w:color="000000" w:fill="FFFFFF"/>
            <w:noWrap/>
            <w:vAlign w:val="center"/>
          </w:tcPr>
          <w:p w14:paraId="7E139309"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27 de diciembre de 2017</w:t>
            </w:r>
          </w:p>
        </w:tc>
        <w:tc>
          <w:tcPr>
            <w:tcW w:w="2552" w:type="dxa"/>
            <w:tcBorders>
              <w:top w:val="nil"/>
              <w:left w:val="nil"/>
              <w:bottom w:val="single" w:sz="4" w:space="0" w:color="auto"/>
              <w:right w:val="single" w:sz="4" w:space="0" w:color="auto"/>
            </w:tcBorders>
            <w:shd w:val="clear" w:color="auto" w:fill="auto"/>
            <w:noWrap/>
            <w:vAlign w:val="center"/>
          </w:tcPr>
          <w:p w14:paraId="4FFCBC80" w14:textId="77777777" w:rsidR="00B2442D" w:rsidRDefault="008A645F">
            <w:pPr>
              <w:spacing w:line="40" w:lineRule="atLeast"/>
              <w:jc w:val="both"/>
              <w:rPr>
                <w:rFonts w:ascii="Arial" w:hAnsi="Arial" w:cs="Arial"/>
                <w:color w:val="000000"/>
                <w:lang w:val="es-CO" w:eastAsia="es-CO"/>
              </w:rPr>
            </w:pPr>
            <w:r>
              <w:rPr>
                <w:rFonts w:ascii="Arial" w:hAnsi="Arial" w:cs="Arial"/>
                <w:color w:val="000000"/>
                <w:lang w:val="es-CO" w:eastAsia="es-CO"/>
              </w:rPr>
              <w:t>26 de enero de 2018</w:t>
            </w:r>
          </w:p>
        </w:tc>
      </w:tr>
    </w:tbl>
    <w:p w14:paraId="6019D46A"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59F6BEFF"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6A0A2A54"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2306D5B9"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5841E1B0"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727C01B7"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1A5AAF16"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23FB9E29"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06EF4318"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23EDAC0A" w14:textId="77777777" w:rsidR="00B2442D" w:rsidRDefault="00B2442D">
      <w:pPr>
        <w:tabs>
          <w:tab w:val="left" w:pos="144"/>
        </w:tabs>
        <w:autoSpaceDE w:val="0"/>
        <w:autoSpaceDN w:val="0"/>
        <w:adjustRightInd w:val="0"/>
        <w:spacing w:line="276" w:lineRule="atLeast"/>
        <w:jc w:val="both"/>
        <w:rPr>
          <w:rFonts w:ascii="Arial" w:hAnsi="Arial" w:cs="Arial"/>
          <w:b/>
        </w:rPr>
      </w:pPr>
    </w:p>
    <w:p w14:paraId="6FEDB793" w14:textId="77777777" w:rsidR="00B2442D" w:rsidRDefault="00B2442D">
      <w:pPr>
        <w:tabs>
          <w:tab w:val="left" w:pos="144"/>
        </w:tabs>
        <w:autoSpaceDE w:val="0"/>
        <w:autoSpaceDN w:val="0"/>
        <w:adjustRightInd w:val="0"/>
        <w:spacing w:line="276" w:lineRule="atLeast"/>
        <w:jc w:val="both"/>
        <w:rPr>
          <w:rFonts w:ascii="Arial" w:hAnsi="Arial" w:cs="Arial"/>
          <w:b/>
        </w:rPr>
      </w:pPr>
    </w:p>
    <w:p w14:paraId="0DA8683C" w14:textId="77777777" w:rsidR="00B2442D" w:rsidRDefault="00B2442D">
      <w:pPr>
        <w:tabs>
          <w:tab w:val="left" w:pos="144"/>
        </w:tabs>
        <w:autoSpaceDE w:val="0"/>
        <w:autoSpaceDN w:val="0"/>
        <w:adjustRightInd w:val="0"/>
        <w:spacing w:line="276" w:lineRule="atLeast"/>
        <w:jc w:val="both"/>
        <w:rPr>
          <w:rFonts w:ascii="Arial" w:hAnsi="Arial" w:cs="Arial"/>
          <w:b/>
        </w:rPr>
      </w:pPr>
    </w:p>
    <w:p w14:paraId="10B37395"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4F65CDEE" w14:textId="77777777" w:rsidR="00B2442D" w:rsidRDefault="00B2442D">
      <w:pPr>
        <w:tabs>
          <w:tab w:val="left" w:pos="144"/>
        </w:tabs>
        <w:autoSpaceDE w:val="0"/>
        <w:autoSpaceDN w:val="0"/>
        <w:adjustRightInd w:val="0"/>
        <w:spacing w:line="276" w:lineRule="atLeast"/>
        <w:ind w:left="720"/>
        <w:jc w:val="both"/>
        <w:rPr>
          <w:rFonts w:ascii="Arial" w:hAnsi="Arial" w:cs="Arial"/>
          <w:b/>
        </w:rPr>
      </w:pPr>
    </w:p>
    <w:p w14:paraId="0F9A0326" w14:textId="77777777" w:rsidR="00B2442D" w:rsidRDefault="00B2442D">
      <w:pPr>
        <w:tabs>
          <w:tab w:val="left" w:pos="144"/>
        </w:tabs>
        <w:autoSpaceDE w:val="0"/>
        <w:autoSpaceDN w:val="0"/>
        <w:adjustRightInd w:val="0"/>
        <w:spacing w:line="276" w:lineRule="atLeast"/>
        <w:jc w:val="both"/>
        <w:rPr>
          <w:rFonts w:ascii="Arial" w:hAnsi="Arial" w:cs="Arial"/>
          <w:b/>
        </w:rPr>
      </w:pPr>
    </w:p>
    <w:p w14:paraId="22777A8F" w14:textId="77777777" w:rsidR="00B2442D" w:rsidRDefault="00B2442D">
      <w:pPr>
        <w:tabs>
          <w:tab w:val="left" w:pos="144"/>
        </w:tabs>
        <w:autoSpaceDE w:val="0"/>
        <w:autoSpaceDN w:val="0"/>
        <w:adjustRightInd w:val="0"/>
        <w:spacing w:line="276" w:lineRule="atLeast"/>
        <w:jc w:val="both"/>
        <w:rPr>
          <w:rFonts w:ascii="Arial" w:hAnsi="Arial" w:cs="Arial"/>
          <w:b/>
        </w:rPr>
      </w:pPr>
    </w:p>
    <w:p w14:paraId="5CA58ACD" w14:textId="77777777" w:rsidR="00B2442D" w:rsidRDefault="00B2442D">
      <w:pPr>
        <w:tabs>
          <w:tab w:val="left" w:pos="144"/>
        </w:tabs>
        <w:autoSpaceDE w:val="0"/>
        <w:autoSpaceDN w:val="0"/>
        <w:adjustRightInd w:val="0"/>
        <w:spacing w:line="276" w:lineRule="atLeast"/>
        <w:jc w:val="both"/>
        <w:rPr>
          <w:rFonts w:ascii="Arial" w:hAnsi="Arial" w:cs="Arial"/>
          <w:b/>
        </w:rPr>
      </w:pPr>
    </w:p>
    <w:p w14:paraId="55CAC5EB" w14:textId="77777777" w:rsidR="00B2442D" w:rsidRDefault="00B2442D">
      <w:pPr>
        <w:tabs>
          <w:tab w:val="left" w:pos="144"/>
        </w:tabs>
        <w:autoSpaceDE w:val="0"/>
        <w:autoSpaceDN w:val="0"/>
        <w:adjustRightInd w:val="0"/>
        <w:spacing w:line="276" w:lineRule="atLeast"/>
        <w:jc w:val="both"/>
        <w:rPr>
          <w:rFonts w:ascii="Arial" w:hAnsi="Arial" w:cs="Arial"/>
          <w:b/>
        </w:rPr>
      </w:pPr>
    </w:p>
    <w:p w14:paraId="5F17B457" w14:textId="77777777" w:rsidR="00B2442D" w:rsidRDefault="00B2442D">
      <w:pPr>
        <w:tabs>
          <w:tab w:val="left" w:pos="144"/>
        </w:tabs>
        <w:autoSpaceDE w:val="0"/>
        <w:autoSpaceDN w:val="0"/>
        <w:adjustRightInd w:val="0"/>
        <w:spacing w:line="276" w:lineRule="atLeast"/>
        <w:jc w:val="both"/>
        <w:rPr>
          <w:rFonts w:ascii="Arial" w:hAnsi="Arial" w:cs="Arial"/>
          <w:b/>
        </w:rPr>
      </w:pPr>
    </w:p>
    <w:p w14:paraId="2B6E63FE" w14:textId="77777777" w:rsidR="00B2442D" w:rsidRDefault="008A645F">
      <w:pPr>
        <w:tabs>
          <w:tab w:val="left" w:pos="144"/>
        </w:tabs>
        <w:autoSpaceDE w:val="0"/>
        <w:autoSpaceDN w:val="0"/>
        <w:adjustRightInd w:val="0"/>
        <w:spacing w:line="276" w:lineRule="atLeast"/>
        <w:jc w:val="both"/>
        <w:rPr>
          <w:rFonts w:ascii="Arial" w:hAnsi="Arial" w:cs="Arial"/>
          <w:color w:val="000000"/>
        </w:rPr>
      </w:pPr>
      <w:r>
        <w:rPr>
          <w:rFonts w:ascii="Arial" w:hAnsi="Arial" w:cs="Arial"/>
          <w:b/>
        </w:rPr>
        <w:t>Parágrafo 2</w:t>
      </w:r>
      <w:r>
        <w:rPr>
          <w:rFonts w:ascii="Arial" w:hAnsi="Arial" w:cs="Arial"/>
        </w:rPr>
        <w:t>.</w:t>
      </w:r>
      <w:r>
        <w:rPr>
          <w:rFonts w:ascii="Arial" w:hAnsi="Arial" w:cs="Arial"/>
          <w:color w:val="000000"/>
        </w:rPr>
        <w:t xml:space="preserve"> Cuando el agente retenedor y autorretenedor de que trata el artículo 1.2.6.6. de este Decreto, incluidas las empresas industriales y comerciales del Estado y las sociedades de economía mixta, tenga agencias o sucursales, deberán presentar la declaración m</w:t>
      </w:r>
      <w:r>
        <w:rPr>
          <w:rFonts w:ascii="Arial" w:hAnsi="Arial" w:cs="Arial"/>
          <w:color w:val="000000"/>
        </w:rPr>
        <w:t>ensual de retenciones en forma consolidada, pero podrá efectuar los pagos correspondientes por agencia o sucursal en los bancos y demás entidades autorizadas para recaudar ubicados en el territorio nacional.</w:t>
      </w:r>
    </w:p>
    <w:p w14:paraId="44FEE0D0" w14:textId="77777777" w:rsidR="00B2442D" w:rsidRDefault="00B2442D">
      <w:pPr>
        <w:tabs>
          <w:tab w:val="left" w:pos="144"/>
        </w:tabs>
        <w:autoSpaceDE w:val="0"/>
        <w:autoSpaceDN w:val="0"/>
        <w:adjustRightInd w:val="0"/>
        <w:spacing w:line="276" w:lineRule="atLeast"/>
        <w:jc w:val="both"/>
        <w:rPr>
          <w:rFonts w:ascii="Arial" w:hAnsi="Arial" w:cs="Arial"/>
          <w:b/>
        </w:rPr>
      </w:pPr>
    </w:p>
    <w:p w14:paraId="010367BA" w14:textId="77777777" w:rsidR="00B2442D" w:rsidRDefault="008A645F">
      <w:pPr>
        <w:tabs>
          <w:tab w:val="left" w:pos="144"/>
        </w:tabs>
        <w:autoSpaceDE w:val="0"/>
        <w:autoSpaceDN w:val="0"/>
        <w:adjustRightInd w:val="0"/>
        <w:spacing w:line="276" w:lineRule="atLeast"/>
        <w:jc w:val="both"/>
        <w:rPr>
          <w:rFonts w:ascii="Arial" w:hAnsi="Arial" w:cs="Arial"/>
          <w:color w:val="000000"/>
        </w:rPr>
      </w:pPr>
      <w:r>
        <w:rPr>
          <w:rFonts w:ascii="Arial" w:hAnsi="Arial" w:cs="Arial"/>
          <w:b/>
        </w:rPr>
        <w:t>Parágrafo 3</w:t>
      </w:r>
      <w:r>
        <w:rPr>
          <w:rFonts w:ascii="Arial" w:hAnsi="Arial" w:cs="Arial"/>
        </w:rPr>
        <w:t>.</w:t>
      </w:r>
      <w:r>
        <w:rPr>
          <w:rFonts w:ascii="Arial" w:hAnsi="Arial" w:cs="Arial"/>
          <w:color w:val="000000"/>
        </w:rPr>
        <w:t xml:space="preserve"> Cuando se trate de Entidades de De</w:t>
      </w:r>
      <w:r>
        <w:rPr>
          <w:rFonts w:ascii="Arial" w:hAnsi="Arial" w:cs="Arial"/>
          <w:color w:val="000000"/>
        </w:rPr>
        <w:t>recho Público, diferentes de las Empresas Industriales y Comerciales del Estado y de las Sociedades de Economía Mixta, se podrá presentar una declaración de retención y efectuar el pago respectivo por cada oficina retenedora.</w:t>
      </w:r>
    </w:p>
    <w:p w14:paraId="7AAF0E14" w14:textId="77777777" w:rsidR="00B2442D" w:rsidRDefault="00B2442D">
      <w:pPr>
        <w:tabs>
          <w:tab w:val="left" w:pos="144"/>
        </w:tabs>
        <w:autoSpaceDE w:val="0"/>
        <w:autoSpaceDN w:val="0"/>
        <w:adjustRightInd w:val="0"/>
        <w:spacing w:line="276" w:lineRule="atLeast"/>
        <w:jc w:val="both"/>
        <w:rPr>
          <w:rFonts w:ascii="Arial" w:hAnsi="Arial" w:cs="Arial"/>
          <w:b/>
        </w:rPr>
      </w:pPr>
    </w:p>
    <w:p w14:paraId="28BC085C" w14:textId="77777777" w:rsidR="00B2442D" w:rsidRDefault="008A645F">
      <w:pPr>
        <w:tabs>
          <w:tab w:val="left" w:pos="144"/>
        </w:tabs>
        <w:autoSpaceDE w:val="0"/>
        <w:autoSpaceDN w:val="0"/>
        <w:adjustRightInd w:val="0"/>
        <w:spacing w:line="276" w:lineRule="atLeast"/>
        <w:jc w:val="both"/>
        <w:rPr>
          <w:rFonts w:ascii="Arial" w:hAnsi="Arial" w:cs="Arial"/>
        </w:rPr>
      </w:pPr>
      <w:r>
        <w:rPr>
          <w:rFonts w:ascii="Arial" w:hAnsi="Arial" w:cs="Arial"/>
          <w:b/>
        </w:rPr>
        <w:t>Parágrafo 4.</w:t>
      </w:r>
      <w:r>
        <w:rPr>
          <w:rFonts w:ascii="Arial" w:hAnsi="Arial" w:cs="Arial"/>
          <w:color w:val="000000"/>
        </w:rPr>
        <w:t xml:space="preserve"> Las oficinas de </w:t>
      </w:r>
      <w:r>
        <w:rPr>
          <w:rFonts w:ascii="Arial" w:hAnsi="Arial" w:cs="Arial"/>
          <w:color w:val="000000"/>
        </w:rPr>
        <w:t xml:space="preserve">tránsito deben presentar declaración mensual de retención en la fuente en la cual consoliden el valor de las retenciones recaudadas durante el respectivo mes, por traspaso de vehículos, junto con las retenciones que hubieren </w:t>
      </w:r>
      <w:r>
        <w:rPr>
          <w:rFonts w:ascii="Arial" w:hAnsi="Arial" w:cs="Arial"/>
        </w:rPr>
        <w:t>efectuado por otros conceptos.</w:t>
      </w:r>
    </w:p>
    <w:p w14:paraId="50997070" w14:textId="77777777" w:rsidR="00B2442D" w:rsidRDefault="00B2442D">
      <w:pPr>
        <w:autoSpaceDE w:val="0"/>
        <w:autoSpaceDN w:val="0"/>
        <w:adjustRightInd w:val="0"/>
        <w:spacing w:line="240" w:lineRule="atLeast"/>
        <w:jc w:val="both"/>
        <w:rPr>
          <w:rFonts w:ascii="Arial" w:hAnsi="Arial" w:cs="Arial"/>
        </w:rPr>
      </w:pPr>
    </w:p>
    <w:p w14:paraId="297B4950" w14:textId="77777777" w:rsidR="00B2442D" w:rsidRDefault="008A645F">
      <w:pPr>
        <w:autoSpaceDE w:val="0"/>
        <w:autoSpaceDN w:val="0"/>
        <w:adjustRightInd w:val="0"/>
        <w:spacing w:line="240" w:lineRule="atLeast"/>
        <w:jc w:val="both"/>
        <w:rPr>
          <w:rFonts w:ascii="Arial" w:hAnsi="Arial" w:cs="Arial"/>
          <w:color w:val="000000"/>
        </w:rPr>
      </w:pPr>
      <w:r>
        <w:rPr>
          <w:rFonts w:ascii="Arial" w:hAnsi="Arial" w:cs="Arial"/>
          <w:b/>
        </w:rPr>
        <w:t>Parágrafo 5.</w:t>
      </w:r>
      <w:r>
        <w:rPr>
          <w:rFonts w:ascii="Arial" w:hAnsi="Arial" w:cs="Arial"/>
          <w:color w:val="000000"/>
        </w:rPr>
        <w:t xml:space="preserve"> Sin perjuicio de lo previsto en el inciso 5 de este parágrafo, las declaraciones de retención en la fuente presentadas sin pago total no producirán efecto legal alguno, sin necesidad de acto administrativo que así lo declare.</w:t>
      </w:r>
    </w:p>
    <w:p w14:paraId="79B8469E" w14:textId="77777777" w:rsidR="00B2442D" w:rsidRDefault="00B2442D">
      <w:pPr>
        <w:autoSpaceDE w:val="0"/>
        <w:autoSpaceDN w:val="0"/>
        <w:adjustRightInd w:val="0"/>
        <w:spacing w:line="240" w:lineRule="atLeast"/>
        <w:jc w:val="both"/>
        <w:rPr>
          <w:rFonts w:ascii="Arial" w:hAnsi="Arial" w:cs="Arial"/>
          <w:color w:val="000000"/>
        </w:rPr>
      </w:pPr>
    </w:p>
    <w:p w14:paraId="2D7A2352" w14:textId="77777777" w:rsidR="00B2442D" w:rsidRDefault="008A645F">
      <w:pPr>
        <w:autoSpaceDE w:val="0"/>
        <w:autoSpaceDN w:val="0"/>
        <w:adjustRightInd w:val="0"/>
        <w:spacing w:line="240" w:lineRule="atLeast"/>
        <w:jc w:val="both"/>
        <w:rPr>
          <w:rFonts w:ascii="Arial" w:hAnsi="Arial" w:cs="Arial"/>
          <w:color w:val="000000"/>
        </w:rPr>
      </w:pPr>
      <w:r>
        <w:rPr>
          <w:rFonts w:ascii="Arial" w:hAnsi="Arial" w:cs="Arial"/>
          <w:color w:val="000000"/>
        </w:rPr>
        <w:t xml:space="preserve">Lo señalado en </w:t>
      </w:r>
      <w:r>
        <w:rPr>
          <w:rFonts w:ascii="Arial" w:hAnsi="Arial" w:cs="Arial"/>
          <w:color w:val="000000"/>
        </w:rPr>
        <w:t>el inciso anterior no se aplicará cuando la declaración de retención en la fuente se presente sin pago por parte de un agente retenedor que sea titular de un saldo a favor igual o superior a dos veces el valor de la retención a cargo, susceptible de compen</w:t>
      </w:r>
      <w:r>
        <w:rPr>
          <w:rFonts w:ascii="Arial" w:hAnsi="Arial" w:cs="Arial"/>
          <w:color w:val="000000"/>
        </w:rPr>
        <w:t>sar con el saldo a pagar de la respectiva declaración de retención en la fuente. Para tal efecto el saldo a favor debe haberse generado antes de la presentación de la declaración de retención en la fuente por un valor igual o superior al saldo a pagar dete</w:t>
      </w:r>
      <w:r>
        <w:rPr>
          <w:rFonts w:ascii="Arial" w:hAnsi="Arial" w:cs="Arial"/>
          <w:color w:val="000000"/>
        </w:rPr>
        <w:t>rminado en dicha declaración.</w:t>
      </w:r>
    </w:p>
    <w:p w14:paraId="41A9C772" w14:textId="77777777" w:rsidR="00B2442D" w:rsidRDefault="00B2442D">
      <w:pPr>
        <w:autoSpaceDE w:val="0"/>
        <w:autoSpaceDN w:val="0"/>
        <w:adjustRightInd w:val="0"/>
        <w:spacing w:line="240" w:lineRule="atLeast"/>
        <w:jc w:val="both"/>
        <w:rPr>
          <w:rFonts w:ascii="Arial" w:hAnsi="Arial" w:cs="Arial"/>
          <w:color w:val="000000"/>
        </w:rPr>
      </w:pPr>
    </w:p>
    <w:p w14:paraId="29554545" w14:textId="77777777" w:rsidR="00B2442D" w:rsidRDefault="008A645F">
      <w:pPr>
        <w:autoSpaceDE w:val="0"/>
        <w:autoSpaceDN w:val="0"/>
        <w:adjustRightInd w:val="0"/>
        <w:spacing w:line="240" w:lineRule="atLeast"/>
        <w:jc w:val="both"/>
        <w:rPr>
          <w:rFonts w:ascii="Arial" w:hAnsi="Arial" w:cs="Arial"/>
          <w:color w:val="000000"/>
        </w:rPr>
      </w:pPr>
      <w:r>
        <w:rPr>
          <w:rFonts w:ascii="Arial" w:hAnsi="Arial" w:cs="Arial"/>
          <w:color w:val="000000"/>
        </w:rPr>
        <w:t>El agente retenedor deberá solicitar a la Unidad Administrativa Especial Dirección de Impuestos y Aduanas Nacionales -DIAN, la compensación del saldo a favor con el saldo a pagar determinado en la declaración de retención, de</w:t>
      </w:r>
      <w:r>
        <w:rPr>
          <w:rFonts w:ascii="Arial" w:hAnsi="Arial" w:cs="Arial"/>
          <w:color w:val="000000"/>
        </w:rPr>
        <w:t>ntro de los seis meses (6) siguientes a la presentación de la respectiva declaración de retención en la fuente.</w:t>
      </w:r>
    </w:p>
    <w:p w14:paraId="474F2E46" w14:textId="77777777" w:rsidR="00B2442D" w:rsidRDefault="00B2442D">
      <w:pPr>
        <w:autoSpaceDE w:val="0"/>
        <w:autoSpaceDN w:val="0"/>
        <w:adjustRightInd w:val="0"/>
        <w:spacing w:line="240" w:lineRule="atLeast"/>
        <w:jc w:val="both"/>
        <w:rPr>
          <w:rFonts w:ascii="Arial" w:hAnsi="Arial" w:cs="Arial"/>
          <w:color w:val="000000"/>
        </w:rPr>
      </w:pPr>
    </w:p>
    <w:p w14:paraId="43AF14D6" w14:textId="77777777" w:rsidR="00B2442D" w:rsidRDefault="008A645F">
      <w:pPr>
        <w:autoSpaceDE w:val="0"/>
        <w:autoSpaceDN w:val="0"/>
        <w:adjustRightInd w:val="0"/>
        <w:spacing w:line="240" w:lineRule="atLeast"/>
        <w:jc w:val="both"/>
        <w:rPr>
          <w:rFonts w:ascii="Arial" w:hAnsi="Arial" w:cs="Arial"/>
          <w:color w:val="000000"/>
        </w:rPr>
      </w:pPr>
      <w:r>
        <w:rPr>
          <w:rFonts w:ascii="Arial" w:hAnsi="Arial" w:cs="Arial"/>
          <w:color w:val="000000"/>
        </w:rPr>
        <w:t>Cuando el agente retenedor no solicite la compensación del saldo a favor oportunamente o cuando la solicitud sea rechazada la declaración de re</w:t>
      </w:r>
      <w:r>
        <w:rPr>
          <w:rFonts w:ascii="Arial" w:hAnsi="Arial" w:cs="Arial"/>
          <w:color w:val="000000"/>
        </w:rPr>
        <w:t>tención en la fuente presentada sin pago no producirá efecto legal alguno, sin necesidad de acto administrativo que así lo declare.</w:t>
      </w:r>
    </w:p>
    <w:p w14:paraId="2EBF34AD" w14:textId="77777777" w:rsidR="00B2442D" w:rsidRDefault="00B2442D">
      <w:pPr>
        <w:autoSpaceDE w:val="0"/>
        <w:autoSpaceDN w:val="0"/>
        <w:adjustRightInd w:val="0"/>
        <w:spacing w:line="240" w:lineRule="atLeast"/>
        <w:jc w:val="both"/>
        <w:rPr>
          <w:rFonts w:ascii="Arial" w:hAnsi="Arial" w:cs="Arial"/>
          <w:color w:val="000000"/>
        </w:rPr>
      </w:pPr>
    </w:p>
    <w:p w14:paraId="7854B001" w14:textId="77777777" w:rsidR="00B2442D" w:rsidRDefault="008A645F">
      <w:pPr>
        <w:autoSpaceDE w:val="0"/>
        <w:autoSpaceDN w:val="0"/>
        <w:adjustRightInd w:val="0"/>
        <w:spacing w:line="240" w:lineRule="atLeast"/>
        <w:jc w:val="both"/>
        <w:rPr>
          <w:rFonts w:ascii="Arial" w:hAnsi="Arial" w:cs="Arial"/>
        </w:rPr>
      </w:pPr>
      <w:r>
        <w:rPr>
          <w:rFonts w:ascii="Arial" w:hAnsi="Arial" w:cs="Arial"/>
          <w:color w:val="000000"/>
        </w:rPr>
        <w:t>Las declaraciones de retención en la fuente que se hayan presentado sin pago total antes del vencimiento del plazo para dec</w:t>
      </w:r>
      <w:r>
        <w:rPr>
          <w:rFonts w:ascii="Arial" w:hAnsi="Arial" w:cs="Arial"/>
          <w:color w:val="000000"/>
        </w:rPr>
        <w:t>larar u oportunamente, producirá efectos legales, siempre y cuando el pago total de la retención se efectúe o se haya efectuado a más tardar dentro de los dos (2) meses siguientes contados a partir de la fecha del vencimiento del plazo para declarar. Lo an</w:t>
      </w:r>
      <w:r>
        <w:rPr>
          <w:rFonts w:ascii="Arial" w:hAnsi="Arial" w:cs="Arial"/>
          <w:color w:val="000000"/>
        </w:rPr>
        <w:t>terior sin perjuicio de la liquidación de los intereses moratorios a que haya lugar.</w:t>
      </w:r>
      <w:r>
        <w:rPr>
          <w:rFonts w:ascii="Arial" w:hAnsi="Arial" w:cs="Arial"/>
        </w:rPr>
        <w:t xml:space="preserve"> </w:t>
      </w:r>
    </w:p>
    <w:p w14:paraId="63F10A6D" w14:textId="77777777" w:rsidR="00B2442D" w:rsidRDefault="00B2442D">
      <w:pPr>
        <w:tabs>
          <w:tab w:val="left" w:pos="144"/>
        </w:tabs>
        <w:autoSpaceDE w:val="0"/>
        <w:autoSpaceDN w:val="0"/>
        <w:adjustRightInd w:val="0"/>
        <w:spacing w:line="276" w:lineRule="atLeast"/>
        <w:jc w:val="both"/>
        <w:rPr>
          <w:rFonts w:ascii="Arial" w:hAnsi="Arial" w:cs="Arial"/>
          <w:b/>
        </w:rPr>
      </w:pPr>
    </w:p>
    <w:p w14:paraId="3129DF60" w14:textId="77777777" w:rsidR="00B2442D" w:rsidRDefault="008A645F">
      <w:pPr>
        <w:tabs>
          <w:tab w:val="left" w:pos="144"/>
        </w:tabs>
        <w:autoSpaceDE w:val="0"/>
        <w:autoSpaceDN w:val="0"/>
        <w:adjustRightInd w:val="0"/>
        <w:spacing w:line="276" w:lineRule="atLeast"/>
        <w:jc w:val="both"/>
        <w:rPr>
          <w:rFonts w:ascii="Arial" w:hAnsi="Arial" w:cs="Arial"/>
          <w:color w:val="000000"/>
        </w:rPr>
      </w:pPr>
      <w:r>
        <w:rPr>
          <w:rFonts w:ascii="Arial" w:hAnsi="Arial" w:cs="Arial"/>
          <w:b/>
        </w:rPr>
        <w:t>Parágrafo 6.</w:t>
      </w:r>
      <w:r>
        <w:rPr>
          <w:rFonts w:ascii="Arial" w:hAnsi="Arial" w:cs="Arial"/>
          <w:b/>
          <w:bCs/>
        </w:rPr>
        <w:t xml:space="preserve"> </w:t>
      </w:r>
      <w:r>
        <w:rPr>
          <w:rFonts w:ascii="Arial" w:hAnsi="Arial" w:cs="Arial"/>
        </w:rPr>
        <w:t>La presentación de la declaración de que trata este artículo no será obligatoria en los</w:t>
      </w:r>
      <w:r>
        <w:rPr>
          <w:rFonts w:ascii="Arial" w:hAnsi="Arial" w:cs="Arial"/>
          <w:color w:val="000000"/>
        </w:rPr>
        <w:t xml:space="preserve"> periodos en los cuales no se hayan realizado operaciones sujetas a retención en la fuente.</w:t>
      </w:r>
    </w:p>
    <w:p w14:paraId="2E6B2F4E" w14:textId="77777777" w:rsidR="00B2442D" w:rsidRDefault="00B2442D">
      <w:pPr>
        <w:autoSpaceDE w:val="0"/>
        <w:autoSpaceDN w:val="0"/>
        <w:adjustRightInd w:val="0"/>
        <w:spacing w:line="40" w:lineRule="atLeast"/>
        <w:jc w:val="both"/>
        <w:rPr>
          <w:rFonts w:ascii="Arial" w:hAnsi="Arial" w:cs="Arial"/>
          <w:b/>
          <w:color w:val="000000"/>
        </w:rPr>
      </w:pPr>
    </w:p>
    <w:p w14:paraId="61029D79" w14:textId="77777777" w:rsidR="00B2442D" w:rsidRDefault="008A645F">
      <w:pPr>
        <w:tabs>
          <w:tab w:val="left" w:pos="2521"/>
          <w:tab w:val="left" w:pos="3755"/>
          <w:tab w:val="left" w:pos="5147"/>
          <w:tab w:val="left" w:pos="5507"/>
          <w:tab w:val="left" w:pos="7283"/>
          <w:tab w:val="left" w:pos="8579"/>
        </w:tabs>
        <w:spacing w:line="40" w:lineRule="atLeast"/>
        <w:ind w:right="-30"/>
        <w:jc w:val="both"/>
        <w:rPr>
          <w:rFonts w:ascii="Arial" w:hAnsi="Arial" w:cs="Arial"/>
          <w:i/>
          <w:iCs/>
          <w:color w:val="000000"/>
          <w:lang w:val="es-CO" w:eastAsia="es-CO"/>
        </w:rPr>
      </w:pPr>
      <w:r>
        <w:rPr>
          <w:rFonts w:ascii="Arial" w:hAnsi="Arial" w:cs="Arial"/>
          <w:i/>
        </w:rPr>
        <w:t>(</w:t>
      </w:r>
      <w:hyperlink r:id="rId71" w:history="1">
        <w:r>
          <w:rPr>
            <w:rStyle w:val="Hipervnculo"/>
            <w:rFonts w:ascii="Arial" w:hAnsi="Arial" w:cs="Arial"/>
            <w:i/>
          </w:rPr>
          <w:t>Art. 1 Decreto 220 de 2017</w:t>
        </w:r>
      </w:hyperlink>
      <w:r>
        <w:rPr>
          <w:rFonts w:ascii="Arial" w:hAnsi="Arial" w:cs="Arial"/>
          <w:i/>
        </w:rPr>
        <w:t xml:space="preserve"> modifica </w:t>
      </w:r>
      <w:hyperlink r:id="rId72" w:history="1">
        <w:r>
          <w:rPr>
            <w:rStyle w:val="Hipervnculo"/>
            <w:rFonts w:ascii="Arial" w:hAnsi="Arial" w:cs="Arial"/>
            <w:i/>
          </w:rPr>
          <w:t>Art. 28 Decr</w:t>
        </w:r>
        <w:r>
          <w:rPr>
            <w:rStyle w:val="Hipervnculo"/>
            <w:rFonts w:ascii="Arial" w:hAnsi="Arial" w:cs="Arial"/>
            <w:i/>
          </w:rPr>
          <w:t>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w:t>
      </w:r>
      <w:r>
        <w:rPr>
          <w:rFonts w:ascii="Arial" w:hAnsi="Arial" w:cs="Arial"/>
          <w:i/>
          <w:iCs/>
          <w:color w:val="000000"/>
          <w:lang w:val="es-CO" w:eastAsia="es-CO"/>
        </w:rPr>
        <w:t>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3C601881" w14:textId="77777777" w:rsidR="00B2442D" w:rsidRDefault="00B2442D">
      <w:pPr>
        <w:tabs>
          <w:tab w:val="left" w:pos="2521"/>
          <w:tab w:val="left" w:pos="3755"/>
          <w:tab w:val="left" w:pos="5147"/>
          <w:tab w:val="left" w:pos="5507"/>
          <w:tab w:val="left" w:pos="7283"/>
          <w:tab w:val="left" w:pos="8579"/>
        </w:tabs>
        <w:spacing w:line="40" w:lineRule="atLeast"/>
        <w:ind w:right="-30"/>
        <w:jc w:val="both"/>
        <w:rPr>
          <w:rFonts w:ascii="Arial" w:eastAsia="Arial" w:hAnsi="Arial" w:cs="Arial"/>
          <w:w w:val="105"/>
          <w:lang w:val="es-CO"/>
        </w:rPr>
      </w:pPr>
    </w:p>
    <w:p w14:paraId="4D98D5C5" w14:textId="77777777" w:rsidR="00B2442D" w:rsidRDefault="008A645F">
      <w:pPr>
        <w:pStyle w:val="Prrafodelista"/>
        <w:numPr>
          <w:ilvl w:val="0"/>
          <w:numId w:val="152"/>
        </w:numPr>
        <w:tabs>
          <w:tab w:val="left" w:pos="2521"/>
          <w:tab w:val="left" w:pos="3755"/>
          <w:tab w:val="left" w:pos="5147"/>
          <w:tab w:val="left" w:pos="5507"/>
          <w:tab w:val="left" w:pos="7283"/>
          <w:tab w:val="left" w:pos="8579"/>
        </w:tabs>
        <w:spacing w:line="40" w:lineRule="atLeast"/>
        <w:ind w:left="0" w:right="-30" w:firstLine="0"/>
        <w:jc w:val="both"/>
        <w:rPr>
          <w:rFonts w:ascii="Arial" w:hAnsi="Arial" w:cs="Arial"/>
          <w:lang w:val="es-CO"/>
        </w:rPr>
      </w:pPr>
      <w:r>
        <w:rPr>
          <w:rFonts w:ascii="Arial" w:eastAsia="Arial" w:hAnsi="Arial" w:cs="Arial"/>
          <w:b/>
          <w:i/>
          <w:lang w:val="es-CO"/>
        </w:rPr>
        <w:t>Retención del</w:t>
      </w:r>
      <w:r>
        <w:rPr>
          <w:rFonts w:ascii="Arial" w:eastAsia="Arial" w:hAnsi="Arial" w:cs="Arial"/>
          <w:b/>
          <w:i/>
          <w:spacing w:val="40"/>
          <w:lang w:val="es-CO"/>
        </w:rPr>
        <w:t xml:space="preserve"> </w:t>
      </w:r>
      <w:r>
        <w:rPr>
          <w:rFonts w:ascii="Arial" w:eastAsia="Arial" w:hAnsi="Arial" w:cs="Arial"/>
          <w:b/>
          <w:i/>
          <w:lang w:val="es-CO"/>
        </w:rPr>
        <w:t>impuesto</w:t>
      </w:r>
      <w:r>
        <w:rPr>
          <w:rFonts w:ascii="Arial" w:eastAsia="Arial" w:hAnsi="Arial" w:cs="Arial"/>
          <w:b/>
          <w:i/>
          <w:spacing w:val="53"/>
          <w:lang w:val="es-CO"/>
        </w:rPr>
        <w:t xml:space="preserve"> </w:t>
      </w:r>
      <w:r>
        <w:rPr>
          <w:rFonts w:ascii="Arial" w:eastAsia="Arial" w:hAnsi="Arial" w:cs="Arial"/>
          <w:b/>
          <w:i/>
          <w:lang w:val="es-CO"/>
        </w:rPr>
        <w:t>sobre</w:t>
      </w:r>
      <w:r>
        <w:rPr>
          <w:rFonts w:ascii="Arial" w:eastAsia="Arial" w:hAnsi="Arial" w:cs="Arial"/>
          <w:b/>
          <w:i/>
          <w:spacing w:val="63"/>
          <w:lang w:val="es-CO"/>
        </w:rPr>
        <w:t xml:space="preserve"> </w:t>
      </w:r>
      <w:r>
        <w:rPr>
          <w:rFonts w:ascii="Arial" w:eastAsia="Arial" w:hAnsi="Arial" w:cs="Arial"/>
          <w:b/>
          <w:i/>
          <w:lang w:val="es-CO"/>
        </w:rPr>
        <w:t>las</w:t>
      </w:r>
      <w:r>
        <w:rPr>
          <w:rFonts w:ascii="Arial" w:eastAsia="Arial" w:hAnsi="Arial" w:cs="Arial"/>
          <w:b/>
          <w:i/>
          <w:spacing w:val="30"/>
          <w:lang w:val="es-CO"/>
        </w:rPr>
        <w:t xml:space="preserve"> </w:t>
      </w:r>
      <w:r>
        <w:rPr>
          <w:rFonts w:ascii="Arial" w:eastAsia="Arial" w:hAnsi="Arial" w:cs="Arial"/>
          <w:b/>
          <w:i/>
          <w:lang w:val="es-CO"/>
        </w:rPr>
        <w:t>ventas.</w:t>
      </w:r>
      <w:r>
        <w:rPr>
          <w:rFonts w:ascii="Arial" w:eastAsia="Arial" w:hAnsi="Arial" w:cs="Arial"/>
          <w:i/>
          <w:lang w:val="es-CO"/>
        </w:rPr>
        <w:t xml:space="preserve"> </w:t>
      </w:r>
      <w:r>
        <w:rPr>
          <w:rFonts w:ascii="Arial" w:eastAsia="Arial" w:hAnsi="Arial" w:cs="Arial"/>
          <w:i/>
          <w:spacing w:val="25"/>
          <w:lang w:val="es-CO"/>
        </w:rPr>
        <w:t xml:space="preserve"> </w:t>
      </w:r>
      <w:r>
        <w:rPr>
          <w:rFonts w:ascii="Arial" w:eastAsia="Arial" w:hAnsi="Arial" w:cs="Arial"/>
          <w:lang w:val="es-CO"/>
        </w:rPr>
        <w:t xml:space="preserve">Los agentes de </w:t>
      </w:r>
      <w:r>
        <w:rPr>
          <w:rFonts w:ascii="Arial" w:eastAsia="Arial" w:hAnsi="Arial" w:cs="Arial"/>
          <w:w w:val="105"/>
          <w:lang w:val="es-CO"/>
        </w:rPr>
        <w:t>retención</w:t>
      </w:r>
      <w:r>
        <w:rPr>
          <w:rFonts w:ascii="Arial" w:eastAsia="Arial" w:hAnsi="Arial" w:cs="Arial"/>
          <w:spacing w:val="29"/>
          <w:w w:val="105"/>
          <w:lang w:val="es-CO"/>
        </w:rPr>
        <w:t xml:space="preserve"> </w:t>
      </w:r>
      <w:r>
        <w:rPr>
          <w:rFonts w:ascii="Arial" w:eastAsia="Arial" w:hAnsi="Arial" w:cs="Arial"/>
          <w:w w:val="105"/>
          <w:lang w:val="es-CO"/>
        </w:rPr>
        <w:t>del</w:t>
      </w:r>
      <w:r>
        <w:rPr>
          <w:rFonts w:ascii="Arial" w:eastAsia="Arial" w:hAnsi="Arial" w:cs="Arial"/>
          <w:spacing w:val="20"/>
          <w:w w:val="105"/>
          <w:lang w:val="es-CO"/>
        </w:rPr>
        <w:t xml:space="preserve"> </w:t>
      </w:r>
      <w:r>
        <w:rPr>
          <w:rFonts w:ascii="Arial" w:eastAsia="Arial" w:hAnsi="Arial" w:cs="Arial"/>
          <w:w w:val="105"/>
          <w:lang w:val="es-CO"/>
        </w:rPr>
        <w:t>impuesto</w:t>
      </w:r>
      <w:r>
        <w:rPr>
          <w:rFonts w:ascii="Arial" w:eastAsia="Arial" w:hAnsi="Arial" w:cs="Arial"/>
          <w:spacing w:val="15"/>
          <w:w w:val="105"/>
          <w:lang w:val="es-CO"/>
        </w:rPr>
        <w:t xml:space="preserve"> </w:t>
      </w:r>
      <w:r>
        <w:rPr>
          <w:rFonts w:ascii="Arial" w:eastAsia="Arial" w:hAnsi="Arial" w:cs="Arial"/>
          <w:w w:val="105"/>
          <w:lang w:val="es-CO"/>
        </w:rPr>
        <w:t>sobre</w:t>
      </w:r>
      <w:r>
        <w:rPr>
          <w:rFonts w:ascii="Arial" w:eastAsia="Arial" w:hAnsi="Arial" w:cs="Arial"/>
          <w:spacing w:val="31"/>
          <w:w w:val="105"/>
          <w:lang w:val="es-CO"/>
        </w:rPr>
        <w:t xml:space="preserve"> </w:t>
      </w:r>
      <w:r>
        <w:rPr>
          <w:rFonts w:ascii="Arial" w:eastAsia="Arial" w:hAnsi="Arial" w:cs="Arial"/>
          <w:w w:val="105"/>
          <w:lang w:val="es-CO"/>
        </w:rPr>
        <w:t>las ventas deberán</w:t>
      </w:r>
      <w:r>
        <w:rPr>
          <w:rFonts w:ascii="Arial" w:eastAsia="Arial" w:hAnsi="Arial" w:cs="Arial"/>
          <w:spacing w:val="23"/>
          <w:w w:val="105"/>
          <w:lang w:val="es-CO"/>
        </w:rPr>
        <w:t xml:space="preserve"> </w:t>
      </w:r>
      <w:r>
        <w:rPr>
          <w:rFonts w:ascii="Arial" w:eastAsia="Arial" w:hAnsi="Arial" w:cs="Arial"/>
          <w:w w:val="105"/>
          <w:lang w:val="es-CO"/>
        </w:rPr>
        <w:t>declarar</w:t>
      </w:r>
      <w:r>
        <w:rPr>
          <w:rFonts w:ascii="Arial" w:eastAsia="Arial" w:hAnsi="Arial" w:cs="Arial"/>
          <w:spacing w:val="19"/>
          <w:w w:val="105"/>
          <w:lang w:val="es-CO"/>
        </w:rPr>
        <w:t xml:space="preserve"> </w:t>
      </w:r>
      <w:r>
        <w:rPr>
          <w:rFonts w:ascii="Arial" w:eastAsia="Arial" w:hAnsi="Arial" w:cs="Arial"/>
          <w:w w:val="105"/>
          <w:lang w:val="es-CO"/>
        </w:rPr>
        <w:t>y</w:t>
      </w:r>
      <w:r>
        <w:rPr>
          <w:rFonts w:ascii="Arial" w:eastAsia="Arial" w:hAnsi="Arial" w:cs="Arial"/>
          <w:spacing w:val="32"/>
          <w:w w:val="105"/>
          <w:lang w:val="es-CO"/>
        </w:rPr>
        <w:t xml:space="preserve"> </w:t>
      </w:r>
      <w:r>
        <w:rPr>
          <w:rFonts w:ascii="Arial" w:eastAsia="Arial" w:hAnsi="Arial" w:cs="Arial"/>
          <w:w w:val="105"/>
          <w:lang w:val="es-CO"/>
        </w:rPr>
        <w:t>pagar</w:t>
      </w:r>
      <w:r>
        <w:rPr>
          <w:rFonts w:ascii="Arial" w:eastAsia="Arial" w:hAnsi="Arial" w:cs="Arial"/>
          <w:spacing w:val="20"/>
          <w:w w:val="105"/>
          <w:lang w:val="es-CO"/>
        </w:rPr>
        <w:t xml:space="preserve"> </w:t>
      </w:r>
      <w:r>
        <w:rPr>
          <w:rFonts w:ascii="Arial" w:eastAsia="Arial" w:hAnsi="Arial" w:cs="Arial"/>
          <w:w w:val="105"/>
          <w:lang w:val="es-CO"/>
        </w:rPr>
        <w:t>las retenciones practicadas</w:t>
      </w:r>
      <w:r>
        <w:rPr>
          <w:rFonts w:ascii="Arial" w:eastAsia="Arial" w:hAnsi="Arial" w:cs="Arial"/>
          <w:spacing w:val="38"/>
          <w:w w:val="105"/>
          <w:lang w:val="es-CO"/>
        </w:rPr>
        <w:t xml:space="preserve"> </w:t>
      </w:r>
      <w:r>
        <w:rPr>
          <w:rFonts w:ascii="Arial" w:eastAsia="Arial" w:hAnsi="Arial" w:cs="Arial"/>
          <w:w w:val="105"/>
          <w:lang w:val="es-CO"/>
        </w:rPr>
        <w:t>cada</w:t>
      </w:r>
      <w:r>
        <w:rPr>
          <w:rFonts w:ascii="Arial" w:eastAsia="Arial" w:hAnsi="Arial" w:cs="Arial"/>
          <w:spacing w:val="43"/>
          <w:w w:val="105"/>
          <w:lang w:val="es-CO"/>
        </w:rPr>
        <w:t xml:space="preserve"> </w:t>
      </w:r>
      <w:r>
        <w:rPr>
          <w:rFonts w:ascii="Arial" w:eastAsia="Arial" w:hAnsi="Arial" w:cs="Arial"/>
          <w:w w:val="105"/>
          <w:lang w:val="es-CO"/>
        </w:rPr>
        <w:t>mes,</w:t>
      </w:r>
      <w:r>
        <w:rPr>
          <w:rFonts w:ascii="Arial" w:eastAsia="Arial" w:hAnsi="Arial" w:cs="Arial"/>
          <w:spacing w:val="30"/>
          <w:w w:val="105"/>
          <w:lang w:val="es-CO"/>
        </w:rPr>
        <w:t xml:space="preserve"> </w:t>
      </w:r>
      <w:r>
        <w:rPr>
          <w:rFonts w:ascii="Arial" w:eastAsia="Arial" w:hAnsi="Arial" w:cs="Arial"/>
          <w:w w:val="105"/>
          <w:lang w:val="es-CO"/>
        </w:rPr>
        <w:t>dentro</w:t>
      </w:r>
      <w:r>
        <w:rPr>
          <w:rFonts w:ascii="Arial" w:eastAsia="Arial" w:hAnsi="Arial" w:cs="Arial"/>
          <w:spacing w:val="32"/>
          <w:w w:val="105"/>
          <w:lang w:val="es-CO"/>
        </w:rPr>
        <w:t xml:space="preserve"> </w:t>
      </w:r>
      <w:r>
        <w:rPr>
          <w:rFonts w:ascii="Arial" w:eastAsia="Arial" w:hAnsi="Arial" w:cs="Arial"/>
          <w:w w:val="105"/>
          <w:lang w:val="es-CO"/>
        </w:rPr>
        <w:t>de</w:t>
      </w:r>
      <w:r>
        <w:rPr>
          <w:rFonts w:ascii="Arial" w:eastAsia="Arial" w:hAnsi="Arial" w:cs="Arial"/>
          <w:spacing w:val="38"/>
          <w:w w:val="105"/>
          <w:lang w:val="es-CO"/>
        </w:rPr>
        <w:t xml:space="preserve"> </w:t>
      </w:r>
      <w:r>
        <w:rPr>
          <w:rFonts w:ascii="Arial" w:eastAsia="Arial" w:hAnsi="Arial" w:cs="Arial"/>
          <w:w w:val="105"/>
          <w:lang w:val="es-CO"/>
        </w:rPr>
        <w:t xml:space="preserve">los </w:t>
      </w:r>
      <w:r>
        <w:rPr>
          <w:rFonts w:ascii="Arial" w:eastAsia="Arial" w:hAnsi="Arial" w:cs="Arial"/>
          <w:w w:val="105"/>
          <w:lang w:val="es-CO"/>
        </w:rPr>
        <w:t>plazos previstos</w:t>
      </w:r>
      <w:r>
        <w:rPr>
          <w:rFonts w:ascii="Arial" w:eastAsia="Arial" w:hAnsi="Arial" w:cs="Arial"/>
          <w:spacing w:val="31"/>
          <w:w w:val="105"/>
          <w:lang w:val="es-CO"/>
        </w:rPr>
        <w:t xml:space="preserve"> </w:t>
      </w:r>
      <w:r>
        <w:rPr>
          <w:rFonts w:ascii="Arial" w:eastAsia="Arial" w:hAnsi="Arial" w:cs="Arial"/>
          <w:w w:val="105"/>
          <w:lang w:val="es-CO"/>
        </w:rPr>
        <w:t>en</w:t>
      </w:r>
      <w:r>
        <w:rPr>
          <w:rFonts w:ascii="Arial" w:eastAsia="Arial" w:hAnsi="Arial" w:cs="Arial"/>
          <w:spacing w:val="25"/>
          <w:w w:val="105"/>
          <w:lang w:val="es-CO"/>
        </w:rPr>
        <w:t xml:space="preserve"> </w:t>
      </w:r>
      <w:r>
        <w:rPr>
          <w:rFonts w:ascii="Arial" w:eastAsia="Arial" w:hAnsi="Arial" w:cs="Arial"/>
          <w:w w:val="105"/>
          <w:lang w:val="es-CO"/>
        </w:rPr>
        <w:t>el</w:t>
      </w:r>
      <w:r>
        <w:rPr>
          <w:rFonts w:ascii="Arial" w:eastAsia="Arial" w:hAnsi="Arial" w:cs="Arial"/>
          <w:spacing w:val="29"/>
          <w:w w:val="105"/>
          <w:lang w:val="es-CO"/>
        </w:rPr>
        <w:t xml:space="preserve"> </w:t>
      </w:r>
      <w:r>
        <w:rPr>
          <w:rFonts w:ascii="Arial" w:eastAsia="Arial" w:hAnsi="Arial" w:cs="Arial"/>
          <w:w w:val="105"/>
          <w:lang w:val="es-CO"/>
        </w:rPr>
        <w:t>artículo</w:t>
      </w:r>
      <w:r>
        <w:rPr>
          <w:rFonts w:ascii="Arial" w:eastAsia="Arial" w:hAnsi="Arial" w:cs="Arial"/>
          <w:spacing w:val="45"/>
          <w:w w:val="105"/>
          <w:lang w:val="es-CO"/>
        </w:rPr>
        <w:t xml:space="preserve"> </w:t>
      </w:r>
      <w:r>
        <w:rPr>
          <w:rFonts w:ascii="Arial" w:hAnsi="Arial" w:cs="Arial"/>
        </w:rPr>
        <w:t>1.6.1.13.2.35.</w:t>
      </w:r>
      <w:r>
        <w:rPr>
          <w:rFonts w:ascii="Arial" w:eastAsia="Arial" w:hAnsi="Arial" w:cs="Arial"/>
          <w:spacing w:val="23"/>
          <w:w w:val="105"/>
          <w:lang w:val="es-CO"/>
        </w:rPr>
        <w:t xml:space="preserve"> </w:t>
      </w:r>
      <w:r>
        <w:rPr>
          <w:rFonts w:ascii="Arial" w:eastAsia="Arial" w:hAnsi="Arial" w:cs="Arial"/>
          <w:w w:val="105"/>
          <w:lang w:val="es-CO"/>
        </w:rPr>
        <w:t>del presente</w:t>
      </w:r>
      <w:r>
        <w:rPr>
          <w:rFonts w:ascii="Arial" w:eastAsia="Arial" w:hAnsi="Arial" w:cs="Arial"/>
          <w:w w:val="108"/>
          <w:lang w:val="es-CO"/>
        </w:rPr>
        <w:t xml:space="preserve"> </w:t>
      </w:r>
      <w:r>
        <w:rPr>
          <w:rFonts w:ascii="Arial" w:eastAsia="Arial" w:hAnsi="Arial" w:cs="Arial"/>
          <w:w w:val="105"/>
          <w:lang w:val="es-CO"/>
        </w:rPr>
        <w:t>decreto,</w:t>
      </w:r>
      <w:r>
        <w:rPr>
          <w:rFonts w:ascii="Arial" w:eastAsia="Arial" w:hAnsi="Arial" w:cs="Arial"/>
          <w:spacing w:val="44"/>
          <w:w w:val="105"/>
          <w:lang w:val="es-CO"/>
        </w:rPr>
        <w:t xml:space="preserve"> </w:t>
      </w:r>
      <w:r>
        <w:rPr>
          <w:rFonts w:ascii="Arial" w:eastAsia="Arial" w:hAnsi="Arial" w:cs="Arial"/>
          <w:w w:val="105"/>
          <w:lang w:val="es-CO"/>
        </w:rPr>
        <w:t>atendiendo</w:t>
      </w:r>
      <w:r>
        <w:rPr>
          <w:rFonts w:ascii="Arial" w:eastAsia="Arial" w:hAnsi="Arial" w:cs="Arial"/>
          <w:spacing w:val="42"/>
          <w:w w:val="105"/>
          <w:lang w:val="es-CO"/>
        </w:rPr>
        <w:t xml:space="preserve"> </w:t>
      </w:r>
      <w:r>
        <w:rPr>
          <w:rFonts w:ascii="Arial" w:eastAsia="Arial" w:hAnsi="Arial" w:cs="Arial"/>
          <w:w w:val="105"/>
          <w:lang w:val="es-CO"/>
        </w:rPr>
        <w:t>el</w:t>
      </w:r>
      <w:r>
        <w:rPr>
          <w:rFonts w:ascii="Arial" w:eastAsia="Arial" w:hAnsi="Arial" w:cs="Arial"/>
          <w:spacing w:val="22"/>
          <w:w w:val="105"/>
          <w:lang w:val="es-CO"/>
        </w:rPr>
        <w:t xml:space="preserve"> </w:t>
      </w:r>
      <w:r>
        <w:rPr>
          <w:rFonts w:ascii="Arial" w:eastAsia="Arial" w:hAnsi="Arial" w:cs="Arial"/>
          <w:w w:val="105"/>
          <w:lang w:val="es-CO"/>
        </w:rPr>
        <w:t>último</w:t>
      </w:r>
      <w:r>
        <w:rPr>
          <w:rFonts w:ascii="Arial" w:eastAsia="Arial" w:hAnsi="Arial" w:cs="Arial"/>
          <w:spacing w:val="21"/>
          <w:w w:val="105"/>
          <w:lang w:val="es-CO"/>
        </w:rPr>
        <w:t xml:space="preserve"> </w:t>
      </w:r>
      <w:r>
        <w:rPr>
          <w:rFonts w:ascii="Arial" w:eastAsia="Arial" w:hAnsi="Arial" w:cs="Arial"/>
          <w:w w:val="105"/>
          <w:lang w:val="es-CO"/>
        </w:rPr>
        <w:t>dígito</w:t>
      </w:r>
      <w:r>
        <w:rPr>
          <w:rFonts w:ascii="Arial" w:eastAsia="Arial" w:hAnsi="Arial" w:cs="Arial"/>
          <w:spacing w:val="33"/>
          <w:w w:val="105"/>
          <w:lang w:val="es-CO"/>
        </w:rPr>
        <w:t xml:space="preserve"> </w:t>
      </w:r>
      <w:r>
        <w:rPr>
          <w:rFonts w:ascii="Arial" w:eastAsia="Arial" w:hAnsi="Arial" w:cs="Arial"/>
          <w:w w:val="105"/>
          <w:lang w:val="es-CO"/>
        </w:rPr>
        <w:t>del</w:t>
      </w:r>
      <w:r>
        <w:rPr>
          <w:rFonts w:ascii="Arial" w:eastAsia="Arial" w:hAnsi="Arial" w:cs="Arial"/>
          <w:spacing w:val="25"/>
          <w:w w:val="105"/>
          <w:lang w:val="es-CO"/>
        </w:rPr>
        <w:t xml:space="preserve"> </w:t>
      </w:r>
      <w:r>
        <w:rPr>
          <w:rFonts w:ascii="Arial" w:eastAsia="Arial" w:hAnsi="Arial" w:cs="Arial"/>
          <w:w w:val="105"/>
          <w:lang w:val="es-CO"/>
        </w:rPr>
        <w:t>Número</w:t>
      </w:r>
      <w:r>
        <w:rPr>
          <w:rFonts w:ascii="Arial" w:eastAsia="Arial" w:hAnsi="Arial" w:cs="Arial"/>
          <w:spacing w:val="30"/>
          <w:w w:val="105"/>
          <w:lang w:val="es-CO"/>
        </w:rPr>
        <w:t xml:space="preserve"> </w:t>
      </w:r>
      <w:r>
        <w:rPr>
          <w:rFonts w:ascii="Arial" w:eastAsia="Arial" w:hAnsi="Arial" w:cs="Arial"/>
          <w:w w:val="105"/>
          <w:lang w:val="es-CO"/>
        </w:rPr>
        <w:t>de</w:t>
      </w:r>
      <w:r>
        <w:rPr>
          <w:rFonts w:ascii="Arial" w:eastAsia="Arial" w:hAnsi="Arial" w:cs="Arial"/>
          <w:spacing w:val="30"/>
          <w:w w:val="105"/>
          <w:lang w:val="es-CO"/>
        </w:rPr>
        <w:t xml:space="preserve"> </w:t>
      </w:r>
      <w:r>
        <w:rPr>
          <w:rFonts w:ascii="Arial" w:eastAsia="Arial" w:hAnsi="Arial" w:cs="Arial"/>
          <w:w w:val="105"/>
          <w:lang w:val="es-CO"/>
        </w:rPr>
        <w:t>Identificación</w:t>
      </w:r>
      <w:r>
        <w:rPr>
          <w:rFonts w:ascii="Arial" w:eastAsia="Arial" w:hAnsi="Arial" w:cs="Arial"/>
          <w:spacing w:val="25"/>
          <w:w w:val="105"/>
          <w:lang w:val="es-CO"/>
        </w:rPr>
        <w:t xml:space="preserve"> </w:t>
      </w:r>
      <w:r>
        <w:rPr>
          <w:rFonts w:ascii="Arial" w:eastAsia="Arial" w:hAnsi="Arial" w:cs="Arial"/>
          <w:w w:val="105"/>
          <w:lang w:val="es-CO"/>
        </w:rPr>
        <w:t>Tributaria</w:t>
      </w:r>
      <w:r>
        <w:rPr>
          <w:rFonts w:ascii="Arial" w:eastAsia="Arial" w:hAnsi="Arial" w:cs="Arial"/>
          <w:spacing w:val="52"/>
          <w:w w:val="105"/>
          <w:lang w:val="es-CO"/>
        </w:rPr>
        <w:t xml:space="preserve"> </w:t>
      </w:r>
      <w:r>
        <w:rPr>
          <w:rFonts w:ascii="Arial" w:eastAsia="Arial" w:hAnsi="Arial" w:cs="Arial"/>
          <w:w w:val="105"/>
          <w:lang w:val="es-CO"/>
        </w:rPr>
        <w:t>NIT que</w:t>
      </w:r>
      <w:r>
        <w:rPr>
          <w:rFonts w:ascii="Arial" w:eastAsia="Arial" w:hAnsi="Arial" w:cs="Arial"/>
          <w:w w:val="109"/>
          <w:lang w:val="es-CO"/>
        </w:rPr>
        <w:t xml:space="preserve"> </w:t>
      </w:r>
      <w:r>
        <w:rPr>
          <w:rFonts w:ascii="Arial" w:eastAsia="Arial" w:hAnsi="Arial" w:cs="Arial"/>
          <w:w w:val="105"/>
          <w:lang w:val="es-CO"/>
        </w:rPr>
        <w:t>conste</w:t>
      </w:r>
      <w:r>
        <w:rPr>
          <w:rFonts w:ascii="Arial" w:eastAsia="Arial" w:hAnsi="Arial" w:cs="Arial"/>
          <w:spacing w:val="39"/>
          <w:w w:val="105"/>
          <w:lang w:val="es-CO"/>
        </w:rPr>
        <w:t xml:space="preserve"> </w:t>
      </w:r>
      <w:r>
        <w:rPr>
          <w:rFonts w:ascii="Arial" w:eastAsia="Arial" w:hAnsi="Arial" w:cs="Arial"/>
          <w:w w:val="105"/>
          <w:lang w:val="es-CO"/>
        </w:rPr>
        <w:t>en</w:t>
      </w:r>
      <w:r>
        <w:rPr>
          <w:rFonts w:ascii="Arial" w:eastAsia="Arial" w:hAnsi="Arial" w:cs="Arial"/>
          <w:spacing w:val="32"/>
          <w:w w:val="105"/>
          <w:lang w:val="es-CO"/>
        </w:rPr>
        <w:t xml:space="preserve"> </w:t>
      </w:r>
      <w:r>
        <w:rPr>
          <w:rFonts w:ascii="Arial" w:eastAsia="Arial" w:hAnsi="Arial" w:cs="Arial"/>
          <w:w w:val="105"/>
          <w:lang w:val="es-CO"/>
        </w:rPr>
        <w:t>el</w:t>
      </w:r>
      <w:r>
        <w:rPr>
          <w:rFonts w:ascii="Arial" w:eastAsia="Arial" w:hAnsi="Arial" w:cs="Arial"/>
          <w:spacing w:val="25"/>
          <w:w w:val="105"/>
          <w:lang w:val="es-CO"/>
        </w:rPr>
        <w:t xml:space="preserve"> </w:t>
      </w:r>
      <w:r>
        <w:rPr>
          <w:rFonts w:ascii="Arial" w:eastAsia="Arial" w:hAnsi="Arial" w:cs="Arial"/>
          <w:w w:val="105"/>
          <w:lang w:val="es-CO"/>
        </w:rPr>
        <w:t>certificado</w:t>
      </w:r>
      <w:r>
        <w:rPr>
          <w:rFonts w:ascii="Arial" w:eastAsia="Arial" w:hAnsi="Arial" w:cs="Arial"/>
          <w:spacing w:val="39"/>
          <w:w w:val="105"/>
          <w:lang w:val="es-CO"/>
        </w:rPr>
        <w:t xml:space="preserve"> </w:t>
      </w:r>
      <w:r>
        <w:rPr>
          <w:rFonts w:ascii="Arial" w:eastAsia="Arial" w:hAnsi="Arial" w:cs="Arial"/>
          <w:w w:val="105"/>
          <w:lang w:val="es-CO"/>
        </w:rPr>
        <w:t>del</w:t>
      </w:r>
      <w:r>
        <w:rPr>
          <w:rFonts w:ascii="Arial" w:eastAsia="Arial" w:hAnsi="Arial" w:cs="Arial"/>
          <w:spacing w:val="42"/>
          <w:w w:val="105"/>
          <w:lang w:val="es-CO"/>
        </w:rPr>
        <w:t xml:space="preserve"> </w:t>
      </w:r>
      <w:r>
        <w:rPr>
          <w:rFonts w:ascii="Arial" w:eastAsia="Arial" w:hAnsi="Arial" w:cs="Arial"/>
          <w:w w:val="105"/>
          <w:lang w:val="es-CO"/>
        </w:rPr>
        <w:t>Registro</w:t>
      </w:r>
      <w:r>
        <w:rPr>
          <w:rFonts w:ascii="Arial" w:eastAsia="Arial" w:hAnsi="Arial" w:cs="Arial"/>
          <w:spacing w:val="35"/>
          <w:w w:val="105"/>
          <w:lang w:val="es-CO"/>
        </w:rPr>
        <w:t xml:space="preserve"> </w:t>
      </w:r>
      <w:r>
        <w:rPr>
          <w:rFonts w:ascii="Arial" w:eastAsia="Arial" w:hAnsi="Arial" w:cs="Arial"/>
          <w:w w:val="105"/>
          <w:lang w:val="es-CO"/>
        </w:rPr>
        <w:t>Único</w:t>
      </w:r>
      <w:r>
        <w:rPr>
          <w:rFonts w:ascii="Arial" w:eastAsia="Arial" w:hAnsi="Arial" w:cs="Arial"/>
          <w:spacing w:val="19"/>
          <w:w w:val="105"/>
          <w:lang w:val="es-CO"/>
        </w:rPr>
        <w:t xml:space="preserve"> </w:t>
      </w:r>
      <w:r>
        <w:rPr>
          <w:rFonts w:ascii="Arial" w:eastAsia="Arial" w:hAnsi="Arial" w:cs="Arial"/>
          <w:w w:val="105"/>
          <w:lang w:val="es-CO"/>
        </w:rPr>
        <w:t>Tributario</w:t>
      </w:r>
      <w:r>
        <w:rPr>
          <w:rFonts w:ascii="Arial" w:eastAsia="Arial" w:hAnsi="Arial" w:cs="Arial"/>
          <w:spacing w:val="45"/>
          <w:w w:val="105"/>
          <w:lang w:val="es-CO"/>
        </w:rPr>
        <w:t xml:space="preserve"> </w:t>
      </w:r>
      <w:r>
        <w:rPr>
          <w:rFonts w:ascii="Arial" w:eastAsia="Arial" w:hAnsi="Arial" w:cs="Arial"/>
          <w:w w:val="105"/>
          <w:lang w:val="es-CO"/>
        </w:rPr>
        <w:t>-</w:t>
      </w:r>
      <w:r>
        <w:rPr>
          <w:rFonts w:ascii="Arial" w:eastAsia="Arial" w:hAnsi="Arial" w:cs="Arial"/>
          <w:spacing w:val="34"/>
          <w:w w:val="105"/>
          <w:lang w:val="es-CO"/>
        </w:rPr>
        <w:t xml:space="preserve"> </w:t>
      </w:r>
      <w:r>
        <w:rPr>
          <w:rFonts w:ascii="Arial" w:eastAsia="Arial" w:hAnsi="Arial" w:cs="Arial"/>
          <w:w w:val="105"/>
          <w:lang w:val="es-CO"/>
        </w:rPr>
        <w:t>RUT,</w:t>
      </w:r>
      <w:r>
        <w:rPr>
          <w:rFonts w:ascii="Arial" w:eastAsia="Arial" w:hAnsi="Arial" w:cs="Arial"/>
          <w:spacing w:val="29"/>
          <w:w w:val="105"/>
          <w:lang w:val="es-CO"/>
        </w:rPr>
        <w:t xml:space="preserve"> </w:t>
      </w:r>
      <w:r>
        <w:rPr>
          <w:rFonts w:ascii="Arial" w:eastAsia="Arial" w:hAnsi="Arial" w:cs="Arial"/>
          <w:w w:val="105"/>
          <w:lang w:val="es-CO"/>
        </w:rPr>
        <w:t>sin</w:t>
      </w:r>
      <w:r>
        <w:rPr>
          <w:rFonts w:ascii="Arial" w:eastAsia="Arial" w:hAnsi="Arial" w:cs="Arial"/>
          <w:spacing w:val="26"/>
          <w:w w:val="105"/>
          <w:lang w:val="es-CO"/>
        </w:rPr>
        <w:t xml:space="preserve"> </w:t>
      </w:r>
      <w:r>
        <w:rPr>
          <w:rFonts w:ascii="Arial" w:eastAsia="Arial" w:hAnsi="Arial" w:cs="Arial"/>
          <w:w w:val="105"/>
          <w:lang w:val="es-CO"/>
        </w:rPr>
        <w:t>tener</w:t>
      </w:r>
      <w:r>
        <w:rPr>
          <w:rFonts w:ascii="Arial" w:eastAsia="Arial" w:hAnsi="Arial" w:cs="Arial"/>
          <w:spacing w:val="40"/>
          <w:w w:val="105"/>
          <w:lang w:val="es-CO"/>
        </w:rPr>
        <w:t xml:space="preserve"> </w:t>
      </w:r>
      <w:r>
        <w:rPr>
          <w:rFonts w:ascii="Arial" w:eastAsia="Arial" w:hAnsi="Arial" w:cs="Arial"/>
          <w:w w:val="105"/>
          <w:lang w:val="es-CO"/>
        </w:rPr>
        <w:t>en</w:t>
      </w:r>
      <w:r>
        <w:rPr>
          <w:rFonts w:ascii="Arial" w:eastAsia="Arial" w:hAnsi="Arial" w:cs="Arial"/>
          <w:spacing w:val="28"/>
          <w:w w:val="105"/>
          <w:lang w:val="es-CO"/>
        </w:rPr>
        <w:t xml:space="preserve"> </w:t>
      </w:r>
      <w:r>
        <w:rPr>
          <w:rFonts w:ascii="Arial" w:eastAsia="Arial" w:hAnsi="Arial" w:cs="Arial"/>
          <w:w w:val="105"/>
          <w:lang w:val="es-CO"/>
        </w:rPr>
        <w:t xml:space="preserve">cuenta el </w:t>
      </w:r>
      <w:r>
        <w:rPr>
          <w:rFonts w:ascii="Arial" w:hAnsi="Arial" w:cs="Arial"/>
          <w:lang w:val="es-CO"/>
        </w:rPr>
        <w:t>dígito</w:t>
      </w:r>
      <w:r>
        <w:rPr>
          <w:rFonts w:ascii="Arial" w:hAnsi="Arial" w:cs="Arial"/>
          <w:spacing w:val="34"/>
          <w:lang w:val="es-CO"/>
        </w:rPr>
        <w:t xml:space="preserve"> </w:t>
      </w:r>
      <w:r>
        <w:rPr>
          <w:rFonts w:ascii="Arial" w:hAnsi="Arial" w:cs="Arial"/>
          <w:lang w:val="es-CO"/>
        </w:rPr>
        <w:t>de</w:t>
      </w:r>
      <w:r>
        <w:rPr>
          <w:rFonts w:ascii="Arial" w:hAnsi="Arial" w:cs="Arial"/>
          <w:spacing w:val="22"/>
          <w:lang w:val="es-CO"/>
        </w:rPr>
        <w:t xml:space="preserve"> </w:t>
      </w:r>
      <w:r>
        <w:rPr>
          <w:rFonts w:ascii="Arial" w:hAnsi="Arial" w:cs="Arial"/>
          <w:lang w:val="es-CO"/>
        </w:rPr>
        <w:t>verificación,</w:t>
      </w:r>
      <w:r>
        <w:rPr>
          <w:rFonts w:ascii="Arial" w:hAnsi="Arial" w:cs="Arial"/>
          <w:spacing w:val="60"/>
          <w:lang w:val="es-CO"/>
        </w:rPr>
        <w:t xml:space="preserve"> </w:t>
      </w:r>
      <w:r>
        <w:rPr>
          <w:rFonts w:ascii="Arial" w:hAnsi="Arial" w:cs="Arial"/>
          <w:lang w:val="es-CO"/>
        </w:rPr>
        <w:t>utilizando</w:t>
      </w:r>
      <w:r>
        <w:rPr>
          <w:rFonts w:ascii="Arial" w:hAnsi="Arial" w:cs="Arial"/>
          <w:spacing w:val="34"/>
          <w:lang w:val="es-CO"/>
        </w:rPr>
        <w:t xml:space="preserve"> </w:t>
      </w:r>
      <w:r>
        <w:rPr>
          <w:rFonts w:ascii="Arial" w:hAnsi="Arial" w:cs="Arial"/>
          <w:lang w:val="es-CO"/>
        </w:rPr>
        <w:t>el</w:t>
      </w:r>
      <w:r>
        <w:rPr>
          <w:rFonts w:ascii="Arial" w:hAnsi="Arial" w:cs="Arial"/>
          <w:spacing w:val="18"/>
          <w:lang w:val="es-CO"/>
        </w:rPr>
        <w:t xml:space="preserve"> </w:t>
      </w:r>
      <w:r>
        <w:rPr>
          <w:rFonts w:ascii="Arial" w:hAnsi="Arial" w:cs="Arial"/>
          <w:lang w:val="es-CO"/>
        </w:rPr>
        <w:t>formulario</w:t>
      </w:r>
      <w:r>
        <w:rPr>
          <w:rFonts w:ascii="Arial" w:hAnsi="Arial" w:cs="Arial"/>
          <w:spacing w:val="47"/>
          <w:lang w:val="es-CO"/>
        </w:rPr>
        <w:t xml:space="preserve"> </w:t>
      </w:r>
      <w:r>
        <w:rPr>
          <w:rFonts w:ascii="Arial" w:hAnsi="Arial" w:cs="Arial"/>
          <w:lang w:val="es-CO"/>
        </w:rPr>
        <w:t>de</w:t>
      </w:r>
      <w:r>
        <w:rPr>
          <w:rFonts w:ascii="Arial" w:hAnsi="Arial" w:cs="Arial"/>
          <w:spacing w:val="31"/>
          <w:lang w:val="es-CO"/>
        </w:rPr>
        <w:t xml:space="preserve"> </w:t>
      </w:r>
      <w:r>
        <w:rPr>
          <w:rFonts w:ascii="Arial" w:hAnsi="Arial" w:cs="Arial"/>
          <w:lang w:val="es-CO"/>
        </w:rPr>
        <w:t>retenciones</w:t>
      </w:r>
      <w:r>
        <w:rPr>
          <w:rFonts w:ascii="Arial" w:hAnsi="Arial" w:cs="Arial"/>
          <w:spacing w:val="48"/>
          <w:lang w:val="es-CO"/>
        </w:rPr>
        <w:t xml:space="preserve"> </w:t>
      </w:r>
      <w:r>
        <w:rPr>
          <w:rFonts w:ascii="Arial" w:hAnsi="Arial" w:cs="Arial"/>
          <w:lang w:val="es-CO"/>
        </w:rPr>
        <w:t>prescrito</w:t>
      </w:r>
      <w:r>
        <w:rPr>
          <w:rFonts w:ascii="Arial" w:hAnsi="Arial" w:cs="Arial"/>
          <w:spacing w:val="40"/>
          <w:lang w:val="es-CO"/>
        </w:rPr>
        <w:t xml:space="preserve"> </w:t>
      </w:r>
      <w:r>
        <w:rPr>
          <w:rFonts w:ascii="Arial" w:hAnsi="Arial" w:cs="Arial"/>
          <w:lang w:val="es-CO"/>
        </w:rPr>
        <w:t>por</w:t>
      </w:r>
      <w:r>
        <w:rPr>
          <w:rFonts w:ascii="Arial" w:hAnsi="Arial" w:cs="Arial"/>
          <w:spacing w:val="29"/>
          <w:lang w:val="es-CO"/>
        </w:rPr>
        <w:t xml:space="preserve"> </w:t>
      </w:r>
      <w:r>
        <w:rPr>
          <w:rFonts w:ascii="Arial" w:hAnsi="Arial" w:cs="Arial"/>
          <w:lang w:val="es-CO"/>
        </w:rPr>
        <w:t>la</w:t>
      </w:r>
      <w:r>
        <w:rPr>
          <w:rFonts w:ascii="Arial" w:hAnsi="Arial" w:cs="Arial"/>
          <w:spacing w:val="31"/>
          <w:lang w:val="es-CO"/>
        </w:rPr>
        <w:t xml:space="preserve"> </w:t>
      </w:r>
      <w:r>
        <w:rPr>
          <w:rFonts w:ascii="Arial" w:hAnsi="Arial" w:cs="Arial"/>
          <w:lang w:val="es-CO"/>
        </w:rPr>
        <w:t>Unidad</w:t>
      </w:r>
      <w:r>
        <w:rPr>
          <w:rFonts w:ascii="Arial" w:hAnsi="Arial" w:cs="Arial"/>
          <w:w w:val="99"/>
          <w:lang w:val="es-CO"/>
        </w:rPr>
        <w:t xml:space="preserve"> </w:t>
      </w:r>
      <w:r>
        <w:rPr>
          <w:rFonts w:ascii="Arial" w:hAnsi="Arial" w:cs="Arial"/>
          <w:lang w:val="es-CO"/>
        </w:rPr>
        <w:t>Administrativa</w:t>
      </w:r>
      <w:r>
        <w:rPr>
          <w:rFonts w:ascii="Arial" w:hAnsi="Arial" w:cs="Arial"/>
          <w:spacing w:val="27"/>
          <w:lang w:val="es-CO"/>
        </w:rPr>
        <w:t xml:space="preserve"> </w:t>
      </w:r>
      <w:r>
        <w:rPr>
          <w:rFonts w:ascii="Arial" w:hAnsi="Arial" w:cs="Arial"/>
          <w:lang w:val="es-CO"/>
        </w:rPr>
        <w:t>Especial</w:t>
      </w:r>
      <w:r>
        <w:rPr>
          <w:rFonts w:ascii="Arial" w:hAnsi="Arial" w:cs="Arial"/>
          <w:spacing w:val="5"/>
          <w:lang w:val="es-CO"/>
        </w:rPr>
        <w:t xml:space="preserve"> </w:t>
      </w:r>
      <w:r>
        <w:rPr>
          <w:rFonts w:ascii="Arial" w:hAnsi="Arial" w:cs="Arial"/>
          <w:lang w:val="es-CO"/>
        </w:rPr>
        <w:t>Dirección</w:t>
      </w:r>
      <w:r>
        <w:rPr>
          <w:rFonts w:ascii="Arial" w:hAnsi="Arial" w:cs="Arial"/>
          <w:spacing w:val="-3"/>
          <w:lang w:val="es-CO"/>
        </w:rPr>
        <w:t xml:space="preserve"> </w:t>
      </w:r>
      <w:r>
        <w:rPr>
          <w:rFonts w:ascii="Arial" w:hAnsi="Arial" w:cs="Arial"/>
          <w:lang w:val="es-CO"/>
        </w:rPr>
        <w:t>de</w:t>
      </w:r>
      <w:r>
        <w:rPr>
          <w:rFonts w:ascii="Arial" w:hAnsi="Arial" w:cs="Arial"/>
          <w:spacing w:val="-1"/>
          <w:lang w:val="es-CO"/>
        </w:rPr>
        <w:t xml:space="preserve"> </w:t>
      </w:r>
      <w:r>
        <w:rPr>
          <w:rFonts w:ascii="Arial" w:hAnsi="Arial" w:cs="Arial"/>
          <w:lang w:val="es-CO"/>
        </w:rPr>
        <w:t>Impuestos</w:t>
      </w:r>
      <w:r>
        <w:rPr>
          <w:rFonts w:ascii="Arial" w:hAnsi="Arial" w:cs="Arial"/>
          <w:spacing w:val="-4"/>
          <w:lang w:val="es-CO"/>
        </w:rPr>
        <w:t xml:space="preserve"> </w:t>
      </w:r>
      <w:r>
        <w:rPr>
          <w:rFonts w:ascii="Arial" w:hAnsi="Arial" w:cs="Arial"/>
          <w:lang w:val="es-CO"/>
        </w:rPr>
        <w:t>y</w:t>
      </w:r>
      <w:r>
        <w:rPr>
          <w:rFonts w:ascii="Arial" w:hAnsi="Arial" w:cs="Arial"/>
          <w:spacing w:val="-14"/>
          <w:lang w:val="es-CO"/>
        </w:rPr>
        <w:t xml:space="preserve"> </w:t>
      </w:r>
      <w:r>
        <w:rPr>
          <w:rFonts w:ascii="Arial" w:hAnsi="Arial" w:cs="Arial"/>
          <w:lang w:val="es-CO"/>
        </w:rPr>
        <w:t>Aduanas Nacionales-</w:t>
      </w:r>
      <w:r>
        <w:rPr>
          <w:rFonts w:ascii="Arial" w:hAnsi="Arial" w:cs="Arial"/>
          <w:spacing w:val="-2"/>
          <w:lang w:val="es-CO"/>
        </w:rPr>
        <w:t xml:space="preserve"> </w:t>
      </w:r>
      <w:r>
        <w:rPr>
          <w:rFonts w:ascii="Arial" w:hAnsi="Arial" w:cs="Arial"/>
          <w:lang w:val="es-CO"/>
        </w:rPr>
        <w:t>DIAN.</w:t>
      </w:r>
    </w:p>
    <w:p w14:paraId="7B4DB649" w14:textId="77777777" w:rsidR="00B2442D" w:rsidRDefault="00B2442D">
      <w:pPr>
        <w:tabs>
          <w:tab w:val="left" w:pos="2521"/>
          <w:tab w:val="left" w:pos="3755"/>
          <w:tab w:val="left" w:pos="5147"/>
          <w:tab w:val="left" w:pos="5507"/>
          <w:tab w:val="left" w:pos="7283"/>
          <w:tab w:val="left" w:pos="8579"/>
        </w:tabs>
        <w:spacing w:line="40" w:lineRule="atLeast"/>
        <w:ind w:right="-30"/>
        <w:jc w:val="both"/>
        <w:rPr>
          <w:rFonts w:ascii="Arial" w:hAnsi="Arial" w:cs="Arial"/>
          <w:lang w:val="es-CO"/>
        </w:rPr>
      </w:pPr>
    </w:p>
    <w:p w14:paraId="6F5718E9" w14:textId="77777777" w:rsidR="00B2442D" w:rsidRDefault="008A645F">
      <w:pPr>
        <w:jc w:val="both"/>
        <w:rPr>
          <w:rFonts w:ascii="Arial" w:hAnsi="Arial" w:cs="Arial"/>
          <w:i/>
          <w:lang w:val="es-ES_tradnl"/>
        </w:rPr>
      </w:pPr>
      <w:r>
        <w:rPr>
          <w:rFonts w:ascii="Arial" w:hAnsi="Arial" w:cs="Arial"/>
          <w:i/>
          <w:lang w:val="es-ES_tradnl"/>
        </w:rPr>
        <w:t xml:space="preserve">(Art. 36, Decreto 2243 de 2015) (Plazos 2015: Decreto 2623 de 2014; plazos 2014: Decreto 2972 de </w:t>
      </w:r>
      <w:r>
        <w:rPr>
          <w:rFonts w:ascii="Arial" w:hAnsi="Arial" w:cs="Arial"/>
          <w:i/>
          <w:lang w:val="es-ES_tradnl"/>
        </w:rPr>
        <w:t>2013 y Decreto 685 de 2014; plazos 2013: Decreto 2634 de 2012 y Decreto 0187 de 2013; plazos 2012: Decreto 4907 de 2011; plazos 2011: Decreto 4836 de 2010 y Decreto 1358 de 2011)</w:t>
      </w:r>
    </w:p>
    <w:p w14:paraId="7B638F5D" w14:textId="77777777" w:rsidR="00B2442D" w:rsidRDefault="00B2442D">
      <w:pPr>
        <w:tabs>
          <w:tab w:val="left" w:pos="2521"/>
          <w:tab w:val="left" w:pos="3755"/>
          <w:tab w:val="left" w:pos="5147"/>
          <w:tab w:val="left" w:pos="5507"/>
          <w:tab w:val="left" w:pos="7283"/>
          <w:tab w:val="left" w:pos="8579"/>
        </w:tabs>
        <w:spacing w:line="40" w:lineRule="atLeast"/>
        <w:ind w:right="-30"/>
        <w:jc w:val="both"/>
        <w:rPr>
          <w:rFonts w:ascii="Arial" w:hAnsi="Arial" w:cs="Arial"/>
          <w:lang w:val="es-CO"/>
        </w:rPr>
      </w:pPr>
    </w:p>
    <w:p w14:paraId="357FD234" w14:textId="77777777" w:rsidR="00B2442D" w:rsidRDefault="008A645F">
      <w:pPr>
        <w:pStyle w:val="Prrafodelista"/>
        <w:numPr>
          <w:ilvl w:val="0"/>
          <w:numId w:val="152"/>
        </w:numPr>
        <w:tabs>
          <w:tab w:val="left" w:pos="2521"/>
          <w:tab w:val="left" w:pos="3755"/>
          <w:tab w:val="left" w:pos="5147"/>
          <w:tab w:val="left" w:pos="5507"/>
          <w:tab w:val="left" w:pos="7283"/>
          <w:tab w:val="left" w:pos="8579"/>
        </w:tabs>
        <w:spacing w:line="40" w:lineRule="atLeast"/>
        <w:ind w:left="0" w:right="-30" w:firstLine="0"/>
        <w:jc w:val="both"/>
        <w:rPr>
          <w:rFonts w:ascii="Arial" w:hAnsi="Arial" w:cs="Arial"/>
          <w:lang w:val="es-CO"/>
        </w:rPr>
      </w:pPr>
      <w:r>
        <w:rPr>
          <w:rFonts w:ascii="Arial" w:hAnsi="Arial" w:cs="Arial"/>
          <w:b/>
          <w:i/>
          <w:lang w:val="es-CO"/>
        </w:rPr>
        <w:t>Impuesto</w:t>
      </w:r>
      <w:r>
        <w:rPr>
          <w:rFonts w:ascii="Arial" w:hAnsi="Arial" w:cs="Arial"/>
          <w:b/>
          <w:i/>
          <w:spacing w:val="27"/>
          <w:lang w:val="es-CO"/>
        </w:rPr>
        <w:t xml:space="preserve"> </w:t>
      </w:r>
      <w:r>
        <w:rPr>
          <w:rFonts w:ascii="Arial" w:hAnsi="Arial" w:cs="Arial"/>
          <w:b/>
          <w:i/>
          <w:lang w:val="es-CO"/>
        </w:rPr>
        <w:t>de</w:t>
      </w:r>
      <w:r>
        <w:rPr>
          <w:rFonts w:ascii="Arial" w:hAnsi="Arial" w:cs="Arial"/>
          <w:b/>
          <w:i/>
          <w:spacing w:val="5"/>
          <w:lang w:val="es-CO"/>
        </w:rPr>
        <w:t xml:space="preserve"> </w:t>
      </w:r>
      <w:r>
        <w:rPr>
          <w:rFonts w:ascii="Arial" w:hAnsi="Arial" w:cs="Arial"/>
          <w:b/>
          <w:i/>
          <w:lang w:val="es-CO"/>
        </w:rPr>
        <w:t>timbre</w:t>
      </w:r>
      <w:r>
        <w:rPr>
          <w:rFonts w:ascii="Arial" w:hAnsi="Arial" w:cs="Arial"/>
          <w:b/>
          <w:i/>
          <w:spacing w:val="35"/>
          <w:lang w:val="es-CO"/>
        </w:rPr>
        <w:t xml:space="preserve"> </w:t>
      </w:r>
      <w:r>
        <w:rPr>
          <w:rFonts w:ascii="Arial" w:hAnsi="Arial" w:cs="Arial"/>
          <w:b/>
          <w:i/>
          <w:lang w:val="es-CO"/>
        </w:rPr>
        <w:t>nacional.</w:t>
      </w:r>
      <w:r>
        <w:rPr>
          <w:rFonts w:ascii="Arial" w:hAnsi="Arial" w:cs="Arial"/>
          <w:i/>
          <w:spacing w:val="35"/>
          <w:lang w:val="es-CO"/>
        </w:rPr>
        <w:t xml:space="preserve"> </w:t>
      </w:r>
      <w:r>
        <w:rPr>
          <w:rFonts w:ascii="Arial" w:hAnsi="Arial" w:cs="Arial"/>
          <w:lang w:val="es-CO"/>
        </w:rPr>
        <w:t>Los</w:t>
      </w:r>
      <w:r>
        <w:rPr>
          <w:rFonts w:ascii="Arial" w:hAnsi="Arial" w:cs="Arial"/>
          <w:spacing w:val="16"/>
          <w:lang w:val="es-CO"/>
        </w:rPr>
        <w:t xml:space="preserve"> </w:t>
      </w:r>
      <w:r>
        <w:rPr>
          <w:rFonts w:ascii="Arial" w:hAnsi="Arial" w:cs="Arial"/>
          <w:lang w:val="es-CO"/>
        </w:rPr>
        <w:t>agentes</w:t>
      </w:r>
      <w:r>
        <w:rPr>
          <w:rFonts w:ascii="Arial" w:hAnsi="Arial" w:cs="Arial"/>
          <w:spacing w:val="22"/>
          <w:lang w:val="es-CO"/>
        </w:rPr>
        <w:t xml:space="preserve"> </w:t>
      </w:r>
      <w:r>
        <w:rPr>
          <w:rFonts w:ascii="Arial" w:hAnsi="Arial" w:cs="Arial"/>
          <w:lang w:val="es-CO"/>
        </w:rPr>
        <w:t>de</w:t>
      </w:r>
      <w:r>
        <w:rPr>
          <w:rFonts w:ascii="Arial" w:hAnsi="Arial" w:cs="Arial"/>
          <w:spacing w:val="21"/>
          <w:lang w:val="es-CO"/>
        </w:rPr>
        <w:t xml:space="preserve"> </w:t>
      </w:r>
      <w:r>
        <w:rPr>
          <w:rFonts w:ascii="Arial" w:hAnsi="Arial" w:cs="Arial"/>
          <w:lang w:val="es-CO"/>
        </w:rPr>
        <w:t>retención</w:t>
      </w:r>
      <w:r>
        <w:rPr>
          <w:rFonts w:ascii="Arial" w:hAnsi="Arial" w:cs="Arial"/>
          <w:spacing w:val="13"/>
          <w:lang w:val="es-CO"/>
        </w:rPr>
        <w:t xml:space="preserve"> </w:t>
      </w:r>
      <w:r>
        <w:rPr>
          <w:rFonts w:ascii="Arial" w:hAnsi="Arial" w:cs="Arial"/>
          <w:lang w:val="es-CO"/>
        </w:rPr>
        <w:t>y</w:t>
      </w:r>
      <w:r>
        <w:rPr>
          <w:rFonts w:ascii="Arial" w:hAnsi="Arial" w:cs="Arial"/>
          <w:spacing w:val="21"/>
          <w:lang w:val="es-CO"/>
        </w:rPr>
        <w:t xml:space="preserve"> </w:t>
      </w:r>
      <w:r>
        <w:rPr>
          <w:rFonts w:ascii="Arial" w:hAnsi="Arial" w:cs="Arial"/>
          <w:lang w:val="es-CO"/>
        </w:rPr>
        <w:t>los autorretenedores</w:t>
      </w:r>
      <w:r>
        <w:rPr>
          <w:rFonts w:ascii="Arial" w:hAnsi="Arial" w:cs="Arial"/>
          <w:spacing w:val="13"/>
          <w:lang w:val="es-CO"/>
        </w:rPr>
        <w:t xml:space="preserve"> </w:t>
      </w:r>
      <w:r>
        <w:rPr>
          <w:rFonts w:ascii="Arial" w:hAnsi="Arial" w:cs="Arial"/>
          <w:lang w:val="es-CO"/>
        </w:rPr>
        <w:t>del</w:t>
      </w:r>
      <w:r>
        <w:rPr>
          <w:rFonts w:ascii="Arial" w:hAnsi="Arial" w:cs="Arial"/>
          <w:spacing w:val="53"/>
          <w:lang w:val="es-CO"/>
        </w:rPr>
        <w:t xml:space="preserve"> </w:t>
      </w:r>
      <w:r>
        <w:rPr>
          <w:rFonts w:ascii="Arial" w:hAnsi="Arial" w:cs="Arial"/>
          <w:lang w:val="es-CO"/>
        </w:rPr>
        <w:t>impuesto</w:t>
      </w:r>
      <w:r>
        <w:rPr>
          <w:rFonts w:ascii="Arial" w:hAnsi="Arial" w:cs="Arial"/>
          <w:spacing w:val="49"/>
          <w:lang w:val="es-CO"/>
        </w:rPr>
        <w:t xml:space="preserve"> </w:t>
      </w:r>
      <w:r>
        <w:rPr>
          <w:rFonts w:ascii="Arial" w:hAnsi="Arial" w:cs="Arial"/>
          <w:lang w:val="es-CO"/>
        </w:rPr>
        <w:t>de</w:t>
      </w:r>
      <w:r>
        <w:rPr>
          <w:rFonts w:ascii="Arial" w:hAnsi="Arial" w:cs="Arial"/>
          <w:spacing w:val="41"/>
          <w:lang w:val="es-CO"/>
        </w:rPr>
        <w:t xml:space="preserve"> </w:t>
      </w:r>
      <w:r>
        <w:rPr>
          <w:rFonts w:ascii="Arial" w:hAnsi="Arial" w:cs="Arial"/>
          <w:lang w:val="es-CO"/>
        </w:rPr>
        <w:t>timbre</w:t>
      </w:r>
      <w:r>
        <w:rPr>
          <w:rFonts w:ascii="Arial" w:hAnsi="Arial" w:cs="Arial"/>
          <w:spacing w:val="57"/>
          <w:lang w:val="es-CO"/>
        </w:rPr>
        <w:t xml:space="preserve"> </w:t>
      </w:r>
      <w:r>
        <w:rPr>
          <w:rFonts w:ascii="Arial" w:hAnsi="Arial" w:cs="Arial"/>
          <w:lang w:val="es-CO"/>
        </w:rPr>
        <w:t>nacional,</w:t>
      </w:r>
      <w:r>
        <w:rPr>
          <w:rFonts w:ascii="Arial" w:hAnsi="Arial" w:cs="Arial"/>
          <w:spacing w:val="53"/>
          <w:lang w:val="es-CO"/>
        </w:rPr>
        <w:t xml:space="preserve"> </w:t>
      </w:r>
      <w:r>
        <w:rPr>
          <w:rFonts w:ascii="Arial" w:hAnsi="Arial" w:cs="Arial"/>
          <w:lang w:val="es-CO"/>
        </w:rPr>
        <w:t>deberán</w:t>
      </w:r>
      <w:r>
        <w:rPr>
          <w:rFonts w:ascii="Arial" w:hAnsi="Arial" w:cs="Arial"/>
          <w:spacing w:val="52"/>
          <w:lang w:val="es-CO"/>
        </w:rPr>
        <w:t xml:space="preserve"> </w:t>
      </w:r>
      <w:r>
        <w:rPr>
          <w:rFonts w:ascii="Arial" w:hAnsi="Arial" w:cs="Arial"/>
          <w:lang w:val="es-CO"/>
        </w:rPr>
        <w:t>declarar</w:t>
      </w:r>
      <w:r>
        <w:rPr>
          <w:rFonts w:ascii="Arial" w:hAnsi="Arial" w:cs="Arial"/>
          <w:spacing w:val="50"/>
          <w:lang w:val="es-CO"/>
        </w:rPr>
        <w:t xml:space="preserve"> </w:t>
      </w:r>
      <w:r>
        <w:rPr>
          <w:rFonts w:ascii="Arial" w:hAnsi="Arial" w:cs="Arial"/>
          <w:lang w:val="es-CO"/>
        </w:rPr>
        <w:t>y</w:t>
      </w:r>
      <w:r>
        <w:rPr>
          <w:rFonts w:ascii="Arial" w:hAnsi="Arial" w:cs="Arial"/>
          <w:spacing w:val="58"/>
          <w:lang w:val="es-CO"/>
        </w:rPr>
        <w:t xml:space="preserve"> </w:t>
      </w:r>
      <w:r>
        <w:rPr>
          <w:rFonts w:ascii="Arial" w:hAnsi="Arial" w:cs="Arial"/>
          <w:lang w:val="es-CO"/>
        </w:rPr>
        <w:t>pagar</w:t>
      </w:r>
      <w:r>
        <w:rPr>
          <w:rFonts w:ascii="Arial" w:hAnsi="Arial" w:cs="Arial"/>
          <w:spacing w:val="45"/>
          <w:lang w:val="es-CO"/>
        </w:rPr>
        <w:t xml:space="preserve"> </w:t>
      </w:r>
      <w:r>
        <w:rPr>
          <w:rFonts w:ascii="Arial" w:hAnsi="Arial" w:cs="Arial"/>
          <w:lang w:val="es-CO"/>
        </w:rPr>
        <w:t>en</w:t>
      </w:r>
      <w:r>
        <w:rPr>
          <w:rFonts w:ascii="Arial" w:hAnsi="Arial" w:cs="Arial"/>
          <w:spacing w:val="38"/>
          <w:lang w:val="es-CO"/>
        </w:rPr>
        <w:t xml:space="preserve"> </w:t>
      </w:r>
      <w:r>
        <w:rPr>
          <w:rFonts w:ascii="Arial" w:hAnsi="Arial" w:cs="Arial"/>
          <w:lang w:val="es-CO"/>
        </w:rPr>
        <w:t>el</w:t>
      </w:r>
      <w:r>
        <w:rPr>
          <w:rFonts w:ascii="Arial" w:hAnsi="Arial" w:cs="Arial"/>
          <w:w w:val="105"/>
          <w:lang w:val="es-CO"/>
        </w:rPr>
        <w:t xml:space="preserve"> </w:t>
      </w:r>
      <w:r>
        <w:rPr>
          <w:rFonts w:ascii="Arial" w:hAnsi="Arial" w:cs="Arial"/>
          <w:lang w:val="es-CO"/>
        </w:rPr>
        <w:t>formulario</w:t>
      </w:r>
      <w:r>
        <w:rPr>
          <w:rFonts w:ascii="Arial" w:hAnsi="Arial" w:cs="Arial"/>
          <w:spacing w:val="31"/>
          <w:lang w:val="es-CO"/>
        </w:rPr>
        <w:t xml:space="preserve"> </w:t>
      </w:r>
      <w:r>
        <w:rPr>
          <w:rFonts w:ascii="Arial" w:hAnsi="Arial" w:cs="Arial"/>
          <w:lang w:val="es-CO"/>
        </w:rPr>
        <w:t>de</w:t>
      </w:r>
      <w:r>
        <w:rPr>
          <w:rFonts w:ascii="Arial" w:hAnsi="Arial" w:cs="Arial"/>
          <w:spacing w:val="21"/>
          <w:lang w:val="es-CO"/>
        </w:rPr>
        <w:t xml:space="preserve"> </w:t>
      </w:r>
      <w:r>
        <w:rPr>
          <w:rFonts w:ascii="Arial" w:hAnsi="Arial" w:cs="Arial"/>
          <w:lang w:val="es-CO"/>
        </w:rPr>
        <w:t>retenciones</w:t>
      </w:r>
      <w:r>
        <w:rPr>
          <w:rFonts w:ascii="Arial" w:hAnsi="Arial" w:cs="Arial"/>
          <w:spacing w:val="19"/>
          <w:lang w:val="es-CO"/>
        </w:rPr>
        <w:t xml:space="preserve"> </w:t>
      </w:r>
      <w:r>
        <w:rPr>
          <w:rFonts w:ascii="Arial" w:hAnsi="Arial" w:cs="Arial"/>
          <w:lang w:val="es-CO"/>
        </w:rPr>
        <w:t>en</w:t>
      </w:r>
      <w:r>
        <w:rPr>
          <w:rFonts w:ascii="Arial" w:hAnsi="Arial" w:cs="Arial"/>
          <w:spacing w:val="19"/>
          <w:lang w:val="es-CO"/>
        </w:rPr>
        <w:t xml:space="preserve"> </w:t>
      </w:r>
      <w:r>
        <w:rPr>
          <w:rFonts w:ascii="Arial" w:hAnsi="Arial" w:cs="Arial"/>
          <w:lang w:val="es-CO"/>
        </w:rPr>
        <w:t>la</w:t>
      </w:r>
      <w:r>
        <w:rPr>
          <w:rFonts w:ascii="Arial" w:hAnsi="Arial" w:cs="Arial"/>
          <w:spacing w:val="-5"/>
          <w:lang w:val="es-CO"/>
        </w:rPr>
        <w:t xml:space="preserve"> </w:t>
      </w:r>
      <w:r>
        <w:rPr>
          <w:rFonts w:ascii="Arial" w:hAnsi="Arial" w:cs="Arial"/>
          <w:lang w:val="es-CO"/>
        </w:rPr>
        <w:t>fuente</w:t>
      </w:r>
      <w:r>
        <w:rPr>
          <w:rFonts w:ascii="Arial" w:hAnsi="Arial" w:cs="Arial"/>
          <w:spacing w:val="23"/>
          <w:lang w:val="es-CO"/>
        </w:rPr>
        <w:t xml:space="preserve"> </w:t>
      </w:r>
      <w:r>
        <w:rPr>
          <w:rFonts w:ascii="Arial" w:hAnsi="Arial" w:cs="Arial"/>
          <w:lang w:val="es-CO"/>
        </w:rPr>
        <w:t>prescrito</w:t>
      </w:r>
      <w:r>
        <w:rPr>
          <w:rFonts w:ascii="Arial" w:hAnsi="Arial" w:cs="Arial"/>
          <w:spacing w:val="15"/>
          <w:lang w:val="es-CO"/>
        </w:rPr>
        <w:t xml:space="preserve"> </w:t>
      </w:r>
      <w:r>
        <w:rPr>
          <w:rFonts w:ascii="Arial" w:hAnsi="Arial" w:cs="Arial"/>
          <w:lang w:val="es-CO"/>
        </w:rPr>
        <w:t>por</w:t>
      </w:r>
      <w:r>
        <w:rPr>
          <w:rFonts w:ascii="Arial" w:hAnsi="Arial" w:cs="Arial"/>
          <w:spacing w:val="14"/>
          <w:lang w:val="es-CO"/>
        </w:rPr>
        <w:t xml:space="preserve"> </w:t>
      </w:r>
      <w:r>
        <w:rPr>
          <w:rFonts w:ascii="Arial" w:hAnsi="Arial" w:cs="Arial"/>
          <w:lang w:val="es-CO"/>
        </w:rPr>
        <w:t>la</w:t>
      </w:r>
      <w:r>
        <w:rPr>
          <w:rFonts w:ascii="Arial" w:hAnsi="Arial" w:cs="Arial"/>
          <w:spacing w:val="12"/>
          <w:lang w:val="es-CO"/>
        </w:rPr>
        <w:t xml:space="preserve"> </w:t>
      </w:r>
      <w:r>
        <w:rPr>
          <w:rFonts w:ascii="Arial" w:hAnsi="Arial" w:cs="Arial"/>
          <w:lang w:val="es-CO"/>
        </w:rPr>
        <w:t>Unidad</w:t>
      </w:r>
      <w:r>
        <w:rPr>
          <w:rFonts w:ascii="Arial" w:hAnsi="Arial" w:cs="Arial"/>
          <w:spacing w:val="2"/>
          <w:lang w:val="es-CO"/>
        </w:rPr>
        <w:t xml:space="preserve"> </w:t>
      </w:r>
      <w:r>
        <w:rPr>
          <w:rFonts w:ascii="Arial" w:hAnsi="Arial" w:cs="Arial"/>
          <w:lang w:val="es-CO"/>
        </w:rPr>
        <w:t>Administrativa</w:t>
      </w:r>
      <w:r>
        <w:rPr>
          <w:rFonts w:ascii="Arial" w:hAnsi="Arial" w:cs="Arial"/>
          <w:spacing w:val="40"/>
          <w:lang w:val="es-CO"/>
        </w:rPr>
        <w:t xml:space="preserve"> </w:t>
      </w:r>
      <w:r>
        <w:rPr>
          <w:rFonts w:ascii="Arial" w:hAnsi="Arial" w:cs="Arial"/>
          <w:lang w:val="es-CO"/>
        </w:rPr>
        <w:t>Especial</w:t>
      </w:r>
      <w:r>
        <w:rPr>
          <w:rFonts w:ascii="Arial" w:hAnsi="Arial" w:cs="Arial"/>
          <w:w w:val="99"/>
          <w:lang w:val="es-CO"/>
        </w:rPr>
        <w:t xml:space="preserve"> </w:t>
      </w:r>
      <w:r>
        <w:rPr>
          <w:rFonts w:ascii="Arial" w:hAnsi="Arial" w:cs="Arial"/>
          <w:lang w:val="es-CO"/>
        </w:rPr>
        <w:t>Dirección</w:t>
      </w:r>
      <w:r>
        <w:rPr>
          <w:rFonts w:ascii="Arial" w:hAnsi="Arial" w:cs="Arial"/>
          <w:spacing w:val="30"/>
          <w:lang w:val="es-CO"/>
        </w:rPr>
        <w:t xml:space="preserve"> </w:t>
      </w:r>
      <w:r>
        <w:rPr>
          <w:rFonts w:ascii="Arial" w:hAnsi="Arial" w:cs="Arial"/>
          <w:lang w:val="es-CO"/>
        </w:rPr>
        <w:t>de</w:t>
      </w:r>
      <w:r>
        <w:rPr>
          <w:rFonts w:ascii="Arial" w:hAnsi="Arial" w:cs="Arial"/>
          <w:spacing w:val="34"/>
          <w:lang w:val="es-CO"/>
        </w:rPr>
        <w:t xml:space="preserve"> </w:t>
      </w:r>
      <w:r>
        <w:rPr>
          <w:rFonts w:ascii="Arial" w:hAnsi="Arial" w:cs="Arial"/>
          <w:lang w:val="es-CO"/>
        </w:rPr>
        <w:t>Impuestos</w:t>
      </w:r>
      <w:r>
        <w:rPr>
          <w:rFonts w:ascii="Arial" w:hAnsi="Arial" w:cs="Arial"/>
          <w:spacing w:val="22"/>
          <w:lang w:val="es-CO"/>
        </w:rPr>
        <w:t xml:space="preserve"> </w:t>
      </w:r>
      <w:r>
        <w:rPr>
          <w:rFonts w:ascii="Arial" w:hAnsi="Arial" w:cs="Arial"/>
          <w:lang w:val="es-CO"/>
        </w:rPr>
        <w:t>y</w:t>
      </w:r>
      <w:r>
        <w:rPr>
          <w:rFonts w:ascii="Arial" w:hAnsi="Arial" w:cs="Arial"/>
          <w:spacing w:val="15"/>
          <w:lang w:val="es-CO"/>
        </w:rPr>
        <w:t xml:space="preserve"> </w:t>
      </w:r>
      <w:r>
        <w:rPr>
          <w:rFonts w:ascii="Arial" w:hAnsi="Arial" w:cs="Arial"/>
          <w:lang w:val="es-CO"/>
        </w:rPr>
        <w:t>Aduanas Nacionales-</w:t>
      </w:r>
      <w:r>
        <w:rPr>
          <w:rFonts w:ascii="Arial" w:hAnsi="Arial" w:cs="Arial"/>
          <w:spacing w:val="28"/>
          <w:lang w:val="es-CO"/>
        </w:rPr>
        <w:t xml:space="preserve"> </w:t>
      </w:r>
      <w:r>
        <w:rPr>
          <w:rFonts w:ascii="Arial" w:hAnsi="Arial" w:cs="Arial"/>
          <w:lang w:val="es-CO"/>
        </w:rPr>
        <w:t>DIAN</w:t>
      </w:r>
      <w:r>
        <w:rPr>
          <w:rFonts w:ascii="Arial" w:hAnsi="Arial" w:cs="Arial"/>
          <w:spacing w:val="18"/>
          <w:lang w:val="es-CO"/>
        </w:rPr>
        <w:t xml:space="preserve"> </w:t>
      </w:r>
      <w:r>
        <w:rPr>
          <w:rFonts w:ascii="Arial" w:hAnsi="Arial" w:cs="Arial"/>
          <w:lang w:val="es-CO"/>
        </w:rPr>
        <w:t>el</w:t>
      </w:r>
      <w:r>
        <w:rPr>
          <w:rFonts w:ascii="Arial" w:hAnsi="Arial" w:cs="Arial"/>
          <w:spacing w:val="20"/>
          <w:lang w:val="es-CO"/>
        </w:rPr>
        <w:t xml:space="preserve"> </w:t>
      </w:r>
      <w:r>
        <w:rPr>
          <w:rFonts w:ascii="Arial" w:hAnsi="Arial" w:cs="Arial"/>
          <w:lang w:val="es-CO"/>
        </w:rPr>
        <w:t>impuesto</w:t>
      </w:r>
      <w:r>
        <w:rPr>
          <w:rFonts w:ascii="Arial" w:hAnsi="Arial" w:cs="Arial"/>
          <w:spacing w:val="28"/>
          <w:lang w:val="es-CO"/>
        </w:rPr>
        <w:t xml:space="preserve"> </w:t>
      </w:r>
      <w:r>
        <w:rPr>
          <w:rFonts w:ascii="Arial" w:hAnsi="Arial" w:cs="Arial"/>
          <w:lang w:val="es-CO"/>
        </w:rPr>
        <w:t>causado</w:t>
      </w:r>
      <w:r>
        <w:rPr>
          <w:rFonts w:ascii="Arial" w:hAnsi="Arial" w:cs="Arial"/>
          <w:spacing w:val="28"/>
          <w:lang w:val="es-CO"/>
        </w:rPr>
        <w:t xml:space="preserve"> </w:t>
      </w:r>
      <w:r>
        <w:rPr>
          <w:rFonts w:ascii="Arial" w:hAnsi="Arial" w:cs="Arial"/>
          <w:lang w:val="es-CO"/>
        </w:rPr>
        <w:t>en</w:t>
      </w:r>
      <w:r>
        <w:rPr>
          <w:rFonts w:ascii="Arial" w:hAnsi="Arial" w:cs="Arial"/>
          <w:spacing w:val="17"/>
          <w:lang w:val="es-CO"/>
        </w:rPr>
        <w:t xml:space="preserve"> </w:t>
      </w:r>
      <w:r>
        <w:rPr>
          <w:rFonts w:ascii="Arial" w:hAnsi="Arial" w:cs="Arial"/>
          <w:lang w:val="es-CO"/>
        </w:rPr>
        <w:t>cada mes,</w:t>
      </w:r>
      <w:r>
        <w:rPr>
          <w:rFonts w:ascii="Arial" w:hAnsi="Arial" w:cs="Arial"/>
          <w:spacing w:val="1"/>
          <w:lang w:val="es-CO"/>
        </w:rPr>
        <w:t xml:space="preserve"> </w:t>
      </w:r>
      <w:r>
        <w:rPr>
          <w:rFonts w:ascii="Arial" w:hAnsi="Arial" w:cs="Arial"/>
          <w:lang w:val="es-CO"/>
        </w:rPr>
        <w:t>dentro</w:t>
      </w:r>
      <w:r>
        <w:rPr>
          <w:rFonts w:ascii="Arial" w:hAnsi="Arial" w:cs="Arial"/>
          <w:spacing w:val="8"/>
          <w:lang w:val="es-CO"/>
        </w:rPr>
        <w:t xml:space="preserve"> </w:t>
      </w:r>
      <w:r>
        <w:rPr>
          <w:rFonts w:ascii="Arial" w:hAnsi="Arial" w:cs="Arial"/>
          <w:lang w:val="es-CO"/>
        </w:rPr>
        <w:t>de</w:t>
      </w:r>
      <w:r>
        <w:rPr>
          <w:rFonts w:ascii="Arial" w:hAnsi="Arial" w:cs="Arial"/>
          <w:spacing w:val="8"/>
          <w:lang w:val="es-CO"/>
        </w:rPr>
        <w:t xml:space="preserve"> </w:t>
      </w:r>
      <w:r>
        <w:rPr>
          <w:rFonts w:ascii="Arial" w:hAnsi="Arial" w:cs="Arial"/>
          <w:lang w:val="es-CO"/>
        </w:rPr>
        <w:t>los</w:t>
      </w:r>
      <w:r>
        <w:rPr>
          <w:rFonts w:ascii="Arial" w:hAnsi="Arial" w:cs="Arial"/>
          <w:spacing w:val="3"/>
          <w:lang w:val="es-CO"/>
        </w:rPr>
        <w:t xml:space="preserve"> </w:t>
      </w:r>
      <w:r>
        <w:rPr>
          <w:rFonts w:ascii="Arial" w:hAnsi="Arial" w:cs="Arial"/>
          <w:lang w:val="es-CO"/>
        </w:rPr>
        <w:t>plazos</w:t>
      </w:r>
      <w:r>
        <w:rPr>
          <w:rFonts w:ascii="Arial" w:hAnsi="Arial" w:cs="Arial"/>
          <w:spacing w:val="6"/>
          <w:lang w:val="es-CO"/>
        </w:rPr>
        <w:t xml:space="preserve"> </w:t>
      </w:r>
      <w:r>
        <w:rPr>
          <w:rFonts w:ascii="Arial" w:hAnsi="Arial" w:cs="Arial"/>
          <w:lang w:val="es-CO"/>
        </w:rPr>
        <w:t>previstos</w:t>
      </w:r>
      <w:r>
        <w:rPr>
          <w:rFonts w:ascii="Arial" w:hAnsi="Arial" w:cs="Arial"/>
          <w:spacing w:val="3"/>
          <w:lang w:val="es-CO"/>
        </w:rPr>
        <w:t xml:space="preserve"> </w:t>
      </w:r>
      <w:r>
        <w:rPr>
          <w:rFonts w:ascii="Arial" w:hAnsi="Arial" w:cs="Arial"/>
          <w:lang w:val="es-CO"/>
        </w:rPr>
        <w:t>en</w:t>
      </w:r>
      <w:r>
        <w:rPr>
          <w:rFonts w:ascii="Arial" w:hAnsi="Arial" w:cs="Arial"/>
          <w:spacing w:val="1"/>
          <w:lang w:val="es-CO"/>
        </w:rPr>
        <w:t xml:space="preserve"> </w:t>
      </w:r>
      <w:r>
        <w:rPr>
          <w:rFonts w:ascii="Arial" w:hAnsi="Arial" w:cs="Arial"/>
          <w:lang w:val="es-CO"/>
        </w:rPr>
        <w:t>el</w:t>
      </w:r>
      <w:r>
        <w:rPr>
          <w:rFonts w:ascii="Arial" w:hAnsi="Arial" w:cs="Arial"/>
          <w:spacing w:val="-5"/>
          <w:lang w:val="es-CO"/>
        </w:rPr>
        <w:t xml:space="preserve"> </w:t>
      </w:r>
      <w:r>
        <w:rPr>
          <w:rFonts w:ascii="Arial" w:hAnsi="Arial" w:cs="Arial"/>
          <w:lang w:val="es-CO"/>
        </w:rPr>
        <w:t>artículo</w:t>
      </w:r>
      <w:r>
        <w:rPr>
          <w:rFonts w:ascii="Arial" w:hAnsi="Arial" w:cs="Arial"/>
          <w:spacing w:val="10"/>
          <w:lang w:val="es-CO"/>
        </w:rPr>
        <w:t xml:space="preserve"> </w:t>
      </w:r>
      <w:r>
        <w:rPr>
          <w:rFonts w:ascii="Arial" w:hAnsi="Arial" w:cs="Arial"/>
        </w:rPr>
        <w:t>1.6.1.13.2.35.</w:t>
      </w:r>
      <w:r>
        <w:rPr>
          <w:rFonts w:ascii="Arial" w:hAnsi="Arial" w:cs="Arial"/>
          <w:spacing w:val="-2"/>
          <w:lang w:val="es-CO"/>
        </w:rPr>
        <w:t xml:space="preserve"> </w:t>
      </w:r>
      <w:r>
        <w:rPr>
          <w:rFonts w:ascii="Arial" w:hAnsi="Arial" w:cs="Arial"/>
          <w:lang w:val="es-CO"/>
        </w:rPr>
        <w:t>del</w:t>
      </w:r>
      <w:r>
        <w:rPr>
          <w:rFonts w:ascii="Arial" w:hAnsi="Arial" w:cs="Arial"/>
          <w:spacing w:val="8"/>
          <w:lang w:val="es-CO"/>
        </w:rPr>
        <w:t xml:space="preserve"> </w:t>
      </w:r>
      <w:r>
        <w:rPr>
          <w:rFonts w:ascii="Arial" w:hAnsi="Arial" w:cs="Arial"/>
          <w:lang w:val="es-CO"/>
        </w:rPr>
        <w:t>presente</w:t>
      </w:r>
      <w:r>
        <w:rPr>
          <w:rFonts w:ascii="Arial" w:hAnsi="Arial" w:cs="Arial"/>
          <w:spacing w:val="13"/>
          <w:lang w:val="es-CO"/>
        </w:rPr>
        <w:t xml:space="preserve"> </w:t>
      </w:r>
      <w:r>
        <w:rPr>
          <w:rFonts w:ascii="Arial" w:hAnsi="Arial" w:cs="Arial"/>
          <w:lang w:val="es-CO"/>
        </w:rPr>
        <w:t>Decreto,</w:t>
      </w:r>
      <w:r>
        <w:rPr>
          <w:rFonts w:ascii="Arial" w:hAnsi="Arial" w:cs="Arial"/>
          <w:spacing w:val="11"/>
          <w:lang w:val="es-CO"/>
        </w:rPr>
        <w:t xml:space="preserve"> </w:t>
      </w:r>
      <w:r>
        <w:rPr>
          <w:rFonts w:ascii="Arial" w:hAnsi="Arial" w:cs="Arial"/>
          <w:lang w:val="es-CO"/>
        </w:rPr>
        <w:t>atendiendo</w:t>
      </w:r>
      <w:r>
        <w:rPr>
          <w:rFonts w:ascii="Arial" w:hAnsi="Arial" w:cs="Arial"/>
          <w:w w:val="98"/>
          <w:lang w:val="es-CO"/>
        </w:rPr>
        <w:t xml:space="preserve"> </w:t>
      </w:r>
      <w:r>
        <w:rPr>
          <w:rFonts w:ascii="Arial" w:hAnsi="Arial" w:cs="Arial"/>
          <w:lang w:val="es-CO"/>
        </w:rPr>
        <w:t>el</w:t>
      </w:r>
      <w:r>
        <w:rPr>
          <w:rFonts w:ascii="Arial" w:hAnsi="Arial" w:cs="Arial"/>
          <w:spacing w:val="3"/>
          <w:lang w:val="es-CO"/>
        </w:rPr>
        <w:t xml:space="preserve"> </w:t>
      </w:r>
      <w:r>
        <w:rPr>
          <w:rFonts w:ascii="Arial" w:hAnsi="Arial" w:cs="Arial"/>
          <w:lang w:val="es-CO"/>
        </w:rPr>
        <w:t>último</w:t>
      </w:r>
      <w:r>
        <w:rPr>
          <w:rFonts w:ascii="Arial" w:hAnsi="Arial" w:cs="Arial"/>
          <w:spacing w:val="1"/>
          <w:lang w:val="es-CO"/>
        </w:rPr>
        <w:t xml:space="preserve"> </w:t>
      </w:r>
      <w:r>
        <w:rPr>
          <w:rFonts w:ascii="Arial" w:hAnsi="Arial" w:cs="Arial"/>
          <w:lang w:val="es-CO"/>
        </w:rPr>
        <w:t>dígito</w:t>
      </w:r>
      <w:r>
        <w:rPr>
          <w:rFonts w:ascii="Arial" w:hAnsi="Arial" w:cs="Arial"/>
          <w:spacing w:val="6"/>
          <w:lang w:val="es-CO"/>
        </w:rPr>
        <w:t xml:space="preserve"> </w:t>
      </w:r>
      <w:r>
        <w:rPr>
          <w:rFonts w:ascii="Arial" w:hAnsi="Arial" w:cs="Arial"/>
          <w:lang w:val="es-CO"/>
        </w:rPr>
        <w:t>del</w:t>
      </w:r>
      <w:r>
        <w:rPr>
          <w:rFonts w:ascii="Arial" w:hAnsi="Arial" w:cs="Arial"/>
          <w:spacing w:val="13"/>
          <w:lang w:val="es-CO"/>
        </w:rPr>
        <w:t xml:space="preserve"> </w:t>
      </w:r>
      <w:r>
        <w:rPr>
          <w:rFonts w:ascii="Arial" w:hAnsi="Arial" w:cs="Arial"/>
          <w:lang w:val="es-CO"/>
        </w:rPr>
        <w:t>Número</w:t>
      </w:r>
      <w:r>
        <w:rPr>
          <w:rFonts w:ascii="Arial" w:hAnsi="Arial" w:cs="Arial"/>
          <w:spacing w:val="-1"/>
          <w:lang w:val="es-CO"/>
        </w:rPr>
        <w:t xml:space="preserve"> </w:t>
      </w:r>
      <w:r>
        <w:rPr>
          <w:rFonts w:ascii="Arial" w:hAnsi="Arial" w:cs="Arial"/>
          <w:lang w:val="es-CO"/>
        </w:rPr>
        <w:t>de</w:t>
      </w:r>
      <w:r>
        <w:rPr>
          <w:rFonts w:ascii="Arial" w:hAnsi="Arial" w:cs="Arial"/>
          <w:spacing w:val="13"/>
          <w:lang w:val="es-CO"/>
        </w:rPr>
        <w:t xml:space="preserve"> </w:t>
      </w:r>
      <w:r>
        <w:rPr>
          <w:rFonts w:ascii="Arial" w:hAnsi="Arial" w:cs="Arial"/>
          <w:lang w:val="es-CO"/>
        </w:rPr>
        <w:t>Identificación</w:t>
      </w:r>
      <w:r>
        <w:rPr>
          <w:rFonts w:ascii="Arial" w:hAnsi="Arial" w:cs="Arial"/>
          <w:spacing w:val="8"/>
          <w:lang w:val="es-CO"/>
        </w:rPr>
        <w:t xml:space="preserve"> </w:t>
      </w:r>
      <w:r>
        <w:rPr>
          <w:rFonts w:ascii="Arial" w:hAnsi="Arial" w:cs="Arial"/>
          <w:lang w:val="es-CO"/>
        </w:rPr>
        <w:t>Tributaria</w:t>
      </w:r>
      <w:r>
        <w:rPr>
          <w:rFonts w:ascii="Arial" w:hAnsi="Arial" w:cs="Arial"/>
          <w:spacing w:val="26"/>
          <w:lang w:val="es-CO"/>
        </w:rPr>
        <w:t xml:space="preserve"> </w:t>
      </w:r>
      <w:r>
        <w:rPr>
          <w:rFonts w:ascii="Arial" w:hAnsi="Arial" w:cs="Arial"/>
          <w:lang w:val="es-CO"/>
        </w:rPr>
        <w:t>NIT</w:t>
      </w:r>
      <w:r>
        <w:rPr>
          <w:rFonts w:ascii="Arial" w:hAnsi="Arial" w:cs="Arial"/>
          <w:spacing w:val="-8"/>
          <w:lang w:val="es-CO"/>
        </w:rPr>
        <w:t xml:space="preserve"> </w:t>
      </w:r>
      <w:r>
        <w:rPr>
          <w:rFonts w:ascii="Arial" w:hAnsi="Arial" w:cs="Arial"/>
          <w:lang w:val="es-CO"/>
        </w:rPr>
        <w:t>que</w:t>
      </w:r>
      <w:r>
        <w:rPr>
          <w:rFonts w:ascii="Arial" w:hAnsi="Arial" w:cs="Arial"/>
          <w:spacing w:val="1"/>
          <w:lang w:val="es-CO"/>
        </w:rPr>
        <w:t xml:space="preserve"> </w:t>
      </w:r>
      <w:r>
        <w:rPr>
          <w:rFonts w:ascii="Arial" w:hAnsi="Arial" w:cs="Arial"/>
          <w:lang w:val="es-CO"/>
        </w:rPr>
        <w:t>conste</w:t>
      </w:r>
      <w:r>
        <w:rPr>
          <w:rFonts w:ascii="Arial" w:hAnsi="Arial" w:cs="Arial"/>
          <w:spacing w:val="4"/>
          <w:lang w:val="es-CO"/>
        </w:rPr>
        <w:t xml:space="preserve"> </w:t>
      </w:r>
      <w:r>
        <w:rPr>
          <w:rFonts w:ascii="Arial" w:hAnsi="Arial" w:cs="Arial"/>
          <w:lang w:val="es-CO"/>
        </w:rPr>
        <w:t>en</w:t>
      </w:r>
      <w:r>
        <w:rPr>
          <w:rFonts w:ascii="Arial" w:hAnsi="Arial" w:cs="Arial"/>
          <w:spacing w:val="-3"/>
          <w:lang w:val="es-CO"/>
        </w:rPr>
        <w:t xml:space="preserve"> </w:t>
      </w:r>
      <w:r>
        <w:rPr>
          <w:rFonts w:ascii="Arial" w:hAnsi="Arial" w:cs="Arial"/>
          <w:lang w:val="es-CO"/>
        </w:rPr>
        <w:t>el</w:t>
      </w:r>
      <w:r>
        <w:rPr>
          <w:rFonts w:ascii="Arial" w:hAnsi="Arial" w:cs="Arial"/>
          <w:spacing w:val="-7"/>
          <w:lang w:val="es-CO"/>
        </w:rPr>
        <w:t xml:space="preserve"> </w:t>
      </w:r>
      <w:r>
        <w:rPr>
          <w:rFonts w:ascii="Arial" w:hAnsi="Arial" w:cs="Arial"/>
          <w:lang w:val="es-CO"/>
        </w:rPr>
        <w:t>certificado</w:t>
      </w:r>
      <w:r>
        <w:rPr>
          <w:rFonts w:ascii="Arial" w:hAnsi="Arial" w:cs="Arial"/>
          <w:w w:val="99"/>
          <w:lang w:val="es-CO"/>
        </w:rPr>
        <w:t xml:space="preserve"> </w:t>
      </w:r>
      <w:r>
        <w:rPr>
          <w:rFonts w:ascii="Arial" w:hAnsi="Arial" w:cs="Arial"/>
          <w:lang w:val="es-CO"/>
        </w:rPr>
        <w:t>del</w:t>
      </w:r>
      <w:r>
        <w:rPr>
          <w:rFonts w:ascii="Arial" w:hAnsi="Arial" w:cs="Arial"/>
          <w:spacing w:val="1"/>
          <w:lang w:val="es-CO"/>
        </w:rPr>
        <w:t xml:space="preserve"> </w:t>
      </w:r>
      <w:r>
        <w:rPr>
          <w:rFonts w:ascii="Arial" w:hAnsi="Arial" w:cs="Arial"/>
          <w:lang w:val="es-CO"/>
        </w:rPr>
        <w:t>Registro</w:t>
      </w:r>
      <w:r>
        <w:rPr>
          <w:rFonts w:ascii="Arial" w:hAnsi="Arial" w:cs="Arial"/>
          <w:spacing w:val="10"/>
          <w:lang w:val="es-CO"/>
        </w:rPr>
        <w:t xml:space="preserve"> </w:t>
      </w:r>
      <w:r>
        <w:rPr>
          <w:rFonts w:ascii="Arial" w:hAnsi="Arial" w:cs="Arial"/>
          <w:lang w:val="es-CO"/>
        </w:rPr>
        <w:t>Único</w:t>
      </w:r>
      <w:r>
        <w:rPr>
          <w:rFonts w:ascii="Arial" w:hAnsi="Arial" w:cs="Arial"/>
          <w:spacing w:val="-15"/>
          <w:lang w:val="es-CO"/>
        </w:rPr>
        <w:t xml:space="preserve"> </w:t>
      </w:r>
      <w:r>
        <w:rPr>
          <w:rFonts w:ascii="Arial" w:hAnsi="Arial" w:cs="Arial"/>
          <w:lang w:val="es-CO"/>
        </w:rPr>
        <w:t>Tributario</w:t>
      </w:r>
      <w:r>
        <w:rPr>
          <w:rFonts w:ascii="Arial" w:hAnsi="Arial" w:cs="Arial"/>
          <w:spacing w:val="11"/>
          <w:lang w:val="es-CO"/>
        </w:rPr>
        <w:t xml:space="preserve"> </w:t>
      </w:r>
      <w:r>
        <w:rPr>
          <w:rFonts w:ascii="Arial" w:hAnsi="Arial" w:cs="Arial"/>
          <w:lang w:val="es-CO"/>
        </w:rPr>
        <w:t>-</w:t>
      </w:r>
      <w:r>
        <w:rPr>
          <w:rFonts w:ascii="Arial" w:hAnsi="Arial" w:cs="Arial"/>
          <w:spacing w:val="-2"/>
          <w:lang w:val="es-CO"/>
        </w:rPr>
        <w:t xml:space="preserve"> </w:t>
      </w:r>
      <w:r>
        <w:rPr>
          <w:rFonts w:ascii="Arial" w:hAnsi="Arial" w:cs="Arial"/>
          <w:lang w:val="es-CO"/>
        </w:rPr>
        <w:t>RUT,</w:t>
      </w:r>
      <w:r>
        <w:rPr>
          <w:rFonts w:ascii="Arial" w:hAnsi="Arial" w:cs="Arial"/>
          <w:spacing w:val="-9"/>
          <w:lang w:val="es-CO"/>
        </w:rPr>
        <w:t xml:space="preserve"> </w:t>
      </w:r>
      <w:r>
        <w:rPr>
          <w:rFonts w:ascii="Arial" w:hAnsi="Arial" w:cs="Arial"/>
          <w:lang w:val="es-CO"/>
        </w:rPr>
        <w:t>sin</w:t>
      </w:r>
      <w:r>
        <w:rPr>
          <w:rFonts w:ascii="Arial" w:hAnsi="Arial" w:cs="Arial"/>
          <w:spacing w:val="-5"/>
          <w:lang w:val="es-CO"/>
        </w:rPr>
        <w:t xml:space="preserve"> </w:t>
      </w:r>
      <w:r>
        <w:rPr>
          <w:rFonts w:ascii="Arial" w:hAnsi="Arial" w:cs="Arial"/>
          <w:lang w:val="es-CO"/>
        </w:rPr>
        <w:t>tener</w:t>
      </w:r>
      <w:r>
        <w:rPr>
          <w:rFonts w:ascii="Arial" w:hAnsi="Arial" w:cs="Arial"/>
          <w:spacing w:val="13"/>
          <w:lang w:val="es-CO"/>
        </w:rPr>
        <w:t xml:space="preserve"> </w:t>
      </w:r>
      <w:r>
        <w:rPr>
          <w:rFonts w:ascii="Arial" w:hAnsi="Arial" w:cs="Arial"/>
          <w:lang w:val="es-CO"/>
        </w:rPr>
        <w:t>en</w:t>
      </w:r>
      <w:r>
        <w:rPr>
          <w:rFonts w:ascii="Arial" w:hAnsi="Arial" w:cs="Arial"/>
          <w:spacing w:val="-8"/>
          <w:lang w:val="es-CO"/>
        </w:rPr>
        <w:t xml:space="preserve"> </w:t>
      </w:r>
      <w:r>
        <w:rPr>
          <w:rFonts w:ascii="Arial" w:hAnsi="Arial" w:cs="Arial"/>
          <w:lang w:val="es-CO"/>
        </w:rPr>
        <w:t>cuenta</w:t>
      </w:r>
      <w:r>
        <w:rPr>
          <w:rFonts w:ascii="Arial" w:hAnsi="Arial" w:cs="Arial"/>
          <w:spacing w:val="9"/>
          <w:lang w:val="es-CO"/>
        </w:rPr>
        <w:t xml:space="preserve"> </w:t>
      </w:r>
      <w:r>
        <w:rPr>
          <w:rFonts w:ascii="Arial" w:hAnsi="Arial" w:cs="Arial"/>
          <w:lang w:val="es-CO"/>
        </w:rPr>
        <w:t>el</w:t>
      </w:r>
      <w:r>
        <w:rPr>
          <w:rFonts w:ascii="Arial" w:hAnsi="Arial" w:cs="Arial"/>
          <w:spacing w:val="-5"/>
          <w:lang w:val="es-CO"/>
        </w:rPr>
        <w:t xml:space="preserve"> </w:t>
      </w:r>
      <w:r>
        <w:rPr>
          <w:rFonts w:ascii="Arial" w:hAnsi="Arial" w:cs="Arial"/>
          <w:lang w:val="es-CO"/>
        </w:rPr>
        <w:t>dígito</w:t>
      </w:r>
      <w:r>
        <w:rPr>
          <w:rFonts w:ascii="Arial" w:hAnsi="Arial" w:cs="Arial"/>
          <w:spacing w:val="3"/>
          <w:lang w:val="es-CO"/>
        </w:rPr>
        <w:t xml:space="preserve"> </w:t>
      </w:r>
      <w:r>
        <w:rPr>
          <w:rFonts w:ascii="Arial" w:hAnsi="Arial" w:cs="Arial"/>
          <w:lang w:val="es-CO"/>
        </w:rPr>
        <w:t>de</w:t>
      </w:r>
      <w:r>
        <w:rPr>
          <w:rFonts w:ascii="Arial" w:hAnsi="Arial" w:cs="Arial"/>
          <w:spacing w:val="-6"/>
          <w:lang w:val="es-CO"/>
        </w:rPr>
        <w:t xml:space="preserve"> </w:t>
      </w:r>
      <w:r>
        <w:rPr>
          <w:rFonts w:ascii="Arial" w:hAnsi="Arial" w:cs="Arial"/>
          <w:lang w:val="es-CO"/>
        </w:rPr>
        <w:t>verificación.</w:t>
      </w:r>
    </w:p>
    <w:p w14:paraId="03AFF2A1" w14:textId="77777777" w:rsidR="00B2442D" w:rsidRDefault="00B2442D">
      <w:pPr>
        <w:spacing w:line="40" w:lineRule="atLeast"/>
        <w:ind w:right="-30"/>
        <w:jc w:val="both"/>
        <w:rPr>
          <w:rFonts w:ascii="Arial" w:hAnsi="Arial" w:cs="Arial"/>
          <w:lang w:val="es-CO"/>
        </w:rPr>
      </w:pPr>
    </w:p>
    <w:p w14:paraId="0FFBC6E2" w14:textId="77777777" w:rsidR="00B2442D" w:rsidRDefault="008A645F">
      <w:pPr>
        <w:jc w:val="both"/>
        <w:rPr>
          <w:rFonts w:ascii="Arial" w:hAnsi="Arial" w:cs="Arial"/>
          <w:i/>
          <w:lang w:val="es-ES_tradnl"/>
        </w:rPr>
      </w:pPr>
      <w:r>
        <w:rPr>
          <w:rFonts w:ascii="Arial" w:hAnsi="Arial" w:cs="Arial"/>
          <w:i/>
          <w:lang w:val="es-ES_tradnl"/>
        </w:rPr>
        <w:t>(Art. 37, Decreto 2243 de 2015) (Plazos 2015: Decreto 2623 de 2014; plazos 2014: Decreto 2972 de 2013 y Decreto 685 de 2014; plazos 2013: Decreto 2634 de 2012 y Decreto 0187 de 2013; plazos 2012: Decreto 4907 de 2011; plazos 2011: Decreto 48</w:t>
      </w:r>
      <w:r>
        <w:rPr>
          <w:rFonts w:ascii="Arial" w:hAnsi="Arial" w:cs="Arial"/>
          <w:i/>
          <w:lang w:val="es-ES_tradnl"/>
        </w:rPr>
        <w:t>36 de 2010 y Decreto 1358 de 2011)</w:t>
      </w:r>
    </w:p>
    <w:p w14:paraId="49098F03" w14:textId="77777777" w:rsidR="00B2442D" w:rsidRDefault="00B2442D">
      <w:pPr>
        <w:spacing w:line="40" w:lineRule="atLeast"/>
        <w:ind w:right="-30"/>
        <w:jc w:val="both"/>
        <w:rPr>
          <w:rFonts w:ascii="Arial" w:hAnsi="Arial" w:cs="Arial"/>
          <w:lang w:val="es-CO"/>
        </w:rPr>
      </w:pPr>
    </w:p>
    <w:p w14:paraId="0EC047CD"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 Declaración</w:t>
      </w:r>
      <w:r>
        <w:rPr>
          <w:rFonts w:cs="Arial"/>
          <w:b/>
          <w:i/>
          <w:spacing w:val="41"/>
          <w:lang w:val="es-CO"/>
        </w:rPr>
        <w:t xml:space="preserve"> </w:t>
      </w:r>
      <w:r>
        <w:rPr>
          <w:rFonts w:cs="Arial"/>
          <w:b/>
          <w:i/>
          <w:lang w:val="es-CO"/>
        </w:rPr>
        <w:t>y</w:t>
      </w:r>
      <w:r>
        <w:rPr>
          <w:rFonts w:cs="Arial"/>
          <w:b/>
          <w:i/>
          <w:spacing w:val="43"/>
          <w:lang w:val="es-CO"/>
        </w:rPr>
        <w:t xml:space="preserve"> </w:t>
      </w:r>
      <w:r>
        <w:rPr>
          <w:rFonts w:cs="Arial"/>
          <w:b/>
          <w:i/>
          <w:lang w:val="es-CO"/>
        </w:rPr>
        <w:t>pago</w:t>
      </w:r>
      <w:r>
        <w:rPr>
          <w:rFonts w:cs="Arial"/>
          <w:b/>
          <w:i/>
          <w:spacing w:val="23"/>
          <w:lang w:val="es-CO"/>
        </w:rPr>
        <w:t xml:space="preserve"> </w:t>
      </w:r>
      <w:r>
        <w:rPr>
          <w:rFonts w:cs="Arial"/>
          <w:b/>
          <w:i/>
          <w:lang w:val="es-CO"/>
        </w:rPr>
        <w:t>del</w:t>
      </w:r>
      <w:r>
        <w:rPr>
          <w:rFonts w:cs="Arial"/>
          <w:b/>
          <w:i/>
          <w:spacing w:val="22"/>
          <w:lang w:val="es-CO"/>
        </w:rPr>
        <w:t xml:space="preserve"> </w:t>
      </w:r>
      <w:r>
        <w:rPr>
          <w:rFonts w:cs="Arial"/>
          <w:b/>
          <w:i/>
          <w:lang w:val="es-CO"/>
        </w:rPr>
        <w:t>impuesto</w:t>
      </w:r>
      <w:r>
        <w:rPr>
          <w:rFonts w:cs="Arial"/>
          <w:b/>
          <w:i/>
          <w:spacing w:val="37"/>
          <w:lang w:val="es-CO"/>
        </w:rPr>
        <w:t xml:space="preserve"> </w:t>
      </w:r>
      <w:r>
        <w:rPr>
          <w:rFonts w:cs="Arial"/>
          <w:b/>
          <w:i/>
          <w:lang w:val="es-CO"/>
        </w:rPr>
        <w:t>de</w:t>
      </w:r>
      <w:r>
        <w:rPr>
          <w:rFonts w:cs="Arial"/>
          <w:b/>
          <w:i/>
          <w:spacing w:val="12"/>
          <w:lang w:val="es-CO"/>
        </w:rPr>
        <w:t xml:space="preserve"> </w:t>
      </w:r>
      <w:r>
        <w:rPr>
          <w:rFonts w:cs="Arial"/>
          <w:b/>
          <w:i/>
          <w:lang w:val="es-CO"/>
        </w:rPr>
        <w:t>timbre</w:t>
      </w:r>
      <w:r>
        <w:rPr>
          <w:rFonts w:cs="Arial"/>
          <w:b/>
          <w:i/>
          <w:spacing w:val="42"/>
          <w:lang w:val="es-CO"/>
        </w:rPr>
        <w:t xml:space="preserve"> </w:t>
      </w:r>
      <w:r>
        <w:rPr>
          <w:rFonts w:cs="Arial"/>
          <w:b/>
          <w:i/>
          <w:lang w:val="es-CO"/>
        </w:rPr>
        <w:t>nacional recaudado</w:t>
      </w:r>
      <w:r>
        <w:rPr>
          <w:rFonts w:cs="Arial"/>
          <w:b/>
          <w:i/>
          <w:spacing w:val="18"/>
          <w:lang w:val="es-CO"/>
        </w:rPr>
        <w:t xml:space="preserve"> </w:t>
      </w:r>
      <w:r>
        <w:rPr>
          <w:rFonts w:cs="Arial"/>
          <w:b/>
          <w:i/>
          <w:lang w:val="es-CO"/>
        </w:rPr>
        <w:t>en</w:t>
      </w:r>
      <w:r>
        <w:rPr>
          <w:rFonts w:cs="Arial"/>
          <w:b/>
          <w:i/>
          <w:spacing w:val="-4"/>
          <w:lang w:val="es-CO"/>
        </w:rPr>
        <w:t xml:space="preserve"> </w:t>
      </w:r>
      <w:r>
        <w:rPr>
          <w:rFonts w:cs="Arial"/>
          <w:b/>
          <w:i/>
          <w:lang w:val="es-CO"/>
        </w:rPr>
        <w:t>el</w:t>
      </w:r>
      <w:r>
        <w:rPr>
          <w:rFonts w:cs="Arial"/>
          <w:b/>
          <w:i/>
          <w:spacing w:val="-9"/>
          <w:lang w:val="es-CO"/>
        </w:rPr>
        <w:t xml:space="preserve"> </w:t>
      </w:r>
      <w:r>
        <w:rPr>
          <w:rFonts w:cs="Arial"/>
          <w:b/>
          <w:i/>
          <w:lang w:val="es-CO"/>
        </w:rPr>
        <w:t>exterior.</w:t>
      </w:r>
      <w:r>
        <w:rPr>
          <w:rFonts w:cs="Arial"/>
          <w:spacing w:val="14"/>
          <w:lang w:val="es-CO"/>
        </w:rPr>
        <w:t xml:space="preserve"> </w:t>
      </w:r>
      <w:r>
        <w:rPr>
          <w:rFonts w:cs="Arial"/>
          <w:lang w:val="es-CO"/>
        </w:rPr>
        <w:t>Los</w:t>
      </w:r>
      <w:r>
        <w:rPr>
          <w:rFonts w:cs="Arial"/>
          <w:spacing w:val="-4"/>
          <w:lang w:val="es-CO"/>
        </w:rPr>
        <w:t xml:space="preserve"> </w:t>
      </w:r>
      <w:r>
        <w:rPr>
          <w:rFonts w:cs="Arial"/>
          <w:lang w:val="es-CO"/>
        </w:rPr>
        <w:t>agentes</w:t>
      </w:r>
      <w:r>
        <w:rPr>
          <w:rFonts w:cs="Arial"/>
          <w:spacing w:val="18"/>
          <w:lang w:val="es-CO"/>
        </w:rPr>
        <w:t xml:space="preserve"> </w:t>
      </w:r>
      <w:r>
        <w:rPr>
          <w:rFonts w:cs="Arial"/>
          <w:lang w:val="es-CO"/>
        </w:rPr>
        <w:t>consulares</w:t>
      </w:r>
      <w:r>
        <w:rPr>
          <w:rFonts w:cs="Arial"/>
          <w:spacing w:val="20"/>
          <w:lang w:val="es-CO"/>
        </w:rPr>
        <w:t xml:space="preserve"> </w:t>
      </w:r>
      <w:r>
        <w:rPr>
          <w:rFonts w:cs="Arial"/>
          <w:lang w:val="es-CO"/>
        </w:rPr>
        <w:t>y</w:t>
      </w:r>
      <w:r>
        <w:rPr>
          <w:rFonts w:cs="Arial"/>
          <w:spacing w:val="13"/>
          <w:lang w:val="es-CO"/>
        </w:rPr>
        <w:t xml:space="preserve"> </w:t>
      </w:r>
      <w:r>
        <w:rPr>
          <w:rFonts w:cs="Arial"/>
          <w:lang w:val="es-CO"/>
        </w:rPr>
        <w:t>los</w:t>
      </w:r>
      <w:r>
        <w:rPr>
          <w:rFonts w:cs="Arial"/>
          <w:spacing w:val="-3"/>
          <w:lang w:val="es-CO"/>
        </w:rPr>
        <w:t xml:space="preserve"> </w:t>
      </w:r>
      <w:r>
        <w:rPr>
          <w:rFonts w:cs="Arial"/>
          <w:lang w:val="es-CO"/>
        </w:rPr>
        <w:t>agentes</w:t>
      </w:r>
      <w:r>
        <w:rPr>
          <w:rFonts w:cs="Arial"/>
          <w:spacing w:val="11"/>
          <w:lang w:val="es-CO"/>
        </w:rPr>
        <w:t xml:space="preserve"> </w:t>
      </w:r>
      <w:r>
        <w:rPr>
          <w:rFonts w:cs="Arial"/>
          <w:lang w:val="es-CO"/>
        </w:rPr>
        <w:t>diplomáticos</w:t>
      </w:r>
      <w:r>
        <w:rPr>
          <w:rFonts w:cs="Arial"/>
          <w:w w:val="98"/>
          <w:lang w:val="es-CO"/>
        </w:rPr>
        <w:t xml:space="preserve"> </w:t>
      </w:r>
      <w:r>
        <w:rPr>
          <w:rFonts w:cs="Arial"/>
          <w:lang w:val="es-CO"/>
        </w:rPr>
        <w:t>del</w:t>
      </w:r>
      <w:r>
        <w:rPr>
          <w:rFonts w:cs="Arial"/>
          <w:spacing w:val="4"/>
          <w:lang w:val="es-CO"/>
        </w:rPr>
        <w:t xml:space="preserve"> </w:t>
      </w:r>
      <w:r>
        <w:rPr>
          <w:rFonts w:cs="Arial"/>
          <w:lang w:val="es-CO"/>
        </w:rPr>
        <w:t>go</w:t>
      </w:r>
      <w:r>
        <w:rPr>
          <w:rFonts w:cs="Arial"/>
          <w:spacing w:val="7"/>
          <w:lang w:val="es-CO"/>
        </w:rPr>
        <w:t>b</w:t>
      </w:r>
      <w:r>
        <w:rPr>
          <w:rFonts w:cs="Arial"/>
          <w:spacing w:val="-23"/>
          <w:lang w:val="es-CO"/>
        </w:rPr>
        <w:t>i</w:t>
      </w:r>
      <w:r>
        <w:rPr>
          <w:rFonts w:cs="Arial"/>
          <w:lang w:val="es-CO"/>
        </w:rPr>
        <w:t>erno</w:t>
      </w:r>
      <w:r>
        <w:rPr>
          <w:rFonts w:cs="Arial"/>
          <w:spacing w:val="5"/>
          <w:lang w:val="es-CO"/>
        </w:rPr>
        <w:t xml:space="preserve"> </w:t>
      </w:r>
      <w:r>
        <w:rPr>
          <w:rFonts w:cs="Arial"/>
          <w:lang w:val="es-CO"/>
        </w:rPr>
        <w:t>colombiano</w:t>
      </w:r>
      <w:r>
        <w:rPr>
          <w:rFonts w:cs="Arial"/>
          <w:spacing w:val="26"/>
          <w:lang w:val="es-CO"/>
        </w:rPr>
        <w:t xml:space="preserve"> </w:t>
      </w:r>
      <w:r>
        <w:rPr>
          <w:rFonts w:cs="Arial"/>
          <w:lang w:val="es-CO"/>
        </w:rPr>
        <w:t>cuando</w:t>
      </w:r>
      <w:r>
        <w:rPr>
          <w:rFonts w:cs="Arial"/>
          <w:spacing w:val="17"/>
          <w:lang w:val="es-CO"/>
        </w:rPr>
        <w:t xml:space="preserve"> </w:t>
      </w:r>
      <w:r>
        <w:rPr>
          <w:rFonts w:cs="Arial"/>
          <w:lang w:val="es-CO"/>
        </w:rPr>
        <w:t>cumplan</w:t>
      </w:r>
      <w:r>
        <w:rPr>
          <w:rFonts w:cs="Arial"/>
          <w:spacing w:val="15"/>
          <w:lang w:val="es-CO"/>
        </w:rPr>
        <w:t xml:space="preserve"> </w:t>
      </w:r>
      <w:r>
        <w:rPr>
          <w:rFonts w:cs="Arial"/>
          <w:lang w:val="es-CO"/>
        </w:rPr>
        <w:t>funciones</w:t>
      </w:r>
      <w:r>
        <w:rPr>
          <w:rFonts w:cs="Arial"/>
          <w:spacing w:val="39"/>
          <w:lang w:val="es-CO"/>
        </w:rPr>
        <w:t xml:space="preserve"> </w:t>
      </w:r>
      <w:r>
        <w:rPr>
          <w:rFonts w:cs="Arial"/>
          <w:lang w:val="es-CO"/>
        </w:rPr>
        <w:t>consulares,</w:t>
      </w:r>
      <w:r>
        <w:rPr>
          <w:rFonts w:cs="Arial"/>
          <w:spacing w:val="32"/>
          <w:lang w:val="es-CO"/>
        </w:rPr>
        <w:t xml:space="preserve"> </w:t>
      </w:r>
      <w:r>
        <w:rPr>
          <w:rFonts w:cs="Arial"/>
          <w:lang w:val="es-CO"/>
        </w:rPr>
        <w:t>son</w:t>
      </w:r>
      <w:r>
        <w:rPr>
          <w:rFonts w:cs="Arial"/>
          <w:spacing w:val="17"/>
          <w:lang w:val="es-CO"/>
        </w:rPr>
        <w:t xml:space="preserve"> </w:t>
      </w:r>
      <w:r>
        <w:rPr>
          <w:rFonts w:cs="Arial"/>
          <w:lang w:val="es-CO"/>
        </w:rPr>
        <w:t>responsables</w:t>
      </w:r>
      <w:r>
        <w:rPr>
          <w:rFonts w:cs="Arial"/>
          <w:spacing w:val="27"/>
          <w:lang w:val="es-CO"/>
        </w:rPr>
        <w:t xml:space="preserve"> </w:t>
      </w:r>
      <w:r>
        <w:rPr>
          <w:rFonts w:cs="Arial"/>
          <w:lang w:val="es-CO"/>
        </w:rPr>
        <w:t xml:space="preserve">de </w:t>
      </w:r>
      <w:r>
        <w:rPr>
          <w:rFonts w:cs="Arial"/>
          <w:lang w:val="es-CO"/>
        </w:rPr>
        <w:t>efectuar</w:t>
      </w:r>
      <w:r>
        <w:rPr>
          <w:rFonts w:cs="Arial"/>
          <w:spacing w:val="9"/>
          <w:lang w:val="es-CO"/>
        </w:rPr>
        <w:t xml:space="preserve"> </w:t>
      </w:r>
      <w:r>
        <w:rPr>
          <w:rFonts w:cs="Arial"/>
          <w:lang w:val="es-CO"/>
        </w:rPr>
        <w:t>la</w:t>
      </w:r>
      <w:r>
        <w:rPr>
          <w:rFonts w:cs="Arial"/>
          <w:spacing w:val="50"/>
          <w:lang w:val="es-CO"/>
        </w:rPr>
        <w:t xml:space="preserve"> </w:t>
      </w:r>
      <w:r>
        <w:rPr>
          <w:rFonts w:cs="Arial"/>
          <w:lang w:val="es-CO"/>
        </w:rPr>
        <w:t>retención</w:t>
      </w:r>
      <w:r>
        <w:rPr>
          <w:rFonts w:cs="Arial"/>
          <w:spacing w:val="50"/>
          <w:lang w:val="es-CO"/>
        </w:rPr>
        <w:t xml:space="preserve"> </w:t>
      </w:r>
      <w:r>
        <w:rPr>
          <w:rFonts w:cs="Arial"/>
          <w:lang w:val="es-CO"/>
        </w:rPr>
        <w:t>del</w:t>
      </w:r>
      <w:r>
        <w:rPr>
          <w:rFonts w:cs="Arial"/>
          <w:spacing w:val="47"/>
          <w:lang w:val="es-CO"/>
        </w:rPr>
        <w:t xml:space="preserve"> </w:t>
      </w:r>
      <w:r>
        <w:rPr>
          <w:rFonts w:cs="Arial"/>
          <w:lang w:val="es-CO"/>
        </w:rPr>
        <w:t>impuesto</w:t>
      </w:r>
      <w:r>
        <w:rPr>
          <w:rFonts w:cs="Arial"/>
          <w:spacing w:val="54"/>
          <w:lang w:val="es-CO"/>
        </w:rPr>
        <w:t xml:space="preserve"> </w:t>
      </w:r>
      <w:r>
        <w:rPr>
          <w:rFonts w:cs="Arial"/>
          <w:lang w:val="es-CO"/>
        </w:rPr>
        <w:t>de</w:t>
      </w:r>
      <w:r>
        <w:rPr>
          <w:rFonts w:cs="Arial"/>
          <w:spacing w:val="40"/>
          <w:lang w:val="es-CO"/>
        </w:rPr>
        <w:t xml:space="preserve"> </w:t>
      </w:r>
      <w:r>
        <w:rPr>
          <w:rFonts w:cs="Arial"/>
          <w:lang w:val="es-CO"/>
        </w:rPr>
        <w:t>timbre</w:t>
      </w:r>
      <w:r>
        <w:rPr>
          <w:rFonts w:cs="Arial"/>
          <w:spacing w:val="61"/>
          <w:lang w:val="es-CO"/>
        </w:rPr>
        <w:t xml:space="preserve"> </w:t>
      </w:r>
      <w:r>
        <w:rPr>
          <w:rFonts w:cs="Arial"/>
          <w:lang w:val="es-CO"/>
        </w:rPr>
        <w:t>nacional</w:t>
      </w:r>
      <w:r>
        <w:rPr>
          <w:rFonts w:cs="Arial"/>
          <w:spacing w:val="52"/>
          <w:lang w:val="es-CO"/>
        </w:rPr>
        <w:t xml:space="preserve"> </w:t>
      </w:r>
      <w:r>
        <w:rPr>
          <w:rFonts w:cs="Arial"/>
          <w:lang w:val="es-CO"/>
        </w:rPr>
        <w:t>causado</w:t>
      </w:r>
      <w:r>
        <w:rPr>
          <w:rFonts w:cs="Arial"/>
          <w:spacing w:val="52"/>
          <w:lang w:val="es-CO"/>
        </w:rPr>
        <w:t xml:space="preserve"> </w:t>
      </w:r>
      <w:r>
        <w:rPr>
          <w:rFonts w:cs="Arial"/>
          <w:lang w:val="es-CO"/>
        </w:rPr>
        <w:t>en</w:t>
      </w:r>
      <w:r>
        <w:rPr>
          <w:rFonts w:cs="Arial"/>
          <w:spacing w:val="47"/>
          <w:lang w:val="es-CO"/>
        </w:rPr>
        <w:t xml:space="preserve"> </w:t>
      </w:r>
      <w:r>
        <w:rPr>
          <w:rFonts w:cs="Arial"/>
          <w:lang w:val="es-CO"/>
        </w:rPr>
        <w:t>el</w:t>
      </w:r>
      <w:r>
        <w:rPr>
          <w:rFonts w:cs="Arial"/>
          <w:spacing w:val="40"/>
          <w:lang w:val="es-CO"/>
        </w:rPr>
        <w:t xml:space="preserve"> </w:t>
      </w:r>
      <w:r>
        <w:rPr>
          <w:rFonts w:cs="Arial"/>
          <w:lang w:val="es-CO"/>
        </w:rPr>
        <w:t>exterior</w:t>
      </w:r>
      <w:r>
        <w:rPr>
          <w:rFonts w:cs="Arial"/>
          <w:spacing w:val="64"/>
          <w:lang w:val="es-CO"/>
        </w:rPr>
        <w:t xml:space="preserve"> </w:t>
      </w:r>
      <w:r>
        <w:rPr>
          <w:rFonts w:cs="Arial"/>
          <w:lang w:val="es-CO"/>
        </w:rPr>
        <w:t>y</w:t>
      </w:r>
      <w:r>
        <w:rPr>
          <w:rFonts w:cs="Arial"/>
          <w:spacing w:val="49"/>
          <w:lang w:val="es-CO"/>
        </w:rPr>
        <w:t xml:space="preserve"> </w:t>
      </w:r>
      <w:r>
        <w:rPr>
          <w:rFonts w:cs="Arial"/>
          <w:lang w:val="es-CO"/>
        </w:rPr>
        <w:t>de expedir</w:t>
      </w:r>
      <w:r>
        <w:rPr>
          <w:rFonts w:cs="Arial"/>
          <w:spacing w:val="19"/>
          <w:lang w:val="es-CO"/>
        </w:rPr>
        <w:t xml:space="preserve"> </w:t>
      </w:r>
      <w:r>
        <w:rPr>
          <w:rFonts w:cs="Arial"/>
          <w:lang w:val="es-CO"/>
        </w:rPr>
        <w:t>los</w:t>
      </w:r>
      <w:r>
        <w:rPr>
          <w:rFonts w:cs="Arial"/>
          <w:spacing w:val="-4"/>
          <w:lang w:val="es-CO"/>
        </w:rPr>
        <w:t xml:space="preserve"> </w:t>
      </w:r>
      <w:r>
        <w:rPr>
          <w:rFonts w:cs="Arial"/>
          <w:lang w:val="es-CO"/>
        </w:rPr>
        <w:t>certificados</w:t>
      </w:r>
      <w:r>
        <w:rPr>
          <w:rFonts w:cs="Arial"/>
          <w:spacing w:val="5"/>
          <w:lang w:val="es-CO"/>
        </w:rPr>
        <w:t xml:space="preserve"> </w:t>
      </w:r>
      <w:r>
        <w:rPr>
          <w:rFonts w:cs="Arial"/>
          <w:lang w:val="es-CO"/>
        </w:rPr>
        <w:t>en</w:t>
      </w:r>
      <w:r>
        <w:rPr>
          <w:rFonts w:cs="Arial"/>
          <w:spacing w:val="2"/>
          <w:lang w:val="es-CO"/>
        </w:rPr>
        <w:t xml:space="preserve"> </w:t>
      </w:r>
      <w:r>
        <w:rPr>
          <w:rFonts w:cs="Arial"/>
          <w:lang w:val="es-CO"/>
        </w:rPr>
        <w:t>los</w:t>
      </w:r>
      <w:r>
        <w:rPr>
          <w:rFonts w:cs="Arial"/>
          <w:spacing w:val="-8"/>
          <w:lang w:val="es-CO"/>
        </w:rPr>
        <w:t xml:space="preserve"> </w:t>
      </w:r>
      <w:r>
        <w:rPr>
          <w:rFonts w:cs="Arial"/>
          <w:lang w:val="es-CO"/>
        </w:rPr>
        <w:t>términos</w:t>
      </w:r>
      <w:r>
        <w:rPr>
          <w:rFonts w:cs="Arial"/>
          <w:spacing w:val="13"/>
          <w:lang w:val="es-CO"/>
        </w:rPr>
        <w:t xml:space="preserve"> </w:t>
      </w:r>
      <w:r>
        <w:rPr>
          <w:rFonts w:cs="Arial"/>
          <w:lang w:val="es-CO"/>
        </w:rPr>
        <w:t>señalados</w:t>
      </w:r>
      <w:r>
        <w:rPr>
          <w:rFonts w:cs="Arial"/>
          <w:spacing w:val="14"/>
          <w:lang w:val="es-CO"/>
        </w:rPr>
        <w:t xml:space="preserve"> </w:t>
      </w:r>
      <w:r>
        <w:rPr>
          <w:rFonts w:cs="Arial"/>
          <w:lang w:val="es-CO"/>
        </w:rPr>
        <w:t>en</w:t>
      </w:r>
      <w:r>
        <w:rPr>
          <w:rFonts w:cs="Arial"/>
          <w:spacing w:val="-6"/>
          <w:lang w:val="es-CO"/>
        </w:rPr>
        <w:t xml:space="preserve"> </w:t>
      </w:r>
      <w:r>
        <w:rPr>
          <w:rFonts w:cs="Arial"/>
          <w:lang w:val="es-CO"/>
        </w:rPr>
        <w:t>el</w:t>
      </w:r>
      <w:r>
        <w:rPr>
          <w:rFonts w:cs="Arial"/>
          <w:spacing w:val="4"/>
          <w:lang w:val="es-CO"/>
        </w:rPr>
        <w:t xml:space="preserve"> </w:t>
      </w:r>
      <w:r>
        <w:rPr>
          <w:rFonts w:cs="Arial"/>
          <w:lang w:val="es-CO"/>
        </w:rPr>
        <w:t>Estatuto</w:t>
      </w:r>
      <w:r>
        <w:rPr>
          <w:rFonts w:cs="Arial"/>
          <w:spacing w:val="-7"/>
          <w:lang w:val="es-CO"/>
        </w:rPr>
        <w:t xml:space="preserve"> </w:t>
      </w:r>
      <w:r>
        <w:rPr>
          <w:rFonts w:cs="Arial"/>
          <w:lang w:val="es-CO"/>
        </w:rPr>
        <w:t>Tributario.</w:t>
      </w:r>
    </w:p>
    <w:p w14:paraId="018F318F" w14:textId="77777777" w:rsidR="00B2442D" w:rsidRDefault="00B2442D">
      <w:pPr>
        <w:spacing w:line="40" w:lineRule="atLeast"/>
        <w:ind w:right="-30"/>
        <w:jc w:val="both"/>
        <w:rPr>
          <w:rFonts w:ascii="Arial" w:hAnsi="Arial" w:cs="Arial"/>
          <w:lang w:val="es-CO"/>
        </w:rPr>
      </w:pPr>
    </w:p>
    <w:p w14:paraId="6D6CE342" w14:textId="77777777" w:rsidR="00B2442D" w:rsidRDefault="008A645F">
      <w:pPr>
        <w:pStyle w:val="Textoindependiente"/>
        <w:spacing w:line="40" w:lineRule="atLeast"/>
        <w:ind w:right="-30"/>
        <w:jc w:val="both"/>
        <w:rPr>
          <w:rFonts w:cs="Arial"/>
          <w:lang w:val="es-CO"/>
        </w:rPr>
      </w:pPr>
      <w:r>
        <w:rPr>
          <w:rFonts w:cs="Arial"/>
          <w:lang w:val="es-CO"/>
        </w:rPr>
        <w:t>El</w:t>
      </w:r>
      <w:r>
        <w:rPr>
          <w:rFonts w:cs="Arial"/>
          <w:spacing w:val="16"/>
          <w:lang w:val="es-CO"/>
        </w:rPr>
        <w:t xml:space="preserve"> </w:t>
      </w:r>
      <w:r>
        <w:rPr>
          <w:rFonts w:cs="Arial"/>
          <w:lang w:val="es-CO"/>
        </w:rPr>
        <w:t>Ministerio</w:t>
      </w:r>
      <w:r>
        <w:rPr>
          <w:rFonts w:cs="Arial"/>
          <w:spacing w:val="21"/>
          <w:lang w:val="es-CO"/>
        </w:rPr>
        <w:t xml:space="preserve"> </w:t>
      </w:r>
      <w:r>
        <w:rPr>
          <w:rFonts w:cs="Arial"/>
          <w:lang w:val="es-CO"/>
        </w:rPr>
        <w:t>de</w:t>
      </w:r>
      <w:r>
        <w:rPr>
          <w:rFonts w:cs="Arial"/>
          <w:spacing w:val="31"/>
          <w:lang w:val="es-CO"/>
        </w:rPr>
        <w:t xml:space="preserve"> </w:t>
      </w:r>
      <w:r>
        <w:rPr>
          <w:rFonts w:cs="Arial"/>
          <w:lang w:val="es-CO"/>
        </w:rPr>
        <w:t>Relaciones</w:t>
      </w:r>
      <w:r>
        <w:rPr>
          <w:rFonts w:cs="Arial"/>
          <w:spacing w:val="33"/>
          <w:lang w:val="es-CO"/>
        </w:rPr>
        <w:t xml:space="preserve"> </w:t>
      </w:r>
      <w:r>
        <w:rPr>
          <w:rFonts w:cs="Arial"/>
          <w:lang w:val="es-CO"/>
        </w:rPr>
        <w:t>Exteriores,</w:t>
      </w:r>
      <w:r>
        <w:rPr>
          <w:rFonts w:cs="Arial"/>
          <w:spacing w:val="23"/>
          <w:lang w:val="es-CO"/>
        </w:rPr>
        <w:t xml:space="preserve"> </w:t>
      </w:r>
      <w:r>
        <w:rPr>
          <w:rFonts w:cs="Arial"/>
          <w:lang w:val="es-CO"/>
        </w:rPr>
        <w:t>a</w:t>
      </w:r>
      <w:r>
        <w:rPr>
          <w:rFonts w:cs="Arial"/>
          <w:spacing w:val="10"/>
          <w:lang w:val="es-CO"/>
        </w:rPr>
        <w:t xml:space="preserve"> </w:t>
      </w:r>
      <w:r>
        <w:rPr>
          <w:rFonts w:cs="Arial"/>
          <w:lang w:val="es-CO"/>
        </w:rPr>
        <w:t>través</w:t>
      </w:r>
      <w:r>
        <w:rPr>
          <w:rFonts w:cs="Arial"/>
          <w:spacing w:val="35"/>
          <w:lang w:val="es-CO"/>
        </w:rPr>
        <w:t xml:space="preserve"> </w:t>
      </w:r>
      <w:r>
        <w:rPr>
          <w:rFonts w:cs="Arial"/>
          <w:lang w:val="es-CO"/>
        </w:rPr>
        <w:t>del</w:t>
      </w:r>
      <w:r>
        <w:rPr>
          <w:rFonts w:cs="Arial"/>
          <w:spacing w:val="25"/>
          <w:lang w:val="es-CO"/>
        </w:rPr>
        <w:t xml:space="preserve"> </w:t>
      </w:r>
      <w:r>
        <w:rPr>
          <w:rFonts w:cs="Arial"/>
          <w:lang w:val="es-CO"/>
        </w:rPr>
        <w:t>Fondo</w:t>
      </w:r>
      <w:r>
        <w:rPr>
          <w:rFonts w:cs="Arial"/>
          <w:spacing w:val="25"/>
          <w:lang w:val="es-CO"/>
        </w:rPr>
        <w:t xml:space="preserve"> </w:t>
      </w:r>
      <w:r>
        <w:rPr>
          <w:rFonts w:cs="Arial"/>
          <w:lang w:val="es-CO"/>
        </w:rPr>
        <w:t>Rotatorio,</w:t>
      </w:r>
      <w:r>
        <w:rPr>
          <w:rFonts w:cs="Arial"/>
          <w:spacing w:val="18"/>
          <w:lang w:val="es-CO"/>
        </w:rPr>
        <w:t xml:space="preserve"> </w:t>
      </w:r>
      <w:r>
        <w:rPr>
          <w:rFonts w:cs="Arial"/>
          <w:lang w:val="es-CO"/>
        </w:rPr>
        <w:t>es</w:t>
      </w:r>
      <w:r>
        <w:rPr>
          <w:rFonts w:cs="Arial"/>
          <w:spacing w:val="25"/>
          <w:lang w:val="es-CO"/>
        </w:rPr>
        <w:t xml:space="preserve"> </w:t>
      </w:r>
      <w:r>
        <w:rPr>
          <w:rFonts w:cs="Arial"/>
          <w:lang w:val="es-CO"/>
        </w:rPr>
        <w:t>responsable</w:t>
      </w:r>
      <w:r>
        <w:rPr>
          <w:rFonts w:cs="Arial"/>
          <w:w w:val="99"/>
          <w:lang w:val="es-CO"/>
        </w:rPr>
        <w:t xml:space="preserve"> </w:t>
      </w:r>
      <w:r>
        <w:rPr>
          <w:rFonts w:cs="Arial"/>
          <w:lang w:val="es-CO"/>
        </w:rPr>
        <w:t>de</w:t>
      </w:r>
      <w:r>
        <w:rPr>
          <w:rFonts w:cs="Arial"/>
          <w:spacing w:val="1"/>
          <w:lang w:val="es-CO"/>
        </w:rPr>
        <w:t xml:space="preserve"> </w:t>
      </w:r>
      <w:r>
        <w:rPr>
          <w:rFonts w:cs="Arial"/>
          <w:lang w:val="es-CO"/>
        </w:rPr>
        <w:t>presentar</w:t>
      </w:r>
      <w:r>
        <w:rPr>
          <w:rFonts w:cs="Arial"/>
          <w:spacing w:val="18"/>
          <w:lang w:val="es-CO"/>
        </w:rPr>
        <w:t xml:space="preserve"> </w:t>
      </w:r>
      <w:r>
        <w:rPr>
          <w:rFonts w:cs="Arial"/>
          <w:lang w:val="es-CO"/>
        </w:rPr>
        <w:t>la</w:t>
      </w:r>
      <w:r>
        <w:rPr>
          <w:rFonts w:cs="Arial"/>
          <w:spacing w:val="-6"/>
          <w:lang w:val="es-CO"/>
        </w:rPr>
        <w:t xml:space="preserve"> </w:t>
      </w:r>
      <w:r>
        <w:rPr>
          <w:rFonts w:cs="Arial"/>
          <w:lang w:val="es-CO"/>
        </w:rPr>
        <w:t>declaración</w:t>
      </w:r>
      <w:r>
        <w:rPr>
          <w:rFonts w:cs="Arial"/>
          <w:spacing w:val="14"/>
          <w:lang w:val="es-CO"/>
        </w:rPr>
        <w:t xml:space="preserve"> </w:t>
      </w:r>
      <w:r>
        <w:rPr>
          <w:rFonts w:cs="Arial"/>
          <w:lang w:val="es-CO"/>
        </w:rPr>
        <w:t>y</w:t>
      </w:r>
      <w:r>
        <w:rPr>
          <w:rFonts w:cs="Arial"/>
          <w:spacing w:val="11"/>
          <w:lang w:val="es-CO"/>
        </w:rPr>
        <w:t xml:space="preserve"> </w:t>
      </w:r>
      <w:r>
        <w:rPr>
          <w:rFonts w:cs="Arial"/>
          <w:lang w:val="es-CO"/>
        </w:rPr>
        <w:t>pagar</w:t>
      </w:r>
      <w:r>
        <w:rPr>
          <w:rFonts w:cs="Arial"/>
          <w:spacing w:val="-7"/>
          <w:lang w:val="es-CO"/>
        </w:rPr>
        <w:t xml:space="preserve"> </w:t>
      </w:r>
      <w:r>
        <w:rPr>
          <w:rFonts w:cs="Arial"/>
          <w:lang w:val="es-CO"/>
        </w:rPr>
        <w:t>el</w:t>
      </w:r>
      <w:r>
        <w:rPr>
          <w:rFonts w:cs="Arial"/>
          <w:spacing w:val="-9"/>
          <w:lang w:val="es-CO"/>
        </w:rPr>
        <w:t xml:space="preserve"> </w:t>
      </w:r>
      <w:r>
        <w:rPr>
          <w:rFonts w:cs="Arial"/>
          <w:lang w:val="es-CO"/>
        </w:rPr>
        <w:t>impuesto</w:t>
      </w:r>
      <w:r>
        <w:rPr>
          <w:rFonts w:cs="Arial"/>
          <w:spacing w:val="1"/>
          <w:lang w:val="es-CO"/>
        </w:rPr>
        <w:t xml:space="preserve"> </w:t>
      </w:r>
      <w:r>
        <w:rPr>
          <w:rFonts w:cs="Arial"/>
          <w:lang w:val="es-CO"/>
        </w:rPr>
        <w:t>de</w:t>
      </w:r>
      <w:r>
        <w:rPr>
          <w:rFonts w:cs="Arial"/>
          <w:spacing w:val="-7"/>
          <w:lang w:val="es-CO"/>
        </w:rPr>
        <w:t xml:space="preserve"> </w:t>
      </w:r>
      <w:r>
        <w:rPr>
          <w:rFonts w:cs="Arial"/>
          <w:lang w:val="es-CO"/>
        </w:rPr>
        <w:t>timbre</w:t>
      </w:r>
      <w:r>
        <w:rPr>
          <w:rFonts w:cs="Arial"/>
          <w:spacing w:val="15"/>
          <w:lang w:val="es-CO"/>
        </w:rPr>
        <w:t xml:space="preserve"> </w:t>
      </w:r>
      <w:r>
        <w:rPr>
          <w:rFonts w:cs="Arial"/>
          <w:lang w:val="es-CO"/>
        </w:rPr>
        <w:t>nacional.</w:t>
      </w:r>
    </w:p>
    <w:p w14:paraId="0557508B" w14:textId="77777777" w:rsidR="00B2442D" w:rsidRDefault="00B2442D">
      <w:pPr>
        <w:spacing w:line="40" w:lineRule="atLeast"/>
        <w:ind w:right="-30"/>
        <w:jc w:val="both"/>
        <w:rPr>
          <w:rFonts w:ascii="Arial" w:hAnsi="Arial" w:cs="Arial"/>
          <w:lang w:val="es-CO"/>
        </w:rPr>
      </w:pPr>
    </w:p>
    <w:p w14:paraId="01B9A35D" w14:textId="77777777" w:rsidR="00B2442D" w:rsidRDefault="008A645F">
      <w:pPr>
        <w:pStyle w:val="Textoindependiente"/>
        <w:spacing w:line="40" w:lineRule="atLeast"/>
        <w:ind w:right="-30"/>
        <w:jc w:val="both"/>
        <w:rPr>
          <w:rFonts w:cs="Arial"/>
          <w:lang w:val="es-CO"/>
        </w:rPr>
      </w:pPr>
      <w:r>
        <w:rPr>
          <w:rFonts w:cs="Arial"/>
          <w:lang w:val="es-CO"/>
        </w:rPr>
        <w:t>La</w:t>
      </w:r>
      <w:r>
        <w:rPr>
          <w:rFonts w:cs="Arial"/>
          <w:spacing w:val="52"/>
          <w:lang w:val="es-CO"/>
        </w:rPr>
        <w:t xml:space="preserve"> </w:t>
      </w:r>
      <w:r>
        <w:rPr>
          <w:rFonts w:cs="Arial"/>
          <w:lang w:val="es-CO"/>
        </w:rPr>
        <w:t>declaración</w:t>
      </w:r>
      <w:r>
        <w:rPr>
          <w:rFonts w:cs="Arial"/>
          <w:spacing w:val="15"/>
          <w:lang w:val="es-CO"/>
        </w:rPr>
        <w:t xml:space="preserve"> </w:t>
      </w:r>
      <w:r>
        <w:rPr>
          <w:rFonts w:cs="Arial"/>
          <w:lang w:val="es-CO"/>
        </w:rPr>
        <w:t>y</w:t>
      </w:r>
      <w:r>
        <w:rPr>
          <w:rFonts w:cs="Arial"/>
          <w:spacing w:val="8"/>
          <w:lang w:val="es-CO"/>
        </w:rPr>
        <w:t xml:space="preserve"> </w:t>
      </w:r>
      <w:r>
        <w:rPr>
          <w:rFonts w:cs="Arial"/>
          <w:lang w:val="es-CO"/>
        </w:rPr>
        <w:t>pago</w:t>
      </w:r>
      <w:r>
        <w:rPr>
          <w:rFonts w:cs="Arial"/>
          <w:spacing w:val="59"/>
          <w:lang w:val="es-CO"/>
        </w:rPr>
        <w:t xml:space="preserve"> </w:t>
      </w:r>
      <w:r>
        <w:rPr>
          <w:rFonts w:cs="Arial"/>
          <w:lang w:val="es-CO"/>
        </w:rPr>
        <w:t>del</w:t>
      </w:r>
      <w:r>
        <w:rPr>
          <w:rFonts w:cs="Arial"/>
          <w:spacing w:val="4"/>
          <w:lang w:val="es-CO"/>
        </w:rPr>
        <w:t xml:space="preserve"> </w:t>
      </w:r>
      <w:r>
        <w:rPr>
          <w:rFonts w:cs="Arial"/>
          <w:lang w:val="es-CO"/>
        </w:rPr>
        <w:t>impuesto</w:t>
      </w:r>
      <w:r>
        <w:rPr>
          <w:rFonts w:cs="Arial"/>
          <w:spacing w:val="66"/>
          <w:lang w:val="es-CO"/>
        </w:rPr>
        <w:t xml:space="preserve"> </w:t>
      </w:r>
      <w:r>
        <w:rPr>
          <w:rFonts w:cs="Arial"/>
          <w:lang w:val="es-CO"/>
        </w:rPr>
        <w:t>de</w:t>
      </w:r>
      <w:r>
        <w:rPr>
          <w:rFonts w:cs="Arial"/>
          <w:spacing w:val="51"/>
          <w:lang w:val="es-CO"/>
        </w:rPr>
        <w:t xml:space="preserve"> </w:t>
      </w:r>
      <w:r>
        <w:rPr>
          <w:rFonts w:cs="Arial"/>
          <w:lang w:val="es-CO"/>
        </w:rPr>
        <w:t>timbre</w:t>
      </w:r>
      <w:r>
        <w:rPr>
          <w:rFonts w:cs="Arial"/>
          <w:spacing w:val="12"/>
          <w:lang w:val="es-CO"/>
        </w:rPr>
        <w:t xml:space="preserve"> </w:t>
      </w:r>
      <w:r>
        <w:rPr>
          <w:rFonts w:cs="Arial"/>
          <w:lang w:val="es-CO"/>
        </w:rPr>
        <w:t>nacional</w:t>
      </w:r>
      <w:r>
        <w:rPr>
          <w:rFonts w:cs="Arial"/>
          <w:spacing w:val="2"/>
          <w:lang w:val="es-CO"/>
        </w:rPr>
        <w:t xml:space="preserve"> </w:t>
      </w:r>
      <w:r>
        <w:rPr>
          <w:rFonts w:cs="Arial"/>
          <w:lang w:val="es-CO"/>
        </w:rPr>
        <w:t>recaudado</w:t>
      </w:r>
      <w:r>
        <w:rPr>
          <w:rFonts w:cs="Arial"/>
          <w:spacing w:val="6"/>
          <w:lang w:val="es-CO"/>
        </w:rPr>
        <w:t xml:space="preserve"> </w:t>
      </w:r>
      <w:r>
        <w:rPr>
          <w:rFonts w:cs="Arial"/>
          <w:lang w:val="es-CO"/>
        </w:rPr>
        <w:t>en</w:t>
      </w:r>
      <w:r>
        <w:rPr>
          <w:rFonts w:cs="Arial"/>
          <w:spacing w:val="59"/>
          <w:lang w:val="es-CO"/>
        </w:rPr>
        <w:t xml:space="preserve"> </w:t>
      </w:r>
      <w:r>
        <w:rPr>
          <w:rFonts w:cs="Arial"/>
          <w:lang w:val="es-CO"/>
        </w:rPr>
        <w:t>el</w:t>
      </w:r>
      <w:r>
        <w:rPr>
          <w:rFonts w:cs="Arial"/>
          <w:spacing w:val="56"/>
          <w:lang w:val="es-CO"/>
        </w:rPr>
        <w:t xml:space="preserve"> </w:t>
      </w:r>
      <w:r>
        <w:rPr>
          <w:rFonts w:cs="Arial"/>
          <w:lang w:val="es-CO"/>
        </w:rPr>
        <w:t>exterior</w:t>
      </w:r>
      <w:r>
        <w:rPr>
          <w:rFonts w:cs="Arial"/>
          <w:w w:val="97"/>
          <w:lang w:val="es-CO"/>
        </w:rPr>
        <w:t xml:space="preserve"> </w:t>
      </w:r>
      <w:r>
        <w:rPr>
          <w:rFonts w:cs="Arial"/>
          <w:lang w:val="es-CO"/>
        </w:rPr>
        <w:t>deberá</w:t>
      </w:r>
      <w:r>
        <w:rPr>
          <w:rFonts w:cs="Arial"/>
          <w:spacing w:val="46"/>
          <w:lang w:val="es-CO"/>
        </w:rPr>
        <w:t xml:space="preserve"> </w:t>
      </w:r>
      <w:r>
        <w:rPr>
          <w:rFonts w:cs="Arial"/>
          <w:lang w:val="es-CO"/>
        </w:rPr>
        <w:t>realizarse</w:t>
      </w:r>
      <w:r>
        <w:rPr>
          <w:rFonts w:cs="Arial"/>
          <w:spacing w:val="32"/>
          <w:lang w:val="es-CO"/>
        </w:rPr>
        <w:t xml:space="preserve"> </w:t>
      </w:r>
      <w:r>
        <w:rPr>
          <w:rFonts w:cs="Arial"/>
          <w:lang w:val="es-CO"/>
        </w:rPr>
        <w:t>dentro</w:t>
      </w:r>
      <w:r>
        <w:rPr>
          <w:rFonts w:cs="Arial"/>
          <w:spacing w:val="26"/>
          <w:lang w:val="es-CO"/>
        </w:rPr>
        <w:t xml:space="preserve"> </w:t>
      </w:r>
      <w:r>
        <w:rPr>
          <w:rFonts w:cs="Arial"/>
          <w:lang w:val="es-CO"/>
        </w:rPr>
        <w:t>de</w:t>
      </w:r>
      <w:r>
        <w:rPr>
          <w:rFonts w:cs="Arial"/>
          <w:spacing w:val="31"/>
          <w:lang w:val="es-CO"/>
        </w:rPr>
        <w:t xml:space="preserve"> </w:t>
      </w:r>
      <w:r>
        <w:rPr>
          <w:rFonts w:cs="Arial"/>
          <w:lang w:val="es-CO"/>
        </w:rPr>
        <w:t>los</w:t>
      </w:r>
      <w:r>
        <w:rPr>
          <w:rFonts w:cs="Arial"/>
          <w:spacing w:val="24"/>
          <w:lang w:val="es-CO"/>
        </w:rPr>
        <w:t xml:space="preserve"> </w:t>
      </w:r>
      <w:r>
        <w:rPr>
          <w:rFonts w:cs="Arial"/>
          <w:lang w:val="es-CO"/>
        </w:rPr>
        <w:t>plazos</w:t>
      </w:r>
      <w:r>
        <w:rPr>
          <w:rFonts w:cs="Arial"/>
          <w:spacing w:val="26"/>
          <w:lang w:val="es-CO"/>
        </w:rPr>
        <w:t xml:space="preserve"> </w:t>
      </w:r>
      <w:r>
        <w:rPr>
          <w:rFonts w:cs="Arial"/>
          <w:lang w:val="es-CO"/>
        </w:rPr>
        <w:t>establecidos</w:t>
      </w:r>
      <w:r>
        <w:rPr>
          <w:rFonts w:cs="Arial"/>
          <w:spacing w:val="56"/>
          <w:lang w:val="es-CO"/>
        </w:rPr>
        <w:t xml:space="preserve"> </w:t>
      </w:r>
      <w:r>
        <w:rPr>
          <w:rFonts w:cs="Arial"/>
          <w:lang w:val="es-CO"/>
        </w:rPr>
        <w:t>para</w:t>
      </w:r>
      <w:r>
        <w:rPr>
          <w:rFonts w:cs="Arial"/>
          <w:spacing w:val="20"/>
          <w:lang w:val="es-CO"/>
        </w:rPr>
        <w:t xml:space="preserve"> </w:t>
      </w:r>
      <w:r>
        <w:rPr>
          <w:rFonts w:cs="Arial"/>
          <w:lang w:val="es-CO"/>
        </w:rPr>
        <w:t>declarar</w:t>
      </w:r>
      <w:r>
        <w:rPr>
          <w:rFonts w:cs="Arial"/>
          <w:spacing w:val="40"/>
          <w:lang w:val="es-CO"/>
        </w:rPr>
        <w:t xml:space="preserve"> </w:t>
      </w:r>
      <w:r>
        <w:rPr>
          <w:rFonts w:cs="Arial"/>
          <w:lang w:val="es-CO"/>
        </w:rPr>
        <w:t>y</w:t>
      </w:r>
      <w:r>
        <w:rPr>
          <w:rFonts w:cs="Arial"/>
          <w:spacing w:val="29"/>
          <w:lang w:val="es-CO"/>
        </w:rPr>
        <w:t xml:space="preserve"> </w:t>
      </w:r>
      <w:r>
        <w:rPr>
          <w:rFonts w:cs="Arial"/>
          <w:lang w:val="es-CO"/>
        </w:rPr>
        <w:t>pagar</w:t>
      </w:r>
      <w:r>
        <w:rPr>
          <w:rFonts w:cs="Arial"/>
          <w:spacing w:val="26"/>
          <w:lang w:val="es-CO"/>
        </w:rPr>
        <w:t xml:space="preserve"> </w:t>
      </w:r>
      <w:r>
        <w:rPr>
          <w:rFonts w:cs="Arial"/>
          <w:lang w:val="es-CO"/>
        </w:rPr>
        <w:t>las</w:t>
      </w:r>
      <w:r>
        <w:rPr>
          <w:rFonts w:cs="Arial"/>
          <w:w w:val="98"/>
          <w:lang w:val="es-CO"/>
        </w:rPr>
        <w:t xml:space="preserve"> </w:t>
      </w:r>
      <w:r>
        <w:rPr>
          <w:rFonts w:cs="Arial"/>
          <w:lang w:val="es-CO"/>
        </w:rPr>
        <w:t>retenciones</w:t>
      </w:r>
      <w:r>
        <w:rPr>
          <w:rFonts w:cs="Arial"/>
          <w:spacing w:val="60"/>
          <w:lang w:val="es-CO"/>
        </w:rPr>
        <w:t xml:space="preserve"> </w:t>
      </w:r>
      <w:r>
        <w:rPr>
          <w:rFonts w:cs="Arial"/>
          <w:lang w:val="es-CO"/>
        </w:rPr>
        <w:t>en</w:t>
      </w:r>
      <w:r>
        <w:rPr>
          <w:rFonts w:cs="Arial"/>
          <w:spacing w:val="55"/>
          <w:lang w:val="es-CO"/>
        </w:rPr>
        <w:t xml:space="preserve"> </w:t>
      </w:r>
      <w:r>
        <w:rPr>
          <w:rFonts w:cs="Arial"/>
          <w:lang w:val="es-CO"/>
        </w:rPr>
        <w:t>la</w:t>
      </w:r>
      <w:r>
        <w:rPr>
          <w:rFonts w:cs="Arial"/>
          <w:spacing w:val="41"/>
          <w:lang w:val="es-CO"/>
        </w:rPr>
        <w:t xml:space="preserve"> </w:t>
      </w:r>
      <w:r>
        <w:rPr>
          <w:rFonts w:cs="Arial"/>
          <w:lang w:val="es-CO"/>
        </w:rPr>
        <w:t>fuente</w:t>
      </w:r>
      <w:r>
        <w:rPr>
          <w:rFonts w:cs="Arial"/>
          <w:spacing w:val="55"/>
          <w:lang w:val="es-CO"/>
        </w:rPr>
        <w:t xml:space="preserve"> </w:t>
      </w:r>
      <w:r>
        <w:rPr>
          <w:rFonts w:cs="Arial"/>
          <w:lang w:val="es-CO"/>
        </w:rPr>
        <w:t>correspondientes</w:t>
      </w:r>
      <w:r>
        <w:rPr>
          <w:rFonts w:cs="Arial"/>
          <w:spacing w:val="9"/>
          <w:lang w:val="es-CO"/>
        </w:rPr>
        <w:t xml:space="preserve"> </w:t>
      </w:r>
      <w:r>
        <w:rPr>
          <w:rFonts w:cs="Arial"/>
          <w:lang w:val="es-CO"/>
        </w:rPr>
        <w:t>al</w:t>
      </w:r>
      <w:r>
        <w:rPr>
          <w:rFonts w:cs="Arial"/>
          <w:spacing w:val="38"/>
          <w:lang w:val="es-CO"/>
        </w:rPr>
        <w:t xml:space="preserve"> </w:t>
      </w:r>
      <w:r>
        <w:rPr>
          <w:rFonts w:cs="Arial"/>
          <w:lang w:val="es-CO"/>
        </w:rPr>
        <w:t>mes</w:t>
      </w:r>
      <w:r>
        <w:rPr>
          <w:rFonts w:cs="Arial"/>
          <w:spacing w:val="40"/>
          <w:lang w:val="es-CO"/>
        </w:rPr>
        <w:t xml:space="preserve"> </w:t>
      </w:r>
      <w:r>
        <w:rPr>
          <w:rFonts w:cs="Arial"/>
          <w:lang w:val="es-CO"/>
        </w:rPr>
        <w:t>de</w:t>
      </w:r>
      <w:r>
        <w:rPr>
          <w:rFonts w:cs="Arial"/>
          <w:spacing w:val="52"/>
          <w:lang w:val="es-CO"/>
        </w:rPr>
        <w:t xml:space="preserve"> </w:t>
      </w:r>
      <w:r>
        <w:rPr>
          <w:rFonts w:cs="Arial"/>
          <w:lang w:val="es-CO"/>
        </w:rPr>
        <w:t>la</w:t>
      </w:r>
      <w:r>
        <w:rPr>
          <w:rFonts w:cs="Arial"/>
          <w:spacing w:val="34"/>
          <w:lang w:val="es-CO"/>
        </w:rPr>
        <w:t xml:space="preserve"> </w:t>
      </w:r>
      <w:r>
        <w:rPr>
          <w:rFonts w:cs="Arial"/>
          <w:lang w:val="es-CO"/>
        </w:rPr>
        <w:t>transferencia</w:t>
      </w:r>
      <w:r>
        <w:rPr>
          <w:rFonts w:cs="Arial"/>
          <w:spacing w:val="16"/>
          <w:lang w:val="es-CO"/>
        </w:rPr>
        <w:t xml:space="preserve"> </w:t>
      </w:r>
      <w:r>
        <w:rPr>
          <w:rFonts w:cs="Arial"/>
          <w:lang w:val="es-CO"/>
        </w:rPr>
        <w:t>del</w:t>
      </w:r>
      <w:r>
        <w:rPr>
          <w:rFonts w:cs="Arial"/>
          <w:spacing w:val="49"/>
          <w:lang w:val="es-CO"/>
        </w:rPr>
        <w:t xml:space="preserve"> </w:t>
      </w:r>
      <w:r>
        <w:rPr>
          <w:rFonts w:cs="Arial"/>
          <w:lang w:val="es-CO"/>
        </w:rPr>
        <w:t>dinero</w:t>
      </w:r>
      <w:r>
        <w:rPr>
          <w:rFonts w:cs="Arial"/>
          <w:spacing w:val="53"/>
          <w:lang w:val="es-CO"/>
        </w:rPr>
        <w:t xml:space="preserve"> </w:t>
      </w:r>
      <w:r>
        <w:rPr>
          <w:rFonts w:cs="Arial"/>
          <w:lang w:val="es-CO"/>
        </w:rPr>
        <w:t>o</w:t>
      </w:r>
      <w:r>
        <w:rPr>
          <w:rFonts w:cs="Arial"/>
          <w:w w:val="101"/>
          <w:lang w:val="es-CO"/>
        </w:rPr>
        <w:t xml:space="preserve"> </w:t>
      </w:r>
      <w:r>
        <w:rPr>
          <w:rFonts w:cs="Arial"/>
          <w:lang w:val="es-CO"/>
        </w:rPr>
        <w:t>recibo</w:t>
      </w:r>
      <w:r>
        <w:rPr>
          <w:rFonts w:cs="Arial"/>
          <w:spacing w:val="25"/>
          <w:lang w:val="es-CO"/>
        </w:rPr>
        <w:t xml:space="preserve"> </w:t>
      </w:r>
      <w:r>
        <w:rPr>
          <w:rFonts w:cs="Arial"/>
          <w:lang w:val="es-CO"/>
        </w:rPr>
        <w:t>del</w:t>
      </w:r>
      <w:r>
        <w:rPr>
          <w:rFonts w:cs="Arial"/>
          <w:spacing w:val="29"/>
          <w:lang w:val="es-CO"/>
        </w:rPr>
        <w:t xml:space="preserve"> </w:t>
      </w:r>
      <w:r>
        <w:rPr>
          <w:rFonts w:cs="Arial"/>
          <w:lang w:val="es-CO"/>
        </w:rPr>
        <w:t>cheque</w:t>
      </w:r>
      <w:r>
        <w:rPr>
          <w:rFonts w:cs="Arial"/>
          <w:spacing w:val="42"/>
          <w:lang w:val="es-CO"/>
        </w:rPr>
        <w:t xml:space="preserve"> </w:t>
      </w:r>
      <w:r>
        <w:rPr>
          <w:rFonts w:cs="Arial"/>
          <w:lang w:val="es-CO"/>
        </w:rPr>
        <w:t>por</w:t>
      </w:r>
      <w:r>
        <w:rPr>
          <w:rFonts w:cs="Arial"/>
          <w:spacing w:val="32"/>
          <w:lang w:val="es-CO"/>
        </w:rPr>
        <w:t xml:space="preserve"> </w:t>
      </w:r>
      <w:r>
        <w:rPr>
          <w:rFonts w:cs="Arial"/>
          <w:lang w:val="es-CO"/>
        </w:rPr>
        <w:t>parte</w:t>
      </w:r>
      <w:r>
        <w:rPr>
          <w:rFonts w:cs="Arial"/>
          <w:spacing w:val="26"/>
          <w:lang w:val="es-CO"/>
        </w:rPr>
        <w:t xml:space="preserve"> </w:t>
      </w:r>
      <w:r>
        <w:rPr>
          <w:rFonts w:cs="Arial"/>
          <w:lang w:val="es-CO"/>
        </w:rPr>
        <w:t>del</w:t>
      </w:r>
      <w:r>
        <w:rPr>
          <w:rFonts w:cs="Arial"/>
          <w:spacing w:val="36"/>
          <w:lang w:val="es-CO"/>
        </w:rPr>
        <w:t xml:space="preserve"> </w:t>
      </w:r>
      <w:r>
        <w:rPr>
          <w:rFonts w:cs="Arial"/>
          <w:lang w:val="es-CO"/>
        </w:rPr>
        <w:t>Fondo</w:t>
      </w:r>
      <w:r>
        <w:rPr>
          <w:rFonts w:cs="Arial"/>
          <w:spacing w:val="31"/>
          <w:lang w:val="es-CO"/>
        </w:rPr>
        <w:t xml:space="preserve"> </w:t>
      </w:r>
      <w:r>
        <w:rPr>
          <w:rFonts w:cs="Arial"/>
          <w:lang w:val="es-CO"/>
        </w:rPr>
        <w:t>Rotatorio</w:t>
      </w:r>
      <w:r>
        <w:rPr>
          <w:rFonts w:cs="Arial"/>
          <w:spacing w:val="31"/>
          <w:lang w:val="es-CO"/>
        </w:rPr>
        <w:t xml:space="preserve"> </w:t>
      </w:r>
      <w:r>
        <w:rPr>
          <w:rFonts w:cs="Arial"/>
          <w:lang w:val="es-CO"/>
        </w:rPr>
        <w:t>del</w:t>
      </w:r>
      <w:r>
        <w:rPr>
          <w:rFonts w:cs="Arial"/>
          <w:spacing w:val="27"/>
          <w:lang w:val="es-CO"/>
        </w:rPr>
        <w:t xml:space="preserve"> </w:t>
      </w:r>
      <w:r>
        <w:rPr>
          <w:rFonts w:cs="Arial"/>
          <w:lang w:val="es-CO"/>
        </w:rPr>
        <w:t>Ministerio</w:t>
      </w:r>
      <w:r>
        <w:rPr>
          <w:rFonts w:cs="Arial"/>
          <w:spacing w:val="31"/>
          <w:lang w:val="es-CO"/>
        </w:rPr>
        <w:t xml:space="preserve"> </w:t>
      </w:r>
      <w:r>
        <w:rPr>
          <w:rFonts w:cs="Arial"/>
          <w:lang w:val="es-CO"/>
        </w:rPr>
        <w:t>de</w:t>
      </w:r>
      <w:r>
        <w:rPr>
          <w:rFonts w:cs="Arial"/>
          <w:spacing w:val="40"/>
          <w:lang w:val="es-CO"/>
        </w:rPr>
        <w:t xml:space="preserve"> </w:t>
      </w:r>
      <w:r>
        <w:rPr>
          <w:rFonts w:cs="Arial"/>
          <w:lang w:val="es-CO"/>
        </w:rPr>
        <w:t>Relaciones</w:t>
      </w:r>
      <w:r>
        <w:rPr>
          <w:rFonts w:cs="Arial"/>
          <w:w w:val="99"/>
          <w:lang w:val="es-CO"/>
        </w:rPr>
        <w:t xml:space="preserve"> </w:t>
      </w:r>
      <w:r>
        <w:rPr>
          <w:rFonts w:cs="Arial"/>
          <w:lang w:val="es-CO"/>
        </w:rPr>
        <w:t>Exteriore</w:t>
      </w:r>
      <w:r>
        <w:rPr>
          <w:rFonts w:cs="Arial"/>
          <w:spacing w:val="20"/>
          <w:lang w:val="es-CO"/>
        </w:rPr>
        <w:t>s</w:t>
      </w:r>
      <w:r>
        <w:rPr>
          <w:rFonts w:cs="Arial"/>
          <w:lang w:val="es-CO"/>
        </w:rPr>
        <w:t>.</w:t>
      </w:r>
    </w:p>
    <w:p w14:paraId="49BCE979" w14:textId="77777777" w:rsidR="00B2442D" w:rsidRDefault="00B2442D">
      <w:pPr>
        <w:spacing w:line="40" w:lineRule="atLeast"/>
        <w:ind w:right="-30"/>
        <w:jc w:val="both"/>
        <w:rPr>
          <w:rFonts w:ascii="Arial" w:hAnsi="Arial" w:cs="Arial"/>
          <w:lang w:val="es-CO"/>
        </w:rPr>
      </w:pPr>
    </w:p>
    <w:p w14:paraId="6F5593C2" w14:textId="77777777" w:rsidR="00B2442D" w:rsidRDefault="008A645F">
      <w:pPr>
        <w:jc w:val="both"/>
        <w:rPr>
          <w:rFonts w:ascii="Arial" w:hAnsi="Arial" w:cs="Arial"/>
          <w:i/>
          <w:lang w:val="es-ES_tradnl"/>
        </w:rPr>
      </w:pPr>
      <w:r>
        <w:rPr>
          <w:rFonts w:ascii="Arial" w:hAnsi="Arial" w:cs="Arial"/>
          <w:i/>
          <w:lang w:val="es-ES_tradnl"/>
        </w:rPr>
        <w:t xml:space="preserve">(Art. 38, Decreto 2243 de 2015) (Plazos 2015: Decreto 2623 de 2014; plazos 2014: Decreto 2972 de 2013 y </w:t>
      </w:r>
      <w:r>
        <w:rPr>
          <w:rFonts w:ascii="Arial" w:hAnsi="Arial" w:cs="Arial"/>
          <w:i/>
          <w:lang w:val="es-ES_tradnl"/>
        </w:rPr>
        <w:t>Decreto 685 de 2014; plazos 2013: Decreto 2634 de 2012 y Decreto 0187 de 2013; plazos 2012: Decreto 4907 de 2011; plazos 2011: Decreto 4836 de 2010 y Decreto 1358 de 2011)</w:t>
      </w:r>
    </w:p>
    <w:p w14:paraId="4112714A" w14:textId="77777777" w:rsidR="00B2442D" w:rsidRDefault="00B2442D">
      <w:pPr>
        <w:spacing w:line="40" w:lineRule="atLeast"/>
        <w:ind w:right="-30"/>
        <w:jc w:val="both"/>
        <w:rPr>
          <w:rFonts w:ascii="Arial" w:hAnsi="Arial" w:cs="Arial"/>
          <w:lang w:val="es-CO"/>
        </w:rPr>
      </w:pPr>
    </w:p>
    <w:p w14:paraId="7B90E870" w14:textId="77777777" w:rsidR="00B2442D" w:rsidRDefault="008A645F">
      <w:pPr>
        <w:pStyle w:val="Textoindependiente"/>
        <w:spacing w:line="40" w:lineRule="atLeast"/>
        <w:ind w:right="-30"/>
        <w:jc w:val="center"/>
        <w:rPr>
          <w:rFonts w:cs="Arial"/>
          <w:b/>
          <w:lang w:val="es-CO"/>
        </w:rPr>
      </w:pPr>
      <w:r>
        <w:rPr>
          <w:rFonts w:cs="Arial"/>
          <w:b/>
          <w:lang w:val="es-CO"/>
        </w:rPr>
        <w:t>DECLARACIÓN</w:t>
      </w:r>
      <w:r>
        <w:rPr>
          <w:rFonts w:cs="Arial"/>
          <w:b/>
          <w:spacing w:val="2"/>
          <w:lang w:val="es-CO"/>
        </w:rPr>
        <w:t xml:space="preserve"> </w:t>
      </w:r>
      <w:r>
        <w:rPr>
          <w:rFonts w:cs="Arial"/>
          <w:b/>
          <w:lang w:val="es-CO"/>
        </w:rPr>
        <w:t>Y</w:t>
      </w:r>
      <w:r>
        <w:rPr>
          <w:rFonts w:cs="Arial"/>
          <w:b/>
          <w:spacing w:val="-1"/>
          <w:lang w:val="es-CO"/>
        </w:rPr>
        <w:t xml:space="preserve"> </w:t>
      </w:r>
      <w:r>
        <w:rPr>
          <w:rFonts w:cs="Arial"/>
          <w:b/>
          <w:lang w:val="es-CO"/>
        </w:rPr>
        <w:t>PAGO</w:t>
      </w:r>
      <w:r>
        <w:rPr>
          <w:rFonts w:cs="Arial"/>
          <w:b/>
          <w:spacing w:val="-20"/>
          <w:lang w:val="es-CO"/>
        </w:rPr>
        <w:t xml:space="preserve"> </w:t>
      </w:r>
      <w:r>
        <w:rPr>
          <w:rFonts w:cs="Arial"/>
          <w:b/>
          <w:lang w:val="es-CO"/>
        </w:rPr>
        <w:t>AUTORRETENCIÓN</w:t>
      </w:r>
      <w:r>
        <w:rPr>
          <w:rFonts w:cs="Arial"/>
          <w:b/>
          <w:spacing w:val="30"/>
          <w:lang w:val="es-CO"/>
        </w:rPr>
        <w:t xml:space="preserve"> </w:t>
      </w:r>
      <w:r>
        <w:rPr>
          <w:rFonts w:cs="Arial"/>
          <w:b/>
          <w:lang w:val="es-CO"/>
        </w:rPr>
        <w:t>CREE</w:t>
      </w:r>
    </w:p>
    <w:p w14:paraId="0132189D" w14:textId="77777777" w:rsidR="00B2442D" w:rsidRDefault="00B2442D">
      <w:pPr>
        <w:spacing w:line="40" w:lineRule="atLeast"/>
        <w:ind w:right="-30"/>
        <w:jc w:val="both"/>
        <w:rPr>
          <w:rFonts w:ascii="Arial" w:hAnsi="Arial" w:cs="Arial"/>
          <w:lang w:val="es-CO"/>
        </w:rPr>
      </w:pPr>
    </w:p>
    <w:p w14:paraId="79E6DF53"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Declaración de los autorretenedores del</w:t>
      </w:r>
      <w:r>
        <w:rPr>
          <w:rFonts w:cs="Arial"/>
          <w:b/>
          <w:i/>
          <w:spacing w:val="41"/>
          <w:lang w:val="es-CO"/>
        </w:rPr>
        <w:t xml:space="preserve"> </w:t>
      </w:r>
      <w:r>
        <w:rPr>
          <w:rFonts w:cs="Arial"/>
          <w:b/>
          <w:i/>
          <w:lang w:val="es-CO"/>
        </w:rPr>
        <w:t>impuesto</w:t>
      </w:r>
      <w:r>
        <w:rPr>
          <w:rFonts w:cs="Arial"/>
          <w:b/>
          <w:i/>
          <w:spacing w:val="43"/>
          <w:lang w:val="es-CO"/>
        </w:rPr>
        <w:t xml:space="preserve"> </w:t>
      </w:r>
      <w:r>
        <w:rPr>
          <w:rFonts w:cs="Arial"/>
          <w:b/>
          <w:i/>
          <w:lang w:val="es-CO"/>
        </w:rPr>
        <w:t>sobre</w:t>
      </w:r>
      <w:r>
        <w:rPr>
          <w:rFonts w:cs="Arial"/>
          <w:b/>
          <w:i/>
          <w:spacing w:val="56"/>
          <w:lang w:val="es-CO"/>
        </w:rPr>
        <w:t xml:space="preserve"> </w:t>
      </w:r>
      <w:r>
        <w:rPr>
          <w:rFonts w:cs="Arial"/>
          <w:b/>
          <w:i/>
          <w:lang w:val="es-CO"/>
        </w:rPr>
        <w:t>la</w:t>
      </w:r>
      <w:r>
        <w:rPr>
          <w:rFonts w:cs="Arial"/>
          <w:b/>
          <w:i/>
          <w:spacing w:val="40"/>
          <w:lang w:val="es-CO"/>
        </w:rPr>
        <w:t xml:space="preserve"> </w:t>
      </w:r>
      <w:r>
        <w:rPr>
          <w:rFonts w:cs="Arial"/>
          <w:b/>
          <w:i/>
          <w:lang w:val="es-CO"/>
        </w:rPr>
        <w:t>renta</w:t>
      </w:r>
      <w:r>
        <w:rPr>
          <w:rFonts w:cs="Arial"/>
          <w:b/>
          <w:i/>
          <w:spacing w:val="47"/>
          <w:lang w:val="es-CO"/>
        </w:rPr>
        <w:t xml:space="preserve"> </w:t>
      </w:r>
      <w:r>
        <w:rPr>
          <w:rFonts w:cs="Arial"/>
          <w:b/>
          <w:i/>
          <w:lang w:val="es-CO"/>
        </w:rPr>
        <w:t>para</w:t>
      </w:r>
      <w:r>
        <w:rPr>
          <w:rFonts w:cs="Arial"/>
          <w:b/>
          <w:i/>
          <w:spacing w:val="51"/>
          <w:lang w:val="es-CO"/>
        </w:rPr>
        <w:t xml:space="preserve"> </w:t>
      </w:r>
      <w:r>
        <w:rPr>
          <w:rFonts w:cs="Arial"/>
          <w:b/>
          <w:i/>
          <w:lang w:val="es-CO"/>
        </w:rPr>
        <w:t>la</w:t>
      </w:r>
      <w:r>
        <w:rPr>
          <w:rFonts w:cs="Arial"/>
          <w:b/>
          <w:i/>
          <w:spacing w:val="35"/>
          <w:lang w:val="es-CO"/>
        </w:rPr>
        <w:t xml:space="preserve"> </w:t>
      </w:r>
      <w:r>
        <w:rPr>
          <w:rFonts w:cs="Arial"/>
          <w:b/>
          <w:i/>
          <w:lang w:val="es-CO"/>
        </w:rPr>
        <w:t>equidad­</w:t>
      </w:r>
      <w:r>
        <w:rPr>
          <w:rFonts w:cs="Arial"/>
          <w:b/>
          <w:i/>
          <w:w w:val="99"/>
          <w:lang w:val="es-CO"/>
        </w:rPr>
        <w:t xml:space="preserve"> </w:t>
      </w:r>
      <w:r>
        <w:rPr>
          <w:rFonts w:cs="Arial"/>
          <w:b/>
          <w:i/>
          <w:lang w:val="es-CO"/>
        </w:rPr>
        <w:t>CREE.</w:t>
      </w:r>
      <w:r>
        <w:rPr>
          <w:rFonts w:cs="Arial"/>
          <w:spacing w:val="15"/>
          <w:lang w:val="es-CO"/>
        </w:rPr>
        <w:t xml:space="preserve"> </w:t>
      </w:r>
      <w:r>
        <w:rPr>
          <w:rFonts w:cs="Arial"/>
          <w:lang w:val="es-CO"/>
        </w:rPr>
        <w:t>Los autorretenedores del impuesto sobre la renta para la equidad-CREE deberán declarar y pagar las autorretenciones efectuadas en cada mes, en el formulario prescrito por la Unidad Administrativa Especial Dire</w:t>
      </w:r>
      <w:r>
        <w:rPr>
          <w:rFonts w:cs="Arial"/>
          <w:lang w:val="es-CO"/>
        </w:rPr>
        <w:t xml:space="preserve">cción de Impuestos y Aduanas Nacionales - DIAN. </w:t>
      </w:r>
    </w:p>
    <w:p w14:paraId="29127E5F" w14:textId="77777777" w:rsidR="00B2442D" w:rsidRDefault="00B2442D">
      <w:pPr>
        <w:pStyle w:val="Textoindependiente"/>
        <w:spacing w:line="40" w:lineRule="atLeast"/>
        <w:ind w:right="-30"/>
        <w:jc w:val="both"/>
        <w:rPr>
          <w:rFonts w:cs="Arial"/>
          <w:lang w:val="es-CO"/>
        </w:rPr>
      </w:pPr>
    </w:p>
    <w:p w14:paraId="4586D442" w14:textId="77777777" w:rsidR="00B2442D" w:rsidRDefault="008A645F">
      <w:pPr>
        <w:pStyle w:val="Textoindependiente"/>
        <w:spacing w:line="40" w:lineRule="atLeast"/>
        <w:ind w:right="-30"/>
        <w:jc w:val="both"/>
        <w:rPr>
          <w:rFonts w:cs="Arial"/>
          <w:lang w:val="es-CO"/>
        </w:rPr>
      </w:pPr>
      <w:r>
        <w:rPr>
          <w:rFonts w:cs="Arial"/>
          <w:lang w:val="es-CO"/>
        </w:rPr>
        <w:t xml:space="preserve">Los contribuyentes autorretenedores cuyos ingresos brutos a 31 diciembre de 2016 fueron iguales o superiores a 92.000 UVT ($2.737.276.000) deberán presentar la declaración mensual de retención en la fuente </w:t>
      </w:r>
      <w:r>
        <w:rPr>
          <w:rFonts w:cs="Arial"/>
          <w:lang w:val="es-CO"/>
        </w:rPr>
        <w:t>a título de CREE en las siguientes fechas, de acuerdo con el último dígito del NIT del autorretenedor, que conste en el certificado del Registro Único Tributario - RUT, sin tener en cuenta el dígito de verificación, así:</w:t>
      </w:r>
    </w:p>
    <w:p w14:paraId="6089C855" w14:textId="77777777" w:rsidR="00B2442D" w:rsidRDefault="00B2442D">
      <w:pPr>
        <w:spacing w:line="40" w:lineRule="atLeast"/>
        <w:ind w:right="-30"/>
        <w:jc w:val="both"/>
        <w:rPr>
          <w:rFonts w:ascii="Arial" w:hAnsi="Arial" w:cs="Arial"/>
          <w:highlight w:val="yellow"/>
          <w:lang w:val="es-CO"/>
        </w:rPr>
      </w:pPr>
    </w:p>
    <w:tbl>
      <w:tblPr>
        <w:tblW w:w="8484" w:type="dxa"/>
        <w:jc w:val="center"/>
        <w:tblCellMar>
          <w:left w:w="70" w:type="dxa"/>
          <w:right w:w="70" w:type="dxa"/>
        </w:tblCellMar>
        <w:tblLook w:val="04A0" w:firstRow="1" w:lastRow="0" w:firstColumn="1" w:lastColumn="0" w:noHBand="0" w:noVBand="1"/>
      </w:tblPr>
      <w:tblGrid>
        <w:gridCol w:w="900"/>
        <w:gridCol w:w="2500"/>
        <w:gridCol w:w="2674"/>
        <w:gridCol w:w="2410"/>
      </w:tblGrid>
      <w:tr w:rsidR="00B2442D" w14:paraId="4F0B7C3A" w14:textId="77777777">
        <w:trPr>
          <w:trHeight w:val="796"/>
          <w:jc w:val="center"/>
        </w:trPr>
        <w:tc>
          <w:tcPr>
            <w:tcW w:w="900" w:type="dxa"/>
            <w:tcBorders>
              <w:top w:val="single" w:sz="8" w:space="0" w:color="auto"/>
              <w:left w:val="single" w:sz="8" w:space="0" w:color="auto"/>
              <w:bottom w:val="single" w:sz="8" w:space="0" w:color="auto"/>
              <w:right w:val="single" w:sz="8" w:space="0" w:color="auto"/>
            </w:tcBorders>
            <w:shd w:val="clear" w:color="auto" w:fill="D0CECE"/>
            <w:vAlign w:val="center"/>
            <w:hideMark/>
          </w:tcPr>
          <w:p w14:paraId="20D75559"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 xml:space="preserve">último dígito es    </w:t>
            </w:r>
          </w:p>
        </w:tc>
        <w:tc>
          <w:tcPr>
            <w:tcW w:w="2500" w:type="dxa"/>
            <w:tcBorders>
              <w:top w:val="single" w:sz="8" w:space="0" w:color="auto"/>
              <w:left w:val="nil"/>
              <w:bottom w:val="single" w:sz="8" w:space="0" w:color="auto"/>
              <w:right w:val="single" w:sz="8" w:space="0" w:color="auto"/>
            </w:tcBorders>
            <w:shd w:val="clear" w:color="auto" w:fill="D0CECE"/>
            <w:vAlign w:val="center"/>
            <w:hideMark/>
          </w:tcPr>
          <w:p w14:paraId="7FF20375"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 xml:space="preserve">mes de enero </w:t>
            </w:r>
            <w:r>
              <w:rPr>
                <w:rFonts w:ascii="Arial" w:hAnsi="Arial" w:cs="Arial"/>
                <w:b/>
                <w:bCs/>
                <w:color w:val="000000"/>
                <w:sz w:val="22"/>
                <w:lang w:val="es-CO" w:eastAsia="es-CO"/>
              </w:rPr>
              <w:t>año 2017 hasta el día</w:t>
            </w:r>
          </w:p>
        </w:tc>
        <w:tc>
          <w:tcPr>
            <w:tcW w:w="2674" w:type="dxa"/>
            <w:tcBorders>
              <w:top w:val="single" w:sz="8" w:space="0" w:color="auto"/>
              <w:left w:val="nil"/>
              <w:bottom w:val="single" w:sz="8" w:space="0" w:color="auto"/>
              <w:right w:val="single" w:sz="8" w:space="0" w:color="auto"/>
            </w:tcBorders>
            <w:shd w:val="clear" w:color="auto" w:fill="D0CECE"/>
            <w:vAlign w:val="center"/>
            <w:hideMark/>
          </w:tcPr>
          <w:p w14:paraId="027B8E54"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febrero año 2017 hasta el día</w:t>
            </w:r>
          </w:p>
        </w:tc>
        <w:tc>
          <w:tcPr>
            <w:tcW w:w="2410" w:type="dxa"/>
            <w:tcBorders>
              <w:top w:val="single" w:sz="8" w:space="0" w:color="auto"/>
              <w:left w:val="nil"/>
              <w:bottom w:val="single" w:sz="8" w:space="0" w:color="auto"/>
              <w:right w:val="single" w:sz="8" w:space="0" w:color="auto"/>
            </w:tcBorders>
            <w:shd w:val="clear" w:color="auto" w:fill="D0CECE"/>
            <w:vAlign w:val="center"/>
            <w:hideMark/>
          </w:tcPr>
          <w:p w14:paraId="590FD281"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marzo año 2017 hasta el día</w:t>
            </w:r>
          </w:p>
        </w:tc>
      </w:tr>
      <w:tr w:rsidR="00B2442D" w14:paraId="739F7287"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06A993F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0</w:t>
            </w:r>
          </w:p>
        </w:tc>
        <w:tc>
          <w:tcPr>
            <w:tcW w:w="2500" w:type="dxa"/>
            <w:tcBorders>
              <w:top w:val="nil"/>
              <w:left w:val="nil"/>
              <w:bottom w:val="single" w:sz="8" w:space="0" w:color="auto"/>
              <w:right w:val="single" w:sz="8" w:space="0" w:color="auto"/>
            </w:tcBorders>
            <w:shd w:val="clear" w:color="auto" w:fill="auto"/>
            <w:noWrap/>
            <w:vAlign w:val="center"/>
          </w:tcPr>
          <w:p w14:paraId="329F1F5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 de febrero de 2017</w:t>
            </w:r>
          </w:p>
        </w:tc>
        <w:tc>
          <w:tcPr>
            <w:tcW w:w="2674" w:type="dxa"/>
            <w:tcBorders>
              <w:top w:val="nil"/>
              <w:left w:val="nil"/>
              <w:bottom w:val="single" w:sz="8" w:space="0" w:color="auto"/>
              <w:right w:val="single" w:sz="8" w:space="0" w:color="auto"/>
            </w:tcBorders>
            <w:shd w:val="clear" w:color="auto" w:fill="auto"/>
            <w:noWrap/>
            <w:vAlign w:val="center"/>
          </w:tcPr>
          <w:p w14:paraId="1D82ED1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 de marzo de 2017</w:t>
            </w:r>
          </w:p>
        </w:tc>
        <w:tc>
          <w:tcPr>
            <w:tcW w:w="2410" w:type="dxa"/>
            <w:tcBorders>
              <w:top w:val="nil"/>
              <w:left w:val="nil"/>
              <w:bottom w:val="single" w:sz="8" w:space="0" w:color="auto"/>
              <w:right w:val="single" w:sz="8" w:space="0" w:color="auto"/>
            </w:tcBorders>
            <w:shd w:val="clear" w:color="auto" w:fill="auto"/>
            <w:noWrap/>
            <w:vAlign w:val="center"/>
          </w:tcPr>
          <w:p w14:paraId="42CDFE3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abril de 2017</w:t>
            </w:r>
          </w:p>
        </w:tc>
      </w:tr>
      <w:tr w:rsidR="00B2442D" w14:paraId="392045D9"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46F9955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w:t>
            </w:r>
          </w:p>
        </w:tc>
        <w:tc>
          <w:tcPr>
            <w:tcW w:w="2500" w:type="dxa"/>
            <w:tcBorders>
              <w:top w:val="nil"/>
              <w:left w:val="nil"/>
              <w:bottom w:val="single" w:sz="8" w:space="0" w:color="auto"/>
              <w:right w:val="single" w:sz="8" w:space="0" w:color="auto"/>
            </w:tcBorders>
            <w:shd w:val="clear" w:color="auto" w:fill="auto"/>
            <w:noWrap/>
            <w:vAlign w:val="center"/>
          </w:tcPr>
          <w:p w14:paraId="6FE3CF0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 de febrero de 2017</w:t>
            </w:r>
          </w:p>
        </w:tc>
        <w:tc>
          <w:tcPr>
            <w:tcW w:w="2674" w:type="dxa"/>
            <w:tcBorders>
              <w:top w:val="nil"/>
              <w:left w:val="nil"/>
              <w:bottom w:val="single" w:sz="8" w:space="0" w:color="auto"/>
              <w:right w:val="single" w:sz="8" w:space="0" w:color="auto"/>
            </w:tcBorders>
            <w:shd w:val="clear" w:color="auto" w:fill="auto"/>
            <w:noWrap/>
            <w:vAlign w:val="center"/>
          </w:tcPr>
          <w:p w14:paraId="118AFD6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  de marzo de 2017</w:t>
            </w:r>
          </w:p>
        </w:tc>
        <w:tc>
          <w:tcPr>
            <w:tcW w:w="2410" w:type="dxa"/>
            <w:tcBorders>
              <w:top w:val="nil"/>
              <w:left w:val="nil"/>
              <w:bottom w:val="single" w:sz="8" w:space="0" w:color="auto"/>
              <w:right w:val="single" w:sz="8" w:space="0" w:color="auto"/>
            </w:tcBorders>
            <w:shd w:val="clear" w:color="auto" w:fill="auto"/>
            <w:noWrap/>
            <w:vAlign w:val="center"/>
          </w:tcPr>
          <w:p w14:paraId="1C27ACE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abril de 2017</w:t>
            </w:r>
          </w:p>
        </w:tc>
      </w:tr>
      <w:tr w:rsidR="00B2442D" w14:paraId="7C977DC1"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624775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60021DF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febrero 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4C4467C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10 de </w:t>
            </w:r>
            <w:r>
              <w:rPr>
                <w:rFonts w:ascii="Arial" w:hAnsi="Arial" w:cs="Arial"/>
                <w:color w:val="000000"/>
                <w:sz w:val="22"/>
                <w:lang w:val="es-CO" w:eastAsia="es-CO"/>
              </w:rPr>
              <w:t>marzo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774DBEA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abril de 2017</w:t>
            </w:r>
          </w:p>
        </w:tc>
      </w:tr>
      <w:tr w:rsidR="00B2442D" w14:paraId="1D1B9BCD"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AC04FC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7</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1EC11FB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febrero 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71EB9A6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marzo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7690691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abril de 2017</w:t>
            </w:r>
          </w:p>
        </w:tc>
      </w:tr>
      <w:tr w:rsidR="00B2442D" w14:paraId="6AC5FA1F" w14:textId="77777777">
        <w:trPr>
          <w:trHeight w:val="345"/>
          <w:jc w:val="center"/>
        </w:trPr>
        <w:tc>
          <w:tcPr>
            <w:tcW w:w="900" w:type="dxa"/>
            <w:tcBorders>
              <w:top w:val="nil"/>
              <w:left w:val="single" w:sz="8" w:space="0" w:color="auto"/>
              <w:bottom w:val="single" w:sz="4" w:space="0" w:color="auto"/>
              <w:right w:val="single" w:sz="8" w:space="0" w:color="auto"/>
            </w:tcBorders>
            <w:shd w:val="clear" w:color="auto" w:fill="auto"/>
            <w:noWrap/>
            <w:vAlign w:val="center"/>
            <w:hideMark/>
          </w:tcPr>
          <w:p w14:paraId="4734CD3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6</w:t>
            </w:r>
          </w:p>
        </w:tc>
        <w:tc>
          <w:tcPr>
            <w:tcW w:w="2500" w:type="dxa"/>
            <w:tcBorders>
              <w:top w:val="nil"/>
              <w:left w:val="nil"/>
              <w:bottom w:val="single" w:sz="4" w:space="0" w:color="auto"/>
              <w:right w:val="single" w:sz="8" w:space="0" w:color="auto"/>
            </w:tcBorders>
            <w:shd w:val="clear" w:color="auto" w:fill="auto"/>
            <w:noWrap/>
            <w:vAlign w:val="center"/>
          </w:tcPr>
          <w:p w14:paraId="4FB22E6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febrero de 2017</w:t>
            </w:r>
          </w:p>
        </w:tc>
        <w:tc>
          <w:tcPr>
            <w:tcW w:w="2674" w:type="dxa"/>
            <w:tcBorders>
              <w:top w:val="nil"/>
              <w:left w:val="nil"/>
              <w:bottom w:val="single" w:sz="4" w:space="0" w:color="auto"/>
              <w:right w:val="single" w:sz="8" w:space="0" w:color="auto"/>
            </w:tcBorders>
            <w:shd w:val="clear" w:color="auto" w:fill="auto"/>
            <w:noWrap/>
            <w:vAlign w:val="center"/>
          </w:tcPr>
          <w:p w14:paraId="01AAA9F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marzo de 2017</w:t>
            </w:r>
          </w:p>
        </w:tc>
        <w:tc>
          <w:tcPr>
            <w:tcW w:w="2410" w:type="dxa"/>
            <w:tcBorders>
              <w:top w:val="nil"/>
              <w:left w:val="nil"/>
              <w:bottom w:val="single" w:sz="4" w:space="0" w:color="auto"/>
              <w:right w:val="single" w:sz="8" w:space="0" w:color="auto"/>
            </w:tcBorders>
            <w:shd w:val="clear" w:color="auto" w:fill="auto"/>
            <w:noWrap/>
            <w:vAlign w:val="center"/>
          </w:tcPr>
          <w:p w14:paraId="0B482BD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abril de 2017</w:t>
            </w:r>
          </w:p>
        </w:tc>
      </w:tr>
      <w:tr w:rsidR="00B2442D" w14:paraId="6D2BA6D0"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9582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5</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6FC0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febrero de 2017</w:t>
            </w:r>
          </w:p>
        </w:tc>
        <w:tc>
          <w:tcPr>
            <w:tcW w:w="2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F4CB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marzo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E0C5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abril de 2017</w:t>
            </w:r>
          </w:p>
        </w:tc>
      </w:tr>
      <w:tr w:rsidR="00B2442D" w14:paraId="6D005966"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B718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4</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EF42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16 de febrero de </w:t>
            </w:r>
            <w:r>
              <w:rPr>
                <w:rFonts w:ascii="Arial" w:hAnsi="Arial" w:cs="Arial"/>
                <w:color w:val="000000"/>
                <w:sz w:val="22"/>
                <w:lang w:val="es-CO" w:eastAsia="es-CO"/>
              </w:rPr>
              <w:t>2017</w:t>
            </w:r>
          </w:p>
        </w:tc>
        <w:tc>
          <w:tcPr>
            <w:tcW w:w="2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A3BA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16 de marzo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FB00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abril de 2017</w:t>
            </w:r>
          </w:p>
        </w:tc>
      </w:tr>
      <w:tr w:rsidR="00B2442D" w14:paraId="497B1645"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296F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3</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7485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febrero de 2017</w:t>
            </w:r>
          </w:p>
        </w:tc>
        <w:tc>
          <w:tcPr>
            <w:tcW w:w="2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F290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marzo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6530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24 de abril de 2017</w:t>
            </w:r>
          </w:p>
        </w:tc>
      </w:tr>
      <w:tr w:rsidR="00B2442D" w14:paraId="443A5F4A"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224C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A3D6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febrero de 2017</w:t>
            </w:r>
          </w:p>
        </w:tc>
        <w:tc>
          <w:tcPr>
            <w:tcW w:w="2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2D1C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marzo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71AC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25 de abril de 2017</w:t>
            </w:r>
          </w:p>
        </w:tc>
      </w:tr>
      <w:tr w:rsidR="00B2442D" w14:paraId="3DE827C7"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6796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w:t>
            </w:r>
          </w:p>
        </w:tc>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CC80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febrero de 2017</w:t>
            </w:r>
          </w:p>
        </w:tc>
        <w:tc>
          <w:tcPr>
            <w:tcW w:w="2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36DD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marzo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8D5A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26 de abril de 2017</w:t>
            </w:r>
          </w:p>
        </w:tc>
      </w:tr>
      <w:tr w:rsidR="00B2442D" w14:paraId="24CE6237" w14:textId="77777777">
        <w:trPr>
          <w:trHeight w:val="1005"/>
          <w:jc w:val="center"/>
        </w:trPr>
        <w:tc>
          <w:tcPr>
            <w:tcW w:w="900" w:type="dxa"/>
            <w:tcBorders>
              <w:top w:val="single" w:sz="4" w:space="0" w:color="auto"/>
              <w:left w:val="single" w:sz="8" w:space="0" w:color="auto"/>
              <w:bottom w:val="single" w:sz="8" w:space="0" w:color="auto"/>
              <w:right w:val="single" w:sz="8" w:space="0" w:color="auto"/>
            </w:tcBorders>
            <w:shd w:val="clear" w:color="auto" w:fill="D0CECE"/>
            <w:vAlign w:val="center"/>
            <w:hideMark/>
          </w:tcPr>
          <w:p w14:paraId="0E4AD02B"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 xml:space="preserve">Si el </w:t>
            </w:r>
            <w:r>
              <w:rPr>
                <w:rFonts w:ascii="Arial" w:hAnsi="Arial" w:cs="Arial"/>
                <w:b/>
                <w:bCs/>
                <w:color w:val="000000"/>
                <w:sz w:val="22"/>
                <w:lang w:val="es-CO" w:eastAsia="es-CO"/>
              </w:rPr>
              <w:t>último dígito es</w:t>
            </w:r>
          </w:p>
        </w:tc>
        <w:tc>
          <w:tcPr>
            <w:tcW w:w="2500" w:type="dxa"/>
            <w:tcBorders>
              <w:top w:val="single" w:sz="4" w:space="0" w:color="auto"/>
              <w:left w:val="nil"/>
              <w:bottom w:val="single" w:sz="8" w:space="0" w:color="auto"/>
              <w:right w:val="single" w:sz="8" w:space="0" w:color="auto"/>
            </w:tcBorders>
            <w:shd w:val="clear" w:color="auto" w:fill="D0CECE"/>
            <w:vAlign w:val="center"/>
            <w:hideMark/>
          </w:tcPr>
          <w:p w14:paraId="6720B10C"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abril año 2017 hasta el día</w:t>
            </w:r>
          </w:p>
        </w:tc>
        <w:tc>
          <w:tcPr>
            <w:tcW w:w="2674" w:type="dxa"/>
            <w:tcBorders>
              <w:top w:val="single" w:sz="4" w:space="0" w:color="auto"/>
              <w:left w:val="nil"/>
              <w:bottom w:val="single" w:sz="8" w:space="0" w:color="auto"/>
              <w:right w:val="single" w:sz="8" w:space="0" w:color="auto"/>
            </w:tcBorders>
            <w:shd w:val="clear" w:color="auto" w:fill="D0CECE"/>
            <w:vAlign w:val="center"/>
            <w:hideMark/>
          </w:tcPr>
          <w:p w14:paraId="6C3518BC"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mayo año 2017 hasta el día</w:t>
            </w:r>
          </w:p>
        </w:tc>
        <w:tc>
          <w:tcPr>
            <w:tcW w:w="2410" w:type="dxa"/>
            <w:tcBorders>
              <w:top w:val="single" w:sz="4" w:space="0" w:color="auto"/>
              <w:left w:val="nil"/>
              <w:bottom w:val="single" w:sz="8" w:space="0" w:color="auto"/>
              <w:right w:val="single" w:sz="8" w:space="0" w:color="auto"/>
            </w:tcBorders>
            <w:shd w:val="clear" w:color="auto" w:fill="D0CECE"/>
            <w:vAlign w:val="center"/>
            <w:hideMark/>
          </w:tcPr>
          <w:p w14:paraId="4C02DC68"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junio año 2017 hasta el día</w:t>
            </w:r>
          </w:p>
        </w:tc>
      </w:tr>
      <w:tr w:rsidR="00B2442D" w14:paraId="03E88AFA"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1C9AA90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0</w:t>
            </w:r>
          </w:p>
        </w:tc>
        <w:tc>
          <w:tcPr>
            <w:tcW w:w="2500" w:type="dxa"/>
            <w:tcBorders>
              <w:top w:val="nil"/>
              <w:left w:val="nil"/>
              <w:bottom w:val="single" w:sz="8" w:space="0" w:color="auto"/>
              <w:right w:val="single" w:sz="8" w:space="0" w:color="auto"/>
            </w:tcBorders>
            <w:shd w:val="clear" w:color="auto" w:fill="auto"/>
            <w:noWrap/>
            <w:vAlign w:val="center"/>
          </w:tcPr>
          <w:p w14:paraId="7454461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 9 de mayo de 2017</w:t>
            </w:r>
          </w:p>
        </w:tc>
        <w:tc>
          <w:tcPr>
            <w:tcW w:w="2674" w:type="dxa"/>
            <w:tcBorders>
              <w:top w:val="nil"/>
              <w:left w:val="nil"/>
              <w:bottom w:val="single" w:sz="8" w:space="0" w:color="auto"/>
              <w:right w:val="single" w:sz="8" w:space="0" w:color="auto"/>
            </w:tcBorders>
            <w:shd w:val="clear" w:color="auto" w:fill="auto"/>
            <w:noWrap/>
            <w:vAlign w:val="center"/>
          </w:tcPr>
          <w:p w14:paraId="6011CF8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 8 de junio de 2017</w:t>
            </w:r>
          </w:p>
        </w:tc>
        <w:tc>
          <w:tcPr>
            <w:tcW w:w="2410" w:type="dxa"/>
            <w:tcBorders>
              <w:top w:val="nil"/>
              <w:left w:val="nil"/>
              <w:bottom w:val="single" w:sz="8" w:space="0" w:color="auto"/>
              <w:right w:val="single" w:sz="8" w:space="0" w:color="auto"/>
            </w:tcBorders>
            <w:shd w:val="clear" w:color="auto" w:fill="auto"/>
            <w:noWrap/>
            <w:vAlign w:val="center"/>
          </w:tcPr>
          <w:p w14:paraId="26541CF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julio de 2017</w:t>
            </w:r>
          </w:p>
        </w:tc>
      </w:tr>
      <w:tr w:rsidR="00B2442D" w14:paraId="5F4D6497"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0B28385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w:t>
            </w:r>
          </w:p>
        </w:tc>
        <w:tc>
          <w:tcPr>
            <w:tcW w:w="2500" w:type="dxa"/>
            <w:tcBorders>
              <w:top w:val="nil"/>
              <w:left w:val="nil"/>
              <w:bottom w:val="single" w:sz="8" w:space="0" w:color="auto"/>
              <w:right w:val="single" w:sz="8" w:space="0" w:color="auto"/>
            </w:tcBorders>
            <w:shd w:val="clear" w:color="auto" w:fill="auto"/>
            <w:noWrap/>
            <w:vAlign w:val="center"/>
          </w:tcPr>
          <w:p w14:paraId="210733A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mayo de 2017</w:t>
            </w:r>
          </w:p>
        </w:tc>
        <w:tc>
          <w:tcPr>
            <w:tcW w:w="2674" w:type="dxa"/>
            <w:tcBorders>
              <w:top w:val="nil"/>
              <w:left w:val="nil"/>
              <w:bottom w:val="single" w:sz="8" w:space="0" w:color="auto"/>
              <w:right w:val="single" w:sz="8" w:space="0" w:color="auto"/>
            </w:tcBorders>
            <w:shd w:val="clear" w:color="auto" w:fill="auto"/>
            <w:noWrap/>
            <w:vAlign w:val="center"/>
          </w:tcPr>
          <w:p w14:paraId="2C5689A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 de junio de 2017</w:t>
            </w:r>
          </w:p>
        </w:tc>
        <w:tc>
          <w:tcPr>
            <w:tcW w:w="2410" w:type="dxa"/>
            <w:tcBorders>
              <w:top w:val="nil"/>
              <w:left w:val="nil"/>
              <w:bottom w:val="single" w:sz="8" w:space="0" w:color="auto"/>
              <w:right w:val="single" w:sz="8" w:space="0" w:color="auto"/>
            </w:tcBorders>
            <w:shd w:val="clear" w:color="auto" w:fill="auto"/>
            <w:noWrap/>
            <w:vAlign w:val="center"/>
          </w:tcPr>
          <w:p w14:paraId="0EEAC32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julio de 2017</w:t>
            </w:r>
          </w:p>
        </w:tc>
      </w:tr>
      <w:tr w:rsidR="00B2442D" w14:paraId="37FA3F54"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3718E24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w:t>
            </w:r>
          </w:p>
        </w:tc>
        <w:tc>
          <w:tcPr>
            <w:tcW w:w="2500" w:type="dxa"/>
            <w:tcBorders>
              <w:top w:val="nil"/>
              <w:left w:val="nil"/>
              <w:bottom w:val="single" w:sz="8" w:space="0" w:color="auto"/>
              <w:right w:val="single" w:sz="8" w:space="0" w:color="auto"/>
            </w:tcBorders>
            <w:shd w:val="clear" w:color="auto" w:fill="auto"/>
            <w:noWrap/>
            <w:vAlign w:val="center"/>
          </w:tcPr>
          <w:p w14:paraId="50AC929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11 de </w:t>
            </w:r>
            <w:r>
              <w:rPr>
                <w:rFonts w:ascii="Arial" w:hAnsi="Arial" w:cs="Arial"/>
                <w:color w:val="000000"/>
                <w:sz w:val="22"/>
                <w:lang w:val="es-CO" w:eastAsia="es-CO"/>
              </w:rPr>
              <w:t>mayo de 2017</w:t>
            </w:r>
          </w:p>
        </w:tc>
        <w:tc>
          <w:tcPr>
            <w:tcW w:w="2674" w:type="dxa"/>
            <w:tcBorders>
              <w:top w:val="nil"/>
              <w:left w:val="nil"/>
              <w:bottom w:val="single" w:sz="8" w:space="0" w:color="auto"/>
              <w:right w:val="single" w:sz="8" w:space="0" w:color="auto"/>
            </w:tcBorders>
            <w:shd w:val="clear" w:color="auto" w:fill="auto"/>
            <w:noWrap/>
            <w:vAlign w:val="center"/>
          </w:tcPr>
          <w:p w14:paraId="0780361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junio de 2017</w:t>
            </w:r>
          </w:p>
        </w:tc>
        <w:tc>
          <w:tcPr>
            <w:tcW w:w="2410" w:type="dxa"/>
            <w:tcBorders>
              <w:top w:val="nil"/>
              <w:left w:val="nil"/>
              <w:bottom w:val="single" w:sz="8" w:space="0" w:color="auto"/>
              <w:right w:val="single" w:sz="8" w:space="0" w:color="auto"/>
            </w:tcBorders>
            <w:shd w:val="clear" w:color="auto" w:fill="auto"/>
            <w:noWrap/>
            <w:vAlign w:val="center"/>
          </w:tcPr>
          <w:p w14:paraId="5CA819F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julio de 2017</w:t>
            </w:r>
          </w:p>
        </w:tc>
      </w:tr>
      <w:tr w:rsidR="00B2442D" w14:paraId="6835498A"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165C3E6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7</w:t>
            </w:r>
          </w:p>
        </w:tc>
        <w:tc>
          <w:tcPr>
            <w:tcW w:w="2500" w:type="dxa"/>
            <w:tcBorders>
              <w:top w:val="nil"/>
              <w:left w:val="nil"/>
              <w:bottom w:val="single" w:sz="8" w:space="0" w:color="auto"/>
              <w:right w:val="single" w:sz="8" w:space="0" w:color="auto"/>
            </w:tcBorders>
            <w:shd w:val="clear" w:color="auto" w:fill="auto"/>
            <w:noWrap/>
            <w:vAlign w:val="center"/>
          </w:tcPr>
          <w:p w14:paraId="6BD1BFF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mayo de 2017</w:t>
            </w:r>
          </w:p>
        </w:tc>
        <w:tc>
          <w:tcPr>
            <w:tcW w:w="2674" w:type="dxa"/>
            <w:tcBorders>
              <w:top w:val="nil"/>
              <w:left w:val="nil"/>
              <w:bottom w:val="single" w:sz="8" w:space="0" w:color="auto"/>
              <w:right w:val="single" w:sz="8" w:space="0" w:color="auto"/>
            </w:tcBorders>
            <w:shd w:val="clear" w:color="auto" w:fill="auto"/>
            <w:noWrap/>
            <w:vAlign w:val="center"/>
          </w:tcPr>
          <w:p w14:paraId="68BD5CE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junio de 2017</w:t>
            </w:r>
          </w:p>
        </w:tc>
        <w:tc>
          <w:tcPr>
            <w:tcW w:w="2410" w:type="dxa"/>
            <w:tcBorders>
              <w:top w:val="nil"/>
              <w:left w:val="nil"/>
              <w:bottom w:val="single" w:sz="8" w:space="0" w:color="auto"/>
              <w:right w:val="single" w:sz="8" w:space="0" w:color="auto"/>
            </w:tcBorders>
            <w:shd w:val="clear" w:color="auto" w:fill="auto"/>
            <w:noWrap/>
            <w:vAlign w:val="center"/>
          </w:tcPr>
          <w:p w14:paraId="43A33BA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julio de 2017</w:t>
            </w:r>
          </w:p>
        </w:tc>
      </w:tr>
      <w:tr w:rsidR="00B2442D" w14:paraId="09872B27"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5F53305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6</w:t>
            </w:r>
          </w:p>
        </w:tc>
        <w:tc>
          <w:tcPr>
            <w:tcW w:w="2500" w:type="dxa"/>
            <w:tcBorders>
              <w:top w:val="nil"/>
              <w:left w:val="nil"/>
              <w:bottom w:val="single" w:sz="8" w:space="0" w:color="auto"/>
              <w:right w:val="single" w:sz="8" w:space="0" w:color="auto"/>
            </w:tcBorders>
            <w:shd w:val="clear" w:color="auto" w:fill="auto"/>
            <w:noWrap/>
            <w:vAlign w:val="center"/>
          </w:tcPr>
          <w:p w14:paraId="1572411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mayo de 2017</w:t>
            </w:r>
          </w:p>
        </w:tc>
        <w:tc>
          <w:tcPr>
            <w:tcW w:w="2674" w:type="dxa"/>
            <w:tcBorders>
              <w:top w:val="nil"/>
              <w:left w:val="nil"/>
              <w:bottom w:val="single" w:sz="8" w:space="0" w:color="auto"/>
              <w:right w:val="single" w:sz="8" w:space="0" w:color="auto"/>
            </w:tcBorders>
            <w:shd w:val="clear" w:color="auto" w:fill="auto"/>
            <w:noWrap/>
            <w:vAlign w:val="center"/>
          </w:tcPr>
          <w:p w14:paraId="5B37CDC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junio de 2017</w:t>
            </w:r>
          </w:p>
        </w:tc>
        <w:tc>
          <w:tcPr>
            <w:tcW w:w="2410" w:type="dxa"/>
            <w:tcBorders>
              <w:top w:val="nil"/>
              <w:left w:val="nil"/>
              <w:bottom w:val="single" w:sz="8" w:space="0" w:color="auto"/>
              <w:right w:val="single" w:sz="8" w:space="0" w:color="auto"/>
            </w:tcBorders>
            <w:shd w:val="clear" w:color="auto" w:fill="auto"/>
            <w:noWrap/>
            <w:vAlign w:val="center"/>
          </w:tcPr>
          <w:p w14:paraId="06DDE42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julio de 2017</w:t>
            </w:r>
          </w:p>
        </w:tc>
      </w:tr>
      <w:tr w:rsidR="00B2442D" w14:paraId="611382A6"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218F2F5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5</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0D18E57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16 de mayo de 2017</w:t>
            </w:r>
          </w:p>
        </w:tc>
        <w:tc>
          <w:tcPr>
            <w:tcW w:w="2674" w:type="dxa"/>
            <w:tcBorders>
              <w:top w:val="nil"/>
              <w:left w:val="nil"/>
              <w:bottom w:val="single" w:sz="8" w:space="0" w:color="auto"/>
              <w:right w:val="single" w:sz="8" w:space="0" w:color="auto"/>
            </w:tcBorders>
            <w:shd w:val="clear" w:color="auto" w:fill="auto"/>
            <w:noWrap/>
            <w:vAlign w:val="center"/>
          </w:tcPr>
          <w:p w14:paraId="0F27E88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junio de 2017</w:t>
            </w:r>
          </w:p>
        </w:tc>
        <w:tc>
          <w:tcPr>
            <w:tcW w:w="2410" w:type="dxa"/>
            <w:tcBorders>
              <w:top w:val="nil"/>
              <w:left w:val="nil"/>
              <w:bottom w:val="single" w:sz="8" w:space="0" w:color="auto"/>
              <w:right w:val="single" w:sz="8" w:space="0" w:color="auto"/>
            </w:tcBorders>
            <w:shd w:val="clear" w:color="auto" w:fill="auto"/>
            <w:noWrap/>
            <w:vAlign w:val="center"/>
          </w:tcPr>
          <w:p w14:paraId="0910B59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julio de 2017</w:t>
            </w:r>
          </w:p>
        </w:tc>
      </w:tr>
      <w:tr w:rsidR="00B2442D" w14:paraId="73467131"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48812D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4</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33488C1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17 de mayo </w:t>
            </w:r>
            <w:r>
              <w:rPr>
                <w:rFonts w:ascii="Arial" w:hAnsi="Arial" w:cs="Arial"/>
                <w:color w:val="000000"/>
                <w:sz w:val="22"/>
                <w:lang w:val="es-CO" w:eastAsia="es-CO"/>
              </w:rPr>
              <w:t>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0133261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16 de junio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22495B7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julio de 2017</w:t>
            </w:r>
          </w:p>
        </w:tc>
      </w:tr>
      <w:tr w:rsidR="00B2442D" w14:paraId="4B30B2CB"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0715A6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3</w:t>
            </w:r>
          </w:p>
        </w:tc>
        <w:tc>
          <w:tcPr>
            <w:tcW w:w="2500" w:type="dxa"/>
            <w:tcBorders>
              <w:top w:val="nil"/>
              <w:left w:val="nil"/>
              <w:bottom w:val="single" w:sz="8" w:space="0" w:color="auto"/>
              <w:right w:val="single" w:sz="8" w:space="0" w:color="auto"/>
            </w:tcBorders>
            <w:shd w:val="clear" w:color="auto" w:fill="auto"/>
            <w:noWrap/>
            <w:vAlign w:val="center"/>
          </w:tcPr>
          <w:p w14:paraId="47A5EB5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mayo de 2017</w:t>
            </w:r>
          </w:p>
        </w:tc>
        <w:tc>
          <w:tcPr>
            <w:tcW w:w="2674" w:type="dxa"/>
            <w:tcBorders>
              <w:top w:val="nil"/>
              <w:left w:val="nil"/>
              <w:bottom w:val="single" w:sz="8" w:space="0" w:color="auto"/>
              <w:right w:val="single" w:sz="8" w:space="0" w:color="auto"/>
            </w:tcBorders>
            <w:shd w:val="clear" w:color="auto" w:fill="auto"/>
            <w:noWrap/>
            <w:vAlign w:val="center"/>
          </w:tcPr>
          <w:p w14:paraId="4343802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junio de 2017</w:t>
            </w:r>
          </w:p>
        </w:tc>
        <w:tc>
          <w:tcPr>
            <w:tcW w:w="2410" w:type="dxa"/>
            <w:tcBorders>
              <w:top w:val="nil"/>
              <w:left w:val="nil"/>
              <w:bottom w:val="single" w:sz="8" w:space="0" w:color="auto"/>
              <w:right w:val="single" w:sz="8" w:space="0" w:color="auto"/>
            </w:tcBorders>
            <w:shd w:val="clear" w:color="auto" w:fill="auto"/>
            <w:noWrap/>
            <w:vAlign w:val="center"/>
          </w:tcPr>
          <w:p w14:paraId="0F97BCB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julio de 2017</w:t>
            </w:r>
          </w:p>
        </w:tc>
      </w:tr>
      <w:tr w:rsidR="00B2442D" w14:paraId="7F80D8B6"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2647F38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w:t>
            </w:r>
          </w:p>
        </w:tc>
        <w:tc>
          <w:tcPr>
            <w:tcW w:w="2500" w:type="dxa"/>
            <w:tcBorders>
              <w:top w:val="nil"/>
              <w:left w:val="nil"/>
              <w:bottom w:val="single" w:sz="8" w:space="0" w:color="auto"/>
              <w:right w:val="single" w:sz="8" w:space="0" w:color="auto"/>
            </w:tcBorders>
            <w:shd w:val="clear" w:color="auto" w:fill="auto"/>
            <w:noWrap/>
            <w:vAlign w:val="center"/>
          </w:tcPr>
          <w:p w14:paraId="3157785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mayo de 2017</w:t>
            </w:r>
          </w:p>
        </w:tc>
        <w:tc>
          <w:tcPr>
            <w:tcW w:w="2674" w:type="dxa"/>
            <w:tcBorders>
              <w:top w:val="nil"/>
              <w:left w:val="nil"/>
              <w:bottom w:val="single" w:sz="8" w:space="0" w:color="auto"/>
              <w:right w:val="single" w:sz="8" w:space="0" w:color="auto"/>
            </w:tcBorders>
            <w:shd w:val="clear" w:color="auto" w:fill="auto"/>
            <w:noWrap/>
            <w:vAlign w:val="center"/>
          </w:tcPr>
          <w:p w14:paraId="03AF53D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junio de 2017</w:t>
            </w:r>
          </w:p>
        </w:tc>
        <w:tc>
          <w:tcPr>
            <w:tcW w:w="2410" w:type="dxa"/>
            <w:tcBorders>
              <w:top w:val="nil"/>
              <w:left w:val="nil"/>
              <w:bottom w:val="single" w:sz="8" w:space="0" w:color="auto"/>
              <w:right w:val="single" w:sz="8" w:space="0" w:color="auto"/>
            </w:tcBorders>
            <w:shd w:val="clear" w:color="auto" w:fill="auto"/>
            <w:noWrap/>
            <w:vAlign w:val="center"/>
          </w:tcPr>
          <w:p w14:paraId="7830B44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24 de julio de 2017</w:t>
            </w:r>
          </w:p>
        </w:tc>
      </w:tr>
      <w:tr w:rsidR="00B2442D" w14:paraId="673F0651"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0D06C4E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w:t>
            </w:r>
          </w:p>
        </w:tc>
        <w:tc>
          <w:tcPr>
            <w:tcW w:w="2500" w:type="dxa"/>
            <w:tcBorders>
              <w:top w:val="nil"/>
              <w:left w:val="nil"/>
              <w:bottom w:val="single" w:sz="8" w:space="0" w:color="auto"/>
              <w:right w:val="single" w:sz="8" w:space="0" w:color="auto"/>
            </w:tcBorders>
            <w:shd w:val="clear" w:color="auto" w:fill="auto"/>
            <w:noWrap/>
            <w:vAlign w:val="center"/>
          </w:tcPr>
          <w:p w14:paraId="57BD162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mayo de 2017</w:t>
            </w:r>
          </w:p>
        </w:tc>
        <w:tc>
          <w:tcPr>
            <w:tcW w:w="2674" w:type="dxa"/>
            <w:tcBorders>
              <w:top w:val="nil"/>
              <w:left w:val="nil"/>
              <w:bottom w:val="single" w:sz="8" w:space="0" w:color="auto"/>
              <w:right w:val="single" w:sz="8" w:space="0" w:color="auto"/>
            </w:tcBorders>
            <w:shd w:val="clear" w:color="auto" w:fill="auto"/>
            <w:noWrap/>
            <w:vAlign w:val="center"/>
          </w:tcPr>
          <w:p w14:paraId="0C07CB8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junio de 2017</w:t>
            </w:r>
          </w:p>
        </w:tc>
        <w:tc>
          <w:tcPr>
            <w:tcW w:w="2410" w:type="dxa"/>
            <w:tcBorders>
              <w:top w:val="nil"/>
              <w:left w:val="nil"/>
              <w:bottom w:val="single" w:sz="8" w:space="0" w:color="auto"/>
              <w:right w:val="single" w:sz="8" w:space="0" w:color="auto"/>
            </w:tcBorders>
            <w:shd w:val="clear" w:color="auto" w:fill="auto"/>
            <w:noWrap/>
            <w:vAlign w:val="center"/>
          </w:tcPr>
          <w:p w14:paraId="2216FEF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25 de julio de 2017</w:t>
            </w:r>
          </w:p>
        </w:tc>
      </w:tr>
      <w:tr w:rsidR="00B2442D" w14:paraId="00E7F622" w14:textId="77777777">
        <w:trPr>
          <w:trHeight w:val="1176"/>
          <w:jc w:val="center"/>
        </w:trPr>
        <w:tc>
          <w:tcPr>
            <w:tcW w:w="900" w:type="dxa"/>
            <w:tcBorders>
              <w:top w:val="single" w:sz="4" w:space="0" w:color="auto"/>
              <w:left w:val="single" w:sz="8" w:space="0" w:color="auto"/>
              <w:bottom w:val="single" w:sz="8" w:space="0" w:color="auto"/>
              <w:right w:val="single" w:sz="8" w:space="0" w:color="auto"/>
            </w:tcBorders>
            <w:shd w:val="clear" w:color="auto" w:fill="D0CECE"/>
            <w:vAlign w:val="center"/>
            <w:hideMark/>
          </w:tcPr>
          <w:p w14:paraId="77E2360D"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 xml:space="preserve">Si el último </w:t>
            </w:r>
            <w:r>
              <w:rPr>
                <w:rFonts w:ascii="Arial" w:hAnsi="Arial" w:cs="Arial"/>
                <w:b/>
                <w:bCs/>
                <w:color w:val="000000"/>
                <w:sz w:val="22"/>
                <w:lang w:val="es-CO" w:eastAsia="es-CO"/>
              </w:rPr>
              <w:t>dígito es</w:t>
            </w:r>
          </w:p>
        </w:tc>
        <w:tc>
          <w:tcPr>
            <w:tcW w:w="2500" w:type="dxa"/>
            <w:tcBorders>
              <w:top w:val="single" w:sz="4" w:space="0" w:color="auto"/>
              <w:left w:val="nil"/>
              <w:bottom w:val="single" w:sz="8" w:space="0" w:color="auto"/>
              <w:right w:val="single" w:sz="8" w:space="0" w:color="auto"/>
            </w:tcBorders>
            <w:shd w:val="clear" w:color="auto" w:fill="D0CECE"/>
            <w:vAlign w:val="center"/>
            <w:hideMark/>
          </w:tcPr>
          <w:p w14:paraId="3C408EC1"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julio año 2017 hasta el día</w:t>
            </w:r>
          </w:p>
        </w:tc>
        <w:tc>
          <w:tcPr>
            <w:tcW w:w="2674" w:type="dxa"/>
            <w:tcBorders>
              <w:top w:val="single" w:sz="4" w:space="0" w:color="auto"/>
              <w:left w:val="nil"/>
              <w:bottom w:val="single" w:sz="8" w:space="0" w:color="auto"/>
              <w:right w:val="single" w:sz="8" w:space="0" w:color="auto"/>
            </w:tcBorders>
            <w:shd w:val="clear" w:color="auto" w:fill="D0CECE"/>
            <w:vAlign w:val="center"/>
            <w:hideMark/>
          </w:tcPr>
          <w:p w14:paraId="13B149AC"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agosto año 2017 hasta el día</w:t>
            </w:r>
          </w:p>
        </w:tc>
        <w:tc>
          <w:tcPr>
            <w:tcW w:w="2410" w:type="dxa"/>
            <w:tcBorders>
              <w:top w:val="single" w:sz="4" w:space="0" w:color="auto"/>
              <w:left w:val="nil"/>
              <w:bottom w:val="single" w:sz="8" w:space="0" w:color="auto"/>
              <w:right w:val="single" w:sz="8" w:space="0" w:color="auto"/>
            </w:tcBorders>
            <w:shd w:val="clear" w:color="auto" w:fill="D0CECE"/>
            <w:vAlign w:val="center"/>
            <w:hideMark/>
          </w:tcPr>
          <w:p w14:paraId="136410DF"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septiembre año 2017 hasta el día</w:t>
            </w:r>
          </w:p>
        </w:tc>
      </w:tr>
      <w:tr w:rsidR="00B2442D" w14:paraId="1E017C75"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5DDA35E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0</w:t>
            </w:r>
          </w:p>
        </w:tc>
        <w:tc>
          <w:tcPr>
            <w:tcW w:w="2500" w:type="dxa"/>
            <w:tcBorders>
              <w:top w:val="nil"/>
              <w:left w:val="nil"/>
              <w:bottom w:val="single" w:sz="8" w:space="0" w:color="auto"/>
              <w:right w:val="single" w:sz="8" w:space="0" w:color="auto"/>
            </w:tcBorders>
            <w:shd w:val="clear" w:color="auto" w:fill="auto"/>
            <w:noWrap/>
            <w:vAlign w:val="center"/>
          </w:tcPr>
          <w:p w14:paraId="175246D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 de agosto de 2017</w:t>
            </w:r>
          </w:p>
        </w:tc>
        <w:tc>
          <w:tcPr>
            <w:tcW w:w="2674" w:type="dxa"/>
            <w:tcBorders>
              <w:top w:val="nil"/>
              <w:left w:val="nil"/>
              <w:bottom w:val="single" w:sz="8" w:space="0" w:color="auto"/>
              <w:right w:val="single" w:sz="8" w:space="0" w:color="auto"/>
            </w:tcBorders>
            <w:shd w:val="clear" w:color="auto" w:fill="auto"/>
            <w:noWrap/>
            <w:vAlign w:val="center"/>
          </w:tcPr>
          <w:p w14:paraId="4A758C3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1A8FE99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Octubre de 2017</w:t>
            </w:r>
          </w:p>
        </w:tc>
      </w:tr>
      <w:tr w:rsidR="00B2442D" w14:paraId="533092F7"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3A10613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w:t>
            </w:r>
          </w:p>
        </w:tc>
        <w:tc>
          <w:tcPr>
            <w:tcW w:w="2500" w:type="dxa"/>
            <w:tcBorders>
              <w:top w:val="nil"/>
              <w:left w:val="nil"/>
              <w:bottom w:val="single" w:sz="8" w:space="0" w:color="auto"/>
              <w:right w:val="single" w:sz="8" w:space="0" w:color="auto"/>
            </w:tcBorders>
            <w:shd w:val="clear" w:color="auto" w:fill="auto"/>
            <w:noWrap/>
            <w:vAlign w:val="center"/>
          </w:tcPr>
          <w:p w14:paraId="216EEE4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agosto de 2017</w:t>
            </w:r>
          </w:p>
        </w:tc>
        <w:tc>
          <w:tcPr>
            <w:tcW w:w="2674" w:type="dxa"/>
            <w:tcBorders>
              <w:top w:val="nil"/>
              <w:left w:val="nil"/>
              <w:bottom w:val="single" w:sz="8" w:space="0" w:color="auto"/>
              <w:right w:val="single" w:sz="8" w:space="0" w:color="auto"/>
            </w:tcBorders>
            <w:shd w:val="clear" w:color="auto" w:fill="auto"/>
            <w:noWrap/>
            <w:vAlign w:val="center"/>
          </w:tcPr>
          <w:p w14:paraId="37B7C51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20114FD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11 de </w:t>
            </w:r>
            <w:r>
              <w:rPr>
                <w:rFonts w:ascii="Arial" w:hAnsi="Arial" w:cs="Arial"/>
                <w:color w:val="000000"/>
                <w:sz w:val="22"/>
                <w:lang w:val="es-CO" w:eastAsia="es-CO"/>
              </w:rPr>
              <w:t>Octubre de 2017</w:t>
            </w:r>
          </w:p>
        </w:tc>
      </w:tr>
      <w:tr w:rsidR="00B2442D" w14:paraId="5E2FB9F3"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0982FFD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w:t>
            </w:r>
          </w:p>
        </w:tc>
        <w:tc>
          <w:tcPr>
            <w:tcW w:w="2500" w:type="dxa"/>
            <w:tcBorders>
              <w:top w:val="nil"/>
              <w:left w:val="nil"/>
              <w:bottom w:val="single" w:sz="8" w:space="0" w:color="auto"/>
              <w:right w:val="single" w:sz="8" w:space="0" w:color="auto"/>
            </w:tcBorders>
            <w:shd w:val="clear" w:color="auto" w:fill="auto"/>
            <w:noWrap/>
            <w:vAlign w:val="center"/>
          </w:tcPr>
          <w:p w14:paraId="019DF3D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agosto de 2017</w:t>
            </w:r>
          </w:p>
        </w:tc>
        <w:tc>
          <w:tcPr>
            <w:tcW w:w="2674" w:type="dxa"/>
            <w:tcBorders>
              <w:top w:val="nil"/>
              <w:left w:val="nil"/>
              <w:bottom w:val="single" w:sz="4" w:space="0" w:color="auto"/>
              <w:right w:val="single" w:sz="8" w:space="0" w:color="auto"/>
            </w:tcBorders>
            <w:shd w:val="clear" w:color="auto" w:fill="auto"/>
            <w:noWrap/>
            <w:vAlign w:val="center"/>
          </w:tcPr>
          <w:p w14:paraId="239F2D1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2C91532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Octubre de 2017</w:t>
            </w:r>
          </w:p>
        </w:tc>
      </w:tr>
      <w:tr w:rsidR="00B2442D" w14:paraId="3927EE1D"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67FD790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7</w:t>
            </w:r>
          </w:p>
        </w:tc>
        <w:tc>
          <w:tcPr>
            <w:tcW w:w="2500" w:type="dxa"/>
            <w:tcBorders>
              <w:top w:val="nil"/>
              <w:left w:val="nil"/>
              <w:bottom w:val="single" w:sz="8" w:space="0" w:color="auto"/>
              <w:right w:val="single" w:sz="8" w:space="0" w:color="auto"/>
            </w:tcBorders>
            <w:shd w:val="clear" w:color="auto" w:fill="auto"/>
            <w:noWrap/>
            <w:vAlign w:val="center"/>
          </w:tcPr>
          <w:p w14:paraId="0217F5B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agosto 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6C3ABCA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24645BF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Octubre de 2017</w:t>
            </w:r>
          </w:p>
        </w:tc>
      </w:tr>
      <w:tr w:rsidR="00B2442D" w14:paraId="46A6A1E6"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BE6A5E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6</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6A7760D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agosto 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00C9F9D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Septiembre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5F832EC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Octubre de 2017</w:t>
            </w:r>
          </w:p>
        </w:tc>
      </w:tr>
      <w:tr w:rsidR="00B2442D" w14:paraId="6E5C2377" w14:textId="77777777">
        <w:trPr>
          <w:trHeight w:val="345"/>
          <w:jc w:val="center"/>
        </w:trPr>
        <w:tc>
          <w:tcPr>
            <w:tcW w:w="900" w:type="dxa"/>
            <w:tcBorders>
              <w:top w:val="nil"/>
              <w:left w:val="single" w:sz="8" w:space="0" w:color="auto"/>
              <w:bottom w:val="single" w:sz="4" w:space="0" w:color="auto"/>
              <w:right w:val="single" w:sz="8" w:space="0" w:color="auto"/>
            </w:tcBorders>
            <w:shd w:val="clear" w:color="auto" w:fill="auto"/>
            <w:noWrap/>
            <w:vAlign w:val="center"/>
            <w:hideMark/>
          </w:tcPr>
          <w:p w14:paraId="019DC16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5</w:t>
            </w:r>
          </w:p>
        </w:tc>
        <w:tc>
          <w:tcPr>
            <w:tcW w:w="2500" w:type="dxa"/>
            <w:tcBorders>
              <w:top w:val="nil"/>
              <w:left w:val="nil"/>
              <w:bottom w:val="single" w:sz="4" w:space="0" w:color="auto"/>
              <w:right w:val="single" w:sz="8" w:space="0" w:color="auto"/>
            </w:tcBorders>
            <w:shd w:val="clear" w:color="auto" w:fill="auto"/>
            <w:noWrap/>
            <w:vAlign w:val="center"/>
          </w:tcPr>
          <w:p w14:paraId="1C1280B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16  de agosto de </w:t>
            </w:r>
            <w:r>
              <w:rPr>
                <w:rFonts w:ascii="Arial" w:hAnsi="Arial" w:cs="Arial"/>
                <w:color w:val="000000"/>
                <w:sz w:val="22"/>
                <w:lang w:val="es-CO" w:eastAsia="es-CO"/>
              </w:rPr>
              <w:t>2017</w:t>
            </w:r>
          </w:p>
        </w:tc>
        <w:tc>
          <w:tcPr>
            <w:tcW w:w="2674" w:type="dxa"/>
            <w:tcBorders>
              <w:top w:val="single" w:sz="8" w:space="0" w:color="auto"/>
              <w:left w:val="nil"/>
              <w:bottom w:val="single" w:sz="4" w:space="0" w:color="auto"/>
              <w:right w:val="single" w:sz="8" w:space="0" w:color="auto"/>
            </w:tcBorders>
            <w:shd w:val="clear" w:color="auto" w:fill="auto"/>
            <w:noWrap/>
            <w:vAlign w:val="center"/>
          </w:tcPr>
          <w:p w14:paraId="0CE19C1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Septiembre de 2017</w:t>
            </w:r>
          </w:p>
        </w:tc>
        <w:tc>
          <w:tcPr>
            <w:tcW w:w="2410" w:type="dxa"/>
            <w:tcBorders>
              <w:top w:val="nil"/>
              <w:left w:val="nil"/>
              <w:bottom w:val="single" w:sz="4" w:space="0" w:color="auto"/>
              <w:right w:val="single" w:sz="8" w:space="0" w:color="auto"/>
            </w:tcBorders>
            <w:shd w:val="clear" w:color="auto" w:fill="auto"/>
            <w:noWrap/>
            <w:vAlign w:val="center"/>
          </w:tcPr>
          <w:p w14:paraId="462E03F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Octubre de 2017</w:t>
            </w:r>
          </w:p>
        </w:tc>
      </w:tr>
      <w:tr w:rsidR="00B2442D" w14:paraId="667F522D" w14:textId="77777777">
        <w:trPr>
          <w:trHeight w:val="345"/>
          <w:jc w:val="center"/>
        </w:trPr>
        <w:tc>
          <w:tcPr>
            <w:tcW w:w="90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FC97BD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4</w:t>
            </w:r>
          </w:p>
        </w:tc>
        <w:tc>
          <w:tcPr>
            <w:tcW w:w="2500" w:type="dxa"/>
            <w:tcBorders>
              <w:top w:val="single" w:sz="4" w:space="0" w:color="auto"/>
              <w:left w:val="nil"/>
              <w:bottom w:val="single" w:sz="8" w:space="0" w:color="auto"/>
              <w:right w:val="single" w:sz="8" w:space="0" w:color="auto"/>
            </w:tcBorders>
            <w:shd w:val="clear" w:color="auto" w:fill="auto"/>
            <w:noWrap/>
            <w:vAlign w:val="center"/>
          </w:tcPr>
          <w:p w14:paraId="4FA20CB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agosto de 2017</w:t>
            </w:r>
          </w:p>
        </w:tc>
        <w:tc>
          <w:tcPr>
            <w:tcW w:w="2674" w:type="dxa"/>
            <w:tcBorders>
              <w:top w:val="single" w:sz="4" w:space="0" w:color="auto"/>
              <w:left w:val="nil"/>
              <w:bottom w:val="single" w:sz="8" w:space="0" w:color="auto"/>
              <w:right w:val="single" w:sz="8" w:space="0" w:color="auto"/>
            </w:tcBorders>
            <w:shd w:val="clear" w:color="auto" w:fill="auto"/>
            <w:noWrap/>
            <w:vAlign w:val="center"/>
          </w:tcPr>
          <w:p w14:paraId="16CF18E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Septiembre de 2017</w:t>
            </w:r>
          </w:p>
        </w:tc>
        <w:tc>
          <w:tcPr>
            <w:tcW w:w="2410" w:type="dxa"/>
            <w:tcBorders>
              <w:top w:val="single" w:sz="4" w:space="0" w:color="auto"/>
              <w:left w:val="nil"/>
              <w:bottom w:val="single" w:sz="8" w:space="0" w:color="auto"/>
              <w:right w:val="single" w:sz="4" w:space="0" w:color="auto"/>
            </w:tcBorders>
            <w:shd w:val="clear" w:color="auto" w:fill="auto"/>
            <w:noWrap/>
            <w:vAlign w:val="center"/>
          </w:tcPr>
          <w:p w14:paraId="21FC48B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Octubre de 2017</w:t>
            </w:r>
          </w:p>
        </w:tc>
      </w:tr>
      <w:tr w:rsidR="00B2442D" w14:paraId="6DE92C68" w14:textId="77777777">
        <w:trPr>
          <w:trHeight w:val="345"/>
          <w:jc w:val="center"/>
        </w:trPr>
        <w:tc>
          <w:tcPr>
            <w:tcW w:w="9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D80682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3</w:t>
            </w:r>
          </w:p>
        </w:tc>
        <w:tc>
          <w:tcPr>
            <w:tcW w:w="2500" w:type="dxa"/>
            <w:tcBorders>
              <w:top w:val="single" w:sz="8" w:space="0" w:color="auto"/>
              <w:left w:val="nil"/>
              <w:bottom w:val="single" w:sz="8" w:space="0" w:color="auto"/>
              <w:right w:val="single" w:sz="8" w:space="0" w:color="auto"/>
            </w:tcBorders>
            <w:shd w:val="clear" w:color="auto" w:fill="auto"/>
            <w:noWrap/>
            <w:vAlign w:val="center"/>
          </w:tcPr>
          <w:p w14:paraId="022992C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agosto de 2017</w:t>
            </w:r>
          </w:p>
        </w:tc>
        <w:tc>
          <w:tcPr>
            <w:tcW w:w="2674" w:type="dxa"/>
            <w:tcBorders>
              <w:top w:val="single" w:sz="8" w:space="0" w:color="auto"/>
              <w:left w:val="nil"/>
              <w:bottom w:val="single" w:sz="8" w:space="0" w:color="auto"/>
              <w:right w:val="single" w:sz="8" w:space="0" w:color="auto"/>
            </w:tcBorders>
            <w:shd w:val="clear" w:color="auto" w:fill="auto"/>
            <w:noWrap/>
            <w:vAlign w:val="center"/>
          </w:tcPr>
          <w:p w14:paraId="0FF02BD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0BCDB6C4"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Octubre de 2017</w:t>
            </w:r>
          </w:p>
        </w:tc>
      </w:tr>
      <w:tr w:rsidR="00B2442D" w14:paraId="06C938A1" w14:textId="77777777">
        <w:trPr>
          <w:trHeight w:val="345"/>
          <w:jc w:val="center"/>
        </w:trPr>
        <w:tc>
          <w:tcPr>
            <w:tcW w:w="9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5597C4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w:t>
            </w:r>
          </w:p>
        </w:tc>
        <w:tc>
          <w:tcPr>
            <w:tcW w:w="2500" w:type="dxa"/>
            <w:tcBorders>
              <w:top w:val="single" w:sz="8" w:space="0" w:color="auto"/>
              <w:left w:val="nil"/>
              <w:bottom w:val="single" w:sz="8" w:space="0" w:color="auto"/>
              <w:right w:val="single" w:sz="8" w:space="0" w:color="auto"/>
            </w:tcBorders>
            <w:shd w:val="clear" w:color="auto" w:fill="auto"/>
            <w:noWrap/>
            <w:vAlign w:val="center"/>
          </w:tcPr>
          <w:p w14:paraId="7500A7C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agosto de 2017</w:t>
            </w:r>
          </w:p>
        </w:tc>
        <w:tc>
          <w:tcPr>
            <w:tcW w:w="2674" w:type="dxa"/>
            <w:tcBorders>
              <w:top w:val="single" w:sz="8" w:space="0" w:color="auto"/>
              <w:left w:val="nil"/>
              <w:bottom w:val="single" w:sz="8" w:space="0" w:color="auto"/>
              <w:right w:val="single" w:sz="8" w:space="0" w:color="auto"/>
            </w:tcBorders>
            <w:shd w:val="clear" w:color="auto" w:fill="auto"/>
            <w:noWrap/>
            <w:vAlign w:val="center"/>
          </w:tcPr>
          <w:p w14:paraId="3532235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5F81849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23 de </w:t>
            </w:r>
            <w:r>
              <w:rPr>
                <w:rFonts w:ascii="Arial" w:hAnsi="Arial" w:cs="Arial"/>
                <w:color w:val="000000"/>
                <w:sz w:val="22"/>
                <w:lang w:val="es-CO" w:eastAsia="es-CO"/>
              </w:rPr>
              <w:t>Octubre de 2017</w:t>
            </w:r>
          </w:p>
        </w:tc>
      </w:tr>
      <w:tr w:rsidR="00B2442D" w14:paraId="71BB80A6" w14:textId="77777777">
        <w:trPr>
          <w:trHeight w:val="345"/>
          <w:jc w:val="center"/>
        </w:trPr>
        <w:tc>
          <w:tcPr>
            <w:tcW w:w="90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08E37C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w:t>
            </w:r>
          </w:p>
        </w:tc>
        <w:tc>
          <w:tcPr>
            <w:tcW w:w="2500" w:type="dxa"/>
            <w:tcBorders>
              <w:top w:val="single" w:sz="8" w:space="0" w:color="auto"/>
              <w:left w:val="nil"/>
              <w:bottom w:val="single" w:sz="4" w:space="0" w:color="auto"/>
              <w:right w:val="single" w:sz="8" w:space="0" w:color="auto"/>
            </w:tcBorders>
            <w:shd w:val="clear" w:color="auto" w:fill="auto"/>
            <w:noWrap/>
            <w:vAlign w:val="center"/>
          </w:tcPr>
          <w:p w14:paraId="1AFF9FF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23 de agosto de 2017</w:t>
            </w:r>
          </w:p>
        </w:tc>
        <w:tc>
          <w:tcPr>
            <w:tcW w:w="2674" w:type="dxa"/>
            <w:tcBorders>
              <w:top w:val="single" w:sz="8" w:space="0" w:color="auto"/>
              <w:left w:val="nil"/>
              <w:bottom w:val="single" w:sz="4" w:space="0" w:color="auto"/>
              <w:right w:val="single" w:sz="8" w:space="0" w:color="auto"/>
            </w:tcBorders>
            <w:shd w:val="clear" w:color="auto" w:fill="auto"/>
            <w:noWrap/>
            <w:vAlign w:val="center"/>
          </w:tcPr>
          <w:p w14:paraId="5BA8C78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Septiembre de 2017</w:t>
            </w:r>
          </w:p>
        </w:tc>
        <w:tc>
          <w:tcPr>
            <w:tcW w:w="2410" w:type="dxa"/>
            <w:tcBorders>
              <w:top w:val="single" w:sz="8" w:space="0" w:color="auto"/>
              <w:left w:val="nil"/>
              <w:bottom w:val="single" w:sz="4" w:space="0" w:color="auto"/>
              <w:right w:val="single" w:sz="4" w:space="0" w:color="auto"/>
            </w:tcBorders>
            <w:shd w:val="clear" w:color="auto" w:fill="auto"/>
            <w:noWrap/>
            <w:vAlign w:val="center"/>
          </w:tcPr>
          <w:p w14:paraId="74FB8F7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24 de Octubre de 2017</w:t>
            </w:r>
          </w:p>
        </w:tc>
      </w:tr>
      <w:tr w:rsidR="00B2442D" w14:paraId="1516CEF9" w14:textId="77777777">
        <w:trPr>
          <w:trHeight w:val="1005"/>
          <w:jc w:val="center"/>
        </w:trPr>
        <w:tc>
          <w:tcPr>
            <w:tcW w:w="900" w:type="dxa"/>
            <w:tcBorders>
              <w:top w:val="single" w:sz="4" w:space="0" w:color="auto"/>
              <w:left w:val="single" w:sz="8" w:space="0" w:color="auto"/>
              <w:bottom w:val="single" w:sz="8" w:space="0" w:color="auto"/>
              <w:right w:val="single" w:sz="8" w:space="0" w:color="auto"/>
            </w:tcBorders>
            <w:shd w:val="clear" w:color="auto" w:fill="D0CECE"/>
            <w:vAlign w:val="center"/>
            <w:hideMark/>
          </w:tcPr>
          <w:p w14:paraId="414357F7"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Si el último dígito es</w:t>
            </w:r>
          </w:p>
        </w:tc>
        <w:tc>
          <w:tcPr>
            <w:tcW w:w="2500" w:type="dxa"/>
            <w:tcBorders>
              <w:top w:val="single" w:sz="4" w:space="0" w:color="auto"/>
              <w:left w:val="nil"/>
              <w:bottom w:val="single" w:sz="8" w:space="0" w:color="auto"/>
              <w:right w:val="single" w:sz="8" w:space="0" w:color="auto"/>
            </w:tcBorders>
            <w:shd w:val="clear" w:color="auto" w:fill="D0CECE"/>
            <w:vAlign w:val="center"/>
            <w:hideMark/>
          </w:tcPr>
          <w:p w14:paraId="4F927BB7"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octubre año 2017 hasta el día</w:t>
            </w:r>
          </w:p>
        </w:tc>
        <w:tc>
          <w:tcPr>
            <w:tcW w:w="2674" w:type="dxa"/>
            <w:tcBorders>
              <w:top w:val="single" w:sz="4" w:space="0" w:color="auto"/>
              <w:left w:val="nil"/>
              <w:bottom w:val="single" w:sz="8" w:space="0" w:color="auto"/>
              <w:right w:val="single" w:sz="8" w:space="0" w:color="auto"/>
            </w:tcBorders>
            <w:shd w:val="clear" w:color="auto" w:fill="D0CECE"/>
            <w:vAlign w:val="center"/>
            <w:hideMark/>
          </w:tcPr>
          <w:p w14:paraId="41A10548"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noviembre año 2017 hasta el día</w:t>
            </w:r>
          </w:p>
        </w:tc>
        <w:tc>
          <w:tcPr>
            <w:tcW w:w="2410" w:type="dxa"/>
            <w:tcBorders>
              <w:top w:val="single" w:sz="4" w:space="0" w:color="auto"/>
              <w:left w:val="nil"/>
              <w:bottom w:val="single" w:sz="8" w:space="0" w:color="auto"/>
              <w:right w:val="single" w:sz="8" w:space="0" w:color="auto"/>
            </w:tcBorders>
            <w:shd w:val="clear" w:color="auto" w:fill="D0CECE"/>
            <w:vAlign w:val="center"/>
            <w:hideMark/>
          </w:tcPr>
          <w:p w14:paraId="595460EA" w14:textId="77777777" w:rsidR="00B2442D" w:rsidRDefault="008A645F">
            <w:pPr>
              <w:jc w:val="center"/>
              <w:rPr>
                <w:rFonts w:ascii="Arial" w:hAnsi="Arial" w:cs="Arial"/>
                <w:b/>
                <w:bCs/>
                <w:color w:val="000000"/>
                <w:sz w:val="22"/>
                <w:lang w:val="es-CO" w:eastAsia="es-CO"/>
              </w:rPr>
            </w:pPr>
            <w:r>
              <w:rPr>
                <w:rFonts w:ascii="Arial" w:hAnsi="Arial" w:cs="Arial"/>
                <w:b/>
                <w:bCs/>
                <w:color w:val="000000"/>
                <w:sz w:val="22"/>
                <w:lang w:val="es-CO" w:eastAsia="es-CO"/>
              </w:rPr>
              <w:t>mes de diciembre año 2017 hasta el día</w:t>
            </w:r>
          </w:p>
        </w:tc>
      </w:tr>
      <w:tr w:rsidR="00B2442D" w14:paraId="26E65BA0"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70ED16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0</w:t>
            </w:r>
          </w:p>
        </w:tc>
        <w:tc>
          <w:tcPr>
            <w:tcW w:w="2500" w:type="dxa"/>
            <w:tcBorders>
              <w:top w:val="single" w:sz="4" w:space="0" w:color="auto"/>
              <w:left w:val="nil"/>
              <w:bottom w:val="single" w:sz="8" w:space="0" w:color="auto"/>
              <w:right w:val="single" w:sz="8" w:space="0" w:color="auto"/>
            </w:tcBorders>
            <w:shd w:val="clear" w:color="000000" w:fill="FFFFFF"/>
            <w:noWrap/>
            <w:vAlign w:val="center"/>
          </w:tcPr>
          <w:p w14:paraId="7E83C63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  9 de noviembre de 2017</w:t>
            </w:r>
          </w:p>
        </w:tc>
        <w:tc>
          <w:tcPr>
            <w:tcW w:w="2674" w:type="dxa"/>
            <w:tcBorders>
              <w:top w:val="single" w:sz="4" w:space="0" w:color="auto"/>
              <w:left w:val="nil"/>
              <w:bottom w:val="single" w:sz="8" w:space="0" w:color="auto"/>
              <w:right w:val="single" w:sz="8" w:space="0" w:color="auto"/>
            </w:tcBorders>
            <w:shd w:val="clear" w:color="000000" w:fill="FFFFFF"/>
            <w:noWrap/>
            <w:vAlign w:val="center"/>
          </w:tcPr>
          <w:p w14:paraId="2058F4F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diciembre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0FBB7E3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11 de enero de 2018</w:t>
            </w:r>
          </w:p>
        </w:tc>
      </w:tr>
      <w:tr w:rsidR="00B2442D" w14:paraId="1C803848" w14:textId="77777777">
        <w:trPr>
          <w:trHeight w:val="345"/>
          <w:jc w:val="center"/>
        </w:trPr>
        <w:tc>
          <w:tcPr>
            <w:tcW w:w="9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E55D9D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9</w:t>
            </w:r>
          </w:p>
        </w:tc>
        <w:tc>
          <w:tcPr>
            <w:tcW w:w="2500" w:type="dxa"/>
            <w:tcBorders>
              <w:top w:val="single" w:sz="4" w:space="0" w:color="auto"/>
              <w:left w:val="nil"/>
              <w:bottom w:val="single" w:sz="8" w:space="0" w:color="auto"/>
              <w:right w:val="single" w:sz="8" w:space="0" w:color="auto"/>
            </w:tcBorders>
            <w:shd w:val="clear" w:color="000000" w:fill="FFFFFF"/>
            <w:noWrap/>
            <w:vAlign w:val="center"/>
          </w:tcPr>
          <w:p w14:paraId="6E923F2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10 de noviembre de 2017</w:t>
            </w:r>
          </w:p>
        </w:tc>
        <w:tc>
          <w:tcPr>
            <w:tcW w:w="2674" w:type="dxa"/>
            <w:tcBorders>
              <w:top w:val="single" w:sz="4" w:space="0" w:color="auto"/>
              <w:left w:val="nil"/>
              <w:bottom w:val="single" w:sz="8" w:space="0" w:color="auto"/>
              <w:right w:val="single" w:sz="8" w:space="0" w:color="auto"/>
            </w:tcBorders>
            <w:shd w:val="clear" w:color="000000" w:fill="FFFFFF"/>
            <w:noWrap/>
            <w:vAlign w:val="center"/>
          </w:tcPr>
          <w:p w14:paraId="7B8EA52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diciembre de 2017</w:t>
            </w: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2A6269C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12 de enero de 2018</w:t>
            </w:r>
          </w:p>
        </w:tc>
      </w:tr>
      <w:tr w:rsidR="00B2442D" w14:paraId="20AFCA3C" w14:textId="77777777">
        <w:trPr>
          <w:trHeight w:val="345"/>
          <w:jc w:val="center"/>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7DFBDED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8</w:t>
            </w:r>
          </w:p>
        </w:tc>
        <w:tc>
          <w:tcPr>
            <w:tcW w:w="2500" w:type="dxa"/>
            <w:tcBorders>
              <w:top w:val="nil"/>
              <w:left w:val="nil"/>
              <w:bottom w:val="single" w:sz="4" w:space="0" w:color="auto"/>
              <w:right w:val="single" w:sz="8" w:space="0" w:color="auto"/>
            </w:tcBorders>
            <w:shd w:val="clear" w:color="000000" w:fill="FFFFFF"/>
            <w:noWrap/>
            <w:vAlign w:val="center"/>
          </w:tcPr>
          <w:p w14:paraId="42A1099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14 de noviembre de 2017</w:t>
            </w:r>
          </w:p>
        </w:tc>
        <w:tc>
          <w:tcPr>
            <w:tcW w:w="2674" w:type="dxa"/>
            <w:tcBorders>
              <w:top w:val="nil"/>
              <w:left w:val="nil"/>
              <w:bottom w:val="single" w:sz="8" w:space="0" w:color="auto"/>
              <w:right w:val="single" w:sz="8" w:space="0" w:color="auto"/>
            </w:tcBorders>
            <w:shd w:val="clear" w:color="000000" w:fill="FFFFFF"/>
            <w:noWrap/>
            <w:vAlign w:val="center"/>
          </w:tcPr>
          <w:p w14:paraId="36FAC3B2"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13 de diciembre de 2017</w:t>
            </w:r>
          </w:p>
        </w:tc>
        <w:tc>
          <w:tcPr>
            <w:tcW w:w="2410" w:type="dxa"/>
            <w:tcBorders>
              <w:top w:val="nil"/>
              <w:left w:val="nil"/>
              <w:bottom w:val="single" w:sz="4" w:space="0" w:color="auto"/>
              <w:right w:val="single" w:sz="8" w:space="0" w:color="auto"/>
            </w:tcBorders>
            <w:shd w:val="clear" w:color="auto" w:fill="auto"/>
            <w:noWrap/>
            <w:vAlign w:val="center"/>
          </w:tcPr>
          <w:p w14:paraId="4D32609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enero de 2018</w:t>
            </w:r>
          </w:p>
        </w:tc>
      </w:tr>
      <w:tr w:rsidR="00B2442D" w14:paraId="380EC02E" w14:textId="77777777">
        <w:trPr>
          <w:trHeight w:val="345"/>
          <w:jc w:val="center"/>
        </w:trPr>
        <w:tc>
          <w:tcPr>
            <w:tcW w:w="900" w:type="dxa"/>
            <w:tcBorders>
              <w:top w:val="nil"/>
              <w:left w:val="single" w:sz="8" w:space="0" w:color="auto"/>
              <w:bottom w:val="single" w:sz="4" w:space="0" w:color="auto"/>
              <w:right w:val="single" w:sz="8" w:space="0" w:color="auto"/>
            </w:tcBorders>
            <w:shd w:val="clear" w:color="auto" w:fill="auto"/>
            <w:noWrap/>
            <w:vAlign w:val="center"/>
            <w:hideMark/>
          </w:tcPr>
          <w:p w14:paraId="12EE29A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7</w:t>
            </w:r>
          </w:p>
        </w:tc>
        <w:tc>
          <w:tcPr>
            <w:tcW w:w="2500" w:type="dxa"/>
            <w:tcBorders>
              <w:top w:val="single" w:sz="4" w:space="0" w:color="auto"/>
              <w:left w:val="nil"/>
              <w:bottom w:val="single" w:sz="4" w:space="0" w:color="auto"/>
              <w:right w:val="single" w:sz="8" w:space="0" w:color="auto"/>
            </w:tcBorders>
            <w:shd w:val="clear" w:color="000000" w:fill="FFFFFF"/>
            <w:noWrap/>
            <w:vAlign w:val="center"/>
          </w:tcPr>
          <w:p w14:paraId="55C1AF6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noviembre de 2017</w:t>
            </w:r>
          </w:p>
        </w:tc>
        <w:tc>
          <w:tcPr>
            <w:tcW w:w="2674" w:type="dxa"/>
            <w:tcBorders>
              <w:top w:val="nil"/>
              <w:left w:val="nil"/>
              <w:bottom w:val="single" w:sz="4" w:space="0" w:color="auto"/>
              <w:right w:val="single" w:sz="8" w:space="0" w:color="auto"/>
            </w:tcBorders>
            <w:shd w:val="clear" w:color="000000" w:fill="FFFFFF"/>
            <w:noWrap/>
            <w:vAlign w:val="center"/>
          </w:tcPr>
          <w:p w14:paraId="02740A26"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 xml:space="preserve">14 de </w:t>
            </w:r>
            <w:r>
              <w:rPr>
                <w:rFonts w:ascii="Arial" w:hAnsi="Arial" w:cs="Arial"/>
                <w:color w:val="000000"/>
                <w:sz w:val="22"/>
                <w:lang w:val="es-CO" w:eastAsia="es-CO"/>
              </w:rPr>
              <w:t>diciembre de 2017</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8B5F898"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16 de enero de 2018</w:t>
            </w:r>
          </w:p>
        </w:tc>
      </w:tr>
      <w:tr w:rsidR="00B2442D" w14:paraId="7AEB6648"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F70D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6</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C8B09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16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2A509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15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2873F"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enero de 2018</w:t>
            </w:r>
          </w:p>
        </w:tc>
      </w:tr>
      <w:tr w:rsidR="00B2442D" w14:paraId="7E2EFCB9"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FD5A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5</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7497D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17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F154EA"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77FD"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18 de enero de 2018</w:t>
            </w:r>
          </w:p>
        </w:tc>
      </w:tr>
      <w:tr w:rsidR="00B2442D" w14:paraId="673C785F"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240E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4</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A126A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549FD3"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41C4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19 de enero de 2018</w:t>
            </w:r>
          </w:p>
        </w:tc>
      </w:tr>
      <w:tr w:rsidR="00B2442D" w14:paraId="75582650"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2CC6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3</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C83BF9"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B18DE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20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DDDF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enero de 2018</w:t>
            </w:r>
          </w:p>
        </w:tc>
      </w:tr>
      <w:tr w:rsidR="00B2442D" w14:paraId="12E6AE8D"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2BB01"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8CFD97"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E956BB"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21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12BB5"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23 de enero de 2018</w:t>
            </w:r>
          </w:p>
        </w:tc>
      </w:tr>
      <w:tr w:rsidR="00B2442D" w14:paraId="61444D2E" w14:textId="77777777">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30B00"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1</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89C62E"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23 de noviembre de 2017</w:t>
            </w:r>
          </w:p>
        </w:tc>
        <w:tc>
          <w:tcPr>
            <w:tcW w:w="26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84C1F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22 de diciembre de 2017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289FC" w14:textId="77777777" w:rsidR="00B2442D" w:rsidRDefault="008A645F">
            <w:pPr>
              <w:jc w:val="center"/>
              <w:rPr>
                <w:rFonts w:ascii="Arial" w:hAnsi="Arial" w:cs="Arial"/>
                <w:color w:val="000000"/>
                <w:sz w:val="22"/>
                <w:lang w:val="es-CO" w:eastAsia="es-CO"/>
              </w:rPr>
            </w:pPr>
            <w:r>
              <w:rPr>
                <w:rFonts w:ascii="Arial" w:hAnsi="Arial" w:cs="Arial"/>
                <w:color w:val="000000"/>
                <w:sz w:val="22"/>
                <w:lang w:val="es-CO" w:eastAsia="es-CO"/>
              </w:rPr>
              <w:t>24 de enero de 2018</w:t>
            </w:r>
          </w:p>
        </w:tc>
      </w:tr>
    </w:tbl>
    <w:p w14:paraId="1451C63D" w14:textId="77777777" w:rsidR="00B2442D" w:rsidRDefault="00B2442D">
      <w:pPr>
        <w:spacing w:line="40" w:lineRule="atLeast"/>
        <w:ind w:right="-30"/>
        <w:jc w:val="both"/>
        <w:rPr>
          <w:rFonts w:ascii="Arial" w:hAnsi="Arial" w:cs="Arial"/>
          <w:highlight w:val="yellow"/>
          <w:lang w:val="es-CO"/>
        </w:rPr>
      </w:pPr>
    </w:p>
    <w:p w14:paraId="202ED48D" w14:textId="77777777" w:rsidR="00B2442D" w:rsidRDefault="008A645F">
      <w:pPr>
        <w:pStyle w:val="Default"/>
        <w:spacing w:line="40" w:lineRule="atLeast"/>
        <w:jc w:val="both"/>
        <w:rPr>
          <w:sz w:val="22"/>
          <w:szCs w:val="22"/>
          <w:lang w:val="es-ES" w:eastAsia="es-ES"/>
        </w:rPr>
      </w:pPr>
      <w:r>
        <w:rPr>
          <w:sz w:val="22"/>
          <w:szCs w:val="22"/>
          <w:lang w:val="es-ES" w:eastAsia="es-ES"/>
        </w:rPr>
        <w:t xml:space="preserve">Los contribuyentes </w:t>
      </w:r>
      <w:r>
        <w:rPr>
          <w:sz w:val="22"/>
          <w:szCs w:val="22"/>
          <w:lang w:val="es-ES" w:eastAsia="es-ES"/>
        </w:rPr>
        <w:t xml:space="preserve">autorretenedores cuyos ingresos brutos a 31 diciembre de 2016 fueron inferiores a 92.000 UVT ($2.737.276.000) deberán presentar la declaración de retención en la fuente a título de CREE cada cuatro meses, en las siguientes fechas, de acuerdo con el último </w:t>
      </w:r>
      <w:r>
        <w:rPr>
          <w:sz w:val="22"/>
          <w:szCs w:val="22"/>
          <w:lang w:val="es-ES" w:eastAsia="es-ES"/>
        </w:rPr>
        <w:t>dígito del NIT del autorretenedor, que conste en el Certificado del Registro Único Tributario - RUT, sin tener en cuenta el dígito de verificación, así:</w:t>
      </w:r>
    </w:p>
    <w:p w14:paraId="3F9CD627" w14:textId="77777777" w:rsidR="00B2442D" w:rsidRDefault="00B2442D">
      <w:pPr>
        <w:spacing w:line="40" w:lineRule="atLeast"/>
        <w:ind w:right="-30"/>
        <w:jc w:val="both"/>
        <w:rPr>
          <w:rFonts w:ascii="Arial" w:eastAsia="Arial" w:hAnsi="Arial" w:cs="Arial"/>
          <w:highlight w:val="yellow"/>
          <w:lang w:val="es-CO"/>
        </w:rPr>
      </w:pPr>
    </w:p>
    <w:tbl>
      <w:tblPr>
        <w:tblW w:w="8626" w:type="dxa"/>
        <w:jc w:val="center"/>
        <w:tblCellMar>
          <w:left w:w="70" w:type="dxa"/>
          <w:right w:w="70" w:type="dxa"/>
        </w:tblCellMar>
        <w:tblLook w:val="04A0" w:firstRow="1" w:lastRow="0" w:firstColumn="1" w:lastColumn="0" w:noHBand="0" w:noVBand="1"/>
      </w:tblPr>
      <w:tblGrid>
        <w:gridCol w:w="1200"/>
        <w:gridCol w:w="2476"/>
        <w:gridCol w:w="2540"/>
        <w:gridCol w:w="2410"/>
      </w:tblGrid>
      <w:tr w:rsidR="00B2442D" w14:paraId="35BF6CAE" w14:textId="77777777">
        <w:trPr>
          <w:trHeight w:val="529"/>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14:paraId="7ED06118"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último</w:t>
            </w:r>
          </w:p>
          <w:p w14:paraId="1B29C823"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 xml:space="preserve"> dígito es</w:t>
            </w:r>
          </w:p>
        </w:tc>
        <w:tc>
          <w:tcPr>
            <w:tcW w:w="2476" w:type="dxa"/>
            <w:tcBorders>
              <w:top w:val="single" w:sz="4" w:space="0" w:color="auto"/>
              <w:left w:val="nil"/>
              <w:bottom w:val="nil"/>
              <w:right w:val="single" w:sz="8" w:space="0" w:color="auto"/>
            </w:tcBorders>
            <w:shd w:val="clear" w:color="000000" w:fill="BFBFBF"/>
            <w:noWrap/>
            <w:vAlign w:val="center"/>
          </w:tcPr>
          <w:p w14:paraId="2CEFA847"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Enero – Abril 2017</w:t>
            </w:r>
          </w:p>
        </w:tc>
        <w:tc>
          <w:tcPr>
            <w:tcW w:w="2540" w:type="dxa"/>
            <w:tcBorders>
              <w:top w:val="single" w:sz="4" w:space="0" w:color="auto"/>
              <w:left w:val="nil"/>
              <w:bottom w:val="nil"/>
              <w:right w:val="single" w:sz="8" w:space="0" w:color="auto"/>
            </w:tcBorders>
            <w:shd w:val="clear" w:color="000000" w:fill="BFBFBF"/>
            <w:noWrap/>
            <w:vAlign w:val="center"/>
          </w:tcPr>
          <w:p w14:paraId="0117832A"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Mayo – Agosto 2017</w:t>
            </w:r>
          </w:p>
        </w:tc>
        <w:tc>
          <w:tcPr>
            <w:tcW w:w="2410" w:type="dxa"/>
            <w:tcBorders>
              <w:top w:val="single" w:sz="4" w:space="0" w:color="auto"/>
              <w:left w:val="nil"/>
              <w:bottom w:val="nil"/>
              <w:right w:val="single" w:sz="8" w:space="0" w:color="auto"/>
            </w:tcBorders>
            <w:shd w:val="clear" w:color="000000" w:fill="BFBFBF"/>
            <w:vAlign w:val="center"/>
          </w:tcPr>
          <w:p w14:paraId="7E0F8DCA"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Septiembre – Diciembre 2017</w:t>
            </w:r>
          </w:p>
        </w:tc>
      </w:tr>
      <w:tr w:rsidR="00B2442D" w14:paraId="45D7660F" w14:textId="77777777">
        <w:trPr>
          <w:trHeight w:val="50"/>
          <w:jc w:val="center"/>
        </w:trPr>
        <w:tc>
          <w:tcPr>
            <w:tcW w:w="1200" w:type="dxa"/>
            <w:vMerge/>
            <w:tcBorders>
              <w:top w:val="single" w:sz="8" w:space="0" w:color="auto"/>
              <w:left w:val="single" w:sz="8" w:space="0" w:color="auto"/>
              <w:bottom w:val="single" w:sz="8" w:space="0" w:color="000000"/>
              <w:right w:val="single" w:sz="8" w:space="0" w:color="auto"/>
            </w:tcBorders>
            <w:shd w:val="clear" w:color="auto" w:fill="BFBFBF"/>
            <w:vAlign w:val="center"/>
            <w:hideMark/>
          </w:tcPr>
          <w:p w14:paraId="0BB91C9E" w14:textId="77777777" w:rsidR="00B2442D" w:rsidRDefault="00B2442D">
            <w:pPr>
              <w:contextualSpacing/>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p>
        </w:tc>
        <w:tc>
          <w:tcPr>
            <w:tcW w:w="2476" w:type="dxa"/>
            <w:tcBorders>
              <w:top w:val="nil"/>
              <w:left w:val="nil"/>
              <w:bottom w:val="single" w:sz="8" w:space="0" w:color="auto"/>
              <w:right w:val="single" w:sz="8" w:space="0" w:color="auto"/>
            </w:tcBorders>
            <w:shd w:val="clear" w:color="000000" w:fill="BFBFBF"/>
            <w:noWrap/>
            <w:vAlign w:val="center"/>
          </w:tcPr>
          <w:p w14:paraId="578B7EDD"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Hasta el día</w:t>
            </w:r>
          </w:p>
        </w:tc>
        <w:tc>
          <w:tcPr>
            <w:tcW w:w="2540" w:type="dxa"/>
            <w:tcBorders>
              <w:top w:val="nil"/>
              <w:left w:val="nil"/>
              <w:bottom w:val="single" w:sz="8" w:space="0" w:color="auto"/>
              <w:right w:val="single" w:sz="8" w:space="0" w:color="auto"/>
            </w:tcBorders>
            <w:shd w:val="clear" w:color="000000" w:fill="BFBFBF"/>
            <w:noWrap/>
            <w:vAlign w:val="center"/>
            <w:hideMark/>
          </w:tcPr>
          <w:p w14:paraId="1D8EB73C" w14:textId="77777777" w:rsidR="00B2442D" w:rsidRDefault="008A645F">
            <w:pPr>
              <w:contextualSpacing/>
              <w:jc w:val="cente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pPr>
            <w:r>
              <w:rPr>
                <w:rFonts w:ascii="Arial" w:hAnsi="Arial" w:cs="Arial"/>
                <w:b/>
                <w:bCs/>
                <w:color w:val="000000"/>
                <w:sz w:val="20"/>
                <w:szCs w:val="20"/>
                <w:lang w:val="es-CO" w:eastAsia="es-CO"/>
                <w14:shadow w14:blurRad="50800" w14:dist="38100" w14:dir="2700000" w14:sx="100000" w14:sy="100000" w14:kx="0" w14:ky="0" w14:algn="tl">
                  <w14:srgbClr w14:val="000000">
                    <w14:alpha w14:val="60000"/>
                  </w14:srgbClr>
                </w14:shadow>
              </w:rPr>
              <w:t>Hasta el día</w:t>
            </w:r>
          </w:p>
        </w:tc>
        <w:tc>
          <w:tcPr>
            <w:tcW w:w="2410" w:type="dxa"/>
            <w:tcBorders>
              <w:top w:val="nil"/>
              <w:left w:val="nil"/>
              <w:bottom w:val="single" w:sz="8" w:space="0" w:color="auto"/>
              <w:right w:val="single" w:sz="8" w:space="0" w:color="auto"/>
            </w:tcBorders>
            <w:shd w:val="clear" w:color="000000" w:fill="BFBFBF"/>
            <w:vAlign w:val="center"/>
            <w:hideMark/>
          </w:tcPr>
          <w:p w14:paraId="07182F33" w14:textId="77777777" w:rsidR="00B2442D" w:rsidRDefault="008A645F">
            <w:pPr>
              <w:contextualSpacing/>
              <w:jc w:val="center"/>
              <w:rPr>
                <w:rFonts w:ascii="Arial" w:hAnsi="Arial" w:cs="Arial"/>
                <w:b/>
                <w:bCs/>
                <w:color w:val="000000"/>
                <w:sz w:val="20"/>
                <w:szCs w:val="20"/>
                <w:lang w:val="es-CO" w:eastAsia="es-CO"/>
              </w:rPr>
            </w:pPr>
            <w:r>
              <w:rPr>
                <w:rFonts w:ascii="Arial" w:hAnsi="Arial" w:cs="Arial"/>
                <w:b/>
                <w:bCs/>
                <w:color w:val="000000"/>
                <w:sz w:val="20"/>
                <w:szCs w:val="20"/>
                <w:lang w:val="es-CO" w:eastAsia="es-CO"/>
              </w:rPr>
              <w:t>Hasta el días</w:t>
            </w:r>
          </w:p>
        </w:tc>
      </w:tr>
      <w:tr w:rsidR="00B2442D" w14:paraId="77F5EAFE"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73731F91"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0</w:t>
            </w:r>
          </w:p>
        </w:tc>
        <w:tc>
          <w:tcPr>
            <w:tcW w:w="2476" w:type="dxa"/>
            <w:tcBorders>
              <w:top w:val="nil"/>
              <w:left w:val="nil"/>
              <w:bottom w:val="single" w:sz="8" w:space="0" w:color="auto"/>
              <w:right w:val="single" w:sz="8" w:space="0" w:color="auto"/>
            </w:tcBorders>
            <w:shd w:val="clear" w:color="auto" w:fill="auto"/>
            <w:noWrap/>
            <w:vAlign w:val="center"/>
          </w:tcPr>
          <w:p w14:paraId="228F00E1"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 xml:space="preserve"> 9 de mayo de 2017</w:t>
            </w:r>
          </w:p>
        </w:tc>
        <w:tc>
          <w:tcPr>
            <w:tcW w:w="2540" w:type="dxa"/>
            <w:tcBorders>
              <w:top w:val="nil"/>
              <w:left w:val="nil"/>
              <w:bottom w:val="single" w:sz="8" w:space="0" w:color="auto"/>
              <w:right w:val="single" w:sz="8" w:space="0" w:color="auto"/>
            </w:tcBorders>
            <w:shd w:val="clear" w:color="auto" w:fill="auto"/>
            <w:noWrap/>
            <w:vAlign w:val="center"/>
          </w:tcPr>
          <w:p w14:paraId="63216D4F"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8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146B6B09"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11 de enero de 2018</w:t>
            </w:r>
          </w:p>
        </w:tc>
      </w:tr>
      <w:tr w:rsidR="00B2442D" w14:paraId="6BFADBD6" w14:textId="77777777">
        <w:trPr>
          <w:trHeight w:val="345"/>
          <w:jc w:val="center"/>
        </w:trPr>
        <w:tc>
          <w:tcPr>
            <w:tcW w:w="1200" w:type="dxa"/>
            <w:tcBorders>
              <w:top w:val="nil"/>
              <w:left w:val="single" w:sz="8" w:space="0" w:color="auto"/>
              <w:bottom w:val="single" w:sz="8" w:space="0" w:color="auto"/>
              <w:right w:val="single" w:sz="8" w:space="0" w:color="auto"/>
            </w:tcBorders>
            <w:shd w:val="clear" w:color="000000" w:fill="FFFFFF"/>
            <w:noWrap/>
            <w:vAlign w:val="center"/>
          </w:tcPr>
          <w:p w14:paraId="3045115A"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9</w:t>
            </w:r>
          </w:p>
        </w:tc>
        <w:tc>
          <w:tcPr>
            <w:tcW w:w="2476" w:type="dxa"/>
            <w:tcBorders>
              <w:top w:val="nil"/>
              <w:left w:val="nil"/>
              <w:bottom w:val="single" w:sz="8" w:space="0" w:color="auto"/>
              <w:right w:val="single" w:sz="8" w:space="0" w:color="auto"/>
            </w:tcBorders>
            <w:shd w:val="clear" w:color="auto" w:fill="auto"/>
            <w:noWrap/>
            <w:vAlign w:val="center"/>
          </w:tcPr>
          <w:p w14:paraId="64B785EE"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10 de mayo de 2017</w:t>
            </w:r>
          </w:p>
        </w:tc>
        <w:tc>
          <w:tcPr>
            <w:tcW w:w="2540" w:type="dxa"/>
            <w:tcBorders>
              <w:top w:val="nil"/>
              <w:left w:val="nil"/>
              <w:bottom w:val="single" w:sz="8" w:space="0" w:color="auto"/>
              <w:right w:val="single" w:sz="8" w:space="0" w:color="auto"/>
            </w:tcBorders>
            <w:shd w:val="clear" w:color="auto" w:fill="auto"/>
            <w:noWrap/>
            <w:vAlign w:val="center"/>
          </w:tcPr>
          <w:p w14:paraId="6F99EC4D"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11 de Septiembre de 2017</w:t>
            </w:r>
          </w:p>
        </w:tc>
        <w:tc>
          <w:tcPr>
            <w:tcW w:w="2410" w:type="dxa"/>
            <w:tcBorders>
              <w:top w:val="nil"/>
              <w:left w:val="nil"/>
              <w:bottom w:val="single" w:sz="8" w:space="0" w:color="auto"/>
              <w:right w:val="single" w:sz="8" w:space="0" w:color="auto"/>
            </w:tcBorders>
            <w:shd w:val="clear" w:color="auto" w:fill="auto"/>
            <w:noWrap/>
            <w:vAlign w:val="center"/>
          </w:tcPr>
          <w:p w14:paraId="7F0B34F0"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12 de enero de 2018</w:t>
            </w:r>
          </w:p>
        </w:tc>
      </w:tr>
      <w:tr w:rsidR="00B2442D" w14:paraId="4C0139AB" w14:textId="77777777">
        <w:trPr>
          <w:trHeight w:val="345"/>
          <w:jc w:val="center"/>
        </w:trPr>
        <w:tc>
          <w:tcPr>
            <w:tcW w:w="1200" w:type="dxa"/>
            <w:tcBorders>
              <w:top w:val="nil"/>
              <w:left w:val="single" w:sz="8" w:space="0" w:color="auto"/>
              <w:bottom w:val="single" w:sz="4" w:space="0" w:color="auto"/>
              <w:right w:val="single" w:sz="8" w:space="0" w:color="auto"/>
            </w:tcBorders>
            <w:shd w:val="clear" w:color="000000" w:fill="FFFFFF"/>
            <w:noWrap/>
            <w:vAlign w:val="center"/>
          </w:tcPr>
          <w:p w14:paraId="11D09C4D"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8</w:t>
            </w:r>
          </w:p>
        </w:tc>
        <w:tc>
          <w:tcPr>
            <w:tcW w:w="2476" w:type="dxa"/>
            <w:tcBorders>
              <w:top w:val="nil"/>
              <w:left w:val="nil"/>
              <w:bottom w:val="single" w:sz="4" w:space="0" w:color="auto"/>
              <w:right w:val="single" w:sz="8" w:space="0" w:color="auto"/>
            </w:tcBorders>
            <w:shd w:val="clear" w:color="auto" w:fill="auto"/>
            <w:noWrap/>
            <w:vAlign w:val="center"/>
          </w:tcPr>
          <w:p w14:paraId="0B08FDAF"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11 de mayo de 2017</w:t>
            </w:r>
          </w:p>
        </w:tc>
        <w:tc>
          <w:tcPr>
            <w:tcW w:w="2540" w:type="dxa"/>
            <w:tcBorders>
              <w:top w:val="nil"/>
              <w:left w:val="nil"/>
              <w:bottom w:val="single" w:sz="4" w:space="0" w:color="auto"/>
              <w:right w:val="single" w:sz="8" w:space="0" w:color="auto"/>
            </w:tcBorders>
            <w:shd w:val="clear" w:color="auto" w:fill="auto"/>
            <w:noWrap/>
            <w:vAlign w:val="center"/>
          </w:tcPr>
          <w:p w14:paraId="72F8CF87"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12 de Septiembre de 2017</w:t>
            </w:r>
          </w:p>
        </w:tc>
        <w:tc>
          <w:tcPr>
            <w:tcW w:w="2410" w:type="dxa"/>
            <w:tcBorders>
              <w:top w:val="nil"/>
              <w:left w:val="nil"/>
              <w:bottom w:val="single" w:sz="4" w:space="0" w:color="auto"/>
              <w:right w:val="single" w:sz="8" w:space="0" w:color="auto"/>
            </w:tcBorders>
            <w:shd w:val="clear" w:color="auto" w:fill="auto"/>
            <w:noWrap/>
            <w:vAlign w:val="center"/>
          </w:tcPr>
          <w:p w14:paraId="4E3E6DA5"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 xml:space="preserve">15 de </w:t>
            </w:r>
            <w:r>
              <w:rPr>
                <w:rFonts w:ascii="Arial" w:hAnsi="Arial" w:cs="Arial"/>
                <w:color w:val="000000"/>
                <w:sz w:val="20"/>
                <w:szCs w:val="20"/>
                <w:lang w:val="es-CO" w:eastAsia="es-CO"/>
              </w:rPr>
              <w:t>enero de 2018</w:t>
            </w:r>
          </w:p>
        </w:tc>
      </w:tr>
      <w:tr w:rsidR="00B2442D" w14:paraId="73FA3E11" w14:textId="77777777">
        <w:trPr>
          <w:trHeight w:val="345"/>
          <w:jc w:val="center"/>
        </w:trPr>
        <w:tc>
          <w:tcPr>
            <w:tcW w:w="1200" w:type="dxa"/>
            <w:tcBorders>
              <w:top w:val="single" w:sz="4" w:space="0" w:color="auto"/>
              <w:left w:val="single" w:sz="4" w:space="0" w:color="auto"/>
              <w:bottom w:val="single" w:sz="8" w:space="0" w:color="auto"/>
              <w:right w:val="single" w:sz="8" w:space="0" w:color="auto"/>
            </w:tcBorders>
            <w:shd w:val="clear" w:color="000000" w:fill="FFFFFF"/>
            <w:noWrap/>
            <w:vAlign w:val="center"/>
          </w:tcPr>
          <w:p w14:paraId="660E3015"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7</w:t>
            </w:r>
          </w:p>
        </w:tc>
        <w:tc>
          <w:tcPr>
            <w:tcW w:w="2476" w:type="dxa"/>
            <w:tcBorders>
              <w:top w:val="single" w:sz="4" w:space="0" w:color="auto"/>
              <w:left w:val="nil"/>
              <w:bottom w:val="single" w:sz="8" w:space="0" w:color="auto"/>
              <w:right w:val="single" w:sz="8" w:space="0" w:color="auto"/>
            </w:tcBorders>
            <w:shd w:val="clear" w:color="auto" w:fill="auto"/>
            <w:noWrap/>
            <w:vAlign w:val="center"/>
          </w:tcPr>
          <w:p w14:paraId="49578319"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12 de mayo de 2017</w:t>
            </w:r>
          </w:p>
        </w:tc>
        <w:tc>
          <w:tcPr>
            <w:tcW w:w="2540" w:type="dxa"/>
            <w:tcBorders>
              <w:top w:val="single" w:sz="4" w:space="0" w:color="auto"/>
              <w:left w:val="nil"/>
              <w:bottom w:val="single" w:sz="8" w:space="0" w:color="auto"/>
              <w:right w:val="single" w:sz="8" w:space="0" w:color="auto"/>
            </w:tcBorders>
            <w:shd w:val="clear" w:color="auto" w:fill="auto"/>
            <w:noWrap/>
            <w:vAlign w:val="center"/>
          </w:tcPr>
          <w:p w14:paraId="3D4D3E62"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13 de Septiembre de 2017</w:t>
            </w:r>
          </w:p>
        </w:tc>
        <w:tc>
          <w:tcPr>
            <w:tcW w:w="2410" w:type="dxa"/>
            <w:tcBorders>
              <w:top w:val="single" w:sz="4" w:space="0" w:color="auto"/>
              <w:left w:val="nil"/>
              <w:bottom w:val="single" w:sz="8" w:space="0" w:color="auto"/>
              <w:right w:val="single" w:sz="4" w:space="0" w:color="auto"/>
            </w:tcBorders>
            <w:shd w:val="clear" w:color="auto" w:fill="auto"/>
            <w:noWrap/>
            <w:vAlign w:val="center"/>
          </w:tcPr>
          <w:p w14:paraId="575F0972"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16 de enero de 2018</w:t>
            </w:r>
          </w:p>
        </w:tc>
      </w:tr>
      <w:tr w:rsidR="00B2442D" w14:paraId="0F2C9E21"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622C0257"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6</w:t>
            </w:r>
          </w:p>
        </w:tc>
        <w:tc>
          <w:tcPr>
            <w:tcW w:w="2476" w:type="dxa"/>
            <w:tcBorders>
              <w:top w:val="single" w:sz="8" w:space="0" w:color="auto"/>
              <w:left w:val="nil"/>
              <w:bottom w:val="single" w:sz="8" w:space="0" w:color="auto"/>
              <w:right w:val="single" w:sz="8" w:space="0" w:color="auto"/>
            </w:tcBorders>
            <w:shd w:val="clear" w:color="auto" w:fill="auto"/>
            <w:noWrap/>
            <w:vAlign w:val="center"/>
          </w:tcPr>
          <w:p w14:paraId="4D62C0A9"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15 de mayo de 2017</w:t>
            </w:r>
          </w:p>
        </w:tc>
        <w:tc>
          <w:tcPr>
            <w:tcW w:w="2540" w:type="dxa"/>
            <w:tcBorders>
              <w:top w:val="single" w:sz="8" w:space="0" w:color="auto"/>
              <w:left w:val="nil"/>
              <w:bottom w:val="single" w:sz="8" w:space="0" w:color="auto"/>
              <w:right w:val="single" w:sz="8" w:space="0" w:color="auto"/>
            </w:tcBorders>
            <w:shd w:val="clear" w:color="auto" w:fill="auto"/>
            <w:noWrap/>
            <w:vAlign w:val="center"/>
          </w:tcPr>
          <w:p w14:paraId="6085F34D"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14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0DD3BDFF"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17 de enero de 2018</w:t>
            </w:r>
          </w:p>
        </w:tc>
      </w:tr>
      <w:tr w:rsidR="00B2442D" w14:paraId="1317DE41"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3DBB1E32"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5</w:t>
            </w:r>
          </w:p>
        </w:tc>
        <w:tc>
          <w:tcPr>
            <w:tcW w:w="2476" w:type="dxa"/>
            <w:tcBorders>
              <w:top w:val="single" w:sz="8" w:space="0" w:color="auto"/>
              <w:left w:val="nil"/>
              <w:bottom w:val="single" w:sz="8" w:space="0" w:color="auto"/>
              <w:right w:val="single" w:sz="8" w:space="0" w:color="auto"/>
            </w:tcBorders>
            <w:shd w:val="clear" w:color="auto" w:fill="auto"/>
            <w:noWrap/>
            <w:vAlign w:val="center"/>
          </w:tcPr>
          <w:p w14:paraId="4E824592"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16 de mayo de 2017</w:t>
            </w:r>
          </w:p>
        </w:tc>
        <w:tc>
          <w:tcPr>
            <w:tcW w:w="2540" w:type="dxa"/>
            <w:tcBorders>
              <w:top w:val="single" w:sz="8" w:space="0" w:color="auto"/>
              <w:left w:val="nil"/>
              <w:bottom w:val="single" w:sz="4" w:space="0" w:color="auto"/>
              <w:right w:val="single" w:sz="8" w:space="0" w:color="auto"/>
            </w:tcBorders>
            <w:shd w:val="clear" w:color="auto" w:fill="auto"/>
            <w:noWrap/>
            <w:vAlign w:val="center"/>
          </w:tcPr>
          <w:p w14:paraId="76B3D0F8"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15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6B64BF9D"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18 de enero de 2018</w:t>
            </w:r>
          </w:p>
        </w:tc>
      </w:tr>
      <w:tr w:rsidR="00B2442D" w14:paraId="13B1A1D2"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15B60C9A"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4</w:t>
            </w:r>
          </w:p>
        </w:tc>
        <w:tc>
          <w:tcPr>
            <w:tcW w:w="2476" w:type="dxa"/>
            <w:tcBorders>
              <w:top w:val="single" w:sz="8" w:space="0" w:color="auto"/>
              <w:left w:val="nil"/>
              <w:bottom w:val="single" w:sz="8" w:space="0" w:color="auto"/>
              <w:right w:val="single" w:sz="8" w:space="0" w:color="auto"/>
            </w:tcBorders>
            <w:shd w:val="clear" w:color="auto" w:fill="auto"/>
            <w:noWrap/>
            <w:vAlign w:val="center"/>
          </w:tcPr>
          <w:p w14:paraId="040E3123"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17 de mayo de 2017</w:t>
            </w:r>
          </w:p>
        </w:tc>
        <w:tc>
          <w:tcPr>
            <w:tcW w:w="2540" w:type="dxa"/>
            <w:tcBorders>
              <w:top w:val="single" w:sz="4" w:space="0" w:color="auto"/>
              <w:left w:val="nil"/>
              <w:bottom w:val="single" w:sz="8" w:space="0" w:color="auto"/>
              <w:right w:val="single" w:sz="8" w:space="0" w:color="auto"/>
            </w:tcBorders>
            <w:shd w:val="clear" w:color="auto" w:fill="auto"/>
            <w:noWrap/>
            <w:vAlign w:val="center"/>
          </w:tcPr>
          <w:p w14:paraId="2F7FC03E"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 xml:space="preserve">18 de </w:t>
            </w:r>
            <w:r>
              <w:rPr>
                <w:rFonts w:ascii="Arial" w:hAnsi="Arial" w:cs="Arial"/>
                <w:color w:val="000000"/>
                <w:sz w:val="20"/>
                <w:szCs w:val="20"/>
                <w:lang w:val="es-CO" w:eastAsia="es-CO"/>
              </w:rPr>
              <w:t>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52FECAA9"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19 de enero de 2018</w:t>
            </w:r>
          </w:p>
        </w:tc>
      </w:tr>
      <w:tr w:rsidR="00B2442D" w14:paraId="37C6705A"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2099A266"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3</w:t>
            </w:r>
          </w:p>
        </w:tc>
        <w:tc>
          <w:tcPr>
            <w:tcW w:w="2476" w:type="dxa"/>
            <w:tcBorders>
              <w:top w:val="single" w:sz="8" w:space="0" w:color="auto"/>
              <w:left w:val="nil"/>
              <w:bottom w:val="single" w:sz="8" w:space="0" w:color="auto"/>
              <w:right w:val="single" w:sz="8" w:space="0" w:color="auto"/>
            </w:tcBorders>
            <w:shd w:val="clear" w:color="auto" w:fill="auto"/>
            <w:noWrap/>
            <w:vAlign w:val="center"/>
          </w:tcPr>
          <w:p w14:paraId="40F7E3DE"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18 de mayo de 2017</w:t>
            </w:r>
          </w:p>
        </w:tc>
        <w:tc>
          <w:tcPr>
            <w:tcW w:w="2540" w:type="dxa"/>
            <w:tcBorders>
              <w:top w:val="single" w:sz="8" w:space="0" w:color="auto"/>
              <w:left w:val="nil"/>
              <w:bottom w:val="single" w:sz="8" w:space="0" w:color="auto"/>
              <w:right w:val="single" w:sz="8" w:space="0" w:color="auto"/>
            </w:tcBorders>
            <w:shd w:val="clear" w:color="auto" w:fill="auto"/>
            <w:noWrap/>
            <w:vAlign w:val="center"/>
          </w:tcPr>
          <w:p w14:paraId="00ED9A10"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19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363C0632"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22 de enero de 2018</w:t>
            </w:r>
          </w:p>
        </w:tc>
      </w:tr>
      <w:tr w:rsidR="00B2442D" w14:paraId="5AEBEF6D" w14:textId="77777777">
        <w:trPr>
          <w:trHeight w:val="345"/>
          <w:jc w:val="center"/>
        </w:trPr>
        <w:tc>
          <w:tcPr>
            <w:tcW w:w="1200" w:type="dxa"/>
            <w:tcBorders>
              <w:top w:val="single" w:sz="8" w:space="0" w:color="auto"/>
              <w:left w:val="single" w:sz="4" w:space="0" w:color="auto"/>
              <w:bottom w:val="single" w:sz="8" w:space="0" w:color="auto"/>
              <w:right w:val="single" w:sz="8" w:space="0" w:color="auto"/>
            </w:tcBorders>
            <w:shd w:val="clear" w:color="000000" w:fill="FFFFFF"/>
            <w:noWrap/>
            <w:vAlign w:val="center"/>
          </w:tcPr>
          <w:p w14:paraId="52D0F6E0"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w:t>
            </w:r>
          </w:p>
        </w:tc>
        <w:tc>
          <w:tcPr>
            <w:tcW w:w="2476" w:type="dxa"/>
            <w:tcBorders>
              <w:top w:val="single" w:sz="8" w:space="0" w:color="auto"/>
              <w:left w:val="nil"/>
              <w:bottom w:val="single" w:sz="8" w:space="0" w:color="auto"/>
              <w:right w:val="single" w:sz="8" w:space="0" w:color="auto"/>
            </w:tcBorders>
            <w:shd w:val="clear" w:color="auto" w:fill="auto"/>
            <w:noWrap/>
            <w:vAlign w:val="center"/>
          </w:tcPr>
          <w:p w14:paraId="359BC279"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19 de mayo de 2017</w:t>
            </w:r>
          </w:p>
        </w:tc>
        <w:tc>
          <w:tcPr>
            <w:tcW w:w="2540" w:type="dxa"/>
            <w:tcBorders>
              <w:top w:val="single" w:sz="8" w:space="0" w:color="auto"/>
              <w:left w:val="nil"/>
              <w:bottom w:val="single" w:sz="8" w:space="0" w:color="auto"/>
              <w:right w:val="single" w:sz="8" w:space="0" w:color="auto"/>
            </w:tcBorders>
            <w:shd w:val="clear" w:color="auto" w:fill="auto"/>
            <w:noWrap/>
            <w:vAlign w:val="center"/>
          </w:tcPr>
          <w:p w14:paraId="3380604B"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20 de Septiembre de 2017</w:t>
            </w:r>
          </w:p>
        </w:tc>
        <w:tc>
          <w:tcPr>
            <w:tcW w:w="2410" w:type="dxa"/>
            <w:tcBorders>
              <w:top w:val="single" w:sz="8" w:space="0" w:color="auto"/>
              <w:left w:val="nil"/>
              <w:bottom w:val="single" w:sz="8" w:space="0" w:color="auto"/>
              <w:right w:val="single" w:sz="4" w:space="0" w:color="auto"/>
            </w:tcBorders>
            <w:shd w:val="clear" w:color="auto" w:fill="auto"/>
            <w:noWrap/>
            <w:vAlign w:val="center"/>
          </w:tcPr>
          <w:p w14:paraId="5EFAE9E5"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23 de enero de 2018</w:t>
            </w:r>
          </w:p>
        </w:tc>
      </w:tr>
      <w:tr w:rsidR="00B2442D" w14:paraId="2340EE36" w14:textId="77777777">
        <w:trPr>
          <w:trHeight w:val="345"/>
          <w:jc w:val="center"/>
        </w:trPr>
        <w:tc>
          <w:tcPr>
            <w:tcW w:w="1200" w:type="dxa"/>
            <w:tcBorders>
              <w:top w:val="single" w:sz="8" w:space="0" w:color="auto"/>
              <w:left w:val="single" w:sz="4" w:space="0" w:color="auto"/>
              <w:bottom w:val="single" w:sz="4" w:space="0" w:color="auto"/>
              <w:right w:val="single" w:sz="8" w:space="0" w:color="auto"/>
            </w:tcBorders>
            <w:shd w:val="clear" w:color="000000" w:fill="FFFFFF"/>
            <w:noWrap/>
            <w:vAlign w:val="center"/>
          </w:tcPr>
          <w:p w14:paraId="284CFE64"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1</w:t>
            </w:r>
          </w:p>
        </w:tc>
        <w:tc>
          <w:tcPr>
            <w:tcW w:w="2476" w:type="dxa"/>
            <w:tcBorders>
              <w:top w:val="single" w:sz="8" w:space="0" w:color="auto"/>
              <w:left w:val="nil"/>
              <w:bottom w:val="single" w:sz="4" w:space="0" w:color="auto"/>
              <w:right w:val="single" w:sz="8" w:space="0" w:color="auto"/>
            </w:tcBorders>
            <w:shd w:val="clear" w:color="auto" w:fill="auto"/>
            <w:noWrap/>
            <w:vAlign w:val="center"/>
          </w:tcPr>
          <w:p w14:paraId="2CC81B58"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22 de mayo de 2017</w:t>
            </w:r>
          </w:p>
        </w:tc>
        <w:tc>
          <w:tcPr>
            <w:tcW w:w="2540" w:type="dxa"/>
            <w:tcBorders>
              <w:top w:val="single" w:sz="8" w:space="0" w:color="auto"/>
              <w:left w:val="nil"/>
              <w:bottom w:val="single" w:sz="4" w:space="0" w:color="auto"/>
              <w:right w:val="single" w:sz="8" w:space="0" w:color="auto"/>
            </w:tcBorders>
            <w:shd w:val="clear" w:color="auto" w:fill="auto"/>
            <w:noWrap/>
            <w:vAlign w:val="center"/>
          </w:tcPr>
          <w:p w14:paraId="13CDD0B8"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21 de Septiembre de 2017</w:t>
            </w:r>
          </w:p>
        </w:tc>
        <w:tc>
          <w:tcPr>
            <w:tcW w:w="2410" w:type="dxa"/>
            <w:tcBorders>
              <w:top w:val="single" w:sz="8" w:space="0" w:color="auto"/>
              <w:left w:val="nil"/>
              <w:bottom w:val="single" w:sz="4" w:space="0" w:color="auto"/>
              <w:right w:val="single" w:sz="4" w:space="0" w:color="auto"/>
            </w:tcBorders>
            <w:shd w:val="clear" w:color="auto" w:fill="auto"/>
            <w:noWrap/>
            <w:vAlign w:val="center"/>
          </w:tcPr>
          <w:p w14:paraId="59CCDCD6" w14:textId="77777777" w:rsidR="00B2442D" w:rsidRDefault="008A645F">
            <w:pPr>
              <w:jc w:val="center"/>
              <w:rPr>
                <w:rFonts w:ascii="Arial" w:hAnsi="Arial" w:cs="Arial"/>
                <w:color w:val="000000"/>
                <w:sz w:val="20"/>
                <w:szCs w:val="20"/>
                <w:lang w:val="es-CO" w:eastAsia="es-CO"/>
              </w:rPr>
            </w:pPr>
            <w:r>
              <w:rPr>
                <w:rFonts w:ascii="Arial" w:hAnsi="Arial" w:cs="Arial"/>
                <w:color w:val="000000"/>
                <w:sz w:val="20"/>
                <w:szCs w:val="20"/>
                <w:lang w:val="es-CO" w:eastAsia="es-CO"/>
              </w:rPr>
              <w:t>24 de enero de 2018</w:t>
            </w:r>
          </w:p>
        </w:tc>
      </w:tr>
    </w:tbl>
    <w:p w14:paraId="0CFF59BF" w14:textId="77777777" w:rsidR="00B2442D" w:rsidRDefault="00B2442D">
      <w:pPr>
        <w:spacing w:line="40" w:lineRule="atLeast"/>
        <w:ind w:right="-30"/>
        <w:jc w:val="both"/>
        <w:rPr>
          <w:rFonts w:ascii="Arial" w:hAnsi="Arial" w:cs="Arial"/>
          <w:highlight w:val="yellow"/>
          <w:lang w:val="es-CO"/>
        </w:rPr>
      </w:pPr>
    </w:p>
    <w:p w14:paraId="3B22BCD8" w14:textId="77777777" w:rsidR="00B2442D" w:rsidRDefault="008A645F">
      <w:pPr>
        <w:spacing w:line="40" w:lineRule="atLeast"/>
        <w:jc w:val="both"/>
        <w:rPr>
          <w:rFonts w:ascii="Arial" w:hAnsi="Arial" w:cs="Arial"/>
        </w:rPr>
      </w:pPr>
      <w:r>
        <w:rPr>
          <w:rFonts w:ascii="Arial" w:hAnsi="Arial" w:cs="Arial"/>
          <w:b/>
        </w:rPr>
        <w:t xml:space="preserve">Parágrafo 1. </w:t>
      </w:r>
      <w:r>
        <w:rPr>
          <w:rFonts w:ascii="Arial" w:hAnsi="Arial" w:cs="Arial"/>
        </w:rPr>
        <w:t>Los autorretenedores que cuenten con el mecanismo de firma digital o firma electrónica estarán obligados a presentar las declaraciones de retenciones en la fuente por concepto del impuesto sobre la renta para la equidad -CREE por medios electr</w:t>
      </w:r>
      <w:r>
        <w:rPr>
          <w:rFonts w:ascii="Arial" w:hAnsi="Arial" w:cs="Arial"/>
        </w:rPr>
        <w:t>ónicos. Las declaraciones presentadas por un medio diferente, por parte del obligado a utilizar el sistema electrónico, se tendrán como no presentadas.</w:t>
      </w:r>
    </w:p>
    <w:p w14:paraId="3EB376BF" w14:textId="77777777" w:rsidR="00B2442D" w:rsidRDefault="00B2442D">
      <w:pPr>
        <w:spacing w:line="40" w:lineRule="atLeast"/>
        <w:jc w:val="both"/>
        <w:rPr>
          <w:rFonts w:ascii="Arial" w:hAnsi="Arial" w:cs="Arial"/>
        </w:rPr>
      </w:pPr>
    </w:p>
    <w:p w14:paraId="05DF53C8" w14:textId="77777777" w:rsidR="00B2442D" w:rsidRDefault="008A645F">
      <w:pPr>
        <w:spacing w:line="40" w:lineRule="atLeast"/>
        <w:jc w:val="both"/>
        <w:rPr>
          <w:rFonts w:ascii="Arial" w:hAnsi="Arial" w:cs="Arial"/>
        </w:rPr>
      </w:pPr>
      <w:r>
        <w:rPr>
          <w:rFonts w:ascii="Arial" w:hAnsi="Arial" w:cs="Arial"/>
          <w:b/>
        </w:rPr>
        <w:t>Parágrafo 2.</w:t>
      </w:r>
      <w:r>
        <w:rPr>
          <w:rFonts w:ascii="Arial" w:hAnsi="Arial" w:cs="Arial"/>
        </w:rPr>
        <w:t xml:space="preserve"> De conformidad con lo consagrado en los incisos primero y quinto del artículo 580-1 del Es</w:t>
      </w:r>
      <w:r>
        <w:rPr>
          <w:rFonts w:ascii="Arial" w:hAnsi="Arial" w:cs="Arial"/>
        </w:rPr>
        <w:t>tatuto Tributario, el pago de la autorretención a título del impuesto sobre la renta para la equidad-CREE, deberá hacerse a más tardar en la fecha del vencimiento del plazo para declarar señalado anteriormente, so pena de que la declaración no produzca efe</w:t>
      </w:r>
      <w:r>
        <w:rPr>
          <w:rFonts w:ascii="Arial" w:hAnsi="Arial" w:cs="Arial"/>
        </w:rPr>
        <w:t xml:space="preserve">cto legal alguno, sin necesidad de acto administrativo que así lo declare. </w:t>
      </w:r>
    </w:p>
    <w:p w14:paraId="639DE3B0" w14:textId="77777777" w:rsidR="00B2442D" w:rsidRDefault="00B2442D">
      <w:pPr>
        <w:spacing w:line="40" w:lineRule="atLeast"/>
        <w:jc w:val="both"/>
        <w:rPr>
          <w:rFonts w:ascii="Arial" w:hAnsi="Arial" w:cs="Arial"/>
        </w:rPr>
      </w:pPr>
    </w:p>
    <w:p w14:paraId="3B34D471" w14:textId="77777777" w:rsidR="00B2442D" w:rsidRDefault="008A645F">
      <w:pPr>
        <w:pStyle w:val="Default"/>
        <w:spacing w:line="40" w:lineRule="atLeast"/>
        <w:jc w:val="both"/>
        <w:rPr>
          <w:lang w:val="es-ES" w:eastAsia="es-ES"/>
        </w:rPr>
      </w:pPr>
      <w:r>
        <w:rPr>
          <w:b/>
          <w:lang w:val="es-ES" w:eastAsia="es-ES"/>
        </w:rPr>
        <w:t>Parágrafo 3</w:t>
      </w:r>
      <w:r>
        <w:rPr>
          <w:lang w:val="es-ES" w:eastAsia="es-ES"/>
        </w:rPr>
        <w:t>. La presentación de la declaración de que trata este artículo no será obligatoria en los períodos en los cuales no se hayan realizado operaciones sujetas a autorretenc</w:t>
      </w:r>
      <w:r>
        <w:rPr>
          <w:lang w:val="es-ES" w:eastAsia="es-ES"/>
        </w:rPr>
        <w:t>ión.</w:t>
      </w:r>
    </w:p>
    <w:p w14:paraId="74C6D667" w14:textId="77777777" w:rsidR="00B2442D" w:rsidRDefault="00B2442D">
      <w:pPr>
        <w:pStyle w:val="Default"/>
        <w:spacing w:line="40" w:lineRule="atLeast"/>
        <w:jc w:val="both"/>
        <w:rPr>
          <w:lang w:val="es-ES" w:eastAsia="es-ES"/>
        </w:rPr>
      </w:pPr>
    </w:p>
    <w:p w14:paraId="0B1C2814" w14:textId="77777777" w:rsidR="00B2442D" w:rsidRDefault="008A645F">
      <w:pPr>
        <w:pStyle w:val="Default"/>
        <w:spacing w:line="40" w:lineRule="atLeast"/>
        <w:jc w:val="both"/>
      </w:pPr>
      <w:r>
        <w:rPr>
          <w:b/>
        </w:rPr>
        <w:t>Parágrafo 4.</w:t>
      </w:r>
      <w:r>
        <w:t xml:space="preserve"> Los contribuyentes autorretenedores que se constituyan durante el año o periodo gravable deberán presentar la declaración de retención en la fuente a título de Impuesto sobre la Renta para la Equidad – CREE correspondiente a ese año o periodo gravable, ca</w:t>
      </w:r>
      <w:r>
        <w:t>da cuatro (4) meses, en los plazos aquí señalados.</w:t>
      </w:r>
    </w:p>
    <w:p w14:paraId="523A4814" w14:textId="77777777" w:rsidR="00B2442D" w:rsidRDefault="00B2442D">
      <w:pPr>
        <w:pStyle w:val="Default"/>
        <w:spacing w:line="40" w:lineRule="atLeast"/>
        <w:jc w:val="both"/>
      </w:pPr>
    </w:p>
    <w:p w14:paraId="20EC05AD"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73" w:history="1">
        <w:r>
          <w:rPr>
            <w:rStyle w:val="Hipervnculo"/>
            <w:rFonts w:ascii="Arial" w:hAnsi="Arial" w:cs="Arial"/>
            <w:i/>
          </w:rPr>
          <w:t>Art. 29 Decreto 2105 de 2016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w:t>
      </w:r>
      <w:r>
        <w:rPr>
          <w:rFonts w:ascii="Arial" w:hAnsi="Arial" w:cs="Arial"/>
          <w:i/>
          <w:iCs/>
          <w:color w:val="000000"/>
          <w:lang w:val="es-CO" w:eastAsia="es-CO"/>
        </w:rPr>
        <w:t>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19A29298" w14:textId="77777777" w:rsidR="00B2442D" w:rsidRDefault="00B2442D">
      <w:pPr>
        <w:jc w:val="both"/>
        <w:rPr>
          <w:rFonts w:ascii="Arial" w:hAnsi="Arial" w:cs="Arial"/>
          <w:i/>
          <w:highlight w:val="yellow"/>
          <w:lang w:val="es-ES_tradnl"/>
        </w:rPr>
      </w:pPr>
    </w:p>
    <w:p w14:paraId="0CDE9568" w14:textId="77777777" w:rsidR="00B2442D" w:rsidRDefault="00B2442D">
      <w:pPr>
        <w:spacing w:line="40" w:lineRule="atLeast"/>
        <w:ind w:right="-30"/>
        <w:rPr>
          <w:rFonts w:ascii="Arial" w:eastAsia="Arial" w:hAnsi="Arial" w:cs="Arial"/>
          <w:b/>
          <w:w w:val="105"/>
          <w:lang w:val="es-CO"/>
        </w:rPr>
      </w:pPr>
    </w:p>
    <w:p w14:paraId="5216757F" w14:textId="77777777" w:rsidR="00B2442D" w:rsidRDefault="008A645F">
      <w:pPr>
        <w:spacing w:line="40" w:lineRule="atLeast"/>
        <w:ind w:right="-30"/>
        <w:jc w:val="center"/>
        <w:rPr>
          <w:rFonts w:ascii="Arial" w:eastAsia="Arial" w:hAnsi="Arial" w:cs="Arial"/>
          <w:b/>
          <w:lang w:val="es-CO"/>
        </w:rPr>
      </w:pPr>
      <w:r>
        <w:rPr>
          <w:rFonts w:ascii="Arial" w:eastAsia="Arial" w:hAnsi="Arial" w:cs="Arial"/>
          <w:b/>
          <w:w w:val="105"/>
          <w:lang w:val="es-CO"/>
        </w:rPr>
        <w:t>IMPUESTO</w:t>
      </w:r>
      <w:r>
        <w:rPr>
          <w:rFonts w:ascii="Arial" w:eastAsia="Arial" w:hAnsi="Arial" w:cs="Arial"/>
          <w:b/>
          <w:spacing w:val="13"/>
          <w:w w:val="105"/>
          <w:lang w:val="es-CO"/>
        </w:rPr>
        <w:t xml:space="preserve"> </w:t>
      </w:r>
      <w:r>
        <w:rPr>
          <w:rFonts w:ascii="Arial" w:eastAsia="Arial" w:hAnsi="Arial" w:cs="Arial"/>
          <w:b/>
          <w:w w:val="105"/>
          <w:lang w:val="es-CO"/>
        </w:rPr>
        <w:t>NACIONAL</w:t>
      </w:r>
      <w:r>
        <w:rPr>
          <w:rFonts w:ascii="Arial" w:eastAsia="Arial" w:hAnsi="Arial" w:cs="Arial"/>
          <w:b/>
          <w:spacing w:val="4"/>
          <w:w w:val="105"/>
          <w:lang w:val="es-CO"/>
        </w:rPr>
        <w:t xml:space="preserve"> </w:t>
      </w:r>
      <w:r>
        <w:rPr>
          <w:rFonts w:ascii="Arial" w:eastAsia="Arial" w:hAnsi="Arial" w:cs="Arial"/>
          <w:b/>
          <w:w w:val="105"/>
          <w:lang w:val="es-CO"/>
        </w:rPr>
        <w:t>A</w:t>
      </w:r>
      <w:r>
        <w:rPr>
          <w:rFonts w:ascii="Arial" w:eastAsia="Arial" w:hAnsi="Arial" w:cs="Arial"/>
          <w:b/>
          <w:spacing w:val="14"/>
          <w:w w:val="105"/>
          <w:lang w:val="es-CO"/>
        </w:rPr>
        <w:t xml:space="preserve"> </w:t>
      </w:r>
      <w:r>
        <w:rPr>
          <w:rFonts w:ascii="Arial" w:eastAsia="Arial" w:hAnsi="Arial" w:cs="Arial"/>
          <w:b/>
          <w:w w:val="105"/>
          <w:lang w:val="es-CO"/>
        </w:rPr>
        <w:t>LA</w:t>
      </w:r>
      <w:r>
        <w:rPr>
          <w:rFonts w:ascii="Arial" w:eastAsia="Arial" w:hAnsi="Arial" w:cs="Arial"/>
          <w:b/>
          <w:spacing w:val="-9"/>
          <w:w w:val="105"/>
          <w:lang w:val="es-CO"/>
        </w:rPr>
        <w:t xml:space="preserve"> </w:t>
      </w:r>
      <w:r>
        <w:rPr>
          <w:rFonts w:ascii="Arial" w:eastAsia="Arial" w:hAnsi="Arial" w:cs="Arial"/>
          <w:b/>
          <w:w w:val="105"/>
          <w:lang w:val="es-CO"/>
        </w:rPr>
        <w:t>GASOLINA</w:t>
      </w:r>
      <w:r>
        <w:rPr>
          <w:rFonts w:ascii="Arial" w:eastAsia="Arial" w:hAnsi="Arial" w:cs="Arial"/>
          <w:b/>
          <w:spacing w:val="6"/>
          <w:w w:val="105"/>
          <w:lang w:val="es-CO"/>
        </w:rPr>
        <w:t xml:space="preserve"> </w:t>
      </w:r>
      <w:r>
        <w:rPr>
          <w:rFonts w:ascii="Arial" w:eastAsia="Arial" w:hAnsi="Arial" w:cs="Arial"/>
          <w:b/>
          <w:w w:val="105"/>
          <w:lang w:val="es-CO"/>
        </w:rPr>
        <w:t>Y</w:t>
      </w:r>
      <w:r>
        <w:rPr>
          <w:rFonts w:ascii="Arial" w:eastAsia="Arial" w:hAnsi="Arial" w:cs="Arial"/>
          <w:b/>
          <w:spacing w:val="1"/>
          <w:w w:val="105"/>
          <w:lang w:val="es-CO"/>
        </w:rPr>
        <w:t xml:space="preserve"> </w:t>
      </w:r>
      <w:r>
        <w:rPr>
          <w:rFonts w:ascii="Arial" w:eastAsia="Arial" w:hAnsi="Arial" w:cs="Arial"/>
          <w:b/>
          <w:w w:val="105"/>
          <w:lang w:val="es-CO"/>
        </w:rPr>
        <w:t>AL ACPM</w:t>
      </w:r>
    </w:p>
    <w:p w14:paraId="42A66440" w14:textId="77777777" w:rsidR="00B2442D" w:rsidRDefault="00B2442D">
      <w:pPr>
        <w:spacing w:line="40" w:lineRule="atLeast"/>
        <w:ind w:right="-30"/>
        <w:jc w:val="both"/>
        <w:rPr>
          <w:rFonts w:ascii="Arial" w:hAnsi="Arial" w:cs="Arial"/>
          <w:lang w:val="es-CO"/>
        </w:rPr>
      </w:pPr>
    </w:p>
    <w:p w14:paraId="0460C04C" w14:textId="77777777" w:rsidR="00B2442D" w:rsidRDefault="008A645F">
      <w:pPr>
        <w:pStyle w:val="Prrafodelista"/>
        <w:numPr>
          <w:ilvl w:val="0"/>
          <w:numId w:val="152"/>
        </w:numPr>
        <w:spacing w:line="40" w:lineRule="atLeast"/>
        <w:ind w:left="0" w:right="-30" w:firstLine="0"/>
        <w:jc w:val="both"/>
        <w:rPr>
          <w:rFonts w:ascii="Arial" w:eastAsia="Arial" w:hAnsi="Arial" w:cs="Arial"/>
          <w:w w:val="105"/>
          <w:lang w:val="es-CO"/>
        </w:rPr>
      </w:pPr>
      <w:r>
        <w:rPr>
          <w:rFonts w:ascii="Arial" w:eastAsia="Arial" w:hAnsi="Arial" w:cs="Arial"/>
          <w:b/>
          <w:i/>
          <w:w w:val="105"/>
          <w:lang w:val="es-CO"/>
        </w:rPr>
        <w:t xml:space="preserve">Declaración </w:t>
      </w:r>
      <w:r>
        <w:rPr>
          <w:rFonts w:ascii="Arial" w:eastAsia="Arial" w:hAnsi="Arial" w:cs="Arial"/>
          <w:b/>
          <w:i/>
          <w:spacing w:val="39"/>
          <w:w w:val="105"/>
          <w:lang w:val="es-CO"/>
        </w:rPr>
        <w:t xml:space="preserve"> </w:t>
      </w:r>
      <w:r>
        <w:rPr>
          <w:rFonts w:ascii="Arial" w:eastAsia="Arial" w:hAnsi="Arial" w:cs="Arial"/>
          <w:b/>
          <w:i/>
          <w:w w:val="105"/>
          <w:lang w:val="es-CO"/>
        </w:rPr>
        <w:t xml:space="preserve">mensual </w:t>
      </w:r>
      <w:r>
        <w:rPr>
          <w:rFonts w:ascii="Arial" w:eastAsia="Arial" w:hAnsi="Arial" w:cs="Arial"/>
          <w:b/>
          <w:i/>
          <w:spacing w:val="36"/>
          <w:w w:val="105"/>
          <w:lang w:val="es-CO"/>
        </w:rPr>
        <w:t xml:space="preserve"> </w:t>
      </w:r>
      <w:r>
        <w:rPr>
          <w:rFonts w:ascii="Arial" w:eastAsia="Arial" w:hAnsi="Arial" w:cs="Arial"/>
          <w:b/>
          <w:i/>
          <w:w w:val="105"/>
          <w:lang w:val="es-CO"/>
        </w:rPr>
        <w:t xml:space="preserve">del </w:t>
      </w:r>
      <w:r>
        <w:rPr>
          <w:rFonts w:ascii="Arial" w:eastAsia="Arial" w:hAnsi="Arial" w:cs="Arial"/>
          <w:b/>
          <w:i/>
          <w:spacing w:val="18"/>
          <w:w w:val="105"/>
          <w:lang w:val="es-CO"/>
        </w:rPr>
        <w:t xml:space="preserve"> </w:t>
      </w:r>
      <w:r>
        <w:rPr>
          <w:rFonts w:ascii="Arial" w:eastAsia="Arial" w:hAnsi="Arial" w:cs="Arial"/>
          <w:b/>
          <w:i/>
          <w:w w:val="105"/>
          <w:lang w:val="es-CO"/>
        </w:rPr>
        <w:t xml:space="preserve">impuesto </w:t>
      </w:r>
      <w:r>
        <w:rPr>
          <w:rFonts w:ascii="Arial" w:eastAsia="Arial" w:hAnsi="Arial" w:cs="Arial"/>
          <w:b/>
          <w:i/>
          <w:spacing w:val="36"/>
          <w:w w:val="105"/>
          <w:lang w:val="es-CO"/>
        </w:rPr>
        <w:t xml:space="preserve"> </w:t>
      </w:r>
      <w:r>
        <w:rPr>
          <w:rFonts w:ascii="Arial" w:eastAsia="Arial" w:hAnsi="Arial" w:cs="Arial"/>
          <w:b/>
          <w:i/>
          <w:w w:val="105"/>
          <w:lang w:val="es-CO"/>
        </w:rPr>
        <w:t xml:space="preserve">nacional </w:t>
      </w:r>
      <w:r>
        <w:rPr>
          <w:rFonts w:ascii="Arial" w:eastAsia="Arial" w:hAnsi="Arial" w:cs="Arial"/>
          <w:b/>
          <w:i/>
          <w:spacing w:val="26"/>
          <w:w w:val="105"/>
          <w:lang w:val="es-CO"/>
        </w:rPr>
        <w:t xml:space="preserve"> </w:t>
      </w:r>
      <w:r>
        <w:rPr>
          <w:rFonts w:ascii="Arial" w:eastAsia="Arial" w:hAnsi="Arial" w:cs="Arial"/>
          <w:b/>
          <w:i/>
          <w:w w:val="105"/>
          <w:lang w:val="es-CO"/>
        </w:rPr>
        <w:t>a la gasolina</w:t>
      </w:r>
      <w:r>
        <w:rPr>
          <w:rFonts w:ascii="Arial" w:eastAsia="Arial" w:hAnsi="Arial" w:cs="Arial"/>
          <w:b/>
          <w:i/>
          <w:spacing w:val="27"/>
          <w:w w:val="105"/>
          <w:lang w:val="es-CO"/>
        </w:rPr>
        <w:t xml:space="preserve"> </w:t>
      </w:r>
      <w:r>
        <w:rPr>
          <w:rFonts w:ascii="Arial" w:eastAsia="Arial" w:hAnsi="Arial" w:cs="Arial"/>
          <w:b/>
          <w:i/>
          <w:w w:val="105"/>
          <w:lang w:val="es-CO"/>
        </w:rPr>
        <w:t>y</w:t>
      </w:r>
      <w:r>
        <w:rPr>
          <w:rFonts w:ascii="Arial" w:eastAsia="Arial" w:hAnsi="Arial" w:cs="Arial"/>
          <w:b/>
          <w:i/>
          <w:spacing w:val="16"/>
          <w:w w:val="105"/>
          <w:lang w:val="es-CO"/>
        </w:rPr>
        <w:t xml:space="preserve"> </w:t>
      </w:r>
      <w:r>
        <w:rPr>
          <w:rFonts w:ascii="Arial" w:eastAsia="Arial" w:hAnsi="Arial" w:cs="Arial"/>
          <w:b/>
          <w:i/>
          <w:w w:val="105"/>
          <w:lang w:val="es-CO"/>
        </w:rPr>
        <w:t>al</w:t>
      </w:r>
      <w:r>
        <w:rPr>
          <w:rFonts w:ascii="Arial" w:eastAsia="Arial" w:hAnsi="Arial" w:cs="Arial"/>
          <w:b/>
          <w:i/>
          <w:spacing w:val="22"/>
          <w:w w:val="105"/>
          <w:lang w:val="es-CO"/>
        </w:rPr>
        <w:t xml:space="preserve"> </w:t>
      </w:r>
      <w:r>
        <w:rPr>
          <w:rFonts w:ascii="Arial" w:eastAsia="Arial" w:hAnsi="Arial" w:cs="Arial"/>
          <w:b/>
          <w:i/>
          <w:w w:val="105"/>
          <w:lang w:val="es-CO"/>
        </w:rPr>
        <w:t>ACPM.</w:t>
      </w:r>
      <w:r>
        <w:rPr>
          <w:rFonts w:ascii="Arial" w:eastAsia="Arial" w:hAnsi="Arial" w:cs="Arial"/>
          <w:i/>
          <w:spacing w:val="33"/>
          <w:w w:val="105"/>
          <w:lang w:val="es-CO"/>
        </w:rPr>
        <w:t xml:space="preserve"> </w:t>
      </w:r>
      <w:r>
        <w:rPr>
          <w:rFonts w:ascii="Arial" w:eastAsia="Arial" w:hAnsi="Arial" w:cs="Arial"/>
          <w:w w:val="105"/>
          <w:lang w:val="es-CO"/>
        </w:rPr>
        <w:t xml:space="preserve">Los responsables del Impuesto Nacional a la Gasolina y al ACPM declararán y pagarán el impuesto correspondiente a los períodos gravables del año 2017 en las fechas de vencimiento </w:t>
      </w:r>
      <w:r>
        <w:rPr>
          <w:rFonts w:ascii="Arial" w:eastAsia="Arial" w:hAnsi="Arial" w:cs="Arial"/>
          <w:w w:val="105"/>
          <w:lang w:val="es-CO"/>
        </w:rPr>
        <w:t>siguientes:</w:t>
      </w:r>
    </w:p>
    <w:p w14:paraId="0EBDDD4F" w14:textId="77777777" w:rsidR="00B2442D" w:rsidRDefault="00B2442D">
      <w:pPr>
        <w:spacing w:line="40" w:lineRule="atLeast"/>
        <w:ind w:right="-30"/>
        <w:jc w:val="both"/>
        <w:rPr>
          <w:rFonts w:ascii="Arial" w:eastAsia="Arial" w:hAnsi="Arial" w:cs="Arial"/>
          <w:w w:val="105"/>
          <w:highlight w:val="yellow"/>
          <w:lang w:val="es-CO"/>
        </w:rPr>
      </w:pPr>
    </w:p>
    <w:tbl>
      <w:tblPr>
        <w:tblW w:w="5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0"/>
        <w:gridCol w:w="3140"/>
      </w:tblGrid>
      <w:tr w:rsidR="00B2442D" w14:paraId="50CB9FDC" w14:textId="77777777">
        <w:trPr>
          <w:trHeight w:val="345"/>
          <w:tblHeader/>
          <w:jc w:val="center"/>
        </w:trPr>
        <w:tc>
          <w:tcPr>
            <w:tcW w:w="2340" w:type="dxa"/>
            <w:shd w:val="clear" w:color="auto" w:fill="D0CECE"/>
            <w:vAlign w:val="center"/>
            <w:hideMark/>
          </w:tcPr>
          <w:p w14:paraId="24DFCDEF"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Periodo gravable</w:t>
            </w:r>
          </w:p>
        </w:tc>
        <w:tc>
          <w:tcPr>
            <w:tcW w:w="3140" w:type="dxa"/>
            <w:shd w:val="clear" w:color="auto" w:fill="D0CECE"/>
            <w:vAlign w:val="center"/>
            <w:hideMark/>
          </w:tcPr>
          <w:p w14:paraId="38EC0013" w14:textId="77777777" w:rsidR="00B2442D" w:rsidRDefault="008A645F">
            <w:pPr>
              <w:jc w:val="center"/>
              <w:rPr>
                <w:rFonts w:ascii="Arial" w:hAnsi="Arial" w:cs="Arial"/>
                <w:b/>
                <w:bCs/>
                <w:color w:val="000000"/>
                <w:sz w:val="22"/>
                <w:szCs w:val="22"/>
                <w:lang w:val="es-CO" w:eastAsia="es-CO"/>
              </w:rPr>
            </w:pPr>
            <w:r>
              <w:rPr>
                <w:rFonts w:ascii="Arial" w:hAnsi="Arial" w:cs="Arial"/>
                <w:b/>
                <w:bCs/>
                <w:color w:val="000000"/>
                <w:sz w:val="22"/>
                <w:szCs w:val="22"/>
                <w:lang w:val="es-CO" w:eastAsia="es-CO"/>
              </w:rPr>
              <w:t>hasta el día</w:t>
            </w:r>
          </w:p>
        </w:tc>
      </w:tr>
      <w:tr w:rsidR="00B2442D" w14:paraId="09473638" w14:textId="77777777">
        <w:trPr>
          <w:trHeight w:val="345"/>
          <w:jc w:val="center"/>
        </w:trPr>
        <w:tc>
          <w:tcPr>
            <w:tcW w:w="2340" w:type="dxa"/>
            <w:shd w:val="clear" w:color="auto" w:fill="auto"/>
            <w:vAlign w:val="center"/>
            <w:hideMark/>
          </w:tcPr>
          <w:p w14:paraId="2EC09549"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Enero de 2017</w:t>
            </w:r>
          </w:p>
        </w:tc>
        <w:tc>
          <w:tcPr>
            <w:tcW w:w="3140" w:type="dxa"/>
            <w:shd w:val="clear" w:color="auto" w:fill="auto"/>
            <w:vAlign w:val="center"/>
            <w:hideMark/>
          </w:tcPr>
          <w:p w14:paraId="2D2BED9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febrero de 2017</w:t>
            </w:r>
          </w:p>
        </w:tc>
      </w:tr>
      <w:tr w:rsidR="00B2442D" w14:paraId="2D3AB5E1" w14:textId="77777777">
        <w:trPr>
          <w:trHeight w:val="345"/>
          <w:jc w:val="center"/>
        </w:trPr>
        <w:tc>
          <w:tcPr>
            <w:tcW w:w="2340" w:type="dxa"/>
            <w:shd w:val="clear" w:color="auto" w:fill="auto"/>
            <w:vAlign w:val="center"/>
            <w:hideMark/>
          </w:tcPr>
          <w:p w14:paraId="0BF7ACD5"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Febrero de 2017</w:t>
            </w:r>
          </w:p>
        </w:tc>
        <w:tc>
          <w:tcPr>
            <w:tcW w:w="3140" w:type="dxa"/>
            <w:shd w:val="clear" w:color="000000" w:fill="FFFFFF"/>
            <w:vAlign w:val="center"/>
            <w:hideMark/>
          </w:tcPr>
          <w:p w14:paraId="37AE1A7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marzo de 2017</w:t>
            </w:r>
          </w:p>
        </w:tc>
      </w:tr>
      <w:tr w:rsidR="00B2442D" w14:paraId="520223A5" w14:textId="77777777">
        <w:trPr>
          <w:trHeight w:val="345"/>
          <w:jc w:val="center"/>
        </w:trPr>
        <w:tc>
          <w:tcPr>
            <w:tcW w:w="2340" w:type="dxa"/>
            <w:shd w:val="clear" w:color="auto" w:fill="auto"/>
            <w:vAlign w:val="center"/>
            <w:hideMark/>
          </w:tcPr>
          <w:p w14:paraId="4060405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Marzo de 2017</w:t>
            </w:r>
          </w:p>
        </w:tc>
        <w:tc>
          <w:tcPr>
            <w:tcW w:w="3140" w:type="dxa"/>
            <w:shd w:val="clear" w:color="auto" w:fill="auto"/>
            <w:vAlign w:val="center"/>
            <w:hideMark/>
          </w:tcPr>
          <w:p w14:paraId="479248D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20 de abril de 2017</w:t>
            </w:r>
          </w:p>
        </w:tc>
      </w:tr>
      <w:tr w:rsidR="00B2442D" w14:paraId="2EB395C2" w14:textId="77777777">
        <w:trPr>
          <w:trHeight w:val="345"/>
          <w:jc w:val="center"/>
        </w:trPr>
        <w:tc>
          <w:tcPr>
            <w:tcW w:w="2340" w:type="dxa"/>
            <w:shd w:val="clear" w:color="auto" w:fill="auto"/>
            <w:vAlign w:val="center"/>
            <w:hideMark/>
          </w:tcPr>
          <w:p w14:paraId="371E5738"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Abril  de 2017</w:t>
            </w:r>
          </w:p>
        </w:tc>
        <w:tc>
          <w:tcPr>
            <w:tcW w:w="3140" w:type="dxa"/>
            <w:shd w:val="clear" w:color="000000" w:fill="FFFFFF"/>
            <w:vAlign w:val="center"/>
            <w:hideMark/>
          </w:tcPr>
          <w:p w14:paraId="2204D6D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mayo de 2017</w:t>
            </w:r>
          </w:p>
        </w:tc>
      </w:tr>
      <w:tr w:rsidR="00B2442D" w14:paraId="319172A2" w14:textId="77777777">
        <w:trPr>
          <w:trHeight w:val="345"/>
          <w:jc w:val="center"/>
        </w:trPr>
        <w:tc>
          <w:tcPr>
            <w:tcW w:w="2340" w:type="dxa"/>
            <w:shd w:val="clear" w:color="auto" w:fill="auto"/>
            <w:vAlign w:val="center"/>
            <w:hideMark/>
          </w:tcPr>
          <w:p w14:paraId="3A84F32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Mayo de 2017</w:t>
            </w:r>
          </w:p>
        </w:tc>
        <w:tc>
          <w:tcPr>
            <w:tcW w:w="3140" w:type="dxa"/>
            <w:shd w:val="clear" w:color="000000" w:fill="FFFFFF"/>
            <w:vAlign w:val="center"/>
            <w:hideMark/>
          </w:tcPr>
          <w:p w14:paraId="19717B3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junio de 2017</w:t>
            </w:r>
          </w:p>
        </w:tc>
      </w:tr>
      <w:tr w:rsidR="00B2442D" w14:paraId="2AF58EA6" w14:textId="77777777">
        <w:trPr>
          <w:trHeight w:val="345"/>
          <w:jc w:val="center"/>
        </w:trPr>
        <w:tc>
          <w:tcPr>
            <w:tcW w:w="2340" w:type="dxa"/>
            <w:shd w:val="clear" w:color="auto" w:fill="auto"/>
            <w:vAlign w:val="center"/>
            <w:hideMark/>
          </w:tcPr>
          <w:p w14:paraId="33E76F6B"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Junio  de 2017</w:t>
            </w:r>
          </w:p>
        </w:tc>
        <w:tc>
          <w:tcPr>
            <w:tcW w:w="3140" w:type="dxa"/>
            <w:shd w:val="clear" w:color="000000" w:fill="FFFFFF"/>
            <w:vAlign w:val="center"/>
            <w:hideMark/>
          </w:tcPr>
          <w:p w14:paraId="50AA290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 xml:space="preserve">21 de julio de </w:t>
            </w:r>
            <w:r>
              <w:rPr>
                <w:rFonts w:ascii="Arial" w:hAnsi="Arial" w:cs="Arial"/>
                <w:color w:val="000000"/>
                <w:sz w:val="22"/>
                <w:szCs w:val="22"/>
                <w:lang w:val="es-CO" w:eastAsia="es-CO"/>
              </w:rPr>
              <w:t>2017</w:t>
            </w:r>
          </w:p>
        </w:tc>
      </w:tr>
      <w:tr w:rsidR="00B2442D" w14:paraId="387834ED" w14:textId="77777777">
        <w:trPr>
          <w:trHeight w:val="345"/>
          <w:jc w:val="center"/>
        </w:trPr>
        <w:tc>
          <w:tcPr>
            <w:tcW w:w="2340" w:type="dxa"/>
            <w:shd w:val="clear" w:color="auto" w:fill="auto"/>
            <w:vAlign w:val="center"/>
            <w:hideMark/>
          </w:tcPr>
          <w:p w14:paraId="296E2F40"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Julio de 2017</w:t>
            </w:r>
          </w:p>
        </w:tc>
        <w:tc>
          <w:tcPr>
            <w:tcW w:w="3140" w:type="dxa"/>
            <w:shd w:val="clear" w:color="000000" w:fill="FFFFFF"/>
            <w:vAlign w:val="center"/>
            <w:hideMark/>
          </w:tcPr>
          <w:p w14:paraId="031785E4"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17 de agosto de 2017</w:t>
            </w:r>
          </w:p>
        </w:tc>
      </w:tr>
      <w:tr w:rsidR="00B2442D" w14:paraId="75930FB3" w14:textId="77777777">
        <w:trPr>
          <w:trHeight w:val="345"/>
          <w:jc w:val="center"/>
        </w:trPr>
        <w:tc>
          <w:tcPr>
            <w:tcW w:w="2340" w:type="dxa"/>
            <w:shd w:val="clear" w:color="auto" w:fill="auto"/>
            <w:vAlign w:val="center"/>
            <w:hideMark/>
          </w:tcPr>
          <w:p w14:paraId="76932B4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Agosto de 2017</w:t>
            </w:r>
          </w:p>
        </w:tc>
        <w:tc>
          <w:tcPr>
            <w:tcW w:w="3140" w:type="dxa"/>
            <w:shd w:val="clear" w:color="000000" w:fill="FFFFFF"/>
            <w:vAlign w:val="center"/>
            <w:hideMark/>
          </w:tcPr>
          <w:p w14:paraId="06F163E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21 de septiembre de 2017</w:t>
            </w:r>
          </w:p>
        </w:tc>
      </w:tr>
      <w:tr w:rsidR="00B2442D" w14:paraId="16CDA8AD" w14:textId="77777777">
        <w:trPr>
          <w:trHeight w:val="345"/>
          <w:jc w:val="center"/>
        </w:trPr>
        <w:tc>
          <w:tcPr>
            <w:tcW w:w="2340" w:type="dxa"/>
            <w:shd w:val="clear" w:color="auto" w:fill="auto"/>
            <w:vAlign w:val="center"/>
            <w:hideMark/>
          </w:tcPr>
          <w:p w14:paraId="25CE445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Septiembre de 2017</w:t>
            </w:r>
          </w:p>
        </w:tc>
        <w:tc>
          <w:tcPr>
            <w:tcW w:w="3140" w:type="dxa"/>
            <w:shd w:val="clear" w:color="000000" w:fill="FFFFFF"/>
            <w:vAlign w:val="center"/>
            <w:hideMark/>
          </w:tcPr>
          <w:p w14:paraId="75213A7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19 de octubre de 2017</w:t>
            </w:r>
          </w:p>
        </w:tc>
      </w:tr>
      <w:tr w:rsidR="00B2442D" w14:paraId="67D247A2" w14:textId="77777777">
        <w:trPr>
          <w:trHeight w:val="345"/>
          <w:jc w:val="center"/>
        </w:trPr>
        <w:tc>
          <w:tcPr>
            <w:tcW w:w="2340" w:type="dxa"/>
            <w:shd w:val="clear" w:color="auto" w:fill="auto"/>
            <w:vAlign w:val="center"/>
            <w:hideMark/>
          </w:tcPr>
          <w:p w14:paraId="6ACCB19D"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Octubre de 2017</w:t>
            </w:r>
          </w:p>
        </w:tc>
        <w:tc>
          <w:tcPr>
            <w:tcW w:w="3140" w:type="dxa"/>
            <w:shd w:val="clear" w:color="000000" w:fill="FFFFFF"/>
            <w:vAlign w:val="center"/>
            <w:hideMark/>
          </w:tcPr>
          <w:p w14:paraId="49C6B9CA"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16 de noviembre de 2017</w:t>
            </w:r>
          </w:p>
        </w:tc>
      </w:tr>
      <w:tr w:rsidR="00B2442D" w14:paraId="1BFBC6A7" w14:textId="77777777">
        <w:trPr>
          <w:trHeight w:val="345"/>
          <w:jc w:val="center"/>
        </w:trPr>
        <w:tc>
          <w:tcPr>
            <w:tcW w:w="2340" w:type="dxa"/>
            <w:shd w:val="clear" w:color="auto" w:fill="auto"/>
            <w:vAlign w:val="center"/>
            <w:hideMark/>
          </w:tcPr>
          <w:p w14:paraId="0912F61C"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Noviembre de 2017</w:t>
            </w:r>
          </w:p>
        </w:tc>
        <w:tc>
          <w:tcPr>
            <w:tcW w:w="3140" w:type="dxa"/>
            <w:shd w:val="clear" w:color="000000" w:fill="FFFFFF"/>
            <w:vAlign w:val="center"/>
            <w:hideMark/>
          </w:tcPr>
          <w:p w14:paraId="377844FF"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15 de diciembre de 2017</w:t>
            </w:r>
          </w:p>
        </w:tc>
      </w:tr>
      <w:tr w:rsidR="00B2442D" w14:paraId="1BCA77DE" w14:textId="77777777">
        <w:trPr>
          <w:trHeight w:val="345"/>
          <w:jc w:val="center"/>
        </w:trPr>
        <w:tc>
          <w:tcPr>
            <w:tcW w:w="2340" w:type="dxa"/>
            <w:shd w:val="clear" w:color="auto" w:fill="auto"/>
            <w:vAlign w:val="center"/>
            <w:hideMark/>
          </w:tcPr>
          <w:p w14:paraId="2500AA3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Diciembre de 2017</w:t>
            </w:r>
          </w:p>
        </w:tc>
        <w:tc>
          <w:tcPr>
            <w:tcW w:w="3140" w:type="dxa"/>
            <w:shd w:val="clear" w:color="000000" w:fill="FFFFFF"/>
            <w:vAlign w:val="center"/>
            <w:hideMark/>
          </w:tcPr>
          <w:p w14:paraId="258FE17E" w14:textId="77777777" w:rsidR="00B2442D" w:rsidRDefault="008A645F">
            <w:pPr>
              <w:jc w:val="center"/>
              <w:rPr>
                <w:rFonts w:ascii="Arial" w:hAnsi="Arial" w:cs="Arial"/>
                <w:color w:val="000000"/>
                <w:sz w:val="22"/>
                <w:szCs w:val="22"/>
                <w:lang w:val="es-CO" w:eastAsia="es-CO"/>
              </w:rPr>
            </w:pPr>
            <w:r>
              <w:rPr>
                <w:rFonts w:ascii="Arial" w:hAnsi="Arial" w:cs="Arial"/>
                <w:color w:val="000000"/>
                <w:sz w:val="22"/>
                <w:szCs w:val="22"/>
                <w:lang w:val="es-CO" w:eastAsia="es-CO"/>
              </w:rPr>
              <w:t>18 de enero de 2018</w:t>
            </w:r>
          </w:p>
        </w:tc>
      </w:tr>
    </w:tbl>
    <w:p w14:paraId="41653200" w14:textId="77777777" w:rsidR="00B2442D" w:rsidRDefault="00B2442D">
      <w:pPr>
        <w:spacing w:line="40" w:lineRule="atLeast"/>
        <w:ind w:right="-30"/>
        <w:jc w:val="both"/>
        <w:rPr>
          <w:rFonts w:ascii="Arial" w:eastAsia="Arial" w:hAnsi="Arial" w:cs="Arial"/>
          <w:w w:val="105"/>
          <w:highlight w:val="yellow"/>
          <w:lang w:val="es-CO"/>
        </w:rPr>
      </w:pPr>
    </w:p>
    <w:p w14:paraId="623C063C" w14:textId="77777777" w:rsidR="00B2442D" w:rsidRDefault="008A645F">
      <w:pPr>
        <w:autoSpaceDE w:val="0"/>
        <w:autoSpaceDN w:val="0"/>
        <w:adjustRightInd w:val="0"/>
        <w:spacing w:line="40" w:lineRule="atLeast"/>
        <w:jc w:val="both"/>
        <w:rPr>
          <w:rFonts w:ascii="Arial" w:hAnsi="Arial" w:cs="Arial"/>
          <w:lang w:val="es-CO" w:eastAsia="es-CO"/>
        </w:rPr>
      </w:pPr>
      <w:r>
        <w:rPr>
          <w:rFonts w:ascii="Arial" w:hAnsi="Arial" w:cs="Arial"/>
          <w:b/>
          <w:lang w:val="es-CO" w:eastAsia="es-CO"/>
        </w:rPr>
        <w:t>Parágrafo 1.</w:t>
      </w:r>
      <w:r>
        <w:rPr>
          <w:rFonts w:ascii="Arial" w:hAnsi="Arial" w:cs="Arial"/>
          <w:lang w:val="es-CO" w:eastAsia="es-CO"/>
        </w:rPr>
        <w:t xml:space="preserve"> Los distribuidores mayoristas de gasolina regular, extra y ACPM deberán entregar a los productores e importadores de tales productos el valor del impuesto nacional dentro de los ocho (8) primeros días calendario del mes siguiente a aquel en qu</w:t>
      </w:r>
      <w:r>
        <w:rPr>
          <w:rFonts w:ascii="Arial" w:hAnsi="Arial" w:cs="Arial"/>
          <w:lang w:val="es-CO" w:eastAsia="es-CO"/>
        </w:rPr>
        <w:t>e sea vendido el respectivo producto por parte del productor.</w:t>
      </w:r>
    </w:p>
    <w:p w14:paraId="33C81CA4" w14:textId="77777777" w:rsidR="00B2442D" w:rsidRDefault="00B2442D">
      <w:pPr>
        <w:autoSpaceDE w:val="0"/>
        <w:autoSpaceDN w:val="0"/>
        <w:adjustRightInd w:val="0"/>
        <w:spacing w:line="40" w:lineRule="atLeast"/>
        <w:jc w:val="both"/>
        <w:rPr>
          <w:rFonts w:ascii="Arial" w:hAnsi="Arial" w:cs="Arial"/>
          <w:lang w:val="es-CO" w:eastAsia="es-CO"/>
        </w:rPr>
      </w:pPr>
    </w:p>
    <w:p w14:paraId="1EFF8830" w14:textId="77777777" w:rsidR="00B2442D" w:rsidRDefault="008A645F">
      <w:pPr>
        <w:autoSpaceDE w:val="0"/>
        <w:autoSpaceDN w:val="0"/>
        <w:adjustRightInd w:val="0"/>
        <w:spacing w:line="40" w:lineRule="atLeast"/>
        <w:jc w:val="both"/>
        <w:rPr>
          <w:rFonts w:ascii="Arial" w:hAnsi="Arial" w:cs="Arial"/>
          <w:lang w:val="es-CO" w:eastAsia="es-CO"/>
        </w:rPr>
      </w:pPr>
      <w:r>
        <w:rPr>
          <w:rFonts w:ascii="Arial" w:hAnsi="Arial" w:cs="Arial"/>
          <w:lang w:val="es-CO" w:eastAsia="es-CO"/>
        </w:rPr>
        <w:t>Los distribuidores minoristas de gasolina regular, extra y ACPM deberán entregar a las compañías mayoristas, al momento de la emisión de la factura, el cuarenta por ciento (40%) del valor del p</w:t>
      </w:r>
      <w:r>
        <w:rPr>
          <w:rFonts w:ascii="Arial" w:hAnsi="Arial" w:cs="Arial"/>
          <w:lang w:val="es-CO" w:eastAsia="es-CO"/>
        </w:rPr>
        <w:t>recio que corresponde al Impuesto Nacional a la Gasolina y al ACPM. El sesenta por ciento (60%) restante deberá ser entregado a las compañías mayoristas por parte de los distribuidores minoristas, el primer día hábil del mes siguiente a aquel en que sea co</w:t>
      </w:r>
      <w:r>
        <w:rPr>
          <w:rFonts w:ascii="Arial" w:hAnsi="Arial" w:cs="Arial"/>
          <w:lang w:val="es-CO" w:eastAsia="es-CO"/>
        </w:rPr>
        <w:t>mprado el respectivo producto por parte del distribuidor minorista.</w:t>
      </w:r>
    </w:p>
    <w:p w14:paraId="4C184D4A" w14:textId="77777777" w:rsidR="00B2442D" w:rsidRDefault="00B2442D">
      <w:pPr>
        <w:autoSpaceDE w:val="0"/>
        <w:autoSpaceDN w:val="0"/>
        <w:adjustRightInd w:val="0"/>
        <w:spacing w:line="40" w:lineRule="atLeast"/>
        <w:jc w:val="both"/>
        <w:rPr>
          <w:rFonts w:ascii="Arial" w:hAnsi="Arial" w:cs="Arial"/>
          <w:lang w:val="es-CO" w:eastAsia="es-CO"/>
        </w:rPr>
      </w:pPr>
    </w:p>
    <w:p w14:paraId="5B59DE08" w14:textId="77777777" w:rsidR="00B2442D" w:rsidRDefault="008A645F">
      <w:pPr>
        <w:autoSpaceDE w:val="0"/>
        <w:autoSpaceDN w:val="0"/>
        <w:adjustRightInd w:val="0"/>
        <w:spacing w:line="40" w:lineRule="atLeast"/>
        <w:jc w:val="both"/>
        <w:rPr>
          <w:rFonts w:ascii="Arial" w:hAnsi="Arial" w:cs="Arial"/>
          <w:lang w:val="es-CO" w:eastAsia="es-CO"/>
        </w:rPr>
      </w:pPr>
      <w:r>
        <w:rPr>
          <w:rFonts w:ascii="Arial" w:hAnsi="Arial" w:cs="Arial"/>
          <w:b/>
          <w:lang w:val="es-CO" w:eastAsia="es-CO"/>
        </w:rPr>
        <w:t>Parágrafo 2.</w:t>
      </w:r>
      <w:r>
        <w:rPr>
          <w:rFonts w:ascii="Arial" w:hAnsi="Arial" w:cs="Arial"/>
          <w:lang w:val="es-CO" w:eastAsia="es-CO"/>
        </w:rPr>
        <w:t xml:space="preserve"> Se entenderán como no presentadas las declaraciones del Impuesto Nacional a la Gasolina y al ACPM cuando no se realice el pago total en la forma señalada en el presente decre</w:t>
      </w:r>
      <w:r>
        <w:rPr>
          <w:rFonts w:ascii="Arial" w:hAnsi="Arial" w:cs="Arial"/>
          <w:lang w:val="es-CO" w:eastAsia="es-CO"/>
        </w:rPr>
        <w:t>to.</w:t>
      </w:r>
    </w:p>
    <w:p w14:paraId="21A7C40E" w14:textId="77777777" w:rsidR="00B2442D" w:rsidRDefault="00B2442D">
      <w:pPr>
        <w:autoSpaceDE w:val="0"/>
        <w:autoSpaceDN w:val="0"/>
        <w:adjustRightInd w:val="0"/>
        <w:spacing w:line="40" w:lineRule="atLeast"/>
        <w:jc w:val="both"/>
        <w:rPr>
          <w:rFonts w:ascii="Arial" w:hAnsi="Arial" w:cs="Arial"/>
          <w:lang w:val="es-CO" w:eastAsia="es-CO"/>
        </w:rPr>
      </w:pPr>
    </w:p>
    <w:p w14:paraId="3C191D2F" w14:textId="77777777" w:rsidR="00B2442D" w:rsidRDefault="008A645F">
      <w:pPr>
        <w:autoSpaceDE w:val="0"/>
        <w:autoSpaceDN w:val="0"/>
        <w:adjustRightInd w:val="0"/>
        <w:spacing w:line="40" w:lineRule="atLeast"/>
        <w:jc w:val="both"/>
        <w:rPr>
          <w:rFonts w:ascii="Arial" w:hAnsi="Arial" w:cs="Arial"/>
          <w:lang w:val="es-CO" w:eastAsia="es-CO"/>
        </w:rPr>
      </w:pPr>
      <w:r>
        <w:rPr>
          <w:rFonts w:ascii="Arial" w:hAnsi="Arial" w:cs="Arial"/>
          <w:lang w:val="es-CO" w:eastAsia="es-CO"/>
        </w:rPr>
        <w:t xml:space="preserve">Sin perjuicio de lo anterior, la declaración del Impuesto Nacional a la Gasolina y al ACPM que se haya presentado sin pago total antes del vencimiento del plazo para declarar, producirá efectos legales, siempre y cuando el pago total del </w:t>
      </w:r>
      <w:r>
        <w:rPr>
          <w:rFonts w:ascii="Arial" w:hAnsi="Arial" w:cs="Arial"/>
          <w:lang w:val="es-CO" w:eastAsia="es-CO"/>
        </w:rPr>
        <w:t>Impuesto Nacional a la Gasolina y al ACPM se efectúe o se haya efectuado dentro de los plazos señalados en este artículo.</w:t>
      </w:r>
    </w:p>
    <w:p w14:paraId="2A817495" w14:textId="77777777" w:rsidR="00B2442D" w:rsidRDefault="00B2442D">
      <w:pPr>
        <w:autoSpaceDE w:val="0"/>
        <w:autoSpaceDN w:val="0"/>
        <w:adjustRightInd w:val="0"/>
        <w:spacing w:line="40" w:lineRule="atLeast"/>
        <w:jc w:val="both"/>
        <w:rPr>
          <w:rFonts w:ascii="Arial" w:hAnsi="Arial" w:cs="Arial"/>
          <w:lang w:val="es-CO" w:eastAsia="es-CO"/>
        </w:rPr>
      </w:pPr>
    </w:p>
    <w:p w14:paraId="4362502B" w14:textId="77777777" w:rsidR="00B2442D" w:rsidRDefault="008A645F">
      <w:pPr>
        <w:jc w:val="both"/>
        <w:rPr>
          <w:rFonts w:ascii="Arial" w:hAnsi="Arial" w:cs="Arial"/>
          <w:i/>
          <w:highlight w:val="yellow"/>
          <w:lang w:val="es-ES_tradnl"/>
        </w:rPr>
      </w:pPr>
      <w:r>
        <w:rPr>
          <w:rFonts w:ascii="Arial" w:hAnsi="Arial" w:cs="Arial"/>
          <w:i/>
        </w:rPr>
        <w:t>(</w:t>
      </w:r>
      <w:hyperlink r:id="rId74" w:history="1">
        <w:r>
          <w:rPr>
            <w:rStyle w:val="Hipervnculo"/>
            <w:rFonts w:ascii="Arial" w:hAnsi="Arial" w:cs="Arial"/>
            <w:i/>
          </w:rPr>
          <w:t>Art. 30 Decreto 2105 de 201</w:t>
        </w:r>
        <w:r>
          <w:rPr>
            <w:rStyle w:val="Hipervnculo"/>
            <w:rFonts w:ascii="Arial" w:hAnsi="Arial" w:cs="Arial"/>
            <w:i/>
          </w:rPr>
          <w:t>6</w:t>
        </w:r>
      </w:hyperlink>
      <w:r>
        <w:rPr>
          <w:rFonts w:ascii="Arial" w:hAnsi="Arial" w:cs="Arial"/>
          <w:i/>
        </w:rPr>
        <w:t>, plazos 2016: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2DAA6BDF" w14:textId="77777777" w:rsidR="00B2442D" w:rsidRDefault="00B2442D">
      <w:pPr>
        <w:spacing w:line="40" w:lineRule="atLeast"/>
        <w:ind w:right="-30"/>
        <w:jc w:val="both"/>
        <w:rPr>
          <w:rFonts w:ascii="Arial" w:hAnsi="Arial" w:cs="Arial"/>
          <w:lang w:val="es-CO"/>
        </w:rPr>
      </w:pPr>
    </w:p>
    <w:p w14:paraId="7DF91337" w14:textId="77777777" w:rsidR="00B2442D" w:rsidRDefault="008A645F">
      <w:pPr>
        <w:pStyle w:val="Textoindependiente"/>
        <w:spacing w:line="40" w:lineRule="atLeast"/>
        <w:ind w:right="-30"/>
        <w:jc w:val="center"/>
        <w:rPr>
          <w:rFonts w:cs="Arial"/>
          <w:b/>
          <w:lang w:val="es-CO"/>
        </w:rPr>
      </w:pPr>
      <w:r>
        <w:rPr>
          <w:rFonts w:cs="Arial"/>
          <w:b/>
          <w:lang w:val="es-CO"/>
        </w:rPr>
        <w:t>PLAZOS</w:t>
      </w:r>
      <w:r>
        <w:rPr>
          <w:rFonts w:cs="Arial"/>
          <w:b/>
          <w:spacing w:val="6"/>
          <w:lang w:val="es-CO"/>
        </w:rPr>
        <w:t xml:space="preserve"> </w:t>
      </w:r>
      <w:r>
        <w:rPr>
          <w:rFonts w:cs="Arial"/>
          <w:b/>
          <w:lang w:val="es-CO"/>
        </w:rPr>
        <w:t>PARA</w:t>
      </w:r>
      <w:r>
        <w:rPr>
          <w:rFonts w:cs="Arial"/>
          <w:b/>
          <w:spacing w:val="-2"/>
          <w:lang w:val="es-CO"/>
        </w:rPr>
        <w:t xml:space="preserve"> </w:t>
      </w:r>
      <w:r>
        <w:rPr>
          <w:rFonts w:cs="Arial"/>
          <w:b/>
          <w:lang w:val="es-CO"/>
        </w:rPr>
        <w:t>PRESENTAR</w:t>
      </w:r>
      <w:r>
        <w:rPr>
          <w:rFonts w:cs="Arial"/>
          <w:b/>
          <w:spacing w:val="10"/>
          <w:lang w:val="es-CO"/>
        </w:rPr>
        <w:t xml:space="preserve"> </w:t>
      </w:r>
      <w:r>
        <w:rPr>
          <w:rFonts w:cs="Arial"/>
          <w:b/>
          <w:lang w:val="es-CO"/>
        </w:rPr>
        <w:t>Y</w:t>
      </w:r>
      <w:r>
        <w:rPr>
          <w:rFonts w:cs="Arial"/>
          <w:b/>
          <w:spacing w:val="12"/>
          <w:lang w:val="es-CO"/>
        </w:rPr>
        <w:t xml:space="preserve"> </w:t>
      </w:r>
      <w:r>
        <w:rPr>
          <w:rFonts w:cs="Arial"/>
          <w:b/>
          <w:lang w:val="es-CO"/>
        </w:rPr>
        <w:t>PAGAR</w:t>
      </w:r>
      <w:r>
        <w:rPr>
          <w:rFonts w:cs="Arial"/>
          <w:b/>
          <w:spacing w:val="11"/>
          <w:lang w:val="es-CO"/>
        </w:rPr>
        <w:t xml:space="preserve"> </w:t>
      </w:r>
      <w:r>
        <w:rPr>
          <w:rFonts w:cs="Arial"/>
          <w:b/>
          <w:lang w:val="es-CO"/>
        </w:rPr>
        <w:t>EL</w:t>
      </w:r>
      <w:r>
        <w:rPr>
          <w:rFonts w:cs="Arial"/>
          <w:b/>
          <w:spacing w:val="-12"/>
          <w:lang w:val="es-CO"/>
        </w:rPr>
        <w:t xml:space="preserve"> </w:t>
      </w:r>
      <w:r>
        <w:rPr>
          <w:rFonts w:cs="Arial"/>
          <w:b/>
          <w:lang w:val="es-CO"/>
        </w:rPr>
        <w:t>GRAVAMEN</w:t>
      </w:r>
      <w:r>
        <w:rPr>
          <w:rFonts w:cs="Arial"/>
          <w:b/>
          <w:w w:val="99"/>
          <w:lang w:val="es-CO"/>
        </w:rPr>
        <w:t xml:space="preserve"> </w:t>
      </w:r>
      <w:r>
        <w:rPr>
          <w:rFonts w:cs="Arial"/>
          <w:b/>
          <w:lang w:val="es-CO"/>
        </w:rPr>
        <w:t>A</w:t>
      </w:r>
      <w:r>
        <w:rPr>
          <w:rFonts w:cs="Arial"/>
          <w:b/>
          <w:spacing w:val="6"/>
          <w:lang w:val="es-CO"/>
        </w:rPr>
        <w:t xml:space="preserve"> </w:t>
      </w:r>
      <w:r>
        <w:rPr>
          <w:rFonts w:cs="Arial"/>
          <w:b/>
          <w:lang w:val="es-CO"/>
        </w:rPr>
        <w:t>LOS</w:t>
      </w:r>
      <w:r>
        <w:rPr>
          <w:rFonts w:cs="Arial"/>
          <w:b/>
          <w:spacing w:val="-10"/>
          <w:lang w:val="es-CO"/>
        </w:rPr>
        <w:t xml:space="preserve"> </w:t>
      </w:r>
      <w:r>
        <w:rPr>
          <w:rFonts w:cs="Arial"/>
          <w:b/>
          <w:lang w:val="es-CO"/>
        </w:rPr>
        <w:t>MOVIMIENTOS FINANCIEROS</w:t>
      </w:r>
      <w:r>
        <w:rPr>
          <w:rFonts w:cs="Arial"/>
          <w:b/>
          <w:spacing w:val="3"/>
          <w:lang w:val="es-CO"/>
        </w:rPr>
        <w:t xml:space="preserve"> </w:t>
      </w:r>
      <w:r>
        <w:rPr>
          <w:rFonts w:cs="Arial"/>
          <w:b/>
          <w:lang w:val="es-CO"/>
        </w:rPr>
        <w:t>AÑO</w:t>
      </w:r>
      <w:r>
        <w:rPr>
          <w:rFonts w:cs="Arial"/>
          <w:b/>
          <w:spacing w:val="6"/>
          <w:lang w:val="es-CO"/>
        </w:rPr>
        <w:t xml:space="preserve"> </w:t>
      </w:r>
      <w:r>
        <w:rPr>
          <w:rFonts w:cs="Arial"/>
          <w:b/>
          <w:lang w:val="es-CO"/>
        </w:rPr>
        <w:t>2016</w:t>
      </w:r>
    </w:p>
    <w:p w14:paraId="57631094" w14:textId="77777777" w:rsidR="00B2442D" w:rsidRDefault="008A645F">
      <w:pPr>
        <w:tabs>
          <w:tab w:val="left" w:pos="1905"/>
        </w:tabs>
        <w:spacing w:line="40" w:lineRule="atLeast"/>
        <w:ind w:right="-30"/>
        <w:jc w:val="both"/>
        <w:rPr>
          <w:rFonts w:ascii="Arial" w:hAnsi="Arial" w:cs="Arial"/>
          <w:lang w:val="es-CO"/>
        </w:rPr>
      </w:pPr>
      <w:r>
        <w:rPr>
          <w:rFonts w:ascii="Arial" w:hAnsi="Arial" w:cs="Arial"/>
          <w:lang w:val="es-CO"/>
        </w:rPr>
        <w:tab/>
      </w:r>
    </w:p>
    <w:p w14:paraId="0E7FD150" w14:textId="77777777" w:rsidR="00B2442D" w:rsidRDefault="008A645F">
      <w:pPr>
        <w:pStyle w:val="Textoindependiente"/>
        <w:numPr>
          <w:ilvl w:val="0"/>
          <w:numId w:val="152"/>
        </w:numPr>
        <w:spacing w:line="40" w:lineRule="atLeast"/>
        <w:ind w:left="0" w:right="-30" w:firstLine="0"/>
        <w:jc w:val="both"/>
        <w:rPr>
          <w:rFonts w:cs="Arial"/>
          <w:highlight w:val="yellow"/>
          <w:lang w:val="es-CO"/>
        </w:rPr>
      </w:pPr>
      <w:r>
        <w:rPr>
          <w:rFonts w:cs="Arial"/>
          <w:b/>
          <w:i/>
          <w:lang w:val="es-CO"/>
        </w:rPr>
        <w:t>Plazos</w:t>
      </w:r>
      <w:r>
        <w:rPr>
          <w:rFonts w:cs="Arial"/>
          <w:b/>
          <w:i/>
          <w:spacing w:val="17"/>
          <w:lang w:val="es-CO"/>
        </w:rPr>
        <w:t xml:space="preserve"> </w:t>
      </w:r>
      <w:r>
        <w:rPr>
          <w:rFonts w:cs="Arial"/>
          <w:b/>
          <w:i/>
          <w:lang w:val="es-CO"/>
        </w:rPr>
        <w:t xml:space="preserve">para declarar y pagar el gravamen a los </w:t>
      </w:r>
      <w:r>
        <w:rPr>
          <w:rFonts w:cs="Arial"/>
          <w:b/>
          <w:i/>
          <w:lang w:val="es-CO"/>
        </w:rPr>
        <w:t>movimientos</w:t>
      </w:r>
      <w:r>
        <w:rPr>
          <w:rFonts w:cs="Arial"/>
          <w:b/>
          <w:i/>
          <w:spacing w:val="42"/>
          <w:lang w:val="es-CO"/>
        </w:rPr>
        <w:t xml:space="preserve"> </w:t>
      </w:r>
      <w:r>
        <w:rPr>
          <w:rFonts w:cs="Arial"/>
          <w:b/>
          <w:i/>
          <w:lang w:val="es-CO"/>
        </w:rPr>
        <w:t>financieros</w:t>
      </w:r>
      <w:r>
        <w:rPr>
          <w:rFonts w:cs="Arial"/>
          <w:b/>
          <w:i/>
          <w:spacing w:val="33"/>
          <w:lang w:val="es-CO"/>
        </w:rPr>
        <w:t xml:space="preserve"> </w:t>
      </w:r>
      <w:r>
        <w:rPr>
          <w:rFonts w:cs="Arial"/>
          <w:b/>
          <w:i/>
          <w:lang w:val="es-CO"/>
        </w:rPr>
        <w:t>-GMF.</w:t>
      </w:r>
      <w:r>
        <w:rPr>
          <w:rFonts w:cs="Arial"/>
          <w:i/>
          <w:spacing w:val="31"/>
          <w:lang w:val="es-CO"/>
        </w:rPr>
        <w:t xml:space="preserve"> </w:t>
      </w:r>
      <w:r>
        <w:rPr>
          <w:rFonts w:cs="Arial"/>
          <w:lang w:val="es-CO"/>
        </w:rPr>
        <w:t>La presentación y pago de la declaración del Gravamen a los Movimientos Financieros -GMF, por parte de los responsables, se hará en forma semanal, teniendo en cuenta para tal efecto los plazos establecidos a continuación:</w:t>
      </w:r>
    </w:p>
    <w:p w14:paraId="588DB1D8" w14:textId="77777777" w:rsidR="00B2442D" w:rsidRDefault="00B2442D">
      <w:pPr>
        <w:pStyle w:val="Textoindependiente"/>
        <w:spacing w:line="40" w:lineRule="atLeast"/>
        <w:ind w:right="-30"/>
        <w:jc w:val="both"/>
        <w:rPr>
          <w:rFonts w:cs="Arial"/>
          <w:highlight w:val="yellow"/>
          <w:lang w:val="es-CO"/>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75"/>
        <w:gridCol w:w="2409"/>
        <w:gridCol w:w="2552"/>
      </w:tblGrid>
      <w:tr w:rsidR="00B2442D" w14:paraId="1A34F96A" w14:textId="77777777">
        <w:trPr>
          <w:trHeight w:val="501"/>
          <w:tblHeader/>
          <w:jc w:val="center"/>
        </w:trPr>
        <w:tc>
          <w:tcPr>
            <w:tcW w:w="1200" w:type="dxa"/>
            <w:shd w:val="clear" w:color="auto" w:fill="D0CECE"/>
            <w:vAlign w:val="center"/>
            <w:hideMark/>
          </w:tcPr>
          <w:p w14:paraId="4EEC85C2" w14:textId="77777777" w:rsidR="00B2442D" w:rsidRDefault="008A645F">
            <w:pPr>
              <w:jc w:val="center"/>
              <w:rPr>
                <w:rFonts w:ascii="Arial" w:hAnsi="Arial" w:cs="Arial"/>
                <w:b/>
                <w:bCs/>
                <w:color w:val="000000"/>
                <w:sz w:val="18"/>
                <w:szCs w:val="18"/>
                <w:lang w:val="es-CO" w:eastAsia="es-CO"/>
              </w:rPr>
            </w:pPr>
            <w:r>
              <w:rPr>
                <w:rFonts w:ascii="Arial" w:hAnsi="Arial" w:cs="Arial"/>
                <w:b/>
                <w:bCs/>
                <w:color w:val="000000"/>
                <w:sz w:val="18"/>
                <w:szCs w:val="18"/>
                <w:lang w:val="es-CO" w:eastAsia="es-CO"/>
              </w:rPr>
              <w:t>Nro</w:t>
            </w:r>
            <w:r>
              <w:rPr>
                <w:rFonts w:ascii="Arial" w:hAnsi="Arial" w:cs="Arial"/>
                <w:b/>
                <w:bCs/>
                <w:color w:val="000000"/>
                <w:sz w:val="18"/>
                <w:szCs w:val="18"/>
                <w:lang w:val="es-CO" w:eastAsia="es-CO"/>
              </w:rPr>
              <w:t>. de semana</w:t>
            </w:r>
          </w:p>
        </w:tc>
        <w:tc>
          <w:tcPr>
            <w:tcW w:w="2475" w:type="dxa"/>
            <w:shd w:val="clear" w:color="auto" w:fill="D0CECE"/>
            <w:vAlign w:val="center"/>
            <w:hideMark/>
          </w:tcPr>
          <w:p w14:paraId="62D43898" w14:textId="77777777" w:rsidR="00B2442D" w:rsidRDefault="008A645F">
            <w:pPr>
              <w:jc w:val="center"/>
              <w:rPr>
                <w:rFonts w:ascii="Arial" w:hAnsi="Arial" w:cs="Arial"/>
                <w:b/>
                <w:bCs/>
                <w:color w:val="000000"/>
                <w:sz w:val="18"/>
                <w:szCs w:val="18"/>
                <w:lang w:val="es-CO" w:eastAsia="es-CO"/>
              </w:rPr>
            </w:pPr>
            <w:r>
              <w:rPr>
                <w:rFonts w:ascii="Arial" w:hAnsi="Arial" w:cs="Arial"/>
                <w:b/>
                <w:bCs/>
                <w:color w:val="000000"/>
                <w:sz w:val="18"/>
                <w:szCs w:val="18"/>
                <w:lang w:val="es-CO" w:eastAsia="es-CO"/>
              </w:rPr>
              <w:t>Fecha desde</w:t>
            </w:r>
          </w:p>
        </w:tc>
        <w:tc>
          <w:tcPr>
            <w:tcW w:w="2409" w:type="dxa"/>
            <w:shd w:val="clear" w:color="auto" w:fill="D0CECE"/>
            <w:vAlign w:val="center"/>
            <w:hideMark/>
          </w:tcPr>
          <w:p w14:paraId="028C0640" w14:textId="77777777" w:rsidR="00B2442D" w:rsidRDefault="008A645F">
            <w:pPr>
              <w:jc w:val="center"/>
              <w:rPr>
                <w:rFonts w:ascii="Arial" w:hAnsi="Arial" w:cs="Arial"/>
                <w:b/>
                <w:bCs/>
                <w:color w:val="000000"/>
                <w:sz w:val="18"/>
                <w:szCs w:val="18"/>
                <w:lang w:val="es-CO" w:eastAsia="es-CO"/>
              </w:rPr>
            </w:pPr>
            <w:r>
              <w:rPr>
                <w:rFonts w:ascii="Arial" w:hAnsi="Arial" w:cs="Arial"/>
                <w:b/>
                <w:bCs/>
                <w:color w:val="000000"/>
                <w:sz w:val="18"/>
                <w:szCs w:val="18"/>
                <w:lang w:val="es-CO" w:eastAsia="es-CO"/>
              </w:rPr>
              <w:t>Fecha hasta</w:t>
            </w:r>
          </w:p>
        </w:tc>
        <w:tc>
          <w:tcPr>
            <w:tcW w:w="2552" w:type="dxa"/>
            <w:shd w:val="clear" w:color="auto" w:fill="D0CECE"/>
            <w:vAlign w:val="center"/>
            <w:hideMark/>
          </w:tcPr>
          <w:p w14:paraId="50D86F5C" w14:textId="77777777" w:rsidR="00B2442D" w:rsidRDefault="008A645F">
            <w:pPr>
              <w:jc w:val="center"/>
              <w:rPr>
                <w:rFonts w:ascii="Arial" w:hAnsi="Arial" w:cs="Arial"/>
                <w:b/>
                <w:bCs/>
                <w:color w:val="000000"/>
                <w:sz w:val="18"/>
                <w:szCs w:val="18"/>
                <w:lang w:val="es-CO" w:eastAsia="es-CO"/>
              </w:rPr>
            </w:pPr>
            <w:r>
              <w:rPr>
                <w:rFonts w:ascii="Arial" w:hAnsi="Arial" w:cs="Arial"/>
                <w:b/>
                <w:bCs/>
                <w:color w:val="000000"/>
                <w:sz w:val="18"/>
                <w:szCs w:val="18"/>
                <w:lang w:val="es-CO" w:eastAsia="es-CO"/>
              </w:rPr>
              <w:t>Fecha de presentación</w:t>
            </w:r>
          </w:p>
        </w:tc>
      </w:tr>
      <w:tr w:rsidR="00B2442D" w14:paraId="19FD392B" w14:textId="77777777">
        <w:trPr>
          <w:trHeight w:val="345"/>
          <w:jc w:val="center"/>
        </w:trPr>
        <w:tc>
          <w:tcPr>
            <w:tcW w:w="1200" w:type="dxa"/>
            <w:shd w:val="clear" w:color="auto" w:fill="auto"/>
            <w:vAlign w:val="center"/>
            <w:hideMark/>
          </w:tcPr>
          <w:p w14:paraId="7D510B9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w:t>
            </w:r>
          </w:p>
        </w:tc>
        <w:tc>
          <w:tcPr>
            <w:tcW w:w="2475" w:type="dxa"/>
            <w:shd w:val="clear" w:color="auto" w:fill="auto"/>
            <w:vAlign w:val="center"/>
            <w:hideMark/>
          </w:tcPr>
          <w:p w14:paraId="2936363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07 de enero de 2017</w:t>
            </w:r>
          </w:p>
        </w:tc>
        <w:tc>
          <w:tcPr>
            <w:tcW w:w="2409" w:type="dxa"/>
            <w:shd w:val="clear" w:color="auto" w:fill="auto"/>
            <w:vAlign w:val="center"/>
            <w:hideMark/>
          </w:tcPr>
          <w:p w14:paraId="1FC9880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13 de enero de 2017</w:t>
            </w:r>
          </w:p>
        </w:tc>
        <w:tc>
          <w:tcPr>
            <w:tcW w:w="2552" w:type="dxa"/>
            <w:shd w:val="clear" w:color="auto" w:fill="auto"/>
            <w:vAlign w:val="center"/>
            <w:hideMark/>
          </w:tcPr>
          <w:p w14:paraId="117393E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 de enero de 2017</w:t>
            </w:r>
          </w:p>
        </w:tc>
      </w:tr>
      <w:tr w:rsidR="00B2442D" w14:paraId="04080F60" w14:textId="77777777">
        <w:trPr>
          <w:trHeight w:val="345"/>
          <w:jc w:val="center"/>
        </w:trPr>
        <w:tc>
          <w:tcPr>
            <w:tcW w:w="1200" w:type="dxa"/>
            <w:shd w:val="clear" w:color="auto" w:fill="auto"/>
            <w:vAlign w:val="center"/>
            <w:hideMark/>
          </w:tcPr>
          <w:p w14:paraId="2286E7F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w:t>
            </w:r>
          </w:p>
        </w:tc>
        <w:tc>
          <w:tcPr>
            <w:tcW w:w="2475" w:type="dxa"/>
            <w:shd w:val="clear" w:color="auto" w:fill="auto"/>
            <w:vAlign w:val="center"/>
            <w:hideMark/>
          </w:tcPr>
          <w:p w14:paraId="2C7D8AD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14 de enero de 2017</w:t>
            </w:r>
          </w:p>
        </w:tc>
        <w:tc>
          <w:tcPr>
            <w:tcW w:w="2409" w:type="dxa"/>
            <w:shd w:val="clear" w:color="auto" w:fill="auto"/>
            <w:vAlign w:val="center"/>
            <w:hideMark/>
          </w:tcPr>
          <w:p w14:paraId="6743C54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20 de enero de 2017</w:t>
            </w:r>
          </w:p>
        </w:tc>
        <w:tc>
          <w:tcPr>
            <w:tcW w:w="2552" w:type="dxa"/>
            <w:shd w:val="clear" w:color="auto" w:fill="auto"/>
            <w:vAlign w:val="center"/>
            <w:hideMark/>
          </w:tcPr>
          <w:p w14:paraId="2DF3FB9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 de enero de 2017</w:t>
            </w:r>
          </w:p>
        </w:tc>
      </w:tr>
      <w:tr w:rsidR="00B2442D" w14:paraId="081F6ED6" w14:textId="77777777">
        <w:trPr>
          <w:trHeight w:val="345"/>
          <w:jc w:val="center"/>
        </w:trPr>
        <w:tc>
          <w:tcPr>
            <w:tcW w:w="1200" w:type="dxa"/>
            <w:shd w:val="clear" w:color="auto" w:fill="auto"/>
            <w:vAlign w:val="center"/>
            <w:hideMark/>
          </w:tcPr>
          <w:p w14:paraId="444293D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w:t>
            </w:r>
          </w:p>
        </w:tc>
        <w:tc>
          <w:tcPr>
            <w:tcW w:w="2475" w:type="dxa"/>
            <w:shd w:val="clear" w:color="auto" w:fill="auto"/>
            <w:vAlign w:val="center"/>
            <w:hideMark/>
          </w:tcPr>
          <w:p w14:paraId="492E814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enero de 2017</w:t>
            </w:r>
          </w:p>
        </w:tc>
        <w:tc>
          <w:tcPr>
            <w:tcW w:w="2409" w:type="dxa"/>
            <w:shd w:val="clear" w:color="auto" w:fill="auto"/>
            <w:vAlign w:val="center"/>
            <w:hideMark/>
          </w:tcPr>
          <w:p w14:paraId="1821BF3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27 de enero de 2017</w:t>
            </w:r>
          </w:p>
        </w:tc>
        <w:tc>
          <w:tcPr>
            <w:tcW w:w="2552" w:type="dxa"/>
            <w:shd w:val="clear" w:color="auto" w:fill="auto"/>
            <w:vAlign w:val="center"/>
            <w:hideMark/>
          </w:tcPr>
          <w:p w14:paraId="61B216B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31 de enero de 2017</w:t>
            </w:r>
          </w:p>
        </w:tc>
      </w:tr>
      <w:tr w:rsidR="00B2442D" w14:paraId="14BAA82E" w14:textId="77777777">
        <w:trPr>
          <w:trHeight w:val="345"/>
          <w:jc w:val="center"/>
        </w:trPr>
        <w:tc>
          <w:tcPr>
            <w:tcW w:w="1200" w:type="dxa"/>
            <w:shd w:val="clear" w:color="auto" w:fill="auto"/>
            <w:vAlign w:val="center"/>
            <w:hideMark/>
          </w:tcPr>
          <w:p w14:paraId="38EBCC3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w:t>
            </w:r>
          </w:p>
        </w:tc>
        <w:tc>
          <w:tcPr>
            <w:tcW w:w="2475" w:type="dxa"/>
            <w:shd w:val="clear" w:color="auto" w:fill="auto"/>
            <w:vAlign w:val="center"/>
            <w:hideMark/>
          </w:tcPr>
          <w:p w14:paraId="4906A7A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28 </w:t>
            </w:r>
            <w:r>
              <w:rPr>
                <w:rFonts w:ascii="Arial" w:hAnsi="Arial" w:cs="Arial"/>
                <w:color w:val="000000"/>
                <w:sz w:val="18"/>
                <w:szCs w:val="18"/>
                <w:lang w:val="es-CO" w:eastAsia="es-CO"/>
              </w:rPr>
              <w:t>de enero de 2017</w:t>
            </w:r>
          </w:p>
        </w:tc>
        <w:tc>
          <w:tcPr>
            <w:tcW w:w="2409" w:type="dxa"/>
            <w:shd w:val="clear" w:color="auto" w:fill="auto"/>
            <w:vAlign w:val="center"/>
            <w:hideMark/>
          </w:tcPr>
          <w:p w14:paraId="1F5AC90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   03 de febrero de 2017</w:t>
            </w:r>
          </w:p>
        </w:tc>
        <w:tc>
          <w:tcPr>
            <w:tcW w:w="2552" w:type="dxa"/>
            <w:shd w:val="clear" w:color="auto" w:fill="auto"/>
            <w:vAlign w:val="center"/>
            <w:hideMark/>
          </w:tcPr>
          <w:p w14:paraId="78DEC1B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  07 de febrero de 2017</w:t>
            </w:r>
          </w:p>
        </w:tc>
      </w:tr>
      <w:tr w:rsidR="00B2442D" w14:paraId="36F1FDAD" w14:textId="77777777">
        <w:trPr>
          <w:trHeight w:val="345"/>
          <w:jc w:val="center"/>
        </w:trPr>
        <w:tc>
          <w:tcPr>
            <w:tcW w:w="1200" w:type="dxa"/>
            <w:shd w:val="clear" w:color="auto" w:fill="auto"/>
            <w:vAlign w:val="center"/>
            <w:hideMark/>
          </w:tcPr>
          <w:p w14:paraId="57D2BBC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5</w:t>
            </w:r>
          </w:p>
        </w:tc>
        <w:tc>
          <w:tcPr>
            <w:tcW w:w="2475" w:type="dxa"/>
            <w:shd w:val="clear" w:color="auto" w:fill="auto"/>
            <w:vAlign w:val="center"/>
            <w:hideMark/>
          </w:tcPr>
          <w:p w14:paraId="4A79F38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04 de febrero de 2017</w:t>
            </w:r>
          </w:p>
        </w:tc>
        <w:tc>
          <w:tcPr>
            <w:tcW w:w="2409" w:type="dxa"/>
            <w:shd w:val="clear" w:color="auto" w:fill="auto"/>
            <w:vAlign w:val="center"/>
            <w:hideMark/>
          </w:tcPr>
          <w:p w14:paraId="437FFA5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 de febrero de 2017</w:t>
            </w:r>
          </w:p>
        </w:tc>
        <w:tc>
          <w:tcPr>
            <w:tcW w:w="2552" w:type="dxa"/>
            <w:shd w:val="clear" w:color="auto" w:fill="auto"/>
            <w:vAlign w:val="center"/>
            <w:hideMark/>
          </w:tcPr>
          <w:p w14:paraId="1FB3272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  14 de febrero de 2017</w:t>
            </w:r>
          </w:p>
        </w:tc>
      </w:tr>
      <w:tr w:rsidR="00B2442D" w14:paraId="4F5F64F4" w14:textId="77777777">
        <w:trPr>
          <w:trHeight w:val="345"/>
          <w:jc w:val="center"/>
        </w:trPr>
        <w:tc>
          <w:tcPr>
            <w:tcW w:w="1200" w:type="dxa"/>
            <w:shd w:val="clear" w:color="auto" w:fill="auto"/>
            <w:vAlign w:val="center"/>
            <w:hideMark/>
          </w:tcPr>
          <w:p w14:paraId="7C9DAF0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6</w:t>
            </w:r>
          </w:p>
        </w:tc>
        <w:tc>
          <w:tcPr>
            <w:tcW w:w="2475" w:type="dxa"/>
            <w:shd w:val="clear" w:color="auto" w:fill="auto"/>
            <w:vAlign w:val="center"/>
            <w:hideMark/>
          </w:tcPr>
          <w:p w14:paraId="484FE5C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febrero de 2017</w:t>
            </w:r>
          </w:p>
        </w:tc>
        <w:tc>
          <w:tcPr>
            <w:tcW w:w="2409" w:type="dxa"/>
            <w:shd w:val="clear" w:color="auto" w:fill="auto"/>
            <w:vAlign w:val="center"/>
            <w:hideMark/>
          </w:tcPr>
          <w:p w14:paraId="3C2EB51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 de febrero de 2017</w:t>
            </w:r>
          </w:p>
        </w:tc>
        <w:tc>
          <w:tcPr>
            <w:tcW w:w="2552" w:type="dxa"/>
            <w:shd w:val="clear" w:color="auto" w:fill="auto"/>
            <w:vAlign w:val="center"/>
            <w:hideMark/>
          </w:tcPr>
          <w:p w14:paraId="66E7381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febrero de 2017</w:t>
            </w:r>
          </w:p>
        </w:tc>
      </w:tr>
      <w:tr w:rsidR="00B2442D" w14:paraId="30531A42" w14:textId="77777777">
        <w:trPr>
          <w:trHeight w:val="345"/>
          <w:jc w:val="center"/>
        </w:trPr>
        <w:tc>
          <w:tcPr>
            <w:tcW w:w="1200" w:type="dxa"/>
            <w:shd w:val="clear" w:color="auto" w:fill="auto"/>
            <w:vAlign w:val="center"/>
            <w:hideMark/>
          </w:tcPr>
          <w:p w14:paraId="19B0D0F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7</w:t>
            </w:r>
          </w:p>
        </w:tc>
        <w:tc>
          <w:tcPr>
            <w:tcW w:w="2475" w:type="dxa"/>
            <w:shd w:val="clear" w:color="auto" w:fill="auto"/>
            <w:vAlign w:val="center"/>
            <w:hideMark/>
          </w:tcPr>
          <w:p w14:paraId="2F4E466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febrero de 2017</w:t>
            </w:r>
          </w:p>
        </w:tc>
        <w:tc>
          <w:tcPr>
            <w:tcW w:w="2409" w:type="dxa"/>
            <w:shd w:val="clear" w:color="auto" w:fill="auto"/>
            <w:vAlign w:val="center"/>
            <w:hideMark/>
          </w:tcPr>
          <w:p w14:paraId="68F0157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 de febrero de 2017</w:t>
            </w:r>
          </w:p>
        </w:tc>
        <w:tc>
          <w:tcPr>
            <w:tcW w:w="2552" w:type="dxa"/>
            <w:shd w:val="clear" w:color="auto" w:fill="auto"/>
            <w:vAlign w:val="center"/>
            <w:hideMark/>
          </w:tcPr>
          <w:p w14:paraId="5D736E1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febrero de 2017</w:t>
            </w:r>
          </w:p>
        </w:tc>
      </w:tr>
      <w:tr w:rsidR="00B2442D" w14:paraId="321FA829" w14:textId="77777777">
        <w:trPr>
          <w:trHeight w:val="345"/>
          <w:jc w:val="center"/>
        </w:trPr>
        <w:tc>
          <w:tcPr>
            <w:tcW w:w="1200" w:type="dxa"/>
            <w:shd w:val="clear" w:color="auto" w:fill="auto"/>
            <w:vAlign w:val="center"/>
            <w:hideMark/>
          </w:tcPr>
          <w:p w14:paraId="7F232EC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8</w:t>
            </w:r>
          </w:p>
        </w:tc>
        <w:tc>
          <w:tcPr>
            <w:tcW w:w="2475" w:type="dxa"/>
            <w:shd w:val="clear" w:color="auto" w:fill="auto"/>
            <w:vAlign w:val="center"/>
            <w:hideMark/>
          </w:tcPr>
          <w:p w14:paraId="03C5F86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febrero de 2017</w:t>
            </w:r>
          </w:p>
        </w:tc>
        <w:tc>
          <w:tcPr>
            <w:tcW w:w="2409" w:type="dxa"/>
            <w:shd w:val="clear" w:color="auto" w:fill="auto"/>
            <w:vAlign w:val="center"/>
            <w:hideMark/>
          </w:tcPr>
          <w:p w14:paraId="5CD79A8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marzo de 2017</w:t>
            </w:r>
          </w:p>
        </w:tc>
        <w:tc>
          <w:tcPr>
            <w:tcW w:w="2552" w:type="dxa"/>
            <w:shd w:val="clear" w:color="auto" w:fill="auto"/>
            <w:vAlign w:val="center"/>
            <w:hideMark/>
          </w:tcPr>
          <w:p w14:paraId="564F0FD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07 de marzo de 2017</w:t>
            </w:r>
          </w:p>
        </w:tc>
      </w:tr>
      <w:tr w:rsidR="00B2442D" w14:paraId="24669713" w14:textId="77777777">
        <w:trPr>
          <w:trHeight w:val="345"/>
          <w:jc w:val="center"/>
        </w:trPr>
        <w:tc>
          <w:tcPr>
            <w:tcW w:w="1200" w:type="dxa"/>
            <w:shd w:val="clear" w:color="auto" w:fill="auto"/>
            <w:vAlign w:val="center"/>
            <w:hideMark/>
          </w:tcPr>
          <w:p w14:paraId="03830CC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9</w:t>
            </w:r>
          </w:p>
        </w:tc>
        <w:tc>
          <w:tcPr>
            <w:tcW w:w="2475" w:type="dxa"/>
            <w:shd w:val="clear" w:color="auto" w:fill="auto"/>
            <w:vAlign w:val="center"/>
            <w:hideMark/>
          </w:tcPr>
          <w:p w14:paraId="558F017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04 de marzo de 2017</w:t>
            </w:r>
          </w:p>
        </w:tc>
        <w:tc>
          <w:tcPr>
            <w:tcW w:w="2409" w:type="dxa"/>
            <w:shd w:val="clear" w:color="auto" w:fill="auto"/>
            <w:vAlign w:val="center"/>
            <w:hideMark/>
          </w:tcPr>
          <w:p w14:paraId="6A3923A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 de marzo de 2017</w:t>
            </w:r>
          </w:p>
        </w:tc>
        <w:tc>
          <w:tcPr>
            <w:tcW w:w="2552" w:type="dxa"/>
            <w:shd w:val="clear" w:color="auto" w:fill="auto"/>
            <w:vAlign w:val="center"/>
            <w:hideMark/>
          </w:tcPr>
          <w:p w14:paraId="2D189DB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14 de marzo de 2017</w:t>
            </w:r>
          </w:p>
        </w:tc>
      </w:tr>
      <w:tr w:rsidR="00B2442D" w14:paraId="3CB7F0FB" w14:textId="77777777">
        <w:trPr>
          <w:trHeight w:val="345"/>
          <w:jc w:val="center"/>
        </w:trPr>
        <w:tc>
          <w:tcPr>
            <w:tcW w:w="1200" w:type="dxa"/>
            <w:shd w:val="clear" w:color="auto" w:fill="auto"/>
            <w:vAlign w:val="center"/>
            <w:hideMark/>
          </w:tcPr>
          <w:p w14:paraId="0EBE6C7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w:t>
            </w:r>
          </w:p>
        </w:tc>
        <w:tc>
          <w:tcPr>
            <w:tcW w:w="2475" w:type="dxa"/>
            <w:shd w:val="clear" w:color="auto" w:fill="auto"/>
            <w:vAlign w:val="center"/>
            <w:hideMark/>
          </w:tcPr>
          <w:p w14:paraId="3A543D1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marzo de 2017</w:t>
            </w:r>
          </w:p>
        </w:tc>
        <w:tc>
          <w:tcPr>
            <w:tcW w:w="2409" w:type="dxa"/>
            <w:shd w:val="clear" w:color="auto" w:fill="auto"/>
            <w:vAlign w:val="center"/>
            <w:hideMark/>
          </w:tcPr>
          <w:p w14:paraId="4CB9759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 de marzo de 2017</w:t>
            </w:r>
          </w:p>
        </w:tc>
        <w:tc>
          <w:tcPr>
            <w:tcW w:w="2552" w:type="dxa"/>
            <w:shd w:val="clear" w:color="auto" w:fill="auto"/>
            <w:vAlign w:val="center"/>
            <w:hideMark/>
          </w:tcPr>
          <w:p w14:paraId="01E1564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 de marzo de 2017</w:t>
            </w:r>
          </w:p>
        </w:tc>
      </w:tr>
      <w:tr w:rsidR="00B2442D" w14:paraId="7C49FCB1" w14:textId="77777777">
        <w:trPr>
          <w:trHeight w:val="345"/>
          <w:jc w:val="center"/>
        </w:trPr>
        <w:tc>
          <w:tcPr>
            <w:tcW w:w="1200" w:type="dxa"/>
            <w:shd w:val="clear" w:color="auto" w:fill="auto"/>
            <w:vAlign w:val="center"/>
            <w:hideMark/>
          </w:tcPr>
          <w:p w14:paraId="77A4AB7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w:t>
            </w:r>
          </w:p>
        </w:tc>
        <w:tc>
          <w:tcPr>
            <w:tcW w:w="2475" w:type="dxa"/>
            <w:shd w:val="clear" w:color="auto" w:fill="auto"/>
            <w:vAlign w:val="center"/>
            <w:hideMark/>
          </w:tcPr>
          <w:p w14:paraId="0352123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marzo de 2017</w:t>
            </w:r>
          </w:p>
        </w:tc>
        <w:tc>
          <w:tcPr>
            <w:tcW w:w="2409" w:type="dxa"/>
            <w:shd w:val="clear" w:color="auto" w:fill="auto"/>
            <w:vAlign w:val="center"/>
            <w:hideMark/>
          </w:tcPr>
          <w:p w14:paraId="7E91FE6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24 de marzo de </w:t>
            </w:r>
            <w:r>
              <w:rPr>
                <w:rFonts w:ascii="Arial" w:hAnsi="Arial" w:cs="Arial"/>
                <w:color w:val="000000"/>
                <w:sz w:val="18"/>
                <w:szCs w:val="18"/>
                <w:lang w:val="es-CO" w:eastAsia="es-CO"/>
              </w:rPr>
              <w:t>2017</w:t>
            </w:r>
          </w:p>
        </w:tc>
        <w:tc>
          <w:tcPr>
            <w:tcW w:w="2552" w:type="dxa"/>
            <w:shd w:val="clear" w:color="auto" w:fill="auto"/>
            <w:vAlign w:val="center"/>
            <w:hideMark/>
          </w:tcPr>
          <w:p w14:paraId="41DAA71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marzo de 2017</w:t>
            </w:r>
          </w:p>
        </w:tc>
      </w:tr>
      <w:tr w:rsidR="00B2442D" w14:paraId="3A89A5C6" w14:textId="77777777">
        <w:trPr>
          <w:trHeight w:val="345"/>
          <w:jc w:val="center"/>
        </w:trPr>
        <w:tc>
          <w:tcPr>
            <w:tcW w:w="1200" w:type="dxa"/>
            <w:shd w:val="clear" w:color="auto" w:fill="auto"/>
            <w:vAlign w:val="center"/>
            <w:hideMark/>
          </w:tcPr>
          <w:p w14:paraId="3D70077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12</w:t>
            </w:r>
          </w:p>
        </w:tc>
        <w:tc>
          <w:tcPr>
            <w:tcW w:w="2475" w:type="dxa"/>
            <w:shd w:val="clear" w:color="auto" w:fill="auto"/>
            <w:vAlign w:val="center"/>
            <w:hideMark/>
          </w:tcPr>
          <w:p w14:paraId="0DDC238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marzo de 2017</w:t>
            </w:r>
          </w:p>
        </w:tc>
        <w:tc>
          <w:tcPr>
            <w:tcW w:w="2409" w:type="dxa"/>
            <w:shd w:val="clear" w:color="auto" w:fill="auto"/>
            <w:vAlign w:val="center"/>
            <w:hideMark/>
          </w:tcPr>
          <w:p w14:paraId="514C833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31 de marzo de 2017</w:t>
            </w:r>
          </w:p>
        </w:tc>
        <w:tc>
          <w:tcPr>
            <w:tcW w:w="2552" w:type="dxa"/>
            <w:shd w:val="clear" w:color="auto" w:fill="auto"/>
            <w:vAlign w:val="center"/>
            <w:hideMark/>
          </w:tcPr>
          <w:p w14:paraId="7F53524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04 de abril de 2017</w:t>
            </w:r>
          </w:p>
        </w:tc>
      </w:tr>
      <w:tr w:rsidR="00B2442D" w14:paraId="06EB6BA7" w14:textId="77777777">
        <w:trPr>
          <w:trHeight w:val="345"/>
          <w:jc w:val="center"/>
        </w:trPr>
        <w:tc>
          <w:tcPr>
            <w:tcW w:w="1200" w:type="dxa"/>
            <w:shd w:val="clear" w:color="auto" w:fill="auto"/>
            <w:vAlign w:val="center"/>
            <w:hideMark/>
          </w:tcPr>
          <w:p w14:paraId="4DA9672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13</w:t>
            </w:r>
          </w:p>
        </w:tc>
        <w:tc>
          <w:tcPr>
            <w:tcW w:w="2475" w:type="dxa"/>
            <w:shd w:val="clear" w:color="auto" w:fill="auto"/>
            <w:vAlign w:val="center"/>
            <w:hideMark/>
          </w:tcPr>
          <w:p w14:paraId="76E8502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01 de abril de 2017</w:t>
            </w:r>
          </w:p>
        </w:tc>
        <w:tc>
          <w:tcPr>
            <w:tcW w:w="2409" w:type="dxa"/>
            <w:shd w:val="clear" w:color="auto" w:fill="auto"/>
            <w:vAlign w:val="center"/>
            <w:hideMark/>
          </w:tcPr>
          <w:p w14:paraId="4957354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07 de abril de 2017 </w:t>
            </w:r>
          </w:p>
        </w:tc>
        <w:tc>
          <w:tcPr>
            <w:tcW w:w="2552" w:type="dxa"/>
            <w:shd w:val="clear" w:color="auto" w:fill="auto"/>
            <w:vAlign w:val="center"/>
            <w:hideMark/>
          </w:tcPr>
          <w:p w14:paraId="31A44B5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abril de 2017</w:t>
            </w:r>
          </w:p>
        </w:tc>
      </w:tr>
      <w:tr w:rsidR="00B2442D" w14:paraId="1C17E824" w14:textId="77777777">
        <w:trPr>
          <w:trHeight w:val="345"/>
          <w:jc w:val="center"/>
        </w:trPr>
        <w:tc>
          <w:tcPr>
            <w:tcW w:w="1200" w:type="dxa"/>
            <w:shd w:val="clear" w:color="auto" w:fill="auto"/>
            <w:vAlign w:val="center"/>
            <w:hideMark/>
          </w:tcPr>
          <w:p w14:paraId="108DA2B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14</w:t>
            </w:r>
          </w:p>
        </w:tc>
        <w:tc>
          <w:tcPr>
            <w:tcW w:w="2475" w:type="dxa"/>
            <w:shd w:val="clear" w:color="auto" w:fill="auto"/>
            <w:vAlign w:val="center"/>
            <w:hideMark/>
          </w:tcPr>
          <w:p w14:paraId="24A8E19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08  de abril de 2017</w:t>
            </w:r>
          </w:p>
        </w:tc>
        <w:tc>
          <w:tcPr>
            <w:tcW w:w="2409" w:type="dxa"/>
            <w:shd w:val="clear" w:color="auto" w:fill="auto"/>
            <w:vAlign w:val="center"/>
            <w:hideMark/>
          </w:tcPr>
          <w:p w14:paraId="7DE20DE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14 de abril de 2017</w:t>
            </w:r>
          </w:p>
        </w:tc>
        <w:tc>
          <w:tcPr>
            <w:tcW w:w="2552" w:type="dxa"/>
            <w:shd w:val="clear" w:color="auto" w:fill="auto"/>
            <w:vAlign w:val="center"/>
            <w:hideMark/>
          </w:tcPr>
          <w:p w14:paraId="643D3B4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abril de 2017</w:t>
            </w:r>
          </w:p>
        </w:tc>
      </w:tr>
      <w:tr w:rsidR="00B2442D" w14:paraId="716D50AB" w14:textId="77777777">
        <w:trPr>
          <w:trHeight w:val="345"/>
          <w:jc w:val="center"/>
        </w:trPr>
        <w:tc>
          <w:tcPr>
            <w:tcW w:w="1200" w:type="dxa"/>
            <w:shd w:val="clear" w:color="auto" w:fill="auto"/>
            <w:vAlign w:val="center"/>
            <w:hideMark/>
          </w:tcPr>
          <w:p w14:paraId="5C315C4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w:t>
            </w:r>
          </w:p>
        </w:tc>
        <w:tc>
          <w:tcPr>
            <w:tcW w:w="2475" w:type="dxa"/>
            <w:shd w:val="clear" w:color="auto" w:fill="auto"/>
            <w:vAlign w:val="center"/>
            <w:hideMark/>
          </w:tcPr>
          <w:p w14:paraId="6CAE20A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abril de 2017</w:t>
            </w:r>
          </w:p>
        </w:tc>
        <w:tc>
          <w:tcPr>
            <w:tcW w:w="2409" w:type="dxa"/>
            <w:shd w:val="clear" w:color="auto" w:fill="auto"/>
            <w:vAlign w:val="center"/>
            <w:hideMark/>
          </w:tcPr>
          <w:p w14:paraId="6F269E9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21 de </w:t>
            </w:r>
            <w:r>
              <w:rPr>
                <w:rFonts w:ascii="Arial" w:hAnsi="Arial" w:cs="Arial"/>
                <w:color w:val="000000"/>
                <w:sz w:val="18"/>
                <w:szCs w:val="18"/>
                <w:lang w:val="es-CO" w:eastAsia="es-CO"/>
              </w:rPr>
              <w:t>abril de 2017</w:t>
            </w:r>
          </w:p>
        </w:tc>
        <w:tc>
          <w:tcPr>
            <w:tcW w:w="2552" w:type="dxa"/>
            <w:shd w:val="clear" w:color="auto" w:fill="auto"/>
            <w:vAlign w:val="center"/>
            <w:hideMark/>
          </w:tcPr>
          <w:p w14:paraId="379F32D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abril de 2017</w:t>
            </w:r>
          </w:p>
        </w:tc>
      </w:tr>
      <w:tr w:rsidR="00B2442D" w14:paraId="0537264E" w14:textId="77777777">
        <w:trPr>
          <w:trHeight w:val="345"/>
          <w:jc w:val="center"/>
        </w:trPr>
        <w:tc>
          <w:tcPr>
            <w:tcW w:w="1200" w:type="dxa"/>
            <w:shd w:val="clear" w:color="auto" w:fill="auto"/>
            <w:vAlign w:val="center"/>
            <w:hideMark/>
          </w:tcPr>
          <w:p w14:paraId="09BC9AA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16</w:t>
            </w:r>
          </w:p>
        </w:tc>
        <w:tc>
          <w:tcPr>
            <w:tcW w:w="2475" w:type="dxa"/>
            <w:shd w:val="clear" w:color="auto" w:fill="auto"/>
            <w:vAlign w:val="center"/>
            <w:hideMark/>
          </w:tcPr>
          <w:p w14:paraId="2386775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 de abril de 2017</w:t>
            </w:r>
          </w:p>
        </w:tc>
        <w:tc>
          <w:tcPr>
            <w:tcW w:w="2409" w:type="dxa"/>
            <w:shd w:val="clear" w:color="auto" w:fill="auto"/>
            <w:vAlign w:val="center"/>
            <w:hideMark/>
          </w:tcPr>
          <w:p w14:paraId="789D7A6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abril de 2017</w:t>
            </w:r>
          </w:p>
        </w:tc>
        <w:tc>
          <w:tcPr>
            <w:tcW w:w="2552" w:type="dxa"/>
            <w:shd w:val="clear" w:color="auto" w:fill="auto"/>
            <w:vAlign w:val="center"/>
            <w:hideMark/>
          </w:tcPr>
          <w:p w14:paraId="4C6CCE6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mayo de 2017</w:t>
            </w:r>
          </w:p>
        </w:tc>
      </w:tr>
      <w:tr w:rsidR="00B2442D" w14:paraId="42C0EE50" w14:textId="77777777">
        <w:trPr>
          <w:trHeight w:val="345"/>
          <w:jc w:val="center"/>
        </w:trPr>
        <w:tc>
          <w:tcPr>
            <w:tcW w:w="1200" w:type="dxa"/>
            <w:shd w:val="clear" w:color="auto" w:fill="auto"/>
            <w:vAlign w:val="center"/>
            <w:hideMark/>
          </w:tcPr>
          <w:p w14:paraId="2FC52C7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w:t>
            </w:r>
          </w:p>
        </w:tc>
        <w:tc>
          <w:tcPr>
            <w:tcW w:w="2475" w:type="dxa"/>
            <w:shd w:val="clear" w:color="auto" w:fill="auto"/>
            <w:vAlign w:val="center"/>
            <w:hideMark/>
          </w:tcPr>
          <w:p w14:paraId="3A48B36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 de abril de 2017</w:t>
            </w:r>
          </w:p>
        </w:tc>
        <w:tc>
          <w:tcPr>
            <w:tcW w:w="2409" w:type="dxa"/>
            <w:shd w:val="clear" w:color="auto" w:fill="auto"/>
            <w:vAlign w:val="center"/>
            <w:hideMark/>
          </w:tcPr>
          <w:p w14:paraId="1217DAF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05 de mayo de 2017</w:t>
            </w:r>
          </w:p>
        </w:tc>
        <w:tc>
          <w:tcPr>
            <w:tcW w:w="2552" w:type="dxa"/>
            <w:shd w:val="clear" w:color="auto" w:fill="auto"/>
            <w:vAlign w:val="center"/>
            <w:hideMark/>
          </w:tcPr>
          <w:p w14:paraId="3837764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09 de mayo de 2017</w:t>
            </w:r>
          </w:p>
        </w:tc>
      </w:tr>
      <w:tr w:rsidR="00B2442D" w14:paraId="51824544" w14:textId="77777777">
        <w:trPr>
          <w:trHeight w:val="345"/>
          <w:jc w:val="center"/>
        </w:trPr>
        <w:tc>
          <w:tcPr>
            <w:tcW w:w="1200" w:type="dxa"/>
            <w:shd w:val="clear" w:color="auto" w:fill="auto"/>
            <w:vAlign w:val="center"/>
            <w:hideMark/>
          </w:tcPr>
          <w:p w14:paraId="7E83443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w:t>
            </w:r>
          </w:p>
        </w:tc>
        <w:tc>
          <w:tcPr>
            <w:tcW w:w="2475" w:type="dxa"/>
            <w:shd w:val="clear" w:color="auto" w:fill="auto"/>
            <w:vAlign w:val="center"/>
            <w:hideMark/>
          </w:tcPr>
          <w:p w14:paraId="0CDC9A9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06 de mayo de 2017</w:t>
            </w:r>
          </w:p>
        </w:tc>
        <w:tc>
          <w:tcPr>
            <w:tcW w:w="2409" w:type="dxa"/>
            <w:shd w:val="clear" w:color="auto" w:fill="auto"/>
            <w:vAlign w:val="center"/>
            <w:hideMark/>
          </w:tcPr>
          <w:p w14:paraId="06237E1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12 de mayo de 2017</w:t>
            </w:r>
          </w:p>
        </w:tc>
        <w:tc>
          <w:tcPr>
            <w:tcW w:w="2552" w:type="dxa"/>
            <w:shd w:val="clear" w:color="auto" w:fill="auto"/>
            <w:vAlign w:val="center"/>
            <w:hideMark/>
          </w:tcPr>
          <w:p w14:paraId="1AA89C5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16 de mayo de 2017</w:t>
            </w:r>
          </w:p>
        </w:tc>
      </w:tr>
      <w:tr w:rsidR="00B2442D" w14:paraId="2A97BC2B" w14:textId="77777777">
        <w:trPr>
          <w:trHeight w:val="345"/>
          <w:jc w:val="center"/>
        </w:trPr>
        <w:tc>
          <w:tcPr>
            <w:tcW w:w="1200" w:type="dxa"/>
            <w:shd w:val="clear" w:color="auto" w:fill="auto"/>
            <w:vAlign w:val="center"/>
            <w:hideMark/>
          </w:tcPr>
          <w:p w14:paraId="0DA81A1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19</w:t>
            </w:r>
          </w:p>
        </w:tc>
        <w:tc>
          <w:tcPr>
            <w:tcW w:w="2475" w:type="dxa"/>
            <w:shd w:val="clear" w:color="auto" w:fill="auto"/>
            <w:vAlign w:val="center"/>
            <w:hideMark/>
          </w:tcPr>
          <w:p w14:paraId="04FED7A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13 de mayo de 2017</w:t>
            </w:r>
          </w:p>
        </w:tc>
        <w:tc>
          <w:tcPr>
            <w:tcW w:w="2409" w:type="dxa"/>
            <w:shd w:val="clear" w:color="auto" w:fill="auto"/>
            <w:vAlign w:val="center"/>
            <w:hideMark/>
          </w:tcPr>
          <w:p w14:paraId="3FA2F01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19 de </w:t>
            </w:r>
            <w:r>
              <w:rPr>
                <w:rFonts w:ascii="Arial" w:hAnsi="Arial" w:cs="Arial"/>
                <w:color w:val="000000"/>
                <w:sz w:val="18"/>
                <w:szCs w:val="18"/>
                <w:lang w:val="es-CO" w:eastAsia="es-CO"/>
              </w:rPr>
              <w:t>mayo de 2017</w:t>
            </w:r>
          </w:p>
        </w:tc>
        <w:tc>
          <w:tcPr>
            <w:tcW w:w="2552" w:type="dxa"/>
            <w:shd w:val="clear" w:color="auto" w:fill="auto"/>
            <w:vAlign w:val="center"/>
            <w:hideMark/>
          </w:tcPr>
          <w:p w14:paraId="68E1697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23 de mayo de 2017</w:t>
            </w:r>
          </w:p>
        </w:tc>
      </w:tr>
      <w:tr w:rsidR="00B2442D" w14:paraId="4A772284" w14:textId="77777777">
        <w:trPr>
          <w:trHeight w:val="345"/>
          <w:jc w:val="center"/>
        </w:trPr>
        <w:tc>
          <w:tcPr>
            <w:tcW w:w="1200" w:type="dxa"/>
            <w:shd w:val="clear" w:color="auto" w:fill="auto"/>
            <w:vAlign w:val="center"/>
            <w:hideMark/>
          </w:tcPr>
          <w:p w14:paraId="1A1A917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20</w:t>
            </w:r>
          </w:p>
        </w:tc>
        <w:tc>
          <w:tcPr>
            <w:tcW w:w="2475" w:type="dxa"/>
            <w:shd w:val="clear" w:color="auto" w:fill="auto"/>
            <w:vAlign w:val="center"/>
            <w:hideMark/>
          </w:tcPr>
          <w:p w14:paraId="084B65E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20 de mayo de 2017</w:t>
            </w:r>
          </w:p>
        </w:tc>
        <w:tc>
          <w:tcPr>
            <w:tcW w:w="2409" w:type="dxa"/>
            <w:shd w:val="clear" w:color="auto" w:fill="auto"/>
            <w:vAlign w:val="center"/>
            <w:hideMark/>
          </w:tcPr>
          <w:p w14:paraId="4F907F4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26 de mayo de 2017</w:t>
            </w:r>
          </w:p>
        </w:tc>
        <w:tc>
          <w:tcPr>
            <w:tcW w:w="2552" w:type="dxa"/>
            <w:shd w:val="clear" w:color="auto" w:fill="auto"/>
            <w:vAlign w:val="center"/>
            <w:hideMark/>
          </w:tcPr>
          <w:p w14:paraId="756F50A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31 de mayo de 2017</w:t>
            </w:r>
          </w:p>
        </w:tc>
      </w:tr>
      <w:tr w:rsidR="00B2442D" w14:paraId="698B4AA0" w14:textId="77777777">
        <w:trPr>
          <w:trHeight w:val="345"/>
          <w:jc w:val="center"/>
        </w:trPr>
        <w:tc>
          <w:tcPr>
            <w:tcW w:w="1200" w:type="dxa"/>
            <w:shd w:val="clear" w:color="auto" w:fill="auto"/>
            <w:vAlign w:val="center"/>
            <w:hideMark/>
          </w:tcPr>
          <w:p w14:paraId="5773ECC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w:t>
            </w:r>
          </w:p>
        </w:tc>
        <w:tc>
          <w:tcPr>
            <w:tcW w:w="2475" w:type="dxa"/>
            <w:shd w:val="clear" w:color="auto" w:fill="auto"/>
            <w:vAlign w:val="center"/>
            <w:hideMark/>
          </w:tcPr>
          <w:p w14:paraId="1550864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27 de mayo de 2017</w:t>
            </w:r>
          </w:p>
        </w:tc>
        <w:tc>
          <w:tcPr>
            <w:tcW w:w="2409" w:type="dxa"/>
            <w:shd w:val="clear" w:color="auto" w:fill="auto"/>
            <w:vAlign w:val="center"/>
            <w:hideMark/>
          </w:tcPr>
          <w:p w14:paraId="4D3C642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02 de junio de 2017</w:t>
            </w:r>
          </w:p>
        </w:tc>
        <w:tc>
          <w:tcPr>
            <w:tcW w:w="2552" w:type="dxa"/>
            <w:shd w:val="clear" w:color="auto" w:fill="auto"/>
            <w:vAlign w:val="center"/>
            <w:hideMark/>
          </w:tcPr>
          <w:p w14:paraId="20DA160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06 de junio de 2017</w:t>
            </w:r>
          </w:p>
        </w:tc>
      </w:tr>
      <w:tr w:rsidR="00B2442D" w14:paraId="18820FB8" w14:textId="77777777">
        <w:trPr>
          <w:trHeight w:val="345"/>
          <w:jc w:val="center"/>
        </w:trPr>
        <w:tc>
          <w:tcPr>
            <w:tcW w:w="1200" w:type="dxa"/>
            <w:shd w:val="clear" w:color="auto" w:fill="auto"/>
            <w:vAlign w:val="center"/>
            <w:hideMark/>
          </w:tcPr>
          <w:p w14:paraId="1FBADEA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w:t>
            </w:r>
          </w:p>
        </w:tc>
        <w:tc>
          <w:tcPr>
            <w:tcW w:w="2475" w:type="dxa"/>
            <w:shd w:val="clear" w:color="auto" w:fill="auto"/>
            <w:vAlign w:val="center"/>
            <w:hideMark/>
          </w:tcPr>
          <w:p w14:paraId="5EFC702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junio de 2017</w:t>
            </w:r>
          </w:p>
        </w:tc>
        <w:tc>
          <w:tcPr>
            <w:tcW w:w="2409" w:type="dxa"/>
            <w:shd w:val="clear" w:color="auto" w:fill="auto"/>
            <w:vAlign w:val="center"/>
            <w:hideMark/>
          </w:tcPr>
          <w:p w14:paraId="1568617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09 de junio de 2017</w:t>
            </w:r>
          </w:p>
        </w:tc>
        <w:tc>
          <w:tcPr>
            <w:tcW w:w="2552" w:type="dxa"/>
            <w:shd w:val="clear" w:color="auto" w:fill="auto"/>
            <w:vAlign w:val="center"/>
            <w:hideMark/>
          </w:tcPr>
          <w:p w14:paraId="606EDF8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13 de junio de 2017</w:t>
            </w:r>
          </w:p>
        </w:tc>
      </w:tr>
      <w:tr w:rsidR="00B2442D" w14:paraId="61678C6D" w14:textId="77777777">
        <w:trPr>
          <w:trHeight w:val="345"/>
          <w:jc w:val="center"/>
        </w:trPr>
        <w:tc>
          <w:tcPr>
            <w:tcW w:w="1200" w:type="dxa"/>
            <w:shd w:val="clear" w:color="auto" w:fill="auto"/>
            <w:vAlign w:val="center"/>
            <w:hideMark/>
          </w:tcPr>
          <w:p w14:paraId="50A1B8D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23</w:t>
            </w:r>
          </w:p>
        </w:tc>
        <w:tc>
          <w:tcPr>
            <w:tcW w:w="2475" w:type="dxa"/>
            <w:shd w:val="clear" w:color="auto" w:fill="auto"/>
            <w:vAlign w:val="center"/>
            <w:hideMark/>
          </w:tcPr>
          <w:p w14:paraId="673E113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 de junio de 2017</w:t>
            </w:r>
          </w:p>
        </w:tc>
        <w:tc>
          <w:tcPr>
            <w:tcW w:w="2409" w:type="dxa"/>
            <w:shd w:val="clear" w:color="auto" w:fill="auto"/>
            <w:vAlign w:val="center"/>
            <w:hideMark/>
          </w:tcPr>
          <w:p w14:paraId="53281CE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16 de </w:t>
            </w:r>
            <w:r>
              <w:rPr>
                <w:rFonts w:ascii="Arial" w:hAnsi="Arial" w:cs="Arial"/>
                <w:color w:val="000000"/>
                <w:sz w:val="18"/>
                <w:szCs w:val="18"/>
                <w:lang w:val="es-CO" w:eastAsia="es-CO"/>
              </w:rPr>
              <w:t>junio de 2017</w:t>
            </w:r>
          </w:p>
        </w:tc>
        <w:tc>
          <w:tcPr>
            <w:tcW w:w="2552" w:type="dxa"/>
            <w:shd w:val="clear" w:color="auto" w:fill="auto"/>
            <w:vAlign w:val="center"/>
            <w:hideMark/>
          </w:tcPr>
          <w:p w14:paraId="44EA08F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junio de 2017</w:t>
            </w:r>
          </w:p>
        </w:tc>
      </w:tr>
      <w:tr w:rsidR="00B2442D" w14:paraId="71FDB6DC" w14:textId="77777777">
        <w:trPr>
          <w:trHeight w:val="345"/>
          <w:jc w:val="center"/>
        </w:trPr>
        <w:tc>
          <w:tcPr>
            <w:tcW w:w="1200" w:type="dxa"/>
            <w:shd w:val="clear" w:color="auto" w:fill="auto"/>
            <w:vAlign w:val="center"/>
            <w:hideMark/>
          </w:tcPr>
          <w:p w14:paraId="5C832C7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w:t>
            </w:r>
          </w:p>
        </w:tc>
        <w:tc>
          <w:tcPr>
            <w:tcW w:w="2475" w:type="dxa"/>
            <w:shd w:val="clear" w:color="auto" w:fill="auto"/>
            <w:vAlign w:val="center"/>
            <w:hideMark/>
          </w:tcPr>
          <w:p w14:paraId="2F4E405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 de junio de 2017</w:t>
            </w:r>
          </w:p>
        </w:tc>
        <w:tc>
          <w:tcPr>
            <w:tcW w:w="2409" w:type="dxa"/>
            <w:shd w:val="clear" w:color="auto" w:fill="auto"/>
            <w:vAlign w:val="center"/>
            <w:hideMark/>
          </w:tcPr>
          <w:p w14:paraId="6806A19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23 de junio de 2017</w:t>
            </w:r>
          </w:p>
        </w:tc>
        <w:tc>
          <w:tcPr>
            <w:tcW w:w="2552" w:type="dxa"/>
            <w:shd w:val="clear" w:color="auto" w:fill="auto"/>
            <w:vAlign w:val="center"/>
            <w:hideMark/>
          </w:tcPr>
          <w:p w14:paraId="61721E3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junio de 2017</w:t>
            </w:r>
          </w:p>
        </w:tc>
      </w:tr>
      <w:tr w:rsidR="00B2442D" w14:paraId="73A4F838" w14:textId="77777777">
        <w:trPr>
          <w:trHeight w:val="345"/>
          <w:jc w:val="center"/>
        </w:trPr>
        <w:tc>
          <w:tcPr>
            <w:tcW w:w="1200" w:type="dxa"/>
            <w:shd w:val="clear" w:color="auto" w:fill="auto"/>
            <w:vAlign w:val="center"/>
            <w:hideMark/>
          </w:tcPr>
          <w:p w14:paraId="2D5D0D6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w:t>
            </w:r>
          </w:p>
        </w:tc>
        <w:tc>
          <w:tcPr>
            <w:tcW w:w="2475" w:type="dxa"/>
            <w:shd w:val="clear" w:color="auto" w:fill="auto"/>
            <w:vAlign w:val="center"/>
            <w:hideMark/>
          </w:tcPr>
          <w:p w14:paraId="65D92A5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 de junio de 2017</w:t>
            </w:r>
          </w:p>
        </w:tc>
        <w:tc>
          <w:tcPr>
            <w:tcW w:w="2409" w:type="dxa"/>
            <w:shd w:val="clear" w:color="auto" w:fill="auto"/>
            <w:vAlign w:val="center"/>
            <w:hideMark/>
          </w:tcPr>
          <w:p w14:paraId="573B708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30 de junio de 2017</w:t>
            </w:r>
          </w:p>
        </w:tc>
        <w:tc>
          <w:tcPr>
            <w:tcW w:w="2552" w:type="dxa"/>
            <w:shd w:val="clear" w:color="auto" w:fill="auto"/>
            <w:vAlign w:val="center"/>
            <w:hideMark/>
          </w:tcPr>
          <w:p w14:paraId="1E59BC9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05 de julio de 2017</w:t>
            </w:r>
          </w:p>
        </w:tc>
      </w:tr>
      <w:tr w:rsidR="00B2442D" w14:paraId="2125B13B" w14:textId="77777777">
        <w:trPr>
          <w:trHeight w:val="345"/>
          <w:jc w:val="center"/>
        </w:trPr>
        <w:tc>
          <w:tcPr>
            <w:tcW w:w="1200" w:type="dxa"/>
            <w:shd w:val="clear" w:color="auto" w:fill="auto"/>
            <w:vAlign w:val="center"/>
            <w:hideMark/>
          </w:tcPr>
          <w:p w14:paraId="1AD376D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26</w:t>
            </w:r>
          </w:p>
        </w:tc>
        <w:tc>
          <w:tcPr>
            <w:tcW w:w="2475" w:type="dxa"/>
            <w:shd w:val="clear" w:color="auto" w:fill="auto"/>
            <w:vAlign w:val="center"/>
            <w:hideMark/>
          </w:tcPr>
          <w:p w14:paraId="3D83626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01 de julio de 2017</w:t>
            </w:r>
          </w:p>
        </w:tc>
        <w:tc>
          <w:tcPr>
            <w:tcW w:w="2409" w:type="dxa"/>
            <w:shd w:val="clear" w:color="auto" w:fill="auto"/>
            <w:vAlign w:val="center"/>
            <w:hideMark/>
          </w:tcPr>
          <w:p w14:paraId="746422F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07 de julio de 2017</w:t>
            </w:r>
          </w:p>
        </w:tc>
        <w:tc>
          <w:tcPr>
            <w:tcW w:w="2552" w:type="dxa"/>
            <w:shd w:val="clear" w:color="auto" w:fill="auto"/>
            <w:vAlign w:val="center"/>
            <w:hideMark/>
          </w:tcPr>
          <w:p w14:paraId="409EA4D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julio de 2017</w:t>
            </w:r>
          </w:p>
        </w:tc>
      </w:tr>
      <w:tr w:rsidR="00B2442D" w14:paraId="03DBB99D" w14:textId="77777777">
        <w:trPr>
          <w:trHeight w:val="345"/>
          <w:jc w:val="center"/>
        </w:trPr>
        <w:tc>
          <w:tcPr>
            <w:tcW w:w="1200" w:type="dxa"/>
            <w:shd w:val="clear" w:color="auto" w:fill="auto"/>
            <w:vAlign w:val="center"/>
            <w:hideMark/>
          </w:tcPr>
          <w:p w14:paraId="3E0CECF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27</w:t>
            </w:r>
          </w:p>
        </w:tc>
        <w:tc>
          <w:tcPr>
            <w:tcW w:w="2475" w:type="dxa"/>
            <w:shd w:val="clear" w:color="auto" w:fill="auto"/>
            <w:vAlign w:val="center"/>
            <w:hideMark/>
          </w:tcPr>
          <w:p w14:paraId="10EB92F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08 de julio de 2017</w:t>
            </w:r>
          </w:p>
        </w:tc>
        <w:tc>
          <w:tcPr>
            <w:tcW w:w="2409" w:type="dxa"/>
            <w:shd w:val="clear" w:color="auto" w:fill="auto"/>
            <w:vAlign w:val="center"/>
            <w:hideMark/>
          </w:tcPr>
          <w:p w14:paraId="3872531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14 </w:t>
            </w:r>
            <w:r>
              <w:rPr>
                <w:rFonts w:ascii="Arial" w:hAnsi="Arial" w:cs="Arial"/>
                <w:color w:val="000000"/>
                <w:sz w:val="18"/>
                <w:szCs w:val="18"/>
                <w:lang w:val="es-CO" w:eastAsia="es-CO"/>
              </w:rPr>
              <w:t>de julio de 2017</w:t>
            </w:r>
          </w:p>
        </w:tc>
        <w:tc>
          <w:tcPr>
            <w:tcW w:w="2552" w:type="dxa"/>
            <w:shd w:val="clear" w:color="auto" w:fill="auto"/>
            <w:vAlign w:val="center"/>
            <w:hideMark/>
          </w:tcPr>
          <w:p w14:paraId="14EA842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julio de 2017</w:t>
            </w:r>
          </w:p>
        </w:tc>
      </w:tr>
      <w:tr w:rsidR="00B2442D" w14:paraId="0D9C8B0A" w14:textId="77777777">
        <w:trPr>
          <w:trHeight w:val="345"/>
          <w:jc w:val="center"/>
        </w:trPr>
        <w:tc>
          <w:tcPr>
            <w:tcW w:w="1200" w:type="dxa"/>
            <w:shd w:val="clear" w:color="auto" w:fill="auto"/>
            <w:vAlign w:val="center"/>
            <w:hideMark/>
          </w:tcPr>
          <w:p w14:paraId="1F6C646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w:t>
            </w:r>
          </w:p>
        </w:tc>
        <w:tc>
          <w:tcPr>
            <w:tcW w:w="2475" w:type="dxa"/>
            <w:shd w:val="clear" w:color="auto" w:fill="auto"/>
            <w:vAlign w:val="center"/>
            <w:hideMark/>
          </w:tcPr>
          <w:p w14:paraId="1C55596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julio de 2017</w:t>
            </w:r>
          </w:p>
        </w:tc>
        <w:tc>
          <w:tcPr>
            <w:tcW w:w="2409" w:type="dxa"/>
            <w:shd w:val="clear" w:color="auto" w:fill="auto"/>
            <w:vAlign w:val="center"/>
            <w:hideMark/>
          </w:tcPr>
          <w:p w14:paraId="115399E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julio de 2017</w:t>
            </w:r>
          </w:p>
        </w:tc>
        <w:tc>
          <w:tcPr>
            <w:tcW w:w="2552" w:type="dxa"/>
            <w:shd w:val="clear" w:color="auto" w:fill="auto"/>
            <w:vAlign w:val="center"/>
            <w:hideMark/>
          </w:tcPr>
          <w:p w14:paraId="4F44632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julio de 2017</w:t>
            </w:r>
          </w:p>
        </w:tc>
      </w:tr>
      <w:tr w:rsidR="00B2442D" w14:paraId="45157048" w14:textId="77777777">
        <w:trPr>
          <w:trHeight w:val="345"/>
          <w:jc w:val="center"/>
        </w:trPr>
        <w:tc>
          <w:tcPr>
            <w:tcW w:w="1200" w:type="dxa"/>
            <w:shd w:val="clear" w:color="auto" w:fill="auto"/>
            <w:vAlign w:val="center"/>
            <w:hideMark/>
          </w:tcPr>
          <w:p w14:paraId="498EB72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w:t>
            </w:r>
          </w:p>
        </w:tc>
        <w:tc>
          <w:tcPr>
            <w:tcW w:w="2475" w:type="dxa"/>
            <w:shd w:val="clear" w:color="auto" w:fill="auto"/>
            <w:vAlign w:val="center"/>
            <w:hideMark/>
          </w:tcPr>
          <w:p w14:paraId="0314452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 de julio de 2017</w:t>
            </w:r>
          </w:p>
        </w:tc>
        <w:tc>
          <w:tcPr>
            <w:tcW w:w="2409" w:type="dxa"/>
            <w:shd w:val="clear" w:color="auto" w:fill="auto"/>
            <w:vAlign w:val="center"/>
            <w:hideMark/>
          </w:tcPr>
          <w:p w14:paraId="3BAEC78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julio de 2017</w:t>
            </w:r>
          </w:p>
        </w:tc>
        <w:tc>
          <w:tcPr>
            <w:tcW w:w="2552" w:type="dxa"/>
            <w:shd w:val="clear" w:color="auto" w:fill="auto"/>
            <w:vAlign w:val="center"/>
            <w:hideMark/>
          </w:tcPr>
          <w:p w14:paraId="3B2993B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01 de agosto de 2017</w:t>
            </w:r>
          </w:p>
        </w:tc>
      </w:tr>
      <w:tr w:rsidR="00B2442D" w14:paraId="7FE8AC79" w14:textId="77777777">
        <w:trPr>
          <w:trHeight w:val="345"/>
          <w:jc w:val="center"/>
        </w:trPr>
        <w:tc>
          <w:tcPr>
            <w:tcW w:w="1200" w:type="dxa"/>
            <w:shd w:val="clear" w:color="auto" w:fill="auto"/>
            <w:vAlign w:val="center"/>
            <w:hideMark/>
          </w:tcPr>
          <w:p w14:paraId="628163F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30</w:t>
            </w:r>
          </w:p>
        </w:tc>
        <w:tc>
          <w:tcPr>
            <w:tcW w:w="2475" w:type="dxa"/>
            <w:shd w:val="clear" w:color="auto" w:fill="auto"/>
            <w:vAlign w:val="center"/>
            <w:hideMark/>
          </w:tcPr>
          <w:p w14:paraId="18E473C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 de julio de 2017</w:t>
            </w:r>
          </w:p>
        </w:tc>
        <w:tc>
          <w:tcPr>
            <w:tcW w:w="2409" w:type="dxa"/>
            <w:shd w:val="clear" w:color="auto" w:fill="auto"/>
            <w:vAlign w:val="center"/>
            <w:hideMark/>
          </w:tcPr>
          <w:p w14:paraId="0F39DDC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04 de agosto de 2017</w:t>
            </w:r>
          </w:p>
        </w:tc>
        <w:tc>
          <w:tcPr>
            <w:tcW w:w="2552" w:type="dxa"/>
            <w:shd w:val="clear" w:color="auto" w:fill="auto"/>
            <w:vAlign w:val="center"/>
            <w:hideMark/>
          </w:tcPr>
          <w:p w14:paraId="39FED2C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09 de agosto de 2017</w:t>
            </w:r>
          </w:p>
        </w:tc>
      </w:tr>
      <w:tr w:rsidR="00B2442D" w14:paraId="4C8631A7" w14:textId="77777777">
        <w:trPr>
          <w:trHeight w:val="345"/>
          <w:jc w:val="center"/>
        </w:trPr>
        <w:tc>
          <w:tcPr>
            <w:tcW w:w="1200" w:type="dxa"/>
            <w:shd w:val="clear" w:color="auto" w:fill="auto"/>
            <w:vAlign w:val="center"/>
            <w:hideMark/>
          </w:tcPr>
          <w:p w14:paraId="1C2DA72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31</w:t>
            </w:r>
          </w:p>
        </w:tc>
        <w:tc>
          <w:tcPr>
            <w:tcW w:w="2475" w:type="dxa"/>
            <w:shd w:val="clear" w:color="auto" w:fill="auto"/>
            <w:vAlign w:val="center"/>
            <w:hideMark/>
          </w:tcPr>
          <w:p w14:paraId="1E724D2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05 de agosto de </w:t>
            </w:r>
            <w:r>
              <w:rPr>
                <w:rFonts w:ascii="Arial" w:hAnsi="Arial" w:cs="Arial"/>
                <w:color w:val="000000"/>
                <w:sz w:val="18"/>
                <w:szCs w:val="18"/>
                <w:lang w:val="es-CO" w:eastAsia="es-CO"/>
              </w:rPr>
              <w:t>2017</w:t>
            </w:r>
          </w:p>
        </w:tc>
        <w:tc>
          <w:tcPr>
            <w:tcW w:w="2409" w:type="dxa"/>
            <w:shd w:val="clear" w:color="auto" w:fill="auto"/>
            <w:vAlign w:val="center"/>
            <w:hideMark/>
          </w:tcPr>
          <w:p w14:paraId="220582D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agosto de 2017</w:t>
            </w:r>
          </w:p>
        </w:tc>
        <w:tc>
          <w:tcPr>
            <w:tcW w:w="2552" w:type="dxa"/>
            <w:shd w:val="clear" w:color="auto" w:fill="auto"/>
            <w:vAlign w:val="center"/>
            <w:hideMark/>
          </w:tcPr>
          <w:p w14:paraId="48785CA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agosto de 2017</w:t>
            </w:r>
          </w:p>
        </w:tc>
      </w:tr>
      <w:tr w:rsidR="00B2442D" w14:paraId="7934A58A" w14:textId="77777777">
        <w:trPr>
          <w:trHeight w:val="345"/>
          <w:jc w:val="center"/>
        </w:trPr>
        <w:tc>
          <w:tcPr>
            <w:tcW w:w="1200" w:type="dxa"/>
            <w:shd w:val="clear" w:color="auto" w:fill="auto"/>
            <w:vAlign w:val="center"/>
            <w:hideMark/>
          </w:tcPr>
          <w:p w14:paraId="532BB11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32</w:t>
            </w:r>
          </w:p>
        </w:tc>
        <w:tc>
          <w:tcPr>
            <w:tcW w:w="2475" w:type="dxa"/>
            <w:shd w:val="clear" w:color="auto" w:fill="auto"/>
            <w:vAlign w:val="center"/>
            <w:hideMark/>
          </w:tcPr>
          <w:p w14:paraId="4E361FB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12 de agosto de 2017</w:t>
            </w:r>
          </w:p>
        </w:tc>
        <w:tc>
          <w:tcPr>
            <w:tcW w:w="2409" w:type="dxa"/>
            <w:shd w:val="clear" w:color="auto" w:fill="auto"/>
            <w:vAlign w:val="center"/>
            <w:hideMark/>
          </w:tcPr>
          <w:p w14:paraId="0D6A9CB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agosto de 2017</w:t>
            </w:r>
          </w:p>
        </w:tc>
        <w:tc>
          <w:tcPr>
            <w:tcW w:w="2552" w:type="dxa"/>
            <w:shd w:val="clear" w:color="auto" w:fill="auto"/>
            <w:vAlign w:val="center"/>
            <w:hideMark/>
          </w:tcPr>
          <w:p w14:paraId="4E0A38D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23 de agosto de 2017</w:t>
            </w:r>
          </w:p>
        </w:tc>
      </w:tr>
      <w:tr w:rsidR="00B2442D" w14:paraId="6FA29E44" w14:textId="77777777">
        <w:trPr>
          <w:trHeight w:val="345"/>
          <w:jc w:val="center"/>
        </w:trPr>
        <w:tc>
          <w:tcPr>
            <w:tcW w:w="1200" w:type="dxa"/>
            <w:shd w:val="clear" w:color="auto" w:fill="auto"/>
            <w:vAlign w:val="center"/>
            <w:hideMark/>
          </w:tcPr>
          <w:p w14:paraId="73BF99D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33</w:t>
            </w:r>
          </w:p>
        </w:tc>
        <w:tc>
          <w:tcPr>
            <w:tcW w:w="2475" w:type="dxa"/>
            <w:shd w:val="clear" w:color="auto" w:fill="auto"/>
            <w:vAlign w:val="center"/>
            <w:hideMark/>
          </w:tcPr>
          <w:p w14:paraId="187EA18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19 de agosto de 2017</w:t>
            </w:r>
          </w:p>
        </w:tc>
        <w:tc>
          <w:tcPr>
            <w:tcW w:w="2409" w:type="dxa"/>
            <w:shd w:val="clear" w:color="auto" w:fill="auto"/>
            <w:vAlign w:val="center"/>
            <w:hideMark/>
          </w:tcPr>
          <w:p w14:paraId="4D06B33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agosto de 2017</w:t>
            </w:r>
          </w:p>
        </w:tc>
        <w:tc>
          <w:tcPr>
            <w:tcW w:w="2552" w:type="dxa"/>
            <w:shd w:val="clear" w:color="auto" w:fill="auto"/>
            <w:vAlign w:val="center"/>
            <w:hideMark/>
          </w:tcPr>
          <w:p w14:paraId="15155D2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 de agosto de 2017</w:t>
            </w:r>
          </w:p>
        </w:tc>
      </w:tr>
      <w:tr w:rsidR="00B2442D" w14:paraId="3A9E1B39" w14:textId="77777777">
        <w:trPr>
          <w:trHeight w:val="345"/>
          <w:jc w:val="center"/>
        </w:trPr>
        <w:tc>
          <w:tcPr>
            <w:tcW w:w="1200" w:type="dxa"/>
            <w:shd w:val="clear" w:color="auto" w:fill="auto"/>
            <w:vAlign w:val="center"/>
            <w:hideMark/>
          </w:tcPr>
          <w:p w14:paraId="4C9E8A6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34</w:t>
            </w:r>
          </w:p>
        </w:tc>
        <w:tc>
          <w:tcPr>
            <w:tcW w:w="2475" w:type="dxa"/>
            <w:shd w:val="clear" w:color="auto" w:fill="auto"/>
            <w:vAlign w:val="center"/>
            <w:hideMark/>
          </w:tcPr>
          <w:p w14:paraId="7930098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26 de agosto de 2017</w:t>
            </w:r>
          </w:p>
        </w:tc>
        <w:tc>
          <w:tcPr>
            <w:tcW w:w="2409" w:type="dxa"/>
            <w:shd w:val="clear" w:color="auto" w:fill="auto"/>
            <w:vAlign w:val="center"/>
            <w:hideMark/>
          </w:tcPr>
          <w:p w14:paraId="42EB3D4A"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01 de septiembre de 2017</w:t>
            </w:r>
          </w:p>
        </w:tc>
        <w:tc>
          <w:tcPr>
            <w:tcW w:w="2552" w:type="dxa"/>
            <w:shd w:val="clear" w:color="auto" w:fill="auto"/>
            <w:vAlign w:val="center"/>
            <w:hideMark/>
          </w:tcPr>
          <w:p w14:paraId="559B1C6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05 de </w:t>
            </w:r>
            <w:r>
              <w:rPr>
                <w:rFonts w:ascii="Arial" w:hAnsi="Arial" w:cs="Arial"/>
                <w:color w:val="000000"/>
                <w:sz w:val="18"/>
                <w:szCs w:val="18"/>
                <w:lang w:val="es-CO" w:eastAsia="es-CO"/>
              </w:rPr>
              <w:t>septiembre de 2017</w:t>
            </w:r>
          </w:p>
        </w:tc>
      </w:tr>
      <w:tr w:rsidR="00B2442D" w14:paraId="24E6E0E0" w14:textId="77777777">
        <w:trPr>
          <w:trHeight w:val="345"/>
          <w:jc w:val="center"/>
        </w:trPr>
        <w:tc>
          <w:tcPr>
            <w:tcW w:w="1200" w:type="dxa"/>
            <w:shd w:val="clear" w:color="auto" w:fill="auto"/>
            <w:vAlign w:val="center"/>
            <w:hideMark/>
          </w:tcPr>
          <w:p w14:paraId="5E87383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35</w:t>
            </w:r>
          </w:p>
        </w:tc>
        <w:tc>
          <w:tcPr>
            <w:tcW w:w="2475" w:type="dxa"/>
            <w:shd w:val="clear" w:color="auto" w:fill="auto"/>
            <w:vAlign w:val="center"/>
            <w:hideMark/>
          </w:tcPr>
          <w:p w14:paraId="04838B8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02 de septiembre de 2017</w:t>
            </w:r>
          </w:p>
        </w:tc>
        <w:tc>
          <w:tcPr>
            <w:tcW w:w="2409" w:type="dxa"/>
            <w:shd w:val="clear" w:color="auto" w:fill="auto"/>
            <w:vAlign w:val="center"/>
            <w:hideMark/>
          </w:tcPr>
          <w:p w14:paraId="458C070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08 de septiembre de 2017</w:t>
            </w:r>
          </w:p>
        </w:tc>
        <w:tc>
          <w:tcPr>
            <w:tcW w:w="2552" w:type="dxa"/>
            <w:shd w:val="clear" w:color="auto" w:fill="auto"/>
            <w:vAlign w:val="center"/>
            <w:hideMark/>
          </w:tcPr>
          <w:p w14:paraId="27F609E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12 de septiembre de 2017</w:t>
            </w:r>
          </w:p>
        </w:tc>
      </w:tr>
      <w:tr w:rsidR="00B2442D" w14:paraId="57FD2582" w14:textId="77777777">
        <w:trPr>
          <w:trHeight w:val="345"/>
          <w:jc w:val="center"/>
        </w:trPr>
        <w:tc>
          <w:tcPr>
            <w:tcW w:w="1200" w:type="dxa"/>
            <w:shd w:val="clear" w:color="auto" w:fill="auto"/>
            <w:vAlign w:val="center"/>
            <w:hideMark/>
          </w:tcPr>
          <w:p w14:paraId="484DB1D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36</w:t>
            </w:r>
          </w:p>
        </w:tc>
        <w:tc>
          <w:tcPr>
            <w:tcW w:w="2475" w:type="dxa"/>
            <w:shd w:val="clear" w:color="auto" w:fill="auto"/>
            <w:vAlign w:val="center"/>
            <w:hideMark/>
          </w:tcPr>
          <w:p w14:paraId="67AB5A7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09 de septiembre de 2017</w:t>
            </w:r>
          </w:p>
        </w:tc>
        <w:tc>
          <w:tcPr>
            <w:tcW w:w="2409" w:type="dxa"/>
            <w:shd w:val="clear" w:color="auto" w:fill="auto"/>
            <w:vAlign w:val="center"/>
            <w:hideMark/>
          </w:tcPr>
          <w:p w14:paraId="33BB7D2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septiembre de 2017</w:t>
            </w:r>
          </w:p>
        </w:tc>
        <w:tc>
          <w:tcPr>
            <w:tcW w:w="2552" w:type="dxa"/>
            <w:shd w:val="clear" w:color="auto" w:fill="auto"/>
            <w:vAlign w:val="center"/>
            <w:hideMark/>
          </w:tcPr>
          <w:p w14:paraId="3ABBF6F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19 de septiembre de 2017</w:t>
            </w:r>
          </w:p>
        </w:tc>
      </w:tr>
      <w:tr w:rsidR="00B2442D" w14:paraId="1450715F" w14:textId="77777777">
        <w:trPr>
          <w:trHeight w:val="345"/>
          <w:jc w:val="center"/>
        </w:trPr>
        <w:tc>
          <w:tcPr>
            <w:tcW w:w="1200" w:type="dxa"/>
            <w:shd w:val="clear" w:color="auto" w:fill="auto"/>
            <w:vAlign w:val="center"/>
            <w:hideMark/>
          </w:tcPr>
          <w:p w14:paraId="2594E1A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37</w:t>
            </w:r>
          </w:p>
        </w:tc>
        <w:tc>
          <w:tcPr>
            <w:tcW w:w="2475" w:type="dxa"/>
            <w:shd w:val="clear" w:color="auto" w:fill="auto"/>
            <w:vAlign w:val="center"/>
            <w:hideMark/>
          </w:tcPr>
          <w:p w14:paraId="5BA11C4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16 de septiembre de 2017</w:t>
            </w:r>
          </w:p>
        </w:tc>
        <w:tc>
          <w:tcPr>
            <w:tcW w:w="2409" w:type="dxa"/>
            <w:shd w:val="clear" w:color="auto" w:fill="auto"/>
            <w:vAlign w:val="center"/>
            <w:hideMark/>
          </w:tcPr>
          <w:p w14:paraId="4EC5D4F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 de septiembre de 2017</w:t>
            </w:r>
          </w:p>
        </w:tc>
        <w:tc>
          <w:tcPr>
            <w:tcW w:w="2552" w:type="dxa"/>
            <w:shd w:val="clear" w:color="auto" w:fill="auto"/>
            <w:vAlign w:val="center"/>
            <w:hideMark/>
          </w:tcPr>
          <w:p w14:paraId="1688AC8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26 de </w:t>
            </w:r>
            <w:r>
              <w:rPr>
                <w:rFonts w:ascii="Arial" w:hAnsi="Arial" w:cs="Arial"/>
                <w:color w:val="000000"/>
                <w:sz w:val="18"/>
                <w:szCs w:val="18"/>
                <w:lang w:val="es-CO" w:eastAsia="es-CO"/>
              </w:rPr>
              <w:t>septiembre de 2017</w:t>
            </w:r>
          </w:p>
        </w:tc>
      </w:tr>
      <w:tr w:rsidR="00B2442D" w14:paraId="30147BD2" w14:textId="77777777">
        <w:trPr>
          <w:trHeight w:val="345"/>
          <w:jc w:val="center"/>
        </w:trPr>
        <w:tc>
          <w:tcPr>
            <w:tcW w:w="1200" w:type="dxa"/>
            <w:shd w:val="clear" w:color="auto" w:fill="auto"/>
            <w:vAlign w:val="center"/>
            <w:hideMark/>
          </w:tcPr>
          <w:p w14:paraId="6D19FC5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38</w:t>
            </w:r>
          </w:p>
        </w:tc>
        <w:tc>
          <w:tcPr>
            <w:tcW w:w="2475" w:type="dxa"/>
            <w:shd w:val="clear" w:color="auto" w:fill="auto"/>
            <w:vAlign w:val="center"/>
            <w:hideMark/>
          </w:tcPr>
          <w:p w14:paraId="18F168C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23 de septiembre de 2017</w:t>
            </w:r>
          </w:p>
        </w:tc>
        <w:tc>
          <w:tcPr>
            <w:tcW w:w="2409" w:type="dxa"/>
            <w:shd w:val="clear" w:color="auto" w:fill="auto"/>
            <w:vAlign w:val="center"/>
            <w:hideMark/>
          </w:tcPr>
          <w:p w14:paraId="004C3F9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 de septiembre de 2017</w:t>
            </w:r>
          </w:p>
        </w:tc>
        <w:tc>
          <w:tcPr>
            <w:tcW w:w="2552" w:type="dxa"/>
            <w:shd w:val="clear" w:color="auto" w:fill="auto"/>
            <w:vAlign w:val="center"/>
            <w:hideMark/>
          </w:tcPr>
          <w:p w14:paraId="082FE29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octubre de 2017</w:t>
            </w:r>
          </w:p>
        </w:tc>
      </w:tr>
      <w:tr w:rsidR="00B2442D" w14:paraId="443086CF" w14:textId="77777777">
        <w:trPr>
          <w:trHeight w:val="345"/>
          <w:jc w:val="center"/>
        </w:trPr>
        <w:tc>
          <w:tcPr>
            <w:tcW w:w="1200" w:type="dxa"/>
            <w:shd w:val="clear" w:color="auto" w:fill="auto"/>
            <w:vAlign w:val="center"/>
            <w:hideMark/>
          </w:tcPr>
          <w:p w14:paraId="1CDEFBA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39</w:t>
            </w:r>
          </w:p>
        </w:tc>
        <w:tc>
          <w:tcPr>
            <w:tcW w:w="2475" w:type="dxa"/>
            <w:shd w:val="clear" w:color="auto" w:fill="auto"/>
            <w:vAlign w:val="center"/>
            <w:hideMark/>
          </w:tcPr>
          <w:p w14:paraId="3168EE2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30 de septiembre de 2017</w:t>
            </w:r>
          </w:p>
        </w:tc>
        <w:tc>
          <w:tcPr>
            <w:tcW w:w="2409" w:type="dxa"/>
            <w:shd w:val="clear" w:color="auto" w:fill="auto"/>
            <w:vAlign w:val="center"/>
            <w:hideMark/>
          </w:tcPr>
          <w:p w14:paraId="2184298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06 de octubre de 2017</w:t>
            </w:r>
          </w:p>
        </w:tc>
        <w:tc>
          <w:tcPr>
            <w:tcW w:w="2552" w:type="dxa"/>
            <w:shd w:val="clear" w:color="auto" w:fill="auto"/>
            <w:vAlign w:val="center"/>
            <w:hideMark/>
          </w:tcPr>
          <w:p w14:paraId="66396DA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 de octubre de 2017</w:t>
            </w:r>
          </w:p>
        </w:tc>
      </w:tr>
      <w:tr w:rsidR="00B2442D" w14:paraId="660BB9EF" w14:textId="77777777">
        <w:trPr>
          <w:trHeight w:val="345"/>
          <w:jc w:val="center"/>
        </w:trPr>
        <w:tc>
          <w:tcPr>
            <w:tcW w:w="1200" w:type="dxa"/>
            <w:shd w:val="clear" w:color="auto" w:fill="auto"/>
            <w:vAlign w:val="center"/>
            <w:hideMark/>
          </w:tcPr>
          <w:p w14:paraId="14B07AF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40</w:t>
            </w:r>
          </w:p>
        </w:tc>
        <w:tc>
          <w:tcPr>
            <w:tcW w:w="2475" w:type="dxa"/>
            <w:shd w:val="clear" w:color="auto" w:fill="auto"/>
            <w:vAlign w:val="center"/>
            <w:hideMark/>
          </w:tcPr>
          <w:p w14:paraId="516AC979"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07 de octubre de 2017</w:t>
            </w:r>
          </w:p>
        </w:tc>
        <w:tc>
          <w:tcPr>
            <w:tcW w:w="2409" w:type="dxa"/>
            <w:shd w:val="clear" w:color="auto" w:fill="auto"/>
            <w:vAlign w:val="center"/>
            <w:hideMark/>
          </w:tcPr>
          <w:p w14:paraId="08BFFC1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13 de octubre de 2017</w:t>
            </w:r>
          </w:p>
        </w:tc>
        <w:tc>
          <w:tcPr>
            <w:tcW w:w="2552" w:type="dxa"/>
            <w:shd w:val="clear" w:color="auto" w:fill="auto"/>
            <w:vAlign w:val="center"/>
            <w:hideMark/>
          </w:tcPr>
          <w:p w14:paraId="48364BE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octubre de 2017</w:t>
            </w:r>
          </w:p>
        </w:tc>
      </w:tr>
      <w:tr w:rsidR="00B2442D" w14:paraId="6B13BB0F" w14:textId="77777777">
        <w:trPr>
          <w:trHeight w:val="345"/>
          <w:jc w:val="center"/>
        </w:trPr>
        <w:tc>
          <w:tcPr>
            <w:tcW w:w="1200" w:type="dxa"/>
            <w:shd w:val="clear" w:color="auto" w:fill="auto"/>
            <w:vAlign w:val="center"/>
            <w:hideMark/>
          </w:tcPr>
          <w:p w14:paraId="6AE8E2C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41</w:t>
            </w:r>
          </w:p>
        </w:tc>
        <w:tc>
          <w:tcPr>
            <w:tcW w:w="2475" w:type="dxa"/>
            <w:shd w:val="clear" w:color="auto" w:fill="auto"/>
            <w:vAlign w:val="center"/>
            <w:hideMark/>
          </w:tcPr>
          <w:p w14:paraId="0352090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14 de octubre de 2017</w:t>
            </w:r>
          </w:p>
        </w:tc>
        <w:tc>
          <w:tcPr>
            <w:tcW w:w="2409" w:type="dxa"/>
            <w:shd w:val="clear" w:color="auto" w:fill="auto"/>
            <w:vAlign w:val="center"/>
            <w:hideMark/>
          </w:tcPr>
          <w:p w14:paraId="7D300AC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20 de octubre de 2017</w:t>
            </w:r>
          </w:p>
        </w:tc>
        <w:tc>
          <w:tcPr>
            <w:tcW w:w="2552" w:type="dxa"/>
            <w:shd w:val="clear" w:color="auto" w:fill="auto"/>
            <w:vAlign w:val="center"/>
            <w:hideMark/>
          </w:tcPr>
          <w:p w14:paraId="3719927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 de octubre de 2017</w:t>
            </w:r>
          </w:p>
        </w:tc>
      </w:tr>
      <w:tr w:rsidR="00B2442D" w14:paraId="47CCEFBA" w14:textId="77777777">
        <w:trPr>
          <w:trHeight w:val="345"/>
          <w:jc w:val="center"/>
        </w:trPr>
        <w:tc>
          <w:tcPr>
            <w:tcW w:w="1200" w:type="dxa"/>
            <w:shd w:val="clear" w:color="auto" w:fill="auto"/>
            <w:vAlign w:val="center"/>
            <w:hideMark/>
          </w:tcPr>
          <w:p w14:paraId="6EFC2FA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42</w:t>
            </w:r>
          </w:p>
        </w:tc>
        <w:tc>
          <w:tcPr>
            <w:tcW w:w="2475" w:type="dxa"/>
            <w:shd w:val="clear" w:color="auto" w:fill="auto"/>
            <w:vAlign w:val="center"/>
            <w:hideMark/>
          </w:tcPr>
          <w:p w14:paraId="5BBBECA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octubre de 2017</w:t>
            </w:r>
          </w:p>
        </w:tc>
        <w:tc>
          <w:tcPr>
            <w:tcW w:w="2409" w:type="dxa"/>
            <w:shd w:val="clear" w:color="auto" w:fill="auto"/>
            <w:vAlign w:val="center"/>
            <w:hideMark/>
          </w:tcPr>
          <w:p w14:paraId="5372D9A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27 de octubre de 2017</w:t>
            </w:r>
          </w:p>
        </w:tc>
        <w:tc>
          <w:tcPr>
            <w:tcW w:w="2552" w:type="dxa"/>
            <w:shd w:val="clear" w:color="auto" w:fill="auto"/>
            <w:vAlign w:val="center"/>
            <w:hideMark/>
          </w:tcPr>
          <w:p w14:paraId="78148F5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31 de octubre de 2017</w:t>
            </w:r>
          </w:p>
        </w:tc>
      </w:tr>
      <w:tr w:rsidR="00B2442D" w14:paraId="6C3E0A8F" w14:textId="77777777">
        <w:trPr>
          <w:trHeight w:val="345"/>
          <w:jc w:val="center"/>
        </w:trPr>
        <w:tc>
          <w:tcPr>
            <w:tcW w:w="1200" w:type="dxa"/>
            <w:shd w:val="clear" w:color="auto" w:fill="auto"/>
            <w:vAlign w:val="center"/>
            <w:hideMark/>
          </w:tcPr>
          <w:p w14:paraId="1C157FA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43</w:t>
            </w:r>
          </w:p>
        </w:tc>
        <w:tc>
          <w:tcPr>
            <w:tcW w:w="2475" w:type="dxa"/>
            <w:shd w:val="clear" w:color="auto" w:fill="auto"/>
            <w:vAlign w:val="center"/>
            <w:hideMark/>
          </w:tcPr>
          <w:p w14:paraId="7FCFBFC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octubre de 2017</w:t>
            </w:r>
          </w:p>
        </w:tc>
        <w:tc>
          <w:tcPr>
            <w:tcW w:w="2409" w:type="dxa"/>
            <w:shd w:val="clear" w:color="auto" w:fill="auto"/>
            <w:vAlign w:val="center"/>
            <w:hideMark/>
          </w:tcPr>
          <w:p w14:paraId="5FFDFEE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noviembre de 2017</w:t>
            </w:r>
          </w:p>
        </w:tc>
        <w:tc>
          <w:tcPr>
            <w:tcW w:w="2552" w:type="dxa"/>
            <w:shd w:val="clear" w:color="auto" w:fill="auto"/>
            <w:vAlign w:val="center"/>
            <w:hideMark/>
          </w:tcPr>
          <w:p w14:paraId="2E28BF4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08 de noviembre de 2017</w:t>
            </w:r>
          </w:p>
        </w:tc>
      </w:tr>
      <w:tr w:rsidR="00B2442D" w14:paraId="16B0837D" w14:textId="77777777">
        <w:trPr>
          <w:trHeight w:val="345"/>
          <w:jc w:val="center"/>
        </w:trPr>
        <w:tc>
          <w:tcPr>
            <w:tcW w:w="1200" w:type="dxa"/>
            <w:shd w:val="clear" w:color="auto" w:fill="auto"/>
            <w:vAlign w:val="center"/>
            <w:hideMark/>
          </w:tcPr>
          <w:p w14:paraId="23280A0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44</w:t>
            </w:r>
          </w:p>
        </w:tc>
        <w:tc>
          <w:tcPr>
            <w:tcW w:w="2475" w:type="dxa"/>
            <w:shd w:val="clear" w:color="auto" w:fill="auto"/>
            <w:vAlign w:val="center"/>
            <w:hideMark/>
          </w:tcPr>
          <w:p w14:paraId="5214C48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04 de noviembre de 2017</w:t>
            </w:r>
          </w:p>
        </w:tc>
        <w:tc>
          <w:tcPr>
            <w:tcW w:w="2409" w:type="dxa"/>
            <w:shd w:val="clear" w:color="auto" w:fill="auto"/>
            <w:vAlign w:val="center"/>
            <w:hideMark/>
          </w:tcPr>
          <w:p w14:paraId="01C3FB5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10 de </w:t>
            </w:r>
            <w:r>
              <w:rPr>
                <w:rFonts w:ascii="Arial" w:hAnsi="Arial" w:cs="Arial"/>
                <w:color w:val="000000"/>
                <w:sz w:val="18"/>
                <w:szCs w:val="18"/>
                <w:lang w:val="es-CO" w:eastAsia="es-CO"/>
              </w:rPr>
              <w:t>noviembre de 2017</w:t>
            </w:r>
          </w:p>
        </w:tc>
        <w:tc>
          <w:tcPr>
            <w:tcW w:w="2552" w:type="dxa"/>
            <w:shd w:val="clear" w:color="auto" w:fill="auto"/>
            <w:vAlign w:val="center"/>
            <w:hideMark/>
          </w:tcPr>
          <w:p w14:paraId="568DBDA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noviembre de 2017</w:t>
            </w:r>
          </w:p>
        </w:tc>
      </w:tr>
      <w:tr w:rsidR="00B2442D" w14:paraId="2F0FCC8F" w14:textId="77777777">
        <w:trPr>
          <w:trHeight w:val="345"/>
          <w:jc w:val="center"/>
        </w:trPr>
        <w:tc>
          <w:tcPr>
            <w:tcW w:w="1200" w:type="dxa"/>
            <w:shd w:val="clear" w:color="auto" w:fill="auto"/>
            <w:vAlign w:val="center"/>
            <w:hideMark/>
          </w:tcPr>
          <w:p w14:paraId="0CB10D2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45</w:t>
            </w:r>
          </w:p>
        </w:tc>
        <w:tc>
          <w:tcPr>
            <w:tcW w:w="2475" w:type="dxa"/>
            <w:shd w:val="clear" w:color="auto" w:fill="auto"/>
            <w:vAlign w:val="center"/>
            <w:hideMark/>
          </w:tcPr>
          <w:p w14:paraId="7F527A9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11 de noviembre de 2017</w:t>
            </w:r>
          </w:p>
        </w:tc>
        <w:tc>
          <w:tcPr>
            <w:tcW w:w="2409" w:type="dxa"/>
            <w:shd w:val="clear" w:color="auto" w:fill="auto"/>
            <w:vAlign w:val="center"/>
            <w:hideMark/>
          </w:tcPr>
          <w:p w14:paraId="1A35E28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17 de noviembre de 2017</w:t>
            </w:r>
          </w:p>
        </w:tc>
        <w:tc>
          <w:tcPr>
            <w:tcW w:w="2552" w:type="dxa"/>
            <w:shd w:val="clear" w:color="auto" w:fill="auto"/>
            <w:vAlign w:val="center"/>
            <w:hideMark/>
          </w:tcPr>
          <w:p w14:paraId="203F14D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21 de noviembre de 2017</w:t>
            </w:r>
          </w:p>
        </w:tc>
      </w:tr>
      <w:tr w:rsidR="00B2442D" w14:paraId="3E7FF6F1" w14:textId="77777777">
        <w:trPr>
          <w:trHeight w:val="345"/>
          <w:jc w:val="center"/>
        </w:trPr>
        <w:tc>
          <w:tcPr>
            <w:tcW w:w="1200" w:type="dxa"/>
            <w:shd w:val="clear" w:color="auto" w:fill="auto"/>
            <w:vAlign w:val="center"/>
            <w:hideMark/>
          </w:tcPr>
          <w:p w14:paraId="0C2749D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46</w:t>
            </w:r>
          </w:p>
        </w:tc>
        <w:tc>
          <w:tcPr>
            <w:tcW w:w="2475" w:type="dxa"/>
            <w:shd w:val="clear" w:color="auto" w:fill="auto"/>
            <w:vAlign w:val="center"/>
            <w:hideMark/>
          </w:tcPr>
          <w:p w14:paraId="5A497ACD"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18 de noviembre de 2017</w:t>
            </w:r>
          </w:p>
        </w:tc>
        <w:tc>
          <w:tcPr>
            <w:tcW w:w="2409" w:type="dxa"/>
            <w:shd w:val="clear" w:color="auto" w:fill="auto"/>
            <w:vAlign w:val="center"/>
            <w:hideMark/>
          </w:tcPr>
          <w:p w14:paraId="4FF8EA4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24 de noviembre de 2017</w:t>
            </w:r>
          </w:p>
        </w:tc>
        <w:tc>
          <w:tcPr>
            <w:tcW w:w="2552" w:type="dxa"/>
            <w:shd w:val="clear" w:color="auto" w:fill="auto"/>
            <w:vAlign w:val="center"/>
            <w:hideMark/>
          </w:tcPr>
          <w:p w14:paraId="1B41986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28 de noviembre de 2017</w:t>
            </w:r>
          </w:p>
        </w:tc>
      </w:tr>
      <w:tr w:rsidR="00B2442D" w14:paraId="24B5A1D2" w14:textId="77777777">
        <w:trPr>
          <w:trHeight w:val="345"/>
          <w:jc w:val="center"/>
        </w:trPr>
        <w:tc>
          <w:tcPr>
            <w:tcW w:w="1200" w:type="dxa"/>
            <w:shd w:val="clear" w:color="auto" w:fill="auto"/>
            <w:vAlign w:val="center"/>
            <w:hideMark/>
          </w:tcPr>
          <w:p w14:paraId="4E314162"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47</w:t>
            </w:r>
          </w:p>
        </w:tc>
        <w:tc>
          <w:tcPr>
            <w:tcW w:w="2475" w:type="dxa"/>
            <w:shd w:val="clear" w:color="auto" w:fill="auto"/>
            <w:vAlign w:val="center"/>
            <w:hideMark/>
          </w:tcPr>
          <w:p w14:paraId="52A6318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25 de noviembre de 2017</w:t>
            </w:r>
          </w:p>
        </w:tc>
        <w:tc>
          <w:tcPr>
            <w:tcW w:w="2409" w:type="dxa"/>
            <w:shd w:val="clear" w:color="auto" w:fill="auto"/>
            <w:vAlign w:val="center"/>
            <w:hideMark/>
          </w:tcPr>
          <w:p w14:paraId="4CC6FB95"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01 de diciembre 2017</w:t>
            </w:r>
          </w:p>
        </w:tc>
        <w:tc>
          <w:tcPr>
            <w:tcW w:w="2552" w:type="dxa"/>
            <w:shd w:val="clear" w:color="auto" w:fill="auto"/>
            <w:vAlign w:val="center"/>
            <w:hideMark/>
          </w:tcPr>
          <w:p w14:paraId="08AE606B"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05 de </w:t>
            </w:r>
            <w:r>
              <w:rPr>
                <w:rFonts w:ascii="Arial" w:hAnsi="Arial" w:cs="Arial"/>
                <w:color w:val="000000"/>
                <w:sz w:val="18"/>
                <w:szCs w:val="18"/>
                <w:lang w:val="es-CO" w:eastAsia="es-CO"/>
              </w:rPr>
              <w:t>diciembre de 2017</w:t>
            </w:r>
          </w:p>
        </w:tc>
      </w:tr>
      <w:tr w:rsidR="00B2442D" w14:paraId="3AF62392" w14:textId="77777777">
        <w:trPr>
          <w:trHeight w:val="345"/>
          <w:jc w:val="center"/>
        </w:trPr>
        <w:tc>
          <w:tcPr>
            <w:tcW w:w="1200" w:type="dxa"/>
            <w:shd w:val="clear" w:color="auto" w:fill="auto"/>
            <w:vAlign w:val="center"/>
            <w:hideMark/>
          </w:tcPr>
          <w:p w14:paraId="670DAA90"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48</w:t>
            </w:r>
          </w:p>
        </w:tc>
        <w:tc>
          <w:tcPr>
            <w:tcW w:w="2475" w:type="dxa"/>
            <w:shd w:val="clear" w:color="auto" w:fill="auto"/>
            <w:vAlign w:val="center"/>
            <w:hideMark/>
          </w:tcPr>
          <w:p w14:paraId="125535C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02 de diciembre de 2017</w:t>
            </w:r>
          </w:p>
        </w:tc>
        <w:tc>
          <w:tcPr>
            <w:tcW w:w="2409" w:type="dxa"/>
            <w:shd w:val="clear" w:color="auto" w:fill="auto"/>
            <w:vAlign w:val="center"/>
            <w:hideMark/>
          </w:tcPr>
          <w:p w14:paraId="69FCB02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08 de diciembre de 2017</w:t>
            </w:r>
          </w:p>
        </w:tc>
        <w:tc>
          <w:tcPr>
            <w:tcW w:w="2552" w:type="dxa"/>
            <w:shd w:val="clear" w:color="auto" w:fill="auto"/>
            <w:vAlign w:val="center"/>
            <w:hideMark/>
          </w:tcPr>
          <w:p w14:paraId="1DFE2C4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12 de diciembre de 2017</w:t>
            </w:r>
          </w:p>
        </w:tc>
      </w:tr>
      <w:tr w:rsidR="00B2442D" w14:paraId="700547C9" w14:textId="77777777">
        <w:trPr>
          <w:trHeight w:val="345"/>
          <w:jc w:val="center"/>
        </w:trPr>
        <w:tc>
          <w:tcPr>
            <w:tcW w:w="1200" w:type="dxa"/>
            <w:shd w:val="clear" w:color="auto" w:fill="auto"/>
            <w:vAlign w:val="center"/>
            <w:hideMark/>
          </w:tcPr>
          <w:p w14:paraId="0FBF683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49</w:t>
            </w:r>
          </w:p>
        </w:tc>
        <w:tc>
          <w:tcPr>
            <w:tcW w:w="2475" w:type="dxa"/>
            <w:shd w:val="clear" w:color="auto" w:fill="auto"/>
            <w:vAlign w:val="center"/>
            <w:hideMark/>
          </w:tcPr>
          <w:p w14:paraId="3D0DC718"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09 de diciembre de 2017</w:t>
            </w:r>
          </w:p>
        </w:tc>
        <w:tc>
          <w:tcPr>
            <w:tcW w:w="2409" w:type="dxa"/>
            <w:shd w:val="clear" w:color="auto" w:fill="auto"/>
            <w:vAlign w:val="center"/>
            <w:hideMark/>
          </w:tcPr>
          <w:p w14:paraId="549BB7A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15 de diciembre de 2017</w:t>
            </w:r>
          </w:p>
        </w:tc>
        <w:tc>
          <w:tcPr>
            <w:tcW w:w="2552" w:type="dxa"/>
            <w:shd w:val="clear" w:color="auto" w:fill="auto"/>
            <w:vAlign w:val="center"/>
            <w:hideMark/>
          </w:tcPr>
          <w:p w14:paraId="74E0D2D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19 de diciembre de 2017</w:t>
            </w:r>
          </w:p>
        </w:tc>
      </w:tr>
      <w:tr w:rsidR="00B2442D" w14:paraId="6F6D7D26" w14:textId="77777777">
        <w:trPr>
          <w:trHeight w:val="345"/>
          <w:jc w:val="center"/>
        </w:trPr>
        <w:tc>
          <w:tcPr>
            <w:tcW w:w="1200" w:type="dxa"/>
            <w:shd w:val="clear" w:color="auto" w:fill="auto"/>
            <w:vAlign w:val="center"/>
            <w:hideMark/>
          </w:tcPr>
          <w:p w14:paraId="159FE787"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50</w:t>
            </w:r>
          </w:p>
        </w:tc>
        <w:tc>
          <w:tcPr>
            <w:tcW w:w="2475" w:type="dxa"/>
            <w:shd w:val="clear" w:color="auto" w:fill="auto"/>
            <w:vAlign w:val="center"/>
            <w:hideMark/>
          </w:tcPr>
          <w:p w14:paraId="3281E31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16 de diciembre de 2017</w:t>
            </w:r>
          </w:p>
        </w:tc>
        <w:tc>
          <w:tcPr>
            <w:tcW w:w="2409" w:type="dxa"/>
            <w:shd w:val="clear" w:color="auto" w:fill="auto"/>
            <w:vAlign w:val="center"/>
            <w:hideMark/>
          </w:tcPr>
          <w:p w14:paraId="3BF2846F"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22 de diciembre de 2017</w:t>
            </w:r>
          </w:p>
        </w:tc>
        <w:tc>
          <w:tcPr>
            <w:tcW w:w="2552" w:type="dxa"/>
            <w:shd w:val="clear" w:color="auto" w:fill="auto"/>
            <w:vAlign w:val="center"/>
            <w:hideMark/>
          </w:tcPr>
          <w:p w14:paraId="61CF794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27 de diciembre de 2017</w:t>
            </w:r>
          </w:p>
        </w:tc>
      </w:tr>
      <w:tr w:rsidR="00B2442D" w14:paraId="2D38FF65" w14:textId="77777777">
        <w:trPr>
          <w:trHeight w:val="345"/>
          <w:jc w:val="center"/>
        </w:trPr>
        <w:tc>
          <w:tcPr>
            <w:tcW w:w="1200" w:type="dxa"/>
            <w:shd w:val="clear" w:color="auto" w:fill="auto"/>
            <w:vAlign w:val="center"/>
            <w:hideMark/>
          </w:tcPr>
          <w:p w14:paraId="56671683"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51</w:t>
            </w:r>
          </w:p>
        </w:tc>
        <w:tc>
          <w:tcPr>
            <w:tcW w:w="2475" w:type="dxa"/>
            <w:shd w:val="clear" w:color="auto" w:fill="auto"/>
            <w:vAlign w:val="center"/>
            <w:hideMark/>
          </w:tcPr>
          <w:p w14:paraId="4BD7753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 xml:space="preserve">23 </w:t>
            </w:r>
            <w:r>
              <w:rPr>
                <w:rFonts w:ascii="Arial" w:hAnsi="Arial" w:cs="Arial"/>
                <w:color w:val="000000"/>
                <w:sz w:val="18"/>
                <w:szCs w:val="18"/>
                <w:lang w:val="es-CO" w:eastAsia="es-CO"/>
              </w:rPr>
              <w:t>de diciembre de 2017</w:t>
            </w:r>
          </w:p>
        </w:tc>
        <w:tc>
          <w:tcPr>
            <w:tcW w:w="2409" w:type="dxa"/>
            <w:shd w:val="clear" w:color="auto" w:fill="auto"/>
            <w:vAlign w:val="center"/>
            <w:hideMark/>
          </w:tcPr>
          <w:p w14:paraId="23B949E1"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29 de diciembre de 2017</w:t>
            </w:r>
          </w:p>
        </w:tc>
        <w:tc>
          <w:tcPr>
            <w:tcW w:w="2552" w:type="dxa"/>
            <w:shd w:val="clear" w:color="auto" w:fill="auto"/>
            <w:vAlign w:val="center"/>
            <w:hideMark/>
          </w:tcPr>
          <w:p w14:paraId="1653F05E"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03 de enero de 2018</w:t>
            </w:r>
          </w:p>
        </w:tc>
      </w:tr>
      <w:tr w:rsidR="00B2442D" w14:paraId="007E61A8" w14:textId="77777777">
        <w:trPr>
          <w:trHeight w:val="345"/>
          <w:jc w:val="center"/>
        </w:trPr>
        <w:tc>
          <w:tcPr>
            <w:tcW w:w="1200" w:type="dxa"/>
            <w:shd w:val="clear" w:color="auto" w:fill="auto"/>
            <w:vAlign w:val="center"/>
            <w:hideMark/>
          </w:tcPr>
          <w:p w14:paraId="7EAA96D6"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52</w:t>
            </w:r>
          </w:p>
        </w:tc>
        <w:tc>
          <w:tcPr>
            <w:tcW w:w="2475" w:type="dxa"/>
            <w:shd w:val="clear" w:color="auto" w:fill="auto"/>
            <w:vAlign w:val="center"/>
            <w:hideMark/>
          </w:tcPr>
          <w:p w14:paraId="71698514"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30  de diciembre de 2017</w:t>
            </w:r>
          </w:p>
        </w:tc>
        <w:tc>
          <w:tcPr>
            <w:tcW w:w="2409" w:type="dxa"/>
            <w:shd w:val="clear" w:color="auto" w:fill="auto"/>
            <w:vAlign w:val="center"/>
            <w:hideMark/>
          </w:tcPr>
          <w:p w14:paraId="78233B7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05 de enero de 2018</w:t>
            </w:r>
          </w:p>
        </w:tc>
        <w:tc>
          <w:tcPr>
            <w:tcW w:w="2552" w:type="dxa"/>
            <w:shd w:val="clear" w:color="auto" w:fill="auto"/>
            <w:vAlign w:val="center"/>
            <w:hideMark/>
          </w:tcPr>
          <w:p w14:paraId="7AAE018C" w14:textId="77777777" w:rsidR="00B2442D" w:rsidRDefault="008A645F">
            <w:pPr>
              <w:jc w:val="center"/>
              <w:rPr>
                <w:rFonts w:ascii="Arial" w:hAnsi="Arial" w:cs="Arial"/>
                <w:color w:val="000000"/>
                <w:sz w:val="18"/>
                <w:szCs w:val="18"/>
                <w:lang w:val="es-CO" w:eastAsia="es-CO"/>
              </w:rPr>
            </w:pPr>
            <w:r>
              <w:rPr>
                <w:rFonts w:ascii="Arial" w:hAnsi="Arial" w:cs="Arial"/>
                <w:color w:val="000000"/>
                <w:sz w:val="18"/>
                <w:szCs w:val="18"/>
                <w:lang w:val="es-CO" w:eastAsia="es-CO"/>
              </w:rPr>
              <w:t>10 de enero de 2018</w:t>
            </w:r>
          </w:p>
        </w:tc>
      </w:tr>
    </w:tbl>
    <w:p w14:paraId="0B751F02" w14:textId="77777777" w:rsidR="00B2442D" w:rsidRDefault="00B2442D">
      <w:pPr>
        <w:pStyle w:val="Textoindependiente"/>
        <w:spacing w:line="40" w:lineRule="atLeast"/>
        <w:ind w:right="-30"/>
        <w:jc w:val="both"/>
        <w:rPr>
          <w:rFonts w:cs="Arial"/>
          <w:highlight w:val="yellow"/>
          <w:lang w:val="es-CO"/>
        </w:rPr>
      </w:pPr>
    </w:p>
    <w:p w14:paraId="27335351" w14:textId="77777777" w:rsidR="00B2442D" w:rsidRDefault="008A645F">
      <w:pPr>
        <w:pStyle w:val="Textoindependiente"/>
        <w:spacing w:line="40" w:lineRule="atLeast"/>
        <w:ind w:right="-30"/>
        <w:jc w:val="both"/>
        <w:rPr>
          <w:rFonts w:eastAsia="Times New Roman" w:cs="Arial"/>
          <w:lang w:val="es-CO"/>
        </w:rPr>
      </w:pPr>
      <w:r>
        <w:rPr>
          <w:rFonts w:eastAsia="Times New Roman" w:cs="Arial"/>
          <w:b/>
          <w:lang w:val="es-CO"/>
        </w:rPr>
        <w:t>Parágrafo 1.</w:t>
      </w:r>
      <w:r>
        <w:rPr>
          <w:rFonts w:eastAsia="Times New Roman" w:cs="Arial"/>
          <w:lang w:val="es-CO"/>
        </w:rPr>
        <w:t xml:space="preserve"> Se entenderán como no presentadas las declaraciones, cuando no se realice el pago en forma simultánea a su presentación o cuando no se presente firmada por el Revisor Fiscal o Contador Público.</w:t>
      </w:r>
    </w:p>
    <w:p w14:paraId="77100341" w14:textId="77777777" w:rsidR="00B2442D" w:rsidRDefault="00B2442D">
      <w:pPr>
        <w:pStyle w:val="Textoindependiente"/>
        <w:spacing w:line="40" w:lineRule="atLeast"/>
        <w:ind w:right="-30"/>
        <w:jc w:val="both"/>
        <w:rPr>
          <w:rFonts w:eastAsia="Times New Roman" w:cs="Arial"/>
          <w:lang w:val="es-CO"/>
        </w:rPr>
      </w:pPr>
    </w:p>
    <w:p w14:paraId="3C59DF58" w14:textId="77777777" w:rsidR="00B2442D" w:rsidRDefault="008A645F">
      <w:pPr>
        <w:pStyle w:val="Textoindependiente"/>
        <w:spacing w:line="40" w:lineRule="atLeast"/>
        <w:ind w:right="-30"/>
        <w:jc w:val="both"/>
        <w:rPr>
          <w:rFonts w:eastAsia="Times New Roman" w:cs="Arial"/>
          <w:lang w:val="es-CO"/>
        </w:rPr>
      </w:pPr>
      <w:r>
        <w:rPr>
          <w:rFonts w:eastAsia="Times New Roman" w:cs="Arial"/>
          <w:b/>
          <w:lang w:val="es-CO"/>
        </w:rPr>
        <w:t>Parágrafo 2.</w:t>
      </w:r>
      <w:r>
        <w:rPr>
          <w:rFonts w:eastAsia="Times New Roman" w:cs="Arial"/>
          <w:lang w:val="es-CO"/>
        </w:rPr>
        <w:t xml:space="preserve"> Las declaraciones del Gravamen a los Movimiento</w:t>
      </w:r>
      <w:r>
        <w:rPr>
          <w:rFonts w:eastAsia="Times New Roman" w:cs="Arial"/>
          <w:lang w:val="es-CO"/>
        </w:rPr>
        <w:t>s Financieros -GMF, se deben presentar a través de los Servicios Informáticos Electrónicos, de la Unidad Administrativa Especial Dirección de Impuestos y Aduanas Nacionales - DIAN.”</w:t>
      </w:r>
    </w:p>
    <w:p w14:paraId="5EDA0577" w14:textId="77777777" w:rsidR="00B2442D" w:rsidRDefault="00B2442D">
      <w:pPr>
        <w:pStyle w:val="Textoindependiente"/>
        <w:spacing w:line="40" w:lineRule="atLeast"/>
        <w:ind w:right="-30"/>
        <w:jc w:val="both"/>
        <w:rPr>
          <w:rFonts w:eastAsia="Times New Roman" w:cs="Arial"/>
          <w:lang w:val="es-CO"/>
        </w:rPr>
      </w:pPr>
    </w:p>
    <w:p w14:paraId="6D107F8B" w14:textId="77777777" w:rsidR="00B2442D" w:rsidRDefault="008A645F">
      <w:pPr>
        <w:pStyle w:val="Textoindependiente"/>
        <w:spacing w:line="40" w:lineRule="atLeast"/>
        <w:ind w:right="-30"/>
        <w:jc w:val="both"/>
        <w:rPr>
          <w:rFonts w:eastAsia="Times New Roman" w:cs="Arial"/>
          <w:i/>
          <w:lang w:val="es-CO"/>
        </w:rPr>
      </w:pPr>
      <w:r>
        <w:rPr>
          <w:rFonts w:eastAsia="Times New Roman" w:cs="Arial"/>
          <w:i/>
          <w:lang w:val="es-CO"/>
        </w:rPr>
        <w:t>(</w:t>
      </w:r>
      <w:hyperlink r:id="rId75" w:history="1">
        <w:r>
          <w:rPr>
            <w:rStyle w:val="Hipervnculo"/>
            <w:rFonts w:eastAsia="Times New Roman" w:cs="Arial"/>
            <w:i/>
            <w:lang w:val="es-CO"/>
          </w:rPr>
          <w:t>Art. 31 Decreto 2105 de 2016</w:t>
        </w:r>
      </w:hyperlink>
      <w:r>
        <w:rPr>
          <w:rFonts w:eastAsia="Times New Roman" w:cs="Arial"/>
          <w:i/>
          <w:lang w:val="es-CO"/>
        </w:rPr>
        <w:t>, plazos 2016: Decreto 2243 de 2015; plazos 2015: Decreto 2623 de 2014; plazos 2014: Decreto 2972 de 2013 y Decreto 685 de 20</w:t>
      </w:r>
      <w:r>
        <w:rPr>
          <w:rFonts w:eastAsia="Times New Roman" w:cs="Arial"/>
          <w:i/>
          <w:lang w:val="es-CO"/>
        </w:rPr>
        <w:t>14; plazos 2013: Decreto 2634 de 2012 y Decreto 0187 de 2013; plazos 2012: Decreto 4907 de 2011; plazos 2011: Decreto 4836 de 2010 y Decreto 1358 de 2011)</w:t>
      </w:r>
    </w:p>
    <w:p w14:paraId="2CF9E51E" w14:textId="77777777" w:rsidR="00B2442D" w:rsidRDefault="00B2442D">
      <w:pPr>
        <w:pStyle w:val="Textoindependiente"/>
        <w:spacing w:line="40" w:lineRule="atLeast"/>
        <w:ind w:right="-30"/>
        <w:jc w:val="both"/>
        <w:rPr>
          <w:rFonts w:cs="Arial"/>
          <w:lang w:val="es-CO"/>
        </w:rPr>
      </w:pPr>
    </w:p>
    <w:p w14:paraId="09D77FDA" w14:textId="77777777" w:rsidR="00B2442D" w:rsidRDefault="008A645F">
      <w:pPr>
        <w:pStyle w:val="Textoindependiente"/>
        <w:spacing w:line="40" w:lineRule="atLeast"/>
        <w:ind w:right="-30"/>
        <w:jc w:val="center"/>
        <w:rPr>
          <w:rFonts w:cs="Arial"/>
          <w:b/>
          <w:lang w:val="es-CO"/>
        </w:rPr>
      </w:pPr>
      <w:r>
        <w:rPr>
          <w:rFonts w:cs="Arial"/>
          <w:b/>
          <w:lang w:val="es-CO"/>
        </w:rPr>
        <w:t>IMPUESTO</w:t>
      </w:r>
      <w:r>
        <w:rPr>
          <w:rFonts w:cs="Arial"/>
          <w:b/>
          <w:spacing w:val="2"/>
          <w:lang w:val="es-CO"/>
        </w:rPr>
        <w:t xml:space="preserve"> </w:t>
      </w:r>
      <w:r>
        <w:rPr>
          <w:rFonts w:cs="Arial"/>
          <w:b/>
          <w:lang w:val="es-CO"/>
        </w:rPr>
        <w:t>DE</w:t>
      </w:r>
      <w:r>
        <w:rPr>
          <w:rFonts w:cs="Arial"/>
          <w:b/>
          <w:spacing w:val="-13"/>
          <w:lang w:val="es-CO"/>
        </w:rPr>
        <w:t xml:space="preserve"> </w:t>
      </w:r>
      <w:r>
        <w:rPr>
          <w:rFonts w:cs="Arial"/>
          <w:b/>
          <w:lang w:val="es-CO"/>
        </w:rPr>
        <w:t>GANANCIA</w:t>
      </w:r>
      <w:r>
        <w:rPr>
          <w:rFonts w:cs="Arial"/>
          <w:b/>
          <w:spacing w:val="10"/>
          <w:lang w:val="es-CO"/>
        </w:rPr>
        <w:t xml:space="preserve"> </w:t>
      </w:r>
      <w:r>
        <w:rPr>
          <w:rFonts w:cs="Arial"/>
          <w:b/>
          <w:lang w:val="es-CO"/>
        </w:rPr>
        <w:t>OCASIONAL</w:t>
      </w:r>
      <w:r>
        <w:rPr>
          <w:rFonts w:cs="Arial"/>
          <w:b/>
          <w:spacing w:val="22"/>
          <w:lang w:val="es-CO"/>
        </w:rPr>
        <w:t xml:space="preserve"> </w:t>
      </w:r>
      <w:r>
        <w:rPr>
          <w:rFonts w:cs="Arial"/>
          <w:b/>
          <w:lang w:val="es-CO"/>
        </w:rPr>
        <w:t>POR</w:t>
      </w:r>
      <w:r>
        <w:rPr>
          <w:rFonts w:cs="Arial"/>
          <w:b/>
          <w:spacing w:val="-15"/>
          <w:lang w:val="es-CO"/>
        </w:rPr>
        <w:t xml:space="preserve">  </w:t>
      </w:r>
      <w:r>
        <w:rPr>
          <w:rFonts w:cs="Arial"/>
          <w:b/>
          <w:lang w:val="es-CO"/>
        </w:rPr>
        <w:t>ACTIVOS</w:t>
      </w:r>
      <w:r>
        <w:rPr>
          <w:rFonts w:cs="Arial"/>
          <w:b/>
          <w:spacing w:val="13"/>
          <w:lang w:val="es-CO"/>
        </w:rPr>
        <w:t xml:space="preserve"> </w:t>
      </w:r>
      <w:r>
        <w:rPr>
          <w:rFonts w:cs="Arial"/>
          <w:b/>
          <w:lang w:val="es-CO"/>
        </w:rPr>
        <w:t>OMITIDOS</w:t>
      </w:r>
      <w:r>
        <w:rPr>
          <w:rFonts w:cs="Arial"/>
          <w:b/>
          <w:spacing w:val="2"/>
          <w:lang w:val="es-CO"/>
        </w:rPr>
        <w:t xml:space="preserve"> </w:t>
      </w:r>
      <w:r>
        <w:rPr>
          <w:rFonts w:cs="Arial"/>
          <w:b/>
          <w:lang w:val="es-CO"/>
        </w:rPr>
        <w:t>Y</w:t>
      </w:r>
      <w:r>
        <w:rPr>
          <w:rFonts w:cs="Arial"/>
          <w:b/>
          <w:spacing w:val="6"/>
          <w:lang w:val="es-CO"/>
        </w:rPr>
        <w:t xml:space="preserve"> </w:t>
      </w:r>
      <w:r>
        <w:rPr>
          <w:rFonts w:cs="Arial"/>
          <w:b/>
          <w:lang w:val="es-CO"/>
        </w:rPr>
        <w:t>PASIVOS</w:t>
      </w:r>
      <w:r>
        <w:rPr>
          <w:rFonts w:cs="Arial"/>
          <w:b/>
          <w:w w:val="99"/>
          <w:lang w:val="es-CO"/>
        </w:rPr>
        <w:t xml:space="preserve"> </w:t>
      </w:r>
      <w:r>
        <w:rPr>
          <w:rFonts w:cs="Arial"/>
          <w:b/>
          <w:lang w:val="es-CO"/>
        </w:rPr>
        <w:t>INEXISTENTES</w:t>
      </w:r>
    </w:p>
    <w:p w14:paraId="2B507A68" w14:textId="77777777" w:rsidR="00B2442D" w:rsidRDefault="00B2442D">
      <w:pPr>
        <w:spacing w:line="40" w:lineRule="atLeast"/>
        <w:ind w:right="-30"/>
        <w:jc w:val="both"/>
        <w:rPr>
          <w:rFonts w:ascii="Arial" w:hAnsi="Arial" w:cs="Arial"/>
          <w:lang w:val="es-CO"/>
        </w:rPr>
      </w:pPr>
    </w:p>
    <w:p w14:paraId="4974A1B3"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Pago</w:t>
      </w:r>
      <w:r>
        <w:rPr>
          <w:rFonts w:cs="Arial"/>
          <w:b/>
          <w:i/>
          <w:spacing w:val="42"/>
          <w:lang w:val="es-CO"/>
        </w:rPr>
        <w:t xml:space="preserve"> </w:t>
      </w:r>
      <w:r>
        <w:rPr>
          <w:rFonts w:cs="Arial"/>
          <w:b/>
          <w:i/>
          <w:lang w:val="es-CO"/>
        </w:rPr>
        <w:t>de</w:t>
      </w:r>
      <w:r>
        <w:rPr>
          <w:rFonts w:cs="Arial"/>
          <w:b/>
          <w:i/>
          <w:spacing w:val="46"/>
          <w:lang w:val="es-CO"/>
        </w:rPr>
        <w:t xml:space="preserve"> </w:t>
      </w:r>
      <w:r>
        <w:rPr>
          <w:rFonts w:cs="Arial"/>
          <w:b/>
          <w:i/>
          <w:lang w:val="es-CO"/>
        </w:rPr>
        <w:t>la</w:t>
      </w:r>
      <w:r>
        <w:rPr>
          <w:rFonts w:cs="Arial"/>
          <w:b/>
          <w:i/>
          <w:spacing w:val="50"/>
          <w:lang w:val="es-CO"/>
        </w:rPr>
        <w:t xml:space="preserve"> </w:t>
      </w:r>
      <w:r>
        <w:rPr>
          <w:rFonts w:cs="Arial"/>
          <w:b/>
          <w:i/>
          <w:lang w:val="es-CO"/>
        </w:rPr>
        <w:t>cuarta</w:t>
      </w:r>
      <w:r>
        <w:rPr>
          <w:rFonts w:cs="Arial"/>
          <w:b/>
          <w:i/>
          <w:spacing w:val="1"/>
          <w:lang w:val="es-CO"/>
        </w:rPr>
        <w:t xml:space="preserve"> </w:t>
      </w:r>
      <w:r>
        <w:rPr>
          <w:rFonts w:cs="Arial"/>
          <w:b/>
          <w:i/>
          <w:lang w:val="es-CO"/>
        </w:rPr>
        <w:t>cuota</w:t>
      </w:r>
      <w:r>
        <w:rPr>
          <w:rFonts w:cs="Arial"/>
          <w:b/>
          <w:i/>
          <w:spacing w:val="5"/>
          <w:lang w:val="es-CO"/>
        </w:rPr>
        <w:t xml:space="preserve"> </w:t>
      </w:r>
      <w:r>
        <w:rPr>
          <w:rFonts w:cs="Arial"/>
          <w:b/>
          <w:i/>
          <w:lang w:val="es-CO"/>
        </w:rPr>
        <w:t>del</w:t>
      </w:r>
      <w:r>
        <w:rPr>
          <w:rFonts w:cs="Arial"/>
          <w:b/>
          <w:i/>
          <w:spacing w:val="49"/>
          <w:lang w:val="es-CO"/>
        </w:rPr>
        <w:t xml:space="preserve"> </w:t>
      </w:r>
      <w:r>
        <w:rPr>
          <w:rFonts w:cs="Arial"/>
          <w:b/>
          <w:i/>
          <w:lang w:val="es-CO"/>
        </w:rPr>
        <w:t>impuesto</w:t>
      </w:r>
      <w:r>
        <w:rPr>
          <w:rFonts w:cs="Arial"/>
          <w:b/>
          <w:i/>
          <w:spacing w:val="60"/>
          <w:lang w:val="es-CO"/>
        </w:rPr>
        <w:t xml:space="preserve"> </w:t>
      </w:r>
      <w:r>
        <w:rPr>
          <w:rFonts w:cs="Arial"/>
          <w:b/>
          <w:i/>
          <w:lang w:val="es-CO"/>
        </w:rPr>
        <w:t>de</w:t>
      </w:r>
      <w:r>
        <w:rPr>
          <w:rFonts w:cs="Arial"/>
          <w:b/>
          <w:i/>
          <w:spacing w:val="39"/>
          <w:lang w:val="es-CO"/>
        </w:rPr>
        <w:t xml:space="preserve"> </w:t>
      </w:r>
      <w:r>
        <w:rPr>
          <w:rFonts w:cs="Arial"/>
          <w:b/>
          <w:i/>
          <w:lang w:val="es-CO"/>
        </w:rPr>
        <w:t>ganancia ocasional</w:t>
      </w:r>
      <w:r>
        <w:rPr>
          <w:rFonts w:cs="Arial"/>
          <w:b/>
          <w:i/>
          <w:spacing w:val="28"/>
          <w:lang w:val="es-CO"/>
        </w:rPr>
        <w:t xml:space="preserve"> </w:t>
      </w:r>
      <w:r>
        <w:rPr>
          <w:rFonts w:cs="Arial"/>
          <w:b/>
          <w:i/>
          <w:lang w:val="es-CO"/>
        </w:rPr>
        <w:t>por</w:t>
      </w:r>
      <w:r>
        <w:rPr>
          <w:rFonts w:cs="Arial"/>
          <w:b/>
          <w:i/>
          <w:spacing w:val="53"/>
          <w:lang w:val="es-CO"/>
        </w:rPr>
        <w:t xml:space="preserve"> </w:t>
      </w:r>
      <w:r>
        <w:rPr>
          <w:rFonts w:cs="Arial"/>
          <w:b/>
          <w:i/>
          <w:lang w:val="es-CO"/>
        </w:rPr>
        <w:t>activos omitidos</w:t>
      </w:r>
      <w:r>
        <w:rPr>
          <w:rFonts w:cs="Arial"/>
          <w:b/>
          <w:i/>
          <w:spacing w:val="65"/>
          <w:lang w:val="es-CO"/>
        </w:rPr>
        <w:t xml:space="preserve"> </w:t>
      </w:r>
      <w:r>
        <w:rPr>
          <w:rFonts w:cs="Arial"/>
          <w:b/>
          <w:i/>
          <w:lang w:val="es-CO"/>
        </w:rPr>
        <w:t>y pasivos inexistentes.</w:t>
      </w:r>
      <w:r>
        <w:rPr>
          <w:rFonts w:cs="Arial"/>
          <w:b/>
          <w:lang w:val="es-CO"/>
        </w:rPr>
        <w:t xml:space="preserve"> </w:t>
      </w:r>
      <w:r>
        <w:rPr>
          <w:rFonts w:cs="Arial"/>
          <w:spacing w:val="7"/>
          <w:lang w:val="es-CO"/>
        </w:rPr>
        <w:t xml:space="preserve"> </w:t>
      </w:r>
      <w:r>
        <w:rPr>
          <w:rFonts w:cs="Arial"/>
          <w:lang w:val="es-CO"/>
        </w:rPr>
        <w:t>La</w:t>
      </w:r>
      <w:r>
        <w:rPr>
          <w:rFonts w:cs="Arial"/>
          <w:spacing w:val="57"/>
          <w:lang w:val="es-CO"/>
        </w:rPr>
        <w:t xml:space="preserve"> </w:t>
      </w:r>
      <w:r>
        <w:rPr>
          <w:rFonts w:cs="Arial"/>
          <w:lang w:val="es-CO"/>
        </w:rPr>
        <w:t>cuarta cuota</w:t>
      </w:r>
      <w:r>
        <w:rPr>
          <w:rFonts w:cs="Arial"/>
          <w:spacing w:val="25"/>
          <w:lang w:val="es-CO"/>
        </w:rPr>
        <w:t xml:space="preserve"> </w:t>
      </w:r>
      <w:r>
        <w:rPr>
          <w:rFonts w:cs="Arial"/>
          <w:lang w:val="es-CO"/>
        </w:rPr>
        <w:t>del</w:t>
      </w:r>
      <w:r>
        <w:rPr>
          <w:rFonts w:cs="Arial"/>
          <w:spacing w:val="24"/>
          <w:lang w:val="es-CO"/>
        </w:rPr>
        <w:t xml:space="preserve"> </w:t>
      </w:r>
      <w:r>
        <w:rPr>
          <w:rFonts w:cs="Arial"/>
          <w:lang w:val="es-CO"/>
        </w:rPr>
        <w:t>impuesto</w:t>
      </w:r>
      <w:r>
        <w:rPr>
          <w:rFonts w:cs="Arial"/>
          <w:spacing w:val="24"/>
          <w:lang w:val="es-CO"/>
        </w:rPr>
        <w:t xml:space="preserve"> </w:t>
      </w:r>
      <w:r>
        <w:rPr>
          <w:rFonts w:cs="Arial"/>
          <w:lang w:val="es-CO"/>
        </w:rPr>
        <w:t>a</w:t>
      </w:r>
      <w:r>
        <w:rPr>
          <w:rFonts w:cs="Arial"/>
          <w:spacing w:val="28"/>
          <w:lang w:val="es-CO"/>
        </w:rPr>
        <w:t xml:space="preserve"> </w:t>
      </w:r>
      <w:r>
        <w:rPr>
          <w:rFonts w:cs="Arial"/>
          <w:lang w:val="es-CO"/>
        </w:rPr>
        <w:t>las</w:t>
      </w:r>
      <w:r>
        <w:rPr>
          <w:rFonts w:cs="Arial"/>
          <w:spacing w:val="7"/>
          <w:lang w:val="es-CO"/>
        </w:rPr>
        <w:t xml:space="preserve"> </w:t>
      </w:r>
      <w:r>
        <w:rPr>
          <w:rFonts w:cs="Arial"/>
          <w:lang w:val="es-CO"/>
        </w:rPr>
        <w:t>ganancias</w:t>
      </w:r>
      <w:r>
        <w:rPr>
          <w:rFonts w:cs="Arial"/>
          <w:spacing w:val="40"/>
          <w:lang w:val="es-CO"/>
        </w:rPr>
        <w:t xml:space="preserve"> </w:t>
      </w:r>
      <w:r>
        <w:rPr>
          <w:rFonts w:cs="Arial"/>
          <w:lang w:val="es-CO"/>
        </w:rPr>
        <w:t>ocasionales</w:t>
      </w:r>
      <w:r>
        <w:rPr>
          <w:rFonts w:cs="Arial"/>
          <w:spacing w:val="34"/>
          <w:lang w:val="es-CO"/>
        </w:rPr>
        <w:t xml:space="preserve"> </w:t>
      </w:r>
      <w:r>
        <w:rPr>
          <w:rFonts w:cs="Arial"/>
          <w:lang w:val="es-CO"/>
        </w:rPr>
        <w:t>causado</w:t>
      </w:r>
      <w:r>
        <w:rPr>
          <w:rFonts w:cs="Arial"/>
          <w:spacing w:val="27"/>
          <w:lang w:val="es-CO"/>
        </w:rPr>
        <w:t xml:space="preserve"> </w:t>
      </w:r>
      <w:r>
        <w:rPr>
          <w:rFonts w:cs="Arial"/>
          <w:lang w:val="es-CO"/>
        </w:rPr>
        <w:t>con</w:t>
      </w:r>
      <w:r>
        <w:rPr>
          <w:rFonts w:cs="Arial"/>
          <w:spacing w:val="20"/>
          <w:lang w:val="es-CO"/>
        </w:rPr>
        <w:t xml:space="preserve"> </w:t>
      </w:r>
      <w:r>
        <w:rPr>
          <w:rFonts w:cs="Arial"/>
          <w:lang w:val="es-CO"/>
        </w:rPr>
        <w:t>ocasión</w:t>
      </w:r>
      <w:r>
        <w:rPr>
          <w:rFonts w:cs="Arial"/>
          <w:spacing w:val="27"/>
          <w:lang w:val="es-CO"/>
        </w:rPr>
        <w:t xml:space="preserve"> </w:t>
      </w:r>
      <w:r>
        <w:rPr>
          <w:rFonts w:cs="Arial"/>
          <w:lang w:val="es-CO"/>
        </w:rPr>
        <w:t>de</w:t>
      </w:r>
      <w:r>
        <w:rPr>
          <w:rFonts w:cs="Arial"/>
          <w:spacing w:val="21"/>
          <w:lang w:val="es-CO"/>
        </w:rPr>
        <w:t xml:space="preserve"> </w:t>
      </w:r>
      <w:r>
        <w:rPr>
          <w:rFonts w:cs="Arial"/>
          <w:lang w:val="es-CO"/>
        </w:rPr>
        <w:t>la</w:t>
      </w:r>
      <w:r>
        <w:rPr>
          <w:rFonts w:cs="Arial"/>
          <w:spacing w:val="25"/>
          <w:lang w:val="es-CO"/>
        </w:rPr>
        <w:t xml:space="preserve"> </w:t>
      </w:r>
      <w:r>
        <w:rPr>
          <w:rFonts w:cs="Arial"/>
          <w:lang w:val="es-CO"/>
        </w:rPr>
        <w:t>inclusión de</w:t>
      </w:r>
      <w:r>
        <w:rPr>
          <w:rFonts w:cs="Arial"/>
          <w:spacing w:val="-2"/>
          <w:lang w:val="es-CO"/>
        </w:rPr>
        <w:t xml:space="preserve"> </w:t>
      </w:r>
      <w:r>
        <w:rPr>
          <w:rFonts w:cs="Arial"/>
          <w:lang w:val="es-CO"/>
        </w:rPr>
        <w:t>valores</w:t>
      </w:r>
      <w:r>
        <w:rPr>
          <w:rFonts w:cs="Arial"/>
          <w:spacing w:val="8"/>
          <w:lang w:val="es-CO"/>
        </w:rPr>
        <w:t xml:space="preserve"> </w:t>
      </w:r>
      <w:r>
        <w:rPr>
          <w:rFonts w:cs="Arial"/>
          <w:lang w:val="es-CO"/>
        </w:rPr>
        <w:t>de</w:t>
      </w:r>
      <w:r>
        <w:rPr>
          <w:rFonts w:cs="Arial"/>
          <w:spacing w:val="3"/>
          <w:lang w:val="es-CO"/>
        </w:rPr>
        <w:t xml:space="preserve"> </w:t>
      </w:r>
      <w:r>
        <w:rPr>
          <w:rFonts w:cs="Arial"/>
          <w:lang w:val="es-CO"/>
        </w:rPr>
        <w:t>los</w:t>
      </w:r>
      <w:r>
        <w:rPr>
          <w:rFonts w:cs="Arial"/>
          <w:spacing w:val="-3"/>
          <w:lang w:val="es-CO"/>
        </w:rPr>
        <w:t xml:space="preserve"> </w:t>
      </w:r>
      <w:r>
        <w:rPr>
          <w:rFonts w:cs="Arial"/>
          <w:lang w:val="es-CO"/>
        </w:rPr>
        <w:t>activos</w:t>
      </w:r>
      <w:r>
        <w:rPr>
          <w:rFonts w:cs="Arial"/>
          <w:spacing w:val="14"/>
          <w:lang w:val="es-CO"/>
        </w:rPr>
        <w:t xml:space="preserve"> </w:t>
      </w:r>
      <w:r>
        <w:rPr>
          <w:rFonts w:cs="Arial"/>
          <w:lang w:val="es-CO"/>
        </w:rPr>
        <w:t>omitidos</w:t>
      </w:r>
      <w:r>
        <w:rPr>
          <w:rFonts w:cs="Arial"/>
          <w:spacing w:val="9"/>
          <w:lang w:val="es-CO"/>
        </w:rPr>
        <w:t xml:space="preserve"> </w:t>
      </w:r>
      <w:r>
        <w:rPr>
          <w:rFonts w:cs="Arial"/>
          <w:lang w:val="es-CO"/>
        </w:rPr>
        <w:t>y</w:t>
      </w:r>
      <w:r>
        <w:rPr>
          <w:rFonts w:cs="Arial"/>
          <w:spacing w:val="9"/>
          <w:lang w:val="es-CO"/>
        </w:rPr>
        <w:t xml:space="preserve"> </w:t>
      </w:r>
      <w:r>
        <w:rPr>
          <w:rFonts w:cs="Arial"/>
          <w:lang w:val="es-CO"/>
        </w:rPr>
        <w:t>los</w:t>
      </w:r>
      <w:r>
        <w:rPr>
          <w:rFonts w:cs="Arial"/>
          <w:spacing w:val="1"/>
          <w:lang w:val="es-CO"/>
        </w:rPr>
        <w:t xml:space="preserve"> </w:t>
      </w:r>
      <w:r>
        <w:rPr>
          <w:rFonts w:cs="Arial"/>
          <w:lang w:val="es-CO"/>
        </w:rPr>
        <w:t>pasivos</w:t>
      </w:r>
      <w:r>
        <w:rPr>
          <w:rFonts w:cs="Arial"/>
          <w:spacing w:val="11"/>
          <w:lang w:val="es-CO"/>
        </w:rPr>
        <w:t xml:space="preserve"> </w:t>
      </w:r>
      <w:r>
        <w:rPr>
          <w:rFonts w:cs="Arial"/>
          <w:lang w:val="es-CO"/>
        </w:rPr>
        <w:t>inexistentes</w:t>
      </w:r>
      <w:r>
        <w:rPr>
          <w:rFonts w:cs="Arial"/>
          <w:spacing w:val="12"/>
          <w:lang w:val="es-CO"/>
        </w:rPr>
        <w:t xml:space="preserve"> </w:t>
      </w:r>
      <w:r>
        <w:rPr>
          <w:rFonts w:cs="Arial"/>
          <w:lang w:val="es-CO"/>
        </w:rPr>
        <w:t>originados</w:t>
      </w:r>
      <w:r>
        <w:rPr>
          <w:rFonts w:cs="Arial"/>
          <w:spacing w:val="17"/>
          <w:lang w:val="es-CO"/>
        </w:rPr>
        <w:t xml:space="preserve"> </w:t>
      </w:r>
      <w:r>
        <w:rPr>
          <w:rFonts w:cs="Arial"/>
          <w:lang w:val="es-CO"/>
        </w:rPr>
        <w:t>en</w:t>
      </w:r>
      <w:r>
        <w:rPr>
          <w:rFonts w:cs="Arial"/>
          <w:spacing w:val="-2"/>
          <w:lang w:val="es-CO"/>
        </w:rPr>
        <w:t xml:space="preserve"> </w:t>
      </w:r>
      <w:r>
        <w:rPr>
          <w:rFonts w:cs="Arial"/>
          <w:lang w:val="es-CO"/>
        </w:rPr>
        <w:t>periodos</w:t>
      </w:r>
      <w:r>
        <w:rPr>
          <w:rFonts w:cs="Arial"/>
          <w:spacing w:val="21"/>
          <w:lang w:val="es-CO"/>
        </w:rPr>
        <w:t xml:space="preserve"> </w:t>
      </w:r>
      <w:r>
        <w:rPr>
          <w:rFonts w:cs="Arial"/>
          <w:lang w:val="es-CO"/>
        </w:rPr>
        <w:t>no</w:t>
      </w:r>
      <w:r>
        <w:rPr>
          <w:rFonts w:cs="Arial"/>
          <w:w w:val="101"/>
          <w:lang w:val="es-CO"/>
        </w:rPr>
        <w:t xml:space="preserve"> </w:t>
      </w:r>
      <w:r>
        <w:rPr>
          <w:rFonts w:cs="Arial"/>
          <w:lang w:val="es-CO"/>
        </w:rPr>
        <w:t>revisables</w:t>
      </w:r>
      <w:r>
        <w:rPr>
          <w:rFonts w:cs="Arial"/>
          <w:spacing w:val="55"/>
          <w:lang w:val="es-CO"/>
        </w:rPr>
        <w:t xml:space="preserve"> </w:t>
      </w:r>
      <w:r>
        <w:rPr>
          <w:rFonts w:cs="Arial"/>
          <w:lang w:val="es-CO"/>
        </w:rPr>
        <w:t>por</w:t>
      </w:r>
      <w:r>
        <w:rPr>
          <w:rFonts w:cs="Arial"/>
          <w:spacing w:val="43"/>
          <w:lang w:val="es-CO"/>
        </w:rPr>
        <w:t xml:space="preserve"> </w:t>
      </w:r>
      <w:r>
        <w:rPr>
          <w:rFonts w:cs="Arial"/>
          <w:lang w:val="es-CO"/>
        </w:rPr>
        <w:t>parte</w:t>
      </w:r>
      <w:r>
        <w:rPr>
          <w:rFonts w:cs="Arial"/>
          <w:spacing w:val="38"/>
          <w:lang w:val="es-CO"/>
        </w:rPr>
        <w:t xml:space="preserve"> </w:t>
      </w:r>
      <w:r>
        <w:rPr>
          <w:rFonts w:cs="Arial"/>
          <w:lang w:val="es-CO"/>
        </w:rPr>
        <w:t>de</w:t>
      </w:r>
      <w:r>
        <w:rPr>
          <w:rFonts w:cs="Arial"/>
          <w:spacing w:val="35"/>
          <w:lang w:val="es-CO"/>
        </w:rPr>
        <w:t xml:space="preserve"> </w:t>
      </w:r>
      <w:r>
        <w:rPr>
          <w:rFonts w:cs="Arial"/>
          <w:lang w:val="es-CO"/>
        </w:rPr>
        <w:t>contribuyentes</w:t>
      </w:r>
      <w:r>
        <w:rPr>
          <w:rFonts w:cs="Arial"/>
          <w:spacing w:val="59"/>
          <w:lang w:val="es-CO"/>
        </w:rPr>
        <w:t xml:space="preserve"> </w:t>
      </w:r>
      <w:r>
        <w:rPr>
          <w:rFonts w:cs="Arial"/>
          <w:lang w:val="es-CO"/>
        </w:rPr>
        <w:t>que</w:t>
      </w:r>
      <w:r>
        <w:rPr>
          <w:rFonts w:cs="Arial"/>
          <w:spacing w:val="30"/>
          <w:lang w:val="es-CO"/>
        </w:rPr>
        <w:t xml:space="preserve"> </w:t>
      </w:r>
      <w:r>
        <w:rPr>
          <w:rFonts w:cs="Arial"/>
          <w:lang w:val="es-CO"/>
        </w:rPr>
        <w:t>en</w:t>
      </w:r>
      <w:r>
        <w:rPr>
          <w:rFonts w:cs="Arial"/>
          <w:spacing w:val="39"/>
          <w:lang w:val="es-CO"/>
        </w:rPr>
        <w:t xml:space="preserve"> </w:t>
      </w:r>
      <w:r>
        <w:rPr>
          <w:rFonts w:cs="Arial"/>
          <w:lang w:val="es-CO"/>
        </w:rPr>
        <w:t>la</w:t>
      </w:r>
      <w:r>
        <w:rPr>
          <w:rFonts w:cs="Arial"/>
          <w:spacing w:val="28"/>
          <w:lang w:val="es-CO"/>
        </w:rPr>
        <w:t xml:space="preserve"> </w:t>
      </w:r>
      <w:r>
        <w:rPr>
          <w:rFonts w:cs="Arial"/>
          <w:lang w:val="es-CO"/>
        </w:rPr>
        <w:t>declaración</w:t>
      </w:r>
      <w:r>
        <w:rPr>
          <w:rFonts w:cs="Arial"/>
          <w:spacing w:val="51"/>
          <w:lang w:val="es-CO"/>
        </w:rPr>
        <w:t xml:space="preserve"> </w:t>
      </w:r>
      <w:r>
        <w:rPr>
          <w:rFonts w:cs="Arial"/>
          <w:lang w:val="es-CO"/>
        </w:rPr>
        <w:t>del</w:t>
      </w:r>
      <w:r>
        <w:rPr>
          <w:rFonts w:cs="Arial"/>
          <w:spacing w:val="43"/>
          <w:lang w:val="es-CO"/>
        </w:rPr>
        <w:t xml:space="preserve"> </w:t>
      </w:r>
      <w:r>
        <w:rPr>
          <w:rFonts w:cs="Arial"/>
          <w:lang w:val="es-CO"/>
        </w:rPr>
        <w:t>impuesto</w:t>
      </w:r>
      <w:r>
        <w:rPr>
          <w:rFonts w:cs="Arial"/>
          <w:spacing w:val="37"/>
          <w:lang w:val="es-CO"/>
        </w:rPr>
        <w:t xml:space="preserve"> </w:t>
      </w:r>
      <w:r>
        <w:rPr>
          <w:rFonts w:cs="Arial"/>
          <w:lang w:val="es-CO"/>
        </w:rPr>
        <w:t>sobre</w:t>
      </w:r>
      <w:r>
        <w:rPr>
          <w:rFonts w:cs="Arial"/>
          <w:spacing w:val="53"/>
          <w:lang w:val="es-CO"/>
        </w:rPr>
        <w:t xml:space="preserve"> </w:t>
      </w:r>
      <w:r>
        <w:rPr>
          <w:rFonts w:cs="Arial"/>
          <w:lang w:val="es-CO"/>
        </w:rPr>
        <w:t>la renta</w:t>
      </w:r>
      <w:r>
        <w:rPr>
          <w:rFonts w:cs="Arial"/>
          <w:spacing w:val="1"/>
          <w:lang w:val="es-CO"/>
        </w:rPr>
        <w:t xml:space="preserve"> </w:t>
      </w:r>
      <w:r>
        <w:rPr>
          <w:rFonts w:cs="Arial"/>
          <w:lang w:val="es-CO"/>
        </w:rPr>
        <w:t>y</w:t>
      </w:r>
      <w:r>
        <w:rPr>
          <w:rFonts w:cs="Arial"/>
          <w:spacing w:val="1"/>
          <w:lang w:val="es-CO"/>
        </w:rPr>
        <w:t xml:space="preserve"> </w:t>
      </w:r>
      <w:r>
        <w:rPr>
          <w:rFonts w:cs="Arial"/>
          <w:lang w:val="es-CO"/>
        </w:rPr>
        <w:t>complementario</w:t>
      </w:r>
      <w:r>
        <w:rPr>
          <w:rFonts w:cs="Arial"/>
          <w:spacing w:val="15"/>
          <w:lang w:val="es-CO"/>
        </w:rPr>
        <w:t xml:space="preserve"> </w:t>
      </w:r>
      <w:r>
        <w:rPr>
          <w:rFonts w:cs="Arial"/>
          <w:lang w:val="es-CO"/>
        </w:rPr>
        <w:t>correspondiente</w:t>
      </w:r>
      <w:r>
        <w:rPr>
          <w:rFonts w:cs="Arial"/>
          <w:spacing w:val="28"/>
          <w:lang w:val="es-CO"/>
        </w:rPr>
        <w:t xml:space="preserve"> </w:t>
      </w:r>
      <w:r>
        <w:rPr>
          <w:rFonts w:cs="Arial"/>
          <w:lang w:val="es-CO"/>
        </w:rPr>
        <w:t>al</w:t>
      </w:r>
      <w:r>
        <w:rPr>
          <w:rFonts w:cs="Arial"/>
          <w:spacing w:val="55"/>
          <w:lang w:val="es-CO"/>
        </w:rPr>
        <w:t xml:space="preserve"> </w:t>
      </w:r>
      <w:r>
        <w:rPr>
          <w:rFonts w:cs="Arial"/>
          <w:lang w:val="es-CO"/>
        </w:rPr>
        <w:t>año</w:t>
      </w:r>
      <w:r>
        <w:rPr>
          <w:rFonts w:cs="Arial"/>
          <w:spacing w:val="49"/>
          <w:lang w:val="es-CO"/>
        </w:rPr>
        <w:t xml:space="preserve"> </w:t>
      </w:r>
      <w:r>
        <w:rPr>
          <w:rFonts w:cs="Arial"/>
          <w:lang w:val="es-CO"/>
        </w:rPr>
        <w:t>gravable</w:t>
      </w:r>
      <w:r>
        <w:rPr>
          <w:rFonts w:cs="Arial"/>
          <w:spacing w:val="12"/>
          <w:lang w:val="es-CO"/>
        </w:rPr>
        <w:t xml:space="preserve"> </w:t>
      </w:r>
      <w:r>
        <w:rPr>
          <w:rFonts w:cs="Arial"/>
          <w:lang w:val="es-CO"/>
        </w:rPr>
        <w:t>2012</w:t>
      </w:r>
      <w:r>
        <w:rPr>
          <w:rFonts w:cs="Arial"/>
          <w:spacing w:val="5"/>
          <w:lang w:val="es-CO"/>
        </w:rPr>
        <w:t xml:space="preserve"> </w:t>
      </w:r>
      <w:r>
        <w:rPr>
          <w:rFonts w:cs="Arial"/>
          <w:lang w:val="es-CO"/>
        </w:rPr>
        <w:t>se</w:t>
      </w:r>
      <w:r>
        <w:rPr>
          <w:rFonts w:cs="Arial"/>
          <w:spacing w:val="66"/>
          <w:lang w:val="es-CO"/>
        </w:rPr>
        <w:t xml:space="preserve"> </w:t>
      </w:r>
      <w:r>
        <w:rPr>
          <w:rFonts w:cs="Arial"/>
          <w:lang w:val="es-CO"/>
        </w:rPr>
        <w:t>acogieron</w:t>
      </w:r>
      <w:r>
        <w:rPr>
          <w:rFonts w:cs="Arial"/>
          <w:spacing w:val="4"/>
          <w:lang w:val="es-CO"/>
        </w:rPr>
        <w:t xml:space="preserve"> </w:t>
      </w:r>
      <w:r>
        <w:rPr>
          <w:rFonts w:cs="Arial"/>
          <w:lang w:val="es-CO"/>
        </w:rPr>
        <w:t>a</w:t>
      </w:r>
      <w:r>
        <w:rPr>
          <w:rFonts w:cs="Arial"/>
          <w:spacing w:val="6"/>
          <w:lang w:val="es-CO"/>
        </w:rPr>
        <w:t xml:space="preserve"> </w:t>
      </w:r>
      <w:r>
        <w:rPr>
          <w:rFonts w:cs="Arial"/>
          <w:lang w:val="es-CO"/>
        </w:rPr>
        <w:t>lo</w:t>
      </w:r>
      <w:r>
        <w:rPr>
          <w:rFonts w:cs="Arial"/>
          <w:w w:val="102"/>
          <w:lang w:val="es-CO"/>
        </w:rPr>
        <w:t xml:space="preserve"> </w:t>
      </w:r>
      <w:r>
        <w:rPr>
          <w:rFonts w:cs="Arial"/>
          <w:lang w:val="es-CO"/>
        </w:rPr>
        <w:t>previsto</w:t>
      </w:r>
      <w:r>
        <w:rPr>
          <w:rFonts w:cs="Arial"/>
          <w:spacing w:val="8"/>
          <w:lang w:val="es-CO"/>
        </w:rPr>
        <w:t xml:space="preserve"> </w:t>
      </w:r>
      <w:r>
        <w:rPr>
          <w:rFonts w:cs="Arial"/>
          <w:lang w:val="es-CO"/>
        </w:rPr>
        <w:t>en</w:t>
      </w:r>
      <w:r>
        <w:rPr>
          <w:rFonts w:cs="Arial"/>
          <w:spacing w:val="-2"/>
          <w:lang w:val="es-CO"/>
        </w:rPr>
        <w:t xml:space="preserve"> </w:t>
      </w:r>
      <w:r>
        <w:rPr>
          <w:rFonts w:cs="Arial"/>
          <w:lang w:val="es-CO"/>
        </w:rPr>
        <w:t>el</w:t>
      </w:r>
      <w:r>
        <w:rPr>
          <w:rFonts w:cs="Arial"/>
          <w:spacing w:val="6"/>
          <w:lang w:val="es-CO"/>
        </w:rPr>
        <w:t xml:space="preserve"> </w:t>
      </w:r>
      <w:r>
        <w:rPr>
          <w:rFonts w:cs="Arial"/>
          <w:lang w:val="es-CO"/>
        </w:rPr>
        <w:t>Parágrafo</w:t>
      </w:r>
      <w:r>
        <w:rPr>
          <w:rFonts w:cs="Arial"/>
          <w:spacing w:val="2"/>
          <w:lang w:val="es-CO"/>
        </w:rPr>
        <w:t xml:space="preserve"> </w:t>
      </w:r>
      <w:r>
        <w:rPr>
          <w:rFonts w:cs="Arial"/>
          <w:lang w:val="es-CO"/>
        </w:rPr>
        <w:t>Transitorio</w:t>
      </w:r>
      <w:r>
        <w:rPr>
          <w:rFonts w:cs="Arial"/>
          <w:spacing w:val="18"/>
          <w:lang w:val="es-CO"/>
        </w:rPr>
        <w:t xml:space="preserve"> </w:t>
      </w:r>
      <w:r>
        <w:rPr>
          <w:rFonts w:cs="Arial"/>
          <w:lang w:val="es-CO"/>
        </w:rPr>
        <w:t>del</w:t>
      </w:r>
      <w:r>
        <w:rPr>
          <w:rFonts w:cs="Arial"/>
          <w:spacing w:val="1"/>
          <w:lang w:val="es-CO"/>
        </w:rPr>
        <w:t xml:space="preserve"> </w:t>
      </w:r>
      <w:r>
        <w:rPr>
          <w:rFonts w:cs="Arial"/>
          <w:lang w:val="es-CO"/>
        </w:rPr>
        <w:t>artículo</w:t>
      </w:r>
      <w:r>
        <w:rPr>
          <w:rFonts w:cs="Arial"/>
          <w:spacing w:val="6"/>
          <w:lang w:val="es-CO"/>
        </w:rPr>
        <w:t xml:space="preserve"> </w:t>
      </w:r>
      <w:r>
        <w:rPr>
          <w:rFonts w:cs="Arial"/>
          <w:lang w:val="es-CO"/>
        </w:rPr>
        <w:t>239-1</w:t>
      </w:r>
      <w:r>
        <w:rPr>
          <w:rFonts w:cs="Arial"/>
          <w:spacing w:val="6"/>
          <w:lang w:val="es-CO"/>
        </w:rPr>
        <w:t xml:space="preserve"> </w:t>
      </w:r>
      <w:r>
        <w:rPr>
          <w:rFonts w:cs="Arial"/>
          <w:lang w:val="es-CO"/>
        </w:rPr>
        <w:t>adicionado</w:t>
      </w:r>
      <w:r>
        <w:rPr>
          <w:rFonts w:cs="Arial"/>
          <w:spacing w:val="25"/>
          <w:lang w:val="es-CO"/>
        </w:rPr>
        <w:t xml:space="preserve"> </w:t>
      </w:r>
      <w:r>
        <w:rPr>
          <w:rFonts w:cs="Arial"/>
          <w:lang w:val="es-CO"/>
        </w:rPr>
        <w:t>al</w:t>
      </w:r>
      <w:r>
        <w:rPr>
          <w:rFonts w:cs="Arial"/>
          <w:spacing w:val="5"/>
          <w:lang w:val="es-CO"/>
        </w:rPr>
        <w:t xml:space="preserve"> </w:t>
      </w:r>
      <w:r>
        <w:rPr>
          <w:rFonts w:cs="Arial"/>
          <w:lang w:val="es-CO"/>
        </w:rPr>
        <w:t>Estatuto</w:t>
      </w:r>
      <w:r>
        <w:rPr>
          <w:rFonts w:cs="Arial"/>
          <w:spacing w:val="-2"/>
          <w:lang w:val="es-CO"/>
        </w:rPr>
        <w:t xml:space="preserve"> </w:t>
      </w:r>
      <w:r>
        <w:rPr>
          <w:rFonts w:cs="Arial"/>
          <w:lang w:val="es-CO"/>
        </w:rPr>
        <w:t>Tributario</w:t>
      </w:r>
      <w:r>
        <w:rPr>
          <w:rFonts w:cs="Arial"/>
          <w:w w:val="99"/>
          <w:lang w:val="es-CO"/>
        </w:rPr>
        <w:t xml:space="preserve"> </w:t>
      </w:r>
      <w:r>
        <w:rPr>
          <w:rFonts w:cs="Arial"/>
          <w:lang w:val="es-CO"/>
        </w:rPr>
        <w:t>mediante</w:t>
      </w:r>
      <w:r>
        <w:rPr>
          <w:rFonts w:cs="Arial"/>
          <w:spacing w:val="18"/>
          <w:lang w:val="es-CO"/>
        </w:rPr>
        <w:t xml:space="preserve"> </w:t>
      </w:r>
      <w:r>
        <w:rPr>
          <w:rFonts w:cs="Arial"/>
          <w:lang w:val="es-CO"/>
        </w:rPr>
        <w:t>el</w:t>
      </w:r>
      <w:r>
        <w:rPr>
          <w:rFonts w:cs="Arial"/>
          <w:spacing w:val="14"/>
          <w:lang w:val="es-CO"/>
        </w:rPr>
        <w:t xml:space="preserve"> </w:t>
      </w:r>
      <w:r>
        <w:rPr>
          <w:rFonts w:cs="Arial"/>
          <w:lang w:val="es-CO"/>
        </w:rPr>
        <w:t>artículo</w:t>
      </w:r>
      <w:r>
        <w:rPr>
          <w:rFonts w:cs="Arial"/>
          <w:spacing w:val="48"/>
          <w:lang w:val="es-CO"/>
        </w:rPr>
        <w:t xml:space="preserve"> </w:t>
      </w:r>
      <w:r>
        <w:rPr>
          <w:rFonts w:cs="Arial"/>
          <w:lang w:val="es-CO"/>
        </w:rPr>
        <w:t>163</w:t>
      </w:r>
      <w:r>
        <w:rPr>
          <w:rFonts w:cs="Arial"/>
          <w:spacing w:val="-1"/>
          <w:lang w:val="es-CO"/>
        </w:rPr>
        <w:t xml:space="preserve"> </w:t>
      </w:r>
      <w:r>
        <w:rPr>
          <w:rFonts w:cs="Arial"/>
          <w:lang w:val="es-CO"/>
        </w:rPr>
        <w:t>de</w:t>
      </w:r>
      <w:r>
        <w:rPr>
          <w:rFonts w:cs="Arial"/>
          <w:spacing w:val="26"/>
          <w:lang w:val="es-CO"/>
        </w:rPr>
        <w:t xml:space="preserve"> </w:t>
      </w:r>
      <w:r>
        <w:rPr>
          <w:rFonts w:cs="Arial"/>
          <w:lang w:val="es-CO"/>
        </w:rPr>
        <w:t>la</w:t>
      </w:r>
      <w:r>
        <w:rPr>
          <w:rFonts w:cs="Arial"/>
          <w:spacing w:val="25"/>
          <w:lang w:val="es-CO"/>
        </w:rPr>
        <w:t xml:space="preserve"> </w:t>
      </w:r>
      <w:r>
        <w:rPr>
          <w:rFonts w:cs="Arial"/>
          <w:lang w:val="es-CO"/>
        </w:rPr>
        <w:t>Ley</w:t>
      </w:r>
      <w:r>
        <w:rPr>
          <w:rFonts w:cs="Arial"/>
          <w:spacing w:val="26"/>
          <w:lang w:val="es-CO"/>
        </w:rPr>
        <w:t xml:space="preserve"> </w:t>
      </w:r>
      <w:r>
        <w:rPr>
          <w:rFonts w:cs="Arial"/>
          <w:lang w:val="es-CO"/>
        </w:rPr>
        <w:t>1607</w:t>
      </w:r>
      <w:r>
        <w:rPr>
          <w:rFonts w:cs="Arial"/>
          <w:spacing w:val="5"/>
          <w:lang w:val="es-CO"/>
        </w:rPr>
        <w:t xml:space="preserve"> </w:t>
      </w:r>
      <w:r>
        <w:rPr>
          <w:rFonts w:cs="Arial"/>
          <w:lang w:val="es-CO"/>
        </w:rPr>
        <w:t>de</w:t>
      </w:r>
      <w:r>
        <w:rPr>
          <w:rFonts w:cs="Arial"/>
          <w:spacing w:val="15"/>
          <w:lang w:val="es-CO"/>
        </w:rPr>
        <w:t xml:space="preserve"> </w:t>
      </w:r>
      <w:r>
        <w:rPr>
          <w:rFonts w:cs="Arial"/>
          <w:lang w:val="es-CO"/>
        </w:rPr>
        <w:t>2012,</w:t>
      </w:r>
      <w:r>
        <w:rPr>
          <w:rFonts w:cs="Arial"/>
          <w:spacing w:val="24"/>
          <w:lang w:val="es-CO"/>
        </w:rPr>
        <w:t xml:space="preserve"> </w:t>
      </w:r>
      <w:r>
        <w:rPr>
          <w:rFonts w:cs="Arial"/>
          <w:lang w:val="es-CO"/>
        </w:rPr>
        <w:t>en</w:t>
      </w:r>
      <w:r>
        <w:rPr>
          <w:rFonts w:cs="Arial"/>
          <w:spacing w:val="21"/>
          <w:lang w:val="es-CO"/>
        </w:rPr>
        <w:t xml:space="preserve"> </w:t>
      </w:r>
      <w:r>
        <w:rPr>
          <w:rFonts w:cs="Arial"/>
          <w:lang w:val="es-CO"/>
        </w:rPr>
        <w:t>los</w:t>
      </w:r>
      <w:r>
        <w:rPr>
          <w:rFonts w:cs="Arial"/>
          <w:spacing w:val="4"/>
          <w:lang w:val="es-CO"/>
        </w:rPr>
        <w:t xml:space="preserve"> </w:t>
      </w:r>
      <w:r>
        <w:rPr>
          <w:rFonts w:cs="Arial"/>
          <w:lang w:val="es-CO"/>
        </w:rPr>
        <w:t>términos</w:t>
      </w:r>
      <w:r>
        <w:rPr>
          <w:rFonts w:cs="Arial"/>
          <w:spacing w:val="32"/>
          <w:lang w:val="es-CO"/>
        </w:rPr>
        <w:t xml:space="preserve"> </w:t>
      </w:r>
      <w:r>
        <w:rPr>
          <w:rFonts w:cs="Arial"/>
          <w:lang w:val="es-CO"/>
        </w:rPr>
        <w:t>de</w:t>
      </w:r>
      <w:r>
        <w:rPr>
          <w:rFonts w:cs="Arial"/>
          <w:spacing w:val="21"/>
          <w:lang w:val="es-CO"/>
        </w:rPr>
        <w:t xml:space="preserve"> </w:t>
      </w:r>
      <w:r>
        <w:rPr>
          <w:rFonts w:cs="Arial"/>
          <w:lang w:val="es-CO"/>
        </w:rPr>
        <w:t>la</w:t>
      </w:r>
      <w:r>
        <w:rPr>
          <w:rFonts w:cs="Arial"/>
          <w:spacing w:val="15"/>
          <w:lang w:val="es-CO"/>
        </w:rPr>
        <w:t xml:space="preserve"> </w:t>
      </w:r>
      <w:r>
        <w:rPr>
          <w:rFonts w:cs="Arial"/>
          <w:lang w:val="es-CO"/>
        </w:rPr>
        <w:t>Sentencia</w:t>
      </w:r>
      <w:r>
        <w:rPr>
          <w:rFonts w:cs="Arial"/>
          <w:spacing w:val="36"/>
          <w:lang w:val="es-CO"/>
        </w:rPr>
        <w:t xml:space="preserve"> </w:t>
      </w:r>
      <w:r>
        <w:rPr>
          <w:rFonts w:cs="Arial"/>
          <w:lang w:val="es-CO"/>
        </w:rPr>
        <w:t>C-</w:t>
      </w:r>
      <w:r>
        <w:rPr>
          <w:rFonts w:cs="Arial"/>
          <w:w w:val="103"/>
          <w:lang w:val="es-CO"/>
        </w:rPr>
        <w:t xml:space="preserve"> </w:t>
      </w:r>
      <w:r>
        <w:rPr>
          <w:rFonts w:cs="Arial"/>
          <w:lang w:val="es-CO"/>
        </w:rPr>
        <w:t>833</w:t>
      </w:r>
      <w:r>
        <w:rPr>
          <w:rFonts w:cs="Arial"/>
          <w:spacing w:val="20"/>
          <w:lang w:val="es-CO"/>
        </w:rPr>
        <w:t xml:space="preserve"> </w:t>
      </w:r>
      <w:r>
        <w:rPr>
          <w:rFonts w:cs="Arial"/>
          <w:lang w:val="es-CO"/>
        </w:rPr>
        <w:t>de</w:t>
      </w:r>
      <w:r>
        <w:rPr>
          <w:rFonts w:cs="Arial"/>
          <w:spacing w:val="12"/>
          <w:lang w:val="es-CO"/>
        </w:rPr>
        <w:t xml:space="preserve"> </w:t>
      </w:r>
      <w:r>
        <w:rPr>
          <w:rFonts w:cs="Arial"/>
          <w:lang w:val="es-CO"/>
        </w:rPr>
        <w:t>20</w:t>
      </w:r>
      <w:r>
        <w:rPr>
          <w:rFonts w:cs="Arial"/>
          <w:spacing w:val="14"/>
          <w:lang w:val="es-CO"/>
        </w:rPr>
        <w:t xml:space="preserve"> </w:t>
      </w:r>
      <w:r>
        <w:rPr>
          <w:rFonts w:cs="Arial"/>
          <w:lang w:val="es-CO"/>
        </w:rPr>
        <w:t>de</w:t>
      </w:r>
      <w:r>
        <w:rPr>
          <w:rFonts w:cs="Arial"/>
          <w:spacing w:val="24"/>
          <w:lang w:val="es-CO"/>
        </w:rPr>
        <w:t xml:space="preserve"> </w:t>
      </w:r>
      <w:r>
        <w:rPr>
          <w:rFonts w:cs="Arial"/>
          <w:lang w:val="es-CO"/>
        </w:rPr>
        <w:t>noviembre</w:t>
      </w:r>
      <w:r>
        <w:rPr>
          <w:rFonts w:cs="Arial"/>
          <w:spacing w:val="28"/>
          <w:lang w:val="es-CO"/>
        </w:rPr>
        <w:t xml:space="preserve"> </w:t>
      </w:r>
      <w:r>
        <w:rPr>
          <w:rFonts w:cs="Arial"/>
          <w:lang w:val="es-CO"/>
        </w:rPr>
        <w:t>de</w:t>
      </w:r>
      <w:r>
        <w:rPr>
          <w:rFonts w:cs="Arial"/>
          <w:spacing w:val="10"/>
          <w:lang w:val="es-CO"/>
        </w:rPr>
        <w:t xml:space="preserve"> </w:t>
      </w:r>
      <w:r>
        <w:rPr>
          <w:rFonts w:cs="Arial"/>
          <w:lang w:val="es-CO"/>
        </w:rPr>
        <w:t>2013,</w:t>
      </w:r>
      <w:r>
        <w:rPr>
          <w:rFonts w:cs="Arial"/>
          <w:spacing w:val="10"/>
          <w:lang w:val="es-CO"/>
        </w:rPr>
        <w:t xml:space="preserve"> </w:t>
      </w:r>
      <w:r>
        <w:rPr>
          <w:rFonts w:cs="Arial"/>
          <w:lang w:val="es-CO"/>
        </w:rPr>
        <w:t>deberá</w:t>
      </w:r>
      <w:r>
        <w:rPr>
          <w:rFonts w:cs="Arial"/>
          <w:spacing w:val="43"/>
          <w:lang w:val="es-CO"/>
        </w:rPr>
        <w:t xml:space="preserve"> </w:t>
      </w:r>
      <w:r>
        <w:rPr>
          <w:rFonts w:cs="Arial"/>
          <w:lang w:val="es-CO"/>
        </w:rPr>
        <w:t>pagarse</w:t>
      </w:r>
      <w:r>
        <w:rPr>
          <w:rFonts w:cs="Arial"/>
          <w:spacing w:val="10"/>
          <w:lang w:val="es-CO"/>
        </w:rPr>
        <w:t xml:space="preserve"> </w:t>
      </w:r>
      <w:r>
        <w:rPr>
          <w:rFonts w:cs="Arial"/>
          <w:lang w:val="es-CO"/>
        </w:rPr>
        <w:t>en</w:t>
      </w:r>
      <w:r>
        <w:rPr>
          <w:rFonts w:cs="Arial"/>
          <w:spacing w:val="21"/>
          <w:lang w:val="es-CO"/>
        </w:rPr>
        <w:t xml:space="preserve"> </w:t>
      </w:r>
      <w:r>
        <w:rPr>
          <w:rFonts w:cs="Arial"/>
          <w:lang w:val="es-CO"/>
        </w:rPr>
        <w:t>los</w:t>
      </w:r>
      <w:r>
        <w:rPr>
          <w:rFonts w:cs="Arial"/>
          <w:spacing w:val="10"/>
          <w:lang w:val="es-CO"/>
        </w:rPr>
        <w:t xml:space="preserve"> </w:t>
      </w:r>
      <w:r>
        <w:rPr>
          <w:rFonts w:cs="Arial"/>
          <w:lang w:val="es-CO"/>
        </w:rPr>
        <w:t>plazos</w:t>
      </w:r>
      <w:r>
        <w:rPr>
          <w:rFonts w:cs="Arial"/>
          <w:spacing w:val="15"/>
          <w:lang w:val="es-CO"/>
        </w:rPr>
        <w:t xml:space="preserve"> </w:t>
      </w:r>
      <w:r>
        <w:rPr>
          <w:rFonts w:cs="Arial"/>
          <w:lang w:val="es-CO"/>
        </w:rPr>
        <w:t>establecidos</w:t>
      </w:r>
      <w:r>
        <w:rPr>
          <w:rFonts w:cs="Arial"/>
          <w:spacing w:val="44"/>
          <w:lang w:val="es-CO"/>
        </w:rPr>
        <w:t xml:space="preserve"> </w:t>
      </w:r>
      <w:r>
        <w:rPr>
          <w:rFonts w:cs="Arial"/>
          <w:lang w:val="es-CO"/>
        </w:rPr>
        <w:t>para</w:t>
      </w:r>
      <w:r>
        <w:rPr>
          <w:rFonts w:cs="Arial"/>
          <w:spacing w:val="26"/>
          <w:lang w:val="es-CO"/>
        </w:rPr>
        <w:t xml:space="preserve"> </w:t>
      </w:r>
      <w:r>
        <w:rPr>
          <w:rFonts w:cs="Arial"/>
          <w:lang w:val="es-CO"/>
        </w:rPr>
        <w:t>la presentación</w:t>
      </w:r>
      <w:r>
        <w:rPr>
          <w:rFonts w:cs="Arial"/>
          <w:spacing w:val="55"/>
          <w:lang w:val="es-CO"/>
        </w:rPr>
        <w:t xml:space="preserve"> </w:t>
      </w:r>
      <w:r>
        <w:rPr>
          <w:rFonts w:cs="Arial"/>
          <w:lang w:val="es-CO"/>
        </w:rPr>
        <w:t>de</w:t>
      </w:r>
      <w:r>
        <w:rPr>
          <w:rFonts w:cs="Arial"/>
          <w:spacing w:val="40"/>
          <w:lang w:val="es-CO"/>
        </w:rPr>
        <w:t xml:space="preserve"> </w:t>
      </w:r>
      <w:r>
        <w:rPr>
          <w:rFonts w:cs="Arial"/>
          <w:lang w:val="es-CO"/>
        </w:rPr>
        <w:t>la</w:t>
      </w:r>
      <w:r>
        <w:rPr>
          <w:rFonts w:cs="Arial"/>
          <w:spacing w:val="33"/>
          <w:lang w:val="es-CO"/>
        </w:rPr>
        <w:t xml:space="preserve"> </w:t>
      </w:r>
      <w:r>
        <w:rPr>
          <w:rFonts w:cs="Arial"/>
          <w:lang w:val="es-CO"/>
        </w:rPr>
        <w:t>declaración</w:t>
      </w:r>
      <w:r>
        <w:rPr>
          <w:rFonts w:cs="Arial"/>
          <w:spacing w:val="51"/>
          <w:lang w:val="es-CO"/>
        </w:rPr>
        <w:t xml:space="preserve"> </w:t>
      </w:r>
      <w:r>
        <w:rPr>
          <w:rFonts w:cs="Arial"/>
          <w:lang w:val="es-CO"/>
        </w:rPr>
        <w:t>del</w:t>
      </w:r>
      <w:r>
        <w:rPr>
          <w:rFonts w:cs="Arial"/>
          <w:spacing w:val="36"/>
          <w:lang w:val="es-CO"/>
        </w:rPr>
        <w:t xml:space="preserve"> </w:t>
      </w:r>
      <w:r>
        <w:rPr>
          <w:rFonts w:cs="Arial"/>
          <w:lang w:val="es-CO"/>
        </w:rPr>
        <w:t>impuesto</w:t>
      </w:r>
      <w:r>
        <w:rPr>
          <w:rFonts w:cs="Arial"/>
          <w:spacing w:val="37"/>
          <w:lang w:val="es-CO"/>
        </w:rPr>
        <w:t xml:space="preserve"> </w:t>
      </w:r>
      <w:r>
        <w:rPr>
          <w:rFonts w:cs="Arial"/>
          <w:lang w:val="es-CO"/>
        </w:rPr>
        <w:t>sobre</w:t>
      </w:r>
      <w:r>
        <w:rPr>
          <w:rFonts w:cs="Arial"/>
          <w:spacing w:val="48"/>
          <w:lang w:val="es-CO"/>
        </w:rPr>
        <w:t xml:space="preserve"> </w:t>
      </w:r>
      <w:r>
        <w:rPr>
          <w:rFonts w:cs="Arial"/>
          <w:lang w:val="es-CO"/>
        </w:rPr>
        <w:t>la</w:t>
      </w:r>
      <w:r>
        <w:rPr>
          <w:rFonts w:cs="Arial"/>
          <w:spacing w:val="44"/>
          <w:lang w:val="es-CO"/>
        </w:rPr>
        <w:t xml:space="preserve"> </w:t>
      </w:r>
      <w:r>
        <w:rPr>
          <w:rFonts w:cs="Arial"/>
          <w:lang w:val="es-CO"/>
        </w:rPr>
        <w:t>renta</w:t>
      </w:r>
      <w:r>
        <w:rPr>
          <w:rFonts w:cs="Arial"/>
          <w:spacing w:val="30"/>
          <w:lang w:val="es-CO"/>
        </w:rPr>
        <w:t xml:space="preserve"> </w:t>
      </w:r>
      <w:r>
        <w:rPr>
          <w:rFonts w:cs="Arial"/>
          <w:lang w:val="es-CO"/>
        </w:rPr>
        <w:t>y</w:t>
      </w:r>
      <w:r>
        <w:rPr>
          <w:rFonts w:cs="Arial"/>
          <w:spacing w:val="42"/>
          <w:lang w:val="es-CO"/>
        </w:rPr>
        <w:t xml:space="preserve"> </w:t>
      </w:r>
      <w:r>
        <w:rPr>
          <w:rFonts w:cs="Arial"/>
          <w:lang w:val="es-CO"/>
        </w:rPr>
        <w:t>complementario</w:t>
      </w:r>
      <w:r>
        <w:rPr>
          <w:rFonts w:cs="Arial"/>
          <w:spacing w:val="50"/>
          <w:lang w:val="es-CO"/>
        </w:rPr>
        <w:t xml:space="preserve"> </w:t>
      </w:r>
      <w:r>
        <w:rPr>
          <w:rFonts w:cs="Arial"/>
          <w:lang w:val="es-CO"/>
        </w:rPr>
        <w:t>y</w:t>
      </w:r>
      <w:r>
        <w:rPr>
          <w:rFonts w:cs="Arial"/>
          <w:spacing w:val="43"/>
          <w:lang w:val="es-CO"/>
        </w:rPr>
        <w:t xml:space="preserve"> </w:t>
      </w:r>
      <w:r>
        <w:rPr>
          <w:rFonts w:cs="Arial"/>
          <w:lang w:val="es-CO"/>
        </w:rPr>
        <w:t>del</w:t>
      </w:r>
      <w:r>
        <w:rPr>
          <w:rFonts w:cs="Arial"/>
          <w:w w:val="102"/>
          <w:lang w:val="es-CO"/>
        </w:rPr>
        <w:t xml:space="preserve"> </w:t>
      </w:r>
      <w:r>
        <w:rPr>
          <w:rFonts w:cs="Arial"/>
          <w:lang w:val="es-CO"/>
        </w:rPr>
        <w:t>anticipo,</w:t>
      </w:r>
      <w:r>
        <w:rPr>
          <w:rFonts w:cs="Arial"/>
          <w:spacing w:val="1"/>
          <w:lang w:val="es-CO"/>
        </w:rPr>
        <w:t xml:space="preserve"> </w:t>
      </w:r>
      <w:r>
        <w:rPr>
          <w:rFonts w:cs="Arial"/>
          <w:lang w:val="es-CO"/>
        </w:rPr>
        <w:t>correspondientes</w:t>
      </w:r>
      <w:r>
        <w:rPr>
          <w:rFonts w:cs="Arial"/>
          <w:spacing w:val="23"/>
          <w:lang w:val="es-CO"/>
        </w:rPr>
        <w:t xml:space="preserve"> </w:t>
      </w:r>
      <w:r>
        <w:rPr>
          <w:rFonts w:cs="Arial"/>
          <w:lang w:val="es-CO"/>
        </w:rPr>
        <w:t>al</w:t>
      </w:r>
      <w:r>
        <w:rPr>
          <w:rFonts w:cs="Arial"/>
          <w:spacing w:val="-18"/>
          <w:lang w:val="es-CO"/>
        </w:rPr>
        <w:t xml:space="preserve"> </w:t>
      </w:r>
      <w:r>
        <w:rPr>
          <w:rFonts w:cs="Arial"/>
          <w:lang w:val="es-CO"/>
        </w:rPr>
        <w:t>año</w:t>
      </w:r>
      <w:r>
        <w:rPr>
          <w:rFonts w:cs="Arial"/>
          <w:spacing w:val="-6"/>
          <w:lang w:val="es-CO"/>
        </w:rPr>
        <w:t xml:space="preserve"> </w:t>
      </w:r>
      <w:r>
        <w:rPr>
          <w:rFonts w:cs="Arial"/>
          <w:lang w:val="es-CO"/>
        </w:rPr>
        <w:t>gravable</w:t>
      </w:r>
      <w:r>
        <w:rPr>
          <w:rFonts w:cs="Arial"/>
          <w:spacing w:val="11"/>
          <w:lang w:val="es-CO"/>
        </w:rPr>
        <w:t xml:space="preserve"> </w:t>
      </w:r>
      <w:r>
        <w:rPr>
          <w:rFonts w:cs="Arial"/>
          <w:lang w:val="es-CO"/>
        </w:rPr>
        <w:t>2015.</w:t>
      </w:r>
    </w:p>
    <w:p w14:paraId="1A6C3987" w14:textId="77777777" w:rsidR="00B2442D" w:rsidRDefault="00B2442D">
      <w:pPr>
        <w:spacing w:line="40" w:lineRule="atLeast"/>
        <w:ind w:right="-30"/>
        <w:jc w:val="both"/>
        <w:rPr>
          <w:rFonts w:ascii="Arial" w:hAnsi="Arial" w:cs="Arial"/>
          <w:lang w:val="es-CO"/>
        </w:rPr>
      </w:pPr>
    </w:p>
    <w:p w14:paraId="44E7C04B" w14:textId="77777777" w:rsidR="00B2442D" w:rsidRDefault="008A645F">
      <w:pPr>
        <w:jc w:val="both"/>
        <w:rPr>
          <w:rFonts w:ascii="Arial" w:hAnsi="Arial" w:cs="Arial"/>
          <w:i/>
          <w:lang w:val="es-ES_tradnl"/>
        </w:rPr>
      </w:pPr>
      <w:r>
        <w:rPr>
          <w:rFonts w:ascii="Arial" w:hAnsi="Arial" w:cs="Arial"/>
          <w:i/>
          <w:lang w:val="es-ES_tradnl"/>
        </w:rPr>
        <w:t xml:space="preserve">(Art. 42, Decreto 2243 de 2015) (Plazos 2015: Decreto 2623 de 2014; plazos 2014: Decreto 2972 de 2013 y Decreto 685 de 2014; plazos 2013: Decreto 2634 de 2012 y Decreto 0187 de </w:t>
      </w:r>
      <w:r>
        <w:rPr>
          <w:rFonts w:ascii="Arial" w:hAnsi="Arial" w:cs="Arial"/>
          <w:i/>
          <w:lang w:val="es-ES_tradnl"/>
        </w:rPr>
        <w:t>2013; plazos 2012: Decreto 4907 de 2011; plazos 2011: Decreto 4836 de 2010 y Decreto 1358 de 2011)</w:t>
      </w:r>
    </w:p>
    <w:p w14:paraId="09C8C555" w14:textId="77777777" w:rsidR="00B2442D" w:rsidRDefault="00B2442D">
      <w:pPr>
        <w:spacing w:line="40" w:lineRule="atLeast"/>
        <w:ind w:right="-30"/>
        <w:jc w:val="both"/>
        <w:rPr>
          <w:rFonts w:ascii="Arial" w:hAnsi="Arial" w:cs="Arial"/>
          <w:lang w:val="es-CO"/>
        </w:rPr>
      </w:pPr>
    </w:p>
    <w:p w14:paraId="7646F750" w14:textId="77777777" w:rsidR="00B2442D" w:rsidRDefault="008A645F">
      <w:pPr>
        <w:pStyle w:val="Textoindependiente"/>
        <w:spacing w:line="40" w:lineRule="atLeast"/>
        <w:ind w:right="-30"/>
        <w:jc w:val="center"/>
        <w:rPr>
          <w:rFonts w:cs="Arial"/>
          <w:b/>
          <w:lang w:val="es-CO"/>
        </w:rPr>
      </w:pPr>
      <w:r>
        <w:rPr>
          <w:rFonts w:cs="Arial"/>
          <w:b/>
          <w:lang w:val="es-CO"/>
        </w:rPr>
        <w:t>PLAZOS</w:t>
      </w:r>
      <w:r>
        <w:rPr>
          <w:rFonts w:cs="Arial"/>
          <w:b/>
          <w:spacing w:val="-9"/>
          <w:lang w:val="es-CO"/>
        </w:rPr>
        <w:t xml:space="preserve"> </w:t>
      </w:r>
      <w:r>
        <w:rPr>
          <w:rFonts w:cs="Arial"/>
          <w:b/>
          <w:lang w:val="es-CO"/>
        </w:rPr>
        <w:t>PARA</w:t>
      </w:r>
      <w:r>
        <w:rPr>
          <w:rFonts w:cs="Arial"/>
          <w:b/>
          <w:spacing w:val="-6"/>
          <w:lang w:val="es-CO"/>
        </w:rPr>
        <w:t xml:space="preserve"> </w:t>
      </w:r>
      <w:r>
        <w:rPr>
          <w:rFonts w:cs="Arial"/>
          <w:b/>
          <w:lang w:val="es-CO"/>
        </w:rPr>
        <w:t>EXPEDIR</w:t>
      </w:r>
      <w:r>
        <w:rPr>
          <w:rFonts w:cs="Arial"/>
          <w:b/>
          <w:spacing w:val="-1"/>
          <w:lang w:val="es-CO"/>
        </w:rPr>
        <w:t xml:space="preserve"> </w:t>
      </w:r>
      <w:r>
        <w:rPr>
          <w:rFonts w:cs="Arial"/>
          <w:b/>
          <w:lang w:val="es-CO"/>
        </w:rPr>
        <w:t>CERTIFICADOS</w:t>
      </w:r>
    </w:p>
    <w:p w14:paraId="1B8AA310" w14:textId="77777777" w:rsidR="00B2442D" w:rsidRDefault="00B2442D">
      <w:pPr>
        <w:spacing w:line="40" w:lineRule="atLeast"/>
        <w:ind w:right="-30"/>
        <w:jc w:val="both"/>
        <w:rPr>
          <w:rFonts w:ascii="Arial" w:hAnsi="Arial" w:cs="Arial"/>
          <w:lang w:val="es-CO"/>
        </w:rPr>
      </w:pPr>
    </w:p>
    <w:p w14:paraId="309E5EFA"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Obligación</w:t>
      </w:r>
      <w:r>
        <w:rPr>
          <w:rFonts w:cs="Arial"/>
          <w:b/>
          <w:i/>
          <w:spacing w:val="22"/>
          <w:lang w:val="es-CO"/>
        </w:rPr>
        <w:t xml:space="preserve"> </w:t>
      </w:r>
      <w:r>
        <w:rPr>
          <w:rFonts w:cs="Arial"/>
          <w:b/>
          <w:i/>
          <w:lang w:val="es-CO"/>
        </w:rPr>
        <w:t>de</w:t>
      </w:r>
      <w:r>
        <w:rPr>
          <w:rFonts w:cs="Arial"/>
          <w:b/>
          <w:i/>
          <w:spacing w:val="7"/>
          <w:lang w:val="es-CO"/>
        </w:rPr>
        <w:t xml:space="preserve"> </w:t>
      </w:r>
      <w:r>
        <w:rPr>
          <w:rFonts w:cs="Arial"/>
          <w:b/>
          <w:i/>
          <w:lang w:val="es-CO"/>
        </w:rPr>
        <w:t>expedir</w:t>
      </w:r>
      <w:r>
        <w:rPr>
          <w:rFonts w:cs="Arial"/>
          <w:b/>
          <w:i/>
          <w:spacing w:val="25"/>
          <w:lang w:val="es-CO"/>
        </w:rPr>
        <w:t xml:space="preserve"> </w:t>
      </w:r>
      <w:r>
        <w:rPr>
          <w:rFonts w:cs="Arial"/>
          <w:b/>
          <w:i/>
          <w:lang w:val="es-CO"/>
        </w:rPr>
        <w:t>certificados</w:t>
      </w:r>
      <w:r>
        <w:rPr>
          <w:rFonts w:cs="Arial"/>
          <w:b/>
          <w:i/>
          <w:spacing w:val="51"/>
          <w:lang w:val="es-CO"/>
        </w:rPr>
        <w:t xml:space="preserve"> </w:t>
      </w:r>
      <w:r>
        <w:rPr>
          <w:rFonts w:cs="Arial"/>
          <w:b/>
          <w:i/>
          <w:lang w:val="es-CO"/>
        </w:rPr>
        <w:t>por</w:t>
      </w:r>
      <w:r>
        <w:rPr>
          <w:rFonts w:cs="Arial"/>
          <w:b/>
          <w:i/>
          <w:spacing w:val="14"/>
          <w:lang w:val="es-CO"/>
        </w:rPr>
        <w:t xml:space="preserve"> </w:t>
      </w:r>
      <w:r>
        <w:rPr>
          <w:rFonts w:cs="Arial"/>
          <w:b/>
          <w:i/>
          <w:lang w:val="es-CO"/>
        </w:rPr>
        <w:t>parte</w:t>
      </w:r>
      <w:r>
        <w:rPr>
          <w:rFonts w:cs="Arial"/>
          <w:b/>
          <w:i/>
          <w:spacing w:val="24"/>
          <w:lang w:val="es-CO"/>
        </w:rPr>
        <w:t xml:space="preserve"> </w:t>
      </w:r>
      <w:r>
        <w:rPr>
          <w:rFonts w:cs="Arial"/>
          <w:b/>
          <w:i/>
          <w:lang w:val="es-CO"/>
        </w:rPr>
        <w:t>del</w:t>
      </w:r>
      <w:r>
        <w:rPr>
          <w:rFonts w:cs="Arial"/>
          <w:b/>
          <w:i/>
          <w:w w:val="103"/>
          <w:lang w:val="es-CO"/>
        </w:rPr>
        <w:t xml:space="preserve"> </w:t>
      </w:r>
      <w:r>
        <w:rPr>
          <w:rFonts w:cs="Arial"/>
          <w:b/>
          <w:i/>
          <w:lang w:val="es-CO"/>
        </w:rPr>
        <w:t>agente</w:t>
      </w:r>
      <w:r>
        <w:rPr>
          <w:rFonts w:cs="Arial"/>
          <w:b/>
          <w:i/>
          <w:spacing w:val="34"/>
          <w:lang w:val="es-CO"/>
        </w:rPr>
        <w:t xml:space="preserve"> </w:t>
      </w:r>
      <w:r>
        <w:rPr>
          <w:rFonts w:cs="Arial"/>
          <w:b/>
          <w:i/>
          <w:lang w:val="es-CO"/>
        </w:rPr>
        <w:t>retenedor</w:t>
      </w:r>
      <w:r>
        <w:rPr>
          <w:rFonts w:cs="Arial"/>
          <w:b/>
          <w:i/>
          <w:spacing w:val="36"/>
          <w:lang w:val="es-CO"/>
        </w:rPr>
        <w:t xml:space="preserve"> </w:t>
      </w:r>
      <w:r>
        <w:rPr>
          <w:rFonts w:cs="Arial"/>
          <w:b/>
          <w:i/>
          <w:lang w:val="es-CO"/>
        </w:rPr>
        <w:t>del</w:t>
      </w:r>
      <w:r>
        <w:rPr>
          <w:rFonts w:cs="Arial"/>
          <w:b/>
          <w:i/>
          <w:spacing w:val="2"/>
          <w:lang w:val="es-CO"/>
        </w:rPr>
        <w:t xml:space="preserve"> </w:t>
      </w:r>
      <w:r>
        <w:rPr>
          <w:rFonts w:cs="Arial"/>
          <w:b/>
          <w:i/>
          <w:lang w:val="es-CO"/>
        </w:rPr>
        <w:t>impuesto</w:t>
      </w:r>
      <w:r>
        <w:rPr>
          <w:rFonts w:cs="Arial"/>
          <w:b/>
          <w:i/>
          <w:spacing w:val="7"/>
          <w:lang w:val="es-CO"/>
        </w:rPr>
        <w:t xml:space="preserve"> </w:t>
      </w:r>
      <w:r>
        <w:rPr>
          <w:rFonts w:cs="Arial"/>
          <w:b/>
          <w:i/>
          <w:lang w:val="es-CO"/>
        </w:rPr>
        <w:t>sobre</w:t>
      </w:r>
      <w:r>
        <w:rPr>
          <w:rFonts w:cs="Arial"/>
          <w:b/>
          <w:i/>
          <w:spacing w:val="22"/>
          <w:lang w:val="es-CO"/>
        </w:rPr>
        <w:t xml:space="preserve"> </w:t>
      </w:r>
      <w:r>
        <w:rPr>
          <w:rFonts w:cs="Arial"/>
          <w:b/>
          <w:i/>
          <w:lang w:val="es-CO"/>
        </w:rPr>
        <w:t>la renta y</w:t>
      </w:r>
      <w:r>
        <w:rPr>
          <w:rFonts w:cs="Arial"/>
          <w:b/>
          <w:i/>
          <w:w w:val="98"/>
          <w:lang w:val="es-CO"/>
        </w:rPr>
        <w:t xml:space="preserve"> </w:t>
      </w:r>
      <w:r>
        <w:rPr>
          <w:rFonts w:cs="Arial"/>
          <w:b/>
          <w:i/>
          <w:lang w:val="es-CO"/>
        </w:rPr>
        <w:t>complementario,</w:t>
      </w:r>
      <w:r>
        <w:rPr>
          <w:rFonts w:cs="Arial"/>
          <w:b/>
          <w:i/>
          <w:spacing w:val="52"/>
          <w:lang w:val="es-CO"/>
        </w:rPr>
        <w:t xml:space="preserve"> </w:t>
      </w:r>
      <w:r>
        <w:rPr>
          <w:rFonts w:cs="Arial"/>
          <w:b/>
          <w:i/>
          <w:lang w:val="es-CO"/>
        </w:rPr>
        <w:t>impuesto</w:t>
      </w:r>
      <w:r>
        <w:rPr>
          <w:rFonts w:cs="Arial"/>
          <w:b/>
          <w:i/>
          <w:spacing w:val="2"/>
          <w:lang w:val="es-CO"/>
        </w:rPr>
        <w:t xml:space="preserve"> </w:t>
      </w:r>
      <w:r>
        <w:rPr>
          <w:rFonts w:cs="Arial"/>
          <w:b/>
          <w:i/>
          <w:lang w:val="es-CO"/>
        </w:rPr>
        <w:t>sobre</w:t>
      </w:r>
      <w:r>
        <w:rPr>
          <w:rFonts w:cs="Arial"/>
          <w:b/>
          <w:i/>
          <w:spacing w:val="19"/>
          <w:lang w:val="es-CO"/>
        </w:rPr>
        <w:t xml:space="preserve"> </w:t>
      </w:r>
      <w:r>
        <w:rPr>
          <w:rFonts w:cs="Arial"/>
          <w:b/>
          <w:i/>
          <w:lang w:val="es-CO"/>
        </w:rPr>
        <w:t>la</w:t>
      </w:r>
      <w:r>
        <w:rPr>
          <w:rFonts w:cs="Arial"/>
          <w:b/>
          <w:i/>
          <w:spacing w:val="9"/>
          <w:lang w:val="es-CO"/>
        </w:rPr>
        <w:t xml:space="preserve"> </w:t>
      </w:r>
      <w:r>
        <w:rPr>
          <w:rFonts w:cs="Arial"/>
          <w:b/>
          <w:i/>
          <w:lang w:val="es-CO"/>
        </w:rPr>
        <w:t>renta</w:t>
      </w:r>
      <w:r>
        <w:rPr>
          <w:rFonts w:cs="Arial"/>
          <w:b/>
          <w:i/>
          <w:spacing w:val="17"/>
          <w:lang w:val="es-CO"/>
        </w:rPr>
        <w:t xml:space="preserve"> </w:t>
      </w:r>
      <w:r>
        <w:rPr>
          <w:rFonts w:cs="Arial"/>
          <w:b/>
          <w:i/>
          <w:lang w:val="es-CO"/>
        </w:rPr>
        <w:t>para</w:t>
      </w:r>
      <w:r>
        <w:rPr>
          <w:rFonts w:cs="Arial"/>
          <w:b/>
          <w:i/>
          <w:spacing w:val="15"/>
          <w:lang w:val="es-CO"/>
        </w:rPr>
        <w:t xml:space="preserve"> </w:t>
      </w:r>
      <w:r>
        <w:rPr>
          <w:rFonts w:cs="Arial"/>
          <w:b/>
          <w:i/>
          <w:lang w:val="es-CO"/>
        </w:rPr>
        <w:t>la</w:t>
      </w:r>
      <w:r>
        <w:rPr>
          <w:rFonts w:cs="Arial"/>
          <w:b/>
          <w:i/>
          <w:spacing w:val="10"/>
          <w:lang w:val="es-CO"/>
        </w:rPr>
        <w:t xml:space="preserve"> </w:t>
      </w:r>
      <w:r>
        <w:rPr>
          <w:rFonts w:cs="Arial"/>
          <w:b/>
          <w:i/>
          <w:lang w:val="es-CO"/>
        </w:rPr>
        <w:t>equidad,</w:t>
      </w:r>
      <w:r>
        <w:rPr>
          <w:rFonts w:cs="Arial"/>
          <w:b/>
          <w:i/>
          <w:spacing w:val="10"/>
          <w:lang w:val="es-CO"/>
        </w:rPr>
        <w:t xml:space="preserve"> </w:t>
      </w:r>
      <w:r>
        <w:rPr>
          <w:rFonts w:cs="Arial"/>
          <w:b/>
          <w:i/>
          <w:lang w:val="es-CO"/>
        </w:rPr>
        <w:t>cree</w:t>
      </w:r>
      <w:r>
        <w:rPr>
          <w:rFonts w:cs="Arial"/>
          <w:b/>
          <w:i/>
          <w:spacing w:val="6"/>
          <w:lang w:val="es-CO"/>
        </w:rPr>
        <w:t xml:space="preserve"> </w:t>
      </w:r>
      <w:r>
        <w:rPr>
          <w:rFonts w:cs="Arial"/>
          <w:b/>
          <w:i/>
          <w:lang w:val="es-CO"/>
        </w:rPr>
        <w:t>y del</w:t>
      </w:r>
      <w:r>
        <w:rPr>
          <w:rFonts w:cs="Arial"/>
          <w:b/>
          <w:i/>
          <w:spacing w:val="22"/>
          <w:lang w:val="es-CO"/>
        </w:rPr>
        <w:t xml:space="preserve"> </w:t>
      </w:r>
      <w:r>
        <w:rPr>
          <w:rFonts w:cs="Arial"/>
          <w:b/>
          <w:i/>
          <w:lang w:val="es-CO"/>
        </w:rPr>
        <w:t>gravamen</w:t>
      </w:r>
      <w:r>
        <w:rPr>
          <w:rFonts w:cs="Arial"/>
          <w:b/>
          <w:i/>
          <w:spacing w:val="40"/>
          <w:lang w:val="es-CO"/>
        </w:rPr>
        <w:t xml:space="preserve"> </w:t>
      </w:r>
      <w:r>
        <w:rPr>
          <w:rFonts w:cs="Arial"/>
          <w:b/>
          <w:i/>
          <w:lang w:val="es-CO"/>
        </w:rPr>
        <w:t>a</w:t>
      </w:r>
      <w:r>
        <w:rPr>
          <w:rFonts w:cs="Arial"/>
          <w:b/>
          <w:i/>
          <w:spacing w:val="43"/>
          <w:lang w:val="es-CO"/>
        </w:rPr>
        <w:t xml:space="preserve"> </w:t>
      </w:r>
      <w:r>
        <w:rPr>
          <w:rFonts w:cs="Arial"/>
          <w:b/>
          <w:i/>
          <w:lang w:val="es-CO"/>
        </w:rPr>
        <w:t>los</w:t>
      </w:r>
      <w:r>
        <w:rPr>
          <w:rFonts w:cs="Arial"/>
          <w:b/>
          <w:i/>
          <w:spacing w:val="23"/>
          <w:lang w:val="es-CO"/>
        </w:rPr>
        <w:t xml:space="preserve"> </w:t>
      </w:r>
      <w:r>
        <w:rPr>
          <w:rFonts w:cs="Arial"/>
          <w:b/>
          <w:i/>
          <w:lang w:val="es-CO"/>
        </w:rPr>
        <w:t>movimientos</w:t>
      </w:r>
      <w:r>
        <w:rPr>
          <w:rFonts w:cs="Arial"/>
          <w:b/>
          <w:i/>
          <w:spacing w:val="44"/>
          <w:lang w:val="es-CO"/>
        </w:rPr>
        <w:t xml:space="preserve"> </w:t>
      </w:r>
      <w:r>
        <w:rPr>
          <w:rFonts w:cs="Arial"/>
          <w:b/>
          <w:i/>
          <w:lang w:val="es-CO"/>
        </w:rPr>
        <w:t>financieros.</w:t>
      </w:r>
      <w:r>
        <w:rPr>
          <w:rFonts w:cs="Arial"/>
          <w:spacing w:val="45"/>
          <w:lang w:val="es-CO"/>
        </w:rPr>
        <w:t xml:space="preserve"> </w:t>
      </w:r>
      <w:r>
        <w:rPr>
          <w:rFonts w:cs="Arial"/>
          <w:lang w:val="es-CO"/>
        </w:rPr>
        <w:t xml:space="preserve">Los agentes retenedores del impuesto sobre la renta y complementario y los del Gravamen a los Movimientos Financieros- GMF deberán expedir, a más </w:t>
      </w:r>
      <w:r>
        <w:rPr>
          <w:rFonts w:cs="Arial"/>
          <w:lang w:val="es-CO"/>
        </w:rPr>
        <w:t>tardar el 17 de marzo de 2017, los siguientes certificados por el año gravable 2016:</w:t>
      </w:r>
    </w:p>
    <w:p w14:paraId="46AE5F35" w14:textId="77777777" w:rsidR="00B2442D" w:rsidRDefault="00B2442D">
      <w:pPr>
        <w:spacing w:line="40" w:lineRule="atLeast"/>
        <w:ind w:right="-30"/>
        <w:jc w:val="both"/>
        <w:rPr>
          <w:rFonts w:ascii="Arial" w:hAnsi="Arial" w:cs="Arial"/>
          <w:highlight w:val="yellow"/>
          <w:lang w:val="es-CO"/>
        </w:rPr>
      </w:pPr>
    </w:p>
    <w:p w14:paraId="2A874B8C" w14:textId="77777777" w:rsidR="00B2442D" w:rsidRDefault="008A645F">
      <w:pPr>
        <w:numPr>
          <w:ilvl w:val="0"/>
          <w:numId w:val="208"/>
        </w:numPr>
        <w:autoSpaceDE w:val="0"/>
        <w:autoSpaceDN w:val="0"/>
        <w:adjustRightInd w:val="0"/>
        <w:spacing w:line="40" w:lineRule="atLeast"/>
        <w:ind w:left="284" w:hanging="284"/>
        <w:jc w:val="both"/>
        <w:rPr>
          <w:rFonts w:ascii="Arial" w:hAnsi="Arial" w:cs="Arial"/>
          <w:color w:val="000000"/>
        </w:rPr>
      </w:pPr>
      <w:r>
        <w:rPr>
          <w:rFonts w:ascii="Arial" w:hAnsi="Arial" w:cs="Arial"/>
          <w:color w:val="000000"/>
        </w:rPr>
        <w:t>Los certificados de ingresos y retenciones por concepto de pagos originados en la relación laboral o legal y reglamentaria a que se refiere el artículo 378</w:t>
      </w:r>
      <w:r>
        <w:rPr>
          <w:rFonts w:ascii="Arial" w:hAnsi="Arial" w:cs="Arial"/>
          <w:vanish/>
          <w:color w:val="000000"/>
        </w:rPr>
        <w:t>121</w:t>
      </w:r>
      <w:r>
        <w:rPr>
          <w:rFonts w:ascii="Arial" w:hAnsi="Arial" w:cs="Arial"/>
          <w:color w:val="000000"/>
        </w:rPr>
        <w:t xml:space="preserve"> del Estatut</w:t>
      </w:r>
      <w:r>
        <w:rPr>
          <w:rFonts w:ascii="Arial" w:hAnsi="Arial" w:cs="Arial"/>
          <w:color w:val="000000"/>
        </w:rPr>
        <w:t>o Tributario.</w:t>
      </w:r>
    </w:p>
    <w:p w14:paraId="236A04CA" w14:textId="77777777" w:rsidR="00B2442D" w:rsidRDefault="00B2442D">
      <w:pPr>
        <w:autoSpaceDE w:val="0"/>
        <w:autoSpaceDN w:val="0"/>
        <w:adjustRightInd w:val="0"/>
        <w:spacing w:line="40" w:lineRule="atLeast"/>
        <w:ind w:left="284" w:hanging="284"/>
        <w:jc w:val="both"/>
        <w:rPr>
          <w:rFonts w:ascii="Arial" w:hAnsi="Arial" w:cs="Arial"/>
          <w:color w:val="000000"/>
        </w:rPr>
      </w:pPr>
    </w:p>
    <w:p w14:paraId="35468570" w14:textId="77777777" w:rsidR="00B2442D" w:rsidRDefault="008A645F">
      <w:pPr>
        <w:numPr>
          <w:ilvl w:val="0"/>
          <w:numId w:val="208"/>
        </w:numPr>
        <w:autoSpaceDE w:val="0"/>
        <w:autoSpaceDN w:val="0"/>
        <w:adjustRightInd w:val="0"/>
        <w:spacing w:line="40" w:lineRule="atLeast"/>
        <w:ind w:left="284" w:hanging="284"/>
        <w:jc w:val="both"/>
        <w:rPr>
          <w:rFonts w:ascii="Arial" w:hAnsi="Arial" w:cs="Arial"/>
          <w:color w:val="000000"/>
        </w:rPr>
      </w:pPr>
      <w:r>
        <w:rPr>
          <w:rFonts w:ascii="Arial" w:hAnsi="Arial" w:cs="Arial"/>
          <w:color w:val="000000"/>
        </w:rPr>
        <w:t>Los certificados de retenciones por conceptos distintos a pagos originados en la relación laboral o legal y reglamentaria, a que se refiere el artículo 381</w:t>
      </w:r>
      <w:r>
        <w:rPr>
          <w:rFonts w:ascii="Arial" w:hAnsi="Arial" w:cs="Arial"/>
          <w:vanish/>
          <w:color w:val="000000"/>
        </w:rPr>
        <w:t>122</w:t>
      </w:r>
      <w:r>
        <w:rPr>
          <w:rFonts w:ascii="Arial" w:hAnsi="Arial" w:cs="Arial"/>
          <w:color w:val="000000"/>
        </w:rPr>
        <w:t xml:space="preserve"> del Estatuto Tributario y del Gravamen a los Movimientos Financieros -GMF.</w:t>
      </w:r>
    </w:p>
    <w:p w14:paraId="6D79DB2C" w14:textId="77777777" w:rsidR="00B2442D" w:rsidRDefault="00B2442D">
      <w:pPr>
        <w:pStyle w:val="Prrafodelista"/>
        <w:ind w:left="852" w:hanging="426"/>
        <w:jc w:val="both"/>
        <w:rPr>
          <w:rFonts w:ascii="Arial" w:hAnsi="Arial" w:cs="Arial"/>
          <w:color w:val="000000"/>
        </w:rPr>
      </w:pPr>
    </w:p>
    <w:p w14:paraId="76DA1DBE"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w:t>
      </w:r>
      <w:r>
        <w:rPr>
          <w:rFonts w:ascii="Arial" w:hAnsi="Arial" w:cs="Arial"/>
          <w:b/>
        </w:rPr>
        <w:t>afo 1</w:t>
      </w:r>
      <w:r>
        <w:rPr>
          <w:rFonts w:ascii="Arial" w:hAnsi="Arial" w:cs="Arial"/>
          <w:color w:val="000080"/>
        </w:rPr>
        <w:t>.</w:t>
      </w:r>
      <w:r>
        <w:rPr>
          <w:rFonts w:ascii="Arial" w:hAnsi="Arial" w:cs="Arial"/>
          <w:color w:val="000000"/>
        </w:rPr>
        <w:t xml:space="preserve"> La certificación del valor patrimonial de los aportes y acciones, así como de las participaciones y dividendos gravados o no gravados abonados en cuenta en calidad de exigibles para los respectivos socios, comuneros, cooperados, asociados o accionistas, d</w:t>
      </w:r>
      <w:r>
        <w:rPr>
          <w:rFonts w:ascii="Arial" w:hAnsi="Arial" w:cs="Arial"/>
          <w:color w:val="000000"/>
        </w:rPr>
        <w:t>eberá expedirse dentro de los quince (15) días calendario siguientes a la fecha de la solicitud.</w:t>
      </w:r>
    </w:p>
    <w:p w14:paraId="28B3FE7B" w14:textId="77777777" w:rsidR="00B2442D" w:rsidRDefault="00B2442D">
      <w:pPr>
        <w:autoSpaceDE w:val="0"/>
        <w:autoSpaceDN w:val="0"/>
        <w:adjustRightInd w:val="0"/>
        <w:spacing w:line="40" w:lineRule="atLeast"/>
        <w:ind w:left="426"/>
        <w:jc w:val="both"/>
        <w:rPr>
          <w:rFonts w:ascii="Arial" w:hAnsi="Arial" w:cs="Arial"/>
          <w:color w:val="000000"/>
        </w:rPr>
      </w:pPr>
    </w:p>
    <w:p w14:paraId="1C368349"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 2.</w:t>
      </w:r>
      <w:r>
        <w:rPr>
          <w:rFonts w:ascii="Arial" w:hAnsi="Arial" w:cs="Arial"/>
          <w:color w:val="000000"/>
        </w:rPr>
        <w:t xml:space="preserve"> Los certificados sobre la parte no gravada de los rendimientos financieros pagados a los ahorradores, a que se refiere el artículo 622</w:t>
      </w:r>
      <w:r>
        <w:rPr>
          <w:rFonts w:ascii="Arial" w:hAnsi="Arial" w:cs="Arial"/>
          <w:vanish/>
          <w:color w:val="000000"/>
        </w:rPr>
        <w:t>123</w:t>
      </w:r>
      <w:r>
        <w:rPr>
          <w:rFonts w:ascii="Arial" w:hAnsi="Arial" w:cs="Arial"/>
          <w:color w:val="000000"/>
        </w:rPr>
        <w:t xml:space="preserve"> del Estatuto Tributario, deberán expedirse y entregarse dentro de los quince (15) días calendario siguientes a la fec</w:t>
      </w:r>
      <w:r>
        <w:rPr>
          <w:rFonts w:ascii="Arial" w:hAnsi="Arial" w:cs="Arial"/>
          <w:color w:val="000000"/>
        </w:rPr>
        <w:t>ha de la solicitud por parte del ahorrador.</w:t>
      </w:r>
    </w:p>
    <w:p w14:paraId="72574FBF" w14:textId="77777777" w:rsidR="00B2442D" w:rsidRDefault="00B2442D">
      <w:pPr>
        <w:autoSpaceDE w:val="0"/>
        <w:autoSpaceDN w:val="0"/>
        <w:adjustRightInd w:val="0"/>
        <w:spacing w:line="40" w:lineRule="atLeast"/>
        <w:ind w:left="426"/>
        <w:jc w:val="both"/>
        <w:rPr>
          <w:rFonts w:ascii="Arial" w:hAnsi="Arial" w:cs="Arial"/>
        </w:rPr>
      </w:pPr>
    </w:p>
    <w:p w14:paraId="1A9B567D"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b/>
        </w:rPr>
        <w:t>Parágrafo 3.</w:t>
      </w:r>
      <w:r>
        <w:rPr>
          <w:rFonts w:ascii="Arial" w:hAnsi="Arial" w:cs="Arial"/>
          <w:color w:val="000000"/>
        </w:rPr>
        <w:t xml:space="preserve"> Cuando se trate de autorretenedores, el certificado deberá contener la constancia expresa sobre la fecha de la declaración y pago de la retención respectiva.</w:t>
      </w:r>
    </w:p>
    <w:p w14:paraId="5451B5E0" w14:textId="77777777" w:rsidR="00B2442D" w:rsidRDefault="00B2442D">
      <w:pPr>
        <w:autoSpaceDE w:val="0"/>
        <w:autoSpaceDN w:val="0"/>
        <w:adjustRightInd w:val="0"/>
        <w:spacing w:line="40" w:lineRule="atLeast"/>
        <w:ind w:left="426"/>
        <w:jc w:val="both"/>
        <w:rPr>
          <w:rStyle w:val="nfasis"/>
          <w:rFonts w:ascii="Arial" w:hAnsi="Arial" w:cs="Arial"/>
          <w:b/>
          <w:i w:val="0"/>
        </w:rPr>
      </w:pPr>
    </w:p>
    <w:p w14:paraId="5DBB429E" w14:textId="77777777" w:rsidR="00B2442D" w:rsidRDefault="008A645F">
      <w:pPr>
        <w:autoSpaceDE w:val="0"/>
        <w:autoSpaceDN w:val="0"/>
        <w:adjustRightInd w:val="0"/>
        <w:spacing w:line="40" w:lineRule="atLeast"/>
        <w:jc w:val="both"/>
        <w:rPr>
          <w:rStyle w:val="nfasis"/>
          <w:rFonts w:ascii="Arial" w:hAnsi="Arial" w:cs="Arial"/>
          <w:i w:val="0"/>
        </w:rPr>
      </w:pPr>
      <w:r>
        <w:rPr>
          <w:rStyle w:val="nfasis"/>
          <w:rFonts w:ascii="Arial" w:hAnsi="Arial" w:cs="Arial"/>
          <w:b/>
          <w:i w:val="0"/>
        </w:rPr>
        <w:t>Parágrafo 4.</w:t>
      </w:r>
      <w:r>
        <w:rPr>
          <w:rStyle w:val="nfasis"/>
          <w:rFonts w:ascii="Arial" w:hAnsi="Arial" w:cs="Arial"/>
          <w:i w:val="0"/>
        </w:rPr>
        <w:t xml:space="preserve"> Las sociedades fiduciarias</w:t>
      </w:r>
      <w:r>
        <w:rPr>
          <w:rStyle w:val="nfasis"/>
          <w:rFonts w:ascii="Arial" w:hAnsi="Arial" w:cs="Arial"/>
          <w:i w:val="0"/>
        </w:rPr>
        <w:t>, las sociedades administradoras de fondos de inversión colectiva o las sociedades administradoras de fondos de pensiones voluntarias, o las entidades aseguradoras de vida, según corresponda, expedirán las certificaciones a que se refiere el Parágrafo 3 de</w:t>
      </w:r>
      <w:r>
        <w:rPr>
          <w:rStyle w:val="nfasis"/>
          <w:rFonts w:ascii="Arial" w:hAnsi="Arial" w:cs="Arial"/>
          <w:i w:val="0"/>
        </w:rPr>
        <w:t>l artículo 295-2 del Estatuto Tributario dentro de los quince (15) días calendario siguientes a la solicitud.</w:t>
      </w:r>
    </w:p>
    <w:p w14:paraId="73F784FB" w14:textId="77777777" w:rsidR="00B2442D" w:rsidRDefault="00B2442D">
      <w:pPr>
        <w:autoSpaceDE w:val="0"/>
        <w:autoSpaceDN w:val="0"/>
        <w:adjustRightInd w:val="0"/>
        <w:spacing w:line="40" w:lineRule="atLeast"/>
        <w:ind w:left="426"/>
        <w:jc w:val="both"/>
        <w:rPr>
          <w:rFonts w:ascii="Arial" w:hAnsi="Arial" w:cs="Arial"/>
          <w:color w:val="000000"/>
        </w:rPr>
      </w:pPr>
    </w:p>
    <w:p w14:paraId="79B58C5D" w14:textId="77777777" w:rsidR="00B2442D" w:rsidRDefault="008A645F">
      <w:pPr>
        <w:autoSpaceDE w:val="0"/>
        <w:autoSpaceDN w:val="0"/>
        <w:adjustRightInd w:val="0"/>
        <w:spacing w:line="40" w:lineRule="atLeast"/>
        <w:jc w:val="both"/>
        <w:rPr>
          <w:rFonts w:ascii="Arial" w:hAnsi="Arial" w:cs="Arial"/>
          <w:i/>
        </w:rPr>
      </w:pPr>
      <w:r>
        <w:rPr>
          <w:rFonts w:ascii="Arial" w:hAnsi="Arial" w:cs="Arial"/>
          <w:i/>
        </w:rPr>
        <w:t>(</w:t>
      </w:r>
      <w:hyperlink r:id="rId76" w:history="1">
        <w:r>
          <w:rPr>
            <w:rStyle w:val="Hipervnculo"/>
            <w:rFonts w:ascii="Arial" w:hAnsi="Arial" w:cs="Arial"/>
            <w:i/>
          </w:rPr>
          <w:t>Art. 32 Decreto 2105 de 2016</w:t>
        </w:r>
      </w:hyperlink>
      <w:r>
        <w:rPr>
          <w:rFonts w:ascii="Arial" w:hAnsi="Arial" w:cs="Arial"/>
          <w:i/>
        </w:rPr>
        <w:t>, plazos 20</w:t>
      </w:r>
      <w:r>
        <w:rPr>
          <w:rFonts w:ascii="Arial" w:hAnsi="Arial" w:cs="Arial"/>
          <w:i/>
        </w:rPr>
        <w:t>16: Decreto 2243 de 2015; p</w:t>
      </w:r>
      <w:r>
        <w:rPr>
          <w:rFonts w:ascii="Arial" w:hAnsi="Arial" w:cs="Arial"/>
          <w:i/>
          <w:iCs/>
          <w:color w:val="000000"/>
          <w:lang w:val="es-CO" w:eastAsia="es-CO"/>
        </w:rPr>
        <w:t>lazos 2015: Decreto 2623</w:t>
      </w:r>
      <w:r>
        <w:rPr>
          <w:rFonts w:ascii="Arial" w:hAnsi="Arial" w:cs="Arial"/>
          <w:i/>
          <w:iCs/>
          <w:vanish/>
          <w:color w:val="000000"/>
          <w:lang w:val="es-CO" w:eastAsia="es-CO"/>
        </w:rPr>
        <w:t>7140</w:t>
      </w:r>
      <w:r>
        <w:rPr>
          <w:rFonts w:ascii="Arial" w:hAnsi="Arial" w:cs="Arial"/>
          <w:i/>
          <w:iCs/>
          <w:color w:val="000000"/>
          <w:lang w:val="es-CO" w:eastAsia="es-CO"/>
        </w:rPr>
        <w:t xml:space="preserve"> de 2014; plazos 2014: Decreto 2972</w:t>
      </w:r>
      <w:r>
        <w:rPr>
          <w:rFonts w:ascii="Arial" w:hAnsi="Arial" w:cs="Arial"/>
          <w:i/>
          <w:iCs/>
          <w:vanish/>
          <w:color w:val="000000"/>
          <w:lang w:val="es-CO" w:eastAsia="es-CO"/>
        </w:rPr>
        <w:t>7141</w:t>
      </w:r>
      <w:r>
        <w:rPr>
          <w:rFonts w:ascii="Arial" w:hAnsi="Arial" w:cs="Arial"/>
          <w:i/>
          <w:iCs/>
          <w:color w:val="000000"/>
          <w:lang w:val="es-CO" w:eastAsia="es-CO"/>
        </w:rPr>
        <w:t xml:space="preserve"> de 2013 y Decreto 685</w:t>
      </w:r>
      <w:r>
        <w:rPr>
          <w:rFonts w:ascii="Arial" w:hAnsi="Arial" w:cs="Arial"/>
          <w:i/>
          <w:iCs/>
          <w:vanish/>
          <w:color w:val="000000"/>
          <w:lang w:val="es-CO" w:eastAsia="es-CO"/>
        </w:rPr>
        <w:t>7142</w:t>
      </w:r>
      <w:r>
        <w:rPr>
          <w:rFonts w:ascii="Arial" w:hAnsi="Arial" w:cs="Arial"/>
          <w:i/>
          <w:iCs/>
          <w:color w:val="000000"/>
          <w:lang w:val="es-CO" w:eastAsia="es-CO"/>
        </w:rPr>
        <w:t xml:space="preserve"> de 2014; plazos 2013: Decreto 2634</w:t>
      </w:r>
      <w:r>
        <w:rPr>
          <w:rFonts w:ascii="Arial" w:hAnsi="Arial" w:cs="Arial"/>
          <w:i/>
          <w:iCs/>
          <w:vanish/>
          <w:color w:val="000000"/>
          <w:lang w:val="es-CO" w:eastAsia="es-CO"/>
        </w:rPr>
        <w:t>7143</w:t>
      </w:r>
      <w:r>
        <w:rPr>
          <w:rFonts w:ascii="Arial" w:hAnsi="Arial" w:cs="Arial"/>
          <w:i/>
          <w:iCs/>
          <w:color w:val="000000"/>
          <w:lang w:val="es-CO" w:eastAsia="es-CO"/>
        </w:rPr>
        <w:t xml:space="preserve"> de 2012 y Decreto 0187</w:t>
      </w:r>
      <w:r>
        <w:rPr>
          <w:rFonts w:ascii="Arial" w:hAnsi="Arial" w:cs="Arial"/>
          <w:i/>
          <w:iCs/>
          <w:vanish/>
          <w:color w:val="000000"/>
          <w:lang w:val="es-CO" w:eastAsia="es-CO"/>
        </w:rPr>
        <w:t>7144</w:t>
      </w:r>
      <w:r>
        <w:rPr>
          <w:rFonts w:ascii="Arial" w:hAnsi="Arial" w:cs="Arial"/>
          <w:i/>
          <w:iCs/>
          <w:color w:val="000000"/>
          <w:lang w:val="es-CO" w:eastAsia="es-CO"/>
        </w:rPr>
        <w:t xml:space="preserve"> de 2013; plazos 2012: Decreto 4907</w:t>
      </w:r>
      <w:r>
        <w:rPr>
          <w:rFonts w:ascii="Arial" w:hAnsi="Arial" w:cs="Arial"/>
          <w:i/>
          <w:iCs/>
          <w:vanish/>
          <w:color w:val="000000"/>
          <w:lang w:val="es-CO" w:eastAsia="es-CO"/>
        </w:rPr>
        <w:t>7145</w:t>
      </w:r>
      <w:r>
        <w:rPr>
          <w:rFonts w:ascii="Arial" w:hAnsi="Arial" w:cs="Arial"/>
          <w:i/>
          <w:iCs/>
          <w:color w:val="000000"/>
          <w:lang w:val="es-CO" w:eastAsia="es-CO"/>
        </w:rPr>
        <w:t xml:space="preserve"> de 2011; plazos 2011: Decreto 4836</w:t>
      </w:r>
      <w:r>
        <w:rPr>
          <w:rFonts w:ascii="Arial" w:hAnsi="Arial" w:cs="Arial"/>
          <w:i/>
          <w:iCs/>
          <w:vanish/>
          <w:color w:val="000000"/>
          <w:lang w:val="es-CO" w:eastAsia="es-CO"/>
        </w:rPr>
        <w:t>7146</w:t>
      </w:r>
      <w:r>
        <w:rPr>
          <w:rFonts w:ascii="Arial" w:hAnsi="Arial" w:cs="Arial"/>
          <w:i/>
          <w:iCs/>
          <w:color w:val="000000"/>
          <w:lang w:val="es-CO" w:eastAsia="es-CO"/>
        </w:rPr>
        <w:t xml:space="preserve"> de 2010 y Decreto 1358</w:t>
      </w:r>
      <w:r>
        <w:rPr>
          <w:rFonts w:ascii="Arial" w:hAnsi="Arial" w:cs="Arial"/>
          <w:i/>
          <w:iCs/>
          <w:vanish/>
          <w:color w:val="000000"/>
          <w:lang w:val="es-CO" w:eastAsia="es-CO"/>
        </w:rPr>
        <w:t>7147</w:t>
      </w:r>
      <w:r>
        <w:rPr>
          <w:rFonts w:ascii="Arial" w:hAnsi="Arial" w:cs="Arial"/>
          <w:i/>
          <w:iCs/>
          <w:color w:val="000000"/>
          <w:lang w:val="es-CO" w:eastAsia="es-CO"/>
        </w:rPr>
        <w:t xml:space="preserve"> de 2011)</w:t>
      </w:r>
    </w:p>
    <w:p w14:paraId="44D6BD4D" w14:textId="77777777" w:rsidR="00B2442D" w:rsidRDefault="00B2442D">
      <w:pPr>
        <w:jc w:val="both"/>
        <w:rPr>
          <w:rFonts w:ascii="Arial" w:hAnsi="Arial" w:cs="Arial"/>
          <w:i/>
          <w:lang w:val="es-ES_tradnl"/>
        </w:rPr>
      </w:pPr>
    </w:p>
    <w:p w14:paraId="7D291400" w14:textId="77777777" w:rsidR="00B2442D" w:rsidRDefault="00B2442D">
      <w:pPr>
        <w:pStyle w:val="Textoindependiente"/>
        <w:spacing w:line="40" w:lineRule="atLeast"/>
        <w:ind w:right="-30"/>
        <w:jc w:val="both"/>
        <w:rPr>
          <w:rFonts w:cs="Arial"/>
          <w:lang w:val="es-CO"/>
        </w:rPr>
      </w:pPr>
    </w:p>
    <w:p w14:paraId="2BF14CD2"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Obligación de expedir certificados por parte del agente retenedor del impuesto de timbre nacional.</w:t>
      </w:r>
      <w:r>
        <w:rPr>
          <w:rFonts w:cs="Arial"/>
          <w:lang w:val="es-CO"/>
        </w:rPr>
        <w:t xml:space="preserve"> Los agentes de retención del Impuesto de timbre nacional, deberán expedir al co</w:t>
      </w:r>
      <w:r>
        <w:rPr>
          <w:rFonts w:cs="Arial"/>
          <w:lang w:val="es-CO"/>
        </w:rPr>
        <w:t>ntribuyente por cada causación y pago del gravamen, un certificado según el formato prescrito por la Unidad Administrativa Especial Dirección de Impuestos y Aduanas Nacionales- DIAN.</w:t>
      </w:r>
    </w:p>
    <w:p w14:paraId="631CE1D7" w14:textId="77777777" w:rsidR="00B2442D" w:rsidRDefault="00B2442D">
      <w:pPr>
        <w:pStyle w:val="Textoindependiente"/>
        <w:spacing w:line="40" w:lineRule="atLeast"/>
        <w:ind w:right="-30"/>
        <w:jc w:val="both"/>
        <w:rPr>
          <w:rFonts w:cs="Arial"/>
          <w:lang w:val="es-CO"/>
        </w:rPr>
      </w:pPr>
    </w:p>
    <w:p w14:paraId="6610CEDE" w14:textId="77777777" w:rsidR="00B2442D" w:rsidRDefault="008A645F">
      <w:pPr>
        <w:pStyle w:val="Textoindependiente"/>
        <w:spacing w:line="40" w:lineRule="atLeast"/>
        <w:ind w:right="-30"/>
        <w:jc w:val="both"/>
        <w:rPr>
          <w:rFonts w:cs="Arial"/>
          <w:lang w:val="es-CO"/>
        </w:rPr>
      </w:pPr>
      <w:r>
        <w:rPr>
          <w:rFonts w:cs="Arial"/>
          <w:lang w:val="es-CO"/>
        </w:rPr>
        <w:t>El certificado a que se refiere este artículo, deberá expedirse a más ta</w:t>
      </w:r>
      <w:r>
        <w:rPr>
          <w:rFonts w:cs="Arial"/>
          <w:lang w:val="es-CO"/>
        </w:rPr>
        <w:t>rdar el último día del mes siguiente a aquel en el cual se causó el impuesto de timbre nacional y debió efectuarse la retención.</w:t>
      </w:r>
    </w:p>
    <w:p w14:paraId="2DDD0BB7" w14:textId="77777777" w:rsidR="00B2442D" w:rsidRDefault="00B2442D">
      <w:pPr>
        <w:pStyle w:val="Textoindependiente"/>
        <w:spacing w:line="40" w:lineRule="atLeast"/>
        <w:ind w:right="-30"/>
        <w:jc w:val="both"/>
        <w:rPr>
          <w:rFonts w:cs="Arial"/>
          <w:lang w:val="es-CO"/>
        </w:rPr>
      </w:pPr>
    </w:p>
    <w:p w14:paraId="141748FE" w14:textId="77777777" w:rsidR="00B2442D" w:rsidRDefault="008A645F">
      <w:pPr>
        <w:jc w:val="both"/>
        <w:rPr>
          <w:rFonts w:ascii="Arial" w:hAnsi="Arial" w:cs="Arial"/>
          <w:i/>
          <w:lang w:val="es-ES_tradnl"/>
        </w:rPr>
      </w:pPr>
      <w:r>
        <w:rPr>
          <w:rFonts w:ascii="Arial" w:hAnsi="Arial" w:cs="Arial"/>
          <w:i/>
          <w:lang w:val="es-ES_tradnl"/>
        </w:rPr>
        <w:t>(Art. 44, Decreto 2243 de 2015) (Plazos 2015: Decreto 2623 de 2014; plazos 2014: Decreto 2972 de 2013 y Decreto 685 de 2014; p</w:t>
      </w:r>
      <w:r>
        <w:rPr>
          <w:rFonts w:ascii="Arial" w:hAnsi="Arial" w:cs="Arial"/>
          <w:i/>
          <w:lang w:val="es-ES_tradnl"/>
        </w:rPr>
        <w:t>lazos 2013: Decreto 2634 de 2012 y Decreto 0187 de 2013; plazos 2012: Decreto 4907 de 2011; plazos 2011: Decreto 4836 de 2010 y Decreto 1358 de 2011)</w:t>
      </w:r>
    </w:p>
    <w:p w14:paraId="5C58061F" w14:textId="77777777" w:rsidR="00B2442D" w:rsidRDefault="00B2442D">
      <w:pPr>
        <w:pStyle w:val="Textoindependiente"/>
        <w:spacing w:line="40" w:lineRule="atLeast"/>
        <w:ind w:right="-30"/>
        <w:jc w:val="both"/>
        <w:rPr>
          <w:rFonts w:cs="Arial"/>
          <w:lang w:val="es-CO"/>
        </w:rPr>
      </w:pPr>
    </w:p>
    <w:p w14:paraId="37EFC8E6"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Obligación de expedir certificados por parte del agente retenedor del impuesto las ventas.</w:t>
      </w:r>
      <w:r>
        <w:rPr>
          <w:rFonts w:cs="Arial"/>
          <w:lang w:val="es-CO"/>
        </w:rPr>
        <w:t xml:space="preserve"> Los agentes de</w:t>
      </w:r>
      <w:r>
        <w:rPr>
          <w:rFonts w:cs="Arial"/>
          <w:lang w:val="es-CO"/>
        </w:rPr>
        <w:t xml:space="preserve"> retención del impuesto sobre las ventas deberán expedir por las retenciones practicadas, un certificado dentro los quince (15) días calendario siguientes al bimestre, cuatrimestre o año en que se practicó la retención, que cumpla los requisitos previstos </w:t>
      </w:r>
      <w:r>
        <w:rPr>
          <w:rFonts w:cs="Arial"/>
          <w:lang w:val="es-CO"/>
        </w:rPr>
        <w:t>en el artículo 1.6.1.12.13 del presente Decreto.</w:t>
      </w:r>
    </w:p>
    <w:p w14:paraId="04FB0024" w14:textId="77777777" w:rsidR="00B2442D" w:rsidRDefault="00B2442D">
      <w:pPr>
        <w:pStyle w:val="Textoindependiente"/>
        <w:spacing w:line="40" w:lineRule="atLeast"/>
        <w:ind w:right="-30"/>
        <w:jc w:val="both"/>
        <w:rPr>
          <w:rFonts w:cs="Arial"/>
          <w:lang w:val="es-CO"/>
        </w:rPr>
      </w:pPr>
    </w:p>
    <w:p w14:paraId="2C411DBA" w14:textId="77777777" w:rsidR="00B2442D" w:rsidRDefault="008A645F">
      <w:pPr>
        <w:pStyle w:val="Textoindependiente"/>
        <w:spacing w:line="40" w:lineRule="atLeast"/>
        <w:ind w:right="-30"/>
        <w:jc w:val="both"/>
        <w:rPr>
          <w:rFonts w:cs="Arial"/>
          <w:lang w:val="es-CO"/>
        </w:rPr>
      </w:pPr>
      <w:r>
        <w:rPr>
          <w:rFonts w:cs="Arial"/>
          <w:lang w:val="es-CO"/>
        </w:rPr>
        <w:t>Cuando se trate de retenciones del impuesto sobre las ventas asumida por responsables del régimen común por operaciones realizadas con responsables del régimen simplificado, el certificado deberá contener l</w:t>
      </w:r>
      <w:r>
        <w:rPr>
          <w:rFonts w:cs="Arial"/>
          <w:lang w:val="es-CO"/>
        </w:rPr>
        <w:t>a constancia expresa sobre la fecha de la declaración y pago retención respectiva.</w:t>
      </w:r>
    </w:p>
    <w:p w14:paraId="591E2855" w14:textId="77777777" w:rsidR="00B2442D" w:rsidRDefault="00B2442D">
      <w:pPr>
        <w:pStyle w:val="Textoindependiente"/>
        <w:spacing w:line="40" w:lineRule="atLeast"/>
        <w:ind w:right="-30"/>
        <w:jc w:val="both"/>
        <w:rPr>
          <w:rFonts w:cs="Arial"/>
          <w:lang w:val="es-CO"/>
        </w:rPr>
      </w:pPr>
    </w:p>
    <w:p w14:paraId="74FE34D2" w14:textId="77777777" w:rsidR="00B2442D" w:rsidRDefault="008A645F">
      <w:pPr>
        <w:pStyle w:val="Textoindependiente"/>
        <w:spacing w:line="40" w:lineRule="atLeast"/>
        <w:ind w:right="-30"/>
        <w:jc w:val="both"/>
        <w:rPr>
          <w:rFonts w:cs="Arial"/>
          <w:lang w:val="es-CO"/>
        </w:rPr>
      </w:pPr>
      <w:r>
        <w:rPr>
          <w:rFonts w:cs="Arial"/>
          <w:lang w:val="es-CO"/>
        </w:rPr>
        <w:t>Cuando el beneficiario del pago solicite un certificado por cada retención practicada, el agente retenedor lo hará con las mismas especificaciones del bimestral.</w:t>
      </w:r>
    </w:p>
    <w:p w14:paraId="573D445D" w14:textId="77777777" w:rsidR="00B2442D" w:rsidRDefault="00B2442D">
      <w:pPr>
        <w:jc w:val="both"/>
        <w:rPr>
          <w:rFonts w:ascii="Arial" w:hAnsi="Arial" w:cs="Arial"/>
          <w:i/>
          <w:lang w:val="es-ES_tradnl"/>
        </w:rPr>
      </w:pPr>
    </w:p>
    <w:p w14:paraId="64748929" w14:textId="77777777" w:rsidR="00B2442D" w:rsidRDefault="008A645F">
      <w:pPr>
        <w:jc w:val="both"/>
        <w:rPr>
          <w:rFonts w:ascii="Arial" w:hAnsi="Arial" w:cs="Arial"/>
          <w:i/>
          <w:lang w:val="es-ES_tradnl"/>
        </w:rPr>
      </w:pPr>
      <w:r>
        <w:rPr>
          <w:rFonts w:ascii="Arial" w:hAnsi="Arial" w:cs="Arial"/>
          <w:i/>
          <w:lang w:val="es-ES_tradnl"/>
        </w:rPr>
        <w:t>(Art. 45, Decreto 2243 de 2015) (Plazos 2015: Decreto 2623 de 2014; plazos 2014: Decreto 2972 de 2013 y Decreto 685 de 2014; plazos 2013: Decreto 2634 de 2012 y Decreto 0187 de 2013; plazos 2012: Decreto 4907 de 2011; plazos 2011: Decreto 4836 de 2010 y De</w:t>
      </w:r>
      <w:r>
        <w:rPr>
          <w:rFonts w:ascii="Arial" w:hAnsi="Arial" w:cs="Arial"/>
          <w:i/>
          <w:lang w:val="es-ES_tradnl"/>
        </w:rPr>
        <w:t>creto 1358 de 2011)</w:t>
      </w:r>
    </w:p>
    <w:p w14:paraId="65BEE0E1" w14:textId="77777777" w:rsidR="00B2442D" w:rsidRDefault="00B2442D">
      <w:pPr>
        <w:pStyle w:val="Textoindependiente"/>
        <w:spacing w:line="40" w:lineRule="atLeast"/>
        <w:ind w:right="-30"/>
        <w:jc w:val="both"/>
        <w:rPr>
          <w:rFonts w:cs="Arial"/>
          <w:lang w:val="es-CO"/>
        </w:rPr>
      </w:pPr>
    </w:p>
    <w:p w14:paraId="66C602A9" w14:textId="77777777" w:rsidR="00B2442D" w:rsidRDefault="008A645F">
      <w:pPr>
        <w:pStyle w:val="Textoindependiente"/>
        <w:spacing w:line="40" w:lineRule="atLeast"/>
        <w:ind w:right="-30"/>
        <w:jc w:val="center"/>
        <w:rPr>
          <w:rFonts w:cs="Arial"/>
          <w:b/>
          <w:lang w:val="es-CO"/>
        </w:rPr>
      </w:pPr>
      <w:r>
        <w:rPr>
          <w:rFonts w:cs="Arial"/>
          <w:b/>
          <w:lang w:val="es-CO"/>
        </w:rPr>
        <w:t>OTRAS DISPOSICIONES PARA LA PRESENTACIÓN Y PAGO DE LAS DECLARACIONES TRIBUTARIAS</w:t>
      </w:r>
    </w:p>
    <w:p w14:paraId="5560EEF3" w14:textId="77777777" w:rsidR="00B2442D" w:rsidRDefault="00B2442D">
      <w:pPr>
        <w:pStyle w:val="Textoindependiente"/>
        <w:spacing w:line="40" w:lineRule="atLeast"/>
        <w:ind w:right="-30"/>
        <w:jc w:val="both"/>
        <w:rPr>
          <w:rFonts w:cs="Arial"/>
          <w:lang w:val="es-CO"/>
        </w:rPr>
      </w:pPr>
    </w:p>
    <w:p w14:paraId="02BBCD27"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Horario declaraciones de presentación de las declaraciones tributarias y pagos.</w:t>
      </w:r>
      <w:r>
        <w:rPr>
          <w:rFonts w:cs="Arial"/>
          <w:i/>
          <w:lang w:val="es-CO"/>
        </w:rPr>
        <w:t xml:space="preserve"> </w:t>
      </w:r>
      <w:r>
        <w:rPr>
          <w:rFonts w:cs="Arial"/>
          <w:lang w:val="es-CO"/>
        </w:rPr>
        <w:t xml:space="preserve">La presentación de las declaraciones tributarias y el pago de impuestos, </w:t>
      </w:r>
      <w:r>
        <w:rPr>
          <w:rFonts w:cs="Arial"/>
          <w:lang w:val="es-CO"/>
        </w:rPr>
        <w:t>anticipos, retenciones, intereses y sanciones que deban realizarse en los bancos y demás entidades autorizadas, se efectuarán dentro de los horarios ordinarios de atención al público señalados por la Superintendencia Financiera de Colombia. Cuando los banc</w:t>
      </w:r>
      <w:r>
        <w:rPr>
          <w:rFonts w:cs="Arial"/>
          <w:lang w:val="es-CO"/>
        </w:rPr>
        <w:t>os tengan autorizados horarios adicionales, especiales o extendidos, se podrán hacer dentro de tales horarios.</w:t>
      </w:r>
    </w:p>
    <w:p w14:paraId="79BA01B8" w14:textId="77777777" w:rsidR="00B2442D" w:rsidRDefault="00B2442D">
      <w:pPr>
        <w:pStyle w:val="Textoindependiente"/>
        <w:spacing w:line="40" w:lineRule="atLeast"/>
        <w:ind w:right="-30"/>
        <w:jc w:val="both"/>
        <w:rPr>
          <w:rFonts w:cs="Arial"/>
          <w:lang w:val="es-CO"/>
        </w:rPr>
      </w:pPr>
    </w:p>
    <w:p w14:paraId="6FE0E4A8" w14:textId="77777777" w:rsidR="00B2442D" w:rsidRDefault="008A645F">
      <w:pPr>
        <w:jc w:val="both"/>
        <w:rPr>
          <w:rFonts w:ascii="Arial" w:hAnsi="Arial" w:cs="Arial"/>
          <w:i/>
          <w:lang w:val="es-ES_tradnl"/>
        </w:rPr>
      </w:pPr>
      <w:r>
        <w:rPr>
          <w:rFonts w:ascii="Arial" w:hAnsi="Arial" w:cs="Arial"/>
          <w:i/>
          <w:lang w:val="es-ES_tradnl"/>
        </w:rPr>
        <w:t>(Art. 46, Decreto 2243 de 2015) (Plazos 2015: Decreto 2623 de 2014; plazos 2014: Decreto 2972 de 2013 y Decreto 685 de 2014; plazos 2013: Decret</w:t>
      </w:r>
      <w:r>
        <w:rPr>
          <w:rFonts w:ascii="Arial" w:hAnsi="Arial" w:cs="Arial"/>
          <w:i/>
          <w:lang w:val="es-ES_tradnl"/>
        </w:rPr>
        <w:t>o 2634 de 2012 y Decreto 0187 de 2013; plazos 2012: Decreto 4907 de 2011; plazos 2011: Decreto 4836 de 2010 y Decreto 1358 de 2011)</w:t>
      </w:r>
    </w:p>
    <w:p w14:paraId="21B0F8B2" w14:textId="77777777" w:rsidR="00B2442D" w:rsidRDefault="00B2442D">
      <w:pPr>
        <w:pStyle w:val="Textoindependiente"/>
        <w:spacing w:line="40" w:lineRule="atLeast"/>
        <w:ind w:right="-30"/>
        <w:jc w:val="both"/>
        <w:rPr>
          <w:rFonts w:cs="Arial"/>
          <w:lang w:val="es-CO"/>
        </w:rPr>
      </w:pPr>
    </w:p>
    <w:p w14:paraId="1D417B4A"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Forma de presentar las declaraciones tributarias. </w:t>
      </w:r>
      <w:r>
        <w:rPr>
          <w:rFonts w:cs="Arial"/>
          <w:i/>
          <w:lang w:val="es-CO"/>
        </w:rPr>
        <w:t xml:space="preserve"> </w:t>
      </w:r>
      <w:r>
        <w:rPr>
          <w:rFonts w:cs="Arial"/>
          <w:lang w:val="es-CO"/>
        </w:rPr>
        <w:t>La presentación de las declaraciones tributarias en los bancos y demás e</w:t>
      </w:r>
      <w:r>
        <w:rPr>
          <w:rFonts w:cs="Arial"/>
          <w:lang w:val="es-CO"/>
        </w:rPr>
        <w:t>ntidades autorizadas, así como las declaraciones que se presenten a través de los servicios informáticos electrónicos, se efectuará diligenciando los formularios oficiales que para el efecto prescriba el Director de la Unidad Administrativa Especial Direcc</w:t>
      </w:r>
      <w:r>
        <w:rPr>
          <w:rFonts w:cs="Arial"/>
          <w:lang w:val="es-CO"/>
        </w:rPr>
        <w:t xml:space="preserve">ión de Impuestos y Aduanas Nacionales–DIAN. </w:t>
      </w:r>
    </w:p>
    <w:p w14:paraId="74238951" w14:textId="77777777" w:rsidR="00B2442D" w:rsidRDefault="00B2442D">
      <w:pPr>
        <w:pStyle w:val="Textoindependiente"/>
        <w:spacing w:line="40" w:lineRule="atLeast"/>
        <w:ind w:right="-30"/>
        <w:jc w:val="both"/>
        <w:rPr>
          <w:rFonts w:cs="Arial"/>
          <w:lang w:val="es-CO"/>
        </w:rPr>
      </w:pPr>
    </w:p>
    <w:p w14:paraId="1257D48D" w14:textId="77777777" w:rsidR="00B2442D" w:rsidRDefault="008A645F">
      <w:pPr>
        <w:pStyle w:val="Textoindependiente"/>
        <w:spacing w:line="40" w:lineRule="atLeast"/>
        <w:ind w:right="-30"/>
        <w:jc w:val="both"/>
        <w:rPr>
          <w:rFonts w:cs="Arial"/>
          <w:lang w:val="es-CO"/>
        </w:rPr>
      </w:pPr>
      <w:r>
        <w:rPr>
          <w:rFonts w:cs="Arial"/>
          <w:lang w:val="es-CO"/>
        </w:rPr>
        <w:t>Los anexos, pruebas, relaciones, certificados o documentos adicionales, los deberá conservar el declarante por el término de firmeza de declaración de renta y complementario.</w:t>
      </w:r>
    </w:p>
    <w:p w14:paraId="4E81DCE5" w14:textId="77777777" w:rsidR="00B2442D" w:rsidRDefault="00B2442D">
      <w:pPr>
        <w:spacing w:line="40" w:lineRule="atLeast"/>
        <w:ind w:right="-30"/>
        <w:jc w:val="both"/>
        <w:rPr>
          <w:rFonts w:ascii="Arial" w:hAnsi="Arial" w:cs="Arial"/>
          <w:lang w:val="es-CO"/>
        </w:rPr>
      </w:pPr>
    </w:p>
    <w:p w14:paraId="67041574" w14:textId="77777777" w:rsidR="00B2442D" w:rsidRDefault="008A645F">
      <w:pPr>
        <w:pStyle w:val="Textoindependiente"/>
        <w:spacing w:line="40" w:lineRule="atLeast"/>
        <w:ind w:right="-30"/>
        <w:jc w:val="both"/>
        <w:rPr>
          <w:rFonts w:cs="Arial"/>
          <w:lang w:val="es-CO"/>
        </w:rPr>
      </w:pPr>
      <w:r>
        <w:rPr>
          <w:rFonts w:cs="Arial"/>
          <w:lang w:val="es-CO"/>
        </w:rPr>
        <w:t>Cuando</w:t>
      </w:r>
      <w:r>
        <w:rPr>
          <w:rFonts w:cs="Arial"/>
          <w:spacing w:val="3"/>
          <w:lang w:val="es-CO"/>
        </w:rPr>
        <w:t xml:space="preserve"> </w:t>
      </w:r>
      <w:r>
        <w:rPr>
          <w:rFonts w:cs="Arial"/>
          <w:lang w:val="es-CO"/>
        </w:rPr>
        <w:t>se</w:t>
      </w:r>
      <w:r>
        <w:rPr>
          <w:rFonts w:cs="Arial"/>
          <w:spacing w:val="-7"/>
          <w:lang w:val="es-CO"/>
        </w:rPr>
        <w:t xml:space="preserve"> </w:t>
      </w:r>
      <w:r>
        <w:rPr>
          <w:rFonts w:cs="Arial"/>
          <w:lang w:val="es-CO"/>
        </w:rPr>
        <w:t>trate</w:t>
      </w:r>
      <w:r>
        <w:rPr>
          <w:rFonts w:cs="Arial"/>
          <w:spacing w:val="8"/>
          <w:lang w:val="es-CO"/>
        </w:rPr>
        <w:t xml:space="preserve"> </w:t>
      </w:r>
      <w:r>
        <w:rPr>
          <w:rFonts w:cs="Arial"/>
          <w:lang w:val="es-CO"/>
        </w:rPr>
        <w:t>de</w:t>
      </w:r>
      <w:r>
        <w:rPr>
          <w:rFonts w:cs="Arial"/>
          <w:spacing w:val="-3"/>
          <w:lang w:val="es-CO"/>
        </w:rPr>
        <w:t xml:space="preserve"> </w:t>
      </w:r>
      <w:r>
        <w:rPr>
          <w:rFonts w:cs="Arial"/>
          <w:lang w:val="es-CO"/>
        </w:rPr>
        <w:t>documentos</w:t>
      </w:r>
      <w:r>
        <w:rPr>
          <w:rFonts w:cs="Arial"/>
          <w:spacing w:val="21"/>
          <w:lang w:val="es-CO"/>
        </w:rPr>
        <w:t xml:space="preserve"> </w:t>
      </w:r>
      <w:r>
        <w:rPr>
          <w:rFonts w:cs="Arial"/>
          <w:lang w:val="es-CO"/>
        </w:rPr>
        <w:t>que</w:t>
      </w:r>
      <w:r>
        <w:rPr>
          <w:rFonts w:cs="Arial"/>
          <w:spacing w:val="-3"/>
          <w:lang w:val="es-CO"/>
        </w:rPr>
        <w:t xml:space="preserve"> </w:t>
      </w:r>
      <w:r>
        <w:rPr>
          <w:rFonts w:cs="Arial"/>
          <w:lang w:val="es-CO"/>
        </w:rPr>
        <w:t>soportan las declaraciones</w:t>
      </w:r>
      <w:r>
        <w:rPr>
          <w:rFonts w:cs="Arial"/>
          <w:spacing w:val="27"/>
          <w:lang w:val="es-CO"/>
        </w:rPr>
        <w:t xml:space="preserve"> </w:t>
      </w:r>
      <w:r>
        <w:rPr>
          <w:rFonts w:cs="Arial"/>
          <w:lang w:val="es-CO"/>
        </w:rPr>
        <w:t>de</w:t>
      </w:r>
      <w:r>
        <w:rPr>
          <w:rFonts w:cs="Arial"/>
          <w:spacing w:val="12"/>
          <w:lang w:val="es-CO"/>
        </w:rPr>
        <w:t xml:space="preserve"> </w:t>
      </w:r>
      <w:r>
        <w:rPr>
          <w:rFonts w:cs="Arial"/>
          <w:lang w:val="es-CO"/>
        </w:rPr>
        <w:t>IVA</w:t>
      </w:r>
      <w:r>
        <w:rPr>
          <w:rFonts w:cs="Arial"/>
          <w:spacing w:val="-2"/>
          <w:lang w:val="es-CO"/>
        </w:rPr>
        <w:t xml:space="preserve"> </w:t>
      </w:r>
      <w:r>
        <w:rPr>
          <w:rFonts w:cs="Arial"/>
          <w:lang w:val="es-CO"/>
        </w:rPr>
        <w:t>y</w:t>
      </w:r>
      <w:r>
        <w:rPr>
          <w:rFonts w:cs="Arial"/>
          <w:spacing w:val="7"/>
          <w:lang w:val="es-CO"/>
        </w:rPr>
        <w:t xml:space="preserve"> </w:t>
      </w:r>
      <w:r>
        <w:rPr>
          <w:rFonts w:cs="Arial"/>
          <w:lang w:val="es-CO"/>
        </w:rPr>
        <w:t>retención</w:t>
      </w:r>
      <w:r>
        <w:rPr>
          <w:rFonts w:cs="Arial"/>
          <w:spacing w:val="16"/>
          <w:lang w:val="es-CO"/>
        </w:rPr>
        <w:t xml:space="preserve"> </w:t>
      </w:r>
      <w:r>
        <w:rPr>
          <w:rFonts w:cs="Arial"/>
          <w:lang w:val="es-CO"/>
        </w:rPr>
        <w:t>en la</w:t>
      </w:r>
      <w:r>
        <w:rPr>
          <w:rFonts w:cs="Arial"/>
          <w:spacing w:val="12"/>
          <w:lang w:val="es-CO"/>
        </w:rPr>
        <w:t xml:space="preserve"> </w:t>
      </w:r>
      <w:r>
        <w:rPr>
          <w:rFonts w:cs="Arial"/>
          <w:lang w:val="es-CO"/>
        </w:rPr>
        <w:t>fuente,</w:t>
      </w:r>
      <w:r>
        <w:rPr>
          <w:rFonts w:cs="Arial"/>
          <w:spacing w:val="52"/>
          <w:lang w:val="es-CO"/>
        </w:rPr>
        <w:t xml:space="preserve"> </w:t>
      </w:r>
      <w:r>
        <w:rPr>
          <w:rFonts w:cs="Arial"/>
          <w:lang w:val="es-CO"/>
        </w:rPr>
        <w:t>la</w:t>
      </w:r>
      <w:r>
        <w:rPr>
          <w:rFonts w:cs="Arial"/>
          <w:spacing w:val="21"/>
          <w:lang w:val="es-CO"/>
        </w:rPr>
        <w:t xml:space="preserve"> </w:t>
      </w:r>
      <w:r>
        <w:rPr>
          <w:rFonts w:cs="Arial"/>
          <w:lang w:val="es-CO"/>
        </w:rPr>
        <w:t>obligación</w:t>
      </w:r>
      <w:r>
        <w:rPr>
          <w:rFonts w:cs="Arial"/>
          <w:spacing w:val="33"/>
          <w:lang w:val="es-CO"/>
        </w:rPr>
        <w:t xml:space="preserve"> </w:t>
      </w:r>
      <w:r>
        <w:rPr>
          <w:rFonts w:cs="Arial"/>
          <w:lang w:val="es-CO"/>
        </w:rPr>
        <w:t>de</w:t>
      </w:r>
      <w:r>
        <w:rPr>
          <w:rFonts w:cs="Arial"/>
          <w:spacing w:val="24"/>
          <w:lang w:val="es-CO"/>
        </w:rPr>
        <w:t xml:space="preserve"> </w:t>
      </w:r>
      <w:r>
        <w:rPr>
          <w:rFonts w:cs="Arial"/>
          <w:lang w:val="es-CO"/>
        </w:rPr>
        <w:t>conservar</w:t>
      </w:r>
      <w:r>
        <w:rPr>
          <w:rFonts w:cs="Arial"/>
          <w:spacing w:val="45"/>
          <w:lang w:val="es-CO"/>
        </w:rPr>
        <w:t xml:space="preserve"> </w:t>
      </w:r>
      <w:r>
        <w:rPr>
          <w:rFonts w:cs="Arial"/>
          <w:lang w:val="es-CO"/>
        </w:rPr>
        <w:t>los</w:t>
      </w:r>
      <w:r>
        <w:rPr>
          <w:rFonts w:cs="Arial"/>
          <w:spacing w:val="24"/>
          <w:lang w:val="es-CO"/>
        </w:rPr>
        <w:t xml:space="preserve"> </w:t>
      </w:r>
      <w:r>
        <w:rPr>
          <w:rFonts w:cs="Arial"/>
          <w:lang w:val="es-CO"/>
        </w:rPr>
        <w:t>documentos,</w:t>
      </w:r>
      <w:r>
        <w:rPr>
          <w:rFonts w:cs="Arial"/>
          <w:spacing w:val="54"/>
          <w:lang w:val="es-CO"/>
        </w:rPr>
        <w:t xml:space="preserve"> </w:t>
      </w:r>
      <w:r>
        <w:rPr>
          <w:rFonts w:cs="Arial"/>
          <w:lang w:val="es-CO"/>
        </w:rPr>
        <w:t>informaciones</w:t>
      </w:r>
      <w:r>
        <w:rPr>
          <w:rFonts w:cs="Arial"/>
          <w:spacing w:val="37"/>
          <w:lang w:val="es-CO"/>
        </w:rPr>
        <w:t xml:space="preserve"> </w:t>
      </w:r>
      <w:r>
        <w:rPr>
          <w:rFonts w:cs="Arial"/>
          <w:lang w:val="es-CO"/>
        </w:rPr>
        <w:t>y</w:t>
      </w:r>
      <w:r>
        <w:rPr>
          <w:rFonts w:cs="Arial"/>
          <w:spacing w:val="26"/>
          <w:lang w:val="es-CO"/>
        </w:rPr>
        <w:t xml:space="preserve"> </w:t>
      </w:r>
      <w:r>
        <w:rPr>
          <w:rFonts w:cs="Arial"/>
          <w:lang w:val="es-CO"/>
        </w:rPr>
        <w:t>pruebas por</w:t>
      </w:r>
      <w:r>
        <w:rPr>
          <w:rFonts w:cs="Arial"/>
          <w:spacing w:val="-3"/>
          <w:lang w:val="es-CO"/>
        </w:rPr>
        <w:t xml:space="preserve"> </w:t>
      </w:r>
      <w:r>
        <w:rPr>
          <w:rFonts w:cs="Arial"/>
          <w:lang w:val="es-CO"/>
        </w:rPr>
        <w:t>el</w:t>
      </w:r>
      <w:r>
        <w:rPr>
          <w:rFonts w:cs="Arial"/>
          <w:spacing w:val="-11"/>
          <w:lang w:val="es-CO"/>
        </w:rPr>
        <w:t xml:space="preserve"> </w:t>
      </w:r>
      <w:r>
        <w:rPr>
          <w:rFonts w:cs="Arial"/>
          <w:lang w:val="es-CO"/>
        </w:rPr>
        <w:t>término de firmeza de la declaración</w:t>
      </w:r>
      <w:r>
        <w:rPr>
          <w:rFonts w:cs="Arial"/>
          <w:spacing w:val="15"/>
          <w:lang w:val="es-CO"/>
        </w:rPr>
        <w:t xml:space="preserve"> </w:t>
      </w:r>
      <w:r>
        <w:rPr>
          <w:rFonts w:cs="Arial"/>
          <w:lang w:val="es-CO"/>
        </w:rPr>
        <w:t>de</w:t>
      </w:r>
      <w:r>
        <w:rPr>
          <w:rFonts w:cs="Arial"/>
          <w:spacing w:val="6"/>
          <w:lang w:val="es-CO"/>
        </w:rPr>
        <w:t xml:space="preserve"> </w:t>
      </w:r>
      <w:r>
        <w:rPr>
          <w:rFonts w:cs="Arial"/>
          <w:lang w:val="es-CO"/>
        </w:rPr>
        <w:t>renta</w:t>
      </w:r>
      <w:r>
        <w:rPr>
          <w:rFonts w:cs="Arial"/>
          <w:spacing w:val="2"/>
          <w:lang w:val="es-CO"/>
        </w:rPr>
        <w:t xml:space="preserve"> </w:t>
      </w:r>
      <w:r>
        <w:rPr>
          <w:rFonts w:cs="Arial"/>
          <w:lang w:val="es-CO"/>
        </w:rPr>
        <w:t>del</w:t>
      </w:r>
      <w:r>
        <w:rPr>
          <w:rFonts w:cs="Arial"/>
          <w:spacing w:val="7"/>
          <w:lang w:val="es-CO"/>
        </w:rPr>
        <w:t xml:space="preserve"> </w:t>
      </w:r>
      <w:r>
        <w:rPr>
          <w:rFonts w:cs="Arial"/>
          <w:lang w:val="es-CO"/>
        </w:rPr>
        <w:t>mismo</w:t>
      </w:r>
      <w:r>
        <w:rPr>
          <w:rFonts w:cs="Arial"/>
          <w:spacing w:val="5"/>
          <w:lang w:val="es-CO"/>
        </w:rPr>
        <w:t xml:space="preserve"> </w:t>
      </w:r>
      <w:r>
        <w:rPr>
          <w:rFonts w:cs="Arial"/>
          <w:lang w:val="es-CO"/>
        </w:rPr>
        <w:t>período.</w:t>
      </w:r>
    </w:p>
    <w:p w14:paraId="22B8024C" w14:textId="77777777" w:rsidR="00B2442D" w:rsidRDefault="00B2442D">
      <w:pPr>
        <w:spacing w:line="40" w:lineRule="atLeast"/>
        <w:ind w:right="-30"/>
        <w:jc w:val="both"/>
        <w:rPr>
          <w:rFonts w:ascii="Arial" w:hAnsi="Arial" w:cs="Arial"/>
          <w:lang w:val="es-CO"/>
        </w:rPr>
      </w:pPr>
    </w:p>
    <w:p w14:paraId="083CDA74" w14:textId="77777777" w:rsidR="00B2442D" w:rsidRDefault="008A645F">
      <w:pPr>
        <w:pStyle w:val="Textoindependiente"/>
        <w:spacing w:line="40" w:lineRule="atLeast"/>
        <w:ind w:right="-30"/>
        <w:jc w:val="both"/>
        <w:rPr>
          <w:rFonts w:cs="Arial"/>
          <w:lang w:val="es-CO"/>
        </w:rPr>
      </w:pPr>
      <w:r>
        <w:rPr>
          <w:rFonts w:cs="Arial"/>
          <w:lang w:val="es-CO"/>
        </w:rPr>
        <w:t>En</w:t>
      </w:r>
      <w:r>
        <w:rPr>
          <w:rFonts w:cs="Arial"/>
          <w:spacing w:val="52"/>
          <w:lang w:val="es-CO"/>
        </w:rPr>
        <w:t xml:space="preserve"> </w:t>
      </w:r>
      <w:r>
        <w:rPr>
          <w:rFonts w:cs="Arial"/>
          <w:lang w:val="es-CO"/>
        </w:rPr>
        <w:t>el</w:t>
      </w:r>
      <w:r>
        <w:rPr>
          <w:rFonts w:cs="Arial"/>
          <w:spacing w:val="56"/>
          <w:lang w:val="es-CO"/>
        </w:rPr>
        <w:t xml:space="preserve"> </w:t>
      </w:r>
      <w:r>
        <w:rPr>
          <w:rFonts w:cs="Arial"/>
          <w:lang w:val="es-CO"/>
        </w:rPr>
        <w:t>caso</w:t>
      </w:r>
      <w:r>
        <w:rPr>
          <w:rFonts w:cs="Arial"/>
          <w:spacing w:val="64"/>
          <w:lang w:val="es-CO"/>
        </w:rPr>
        <w:t xml:space="preserve"> </w:t>
      </w:r>
      <w:r>
        <w:rPr>
          <w:rFonts w:cs="Arial"/>
          <w:lang w:val="es-CO"/>
        </w:rPr>
        <w:t>de los</w:t>
      </w:r>
      <w:r>
        <w:rPr>
          <w:rFonts w:cs="Arial"/>
          <w:spacing w:val="45"/>
          <w:lang w:val="es-CO"/>
        </w:rPr>
        <w:t xml:space="preserve"> </w:t>
      </w:r>
      <w:r>
        <w:rPr>
          <w:rFonts w:cs="Arial"/>
          <w:lang w:val="es-CO"/>
        </w:rPr>
        <w:t>no</w:t>
      </w:r>
      <w:r>
        <w:rPr>
          <w:rFonts w:cs="Arial"/>
          <w:spacing w:val="56"/>
          <w:lang w:val="es-CO"/>
        </w:rPr>
        <w:t xml:space="preserve"> </w:t>
      </w:r>
      <w:r>
        <w:rPr>
          <w:rFonts w:cs="Arial"/>
          <w:lang w:val="es-CO"/>
        </w:rPr>
        <w:t>contribuyentes,</w:t>
      </w:r>
      <w:r>
        <w:rPr>
          <w:rFonts w:cs="Arial"/>
          <w:spacing w:val="21"/>
          <w:lang w:val="es-CO"/>
        </w:rPr>
        <w:t xml:space="preserve"> </w:t>
      </w:r>
      <w:r>
        <w:rPr>
          <w:rFonts w:cs="Arial"/>
          <w:lang w:val="es-CO"/>
        </w:rPr>
        <w:t>tanto</w:t>
      </w:r>
      <w:r>
        <w:rPr>
          <w:rFonts w:cs="Arial"/>
          <w:spacing w:val="65"/>
          <w:lang w:val="es-CO"/>
        </w:rPr>
        <w:t xml:space="preserve"> </w:t>
      </w:r>
      <w:r>
        <w:rPr>
          <w:rFonts w:cs="Arial"/>
          <w:lang w:val="es-CO"/>
        </w:rPr>
        <w:t>declarantes</w:t>
      </w:r>
      <w:r>
        <w:rPr>
          <w:rFonts w:cs="Arial"/>
          <w:spacing w:val="28"/>
          <w:lang w:val="es-CO"/>
        </w:rPr>
        <w:t xml:space="preserve"> </w:t>
      </w:r>
      <w:r>
        <w:rPr>
          <w:rFonts w:cs="Arial"/>
          <w:lang w:val="es-CO"/>
        </w:rPr>
        <w:t>como</w:t>
      </w:r>
      <w:r>
        <w:rPr>
          <w:rFonts w:cs="Arial"/>
          <w:spacing w:val="13"/>
          <w:lang w:val="es-CO"/>
        </w:rPr>
        <w:t xml:space="preserve"> </w:t>
      </w:r>
      <w:r>
        <w:rPr>
          <w:rFonts w:cs="Arial"/>
          <w:lang w:val="es-CO"/>
        </w:rPr>
        <w:t>no</w:t>
      </w:r>
      <w:r>
        <w:rPr>
          <w:rFonts w:cs="Arial"/>
          <w:spacing w:val="61"/>
          <w:lang w:val="es-CO"/>
        </w:rPr>
        <w:t xml:space="preserve"> </w:t>
      </w:r>
      <w:r>
        <w:rPr>
          <w:rFonts w:cs="Arial"/>
          <w:lang w:val="es-CO"/>
        </w:rPr>
        <w:t>declarantes</w:t>
      </w:r>
      <w:r>
        <w:rPr>
          <w:rFonts w:cs="Arial"/>
          <w:spacing w:val="27"/>
          <w:lang w:val="es-CO"/>
        </w:rPr>
        <w:t xml:space="preserve"> </w:t>
      </w:r>
      <w:r>
        <w:rPr>
          <w:rFonts w:cs="Arial"/>
          <w:lang w:val="es-CO"/>
        </w:rPr>
        <w:t>de</w:t>
      </w:r>
      <w:r>
        <w:rPr>
          <w:rFonts w:cs="Arial"/>
          <w:w w:val="102"/>
          <w:lang w:val="es-CO"/>
        </w:rPr>
        <w:t xml:space="preserve"> </w:t>
      </w:r>
      <w:r>
        <w:rPr>
          <w:rFonts w:cs="Arial"/>
          <w:lang w:val="es-CO"/>
        </w:rPr>
        <w:t>ingresos</w:t>
      </w:r>
      <w:r>
        <w:rPr>
          <w:rFonts w:cs="Arial"/>
          <w:spacing w:val="5"/>
          <w:lang w:val="es-CO"/>
        </w:rPr>
        <w:t xml:space="preserve"> </w:t>
      </w:r>
      <w:r>
        <w:rPr>
          <w:rFonts w:cs="Arial"/>
          <w:lang w:val="es-CO"/>
        </w:rPr>
        <w:t>y</w:t>
      </w:r>
      <w:r>
        <w:rPr>
          <w:rFonts w:cs="Arial"/>
          <w:spacing w:val="12"/>
          <w:lang w:val="es-CO"/>
        </w:rPr>
        <w:t xml:space="preserve"> </w:t>
      </w:r>
      <w:r>
        <w:rPr>
          <w:rFonts w:cs="Arial"/>
          <w:lang w:val="es-CO"/>
        </w:rPr>
        <w:t>patrimonio,</w:t>
      </w:r>
      <w:r>
        <w:rPr>
          <w:rFonts w:cs="Arial"/>
          <w:spacing w:val="21"/>
          <w:lang w:val="es-CO"/>
        </w:rPr>
        <w:t xml:space="preserve"> </w:t>
      </w:r>
      <w:r>
        <w:rPr>
          <w:rFonts w:cs="Arial"/>
          <w:lang w:val="es-CO"/>
        </w:rPr>
        <w:t>que</w:t>
      </w:r>
      <w:r>
        <w:rPr>
          <w:rFonts w:cs="Arial"/>
          <w:spacing w:val="2"/>
          <w:lang w:val="es-CO"/>
        </w:rPr>
        <w:t xml:space="preserve"> </w:t>
      </w:r>
      <w:r>
        <w:rPr>
          <w:rFonts w:cs="Arial"/>
          <w:lang w:val="es-CO"/>
        </w:rPr>
        <w:t>tengan</w:t>
      </w:r>
      <w:r>
        <w:rPr>
          <w:rFonts w:cs="Arial"/>
          <w:spacing w:val="12"/>
          <w:lang w:val="es-CO"/>
        </w:rPr>
        <w:t xml:space="preserve"> </w:t>
      </w:r>
      <w:r>
        <w:rPr>
          <w:rFonts w:cs="Arial"/>
          <w:lang w:val="es-CO"/>
        </w:rPr>
        <w:t>el de carácter agentes retenedores y/o</w:t>
      </w:r>
      <w:r>
        <w:rPr>
          <w:rFonts w:cs="Arial"/>
          <w:w w:val="99"/>
          <w:lang w:val="es-CO"/>
        </w:rPr>
        <w:t xml:space="preserve"> </w:t>
      </w:r>
      <w:r>
        <w:rPr>
          <w:rFonts w:cs="Arial"/>
          <w:lang w:val="es-CO"/>
        </w:rPr>
        <w:t>responsables</w:t>
      </w:r>
      <w:r>
        <w:rPr>
          <w:rFonts w:cs="Arial"/>
          <w:spacing w:val="26"/>
          <w:lang w:val="es-CO"/>
        </w:rPr>
        <w:t xml:space="preserve"> </w:t>
      </w:r>
      <w:r>
        <w:rPr>
          <w:rFonts w:cs="Arial"/>
          <w:lang w:val="es-CO"/>
        </w:rPr>
        <w:t>de</w:t>
      </w:r>
      <w:r>
        <w:rPr>
          <w:rFonts w:cs="Arial"/>
          <w:spacing w:val="15"/>
          <w:lang w:val="es-CO"/>
        </w:rPr>
        <w:t xml:space="preserve"> </w:t>
      </w:r>
      <w:r>
        <w:rPr>
          <w:rFonts w:cs="Arial"/>
          <w:lang w:val="es-CO"/>
        </w:rPr>
        <w:t>IVA,</w:t>
      </w:r>
      <w:r>
        <w:rPr>
          <w:rFonts w:cs="Arial"/>
          <w:spacing w:val="-4"/>
          <w:lang w:val="es-CO"/>
        </w:rPr>
        <w:t xml:space="preserve"> </w:t>
      </w:r>
      <w:r>
        <w:rPr>
          <w:rFonts w:cs="Arial"/>
          <w:lang w:val="es-CO"/>
        </w:rPr>
        <w:t>el</w:t>
      </w:r>
      <w:r>
        <w:rPr>
          <w:rFonts w:cs="Arial"/>
          <w:spacing w:val="-10"/>
          <w:lang w:val="es-CO"/>
        </w:rPr>
        <w:t xml:space="preserve"> </w:t>
      </w:r>
      <w:r>
        <w:rPr>
          <w:rFonts w:cs="Arial"/>
          <w:lang w:val="es-CO"/>
        </w:rPr>
        <w:t>término de</w:t>
      </w:r>
      <w:r>
        <w:rPr>
          <w:rFonts w:cs="Arial"/>
          <w:spacing w:val="6"/>
          <w:lang w:val="es-CO"/>
        </w:rPr>
        <w:t xml:space="preserve"> </w:t>
      </w:r>
      <w:r>
        <w:rPr>
          <w:rFonts w:cs="Arial"/>
          <w:lang w:val="es-CO"/>
        </w:rPr>
        <w:t>conservación</w:t>
      </w:r>
      <w:r>
        <w:rPr>
          <w:rFonts w:cs="Arial"/>
          <w:spacing w:val="30"/>
          <w:lang w:val="es-CO"/>
        </w:rPr>
        <w:t xml:space="preserve"> </w:t>
      </w:r>
      <w:r>
        <w:rPr>
          <w:rFonts w:cs="Arial"/>
          <w:lang w:val="es-CO"/>
        </w:rPr>
        <w:t>de</w:t>
      </w:r>
      <w:r>
        <w:rPr>
          <w:rFonts w:cs="Arial"/>
          <w:spacing w:val="10"/>
          <w:lang w:val="es-CO"/>
        </w:rPr>
        <w:t xml:space="preserve"> </w:t>
      </w:r>
      <w:r>
        <w:rPr>
          <w:rFonts w:cs="Arial"/>
          <w:lang w:val="es-CO"/>
        </w:rPr>
        <w:t>los</w:t>
      </w:r>
      <w:r>
        <w:rPr>
          <w:rFonts w:cs="Arial"/>
          <w:spacing w:val="5"/>
          <w:lang w:val="es-CO"/>
        </w:rPr>
        <w:t xml:space="preserve"> </w:t>
      </w:r>
      <w:r>
        <w:rPr>
          <w:rFonts w:cs="Arial"/>
          <w:lang w:val="es-CO"/>
        </w:rPr>
        <w:t>documentos,</w:t>
      </w:r>
      <w:r>
        <w:rPr>
          <w:rFonts w:cs="Arial"/>
          <w:spacing w:val="37"/>
          <w:lang w:val="es-CO"/>
        </w:rPr>
        <w:t xml:space="preserve"> </w:t>
      </w:r>
      <w:r>
        <w:rPr>
          <w:rFonts w:cs="Arial"/>
          <w:lang w:val="es-CO"/>
        </w:rPr>
        <w:t>informaciones</w:t>
      </w:r>
      <w:r>
        <w:rPr>
          <w:rFonts w:cs="Arial"/>
          <w:spacing w:val="18"/>
          <w:lang w:val="es-CO"/>
        </w:rPr>
        <w:t xml:space="preserve"> </w:t>
      </w:r>
      <w:r>
        <w:rPr>
          <w:rFonts w:cs="Arial"/>
          <w:lang w:val="es-CO"/>
        </w:rPr>
        <w:t>y</w:t>
      </w:r>
      <w:r>
        <w:rPr>
          <w:rFonts w:cs="Arial"/>
          <w:w w:val="99"/>
          <w:lang w:val="es-CO"/>
        </w:rPr>
        <w:t xml:space="preserve"> </w:t>
      </w:r>
      <w:r>
        <w:rPr>
          <w:rFonts w:cs="Arial"/>
          <w:lang w:val="es-CO"/>
        </w:rPr>
        <w:t>pruebas</w:t>
      </w:r>
      <w:r>
        <w:rPr>
          <w:rFonts w:cs="Arial"/>
          <w:spacing w:val="37"/>
          <w:lang w:val="es-CO"/>
        </w:rPr>
        <w:t xml:space="preserve"> </w:t>
      </w:r>
      <w:r>
        <w:rPr>
          <w:rFonts w:cs="Arial"/>
          <w:lang w:val="es-CO"/>
        </w:rPr>
        <w:t>es de</w:t>
      </w:r>
      <w:r>
        <w:rPr>
          <w:rFonts w:cs="Arial"/>
          <w:spacing w:val="65"/>
          <w:lang w:val="es-CO"/>
        </w:rPr>
        <w:t xml:space="preserve"> </w:t>
      </w:r>
      <w:r>
        <w:rPr>
          <w:rFonts w:cs="Arial"/>
          <w:lang w:val="es-CO"/>
        </w:rPr>
        <w:t>cinco</w:t>
      </w:r>
      <w:r>
        <w:rPr>
          <w:rFonts w:cs="Arial"/>
          <w:spacing w:val="41"/>
          <w:lang w:val="es-CO"/>
        </w:rPr>
        <w:t xml:space="preserve"> </w:t>
      </w:r>
      <w:r>
        <w:rPr>
          <w:rFonts w:cs="Arial"/>
          <w:lang w:val="es-CO"/>
        </w:rPr>
        <w:t>(5)</w:t>
      </w:r>
      <w:r>
        <w:rPr>
          <w:rFonts w:cs="Arial"/>
          <w:spacing w:val="35"/>
          <w:lang w:val="es-CO"/>
        </w:rPr>
        <w:t xml:space="preserve"> </w:t>
      </w:r>
      <w:r>
        <w:rPr>
          <w:rFonts w:cs="Arial"/>
          <w:lang w:val="es-CO"/>
        </w:rPr>
        <w:t>años,</w:t>
      </w:r>
      <w:r>
        <w:rPr>
          <w:rFonts w:cs="Arial"/>
          <w:spacing w:val="30"/>
          <w:lang w:val="es-CO"/>
        </w:rPr>
        <w:t xml:space="preserve"> </w:t>
      </w:r>
      <w:r>
        <w:rPr>
          <w:rFonts w:cs="Arial"/>
          <w:lang w:val="es-CO"/>
        </w:rPr>
        <w:t>de</w:t>
      </w:r>
      <w:r>
        <w:rPr>
          <w:rFonts w:cs="Arial"/>
          <w:spacing w:val="26"/>
          <w:lang w:val="es-CO"/>
        </w:rPr>
        <w:t xml:space="preserve"> </w:t>
      </w:r>
      <w:r>
        <w:rPr>
          <w:rFonts w:cs="Arial"/>
          <w:lang w:val="es-CO"/>
        </w:rPr>
        <w:t>conformidad</w:t>
      </w:r>
      <w:r>
        <w:rPr>
          <w:rFonts w:cs="Arial"/>
          <w:spacing w:val="42"/>
          <w:lang w:val="es-CO"/>
        </w:rPr>
        <w:t xml:space="preserve"> </w:t>
      </w:r>
      <w:r>
        <w:rPr>
          <w:rFonts w:cs="Arial"/>
          <w:lang w:val="es-CO"/>
        </w:rPr>
        <w:t>con</w:t>
      </w:r>
      <w:r>
        <w:rPr>
          <w:rFonts w:cs="Arial"/>
          <w:spacing w:val="37"/>
          <w:lang w:val="es-CO"/>
        </w:rPr>
        <w:t xml:space="preserve"> </w:t>
      </w:r>
      <w:r>
        <w:rPr>
          <w:rFonts w:cs="Arial"/>
          <w:lang w:val="es-CO"/>
        </w:rPr>
        <w:t>lo</w:t>
      </w:r>
      <w:r>
        <w:rPr>
          <w:rFonts w:cs="Arial"/>
          <w:spacing w:val="16"/>
          <w:lang w:val="es-CO"/>
        </w:rPr>
        <w:t xml:space="preserve"> </w:t>
      </w:r>
      <w:r>
        <w:rPr>
          <w:rFonts w:cs="Arial"/>
          <w:lang w:val="es-CO"/>
        </w:rPr>
        <w:t>previsto</w:t>
      </w:r>
      <w:r>
        <w:rPr>
          <w:rFonts w:cs="Arial"/>
          <w:spacing w:val="27"/>
          <w:lang w:val="es-CO"/>
        </w:rPr>
        <w:t xml:space="preserve"> </w:t>
      </w:r>
      <w:r>
        <w:rPr>
          <w:rFonts w:cs="Arial"/>
          <w:lang w:val="es-CO"/>
        </w:rPr>
        <w:t>en</w:t>
      </w:r>
      <w:r>
        <w:rPr>
          <w:rFonts w:cs="Arial"/>
          <w:spacing w:val="26"/>
          <w:lang w:val="es-CO"/>
        </w:rPr>
        <w:t xml:space="preserve"> </w:t>
      </w:r>
      <w:r>
        <w:rPr>
          <w:rFonts w:cs="Arial"/>
          <w:lang w:val="es-CO"/>
        </w:rPr>
        <w:t>el</w:t>
      </w:r>
      <w:r>
        <w:rPr>
          <w:rFonts w:cs="Arial"/>
          <w:spacing w:val="17"/>
          <w:lang w:val="es-CO"/>
        </w:rPr>
        <w:t xml:space="preserve"> </w:t>
      </w:r>
      <w:r>
        <w:rPr>
          <w:rFonts w:cs="Arial"/>
          <w:lang w:val="es-CO"/>
        </w:rPr>
        <w:t>artículo</w:t>
      </w:r>
      <w:r>
        <w:rPr>
          <w:rFonts w:cs="Arial"/>
          <w:spacing w:val="40"/>
          <w:lang w:val="es-CO"/>
        </w:rPr>
        <w:t xml:space="preserve"> </w:t>
      </w:r>
      <w:r>
        <w:rPr>
          <w:rFonts w:cs="Arial"/>
          <w:lang w:val="es-CO"/>
        </w:rPr>
        <w:t>632</w:t>
      </w:r>
      <w:r>
        <w:rPr>
          <w:rFonts w:cs="Arial"/>
          <w:spacing w:val="28"/>
          <w:lang w:val="es-CO"/>
        </w:rPr>
        <w:t xml:space="preserve"> </w:t>
      </w:r>
      <w:r>
        <w:rPr>
          <w:rFonts w:cs="Arial"/>
          <w:lang w:val="es-CO"/>
        </w:rPr>
        <w:t>del</w:t>
      </w:r>
      <w:r>
        <w:rPr>
          <w:rFonts w:cs="Arial"/>
          <w:w w:val="102"/>
          <w:lang w:val="es-CO"/>
        </w:rPr>
        <w:t xml:space="preserve"> </w:t>
      </w:r>
      <w:r>
        <w:rPr>
          <w:rFonts w:cs="Arial"/>
          <w:lang w:val="es-CO"/>
        </w:rPr>
        <w:t>Estatuto</w:t>
      </w:r>
      <w:r>
        <w:rPr>
          <w:rFonts w:cs="Arial"/>
          <w:spacing w:val="-29"/>
          <w:lang w:val="es-CO"/>
        </w:rPr>
        <w:t xml:space="preserve"> </w:t>
      </w:r>
      <w:r>
        <w:rPr>
          <w:rFonts w:cs="Arial"/>
          <w:lang w:val="es-CO"/>
        </w:rPr>
        <w:t>Tributario.</w:t>
      </w:r>
    </w:p>
    <w:p w14:paraId="21955A80" w14:textId="77777777" w:rsidR="00B2442D" w:rsidRDefault="00B2442D">
      <w:pPr>
        <w:spacing w:line="40" w:lineRule="atLeast"/>
        <w:ind w:right="-30"/>
        <w:jc w:val="both"/>
        <w:rPr>
          <w:rFonts w:ascii="Arial" w:hAnsi="Arial" w:cs="Arial"/>
          <w:lang w:val="es-CO"/>
        </w:rPr>
      </w:pPr>
    </w:p>
    <w:p w14:paraId="79BDA97A" w14:textId="77777777" w:rsidR="00B2442D" w:rsidRDefault="008A645F">
      <w:pPr>
        <w:jc w:val="both"/>
        <w:rPr>
          <w:rFonts w:ascii="Arial" w:hAnsi="Arial" w:cs="Arial"/>
          <w:i/>
          <w:lang w:val="es-ES_tradnl"/>
        </w:rPr>
      </w:pPr>
      <w:r>
        <w:rPr>
          <w:rFonts w:ascii="Arial" w:hAnsi="Arial" w:cs="Arial"/>
          <w:i/>
          <w:lang w:val="es-ES_tradnl"/>
        </w:rPr>
        <w:t xml:space="preserve">(Art. 47, Decreto 2243 de 2015) (Plazos 2015: Decreto 2623 de 2014; plazos 2014: Decreto 2972 de 2013 y Decreto 685 de 2014; plazos 2013: Decreto 2634 de 2012 y Decreto 0187 de </w:t>
      </w:r>
      <w:r>
        <w:rPr>
          <w:rFonts w:ascii="Arial" w:hAnsi="Arial" w:cs="Arial"/>
          <w:i/>
          <w:lang w:val="es-ES_tradnl"/>
        </w:rPr>
        <w:t>2013; plazos 2012: Decreto 4907 de 2011; plazos 2011: Decreto 4836 de 2010 y Decreto 1358 de 2011)</w:t>
      </w:r>
    </w:p>
    <w:p w14:paraId="7C1BAA5F" w14:textId="77777777" w:rsidR="00B2442D" w:rsidRDefault="00B2442D">
      <w:pPr>
        <w:spacing w:line="40" w:lineRule="atLeast"/>
        <w:ind w:right="-30"/>
        <w:jc w:val="both"/>
        <w:rPr>
          <w:rFonts w:ascii="Arial" w:hAnsi="Arial" w:cs="Arial"/>
          <w:lang w:val="es-CO"/>
        </w:rPr>
      </w:pPr>
    </w:p>
    <w:p w14:paraId="4C6404DC"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Forma de pago de las obligaciones.</w:t>
      </w:r>
      <w:r>
        <w:rPr>
          <w:rFonts w:cs="Arial"/>
          <w:lang w:val="es-CO"/>
        </w:rPr>
        <w:t xml:space="preserve">  </w:t>
      </w:r>
      <w:r>
        <w:rPr>
          <w:rFonts w:cs="Arial"/>
          <w:spacing w:val="7"/>
          <w:lang w:val="es-CO"/>
        </w:rPr>
        <w:t xml:space="preserve"> </w:t>
      </w:r>
      <w:r>
        <w:rPr>
          <w:rFonts w:cs="Arial"/>
          <w:lang w:val="es-CO"/>
        </w:rPr>
        <w:t xml:space="preserve">Las </w:t>
      </w:r>
      <w:r>
        <w:rPr>
          <w:rFonts w:cs="Arial"/>
          <w:spacing w:val="51"/>
          <w:lang w:val="es-CO"/>
        </w:rPr>
        <w:t xml:space="preserve"> </w:t>
      </w:r>
      <w:r>
        <w:rPr>
          <w:rFonts w:cs="Arial"/>
          <w:lang w:val="es-CO"/>
        </w:rPr>
        <w:t>Entidades Financieras</w:t>
      </w:r>
      <w:r>
        <w:rPr>
          <w:rFonts w:cs="Arial"/>
          <w:spacing w:val="17"/>
          <w:lang w:val="es-CO"/>
        </w:rPr>
        <w:t xml:space="preserve"> </w:t>
      </w:r>
      <w:r>
        <w:rPr>
          <w:rFonts w:cs="Arial"/>
          <w:lang w:val="es-CO"/>
        </w:rPr>
        <w:t>autorizadas</w:t>
      </w:r>
      <w:r>
        <w:rPr>
          <w:rFonts w:cs="Arial"/>
          <w:spacing w:val="36"/>
          <w:lang w:val="es-CO"/>
        </w:rPr>
        <w:t xml:space="preserve"> </w:t>
      </w:r>
      <w:r>
        <w:rPr>
          <w:rFonts w:cs="Arial"/>
          <w:lang w:val="es-CO"/>
        </w:rPr>
        <w:t>para</w:t>
      </w:r>
      <w:r>
        <w:rPr>
          <w:rFonts w:cs="Arial"/>
          <w:spacing w:val="14"/>
          <w:lang w:val="es-CO"/>
        </w:rPr>
        <w:t xml:space="preserve"> </w:t>
      </w:r>
      <w:r>
        <w:rPr>
          <w:rFonts w:cs="Arial"/>
          <w:lang w:val="es-CO"/>
        </w:rPr>
        <w:t>recaudar</w:t>
      </w:r>
      <w:r>
        <w:rPr>
          <w:rFonts w:cs="Arial"/>
          <w:spacing w:val="28"/>
          <w:lang w:val="es-CO"/>
        </w:rPr>
        <w:t xml:space="preserve"> </w:t>
      </w:r>
      <w:r>
        <w:rPr>
          <w:rFonts w:cs="Arial"/>
          <w:lang w:val="es-CO"/>
        </w:rPr>
        <w:t>recibirán</w:t>
      </w:r>
      <w:r>
        <w:rPr>
          <w:rFonts w:cs="Arial"/>
          <w:spacing w:val="8"/>
          <w:lang w:val="es-CO"/>
        </w:rPr>
        <w:t xml:space="preserve"> </w:t>
      </w:r>
      <w:r>
        <w:rPr>
          <w:rFonts w:cs="Arial"/>
          <w:lang w:val="es-CO"/>
        </w:rPr>
        <w:t>el</w:t>
      </w:r>
      <w:r>
        <w:rPr>
          <w:rFonts w:cs="Arial"/>
          <w:spacing w:val="2"/>
          <w:lang w:val="es-CO"/>
        </w:rPr>
        <w:t xml:space="preserve"> </w:t>
      </w:r>
      <w:r>
        <w:rPr>
          <w:rFonts w:cs="Arial"/>
          <w:lang w:val="es-CO"/>
        </w:rPr>
        <w:t>pago</w:t>
      </w:r>
      <w:r>
        <w:rPr>
          <w:rFonts w:cs="Arial"/>
          <w:spacing w:val="8"/>
          <w:lang w:val="es-CO"/>
        </w:rPr>
        <w:t xml:space="preserve"> </w:t>
      </w:r>
      <w:r>
        <w:rPr>
          <w:rFonts w:cs="Arial"/>
          <w:lang w:val="es-CO"/>
        </w:rPr>
        <w:t>de</w:t>
      </w:r>
      <w:r>
        <w:rPr>
          <w:rFonts w:cs="Arial"/>
          <w:spacing w:val="18"/>
          <w:lang w:val="es-CO"/>
        </w:rPr>
        <w:t xml:space="preserve"> </w:t>
      </w:r>
      <w:r>
        <w:rPr>
          <w:rFonts w:cs="Arial"/>
          <w:lang w:val="es-CO"/>
        </w:rPr>
        <w:t>los</w:t>
      </w:r>
      <w:r>
        <w:rPr>
          <w:rFonts w:cs="Arial"/>
          <w:spacing w:val="13"/>
          <w:lang w:val="es-CO"/>
        </w:rPr>
        <w:t xml:space="preserve"> </w:t>
      </w:r>
      <w:r>
        <w:rPr>
          <w:rFonts w:cs="Arial"/>
          <w:lang w:val="es-CO"/>
        </w:rPr>
        <w:t>impuestos,</w:t>
      </w:r>
      <w:r>
        <w:rPr>
          <w:rFonts w:cs="Arial"/>
          <w:w w:val="98"/>
          <w:lang w:val="es-CO"/>
        </w:rPr>
        <w:t xml:space="preserve"> </w:t>
      </w:r>
      <w:r>
        <w:rPr>
          <w:rFonts w:cs="Arial"/>
          <w:lang w:val="es-CO"/>
        </w:rPr>
        <w:t>retenciones,</w:t>
      </w:r>
      <w:r>
        <w:rPr>
          <w:rFonts w:cs="Arial"/>
          <w:spacing w:val="17"/>
          <w:lang w:val="es-CO"/>
        </w:rPr>
        <w:t xml:space="preserve"> </w:t>
      </w:r>
      <w:r>
        <w:rPr>
          <w:rFonts w:cs="Arial"/>
          <w:lang w:val="es-CO"/>
        </w:rPr>
        <w:t>anticipos,</w:t>
      </w:r>
      <w:r>
        <w:rPr>
          <w:rFonts w:cs="Arial"/>
          <w:spacing w:val="17"/>
          <w:lang w:val="es-CO"/>
        </w:rPr>
        <w:t xml:space="preserve"> </w:t>
      </w:r>
      <w:r>
        <w:rPr>
          <w:rFonts w:cs="Arial"/>
          <w:lang w:val="es-CO"/>
        </w:rPr>
        <w:t>tributos</w:t>
      </w:r>
      <w:r>
        <w:rPr>
          <w:rFonts w:cs="Arial"/>
          <w:spacing w:val="16"/>
          <w:lang w:val="es-CO"/>
        </w:rPr>
        <w:t xml:space="preserve"> </w:t>
      </w:r>
      <w:r>
        <w:rPr>
          <w:rFonts w:cs="Arial"/>
          <w:lang w:val="es-CO"/>
        </w:rPr>
        <w:t>aduaneros,</w:t>
      </w:r>
      <w:r>
        <w:rPr>
          <w:rFonts w:cs="Arial"/>
          <w:spacing w:val="24"/>
          <w:lang w:val="es-CO"/>
        </w:rPr>
        <w:t xml:space="preserve"> </w:t>
      </w:r>
      <w:r>
        <w:rPr>
          <w:rFonts w:cs="Arial"/>
          <w:lang w:val="es-CO"/>
        </w:rPr>
        <w:t>sanciones</w:t>
      </w:r>
      <w:r>
        <w:rPr>
          <w:rFonts w:cs="Arial"/>
          <w:spacing w:val="18"/>
          <w:lang w:val="es-CO"/>
        </w:rPr>
        <w:t xml:space="preserve"> </w:t>
      </w:r>
      <w:r>
        <w:rPr>
          <w:rFonts w:cs="Arial"/>
          <w:lang w:val="es-CO"/>
        </w:rPr>
        <w:t>e  intereses en</w:t>
      </w:r>
      <w:r>
        <w:rPr>
          <w:rFonts w:cs="Arial"/>
          <w:spacing w:val="7"/>
          <w:lang w:val="es-CO"/>
        </w:rPr>
        <w:t xml:space="preserve"> </w:t>
      </w:r>
      <w:r>
        <w:rPr>
          <w:rFonts w:cs="Arial"/>
          <w:lang w:val="es-CO"/>
        </w:rPr>
        <w:t>materia</w:t>
      </w:r>
      <w:r>
        <w:rPr>
          <w:rFonts w:cs="Arial"/>
          <w:spacing w:val="1"/>
          <w:lang w:val="es-CO"/>
        </w:rPr>
        <w:t xml:space="preserve"> </w:t>
      </w:r>
      <w:r>
        <w:rPr>
          <w:rFonts w:cs="Arial"/>
          <w:lang w:val="es-CO"/>
        </w:rPr>
        <w:t xml:space="preserve">tributaria, aduanera </w:t>
      </w:r>
      <w:r>
        <w:rPr>
          <w:rFonts w:cs="Arial"/>
          <w:spacing w:val="10"/>
          <w:lang w:val="es-CO"/>
        </w:rPr>
        <w:t xml:space="preserve"> </w:t>
      </w:r>
      <w:r>
        <w:rPr>
          <w:rFonts w:cs="Arial"/>
          <w:lang w:val="es-CO"/>
        </w:rPr>
        <w:t xml:space="preserve">y </w:t>
      </w:r>
      <w:r>
        <w:rPr>
          <w:rFonts w:cs="Arial"/>
          <w:spacing w:val="5"/>
          <w:lang w:val="es-CO"/>
        </w:rPr>
        <w:t xml:space="preserve"> </w:t>
      </w:r>
      <w:r>
        <w:rPr>
          <w:rFonts w:cs="Arial"/>
          <w:lang w:val="es-CO"/>
        </w:rPr>
        <w:t xml:space="preserve">cambiaría, </w:t>
      </w:r>
      <w:r>
        <w:rPr>
          <w:rFonts w:cs="Arial"/>
          <w:spacing w:val="13"/>
          <w:lang w:val="es-CO"/>
        </w:rPr>
        <w:t xml:space="preserve"> </w:t>
      </w:r>
      <w:r>
        <w:rPr>
          <w:rFonts w:cs="Arial"/>
          <w:lang w:val="es-CO"/>
        </w:rPr>
        <w:t>en</w:t>
      </w:r>
      <w:r>
        <w:rPr>
          <w:rFonts w:cs="Arial"/>
          <w:spacing w:val="63"/>
          <w:lang w:val="es-CO"/>
        </w:rPr>
        <w:t xml:space="preserve"> </w:t>
      </w:r>
      <w:r>
        <w:rPr>
          <w:rFonts w:cs="Arial"/>
          <w:lang w:val="es-CO"/>
        </w:rPr>
        <w:t xml:space="preserve">efectivo, </w:t>
      </w:r>
      <w:r>
        <w:rPr>
          <w:rFonts w:cs="Arial"/>
          <w:spacing w:val="5"/>
          <w:lang w:val="es-CO"/>
        </w:rPr>
        <w:t xml:space="preserve"> </w:t>
      </w:r>
      <w:r>
        <w:rPr>
          <w:rFonts w:cs="Arial"/>
          <w:lang w:val="es-CO"/>
        </w:rPr>
        <w:t xml:space="preserve">tarjetas </w:t>
      </w:r>
      <w:r>
        <w:rPr>
          <w:rFonts w:cs="Arial"/>
          <w:spacing w:val="16"/>
          <w:lang w:val="es-CO"/>
        </w:rPr>
        <w:t xml:space="preserve"> </w:t>
      </w:r>
      <w:r>
        <w:rPr>
          <w:rFonts w:cs="Arial"/>
          <w:lang w:val="es-CO"/>
        </w:rPr>
        <w:t xml:space="preserve">débito, </w:t>
      </w:r>
      <w:r>
        <w:rPr>
          <w:rFonts w:cs="Arial"/>
          <w:spacing w:val="1"/>
          <w:lang w:val="es-CO"/>
        </w:rPr>
        <w:t xml:space="preserve"> </w:t>
      </w:r>
      <w:r>
        <w:rPr>
          <w:rFonts w:cs="Arial"/>
          <w:lang w:val="es-CO"/>
        </w:rPr>
        <w:t xml:space="preserve">tarjeta </w:t>
      </w:r>
      <w:r>
        <w:rPr>
          <w:rFonts w:cs="Arial"/>
          <w:spacing w:val="17"/>
          <w:lang w:val="es-CO"/>
        </w:rPr>
        <w:t xml:space="preserve"> </w:t>
      </w:r>
      <w:r>
        <w:rPr>
          <w:rFonts w:cs="Arial"/>
          <w:lang w:val="es-CO"/>
        </w:rPr>
        <w:t>de</w:t>
      </w:r>
      <w:r>
        <w:rPr>
          <w:rFonts w:cs="Arial"/>
          <w:spacing w:val="66"/>
          <w:lang w:val="es-CO"/>
        </w:rPr>
        <w:t xml:space="preserve"> </w:t>
      </w:r>
      <w:r>
        <w:rPr>
          <w:rFonts w:cs="Arial"/>
          <w:lang w:val="es-CO"/>
        </w:rPr>
        <w:t xml:space="preserve">crédito </w:t>
      </w:r>
      <w:r>
        <w:rPr>
          <w:rFonts w:cs="Arial"/>
          <w:spacing w:val="4"/>
          <w:lang w:val="es-CO"/>
        </w:rPr>
        <w:t xml:space="preserve"> </w:t>
      </w:r>
      <w:r>
        <w:rPr>
          <w:rFonts w:cs="Arial"/>
          <w:lang w:val="es-CO"/>
        </w:rPr>
        <w:t xml:space="preserve">o </w:t>
      </w:r>
      <w:r>
        <w:rPr>
          <w:rFonts w:cs="Arial"/>
          <w:spacing w:val="3"/>
          <w:lang w:val="es-CO"/>
        </w:rPr>
        <w:t xml:space="preserve"> </w:t>
      </w:r>
      <w:r>
        <w:rPr>
          <w:rFonts w:cs="Arial"/>
          <w:lang w:val="es-CO"/>
        </w:rPr>
        <w:t>mediante cheque</w:t>
      </w:r>
      <w:r>
        <w:rPr>
          <w:rFonts w:cs="Arial"/>
          <w:spacing w:val="11"/>
          <w:lang w:val="es-CO"/>
        </w:rPr>
        <w:t xml:space="preserve"> </w:t>
      </w:r>
      <w:r>
        <w:rPr>
          <w:rFonts w:cs="Arial"/>
          <w:lang w:val="es-CO"/>
        </w:rPr>
        <w:t>de</w:t>
      </w:r>
      <w:r>
        <w:rPr>
          <w:rFonts w:cs="Arial"/>
          <w:spacing w:val="-2"/>
          <w:lang w:val="es-CO"/>
        </w:rPr>
        <w:t xml:space="preserve"> </w:t>
      </w:r>
      <w:r>
        <w:rPr>
          <w:rFonts w:cs="Arial"/>
          <w:lang w:val="es-CO"/>
        </w:rPr>
        <w:t>gerencia</w:t>
      </w:r>
      <w:r>
        <w:rPr>
          <w:rFonts w:cs="Arial"/>
          <w:spacing w:val="14"/>
          <w:lang w:val="es-CO"/>
        </w:rPr>
        <w:t xml:space="preserve"> </w:t>
      </w:r>
      <w:r>
        <w:rPr>
          <w:rFonts w:cs="Arial"/>
          <w:lang w:val="es-CO"/>
        </w:rPr>
        <w:t>o</w:t>
      </w:r>
      <w:r>
        <w:rPr>
          <w:rFonts w:cs="Arial"/>
          <w:spacing w:val="-1"/>
          <w:lang w:val="es-CO"/>
        </w:rPr>
        <w:t xml:space="preserve"> </w:t>
      </w:r>
      <w:r>
        <w:rPr>
          <w:rFonts w:cs="Arial"/>
          <w:lang w:val="es-CO"/>
        </w:rPr>
        <w:t>cheque</w:t>
      </w:r>
      <w:r>
        <w:rPr>
          <w:rFonts w:cs="Arial"/>
          <w:spacing w:val="11"/>
          <w:lang w:val="es-CO"/>
        </w:rPr>
        <w:t xml:space="preserve"> </w:t>
      </w:r>
      <w:r>
        <w:rPr>
          <w:rFonts w:cs="Arial"/>
          <w:lang w:val="es-CO"/>
        </w:rPr>
        <w:t>girado sobre</w:t>
      </w:r>
      <w:r>
        <w:rPr>
          <w:rFonts w:cs="Arial"/>
          <w:spacing w:val="18"/>
          <w:lang w:val="es-CO"/>
        </w:rPr>
        <w:t xml:space="preserve"> </w:t>
      </w:r>
      <w:r>
        <w:rPr>
          <w:rFonts w:cs="Arial"/>
          <w:lang w:val="es-CO"/>
        </w:rPr>
        <w:t>la</w:t>
      </w:r>
      <w:r>
        <w:rPr>
          <w:rFonts w:cs="Arial"/>
          <w:spacing w:val="2"/>
          <w:lang w:val="es-CO"/>
        </w:rPr>
        <w:t xml:space="preserve"> </w:t>
      </w:r>
      <w:r>
        <w:rPr>
          <w:rFonts w:cs="Arial"/>
          <w:lang w:val="es-CO"/>
        </w:rPr>
        <w:t>misma</w:t>
      </w:r>
      <w:r>
        <w:rPr>
          <w:rFonts w:cs="Arial"/>
          <w:spacing w:val="4"/>
          <w:lang w:val="es-CO"/>
        </w:rPr>
        <w:t xml:space="preserve"> </w:t>
      </w:r>
      <w:r>
        <w:rPr>
          <w:rFonts w:cs="Arial"/>
          <w:lang w:val="es-CO"/>
        </w:rPr>
        <w:t>plaza</w:t>
      </w:r>
      <w:r>
        <w:rPr>
          <w:rFonts w:cs="Arial"/>
          <w:spacing w:val="4"/>
          <w:lang w:val="es-CO"/>
        </w:rPr>
        <w:t xml:space="preserve"> </w:t>
      </w:r>
      <w:r>
        <w:rPr>
          <w:rFonts w:cs="Arial"/>
          <w:lang w:val="es-CO"/>
        </w:rPr>
        <w:t>de la</w:t>
      </w:r>
      <w:r>
        <w:rPr>
          <w:rFonts w:cs="Arial"/>
          <w:spacing w:val="57"/>
          <w:lang w:val="es-CO"/>
        </w:rPr>
        <w:t xml:space="preserve"> </w:t>
      </w:r>
      <w:r>
        <w:rPr>
          <w:rFonts w:cs="Arial"/>
          <w:lang w:val="es-CO"/>
        </w:rPr>
        <w:t>oficina</w:t>
      </w:r>
      <w:r>
        <w:rPr>
          <w:rFonts w:cs="Arial"/>
          <w:spacing w:val="14"/>
          <w:lang w:val="es-CO"/>
        </w:rPr>
        <w:t xml:space="preserve"> </w:t>
      </w:r>
      <w:r>
        <w:rPr>
          <w:rFonts w:cs="Arial"/>
          <w:lang w:val="es-CO"/>
        </w:rPr>
        <w:t>que</w:t>
      </w:r>
      <w:r>
        <w:rPr>
          <w:rFonts w:cs="Arial"/>
          <w:spacing w:val="9"/>
          <w:lang w:val="es-CO"/>
        </w:rPr>
        <w:t xml:space="preserve"> </w:t>
      </w:r>
      <w:r>
        <w:rPr>
          <w:rFonts w:cs="Arial"/>
          <w:lang w:val="es-CO"/>
        </w:rPr>
        <w:t>lo</w:t>
      </w:r>
      <w:r>
        <w:rPr>
          <w:rFonts w:cs="Arial"/>
          <w:spacing w:val="-8"/>
          <w:lang w:val="es-CO"/>
        </w:rPr>
        <w:t xml:space="preserve"> </w:t>
      </w:r>
      <w:r>
        <w:rPr>
          <w:rFonts w:cs="Arial"/>
          <w:lang w:val="es-CO"/>
        </w:rPr>
        <w:t>recibe</w:t>
      </w:r>
      <w:r>
        <w:rPr>
          <w:rFonts w:cs="Arial"/>
          <w:spacing w:val="-10"/>
          <w:lang w:val="es-CO"/>
        </w:rPr>
        <w:t xml:space="preserve"> </w:t>
      </w:r>
      <w:r>
        <w:rPr>
          <w:rFonts w:cs="Arial"/>
          <w:lang w:val="es-CO"/>
        </w:rPr>
        <w:t>y</w:t>
      </w:r>
      <w:r>
        <w:rPr>
          <w:rFonts w:cs="Arial"/>
          <w:w w:val="95"/>
          <w:lang w:val="es-CO"/>
        </w:rPr>
        <w:t xml:space="preserve"> </w:t>
      </w:r>
      <w:r>
        <w:rPr>
          <w:rFonts w:cs="Arial"/>
          <w:lang w:val="es-CO"/>
        </w:rPr>
        <w:t>únicamente</w:t>
      </w:r>
      <w:r>
        <w:rPr>
          <w:rFonts w:cs="Arial"/>
          <w:spacing w:val="52"/>
          <w:lang w:val="es-CO"/>
        </w:rPr>
        <w:t xml:space="preserve"> </w:t>
      </w:r>
      <w:r>
        <w:rPr>
          <w:rFonts w:cs="Arial"/>
          <w:lang w:val="es-CO"/>
        </w:rPr>
        <w:t>a</w:t>
      </w:r>
      <w:r>
        <w:rPr>
          <w:rFonts w:cs="Arial"/>
          <w:spacing w:val="53"/>
          <w:lang w:val="es-CO"/>
        </w:rPr>
        <w:t xml:space="preserve"> </w:t>
      </w:r>
      <w:r>
        <w:rPr>
          <w:rFonts w:cs="Arial"/>
          <w:lang w:val="es-CO"/>
        </w:rPr>
        <w:t>la</w:t>
      </w:r>
      <w:r>
        <w:rPr>
          <w:rFonts w:cs="Arial"/>
          <w:spacing w:val="32"/>
          <w:lang w:val="es-CO"/>
        </w:rPr>
        <w:t xml:space="preserve"> </w:t>
      </w:r>
      <w:r>
        <w:rPr>
          <w:rFonts w:cs="Arial"/>
          <w:lang w:val="es-CO"/>
        </w:rPr>
        <w:t>orden</w:t>
      </w:r>
      <w:r>
        <w:rPr>
          <w:rFonts w:cs="Arial"/>
          <w:spacing w:val="48"/>
          <w:lang w:val="es-CO"/>
        </w:rPr>
        <w:t xml:space="preserve"> </w:t>
      </w:r>
      <w:r>
        <w:rPr>
          <w:rFonts w:cs="Arial"/>
          <w:lang w:val="es-CO"/>
        </w:rPr>
        <w:t>de</w:t>
      </w:r>
      <w:r>
        <w:rPr>
          <w:rFonts w:cs="Arial"/>
          <w:spacing w:val="52"/>
          <w:lang w:val="es-CO"/>
        </w:rPr>
        <w:t xml:space="preserve"> </w:t>
      </w:r>
      <w:r>
        <w:rPr>
          <w:rFonts w:cs="Arial"/>
          <w:lang w:val="es-CO"/>
        </w:rPr>
        <w:t>la</w:t>
      </w:r>
      <w:r>
        <w:rPr>
          <w:rFonts w:cs="Arial"/>
          <w:spacing w:val="38"/>
          <w:lang w:val="es-CO"/>
        </w:rPr>
        <w:t xml:space="preserve"> </w:t>
      </w:r>
      <w:r>
        <w:rPr>
          <w:rFonts w:cs="Arial"/>
          <w:lang w:val="es-CO"/>
        </w:rPr>
        <w:t>entidad</w:t>
      </w:r>
      <w:r>
        <w:rPr>
          <w:rFonts w:cs="Arial"/>
          <w:spacing w:val="52"/>
          <w:lang w:val="es-CO"/>
        </w:rPr>
        <w:t xml:space="preserve"> </w:t>
      </w:r>
      <w:r>
        <w:rPr>
          <w:rFonts w:cs="Arial"/>
          <w:lang w:val="es-CO"/>
        </w:rPr>
        <w:t>financiera</w:t>
      </w:r>
      <w:r>
        <w:rPr>
          <w:rFonts w:cs="Arial"/>
          <w:spacing w:val="3"/>
          <w:lang w:val="es-CO"/>
        </w:rPr>
        <w:t xml:space="preserve"> </w:t>
      </w:r>
      <w:r>
        <w:rPr>
          <w:rFonts w:cs="Arial"/>
          <w:lang w:val="es-CO"/>
        </w:rPr>
        <w:t>receptora,</w:t>
      </w:r>
      <w:r>
        <w:rPr>
          <w:rFonts w:cs="Arial"/>
          <w:spacing w:val="48"/>
          <w:lang w:val="es-CO"/>
        </w:rPr>
        <w:t xml:space="preserve"> </w:t>
      </w:r>
      <w:r>
        <w:rPr>
          <w:rFonts w:cs="Arial"/>
          <w:lang w:val="es-CO"/>
        </w:rPr>
        <w:t>cuando</w:t>
      </w:r>
      <w:r>
        <w:rPr>
          <w:rFonts w:cs="Arial"/>
          <w:spacing w:val="55"/>
          <w:lang w:val="es-CO"/>
        </w:rPr>
        <w:t xml:space="preserve"> </w:t>
      </w:r>
      <w:r>
        <w:rPr>
          <w:rFonts w:cs="Arial"/>
          <w:lang w:val="es-CO"/>
        </w:rPr>
        <w:t>sea</w:t>
      </w:r>
      <w:r>
        <w:rPr>
          <w:rFonts w:cs="Arial"/>
          <w:spacing w:val="39"/>
          <w:lang w:val="es-CO"/>
        </w:rPr>
        <w:t xml:space="preserve"> </w:t>
      </w:r>
      <w:r>
        <w:rPr>
          <w:rFonts w:cs="Arial"/>
          <w:lang w:val="es-CO"/>
        </w:rPr>
        <w:t>del</w:t>
      </w:r>
      <w:r>
        <w:rPr>
          <w:rFonts w:cs="Arial"/>
          <w:spacing w:val="40"/>
          <w:lang w:val="es-CO"/>
        </w:rPr>
        <w:t xml:space="preserve"> </w:t>
      </w:r>
      <w:r>
        <w:rPr>
          <w:rFonts w:cs="Arial"/>
          <w:lang w:val="es-CO"/>
        </w:rPr>
        <w:t>caso,</w:t>
      </w:r>
      <w:r>
        <w:rPr>
          <w:rFonts w:cs="Arial"/>
          <w:spacing w:val="56"/>
          <w:lang w:val="es-CO"/>
        </w:rPr>
        <w:t xml:space="preserve"> </w:t>
      </w:r>
      <w:r>
        <w:rPr>
          <w:rFonts w:cs="Arial"/>
          <w:lang w:val="es-CO"/>
        </w:rPr>
        <w:t>o</w:t>
      </w:r>
      <w:r>
        <w:rPr>
          <w:rFonts w:cs="Arial"/>
          <w:w w:val="101"/>
          <w:lang w:val="es-CO"/>
        </w:rPr>
        <w:t xml:space="preserve"> </w:t>
      </w:r>
      <w:r>
        <w:rPr>
          <w:rFonts w:cs="Arial"/>
          <w:lang w:val="es-CO"/>
        </w:rPr>
        <w:t>cualquier</w:t>
      </w:r>
      <w:r>
        <w:rPr>
          <w:rFonts w:cs="Arial"/>
          <w:spacing w:val="43"/>
          <w:lang w:val="es-CO"/>
        </w:rPr>
        <w:t xml:space="preserve"> </w:t>
      </w:r>
      <w:r>
        <w:rPr>
          <w:rFonts w:cs="Arial"/>
          <w:lang w:val="es-CO"/>
        </w:rPr>
        <w:t>otro</w:t>
      </w:r>
      <w:r>
        <w:rPr>
          <w:rFonts w:cs="Arial"/>
          <w:spacing w:val="31"/>
          <w:lang w:val="es-CO"/>
        </w:rPr>
        <w:t xml:space="preserve"> </w:t>
      </w:r>
      <w:r>
        <w:rPr>
          <w:rFonts w:cs="Arial"/>
          <w:lang w:val="es-CO"/>
        </w:rPr>
        <w:t>medio</w:t>
      </w:r>
      <w:r>
        <w:rPr>
          <w:rFonts w:cs="Arial"/>
          <w:spacing w:val="19"/>
          <w:lang w:val="es-CO"/>
        </w:rPr>
        <w:t xml:space="preserve"> </w:t>
      </w:r>
      <w:r>
        <w:rPr>
          <w:rFonts w:cs="Arial"/>
          <w:lang w:val="es-CO"/>
        </w:rPr>
        <w:t>de</w:t>
      </w:r>
      <w:r>
        <w:rPr>
          <w:rFonts w:cs="Arial"/>
          <w:spacing w:val="24"/>
          <w:lang w:val="es-CO"/>
        </w:rPr>
        <w:t xml:space="preserve"> </w:t>
      </w:r>
      <w:r>
        <w:rPr>
          <w:rFonts w:cs="Arial"/>
          <w:lang w:val="es-CO"/>
        </w:rPr>
        <w:t>pago</w:t>
      </w:r>
      <w:r>
        <w:rPr>
          <w:rFonts w:cs="Arial"/>
          <w:spacing w:val="19"/>
          <w:lang w:val="es-CO"/>
        </w:rPr>
        <w:t xml:space="preserve"> </w:t>
      </w:r>
      <w:r>
        <w:rPr>
          <w:rFonts w:cs="Arial"/>
          <w:lang w:val="es-CO"/>
        </w:rPr>
        <w:t>como</w:t>
      </w:r>
      <w:r>
        <w:rPr>
          <w:rFonts w:cs="Arial"/>
          <w:spacing w:val="18"/>
          <w:lang w:val="es-CO"/>
        </w:rPr>
        <w:t xml:space="preserve"> </w:t>
      </w:r>
      <w:r>
        <w:rPr>
          <w:rFonts w:cs="Arial"/>
          <w:lang w:val="es-CO"/>
        </w:rPr>
        <w:t>transferencias</w:t>
      </w:r>
      <w:r>
        <w:rPr>
          <w:rFonts w:cs="Arial"/>
          <w:spacing w:val="50"/>
          <w:lang w:val="es-CO"/>
        </w:rPr>
        <w:t xml:space="preserve"> </w:t>
      </w:r>
      <w:r>
        <w:rPr>
          <w:rFonts w:cs="Arial"/>
          <w:lang w:val="es-CO"/>
        </w:rPr>
        <w:t>electrónicas</w:t>
      </w:r>
      <w:r>
        <w:rPr>
          <w:rFonts w:cs="Arial"/>
          <w:spacing w:val="49"/>
          <w:lang w:val="es-CO"/>
        </w:rPr>
        <w:t xml:space="preserve"> </w:t>
      </w:r>
      <w:r>
        <w:rPr>
          <w:rFonts w:cs="Arial"/>
          <w:lang w:val="es-CO"/>
        </w:rPr>
        <w:t>o</w:t>
      </w:r>
      <w:r>
        <w:rPr>
          <w:rFonts w:cs="Arial"/>
          <w:spacing w:val="17"/>
          <w:lang w:val="es-CO"/>
        </w:rPr>
        <w:t xml:space="preserve"> </w:t>
      </w:r>
      <w:r>
        <w:rPr>
          <w:rFonts w:cs="Arial"/>
          <w:lang w:val="es-CO"/>
        </w:rPr>
        <w:t>abonos</w:t>
      </w:r>
      <w:r>
        <w:rPr>
          <w:rFonts w:cs="Arial"/>
          <w:spacing w:val="32"/>
          <w:lang w:val="es-CO"/>
        </w:rPr>
        <w:t xml:space="preserve"> </w:t>
      </w:r>
      <w:r>
        <w:rPr>
          <w:rFonts w:cs="Arial"/>
          <w:lang w:val="es-CO"/>
        </w:rPr>
        <w:t>en</w:t>
      </w:r>
      <w:r>
        <w:rPr>
          <w:rFonts w:cs="Arial"/>
          <w:spacing w:val="23"/>
          <w:lang w:val="es-CO"/>
        </w:rPr>
        <w:t xml:space="preserve"> </w:t>
      </w:r>
      <w:r>
        <w:rPr>
          <w:rFonts w:cs="Arial"/>
          <w:lang w:val="es-CO"/>
        </w:rPr>
        <w:t>cuenta,</w:t>
      </w:r>
      <w:r>
        <w:rPr>
          <w:rFonts w:cs="Arial"/>
          <w:w w:val="98"/>
          <w:lang w:val="es-CO"/>
        </w:rPr>
        <w:t xml:space="preserve"> </w:t>
      </w:r>
      <w:r>
        <w:rPr>
          <w:rFonts w:cs="Arial"/>
          <w:lang w:val="es-CO"/>
        </w:rPr>
        <w:t>bajo</w:t>
      </w:r>
      <w:r>
        <w:rPr>
          <w:rFonts w:cs="Arial"/>
          <w:spacing w:val="-7"/>
          <w:lang w:val="es-CO"/>
        </w:rPr>
        <w:t xml:space="preserve"> </w:t>
      </w:r>
      <w:r>
        <w:rPr>
          <w:rFonts w:cs="Arial"/>
          <w:lang w:val="es-CO"/>
        </w:rPr>
        <w:t>su</w:t>
      </w:r>
      <w:r>
        <w:rPr>
          <w:rFonts w:cs="Arial"/>
          <w:spacing w:val="2"/>
          <w:lang w:val="es-CO"/>
        </w:rPr>
        <w:t xml:space="preserve"> </w:t>
      </w:r>
      <w:r>
        <w:rPr>
          <w:rFonts w:cs="Arial"/>
          <w:lang w:val="es-CO"/>
        </w:rPr>
        <w:t>responsabilidad,</w:t>
      </w:r>
      <w:r>
        <w:rPr>
          <w:rFonts w:cs="Arial"/>
          <w:spacing w:val="20"/>
          <w:lang w:val="es-CO"/>
        </w:rPr>
        <w:t xml:space="preserve"> </w:t>
      </w:r>
      <w:r>
        <w:rPr>
          <w:rFonts w:cs="Arial"/>
          <w:lang w:val="es-CO"/>
        </w:rPr>
        <w:t>a</w:t>
      </w:r>
      <w:r>
        <w:rPr>
          <w:rFonts w:cs="Arial"/>
          <w:spacing w:val="-7"/>
          <w:lang w:val="es-CO"/>
        </w:rPr>
        <w:t xml:space="preserve"> </w:t>
      </w:r>
      <w:r>
        <w:rPr>
          <w:rFonts w:cs="Arial"/>
          <w:lang w:val="es-CO"/>
        </w:rPr>
        <w:t>través de canales</w:t>
      </w:r>
      <w:r>
        <w:rPr>
          <w:rFonts w:cs="Arial"/>
          <w:spacing w:val="16"/>
          <w:lang w:val="es-CO"/>
        </w:rPr>
        <w:t xml:space="preserve"> </w:t>
      </w:r>
      <w:r>
        <w:rPr>
          <w:rFonts w:cs="Arial"/>
          <w:lang w:val="es-CO"/>
        </w:rPr>
        <w:t>presenciales</w:t>
      </w:r>
      <w:r>
        <w:rPr>
          <w:rFonts w:cs="Arial"/>
          <w:spacing w:val="7"/>
          <w:lang w:val="es-CO"/>
        </w:rPr>
        <w:t xml:space="preserve"> </w:t>
      </w:r>
      <w:r>
        <w:rPr>
          <w:rFonts w:cs="Arial"/>
          <w:lang w:val="es-CO"/>
        </w:rPr>
        <w:t>y/o</w:t>
      </w:r>
      <w:r>
        <w:rPr>
          <w:rFonts w:cs="Arial"/>
          <w:spacing w:val="-1"/>
          <w:lang w:val="es-CO"/>
        </w:rPr>
        <w:t xml:space="preserve"> </w:t>
      </w:r>
      <w:r>
        <w:rPr>
          <w:rFonts w:cs="Arial"/>
          <w:lang w:val="es-CO"/>
        </w:rPr>
        <w:t>electrónicos.</w:t>
      </w:r>
    </w:p>
    <w:p w14:paraId="341B39A0" w14:textId="77777777" w:rsidR="00B2442D" w:rsidRDefault="00B2442D">
      <w:pPr>
        <w:spacing w:line="40" w:lineRule="atLeast"/>
        <w:ind w:right="-30"/>
        <w:jc w:val="both"/>
        <w:rPr>
          <w:rFonts w:ascii="Arial" w:hAnsi="Arial" w:cs="Arial"/>
          <w:lang w:val="es-CO"/>
        </w:rPr>
      </w:pPr>
    </w:p>
    <w:p w14:paraId="137E7077" w14:textId="77777777" w:rsidR="00B2442D" w:rsidRDefault="008A645F">
      <w:pPr>
        <w:pStyle w:val="Textoindependiente"/>
        <w:spacing w:line="40" w:lineRule="atLeast"/>
        <w:ind w:right="-30"/>
        <w:jc w:val="both"/>
        <w:rPr>
          <w:rFonts w:cs="Arial"/>
          <w:lang w:val="es-CO"/>
        </w:rPr>
      </w:pPr>
      <w:r>
        <w:rPr>
          <w:rFonts w:cs="Arial"/>
          <w:lang w:val="es-CO"/>
        </w:rPr>
        <w:t>El pago</w:t>
      </w:r>
      <w:r>
        <w:rPr>
          <w:rFonts w:cs="Arial"/>
          <w:spacing w:val="8"/>
          <w:lang w:val="es-CO"/>
        </w:rPr>
        <w:t xml:space="preserve"> </w:t>
      </w:r>
      <w:r>
        <w:rPr>
          <w:rFonts w:cs="Arial"/>
          <w:lang w:val="es-CO"/>
        </w:rPr>
        <w:t>de</w:t>
      </w:r>
      <w:r>
        <w:rPr>
          <w:rFonts w:cs="Arial"/>
          <w:spacing w:val="13"/>
          <w:lang w:val="es-CO"/>
        </w:rPr>
        <w:t xml:space="preserve"> </w:t>
      </w:r>
      <w:r>
        <w:rPr>
          <w:rFonts w:cs="Arial"/>
          <w:lang w:val="es-CO"/>
        </w:rPr>
        <w:t>los</w:t>
      </w:r>
      <w:r>
        <w:rPr>
          <w:rFonts w:cs="Arial"/>
          <w:spacing w:val="13"/>
          <w:lang w:val="es-CO"/>
        </w:rPr>
        <w:t xml:space="preserve"> </w:t>
      </w:r>
      <w:r>
        <w:rPr>
          <w:rFonts w:cs="Arial"/>
          <w:lang w:val="es-CO"/>
        </w:rPr>
        <w:t>impuestos</w:t>
      </w:r>
      <w:r>
        <w:rPr>
          <w:rFonts w:cs="Arial"/>
          <w:spacing w:val="22"/>
          <w:lang w:val="es-CO"/>
        </w:rPr>
        <w:t xml:space="preserve"> </w:t>
      </w:r>
      <w:r>
        <w:rPr>
          <w:rFonts w:cs="Arial"/>
          <w:lang w:val="es-CO"/>
        </w:rPr>
        <w:t>y de la</w:t>
      </w:r>
      <w:r>
        <w:rPr>
          <w:rFonts w:cs="Arial"/>
          <w:spacing w:val="9"/>
          <w:lang w:val="es-CO"/>
        </w:rPr>
        <w:t xml:space="preserve"> </w:t>
      </w:r>
      <w:r>
        <w:rPr>
          <w:rFonts w:cs="Arial"/>
          <w:lang w:val="es-CO"/>
        </w:rPr>
        <w:t>retención</w:t>
      </w:r>
      <w:r>
        <w:rPr>
          <w:rFonts w:cs="Arial"/>
          <w:spacing w:val="17"/>
          <w:lang w:val="es-CO"/>
        </w:rPr>
        <w:t xml:space="preserve"> </w:t>
      </w:r>
      <w:r>
        <w:rPr>
          <w:rFonts w:cs="Arial"/>
          <w:lang w:val="es-CO"/>
        </w:rPr>
        <w:t>en</w:t>
      </w:r>
      <w:r>
        <w:rPr>
          <w:rFonts w:cs="Arial"/>
          <w:spacing w:val="18"/>
          <w:lang w:val="es-CO"/>
        </w:rPr>
        <w:t xml:space="preserve"> </w:t>
      </w:r>
      <w:r>
        <w:rPr>
          <w:rFonts w:cs="Arial"/>
          <w:lang w:val="es-CO"/>
        </w:rPr>
        <w:t>la</w:t>
      </w:r>
      <w:r>
        <w:rPr>
          <w:rFonts w:cs="Arial"/>
          <w:spacing w:val="9"/>
          <w:lang w:val="es-CO"/>
        </w:rPr>
        <w:t xml:space="preserve"> </w:t>
      </w:r>
      <w:r>
        <w:rPr>
          <w:rFonts w:cs="Arial"/>
          <w:lang w:val="es-CO"/>
        </w:rPr>
        <w:t>fuente</w:t>
      </w:r>
      <w:r>
        <w:rPr>
          <w:rFonts w:cs="Arial"/>
          <w:spacing w:val="29"/>
          <w:lang w:val="es-CO"/>
        </w:rPr>
        <w:t xml:space="preserve"> </w:t>
      </w:r>
      <w:r>
        <w:rPr>
          <w:rFonts w:cs="Arial"/>
          <w:lang w:val="es-CO"/>
        </w:rPr>
        <w:t>por</w:t>
      </w:r>
      <w:r>
        <w:rPr>
          <w:rFonts w:cs="Arial"/>
          <w:spacing w:val="14"/>
          <w:lang w:val="es-CO"/>
        </w:rPr>
        <w:t xml:space="preserve"> </w:t>
      </w:r>
      <w:r>
        <w:rPr>
          <w:rFonts w:cs="Arial"/>
          <w:lang w:val="es-CO"/>
        </w:rPr>
        <w:t>la</w:t>
      </w:r>
      <w:r>
        <w:rPr>
          <w:rFonts w:cs="Arial"/>
          <w:spacing w:val="3"/>
          <w:lang w:val="es-CO"/>
        </w:rPr>
        <w:t xml:space="preserve"> </w:t>
      </w:r>
      <w:r>
        <w:rPr>
          <w:rFonts w:cs="Arial"/>
          <w:lang w:val="es-CO"/>
        </w:rPr>
        <w:t>enajenación de activos</w:t>
      </w:r>
      <w:r>
        <w:rPr>
          <w:rFonts w:cs="Arial"/>
          <w:w w:val="97"/>
          <w:lang w:val="es-CO"/>
        </w:rPr>
        <w:t xml:space="preserve"> </w:t>
      </w:r>
      <w:r>
        <w:rPr>
          <w:rFonts w:cs="Arial"/>
          <w:lang w:val="es-CO"/>
        </w:rPr>
        <w:t>fijos,</w:t>
      </w:r>
      <w:r>
        <w:rPr>
          <w:rFonts w:cs="Arial"/>
          <w:spacing w:val="11"/>
          <w:lang w:val="es-CO"/>
        </w:rPr>
        <w:t xml:space="preserve"> </w:t>
      </w:r>
      <w:r>
        <w:rPr>
          <w:rFonts w:cs="Arial"/>
          <w:lang w:val="es-CO"/>
        </w:rPr>
        <w:t>se</w:t>
      </w:r>
      <w:r>
        <w:rPr>
          <w:rFonts w:cs="Arial"/>
          <w:spacing w:val="6"/>
          <w:lang w:val="es-CO"/>
        </w:rPr>
        <w:t xml:space="preserve"> </w:t>
      </w:r>
      <w:r>
        <w:rPr>
          <w:rFonts w:cs="Arial"/>
          <w:lang w:val="es-CO"/>
        </w:rPr>
        <w:t>podrá realizar en</w:t>
      </w:r>
      <w:r>
        <w:rPr>
          <w:rFonts w:cs="Arial"/>
          <w:spacing w:val="2"/>
          <w:lang w:val="es-CO"/>
        </w:rPr>
        <w:t xml:space="preserve"> </w:t>
      </w:r>
      <w:r>
        <w:rPr>
          <w:rFonts w:cs="Arial"/>
          <w:lang w:val="es-CO"/>
        </w:rPr>
        <w:t>efectivo,</w:t>
      </w:r>
      <w:r>
        <w:rPr>
          <w:rFonts w:cs="Arial"/>
          <w:spacing w:val="25"/>
          <w:lang w:val="es-CO"/>
        </w:rPr>
        <w:t xml:space="preserve"> </w:t>
      </w:r>
      <w:r>
        <w:rPr>
          <w:rFonts w:cs="Arial"/>
          <w:lang w:val="es-CO"/>
        </w:rPr>
        <w:t>mediante</w:t>
      </w:r>
      <w:r>
        <w:rPr>
          <w:rFonts w:cs="Arial"/>
          <w:spacing w:val="13"/>
          <w:lang w:val="es-CO"/>
        </w:rPr>
        <w:t xml:space="preserve"> </w:t>
      </w:r>
      <w:r>
        <w:rPr>
          <w:rFonts w:cs="Arial"/>
          <w:lang w:val="es-CO"/>
        </w:rPr>
        <w:t>cheque</w:t>
      </w:r>
      <w:r>
        <w:rPr>
          <w:rFonts w:cs="Arial"/>
          <w:spacing w:val="24"/>
          <w:lang w:val="es-CO"/>
        </w:rPr>
        <w:t xml:space="preserve"> </w:t>
      </w:r>
      <w:r>
        <w:rPr>
          <w:rFonts w:cs="Arial"/>
          <w:lang w:val="es-CO"/>
        </w:rPr>
        <w:t>librado</w:t>
      </w:r>
      <w:r>
        <w:rPr>
          <w:rFonts w:cs="Arial"/>
          <w:spacing w:val="9"/>
          <w:lang w:val="es-CO"/>
        </w:rPr>
        <w:t xml:space="preserve"> </w:t>
      </w:r>
      <w:r>
        <w:rPr>
          <w:rFonts w:cs="Arial"/>
          <w:lang w:val="es-CO"/>
        </w:rPr>
        <w:t>por</w:t>
      </w:r>
      <w:r>
        <w:rPr>
          <w:rFonts w:cs="Arial"/>
          <w:spacing w:val="7"/>
          <w:lang w:val="es-CO"/>
        </w:rPr>
        <w:t xml:space="preserve"> </w:t>
      </w:r>
      <w:r>
        <w:rPr>
          <w:rFonts w:cs="Arial"/>
          <w:lang w:val="es-CO"/>
        </w:rPr>
        <w:t>un</w:t>
      </w:r>
      <w:r>
        <w:rPr>
          <w:rFonts w:cs="Arial"/>
          <w:spacing w:val="-11"/>
          <w:lang w:val="es-CO"/>
        </w:rPr>
        <w:t xml:space="preserve"> </w:t>
      </w:r>
      <w:r>
        <w:rPr>
          <w:rFonts w:cs="Arial"/>
          <w:lang w:val="es-CO"/>
        </w:rPr>
        <w:t>establecimiento</w:t>
      </w:r>
      <w:r>
        <w:rPr>
          <w:rFonts w:cs="Arial"/>
          <w:spacing w:val="22"/>
          <w:lang w:val="es-CO"/>
        </w:rPr>
        <w:t xml:space="preserve"> </w:t>
      </w:r>
      <w:r>
        <w:rPr>
          <w:rFonts w:cs="Arial"/>
          <w:lang w:val="es-CO"/>
        </w:rPr>
        <w:t>de</w:t>
      </w:r>
      <w:r>
        <w:rPr>
          <w:rFonts w:cs="Arial"/>
          <w:w w:val="102"/>
          <w:lang w:val="es-CO"/>
        </w:rPr>
        <w:t xml:space="preserve"> </w:t>
      </w:r>
      <w:r>
        <w:rPr>
          <w:rFonts w:cs="Arial"/>
          <w:lang w:val="es-CO"/>
        </w:rPr>
        <w:t>crédito</w:t>
      </w:r>
      <w:r>
        <w:rPr>
          <w:rFonts w:cs="Arial"/>
          <w:spacing w:val="50"/>
          <w:lang w:val="es-CO"/>
        </w:rPr>
        <w:t xml:space="preserve"> </w:t>
      </w:r>
      <w:r>
        <w:rPr>
          <w:rFonts w:cs="Arial"/>
          <w:lang w:val="es-CO"/>
        </w:rPr>
        <w:t>sometido</w:t>
      </w:r>
      <w:r>
        <w:rPr>
          <w:rFonts w:cs="Arial"/>
          <w:spacing w:val="10"/>
          <w:lang w:val="es-CO"/>
        </w:rPr>
        <w:t xml:space="preserve"> </w:t>
      </w:r>
      <w:r>
        <w:rPr>
          <w:rFonts w:cs="Arial"/>
          <w:lang w:val="es-CO"/>
        </w:rPr>
        <w:t xml:space="preserve">control </w:t>
      </w:r>
      <w:r>
        <w:rPr>
          <w:rFonts w:cs="Arial"/>
          <w:spacing w:val="40"/>
          <w:lang w:val="es-CO"/>
        </w:rPr>
        <w:t xml:space="preserve"> </w:t>
      </w:r>
      <w:r>
        <w:rPr>
          <w:rFonts w:cs="Arial"/>
          <w:lang w:val="es-CO"/>
        </w:rPr>
        <w:t xml:space="preserve">y </w:t>
      </w:r>
      <w:r>
        <w:rPr>
          <w:rFonts w:cs="Arial"/>
          <w:spacing w:val="36"/>
          <w:lang w:val="es-CO"/>
        </w:rPr>
        <w:t xml:space="preserve"> </w:t>
      </w:r>
      <w:r>
        <w:rPr>
          <w:rFonts w:cs="Arial"/>
          <w:lang w:val="es-CO"/>
        </w:rPr>
        <w:t xml:space="preserve">vigilancia de </w:t>
      </w:r>
      <w:r>
        <w:rPr>
          <w:rFonts w:cs="Arial"/>
          <w:spacing w:val="36"/>
          <w:lang w:val="es-CO"/>
        </w:rPr>
        <w:t xml:space="preserve"> </w:t>
      </w:r>
      <w:r>
        <w:rPr>
          <w:rFonts w:cs="Arial"/>
          <w:lang w:val="es-CO"/>
        </w:rPr>
        <w:t xml:space="preserve">la </w:t>
      </w:r>
      <w:r>
        <w:rPr>
          <w:rFonts w:cs="Arial"/>
          <w:spacing w:val="42"/>
          <w:lang w:val="es-CO"/>
        </w:rPr>
        <w:t xml:space="preserve"> </w:t>
      </w:r>
      <w:r>
        <w:rPr>
          <w:rFonts w:cs="Arial"/>
          <w:lang w:val="es-CO"/>
        </w:rPr>
        <w:t xml:space="preserve">Superintendencia </w:t>
      </w:r>
      <w:r>
        <w:rPr>
          <w:rFonts w:cs="Arial"/>
          <w:spacing w:val="19"/>
          <w:lang w:val="es-CO"/>
        </w:rPr>
        <w:t xml:space="preserve"> </w:t>
      </w:r>
      <w:r>
        <w:rPr>
          <w:rFonts w:cs="Arial"/>
          <w:lang w:val="es-CO"/>
        </w:rPr>
        <w:t xml:space="preserve">Financiera </w:t>
      </w:r>
      <w:r>
        <w:rPr>
          <w:rFonts w:cs="Arial"/>
          <w:spacing w:val="48"/>
          <w:lang w:val="es-CO"/>
        </w:rPr>
        <w:t xml:space="preserve"> </w:t>
      </w:r>
      <w:r>
        <w:rPr>
          <w:rFonts w:cs="Arial"/>
          <w:lang w:val="es-CO"/>
        </w:rPr>
        <w:t>de</w:t>
      </w:r>
      <w:r>
        <w:rPr>
          <w:rFonts w:cs="Arial"/>
          <w:w w:val="101"/>
          <w:lang w:val="es-CO"/>
        </w:rPr>
        <w:t xml:space="preserve"> </w:t>
      </w:r>
      <w:r>
        <w:rPr>
          <w:rFonts w:cs="Arial"/>
          <w:lang w:val="es-CO"/>
        </w:rPr>
        <w:t>Colombia,</w:t>
      </w:r>
      <w:r>
        <w:rPr>
          <w:rFonts w:cs="Arial"/>
          <w:spacing w:val="15"/>
          <w:lang w:val="es-CO"/>
        </w:rPr>
        <w:t xml:space="preserve"> </w:t>
      </w:r>
      <w:r>
        <w:rPr>
          <w:rFonts w:cs="Arial"/>
          <w:lang w:val="es-CO"/>
        </w:rPr>
        <w:t>o</w:t>
      </w:r>
      <w:r>
        <w:rPr>
          <w:rFonts w:cs="Arial"/>
          <w:spacing w:val="-6"/>
          <w:lang w:val="es-CO"/>
        </w:rPr>
        <w:t xml:space="preserve"> </w:t>
      </w:r>
      <w:r>
        <w:rPr>
          <w:rFonts w:cs="Arial"/>
          <w:lang w:val="es-CO"/>
        </w:rPr>
        <w:t>cualquier</w:t>
      </w:r>
      <w:r>
        <w:rPr>
          <w:rFonts w:cs="Arial"/>
          <w:spacing w:val="11"/>
          <w:lang w:val="es-CO"/>
        </w:rPr>
        <w:t xml:space="preserve"> </w:t>
      </w:r>
      <w:r>
        <w:rPr>
          <w:rFonts w:cs="Arial"/>
          <w:lang w:val="es-CO"/>
        </w:rPr>
        <w:t>otro</w:t>
      </w:r>
      <w:r>
        <w:rPr>
          <w:rFonts w:cs="Arial"/>
          <w:spacing w:val="5"/>
          <w:lang w:val="es-CO"/>
        </w:rPr>
        <w:t xml:space="preserve"> </w:t>
      </w:r>
      <w:r>
        <w:rPr>
          <w:rFonts w:cs="Arial"/>
          <w:lang w:val="es-CO"/>
        </w:rPr>
        <w:t>medio de pago.</w:t>
      </w:r>
    </w:p>
    <w:p w14:paraId="74AD47B0" w14:textId="77777777" w:rsidR="00B2442D" w:rsidRDefault="00B2442D">
      <w:pPr>
        <w:spacing w:line="40" w:lineRule="atLeast"/>
        <w:ind w:right="-30"/>
        <w:jc w:val="both"/>
        <w:rPr>
          <w:rFonts w:ascii="Arial" w:hAnsi="Arial" w:cs="Arial"/>
          <w:lang w:val="es-CO"/>
        </w:rPr>
      </w:pPr>
    </w:p>
    <w:p w14:paraId="36A42F90" w14:textId="77777777" w:rsidR="00B2442D" w:rsidRDefault="008A645F">
      <w:pPr>
        <w:pStyle w:val="Textoindependiente"/>
        <w:tabs>
          <w:tab w:val="left" w:pos="1322"/>
          <w:tab w:val="left" w:pos="1968"/>
        </w:tabs>
        <w:spacing w:line="40" w:lineRule="atLeast"/>
        <w:ind w:right="-30"/>
        <w:jc w:val="both"/>
        <w:rPr>
          <w:rFonts w:cs="Arial"/>
          <w:lang w:val="es-CO"/>
        </w:rPr>
      </w:pPr>
      <w:r>
        <w:rPr>
          <w:rFonts w:cs="Arial"/>
          <w:b/>
          <w:lang w:val="es-CO"/>
        </w:rPr>
        <w:t>Parágrafo.</w:t>
      </w:r>
      <w:r>
        <w:rPr>
          <w:rFonts w:cs="Arial"/>
          <w:lang w:val="es-CO"/>
        </w:rPr>
        <w:tab/>
        <w:t>Las entidades</w:t>
      </w:r>
      <w:r>
        <w:rPr>
          <w:rFonts w:cs="Arial"/>
          <w:spacing w:val="49"/>
          <w:lang w:val="es-CO"/>
        </w:rPr>
        <w:t xml:space="preserve"> </w:t>
      </w:r>
      <w:r>
        <w:rPr>
          <w:rFonts w:cs="Arial"/>
          <w:lang w:val="es-CO"/>
        </w:rPr>
        <w:t>financieras</w:t>
      </w:r>
      <w:r>
        <w:rPr>
          <w:rFonts w:cs="Arial"/>
          <w:spacing w:val="60"/>
          <w:lang w:val="es-CO"/>
        </w:rPr>
        <w:t xml:space="preserve"> </w:t>
      </w:r>
      <w:r>
        <w:rPr>
          <w:rFonts w:cs="Arial"/>
          <w:lang w:val="es-CO"/>
        </w:rPr>
        <w:t>autorizadas</w:t>
      </w:r>
      <w:r>
        <w:rPr>
          <w:rFonts w:cs="Arial"/>
          <w:spacing w:val="58"/>
          <w:lang w:val="es-CO"/>
        </w:rPr>
        <w:t xml:space="preserve"> </w:t>
      </w:r>
      <w:r>
        <w:rPr>
          <w:rFonts w:cs="Arial"/>
          <w:lang w:val="es-CO"/>
        </w:rPr>
        <w:t>para</w:t>
      </w:r>
      <w:r>
        <w:rPr>
          <w:rFonts w:cs="Arial"/>
          <w:spacing w:val="37"/>
          <w:lang w:val="es-CO"/>
        </w:rPr>
        <w:t xml:space="preserve"> </w:t>
      </w:r>
      <w:r>
        <w:rPr>
          <w:rFonts w:cs="Arial"/>
          <w:lang w:val="es-CO"/>
        </w:rPr>
        <w:t>recaudar,</w:t>
      </w:r>
      <w:r>
        <w:rPr>
          <w:rFonts w:cs="Arial"/>
          <w:spacing w:val="48"/>
          <w:lang w:val="es-CO"/>
        </w:rPr>
        <w:t xml:space="preserve"> </w:t>
      </w:r>
      <w:r>
        <w:rPr>
          <w:rFonts w:cs="Arial"/>
          <w:lang w:val="es-CO"/>
        </w:rPr>
        <w:t>los</w:t>
      </w:r>
      <w:r>
        <w:rPr>
          <w:rFonts w:cs="Arial"/>
          <w:spacing w:val="44"/>
          <w:lang w:val="es-CO"/>
        </w:rPr>
        <w:t xml:space="preserve"> </w:t>
      </w:r>
      <w:r>
        <w:rPr>
          <w:rFonts w:cs="Arial"/>
          <w:lang w:val="es-CO"/>
        </w:rPr>
        <w:t>notarios</w:t>
      </w:r>
      <w:r>
        <w:rPr>
          <w:rFonts w:cs="Arial"/>
          <w:spacing w:val="30"/>
          <w:lang w:val="es-CO"/>
        </w:rPr>
        <w:t xml:space="preserve"> </w:t>
      </w:r>
      <w:r>
        <w:rPr>
          <w:rFonts w:cs="Arial"/>
          <w:lang w:val="es-CO"/>
        </w:rPr>
        <w:t>y las</w:t>
      </w:r>
      <w:r>
        <w:rPr>
          <w:rFonts w:cs="Arial"/>
          <w:w w:val="104"/>
          <w:lang w:val="es-CO"/>
        </w:rPr>
        <w:t xml:space="preserve"> </w:t>
      </w:r>
      <w:r>
        <w:rPr>
          <w:rFonts w:cs="Arial"/>
          <w:lang w:val="es-CO"/>
        </w:rPr>
        <w:t>oficinas</w:t>
      </w:r>
      <w:r>
        <w:rPr>
          <w:rFonts w:cs="Arial"/>
          <w:spacing w:val="12"/>
          <w:lang w:val="es-CO"/>
        </w:rPr>
        <w:t xml:space="preserve"> </w:t>
      </w:r>
      <w:r>
        <w:rPr>
          <w:rFonts w:cs="Arial"/>
          <w:lang w:val="es-CO"/>
        </w:rPr>
        <w:t>de</w:t>
      </w:r>
      <w:r>
        <w:rPr>
          <w:rFonts w:cs="Arial"/>
          <w:spacing w:val="-4"/>
          <w:lang w:val="es-CO"/>
        </w:rPr>
        <w:t xml:space="preserve"> </w:t>
      </w:r>
      <w:r>
        <w:rPr>
          <w:rFonts w:cs="Arial"/>
          <w:lang w:val="es-CO"/>
        </w:rPr>
        <w:t>tránsito,</w:t>
      </w:r>
      <w:r>
        <w:rPr>
          <w:rFonts w:cs="Arial"/>
          <w:spacing w:val="23"/>
          <w:lang w:val="es-CO"/>
        </w:rPr>
        <w:t xml:space="preserve"> </w:t>
      </w:r>
      <w:r>
        <w:rPr>
          <w:rFonts w:cs="Arial"/>
          <w:lang w:val="es-CO"/>
        </w:rPr>
        <w:t>bajo</w:t>
      </w:r>
      <w:r>
        <w:rPr>
          <w:rFonts w:cs="Arial"/>
          <w:spacing w:val="-2"/>
          <w:lang w:val="es-CO"/>
        </w:rPr>
        <w:t xml:space="preserve"> </w:t>
      </w:r>
      <w:r>
        <w:rPr>
          <w:rFonts w:cs="Arial"/>
          <w:lang w:val="es-CO"/>
        </w:rPr>
        <w:t>su</w:t>
      </w:r>
      <w:r>
        <w:rPr>
          <w:rFonts w:cs="Arial"/>
          <w:spacing w:val="7"/>
          <w:lang w:val="es-CO"/>
        </w:rPr>
        <w:t xml:space="preserve"> </w:t>
      </w:r>
      <w:r>
        <w:rPr>
          <w:rFonts w:cs="Arial"/>
          <w:lang w:val="es-CO"/>
        </w:rPr>
        <w:t>responsabilidad,</w:t>
      </w:r>
      <w:r>
        <w:rPr>
          <w:rFonts w:cs="Arial"/>
          <w:spacing w:val="28"/>
          <w:lang w:val="es-CO"/>
        </w:rPr>
        <w:t xml:space="preserve"> </w:t>
      </w:r>
      <w:r>
        <w:rPr>
          <w:rFonts w:cs="Arial"/>
          <w:lang w:val="es-CO"/>
        </w:rPr>
        <w:t>podrán</w:t>
      </w:r>
      <w:r>
        <w:rPr>
          <w:rFonts w:cs="Arial"/>
          <w:spacing w:val="11"/>
          <w:lang w:val="es-CO"/>
        </w:rPr>
        <w:t xml:space="preserve"> </w:t>
      </w:r>
      <w:r>
        <w:rPr>
          <w:rFonts w:cs="Arial"/>
          <w:lang w:val="es-CO"/>
        </w:rPr>
        <w:t>recibir</w:t>
      </w:r>
      <w:r>
        <w:rPr>
          <w:rFonts w:cs="Arial"/>
          <w:spacing w:val="3"/>
          <w:lang w:val="es-CO"/>
        </w:rPr>
        <w:t xml:space="preserve"> </w:t>
      </w:r>
      <w:r>
        <w:rPr>
          <w:rFonts w:cs="Arial"/>
          <w:lang w:val="es-CO"/>
        </w:rPr>
        <w:t>cheques</w:t>
      </w:r>
      <w:r>
        <w:rPr>
          <w:rFonts w:cs="Arial"/>
          <w:spacing w:val="28"/>
          <w:lang w:val="es-CO"/>
        </w:rPr>
        <w:t xml:space="preserve"> </w:t>
      </w:r>
      <w:r>
        <w:rPr>
          <w:rFonts w:cs="Arial"/>
          <w:lang w:val="es-CO"/>
        </w:rPr>
        <w:t>librados</w:t>
      </w:r>
      <w:r>
        <w:rPr>
          <w:rFonts w:cs="Arial"/>
          <w:spacing w:val="4"/>
          <w:lang w:val="es-CO"/>
        </w:rPr>
        <w:t xml:space="preserve"> </w:t>
      </w:r>
      <w:r>
        <w:rPr>
          <w:rFonts w:cs="Arial"/>
          <w:lang w:val="es-CO"/>
        </w:rPr>
        <w:t>en</w:t>
      </w:r>
      <w:r>
        <w:rPr>
          <w:rFonts w:cs="Arial"/>
          <w:spacing w:val="-13"/>
          <w:lang w:val="es-CO"/>
        </w:rPr>
        <w:t xml:space="preserve"> </w:t>
      </w:r>
      <w:r>
        <w:rPr>
          <w:rFonts w:cs="Arial"/>
          <w:lang w:val="es-CO"/>
        </w:rPr>
        <w:t xml:space="preserve">forma </w:t>
      </w:r>
      <w:r>
        <w:rPr>
          <w:rFonts w:cs="Arial"/>
          <w:lang w:val="es-CO"/>
        </w:rPr>
        <w:t>distinta</w:t>
      </w:r>
      <w:r>
        <w:rPr>
          <w:rFonts w:cs="Arial"/>
          <w:spacing w:val="13"/>
          <w:lang w:val="es-CO"/>
        </w:rPr>
        <w:t xml:space="preserve"> </w:t>
      </w:r>
      <w:r>
        <w:rPr>
          <w:rFonts w:cs="Arial"/>
          <w:lang w:val="es-CO"/>
        </w:rPr>
        <w:t>a</w:t>
      </w:r>
      <w:r>
        <w:rPr>
          <w:rFonts w:cs="Arial"/>
          <w:spacing w:val="10"/>
          <w:lang w:val="es-CO"/>
        </w:rPr>
        <w:t xml:space="preserve"> </w:t>
      </w:r>
      <w:r>
        <w:rPr>
          <w:rFonts w:cs="Arial"/>
          <w:lang w:val="es-CO"/>
        </w:rPr>
        <w:t>la señalada</w:t>
      </w:r>
      <w:r>
        <w:rPr>
          <w:rFonts w:cs="Arial"/>
          <w:spacing w:val="24"/>
          <w:lang w:val="es-CO"/>
        </w:rPr>
        <w:t xml:space="preserve"> </w:t>
      </w:r>
      <w:r>
        <w:rPr>
          <w:rFonts w:cs="Arial"/>
          <w:lang w:val="es-CO"/>
        </w:rPr>
        <w:t>o</w:t>
      </w:r>
      <w:r>
        <w:rPr>
          <w:rFonts w:cs="Arial"/>
          <w:spacing w:val="8"/>
          <w:lang w:val="es-CO"/>
        </w:rPr>
        <w:t xml:space="preserve"> </w:t>
      </w:r>
      <w:r>
        <w:rPr>
          <w:rFonts w:cs="Arial"/>
          <w:lang w:val="es-CO"/>
        </w:rPr>
        <w:t>habilitar</w:t>
      </w:r>
      <w:r>
        <w:rPr>
          <w:rFonts w:cs="Arial"/>
          <w:spacing w:val="12"/>
          <w:lang w:val="es-CO"/>
        </w:rPr>
        <w:t xml:space="preserve"> </w:t>
      </w:r>
      <w:r>
        <w:rPr>
          <w:rFonts w:cs="Arial"/>
          <w:lang w:val="es-CO"/>
        </w:rPr>
        <w:t>cualquier</w:t>
      </w:r>
      <w:r>
        <w:rPr>
          <w:rFonts w:cs="Arial"/>
          <w:spacing w:val="29"/>
          <w:lang w:val="es-CO"/>
        </w:rPr>
        <w:t xml:space="preserve"> </w:t>
      </w:r>
      <w:r>
        <w:rPr>
          <w:rFonts w:cs="Arial"/>
          <w:lang w:val="es-CO"/>
        </w:rPr>
        <w:t>procedimiento</w:t>
      </w:r>
      <w:r>
        <w:rPr>
          <w:rFonts w:cs="Arial"/>
          <w:spacing w:val="8"/>
          <w:lang w:val="es-CO"/>
        </w:rPr>
        <w:t xml:space="preserve"> </w:t>
      </w:r>
      <w:r>
        <w:rPr>
          <w:rFonts w:cs="Arial"/>
          <w:lang w:val="es-CO"/>
        </w:rPr>
        <w:t>que</w:t>
      </w:r>
      <w:r>
        <w:rPr>
          <w:rFonts w:cs="Arial"/>
          <w:spacing w:val="2"/>
          <w:lang w:val="es-CO"/>
        </w:rPr>
        <w:t xml:space="preserve"> </w:t>
      </w:r>
      <w:r>
        <w:rPr>
          <w:rFonts w:cs="Arial"/>
          <w:lang w:val="es-CO"/>
        </w:rPr>
        <w:t>facilite</w:t>
      </w:r>
      <w:r>
        <w:rPr>
          <w:rFonts w:cs="Arial"/>
          <w:spacing w:val="21"/>
          <w:lang w:val="es-CO"/>
        </w:rPr>
        <w:t xml:space="preserve"> </w:t>
      </w:r>
      <w:r>
        <w:rPr>
          <w:rFonts w:cs="Arial"/>
          <w:lang w:val="es-CO"/>
        </w:rPr>
        <w:t>el</w:t>
      </w:r>
      <w:r>
        <w:rPr>
          <w:rFonts w:cs="Arial"/>
          <w:spacing w:val="-2"/>
          <w:lang w:val="es-CO"/>
        </w:rPr>
        <w:t xml:space="preserve"> </w:t>
      </w:r>
      <w:r>
        <w:rPr>
          <w:rFonts w:cs="Arial"/>
          <w:lang w:val="es-CO"/>
        </w:rPr>
        <w:t>pago.</w:t>
      </w:r>
      <w:r>
        <w:rPr>
          <w:rFonts w:cs="Arial"/>
          <w:spacing w:val="8"/>
          <w:lang w:val="es-CO"/>
        </w:rPr>
        <w:t xml:space="preserve"> </w:t>
      </w:r>
      <w:r>
        <w:rPr>
          <w:rFonts w:cs="Arial"/>
          <w:lang w:val="es-CO"/>
        </w:rPr>
        <w:t>En</w:t>
      </w:r>
      <w:r>
        <w:rPr>
          <w:rFonts w:cs="Arial"/>
          <w:spacing w:val="-12"/>
          <w:lang w:val="es-CO"/>
        </w:rPr>
        <w:t xml:space="preserve"> </w:t>
      </w:r>
      <w:r>
        <w:rPr>
          <w:rFonts w:cs="Arial"/>
          <w:lang w:val="es-CO"/>
        </w:rPr>
        <w:t>estos</w:t>
      </w:r>
      <w:r>
        <w:rPr>
          <w:rFonts w:cs="Arial"/>
          <w:w w:val="98"/>
          <w:lang w:val="es-CO"/>
        </w:rPr>
        <w:t xml:space="preserve"> </w:t>
      </w:r>
      <w:r>
        <w:rPr>
          <w:rFonts w:cs="Arial"/>
          <w:lang w:val="es-CO"/>
        </w:rPr>
        <w:t>casos, las entidades</w:t>
      </w:r>
      <w:r>
        <w:rPr>
          <w:rFonts w:cs="Arial"/>
          <w:spacing w:val="33"/>
          <w:lang w:val="es-CO"/>
        </w:rPr>
        <w:t xml:space="preserve"> </w:t>
      </w:r>
      <w:r>
        <w:rPr>
          <w:rFonts w:cs="Arial"/>
          <w:lang w:val="es-CO"/>
        </w:rPr>
        <w:t>mencionadas</w:t>
      </w:r>
      <w:r>
        <w:rPr>
          <w:rFonts w:cs="Arial"/>
          <w:spacing w:val="27"/>
          <w:lang w:val="es-CO"/>
        </w:rPr>
        <w:t xml:space="preserve"> </w:t>
      </w:r>
      <w:r>
        <w:rPr>
          <w:rFonts w:cs="Arial"/>
          <w:lang w:val="es-CO"/>
        </w:rPr>
        <w:t>deberán</w:t>
      </w:r>
      <w:r>
        <w:rPr>
          <w:rFonts w:cs="Arial"/>
          <w:spacing w:val="34"/>
          <w:lang w:val="es-CO"/>
        </w:rPr>
        <w:t xml:space="preserve"> </w:t>
      </w:r>
      <w:r>
        <w:rPr>
          <w:rFonts w:cs="Arial"/>
          <w:lang w:val="es-CO"/>
        </w:rPr>
        <w:t>responder</w:t>
      </w:r>
      <w:r>
        <w:rPr>
          <w:rFonts w:cs="Arial"/>
          <w:spacing w:val="23"/>
          <w:lang w:val="es-CO"/>
        </w:rPr>
        <w:t xml:space="preserve"> </w:t>
      </w:r>
      <w:r>
        <w:rPr>
          <w:rFonts w:cs="Arial"/>
          <w:lang w:val="es-CO"/>
        </w:rPr>
        <w:t>por</w:t>
      </w:r>
      <w:r>
        <w:rPr>
          <w:rFonts w:cs="Arial"/>
          <w:spacing w:val="6"/>
          <w:lang w:val="es-CO"/>
        </w:rPr>
        <w:t xml:space="preserve"> </w:t>
      </w:r>
      <w:r>
        <w:rPr>
          <w:rFonts w:cs="Arial"/>
          <w:lang w:val="es-CO"/>
        </w:rPr>
        <w:t>el</w:t>
      </w:r>
      <w:r>
        <w:rPr>
          <w:rFonts w:cs="Arial"/>
          <w:spacing w:val="-4"/>
          <w:lang w:val="es-CO"/>
        </w:rPr>
        <w:t xml:space="preserve"> </w:t>
      </w:r>
      <w:r>
        <w:rPr>
          <w:rFonts w:cs="Arial"/>
          <w:lang w:val="es-CO"/>
        </w:rPr>
        <w:t>valor</w:t>
      </w:r>
      <w:r>
        <w:rPr>
          <w:rFonts w:cs="Arial"/>
          <w:spacing w:val="19"/>
          <w:lang w:val="es-CO"/>
        </w:rPr>
        <w:t xml:space="preserve"> </w:t>
      </w:r>
      <w:r>
        <w:rPr>
          <w:rFonts w:cs="Arial"/>
          <w:lang w:val="es-CO"/>
        </w:rPr>
        <w:t>del</w:t>
      </w:r>
      <w:r>
        <w:rPr>
          <w:rFonts w:cs="Arial"/>
          <w:spacing w:val="15"/>
          <w:lang w:val="es-CO"/>
        </w:rPr>
        <w:t xml:space="preserve"> </w:t>
      </w:r>
      <w:r>
        <w:rPr>
          <w:rFonts w:cs="Arial"/>
          <w:lang w:val="es-CO"/>
        </w:rPr>
        <w:t>recaudo,</w:t>
      </w:r>
      <w:r>
        <w:rPr>
          <w:rFonts w:cs="Arial"/>
          <w:spacing w:val="20"/>
          <w:lang w:val="es-CO"/>
        </w:rPr>
        <w:t xml:space="preserve"> </w:t>
      </w:r>
      <w:r>
        <w:rPr>
          <w:rFonts w:cs="Arial"/>
          <w:lang w:val="es-CO"/>
        </w:rPr>
        <w:t>como si</w:t>
      </w:r>
      <w:r>
        <w:rPr>
          <w:rFonts w:cs="Arial"/>
          <w:spacing w:val="-9"/>
          <w:lang w:val="es-CO"/>
        </w:rPr>
        <w:t xml:space="preserve"> </w:t>
      </w:r>
      <w:r>
        <w:rPr>
          <w:rFonts w:cs="Arial"/>
          <w:lang w:val="es-CO"/>
        </w:rPr>
        <w:t>este</w:t>
      </w:r>
      <w:r>
        <w:rPr>
          <w:rFonts w:cs="Arial"/>
          <w:spacing w:val="7"/>
          <w:lang w:val="es-CO"/>
        </w:rPr>
        <w:t xml:space="preserve"> </w:t>
      </w:r>
      <w:r>
        <w:rPr>
          <w:rFonts w:cs="Arial"/>
          <w:lang w:val="es-CO"/>
        </w:rPr>
        <w:t>se</w:t>
      </w:r>
      <w:r>
        <w:rPr>
          <w:rFonts w:cs="Arial"/>
          <w:spacing w:val="5"/>
          <w:lang w:val="es-CO"/>
        </w:rPr>
        <w:t xml:space="preserve"> </w:t>
      </w:r>
      <w:r>
        <w:rPr>
          <w:rFonts w:cs="Arial"/>
          <w:lang w:val="es-CO"/>
        </w:rPr>
        <w:t>hubiera</w:t>
      </w:r>
      <w:r>
        <w:rPr>
          <w:rFonts w:cs="Arial"/>
          <w:spacing w:val="14"/>
          <w:lang w:val="es-CO"/>
        </w:rPr>
        <w:t xml:space="preserve"> </w:t>
      </w:r>
      <w:r>
        <w:rPr>
          <w:rFonts w:cs="Arial"/>
          <w:lang w:val="es-CO"/>
        </w:rPr>
        <w:t>pagado</w:t>
      </w:r>
      <w:r>
        <w:rPr>
          <w:rFonts w:cs="Arial"/>
          <w:spacing w:val="5"/>
          <w:lang w:val="es-CO"/>
        </w:rPr>
        <w:t xml:space="preserve"> </w:t>
      </w:r>
      <w:r>
        <w:rPr>
          <w:rFonts w:cs="Arial"/>
          <w:lang w:val="es-CO"/>
        </w:rPr>
        <w:t>en</w:t>
      </w:r>
      <w:r>
        <w:rPr>
          <w:rFonts w:cs="Arial"/>
          <w:spacing w:val="-9"/>
          <w:lang w:val="es-CO"/>
        </w:rPr>
        <w:t xml:space="preserve"> </w:t>
      </w:r>
      <w:r>
        <w:rPr>
          <w:rFonts w:cs="Arial"/>
          <w:lang w:val="es-CO"/>
        </w:rPr>
        <w:t>efectivo.</w:t>
      </w:r>
    </w:p>
    <w:p w14:paraId="53C16E45" w14:textId="77777777" w:rsidR="00B2442D" w:rsidRDefault="00B2442D">
      <w:pPr>
        <w:spacing w:line="40" w:lineRule="atLeast"/>
        <w:ind w:right="-30"/>
        <w:jc w:val="both"/>
        <w:rPr>
          <w:rFonts w:ascii="Arial" w:hAnsi="Arial" w:cs="Arial"/>
          <w:lang w:val="es-CO"/>
        </w:rPr>
      </w:pPr>
    </w:p>
    <w:p w14:paraId="3EB0276E" w14:textId="77777777" w:rsidR="00B2442D" w:rsidRDefault="008A645F">
      <w:pPr>
        <w:jc w:val="both"/>
        <w:rPr>
          <w:rFonts w:ascii="Arial" w:hAnsi="Arial" w:cs="Arial"/>
          <w:i/>
          <w:lang w:val="es-ES_tradnl"/>
        </w:rPr>
      </w:pPr>
      <w:r>
        <w:rPr>
          <w:rFonts w:ascii="Arial" w:hAnsi="Arial" w:cs="Arial"/>
          <w:i/>
          <w:lang w:val="es-ES_tradnl"/>
        </w:rPr>
        <w:t xml:space="preserve">(Art. 48, Decreto 2243 de 2015) </w:t>
      </w:r>
      <w:r>
        <w:rPr>
          <w:rFonts w:ascii="Arial" w:hAnsi="Arial" w:cs="Arial"/>
          <w:i/>
          <w:lang w:val="es-ES_tradnl"/>
        </w:rPr>
        <w:t>(Plazos 2015: Decreto 2623 de 2014; plazos 2014: Decreto 2972 de 2013 y Decreto 685 de 2014; plazos 2013: Decreto 2634 de 2012 y Decreto 0187 de 2013; plazos 2012: Decreto 4907 de 2011; plazos 2011: Decreto 4836 de 2010 y Decreto 1358 de 2011)</w:t>
      </w:r>
    </w:p>
    <w:p w14:paraId="06E5830D" w14:textId="77777777" w:rsidR="00B2442D" w:rsidRDefault="00B2442D">
      <w:pPr>
        <w:spacing w:line="40" w:lineRule="atLeast"/>
        <w:ind w:right="-30"/>
        <w:jc w:val="both"/>
        <w:rPr>
          <w:rFonts w:ascii="Arial" w:hAnsi="Arial" w:cs="Arial"/>
          <w:lang w:val="es-CO"/>
        </w:rPr>
      </w:pPr>
    </w:p>
    <w:p w14:paraId="2DE14644"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Pago median</w:t>
      </w:r>
      <w:r>
        <w:rPr>
          <w:rFonts w:cs="Arial"/>
          <w:b/>
          <w:i/>
          <w:lang w:val="es-CO"/>
        </w:rPr>
        <w:t>te documentos especiales.</w:t>
      </w:r>
      <w:r>
        <w:rPr>
          <w:rFonts w:cs="Arial"/>
          <w:lang w:val="es-CO"/>
        </w:rPr>
        <w:t xml:space="preserve"> </w:t>
      </w:r>
      <w:r>
        <w:rPr>
          <w:rFonts w:cs="Arial"/>
          <w:spacing w:val="48"/>
          <w:lang w:val="es-CO"/>
        </w:rPr>
        <w:t xml:space="preserve"> </w:t>
      </w:r>
      <w:r>
        <w:rPr>
          <w:rFonts w:cs="Arial"/>
          <w:lang w:val="es-CO"/>
        </w:rPr>
        <w:t>Cuando una norma</w:t>
      </w:r>
      <w:r>
        <w:rPr>
          <w:rFonts w:cs="Arial"/>
          <w:spacing w:val="10"/>
          <w:lang w:val="es-CO"/>
        </w:rPr>
        <w:t xml:space="preserve"> </w:t>
      </w:r>
      <w:r>
        <w:rPr>
          <w:rFonts w:cs="Arial"/>
          <w:lang w:val="es-CO"/>
        </w:rPr>
        <w:t>legal</w:t>
      </w:r>
      <w:r>
        <w:rPr>
          <w:rFonts w:cs="Arial"/>
          <w:spacing w:val="-13"/>
          <w:lang w:val="es-CO"/>
        </w:rPr>
        <w:t xml:space="preserve"> </w:t>
      </w:r>
      <w:r>
        <w:rPr>
          <w:rFonts w:cs="Arial"/>
          <w:lang w:val="es-CO"/>
        </w:rPr>
        <w:t>faculte</w:t>
      </w:r>
      <w:r>
        <w:rPr>
          <w:rFonts w:cs="Arial"/>
          <w:spacing w:val="15"/>
          <w:lang w:val="es-CO"/>
        </w:rPr>
        <w:t xml:space="preserve"> </w:t>
      </w:r>
      <w:r>
        <w:rPr>
          <w:rFonts w:cs="Arial"/>
          <w:lang w:val="es-CO"/>
        </w:rPr>
        <w:t>al</w:t>
      </w:r>
      <w:r>
        <w:rPr>
          <w:rFonts w:cs="Arial"/>
          <w:spacing w:val="-11"/>
          <w:lang w:val="es-CO"/>
        </w:rPr>
        <w:t xml:space="preserve"> </w:t>
      </w:r>
      <w:r>
        <w:rPr>
          <w:rFonts w:cs="Arial"/>
          <w:lang w:val="es-CO"/>
        </w:rPr>
        <w:t>contribuyente</w:t>
      </w:r>
      <w:r>
        <w:rPr>
          <w:rFonts w:cs="Arial"/>
          <w:spacing w:val="22"/>
          <w:lang w:val="es-CO"/>
        </w:rPr>
        <w:t xml:space="preserve"> </w:t>
      </w:r>
      <w:r>
        <w:rPr>
          <w:rFonts w:cs="Arial"/>
          <w:lang w:val="es-CO"/>
        </w:rPr>
        <w:t>a</w:t>
      </w:r>
      <w:r>
        <w:rPr>
          <w:rFonts w:cs="Arial"/>
          <w:spacing w:val="-1"/>
          <w:lang w:val="es-CO"/>
        </w:rPr>
        <w:t xml:space="preserve"> </w:t>
      </w:r>
      <w:r>
        <w:rPr>
          <w:rFonts w:cs="Arial"/>
          <w:lang w:val="es-CO"/>
        </w:rPr>
        <w:t>utilizar</w:t>
      </w:r>
      <w:r>
        <w:rPr>
          <w:rFonts w:cs="Arial"/>
          <w:spacing w:val="5"/>
          <w:lang w:val="es-CO"/>
        </w:rPr>
        <w:t xml:space="preserve"> </w:t>
      </w:r>
      <w:r>
        <w:rPr>
          <w:rFonts w:cs="Arial"/>
          <w:lang w:val="es-CO"/>
        </w:rPr>
        <w:t>títulos,</w:t>
      </w:r>
      <w:r>
        <w:rPr>
          <w:rFonts w:cs="Arial"/>
          <w:spacing w:val="17"/>
          <w:lang w:val="es-CO"/>
        </w:rPr>
        <w:t xml:space="preserve"> </w:t>
      </w:r>
      <w:r>
        <w:rPr>
          <w:rFonts w:cs="Arial"/>
          <w:lang w:val="es-CO"/>
        </w:rPr>
        <w:t>bonos,</w:t>
      </w:r>
      <w:r>
        <w:rPr>
          <w:rFonts w:cs="Arial"/>
          <w:spacing w:val="1"/>
          <w:lang w:val="es-CO"/>
        </w:rPr>
        <w:t xml:space="preserve"> </w:t>
      </w:r>
      <w:r>
        <w:rPr>
          <w:rFonts w:cs="Arial"/>
          <w:lang w:val="es-CO"/>
        </w:rPr>
        <w:t>certificados</w:t>
      </w:r>
      <w:r>
        <w:rPr>
          <w:rFonts w:cs="Arial"/>
          <w:spacing w:val="15"/>
          <w:lang w:val="es-CO"/>
        </w:rPr>
        <w:t xml:space="preserve"> </w:t>
      </w:r>
      <w:r>
        <w:rPr>
          <w:rFonts w:cs="Arial"/>
          <w:lang w:val="es-CO"/>
        </w:rPr>
        <w:t>o</w:t>
      </w:r>
      <w:r>
        <w:rPr>
          <w:rFonts w:cs="Arial"/>
          <w:spacing w:val="-12"/>
          <w:lang w:val="es-CO"/>
        </w:rPr>
        <w:t xml:space="preserve"> </w:t>
      </w:r>
      <w:r>
        <w:rPr>
          <w:rFonts w:cs="Arial"/>
          <w:lang w:val="es-CO"/>
        </w:rPr>
        <w:t>documentos</w:t>
      </w:r>
      <w:r>
        <w:rPr>
          <w:rFonts w:cs="Arial"/>
          <w:w w:val="99"/>
          <w:lang w:val="es-CO"/>
        </w:rPr>
        <w:t xml:space="preserve"> </w:t>
      </w:r>
      <w:r>
        <w:rPr>
          <w:rFonts w:cs="Arial"/>
          <w:lang w:val="es-CO"/>
        </w:rPr>
        <w:t>similares</w:t>
      </w:r>
      <w:r>
        <w:rPr>
          <w:rFonts w:cs="Arial"/>
          <w:spacing w:val="61"/>
          <w:lang w:val="es-CO"/>
        </w:rPr>
        <w:t xml:space="preserve"> </w:t>
      </w:r>
      <w:r>
        <w:rPr>
          <w:rFonts w:cs="Arial"/>
          <w:lang w:val="es-CO"/>
        </w:rPr>
        <w:t>para</w:t>
      </w:r>
      <w:r>
        <w:rPr>
          <w:rFonts w:cs="Arial"/>
          <w:spacing w:val="43"/>
          <w:lang w:val="es-CO"/>
        </w:rPr>
        <w:t xml:space="preserve"> </w:t>
      </w:r>
      <w:r>
        <w:rPr>
          <w:rFonts w:cs="Arial"/>
          <w:lang w:val="es-CO"/>
        </w:rPr>
        <w:t>el</w:t>
      </w:r>
      <w:r>
        <w:rPr>
          <w:rFonts w:cs="Arial"/>
          <w:spacing w:val="40"/>
          <w:lang w:val="es-CO"/>
        </w:rPr>
        <w:t xml:space="preserve"> </w:t>
      </w:r>
      <w:r>
        <w:rPr>
          <w:rFonts w:cs="Arial"/>
          <w:lang w:val="es-CO"/>
        </w:rPr>
        <w:t>pago</w:t>
      </w:r>
      <w:r>
        <w:rPr>
          <w:rFonts w:cs="Arial"/>
          <w:spacing w:val="37"/>
          <w:lang w:val="es-CO"/>
        </w:rPr>
        <w:t xml:space="preserve"> </w:t>
      </w:r>
      <w:r>
        <w:rPr>
          <w:rFonts w:cs="Arial"/>
          <w:lang w:val="es-CO"/>
        </w:rPr>
        <w:t>de</w:t>
      </w:r>
      <w:r>
        <w:rPr>
          <w:rFonts w:cs="Arial"/>
          <w:spacing w:val="48"/>
          <w:lang w:val="es-CO"/>
        </w:rPr>
        <w:t xml:space="preserve"> </w:t>
      </w:r>
      <w:r>
        <w:rPr>
          <w:rFonts w:cs="Arial"/>
          <w:lang w:val="es-CO"/>
        </w:rPr>
        <w:t>impuestos</w:t>
      </w:r>
      <w:r>
        <w:rPr>
          <w:rFonts w:cs="Arial"/>
          <w:spacing w:val="56"/>
          <w:lang w:val="es-CO"/>
        </w:rPr>
        <w:t xml:space="preserve"> </w:t>
      </w:r>
      <w:r>
        <w:rPr>
          <w:rFonts w:cs="Arial"/>
          <w:lang w:val="es-CO"/>
        </w:rPr>
        <w:t>nacionales,</w:t>
      </w:r>
      <w:r>
        <w:rPr>
          <w:rFonts w:cs="Arial"/>
          <w:spacing w:val="60"/>
          <w:lang w:val="es-CO"/>
        </w:rPr>
        <w:t xml:space="preserve"> </w:t>
      </w:r>
      <w:r>
        <w:rPr>
          <w:rFonts w:cs="Arial"/>
          <w:lang w:val="es-CO"/>
        </w:rPr>
        <w:t>la</w:t>
      </w:r>
      <w:r>
        <w:rPr>
          <w:rFonts w:cs="Arial"/>
          <w:spacing w:val="39"/>
          <w:lang w:val="es-CO"/>
        </w:rPr>
        <w:t xml:space="preserve"> </w:t>
      </w:r>
      <w:r>
        <w:rPr>
          <w:rFonts w:cs="Arial"/>
          <w:lang w:val="es-CO"/>
        </w:rPr>
        <w:t>cancelación</w:t>
      </w:r>
      <w:r>
        <w:rPr>
          <w:rFonts w:cs="Arial"/>
          <w:spacing w:val="59"/>
          <w:lang w:val="es-CO"/>
        </w:rPr>
        <w:t xml:space="preserve"> </w:t>
      </w:r>
      <w:r>
        <w:rPr>
          <w:rFonts w:cs="Arial"/>
          <w:lang w:val="es-CO"/>
        </w:rPr>
        <w:t>se</w:t>
      </w:r>
      <w:r>
        <w:rPr>
          <w:rFonts w:cs="Arial"/>
          <w:spacing w:val="43"/>
          <w:lang w:val="es-CO"/>
        </w:rPr>
        <w:t xml:space="preserve"> </w:t>
      </w:r>
      <w:r>
        <w:rPr>
          <w:rFonts w:cs="Arial"/>
          <w:lang w:val="es-CO"/>
        </w:rPr>
        <w:t>efectuará</w:t>
      </w:r>
      <w:r>
        <w:rPr>
          <w:rFonts w:cs="Arial"/>
          <w:spacing w:val="47"/>
          <w:lang w:val="es-CO"/>
        </w:rPr>
        <w:t xml:space="preserve"> </w:t>
      </w:r>
      <w:r>
        <w:rPr>
          <w:rFonts w:cs="Arial"/>
          <w:lang w:val="es-CO"/>
        </w:rPr>
        <w:t>en</w:t>
      </w:r>
      <w:r>
        <w:rPr>
          <w:rFonts w:cs="Arial"/>
          <w:spacing w:val="43"/>
          <w:lang w:val="es-CO"/>
        </w:rPr>
        <w:t xml:space="preserve"> </w:t>
      </w:r>
      <w:r>
        <w:rPr>
          <w:rFonts w:cs="Arial"/>
          <w:lang w:val="es-CO"/>
        </w:rPr>
        <w:t>la</w:t>
      </w:r>
      <w:r>
        <w:rPr>
          <w:rFonts w:cs="Arial"/>
          <w:w w:val="97"/>
          <w:lang w:val="es-CO"/>
        </w:rPr>
        <w:t xml:space="preserve"> </w:t>
      </w:r>
      <w:r>
        <w:rPr>
          <w:rFonts w:cs="Arial"/>
          <w:lang w:val="es-CO"/>
        </w:rPr>
        <w:t>entidad que tenga</w:t>
      </w:r>
      <w:r>
        <w:rPr>
          <w:rFonts w:cs="Arial"/>
          <w:spacing w:val="31"/>
          <w:lang w:val="es-CO"/>
        </w:rPr>
        <w:t xml:space="preserve"> </w:t>
      </w:r>
      <w:r>
        <w:rPr>
          <w:rFonts w:cs="Arial"/>
          <w:lang w:val="es-CO"/>
        </w:rPr>
        <w:t>a</w:t>
      </w:r>
      <w:r>
        <w:rPr>
          <w:rFonts w:cs="Arial"/>
          <w:spacing w:val="2"/>
          <w:lang w:val="es-CO"/>
        </w:rPr>
        <w:t xml:space="preserve"> </w:t>
      </w:r>
      <w:r>
        <w:rPr>
          <w:rFonts w:cs="Arial"/>
          <w:lang w:val="es-CO"/>
        </w:rPr>
        <w:t>su</w:t>
      </w:r>
      <w:r>
        <w:rPr>
          <w:rFonts w:cs="Arial"/>
          <w:spacing w:val="9"/>
          <w:lang w:val="es-CO"/>
        </w:rPr>
        <w:t xml:space="preserve"> </w:t>
      </w:r>
      <w:r>
        <w:rPr>
          <w:rFonts w:cs="Arial"/>
          <w:lang w:val="es-CO"/>
        </w:rPr>
        <w:t>cargo</w:t>
      </w:r>
      <w:r>
        <w:rPr>
          <w:rFonts w:cs="Arial"/>
          <w:spacing w:val="20"/>
          <w:lang w:val="es-CO"/>
        </w:rPr>
        <w:t xml:space="preserve"> </w:t>
      </w:r>
      <w:r>
        <w:rPr>
          <w:rFonts w:cs="Arial"/>
          <w:lang w:val="es-CO"/>
        </w:rPr>
        <w:t>la</w:t>
      </w:r>
      <w:r>
        <w:rPr>
          <w:rFonts w:cs="Arial"/>
          <w:spacing w:val="-2"/>
          <w:lang w:val="es-CO"/>
        </w:rPr>
        <w:t xml:space="preserve"> </w:t>
      </w:r>
      <w:r>
        <w:rPr>
          <w:rFonts w:cs="Arial"/>
          <w:lang w:val="es-CO"/>
        </w:rPr>
        <w:t>expedición,</w:t>
      </w:r>
      <w:r>
        <w:rPr>
          <w:rFonts w:cs="Arial"/>
          <w:spacing w:val="38"/>
          <w:lang w:val="es-CO"/>
        </w:rPr>
        <w:t xml:space="preserve"> </w:t>
      </w:r>
      <w:r>
        <w:rPr>
          <w:rFonts w:cs="Arial"/>
          <w:lang w:val="es-CO"/>
        </w:rPr>
        <w:t>administración</w:t>
      </w:r>
      <w:r>
        <w:rPr>
          <w:rFonts w:cs="Arial"/>
          <w:spacing w:val="32"/>
          <w:lang w:val="es-CO"/>
        </w:rPr>
        <w:t xml:space="preserve"> </w:t>
      </w:r>
      <w:r>
        <w:rPr>
          <w:rFonts w:cs="Arial"/>
          <w:lang w:val="es-CO"/>
        </w:rPr>
        <w:t>y</w:t>
      </w:r>
      <w:r>
        <w:rPr>
          <w:rFonts w:cs="Arial"/>
          <w:spacing w:val="20"/>
          <w:lang w:val="es-CO"/>
        </w:rPr>
        <w:t xml:space="preserve"> </w:t>
      </w:r>
      <w:r>
        <w:rPr>
          <w:rFonts w:cs="Arial"/>
          <w:lang w:val="es-CO"/>
        </w:rPr>
        <w:t>redención</w:t>
      </w:r>
      <w:r>
        <w:rPr>
          <w:rFonts w:cs="Arial"/>
          <w:spacing w:val="15"/>
          <w:lang w:val="es-CO"/>
        </w:rPr>
        <w:t xml:space="preserve"> </w:t>
      </w:r>
      <w:r>
        <w:rPr>
          <w:rFonts w:cs="Arial"/>
          <w:lang w:val="es-CO"/>
        </w:rPr>
        <w:t>de</w:t>
      </w:r>
      <w:r>
        <w:rPr>
          <w:rFonts w:cs="Arial"/>
          <w:spacing w:val="14"/>
          <w:lang w:val="es-CO"/>
        </w:rPr>
        <w:t xml:space="preserve"> </w:t>
      </w:r>
      <w:r>
        <w:rPr>
          <w:rFonts w:cs="Arial"/>
          <w:lang w:val="es-CO"/>
        </w:rPr>
        <w:t>los</w:t>
      </w:r>
      <w:r>
        <w:rPr>
          <w:rFonts w:cs="Arial"/>
          <w:spacing w:val="3"/>
          <w:lang w:val="es-CO"/>
        </w:rPr>
        <w:t xml:space="preserve"> </w:t>
      </w:r>
      <w:r>
        <w:rPr>
          <w:rFonts w:cs="Arial"/>
          <w:lang w:val="es-CO"/>
        </w:rPr>
        <w:t>títulos,</w:t>
      </w:r>
      <w:r>
        <w:rPr>
          <w:rFonts w:cs="Arial"/>
          <w:w w:val="97"/>
          <w:lang w:val="es-CO"/>
        </w:rPr>
        <w:t xml:space="preserve"> </w:t>
      </w:r>
      <w:r>
        <w:rPr>
          <w:rFonts w:cs="Arial"/>
          <w:lang w:val="es-CO"/>
        </w:rPr>
        <w:t>bonos,</w:t>
      </w:r>
      <w:r>
        <w:rPr>
          <w:rFonts w:cs="Arial"/>
          <w:spacing w:val="37"/>
          <w:lang w:val="es-CO"/>
        </w:rPr>
        <w:t xml:space="preserve"> </w:t>
      </w:r>
      <w:r>
        <w:rPr>
          <w:rFonts w:cs="Arial"/>
          <w:lang w:val="es-CO"/>
        </w:rPr>
        <w:t>certificados</w:t>
      </w:r>
      <w:r>
        <w:rPr>
          <w:rFonts w:cs="Arial"/>
          <w:spacing w:val="46"/>
          <w:lang w:val="es-CO"/>
        </w:rPr>
        <w:t xml:space="preserve"> </w:t>
      </w:r>
      <w:r>
        <w:rPr>
          <w:rFonts w:cs="Arial"/>
          <w:lang w:val="es-CO"/>
        </w:rPr>
        <w:t>o</w:t>
      </w:r>
      <w:r>
        <w:rPr>
          <w:rFonts w:cs="Arial"/>
          <w:spacing w:val="31"/>
          <w:lang w:val="es-CO"/>
        </w:rPr>
        <w:t xml:space="preserve"> </w:t>
      </w:r>
      <w:r>
        <w:rPr>
          <w:rFonts w:cs="Arial"/>
          <w:lang w:val="es-CO"/>
        </w:rPr>
        <w:t>documentos</w:t>
      </w:r>
      <w:r>
        <w:rPr>
          <w:rFonts w:cs="Arial"/>
          <w:spacing w:val="56"/>
          <w:lang w:val="es-CO"/>
        </w:rPr>
        <w:t xml:space="preserve"> </w:t>
      </w:r>
      <w:r>
        <w:rPr>
          <w:rFonts w:cs="Arial"/>
          <w:lang w:val="es-CO"/>
        </w:rPr>
        <w:t>según</w:t>
      </w:r>
      <w:r>
        <w:rPr>
          <w:rFonts w:cs="Arial"/>
          <w:spacing w:val="49"/>
          <w:lang w:val="es-CO"/>
        </w:rPr>
        <w:t xml:space="preserve"> </w:t>
      </w:r>
      <w:r>
        <w:rPr>
          <w:rFonts w:cs="Arial"/>
          <w:lang w:val="es-CO"/>
        </w:rPr>
        <w:t>el caso de</w:t>
      </w:r>
      <w:r>
        <w:rPr>
          <w:rFonts w:cs="Arial"/>
          <w:spacing w:val="34"/>
          <w:lang w:val="es-CO"/>
        </w:rPr>
        <w:t xml:space="preserve"> </w:t>
      </w:r>
      <w:r>
        <w:rPr>
          <w:rFonts w:cs="Arial"/>
          <w:lang w:val="es-CO"/>
        </w:rPr>
        <w:t>acuerdo</w:t>
      </w:r>
      <w:r>
        <w:rPr>
          <w:rFonts w:cs="Arial"/>
          <w:spacing w:val="41"/>
          <w:lang w:val="es-CO"/>
        </w:rPr>
        <w:t xml:space="preserve"> </w:t>
      </w:r>
      <w:r>
        <w:rPr>
          <w:rFonts w:cs="Arial"/>
          <w:lang w:val="es-CO"/>
        </w:rPr>
        <w:t>con</w:t>
      </w:r>
      <w:r>
        <w:rPr>
          <w:rFonts w:cs="Arial"/>
          <w:spacing w:val="44"/>
          <w:lang w:val="es-CO"/>
        </w:rPr>
        <w:t xml:space="preserve"> </w:t>
      </w:r>
      <w:r>
        <w:rPr>
          <w:rFonts w:cs="Arial"/>
          <w:lang w:val="es-CO"/>
        </w:rPr>
        <w:t>la</w:t>
      </w:r>
      <w:r>
        <w:rPr>
          <w:rFonts w:cs="Arial"/>
          <w:spacing w:val="33"/>
          <w:lang w:val="es-CO"/>
        </w:rPr>
        <w:t xml:space="preserve"> </w:t>
      </w:r>
      <w:r>
        <w:rPr>
          <w:rFonts w:cs="Arial"/>
          <w:lang w:val="es-CO"/>
        </w:rPr>
        <w:t>resolución</w:t>
      </w:r>
      <w:r>
        <w:rPr>
          <w:rFonts w:cs="Arial"/>
          <w:spacing w:val="47"/>
          <w:lang w:val="es-CO"/>
        </w:rPr>
        <w:t xml:space="preserve"> </w:t>
      </w:r>
      <w:r>
        <w:rPr>
          <w:rFonts w:cs="Arial"/>
          <w:lang w:val="es-CO"/>
        </w:rPr>
        <w:t>que expida</w:t>
      </w:r>
      <w:r>
        <w:rPr>
          <w:rFonts w:cs="Arial"/>
          <w:spacing w:val="1"/>
          <w:lang w:val="es-CO"/>
        </w:rPr>
        <w:t xml:space="preserve"> </w:t>
      </w:r>
      <w:r>
        <w:rPr>
          <w:rFonts w:cs="Arial"/>
          <w:lang w:val="es-CO"/>
        </w:rPr>
        <w:t>el</w:t>
      </w:r>
      <w:r>
        <w:rPr>
          <w:rFonts w:cs="Arial"/>
          <w:spacing w:val="56"/>
          <w:lang w:val="es-CO"/>
        </w:rPr>
        <w:t xml:space="preserve"> </w:t>
      </w:r>
      <w:r>
        <w:rPr>
          <w:rFonts w:cs="Arial"/>
          <w:lang w:val="es-CO"/>
        </w:rPr>
        <w:t>Director</w:t>
      </w:r>
      <w:r>
        <w:rPr>
          <w:rFonts w:cs="Arial"/>
          <w:spacing w:val="61"/>
          <w:lang w:val="es-CO"/>
        </w:rPr>
        <w:t xml:space="preserve"> </w:t>
      </w:r>
      <w:r>
        <w:rPr>
          <w:rFonts w:cs="Arial"/>
          <w:lang w:val="es-CO"/>
        </w:rPr>
        <w:t>de</w:t>
      </w:r>
      <w:r>
        <w:rPr>
          <w:rFonts w:cs="Arial"/>
          <w:spacing w:val="60"/>
          <w:lang w:val="es-CO"/>
        </w:rPr>
        <w:t xml:space="preserve"> </w:t>
      </w:r>
      <w:r>
        <w:rPr>
          <w:rFonts w:cs="Arial"/>
          <w:lang w:val="es-CO"/>
        </w:rPr>
        <w:t>la</w:t>
      </w:r>
      <w:r>
        <w:rPr>
          <w:rFonts w:cs="Arial"/>
          <w:spacing w:val="63"/>
          <w:lang w:val="es-CO"/>
        </w:rPr>
        <w:t xml:space="preserve"> </w:t>
      </w:r>
      <w:r>
        <w:rPr>
          <w:rFonts w:cs="Arial"/>
          <w:lang w:val="es-CO"/>
        </w:rPr>
        <w:t>Unidad</w:t>
      </w:r>
      <w:r>
        <w:rPr>
          <w:rFonts w:cs="Arial"/>
          <w:spacing w:val="36"/>
          <w:lang w:val="es-CO"/>
        </w:rPr>
        <w:t xml:space="preserve"> </w:t>
      </w:r>
      <w:r>
        <w:rPr>
          <w:rFonts w:cs="Arial"/>
          <w:lang w:val="es-CO"/>
        </w:rPr>
        <w:t>Administrativa</w:t>
      </w:r>
      <w:r>
        <w:rPr>
          <w:rFonts w:cs="Arial"/>
          <w:spacing w:val="32"/>
          <w:lang w:val="es-CO"/>
        </w:rPr>
        <w:t xml:space="preserve"> </w:t>
      </w:r>
      <w:r>
        <w:rPr>
          <w:rFonts w:cs="Arial"/>
          <w:lang w:val="es-CO"/>
        </w:rPr>
        <w:t>Especial</w:t>
      </w:r>
      <w:r>
        <w:rPr>
          <w:rFonts w:cs="Arial"/>
          <w:spacing w:val="59"/>
          <w:lang w:val="es-CO"/>
        </w:rPr>
        <w:t xml:space="preserve"> </w:t>
      </w:r>
      <w:r>
        <w:rPr>
          <w:rFonts w:cs="Arial"/>
          <w:lang w:val="es-CO"/>
        </w:rPr>
        <w:t>Dirección</w:t>
      </w:r>
      <w:r>
        <w:rPr>
          <w:rFonts w:cs="Arial"/>
          <w:spacing w:val="40"/>
          <w:lang w:val="es-CO"/>
        </w:rPr>
        <w:t xml:space="preserve"> </w:t>
      </w:r>
      <w:r>
        <w:rPr>
          <w:rFonts w:cs="Arial"/>
          <w:lang w:val="es-CO"/>
        </w:rPr>
        <w:t>Impuestos</w:t>
      </w:r>
      <w:r>
        <w:rPr>
          <w:rFonts w:cs="Arial"/>
          <w:spacing w:val="59"/>
          <w:lang w:val="es-CO"/>
        </w:rPr>
        <w:t xml:space="preserve"> </w:t>
      </w:r>
      <w:r>
        <w:rPr>
          <w:rFonts w:cs="Arial"/>
          <w:lang w:val="es-CO"/>
        </w:rPr>
        <w:t>y</w:t>
      </w:r>
      <w:r>
        <w:rPr>
          <w:rFonts w:cs="Arial"/>
          <w:w w:val="95"/>
          <w:lang w:val="es-CO"/>
        </w:rPr>
        <w:t xml:space="preserve"> </w:t>
      </w:r>
      <w:r>
        <w:rPr>
          <w:rFonts w:cs="Arial"/>
          <w:lang w:val="es-CO"/>
        </w:rPr>
        <w:t>Aduanas Nacionales-DIAN.</w:t>
      </w:r>
    </w:p>
    <w:p w14:paraId="36516F8D" w14:textId="77777777" w:rsidR="00B2442D" w:rsidRDefault="00B2442D">
      <w:pPr>
        <w:spacing w:line="40" w:lineRule="atLeast"/>
        <w:ind w:right="-30"/>
        <w:jc w:val="both"/>
        <w:rPr>
          <w:rFonts w:ascii="Arial" w:hAnsi="Arial" w:cs="Arial"/>
          <w:lang w:val="es-CO"/>
        </w:rPr>
      </w:pPr>
    </w:p>
    <w:p w14:paraId="6D314DAF" w14:textId="77777777" w:rsidR="00B2442D" w:rsidRDefault="008A645F">
      <w:pPr>
        <w:pStyle w:val="Textoindependiente"/>
        <w:spacing w:line="40" w:lineRule="atLeast"/>
        <w:ind w:right="-30"/>
        <w:jc w:val="both"/>
        <w:rPr>
          <w:rFonts w:cs="Arial"/>
          <w:lang w:val="es-CO"/>
        </w:rPr>
      </w:pPr>
      <w:r>
        <w:rPr>
          <w:rFonts w:cs="Arial"/>
          <w:lang w:val="es-CO"/>
        </w:rPr>
        <w:t>Tratándose</w:t>
      </w:r>
      <w:r>
        <w:rPr>
          <w:rFonts w:cs="Arial"/>
          <w:spacing w:val="42"/>
          <w:lang w:val="es-CO"/>
        </w:rPr>
        <w:t xml:space="preserve"> </w:t>
      </w:r>
      <w:r>
        <w:rPr>
          <w:rFonts w:cs="Arial"/>
          <w:lang w:val="es-CO"/>
        </w:rPr>
        <w:t>de</w:t>
      </w:r>
      <w:r>
        <w:rPr>
          <w:rFonts w:cs="Arial"/>
          <w:spacing w:val="29"/>
          <w:lang w:val="es-CO"/>
        </w:rPr>
        <w:t xml:space="preserve"> </w:t>
      </w:r>
      <w:r>
        <w:rPr>
          <w:rFonts w:cs="Arial"/>
          <w:lang w:val="es-CO"/>
        </w:rPr>
        <w:t>los</w:t>
      </w:r>
      <w:r>
        <w:rPr>
          <w:rFonts w:cs="Arial"/>
          <w:spacing w:val="35"/>
          <w:lang w:val="es-CO"/>
        </w:rPr>
        <w:t xml:space="preserve"> </w:t>
      </w:r>
      <w:r>
        <w:rPr>
          <w:rFonts w:cs="Arial"/>
          <w:lang w:val="es-CO"/>
        </w:rPr>
        <w:t>Bonos</w:t>
      </w:r>
      <w:r>
        <w:rPr>
          <w:rFonts w:cs="Arial"/>
          <w:spacing w:val="25"/>
          <w:lang w:val="es-CO"/>
        </w:rPr>
        <w:t xml:space="preserve"> </w:t>
      </w:r>
      <w:r>
        <w:rPr>
          <w:rFonts w:cs="Arial"/>
          <w:lang w:val="es-CO"/>
        </w:rPr>
        <w:t>de</w:t>
      </w:r>
      <w:r>
        <w:rPr>
          <w:rFonts w:cs="Arial"/>
          <w:spacing w:val="31"/>
          <w:lang w:val="es-CO"/>
        </w:rPr>
        <w:t xml:space="preserve"> </w:t>
      </w:r>
      <w:r>
        <w:rPr>
          <w:rFonts w:cs="Arial"/>
          <w:lang w:val="es-CO"/>
        </w:rPr>
        <w:t>Financiamiento</w:t>
      </w:r>
      <w:r>
        <w:rPr>
          <w:rFonts w:cs="Arial"/>
          <w:spacing w:val="39"/>
          <w:lang w:val="es-CO"/>
        </w:rPr>
        <w:t xml:space="preserve"> </w:t>
      </w:r>
      <w:r>
        <w:rPr>
          <w:rFonts w:cs="Arial"/>
          <w:lang w:val="es-CO"/>
        </w:rPr>
        <w:t>presupuestal o</w:t>
      </w:r>
      <w:r>
        <w:rPr>
          <w:rFonts w:cs="Arial"/>
          <w:spacing w:val="19"/>
          <w:lang w:val="es-CO"/>
        </w:rPr>
        <w:t xml:space="preserve"> </w:t>
      </w:r>
      <w:r>
        <w:rPr>
          <w:rFonts w:cs="Arial"/>
          <w:lang w:val="es-CO"/>
        </w:rPr>
        <w:t>especial</w:t>
      </w:r>
      <w:r>
        <w:rPr>
          <w:rFonts w:cs="Arial"/>
          <w:spacing w:val="31"/>
          <w:lang w:val="es-CO"/>
        </w:rPr>
        <w:t xml:space="preserve"> </w:t>
      </w:r>
      <w:r>
        <w:rPr>
          <w:rFonts w:cs="Arial"/>
          <w:lang w:val="es-CO"/>
        </w:rPr>
        <w:t>que</w:t>
      </w:r>
      <w:r>
        <w:rPr>
          <w:rFonts w:cs="Arial"/>
          <w:spacing w:val="24"/>
          <w:lang w:val="es-CO"/>
        </w:rPr>
        <w:t xml:space="preserve"> </w:t>
      </w:r>
      <w:r>
        <w:rPr>
          <w:rFonts w:cs="Arial"/>
          <w:lang w:val="es-CO"/>
        </w:rPr>
        <w:t>se</w:t>
      </w:r>
      <w:r>
        <w:rPr>
          <w:rFonts w:cs="Arial"/>
          <w:spacing w:val="30"/>
          <w:lang w:val="es-CO"/>
        </w:rPr>
        <w:t xml:space="preserve"> </w:t>
      </w:r>
      <w:r>
        <w:rPr>
          <w:rFonts w:cs="Arial"/>
          <w:lang w:val="es-CO"/>
        </w:rPr>
        <w:t>utilicen</w:t>
      </w:r>
      <w:r>
        <w:rPr>
          <w:rFonts w:cs="Arial"/>
          <w:w w:val="98"/>
          <w:lang w:val="es-CO"/>
        </w:rPr>
        <w:t xml:space="preserve"> </w:t>
      </w:r>
      <w:r>
        <w:rPr>
          <w:rFonts w:cs="Arial"/>
          <w:lang w:val="es-CO"/>
        </w:rPr>
        <w:t>para</w:t>
      </w:r>
      <w:r>
        <w:rPr>
          <w:rFonts w:cs="Arial"/>
          <w:spacing w:val="27"/>
          <w:lang w:val="es-CO"/>
        </w:rPr>
        <w:t xml:space="preserve"> </w:t>
      </w:r>
      <w:r>
        <w:rPr>
          <w:rFonts w:cs="Arial"/>
          <w:lang w:val="es-CO"/>
        </w:rPr>
        <w:t>el</w:t>
      </w:r>
      <w:r>
        <w:rPr>
          <w:rFonts w:cs="Arial"/>
          <w:spacing w:val="36"/>
          <w:lang w:val="es-CO"/>
        </w:rPr>
        <w:t xml:space="preserve"> </w:t>
      </w:r>
      <w:r>
        <w:rPr>
          <w:rFonts w:cs="Arial"/>
          <w:lang w:val="es-CO"/>
        </w:rPr>
        <w:t>pago</w:t>
      </w:r>
      <w:r>
        <w:rPr>
          <w:rFonts w:cs="Arial"/>
          <w:spacing w:val="32"/>
          <w:lang w:val="es-CO"/>
        </w:rPr>
        <w:t xml:space="preserve"> </w:t>
      </w:r>
      <w:r>
        <w:rPr>
          <w:rFonts w:cs="Arial"/>
          <w:lang w:val="es-CO"/>
        </w:rPr>
        <w:t>de</w:t>
      </w:r>
      <w:r>
        <w:rPr>
          <w:rFonts w:cs="Arial"/>
          <w:spacing w:val="41"/>
          <w:lang w:val="es-CO"/>
        </w:rPr>
        <w:t xml:space="preserve"> </w:t>
      </w:r>
      <w:r>
        <w:rPr>
          <w:rFonts w:cs="Arial"/>
          <w:lang w:val="es-CO"/>
        </w:rPr>
        <w:t>los</w:t>
      </w:r>
      <w:r>
        <w:rPr>
          <w:rFonts w:cs="Arial"/>
          <w:spacing w:val="38"/>
          <w:lang w:val="es-CO"/>
        </w:rPr>
        <w:t xml:space="preserve"> </w:t>
      </w:r>
      <w:r>
        <w:rPr>
          <w:rFonts w:cs="Arial"/>
          <w:lang w:val="es-CO"/>
        </w:rPr>
        <w:t>impuestos</w:t>
      </w:r>
      <w:r>
        <w:rPr>
          <w:rFonts w:cs="Arial"/>
          <w:spacing w:val="52"/>
          <w:lang w:val="es-CO"/>
        </w:rPr>
        <w:t xml:space="preserve"> </w:t>
      </w:r>
      <w:r>
        <w:rPr>
          <w:rFonts w:cs="Arial"/>
          <w:lang w:val="es-CO"/>
        </w:rPr>
        <w:t>nacionales, la cancelación</w:t>
      </w:r>
      <w:r>
        <w:rPr>
          <w:rFonts w:cs="Arial"/>
          <w:spacing w:val="57"/>
          <w:lang w:val="es-CO"/>
        </w:rPr>
        <w:t xml:space="preserve"> </w:t>
      </w:r>
      <w:r>
        <w:rPr>
          <w:rFonts w:cs="Arial"/>
          <w:lang w:val="es-CO"/>
        </w:rPr>
        <w:t>deberá</w:t>
      </w:r>
      <w:r>
        <w:rPr>
          <w:rFonts w:cs="Arial"/>
          <w:spacing w:val="45"/>
          <w:lang w:val="es-CO"/>
        </w:rPr>
        <w:t xml:space="preserve"> </w:t>
      </w:r>
      <w:r>
        <w:rPr>
          <w:rFonts w:cs="Arial"/>
          <w:lang w:val="es-CO"/>
        </w:rPr>
        <w:t>efectuarse</w:t>
      </w:r>
      <w:r>
        <w:rPr>
          <w:rFonts w:cs="Arial"/>
          <w:spacing w:val="48"/>
          <w:lang w:val="es-CO"/>
        </w:rPr>
        <w:t xml:space="preserve"> </w:t>
      </w:r>
      <w:r>
        <w:rPr>
          <w:rFonts w:cs="Arial"/>
          <w:lang w:val="es-CO"/>
        </w:rPr>
        <w:t>en</w:t>
      </w:r>
      <w:r>
        <w:rPr>
          <w:rFonts w:cs="Arial"/>
          <w:spacing w:val="39"/>
          <w:lang w:val="es-CO"/>
        </w:rPr>
        <w:t xml:space="preserve"> </w:t>
      </w:r>
      <w:r>
        <w:rPr>
          <w:rFonts w:cs="Arial"/>
          <w:lang w:val="es-CO"/>
        </w:rPr>
        <w:t>los bancos</w:t>
      </w:r>
      <w:r>
        <w:rPr>
          <w:rFonts w:cs="Arial"/>
          <w:spacing w:val="17"/>
          <w:lang w:val="es-CO"/>
        </w:rPr>
        <w:t xml:space="preserve"> </w:t>
      </w:r>
      <w:r>
        <w:rPr>
          <w:rFonts w:cs="Arial"/>
          <w:lang w:val="es-CO"/>
        </w:rPr>
        <w:t>autorizados</w:t>
      </w:r>
      <w:r>
        <w:rPr>
          <w:rFonts w:cs="Arial"/>
          <w:spacing w:val="40"/>
          <w:lang w:val="es-CO"/>
        </w:rPr>
        <w:t xml:space="preserve"> </w:t>
      </w:r>
      <w:r>
        <w:rPr>
          <w:rFonts w:cs="Arial"/>
          <w:lang w:val="es-CO"/>
        </w:rPr>
        <w:t>para</w:t>
      </w:r>
      <w:r>
        <w:rPr>
          <w:rFonts w:cs="Arial"/>
          <w:spacing w:val="13"/>
          <w:lang w:val="es-CO"/>
        </w:rPr>
        <w:t xml:space="preserve"> </w:t>
      </w:r>
      <w:r>
        <w:rPr>
          <w:rFonts w:cs="Arial"/>
          <w:lang w:val="es-CO"/>
        </w:rPr>
        <w:t>su</w:t>
      </w:r>
      <w:r>
        <w:rPr>
          <w:rFonts w:cs="Arial"/>
          <w:spacing w:val="12"/>
          <w:lang w:val="es-CO"/>
        </w:rPr>
        <w:t xml:space="preserve"> </w:t>
      </w:r>
      <w:r>
        <w:rPr>
          <w:rFonts w:cs="Arial"/>
          <w:lang w:val="es-CO"/>
        </w:rPr>
        <w:t>emisión</w:t>
      </w:r>
      <w:r>
        <w:rPr>
          <w:rFonts w:cs="Arial"/>
          <w:spacing w:val="17"/>
          <w:lang w:val="es-CO"/>
        </w:rPr>
        <w:t xml:space="preserve"> </w:t>
      </w:r>
      <w:r>
        <w:rPr>
          <w:rFonts w:cs="Arial"/>
          <w:lang w:val="es-CO"/>
        </w:rPr>
        <w:t>y</w:t>
      </w:r>
      <w:r>
        <w:rPr>
          <w:rFonts w:cs="Arial"/>
          <w:spacing w:val="23"/>
          <w:lang w:val="es-CO"/>
        </w:rPr>
        <w:t xml:space="preserve"> </w:t>
      </w:r>
      <w:r>
        <w:rPr>
          <w:rFonts w:cs="Arial"/>
          <w:lang w:val="es-CO"/>
        </w:rPr>
        <w:t>redención.</w:t>
      </w:r>
      <w:r>
        <w:rPr>
          <w:rFonts w:cs="Arial"/>
          <w:spacing w:val="32"/>
          <w:lang w:val="es-CO"/>
        </w:rPr>
        <w:t xml:space="preserve"> </w:t>
      </w:r>
      <w:r>
        <w:rPr>
          <w:rFonts w:cs="Arial"/>
          <w:lang w:val="es-CO"/>
        </w:rPr>
        <w:t>La</w:t>
      </w:r>
      <w:r>
        <w:rPr>
          <w:rFonts w:cs="Arial"/>
          <w:spacing w:val="9"/>
          <w:lang w:val="es-CO"/>
        </w:rPr>
        <w:t xml:space="preserve"> </w:t>
      </w:r>
      <w:r>
        <w:rPr>
          <w:rFonts w:cs="Arial"/>
          <w:lang w:val="es-CO"/>
        </w:rPr>
        <w:t>cancelación</w:t>
      </w:r>
      <w:r>
        <w:rPr>
          <w:rFonts w:cs="Arial"/>
          <w:spacing w:val="30"/>
          <w:lang w:val="es-CO"/>
        </w:rPr>
        <w:t xml:space="preserve"> </w:t>
      </w:r>
      <w:r>
        <w:rPr>
          <w:rFonts w:cs="Arial"/>
          <w:lang w:val="es-CO"/>
        </w:rPr>
        <w:t>con</w:t>
      </w:r>
      <w:r>
        <w:rPr>
          <w:rFonts w:cs="Arial"/>
          <w:spacing w:val="16"/>
          <w:lang w:val="es-CO"/>
        </w:rPr>
        <w:t xml:space="preserve"> Bonos </w:t>
      </w:r>
      <w:r>
        <w:rPr>
          <w:rFonts w:cs="Arial"/>
          <w:lang w:val="es-CO"/>
        </w:rPr>
        <w:t>Agrarios</w:t>
      </w:r>
      <w:r>
        <w:rPr>
          <w:rFonts w:cs="Arial"/>
          <w:w w:val="98"/>
          <w:lang w:val="es-CO"/>
        </w:rPr>
        <w:t xml:space="preserve"> </w:t>
      </w:r>
      <w:r>
        <w:rPr>
          <w:rFonts w:cs="Arial"/>
          <w:lang w:val="es-CO"/>
        </w:rPr>
        <w:t>señalados</w:t>
      </w:r>
      <w:r>
        <w:rPr>
          <w:rFonts w:cs="Arial"/>
          <w:spacing w:val="43"/>
          <w:lang w:val="es-CO"/>
        </w:rPr>
        <w:t xml:space="preserve"> </w:t>
      </w:r>
      <w:r>
        <w:rPr>
          <w:rFonts w:cs="Arial"/>
          <w:lang w:val="es-CO"/>
        </w:rPr>
        <w:t>en</w:t>
      </w:r>
      <w:r>
        <w:rPr>
          <w:rFonts w:cs="Arial"/>
          <w:spacing w:val="27"/>
          <w:lang w:val="es-CO"/>
        </w:rPr>
        <w:t xml:space="preserve"> </w:t>
      </w:r>
      <w:r>
        <w:rPr>
          <w:rFonts w:cs="Arial"/>
          <w:lang w:val="es-CO"/>
        </w:rPr>
        <w:t>la</w:t>
      </w:r>
      <w:r>
        <w:rPr>
          <w:rFonts w:cs="Arial"/>
          <w:spacing w:val="21"/>
          <w:lang w:val="es-CO"/>
        </w:rPr>
        <w:t xml:space="preserve"> </w:t>
      </w:r>
      <w:r>
        <w:rPr>
          <w:rFonts w:cs="Arial"/>
          <w:lang w:val="es-CO"/>
        </w:rPr>
        <w:t>Ley</w:t>
      </w:r>
      <w:r>
        <w:rPr>
          <w:rFonts w:cs="Arial"/>
          <w:spacing w:val="35"/>
          <w:lang w:val="es-CO"/>
        </w:rPr>
        <w:t xml:space="preserve"> </w:t>
      </w:r>
      <w:r>
        <w:rPr>
          <w:rFonts w:cs="Arial"/>
          <w:lang w:val="es-CO"/>
        </w:rPr>
        <w:t>160 de 1994,</w:t>
      </w:r>
      <w:r>
        <w:rPr>
          <w:rFonts w:cs="Arial"/>
          <w:spacing w:val="12"/>
          <w:lang w:val="es-CO"/>
        </w:rPr>
        <w:t xml:space="preserve"> </w:t>
      </w:r>
      <w:r>
        <w:rPr>
          <w:rFonts w:cs="Arial"/>
          <w:lang w:val="es-CO"/>
        </w:rPr>
        <w:t>deberá</w:t>
      </w:r>
      <w:r>
        <w:rPr>
          <w:rFonts w:cs="Arial"/>
          <w:spacing w:val="36"/>
          <w:lang w:val="es-CO"/>
        </w:rPr>
        <w:t xml:space="preserve"> </w:t>
      </w:r>
      <w:r>
        <w:rPr>
          <w:rFonts w:cs="Arial"/>
          <w:lang w:val="es-CO"/>
        </w:rPr>
        <w:t>efectuarse</w:t>
      </w:r>
      <w:r>
        <w:rPr>
          <w:rFonts w:cs="Arial"/>
          <w:spacing w:val="41"/>
          <w:lang w:val="es-CO"/>
        </w:rPr>
        <w:t xml:space="preserve"> </w:t>
      </w:r>
      <w:r>
        <w:rPr>
          <w:rFonts w:cs="Arial"/>
          <w:lang w:val="es-CO"/>
        </w:rPr>
        <w:t>por</w:t>
      </w:r>
      <w:r>
        <w:rPr>
          <w:rFonts w:cs="Arial"/>
          <w:spacing w:val="24"/>
          <w:lang w:val="es-CO"/>
        </w:rPr>
        <w:t xml:space="preserve"> </w:t>
      </w:r>
      <w:r>
        <w:rPr>
          <w:rFonts w:cs="Arial"/>
          <w:lang w:val="es-CO"/>
        </w:rPr>
        <w:t>los</w:t>
      </w:r>
      <w:r>
        <w:rPr>
          <w:rFonts w:cs="Arial"/>
          <w:spacing w:val="20"/>
          <w:lang w:val="es-CO"/>
        </w:rPr>
        <w:t xml:space="preserve"> </w:t>
      </w:r>
      <w:r>
        <w:rPr>
          <w:rFonts w:cs="Arial"/>
          <w:lang w:val="es-CO"/>
        </w:rPr>
        <w:t>tenedores</w:t>
      </w:r>
      <w:r>
        <w:rPr>
          <w:rFonts w:cs="Arial"/>
          <w:spacing w:val="60"/>
          <w:lang w:val="es-CO"/>
        </w:rPr>
        <w:t xml:space="preserve"> </w:t>
      </w:r>
      <w:r>
        <w:rPr>
          <w:rFonts w:cs="Arial"/>
          <w:lang w:val="es-CO"/>
        </w:rPr>
        <w:t>legítimos</w:t>
      </w:r>
      <w:r>
        <w:rPr>
          <w:rFonts w:cs="Arial"/>
          <w:spacing w:val="29"/>
          <w:lang w:val="es-CO"/>
        </w:rPr>
        <w:t xml:space="preserve"> </w:t>
      </w:r>
      <w:r>
        <w:rPr>
          <w:rFonts w:cs="Arial"/>
          <w:lang w:val="es-CO"/>
        </w:rPr>
        <w:t>en</w:t>
      </w:r>
      <w:r>
        <w:rPr>
          <w:rFonts w:cs="Arial"/>
          <w:w w:val="102"/>
          <w:lang w:val="es-CO"/>
        </w:rPr>
        <w:t xml:space="preserve"> </w:t>
      </w:r>
      <w:r>
        <w:rPr>
          <w:rFonts w:cs="Arial"/>
          <w:lang w:val="es-CO"/>
        </w:rPr>
        <w:t>las</w:t>
      </w:r>
      <w:r>
        <w:rPr>
          <w:rFonts w:cs="Arial"/>
          <w:spacing w:val="2"/>
          <w:lang w:val="es-CO"/>
        </w:rPr>
        <w:t xml:space="preserve"> </w:t>
      </w:r>
      <w:r>
        <w:rPr>
          <w:rFonts w:cs="Arial"/>
          <w:lang w:val="es-CO"/>
        </w:rPr>
        <w:t>oficinas</w:t>
      </w:r>
      <w:r>
        <w:rPr>
          <w:rFonts w:cs="Arial"/>
          <w:spacing w:val="14"/>
          <w:lang w:val="es-CO"/>
        </w:rPr>
        <w:t xml:space="preserve"> </w:t>
      </w:r>
      <w:r>
        <w:rPr>
          <w:rFonts w:cs="Arial"/>
          <w:lang w:val="es-CO"/>
        </w:rPr>
        <w:t>de</w:t>
      </w:r>
      <w:r>
        <w:rPr>
          <w:rFonts w:cs="Arial"/>
          <w:spacing w:val="14"/>
          <w:lang w:val="es-CO"/>
        </w:rPr>
        <w:t xml:space="preserve"> </w:t>
      </w:r>
      <w:r>
        <w:rPr>
          <w:rFonts w:cs="Arial"/>
          <w:lang w:val="es-CO"/>
        </w:rPr>
        <w:t>las</w:t>
      </w:r>
      <w:r>
        <w:rPr>
          <w:rFonts w:cs="Arial"/>
          <w:spacing w:val="3"/>
          <w:lang w:val="es-CO"/>
        </w:rPr>
        <w:t xml:space="preserve"> </w:t>
      </w:r>
      <w:r>
        <w:rPr>
          <w:rFonts w:cs="Arial"/>
          <w:lang w:val="es-CO"/>
        </w:rPr>
        <w:t>entidades</w:t>
      </w:r>
      <w:r>
        <w:rPr>
          <w:rFonts w:cs="Arial"/>
          <w:spacing w:val="30"/>
          <w:lang w:val="es-CO"/>
        </w:rPr>
        <w:t xml:space="preserve"> </w:t>
      </w:r>
      <w:r>
        <w:rPr>
          <w:rFonts w:cs="Arial"/>
          <w:lang w:val="es-CO"/>
        </w:rPr>
        <w:t>bancarias</w:t>
      </w:r>
      <w:r>
        <w:rPr>
          <w:rFonts w:cs="Arial"/>
          <w:spacing w:val="16"/>
          <w:lang w:val="es-CO"/>
        </w:rPr>
        <w:t xml:space="preserve"> </w:t>
      </w:r>
      <w:r>
        <w:rPr>
          <w:rFonts w:cs="Arial"/>
          <w:lang w:val="es-CO"/>
        </w:rPr>
        <w:t>u</w:t>
      </w:r>
      <w:r>
        <w:rPr>
          <w:rFonts w:cs="Arial"/>
          <w:spacing w:val="-10"/>
          <w:lang w:val="es-CO"/>
        </w:rPr>
        <w:t xml:space="preserve"> </w:t>
      </w:r>
      <w:r>
        <w:rPr>
          <w:rFonts w:cs="Arial"/>
          <w:lang w:val="es-CO"/>
        </w:rPr>
        <w:t>otras</w:t>
      </w:r>
      <w:r>
        <w:rPr>
          <w:rFonts w:cs="Arial"/>
          <w:spacing w:val="8"/>
          <w:lang w:val="es-CO"/>
        </w:rPr>
        <w:t xml:space="preserve"> </w:t>
      </w:r>
      <w:r>
        <w:rPr>
          <w:rFonts w:cs="Arial"/>
          <w:lang w:val="es-CO"/>
        </w:rPr>
        <w:t>entidades</w:t>
      </w:r>
      <w:r>
        <w:rPr>
          <w:rFonts w:cs="Arial"/>
          <w:spacing w:val="11"/>
          <w:lang w:val="es-CO"/>
        </w:rPr>
        <w:t xml:space="preserve"> </w:t>
      </w:r>
      <w:r>
        <w:rPr>
          <w:rFonts w:cs="Arial"/>
          <w:lang w:val="es-CO"/>
        </w:rPr>
        <w:t>financieras</w:t>
      </w:r>
      <w:r>
        <w:rPr>
          <w:rFonts w:cs="Arial"/>
          <w:spacing w:val="24"/>
          <w:lang w:val="es-CO"/>
        </w:rPr>
        <w:t xml:space="preserve"> </w:t>
      </w:r>
      <w:r>
        <w:rPr>
          <w:rFonts w:cs="Arial"/>
          <w:lang w:val="es-CO"/>
        </w:rPr>
        <w:t>autorizadas</w:t>
      </w:r>
      <w:r>
        <w:rPr>
          <w:rFonts w:cs="Arial"/>
          <w:spacing w:val="29"/>
          <w:lang w:val="es-CO"/>
        </w:rPr>
        <w:t xml:space="preserve"> </w:t>
      </w:r>
      <w:r>
        <w:rPr>
          <w:rFonts w:cs="Arial"/>
          <w:lang w:val="es-CO"/>
        </w:rPr>
        <w:t>para su</w:t>
      </w:r>
      <w:r>
        <w:rPr>
          <w:rFonts w:cs="Arial"/>
          <w:spacing w:val="-23"/>
          <w:lang w:val="es-CO"/>
        </w:rPr>
        <w:t xml:space="preserve"> </w:t>
      </w:r>
      <w:r>
        <w:rPr>
          <w:rFonts w:cs="Arial"/>
          <w:lang w:val="es-CO"/>
        </w:rPr>
        <w:t>expedición,</w:t>
      </w:r>
      <w:r>
        <w:rPr>
          <w:rFonts w:cs="Arial"/>
          <w:spacing w:val="5"/>
          <w:lang w:val="es-CO"/>
        </w:rPr>
        <w:t xml:space="preserve"> </w:t>
      </w:r>
      <w:r>
        <w:rPr>
          <w:rFonts w:cs="Arial"/>
          <w:lang w:val="es-CO"/>
        </w:rPr>
        <w:t>administración</w:t>
      </w:r>
      <w:r>
        <w:rPr>
          <w:rFonts w:cs="Arial"/>
          <w:spacing w:val="-1"/>
          <w:lang w:val="es-CO"/>
        </w:rPr>
        <w:t xml:space="preserve"> </w:t>
      </w:r>
      <w:r>
        <w:rPr>
          <w:rFonts w:cs="Arial"/>
          <w:lang w:val="es-CO"/>
        </w:rPr>
        <w:t>y</w:t>
      </w:r>
      <w:r>
        <w:rPr>
          <w:rFonts w:cs="Arial"/>
          <w:spacing w:val="-7"/>
          <w:lang w:val="es-CO"/>
        </w:rPr>
        <w:t xml:space="preserve"> </w:t>
      </w:r>
      <w:r>
        <w:rPr>
          <w:rFonts w:cs="Arial"/>
          <w:lang w:val="es-CO"/>
        </w:rPr>
        <w:t>redención.</w:t>
      </w:r>
    </w:p>
    <w:p w14:paraId="177E2E22" w14:textId="77777777" w:rsidR="00B2442D" w:rsidRDefault="00B2442D">
      <w:pPr>
        <w:spacing w:line="40" w:lineRule="atLeast"/>
        <w:ind w:right="-30"/>
        <w:jc w:val="both"/>
        <w:rPr>
          <w:rFonts w:ascii="Arial" w:hAnsi="Arial" w:cs="Arial"/>
          <w:lang w:val="es-CO"/>
        </w:rPr>
      </w:pPr>
    </w:p>
    <w:p w14:paraId="5EBC960E" w14:textId="77777777" w:rsidR="00B2442D" w:rsidRDefault="008A645F">
      <w:pPr>
        <w:pStyle w:val="Textoindependiente"/>
        <w:spacing w:line="40" w:lineRule="atLeast"/>
        <w:ind w:right="-30"/>
        <w:jc w:val="both"/>
        <w:rPr>
          <w:rFonts w:cs="Arial"/>
          <w:lang w:val="es-CO"/>
        </w:rPr>
      </w:pPr>
      <w:r>
        <w:rPr>
          <w:rFonts w:cs="Arial"/>
          <w:lang w:val="es-CO"/>
        </w:rPr>
        <w:t>Cuando</w:t>
      </w:r>
      <w:r>
        <w:rPr>
          <w:rFonts w:cs="Arial"/>
          <w:spacing w:val="40"/>
          <w:lang w:val="es-CO"/>
        </w:rPr>
        <w:t xml:space="preserve"> </w:t>
      </w:r>
      <w:r>
        <w:rPr>
          <w:rFonts w:cs="Arial"/>
          <w:lang w:val="es-CO"/>
        </w:rPr>
        <w:t>se</w:t>
      </w:r>
      <w:r>
        <w:rPr>
          <w:rFonts w:cs="Arial"/>
          <w:spacing w:val="35"/>
          <w:lang w:val="es-CO"/>
        </w:rPr>
        <w:t xml:space="preserve"> </w:t>
      </w:r>
      <w:r>
        <w:rPr>
          <w:rFonts w:cs="Arial"/>
          <w:lang w:val="es-CO"/>
        </w:rPr>
        <w:t>cancelen</w:t>
      </w:r>
      <w:r>
        <w:rPr>
          <w:rFonts w:cs="Arial"/>
          <w:spacing w:val="50"/>
          <w:lang w:val="es-CO"/>
        </w:rPr>
        <w:t xml:space="preserve"> </w:t>
      </w:r>
      <w:r>
        <w:rPr>
          <w:rFonts w:cs="Arial"/>
          <w:lang w:val="es-CO"/>
        </w:rPr>
        <w:t>con</w:t>
      </w:r>
      <w:r>
        <w:rPr>
          <w:rFonts w:cs="Arial"/>
          <w:spacing w:val="31"/>
          <w:lang w:val="es-CO"/>
        </w:rPr>
        <w:t xml:space="preserve"> </w:t>
      </w:r>
      <w:r>
        <w:rPr>
          <w:rFonts w:cs="Arial"/>
          <w:lang w:val="es-CO"/>
        </w:rPr>
        <w:t>Títulos</w:t>
      </w:r>
      <w:r>
        <w:rPr>
          <w:rFonts w:cs="Arial"/>
          <w:spacing w:val="48"/>
          <w:lang w:val="es-CO"/>
        </w:rPr>
        <w:t xml:space="preserve"> </w:t>
      </w:r>
      <w:r>
        <w:rPr>
          <w:rFonts w:cs="Arial"/>
          <w:lang w:val="es-CO"/>
        </w:rPr>
        <w:t>de</w:t>
      </w:r>
      <w:r>
        <w:rPr>
          <w:rFonts w:cs="Arial"/>
          <w:spacing w:val="40"/>
          <w:lang w:val="es-CO"/>
        </w:rPr>
        <w:t xml:space="preserve"> </w:t>
      </w:r>
      <w:r>
        <w:rPr>
          <w:rFonts w:cs="Arial"/>
          <w:lang w:val="es-CO"/>
        </w:rPr>
        <w:t>Descuento</w:t>
      </w:r>
      <w:r>
        <w:rPr>
          <w:rFonts w:cs="Arial"/>
          <w:spacing w:val="33"/>
          <w:lang w:val="es-CO"/>
        </w:rPr>
        <w:t xml:space="preserve"> </w:t>
      </w:r>
      <w:r>
        <w:rPr>
          <w:rFonts w:cs="Arial"/>
          <w:lang w:val="es-CO"/>
        </w:rPr>
        <w:t>Tributario</w:t>
      </w:r>
      <w:r>
        <w:rPr>
          <w:rFonts w:cs="Arial"/>
          <w:spacing w:val="55"/>
          <w:lang w:val="es-CO"/>
        </w:rPr>
        <w:t xml:space="preserve"> </w:t>
      </w:r>
      <w:r>
        <w:rPr>
          <w:rFonts w:cs="Arial"/>
          <w:lang w:val="es-CO"/>
        </w:rPr>
        <w:t>(TDT),</w:t>
      </w:r>
      <w:r>
        <w:rPr>
          <w:rFonts w:cs="Arial"/>
          <w:spacing w:val="35"/>
          <w:lang w:val="es-CO"/>
        </w:rPr>
        <w:t xml:space="preserve"> </w:t>
      </w:r>
      <w:r>
        <w:rPr>
          <w:rFonts w:cs="Arial"/>
          <w:lang w:val="es-CO"/>
        </w:rPr>
        <w:t>tributos</w:t>
      </w:r>
      <w:r>
        <w:rPr>
          <w:rFonts w:cs="Arial"/>
          <w:w w:val="98"/>
          <w:lang w:val="es-CO"/>
        </w:rPr>
        <w:t xml:space="preserve"> </w:t>
      </w:r>
      <w:r>
        <w:rPr>
          <w:rFonts w:cs="Arial"/>
          <w:lang w:val="es-CO"/>
        </w:rPr>
        <w:t xml:space="preserve">administrados  </w:t>
      </w:r>
      <w:r>
        <w:rPr>
          <w:rFonts w:cs="Arial"/>
          <w:spacing w:val="3"/>
          <w:lang w:val="es-CO"/>
        </w:rPr>
        <w:t xml:space="preserve"> </w:t>
      </w:r>
      <w:r>
        <w:rPr>
          <w:rFonts w:cs="Arial"/>
          <w:lang w:val="es-CO"/>
        </w:rPr>
        <w:t xml:space="preserve">por </w:t>
      </w:r>
      <w:r>
        <w:rPr>
          <w:rFonts w:cs="Arial"/>
          <w:spacing w:val="43"/>
          <w:lang w:val="es-CO"/>
        </w:rPr>
        <w:t xml:space="preserve"> </w:t>
      </w:r>
      <w:r>
        <w:rPr>
          <w:rFonts w:cs="Arial"/>
          <w:lang w:val="es-CO"/>
        </w:rPr>
        <w:t xml:space="preserve">la </w:t>
      </w:r>
      <w:r>
        <w:rPr>
          <w:rFonts w:cs="Arial"/>
          <w:spacing w:val="39"/>
          <w:lang w:val="es-CO"/>
        </w:rPr>
        <w:t xml:space="preserve"> </w:t>
      </w:r>
      <w:r>
        <w:rPr>
          <w:rFonts w:cs="Arial"/>
          <w:lang w:val="es-CO"/>
        </w:rPr>
        <w:t xml:space="preserve">Unidad </w:t>
      </w:r>
      <w:r>
        <w:rPr>
          <w:rFonts w:cs="Arial"/>
          <w:spacing w:val="18"/>
          <w:lang w:val="es-CO"/>
        </w:rPr>
        <w:t xml:space="preserve"> </w:t>
      </w:r>
      <w:r>
        <w:rPr>
          <w:rFonts w:cs="Arial"/>
          <w:lang w:val="es-CO"/>
        </w:rPr>
        <w:t xml:space="preserve">Administrativa Especial Dirección de Impuestos </w:t>
      </w:r>
      <w:r>
        <w:rPr>
          <w:rFonts w:cs="Arial"/>
          <w:spacing w:val="30"/>
          <w:lang w:val="es-CO"/>
        </w:rPr>
        <w:t xml:space="preserve"> </w:t>
      </w:r>
      <w:r>
        <w:rPr>
          <w:rFonts w:cs="Arial"/>
          <w:lang w:val="es-CO"/>
        </w:rPr>
        <w:t>y</w:t>
      </w:r>
      <w:r>
        <w:rPr>
          <w:rFonts w:cs="Arial"/>
          <w:w w:val="95"/>
          <w:lang w:val="es-CO"/>
        </w:rPr>
        <w:t xml:space="preserve"> </w:t>
      </w:r>
      <w:r>
        <w:rPr>
          <w:rFonts w:cs="Arial"/>
          <w:lang w:val="es-CO"/>
        </w:rPr>
        <w:t>Aduanas Nacionales-DIAN</w:t>
      </w:r>
      <w:r>
        <w:rPr>
          <w:rFonts w:cs="Arial"/>
          <w:spacing w:val="10"/>
          <w:lang w:val="es-CO"/>
        </w:rPr>
        <w:t xml:space="preserve"> </w:t>
      </w:r>
      <w:r>
        <w:rPr>
          <w:rFonts w:cs="Arial"/>
          <w:lang w:val="es-CO"/>
        </w:rPr>
        <w:t>con</w:t>
      </w:r>
      <w:r>
        <w:rPr>
          <w:rFonts w:cs="Arial"/>
          <w:spacing w:val="8"/>
          <w:lang w:val="es-CO"/>
        </w:rPr>
        <w:t xml:space="preserve"> </w:t>
      </w:r>
      <w:r>
        <w:rPr>
          <w:rFonts w:cs="Arial"/>
          <w:lang w:val="es-CO"/>
        </w:rPr>
        <w:t xml:space="preserve">excepción del Impuesto </w:t>
      </w:r>
      <w:r>
        <w:rPr>
          <w:rFonts w:cs="Arial"/>
          <w:spacing w:val="14"/>
          <w:lang w:val="es-CO"/>
        </w:rPr>
        <w:t xml:space="preserve"> </w:t>
      </w:r>
      <w:r>
        <w:rPr>
          <w:rFonts w:cs="Arial"/>
          <w:lang w:val="es-CO"/>
        </w:rPr>
        <w:t xml:space="preserve">sobre </w:t>
      </w:r>
      <w:r>
        <w:rPr>
          <w:rFonts w:cs="Arial"/>
          <w:spacing w:val="17"/>
          <w:lang w:val="es-CO"/>
        </w:rPr>
        <w:t xml:space="preserve"> </w:t>
      </w:r>
      <w:r>
        <w:rPr>
          <w:rFonts w:cs="Arial"/>
          <w:lang w:val="es-CO"/>
        </w:rPr>
        <w:t>Renta y</w:t>
      </w:r>
      <w:r>
        <w:rPr>
          <w:rFonts w:cs="Arial"/>
          <w:w w:val="99"/>
          <w:lang w:val="es-CO"/>
        </w:rPr>
        <w:t xml:space="preserve"> </w:t>
      </w:r>
      <w:r>
        <w:rPr>
          <w:rFonts w:cs="Arial"/>
          <w:lang w:val="es-CO"/>
        </w:rPr>
        <w:t>Complementario,</w:t>
      </w:r>
      <w:r>
        <w:rPr>
          <w:rFonts w:cs="Arial"/>
          <w:spacing w:val="46"/>
          <w:lang w:val="es-CO"/>
        </w:rPr>
        <w:t xml:space="preserve"> </w:t>
      </w:r>
      <w:r>
        <w:rPr>
          <w:rFonts w:cs="Arial"/>
          <w:lang w:val="es-CO"/>
        </w:rPr>
        <w:t>deberán</w:t>
      </w:r>
      <w:r>
        <w:rPr>
          <w:rFonts w:cs="Arial"/>
          <w:spacing w:val="23"/>
          <w:lang w:val="es-CO"/>
        </w:rPr>
        <w:t xml:space="preserve"> </w:t>
      </w:r>
      <w:r>
        <w:rPr>
          <w:rFonts w:cs="Arial"/>
          <w:lang w:val="es-CO"/>
        </w:rPr>
        <w:t>cumplirse</w:t>
      </w:r>
      <w:r>
        <w:rPr>
          <w:rFonts w:cs="Arial"/>
          <w:spacing w:val="39"/>
          <w:lang w:val="es-CO"/>
        </w:rPr>
        <w:t xml:space="preserve"> </w:t>
      </w:r>
      <w:r>
        <w:rPr>
          <w:rFonts w:cs="Arial"/>
          <w:lang w:val="es-CO"/>
        </w:rPr>
        <w:t>los</w:t>
      </w:r>
      <w:r>
        <w:rPr>
          <w:rFonts w:cs="Arial"/>
          <w:spacing w:val="33"/>
          <w:lang w:val="es-CO"/>
        </w:rPr>
        <w:t xml:space="preserve"> </w:t>
      </w:r>
      <w:r>
        <w:rPr>
          <w:rFonts w:cs="Arial"/>
          <w:lang w:val="es-CO"/>
        </w:rPr>
        <w:t>requisitos</w:t>
      </w:r>
      <w:r>
        <w:rPr>
          <w:rFonts w:cs="Arial"/>
          <w:spacing w:val="26"/>
          <w:lang w:val="es-CO"/>
        </w:rPr>
        <w:t xml:space="preserve"> </w:t>
      </w:r>
      <w:r>
        <w:rPr>
          <w:rFonts w:cs="Arial"/>
          <w:lang w:val="es-CO"/>
        </w:rPr>
        <w:t>establecidos</w:t>
      </w:r>
      <w:r>
        <w:rPr>
          <w:rFonts w:cs="Arial"/>
          <w:spacing w:val="45"/>
          <w:lang w:val="es-CO"/>
        </w:rPr>
        <w:t xml:space="preserve"> </w:t>
      </w:r>
      <w:r>
        <w:rPr>
          <w:rFonts w:cs="Arial"/>
          <w:lang w:val="es-CO"/>
        </w:rPr>
        <w:t>por</w:t>
      </w:r>
      <w:r>
        <w:rPr>
          <w:rFonts w:cs="Arial"/>
          <w:spacing w:val="12"/>
          <w:lang w:val="es-CO"/>
        </w:rPr>
        <w:t xml:space="preserve"> </w:t>
      </w:r>
      <w:r>
        <w:rPr>
          <w:rFonts w:cs="Arial"/>
          <w:lang w:val="es-CO"/>
        </w:rPr>
        <w:t>el</w:t>
      </w:r>
      <w:r>
        <w:rPr>
          <w:rFonts w:cs="Arial"/>
          <w:spacing w:val="13"/>
          <w:lang w:val="es-CO"/>
        </w:rPr>
        <w:t xml:space="preserve"> </w:t>
      </w:r>
      <w:r>
        <w:rPr>
          <w:rFonts w:cs="Arial"/>
          <w:lang w:val="es-CO"/>
        </w:rPr>
        <w:t>Gobierno</w:t>
      </w:r>
      <w:r>
        <w:rPr>
          <w:rFonts w:cs="Arial"/>
          <w:w w:val="98"/>
          <w:lang w:val="es-CO"/>
        </w:rPr>
        <w:t xml:space="preserve"> </w:t>
      </w:r>
      <w:r>
        <w:rPr>
          <w:rFonts w:cs="Arial"/>
          <w:lang w:val="es-CO"/>
        </w:rPr>
        <w:t>Nacional</w:t>
      </w:r>
      <w:r>
        <w:rPr>
          <w:rFonts w:cs="Arial"/>
          <w:spacing w:val="-13"/>
          <w:lang w:val="es-CO"/>
        </w:rPr>
        <w:t xml:space="preserve"> </w:t>
      </w:r>
      <w:r>
        <w:rPr>
          <w:rFonts w:cs="Arial"/>
          <w:lang w:val="es-CO"/>
        </w:rPr>
        <w:t>mediante</w:t>
      </w:r>
      <w:r>
        <w:rPr>
          <w:rFonts w:cs="Arial"/>
          <w:spacing w:val="-12"/>
          <w:lang w:val="es-CO"/>
        </w:rPr>
        <w:t xml:space="preserve"> </w:t>
      </w:r>
      <w:r>
        <w:rPr>
          <w:rFonts w:cs="Arial"/>
          <w:lang w:val="es-CO"/>
        </w:rPr>
        <w:t>reglamento.</w:t>
      </w:r>
    </w:p>
    <w:p w14:paraId="03D590C6" w14:textId="77777777" w:rsidR="00B2442D" w:rsidRDefault="00B2442D">
      <w:pPr>
        <w:pStyle w:val="Textoindependiente"/>
        <w:spacing w:line="40" w:lineRule="atLeast"/>
        <w:ind w:right="-30"/>
        <w:jc w:val="both"/>
        <w:rPr>
          <w:rFonts w:eastAsia="Times New Roman" w:cs="Arial"/>
          <w:lang w:val="es-CO"/>
        </w:rPr>
      </w:pPr>
    </w:p>
    <w:p w14:paraId="331FAECF" w14:textId="77777777" w:rsidR="00B2442D" w:rsidRDefault="008A645F">
      <w:pPr>
        <w:pStyle w:val="Textoindependiente"/>
        <w:spacing w:line="40" w:lineRule="atLeast"/>
        <w:ind w:right="-30"/>
        <w:jc w:val="both"/>
        <w:rPr>
          <w:rFonts w:cs="Arial"/>
          <w:lang w:val="es-CO"/>
        </w:rPr>
      </w:pPr>
      <w:r>
        <w:rPr>
          <w:rFonts w:eastAsia="Times New Roman" w:cs="Arial"/>
          <w:lang w:val="es-CO"/>
        </w:rPr>
        <w:t xml:space="preserve">Para </w:t>
      </w:r>
      <w:r>
        <w:rPr>
          <w:rFonts w:cs="Arial"/>
          <w:lang w:val="es-CO"/>
        </w:rPr>
        <w:t>efectos</w:t>
      </w:r>
      <w:r>
        <w:rPr>
          <w:rFonts w:cs="Arial"/>
          <w:spacing w:val="46"/>
          <w:lang w:val="es-CO"/>
        </w:rPr>
        <w:t xml:space="preserve"> </w:t>
      </w:r>
      <w:r>
        <w:rPr>
          <w:rFonts w:cs="Arial"/>
          <w:lang w:val="es-CO"/>
        </w:rPr>
        <w:t>del</w:t>
      </w:r>
      <w:r>
        <w:rPr>
          <w:rFonts w:cs="Arial"/>
          <w:spacing w:val="34"/>
          <w:lang w:val="es-CO"/>
        </w:rPr>
        <w:t xml:space="preserve"> </w:t>
      </w:r>
      <w:r>
        <w:rPr>
          <w:rFonts w:cs="Arial"/>
          <w:lang w:val="es-CO"/>
        </w:rPr>
        <w:t>presente</w:t>
      </w:r>
      <w:r>
        <w:rPr>
          <w:rFonts w:cs="Arial"/>
          <w:spacing w:val="41"/>
          <w:lang w:val="es-CO"/>
        </w:rPr>
        <w:t xml:space="preserve"> </w:t>
      </w:r>
      <w:r>
        <w:rPr>
          <w:rFonts w:cs="Arial"/>
          <w:lang w:val="es-CO"/>
        </w:rPr>
        <w:t>artículo,</w:t>
      </w:r>
      <w:r>
        <w:rPr>
          <w:rFonts w:cs="Arial"/>
          <w:spacing w:val="46"/>
          <w:lang w:val="es-CO"/>
        </w:rPr>
        <w:t xml:space="preserve"> </w:t>
      </w:r>
      <w:r>
        <w:rPr>
          <w:rFonts w:cs="Arial"/>
          <w:lang w:val="es-CO"/>
        </w:rPr>
        <w:t>deberá</w:t>
      </w:r>
      <w:r>
        <w:rPr>
          <w:rFonts w:cs="Arial"/>
          <w:spacing w:val="42"/>
          <w:lang w:val="es-CO"/>
        </w:rPr>
        <w:t xml:space="preserve"> </w:t>
      </w:r>
      <w:r>
        <w:rPr>
          <w:rFonts w:cs="Arial"/>
          <w:lang w:val="es-CO"/>
        </w:rPr>
        <w:t>diligenciarse</w:t>
      </w:r>
      <w:r>
        <w:rPr>
          <w:rFonts w:cs="Arial"/>
          <w:spacing w:val="13"/>
          <w:lang w:val="es-CO"/>
        </w:rPr>
        <w:t xml:space="preserve"> el </w:t>
      </w:r>
      <w:r>
        <w:rPr>
          <w:rFonts w:cs="Arial"/>
          <w:lang w:val="es-CO"/>
        </w:rPr>
        <w:t>recibo</w:t>
      </w:r>
      <w:r>
        <w:rPr>
          <w:rFonts w:cs="Arial"/>
          <w:spacing w:val="31"/>
          <w:lang w:val="es-CO"/>
        </w:rPr>
        <w:t xml:space="preserve"> </w:t>
      </w:r>
      <w:r>
        <w:rPr>
          <w:rFonts w:cs="Arial"/>
          <w:lang w:val="es-CO"/>
        </w:rPr>
        <w:t>oficial</w:t>
      </w:r>
      <w:r>
        <w:rPr>
          <w:rFonts w:cs="Arial"/>
          <w:spacing w:val="33"/>
          <w:lang w:val="es-CO"/>
        </w:rPr>
        <w:t xml:space="preserve"> </w:t>
      </w:r>
      <w:r>
        <w:rPr>
          <w:rFonts w:cs="Arial"/>
          <w:lang w:val="es-CO"/>
        </w:rPr>
        <w:t>de</w:t>
      </w:r>
      <w:r>
        <w:rPr>
          <w:rFonts w:cs="Arial"/>
          <w:spacing w:val="43"/>
          <w:lang w:val="es-CO"/>
        </w:rPr>
        <w:t xml:space="preserve"> </w:t>
      </w:r>
      <w:r>
        <w:rPr>
          <w:rFonts w:cs="Arial"/>
          <w:lang w:val="es-CO"/>
        </w:rPr>
        <w:t>pago</w:t>
      </w:r>
      <w:r>
        <w:rPr>
          <w:rFonts w:cs="Arial"/>
          <w:spacing w:val="26"/>
          <w:lang w:val="es-CO"/>
        </w:rPr>
        <w:t xml:space="preserve"> </w:t>
      </w:r>
      <w:r>
        <w:rPr>
          <w:rFonts w:cs="Arial"/>
          <w:lang w:val="es-CO"/>
        </w:rPr>
        <w:t>en</w:t>
      </w:r>
      <w:r>
        <w:rPr>
          <w:rFonts w:cs="Arial"/>
          <w:w w:val="102"/>
          <w:lang w:val="es-CO"/>
        </w:rPr>
        <w:t xml:space="preserve"> </w:t>
      </w:r>
      <w:r>
        <w:rPr>
          <w:rFonts w:cs="Arial"/>
          <w:lang w:val="es-CO"/>
        </w:rPr>
        <w:t>bancos.</w:t>
      </w:r>
      <w:r>
        <w:rPr>
          <w:rFonts w:cs="Arial"/>
          <w:spacing w:val="25"/>
          <w:lang w:val="es-CO"/>
        </w:rPr>
        <w:t xml:space="preserve"> </w:t>
      </w:r>
      <w:r>
        <w:rPr>
          <w:rFonts w:cs="Arial"/>
          <w:lang w:val="es-CO"/>
        </w:rPr>
        <w:t>En estos eventos el formulario</w:t>
      </w:r>
      <w:r>
        <w:rPr>
          <w:rFonts w:cs="Arial"/>
          <w:spacing w:val="27"/>
          <w:lang w:val="es-CO"/>
        </w:rPr>
        <w:t xml:space="preserve"> </w:t>
      </w:r>
      <w:r>
        <w:rPr>
          <w:rFonts w:cs="Arial"/>
          <w:lang w:val="es-CO"/>
        </w:rPr>
        <w:t>de</w:t>
      </w:r>
      <w:r>
        <w:rPr>
          <w:rFonts w:cs="Arial"/>
          <w:spacing w:val="22"/>
          <w:lang w:val="es-CO"/>
        </w:rPr>
        <w:t xml:space="preserve"> </w:t>
      </w:r>
      <w:r>
        <w:rPr>
          <w:rFonts w:cs="Arial"/>
          <w:lang w:val="es-CO"/>
        </w:rPr>
        <w:t>la</w:t>
      </w:r>
      <w:r>
        <w:rPr>
          <w:rFonts w:cs="Arial"/>
          <w:spacing w:val="8"/>
          <w:lang w:val="es-CO"/>
        </w:rPr>
        <w:t xml:space="preserve"> </w:t>
      </w:r>
      <w:r>
        <w:rPr>
          <w:rFonts w:cs="Arial"/>
          <w:lang w:val="es-CO"/>
        </w:rPr>
        <w:t>declaración</w:t>
      </w:r>
      <w:r>
        <w:rPr>
          <w:rFonts w:cs="Arial"/>
          <w:spacing w:val="32"/>
          <w:lang w:val="es-CO"/>
        </w:rPr>
        <w:t xml:space="preserve"> </w:t>
      </w:r>
      <w:r>
        <w:rPr>
          <w:rFonts w:cs="Arial"/>
          <w:lang w:val="es-CO"/>
        </w:rPr>
        <w:t>tributaria</w:t>
      </w:r>
      <w:r>
        <w:rPr>
          <w:rFonts w:cs="Arial"/>
          <w:spacing w:val="43"/>
          <w:lang w:val="es-CO"/>
        </w:rPr>
        <w:t xml:space="preserve"> </w:t>
      </w:r>
      <w:r>
        <w:rPr>
          <w:rFonts w:cs="Arial"/>
          <w:lang w:val="es-CO"/>
        </w:rPr>
        <w:t>podrá</w:t>
      </w:r>
      <w:r>
        <w:rPr>
          <w:rFonts w:cs="Arial"/>
          <w:spacing w:val="18"/>
          <w:lang w:val="es-CO"/>
        </w:rPr>
        <w:t xml:space="preserve"> </w:t>
      </w:r>
      <w:r>
        <w:rPr>
          <w:rFonts w:cs="Arial"/>
          <w:lang w:val="es-CO"/>
        </w:rPr>
        <w:t>presentarse</w:t>
      </w:r>
      <w:r>
        <w:rPr>
          <w:rFonts w:cs="Arial"/>
          <w:w w:val="99"/>
          <w:lang w:val="es-CO"/>
        </w:rPr>
        <w:t xml:space="preserve"> </w:t>
      </w:r>
      <w:r>
        <w:rPr>
          <w:rFonts w:cs="Arial"/>
          <w:lang w:val="es-CO"/>
        </w:rPr>
        <w:t>ante</w:t>
      </w:r>
      <w:r>
        <w:rPr>
          <w:rFonts w:cs="Arial"/>
          <w:spacing w:val="-2"/>
          <w:lang w:val="es-CO"/>
        </w:rPr>
        <w:t xml:space="preserve"> </w:t>
      </w:r>
      <w:r>
        <w:rPr>
          <w:rFonts w:cs="Arial"/>
          <w:lang w:val="es-CO"/>
        </w:rPr>
        <w:t>cualquiera de los bancos</w:t>
      </w:r>
      <w:r>
        <w:rPr>
          <w:rFonts w:cs="Arial"/>
          <w:spacing w:val="-1"/>
          <w:lang w:val="es-CO"/>
        </w:rPr>
        <w:t xml:space="preserve"> </w:t>
      </w:r>
      <w:r>
        <w:rPr>
          <w:rFonts w:cs="Arial"/>
          <w:lang w:val="es-CO"/>
        </w:rPr>
        <w:t>autorizados.</w:t>
      </w:r>
    </w:p>
    <w:p w14:paraId="6181FB7C" w14:textId="77777777" w:rsidR="00B2442D" w:rsidRDefault="00B2442D">
      <w:pPr>
        <w:spacing w:line="40" w:lineRule="atLeast"/>
        <w:ind w:right="-30"/>
        <w:jc w:val="both"/>
        <w:rPr>
          <w:rFonts w:ascii="Arial" w:hAnsi="Arial" w:cs="Arial"/>
          <w:lang w:val="es-CO"/>
        </w:rPr>
      </w:pPr>
    </w:p>
    <w:p w14:paraId="5299BE67" w14:textId="77777777" w:rsidR="00B2442D" w:rsidRDefault="008A645F">
      <w:pPr>
        <w:jc w:val="both"/>
        <w:rPr>
          <w:rFonts w:ascii="Arial" w:hAnsi="Arial" w:cs="Arial"/>
          <w:i/>
          <w:lang w:val="es-ES_tradnl"/>
        </w:rPr>
      </w:pPr>
      <w:r>
        <w:rPr>
          <w:rFonts w:ascii="Arial" w:hAnsi="Arial" w:cs="Arial"/>
          <w:i/>
          <w:lang w:val="es-ES_tradnl"/>
        </w:rPr>
        <w:t>(Art. 49, Decreto 2243 de 2015) (Plazos 2015: Decreto 2623 de 2014; plazos 2014: Decreto 2972 de 2013 y Decreto 685 de 2014; plazos 2013: Decreto 2634 de 2012 y Decreto 0187 de 2013; plazos 2012: Decreto 4907 de 2011;</w:t>
      </w:r>
      <w:r>
        <w:rPr>
          <w:rFonts w:ascii="Arial" w:hAnsi="Arial" w:cs="Arial"/>
          <w:i/>
          <w:lang w:val="es-ES_tradnl"/>
        </w:rPr>
        <w:t xml:space="preserve"> plazos 2011: Decreto 4836 de 2010 y Decreto 1358 de 2011)</w:t>
      </w:r>
    </w:p>
    <w:p w14:paraId="6F2A6702" w14:textId="77777777" w:rsidR="00B2442D" w:rsidRDefault="00B2442D">
      <w:pPr>
        <w:spacing w:line="40" w:lineRule="atLeast"/>
        <w:ind w:right="-30"/>
        <w:jc w:val="both"/>
        <w:rPr>
          <w:rFonts w:ascii="Arial" w:hAnsi="Arial" w:cs="Arial"/>
          <w:lang w:val="es-CO"/>
        </w:rPr>
      </w:pPr>
    </w:p>
    <w:p w14:paraId="48BE9FA7"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Plazo</w:t>
      </w:r>
      <w:r>
        <w:rPr>
          <w:rFonts w:cs="Arial"/>
          <w:b/>
          <w:i/>
          <w:spacing w:val="15"/>
          <w:lang w:val="es-CO"/>
        </w:rPr>
        <w:t xml:space="preserve"> </w:t>
      </w:r>
      <w:r>
        <w:rPr>
          <w:rFonts w:cs="Arial"/>
          <w:b/>
          <w:i/>
          <w:lang w:val="es-CO"/>
        </w:rPr>
        <w:t>para el</w:t>
      </w:r>
      <w:r>
        <w:rPr>
          <w:rFonts w:cs="Arial"/>
          <w:b/>
          <w:i/>
          <w:spacing w:val="47"/>
          <w:lang w:val="es-CO"/>
        </w:rPr>
        <w:t xml:space="preserve"> </w:t>
      </w:r>
      <w:r>
        <w:rPr>
          <w:rFonts w:cs="Arial"/>
          <w:b/>
          <w:i/>
          <w:lang w:val="es-CO"/>
        </w:rPr>
        <w:t>pago</w:t>
      </w:r>
      <w:r>
        <w:rPr>
          <w:rFonts w:cs="Arial"/>
          <w:b/>
          <w:i/>
          <w:spacing w:val="18"/>
          <w:lang w:val="es-CO"/>
        </w:rPr>
        <w:t xml:space="preserve"> </w:t>
      </w:r>
      <w:r>
        <w:rPr>
          <w:rFonts w:cs="Arial"/>
          <w:b/>
          <w:i/>
          <w:lang w:val="es-CO"/>
        </w:rPr>
        <w:t>de</w:t>
      </w:r>
      <w:r>
        <w:rPr>
          <w:rFonts w:cs="Arial"/>
          <w:b/>
          <w:i/>
          <w:spacing w:val="2"/>
          <w:lang w:val="es-CO"/>
        </w:rPr>
        <w:t xml:space="preserve"> </w:t>
      </w:r>
      <w:r>
        <w:rPr>
          <w:rFonts w:cs="Arial"/>
          <w:b/>
          <w:i/>
          <w:lang w:val="es-CO"/>
        </w:rPr>
        <w:t>declaraciones</w:t>
      </w:r>
      <w:r>
        <w:rPr>
          <w:rFonts w:cs="Arial"/>
          <w:b/>
          <w:i/>
          <w:spacing w:val="31"/>
          <w:lang w:val="es-CO"/>
        </w:rPr>
        <w:t xml:space="preserve"> </w:t>
      </w:r>
      <w:r>
        <w:rPr>
          <w:rFonts w:cs="Arial"/>
          <w:b/>
          <w:i/>
          <w:lang w:val="es-CO"/>
        </w:rPr>
        <w:t>tributarias</w:t>
      </w:r>
      <w:r>
        <w:rPr>
          <w:rFonts w:cs="Arial"/>
          <w:b/>
          <w:i/>
          <w:spacing w:val="28"/>
          <w:lang w:val="es-CO"/>
        </w:rPr>
        <w:t xml:space="preserve"> </w:t>
      </w:r>
      <w:r>
        <w:rPr>
          <w:rFonts w:cs="Arial"/>
          <w:b/>
          <w:i/>
          <w:lang w:val="es-CO"/>
        </w:rPr>
        <w:t>con saldo</w:t>
      </w:r>
      <w:r>
        <w:rPr>
          <w:rFonts w:cs="Arial"/>
          <w:b/>
          <w:i/>
          <w:spacing w:val="44"/>
          <w:lang w:val="es-CO"/>
        </w:rPr>
        <w:t xml:space="preserve"> </w:t>
      </w:r>
      <w:r>
        <w:rPr>
          <w:rFonts w:cs="Arial"/>
          <w:b/>
          <w:i/>
          <w:lang w:val="es-CO"/>
        </w:rPr>
        <w:t>a pagar</w:t>
      </w:r>
      <w:r>
        <w:rPr>
          <w:rFonts w:cs="Arial"/>
          <w:b/>
          <w:i/>
          <w:spacing w:val="57"/>
          <w:lang w:val="es-CO"/>
        </w:rPr>
        <w:t xml:space="preserve"> </w:t>
      </w:r>
      <w:r>
        <w:rPr>
          <w:rFonts w:cs="Arial"/>
          <w:b/>
          <w:i/>
          <w:lang w:val="es-CO"/>
        </w:rPr>
        <w:t>inferior</w:t>
      </w:r>
      <w:r>
        <w:rPr>
          <w:rFonts w:cs="Arial"/>
          <w:b/>
          <w:i/>
          <w:spacing w:val="42"/>
          <w:lang w:val="es-CO"/>
        </w:rPr>
        <w:t xml:space="preserve"> </w:t>
      </w:r>
      <w:r>
        <w:rPr>
          <w:rFonts w:cs="Arial"/>
          <w:b/>
          <w:i/>
          <w:lang w:val="es-CO"/>
        </w:rPr>
        <w:t>a</w:t>
      </w:r>
      <w:r>
        <w:rPr>
          <w:rFonts w:cs="Arial"/>
          <w:b/>
          <w:i/>
          <w:spacing w:val="53"/>
          <w:lang w:val="es-CO"/>
        </w:rPr>
        <w:t xml:space="preserve"> </w:t>
      </w:r>
      <w:r>
        <w:rPr>
          <w:rFonts w:cs="Arial"/>
          <w:b/>
          <w:i/>
          <w:lang w:val="es-CO"/>
        </w:rPr>
        <w:t>cuarenta</w:t>
      </w:r>
      <w:r>
        <w:rPr>
          <w:rFonts w:cs="Arial"/>
          <w:b/>
          <w:i/>
          <w:spacing w:val="59"/>
          <w:lang w:val="es-CO"/>
        </w:rPr>
        <w:t xml:space="preserve"> </w:t>
      </w:r>
      <w:r>
        <w:rPr>
          <w:rFonts w:cs="Arial"/>
          <w:b/>
          <w:i/>
          <w:lang w:val="es-CO"/>
        </w:rPr>
        <w:t>y</w:t>
      </w:r>
      <w:r>
        <w:rPr>
          <w:rFonts w:cs="Arial"/>
          <w:b/>
          <w:i/>
          <w:spacing w:val="64"/>
          <w:lang w:val="es-CO"/>
        </w:rPr>
        <w:t xml:space="preserve"> </w:t>
      </w:r>
      <w:r>
        <w:rPr>
          <w:rFonts w:cs="Arial"/>
          <w:b/>
          <w:i/>
          <w:lang w:val="es-CO"/>
        </w:rPr>
        <w:t>una</w:t>
      </w:r>
      <w:r>
        <w:rPr>
          <w:rFonts w:cs="Arial"/>
          <w:b/>
          <w:i/>
          <w:spacing w:val="44"/>
          <w:lang w:val="es-CO"/>
        </w:rPr>
        <w:t xml:space="preserve"> </w:t>
      </w:r>
      <w:r>
        <w:rPr>
          <w:rFonts w:cs="Arial"/>
          <w:b/>
          <w:i/>
          <w:lang w:val="es-CO"/>
        </w:rPr>
        <w:t>(41)</w:t>
      </w:r>
      <w:r>
        <w:rPr>
          <w:rFonts w:cs="Arial"/>
          <w:b/>
          <w:i/>
          <w:spacing w:val="51"/>
          <w:lang w:val="es-CO"/>
        </w:rPr>
        <w:t xml:space="preserve"> </w:t>
      </w:r>
      <w:r>
        <w:rPr>
          <w:rFonts w:cs="Arial"/>
          <w:b/>
          <w:i/>
          <w:lang w:val="es-CO"/>
        </w:rPr>
        <w:t>unidades</w:t>
      </w:r>
      <w:r>
        <w:rPr>
          <w:rFonts w:cs="Arial"/>
          <w:b/>
          <w:i/>
          <w:spacing w:val="62"/>
          <w:lang w:val="es-CO"/>
        </w:rPr>
        <w:t xml:space="preserve"> </w:t>
      </w:r>
      <w:r>
        <w:rPr>
          <w:rFonts w:cs="Arial"/>
          <w:b/>
          <w:i/>
          <w:lang w:val="es-CO"/>
        </w:rPr>
        <w:t>de</w:t>
      </w:r>
      <w:r>
        <w:rPr>
          <w:rFonts w:cs="Arial"/>
          <w:b/>
          <w:i/>
          <w:spacing w:val="23"/>
          <w:lang w:val="es-CO"/>
        </w:rPr>
        <w:t xml:space="preserve"> </w:t>
      </w:r>
      <w:r>
        <w:rPr>
          <w:rFonts w:cs="Arial"/>
          <w:b/>
          <w:i/>
          <w:lang w:val="es-CO"/>
        </w:rPr>
        <w:t>valor tributario</w:t>
      </w:r>
      <w:r>
        <w:rPr>
          <w:rFonts w:cs="Arial"/>
          <w:b/>
          <w:i/>
          <w:spacing w:val="26"/>
          <w:lang w:val="es-CO"/>
        </w:rPr>
        <w:t xml:space="preserve"> </w:t>
      </w:r>
      <w:r>
        <w:rPr>
          <w:rFonts w:cs="Arial"/>
          <w:b/>
          <w:i/>
          <w:lang w:val="es-CO"/>
        </w:rPr>
        <w:t>-</w:t>
      </w:r>
      <w:r>
        <w:rPr>
          <w:rFonts w:cs="Arial"/>
          <w:b/>
          <w:i/>
          <w:spacing w:val="1"/>
          <w:lang w:val="es-CO"/>
        </w:rPr>
        <w:t xml:space="preserve"> </w:t>
      </w:r>
      <w:r>
        <w:rPr>
          <w:rFonts w:cs="Arial"/>
          <w:b/>
          <w:i/>
          <w:lang w:val="es-CO"/>
        </w:rPr>
        <w:t>UVT.</w:t>
      </w:r>
      <w:r>
        <w:rPr>
          <w:rFonts w:cs="Arial"/>
          <w:lang w:val="es-CO"/>
        </w:rPr>
        <w:t xml:space="preserve"> </w:t>
      </w:r>
      <w:r>
        <w:rPr>
          <w:rFonts w:cs="Arial"/>
          <w:spacing w:val="7"/>
          <w:lang w:val="es-CO"/>
        </w:rPr>
        <w:t xml:space="preserve"> El plazo para el pago de las declaraciones tributarias que arrojen un saldo a pagar inferior a cuarenta y una (41) Unidades de Valor Tributario UVT ($ 1.306.000 valor año 2017) a la fecha de su presentación, vence el mismo día del plazo señalado para la p</w:t>
      </w:r>
      <w:r>
        <w:rPr>
          <w:rFonts w:cs="Arial"/>
          <w:spacing w:val="7"/>
          <w:lang w:val="es-CO"/>
        </w:rPr>
        <w:t>resentación de la respectiva declaración, debiendo cancelarse en una sola cuota.”</w:t>
      </w:r>
    </w:p>
    <w:p w14:paraId="53FFA11C" w14:textId="77777777" w:rsidR="00B2442D" w:rsidRDefault="00B2442D">
      <w:pPr>
        <w:spacing w:line="40" w:lineRule="atLeast"/>
        <w:ind w:right="-30"/>
        <w:jc w:val="both"/>
        <w:rPr>
          <w:rFonts w:ascii="Arial" w:hAnsi="Arial" w:cs="Arial"/>
          <w:highlight w:val="yellow"/>
          <w:lang w:val="es-CO"/>
        </w:rPr>
      </w:pPr>
    </w:p>
    <w:p w14:paraId="10D4880A" w14:textId="77777777" w:rsidR="00B2442D" w:rsidRDefault="008A645F">
      <w:pPr>
        <w:spacing w:line="40" w:lineRule="atLeast"/>
        <w:ind w:right="-30"/>
        <w:jc w:val="both"/>
        <w:rPr>
          <w:rFonts w:ascii="Arial" w:hAnsi="Arial" w:cs="Arial"/>
          <w:lang w:val="es-CO"/>
        </w:rPr>
      </w:pPr>
      <w:r>
        <w:rPr>
          <w:rFonts w:ascii="Arial" w:hAnsi="Arial" w:cs="Arial"/>
          <w:i/>
          <w:lang w:val="es-ES_tradnl"/>
        </w:rPr>
        <w:t>(Art. 50 Decreto 2105 de 2015, plazos 2016: Decreto 2243 de 2015; plazos 2015: Decreto 2623 de 2014; plazos 2014: Decreto 2972 de 2013 y Decreto 685 de 2014; plazos 2013: De</w:t>
      </w:r>
      <w:r>
        <w:rPr>
          <w:rFonts w:ascii="Arial" w:hAnsi="Arial" w:cs="Arial"/>
          <w:i/>
          <w:lang w:val="es-ES_tradnl"/>
        </w:rPr>
        <w:t>creto 2634 de 2012 y Decreto 0187 de 2013; plazos 2012: Decreto 4907 de 2011; plazos 2011: Decreto 4836 de 2010 y Decreto 1358 de 2011)</w:t>
      </w:r>
    </w:p>
    <w:p w14:paraId="4473AB71" w14:textId="77777777" w:rsidR="00B2442D" w:rsidRDefault="008A645F">
      <w:pPr>
        <w:pStyle w:val="Textoindependiente"/>
        <w:numPr>
          <w:ilvl w:val="0"/>
          <w:numId w:val="152"/>
        </w:numPr>
        <w:spacing w:line="40" w:lineRule="atLeast"/>
        <w:ind w:left="0" w:right="-30" w:firstLine="0"/>
        <w:jc w:val="both"/>
        <w:rPr>
          <w:rFonts w:cs="Arial"/>
          <w:lang w:val="es-CO"/>
        </w:rPr>
      </w:pPr>
      <w:r>
        <w:rPr>
          <w:rFonts w:cs="Arial"/>
          <w:b/>
          <w:i/>
          <w:lang w:val="es-CO"/>
        </w:rPr>
        <w:t xml:space="preserve">Identificación  </w:t>
      </w:r>
      <w:r>
        <w:rPr>
          <w:rFonts w:cs="Arial"/>
          <w:b/>
          <w:i/>
          <w:spacing w:val="40"/>
          <w:lang w:val="es-CO"/>
        </w:rPr>
        <w:t xml:space="preserve"> </w:t>
      </w:r>
      <w:r>
        <w:rPr>
          <w:rFonts w:cs="Arial"/>
          <w:b/>
          <w:i/>
          <w:lang w:val="es-CO"/>
        </w:rPr>
        <w:t xml:space="preserve">del  </w:t>
      </w:r>
      <w:r>
        <w:rPr>
          <w:rFonts w:cs="Arial"/>
          <w:b/>
          <w:i/>
          <w:spacing w:val="10"/>
          <w:lang w:val="es-CO"/>
        </w:rPr>
        <w:t xml:space="preserve"> </w:t>
      </w:r>
      <w:r>
        <w:rPr>
          <w:rFonts w:cs="Arial"/>
          <w:b/>
          <w:i/>
          <w:lang w:val="es-CO"/>
        </w:rPr>
        <w:t xml:space="preserve">contribuyente,  </w:t>
      </w:r>
      <w:r>
        <w:rPr>
          <w:rFonts w:cs="Arial"/>
          <w:b/>
          <w:i/>
          <w:spacing w:val="51"/>
          <w:lang w:val="es-CO"/>
        </w:rPr>
        <w:t xml:space="preserve"> </w:t>
      </w:r>
      <w:r>
        <w:rPr>
          <w:rFonts w:cs="Arial"/>
          <w:b/>
          <w:i/>
          <w:lang w:val="es-CO"/>
        </w:rPr>
        <w:t xml:space="preserve">declarante  </w:t>
      </w:r>
      <w:r>
        <w:rPr>
          <w:rFonts w:cs="Arial"/>
          <w:b/>
          <w:i/>
          <w:spacing w:val="26"/>
          <w:lang w:val="es-CO"/>
        </w:rPr>
        <w:t xml:space="preserve"> </w:t>
      </w:r>
      <w:r>
        <w:rPr>
          <w:rFonts w:cs="Arial"/>
          <w:b/>
          <w:i/>
          <w:lang w:val="es-CO"/>
        </w:rPr>
        <w:t>o responsable.</w:t>
      </w:r>
      <w:r>
        <w:rPr>
          <w:rFonts w:cs="Arial"/>
          <w:spacing w:val="17"/>
          <w:lang w:val="es-CO"/>
        </w:rPr>
        <w:t xml:space="preserve"> </w:t>
      </w:r>
      <w:r>
        <w:rPr>
          <w:rFonts w:cs="Arial"/>
          <w:lang w:val="es-CO"/>
        </w:rPr>
        <w:t>Para</w:t>
      </w:r>
      <w:r>
        <w:rPr>
          <w:rFonts w:cs="Arial"/>
          <w:spacing w:val="39"/>
          <w:lang w:val="es-CO"/>
        </w:rPr>
        <w:t xml:space="preserve"> </w:t>
      </w:r>
      <w:r>
        <w:rPr>
          <w:rFonts w:cs="Arial"/>
          <w:lang w:val="es-CO"/>
        </w:rPr>
        <w:t>efectos</w:t>
      </w:r>
      <w:r>
        <w:rPr>
          <w:rFonts w:cs="Arial"/>
          <w:spacing w:val="56"/>
          <w:lang w:val="es-CO"/>
        </w:rPr>
        <w:t xml:space="preserve"> </w:t>
      </w:r>
      <w:r>
        <w:rPr>
          <w:rFonts w:cs="Arial"/>
          <w:lang w:val="es-CO"/>
        </w:rPr>
        <w:t>de</w:t>
      </w:r>
      <w:r>
        <w:rPr>
          <w:rFonts w:cs="Arial"/>
          <w:spacing w:val="9"/>
          <w:lang w:val="es-CO"/>
        </w:rPr>
        <w:t xml:space="preserve"> la </w:t>
      </w:r>
      <w:r>
        <w:rPr>
          <w:rFonts w:cs="Arial"/>
          <w:lang w:val="es-CO"/>
        </w:rPr>
        <w:t>presentación</w:t>
      </w:r>
      <w:r>
        <w:rPr>
          <w:rFonts w:cs="Arial"/>
          <w:spacing w:val="53"/>
          <w:lang w:val="es-CO"/>
        </w:rPr>
        <w:t xml:space="preserve"> </w:t>
      </w:r>
      <w:r>
        <w:rPr>
          <w:rFonts w:cs="Arial"/>
          <w:lang w:val="es-CO"/>
        </w:rPr>
        <w:t>de</w:t>
      </w:r>
      <w:r>
        <w:rPr>
          <w:rFonts w:cs="Arial"/>
          <w:spacing w:val="51"/>
          <w:lang w:val="es-CO"/>
        </w:rPr>
        <w:t xml:space="preserve"> </w:t>
      </w:r>
      <w:r>
        <w:rPr>
          <w:rFonts w:cs="Arial"/>
          <w:lang w:val="es-CO"/>
        </w:rPr>
        <w:t>las</w:t>
      </w:r>
      <w:r>
        <w:rPr>
          <w:rFonts w:cs="Arial"/>
          <w:spacing w:val="44"/>
          <w:lang w:val="es-CO"/>
        </w:rPr>
        <w:t xml:space="preserve"> </w:t>
      </w:r>
      <w:r>
        <w:rPr>
          <w:rFonts w:cs="Arial"/>
          <w:lang w:val="es-CO"/>
        </w:rPr>
        <w:t>declaraciones</w:t>
      </w:r>
      <w:r>
        <w:rPr>
          <w:rFonts w:cs="Arial"/>
          <w:spacing w:val="61"/>
          <w:lang w:val="es-CO"/>
        </w:rPr>
        <w:t xml:space="preserve"> </w:t>
      </w:r>
      <w:r>
        <w:rPr>
          <w:rFonts w:cs="Arial"/>
          <w:lang w:val="es-CO"/>
        </w:rPr>
        <w:t>tributarias,</w:t>
      </w:r>
      <w:r>
        <w:rPr>
          <w:rFonts w:cs="Arial"/>
          <w:w w:val="98"/>
          <w:lang w:val="es-CO"/>
        </w:rPr>
        <w:t xml:space="preserve"> </w:t>
      </w:r>
      <w:r>
        <w:rPr>
          <w:rFonts w:cs="Arial"/>
          <w:lang w:val="es-CO"/>
        </w:rPr>
        <w:t>aduaneras</w:t>
      </w:r>
      <w:r>
        <w:rPr>
          <w:rFonts w:cs="Arial"/>
          <w:spacing w:val="33"/>
          <w:lang w:val="es-CO"/>
        </w:rPr>
        <w:t xml:space="preserve"> </w:t>
      </w:r>
      <w:r>
        <w:rPr>
          <w:rFonts w:cs="Arial"/>
          <w:lang w:val="es-CO"/>
        </w:rPr>
        <w:t>y el</w:t>
      </w:r>
      <w:r>
        <w:rPr>
          <w:rFonts w:cs="Arial"/>
          <w:spacing w:val="32"/>
          <w:lang w:val="es-CO"/>
        </w:rPr>
        <w:t xml:space="preserve"> </w:t>
      </w:r>
      <w:r>
        <w:rPr>
          <w:rFonts w:cs="Arial"/>
          <w:lang w:val="es-CO"/>
        </w:rPr>
        <w:t>pago</w:t>
      </w:r>
      <w:r>
        <w:rPr>
          <w:rFonts w:cs="Arial"/>
          <w:spacing w:val="17"/>
          <w:lang w:val="es-CO"/>
        </w:rPr>
        <w:t xml:space="preserve"> </w:t>
      </w:r>
      <w:r>
        <w:rPr>
          <w:rFonts w:cs="Arial"/>
          <w:lang w:val="es-CO"/>
        </w:rPr>
        <w:t>de</w:t>
      </w:r>
      <w:r>
        <w:rPr>
          <w:rFonts w:cs="Arial"/>
          <w:spacing w:val="28"/>
          <w:lang w:val="es-CO"/>
        </w:rPr>
        <w:t xml:space="preserve"> </w:t>
      </w:r>
      <w:r>
        <w:rPr>
          <w:rFonts w:cs="Arial"/>
          <w:lang w:val="es-CO"/>
        </w:rPr>
        <w:t>las</w:t>
      </w:r>
      <w:r>
        <w:rPr>
          <w:rFonts w:cs="Arial"/>
          <w:spacing w:val="13"/>
          <w:lang w:val="es-CO"/>
        </w:rPr>
        <w:t xml:space="preserve"> </w:t>
      </w:r>
      <w:r>
        <w:rPr>
          <w:rFonts w:cs="Arial"/>
          <w:lang w:val="es-CO"/>
        </w:rPr>
        <w:t>obligaciones</w:t>
      </w:r>
      <w:r>
        <w:rPr>
          <w:rFonts w:cs="Arial"/>
          <w:spacing w:val="50"/>
          <w:lang w:val="es-CO"/>
        </w:rPr>
        <w:t xml:space="preserve"> </w:t>
      </w:r>
      <w:r>
        <w:rPr>
          <w:rFonts w:cs="Arial"/>
          <w:lang w:val="es-CO"/>
        </w:rPr>
        <w:t>reguladas</w:t>
      </w:r>
      <w:r>
        <w:rPr>
          <w:rFonts w:cs="Arial"/>
          <w:spacing w:val="33"/>
          <w:lang w:val="es-CO"/>
        </w:rPr>
        <w:t xml:space="preserve"> </w:t>
      </w:r>
      <w:r>
        <w:rPr>
          <w:rFonts w:cs="Arial"/>
          <w:lang w:val="es-CO"/>
        </w:rPr>
        <w:t>en</w:t>
      </w:r>
      <w:r>
        <w:rPr>
          <w:rFonts w:cs="Arial"/>
          <w:spacing w:val="19"/>
          <w:lang w:val="es-CO"/>
        </w:rPr>
        <w:t xml:space="preserve"> </w:t>
      </w:r>
      <w:r>
        <w:rPr>
          <w:rFonts w:cs="Arial"/>
          <w:lang w:val="es-CO"/>
        </w:rPr>
        <w:t>el</w:t>
      </w:r>
      <w:r>
        <w:rPr>
          <w:rFonts w:cs="Arial"/>
          <w:spacing w:val="18"/>
          <w:lang w:val="es-CO"/>
        </w:rPr>
        <w:t xml:space="preserve"> </w:t>
      </w:r>
      <w:r>
        <w:rPr>
          <w:rFonts w:cs="Arial"/>
          <w:lang w:val="es-CO"/>
        </w:rPr>
        <w:t>presente</w:t>
      </w:r>
      <w:r>
        <w:rPr>
          <w:rFonts w:cs="Arial"/>
          <w:spacing w:val="27"/>
          <w:lang w:val="es-CO"/>
        </w:rPr>
        <w:t xml:space="preserve"> </w:t>
      </w:r>
      <w:r>
        <w:rPr>
          <w:rFonts w:cs="Arial"/>
          <w:lang w:val="es-CO"/>
        </w:rPr>
        <w:t>decreto,</w:t>
      </w:r>
      <w:r>
        <w:rPr>
          <w:rFonts w:cs="Arial"/>
          <w:spacing w:val="31"/>
          <w:lang w:val="es-CO"/>
        </w:rPr>
        <w:t xml:space="preserve"> </w:t>
      </w:r>
      <w:r>
        <w:rPr>
          <w:rFonts w:cs="Arial"/>
          <w:lang w:val="es-CO"/>
        </w:rPr>
        <w:t>el</w:t>
      </w:r>
      <w:r>
        <w:rPr>
          <w:rFonts w:cs="Arial"/>
          <w:w w:val="106"/>
          <w:lang w:val="es-CO"/>
        </w:rPr>
        <w:t xml:space="preserve"> </w:t>
      </w:r>
      <w:r>
        <w:rPr>
          <w:rFonts w:cs="Arial"/>
          <w:lang w:val="es-CO"/>
        </w:rPr>
        <w:t>documento</w:t>
      </w:r>
      <w:r>
        <w:rPr>
          <w:rFonts w:cs="Arial"/>
          <w:spacing w:val="15"/>
          <w:lang w:val="es-CO"/>
        </w:rPr>
        <w:t xml:space="preserve"> </w:t>
      </w:r>
      <w:r>
        <w:rPr>
          <w:rFonts w:cs="Arial"/>
          <w:lang w:val="es-CO"/>
        </w:rPr>
        <w:t>de</w:t>
      </w:r>
      <w:r>
        <w:rPr>
          <w:rFonts w:cs="Arial"/>
          <w:spacing w:val="5"/>
          <w:lang w:val="es-CO"/>
        </w:rPr>
        <w:t xml:space="preserve"> </w:t>
      </w:r>
      <w:r>
        <w:rPr>
          <w:rFonts w:cs="Arial"/>
          <w:lang w:val="es-CO"/>
        </w:rPr>
        <w:t>identificación será el</w:t>
      </w:r>
      <w:r>
        <w:rPr>
          <w:rFonts w:cs="Arial"/>
          <w:spacing w:val="3"/>
          <w:lang w:val="es-CO"/>
        </w:rPr>
        <w:t xml:space="preserve"> </w:t>
      </w:r>
      <w:r>
        <w:rPr>
          <w:rFonts w:cs="Arial"/>
          <w:lang w:val="es-CO"/>
        </w:rPr>
        <w:t>Número</w:t>
      </w:r>
      <w:r>
        <w:rPr>
          <w:rFonts w:cs="Arial"/>
          <w:spacing w:val="-8"/>
          <w:lang w:val="es-CO"/>
        </w:rPr>
        <w:t xml:space="preserve"> </w:t>
      </w:r>
      <w:r>
        <w:rPr>
          <w:rFonts w:cs="Arial"/>
          <w:lang w:val="es-CO"/>
        </w:rPr>
        <w:t>de</w:t>
      </w:r>
      <w:r>
        <w:rPr>
          <w:rFonts w:cs="Arial"/>
          <w:spacing w:val="15"/>
          <w:lang w:val="es-CO"/>
        </w:rPr>
        <w:t xml:space="preserve"> </w:t>
      </w:r>
      <w:r>
        <w:rPr>
          <w:rFonts w:cs="Arial"/>
          <w:lang w:val="es-CO"/>
        </w:rPr>
        <w:t>Identificación Tributaria,</w:t>
      </w:r>
      <w:r>
        <w:rPr>
          <w:rFonts w:cs="Arial"/>
          <w:spacing w:val="31"/>
          <w:lang w:val="es-CO"/>
        </w:rPr>
        <w:t xml:space="preserve"> </w:t>
      </w:r>
      <w:r>
        <w:rPr>
          <w:rFonts w:cs="Arial"/>
          <w:lang w:val="es-CO"/>
        </w:rPr>
        <w:t>NIT,</w:t>
      </w:r>
      <w:r>
        <w:rPr>
          <w:rFonts w:cs="Arial"/>
          <w:spacing w:val="-6"/>
          <w:lang w:val="es-CO"/>
        </w:rPr>
        <w:t xml:space="preserve"> </w:t>
      </w:r>
      <w:r>
        <w:rPr>
          <w:rFonts w:cs="Arial"/>
          <w:lang w:val="es-CO"/>
        </w:rPr>
        <w:t>asignado por</w:t>
      </w:r>
      <w:r>
        <w:rPr>
          <w:rFonts w:cs="Arial"/>
          <w:spacing w:val="12"/>
          <w:lang w:val="es-CO"/>
        </w:rPr>
        <w:t xml:space="preserve"> </w:t>
      </w:r>
      <w:r>
        <w:rPr>
          <w:rFonts w:cs="Arial"/>
          <w:lang w:val="es-CO"/>
        </w:rPr>
        <w:t>la</w:t>
      </w:r>
      <w:r>
        <w:rPr>
          <w:rFonts w:cs="Arial"/>
          <w:spacing w:val="6"/>
          <w:lang w:val="es-CO"/>
        </w:rPr>
        <w:t xml:space="preserve"> </w:t>
      </w:r>
      <w:r>
        <w:rPr>
          <w:rFonts w:cs="Arial"/>
          <w:lang w:val="es-CO"/>
        </w:rPr>
        <w:t>Unidad</w:t>
      </w:r>
      <w:r>
        <w:rPr>
          <w:rFonts w:cs="Arial"/>
          <w:spacing w:val="-4"/>
          <w:lang w:val="es-CO"/>
        </w:rPr>
        <w:t xml:space="preserve"> </w:t>
      </w:r>
      <w:r>
        <w:rPr>
          <w:rFonts w:cs="Arial"/>
          <w:lang w:val="es-CO"/>
        </w:rPr>
        <w:t>Administrativa</w:t>
      </w:r>
      <w:r>
        <w:rPr>
          <w:rFonts w:cs="Arial"/>
          <w:spacing w:val="40"/>
          <w:lang w:val="es-CO"/>
        </w:rPr>
        <w:t xml:space="preserve"> </w:t>
      </w:r>
      <w:r>
        <w:rPr>
          <w:rFonts w:cs="Arial"/>
          <w:lang w:val="es-CO"/>
        </w:rPr>
        <w:t>Especial</w:t>
      </w:r>
      <w:r>
        <w:rPr>
          <w:rFonts w:cs="Arial"/>
          <w:spacing w:val="3"/>
          <w:lang w:val="es-CO"/>
        </w:rPr>
        <w:t xml:space="preserve"> </w:t>
      </w:r>
      <w:r>
        <w:rPr>
          <w:rFonts w:cs="Arial"/>
          <w:lang w:val="es-CO"/>
        </w:rPr>
        <w:t>Dirección de</w:t>
      </w:r>
      <w:r>
        <w:rPr>
          <w:rFonts w:cs="Arial"/>
          <w:spacing w:val="13"/>
          <w:lang w:val="es-CO"/>
        </w:rPr>
        <w:t xml:space="preserve"> </w:t>
      </w:r>
      <w:r>
        <w:rPr>
          <w:rFonts w:cs="Arial"/>
          <w:lang w:val="es-CO"/>
        </w:rPr>
        <w:t>Impuestos y</w:t>
      </w:r>
      <w:r>
        <w:rPr>
          <w:rFonts w:cs="Arial"/>
          <w:spacing w:val="-3"/>
          <w:lang w:val="es-CO"/>
        </w:rPr>
        <w:t xml:space="preserve"> </w:t>
      </w:r>
      <w:r>
        <w:rPr>
          <w:rFonts w:cs="Arial"/>
          <w:lang w:val="es-CO"/>
        </w:rPr>
        <w:t xml:space="preserve">Aduanas </w:t>
      </w:r>
      <w:r>
        <w:rPr>
          <w:rFonts w:cs="Arial"/>
          <w:lang w:val="es-CO"/>
        </w:rPr>
        <w:t>Nacionales-</w:t>
      </w:r>
      <w:r>
        <w:rPr>
          <w:rFonts w:cs="Arial"/>
          <w:w w:val="101"/>
          <w:lang w:val="es-CO"/>
        </w:rPr>
        <w:t xml:space="preserve"> </w:t>
      </w:r>
      <w:r>
        <w:rPr>
          <w:rFonts w:cs="Arial"/>
          <w:lang w:val="es-CO"/>
        </w:rPr>
        <w:t>DIAN,</w:t>
      </w:r>
      <w:r>
        <w:rPr>
          <w:rFonts w:cs="Arial"/>
          <w:spacing w:val="-5"/>
          <w:lang w:val="es-CO"/>
        </w:rPr>
        <w:t xml:space="preserve"> </w:t>
      </w:r>
      <w:r>
        <w:rPr>
          <w:rFonts w:cs="Arial"/>
          <w:lang w:val="es-CO"/>
        </w:rPr>
        <w:t>contenido</w:t>
      </w:r>
      <w:r>
        <w:rPr>
          <w:rFonts w:cs="Arial"/>
          <w:spacing w:val="6"/>
          <w:lang w:val="es-CO"/>
        </w:rPr>
        <w:t xml:space="preserve"> </w:t>
      </w:r>
      <w:r>
        <w:rPr>
          <w:rFonts w:cs="Arial"/>
          <w:lang w:val="es-CO"/>
        </w:rPr>
        <w:t>en</w:t>
      </w:r>
      <w:r>
        <w:rPr>
          <w:rFonts w:cs="Arial"/>
          <w:spacing w:val="-13"/>
          <w:lang w:val="es-CO"/>
        </w:rPr>
        <w:t xml:space="preserve"> </w:t>
      </w:r>
      <w:r>
        <w:rPr>
          <w:rFonts w:cs="Arial"/>
          <w:lang w:val="es-CO"/>
        </w:rPr>
        <w:t>el</w:t>
      </w:r>
      <w:r>
        <w:rPr>
          <w:rFonts w:cs="Arial"/>
          <w:spacing w:val="-8"/>
          <w:lang w:val="es-CO"/>
        </w:rPr>
        <w:t xml:space="preserve"> </w:t>
      </w:r>
      <w:r>
        <w:rPr>
          <w:rFonts w:cs="Arial"/>
          <w:lang w:val="es-CO"/>
        </w:rPr>
        <w:t>Registro</w:t>
      </w:r>
      <w:r>
        <w:rPr>
          <w:rFonts w:cs="Arial"/>
          <w:spacing w:val="7"/>
          <w:lang w:val="es-CO"/>
        </w:rPr>
        <w:t xml:space="preserve"> </w:t>
      </w:r>
      <w:r>
        <w:rPr>
          <w:rFonts w:cs="Arial"/>
          <w:lang w:val="es-CO"/>
        </w:rPr>
        <w:t>Único</w:t>
      </w:r>
      <w:r>
        <w:rPr>
          <w:rFonts w:cs="Arial"/>
          <w:spacing w:val="-11"/>
          <w:lang w:val="es-CO"/>
        </w:rPr>
        <w:t xml:space="preserve"> </w:t>
      </w:r>
      <w:r>
        <w:rPr>
          <w:rFonts w:cs="Arial"/>
          <w:lang w:val="es-CO"/>
        </w:rPr>
        <w:t>Tributario</w:t>
      </w:r>
      <w:r>
        <w:rPr>
          <w:rFonts w:cs="Arial"/>
          <w:spacing w:val="14"/>
          <w:lang w:val="es-CO"/>
        </w:rPr>
        <w:t xml:space="preserve"> </w:t>
      </w:r>
      <w:r>
        <w:rPr>
          <w:rFonts w:cs="Arial"/>
          <w:lang w:val="es-CO"/>
        </w:rPr>
        <w:t>-</w:t>
      </w:r>
      <w:r>
        <w:rPr>
          <w:rFonts w:cs="Arial"/>
          <w:spacing w:val="7"/>
          <w:lang w:val="es-CO"/>
        </w:rPr>
        <w:t xml:space="preserve"> </w:t>
      </w:r>
      <w:r>
        <w:rPr>
          <w:rFonts w:cs="Arial"/>
          <w:lang w:val="es-CO"/>
        </w:rPr>
        <w:t>RUT.</w:t>
      </w:r>
    </w:p>
    <w:p w14:paraId="2484F6A7" w14:textId="77777777" w:rsidR="00B2442D" w:rsidRDefault="00B2442D">
      <w:pPr>
        <w:spacing w:line="40" w:lineRule="atLeast"/>
        <w:ind w:right="-30"/>
        <w:jc w:val="both"/>
        <w:rPr>
          <w:rFonts w:ascii="Arial" w:hAnsi="Arial" w:cs="Arial"/>
          <w:lang w:val="es-CO"/>
        </w:rPr>
      </w:pPr>
    </w:p>
    <w:p w14:paraId="1BF72E06" w14:textId="77777777" w:rsidR="00B2442D" w:rsidRDefault="008A645F">
      <w:pPr>
        <w:pStyle w:val="Textoindependiente"/>
        <w:spacing w:line="40" w:lineRule="atLeast"/>
        <w:ind w:right="-30"/>
        <w:jc w:val="both"/>
        <w:rPr>
          <w:rFonts w:cs="Arial"/>
          <w:lang w:val="es-CO"/>
        </w:rPr>
      </w:pPr>
      <w:r>
        <w:rPr>
          <w:rFonts w:cs="Arial"/>
          <w:lang w:val="es-CO"/>
        </w:rPr>
        <w:t>Para</w:t>
      </w:r>
      <w:r>
        <w:rPr>
          <w:rFonts w:cs="Arial"/>
          <w:spacing w:val="10"/>
          <w:lang w:val="es-CO"/>
        </w:rPr>
        <w:t xml:space="preserve"> </w:t>
      </w:r>
      <w:r>
        <w:rPr>
          <w:rFonts w:cs="Arial"/>
          <w:lang w:val="es-CO"/>
        </w:rPr>
        <w:t>determinar</w:t>
      </w:r>
      <w:r>
        <w:rPr>
          <w:rFonts w:cs="Arial"/>
          <w:spacing w:val="8"/>
          <w:lang w:val="es-CO"/>
        </w:rPr>
        <w:t xml:space="preserve"> los </w:t>
      </w:r>
      <w:r>
        <w:rPr>
          <w:rFonts w:cs="Arial"/>
          <w:lang w:val="es-CO"/>
        </w:rPr>
        <w:t>plazos</w:t>
      </w:r>
      <w:r>
        <w:rPr>
          <w:rFonts w:cs="Arial"/>
          <w:spacing w:val="12"/>
          <w:lang w:val="es-CO"/>
        </w:rPr>
        <w:t xml:space="preserve"> </w:t>
      </w:r>
      <w:r>
        <w:rPr>
          <w:rFonts w:cs="Arial"/>
          <w:lang w:val="es-CO"/>
        </w:rPr>
        <w:t>señalados</w:t>
      </w:r>
      <w:r>
        <w:rPr>
          <w:rFonts w:cs="Arial"/>
          <w:spacing w:val="29"/>
          <w:lang w:val="es-CO"/>
        </w:rPr>
        <w:t xml:space="preserve"> </w:t>
      </w:r>
      <w:r>
        <w:rPr>
          <w:rFonts w:cs="Arial"/>
          <w:lang w:val="es-CO"/>
        </w:rPr>
        <w:t>en</w:t>
      </w:r>
      <w:r>
        <w:rPr>
          <w:rFonts w:cs="Arial"/>
          <w:spacing w:val="18"/>
          <w:lang w:val="es-CO"/>
        </w:rPr>
        <w:t xml:space="preserve"> </w:t>
      </w:r>
      <w:r>
        <w:rPr>
          <w:rFonts w:cs="Arial"/>
          <w:lang w:val="es-CO"/>
        </w:rPr>
        <w:t>el presente decreto,</w:t>
      </w:r>
      <w:r>
        <w:rPr>
          <w:rFonts w:cs="Arial"/>
          <w:spacing w:val="30"/>
          <w:lang w:val="es-CO"/>
        </w:rPr>
        <w:t xml:space="preserve"> </w:t>
      </w:r>
      <w:r>
        <w:rPr>
          <w:rFonts w:cs="Arial"/>
          <w:lang w:val="es-CO"/>
        </w:rPr>
        <w:t>no</w:t>
      </w:r>
      <w:r>
        <w:rPr>
          <w:rFonts w:cs="Arial"/>
          <w:spacing w:val="11"/>
          <w:lang w:val="es-CO"/>
        </w:rPr>
        <w:t xml:space="preserve"> </w:t>
      </w:r>
      <w:r>
        <w:rPr>
          <w:rFonts w:cs="Arial"/>
          <w:lang w:val="es-CO"/>
        </w:rPr>
        <w:t>se</w:t>
      </w:r>
      <w:r>
        <w:rPr>
          <w:rFonts w:cs="Arial"/>
          <w:spacing w:val="18"/>
          <w:lang w:val="es-CO"/>
        </w:rPr>
        <w:t xml:space="preserve"> </w:t>
      </w:r>
      <w:r>
        <w:rPr>
          <w:rFonts w:cs="Arial"/>
          <w:lang w:val="es-CO"/>
        </w:rPr>
        <w:t>considera</w:t>
      </w:r>
      <w:r>
        <w:rPr>
          <w:rFonts w:cs="Arial"/>
          <w:spacing w:val="29"/>
          <w:lang w:val="es-CO"/>
        </w:rPr>
        <w:t xml:space="preserve"> </w:t>
      </w:r>
      <w:r>
        <w:rPr>
          <w:rFonts w:cs="Arial"/>
          <w:lang w:val="es-CO"/>
        </w:rPr>
        <w:t>como</w:t>
      </w:r>
      <w:r>
        <w:rPr>
          <w:rFonts w:cs="Arial"/>
          <w:w w:val="101"/>
          <w:lang w:val="es-CO"/>
        </w:rPr>
        <w:t xml:space="preserve"> </w:t>
      </w:r>
      <w:r>
        <w:rPr>
          <w:rFonts w:cs="Arial"/>
          <w:lang w:val="es-CO"/>
        </w:rPr>
        <w:t>número</w:t>
      </w:r>
      <w:r>
        <w:rPr>
          <w:rFonts w:cs="Arial"/>
          <w:spacing w:val="8"/>
          <w:lang w:val="es-CO"/>
        </w:rPr>
        <w:t xml:space="preserve"> </w:t>
      </w:r>
      <w:r>
        <w:rPr>
          <w:rFonts w:cs="Arial"/>
          <w:lang w:val="es-CO"/>
        </w:rPr>
        <w:t>integrante</w:t>
      </w:r>
      <w:r>
        <w:rPr>
          <w:rFonts w:cs="Arial"/>
          <w:spacing w:val="-4"/>
          <w:lang w:val="es-CO"/>
        </w:rPr>
        <w:t xml:space="preserve"> </w:t>
      </w:r>
      <w:r>
        <w:rPr>
          <w:rFonts w:cs="Arial"/>
          <w:lang w:val="es-CO"/>
        </w:rPr>
        <w:t>del</w:t>
      </w:r>
      <w:r>
        <w:rPr>
          <w:rFonts w:cs="Arial"/>
          <w:spacing w:val="8"/>
          <w:lang w:val="es-CO"/>
        </w:rPr>
        <w:t xml:space="preserve"> </w:t>
      </w:r>
      <w:r>
        <w:rPr>
          <w:rFonts w:cs="Arial"/>
          <w:lang w:val="es-CO"/>
        </w:rPr>
        <w:t>NIT,</w:t>
      </w:r>
      <w:r>
        <w:rPr>
          <w:rFonts w:cs="Arial"/>
          <w:spacing w:val="-10"/>
          <w:lang w:val="es-CO"/>
        </w:rPr>
        <w:t xml:space="preserve"> </w:t>
      </w:r>
      <w:r>
        <w:rPr>
          <w:rFonts w:cs="Arial"/>
          <w:lang w:val="es-CO"/>
        </w:rPr>
        <w:t>el</w:t>
      </w:r>
      <w:r>
        <w:rPr>
          <w:rFonts w:cs="Arial"/>
          <w:spacing w:val="-15"/>
          <w:lang w:val="es-CO"/>
        </w:rPr>
        <w:t xml:space="preserve"> </w:t>
      </w:r>
      <w:r>
        <w:rPr>
          <w:rFonts w:cs="Arial"/>
          <w:lang w:val="es-CO"/>
        </w:rPr>
        <w:t>dígito</w:t>
      </w:r>
      <w:r>
        <w:rPr>
          <w:rFonts w:cs="Arial"/>
          <w:spacing w:val="1"/>
          <w:lang w:val="es-CO"/>
        </w:rPr>
        <w:t xml:space="preserve"> </w:t>
      </w:r>
      <w:r>
        <w:rPr>
          <w:rFonts w:cs="Arial"/>
          <w:lang w:val="es-CO"/>
        </w:rPr>
        <w:t>de</w:t>
      </w:r>
      <w:r>
        <w:rPr>
          <w:rFonts w:cs="Arial"/>
          <w:spacing w:val="-5"/>
          <w:lang w:val="es-CO"/>
        </w:rPr>
        <w:t xml:space="preserve"> </w:t>
      </w:r>
      <w:r>
        <w:rPr>
          <w:rFonts w:cs="Arial"/>
          <w:lang w:val="es-CO"/>
        </w:rPr>
        <w:t>verificación.</w:t>
      </w:r>
    </w:p>
    <w:p w14:paraId="74AD6F59" w14:textId="77777777" w:rsidR="00B2442D" w:rsidRDefault="00B2442D">
      <w:pPr>
        <w:spacing w:line="40" w:lineRule="atLeast"/>
        <w:ind w:right="-30"/>
        <w:jc w:val="both"/>
        <w:rPr>
          <w:rFonts w:ascii="Arial" w:hAnsi="Arial" w:cs="Arial"/>
          <w:lang w:val="es-CO"/>
        </w:rPr>
      </w:pPr>
    </w:p>
    <w:p w14:paraId="3C959B00"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b/>
          <w:spacing w:val="56"/>
          <w:lang w:val="es-CO"/>
        </w:rPr>
        <w:t xml:space="preserve"> </w:t>
      </w:r>
      <w:r>
        <w:rPr>
          <w:rFonts w:eastAsia="Times New Roman" w:cs="Arial"/>
          <w:b/>
          <w:lang w:val="es-CO"/>
        </w:rPr>
        <w:t>1.</w:t>
      </w:r>
      <w:r>
        <w:rPr>
          <w:rFonts w:eastAsia="Times New Roman" w:cs="Arial"/>
          <w:spacing w:val="13"/>
          <w:lang w:val="es-CO"/>
        </w:rPr>
        <w:t xml:space="preserve"> </w:t>
      </w:r>
      <w:r>
        <w:rPr>
          <w:rFonts w:cs="Arial"/>
          <w:lang w:val="es-CO"/>
        </w:rPr>
        <w:t>Constituye</w:t>
      </w:r>
      <w:r>
        <w:rPr>
          <w:rFonts w:cs="Arial"/>
          <w:spacing w:val="60"/>
          <w:lang w:val="es-CO"/>
        </w:rPr>
        <w:t xml:space="preserve"> </w:t>
      </w:r>
      <w:r>
        <w:rPr>
          <w:rFonts w:cs="Arial"/>
          <w:lang w:val="es-CO"/>
        </w:rPr>
        <w:t>prueba de</w:t>
      </w:r>
      <w:r>
        <w:rPr>
          <w:rFonts w:cs="Arial"/>
          <w:spacing w:val="25"/>
          <w:lang w:val="es-CO"/>
        </w:rPr>
        <w:t xml:space="preserve"> </w:t>
      </w:r>
      <w:r>
        <w:rPr>
          <w:rFonts w:cs="Arial"/>
          <w:lang w:val="es-CO"/>
        </w:rPr>
        <w:t>la</w:t>
      </w:r>
      <w:r>
        <w:rPr>
          <w:rFonts w:cs="Arial"/>
          <w:spacing w:val="39"/>
          <w:lang w:val="es-CO"/>
        </w:rPr>
        <w:t xml:space="preserve"> </w:t>
      </w:r>
      <w:r>
        <w:rPr>
          <w:rFonts w:cs="Arial"/>
          <w:lang w:val="es-CO"/>
        </w:rPr>
        <w:t>inscripción,</w:t>
      </w:r>
      <w:r>
        <w:rPr>
          <w:rFonts w:cs="Arial"/>
          <w:spacing w:val="57"/>
          <w:lang w:val="es-CO"/>
        </w:rPr>
        <w:t xml:space="preserve"> </w:t>
      </w:r>
      <w:r>
        <w:rPr>
          <w:rFonts w:cs="Arial"/>
          <w:lang w:val="es-CO"/>
        </w:rPr>
        <w:t>actualización</w:t>
      </w:r>
      <w:r>
        <w:rPr>
          <w:rFonts w:cs="Arial"/>
          <w:spacing w:val="64"/>
          <w:lang w:val="es-CO"/>
        </w:rPr>
        <w:t xml:space="preserve"> </w:t>
      </w:r>
      <w:r>
        <w:rPr>
          <w:rFonts w:cs="Arial"/>
          <w:lang w:val="es-CO"/>
        </w:rPr>
        <w:t>o</w:t>
      </w:r>
      <w:r>
        <w:rPr>
          <w:rFonts w:cs="Arial"/>
          <w:spacing w:val="36"/>
          <w:lang w:val="es-CO"/>
        </w:rPr>
        <w:t xml:space="preserve"> </w:t>
      </w:r>
      <w:r>
        <w:rPr>
          <w:rFonts w:cs="Arial"/>
          <w:lang w:val="es-CO"/>
        </w:rPr>
        <w:t>cancelación</w:t>
      </w:r>
      <w:r>
        <w:rPr>
          <w:rFonts w:cs="Arial"/>
          <w:spacing w:val="44"/>
          <w:lang w:val="es-CO"/>
        </w:rPr>
        <w:t xml:space="preserve"> </w:t>
      </w:r>
      <w:r>
        <w:rPr>
          <w:rFonts w:cs="Arial"/>
          <w:lang w:val="es-CO"/>
        </w:rPr>
        <w:t>en</w:t>
      </w:r>
      <w:r>
        <w:rPr>
          <w:rFonts w:cs="Arial"/>
          <w:spacing w:val="33"/>
          <w:lang w:val="es-CO"/>
        </w:rPr>
        <w:t xml:space="preserve"> </w:t>
      </w:r>
      <w:r>
        <w:rPr>
          <w:rFonts w:cs="Arial"/>
          <w:lang w:val="es-CO"/>
        </w:rPr>
        <w:t>el</w:t>
      </w:r>
      <w:r>
        <w:rPr>
          <w:rFonts w:cs="Arial"/>
          <w:w w:val="106"/>
          <w:lang w:val="es-CO"/>
        </w:rPr>
        <w:t xml:space="preserve"> </w:t>
      </w:r>
      <w:r>
        <w:rPr>
          <w:rFonts w:cs="Arial"/>
          <w:lang w:val="es-CO"/>
        </w:rPr>
        <w:t>Registro</w:t>
      </w:r>
      <w:r>
        <w:rPr>
          <w:rFonts w:cs="Arial"/>
          <w:spacing w:val="39"/>
          <w:lang w:val="es-CO"/>
        </w:rPr>
        <w:t xml:space="preserve"> </w:t>
      </w:r>
      <w:r>
        <w:rPr>
          <w:rFonts w:cs="Arial"/>
          <w:lang w:val="es-CO"/>
        </w:rPr>
        <w:t>Único</w:t>
      </w:r>
      <w:r>
        <w:rPr>
          <w:rFonts w:cs="Arial"/>
          <w:spacing w:val="27"/>
          <w:lang w:val="es-CO"/>
        </w:rPr>
        <w:t xml:space="preserve"> </w:t>
      </w:r>
      <w:r>
        <w:rPr>
          <w:rFonts w:cs="Arial"/>
          <w:lang w:val="es-CO"/>
        </w:rPr>
        <w:t>Tributario</w:t>
      </w:r>
      <w:r>
        <w:rPr>
          <w:rFonts w:cs="Arial"/>
          <w:spacing w:val="40"/>
          <w:lang w:val="es-CO"/>
        </w:rPr>
        <w:t xml:space="preserve"> </w:t>
      </w:r>
      <w:r>
        <w:rPr>
          <w:rFonts w:cs="Arial"/>
          <w:lang w:val="es-CO"/>
        </w:rPr>
        <w:t>-</w:t>
      </w:r>
      <w:r>
        <w:rPr>
          <w:rFonts w:cs="Arial"/>
          <w:spacing w:val="37"/>
          <w:lang w:val="es-CO"/>
        </w:rPr>
        <w:t xml:space="preserve"> </w:t>
      </w:r>
      <w:r>
        <w:rPr>
          <w:rFonts w:cs="Arial"/>
          <w:lang w:val="es-CO"/>
        </w:rPr>
        <w:t>RUT,</w:t>
      </w:r>
      <w:r>
        <w:rPr>
          <w:rFonts w:cs="Arial"/>
          <w:spacing w:val="34"/>
          <w:lang w:val="es-CO"/>
        </w:rPr>
        <w:t xml:space="preserve"> el </w:t>
      </w:r>
      <w:r>
        <w:rPr>
          <w:rFonts w:cs="Arial"/>
          <w:lang w:val="es-CO"/>
        </w:rPr>
        <w:t>documento</w:t>
      </w:r>
      <w:r>
        <w:rPr>
          <w:rFonts w:cs="Arial"/>
          <w:spacing w:val="44"/>
          <w:lang w:val="es-CO"/>
        </w:rPr>
        <w:t xml:space="preserve"> </w:t>
      </w:r>
      <w:r>
        <w:rPr>
          <w:rFonts w:cs="Arial"/>
          <w:lang w:val="es-CO"/>
        </w:rPr>
        <w:t>que</w:t>
      </w:r>
      <w:r>
        <w:rPr>
          <w:rFonts w:cs="Arial"/>
          <w:spacing w:val="33"/>
          <w:lang w:val="es-CO"/>
        </w:rPr>
        <w:t xml:space="preserve"> </w:t>
      </w:r>
      <w:r>
        <w:rPr>
          <w:rFonts w:cs="Arial"/>
          <w:lang w:val="es-CO"/>
        </w:rPr>
        <w:t>expida</w:t>
      </w:r>
      <w:r>
        <w:rPr>
          <w:rFonts w:cs="Arial"/>
          <w:spacing w:val="53"/>
          <w:lang w:val="es-CO"/>
        </w:rPr>
        <w:t xml:space="preserve"> </w:t>
      </w:r>
      <w:r>
        <w:rPr>
          <w:rFonts w:cs="Arial"/>
          <w:lang w:val="es-CO"/>
        </w:rPr>
        <w:t>la</w:t>
      </w:r>
      <w:r>
        <w:rPr>
          <w:rFonts w:cs="Arial"/>
          <w:spacing w:val="35"/>
          <w:lang w:val="es-CO"/>
        </w:rPr>
        <w:t xml:space="preserve"> </w:t>
      </w:r>
      <w:r>
        <w:rPr>
          <w:rFonts w:cs="Arial"/>
          <w:lang w:val="es-CO"/>
        </w:rPr>
        <w:t>Unidad</w:t>
      </w:r>
      <w:r>
        <w:rPr>
          <w:rFonts w:cs="Arial"/>
          <w:spacing w:val="23"/>
          <w:lang w:val="es-CO"/>
        </w:rPr>
        <w:t xml:space="preserve"> </w:t>
      </w:r>
      <w:r>
        <w:rPr>
          <w:rFonts w:cs="Arial"/>
          <w:lang w:val="es-CO"/>
        </w:rPr>
        <w:t>Administrativa</w:t>
      </w:r>
      <w:r>
        <w:rPr>
          <w:rFonts w:cs="Arial"/>
          <w:w w:val="98"/>
          <w:lang w:val="es-CO"/>
        </w:rPr>
        <w:t xml:space="preserve"> </w:t>
      </w:r>
      <w:r>
        <w:rPr>
          <w:rFonts w:cs="Arial"/>
          <w:lang w:val="es-CO"/>
        </w:rPr>
        <w:t>Especial</w:t>
      </w:r>
      <w:r>
        <w:rPr>
          <w:rFonts w:cs="Arial"/>
          <w:spacing w:val="9"/>
          <w:lang w:val="es-CO"/>
        </w:rPr>
        <w:t xml:space="preserve"> </w:t>
      </w:r>
      <w:r>
        <w:rPr>
          <w:rFonts w:cs="Arial"/>
          <w:lang w:val="es-CO"/>
        </w:rPr>
        <w:t>Dirección</w:t>
      </w:r>
      <w:r>
        <w:rPr>
          <w:rFonts w:cs="Arial"/>
          <w:spacing w:val="8"/>
          <w:lang w:val="es-CO"/>
        </w:rPr>
        <w:t xml:space="preserve"> </w:t>
      </w:r>
      <w:r>
        <w:rPr>
          <w:rFonts w:cs="Arial"/>
          <w:lang w:val="es-CO"/>
        </w:rPr>
        <w:t>de</w:t>
      </w:r>
      <w:r>
        <w:rPr>
          <w:rFonts w:cs="Arial"/>
          <w:spacing w:val="20"/>
          <w:lang w:val="es-CO"/>
        </w:rPr>
        <w:t xml:space="preserve"> </w:t>
      </w:r>
      <w:r>
        <w:rPr>
          <w:rFonts w:cs="Arial"/>
          <w:lang w:val="es-CO"/>
        </w:rPr>
        <w:t>Impuestos</w:t>
      </w:r>
      <w:r>
        <w:rPr>
          <w:rFonts w:cs="Arial"/>
          <w:spacing w:val="4"/>
          <w:lang w:val="es-CO"/>
        </w:rPr>
        <w:t xml:space="preserve"> </w:t>
      </w:r>
      <w:r>
        <w:rPr>
          <w:rFonts w:cs="Arial"/>
          <w:lang w:val="es-CO"/>
        </w:rPr>
        <w:t>y</w:t>
      </w:r>
      <w:r>
        <w:rPr>
          <w:rFonts w:cs="Arial"/>
          <w:spacing w:val="3"/>
          <w:lang w:val="es-CO"/>
        </w:rPr>
        <w:t xml:space="preserve"> </w:t>
      </w:r>
      <w:r>
        <w:rPr>
          <w:rFonts w:cs="Arial"/>
          <w:lang w:val="es-CO"/>
        </w:rPr>
        <w:t>Aduanas Nacionales-</w:t>
      </w:r>
      <w:r>
        <w:rPr>
          <w:rFonts w:cs="Arial"/>
          <w:spacing w:val="6"/>
          <w:lang w:val="es-CO"/>
        </w:rPr>
        <w:t xml:space="preserve"> </w:t>
      </w:r>
      <w:r>
        <w:rPr>
          <w:rFonts w:cs="Arial"/>
          <w:lang w:val="es-CO"/>
        </w:rPr>
        <w:t>DIAN</w:t>
      </w:r>
      <w:r>
        <w:rPr>
          <w:rFonts w:cs="Arial"/>
          <w:spacing w:val="1"/>
          <w:lang w:val="es-CO"/>
        </w:rPr>
        <w:t xml:space="preserve"> </w:t>
      </w:r>
      <w:r>
        <w:rPr>
          <w:rFonts w:cs="Arial"/>
          <w:lang w:val="es-CO"/>
        </w:rPr>
        <w:t>o las</w:t>
      </w:r>
      <w:r>
        <w:rPr>
          <w:rFonts w:cs="Arial"/>
          <w:spacing w:val="32"/>
          <w:lang w:val="es-CO"/>
        </w:rPr>
        <w:t xml:space="preserve"> </w:t>
      </w:r>
      <w:r>
        <w:rPr>
          <w:rFonts w:cs="Arial"/>
          <w:lang w:val="es-CO"/>
        </w:rPr>
        <w:t>entidades</w:t>
      </w:r>
      <w:r>
        <w:rPr>
          <w:rFonts w:cs="Arial"/>
          <w:w w:val="99"/>
          <w:lang w:val="es-CO"/>
        </w:rPr>
        <w:t xml:space="preserve"> </w:t>
      </w:r>
      <w:r>
        <w:rPr>
          <w:rFonts w:cs="Arial"/>
          <w:lang w:val="es-CO"/>
        </w:rPr>
        <w:t>autorizadas, que corresponde</w:t>
      </w:r>
      <w:r>
        <w:rPr>
          <w:rFonts w:cs="Arial"/>
          <w:spacing w:val="12"/>
          <w:lang w:val="es-CO"/>
        </w:rPr>
        <w:t xml:space="preserve"> </w:t>
      </w:r>
      <w:r>
        <w:rPr>
          <w:rFonts w:cs="Arial"/>
          <w:lang w:val="es-CO"/>
        </w:rPr>
        <w:t>a</w:t>
      </w:r>
      <w:r>
        <w:rPr>
          <w:rFonts w:cs="Arial"/>
          <w:spacing w:val="65"/>
          <w:lang w:val="es-CO"/>
        </w:rPr>
        <w:t xml:space="preserve"> </w:t>
      </w:r>
      <w:r>
        <w:rPr>
          <w:rFonts w:cs="Arial"/>
          <w:lang w:val="es-CO"/>
        </w:rPr>
        <w:t>la</w:t>
      </w:r>
      <w:r>
        <w:rPr>
          <w:rFonts w:cs="Arial"/>
          <w:spacing w:val="49"/>
          <w:lang w:val="es-CO"/>
        </w:rPr>
        <w:t xml:space="preserve"> </w:t>
      </w:r>
      <w:r>
        <w:rPr>
          <w:rFonts w:cs="Arial"/>
          <w:lang w:val="es-CO"/>
        </w:rPr>
        <w:t>primera hoja</w:t>
      </w:r>
      <w:r>
        <w:rPr>
          <w:rFonts w:cs="Arial"/>
          <w:spacing w:val="56"/>
          <w:lang w:val="es-CO"/>
        </w:rPr>
        <w:t xml:space="preserve"> </w:t>
      </w:r>
      <w:r>
        <w:rPr>
          <w:rFonts w:cs="Arial"/>
          <w:lang w:val="es-CO"/>
        </w:rPr>
        <w:t>del</w:t>
      </w:r>
      <w:r>
        <w:rPr>
          <w:rFonts w:cs="Arial"/>
          <w:spacing w:val="49"/>
          <w:lang w:val="es-CO"/>
        </w:rPr>
        <w:t xml:space="preserve"> </w:t>
      </w:r>
      <w:r>
        <w:rPr>
          <w:rFonts w:cs="Arial"/>
          <w:lang w:val="es-CO"/>
        </w:rPr>
        <w:t>formulario</w:t>
      </w:r>
      <w:r>
        <w:rPr>
          <w:rFonts w:cs="Arial"/>
          <w:spacing w:val="6"/>
          <w:lang w:val="es-CO"/>
        </w:rPr>
        <w:t xml:space="preserve"> </w:t>
      </w:r>
      <w:r>
        <w:rPr>
          <w:rFonts w:cs="Arial"/>
          <w:lang w:val="es-CO"/>
        </w:rPr>
        <w:t>oficial</w:t>
      </w:r>
      <w:r>
        <w:rPr>
          <w:rFonts w:cs="Arial"/>
          <w:spacing w:val="64"/>
          <w:lang w:val="es-CO"/>
        </w:rPr>
        <w:t xml:space="preserve"> </w:t>
      </w:r>
      <w:r>
        <w:rPr>
          <w:rFonts w:cs="Arial"/>
          <w:lang w:val="es-CO"/>
        </w:rPr>
        <w:t>previamente</w:t>
      </w:r>
      <w:r>
        <w:rPr>
          <w:rFonts w:cs="Arial"/>
          <w:w w:val="98"/>
          <w:lang w:val="es-CO"/>
        </w:rPr>
        <w:t xml:space="preserve"> </w:t>
      </w:r>
      <w:r>
        <w:rPr>
          <w:rFonts w:cs="Arial"/>
          <w:lang w:val="es-CO"/>
        </w:rPr>
        <w:t>validado,</w:t>
      </w:r>
      <w:r>
        <w:rPr>
          <w:rFonts w:cs="Arial"/>
          <w:spacing w:val="18"/>
          <w:lang w:val="es-CO"/>
        </w:rPr>
        <w:t xml:space="preserve"> </w:t>
      </w:r>
      <w:r>
        <w:rPr>
          <w:rFonts w:cs="Arial"/>
          <w:lang w:val="es-CO"/>
        </w:rPr>
        <w:t>en</w:t>
      </w:r>
      <w:r>
        <w:rPr>
          <w:rFonts w:cs="Arial"/>
          <w:spacing w:val="-11"/>
          <w:lang w:val="es-CO"/>
        </w:rPr>
        <w:t xml:space="preserve"> </w:t>
      </w:r>
      <w:r>
        <w:rPr>
          <w:rFonts w:cs="Arial"/>
          <w:lang w:val="es-CO"/>
        </w:rPr>
        <w:t>donde</w:t>
      </w:r>
      <w:r>
        <w:rPr>
          <w:rFonts w:cs="Arial"/>
          <w:spacing w:val="13"/>
          <w:lang w:val="es-CO"/>
        </w:rPr>
        <w:t xml:space="preserve"> </w:t>
      </w:r>
      <w:r>
        <w:rPr>
          <w:rFonts w:cs="Arial"/>
          <w:lang w:val="es-CO"/>
        </w:rPr>
        <w:t>conste la leyenda “CERTIFICADO".</w:t>
      </w:r>
    </w:p>
    <w:p w14:paraId="5268179B" w14:textId="77777777" w:rsidR="00B2442D" w:rsidRDefault="00B2442D">
      <w:pPr>
        <w:spacing w:line="40" w:lineRule="atLeast"/>
        <w:ind w:right="-30"/>
        <w:jc w:val="both"/>
        <w:rPr>
          <w:rFonts w:ascii="Arial" w:hAnsi="Arial" w:cs="Arial"/>
          <w:lang w:val="es-CO"/>
        </w:rPr>
      </w:pPr>
    </w:p>
    <w:p w14:paraId="7E5E6F85" w14:textId="77777777" w:rsidR="00B2442D" w:rsidRDefault="008A645F">
      <w:pPr>
        <w:pStyle w:val="Textoindependiente"/>
        <w:tabs>
          <w:tab w:val="left" w:pos="2243"/>
          <w:tab w:val="left" w:pos="7515"/>
        </w:tabs>
        <w:spacing w:line="40" w:lineRule="atLeast"/>
        <w:ind w:right="-30"/>
        <w:jc w:val="both"/>
        <w:rPr>
          <w:rFonts w:cs="Arial"/>
          <w:lang w:val="es-CO"/>
        </w:rPr>
      </w:pPr>
      <w:r>
        <w:rPr>
          <w:rFonts w:cs="Arial"/>
          <w:lang w:val="es-CO"/>
        </w:rPr>
        <w:t>Para</w:t>
      </w:r>
      <w:r>
        <w:rPr>
          <w:rFonts w:cs="Arial"/>
          <w:spacing w:val="39"/>
          <w:lang w:val="es-CO"/>
        </w:rPr>
        <w:t xml:space="preserve"> </w:t>
      </w:r>
      <w:r>
        <w:rPr>
          <w:rFonts w:cs="Arial"/>
          <w:lang w:val="es-CO"/>
        </w:rPr>
        <w:t>los</w:t>
      </w:r>
      <w:r>
        <w:rPr>
          <w:rFonts w:cs="Arial"/>
          <w:spacing w:val="31"/>
          <w:lang w:val="es-CO"/>
        </w:rPr>
        <w:t xml:space="preserve"> </w:t>
      </w:r>
      <w:r>
        <w:rPr>
          <w:rFonts w:cs="Arial"/>
          <w:lang w:val="es-CO"/>
        </w:rPr>
        <w:t>obligados</w:t>
      </w:r>
      <w:r>
        <w:rPr>
          <w:rFonts w:cs="Arial"/>
          <w:spacing w:val="48"/>
          <w:lang w:val="es-CO"/>
        </w:rPr>
        <w:t xml:space="preserve"> </w:t>
      </w:r>
      <w:r>
        <w:rPr>
          <w:rFonts w:cs="Arial"/>
          <w:lang w:val="es-CO"/>
        </w:rPr>
        <w:t>a</w:t>
      </w:r>
      <w:r>
        <w:rPr>
          <w:rFonts w:cs="Arial"/>
          <w:spacing w:val="37"/>
          <w:lang w:val="es-CO"/>
        </w:rPr>
        <w:t xml:space="preserve"> </w:t>
      </w:r>
      <w:r>
        <w:rPr>
          <w:rFonts w:cs="Arial"/>
          <w:lang w:val="es-CO"/>
        </w:rPr>
        <w:t>inscribirse</w:t>
      </w:r>
      <w:r>
        <w:rPr>
          <w:rFonts w:cs="Arial"/>
          <w:spacing w:val="46"/>
          <w:lang w:val="es-CO"/>
        </w:rPr>
        <w:t xml:space="preserve"> </w:t>
      </w:r>
      <w:r>
        <w:rPr>
          <w:rFonts w:cs="Arial"/>
          <w:lang w:val="es-CO"/>
        </w:rPr>
        <w:t>en</w:t>
      </w:r>
      <w:r>
        <w:rPr>
          <w:rFonts w:cs="Arial"/>
          <w:spacing w:val="23"/>
          <w:lang w:val="es-CO"/>
        </w:rPr>
        <w:t xml:space="preserve"> </w:t>
      </w:r>
      <w:r>
        <w:rPr>
          <w:rFonts w:cs="Arial"/>
          <w:lang w:val="es-CO"/>
        </w:rPr>
        <w:t>el</w:t>
      </w:r>
      <w:r>
        <w:rPr>
          <w:rFonts w:cs="Arial"/>
          <w:spacing w:val="35"/>
          <w:lang w:val="es-CO"/>
        </w:rPr>
        <w:t xml:space="preserve"> </w:t>
      </w:r>
      <w:r>
        <w:rPr>
          <w:rFonts w:cs="Arial"/>
          <w:lang w:val="es-CO"/>
        </w:rPr>
        <w:t>Registro</w:t>
      </w:r>
      <w:r>
        <w:rPr>
          <w:rFonts w:cs="Arial"/>
          <w:spacing w:val="38"/>
          <w:lang w:val="es-CO"/>
        </w:rPr>
        <w:t xml:space="preserve"> </w:t>
      </w:r>
      <w:r>
        <w:rPr>
          <w:rFonts w:cs="Arial"/>
          <w:lang w:val="es-CO"/>
        </w:rPr>
        <w:t>Único</w:t>
      </w:r>
      <w:r>
        <w:rPr>
          <w:rFonts w:cs="Arial"/>
          <w:spacing w:val="24"/>
          <w:lang w:val="es-CO"/>
        </w:rPr>
        <w:t xml:space="preserve"> </w:t>
      </w:r>
      <w:r>
        <w:rPr>
          <w:rFonts w:cs="Arial"/>
          <w:lang w:val="es-CO"/>
        </w:rPr>
        <w:t>Tributario -RUT,</w:t>
      </w:r>
      <w:r>
        <w:rPr>
          <w:rFonts w:cs="Arial"/>
          <w:spacing w:val="23"/>
          <w:lang w:val="es-CO"/>
        </w:rPr>
        <w:t xml:space="preserve"> </w:t>
      </w:r>
      <w:r>
        <w:rPr>
          <w:rFonts w:cs="Arial"/>
          <w:lang w:val="es-CO"/>
        </w:rPr>
        <w:t>que</w:t>
      </w:r>
      <w:r>
        <w:rPr>
          <w:rFonts w:cs="Arial"/>
          <w:spacing w:val="43"/>
          <w:lang w:val="es-CO"/>
        </w:rPr>
        <w:t xml:space="preserve"> </w:t>
      </w:r>
      <w:r>
        <w:rPr>
          <w:rFonts w:cs="Arial"/>
          <w:lang w:val="es-CO"/>
        </w:rPr>
        <w:t>realicen este trámite ante las</w:t>
      </w:r>
      <w:r>
        <w:rPr>
          <w:rFonts w:cs="Arial"/>
          <w:spacing w:val="35"/>
          <w:lang w:val="es-CO"/>
        </w:rPr>
        <w:t xml:space="preserve"> </w:t>
      </w:r>
      <w:r>
        <w:rPr>
          <w:rFonts w:cs="Arial"/>
          <w:lang w:val="es-CO"/>
        </w:rPr>
        <w:t>Cámaras</w:t>
      </w:r>
      <w:r>
        <w:rPr>
          <w:rFonts w:cs="Arial"/>
          <w:spacing w:val="39"/>
          <w:lang w:val="es-CO"/>
        </w:rPr>
        <w:t xml:space="preserve"> </w:t>
      </w:r>
      <w:r>
        <w:rPr>
          <w:rFonts w:cs="Arial"/>
          <w:lang w:val="es-CO"/>
        </w:rPr>
        <w:t>de</w:t>
      </w:r>
      <w:r>
        <w:rPr>
          <w:rFonts w:cs="Arial"/>
          <w:spacing w:val="49"/>
          <w:lang w:val="es-CO"/>
        </w:rPr>
        <w:t xml:space="preserve"> </w:t>
      </w:r>
      <w:r>
        <w:rPr>
          <w:rFonts w:cs="Arial"/>
          <w:lang w:val="es-CO"/>
        </w:rPr>
        <w:t>Comercio,</w:t>
      </w:r>
      <w:r>
        <w:rPr>
          <w:rFonts w:cs="Arial"/>
          <w:spacing w:val="59"/>
          <w:lang w:val="es-CO"/>
        </w:rPr>
        <w:t xml:space="preserve"> </w:t>
      </w:r>
      <w:r>
        <w:rPr>
          <w:rFonts w:cs="Arial"/>
          <w:lang w:val="es-CO"/>
        </w:rPr>
        <w:t>constituye</w:t>
      </w:r>
      <w:r>
        <w:rPr>
          <w:rFonts w:cs="Arial"/>
          <w:spacing w:val="58"/>
          <w:lang w:val="es-CO"/>
        </w:rPr>
        <w:t xml:space="preserve"> </w:t>
      </w:r>
      <w:r>
        <w:rPr>
          <w:rFonts w:cs="Arial"/>
          <w:lang w:val="es-CO"/>
        </w:rPr>
        <w:t>prueba</w:t>
      </w:r>
      <w:r>
        <w:rPr>
          <w:rFonts w:cs="Arial"/>
          <w:spacing w:val="40"/>
          <w:lang w:val="es-CO"/>
        </w:rPr>
        <w:t xml:space="preserve"> </w:t>
      </w:r>
      <w:r>
        <w:rPr>
          <w:rFonts w:cs="Arial"/>
          <w:lang w:val="es-CO"/>
        </w:rPr>
        <w:t>de</w:t>
      </w:r>
      <w:r>
        <w:rPr>
          <w:rFonts w:cs="Arial"/>
          <w:spacing w:val="49"/>
          <w:lang w:val="es-CO"/>
        </w:rPr>
        <w:t xml:space="preserve"> </w:t>
      </w:r>
      <w:r>
        <w:rPr>
          <w:rFonts w:cs="Arial"/>
          <w:lang w:val="es-CO"/>
        </w:rPr>
        <w:t>la</w:t>
      </w:r>
      <w:r>
        <w:rPr>
          <w:rFonts w:cs="Arial"/>
          <w:spacing w:val="42"/>
          <w:lang w:val="es-CO"/>
        </w:rPr>
        <w:t xml:space="preserve"> </w:t>
      </w:r>
      <w:r>
        <w:rPr>
          <w:rFonts w:cs="Arial"/>
          <w:lang w:val="es-CO"/>
        </w:rPr>
        <w:t>inscripción</w:t>
      </w:r>
      <w:r>
        <w:rPr>
          <w:rFonts w:cs="Arial"/>
          <w:spacing w:val="49"/>
          <w:lang w:val="es-CO"/>
        </w:rPr>
        <w:t xml:space="preserve"> </w:t>
      </w:r>
      <w:r>
        <w:rPr>
          <w:rFonts w:cs="Arial"/>
          <w:lang w:val="es-CO"/>
        </w:rPr>
        <w:t xml:space="preserve">el documento </w:t>
      </w:r>
      <w:r>
        <w:rPr>
          <w:rFonts w:cs="Arial"/>
          <w:spacing w:val="43"/>
          <w:lang w:val="es-CO"/>
        </w:rPr>
        <w:t xml:space="preserve"> </w:t>
      </w:r>
      <w:r>
        <w:rPr>
          <w:rFonts w:cs="Arial"/>
          <w:lang w:val="es-CO"/>
        </w:rPr>
        <w:t xml:space="preserve">que </w:t>
      </w:r>
      <w:r>
        <w:rPr>
          <w:rFonts w:cs="Arial"/>
          <w:spacing w:val="37"/>
          <w:lang w:val="es-CO"/>
        </w:rPr>
        <w:t xml:space="preserve"> </w:t>
      </w:r>
      <w:r>
        <w:rPr>
          <w:rFonts w:cs="Arial"/>
          <w:lang w:val="es-CO"/>
        </w:rPr>
        <w:t xml:space="preserve">entregue </w:t>
      </w:r>
      <w:r>
        <w:rPr>
          <w:rFonts w:cs="Arial"/>
          <w:spacing w:val="38"/>
          <w:lang w:val="es-CO"/>
        </w:rPr>
        <w:t xml:space="preserve"> </w:t>
      </w:r>
      <w:r>
        <w:rPr>
          <w:rFonts w:cs="Arial"/>
          <w:lang w:val="es-CO"/>
        </w:rPr>
        <w:t xml:space="preserve">sin </w:t>
      </w:r>
      <w:r>
        <w:rPr>
          <w:rFonts w:cs="Arial"/>
          <w:spacing w:val="31"/>
          <w:lang w:val="es-CO"/>
        </w:rPr>
        <w:t xml:space="preserve"> </w:t>
      </w:r>
      <w:r>
        <w:rPr>
          <w:rFonts w:cs="Arial"/>
          <w:lang w:val="es-CO"/>
        </w:rPr>
        <w:t xml:space="preserve">costo </w:t>
      </w:r>
      <w:r>
        <w:rPr>
          <w:rFonts w:cs="Arial"/>
          <w:spacing w:val="37"/>
          <w:lang w:val="es-CO"/>
        </w:rPr>
        <w:t xml:space="preserve"> </w:t>
      </w:r>
      <w:r>
        <w:rPr>
          <w:rFonts w:cs="Arial"/>
          <w:lang w:val="es-CO"/>
        </w:rPr>
        <w:t xml:space="preserve">la </w:t>
      </w:r>
      <w:r>
        <w:rPr>
          <w:rFonts w:cs="Arial"/>
          <w:spacing w:val="30"/>
          <w:lang w:val="es-CO"/>
        </w:rPr>
        <w:t xml:space="preserve"> </w:t>
      </w:r>
      <w:r>
        <w:rPr>
          <w:rFonts w:cs="Arial"/>
          <w:lang w:val="es-CO"/>
        </w:rPr>
        <w:t xml:space="preserve">respectiva </w:t>
      </w:r>
      <w:r>
        <w:rPr>
          <w:rFonts w:cs="Arial"/>
          <w:spacing w:val="47"/>
          <w:lang w:val="es-CO"/>
        </w:rPr>
        <w:t xml:space="preserve"> </w:t>
      </w:r>
      <w:r>
        <w:rPr>
          <w:rFonts w:cs="Arial"/>
          <w:lang w:val="es-CO"/>
        </w:rPr>
        <w:t xml:space="preserve">Cámara </w:t>
      </w:r>
      <w:r>
        <w:rPr>
          <w:rFonts w:cs="Arial"/>
          <w:spacing w:val="40"/>
          <w:lang w:val="es-CO"/>
        </w:rPr>
        <w:t xml:space="preserve"> </w:t>
      </w:r>
      <w:r>
        <w:rPr>
          <w:rFonts w:cs="Arial"/>
          <w:lang w:val="es-CO"/>
        </w:rPr>
        <w:t xml:space="preserve">de </w:t>
      </w:r>
      <w:r>
        <w:rPr>
          <w:rFonts w:cs="Arial"/>
          <w:spacing w:val="34"/>
          <w:lang w:val="es-CO"/>
        </w:rPr>
        <w:t xml:space="preserve"> </w:t>
      </w:r>
      <w:r>
        <w:rPr>
          <w:rFonts w:cs="Arial"/>
          <w:lang w:val="es-CO"/>
        </w:rPr>
        <w:t xml:space="preserve">Comercio, </w:t>
      </w:r>
      <w:r>
        <w:rPr>
          <w:rFonts w:cs="Arial"/>
          <w:spacing w:val="48"/>
          <w:lang w:val="es-CO"/>
        </w:rPr>
        <w:t xml:space="preserve"> </w:t>
      </w:r>
      <w:r>
        <w:rPr>
          <w:rFonts w:cs="Arial"/>
          <w:lang w:val="es-CO"/>
        </w:rPr>
        <w:t>en el formulario</w:t>
      </w:r>
      <w:r>
        <w:rPr>
          <w:rFonts w:cs="Arial"/>
          <w:spacing w:val="55"/>
          <w:lang w:val="es-CO"/>
        </w:rPr>
        <w:t xml:space="preserve"> </w:t>
      </w:r>
      <w:r>
        <w:rPr>
          <w:rFonts w:cs="Arial"/>
          <w:lang w:val="es-CO"/>
        </w:rPr>
        <w:t>prescrito</w:t>
      </w:r>
      <w:r>
        <w:rPr>
          <w:rFonts w:cs="Arial"/>
          <w:spacing w:val="39"/>
          <w:lang w:val="es-CO"/>
        </w:rPr>
        <w:t xml:space="preserve"> </w:t>
      </w:r>
      <w:r>
        <w:rPr>
          <w:rFonts w:cs="Arial"/>
          <w:lang w:val="es-CO"/>
        </w:rPr>
        <w:t>por</w:t>
      </w:r>
      <w:r>
        <w:rPr>
          <w:rFonts w:cs="Arial"/>
          <w:spacing w:val="39"/>
          <w:lang w:val="es-CO"/>
        </w:rPr>
        <w:t xml:space="preserve"> </w:t>
      </w:r>
      <w:r>
        <w:rPr>
          <w:rFonts w:cs="Arial"/>
          <w:lang w:val="es-CO"/>
        </w:rPr>
        <w:t>la</w:t>
      </w:r>
      <w:r>
        <w:rPr>
          <w:rFonts w:cs="Arial"/>
          <w:spacing w:val="37"/>
          <w:lang w:val="es-CO"/>
        </w:rPr>
        <w:t xml:space="preserve"> </w:t>
      </w:r>
      <w:r>
        <w:rPr>
          <w:rFonts w:cs="Arial"/>
          <w:lang w:val="es-CO"/>
        </w:rPr>
        <w:t>Unidad</w:t>
      </w:r>
      <w:r>
        <w:rPr>
          <w:rFonts w:cs="Arial"/>
          <w:spacing w:val="27"/>
          <w:lang w:val="es-CO"/>
        </w:rPr>
        <w:t xml:space="preserve"> </w:t>
      </w:r>
      <w:r>
        <w:rPr>
          <w:rFonts w:cs="Arial"/>
          <w:lang w:val="es-CO"/>
        </w:rPr>
        <w:t>Administrativa Especial Dirección</w:t>
      </w:r>
      <w:r>
        <w:rPr>
          <w:rFonts w:cs="Arial"/>
          <w:spacing w:val="31"/>
          <w:lang w:val="es-CO"/>
        </w:rPr>
        <w:t xml:space="preserve"> </w:t>
      </w:r>
      <w:r>
        <w:rPr>
          <w:rFonts w:cs="Arial"/>
          <w:lang w:val="es-CO"/>
        </w:rPr>
        <w:t>de</w:t>
      </w:r>
      <w:r>
        <w:rPr>
          <w:rFonts w:cs="Arial"/>
          <w:spacing w:val="41"/>
          <w:lang w:val="es-CO"/>
        </w:rPr>
        <w:t xml:space="preserve"> </w:t>
      </w:r>
      <w:r>
        <w:rPr>
          <w:rFonts w:cs="Arial"/>
          <w:lang w:val="es-CO"/>
        </w:rPr>
        <w:t>Impuestos</w:t>
      </w:r>
      <w:r>
        <w:rPr>
          <w:rFonts w:cs="Arial"/>
          <w:spacing w:val="37"/>
          <w:lang w:val="es-CO"/>
        </w:rPr>
        <w:t xml:space="preserve"> </w:t>
      </w:r>
      <w:r>
        <w:rPr>
          <w:rFonts w:cs="Arial"/>
          <w:lang w:val="es-CO"/>
        </w:rPr>
        <w:t>y</w:t>
      </w:r>
      <w:r>
        <w:rPr>
          <w:rFonts w:cs="Arial"/>
          <w:w w:val="99"/>
          <w:lang w:val="es-CO"/>
        </w:rPr>
        <w:t xml:space="preserve"> </w:t>
      </w:r>
      <w:r>
        <w:rPr>
          <w:rFonts w:cs="Arial"/>
          <w:lang w:val="es-CO"/>
        </w:rPr>
        <w:t>Aduanas Nacionales-</w:t>
      </w:r>
      <w:r>
        <w:rPr>
          <w:rFonts w:cs="Arial"/>
          <w:spacing w:val="-5"/>
          <w:lang w:val="es-CO"/>
        </w:rPr>
        <w:t xml:space="preserve"> </w:t>
      </w:r>
      <w:r>
        <w:rPr>
          <w:rFonts w:cs="Arial"/>
          <w:lang w:val="es-CO"/>
        </w:rPr>
        <w:t>DIAN.</w:t>
      </w:r>
    </w:p>
    <w:p w14:paraId="07E935D5" w14:textId="77777777" w:rsidR="00B2442D" w:rsidRDefault="00B2442D">
      <w:pPr>
        <w:pStyle w:val="Textoindependiente"/>
        <w:tabs>
          <w:tab w:val="left" w:pos="2243"/>
          <w:tab w:val="left" w:pos="7515"/>
        </w:tabs>
        <w:spacing w:line="40" w:lineRule="atLeast"/>
        <w:ind w:right="-30"/>
        <w:jc w:val="both"/>
        <w:rPr>
          <w:rFonts w:cs="Arial"/>
          <w:lang w:val="es-CO"/>
        </w:rPr>
      </w:pPr>
    </w:p>
    <w:p w14:paraId="18C2F13E" w14:textId="77777777" w:rsidR="00B2442D" w:rsidRDefault="008A645F">
      <w:pPr>
        <w:pStyle w:val="Textoindependiente"/>
        <w:tabs>
          <w:tab w:val="left" w:pos="2243"/>
          <w:tab w:val="left" w:pos="7515"/>
        </w:tabs>
        <w:spacing w:line="40" w:lineRule="atLeast"/>
        <w:ind w:right="-30"/>
        <w:jc w:val="both"/>
        <w:rPr>
          <w:rFonts w:cs="Arial"/>
          <w:lang w:val="es-CO"/>
        </w:rPr>
      </w:pPr>
      <w:r>
        <w:rPr>
          <w:rFonts w:cs="Arial"/>
          <w:b/>
          <w:lang w:val="es-CO"/>
        </w:rPr>
        <w:t>Parágrafo</w:t>
      </w:r>
      <w:r>
        <w:rPr>
          <w:rFonts w:cs="Arial"/>
          <w:b/>
          <w:spacing w:val="38"/>
          <w:lang w:val="es-CO"/>
        </w:rPr>
        <w:t xml:space="preserve"> </w:t>
      </w:r>
      <w:r>
        <w:rPr>
          <w:rFonts w:cs="Arial"/>
          <w:b/>
          <w:lang w:val="es-CO"/>
        </w:rPr>
        <w:t>2.</w:t>
      </w:r>
      <w:r>
        <w:rPr>
          <w:rFonts w:cs="Arial"/>
          <w:spacing w:val="37"/>
          <w:lang w:val="es-CO"/>
        </w:rPr>
        <w:t xml:space="preserve"> </w:t>
      </w:r>
      <w:r>
        <w:rPr>
          <w:rFonts w:cs="Arial"/>
          <w:lang w:val="es-CO"/>
        </w:rPr>
        <w:t xml:space="preserve">Para efectos de las </w:t>
      </w:r>
      <w:r>
        <w:rPr>
          <w:rFonts w:cs="Arial"/>
          <w:lang w:val="es-CO"/>
        </w:rPr>
        <w:t>operaciones de importación, exportación y tránsito aduanero, no</w:t>
      </w:r>
      <w:r>
        <w:rPr>
          <w:rFonts w:cs="Arial"/>
          <w:spacing w:val="-3"/>
          <w:lang w:val="es-CO"/>
        </w:rPr>
        <w:t xml:space="preserve"> </w:t>
      </w:r>
      <w:r>
        <w:rPr>
          <w:rFonts w:cs="Arial"/>
          <w:lang w:val="es-CO"/>
        </w:rPr>
        <w:t>estarán</w:t>
      </w:r>
      <w:r>
        <w:rPr>
          <w:rFonts w:cs="Arial"/>
          <w:spacing w:val="23"/>
          <w:lang w:val="es-CO"/>
        </w:rPr>
        <w:t xml:space="preserve"> </w:t>
      </w:r>
      <w:r>
        <w:rPr>
          <w:rFonts w:cs="Arial"/>
          <w:lang w:val="es-CO"/>
        </w:rPr>
        <w:t>obligados</w:t>
      </w:r>
      <w:r>
        <w:rPr>
          <w:rFonts w:cs="Arial"/>
          <w:spacing w:val="23"/>
          <w:lang w:val="es-CO"/>
        </w:rPr>
        <w:t xml:space="preserve"> </w:t>
      </w:r>
      <w:r>
        <w:rPr>
          <w:rFonts w:cs="Arial"/>
          <w:lang w:val="es-CO"/>
        </w:rPr>
        <w:t>a</w:t>
      </w:r>
      <w:r>
        <w:rPr>
          <w:rFonts w:cs="Arial"/>
          <w:spacing w:val="18"/>
          <w:lang w:val="es-CO"/>
        </w:rPr>
        <w:t xml:space="preserve"> </w:t>
      </w:r>
      <w:r>
        <w:rPr>
          <w:rFonts w:cs="Arial"/>
          <w:lang w:val="es-CO"/>
        </w:rPr>
        <w:t>inscribirse</w:t>
      </w:r>
      <w:r>
        <w:rPr>
          <w:rFonts w:cs="Arial"/>
          <w:spacing w:val="10"/>
          <w:lang w:val="es-CO"/>
        </w:rPr>
        <w:t xml:space="preserve"> </w:t>
      </w:r>
      <w:r>
        <w:rPr>
          <w:rFonts w:cs="Arial"/>
          <w:lang w:val="es-CO"/>
        </w:rPr>
        <w:t>en el Registro</w:t>
      </w:r>
      <w:r>
        <w:rPr>
          <w:rFonts w:cs="Arial"/>
          <w:spacing w:val="25"/>
          <w:lang w:val="es-CO"/>
        </w:rPr>
        <w:t xml:space="preserve"> </w:t>
      </w:r>
      <w:r>
        <w:rPr>
          <w:rFonts w:cs="Arial"/>
          <w:lang w:val="es-CO"/>
        </w:rPr>
        <w:t>único</w:t>
      </w:r>
      <w:r>
        <w:rPr>
          <w:rFonts w:cs="Arial"/>
          <w:spacing w:val="5"/>
          <w:lang w:val="es-CO"/>
        </w:rPr>
        <w:t xml:space="preserve"> </w:t>
      </w:r>
      <w:r>
        <w:rPr>
          <w:rFonts w:cs="Arial"/>
          <w:lang w:val="es-CO"/>
        </w:rPr>
        <w:t>Tributario</w:t>
      </w:r>
      <w:r>
        <w:rPr>
          <w:rFonts w:cs="Arial"/>
          <w:spacing w:val="31"/>
          <w:lang w:val="es-CO"/>
        </w:rPr>
        <w:t xml:space="preserve"> </w:t>
      </w:r>
      <w:r>
        <w:rPr>
          <w:rFonts w:cs="Arial"/>
          <w:lang w:val="es-CO"/>
        </w:rPr>
        <w:t>–</w:t>
      </w:r>
      <w:r>
        <w:rPr>
          <w:rFonts w:cs="Arial"/>
          <w:spacing w:val="26"/>
          <w:lang w:val="es-CO"/>
        </w:rPr>
        <w:t xml:space="preserve"> </w:t>
      </w:r>
      <w:r>
        <w:rPr>
          <w:rFonts w:cs="Arial"/>
          <w:lang w:val="es-CO"/>
        </w:rPr>
        <w:t>RUT en calidad</w:t>
      </w:r>
      <w:r>
        <w:rPr>
          <w:rFonts w:cs="Arial"/>
          <w:spacing w:val="-2"/>
          <w:lang w:val="es-CO"/>
        </w:rPr>
        <w:t xml:space="preserve"> </w:t>
      </w:r>
      <w:r>
        <w:rPr>
          <w:rFonts w:cs="Arial"/>
          <w:lang w:val="es-CO"/>
        </w:rPr>
        <w:t>de</w:t>
      </w:r>
      <w:r>
        <w:rPr>
          <w:rFonts w:cs="Arial"/>
          <w:spacing w:val="-3"/>
          <w:lang w:val="es-CO"/>
        </w:rPr>
        <w:t xml:space="preserve"> </w:t>
      </w:r>
      <w:r>
        <w:rPr>
          <w:rFonts w:cs="Arial"/>
          <w:lang w:val="es-CO"/>
        </w:rPr>
        <w:t>usuarios</w:t>
      </w:r>
      <w:r>
        <w:rPr>
          <w:rFonts w:cs="Arial"/>
          <w:spacing w:val="2"/>
          <w:lang w:val="es-CO"/>
        </w:rPr>
        <w:t xml:space="preserve"> </w:t>
      </w:r>
      <w:r>
        <w:rPr>
          <w:rFonts w:cs="Arial"/>
          <w:lang w:val="es-CO"/>
        </w:rPr>
        <w:t>aduaneros:</w:t>
      </w:r>
    </w:p>
    <w:p w14:paraId="09AD883B" w14:textId="77777777" w:rsidR="00B2442D" w:rsidRDefault="00B2442D">
      <w:pPr>
        <w:pStyle w:val="Textoindependiente"/>
        <w:tabs>
          <w:tab w:val="left" w:pos="2243"/>
          <w:tab w:val="left" w:pos="7515"/>
        </w:tabs>
        <w:spacing w:line="40" w:lineRule="atLeast"/>
        <w:ind w:right="-30"/>
        <w:jc w:val="both"/>
        <w:rPr>
          <w:rFonts w:cs="Arial"/>
          <w:lang w:val="es-CO"/>
        </w:rPr>
      </w:pPr>
    </w:p>
    <w:p w14:paraId="614FF575" w14:textId="77777777" w:rsidR="00B2442D" w:rsidRDefault="008A645F">
      <w:pPr>
        <w:pStyle w:val="Textoindependiente"/>
        <w:spacing w:line="40" w:lineRule="atLeast"/>
        <w:ind w:right="-30"/>
        <w:jc w:val="both"/>
        <w:rPr>
          <w:rFonts w:cs="Arial"/>
          <w:lang w:val="es-CO"/>
        </w:rPr>
      </w:pPr>
      <w:r>
        <w:rPr>
          <w:rFonts w:cs="Arial"/>
          <w:lang w:val="es-CO"/>
        </w:rPr>
        <w:t>Los</w:t>
      </w:r>
      <w:r>
        <w:rPr>
          <w:rFonts w:cs="Arial"/>
          <w:spacing w:val="25"/>
          <w:lang w:val="es-CO"/>
        </w:rPr>
        <w:t xml:space="preserve"> </w:t>
      </w:r>
      <w:r>
        <w:rPr>
          <w:rFonts w:cs="Arial"/>
          <w:lang w:val="es-CO"/>
        </w:rPr>
        <w:t>extranjeros</w:t>
      </w:r>
      <w:r>
        <w:rPr>
          <w:rFonts w:cs="Arial"/>
          <w:spacing w:val="53"/>
          <w:lang w:val="es-CO"/>
        </w:rPr>
        <w:t xml:space="preserve"> </w:t>
      </w:r>
      <w:r>
        <w:rPr>
          <w:rFonts w:cs="Arial"/>
          <w:lang w:val="es-CO"/>
        </w:rPr>
        <w:t>no</w:t>
      </w:r>
      <w:r>
        <w:rPr>
          <w:rFonts w:cs="Arial"/>
          <w:spacing w:val="31"/>
          <w:lang w:val="es-CO"/>
        </w:rPr>
        <w:t xml:space="preserve"> </w:t>
      </w:r>
      <w:r>
        <w:rPr>
          <w:rFonts w:cs="Arial"/>
          <w:lang w:val="es-CO"/>
        </w:rPr>
        <w:t>residentes,</w:t>
      </w:r>
      <w:r>
        <w:rPr>
          <w:rFonts w:cs="Arial"/>
          <w:spacing w:val="33"/>
          <w:lang w:val="es-CO"/>
        </w:rPr>
        <w:t xml:space="preserve"> </w:t>
      </w:r>
      <w:r>
        <w:rPr>
          <w:rFonts w:cs="Arial"/>
          <w:lang w:val="es-CO"/>
        </w:rPr>
        <w:t>diplomáticos,</w:t>
      </w:r>
      <w:r>
        <w:rPr>
          <w:rFonts w:cs="Arial"/>
          <w:spacing w:val="49"/>
          <w:lang w:val="es-CO"/>
        </w:rPr>
        <w:t xml:space="preserve"> </w:t>
      </w:r>
      <w:r>
        <w:rPr>
          <w:rFonts w:cs="Arial"/>
          <w:lang w:val="es-CO"/>
        </w:rPr>
        <w:t>misiones diplomáticas,</w:t>
      </w:r>
      <w:r>
        <w:rPr>
          <w:rFonts w:cs="Arial"/>
          <w:spacing w:val="50"/>
          <w:lang w:val="es-CO"/>
        </w:rPr>
        <w:t xml:space="preserve"> </w:t>
      </w:r>
      <w:r>
        <w:rPr>
          <w:rFonts w:cs="Arial"/>
          <w:lang w:val="es-CO"/>
        </w:rPr>
        <w:t xml:space="preserve">misiones </w:t>
      </w:r>
      <w:r>
        <w:rPr>
          <w:rFonts w:cs="Arial"/>
          <w:lang w:val="es-CO"/>
        </w:rPr>
        <w:t>consulares</w:t>
      </w:r>
      <w:r>
        <w:rPr>
          <w:rFonts w:cs="Arial"/>
          <w:spacing w:val="40"/>
          <w:lang w:val="es-CO"/>
        </w:rPr>
        <w:t xml:space="preserve"> </w:t>
      </w:r>
      <w:r>
        <w:rPr>
          <w:rFonts w:cs="Arial"/>
          <w:lang w:val="es-CO"/>
        </w:rPr>
        <w:t>y</w:t>
      </w:r>
      <w:r>
        <w:rPr>
          <w:rFonts w:cs="Arial"/>
          <w:spacing w:val="40"/>
          <w:lang w:val="es-CO"/>
        </w:rPr>
        <w:t xml:space="preserve"> </w:t>
      </w:r>
      <w:r>
        <w:rPr>
          <w:rFonts w:cs="Arial"/>
          <w:lang w:val="es-CO"/>
        </w:rPr>
        <w:t>misiones</w:t>
      </w:r>
      <w:r>
        <w:rPr>
          <w:rFonts w:cs="Arial"/>
          <w:spacing w:val="38"/>
          <w:lang w:val="es-CO"/>
        </w:rPr>
        <w:t xml:space="preserve"> </w:t>
      </w:r>
      <w:r>
        <w:rPr>
          <w:rFonts w:cs="Arial"/>
          <w:lang w:val="es-CO"/>
        </w:rPr>
        <w:t>técnicas</w:t>
      </w:r>
      <w:r>
        <w:rPr>
          <w:rFonts w:cs="Arial"/>
          <w:spacing w:val="49"/>
          <w:lang w:val="es-CO"/>
        </w:rPr>
        <w:t xml:space="preserve"> </w:t>
      </w:r>
      <w:r>
        <w:rPr>
          <w:rFonts w:cs="Arial"/>
          <w:lang w:val="es-CO"/>
        </w:rPr>
        <w:t>acreditadas</w:t>
      </w:r>
      <w:r>
        <w:rPr>
          <w:rFonts w:cs="Arial"/>
          <w:spacing w:val="46"/>
          <w:lang w:val="es-CO"/>
        </w:rPr>
        <w:t xml:space="preserve"> </w:t>
      </w:r>
      <w:r>
        <w:rPr>
          <w:rFonts w:cs="Arial"/>
          <w:lang w:val="es-CO"/>
        </w:rPr>
        <w:t>en</w:t>
      </w:r>
      <w:r>
        <w:rPr>
          <w:rFonts w:cs="Arial"/>
          <w:spacing w:val="32"/>
          <w:lang w:val="es-CO"/>
        </w:rPr>
        <w:t xml:space="preserve"> </w:t>
      </w:r>
      <w:r>
        <w:rPr>
          <w:rFonts w:cs="Arial"/>
          <w:lang w:val="es-CO"/>
        </w:rPr>
        <w:t>Colombia,</w:t>
      </w:r>
      <w:r>
        <w:rPr>
          <w:rFonts w:cs="Arial"/>
          <w:spacing w:val="53"/>
          <w:lang w:val="es-CO"/>
        </w:rPr>
        <w:t xml:space="preserve"> </w:t>
      </w:r>
      <w:r>
        <w:rPr>
          <w:rFonts w:cs="Arial"/>
          <w:lang w:val="es-CO"/>
        </w:rPr>
        <w:t>los</w:t>
      </w:r>
      <w:r>
        <w:rPr>
          <w:rFonts w:cs="Arial"/>
          <w:spacing w:val="32"/>
          <w:lang w:val="es-CO"/>
        </w:rPr>
        <w:t xml:space="preserve"> </w:t>
      </w:r>
      <w:r>
        <w:rPr>
          <w:rFonts w:cs="Arial"/>
          <w:lang w:val="es-CO"/>
        </w:rPr>
        <w:t>sujetos</w:t>
      </w:r>
      <w:r>
        <w:rPr>
          <w:rFonts w:cs="Arial"/>
          <w:spacing w:val="43"/>
          <w:lang w:val="es-CO"/>
        </w:rPr>
        <w:t xml:space="preserve"> </w:t>
      </w:r>
      <w:r>
        <w:rPr>
          <w:rFonts w:cs="Arial"/>
          <w:lang w:val="es-CO"/>
        </w:rPr>
        <w:t>al</w:t>
      </w:r>
      <w:r>
        <w:rPr>
          <w:rFonts w:cs="Arial"/>
          <w:spacing w:val="36"/>
          <w:lang w:val="es-CO"/>
        </w:rPr>
        <w:t xml:space="preserve"> </w:t>
      </w:r>
      <w:r>
        <w:rPr>
          <w:rFonts w:cs="Arial"/>
          <w:lang w:val="es-CO"/>
        </w:rPr>
        <w:t>régimen</w:t>
      </w:r>
      <w:r>
        <w:rPr>
          <w:rFonts w:cs="Arial"/>
          <w:spacing w:val="39"/>
          <w:lang w:val="es-CO"/>
        </w:rPr>
        <w:t xml:space="preserve"> </w:t>
      </w:r>
      <w:r>
        <w:rPr>
          <w:rFonts w:cs="Arial"/>
          <w:lang w:val="es-CO"/>
        </w:rPr>
        <w:t>de</w:t>
      </w:r>
      <w:r>
        <w:rPr>
          <w:rFonts w:cs="Arial"/>
          <w:w w:val="101"/>
          <w:lang w:val="es-CO"/>
        </w:rPr>
        <w:t xml:space="preserve"> </w:t>
      </w:r>
      <w:r>
        <w:rPr>
          <w:rFonts w:cs="Arial"/>
          <w:lang w:val="es-CO"/>
        </w:rPr>
        <w:t>menajes</w:t>
      </w:r>
      <w:r>
        <w:rPr>
          <w:rFonts w:cs="Arial"/>
          <w:spacing w:val="-4"/>
          <w:lang w:val="es-CO"/>
        </w:rPr>
        <w:t xml:space="preserve"> </w:t>
      </w:r>
      <w:r>
        <w:rPr>
          <w:rFonts w:cs="Arial"/>
          <w:lang w:val="es-CO"/>
        </w:rPr>
        <w:t>y de viajeros,</w:t>
      </w:r>
      <w:r>
        <w:rPr>
          <w:rFonts w:cs="Arial"/>
          <w:spacing w:val="26"/>
          <w:lang w:val="es-CO"/>
        </w:rPr>
        <w:t xml:space="preserve"> </w:t>
      </w:r>
      <w:r>
        <w:rPr>
          <w:rFonts w:cs="Arial"/>
          <w:lang w:val="es-CO"/>
        </w:rPr>
        <w:t>los</w:t>
      </w:r>
      <w:r>
        <w:rPr>
          <w:rFonts w:cs="Arial"/>
          <w:spacing w:val="-13"/>
          <w:lang w:val="es-CO"/>
        </w:rPr>
        <w:t xml:space="preserve"> </w:t>
      </w:r>
      <w:r>
        <w:rPr>
          <w:rFonts w:cs="Arial"/>
          <w:lang w:val="es-CO"/>
        </w:rPr>
        <w:t>transportadores</w:t>
      </w:r>
      <w:r>
        <w:rPr>
          <w:rFonts w:cs="Arial"/>
          <w:spacing w:val="40"/>
          <w:lang w:val="es-CO"/>
        </w:rPr>
        <w:t xml:space="preserve"> </w:t>
      </w:r>
      <w:r>
        <w:rPr>
          <w:rFonts w:cs="Arial"/>
          <w:lang w:val="es-CO"/>
        </w:rPr>
        <w:t>internacionales</w:t>
      </w:r>
      <w:r>
        <w:rPr>
          <w:rFonts w:cs="Arial"/>
          <w:spacing w:val="22"/>
          <w:lang w:val="es-CO"/>
        </w:rPr>
        <w:t xml:space="preserve"> </w:t>
      </w:r>
      <w:r>
        <w:rPr>
          <w:rFonts w:cs="Arial"/>
          <w:lang w:val="es-CO"/>
        </w:rPr>
        <w:t>no</w:t>
      </w:r>
      <w:r>
        <w:rPr>
          <w:rFonts w:cs="Arial"/>
          <w:spacing w:val="-2"/>
          <w:lang w:val="es-CO"/>
        </w:rPr>
        <w:t xml:space="preserve"> </w:t>
      </w:r>
      <w:r>
        <w:rPr>
          <w:rFonts w:cs="Arial"/>
          <w:lang w:val="es-CO"/>
        </w:rPr>
        <w:t>residentes,</w:t>
      </w:r>
      <w:r>
        <w:rPr>
          <w:rFonts w:cs="Arial"/>
          <w:spacing w:val="9"/>
          <w:lang w:val="es-CO"/>
        </w:rPr>
        <w:t xml:space="preserve"> </w:t>
      </w:r>
      <w:r>
        <w:rPr>
          <w:rFonts w:cs="Arial"/>
          <w:lang w:val="es-CO"/>
        </w:rPr>
        <w:t>las personas naturales</w:t>
      </w:r>
      <w:r>
        <w:rPr>
          <w:rFonts w:cs="Arial"/>
          <w:spacing w:val="11"/>
          <w:lang w:val="es-CO"/>
        </w:rPr>
        <w:t xml:space="preserve"> </w:t>
      </w:r>
      <w:r>
        <w:rPr>
          <w:rFonts w:cs="Arial"/>
          <w:lang w:val="es-CO"/>
        </w:rPr>
        <w:t>destinatarias</w:t>
      </w:r>
      <w:r>
        <w:rPr>
          <w:rFonts w:cs="Arial"/>
          <w:spacing w:val="31"/>
          <w:lang w:val="es-CO"/>
        </w:rPr>
        <w:t xml:space="preserve"> </w:t>
      </w:r>
      <w:r>
        <w:rPr>
          <w:rFonts w:cs="Arial"/>
          <w:lang w:val="es-CO"/>
        </w:rPr>
        <w:t>o</w:t>
      </w:r>
      <w:r>
        <w:rPr>
          <w:rFonts w:cs="Arial"/>
          <w:spacing w:val="2"/>
          <w:lang w:val="es-CO"/>
        </w:rPr>
        <w:t xml:space="preserve"> </w:t>
      </w:r>
      <w:r>
        <w:rPr>
          <w:rFonts w:cs="Arial"/>
          <w:lang w:val="es-CO"/>
        </w:rPr>
        <w:t>remitentes de mercancías</w:t>
      </w:r>
      <w:r>
        <w:rPr>
          <w:rFonts w:cs="Arial"/>
          <w:spacing w:val="13"/>
          <w:lang w:val="es-CO"/>
        </w:rPr>
        <w:t xml:space="preserve"> </w:t>
      </w:r>
      <w:r>
        <w:rPr>
          <w:rFonts w:cs="Arial"/>
          <w:lang w:val="es-CO"/>
        </w:rPr>
        <w:t>bajo</w:t>
      </w:r>
      <w:r>
        <w:rPr>
          <w:rFonts w:cs="Arial"/>
          <w:spacing w:val="10"/>
          <w:lang w:val="es-CO"/>
        </w:rPr>
        <w:t xml:space="preserve"> </w:t>
      </w:r>
      <w:r>
        <w:rPr>
          <w:rFonts w:cs="Arial"/>
          <w:lang w:val="es-CO"/>
        </w:rPr>
        <w:t>la modalidad de tráfico</w:t>
      </w:r>
      <w:r>
        <w:rPr>
          <w:rFonts w:cs="Arial"/>
          <w:spacing w:val="17"/>
          <w:lang w:val="es-CO"/>
        </w:rPr>
        <w:t xml:space="preserve"> </w:t>
      </w:r>
      <w:r>
        <w:rPr>
          <w:rFonts w:cs="Arial"/>
          <w:lang w:val="es-CO"/>
        </w:rPr>
        <w:t>postal y</w:t>
      </w:r>
      <w:r>
        <w:rPr>
          <w:rFonts w:cs="Arial"/>
          <w:spacing w:val="26"/>
          <w:lang w:val="es-CO"/>
        </w:rPr>
        <w:t xml:space="preserve"> </w:t>
      </w:r>
      <w:r>
        <w:rPr>
          <w:rFonts w:cs="Arial"/>
          <w:lang w:val="es-CO"/>
        </w:rPr>
        <w:t>envíos</w:t>
      </w:r>
      <w:r>
        <w:rPr>
          <w:rFonts w:cs="Arial"/>
          <w:spacing w:val="46"/>
          <w:lang w:val="es-CO"/>
        </w:rPr>
        <w:t xml:space="preserve"> </w:t>
      </w:r>
      <w:r>
        <w:rPr>
          <w:rFonts w:cs="Arial"/>
          <w:lang w:val="es-CO"/>
        </w:rPr>
        <w:t>urgentes,</w:t>
      </w:r>
      <w:r>
        <w:rPr>
          <w:rFonts w:cs="Arial"/>
          <w:spacing w:val="41"/>
          <w:lang w:val="es-CO"/>
        </w:rPr>
        <w:t xml:space="preserve"> </w:t>
      </w:r>
      <w:r>
        <w:rPr>
          <w:rFonts w:cs="Arial"/>
          <w:lang w:val="es-CO"/>
        </w:rPr>
        <w:t>salvo</w:t>
      </w:r>
      <w:r>
        <w:rPr>
          <w:rFonts w:cs="Arial"/>
          <w:spacing w:val="30"/>
          <w:lang w:val="es-CO"/>
        </w:rPr>
        <w:t xml:space="preserve"> </w:t>
      </w:r>
      <w:r>
        <w:rPr>
          <w:rFonts w:cs="Arial"/>
          <w:lang w:val="es-CO"/>
        </w:rPr>
        <w:t>cuando</w:t>
      </w:r>
      <w:r>
        <w:rPr>
          <w:rFonts w:cs="Arial"/>
          <w:spacing w:val="38"/>
          <w:lang w:val="es-CO"/>
        </w:rPr>
        <w:t xml:space="preserve"> </w:t>
      </w:r>
      <w:r>
        <w:rPr>
          <w:rFonts w:cs="Arial"/>
          <w:lang w:val="es-CO"/>
        </w:rPr>
        <w:t>utilicen</w:t>
      </w:r>
      <w:r>
        <w:rPr>
          <w:rFonts w:cs="Arial"/>
          <w:spacing w:val="34"/>
          <w:lang w:val="es-CO"/>
        </w:rPr>
        <w:t xml:space="preserve"> </w:t>
      </w:r>
      <w:r>
        <w:rPr>
          <w:rFonts w:cs="Arial"/>
          <w:lang w:val="es-CO"/>
        </w:rPr>
        <w:t>la</w:t>
      </w:r>
      <w:r>
        <w:rPr>
          <w:rFonts w:cs="Arial"/>
          <w:spacing w:val="19"/>
          <w:lang w:val="es-CO"/>
        </w:rPr>
        <w:t xml:space="preserve"> </w:t>
      </w:r>
      <w:r>
        <w:rPr>
          <w:rFonts w:cs="Arial"/>
          <w:lang w:val="es-CO"/>
        </w:rPr>
        <w:t xml:space="preserve">modalidad para la </w:t>
      </w:r>
      <w:r>
        <w:rPr>
          <w:rFonts w:cs="Arial"/>
          <w:spacing w:val="28"/>
          <w:lang w:val="es-CO"/>
        </w:rPr>
        <w:t xml:space="preserve"> </w:t>
      </w:r>
      <w:r>
        <w:rPr>
          <w:rFonts w:cs="Arial"/>
          <w:lang w:val="es-CO"/>
        </w:rPr>
        <w:t>importación y/o</w:t>
      </w:r>
      <w:r>
        <w:rPr>
          <w:rFonts w:cs="Arial"/>
          <w:w w:val="99"/>
          <w:lang w:val="es-CO"/>
        </w:rPr>
        <w:t xml:space="preserve"> </w:t>
      </w:r>
      <w:r>
        <w:rPr>
          <w:rFonts w:cs="Arial"/>
          <w:lang w:val="es-CO"/>
        </w:rPr>
        <w:t>exportación</w:t>
      </w:r>
      <w:r>
        <w:rPr>
          <w:rFonts w:cs="Arial"/>
          <w:spacing w:val="-3"/>
          <w:lang w:val="es-CO"/>
        </w:rPr>
        <w:t xml:space="preserve"> </w:t>
      </w:r>
      <w:r>
        <w:rPr>
          <w:rFonts w:cs="Arial"/>
          <w:lang w:val="es-CO"/>
        </w:rPr>
        <w:t>de</w:t>
      </w:r>
      <w:r>
        <w:rPr>
          <w:rFonts w:cs="Arial"/>
          <w:spacing w:val="-14"/>
          <w:lang w:val="es-CO"/>
        </w:rPr>
        <w:t xml:space="preserve"> </w:t>
      </w:r>
      <w:r>
        <w:rPr>
          <w:rFonts w:cs="Arial"/>
          <w:lang w:val="es-CO"/>
        </w:rPr>
        <w:t>expediciones</w:t>
      </w:r>
      <w:r>
        <w:rPr>
          <w:rFonts w:cs="Arial"/>
          <w:spacing w:val="12"/>
          <w:lang w:val="es-CO"/>
        </w:rPr>
        <w:t xml:space="preserve"> </w:t>
      </w:r>
      <w:r>
        <w:rPr>
          <w:rFonts w:cs="Arial"/>
          <w:lang w:val="es-CO"/>
        </w:rPr>
        <w:t>comerciales.</w:t>
      </w:r>
    </w:p>
    <w:p w14:paraId="538861EB" w14:textId="77777777" w:rsidR="00B2442D" w:rsidRDefault="00B2442D">
      <w:pPr>
        <w:spacing w:line="40" w:lineRule="atLeast"/>
        <w:ind w:right="-30"/>
        <w:jc w:val="both"/>
        <w:rPr>
          <w:rFonts w:ascii="Arial" w:hAnsi="Arial" w:cs="Arial"/>
          <w:lang w:val="es-CO"/>
        </w:rPr>
      </w:pPr>
    </w:p>
    <w:p w14:paraId="32215B19" w14:textId="77777777" w:rsidR="00B2442D" w:rsidRDefault="008A645F">
      <w:pPr>
        <w:pStyle w:val="Textoindependiente"/>
        <w:spacing w:line="40" w:lineRule="atLeast"/>
        <w:ind w:right="-30"/>
        <w:jc w:val="both"/>
        <w:rPr>
          <w:rFonts w:cs="Arial"/>
          <w:lang w:val="es-CO"/>
        </w:rPr>
      </w:pPr>
      <w:r>
        <w:rPr>
          <w:rFonts w:cs="Arial"/>
          <w:lang w:val="es-CO"/>
        </w:rPr>
        <w:t>Estos usuarios</w:t>
      </w:r>
      <w:r>
        <w:rPr>
          <w:rFonts w:cs="Arial"/>
          <w:spacing w:val="35"/>
          <w:lang w:val="es-CO"/>
        </w:rPr>
        <w:t xml:space="preserve"> </w:t>
      </w:r>
      <w:r>
        <w:rPr>
          <w:rFonts w:cs="Arial"/>
          <w:lang w:val="es-CO"/>
        </w:rPr>
        <w:t>aduaneros</w:t>
      </w:r>
      <w:r>
        <w:rPr>
          <w:rFonts w:cs="Arial"/>
          <w:spacing w:val="47"/>
          <w:lang w:val="es-CO"/>
        </w:rPr>
        <w:t xml:space="preserve"> </w:t>
      </w:r>
      <w:r>
        <w:rPr>
          <w:rFonts w:cs="Arial"/>
          <w:lang w:val="es-CO"/>
        </w:rPr>
        <w:t>podrán</w:t>
      </w:r>
      <w:r>
        <w:rPr>
          <w:rFonts w:cs="Arial"/>
          <w:spacing w:val="33"/>
          <w:lang w:val="es-CO"/>
        </w:rPr>
        <w:t xml:space="preserve"> </w:t>
      </w:r>
      <w:r>
        <w:rPr>
          <w:rFonts w:cs="Arial"/>
          <w:lang w:val="es-CO"/>
        </w:rPr>
        <w:t>identificarse</w:t>
      </w:r>
      <w:r>
        <w:rPr>
          <w:rFonts w:cs="Arial"/>
          <w:spacing w:val="42"/>
          <w:lang w:val="es-CO"/>
        </w:rPr>
        <w:t xml:space="preserve"> </w:t>
      </w:r>
      <w:r>
        <w:rPr>
          <w:rFonts w:cs="Arial"/>
          <w:lang w:val="es-CO"/>
        </w:rPr>
        <w:t>con</w:t>
      </w:r>
      <w:r>
        <w:rPr>
          <w:rFonts w:cs="Arial"/>
          <w:spacing w:val="22"/>
          <w:lang w:val="es-CO"/>
        </w:rPr>
        <w:t xml:space="preserve"> </w:t>
      </w:r>
      <w:r>
        <w:rPr>
          <w:rFonts w:cs="Arial"/>
          <w:lang w:val="es-CO"/>
        </w:rPr>
        <w:t>el</w:t>
      </w:r>
      <w:r>
        <w:rPr>
          <w:rFonts w:cs="Arial"/>
          <w:spacing w:val="24"/>
          <w:lang w:val="es-CO"/>
        </w:rPr>
        <w:t xml:space="preserve"> </w:t>
      </w:r>
      <w:r>
        <w:rPr>
          <w:rFonts w:cs="Arial"/>
          <w:lang w:val="es-CO"/>
        </w:rPr>
        <w:t>número</w:t>
      </w:r>
      <w:r>
        <w:rPr>
          <w:rFonts w:cs="Arial"/>
          <w:spacing w:val="20"/>
          <w:lang w:val="es-CO"/>
        </w:rPr>
        <w:t xml:space="preserve"> </w:t>
      </w:r>
      <w:r>
        <w:rPr>
          <w:rFonts w:cs="Arial"/>
          <w:lang w:val="es-CO"/>
        </w:rPr>
        <w:t>de</w:t>
      </w:r>
      <w:r>
        <w:rPr>
          <w:rFonts w:cs="Arial"/>
          <w:spacing w:val="31"/>
          <w:lang w:val="es-CO"/>
        </w:rPr>
        <w:t xml:space="preserve"> </w:t>
      </w:r>
      <w:r>
        <w:rPr>
          <w:rFonts w:cs="Arial"/>
          <w:lang w:val="es-CO"/>
        </w:rPr>
        <w:t>pasaporte,</w:t>
      </w:r>
      <w:r>
        <w:rPr>
          <w:rFonts w:cs="Arial"/>
          <w:spacing w:val="37"/>
          <w:lang w:val="es-CO"/>
        </w:rPr>
        <w:t xml:space="preserve"> </w:t>
      </w:r>
      <w:r>
        <w:rPr>
          <w:rFonts w:cs="Arial"/>
          <w:lang w:val="es-CO"/>
        </w:rPr>
        <w:t>número de</w:t>
      </w:r>
      <w:r>
        <w:rPr>
          <w:rFonts w:cs="Arial"/>
          <w:spacing w:val="42"/>
          <w:lang w:val="es-CO"/>
        </w:rPr>
        <w:t xml:space="preserve"> </w:t>
      </w:r>
      <w:r>
        <w:rPr>
          <w:rFonts w:cs="Arial"/>
          <w:lang w:val="es-CO"/>
        </w:rPr>
        <w:t>documento</w:t>
      </w:r>
      <w:r>
        <w:rPr>
          <w:rFonts w:cs="Arial"/>
          <w:spacing w:val="63"/>
          <w:lang w:val="es-CO"/>
        </w:rPr>
        <w:t xml:space="preserve"> </w:t>
      </w:r>
      <w:r>
        <w:rPr>
          <w:rFonts w:cs="Arial"/>
          <w:lang w:val="es-CO"/>
        </w:rPr>
        <w:t>de</w:t>
      </w:r>
      <w:r>
        <w:rPr>
          <w:rFonts w:cs="Arial"/>
          <w:spacing w:val="45"/>
          <w:lang w:val="es-CO"/>
        </w:rPr>
        <w:t xml:space="preserve"> </w:t>
      </w:r>
      <w:r>
        <w:rPr>
          <w:rFonts w:cs="Arial"/>
          <w:lang w:val="es-CO"/>
        </w:rPr>
        <w:t>identidad</w:t>
      </w:r>
      <w:r>
        <w:rPr>
          <w:rFonts w:cs="Arial"/>
          <w:spacing w:val="44"/>
          <w:lang w:val="es-CO"/>
        </w:rPr>
        <w:t xml:space="preserve"> </w:t>
      </w:r>
      <w:r>
        <w:rPr>
          <w:rFonts w:cs="Arial"/>
          <w:lang w:val="es-CO"/>
        </w:rPr>
        <w:t>o</w:t>
      </w:r>
      <w:r>
        <w:rPr>
          <w:rFonts w:cs="Arial"/>
          <w:spacing w:val="35"/>
          <w:lang w:val="es-CO"/>
        </w:rPr>
        <w:t xml:space="preserve"> </w:t>
      </w:r>
      <w:r>
        <w:rPr>
          <w:rFonts w:cs="Arial"/>
          <w:lang w:val="es-CO"/>
        </w:rPr>
        <w:t>el</w:t>
      </w:r>
      <w:r>
        <w:rPr>
          <w:rFonts w:cs="Arial"/>
          <w:spacing w:val="36"/>
          <w:lang w:val="es-CO"/>
        </w:rPr>
        <w:t xml:space="preserve"> </w:t>
      </w:r>
      <w:r>
        <w:rPr>
          <w:rFonts w:cs="Arial"/>
          <w:lang w:val="es-CO"/>
        </w:rPr>
        <w:t>número</w:t>
      </w:r>
      <w:r>
        <w:rPr>
          <w:rFonts w:cs="Arial"/>
          <w:spacing w:val="45"/>
          <w:lang w:val="es-CO"/>
        </w:rPr>
        <w:t xml:space="preserve"> </w:t>
      </w:r>
      <w:r>
        <w:rPr>
          <w:rFonts w:cs="Arial"/>
          <w:lang w:val="es-CO"/>
        </w:rPr>
        <w:t>del</w:t>
      </w:r>
      <w:r>
        <w:rPr>
          <w:rFonts w:cs="Arial"/>
          <w:spacing w:val="40"/>
          <w:lang w:val="es-CO"/>
        </w:rPr>
        <w:t xml:space="preserve"> </w:t>
      </w:r>
      <w:r>
        <w:rPr>
          <w:rFonts w:cs="Arial"/>
          <w:lang w:val="es-CO"/>
        </w:rPr>
        <w:t>documento</w:t>
      </w:r>
      <w:r>
        <w:rPr>
          <w:rFonts w:cs="Arial"/>
          <w:spacing w:val="51"/>
          <w:lang w:val="es-CO"/>
        </w:rPr>
        <w:t xml:space="preserve"> </w:t>
      </w:r>
      <w:r>
        <w:rPr>
          <w:rFonts w:cs="Arial"/>
          <w:lang w:val="es-CO"/>
        </w:rPr>
        <w:t>que</w:t>
      </w:r>
      <w:r>
        <w:rPr>
          <w:rFonts w:cs="Arial"/>
          <w:spacing w:val="40"/>
          <w:lang w:val="es-CO"/>
        </w:rPr>
        <w:t xml:space="preserve"> </w:t>
      </w:r>
      <w:r>
        <w:rPr>
          <w:rFonts w:cs="Arial"/>
          <w:lang w:val="es-CO"/>
        </w:rPr>
        <w:t>acredita</w:t>
      </w:r>
      <w:r>
        <w:rPr>
          <w:rFonts w:cs="Arial"/>
          <w:spacing w:val="58"/>
          <w:lang w:val="es-CO"/>
        </w:rPr>
        <w:t xml:space="preserve"> </w:t>
      </w:r>
      <w:r>
        <w:rPr>
          <w:rFonts w:cs="Arial"/>
          <w:lang w:val="es-CO"/>
        </w:rPr>
        <w:t>la</w:t>
      </w:r>
      <w:r>
        <w:rPr>
          <w:rFonts w:cs="Arial"/>
          <w:spacing w:val="33"/>
          <w:lang w:val="es-CO"/>
        </w:rPr>
        <w:t xml:space="preserve"> </w:t>
      </w:r>
      <w:r>
        <w:rPr>
          <w:rFonts w:cs="Arial"/>
          <w:lang w:val="es-CO"/>
        </w:rPr>
        <w:t>misión.</w:t>
      </w:r>
      <w:r>
        <w:rPr>
          <w:rFonts w:cs="Arial"/>
          <w:spacing w:val="55"/>
          <w:lang w:val="es-CO"/>
        </w:rPr>
        <w:t xml:space="preserve"> </w:t>
      </w:r>
      <w:r>
        <w:rPr>
          <w:rFonts w:cs="Arial"/>
          <w:lang w:val="es-CO"/>
        </w:rPr>
        <w:t>Lo anterior</w:t>
      </w:r>
      <w:r>
        <w:rPr>
          <w:rFonts w:cs="Arial"/>
          <w:spacing w:val="56"/>
          <w:lang w:val="es-CO"/>
        </w:rPr>
        <w:t xml:space="preserve"> </w:t>
      </w:r>
      <w:r>
        <w:rPr>
          <w:rFonts w:cs="Arial"/>
          <w:lang w:val="es-CO"/>
        </w:rPr>
        <w:t>sin</w:t>
      </w:r>
      <w:r>
        <w:rPr>
          <w:rFonts w:cs="Arial"/>
          <w:spacing w:val="41"/>
          <w:lang w:val="es-CO"/>
        </w:rPr>
        <w:t xml:space="preserve"> </w:t>
      </w:r>
      <w:r>
        <w:rPr>
          <w:rFonts w:cs="Arial"/>
          <w:lang w:val="es-CO"/>
        </w:rPr>
        <w:t>perjuicio</w:t>
      </w:r>
      <w:r>
        <w:rPr>
          <w:rFonts w:cs="Arial"/>
          <w:spacing w:val="45"/>
          <w:lang w:val="es-CO"/>
        </w:rPr>
        <w:t xml:space="preserve"> </w:t>
      </w:r>
      <w:r>
        <w:rPr>
          <w:rFonts w:cs="Arial"/>
          <w:lang w:val="es-CO"/>
        </w:rPr>
        <w:t>de la inscripción que</w:t>
      </w:r>
      <w:r>
        <w:rPr>
          <w:rFonts w:cs="Arial"/>
          <w:spacing w:val="35"/>
          <w:lang w:val="es-CO"/>
        </w:rPr>
        <w:t xml:space="preserve"> </w:t>
      </w:r>
      <w:r>
        <w:rPr>
          <w:rFonts w:cs="Arial"/>
          <w:lang w:val="es-CO"/>
        </w:rPr>
        <w:t>deban</w:t>
      </w:r>
      <w:r>
        <w:rPr>
          <w:rFonts w:cs="Arial"/>
          <w:spacing w:val="39"/>
          <w:lang w:val="es-CO"/>
        </w:rPr>
        <w:t xml:space="preserve"> </w:t>
      </w:r>
      <w:r>
        <w:rPr>
          <w:rFonts w:cs="Arial"/>
          <w:lang w:val="es-CO"/>
        </w:rPr>
        <w:t>cumplir</w:t>
      </w:r>
      <w:r>
        <w:rPr>
          <w:rFonts w:cs="Arial"/>
          <w:spacing w:val="45"/>
          <w:lang w:val="es-CO"/>
        </w:rPr>
        <w:t xml:space="preserve"> </w:t>
      </w:r>
      <w:r>
        <w:rPr>
          <w:rFonts w:cs="Arial"/>
          <w:lang w:val="es-CO"/>
        </w:rPr>
        <w:t>en</w:t>
      </w:r>
      <w:r>
        <w:rPr>
          <w:rFonts w:cs="Arial"/>
          <w:spacing w:val="28"/>
          <w:lang w:val="es-CO"/>
        </w:rPr>
        <w:t xml:space="preserve"> </w:t>
      </w:r>
      <w:r>
        <w:rPr>
          <w:rFonts w:cs="Arial"/>
          <w:lang w:val="es-CO"/>
        </w:rPr>
        <w:t>virtud</w:t>
      </w:r>
      <w:r>
        <w:rPr>
          <w:rFonts w:cs="Arial"/>
          <w:spacing w:val="46"/>
          <w:lang w:val="es-CO"/>
        </w:rPr>
        <w:t xml:space="preserve"> </w:t>
      </w:r>
      <w:r>
        <w:rPr>
          <w:rFonts w:cs="Arial"/>
          <w:lang w:val="es-CO"/>
        </w:rPr>
        <w:t>de</w:t>
      </w:r>
      <w:r>
        <w:rPr>
          <w:rFonts w:cs="Arial"/>
          <w:spacing w:val="37"/>
          <w:lang w:val="es-CO"/>
        </w:rPr>
        <w:t xml:space="preserve"> </w:t>
      </w:r>
      <w:r>
        <w:rPr>
          <w:rFonts w:cs="Arial"/>
          <w:lang w:val="es-CO"/>
        </w:rPr>
        <w:t>otras</w:t>
      </w:r>
      <w:r>
        <w:rPr>
          <w:rFonts w:cs="Arial"/>
          <w:w w:val="98"/>
          <w:lang w:val="es-CO"/>
        </w:rPr>
        <w:t xml:space="preserve"> </w:t>
      </w:r>
      <w:r>
        <w:rPr>
          <w:rFonts w:cs="Arial"/>
          <w:lang w:val="es-CO"/>
        </w:rPr>
        <w:t>responsabilidades</w:t>
      </w:r>
      <w:r>
        <w:rPr>
          <w:rFonts w:cs="Arial"/>
          <w:spacing w:val="30"/>
          <w:lang w:val="es-CO"/>
        </w:rPr>
        <w:t xml:space="preserve"> </w:t>
      </w:r>
      <w:r>
        <w:rPr>
          <w:rFonts w:cs="Arial"/>
          <w:lang w:val="es-CO"/>
        </w:rPr>
        <w:t>u</w:t>
      </w:r>
      <w:r>
        <w:rPr>
          <w:rFonts w:cs="Arial"/>
          <w:spacing w:val="-10"/>
          <w:lang w:val="es-CO"/>
        </w:rPr>
        <w:t xml:space="preserve"> </w:t>
      </w:r>
      <w:r>
        <w:rPr>
          <w:rFonts w:cs="Arial"/>
          <w:lang w:val="es-CO"/>
        </w:rPr>
        <w:t>obligaciones</w:t>
      </w:r>
      <w:r>
        <w:rPr>
          <w:rFonts w:cs="Arial"/>
          <w:spacing w:val="19"/>
          <w:lang w:val="es-CO"/>
        </w:rPr>
        <w:t xml:space="preserve"> </w:t>
      </w:r>
      <w:r>
        <w:rPr>
          <w:rFonts w:cs="Arial"/>
          <w:lang w:val="es-CO"/>
        </w:rPr>
        <w:t>a</w:t>
      </w:r>
      <w:r>
        <w:rPr>
          <w:rFonts w:cs="Arial"/>
          <w:spacing w:val="-5"/>
          <w:lang w:val="es-CO"/>
        </w:rPr>
        <w:t xml:space="preserve"> </w:t>
      </w:r>
      <w:r>
        <w:rPr>
          <w:rFonts w:cs="Arial"/>
          <w:lang w:val="es-CO"/>
        </w:rPr>
        <w:t>que estén sujetos.</w:t>
      </w:r>
    </w:p>
    <w:p w14:paraId="44B0A90C" w14:textId="77777777" w:rsidR="00B2442D" w:rsidRDefault="00B2442D">
      <w:pPr>
        <w:spacing w:line="40" w:lineRule="atLeast"/>
        <w:ind w:right="-30"/>
        <w:jc w:val="both"/>
        <w:rPr>
          <w:rFonts w:ascii="Arial" w:hAnsi="Arial" w:cs="Arial"/>
          <w:lang w:val="es-CO"/>
        </w:rPr>
      </w:pPr>
    </w:p>
    <w:p w14:paraId="4851F877" w14:textId="77777777" w:rsidR="00B2442D" w:rsidRDefault="008A645F">
      <w:pPr>
        <w:pStyle w:val="Textoindependiente"/>
        <w:spacing w:line="40" w:lineRule="atLeast"/>
        <w:ind w:right="-30"/>
        <w:jc w:val="both"/>
        <w:rPr>
          <w:rFonts w:cs="Arial"/>
          <w:lang w:val="es-CO"/>
        </w:rPr>
      </w:pPr>
      <w:r>
        <w:rPr>
          <w:rFonts w:cs="Arial"/>
          <w:b/>
          <w:lang w:val="es-CO"/>
        </w:rPr>
        <w:t>Parágrafo</w:t>
      </w:r>
      <w:r>
        <w:rPr>
          <w:rFonts w:cs="Arial"/>
          <w:b/>
          <w:spacing w:val="4"/>
          <w:lang w:val="es-CO"/>
        </w:rPr>
        <w:t xml:space="preserve"> </w:t>
      </w:r>
      <w:r>
        <w:rPr>
          <w:rFonts w:cs="Arial"/>
          <w:b/>
          <w:lang w:val="es-CO"/>
        </w:rPr>
        <w:t>3.</w:t>
      </w:r>
      <w:r>
        <w:rPr>
          <w:rFonts w:cs="Arial"/>
          <w:b/>
          <w:spacing w:val="6"/>
          <w:lang w:val="es-CO"/>
        </w:rPr>
        <w:t xml:space="preserve"> </w:t>
      </w:r>
      <w:r>
        <w:rPr>
          <w:rFonts w:cs="Arial"/>
          <w:lang w:val="es-CO"/>
        </w:rPr>
        <w:t>Los</w:t>
      </w:r>
      <w:r>
        <w:rPr>
          <w:rFonts w:cs="Arial"/>
          <w:spacing w:val="10"/>
          <w:lang w:val="es-CO"/>
        </w:rPr>
        <w:t xml:space="preserve"> </w:t>
      </w:r>
      <w:r>
        <w:rPr>
          <w:rFonts w:cs="Arial"/>
          <w:lang w:val="es-CO"/>
        </w:rPr>
        <w:t>inversionistas</w:t>
      </w:r>
      <w:r>
        <w:rPr>
          <w:rFonts w:cs="Arial"/>
          <w:spacing w:val="36"/>
          <w:lang w:val="es-CO"/>
        </w:rPr>
        <w:t xml:space="preserve"> </w:t>
      </w:r>
      <w:r>
        <w:rPr>
          <w:rFonts w:cs="Arial"/>
          <w:lang w:val="es-CO"/>
        </w:rPr>
        <w:t>no</w:t>
      </w:r>
      <w:r>
        <w:rPr>
          <w:rFonts w:cs="Arial"/>
          <w:spacing w:val="6"/>
          <w:lang w:val="es-CO"/>
        </w:rPr>
        <w:t xml:space="preserve"> </w:t>
      </w:r>
      <w:r>
        <w:rPr>
          <w:rFonts w:cs="Arial"/>
          <w:lang w:val="es-CO"/>
        </w:rPr>
        <w:t>residentes</w:t>
      </w:r>
      <w:r>
        <w:rPr>
          <w:rFonts w:cs="Arial"/>
          <w:spacing w:val="29"/>
          <w:lang w:val="es-CO"/>
        </w:rPr>
        <w:t xml:space="preserve"> </w:t>
      </w:r>
      <w:r>
        <w:rPr>
          <w:rFonts w:cs="Arial"/>
          <w:lang w:val="es-CO"/>
        </w:rPr>
        <w:t>ni</w:t>
      </w:r>
      <w:r>
        <w:rPr>
          <w:rFonts w:cs="Arial"/>
          <w:spacing w:val="-14"/>
          <w:lang w:val="es-CO"/>
        </w:rPr>
        <w:t xml:space="preserve"> </w:t>
      </w:r>
      <w:r>
        <w:rPr>
          <w:rFonts w:cs="Arial"/>
          <w:lang w:val="es-CO"/>
        </w:rPr>
        <w:t>domiciliados</w:t>
      </w:r>
      <w:r>
        <w:rPr>
          <w:rFonts w:cs="Arial"/>
          <w:spacing w:val="28"/>
          <w:lang w:val="es-CO"/>
        </w:rPr>
        <w:t xml:space="preserve"> </w:t>
      </w:r>
      <w:r>
        <w:rPr>
          <w:rFonts w:cs="Arial"/>
          <w:lang w:val="es-CO"/>
        </w:rPr>
        <w:t>en</w:t>
      </w:r>
      <w:r>
        <w:rPr>
          <w:rFonts w:cs="Arial"/>
          <w:spacing w:val="5"/>
          <w:lang w:val="es-CO"/>
        </w:rPr>
        <w:t xml:space="preserve"> </w:t>
      </w:r>
      <w:r>
        <w:rPr>
          <w:rFonts w:cs="Arial"/>
          <w:lang w:val="es-CO"/>
        </w:rPr>
        <w:t>Colombia</w:t>
      </w:r>
      <w:r>
        <w:rPr>
          <w:rFonts w:cs="Arial"/>
          <w:spacing w:val="11"/>
          <w:lang w:val="es-CO"/>
        </w:rPr>
        <w:t xml:space="preserve"> </w:t>
      </w:r>
      <w:r>
        <w:rPr>
          <w:rFonts w:cs="Arial"/>
          <w:lang w:val="es-CO"/>
        </w:rPr>
        <w:t>titulares</w:t>
      </w:r>
      <w:r>
        <w:rPr>
          <w:rFonts w:cs="Arial"/>
          <w:spacing w:val="20"/>
          <w:lang w:val="es-CO"/>
        </w:rPr>
        <w:t xml:space="preserve"> </w:t>
      </w:r>
      <w:r>
        <w:rPr>
          <w:rFonts w:cs="Arial"/>
          <w:lang w:val="es-CO"/>
        </w:rPr>
        <w:t>de</w:t>
      </w:r>
      <w:r>
        <w:rPr>
          <w:rFonts w:cs="Arial"/>
          <w:w w:val="102"/>
          <w:lang w:val="es-CO"/>
        </w:rPr>
        <w:t xml:space="preserve"> </w:t>
      </w:r>
      <w:r>
        <w:rPr>
          <w:rFonts w:cs="Arial"/>
          <w:lang w:val="es-CO"/>
        </w:rPr>
        <w:t>inversiones</w:t>
      </w:r>
      <w:r>
        <w:rPr>
          <w:rFonts w:cs="Arial"/>
          <w:spacing w:val="29"/>
          <w:lang w:val="es-CO"/>
        </w:rPr>
        <w:t xml:space="preserve"> </w:t>
      </w:r>
      <w:r>
        <w:rPr>
          <w:rFonts w:cs="Arial"/>
          <w:lang w:val="es-CO"/>
        </w:rPr>
        <w:t>de</w:t>
      </w:r>
      <w:r>
        <w:rPr>
          <w:rFonts w:cs="Arial"/>
          <w:spacing w:val="17"/>
          <w:lang w:val="es-CO"/>
        </w:rPr>
        <w:t xml:space="preserve"> </w:t>
      </w:r>
      <w:r>
        <w:rPr>
          <w:rFonts w:cs="Arial"/>
          <w:lang w:val="es-CO"/>
        </w:rPr>
        <w:t>capital</w:t>
      </w:r>
      <w:r>
        <w:rPr>
          <w:rFonts w:cs="Arial"/>
          <w:spacing w:val="18"/>
          <w:lang w:val="es-CO"/>
        </w:rPr>
        <w:t xml:space="preserve"> </w:t>
      </w:r>
      <w:r>
        <w:rPr>
          <w:rFonts w:cs="Arial"/>
          <w:lang w:val="es-CO"/>
        </w:rPr>
        <w:t>del</w:t>
      </w:r>
      <w:r>
        <w:rPr>
          <w:rFonts w:cs="Arial"/>
          <w:spacing w:val="13"/>
          <w:lang w:val="es-CO"/>
        </w:rPr>
        <w:t xml:space="preserve"> </w:t>
      </w:r>
      <w:r>
        <w:rPr>
          <w:rFonts w:cs="Arial"/>
          <w:lang w:val="es-CO"/>
        </w:rPr>
        <w:t>exterior</w:t>
      </w:r>
      <w:r>
        <w:rPr>
          <w:rFonts w:cs="Arial"/>
          <w:spacing w:val="23"/>
          <w:lang w:val="es-CO"/>
        </w:rPr>
        <w:t xml:space="preserve"> </w:t>
      </w:r>
      <w:r>
        <w:rPr>
          <w:rFonts w:cs="Arial"/>
          <w:lang w:val="es-CO"/>
        </w:rPr>
        <w:t>de</w:t>
      </w:r>
      <w:r>
        <w:rPr>
          <w:rFonts w:cs="Arial"/>
          <w:spacing w:val="21"/>
          <w:lang w:val="es-CO"/>
        </w:rPr>
        <w:t xml:space="preserve"> </w:t>
      </w:r>
      <w:r>
        <w:rPr>
          <w:rFonts w:cs="Arial"/>
          <w:lang w:val="es-CO"/>
        </w:rPr>
        <w:t>portafolio,</w:t>
      </w:r>
      <w:r>
        <w:rPr>
          <w:rFonts w:cs="Arial"/>
          <w:spacing w:val="28"/>
          <w:lang w:val="es-CO"/>
        </w:rPr>
        <w:t xml:space="preserve"> </w:t>
      </w:r>
      <w:r>
        <w:rPr>
          <w:rFonts w:cs="Arial"/>
          <w:lang w:val="es-CO"/>
        </w:rPr>
        <w:t>independientemente</w:t>
      </w:r>
      <w:r>
        <w:rPr>
          <w:rFonts w:cs="Arial"/>
          <w:spacing w:val="38"/>
          <w:lang w:val="es-CO"/>
        </w:rPr>
        <w:t xml:space="preserve"> </w:t>
      </w:r>
      <w:r>
        <w:rPr>
          <w:rFonts w:cs="Arial"/>
          <w:lang w:val="es-CO"/>
        </w:rPr>
        <w:t>de</w:t>
      </w:r>
      <w:r>
        <w:rPr>
          <w:rFonts w:cs="Arial"/>
          <w:spacing w:val="22"/>
          <w:lang w:val="es-CO"/>
        </w:rPr>
        <w:t xml:space="preserve"> </w:t>
      </w:r>
      <w:r>
        <w:rPr>
          <w:rFonts w:cs="Arial"/>
          <w:lang w:val="es-CO"/>
        </w:rPr>
        <w:t>la</w:t>
      </w:r>
      <w:r>
        <w:rPr>
          <w:rFonts w:cs="Arial"/>
          <w:spacing w:val="9"/>
          <w:lang w:val="es-CO"/>
        </w:rPr>
        <w:t xml:space="preserve"> </w:t>
      </w:r>
      <w:r>
        <w:rPr>
          <w:rFonts w:cs="Arial"/>
          <w:lang w:val="es-CO"/>
        </w:rPr>
        <w:t>modalidad o</w:t>
      </w:r>
      <w:r>
        <w:rPr>
          <w:rFonts w:cs="Arial"/>
          <w:spacing w:val="23"/>
          <w:lang w:val="es-CO"/>
        </w:rPr>
        <w:t xml:space="preserve"> </w:t>
      </w:r>
      <w:r>
        <w:rPr>
          <w:rFonts w:cs="Arial"/>
          <w:lang w:val="es-CO"/>
        </w:rPr>
        <w:t>vehículo</w:t>
      </w:r>
      <w:r>
        <w:rPr>
          <w:rFonts w:cs="Arial"/>
          <w:spacing w:val="54"/>
          <w:lang w:val="es-CO"/>
        </w:rPr>
        <w:t xml:space="preserve"> </w:t>
      </w:r>
      <w:r>
        <w:rPr>
          <w:rFonts w:cs="Arial"/>
          <w:lang w:val="es-CO"/>
        </w:rPr>
        <w:t>utilizado</w:t>
      </w:r>
      <w:r>
        <w:rPr>
          <w:rFonts w:cs="Arial"/>
          <w:spacing w:val="40"/>
          <w:lang w:val="es-CO"/>
        </w:rPr>
        <w:t xml:space="preserve"> </w:t>
      </w:r>
      <w:r>
        <w:rPr>
          <w:rFonts w:cs="Arial"/>
          <w:lang w:val="es-CO"/>
        </w:rPr>
        <w:t>para</w:t>
      </w:r>
      <w:r>
        <w:rPr>
          <w:rFonts w:cs="Arial"/>
          <w:spacing w:val="32"/>
          <w:lang w:val="es-CO"/>
        </w:rPr>
        <w:t xml:space="preserve"> </w:t>
      </w:r>
      <w:r>
        <w:rPr>
          <w:rFonts w:cs="Arial"/>
          <w:lang w:val="es-CO"/>
        </w:rPr>
        <w:t>efectuar</w:t>
      </w:r>
      <w:r>
        <w:rPr>
          <w:rFonts w:cs="Arial"/>
          <w:spacing w:val="53"/>
          <w:lang w:val="es-CO"/>
        </w:rPr>
        <w:t xml:space="preserve"> </w:t>
      </w:r>
      <w:r>
        <w:rPr>
          <w:rFonts w:cs="Arial"/>
          <w:lang w:val="es-CO"/>
        </w:rPr>
        <w:t>la</w:t>
      </w:r>
      <w:r>
        <w:rPr>
          <w:rFonts w:cs="Arial"/>
          <w:spacing w:val="30"/>
          <w:lang w:val="es-CO"/>
        </w:rPr>
        <w:t xml:space="preserve"> </w:t>
      </w:r>
      <w:r>
        <w:rPr>
          <w:rFonts w:cs="Arial"/>
          <w:lang w:val="es-CO"/>
        </w:rPr>
        <w:t>inversión</w:t>
      </w:r>
      <w:r>
        <w:rPr>
          <w:rFonts w:cs="Arial"/>
          <w:spacing w:val="38"/>
          <w:lang w:val="es-CO"/>
        </w:rPr>
        <w:t xml:space="preserve"> </w:t>
      </w:r>
      <w:r>
        <w:rPr>
          <w:rFonts w:cs="Arial"/>
          <w:lang w:val="es-CO"/>
        </w:rPr>
        <w:t>deben</w:t>
      </w:r>
      <w:r>
        <w:rPr>
          <w:rFonts w:cs="Arial"/>
          <w:spacing w:val="42"/>
          <w:lang w:val="es-CO"/>
        </w:rPr>
        <w:t xml:space="preserve"> </w:t>
      </w:r>
      <w:r>
        <w:rPr>
          <w:rFonts w:cs="Arial"/>
          <w:lang w:val="es-CO"/>
        </w:rPr>
        <w:t>identificarse</w:t>
      </w:r>
      <w:r>
        <w:rPr>
          <w:rFonts w:cs="Arial"/>
          <w:spacing w:val="43"/>
          <w:lang w:val="es-CO"/>
        </w:rPr>
        <w:t xml:space="preserve"> </w:t>
      </w:r>
      <w:r>
        <w:rPr>
          <w:rFonts w:cs="Arial"/>
          <w:lang w:val="es-CO"/>
        </w:rPr>
        <w:t>con</w:t>
      </w:r>
      <w:r>
        <w:rPr>
          <w:rFonts w:cs="Arial"/>
          <w:spacing w:val="28"/>
          <w:lang w:val="es-CO"/>
        </w:rPr>
        <w:t xml:space="preserve"> </w:t>
      </w:r>
      <w:r>
        <w:rPr>
          <w:rFonts w:cs="Arial"/>
          <w:lang w:val="es-CO"/>
        </w:rPr>
        <w:t>el</w:t>
      </w:r>
      <w:r>
        <w:rPr>
          <w:rFonts w:cs="Arial"/>
          <w:spacing w:val="35"/>
          <w:lang w:val="es-CO"/>
        </w:rPr>
        <w:t xml:space="preserve"> </w:t>
      </w:r>
      <w:r>
        <w:rPr>
          <w:rFonts w:cs="Arial"/>
          <w:lang w:val="es-CO"/>
        </w:rPr>
        <w:t>número</w:t>
      </w:r>
      <w:r>
        <w:rPr>
          <w:rFonts w:cs="Arial"/>
          <w:spacing w:val="30"/>
          <w:lang w:val="es-CO"/>
        </w:rPr>
        <w:t xml:space="preserve"> </w:t>
      </w:r>
      <w:r>
        <w:rPr>
          <w:rFonts w:cs="Arial"/>
          <w:lang w:val="es-CO"/>
        </w:rPr>
        <w:t>de Identificación</w:t>
      </w:r>
      <w:r>
        <w:rPr>
          <w:rFonts w:cs="Arial"/>
          <w:spacing w:val="57"/>
          <w:lang w:val="es-CO"/>
        </w:rPr>
        <w:t xml:space="preserve"> </w:t>
      </w:r>
      <w:r>
        <w:rPr>
          <w:rFonts w:cs="Arial"/>
          <w:lang w:val="es-CO"/>
        </w:rPr>
        <w:t>Tributaria</w:t>
      </w:r>
      <w:r>
        <w:rPr>
          <w:rFonts w:cs="Arial"/>
          <w:spacing w:val="22"/>
          <w:lang w:val="es-CO"/>
        </w:rPr>
        <w:t xml:space="preserve"> </w:t>
      </w:r>
      <w:r>
        <w:rPr>
          <w:rFonts w:cs="Arial"/>
          <w:lang w:val="es-CO"/>
        </w:rPr>
        <w:t>NIT,</w:t>
      </w:r>
      <w:r>
        <w:rPr>
          <w:rFonts w:cs="Arial"/>
          <w:spacing w:val="59"/>
          <w:lang w:val="es-CO"/>
        </w:rPr>
        <w:t xml:space="preserve"> </w:t>
      </w:r>
      <w:r>
        <w:rPr>
          <w:rFonts w:cs="Arial"/>
          <w:lang w:val="es-CO"/>
        </w:rPr>
        <w:t>para</w:t>
      </w:r>
      <w:r>
        <w:rPr>
          <w:rFonts w:cs="Arial"/>
          <w:spacing w:val="65"/>
          <w:lang w:val="es-CO"/>
        </w:rPr>
        <w:t xml:space="preserve"> </w:t>
      </w:r>
      <w:r>
        <w:rPr>
          <w:rFonts w:cs="Arial"/>
          <w:lang w:val="es-CO"/>
        </w:rPr>
        <w:t>lo</w:t>
      </w:r>
      <w:r>
        <w:rPr>
          <w:rFonts w:cs="Arial"/>
          <w:spacing w:val="50"/>
          <w:lang w:val="es-CO"/>
        </w:rPr>
        <w:t xml:space="preserve"> </w:t>
      </w:r>
      <w:r>
        <w:rPr>
          <w:rFonts w:cs="Arial"/>
          <w:lang w:val="es-CO"/>
        </w:rPr>
        <w:t>cual</w:t>
      </w:r>
      <w:r>
        <w:rPr>
          <w:rFonts w:cs="Arial"/>
          <w:spacing w:val="58"/>
          <w:lang w:val="es-CO"/>
        </w:rPr>
        <w:t xml:space="preserve"> </w:t>
      </w:r>
      <w:r>
        <w:rPr>
          <w:rFonts w:cs="Arial"/>
          <w:lang w:val="es-CO"/>
        </w:rPr>
        <w:t>el</w:t>
      </w:r>
      <w:r>
        <w:rPr>
          <w:rFonts w:cs="Arial"/>
          <w:spacing w:val="57"/>
          <w:lang w:val="es-CO"/>
        </w:rPr>
        <w:t xml:space="preserve"> </w:t>
      </w:r>
      <w:r>
        <w:rPr>
          <w:rFonts w:cs="Arial"/>
          <w:lang w:val="es-CO"/>
        </w:rPr>
        <w:t>administrador</w:t>
      </w:r>
      <w:r>
        <w:rPr>
          <w:rFonts w:cs="Arial"/>
          <w:spacing w:val="19"/>
          <w:lang w:val="es-CO"/>
        </w:rPr>
        <w:t xml:space="preserve"> </w:t>
      </w:r>
      <w:r>
        <w:rPr>
          <w:rFonts w:cs="Arial"/>
          <w:lang w:val="es-CO"/>
        </w:rPr>
        <w:t>de la</w:t>
      </w:r>
      <w:r>
        <w:rPr>
          <w:rFonts w:cs="Arial"/>
          <w:spacing w:val="64"/>
          <w:lang w:val="es-CO"/>
        </w:rPr>
        <w:t xml:space="preserve"> </w:t>
      </w:r>
      <w:r>
        <w:rPr>
          <w:rFonts w:cs="Arial"/>
          <w:lang w:val="es-CO"/>
        </w:rPr>
        <w:t>inversión</w:t>
      </w:r>
      <w:r>
        <w:rPr>
          <w:rFonts w:cs="Arial"/>
          <w:spacing w:val="3"/>
          <w:lang w:val="es-CO"/>
        </w:rPr>
        <w:t xml:space="preserve"> </w:t>
      </w:r>
      <w:r>
        <w:rPr>
          <w:rFonts w:cs="Arial"/>
          <w:lang w:val="es-CO"/>
        </w:rPr>
        <w:t>deberá</w:t>
      </w:r>
      <w:r>
        <w:rPr>
          <w:rFonts w:cs="Arial"/>
          <w:w w:val="99"/>
          <w:lang w:val="es-CO"/>
        </w:rPr>
        <w:t xml:space="preserve"> </w:t>
      </w:r>
      <w:r>
        <w:rPr>
          <w:rFonts w:cs="Arial"/>
          <w:lang w:val="es-CO"/>
        </w:rPr>
        <w:t>realizar,</w:t>
      </w:r>
      <w:r>
        <w:rPr>
          <w:rFonts w:cs="Arial"/>
          <w:spacing w:val="9"/>
          <w:lang w:val="es-CO"/>
        </w:rPr>
        <w:t xml:space="preserve"> </w:t>
      </w:r>
      <w:r>
        <w:rPr>
          <w:rFonts w:cs="Arial"/>
          <w:lang w:val="es-CO"/>
        </w:rPr>
        <w:t>a</w:t>
      </w:r>
      <w:r>
        <w:rPr>
          <w:rFonts w:cs="Arial"/>
          <w:spacing w:val="9"/>
          <w:lang w:val="es-CO"/>
        </w:rPr>
        <w:t xml:space="preserve"> </w:t>
      </w:r>
      <w:r>
        <w:rPr>
          <w:rFonts w:cs="Arial"/>
          <w:lang w:val="es-CO"/>
        </w:rPr>
        <w:t>nombre</w:t>
      </w:r>
      <w:r>
        <w:rPr>
          <w:rFonts w:cs="Arial"/>
          <w:spacing w:val="2"/>
          <w:lang w:val="es-CO"/>
        </w:rPr>
        <w:t xml:space="preserve"> </w:t>
      </w:r>
      <w:r>
        <w:rPr>
          <w:rFonts w:cs="Arial"/>
          <w:lang w:val="es-CO"/>
        </w:rPr>
        <w:t>de</w:t>
      </w:r>
      <w:r>
        <w:rPr>
          <w:rFonts w:cs="Arial"/>
          <w:spacing w:val="-3"/>
          <w:lang w:val="es-CO"/>
        </w:rPr>
        <w:t xml:space="preserve"> </w:t>
      </w:r>
      <w:r>
        <w:rPr>
          <w:rFonts w:cs="Arial"/>
          <w:lang w:val="es-CO"/>
        </w:rPr>
        <w:t>éstos,</w:t>
      </w:r>
      <w:r>
        <w:rPr>
          <w:rFonts w:cs="Arial"/>
          <w:spacing w:val="3"/>
          <w:lang w:val="es-CO"/>
        </w:rPr>
        <w:t xml:space="preserve"> </w:t>
      </w:r>
      <w:r>
        <w:rPr>
          <w:rFonts w:cs="Arial"/>
          <w:lang w:val="es-CO"/>
        </w:rPr>
        <w:t>su</w:t>
      </w:r>
      <w:r>
        <w:rPr>
          <w:rFonts w:cs="Arial"/>
          <w:spacing w:val="3"/>
          <w:lang w:val="es-CO"/>
        </w:rPr>
        <w:t xml:space="preserve"> </w:t>
      </w:r>
      <w:r>
        <w:rPr>
          <w:rFonts w:cs="Arial"/>
          <w:lang w:val="es-CO"/>
        </w:rPr>
        <w:t>inscripción</w:t>
      </w:r>
      <w:r>
        <w:rPr>
          <w:rFonts w:cs="Arial"/>
          <w:spacing w:val="6"/>
          <w:lang w:val="es-CO"/>
        </w:rPr>
        <w:t xml:space="preserve"> </w:t>
      </w:r>
      <w:r>
        <w:rPr>
          <w:rFonts w:cs="Arial"/>
          <w:lang w:val="es-CO"/>
        </w:rPr>
        <w:t>en</w:t>
      </w:r>
      <w:r>
        <w:rPr>
          <w:rFonts w:cs="Arial"/>
          <w:spacing w:val="-6"/>
          <w:lang w:val="es-CO"/>
        </w:rPr>
        <w:t xml:space="preserve"> </w:t>
      </w:r>
      <w:r>
        <w:rPr>
          <w:rFonts w:cs="Arial"/>
          <w:lang w:val="es-CO"/>
        </w:rPr>
        <w:t>el</w:t>
      </w:r>
      <w:r>
        <w:rPr>
          <w:rFonts w:cs="Arial"/>
          <w:spacing w:val="1"/>
          <w:lang w:val="es-CO"/>
        </w:rPr>
        <w:t xml:space="preserve"> </w:t>
      </w:r>
      <w:r>
        <w:rPr>
          <w:rFonts w:cs="Arial"/>
          <w:lang w:val="es-CO"/>
        </w:rPr>
        <w:t>Registro</w:t>
      </w:r>
      <w:r>
        <w:rPr>
          <w:rFonts w:cs="Arial"/>
          <w:spacing w:val="13"/>
          <w:lang w:val="es-CO"/>
        </w:rPr>
        <w:t xml:space="preserve"> </w:t>
      </w:r>
      <w:r>
        <w:rPr>
          <w:rFonts w:cs="Arial"/>
          <w:lang w:val="es-CO"/>
        </w:rPr>
        <w:t>Único</w:t>
      </w:r>
      <w:r>
        <w:rPr>
          <w:rFonts w:cs="Arial"/>
          <w:spacing w:val="-9"/>
          <w:lang w:val="es-CO"/>
        </w:rPr>
        <w:t xml:space="preserve"> </w:t>
      </w:r>
      <w:r>
        <w:rPr>
          <w:rFonts w:cs="Arial"/>
          <w:lang w:val="es-CO"/>
        </w:rPr>
        <w:t>Tributario</w:t>
      </w:r>
      <w:r>
        <w:rPr>
          <w:rFonts w:cs="Arial"/>
          <w:spacing w:val="14"/>
          <w:lang w:val="es-CO"/>
        </w:rPr>
        <w:t xml:space="preserve"> </w:t>
      </w:r>
      <w:r>
        <w:rPr>
          <w:rFonts w:cs="Arial"/>
          <w:lang w:val="es-CO"/>
        </w:rPr>
        <w:t>-</w:t>
      </w:r>
      <w:r>
        <w:rPr>
          <w:rFonts w:cs="Arial"/>
          <w:spacing w:val="4"/>
          <w:lang w:val="es-CO"/>
        </w:rPr>
        <w:t xml:space="preserve"> </w:t>
      </w:r>
      <w:r>
        <w:rPr>
          <w:rFonts w:cs="Arial"/>
          <w:lang w:val="es-CO"/>
        </w:rPr>
        <w:t>RUT.</w:t>
      </w:r>
    </w:p>
    <w:p w14:paraId="0BB5D589" w14:textId="77777777" w:rsidR="00B2442D" w:rsidRDefault="00B2442D">
      <w:pPr>
        <w:spacing w:line="40" w:lineRule="atLeast"/>
        <w:ind w:right="-30"/>
        <w:jc w:val="both"/>
        <w:rPr>
          <w:rFonts w:ascii="Arial" w:hAnsi="Arial" w:cs="Arial"/>
          <w:lang w:val="es-CO"/>
        </w:rPr>
      </w:pPr>
    </w:p>
    <w:p w14:paraId="59CD9640" w14:textId="77777777" w:rsidR="00B2442D" w:rsidRDefault="008A645F">
      <w:pPr>
        <w:jc w:val="both"/>
        <w:rPr>
          <w:rFonts w:ascii="Arial" w:hAnsi="Arial" w:cs="Arial"/>
          <w:i/>
          <w:lang w:val="es-ES_tradnl"/>
        </w:rPr>
      </w:pPr>
      <w:r>
        <w:rPr>
          <w:rFonts w:ascii="Arial" w:hAnsi="Arial" w:cs="Arial"/>
          <w:i/>
          <w:lang w:val="es-ES_tradnl"/>
        </w:rPr>
        <w:t xml:space="preserve">(Art. 51, Decreto 2243 de 2015) (Plazos 2015: Decreto 2623 de 2014; plazos 2014: Decreto 2972 de 2013 y Decreto 685 de 2014; </w:t>
      </w:r>
      <w:r>
        <w:rPr>
          <w:rFonts w:ascii="Arial" w:hAnsi="Arial" w:cs="Arial"/>
          <w:i/>
          <w:lang w:val="es-ES_tradnl"/>
        </w:rPr>
        <w:t>plazos 2013: Decreto 2634 de 2012 y Decreto 0187 de 2013; plazos 2012: Decreto 4907 de 2011; plazos 2011: Decreto 4836 de 2010 y Decreto 1358 de 2011)</w:t>
      </w:r>
    </w:p>
    <w:p w14:paraId="3F09F8E8" w14:textId="77777777" w:rsidR="00B2442D" w:rsidRDefault="00B2442D">
      <w:pPr>
        <w:spacing w:line="40" w:lineRule="atLeast"/>
        <w:ind w:right="-30"/>
        <w:jc w:val="both"/>
        <w:rPr>
          <w:rFonts w:ascii="Arial" w:hAnsi="Arial" w:cs="Arial"/>
          <w:lang w:val="es-CO"/>
        </w:rPr>
      </w:pPr>
    </w:p>
    <w:p w14:paraId="7C9EA615" w14:textId="77777777" w:rsidR="00B2442D" w:rsidRDefault="008A645F">
      <w:pPr>
        <w:pStyle w:val="Textoindependiente"/>
        <w:numPr>
          <w:ilvl w:val="0"/>
          <w:numId w:val="152"/>
        </w:numPr>
        <w:tabs>
          <w:tab w:val="left" w:pos="1637"/>
        </w:tabs>
        <w:spacing w:line="40" w:lineRule="atLeast"/>
        <w:ind w:left="0" w:right="-30" w:firstLine="0"/>
        <w:jc w:val="both"/>
        <w:rPr>
          <w:rFonts w:cs="Arial"/>
          <w:lang w:val="es-CO"/>
        </w:rPr>
      </w:pPr>
      <w:r>
        <w:rPr>
          <w:rFonts w:cs="Arial"/>
          <w:b/>
          <w:i/>
          <w:lang w:val="es-CO"/>
        </w:rPr>
        <w:t>Prohibición</w:t>
      </w:r>
      <w:r>
        <w:rPr>
          <w:rFonts w:cs="Arial"/>
          <w:b/>
          <w:i/>
          <w:spacing w:val="52"/>
          <w:lang w:val="es-CO"/>
        </w:rPr>
        <w:t xml:space="preserve"> </w:t>
      </w:r>
      <w:r>
        <w:rPr>
          <w:rFonts w:cs="Arial"/>
          <w:b/>
          <w:i/>
          <w:lang w:val="es-CO"/>
        </w:rPr>
        <w:t>de</w:t>
      </w:r>
      <w:r>
        <w:rPr>
          <w:rFonts w:cs="Arial"/>
          <w:b/>
          <w:i/>
          <w:spacing w:val="24"/>
          <w:lang w:val="es-CO"/>
        </w:rPr>
        <w:t xml:space="preserve"> </w:t>
      </w:r>
      <w:r>
        <w:rPr>
          <w:rFonts w:cs="Arial"/>
          <w:b/>
          <w:i/>
          <w:lang w:val="es-CO"/>
        </w:rPr>
        <w:t>exigir</w:t>
      </w:r>
      <w:r>
        <w:rPr>
          <w:rFonts w:cs="Arial"/>
          <w:b/>
          <w:i/>
          <w:spacing w:val="41"/>
          <w:lang w:val="es-CO"/>
        </w:rPr>
        <w:t xml:space="preserve"> </w:t>
      </w:r>
      <w:r>
        <w:rPr>
          <w:rFonts w:cs="Arial"/>
          <w:b/>
          <w:i/>
          <w:lang w:val="es-CO"/>
        </w:rPr>
        <w:t>declaración</w:t>
      </w:r>
      <w:r>
        <w:rPr>
          <w:rFonts w:cs="Arial"/>
          <w:b/>
          <w:i/>
          <w:spacing w:val="60"/>
          <w:lang w:val="es-CO"/>
        </w:rPr>
        <w:t xml:space="preserve"> </w:t>
      </w:r>
      <w:r>
        <w:rPr>
          <w:rFonts w:cs="Arial"/>
          <w:b/>
          <w:i/>
          <w:lang w:val="es-CO"/>
        </w:rPr>
        <w:t>de</w:t>
      </w:r>
      <w:r>
        <w:rPr>
          <w:rFonts w:cs="Arial"/>
          <w:b/>
          <w:i/>
          <w:spacing w:val="24"/>
          <w:lang w:val="es-CO"/>
        </w:rPr>
        <w:t xml:space="preserve"> </w:t>
      </w:r>
      <w:r>
        <w:rPr>
          <w:rFonts w:cs="Arial"/>
          <w:b/>
          <w:i/>
          <w:lang w:val="es-CO"/>
        </w:rPr>
        <w:t>renta</w:t>
      </w:r>
      <w:r>
        <w:rPr>
          <w:rFonts w:cs="Arial"/>
          <w:b/>
          <w:i/>
          <w:spacing w:val="28"/>
          <w:lang w:val="es-CO"/>
        </w:rPr>
        <w:t xml:space="preserve"> </w:t>
      </w:r>
      <w:r>
        <w:rPr>
          <w:rFonts w:cs="Arial"/>
          <w:b/>
          <w:i/>
          <w:lang w:val="es-CO"/>
        </w:rPr>
        <w:t>y</w:t>
      </w:r>
      <w:r>
        <w:rPr>
          <w:rFonts w:cs="Arial"/>
          <w:b/>
          <w:i/>
          <w:w w:val="97"/>
          <w:lang w:val="es-CO"/>
        </w:rPr>
        <w:t xml:space="preserve"> </w:t>
      </w:r>
      <w:r>
        <w:rPr>
          <w:rFonts w:cs="Arial"/>
          <w:b/>
          <w:i/>
          <w:lang w:val="es-CO"/>
        </w:rPr>
        <w:t>complementario</w:t>
      </w:r>
      <w:r>
        <w:rPr>
          <w:rFonts w:cs="Arial"/>
          <w:b/>
          <w:i/>
          <w:spacing w:val="65"/>
          <w:lang w:val="es-CO"/>
        </w:rPr>
        <w:t xml:space="preserve"> </w:t>
      </w:r>
      <w:r>
        <w:rPr>
          <w:rFonts w:cs="Arial"/>
          <w:b/>
          <w:i/>
          <w:lang w:val="es-CO"/>
        </w:rPr>
        <w:t>a</w:t>
      </w:r>
      <w:r>
        <w:rPr>
          <w:rFonts w:cs="Arial"/>
          <w:b/>
          <w:i/>
          <w:spacing w:val="59"/>
          <w:lang w:val="es-CO"/>
        </w:rPr>
        <w:t xml:space="preserve"> </w:t>
      </w:r>
      <w:r>
        <w:rPr>
          <w:rFonts w:cs="Arial"/>
          <w:b/>
          <w:i/>
          <w:lang w:val="es-CO"/>
        </w:rPr>
        <w:t>los</w:t>
      </w:r>
      <w:r>
        <w:rPr>
          <w:rFonts w:cs="Arial"/>
          <w:b/>
          <w:i/>
          <w:spacing w:val="36"/>
          <w:lang w:val="es-CO"/>
        </w:rPr>
        <w:t xml:space="preserve"> </w:t>
      </w:r>
      <w:r>
        <w:rPr>
          <w:rFonts w:cs="Arial"/>
          <w:b/>
          <w:i/>
          <w:lang w:val="es-CO"/>
        </w:rPr>
        <w:t>no</w:t>
      </w:r>
      <w:r>
        <w:rPr>
          <w:rFonts w:cs="Arial"/>
          <w:b/>
          <w:i/>
          <w:spacing w:val="28"/>
          <w:lang w:val="es-CO"/>
        </w:rPr>
        <w:t xml:space="preserve"> </w:t>
      </w:r>
      <w:r>
        <w:rPr>
          <w:rFonts w:cs="Arial"/>
          <w:b/>
          <w:i/>
          <w:lang w:val="es-CO"/>
        </w:rPr>
        <w:t>obligados</w:t>
      </w:r>
      <w:r>
        <w:rPr>
          <w:rFonts w:cs="Arial"/>
          <w:b/>
          <w:i/>
          <w:spacing w:val="58"/>
          <w:lang w:val="es-CO"/>
        </w:rPr>
        <w:t xml:space="preserve"> </w:t>
      </w:r>
      <w:r>
        <w:rPr>
          <w:rFonts w:cs="Arial"/>
          <w:b/>
          <w:i/>
          <w:lang w:val="es-CO"/>
        </w:rPr>
        <w:t>a</w:t>
      </w:r>
      <w:r>
        <w:rPr>
          <w:rFonts w:cs="Arial"/>
          <w:b/>
          <w:i/>
          <w:spacing w:val="59"/>
          <w:lang w:val="es-CO"/>
        </w:rPr>
        <w:t xml:space="preserve"> </w:t>
      </w:r>
      <w:r>
        <w:rPr>
          <w:rFonts w:cs="Arial"/>
          <w:b/>
          <w:i/>
          <w:lang w:val="es-CO"/>
        </w:rPr>
        <w:t>declarar.</w:t>
      </w:r>
      <w:r>
        <w:rPr>
          <w:rFonts w:cs="Arial"/>
          <w:spacing w:val="52"/>
          <w:lang w:val="es-CO"/>
        </w:rPr>
        <w:t xml:space="preserve"> </w:t>
      </w:r>
      <w:r>
        <w:rPr>
          <w:rFonts w:cs="Arial"/>
          <w:lang w:val="es-CO"/>
        </w:rPr>
        <w:t>Ninguna</w:t>
      </w:r>
      <w:r>
        <w:rPr>
          <w:rFonts w:cs="Arial"/>
          <w:spacing w:val="44"/>
          <w:lang w:val="es-CO"/>
        </w:rPr>
        <w:t xml:space="preserve"> </w:t>
      </w:r>
      <w:r>
        <w:rPr>
          <w:rFonts w:cs="Arial"/>
          <w:lang w:val="es-CO"/>
        </w:rPr>
        <w:t>entidad</w:t>
      </w:r>
      <w:r>
        <w:rPr>
          <w:rFonts w:cs="Arial"/>
          <w:spacing w:val="54"/>
          <w:lang w:val="es-CO"/>
        </w:rPr>
        <w:t xml:space="preserve"> </w:t>
      </w:r>
      <w:r>
        <w:rPr>
          <w:rFonts w:cs="Arial"/>
          <w:lang w:val="es-CO"/>
        </w:rPr>
        <w:t>de derecho</w:t>
      </w:r>
      <w:r>
        <w:rPr>
          <w:rFonts w:cs="Arial"/>
          <w:spacing w:val="55"/>
          <w:lang w:val="es-CO"/>
        </w:rPr>
        <w:t xml:space="preserve"> </w:t>
      </w:r>
      <w:r>
        <w:rPr>
          <w:rFonts w:cs="Arial"/>
          <w:lang w:val="es-CO"/>
        </w:rPr>
        <w:t>público</w:t>
      </w:r>
      <w:r>
        <w:rPr>
          <w:rFonts w:cs="Arial"/>
          <w:spacing w:val="39"/>
          <w:lang w:val="es-CO"/>
        </w:rPr>
        <w:t xml:space="preserve"> </w:t>
      </w:r>
      <w:r>
        <w:rPr>
          <w:rFonts w:cs="Arial"/>
          <w:lang w:val="es-CO"/>
        </w:rPr>
        <w:t>o</w:t>
      </w:r>
      <w:r>
        <w:rPr>
          <w:rFonts w:cs="Arial"/>
          <w:spacing w:val="39"/>
          <w:lang w:val="es-CO"/>
        </w:rPr>
        <w:t xml:space="preserve"> </w:t>
      </w:r>
      <w:r>
        <w:rPr>
          <w:rFonts w:cs="Arial"/>
          <w:lang w:val="es-CO"/>
        </w:rPr>
        <w:t>privado</w:t>
      </w:r>
      <w:r>
        <w:rPr>
          <w:rFonts w:cs="Arial"/>
          <w:spacing w:val="48"/>
          <w:lang w:val="es-CO"/>
        </w:rPr>
        <w:t xml:space="preserve"> </w:t>
      </w:r>
      <w:r>
        <w:rPr>
          <w:rFonts w:cs="Arial"/>
          <w:lang w:val="es-CO"/>
        </w:rPr>
        <w:t>puede</w:t>
      </w:r>
      <w:r>
        <w:rPr>
          <w:rFonts w:cs="Arial"/>
          <w:spacing w:val="36"/>
          <w:lang w:val="es-CO"/>
        </w:rPr>
        <w:t xml:space="preserve"> </w:t>
      </w:r>
      <w:r>
        <w:rPr>
          <w:rFonts w:cs="Arial"/>
          <w:lang w:val="es-CO"/>
        </w:rPr>
        <w:t>exigir</w:t>
      </w:r>
      <w:r>
        <w:rPr>
          <w:rFonts w:cs="Arial"/>
          <w:spacing w:val="54"/>
          <w:lang w:val="es-CO"/>
        </w:rPr>
        <w:t xml:space="preserve"> </w:t>
      </w:r>
      <w:r>
        <w:rPr>
          <w:rFonts w:cs="Arial"/>
          <w:lang w:val="es-CO"/>
        </w:rPr>
        <w:t>la</w:t>
      </w:r>
      <w:r>
        <w:rPr>
          <w:rFonts w:cs="Arial"/>
          <w:spacing w:val="37"/>
          <w:lang w:val="es-CO"/>
        </w:rPr>
        <w:t xml:space="preserve"> </w:t>
      </w:r>
      <w:r>
        <w:rPr>
          <w:rFonts w:cs="Arial"/>
          <w:lang w:val="es-CO"/>
        </w:rPr>
        <w:t>presentación</w:t>
      </w:r>
      <w:r>
        <w:rPr>
          <w:rFonts w:cs="Arial"/>
          <w:spacing w:val="49"/>
          <w:lang w:val="es-CO"/>
        </w:rPr>
        <w:t xml:space="preserve"> </w:t>
      </w:r>
      <w:r>
        <w:rPr>
          <w:rFonts w:cs="Arial"/>
          <w:lang w:val="es-CO"/>
        </w:rPr>
        <w:t>o</w:t>
      </w:r>
      <w:r>
        <w:rPr>
          <w:rFonts w:cs="Arial"/>
          <w:spacing w:val="34"/>
          <w:lang w:val="es-CO"/>
        </w:rPr>
        <w:t xml:space="preserve"> </w:t>
      </w:r>
      <w:r>
        <w:rPr>
          <w:rFonts w:cs="Arial"/>
          <w:lang w:val="es-CO"/>
        </w:rPr>
        <w:t>exhibición</w:t>
      </w:r>
      <w:r>
        <w:rPr>
          <w:rFonts w:cs="Arial"/>
          <w:spacing w:val="52"/>
          <w:lang w:val="es-CO"/>
        </w:rPr>
        <w:t xml:space="preserve"> </w:t>
      </w:r>
      <w:r>
        <w:rPr>
          <w:rFonts w:cs="Arial"/>
          <w:lang w:val="es-CO"/>
        </w:rPr>
        <w:t>de</w:t>
      </w:r>
      <w:r>
        <w:rPr>
          <w:rFonts w:cs="Arial"/>
          <w:spacing w:val="42"/>
          <w:lang w:val="es-CO"/>
        </w:rPr>
        <w:t xml:space="preserve"> </w:t>
      </w:r>
      <w:r>
        <w:rPr>
          <w:rFonts w:cs="Arial"/>
          <w:lang w:val="es-CO"/>
        </w:rPr>
        <w:t>copia</w:t>
      </w:r>
      <w:r>
        <w:rPr>
          <w:rFonts w:cs="Arial"/>
          <w:spacing w:val="48"/>
          <w:lang w:val="es-CO"/>
        </w:rPr>
        <w:t xml:space="preserve"> </w:t>
      </w:r>
      <w:r>
        <w:rPr>
          <w:rFonts w:cs="Arial"/>
          <w:lang w:val="es-CO"/>
        </w:rPr>
        <w:t>de</w:t>
      </w:r>
      <w:r>
        <w:rPr>
          <w:rFonts w:cs="Arial"/>
          <w:spacing w:val="46"/>
          <w:lang w:val="es-CO"/>
        </w:rPr>
        <w:t xml:space="preserve"> </w:t>
      </w:r>
      <w:r>
        <w:rPr>
          <w:rFonts w:cs="Arial"/>
          <w:lang w:val="es-CO"/>
        </w:rPr>
        <w:t>la</w:t>
      </w:r>
      <w:r>
        <w:rPr>
          <w:rFonts w:cs="Arial"/>
          <w:w w:val="96"/>
          <w:lang w:val="es-CO"/>
        </w:rPr>
        <w:t xml:space="preserve"> </w:t>
      </w:r>
      <w:r>
        <w:rPr>
          <w:rFonts w:cs="Arial"/>
          <w:lang w:val="es-CO"/>
        </w:rPr>
        <w:t xml:space="preserve">declaración </w:t>
      </w:r>
      <w:r>
        <w:rPr>
          <w:rFonts w:cs="Arial"/>
          <w:spacing w:val="14"/>
          <w:lang w:val="es-CO"/>
        </w:rPr>
        <w:t xml:space="preserve"> </w:t>
      </w:r>
      <w:r>
        <w:rPr>
          <w:rFonts w:cs="Arial"/>
          <w:lang w:val="es-CO"/>
        </w:rPr>
        <w:t xml:space="preserve">de </w:t>
      </w:r>
      <w:r>
        <w:rPr>
          <w:rFonts w:cs="Arial"/>
          <w:spacing w:val="3"/>
          <w:lang w:val="es-CO"/>
        </w:rPr>
        <w:t xml:space="preserve"> </w:t>
      </w:r>
      <w:r>
        <w:rPr>
          <w:rFonts w:cs="Arial"/>
          <w:lang w:val="es-CO"/>
        </w:rPr>
        <w:t>renta</w:t>
      </w:r>
      <w:r>
        <w:rPr>
          <w:rFonts w:cs="Arial"/>
          <w:spacing w:val="56"/>
          <w:lang w:val="es-CO"/>
        </w:rPr>
        <w:t xml:space="preserve"> </w:t>
      </w:r>
      <w:r>
        <w:rPr>
          <w:rFonts w:cs="Arial"/>
          <w:lang w:val="es-CO"/>
        </w:rPr>
        <w:t>y</w:t>
      </w:r>
      <w:r>
        <w:rPr>
          <w:rFonts w:cs="Arial"/>
          <w:spacing w:val="64"/>
          <w:lang w:val="es-CO"/>
        </w:rPr>
        <w:t xml:space="preserve"> </w:t>
      </w:r>
      <w:r>
        <w:rPr>
          <w:rFonts w:cs="Arial"/>
          <w:lang w:val="es-CO"/>
        </w:rPr>
        <w:t xml:space="preserve">complementario, </w:t>
      </w:r>
      <w:r>
        <w:rPr>
          <w:rFonts w:cs="Arial"/>
          <w:spacing w:val="20"/>
          <w:lang w:val="es-CO"/>
        </w:rPr>
        <w:t xml:space="preserve"> </w:t>
      </w:r>
      <w:r>
        <w:rPr>
          <w:rFonts w:cs="Arial"/>
          <w:lang w:val="es-CO"/>
        </w:rPr>
        <w:t>a</w:t>
      </w:r>
      <w:r>
        <w:rPr>
          <w:rFonts w:cs="Arial"/>
          <w:spacing w:val="62"/>
          <w:lang w:val="es-CO"/>
        </w:rPr>
        <w:t xml:space="preserve"> </w:t>
      </w:r>
      <w:r>
        <w:rPr>
          <w:rFonts w:cs="Arial"/>
          <w:lang w:val="es-CO"/>
        </w:rPr>
        <w:t>las</w:t>
      </w:r>
      <w:r>
        <w:rPr>
          <w:rFonts w:cs="Arial"/>
          <w:spacing w:val="60"/>
          <w:lang w:val="es-CO"/>
        </w:rPr>
        <w:t xml:space="preserve"> </w:t>
      </w:r>
      <w:r>
        <w:rPr>
          <w:rFonts w:cs="Arial"/>
          <w:lang w:val="es-CO"/>
        </w:rPr>
        <w:t xml:space="preserve">personas </w:t>
      </w:r>
      <w:r>
        <w:rPr>
          <w:rFonts w:cs="Arial"/>
          <w:spacing w:val="12"/>
          <w:lang w:val="es-CO"/>
        </w:rPr>
        <w:t xml:space="preserve"> </w:t>
      </w:r>
      <w:r>
        <w:rPr>
          <w:rFonts w:cs="Arial"/>
          <w:lang w:val="es-CO"/>
        </w:rPr>
        <w:t xml:space="preserve">naturales </w:t>
      </w:r>
      <w:r>
        <w:rPr>
          <w:rFonts w:cs="Arial"/>
          <w:spacing w:val="8"/>
          <w:lang w:val="es-CO"/>
        </w:rPr>
        <w:t xml:space="preserve"> </w:t>
      </w:r>
      <w:r>
        <w:rPr>
          <w:rFonts w:cs="Arial"/>
          <w:lang w:val="es-CO"/>
        </w:rPr>
        <w:t>no</w:t>
      </w:r>
      <w:r>
        <w:rPr>
          <w:rFonts w:cs="Arial"/>
          <w:spacing w:val="49"/>
          <w:lang w:val="es-CO"/>
        </w:rPr>
        <w:t xml:space="preserve"> </w:t>
      </w:r>
      <w:r>
        <w:rPr>
          <w:rFonts w:cs="Arial"/>
          <w:lang w:val="es-CO"/>
        </w:rPr>
        <w:t xml:space="preserve">obligadas </w:t>
      </w:r>
      <w:r>
        <w:rPr>
          <w:rFonts w:cs="Arial"/>
          <w:spacing w:val="7"/>
          <w:lang w:val="es-CO"/>
        </w:rPr>
        <w:t xml:space="preserve"> </w:t>
      </w:r>
      <w:r>
        <w:rPr>
          <w:rFonts w:cs="Arial"/>
          <w:lang w:val="es-CO"/>
        </w:rPr>
        <w:t>a declarar</w:t>
      </w:r>
      <w:r>
        <w:rPr>
          <w:rFonts w:cs="Arial"/>
          <w:spacing w:val="46"/>
          <w:lang w:val="es-CO"/>
        </w:rPr>
        <w:t xml:space="preserve"> </w:t>
      </w:r>
      <w:r>
        <w:rPr>
          <w:rFonts w:cs="Arial"/>
          <w:lang w:val="es-CO"/>
        </w:rPr>
        <w:t>de</w:t>
      </w:r>
      <w:r>
        <w:rPr>
          <w:rFonts w:cs="Arial"/>
          <w:spacing w:val="33"/>
          <w:lang w:val="es-CO"/>
        </w:rPr>
        <w:t xml:space="preserve"> </w:t>
      </w:r>
      <w:r>
        <w:rPr>
          <w:rFonts w:cs="Arial"/>
          <w:lang w:val="es-CO"/>
        </w:rPr>
        <w:t>acuerdo</w:t>
      </w:r>
      <w:r>
        <w:rPr>
          <w:rFonts w:cs="Arial"/>
          <w:spacing w:val="37"/>
          <w:lang w:val="es-CO"/>
        </w:rPr>
        <w:t xml:space="preserve"> </w:t>
      </w:r>
      <w:r>
        <w:rPr>
          <w:rFonts w:cs="Arial"/>
          <w:lang w:val="es-CO"/>
        </w:rPr>
        <w:t>con</w:t>
      </w:r>
      <w:r>
        <w:rPr>
          <w:rFonts w:cs="Arial"/>
          <w:spacing w:val="34"/>
          <w:lang w:val="es-CO"/>
        </w:rPr>
        <w:t xml:space="preserve"> </w:t>
      </w:r>
      <w:r>
        <w:rPr>
          <w:rFonts w:cs="Arial"/>
          <w:lang w:val="es-CO"/>
        </w:rPr>
        <w:t>lo</w:t>
      </w:r>
      <w:r>
        <w:rPr>
          <w:rFonts w:cs="Arial"/>
          <w:spacing w:val="17"/>
          <w:lang w:val="es-CO"/>
        </w:rPr>
        <w:t xml:space="preserve"> </w:t>
      </w:r>
      <w:r>
        <w:rPr>
          <w:rFonts w:cs="Arial"/>
          <w:lang w:val="es-CO"/>
        </w:rPr>
        <w:t>establecido</w:t>
      </w:r>
      <w:r>
        <w:rPr>
          <w:rFonts w:cs="Arial"/>
          <w:spacing w:val="44"/>
          <w:lang w:val="es-CO"/>
        </w:rPr>
        <w:t xml:space="preserve"> </w:t>
      </w:r>
      <w:r>
        <w:rPr>
          <w:rFonts w:cs="Arial"/>
          <w:lang w:val="es-CO"/>
        </w:rPr>
        <w:t>en</w:t>
      </w:r>
      <w:r>
        <w:rPr>
          <w:rFonts w:cs="Arial"/>
          <w:spacing w:val="36"/>
          <w:lang w:val="es-CO"/>
        </w:rPr>
        <w:t xml:space="preserve"> </w:t>
      </w:r>
      <w:r>
        <w:rPr>
          <w:rFonts w:cs="Arial"/>
          <w:lang w:val="es-CO"/>
        </w:rPr>
        <w:t>los</w:t>
      </w:r>
      <w:r>
        <w:rPr>
          <w:rFonts w:cs="Arial"/>
          <w:spacing w:val="25"/>
          <w:lang w:val="es-CO"/>
        </w:rPr>
        <w:t xml:space="preserve"> </w:t>
      </w:r>
      <w:r>
        <w:rPr>
          <w:rFonts w:cs="Arial"/>
          <w:lang w:val="es-CO"/>
        </w:rPr>
        <w:t>artículos</w:t>
      </w:r>
      <w:r>
        <w:rPr>
          <w:rFonts w:cs="Arial"/>
          <w:spacing w:val="40"/>
          <w:lang w:val="es-CO"/>
        </w:rPr>
        <w:t xml:space="preserve"> </w:t>
      </w:r>
      <w:r>
        <w:rPr>
          <w:rFonts w:cs="Arial"/>
          <w:lang w:val="es-CO"/>
        </w:rPr>
        <w:t>592,</w:t>
      </w:r>
      <w:r>
        <w:rPr>
          <w:rFonts w:cs="Arial"/>
          <w:spacing w:val="40"/>
          <w:lang w:val="es-CO"/>
        </w:rPr>
        <w:t xml:space="preserve"> </w:t>
      </w:r>
      <w:r>
        <w:rPr>
          <w:rFonts w:cs="Arial"/>
          <w:lang w:val="es-CO"/>
        </w:rPr>
        <w:t>593,</w:t>
      </w:r>
      <w:r>
        <w:rPr>
          <w:rFonts w:cs="Arial"/>
          <w:spacing w:val="35"/>
          <w:lang w:val="es-CO"/>
        </w:rPr>
        <w:t xml:space="preserve"> </w:t>
      </w:r>
      <w:r>
        <w:rPr>
          <w:rFonts w:cs="Arial"/>
          <w:lang w:val="es-CO"/>
        </w:rPr>
        <w:t>594-1</w:t>
      </w:r>
      <w:r>
        <w:rPr>
          <w:rFonts w:cs="Arial"/>
          <w:spacing w:val="23"/>
          <w:lang w:val="es-CO"/>
        </w:rPr>
        <w:t xml:space="preserve"> </w:t>
      </w:r>
      <w:r>
        <w:rPr>
          <w:rFonts w:cs="Arial"/>
          <w:lang w:val="es-CO"/>
        </w:rPr>
        <w:t>y</w:t>
      </w:r>
      <w:r>
        <w:rPr>
          <w:rFonts w:cs="Arial"/>
          <w:spacing w:val="38"/>
          <w:lang w:val="es-CO"/>
        </w:rPr>
        <w:t xml:space="preserve"> </w:t>
      </w:r>
      <w:r>
        <w:rPr>
          <w:rFonts w:cs="Arial"/>
          <w:lang w:val="es-CO"/>
        </w:rPr>
        <w:t>59</w:t>
      </w:r>
      <w:r>
        <w:rPr>
          <w:rFonts w:cs="Arial"/>
          <w:spacing w:val="2"/>
          <w:lang w:val="es-CO"/>
        </w:rPr>
        <w:t>4</w:t>
      </w:r>
      <w:r>
        <w:rPr>
          <w:rFonts w:cs="Arial"/>
          <w:spacing w:val="4"/>
          <w:lang w:val="es-CO"/>
        </w:rPr>
        <w:t>-</w:t>
      </w:r>
      <w:r>
        <w:rPr>
          <w:rFonts w:cs="Arial"/>
          <w:lang w:val="es-CO"/>
        </w:rPr>
        <w:t>3</w:t>
      </w:r>
      <w:r>
        <w:rPr>
          <w:rFonts w:cs="Arial"/>
          <w:spacing w:val="19"/>
          <w:lang w:val="es-CO"/>
        </w:rPr>
        <w:t xml:space="preserve"> </w:t>
      </w:r>
      <w:r>
        <w:rPr>
          <w:rFonts w:cs="Arial"/>
          <w:lang w:val="es-CO"/>
        </w:rPr>
        <w:t>del</w:t>
      </w:r>
      <w:r>
        <w:rPr>
          <w:rFonts w:cs="Arial"/>
          <w:w w:val="102"/>
          <w:lang w:val="es-CO"/>
        </w:rPr>
        <w:t xml:space="preserve"> </w:t>
      </w:r>
      <w:r>
        <w:rPr>
          <w:rFonts w:cs="Arial"/>
          <w:lang w:val="es-CO"/>
        </w:rPr>
        <w:t>Estatuto</w:t>
      </w:r>
      <w:r>
        <w:rPr>
          <w:rFonts w:cs="Arial"/>
          <w:spacing w:val="-32"/>
          <w:lang w:val="es-CO"/>
        </w:rPr>
        <w:t xml:space="preserve"> </w:t>
      </w:r>
      <w:r>
        <w:rPr>
          <w:rFonts w:cs="Arial"/>
          <w:lang w:val="es-CO"/>
        </w:rPr>
        <w:t>Tributario.</w:t>
      </w:r>
    </w:p>
    <w:p w14:paraId="6D56709B" w14:textId="77777777" w:rsidR="00B2442D" w:rsidRDefault="00B2442D">
      <w:pPr>
        <w:spacing w:line="40" w:lineRule="atLeast"/>
        <w:ind w:right="-30"/>
        <w:jc w:val="both"/>
        <w:rPr>
          <w:rFonts w:ascii="Arial" w:hAnsi="Arial" w:cs="Arial"/>
          <w:lang w:val="es-CO"/>
        </w:rPr>
      </w:pPr>
    </w:p>
    <w:p w14:paraId="282AE99D" w14:textId="77777777" w:rsidR="00B2442D" w:rsidRDefault="008A645F">
      <w:pPr>
        <w:pStyle w:val="Textoindependiente"/>
        <w:spacing w:line="40" w:lineRule="atLeast"/>
        <w:ind w:right="-30"/>
        <w:jc w:val="both"/>
        <w:rPr>
          <w:rFonts w:cs="Arial"/>
          <w:lang w:val="es-CO"/>
        </w:rPr>
      </w:pPr>
      <w:r>
        <w:rPr>
          <w:rFonts w:cs="Arial"/>
          <w:lang w:val="es-CO"/>
        </w:rPr>
        <w:t>El</w:t>
      </w:r>
      <w:r>
        <w:rPr>
          <w:rFonts w:cs="Arial"/>
          <w:spacing w:val="59"/>
          <w:lang w:val="es-CO"/>
        </w:rPr>
        <w:t xml:space="preserve"> </w:t>
      </w:r>
      <w:r>
        <w:rPr>
          <w:rFonts w:cs="Arial"/>
          <w:lang w:val="es-CO"/>
        </w:rPr>
        <w:t>impuesto</w:t>
      </w:r>
      <w:r>
        <w:rPr>
          <w:rFonts w:cs="Arial"/>
          <w:spacing w:val="2"/>
          <w:lang w:val="es-CO"/>
        </w:rPr>
        <w:t xml:space="preserve"> </w:t>
      </w:r>
      <w:r>
        <w:rPr>
          <w:rFonts w:cs="Arial"/>
          <w:lang w:val="es-CO"/>
        </w:rPr>
        <w:t>sobre</w:t>
      </w:r>
      <w:r>
        <w:rPr>
          <w:rFonts w:cs="Arial"/>
          <w:spacing w:val="20"/>
          <w:lang w:val="es-CO"/>
        </w:rPr>
        <w:t xml:space="preserve"> </w:t>
      </w:r>
      <w:r>
        <w:rPr>
          <w:rFonts w:cs="Arial"/>
          <w:lang w:val="es-CO"/>
        </w:rPr>
        <w:t>la</w:t>
      </w:r>
      <w:r>
        <w:rPr>
          <w:rFonts w:cs="Arial"/>
          <w:spacing w:val="5"/>
          <w:lang w:val="es-CO"/>
        </w:rPr>
        <w:t xml:space="preserve"> </w:t>
      </w:r>
      <w:r>
        <w:rPr>
          <w:rFonts w:cs="Arial"/>
          <w:lang w:val="es-CO"/>
        </w:rPr>
        <w:t>renta</w:t>
      </w:r>
      <w:r>
        <w:rPr>
          <w:rFonts w:cs="Arial"/>
          <w:spacing w:val="2"/>
          <w:lang w:val="es-CO"/>
        </w:rPr>
        <w:t xml:space="preserve"> </w:t>
      </w:r>
      <w:r>
        <w:rPr>
          <w:rFonts w:cs="Arial"/>
          <w:lang w:val="es-CO"/>
        </w:rPr>
        <w:t>y</w:t>
      </w:r>
      <w:r>
        <w:rPr>
          <w:rFonts w:cs="Arial"/>
          <w:spacing w:val="7"/>
          <w:lang w:val="es-CO"/>
        </w:rPr>
        <w:t xml:space="preserve"> </w:t>
      </w:r>
      <w:r>
        <w:rPr>
          <w:rFonts w:cs="Arial"/>
          <w:lang w:val="es-CO"/>
        </w:rPr>
        <w:t>complementario,</w:t>
      </w:r>
      <w:r>
        <w:rPr>
          <w:rFonts w:cs="Arial"/>
          <w:spacing w:val="34"/>
          <w:lang w:val="es-CO"/>
        </w:rPr>
        <w:t xml:space="preserve"> </w:t>
      </w:r>
      <w:r>
        <w:rPr>
          <w:rFonts w:cs="Arial"/>
          <w:lang w:val="es-CO"/>
        </w:rPr>
        <w:t>a cargo</w:t>
      </w:r>
      <w:r>
        <w:rPr>
          <w:rFonts w:cs="Arial"/>
          <w:spacing w:val="7"/>
          <w:lang w:val="es-CO"/>
        </w:rPr>
        <w:t xml:space="preserve"> </w:t>
      </w:r>
      <w:r>
        <w:rPr>
          <w:rFonts w:cs="Arial"/>
          <w:lang w:val="es-CO"/>
        </w:rPr>
        <w:t>de</w:t>
      </w:r>
      <w:r>
        <w:rPr>
          <w:rFonts w:cs="Arial"/>
          <w:spacing w:val="13"/>
          <w:lang w:val="es-CO"/>
        </w:rPr>
        <w:t xml:space="preserve"> </w:t>
      </w:r>
      <w:r>
        <w:rPr>
          <w:rFonts w:cs="Arial"/>
          <w:lang w:val="es-CO"/>
        </w:rPr>
        <w:t>los</w:t>
      </w:r>
      <w:r>
        <w:rPr>
          <w:rFonts w:cs="Arial"/>
          <w:spacing w:val="65"/>
          <w:lang w:val="es-CO"/>
        </w:rPr>
        <w:t xml:space="preserve"> </w:t>
      </w:r>
      <w:r>
        <w:rPr>
          <w:rFonts w:cs="Arial"/>
          <w:lang w:val="es-CO"/>
        </w:rPr>
        <w:t>contribuyentes</w:t>
      </w:r>
      <w:r>
        <w:rPr>
          <w:rFonts w:cs="Arial"/>
          <w:spacing w:val="23"/>
          <w:lang w:val="es-CO"/>
        </w:rPr>
        <w:t xml:space="preserve"> </w:t>
      </w:r>
      <w:r>
        <w:rPr>
          <w:rFonts w:cs="Arial"/>
          <w:lang w:val="es-CO"/>
        </w:rPr>
        <w:t>no</w:t>
      </w:r>
      <w:r>
        <w:rPr>
          <w:rFonts w:cs="Arial"/>
          <w:w w:val="99"/>
          <w:lang w:val="es-CO"/>
        </w:rPr>
        <w:t xml:space="preserve"> </w:t>
      </w:r>
      <w:r>
        <w:rPr>
          <w:rFonts w:cs="Arial"/>
          <w:lang w:val="es-CO"/>
        </w:rPr>
        <w:t>obligados</w:t>
      </w:r>
      <w:r>
        <w:rPr>
          <w:rFonts w:cs="Arial"/>
          <w:spacing w:val="31"/>
          <w:lang w:val="es-CO"/>
        </w:rPr>
        <w:t xml:space="preserve"> </w:t>
      </w:r>
      <w:r>
        <w:rPr>
          <w:rFonts w:cs="Arial"/>
          <w:lang w:val="es-CO"/>
        </w:rPr>
        <w:t>a</w:t>
      </w:r>
      <w:r>
        <w:rPr>
          <w:rFonts w:cs="Arial"/>
          <w:spacing w:val="10"/>
          <w:lang w:val="es-CO"/>
        </w:rPr>
        <w:t xml:space="preserve"> </w:t>
      </w:r>
      <w:r>
        <w:rPr>
          <w:rFonts w:cs="Arial"/>
          <w:lang w:val="es-CO"/>
        </w:rPr>
        <w:t>declarar,</w:t>
      </w:r>
      <w:r>
        <w:rPr>
          <w:rFonts w:cs="Arial"/>
          <w:spacing w:val="23"/>
          <w:lang w:val="es-CO"/>
        </w:rPr>
        <w:t xml:space="preserve"> </w:t>
      </w:r>
      <w:r>
        <w:rPr>
          <w:rFonts w:cs="Arial"/>
          <w:lang w:val="es-CO"/>
        </w:rPr>
        <w:t>es</w:t>
      </w:r>
      <w:r>
        <w:rPr>
          <w:rFonts w:cs="Arial"/>
          <w:spacing w:val="7"/>
          <w:lang w:val="es-CO"/>
        </w:rPr>
        <w:t xml:space="preserve"> </w:t>
      </w:r>
      <w:r>
        <w:rPr>
          <w:rFonts w:cs="Arial"/>
          <w:lang w:val="es-CO"/>
        </w:rPr>
        <w:t>el</w:t>
      </w:r>
      <w:r>
        <w:rPr>
          <w:rFonts w:cs="Arial"/>
          <w:spacing w:val="-1"/>
          <w:lang w:val="es-CO"/>
        </w:rPr>
        <w:t xml:space="preserve"> </w:t>
      </w:r>
      <w:r>
        <w:rPr>
          <w:rFonts w:cs="Arial"/>
          <w:lang w:val="es-CO"/>
        </w:rPr>
        <w:t>que</w:t>
      </w:r>
      <w:r>
        <w:rPr>
          <w:rFonts w:cs="Arial"/>
          <w:spacing w:val="23"/>
          <w:lang w:val="es-CO"/>
        </w:rPr>
        <w:t xml:space="preserve"> </w:t>
      </w:r>
      <w:r>
        <w:rPr>
          <w:rFonts w:cs="Arial"/>
          <w:lang w:val="es-CO"/>
        </w:rPr>
        <w:t>resulte</w:t>
      </w:r>
      <w:r>
        <w:rPr>
          <w:rFonts w:cs="Arial"/>
          <w:spacing w:val="2"/>
          <w:lang w:val="es-CO"/>
        </w:rPr>
        <w:t xml:space="preserve"> </w:t>
      </w:r>
      <w:r>
        <w:rPr>
          <w:rFonts w:cs="Arial"/>
          <w:lang w:val="es-CO"/>
        </w:rPr>
        <w:t>de</w:t>
      </w:r>
      <w:r>
        <w:rPr>
          <w:rFonts w:cs="Arial"/>
          <w:spacing w:val="4"/>
          <w:lang w:val="es-CO"/>
        </w:rPr>
        <w:t xml:space="preserve"> </w:t>
      </w:r>
      <w:r>
        <w:rPr>
          <w:rFonts w:cs="Arial"/>
          <w:lang w:val="es-CO"/>
        </w:rPr>
        <w:t>sumar</w:t>
      </w:r>
      <w:r>
        <w:rPr>
          <w:rFonts w:cs="Arial"/>
          <w:spacing w:val="27"/>
          <w:lang w:val="es-CO"/>
        </w:rPr>
        <w:t xml:space="preserve"> </w:t>
      </w:r>
      <w:r>
        <w:rPr>
          <w:rFonts w:cs="Arial"/>
          <w:lang w:val="es-CO"/>
        </w:rPr>
        <w:t>las</w:t>
      </w:r>
      <w:r>
        <w:rPr>
          <w:rFonts w:cs="Arial"/>
          <w:spacing w:val="8"/>
          <w:lang w:val="es-CO"/>
        </w:rPr>
        <w:t xml:space="preserve"> </w:t>
      </w:r>
      <w:r>
        <w:rPr>
          <w:rFonts w:cs="Arial"/>
          <w:lang w:val="es-CO"/>
        </w:rPr>
        <w:t>retenciones</w:t>
      </w:r>
      <w:r>
        <w:rPr>
          <w:rFonts w:cs="Arial"/>
          <w:spacing w:val="19"/>
          <w:lang w:val="es-CO"/>
        </w:rPr>
        <w:t xml:space="preserve"> </w:t>
      </w:r>
      <w:r>
        <w:rPr>
          <w:rFonts w:cs="Arial"/>
          <w:lang w:val="es-CO"/>
        </w:rPr>
        <w:t>en</w:t>
      </w:r>
      <w:r>
        <w:rPr>
          <w:rFonts w:cs="Arial"/>
          <w:spacing w:val="11"/>
          <w:lang w:val="es-CO"/>
        </w:rPr>
        <w:t xml:space="preserve"> </w:t>
      </w:r>
      <w:r>
        <w:rPr>
          <w:rFonts w:cs="Arial"/>
          <w:lang w:val="es-CO"/>
        </w:rPr>
        <w:t>la</w:t>
      </w:r>
      <w:r>
        <w:rPr>
          <w:rFonts w:cs="Arial"/>
          <w:spacing w:val="4"/>
          <w:lang w:val="es-CO"/>
        </w:rPr>
        <w:t xml:space="preserve"> </w:t>
      </w:r>
      <w:r>
        <w:rPr>
          <w:rFonts w:cs="Arial"/>
          <w:lang w:val="es-CO"/>
        </w:rPr>
        <w:t>fuente</w:t>
      </w:r>
      <w:r>
        <w:rPr>
          <w:rFonts w:cs="Arial"/>
          <w:spacing w:val="26"/>
          <w:lang w:val="es-CO"/>
        </w:rPr>
        <w:t xml:space="preserve"> </w:t>
      </w:r>
      <w:r>
        <w:rPr>
          <w:rFonts w:cs="Arial"/>
          <w:lang w:val="es-CO"/>
        </w:rPr>
        <w:t>por</w:t>
      </w:r>
      <w:r>
        <w:rPr>
          <w:rFonts w:cs="Arial"/>
          <w:spacing w:val="-2"/>
          <w:lang w:val="es-CO"/>
        </w:rPr>
        <w:t xml:space="preserve"> </w:t>
      </w:r>
      <w:r>
        <w:rPr>
          <w:rFonts w:cs="Arial"/>
          <w:lang w:val="es-CO"/>
        </w:rPr>
        <w:t>todo concepto</w:t>
      </w:r>
      <w:r>
        <w:rPr>
          <w:rFonts w:cs="Arial"/>
          <w:spacing w:val="7"/>
          <w:lang w:val="es-CO"/>
        </w:rPr>
        <w:t xml:space="preserve"> </w:t>
      </w:r>
      <w:r>
        <w:rPr>
          <w:rFonts w:cs="Arial"/>
          <w:lang w:val="es-CO"/>
        </w:rPr>
        <w:t>que</w:t>
      </w:r>
      <w:r>
        <w:rPr>
          <w:rFonts w:cs="Arial"/>
          <w:spacing w:val="66"/>
          <w:lang w:val="es-CO"/>
        </w:rPr>
        <w:t xml:space="preserve"> </w:t>
      </w:r>
      <w:r>
        <w:rPr>
          <w:rFonts w:cs="Arial"/>
          <w:lang w:val="es-CO"/>
        </w:rPr>
        <w:t>deban</w:t>
      </w:r>
      <w:r>
        <w:rPr>
          <w:rFonts w:cs="Arial"/>
          <w:spacing w:val="12"/>
          <w:lang w:val="es-CO"/>
        </w:rPr>
        <w:t xml:space="preserve"> </w:t>
      </w:r>
      <w:r>
        <w:rPr>
          <w:rFonts w:cs="Arial"/>
          <w:lang w:val="es-CO"/>
        </w:rPr>
        <w:t>aplicarse</w:t>
      </w:r>
      <w:r>
        <w:rPr>
          <w:rFonts w:cs="Arial"/>
          <w:spacing w:val="15"/>
          <w:lang w:val="es-CO"/>
        </w:rPr>
        <w:t xml:space="preserve"> </w:t>
      </w:r>
      <w:r>
        <w:rPr>
          <w:rFonts w:cs="Arial"/>
          <w:lang w:val="es-CO"/>
        </w:rPr>
        <w:t>a</w:t>
      </w:r>
      <w:r>
        <w:rPr>
          <w:rFonts w:cs="Arial"/>
          <w:spacing w:val="5"/>
          <w:lang w:val="es-CO"/>
        </w:rPr>
        <w:t xml:space="preserve"> </w:t>
      </w:r>
      <w:r>
        <w:rPr>
          <w:rFonts w:cs="Arial"/>
          <w:lang w:val="es-CO"/>
        </w:rPr>
        <w:t>los</w:t>
      </w:r>
      <w:r>
        <w:rPr>
          <w:rFonts w:cs="Arial"/>
          <w:spacing w:val="4"/>
          <w:lang w:val="es-CO"/>
        </w:rPr>
        <w:t xml:space="preserve"> </w:t>
      </w:r>
      <w:r>
        <w:rPr>
          <w:rFonts w:cs="Arial"/>
          <w:lang w:val="es-CO"/>
        </w:rPr>
        <w:t>pagos</w:t>
      </w:r>
      <w:r>
        <w:rPr>
          <w:rFonts w:cs="Arial"/>
          <w:spacing w:val="64"/>
          <w:lang w:val="es-CO"/>
        </w:rPr>
        <w:t xml:space="preserve"> </w:t>
      </w:r>
      <w:r>
        <w:rPr>
          <w:rFonts w:cs="Arial"/>
          <w:lang w:val="es-CO"/>
        </w:rPr>
        <w:t>o</w:t>
      </w:r>
      <w:r>
        <w:rPr>
          <w:rFonts w:cs="Arial"/>
          <w:spacing w:val="2"/>
          <w:lang w:val="es-CO"/>
        </w:rPr>
        <w:t xml:space="preserve"> </w:t>
      </w:r>
      <w:r>
        <w:rPr>
          <w:rFonts w:cs="Arial"/>
          <w:lang w:val="es-CO"/>
        </w:rPr>
        <w:t>abonos</w:t>
      </w:r>
      <w:r>
        <w:rPr>
          <w:rFonts w:cs="Arial"/>
          <w:spacing w:val="9"/>
          <w:lang w:val="es-CO"/>
        </w:rPr>
        <w:t xml:space="preserve"> </w:t>
      </w:r>
      <w:r>
        <w:rPr>
          <w:rFonts w:cs="Arial"/>
          <w:lang w:val="es-CO"/>
        </w:rPr>
        <w:t>en</w:t>
      </w:r>
      <w:r>
        <w:rPr>
          <w:rFonts w:cs="Arial"/>
          <w:spacing w:val="62"/>
          <w:lang w:val="es-CO"/>
        </w:rPr>
        <w:t xml:space="preserve"> </w:t>
      </w:r>
      <w:r>
        <w:rPr>
          <w:rFonts w:cs="Arial"/>
          <w:lang w:val="es-CO"/>
        </w:rPr>
        <w:t>cuenta,</w:t>
      </w:r>
      <w:r>
        <w:rPr>
          <w:rFonts w:cs="Arial"/>
          <w:spacing w:val="12"/>
          <w:lang w:val="es-CO"/>
        </w:rPr>
        <w:t xml:space="preserve"> </w:t>
      </w:r>
      <w:r>
        <w:rPr>
          <w:rFonts w:cs="Arial"/>
          <w:lang w:val="es-CO"/>
        </w:rPr>
        <w:t>según el</w:t>
      </w:r>
      <w:r>
        <w:rPr>
          <w:rFonts w:cs="Arial"/>
          <w:spacing w:val="60"/>
          <w:lang w:val="es-CO"/>
        </w:rPr>
        <w:t xml:space="preserve"> </w:t>
      </w:r>
      <w:r>
        <w:rPr>
          <w:rFonts w:cs="Arial"/>
          <w:lang w:val="es-CO"/>
        </w:rPr>
        <w:t>caso,</w:t>
      </w:r>
      <w:r>
        <w:rPr>
          <w:rFonts w:cs="Arial"/>
          <w:w w:val="99"/>
          <w:lang w:val="es-CO"/>
        </w:rPr>
        <w:t xml:space="preserve"> </w:t>
      </w:r>
      <w:r>
        <w:rPr>
          <w:rFonts w:cs="Arial"/>
          <w:lang w:val="es-CO"/>
        </w:rPr>
        <w:t>realizados</w:t>
      </w:r>
      <w:r>
        <w:rPr>
          <w:rFonts w:cs="Arial"/>
          <w:spacing w:val="4"/>
          <w:lang w:val="es-CO"/>
        </w:rPr>
        <w:t xml:space="preserve"> </w:t>
      </w:r>
      <w:r>
        <w:rPr>
          <w:rFonts w:cs="Arial"/>
          <w:lang w:val="es-CO"/>
        </w:rPr>
        <w:t>al</w:t>
      </w:r>
      <w:r>
        <w:rPr>
          <w:rFonts w:cs="Arial"/>
          <w:spacing w:val="-7"/>
          <w:lang w:val="es-CO"/>
        </w:rPr>
        <w:t xml:space="preserve"> </w:t>
      </w:r>
      <w:r>
        <w:rPr>
          <w:rFonts w:cs="Arial"/>
          <w:lang w:val="es-CO"/>
        </w:rPr>
        <w:t>contribuyente</w:t>
      </w:r>
      <w:r>
        <w:rPr>
          <w:rFonts w:cs="Arial"/>
          <w:spacing w:val="12"/>
          <w:lang w:val="es-CO"/>
        </w:rPr>
        <w:t xml:space="preserve"> </w:t>
      </w:r>
      <w:r>
        <w:rPr>
          <w:rFonts w:cs="Arial"/>
          <w:lang w:val="es-CO"/>
        </w:rPr>
        <w:t>durante</w:t>
      </w:r>
      <w:r>
        <w:rPr>
          <w:rFonts w:cs="Arial"/>
          <w:spacing w:val="4"/>
          <w:lang w:val="es-CO"/>
        </w:rPr>
        <w:t xml:space="preserve"> </w:t>
      </w:r>
      <w:r>
        <w:rPr>
          <w:rFonts w:cs="Arial"/>
          <w:lang w:val="es-CO"/>
        </w:rPr>
        <w:t>el</w:t>
      </w:r>
      <w:r>
        <w:rPr>
          <w:rFonts w:cs="Arial"/>
          <w:spacing w:val="-9"/>
          <w:lang w:val="es-CO"/>
        </w:rPr>
        <w:t xml:space="preserve"> </w:t>
      </w:r>
      <w:r>
        <w:rPr>
          <w:rFonts w:cs="Arial"/>
          <w:lang w:val="es-CO"/>
        </w:rPr>
        <w:t>respectivo</w:t>
      </w:r>
      <w:r>
        <w:rPr>
          <w:rFonts w:cs="Arial"/>
          <w:spacing w:val="2"/>
          <w:lang w:val="es-CO"/>
        </w:rPr>
        <w:t xml:space="preserve"> </w:t>
      </w:r>
      <w:r>
        <w:rPr>
          <w:rFonts w:cs="Arial"/>
          <w:lang w:val="es-CO"/>
        </w:rPr>
        <w:t>año</w:t>
      </w:r>
      <w:r>
        <w:rPr>
          <w:rFonts w:cs="Arial"/>
          <w:spacing w:val="-6"/>
          <w:lang w:val="es-CO"/>
        </w:rPr>
        <w:t xml:space="preserve"> </w:t>
      </w:r>
      <w:r>
        <w:rPr>
          <w:rFonts w:cs="Arial"/>
          <w:lang w:val="es-CO"/>
        </w:rPr>
        <w:t>o</w:t>
      </w:r>
      <w:r>
        <w:rPr>
          <w:rFonts w:cs="Arial"/>
          <w:spacing w:val="-5"/>
          <w:lang w:val="es-CO"/>
        </w:rPr>
        <w:t xml:space="preserve"> </w:t>
      </w:r>
      <w:r>
        <w:rPr>
          <w:rFonts w:cs="Arial"/>
          <w:lang w:val="es-CO"/>
        </w:rPr>
        <w:t>período</w:t>
      </w:r>
      <w:r>
        <w:rPr>
          <w:rFonts w:cs="Arial"/>
          <w:spacing w:val="-3"/>
          <w:lang w:val="es-CO"/>
        </w:rPr>
        <w:t xml:space="preserve"> </w:t>
      </w:r>
      <w:r>
        <w:rPr>
          <w:rFonts w:cs="Arial"/>
          <w:lang w:val="es-CO"/>
        </w:rPr>
        <w:t>gravable.</w:t>
      </w:r>
    </w:p>
    <w:p w14:paraId="1150F6E4" w14:textId="77777777" w:rsidR="00B2442D" w:rsidRDefault="00B2442D">
      <w:pPr>
        <w:spacing w:line="40" w:lineRule="atLeast"/>
        <w:ind w:right="-30"/>
        <w:jc w:val="both"/>
        <w:rPr>
          <w:rFonts w:ascii="Arial" w:hAnsi="Arial" w:cs="Arial"/>
          <w:lang w:val="es-CO"/>
        </w:rPr>
      </w:pPr>
    </w:p>
    <w:p w14:paraId="6A1C4DE9" w14:textId="77777777" w:rsidR="00B2442D" w:rsidRDefault="008A645F">
      <w:pPr>
        <w:pStyle w:val="Textoindependiente"/>
        <w:spacing w:line="40" w:lineRule="atLeast"/>
        <w:ind w:right="-30"/>
        <w:jc w:val="both"/>
        <w:rPr>
          <w:rFonts w:cs="Arial"/>
          <w:lang w:val="es-CO"/>
        </w:rPr>
      </w:pPr>
      <w:r>
        <w:rPr>
          <w:rFonts w:cs="Arial"/>
          <w:lang w:val="es-CO"/>
        </w:rPr>
        <w:t>Las</w:t>
      </w:r>
      <w:r>
        <w:rPr>
          <w:rFonts w:cs="Arial"/>
          <w:spacing w:val="26"/>
          <w:lang w:val="es-CO"/>
        </w:rPr>
        <w:t xml:space="preserve"> </w:t>
      </w:r>
      <w:r>
        <w:rPr>
          <w:rFonts w:cs="Arial"/>
          <w:lang w:val="es-CO"/>
        </w:rPr>
        <w:t>personas</w:t>
      </w:r>
      <w:r>
        <w:rPr>
          <w:rFonts w:cs="Arial"/>
          <w:spacing w:val="40"/>
          <w:lang w:val="es-CO"/>
        </w:rPr>
        <w:t xml:space="preserve"> </w:t>
      </w:r>
      <w:r>
        <w:rPr>
          <w:rFonts w:cs="Arial"/>
          <w:lang w:val="es-CO"/>
        </w:rPr>
        <w:t>naturales</w:t>
      </w:r>
      <w:r>
        <w:rPr>
          <w:rFonts w:cs="Arial"/>
          <w:spacing w:val="44"/>
          <w:lang w:val="es-CO"/>
        </w:rPr>
        <w:t xml:space="preserve"> </w:t>
      </w:r>
      <w:r>
        <w:rPr>
          <w:rFonts w:cs="Arial"/>
          <w:lang w:val="es-CO"/>
        </w:rPr>
        <w:t>residentes</w:t>
      </w:r>
      <w:r>
        <w:rPr>
          <w:rFonts w:cs="Arial"/>
          <w:spacing w:val="37"/>
          <w:lang w:val="es-CO"/>
        </w:rPr>
        <w:t xml:space="preserve"> </w:t>
      </w:r>
      <w:r>
        <w:rPr>
          <w:rFonts w:cs="Arial"/>
          <w:lang w:val="es-CO"/>
        </w:rPr>
        <w:t>en</w:t>
      </w:r>
      <w:r>
        <w:rPr>
          <w:rFonts w:cs="Arial"/>
          <w:spacing w:val="28"/>
          <w:lang w:val="es-CO"/>
        </w:rPr>
        <w:t xml:space="preserve"> </w:t>
      </w:r>
      <w:r>
        <w:rPr>
          <w:rFonts w:cs="Arial"/>
          <w:lang w:val="es-CO"/>
        </w:rPr>
        <w:t>el</w:t>
      </w:r>
      <w:r>
        <w:rPr>
          <w:rFonts w:cs="Arial"/>
          <w:spacing w:val="30"/>
          <w:lang w:val="es-CO"/>
        </w:rPr>
        <w:t xml:space="preserve"> </w:t>
      </w:r>
      <w:r>
        <w:rPr>
          <w:rFonts w:cs="Arial"/>
          <w:lang w:val="es-CO"/>
        </w:rPr>
        <w:t>país</w:t>
      </w:r>
      <w:r>
        <w:rPr>
          <w:rFonts w:cs="Arial"/>
          <w:spacing w:val="26"/>
          <w:lang w:val="es-CO"/>
        </w:rPr>
        <w:t xml:space="preserve"> </w:t>
      </w:r>
      <w:r>
        <w:rPr>
          <w:rFonts w:cs="Arial"/>
          <w:lang w:val="es-CO"/>
        </w:rPr>
        <w:t>a</w:t>
      </w:r>
      <w:r>
        <w:rPr>
          <w:rFonts w:cs="Arial"/>
          <w:spacing w:val="27"/>
          <w:lang w:val="es-CO"/>
        </w:rPr>
        <w:t xml:space="preserve"> </w:t>
      </w:r>
      <w:r>
        <w:rPr>
          <w:rFonts w:cs="Arial"/>
          <w:lang w:val="es-CO"/>
        </w:rPr>
        <w:t>quienes</w:t>
      </w:r>
      <w:r>
        <w:rPr>
          <w:rFonts w:cs="Arial"/>
          <w:spacing w:val="47"/>
          <w:lang w:val="es-CO"/>
        </w:rPr>
        <w:t xml:space="preserve"> </w:t>
      </w:r>
      <w:r>
        <w:rPr>
          <w:rFonts w:cs="Arial"/>
          <w:lang w:val="es-CO"/>
        </w:rPr>
        <w:t>les</w:t>
      </w:r>
      <w:r>
        <w:rPr>
          <w:rFonts w:cs="Arial"/>
          <w:spacing w:val="35"/>
          <w:lang w:val="es-CO"/>
        </w:rPr>
        <w:t xml:space="preserve"> </w:t>
      </w:r>
      <w:r>
        <w:rPr>
          <w:rFonts w:cs="Arial"/>
          <w:lang w:val="es-CO"/>
        </w:rPr>
        <w:t>hayan</w:t>
      </w:r>
      <w:r>
        <w:rPr>
          <w:rFonts w:cs="Arial"/>
          <w:spacing w:val="31"/>
          <w:lang w:val="es-CO"/>
        </w:rPr>
        <w:t xml:space="preserve"> </w:t>
      </w:r>
      <w:r>
        <w:rPr>
          <w:rFonts w:cs="Arial"/>
          <w:lang w:val="es-CO"/>
        </w:rPr>
        <w:t>practicado</w:t>
      </w:r>
      <w:r>
        <w:rPr>
          <w:rFonts w:cs="Arial"/>
          <w:w w:val="99"/>
          <w:lang w:val="es-CO"/>
        </w:rPr>
        <w:t xml:space="preserve"> </w:t>
      </w:r>
      <w:r>
        <w:rPr>
          <w:rFonts w:cs="Arial"/>
          <w:lang w:val="es-CO"/>
        </w:rPr>
        <w:t>retenciones</w:t>
      </w:r>
      <w:r>
        <w:rPr>
          <w:rFonts w:cs="Arial"/>
          <w:spacing w:val="39"/>
          <w:lang w:val="es-CO"/>
        </w:rPr>
        <w:t xml:space="preserve"> </w:t>
      </w:r>
      <w:r>
        <w:rPr>
          <w:rFonts w:cs="Arial"/>
          <w:lang w:val="es-CO"/>
        </w:rPr>
        <w:t>en</w:t>
      </w:r>
      <w:r>
        <w:rPr>
          <w:rFonts w:cs="Arial"/>
          <w:spacing w:val="25"/>
          <w:lang w:val="es-CO"/>
        </w:rPr>
        <w:t xml:space="preserve"> </w:t>
      </w:r>
      <w:r>
        <w:rPr>
          <w:rFonts w:cs="Arial"/>
          <w:lang w:val="es-CO"/>
        </w:rPr>
        <w:t>la</w:t>
      </w:r>
      <w:r>
        <w:rPr>
          <w:rFonts w:cs="Arial"/>
          <w:spacing w:val="8"/>
          <w:lang w:val="es-CO"/>
        </w:rPr>
        <w:t xml:space="preserve"> </w:t>
      </w:r>
      <w:r>
        <w:rPr>
          <w:rFonts w:cs="Arial"/>
          <w:lang w:val="es-CO"/>
        </w:rPr>
        <w:t>fuente</w:t>
      </w:r>
      <w:r>
        <w:rPr>
          <w:rFonts w:cs="Arial"/>
          <w:spacing w:val="29"/>
          <w:lang w:val="es-CO"/>
        </w:rPr>
        <w:t xml:space="preserve"> </w:t>
      </w:r>
      <w:r>
        <w:rPr>
          <w:rFonts w:cs="Arial"/>
          <w:lang w:val="es-CO"/>
        </w:rPr>
        <w:t>y</w:t>
      </w:r>
      <w:r>
        <w:rPr>
          <w:rFonts w:cs="Arial"/>
          <w:spacing w:val="21"/>
          <w:lang w:val="es-CO"/>
        </w:rPr>
        <w:t xml:space="preserve"> </w:t>
      </w:r>
      <w:r>
        <w:rPr>
          <w:rFonts w:cs="Arial"/>
          <w:lang w:val="es-CO"/>
        </w:rPr>
        <w:t>que</w:t>
      </w:r>
      <w:r>
        <w:rPr>
          <w:rFonts w:cs="Arial"/>
          <w:spacing w:val="19"/>
          <w:lang w:val="es-CO"/>
        </w:rPr>
        <w:t xml:space="preserve"> </w:t>
      </w:r>
      <w:r>
        <w:rPr>
          <w:rFonts w:cs="Arial"/>
          <w:lang w:val="es-CO"/>
        </w:rPr>
        <w:t>de</w:t>
      </w:r>
      <w:r>
        <w:rPr>
          <w:rFonts w:cs="Arial"/>
          <w:spacing w:val="22"/>
          <w:lang w:val="es-CO"/>
        </w:rPr>
        <w:t xml:space="preserve"> </w:t>
      </w:r>
      <w:r>
        <w:rPr>
          <w:rFonts w:cs="Arial"/>
          <w:lang w:val="es-CO"/>
        </w:rPr>
        <w:t>acuerdo</w:t>
      </w:r>
      <w:r>
        <w:rPr>
          <w:rFonts w:cs="Arial"/>
          <w:spacing w:val="35"/>
          <w:lang w:val="es-CO"/>
        </w:rPr>
        <w:t xml:space="preserve"> </w:t>
      </w:r>
      <w:r>
        <w:rPr>
          <w:rFonts w:cs="Arial"/>
          <w:lang w:val="es-CO"/>
        </w:rPr>
        <w:t>con</w:t>
      </w:r>
      <w:r>
        <w:rPr>
          <w:rFonts w:cs="Arial"/>
          <w:spacing w:val="30"/>
          <w:lang w:val="es-CO"/>
        </w:rPr>
        <w:t xml:space="preserve"> </w:t>
      </w:r>
      <w:r>
        <w:rPr>
          <w:rFonts w:cs="Arial"/>
          <w:lang w:val="es-CO"/>
        </w:rPr>
        <w:t>las</w:t>
      </w:r>
      <w:r>
        <w:rPr>
          <w:rFonts w:cs="Arial"/>
          <w:spacing w:val="17"/>
          <w:lang w:val="es-CO"/>
        </w:rPr>
        <w:t xml:space="preserve"> </w:t>
      </w:r>
      <w:r>
        <w:rPr>
          <w:rFonts w:cs="Arial"/>
          <w:lang w:val="es-CO"/>
        </w:rPr>
        <w:t>disposiciones</w:t>
      </w:r>
      <w:r>
        <w:rPr>
          <w:rFonts w:cs="Arial"/>
          <w:spacing w:val="38"/>
          <w:lang w:val="es-CO"/>
        </w:rPr>
        <w:t xml:space="preserve"> </w:t>
      </w:r>
      <w:r>
        <w:rPr>
          <w:rFonts w:cs="Arial"/>
          <w:lang w:val="es-CO"/>
        </w:rPr>
        <w:t>del</w:t>
      </w:r>
      <w:r>
        <w:rPr>
          <w:rFonts w:cs="Arial"/>
          <w:spacing w:val="29"/>
          <w:lang w:val="es-CO"/>
        </w:rPr>
        <w:t xml:space="preserve"> </w:t>
      </w:r>
      <w:r>
        <w:rPr>
          <w:rFonts w:cs="Arial"/>
          <w:lang w:val="es-CO"/>
        </w:rPr>
        <w:t>Estatuto</w:t>
      </w:r>
      <w:r>
        <w:rPr>
          <w:rFonts w:cs="Arial"/>
          <w:w w:val="98"/>
          <w:lang w:val="es-CO"/>
        </w:rPr>
        <w:t xml:space="preserve"> </w:t>
      </w:r>
      <w:r>
        <w:rPr>
          <w:rFonts w:cs="Arial"/>
          <w:lang w:val="es-CO"/>
        </w:rPr>
        <w:t>Tributario</w:t>
      </w:r>
      <w:r>
        <w:rPr>
          <w:rFonts w:cs="Arial"/>
          <w:spacing w:val="54"/>
          <w:lang w:val="es-CO"/>
        </w:rPr>
        <w:t xml:space="preserve"> </w:t>
      </w:r>
      <w:r>
        <w:rPr>
          <w:rFonts w:cs="Arial"/>
          <w:lang w:val="es-CO"/>
        </w:rPr>
        <w:t>no</w:t>
      </w:r>
      <w:r>
        <w:rPr>
          <w:rFonts w:cs="Arial"/>
          <w:spacing w:val="13"/>
          <w:lang w:val="es-CO"/>
        </w:rPr>
        <w:t xml:space="preserve"> </w:t>
      </w:r>
      <w:r>
        <w:rPr>
          <w:rFonts w:cs="Arial"/>
          <w:lang w:val="es-CO"/>
        </w:rPr>
        <w:t>estén</w:t>
      </w:r>
      <w:r>
        <w:rPr>
          <w:rFonts w:cs="Arial"/>
          <w:spacing w:val="35"/>
          <w:lang w:val="es-CO"/>
        </w:rPr>
        <w:t xml:space="preserve"> </w:t>
      </w:r>
      <w:r>
        <w:rPr>
          <w:rFonts w:cs="Arial"/>
          <w:lang w:val="es-CO"/>
        </w:rPr>
        <w:t>obligadas</w:t>
      </w:r>
      <w:r>
        <w:rPr>
          <w:rFonts w:cs="Arial"/>
          <w:spacing w:val="42"/>
          <w:lang w:val="es-CO"/>
        </w:rPr>
        <w:t xml:space="preserve"> </w:t>
      </w:r>
      <w:r>
        <w:rPr>
          <w:rFonts w:cs="Arial"/>
          <w:lang w:val="es-CO"/>
        </w:rPr>
        <w:t>a</w:t>
      </w:r>
      <w:r>
        <w:rPr>
          <w:rFonts w:cs="Arial"/>
          <w:spacing w:val="41"/>
          <w:lang w:val="es-CO"/>
        </w:rPr>
        <w:t xml:space="preserve"> </w:t>
      </w:r>
      <w:r>
        <w:rPr>
          <w:rFonts w:cs="Arial"/>
          <w:lang w:val="es-CO"/>
        </w:rPr>
        <w:t>presentar</w:t>
      </w:r>
      <w:r>
        <w:rPr>
          <w:rFonts w:cs="Arial"/>
          <w:spacing w:val="36"/>
          <w:lang w:val="es-CO"/>
        </w:rPr>
        <w:t xml:space="preserve"> </w:t>
      </w:r>
      <w:r>
        <w:rPr>
          <w:rFonts w:cs="Arial"/>
          <w:lang w:val="es-CO"/>
        </w:rPr>
        <w:t>declaración</w:t>
      </w:r>
      <w:r>
        <w:rPr>
          <w:rFonts w:cs="Arial"/>
          <w:spacing w:val="50"/>
          <w:lang w:val="es-CO"/>
        </w:rPr>
        <w:t xml:space="preserve"> </w:t>
      </w:r>
      <w:r>
        <w:rPr>
          <w:rFonts w:cs="Arial"/>
          <w:lang w:val="es-CO"/>
        </w:rPr>
        <w:t>del</w:t>
      </w:r>
      <w:r>
        <w:rPr>
          <w:rFonts w:cs="Arial"/>
          <w:spacing w:val="39"/>
          <w:lang w:val="es-CO"/>
        </w:rPr>
        <w:t xml:space="preserve"> </w:t>
      </w:r>
      <w:r>
        <w:rPr>
          <w:rFonts w:cs="Arial"/>
          <w:lang w:val="es-CO"/>
        </w:rPr>
        <w:t>impuesto</w:t>
      </w:r>
      <w:r>
        <w:rPr>
          <w:rFonts w:cs="Arial"/>
          <w:spacing w:val="33"/>
          <w:lang w:val="es-CO"/>
        </w:rPr>
        <w:t xml:space="preserve"> </w:t>
      </w:r>
      <w:r>
        <w:rPr>
          <w:rFonts w:cs="Arial"/>
          <w:lang w:val="es-CO"/>
        </w:rPr>
        <w:t>sobre</w:t>
      </w:r>
      <w:r>
        <w:rPr>
          <w:rFonts w:cs="Arial"/>
          <w:spacing w:val="47"/>
          <w:lang w:val="es-CO"/>
        </w:rPr>
        <w:t xml:space="preserve"> </w:t>
      </w:r>
      <w:r>
        <w:rPr>
          <w:rFonts w:cs="Arial"/>
          <w:lang w:val="es-CO"/>
        </w:rPr>
        <w:t>la</w:t>
      </w:r>
      <w:r>
        <w:rPr>
          <w:rFonts w:cs="Arial"/>
          <w:spacing w:val="30"/>
          <w:lang w:val="es-CO"/>
        </w:rPr>
        <w:t xml:space="preserve"> </w:t>
      </w:r>
      <w:r>
        <w:rPr>
          <w:rFonts w:cs="Arial"/>
          <w:lang w:val="es-CO"/>
        </w:rPr>
        <w:t>renta</w:t>
      </w:r>
      <w:r>
        <w:rPr>
          <w:rFonts w:cs="Arial"/>
          <w:spacing w:val="26"/>
          <w:lang w:val="es-CO"/>
        </w:rPr>
        <w:t xml:space="preserve"> </w:t>
      </w:r>
      <w:r>
        <w:rPr>
          <w:rFonts w:cs="Arial"/>
          <w:lang w:val="es-CO"/>
        </w:rPr>
        <w:t>y</w:t>
      </w:r>
      <w:r>
        <w:rPr>
          <w:rFonts w:cs="Arial"/>
          <w:w w:val="104"/>
          <w:lang w:val="es-CO"/>
        </w:rPr>
        <w:t xml:space="preserve"> </w:t>
      </w:r>
      <w:r>
        <w:rPr>
          <w:rFonts w:cs="Arial"/>
          <w:lang w:val="es-CO"/>
        </w:rPr>
        <w:t>complementario,</w:t>
      </w:r>
      <w:r>
        <w:rPr>
          <w:rFonts w:cs="Arial"/>
          <w:spacing w:val="61"/>
          <w:lang w:val="es-CO"/>
        </w:rPr>
        <w:t xml:space="preserve"> </w:t>
      </w:r>
      <w:r>
        <w:rPr>
          <w:rFonts w:cs="Arial"/>
          <w:lang w:val="es-CO"/>
        </w:rPr>
        <w:t>podrán</w:t>
      </w:r>
      <w:r>
        <w:rPr>
          <w:rFonts w:cs="Arial"/>
          <w:spacing w:val="29"/>
          <w:lang w:val="es-CO"/>
        </w:rPr>
        <w:t xml:space="preserve"> </w:t>
      </w:r>
      <w:r>
        <w:rPr>
          <w:rFonts w:cs="Arial"/>
          <w:lang w:val="es-CO"/>
        </w:rPr>
        <w:t>presentarla.</w:t>
      </w:r>
      <w:r>
        <w:rPr>
          <w:rFonts w:cs="Arial"/>
          <w:spacing w:val="38"/>
          <w:lang w:val="es-CO"/>
        </w:rPr>
        <w:t xml:space="preserve"> </w:t>
      </w:r>
      <w:r>
        <w:rPr>
          <w:rFonts w:cs="Arial"/>
          <w:lang w:val="es-CO"/>
        </w:rPr>
        <w:t>Dicha</w:t>
      </w:r>
      <w:r>
        <w:rPr>
          <w:rFonts w:cs="Arial"/>
          <w:spacing w:val="20"/>
          <w:lang w:val="es-CO"/>
        </w:rPr>
        <w:t xml:space="preserve"> </w:t>
      </w:r>
      <w:r>
        <w:rPr>
          <w:rFonts w:cs="Arial"/>
          <w:lang w:val="es-CO"/>
        </w:rPr>
        <w:t>declaración</w:t>
      </w:r>
      <w:r>
        <w:rPr>
          <w:rFonts w:cs="Arial"/>
          <w:spacing w:val="31"/>
          <w:lang w:val="es-CO"/>
        </w:rPr>
        <w:t xml:space="preserve"> </w:t>
      </w:r>
      <w:r>
        <w:rPr>
          <w:rFonts w:cs="Arial"/>
          <w:lang w:val="es-CO"/>
        </w:rPr>
        <w:t>produce</w:t>
      </w:r>
      <w:r>
        <w:rPr>
          <w:rFonts w:cs="Arial"/>
          <w:spacing w:val="20"/>
          <w:lang w:val="es-CO"/>
        </w:rPr>
        <w:t xml:space="preserve"> </w:t>
      </w:r>
      <w:r>
        <w:rPr>
          <w:rFonts w:cs="Arial"/>
          <w:lang w:val="es-CO"/>
        </w:rPr>
        <w:t>efectos</w:t>
      </w:r>
      <w:r>
        <w:rPr>
          <w:rFonts w:cs="Arial"/>
          <w:spacing w:val="34"/>
          <w:lang w:val="es-CO"/>
        </w:rPr>
        <w:t xml:space="preserve"> </w:t>
      </w:r>
      <w:r>
        <w:rPr>
          <w:rFonts w:cs="Arial"/>
          <w:lang w:val="es-CO"/>
        </w:rPr>
        <w:t>legales</w:t>
      </w:r>
      <w:r>
        <w:rPr>
          <w:rFonts w:cs="Arial"/>
          <w:spacing w:val="15"/>
          <w:lang w:val="es-CO"/>
        </w:rPr>
        <w:t xml:space="preserve"> </w:t>
      </w:r>
      <w:r>
        <w:rPr>
          <w:rFonts w:cs="Arial"/>
          <w:lang w:val="es-CO"/>
        </w:rPr>
        <w:t>y</w:t>
      </w:r>
      <w:r>
        <w:rPr>
          <w:rFonts w:cs="Arial"/>
          <w:spacing w:val="32"/>
          <w:lang w:val="es-CO"/>
        </w:rPr>
        <w:t xml:space="preserve"> </w:t>
      </w:r>
      <w:r>
        <w:rPr>
          <w:rFonts w:cs="Arial"/>
          <w:lang w:val="es-CO"/>
        </w:rPr>
        <w:t>se</w:t>
      </w:r>
      <w:r>
        <w:rPr>
          <w:rFonts w:cs="Arial"/>
          <w:w w:val="98"/>
          <w:lang w:val="es-CO"/>
        </w:rPr>
        <w:t xml:space="preserve"> </w:t>
      </w:r>
      <w:r>
        <w:rPr>
          <w:rFonts w:cs="Arial"/>
          <w:lang w:val="es-CO"/>
        </w:rPr>
        <w:t>regirá</w:t>
      </w:r>
      <w:r>
        <w:rPr>
          <w:rFonts w:cs="Arial"/>
          <w:spacing w:val="6"/>
          <w:lang w:val="es-CO"/>
        </w:rPr>
        <w:t xml:space="preserve"> </w:t>
      </w:r>
      <w:r>
        <w:rPr>
          <w:rFonts w:cs="Arial"/>
          <w:lang w:val="es-CO"/>
        </w:rPr>
        <w:t>por</w:t>
      </w:r>
      <w:r>
        <w:rPr>
          <w:rFonts w:cs="Arial"/>
          <w:spacing w:val="5"/>
          <w:lang w:val="es-CO"/>
        </w:rPr>
        <w:t xml:space="preserve"> </w:t>
      </w:r>
      <w:r>
        <w:rPr>
          <w:rFonts w:cs="Arial"/>
          <w:lang w:val="es-CO"/>
        </w:rPr>
        <w:t>lo</w:t>
      </w:r>
      <w:r>
        <w:rPr>
          <w:rFonts w:cs="Arial"/>
          <w:spacing w:val="-11"/>
          <w:lang w:val="es-CO"/>
        </w:rPr>
        <w:t xml:space="preserve"> </w:t>
      </w:r>
      <w:r>
        <w:rPr>
          <w:rFonts w:cs="Arial"/>
          <w:lang w:val="es-CO"/>
        </w:rPr>
        <w:t>dispuesto</w:t>
      </w:r>
      <w:r>
        <w:rPr>
          <w:rFonts w:cs="Arial"/>
          <w:spacing w:val="3"/>
          <w:lang w:val="es-CO"/>
        </w:rPr>
        <w:t xml:space="preserve"> </w:t>
      </w:r>
      <w:r>
        <w:rPr>
          <w:rFonts w:cs="Arial"/>
          <w:lang w:val="es-CO"/>
        </w:rPr>
        <w:t>en</w:t>
      </w:r>
      <w:r>
        <w:rPr>
          <w:rFonts w:cs="Arial"/>
          <w:spacing w:val="-2"/>
          <w:lang w:val="es-CO"/>
        </w:rPr>
        <w:t xml:space="preserve"> </w:t>
      </w:r>
      <w:r>
        <w:rPr>
          <w:rFonts w:cs="Arial"/>
          <w:lang w:val="es-CO"/>
        </w:rPr>
        <w:t>el Libro</w:t>
      </w:r>
      <w:r>
        <w:rPr>
          <w:rFonts w:cs="Arial"/>
          <w:spacing w:val="8"/>
          <w:lang w:val="es-CO"/>
        </w:rPr>
        <w:t xml:space="preserve"> I</w:t>
      </w:r>
      <w:r>
        <w:rPr>
          <w:rFonts w:cs="Arial"/>
          <w:spacing w:val="9"/>
          <w:w w:val="80"/>
          <w:lang w:val="es-CO"/>
        </w:rPr>
        <w:t xml:space="preserve"> </w:t>
      </w:r>
      <w:r>
        <w:rPr>
          <w:rFonts w:cs="Arial"/>
          <w:lang w:val="es-CO"/>
        </w:rPr>
        <w:t>del mencionado</w:t>
      </w:r>
      <w:r>
        <w:rPr>
          <w:rFonts w:cs="Arial"/>
          <w:spacing w:val="14"/>
          <w:lang w:val="es-CO"/>
        </w:rPr>
        <w:t xml:space="preserve"> </w:t>
      </w:r>
      <w:r>
        <w:rPr>
          <w:rFonts w:cs="Arial"/>
          <w:lang w:val="es-CO"/>
        </w:rPr>
        <w:t>Estatut</w:t>
      </w:r>
      <w:r>
        <w:rPr>
          <w:rFonts w:cs="Arial"/>
          <w:spacing w:val="9"/>
          <w:lang w:val="es-CO"/>
        </w:rPr>
        <w:t>o</w:t>
      </w:r>
      <w:r>
        <w:rPr>
          <w:rFonts w:cs="Arial"/>
          <w:lang w:val="es-CO"/>
        </w:rPr>
        <w:t>.</w:t>
      </w:r>
    </w:p>
    <w:p w14:paraId="5AE5CF9D" w14:textId="77777777" w:rsidR="00B2442D" w:rsidRDefault="00B2442D">
      <w:pPr>
        <w:spacing w:line="40" w:lineRule="atLeast"/>
        <w:ind w:right="-30"/>
        <w:jc w:val="both"/>
        <w:rPr>
          <w:rFonts w:ascii="Arial" w:hAnsi="Arial" w:cs="Arial"/>
          <w:lang w:val="es-CO"/>
        </w:rPr>
      </w:pPr>
    </w:p>
    <w:p w14:paraId="3D5AB06C" w14:textId="77777777" w:rsidR="00B2442D" w:rsidRDefault="008A645F">
      <w:pPr>
        <w:jc w:val="both"/>
        <w:rPr>
          <w:rFonts w:ascii="Arial" w:hAnsi="Arial" w:cs="Arial"/>
          <w:i/>
          <w:lang w:val="es-ES_tradnl"/>
        </w:rPr>
      </w:pPr>
      <w:r>
        <w:rPr>
          <w:rFonts w:ascii="Arial" w:hAnsi="Arial" w:cs="Arial"/>
          <w:i/>
          <w:lang w:val="es-ES_tradnl"/>
        </w:rPr>
        <w:t xml:space="preserve">(Art. 52, Decreto 2243 de 2015) (Plazos 2015: Decreto 2623 de 2014; plazos 2014: Decreto 2972 de 2013 y Decreto 685 de 2014; plazos 2013: Decreto 2634 de 2012 y Decreto 0187 de 2013; plazos 2012: Decreto 4907 de 2011; plazos 2011: Decreto </w:t>
      </w:r>
      <w:r>
        <w:rPr>
          <w:rFonts w:ascii="Arial" w:hAnsi="Arial" w:cs="Arial"/>
          <w:i/>
          <w:lang w:val="es-ES_tradnl"/>
        </w:rPr>
        <w:t>4836 de 2010 y Decreto 1358 de 2011)</w:t>
      </w:r>
    </w:p>
    <w:p w14:paraId="5B2EF8C6" w14:textId="77777777" w:rsidR="00B2442D" w:rsidRDefault="00B2442D">
      <w:pPr>
        <w:spacing w:line="40" w:lineRule="atLeast"/>
        <w:ind w:right="-30"/>
        <w:jc w:val="both"/>
        <w:rPr>
          <w:rFonts w:ascii="Arial" w:hAnsi="Arial" w:cs="Arial"/>
          <w:lang w:val="es-CO"/>
        </w:rPr>
      </w:pPr>
    </w:p>
    <w:p w14:paraId="340AA018" w14:textId="77777777" w:rsidR="00B2442D" w:rsidRDefault="008A645F">
      <w:pPr>
        <w:tabs>
          <w:tab w:val="left" w:pos="144"/>
        </w:tabs>
        <w:autoSpaceDE w:val="0"/>
        <w:autoSpaceDN w:val="0"/>
        <w:adjustRightInd w:val="0"/>
        <w:spacing w:line="40" w:lineRule="atLeast"/>
        <w:jc w:val="both"/>
        <w:rPr>
          <w:rFonts w:ascii="Arial" w:hAnsi="Arial" w:cs="Arial"/>
        </w:rPr>
      </w:pPr>
      <w:r>
        <w:rPr>
          <w:rFonts w:ascii="Arial" w:hAnsi="Arial" w:cs="Arial"/>
          <w:b/>
          <w:i/>
        </w:rPr>
        <w:t>Artículo 1.6.1.13.2.</w:t>
      </w:r>
      <w:r>
        <w:rPr>
          <w:rFonts w:ascii="Arial" w:hAnsi="Arial" w:cs="Arial"/>
          <w:b/>
          <w:bCs/>
          <w:i/>
        </w:rPr>
        <w:t>53.</w:t>
      </w:r>
      <w:r>
        <w:rPr>
          <w:rFonts w:ascii="Arial" w:hAnsi="Arial" w:cs="Arial"/>
          <w:b/>
          <w:i/>
          <w:color w:val="000000"/>
        </w:rPr>
        <w:t xml:space="preserve"> S</w:t>
      </w:r>
      <w:r>
        <w:rPr>
          <w:rFonts w:ascii="Arial" w:hAnsi="Arial" w:cs="Arial"/>
          <w:b/>
          <w:bCs/>
          <w:i/>
        </w:rPr>
        <w:t>obretasa al impuesto sobre la renta y complementario.</w:t>
      </w:r>
      <w:r>
        <w:rPr>
          <w:rFonts w:ascii="Arial" w:hAnsi="Arial" w:cs="Arial"/>
          <w:b/>
          <w:bCs/>
        </w:rPr>
        <w:t xml:space="preserve"> </w:t>
      </w:r>
      <w:r>
        <w:rPr>
          <w:rFonts w:ascii="Arial" w:hAnsi="Arial" w:cs="Arial"/>
          <w:color w:val="000000"/>
        </w:rPr>
        <w:t xml:space="preserve">Por el </w:t>
      </w:r>
      <w:r>
        <w:rPr>
          <w:rFonts w:ascii="Arial" w:hAnsi="Arial" w:cs="Arial"/>
        </w:rPr>
        <w:t xml:space="preserve">período gravable 2017, los contribuyentes señalados en el artículo 100 de la Ley 1819 de 2016, tendrán a cargo la sobretasa al </w:t>
      </w:r>
      <w:r>
        <w:rPr>
          <w:rFonts w:ascii="Arial" w:hAnsi="Arial" w:cs="Arial"/>
        </w:rPr>
        <w:t>impuesto sobre la renta y complementario establecida en parágrafo transitorio 2 del mismo artículo.</w:t>
      </w:r>
    </w:p>
    <w:p w14:paraId="16AC7C3B" w14:textId="77777777" w:rsidR="00B2442D" w:rsidRDefault="00B2442D">
      <w:pPr>
        <w:tabs>
          <w:tab w:val="left" w:pos="144"/>
        </w:tabs>
        <w:autoSpaceDE w:val="0"/>
        <w:autoSpaceDN w:val="0"/>
        <w:adjustRightInd w:val="0"/>
        <w:spacing w:line="40" w:lineRule="atLeast"/>
        <w:ind w:left="720"/>
        <w:jc w:val="both"/>
        <w:rPr>
          <w:rFonts w:ascii="Arial" w:hAnsi="Arial" w:cs="Arial"/>
          <w:highlight w:val="yellow"/>
        </w:rPr>
      </w:pPr>
    </w:p>
    <w:p w14:paraId="7226B028" w14:textId="77777777" w:rsidR="00B2442D" w:rsidRDefault="008A645F">
      <w:pPr>
        <w:pStyle w:val="Textocomentario"/>
        <w:jc w:val="both"/>
        <w:rPr>
          <w:rFonts w:ascii="Arial" w:hAnsi="Arial" w:cs="Arial"/>
          <w:sz w:val="24"/>
          <w:szCs w:val="24"/>
        </w:rPr>
      </w:pPr>
      <w:r>
        <w:rPr>
          <w:rFonts w:ascii="Arial" w:hAnsi="Arial" w:cs="Arial"/>
          <w:sz w:val="24"/>
          <w:szCs w:val="24"/>
        </w:rPr>
        <w:t>La sobretasa al impuesto sobre la renta y complementario del período gravable 2017 está sujeta a un anticipo del ciento por ciento (100%) del valor de la m</w:t>
      </w:r>
      <w:r>
        <w:rPr>
          <w:rFonts w:ascii="Arial" w:hAnsi="Arial" w:cs="Arial"/>
          <w:sz w:val="24"/>
          <w:szCs w:val="24"/>
        </w:rPr>
        <w:t xml:space="preserve">isma, que se liquidará en la declaración del impuesto sobre la renta y complementario del año gravable 2016. </w:t>
      </w:r>
    </w:p>
    <w:p w14:paraId="5140EEBC" w14:textId="77777777" w:rsidR="00B2442D" w:rsidRDefault="00B2442D">
      <w:pPr>
        <w:pStyle w:val="Textocomentario"/>
        <w:ind w:left="720"/>
        <w:jc w:val="both"/>
        <w:rPr>
          <w:rFonts w:ascii="Arial" w:hAnsi="Arial" w:cs="Arial"/>
          <w:sz w:val="24"/>
          <w:szCs w:val="24"/>
        </w:rPr>
      </w:pPr>
    </w:p>
    <w:p w14:paraId="4313740B" w14:textId="77777777" w:rsidR="00B2442D" w:rsidRDefault="008A645F">
      <w:pPr>
        <w:pStyle w:val="Textocomentario"/>
        <w:jc w:val="both"/>
        <w:rPr>
          <w:rFonts w:ascii="Arial" w:hAnsi="Arial" w:cs="Arial"/>
          <w:sz w:val="24"/>
          <w:szCs w:val="24"/>
        </w:rPr>
      </w:pPr>
      <w:r>
        <w:rPr>
          <w:rFonts w:ascii="Arial" w:hAnsi="Arial" w:cs="Arial"/>
          <w:sz w:val="24"/>
          <w:szCs w:val="24"/>
        </w:rPr>
        <w:t>Para calcular el anticipo por el año gravable 2017, el contribuyente debe tomar la base gravable del impuesto sobre la renta y complementario del</w:t>
      </w:r>
      <w:r>
        <w:rPr>
          <w:rFonts w:ascii="Arial" w:hAnsi="Arial" w:cs="Arial"/>
          <w:sz w:val="24"/>
          <w:szCs w:val="24"/>
        </w:rPr>
        <w:t xml:space="preserve"> año gravable 2016 y aplicar la tarifa prevista en el parágrafo transitorio 2 del artículo 100 de la Ley 1819 de 2016.</w:t>
      </w:r>
    </w:p>
    <w:p w14:paraId="5C57AA5A" w14:textId="77777777" w:rsidR="00B2442D" w:rsidRDefault="00B2442D">
      <w:pPr>
        <w:pStyle w:val="Textocomentario"/>
        <w:ind w:left="720"/>
        <w:jc w:val="both"/>
        <w:rPr>
          <w:rFonts w:ascii="Arial" w:hAnsi="Arial" w:cs="Arial"/>
          <w:sz w:val="24"/>
          <w:szCs w:val="24"/>
        </w:rPr>
      </w:pPr>
    </w:p>
    <w:p w14:paraId="2A2F2F2A" w14:textId="77777777" w:rsidR="00B2442D" w:rsidRDefault="008A645F">
      <w:pPr>
        <w:autoSpaceDE w:val="0"/>
        <w:autoSpaceDN w:val="0"/>
        <w:adjustRightInd w:val="0"/>
        <w:spacing w:line="40" w:lineRule="atLeast"/>
        <w:jc w:val="both"/>
        <w:rPr>
          <w:rFonts w:ascii="Arial" w:hAnsi="Arial" w:cs="Arial"/>
          <w:color w:val="000000"/>
        </w:rPr>
      </w:pPr>
      <w:r>
        <w:rPr>
          <w:rFonts w:ascii="Arial" w:hAnsi="Arial" w:cs="Arial"/>
        </w:rPr>
        <w:t>El anticipo de la sobretasa del impuesto sobre la renta y complementario por el año gravable 2017, deberá liquidarse y pagarse en la dec</w:t>
      </w:r>
      <w:r>
        <w:rPr>
          <w:rFonts w:ascii="Arial" w:hAnsi="Arial" w:cs="Arial"/>
        </w:rPr>
        <w:t xml:space="preserve">laración del impuesto sobre la renta y complementario año gravable 2016, en dos cuotas iguales anuales, </w:t>
      </w:r>
      <w:r>
        <w:rPr>
          <w:rFonts w:ascii="Arial" w:hAnsi="Arial" w:cs="Arial"/>
          <w:color w:val="000000"/>
        </w:rPr>
        <w:t>en las fechas que se indican a continuación, atendiendo el tipo de declarante y el último o dos dígitos del NIT que conste en el certificado del Registr</w:t>
      </w:r>
      <w:r>
        <w:rPr>
          <w:rFonts w:ascii="Arial" w:hAnsi="Arial" w:cs="Arial"/>
          <w:color w:val="000000"/>
        </w:rPr>
        <w:t>o Único Tributario - RUT, sin tener en cuenta el dígito de verificación, así:</w:t>
      </w:r>
    </w:p>
    <w:p w14:paraId="6F312A62" w14:textId="77777777" w:rsidR="00B2442D" w:rsidRDefault="00B2442D">
      <w:pPr>
        <w:autoSpaceDE w:val="0"/>
        <w:autoSpaceDN w:val="0"/>
        <w:adjustRightInd w:val="0"/>
        <w:spacing w:line="40" w:lineRule="atLeast"/>
        <w:ind w:left="720"/>
        <w:jc w:val="both"/>
        <w:rPr>
          <w:rFonts w:ascii="Arial" w:hAnsi="Arial" w:cs="Arial"/>
          <w:color w:val="000000"/>
        </w:rPr>
      </w:pPr>
    </w:p>
    <w:p w14:paraId="4C33E06C" w14:textId="77777777" w:rsidR="00B2442D" w:rsidRDefault="008A645F">
      <w:pPr>
        <w:autoSpaceDE w:val="0"/>
        <w:autoSpaceDN w:val="0"/>
        <w:adjustRightInd w:val="0"/>
        <w:spacing w:line="40" w:lineRule="atLeast"/>
        <w:jc w:val="both"/>
        <w:rPr>
          <w:rFonts w:ascii="Arial" w:hAnsi="Arial" w:cs="Arial"/>
          <w:b/>
          <w:color w:val="000000"/>
        </w:rPr>
      </w:pPr>
      <w:r>
        <w:rPr>
          <w:rFonts w:ascii="Arial" w:hAnsi="Arial" w:cs="Arial"/>
          <w:b/>
          <w:color w:val="000000"/>
        </w:rPr>
        <w:t>GRANDES CONTRIBUYENTES</w:t>
      </w:r>
    </w:p>
    <w:p w14:paraId="7D355B95" w14:textId="77777777" w:rsidR="00B2442D" w:rsidRDefault="00B2442D">
      <w:pPr>
        <w:autoSpaceDE w:val="0"/>
        <w:autoSpaceDN w:val="0"/>
        <w:adjustRightInd w:val="0"/>
        <w:ind w:left="720"/>
        <w:jc w:val="both"/>
        <w:rPr>
          <w:rFonts w:ascii="Arial" w:hAnsi="Arial" w:cs="Arial"/>
          <w:b/>
          <w:lang w:val="es-CO" w:eastAsia="es-CO"/>
        </w:rPr>
      </w:pPr>
    </w:p>
    <w:p w14:paraId="030766DB" w14:textId="77777777" w:rsidR="00B2442D" w:rsidRDefault="008A645F">
      <w:pPr>
        <w:autoSpaceDE w:val="0"/>
        <w:autoSpaceDN w:val="0"/>
        <w:adjustRightInd w:val="0"/>
        <w:ind w:left="720"/>
        <w:jc w:val="both"/>
        <w:rPr>
          <w:rFonts w:ascii="Arial" w:hAnsi="Arial" w:cs="Arial"/>
          <w:b/>
          <w:lang w:val="es-CO" w:eastAsia="es-CO"/>
        </w:rPr>
      </w:pPr>
      <w:r>
        <w:rPr>
          <w:rFonts w:ascii="Arial" w:hAnsi="Arial" w:cs="Arial"/>
          <w:b/>
          <w:lang w:val="es-CO" w:eastAsia="es-CO"/>
        </w:rPr>
        <w:t>DECLARACIÓN Y PAGO ANTICIPO SOBRETASA PRIMERA CUOTA</w:t>
      </w:r>
    </w:p>
    <w:p w14:paraId="4E019F9F" w14:textId="77777777" w:rsidR="00B2442D" w:rsidRDefault="00B2442D">
      <w:pPr>
        <w:autoSpaceDE w:val="0"/>
        <w:autoSpaceDN w:val="0"/>
        <w:adjustRightInd w:val="0"/>
        <w:spacing w:line="40" w:lineRule="atLeast"/>
        <w:ind w:left="720"/>
        <w:jc w:val="both"/>
        <w:rPr>
          <w:rFonts w:ascii="Arial" w:hAnsi="Arial" w:cs="Arial"/>
          <w:color w:val="000000"/>
          <w:lang w:val="es-CO"/>
        </w:rPr>
      </w:pPr>
    </w:p>
    <w:tbl>
      <w:tblPr>
        <w:tblW w:w="4000" w:type="dxa"/>
        <w:jc w:val="center"/>
        <w:tblCellMar>
          <w:left w:w="70" w:type="dxa"/>
          <w:right w:w="70" w:type="dxa"/>
        </w:tblCellMar>
        <w:tblLook w:val="04A0" w:firstRow="1" w:lastRow="0" w:firstColumn="1" w:lastColumn="0" w:noHBand="0" w:noVBand="1"/>
      </w:tblPr>
      <w:tblGrid>
        <w:gridCol w:w="1200"/>
        <w:gridCol w:w="2800"/>
      </w:tblGrid>
      <w:tr w:rsidR="00B2442D" w14:paraId="47644A8C" w14:textId="77777777">
        <w:trPr>
          <w:trHeight w:val="345"/>
          <w:tblHeader/>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F557C38"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800" w:type="dxa"/>
            <w:tcBorders>
              <w:top w:val="single" w:sz="8" w:space="0" w:color="auto"/>
              <w:left w:val="nil"/>
              <w:bottom w:val="nil"/>
              <w:right w:val="single" w:sz="8" w:space="0" w:color="auto"/>
            </w:tcBorders>
            <w:shd w:val="clear" w:color="000000" w:fill="BFBFBF"/>
            <w:noWrap/>
            <w:vAlign w:val="center"/>
            <w:hideMark/>
          </w:tcPr>
          <w:p w14:paraId="7D8B3892" w14:textId="77777777" w:rsidR="00B2442D" w:rsidRDefault="00B2442D">
            <w:pPr>
              <w:jc w:val="center"/>
              <w:rPr>
                <w:rFonts w:ascii="Arial" w:hAnsi="Arial" w:cs="Arial"/>
                <w:b/>
                <w:bCs/>
                <w:color w:val="000000"/>
                <w:lang w:val="es-CO" w:eastAsia="es-CO"/>
              </w:rPr>
            </w:pPr>
          </w:p>
          <w:p w14:paraId="61063D23"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4A290BC8" w14:textId="77777777">
        <w:trPr>
          <w:trHeight w:val="315"/>
          <w:tblHeader/>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D8CA6BC" w14:textId="77777777" w:rsidR="00B2442D" w:rsidRDefault="00B2442D">
            <w:pPr>
              <w:jc w:val="center"/>
              <w:rPr>
                <w:rFonts w:ascii="Arial" w:hAnsi="Arial" w:cs="Arial"/>
                <w:b/>
                <w:bCs/>
                <w:color w:val="000000"/>
                <w:lang w:val="es-CO" w:eastAsia="es-CO"/>
              </w:rPr>
            </w:pPr>
          </w:p>
        </w:tc>
        <w:tc>
          <w:tcPr>
            <w:tcW w:w="2800" w:type="dxa"/>
            <w:tcBorders>
              <w:top w:val="nil"/>
              <w:left w:val="nil"/>
              <w:bottom w:val="single" w:sz="8" w:space="0" w:color="auto"/>
              <w:right w:val="single" w:sz="8" w:space="0" w:color="auto"/>
            </w:tcBorders>
            <w:shd w:val="clear" w:color="000000" w:fill="BFBFBF"/>
            <w:noWrap/>
            <w:vAlign w:val="center"/>
            <w:hideMark/>
          </w:tcPr>
          <w:p w14:paraId="47E57E3F" w14:textId="77777777" w:rsidR="00B2442D" w:rsidRDefault="00B2442D">
            <w:pPr>
              <w:jc w:val="center"/>
              <w:rPr>
                <w:rFonts w:ascii="Arial" w:hAnsi="Arial" w:cs="Arial"/>
                <w:b/>
                <w:bCs/>
                <w:color w:val="000000"/>
                <w:lang w:val="es-CO" w:eastAsia="es-CO"/>
              </w:rPr>
            </w:pPr>
          </w:p>
        </w:tc>
      </w:tr>
      <w:tr w:rsidR="00B2442D" w14:paraId="05AD31D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3B5C9C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800" w:type="dxa"/>
            <w:tcBorders>
              <w:top w:val="nil"/>
              <w:left w:val="nil"/>
              <w:bottom w:val="single" w:sz="8" w:space="0" w:color="auto"/>
              <w:right w:val="single" w:sz="8" w:space="0" w:color="auto"/>
            </w:tcBorders>
            <w:shd w:val="clear" w:color="auto" w:fill="auto"/>
            <w:noWrap/>
            <w:vAlign w:val="center"/>
          </w:tcPr>
          <w:p w14:paraId="100AB42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abril de 2017</w:t>
            </w:r>
          </w:p>
        </w:tc>
      </w:tr>
      <w:tr w:rsidR="00B2442D" w14:paraId="74B5403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05E463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800" w:type="dxa"/>
            <w:tcBorders>
              <w:top w:val="nil"/>
              <w:left w:val="nil"/>
              <w:bottom w:val="single" w:sz="8" w:space="0" w:color="auto"/>
              <w:right w:val="single" w:sz="8" w:space="0" w:color="auto"/>
            </w:tcBorders>
            <w:shd w:val="clear" w:color="auto" w:fill="auto"/>
            <w:noWrap/>
            <w:vAlign w:val="center"/>
          </w:tcPr>
          <w:p w14:paraId="1BB7C9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abril de 2017</w:t>
            </w:r>
          </w:p>
        </w:tc>
      </w:tr>
      <w:tr w:rsidR="00B2442D" w14:paraId="34F2F7D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86D5DB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800" w:type="dxa"/>
            <w:tcBorders>
              <w:top w:val="nil"/>
              <w:left w:val="nil"/>
              <w:bottom w:val="single" w:sz="8" w:space="0" w:color="auto"/>
              <w:right w:val="single" w:sz="8" w:space="0" w:color="auto"/>
            </w:tcBorders>
            <w:shd w:val="clear" w:color="auto" w:fill="auto"/>
            <w:noWrap/>
            <w:vAlign w:val="center"/>
          </w:tcPr>
          <w:p w14:paraId="46B1FAE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17 de </w:t>
            </w:r>
            <w:r>
              <w:rPr>
                <w:rFonts w:ascii="Arial" w:hAnsi="Arial" w:cs="Arial"/>
                <w:color w:val="000000"/>
                <w:lang w:val="es-CO" w:eastAsia="es-CO"/>
              </w:rPr>
              <w:t>abril de 2017</w:t>
            </w:r>
          </w:p>
        </w:tc>
      </w:tr>
      <w:tr w:rsidR="00B2442D" w14:paraId="3EA0CEC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81B968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800" w:type="dxa"/>
            <w:tcBorders>
              <w:top w:val="nil"/>
              <w:left w:val="nil"/>
              <w:bottom w:val="single" w:sz="8" w:space="0" w:color="auto"/>
              <w:right w:val="single" w:sz="8" w:space="0" w:color="auto"/>
            </w:tcBorders>
            <w:shd w:val="clear" w:color="auto" w:fill="auto"/>
            <w:noWrap/>
            <w:vAlign w:val="center"/>
          </w:tcPr>
          <w:p w14:paraId="056995B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abril de 2017</w:t>
            </w:r>
          </w:p>
        </w:tc>
      </w:tr>
      <w:tr w:rsidR="00B2442D" w14:paraId="6DB4735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A290DC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800" w:type="dxa"/>
            <w:tcBorders>
              <w:top w:val="nil"/>
              <w:left w:val="nil"/>
              <w:bottom w:val="single" w:sz="8" w:space="0" w:color="auto"/>
              <w:right w:val="single" w:sz="8" w:space="0" w:color="auto"/>
            </w:tcBorders>
            <w:shd w:val="clear" w:color="auto" w:fill="auto"/>
            <w:noWrap/>
            <w:vAlign w:val="center"/>
          </w:tcPr>
          <w:p w14:paraId="54020CD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abril de 2017</w:t>
            </w:r>
          </w:p>
        </w:tc>
      </w:tr>
      <w:tr w:rsidR="00B2442D" w14:paraId="121D64A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EBACB5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800" w:type="dxa"/>
            <w:tcBorders>
              <w:top w:val="nil"/>
              <w:left w:val="nil"/>
              <w:bottom w:val="single" w:sz="8" w:space="0" w:color="auto"/>
              <w:right w:val="single" w:sz="8" w:space="0" w:color="auto"/>
            </w:tcBorders>
            <w:shd w:val="clear" w:color="auto" w:fill="auto"/>
            <w:noWrap/>
            <w:vAlign w:val="center"/>
          </w:tcPr>
          <w:p w14:paraId="1F18B67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abril de 2017</w:t>
            </w:r>
          </w:p>
        </w:tc>
      </w:tr>
      <w:tr w:rsidR="00B2442D" w14:paraId="1ED7172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CAB179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800" w:type="dxa"/>
            <w:tcBorders>
              <w:top w:val="nil"/>
              <w:left w:val="nil"/>
              <w:bottom w:val="single" w:sz="8" w:space="0" w:color="auto"/>
              <w:right w:val="single" w:sz="8" w:space="0" w:color="auto"/>
            </w:tcBorders>
            <w:shd w:val="clear" w:color="auto" w:fill="auto"/>
            <w:noWrap/>
            <w:vAlign w:val="center"/>
          </w:tcPr>
          <w:p w14:paraId="1AB4A2D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5A96277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C9FE3D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800" w:type="dxa"/>
            <w:tcBorders>
              <w:top w:val="nil"/>
              <w:left w:val="nil"/>
              <w:bottom w:val="single" w:sz="8" w:space="0" w:color="auto"/>
              <w:right w:val="single" w:sz="8" w:space="0" w:color="auto"/>
            </w:tcBorders>
            <w:shd w:val="clear" w:color="auto" w:fill="auto"/>
            <w:noWrap/>
            <w:vAlign w:val="center"/>
          </w:tcPr>
          <w:p w14:paraId="5CF5BE6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abril de 2017</w:t>
            </w:r>
          </w:p>
        </w:tc>
      </w:tr>
      <w:tr w:rsidR="00B2442D" w14:paraId="1D23FC3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D750D5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800" w:type="dxa"/>
            <w:tcBorders>
              <w:top w:val="nil"/>
              <w:left w:val="nil"/>
              <w:bottom w:val="single" w:sz="8" w:space="0" w:color="auto"/>
              <w:right w:val="single" w:sz="8" w:space="0" w:color="auto"/>
            </w:tcBorders>
            <w:shd w:val="clear" w:color="auto" w:fill="auto"/>
            <w:noWrap/>
            <w:vAlign w:val="center"/>
          </w:tcPr>
          <w:p w14:paraId="1E8CDDC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1E25D3AD"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88FD8A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800" w:type="dxa"/>
            <w:tcBorders>
              <w:top w:val="nil"/>
              <w:left w:val="nil"/>
              <w:bottom w:val="single" w:sz="8" w:space="0" w:color="auto"/>
              <w:right w:val="single" w:sz="8" w:space="0" w:color="auto"/>
            </w:tcBorders>
            <w:shd w:val="clear" w:color="auto" w:fill="auto"/>
            <w:noWrap/>
            <w:vAlign w:val="center"/>
          </w:tcPr>
          <w:p w14:paraId="117705C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bl>
    <w:p w14:paraId="2C365DA7" w14:textId="77777777" w:rsidR="00B2442D" w:rsidRDefault="00B2442D">
      <w:pPr>
        <w:ind w:left="720"/>
        <w:jc w:val="center"/>
        <w:rPr>
          <w:rFonts w:ascii="Arial" w:hAnsi="Arial" w:cs="Arial"/>
          <w:b/>
          <w:bCs/>
          <w:color w:val="000000"/>
          <w:lang w:val="es-CO" w:eastAsia="es-CO"/>
        </w:rPr>
      </w:pPr>
    </w:p>
    <w:p w14:paraId="3CB3A649" w14:textId="77777777" w:rsidR="00B2442D" w:rsidRDefault="00B2442D">
      <w:pPr>
        <w:ind w:left="720"/>
        <w:jc w:val="center"/>
        <w:rPr>
          <w:rFonts w:ascii="Arial" w:hAnsi="Arial" w:cs="Arial"/>
          <w:b/>
          <w:bCs/>
          <w:color w:val="000000"/>
          <w:lang w:val="es-CO" w:eastAsia="es-CO"/>
        </w:rPr>
      </w:pPr>
    </w:p>
    <w:p w14:paraId="52FF1775" w14:textId="77777777" w:rsidR="00B2442D" w:rsidRDefault="008A645F">
      <w:pPr>
        <w:ind w:left="720"/>
        <w:jc w:val="center"/>
        <w:rPr>
          <w:rFonts w:ascii="Arial" w:hAnsi="Arial" w:cs="Arial"/>
          <w:b/>
          <w:bCs/>
          <w:color w:val="000000"/>
          <w:lang w:val="es-CO" w:eastAsia="es-CO"/>
        </w:rPr>
      </w:pPr>
      <w:r>
        <w:rPr>
          <w:rFonts w:ascii="Arial" w:hAnsi="Arial" w:cs="Arial"/>
          <w:b/>
          <w:bCs/>
          <w:color w:val="000000"/>
          <w:lang w:val="es-CO" w:eastAsia="es-CO"/>
        </w:rPr>
        <w:t>SEGUNDA CUOTA</w:t>
      </w:r>
    </w:p>
    <w:p w14:paraId="1F33D4A6" w14:textId="77777777" w:rsidR="00B2442D" w:rsidRDefault="00B2442D">
      <w:pPr>
        <w:autoSpaceDE w:val="0"/>
        <w:autoSpaceDN w:val="0"/>
        <w:adjustRightInd w:val="0"/>
        <w:spacing w:line="40" w:lineRule="atLeast"/>
        <w:ind w:left="720"/>
        <w:jc w:val="center"/>
        <w:rPr>
          <w:rFonts w:ascii="Arial" w:hAnsi="Arial" w:cs="Arial"/>
          <w:b/>
          <w:color w:val="000000"/>
        </w:rPr>
      </w:pPr>
    </w:p>
    <w:tbl>
      <w:tblPr>
        <w:tblW w:w="3505" w:type="dxa"/>
        <w:jc w:val="center"/>
        <w:tblCellMar>
          <w:left w:w="70" w:type="dxa"/>
          <w:right w:w="70" w:type="dxa"/>
        </w:tblCellMar>
        <w:tblLook w:val="04A0" w:firstRow="1" w:lastRow="0" w:firstColumn="1" w:lastColumn="0" w:noHBand="0" w:noVBand="1"/>
      </w:tblPr>
      <w:tblGrid>
        <w:gridCol w:w="1200"/>
        <w:gridCol w:w="2305"/>
      </w:tblGrid>
      <w:tr w:rsidR="00B2442D" w14:paraId="0F5A1D62" w14:textId="77777777">
        <w:trPr>
          <w:trHeight w:val="515"/>
          <w:tblHeader/>
          <w:jc w:val="center"/>
        </w:trPr>
        <w:tc>
          <w:tcPr>
            <w:tcW w:w="1200" w:type="dxa"/>
            <w:tcBorders>
              <w:top w:val="single" w:sz="8" w:space="0" w:color="auto"/>
              <w:left w:val="single" w:sz="8" w:space="0" w:color="auto"/>
              <w:bottom w:val="single" w:sz="8" w:space="0" w:color="000000"/>
              <w:right w:val="single" w:sz="8" w:space="0" w:color="auto"/>
            </w:tcBorders>
            <w:shd w:val="clear" w:color="000000" w:fill="BFBFBF"/>
            <w:vAlign w:val="center"/>
            <w:hideMark/>
          </w:tcPr>
          <w:p w14:paraId="2271A26C"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2305" w:type="dxa"/>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7C70D2F6"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34EBDFC4"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F25EF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2305" w:type="dxa"/>
            <w:tcBorders>
              <w:top w:val="nil"/>
              <w:left w:val="nil"/>
              <w:bottom w:val="single" w:sz="8" w:space="0" w:color="auto"/>
              <w:right w:val="single" w:sz="8" w:space="0" w:color="auto"/>
            </w:tcBorders>
            <w:shd w:val="clear" w:color="auto" w:fill="auto"/>
            <w:noWrap/>
            <w:vAlign w:val="center"/>
          </w:tcPr>
          <w:p w14:paraId="3D5D073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junio de 2017</w:t>
            </w:r>
          </w:p>
        </w:tc>
      </w:tr>
      <w:tr w:rsidR="00B2442D" w14:paraId="3801B36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7F440E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2305" w:type="dxa"/>
            <w:tcBorders>
              <w:top w:val="nil"/>
              <w:left w:val="nil"/>
              <w:bottom w:val="single" w:sz="8" w:space="0" w:color="auto"/>
              <w:right w:val="single" w:sz="8" w:space="0" w:color="auto"/>
            </w:tcBorders>
            <w:shd w:val="clear" w:color="auto" w:fill="auto"/>
            <w:noWrap/>
            <w:vAlign w:val="center"/>
          </w:tcPr>
          <w:p w14:paraId="506B1B4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r>
              <w:rPr>
                <w:rFonts w:ascii="Arial" w:hAnsi="Arial" w:cs="Arial"/>
                <w:color w:val="000000"/>
                <w:lang w:val="es-CO" w:eastAsia="es-CO"/>
              </w:rPr>
              <w:t xml:space="preserve"> de junio de 2017</w:t>
            </w:r>
          </w:p>
        </w:tc>
      </w:tr>
      <w:tr w:rsidR="00B2442D" w14:paraId="23009C1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4C5CF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2305" w:type="dxa"/>
            <w:tcBorders>
              <w:top w:val="nil"/>
              <w:left w:val="nil"/>
              <w:bottom w:val="single" w:sz="8" w:space="0" w:color="auto"/>
              <w:right w:val="single" w:sz="8" w:space="0" w:color="auto"/>
            </w:tcBorders>
            <w:shd w:val="clear" w:color="auto" w:fill="auto"/>
            <w:noWrap/>
            <w:vAlign w:val="center"/>
          </w:tcPr>
          <w:p w14:paraId="70986FA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junio de 2017</w:t>
            </w:r>
          </w:p>
        </w:tc>
      </w:tr>
      <w:tr w:rsidR="00B2442D" w14:paraId="23FD9218"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9719F6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2305" w:type="dxa"/>
            <w:tcBorders>
              <w:top w:val="nil"/>
              <w:left w:val="nil"/>
              <w:bottom w:val="single" w:sz="8" w:space="0" w:color="auto"/>
              <w:right w:val="single" w:sz="8" w:space="0" w:color="auto"/>
            </w:tcBorders>
            <w:shd w:val="clear" w:color="auto" w:fill="auto"/>
            <w:noWrap/>
            <w:vAlign w:val="center"/>
          </w:tcPr>
          <w:p w14:paraId="46FE472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junio de 2017</w:t>
            </w:r>
          </w:p>
        </w:tc>
      </w:tr>
      <w:tr w:rsidR="00B2442D" w14:paraId="10C9CA7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1DA692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2305" w:type="dxa"/>
            <w:tcBorders>
              <w:top w:val="nil"/>
              <w:left w:val="nil"/>
              <w:bottom w:val="single" w:sz="8" w:space="0" w:color="auto"/>
              <w:right w:val="single" w:sz="8" w:space="0" w:color="auto"/>
            </w:tcBorders>
            <w:shd w:val="clear" w:color="auto" w:fill="auto"/>
            <w:noWrap/>
            <w:vAlign w:val="center"/>
          </w:tcPr>
          <w:p w14:paraId="4300CD1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junio de 2017</w:t>
            </w:r>
          </w:p>
        </w:tc>
      </w:tr>
      <w:tr w:rsidR="00B2442D" w14:paraId="50D6989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8693DE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2305" w:type="dxa"/>
            <w:tcBorders>
              <w:top w:val="nil"/>
              <w:left w:val="nil"/>
              <w:bottom w:val="single" w:sz="8" w:space="0" w:color="auto"/>
              <w:right w:val="single" w:sz="8" w:space="0" w:color="auto"/>
            </w:tcBorders>
            <w:shd w:val="clear" w:color="auto" w:fill="auto"/>
            <w:noWrap/>
            <w:vAlign w:val="center"/>
          </w:tcPr>
          <w:p w14:paraId="6877A3D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junio de 2017</w:t>
            </w:r>
          </w:p>
        </w:tc>
      </w:tr>
      <w:tr w:rsidR="00B2442D" w14:paraId="3A4644B9"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3A9FA3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2305" w:type="dxa"/>
            <w:tcBorders>
              <w:top w:val="nil"/>
              <w:left w:val="nil"/>
              <w:bottom w:val="single" w:sz="8" w:space="0" w:color="auto"/>
              <w:right w:val="single" w:sz="8" w:space="0" w:color="auto"/>
            </w:tcBorders>
            <w:shd w:val="clear" w:color="auto" w:fill="auto"/>
            <w:noWrap/>
            <w:vAlign w:val="center"/>
          </w:tcPr>
          <w:p w14:paraId="3AF0930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junio de 2017</w:t>
            </w:r>
          </w:p>
        </w:tc>
      </w:tr>
      <w:tr w:rsidR="00B2442D" w14:paraId="04C87BD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C72F5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2305" w:type="dxa"/>
            <w:tcBorders>
              <w:top w:val="nil"/>
              <w:left w:val="nil"/>
              <w:bottom w:val="single" w:sz="8" w:space="0" w:color="auto"/>
              <w:right w:val="single" w:sz="8" w:space="0" w:color="auto"/>
            </w:tcBorders>
            <w:shd w:val="clear" w:color="auto" w:fill="auto"/>
            <w:noWrap/>
            <w:vAlign w:val="center"/>
          </w:tcPr>
          <w:p w14:paraId="587111E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junio de 2017</w:t>
            </w:r>
          </w:p>
        </w:tc>
      </w:tr>
      <w:tr w:rsidR="00B2442D" w14:paraId="09F2F4AF"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A43FEC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2305" w:type="dxa"/>
            <w:tcBorders>
              <w:top w:val="nil"/>
              <w:left w:val="nil"/>
              <w:bottom w:val="single" w:sz="8" w:space="0" w:color="auto"/>
              <w:right w:val="single" w:sz="8" w:space="0" w:color="auto"/>
            </w:tcBorders>
            <w:shd w:val="clear" w:color="auto" w:fill="auto"/>
            <w:noWrap/>
            <w:vAlign w:val="center"/>
          </w:tcPr>
          <w:p w14:paraId="3D914AE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junio de 2017</w:t>
            </w:r>
          </w:p>
        </w:tc>
      </w:tr>
      <w:tr w:rsidR="00B2442D" w14:paraId="57D0EAD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8A1879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2305" w:type="dxa"/>
            <w:tcBorders>
              <w:top w:val="nil"/>
              <w:left w:val="nil"/>
              <w:bottom w:val="single" w:sz="8" w:space="0" w:color="auto"/>
              <w:right w:val="single" w:sz="8" w:space="0" w:color="auto"/>
            </w:tcBorders>
            <w:shd w:val="clear" w:color="auto" w:fill="auto"/>
            <w:noWrap/>
            <w:vAlign w:val="center"/>
          </w:tcPr>
          <w:p w14:paraId="77DC41B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junio de 2017</w:t>
            </w:r>
          </w:p>
        </w:tc>
      </w:tr>
    </w:tbl>
    <w:p w14:paraId="04CEBF62" w14:textId="77777777" w:rsidR="00B2442D" w:rsidRDefault="00B2442D">
      <w:pPr>
        <w:autoSpaceDE w:val="0"/>
        <w:autoSpaceDN w:val="0"/>
        <w:adjustRightInd w:val="0"/>
        <w:spacing w:line="40" w:lineRule="atLeast"/>
        <w:ind w:left="720"/>
        <w:jc w:val="center"/>
        <w:rPr>
          <w:rFonts w:ascii="Arial" w:hAnsi="Arial" w:cs="Arial"/>
          <w:b/>
          <w:color w:val="000000"/>
        </w:rPr>
      </w:pPr>
    </w:p>
    <w:p w14:paraId="0A90D4B1" w14:textId="77777777" w:rsidR="00B2442D" w:rsidRDefault="00B2442D">
      <w:pPr>
        <w:autoSpaceDE w:val="0"/>
        <w:autoSpaceDN w:val="0"/>
        <w:adjustRightInd w:val="0"/>
        <w:spacing w:line="40" w:lineRule="atLeast"/>
        <w:jc w:val="center"/>
        <w:rPr>
          <w:rFonts w:ascii="Arial" w:hAnsi="Arial" w:cs="Arial"/>
          <w:b/>
          <w:color w:val="000000"/>
        </w:rPr>
      </w:pPr>
    </w:p>
    <w:p w14:paraId="713C45B7" w14:textId="77777777" w:rsidR="00B2442D" w:rsidRDefault="008A645F">
      <w:pPr>
        <w:autoSpaceDE w:val="0"/>
        <w:autoSpaceDN w:val="0"/>
        <w:adjustRightInd w:val="0"/>
        <w:spacing w:line="40" w:lineRule="atLeast"/>
        <w:ind w:left="2160" w:firstLine="720"/>
        <w:jc w:val="center"/>
        <w:rPr>
          <w:rFonts w:ascii="Arial" w:hAnsi="Arial" w:cs="Arial"/>
          <w:b/>
          <w:color w:val="000000"/>
        </w:rPr>
      </w:pPr>
      <w:r>
        <w:rPr>
          <w:rFonts w:ascii="Arial" w:hAnsi="Arial" w:cs="Arial"/>
          <w:b/>
          <w:color w:val="000000"/>
        </w:rPr>
        <w:t>PERSONAS JURIDICAS</w:t>
      </w:r>
    </w:p>
    <w:p w14:paraId="304B7F42" w14:textId="77777777" w:rsidR="00B2442D" w:rsidRDefault="00B2442D">
      <w:pPr>
        <w:autoSpaceDE w:val="0"/>
        <w:autoSpaceDN w:val="0"/>
        <w:adjustRightInd w:val="0"/>
        <w:spacing w:line="40" w:lineRule="atLeast"/>
        <w:ind w:left="720"/>
        <w:jc w:val="center"/>
        <w:rPr>
          <w:rFonts w:ascii="Arial" w:hAnsi="Arial" w:cs="Arial"/>
          <w:b/>
          <w:color w:val="000000"/>
        </w:rPr>
      </w:pPr>
    </w:p>
    <w:p w14:paraId="5B5DD187" w14:textId="77777777" w:rsidR="00B2442D" w:rsidRDefault="008A645F">
      <w:pPr>
        <w:autoSpaceDE w:val="0"/>
        <w:autoSpaceDN w:val="0"/>
        <w:adjustRightInd w:val="0"/>
        <w:ind w:left="720"/>
        <w:jc w:val="center"/>
        <w:rPr>
          <w:rFonts w:ascii="Arial" w:hAnsi="Arial" w:cs="Arial"/>
          <w:b/>
          <w:lang w:val="es-CO" w:eastAsia="es-CO"/>
        </w:rPr>
      </w:pPr>
      <w:r>
        <w:rPr>
          <w:rFonts w:ascii="Arial" w:hAnsi="Arial" w:cs="Arial"/>
          <w:b/>
          <w:lang w:val="es-CO" w:eastAsia="es-CO"/>
        </w:rPr>
        <w:t xml:space="preserve">DECLARACIÓN Y PAGO </w:t>
      </w:r>
      <w:r>
        <w:rPr>
          <w:rFonts w:ascii="Arial" w:hAnsi="Arial" w:cs="Arial"/>
          <w:b/>
          <w:lang w:val="es-CO" w:eastAsia="es-CO"/>
        </w:rPr>
        <w:t>ANTICIPO SOBRETASA PRIMERA CUOTA</w:t>
      </w:r>
    </w:p>
    <w:p w14:paraId="393C1DFB" w14:textId="77777777" w:rsidR="00B2442D" w:rsidRDefault="00B2442D">
      <w:pPr>
        <w:autoSpaceDE w:val="0"/>
        <w:autoSpaceDN w:val="0"/>
        <w:adjustRightInd w:val="0"/>
        <w:spacing w:line="40" w:lineRule="atLeast"/>
        <w:ind w:left="720"/>
        <w:jc w:val="center"/>
        <w:rPr>
          <w:rFonts w:ascii="Arial" w:hAnsi="Arial" w:cs="Arial"/>
          <w:b/>
          <w:color w:val="000000"/>
          <w:lang w:val="es-CO"/>
        </w:rPr>
      </w:pPr>
    </w:p>
    <w:tbl>
      <w:tblPr>
        <w:tblW w:w="4540" w:type="dxa"/>
        <w:jc w:val="center"/>
        <w:tblCellMar>
          <w:left w:w="70" w:type="dxa"/>
          <w:right w:w="70" w:type="dxa"/>
        </w:tblCellMar>
        <w:tblLook w:val="04A0" w:firstRow="1" w:lastRow="0" w:firstColumn="1" w:lastColumn="0" w:noHBand="0" w:noVBand="1"/>
      </w:tblPr>
      <w:tblGrid>
        <w:gridCol w:w="1340"/>
        <w:gridCol w:w="3200"/>
      </w:tblGrid>
      <w:tr w:rsidR="00B2442D" w14:paraId="4FE1510D" w14:textId="77777777">
        <w:trPr>
          <w:trHeight w:val="517"/>
          <w:tblHeader/>
          <w:jc w:val="center"/>
        </w:trPr>
        <w:tc>
          <w:tcPr>
            <w:tcW w:w="134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5256FC47" w14:textId="77777777" w:rsidR="00B2442D" w:rsidRDefault="008A645F">
            <w:pPr>
              <w:jc w:val="center"/>
              <w:rPr>
                <w:rFonts w:ascii="Arial" w:hAnsi="Arial" w:cs="Arial"/>
                <w:b/>
                <w:bCs/>
                <w:color w:val="000000"/>
                <w:highlight w:val="yellow"/>
                <w:lang w:val="es-CO" w:eastAsia="es-CO"/>
              </w:rPr>
            </w:pPr>
            <w:r>
              <w:rPr>
                <w:rFonts w:ascii="Arial" w:hAnsi="Arial" w:cs="Arial"/>
                <w:b/>
                <w:bCs/>
                <w:color w:val="000000"/>
                <w:lang w:val="es-CO" w:eastAsia="es-CO"/>
              </w:rPr>
              <w:t>Si los dos últimos dígitos son</w:t>
            </w:r>
          </w:p>
        </w:tc>
        <w:tc>
          <w:tcPr>
            <w:tcW w:w="320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6E18FE51"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504CBB21" w14:textId="77777777">
        <w:trPr>
          <w:trHeight w:val="517"/>
          <w:tblHeader/>
          <w:jc w:val="center"/>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11EF41A8" w14:textId="77777777" w:rsidR="00B2442D" w:rsidRDefault="00B2442D">
            <w:pPr>
              <w:jc w:val="center"/>
              <w:rPr>
                <w:rFonts w:ascii="Arial" w:hAnsi="Arial" w:cs="Arial"/>
                <w:b/>
                <w:bCs/>
                <w:color w:val="000000"/>
                <w:highlight w:val="yellow"/>
                <w:lang w:val="es-CO" w:eastAsia="es-CO"/>
              </w:rPr>
            </w:pPr>
          </w:p>
        </w:tc>
        <w:tc>
          <w:tcPr>
            <w:tcW w:w="3200" w:type="dxa"/>
            <w:vMerge/>
            <w:tcBorders>
              <w:top w:val="single" w:sz="8" w:space="0" w:color="auto"/>
              <w:left w:val="single" w:sz="8" w:space="0" w:color="auto"/>
              <w:bottom w:val="single" w:sz="8" w:space="0" w:color="000000"/>
              <w:right w:val="single" w:sz="8" w:space="0" w:color="auto"/>
            </w:tcBorders>
            <w:vAlign w:val="center"/>
            <w:hideMark/>
          </w:tcPr>
          <w:p w14:paraId="22B68D05" w14:textId="77777777" w:rsidR="00B2442D" w:rsidRDefault="00B2442D">
            <w:pPr>
              <w:jc w:val="center"/>
              <w:rPr>
                <w:rFonts w:ascii="Arial" w:hAnsi="Arial" w:cs="Arial"/>
                <w:b/>
                <w:bCs/>
                <w:color w:val="000000"/>
                <w:lang w:val="es-CO" w:eastAsia="es-CO"/>
              </w:rPr>
            </w:pPr>
          </w:p>
        </w:tc>
      </w:tr>
      <w:tr w:rsidR="00B2442D" w14:paraId="611E3936"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AB3B150" w14:textId="77777777" w:rsidR="00B2442D" w:rsidRDefault="008A645F">
            <w:pPr>
              <w:jc w:val="center"/>
              <w:rPr>
                <w:rFonts w:ascii="Arial" w:hAnsi="Arial" w:cs="Arial"/>
                <w:color w:val="000000"/>
                <w:lang w:val="es-CO" w:eastAsia="es-CO"/>
              </w:rPr>
            </w:pPr>
            <w:r>
              <w:rPr>
                <w:rFonts w:ascii="Arial" w:hAnsi="Arial" w:cs="Arial"/>
                <w:color w:val="000000"/>
              </w:rPr>
              <w:t>96 al 00</w:t>
            </w:r>
          </w:p>
        </w:tc>
        <w:tc>
          <w:tcPr>
            <w:tcW w:w="3200" w:type="dxa"/>
            <w:tcBorders>
              <w:top w:val="nil"/>
              <w:left w:val="nil"/>
              <w:bottom w:val="single" w:sz="8" w:space="0" w:color="auto"/>
              <w:right w:val="single" w:sz="8" w:space="0" w:color="auto"/>
            </w:tcBorders>
            <w:shd w:val="clear" w:color="auto" w:fill="auto"/>
            <w:noWrap/>
            <w:vAlign w:val="center"/>
          </w:tcPr>
          <w:p w14:paraId="4AA6191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abril de 2017</w:t>
            </w:r>
          </w:p>
        </w:tc>
      </w:tr>
      <w:tr w:rsidR="00B2442D" w14:paraId="48506A27"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F85B7FD" w14:textId="77777777" w:rsidR="00B2442D" w:rsidRDefault="008A645F">
            <w:pPr>
              <w:jc w:val="center"/>
              <w:rPr>
                <w:rFonts w:ascii="Arial" w:hAnsi="Arial" w:cs="Arial"/>
                <w:color w:val="000000"/>
              </w:rPr>
            </w:pPr>
            <w:r>
              <w:rPr>
                <w:rFonts w:ascii="Arial" w:hAnsi="Arial" w:cs="Arial"/>
                <w:color w:val="000000"/>
              </w:rPr>
              <w:t>91 al 95</w:t>
            </w:r>
          </w:p>
        </w:tc>
        <w:tc>
          <w:tcPr>
            <w:tcW w:w="3200" w:type="dxa"/>
            <w:tcBorders>
              <w:top w:val="nil"/>
              <w:left w:val="nil"/>
              <w:bottom w:val="single" w:sz="8" w:space="0" w:color="auto"/>
              <w:right w:val="single" w:sz="8" w:space="0" w:color="auto"/>
            </w:tcBorders>
            <w:shd w:val="clear" w:color="auto" w:fill="auto"/>
            <w:noWrap/>
            <w:vAlign w:val="center"/>
          </w:tcPr>
          <w:p w14:paraId="27F049E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abril de 2017</w:t>
            </w:r>
          </w:p>
        </w:tc>
      </w:tr>
      <w:tr w:rsidR="00B2442D" w14:paraId="7854236D"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0053355" w14:textId="77777777" w:rsidR="00B2442D" w:rsidRDefault="008A645F">
            <w:pPr>
              <w:jc w:val="center"/>
              <w:rPr>
                <w:rFonts w:ascii="Arial" w:hAnsi="Arial" w:cs="Arial"/>
                <w:color w:val="000000"/>
              </w:rPr>
            </w:pPr>
            <w:r>
              <w:rPr>
                <w:rFonts w:ascii="Arial" w:hAnsi="Arial" w:cs="Arial"/>
                <w:color w:val="000000"/>
              </w:rPr>
              <w:t>86 al 90</w:t>
            </w:r>
          </w:p>
        </w:tc>
        <w:tc>
          <w:tcPr>
            <w:tcW w:w="3200" w:type="dxa"/>
            <w:tcBorders>
              <w:top w:val="nil"/>
              <w:left w:val="nil"/>
              <w:bottom w:val="single" w:sz="8" w:space="0" w:color="auto"/>
              <w:right w:val="single" w:sz="8" w:space="0" w:color="auto"/>
            </w:tcBorders>
            <w:shd w:val="clear" w:color="auto" w:fill="auto"/>
            <w:noWrap/>
            <w:vAlign w:val="center"/>
          </w:tcPr>
          <w:p w14:paraId="728F238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17 de abril de 2017</w:t>
            </w:r>
          </w:p>
        </w:tc>
      </w:tr>
      <w:tr w:rsidR="00B2442D" w14:paraId="14251892"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4EDFFDD0" w14:textId="77777777" w:rsidR="00B2442D" w:rsidRDefault="008A645F">
            <w:pPr>
              <w:jc w:val="center"/>
              <w:rPr>
                <w:rFonts w:ascii="Arial" w:hAnsi="Arial" w:cs="Arial"/>
                <w:color w:val="000000"/>
              </w:rPr>
            </w:pPr>
            <w:r>
              <w:rPr>
                <w:rFonts w:ascii="Arial" w:hAnsi="Arial" w:cs="Arial"/>
                <w:color w:val="000000"/>
              </w:rPr>
              <w:t>81 al 85</w:t>
            </w:r>
          </w:p>
        </w:tc>
        <w:tc>
          <w:tcPr>
            <w:tcW w:w="3200" w:type="dxa"/>
            <w:tcBorders>
              <w:top w:val="nil"/>
              <w:left w:val="nil"/>
              <w:bottom w:val="single" w:sz="8" w:space="0" w:color="auto"/>
              <w:right w:val="single" w:sz="8" w:space="0" w:color="auto"/>
            </w:tcBorders>
            <w:shd w:val="clear" w:color="auto" w:fill="auto"/>
            <w:noWrap/>
            <w:vAlign w:val="center"/>
          </w:tcPr>
          <w:p w14:paraId="0219001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abril de 2017</w:t>
            </w:r>
          </w:p>
        </w:tc>
      </w:tr>
      <w:tr w:rsidR="00B2442D" w14:paraId="26B3653F"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6E2C64F1" w14:textId="77777777" w:rsidR="00B2442D" w:rsidRDefault="008A645F">
            <w:pPr>
              <w:jc w:val="center"/>
              <w:rPr>
                <w:rFonts w:ascii="Arial" w:hAnsi="Arial" w:cs="Arial"/>
                <w:color w:val="000000"/>
              </w:rPr>
            </w:pPr>
            <w:r>
              <w:rPr>
                <w:rFonts w:ascii="Arial" w:hAnsi="Arial" w:cs="Arial"/>
                <w:color w:val="000000"/>
              </w:rPr>
              <w:t>76 al 80</w:t>
            </w:r>
          </w:p>
        </w:tc>
        <w:tc>
          <w:tcPr>
            <w:tcW w:w="3200" w:type="dxa"/>
            <w:tcBorders>
              <w:top w:val="nil"/>
              <w:left w:val="nil"/>
              <w:bottom w:val="single" w:sz="8" w:space="0" w:color="auto"/>
              <w:right w:val="single" w:sz="8" w:space="0" w:color="auto"/>
            </w:tcBorders>
            <w:shd w:val="clear" w:color="auto" w:fill="auto"/>
            <w:noWrap/>
            <w:vAlign w:val="center"/>
          </w:tcPr>
          <w:p w14:paraId="3829627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19 de abril de 2017</w:t>
            </w:r>
          </w:p>
        </w:tc>
      </w:tr>
      <w:tr w:rsidR="00B2442D" w14:paraId="12AF8532" w14:textId="77777777">
        <w:trPr>
          <w:trHeight w:val="345"/>
          <w:jc w:val="center"/>
        </w:trPr>
        <w:tc>
          <w:tcPr>
            <w:tcW w:w="13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B3FD896" w14:textId="77777777" w:rsidR="00B2442D" w:rsidRDefault="008A645F">
            <w:pPr>
              <w:jc w:val="center"/>
              <w:rPr>
                <w:rFonts w:ascii="Arial" w:hAnsi="Arial" w:cs="Arial"/>
                <w:color w:val="000000"/>
              </w:rPr>
            </w:pPr>
            <w:r>
              <w:rPr>
                <w:rFonts w:ascii="Arial" w:hAnsi="Arial" w:cs="Arial"/>
                <w:color w:val="000000"/>
              </w:rPr>
              <w:t>71 al 75</w:t>
            </w:r>
          </w:p>
        </w:tc>
        <w:tc>
          <w:tcPr>
            <w:tcW w:w="3200" w:type="dxa"/>
            <w:tcBorders>
              <w:top w:val="nil"/>
              <w:left w:val="nil"/>
              <w:bottom w:val="single" w:sz="8" w:space="0" w:color="auto"/>
              <w:right w:val="single" w:sz="8" w:space="0" w:color="auto"/>
            </w:tcBorders>
            <w:shd w:val="clear" w:color="auto" w:fill="auto"/>
            <w:noWrap/>
            <w:vAlign w:val="center"/>
          </w:tcPr>
          <w:p w14:paraId="6B64BCE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20 de </w:t>
            </w:r>
            <w:r>
              <w:rPr>
                <w:rFonts w:ascii="Arial" w:hAnsi="Arial" w:cs="Arial"/>
                <w:color w:val="000000"/>
                <w:lang w:val="es-CO" w:eastAsia="es-CO"/>
              </w:rPr>
              <w:t>abril de 2017</w:t>
            </w:r>
          </w:p>
        </w:tc>
      </w:tr>
      <w:tr w:rsidR="00B2442D" w14:paraId="3388053B"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2958722" w14:textId="77777777" w:rsidR="00B2442D" w:rsidRDefault="008A645F">
            <w:pPr>
              <w:jc w:val="center"/>
              <w:rPr>
                <w:rFonts w:ascii="Arial" w:hAnsi="Arial" w:cs="Arial"/>
                <w:color w:val="000000"/>
              </w:rPr>
            </w:pPr>
            <w:r>
              <w:rPr>
                <w:rFonts w:ascii="Arial" w:hAnsi="Arial" w:cs="Arial"/>
                <w:color w:val="000000"/>
              </w:rPr>
              <w:t>66 al 70</w:t>
            </w:r>
          </w:p>
        </w:tc>
        <w:tc>
          <w:tcPr>
            <w:tcW w:w="3200" w:type="dxa"/>
            <w:tcBorders>
              <w:top w:val="nil"/>
              <w:left w:val="nil"/>
              <w:bottom w:val="single" w:sz="8" w:space="0" w:color="auto"/>
              <w:right w:val="single" w:sz="8" w:space="0" w:color="auto"/>
            </w:tcBorders>
            <w:shd w:val="clear" w:color="auto" w:fill="auto"/>
            <w:noWrap/>
            <w:vAlign w:val="center"/>
          </w:tcPr>
          <w:p w14:paraId="6D6E177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abril de 2017</w:t>
            </w:r>
          </w:p>
        </w:tc>
      </w:tr>
      <w:tr w:rsidR="00B2442D" w14:paraId="1A050F85"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043D74CA" w14:textId="77777777" w:rsidR="00B2442D" w:rsidRDefault="008A645F">
            <w:pPr>
              <w:jc w:val="center"/>
              <w:rPr>
                <w:rFonts w:ascii="Arial" w:hAnsi="Arial" w:cs="Arial"/>
                <w:color w:val="000000"/>
              </w:rPr>
            </w:pPr>
            <w:r>
              <w:rPr>
                <w:rFonts w:ascii="Arial" w:hAnsi="Arial" w:cs="Arial"/>
                <w:color w:val="000000"/>
              </w:rPr>
              <w:t>61 al 65</w:t>
            </w:r>
          </w:p>
        </w:tc>
        <w:tc>
          <w:tcPr>
            <w:tcW w:w="3200" w:type="dxa"/>
            <w:tcBorders>
              <w:top w:val="nil"/>
              <w:left w:val="nil"/>
              <w:bottom w:val="single" w:sz="8" w:space="0" w:color="auto"/>
              <w:right w:val="single" w:sz="8" w:space="0" w:color="auto"/>
            </w:tcBorders>
            <w:shd w:val="clear" w:color="auto" w:fill="auto"/>
            <w:noWrap/>
            <w:vAlign w:val="center"/>
          </w:tcPr>
          <w:p w14:paraId="44B6206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24 de abril de 2017</w:t>
            </w:r>
          </w:p>
        </w:tc>
      </w:tr>
      <w:tr w:rsidR="00B2442D" w14:paraId="5FA5ECA6"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4F311278" w14:textId="77777777" w:rsidR="00B2442D" w:rsidRDefault="008A645F">
            <w:pPr>
              <w:jc w:val="center"/>
              <w:rPr>
                <w:rFonts w:ascii="Arial" w:hAnsi="Arial" w:cs="Arial"/>
                <w:color w:val="000000"/>
              </w:rPr>
            </w:pPr>
            <w:r>
              <w:rPr>
                <w:rFonts w:ascii="Arial" w:hAnsi="Arial" w:cs="Arial"/>
                <w:color w:val="000000"/>
              </w:rPr>
              <w:t>56 al 60</w:t>
            </w:r>
          </w:p>
        </w:tc>
        <w:tc>
          <w:tcPr>
            <w:tcW w:w="3200" w:type="dxa"/>
            <w:tcBorders>
              <w:top w:val="nil"/>
              <w:left w:val="nil"/>
              <w:bottom w:val="single" w:sz="8" w:space="0" w:color="auto"/>
              <w:right w:val="single" w:sz="8" w:space="0" w:color="auto"/>
            </w:tcBorders>
            <w:shd w:val="clear" w:color="auto" w:fill="auto"/>
            <w:noWrap/>
            <w:vAlign w:val="center"/>
          </w:tcPr>
          <w:p w14:paraId="289E656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25 de abril de 2017</w:t>
            </w:r>
          </w:p>
        </w:tc>
      </w:tr>
      <w:tr w:rsidR="00B2442D" w14:paraId="21A92ED7"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B748547" w14:textId="77777777" w:rsidR="00B2442D" w:rsidRDefault="008A645F">
            <w:pPr>
              <w:jc w:val="center"/>
              <w:rPr>
                <w:rFonts w:ascii="Arial" w:hAnsi="Arial" w:cs="Arial"/>
                <w:color w:val="000000"/>
              </w:rPr>
            </w:pPr>
            <w:r>
              <w:rPr>
                <w:rFonts w:ascii="Arial" w:hAnsi="Arial" w:cs="Arial"/>
                <w:color w:val="000000"/>
              </w:rPr>
              <w:t>51 al 55</w:t>
            </w:r>
          </w:p>
        </w:tc>
        <w:tc>
          <w:tcPr>
            <w:tcW w:w="3200" w:type="dxa"/>
            <w:tcBorders>
              <w:top w:val="nil"/>
              <w:left w:val="nil"/>
              <w:bottom w:val="single" w:sz="8" w:space="0" w:color="auto"/>
              <w:right w:val="single" w:sz="8" w:space="0" w:color="auto"/>
            </w:tcBorders>
            <w:shd w:val="clear" w:color="auto" w:fill="auto"/>
            <w:noWrap/>
            <w:vAlign w:val="center"/>
          </w:tcPr>
          <w:p w14:paraId="4029E0F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26 de abril de 2017</w:t>
            </w:r>
          </w:p>
        </w:tc>
      </w:tr>
      <w:tr w:rsidR="00B2442D" w14:paraId="01C74C70"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276BB47" w14:textId="77777777" w:rsidR="00B2442D" w:rsidRDefault="008A645F">
            <w:pPr>
              <w:jc w:val="center"/>
              <w:rPr>
                <w:rFonts w:ascii="Arial" w:hAnsi="Arial" w:cs="Arial"/>
                <w:color w:val="000000"/>
              </w:rPr>
            </w:pPr>
            <w:r>
              <w:rPr>
                <w:rFonts w:ascii="Arial" w:hAnsi="Arial" w:cs="Arial"/>
                <w:color w:val="000000"/>
              </w:rPr>
              <w:t>46 al 50</w:t>
            </w:r>
          </w:p>
        </w:tc>
        <w:tc>
          <w:tcPr>
            <w:tcW w:w="3200" w:type="dxa"/>
            <w:tcBorders>
              <w:top w:val="nil"/>
              <w:left w:val="nil"/>
              <w:bottom w:val="single" w:sz="8" w:space="0" w:color="auto"/>
              <w:right w:val="single" w:sz="8" w:space="0" w:color="auto"/>
            </w:tcBorders>
            <w:shd w:val="clear" w:color="auto" w:fill="auto"/>
            <w:noWrap/>
            <w:vAlign w:val="center"/>
          </w:tcPr>
          <w:p w14:paraId="4FFB967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27 de abril de 2017</w:t>
            </w:r>
          </w:p>
        </w:tc>
      </w:tr>
      <w:tr w:rsidR="00B2442D" w14:paraId="206F0410"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5CC20EE" w14:textId="77777777" w:rsidR="00B2442D" w:rsidRDefault="008A645F">
            <w:pPr>
              <w:jc w:val="center"/>
              <w:rPr>
                <w:rFonts w:ascii="Arial" w:hAnsi="Arial" w:cs="Arial"/>
                <w:color w:val="000000"/>
              </w:rPr>
            </w:pPr>
            <w:r>
              <w:rPr>
                <w:rFonts w:ascii="Arial" w:hAnsi="Arial" w:cs="Arial"/>
                <w:color w:val="000000"/>
              </w:rPr>
              <w:t>41 al 45</w:t>
            </w:r>
          </w:p>
        </w:tc>
        <w:tc>
          <w:tcPr>
            <w:tcW w:w="3200" w:type="dxa"/>
            <w:tcBorders>
              <w:top w:val="nil"/>
              <w:left w:val="nil"/>
              <w:bottom w:val="single" w:sz="8" w:space="0" w:color="auto"/>
              <w:right w:val="single" w:sz="8" w:space="0" w:color="auto"/>
            </w:tcBorders>
            <w:shd w:val="clear" w:color="auto" w:fill="auto"/>
            <w:noWrap/>
            <w:vAlign w:val="center"/>
          </w:tcPr>
          <w:p w14:paraId="131825C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28 de abril de 2017</w:t>
            </w:r>
          </w:p>
        </w:tc>
      </w:tr>
      <w:tr w:rsidR="00B2442D" w14:paraId="4ED9EE31"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DFBA471" w14:textId="77777777" w:rsidR="00B2442D" w:rsidRDefault="008A645F">
            <w:pPr>
              <w:jc w:val="center"/>
              <w:rPr>
                <w:rFonts w:ascii="Arial" w:hAnsi="Arial" w:cs="Arial"/>
                <w:color w:val="000000"/>
                <w:highlight w:val="yellow"/>
              </w:rPr>
            </w:pPr>
            <w:r>
              <w:rPr>
                <w:rFonts w:ascii="Arial" w:hAnsi="Arial" w:cs="Arial"/>
                <w:color w:val="000000"/>
              </w:rPr>
              <w:t>36 al 40</w:t>
            </w:r>
          </w:p>
        </w:tc>
        <w:tc>
          <w:tcPr>
            <w:tcW w:w="3200" w:type="dxa"/>
            <w:tcBorders>
              <w:top w:val="nil"/>
              <w:left w:val="nil"/>
              <w:bottom w:val="single" w:sz="8" w:space="0" w:color="auto"/>
              <w:right w:val="single" w:sz="8" w:space="0" w:color="auto"/>
            </w:tcBorders>
            <w:shd w:val="clear" w:color="auto" w:fill="auto"/>
            <w:noWrap/>
            <w:vAlign w:val="center"/>
          </w:tcPr>
          <w:p w14:paraId="19E0599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02 de mayo de 2017</w:t>
            </w:r>
          </w:p>
        </w:tc>
      </w:tr>
      <w:tr w:rsidR="00B2442D" w14:paraId="50BADC9A"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19939CB4" w14:textId="77777777" w:rsidR="00B2442D" w:rsidRDefault="008A645F">
            <w:pPr>
              <w:jc w:val="center"/>
              <w:rPr>
                <w:rFonts w:ascii="Arial" w:hAnsi="Arial" w:cs="Arial"/>
                <w:color w:val="000000"/>
              </w:rPr>
            </w:pPr>
            <w:r>
              <w:rPr>
                <w:rFonts w:ascii="Arial" w:hAnsi="Arial" w:cs="Arial"/>
                <w:color w:val="000000"/>
              </w:rPr>
              <w:t>31 al 35</w:t>
            </w:r>
          </w:p>
        </w:tc>
        <w:tc>
          <w:tcPr>
            <w:tcW w:w="3200" w:type="dxa"/>
            <w:tcBorders>
              <w:top w:val="nil"/>
              <w:left w:val="nil"/>
              <w:bottom w:val="single" w:sz="8" w:space="0" w:color="auto"/>
              <w:right w:val="single" w:sz="8" w:space="0" w:color="auto"/>
            </w:tcBorders>
            <w:shd w:val="clear" w:color="auto" w:fill="auto"/>
            <w:noWrap/>
            <w:vAlign w:val="center"/>
          </w:tcPr>
          <w:p w14:paraId="4EEF632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03 de mayo de 2017</w:t>
            </w:r>
          </w:p>
        </w:tc>
      </w:tr>
      <w:tr w:rsidR="00B2442D" w14:paraId="45506F7E"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BADE433" w14:textId="77777777" w:rsidR="00B2442D" w:rsidRDefault="008A645F">
            <w:pPr>
              <w:jc w:val="center"/>
              <w:rPr>
                <w:rFonts w:ascii="Arial" w:hAnsi="Arial" w:cs="Arial"/>
                <w:color w:val="000000"/>
              </w:rPr>
            </w:pPr>
            <w:r>
              <w:rPr>
                <w:rFonts w:ascii="Arial" w:hAnsi="Arial" w:cs="Arial"/>
                <w:color w:val="000000"/>
              </w:rPr>
              <w:t>26 al 30</w:t>
            </w:r>
          </w:p>
        </w:tc>
        <w:tc>
          <w:tcPr>
            <w:tcW w:w="3200" w:type="dxa"/>
            <w:tcBorders>
              <w:top w:val="nil"/>
              <w:left w:val="nil"/>
              <w:bottom w:val="single" w:sz="8" w:space="0" w:color="auto"/>
              <w:right w:val="single" w:sz="8" w:space="0" w:color="auto"/>
            </w:tcBorders>
            <w:shd w:val="clear" w:color="auto" w:fill="auto"/>
            <w:noWrap/>
            <w:vAlign w:val="center"/>
          </w:tcPr>
          <w:p w14:paraId="491853B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04 de mayo de 2017</w:t>
            </w:r>
          </w:p>
        </w:tc>
      </w:tr>
      <w:tr w:rsidR="00B2442D" w14:paraId="58628415"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9D210B6" w14:textId="77777777" w:rsidR="00B2442D" w:rsidRDefault="008A645F">
            <w:pPr>
              <w:jc w:val="center"/>
              <w:rPr>
                <w:rFonts w:ascii="Arial" w:hAnsi="Arial" w:cs="Arial"/>
                <w:color w:val="000000"/>
              </w:rPr>
            </w:pPr>
            <w:r>
              <w:rPr>
                <w:rFonts w:ascii="Arial" w:hAnsi="Arial" w:cs="Arial"/>
                <w:color w:val="000000"/>
              </w:rPr>
              <w:t>21 al 25</w:t>
            </w:r>
          </w:p>
        </w:tc>
        <w:tc>
          <w:tcPr>
            <w:tcW w:w="3200" w:type="dxa"/>
            <w:tcBorders>
              <w:top w:val="nil"/>
              <w:left w:val="nil"/>
              <w:bottom w:val="single" w:sz="8" w:space="0" w:color="auto"/>
              <w:right w:val="single" w:sz="8" w:space="0" w:color="auto"/>
            </w:tcBorders>
            <w:shd w:val="clear" w:color="auto" w:fill="auto"/>
            <w:noWrap/>
            <w:vAlign w:val="center"/>
          </w:tcPr>
          <w:p w14:paraId="4AD7EB1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05 de mayo de 2017</w:t>
            </w:r>
          </w:p>
        </w:tc>
      </w:tr>
      <w:tr w:rsidR="00B2442D" w14:paraId="5E7419BB"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671F258" w14:textId="77777777" w:rsidR="00B2442D" w:rsidRDefault="008A645F">
            <w:pPr>
              <w:jc w:val="center"/>
              <w:rPr>
                <w:rFonts w:ascii="Arial" w:hAnsi="Arial" w:cs="Arial"/>
                <w:color w:val="000000"/>
              </w:rPr>
            </w:pPr>
            <w:r>
              <w:rPr>
                <w:rFonts w:ascii="Arial" w:hAnsi="Arial" w:cs="Arial"/>
                <w:color w:val="000000"/>
              </w:rPr>
              <w:t>16 al 20</w:t>
            </w:r>
          </w:p>
        </w:tc>
        <w:tc>
          <w:tcPr>
            <w:tcW w:w="3200" w:type="dxa"/>
            <w:tcBorders>
              <w:top w:val="nil"/>
              <w:left w:val="nil"/>
              <w:bottom w:val="single" w:sz="8" w:space="0" w:color="auto"/>
              <w:right w:val="single" w:sz="8" w:space="0" w:color="auto"/>
            </w:tcBorders>
            <w:shd w:val="clear" w:color="auto" w:fill="auto"/>
            <w:noWrap/>
            <w:vAlign w:val="center"/>
          </w:tcPr>
          <w:p w14:paraId="6C6AF63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08 de mayo de 2017</w:t>
            </w:r>
          </w:p>
        </w:tc>
      </w:tr>
      <w:tr w:rsidR="00B2442D" w14:paraId="25C56349"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70C0A0E" w14:textId="77777777" w:rsidR="00B2442D" w:rsidRDefault="008A645F">
            <w:pPr>
              <w:jc w:val="center"/>
              <w:rPr>
                <w:rFonts w:ascii="Arial" w:hAnsi="Arial" w:cs="Arial"/>
                <w:color w:val="000000"/>
              </w:rPr>
            </w:pPr>
            <w:r>
              <w:rPr>
                <w:rFonts w:ascii="Arial" w:hAnsi="Arial" w:cs="Arial"/>
                <w:color w:val="000000"/>
              </w:rPr>
              <w:t>11 al  15</w:t>
            </w:r>
          </w:p>
        </w:tc>
        <w:tc>
          <w:tcPr>
            <w:tcW w:w="3200" w:type="dxa"/>
            <w:tcBorders>
              <w:top w:val="nil"/>
              <w:left w:val="nil"/>
              <w:bottom w:val="single" w:sz="8" w:space="0" w:color="auto"/>
              <w:right w:val="single" w:sz="8" w:space="0" w:color="auto"/>
            </w:tcBorders>
            <w:shd w:val="clear" w:color="auto" w:fill="auto"/>
            <w:noWrap/>
            <w:vAlign w:val="center"/>
          </w:tcPr>
          <w:p w14:paraId="13EA7CE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09 de mayo de 2017</w:t>
            </w:r>
          </w:p>
        </w:tc>
      </w:tr>
      <w:tr w:rsidR="00B2442D" w14:paraId="413531BD"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07EAD0E" w14:textId="77777777" w:rsidR="00B2442D" w:rsidRDefault="008A645F">
            <w:pPr>
              <w:jc w:val="center"/>
              <w:rPr>
                <w:rFonts w:ascii="Arial" w:hAnsi="Arial" w:cs="Arial"/>
                <w:color w:val="000000"/>
              </w:rPr>
            </w:pPr>
            <w:r>
              <w:rPr>
                <w:rFonts w:ascii="Arial" w:hAnsi="Arial" w:cs="Arial"/>
                <w:color w:val="000000"/>
              </w:rPr>
              <w:t>06 al 10</w:t>
            </w:r>
          </w:p>
        </w:tc>
        <w:tc>
          <w:tcPr>
            <w:tcW w:w="3200" w:type="dxa"/>
            <w:tcBorders>
              <w:top w:val="nil"/>
              <w:left w:val="nil"/>
              <w:bottom w:val="single" w:sz="8" w:space="0" w:color="auto"/>
              <w:right w:val="single" w:sz="8" w:space="0" w:color="auto"/>
            </w:tcBorders>
            <w:shd w:val="clear" w:color="auto" w:fill="auto"/>
            <w:noWrap/>
            <w:vAlign w:val="center"/>
          </w:tcPr>
          <w:p w14:paraId="36C1BB2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10 de mayo de 2017</w:t>
            </w:r>
          </w:p>
        </w:tc>
      </w:tr>
      <w:tr w:rsidR="00B2442D" w14:paraId="2CFBB388" w14:textId="77777777">
        <w:trPr>
          <w:trHeight w:val="34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30C1FB73" w14:textId="77777777" w:rsidR="00B2442D" w:rsidRDefault="008A645F">
            <w:pPr>
              <w:jc w:val="center"/>
              <w:rPr>
                <w:rFonts w:ascii="Arial" w:hAnsi="Arial" w:cs="Arial"/>
                <w:color w:val="000000"/>
              </w:rPr>
            </w:pPr>
            <w:r>
              <w:rPr>
                <w:rFonts w:ascii="Arial" w:hAnsi="Arial" w:cs="Arial"/>
                <w:color w:val="000000"/>
              </w:rPr>
              <w:t>01 al 05</w:t>
            </w:r>
          </w:p>
        </w:tc>
        <w:tc>
          <w:tcPr>
            <w:tcW w:w="3200" w:type="dxa"/>
            <w:tcBorders>
              <w:top w:val="nil"/>
              <w:left w:val="nil"/>
              <w:bottom w:val="single" w:sz="8" w:space="0" w:color="auto"/>
              <w:right w:val="single" w:sz="8" w:space="0" w:color="auto"/>
            </w:tcBorders>
            <w:shd w:val="clear" w:color="auto" w:fill="auto"/>
            <w:noWrap/>
            <w:vAlign w:val="center"/>
          </w:tcPr>
          <w:p w14:paraId="1CD831D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11 de mayo de 2017</w:t>
            </w:r>
          </w:p>
        </w:tc>
      </w:tr>
    </w:tbl>
    <w:p w14:paraId="4F23405F" w14:textId="77777777" w:rsidR="00B2442D" w:rsidRDefault="00B2442D">
      <w:pPr>
        <w:ind w:left="720"/>
        <w:jc w:val="center"/>
        <w:rPr>
          <w:rFonts w:ascii="Arial" w:hAnsi="Arial" w:cs="Arial"/>
          <w:b/>
          <w:bCs/>
          <w:color w:val="000000"/>
          <w:lang w:val="es-CO" w:eastAsia="es-CO"/>
        </w:rPr>
      </w:pPr>
    </w:p>
    <w:p w14:paraId="16695FCB" w14:textId="77777777" w:rsidR="00B2442D" w:rsidRDefault="008A645F">
      <w:pPr>
        <w:ind w:left="720"/>
        <w:jc w:val="center"/>
        <w:rPr>
          <w:rFonts w:ascii="Arial" w:hAnsi="Arial" w:cs="Arial"/>
          <w:b/>
          <w:bCs/>
          <w:color w:val="000000"/>
          <w:lang w:val="es-CO" w:eastAsia="es-CO"/>
        </w:rPr>
      </w:pPr>
      <w:r>
        <w:rPr>
          <w:rFonts w:ascii="Arial" w:hAnsi="Arial" w:cs="Arial"/>
          <w:b/>
          <w:bCs/>
          <w:color w:val="000000"/>
          <w:lang w:val="es-CO" w:eastAsia="es-CO"/>
        </w:rPr>
        <w:t>SEGUNDA CUOTA</w:t>
      </w:r>
    </w:p>
    <w:p w14:paraId="638CBC12" w14:textId="77777777" w:rsidR="00B2442D" w:rsidRDefault="00B2442D">
      <w:pPr>
        <w:autoSpaceDE w:val="0"/>
        <w:autoSpaceDN w:val="0"/>
        <w:adjustRightInd w:val="0"/>
        <w:spacing w:line="40" w:lineRule="atLeast"/>
        <w:ind w:left="720"/>
        <w:jc w:val="center"/>
        <w:rPr>
          <w:rFonts w:ascii="Arial" w:hAnsi="Arial" w:cs="Arial"/>
          <w:b/>
        </w:rPr>
      </w:pPr>
    </w:p>
    <w:tbl>
      <w:tblPr>
        <w:tblW w:w="4386" w:type="dxa"/>
        <w:jc w:val="center"/>
        <w:tblCellMar>
          <w:left w:w="70" w:type="dxa"/>
          <w:right w:w="70" w:type="dxa"/>
        </w:tblCellMar>
        <w:tblLook w:val="04A0" w:firstRow="1" w:lastRow="0" w:firstColumn="1" w:lastColumn="0" w:noHBand="0" w:noVBand="1"/>
      </w:tblPr>
      <w:tblGrid>
        <w:gridCol w:w="1200"/>
        <w:gridCol w:w="3186"/>
      </w:tblGrid>
      <w:tr w:rsidR="00B2442D" w14:paraId="797C04AA" w14:textId="77777777">
        <w:trPr>
          <w:trHeight w:val="517"/>
          <w:tblHeader/>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917E9C3"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Si el último dígito es</w:t>
            </w:r>
          </w:p>
        </w:tc>
        <w:tc>
          <w:tcPr>
            <w:tcW w:w="3186"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156FB4E9"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3AF1251A" w14:textId="77777777">
        <w:trPr>
          <w:trHeight w:val="517"/>
          <w:tblHeader/>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25CBEC8A" w14:textId="77777777" w:rsidR="00B2442D" w:rsidRDefault="00B2442D">
            <w:pPr>
              <w:jc w:val="center"/>
              <w:rPr>
                <w:rFonts w:ascii="Arial" w:hAnsi="Arial" w:cs="Arial"/>
                <w:b/>
                <w:bCs/>
                <w:color w:val="000000"/>
                <w:lang w:val="es-CO" w:eastAsia="es-CO"/>
              </w:rPr>
            </w:pPr>
          </w:p>
        </w:tc>
        <w:tc>
          <w:tcPr>
            <w:tcW w:w="3186" w:type="dxa"/>
            <w:vMerge/>
            <w:tcBorders>
              <w:top w:val="single" w:sz="8" w:space="0" w:color="auto"/>
              <w:left w:val="single" w:sz="8" w:space="0" w:color="auto"/>
              <w:bottom w:val="single" w:sz="8" w:space="0" w:color="000000"/>
              <w:right w:val="single" w:sz="8" w:space="0" w:color="auto"/>
            </w:tcBorders>
            <w:vAlign w:val="center"/>
            <w:hideMark/>
          </w:tcPr>
          <w:p w14:paraId="1B3E2A80" w14:textId="77777777" w:rsidR="00B2442D" w:rsidRDefault="00B2442D">
            <w:pPr>
              <w:jc w:val="center"/>
              <w:rPr>
                <w:rFonts w:ascii="Arial" w:hAnsi="Arial" w:cs="Arial"/>
                <w:b/>
                <w:bCs/>
                <w:color w:val="000000"/>
                <w:lang w:val="es-CO" w:eastAsia="es-CO"/>
              </w:rPr>
            </w:pPr>
          </w:p>
        </w:tc>
      </w:tr>
      <w:tr w:rsidR="00B2442D" w14:paraId="7184F28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0291D8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0</w:t>
            </w:r>
          </w:p>
        </w:tc>
        <w:tc>
          <w:tcPr>
            <w:tcW w:w="3186" w:type="dxa"/>
            <w:tcBorders>
              <w:top w:val="nil"/>
              <w:left w:val="nil"/>
              <w:bottom w:val="single" w:sz="8" w:space="0" w:color="auto"/>
              <w:right w:val="single" w:sz="8" w:space="0" w:color="auto"/>
            </w:tcBorders>
            <w:shd w:val="clear" w:color="auto" w:fill="auto"/>
            <w:noWrap/>
            <w:vAlign w:val="center"/>
          </w:tcPr>
          <w:p w14:paraId="545F928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 de junio de 2017</w:t>
            </w:r>
          </w:p>
        </w:tc>
      </w:tr>
      <w:tr w:rsidR="00B2442D" w14:paraId="79B9ADB7"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458E256"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w:t>
            </w:r>
          </w:p>
        </w:tc>
        <w:tc>
          <w:tcPr>
            <w:tcW w:w="3186" w:type="dxa"/>
            <w:tcBorders>
              <w:top w:val="nil"/>
              <w:left w:val="nil"/>
              <w:bottom w:val="single" w:sz="8" w:space="0" w:color="auto"/>
              <w:right w:val="single" w:sz="8" w:space="0" w:color="auto"/>
            </w:tcBorders>
            <w:shd w:val="clear" w:color="auto" w:fill="auto"/>
            <w:noWrap/>
            <w:vAlign w:val="center"/>
          </w:tcPr>
          <w:p w14:paraId="30EFC73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9 de junio de 2017</w:t>
            </w:r>
          </w:p>
        </w:tc>
      </w:tr>
      <w:tr w:rsidR="00B2442D" w14:paraId="7B9CDF7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34A3C8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8</w:t>
            </w:r>
          </w:p>
        </w:tc>
        <w:tc>
          <w:tcPr>
            <w:tcW w:w="3186" w:type="dxa"/>
            <w:tcBorders>
              <w:top w:val="nil"/>
              <w:left w:val="nil"/>
              <w:bottom w:val="single" w:sz="8" w:space="0" w:color="auto"/>
              <w:right w:val="single" w:sz="8" w:space="0" w:color="auto"/>
            </w:tcBorders>
            <w:shd w:val="clear" w:color="auto" w:fill="auto"/>
            <w:noWrap/>
            <w:vAlign w:val="center"/>
          </w:tcPr>
          <w:p w14:paraId="32016C1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12 de junio de 2017</w:t>
            </w:r>
          </w:p>
        </w:tc>
      </w:tr>
      <w:tr w:rsidR="00B2442D" w14:paraId="2624D0AC"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C36812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7</w:t>
            </w:r>
          </w:p>
        </w:tc>
        <w:tc>
          <w:tcPr>
            <w:tcW w:w="3186" w:type="dxa"/>
            <w:tcBorders>
              <w:top w:val="nil"/>
              <w:left w:val="nil"/>
              <w:bottom w:val="single" w:sz="8" w:space="0" w:color="auto"/>
              <w:right w:val="single" w:sz="8" w:space="0" w:color="auto"/>
            </w:tcBorders>
            <w:shd w:val="clear" w:color="auto" w:fill="auto"/>
            <w:noWrap/>
            <w:vAlign w:val="center"/>
          </w:tcPr>
          <w:p w14:paraId="620648D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13 de junio de 2017</w:t>
            </w:r>
          </w:p>
        </w:tc>
      </w:tr>
      <w:tr w:rsidR="00B2442D" w14:paraId="2ACE4071"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D662049"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6</w:t>
            </w:r>
          </w:p>
        </w:tc>
        <w:tc>
          <w:tcPr>
            <w:tcW w:w="3186" w:type="dxa"/>
            <w:tcBorders>
              <w:top w:val="nil"/>
              <w:left w:val="nil"/>
              <w:bottom w:val="single" w:sz="8" w:space="0" w:color="auto"/>
              <w:right w:val="single" w:sz="8" w:space="0" w:color="auto"/>
            </w:tcBorders>
            <w:shd w:val="clear" w:color="auto" w:fill="auto"/>
            <w:noWrap/>
            <w:vAlign w:val="center"/>
          </w:tcPr>
          <w:p w14:paraId="01F18D8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14 de junio de 2017</w:t>
            </w:r>
          </w:p>
        </w:tc>
      </w:tr>
      <w:tr w:rsidR="00B2442D" w14:paraId="19D4302A"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58AF9D5"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5</w:t>
            </w:r>
          </w:p>
        </w:tc>
        <w:tc>
          <w:tcPr>
            <w:tcW w:w="3186" w:type="dxa"/>
            <w:tcBorders>
              <w:top w:val="nil"/>
              <w:left w:val="nil"/>
              <w:bottom w:val="single" w:sz="8" w:space="0" w:color="auto"/>
              <w:right w:val="single" w:sz="8" w:space="0" w:color="auto"/>
            </w:tcBorders>
            <w:shd w:val="clear" w:color="auto" w:fill="auto"/>
            <w:noWrap/>
            <w:vAlign w:val="center"/>
          </w:tcPr>
          <w:p w14:paraId="7F9F357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15 de junio de 2017</w:t>
            </w:r>
          </w:p>
        </w:tc>
      </w:tr>
      <w:tr w:rsidR="00B2442D" w14:paraId="5170C836"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488BCD"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4</w:t>
            </w:r>
          </w:p>
        </w:tc>
        <w:tc>
          <w:tcPr>
            <w:tcW w:w="3186" w:type="dxa"/>
            <w:tcBorders>
              <w:top w:val="nil"/>
              <w:left w:val="nil"/>
              <w:bottom w:val="single" w:sz="8" w:space="0" w:color="auto"/>
              <w:right w:val="single" w:sz="8" w:space="0" w:color="auto"/>
            </w:tcBorders>
            <w:shd w:val="clear" w:color="auto" w:fill="auto"/>
            <w:noWrap/>
            <w:vAlign w:val="center"/>
          </w:tcPr>
          <w:p w14:paraId="062841C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junio de 2017</w:t>
            </w:r>
          </w:p>
        </w:tc>
      </w:tr>
      <w:tr w:rsidR="00B2442D" w14:paraId="5F1A913B"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BD93AF"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3</w:t>
            </w:r>
          </w:p>
        </w:tc>
        <w:tc>
          <w:tcPr>
            <w:tcW w:w="3186" w:type="dxa"/>
            <w:tcBorders>
              <w:top w:val="nil"/>
              <w:left w:val="nil"/>
              <w:bottom w:val="single" w:sz="8" w:space="0" w:color="auto"/>
              <w:right w:val="single" w:sz="8" w:space="0" w:color="auto"/>
            </w:tcBorders>
            <w:shd w:val="clear" w:color="auto" w:fill="auto"/>
            <w:noWrap/>
            <w:vAlign w:val="center"/>
          </w:tcPr>
          <w:p w14:paraId="79D7992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20 de junio de 2017</w:t>
            </w:r>
          </w:p>
        </w:tc>
      </w:tr>
      <w:tr w:rsidR="00B2442D" w14:paraId="4CEB8C9E"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9426338"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w:t>
            </w:r>
          </w:p>
        </w:tc>
        <w:tc>
          <w:tcPr>
            <w:tcW w:w="3186" w:type="dxa"/>
            <w:tcBorders>
              <w:top w:val="nil"/>
              <w:left w:val="nil"/>
              <w:bottom w:val="single" w:sz="8" w:space="0" w:color="auto"/>
              <w:right w:val="single" w:sz="8" w:space="0" w:color="auto"/>
            </w:tcBorders>
            <w:shd w:val="clear" w:color="auto" w:fill="auto"/>
            <w:noWrap/>
            <w:vAlign w:val="center"/>
          </w:tcPr>
          <w:p w14:paraId="22E52C91"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junio de 2017</w:t>
            </w:r>
          </w:p>
        </w:tc>
      </w:tr>
      <w:tr w:rsidR="00B2442D" w14:paraId="00F9E3A3" w14:textId="77777777">
        <w:trPr>
          <w:trHeight w:val="34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37E705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w:t>
            </w:r>
          </w:p>
        </w:tc>
        <w:tc>
          <w:tcPr>
            <w:tcW w:w="3186" w:type="dxa"/>
            <w:tcBorders>
              <w:top w:val="nil"/>
              <w:left w:val="nil"/>
              <w:bottom w:val="single" w:sz="8" w:space="0" w:color="auto"/>
              <w:right w:val="single" w:sz="8" w:space="0" w:color="auto"/>
            </w:tcBorders>
            <w:shd w:val="clear" w:color="auto" w:fill="auto"/>
            <w:noWrap/>
            <w:vAlign w:val="center"/>
          </w:tcPr>
          <w:p w14:paraId="24A8F634"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22 de junio de 2017</w:t>
            </w:r>
          </w:p>
        </w:tc>
      </w:tr>
    </w:tbl>
    <w:p w14:paraId="0D9EA747" w14:textId="77777777" w:rsidR="00B2442D" w:rsidRDefault="00B2442D">
      <w:pPr>
        <w:spacing w:line="40" w:lineRule="atLeast"/>
        <w:ind w:right="-30"/>
        <w:jc w:val="both"/>
        <w:rPr>
          <w:rFonts w:ascii="Arial" w:hAnsi="Arial" w:cs="Arial"/>
          <w:lang w:val="es-CO"/>
        </w:rPr>
      </w:pPr>
    </w:p>
    <w:p w14:paraId="1A841814" w14:textId="77777777" w:rsidR="00B2442D" w:rsidRDefault="008A645F">
      <w:pPr>
        <w:jc w:val="both"/>
        <w:rPr>
          <w:rFonts w:ascii="Arial" w:hAnsi="Arial" w:cs="Arial"/>
          <w:i/>
          <w:lang w:val="es-CO"/>
        </w:rPr>
      </w:pPr>
      <w:r>
        <w:rPr>
          <w:rFonts w:ascii="Arial" w:hAnsi="Arial" w:cs="Arial"/>
          <w:i/>
          <w:lang w:val="es-CO"/>
        </w:rPr>
        <w:t>(</w:t>
      </w:r>
      <w:hyperlink r:id="rId77" w:history="1">
        <w:r>
          <w:rPr>
            <w:rStyle w:val="Hipervnculo"/>
            <w:rFonts w:ascii="Arial" w:hAnsi="Arial" w:cs="Arial"/>
            <w:i/>
            <w:lang w:val="es-CO"/>
          </w:rPr>
          <w:t>Art 2. Decreto 220 de 2017</w:t>
        </w:r>
      </w:hyperlink>
      <w:r>
        <w:rPr>
          <w:rFonts w:ascii="Arial" w:hAnsi="Arial" w:cs="Arial"/>
          <w:i/>
          <w:lang w:val="es-CO"/>
        </w:rPr>
        <w:t>)</w:t>
      </w:r>
    </w:p>
    <w:p w14:paraId="589C689B" w14:textId="77777777" w:rsidR="00B2442D" w:rsidRDefault="008A645F">
      <w:pPr>
        <w:pStyle w:val="Default"/>
        <w:jc w:val="both"/>
      </w:pPr>
      <w:r>
        <w:rPr>
          <w:b/>
          <w:i/>
          <w:lang w:val="es-ES"/>
        </w:rPr>
        <w:t xml:space="preserve">Artículo </w:t>
      </w:r>
      <w:r>
        <w:rPr>
          <w:b/>
          <w:i/>
        </w:rPr>
        <w:t>1.6.1.13.2.</w:t>
      </w:r>
      <w:r>
        <w:rPr>
          <w:b/>
          <w:bCs/>
          <w:i/>
          <w:lang w:val="es-ES"/>
        </w:rPr>
        <w:t xml:space="preserve">54. Plazos para declarar y pagar el impuesto nacional al carbono. </w:t>
      </w:r>
      <w:r>
        <w:t>Los responsables del impuesto nacional al carbono de que trata el artículo 221 de la Ley 1819 de 2016, deberán declarar y pagar bimestralmente el impuesto correspondiente al año gravable 201</w:t>
      </w:r>
      <w:r>
        <w:t>7, en el formulario que prescriba la Unidad Administrativa Especial Dirección de Impuestos y Aduanas Nacionales – DIAN.</w:t>
      </w:r>
    </w:p>
    <w:p w14:paraId="0365E063" w14:textId="77777777" w:rsidR="00B2442D" w:rsidRDefault="00B2442D">
      <w:pPr>
        <w:pStyle w:val="Default"/>
        <w:ind w:left="720"/>
        <w:jc w:val="both"/>
      </w:pPr>
    </w:p>
    <w:p w14:paraId="765DD821" w14:textId="77777777" w:rsidR="00B2442D" w:rsidRDefault="008A645F">
      <w:pPr>
        <w:tabs>
          <w:tab w:val="left" w:pos="-720"/>
        </w:tabs>
        <w:suppressAutoHyphens/>
        <w:spacing w:line="40" w:lineRule="atLeast"/>
        <w:jc w:val="both"/>
        <w:rPr>
          <w:rFonts w:ascii="Arial" w:hAnsi="Arial" w:cs="Arial"/>
        </w:rPr>
      </w:pPr>
      <w:r>
        <w:rPr>
          <w:rFonts w:ascii="Arial" w:hAnsi="Arial" w:cs="Arial"/>
        </w:rPr>
        <w:t>Los periodos bimestrales serán: enero-febrero, marzo-abril; mayo-junio; julio-agosto; septiembre-octubre y noviembre-diciembre.</w:t>
      </w:r>
    </w:p>
    <w:p w14:paraId="0939639A" w14:textId="77777777" w:rsidR="00B2442D" w:rsidRDefault="00B2442D">
      <w:pPr>
        <w:tabs>
          <w:tab w:val="left" w:pos="-720"/>
        </w:tabs>
        <w:suppressAutoHyphens/>
        <w:spacing w:line="40" w:lineRule="atLeast"/>
        <w:ind w:left="720"/>
        <w:jc w:val="both"/>
        <w:rPr>
          <w:rFonts w:ascii="Arial" w:hAnsi="Arial" w:cs="Arial"/>
          <w:color w:val="000000"/>
        </w:rPr>
      </w:pPr>
    </w:p>
    <w:p w14:paraId="79AEB6ED" w14:textId="77777777" w:rsidR="00B2442D" w:rsidRDefault="008A645F">
      <w:pPr>
        <w:pStyle w:val="Default"/>
        <w:jc w:val="both"/>
      </w:pPr>
      <w:r>
        <w:t xml:space="preserve">Los </w:t>
      </w:r>
      <w:r>
        <w:t>vencimientos para la presentación y pago de la declaración serán los siguientes:</w:t>
      </w:r>
    </w:p>
    <w:p w14:paraId="3EAC93D7" w14:textId="77777777" w:rsidR="00B2442D" w:rsidRDefault="00B2442D">
      <w:pPr>
        <w:pStyle w:val="Default"/>
        <w:ind w:left="720"/>
        <w:jc w:val="both"/>
      </w:pPr>
    </w:p>
    <w:tbl>
      <w:tblPr>
        <w:tblW w:w="6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0"/>
        <w:gridCol w:w="3140"/>
      </w:tblGrid>
      <w:tr w:rsidR="00B2442D" w14:paraId="2FD3EBE7" w14:textId="77777777">
        <w:trPr>
          <w:trHeight w:val="345"/>
          <w:tblHeader/>
          <w:jc w:val="center"/>
        </w:trPr>
        <w:tc>
          <w:tcPr>
            <w:tcW w:w="3440" w:type="dxa"/>
            <w:shd w:val="clear" w:color="auto" w:fill="D0CECE"/>
            <w:vAlign w:val="center"/>
            <w:hideMark/>
          </w:tcPr>
          <w:p w14:paraId="7DB06EC0"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Periodo gravable</w:t>
            </w:r>
          </w:p>
        </w:tc>
        <w:tc>
          <w:tcPr>
            <w:tcW w:w="3140" w:type="dxa"/>
            <w:shd w:val="clear" w:color="auto" w:fill="D0CECE"/>
            <w:vAlign w:val="center"/>
            <w:hideMark/>
          </w:tcPr>
          <w:p w14:paraId="7495BF2C" w14:textId="77777777" w:rsidR="00B2442D" w:rsidRDefault="008A645F">
            <w:pPr>
              <w:jc w:val="center"/>
              <w:rPr>
                <w:rFonts w:ascii="Arial" w:hAnsi="Arial" w:cs="Arial"/>
                <w:b/>
                <w:bCs/>
                <w:color w:val="000000"/>
                <w:lang w:val="es-CO" w:eastAsia="es-CO"/>
              </w:rPr>
            </w:pPr>
            <w:r>
              <w:rPr>
                <w:rFonts w:ascii="Arial" w:hAnsi="Arial" w:cs="Arial"/>
                <w:b/>
                <w:bCs/>
                <w:color w:val="000000"/>
                <w:lang w:val="es-CO" w:eastAsia="es-CO"/>
              </w:rPr>
              <w:t>hasta el día</w:t>
            </w:r>
          </w:p>
        </w:tc>
      </w:tr>
      <w:tr w:rsidR="00B2442D" w14:paraId="77952436" w14:textId="77777777">
        <w:trPr>
          <w:trHeight w:val="345"/>
          <w:jc w:val="center"/>
        </w:trPr>
        <w:tc>
          <w:tcPr>
            <w:tcW w:w="3440" w:type="dxa"/>
            <w:shd w:val="clear" w:color="auto" w:fill="auto"/>
            <w:vAlign w:val="center"/>
            <w:hideMark/>
          </w:tcPr>
          <w:p w14:paraId="700DCC90"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Enero - Febrero  de 2017</w:t>
            </w:r>
          </w:p>
        </w:tc>
        <w:tc>
          <w:tcPr>
            <w:tcW w:w="3140" w:type="dxa"/>
            <w:shd w:val="clear" w:color="000000" w:fill="FFFFFF"/>
            <w:vAlign w:val="center"/>
            <w:hideMark/>
          </w:tcPr>
          <w:p w14:paraId="5C6DB3B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mayo de 2017</w:t>
            </w:r>
          </w:p>
        </w:tc>
      </w:tr>
      <w:tr w:rsidR="00B2442D" w14:paraId="0E09137B" w14:textId="77777777">
        <w:trPr>
          <w:trHeight w:val="345"/>
          <w:jc w:val="center"/>
        </w:trPr>
        <w:tc>
          <w:tcPr>
            <w:tcW w:w="3440" w:type="dxa"/>
            <w:shd w:val="clear" w:color="auto" w:fill="auto"/>
            <w:vAlign w:val="center"/>
          </w:tcPr>
          <w:p w14:paraId="2F9B218E"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Marzo - Abril de 2017</w:t>
            </w:r>
          </w:p>
        </w:tc>
        <w:tc>
          <w:tcPr>
            <w:tcW w:w="3140" w:type="dxa"/>
            <w:shd w:val="clear" w:color="000000" w:fill="FFFFFF"/>
            <w:vAlign w:val="center"/>
          </w:tcPr>
          <w:p w14:paraId="6D631AD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mayo de 2017</w:t>
            </w:r>
          </w:p>
        </w:tc>
      </w:tr>
      <w:tr w:rsidR="00B2442D" w14:paraId="2A0272C2" w14:textId="77777777">
        <w:trPr>
          <w:trHeight w:val="345"/>
          <w:jc w:val="center"/>
        </w:trPr>
        <w:tc>
          <w:tcPr>
            <w:tcW w:w="3440" w:type="dxa"/>
            <w:shd w:val="clear" w:color="auto" w:fill="auto"/>
            <w:vAlign w:val="center"/>
          </w:tcPr>
          <w:p w14:paraId="0D3D0EDB"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Mayo – Junio de 2017</w:t>
            </w:r>
          </w:p>
        </w:tc>
        <w:tc>
          <w:tcPr>
            <w:tcW w:w="3140" w:type="dxa"/>
            <w:shd w:val="clear" w:color="000000" w:fill="FFFFFF"/>
            <w:vAlign w:val="center"/>
          </w:tcPr>
          <w:p w14:paraId="7A6FB1B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de Julio de 2017</w:t>
            </w:r>
          </w:p>
        </w:tc>
      </w:tr>
      <w:tr w:rsidR="00B2442D" w14:paraId="0117D2BF" w14:textId="77777777">
        <w:trPr>
          <w:trHeight w:val="345"/>
          <w:jc w:val="center"/>
        </w:trPr>
        <w:tc>
          <w:tcPr>
            <w:tcW w:w="3440" w:type="dxa"/>
            <w:shd w:val="clear" w:color="auto" w:fill="auto"/>
            <w:vAlign w:val="center"/>
          </w:tcPr>
          <w:p w14:paraId="3AF940E3"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 xml:space="preserve">Julio – </w:t>
            </w:r>
            <w:r>
              <w:rPr>
                <w:rFonts w:ascii="Arial" w:hAnsi="Arial" w:cs="Arial"/>
                <w:color w:val="000000"/>
                <w:lang w:val="es-CO" w:eastAsia="es-CO"/>
              </w:rPr>
              <w:t>Agosto de 2017</w:t>
            </w:r>
          </w:p>
        </w:tc>
        <w:tc>
          <w:tcPr>
            <w:tcW w:w="3140" w:type="dxa"/>
            <w:shd w:val="clear" w:color="000000" w:fill="FFFFFF"/>
            <w:vAlign w:val="center"/>
          </w:tcPr>
          <w:p w14:paraId="073B181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21 Septiembre de 2017</w:t>
            </w:r>
          </w:p>
        </w:tc>
      </w:tr>
      <w:tr w:rsidR="00B2442D" w14:paraId="6B63A640" w14:textId="77777777">
        <w:trPr>
          <w:trHeight w:val="345"/>
          <w:jc w:val="center"/>
        </w:trPr>
        <w:tc>
          <w:tcPr>
            <w:tcW w:w="3440" w:type="dxa"/>
            <w:shd w:val="clear" w:color="auto" w:fill="auto"/>
            <w:vAlign w:val="center"/>
          </w:tcPr>
          <w:p w14:paraId="09FC9932"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Septiembre – Octubre de 2017</w:t>
            </w:r>
          </w:p>
        </w:tc>
        <w:tc>
          <w:tcPr>
            <w:tcW w:w="3140" w:type="dxa"/>
            <w:shd w:val="clear" w:color="000000" w:fill="FFFFFF"/>
            <w:vAlign w:val="center"/>
          </w:tcPr>
          <w:p w14:paraId="3A8DC24C"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16 de Noviembre de 2017</w:t>
            </w:r>
          </w:p>
        </w:tc>
      </w:tr>
      <w:tr w:rsidR="00B2442D" w14:paraId="02334D1D" w14:textId="77777777">
        <w:trPr>
          <w:trHeight w:val="345"/>
          <w:jc w:val="center"/>
        </w:trPr>
        <w:tc>
          <w:tcPr>
            <w:tcW w:w="3440" w:type="dxa"/>
            <w:shd w:val="clear" w:color="auto" w:fill="auto"/>
            <w:vAlign w:val="center"/>
            <w:hideMark/>
          </w:tcPr>
          <w:p w14:paraId="68EDD617"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Noviembre - Diciembre de 2017</w:t>
            </w:r>
          </w:p>
        </w:tc>
        <w:tc>
          <w:tcPr>
            <w:tcW w:w="3140" w:type="dxa"/>
            <w:shd w:val="clear" w:color="000000" w:fill="FFFFFF"/>
            <w:vAlign w:val="center"/>
            <w:hideMark/>
          </w:tcPr>
          <w:p w14:paraId="073B1F7A" w14:textId="77777777" w:rsidR="00B2442D" w:rsidRDefault="008A645F">
            <w:pPr>
              <w:jc w:val="center"/>
              <w:rPr>
                <w:rFonts w:ascii="Arial" w:hAnsi="Arial" w:cs="Arial"/>
                <w:color w:val="000000"/>
                <w:lang w:val="es-CO" w:eastAsia="es-CO"/>
              </w:rPr>
            </w:pPr>
            <w:r>
              <w:rPr>
                <w:rFonts w:ascii="Arial" w:hAnsi="Arial" w:cs="Arial"/>
                <w:color w:val="000000"/>
                <w:lang w:val="es-CO" w:eastAsia="es-CO"/>
              </w:rPr>
              <w:t>18 de Enero de 2018</w:t>
            </w:r>
          </w:p>
        </w:tc>
      </w:tr>
    </w:tbl>
    <w:p w14:paraId="0521F115" w14:textId="77777777" w:rsidR="00B2442D" w:rsidRDefault="00B2442D">
      <w:pPr>
        <w:autoSpaceDE w:val="0"/>
        <w:autoSpaceDN w:val="0"/>
        <w:adjustRightInd w:val="0"/>
        <w:spacing w:line="40" w:lineRule="atLeast"/>
        <w:ind w:left="720"/>
        <w:jc w:val="both"/>
        <w:rPr>
          <w:rFonts w:ascii="Arial" w:hAnsi="Arial" w:cs="Arial"/>
          <w:b/>
        </w:rPr>
      </w:pPr>
    </w:p>
    <w:p w14:paraId="022A782B" w14:textId="77777777" w:rsidR="00B2442D" w:rsidRDefault="008A645F">
      <w:pPr>
        <w:autoSpaceDE w:val="0"/>
        <w:autoSpaceDN w:val="0"/>
        <w:adjustRightInd w:val="0"/>
        <w:spacing w:line="40" w:lineRule="atLeast"/>
        <w:jc w:val="both"/>
        <w:rPr>
          <w:rFonts w:ascii="Arial" w:hAnsi="Arial" w:cs="Arial"/>
        </w:rPr>
      </w:pPr>
      <w:r>
        <w:rPr>
          <w:rFonts w:ascii="Arial" w:hAnsi="Arial" w:cs="Arial"/>
          <w:b/>
        </w:rPr>
        <w:t xml:space="preserve">Parágrafo. </w:t>
      </w:r>
      <w:r>
        <w:rPr>
          <w:rFonts w:ascii="Arial" w:hAnsi="Arial" w:cs="Arial"/>
        </w:rPr>
        <w:t xml:space="preserve">Se entenderán como no presentadas las declaraciones a las que se refiere el presente artículo </w:t>
      </w:r>
      <w:r>
        <w:rPr>
          <w:rFonts w:ascii="Arial" w:hAnsi="Arial" w:cs="Arial"/>
        </w:rPr>
        <w:t>cuando no se efectúe el pago en las fechas aquí establecidas, conforme con lo previsto en el artículo 222 de la Ley 1819 del 29 de diciembre de 2016.</w:t>
      </w:r>
    </w:p>
    <w:p w14:paraId="3250C34F" w14:textId="77777777" w:rsidR="00B2442D" w:rsidRDefault="00B2442D">
      <w:pPr>
        <w:jc w:val="both"/>
        <w:rPr>
          <w:rFonts w:ascii="Arial" w:hAnsi="Arial" w:cs="Arial"/>
          <w:b/>
          <w:lang w:val="es-CO"/>
        </w:rPr>
      </w:pPr>
    </w:p>
    <w:p w14:paraId="5F617309" w14:textId="77777777" w:rsidR="00B2442D" w:rsidRDefault="008A645F">
      <w:pPr>
        <w:jc w:val="both"/>
        <w:rPr>
          <w:rFonts w:ascii="Arial" w:hAnsi="Arial" w:cs="Arial"/>
          <w:i/>
          <w:lang w:val="es-CO"/>
        </w:rPr>
      </w:pPr>
      <w:r>
        <w:rPr>
          <w:rFonts w:ascii="Arial" w:hAnsi="Arial" w:cs="Arial"/>
          <w:i/>
          <w:lang w:val="es-CO"/>
        </w:rPr>
        <w:t>(</w:t>
      </w:r>
      <w:hyperlink r:id="rId78" w:history="1">
        <w:r>
          <w:rPr>
            <w:rStyle w:val="Hipervnculo"/>
            <w:rFonts w:ascii="Arial" w:hAnsi="Arial" w:cs="Arial"/>
            <w:i/>
            <w:lang w:val="es-CO"/>
          </w:rPr>
          <w:t>Art 2. Decreto 220 de 2017</w:t>
        </w:r>
      </w:hyperlink>
      <w:r>
        <w:rPr>
          <w:rFonts w:ascii="Arial" w:hAnsi="Arial" w:cs="Arial"/>
          <w:i/>
          <w:lang w:val="es-CO"/>
        </w:rPr>
        <w:t>)</w:t>
      </w:r>
    </w:p>
    <w:p w14:paraId="38871934" w14:textId="77777777" w:rsidR="00B2442D" w:rsidRDefault="00B2442D">
      <w:pPr>
        <w:jc w:val="both"/>
        <w:rPr>
          <w:rFonts w:ascii="Arial" w:hAnsi="Arial" w:cs="Arial"/>
          <w:b/>
          <w:lang w:val="es-CO"/>
        </w:rPr>
      </w:pPr>
    </w:p>
    <w:p w14:paraId="31DEC02D" w14:textId="77777777" w:rsidR="00B2442D" w:rsidRDefault="008A645F">
      <w:pPr>
        <w:pStyle w:val="Ttulo4"/>
        <w:rPr>
          <w:lang w:val="es-CO"/>
        </w:rPr>
      </w:pPr>
      <w:r>
        <w:rPr>
          <w:lang w:val="es-CO"/>
        </w:rPr>
        <w:t>CAPÍTULO 14</w:t>
      </w:r>
    </w:p>
    <w:p w14:paraId="497F417C" w14:textId="77777777" w:rsidR="00B2442D" w:rsidRDefault="008A645F">
      <w:pPr>
        <w:pStyle w:val="Ttulo4"/>
        <w:rPr>
          <w:lang w:val="es-CO"/>
        </w:rPr>
      </w:pPr>
      <w:r>
        <w:rPr>
          <w:lang w:val="es-CO"/>
        </w:rPr>
        <w:t>Actuación ante la Administración Tributaria</w:t>
      </w:r>
    </w:p>
    <w:p w14:paraId="3200024C" w14:textId="77777777" w:rsidR="00B2442D" w:rsidRDefault="00B2442D">
      <w:pPr>
        <w:rPr>
          <w:rFonts w:ascii="Arial" w:hAnsi="Arial" w:cs="Arial"/>
          <w:lang w:val="es-CO"/>
        </w:rPr>
      </w:pPr>
    </w:p>
    <w:p w14:paraId="4564E5B1" w14:textId="77777777" w:rsidR="00B2442D" w:rsidRDefault="008A645F">
      <w:pPr>
        <w:pStyle w:val="Prrafodelista"/>
        <w:numPr>
          <w:ilvl w:val="0"/>
          <w:numId w:val="116"/>
        </w:numPr>
        <w:ind w:left="0" w:firstLine="0"/>
        <w:jc w:val="both"/>
        <w:rPr>
          <w:rFonts w:ascii="Arial" w:hAnsi="Arial" w:cs="Arial"/>
          <w:lang w:val="es-CO"/>
        </w:rPr>
      </w:pPr>
      <w:r>
        <w:rPr>
          <w:rFonts w:ascii="Arial" w:hAnsi="Arial" w:cs="Arial"/>
          <w:b/>
          <w:i/>
          <w:lang w:val="es-CO"/>
        </w:rPr>
        <w:t>Presentación de escritos.</w:t>
      </w:r>
      <w:r>
        <w:rPr>
          <w:rFonts w:ascii="Arial" w:hAnsi="Arial" w:cs="Arial"/>
          <w:lang w:val="es-CO"/>
        </w:rPr>
        <w:t xml:space="preserve"> El signatario que se encuentre en lugar d</w:t>
      </w:r>
      <w:r>
        <w:rPr>
          <w:rFonts w:ascii="Arial" w:hAnsi="Arial" w:cs="Arial"/>
          <w:lang w:val="es-CO"/>
        </w:rPr>
        <w:t>istinto al de la administración competente, podrá presentar sus escritos, ante el Recaudador y en su defecto ante cualquier autoridad local, quien dejará constancia de su presentación personal. El interesado los remitirá a la oficina a la cual van dirigido</w:t>
      </w:r>
      <w:r>
        <w:rPr>
          <w:rFonts w:ascii="Arial" w:hAnsi="Arial" w:cs="Arial"/>
          <w:lang w:val="es-CO"/>
        </w:rPr>
        <w:t xml:space="preserve">s. </w:t>
      </w:r>
    </w:p>
    <w:p w14:paraId="4ACC8719" w14:textId="77777777" w:rsidR="00B2442D" w:rsidRDefault="008A645F">
      <w:pPr>
        <w:jc w:val="both"/>
        <w:rPr>
          <w:rFonts w:ascii="Arial" w:hAnsi="Arial" w:cs="Arial"/>
          <w:lang w:val="es-CO"/>
        </w:rPr>
      </w:pPr>
      <w:r>
        <w:rPr>
          <w:rFonts w:ascii="Arial" w:hAnsi="Arial" w:cs="Arial"/>
          <w:lang w:val="es-CO"/>
        </w:rPr>
        <w:t xml:space="preserve"> </w:t>
      </w:r>
    </w:p>
    <w:p w14:paraId="2367B515" w14:textId="77777777" w:rsidR="00B2442D" w:rsidRDefault="008A645F">
      <w:pPr>
        <w:jc w:val="both"/>
        <w:rPr>
          <w:rFonts w:ascii="Arial" w:hAnsi="Arial" w:cs="Arial"/>
          <w:lang w:val="es-CO"/>
        </w:rPr>
      </w:pPr>
      <w:r>
        <w:rPr>
          <w:rFonts w:ascii="Arial" w:hAnsi="Arial" w:cs="Arial"/>
          <w:lang w:val="es-CO"/>
        </w:rPr>
        <w:t>Los escritos se considerarán presentados en la fecha de su autenticación, pero los términos para la oficina competente comenzarán a correr al día siguiente de la fecha de su recibo.</w:t>
      </w:r>
    </w:p>
    <w:p w14:paraId="5C9AA8CA" w14:textId="77777777" w:rsidR="00B2442D" w:rsidRDefault="00B2442D">
      <w:pPr>
        <w:jc w:val="both"/>
        <w:rPr>
          <w:rFonts w:ascii="Arial" w:hAnsi="Arial" w:cs="Arial"/>
          <w:i/>
          <w:lang w:val="es-CO"/>
        </w:rPr>
      </w:pPr>
    </w:p>
    <w:p w14:paraId="344A3622" w14:textId="77777777" w:rsidR="00B2442D" w:rsidRDefault="008A645F">
      <w:pPr>
        <w:jc w:val="both"/>
        <w:rPr>
          <w:rFonts w:ascii="Arial" w:hAnsi="Arial" w:cs="Arial"/>
          <w:i/>
          <w:lang w:val="es-CO"/>
        </w:rPr>
      </w:pPr>
      <w:r>
        <w:rPr>
          <w:rFonts w:ascii="Arial" w:hAnsi="Arial" w:cs="Arial"/>
          <w:i/>
          <w:lang w:val="es-CO"/>
        </w:rPr>
        <w:t>(Art. 51, Decreto 825 de 1978)</w:t>
      </w:r>
    </w:p>
    <w:p w14:paraId="1E0B8DA5" w14:textId="77777777" w:rsidR="00B2442D" w:rsidRDefault="00B2442D">
      <w:pPr>
        <w:jc w:val="both"/>
        <w:rPr>
          <w:rFonts w:ascii="Arial" w:hAnsi="Arial" w:cs="Arial"/>
          <w:lang w:val="es-CO"/>
        </w:rPr>
      </w:pPr>
    </w:p>
    <w:p w14:paraId="3C45BDDF" w14:textId="77777777" w:rsidR="00B2442D" w:rsidRDefault="008A645F">
      <w:pPr>
        <w:pStyle w:val="Prrafodelista"/>
        <w:numPr>
          <w:ilvl w:val="0"/>
          <w:numId w:val="116"/>
        </w:numPr>
        <w:ind w:left="0" w:firstLine="0"/>
        <w:jc w:val="both"/>
        <w:rPr>
          <w:rFonts w:ascii="Arial" w:hAnsi="Arial" w:cs="Arial"/>
          <w:lang w:val="es-CO"/>
        </w:rPr>
      </w:pPr>
      <w:r>
        <w:rPr>
          <w:rFonts w:ascii="Arial" w:hAnsi="Arial" w:cs="Arial"/>
          <w:b/>
          <w:i/>
          <w:lang w:val="es-CO"/>
        </w:rPr>
        <w:t xml:space="preserve"> Actuación ante la administración. </w:t>
      </w:r>
      <w:r>
        <w:rPr>
          <w:rFonts w:ascii="Arial" w:hAnsi="Arial" w:cs="Arial"/>
          <w:lang w:val="es-CO"/>
        </w:rPr>
        <w:t xml:space="preserve">Los contribuyentes pueden actuar ante la Administración Tributaria, personalmente o por medio de sus representantes o apoderados. </w:t>
      </w:r>
    </w:p>
    <w:p w14:paraId="5A91E010" w14:textId="77777777" w:rsidR="00B2442D" w:rsidRDefault="008A645F">
      <w:pPr>
        <w:jc w:val="both"/>
        <w:rPr>
          <w:rFonts w:ascii="Arial" w:hAnsi="Arial" w:cs="Arial"/>
          <w:lang w:val="es-CO"/>
        </w:rPr>
      </w:pPr>
      <w:r>
        <w:rPr>
          <w:rFonts w:ascii="Arial" w:hAnsi="Arial" w:cs="Arial"/>
          <w:lang w:val="es-CO"/>
        </w:rPr>
        <w:t xml:space="preserve"> </w:t>
      </w:r>
    </w:p>
    <w:p w14:paraId="294DADAA" w14:textId="77777777" w:rsidR="00B2442D" w:rsidRDefault="008A645F">
      <w:pPr>
        <w:jc w:val="both"/>
        <w:rPr>
          <w:rFonts w:ascii="Arial" w:hAnsi="Arial" w:cs="Arial"/>
          <w:lang w:val="es-CO"/>
        </w:rPr>
      </w:pPr>
      <w:r>
        <w:rPr>
          <w:rFonts w:ascii="Arial" w:hAnsi="Arial" w:cs="Arial"/>
          <w:lang w:val="es-CO"/>
        </w:rPr>
        <w:t xml:space="preserve">Los infantes, impúberes y demás incapaces actuarán por medio de sus representantes. </w:t>
      </w:r>
    </w:p>
    <w:p w14:paraId="240C2328" w14:textId="77777777" w:rsidR="00B2442D" w:rsidRDefault="008A645F">
      <w:pPr>
        <w:jc w:val="both"/>
        <w:rPr>
          <w:rFonts w:ascii="Arial" w:hAnsi="Arial" w:cs="Arial"/>
          <w:lang w:val="es-CO"/>
        </w:rPr>
      </w:pPr>
      <w:r>
        <w:rPr>
          <w:rFonts w:ascii="Arial" w:hAnsi="Arial" w:cs="Arial"/>
          <w:lang w:val="es-CO"/>
        </w:rPr>
        <w:t xml:space="preserve"> </w:t>
      </w:r>
    </w:p>
    <w:p w14:paraId="00AD8B8E" w14:textId="77777777" w:rsidR="00B2442D" w:rsidRDefault="008A645F">
      <w:pPr>
        <w:jc w:val="both"/>
        <w:rPr>
          <w:rFonts w:ascii="Arial" w:hAnsi="Arial" w:cs="Arial"/>
          <w:lang w:val="es-CO"/>
        </w:rPr>
      </w:pPr>
      <w:r>
        <w:rPr>
          <w:rFonts w:ascii="Arial" w:hAnsi="Arial" w:cs="Arial"/>
          <w:lang w:val="es-CO"/>
        </w:rPr>
        <w:t>L</w:t>
      </w:r>
      <w:r>
        <w:rPr>
          <w:rFonts w:ascii="Arial" w:hAnsi="Arial" w:cs="Arial"/>
          <w:lang w:val="es-CO"/>
        </w:rPr>
        <w:t>os contribuyentes menores adultos pueden comparecer directamente o por medio de sus representantes.</w:t>
      </w:r>
    </w:p>
    <w:p w14:paraId="1CCF67C8" w14:textId="77777777" w:rsidR="00B2442D" w:rsidRDefault="00B2442D">
      <w:pPr>
        <w:jc w:val="both"/>
        <w:rPr>
          <w:rFonts w:ascii="Arial" w:hAnsi="Arial" w:cs="Arial"/>
          <w:i/>
          <w:lang w:val="es-CO"/>
        </w:rPr>
      </w:pPr>
    </w:p>
    <w:p w14:paraId="5BCD290A" w14:textId="77777777" w:rsidR="00B2442D" w:rsidRDefault="008A645F">
      <w:pPr>
        <w:jc w:val="both"/>
        <w:rPr>
          <w:rFonts w:ascii="Arial" w:hAnsi="Arial" w:cs="Arial"/>
          <w:i/>
          <w:lang w:val="es-CO"/>
        </w:rPr>
      </w:pPr>
      <w:r>
        <w:rPr>
          <w:rFonts w:ascii="Arial" w:hAnsi="Arial" w:cs="Arial"/>
          <w:i/>
          <w:lang w:val="es-CO"/>
        </w:rPr>
        <w:t>(Art. 53, Decreto 825 de 1978)</w:t>
      </w:r>
    </w:p>
    <w:p w14:paraId="68AC519D" w14:textId="77777777" w:rsidR="00B2442D" w:rsidRDefault="00B2442D">
      <w:pPr>
        <w:jc w:val="both"/>
        <w:rPr>
          <w:rFonts w:ascii="Arial" w:hAnsi="Arial" w:cs="Arial"/>
          <w:b/>
          <w:lang w:val="es-CO"/>
        </w:rPr>
      </w:pPr>
    </w:p>
    <w:p w14:paraId="35C3E8A0" w14:textId="77777777" w:rsidR="00B2442D" w:rsidRDefault="008A645F">
      <w:pPr>
        <w:pStyle w:val="Ttulo4"/>
        <w:rPr>
          <w:lang w:val="es-CO"/>
        </w:rPr>
      </w:pPr>
      <w:r>
        <w:rPr>
          <w:lang w:val="es-CO"/>
        </w:rPr>
        <w:t>CAPÍTULO 15</w:t>
      </w:r>
    </w:p>
    <w:p w14:paraId="37C00DE1" w14:textId="77777777" w:rsidR="00B2442D" w:rsidRDefault="008A645F">
      <w:pPr>
        <w:pStyle w:val="Ttulo4"/>
        <w:rPr>
          <w:lang w:val="es-CO"/>
        </w:rPr>
      </w:pPr>
      <w:r>
        <w:rPr>
          <w:lang w:val="es-CO"/>
        </w:rPr>
        <w:t>Recursos tributarios</w:t>
      </w:r>
    </w:p>
    <w:p w14:paraId="5DE13CB7" w14:textId="77777777" w:rsidR="00B2442D" w:rsidRDefault="00B2442D">
      <w:pPr>
        <w:rPr>
          <w:rFonts w:ascii="Arial" w:hAnsi="Arial" w:cs="Arial"/>
          <w:lang w:val="es-CO"/>
        </w:rPr>
      </w:pPr>
    </w:p>
    <w:p w14:paraId="24E3195D" w14:textId="77777777" w:rsidR="00B2442D" w:rsidRDefault="008A645F">
      <w:pPr>
        <w:pStyle w:val="Prrafodelista"/>
        <w:numPr>
          <w:ilvl w:val="0"/>
          <w:numId w:val="117"/>
        </w:numPr>
        <w:ind w:left="0" w:firstLine="0"/>
        <w:jc w:val="both"/>
        <w:rPr>
          <w:rFonts w:ascii="Arial" w:hAnsi="Arial" w:cs="Arial"/>
          <w:lang w:val="es-CO"/>
        </w:rPr>
      </w:pPr>
      <w:r>
        <w:rPr>
          <w:rFonts w:ascii="Arial" w:hAnsi="Arial" w:cs="Arial"/>
          <w:b/>
          <w:i/>
          <w:lang w:val="es-CO"/>
        </w:rPr>
        <w:t xml:space="preserve"> Auto de admisión del recurso de reconsideración.</w:t>
      </w:r>
      <w:r>
        <w:rPr>
          <w:rFonts w:ascii="Arial" w:hAnsi="Arial" w:cs="Arial"/>
          <w:lang w:val="es-CO"/>
        </w:rPr>
        <w:t xml:space="preserve"> Para efectos de lo dispuesto en el artí</w:t>
      </w:r>
      <w:r>
        <w:rPr>
          <w:rFonts w:ascii="Arial" w:hAnsi="Arial" w:cs="Arial"/>
          <w:lang w:val="es-CO"/>
        </w:rPr>
        <w:t xml:space="preserve">culo 722 del Estatuto Tributario, cuando el recurso de reconsideración cumpla con la totalidad de los requisitos allí señalados, deberá dictarse auto de admisión del recurso dentro del mes siguiente a su interposición. </w:t>
      </w:r>
    </w:p>
    <w:p w14:paraId="3750D94E" w14:textId="77777777" w:rsidR="00B2442D" w:rsidRDefault="00B2442D">
      <w:pPr>
        <w:jc w:val="both"/>
        <w:rPr>
          <w:rFonts w:ascii="Arial" w:hAnsi="Arial" w:cs="Arial"/>
          <w:lang w:val="es-CO"/>
        </w:rPr>
      </w:pPr>
    </w:p>
    <w:p w14:paraId="33AD5AFB" w14:textId="77777777" w:rsidR="00B2442D" w:rsidRDefault="008A645F">
      <w:pPr>
        <w:jc w:val="both"/>
        <w:rPr>
          <w:rFonts w:ascii="Arial" w:hAnsi="Arial" w:cs="Arial"/>
          <w:lang w:val="es-CO"/>
        </w:rPr>
      </w:pPr>
      <w:r>
        <w:rPr>
          <w:rFonts w:ascii="Arial" w:hAnsi="Arial" w:cs="Arial"/>
          <w:lang w:val="es-CO"/>
        </w:rPr>
        <w:t>La providencia anterior se notifica</w:t>
      </w:r>
      <w:r>
        <w:rPr>
          <w:rFonts w:ascii="Arial" w:hAnsi="Arial" w:cs="Arial"/>
          <w:lang w:val="es-CO"/>
        </w:rPr>
        <w:t>rá por correo, salvo que deba realizarse al agente oficioso, caso en el cual se realizará personalmente, o por edicto si pasados diez (10) días a partir de la fecha de la citación, el agente no se presentare a notificarse personalmente.</w:t>
      </w:r>
    </w:p>
    <w:p w14:paraId="1C881A44" w14:textId="77777777" w:rsidR="00B2442D" w:rsidRDefault="00B2442D">
      <w:pPr>
        <w:jc w:val="both"/>
        <w:rPr>
          <w:rFonts w:ascii="Arial" w:hAnsi="Arial" w:cs="Arial"/>
          <w:i/>
          <w:lang w:val="es-CO"/>
        </w:rPr>
      </w:pPr>
    </w:p>
    <w:p w14:paraId="2C645655" w14:textId="77777777" w:rsidR="00B2442D" w:rsidRDefault="008A645F">
      <w:pPr>
        <w:jc w:val="both"/>
        <w:rPr>
          <w:rFonts w:ascii="Arial" w:hAnsi="Arial" w:cs="Arial"/>
          <w:i/>
          <w:lang w:val="es-CO"/>
        </w:rPr>
      </w:pPr>
      <w:r>
        <w:rPr>
          <w:rFonts w:ascii="Arial" w:hAnsi="Arial" w:cs="Arial"/>
          <w:i/>
          <w:lang w:val="es-CO"/>
        </w:rPr>
        <w:t xml:space="preserve">(Art. 28, Decreto </w:t>
      </w:r>
      <w:r>
        <w:rPr>
          <w:rFonts w:ascii="Arial" w:hAnsi="Arial" w:cs="Arial"/>
          <w:i/>
          <w:lang w:val="es-CO"/>
        </w:rPr>
        <w:t>1372 de 1992)</w:t>
      </w:r>
    </w:p>
    <w:p w14:paraId="2050B420" w14:textId="77777777" w:rsidR="00B2442D" w:rsidRDefault="00B2442D">
      <w:pPr>
        <w:jc w:val="both"/>
        <w:rPr>
          <w:rFonts w:ascii="Arial" w:hAnsi="Arial" w:cs="Arial"/>
          <w:b/>
          <w:lang w:val="es-CO"/>
        </w:rPr>
      </w:pPr>
    </w:p>
    <w:p w14:paraId="531B00C6" w14:textId="77777777" w:rsidR="00B2442D" w:rsidRDefault="008A645F">
      <w:pPr>
        <w:pStyle w:val="Prrafodelista"/>
        <w:numPr>
          <w:ilvl w:val="0"/>
          <w:numId w:val="117"/>
        </w:numPr>
        <w:ind w:left="0" w:firstLine="0"/>
        <w:jc w:val="both"/>
        <w:rPr>
          <w:rFonts w:ascii="Arial" w:hAnsi="Arial" w:cs="Arial"/>
          <w:lang w:val="es-CO"/>
        </w:rPr>
      </w:pPr>
      <w:r>
        <w:rPr>
          <w:rFonts w:ascii="Arial" w:hAnsi="Arial" w:cs="Arial"/>
          <w:b/>
          <w:i/>
          <w:lang w:val="es-CO"/>
        </w:rPr>
        <w:t xml:space="preserve"> Silencio administrativo positivo para admitir recurso de reconsideración.</w:t>
      </w:r>
      <w:r>
        <w:rPr>
          <w:rFonts w:ascii="Arial" w:hAnsi="Arial" w:cs="Arial"/>
          <w:lang w:val="es-CO"/>
        </w:rPr>
        <w:t xml:space="preserve"> De conformidad con lo dispuesto en el inciso segundo del artículo 726 del Estatuto Tributario, si transcurridos quince (15) días contados desde el día hábil siguiente</w:t>
      </w:r>
      <w:r>
        <w:rPr>
          <w:rFonts w:ascii="Arial" w:hAnsi="Arial" w:cs="Arial"/>
          <w:lang w:val="es-CO"/>
        </w:rPr>
        <w:t xml:space="preserve"> al de interposición del recurso de reposición contra el auto de inadmisión del recurso de reconsideración, no se ha proferido decisión alguna que lo resuelva, se entenderá admitido el recurso y se procederá al fallo de fondo. </w:t>
      </w:r>
    </w:p>
    <w:p w14:paraId="4DF97AE7" w14:textId="77777777" w:rsidR="00B2442D" w:rsidRDefault="008A645F">
      <w:pPr>
        <w:jc w:val="both"/>
        <w:rPr>
          <w:rFonts w:ascii="Arial" w:hAnsi="Arial" w:cs="Arial"/>
          <w:lang w:val="es-CO"/>
        </w:rPr>
      </w:pPr>
      <w:r>
        <w:rPr>
          <w:rFonts w:ascii="Arial" w:hAnsi="Arial" w:cs="Arial"/>
          <w:lang w:val="es-CO"/>
        </w:rPr>
        <w:t xml:space="preserve"> </w:t>
      </w:r>
    </w:p>
    <w:p w14:paraId="76ECDAFD" w14:textId="77777777" w:rsidR="00B2442D" w:rsidRDefault="008A645F">
      <w:pPr>
        <w:jc w:val="both"/>
        <w:rPr>
          <w:rFonts w:ascii="Arial" w:hAnsi="Arial" w:cs="Arial"/>
          <w:lang w:val="es-CO"/>
        </w:rPr>
      </w:pPr>
      <w:r>
        <w:rPr>
          <w:rFonts w:ascii="Arial" w:hAnsi="Arial" w:cs="Arial"/>
          <w:lang w:val="es-CO"/>
        </w:rPr>
        <w:t>Dentro del término de quin</w:t>
      </w:r>
      <w:r>
        <w:rPr>
          <w:rFonts w:ascii="Arial" w:hAnsi="Arial" w:cs="Arial"/>
          <w:lang w:val="es-CO"/>
        </w:rPr>
        <w:t>ce (15) días a que se refiere este artículo no se entienden incluidos los términos necesarios para la debida notificación de la providencia que resuelve el recurso de reposición.</w:t>
      </w:r>
    </w:p>
    <w:p w14:paraId="779A0B66" w14:textId="77777777" w:rsidR="00B2442D" w:rsidRDefault="00B2442D">
      <w:pPr>
        <w:jc w:val="both"/>
        <w:rPr>
          <w:rFonts w:ascii="Arial" w:hAnsi="Arial" w:cs="Arial"/>
          <w:i/>
          <w:lang w:val="es-CO"/>
        </w:rPr>
      </w:pPr>
    </w:p>
    <w:p w14:paraId="6BB4530B" w14:textId="77777777" w:rsidR="00B2442D" w:rsidRDefault="008A645F">
      <w:pPr>
        <w:jc w:val="both"/>
        <w:rPr>
          <w:rFonts w:ascii="Arial" w:hAnsi="Arial" w:cs="Arial"/>
          <w:i/>
          <w:lang w:val="es-CO"/>
        </w:rPr>
      </w:pPr>
      <w:r>
        <w:rPr>
          <w:rFonts w:ascii="Arial" w:hAnsi="Arial" w:cs="Arial"/>
          <w:i/>
          <w:lang w:val="es-CO"/>
        </w:rPr>
        <w:t>(Art. 29, Decreto 1372 de 1992)</w:t>
      </w:r>
    </w:p>
    <w:p w14:paraId="7FE2CB19" w14:textId="77777777" w:rsidR="00B2442D" w:rsidRDefault="00B2442D">
      <w:pPr>
        <w:jc w:val="both"/>
        <w:rPr>
          <w:rFonts w:ascii="Arial" w:hAnsi="Arial" w:cs="Arial"/>
          <w:b/>
          <w:lang w:val="es-CO"/>
        </w:rPr>
      </w:pPr>
    </w:p>
    <w:p w14:paraId="3A9672E5" w14:textId="77777777" w:rsidR="00B2442D" w:rsidRDefault="008A645F">
      <w:pPr>
        <w:pStyle w:val="Prrafodelista"/>
        <w:numPr>
          <w:ilvl w:val="0"/>
          <w:numId w:val="117"/>
        </w:numPr>
        <w:ind w:left="0" w:firstLine="0"/>
        <w:jc w:val="both"/>
        <w:rPr>
          <w:rFonts w:ascii="Arial" w:hAnsi="Arial" w:cs="Arial"/>
          <w:lang w:val="es-CO"/>
        </w:rPr>
      </w:pPr>
      <w:r>
        <w:rPr>
          <w:rFonts w:ascii="Arial" w:hAnsi="Arial" w:cs="Arial"/>
          <w:b/>
          <w:i/>
          <w:lang w:val="es-CO"/>
        </w:rPr>
        <w:t xml:space="preserve"> Oportunidad para subsanar requisitos del recurso de reconsideración.</w:t>
      </w:r>
      <w:r>
        <w:rPr>
          <w:rFonts w:ascii="Arial" w:hAnsi="Arial" w:cs="Arial"/>
          <w:lang w:val="es-CO"/>
        </w:rPr>
        <w:t xml:space="preserve"> La omisión de los requisitos contemplados en los literales a) y c) del artículo 722 del Estatuto Tributario, pueden ser saneados dentro del término de interposición del recurso de reposi</w:t>
      </w:r>
      <w:r>
        <w:rPr>
          <w:rFonts w:ascii="Arial" w:hAnsi="Arial" w:cs="Arial"/>
          <w:lang w:val="es-CO"/>
        </w:rPr>
        <w:t xml:space="preserve">ción contra el auto de inadmisión del recurso de reconsideración. </w:t>
      </w:r>
    </w:p>
    <w:p w14:paraId="38C29BED" w14:textId="77777777" w:rsidR="00B2442D" w:rsidRDefault="00B2442D">
      <w:pPr>
        <w:jc w:val="both"/>
        <w:rPr>
          <w:rFonts w:ascii="Arial" w:hAnsi="Arial" w:cs="Arial"/>
          <w:i/>
          <w:lang w:val="es-CO"/>
        </w:rPr>
      </w:pPr>
    </w:p>
    <w:p w14:paraId="1CE499AF" w14:textId="77777777" w:rsidR="00B2442D" w:rsidRDefault="008A645F">
      <w:pPr>
        <w:jc w:val="both"/>
        <w:rPr>
          <w:rFonts w:ascii="Arial" w:hAnsi="Arial" w:cs="Arial"/>
          <w:i/>
          <w:lang w:val="es-CO"/>
        </w:rPr>
      </w:pPr>
      <w:r>
        <w:rPr>
          <w:rFonts w:ascii="Arial" w:hAnsi="Arial" w:cs="Arial"/>
          <w:i/>
          <w:lang w:val="es-CO"/>
        </w:rPr>
        <w:t>(Art. 30, Decreto 1372 de 1992. Literal d) del E.T. fue declarado inexequible por la Corte Constitucional - Sentencia C-1441-00 de 25 de oct. de 2000)</w:t>
      </w:r>
    </w:p>
    <w:p w14:paraId="08E8861A" w14:textId="77777777" w:rsidR="00B2442D" w:rsidRDefault="00B2442D">
      <w:pPr>
        <w:jc w:val="both"/>
        <w:rPr>
          <w:rFonts w:ascii="Arial" w:hAnsi="Arial" w:cs="Arial"/>
          <w:i/>
          <w:lang w:val="es-CO"/>
        </w:rPr>
      </w:pPr>
    </w:p>
    <w:p w14:paraId="5B6D3769" w14:textId="77777777" w:rsidR="00B2442D" w:rsidRDefault="008A645F">
      <w:pPr>
        <w:pStyle w:val="Ttulo4"/>
        <w:rPr>
          <w:lang w:val="es-CO"/>
        </w:rPr>
      </w:pPr>
      <w:r>
        <w:rPr>
          <w:lang w:val="es-CO"/>
        </w:rPr>
        <w:t>CAPÍTULO 16</w:t>
      </w:r>
    </w:p>
    <w:p w14:paraId="07F3982E" w14:textId="77777777" w:rsidR="00B2442D" w:rsidRDefault="008A645F">
      <w:pPr>
        <w:pStyle w:val="Ttulo4"/>
        <w:rPr>
          <w:lang w:val="es-CO"/>
        </w:rPr>
      </w:pPr>
      <w:r>
        <w:rPr>
          <w:lang w:val="es-CO"/>
        </w:rPr>
        <w:t xml:space="preserve">Pagos que </w:t>
      </w:r>
      <w:r>
        <w:rPr>
          <w:lang w:val="es-CO"/>
        </w:rPr>
        <w:t>efectúen las entidades que reciban aportes del presupuesto general de la Nación</w:t>
      </w:r>
    </w:p>
    <w:p w14:paraId="2721D8CE" w14:textId="77777777" w:rsidR="00B2442D" w:rsidRDefault="00B2442D">
      <w:pPr>
        <w:rPr>
          <w:rFonts w:ascii="Arial" w:hAnsi="Arial" w:cs="Arial"/>
          <w:lang w:val="es-CO"/>
        </w:rPr>
      </w:pPr>
    </w:p>
    <w:p w14:paraId="5887243C" w14:textId="77777777" w:rsidR="00B2442D" w:rsidRDefault="008A645F">
      <w:pPr>
        <w:pStyle w:val="Prrafodelista"/>
        <w:numPr>
          <w:ilvl w:val="0"/>
          <w:numId w:val="118"/>
        </w:numPr>
        <w:ind w:left="0" w:firstLine="0"/>
        <w:jc w:val="both"/>
        <w:rPr>
          <w:rFonts w:ascii="Arial" w:hAnsi="Arial" w:cs="Arial"/>
          <w:lang w:val="es-CO"/>
        </w:rPr>
      </w:pPr>
      <w:r>
        <w:rPr>
          <w:rFonts w:ascii="Arial" w:hAnsi="Arial" w:cs="Arial"/>
          <w:b/>
          <w:i/>
          <w:lang w:val="es-CO"/>
        </w:rPr>
        <w:t>Aportes del presupuesto general de la Nación.</w:t>
      </w:r>
      <w:r>
        <w:rPr>
          <w:rFonts w:ascii="Arial" w:hAnsi="Arial" w:cs="Arial"/>
          <w:lang w:val="es-CO"/>
        </w:rPr>
        <w:t xml:space="preserve"> Los pagos que efectúen las entidades que reciban aportes del Presupuesto General de la Nación - administración central y establec</w:t>
      </w:r>
      <w:r>
        <w:rPr>
          <w:rFonts w:ascii="Arial" w:hAnsi="Arial" w:cs="Arial"/>
          <w:lang w:val="es-CO"/>
        </w:rPr>
        <w:t>imientos públicos, las empresas industriales y comerciales del Estado y las sociedades de economía mixta, del orden nacional, en su calidad de agentes retenedores del Impuesto sobre las Ventas, IVA, deben ser realizados en entidades financieras que cuenten</w:t>
      </w:r>
      <w:r>
        <w:rPr>
          <w:rFonts w:ascii="Arial" w:hAnsi="Arial" w:cs="Arial"/>
          <w:lang w:val="es-CO"/>
        </w:rPr>
        <w:t xml:space="preserve"> con capital garantía otorgado por el Fondo de Garantías de Instituciones Financieras Fogafin o en establecimientos bancarios comerciales con régimen de empresa industrial y comercial del Estado, esto es, en los que la participación directa de la Nación se</w:t>
      </w:r>
      <w:r>
        <w:rPr>
          <w:rFonts w:ascii="Arial" w:hAnsi="Arial" w:cs="Arial"/>
          <w:lang w:val="es-CO"/>
        </w:rPr>
        <w:t>a igual o superior al noventa por ciento (90%).</w:t>
      </w:r>
    </w:p>
    <w:p w14:paraId="538603FD" w14:textId="77777777" w:rsidR="00B2442D" w:rsidRDefault="00B2442D">
      <w:pPr>
        <w:jc w:val="both"/>
        <w:rPr>
          <w:rFonts w:ascii="Arial" w:hAnsi="Arial" w:cs="Arial"/>
          <w:i/>
          <w:lang w:val="es-CO"/>
        </w:rPr>
      </w:pPr>
    </w:p>
    <w:p w14:paraId="5753D3DB" w14:textId="77777777" w:rsidR="00B2442D" w:rsidRDefault="008A645F">
      <w:pPr>
        <w:jc w:val="both"/>
        <w:rPr>
          <w:rFonts w:ascii="Arial" w:hAnsi="Arial" w:cs="Arial"/>
          <w:i/>
          <w:lang w:val="es-CO"/>
        </w:rPr>
      </w:pPr>
      <w:r>
        <w:rPr>
          <w:rFonts w:ascii="Arial" w:hAnsi="Arial" w:cs="Arial"/>
          <w:i/>
          <w:lang w:val="es-CO"/>
        </w:rPr>
        <w:t>(Art. 1, Decreto 1427 de 1998)</w:t>
      </w:r>
    </w:p>
    <w:p w14:paraId="45F35552" w14:textId="77777777" w:rsidR="00B2442D" w:rsidRDefault="00B2442D">
      <w:pPr>
        <w:jc w:val="both"/>
        <w:rPr>
          <w:rFonts w:ascii="Arial" w:hAnsi="Arial" w:cs="Arial"/>
          <w:b/>
          <w:lang w:val="es-CO"/>
        </w:rPr>
      </w:pPr>
    </w:p>
    <w:p w14:paraId="231CFFAF" w14:textId="77777777" w:rsidR="00B2442D" w:rsidRDefault="008A645F">
      <w:pPr>
        <w:pStyle w:val="Prrafodelista"/>
        <w:numPr>
          <w:ilvl w:val="0"/>
          <w:numId w:val="118"/>
        </w:numPr>
        <w:ind w:left="0" w:firstLine="0"/>
        <w:jc w:val="both"/>
        <w:rPr>
          <w:rFonts w:ascii="Arial" w:hAnsi="Arial" w:cs="Arial"/>
          <w:lang w:val="es-CO"/>
        </w:rPr>
      </w:pPr>
      <w:r>
        <w:rPr>
          <w:rFonts w:ascii="Arial" w:hAnsi="Arial" w:cs="Arial"/>
          <w:b/>
          <w:i/>
          <w:lang w:val="es-CO"/>
        </w:rPr>
        <w:t xml:space="preserve"> Información de las entidades financieras con capital garantía</w:t>
      </w:r>
      <w:r>
        <w:rPr>
          <w:rFonts w:ascii="Arial" w:hAnsi="Arial" w:cs="Arial"/>
          <w:lang w:val="es-CO"/>
        </w:rPr>
        <w:t>. El Fondo de Garantías de Instituciones Financieras – Fogafin - o la Superintendencia Financiera de Colombia, se</w:t>
      </w:r>
      <w:r>
        <w:rPr>
          <w:rFonts w:ascii="Arial" w:hAnsi="Arial" w:cs="Arial"/>
          <w:lang w:val="es-CO"/>
        </w:rPr>
        <w:t>gún el caso, informarán oportunamente a la Unidad Administrativa Especial Dirección de Impuestos y Aduanas Nacionales, cuáles son las entidades financieras que cumplen los supuestos exigidos en el artículo precedente para recibir el pago del impuesto a las</w:t>
      </w:r>
      <w:r>
        <w:rPr>
          <w:rFonts w:ascii="Arial" w:hAnsi="Arial" w:cs="Arial"/>
          <w:lang w:val="es-CO"/>
        </w:rPr>
        <w:t xml:space="preserve"> ventas.</w:t>
      </w:r>
    </w:p>
    <w:p w14:paraId="2A89AEB2" w14:textId="77777777" w:rsidR="00B2442D" w:rsidRDefault="00B2442D">
      <w:pPr>
        <w:jc w:val="both"/>
        <w:rPr>
          <w:rFonts w:ascii="Arial" w:hAnsi="Arial" w:cs="Arial"/>
          <w:i/>
          <w:lang w:val="es-CO"/>
        </w:rPr>
      </w:pPr>
    </w:p>
    <w:p w14:paraId="7EFFBF7F" w14:textId="77777777" w:rsidR="00B2442D" w:rsidRDefault="008A645F">
      <w:pPr>
        <w:jc w:val="both"/>
        <w:rPr>
          <w:rFonts w:ascii="Arial" w:hAnsi="Arial" w:cs="Arial"/>
          <w:i/>
          <w:lang w:val="es-CO"/>
        </w:rPr>
      </w:pPr>
      <w:r>
        <w:rPr>
          <w:rFonts w:ascii="Arial" w:hAnsi="Arial" w:cs="Arial"/>
          <w:i/>
          <w:lang w:val="es-CO"/>
        </w:rPr>
        <w:t>(Art. 2, Decreto 1427 de 1998)</w:t>
      </w:r>
    </w:p>
    <w:p w14:paraId="34626D5D" w14:textId="77777777" w:rsidR="00B2442D" w:rsidRDefault="00B2442D">
      <w:pPr>
        <w:jc w:val="both"/>
        <w:rPr>
          <w:rFonts w:ascii="Arial" w:hAnsi="Arial" w:cs="Arial"/>
          <w:lang w:val="es-CO"/>
        </w:rPr>
      </w:pPr>
    </w:p>
    <w:p w14:paraId="3F0A56F0" w14:textId="77777777" w:rsidR="00B2442D" w:rsidRDefault="008A645F">
      <w:pPr>
        <w:pStyle w:val="Prrafodelista"/>
        <w:numPr>
          <w:ilvl w:val="0"/>
          <w:numId w:val="118"/>
        </w:numPr>
        <w:ind w:left="0" w:firstLine="0"/>
        <w:jc w:val="both"/>
        <w:rPr>
          <w:rFonts w:ascii="Arial" w:hAnsi="Arial" w:cs="Arial"/>
          <w:lang w:val="es-CO"/>
        </w:rPr>
      </w:pPr>
      <w:r>
        <w:rPr>
          <w:rFonts w:ascii="Arial" w:hAnsi="Arial" w:cs="Arial"/>
          <w:b/>
          <w:i/>
          <w:lang w:val="es-CO"/>
        </w:rPr>
        <w:t xml:space="preserve"> Información a las entidades públicas.</w:t>
      </w:r>
      <w:r>
        <w:rPr>
          <w:rFonts w:ascii="Arial" w:hAnsi="Arial" w:cs="Arial"/>
          <w:lang w:val="es-CO"/>
        </w:rPr>
        <w:t xml:space="preserve"> La Unidad Administrativa Especial Dirección de Impuestos y Aduanas Nacionales– DIAN informará a las entidades públicas, de que trata el artículo 1.6.1.16.1 del presente Decret</w:t>
      </w:r>
      <w:r>
        <w:rPr>
          <w:rFonts w:ascii="Arial" w:hAnsi="Arial" w:cs="Arial"/>
          <w:lang w:val="es-CO"/>
        </w:rPr>
        <w:t>o, las instituciones financieras donde deberán efectuar los pagos como agentes retenedores del IVA.</w:t>
      </w:r>
    </w:p>
    <w:p w14:paraId="0AB5F9FA" w14:textId="77777777" w:rsidR="00B2442D" w:rsidRDefault="00B2442D">
      <w:pPr>
        <w:jc w:val="both"/>
        <w:rPr>
          <w:rFonts w:ascii="Arial" w:hAnsi="Arial" w:cs="Arial"/>
          <w:i/>
          <w:lang w:val="es-CO"/>
        </w:rPr>
      </w:pPr>
    </w:p>
    <w:p w14:paraId="0243958F" w14:textId="77777777" w:rsidR="00B2442D" w:rsidRDefault="008A645F">
      <w:pPr>
        <w:jc w:val="both"/>
        <w:rPr>
          <w:rFonts w:ascii="Arial" w:hAnsi="Arial" w:cs="Arial"/>
          <w:i/>
          <w:lang w:val="es-CO"/>
        </w:rPr>
      </w:pPr>
      <w:r>
        <w:rPr>
          <w:rFonts w:ascii="Arial" w:hAnsi="Arial" w:cs="Arial"/>
          <w:i/>
          <w:lang w:val="es-CO"/>
        </w:rPr>
        <w:t>(Art. 3, Decreto 1427 de 1998)</w:t>
      </w:r>
    </w:p>
    <w:p w14:paraId="75CD4917" w14:textId="77777777" w:rsidR="00B2442D" w:rsidRDefault="00B2442D">
      <w:pPr>
        <w:jc w:val="both"/>
        <w:rPr>
          <w:rFonts w:ascii="Arial" w:hAnsi="Arial" w:cs="Arial"/>
          <w:lang w:val="es-CO"/>
        </w:rPr>
      </w:pPr>
    </w:p>
    <w:p w14:paraId="5F79F5C3" w14:textId="77777777" w:rsidR="00B2442D" w:rsidRDefault="008A645F">
      <w:pPr>
        <w:pStyle w:val="Prrafodelista"/>
        <w:numPr>
          <w:ilvl w:val="0"/>
          <w:numId w:val="118"/>
        </w:numPr>
        <w:ind w:left="0" w:firstLine="0"/>
        <w:jc w:val="both"/>
        <w:rPr>
          <w:rFonts w:ascii="Arial" w:hAnsi="Arial" w:cs="Arial"/>
          <w:lang w:val="es-CO"/>
        </w:rPr>
      </w:pPr>
      <w:r>
        <w:rPr>
          <w:rFonts w:ascii="Arial" w:hAnsi="Arial" w:cs="Arial"/>
          <w:b/>
          <w:i/>
          <w:lang w:val="es-CO"/>
        </w:rPr>
        <w:t>Falta grave.</w:t>
      </w:r>
      <w:r>
        <w:rPr>
          <w:rFonts w:ascii="Arial" w:hAnsi="Arial" w:cs="Arial"/>
          <w:lang w:val="es-CO"/>
        </w:rPr>
        <w:t xml:space="preserve"> Cuando el incumplimiento del traslado a la Dirección del Tesoro Nacional de los recursos recaudados por las en</w:t>
      </w:r>
      <w:r>
        <w:rPr>
          <w:rFonts w:ascii="Arial" w:hAnsi="Arial" w:cs="Arial"/>
          <w:lang w:val="es-CO"/>
        </w:rPr>
        <w:t xml:space="preserve">tidades financieras de que trata el artículo 1.6.1.16.1 del presente Decreto, de acuerdo con los plazos que haya determinado la Unidad Administrativa Especial Dirección de Impuestos y Aduanas Nacionales– DIAN, se derive de la insuficiencia de fondos, éste </w:t>
      </w:r>
      <w:r>
        <w:rPr>
          <w:rFonts w:ascii="Arial" w:hAnsi="Arial" w:cs="Arial"/>
          <w:lang w:val="es-CO"/>
        </w:rPr>
        <w:t>constituirá falta grave en los términos del artículo 677 del Estatuto Tributario.</w:t>
      </w:r>
    </w:p>
    <w:p w14:paraId="64D614BA" w14:textId="77777777" w:rsidR="00B2442D" w:rsidRDefault="00B2442D">
      <w:pPr>
        <w:jc w:val="both"/>
        <w:rPr>
          <w:rFonts w:ascii="Arial" w:hAnsi="Arial" w:cs="Arial"/>
          <w:lang w:val="es-CO"/>
        </w:rPr>
      </w:pPr>
    </w:p>
    <w:p w14:paraId="03E60A14" w14:textId="77777777" w:rsidR="00B2442D" w:rsidRDefault="008A645F">
      <w:pPr>
        <w:jc w:val="both"/>
        <w:rPr>
          <w:rFonts w:ascii="Arial" w:hAnsi="Arial" w:cs="Arial"/>
          <w:lang w:val="es-CO"/>
        </w:rPr>
      </w:pPr>
      <w:r>
        <w:rPr>
          <w:rFonts w:ascii="Arial" w:hAnsi="Arial" w:cs="Arial"/>
          <w:lang w:val="es-CO"/>
        </w:rPr>
        <w:t xml:space="preserve">La Unidad Administrativa Especial Dirección de Impuestos y Aduanas Nacionales– DIAN comunicará de dichos incumplimientos al Ministerio de Hacienda y Crédito Público, con el </w:t>
      </w:r>
      <w:r>
        <w:rPr>
          <w:rFonts w:ascii="Arial" w:hAnsi="Arial" w:cs="Arial"/>
          <w:lang w:val="es-CO"/>
        </w:rPr>
        <w:t>fin de cancelar la autorización para recaudar en la entidad incumplida.</w:t>
      </w:r>
    </w:p>
    <w:p w14:paraId="2B1D40F6" w14:textId="77777777" w:rsidR="00B2442D" w:rsidRDefault="00B2442D">
      <w:pPr>
        <w:jc w:val="both"/>
        <w:rPr>
          <w:rFonts w:ascii="Arial" w:hAnsi="Arial" w:cs="Arial"/>
          <w:lang w:val="es-CO"/>
        </w:rPr>
      </w:pPr>
    </w:p>
    <w:p w14:paraId="1C51F0D7" w14:textId="77777777" w:rsidR="00B2442D" w:rsidRDefault="008A645F">
      <w:pPr>
        <w:jc w:val="both"/>
        <w:rPr>
          <w:rFonts w:ascii="Arial" w:hAnsi="Arial" w:cs="Arial"/>
          <w:lang w:val="es-CO"/>
        </w:rPr>
      </w:pPr>
      <w:r>
        <w:rPr>
          <w:rFonts w:ascii="Arial" w:hAnsi="Arial" w:cs="Arial"/>
          <w:lang w:val="es-CO"/>
        </w:rPr>
        <w:t xml:space="preserve">Igualmente, la Unidad Administrativa Especial Dirección de Impuestos y Aduanas Nacionales– DIAN informará inmediatamente del hecho del incumplimiento al Fondo de Garantías de </w:t>
      </w:r>
      <w:r>
        <w:rPr>
          <w:rFonts w:ascii="Arial" w:hAnsi="Arial" w:cs="Arial"/>
          <w:lang w:val="es-CO"/>
        </w:rPr>
        <w:t>Instituciones Financieras, Fogafín, a la Superintendencia de Financiera de Colombia y a las entidades públicas.</w:t>
      </w:r>
    </w:p>
    <w:p w14:paraId="0E9128EC" w14:textId="77777777" w:rsidR="00B2442D" w:rsidRDefault="00B2442D">
      <w:pPr>
        <w:jc w:val="both"/>
        <w:rPr>
          <w:rFonts w:ascii="Arial" w:hAnsi="Arial" w:cs="Arial"/>
          <w:i/>
          <w:lang w:val="es-CO"/>
        </w:rPr>
      </w:pPr>
    </w:p>
    <w:p w14:paraId="71DB9DC7" w14:textId="77777777" w:rsidR="00B2442D" w:rsidRDefault="008A645F">
      <w:pPr>
        <w:jc w:val="both"/>
        <w:rPr>
          <w:rFonts w:ascii="Arial" w:hAnsi="Arial" w:cs="Arial"/>
          <w:i/>
          <w:lang w:val="es-CO"/>
        </w:rPr>
      </w:pPr>
      <w:r>
        <w:rPr>
          <w:rFonts w:ascii="Arial" w:hAnsi="Arial" w:cs="Arial"/>
          <w:i/>
          <w:lang w:val="es-CO"/>
        </w:rPr>
        <w:t>(Art. 4, Decreto 1427 de 1998)</w:t>
      </w:r>
    </w:p>
    <w:p w14:paraId="1140D667" w14:textId="77777777" w:rsidR="00B2442D" w:rsidRDefault="00B2442D">
      <w:pPr>
        <w:jc w:val="both"/>
        <w:rPr>
          <w:rFonts w:ascii="Arial" w:hAnsi="Arial" w:cs="Arial"/>
          <w:lang w:val="es-CO"/>
        </w:rPr>
      </w:pPr>
    </w:p>
    <w:p w14:paraId="7F6DF1AD" w14:textId="77777777" w:rsidR="00B2442D" w:rsidRDefault="008A645F">
      <w:pPr>
        <w:pStyle w:val="Prrafodelista"/>
        <w:numPr>
          <w:ilvl w:val="0"/>
          <w:numId w:val="118"/>
        </w:numPr>
        <w:ind w:left="0" w:firstLine="0"/>
        <w:jc w:val="both"/>
        <w:rPr>
          <w:rFonts w:ascii="Arial" w:hAnsi="Arial" w:cs="Arial"/>
          <w:lang w:val="es-CO"/>
        </w:rPr>
      </w:pPr>
      <w:r>
        <w:rPr>
          <w:rFonts w:ascii="Arial" w:hAnsi="Arial" w:cs="Arial"/>
          <w:b/>
          <w:i/>
          <w:lang w:val="es-CO"/>
        </w:rPr>
        <w:t xml:space="preserve"> Falta disciplinaria.</w:t>
      </w:r>
      <w:r>
        <w:rPr>
          <w:rFonts w:ascii="Arial" w:hAnsi="Arial" w:cs="Arial"/>
          <w:lang w:val="es-CO"/>
        </w:rPr>
        <w:t xml:space="preserve"> En todos los casos, el incumplimiento de estas disposiciones por parte de los servidores </w:t>
      </w:r>
      <w:r>
        <w:rPr>
          <w:rFonts w:ascii="Arial" w:hAnsi="Arial" w:cs="Arial"/>
          <w:lang w:val="es-CO"/>
        </w:rPr>
        <w:t>públicos de las entidades que, conforme al presente decreto, actúen como agentes retenedores del Impuesto sobre las Ventas, IVA, será causal de mala conducta, de conformidad con el Código Disciplinario Único.</w:t>
      </w:r>
    </w:p>
    <w:p w14:paraId="37DD65E5" w14:textId="77777777" w:rsidR="00B2442D" w:rsidRDefault="00B2442D">
      <w:pPr>
        <w:jc w:val="both"/>
        <w:rPr>
          <w:rFonts w:ascii="Arial" w:hAnsi="Arial" w:cs="Arial"/>
          <w:i/>
          <w:lang w:val="es-CO"/>
        </w:rPr>
      </w:pPr>
    </w:p>
    <w:p w14:paraId="439AD955" w14:textId="77777777" w:rsidR="00B2442D" w:rsidRDefault="008A645F">
      <w:pPr>
        <w:jc w:val="both"/>
        <w:rPr>
          <w:rFonts w:ascii="Arial" w:hAnsi="Arial" w:cs="Arial"/>
          <w:i/>
          <w:lang w:val="es-CO"/>
        </w:rPr>
      </w:pPr>
      <w:r>
        <w:rPr>
          <w:rFonts w:ascii="Arial" w:hAnsi="Arial" w:cs="Arial"/>
          <w:i/>
          <w:lang w:val="es-CO"/>
        </w:rPr>
        <w:t>(Art. 5, Decreto 1427 de 1998)</w:t>
      </w:r>
    </w:p>
    <w:p w14:paraId="2690753C" w14:textId="77777777" w:rsidR="00B2442D" w:rsidRDefault="00B2442D">
      <w:pPr>
        <w:jc w:val="both"/>
        <w:rPr>
          <w:rFonts w:ascii="Arial" w:hAnsi="Arial" w:cs="Arial"/>
          <w:i/>
          <w:lang w:val="es-CO"/>
        </w:rPr>
      </w:pPr>
    </w:p>
    <w:p w14:paraId="0EEE5318" w14:textId="77777777" w:rsidR="00B2442D" w:rsidRDefault="008A645F">
      <w:pPr>
        <w:pStyle w:val="Ttulo4"/>
        <w:rPr>
          <w:lang w:val="es-CO"/>
        </w:rPr>
      </w:pPr>
      <w:r>
        <w:rPr>
          <w:lang w:val="es-CO"/>
        </w:rPr>
        <w:t>CAPÍTULO 17</w:t>
      </w:r>
    </w:p>
    <w:p w14:paraId="67F68074" w14:textId="77777777" w:rsidR="00B2442D" w:rsidRDefault="008A645F">
      <w:pPr>
        <w:pStyle w:val="Ttulo4"/>
        <w:rPr>
          <w:lang w:val="es-CO"/>
        </w:rPr>
      </w:pPr>
      <w:r>
        <w:rPr>
          <w:lang w:val="es-CO"/>
        </w:rPr>
        <w:t>Ré</w:t>
      </w:r>
      <w:r>
        <w:rPr>
          <w:lang w:val="es-CO"/>
        </w:rPr>
        <w:t>gimen probatorio</w:t>
      </w:r>
    </w:p>
    <w:p w14:paraId="76AADFF1" w14:textId="77777777" w:rsidR="00B2442D" w:rsidRDefault="00B2442D">
      <w:pPr>
        <w:rPr>
          <w:rFonts w:ascii="Arial" w:hAnsi="Arial" w:cs="Arial"/>
          <w:lang w:val="es-CO"/>
        </w:rPr>
      </w:pPr>
    </w:p>
    <w:p w14:paraId="145E1FC8"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Hechos consignados en las declaraciones tributarias.</w:t>
      </w:r>
      <w:r>
        <w:rPr>
          <w:rFonts w:ascii="Arial" w:hAnsi="Arial" w:cs="Arial"/>
          <w:b/>
          <w:lang w:val="es-CO"/>
        </w:rPr>
        <w:t xml:space="preserve"> </w:t>
      </w:r>
      <w:r>
        <w:rPr>
          <w:rFonts w:ascii="Arial" w:hAnsi="Arial" w:cs="Arial"/>
          <w:lang w:val="es-CO"/>
        </w:rPr>
        <w:t xml:space="preserve"> Se consideran ciertos los hechos consignados en las declaraciones tributarias, en las adiciones a las mismas o en las respuestas a requerimientos administrativos, siempre y cuando que</w:t>
      </w:r>
      <w:r>
        <w:rPr>
          <w:rFonts w:ascii="Arial" w:hAnsi="Arial" w:cs="Arial"/>
          <w:lang w:val="es-CO"/>
        </w:rPr>
        <w:t xml:space="preserve"> sobre tales hechos, las disposiciones legales no exijan una comprobación especial.</w:t>
      </w:r>
    </w:p>
    <w:p w14:paraId="79F5FF9D" w14:textId="77777777" w:rsidR="00B2442D" w:rsidRDefault="00B2442D">
      <w:pPr>
        <w:jc w:val="both"/>
        <w:rPr>
          <w:rFonts w:ascii="Arial" w:hAnsi="Arial" w:cs="Arial"/>
          <w:i/>
          <w:lang w:val="es-CO"/>
        </w:rPr>
      </w:pPr>
    </w:p>
    <w:p w14:paraId="6D5C2092" w14:textId="77777777" w:rsidR="00B2442D" w:rsidRDefault="008A645F">
      <w:pPr>
        <w:jc w:val="both"/>
        <w:rPr>
          <w:rFonts w:ascii="Arial" w:hAnsi="Arial" w:cs="Arial"/>
          <w:i/>
          <w:lang w:val="es-CO"/>
        </w:rPr>
      </w:pPr>
      <w:r>
        <w:rPr>
          <w:rFonts w:ascii="Arial" w:hAnsi="Arial" w:cs="Arial"/>
          <w:i/>
          <w:lang w:val="es-CO"/>
        </w:rPr>
        <w:t>(Art. 22, Decreto 825 de 1978)</w:t>
      </w:r>
    </w:p>
    <w:p w14:paraId="025A68AB" w14:textId="77777777" w:rsidR="00B2442D" w:rsidRDefault="00B2442D">
      <w:pPr>
        <w:jc w:val="both"/>
        <w:rPr>
          <w:rFonts w:ascii="Arial" w:hAnsi="Arial" w:cs="Arial"/>
          <w:lang w:val="es-CO"/>
        </w:rPr>
      </w:pPr>
    </w:p>
    <w:p w14:paraId="616E23B0"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Documentos probatorios.</w:t>
      </w:r>
      <w:r>
        <w:rPr>
          <w:rFonts w:ascii="Arial" w:hAnsi="Arial" w:cs="Arial"/>
          <w:lang w:val="es-CO"/>
        </w:rPr>
        <w:t xml:space="preserve"> Los contribuyentes podrán invocar como prueba documentos expedidos o guardados por las oficinas de impuestos, siem</w:t>
      </w:r>
      <w:r>
        <w:rPr>
          <w:rFonts w:ascii="Arial" w:hAnsi="Arial" w:cs="Arial"/>
          <w:lang w:val="es-CO"/>
        </w:rPr>
        <w:t>pre que se individualicen y se indique su fecha, número y oficina que los expidió o conserva.</w:t>
      </w:r>
    </w:p>
    <w:p w14:paraId="595C004A" w14:textId="77777777" w:rsidR="00B2442D" w:rsidRDefault="00B2442D">
      <w:pPr>
        <w:jc w:val="both"/>
        <w:rPr>
          <w:rFonts w:ascii="Arial" w:hAnsi="Arial" w:cs="Arial"/>
          <w:i/>
          <w:lang w:val="es-CO"/>
        </w:rPr>
      </w:pPr>
    </w:p>
    <w:p w14:paraId="3983F033" w14:textId="77777777" w:rsidR="00B2442D" w:rsidRDefault="008A645F">
      <w:pPr>
        <w:jc w:val="both"/>
        <w:rPr>
          <w:rFonts w:ascii="Arial" w:hAnsi="Arial" w:cs="Arial"/>
          <w:i/>
          <w:lang w:val="es-CO"/>
        </w:rPr>
      </w:pPr>
      <w:r>
        <w:rPr>
          <w:rFonts w:ascii="Arial" w:hAnsi="Arial" w:cs="Arial"/>
          <w:i/>
          <w:lang w:val="es-CO"/>
        </w:rPr>
        <w:t>(Art. 23, Decreto 825 de 1978)</w:t>
      </w:r>
    </w:p>
    <w:p w14:paraId="15A29BC9" w14:textId="77777777" w:rsidR="00B2442D" w:rsidRDefault="00B2442D">
      <w:pPr>
        <w:jc w:val="both"/>
        <w:rPr>
          <w:rFonts w:ascii="Arial" w:hAnsi="Arial" w:cs="Arial"/>
          <w:i/>
          <w:lang w:val="es-CO"/>
        </w:rPr>
      </w:pPr>
    </w:p>
    <w:p w14:paraId="1A3F3DE5"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Exhibición de libros de contabilidad.</w:t>
      </w:r>
      <w:r>
        <w:rPr>
          <w:rFonts w:ascii="Arial" w:hAnsi="Arial" w:cs="Arial"/>
          <w:lang w:val="es-CO"/>
        </w:rPr>
        <w:t xml:space="preserve"> Cuando la Administración Tributaria ordene la exhibición de los libros de contabilidad a q</w:t>
      </w:r>
      <w:r>
        <w:rPr>
          <w:rFonts w:ascii="Arial" w:hAnsi="Arial" w:cs="Arial"/>
          <w:lang w:val="es-CO"/>
        </w:rPr>
        <w:t xml:space="preserve">uienes estén obligados a llevarlos, estos podrán disponer hasta de cinco (5) días hábiles para exhibirlos, contados a partir de la fecha en la cual se solicite por escrito la presentación de los mismos. </w:t>
      </w:r>
    </w:p>
    <w:p w14:paraId="073645CC" w14:textId="77777777" w:rsidR="00B2442D" w:rsidRDefault="008A645F">
      <w:pPr>
        <w:jc w:val="both"/>
        <w:rPr>
          <w:rFonts w:ascii="Arial" w:hAnsi="Arial" w:cs="Arial"/>
          <w:lang w:val="es-CO"/>
        </w:rPr>
      </w:pPr>
      <w:r>
        <w:rPr>
          <w:rFonts w:ascii="Arial" w:hAnsi="Arial" w:cs="Arial"/>
          <w:lang w:val="es-CO"/>
        </w:rPr>
        <w:t xml:space="preserve"> </w:t>
      </w:r>
    </w:p>
    <w:p w14:paraId="48206126" w14:textId="77777777" w:rsidR="00B2442D" w:rsidRDefault="008A645F">
      <w:pPr>
        <w:jc w:val="both"/>
        <w:rPr>
          <w:rFonts w:ascii="Arial" w:hAnsi="Arial" w:cs="Arial"/>
          <w:lang w:val="es-CO"/>
        </w:rPr>
      </w:pPr>
      <w:r>
        <w:rPr>
          <w:rFonts w:ascii="Arial" w:hAnsi="Arial" w:cs="Arial"/>
          <w:lang w:val="es-CO"/>
        </w:rPr>
        <w:t>Cuando la solicitud se realice por correo, el plaz</w:t>
      </w:r>
      <w:r>
        <w:rPr>
          <w:rFonts w:ascii="Arial" w:hAnsi="Arial" w:cs="Arial"/>
          <w:lang w:val="es-CO"/>
        </w:rPr>
        <w:t xml:space="preserve">o de que trata este artículo será de ocho (8) días hábiles, contados a partir de la fecha de introducción al correo de la respectiva solicitud. </w:t>
      </w:r>
    </w:p>
    <w:p w14:paraId="1D3BD7EE" w14:textId="77777777" w:rsidR="00B2442D" w:rsidRDefault="008A645F">
      <w:pPr>
        <w:jc w:val="both"/>
        <w:rPr>
          <w:rFonts w:ascii="Arial" w:hAnsi="Arial" w:cs="Arial"/>
          <w:lang w:val="es-CO"/>
        </w:rPr>
      </w:pPr>
      <w:r>
        <w:rPr>
          <w:rFonts w:ascii="Arial" w:hAnsi="Arial" w:cs="Arial"/>
          <w:lang w:val="es-CO"/>
        </w:rPr>
        <w:t xml:space="preserve"> </w:t>
      </w:r>
    </w:p>
    <w:p w14:paraId="1BD7993C" w14:textId="77777777" w:rsidR="00B2442D" w:rsidRDefault="008A645F">
      <w:pPr>
        <w:jc w:val="both"/>
        <w:rPr>
          <w:rFonts w:ascii="Arial" w:hAnsi="Arial" w:cs="Arial"/>
          <w:lang w:val="es-CO"/>
        </w:rPr>
      </w:pPr>
      <w:r>
        <w:rPr>
          <w:rFonts w:ascii="Arial" w:hAnsi="Arial" w:cs="Arial"/>
          <w:lang w:val="es-CO"/>
        </w:rPr>
        <w:t xml:space="preserve">Cuando se trate de la práctica de pruebas, originada en el trámite de las solicitudes de devolución del </w:t>
      </w:r>
      <w:r>
        <w:rPr>
          <w:rFonts w:ascii="Arial" w:hAnsi="Arial" w:cs="Arial"/>
          <w:lang w:val="es-CO"/>
        </w:rPr>
        <w:t>impuesto sobre las ventas de que tratan el artículos 31 del Decreto 3541 de 1983 (hoy artículo 855 del Estatuto Tributario), el contribuyente deberá exhibir los libros a más tardar el día hábil siguiente al de la fecha en que se solicite por escrito su exh</w:t>
      </w:r>
      <w:r>
        <w:rPr>
          <w:rFonts w:ascii="Arial" w:hAnsi="Arial" w:cs="Arial"/>
          <w:lang w:val="es-CO"/>
        </w:rPr>
        <w:t>ibición.</w:t>
      </w:r>
    </w:p>
    <w:p w14:paraId="391E491F" w14:textId="77777777" w:rsidR="00B2442D" w:rsidRDefault="00B2442D">
      <w:pPr>
        <w:jc w:val="both"/>
        <w:rPr>
          <w:rFonts w:ascii="Arial" w:hAnsi="Arial" w:cs="Arial"/>
          <w:i/>
          <w:lang w:val="es-CO"/>
        </w:rPr>
      </w:pPr>
    </w:p>
    <w:p w14:paraId="59E7F830" w14:textId="77777777" w:rsidR="00B2442D" w:rsidRDefault="008A645F">
      <w:pPr>
        <w:jc w:val="both"/>
        <w:rPr>
          <w:rFonts w:ascii="Arial" w:hAnsi="Arial" w:cs="Arial"/>
          <w:i/>
          <w:lang w:val="es-CO"/>
        </w:rPr>
      </w:pPr>
      <w:r>
        <w:rPr>
          <w:rFonts w:ascii="Arial" w:hAnsi="Arial" w:cs="Arial"/>
          <w:i/>
          <w:lang w:val="es-CO"/>
        </w:rPr>
        <w:t>(Art. 2 Decreto 1354 de 1987)</w:t>
      </w:r>
    </w:p>
    <w:p w14:paraId="33291FAE" w14:textId="77777777" w:rsidR="00B2442D" w:rsidRDefault="00B2442D">
      <w:pPr>
        <w:jc w:val="both"/>
        <w:rPr>
          <w:rFonts w:ascii="Arial" w:hAnsi="Arial" w:cs="Arial"/>
          <w:i/>
          <w:lang w:val="es-CO"/>
        </w:rPr>
      </w:pPr>
    </w:p>
    <w:p w14:paraId="4BB132AC"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Observaciones y descargos en el acta de inspección.</w:t>
      </w:r>
      <w:r>
        <w:rPr>
          <w:rFonts w:ascii="Arial" w:hAnsi="Arial" w:cs="Arial"/>
          <w:lang w:val="es-CO"/>
        </w:rPr>
        <w:t xml:space="preserve"> Durante la práctica de la inspección a que se refiere el ordinal 2) del artículo 64 de la Ley 2a. de 1976, (hoy artículo 536 del Estatuto Tributario), el contribuyente podrá formular observaciones y descargos de los cuales se dejará constancia en el acta </w:t>
      </w:r>
      <w:r>
        <w:rPr>
          <w:rFonts w:ascii="Arial" w:hAnsi="Arial" w:cs="Arial"/>
          <w:lang w:val="es-CO"/>
        </w:rPr>
        <w:t>correspondiente, sin que haya lugar en ningún caso a dar traslado de esta para tales efectos.</w:t>
      </w:r>
    </w:p>
    <w:p w14:paraId="67F1CFDE" w14:textId="77777777" w:rsidR="00B2442D" w:rsidRDefault="00B2442D">
      <w:pPr>
        <w:jc w:val="both"/>
        <w:rPr>
          <w:rFonts w:ascii="Arial" w:hAnsi="Arial" w:cs="Arial"/>
          <w:lang w:val="es-CO"/>
        </w:rPr>
      </w:pPr>
    </w:p>
    <w:p w14:paraId="42C05A41" w14:textId="77777777" w:rsidR="00B2442D" w:rsidRDefault="008A645F">
      <w:pPr>
        <w:jc w:val="both"/>
        <w:rPr>
          <w:rFonts w:ascii="Arial" w:hAnsi="Arial" w:cs="Arial"/>
          <w:i/>
          <w:lang w:val="es-CO"/>
        </w:rPr>
      </w:pPr>
      <w:r>
        <w:rPr>
          <w:rFonts w:ascii="Arial" w:hAnsi="Arial" w:cs="Arial"/>
          <w:i/>
          <w:lang w:val="es-CO"/>
        </w:rPr>
        <w:t>(Art. 27, Decreto 1222 de 1976)</w:t>
      </w:r>
    </w:p>
    <w:p w14:paraId="68534AF3" w14:textId="77777777" w:rsidR="00B2442D" w:rsidRDefault="00B2442D">
      <w:pPr>
        <w:jc w:val="both"/>
        <w:rPr>
          <w:rFonts w:ascii="Arial" w:hAnsi="Arial" w:cs="Arial"/>
          <w:lang w:val="es-CO"/>
        </w:rPr>
      </w:pPr>
    </w:p>
    <w:p w14:paraId="5E6F3639"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Informe sumario.</w:t>
      </w:r>
      <w:r>
        <w:rPr>
          <w:rFonts w:ascii="Arial" w:hAnsi="Arial" w:cs="Arial"/>
          <w:lang w:val="es-CO"/>
        </w:rPr>
        <w:t xml:space="preserve"> La obligación a que se refiere el artículo 66 de la Ley 2a. de 1976, (hoy artículo 543 del Estatuto Tributario</w:t>
      </w:r>
      <w:r>
        <w:rPr>
          <w:rFonts w:ascii="Arial" w:hAnsi="Arial" w:cs="Arial"/>
          <w:lang w:val="es-CO"/>
        </w:rPr>
        <w:t>), se entiende cumplida con el informe sumario que el funcionario oficial debe rendir al funcionario competente para practicar la liquidación del impuesto, informe en el cual debe constar los nombres o razones sociales de los otorgantes del instrumento y d</w:t>
      </w:r>
      <w:r>
        <w:rPr>
          <w:rFonts w:ascii="Arial" w:hAnsi="Arial" w:cs="Arial"/>
          <w:lang w:val="es-CO"/>
        </w:rPr>
        <w:t>e las personas a cuyo favor se extendió u otorgó y la identificación y dirección de las mismas, si ello fuere posible.</w:t>
      </w:r>
    </w:p>
    <w:p w14:paraId="6B8022C3" w14:textId="77777777" w:rsidR="00B2442D" w:rsidRDefault="00B2442D">
      <w:pPr>
        <w:jc w:val="both"/>
        <w:rPr>
          <w:rFonts w:ascii="Arial" w:hAnsi="Arial" w:cs="Arial"/>
          <w:lang w:val="es-CO"/>
        </w:rPr>
      </w:pPr>
    </w:p>
    <w:p w14:paraId="2DC28EEC" w14:textId="77777777" w:rsidR="00B2442D" w:rsidRDefault="008A645F">
      <w:pPr>
        <w:jc w:val="both"/>
        <w:rPr>
          <w:rFonts w:ascii="Arial" w:hAnsi="Arial" w:cs="Arial"/>
          <w:lang w:val="es-CO"/>
        </w:rPr>
      </w:pPr>
      <w:r>
        <w:rPr>
          <w:rFonts w:ascii="Arial" w:hAnsi="Arial" w:cs="Arial"/>
          <w:lang w:val="es-CO"/>
        </w:rPr>
        <w:t>Dicho informe deberá remitirse por el funcionario oficial dentro de los cinco (5) días siguientes a la fecha de presentación del documen</w:t>
      </w:r>
      <w:r>
        <w:rPr>
          <w:rFonts w:ascii="Arial" w:hAnsi="Arial" w:cs="Arial"/>
          <w:lang w:val="es-CO"/>
        </w:rPr>
        <w:t>to.</w:t>
      </w:r>
    </w:p>
    <w:p w14:paraId="1BF1C5C9" w14:textId="77777777" w:rsidR="00B2442D" w:rsidRDefault="00B2442D">
      <w:pPr>
        <w:jc w:val="both"/>
        <w:rPr>
          <w:rFonts w:ascii="Arial" w:hAnsi="Arial" w:cs="Arial"/>
          <w:i/>
          <w:lang w:val="es-CO"/>
        </w:rPr>
      </w:pPr>
    </w:p>
    <w:p w14:paraId="253D5F87" w14:textId="77777777" w:rsidR="00B2442D" w:rsidRDefault="008A645F">
      <w:pPr>
        <w:jc w:val="both"/>
        <w:rPr>
          <w:rFonts w:ascii="Arial" w:hAnsi="Arial" w:cs="Arial"/>
          <w:i/>
          <w:lang w:val="es-CO"/>
        </w:rPr>
      </w:pPr>
      <w:r>
        <w:rPr>
          <w:rFonts w:ascii="Arial" w:hAnsi="Arial" w:cs="Arial"/>
          <w:i/>
          <w:lang w:val="es-CO"/>
        </w:rPr>
        <w:t>(Art. 28, Decreto 1222 de 1976)</w:t>
      </w:r>
    </w:p>
    <w:p w14:paraId="3E8677AA" w14:textId="77777777" w:rsidR="00B2442D" w:rsidRDefault="00B2442D">
      <w:pPr>
        <w:jc w:val="both"/>
        <w:rPr>
          <w:rFonts w:ascii="Arial" w:hAnsi="Arial" w:cs="Arial"/>
          <w:lang w:val="es-CO"/>
        </w:rPr>
      </w:pPr>
    </w:p>
    <w:p w14:paraId="47A98262"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Facultades de la administración tributaria.</w:t>
      </w:r>
      <w:r>
        <w:rPr>
          <w:rFonts w:ascii="Arial" w:hAnsi="Arial" w:cs="Arial"/>
          <w:lang w:val="es-CO"/>
        </w:rPr>
        <w:t xml:space="preserve"> La Administración Tributaria podrá practicar todas las investigaciones conducentes a la obtención del efectivo cumplimiento de las obligaciones fiscales especialmente las si</w:t>
      </w:r>
      <w:r>
        <w:rPr>
          <w:rFonts w:ascii="Arial" w:hAnsi="Arial" w:cs="Arial"/>
          <w:lang w:val="es-CO"/>
        </w:rPr>
        <w:t xml:space="preserve">guientes: </w:t>
      </w:r>
    </w:p>
    <w:p w14:paraId="4CFBCA55" w14:textId="77777777" w:rsidR="00B2442D" w:rsidRDefault="008A645F">
      <w:pPr>
        <w:jc w:val="both"/>
        <w:rPr>
          <w:rFonts w:ascii="Arial" w:hAnsi="Arial" w:cs="Arial"/>
          <w:lang w:val="es-CO"/>
        </w:rPr>
      </w:pPr>
      <w:r>
        <w:rPr>
          <w:rFonts w:ascii="Arial" w:hAnsi="Arial" w:cs="Arial"/>
          <w:lang w:val="es-CO"/>
        </w:rPr>
        <w:t xml:space="preserve"> </w:t>
      </w:r>
    </w:p>
    <w:p w14:paraId="728E0BD2" w14:textId="77777777" w:rsidR="00B2442D" w:rsidRDefault="008A645F">
      <w:pPr>
        <w:jc w:val="both"/>
        <w:rPr>
          <w:rFonts w:ascii="Arial" w:hAnsi="Arial" w:cs="Arial"/>
          <w:lang w:val="es-CO"/>
        </w:rPr>
      </w:pPr>
      <w:r>
        <w:rPr>
          <w:rFonts w:ascii="Arial" w:hAnsi="Arial" w:cs="Arial"/>
          <w:lang w:val="es-CO"/>
        </w:rPr>
        <w:t xml:space="preserve">a) Verificar la exactitud de las declaraciones u otros informes. </w:t>
      </w:r>
    </w:p>
    <w:p w14:paraId="4E687B89" w14:textId="77777777" w:rsidR="00B2442D" w:rsidRDefault="00B2442D">
      <w:pPr>
        <w:jc w:val="both"/>
        <w:rPr>
          <w:rFonts w:ascii="Arial" w:hAnsi="Arial" w:cs="Arial"/>
          <w:lang w:val="es-CO"/>
        </w:rPr>
      </w:pPr>
    </w:p>
    <w:p w14:paraId="1958278A" w14:textId="77777777" w:rsidR="00B2442D" w:rsidRDefault="008A645F">
      <w:pPr>
        <w:jc w:val="both"/>
        <w:rPr>
          <w:rFonts w:ascii="Arial" w:hAnsi="Arial" w:cs="Arial"/>
          <w:lang w:val="es-CO"/>
        </w:rPr>
      </w:pPr>
      <w:r>
        <w:rPr>
          <w:rFonts w:ascii="Arial" w:hAnsi="Arial" w:cs="Arial"/>
          <w:lang w:val="es-CO"/>
        </w:rPr>
        <w:t xml:space="preserve">b) Establecer la ocurrencia de hechos generadores de obligaciones tributarias, no declarados. </w:t>
      </w:r>
    </w:p>
    <w:p w14:paraId="65F19AC5" w14:textId="77777777" w:rsidR="00B2442D" w:rsidRDefault="00B2442D">
      <w:pPr>
        <w:jc w:val="both"/>
        <w:rPr>
          <w:rFonts w:ascii="Arial" w:hAnsi="Arial" w:cs="Arial"/>
          <w:lang w:val="es-CO"/>
        </w:rPr>
      </w:pPr>
    </w:p>
    <w:p w14:paraId="00CB55E8" w14:textId="77777777" w:rsidR="00B2442D" w:rsidRDefault="008A645F">
      <w:pPr>
        <w:jc w:val="both"/>
        <w:rPr>
          <w:rFonts w:ascii="Arial" w:hAnsi="Arial" w:cs="Arial"/>
          <w:lang w:val="es-CO"/>
        </w:rPr>
      </w:pPr>
      <w:r>
        <w:rPr>
          <w:rFonts w:ascii="Arial" w:hAnsi="Arial" w:cs="Arial"/>
          <w:lang w:val="es-CO"/>
        </w:rPr>
        <w:t>c) Efectuar citaciones o requerimientos al contribuyente o a terceros para que r</w:t>
      </w:r>
      <w:r>
        <w:rPr>
          <w:rFonts w:ascii="Arial" w:hAnsi="Arial" w:cs="Arial"/>
          <w:lang w:val="es-CO"/>
        </w:rPr>
        <w:t xml:space="preserve">indan informes o contesten interrogatorios. </w:t>
      </w:r>
    </w:p>
    <w:p w14:paraId="13AB4CB2" w14:textId="77777777" w:rsidR="00B2442D" w:rsidRDefault="00B2442D">
      <w:pPr>
        <w:jc w:val="both"/>
        <w:rPr>
          <w:rFonts w:ascii="Arial" w:hAnsi="Arial" w:cs="Arial"/>
          <w:lang w:val="es-CO"/>
        </w:rPr>
      </w:pPr>
    </w:p>
    <w:p w14:paraId="2DAA10F9" w14:textId="77777777" w:rsidR="00B2442D" w:rsidRDefault="008A645F">
      <w:pPr>
        <w:jc w:val="both"/>
        <w:rPr>
          <w:rFonts w:ascii="Arial" w:hAnsi="Arial" w:cs="Arial"/>
          <w:lang w:val="es-CO"/>
        </w:rPr>
      </w:pPr>
      <w:r>
        <w:rPr>
          <w:rFonts w:ascii="Arial" w:hAnsi="Arial" w:cs="Arial"/>
          <w:lang w:val="es-CO"/>
        </w:rPr>
        <w:t>d) Ordenar la exhibición y examen parcial o general de los libros, comprobantes y documentos tanto del contribuyente como de terceros legalmente obligados a llevar contabilidad.</w:t>
      </w:r>
    </w:p>
    <w:p w14:paraId="7059EA4C" w14:textId="77777777" w:rsidR="00B2442D" w:rsidRDefault="00B2442D">
      <w:pPr>
        <w:jc w:val="both"/>
        <w:rPr>
          <w:rFonts w:ascii="Arial" w:hAnsi="Arial" w:cs="Arial"/>
          <w:i/>
          <w:lang w:val="es-CO"/>
        </w:rPr>
      </w:pPr>
    </w:p>
    <w:p w14:paraId="447E52E4" w14:textId="77777777" w:rsidR="00B2442D" w:rsidRDefault="008A645F">
      <w:pPr>
        <w:jc w:val="both"/>
        <w:rPr>
          <w:rFonts w:ascii="Arial" w:hAnsi="Arial" w:cs="Arial"/>
          <w:i/>
          <w:lang w:val="es-CO"/>
        </w:rPr>
      </w:pPr>
      <w:r>
        <w:rPr>
          <w:rFonts w:ascii="Arial" w:hAnsi="Arial" w:cs="Arial"/>
          <w:i/>
          <w:lang w:val="es-CO"/>
        </w:rPr>
        <w:t>(Art. 25, Decreto 825 de 1978)</w:t>
      </w:r>
    </w:p>
    <w:p w14:paraId="3D3EDF01" w14:textId="77777777" w:rsidR="00B2442D" w:rsidRDefault="00B2442D">
      <w:pPr>
        <w:jc w:val="both"/>
        <w:rPr>
          <w:rFonts w:ascii="Arial" w:hAnsi="Arial" w:cs="Arial"/>
          <w:i/>
          <w:lang w:val="es-CO"/>
        </w:rPr>
      </w:pPr>
    </w:p>
    <w:p w14:paraId="2FFDEB9A" w14:textId="77777777" w:rsidR="00B2442D" w:rsidRDefault="008A645F">
      <w:pPr>
        <w:pStyle w:val="Prrafodelista"/>
        <w:numPr>
          <w:ilvl w:val="0"/>
          <w:numId w:val="119"/>
        </w:numPr>
        <w:ind w:left="0" w:firstLine="0"/>
        <w:jc w:val="both"/>
        <w:rPr>
          <w:rFonts w:ascii="Arial" w:hAnsi="Arial" w:cs="Arial"/>
          <w:lang w:val="es-CO"/>
        </w:rPr>
      </w:pPr>
      <w:r>
        <w:rPr>
          <w:rFonts w:ascii="Arial" w:hAnsi="Arial" w:cs="Arial"/>
          <w:b/>
          <w:i/>
          <w:lang w:val="es-CO"/>
        </w:rPr>
        <w:t xml:space="preserve"> Control e información. </w:t>
      </w:r>
      <w:r>
        <w:rPr>
          <w:rFonts w:ascii="Arial" w:hAnsi="Arial" w:cs="Arial"/>
          <w:lang w:val="es-CO"/>
        </w:rPr>
        <w:t xml:space="preserve">En ejercicio de las amplias facultades de fiscalización y control asignadas a la Unidad Administrativa Especial Dirección de Impuestos y Aduanas Nacionales-DIAN, establecidas en el artículo 684 del Estatuto Tributario, en relación </w:t>
      </w:r>
      <w:r>
        <w:rPr>
          <w:rFonts w:ascii="Arial" w:hAnsi="Arial" w:cs="Arial"/>
          <w:lang w:val="es-CO"/>
        </w:rPr>
        <w:t>con los asuntos e impuestos de su competencia, el Director General de la DIAN podrá solicitar a los responsables, distribuidores mayoristas, distribuidores minoristas y/o los sujetos pasivos, información relacionada con los regímenes exceptivos en razón de</w:t>
      </w:r>
      <w:r>
        <w:rPr>
          <w:rFonts w:ascii="Arial" w:hAnsi="Arial" w:cs="Arial"/>
          <w:lang w:val="es-CO"/>
        </w:rPr>
        <w:t xml:space="preserve"> la destinación, y/o utilización de los combustibles, o por tarifas inferiores a la general.</w:t>
      </w:r>
    </w:p>
    <w:p w14:paraId="3B443C4D" w14:textId="77777777" w:rsidR="00B2442D" w:rsidRDefault="00B2442D">
      <w:pPr>
        <w:jc w:val="both"/>
        <w:rPr>
          <w:rFonts w:ascii="Arial" w:hAnsi="Arial" w:cs="Arial"/>
          <w:lang w:val="es-CO"/>
        </w:rPr>
      </w:pPr>
    </w:p>
    <w:p w14:paraId="43CA2925" w14:textId="77777777" w:rsidR="00B2442D" w:rsidRDefault="008A645F">
      <w:pPr>
        <w:jc w:val="both"/>
        <w:rPr>
          <w:rFonts w:ascii="Arial" w:hAnsi="Arial" w:cs="Arial"/>
          <w:lang w:val="es-CO"/>
        </w:rPr>
      </w:pPr>
      <w:r>
        <w:rPr>
          <w:rFonts w:ascii="Arial" w:hAnsi="Arial" w:cs="Arial"/>
          <w:lang w:val="es-CO"/>
        </w:rPr>
        <w:t xml:space="preserve">Quien importe o adquiera del productor combustibles exceptuados y/o exentos o gravados con tarifas inferiores a la general del impuesto nacional a la </w:t>
      </w:r>
      <w:r>
        <w:rPr>
          <w:rFonts w:ascii="Arial" w:hAnsi="Arial" w:cs="Arial"/>
          <w:lang w:val="es-CO"/>
        </w:rPr>
        <w:t>gasolina y al ACPM, deberá en todos los casos certificar a su proveedor bajo la gravedad de juramento, en el momento de distribución del combustible al destino final, que los combustibles se destinaron y utilizaron en su totalidad, exclusivamente en las ac</w:t>
      </w:r>
      <w:r>
        <w:rPr>
          <w:rFonts w:ascii="Arial" w:hAnsi="Arial" w:cs="Arial"/>
          <w:lang w:val="es-CO"/>
        </w:rPr>
        <w:t>tividades y/o áreas territoriales para las cuales la ley establece el beneficio, documentos que el responsable del impuesto nacional a la gasolina conservará como soporte de sus importaciones o ventas exceptuadas o gravadas con tarifas diferenciales para c</w:t>
      </w:r>
      <w:r>
        <w:rPr>
          <w:rFonts w:ascii="Arial" w:hAnsi="Arial" w:cs="Arial"/>
          <w:lang w:val="es-CO"/>
        </w:rPr>
        <w:t>uando la Administración Tributaria los solicite.</w:t>
      </w:r>
    </w:p>
    <w:p w14:paraId="3D993BBF" w14:textId="77777777" w:rsidR="00B2442D" w:rsidRDefault="00B2442D">
      <w:pPr>
        <w:jc w:val="both"/>
        <w:rPr>
          <w:rFonts w:ascii="Arial" w:hAnsi="Arial" w:cs="Arial"/>
          <w:b/>
          <w:lang w:val="es-CO"/>
        </w:rPr>
      </w:pPr>
    </w:p>
    <w:p w14:paraId="3A95D6EB" w14:textId="77777777" w:rsidR="00B2442D" w:rsidRDefault="008A645F">
      <w:pPr>
        <w:jc w:val="both"/>
        <w:rPr>
          <w:rFonts w:ascii="Arial" w:hAnsi="Arial" w:cs="Arial"/>
          <w:i/>
          <w:lang w:val="es-CO"/>
        </w:rPr>
      </w:pPr>
      <w:r>
        <w:rPr>
          <w:rFonts w:ascii="Arial" w:hAnsi="Arial" w:cs="Arial"/>
          <w:i/>
          <w:lang w:val="es-CO"/>
        </w:rPr>
        <w:t>(Art. 16, Decreto 568 de 2013)</w:t>
      </w:r>
    </w:p>
    <w:p w14:paraId="2162C89E" w14:textId="77777777" w:rsidR="00B2442D" w:rsidRDefault="00B2442D">
      <w:pPr>
        <w:jc w:val="both"/>
        <w:rPr>
          <w:rFonts w:ascii="Arial" w:hAnsi="Arial" w:cs="Arial"/>
          <w:lang w:val="es-CO"/>
        </w:rPr>
      </w:pPr>
    </w:p>
    <w:p w14:paraId="65B727AB" w14:textId="77777777" w:rsidR="00B2442D" w:rsidRDefault="008A645F">
      <w:pPr>
        <w:pStyle w:val="Prrafodelista"/>
        <w:numPr>
          <w:ilvl w:val="0"/>
          <w:numId w:val="119"/>
        </w:numPr>
        <w:ind w:left="0" w:firstLine="0"/>
        <w:jc w:val="both"/>
        <w:rPr>
          <w:rFonts w:ascii="Arial" w:hAnsi="Arial" w:cs="Arial"/>
        </w:rPr>
      </w:pPr>
      <w:r>
        <w:rPr>
          <w:rFonts w:ascii="Arial" w:hAnsi="Arial" w:cs="Arial"/>
          <w:b/>
          <w:i/>
        </w:rPr>
        <w:t xml:space="preserve"> Facultades de registro.</w:t>
      </w:r>
      <w:r>
        <w:rPr>
          <w:rFonts w:ascii="Arial" w:hAnsi="Arial" w:cs="Arial"/>
        </w:rPr>
        <w:t xml:space="preserve"> Para efectos de lo previsto en el parágrafo 1o del artículo 779-1 del Estatuto Tributario, son competentes para ordenar el ejercicio de las facultade</w:t>
      </w:r>
      <w:r>
        <w:rPr>
          <w:rFonts w:ascii="Arial" w:hAnsi="Arial" w:cs="Arial"/>
        </w:rPr>
        <w:t xml:space="preserve">s allí contenidas, los Directores Seccionales de Impuestos, los Directores Seccionales de Impuestos y Aduanas, los Directores Seccionales Delegados de Impuestos y Aduanas. </w:t>
      </w:r>
    </w:p>
    <w:p w14:paraId="3E79B5E5" w14:textId="77777777" w:rsidR="00B2442D" w:rsidRDefault="00B2442D">
      <w:pPr>
        <w:jc w:val="both"/>
        <w:rPr>
          <w:rFonts w:ascii="Arial" w:hAnsi="Arial" w:cs="Arial"/>
        </w:rPr>
      </w:pPr>
    </w:p>
    <w:p w14:paraId="5E43E5CF" w14:textId="77777777" w:rsidR="00B2442D" w:rsidRDefault="008A645F">
      <w:pPr>
        <w:jc w:val="both"/>
        <w:rPr>
          <w:rFonts w:ascii="Arial" w:hAnsi="Arial" w:cs="Arial"/>
        </w:rPr>
      </w:pPr>
      <w:r>
        <w:rPr>
          <w:rFonts w:ascii="Arial" w:hAnsi="Arial" w:cs="Arial"/>
        </w:rPr>
        <w:t>También son competentes para ejercer estas facultades, el Director de Gestión de F</w:t>
      </w:r>
      <w:r>
        <w:rPr>
          <w:rFonts w:ascii="Arial" w:hAnsi="Arial" w:cs="Arial"/>
        </w:rPr>
        <w:t>iscalización, el Subdirector de Gestión Fiscalización Tributaria y el Subdirector de Gestión de Fiscalización Aduanera.</w:t>
      </w:r>
    </w:p>
    <w:p w14:paraId="6DD42B4F" w14:textId="77777777" w:rsidR="00B2442D" w:rsidRDefault="00B2442D">
      <w:pPr>
        <w:jc w:val="both"/>
        <w:rPr>
          <w:rFonts w:ascii="Arial" w:hAnsi="Arial" w:cs="Arial"/>
          <w:i/>
        </w:rPr>
      </w:pPr>
    </w:p>
    <w:p w14:paraId="7F8E723A" w14:textId="77777777" w:rsidR="00B2442D" w:rsidRDefault="008A645F">
      <w:pPr>
        <w:jc w:val="both"/>
        <w:rPr>
          <w:rFonts w:ascii="Arial" w:hAnsi="Arial" w:cs="Arial"/>
          <w:i/>
        </w:rPr>
      </w:pPr>
      <w:r>
        <w:rPr>
          <w:rFonts w:ascii="Arial" w:hAnsi="Arial" w:cs="Arial"/>
          <w:i/>
        </w:rPr>
        <w:t>(Art. 1, Decreto 3050 de 1997, modificado por el art. 1 del Decreto 2321 de 2011)</w:t>
      </w:r>
    </w:p>
    <w:p w14:paraId="16C11714" w14:textId="77777777" w:rsidR="00B2442D" w:rsidRDefault="00B2442D">
      <w:pPr>
        <w:jc w:val="both"/>
        <w:rPr>
          <w:rFonts w:ascii="Arial" w:hAnsi="Arial" w:cs="Arial"/>
        </w:rPr>
      </w:pPr>
    </w:p>
    <w:p w14:paraId="089F256C" w14:textId="77777777" w:rsidR="00B2442D" w:rsidRDefault="008A645F">
      <w:pPr>
        <w:pStyle w:val="Ttulo4"/>
        <w:rPr>
          <w:lang w:val="es-CO"/>
        </w:rPr>
      </w:pPr>
      <w:r>
        <w:rPr>
          <w:lang w:val="es-CO"/>
        </w:rPr>
        <w:t>CAPÍTULO 18</w:t>
      </w:r>
    </w:p>
    <w:p w14:paraId="5C6B5AD4" w14:textId="77777777" w:rsidR="00B2442D" w:rsidRDefault="008A645F">
      <w:pPr>
        <w:pStyle w:val="Ttulo4"/>
        <w:rPr>
          <w:lang w:val="es-CO"/>
        </w:rPr>
      </w:pPr>
      <w:r>
        <w:rPr>
          <w:lang w:val="es-CO"/>
        </w:rPr>
        <w:t>Nulidades</w:t>
      </w:r>
    </w:p>
    <w:p w14:paraId="1D885281" w14:textId="77777777" w:rsidR="00B2442D" w:rsidRDefault="00B2442D">
      <w:pPr>
        <w:rPr>
          <w:rFonts w:ascii="Arial" w:hAnsi="Arial" w:cs="Arial"/>
          <w:lang w:val="es-CO"/>
        </w:rPr>
      </w:pPr>
    </w:p>
    <w:p w14:paraId="11D1F063" w14:textId="77777777" w:rsidR="00B2442D" w:rsidRDefault="008A645F">
      <w:pPr>
        <w:pStyle w:val="Prrafodelista"/>
        <w:numPr>
          <w:ilvl w:val="0"/>
          <w:numId w:val="120"/>
        </w:numPr>
        <w:ind w:left="0" w:firstLine="0"/>
        <w:jc w:val="both"/>
        <w:rPr>
          <w:rFonts w:ascii="Arial" w:hAnsi="Arial" w:cs="Arial"/>
          <w:lang w:val="es-CO"/>
        </w:rPr>
      </w:pPr>
      <w:r>
        <w:rPr>
          <w:rFonts w:ascii="Arial" w:hAnsi="Arial" w:cs="Arial"/>
          <w:b/>
          <w:i/>
          <w:lang w:val="es-CO"/>
        </w:rPr>
        <w:t xml:space="preserve"> Oportunidad para alegar nulidades. </w:t>
      </w:r>
      <w:r>
        <w:rPr>
          <w:rFonts w:ascii="Arial" w:hAnsi="Arial" w:cs="Arial"/>
          <w:lang w:val="es-CO"/>
        </w:rPr>
        <w:t>Las nulidades del acto impugnado, deberán alegarse en el escrito de interposición del recurso de reconsideración o mediante adición del mismo, dentro del término de los dos (2) meses señalados para interponerlo.</w:t>
      </w:r>
    </w:p>
    <w:p w14:paraId="3DFFD16B" w14:textId="77777777" w:rsidR="00B2442D" w:rsidRDefault="00B2442D">
      <w:pPr>
        <w:jc w:val="both"/>
        <w:rPr>
          <w:rFonts w:ascii="Arial" w:hAnsi="Arial" w:cs="Arial"/>
          <w:i/>
          <w:lang w:val="es-CO"/>
        </w:rPr>
      </w:pPr>
    </w:p>
    <w:p w14:paraId="1A11CC57" w14:textId="77777777" w:rsidR="00B2442D" w:rsidRDefault="008A645F">
      <w:pPr>
        <w:jc w:val="both"/>
        <w:rPr>
          <w:rFonts w:ascii="Arial" w:hAnsi="Arial" w:cs="Arial"/>
          <w:i/>
          <w:lang w:val="es-CO"/>
        </w:rPr>
      </w:pPr>
      <w:r>
        <w:rPr>
          <w:rFonts w:ascii="Arial" w:hAnsi="Arial" w:cs="Arial"/>
          <w:i/>
          <w:lang w:val="es-CO"/>
        </w:rPr>
        <w:t>(Art. 4</w:t>
      </w:r>
      <w:r>
        <w:rPr>
          <w:rFonts w:ascii="Arial" w:hAnsi="Arial" w:cs="Arial"/>
          <w:i/>
          <w:lang w:val="es-CO"/>
        </w:rPr>
        <w:t>6, Decreto 825 de 1978)</w:t>
      </w:r>
    </w:p>
    <w:p w14:paraId="37D8F09C" w14:textId="77777777" w:rsidR="00B2442D" w:rsidRDefault="00B2442D">
      <w:pPr>
        <w:jc w:val="both"/>
        <w:rPr>
          <w:rFonts w:ascii="Arial" w:hAnsi="Arial" w:cs="Arial"/>
          <w:lang w:val="es-CO"/>
        </w:rPr>
      </w:pPr>
    </w:p>
    <w:p w14:paraId="189363B2" w14:textId="77777777" w:rsidR="00B2442D" w:rsidRDefault="008A645F">
      <w:pPr>
        <w:pStyle w:val="Prrafodelista"/>
        <w:numPr>
          <w:ilvl w:val="0"/>
          <w:numId w:val="120"/>
        </w:numPr>
        <w:ind w:left="0" w:firstLine="0"/>
        <w:jc w:val="both"/>
        <w:rPr>
          <w:rFonts w:ascii="Arial" w:hAnsi="Arial" w:cs="Arial"/>
          <w:lang w:val="es-CO"/>
        </w:rPr>
      </w:pPr>
      <w:r>
        <w:rPr>
          <w:rFonts w:ascii="Arial" w:hAnsi="Arial" w:cs="Arial"/>
          <w:b/>
          <w:i/>
          <w:lang w:val="es-CO"/>
        </w:rPr>
        <w:t xml:space="preserve"> Nulidad de la liquidación de impuestos o resolución de recursos.</w:t>
      </w:r>
      <w:r>
        <w:rPr>
          <w:rFonts w:ascii="Arial" w:hAnsi="Arial" w:cs="Arial"/>
          <w:lang w:val="es-CO"/>
        </w:rPr>
        <w:t xml:space="preserve"> La liquidación de impuestos o resolución de recursos en donde se omita parcialmente la explicación de las modificaciones efectuadas respecto de la declaración o de l</w:t>
      </w:r>
      <w:r>
        <w:rPr>
          <w:rFonts w:ascii="Arial" w:hAnsi="Arial" w:cs="Arial"/>
          <w:lang w:val="es-CO"/>
        </w:rPr>
        <w:t>os fundamentos del aforo, es nula en relación a los puntos no explicados.</w:t>
      </w:r>
    </w:p>
    <w:p w14:paraId="69646107" w14:textId="77777777" w:rsidR="00B2442D" w:rsidRDefault="00B2442D">
      <w:pPr>
        <w:jc w:val="both"/>
        <w:rPr>
          <w:rFonts w:ascii="Arial" w:hAnsi="Arial" w:cs="Arial"/>
          <w:i/>
          <w:lang w:val="es-CO"/>
        </w:rPr>
      </w:pPr>
    </w:p>
    <w:p w14:paraId="4AEB40AE" w14:textId="77777777" w:rsidR="00B2442D" w:rsidRDefault="008A645F">
      <w:pPr>
        <w:jc w:val="both"/>
        <w:rPr>
          <w:rFonts w:ascii="Arial" w:hAnsi="Arial" w:cs="Arial"/>
          <w:i/>
          <w:lang w:val="es-CO"/>
        </w:rPr>
      </w:pPr>
      <w:r>
        <w:rPr>
          <w:rFonts w:ascii="Arial" w:hAnsi="Arial" w:cs="Arial"/>
          <w:i/>
          <w:lang w:val="es-CO"/>
        </w:rPr>
        <w:t>(Art. 47, Decreto 825 de 1978)</w:t>
      </w:r>
    </w:p>
    <w:p w14:paraId="3E1D25B5" w14:textId="77777777" w:rsidR="00B2442D" w:rsidRDefault="00B2442D">
      <w:pPr>
        <w:jc w:val="both"/>
        <w:rPr>
          <w:rFonts w:ascii="Arial" w:hAnsi="Arial" w:cs="Arial"/>
          <w:b/>
          <w:lang w:val="es-CO"/>
        </w:rPr>
      </w:pPr>
    </w:p>
    <w:p w14:paraId="7F3C6A11" w14:textId="77777777" w:rsidR="00B2442D" w:rsidRDefault="008A645F">
      <w:pPr>
        <w:pStyle w:val="Ttulo4"/>
        <w:rPr>
          <w:lang w:val="es-CO"/>
        </w:rPr>
      </w:pPr>
      <w:r>
        <w:rPr>
          <w:lang w:val="es-CO"/>
        </w:rPr>
        <w:t>CAPÍTULO 19</w:t>
      </w:r>
    </w:p>
    <w:p w14:paraId="4BBDFBCC" w14:textId="77777777" w:rsidR="00B2442D" w:rsidRDefault="008A645F">
      <w:pPr>
        <w:pStyle w:val="Ttulo4"/>
        <w:rPr>
          <w:lang w:val="es-CO"/>
        </w:rPr>
      </w:pPr>
      <w:r>
        <w:rPr>
          <w:lang w:val="es-CO"/>
        </w:rPr>
        <w:t>Devolución del impuesto sobre las ventas a las instituciones estatales u oficiales de educación superior</w:t>
      </w:r>
    </w:p>
    <w:p w14:paraId="5271910F" w14:textId="77777777" w:rsidR="00B2442D" w:rsidRDefault="00B2442D">
      <w:pPr>
        <w:rPr>
          <w:rFonts w:ascii="Arial" w:hAnsi="Arial" w:cs="Arial"/>
          <w:lang w:val="es-CO"/>
        </w:rPr>
      </w:pPr>
    </w:p>
    <w:p w14:paraId="69D6BF05"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Devolución del impuesto a </w:t>
      </w:r>
      <w:r>
        <w:rPr>
          <w:rFonts w:ascii="Arial" w:hAnsi="Arial" w:cs="Arial"/>
          <w:b/>
          <w:i/>
          <w:lang w:val="es-CO"/>
        </w:rPr>
        <w:t>las ventas a las instituciones estatales u oficiales de educación superior.</w:t>
      </w:r>
      <w:r>
        <w:rPr>
          <w:rFonts w:ascii="Arial" w:hAnsi="Arial" w:cs="Arial"/>
          <w:lang w:val="es-CO"/>
        </w:rPr>
        <w:t xml:space="preserve"> Las instituciones estatales u oficiales de educación superior tienen derecho a la devolución del impuesto a las ventas que paguen por los bienes, insumos y servicios que adquieran.</w:t>
      </w:r>
      <w:r>
        <w:rPr>
          <w:rFonts w:ascii="Arial" w:hAnsi="Arial" w:cs="Arial"/>
          <w:lang w:val="es-CO"/>
        </w:rPr>
        <w:t xml:space="preserve"> </w:t>
      </w:r>
    </w:p>
    <w:p w14:paraId="6E6B0319" w14:textId="77777777" w:rsidR="00B2442D" w:rsidRDefault="00B2442D">
      <w:pPr>
        <w:jc w:val="both"/>
        <w:rPr>
          <w:rFonts w:ascii="Arial" w:hAnsi="Arial" w:cs="Arial"/>
          <w:lang w:val="es-CO"/>
        </w:rPr>
      </w:pPr>
    </w:p>
    <w:p w14:paraId="1A62BF95" w14:textId="77777777" w:rsidR="00B2442D" w:rsidRDefault="008A645F">
      <w:pPr>
        <w:jc w:val="both"/>
        <w:rPr>
          <w:rFonts w:ascii="Arial" w:hAnsi="Arial" w:cs="Arial"/>
          <w:lang w:val="es-CO"/>
        </w:rPr>
      </w:pPr>
      <w:r>
        <w:rPr>
          <w:rFonts w:ascii="Arial" w:hAnsi="Arial" w:cs="Arial"/>
          <w:lang w:val="es-CO"/>
        </w:rPr>
        <w:t>La devolución del impuesto a las ventas cuando haya lugar a ello, se efectuará a la cuenta corriente o cuenta de ahorros que informe la entidad solicitante; para ello el beneficiario deberá entregar con la solicitud una constancia de la titularidad de l</w:t>
      </w:r>
      <w:r>
        <w:rPr>
          <w:rFonts w:ascii="Arial" w:hAnsi="Arial" w:cs="Arial"/>
          <w:lang w:val="es-CO"/>
        </w:rPr>
        <w:t>a cuenta corriente o de ahorros activa, en una entidad vigilada por la Superintendencia Financiera de Colombia, con fecha de expedición no mayor a un (1) mes.</w:t>
      </w:r>
    </w:p>
    <w:p w14:paraId="595C8760" w14:textId="77777777" w:rsidR="00B2442D" w:rsidRDefault="00B2442D">
      <w:pPr>
        <w:jc w:val="both"/>
        <w:rPr>
          <w:rFonts w:ascii="Arial" w:hAnsi="Arial" w:cs="Arial"/>
          <w:i/>
          <w:lang w:val="es-CO"/>
        </w:rPr>
      </w:pPr>
    </w:p>
    <w:p w14:paraId="4DC25C52" w14:textId="77777777" w:rsidR="00B2442D" w:rsidRDefault="008A645F">
      <w:pPr>
        <w:jc w:val="both"/>
        <w:rPr>
          <w:rFonts w:ascii="Arial" w:hAnsi="Arial" w:cs="Arial"/>
          <w:i/>
          <w:lang w:val="es-CO"/>
        </w:rPr>
      </w:pPr>
      <w:r>
        <w:rPr>
          <w:rFonts w:ascii="Arial" w:hAnsi="Arial" w:cs="Arial"/>
          <w:i/>
          <w:lang w:val="es-CO"/>
        </w:rPr>
        <w:t>(Art. 1, Decreto 2627 de 1993, modificado por el art. 23 del Decreto 2277 de 2012)</w:t>
      </w:r>
    </w:p>
    <w:p w14:paraId="345C8597" w14:textId="77777777" w:rsidR="00B2442D" w:rsidRDefault="00B2442D">
      <w:pPr>
        <w:jc w:val="both"/>
        <w:rPr>
          <w:rFonts w:ascii="Arial" w:hAnsi="Arial" w:cs="Arial"/>
          <w:lang w:val="es-CO"/>
        </w:rPr>
      </w:pPr>
    </w:p>
    <w:p w14:paraId="5C7DB67D"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Liquidación</w:t>
      </w:r>
      <w:r>
        <w:rPr>
          <w:rFonts w:ascii="Arial" w:hAnsi="Arial" w:cs="Arial"/>
          <w:b/>
          <w:i/>
          <w:lang w:val="es-CO"/>
        </w:rPr>
        <w:t xml:space="preserve"> del Impuesto a las Ventas a devolver.</w:t>
      </w:r>
      <w:r>
        <w:rPr>
          <w:rFonts w:ascii="Arial" w:hAnsi="Arial" w:cs="Arial"/>
          <w:lang w:val="es-CO"/>
        </w:rPr>
        <w:t xml:space="preserve"> Para efectos de la devolución del Impuesto a las Ventas cada Institución deberá liquidar bimestralmente el impuesto efectivamente pagado. </w:t>
      </w:r>
    </w:p>
    <w:p w14:paraId="5DCEC1EF" w14:textId="77777777" w:rsidR="00B2442D" w:rsidRDefault="008A645F">
      <w:pPr>
        <w:jc w:val="both"/>
        <w:rPr>
          <w:rFonts w:ascii="Arial" w:hAnsi="Arial" w:cs="Arial"/>
          <w:lang w:val="es-CO"/>
        </w:rPr>
      </w:pPr>
      <w:r>
        <w:rPr>
          <w:rFonts w:ascii="Arial" w:hAnsi="Arial" w:cs="Arial"/>
          <w:lang w:val="es-CO"/>
        </w:rPr>
        <w:t xml:space="preserve"> </w:t>
      </w:r>
    </w:p>
    <w:p w14:paraId="5FF2D693" w14:textId="77777777" w:rsidR="00B2442D" w:rsidRDefault="008A645F">
      <w:pPr>
        <w:jc w:val="both"/>
        <w:rPr>
          <w:rFonts w:ascii="Arial" w:hAnsi="Arial" w:cs="Arial"/>
          <w:lang w:val="es-CO"/>
        </w:rPr>
      </w:pPr>
      <w:r>
        <w:rPr>
          <w:rFonts w:ascii="Arial" w:hAnsi="Arial" w:cs="Arial"/>
          <w:lang w:val="es-CO"/>
        </w:rPr>
        <w:t>Los períodos bimestrales son: Enero-febrero, marzo-abril, mayo-junio, julio-</w:t>
      </w:r>
      <w:r>
        <w:rPr>
          <w:rFonts w:ascii="Arial" w:hAnsi="Arial" w:cs="Arial"/>
          <w:lang w:val="es-CO"/>
        </w:rPr>
        <w:t>agosto, septiembre-octubre y noviembre-diciembre.</w:t>
      </w:r>
    </w:p>
    <w:p w14:paraId="021E9CB3" w14:textId="77777777" w:rsidR="00B2442D" w:rsidRDefault="00B2442D">
      <w:pPr>
        <w:jc w:val="both"/>
        <w:rPr>
          <w:rFonts w:ascii="Arial" w:hAnsi="Arial" w:cs="Arial"/>
          <w:i/>
          <w:lang w:val="es-CO"/>
        </w:rPr>
      </w:pPr>
    </w:p>
    <w:p w14:paraId="6B6E2397" w14:textId="77777777" w:rsidR="00B2442D" w:rsidRDefault="008A645F">
      <w:pPr>
        <w:jc w:val="both"/>
        <w:rPr>
          <w:rFonts w:ascii="Arial" w:hAnsi="Arial" w:cs="Arial"/>
          <w:i/>
          <w:lang w:val="es-CO"/>
        </w:rPr>
      </w:pPr>
      <w:r>
        <w:rPr>
          <w:rFonts w:ascii="Arial" w:hAnsi="Arial" w:cs="Arial"/>
          <w:i/>
          <w:lang w:val="es-CO"/>
        </w:rPr>
        <w:t>(Art. 2, Decreto 2627 de 1993)</w:t>
      </w:r>
    </w:p>
    <w:p w14:paraId="7B584A45" w14:textId="77777777" w:rsidR="00B2442D" w:rsidRDefault="00B2442D">
      <w:pPr>
        <w:jc w:val="both"/>
        <w:rPr>
          <w:rFonts w:ascii="Arial" w:hAnsi="Arial" w:cs="Arial"/>
          <w:lang w:val="es-CO"/>
        </w:rPr>
      </w:pPr>
    </w:p>
    <w:p w14:paraId="052637ED"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Solicitud de devolución del impuesto a las ventas.</w:t>
      </w:r>
      <w:r>
        <w:rPr>
          <w:rFonts w:ascii="Arial" w:hAnsi="Arial" w:cs="Arial"/>
          <w:i/>
          <w:lang w:val="es-CO"/>
        </w:rPr>
        <w:t xml:space="preserve"> </w:t>
      </w:r>
      <w:r>
        <w:rPr>
          <w:rFonts w:ascii="Arial" w:hAnsi="Arial" w:cs="Arial"/>
          <w:lang w:val="es-CO"/>
        </w:rPr>
        <w:t>Las Instituciones Estatales u Oficiales de Educación Superior que tengan derecho a la devolución del Impuesto a las Venta</w:t>
      </w:r>
      <w:r>
        <w:rPr>
          <w:rFonts w:ascii="Arial" w:hAnsi="Arial" w:cs="Arial"/>
          <w:lang w:val="es-CO"/>
        </w:rPr>
        <w:t>s pagado por la adquisición de bienes, insumos y servicios, deberán solicitarla ante la Administración de Impuestos y Aduanas Nacionales que corresponda a su domicilio principal, a más tardar el último día hábil del mes siguiente al vencimiento del bimestr</w:t>
      </w:r>
      <w:r>
        <w:rPr>
          <w:rFonts w:ascii="Arial" w:hAnsi="Arial" w:cs="Arial"/>
          <w:lang w:val="es-CO"/>
        </w:rPr>
        <w:t>e respectivo.</w:t>
      </w:r>
    </w:p>
    <w:p w14:paraId="263C2025" w14:textId="77777777" w:rsidR="00B2442D" w:rsidRDefault="00B2442D">
      <w:pPr>
        <w:jc w:val="both"/>
        <w:rPr>
          <w:rFonts w:ascii="Arial" w:hAnsi="Arial" w:cs="Arial"/>
          <w:i/>
          <w:lang w:val="es-CO"/>
        </w:rPr>
      </w:pPr>
    </w:p>
    <w:p w14:paraId="6BA9E2E3" w14:textId="77777777" w:rsidR="00B2442D" w:rsidRDefault="008A645F">
      <w:pPr>
        <w:jc w:val="both"/>
        <w:rPr>
          <w:rFonts w:ascii="Arial" w:hAnsi="Arial" w:cs="Arial"/>
          <w:i/>
          <w:lang w:val="es-CO"/>
        </w:rPr>
      </w:pPr>
      <w:r>
        <w:rPr>
          <w:rFonts w:ascii="Arial" w:hAnsi="Arial" w:cs="Arial"/>
          <w:i/>
          <w:lang w:val="es-CO"/>
        </w:rPr>
        <w:t>(Art. 3, Decreto 2627 de 1993)</w:t>
      </w:r>
    </w:p>
    <w:p w14:paraId="6F720830" w14:textId="77777777" w:rsidR="00B2442D" w:rsidRDefault="00B2442D">
      <w:pPr>
        <w:jc w:val="both"/>
        <w:rPr>
          <w:rFonts w:ascii="Arial" w:hAnsi="Arial" w:cs="Arial"/>
          <w:lang w:val="es-CO"/>
        </w:rPr>
      </w:pPr>
    </w:p>
    <w:p w14:paraId="04B0FEAB"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Requisitos de la solicitud de devolución del impuesto a las ventas.</w:t>
      </w:r>
      <w:r>
        <w:rPr>
          <w:rFonts w:ascii="Arial" w:hAnsi="Arial" w:cs="Arial"/>
          <w:lang w:val="es-CO"/>
        </w:rPr>
        <w:t xml:space="preserve"> La solicitud de devolución del Impuesto a las Ventas deberá presentarse diligenciando el formato correspondiente y cumplir los siguientes re</w:t>
      </w:r>
      <w:r>
        <w:rPr>
          <w:rFonts w:ascii="Arial" w:hAnsi="Arial" w:cs="Arial"/>
          <w:lang w:val="es-CO"/>
        </w:rPr>
        <w:t xml:space="preserve">quisitos: </w:t>
      </w:r>
    </w:p>
    <w:p w14:paraId="1526A8E3" w14:textId="77777777" w:rsidR="00B2442D" w:rsidRDefault="008A645F">
      <w:pPr>
        <w:jc w:val="both"/>
        <w:rPr>
          <w:rFonts w:ascii="Arial" w:hAnsi="Arial" w:cs="Arial"/>
          <w:lang w:val="es-CO"/>
        </w:rPr>
      </w:pPr>
      <w:r>
        <w:rPr>
          <w:rFonts w:ascii="Arial" w:hAnsi="Arial" w:cs="Arial"/>
          <w:lang w:val="es-CO"/>
        </w:rPr>
        <w:t xml:space="preserve"> </w:t>
      </w:r>
    </w:p>
    <w:p w14:paraId="0729B9E0" w14:textId="77777777" w:rsidR="00B2442D" w:rsidRDefault="008A645F">
      <w:pPr>
        <w:ind w:left="284" w:hanging="284"/>
        <w:jc w:val="both"/>
        <w:rPr>
          <w:rFonts w:ascii="Arial" w:hAnsi="Arial" w:cs="Arial"/>
          <w:lang w:val="es-CO"/>
        </w:rPr>
      </w:pPr>
      <w:r>
        <w:rPr>
          <w:rFonts w:ascii="Arial" w:hAnsi="Arial" w:cs="Arial"/>
          <w:lang w:val="es-CO"/>
        </w:rPr>
        <w:t xml:space="preserve">1. Que se presente en forma personal por el representante legal de la Institución. </w:t>
      </w:r>
    </w:p>
    <w:p w14:paraId="66CC7CB2" w14:textId="77777777" w:rsidR="00B2442D" w:rsidRDefault="00B2442D">
      <w:pPr>
        <w:ind w:left="284" w:hanging="284"/>
        <w:jc w:val="both"/>
        <w:rPr>
          <w:rFonts w:ascii="Arial" w:hAnsi="Arial" w:cs="Arial"/>
          <w:lang w:val="es-CO"/>
        </w:rPr>
      </w:pPr>
    </w:p>
    <w:p w14:paraId="4DD8ACF4" w14:textId="77777777" w:rsidR="00B2442D" w:rsidRDefault="008A645F">
      <w:pPr>
        <w:ind w:left="284" w:hanging="284"/>
        <w:jc w:val="both"/>
        <w:rPr>
          <w:rFonts w:ascii="Arial" w:hAnsi="Arial" w:cs="Arial"/>
          <w:lang w:val="es-CO"/>
        </w:rPr>
      </w:pPr>
      <w:r>
        <w:rPr>
          <w:rFonts w:ascii="Arial" w:hAnsi="Arial" w:cs="Arial"/>
          <w:lang w:val="es-CO"/>
        </w:rPr>
        <w:t xml:space="preserve">2. Que se presente dentro de la oportunidad señalada y en la Administración de Impuestos y Aduanas Nacionales correspondiente.  </w:t>
      </w:r>
    </w:p>
    <w:p w14:paraId="0C6FE2E3" w14:textId="77777777" w:rsidR="00B2442D" w:rsidRDefault="00B2442D">
      <w:pPr>
        <w:ind w:left="284" w:hanging="284"/>
        <w:jc w:val="both"/>
        <w:rPr>
          <w:rFonts w:ascii="Arial" w:hAnsi="Arial" w:cs="Arial"/>
          <w:lang w:val="es-CO"/>
        </w:rPr>
      </w:pPr>
    </w:p>
    <w:p w14:paraId="3B5FD490" w14:textId="77777777" w:rsidR="00B2442D" w:rsidRDefault="008A645F">
      <w:pPr>
        <w:ind w:left="284" w:hanging="284"/>
        <w:jc w:val="both"/>
        <w:rPr>
          <w:rFonts w:ascii="Arial" w:hAnsi="Arial" w:cs="Arial"/>
          <w:lang w:val="es-CO"/>
        </w:rPr>
      </w:pPr>
      <w:r>
        <w:rPr>
          <w:rFonts w:ascii="Arial" w:hAnsi="Arial" w:cs="Arial"/>
          <w:lang w:val="es-CO"/>
        </w:rPr>
        <w:t>3. Que se acompañe los sigui</w:t>
      </w:r>
      <w:r>
        <w:rPr>
          <w:rFonts w:ascii="Arial" w:hAnsi="Arial" w:cs="Arial"/>
          <w:lang w:val="es-CO"/>
        </w:rPr>
        <w:t xml:space="preserve">entes documentos: </w:t>
      </w:r>
    </w:p>
    <w:p w14:paraId="666A77B2" w14:textId="77777777" w:rsidR="00B2442D" w:rsidRDefault="008A645F">
      <w:pPr>
        <w:jc w:val="both"/>
        <w:rPr>
          <w:rFonts w:ascii="Arial" w:hAnsi="Arial" w:cs="Arial"/>
          <w:lang w:val="es-CO"/>
        </w:rPr>
      </w:pPr>
      <w:r>
        <w:rPr>
          <w:rFonts w:ascii="Arial" w:hAnsi="Arial" w:cs="Arial"/>
          <w:lang w:val="es-CO"/>
        </w:rPr>
        <w:t xml:space="preserve"> </w:t>
      </w:r>
    </w:p>
    <w:p w14:paraId="1D7ECA46" w14:textId="77777777" w:rsidR="00B2442D" w:rsidRDefault="008A645F">
      <w:pPr>
        <w:ind w:left="284" w:hanging="284"/>
        <w:jc w:val="both"/>
        <w:rPr>
          <w:rFonts w:ascii="Arial" w:hAnsi="Arial" w:cs="Arial"/>
          <w:lang w:val="es-CO"/>
        </w:rPr>
      </w:pPr>
      <w:r>
        <w:rPr>
          <w:rFonts w:ascii="Arial" w:hAnsi="Arial" w:cs="Arial"/>
          <w:lang w:val="es-CO"/>
        </w:rPr>
        <w:t>a) Certificación del Instituto Colombiano para el Fomento de la Educación Superior, ICFES en la que se acredite la representación legal de la institución y la calidad de Institución Estatal u Oficial de Educación Superior, cuya fecha d</w:t>
      </w:r>
      <w:r>
        <w:rPr>
          <w:rFonts w:ascii="Arial" w:hAnsi="Arial" w:cs="Arial"/>
          <w:lang w:val="es-CO"/>
        </w:rPr>
        <w:t xml:space="preserve">e expedición no debe ser superior a seis (6) meses.  </w:t>
      </w:r>
    </w:p>
    <w:p w14:paraId="24229468" w14:textId="77777777" w:rsidR="00B2442D" w:rsidRDefault="00B2442D">
      <w:pPr>
        <w:ind w:left="284" w:hanging="284"/>
        <w:jc w:val="both"/>
        <w:rPr>
          <w:rFonts w:ascii="Arial" w:hAnsi="Arial" w:cs="Arial"/>
          <w:lang w:val="es-CO"/>
        </w:rPr>
      </w:pPr>
    </w:p>
    <w:p w14:paraId="5DA41D5D" w14:textId="77777777" w:rsidR="00B2442D" w:rsidRDefault="008A645F">
      <w:pPr>
        <w:ind w:left="284" w:hanging="284"/>
        <w:jc w:val="both"/>
        <w:rPr>
          <w:rFonts w:ascii="Arial" w:hAnsi="Arial" w:cs="Arial"/>
          <w:lang w:val="es-CO"/>
        </w:rPr>
      </w:pPr>
      <w:r>
        <w:rPr>
          <w:rFonts w:ascii="Arial" w:hAnsi="Arial" w:cs="Arial"/>
          <w:lang w:val="es-CO"/>
        </w:rPr>
        <w:t xml:space="preserve">b) Certificación de contador público o revisor fiscal en la que conste:  </w:t>
      </w:r>
    </w:p>
    <w:p w14:paraId="7C0772D7" w14:textId="77777777" w:rsidR="00B2442D" w:rsidRDefault="00B2442D">
      <w:pPr>
        <w:jc w:val="both"/>
        <w:rPr>
          <w:rFonts w:ascii="Arial" w:hAnsi="Arial" w:cs="Arial"/>
          <w:lang w:val="es-CO"/>
        </w:rPr>
      </w:pPr>
    </w:p>
    <w:p w14:paraId="44CD9E30" w14:textId="77777777" w:rsidR="00B2442D" w:rsidRDefault="008A645F">
      <w:pPr>
        <w:ind w:left="426" w:hanging="142"/>
        <w:jc w:val="both"/>
        <w:rPr>
          <w:rFonts w:ascii="Arial" w:hAnsi="Arial" w:cs="Arial"/>
          <w:lang w:val="es-CO"/>
        </w:rPr>
      </w:pPr>
      <w:r>
        <w:rPr>
          <w:rFonts w:ascii="Arial" w:hAnsi="Arial" w:cs="Arial"/>
          <w:lang w:val="es-CO"/>
        </w:rPr>
        <w:t xml:space="preserve">- Identificación de cada una de las facturas de adquisición de bienes, insumos y servicios indicando el número de la factura, fecha de expedición, nombre o razón social y NIT del proveedor, vendedor o quien prestó el servicio, valor de la transacción y el </w:t>
      </w:r>
      <w:r>
        <w:rPr>
          <w:rFonts w:ascii="Arial" w:hAnsi="Arial" w:cs="Arial"/>
          <w:lang w:val="es-CO"/>
        </w:rPr>
        <w:t xml:space="preserve">monto del Impuesto a las Ventas pagado. </w:t>
      </w:r>
    </w:p>
    <w:p w14:paraId="1F3A697C" w14:textId="77777777" w:rsidR="00B2442D" w:rsidRDefault="00B2442D">
      <w:pPr>
        <w:ind w:left="426" w:hanging="142"/>
        <w:jc w:val="both"/>
        <w:rPr>
          <w:rFonts w:ascii="Arial" w:hAnsi="Arial" w:cs="Arial"/>
          <w:lang w:val="es-CO"/>
        </w:rPr>
      </w:pPr>
    </w:p>
    <w:p w14:paraId="1EED8FEB" w14:textId="77777777" w:rsidR="00B2442D" w:rsidRDefault="008A645F">
      <w:pPr>
        <w:ind w:left="426" w:hanging="142"/>
        <w:jc w:val="both"/>
        <w:rPr>
          <w:rFonts w:ascii="Arial" w:hAnsi="Arial" w:cs="Arial"/>
          <w:lang w:val="es-CO"/>
        </w:rPr>
      </w:pPr>
      <w:r>
        <w:rPr>
          <w:rFonts w:ascii="Arial" w:hAnsi="Arial" w:cs="Arial"/>
          <w:lang w:val="es-CO"/>
        </w:rPr>
        <w:t xml:space="preserve">- El valor total del impuesto pagado objeto de la solicitud de devolución.  </w:t>
      </w:r>
    </w:p>
    <w:p w14:paraId="1AB6E3FE" w14:textId="77777777" w:rsidR="00B2442D" w:rsidRDefault="00B2442D">
      <w:pPr>
        <w:ind w:left="426" w:hanging="142"/>
        <w:jc w:val="both"/>
        <w:rPr>
          <w:rFonts w:ascii="Arial" w:hAnsi="Arial" w:cs="Arial"/>
          <w:lang w:val="es-CO"/>
        </w:rPr>
      </w:pPr>
    </w:p>
    <w:p w14:paraId="755554E5" w14:textId="77777777" w:rsidR="00B2442D" w:rsidRDefault="008A645F">
      <w:pPr>
        <w:ind w:left="426" w:hanging="142"/>
        <w:jc w:val="both"/>
        <w:rPr>
          <w:rFonts w:ascii="Arial" w:hAnsi="Arial" w:cs="Arial"/>
          <w:lang w:val="es-CO"/>
        </w:rPr>
      </w:pPr>
      <w:r>
        <w:rPr>
          <w:rFonts w:ascii="Arial" w:hAnsi="Arial" w:cs="Arial"/>
          <w:lang w:val="es-CO"/>
        </w:rPr>
        <w:t xml:space="preserve">- Que en las facturas se encuentra discriminado el Impuesto a las Ventas y cumplen los demás requisitos legales. </w:t>
      </w:r>
    </w:p>
    <w:p w14:paraId="65A6DC49" w14:textId="77777777" w:rsidR="00B2442D" w:rsidRDefault="00B2442D">
      <w:pPr>
        <w:ind w:left="426" w:hanging="142"/>
        <w:jc w:val="both"/>
        <w:rPr>
          <w:rFonts w:ascii="Arial" w:hAnsi="Arial" w:cs="Arial"/>
          <w:lang w:val="es-CO"/>
        </w:rPr>
      </w:pPr>
    </w:p>
    <w:p w14:paraId="4D5DC98A" w14:textId="77777777" w:rsidR="00B2442D" w:rsidRDefault="008A645F">
      <w:pPr>
        <w:ind w:left="426" w:hanging="142"/>
        <w:jc w:val="both"/>
        <w:rPr>
          <w:rFonts w:ascii="Arial" w:hAnsi="Arial" w:cs="Arial"/>
          <w:lang w:val="es-CO"/>
        </w:rPr>
      </w:pPr>
      <w:r>
        <w:rPr>
          <w:rFonts w:ascii="Arial" w:hAnsi="Arial" w:cs="Arial"/>
          <w:lang w:val="es-CO"/>
        </w:rPr>
        <w:t xml:space="preserve"> - Que los bienes, in</w:t>
      </w:r>
      <w:r>
        <w:rPr>
          <w:rFonts w:ascii="Arial" w:hAnsi="Arial" w:cs="Arial"/>
          <w:lang w:val="es-CO"/>
        </w:rPr>
        <w:t>sumos y servicios fueron adquiridos para el uso exclusivo de la respectiva Institución.</w:t>
      </w:r>
    </w:p>
    <w:p w14:paraId="220997FD" w14:textId="77777777" w:rsidR="00B2442D" w:rsidRDefault="00B2442D">
      <w:pPr>
        <w:jc w:val="both"/>
        <w:rPr>
          <w:rFonts w:ascii="Arial" w:hAnsi="Arial" w:cs="Arial"/>
          <w:i/>
          <w:lang w:val="es-CO"/>
        </w:rPr>
      </w:pPr>
    </w:p>
    <w:p w14:paraId="65188B1E" w14:textId="77777777" w:rsidR="00B2442D" w:rsidRDefault="008A645F">
      <w:pPr>
        <w:jc w:val="both"/>
        <w:rPr>
          <w:rFonts w:ascii="Arial" w:hAnsi="Arial" w:cs="Arial"/>
          <w:i/>
          <w:lang w:val="es-CO"/>
        </w:rPr>
      </w:pPr>
      <w:r>
        <w:rPr>
          <w:rFonts w:ascii="Arial" w:hAnsi="Arial" w:cs="Arial"/>
          <w:i/>
          <w:lang w:val="es-CO"/>
        </w:rPr>
        <w:t>(Art. 4, Decreto 2627 de 1993)</w:t>
      </w:r>
    </w:p>
    <w:p w14:paraId="799DDF4D" w14:textId="77777777" w:rsidR="00B2442D" w:rsidRDefault="00B2442D">
      <w:pPr>
        <w:jc w:val="both"/>
        <w:rPr>
          <w:rFonts w:ascii="Arial" w:hAnsi="Arial" w:cs="Arial"/>
          <w:lang w:val="es-CO"/>
        </w:rPr>
      </w:pPr>
    </w:p>
    <w:p w14:paraId="388C9245"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Trámite de devolución.</w:t>
      </w:r>
      <w:r>
        <w:rPr>
          <w:rFonts w:ascii="Arial" w:hAnsi="Arial" w:cs="Arial"/>
          <w:lang w:val="es-CO"/>
        </w:rPr>
        <w:t xml:space="preserve"> Cuando la solicitud de devolución no cumpla con los requisitos exigidos por el artículo </w:t>
      </w:r>
      <w:r>
        <w:rPr>
          <w:rFonts w:ascii="Arial" w:hAnsi="Arial" w:cs="Arial"/>
        </w:rPr>
        <w:t xml:space="preserve">1.6.1.19.4. </w:t>
      </w:r>
      <w:r>
        <w:rPr>
          <w:rFonts w:ascii="Arial" w:hAnsi="Arial" w:cs="Arial"/>
          <w:lang w:val="es-CO"/>
        </w:rPr>
        <w:t>del presente Decreto, la División de Devoluciones o quien haga sus veces de la Administración respectiva, proferirá auto de Inadmisión dentro de los quince</w:t>
      </w:r>
      <w:r>
        <w:rPr>
          <w:rFonts w:ascii="Arial" w:hAnsi="Arial" w:cs="Arial"/>
          <w:lang w:val="es-CO"/>
        </w:rPr>
        <w:t xml:space="preserve"> (15) días siguientes a la fecha de presentación de la solicitud de devolución. </w:t>
      </w:r>
    </w:p>
    <w:p w14:paraId="03D4404E" w14:textId="77777777" w:rsidR="00B2442D" w:rsidRDefault="008A645F">
      <w:pPr>
        <w:jc w:val="both"/>
        <w:rPr>
          <w:rFonts w:ascii="Arial" w:hAnsi="Arial" w:cs="Arial"/>
          <w:lang w:val="es-CO"/>
        </w:rPr>
      </w:pPr>
      <w:r>
        <w:rPr>
          <w:rFonts w:ascii="Arial" w:hAnsi="Arial" w:cs="Arial"/>
          <w:lang w:val="es-CO"/>
        </w:rPr>
        <w:t xml:space="preserve"> </w:t>
      </w:r>
    </w:p>
    <w:p w14:paraId="00B39EA5" w14:textId="77777777" w:rsidR="00B2442D" w:rsidRDefault="008A645F">
      <w:pPr>
        <w:jc w:val="both"/>
        <w:rPr>
          <w:rFonts w:ascii="Arial" w:hAnsi="Arial" w:cs="Arial"/>
          <w:lang w:val="es-CO"/>
        </w:rPr>
      </w:pPr>
      <w:r>
        <w:rPr>
          <w:rFonts w:ascii="Arial" w:hAnsi="Arial" w:cs="Arial"/>
          <w:lang w:val="es-CO"/>
        </w:rPr>
        <w:t xml:space="preserve">El auto de inadmisión deberá notificarse por correo o personalmente, de conformidad con las disposiciones del Estatuto Tributario. </w:t>
      </w:r>
    </w:p>
    <w:p w14:paraId="05D9DD29" w14:textId="77777777" w:rsidR="00B2442D" w:rsidRDefault="008A645F">
      <w:pPr>
        <w:jc w:val="both"/>
        <w:rPr>
          <w:rFonts w:ascii="Arial" w:hAnsi="Arial" w:cs="Arial"/>
          <w:lang w:val="es-CO"/>
        </w:rPr>
      </w:pPr>
      <w:r>
        <w:rPr>
          <w:rFonts w:ascii="Arial" w:hAnsi="Arial" w:cs="Arial"/>
          <w:lang w:val="es-CO"/>
        </w:rPr>
        <w:t xml:space="preserve"> </w:t>
      </w:r>
    </w:p>
    <w:p w14:paraId="120630BC" w14:textId="77777777" w:rsidR="00B2442D" w:rsidRDefault="008A645F">
      <w:pPr>
        <w:jc w:val="both"/>
        <w:rPr>
          <w:rFonts w:ascii="Arial" w:hAnsi="Arial" w:cs="Arial"/>
          <w:lang w:val="es-CO"/>
        </w:rPr>
      </w:pPr>
      <w:r>
        <w:rPr>
          <w:rFonts w:ascii="Arial" w:hAnsi="Arial" w:cs="Arial"/>
          <w:lang w:val="es-CO"/>
        </w:rPr>
        <w:t>Contra el auto de inadmisión procede ún</w:t>
      </w:r>
      <w:r>
        <w:rPr>
          <w:rFonts w:ascii="Arial" w:hAnsi="Arial" w:cs="Arial"/>
          <w:lang w:val="es-CO"/>
        </w:rPr>
        <w:t>icamente el recurso de reposición ante el mismo funcionario que lo profirió, dentro de los cinco (5) días siguientes a su notificación, con el fin de acreditar el cumplimiento de los requisitos omitidos.</w:t>
      </w:r>
    </w:p>
    <w:p w14:paraId="12885C2C" w14:textId="77777777" w:rsidR="00B2442D" w:rsidRDefault="00B2442D">
      <w:pPr>
        <w:jc w:val="both"/>
        <w:rPr>
          <w:rFonts w:ascii="Arial" w:hAnsi="Arial" w:cs="Arial"/>
          <w:i/>
          <w:lang w:val="es-CO"/>
        </w:rPr>
      </w:pPr>
    </w:p>
    <w:p w14:paraId="1444BD37" w14:textId="77777777" w:rsidR="00B2442D" w:rsidRDefault="008A645F">
      <w:pPr>
        <w:jc w:val="both"/>
        <w:rPr>
          <w:rFonts w:ascii="Arial" w:hAnsi="Arial" w:cs="Arial"/>
          <w:i/>
          <w:lang w:val="es-CO"/>
        </w:rPr>
      </w:pPr>
      <w:r>
        <w:rPr>
          <w:rFonts w:ascii="Arial" w:hAnsi="Arial" w:cs="Arial"/>
          <w:i/>
          <w:lang w:val="es-CO"/>
        </w:rPr>
        <w:t>(Art. 5, Decreto 2627 de 1993)</w:t>
      </w:r>
    </w:p>
    <w:p w14:paraId="2C1B999D" w14:textId="77777777" w:rsidR="00B2442D" w:rsidRDefault="00B2442D">
      <w:pPr>
        <w:jc w:val="both"/>
        <w:rPr>
          <w:rFonts w:ascii="Arial" w:hAnsi="Arial" w:cs="Arial"/>
          <w:lang w:val="es-CO"/>
        </w:rPr>
      </w:pPr>
    </w:p>
    <w:p w14:paraId="39E0F5A2"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Término para efect</w:t>
      </w:r>
      <w:r>
        <w:rPr>
          <w:rFonts w:ascii="Arial" w:hAnsi="Arial" w:cs="Arial"/>
          <w:b/>
          <w:i/>
          <w:lang w:val="es-CO"/>
        </w:rPr>
        <w:t>uar la devolución.</w:t>
      </w:r>
      <w:r>
        <w:rPr>
          <w:rFonts w:ascii="Arial" w:hAnsi="Arial" w:cs="Arial"/>
          <w:lang w:val="es-CO"/>
        </w:rPr>
        <w:t xml:space="preserve"> Sin perjuicio de lo dispuesto en el artículo 857-1 del Estatuto Tributario, la Unidad Administrativa Especial Dirección de Impuestos y Aduanas Nacionales-DIAN deberá devolver dentro del término establecido en el artículo 855 del Estatuto</w:t>
      </w:r>
      <w:r>
        <w:rPr>
          <w:rFonts w:ascii="Arial" w:hAnsi="Arial" w:cs="Arial"/>
          <w:lang w:val="es-CO"/>
        </w:rPr>
        <w:t xml:space="preserve"> Tributario.</w:t>
      </w:r>
    </w:p>
    <w:p w14:paraId="063C0C7D" w14:textId="77777777" w:rsidR="00B2442D" w:rsidRDefault="00B2442D">
      <w:pPr>
        <w:jc w:val="both"/>
        <w:rPr>
          <w:rFonts w:ascii="Arial" w:hAnsi="Arial" w:cs="Arial"/>
          <w:i/>
          <w:lang w:val="es-CO"/>
        </w:rPr>
      </w:pPr>
    </w:p>
    <w:p w14:paraId="48B7D992" w14:textId="77777777" w:rsidR="00B2442D" w:rsidRDefault="008A645F">
      <w:pPr>
        <w:jc w:val="both"/>
        <w:rPr>
          <w:rFonts w:ascii="Arial" w:hAnsi="Arial" w:cs="Arial"/>
          <w:i/>
          <w:lang w:val="es-CO"/>
        </w:rPr>
      </w:pPr>
      <w:r>
        <w:rPr>
          <w:rFonts w:ascii="Arial" w:hAnsi="Arial" w:cs="Arial"/>
          <w:i/>
          <w:lang w:val="es-CO"/>
        </w:rPr>
        <w:t>(Art. 6, Decreto 2627 de 1993, modificado por el Art. 24 del Decreto 2277 de 2012)</w:t>
      </w:r>
    </w:p>
    <w:p w14:paraId="50229ECA" w14:textId="77777777" w:rsidR="00B2442D" w:rsidRDefault="00B2442D">
      <w:pPr>
        <w:jc w:val="both"/>
        <w:rPr>
          <w:rFonts w:ascii="Arial" w:hAnsi="Arial" w:cs="Arial"/>
          <w:lang w:val="es-CO"/>
        </w:rPr>
      </w:pPr>
    </w:p>
    <w:p w14:paraId="5B3282AC"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Rechazo de la solicitud de devolución.</w:t>
      </w:r>
      <w:r>
        <w:rPr>
          <w:rFonts w:ascii="Arial" w:hAnsi="Arial" w:cs="Arial"/>
          <w:lang w:val="es-CO"/>
        </w:rPr>
        <w:t xml:space="preserve"> La solicitud de devolución deberá rechazarse definitivamente, en forma parcial o total, cuando: </w:t>
      </w:r>
    </w:p>
    <w:p w14:paraId="3BCBF1C7" w14:textId="77777777" w:rsidR="00B2442D" w:rsidRDefault="008A645F">
      <w:pPr>
        <w:jc w:val="both"/>
        <w:rPr>
          <w:rFonts w:ascii="Arial" w:hAnsi="Arial" w:cs="Arial"/>
          <w:lang w:val="es-CO"/>
        </w:rPr>
      </w:pPr>
      <w:r>
        <w:rPr>
          <w:rFonts w:ascii="Arial" w:hAnsi="Arial" w:cs="Arial"/>
          <w:lang w:val="es-CO"/>
        </w:rPr>
        <w:t xml:space="preserve"> </w:t>
      </w:r>
    </w:p>
    <w:p w14:paraId="1A072B59"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 xml:space="preserve">No se interponga el recurso de reposición contra el auto de inadmisión, o se haga en forma extemporánea.  </w:t>
      </w:r>
    </w:p>
    <w:p w14:paraId="2016B6D2"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 xml:space="preserve">Interpuesto el recurso de reposición no se </w:t>
      </w:r>
      <w:r>
        <w:rPr>
          <w:rFonts w:ascii="Arial" w:hAnsi="Arial" w:cs="Arial"/>
          <w:lang w:val="es-CO"/>
        </w:rPr>
        <w:t xml:space="preserve">acredite el cumplimiento de los requisitos señalados en el auto de inadmisión.  </w:t>
      </w:r>
    </w:p>
    <w:p w14:paraId="227066B0"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 xml:space="preserve">El período solicitado ya haya sido objeto de solicitud de devolución. </w:t>
      </w:r>
    </w:p>
    <w:p w14:paraId="4D2043F4" w14:textId="77777777" w:rsidR="00B2442D" w:rsidRDefault="008A645F">
      <w:pPr>
        <w:ind w:left="426" w:hanging="426"/>
        <w:jc w:val="both"/>
        <w:rPr>
          <w:rFonts w:ascii="Arial" w:hAnsi="Arial" w:cs="Arial"/>
          <w:lang w:val="es-CO"/>
        </w:rPr>
      </w:pPr>
      <w:r>
        <w:rPr>
          <w:rFonts w:ascii="Arial" w:hAnsi="Arial" w:cs="Arial"/>
          <w:lang w:val="es-CO"/>
        </w:rPr>
        <w:t>4.</w:t>
      </w:r>
      <w:r>
        <w:rPr>
          <w:rFonts w:ascii="Arial" w:hAnsi="Arial" w:cs="Arial"/>
          <w:lang w:val="es-CO"/>
        </w:rPr>
        <w:tab/>
        <w:t xml:space="preserve">El solicitante no haya cancelado el impuesto a las ventas objeto de la solicitud.  </w:t>
      </w:r>
    </w:p>
    <w:p w14:paraId="69DBD58F" w14:textId="77777777" w:rsidR="00B2442D" w:rsidRDefault="008A645F">
      <w:pPr>
        <w:ind w:left="426" w:hanging="426"/>
        <w:jc w:val="both"/>
        <w:rPr>
          <w:rFonts w:ascii="Arial" w:hAnsi="Arial" w:cs="Arial"/>
          <w:lang w:val="es-CO"/>
        </w:rPr>
      </w:pPr>
      <w:r>
        <w:rPr>
          <w:rFonts w:ascii="Arial" w:hAnsi="Arial" w:cs="Arial"/>
          <w:lang w:val="es-CO"/>
        </w:rPr>
        <w:t>5.</w:t>
      </w:r>
      <w:r>
        <w:rPr>
          <w:rFonts w:ascii="Arial" w:hAnsi="Arial" w:cs="Arial"/>
          <w:lang w:val="es-CO"/>
        </w:rPr>
        <w:tab/>
        <w:t>El solicita</w:t>
      </w:r>
      <w:r>
        <w:rPr>
          <w:rFonts w:ascii="Arial" w:hAnsi="Arial" w:cs="Arial"/>
          <w:lang w:val="es-CO"/>
        </w:rPr>
        <w:t xml:space="preserve">nte no tenga derecho a la devolución. </w:t>
      </w:r>
    </w:p>
    <w:p w14:paraId="319CBAB3" w14:textId="77777777" w:rsidR="00B2442D" w:rsidRDefault="008A645F">
      <w:pPr>
        <w:jc w:val="both"/>
        <w:rPr>
          <w:rFonts w:ascii="Arial" w:hAnsi="Arial" w:cs="Arial"/>
          <w:lang w:val="es-CO"/>
        </w:rPr>
      </w:pPr>
      <w:r>
        <w:rPr>
          <w:rFonts w:ascii="Arial" w:hAnsi="Arial" w:cs="Arial"/>
          <w:lang w:val="es-CO"/>
        </w:rPr>
        <w:t xml:space="preserve"> </w:t>
      </w:r>
    </w:p>
    <w:p w14:paraId="64B32025"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 xml:space="preserve"> La providencia que rechace la solicitud de devolución deberá proferirse dentro de los treinta (30) días siguientes a la fecha de presentación de la solicitud o de presentación del recurso de reposición c</w:t>
      </w:r>
      <w:r>
        <w:rPr>
          <w:rFonts w:ascii="Arial" w:hAnsi="Arial" w:cs="Arial"/>
          <w:lang w:val="es-CO"/>
        </w:rPr>
        <w:t>ontra el auto de inadmisión, según el caso.</w:t>
      </w:r>
    </w:p>
    <w:p w14:paraId="46E51158" w14:textId="77777777" w:rsidR="00B2442D" w:rsidRDefault="00B2442D">
      <w:pPr>
        <w:jc w:val="both"/>
        <w:rPr>
          <w:rFonts w:ascii="Arial" w:hAnsi="Arial" w:cs="Arial"/>
          <w:i/>
          <w:lang w:val="es-CO"/>
        </w:rPr>
      </w:pPr>
    </w:p>
    <w:p w14:paraId="5CD73801" w14:textId="77777777" w:rsidR="00B2442D" w:rsidRDefault="008A645F">
      <w:pPr>
        <w:jc w:val="both"/>
        <w:rPr>
          <w:rFonts w:ascii="Arial" w:hAnsi="Arial" w:cs="Arial"/>
          <w:i/>
          <w:lang w:val="es-CO"/>
        </w:rPr>
      </w:pPr>
      <w:r>
        <w:rPr>
          <w:rFonts w:ascii="Arial" w:hAnsi="Arial" w:cs="Arial"/>
          <w:i/>
          <w:lang w:val="es-CO"/>
        </w:rPr>
        <w:t>(Art. 7, Decreto 2627 de 1993)</w:t>
      </w:r>
    </w:p>
    <w:p w14:paraId="478C72CD" w14:textId="77777777" w:rsidR="00B2442D" w:rsidRDefault="00B2442D">
      <w:pPr>
        <w:jc w:val="both"/>
        <w:rPr>
          <w:rFonts w:ascii="Arial" w:hAnsi="Arial" w:cs="Arial"/>
          <w:lang w:val="es-CO"/>
        </w:rPr>
      </w:pPr>
    </w:p>
    <w:p w14:paraId="721D06A6" w14:textId="77777777" w:rsidR="00B2442D" w:rsidRDefault="008A645F">
      <w:pPr>
        <w:pStyle w:val="Prrafodelista"/>
        <w:numPr>
          <w:ilvl w:val="0"/>
          <w:numId w:val="121"/>
        </w:numPr>
        <w:ind w:left="0" w:firstLine="0"/>
        <w:jc w:val="both"/>
        <w:rPr>
          <w:rFonts w:ascii="Arial" w:hAnsi="Arial" w:cs="Arial"/>
          <w:lang w:val="es-CO"/>
        </w:rPr>
      </w:pPr>
      <w:r>
        <w:rPr>
          <w:rFonts w:ascii="Arial" w:hAnsi="Arial" w:cs="Arial"/>
          <w:b/>
          <w:i/>
          <w:lang w:val="es-CO"/>
        </w:rPr>
        <w:t xml:space="preserve"> Remisión del Estatuto Tributario.</w:t>
      </w:r>
      <w:r>
        <w:rPr>
          <w:rFonts w:ascii="Arial" w:hAnsi="Arial" w:cs="Arial"/>
          <w:lang w:val="es-CO"/>
        </w:rPr>
        <w:t xml:space="preserve"> Para los aspectos no previstos en forma expresa en el presente Decreto, las devoluciones del Impuesto a las Ventas a las Instituciones Estatales</w:t>
      </w:r>
      <w:r>
        <w:rPr>
          <w:rFonts w:ascii="Arial" w:hAnsi="Arial" w:cs="Arial"/>
          <w:lang w:val="es-CO"/>
        </w:rPr>
        <w:t xml:space="preserve"> u Oficiales de Educación Superior deberán sujetarse a lo señalado en el Estatuto Tributario.</w:t>
      </w:r>
    </w:p>
    <w:p w14:paraId="5E9508E3" w14:textId="77777777" w:rsidR="00B2442D" w:rsidRDefault="00B2442D">
      <w:pPr>
        <w:jc w:val="both"/>
        <w:rPr>
          <w:rFonts w:ascii="Arial" w:hAnsi="Arial" w:cs="Arial"/>
          <w:i/>
          <w:lang w:val="es-CO"/>
        </w:rPr>
      </w:pPr>
    </w:p>
    <w:p w14:paraId="1682CC9A" w14:textId="77777777" w:rsidR="00B2442D" w:rsidRDefault="008A645F">
      <w:pPr>
        <w:jc w:val="both"/>
        <w:rPr>
          <w:rFonts w:ascii="Arial" w:hAnsi="Arial" w:cs="Arial"/>
          <w:i/>
          <w:lang w:val="es-CO"/>
        </w:rPr>
      </w:pPr>
      <w:r>
        <w:rPr>
          <w:rFonts w:ascii="Arial" w:hAnsi="Arial" w:cs="Arial"/>
          <w:i/>
          <w:lang w:val="es-CO"/>
        </w:rPr>
        <w:t>(Art. 8, Decreto 2627 de 1993)</w:t>
      </w:r>
    </w:p>
    <w:p w14:paraId="32EFE525" w14:textId="77777777" w:rsidR="00B2442D" w:rsidRDefault="00B2442D">
      <w:pPr>
        <w:jc w:val="both"/>
        <w:rPr>
          <w:rFonts w:ascii="Arial" w:hAnsi="Arial" w:cs="Arial"/>
          <w:lang w:val="es-CO"/>
        </w:rPr>
      </w:pPr>
    </w:p>
    <w:p w14:paraId="383694EF" w14:textId="77777777" w:rsidR="00B2442D" w:rsidRDefault="008A645F">
      <w:pPr>
        <w:pStyle w:val="Ttulo4"/>
        <w:rPr>
          <w:lang w:val="es-CO"/>
        </w:rPr>
      </w:pPr>
      <w:r>
        <w:rPr>
          <w:lang w:val="es-CO"/>
        </w:rPr>
        <w:t>CAPÍTULO 20</w:t>
      </w:r>
    </w:p>
    <w:p w14:paraId="20FC5C28" w14:textId="77777777" w:rsidR="00B2442D" w:rsidRDefault="008A645F">
      <w:pPr>
        <w:pStyle w:val="Ttulo4"/>
        <w:rPr>
          <w:lang w:val="es-CO"/>
        </w:rPr>
      </w:pPr>
      <w:r>
        <w:rPr>
          <w:lang w:val="es-CO"/>
        </w:rPr>
        <w:t xml:space="preserve">Devolución de la retención en la fuente del impuesto sobre la renta de entidades y personas que celebren acuerdos de </w:t>
      </w:r>
      <w:r>
        <w:rPr>
          <w:lang w:val="es-CO"/>
        </w:rPr>
        <w:t>reestructuración</w:t>
      </w:r>
    </w:p>
    <w:p w14:paraId="0C684160" w14:textId="77777777" w:rsidR="00B2442D" w:rsidRDefault="00B2442D">
      <w:pPr>
        <w:jc w:val="both"/>
        <w:rPr>
          <w:rFonts w:ascii="Arial" w:hAnsi="Arial" w:cs="Arial"/>
          <w:lang w:val="es-CO"/>
        </w:rPr>
      </w:pPr>
    </w:p>
    <w:p w14:paraId="16A0C75C" w14:textId="77777777" w:rsidR="00B2442D" w:rsidRDefault="008A645F">
      <w:pPr>
        <w:pStyle w:val="Prrafodelista"/>
        <w:numPr>
          <w:ilvl w:val="0"/>
          <w:numId w:val="122"/>
        </w:numPr>
        <w:ind w:left="0" w:firstLine="0"/>
        <w:jc w:val="both"/>
        <w:rPr>
          <w:rFonts w:ascii="Arial" w:hAnsi="Arial" w:cs="Arial"/>
          <w:lang w:val="es-CO"/>
        </w:rPr>
      </w:pPr>
      <w:r>
        <w:rPr>
          <w:rFonts w:ascii="Arial" w:hAnsi="Arial" w:cs="Arial"/>
          <w:b/>
          <w:i/>
          <w:lang w:val="es-CO"/>
        </w:rPr>
        <w:t xml:space="preserve"> Entidades y personas con derecho a la devolución.</w:t>
      </w:r>
      <w:r>
        <w:rPr>
          <w:rFonts w:ascii="Arial" w:hAnsi="Arial" w:cs="Arial"/>
          <w:lang w:val="es-CO"/>
        </w:rPr>
        <w:t xml:space="preserve"> Los destinatarios del régimen de insolvencia previsto en Ley 1116 de 2006 que, de conformidad con lo dispuesto en dicha ley, hayan celebrado acuerdo de reorganización, tendrán derecho a s</w:t>
      </w:r>
      <w:r>
        <w:rPr>
          <w:rFonts w:ascii="Arial" w:hAnsi="Arial" w:cs="Arial"/>
          <w:lang w:val="es-CO"/>
        </w:rPr>
        <w:t>olicitar la devolución de la retención en la fuente del impuesto sobre la renta que se les hubiere practicado por cualquier concepto, de acuerdo con las disposiciones del presente capítulo.</w:t>
      </w:r>
    </w:p>
    <w:p w14:paraId="310CD2D7" w14:textId="77777777" w:rsidR="00B2442D" w:rsidRDefault="00B2442D">
      <w:pPr>
        <w:jc w:val="both"/>
        <w:rPr>
          <w:rFonts w:ascii="Arial" w:hAnsi="Arial" w:cs="Arial"/>
          <w:lang w:val="es-CO"/>
        </w:rPr>
      </w:pPr>
    </w:p>
    <w:p w14:paraId="54014158" w14:textId="77777777" w:rsidR="00B2442D" w:rsidRDefault="008A645F">
      <w:pPr>
        <w:jc w:val="both"/>
        <w:rPr>
          <w:rFonts w:ascii="Arial" w:hAnsi="Arial" w:cs="Arial"/>
          <w:lang w:val="es-CO"/>
        </w:rPr>
      </w:pPr>
      <w:r>
        <w:rPr>
          <w:rFonts w:ascii="Arial" w:hAnsi="Arial" w:cs="Arial"/>
          <w:lang w:val="es-CO"/>
        </w:rPr>
        <w:t>El derecho a la devolución de la retención en la fuente se produc</w:t>
      </w:r>
      <w:r>
        <w:rPr>
          <w:rFonts w:ascii="Arial" w:hAnsi="Arial" w:cs="Arial"/>
          <w:lang w:val="es-CO"/>
        </w:rPr>
        <w:t>irá desde el mes calendario siguiente a la fecha de confirmación del acuerdo de reorganización en los términos del artículo 35 de la Ley 1116 de 2006 y durante un máximo de tres (3) años contados a partir de la misma fecha.</w:t>
      </w:r>
    </w:p>
    <w:p w14:paraId="4F34B27F" w14:textId="77777777" w:rsidR="00B2442D" w:rsidRDefault="00B2442D">
      <w:pPr>
        <w:jc w:val="both"/>
        <w:rPr>
          <w:rFonts w:ascii="Arial" w:hAnsi="Arial" w:cs="Arial"/>
          <w:lang w:val="es-CO"/>
        </w:rPr>
      </w:pPr>
    </w:p>
    <w:p w14:paraId="33B090B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Administración competente deberá devolver la retención en la fuente dentro de los plazos indicados en los artículos 855 y 860 del Estatuto Tributario, siempre y cuando la solicitud se presente oportunamente y en debida forma.</w:t>
      </w:r>
    </w:p>
    <w:p w14:paraId="17ABDF59" w14:textId="77777777" w:rsidR="00B2442D" w:rsidRDefault="00B2442D">
      <w:pPr>
        <w:jc w:val="both"/>
        <w:rPr>
          <w:rFonts w:ascii="Arial" w:hAnsi="Arial" w:cs="Arial"/>
          <w:lang w:val="es-CO"/>
        </w:rPr>
      </w:pPr>
    </w:p>
    <w:p w14:paraId="37A41547" w14:textId="77777777" w:rsidR="00B2442D" w:rsidRDefault="008A645F">
      <w:pPr>
        <w:jc w:val="both"/>
        <w:rPr>
          <w:rFonts w:ascii="Arial" w:hAnsi="Arial" w:cs="Arial"/>
          <w:i/>
          <w:lang w:val="es-CO"/>
        </w:rPr>
      </w:pPr>
      <w:r>
        <w:rPr>
          <w:rFonts w:ascii="Arial" w:hAnsi="Arial" w:cs="Arial"/>
          <w:i/>
          <w:lang w:val="es-CO"/>
        </w:rPr>
        <w:t xml:space="preserve">(Art. 1, Decreto 2860 de </w:t>
      </w:r>
      <w:r>
        <w:rPr>
          <w:rFonts w:ascii="Arial" w:hAnsi="Arial" w:cs="Arial"/>
          <w:i/>
          <w:lang w:val="es-CO"/>
        </w:rPr>
        <w:t>2008)</w:t>
      </w:r>
    </w:p>
    <w:p w14:paraId="2CD10442" w14:textId="77777777" w:rsidR="00B2442D" w:rsidRDefault="00B2442D">
      <w:pPr>
        <w:jc w:val="both"/>
        <w:rPr>
          <w:rFonts w:ascii="Arial" w:hAnsi="Arial" w:cs="Arial"/>
          <w:lang w:val="es-CO"/>
        </w:rPr>
      </w:pPr>
    </w:p>
    <w:p w14:paraId="699D2C0B" w14:textId="77777777" w:rsidR="00B2442D" w:rsidRDefault="008A645F">
      <w:pPr>
        <w:pStyle w:val="Prrafodelista"/>
        <w:numPr>
          <w:ilvl w:val="0"/>
          <w:numId w:val="122"/>
        </w:numPr>
        <w:ind w:left="0" w:firstLine="0"/>
        <w:jc w:val="both"/>
        <w:rPr>
          <w:rFonts w:ascii="Arial" w:hAnsi="Arial" w:cs="Arial"/>
          <w:lang w:val="es-CO"/>
        </w:rPr>
      </w:pPr>
      <w:r>
        <w:rPr>
          <w:rFonts w:ascii="Arial" w:hAnsi="Arial" w:cs="Arial"/>
          <w:b/>
          <w:i/>
          <w:lang w:val="es-CO"/>
        </w:rPr>
        <w:t xml:space="preserve"> Requisitos.</w:t>
      </w:r>
      <w:r>
        <w:rPr>
          <w:rFonts w:ascii="Arial" w:hAnsi="Arial" w:cs="Arial"/>
          <w:lang w:val="es-CO"/>
        </w:rPr>
        <w:t xml:space="preserve"> Para efectos de la devolución de la retención en la fuente, las empresas referidas en el artículo anterior deberán cumplir los siguientes requisitos:</w:t>
      </w:r>
    </w:p>
    <w:p w14:paraId="4DAF9A8E" w14:textId="77777777" w:rsidR="00B2442D" w:rsidRDefault="00B2442D">
      <w:pPr>
        <w:jc w:val="both"/>
        <w:rPr>
          <w:rFonts w:ascii="Arial" w:hAnsi="Arial" w:cs="Arial"/>
          <w:lang w:val="es-CO"/>
        </w:rPr>
      </w:pPr>
    </w:p>
    <w:p w14:paraId="64C91D63" w14:textId="77777777" w:rsidR="00B2442D" w:rsidRDefault="008A645F">
      <w:pPr>
        <w:pStyle w:val="Prrafodelista"/>
        <w:numPr>
          <w:ilvl w:val="0"/>
          <w:numId w:val="8"/>
        </w:numPr>
        <w:ind w:left="284" w:hanging="284"/>
        <w:jc w:val="both"/>
        <w:rPr>
          <w:rFonts w:ascii="Arial" w:hAnsi="Arial" w:cs="Arial"/>
          <w:lang w:val="es-CO"/>
        </w:rPr>
      </w:pPr>
      <w:r>
        <w:rPr>
          <w:rFonts w:ascii="Arial" w:hAnsi="Arial" w:cs="Arial"/>
          <w:lang w:val="es-CO"/>
        </w:rPr>
        <w:t xml:space="preserve">Requisitos generales: Los señalados en el artículo 1.6.1.21.13 del presente </w:t>
      </w:r>
      <w:r>
        <w:rPr>
          <w:rFonts w:ascii="Arial" w:hAnsi="Arial" w:cs="Arial"/>
          <w:lang w:val="es-CO"/>
        </w:rPr>
        <w:t>decreto.</w:t>
      </w:r>
    </w:p>
    <w:p w14:paraId="12795D12" w14:textId="77777777" w:rsidR="00B2442D" w:rsidRDefault="00B2442D">
      <w:pPr>
        <w:ind w:left="284" w:hanging="284"/>
        <w:jc w:val="both"/>
        <w:rPr>
          <w:rFonts w:ascii="Arial" w:hAnsi="Arial" w:cs="Arial"/>
          <w:lang w:val="es-CO"/>
        </w:rPr>
      </w:pPr>
    </w:p>
    <w:p w14:paraId="54F449EA"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Requisitos específicos:</w:t>
      </w:r>
    </w:p>
    <w:p w14:paraId="3AC46FB3" w14:textId="77777777" w:rsidR="00B2442D" w:rsidRDefault="00B2442D">
      <w:pPr>
        <w:jc w:val="both"/>
        <w:rPr>
          <w:rFonts w:ascii="Arial" w:hAnsi="Arial" w:cs="Arial"/>
          <w:lang w:val="es-CO"/>
        </w:rPr>
      </w:pPr>
    </w:p>
    <w:p w14:paraId="1CFDE9C4"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 solicitud se deberá presentar por períodos trimestrales (enero-febrero-marzo; abril-mayo-junio; julio-agosto-septiembre y octubre-noviembre-diciembre), a la administración que corresponda la jurisdicción a la cua</w:t>
      </w:r>
      <w:r>
        <w:rPr>
          <w:rFonts w:ascii="Arial" w:hAnsi="Arial" w:cs="Arial"/>
          <w:lang w:val="es-CO"/>
        </w:rPr>
        <w:t>l pertenezca el contribuyente;</w:t>
      </w:r>
    </w:p>
    <w:p w14:paraId="53FDBF78" w14:textId="77777777" w:rsidR="00B2442D" w:rsidRDefault="00B2442D">
      <w:pPr>
        <w:ind w:left="284" w:hanging="284"/>
        <w:jc w:val="both"/>
        <w:rPr>
          <w:rFonts w:ascii="Arial" w:hAnsi="Arial" w:cs="Arial"/>
          <w:lang w:val="es-CO"/>
        </w:rPr>
      </w:pPr>
    </w:p>
    <w:p w14:paraId="48A7526F"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Certificación expedida y firmada por cada agente retenedor donde conste: Nombre o razón social completos y NIT tanto de cada agente retenedor como de los sujetos pasivos de la retención, valores retenidos en cada mes por </w:t>
      </w:r>
      <w:r>
        <w:rPr>
          <w:rFonts w:ascii="Arial" w:hAnsi="Arial" w:cs="Arial"/>
          <w:lang w:val="es-CO"/>
        </w:rPr>
        <w:t>cada concepto, identificación completa y fecha de presentación de la declaración de cada mes en que se incluyeron los valores retenidos y del recibo o recibos de pago correspondientes a cada declaración del trimestre objeto de solicitud de devolución.</w:t>
      </w:r>
    </w:p>
    <w:p w14:paraId="56123F1E" w14:textId="77777777" w:rsidR="00B2442D" w:rsidRDefault="00B2442D">
      <w:pPr>
        <w:jc w:val="both"/>
        <w:rPr>
          <w:rFonts w:ascii="Arial" w:hAnsi="Arial" w:cs="Arial"/>
          <w:lang w:val="es-CO"/>
        </w:rPr>
      </w:pPr>
    </w:p>
    <w:p w14:paraId="150C5717" w14:textId="77777777" w:rsidR="00B2442D" w:rsidRDefault="008A645F">
      <w:pPr>
        <w:ind w:left="284"/>
        <w:jc w:val="both"/>
        <w:rPr>
          <w:rFonts w:ascii="Arial" w:hAnsi="Arial" w:cs="Arial"/>
          <w:lang w:val="es-CO"/>
        </w:rPr>
      </w:pPr>
      <w:r>
        <w:rPr>
          <w:rFonts w:ascii="Arial" w:hAnsi="Arial" w:cs="Arial"/>
          <w:lang w:val="es-CO"/>
        </w:rPr>
        <w:t>Res</w:t>
      </w:r>
      <w:r>
        <w:rPr>
          <w:rFonts w:ascii="Arial" w:hAnsi="Arial" w:cs="Arial"/>
          <w:lang w:val="es-CO"/>
        </w:rPr>
        <w:t>pecto de las autorretenciones efectuadas por el solicitante cuando esté autorizado por la Unidad Administrativa Especial Dirección de Impuestos y Aduanas Nacionales– DIAN para este efecto, anexará a la solicitud la certificación señalada en el literal ante</w:t>
      </w:r>
      <w:r>
        <w:rPr>
          <w:rFonts w:ascii="Arial" w:hAnsi="Arial" w:cs="Arial"/>
          <w:lang w:val="es-CO"/>
        </w:rPr>
        <w:t>rior.</w:t>
      </w:r>
    </w:p>
    <w:p w14:paraId="1575C422" w14:textId="77777777" w:rsidR="00B2442D" w:rsidRDefault="00B2442D">
      <w:pPr>
        <w:jc w:val="both"/>
        <w:rPr>
          <w:rFonts w:ascii="Arial" w:hAnsi="Arial" w:cs="Arial"/>
          <w:lang w:val="es-CO"/>
        </w:rPr>
      </w:pPr>
    </w:p>
    <w:p w14:paraId="61F1F75C" w14:textId="77777777" w:rsidR="00B2442D" w:rsidRDefault="008A645F">
      <w:pPr>
        <w:jc w:val="both"/>
        <w:rPr>
          <w:rFonts w:ascii="Arial" w:hAnsi="Arial" w:cs="Arial"/>
          <w:lang w:val="es-CO"/>
        </w:rPr>
      </w:pPr>
      <w:r>
        <w:rPr>
          <w:rFonts w:ascii="Arial" w:hAnsi="Arial" w:cs="Arial"/>
          <w:b/>
          <w:lang w:val="es-CO"/>
        </w:rPr>
        <w:t xml:space="preserve">Parágrafo. </w:t>
      </w:r>
      <w:r>
        <w:rPr>
          <w:rFonts w:ascii="Arial" w:hAnsi="Arial" w:cs="Arial"/>
          <w:lang w:val="es-CO"/>
        </w:rPr>
        <w:t xml:space="preserve"> En la declaración de renta y complementario del período, sólo podrán incluirse las retenciones en la fuente que no hayan sido objeto de solicitud al momento de presentarse dicha declaración. En este caso si resulta saldo a favor en la re</w:t>
      </w:r>
      <w:r>
        <w:rPr>
          <w:rFonts w:ascii="Arial" w:hAnsi="Arial" w:cs="Arial"/>
          <w:lang w:val="es-CO"/>
        </w:rPr>
        <w:t>spectiva declaración de renta, la solicitud de devolución seguirá el trámite señalado en el Estatuto Tributario y disposiciones reglamentarias.</w:t>
      </w:r>
    </w:p>
    <w:p w14:paraId="1AAB684E" w14:textId="77777777" w:rsidR="00B2442D" w:rsidRDefault="00B2442D">
      <w:pPr>
        <w:jc w:val="both"/>
        <w:rPr>
          <w:rFonts w:ascii="Arial" w:hAnsi="Arial" w:cs="Arial"/>
          <w:lang w:val="es-CO"/>
        </w:rPr>
      </w:pPr>
    </w:p>
    <w:p w14:paraId="3CCD30AF" w14:textId="77777777" w:rsidR="00B2442D" w:rsidRDefault="008A645F">
      <w:pPr>
        <w:jc w:val="both"/>
        <w:rPr>
          <w:rFonts w:ascii="Arial" w:hAnsi="Arial" w:cs="Arial"/>
          <w:lang w:val="es-CO"/>
        </w:rPr>
      </w:pPr>
      <w:r>
        <w:rPr>
          <w:rFonts w:ascii="Arial" w:hAnsi="Arial" w:cs="Arial"/>
          <w:lang w:val="es-CO"/>
        </w:rPr>
        <w:t>En todo caso, la solicitud de devolución deberá presentarse dentro de los dos (2) años siguientes al vencimient</w:t>
      </w:r>
      <w:r>
        <w:rPr>
          <w:rFonts w:ascii="Arial" w:hAnsi="Arial" w:cs="Arial"/>
          <w:lang w:val="es-CO"/>
        </w:rPr>
        <w:t>o del término para declarar.</w:t>
      </w:r>
    </w:p>
    <w:p w14:paraId="26D173D4" w14:textId="77777777" w:rsidR="00B2442D" w:rsidRDefault="00B2442D">
      <w:pPr>
        <w:jc w:val="both"/>
        <w:rPr>
          <w:rFonts w:ascii="Arial" w:hAnsi="Arial" w:cs="Arial"/>
          <w:lang w:val="es-CO"/>
        </w:rPr>
      </w:pPr>
    </w:p>
    <w:p w14:paraId="4C556614" w14:textId="77777777" w:rsidR="00B2442D" w:rsidRDefault="008A645F">
      <w:pPr>
        <w:jc w:val="both"/>
        <w:rPr>
          <w:rFonts w:ascii="Arial" w:hAnsi="Arial" w:cs="Arial"/>
          <w:i/>
          <w:lang w:val="es-CO"/>
        </w:rPr>
      </w:pPr>
      <w:r>
        <w:rPr>
          <w:rFonts w:ascii="Arial" w:hAnsi="Arial" w:cs="Arial"/>
          <w:i/>
          <w:lang w:val="es-CO"/>
        </w:rPr>
        <w:t>(Art. 2, Decreto 2860 de 2008)</w:t>
      </w:r>
    </w:p>
    <w:p w14:paraId="0339F3D9" w14:textId="77777777" w:rsidR="00B2442D" w:rsidRDefault="00B2442D">
      <w:pPr>
        <w:jc w:val="both"/>
        <w:rPr>
          <w:rFonts w:ascii="Arial" w:hAnsi="Arial" w:cs="Arial"/>
          <w:b/>
          <w:lang w:val="es-CO"/>
        </w:rPr>
      </w:pPr>
    </w:p>
    <w:p w14:paraId="614C727E" w14:textId="77777777" w:rsidR="00B2442D" w:rsidRDefault="008A645F">
      <w:pPr>
        <w:pStyle w:val="Prrafodelista"/>
        <w:numPr>
          <w:ilvl w:val="0"/>
          <w:numId w:val="122"/>
        </w:numPr>
        <w:ind w:left="0" w:firstLine="0"/>
        <w:jc w:val="both"/>
        <w:rPr>
          <w:rFonts w:ascii="Arial" w:hAnsi="Arial" w:cs="Arial"/>
          <w:lang w:val="es-CO"/>
        </w:rPr>
      </w:pPr>
      <w:r>
        <w:rPr>
          <w:rFonts w:ascii="Arial" w:hAnsi="Arial" w:cs="Arial"/>
          <w:b/>
          <w:i/>
          <w:lang w:val="es-CO"/>
        </w:rPr>
        <w:t xml:space="preserve"> Inadmisión de la solicitud de devolución.</w:t>
      </w:r>
      <w:r>
        <w:rPr>
          <w:rFonts w:ascii="Arial" w:hAnsi="Arial" w:cs="Arial"/>
          <w:lang w:val="es-CO"/>
        </w:rPr>
        <w:t xml:space="preserve"> La solicitud se inadmitirá en los siguientes casos:</w:t>
      </w:r>
    </w:p>
    <w:p w14:paraId="4CD1417D" w14:textId="77777777" w:rsidR="00B2442D" w:rsidRDefault="00B2442D">
      <w:pPr>
        <w:jc w:val="both"/>
        <w:rPr>
          <w:rFonts w:ascii="Arial" w:hAnsi="Arial" w:cs="Arial"/>
          <w:lang w:val="es-CO"/>
        </w:rPr>
      </w:pPr>
    </w:p>
    <w:p w14:paraId="12CA309B"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Cuando se presente sin el lleno de los requisitos formales;</w:t>
      </w:r>
    </w:p>
    <w:p w14:paraId="71B755C4"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Cuando alguna </w:t>
      </w:r>
      <w:r>
        <w:rPr>
          <w:rFonts w:ascii="Arial" w:hAnsi="Arial" w:cs="Arial"/>
          <w:lang w:val="es-CO"/>
        </w:rPr>
        <w:t>declaración de retención en la fuente objeto de certificación no se haya presentado o adolezca de alguna de las causales para tenerla como no presentada de las no susceptibles de subsanar por la Administración Tributaria.</w:t>
      </w:r>
    </w:p>
    <w:p w14:paraId="21622788" w14:textId="77777777" w:rsidR="00B2442D" w:rsidRDefault="00B2442D">
      <w:pPr>
        <w:jc w:val="both"/>
        <w:rPr>
          <w:rFonts w:ascii="Arial" w:hAnsi="Arial" w:cs="Arial"/>
          <w:lang w:val="es-CO"/>
        </w:rPr>
      </w:pPr>
    </w:p>
    <w:p w14:paraId="4D935277" w14:textId="77777777" w:rsidR="00B2442D" w:rsidRDefault="008A645F">
      <w:pPr>
        <w:jc w:val="both"/>
        <w:rPr>
          <w:rFonts w:ascii="Arial" w:hAnsi="Arial" w:cs="Arial"/>
          <w:i/>
          <w:lang w:val="es-CO"/>
        </w:rPr>
      </w:pPr>
      <w:r>
        <w:rPr>
          <w:rFonts w:ascii="Arial" w:hAnsi="Arial" w:cs="Arial"/>
          <w:i/>
          <w:lang w:val="es-CO"/>
        </w:rPr>
        <w:t>(Art. 3, Decreto 2860 de 2008)</w:t>
      </w:r>
    </w:p>
    <w:p w14:paraId="27CF72B4" w14:textId="77777777" w:rsidR="00B2442D" w:rsidRDefault="00B2442D">
      <w:pPr>
        <w:jc w:val="both"/>
        <w:rPr>
          <w:rFonts w:ascii="Arial" w:hAnsi="Arial" w:cs="Arial"/>
          <w:lang w:val="es-CO"/>
        </w:rPr>
      </w:pPr>
    </w:p>
    <w:p w14:paraId="5C702434" w14:textId="77777777" w:rsidR="00B2442D" w:rsidRDefault="008A645F">
      <w:pPr>
        <w:pStyle w:val="Prrafodelista"/>
        <w:numPr>
          <w:ilvl w:val="0"/>
          <w:numId w:val="122"/>
        </w:numPr>
        <w:ind w:left="0" w:firstLine="0"/>
        <w:jc w:val="both"/>
        <w:rPr>
          <w:rFonts w:ascii="Arial" w:hAnsi="Arial" w:cs="Arial"/>
          <w:lang w:val="es-CO"/>
        </w:rPr>
      </w:pPr>
      <w:r>
        <w:rPr>
          <w:rFonts w:ascii="Arial" w:hAnsi="Arial" w:cs="Arial"/>
          <w:b/>
          <w:i/>
          <w:lang w:val="es-CO"/>
        </w:rPr>
        <w:t xml:space="preserve"> </w:t>
      </w:r>
      <w:r>
        <w:rPr>
          <w:rFonts w:ascii="Arial" w:hAnsi="Arial" w:cs="Arial"/>
          <w:b/>
          <w:i/>
          <w:lang w:val="es-CO"/>
        </w:rPr>
        <w:t>Rechazo de la solicitud de devolución.</w:t>
      </w:r>
      <w:r>
        <w:rPr>
          <w:rFonts w:ascii="Arial" w:hAnsi="Arial" w:cs="Arial"/>
          <w:lang w:val="es-CO"/>
        </w:rPr>
        <w:t xml:space="preserve"> La solicitud se rechazará en los siguientes eventos:</w:t>
      </w:r>
    </w:p>
    <w:p w14:paraId="5529BD4D" w14:textId="77777777" w:rsidR="00B2442D" w:rsidRDefault="00B2442D">
      <w:pPr>
        <w:jc w:val="both"/>
        <w:rPr>
          <w:rFonts w:ascii="Arial" w:hAnsi="Arial" w:cs="Arial"/>
          <w:lang w:val="es-CO"/>
        </w:rPr>
      </w:pPr>
    </w:p>
    <w:p w14:paraId="3D5007B8"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Cuando se presente extemporáneamente;</w:t>
      </w:r>
    </w:p>
    <w:p w14:paraId="4244E20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Cuando la retención objeto de solicitud haya sido incluida en una solicitud anterior, o haya sido objeto de devolución </w:t>
      </w:r>
      <w:r>
        <w:rPr>
          <w:rFonts w:ascii="Arial" w:hAnsi="Arial" w:cs="Arial"/>
          <w:lang w:val="es-CO"/>
        </w:rPr>
        <w:t>o compensación anterior;</w:t>
      </w:r>
    </w:p>
    <w:p w14:paraId="67A00B9E"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Cuando se demuestre que se trata de retenciones no practicadas o por inexistencia del retenedor.</w:t>
      </w:r>
    </w:p>
    <w:p w14:paraId="01EAADE1" w14:textId="77777777" w:rsidR="00B2442D" w:rsidRDefault="00B2442D">
      <w:pPr>
        <w:jc w:val="both"/>
        <w:rPr>
          <w:rFonts w:ascii="Arial" w:hAnsi="Arial" w:cs="Arial"/>
          <w:lang w:val="es-CO"/>
        </w:rPr>
      </w:pPr>
    </w:p>
    <w:p w14:paraId="231D3F6C" w14:textId="77777777" w:rsidR="00B2442D" w:rsidRDefault="008A645F">
      <w:pPr>
        <w:jc w:val="both"/>
        <w:rPr>
          <w:rFonts w:ascii="Arial" w:hAnsi="Arial" w:cs="Arial"/>
          <w:i/>
          <w:lang w:val="es-CO"/>
        </w:rPr>
      </w:pPr>
      <w:r>
        <w:rPr>
          <w:rFonts w:ascii="Arial" w:hAnsi="Arial" w:cs="Arial"/>
          <w:i/>
          <w:lang w:val="es-CO"/>
        </w:rPr>
        <w:t>(Art. 4, Decreto 2860 de 2008)</w:t>
      </w:r>
    </w:p>
    <w:p w14:paraId="3416CBEF" w14:textId="77777777" w:rsidR="00B2442D" w:rsidRDefault="00B2442D">
      <w:pPr>
        <w:jc w:val="both"/>
        <w:rPr>
          <w:rFonts w:ascii="Arial" w:hAnsi="Arial" w:cs="Arial"/>
          <w:lang w:val="es-CO"/>
        </w:rPr>
      </w:pPr>
    </w:p>
    <w:p w14:paraId="699A550E" w14:textId="77777777" w:rsidR="00B2442D" w:rsidRDefault="008A645F">
      <w:pPr>
        <w:pStyle w:val="Prrafodelista"/>
        <w:numPr>
          <w:ilvl w:val="0"/>
          <w:numId w:val="122"/>
        </w:numPr>
        <w:ind w:left="0" w:firstLine="0"/>
        <w:jc w:val="both"/>
        <w:rPr>
          <w:rFonts w:ascii="Arial" w:hAnsi="Arial" w:cs="Arial"/>
          <w:lang w:val="es-CO"/>
        </w:rPr>
      </w:pPr>
      <w:r>
        <w:rPr>
          <w:rFonts w:ascii="Arial" w:hAnsi="Arial" w:cs="Arial"/>
          <w:b/>
          <w:i/>
          <w:lang w:val="es-CO"/>
        </w:rPr>
        <w:t xml:space="preserve"> Remisión al estatuto tributario.</w:t>
      </w:r>
      <w:r>
        <w:rPr>
          <w:rFonts w:ascii="Arial" w:hAnsi="Arial" w:cs="Arial"/>
          <w:lang w:val="es-CO"/>
        </w:rPr>
        <w:t xml:space="preserve"> En los demás aspectos no contemplados en el presente capítulo se</w:t>
      </w:r>
      <w:r>
        <w:rPr>
          <w:rFonts w:ascii="Arial" w:hAnsi="Arial" w:cs="Arial"/>
          <w:lang w:val="es-CO"/>
        </w:rPr>
        <w:t xml:space="preserve"> aplicarán las normas relativas a la devolución y compensación contempladas en el Título X Libro 5° del Estatuto Tributario y normas reglamentarias, en cuanto sean compatibles.</w:t>
      </w:r>
    </w:p>
    <w:p w14:paraId="60BDF3FE" w14:textId="77777777" w:rsidR="00B2442D" w:rsidRDefault="00B2442D">
      <w:pPr>
        <w:jc w:val="both"/>
        <w:rPr>
          <w:rFonts w:ascii="Arial" w:hAnsi="Arial" w:cs="Arial"/>
          <w:lang w:val="es-CO"/>
        </w:rPr>
      </w:pPr>
    </w:p>
    <w:p w14:paraId="7246456A" w14:textId="77777777" w:rsidR="00B2442D" w:rsidRDefault="008A645F">
      <w:pPr>
        <w:jc w:val="both"/>
        <w:rPr>
          <w:rFonts w:ascii="Arial" w:hAnsi="Arial" w:cs="Arial"/>
          <w:i/>
          <w:lang w:val="es-CO"/>
        </w:rPr>
      </w:pPr>
      <w:r>
        <w:rPr>
          <w:rFonts w:ascii="Arial" w:hAnsi="Arial" w:cs="Arial"/>
          <w:i/>
          <w:lang w:val="es-CO"/>
        </w:rPr>
        <w:t>(Art. 5, Decreto 2860 de 2008)</w:t>
      </w:r>
    </w:p>
    <w:p w14:paraId="0CE1F42A" w14:textId="77777777" w:rsidR="00B2442D" w:rsidRDefault="00B2442D">
      <w:pPr>
        <w:jc w:val="both"/>
        <w:rPr>
          <w:rFonts w:ascii="Arial" w:hAnsi="Arial" w:cs="Arial"/>
          <w:lang w:val="es-CO"/>
        </w:rPr>
      </w:pPr>
    </w:p>
    <w:p w14:paraId="53609E16" w14:textId="77777777" w:rsidR="00B2442D" w:rsidRDefault="008A645F">
      <w:pPr>
        <w:pStyle w:val="Ttulo4"/>
        <w:rPr>
          <w:lang w:val="es-CO"/>
        </w:rPr>
      </w:pPr>
      <w:r>
        <w:rPr>
          <w:lang w:val="es-CO"/>
        </w:rPr>
        <w:t>CAPÍTULO 21</w:t>
      </w:r>
    </w:p>
    <w:p w14:paraId="3C9D9FFD" w14:textId="77777777" w:rsidR="00B2442D" w:rsidRDefault="008A645F">
      <w:pPr>
        <w:pStyle w:val="Ttulo4"/>
        <w:rPr>
          <w:lang w:val="es-CO"/>
        </w:rPr>
      </w:pPr>
      <w:r>
        <w:rPr>
          <w:lang w:val="es-CO"/>
        </w:rPr>
        <w:t xml:space="preserve">Procedimiento de devoluciones y/o </w:t>
      </w:r>
      <w:r>
        <w:rPr>
          <w:lang w:val="es-CO"/>
        </w:rPr>
        <w:t>compensaciones</w:t>
      </w:r>
    </w:p>
    <w:p w14:paraId="060F7944" w14:textId="77777777" w:rsidR="00B2442D" w:rsidRDefault="00B2442D">
      <w:pPr>
        <w:rPr>
          <w:rFonts w:ascii="Arial" w:hAnsi="Arial" w:cs="Arial"/>
          <w:lang w:val="es-CO"/>
        </w:rPr>
      </w:pPr>
    </w:p>
    <w:p w14:paraId="1AABDCB4"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Devolución del impuesto objeto de retención practicada en exceso sobre dividendos o participaciones. </w:t>
      </w:r>
      <w:r>
        <w:rPr>
          <w:rFonts w:ascii="Arial" w:hAnsi="Arial" w:cs="Arial"/>
          <w:lang w:val="es-CO"/>
        </w:rPr>
        <w:t xml:space="preserve">En cumplimiento de los Convenios para evitar la doble imposición celebrados por Colombia con el Reino de España y la República de </w:t>
      </w:r>
      <w:r>
        <w:rPr>
          <w:rFonts w:ascii="Arial" w:hAnsi="Arial" w:cs="Arial"/>
          <w:lang w:val="es-CO"/>
        </w:rPr>
        <w:t>Chile, las retenciones en la fuente que los agentes de retención hayan efectuado sobre dividendos o participaciones a beneficiarios o residentes en dichos Estados, que de acuerdo con las disposiciones del Convenio resulten en exceso de las tarifas allí pre</w:t>
      </w:r>
      <w:r>
        <w:rPr>
          <w:rFonts w:ascii="Arial" w:hAnsi="Arial" w:cs="Arial"/>
          <w:lang w:val="es-CO"/>
        </w:rPr>
        <w:t>vistas, serán objeto de devolución por parte de la Administración Tributaria, una vez se acredite el cumplimiento de todos los requisitos y condiciones establecidos en los Convenios y los artículos 1.6.1.21.1 al 1.6.1.21.4 del presente Decreto.</w:t>
      </w:r>
    </w:p>
    <w:p w14:paraId="4E3EA54E" w14:textId="77777777" w:rsidR="00B2442D" w:rsidRDefault="00B2442D">
      <w:pPr>
        <w:jc w:val="both"/>
        <w:rPr>
          <w:rFonts w:ascii="Arial" w:hAnsi="Arial" w:cs="Arial"/>
          <w:lang w:val="es-CO"/>
        </w:rPr>
      </w:pPr>
    </w:p>
    <w:p w14:paraId="545878DA" w14:textId="77777777" w:rsidR="00B2442D" w:rsidRDefault="008A645F">
      <w:pPr>
        <w:jc w:val="both"/>
        <w:rPr>
          <w:rFonts w:ascii="Arial" w:hAnsi="Arial" w:cs="Arial"/>
          <w:i/>
          <w:lang w:val="es-CO"/>
        </w:rPr>
      </w:pPr>
      <w:r>
        <w:rPr>
          <w:rFonts w:ascii="Arial" w:hAnsi="Arial" w:cs="Arial"/>
          <w:i/>
          <w:lang w:val="es-CO"/>
        </w:rPr>
        <w:t>(Art. 1, D</w:t>
      </w:r>
      <w:r>
        <w:rPr>
          <w:rFonts w:ascii="Arial" w:hAnsi="Arial" w:cs="Arial"/>
          <w:i/>
          <w:lang w:val="es-CO"/>
        </w:rPr>
        <w:t>ecreto 0186 de 2013)</w:t>
      </w:r>
    </w:p>
    <w:p w14:paraId="61212307" w14:textId="77777777" w:rsidR="00B2442D" w:rsidRDefault="00B2442D">
      <w:pPr>
        <w:jc w:val="both"/>
        <w:rPr>
          <w:rFonts w:ascii="Arial" w:hAnsi="Arial" w:cs="Arial"/>
          <w:lang w:val="es-CO"/>
        </w:rPr>
      </w:pPr>
    </w:p>
    <w:p w14:paraId="4F49A998"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Término para solicitar la devolución.</w:t>
      </w:r>
      <w:r>
        <w:rPr>
          <w:rFonts w:ascii="Arial" w:hAnsi="Arial" w:cs="Arial"/>
          <w:lang w:val="es-CO"/>
        </w:rPr>
        <w:t xml:space="preserve"> La solicitud de devolución de que trata el artículo precedente deberá presentarse dentro del término de prescripción de la acción ejecutiva, establecida en el artículo 2536 del Código Civil, a pa</w:t>
      </w:r>
      <w:r>
        <w:rPr>
          <w:rFonts w:ascii="Arial" w:hAnsi="Arial" w:cs="Arial"/>
          <w:lang w:val="es-CO"/>
        </w:rPr>
        <w:t>rtir del cumplimiento de los tres (3) años de permanencia de la inversión en Colombia.</w:t>
      </w:r>
    </w:p>
    <w:p w14:paraId="57FC1531" w14:textId="77777777" w:rsidR="00B2442D" w:rsidRDefault="00B2442D">
      <w:pPr>
        <w:jc w:val="both"/>
        <w:rPr>
          <w:rFonts w:ascii="Arial" w:hAnsi="Arial" w:cs="Arial"/>
          <w:lang w:val="es-CO"/>
        </w:rPr>
      </w:pPr>
    </w:p>
    <w:p w14:paraId="7CC5E4FE" w14:textId="77777777" w:rsidR="00B2442D" w:rsidRDefault="008A645F">
      <w:pPr>
        <w:jc w:val="both"/>
        <w:rPr>
          <w:rFonts w:ascii="Arial" w:hAnsi="Arial" w:cs="Arial"/>
          <w:i/>
          <w:lang w:val="es-CO"/>
        </w:rPr>
      </w:pPr>
      <w:r>
        <w:rPr>
          <w:rFonts w:ascii="Arial" w:hAnsi="Arial" w:cs="Arial"/>
          <w:i/>
          <w:lang w:val="es-CO"/>
        </w:rPr>
        <w:t>(Art. 2, Decreto 0186 de 2013)</w:t>
      </w:r>
    </w:p>
    <w:p w14:paraId="4EEEEF91" w14:textId="77777777" w:rsidR="00B2442D" w:rsidRDefault="00B2442D">
      <w:pPr>
        <w:jc w:val="both"/>
        <w:rPr>
          <w:rFonts w:ascii="Arial" w:hAnsi="Arial" w:cs="Arial"/>
          <w:lang w:val="es-CO"/>
        </w:rPr>
      </w:pPr>
    </w:p>
    <w:p w14:paraId="3F695AED"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Requisitos para el reconocimiento de la devolución. </w:t>
      </w:r>
      <w:r>
        <w:rPr>
          <w:rFonts w:ascii="Arial" w:hAnsi="Arial" w:cs="Arial"/>
          <w:lang w:val="es-CO"/>
        </w:rPr>
        <w:t xml:space="preserve">Para el trámite de la solicitud de devolución a que se refieren los </w:t>
      </w:r>
      <w:r>
        <w:rPr>
          <w:rFonts w:ascii="Arial" w:hAnsi="Arial" w:cs="Arial"/>
          <w:lang w:val="es-CO"/>
        </w:rPr>
        <w:t>artículos 1.6.1.21.1 al 1.6.1.21.4 del</w:t>
      </w:r>
      <w:r>
        <w:rPr>
          <w:rFonts w:ascii="Arial" w:hAnsi="Arial" w:cs="Arial"/>
          <w:shd w:val="clear" w:color="auto" w:fill="BFBFBF" w:themeFill="background1" w:themeFillShade="BF"/>
          <w:lang w:val="es-CO"/>
        </w:rPr>
        <w:t xml:space="preserve"> </w:t>
      </w:r>
      <w:r>
        <w:rPr>
          <w:rFonts w:ascii="Arial" w:hAnsi="Arial" w:cs="Arial"/>
          <w:lang w:val="es-CO"/>
        </w:rPr>
        <w:t>presente Decreto, se deberá adjuntar:</w:t>
      </w:r>
    </w:p>
    <w:p w14:paraId="47D21A5A" w14:textId="77777777" w:rsidR="00B2442D" w:rsidRDefault="00B2442D">
      <w:pPr>
        <w:jc w:val="both"/>
        <w:rPr>
          <w:rFonts w:ascii="Arial" w:hAnsi="Arial" w:cs="Arial"/>
          <w:lang w:val="es-CO"/>
        </w:rPr>
      </w:pPr>
    </w:p>
    <w:p w14:paraId="6249C9E2" w14:textId="77777777" w:rsidR="00B2442D" w:rsidRDefault="008A645F">
      <w:pPr>
        <w:ind w:left="142" w:hanging="142"/>
        <w:jc w:val="both"/>
        <w:rPr>
          <w:rFonts w:ascii="Arial" w:hAnsi="Arial" w:cs="Arial"/>
          <w:lang w:val="es-CO"/>
        </w:rPr>
      </w:pPr>
      <w:r>
        <w:rPr>
          <w:rFonts w:ascii="Arial" w:hAnsi="Arial" w:cs="Arial"/>
          <w:lang w:val="es-CO"/>
        </w:rPr>
        <w:t>• Certificados de retención en la fuente a título de impuesto sobre la renta, expedidos por la sociedad pagadora de los dividendos o participaciones, con el cumplimiento de los r</w:t>
      </w:r>
      <w:r>
        <w:rPr>
          <w:rFonts w:ascii="Arial" w:hAnsi="Arial" w:cs="Arial"/>
          <w:lang w:val="es-CO"/>
        </w:rPr>
        <w:t>equisitos establecidos en el artículo 1.6.1.21.14 del presente Decreto.</w:t>
      </w:r>
    </w:p>
    <w:p w14:paraId="43D2BF1D" w14:textId="77777777" w:rsidR="00B2442D" w:rsidRDefault="00B2442D">
      <w:pPr>
        <w:ind w:left="142" w:hanging="142"/>
        <w:jc w:val="both"/>
        <w:rPr>
          <w:rFonts w:ascii="Arial" w:hAnsi="Arial" w:cs="Arial"/>
          <w:lang w:val="es-CO"/>
        </w:rPr>
      </w:pPr>
    </w:p>
    <w:p w14:paraId="06FA977A" w14:textId="77777777" w:rsidR="00B2442D" w:rsidRDefault="008A645F">
      <w:pPr>
        <w:ind w:left="142" w:hanging="142"/>
        <w:jc w:val="both"/>
        <w:rPr>
          <w:rFonts w:ascii="Arial" w:hAnsi="Arial" w:cs="Arial"/>
          <w:lang w:val="es-CO"/>
        </w:rPr>
      </w:pPr>
      <w:r>
        <w:rPr>
          <w:rFonts w:ascii="Arial" w:hAnsi="Arial" w:cs="Arial"/>
          <w:lang w:val="es-CO"/>
        </w:rPr>
        <w:t xml:space="preserve">• Los documentos que prueben la inversión de los dividendos en Colombia por el término de tres (3) años, de conformidad con la ley y de acuerdo con los medios de prueba idóneos según </w:t>
      </w:r>
      <w:r>
        <w:rPr>
          <w:rFonts w:ascii="Arial" w:hAnsi="Arial" w:cs="Arial"/>
          <w:lang w:val="es-CO"/>
        </w:rPr>
        <w:t>la inversión de que se trate.</w:t>
      </w:r>
    </w:p>
    <w:p w14:paraId="5691D1ED" w14:textId="77777777" w:rsidR="00B2442D" w:rsidRDefault="00B2442D">
      <w:pPr>
        <w:ind w:left="142" w:hanging="142"/>
        <w:jc w:val="both"/>
        <w:rPr>
          <w:rFonts w:ascii="Arial" w:hAnsi="Arial" w:cs="Arial"/>
          <w:lang w:val="es-CO"/>
        </w:rPr>
      </w:pPr>
    </w:p>
    <w:p w14:paraId="332F4A30" w14:textId="77777777" w:rsidR="00B2442D" w:rsidRDefault="008A645F">
      <w:pPr>
        <w:ind w:left="142" w:hanging="142"/>
        <w:jc w:val="both"/>
        <w:rPr>
          <w:rFonts w:ascii="Arial" w:hAnsi="Arial" w:cs="Arial"/>
          <w:lang w:val="es-CO"/>
        </w:rPr>
      </w:pPr>
      <w:r>
        <w:rPr>
          <w:rFonts w:ascii="Arial" w:hAnsi="Arial" w:cs="Arial"/>
          <w:lang w:val="es-CO"/>
        </w:rPr>
        <w:t>• La documentación que acredite la residencia fiscal en España o Chile, según el caso, expedida por la autoridad competente del respectivo país.</w:t>
      </w:r>
    </w:p>
    <w:p w14:paraId="383DEC27" w14:textId="77777777" w:rsidR="00B2442D" w:rsidRDefault="00B2442D">
      <w:pPr>
        <w:jc w:val="both"/>
        <w:rPr>
          <w:rFonts w:ascii="Arial" w:hAnsi="Arial" w:cs="Arial"/>
          <w:lang w:val="es-CO"/>
        </w:rPr>
      </w:pPr>
    </w:p>
    <w:p w14:paraId="3A997068" w14:textId="77777777" w:rsidR="00B2442D" w:rsidRDefault="008A645F">
      <w:pPr>
        <w:jc w:val="both"/>
        <w:rPr>
          <w:rFonts w:ascii="Arial" w:hAnsi="Arial" w:cs="Arial"/>
          <w:lang w:val="es-CO"/>
        </w:rPr>
      </w:pPr>
      <w:r>
        <w:rPr>
          <w:rFonts w:ascii="Arial" w:hAnsi="Arial" w:cs="Arial"/>
          <w:lang w:val="es-CO"/>
        </w:rPr>
        <w:t>La solicitud deberá ser formulada ante la Dirección Seccional de Impuestos o de</w:t>
      </w:r>
      <w:r>
        <w:rPr>
          <w:rFonts w:ascii="Arial" w:hAnsi="Arial" w:cs="Arial"/>
          <w:lang w:val="es-CO"/>
        </w:rPr>
        <w:t xml:space="preserve"> Impuestos y Aduanas que corresponda al domicilio de la sociedad que repartió los dividendos o participaciones, personalmente por el contribuyente o por su representante legal con exhibición de su documento de identidad, o por el apoderado con presentación</w:t>
      </w:r>
      <w:r>
        <w:rPr>
          <w:rFonts w:ascii="Arial" w:hAnsi="Arial" w:cs="Arial"/>
          <w:lang w:val="es-CO"/>
        </w:rPr>
        <w:t xml:space="preserve"> del poder otorgado en debida forma, acreditando, para el caso de las personas jurídicas, la existencia y representación legal de la misma.</w:t>
      </w:r>
    </w:p>
    <w:p w14:paraId="2B7A1043" w14:textId="77777777" w:rsidR="00B2442D" w:rsidRDefault="00B2442D">
      <w:pPr>
        <w:jc w:val="both"/>
        <w:rPr>
          <w:rFonts w:ascii="Arial" w:hAnsi="Arial" w:cs="Arial"/>
          <w:lang w:val="es-CO"/>
        </w:rPr>
      </w:pPr>
    </w:p>
    <w:p w14:paraId="04CEA2F3" w14:textId="77777777" w:rsidR="00B2442D" w:rsidRDefault="008A645F">
      <w:pPr>
        <w:jc w:val="both"/>
        <w:rPr>
          <w:rFonts w:ascii="Arial" w:hAnsi="Arial" w:cs="Arial"/>
          <w:i/>
          <w:lang w:val="es-CO"/>
        </w:rPr>
      </w:pPr>
      <w:r>
        <w:rPr>
          <w:rFonts w:ascii="Arial" w:hAnsi="Arial" w:cs="Arial"/>
          <w:i/>
          <w:lang w:val="es-CO"/>
        </w:rPr>
        <w:t>(Art. 3, Decreto 0186 de 2013)</w:t>
      </w:r>
    </w:p>
    <w:p w14:paraId="064DF822" w14:textId="77777777" w:rsidR="00B2442D" w:rsidRDefault="00B2442D">
      <w:pPr>
        <w:jc w:val="both"/>
        <w:rPr>
          <w:rFonts w:ascii="Arial" w:hAnsi="Arial" w:cs="Arial"/>
          <w:lang w:val="es-CO"/>
        </w:rPr>
      </w:pPr>
    </w:p>
    <w:p w14:paraId="7834D823"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Remisión normativa.</w:t>
      </w:r>
      <w:r>
        <w:rPr>
          <w:rFonts w:ascii="Arial" w:hAnsi="Arial" w:cs="Arial"/>
          <w:lang w:val="es-CO"/>
        </w:rPr>
        <w:t xml:space="preserve"> Los aspectos no regulados en los artículos 1.6.1.21.1 al 1.6.1</w:t>
      </w:r>
      <w:r>
        <w:rPr>
          <w:rFonts w:ascii="Arial" w:hAnsi="Arial" w:cs="Arial"/>
          <w:lang w:val="es-CO"/>
        </w:rPr>
        <w:t>.21.4 del presente Decreto se regirán por las disposiciones del Estatuto Tributario y los artículos 1.6.1.21.12 al 1.6.1.21.27 y del 1.6.1.25.4 al 1.6.1.25.9 del presente Decreto, en lo que sean compatibles.</w:t>
      </w:r>
    </w:p>
    <w:p w14:paraId="1E54A1DD" w14:textId="77777777" w:rsidR="00B2442D" w:rsidRDefault="00B2442D">
      <w:pPr>
        <w:jc w:val="both"/>
        <w:rPr>
          <w:rFonts w:ascii="Arial" w:hAnsi="Arial" w:cs="Arial"/>
          <w:lang w:val="es-CO"/>
        </w:rPr>
      </w:pPr>
    </w:p>
    <w:p w14:paraId="2FD26B89" w14:textId="77777777" w:rsidR="00B2442D" w:rsidRDefault="008A645F">
      <w:pPr>
        <w:jc w:val="both"/>
        <w:rPr>
          <w:rFonts w:ascii="Arial" w:hAnsi="Arial" w:cs="Arial"/>
          <w:i/>
          <w:lang w:val="es-CO"/>
        </w:rPr>
      </w:pPr>
      <w:r>
        <w:rPr>
          <w:rFonts w:ascii="Arial" w:hAnsi="Arial" w:cs="Arial"/>
          <w:i/>
          <w:lang w:val="es-CO"/>
        </w:rPr>
        <w:t>(Art. 4, Decreto 0186 de 2013)</w:t>
      </w:r>
    </w:p>
    <w:p w14:paraId="36742EDA" w14:textId="77777777" w:rsidR="00B2442D" w:rsidRDefault="00B2442D">
      <w:pPr>
        <w:jc w:val="both"/>
        <w:rPr>
          <w:rFonts w:ascii="Arial" w:hAnsi="Arial" w:cs="Arial"/>
          <w:lang w:val="es-CO"/>
        </w:rPr>
      </w:pPr>
    </w:p>
    <w:p w14:paraId="223630FF"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Empresas con d</w:t>
      </w:r>
      <w:r>
        <w:rPr>
          <w:rFonts w:ascii="Arial" w:hAnsi="Arial" w:cs="Arial"/>
          <w:b/>
          <w:i/>
          <w:lang w:val="es-CO"/>
        </w:rPr>
        <w:t>erecho a la devolución.</w:t>
      </w:r>
      <w:r>
        <w:rPr>
          <w:rFonts w:ascii="Arial" w:hAnsi="Arial" w:cs="Arial"/>
          <w:lang w:val="es-CO"/>
        </w:rPr>
        <w:t xml:space="preserve"> Las empresas que se encuentren en un proceso concordatario o estén tramitando o ejecutando un acuerdo de reestructuración de conformidad con la Ley 550 de 1999, tendrán derecho a solicitar devolución de la retención en la fuente del</w:t>
      </w:r>
      <w:r>
        <w:rPr>
          <w:rFonts w:ascii="Arial" w:hAnsi="Arial" w:cs="Arial"/>
          <w:lang w:val="es-CO"/>
        </w:rPr>
        <w:t xml:space="preserve"> impuesto sobre la renta que se les practique por cualquier concepto de conformidad con los artículos 1.6.1.21.5 al 1.6.1.21.9 del presente Decreto.</w:t>
      </w:r>
    </w:p>
    <w:p w14:paraId="14026B46" w14:textId="77777777" w:rsidR="00B2442D" w:rsidRDefault="00B2442D">
      <w:pPr>
        <w:jc w:val="both"/>
        <w:rPr>
          <w:rFonts w:ascii="Arial" w:hAnsi="Arial" w:cs="Arial"/>
          <w:lang w:val="es-CO"/>
        </w:rPr>
      </w:pPr>
    </w:p>
    <w:p w14:paraId="3BDA1E98" w14:textId="77777777" w:rsidR="00B2442D" w:rsidRDefault="008A645F">
      <w:pPr>
        <w:jc w:val="both"/>
        <w:rPr>
          <w:rFonts w:ascii="Arial" w:hAnsi="Arial" w:cs="Arial"/>
          <w:lang w:val="es-CO"/>
        </w:rPr>
      </w:pPr>
      <w:r>
        <w:rPr>
          <w:rFonts w:ascii="Arial" w:hAnsi="Arial" w:cs="Arial"/>
          <w:b/>
          <w:lang w:val="es-CO"/>
        </w:rPr>
        <w:t xml:space="preserve">Parágrafo 1º. </w:t>
      </w:r>
      <w:r>
        <w:rPr>
          <w:rFonts w:ascii="Arial" w:hAnsi="Arial" w:cs="Arial"/>
          <w:lang w:val="es-CO"/>
        </w:rPr>
        <w:t xml:space="preserve">Las empresas tendrán derecho a la devolución de la retención desde el mes </w:t>
      </w:r>
      <w:r>
        <w:rPr>
          <w:rFonts w:ascii="Arial" w:hAnsi="Arial" w:cs="Arial"/>
          <w:lang w:val="es-CO"/>
        </w:rPr>
        <w:t>calendario siguiente a la fecha de inscripción del proceso concordatario o del acuerdo de reestructuración en el registro mercantil de las Cámaras de Comercio de conformidad con lo previsto en el numeral 6 artículo 98 de la Ley 222 de 1995 y en el artículo</w:t>
      </w:r>
      <w:r>
        <w:rPr>
          <w:rFonts w:ascii="Arial" w:hAnsi="Arial" w:cs="Arial"/>
          <w:lang w:val="es-CO"/>
        </w:rPr>
        <w:t xml:space="preserve"> 11 de la Ley 550 de 1999.</w:t>
      </w:r>
    </w:p>
    <w:p w14:paraId="39D46F9B" w14:textId="77777777" w:rsidR="00B2442D" w:rsidRDefault="00B2442D">
      <w:pPr>
        <w:jc w:val="both"/>
        <w:rPr>
          <w:rFonts w:ascii="Arial" w:hAnsi="Arial" w:cs="Arial"/>
          <w:lang w:val="es-CO"/>
        </w:rPr>
      </w:pPr>
    </w:p>
    <w:p w14:paraId="25CA649A" w14:textId="77777777" w:rsidR="00B2442D" w:rsidRDefault="008A645F">
      <w:pPr>
        <w:jc w:val="both"/>
        <w:rPr>
          <w:rFonts w:ascii="Arial" w:hAnsi="Arial" w:cs="Arial"/>
          <w:lang w:val="es-CO"/>
        </w:rPr>
      </w:pPr>
      <w:r>
        <w:rPr>
          <w:rFonts w:ascii="Arial" w:hAnsi="Arial" w:cs="Arial"/>
          <w:b/>
          <w:lang w:val="es-CO"/>
        </w:rPr>
        <w:t xml:space="preserve">Parágrafo 2º. </w:t>
      </w:r>
      <w:r>
        <w:rPr>
          <w:rFonts w:ascii="Arial" w:hAnsi="Arial" w:cs="Arial"/>
          <w:lang w:val="es-CO"/>
        </w:rPr>
        <w:t>La Administración competente, deberá devolver dentro de los términos indicados en los artículos 855 y 860 del Estatuto Tributario, siempre y cuando la solicitud se presente oportunamente y en debida forma.</w:t>
      </w:r>
    </w:p>
    <w:p w14:paraId="608232DF" w14:textId="77777777" w:rsidR="00B2442D" w:rsidRDefault="00B2442D">
      <w:pPr>
        <w:jc w:val="both"/>
        <w:rPr>
          <w:rFonts w:ascii="Arial" w:hAnsi="Arial" w:cs="Arial"/>
          <w:lang w:val="es-CO"/>
        </w:rPr>
      </w:pPr>
    </w:p>
    <w:p w14:paraId="7DE6876C" w14:textId="77777777" w:rsidR="00B2442D" w:rsidRDefault="008A645F">
      <w:pPr>
        <w:jc w:val="both"/>
        <w:rPr>
          <w:rFonts w:ascii="Arial" w:hAnsi="Arial" w:cs="Arial"/>
          <w:i/>
          <w:lang w:val="es-CO"/>
        </w:rPr>
      </w:pPr>
      <w:r>
        <w:rPr>
          <w:rFonts w:ascii="Arial" w:hAnsi="Arial" w:cs="Arial"/>
          <w:i/>
          <w:lang w:val="es-CO"/>
        </w:rPr>
        <w:t>(Art. 1</w:t>
      </w:r>
      <w:r>
        <w:rPr>
          <w:rFonts w:ascii="Arial" w:hAnsi="Arial" w:cs="Arial"/>
          <w:i/>
          <w:lang w:val="es-CO"/>
        </w:rPr>
        <w:t>, Decreto 222 de 2000)</w:t>
      </w:r>
    </w:p>
    <w:p w14:paraId="0FE64874" w14:textId="77777777" w:rsidR="00B2442D" w:rsidRDefault="00B2442D">
      <w:pPr>
        <w:jc w:val="both"/>
        <w:rPr>
          <w:rFonts w:ascii="Arial" w:hAnsi="Arial" w:cs="Arial"/>
          <w:lang w:val="es-CO"/>
        </w:rPr>
      </w:pPr>
    </w:p>
    <w:p w14:paraId="10763454"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Requisitos.</w:t>
      </w:r>
      <w:r>
        <w:rPr>
          <w:rFonts w:ascii="Arial" w:hAnsi="Arial" w:cs="Arial"/>
          <w:b/>
          <w:lang w:val="es-CO"/>
        </w:rPr>
        <w:t xml:space="preserve">  </w:t>
      </w:r>
      <w:r>
        <w:rPr>
          <w:rFonts w:ascii="Arial" w:hAnsi="Arial" w:cs="Arial"/>
          <w:lang w:val="es-CO"/>
        </w:rPr>
        <w:t>Para efectos de la devolución de la retención a los contribuyentes referidos en el artículo anterior, deberán cumplir los siguientes requisitos:</w:t>
      </w:r>
    </w:p>
    <w:p w14:paraId="21C2381C" w14:textId="77777777" w:rsidR="00B2442D" w:rsidRDefault="00B2442D">
      <w:pPr>
        <w:jc w:val="both"/>
        <w:rPr>
          <w:rFonts w:ascii="Arial" w:hAnsi="Arial" w:cs="Arial"/>
          <w:lang w:val="es-CO"/>
        </w:rPr>
      </w:pPr>
    </w:p>
    <w:p w14:paraId="32EF497D" w14:textId="77777777" w:rsidR="00B2442D" w:rsidRDefault="008A645F">
      <w:pPr>
        <w:jc w:val="both"/>
        <w:rPr>
          <w:rFonts w:ascii="Arial" w:hAnsi="Arial" w:cs="Arial"/>
          <w:lang w:val="es-CO"/>
        </w:rPr>
      </w:pPr>
      <w:r>
        <w:rPr>
          <w:rFonts w:ascii="Arial" w:hAnsi="Arial" w:cs="Arial"/>
          <w:b/>
          <w:lang w:val="es-CO"/>
        </w:rPr>
        <w:t>A -</w:t>
      </w:r>
      <w:r>
        <w:rPr>
          <w:rFonts w:ascii="Arial" w:hAnsi="Arial" w:cs="Arial"/>
          <w:b/>
          <w:lang w:val="es-CO"/>
        </w:rPr>
        <w:tab/>
        <w:t xml:space="preserve">Requisitos generales.  </w:t>
      </w:r>
      <w:r>
        <w:rPr>
          <w:rFonts w:ascii="Arial" w:hAnsi="Arial" w:cs="Arial"/>
          <w:lang w:val="es-CO"/>
        </w:rPr>
        <w:t xml:space="preserve">Los señalados en el artículo 1.6.1.21.13 del </w:t>
      </w:r>
      <w:r>
        <w:rPr>
          <w:rFonts w:ascii="Arial" w:hAnsi="Arial" w:cs="Arial"/>
          <w:lang w:val="es-CO"/>
        </w:rPr>
        <w:t xml:space="preserve">presente Decreto. </w:t>
      </w:r>
    </w:p>
    <w:p w14:paraId="20E3068C" w14:textId="77777777" w:rsidR="00B2442D" w:rsidRDefault="00B2442D">
      <w:pPr>
        <w:jc w:val="both"/>
        <w:rPr>
          <w:rFonts w:ascii="Arial" w:hAnsi="Arial" w:cs="Arial"/>
          <w:lang w:val="es-CO"/>
        </w:rPr>
      </w:pPr>
    </w:p>
    <w:p w14:paraId="407EDCEF" w14:textId="77777777" w:rsidR="00B2442D" w:rsidRDefault="008A645F">
      <w:pPr>
        <w:jc w:val="both"/>
        <w:rPr>
          <w:rFonts w:ascii="Arial" w:hAnsi="Arial" w:cs="Arial"/>
          <w:b/>
          <w:lang w:val="es-CO"/>
        </w:rPr>
      </w:pPr>
      <w:r>
        <w:rPr>
          <w:rFonts w:ascii="Arial" w:hAnsi="Arial" w:cs="Arial"/>
          <w:b/>
          <w:lang w:val="es-CO"/>
        </w:rPr>
        <w:t>B-</w:t>
      </w:r>
      <w:r>
        <w:rPr>
          <w:rFonts w:ascii="Arial" w:hAnsi="Arial" w:cs="Arial"/>
          <w:b/>
          <w:lang w:val="es-CO"/>
        </w:rPr>
        <w:tab/>
        <w:t>Requisitos específicos.</w:t>
      </w:r>
    </w:p>
    <w:p w14:paraId="5DEE9FE1" w14:textId="77777777" w:rsidR="00B2442D" w:rsidRDefault="00B2442D">
      <w:pPr>
        <w:jc w:val="both"/>
        <w:rPr>
          <w:rFonts w:ascii="Arial" w:hAnsi="Arial" w:cs="Arial"/>
          <w:lang w:val="es-CO"/>
        </w:rPr>
      </w:pPr>
    </w:p>
    <w:p w14:paraId="26785986"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La solicitud deberá presentarla el contribuyente en la Administración competente que corresponda a la jurisdicción de su domicilio social principal, o al asiento principal de sus negocios en el caso de per</w:t>
      </w:r>
      <w:r>
        <w:rPr>
          <w:rFonts w:ascii="Arial" w:hAnsi="Arial" w:cs="Arial"/>
          <w:lang w:val="es-CO"/>
        </w:rPr>
        <w:t>sonas naturales.</w:t>
      </w:r>
    </w:p>
    <w:p w14:paraId="720F3AE6" w14:textId="77777777" w:rsidR="00B2442D" w:rsidRDefault="00B2442D">
      <w:pPr>
        <w:ind w:left="284" w:hanging="284"/>
        <w:jc w:val="both"/>
        <w:rPr>
          <w:rFonts w:ascii="Arial" w:hAnsi="Arial" w:cs="Arial"/>
          <w:lang w:val="es-CO"/>
        </w:rPr>
      </w:pPr>
    </w:p>
    <w:p w14:paraId="4D5385D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Certificación expedida y firmada por cada agente retenedor donde conste: Nombre o razón social completos y NIT tanto de cada agente retenedor como de los sujetos pasivos de la retención, valores retenidos en cada mes por cada concepto,</w:t>
      </w:r>
      <w:r>
        <w:rPr>
          <w:rFonts w:ascii="Arial" w:hAnsi="Arial" w:cs="Arial"/>
          <w:lang w:val="es-CO"/>
        </w:rPr>
        <w:t xml:space="preserve"> identificación completa y fecha de presentación de la declaración de cada mes en que se incluyeron los valores retenidos y del recibo o recibos de pago correspondientes a cada declaración del trimestre objeto de solicitud de devolución.</w:t>
      </w:r>
    </w:p>
    <w:p w14:paraId="18432FF3" w14:textId="77777777" w:rsidR="00B2442D" w:rsidRDefault="00B2442D">
      <w:pPr>
        <w:ind w:left="284" w:hanging="284"/>
        <w:jc w:val="both"/>
        <w:rPr>
          <w:rFonts w:ascii="Arial" w:hAnsi="Arial" w:cs="Arial"/>
          <w:lang w:val="es-CO"/>
        </w:rPr>
      </w:pPr>
    </w:p>
    <w:p w14:paraId="64934DC0" w14:textId="77777777" w:rsidR="00B2442D" w:rsidRDefault="008A645F">
      <w:pPr>
        <w:ind w:left="284"/>
        <w:jc w:val="both"/>
        <w:rPr>
          <w:rFonts w:ascii="Arial" w:hAnsi="Arial" w:cs="Arial"/>
          <w:lang w:val="es-CO"/>
        </w:rPr>
      </w:pPr>
      <w:r>
        <w:rPr>
          <w:rFonts w:ascii="Arial" w:hAnsi="Arial" w:cs="Arial"/>
          <w:lang w:val="es-CO"/>
        </w:rPr>
        <w:t>Respecto de las a</w:t>
      </w:r>
      <w:r>
        <w:rPr>
          <w:rFonts w:ascii="Arial" w:hAnsi="Arial" w:cs="Arial"/>
          <w:lang w:val="es-CO"/>
        </w:rPr>
        <w:t>utorretenciones efectuadas por el solicitante cuando esté autorizado por la Unidad Administrativa Especial Dirección de Impuestos y Aduanas Nacionales– DIAN para este efecto, anexará a la solicitud la certificación señalada en el inciso anterior.</w:t>
      </w:r>
    </w:p>
    <w:p w14:paraId="021A9BBD" w14:textId="77777777" w:rsidR="00B2442D" w:rsidRDefault="00B2442D">
      <w:pPr>
        <w:jc w:val="both"/>
        <w:rPr>
          <w:rFonts w:ascii="Arial" w:hAnsi="Arial" w:cs="Arial"/>
          <w:lang w:val="es-CO"/>
        </w:rPr>
      </w:pPr>
    </w:p>
    <w:p w14:paraId="51D56518" w14:textId="77777777" w:rsidR="00B2442D" w:rsidRDefault="008A645F">
      <w:pPr>
        <w:jc w:val="both"/>
        <w:rPr>
          <w:rFonts w:ascii="Arial" w:hAnsi="Arial" w:cs="Arial"/>
          <w:lang w:val="es-CO"/>
        </w:rPr>
      </w:pPr>
      <w:r>
        <w:rPr>
          <w:rFonts w:ascii="Arial" w:hAnsi="Arial" w:cs="Arial"/>
          <w:b/>
          <w:lang w:val="es-CO"/>
        </w:rPr>
        <w:t>Parágraf</w:t>
      </w:r>
      <w:r>
        <w:rPr>
          <w:rFonts w:ascii="Arial" w:hAnsi="Arial" w:cs="Arial"/>
          <w:b/>
          <w:lang w:val="es-CO"/>
        </w:rPr>
        <w:t xml:space="preserve">o 1º.  </w:t>
      </w:r>
      <w:r>
        <w:rPr>
          <w:rFonts w:ascii="Arial" w:hAnsi="Arial" w:cs="Arial"/>
          <w:lang w:val="es-CO"/>
        </w:rPr>
        <w:t xml:space="preserve">En la declaración de renta y complementario del período, deberán incluirse todas las retenciones que no hayan sido objeto de solicitud al momento de presentarse dicha declaración.  En este caso, si resulta saldo a favor en la respectiva declaración </w:t>
      </w:r>
      <w:r>
        <w:rPr>
          <w:rFonts w:ascii="Arial" w:hAnsi="Arial" w:cs="Arial"/>
          <w:lang w:val="es-CO"/>
        </w:rPr>
        <w:t>de renta, la solicitud de devolución seguirá el trámite señalado para el efecto en el Estatuto Tributario y disposiciones reglamentarias.</w:t>
      </w:r>
    </w:p>
    <w:p w14:paraId="029435D9" w14:textId="77777777" w:rsidR="00B2442D" w:rsidRDefault="00B2442D">
      <w:pPr>
        <w:jc w:val="both"/>
        <w:rPr>
          <w:rFonts w:ascii="Arial" w:hAnsi="Arial" w:cs="Arial"/>
          <w:lang w:val="es-CO"/>
        </w:rPr>
      </w:pPr>
    </w:p>
    <w:p w14:paraId="0AE26E12" w14:textId="77777777" w:rsidR="00B2442D" w:rsidRDefault="008A645F">
      <w:pPr>
        <w:jc w:val="both"/>
        <w:rPr>
          <w:rFonts w:ascii="Arial" w:hAnsi="Arial" w:cs="Arial"/>
          <w:lang w:val="es-CO"/>
        </w:rPr>
      </w:pPr>
      <w:r>
        <w:rPr>
          <w:rFonts w:ascii="Arial" w:hAnsi="Arial" w:cs="Arial"/>
          <w:b/>
          <w:lang w:val="es-CO"/>
        </w:rPr>
        <w:t xml:space="preserve">Parágrafo 2º   </w:t>
      </w:r>
      <w:r>
        <w:rPr>
          <w:rFonts w:ascii="Arial" w:hAnsi="Arial" w:cs="Arial"/>
          <w:lang w:val="es-CO"/>
        </w:rPr>
        <w:t>En todo caso, la solicitud de devolución deberá presentarse dentro de los dos (2) años siguientes al v</w:t>
      </w:r>
      <w:r>
        <w:rPr>
          <w:rFonts w:ascii="Arial" w:hAnsi="Arial" w:cs="Arial"/>
          <w:lang w:val="es-CO"/>
        </w:rPr>
        <w:t>encimiento del término para declarar.</w:t>
      </w:r>
    </w:p>
    <w:p w14:paraId="2BA570C6" w14:textId="77777777" w:rsidR="00B2442D" w:rsidRDefault="00B2442D">
      <w:pPr>
        <w:jc w:val="both"/>
        <w:rPr>
          <w:rFonts w:ascii="Arial" w:hAnsi="Arial" w:cs="Arial"/>
          <w:lang w:val="es-CO"/>
        </w:rPr>
      </w:pPr>
    </w:p>
    <w:p w14:paraId="04E42A4D" w14:textId="77777777" w:rsidR="00B2442D" w:rsidRDefault="008A645F">
      <w:pPr>
        <w:jc w:val="both"/>
        <w:rPr>
          <w:rFonts w:ascii="Arial" w:hAnsi="Arial" w:cs="Arial"/>
          <w:i/>
          <w:lang w:val="es-CO"/>
        </w:rPr>
      </w:pPr>
      <w:r>
        <w:rPr>
          <w:rFonts w:ascii="Arial" w:hAnsi="Arial" w:cs="Arial"/>
          <w:i/>
          <w:lang w:val="es-CO"/>
        </w:rPr>
        <w:t>(Art. 2, Decreto 222 de 2000)</w:t>
      </w:r>
    </w:p>
    <w:p w14:paraId="4037700D" w14:textId="77777777" w:rsidR="00B2442D" w:rsidRDefault="00B2442D">
      <w:pPr>
        <w:jc w:val="both"/>
        <w:rPr>
          <w:rFonts w:ascii="Arial" w:hAnsi="Arial" w:cs="Arial"/>
          <w:lang w:val="es-CO"/>
        </w:rPr>
      </w:pPr>
    </w:p>
    <w:p w14:paraId="29D27B07" w14:textId="77777777" w:rsidR="00B2442D" w:rsidRDefault="008A645F">
      <w:pPr>
        <w:pStyle w:val="Prrafodelista"/>
        <w:numPr>
          <w:ilvl w:val="0"/>
          <w:numId w:val="123"/>
        </w:numPr>
        <w:ind w:left="0" w:firstLine="0"/>
        <w:jc w:val="both"/>
        <w:rPr>
          <w:rFonts w:ascii="Arial" w:hAnsi="Arial" w:cs="Arial"/>
          <w:i/>
          <w:lang w:val="es-CO"/>
        </w:rPr>
      </w:pPr>
      <w:r>
        <w:rPr>
          <w:rFonts w:ascii="Arial" w:hAnsi="Arial" w:cs="Arial"/>
          <w:b/>
          <w:i/>
          <w:lang w:val="es-CO"/>
        </w:rPr>
        <w:t xml:space="preserve"> Inadmisión de la solicitud de devolución.</w:t>
      </w:r>
    </w:p>
    <w:p w14:paraId="0AC684AD" w14:textId="77777777" w:rsidR="00B2442D" w:rsidRDefault="00B2442D">
      <w:pPr>
        <w:jc w:val="both"/>
        <w:rPr>
          <w:rFonts w:ascii="Arial" w:hAnsi="Arial" w:cs="Arial"/>
          <w:lang w:val="es-CO"/>
        </w:rPr>
      </w:pPr>
    </w:p>
    <w:p w14:paraId="7CDC9F1C" w14:textId="77777777" w:rsidR="00B2442D" w:rsidRDefault="008A645F">
      <w:pPr>
        <w:jc w:val="both"/>
        <w:rPr>
          <w:rFonts w:ascii="Arial" w:hAnsi="Arial" w:cs="Arial"/>
          <w:lang w:val="es-CO"/>
        </w:rPr>
      </w:pPr>
      <w:r>
        <w:rPr>
          <w:rFonts w:ascii="Arial" w:hAnsi="Arial" w:cs="Arial"/>
          <w:lang w:val="es-CO"/>
        </w:rPr>
        <w:t>La solicitud se inadmitirá en los siguientes casos:</w:t>
      </w:r>
    </w:p>
    <w:p w14:paraId="36D0F334" w14:textId="77777777" w:rsidR="00B2442D" w:rsidRDefault="00B2442D">
      <w:pPr>
        <w:jc w:val="both"/>
        <w:rPr>
          <w:rFonts w:ascii="Arial" w:hAnsi="Arial" w:cs="Arial"/>
          <w:lang w:val="es-CO"/>
        </w:rPr>
      </w:pPr>
    </w:p>
    <w:p w14:paraId="090ED973"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Cuando se presente sin el lleno de los requisitos formales.</w:t>
      </w:r>
    </w:p>
    <w:p w14:paraId="19B8D62A" w14:textId="77777777" w:rsidR="00B2442D" w:rsidRDefault="00B2442D">
      <w:pPr>
        <w:ind w:left="284" w:hanging="284"/>
        <w:jc w:val="both"/>
        <w:rPr>
          <w:rFonts w:ascii="Arial" w:hAnsi="Arial" w:cs="Arial"/>
          <w:lang w:val="es-CO"/>
        </w:rPr>
      </w:pPr>
    </w:p>
    <w:p w14:paraId="62FCC46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Cuando alguna </w:t>
      </w:r>
      <w:r>
        <w:rPr>
          <w:rFonts w:ascii="Arial" w:hAnsi="Arial" w:cs="Arial"/>
          <w:lang w:val="es-CO"/>
        </w:rPr>
        <w:t>declaración de retención objeto de certificación, no se haya presentado, se tenga como no presentada, o no se haya cancelado el impuesto a cargo en su totalidad.</w:t>
      </w:r>
    </w:p>
    <w:p w14:paraId="16067CC8" w14:textId="77777777" w:rsidR="00B2442D" w:rsidRDefault="00B2442D">
      <w:pPr>
        <w:jc w:val="both"/>
        <w:rPr>
          <w:rFonts w:ascii="Arial" w:hAnsi="Arial" w:cs="Arial"/>
          <w:lang w:val="es-CO"/>
        </w:rPr>
      </w:pPr>
    </w:p>
    <w:p w14:paraId="11EDB955" w14:textId="77777777" w:rsidR="00B2442D" w:rsidRDefault="008A645F">
      <w:pPr>
        <w:jc w:val="both"/>
        <w:rPr>
          <w:rFonts w:ascii="Arial" w:hAnsi="Arial" w:cs="Arial"/>
          <w:i/>
          <w:lang w:val="es-CO"/>
        </w:rPr>
      </w:pPr>
      <w:r>
        <w:rPr>
          <w:rFonts w:ascii="Arial" w:hAnsi="Arial" w:cs="Arial"/>
          <w:i/>
          <w:lang w:val="es-CO"/>
        </w:rPr>
        <w:t>(Art. 3, Decreto 222 de 2000)</w:t>
      </w:r>
    </w:p>
    <w:p w14:paraId="67EBBFF4" w14:textId="77777777" w:rsidR="00B2442D" w:rsidRDefault="00B2442D">
      <w:pPr>
        <w:jc w:val="both"/>
        <w:rPr>
          <w:rFonts w:ascii="Arial" w:hAnsi="Arial" w:cs="Arial"/>
          <w:lang w:val="es-CO"/>
        </w:rPr>
      </w:pPr>
    </w:p>
    <w:p w14:paraId="5A2FD7D2" w14:textId="77777777" w:rsidR="00B2442D" w:rsidRDefault="008A645F">
      <w:pPr>
        <w:pStyle w:val="Prrafodelista"/>
        <w:numPr>
          <w:ilvl w:val="0"/>
          <w:numId w:val="123"/>
        </w:numPr>
        <w:ind w:left="0" w:firstLine="0"/>
        <w:jc w:val="both"/>
        <w:rPr>
          <w:rFonts w:ascii="Arial" w:hAnsi="Arial" w:cs="Arial"/>
          <w:i/>
          <w:lang w:val="es-CO"/>
        </w:rPr>
      </w:pPr>
      <w:r>
        <w:rPr>
          <w:rFonts w:ascii="Arial" w:hAnsi="Arial" w:cs="Arial"/>
          <w:b/>
          <w:i/>
          <w:lang w:val="es-CO"/>
        </w:rPr>
        <w:t xml:space="preserve"> Rechazo de la solicitud de devolución.</w:t>
      </w:r>
    </w:p>
    <w:p w14:paraId="78776781" w14:textId="77777777" w:rsidR="00B2442D" w:rsidRDefault="00B2442D">
      <w:pPr>
        <w:jc w:val="both"/>
        <w:rPr>
          <w:rFonts w:ascii="Arial" w:hAnsi="Arial" w:cs="Arial"/>
          <w:lang w:val="es-CO"/>
        </w:rPr>
      </w:pPr>
    </w:p>
    <w:p w14:paraId="17CAC65D" w14:textId="77777777" w:rsidR="00B2442D" w:rsidRDefault="008A645F">
      <w:pPr>
        <w:jc w:val="both"/>
        <w:rPr>
          <w:rFonts w:ascii="Arial" w:hAnsi="Arial" w:cs="Arial"/>
          <w:lang w:val="es-CO"/>
        </w:rPr>
      </w:pPr>
      <w:r>
        <w:rPr>
          <w:rFonts w:ascii="Arial" w:hAnsi="Arial" w:cs="Arial"/>
          <w:lang w:val="es-CO"/>
        </w:rPr>
        <w:t>La solicitud se recha</w:t>
      </w:r>
      <w:r>
        <w:rPr>
          <w:rFonts w:ascii="Arial" w:hAnsi="Arial" w:cs="Arial"/>
          <w:lang w:val="es-CO"/>
        </w:rPr>
        <w:t>zará en los siguientes eventos:</w:t>
      </w:r>
    </w:p>
    <w:p w14:paraId="5928930F" w14:textId="77777777" w:rsidR="00B2442D" w:rsidRDefault="00B2442D">
      <w:pPr>
        <w:jc w:val="both"/>
        <w:rPr>
          <w:rFonts w:ascii="Arial" w:hAnsi="Arial" w:cs="Arial"/>
          <w:lang w:val="es-CO"/>
        </w:rPr>
      </w:pPr>
    </w:p>
    <w:p w14:paraId="049E85E9"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Cuando se presente extemporáneamente;</w:t>
      </w:r>
    </w:p>
    <w:p w14:paraId="5083FEDB" w14:textId="77777777" w:rsidR="00B2442D" w:rsidRDefault="00B2442D">
      <w:pPr>
        <w:ind w:left="284" w:hanging="284"/>
        <w:jc w:val="both"/>
        <w:rPr>
          <w:rFonts w:ascii="Arial" w:hAnsi="Arial" w:cs="Arial"/>
          <w:lang w:val="es-CO"/>
        </w:rPr>
      </w:pPr>
    </w:p>
    <w:p w14:paraId="72D4EEC6"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Cuando la retención objeto de solicitud haya sido incluida en una solicitud anterior, o haya sido objeto de devolución o compensación anterior;</w:t>
      </w:r>
    </w:p>
    <w:p w14:paraId="6DD90C40" w14:textId="77777777" w:rsidR="00B2442D" w:rsidRDefault="00B2442D">
      <w:pPr>
        <w:ind w:left="284" w:hanging="284"/>
        <w:jc w:val="both"/>
        <w:rPr>
          <w:rFonts w:ascii="Arial" w:hAnsi="Arial" w:cs="Arial"/>
          <w:lang w:val="es-CO"/>
        </w:rPr>
      </w:pPr>
    </w:p>
    <w:p w14:paraId="3AB7E9DD"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Cuando se demuestre que se tra</w:t>
      </w:r>
      <w:r>
        <w:rPr>
          <w:rFonts w:ascii="Arial" w:hAnsi="Arial" w:cs="Arial"/>
          <w:lang w:val="es-CO"/>
        </w:rPr>
        <w:t>ta de retenciones no practicadas o por inexistencia del retenedor.</w:t>
      </w:r>
    </w:p>
    <w:p w14:paraId="3C938B71" w14:textId="77777777" w:rsidR="00B2442D" w:rsidRDefault="00B2442D">
      <w:pPr>
        <w:jc w:val="both"/>
        <w:rPr>
          <w:rFonts w:ascii="Arial" w:hAnsi="Arial" w:cs="Arial"/>
          <w:lang w:val="es-CO"/>
        </w:rPr>
      </w:pPr>
    </w:p>
    <w:p w14:paraId="035944D2" w14:textId="77777777" w:rsidR="00B2442D" w:rsidRDefault="008A645F">
      <w:pPr>
        <w:jc w:val="both"/>
        <w:rPr>
          <w:rFonts w:ascii="Arial" w:hAnsi="Arial" w:cs="Arial"/>
          <w:i/>
          <w:lang w:val="es-CO"/>
        </w:rPr>
      </w:pPr>
      <w:r>
        <w:rPr>
          <w:rFonts w:ascii="Arial" w:hAnsi="Arial" w:cs="Arial"/>
          <w:i/>
          <w:lang w:val="es-CO"/>
        </w:rPr>
        <w:t>(Art. 4, Decreto 222 de 2000)</w:t>
      </w:r>
    </w:p>
    <w:p w14:paraId="12B1ECCE" w14:textId="77777777" w:rsidR="00B2442D" w:rsidRDefault="00B2442D">
      <w:pPr>
        <w:jc w:val="both"/>
        <w:rPr>
          <w:rFonts w:ascii="Arial" w:hAnsi="Arial" w:cs="Arial"/>
          <w:lang w:val="es-CO"/>
        </w:rPr>
      </w:pPr>
    </w:p>
    <w:p w14:paraId="4ED65D5F"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 Remisión al Estatuto Tributario.</w:t>
      </w:r>
      <w:r>
        <w:rPr>
          <w:rFonts w:ascii="Arial" w:hAnsi="Arial" w:cs="Arial"/>
          <w:b/>
          <w:lang w:val="es-CO"/>
        </w:rPr>
        <w:t xml:space="preserve"> </w:t>
      </w:r>
      <w:r>
        <w:rPr>
          <w:rFonts w:ascii="Arial" w:hAnsi="Arial" w:cs="Arial"/>
          <w:lang w:val="es-CO"/>
        </w:rPr>
        <w:t>Los demás aspectos no contemplados en los artículos 1.6.1.21.5 al 1.6.1.21.9 del presente Decreto se aplicarán las normas r</w:t>
      </w:r>
      <w:r>
        <w:rPr>
          <w:rFonts w:ascii="Arial" w:hAnsi="Arial" w:cs="Arial"/>
          <w:lang w:val="es-CO"/>
        </w:rPr>
        <w:t>elativas a la devolución y compensación contempladas en el Título X Libro Quinto del Estatuto Tributario y normas reglamentarias, en cuanto sean compatibles.</w:t>
      </w:r>
    </w:p>
    <w:p w14:paraId="10C8EABE" w14:textId="77777777" w:rsidR="00B2442D" w:rsidRDefault="00B2442D">
      <w:pPr>
        <w:jc w:val="both"/>
        <w:rPr>
          <w:rFonts w:ascii="Arial" w:hAnsi="Arial" w:cs="Arial"/>
          <w:lang w:val="es-CO"/>
        </w:rPr>
      </w:pPr>
    </w:p>
    <w:p w14:paraId="06E23DB7" w14:textId="77777777" w:rsidR="00B2442D" w:rsidRDefault="008A645F">
      <w:pPr>
        <w:jc w:val="both"/>
        <w:rPr>
          <w:rFonts w:ascii="Arial" w:hAnsi="Arial" w:cs="Arial"/>
          <w:i/>
          <w:lang w:val="es-CO"/>
        </w:rPr>
      </w:pPr>
      <w:r>
        <w:rPr>
          <w:rFonts w:ascii="Arial" w:hAnsi="Arial" w:cs="Arial"/>
          <w:i/>
          <w:lang w:val="es-CO"/>
        </w:rPr>
        <w:t>(Art. 5, Decreto 222 de 2000)</w:t>
      </w:r>
    </w:p>
    <w:p w14:paraId="30663BEC" w14:textId="77777777" w:rsidR="00B2442D" w:rsidRDefault="00B2442D">
      <w:pPr>
        <w:jc w:val="both"/>
        <w:rPr>
          <w:rFonts w:ascii="Arial" w:hAnsi="Arial" w:cs="Arial"/>
          <w:lang w:val="es-CO"/>
        </w:rPr>
      </w:pPr>
    </w:p>
    <w:p w14:paraId="5D15872D"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Requisitos para otras solicitudes de devolución y/o </w:t>
      </w:r>
      <w:r>
        <w:rPr>
          <w:rFonts w:ascii="Arial" w:hAnsi="Arial" w:cs="Arial"/>
          <w:b/>
          <w:i/>
          <w:lang w:val="es-CO"/>
        </w:rPr>
        <w:t>compensación.</w:t>
      </w:r>
      <w:r>
        <w:rPr>
          <w:rFonts w:ascii="Arial" w:hAnsi="Arial" w:cs="Arial"/>
          <w:lang w:val="es-CO"/>
        </w:rPr>
        <w:t xml:space="preserve"> Tratándose de las solicitudes de devolución y/o compensación a que tienen derecho las Instituciones Estatales u Oficiales de Educación Superior; las Entidades que hubieren pagado impuesto sobre las ventas en la adquisición de materiales de co</w:t>
      </w:r>
      <w:r>
        <w:rPr>
          <w:rFonts w:ascii="Arial" w:hAnsi="Arial" w:cs="Arial"/>
          <w:lang w:val="es-CO"/>
        </w:rPr>
        <w:t xml:space="preserve">nstrucción para vivienda de interés social; las de impuesto sobre las ventas pagado por Diplomáticos, Organismos Internacionales, Misiones Diplomáticas y Consulares o de Cooperación y Asistencia Técnica; las de equipo para ser instalado en la zona del Eje </w:t>
      </w:r>
      <w:r>
        <w:rPr>
          <w:rFonts w:ascii="Arial" w:hAnsi="Arial" w:cs="Arial"/>
          <w:lang w:val="es-CO"/>
        </w:rPr>
        <w:t>Cafetero; la relación de facturas que dan origen al saldo a favor podrá presentarse en medios magnéticos que se ajusten al contenido y características técnicas previamente definidas por la Unidad Administrativa Especial Dirección de Impuestos y Aduanas Nac</w:t>
      </w:r>
      <w:r>
        <w:rPr>
          <w:rFonts w:ascii="Arial" w:hAnsi="Arial" w:cs="Arial"/>
          <w:lang w:val="es-CO"/>
        </w:rPr>
        <w:t>ionales- DIAN.</w:t>
      </w:r>
    </w:p>
    <w:p w14:paraId="1DEFBD44" w14:textId="77777777" w:rsidR="00B2442D" w:rsidRDefault="00B2442D">
      <w:pPr>
        <w:jc w:val="both"/>
        <w:rPr>
          <w:rFonts w:ascii="Arial" w:hAnsi="Arial" w:cs="Arial"/>
          <w:i/>
          <w:lang w:val="es-CO"/>
        </w:rPr>
      </w:pPr>
    </w:p>
    <w:p w14:paraId="113C8D1B" w14:textId="77777777" w:rsidR="00B2442D" w:rsidRDefault="008A645F">
      <w:pPr>
        <w:jc w:val="both"/>
        <w:rPr>
          <w:rFonts w:ascii="Arial" w:hAnsi="Arial" w:cs="Arial"/>
          <w:i/>
          <w:lang w:val="es-CO"/>
        </w:rPr>
      </w:pPr>
      <w:r>
        <w:rPr>
          <w:rFonts w:ascii="Arial" w:hAnsi="Arial" w:cs="Arial"/>
          <w:i/>
          <w:lang w:val="es-CO"/>
        </w:rPr>
        <w:t>(Art. 2, Decreto 2524 de 2000. La expresión “y las de aquellos que hayan adquirido o importado materias primas para la producción de bienes clasificados en la partida arancelaria 48.18.40.00.00” tiene decaimiento en virtud de la evolución n</w:t>
      </w:r>
      <w:r>
        <w:rPr>
          <w:rFonts w:ascii="Arial" w:hAnsi="Arial" w:cs="Arial"/>
          <w:i/>
          <w:lang w:val="es-CO"/>
        </w:rPr>
        <w:t>ormativa (Art. 424 del Estatuto Tributario, modificado por el artículo 30 de la Ley 788 de 2002). La expresión “las de quienes hayan adquirido bienes de capital consistentes en maquinaria” tiene decaimiento, por pérdida de vigencia por cumplimiento del pla</w:t>
      </w:r>
      <w:r>
        <w:rPr>
          <w:rFonts w:ascii="Arial" w:hAnsi="Arial" w:cs="Arial"/>
          <w:i/>
          <w:lang w:val="es-CO"/>
        </w:rPr>
        <w:t>zo del artículo 3° de la Ley 608 de 2000).</w:t>
      </w:r>
    </w:p>
    <w:p w14:paraId="5AFE0F83" w14:textId="77777777" w:rsidR="00B2442D" w:rsidRDefault="00B2442D">
      <w:pPr>
        <w:jc w:val="both"/>
        <w:rPr>
          <w:rFonts w:ascii="Arial" w:hAnsi="Arial" w:cs="Arial"/>
          <w:lang w:val="es-CO"/>
        </w:rPr>
      </w:pPr>
    </w:p>
    <w:p w14:paraId="5FA5F219"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Firma de contador público o revisor fiscal.</w:t>
      </w:r>
      <w:r>
        <w:rPr>
          <w:rFonts w:ascii="Arial" w:hAnsi="Arial" w:cs="Arial"/>
          <w:lang w:val="es-CO"/>
        </w:rPr>
        <w:t xml:space="preserve"> En los casos que las normas exijan certificación de contador público o revisor fiscal, la entrega de información magnética deberá acompañarse del formato oficial establ</w:t>
      </w:r>
      <w:r>
        <w:rPr>
          <w:rFonts w:ascii="Arial" w:hAnsi="Arial" w:cs="Arial"/>
          <w:lang w:val="es-CO"/>
        </w:rPr>
        <w:t>ecido para el efecto, firmado por ellos e indicando su nombre y número de tarjeta, así como también la firma del solicitante.</w:t>
      </w:r>
    </w:p>
    <w:p w14:paraId="7C459D4B" w14:textId="77777777" w:rsidR="00B2442D" w:rsidRDefault="00B2442D">
      <w:pPr>
        <w:jc w:val="both"/>
        <w:rPr>
          <w:rFonts w:ascii="Arial" w:hAnsi="Arial" w:cs="Arial"/>
          <w:i/>
          <w:lang w:val="es-CO"/>
        </w:rPr>
      </w:pPr>
    </w:p>
    <w:p w14:paraId="15B03BE3" w14:textId="77777777" w:rsidR="00B2442D" w:rsidRDefault="008A645F">
      <w:pPr>
        <w:jc w:val="both"/>
        <w:rPr>
          <w:rFonts w:ascii="Arial" w:hAnsi="Arial" w:cs="Arial"/>
          <w:i/>
          <w:lang w:val="es-CO"/>
        </w:rPr>
      </w:pPr>
      <w:r>
        <w:rPr>
          <w:rFonts w:ascii="Arial" w:hAnsi="Arial" w:cs="Arial"/>
          <w:i/>
          <w:lang w:val="es-CO"/>
        </w:rPr>
        <w:t>(Art. 3, Decreto 2524 de 2000)</w:t>
      </w:r>
    </w:p>
    <w:p w14:paraId="24F62DD6" w14:textId="77777777" w:rsidR="00B2442D" w:rsidRDefault="00B2442D">
      <w:pPr>
        <w:jc w:val="both"/>
        <w:rPr>
          <w:rFonts w:ascii="Arial" w:hAnsi="Arial" w:cs="Arial"/>
          <w:lang w:val="es-CO"/>
        </w:rPr>
      </w:pPr>
    </w:p>
    <w:p w14:paraId="13493154"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Quiénes pueden solicitar devolución y/o compensación en el impuesto sobre las ventas.</w:t>
      </w:r>
      <w:r>
        <w:rPr>
          <w:rFonts w:ascii="Arial" w:hAnsi="Arial" w:cs="Arial"/>
          <w:lang w:val="es-CO"/>
        </w:rPr>
        <w:t xml:space="preserve"> Podrán soli</w:t>
      </w:r>
      <w:r>
        <w:rPr>
          <w:rFonts w:ascii="Arial" w:hAnsi="Arial" w:cs="Arial"/>
          <w:lang w:val="es-CO"/>
        </w:rPr>
        <w:t>citar devolución y/o compensación de saldos a favor originados en las declaraciones del impuesto sobre las ventas, los responsables pertenecientes al régimen común de los bienes y servicios relacionados en el artículo 481 del Estatuto Tributario, los produ</w:t>
      </w:r>
      <w:r>
        <w:rPr>
          <w:rFonts w:ascii="Arial" w:hAnsi="Arial" w:cs="Arial"/>
          <w:lang w:val="es-CO"/>
        </w:rPr>
        <w:t>ctores de los bienes exentos señalados en el artículo 477 y los responsables que hayan sido objeto de retención del impuesto sobre las ventas (IVA), hasta la concurrencia del saldo a favor originado en las retenciones que les hubieren practicado y que haya</w:t>
      </w:r>
      <w:r>
        <w:rPr>
          <w:rFonts w:ascii="Arial" w:hAnsi="Arial" w:cs="Arial"/>
          <w:lang w:val="es-CO"/>
        </w:rPr>
        <w:t>n incluido en las declaraciones del periodo correspondiente.</w:t>
      </w:r>
    </w:p>
    <w:p w14:paraId="79F61B09" w14:textId="77777777" w:rsidR="00B2442D" w:rsidRDefault="00B2442D">
      <w:pPr>
        <w:jc w:val="both"/>
        <w:rPr>
          <w:rFonts w:ascii="Arial" w:hAnsi="Arial" w:cs="Arial"/>
          <w:lang w:val="es-CO"/>
        </w:rPr>
      </w:pPr>
    </w:p>
    <w:p w14:paraId="717818F6" w14:textId="77777777" w:rsidR="00B2442D" w:rsidRDefault="008A645F">
      <w:pPr>
        <w:jc w:val="both"/>
        <w:rPr>
          <w:rFonts w:ascii="Arial" w:hAnsi="Arial" w:cs="Arial"/>
          <w:lang w:val="es-CO"/>
        </w:rPr>
      </w:pPr>
      <w:r>
        <w:rPr>
          <w:rFonts w:ascii="Arial" w:hAnsi="Arial" w:cs="Arial"/>
          <w:lang w:val="es-CO"/>
        </w:rPr>
        <w:t>Así mismo podrán solicitar devolución y/o compensación de saldos a favor originados en las declaraciones del impuesto sobre las ventas, los responsables de los bienes y servicios de que tratan l</w:t>
      </w:r>
      <w:r>
        <w:rPr>
          <w:rFonts w:ascii="Arial" w:hAnsi="Arial" w:cs="Arial"/>
          <w:lang w:val="es-CO"/>
        </w:rPr>
        <w:t>os artículos 468-1 y 468-3 del Estatuto Tributario, por los excesos de impuesto descontable cuando en la producción de dichos bienes o prestación de los servicios, existan insumos y/o materia prima que estén gravados con la tarifa del diez y seis por cient</w:t>
      </w:r>
      <w:r>
        <w:rPr>
          <w:rFonts w:ascii="Arial" w:hAnsi="Arial" w:cs="Arial"/>
          <w:lang w:val="es-CO"/>
        </w:rPr>
        <w:t>o (16%) y originen saldo a favor por la diferencia entre esta tarifa y la tarifa del impuesto sobre las ventas generado, con respecto a los bienes enajenados o a los servicios prestados.</w:t>
      </w:r>
    </w:p>
    <w:p w14:paraId="27627667" w14:textId="77777777" w:rsidR="00B2442D" w:rsidRDefault="00B2442D">
      <w:pPr>
        <w:jc w:val="both"/>
        <w:rPr>
          <w:rFonts w:ascii="Arial" w:hAnsi="Arial" w:cs="Arial"/>
          <w:lang w:val="es-CO"/>
        </w:rPr>
      </w:pPr>
    </w:p>
    <w:p w14:paraId="07650997" w14:textId="77777777" w:rsidR="00B2442D" w:rsidRDefault="008A645F">
      <w:pPr>
        <w:jc w:val="both"/>
        <w:rPr>
          <w:rFonts w:ascii="Arial" w:hAnsi="Arial" w:cs="Arial"/>
          <w:lang w:val="es-CO"/>
        </w:rPr>
      </w:pPr>
      <w:r>
        <w:rPr>
          <w:rFonts w:ascii="Arial" w:hAnsi="Arial" w:cs="Arial"/>
          <w:lang w:val="es-CO"/>
        </w:rPr>
        <w:t xml:space="preserve">Cuando los responsables de los bienes y servicios de que tratan los </w:t>
      </w:r>
      <w:r>
        <w:rPr>
          <w:rFonts w:ascii="Arial" w:hAnsi="Arial" w:cs="Arial"/>
          <w:lang w:val="es-CO"/>
        </w:rPr>
        <w:t>artículos 477 y 481 del Estatuto Tributario adicionalmente realicen operaciones gravadas y/o excluidas, la devolución y/o compensación sólo procederá por el impuesto sobre las ventas (IVA) descontable asociado directamente con la producción de los bienes y</w:t>
      </w:r>
      <w:r>
        <w:rPr>
          <w:rFonts w:ascii="Arial" w:hAnsi="Arial" w:cs="Arial"/>
          <w:lang w:val="es-CO"/>
        </w:rPr>
        <w:t xml:space="preserve"> servicios exportados o exentos, de conformidad con el artículo 490 del Estatuto Tributario.</w:t>
      </w:r>
    </w:p>
    <w:p w14:paraId="4A2D93DC" w14:textId="77777777" w:rsidR="00B2442D" w:rsidRDefault="00B2442D">
      <w:pPr>
        <w:jc w:val="both"/>
        <w:rPr>
          <w:rFonts w:ascii="Arial" w:hAnsi="Arial" w:cs="Arial"/>
          <w:lang w:val="es-CO"/>
        </w:rPr>
      </w:pPr>
    </w:p>
    <w:p w14:paraId="518E4CF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devolución de los saldos a favor deberá ser solicitada en las sociedades liquidadas por el o los socios a quienes se haya adjudicado el activo de ac</w:t>
      </w:r>
      <w:r>
        <w:rPr>
          <w:rFonts w:ascii="Arial" w:hAnsi="Arial" w:cs="Arial"/>
          <w:lang w:val="es-CO"/>
        </w:rPr>
        <w:t>uerdo con el acta final de liquidación, que deberá anexarse a la solicitud respectiva. En caso de que el activo se adjudique a una sociedad, la solicitud debe ser presentada por el representante legal o apoderado</w:t>
      </w:r>
    </w:p>
    <w:p w14:paraId="5B2C7F98" w14:textId="77777777" w:rsidR="00B2442D" w:rsidRDefault="00B2442D">
      <w:pPr>
        <w:jc w:val="both"/>
        <w:rPr>
          <w:rFonts w:ascii="Arial" w:hAnsi="Arial" w:cs="Arial"/>
          <w:lang w:val="es-CO"/>
        </w:rPr>
      </w:pPr>
    </w:p>
    <w:p w14:paraId="5527C375" w14:textId="77777777" w:rsidR="00B2442D" w:rsidRDefault="008A645F">
      <w:pPr>
        <w:jc w:val="both"/>
        <w:rPr>
          <w:rFonts w:ascii="Arial" w:hAnsi="Arial" w:cs="Arial"/>
          <w:i/>
          <w:lang w:val="es-CO"/>
        </w:rPr>
      </w:pPr>
      <w:r>
        <w:rPr>
          <w:rFonts w:ascii="Arial" w:hAnsi="Arial" w:cs="Arial"/>
          <w:i/>
          <w:lang w:val="es-CO"/>
        </w:rPr>
        <w:t xml:space="preserve">(Art. 1, Decreto 2277 de 2012, modificado </w:t>
      </w:r>
      <w:r>
        <w:rPr>
          <w:rFonts w:ascii="Arial" w:hAnsi="Arial" w:cs="Arial"/>
          <w:i/>
          <w:lang w:val="es-CO"/>
        </w:rPr>
        <w:t>por el art. 1 del Decreto 2877 de 2013)</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 2003 y las normas que le sean contrarías. Art. 27, Decreto</w:t>
      </w:r>
      <w:r>
        <w:rPr>
          <w:rFonts w:ascii="Arial" w:hAnsi="Arial" w:cs="Arial"/>
          <w:i/>
          <w:lang w:val="es-CO"/>
        </w:rPr>
        <w:t xml:space="preserve"> 2277 de 2012)</w:t>
      </w:r>
    </w:p>
    <w:p w14:paraId="71824627" w14:textId="77777777" w:rsidR="00B2442D" w:rsidRDefault="00B2442D">
      <w:pPr>
        <w:jc w:val="both"/>
        <w:rPr>
          <w:rFonts w:ascii="Arial" w:hAnsi="Arial" w:cs="Arial"/>
          <w:lang w:val="es-CO"/>
        </w:rPr>
      </w:pPr>
    </w:p>
    <w:p w14:paraId="2DCA4087"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Requisitos generales de la solicitud de devolución y/o compensación.</w:t>
      </w:r>
      <w:r>
        <w:rPr>
          <w:rFonts w:ascii="Arial" w:hAnsi="Arial" w:cs="Arial"/>
          <w:lang w:val="es-CO"/>
        </w:rPr>
        <w:t xml:space="preserve"> La solicitud de devolución y/o compensación deberá presentarse personalmente por el contribuyente, responsable, por su representante legal, o a través de apoderado, acredi</w:t>
      </w:r>
      <w:r>
        <w:rPr>
          <w:rFonts w:ascii="Arial" w:hAnsi="Arial" w:cs="Arial"/>
          <w:lang w:val="es-CO"/>
        </w:rPr>
        <w:t>tando la calidad correspondiente en cada caso.</w:t>
      </w:r>
    </w:p>
    <w:p w14:paraId="431A4659" w14:textId="77777777" w:rsidR="00B2442D" w:rsidRDefault="00B2442D">
      <w:pPr>
        <w:jc w:val="both"/>
        <w:rPr>
          <w:rFonts w:ascii="Arial" w:hAnsi="Arial" w:cs="Arial"/>
          <w:lang w:val="es-CO"/>
        </w:rPr>
      </w:pPr>
    </w:p>
    <w:p w14:paraId="62098CDC" w14:textId="77777777" w:rsidR="00B2442D" w:rsidRDefault="008A645F">
      <w:pPr>
        <w:jc w:val="both"/>
        <w:rPr>
          <w:rFonts w:ascii="Arial" w:hAnsi="Arial" w:cs="Arial"/>
          <w:lang w:val="es-CO"/>
        </w:rPr>
      </w:pPr>
      <w:r>
        <w:rPr>
          <w:rFonts w:ascii="Arial" w:hAnsi="Arial" w:cs="Arial"/>
          <w:lang w:val="es-CO"/>
        </w:rPr>
        <w:t>La solicitud debidamente diligenciada en la forma que determine la Unidad Administrativa Especial Dirección de Impuestos y Aduanas Nacionales- DIAN deberá acompañarse de los siguientes documentos físicos o vi</w:t>
      </w:r>
      <w:r>
        <w:rPr>
          <w:rFonts w:ascii="Arial" w:hAnsi="Arial" w:cs="Arial"/>
          <w:lang w:val="es-CO"/>
        </w:rPr>
        <w:t>rtuales:</w:t>
      </w:r>
    </w:p>
    <w:p w14:paraId="236DCD88" w14:textId="77777777" w:rsidR="00B2442D" w:rsidRDefault="00B2442D">
      <w:pPr>
        <w:jc w:val="both"/>
        <w:rPr>
          <w:rFonts w:ascii="Arial" w:hAnsi="Arial" w:cs="Arial"/>
          <w:lang w:val="es-CO"/>
        </w:rPr>
      </w:pPr>
    </w:p>
    <w:p w14:paraId="4672ACAD"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Tratándose de personas jurídicas, certificado expedido por la autoridad competente que acredite su existencia y representación legal, con anterioridad no mayor de un (1) mes. Cuando quienes ostenten la calidad de representante legal o de revis</w:t>
      </w:r>
      <w:r>
        <w:rPr>
          <w:rFonts w:ascii="Arial" w:hAnsi="Arial" w:cs="Arial"/>
          <w:lang w:val="es-CO"/>
        </w:rPr>
        <w:t>or fiscal al momento en que se presenta la solicitud de devolución y/o compensación no sean los mismos que suscribieron las declaraciones objeto de devolución y/o compensación, se deberá además anexar el certificado histórico donde figuren los nombres de l</w:t>
      </w:r>
      <w:r>
        <w:rPr>
          <w:rFonts w:ascii="Arial" w:hAnsi="Arial" w:cs="Arial"/>
          <w:lang w:val="es-CO"/>
        </w:rPr>
        <w:t>as personas competentes para suscribir dichas declaraciones.</w:t>
      </w:r>
    </w:p>
    <w:p w14:paraId="3857539F" w14:textId="77777777" w:rsidR="00B2442D" w:rsidRDefault="00B2442D">
      <w:pPr>
        <w:ind w:left="426" w:hanging="426"/>
        <w:jc w:val="both"/>
        <w:rPr>
          <w:rFonts w:ascii="Arial" w:hAnsi="Arial" w:cs="Arial"/>
          <w:lang w:val="es-CO"/>
        </w:rPr>
      </w:pPr>
    </w:p>
    <w:p w14:paraId="092FCE63"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Copia del poder otorgado en debida forma cuando se actúe mediante apoderado.</w:t>
      </w:r>
    </w:p>
    <w:p w14:paraId="0A0D545B" w14:textId="77777777" w:rsidR="00B2442D" w:rsidRDefault="00B2442D">
      <w:pPr>
        <w:ind w:left="426" w:hanging="426"/>
        <w:jc w:val="both"/>
        <w:rPr>
          <w:rFonts w:ascii="Arial" w:hAnsi="Arial" w:cs="Arial"/>
          <w:lang w:val="es-CO"/>
        </w:rPr>
      </w:pPr>
    </w:p>
    <w:p w14:paraId="3C69D6DD" w14:textId="77777777" w:rsidR="00B2442D" w:rsidRDefault="008A645F">
      <w:pPr>
        <w:ind w:left="426" w:hanging="426"/>
        <w:jc w:val="both"/>
        <w:rPr>
          <w:rFonts w:ascii="Arial" w:hAnsi="Arial" w:cs="Arial"/>
          <w:lang w:val="es-CO"/>
        </w:rPr>
      </w:pPr>
      <w:r>
        <w:rPr>
          <w:rFonts w:ascii="Arial" w:hAnsi="Arial" w:cs="Arial"/>
          <w:lang w:val="es-CO"/>
        </w:rPr>
        <w:t>c)</w:t>
      </w:r>
      <w:r>
        <w:rPr>
          <w:rFonts w:ascii="Arial" w:hAnsi="Arial" w:cs="Arial"/>
          <w:lang w:val="es-CO"/>
        </w:rPr>
        <w:tab/>
        <w:t xml:space="preserve">Garantía a favor de la Nación -Unidad Administrativa Especial Dirección de Impuestos y Aduanas </w:t>
      </w:r>
      <w:r>
        <w:rPr>
          <w:rFonts w:ascii="Arial" w:hAnsi="Arial" w:cs="Arial"/>
          <w:lang w:val="es-CO"/>
        </w:rPr>
        <w:t>Nacionales- DIAN, otorgada por entidades bancarias o compañías de seguros, cuando el solicitante se acoja a la opción contemplada en el artículo 860 del Estatuto Tributario.</w:t>
      </w:r>
    </w:p>
    <w:p w14:paraId="4364B1C7" w14:textId="77777777" w:rsidR="00B2442D" w:rsidRDefault="00B2442D">
      <w:pPr>
        <w:ind w:left="426" w:hanging="426"/>
        <w:jc w:val="both"/>
        <w:rPr>
          <w:rFonts w:ascii="Arial" w:hAnsi="Arial" w:cs="Arial"/>
          <w:lang w:val="es-CO"/>
        </w:rPr>
      </w:pPr>
    </w:p>
    <w:p w14:paraId="090502CD" w14:textId="77777777" w:rsidR="00B2442D" w:rsidRDefault="008A645F">
      <w:pPr>
        <w:ind w:left="426" w:hanging="426"/>
        <w:jc w:val="both"/>
        <w:rPr>
          <w:rFonts w:ascii="Arial" w:hAnsi="Arial" w:cs="Arial"/>
          <w:lang w:val="es-CO"/>
        </w:rPr>
      </w:pPr>
      <w:r>
        <w:rPr>
          <w:rFonts w:ascii="Arial" w:hAnsi="Arial" w:cs="Arial"/>
          <w:lang w:val="es-CO"/>
        </w:rPr>
        <w:t>d)</w:t>
      </w:r>
      <w:r>
        <w:rPr>
          <w:rFonts w:ascii="Arial" w:hAnsi="Arial" w:cs="Arial"/>
          <w:lang w:val="es-CO"/>
        </w:rPr>
        <w:tab/>
        <w:t xml:space="preserve">Copia del recibo de pago de la prima correspondiente a la póliza </w:t>
      </w:r>
      <w:r>
        <w:rPr>
          <w:rFonts w:ascii="Arial" w:hAnsi="Arial" w:cs="Arial"/>
          <w:lang w:val="es-CO"/>
        </w:rPr>
        <w:t>otorgada por entidades bancarias o compañías de seguros.</w:t>
      </w:r>
    </w:p>
    <w:p w14:paraId="20492E58" w14:textId="77777777" w:rsidR="00B2442D" w:rsidRDefault="00B2442D">
      <w:pPr>
        <w:jc w:val="both"/>
        <w:rPr>
          <w:rFonts w:ascii="Arial" w:hAnsi="Arial" w:cs="Arial"/>
          <w:lang w:val="es-CO"/>
        </w:rPr>
      </w:pPr>
    </w:p>
    <w:p w14:paraId="32839E7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titular del saldo a favor al momento de la presentación de la solicitud de devolución y/o compensación, deberá tener el Registro Único Tributario (RUT), formalizado y actualizado ante </w:t>
      </w:r>
      <w:r>
        <w:rPr>
          <w:rFonts w:ascii="Arial" w:hAnsi="Arial" w:cs="Arial"/>
          <w:lang w:val="es-CO"/>
        </w:rPr>
        <w:t>la Unidad Administrativa Especial Dirección Impuestos y Aduanas Nacionales- DIAN y no haber sido objeto de suspensión ni cancelación, desde el momento de la radicación de la solicitud en debida forma hasta cuando se profiera el acto administrativo correspo</w:t>
      </w:r>
      <w:r>
        <w:rPr>
          <w:rFonts w:ascii="Arial" w:hAnsi="Arial" w:cs="Arial"/>
          <w:lang w:val="es-CO"/>
        </w:rPr>
        <w:t>ndiente que defina dicha solicitud. Esta misma condición se exige a los representantes legales y apoderados.</w:t>
      </w:r>
    </w:p>
    <w:p w14:paraId="7E63136B" w14:textId="77777777" w:rsidR="00B2442D" w:rsidRDefault="00B2442D">
      <w:pPr>
        <w:jc w:val="both"/>
        <w:rPr>
          <w:rFonts w:ascii="Arial" w:hAnsi="Arial" w:cs="Arial"/>
          <w:lang w:val="es-CO"/>
        </w:rPr>
      </w:pPr>
    </w:p>
    <w:p w14:paraId="39ECE80F" w14:textId="77777777" w:rsidR="00B2442D" w:rsidRDefault="008A645F">
      <w:pPr>
        <w:jc w:val="both"/>
        <w:rPr>
          <w:rFonts w:ascii="Arial" w:hAnsi="Arial" w:cs="Arial"/>
          <w:lang w:val="es-CO"/>
        </w:rPr>
      </w:pPr>
      <w:r>
        <w:rPr>
          <w:rFonts w:ascii="Arial" w:hAnsi="Arial" w:cs="Arial"/>
          <w:lang w:val="es-CO"/>
        </w:rPr>
        <w:t>La dirección que se informe en la solicitud de devolución y/o compensación deberá corresponder con la informada en el Registro Único Tributario (R</w:t>
      </w:r>
      <w:r>
        <w:rPr>
          <w:rFonts w:ascii="Arial" w:hAnsi="Arial" w:cs="Arial"/>
          <w:lang w:val="es-CO"/>
        </w:rPr>
        <w:t>UT).</w:t>
      </w:r>
    </w:p>
    <w:p w14:paraId="508F4869" w14:textId="77777777" w:rsidR="00B2442D" w:rsidRDefault="00B2442D">
      <w:pPr>
        <w:jc w:val="both"/>
        <w:rPr>
          <w:rFonts w:ascii="Arial" w:hAnsi="Arial" w:cs="Arial"/>
          <w:lang w:val="es-CO"/>
        </w:rPr>
      </w:pPr>
    </w:p>
    <w:p w14:paraId="23D9D07E" w14:textId="77777777" w:rsidR="00B2442D" w:rsidRDefault="008A645F">
      <w:pPr>
        <w:jc w:val="both"/>
        <w:rPr>
          <w:rFonts w:ascii="Arial" w:hAnsi="Arial" w:cs="Arial"/>
          <w:lang w:val="es-CO"/>
        </w:rPr>
      </w:pPr>
      <w:r>
        <w:rPr>
          <w:rFonts w:ascii="Arial" w:hAnsi="Arial" w:cs="Arial"/>
          <w:lang w:val="es-CO"/>
        </w:rPr>
        <w:t>Cuando se inadmita una solicitud de devolución y/o compensación se devolverá toda la documentación aportada y la nueva solicitud debe ser presentada con el lleno de los requisitos exigidos, dentro del mes siguiente a la notificación del auto de inadm</w:t>
      </w:r>
      <w:r>
        <w:rPr>
          <w:rFonts w:ascii="Arial" w:hAnsi="Arial" w:cs="Arial"/>
          <w:lang w:val="es-CO"/>
        </w:rPr>
        <w:t>isión, subsanando las causales que dieron lugar al mismo.</w:t>
      </w:r>
    </w:p>
    <w:p w14:paraId="76203E46" w14:textId="77777777" w:rsidR="00B2442D" w:rsidRDefault="00B2442D">
      <w:pPr>
        <w:jc w:val="both"/>
        <w:rPr>
          <w:rFonts w:ascii="Arial" w:hAnsi="Arial" w:cs="Arial"/>
          <w:i/>
          <w:lang w:val="es-CO"/>
        </w:rPr>
      </w:pPr>
    </w:p>
    <w:p w14:paraId="4E01EEBA" w14:textId="77777777" w:rsidR="00B2442D" w:rsidRDefault="008A645F">
      <w:pPr>
        <w:jc w:val="both"/>
        <w:rPr>
          <w:rFonts w:ascii="Arial" w:hAnsi="Arial" w:cs="Arial"/>
          <w:i/>
          <w:lang w:val="es-CO"/>
        </w:rPr>
      </w:pPr>
      <w:r>
        <w:rPr>
          <w:rFonts w:ascii="Arial" w:hAnsi="Arial" w:cs="Arial"/>
          <w:i/>
          <w:lang w:val="es-CO"/>
        </w:rPr>
        <w:t>(Art. 2, Decreto 2277 de 2012, modificado por el art. 2 del Decreto 2877 de 2013)</w:t>
      </w:r>
      <w:r>
        <w:rPr>
          <w:rFonts w:ascii="Arial" w:hAnsi="Arial" w:cs="Arial"/>
        </w:rPr>
        <w:t xml:space="preserve"> </w:t>
      </w:r>
      <w:r>
        <w:rPr>
          <w:rFonts w:ascii="Arial" w:hAnsi="Arial" w:cs="Arial"/>
          <w:i/>
          <w:lang w:val="es-CO"/>
        </w:rPr>
        <w:t xml:space="preserve">(El Decreto 2277 de 2012 rige a partir del 1° de diciembre de 2012, previa su publicación y deroga el Decreto 1000 </w:t>
      </w:r>
      <w:r>
        <w:rPr>
          <w:rFonts w:ascii="Arial" w:hAnsi="Arial" w:cs="Arial"/>
          <w:i/>
          <w:lang w:val="es-CO"/>
        </w:rPr>
        <w:t>de 1997, el artículo 13 del Decreto 522 de 2003 y las normas que le sean contrarías. Art. 27, Decreto 2277 de 2012)</w:t>
      </w:r>
    </w:p>
    <w:p w14:paraId="3B30339B" w14:textId="77777777" w:rsidR="00B2442D" w:rsidRDefault="00B2442D">
      <w:pPr>
        <w:jc w:val="both"/>
        <w:rPr>
          <w:rFonts w:ascii="Arial" w:hAnsi="Arial" w:cs="Arial"/>
          <w:lang w:val="es-CO"/>
        </w:rPr>
      </w:pPr>
    </w:p>
    <w:p w14:paraId="43389993"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Requisitos especiales en el impuesto sobre la renta.</w:t>
      </w:r>
      <w:r>
        <w:rPr>
          <w:rFonts w:ascii="Arial" w:hAnsi="Arial" w:cs="Arial"/>
          <w:lang w:val="es-CO"/>
        </w:rPr>
        <w:t xml:space="preserve"> Cuando se trate de un saldo a favor originado en una declaración de renta, deberá adju</w:t>
      </w:r>
      <w:r>
        <w:rPr>
          <w:rFonts w:ascii="Arial" w:hAnsi="Arial" w:cs="Arial"/>
          <w:lang w:val="es-CO"/>
        </w:rPr>
        <w:t>ntarse además, una relación de las retenciones en la fuente que originaron el saldo a favor del periodo solicitado y de los que componen el arrastre, indicando: Nombre o Razón Social y NIT de cada agente retenedor, así como el valor base de retención, el v</w:t>
      </w:r>
      <w:r>
        <w:rPr>
          <w:rFonts w:ascii="Arial" w:hAnsi="Arial" w:cs="Arial"/>
          <w:lang w:val="es-CO"/>
        </w:rPr>
        <w:t>alor retenido y concepto, certificada por revisor fiscal o contador público, cuando a ello hubiere lugar.</w:t>
      </w:r>
    </w:p>
    <w:p w14:paraId="6D687531" w14:textId="77777777" w:rsidR="00B2442D" w:rsidRDefault="00B2442D">
      <w:pPr>
        <w:jc w:val="both"/>
        <w:rPr>
          <w:rFonts w:ascii="Arial" w:hAnsi="Arial" w:cs="Arial"/>
          <w:lang w:val="es-CO"/>
        </w:rPr>
      </w:pPr>
    </w:p>
    <w:p w14:paraId="5B64BC01" w14:textId="77777777" w:rsidR="00B2442D" w:rsidRDefault="008A645F">
      <w:pPr>
        <w:jc w:val="both"/>
        <w:rPr>
          <w:rFonts w:ascii="Arial" w:hAnsi="Arial" w:cs="Arial"/>
          <w:lang w:val="es-CO"/>
        </w:rPr>
      </w:pPr>
      <w:r>
        <w:rPr>
          <w:rFonts w:ascii="Arial" w:hAnsi="Arial" w:cs="Arial"/>
          <w:lang w:val="es-CO"/>
        </w:rPr>
        <w:t>Los autorretenedores deberán indicar en esta relación, además de lo establecido en el inciso anterior, el lugar donde consignaron la totalidad de los</w:t>
      </w:r>
      <w:r>
        <w:rPr>
          <w:rFonts w:ascii="Arial" w:hAnsi="Arial" w:cs="Arial"/>
          <w:lang w:val="es-CO"/>
        </w:rPr>
        <w:t xml:space="preserve"> valores autorretenidos.</w:t>
      </w:r>
    </w:p>
    <w:p w14:paraId="428D5F16" w14:textId="77777777" w:rsidR="00B2442D" w:rsidRDefault="00B2442D">
      <w:pPr>
        <w:jc w:val="both"/>
        <w:rPr>
          <w:rFonts w:ascii="Arial" w:hAnsi="Arial" w:cs="Arial"/>
          <w:lang w:val="es-CO"/>
        </w:rPr>
      </w:pPr>
    </w:p>
    <w:p w14:paraId="448597F9" w14:textId="77777777" w:rsidR="00B2442D" w:rsidRDefault="008A645F">
      <w:pPr>
        <w:jc w:val="both"/>
        <w:rPr>
          <w:rFonts w:ascii="Arial" w:hAnsi="Arial" w:cs="Arial"/>
          <w:lang w:val="es-CO"/>
        </w:rPr>
      </w:pPr>
      <w:r>
        <w:rPr>
          <w:rFonts w:ascii="Arial" w:hAnsi="Arial" w:cs="Arial"/>
          <w:i/>
          <w:lang w:val="es-CO"/>
        </w:rPr>
        <w:t>(Art. 3,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 2003 y las normas que le sean contrarías.</w:t>
      </w:r>
      <w:r>
        <w:rPr>
          <w:rFonts w:ascii="Arial" w:hAnsi="Arial" w:cs="Arial"/>
          <w:i/>
          <w:lang w:val="es-CO"/>
        </w:rPr>
        <w:t xml:space="preserve"> Art. 27, Decreto 2277 de 2012)</w:t>
      </w:r>
    </w:p>
    <w:p w14:paraId="54240226" w14:textId="77777777" w:rsidR="00B2442D" w:rsidRDefault="00B2442D">
      <w:pPr>
        <w:jc w:val="both"/>
        <w:rPr>
          <w:rFonts w:ascii="Arial" w:hAnsi="Arial" w:cs="Arial"/>
          <w:lang w:val="es-CO"/>
        </w:rPr>
      </w:pPr>
    </w:p>
    <w:p w14:paraId="04734BB8"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Requisitos especiales en el impuesto sobre las ventas.</w:t>
      </w:r>
      <w:r>
        <w:rPr>
          <w:rFonts w:ascii="Arial" w:hAnsi="Arial" w:cs="Arial"/>
          <w:lang w:val="es-CO"/>
        </w:rPr>
        <w:t xml:space="preserve"> Si la solicitud se origina en un saldo a favor liquidado en la declaración del impuesto sobre las ventas, deberá adjuntarse además:</w:t>
      </w:r>
    </w:p>
    <w:p w14:paraId="562C7223" w14:textId="77777777" w:rsidR="00B2442D" w:rsidRDefault="00B2442D">
      <w:pPr>
        <w:jc w:val="both"/>
        <w:rPr>
          <w:rFonts w:ascii="Arial" w:hAnsi="Arial" w:cs="Arial"/>
          <w:lang w:val="es-CO"/>
        </w:rPr>
      </w:pPr>
    </w:p>
    <w:p w14:paraId="02238D93"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Certificación de revisor fiscal </w:t>
      </w:r>
      <w:r>
        <w:rPr>
          <w:rFonts w:ascii="Arial" w:hAnsi="Arial" w:cs="Arial"/>
          <w:lang w:val="es-CO"/>
        </w:rPr>
        <w:t>o del contador público, según el caso, en la cual conste que se ha efectuado el ajuste de la cuenta "Impuesto sobre las ventas por pagar" a cero (0). Para tal efecto, en la contabilidad se deberá hacer previamente un abono en la mencionada cuenta, por un v</w:t>
      </w:r>
      <w:r>
        <w:rPr>
          <w:rFonts w:ascii="Arial" w:hAnsi="Arial" w:cs="Arial"/>
          <w:lang w:val="es-CO"/>
        </w:rPr>
        <w:t>alor igual al saldo débito que la misma arroje en el último día del bimestre o período objeto de la solicitud, y cargar por igual valor el rubro de cuentas por cobrar. Lo anterior, sin perjuicio del ajuste previo establecido en el parágrafo 2° del presente</w:t>
      </w:r>
      <w:r>
        <w:rPr>
          <w:rFonts w:ascii="Arial" w:hAnsi="Arial" w:cs="Arial"/>
          <w:lang w:val="es-CO"/>
        </w:rPr>
        <w:t xml:space="preserve"> artículo, cuando a ello haya lugar.</w:t>
      </w:r>
    </w:p>
    <w:p w14:paraId="28FAE040" w14:textId="77777777" w:rsidR="00B2442D" w:rsidRDefault="00B2442D">
      <w:pPr>
        <w:ind w:left="284" w:hanging="284"/>
        <w:jc w:val="both"/>
        <w:rPr>
          <w:rFonts w:ascii="Arial" w:hAnsi="Arial" w:cs="Arial"/>
          <w:lang w:val="es-CO"/>
        </w:rPr>
      </w:pPr>
    </w:p>
    <w:p w14:paraId="3B79B24C"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 xml:space="preserve">Relación de los impuestos descontables que originaron el saldo a favor, certificada por revisor fiscal o contador público, según el caso, que contenga la información del periodo solicitado y de los que componen los arrastres, indicando: </w:t>
      </w:r>
    </w:p>
    <w:p w14:paraId="46B9DD2F" w14:textId="77777777" w:rsidR="00B2442D" w:rsidRDefault="00B2442D">
      <w:pPr>
        <w:ind w:left="284" w:hanging="284"/>
        <w:jc w:val="both"/>
        <w:rPr>
          <w:rFonts w:ascii="Arial" w:hAnsi="Arial" w:cs="Arial"/>
          <w:lang w:val="es-CO"/>
        </w:rPr>
      </w:pPr>
    </w:p>
    <w:p w14:paraId="63672A2A" w14:textId="77777777" w:rsidR="00B2442D" w:rsidRDefault="008A645F">
      <w:pPr>
        <w:ind w:left="284"/>
        <w:jc w:val="both"/>
        <w:rPr>
          <w:rFonts w:ascii="Arial" w:hAnsi="Arial" w:cs="Arial"/>
          <w:lang w:val="es-CO"/>
        </w:rPr>
      </w:pPr>
      <w:r>
        <w:rPr>
          <w:rFonts w:ascii="Arial" w:hAnsi="Arial" w:cs="Arial"/>
          <w:lang w:val="es-CO"/>
        </w:rPr>
        <w:t>Nombre y apellido</w:t>
      </w:r>
      <w:r>
        <w:rPr>
          <w:rFonts w:ascii="Arial" w:hAnsi="Arial" w:cs="Arial"/>
          <w:lang w:val="es-CO"/>
        </w:rPr>
        <w:t xml:space="preserve"> o razón social, NIT y dirección del proveedor, número y fecha de expedición de la factura y de la contabilización, base gravable y tarifa del IVA a la que estuvo sujeta la operación, concepto del costo o gasto, y valor del impuesto descontable.</w:t>
      </w:r>
    </w:p>
    <w:p w14:paraId="07C98226" w14:textId="77777777" w:rsidR="00B2442D" w:rsidRDefault="00B2442D">
      <w:pPr>
        <w:ind w:left="284" w:hanging="284"/>
        <w:jc w:val="both"/>
        <w:rPr>
          <w:rFonts w:ascii="Arial" w:hAnsi="Arial" w:cs="Arial"/>
          <w:lang w:val="es-CO"/>
        </w:rPr>
      </w:pPr>
    </w:p>
    <w:p w14:paraId="5892AD11"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En el </w:t>
      </w:r>
      <w:r>
        <w:rPr>
          <w:rFonts w:ascii="Arial" w:hAnsi="Arial" w:cs="Arial"/>
          <w:lang w:val="es-CO"/>
        </w:rPr>
        <w:t>caso de importaciones, relación certificada por revisor fiscal o contador público, según el caso, que contenga la información del periodo solicitado y de los que componen los arrastres, indicando: número de la declaración de importación, fecha de presentac</w:t>
      </w:r>
      <w:r>
        <w:rPr>
          <w:rFonts w:ascii="Arial" w:hAnsi="Arial" w:cs="Arial"/>
          <w:lang w:val="es-CO"/>
        </w:rPr>
        <w:t>ión y fecha de contabilización, Dirección Seccional de Aduanas o de Impuestos y Aduanas en cuya jurisdicción se presentó y efectuó el trámite de la importación, y el valor del IVA pagado solicitado como descontable y la fecha de su pago.</w:t>
      </w:r>
    </w:p>
    <w:p w14:paraId="0E064709" w14:textId="77777777" w:rsidR="00B2442D" w:rsidRDefault="00B2442D">
      <w:pPr>
        <w:ind w:left="284" w:hanging="284"/>
        <w:jc w:val="both"/>
        <w:rPr>
          <w:rFonts w:ascii="Arial" w:hAnsi="Arial" w:cs="Arial"/>
          <w:lang w:val="es-CO"/>
        </w:rPr>
      </w:pPr>
    </w:p>
    <w:p w14:paraId="21DFE04A"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En el caso de </w:t>
      </w:r>
      <w:r>
        <w:rPr>
          <w:rFonts w:ascii="Arial" w:hAnsi="Arial" w:cs="Arial"/>
          <w:lang w:val="es-CO"/>
        </w:rPr>
        <w:t>exportaciones, relación certificada por revisor fiscal o contador público, según el caso, que contenga la información del periodo solicitado y de los que componen los arrastres, indicando: número y fecha de la declaración de exportación (DEX), Dirección Se</w:t>
      </w:r>
      <w:r>
        <w:rPr>
          <w:rFonts w:ascii="Arial" w:hAnsi="Arial" w:cs="Arial"/>
          <w:lang w:val="es-CO"/>
        </w:rPr>
        <w:t>ccional de Aduanas o de Impuestos y Aduanas en que se presentó la declaración de exportación y Dirección Seccional correspondiente al lugar de embarque de la mercancía, así como la información de los Certificados al Proveedor asociados.</w:t>
      </w:r>
    </w:p>
    <w:p w14:paraId="24AC3D51" w14:textId="77777777" w:rsidR="00B2442D" w:rsidRDefault="00B2442D">
      <w:pPr>
        <w:ind w:left="284" w:hanging="284"/>
        <w:jc w:val="both"/>
        <w:rPr>
          <w:rFonts w:ascii="Arial" w:hAnsi="Arial" w:cs="Arial"/>
          <w:lang w:val="es-CO"/>
        </w:rPr>
      </w:pPr>
    </w:p>
    <w:p w14:paraId="7EB91C5F"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Relación certif</w:t>
      </w:r>
      <w:r>
        <w:rPr>
          <w:rFonts w:ascii="Arial" w:hAnsi="Arial" w:cs="Arial"/>
          <w:lang w:val="es-CO"/>
        </w:rPr>
        <w:t xml:space="preserve">icada por revisor fiscal o contador público, según el caso, que contenga la información del periodo solicitado y de los que componen los arrastres, indicando, los conocimientos de embarque, cartas de porte o guías aéreas en las cuales conste el número del </w:t>
      </w:r>
      <w:r>
        <w:rPr>
          <w:rFonts w:ascii="Arial" w:hAnsi="Arial" w:cs="Arial"/>
          <w:lang w:val="es-CO"/>
        </w:rPr>
        <w:t>documento, fecha, valor, cantidad de la mercancía exportada y nombre de la empresa transportadora.</w:t>
      </w:r>
    </w:p>
    <w:p w14:paraId="1E826173" w14:textId="77777777" w:rsidR="00B2442D" w:rsidRDefault="00B2442D">
      <w:pPr>
        <w:ind w:left="284" w:hanging="284"/>
        <w:jc w:val="both"/>
        <w:rPr>
          <w:rFonts w:ascii="Arial" w:hAnsi="Arial" w:cs="Arial"/>
          <w:lang w:val="es-CO"/>
        </w:rPr>
      </w:pPr>
    </w:p>
    <w:p w14:paraId="0AE132DA"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Cuando se trate de ventas en el país de bienes de exportación a Sociedades de Comercialización Internacional, relación certificada por revisor fiscal o c</w:t>
      </w:r>
      <w:r>
        <w:rPr>
          <w:rFonts w:ascii="Arial" w:hAnsi="Arial" w:cs="Arial"/>
          <w:lang w:val="es-CO"/>
        </w:rPr>
        <w:t>ontador público, según el caso, que contenga la información del periodo solicitado y de los que componen los arrastres, indicando número del certificado al proveedor, valor, cantidad, fecha, así como el nombre y NIT de la Comercializadora Internacional que</w:t>
      </w:r>
      <w:r>
        <w:rPr>
          <w:rFonts w:ascii="Arial" w:hAnsi="Arial" w:cs="Arial"/>
          <w:lang w:val="es-CO"/>
        </w:rPr>
        <w:t xml:space="preserve"> lo expidió.</w:t>
      </w:r>
    </w:p>
    <w:p w14:paraId="7C687FE7" w14:textId="77777777" w:rsidR="00B2442D" w:rsidRDefault="00B2442D">
      <w:pPr>
        <w:ind w:left="284" w:hanging="284"/>
        <w:jc w:val="both"/>
        <w:rPr>
          <w:rFonts w:ascii="Arial" w:hAnsi="Arial" w:cs="Arial"/>
          <w:lang w:val="es-CO"/>
        </w:rPr>
      </w:pPr>
    </w:p>
    <w:p w14:paraId="4FFFAF49" w14:textId="77777777" w:rsidR="00B2442D" w:rsidRDefault="008A645F">
      <w:pPr>
        <w:ind w:left="284" w:hanging="284"/>
        <w:jc w:val="both"/>
        <w:rPr>
          <w:rFonts w:ascii="Arial" w:hAnsi="Arial" w:cs="Arial"/>
          <w:lang w:val="es-CO"/>
        </w:rPr>
      </w:pPr>
      <w:r>
        <w:rPr>
          <w:rFonts w:ascii="Arial" w:hAnsi="Arial" w:cs="Arial"/>
          <w:lang w:val="es-CO"/>
        </w:rPr>
        <w:t xml:space="preserve">g) En el caso de los servicios intermedios de la producción que se presten a las Sociedades de Comercialización Internacional, relación certificada por revisor fiscal o contador público, según el caso, que contenga la información del periodo </w:t>
      </w:r>
      <w:r>
        <w:rPr>
          <w:rFonts w:ascii="Arial" w:hAnsi="Arial" w:cs="Arial"/>
          <w:lang w:val="es-CO"/>
        </w:rPr>
        <w:t>solicitado y de los que componen los arrastres, indicando: número del certificado al proveedor, valor, fecha, descripción del servicio prestado, bien resultante del mismo, así como nombre y NIT de la Comercializadora Internacional que lo expidió.</w:t>
      </w:r>
    </w:p>
    <w:p w14:paraId="1EF472CA" w14:textId="77777777" w:rsidR="00B2442D" w:rsidRDefault="00B2442D">
      <w:pPr>
        <w:ind w:left="284" w:hanging="284"/>
        <w:jc w:val="both"/>
        <w:rPr>
          <w:rFonts w:ascii="Arial" w:hAnsi="Arial" w:cs="Arial"/>
          <w:lang w:val="es-CO"/>
        </w:rPr>
      </w:pPr>
    </w:p>
    <w:p w14:paraId="22E47F1C" w14:textId="77777777" w:rsidR="00B2442D" w:rsidRDefault="008A645F">
      <w:pPr>
        <w:ind w:left="284" w:hanging="284"/>
        <w:jc w:val="both"/>
        <w:rPr>
          <w:rFonts w:ascii="Arial" w:hAnsi="Arial" w:cs="Arial"/>
          <w:lang w:val="es-CO"/>
        </w:rPr>
      </w:pPr>
      <w:r>
        <w:rPr>
          <w:rFonts w:ascii="Arial" w:hAnsi="Arial" w:cs="Arial"/>
          <w:lang w:val="es-CO"/>
        </w:rPr>
        <w:t xml:space="preserve">h) Para </w:t>
      </w:r>
      <w:r>
        <w:rPr>
          <w:rFonts w:ascii="Arial" w:hAnsi="Arial" w:cs="Arial"/>
          <w:lang w:val="es-CO"/>
        </w:rPr>
        <w:t>quienes presten los servicios contemplados en el literal c) y en el parágrafo del artículo 481 del Estatuto Tributario, se deberá allegar:</w:t>
      </w:r>
    </w:p>
    <w:p w14:paraId="32ED12D7" w14:textId="77777777" w:rsidR="00B2442D" w:rsidRDefault="00B2442D">
      <w:pPr>
        <w:jc w:val="both"/>
        <w:rPr>
          <w:rFonts w:ascii="Arial" w:hAnsi="Arial" w:cs="Arial"/>
          <w:lang w:val="es-CO"/>
        </w:rPr>
      </w:pPr>
    </w:p>
    <w:p w14:paraId="4BF88863" w14:textId="77777777" w:rsidR="00B2442D" w:rsidRDefault="008A645F">
      <w:pPr>
        <w:pStyle w:val="Prrafodelista"/>
        <w:numPr>
          <w:ilvl w:val="0"/>
          <w:numId w:val="9"/>
        </w:numPr>
        <w:ind w:left="284" w:hanging="284"/>
        <w:jc w:val="both"/>
        <w:rPr>
          <w:rFonts w:ascii="Arial" w:hAnsi="Arial" w:cs="Arial"/>
          <w:lang w:val="es-CO"/>
        </w:rPr>
      </w:pPr>
      <w:r>
        <w:rPr>
          <w:rFonts w:ascii="Arial" w:hAnsi="Arial" w:cs="Arial"/>
          <w:lang w:val="es-CO"/>
        </w:rPr>
        <w:t>Copia de uno de los siguientes documentos que acrediten las exportaciones de servicios:</w:t>
      </w:r>
    </w:p>
    <w:p w14:paraId="18952658" w14:textId="77777777" w:rsidR="00B2442D" w:rsidRDefault="00B2442D">
      <w:pPr>
        <w:jc w:val="both"/>
        <w:rPr>
          <w:rFonts w:ascii="Arial" w:hAnsi="Arial" w:cs="Arial"/>
          <w:lang w:val="es-CO"/>
        </w:rPr>
      </w:pPr>
    </w:p>
    <w:p w14:paraId="2CECB26C"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Oferta mercantil de serv</w:t>
      </w:r>
      <w:r>
        <w:rPr>
          <w:rFonts w:ascii="Arial" w:hAnsi="Arial" w:cs="Arial"/>
          <w:lang w:val="es-CO"/>
        </w:rPr>
        <w:t>icios o cotización y su correspondiente aceptación.</w:t>
      </w:r>
    </w:p>
    <w:p w14:paraId="0F859268" w14:textId="77777777" w:rsidR="00B2442D" w:rsidRDefault="00B2442D">
      <w:pPr>
        <w:ind w:left="284" w:hanging="284"/>
        <w:jc w:val="both"/>
        <w:rPr>
          <w:rFonts w:ascii="Arial" w:hAnsi="Arial" w:cs="Arial"/>
          <w:lang w:val="es-CO"/>
        </w:rPr>
      </w:pPr>
    </w:p>
    <w:p w14:paraId="124E69F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Contrato celebrado entre las partes.</w:t>
      </w:r>
    </w:p>
    <w:p w14:paraId="6543D576" w14:textId="77777777" w:rsidR="00B2442D" w:rsidRDefault="00B2442D">
      <w:pPr>
        <w:ind w:left="284" w:hanging="284"/>
        <w:jc w:val="both"/>
        <w:rPr>
          <w:rFonts w:ascii="Arial" w:hAnsi="Arial" w:cs="Arial"/>
          <w:lang w:val="es-CO"/>
        </w:rPr>
      </w:pPr>
    </w:p>
    <w:p w14:paraId="7660FA90"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Orden de compra/servicios o carta de intención y acuse de recibo del servicio.</w:t>
      </w:r>
    </w:p>
    <w:p w14:paraId="01795955" w14:textId="77777777" w:rsidR="00B2442D" w:rsidRDefault="00B2442D">
      <w:pPr>
        <w:jc w:val="both"/>
        <w:rPr>
          <w:rFonts w:ascii="Arial" w:hAnsi="Arial" w:cs="Arial"/>
          <w:lang w:val="es-CO"/>
        </w:rPr>
      </w:pPr>
    </w:p>
    <w:p w14:paraId="2764BE77" w14:textId="77777777" w:rsidR="00B2442D" w:rsidRDefault="008A645F">
      <w:pPr>
        <w:jc w:val="both"/>
        <w:rPr>
          <w:rFonts w:ascii="Arial" w:hAnsi="Arial" w:cs="Arial"/>
          <w:lang w:val="es-CO"/>
        </w:rPr>
      </w:pPr>
      <w:r>
        <w:rPr>
          <w:rFonts w:ascii="Arial" w:hAnsi="Arial" w:cs="Arial"/>
          <w:lang w:val="es-CO"/>
        </w:rPr>
        <w:t xml:space="preserve">Así mismo, relación certificada por revisor fiscal o contador público, </w:t>
      </w:r>
      <w:r>
        <w:rPr>
          <w:rFonts w:ascii="Arial" w:hAnsi="Arial" w:cs="Arial"/>
          <w:lang w:val="es-CO"/>
        </w:rPr>
        <w:t>según el caso, que contenga: tipo y fecha de los documentos que acrediten la exportación de servicios, país a donde se exportó el servicio, descripción del servicio prestado, valor, nombre o razón social del adquirente del servicio y su domicilio o residen</w:t>
      </w:r>
      <w:r>
        <w:rPr>
          <w:rFonts w:ascii="Arial" w:hAnsi="Arial" w:cs="Arial"/>
          <w:lang w:val="es-CO"/>
        </w:rPr>
        <w:t>cia en el exterior.</w:t>
      </w:r>
    </w:p>
    <w:p w14:paraId="5EEB91A1" w14:textId="77777777" w:rsidR="00B2442D" w:rsidRDefault="00B2442D">
      <w:pPr>
        <w:jc w:val="both"/>
        <w:rPr>
          <w:rFonts w:ascii="Arial" w:hAnsi="Arial" w:cs="Arial"/>
          <w:lang w:val="es-CO"/>
        </w:rPr>
      </w:pPr>
    </w:p>
    <w:p w14:paraId="0E3EADE3"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Relación certificada por revisor fiscal o contador público, según el caso, de las facturas o documentos equivalentes expedidos según la reglamentación del Estatuto Tributario, que contenga la siguiente información: Nombre o razón so</w:t>
      </w:r>
      <w:r>
        <w:rPr>
          <w:rFonts w:ascii="Arial" w:hAnsi="Arial" w:cs="Arial"/>
          <w:lang w:val="es-CO"/>
        </w:rPr>
        <w:t>cial, número de identificación y dirección a quien se le prestó el servicio, número, fecha y valor de la factura;</w:t>
      </w:r>
    </w:p>
    <w:p w14:paraId="15A197E9" w14:textId="77777777" w:rsidR="00B2442D" w:rsidRDefault="00B2442D">
      <w:pPr>
        <w:ind w:left="284" w:hanging="284"/>
        <w:jc w:val="both"/>
        <w:rPr>
          <w:rFonts w:ascii="Arial" w:hAnsi="Arial" w:cs="Arial"/>
          <w:lang w:val="es-CO"/>
        </w:rPr>
      </w:pPr>
    </w:p>
    <w:p w14:paraId="734D9331"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Certificación del prestador del servicio o su representante legal, si se trata de una persona jurídica, manifestando que el servicio fue p</w:t>
      </w:r>
      <w:r>
        <w:rPr>
          <w:rFonts w:ascii="Arial" w:hAnsi="Arial" w:cs="Arial"/>
          <w:lang w:val="es-CO"/>
        </w:rPr>
        <w:t>restado para ser utilizado o consumido exclusivamente en el exterior y que dicha circunstancia le fue advertida al importador del servicio, salvo que se trate de los servicios señalados en el parágrafo del artículo 481 del Estatuto Tributario, los cuales n</w:t>
      </w:r>
      <w:r>
        <w:rPr>
          <w:rFonts w:ascii="Arial" w:hAnsi="Arial" w:cs="Arial"/>
          <w:lang w:val="es-CO"/>
        </w:rPr>
        <w:t>o se encuentran sujetos al cumplimiento del presente requisito.</w:t>
      </w:r>
    </w:p>
    <w:p w14:paraId="0214BEEF" w14:textId="77777777" w:rsidR="00B2442D" w:rsidRDefault="00B2442D">
      <w:pPr>
        <w:jc w:val="both"/>
        <w:rPr>
          <w:rFonts w:ascii="Arial" w:hAnsi="Arial" w:cs="Arial"/>
          <w:lang w:val="es-CO"/>
        </w:rPr>
      </w:pPr>
    </w:p>
    <w:p w14:paraId="70ED7B50" w14:textId="77777777" w:rsidR="00B2442D" w:rsidRDefault="008A645F">
      <w:pPr>
        <w:ind w:left="284" w:hanging="284"/>
        <w:jc w:val="both"/>
        <w:rPr>
          <w:rFonts w:ascii="Arial" w:hAnsi="Arial" w:cs="Arial"/>
          <w:lang w:val="es-CO"/>
        </w:rPr>
      </w:pPr>
      <w:r>
        <w:rPr>
          <w:rFonts w:ascii="Arial" w:hAnsi="Arial" w:cs="Arial"/>
          <w:lang w:val="es-CO"/>
        </w:rPr>
        <w:t xml:space="preserve">i) </w:t>
      </w:r>
      <w:r>
        <w:rPr>
          <w:rFonts w:ascii="Arial" w:hAnsi="Arial" w:cs="Arial"/>
          <w:lang w:val="es-CO"/>
        </w:rPr>
        <w:tab/>
        <w:t>Cuando se trate de servicios turísticos de los que trata el literal d) del artículo 481 del Estatuto Tributario, prestados a residentes en el exterior que sean utilizados en territorio co</w:t>
      </w:r>
      <w:r>
        <w:rPr>
          <w:rFonts w:ascii="Arial" w:hAnsi="Arial" w:cs="Arial"/>
          <w:lang w:val="es-CO"/>
        </w:rPr>
        <w:t>lombiano, deberá anexar una relación certificada por revisor fiscal o contador público, según el caso, indicando: identificación, nombres y apellidos del usuario del servicio, tipo de documento que acredite el estatus migratorio, valor del paquete turístic</w:t>
      </w:r>
      <w:r>
        <w:rPr>
          <w:rFonts w:ascii="Arial" w:hAnsi="Arial" w:cs="Arial"/>
          <w:lang w:val="es-CO"/>
        </w:rPr>
        <w:t>o y descripción del servicio prestado.</w:t>
      </w:r>
    </w:p>
    <w:p w14:paraId="61A09783" w14:textId="77777777" w:rsidR="00B2442D" w:rsidRDefault="00B2442D">
      <w:pPr>
        <w:ind w:left="284" w:hanging="284"/>
        <w:jc w:val="both"/>
        <w:rPr>
          <w:rFonts w:ascii="Arial" w:hAnsi="Arial" w:cs="Arial"/>
          <w:lang w:val="es-CO"/>
        </w:rPr>
      </w:pPr>
    </w:p>
    <w:p w14:paraId="68E15946" w14:textId="77777777" w:rsidR="00B2442D" w:rsidRDefault="008A645F">
      <w:pPr>
        <w:ind w:left="284" w:hanging="284"/>
        <w:jc w:val="both"/>
        <w:rPr>
          <w:rFonts w:ascii="Arial" w:hAnsi="Arial" w:cs="Arial"/>
          <w:lang w:val="es-CO"/>
        </w:rPr>
      </w:pPr>
      <w:r>
        <w:rPr>
          <w:rFonts w:ascii="Arial" w:hAnsi="Arial" w:cs="Arial"/>
          <w:lang w:val="es-CO"/>
        </w:rPr>
        <w:t xml:space="preserve">j) </w:t>
      </w:r>
      <w:r>
        <w:rPr>
          <w:rFonts w:ascii="Arial" w:hAnsi="Arial" w:cs="Arial"/>
          <w:lang w:val="es-CO"/>
        </w:rPr>
        <w:tab/>
        <w:t>Cuando el proveedor de Sociedad de Comercialización Internacional ostente la calidad de agente de retención de IVA conforme con el numeral 7 del artículo 437-2 del Estatuto Tributario, deberá allegar la siguiente</w:t>
      </w:r>
      <w:r>
        <w:rPr>
          <w:rFonts w:ascii="Arial" w:hAnsi="Arial" w:cs="Arial"/>
          <w:lang w:val="es-CO"/>
        </w:rPr>
        <w:t xml:space="preserve"> relación que contenga la información del período solicitado y de los que componen los arrastres, certificada por revisor fiscal o contador público, según el caso, sobre la totalidad de los impuestos descontables informados en la declaración del impuesto s</w:t>
      </w:r>
      <w:r>
        <w:rPr>
          <w:rFonts w:ascii="Arial" w:hAnsi="Arial" w:cs="Arial"/>
          <w:lang w:val="es-CO"/>
        </w:rPr>
        <w:t>obre las ventas objeto de solicitud y de las declaraciones de los periodos cuyo plazo para la presentación y pago se encuentren vencidos a la fecha de presentación de la solicitud Nombre o razón social, NIT y dirección del proveedor.</w:t>
      </w:r>
    </w:p>
    <w:p w14:paraId="282AC6B8" w14:textId="77777777" w:rsidR="00B2442D" w:rsidRDefault="00B2442D">
      <w:pPr>
        <w:ind w:left="284" w:hanging="284"/>
        <w:jc w:val="both"/>
        <w:rPr>
          <w:rFonts w:ascii="Arial" w:hAnsi="Arial" w:cs="Arial"/>
          <w:lang w:val="es-CO"/>
        </w:rPr>
      </w:pPr>
    </w:p>
    <w:p w14:paraId="0C165717"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Número y fecha de l</w:t>
      </w:r>
      <w:r>
        <w:rPr>
          <w:rFonts w:ascii="Arial" w:hAnsi="Arial" w:cs="Arial"/>
          <w:lang w:val="es-CO"/>
        </w:rPr>
        <w:t>a factura o documento equivalente.</w:t>
      </w:r>
    </w:p>
    <w:p w14:paraId="5017C374"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Fecha de contabilización.</w:t>
      </w:r>
    </w:p>
    <w:p w14:paraId="3AB21886"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Base gravable.</w:t>
      </w:r>
    </w:p>
    <w:p w14:paraId="5D63AF49"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Tarifa IVA.</w:t>
      </w:r>
    </w:p>
    <w:p w14:paraId="54485ED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Valor Impuesto descontable.</w:t>
      </w:r>
    </w:p>
    <w:p w14:paraId="776BE181"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Valor de la factura.</w:t>
      </w:r>
    </w:p>
    <w:p w14:paraId="00B70BED"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Tarifa para efectuar la retención y valor retenido.</w:t>
      </w:r>
    </w:p>
    <w:p w14:paraId="09513288"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 xml:space="preserve">Forma de pago, cuando se hayan utilizado los </w:t>
      </w:r>
      <w:r>
        <w:rPr>
          <w:rFonts w:ascii="Arial" w:hAnsi="Arial" w:cs="Arial"/>
          <w:lang w:val="es-CO"/>
        </w:rPr>
        <w:t>sistemas de tarjeta débito o crédito indicando la entidad financiera, NIT y número de la tarjeta utilizada.</w:t>
      </w:r>
    </w:p>
    <w:p w14:paraId="0B0C3E10" w14:textId="77777777" w:rsidR="00B2442D" w:rsidRDefault="00B2442D">
      <w:pPr>
        <w:ind w:left="284" w:hanging="284"/>
        <w:jc w:val="both"/>
        <w:rPr>
          <w:rFonts w:ascii="Arial" w:hAnsi="Arial" w:cs="Arial"/>
          <w:lang w:val="es-CO"/>
        </w:rPr>
      </w:pPr>
    </w:p>
    <w:p w14:paraId="6FB5A2B2" w14:textId="77777777" w:rsidR="00B2442D" w:rsidRDefault="008A645F">
      <w:pPr>
        <w:ind w:left="284" w:hanging="284"/>
        <w:jc w:val="both"/>
        <w:rPr>
          <w:rFonts w:ascii="Arial" w:hAnsi="Arial" w:cs="Arial"/>
          <w:lang w:val="es-CO"/>
        </w:rPr>
      </w:pPr>
      <w:r>
        <w:rPr>
          <w:rFonts w:ascii="Arial" w:hAnsi="Arial" w:cs="Arial"/>
          <w:lang w:val="es-CO"/>
        </w:rPr>
        <w:t>k) Certificación del revisor fiscal o del contador público, según el caso, donde conste el procedimiento efectuado para determinar el valor suscept</w:t>
      </w:r>
      <w:r>
        <w:rPr>
          <w:rFonts w:ascii="Arial" w:hAnsi="Arial" w:cs="Arial"/>
          <w:lang w:val="es-CO"/>
        </w:rPr>
        <w:t>ible de devolución, del periodo y de los que componen los arrastres, de conformidad con lo establecido en el artículo 489 del Estatuto Tributario.</w:t>
      </w:r>
    </w:p>
    <w:p w14:paraId="262F75AC" w14:textId="77777777" w:rsidR="00B2442D" w:rsidRDefault="00B2442D">
      <w:pPr>
        <w:jc w:val="both"/>
        <w:rPr>
          <w:rFonts w:ascii="Arial" w:hAnsi="Arial" w:cs="Arial"/>
          <w:lang w:val="es-CO"/>
        </w:rPr>
      </w:pPr>
    </w:p>
    <w:p w14:paraId="05C2120B" w14:textId="77777777" w:rsidR="00B2442D" w:rsidRDefault="008A645F">
      <w:pPr>
        <w:ind w:left="284" w:hanging="284"/>
        <w:jc w:val="both"/>
        <w:rPr>
          <w:rFonts w:ascii="Arial" w:hAnsi="Arial" w:cs="Arial"/>
          <w:lang w:val="es-CO"/>
        </w:rPr>
      </w:pPr>
      <w:r>
        <w:rPr>
          <w:rFonts w:ascii="Arial" w:hAnsi="Arial" w:cs="Arial"/>
          <w:lang w:val="es-CO"/>
        </w:rPr>
        <w:t xml:space="preserve">l) Certificación del revisor fiscal o del contador público, según el caso, donde conste la proporcionalidad </w:t>
      </w:r>
      <w:r>
        <w:rPr>
          <w:rFonts w:ascii="Arial" w:hAnsi="Arial" w:cs="Arial"/>
          <w:lang w:val="es-CO"/>
        </w:rPr>
        <w:t>efectuada, del periodo y de los que componen los arrastres, conforme con lo señalado en el artículo 490 del Estatuto Tributario.</w:t>
      </w:r>
    </w:p>
    <w:p w14:paraId="013AD936" w14:textId="77777777" w:rsidR="00B2442D" w:rsidRDefault="00B2442D">
      <w:pPr>
        <w:ind w:hanging="426"/>
        <w:jc w:val="both"/>
        <w:rPr>
          <w:rFonts w:ascii="Arial" w:hAnsi="Arial" w:cs="Arial"/>
          <w:lang w:val="es-CO"/>
        </w:rPr>
      </w:pPr>
    </w:p>
    <w:p w14:paraId="49AB9C59" w14:textId="77777777" w:rsidR="00B2442D" w:rsidRDefault="008A645F">
      <w:pPr>
        <w:ind w:left="426" w:hanging="426"/>
        <w:jc w:val="both"/>
        <w:rPr>
          <w:rFonts w:ascii="Arial" w:hAnsi="Arial" w:cs="Arial"/>
          <w:lang w:val="es-CO"/>
        </w:rPr>
      </w:pPr>
      <w:r>
        <w:rPr>
          <w:rFonts w:ascii="Arial" w:hAnsi="Arial" w:cs="Arial"/>
          <w:lang w:val="es-CO"/>
        </w:rPr>
        <w:t>m) Cuando se trate de reaprovisionamiento de buques o aeronaves de conformidad con la Resolución número 422 de 2008, se deberá</w:t>
      </w:r>
      <w:r>
        <w:rPr>
          <w:rFonts w:ascii="Arial" w:hAnsi="Arial" w:cs="Arial"/>
          <w:lang w:val="es-CO"/>
        </w:rPr>
        <w:t xml:space="preserve"> adjuntar una relación donde conste el nombre de las empresas a quienes se les efectuó la venta y su número de identificación, el valor, la fecha y el número de factura, del periodo solicitado y de los que componen los arrastres, certificado por revisor fi</w:t>
      </w:r>
      <w:r>
        <w:rPr>
          <w:rFonts w:ascii="Arial" w:hAnsi="Arial" w:cs="Arial"/>
          <w:lang w:val="es-CO"/>
        </w:rPr>
        <w:t>scal o contador público según el caso.</w:t>
      </w:r>
    </w:p>
    <w:p w14:paraId="5799D0DB" w14:textId="77777777" w:rsidR="00B2442D" w:rsidRDefault="00B2442D">
      <w:pPr>
        <w:jc w:val="both"/>
        <w:rPr>
          <w:rFonts w:ascii="Arial" w:hAnsi="Arial" w:cs="Arial"/>
          <w:lang w:val="es-CO"/>
        </w:rPr>
      </w:pPr>
    </w:p>
    <w:p w14:paraId="42EE54A6"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solicitudes de devolución y/o compensación del impuesto sobre las ventas, originadas en la exportación de bienes por parte de Empresas Industriales y Comerciales del Estado, que sean el resultado de contratos de asociación celebrados por ellas, podrán</w:t>
      </w:r>
      <w:r>
        <w:rPr>
          <w:rFonts w:ascii="Arial" w:hAnsi="Arial" w:cs="Arial"/>
          <w:lang w:val="es-CO"/>
        </w:rPr>
        <w:t xml:space="preserve"> basarse en los soportes contables del operador o del asociado particular en el contrato de asociación.</w:t>
      </w:r>
    </w:p>
    <w:p w14:paraId="4C323E25" w14:textId="77777777" w:rsidR="00B2442D" w:rsidRDefault="00B2442D">
      <w:pPr>
        <w:jc w:val="both"/>
        <w:rPr>
          <w:rFonts w:ascii="Arial" w:hAnsi="Arial" w:cs="Arial"/>
          <w:lang w:val="es-CO"/>
        </w:rPr>
      </w:pPr>
    </w:p>
    <w:p w14:paraId="3E86E31D"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responsables del IVA que hayan sido objeto de retención, deben adjuntar una relación suscrita por el revisor fiscal o contador público</w:t>
      </w:r>
      <w:r>
        <w:rPr>
          <w:rFonts w:ascii="Arial" w:hAnsi="Arial" w:cs="Arial"/>
          <w:lang w:val="es-CO"/>
        </w:rPr>
        <w:t>, según el caso, en la cual conste el valor base de retención, las retenciones incluidas en la declaración objeto de la solicitud de devolución, el nombre o razón social, NIT y dirección de cada agente retenedor, el valor retenido por cada uno de estos, as</w:t>
      </w:r>
      <w:r>
        <w:rPr>
          <w:rFonts w:ascii="Arial" w:hAnsi="Arial" w:cs="Arial"/>
          <w:lang w:val="es-CO"/>
        </w:rPr>
        <w:t>í como la certificación del ajuste de la cuenta "Impuesto a las ventas retenido" a cero (0) y que las mismas fueron declaradas y consignadas.</w:t>
      </w:r>
    </w:p>
    <w:p w14:paraId="57C3A8EC" w14:textId="77777777" w:rsidR="00B2442D" w:rsidRDefault="00B2442D">
      <w:pPr>
        <w:jc w:val="both"/>
        <w:rPr>
          <w:rFonts w:ascii="Arial" w:hAnsi="Arial" w:cs="Arial"/>
          <w:lang w:val="es-CO"/>
        </w:rPr>
      </w:pPr>
    </w:p>
    <w:p w14:paraId="08345A54" w14:textId="77777777" w:rsidR="00B2442D" w:rsidRDefault="008A645F">
      <w:pPr>
        <w:jc w:val="both"/>
        <w:rPr>
          <w:rFonts w:ascii="Arial" w:hAnsi="Arial" w:cs="Arial"/>
          <w:lang w:val="es-CO"/>
        </w:rPr>
      </w:pPr>
      <w:r>
        <w:rPr>
          <w:rFonts w:ascii="Arial" w:hAnsi="Arial" w:cs="Arial"/>
          <w:lang w:val="es-CO"/>
        </w:rPr>
        <w:t xml:space="preserve">Para los efectos de tal ajuste, en la contabilidad se deberá hacer previamente un abono en la mencionada cuenta, </w:t>
      </w:r>
      <w:r>
        <w:rPr>
          <w:rFonts w:ascii="Arial" w:hAnsi="Arial" w:cs="Arial"/>
          <w:lang w:val="es-CO"/>
        </w:rPr>
        <w:t>por un valor igual al saldo débito que la misma arroje en el último día del periodo objeto de solicitud y cargar por igual valor la cuenta impuesto a las ventas por pagar".</w:t>
      </w:r>
    </w:p>
    <w:p w14:paraId="5B79EDE7" w14:textId="77777777" w:rsidR="00B2442D" w:rsidRDefault="00B2442D">
      <w:pPr>
        <w:jc w:val="both"/>
        <w:rPr>
          <w:rFonts w:ascii="Arial" w:hAnsi="Arial" w:cs="Arial"/>
          <w:lang w:val="es-CO"/>
        </w:rPr>
      </w:pPr>
    </w:p>
    <w:p w14:paraId="6FA8A942"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Cuando se trate de ventas al exterior realizadas por usuarios industr</w:t>
      </w:r>
      <w:r>
        <w:rPr>
          <w:rFonts w:ascii="Arial" w:hAnsi="Arial" w:cs="Arial"/>
          <w:lang w:val="es-CO"/>
        </w:rPr>
        <w:t>iales de zonas francas, además de lo señalado en los literales a), b) y e) del presente artículo, será necesario presentar relación de todos los certificados expedidos por el usuario operador indicando: nombre del usuario operador que lo expidió y NIT, fec</w:t>
      </w:r>
      <w:r>
        <w:rPr>
          <w:rFonts w:ascii="Arial" w:hAnsi="Arial" w:cs="Arial"/>
          <w:lang w:val="es-CO"/>
        </w:rPr>
        <w:t>ha de salida al exterior cantidad, descripción de la mercancía, valor; número de formulario de movimiento de mercancías y fecha del formulario, así como la identificación del adquirente de los bienes en el exterior y su domicilio.</w:t>
      </w:r>
    </w:p>
    <w:p w14:paraId="347229DC" w14:textId="77777777" w:rsidR="00B2442D" w:rsidRDefault="00B2442D">
      <w:pPr>
        <w:jc w:val="both"/>
        <w:rPr>
          <w:rFonts w:ascii="Arial" w:hAnsi="Arial" w:cs="Arial"/>
          <w:lang w:val="es-CO"/>
        </w:rPr>
      </w:pPr>
    </w:p>
    <w:p w14:paraId="1ABCB185"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La informac</w:t>
      </w:r>
      <w:r>
        <w:rPr>
          <w:rFonts w:ascii="Arial" w:hAnsi="Arial" w:cs="Arial"/>
          <w:lang w:val="es-CO"/>
        </w:rPr>
        <w:t>ión relacionada con los arrastres de saldos a favor de periodos anteriores, requerida en este artículo, hace referencia únicamente a la que no haya sido allegada por el contribuyente o responsable con solicitudes de devolución y/o compensación anteriores.</w:t>
      </w:r>
    </w:p>
    <w:p w14:paraId="53F2F190" w14:textId="77777777" w:rsidR="00B2442D" w:rsidRDefault="00B2442D">
      <w:pPr>
        <w:jc w:val="both"/>
        <w:rPr>
          <w:rFonts w:ascii="Arial" w:hAnsi="Arial" w:cs="Arial"/>
          <w:lang w:val="es-CO"/>
        </w:rPr>
      </w:pPr>
    </w:p>
    <w:p w14:paraId="2A2A0EA2" w14:textId="77777777" w:rsidR="00B2442D" w:rsidRDefault="008A645F">
      <w:pPr>
        <w:jc w:val="both"/>
        <w:rPr>
          <w:rFonts w:ascii="Arial" w:hAnsi="Arial" w:cs="Arial"/>
          <w:i/>
          <w:lang w:val="es-CO"/>
        </w:rPr>
      </w:pPr>
      <w:r>
        <w:rPr>
          <w:rFonts w:ascii="Arial" w:hAnsi="Arial" w:cs="Arial"/>
          <w:i/>
          <w:lang w:val="es-CO"/>
        </w:rPr>
        <w:t>(Art. 4, Decreto 2277 de 2012, modificado por el art. 3 del Decreto 2877 de 2013)</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 2003 y las norm</w:t>
      </w:r>
      <w:r>
        <w:rPr>
          <w:rFonts w:ascii="Arial" w:hAnsi="Arial" w:cs="Arial"/>
          <w:i/>
          <w:lang w:val="es-CO"/>
        </w:rPr>
        <w:t>as que le sean contrarías. Art. 27, Decreto 2277 de 2012)</w:t>
      </w:r>
    </w:p>
    <w:p w14:paraId="2A803737" w14:textId="77777777" w:rsidR="00B2442D" w:rsidRDefault="00B2442D">
      <w:pPr>
        <w:jc w:val="both"/>
        <w:rPr>
          <w:rFonts w:ascii="Arial" w:hAnsi="Arial" w:cs="Arial"/>
          <w:lang w:val="es-CO"/>
        </w:rPr>
      </w:pPr>
    </w:p>
    <w:p w14:paraId="13D31512"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Requisitos especiales para los productores de leche, carne y huevos; y comercializadores de animales vivos de la especie bovina, excepto los de lidia de la partida arancelaria 01.02 que realicen op</w:t>
      </w:r>
      <w:r>
        <w:rPr>
          <w:rFonts w:ascii="Arial" w:hAnsi="Arial" w:cs="Arial"/>
          <w:b/>
          <w:i/>
          <w:lang w:val="es-CO"/>
        </w:rPr>
        <w:t>eraciones exentas.</w:t>
      </w:r>
      <w:r>
        <w:rPr>
          <w:rFonts w:ascii="Arial" w:hAnsi="Arial" w:cs="Arial"/>
          <w:lang w:val="es-CO"/>
        </w:rPr>
        <w:t xml:space="preserve"> Conforme con lo dispuesto en los parágrafos de los artículos 815 y 850 del Estatuto Tributario, los productores señalados en el artículo 440 del Estatuto Tributario, podrán solicitar devolución y/o compensación de saldos a favor originad</w:t>
      </w:r>
      <w:r>
        <w:rPr>
          <w:rFonts w:ascii="Arial" w:hAnsi="Arial" w:cs="Arial"/>
          <w:lang w:val="es-CO"/>
        </w:rPr>
        <w:t>os en las declaraciones del impuesto sobre las ventas, respecto de los bienes exentos relacionados en el artículo 477 del mismo Estatuto, cumpliendo además de los requisitos generales, los siguientes:</w:t>
      </w:r>
    </w:p>
    <w:p w14:paraId="23DC1015" w14:textId="77777777" w:rsidR="00B2442D" w:rsidRDefault="00B2442D">
      <w:pPr>
        <w:jc w:val="both"/>
        <w:rPr>
          <w:rFonts w:ascii="Arial" w:hAnsi="Arial" w:cs="Arial"/>
          <w:lang w:val="es-CO"/>
        </w:rPr>
      </w:pPr>
    </w:p>
    <w:p w14:paraId="4C61C67A" w14:textId="77777777" w:rsidR="00B2442D" w:rsidRDefault="008A645F">
      <w:pPr>
        <w:jc w:val="both"/>
        <w:rPr>
          <w:rFonts w:ascii="Arial" w:hAnsi="Arial" w:cs="Arial"/>
          <w:b/>
          <w:lang w:val="es-CO"/>
        </w:rPr>
      </w:pPr>
      <w:r>
        <w:rPr>
          <w:rFonts w:ascii="Arial" w:hAnsi="Arial" w:cs="Arial"/>
          <w:b/>
          <w:lang w:val="es-CO"/>
        </w:rPr>
        <w:t>Productores de carnes.</w:t>
      </w:r>
    </w:p>
    <w:p w14:paraId="5E080FC8" w14:textId="77777777" w:rsidR="00B2442D" w:rsidRDefault="00B2442D">
      <w:pPr>
        <w:jc w:val="both"/>
        <w:rPr>
          <w:rFonts w:ascii="Arial" w:hAnsi="Arial" w:cs="Arial"/>
          <w:lang w:val="es-CO"/>
        </w:rPr>
      </w:pPr>
    </w:p>
    <w:p w14:paraId="76526736" w14:textId="77777777" w:rsidR="00B2442D" w:rsidRDefault="008A645F">
      <w:pPr>
        <w:ind w:left="284" w:hanging="284"/>
        <w:jc w:val="both"/>
        <w:rPr>
          <w:rFonts w:ascii="Arial" w:hAnsi="Arial" w:cs="Arial"/>
          <w:lang w:val="es-CO"/>
        </w:rPr>
      </w:pPr>
      <w:r>
        <w:rPr>
          <w:rFonts w:ascii="Arial" w:hAnsi="Arial" w:cs="Arial"/>
          <w:lang w:val="es-CO"/>
        </w:rPr>
        <w:t xml:space="preserve">1. Para efectos de establecer </w:t>
      </w:r>
      <w:r>
        <w:rPr>
          <w:rFonts w:ascii="Arial" w:hAnsi="Arial" w:cs="Arial"/>
          <w:lang w:val="es-CO"/>
        </w:rPr>
        <w:t>el número de animales efectivamente sacrificados se deberá allegar:</w:t>
      </w:r>
    </w:p>
    <w:p w14:paraId="524E709C" w14:textId="77777777" w:rsidR="00B2442D" w:rsidRDefault="00B2442D">
      <w:pPr>
        <w:jc w:val="both"/>
        <w:rPr>
          <w:rFonts w:ascii="Arial" w:hAnsi="Arial" w:cs="Arial"/>
          <w:lang w:val="es-CO"/>
        </w:rPr>
      </w:pPr>
    </w:p>
    <w:p w14:paraId="26430364" w14:textId="77777777" w:rsidR="00B2442D" w:rsidRDefault="008A645F">
      <w:pPr>
        <w:jc w:val="both"/>
        <w:rPr>
          <w:rFonts w:ascii="Arial" w:hAnsi="Arial" w:cs="Arial"/>
          <w:lang w:val="es-CO"/>
        </w:rPr>
      </w:pPr>
      <w:r>
        <w:rPr>
          <w:rFonts w:ascii="Arial" w:hAnsi="Arial" w:cs="Arial"/>
          <w:lang w:val="es-CO"/>
        </w:rPr>
        <w:t>a)</w:t>
      </w:r>
      <w:r>
        <w:rPr>
          <w:rFonts w:ascii="Arial" w:hAnsi="Arial" w:cs="Arial"/>
          <w:lang w:val="es-CO"/>
        </w:rPr>
        <w:tab/>
        <w:t>Para las carnes de bovinos, porcinos, caprinos y ovinos, relación de los documentos o facturas de sacrificio que contenga: número de la factura, fecha de expedición, número de animales</w:t>
      </w:r>
      <w:r>
        <w:rPr>
          <w:rFonts w:ascii="Arial" w:hAnsi="Arial" w:cs="Arial"/>
          <w:lang w:val="es-CO"/>
        </w:rPr>
        <w:t xml:space="preserve"> sacrificados, valor liquidado por el impuesto de degüello y valor efectivamente pagado por el impuesto de degüello.</w:t>
      </w:r>
    </w:p>
    <w:p w14:paraId="73E5CA53" w14:textId="77777777" w:rsidR="00B2442D" w:rsidRDefault="00B2442D">
      <w:pPr>
        <w:jc w:val="both"/>
        <w:rPr>
          <w:rFonts w:ascii="Arial" w:hAnsi="Arial" w:cs="Arial"/>
          <w:lang w:val="es-CO"/>
        </w:rPr>
      </w:pPr>
    </w:p>
    <w:p w14:paraId="518FB86E" w14:textId="77777777" w:rsidR="00B2442D" w:rsidRDefault="008A645F">
      <w:pPr>
        <w:jc w:val="both"/>
        <w:rPr>
          <w:rFonts w:ascii="Arial" w:hAnsi="Arial" w:cs="Arial"/>
          <w:lang w:val="es-CO"/>
        </w:rPr>
      </w:pPr>
      <w:r>
        <w:rPr>
          <w:rFonts w:ascii="Arial" w:hAnsi="Arial" w:cs="Arial"/>
          <w:lang w:val="es-CO"/>
        </w:rPr>
        <w:t>b)</w:t>
      </w:r>
      <w:r>
        <w:rPr>
          <w:rFonts w:ascii="Arial" w:hAnsi="Arial" w:cs="Arial"/>
          <w:lang w:val="es-CO"/>
        </w:rPr>
        <w:tab/>
        <w:t>Para las carnes de pollos y gallinas, relación del número de cuotas de fomento avícola pagadas al Fondo Nacional Avícola - Fonav respec</w:t>
      </w:r>
      <w:r>
        <w:rPr>
          <w:rFonts w:ascii="Arial" w:hAnsi="Arial" w:cs="Arial"/>
          <w:lang w:val="es-CO"/>
        </w:rPr>
        <w:t>to de las aves sacrificadas en el periodo objeto de devolución.</w:t>
      </w:r>
    </w:p>
    <w:p w14:paraId="11A32B8E" w14:textId="77777777" w:rsidR="00B2442D" w:rsidRDefault="00B2442D">
      <w:pPr>
        <w:jc w:val="both"/>
        <w:rPr>
          <w:rFonts w:ascii="Arial" w:hAnsi="Arial" w:cs="Arial"/>
          <w:lang w:val="es-CO"/>
        </w:rPr>
      </w:pPr>
    </w:p>
    <w:p w14:paraId="3BCAA706" w14:textId="77777777" w:rsidR="00B2442D" w:rsidRDefault="008A645F">
      <w:pPr>
        <w:jc w:val="both"/>
        <w:rPr>
          <w:rFonts w:ascii="Arial" w:hAnsi="Arial" w:cs="Arial"/>
          <w:lang w:val="es-CO"/>
        </w:rPr>
      </w:pPr>
      <w:r>
        <w:rPr>
          <w:rFonts w:ascii="Arial" w:hAnsi="Arial" w:cs="Arial"/>
          <w:lang w:val="es-CO"/>
        </w:rPr>
        <w:t>En el caso de producción y autoconsumo de pollitos se deberá informar el número de cuota de fomento avícola pagadas en el momento del encasetamiento del pollito, respecto de las aves sacrific</w:t>
      </w:r>
      <w:r>
        <w:rPr>
          <w:rFonts w:ascii="Arial" w:hAnsi="Arial" w:cs="Arial"/>
          <w:lang w:val="es-CO"/>
        </w:rPr>
        <w:t>adas en el periodo objeto de devolución y/o compensación y se deberá conservar, para cuando la Unidad Administrativa Especial Dirección de Impuestos y Aduanas Nacionales- DIAN lo requiera, certificación de revisor fiscal donde conste el pago de la menciona</w:t>
      </w:r>
      <w:r>
        <w:rPr>
          <w:rFonts w:ascii="Arial" w:hAnsi="Arial" w:cs="Arial"/>
          <w:lang w:val="es-CO"/>
        </w:rPr>
        <w:t>da cuota.</w:t>
      </w:r>
    </w:p>
    <w:p w14:paraId="6876731C" w14:textId="77777777" w:rsidR="00B2442D" w:rsidRDefault="00B2442D">
      <w:pPr>
        <w:jc w:val="both"/>
        <w:rPr>
          <w:rFonts w:ascii="Arial" w:hAnsi="Arial" w:cs="Arial"/>
          <w:lang w:val="es-CO"/>
        </w:rPr>
      </w:pPr>
    </w:p>
    <w:p w14:paraId="232AE286" w14:textId="77777777" w:rsidR="00B2442D" w:rsidRDefault="008A645F">
      <w:pPr>
        <w:jc w:val="both"/>
        <w:rPr>
          <w:rFonts w:ascii="Arial" w:hAnsi="Arial" w:cs="Arial"/>
          <w:lang w:val="es-CO"/>
        </w:rPr>
      </w:pPr>
      <w:r>
        <w:rPr>
          <w:rFonts w:ascii="Arial" w:hAnsi="Arial" w:cs="Arial"/>
          <w:lang w:val="es-CO"/>
        </w:rPr>
        <w:t>Cuando el pollito se compra a terceros diferentes de los productores de genética, se deberá informar el número de cuotas de fomento avícola pagadas, respecto de las aves sacrificadas en el periodo objeto de devolución.</w:t>
      </w:r>
    </w:p>
    <w:p w14:paraId="3F40F0FE" w14:textId="77777777" w:rsidR="00B2442D" w:rsidRDefault="00B2442D">
      <w:pPr>
        <w:jc w:val="both"/>
        <w:rPr>
          <w:rFonts w:ascii="Arial" w:hAnsi="Arial" w:cs="Arial"/>
          <w:lang w:val="es-CO"/>
        </w:rPr>
      </w:pPr>
    </w:p>
    <w:p w14:paraId="396A1099" w14:textId="77777777" w:rsidR="00B2442D" w:rsidRDefault="008A645F">
      <w:pPr>
        <w:jc w:val="both"/>
        <w:rPr>
          <w:rFonts w:ascii="Arial" w:hAnsi="Arial" w:cs="Arial"/>
          <w:lang w:val="es-CO"/>
        </w:rPr>
      </w:pPr>
      <w:r>
        <w:rPr>
          <w:rFonts w:ascii="Arial" w:hAnsi="Arial" w:cs="Arial"/>
          <w:lang w:val="es-CO"/>
        </w:rPr>
        <w:t xml:space="preserve">Para estos </w:t>
      </w:r>
      <w:r>
        <w:rPr>
          <w:rFonts w:ascii="Arial" w:hAnsi="Arial" w:cs="Arial"/>
          <w:lang w:val="es-CO"/>
        </w:rPr>
        <w:t>efectos, el comercializador deberá certificar al productor en el momento de la venta de las aves el pago de dicha cuota, conservando este documento y los soportes para cuando la Unidad Administrativa Especial Dirección de Impuestos y Aduanas Nacionales- DI</w:t>
      </w:r>
      <w:r>
        <w:rPr>
          <w:rFonts w:ascii="Arial" w:hAnsi="Arial" w:cs="Arial"/>
          <w:lang w:val="es-CO"/>
        </w:rPr>
        <w:t>AN lo requiera.</w:t>
      </w:r>
    </w:p>
    <w:p w14:paraId="350B8CA2" w14:textId="77777777" w:rsidR="00B2442D" w:rsidRDefault="00B2442D">
      <w:pPr>
        <w:jc w:val="both"/>
        <w:rPr>
          <w:rFonts w:ascii="Arial" w:hAnsi="Arial" w:cs="Arial"/>
          <w:lang w:val="es-CO"/>
        </w:rPr>
      </w:pPr>
    </w:p>
    <w:p w14:paraId="171EEE88" w14:textId="77777777" w:rsidR="00B2442D" w:rsidRDefault="008A645F">
      <w:pPr>
        <w:ind w:left="284" w:hanging="284"/>
        <w:jc w:val="both"/>
        <w:rPr>
          <w:rFonts w:ascii="Arial" w:hAnsi="Arial" w:cs="Arial"/>
          <w:lang w:val="es-CO"/>
        </w:rPr>
      </w:pPr>
      <w:r>
        <w:rPr>
          <w:rFonts w:ascii="Arial" w:hAnsi="Arial" w:cs="Arial"/>
          <w:lang w:val="es-CO"/>
        </w:rPr>
        <w:t>2. Certificación expedida por contador público o revisor fiscal, según el caso, en la cual se indique lo siguiente:</w:t>
      </w:r>
    </w:p>
    <w:p w14:paraId="18B19C6B" w14:textId="77777777" w:rsidR="00B2442D" w:rsidRDefault="00B2442D">
      <w:pPr>
        <w:jc w:val="both"/>
        <w:rPr>
          <w:rFonts w:ascii="Arial" w:hAnsi="Arial" w:cs="Arial"/>
          <w:lang w:val="es-CO"/>
        </w:rPr>
      </w:pPr>
    </w:p>
    <w:p w14:paraId="70CA7382"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Número de animales sacrificados y su valor comercial en plaza unitario y total en la fecha de sacrificio.</w:t>
      </w:r>
    </w:p>
    <w:p w14:paraId="21BE3CBD" w14:textId="77777777" w:rsidR="00B2442D" w:rsidRDefault="00B2442D">
      <w:pPr>
        <w:ind w:left="284" w:hanging="284"/>
        <w:jc w:val="both"/>
        <w:rPr>
          <w:rFonts w:ascii="Arial" w:hAnsi="Arial" w:cs="Arial"/>
          <w:lang w:val="es-CO"/>
        </w:rPr>
      </w:pPr>
    </w:p>
    <w:p w14:paraId="1A2CD18A"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Relación </w:t>
      </w:r>
      <w:r>
        <w:rPr>
          <w:rFonts w:ascii="Arial" w:hAnsi="Arial" w:cs="Arial"/>
          <w:lang w:val="es-CO"/>
        </w:rPr>
        <w:t>de las facturas o documento equivalente de compra de bienes y/o de servicios gravados utilizados por el productor según el artículo 440 del Estatuto Tributario, indicando: nombre o razón social, NIT y dirección del proveedor, número y fecha de la expedició</w:t>
      </w:r>
      <w:r>
        <w:rPr>
          <w:rFonts w:ascii="Arial" w:hAnsi="Arial" w:cs="Arial"/>
          <w:lang w:val="es-CO"/>
        </w:rPr>
        <w:t>n de la factura y de la contabilización, base gravable y tarifa del IVA a la que estuvo sujeta la operación.</w:t>
      </w:r>
    </w:p>
    <w:p w14:paraId="446F5B6C" w14:textId="77777777" w:rsidR="00B2442D" w:rsidRDefault="00B2442D">
      <w:pPr>
        <w:ind w:left="284" w:hanging="284"/>
        <w:jc w:val="both"/>
        <w:rPr>
          <w:rFonts w:ascii="Arial" w:hAnsi="Arial" w:cs="Arial"/>
          <w:lang w:val="es-CO"/>
        </w:rPr>
      </w:pPr>
    </w:p>
    <w:p w14:paraId="7F13123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Relación discriminada de ingresos por ventas exentas, excluidas y gravadas según tarifas, realizadas por el responsable.</w:t>
      </w:r>
    </w:p>
    <w:p w14:paraId="19AF2CAA" w14:textId="77777777" w:rsidR="00B2442D" w:rsidRDefault="00B2442D">
      <w:pPr>
        <w:ind w:left="284" w:hanging="284"/>
        <w:jc w:val="both"/>
        <w:rPr>
          <w:rFonts w:ascii="Arial" w:hAnsi="Arial" w:cs="Arial"/>
          <w:lang w:val="es-CO"/>
        </w:rPr>
      </w:pPr>
    </w:p>
    <w:p w14:paraId="70513751"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Relación discrimin</w:t>
      </w:r>
      <w:r>
        <w:rPr>
          <w:rFonts w:ascii="Arial" w:hAnsi="Arial" w:cs="Arial"/>
          <w:lang w:val="es-CO"/>
        </w:rPr>
        <w:t>ada de proveedores por compras con personas pertenecientes al régimen simplificado y cuyo impuesto a las ventas fue declarado como descontable por generarse sobre bienes o servicios gravados que constituyen costo o gasto en el impuesto a la renta, indicand</w:t>
      </w:r>
      <w:r>
        <w:rPr>
          <w:rFonts w:ascii="Arial" w:hAnsi="Arial" w:cs="Arial"/>
          <w:lang w:val="es-CO"/>
        </w:rPr>
        <w:t>o: NIT del proveedor, nombre o razón social, dirección, departamento, ciudad o municipio, valor del impuesto descontable.</w:t>
      </w:r>
    </w:p>
    <w:p w14:paraId="76C41C27" w14:textId="77777777" w:rsidR="00B2442D" w:rsidRDefault="00B2442D">
      <w:pPr>
        <w:ind w:left="284" w:hanging="284"/>
        <w:jc w:val="both"/>
        <w:rPr>
          <w:rFonts w:ascii="Arial" w:hAnsi="Arial" w:cs="Arial"/>
          <w:lang w:val="es-CO"/>
        </w:rPr>
      </w:pPr>
    </w:p>
    <w:p w14:paraId="5C78FC94"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Indicar el municipio, departamento y dirección del lugar donde realizó la actividad.</w:t>
      </w:r>
    </w:p>
    <w:p w14:paraId="287E8FB6" w14:textId="77777777" w:rsidR="00B2442D" w:rsidRDefault="00B2442D">
      <w:pPr>
        <w:jc w:val="both"/>
        <w:rPr>
          <w:rFonts w:ascii="Arial" w:hAnsi="Arial" w:cs="Arial"/>
          <w:lang w:val="es-CO"/>
        </w:rPr>
      </w:pPr>
    </w:p>
    <w:p w14:paraId="1A5BF9B5" w14:textId="77777777" w:rsidR="00B2442D" w:rsidRDefault="008A645F">
      <w:pPr>
        <w:ind w:left="284" w:hanging="284"/>
        <w:jc w:val="both"/>
        <w:rPr>
          <w:rFonts w:ascii="Arial" w:hAnsi="Arial" w:cs="Arial"/>
          <w:lang w:val="es-CO"/>
        </w:rPr>
      </w:pPr>
      <w:r>
        <w:rPr>
          <w:rFonts w:ascii="Arial" w:hAnsi="Arial" w:cs="Arial"/>
          <w:lang w:val="es-CO"/>
        </w:rPr>
        <w:t>3. Certificación expedida por la persona nat</w:t>
      </w:r>
      <w:r>
        <w:rPr>
          <w:rFonts w:ascii="Arial" w:hAnsi="Arial" w:cs="Arial"/>
          <w:lang w:val="es-CO"/>
        </w:rPr>
        <w:t>ural o jurídica y/o entidad pública o privada que le prestó el servicio de sacrificio de animales al solicitante de devolución y/o compensación, la cual deberá contener lo siguiente:</w:t>
      </w:r>
    </w:p>
    <w:p w14:paraId="55875E42" w14:textId="77777777" w:rsidR="00B2442D" w:rsidRDefault="00B2442D">
      <w:pPr>
        <w:jc w:val="both"/>
        <w:rPr>
          <w:rFonts w:ascii="Arial" w:hAnsi="Arial" w:cs="Arial"/>
          <w:lang w:val="es-CO"/>
        </w:rPr>
      </w:pPr>
    </w:p>
    <w:p w14:paraId="4537EB15"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Nombres y apellidos o razón social y NIT de quien expide la </w:t>
      </w:r>
      <w:r>
        <w:rPr>
          <w:rFonts w:ascii="Arial" w:hAnsi="Arial" w:cs="Arial"/>
          <w:lang w:val="es-CO"/>
        </w:rPr>
        <w:t>certificación.</w:t>
      </w:r>
    </w:p>
    <w:p w14:paraId="0D426E0E" w14:textId="77777777" w:rsidR="00B2442D" w:rsidRDefault="00B2442D">
      <w:pPr>
        <w:ind w:left="284" w:hanging="284"/>
        <w:jc w:val="both"/>
        <w:rPr>
          <w:rFonts w:ascii="Arial" w:hAnsi="Arial" w:cs="Arial"/>
          <w:lang w:val="es-CO"/>
        </w:rPr>
      </w:pPr>
    </w:p>
    <w:p w14:paraId="4884D85E"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Nombres y apellidos o razón social y NIT de la persona a quien se le prestó el servicio.</w:t>
      </w:r>
    </w:p>
    <w:p w14:paraId="2B6D5A5A" w14:textId="77777777" w:rsidR="00B2442D" w:rsidRDefault="00B2442D">
      <w:pPr>
        <w:ind w:left="284" w:hanging="284"/>
        <w:jc w:val="both"/>
        <w:rPr>
          <w:rFonts w:ascii="Arial" w:hAnsi="Arial" w:cs="Arial"/>
          <w:lang w:val="es-CO"/>
        </w:rPr>
      </w:pPr>
    </w:p>
    <w:p w14:paraId="1D2FFE1F"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Tipo y número de animales sacrificados y fechas de sacrificio.</w:t>
      </w:r>
    </w:p>
    <w:p w14:paraId="5534B36B" w14:textId="77777777" w:rsidR="00B2442D" w:rsidRDefault="00B2442D">
      <w:pPr>
        <w:jc w:val="both"/>
        <w:rPr>
          <w:rFonts w:ascii="Arial" w:hAnsi="Arial" w:cs="Arial"/>
          <w:lang w:val="es-CO"/>
        </w:rPr>
      </w:pPr>
    </w:p>
    <w:p w14:paraId="61D3E6A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la persona natural o jurídica que solicite la devolución y/o c</w:t>
      </w:r>
      <w:r>
        <w:rPr>
          <w:rFonts w:ascii="Arial" w:hAnsi="Arial" w:cs="Arial"/>
          <w:lang w:val="es-CO"/>
        </w:rPr>
        <w:t>ompensación del impuesto sobre las ventas de los bienes de que trata el artículo 477 del Estatuto Tributario, sacrifique directamente sus animales, igualmente deberá cumplir con el requisito a que se refiere el literal c) de este numeral.</w:t>
      </w:r>
    </w:p>
    <w:p w14:paraId="1943E218" w14:textId="77777777" w:rsidR="00B2442D" w:rsidRDefault="00B2442D">
      <w:pPr>
        <w:jc w:val="both"/>
        <w:rPr>
          <w:rFonts w:ascii="Arial" w:hAnsi="Arial" w:cs="Arial"/>
          <w:lang w:val="es-CO"/>
        </w:rPr>
      </w:pPr>
    </w:p>
    <w:p w14:paraId="5C457541" w14:textId="77777777" w:rsidR="00B2442D" w:rsidRDefault="008A645F">
      <w:pPr>
        <w:jc w:val="both"/>
        <w:rPr>
          <w:rFonts w:ascii="Arial" w:hAnsi="Arial" w:cs="Arial"/>
          <w:b/>
          <w:lang w:val="es-CO"/>
        </w:rPr>
      </w:pPr>
      <w:r>
        <w:rPr>
          <w:rFonts w:ascii="Arial" w:hAnsi="Arial" w:cs="Arial"/>
          <w:b/>
          <w:lang w:val="es-CO"/>
        </w:rPr>
        <w:t>Productores de l</w:t>
      </w:r>
      <w:r>
        <w:rPr>
          <w:rFonts w:ascii="Arial" w:hAnsi="Arial" w:cs="Arial"/>
          <w:b/>
          <w:lang w:val="es-CO"/>
        </w:rPr>
        <w:t>eche y de huevos.</w:t>
      </w:r>
    </w:p>
    <w:p w14:paraId="6FB023D7" w14:textId="77777777" w:rsidR="00B2442D" w:rsidRDefault="00B2442D">
      <w:pPr>
        <w:jc w:val="both"/>
        <w:rPr>
          <w:rFonts w:ascii="Arial" w:hAnsi="Arial" w:cs="Arial"/>
          <w:lang w:val="es-CO"/>
        </w:rPr>
      </w:pPr>
    </w:p>
    <w:p w14:paraId="535BD827" w14:textId="77777777" w:rsidR="00B2442D" w:rsidRDefault="008A645F">
      <w:pPr>
        <w:jc w:val="both"/>
        <w:rPr>
          <w:rFonts w:ascii="Arial" w:hAnsi="Arial" w:cs="Arial"/>
          <w:lang w:val="es-CO"/>
        </w:rPr>
      </w:pPr>
      <w:r>
        <w:rPr>
          <w:rFonts w:ascii="Arial" w:hAnsi="Arial" w:cs="Arial"/>
          <w:lang w:val="es-CO"/>
        </w:rPr>
        <w:t>Certificación expedida por contador público o revisor fiscal, según el caso, en la cual se indique lo siguiente:</w:t>
      </w:r>
    </w:p>
    <w:p w14:paraId="0580437D" w14:textId="77777777" w:rsidR="00B2442D" w:rsidRDefault="00B2442D">
      <w:pPr>
        <w:jc w:val="both"/>
        <w:rPr>
          <w:rFonts w:ascii="Arial" w:hAnsi="Arial" w:cs="Arial"/>
          <w:lang w:val="es-CO"/>
        </w:rPr>
      </w:pPr>
    </w:p>
    <w:p w14:paraId="24A9B46E"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 xml:space="preserve">La calidad de ganadero, productor o avicultor del solicitante, de conformidad con lo previsto en el artículo 440 del </w:t>
      </w:r>
      <w:r>
        <w:rPr>
          <w:rFonts w:ascii="Arial" w:hAnsi="Arial" w:cs="Arial"/>
          <w:lang w:val="es-CO"/>
        </w:rPr>
        <w:t>Estatuto Tributario.</w:t>
      </w:r>
    </w:p>
    <w:p w14:paraId="1D7BA546" w14:textId="77777777" w:rsidR="00B2442D" w:rsidRDefault="00B2442D">
      <w:pPr>
        <w:ind w:left="284" w:hanging="284"/>
        <w:jc w:val="both"/>
        <w:rPr>
          <w:rFonts w:ascii="Arial" w:hAnsi="Arial" w:cs="Arial"/>
          <w:lang w:val="es-CO"/>
        </w:rPr>
      </w:pPr>
    </w:p>
    <w:p w14:paraId="2B802295"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Relación discriminada de los ingresos por las ventas exentas, excluidas y gravadas según tarifas, realizadas por el responsable.</w:t>
      </w:r>
    </w:p>
    <w:p w14:paraId="6DBB71C9" w14:textId="77777777" w:rsidR="00B2442D" w:rsidRDefault="00B2442D">
      <w:pPr>
        <w:ind w:left="284" w:hanging="284"/>
        <w:jc w:val="both"/>
        <w:rPr>
          <w:rFonts w:ascii="Arial" w:hAnsi="Arial" w:cs="Arial"/>
          <w:lang w:val="es-CO"/>
        </w:rPr>
      </w:pPr>
    </w:p>
    <w:p w14:paraId="4B092D0C"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Relación de las facturas o documento equivalente de compra de bienes y/o de servicios gravados uti</w:t>
      </w:r>
      <w:r>
        <w:rPr>
          <w:rFonts w:ascii="Arial" w:hAnsi="Arial" w:cs="Arial"/>
          <w:lang w:val="es-CO"/>
        </w:rPr>
        <w:t>lizados por el productor según el artículo 440 del Estatuto Tributario, indicando: nombre o razón social, NIT y dirección del proveedor, número y fecha de la expedición de la factura, base gravable, tarifa del IVA a la que estuvo sujeta la operación y fech</w:t>
      </w:r>
      <w:r>
        <w:rPr>
          <w:rFonts w:ascii="Arial" w:hAnsi="Arial" w:cs="Arial"/>
          <w:lang w:val="es-CO"/>
        </w:rPr>
        <w:t>a de su contabilización.</w:t>
      </w:r>
    </w:p>
    <w:p w14:paraId="3A11F71B" w14:textId="77777777" w:rsidR="00B2442D" w:rsidRDefault="00B2442D">
      <w:pPr>
        <w:ind w:left="284" w:hanging="284"/>
        <w:jc w:val="both"/>
        <w:rPr>
          <w:rFonts w:ascii="Arial" w:hAnsi="Arial" w:cs="Arial"/>
          <w:lang w:val="es-CO"/>
        </w:rPr>
      </w:pPr>
    </w:p>
    <w:p w14:paraId="5E41A72A"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Relación discriminada de proveedores por compras con personas pertenecientes al régimen simplificado y cuyo impuesto a las ventas fue declarado como descontable por generarse sobre bienes o servicios gravados que constituyen co</w:t>
      </w:r>
      <w:r>
        <w:rPr>
          <w:rFonts w:ascii="Arial" w:hAnsi="Arial" w:cs="Arial"/>
          <w:lang w:val="es-CO"/>
        </w:rPr>
        <w:t>sto o gasto en el impuesto a la renta, indicando: NIT del proveedor, nombre o razón social, dirección, departamento, ciudad o municipio, valor del impuesto descontable.</w:t>
      </w:r>
    </w:p>
    <w:p w14:paraId="17B6E6BA" w14:textId="77777777" w:rsidR="00B2442D" w:rsidRDefault="00B2442D">
      <w:pPr>
        <w:ind w:left="284" w:hanging="284"/>
        <w:jc w:val="both"/>
        <w:rPr>
          <w:rFonts w:ascii="Arial" w:hAnsi="Arial" w:cs="Arial"/>
          <w:lang w:val="es-CO"/>
        </w:rPr>
      </w:pPr>
    </w:p>
    <w:p w14:paraId="5EBE39B2"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Indicar el número de cuotas parafiscales pagadas al Fondo Nacional Avícola (Fonav) </w:t>
      </w:r>
      <w:r>
        <w:rPr>
          <w:rFonts w:ascii="Arial" w:hAnsi="Arial" w:cs="Arial"/>
          <w:lang w:val="es-CO"/>
        </w:rPr>
        <w:t>por concepto de las aves productoras de huevos comercializados en el periodo objeto de devolución.</w:t>
      </w:r>
    </w:p>
    <w:p w14:paraId="42B8507C" w14:textId="77777777" w:rsidR="00B2442D" w:rsidRDefault="00B2442D">
      <w:pPr>
        <w:jc w:val="both"/>
        <w:rPr>
          <w:rFonts w:ascii="Arial" w:hAnsi="Arial" w:cs="Arial"/>
          <w:lang w:val="es-CO"/>
        </w:rPr>
      </w:pPr>
    </w:p>
    <w:p w14:paraId="33F47153" w14:textId="77777777" w:rsidR="00B2442D" w:rsidRDefault="008A645F">
      <w:pPr>
        <w:ind w:left="284"/>
        <w:jc w:val="both"/>
        <w:rPr>
          <w:rFonts w:ascii="Arial" w:hAnsi="Arial" w:cs="Arial"/>
          <w:lang w:val="es-CO"/>
        </w:rPr>
      </w:pPr>
      <w:r>
        <w:rPr>
          <w:rFonts w:ascii="Arial" w:hAnsi="Arial" w:cs="Arial"/>
          <w:lang w:val="es-CO"/>
        </w:rPr>
        <w:t>En el caso de producción y autoconsumo de pollitas se deberá informar el número de cuota de fomento avícola, pagadas en el momento del encasetamiento de las</w:t>
      </w:r>
      <w:r>
        <w:rPr>
          <w:rFonts w:ascii="Arial" w:hAnsi="Arial" w:cs="Arial"/>
          <w:lang w:val="es-CO"/>
        </w:rPr>
        <w:t xml:space="preserve"> mismas, respecto de las aves productoras de huevos comercializados en el periodo objeto de devolución y/o compensación y se deberá conservar, para cuando la Unidad Administrativa Especial Dirección de Impuestos y Aduanas Nacionales- DIAN lo requiera.</w:t>
      </w:r>
    </w:p>
    <w:p w14:paraId="43AC538B" w14:textId="77777777" w:rsidR="00B2442D" w:rsidRDefault="00B2442D">
      <w:pPr>
        <w:ind w:left="284"/>
        <w:jc w:val="both"/>
        <w:rPr>
          <w:rFonts w:ascii="Arial" w:hAnsi="Arial" w:cs="Arial"/>
          <w:lang w:val="es-CO"/>
        </w:rPr>
      </w:pPr>
    </w:p>
    <w:p w14:paraId="450DE5E5" w14:textId="77777777" w:rsidR="00B2442D" w:rsidRDefault="008A645F">
      <w:pPr>
        <w:ind w:left="284"/>
        <w:jc w:val="both"/>
        <w:rPr>
          <w:rFonts w:ascii="Arial" w:hAnsi="Arial" w:cs="Arial"/>
          <w:lang w:val="es-CO"/>
        </w:rPr>
      </w:pPr>
      <w:r>
        <w:rPr>
          <w:rFonts w:ascii="Arial" w:hAnsi="Arial" w:cs="Arial"/>
          <w:lang w:val="es-CO"/>
        </w:rPr>
        <w:t>Cua</w:t>
      </w:r>
      <w:r>
        <w:rPr>
          <w:rFonts w:ascii="Arial" w:hAnsi="Arial" w:cs="Arial"/>
          <w:lang w:val="es-CO"/>
        </w:rPr>
        <w:t>ndo las pollitas se compren a terceros diferentes de los productores de genética, se deberá informar el número de cuotas de fomento avícola pagadas, respecto de las aves productoras de huevos comercializados en el periodo objeto de devolución. Para estos e</w:t>
      </w:r>
      <w:r>
        <w:rPr>
          <w:rFonts w:ascii="Arial" w:hAnsi="Arial" w:cs="Arial"/>
          <w:lang w:val="es-CO"/>
        </w:rPr>
        <w:t>fectos, el comercializador deberá certificar al productor en el momento de la venta de las aves el pago de dicha cuota, conservando este documento y los soportes para cuando la Unidad Administrativa Especial Dirección de Impuestos y Aduanas Nacionales- DIA</w:t>
      </w:r>
      <w:r>
        <w:rPr>
          <w:rFonts w:ascii="Arial" w:hAnsi="Arial" w:cs="Arial"/>
          <w:lang w:val="es-CO"/>
        </w:rPr>
        <w:t>N lo requiera.</w:t>
      </w:r>
    </w:p>
    <w:p w14:paraId="41395955" w14:textId="77777777" w:rsidR="00B2442D" w:rsidRDefault="00B2442D">
      <w:pPr>
        <w:ind w:left="284"/>
        <w:jc w:val="both"/>
        <w:rPr>
          <w:rFonts w:ascii="Arial" w:hAnsi="Arial" w:cs="Arial"/>
          <w:lang w:val="es-CO"/>
        </w:rPr>
      </w:pPr>
    </w:p>
    <w:p w14:paraId="5024F53C" w14:textId="77777777" w:rsidR="00B2442D" w:rsidRDefault="008A645F">
      <w:pPr>
        <w:ind w:left="284"/>
        <w:jc w:val="both"/>
        <w:rPr>
          <w:rFonts w:ascii="Arial" w:hAnsi="Arial" w:cs="Arial"/>
          <w:lang w:val="es-CO"/>
        </w:rPr>
      </w:pPr>
      <w:r>
        <w:rPr>
          <w:rFonts w:ascii="Arial" w:hAnsi="Arial" w:cs="Arial"/>
          <w:lang w:val="es-CO"/>
        </w:rPr>
        <w:t>Para el caso de los productores de leche el número de cuotas parafiscales pagadas a Fedegán por concepto de la cuota de fomento ganadero y lechero.</w:t>
      </w:r>
    </w:p>
    <w:p w14:paraId="34E0D318" w14:textId="77777777" w:rsidR="00B2442D" w:rsidRDefault="00B2442D">
      <w:pPr>
        <w:jc w:val="both"/>
        <w:rPr>
          <w:rFonts w:ascii="Arial" w:hAnsi="Arial" w:cs="Arial"/>
          <w:lang w:val="es-CO"/>
        </w:rPr>
      </w:pPr>
    </w:p>
    <w:p w14:paraId="300F0075" w14:textId="77777777" w:rsidR="00B2442D" w:rsidRDefault="008A645F">
      <w:pPr>
        <w:jc w:val="both"/>
        <w:rPr>
          <w:rFonts w:ascii="Arial" w:hAnsi="Arial" w:cs="Arial"/>
          <w:lang w:val="es-CO"/>
        </w:rPr>
      </w:pPr>
      <w:r>
        <w:rPr>
          <w:rFonts w:ascii="Arial" w:hAnsi="Arial" w:cs="Arial"/>
          <w:lang w:val="es-CO"/>
        </w:rPr>
        <w:t>f) Indicar el municipio, departamento y dirección del lugar donde realizó la actividad.</w:t>
      </w:r>
    </w:p>
    <w:p w14:paraId="4A915FF2" w14:textId="77777777" w:rsidR="00B2442D" w:rsidRDefault="00B2442D">
      <w:pPr>
        <w:jc w:val="both"/>
        <w:rPr>
          <w:rFonts w:ascii="Arial" w:hAnsi="Arial" w:cs="Arial"/>
          <w:lang w:val="es-CO"/>
        </w:rPr>
      </w:pPr>
    </w:p>
    <w:p w14:paraId="461A9FC7" w14:textId="77777777" w:rsidR="00B2442D" w:rsidRDefault="008A645F">
      <w:pPr>
        <w:jc w:val="both"/>
        <w:rPr>
          <w:rFonts w:ascii="Arial" w:hAnsi="Arial" w:cs="Arial"/>
          <w:b/>
          <w:lang w:val="es-CO"/>
        </w:rPr>
      </w:pPr>
      <w:r>
        <w:rPr>
          <w:rFonts w:ascii="Arial" w:hAnsi="Arial" w:cs="Arial"/>
          <w:b/>
          <w:lang w:val="es-CO"/>
        </w:rPr>
        <w:t>Pr</w:t>
      </w:r>
      <w:r>
        <w:rPr>
          <w:rFonts w:ascii="Arial" w:hAnsi="Arial" w:cs="Arial"/>
          <w:b/>
          <w:lang w:val="es-CO"/>
        </w:rPr>
        <w:t>oductores de peces, camarones, langostinos y demás decápodos natantia a que hace referencia el artículo 477 del Estatuto Tributario.</w:t>
      </w:r>
    </w:p>
    <w:p w14:paraId="06707F78" w14:textId="77777777" w:rsidR="00B2442D" w:rsidRDefault="00B2442D">
      <w:pPr>
        <w:jc w:val="both"/>
        <w:rPr>
          <w:rFonts w:ascii="Arial" w:hAnsi="Arial" w:cs="Arial"/>
          <w:lang w:val="es-CO"/>
        </w:rPr>
      </w:pPr>
    </w:p>
    <w:p w14:paraId="24D6E0D5" w14:textId="77777777" w:rsidR="00B2442D" w:rsidRDefault="008A645F">
      <w:pPr>
        <w:jc w:val="both"/>
        <w:rPr>
          <w:rFonts w:ascii="Arial" w:hAnsi="Arial" w:cs="Arial"/>
          <w:lang w:val="es-CO"/>
        </w:rPr>
      </w:pPr>
      <w:r>
        <w:rPr>
          <w:rFonts w:ascii="Arial" w:hAnsi="Arial" w:cs="Arial"/>
          <w:lang w:val="es-CO"/>
        </w:rPr>
        <w:t>Certificación expedida por contador público o revisor fiscal, según el caso, en la cual se indique lo siguiente:</w:t>
      </w:r>
    </w:p>
    <w:p w14:paraId="627C14BB" w14:textId="77777777" w:rsidR="00B2442D" w:rsidRDefault="00B2442D">
      <w:pPr>
        <w:jc w:val="both"/>
        <w:rPr>
          <w:rFonts w:ascii="Arial" w:hAnsi="Arial" w:cs="Arial"/>
          <w:lang w:val="es-CO"/>
        </w:rPr>
      </w:pPr>
    </w:p>
    <w:p w14:paraId="4D344378"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 ca</w:t>
      </w:r>
      <w:r>
        <w:rPr>
          <w:rFonts w:ascii="Arial" w:hAnsi="Arial" w:cs="Arial"/>
          <w:lang w:val="es-CO"/>
        </w:rPr>
        <w:t>lidad de piscicultor del solicitante.</w:t>
      </w:r>
    </w:p>
    <w:p w14:paraId="690D1DE5" w14:textId="77777777" w:rsidR="00B2442D" w:rsidRDefault="00B2442D">
      <w:pPr>
        <w:ind w:left="284" w:hanging="284"/>
        <w:jc w:val="both"/>
        <w:rPr>
          <w:rFonts w:ascii="Arial" w:hAnsi="Arial" w:cs="Arial"/>
          <w:lang w:val="es-CO"/>
        </w:rPr>
      </w:pPr>
    </w:p>
    <w:p w14:paraId="3740C916"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Relación discriminada de los ingresos por las ventas exentas, excluidas y gravadas según tarifas, realizadas por el responsable.</w:t>
      </w:r>
    </w:p>
    <w:p w14:paraId="4B6F243D" w14:textId="77777777" w:rsidR="00B2442D" w:rsidRDefault="00B2442D">
      <w:pPr>
        <w:ind w:left="284" w:hanging="284"/>
        <w:jc w:val="both"/>
        <w:rPr>
          <w:rFonts w:ascii="Arial" w:hAnsi="Arial" w:cs="Arial"/>
          <w:lang w:val="es-CO"/>
        </w:rPr>
      </w:pPr>
    </w:p>
    <w:p w14:paraId="01CE0A6F"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Relación de las facturas o documento equivalente de compra de bienes y/o de </w:t>
      </w:r>
      <w:r>
        <w:rPr>
          <w:rFonts w:ascii="Arial" w:hAnsi="Arial" w:cs="Arial"/>
          <w:lang w:val="es-CO"/>
        </w:rPr>
        <w:t>servicios gravados utilizados por el productor según el artículo 440 del Estatuto Tributario, indicando: nombre o razón social, NIT y dirección del proveedor, número y fecha de la expedición de la factura, base gravable, tarifa del IVA a la que estuvo suje</w:t>
      </w:r>
      <w:r>
        <w:rPr>
          <w:rFonts w:ascii="Arial" w:hAnsi="Arial" w:cs="Arial"/>
          <w:lang w:val="es-CO"/>
        </w:rPr>
        <w:t>ta la operación y fecha de su contabilización.</w:t>
      </w:r>
    </w:p>
    <w:p w14:paraId="587308BC" w14:textId="77777777" w:rsidR="00B2442D" w:rsidRDefault="00B2442D">
      <w:pPr>
        <w:ind w:left="284" w:hanging="284"/>
        <w:jc w:val="both"/>
        <w:rPr>
          <w:rFonts w:ascii="Arial" w:hAnsi="Arial" w:cs="Arial"/>
          <w:lang w:val="es-CO"/>
        </w:rPr>
      </w:pPr>
    </w:p>
    <w:p w14:paraId="5022E7EB"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Relación discriminada de proveedores por compras con personas pertenecientes al régimen simplificado y cuyo impuesto sobre las ventas fue declarado como descontable por generarse sobre bienes o servicios g</w:t>
      </w:r>
      <w:r>
        <w:rPr>
          <w:rFonts w:ascii="Arial" w:hAnsi="Arial" w:cs="Arial"/>
          <w:lang w:val="es-CO"/>
        </w:rPr>
        <w:t>ravados que constituyen costo o gasto en el impuesto a la renta, indicando: NIT del proveedor, nombre o razón social, dirección, departamento, ciudad o municipio, valor del impuesto descontable.</w:t>
      </w:r>
    </w:p>
    <w:p w14:paraId="6628081F" w14:textId="77777777" w:rsidR="00B2442D" w:rsidRDefault="00B2442D">
      <w:pPr>
        <w:ind w:left="284" w:hanging="284"/>
        <w:jc w:val="both"/>
        <w:rPr>
          <w:rFonts w:ascii="Arial" w:hAnsi="Arial" w:cs="Arial"/>
          <w:lang w:val="es-CO"/>
        </w:rPr>
      </w:pPr>
    </w:p>
    <w:p w14:paraId="28CC80BA"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Indicar el municipio, departamento y dirección del lugar </w:t>
      </w:r>
      <w:r>
        <w:rPr>
          <w:rFonts w:ascii="Arial" w:hAnsi="Arial" w:cs="Arial"/>
          <w:lang w:val="es-CO"/>
        </w:rPr>
        <w:t>donde realizó la actividad.</w:t>
      </w:r>
    </w:p>
    <w:p w14:paraId="487335E3" w14:textId="77777777" w:rsidR="00B2442D" w:rsidRDefault="00B2442D">
      <w:pPr>
        <w:jc w:val="both"/>
        <w:rPr>
          <w:rFonts w:ascii="Arial" w:hAnsi="Arial" w:cs="Arial"/>
          <w:lang w:val="es-CO"/>
        </w:rPr>
      </w:pPr>
    </w:p>
    <w:p w14:paraId="06E728E6" w14:textId="77777777" w:rsidR="00B2442D" w:rsidRDefault="008A645F">
      <w:pPr>
        <w:jc w:val="both"/>
        <w:rPr>
          <w:rFonts w:ascii="Arial" w:hAnsi="Arial" w:cs="Arial"/>
          <w:lang w:val="es-CO"/>
        </w:rPr>
      </w:pPr>
      <w:r>
        <w:rPr>
          <w:rFonts w:ascii="Arial" w:hAnsi="Arial" w:cs="Arial"/>
          <w:lang w:val="es-CO"/>
        </w:rPr>
        <w:t>2. Se deberá allegar junto con la solicitud de devolución y/o compensación, fotocopia del acto administrativo de la autoridad competente mediante el cual se otorga permiso a la persona natural o jurídica que ejerce la actividad</w:t>
      </w:r>
      <w:r>
        <w:rPr>
          <w:rFonts w:ascii="Arial" w:hAnsi="Arial" w:cs="Arial"/>
          <w:lang w:val="es-CO"/>
        </w:rPr>
        <w:t xml:space="preserve"> de cultivo de peces, camarones, langostinos y demás decápodos natantia a que hace referencia el artículo 477 del Estatuto Tributario expedida por la Autoridad Nacional de Acuicultura y Pesca (Aunap), o quien haga sus veces, de conformidad con la Ley 13 de</w:t>
      </w:r>
      <w:r>
        <w:rPr>
          <w:rFonts w:ascii="Arial" w:hAnsi="Arial" w:cs="Arial"/>
          <w:lang w:val="es-CO"/>
        </w:rPr>
        <w:t xml:space="preserve"> 1990, Decreto 1071 de 2015 y la Resolución número 601 de 2012 de la Aunap.</w:t>
      </w:r>
    </w:p>
    <w:p w14:paraId="6D18B474" w14:textId="77777777" w:rsidR="00B2442D" w:rsidRDefault="00B2442D">
      <w:pPr>
        <w:jc w:val="both"/>
        <w:rPr>
          <w:rFonts w:ascii="Arial" w:hAnsi="Arial" w:cs="Arial"/>
          <w:lang w:val="es-CO"/>
        </w:rPr>
      </w:pPr>
    </w:p>
    <w:p w14:paraId="67CFA91E" w14:textId="77777777" w:rsidR="00B2442D" w:rsidRDefault="008A645F">
      <w:pPr>
        <w:jc w:val="both"/>
        <w:rPr>
          <w:rFonts w:ascii="Arial" w:hAnsi="Arial" w:cs="Arial"/>
          <w:b/>
          <w:lang w:val="es-CO"/>
        </w:rPr>
      </w:pPr>
      <w:r>
        <w:rPr>
          <w:rFonts w:ascii="Arial" w:hAnsi="Arial" w:cs="Arial"/>
          <w:b/>
          <w:lang w:val="es-CO"/>
        </w:rPr>
        <w:t>Comercializador de animales vivos de la especie bovina, excepto los de lidia de la partida arancelaria 01.02</w:t>
      </w:r>
    </w:p>
    <w:p w14:paraId="2497E228" w14:textId="77777777" w:rsidR="00B2442D" w:rsidRDefault="00B2442D">
      <w:pPr>
        <w:jc w:val="both"/>
        <w:rPr>
          <w:rFonts w:ascii="Arial" w:hAnsi="Arial" w:cs="Arial"/>
          <w:lang w:val="es-CO"/>
        </w:rPr>
      </w:pPr>
    </w:p>
    <w:p w14:paraId="71CBCE7A" w14:textId="77777777" w:rsidR="00B2442D" w:rsidRDefault="008A645F">
      <w:pPr>
        <w:ind w:left="284" w:hanging="284"/>
        <w:jc w:val="both"/>
        <w:rPr>
          <w:rFonts w:ascii="Arial" w:hAnsi="Arial" w:cs="Arial"/>
          <w:lang w:val="es-CO"/>
        </w:rPr>
      </w:pPr>
      <w:r>
        <w:rPr>
          <w:rFonts w:ascii="Arial" w:hAnsi="Arial" w:cs="Arial"/>
          <w:lang w:val="es-CO"/>
        </w:rPr>
        <w:t xml:space="preserve">1. Relación certificada por contador público o revisor fiscal, según </w:t>
      </w:r>
      <w:r>
        <w:rPr>
          <w:rFonts w:ascii="Arial" w:hAnsi="Arial" w:cs="Arial"/>
          <w:lang w:val="es-CO"/>
        </w:rPr>
        <w:t>el caso, en la cual se indique lo siguiente:</w:t>
      </w:r>
    </w:p>
    <w:p w14:paraId="32BD1622" w14:textId="77777777" w:rsidR="00B2442D" w:rsidRDefault="00B2442D">
      <w:pPr>
        <w:jc w:val="both"/>
        <w:rPr>
          <w:rFonts w:ascii="Arial" w:hAnsi="Arial" w:cs="Arial"/>
          <w:lang w:val="es-CO"/>
        </w:rPr>
      </w:pPr>
    </w:p>
    <w:p w14:paraId="1B06DAEA"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Número de animales comercializados y su valor comercial en plaza unitario por cabeza de ganado.</w:t>
      </w:r>
    </w:p>
    <w:p w14:paraId="7108FE33" w14:textId="77777777" w:rsidR="00B2442D" w:rsidRDefault="00B2442D">
      <w:pPr>
        <w:ind w:left="284" w:hanging="284"/>
        <w:jc w:val="both"/>
        <w:rPr>
          <w:rFonts w:ascii="Arial" w:hAnsi="Arial" w:cs="Arial"/>
          <w:lang w:val="es-CO"/>
        </w:rPr>
      </w:pPr>
    </w:p>
    <w:p w14:paraId="010CD767"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Relación de las facturas o documento equivalente de compra de bienes y/o de servicios gravados utilizados p</w:t>
      </w:r>
      <w:r>
        <w:rPr>
          <w:rFonts w:ascii="Arial" w:hAnsi="Arial" w:cs="Arial"/>
          <w:lang w:val="es-CO"/>
        </w:rPr>
        <w:t>or el comercializador, indicando: nombre o razón social, NIT y dirección del proveedor, número y fecha de la expedición de la factura y de la contabilización, base gravable y tarifa del IVA a la que estuvo sujeta la operación.</w:t>
      </w:r>
    </w:p>
    <w:p w14:paraId="64B03B0B" w14:textId="77777777" w:rsidR="00B2442D" w:rsidRDefault="00B2442D">
      <w:pPr>
        <w:ind w:left="284" w:hanging="284"/>
        <w:jc w:val="both"/>
        <w:rPr>
          <w:rFonts w:ascii="Arial" w:hAnsi="Arial" w:cs="Arial"/>
          <w:lang w:val="es-CO"/>
        </w:rPr>
      </w:pPr>
    </w:p>
    <w:p w14:paraId="57D610C7"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Relación discriminada de </w:t>
      </w:r>
      <w:r>
        <w:rPr>
          <w:rFonts w:ascii="Arial" w:hAnsi="Arial" w:cs="Arial"/>
          <w:lang w:val="es-CO"/>
        </w:rPr>
        <w:t>ingresos por las ventas exentas, excluidas y gravadas según tarifas, realizadas por el responsable.</w:t>
      </w:r>
    </w:p>
    <w:p w14:paraId="4A4E8A4B" w14:textId="77777777" w:rsidR="00B2442D" w:rsidRDefault="00B2442D">
      <w:pPr>
        <w:ind w:left="284" w:hanging="284"/>
        <w:jc w:val="both"/>
        <w:rPr>
          <w:rFonts w:ascii="Arial" w:hAnsi="Arial" w:cs="Arial"/>
          <w:lang w:val="es-CO"/>
        </w:rPr>
      </w:pPr>
    </w:p>
    <w:p w14:paraId="421C3D9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Relación discriminada de proveedores por compras con personas pertenecientes al régimen simplificado y cuyo Impuesto sobre las Ventas fue declarado como</w:t>
      </w:r>
      <w:r>
        <w:rPr>
          <w:rFonts w:ascii="Arial" w:hAnsi="Arial" w:cs="Arial"/>
          <w:lang w:val="es-CO"/>
        </w:rPr>
        <w:t xml:space="preserve"> descontable por generarse sobre bienes o servicios gravados que constituyen costo o gasto en el impuesto a la renta, indicando: NIT del proveedor, nombre o razón social, dirección, departamento, ciudad o municipio, valor del impuesto descontable.</w:t>
      </w:r>
    </w:p>
    <w:p w14:paraId="50734AE7" w14:textId="77777777" w:rsidR="00B2442D" w:rsidRDefault="00B2442D">
      <w:pPr>
        <w:jc w:val="both"/>
        <w:rPr>
          <w:rFonts w:ascii="Arial" w:hAnsi="Arial" w:cs="Arial"/>
          <w:lang w:val="es-CO"/>
        </w:rPr>
      </w:pPr>
    </w:p>
    <w:p w14:paraId="720D6E96" w14:textId="77777777" w:rsidR="00B2442D" w:rsidRDefault="008A645F">
      <w:pPr>
        <w:ind w:left="284" w:hanging="284"/>
        <w:jc w:val="both"/>
        <w:rPr>
          <w:rFonts w:ascii="Arial" w:hAnsi="Arial" w:cs="Arial"/>
          <w:lang w:val="es-CO"/>
        </w:rPr>
      </w:pPr>
      <w:r>
        <w:rPr>
          <w:rFonts w:ascii="Arial" w:hAnsi="Arial" w:cs="Arial"/>
          <w:lang w:val="es-CO"/>
        </w:rPr>
        <w:t>2. Rela</w:t>
      </w:r>
      <w:r>
        <w:rPr>
          <w:rFonts w:ascii="Arial" w:hAnsi="Arial" w:cs="Arial"/>
          <w:lang w:val="es-CO"/>
        </w:rPr>
        <w:t>ción de las guías sanitarias de movilización interna de animales, expedida por el ICA o quien haga sus veces, la cual debe contener: número de identificación, apellidos y nombres o razón social de quien la expide, número de la guía, fecha, departamento y m</w:t>
      </w:r>
      <w:r>
        <w:rPr>
          <w:rFonts w:ascii="Arial" w:hAnsi="Arial" w:cs="Arial"/>
          <w:lang w:val="es-CO"/>
        </w:rPr>
        <w:t>unicipio de expedición.</w:t>
      </w:r>
    </w:p>
    <w:p w14:paraId="08585533" w14:textId="77777777" w:rsidR="00B2442D" w:rsidRDefault="00B2442D">
      <w:pPr>
        <w:jc w:val="both"/>
        <w:rPr>
          <w:rFonts w:ascii="Arial" w:hAnsi="Arial" w:cs="Arial"/>
          <w:lang w:val="es-CO"/>
        </w:rPr>
      </w:pPr>
    </w:p>
    <w:p w14:paraId="3FC93DCD"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información relacionada con los arrastres de saldos a favor de periodos anteriores, requerida en este artículo, hace referencia únicamente a la que no haya sido allegada por el contribuyente o responsable con solici</w:t>
      </w:r>
      <w:r>
        <w:rPr>
          <w:rFonts w:ascii="Arial" w:hAnsi="Arial" w:cs="Arial"/>
          <w:lang w:val="es-CO"/>
        </w:rPr>
        <w:t>tudes de devolución y/o compensación anteriores.</w:t>
      </w:r>
    </w:p>
    <w:p w14:paraId="2654A4C3" w14:textId="77777777" w:rsidR="00B2442D" w:rsidRDefault="00B2442D">
      <w:pPr>
        <w:jc w:val="both"/>
        <w:rPr>
          <w:rFonts w:ascii="Arial" w:hAnsi="Arial" w:cs="Arial"/>
          <w:lang w:val="es-CO"/>
        </w:rPr>
      </w:pPr>
    </w:p>
    <w:p w14:paraId="184184A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 preceptuado en este decreto en cuanto al pago de la cuota de fomento avícola al Fondo Nacional Avícola Fonav, se entenderá respecto a los obligados a dicho pago.</w:t>
      </w:r>
    </w:p>
    <w:p w14:paraId="248B2D99" w14:textId="77777777" w:rsidR="00B2442D" w:rsidRDefault="00B2442D">
      <w:pPr>
        <w:jc w:val="both"/>
        <w:rPr>
          <w:rFonts w:ascii="Arial" w:hAnsi="Arial" w:cs="Arial"/>
          <w:lang w:val="es-CO"/>
        </w:rPr>
      </w:pPr>
    </w:p>
    <w:p w14:paraId="0A611722" w14:textId="77777777" w:rsidR="00B2442D" w:rsidRDefault="008A645F">
      <w:pPr>
        <w:jc w:val="both"/>
        <w:rPr>
          <w:rFonts w:ascii="Arial" w:hAnsi="Arial" w:cs="Arial"/>
          <w:i/>
          <w:lang w:val="es-CO"/>
        </w:rPr>
      </w:pPr>
      <w:r>
        <w:rPr>
          <w:rFonts w:ascii="Arial" w:hAnsi="Arial" w:cs="Arial"/>
          <w:i/>
          <w:lang w:val="es-CO"/>
        </w:rPr>
        <w:t>(Art. 5, Decreto 2277 de 2012, modificado por el art. 4 del Decreto 2877 de 2013)</w:t>
      </w:r>
      <w:r>
        <w:rPr>
          <w:rFonts w:ascii="Arial" w:hAnsi="Arial" w:cs="Arial"/>
        </w:rPr>
        <w:t xml:space="preserve"> </w:t>
      </w:r>
      <w:r>
        <w:rPr>
          <w:rFonts w:ascii="Arial" w:hAnsi="Arial" w:cs="Arial"/>
          <w:i/>
          <w:lang w:val="es-CO"/>
        </w:rPr>
        <w:t xml:space="preserve">(El </w:t>
      </w:r>
      <w:r>
        <w:rPr>
          <w:rFonts w:ascii="Arial" w:hAnsi="Arial" w:cs="Arial"/>
          <w:i/>
          <w:lang w:val="es-CO"/>
        </w:rPr>
        <w:t>Decreto 2277 de 2012 rige a partir del 1° de diciembre de 2012, previa su publicación y deroga el Decreto 1000 de 1997, el artículo 13 del Decreto 522 de 2003 y las normas que le sean contrarías. Art. 27, Decreto 2277 de 2012)</w:t>
      </w:r>
    </w:p>
    <w:p w14:paraId="49C130F1" w14:textId="77777777" w:rsidR="00B2442D" w:rsidRDefault="00B2442D">
      <w:pPr>
        <w:jc w:val="both"/>
        <w:rPr>
          <w:rFonts w:ascii="Arial" w:hAnsi="Arial" w:cs="Arial"/>
          <w:b/>
          <w:lang w:val="es-CO"/>
        </w:rPr>
      </w:pPr>
    </w:p>
    <w:p w14:paraId="137F733B"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Requisitos de la garantía en</w:t>
      </w:r>
      <w:r>
        <w:rPr>
          <w:rFonts w:ascii="Arial" w:hAnsi="Arial" w:cs="Arial"/>
          <w:b/>
          <w:i/>
          <w:lang w:val="es-CO"/>
        </w:rPr>
        <w:t xml:space="preserve"> devoluciones.</w:t>
      </w:r>
      <w:r>
        <w:rPr>
          <w:rFonts w:ascii="Arial" w:hAnsi="Arial" w:cs="Arial"/>
          <w:lang w:val="es-CO"/>
        </w:rPr>
        <w:t xml:space="preserve"> Las garantías deberán cumplir con la totalidad de los requisitos señalados por el artículo 860 del Estatuto Tributario.</w:t>
      </w:r>
    </w:p>
    <w:p w14:paraId="1B746492" w14:textId="77777777" w:rsidR="00B2442D" w:rsidRDefault="00B2442D">
      <w:pPr>
        <w:jc w:val="both"/>
        <w:rPr>
          <w:rFonts w:ascii="Arial" w:hAnsi="Arial" w:cs="Arial"/>
          <w:lang w:val="es-CO"/>
        </w:rPr>
      </w:pPr>
    </w:p>
    <w:p w14:paraId="5B42E91D" w14:textId="77777777" w:rsidR="00B2442D" w:rsidRDefault="008A645F">
      <w:pPr>
        <w:jc w:val="both"/>
        <w:rPr>
          <w:rFonts w:ascii="Arial" w:hAnsi="Arial" w:cs="Arial"/>
          <w:i/>
          <w:lang w:val="es-CO"/>
        </w:rPr>
      </w:pPr>
      <w:r>
        <w:rPr>
          <w:rFonts w:ascii="Arial" w:hAnsi="Arial" w:cs="Arial"/>
          <w:i/>
          <w:lang w:val="es-CO"/>
        </w:rPr>
        <w:t>(Art. 6, Decreto 2277 de 2012)</w:t>
      </w:r>
      <w:r>
        <w:rPr>
          <w:rFonts w:ascii="Arial" w:hAnsi="Arial" w:cs="Arial"/>
        </w:rPr>
        <w:t xml:space="preserve"> </w:t>
      </w:r>
      <w:r>
        <w:rPr>
          <w:rFonts w:ascii="Arial" w:hAnsi="Arial" w:cs="Arial"/>
          <w:i/>
          <w:lang w:val="es-CO"/>
        </w:rPr>
        <w:t>(El Decreto 2277 de 2012 rige a partir del 1° de diciembre de 2012, previa su publicación</w:t>
      </w:r>
      <w:r>
        <w:rPr>
          <w:rFonts w:ascii="Arial" w:hAnsi="Arial" w:cs="Arial"/>
          <w:i/>
          <w:lang w:val="es-CO"/>
        </w:rPr>
        <w:t xml:space="preserve"> y deroga el Decreto 1000 de 1997, el artículo 13 del Decreto 522 de 2003 y las normas que le sean contrarías. Art. 27, Decreto 2277 de 2012)</w:t>
      </w:r>
    </w:p>
    <w:p w14:paraId="30F5E097" w14:textId="77777777" w:rsidR="00B2442D" w:rsidRDefault="00B2442D">
      <w:pPr>
        <w:jc w:val="both"/>
        <w:rPr>
          <w:rFonts w:ascii="Arial" w:hAnsi="Arial" w:cs="Arial"/>
          <w:lang w:val="es-CO"/>
        </w:rPr>
      </w:pPr>
    </w:p>
    <w:p w14:paraId="63B5DFA3"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Término para solicitar la devolución o compensación de saldos a favor.</w:t>
      </w:r>
      <w:r>
        <w:rPr>
          <w:rFonts w:ascii="Arial" w:hAnsi="Arial" w:cs="Arial"/>
          <w:lang w:val="es-CO"/>
        </w:rPr>
        <w:t xml:space="preserve"> Sin perjuicio de lo previsto en disposicio</w:t>
      </w:r>
      <w:r>
        <w:rPr>
          <w:rFonts w:ascii="Arial" w:hAnsi="Arial" w:cs="Arial"/>
          <w:lang w:val="es-CO"/>
        </w:rPr>
        <w:t>nes especiales, los contribuyentes y/o responsables podrán solicitar la devolución y/o compensación de los saldos a favor, que se liquiden en las declaraciones tributarias del impuesto sobre la renta y del impuesto sobre las ventas, a más tardar dos (2) añ</w:t>
      </w:r>
      <w:r>
        <w:rPr>
          <w:rFonts w:ascii="Arial" w:hAnsi="Arial" w:cs="Arial"/>
          <w:lang w:val="es-CO"/>
        </w:rPr>
        <w:t>os después del vencimiento del término para declarar, siempre y cuando estos no hayan sido previamente utilizados.</w:t>
      </w:r>
    </w:p>
    <w:p w14:paraId="535167CD" w14:textId="77777777" w:rsidR="00B2442D" w:rsidRDefault="00B2442D">
      <w:pPr>
        <w:jc w:val="both"/>
        <w:rPr>
          <w:rFonts w:ascii="Arial" w:hAnsi="Arial" w:cs="Arial"/>
          <w:lang w:val="es-CO"/>
        </w:rPr>
      </w:pPr>
    </w:p>
    <w:p w14:paraId="7507F96A" w14:textId="77777777" w:rsidR="00B2442D" w:rsidRDefault="008A645F">
      <w:pPr>
        <w:jc w:val="both"/>
        <w:rPr>
          <w:rFonts w:ascii="Arial" w:hAnsi="Arial" w:cs="Arial"/>
          <w:lang w:val="es-CO"/>
        </w:rPr>
      </w:pPr>
      <w:r>
        <w:rPr>
          <w:rFonts w:ascii="Arial" w:hAnsi="Arial" w:cs="Arial"/>
          <w:lang w:val="es-CO"/>
        </w:rPr>
        <w:t>Cuando se trate de declaraciones con beneficio de auditoría que registren saldo a favor, el término para solicitar la devolución y/o compens</w:t>
      </w:r>
      <w:r>
        <w:rPr>
          <w:rFonts w:ascii="Arial" w:hAnsi="Arial" w:cs="Arial"/>
          <w:lang w:val="es-CO"/>
        </w:rPr>
        <w:t>ación será el previsto en el artículo 689-1 del Estatuto Tributario para la firmeza de la declaración.</w:t>
      </w:r>
    </w:p>
    <w:p w14:paraId="4DF83E75" w14:textId="77777777" w:rsidR="00B2442D" w:rsidRDefault="00B2442D">
      <w:pPr>
        <w:jc w:val="both"/>
        <w:rPr>
          <w:rFonts w:ascii="Arial" w:hAnsi="Arial" w:cs="Arial"/>
          <w:lang w:val="es-CO"/>
        </w:rPr>
      </w:pPr>
    </w:p>
    <w:p w14:paraId="4780FE86" w14:textId="77777777" w:rsidR="00B2442D" w:rsidRDefault="008A645F">
      <w:pPr>
        <w:jc w:val="both"/>
        <w:rPr>
          <w:rFonts w:ascii="Arial" w:hAnsi="Arial" w:cs="Arial"/>
          <w:i/>
          <w:lang w:val="es-CO"/>
        </w:rPr>
      </w:pPr>
      <w:r>
        <w:rPr>
          <w:rFonts w:ascii="Arial" w:hAnsi="Arial" w:cs="Arial"/>
          <w:i/>
          <w:lang w:val="es-CO"/>
        </w:rPr>
        <w:t>(Art. 7,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w:t>
      </w:r>
      <w:r>
        <w:rPr>
          <w:rFonts w:ascii="Arial" w:hAnsi="Arial" w:cs="Arial"/>
          <w:i/>
          <w:lang w:val="es-CO"/>
        </w:rPr>
        <w:t>7, el artículo 13 del Decreto 522 de 2003 y las normas que le sean contrarías. Art. 27, Decreto 2277 de 2012)</w:t>
      </w:r>
    </w:p>
    <w:p w14:paraId="3AB1235C" w14:textId="77777777" w:rsidR="00B2442D" w:rsidRDefault="00B2442D">
      <w:pPr>
        <w:jc w:val="both"/>
        <w:rPr>
          <w:rFonts w:ascii="Arial" w:hAnsi="Arial" w:cs="Arial"/>
          <w:lang w:val="es-CO"/>
        </w:rPr>
      </w:pPr>
    </w:p>
    <w:p w14:paraId="38A6619B"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Lugar de presentación de solicitud de devolución y/o compensación de saldos a favor.</w:t>
      </w:r>
      <w:r>
        <w:rPr>
          <w:rFonts w:ascii="Arial" w:hAnsi="Arial" w:cs="Arial"/>
          <w:lang w:val="es-CO"/>
        </w:rPr>
        <w:t xml:space="preserve"> La solicitud se deberá formular ante la Dirección Seccional </w:t>
      </w:r>
      <w:r>
        <w:rPr>
          <w:rFonts w:ascii="Arial" w:hAnsi="Arial" w:cs="Arial"/>
          <w:lang w:val="es-CO"/>
        </w:rPr>
        <w:t>donde se hubiere presentado la respectiva declaración tributaria.</w:t>
      </w:r>
    </w:p>
    <w:p w14:paraId="61FB4156" w14:textId="77777777" w:rsidR="00B2442D" w:rsidRDefault="00B2442D">
      <w:pPr>
        <w:jc w:val="both"/>
        <w:rPr>
          <w:rFonts w:ascii="Arial" w:hAnsi="Arial" w:cs="Arial"/>
          <w:lang w:val="es-CO"/>
        </w:rPr>
      </w:pPr>
    </w:p>
    <w:p w14:paraId="7F066BC3" w14:textId="77777777" w:rsidR="00B2442D" w:rsidRDefault="008A645F">
      <w:pPr>
        <w:jc w:val="both"/>
        <w:rPr>
          <w:rFonts w:ascii="Arial" w:hAnsi="Arial" w:cs="Arial"/>
          <w:lang w:val="es-CO"/>
        </w:rPr>
      </w:pPr>
      <w:r>
        <w:rPr>
          <w:rFonts w:ascii="Arial" w:hAnsi="Arial" w:cs="Arial"/>
          <w:lang w:val="es-CO"/>
        </w:rPr>
        <w:t>Los declarantes domiciliados en la jurisdicción del departamento de Cundinamarca y la ciudad de Bogotá Distrito Capital, que hubieren sido calificados como "Grandes Contribuyentes", deberán</w:t>
      </w:r>
      <w:r>
        <w:rPr>
          <w:rFonts w:ascii="Arial" w:hAnsi="Arial" w:cs="Arial"/>
          <w:lang w:val="es-CO"/>
        </w:rPr>
        <w:t xml:space="preserve"> presentar la solicitud de devolución y/o compensación ante la Dirección Seccional de Impuestos de Grandes Contribuyentes, a partir de la publicación de la resolución que los califique como tales.</w:t>
      </w:r>
    </w:p>
    <w:p w14:paraId="34610AC8" w14:textId="77777777" w:rsidR="00B2442D" w:rsidRDefault="00B2442D">
      <w:pPr>
        <w:jc w:val="both"/>
        <w:rPr>
          <w:rFonts w:ascii="Arial" w:hAnsi="Arial" w:cs="Arial"/>
          <w:lang w:val="es-CO"/>
        </w:rPr>
      </w:pPr>
    </w:p>
    <w:p w14:paraId="09E766B6" w14:textId="77777777" w:rsidR="00B2442D" w:rsidRDefault="008A645F">
      <w:pPr>
        <w:jc w:val="both"/>
        <w:rPr>
          <w:rFonts w:ascii="Arial" w:hAnsi="Arial" w:cs="Arial"/>
          <w:i/>
          <w:lang w:val="es-CO"/>
        </w:rPr>
      </w:pPr>
      <w:r>
        <w:rPr>
          <w:rFonts w:ascii="Arial" w:hAnsi="Arial" w:cs="Arial"/>
          <w:i/>
          <w:lang w:val="es-CO"/>
        </w:rPr>
        <w:t>(Art. 8, Decreto 2277 de 2012)</w:t>
      </w:r>
      <w:r>
        <w:rPr>
          <w:rFonts w:ascii="Arial" w:hAnsi="Arial" w:cs="Arial"/>
        </w:rPr>
        <w:t xml:space="preserve"> </w:t>
      </w:r>
      <w:r>
        <w:rPr>
          <w:rFonts w:ascii="Arial" w:hAnsi="Arial" w:cs="Arial"/>
          <w:i/>
          <w:lang w:val="es-CO"/>
        </w:rPr>
        <w:t>(El Decreto 2277 de 2012 ri</w:t>
      </w:r>
      <w:r>
        <w:rPr>
          <w:rFonts w:ascii="Arial" w:hAnsi="Arial" w:cs="Arial"/>
          <w:i/>
          <w:lang w:val="es-CO"/>
        </w:rPr>
        <w:t>ge a partir del 1° de diciembre de 2012, previa su publicación y deroga el Decreto 1000 de 1997, el artículo 13 del Decreto 522 de 2003 y las normas que le sean contrarías. Art. 27, Decreto 2277 de 2012)</w:t>
      </w:r>
    </w:p>
    <w:p w14:paraId="0D5C159C" w14:textId="77777777" w:rsidR="00B2442D" w:rsidRDefault="00B2442D">
      <w:pPr>
        <w:jc w:val="both"/>
        <w:rPr>
          <w:rFonts w:ascii="Arial" w:hAnsi="Arial" w:cs="Arial"/>
          <w:lang w:val="es-CO"/>
        </w:rPr>
      </w:pPr>
    </w:p>
    <w:p w14:paraId="20B5ABB5"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Verificación dentro del proceso de devolución y/o c</w:t>
      </w:r>
      <w:r>
        <w:rPr>
          <w:rFonts w:ascii="Arial" w:hAnsi="Arial" w:cs="Arial"/>
          <w:b/>
          <w:i/>
          <w:lang w:val="es-CO"/>
        </w:rPr>
        <w:t>ompensación.</w:t>
      </w:r>
      <w:r>
        <w:rPr>
          <w:rFonts w:ascii="Arial" w:hAnsi="Arial" w:cs="Arial"/>
          <w:lang w:val="es-CO"/>
        </w:rPr>
        <w:t xml:space="preserve"> Para la verificación y control de las devoluciones y/o compensaciones, la Dirección Seccional de Impuestos o de Impuestos y Aduanas competente podrá solicitar la exhibición de los libros de contabilidad físicos o electrónicos no impresos, regi</w:t>
      </w:r>
      <w:r>
        <w:rPr>
          <w:rFonts w:ascii="Arial" w:hAnsi="Arial" w:cs="Arial"/>
          <w:lang w:val="es-CO"/>
        </w:rPr>
        <w:t>stros contables y los respectivos soportes y demás información necesaria para constatar la existencia de las retenciones, impuestos descontables, pagos en exceso, costos y deducciones y demás factores que dan lugar al saldo solicitado en devolución y/o com</w:t>
      </w:r>
      <w:r>
        <w:rPr>
          <w:rFonts w:ascii="Arial" w:hAnsi="Arial" w:cs="Arial"/>
          <w:lang w:val="es-CO"/>
        </w:rPr>
        <w:t>pensación.</w:t>
      </w:r>
    </w:p>
    <w:p w14:paraId="748914C5" w14:textId="77777777" w:rsidR="00B2442D" w:rsidRDefault="00B2442D">
      <w:pPr>
        <w:jc w:val="both"/>
        <w:rPr>
          <w:rFonts w:ascii="Arial" w:hAnsi="Arial" w:cs="Arial"/>
          <w:lang w:val="es-CO"/>
        </w:rPr>
      </w:pPr>
    </w:p>
    <w:p w14:paraId="49EEB77C" w14:textId="77777777" w:rsidR="00B2442D" w:rsidRDefault="008A645F">
      <w:pPr>
        <w:jc w:val="both"/>
        <w:rPr>
          <w:rFonts w:ascii="Arial" w:hAnsi="Arial" w:cs="Arial"/>
          <w:lang w:val="es-CO"/>
        </w:rPr>
      </w:pPr>
      <w:r>
        <w:rPr>
          <w:rFonts w:ascii="Arial" w:hAnsi="Arial" w:cs="Arial"/>
          <w:lang w:val="es-CO"/>
        </w:rPr>
        <w:t>Esta verificación podrá realizarse sobre la contabilidad del solicitante y sobre la de quienes figuren como sus proveedores, agentes de retención o terceros relacionados.</w:t>
      </w:r>
    </w:p>
    <w:p w14:paraId="6601FBDE" w14:textId="77777777" w:rsidR="00B2442D" w:rsidRDefault="00B2442D">
      <w:pPr>
        <w:jc w:val="both"/>
        <w:rPr>
          <w:rFonts w:ascii="Arial" w:hAnsi="Arial" w:cs="Arial"/>
          <w:lang w:val="es-CO"/>
        </w:rPr>
      </w:pPr>
    </w:p>
    <w:p w14:paraId="75285C1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exhibición de los libros de contabilidad y demás documento</w:t>
      </w:r>
      <w:r>
        <w:rPr>
          <w:rFonts w:ascii="Arial" w:hAnsi="Arial" w:cs="Arial"/>
          <w:lang w:val="es-CO"/>
        </w:rPr>
        <w:t>s solicitados en desarrollo de esta verificación, deberá hacerse a más tardar el día hábil siguiente a la fecha en que el funcionario competente lo solicite y en las oficinas o establecimientos del domicilio principal del ente económico.</w:t>
      </w:r>
    </w:p>
    <w:p w14:paraId="28620CDD" w14:textId="77777777" w:rsidR="00B2442D" w:rsidRDefault="00B2442D">
      <w:pPr>
        <w:jc w:val="both"/>
        <w:rPr>
          <w:rFonts w:ascii="Arial" w:hAnsi="Arial" w:cs="Arial"/>
          <w:lang w:val="es-CO"/>
        </w:rPr>
      </w:pPr>
    </w:p>
    <w:p w14:paraId="549455C6" w14:textId="77777777" w:rsidR="00B2442D" w:rsidRDefault="008A645F">
      <w:pPr>
        <w:jc w:val="both"/>
        <w:rPr>
          <w:rFonts w:ascii="Arial" w:hAnsi="Arial" w:cs="Arial"/>
          <w:lang w:val="es-CO"/>
        </w:rPr>
      </w:pPr>
      <w:r>
        <w:rPr>
          <w:rFonts w:ascii="Arial" w:hAnsi="Arial" w:cs="Arial"/>
          <w:lang w:val="es-CO"/>
        </w:rPr>
        <w:t>La no presentació</w:t>
      </w:r>
      <w:r>
        <w:rPr>
          <w:rFonts w:ascii="Arial" w:hAnsi="Arial" w:cs="Arial"/>
          <w:lang w:val="es-CO"/>
        </w:rPr>
        <w:t>n de los libros de contabilidad, comprobantes y demás documentos de contabilidad en la oportunidad aquí señalada dará lugar a la aplicación de lo establecido en el artículo 781 del Estatuto Tributario.</w:t>
      </w:r>
    </w:p>
    <w:p w14:paraId="59AB5E73" w14:textId="77777777" w:rsidR="00B2442D" w:rsidRDefault="00B2442D">
      <w:pPr>
        <w:jc w:val="both"/>
        <w:rPr>
          <w:rFonts w:ascii="Arial" w:hAnsi="Arial" w:cs="Arial"/>
          <w:lang w:val="es-CO"/>
        </w:rPr>
      </w:pPr>
    </w:p>
    <w:p w14:paraId="1E535399" w14:textId="77777777" w:rsidR="00B2442D" w:rsidRDefault="008A645F">
      <w:pPr>
        <w:jc w:val="both"/>
        <w:rPr>
          <w:rFonts w:ascii="Arial" w:hAnsi="Arial" w:cs="Arial"/>
          <w:i/>
          <w:lang w:val="es-CO"/>
        </w:rPr>
      </w:pPr>
      <w:r>
        <w:rPr>
          <w:rFonts w:ascii="Arial" w:hAnsi="Arial" w:cs="Arial"/>
          <w:i/>
          <w:lang w:val="es-CO"/>
        </w:rPr>
        <w:t>(Art. 9, Decreto 2277 de 2012)</w:t>
      </w:r>
      <w:r>
        <w:rPr>
          <w:rFonts w:ascii="Arial" w:hAnsi="Arial" w:cs="Arial"/>
        </w:rPr>
        <w:t xml:space="preserve"> </w:t>
      </w:r>
      <w:r>
        <w:rPr>
          <w:rFonts w:ascii="Arial" w:hAnsi="Arial" w:cs="Arial"/>
          <w:i/>
          <w:lang w:val="es-CO"/>
        </w:rPr>
        <w:t xml:space="preserve">(El Decreto 2277 de </w:t>
      </w:r>
      <w:r>
        <w:rPr>
          <w:rFonts w:ascii="Arial" w:hAnsi="Arial" w:cs="Arial"/>
          <w:i/>
          <w:lang w:val="es-CO"/>
        </w:rPr>
        <w:t>2012 rige a partir del 1° de diciembre de 2012, previa su publicación y deroga el Decreto 1000 de 1997, el artículo 13 del Decreto 522 de 2003 y las normas que le sean contrarías. Art. 27, Decreto 2277 de 2012)</w:t>
      </w:r>
    </w:p>
    <w:p w14:paraId="7DBAC4AF" w14:textId="77777777" w:rsidR="00B2442D" w:rsidRDefault="00B2442D">
      <w:pPr>
        <w:jc w:val="both"/>
        <w:rPr>
          <w:rFonts w:ascii="Arial" w:hAnsi="Arial" w:cs="Arial"/>
          <w:lang w:val="es-CO"/>
        </w:rPr>
      </w:pPr>
    </w:p>
    <w:p w14:paraId="01185EF2"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Devolución de pagos en exceso.</w:t>
      </w:r>
      <w:r>
        <w:rPr>
          <w:rFonts w:ascii="Arial" w:hAnsi="Arial" w:cs="Arial"/>
          <w:lang w:val="es-CO"/>
        </w:rPr>
        <w:t xml:space="preserve"> Habrá lugar a</w:t>
      </w:r>
      <w:r>
        <w:rPr>
          <w:rFonts w:ascii="Arial" w:hAnsi="Arial" w:cs="Arial"/>
          <w:lang w:val="es-CO"/>
        </w:rPr>
        <w:t xml:space="preserve"> la devolución y/o compensación de los pagos en exceso por concepto de obligaciones tributarias, para lo cual deberá presentarse la solicitud de devolución y/o compensación ante la Dirección Seccional de Impuestos o de Impuestos y Aduanas que corresponda a</w:t>
      </w:r>
      <w:r>
        <w:rPr>
          <w:rFonts w:ascii="Arial" w:hAnsi="Arial" w:cs="Arial"/>
          <w:lang w:val="es-CO"/>
        </w:rPr>
        <w:t>l domicilio fiscal del solicitante, al momento de radicar la respectiva solicitud.</w:t>
      </w:r>
    </w:p>
    <w:p w14:paraId="1EFF16A6" w14:textId="77777777" w:rsidR="00B2442D" w:rsidRDefault="00B2442D">
      <w:pPr>
        <w:jc w:val="both"/>
        <w:rPr>
          <w:rFonts w:ascii="Arial" w:hAnsi="Arial" w:cs="Arial"/>
          <w:b/>
          <w:lang w:val="es-CO"/>
        </w:rPr>
      </w:pPr>
    </w:p>
    <w:p w14:paraId="3B14A2A4"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la procedencia de las devoluciones y/o compensaciones a que se refiere este artículo, deberán cumplirse los requisitos generales establecidos en el artículo</w:t>
      </w:r>
      <w:r>
        <w:rPr>
          <w:rFonts w:ascii="Arial" w:hAnsi="Arial" w:cs="Arial"/>
          <w:lang w:val="es-CO"/>
        </w:rPr>
        <w:t xml:space="preserve"> 1.6.1.21.13 del presente Decreto.</w:t>
      </w:r>
    </w:p>
    <w:p w14:paraId="21B045BC" w14:textId="77777777" w:rsidR="00B2442D" w:rsidRDefault="00B2442D">
      <w:pPr>
        <w:jc w:val="both"/>
        <w:rPr>
          <w:rFonts w:ascii="Arial" w:hAnsi="Arial" w:cs="Arial"/>
          <w:lang w:val="es-CO"/>
        </w:rPr>
      </w:pPr>
    </w:p>
    <w:p w14:paraId="026FF87F" w14:textId="77777777" w:rsidR="00B2442D" w:rsidRDefault="008A645F">
      <w:pPr>
        <w:jc w:val="both"/>
        <w:rPr>
          <w:rFonts w:ascii="Arial" w:hAnsi="Arial" w:cs="Arial"/>
          <w:i/>
          <w:lang w:val="es-CO"/>
        </w:rPr>
      </w:pPr>
      <w:r>
        <w:rPr>
          <w:rFonts w:ascii="Arial" w:hAnsi="Arial" w:cs="Arial"/>
          <w:i/>
          <w:lang w:val="es-CO"/>
        </w:rPr>
        <w:t>(Art. 10, Decreto 2277 de 2012)</w:t>
      </w:r>
      <w:r>
        <w:rPr>
          <w:rFonts w:ascii="Arial" w:hAnsi="Arial" w:cs="Arial"/>
        </w:rPr>
        <w:t xml:space="preserve"> </w:t>
      </w:r>
      <w:r>
        <w:rPr>
          <w:rFonts w:ascii="Arial" w:hAnsi="Arial" w:cs="Arial"/>
          <w:i/>
          <w:lang w:val="es-CO"/>
        </w:rPr>
        <w:t xml:space="preserve">(El Decreto 2277 de 2012 rige a partir del 1° de diciembre de 2012, previa su publicación y deroga el Decreto 1000 de 1997, el artículo 13 del Decreto 522 de 2003 y las normas que le sean </w:t>
      </w:r>
      <w:r>
        <w:rPr>
          <w:rFonts w:ascii="Arial" w:hAnsi="Arial" w:cs="Arial"/>
          <w:i/>
          <w:lang w:val="es-CO"/>
        </w:rPr>
        <w:t>contrarías. Art. 27, Decreto 2277 de 2012)</w:t>
      </w:r>
    </w:p>
    <w:p w14:paraId="1C9CC049" w14:textId="77777777" w:rsidR="00B2442D" w:rsidRDefault="00B2442D">
      <w:pPr>
        <w:jc w:val="both"/>
        <w:rPr>
          <w:rFonts w:ascii="Arial" w:hAnsi="Arial" w:cs="Arial"/>
          <w:lang w:val="es-CO"/>
        </w:rPr>
      </w:pPr>
    </w:p>
    <w:p w14:paraId="44896113"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Término para solicitar la devolución por pagos en exceso. </w:t>
      </w:r>
      <w:r>
        <w:rPr>
          <w:rFonts w:ascii="Arial" w:hAnsi="Arial" w:cs="Arial"/>
          <w:lang w:val="es-CO"/>
        </w:rPr>
        <w:t>Las solicitudes devolución y/o compensación por pagos en exceso, deberán presentarse dentro del término de prescripción de la acción ejecutiva, establecid</w:t>
      </w:r>
      <w:r>
        <w:rPr>
          <w:rFonts w:ascii="Arial" w:hAnsi="Arial" w:cs="Arial"/>
          <w:lang w:val="es-CO"/>
        </w:rPr>
        <w:t>o en el artículo 2536 del Código Civil.</w:t>
      </w:r>
    </w:p>
    <w:p w14:paraId="655DFB5A" w14:textId="77777777" w:rsidR="00B2442D" w:rsidRDefault="008A645F">
      <w:pPr>
        <w:jc w:val="both"/>
        <w:rPr>
          <w:rFonts w:ascii="Arial" w:hAnsi="Arial" w:cs="Arial"/>
          <w:lang w:val="es-CO"/>
        </w:rPr>
      </w:pPr>
      <w:r>
        <w:rPr>
          <w:rFonts w:ascii="Arial" w:hAnsi="Arial" w:cs="Arial"/>
          <w:lang w:val="es-CO"/>
        </w:rPr>
        <w:tab/>
      </w:r>
    </w:p>
    <w:p w14:paraId="6180A9A6" w14:textId="77777777" w:rsidR="00B2442D" w:rsidRDefault="008A645F">
      <w:pPr>
        <w:jc w:val="both"/>
        <w:rPr>
          <w:rFonts w:ascii="Arial" w:hAnsi="Arial" w:cs="Arial"/>
          <w:lang w:val="es-CO"/>
        </w:rPr>
      </w:pPr>
      <w:r>
        <w:rPr>
          <w:rFonts w:ascii="Arial" w:hAnsi="Arial" w:cs="Arial"/>
          <w:lang w:val="es-CO"/>
        </w:rPr>
        <w:t xml:space="preserve">Para el trámite de estas solicitudes, en los aspectos no regulados especialmente, se aplicará el mismo procedimiento establecido para la devolución de los saldos a favor liquidados en las declaraciones </w:t>
      </w:r>
      <w:r>
        <w:rPr>
          <w:rFonts w:ascii="Arial" w:hAnsi="Arial" w:cs="Arial"/>
          <w:lang w:val="es-CO"/>
        </w:rPr>
        <w:t>tributarias. En todo caso, el término para resolver la solicitud, será el establecido en el artículo 855 del Estatuto Tributario.</w:t>
      </w:r>
    </w:p>
    <w:p w14:paraId="1FF92C1C" w14:textId="77777777" w:rsidR="00B2442D" w:rsidRDefault="00B2442D">
      <w:pPr>
        <w:jc w:val="both"/>
        <w:rPr>
          <w:rFonts w:ascii="Arial" w:hAnsi="Arial" w:cs="Arial"/>
          <w:lang w:val="es-CO"/>
        </w:rPr>
      </w:pPr>
    </w:p>
    <w:p w14:paraId="351DE9BE" w14:textId="77777777" w:rsidR="00B2442D" w:rsidRDefault="008A645F">
      <w:pPr>
        <w:jc w:val="both"/>
        <w:rPr>
          <w:rFonts w:ascii="Arial" w:hAnsi="Arial" w:cs="Arial"/>
          <w:i/>
          <w:lang w:val="es-CO"/>
        </w:rPr>
      </w:pPr>
      <w:r>
        <w:rPr>
          <w:rFonts w:ascii="Arial" w:hAnsi="Arial" w:cs="Arial"/>
          <w:i/>
          <w:lang w:val="es-CO"/>
        </w:rPr>
        <w:t>(Art. 11, Decreto 2277 de 2012)</w:t>
      </w:r>
      <w:r>
        <w:rPr>
          <w:rFonts w:ascii="Arial" w:hAnsi="Arial" w:cs="Arial"/>
        </w:rPr>
        <w:t xml:space="preserve"> </w:t>
      </w:r>
      <w:r>
        <w:rPr>
          <w:rFonts w:ascii="Arial" w:hAnsi="Arial" w:cs="Arial"/>
          <w:i/>
          <w:lang w:val="es-CO"/>
        </w:rPr>
        <w:t>(El Decreto 2277 de 2012 rige a partir del 1° de diciembre de 2012, previa su publicación y d</w:t>
      </w:r>
      <w:r>
        <w:rPr>
          <w:rFonts w:ascii="Arial" w:hAnsi="Arial" w:cs="Arial"/>
          <w:i/>
          <w:lang w:val="es-CO"/>
        </w:rPr>
        <w:t>eroga el Decreto 1000 de 1997, el artículo 13 del Decreto 522 de 2003 y las normas que le sean contrarías. Art. 27, Decreto 2277 de 2012)</w:t>
      </w:r>
    </w:p>
    <w:p w14:paraId="579CE102" w14:textId="77777777" w:rsidR="00B2442D" w:rsidRDefault="00B2442D">
      <w:pPr>
        <w:jc w:val="both"/>
        <w:rPr>
          <w:rFonts w:ascii="Arial" w:hAnsi="Arial" w:cs="Arial"/>
          <w:lang w:val="es-CO"/>
        </w:rPr>
      </w:pPr>
    </w:p>
    <w:p w14:paraId="3870F267"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Tasa y liquidación de intereses.</w:t>
      </w:r>
      <w:r>
        <w:rPr>
          <w:rFonts w:ascii="Arial" w:hAnsi="Arial" w:cs="Arial"/>
          <w:lang w:val="es-CO"/>
        </w:rPr>
        <w:t xml:space="preserve"> Cuando haya lugar al reconocimiento de intereses moratorios a favor del contribuyent</w:t>
      </w:r>
      <w:r>
        <w:rPr>
          <w:rFonts w:ascii="Arial" w:hAnsi="Arial" w:cs="Arial"/>
          <w:lang w:val="es-CO"/>
        </w:rPr>
        <w:t>e o responsable de conformidad con lo previsto en el artículo 863 del Estatuto Tributario, se liquidarán diariamente a la tasa vigente que se aplica para cancelar en forma extemporánea los impuestos administrados por la Unidad Administrativa Especial Direc</w:t>
      </w:r>
      <w:r>
        <w:rPr>
          <w:rFonts w:ascii="Arial" w:hAnsi="Arial" w:cs="Arial"/>
          <w:lang w:val="es-CO"/>
        </w:rPr>
        <w:t>ción de impuestos y Aduanas Nacionales- DIAN, establecida de acuerdo con el artículo 635 del mismo Estatuto, previa solicitud del contribuyente o responsable.</w:t>
      </w:r>
    </w:p>
    <w:p w14:paraId="601029BD" w14:textId="77777777" w:rsidR="00B2442D" w:rsidRDefault="00B2442D">
      <w:pPr>
        <w:jc w:val="both"/>
        <w:rPr>
          <w:rFonts w:ascii="Arial" w:hAnsi="Arial" w:cs="Arial"/>
          <w:lang w:val="es-CO"/>
        </w:rPr>
      </w:pPr>
    </w:p>
    <w:p w14:paraId="671E2D12" w14:textId="77777777" w:rsidR="00B2442D" w:rsidRDefault="008A645F">
      <w:pPr>
        <w:jc w:val="both"/>
        <w:rPr>
          <w:rFonts w:ascii="Arial" w:hAnsi="Arial" w:cs="Arial"/>
          <w:i/>
          <w:lang w:val="es-CO"/>
        </w:rPr>
      </w:pPr>
      <w:r>
        <w:rPr>
          <w:rFonts w:ascii="Arial" w:hAnsi="Arial" w:cs="Arial"/>
          <w:i/>
          <w:lang w:val="es-CO"/>
        </w:rPr>
        <w:t>(Art. 12, Decreto 2277 de 2012)</w:t>
      </w:r>
      <w:r>
        <w:rPr>
          <w:rFonts w:ascii="Arial" w:hAnsi="Arial" w:cs="Arial"/>
        </w:rPr>
        <w:t xml:space="preserve"> </w:t>
      </w:r>
      <w:r>
        <w:rPr>
          <w:rFonts w:ascii="Arial" w:hAnsi="Arial" w:cs="Arial"/>
          <w:i/>
          <w:lang w:val="es-CO"/>
        </w:rPr>
        <w:t>(El Decreto 2277 de 2012 rige a partir del 1° de diciembre de 20</w:t>
      </w:r>
      <w:r>
        <w:rPr>
          <w:rFonts w:ascii="Arial" w:hAnsi="Arial" w:cs="Arial"/>
          <w:i/>
          <w:lang w:val="es-CO"/>
        </w:rPr>
        <w:t>12, previa su publicación y deroga el Decreto 1000 de 1997, el artículo 13 del Decreto 522 de 2003 y las normas que le sean contrarías. Art. 27, Decreto 2277 de 2012)</w:t>
      </w:r>
    </w:p>
    <w:p w14:paraId="0BB3FD95" w14:textId="77777777" w:rsidR="00B2442D" w:rsidRDefault="00B2442D">
      <w:pPr>
        <w:jc w:val="both"/>
        <w:rPr>
          <w:rFonts w:ascii="Arial" w:hAnsi="Arial" w:cs="Arial"/>
          <w:b/>
          <w:lang w:val="es-CO"/>
        </w:rPr>
      </w:pPr>
    </w:p>
    <w:p w14:paraId="13140224"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Imputación de los saldos a favor.</w:t>
      </w:r>
      <w:r>
        <w:rPr>
          <w:rFonts w:ascii="Arial" w:hAnsi="Arial" w:cs="Arial"/>
          <w:lang w:val="es-CO"/>
        </w:rPr>
        <w:t xml:space="preserve"> Los saldos a favor originados en las declaraciones del</w:t>
      </w:r>
      <w:r>
        <w:rPr>
          <w:rFonts w:ascii="Arial" w:hAnsi="Arial" w:cs="Arial"/>
          <w:lang w:val="es-CO"/>
        </w:rPr>
        <w:t xml:space="preserve"> impuesto sobre la renta y del impuesto sobre las ventas, se podrán imputar en la declaración tributaria del periodo siguiente por su valor total, aun cuando con la imputación se genere un nuevo saldo a favor.</w:t>
      </w:r>
    </w:p>
    <w:p w14:paraId="01A2DDB9" w14:textId="77777777" w:rsidR="00B2442D" w:rsidRDefault="00B2442D">
      <w:pPr>
        <w:jc w:val="both"/>
        <w:rPr>
          <w:rFonts w:ascii="Arial" w:hAnsi="Arial" w:cs="Arial"/>
          <w:lang w:val="es-CO"/>
        </w:rPr>
      </w:pPr>
    </w:p>
    <w:p w14:paraId="6020AFFD" w14:textId="77777777" w:rsidR="00B2442D" w:rsidRDefault="008A645F">
      <w:pPr>
        <w:jc w:val="both"/>
        <w:rPr>
          <w:rFonts w:ascii="Arial" w:hAnsi="Arial" w:cs="Arial"/>
          <w:lang w:val="es-CO"/>
        </w:rPr>
      </w:pPr>
      <w:r>
        <w:rPr>
          <w:rFonts w:ascii="Arial" w:hAnsi="Arial" w:cs="Arial"/>
          <w:lang w:val="es-CO"/>
        </w:rPr>
        <w:t xml:space="preserve">Cuando al responsable le hubieren practicado </w:t>
      </w:r>
      <w:r>
        <w:rPr>
          <w:rFonts w:ascii="Arial" w:hAnsi="Arial" w:cs="Arial"/>
          <w:lang w:val="es-CO"/>
        </w:rPr>
        <w:t>retenciones a título del impuesto sobre las ventas y el saldo a favor por este concepto hubiere sido objeto de solicitud de devolución y/o compensación, sólo podrá imputarse la diferencia entre el saldo a favor del periodo y el valor que se solicitó en dev</w:t>
      </w:r>
      <w:r>
        <w:rPr>
          <w:rFonts w:ascii="Arial" w:hAnsi="Arial" w:cs="Arial"/>
          <w:lang w:val="es-CO"/>
        </w:rPr>
        <w:t>olución y/o compensación.</w:t>
      </w:r>
    </w:p>
    <w:p w14:paraId="610C5613" w14:textId="77777777" w:rsidR="00B2442D" w:rsidRDefault="00B2442D">
      <w:pPr>
        <w:jc w:val="both"/>
        <w:rPr>
          <w:rFonts w:ascii="Arial" w:hAnsi="Arial" w:cs="Arial"/>
          <w:lang w:val="es-CO"/>
        </w:rPr>
      </w:pPr>
    </w:p>
    <w:p w14:paraId="314F020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se encuentre improcedente un saldo a favor que hubiere sido imputado en periodos subsiguientes, las modificaciones a la liquidación privada se harán respecto al período en el cual el contribuyente o responsable </w:t>
      </w:r>
      <w:r>
        <w:rPr>
          <w:rFonts w:ascii="Arial" w:hAnsi="Arial" w:cs="Arial"/>
          <w:lang w:val="es-CO"/>
        </w:rPr>
        <w:t>se determinó dicho saldo a favor, liquidando las sanciones a que hubiere lugar. En tal caso, la Dirección Seccional exigirá el reintegro de los saldos a favor imputados en forma improcedente incrementados con los respectivos intereses moratorios, cuando ha</w:t>
      </w:r>
      <w:r>
        <w:rPr>
          <w:rFonts w:ascii="Arial" w:hAnsi="Arial" w:cs="Arial"/>
          <w:lang w:val="es-CO"/>
        </w:rPr>
        <w:t>ya lugar a ello, sin perjuicio de lo establecido en el artículo 43 de la Ley 962 de 2005</w:t>
      </w:r>
    </w:p>
    <w:p w14:paraId="3F0E7CD2" w14:textId="77777777" w:rsidR="00B2442D" w:rsidRDefault="00B2442D">
      <w:pPr>
        <w:jc w:val="both"/>
        <w:rPr>
          <w:rFonts w:ascii="Arial" w:hAnsi="Arial" w:cs="Arial"/>
          <w:lang w:val="es-CO"/>
        </w:rPr>
      </w:pPr>
    </w:p>
    <w:p w14:paraId="29D764CC" w14:textId="77777777" w:rsidR="00B2442D" w:rsidRDefault="008A645F">
      <w:pPr>
        <w:jc w:val="both"/>
        <w:rPr>
          <w:rFonts w:ascii="Arial" w:hAnsi="Arial" w:cs="Arial"/>
          <w:i/>
          <w:lang w:val="es-CO"/>
        </w:rPr>
      </w:pPr>
      <w:r>
        <w:rPr>
          <w:rFonts w:ascii="Arial" w:hAnsi="Arial" w:cs="Arial"/>
          <w:i/>
          <w:lang w:val="es-CO"/>
        </w:rPr>
        <w:t>(Art. 13, Decreto 2277 de 2012, modificado por el art. 5 del Decreto 2877 de 2013)</w:t>
      </w:r>
      <w:r>
        <w:rPr>
          <w:rFonts w:ascii="Arial" w:hAnsi="Arial" w:cs="Arial"/>
        </w:rPr>
        <w:t xml:space="preserve"> </w:t>
      </w:r>
      <w:r>
        <w:rPr>
          <w:rFonts w:ascii="Arial" w:hAnsi="Arial" w:cs="Arial"/>
          <w:i/>
          <w:lang w:val="es-CO"/>
        </w:rPr>
        <w:t>(El Decreto 2277 de 2012 rige a partir del 1° de diciembre de 2012, previa su publi</w:t>
      </w:r>
      <w:r>
        <w:rPr>
          <w:rFonts w:ascii="Arial" w:hAnsi="Arial" w:cs="Arial"/>
          <w:i/>
          <w:lang w:val="es-CO"/>
        </w:rPr>
        <w:t>cación y deroga el Decreto 1000 de 1997, el artículo 13 del Decreto 522 de 2003 y las normas que le sean contrarías. Art. 27, Decreto 2277 de 2012)</w:t>
      </w:r>
    </w:p>
    <w:p w14:paraId="4742BE26" w14:textId="77777777" w:rsidR="00B2442D" w:rsidRDefault="00B2442D">
      <w:pPr>
        <w:jc w:val="both"/>
        <w:rPr>
          <w:rFonts w:ascii="Arial" w:hAnsi="Arial" w:cs="Arial"/>
          <w:i/>
          <w:lang w:val="es-CO"/>
        </w:rPr>
      </w:pPr>
    </w:p>
    <w:p w14:paraId="6685A20D"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Las retenciones deben descontarse en el mismo año fiscal en que fueron practicadas. </w:t>
      </w:r>
      <w:r>
        <w:rPr>
          <w:rFonts w:ascii="Arial" w:hAnsi="Arial" w:cs="Arial"/>
          <w:lang w:val="es-CO"/>
        </w:rPr>
        <w:t>Cuando el sujeto pasivo de retenciones en la fuente, esté obligado a presentar declaraciones de renta y complementario, deberá incluir las retenciones que le hubieren pract</w:t>
      </w:r>
      <w:r>
        <w:rPr>
          <w:rFonts w:ascii="Arial" w:hAnsi="Arial" w:cs="Arial"/>
          <w:lang w:val="es-CO"/>
        </w:rPr>
        <w:t>icado por un ejercicio fiscal, dentro de la liquidación privada correspondiente al mismo periodo, salvo que se trate de retenciones que le hubieren practicado sobre ingresos que de conformidad con las normas legales deban ser tratados como ingresos diferid</w:t>
      </w:r>
      <w:r>
        <w:rPr>
          <w:rFonts w:ascii="Arial" w:hAnsi="Arial" w:cs="Arial"/>
          <w:lang w:val="es-CO"/>
        </w:rPr>
        <w:t>os, caso en el cual las retenciones se incluirán en la declaración del periodo en el cual se causen dichos ingresos.</w:t>
      </w:r>
    </w:p>
    <w:p w14:paraId="2FA6BC4B" w14:textId="77777777" w:rsidR="00B2442D" w:rsidRDefault="00B2442D">
      <w:pPr>
        <w:jc w:val="both"/>
        <w:rPr>
          <w:rFonts w:ascii="Arial" w:hAnsi="Arial" w:cs="Arial"/>
          <w:lang w:val="es-CO"/>
        </w:rPr>
      </w:pPr>
    </w:p>
    <w:p w14:paraId="2A924E7B" w14:textId="77777777" w:rsidR="00B2442D" w:rsidRDefault="008A645F">
      <w:pPr>
        <w:jc w:val="both"/>
        <w:rPr>
          <w:rFonts w:ascii="Arial" w:hAnsi="Arial" w:cs="Arial"/>
          <w:lang w:val="es-CO"/>
        </w:rPr>
      </w:pPr>
      <w:r>
        <w:rPr>
          <w:rFonts w:ascii="Arial" w:hAnsi="Arial" w:cs="Arial"/>
          <w:lang w:val="es-CO"/>
        </w:rPr>
        <w:t>No habrá lugar a devolución y/o compensación originada en retenciones no incluidas en la respectiva declaración.</w:t>
      </w:r>
    </w:p>
    <w:p w14:paraId="49D9983A" w14:textId="77777777" w:rsidR="00B2442D" w:rsidRDefault="00B2442D">
      <w:pPr>
        <w:jc w:val="both"/>
        <w:rPr>
          <w:rFonts w:ascii="Arial" w:hAnsi="Arial" w:cs="Arial"/>
          <w:lang w:val="es-CO"/>
        </w:rPr>
      </w:pPr>
    </w:p>
    <w:p w14:paraId="3BB1D737" w14:textId="77777777" w:rsidR="00B2442D" w:rsidRDefault="008A645F">
      <w:pPr>
        <w:jc w:val="both"/>
        <w:rPr>
          <w:rFonts w:ascii="Arial" w:hAnsi="Arial" w:cs="Arial"/>
          <w:lang w:val="es-CO"/>
        </w:rPr>
      </w:pPr>
      <w:r>
        <w:rPr>
          <w:rFonts w:ascii="Arial" w:hAnsi="Arial" w:cs="Arial"/>
          <w:i/>
          <w:lang w:val="es-CO"/>
        </w:rPr>
        <w:t>(Art. 14, Decreto 2277 d</w:t>
      </w:r>
      <w:r>
        <w:rPr>
          <w:rFonts w:ascii="Arial" w:hAnsi="Arial" w:cs="Arial"/>
          <w:i/>
          <w:lang w:val="es-CO"/>
        </w:rPr>
        <w:t>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 2003 y las normas que le sean contrarías. Art. 27, Decreto 2277 de 2012)</w:t>
      </w:r>
    </w:p>
    <w:p w14:paraId="309A3345" w14:textId="77777777" w:rsidR="00B2442D" w:rsidRDefault="00B2442D">
      <w:pPr>
        <w:jc w:val="both"/>
        <w:rPr>
          <w:rFonts w:ascii="Arial" w:hAnsi="Arial" w:cs="Arial"/>
          <w:lang w:val="es-CO"/>
        </w:rPr>
      </w:pPr>
    </w:p>
    <w:p w14:paraId="26ADB330"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Compensación de </w:t>
      </w:r>
      <w:r>
        <w:rPr>
          <w:rFonts w:ascii="Arial" w:hAnsi="Arial" w:cs="Arial"/>
          <w:b/>
          <w:i/>
          <w:lang w:val="es-CO"/>
        </w:rPr>
        <w:t>los saldos cuando no se indica la obligación a cargo.</w:t>
      </w:r>
      <w:r>
        <w:rPr>
          <w:rFonts w:ascii="Arial" w:hAnsi="Arial" w:cs="Arial"/>
          <w:lang w:val="es-CO"/>
        </w:rPr>
        <w:t xml:space="preserve"> Cuando el solicitante de la devolución y/o compensación, no indique el periodo fiscal e impuesto al cual han de compensarse los saldos solicitados, la Unidad Administrativa Especial Dirección de Impuest</w:t>
      </w:r>
      <w:r>
        <w:rPr>
          <w:rFonts w:ascii="Arial" w:hAnsi="Arial" w:cs="Arial"/>
          <w:lang w:val="es-CO"/>
        </w:rPr>
        <w:t>os y Aduanas Nacionales– DIAN la efectuará a la deuda más antigua, en el orden de imputación establecido en el artículo 804 del Estatuto Tributario y normas concordantes.</w:t>
      </w:r>
    </w:p>
    <w:p w14:paraId="70BFF919" w14:textId="77777777" w:rsidR="00B2442D" w:rsidRDefault="00B2442D">
      <w:pPr>
        <w:jc w:val="both"/>
        <w:rPr>
          <w:rFonts w:ascii="Arial" w:hAnsi="Arial" w:cs="Arial"/>
          <w:lang w:val="es-CO"/>
        </w:rPr>
      </w:pPr>
    </w:p>
    <w:p w14:paraId="0FC42AEC" w14:textId="77777777" w:rsidR="00B2442D" w:rsidRDefault="008A645F">
      <w:pPr>
        <w:jc w:val="both"/>
        <w:rPr>
          <w:rFonts w:ascii="Arial" w:hAnsi="Arial" w:cs="Arial"/>
          <w:lang w:val="es-CO"/>
        </w:rPr>
      </w:pPr>
      <w:r>
        <w:rPr>
          <w:rFonts w:ascii="Arial" w:hAnsi="Arial" w:cs="Arial"/>
          <w:i/>
          <w:lang w:val="es-CO"/>
        </w:rPr>
        <w:t>(Art. 15, Decreto 2277 de 2012)</w:t>
      </w:r>
      <w:r>
        <w:rPr>
          <w:rFonts w:ascii="Arial" w:hAnsi="Arial" w:cs="Arial"/>
        </w:rPr>
        <w:t xml:space="preserve"> </w:t>
      </w:r>
      <w:r>
        <w:rPr>
          <w:rFonts w:ascii="Arial" w:hAnsi="Arial" w:cs="Arial"/>
          <w:i/>
          <w:lang w:val="es-CO"/>
        </w:rPr>
        <w:t>(El Decreto 2277 de 2012 rige a partir del 1° de dic</w:t>
      </w:r>
      <w:r>
        <w:rPr>
          <w:rFonts w:ascii="Arial" w:hAnsi="Arial" w:cs="Arial"/>
          <w:i/>
          <w:lang w:val="es-CO"/>
        </w:rPr>
        <w:t>iembre de 2012, previa su publicación y deroga el Decreto 1000 de 1997, el artículo 13 del Decreto 522 de 2003 y las normas que le sean contrarías. Art. 27, Decreto 2277 de 2012)</w:t>
      </w:r>
    </w:p>
    <w:p w14:paraId="73AF5681" w14:textId="77777777" w:rsidR="00B2442D" w:rsidRDefault="00B2442D">
      <w:pPr>
        <w:jc w:val="both"/>
        <w:rPr>
          <w:rFonts w:ascii="Arial" w:hAnsi="Arial" w:cs="Arial"/>
          <w:lang w:val="es-CO"/>
        </w:rPr>
      </w:pPr>
    </w:p>
    <w:p w14:paraId="28968A9A" w14:textId="77777777" w:rsidR="00B2442D" w:rsidRDefault="008A645F">
      <w:pPr>
        <w:pStyle w:val="Prrafodelista"/>
        <w:numPr>
          <w:ilvl w:val="0"/>
          <w:numId w:val="123"/>
        </w:numPr>
        <w:ind w:left="0" w:firstLine="0"/>
        <w:jc w:val="both"/>
        <w:rPr>
          <w:rFonts w:ascii="Arial" w:hAnsi="Arial" w:cs="Arial"/>
          <w:lang w:val="es-CO"/>
        </w:rPr>
      </w:pPr>
      <w:r>
        <w:rPr>
          <w:rFonts w:ascii="Arial" w:hAnsi="Arial" w:cs="Arial"/>
          <w:b/>
          <w:i/>
          <w:lang w:val="es-CO"/>
        </w:rPr>
        <w:t xml:space="preserve">Término para solicitar y efectuar la devolución por pagos de lo no debido. </w:t>
      </w:r>
      <w:r>
        <w:rPr>
          <w:rFonts w:ascii="Arial" w:hAnsi="Arial" w:cs="Arial"/>
          <w:lang w:val="es-CO"/>
        </w:rPr>
        <w:t>H</w:t>
      </w:r>
      <w:r>
        <w:rPr>
          <w:rFonts w:ascii="Arial" w:hAnsi="Arial" w:cs="Arial"/>
          <w:lang w:val="es-CO"/>
        </w:rPr>
        <w:t>abrá lugar a la devolución y/o compensación de los pagos efectuados a favor de la Unidad Administrativa Especial Dirección de Impuestos y Aduanas Nacionales– DIAN sin que exista causa legal para hacer exigible su cumplimiento, para lo cual deberá presentar</w:t>
      </w:r>
      <w:r>
        <w:rPr>
          <w:rFonts w:ascii="Arial" w:hAnsi="Arial" w:cs="Arial"/>
          <w:lang w:val="es-CO"/>
        </w:rPr>
        <w:t>se solicitud ante la Dirección Seccional de Impuestos o de Impuestos y Aduanas donde se efectuó el pago, dentro del término establecido en el artículo 1.6.1.21.22 del presente Decreto.</w:t>
      </w:r>
    </w:p>
    <w:p w14:paraId="324FF39D" w14:textId="77777777" w:rsidR="00B2442D" w:rsidRDefault="00B2442D">
      <w:pPr>
        <w:jc w:val="both"/>
        <w:rPr>
          <w:rFonts w:ascii="Arial" w:hAnsi="Arial" w:cs="Arial"/>
          <w:lang w:val="es-CO"/>
        </w:rPr>
      </w:pPr>
    </w:p>
    <w:p w14:paraId="40419451" w14:textId="77777777" w:rsidR="00B2442D" w:rsidRDefault="008A645F">
      <w:pPr>
        <w:jc w:val="both"/>
        <w:rPr>
          <w:rFonts w:ascii="Arial" w:hAnsi="Arial" w:cs="Arial"/>
          <w:lang w:val="es-CO"/>
        </w:rPr>
      </w:pPr>
      <w:r>
        <w:rPr>
          <w:rFonts w:ascii="Arial" w:hAnsi="Arial" w:cs="Arial"/>
          <w:lang w:val="es-CO"/>
        </w:rPr>
        <w:t>La Dirección Seccional de Impuestos o de Impuestos y Aduanas para reso</w:t>
      </w:r>
      <w:r>
        <w:rPr>
          <w:rFonts w:ascii="Arial" w:hAnsi="Arial" w:cs="Arial"/>
          <w:lang w:val="es-CO"/>
        </w:rPr>
        <w:t>lver la solicitud contará con el término establecido en el mismo artículo.</w:t>
      </w:r>
    </w:p>
    <w:p w14:paraId="2EE3CFCD" w14:textId="77777777" w:rsidR="00B2442D" w:rsidRDefault="00B2442D">
      <w:pPr>
        <w:jc w:val="both"/>
        <w:rPr>
          <w:rFonts w:ascii="Arial" w:hAnsi="Arial" w:cs="Arial"/>
          <w:lang w:val="es-CO"/>
        </w:rPr>
      </w:pPr>
    </w:p>
    <w:p w14:paraId="74A7C648"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la procedencia de las devoluciones y/o compensaciones a que se refiere el presente artículo, además de los requisitos generales pertinentes, en la solicitud deberá </w:t>
      </w:r>
      <w:r>
        <w:rPr>
          <w:rFonts w:ascii="Arial" w:hAnsi="Arial" w:cs="Arial"/>
          <w:lang w:val="es-CO"/>
        </w:rPr>
        <w:t>indicarse número y fecha de los recibos de pago correspondientes.</w:t>
      </w:r>
    </w:p>
    <w:p w14:paraId="636EBE0D" w14:textId="77777777" w:rsidR="00B2442D" w:rsidRDefault="00B2442D">
      <w:pPr>
        <w:jc w:val="both"/>
        <w:rPr>
          <w:rFonts w:ascii="Arial" w:hAnsi="Arial" w:cs="Arial"/>
          <w:lang w:val="es-CO"/>
        </w:rPr>
      </w:pPr>
    </w:p>
    <w:p w14:paraId="2A7DE957" w14:textId="77777777" w:rsidR="00B2442D" w:rsidRDefault="008A645F">
      <w:pPr>
        <w:jc w:val="both"/>
        <w:rPr>
          <w:rFonts w:ascii="Arial" w:hAnsi="Arial" w:cs="Arial"/>
          <w:lang w:val="es-CO"/>
        </w:rPr>
      </w:pPr>
      <w:r>
        <w:rPr>
          <w:rFonts w:ascii="Arial" w:hAnsi="Arial" w:cs="Arial"/>
          <w:i/>
          <w:lang w:val="es-CO"/>
        </w:rPr>
        <w:t>(Art. 16,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w:t>
      </w:r>
      <w:r>
        <w:rPr>
          <w:rFonts w:ascii="Arial" w:hAnsi="Arial" w:cs="Arial"/>
          <w:i/>
          <w:lang w:val="es-CO"/>
        </w:rPr>
        <w:t xml:space="preserve"> 2003 y las normas que le sean contrarías. Art. 27, Decreto 2277 de 2012)</w:t>
      </w:r>
    </w:p>
    <w:p w14:paraId="3B6D88AB" w14:textId="77777777" w:rsidR="00B2442D" w:rsidRDefault="00B2442D">
      <w:pPr>
        <w:jc w:val="both"/>
        <w:rPr>
          <w:rFonts w:ascii="Arial" w:hAnsi="Arial" w:cs="Arial"/>
          <w:lang w:val="es-CO"/>
        </w:rPr>
      </w:pPr>
    </w:p>
    <w:p w14:paraId="7420EEB2" w14:textId="77777777" w:rsidR="00B2442D" w:rsidRDefault="008A645F">
      <w:pPr>
        <w:pStyle w:val="Ttulo4"/>
        <w:rPr>
          <w:lang w:val="es-CO"/>
        </w:rPr>
      </w:pPr>
      <w:r>
        <w:rPr>
          <w:lang w:val="es-CO"/>
        </w:rPr>
        <w:t>CAPÍTULO 22</w:t>
      </w:r>
    </w:p>
    <w:p w14:paraId="2E72160E" w14:textId="77777777" w:rsidR="00B2442D" w:rsidRDefault="008A645F">
      <w:pPr>
        <w:pStyle w:val="Ttulo4"/>
        <w:rPr>
          <w:lang w:val="es-CO"/>
        </w:rPr>
      </w:pPr>
      <w:r>
        <w:rPr>
          <w:lang w:val="es-CO"/>
        </w:rPr>
        <w:t>Devolución del impuesto sobre las ventas y del impuesto nacional al consumo a diplomáticos, organismos internacionales y misiones diplomáticas y consulares</w:t>
      </w:r>
    </w:p>
    <w:p w14:paraId="69C4E66F" w14:textId="77777777" w:rsidR="00B2442D" w:rsidRDefault="00B2442D">
      <w:pPr>
        <w:rPr>
          <w:rFonts w:ascii="Arial" w:hAnsi="Arial" w:cs="Arial"/>
          <w:lang w:val="es-CO"/>
        </w:rPr>
      </w:pPr>
    </w:p>
    <w:p w14:paraId="41C917E0"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Exención del impuesto sobre las ventas y del impuesto nacional al consumo a diplomáticos, organismos internacionales y misiones diplomáticas y consulares. </w:t>
      </w:r>
      <w:r>
        <w:rPr>
          <w:rFonts w:ascii="Arial" w:hAnsi="Arial" w:cs="Arial"/>
          <w:lang w:val="es-CO"/>
        </w:rPr>
        <w:t xml:space="preserve">Las Misiones Diplomáticas y Consulares, los Organismos Internacionales y las Misiones de Cooperación </w:t>
      </w:r>
      <w:r>
        <w:rPr>
          <w:rFonts w:ascii="Arial" w:hAnsi="Arial" w:cs="Arial"/>
          <w:lang w:val="es-CO"/>
        </w:rPr>
        <w:t>y Asistencia Técnica, gozarán de la exención del Impuesto sobre las Ventas y del Impuesto Nacional al Consumo en Colombia de conformidad con lo dispuesto en los tratados, convenios, convenciones o acuerdos internacionales vigentes que hayan sido incorporad</w:t>
      </w:r>
      <w:r>
        <w:rPr>
          <w:rFonts w:ascii="Arial" w:hAnsi="Arial" w:cs="Arial"/>
          <w:lang w:val="es-CO"/>
        </w:rPr>
        <w:t>os a la legislación interna, y a falta de estos con base en la más estricta reciprocidad internacional.</w:t>
      </w:r>
    </w:p>
    <w:p w14:paraId="5AA5C743" w14:textId="77777777" w:rsidR="00B2442D" w:rsidRDefault="00B2442D">
      <w:pPr>
        <w:jc w:val="both"/>
        <w:rPr>
          <w:rFonts w:ascii="Arial" w:hAnsi="Arial" w:cs="Arial"/>
          <w:lang w:val="es-CO"/>
        </w:rPr>
      </w:pPr>
    </w:p>
    <w:p w14:paraId="24DA3BD8" w14:textId="77777777" w:rsidR="00B2442D" w:rsidRDefault="008A645F">
      <w:pPr>
        <w:jc w:val="both"/>
        <w:rPr>
          <w:rFonts w:ascii="Arial" w:hAnsi="Arial" w:cs="Arial"/>
          <w:i/>
          <w:lang w:val="es-CO"/>
        </w:rPr>
      </w:pPr>
      <w:r>
        <w:rPr>
          <w:rFonts w:ascii="Arial" w:hAnsi="Arial" w:cs="Arial"/>
          <w:i/>
          <w:lang w:val="es-CO"/>
        </w:rPr>
        <w:t>(Art. 1, Decreto 153 de 2014)</w:t>
      </w:r>
    </w:p>
    <w:p w14:paraId="63369386" w14:textId="77777777" w:rsidR="00B2442D" w:rsidRDefault="00B2442D">
      <w:pPr>
        <w:jc w:val="both"/>
        <w:rPr>
          <w:rFonts w:ascii="Arial" w:hAnsi="Arial" w:cs="Arial"/>
          <w:lang w:val="es-CO"/>
        </w:rPr>
      </w:pPr>
    </w:p>
    <w:p w14:paraId="3FC67583"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Competencia.</w:t>
      </w:r>
      <w:r>
        <w:rPr>
          <w:rFonts w:ascii="Arial" w:hAnsi="Arial" w:cs="Arial"/>
          <w:lang w:val="es-CO"/>
        </w:rPr>
        <w:t xml:space="preserve"> Las solicitudes de devolución por conceptos de adquisiciones efectuadas en Colombia a responsables del impuesto sobre las ventas y del impuesto nacional al consumo deberán ser suscritas por el Jefe de la Misión Diplomática, el Representante del Organismo </w:t>
      </w:r>
      <w:r>
        <w:rPr>
          <w:rFonts w:ascii="Arial" w:hAnsi="Arial" w:cs="Arial"/>
          <w:lang w:val="es-CO"/>
        </w:rPr>
        <w:t>Internacional o quien haga sus veces y presentadas ante la Dirección Seccional de Impuestos de Grandes Contribuyentes, por la persona que ellos deleguen.</w:t>
      </w:r>
    </w:p>
    <w:p w14:paraId="3B9709C4" w14:textId="77777777" w:rsidR="00B2442D" w:rsidRDefault="00B2442D">
      <w:pPr>
        <w:jc w:val="both"/>
        <w:rPr>
          <w:rFonts w:ascii="Arial" w:hAnsi="Arial" w:cs="Arial"/>
          <w:lang w:val="es-CO"/>
        </w:rPr>
      </w:pPr>
    </w:p>
    <w:p w14:paraId="2C5E829D" w14:textId="77777777" w:rsidR="00B2442D" w:rsidRDefault="008A645F">
      <w:pPr>
        <w:jc w:val="both"/>
        <w:rPr>
          <w:rFonts w:ascii="Arial" w:hAnsi="Arial" w:cs="Arial"/>
          <w:i/>
          <w:lang w:val="es-CO"/>
        </w:rPr>
      </w:pPr>
      <w:r>
        <w:rPr>
          <w:rFonts w:ascii="Arial" w:hAnsi="Arial" w:cs="Arial"/>
          <w:i/>
          <w:lang w:val="es-CO"/>
        </w:rPr>
        <w:t>(Art. 2, Decreto 153 de 2014)</w:t>
      </w:r>
    </w:p>
    <w:p w14:paraId="40C595C8" w14:textId="77777777" w:rsidR="00B2442D" w:rsidRDefault="00B2442D">
      <w:pPr>
        <w:jc w:val="both"/>
        <w:rPr>
          <w:rFonts w:ascii="Arial" w:hAnsi="Arial" w:cs="Arial"/>
          <w:lang w:val="es-CO"/>
        </w:rPr>
      </w:pPr>
    </w:p>
    <w:p w14:paraId="770FDDD7"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Información a cargo de la Dirección General de Protocolo.</w:t>
      </w:r>
      <w:r>
        <w:rPr>
          <w:rFonts w:ascii="Arial" w:hAnsi="Arial" w:cs="Arial"/>
          <w:lang w:val="es-CO"/>
        </w:rPr>
        <w:t xml:space="preserve"> Para la efe</w:t>
      </w:r>
      <w:r>
        <w:rPr>
          <w:rFonts w:ascii="Arial" w:hAnsi="Arial" w:cs="Arial"/>
          <w:lang w:val="es-CO"/>
        </w:rPr>
        <w:t>ctividad de la devolución consagrada en este Decreto la Dirección General de Protocolo del Ministerio de Relaciones Exteriores deberá informar a la Dirección Seccional de Impuestos de Grandes Contribuyentes, lo siguiente:</w:t>
      </w:r>
    </w:p>
    <w:p w14:paraId="36BE662F" w14:textId="77777777" w:rsidR="00B2442D" w:rsidRDefault="00B2442D">
      <w:pPr>
        <w:jc w:val="both"/>
        <w:rPr>
          <w:rFonts w:ascii="Arial" w:hAnsi="Arial" w:cs="Arial"/>
          <w:lang w:val="es-CO"/>
        </w:rPr>
      </w:pPr>
    </w:p>
    <w:p w14:paraId="4162F443" w14:textId="77777777" w:rsidR="00B2442D" w:rsidRDefault="008A645F">
      <w:pPr>
        <w:jc w:val="both"/>
        <w:rPr>
          <w:rFonts w:ascii="Arial" w:hAnsi="Arial" w:cs="Arial"/>
          <w:lang w:val="es-CO"/>
        </w:rPr>
      </w:pPr>
      <w:r>
        <w:rPr>
          <w:rFonts w:ascii="Arial" w:hAnsi="Arial" w:cs="Arial"/>
          <w:lang w:val="es-CO"/>
        </w:rPr>
        <w:t>1. Relación general de las mision</w:t>
      </w:r>
      <w:r>
        <w:rPr>
          <w:rFonts w:ascii="Arial" w:hAnsi="Arial" w:cs="Arial"/>
          <w:lang w:val="es-CO"/>
        </w:rPr>
        <w:t>es diplomáticas y consulares acreditadas ante el Gobierno de la República de Colombia.</w:t>
      </w:r>
    </w:p>
    <w:p w14:paraId="0C418A5B" w14:textId="77777777" w:rsidR="00B2442D" w:rsidRDefault="00B2442D">
      <w:pPr>
        <w:jc w:val="both"/>
        <w:rPr>
          <w:rFonts w:ascii="Arial" w:hAnsi="Arial" w:cs="Arial"/>
          <w:lang w:val="es-CO"/>
        </w:rPr>
      </w:pPr>
    </w:p>
    <w:p w14:paraId="49657AA2" w14:textId="77777777" w:rsidR="00B2442D" w:rsidRDefault="008A645F">
      <w:pPr>
        <w:jc w:val="both"/>
        <w:rPr>
          <w:rFonts w:ascii="Arial" w:hAnsi="Arial" w:cs="Arial"/>
          <w:lang w:val="es-CO"/>
        </w:rPr>
      </w:pPr>
      <w:r>
        <w:rPr>
          <w:rFonts w:ascii="Arial" w:hAnsi="Arial" w:cs="Arial"/>
          <w:lang w:val="es-CO"/>
        </w:rPr>
        <w:t>2. Relación general de los organismos internacionales, y las misiones de cooperación y asistencia técnica acreditadas ante el Gobierno de la República de Colombia ampar</w:t>
      </w:r>
      <w:r>
        <w:rPr>
          <w:rFonts w:ascii="Arial" w:hAnsi="Arial" w:cs="Arial"/>
          <w:lang w:val="es-CO"/>
        </w:rPr>
        <w:t>adas por convenios que consagran privilegios de orden fiscal, vigentes e incorporados a la legislación interna.</w:t>
      </w:r>
    </w:p>
    <w:p w14:paraId="551E6DD2" w14:textId="77777777" w:rsidR="00B2442D" w:rsidRDefault="00B2442D">
      <w:pPr>
        <w:jc w:val="both"/>
        <w:rPr>
          <w:rFonts w:ascii="Arial" w:hAnsi="Arial" w:cs="Arial"/>
          <w:lang w:val="es-CO"/>
        </w:rPr>
      </w:pPr>
    </w:p>
    <w:p w14:paraId="0B67EA62" w14:textId="77777777" w:rsidR="00B2442D" w:rsidRDefault="008A645F">
      <w:pPr>
        <w:jc w:val="both"/>
        <w:rPr>
          <w:rFonts w:ascii="Arial" w:hAnsi="Arial" w:cs="Arial"/>
          <w:lang w:val="es-CO"/>
        </w:rPr>
      </w:pPr>
      <w:r>
        <w:rPr>
          <w:rFonts w:ascii="Arial" w:hAnsi="Arial" w:cs="Arial"/>
          <w:lang w:val="es-CO"/>
        </w:rPr>
        <w:t xml:space="preserve">3. Nombre de los Jefes de Misión o Representantes de Organismos Internacionales que se encuentran ejerciendo las funciones del cargo, así como </w:t>
      </w:r>
      <w:r>
        <w:rPr>
          <w:rFonts w:ascii="Arial" w:hAnsi="Arial" w:cs="Arial"/>
          <w:lang w:val="es-CO"/>
        </w:rPr>
        <w:t>los nombres de quienes hagan sus veces en caso de ausencia o cambio del titular.</w:t>
      </w:r>
    </w:p>
    <w:p w14:paraId="2C9763F4" w14:textId="77777777" w:rsidR="00B2442D" w:rsidRDefault="00B2442D">
      <w:pPr>
        <w:jc w:val="both"/>
        <w:rPr>
          <w:rFonts w:ascii="Arial" w:hAnsi="Arial" w:cs="Arial"/>
          <w:lang w:val="es-CO"/>
        </w:rPr>
      </w:pPr>
    </w:p>
    <w:p w14:paraId="46E263E1"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información a que se refiere este artículo deberá suministrarse a más tardar el día 30 de noviembre de cada año a la Dirección Seccional de Impuestos de Grandes</w:t>
      </w:r>
      <w:r>
        <w:rPr>
          <w:rFonts w:ascii="Arial" w:hAnsi="Arial" w:cs="Arial"/>
          <w:lang w:val="es-CO"/>
        </w:rPr>
        <w:t xml:space="preserve"> Contribuyentes y se actualizará al día siguiente de presentarse modificaciones a su contenido.</w:t>
      </w:r>
    </w:p>
    <w:p w14:paraId="761E7937" w14:textId="77777777" w:rsidR="00B2442D" w:rsidRDefault="00B2442D">
      <w:pPr>
        <w:jc w:val="both"/>
        <w:rPr>
          <w:rFonts w:ascii="Arial" w:hAnsi="Arial" w:cs="Arial"/>
          <w:lang w:val="es-CO"/>
        </w:rPr>
      </w:pPr>
    </w:p>
    <w:p w14:paraId="0A1D21F4" w14:textId="77777777" w:rsidR="00B2442D" w:rsidRDefault="008A645F">
      <w:pPr>
        <w:jc w:val="both"/>
        <w:rPr>
          <w:rFonts w:ascii="Arial" w:hAnsi="Arial" w:cs="Arial"/>
          <w:i/>
          <w:lang w:val="es-CO"/>
        </w:rPr>
      </w:pPr>
      <w:r>
        <w:rPr>
          <w:rFonts w:ascii="Arial" w:hAnsi="Arial" w:cs="Arial"/>
          <w:i/>
          <w:lang w:val="es-CO"/>
        </w:rPr>
        <w:t>(Art. 3, Decreto 153 de 2014)</w:t>
      </w:r>
    </w:p>
    <w:p w14:paraId="1AAC4192" w14:textId="77777777" w:rsidR="00B2442D" w:rsidRDefault="00B2442D">
      <w:pPr>
        <w:jc w:val="both"/>
        <w:rPr>
          <w:rFonts w:ascii="Arial" w:hAnsi="Arial" w:cs="Arial"/>
          <w:lang w:val="es-CO"/>
        </w:rPr>
      </w:pPr>
    </w:p>
    <w:p w14:paraId="5D5C2CCB"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Requisitos. </w:t>
      </w:r>
      <w:r>
        <w:rPr>
          <w:rFonts w:ascii="Arial" w:hAnsi="Arial" w:cs="Arial"/>
          <w:lang w:val="es-CO"/>
        </w:rPr>
        <w:t>La solicitud de devolución deberá presentarse diligenciando el formato correspondiente, presentada por períodos bim</w:t>
      </w:r>
      <w:r>
        <w:rPr>
          <w:rFonts w:ascii="Arial" w:hAnsi="Arial" w:cs="Arial"/>
          <w:lang w:val="es-CO"/>
        </w:rPr>
        <w:t>estrales de acuerdo con el artículo 600 numeral 1 del Estatuto Tributario, indicando el fundamento legal que le concede la exención respectiva, anexando:</w:t>
      </w:r>
    </w:p>
    <w:p w14:paraId="342F4EC6" w14:textId="77777777" w:rsidR="00B2442D" w:rsidRDefault="00B2442D">
      <w:pPr>
        <w:jc w:val="both"/>
        <w:rPr>
          <w:rFonts w:ascii="Arial" w:hAnsi="Arial" w:cs="Arial"/>
          <w:lang w:val="es-CO"/>
        </w:rPr>
      </w:pPr>
    </w:p>
    <w:p w14:paraId="15EDD268" w14:textId="77777777" w:rsidR="00B2442D" w:rsidRDefault="008A645F">
      <w:pPr>
        <w:ind w:left="284" w:hanging="284"/>
        <w:jc w:val="both"/>
        <w:rPr>
          <w:rFonts w:ascii="Arial" w:hAnsi="Arial" w:cs="Arial"/>
          <w:lang w:val="es-CO"/>
        </w:rPr>
      </w:pPr>
      <w:r>
        <w:rPr>
          <w:rFonts w:ascii="Arial" w:hAnsi="Arial" w:cs="Arial"/>
          <w:lang w:val="es-CO"/>
        </w:rPr>
        <w:t>1. Relación de cada una de las facturas que dan derecho a exención por el período objeto de solicitud</w:t>
      </w:r>
      <w:r>
        <w:rPr>
          <w:rFonts w:ascii="Arial" w:hAnsi="Arial" w:cs="Arial"/>
          <w:lang w:val="es-CO"/>
        </w:rPr>
        <w:t xml:space="preserve"> en la que se indique el número de la factura, nombre o razón social, NIT, fecha de expedición, valor y monto del impuesto sobre las ventas y del impuesto nacional al consumo. </w:t>
      </w:r>
    </w:p>
    <w:p w14:paraId="5FAD9667" w14:textId="77777777" w:rsidR="00B2442D" w:rsidRDefault="00B2442D">
      <w:pPr>
        <w:ind w:left="284" w:hanging="284"/>
        <w:jc w:val="both"/>
        <w:rPr>
          <w:rFonts w:ascii="Arial" w:hAnsi="Arial" w:cs="Arial"/>
          <w:lang w:val="es-CO"/>
        </w:rPr>
      </w:pPr>
    </w:p>
    <w:p w14:paraId="216FD738" w14:textId="77777777" w:rsidR="00B2442D" w:rsidRDefault="008A645F">
      <w:pPr>
        <w:ind w:left="284"/>
        <w:jc w:val="both"/>
        <w:rPr>
          <w:rFonts w:ascii="Arial" w:hAnsi="Arial" w:cs="Arial"/>
          <w:lang w:val="es-CO"/>
        </w:rPr>
      </w:pPr>
      <w:r>
        <w:rPr>
          <w:rFonts w:ascii="Arial" w:hAnsi="Arial" w:cs="Arial"/>
          <w:lang w:val="es-CO"/>
        </w:rPr>
        <w:t>No serán admisibles facturas que hubieran sido expedidas con anterioridad supe</w:t>
      </w:r>
      <w:r>
        <w:rPr>
          <w:rFonts w:ascii="Arial" w:hAnsi="Arial" w:cs="Arial"/>
          <w:lang w:val="es-CO"/>
        </w:rPr>
        <w:t>rior a un año, contado desde la fecha de presentación de la documentación ante la Dirección Seccional de Impuestos de Grandes Contribuyentes.</w:t>
      </w:r>
    </w:p>
    <w:p w14:paraId="5AA0451A" w14:textId="77777777" w:rsidR="00B2442D" w:rsidRDefault="00B2442D">
      <w:pPr>
        <w:jc w:val="both"/>
        <w:rPr>
          <w:rFonts w:ascii="Arial" w:hAnsi="Arial" w:cs="Arial"/>
          <w:lang w:val="es-CO"/>
        </w:rPr>
      </w:pPr>
    </w:p>
    <w:p w14:paraId="5187D468" w14:textId="77777777" w:rsidR="00B2442D" w:rsidRDefault="008A645F">
      <w:pPr>
        <w:jc w:val="both"/>
        <w:rPr>
          <w:rFonts w:ascii="Arial" w:hAnsi="Arial" w:cs="Arial"/>
          <w:lang w:val="es-CO"/>
        </w:rPr>
      </w:pPr>
      <w:r>
        <w:rPr>
          <w:rFonts w:ascii="Arial" w:hAnsi="Arial" w:cs="Arial"/>
          <w:lang w:val="es-CO"/>
        </w:rPr>
        <w:t>2. El valor global de las mismas.</w:t>
      </w:r>
    </w:p>
    <w:p w14:paraId="62EC6B14" w14:textId="77777777" w:rsidR="00B2442D" w:rsidRDefault="00B2442D">
      <w:pPr>
        <w:jc w:val="both"/>
        <w:rPr>
          <w:rFonts w:ascii="Arial" w:hAnsi="Arial" w:cs="Arial"/>
          <w:lang w:val="es-CO"/>
        </w:rPr>
      </w:pPr>
    </w:p>
    <w:p w14:paraId="22D4BB2E" w14:textId="77777777" w:rsidR="00B2442D" w:rsidRDefault="008A645F">
      <w:pPr>
        <w:ind w:left="284" w:hanging="284"/>
        <w:jc w:val="both"/>
        <w:rPr>
          <w:rFonts w:ascii="Arial" w:hAnsi="Arial" w:cs="Arial"/>
          <w:lang w:val="es-CO"/>
        </w:rPr>
      </w:pPr>
      <w:r>
        <w:rPr>
          <w:rFonts w:ascii="Arial" w:hAnsi="Arial" w:cs="Arial"/>
          <w:lang w:val="es-CO"/>
        </w:rPr>
        <w:t xml:space="preserve">3. El monto del impuesto objeto de devolución, discriminando el monto del </w:t>
      </w:r>
      <w:r>
        <w:rPr>
          <w:rFonts w:ascii="Arial" w:hAnsi="Arial" w:cs="Arial"/>
          <w:lang w:val="es-CO"/>
        </w:rPr>
        <w:t>impuesto sobre las ventas y del impuesto nacional al consumo.</w:t>
      </w:r>
    </w:p>
    <w:p w14:paraId="561D902D" w14:textId="77777777" w:rsidR="00B2442D" w:rsidRDefault="00B2442D">
      <w:pPr>
        <w:ind w:left="284" w:hanging="284"/>
        <w:jc w:val="both"/>
        <w:rPr>
          <w:rFonts w:ascii="Arial" w:hAnsi="Arial" w:cs="Arial"/>
          <w:lang w:val="es-CO"/>
        </w:rPr>
      </w:pPr>
    </w:p>
    <w:p w14:paraId="4730FE97" w14:textId="77777777" w:rsidR="00B2442D" w:rsidRDefault="008A645F">
      <w:pPr>
        <w:ind w:left="284" w:hanging="284"/>
        <w:jc w:val="both"/>
        <w:rPr>
          <w:rFonts w:ascii="Arial" w:hAnsi="Arial" w:cs="Arial"/>
          <w:lang w:val="es-CO"/>
        </w:rPr>
      </w:pPr>
      <w:r>
        <w:rPr>
          <w:rFonts w:ascii="Arial" w:hAnsi="Arial" w:cs="Arial"/>
          <w:lang w:val="es-CO"/>
        </w:rPr>
        <w:t>4. Constancia de que las facturas tienen discriminado el impuesto sobre las ventas y el impuesto nacional al consumo; y cumplen los demás requisitos exigidos por la ley.</w:t>
      </w:r>
    </w:p>
    <w:p w14:paraId="3DA3C471" w14:textId="77777777" w:rsidR="00B2442D" w:rsidRDefault="00B2442D">
      <w:pPr>
        <w:jc w:val="both"/>
        <w:rPr>
          <w:rFonts w:ascii="Arial" w:hAnsi="Arial" w:cs="Arial"/>
          <w:lang w:val="es-CO"/>
        </w:rPr>
      </w:pPr>
    </w:p>
    <w:p w14:paraId="4EB3F7DE" w14:textId="77777777" w:rsidR="00B2442D" w:rsidRDefault="008A645F">
      <w:pPr>
        <w:jc w:val="both"/>
        <w:rPr>
          <w:rFonts w:ascii="Arial" w:hAnsi="Arial" w:cs="Arial"/>
          <w:lang w:val="es-CO"/>
        </w:rPr>
      </w:pPr>
      <w:r>
        <w:rPr>
          <w:rFonts w:ascii="Arial" w:hAnsi="Arial" w:cs="Arial"/>
          <w:lang w:val="es-CO"/>
        </w:rPr>
        <w:t>En el caso de los orga</w:t>
      </w:r>
      <w:r>
        <w:rPr>
          <w:rFonts w:ascii="Arial" w:hAnsi="Arial" w:cs="Arial"/>
          <w:lang w:val="es-CO"/>
        </w:rPr>
        <w:t>nismos internacionales la solicitud deberá estar firmada por el representante legal del organismo respectivo o quien haga sus veces.</w:t>
      </w:r>
    </w:p>
    <w:p w14:paraId="6938F12A" w14:textId="77777777" w:rsidR="00B2442D" w:rsidRDefault="00B2442D">
      <w:pPr>
        <w:jc w:val="both"/>
        <w:rPr>
          <w:rFonts w:ascii="Arial" w:hAnsi="Arial" w:cs="Arial"/>
        </w:rPr>
      </w:pPr>
    </w:p>
    <w:p w14:paraId="4888B937" w14:textId="77777777" w:rsidR="00B2442D" w:rsidRDefault="008A645F">
      <w:pPr>
        <w:jc w:val="both"/>
        <w:rPr>
          <w:rFonts w:ascii="Arial" w:hAnsi="Arial" w:cs="Arial"/>
          <w:i/>
          <w:lang w:val="es-CO"/>
        </w:rPr>
      </w:pPr>
      <w:r>
        <w:rPr>
          <w:rFonts w:ascii="Arial" w:hAnsi="Arial" w:cs="Arial"/>
          <w:i/>
          <w:lang w:val="es-CO"/>
        </w:rPr>
        <w:t>(Art. 4, Decreto 153 de 2014)</w:t>
      </w:r>
    </w:p>
    <w:p w14:paraId="40364E78" w14:textId="77777777" w:rsidR="00B2442D" w:rsidRDefault="00B2442D">
      <w:pPr>
        <w:jc w:val="both"/>
        <w:rPr>
          <w:rFonts w:ascii="Arial" w:hAnsi="Arial" w:cs="Arial"/>
        </w:rPr>
      </w:pPr>
    </w:p>
    <w:p w14:paraId="7E6D231D"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Forma de pago.</w:t>
      </w:r>
      <w:r>
        <w:rPr>
          <w:rFonts w:ascii="Arial" w:hAnsi="Arial" w:cs="Arial"/>
          <w:lang w:val="es-CO"/>
        </w:rPr>
        <w:t xml:space="preserve"> La devolución del Impuesto sobre las Ventas y del Impuesto Nacional al Cons</w:t>
      </w:r>
      <w:r>
        <w:rPr>
          <w:rFonts w:ascii="Arial" w:hAnsi="Arial" w:cs="Arial"/>
          <w:lang w:val="es-CO"/>
        </w:rPr>
        <w:t>umo cuando haya lugar a ello, se efectuará a la cuenta corriente o cuenta de ahorros que informe la entidad solicitante; para ello el beneficiario deberá entregar con la solicitud una constancia de la titularidad de la cuenta corriente o de ahorros activa,</w:t>
      </w:r>
      <w:r>
        <w:rPr>
          <w:rFonts w:ascii="Arial" w:hAnsi="Arial" w:cs="Arial"/>
          <w:lang w:val="es-CO"/>
        </w:rPr>
        <w:t xml:space="preserve"> en una entidad vigilada por la Superintendencia Financiera de Colombia, con fecha de expedición no mayor a un (1) mes.</w:t>
      </w:r>
    </w:p>
    <w:p w14:paraId="3BE9015A" w14:textId="77777777" w:rsidR="00B2442D" w:rsidRDefault="00B2442D">
      <w:pPr>
        <w:jc w:val="both"/>
        <w:rPr>
          <w:rFonts w:ascii="Arial" w:hAnsi="Arial" w:cs="Arial"/>
          <w:lang w:val="es-CO"/>
        </w:rPr>
      </w:pPr>
    </w:p>
    <w:p w14:paraId="74E5B03C" w14:textId="77777777" w:rsidR="00B2442D" w:rsidRDefault="008A645F">
      <w:pPr>
        <w:jc w:val="both"/>
        <w:rPr>
          <w:rFonts w:ascii="Arial" w:hAnsi="Arial" w:cs="Arial"/>
          <w:i/>
          <w:lang w:val="es-CO"/>
        </w:rPr>
      </w:pPr>
      <w:r>
        <w:rPr>
          <w:rFonts w:ascii="Arial" w:hAnsi="Arial" w:cs="Arial"/>
          <w:i/>
          <w:lang w:val="es-CO"/>
        </w:rPr>
        <w:t>(Art. 5, Decreto 153 de 2014)</w:t>
      </w:r>
    </w:p>
    <w:p w14:paraId="2AA6E622" w14:textId="77777777" w:rsidR="00B2442D" w:rsidRDefault="00B2442D">
      <w:pPr>
        <w:jc w:val="both"/>
        <w:rPr>
          <w:rFonts w:ascii="Arial" w:hAnsi="Arial" w:cs="Arial"/>
          <w:lang w:val="es-CO"/>
        </w:rPr>
      </w:pPr>
    </w:p>
    <w:p w14:paraId="5FD77566"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Término para efectuar la devolución.</w:t>
      </w:r>
      <w:r>
        <w:rPr>
          <w:rFonts w:ascii="Arial" w:hAnsi="Arial" w:cs="Arial"/>
          <w:lang w:val="es-CO"/>
        </w:rPr>
        <w:t xml:space="preserve"> El término para efectuar las devoluciones de que trata el presente</w:t>
      </w:r>
      <w:r>
        <w:rPr>
          <w:rFonts w:ascii="Arial" w:hAnsi="Arial" w:cs="Arial"/>
          <w:lang w:val="es-CO"/>
        </w:rPr>
        <w:t xml:space="preserve"> capítulo será el consagrado en el artículo 855 del Estatuto Tributario, contado a partir de la radicación de la solicitud en debida forma ante la Dirección Seccional de Impuestos de Grandes Contribuyentes.</w:t>
      </w:r>
    </w:p>
    <w:p w14:paraId="67BFBC18" w14:textId="77777777" w:rsidR="00B2442D" w:rsidRDefault="00B2442D">
      <w:pPr>
        <w:jc w:val="both"/>
        <w:rPr>
          <w:rFonts w:ascii="Arial" w:hAnsi="Arial" w:cs="Arial"/>
          <w:lang w:val="es-CO"/>
        </w:rPr>
      </w:pPr>
    </w:p>
    <w:p w14:paraId="419FD017" w14:textId="77777777" w:rsidR="00B2442D" w:rsidRDefault="008A645F">
      <w:pPr>
        <w:jc w:val="both"/>
        <w:rPr>
          <w:rFonts w:ascii="Arial" w:hAnsi="Arial" w:cs="Arial"/>
          <w:i/>
          <w:lang w:val="es-CO"/>
        </w:rPr>
      </w:pPr>
      <w:r>
        <w:rPr>
          <w:rFonts w:ascii="Arial" w:hAnsi="Arial" w:cs="Arial"/>
          <w:i/>
          <w:lang w:val="es-CO"/>
        </w:rPr>
        <w:t>(Art. 6, Decreto 153 de 2014)</w:t>
      </w:r>
    </w:p>
    <w:p w14:paraId="2AFEE75C" w14:textId="77777777" w:rsidR="00B2442D" w:rsidRDefault="00B2442D">
      <w:pPr>
        <w:jc w:val="both"/>
        <w:rPr>
          <w:rFonts w:ascii="Arial" w:hAnsi="Arial" w:cs="Arial"/>
          <w:lang w:val="es-CO"/>
        </w:rPr>
      </w:pPr>
    </w:p>
    <w:p w14:paraId="0FFE8892"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Verificación de </w:t>
      </w:r>
      <w:r>
        <w:rPr>
          <w:rFonts w:ascii="Arial" w:hAnsi="Arial" w:cs="Arial"/>
          <w:b/>
          <w:i/>
          <w:lang w:val="es-CO"/>
        </w:rPr>
        <w:t>las devoluciones.</w:t>
      </w:r>
      <w:r>
        <w:rPr>
          <w:rFonts w:ascii="Arial" w:hAnsi="Arial" w:cs="Arial"/>
          <w:lang w:val="es-CO"/>
        </w:rPr>
        <w:t xml:space="preserve"> La Dirección Seccional de Impuestos de Grandes Contribuyentes verificará, dentro del término para devolver el cumplimiento de los requisitos legales de que trata el presente capítulo. Para tal efecto podrá efectuar las investigaciones per</w:t>
      </w:r>
      <w:r>
        <w:rPr>
          <w:rFonts w:ascii="Arial" w:hAnsi="Arial" w:cs="Arial"/>
          <w:lang w:val="es-CO"/>
        </w:rPr>
        <w:t>tinentes, realizando cruces de información con los proveedores que expidieron las facturas tendientes a verificar el cumplimiento de los requisitos legales de que trata el artículo 617 del Estatuto Tributario, fecha de expedición y monto del impuesto sobre</w:t>
      </w:r>
      <w:r>
        <w:rPr>
          <w:rFonts w:ascii="Arial" w:hAnsi="Arial" w:cs="Arial"/>
          <w:lang w:val="es-CO"/>
        </w:rPr>
        <w:t xml:space="preserve"> las ventas y del impuesto nacional al consumo pagado.</w:t>
      </w:r>
    </w:p>
    <w:p w14:paraId="32C9FBD7" w14:textId="77777777" w:rsidR="00B2442D" w:rsidRDefault="00B2442D">
      <w:pPr>
        <w:jc w:val="both"/>
        <w:rPr>
          <w:rFonts w:ascii="Arial" w:hAnsi="Arial" w:cs="Arial"/>
          <w:lang w:val="es-CO"/>
        </w:rPr>
      </w:pPr>
    </w:p>
    <w:p w14:paraId="09CF46CB" w14:textId="77777777" w:rsidR="00B2442D" w:rsidRDefault="008A645F">
      <w:pPr>
        <w:jc w:val="both"/>
        <w:rPr>
          <w:rFonts w:ascii="Arial" w:hAnsi="Arial" w:cs="Arial"/>
          <w:i/>
          <w:lang w:val="es-CO"/>
        </w:rPr>
      </w:pPr>
      <w:r>
        <w:rPr>
          <w:rFonts w:ascii="Arial" w:hAnsi="Arial" w:cs="Arial"/>
          <w:i/>
          <w:lang w:val="es-CO"/>
        </w:rPr>
        <w:t>(Art. 7, Decreto 153 de 2014)</w:t>
      </w:r>
    </w:p>
    <w:p w14:paraId="6FDB8B7F" w14:textId="77777777" w:rsidR="00B2442D" w:rsidRDefault="00B2442D">
      <w:pPr>
        <w:jc w:val="both"/>
        <w:rPr>
          <w:rFonts w:ascii="Arial" w:hAnsi="Arial" w:cs="Arial"/>
          <w:lang w:val="es-CO"/>
        </w:rPr>
      </w:pPr>
    </w:p>
    <w:p w14:paraId="5483785A"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Auto inadmisorio.</w:t>
      </w:r>
      <w:r>
        <w:rPr>
          <w:rFonts w:ascii="Arial" w:hAnsi="Arial" w:cs="Arial"/>
          <w:lang w:val="es-CO"/>
        </w:rPr>
        <w:t xml:space="preserve"> Cuando las solicitudes no cumplan con los requisitos señalados en el artículo 1.6.1.22.4 del presente Decreto, la Dirección Seccional de Impuesto de Grandes Contribuyentes proferirá auto inadmisorio dentro del mismo término señalado en el artículo 858 del</w:t>
      </w:r>
      <w:r>
        <w:rPr>
          <w:rFonts w:ascii="Arial" w:hAnsi="Arial" w:cs="Arial"/>
          <w:lang w:val="es-CO"/>
        </w:rPr>
        <w:t xml:space="preserve"> Estatuto Tributario contado a partir de la radicación de la solicitud en debida forma ante la Dirección Seccional de Impuestos de Grandes Contribuyentes.</w:t>
      </w:r>
    </w:p>
    <w:p w14:paraId="52AD0037" w14:textId="77777777" w:rsidR="00B2442D" w:rsidRDefault="00B2442D">
      <w:pPr>
        <w:jc w:val="both"/>
        <w:rPr>
          <w:rFonts w:ascii="Arial" w:hAnsi="Arial" w:cs="Arial"/>
          <w:lang w:val="es-CO"/>
        </w:rPr>
      </w:pPr>
    </w:p>
    <w:p w14:paraId="51EE30EB" w14:textId="77777777" w:rsidR="00B2442D" w:rsidRDefault="008A645F">
      <w:pPr>
        <w:jc w:val="both"/>
        <w:rPr>
          <w:rFonts w:ascii="Arial" w:hAnsi="Arial" w:cs="Arial"/>
          <w:i/>
          <w:lang w:val="es-CO"/>
        </w:rPr>
      </w:pPr>
      <w:r>
        <w:rPr>
          <w:rFonts w:ascii="Arial" w:hAnsi="Arial" w:cs="Arial"/>
          <w:i/>
          <w:lang w:val="es-CO"/>
        </w:rPr>
        <w:t>(Art. 8, Decreto 153 de 2014)</w:t>
      </w:r>
    </w:p>
    <w:p w14:paraId="39D799A3" w14:textId="77777777" w:rsidR="00B2442D" w:rsidRDefault="00B2442D">
      <w:pPr>
        <w:jc w:val="both"/>
        <w:rPr>
          <w:rFonts w:ascii="Arial" w:hAnsi="Arial" w:cs="Arial"/>
          <w:lang w:val="es-CO"/>
        </w:rPr>
      </w:pPr>
    </w:p>
    <w:p w14:paraId="1F2DDC22" w14:textId="77777777" w:rsidR="00B2442D" w:rsidRDefault="008A645F">
      <w:pPr>
        <w:pStyle w:val="Prrafodelista"/>
        <w:numPr>
          <w:ilvl w:val="0"/>
          <w:numId w:val="124"/>
        </w:numPr>
        <w:ind w:left="0" w:firstLine="0"/>
        <w:jc w:val="both"/>
        <w:rPr>
          <w:rFonts w:ascii="Arial" w:hAnsi="Arial" w:cs="Arial"/>
          <w:lang w:val="es-CO"/>
        </w:rPr>
      </w:pPr>
      <w:r>
        <w:rPr>
          <w:rFonts w:ascii="Arial" w:hAnsi="Arial" w:cs="Arial"/>
          <w:b/>
          <w:i/>
          <w:lang w:val="es-CO"/>
        </w:rPr>
        <w:t xml:space="preserve"> Rechazo de la solicitud.</w:t>
      </w:r>
      <w:r>
        <w:rPr>
          <w:rFonts w:ascii="Arial" w:hAnsi="Arial" w:cs="Arial"/>
          <w:lang w:val="es-CO"/>
        </w:rPr>
        <w:t xml:space="preserve"> Las solicitudes de devolución deberán rechazarse definitivamente en los siguientes casos:</w:t>
      </w:r>
    </w:p>
    <w:p w14:paraId="3D62B6A1" w14:textId="77777777" w:rsidR="00B2442D" w:rsidRDefault="00B2442D">
      <w:pPr>
        <w:jc w:val="both"/>
        <w:rPr>
          <w:rFonts w:ascii="Arial" w:hAnsi="Arial" w:cs="Arial"/>
          <w:lang w:val="es-CO"/>
        </w:rPr>
      </w:pPr>
    </w:p>
    <w:p w14:paraId="0F0513C3" w14:textId="77777777" w:rsidR="00B2442D" w:rsidRDefault="008A645F">
      <w:pPr>
        <w:ind w:left="284" w:hanging="284"/>
        <w:jc w:val="both"/>
        <w:rPr>
          <w:rFonts w:ascii="Arial" w:hAnsi="Arial" w:cs="Arial"/>
          <w:lang w:val="es-CO"/>
        </w:rPr>
      </w:pPr>
      <w:r>
        <w:rPr>
          <w:rFonts w:ascii="Arial" w:hAnsi="Arial" w:cs="Arial"/>
          <w:lang w:val="es-CO"/>
        </w:rPr>
        <w:t>1. Cuando las facturas tengan una fecha de expedición superior a un año, teniendo como referencia la fecha de radicación de la solicitud, y para el caso del impuest</w:t>
      </w:r>
      <w:r>
        <w:rPr>
          <w:rFonts w:ascii="Arial" w:hAnsi="Arial" w:cs="Arial"/>
          <w:lang w:val="es-CO"/>
        </w:rPr>
        <w:t>o nacional al consumo las facturas no deben haber sido expedidas con anterioridad al 1 de enero de 2013.</w:t>
      </w:r>
    </w:p>
    <w:p w14:paraId="50D3C813" w14:textId="77777777" w:rsidR="00B2442D" w:rsidRDefault="00B2442D">
      <w:pPr>
        <w:ind w:left="284" w:hanging="284"/>
        <w:jc w:val="both"/>
        <w:rPr>
          <w:rFonts w:ascii="Arial" w:hAnsi="Arial" w:cs="Arial"/>
          <w:lang w:val="es-CO"/>
        </w:rPr>
      </w:pPr>
    </w:p>
    <w:p w14:paraId="67AF6F7F" w14:textId="77777777" w:rsidR="00B2442D" w:rsidRDefault="008A645F">
      <w:pPr>
        <w:ind w:left="284" w:hanging="284"/>
        <w:jc w:val="both"/>
        <w:rPr>
          <w:rFonts w:ascii="Arial" w:hAnsi="Arial" w:cs="Arial"/>
          <w:lang w:val="es-CO"/>
        </w:rPr>
      </w:pPr>
      <w:r>
        <w:rPr>
          <w:rFonts w:ascii="Arial" w:hAnsi="Arial" w:cs="Arial"/>
          <w:lang w:val="es-CO"/>
        </w:rPr>
        <w:t>2. Cuando el período solicitado ya haya sido objeto de devolución.</w:t>
      </w:r>
    </w:p>
    <w:p w14:paraId="505538DF" w14:textId="77777777" w:rsidR="00B2442D" w:rsidRDefault="00B2442D">
      <w:pPr>
        <w:ind w:left="284" w:hanging="284"/>
        <w:jc w:val="both"/>
        <w:rPr>
          <w:rFonts w:ascii="Arial" w:hAnsi="Arial" w:cs="Arial"/>
          <w:lang w:val="es-CO"/>
        </w:rPr>
      </w:pPr>
    </w:p>
    <w:p w14:paraId="7073A5C4" w14:textId="77777777" w:rsidR="00B2442D" w:rsidRDefault="008A645F">
      <w:pPr>
        <w:ind w:left="284" w:hanging="284"/>
        <w:jc w:val="both"/>
        <w:rPr>
          <w:rFonts w:ascii="Arial" w:hAnsi="Arial" w:cs="Arial"/>
          <w:lang w:val="es-CO"/>
        </w:rPr>
      </w:pPr>
      <w:r>
        <w:rPr>
          <w:rFonts w:ascii="Arial" w:hAnsi="Arial" w:cs="Arial"/>
          <w:lang w:val="es-CO"/>
        </w:rPr>
        <w:t>3. Cuando el solicitante no goce de exención.</w:t>
      </w:r>
    </w:p>
    <w:p w14:paraId="1FAB397B" w14:textId="77777777" w:rsidR="00B2442D" w:rsidRDefault="00B2442D">
      <w:pPr>
        <w:ind w:left="284" w:hanging="284"/>
        <w:jc w:val="both"/>
        <w:rPr>
          <w:rFonts w:ascii="Arial" w:hAnsi="Arial" w:cs="Arial"/>
          <w:lang w:val="es-CO"/>
        </w:rPr>
      </w:pPr>
    </w:p>
    <w:p w14:paraId="06C8DF1B" w14:textId="77777777" w:rsidR="00B2442D" w:rsidRDefault="008A645F">
      <w:pPr>
        <w:ind w:left="284" w:hanging="284"/>
        <w:jc w:val="both"/>
        <w:rPr>
          <w:rFonts w:ascii="Arial" w:hAnsi="Arial" w:cs="Arial"/>
          <w:lang w:val="es-CO"/>
        </w:rPr>
      </w:pPr>
      <w:r>
        <w:rPr>
          <w:rFonts w:ascii="Arial" w:hAnsi="Arial" w:cs="Arial"/>
          <w:lang w:val="es-CO"/>
        </w:rPr>
        <w:t>4. Cuando ocurra alguna de las caus</w:t>
      </w:r>
      <w:r>
        <w:rPr>
          <w:rFonts w:ascii="Arial" w:hAnsi="Arial" w:cs="Arial"/>
          <w:lang w:val="es-CO"/>
        </w:rPr>
        <w:t>ales contempladas en el artículo 857 del Estatuto Tributario.</w:t>
      </w:r>
    </w:p>
    <w:p w14:paraId="6323C3DB" w14:textId="77777777" w:rsidR="00B2442D" w:rsidRDefault="00B2442D">
      <w:pPr>
        <w:jc w:val="both"/>
        <w:rPr>
          <w:rFonts w:ascii="Arial" w:hAnsi="Arial" w:cs="Arial"/>
          <w:lang w:val="es-CO"/>
        </w:rPr>
      </w:pPr>
    </w:p>
    <w:p w14:paraId="6E1D9979" w14:textId="77777777" w:rsidR="00B2442D" w:rsidRDefault="008A645F">
      <w:pPr>
        <w:jc w:val="both"/>
        <w:rPr>
          <w:rFonts w:ascii="Arial" w:hAnsi="Arial" w:cs="Arial"/>
          <w:i/>
          <w:lang w:val="es-CO"/>
        </w:rPr>
      </w:pPr>
      <w:r>
        <w:rPr>
          <w:rFonts w:ascii="Arial" w:hAnsi="Arial" w:cs="Arial"/>
          <w:i/>
          <w:lang w:val="es-CO"/>
        </w:rPr>
        <w:t>(Art. 9, Decreto 153 de 2014)</w:t>
      </w:r>
    </w:p>
    <w:p w14:paraId="0095ACE6" w14:textId="77777777" w:rsidR="00B2442D" w:rsidRDefault="00B2442D">
      <w:pPr>
        <w:jc w:val="both"/>
        <w:rPr>
          <w:rFonts w:ascii="Arial" w:hAnsi="Arial" w:cs="Arial"/>
          <w:lang w:val="es-CO"/>
        </w:rPr>
      </w:pPr>
    </w:p>
    <w:p w14:paraId="0916A370" w14:textId="77777777" w:rsidR="00B2442D" w:rsidRDefault="008A645F">
      <w:pPr>
        <w:pStyle w:val="Ttulo4"/>
        <w:rPr>
          <w:lang w:val="es-CO"/>
        </w:rPr>
      </w:pPr>
      <w:r>
        <w:rPr>
          <w:lang w:val="es-CO"/>
        </w:rPr>
        <w:t>CAPÍTULO 23</w:t>
      </w:r>
    </w:p>
    <w:p w14:paraId="4488B5C9" w14:textId="77777777" w:rsidR="00B2442D" w:rsidRDefault="008A645F">
      <w:pPr>
        <w:pStyle w:val="Ttulo4"/>
        <w:rPr>
          <w:lang w:val="es-CO"/>
        </w:rPr>
      </w:pPr>
      <w:r>
        <w:rPr>
          <w:lang w:val="es-CO"/>
        </w:rPr>
        <w:t>Devolución del IVA a los turistas extranjeros no residentes en Colombia y a los visitantes extranjeros no residentes en Colombia en las Unidades Espec</w:t>
      </w:r>
      <w:r>
        <w:rPr>
          <w:lang w:val="es-CO"/>
        </w:rPr>
        <w:t>iales de Desarrollo Fronterizo</w:t>
      </w:r>
    </w:p>
    <w:p w14:paraId="4BB2CAE8" w14:textId="77777777" w:rsidR="00B2442D" w:rsidRDefault="00B2442D">
      <w:pPr>
        <w:jc w:val="center"/>
        <w:rPr>
          <w:rFonts w:ascii="Arial" w:hAnsi="Arial" w:cs="Arial"/>
          <w:b/>
          <w:i/>
          <w:lang w:val="es-CO"/>
        </w:rPr>
      </w:pPr>
    </w:p>
    <w:p w14:paraId="251EF136"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Devolución del IVA a los turistas extranjeros no residentes en Colombia y a los visitantes extranjeros no residentes en Colombia en las Unidades Especiales de Desarrollo Fronterizo</w:t>
      </w:r>
      <w:r>
        <w:rPr>
          <w:rFonts w:ascii="Arial" w:hAnsi="Arial" w:cs="Arial"/>
          <w:lang w:val="es-CO"/>
        </w:rPr>
        <w:t>. De conformidad con lo previsto en el inci</w:t>
      </w:r>
      <w:r>
        <w:rPr>
          <w:rFonts w:ascii="Arial" w:hAnsi="Arial" w:cs="Arial"/>
          <w:lang w:val="es-CO"/>
        </w:rPr>
        <w:t>so 1° del artículo 39 de la Ley 300 de 1996, modificado por el artículo 14 de la Ley 1101 de 2006, y lo señalado en el artículo 28 de la Ley 191 de 1995, modificado por el artículo 70 de la Ley 1607 de 2012, la Unidad Administrativa Especial Dirección de I</w:t>
      </w:r>
      <w:r>
        <w:rPr>
          <w:rFonts w:ascii="Arial" w:hAnsi="Arial" w:cs="Arial"/>
          <w:lang w:val="es-CO"/>
        </w:rPr>
        <w:t xml:space="preserve">mpuestos y Aduanas Nacionales-DIAN devolverá a los turistas extranjeros no residentes en Colombia por la compra de bienes gravados en el territorio nacional, y a los extranjeros en tránsito fronterizo no residentes en Colombia por la adquisición de bienes </w:t>
      </w:r>
      <w:r>
        <w:rPr>
          <w:rFonts w:ascii="Arial" w:hAnsi="Arial" w:cs="Arial"/>
          <w:lang w:val="es-CO"/>
        </w:rPr>
        <w:t>gravados realizadas en las Unidades Especiales de Desarrollo Fronterizo, el ciento por ciento (100%) del impuesto sobre las ventas, previo cumplimiento de las condiciones y requisitos señalados en el presente capítulo.</w:t>
      </w:r>
    </w:p>
    <w:p w14:paraId="2F1870AC" w14:textId="77777777" w:rsidR="00B2442D" w:rsidRDefault="00B2442D">
      <w:pPr>
        <w:jc w:val="both"/>
        <w:rPr>
          <w:rFonts w:ascii="Arial" w:hAnsi="Arial" w:cs="Arial"/>
          <w:lang w:val="es-CO"/>
        </w:rPr>
      </w:pPr>
    </w:p>
    <w:p w14:paraId="57A737F8" w14:textId="77777777" w:rsidR="00B2442D" w:rsidRDefault="008A645F">
      <w:pPr>
        <w:jc w:val="both"/>
        <w:rPr>
          <w:rFonts w:ascii="Arial" w:hAnsi="Arial" w:cs="Arial"/>
          <w:i/>
          <w:lang w:val="es-CO"/>
        </w:rPr>
      </w:pPr>
      <w:r>
        <w:rPr>
          <w:rFonts w:ascii="Arial" w:hAnsi="Arial" w:cs="Arial"/>
          <w:i/>
          <w:lang w:val="es-CO"/>
        </w:rPr>
        <w:t>(Art. 1, Decreto 1903 de 2014)</w:t>
      </w:r>
    </w:p>
    <w:p w14:paraId="451B1BDB" w14:textId="77777777" w:rsidR="00B2442D" w:rsidRDefault="00B2442D">
      <w:pPr>
        <w:jc w:val="both"/>
        <w:rPr>
          <w:rFonts w:ascii="Arial" w:hAnsi="Arial" w:cs="Arial"/>
          <w:lang w:val="es-CO"/>
        </w:rPr>
      </w:pPr>
    </w:p>
    <w:p w14:paraId="3C087694"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Tur</w:t>
      </w:r>
      <w:r>
        <w:rPr>
          <w:rFonts w:ascii="Arial" w:hAnsi="Arial" w:cs="Arial"/>
          <w:b/>
          <w:i/>
          <w:lang w:val="es-CO"/>
        </w:rPr>
        <w:t>ista extranjero no residente en Colombia.</w:t>
      </w:r>
      <w:r>
        <w:rPr>
          <w:rFonts w:ascii="Arial" w:hAnsi="Arial" w:cs="Arial"/>
          <w:lang w:val="es-CO"/>
        </w:rPr>
        <w:t xml:space="preserve"> Se considera como tal a los nacionales de otros países que ingresan al territorio nacional sin el ánimo de establecerse en él, con el único propósito de desarrollar actividades de descanso, esparcimiento, salud, ev</w:t>
      </w:r>
      <w:r>
        <w:rPr>
          <w:rFonts w:ascii="Arial" w:hAnsi="Arial" w:cs="Arial"/>
          <w:lang w:val="es-CO"/>
        </w:rPr>
        <w:t xml:space="preserve">entos, convenciones o negocios, de conformidad con lo establecido en el artículo 26 de la Ley 300 de 1996, modificado por el artículo 4° de la Ley 1558 de 2012, incluidos los pasajeros nacionales de otros países integrantes de grupos en tránsito de buques </w:t>
      </w:r>
      <w:r>
        <w:rPr>
          <w:rFonts w:ascii="Arial" w:hAnsi="Arial" w:cs="Arial"/>
          <w:lang w:val="es-CO"/>
        </w:rPr>
        <w:t>de cruceros turísticos.</w:t>
      </w:r>
    </w:p>
    <w:p w14:paraId="2BB9D353" w14:textId="77777777" w:rsidR="00B2442D" w:rsidRDefault="00B2442D">
      <w:pPr>
        <w:jc w:val="both"/>
        <w:rPr>
          <w:rFonts w:ascii="Arial" w:hAnsi="Arial" w:cs="Arial"/>
          <w:lang w:val="es-CO"/>
        </w:rPr>
      </w:pPr>
    </w:p>
    <w:p w14:paraId="12ECDC8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calidad de turista puede verificarse inicialmente, en el sello de inmigración estampado en el pasaporte o Tarjeta Andina Migratoria (TAM) o Mercosur del ciudadano extranjero o en la forma que se señale por las autorid</w:t>
      </w:r>
      <w:r>
        <w:rPr>
          <w:rFonts w:ascii="Arial" w:hAnsi="Arial" w:cs="Arial"/>
          <w:lang w:val="es-CO"/>
        </w:rPr>
        <w:t>ades migratorias. En este sello o mecanismo que se señale por las autoridades migratorias se establecerá la calidad migratoria vigente PIP-3, PIP-5, PIP-6 (Permiso de Ingreso y Permanencia) o la visa vigente temporal (TP-11, TP-12) o de Negocios NE exceptu</w:t>
      </w:r>
      <w:r>
        <w:rPr>
          <w:rFonts w:ascii="Arial" w:hAnsi="Arial" w:cs="Arial"/>
          <w:lang w:val="es-CO"/>
        </w:rPr>
        <w:t>ando la NE-3, para aquellos extranjeros que por su nacionalidad requieren de visa estampada en su pasaporte para ingresar a territorio nacional y los días de permanencia en el territorio nacional, según lo señalado en los artículos 2.2.1.11.7 y 2.2.1.11.2.</w:t>
      </w:r>
      <w:r>
        <w:rPr>
          <w:rFonts w:ascii="Arial" w:hAnsi="Arial" w:cs="Arial"/>
          <w:lang w:val="es-CO"/>
        </w:rPr>
        <w:t>6 del Decreto 1067 de 2015.</w:t>
      </w:r>
    </w:p>
    <w:p w14:paraId="23D55541" w14:textId="77777777" w:rsidR="00B2442D" w:rsidRDefault="00B2442D">
      <w:pPr>
        <w:jc w:val="both"/>
        <w:rPr>
          <w:rFonts w:ascii="Arial" w:hAnsi="Arial" w:cs="Arial"/>
          <w:lang w:val="es-CO"/>
        </w:rPr>
      </w:pPr>
    </w:p>
    <w:p w14:paraId="4A345E27" w14:textId="77777777" w:rsidR="00B2442D" w:rsidRDefault="008A645F">
      <w:pPr>
        <w:jc w:val="both"/>
        <w:rPr>
          <w:rFonts w:ascii="Arial" w:hAnsi="Arial" w:cs="Arial"/>
          <w:lang w:val="es-CO"/>
        </w:rPr>
      </w:pPr>
      <w:r>
        <w:rPr>
          <w:rFonts w:ascii="Arial" w:hAnsi="Arial" w:cs="Arial"/>
          <w:lang w:val="es-CO"/>
        </w:rPr>
        <w:t xml:space="preserve">En el caso de los pasajeros integrantes de grupos en tránsito de buques de cruceros turísticos que visiten los puertos marítimos o fluviales y que reembarquen en el mismo navío, se les otorgará un Permiso de Ingreso de </w:t>
      </w:r>
      <w:r>
        <w:rPr>
          <w:rFonts w:ascii="Arial" w:hAnsi="Arial" w:cs="Arial"/>
          <w:lang w:val="es-CO"/>
        </w:rPr>
        <w:t>Grupo en Tránsito (PGT), según lo señalado en el artículo 2.2.1.11.2.5 del Decreto 1067 de 2015, o como la autoridad migratoria lo reglamente y certifique.</w:t>
      </w:r>
    </w:p>
    <w:p w14:paraId="560CD934" w14:textId="77777777" w:rsidR="00B2442D" w:rsidRDefault="00B2442D">
      <w:pPr>
        <w:jc w:val="both"/>
        <w:rPr>
          <w:rFonts w:ascii="Arial" w:hAnsi="Arial" w:cs="Arial"/>
          <w:lang w:val="es-CO"/>
        </w:rPr>
      </w:pPr>
    </w:p>
    <w:p w14:paraId="45F59454" w14:textId="77777777" w:rsidR="00B2442D" w:rsidRDefault="008A645F">
      <w:pPr>
        <w:jc w:val="both"/>
        <w:rPr>
          <w:rFonts w:ascii="Arial" w:hAnsi="Arial" w:cs="Arial"/>
          <w:i/>
          <w:lang w:val="es-CO"/>
        </w:rPr>
      </w:pPr>
      <w:r>
        <w:rPr>
          <w:rFonts w:ascii="Arial" w:hAnsi="Arial" w:cs="Arial"/>
          <w:i/>
          <w:lang w:val="es-CO"/>
        </w:rPr>
        <w:t>(Art. 2, Decreto 1903 de 2014)</w:t>
      </w:r>
    </w:p>
    <w:p w14:paraId="79483EB1" w14:textId="77777777" w:rsidR="00B2442D" w:rsidRDefault="00B2442D">
      <w:pPr>
        <w:jc w:val="both"/>
        <w:rPr>
          <w:rFonts w:ascii="Arial" w:hAnsi="Arial" w:cs="Arial"/>
          <w:lang w:val="es-CO"/>
        </w:rPr>
      </w:pPr>
    </w:p>
    <w:p w14:paraId="639A06E2"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Visitante extranjero no residente en Colombia.</w:t>
      </w:r>
      <w:r>
        <w:rPr>
          <w:rFonts w:ascii="Arial" w:hAnsi="Arial" w:cs="Arial"/>
          <w:lang w:val="es-CO"/>
        </w:rPr>
        <w:t xml:space="preserve"> Para los efectos del</w:t>
      </w:r>
      <w:r>
        <w:rPr>
          <w:rFonts w:ascii="Arial" w:hAnsi="Arial" w:cs="Arial"/>
          <w:lang w:val="es-CO"/>
        </w:rPr>
        <w:t xml:space="preserve"> decreto, son visitantes extranjeros no residentes en Colombia, los nacionales de otros países que ingresan en tránsito fronterizo a la Unidad Especial de Desarrollo Fronterizo sin el ánimo de establecerse en él o en el resto del territorio nacional.</w:t>
      </w:r>
    </w:p>
    <w:p w14:paraId="2706EC3D" w14:textId="77777777" w:rsidR="00B2442D" w:rsidRDefault="00B2442D">
      <w:pPr>
        <w:jc w:val="both"/>
        <w:rPr>
          <w:rFonts w:ascii="Arial" w:hAnsi="Arial" w:cs="Arial"/>
          <w:lang w:val="es-CO"/>
        </w:rPr>
      </w:pPr>
    </w:p>
    <w:p w14:paraId="4FA1955C" w14:textId="77777777" w:rsidR="00B2442D" w:rsidRDefault="008A645F">
      <w:pPr>
        <w:jc w:val="both"/>
        <w:rPr>
          <w:rFonts w:ascii="Arial" w:hAnsi="Arial" w:cs="Arial"/>
          <w:lang w:val="es-CO"/>
        </w:rPr>
      </w:pPr>
      <w:r>
        <w:rPr>
          <w:rFonts w:ascii="Arial" w:hAnsi="Arial" w:cs="Arial"/>
          <w:lang w:val="es-CO"/>
        </w:rPr>
        <w:t>La c</w:t>
      </w:r>
      <w:r>
        <w:rPr>
          <w:rFonts w:ascii="Arial" w:hAnsi="Arial" w:cs="Arial"/>
          <w:lang w:val="es-CO"/>
        </w:rPr>
        <w:t>alidad de visitante extranjero no residente en Colombia se indicará en el sello de inmigración estampado en el pasaporte, documento de viaje, Tarjeta Andina Migratoria (TAM) o de Mercosur donde consta el ingreso (fecha del ingreso, días de permanencia auto</w:t>
      </w:r>
      <w:r>
        <w:rPr>
          <w:rFonts w:ascii="Arial" w:hAnsi="Arial" w:cs="Arial"/>
          <w:lang w:val="es-CO"/>
        </w:rPr>
        <w:t>rizados y/o tipo de ingreso) del visitante extranjero no residente en Colombia o en la forma que señalen las autoridades migratorias.</w:t>
      </w:r>
    </w:p>
    <w:p w14:paraId="04EBC2EB" w14:textId="77777777" w:rsidR="00B2442D" w:rsidRDefault="00B2442D">
      <w:pPr>
        <w:jc w:val="both"/>
        <w:rPr>
          <w:rFonts w:ascii="Arial" w:hAnsi="Arial" w:cs="Arial"/>
          <w:lang w:val="es-CO"/>
        </w:rPr>
      </w:pPr>
    </w:p>
    <w:p w14:paraId="63A1525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lo previsto en el artículo anterior y en este artículo, conforme con lo previsto en el artícul</w:t>
      </w:r>
      <w:r>
        <w:rPr>
          <w:rFonts w:ascii="Arial" w:hAnsi="Arial" w:cs="Arial"/>
          <w:lang w:val="es-CO"/>
        </w:rPr>
        <w:t>o 22 de la Ley 43 de 1993, los nacionales colombianos que ostenten doble nacionalidad no se consideran turistas extranjeros o visitantes extranjeros no residentes en Colombia y por ende no tienen derecho a la devolución del impuesto sobre las ventas previs</w:t>
      </w:r>
      <w:r>
        <w:rPr>
          <w:rFonts w:ascii="Arial" w:hAnsi="Arial" w:cs="Arial"/>
          <w:lang w:val="es-CO"/>
        </w:rPr>
        <w:t>ta en este decreto.</w:t>
      </w:r>
    </w:p>
    <w:p w14:paraId="3EE0AA73" w14:textId="77777777" w:rsidR="00B2442D" w:rsidRDefault="00B2442D">
      <w:pPr>
        <w:jc w:val="both"/>
        <w:rPr>
          <w:rFonts w:ascii="Arial" w:hAnsi="Arial" w:cs="Arial"/>
          <w:lang w:val="es-CO"/>
        </w:rPr>
      </w:pPr>
    </w:p>
    <w:p w14:paraId="4BF7C542" w14:textId="77777777" w:rsidR="00B2442D" w:rsidRDefault="008A645F">
      <w:pPr>
        <w:jc w:val="both"/>
        <w:rPr>
          <w:rFonts w:ascii="Arial" w:hAnsi="Arial" w:cs="Arial"/>
          <w:i/>
          <w:lang w:val="es-CO"/>
        </w:rPr>
      </w:pPr>
      <w:r>
        <w:rPr>
          <w:rFonts w:ascii="Arial" w:hAnsi="Arial" w:cs="Arial"/>
          <w:i/>
          <w:lang w:val="es-CO"/>
        </w:rPr>
        <w:t>(Art. 3, Decreto 1903 de 2014)</w:t>
      </w:r>
    </w:p>
    <w:p w14:paraId="7B5759C0" w14:textId="77777777" w:rsidR="00B2442D" w:rsidRDefault="00B2442D">
      <w:pPr>
        <w:jc w:val="both"/>
        <w:rPr>
          <w:rFonts w:ascii="Arial" w:hAnsi="Arial" w:cs="Arial"/>
          <w:lang w:val="es-CO"/>
        </w:rPr>
      </w:pPr>
    </w:p>
    <w:p w14:paraId="611B26B7"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Tarjeta Fiscal.</w:t>
      </w:r>
      <w:r>
        <w:rPr>
          <w:rFonts w:ascii="Arial" w:hAnsi="Arial" w:cs="Arial"/>
          <w:lang w:val="es-CO"/>
        </w:rPr>
        <w:t xml:space="preserve"> Para los efectos del presente decreto, los establecimientos de comercio ubicados en las Unidades Especiales de Desarrollo Fronterizo, que realicen la venta de bienes muebles gravados con</w:t>
      </w:r>
      <w:r>
        <w:rPr>
          <w:rFonts w:ascii="Arial" w:hAnsi="Arial" w:cs="Arial"/>
          <w:lang w:val="es-CO"/>
        </w:rPr>
        <w:t xml:space="preserve"> el IVA a los turistas extranjeros y a los visitantes extranjeros no residentes en Colombia, deberán tener vigente el Sistema Técnico de Control Tarjeta Fiscal a que se refieren los artículos 1.6.1.4.50 al 1.6.1.4.55 del presente Decreto.</w:t>
      </w:r>
    </w:p>
    <w:p w14:paraId="69A92002" w14:textId="77777777" w:rsidR="00B2442D" w:rsidRDefault="00B2442D">
      <w:pPr>
        <w:jc w:val="both"/>
        <w:rPr>
          <w:rFonts w:ascii="Arial" w:hAnsi="Arial" w:cs="Arial"/>
          <w:lang w:val="es-CO"/>
        </w:rPr>
      </w:pPr>
    </w:p>
    <w:p w14:paraId="183DCB4A" w14:textId="77777777" w:rsidR="00B2442D" w:rsidRDefault="008A645F">
      <w:pPr>
        <w:jc w:val="both"/>
        <w:rPr>
          <w:rFonts w:ascii="Arial" w:hAnsi="Arial" w:cs="Arial"/>
          <w:lang w:val="es-CO"/>
        </w:rPr>
      </w:pPr>
      <w:r>
        <w:rPr>
          <w:rFonts w:ascii="Arial" w:hAnsi="Arial" w:cs="Arial"/>
          <w:b/>
          <w:lang w:val="es-CO"/>
        </w:rPr>
        <w:t>Parágrafo Transi</w:t>
      </w:r>
      <w:r>
        <w:rPr>
          <w:rFonts w:ascii="Arial" w:hAnsi="Arial" w:cs="Arial"/>
          <w:b/>
          <w:lang w:val="es-CO"/>
        </w:rPr>
        <w:t>torio.</w:t>
      </w:r>
      <w:r>
        <w:rPr>
          <w:rFonts w:ascii="Arial" w:hAnsi="Arial" w:cs="Arial"/>
          <w:lang w:val="es-CO"/>
        </w:rPr>
        <w:t xml:space="preserve"> Dentro de los tres (3) meses siguientes al 26 de julio de 2010 (D. O. 47782) la Unidad Administrativa Especial Dirección de Impuestos y Aduanas Nacionales-DIAN regulará los requisitos y especificaciones técnicas de la tarjeta fiscal, una vez estable</w:t>
      </w:r>
      <w:r>
        <w:rPr>
          <w:rFonts w:ascii="Arial" w:hAnsi="Arial" w:cs="Arial"/>
          <w:lang w:val="es-CO"/>
        </w:rPr>
        <w:t>cidos por parte de esta Unidad será exigible para el estudio y trámite de la solicitud de devolución.</w:t>
      </w:r>
    </w:p>
    <w:p w14:paraId="15AC9234" w14:textId="77777777" w:rsidR="00B2442D" w:rsidRDefault="00B2442D">
      <w:pPr>
        <w:jc w:val="both"/>
        <w:rPr>
          <w:rFonts w:ascii="Arial" w:hAnsi="Arial" w:cs="Arial"/>
          <w:lang w:val="es-CO"/>
        </w:rPr>
      </w:pPr>
    </w:p>
    <w:p w14:paraId="187190D6" w14:textId="77777777" w:rsidR="00B2442D" w:rsidRDefault="008A645F">
      <w:pPr>
        <w:jc w:val="both"/>
        <w:rPr>
          <w:rFonts w:ascii="Arial" w:hAnsi="Arial" w:cs="Arial"/>
          <w:i/>
          <w:lang w:val="es-CO"/>
        </w:rPr>
      </w:pPr>
      <w:r>
        <w:rPr>
          <w:rFonts w:ascii="Arial" w:hAnsi="Arial" w:cs="Arial"/>
          <w:i/>
          <w:lang w:val="es-CO"/>
        </w:rPr>
        <w:t>(Art. 4, Decreto 1903 de 2014)</w:t>
      </w:r>
    </w:p>
    <w:p w14:paraId="57CE2135" w14:textId="77777777" w:rsidR="00B2442D" w:rsidRDefault="00B2442D">
      <w:pPr>
        <w:jc w:val="both"/>
        <w:rPr>
          <w:rFonts w:ascii="Arial" w:hAnsi="Arial" w:cs="Arial"/>
          <w:lang w:val="es-CO"/>
        </w:rPr>
      </w:pPr>
    </w:p>
    <w:p w14:paraId="19DCC253"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Bienes muebles gravados con derecho a la devolución del IVA.</w:t>
      </w:r>
      <w:r>
        <w:rPr>
          <w:rFonts w:ascii="Arial" w:hAnsi="Arial" w:cs="Arial"/>
          <w:lang w:val="es-CO"/>
        </w:rPr>
        <w:t xml:space="preserve"> Solamente otorgan derecho a la devolución del impuesto sobre las ventas los bienes muebles relacionados a continuación:</w:t>
      </w:r>
    </w:p>
    <w:p w14:paraId="4517BC59" w14:textId="77777777" w:rsidR="00B2442D" w:rsidRDefault="00B2442D">
      <w:pPr>
        <w:jc w:val="both"/>
        <w:rPr>
          <w:rFonts w:ascii="Arial" w:hAnsi="Arial" w:cs="Arial"/>
          <w:lang w:val="es-CO"/>
        </w:rPr>
      </w:pPr>
    </w:p>
    <w:p w14:paraId="3AA18623" w14:textId="77777777" w:rsidR="00B2442D" w:rsidRDefault="008A645F">
      <w:pPr>
        <w:jc w:val="both"/>
        <w:rPr>
          <w:rFonts w:ascii="Arial" w:hAnsi="Arial" w:cs="Arial"/>
          <w:lang w:val="es-CO"/>
        </w:rPr>
      </w:pPr>
      <w:r>
        <w:rPr>
          <w:rFonts w:ascii="Arial" w:hAnsi="Arial" w:cs="Arial"/>
          <w:lang w:val="es-CO"/>
        </w:rPr>
        <w:t>Bienes muebles:</w:t>
      </w:r>
    </w:p>
    <w:p w14:paraId="61A3C474" w14:textId="77777777" w:rsidR="00B2442D" w:rsidRDefault="00B2442D">
      <w:pPr>
        <w:jc w:val="both"/>
        <w:rPr>
          <w:rFonts w:ascii="Arial" w:hAnsi="Arial" w:cs="Arial"/>
          <w:lang w:val="es-CO"/>
        </w:rPr>
      </w:pPr>
    </w:p>
    <w:p w14:paraId="62B48AE1"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Confecciones</w:t>
      </w:r>
    </w:p>
    <w:p w14:paraId="4340B36D"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Calzado</w:t>
      </w:r>
    </w:p>
    <w:p w14:paraId="243046B3"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Marroquinería</w:t>
      </w:r>
    </w:p>
    <w:p w14:paraId="6B14FC4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 xml:space="preserve">Discos </w:t>
      </w:r>
      <w:r>
        <w:rPr>
          <w:rFonts w:ascii="Arial" w:hAnsi="Arial" w:cs="Arial"/>
          <w:lang w:val="es-CO"/>
        </w:rPr>
        <w:t>compactos</w:t>
      </w:r>
    </w:p>
    <w:p w14:paraId="1F1FBD16"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Artesanías</w:t>
      </w:r>
    </w:p>
    <w:p w14:paraId="1FA5C7F1"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Juguetería</w:t>
      </w:r>
    </w:p>
    <w:p w14:paraId="35F41EF3"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Lencería</w:t>
      </w:r>
    </w:p>
    <w:p w14:paraId="7154252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Electrodomésticos</w:t>
      </w:r>
    </w:p>
    <w:p w14:paraId="4422DB1B"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Joyería en general</w:t>
      </w:r>
    </w:p>
    <w:p w14:paraId="083C77A6"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Esmeraldas</w:t>
      </w:r>
    </w:p>
    <w:p w14:paraId="12C6D0CE"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Perfumes</w:t>
      </w:r>
    </w:p>
    <w:p w14:paraId="70453CD5" w14:textId="77777777" w:rsidR="00B2442D" w:rsidRDefault="008A645F">
      <w:pPr>
        <w:ind w:left="284" w:hanging="284"/>
        <w:jc w:val="both"/>
        <w:rPr>
          <w:rFonts w:ascii="Arial" w:hAnsi="Arial" w:cs="Arial"/>
          <w:lang w:val="es-CO"/>
        </w:rPr>
      </w:pPr>
      <w:r>
        <w:rPr>
          <w:rFonts w:ascii="Arial" w:hAnsi="Arial" w:cs="Arial"/>
          <w:lang w:val="es-CO"/>
        </w:rPr>
        <w:t>•</w:t>
      </w:r>
      <w:r>
        <w:rPr>
          <w:rFonts w:ascii="Arial" w:hAnsi="Arial" w:cs="Arial"/>
          <w:lang w:val="es-CO"/>
        </w:rPr>
        <w:tab/>
        <w:t>Artículos de ferretería</w:t>
      </w:r>
    </w:p>
    <w:p w14:paraId="2B3BBAF4" w14:textId="77777777" w:rsidR="00B2442D" w:rsidRDefault="00B2442D">
      <w:pPr>
        <w:jc w:val="both"/>
        <w:rPr>
          <w:rFonts w:ascii="Arial" w:hAnsi="Arial" w:cs="Arial"/>
          <w:lang w:val="es-CO"/>
        </w:rPr>
      </w:pPr>
    </w:p>
    <w:p w14:paraId="2D7FFAFC" w14:textId="77777777" w:rsidR="00B2442D" w:rsidRDefault="008A645F">
      <w:pPr>
        <w:jc w:val="both"/>
        <w:rPr>
          <w:rFonts w:ascii="Arial" w:hAnsi="Arial" w:cs="Arial"/>
          <w:i/>
          <w:lang w:val="es-CO"/>
        </w:rPr>
      </w:pPr>
      <w:r>
        <w:rPr>
          <w:rFonts w:ascii="Arial" w:hAnsi="Arial" w:cs="Arial"/>
          <w:i/>
          <w:lang w:val="es-CO"/>
        </w:rPr>
        <w:t>(Art. 5, Decreto 1903 de 2014)</w:t>
      </w:r>
    </w:p>
    <w:p w14:paraId="21CC4EF2" w14:textId="77777777" w:rsidR="00B2442D" w:rsidRDefault="00B2442D">
      <w:pPr>
        <w:jc w:val="both"/>
        <w:rPr>
          <w:rFonts w:ascii="Arial" w:hAnsi="Arial" w:cs="Arial"/>
          <w:lang w:val="es-CO"/>
        </w:rPr>
      </w:pPr>
    </w:p>
    <w:p w14:paraId="35FD52A3"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Montos objeto de devolución y unidades máximas de un mismo artículo.</w:t>
      </w:r>
      <w:r>
        <w:rPr>
          <w:rFonts w:ascii="Arial" w:hAnsi="Arial" w:cs="Arial"/>
          <w:lang w:val="es-CO"/>
        </w:rPr>
        <w:t xml:space="preserve"> Los turistas ex</w:t>
      </w:r>
      <w:r>
        <w:rPr>
          <w:rFonts w:ascii="Arial" w:hAnsi="Arial" w:cs="Arial"/>
          <w:lang w:val="es-CO"/>
        </w:rPr>
        <w:t xml:space="preserve">tranjeros no residentes en Colombia y los visitantes extranjeros no residentes en Colombia podrán solicitar la devolución del IVA por las compras de los bienes muebles gravados, mencionados en el artículo 1.6.1.23.5 del presente Decreto, cuando la cuantía </w:t>
      </w:r>
      <w:r>
        <w:rPr>
          <w:rFonts w:ascii="Arial" w:hAnsi="Arial" w:cs="Arial"/>
          <w:lang w:val="es-CO"/>
        </w:rPr>
        <w:t>de las mismas, incluido el IVA, sea igual o superior a diez (10) Unidades de Valor Tributario (UVT).</w:t>
      </w:r>
    </w:p>
    <w:p w14:paraId="5257FDF2" w14:textId="77777777" w:rsidR="00B2442D" w:rsidRDefault="00B2442D">
      <w:pPr>
        <w:jc w:val="both"/>
        <w:rPr>
          <w:rFonts w:ascii="Arial" w:hAnsi="Arial" w:cs="Arial"/>
          <w:lang w:val="es-CO"/>
        </w:rPr>
      </w:pPr>
    </w:p>
    <w:p w14:paraId="14B618BD" w14:textId="77777777" w:rsidR="00B2442D" w:rsidRDefault="008A645F">
      <w:pPr>
        <w:jc w:val="both"/>
        <w:rPr>
          <w:rFonts w:ascii="Arial" w:hAnsi="Arial" w:cs="Arial"/>
          <w:lang w:val="es-CO"/>
        </w:rPr>
      </w:pPr>
      <w:r>
        <w:rPr>
          <w:rFonts w:ascii="Arial" w:hAnsi="Arial" w:cs="Arial"/>
          <w:lang w:val="es-CO"/>
        </w:rPr>
        <w:t>El monto máximo de impuesto a devolver a que se refieren el presente capítulo, será hasta por un valor equivalente a cien (100) Unidades de Valor Tributar</w:t>
      </w:r>
      <w:r>
        <w:rPr>
          <w:rFonts w:ascii="Arial" w:hAnsi="Arial" w:cs="Arial"/>
          <w:lang w:val="es-CO"/>
        </w:rPr>
        <w:t>io (UVT).</w:t>
      </w:r>
    </w:p>
    <w:p w14:paraId="28DFCCC0" w14:textId="77777777" w:rsidR="00B2442D" w:rsidRDefault="00B2442D">
      <w:pPr>
        <w:jc w:val="both"/>
        <w:rPr>
          <w:rFonts w:ascii="Arial" w:hAnsi="Arial" w:cs="Arial"/>
          <w:lang w:val="es-CO"/>
        </w:rPr>
      </w:pPr>
    </w:p>
    <w:p w14:paraId="2CBE9D2B" w14:textId="77777777" w:rsidR="00B2442D" w:rsidRDefault="008A645F">
      <w:pPr>
        <w:jc w:val="both"/>
        <w:rPr>
          <w:rFonts w:ascii="Arial" w:hAnsi="Arial" w:cs="Arial"/>
          <w:lang w:val="es-CO"/>
        </w:rPr>
      </w:pPr>
      <w:r>
        <w:rPr>
          <w:rFonts w:ascii="Arial" w:hAnsi="Arial" w:cs="Arial"/>
          <w:lang w:val="es-CO"/>
        </w:rPr>
        <w:t>Tratándose de bienes muebles, la cantidad de unidades de un mismo artículo que dan derecho a la devolución del IVA a que se refiere el presente capítulo, por turista extranjero no residente en Colombia o visitante extranjero no residente en Colo</w:t>
      </w:r>
      <w:r>
        <w:rPr>
          <w:rFonts w:ascii="Arial" w:hAnsi="Arial" w:cs="Arial"/>
          <w:lang w:val="es-CO"/>
        </w:rPr>
        <w:t>mbia en las Unidades Especiales de Desarrollo Fronterizo, será máximo diez (10) por solicitud.</w:t>
      </w:r>
    </w:p>
    <w:p w14:paraId="27A05609" w14:textId="77777777" w:rsidR="00B2442D" w:rsidRDefault="00B2442D">
      <w:pPr>
        <w:jc w:val="both"/>
        <w:rPr>
          <w:rFonts w:ascii="Arial" w:hAnsi="Arial" w:cs="Arial"/>
          <w:lang w:val="es-CO"/>
        </w:rPr>
      </w:pPr>
    </w:p>
    <w:p w14:paraId="4D1161D3" w14:textId="77777777" w:rsidR="00B2442D" w:rsidRDefault="008A645F">
      <w:pPr>
        <w:jc w:val="both"/>
        <w:rPr>
          <w:rFonts w:ascii="Arial" w:hAnsi="Arial" w:cs="Arial"/>
          <w:i/>
          <w:lang w:val="es-CO"/>
        </w:rPr>
      </w:pPr>
      <w:r>
        <w:rPr>
          <w:rFonts w:ascii="Arial" w:hAnsi="Arial" w:cs="Arial"/>
          <w:i/>
          <w:lang w:val="es-CO"/>
        </w:rPr>
        <w:t>(Art. 6, Decreto 1903 de 2014)</w:t>
      </w:r>
    </w:p>
    <w:p w14:paraId="2EE2AB3A" w14:textId="77777777" w:rsidR="00B2442D" w:rsidRDefault="00B2442D">
      <w:pPr>
        <w:jc w:val="both"/>
        <w:rPr>
          <w:rFonts w:ascii="Arial" w:hAnsi="Arial" w:cs="Arial"/>
          <w:lang w:val="es-CO"/>
        </w:rPr>
      </w:pPr>
    </w:p>
    <w:p w14:paraId="48CFA62A"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Requisitos de la solicitud de devolución.</w:t>
      </w:r>
      <w:r>
        <w:rPr>
          <w:rFonts w:ascii="Arial" w:hAnsi="Arial" w:cs="Arial"/>
          <w:lang w:val="es-CO"/>
        </w:rPr>
        <w:t xml:space="preserve"> Para efectos de la devolución del impuesto sobre las ventas pagado en la adquisición </w:t>
      </w:r>
      <w:r>
        <w:rPr>
          <w:rFonts w:ascii="Arial" w:hAnsi="Arial" w:cs="Arial"/>
          <w:lang w:val="es-CO"/>
        </w:rPr>
        <w:t>de bienes señalados en el artículo 1.6.1.23.5 del presente Decreto, el turista extranjero no residente en Colombia y el visitante extranjero no residente en Colombia en las Unidades Especiales de Desarrollo Fronterizo, deberá:</w:t>
      </w:r>
    </w:p>
    <w:p w14:paraId="612667C8" w14:textId="77777777" w:rsidR="00B2442D" w:rsidRDefault="00B2442D">
      <w:pPr>
        <w:jc w:val="both"/>
        <w:rPr>
          <w:rFonts w:ascii="Arial" w:hAnsi="Arial" w:cs="Arial"/>
          <w:lang w:val="es-CO"/>
        </w:rPr>
      </w:pPr>
    </w:p>
    <w:p w14:paraId="19684B49" w14:textId="77777777" w:rsidR="00B2442D" w:rsidRDefault="008A645F">
      <w:pPr>
        <w:ind w:left="284" w:hanging="284"/>
        <w:jc w:val="both"/>
        <w:rPr>
          <w:rFonts w:ascii="Arial" w:hAnsi="Arial" w:cs="Arial"/>
          <w:lang w:val="es-CO"/>
        </w:rPr>
      </w:pPr>
      <w:r>
        <w:rPr>
          <w:rFonts w:ascii="Arial" w:hAnsi="Arial" w:cs="Arial"/>
          <w:lang w:val="es-CO"/>
        </w:rPr>
        <w:t>a) Presentar personalmente a</w:t>
      </w:r>
      <w:r>
        <w:rPr>
          <w:rFonts w:ascii="Arial" w:hAnsi="Arial" w:cs="Arial"/>
          <w:lang w:val="es-CO"/>
        </w:rPr>
        <w:t>l momento de la salida del país y antes del respectivo chequeo con la empresa transportadora, ante la dependencia competente de la Dirección Seccional de Aduanas o de Impuestos y Aduanas ubicada en el puesto de control del puerto o aeropuerto internacional</w:t>
      </w:r>
      <w:r>
        <w:rPr>
          <w:rFonts w:ascii="Arial" w:hAnsi="Arial" w:cs="Arial"/>
          <w:lang w:val="es-CO"/>
        </w:rPr>
        <w:t xml:space="preserve"> o en el puesto de control de la Unidad Especial de Desarrollo Fronterizo, debidamente diligenciado, el formulario de solicitud de devolución que para el efecto se prescriba, el cual, adicionalmente, debe autorizar la consulta de sus registros migratorios </w:t>
      </w:r>
      <w:r>
        <w:rPr>
          <w:rFonts w:ascii="Arial" w:hAnsi="Arial" w:cs="Arial"/>
          <w:lang w:val="es-CO"/>
        </w:rPr>
        <w:t>e informar una tarjeta de crédito internacional de las franquicias con las que tiene convenio la Unidad Administrativa Especial Dirección de Impuestos y Aduanas Nacionales-DIAN para realizar el abono.</w:t>
      </w:r>
    </w:p>
    <w:p w14:paraId="511CEB03" w14:textId="77777777" w:rsidR="00B2442D" w:rsidRDefault="00B2442D">
      <w:pPr>
        <w:ind w:left="284" w:hanging="284"/>
        <w:jc w:val="both"/>
        <w:rPr>
          <w:rFonts w:ascii="Arial" w:hAnsi="Arial" w:cs="Arial"/>
          <w:lang w:val="es-CO"/>
        </w:rPr>
      </w:pPr>
    </w:p>
    <w:p w14:paraId="5D70B478" w14:textId="77777777" w:rsidR="00B2442D" w:rsidRDefault="008A645F">
      <w:pPr>
        <w:ind w:left="284"/>
        <w:jc w:val="both"/>
        <w:rPr>
          <w:rFonts w:ascii="Arial" w:hAnsi="Arial" w:cs="Arial"/>
          <w:lang w:val="es-CO"/>
        </w:rPr>
      </w:pPr>
      <w:r>
        <w:rPr>
          <w:rFonts w:ascii="Arial" w:hAnsi="Arial" w:cs="Arial"/>
          <w:lang w:val="es-CO"/>
        </w:rPr>
        <w:t xml:space="preserve">En el evento que el itinerario de vuelo del </w:t>
      </w:r>
      <w:r>
        <w:rPr>
          <w:rFonts w:ascii="Arial" w:hAnsi="Arial" w:cs="Arial"/>
          <w:lang w:val="es-CO"/>
        </w:rPr>
        <w:t>solicitante sea con escala nacional, la Dirección Seccional competente para recepcionar la solicitud será donde se realice el chequeo del equipaje con entrega del mismo en el exterior, en consideración a la revisión que se debe realizar de las mercancías q</w:t>
      </w:r>
      <w:r>
        <w:rPr>
          <w:rFonts w:ascii="Arial" w:hAnsi="Arial" w:cs="Arial"/>
          <w:lang w:val="es-CO"/>
        </w:rPr>
        <w:t>ue dan derecho a la devolución.</w:t>
      </w:r>
    </w:p>
    <w:p w14:paraId="47C84C64" w14:textId="77777777" w:rsidR="00B2442D" w:rsidRDefault="00B2442D">
      <w:pPr>
        <w:ind w:left="284" w:hanging="284"/>
        <w:jc w:val="both"/>
        <w:rPr>
          <w:rFonts w:ascii="Arial" w:hAnsi="Arial" w:cs="Arial"/>
          <w:lang w:val="es-CO"/>
        </w:rPr>
      </w:pPr>
    </w:p>
    <w:p w14:paraId="6A276846" w14:textId="77777777" w:rsidR="00B2442D" w:rsidRDefault="008A645F">
      <w:pPr>
        <w:ind w:left="284" w:hanging="284"/>
        <w:jc w:val="both"/>
        <w:rPr>
          <w:rFonts w:ascii="Arial" w:hAnsi="Arial" w:cs="Arial"/>
          <w:lang w:val="es-CO"/>
        </w:rPr>
      </w:pPr>
      <w:r>
        <w:rPr>
          <w:rFonts w:ascii="Arial" w:hAnsi="Arial" w:cs="Arial"/>
          <w:lang w:val="es-CO"/>
        </w:rPr>
        <w:t xml:space="preserve">b) </w:t>
      </w:r>
      <w:r>
        <w:rPr>
          <w:rFonts w:ascii="Arial" w:hAnsi="Arial" w:cs="Arial"/>
          <w:lang w:val="es-CO"/>
        </w:rPr>
        <w:tab/>
        <w:t xml:space="preserve">Exhibir el pasaporte original, el permiso de ingreso y permanencia, tarjeta migratoria o cualquier otro documento de ingreso que compruebe su estatus migratorio, expedido por la Unidad Administrativa Especial Migración </w:t>
      </w:r>
      <w:r>
        <w:rPr>
          <w:rFonts w:ascii="Arial" w:hAnsi="Arial" w:cs="Arial"/>
          <w:lang w:val="es-CO"/>
        </w:rPr>
        <w:t>Colombia, de conformidad con lo señalado en los artículos 2.2.1.11.1 y siguientes del Decreto Único Reglamentario del 1067 de 2015 y en las demás normas que regulan el ingreso y permanencia de extranjeros en el territorio nacional.</w:t>
      </w:r>
    </w:p>
    <w:p w14:paraId="04D83E5E" w14:textId="77777777" w:rsidR="00B2442D" w:rsidRDefault="00B2442D">
      <w:pPr>
        <w:ind w:left="284" w:hanging="284"/>
        <w:jc w:val="both"/>
        <w:rPr>
          <w:rFonts w:ascii="Arial" w:hAnsi="Arial" w:cs="Arial"/>
          <w:lang w:val="es-CO"/>
        </w:rPr>
      </w:pPr>
    </w:p>
    <w:p w14:paraId="76DD5611"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Entregar fotocopia d</w:t>
      </w:r>
      <w:r>
        <w:rPr>
          <w:rFonts w:ascii="Arial" w:hAnsi="Arial" w:cs="Arial"/>
          <w:lang w:val="es-CO"/>
        </w:rPr>
        <w:t>el documento que acredita su estatus migratorio.</w:t>
      </w:r>
    </w:p>
    <w:p w14:paraId="243BB3AD" w14:textId="77777777" w:rsidR="00B2442D" w:rsidRDefault="00B2442D">
      <w:pPr>
        <w:ind w:left="284" w:hanging="284"/>
        <w:jc w:val="both"/>
        <w:rPr>
          <w:rFonts w:ascii="Arial" w:hAnsi="Arial" w:cs="Arial"/>
          <w:lang w:val="es-CO"/>
        </w:rPr>
      </w:pPr>
    </w:p>
    <w:p w14:paraId="2168C419"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Entregar el original de la(s) factura(s) de venta o fotocopia de la(s) misma(s) en la(s) que figure el solicitante de la devolución como titular, con el correspondiente comprobante de pago – tirilla de p</w:t>
      </w:r>
      <w:r>
        <w:rPr>
          <w:rFonts w:ascii="Arial" w:hAnsi="Arial" w:cs="Arial"/>
          <w:lang w:val="es-CO"/>
        </w:rPr>
        <w:t>ago – de conformidad con lo dispuesto en el artículo 1.6.1.4.46 del presente Decreto, la cual debe cumplir los requisitos establecidos en los artículos 617 y 618 del Estatuto Tributario y demás normas legales vigentes.</w:t>
      </w:r>
    </w:p>
    <w:p w14:paraId="4B37BB2A" w14:textId="77777777" w:rsidR="00B2442D" w:rsidRDefault="00B2442D">
      <w:pPr>
        <w:ind w:left="284" w:hanging="284"/>
        <w:jc w:val="both"/>
        <w:rPr>
          <w:rFonts w:ascii="Arial" w:hAnsi="Arial" w:cs="Arial"/>
          <w:lang w:val="es-CO"/>
        </w:rPr>
      </w:pPr>
    </w:p>
    <w:p w14:paraId="34140A0F"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Al momento de la presentación de </w:t>
      </w:r>
      <w:r>
        <w:rPr>
          <w:rFonts w:ascii="Arial" w:hAnsi="Arial" w:cs="Arial"/>
          <w:lang w:val="es-CO"/>
        </w:rPr>
        <w:t>la solicitud, las facturas que dan derecho a la devolución no deben exceder de seis (6) meses de haber sido expedidas en el caso de los turistas extranjeros y de tres (3) meses tratándose de los visitantes extranjeros no residentes en Colombia en las Unida</w:t>
      </w:r>
      <w:r>
        <w:rPr>
          <w:rFonts w:ascii="Arial" w:hAnsi="Arial" w:cs="Arial"/>
          <w:lang w:val="es-CO"/>
        </w:rPr>
        <w:t>des Especiales de Desarrollo Fronterizo;</w:t>
      </w:r>
    </w:p>
    <w:p w14:paraId="7FD2A614" w14:textId="77777777" w:rsidR="00B2442D" w:rsidRDefault="00B2442D">
      <w:pPr>
        <w:ind w:left="284" w:hanging="284"/>
        <w:jc w:val="both"/>
        <w:rPr>
          <w:rFonts w:ascii="Arial" w:hAnsi="Arial" w:cs="Arial"/>
          <w:lang w:val="es-CO"/>
        </w:rPr>
      </w:pPr>
    </w:p>
    <w:p w14:paraId="4F3A5C27" w14:textId="77777777" w:rsidR="00B2442D" w:rsidRDefault="008A645F">
      <w:pPr>
        <w:ind w:left="284" w:hanging="284"/>
        <w:jc w:val="both"/>
        <w:rPr>
          <w:rFonts w:ascii="Arial" w:hAnsi="Arial" w:cs="Arial"/>
          <w:lang w:val="es-CO"/>
        </w:rPr>
      </w:pPr>
      <w:r>
        <w:rPr>
          <w:rFonts w:ascii="Arial" w:hAnsi="Arial" w:cs="Arial"/>
          <w:lang w:val="es-CO"/>
        </w:rPr>
        <w:t xml:space="preserve">f) </w:t>
      </w:r>
      <w:r>
        <w:rPr>
          <w:rFonts w:ascii="Arial" w:hAnsi="Arial" w:cs="Arial"/>
          <w:lang w:val="es-CO"/>
        </w:rPr>
        <w:tab/>
        <w:t xml:space="preserve">Los visitantes extranjeros no residentes en Colombia en las Unidades Especiales de Desarrollo Fronterizo, deben realizar la adquisición de los bienes muebles gravados dentro de la Unidad Especial de Desarrollo </w:t>
      </w:r>
      <w:r>
        <w:rPr>
          <w:rFonts w:ascii="Arial" w:hAnsi="Arial" w:cs="Arial"/>
          <w:lang w:val="es-CO"/>
        </w:rPr>
        <w:t>Fronterizo donde se radicará la solicitud de devolución.</w:t>
      </w:r>
    </w:p>
    <w:p w14:paraId="0CEE2CFF" w14:textId="77777777" w:rsidR="00B2442D" w:rsidRDefault="00B2442D">
      <w:pPr>
        <w:ind w:left="284" w:hanging="284"/>
        <w:jc w:val="both"/>
        <w:rPr>
          <w:rFonts w:ascii="Arial" w:hAnsi="Arial" w:cs="Arial"/>
          <w:lang w:val="es-CO"/>
        </w:rPr>
      </w:pPr>
    </w:p>
    <w:p w14:paraId="2840EA89" w14:textId="77777777" w:rsidR="00B2442D" w:rsidRDefault="008A645F">
      <w:pPr>
        <w:ind w:left="284" w:hanging="284"/>
        <w:jc w:val="both"/>
        <w:rPr>
          <w:rFonts w:ascii="Arial" w:hAnsi="Arial" w:cs="Arial"/>
          <w:lang w:val="es-CO"/>
        </w:rPr>
      </w:pPr>
      <w:r>
        <w:rPr>
          <w:rFonts w:ascii="Arial" w:hAnsi="Arial" w:cs="Arial"/>
          <w:lang w:val="es-CO"/>
        </w:rPr>
        <w:t xml:space="preserve">g) </w:t>
      </w:r>
      <w:r>
        <w:rPr>
          <w:rFonts w:ascii="Arial" w:hAnsi="Arial" w:cs="Arial"/>
          <w:lang w:val="es-CO"/>
        </w:rPr>
        <w:tab/>
        <w:t>La adquisición de bienes gravados que otorga derecho a la devolución deberá realizarse a comerciantes inscritos en el régimen común del impuesto sobre las ventas.</w:t>
      </w:r>
    </w:p>
    <w:p w14:paraId="5D725093" w14:textId="77777777" w:rsidR="00B2442D" w:rsidRDefault="00B2442D">
      <w:pPr>
        <w:jc w:val="both"/>
        <w:rPr>
          <w:rFonts w:ascii="Arial" w:hAnsi="Arial" w:cs="Arial"/>
          <w:lang w:val="es-CO"/>
        </w:rPr>
      </w:pPr>
    </w:p>
    <w:p w14:paraId="058A0A32"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certificar </w:t>
      </w:r>
      <w:r>
        <w:rPr>
          <w:rFonts w:ascii="Arial" w:hAnsi="Arial" w:cs="Arial"/>
          <w:lang w:val="es-CO"/>
        </w:rPr>
        <w:t>la condición migratoria como requisito para tener derecho a la devolución del IVA, el visitante extranjero no residente en Colombia en las Unidades Especiales de Desarrollo Fronterizo, deberá realizar el registro de ingreso y salida del territorio nacional</w:t>
      </w:r>
      <w:r>
        <w:rPr>
          <w:rFonts w:ascii="Arial" w:hAnsi="Arial" w:cs="Arial"/>
          <w:lang w:val="es-CO"/>
        </w:rPr>
        <w:t xml:space="preserve"> en los puestos de control migratorio habilitados para tal fin por la Unidad Administrativa Especial Migración Colombia.</w:t>
      </w:r>
    </w:p>
    <w:p w14:paraId="1BB5DE22" w14:textId="77777777" w:rsidR="00B2442D" w:rsidRDefault="00B2442D">
      <w:pPr>
        <w:jc w:val="both"/>
        <w:rPr>
          <w:rFonts w:ascii="Arial" w:hAnsi="Arial" w:cs="Arial"/>
          <w:lang w:val="es-CO"/>
        </w:rPr>
      </w:pPr>
    </w:p>
    <w:p w14:paraId="2B177A2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En caso de turistas extranjeros integrantes de grupos de tránsito en buques de cruceros turísticos, deberán presentar lo</w:t>
      </w:r>
      <w:r>
        <w:rPr>
          <w:rFonts w:ascii="Arial" w:hAnsi="Arial" w:cs="Arial"/>
          <w:lang w:val="es-CO"/>
        </w:rPr>
        <w:t>s documentos establecidos por la autoridad migratoria.</w:t>
      </w:r>
    </w:p>
    <w:p w14:paraId="3EB5B555" w14:textId="77777777" w:rsidR="00B2442D" w:rsidRDefault="00B2442D">
      <w:pPr>
        <w:jc w:val="both"/>
        <w:rPr>
          <w:rFonts w:ascii="Arial" w:hAnsi="Arial" w:cs="Arial"/>
          <w:lang w:val="es-CO"/>
        </w:rPr>
      </w:pPr>
    </w:p>
    <w:p w14:paraId="5BFA5A30" w14:textId="77777777" w:rsidR="00B2442D" w:rsidRDefault="008A645F">
      <w:pPr>
        <w:jc w:val="both"/>
        <w:rPr>
          <w:rFonts w:ascii="Arial" w:hAnsi="Arial" w:cs="Arial"/>
          <w:lang w:val="es-CO"/>
        </w:rPr>
      </w:pPr>
      <w:r>
        <w:rPr>
          <w:rFonts w:ascii="Arial" w:hAnsi="Arial" w:cs="Arial"/>
          <w:lang w:val="es-CO"/>
        </w:rPr>
        <w:t>A efectos de certificar su condición migratoria como requisito para acceder a la devolución señalada en este capítulo, los integrantes de grupos en tránsito de buques de cruceros turísticos, deberán r</w:t>
      </w:r>
      <w:r>
        <w:rPr>
          <w:rFonts w:ascii="Arial" w:hAnsi="Arial" w:cs="Arial"/>
          <w:lang w:val="es-CO"/>
        </w:rPr>
        <w:t>egistrar su ingreso y salida del territorio nacional en el Puesto de Control Migratorio de la Unidad Administrativa Especial Migración Colombia asentada en la zona, quien establecerá la calidad migratoria (PGT = Permiso de ingreso de Grupo en Tránsito). Pa</w:t>
      </w:r>
      <w:r>
        <w:rPr>
          <w:rFonts w:ascii="Arial" w:hAnsi="Arial" w:cs="Arial"/>
          <w:lang w:val="es-CO"/>
        </w:rPr>
        <w:t>ra tal efecto, no se requerirá visa ni diligenciar tarjeta migratoria por parte del pasajero, tampoco será necesario el estampado de sello de entrada o salida en el pasaporte o documento de viaje, o como la autoridad migratoria lo reglamente y certifique.</w:t>
      </w:r>
    </w:p>
    <w:p w14:paraId="2E62DB40" w14:textId="77777777" w:rsidR="00B2442D" w:rsidRDefault="00B2442D">
      <w:pPr>
        <w:jc w:val="both"/>
        <w:rPr>
          <w:rFonts w:ascii="Arial" w:hAnsi="Arial" w:cs="Arial"/>
          <w:lang w:val="es-CO"/>
        </w:rPr>
      </w:pPr>
    </w:p>
    <w:p w14:paraId="2181EABD"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compra de los bienes gravados con el impuesto sobre las ventas, expresamente señalados en el presente capítulo, se debe efectuar electrónicamente en forma presencial a través de datafono, mediante tarjeta de crédito y/o débito internacional emitida fue</w:t>
      </w:r>
      <w:r>
        <w:rPr>
          <w:rFonts w:ascii="Arial" w:hAnsi="Arial" w:cs="Arial"/>
          <w:lang w:val="es-CO"/>
        </w:rPr>
        <w:t>ra del país.</w:t>
      </w:r>
    </w:p>
    <w:p w14:paraId="101708E3" w14:textId="77777777" w:rsidR="00B2442D" w:rsidRDefault="00B2442D">
      <w:pPr>
        <w:jc w:val="both"/>
        <w:rPr>
          <w:rFonts w:ascii="Arial" w:hAnsi="Arial" w:cs="Arial"/>
          <w:lang w:val="es-CO"/>
        </w:rPr>
      </w:pPr>
    </w:p>
    <w:p w14:paraId="5EBCB718" w14:textId="77777777" w:rsidR="00B2442D" w:rsidRDefault="008A645F">
      <w:pPr>
        <w:jc w:val="both"/>
        <w:rPr>
          <w:rFonts w:ascii="Arial" w:hAnsi="Arial" w:cs="Arial"/>
          <w:lang w:val="es-CO"/>
        </w:rPr>
      </w:pPr>
      <w:r>
        <w:rPr>
          <w:rFonts w:ascii="Arial" w:hAnsi="Arial" w:cs="Arial"/>
          <w:lang w:val="es-CO"/>
        </w:rPr>
        <w:t xml:space="preserve">Tratándose de los visitantes extranjeros no residentes en Colombia en las Unidades Especiales de Desarrollo Fronterizo, la devolución del impuesto sobre las ventas de que trata este capítulo, procederá adicionalmente por las adquisiciones de </w:t>
      </w:r>
      <w:r>
        <w:rPr>
          <w:rFonts w:ascii="Arial" w:hAnsi="Arial" w:cs="Arial"/>
          <w:lang w:val="es-CO"/>
        </w:rPr>
        <w:t>bienes que se efectúen en efectivo, a partir de la implementación de la tarjeta fiscal.</w:t>
      </w:r>
    </w:p>
    <w:p w14:paraId="08C8EA44" w14:textId="77777777" w:rsidR="00B2442D" w:rsidRDefault="00B2442D">
      <w:pPr>
        <w:jc w:val="both"/>
        <w:rPr>
          <w:rFonts w:ascii="Arial" w:hAnsi="Arial" w:cs="Arial"/>
          <w:lang w:val="es-CO"/>
        </w:rPr>
      </w:pPr>
    </w:p>
    <w:p w14:paraId="1ECFDE50"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La Unidad Administrativa Especial Dirección de Impuestos y Aduanas Nacionales-DIAN, podrá consultar los registros migratorios en virtud de la autorizació</w:t>
      </w:r>
      <w:r>
        <w:rPr>
          <w:rFonts w:ascii="Arial" w:hAnsi="Arial" w:cs="Arial"/>
          <w:lang w:val="es-CO"/>
        </w:rPr>
        <w:t>n legal conferida por el artículo 20 de la Ley 57 de 1985, de acuerdo con el procedimiento que para este fin sea acordado con la Unidad Administrativa Especial Migración Colombia.</w:t>
      </w:r>
    </w:p>
    <w:p w14:paraId="279071F7" w14:textId="77777777" w:rsidR="00B2442D" w:rsidRDefault="00B2442D">
      <w:pPr>
        <w:jc w:val="both"/>
        <w:rPr>
          <w:rFonts w:ascii="Arial" w:hAnsi="Arial" w:cs="Arial"/>
          <w:lang w:val="es-CO"/>
        </w:rPr>
      </w:pPr>
    </w:p>
    <w:p w14:paraId="6B70CE78" w14:textId="77777777" w:rsidR="00B2442D" w:rsidRDefault="008A645F">
      <w:pPr>
        <w:jc w:val="both"/>
        <w:rPr>
          <w:rFonts w:ascii="Arial" w:hAnsi="Arial" w:cs="Arial"/>
          <w:lang w:val="es-CO"/>
        </w:rPr>
      </w:pPr>
      <w:r>
        <w:rPr>
          <w:rFonts w:ascii="Arial" w:hAnsi="Arial" w:cs="Arial"/>
          <w:b/>
          <w:lang w:val="es-CO"/>
        </w:rPr>
        <w:t>Parágrafo 5°.</w:t>
      </w:r>
      <w:r>
        <w:rPr>
          <w:rFonts w:ascii="Arial" w:hAnsi="Arial" w:cs="Arial"/>
          <w:lang w:val="es-CO"/>
        </w:rPr>
        <w:t xml:space="preserve"> Con base en lo previsto en el artículo 684-2 del Estatuto Tributario la Unidad Administrativa Especial Dirección de Impuestos y Aduanas Nacionales-DIAN podrá establecer un sistema técnico de control que permita identificar las facturas expedidas que acred</w:t>
      </w:r>
      <w:r>
        <w:rPr>
          <w:rFonts w:ascii="Arial" w:hAnsi="Arial" w:cs="Arial"/>
          <w:lang w:val="es-CO"/>
        </w:rPr>
        <w:t>itan el derecho a la devolución de que trata el presente capítulo.</w:t>
      </w:r>
    </w:p>
    <w:p w14:paraId="61ADC535" w14:textId="77777777" w:rsidR="00B2442D" w:rsidRDefault="00B2442D">
      <w:pPr>
        <w:jc w:val="both"/>
        <w:rPr>
          <w:rFonts w:ascii="Arial" w:hAnsi="Arial" w:cs="Arial"/>
          <w:lang w:val="es-CO"/>
        </w:rPr>
      </w:pPr>
    </w:p>
    <w:p w14:paraId="62736695" w14:textId="77777777" w:rsidR="00B2442D" w:rsidRDefault="008A645F">
      <w:pPr>
        <w:jc w:val="both"/>
        <w:rPr>
          <w:rFonts w:ascii="Arial" w:hAnsi="Arial" w:cs="Arial"/>
          <w:i/>
          <w:lang w:val="es-CO"/>
        </w:rPr>
      </w:pPr>
      <w:r>
        <w:rPr>
          <w:rFonts w:ascii="Arial" w:hAnsi="Arial" w:cs="Arial"/>
          <w:i/>
          <w:lang w:val="es-CO"/>
        </w:rPr>
        <w:t>(Art. 7, Decreto 1903 de 2014)</w:t>
      </w:r>
    </w:p>
    <w:p w14:paraId="0033444A" w14:textId="77777777" w:rsidR="00B2442D" w:rsidRDefault="00B2442D">
      <w:pPr>
        <w:jc w:val="both"/>
        <w:rPr>
          <w:rFonts w:ascii="Arial" w:hAnsi="Arial" w:cs="Arial"/>
          <w:lang w:val="es-CO"/>
        </w:rPr>
      </w:pPr>
    </w:p>
    <w:p w14:paraId="49CF7C69"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Procedimiento para efectuar la devolución.</w:t>
      </w:r>
      <w:r>
        <w:rPr>
          <w:rFonts w:ascii="Arial" w:hAnsi="Arial" w:cs="Arial"/>
          <w:lang w:val="es-CO"/>
        </w:rPr>
        <w:t xml:space="preserve"> Para efectos de la devolución a que se refiere el presente capítulo, deberá adelantarse el siguiente procedimien</w:t>
      </w:r>
      <w:r>
        <w:rPr>
          <w:rFonts w:ascii="Arial" w:hAnsi="Arial" w:cs="Arial"/>
          <w:lang w:val="es-CO"/>
        </w:rPr>
        <w:t>to:</w:t>
      </w:r>
    </w:p>
    <w:p w14:paraId="37E4A475" w14:textId="77777777" w:rsidR="00B2442D" w:rsidRDefault="00B2442D">
      <w:pPr>
        <w:jc w:val="both"/>
        <w:rPr>
          <w:rFonts w:ascii="Arial" w:hAnsi="Arial" w:cs="Arial"/>
          <w:lang w:val="es-CO"/>
        </w:rPr>
      </w:pPr>
    </w:p>
    <w:p w14:paraId="5985FC56"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El funcionario de la dependencia competente de la Unidad Administrativa Especial Dirección de Impuestos y Aduanas Nacionales-DIAN, revisará los documentos, verificando el cumplimiento de los requisitos legales de identificación, fechas, valores, co</w:t>
      </w:r>
      <w:r>
        <w:rPr>
          <w:rFonts w:ascii="Arial" w:hAnsi="Arial" w:cs="Arial"/>
          <w:lang w:val="es-CO"/>
        </w:rPr>
        <w:t>nceptos, legibilidad y demás aspectos relacionados con los mismos.</w:t>
      </w:r>
    </w:p>
    <w:p w14:paraId="042E554C" w14:textId="77777777" w:rsidR="00B2442D" w:rsidRDefault="00B2442D">
      <w:pPr>
        <w:ind w:left="284" w:hanging="284"/>
        <w:jc w:val="both"/>
        <w:rPr>
          <w:rFonts w:ascii="Arial" w:hAnsi="Arial" w:cs="Arial"/>
          <w:lang w:val="es-CO"/>
        </w:rPr>
      </w:pPr>
    </w:p>
    <w:p w14:paraId="008B073A" w14:textId="77777777" w:rsidR="00B2442D" w:rsidRDefault="008A645F">
      <w:pPr>
        <w:ind w:left="284"/>
        <w:jc w:val="both"/>
        <w:rPr>
          <w:rFonts w:ascii="Arial" w:hAnsi="Arial" w:cs="Arial"/>
          <w:lang w:val="es-CO"/>
        </w:rPr>
      </w:pPr>
      <w:r>
        <w:rPr>
          <w:rFonts w:ascii="Arial" w:hAnsi="Arial" w:cs="Arial"/>
          <w:lang w:val="es-CO"/>
        </w:rPr>
        <w:t>Toda factura que incumpla alguno de los requisitos establecidos por la norma tributaria, será rechazada y se remitirá a la dependencia competente o que haga sus veces, para adelantar el pr</w:t>
      </w:r>
      <w:r>
        <w:rPr>
          <w:rFonts w:ascii="Arial" w:hAnsi="Arial" w:cs="Arial"/>
          <w:lang w:val="es-CO"/>
        </w:rPr>
        <w:t>ograma de control al responsable que la expidió.</w:t>
      </w:r>
    </w:p>
    <w:p w14:paraId="70A0DB8A" w14:textId="77777777" w:rsidR="00B2442D" w:rsidRDefault="00B2442D">
      <w:pPr>
        <w:ind w:left="284" w:hanging="284"/>
        <w:jc w:val="both"/>
        <w:rPr>
          <w:rFonts w:ascii="Arial" w:hAnsi="Arial" w:cs="Arial"/>
          <w:lang w:val="es-CO"/>
        </w:rPr>
      </w:pPr>
    </w:p>
    <w:p w14:paraId="6613220F"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De manera aleatoria el funcionario competente revisará los bienes que otorgan derecho a devolución para establecer que efectivamente saldrán del país, aplicando para tal efecto las disposiciones establec</w:t>
      </w:r>
      <w:r>
        <w:rPr>
          <w:rFonts w:ascii="Arial" w:hAnsi="Arial" w:cs="Arial"/>
          <w:lang w:val="es-CO"/>
        </w:rPr>
        <w:t>idas por la Unidad Administrativa Especial Dirección de Impuestos y Aduanas Nacionales-DIAN para realizar inspecciones físicas.</w:t>
      </w:r>
    </w:p>
    <w:p w14:paraId="070E989B" w14:textId="77777777" w:rsidR="00B2442D" w:rsidRDefault="00B2442D">
      <w:pPr>
        <w:ind w:left="284" w:hanging="284"/>
        <w:jc w:val="both"/>
        <w:rPr>
          <w:rFonts w:ascii="Arial" w:hAnsi="Arial" w:cs="Arial"/>
          <w:lang w:val="es-CO"/>
        </w:rPr>
      </w:pPr>
    </w:p>
    <w:p w14:paraId="56012F26"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Una vez recibida la solicitud, el funcionario competente colocará en la respectiva factura un sello seco con la leyenda “UTI</w:t>
      </w:r>
      <w:r>
        <w:rPr>
          <w:rFonts w:ascii="Arial" w:hAnsi="Arial" w:cs="Arial"/>
          <w:lang w:val="es-CO"/>
        </w:rPr>
        <w:t>LIZADA”.</w:t>
      </w:r>
    </w:p>
    <w:p w14:paraId="067AB188" w14:textId="77777777" w:rsidR="00B2442D" w:rsidRDefault="00B2442D">
      <w:pPr>
        <w:ind w:left="284" w:hanging="284"/>
        <w:jc w:val="both"/>
        <w:rPr>
          <w:rFonts w:ascii="Arial" w:hAnsi="Arial" w:cs="Arial"/>
          <w:lang w:val="es-CO"/>
        </w:rPr>
      </w:pPr>
    </w:p>
    <w:p w14:paraId="2BF95106" w14:textId="77777777" w:rsidR="00B2442D" w:rsidRDefault="008A645F">
      <w:pPr>
        <w:ind w:left="284" w:hanging="284"/>
        <w:jc w:val="both"/>
        <w:rPr>
          <w:rFonts w:ascii="Arial" w:hAnsi="Arial" w:cs="Arial"/>
          <w:lang w:val="es-CO"/>
        </w:rPr>
      </w:pPr>
      <w:r>
        <w:rPr>
          <w:rFonts w:ascii="Arial" w:hAnsi="Arial" w:cs="Arial"/>
          <w:lang w:val="es-CO"/>
        </w:rPr>
        <w:t xml:space="preserve">d) </w:t>
      </w:r>
      <w:r>
        <w:rPr>
          <w:rFonts w:ascii="Arial" w:hAnsi="Arial" w:cs="Arial"/>
          <w:lang w:val="es-CO"/>
        </w:rPr>
        <w:tab/>
        <w:t>El estatus migratorio del solicitante se verificará con la información suministrada por la UAE Migración Colombia, la cual deberá contener nacionalidad, estatus migratorio, identidad y país de origen, así como la confirmación de fechas de ent</w:t>
      </w:r>
      <w:r>
        <w:rPr>
          <w:rFonts w:ascii="Arial" w:hAnsi="Arial" w:cs="Arial"/>
          <w:lang w:val="es-CO"/>
        </w:rPr>
        <w:t>rada y salida de los solicitantes de la devolución del IVA.</w:t>
      </w:r>
    </w:p>
    <w:p w14:paraId="16A629E0" w14:textId="77777777" w:rsidR="00B2442D" w:rsidRDefault="00B2442D">
      <w:pPr>
        <w:ind w:left="284" w:hanging="284"/>
        <w:jc w:val="both"/>
        <w:rPr>
          <w:rFonts w:ascii="Arial" w:hAnsi="Arial" w:cs="Arial"/>
          <w:lang w:val="es-CO"/>
        </w:rPr>
      </w:pPr>
    </w:p>
    <w:p w14:paraId="7FA12FEB" w14:textId="77777777" w:rsidR="00B2442D" w:rsidRDefault="008A645F">
      <w:pPr>
        <w:ind w:left="284"/>
        <w:jc w:val="both"/>
        <w:rPr>
          <w:rFonts w:ascii="Arial" w:hAnsi="Arial" w:cs="Arial"/>
          <w:lang w:val="es-CO"/>
        </w:rPr>
      </w:pPr>
      <w:r>
        <w:rPr>
          <w:rFonts w:ascii="Arial" w:hAnsi="Arial" w:cs="Arial"/>
          <w:lang w:val="es-CO"/>
        </w:rPr>
        <w:t>El requerimiento de información a la Unidad Administrativa Especial Migración Colombia, podrá efectuarse mediante oficio que contenga la relación detallada de los solicitantes o implementando los</w:t>
      </w:r>
      <w:r>
        <w:rPr>
          <w:rFonts w:ascii="Arial" w:hAnsi="Arial" w:cs="Arial"/>
          <w:lang w:val="es-CO"/>
        </w:rPr>
        <w:t xml:space="preserve"> medios y herramientas tecnológicas disponibles y convenidas entre las dos entidades;</w:t>
      </w:r>
    </w:p>
    <w:p w14:paraId="65B83764" w14:textId="77777777" w:rsidR="00B2442D" w:rsidRDefault="00B2442D">
      <w:pPr>
        <w:ind w:left="284" w:hanging="284"/>
        <w:jc w:val="both"/>
        <w:rPr>
          <w:rFonts w:ascii="Arial" w:hAnsi="Arial" w:cs="Arial"/>
          <w:lang w:val="es-CO"/>
        </w:rPr>
      </w:pPr>
    </w:p>
    <w:p w14:paraId="6731DC41" w14:textId="77777777" w:rsidR="00B2442D" w:rsidRDefault="008A645F">
      <w:pPr>
        <w:ind w:left="284" w:hanging="284"/>
        <w:jc w:val="both"/>
        <w:rPr>
          <w:rFonts w:ascii="Arial" w:hAnsi="Arial" w:cs="Arial"/>
          <w:lang w:val="es-CO"/>
        </w:rPr>
      </w:pPr>
      <w:r>
        <w:rPr>
          <w:rFonts w:ascii="Arial" w:hAnsi="Arial" w:cs="Arial"/>
          <w:lang w:val="es-CO"/>
        </w:rPr>
        <w:t xml:space="preserve">e) </w:t>
      </w:r>
      <w:r>
        <w:rPr>
          <w:rFonts w:ascii="Arial" w:hAnsi="Arial" w:cs="Arial"/>
          <w:lang w:val="es-CO"/>
        </w:rPr>
        <w:tab/>
        <w:t>La Subdirección de Gestión de Recaudo y Cobranzas o quien haga sus veces, gestionará lo necesario para el giro y abono del beneficio a la tarjeta de crédito internac</w:t>
      </w:r>
      <w:r>
        <w:rPr>
          <w:rFonts w:ascii="Arial" w:hAnsi="Arial" w:cs="Arial"/>
          <w:lang w:val="es-CO"/>
        </w:rPr>
        <w:t>ional emitida fuera del país, indicada por el solicitante, previa información suministrada por la Dirección Seccional que conoció de la solicitud de devolución.</w:t>
      </w:r>
    </w:p>
    <w:p w14:paraId="7EDB9D26" w14:textId="77777777" w:rsidR="00B2442D" w:rsidRDefault="00B2442D">
      <w:pPr>
        <w:jc w:val="both"/>
        <w:rPr>
          <w:rFonts w:ascii="Arial" w:hAnsi="Arial" w:cs="Arial"/>
          <w:lang w:val="es-CO"/>
        </w:rPr>
      </w:pPr>
    </w:p>
    <w:p w14:paraId="4A28BE7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información requerida a la Unidad Administrativa Especial Migración Colombia, </w:t>
      </w:r>
      <w:r>
        <w:rPr>
          <w:rFonts w:ascii="Arial" w:hAnsi="Arial" w:cs="Arial"/>
          <w:lang w:val="es-CO"/>
        </w:rPr>
        <w:t>deberá contener los datos de nacionalidad, estatus migratorio, identidad y país de origen, así como la confirmación de fechas de entrada y salida de los solicitantes de la devolución del impuesto sobre las ventas.</w:t>
      </w:r>
    </w:p>
    <w:p w14:paraId="181F4787" w14:textId="77777777" w:rsidR="00B2442D" w:rsidRDefault="00B2442D">
      <w:pPr>
        <w:jc w:val="both"/>
        <w:rPr>
          <w:rFonts w:ascii="Arial" w:hAnsi="Arial" w:cs="Arial"/>
          <w:lang w:val="es-CO"/>
        </w:rPr>
      </w:pPr>
    </w:p>
    <w:p w14:paraId="0307C24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Corresponderá a la Unidad Ad</w:t>
      </w:r>
      <w:r>
        <w:rPr>
          <w:rFonts w:ascii="Arial" w:hAnsi="Arial" w:cs="Arial"/>
          <w:lang w:val="es-CO"/>
        </w:rPr>
        <w:t>ministrativa Especial Dirección de Impuestos y Aduanas Nacionales-DIAN asegurar el mantenimiento de la reserva de la información suministrada por la Unidad Administrativa Especial Migración Colombia, que llegue a conocer en virtud de lo dispuesto en el pre</w:t>
      </w:r>
      <w:r>
        <w:rPr>
          <w:rFonts w:ascii="Arial" w:hAnsi="Arial" w:cs="Arial"/>
          <w:lang w:val="es-CO"/>
        </w:rPr>
        <w:t>sente capítulo, la cual solamente podrá ser utilizada en los términos previstos por los artículos 12 y 20 de la Ley 57 de 1985 y demás disposiciones vigentes.</w:t>
      </w:r>
    </w:p>
    <w:p w14:paraId="5BB545DB" w14:textId="77777777" w:rsidR="00B2442D" w:rsidRDefault="00B2442D">
      <w:pPr>
        <w:jc w:val="both"/>
        <w:rPr>
          <w:rFonts w:ascii="Arial" w:hAnsi="Arial" w:cs="Arial"/>
          <w:lang w:val="es-CO"/>
        </w:rPr>
      </w:pPr>
    </w:p>
    <w:p w14:paraId="5445CC82" w14:textId="77777777" w:rsidR="00B2442D" w:rsidRDefault="008A645F">
      <w:pPr>
        <w:jc w:val="both"/>
        <w:rPr>
          <w:rFonts w:ascii="Arial" w:hAnsi="Arial" w:cs="Arial"/>
          <w:i/>
          <w:lang w:val="es-CO"/>
        </w:rPr>
      </w:pPr>
      <w:r>
        <w:rPr>
          <w:rFonts w:ascii="Arial" w:hAnsi="Arial" w:cs="Arial"/>
          <w:i/>
          <w:lang w:val="es-CO"/>
        </w:rPr>
        <w:t>(Art. 8, Decreto 1903 de 2014)</w:t>
      </w:r>
    </w:p>
    <w:p w14:paraId="14C381ED" w14:textId="77777777" w:rsidR="00B2442D" w:rsidRDefault="00B2442D">
      <w:pPr>
        <w:jc w:val="both"/>
        <w:rPr>
          <w:rFonts w:ascii="Arial" w:hAnsi="Arial" w:cs="Arial"/>
          <w:lang w:val="es-CO"/>
        </w:rPr>
      </w:pPr>
    </w:p>
    <w:p w14:paraId="2B5C2DC0"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 xml:space="preserve"> Término y mecanismo para realizar la devolución.</w:t>
      </w:r>
      <w:r>
        <w:rPr>
          <w:rFonts w:ascii="Arial" w:hAnsi="Arial" w:cs="Arial"/>
          <w:lang w:val="es-CO"/>
        </w:rPr>
        <w:t xml:space="preserve"> La Unidad Administrativa Especial Dirección de Impuestos y Aduanas Nacionales-DIAN, realizará la aprobación o rechazo de la solicitud de devolución de que trata el presente capítulo, en el término de tres (</w:t>
      </w:r>
      <w:r>
        <w:rPr>
          <w:rFonts w:ascii="Arial" w:hAnsi="Arial" w:cs="Arial"/>
          <w:lang w:val="es-CO"/>
        </w:rPr>
        <w:t>3) meses contados desde la fecha de recepción y radicación en debida forma de la solicitud.</w:t>
      </w:r>
    </w:p>
    <w:p w14:paraId="0A53F1A0" w14:textId="77777777" w:rsidR="00B2442D" w:rsidRDefault="00B2442D">
      <w:pPr>
        <w:jc w:val="both"/>
        <w:rPr>
          <w:rFonts w:ascii="Arial" w:hAnsi="Arial" w:cs="Arial"/>
          <w:lang w:val="es-CO"/>
        </w:rPr>
      </w:pPr>
    </w:p>
    <w:p w14:paraId="5169368E" w14:textId="77777777" w:rsidR="00B2442D" w:rsidRDefault="008A645F">
      <w:pPr>
        <w:jc w:val="both"/>
        <w:rPr>
          <w:rFonts w:ascii="Arial" w:hAnsi="Arial" w:cs="Arial"/>
          <w:lang w:val="es-CO"/>
        </w:rPr>
      </w:pPr>
      <w:r>
        <w:rPr>
          <w:rFonts w:ascii="Arial" w:hAnsi="Arial" w:cs="Arial"/>
          <w:lang w:val="es-CO"/>
        </w:rPr>
        <w:t xml:space="preserve">La devolución se efectuará mediante abono a la tarjeta de crédito internacional emitida fuera del país indicada en la solicitud, dependiendo de los procedimientos </w:t>
      </w:r>
      <w:r>
        <w:rPr>
          <w:rFonts w:ascii="Arial" w:hAnsi="Arial" w:cs="Arial"/>
          <w:lang w:val="es-CO"/>
        </w:rPr>
        <w:t>y desarrollos técnicos que para el efecto establezca la Unidad Administrativa Especial Dirección de Impuestos y Aduanas Nacionales-DIAN.</w:t>
      </w:r>
    </w:p>
    <w:p w14:paraId="4C5EBE9A" w14:textId="77777777" w:rsidR="00B2442D" w:rsidRDefault="00B2442D">
      <w:pPr>
        <w:jc w:val="both"/>
        <w:rPr>
          <w:rFonts w:ascii="Arial" w:hAnsi="Arial" w:cs="Arial"/>
          <w:lang w:val="es-CO"/>
        </w:rPr>
      </w:pPr>
    </w:p>
    <w:p w14:paraId="69C2EBB1" w14:textId="77777777" w:rsidR="00B2442D" w:rsidRDefault="008A645F">
      <w:pPr>
        <w:jc w:val="both"/>
        <w:rPr>
          <w:rFonts w:ascii="Arial" w:hAnsi="Arial" w:cs="Arial"/>
          <w:lang w:val="es-CO"/>
        </w:rPr>
      </w:pPr>
      <w:r>
        <w:rPr>
          <w:rFonts w:ascii="Arial" w:hAnsi="Arial" w:cs="Arial"/>
          <w:lang w:val="es-CO"/>
        </w:rPr>
        <w:t>Del valor a devolver se descontarán los costos financieros y gastos de avisos en que se incurra.</w:t>
      </w:r>
    </w:p>
    <w:p w14:paraId="75D8C5A8" w14:textId="77777777" w:rsidR="00B2442D" w:rsidRDefault="00B2442D">
      <w:pPr>
        <w:jc w:val="both"/>
        <w:rPr>
          <w:rFonts w:ascii="Arial" w:hAnsi="Arial" w:cs="Arial"/>
          <w:lang w:val="es-CO"/>
        </w:rPr>
      </w:pPr>
    </w:p>
    <w:p w14:paraId="1823AE80"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Uni</w:t>
      </w:r>
      <w:r>
        <w:rPr>
          <w:rFonts w:ascii="Arial" w:hAnsi="Arial" w:cs="Arial"/>
          <w:lang w:val="es-CO"/>
        </w:rPr>
        <w:t>dad Administrativa Especial Dirección de Impuestos y Aduanas Nacionales-DIAN realizará los convenios necesarios con las entidades bancarias, empresas o instituciones financieras a que haya lugar, nacionales o extranjeras, para adelantar en debida forma los</w:t>
      </w:r>
      <w:r>
        <w:rPr>
          <w:rFonts w:ascii="Arial" w:hAnsi="Arial" w:cs="Arial"/>
          <w:lang w:val="es-CO"/>
        </w:rPr>
        <w:t xml:space="preserve"> abonos a las tarjetas de crédito internacional por concepto de devolución del impuesto sobre las ventas.</w:t>
      </w:r>
    </w:p>
    <w:p w14:paraId="2BEA30B4" w14:textId="77777777" w:rsidR="00B2442D" w:rsidRDefault="00B2442D">
      <w:pPr>
        <w:jc w:val="both"/>
        <w:rPr>
          <w:rFonts w:ascii="Arial" w:hAnsi="Arial" w:cs="Arial"/>
          <w:lang w:val="es-CO"/>
        </w:rPr>
      </w:pPr>
    </w:p>
    <w:p w14:paraId="525B38D0"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Unidad Administrativa Especial Dirección de Impuestos y Aduanas Nacionales-DIAN queda facultada para establecer los mecanismos que p</w:t>
      </w:r>
      <w:r>
        <w:rPr>
          <w:rFonts w:ascii="Arial" w:hAnsi="Arial" w:cs="Arial"/>
          <w:lang w:val="es-CO"/>
        </w:rPr>
        <w:t>ermitan de manera ágil y eficaz efectuar la devolución del IVA de que trata este capítulo y realizar los convenios con entidades o empresas nacionales o extranjeras que permitan implementar su devolución.</w:t>
      </w:r>
    </w:p>
    <w:p w14:paraId="109F7216" w14:textId="77777777" w:rsidR="00B2442D" w:rsidRDefault="00B2442D">
      <w:pPr>
        <w:jc w:val="both"/>
        <w:rPr>
          <w:rFonts w:ascii="Arial" w:hAnsi="Arial" w:cs="Arial"/>
          <w:lang w:val="es-CO"/>
        </w:rPr>
      </w:pPr>
    </w:p>
    <w:p w14:paraId="4FE86665" w14:textId="77777777" w:rsidR="00B2442D" w:rsidRDefault="008A645F">
      <w:pPr>
        <w:jc w:val="both"/>
        <w:rPr>
          <w:rFonts w:ascii="Arial" w:hAnsi="Arial" w:cs="Arial"/>
          <w:lang w:val="es-CO"/>
        </w:rPr>
      </w:pPr>
      <w:r>
        <w:rPr>
          <w:rFonts w:ascii="Arial" w:hAnsi="Arial" w:cs="Arial"/>
          <w:lang w:val="es-CO"/>
        </w:rPr>
        <w:t>La devolución a que se refiere este capítulo, se e</w:t>
      </w:r>
      <w:r>
        <w:rPr>
          <w:rFonts w:ascii="Arial" w:hAnsi="Arial" w:cs="Arial"/>
          <w:lang w:val="es-CO"/>
        </w:rPr>
        <w:t>fectuará con cargo a los recursos del Fondo Rotatorio de Devoluciones, de acuerdo a los cupos establecidos para el efecto por parte de la Dirección General de Crédito Público y Tesoro Nacional del Ministerio de Hacienda y Crédito Público y la Unidad Admini</w:t>
      </w:r>
      <w:r>
        <w:rPr>
          <w:rFonts w:ascii="Arial" w:hAnsi="Arial" w:cs="Arial"/>
          <w:lang w:val="es-CO"/>
        </w:rPr>
        <w:t>strativa Especial Dirección de Impuestos y Aduanas Nacionales-DIAN.</w:t>
      </w:r>
    </w:p>
    <w:p w14:paraId="21AD1792" w14:textId="77777777" w:rsidR="00B2442D" w:rsidRDefault="00B2442D">
      <w:pPr>
        <w:jc w:val="both"/>
        <w:rPr>
          <w:rFonts w:ascii="Arial" w:hAnsi="Arial" w:cs="Arial"/>
          <w:lang w:val="es-CO"/>
        </w:rPr>
      </w:pPr>
    </w:p>
    <w:p w14:paraId="086DFE94" w14:textId="77777777" w:rsidR="00B2442D" w:rsidRDefault="008A645F">
      <w:pPr>
        <w:jc w:val="both"/>
        <w:rPr>
          <w:rFonts w:ascii="Arial" w:hAnsi="Arial" w:cs="Arial"/>
          <w:i/>
          <w:lang w:val="es-CO"/>
        </w:rPr>
      </w:pPr>
      <w:r>
        <w:rPr>
          <w:rFonts w:ascii="Arial" w:hAnsi="Arial" w:cs="Arial"/>
          <w:i/>
          <w:lang w:val="es-CO"/>
        </w:rPr>
        <w:t>(Art. 9, Decreto 1903 de 2014)</w:t>
      </w:r>
    </w:p>
    <w:p w14:paraId="7ECC32A1" w14:textId="77777777" w:rsidR="00B2442D" w:rsidRDefault="00B2442D">
      <w:pPr>
        <w:jc w:val="both"/>
        <w:rPr>
          <w:rFonts w:ascii="Arial" w:hAnsi="Arial" w:cs="Arial"/>
          <w:lang w:val="es-CO"/>
        </w:rPr>
      </w:pPr>
    </w:p>
    <w:p w14:paraId="7ABF3389"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Rechazo de la solicitud de devolución.</w:t>
      </w:r>
      <w:r>
        <w:rPr>
          <w:rFonts w:ascii="Arial" w:hAnsi="Arial" w:cs="Arial"/>
          <w:lang w:val="es-CO"/>
        </w:rPr>
        <w:t xml:space="preserve"> La solicitud de devolución se rechazará en forma parcial o total, cuando:</w:t>
      </w:r>
    </w:p>
    <w:p w14:paraId="14290216" w14:textId="77777777" w:rsidR="00B2442D" w:rsidRDefault="00B2442D">
      <w:pPr>
        <w:jc w:val="both"/>
        <w:rPr>
          <w:rFonts w:ascii="Arial" w:hAnsi="Arial" w:cs="Arial"/>
          <w:lang w:val="es-CO"/>
        </w:rPr>
      </w:pPr>
    </w:p>
    <w:p w14:paraId="0441CE74" w14:textId="77777777" w:rsidR="00B2442D" w:rsidRDefault="008A645F">
      <w:pPr>
        <w:ind w:left="284" w:hanging="284"/>
        <w:jc w:val="both"/>
        <w:rPr>
          <w:rFonts w:ascii="Arial" w:hAnsi="Arial" w:cs="Arial"/>
          <w:lang w:val="es-CO"/>
        </w:rPr>
      </w:pPr>
      <w:r>
        <w:rPr>
          <w:rFonts w:ascii="Arial" w:hAnsi="Arial" w:cs="Arial"/>
          <w:lang w:val="es-CO"/>
        </w:rPr>
        <w:t xml:space="preserve">a) </w:t>
      </w:r>
      <w:r>
        <w:rPr>
          <w:rFonts w:ascii="Arial" w:hAnsi="Arial" w:cs="Arial"/>
          <w:lang w:val="es-CO"/>
        </w:rPr>
        <w:tab/>
        <w:t xml:space="preserve">Se incumpla alguno de los requisitos </w:t>
      </w:r>
      <w:r>
        <w:rPr>
          <w:rFonts w:ascii="Arial" w:hAnsi="Arial" w:cs="Arial"/>
          <w:lang w:val="es-CO"/>
        </w:rPr>
        <w:t>exigidos en este capítulo.</w:t>
      </w:r>
    </w:p>
    <w:p w14:paraId="6B99DE0D" w14:textId="77777777" w:rsidR="00B2442D" w:rsidRDefault="00B2442D">
      <w:pPr>
        <w:ind w:left="284" w:hanging="284"/>
        <w:jc w:val="both"/>
        <w:rPr>
          <w:rFonts w:ascii="Arial" w:hAnsi="Arial" w:cs="Arial"/>
          <w:lang w:val="es-CO"/>
        </w:rPr>
      </w:pPr>
    </w:p>
    <w:p w14:paraId="08E8957B" w14:textId="77777777" w:rsidR="00B2442D" w:rsidRDefault="008A645F">
      <w:pPr>
        <w:ind w:left="284" w:hanging="284"/>
        <w:jc w:val="both"/>
        <w:rPr>
          <w:rFonts w:ascii="Arial" w:hAnsi="Arial" w:cs="Arial"/>
          <w:lang w:val="es-CO"/>
        </w:rPr>
      </w:pPr>
      <w:r>
        <w:rPr>
          <w:rFonts w:ascii="Arial" w:hAnsi="Arial" w:cs="Arial"/>
          <w:lang w:val="es-CO"/>
        </w:rPr>
        <w:t xml:space="preserve">b) </w:t>
      </w:r>
      <w:r>
        <w:rPr>
          <w:rFonts w:ascii="Arial" w:hAnsi="Arial" w:cs="Arial"/>
          <w:lang w:val="es-CO"/>
        </w:rPr>
        <w:tab/>
        <w:t>El solicitante de la devolución tenga nacionalidad colombiana.</w:t>
      </w:r>
    </w:p>
    <w:p w14:paraId="5DBB53CB" w14:textId="77777777" w:rsidR="00B2442D" w:rsidRDefault="00B2442D">
      <w:pPr>
        <w:ind w:left="284" w:hanging="284"/>
        <w:jc w:val="both"/>
        <w:rPr>
          <w:rFonts w:ascii="Arial" w:hAnsi="Arial" w:cs="Arial"/>
          <w:lang w:val="es-CO"/>
        </w:rPr>
      </w:pPr>
    </w:p>
    <w:p w14:paraId="768A70D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Se liquide el IVA a bienes excluidos, exentos o con tarifa superior a las que corresponda.</w:t>
      </w:r>
    </w:p>
    <w:p w14:paraId="381860CB" w14:textId="77777777" w:rsidR="00B2442D" w:rsidRDefault="00B2442D">
      <w:pPr>
        <w:ind w:left="284" w:hanging="284"/>
        <w:jc w:val="both"/>
        <w:rPr>
          <w:rFonts w:ascii="Arial" w:hAnsi="Arial" w:cs="Arial"/>
          <w:lang w:val="es-CO"/>
        </w:rPr>
      </w:pPr>
    </w:p>
    <w:p w14:paraId="1A46207E"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En el caso de los turistas extranjeros no residentes en Colomb</w:t>
      </w:r>
      <w:r>
        <w:rPr>
          <w:rFonts w:ascii="Arial" w:hAnsi="Arial" w:cs="Arial"/>
          <w:lang w:val="es-CO"/>
        </w:rPr>
        <w:t>ia al momento de la presentación de la solicitud, no se dé cumplimiento a lo establecido en el parágrafo 3° del artículo 1.6.1.23.7 del presente Decreto.</w:t>
      </w:r>
    </w:p>
    <w:p w14:paraId="0F5945F6" w14:textId="77777777" w:rsidR="00B2442D" w:rsidRDefault="00B2442D">
      <w:pPr>
        <w:ind w:left="284" w:hanging="284"/>
        <w:jc w:val="both"/>
        <w:rPr>
          <w:rFonts w:ascii="Arial" w:hAnsi="Arial" w:cs="Arial"/>
          <w:lang w:val="es-CO"/>
        </w:rPr>
      </w:pPr>
    </w:p>
    <w:p w14:paraId="6EDDAD14"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Los documentos aportados sean ilegibles, enmendados o sus contenidos no concuerden con los </w:t>
      </w:r>
      <w:r>
        <w:rPr>
          <w:rFonts w:ascii="Arial" w:hAnsi="Arial" w:cs="Arial"/>
          <w:lang w:val="es-CO"/>
        </w:rPr>
        <w:t>bienes que se trasladan fuera del país.</w:t>
      </w:r>
    </w:p>
    <w:p w14:paraId="4945D9BE" w14:textId="77777777" w:rsidR="00B2442D" w:rsidRDefault="00B2442D">
      <w:pPr>
        <w:ind w:left="284" w:hanging="284"/>
        <w:jc w:val="both"/>
        <w:rPr>
          <w:rFonts w:ascii="Arial" w:hAnsi="Arial" w:cs="Arial"/>
          <w:lang w:val="es-CO"/>
        </w:rPr>
      </w:pPr>
    </w:p>
    <w:p w14:paraId="17BF2312"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La solicitud se origine en operaciones fraudulentas.</w:t>
      </w:r>
    </w:p>
    <w:p w14:paraId="1AB1233D" w14:textId="77777777" w:rsidR="00B2442D" w:rsidRDefault="00B2442D">
      <w:pPr>
        <w:ind w:left="284" w:hanging="284"/>
        <w:jc w:val="both"/>
        <w:rPr>
          <w:rFonts w:ascii="Arial" w:hAnsi="Arial" w:cs="Arial"/>
          <w:lang w:val="es-CO"/>
        </w:rPr>
      </w:pPr>
    </w:p>
    <w:p w14:paraId="18A18965"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El valor a devolver resulte inferior o igual a los costos financieros generados en la operación de giro internacional para hacer el abono en la tarjeta de </w:t>
      </w:r>
      <w:r>
        <w:rPr>
          <w:rFonts w:ascii="Arial" w:hAnsi="Arial" w:cs="Arial"/>
          <w:lang w:val="es-CO"/>
        </w:rPr>
        <w:t>crédito internacional y a los gastos de avisos.</w:t>
      </w:r>
    </w:p>
    <w:p w14:paraId="08209DF1" w14:textId="77777777" w:rsidR="00B2442D" w:rsidRDefault="00B2442D">
      <w:pPr>
        <w:ind w:left="284" w:hanging="284"/>
        <w:jc w:val="both"/>
        <w:rPr>
          <w:rFonts w:ascii="Arial" w:hAnsi="Arial" w:cs="Arial"/>
          <w:lang w:val="es-CO"/>
        </w:rPr>
      </w:pPr>
    </w:p>
    <w:p w14:paraId="6657ED82"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 xml:space="preserve"> Se presente más de una solicitud de devolución en el trimestre.</w:t>
      </w:r>
    </w:p>
    <w:p w14:paraId="563F6E97" w14:textId="77777777" w:rsidR="00B2442D" w:rsidRDefault="00B2442D">
      <w:pPr>
        <w:ind w:left="284" w:hanging="284"/>
        <w:jc w:val="both"/>
        <w:rPr>
          <w:rFonts w:ascii="Arial" w:hAnsi="Arial" w:cs="Arial"/>
          <w:lang w:val="es-CO"/>
        </w:rPr>
      </w:pPr>
    </w:p>
    <w:p w14:paraId="5A8272F1" w14:textId="77777777" w:rsidR="00B2442D" w:rsidRDefault="008A645F">
      <w:pPr>
        <w:ind w:left="284" w:hanging="284"/>
        <w:jc w:val="both"/>
        <w:rPr>
          <w:rFonts w:ascii="Arial" w:hAnsi="Arial" w:cs="Arial"/>
          <w:lang w:val="es-CO"/>
        </w:rPr>
      </w:pPr>
      <w:r>
        <w:rPr>
          <w:rFonts w:ascii="Arial" w:hAnsi="Arial" w:cs="Arial"/>
          <w:lang w:val="es-CO"/>
        </w:rPr>
        <w:t>i)</w:t>
      </w:r>
      <w:r>
        <w:rPr>
          <w:rFonts w:ascii="Arial" w:hAnsi="Arial" w:cs="Arial"/>
          <w:lang w:val="es-CO"/>
        </w:rPr>
        <w:tab/>
        <w:t xml:space="preserve">Al momento de la presentación de la solicitud, las facturas que dan derecho a la devolución excedan del término señalado en el </w:t>
      </w:r>
      <w:r>
        <w:rPr>
          <w:rFonts w:ascii="Arial" w:hAnsi="Arial" w:cs="Arial"/>
          <w:lang w:val="es-CO"/>
        </w:rPr>
        <w:t>literal e) del artículo 1.6.1.23.7 del presente decreto.</w:t>
      </w:r>
    </w:p>
    <w:p w14:paraId="59806A74" w14:textId="77777777" w:rsidR="00B2442D" w:rsidRDefault="00B2442D">
      <w:pPr>
        <w:ind w:left="284" w:hanging="284"/>
        <w:jc w:val="both"/>
        <w:rPr>
          <w:rFonts w:ascii="Arial" w:hAnsi="Arial" w:cs="Arial"/>
          <w:lang w:val="es-CO"/>
        </w:rPr>
      </w:pPr>
    </w:p>
    <w:p w14:paraId="2E80DB5A" w14:textId="77777777" w:rsidR="00B2442D" w:rsidRDefault="008A645F">
      <w:pPr>
        <w:ind w:left="284" w:hanging="284"/>
        <w:jc w:val="both"/>
        <w:rPr>
          <w:rFonts w:ascii="Arial" w:hAnsi="Arial" w:cs="Arial"/>
          <w:lang w:val="es-CO"/>
        </w:rPr>
      </w:pPr>
      <w:r>
        <w:rPr>
          <w:rFonts w:ascii="Arial" w:hAnsi="Arial" w:cs="Arial"/>
          <w:lang w:val="es-CO"/>
        </w:rPr>
        <w:t xml:space="preserve">j) </w:t>
      </w:r>
      <w:r>
        <w:rPr>
          <w:rFonts w:ascii="Arial" w:hAnsi="Arial" w:cs="Arial"/>
          <w:lang w:val="es-CO"/>
        </w:rPr>
        <w:tab/>
        <w:t>Cuando el valor objeto de la solicitud haya sido devuelto.</w:t>
      </w:r>
    </w:p>
    <w:p w14:paraId="206BE529" w14:textId="77777777" w:rsidR="00B2442D" w:rsidRDefault="00B2442D">
      <w:pPr>
        <w:jc w:val="both"/>
        <w:rPr>
          <w:rFonts w:ascii="Arial" w:hAnsi="Arial" w:cs="Arial"/>
          <w:lang w:val="es-CO"/>
        </w:rPr>
      </w:pPr>
    </w:p>
    <w:p w14:paraId="66432B16"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Toda factura de venta que incumpla alguno de los requisitos establecidos en el Estatuto Tributario y demás normas legales v</w:t>
      </w:r>
      <w:r>
        <w:rPr>
          <w:rFonts w:ascii="Arial" w:hAnsi="Arial" w:cs="Arial"/>
          <w:lang w:val="es-CO"/>
        </w:rPr>
        <w:t>igentes, será rechazada en el momento de la revisión por parte del funcionario que recepcionó los documentos que hacen parte de la solicitud de devolución.</w:t>
      </w:r>
    </w:p>
    <w:p w14:paraId="39D8D8FD" w14:textId="77777777" w:rsidR="00B2442D" w:rsidRDefault="00B2442D">
      <w:pPr>
        <w:jc w:val="both"/>
        <w:rPr>
          <w:rFonts w:ascii="Arial" w:hAnsi="Arial" w:cs="Arial"/>
          <w:lang w:val="es-CO"/>
        </w:rPr>
      </w:pPr>
    </w:p>
    <w:p w14:paraId="4F092E43" w14:textId="77777777" w:rsidR="00B2442D" w:rsidRDefault="008A645F">
      <w:pPr>
        <w:jc w:val="both"/>
        <w:rPr>
          <w:rFonts w:ascii="Arial" w:hAnsi="Arial" w:cs="Arial"/>
          <w:i/>
          <w:lang w:val="es-CO"/>
        </w:rPr>
      </w:pPr>
      <w:r>
        <w:rPr>
          <w:rFonts w:ascii="Arial" w:hAnsi="Arial" w:cs="Arial"/>
          <w:i/>
          <w:lang w:val="es-CO"/>
        </w:rPr>
        <w:t>(Art. 10, Decreto 1903 de 2014)</w:t>
      </w:r>
    </w:p>
    <w:p w14:paraId="2E409DB4" w14:textId="77777777" w:rsidR="00B2442D" w:rsidRDefault="00B2442D">
      <w:pPr>
        <w:jc w:val="both"/>
        <w:rPr>
          <w:rFonts w:ascii="Arial" w:hAnsi="Arial" w:cs="Arial"/>
          <w:lang w:val="es-CO"/>
        </w:rPr>
      </w:pPr>
    </w:p>
    <w:p w14:paraId="7FEEC24D"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Informe mensual.</w:t>
      </w:r>
      <w:r>
        <w:rPr>
          <w:rFonts w:ascii="Arial" w:hAnsi="Arial" w:cs="Arial"/>
          <w:lang w:val="es-CO"/>
        </w:rPr>
        <w:t xml:space="preserve"> Los establecimientos de comercio ubicados en las </w:t>
      </w:r>
      <w:r>
        <w:rPr>
          <w:rFonts w:ascii="Arial" w:hAnsi="Arial" w:cs="Arial"/>
          <w:lang w:val="es-CO"/>
        </w:rPr>
        <w:t xml:space="preserve">Unidades Especiales de Desarrollo Fronterizo que tengan vigente su Tarjeta Fiscal para lo cual se tendrá en cuenta lo contenido en el parágrafo transitorio del artículo 1.6.1.23.4 del presente decreto deberán enviar mensualmente a la Unidad Administrativa </w:t>
      </w:r>
      <w:r>
        <w:rPr>
          <w:rFonts w:ascii="Arial" w:hAnsi="Arial" w:cs="Arial"/>
          <w:lang w:val="es-CO"/>
        </w:rPr>
        <w:t xml:space="preserve">Especial Dirección de Impuestos y Aduanas Nacionales-DIAN, una relación detallada de las ventas que realicen a los visitantes extranjeros no residentes en Colombia, indicando nombre y apellido, número del documento de identificación, número, fecha y valor </w:t>
      </w:r>
      <w:r>
        <w:rPr>
          <w:rFonts w:ascii="Arial" w:hAnsi="Arial" w:cs="Arial"/>
          <w:lang w:val="es-CO"/>
        </w:rPr>
        <w:t>de la factura con la discriminación del IVA, y atendiendo las especificaciones que mediante resolución establezca la Unidad Administrativa Especial Dirección de Impuestos y Aduanas Nacionales-DIAN.</w:t>
      </w:r>
    </w:p>
    <w:p w14:paraId="05A101DB" w14:textId="77777777" w:rsidR="00B2442D" w:rsidRDefault="00B2442D">
      <w:pPr>
        <w:jc w:val="both"/>
        <w:rPr>
          <w:rFonts w:ascii="Arial" w:hAnsi="Arial" w:cs="Arial"/>
          <w:lang w:val="es-CO"/>
        </w:rPr>
      </w:pPr>
    </w:p>
    <w:p w14:paraId="0CD0E808" w14:textId="77777777" w:rsidR="00B2442D" w:rsidRDefault="008A645F">
      <w:pPr>
        <w:jc w:val="both"/>
        <w:rPr>
          <w:rFonts w:ascii="Arial" w:hAnsi="Arial" w:cs="Arial"/>
          <w:i/>
          <w:lang w:val="es-CO"/>
        </w:rPr>
      </w:pPr>
      <w:r>
        <w:rPr>
          <w:rFonts w:ascii="Arial" w:hAnsi="Arial" w:cs="Arial"/>
          <w:i/>
          <w:lang w:val="es-CO"/>
        </w:rPr>
        <w:t>(Art. 11, Decreto 1903 de 2014)</w:t>
      </w:r>
    </w:p>
    <w:p w14:paraId="45623A98" w14:textId="77777777" w:rsidR="00B2442D" w:rsidRDefault="00B2442D">
      <w:pPr>
        <w:jc w:val="both"/>
        <w:rPr>
          <w:rFonts w:ascii="Arial" w:hAnsi="Arial" w:cs="Arial"/>
          <w:lang w:val="es-CO"/>
        </w:rPr>
      </w:pPr>
    </w:p>
    <w:p w14:paraId="646EC231"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Responsabilidad.</w:t>
      </w:r>
      <w:r>
        <w:rPr>
          <w:rFonts w:ascii="Arial" w:hAnsi="Arial" w:cs="Arial"/>
          <w:lang w:val="es-CO"/>
        </w:rPr>
        <w:t xml:space="preserve"> Los sol</w:t>
      </w:r>
      <w:r>
        <w:rPr>
          <w:rFonts w:ascii="Arial" w:hAnsi="Arial" w:cs="Arial"/>
          <w:lang w:val="es-CO"/>
        </w:rPr>
        <w:t>icitantes de la devolución del IVA de que trata el presente decreto, serán responsables de la veracidad de la información y autenticidad de los documentos exhibidos para el trámite de la solicitud de devolución.</w:t>
      </w:r>
    </w:p>
    <w:p w14:paraId="081CBE00" w14:textId="77777777" w:rsidR="00B2442D" w:rsidRDefault="00B2442D">
      <w:pPr>
        <w:jc w:val="both"/>
        <w:rPr>
          <w:rFonts w:ascii="Arial" w:hAnsi="Arial" w:cs="Arial"/>
          <w:lang w:val="es-CO"/>
        </w:rPr>
      </w:pPr>
    </w:p>
    <w:p w14:paraId="51B1C490" w14:textId="77777777" w:rsidR="00B2442D" w:rsidRDefault="008A645F">
      <w:pPr>
        <w:jc w:val="both"/>
        <w:rPr>
          <w:rFonts w:ascii="Arial" w:hAnsi="Arial" w:cs="Arial"/>
          <w:lang w:val="es-CO"/>
        </w:rPr>
      </w:pPr>
      <w:r>
        <w:rPr>
          <w:rFonts w:ascii="Arial" w:hAnsi="Arial" w:cs="Arial"/>
          <w:lang w:val="es-CO"/>
        </w:rPr>
        <w:t>Los hechos que puedan llegar a constituir c</w:t>
      </w:r>
      <w:r>
        <w:rPr>
          <w:rFonts w:ascii="Arial" w:hAnsi="Arial" w:cs="Arial"/>
          <w:lang w:val="es-CO"/>
        </w:rPr>
        <w:t>onducta punible, deberán ser puestos en conocimiento de las autoridades competentes.</w:t>
      </w:r>
    </w:p>
    <w:p w14:paraId="2BCEBBDA" w14:textId="77777777" w:rsidR="00B2442D" w:rsidRDefault="00B2442D">
      <w:pPr>
        <w:jc w:val="both"/>
        <w:rPr>
          <w:rFonts w:ascii="Arial" w:hAnsi="Arial" w:cs="Arial"/>
          <w:lang w:val="es-CO"/>
        </w:rPr>
      </w:pPr>
    </w:p>
    <w:p w14:paraId="3509777B" w14:textId="77777777" w:rsidR="00B2442D" w:rsidRDefault="008A645F">
      <w:pPr>
        <w:jc w:val="both"/>
        <w:rPr>
          <w:rFonts w:ascii="Arial" w:hAnsi="Arial" w:cs="Arial"/>
          <w:i/>
          <w:lang w:val="es-CO"/>
        </w:rPr>
      </w:pPr>
      <w:r>
        <w:rPr>
          <w:rFonts w:ascii="Arial" w:hAnsi="Arial" w:cs="Arial"/>
          <w:i/>
          <w:lang w:val="es-CO"/>
        </w:rPr>
        <w:t>(Art. 12, Decreto 1903 de 2014)</w:t>
      </w:r>
    </w:p>
    <w:p w14:paraId="473988FE" w14:textId="77777777" w:rsidR="00B2442D" w:rsidRDefault="00B2442D">
      <w:pPr>
        <w:jc w:val="both"/>
        <w:rPr>
          <w:rFonts w:ascii="Arial" w:hAnsi="Arial" w:cs="Arial"/>
          <w:lang w:val="es-CO"/>
        </w:rPr>
      </w:pPr>
    </w:p>
    <w:p w14:paraId="054953EA"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Notificación.</w:t>
      </w:r>
      <w:r>
        <w:rPr>
          <w:rFonts w:ascii="Arial" w:hAnsi="Arial" w:cs="Arial"/>
          <w:lang w:val="es-CO"/>
        </w:rPr>
        <w:t xml:space="preserve"> La resolución que decide la solicitud de devolución de que trata el presente capítulo, se notificará de conformidad con los artículos 198 y 201 del Código de Procedimiento Administrativo y de lo Contencioso Administrativo, o al correo electrónico que info</w:t>
      </w:r>
      <w:r>
        <w:rPr>
          <w:rFonts w:ascii="Arial" w:hAnsi="Arial" w:cs="Arial"/>
          <w:lang w:val="es-CO"/>
        </w:rPr>
        <w:t>rme en la solicitud el turista extranjero no residente en Colombia o extranjero en tránsito fronterizo sin residencia en el país, y contra la misma proceden los recursos de reposición y apelación de conformidad con lo establecido en el Código de Procedimie</w:t>
      </w:r>
      <w:r>
        <w:rPr>
          <w:rFonts w:ascii="Arial" w:hAnsi="Arial" w:cs="Arial"/>
          <w:lang w:val="es-CO"/>
        </w:rPr>
        <w:t>nto Administrativo y de lo Contencioso Administrativo.</w:t>
      </w:r>
    </w:p>
    <w:p w14:paraId="6924F11A" w14:textId="77777777" w:rsidR="00B2442D" w:rsidRDefault="00B2442D">
      <w:pPr>
        <w:jc w:val="both"/>
        <w:rPr>
          <w:rFonts w:ascii="Arial" w:hAnsi="Arial" w:cs="Arial"/>
          <w:lang w:val="es-CO"/>
        </w:rPr>
      </w:pPr>
    </w:p>
    <w:p w14:paraId="49425C05" w14:textId="77777777" w:rsidR="00B2442D" w:rsidRDefault="008A645F">
      <w:pPr>
        <w:jc w:val="both"/>
        <w:rPr>
          <w:rFonts w:ascii="Arial" w:hAnsi="Arial" w:cs="Arial"/>
          <w:i/>
          <w:lang w:val="es-CO"/>
        </w:rPr>
      </w:pPr>
      <w:r>
        <w:rPr>
          <w:rFonts w:ascii="Arial" w:hAnsi="Arial" w:cs="Arial"/>
          <w:i/>
          <w:lang w:val="es-CO"/>
        </w:rPr>
        <w:t>(Art. 13, Decreto 1903 de 2014)</w:t>
      </w:r>
    </w:p>
    <w:p w14:paraId="11D10309" w14:textId="77777777" w:rsidR="00B2442D" w:rsidRDefault="00B2442D">
      <w:pPr>
        <w:jc w:val="both"/>
        <w:rPr>
          <w:rFonts w:ascii="Arial" w:hAnsi="Arial" w:cs="Arial"/>
          <w:lang w:val="es-CO"/>
        </w:rPr>
      </w:pPr>
    </w:p>
    <w:p w14:paraId="1A6E343B" w14:textId="77777777" w:rsidR="00B2442D" w:rsidRDefault="008A645F">
      <w:pPr>
        <w:pStyle w:val="Prrafodelista"/>
        <w:numPr>
          <w:ilvl w:val="0"/>
          <w:numId w:val="125"/>
        </w:numPr>
        <w:ind w:left="0" w:firstLine="0"/>
        <w:jc w:val="both"/>
        <w:rPr>
          <w:rFonts w:ascii="Arial" w:hAnsi="Arial" w:cs="Arial"/>
          <w:lang w:val="es-CO"/>
        </w:rPr>
      </w:pPr>
      <w:r>
        <w:rPr>
          <w:rFonts w:ascii="Arial" w:hAnsi="Arial" w:cs="Arial"/>
          <w:b/>
          <w:i/>
          <w:lang w:val="es-CO"/>
        </w:rPr>
        <w:t>Transitoriedad.</w:t>
      </w:r>
      <w:r>
        <w:rPr>
          <w:rFonts w:ascii="Arial" w:hAnsi="Arial" w:cs="Arial"/>
          <w:lang w:val="es-CO"/>
        </w:rPr>
        <w:t xml:space="preserve"> La Unidad Administrativa Especial Dirección de Impuestos y Aduanas Nacionales-DIAN dentro de los cuatro (4) meses siguientes al 01 de octubre de 2014 (</w:t>
      </w:r>
      <w:r>
        <w:rPr>
          <w:rFonts w:ascii="Arial" w:hAnsi="Arial" w:cs="Arial"/>
          <w:lang w:val="es-CO"/>
        </w:rPr>
        <w:t>D. O. 49291), deberá implementar el procedimiento para la devolución de impuestos sobre las ventas a los turistas extranjeros y los visitantes extranjeros no residentes en Colombia en las Unidades de Desarrollo Fronterizo que adquieren bienes objeto de dev</w:t>
      </w:r>
      <w:r>
        <w:rPr>
          <w:rFonts w:ascii="Arial" w:hAnsi="Arial" w:cs="Arial"/>
          <w:lang w:val="es-CO"/>
        </w:rPr>
        <w:t>olución por medios electrónicos o en forma presencial a través de datáfono, mediante tarjeta de crédito y/o débito.</w:t>
      </w:r>
    </w:p>
    <w:p w14:paraId="10D68B9C" w14:textId="77777777" w:rsidR="00B2442D" w:rsidRDefault="00B2442D">
      <w:pPr>
        <w:jc w:val="both"/>
        <w:rPr>
          <w:rFonts w:ascii="Arial" w:hAnsi="Arial" w:cs="Arial"/>
          <w:lang w:val="es-CO"/>
        </w:rPr>
      </w:pPr>
    </w:p>
    <w:p w14:paraId="11B6A0CA" w14:textId="77777777" w:rsidR="00B2442D" w:rsidRDefault="008A645F">
      <w:pPr>
        <w:jc w:val="both"/>
        <w:rPr>
          <w:rFonts w:ascii="Arial" w:hAnsi="Arial" w:cs="Arial"/>
          <w:i/>
          <w:lang w:val="es-CO"/>
        </w:rPr>
      </w:pPr>
      <w:r>
        <w:rPr>
          <w:rFonts w:ascii="Arial" w:hAnsi="Arial" w:cs="Arial"/>
          <w:i/>
          <w:lang w:val="es-CO"/>
        </w:rPr>
        <w:t>(Art. 14, Decreto 1903 de 2014)</w:t>
      </w:r>
    </w:p>
    <w:p w14:paraId="264312F1" w14:textId="77777777" w:rsidR="00B2442D" w:rsidRDefault="00B2442D">
      <w:pPr>
        <w:jc w:val="both"/>
        <w:rPr>
          <w:rFonts w:ascii="Arial" w:hAnsi="Arial" w:cs="Arial"/>
          <w:i/>
          <w:lang w:val="es-CO"/>
        </w:rPr>
      </w:pPr>
    </w:p>
    <w:p w14:paraId="763A6BCF" w14:textId="77777777" w:rsidR="00B2442D" w:rsidRDefault="008A645F">
      <w:pPr>
        <w:pStyle w:val="Ttulo4"/>
      </w:pPr>
      <w:r>
        <w:t>CAPÍTULO 24</w:t>
      </w:r>
    </w:p>
    <w:p w14:paraId="3A46D03F" w14:textId="77777777" w:rsidR="00B2442D" w:rsidRDefault="008A645F">
      <w:pPr>
        <w:pStyle w:val="Ttulo4"/>
        <w:rPr>
          <w:i/>
          <w:lang w:val="es-CO"/>
        </w:rPr>
      </w:pPr>
      <w:r>
        <w:rPr>
          <w:lang w:val="es-CO"/>
        </w:rPr>
        <w:t>Devolución del Impuesto sobre las Ventas por la adquisición de servicios gravados, por los vis</w:t>
      </w:r>
      <w:r>
        <w:rPr>
          <w:lang w:val="es-CO"/>
        </w:rPr>
        <w:t>itantes extranjeros no residentes en Colombia, en los establecimientos de comercio ubicados en las Unidades Especiales de Desarrollo Fronterizo</w:t>
      </w:r>
    </w:p>
    <w:p w14:paraId="49AFD807" w14:textId="77777777" w:rsidR="00B2442D" w:rsidRDefault="00B2442D">
      <w:pPr>
        <w:jc w:val="both"/>
        <w:rPr>
          <w:rFonts w:ascii="Arial" w:hAnsi="Arial" w:cs="Arial"/>
          <w:i/>
          <w:lang w:val="es-CO"/>
        </w:rPr>
      </w:pPr>
    </w:p>
    <w:p w14:paraId="79FF67E5" w14:textId="77777777" w:rsidR="00B2442D" w:rsidRDefault="00B2442D">
      <w:pPr>
        <w:jc w:val="both"/>
        <w:rPr>
          <w:rFonts w:ascii="Arial" w:hAnsi="Arial" w:cs="Arial"/>
          <w:i/>
          <w:lang w:val="es-CO"/>
        </w:rPr>
      </w:pPr>
    </w:p>
    <w:p w14:paraId="5641B6D9"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Devolución del IVA a los visitantes extranjeros no residentes en Colombia en las Unidades Especiales de Desarr</w:t>
      </w:r>
      <w:r>
        <w:rPr>
          <w:rFonts w:ascii="Arial" w:hAnsi="Arial" w:cs="Arial"/>
          <w:b/>
          <w:i/>
          <w:lang w:val="es-CO"/>
        </w:rPr>
        <w:t>ollo Fronterizo.</w:t>
      </w:r>
      <w:r>
        <w:rPr>
          <w:rFonts w:ascii="Arial" w:hAnsi="Arial" w:cs="Arial"/>
          <w:lang w:val="es-CO"/>
        </w:rPr>
        <w:t xml:space="preserve"> De conformidad con lo previsto en el artículo 28 de la Ley 191 de 1995, modificado por el artículo 70 de la Ley 1607 de 2012, la Unidad Administrativa Especial Dirección de Impuestos y Aduanas Nacionales-DIAN- devolverá a los visitantes ex</w:t>
      </w:r>
      <w:r>
        <w:rPr>
          <w:rFonts w:ascii="Arial" w:hAnsi="Arial" w:cs="Arial"/>
          <w:lang w:val="es-CO"/>
        </w:rPr>
        <w:t>tranjeros no residentes en Colombia, por la adquisición de servicios gravados en los establecimientos de comercio ubicados en las Unidades Especiales de Desarrollo Fronterizo, el ciento por ciento (100%) del impuesto sobre las ventas, previo cumplimiento d</w:t>
      </w:r>
      <w:r>
        <w:rPr>
          <w:rFonts w:ascii="Arial" w:hAnsi="Arial" w:cs="Arial"/>
          <w:lang w:val="es-CO"/>
        </w:rPr>
        <w:t>e las condiciones y requisitos señalados en el presente capítulo, en particular los montos objeto de devolución de que trata el artículo 1.6.1.24.5.</w:t>
      </w:r>
    </w:p>
    <w:p w14:paraId="32108A02" w14:textId="77777777" w:rsidR="00B2442D" w:rsidRDefault="00B2442D">
      <w:pPr>
        <w:jc w:val="both"/>
        <w:rPr>
          <w:rFonts w:ascii="Arial" w:hAnsi="Arial" w:cs="Arial"/>
          <w:lang w:val="es-CO"/>
        </w:rPr>
      </w:pPr>
    </w:p>
    <w:p w14:paraId="3F8B4D23" w14:textId="77777777" w:rsidR="00B2442D" w:rsidRDefault="008A645F">
      <w:pPr>
        <w:jc w:val="both"/>
        <w:rPr>
          <w:rFonts w:ascii="Arial" w:hAnsi="Arial" w:cs="Arial"/>
          <w:lang w:val="es-CO"/>
        </w:rPr>
      </w:pPr>
      <w:r>
        <w:rPr>
          <w:rFonts w:ascii="Arial" w:hAnsi="Arial" w:cs="Arial"/>
          <w:i/>
          <w:lang w:val="es-CO"/>
        </w:rPr>
        <w:t>(Art. 1, Decreto 660 de 2016)</w:t>
      </w:r>
    </w:p>
    <w:p w14:paraId="5E1B0C75" w14:textId="77777777" w:rsidR="00B2442D" w:rsidRDefault="00B2442D">
      <w:pPr>
        <w:jc w:val="both"/>
        <w:rPr>
          <w:rFonts w:ascii="Arial" w:hAnsi="Arial" w:cs="Arial"/>
          <w:lang w:val="es-CO"/>
        </w:rPr>
      </w:pPr>
    </w:p>
    <w:p w14:paraId="4EB9CF0D"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Visitante extranjero no residente en Colombia.</w:t>
      </w:r>
      <w:r>
        <w:rPr>
          <w:rFonts w:ascii="Arial" w:hAnsi="Arial" w:cs="Arial"/>
          <w:lang w:val="es-CO"/>
        </w:rPr>
        <w:t xml:space="preserve"> Para los efectos de este dec</w:t>
      </w:r>
      <w:r>
        <w:rPr>
          <w:rFonts w:ascii="Arial" w:hAnsi="Arial" w:cs="Arial"/>
          <w:lang w:val="es-CO"/>
        </w:rPr>
        <w:t>reto, son visitantes extranjeros no residentes en Colombia los nacionales de otros países que ingresen a las Unidades Especiales de Desarrollo Fronterizo sin el ánimo de establecerse en ellas o en el resto del territorio nacional.</w:t>
      </w:r>
    </w:p>
    <w:p w14:paraId="49490ACD" w14:textId="77777777" w:rsidR="00B2442D" w:rsidRDefault="00B2442D">
      <w:pPr>
        <w:jc w:val="both"/>
        <w:rPr>
          <w:rFonts w:ascii="Arial" w:hAnsi="Arial" w:cs="Arial"/>
          <w:lang w:val="es-CO"/>
        </w:rPr>
      </w:pPr>
    </w:p>
    <w:p w14:paraId="12303597" w14:textId="77777777" w:rsidR="00B2442D" w:rsidRDefault="008A645F">
      <w:pPr>
        <w:jc w:val="both"/>
        <w:rPr>
          <w:rFonts w:ascii="Arial" w:hAnsi="Arial" w:cs="Arial"/>
          <w:lang w:val="es-CO"/>
        </w:rPr>
      </w:pPr>
      <w:r>
        <w:rPr>
          <w:rFonts w:ascii="Arial" w:hAnsi="Arial" w:cs="Arial"/>
          <w:lang w:val="es-CO"/>
        </w:rPr>
        <w:t xml:space="preserve">La calidad de visitante </w:t>
      </w:r>
      <w:r>
        <w:rPr>
          <w:rFonts w:ascii="Arial" w:hAnsi="Arial" w:cs="Arial"/>
          <w:lang w:val="es-CO"/>
        </w:rPr>
        <w:t>extranjero no residente en Colombia se indicará con el sello de inmigración estampado en el pasaporte, documento de viaje, Tarjeta Andina Migratoria (TAM) o de Mercosur donde consta el ingreso (fecha del ingreso, días de permanencia autorizados y/o tipo de</w:t>
      </w:r>
      <w:r>
        <w:rPr>
          <w:rFonts w:ascii="Arial" w:hAnsi="Arial" w:cs="Arial"/>
          <w:lang w:val="es-CO"/>
        </w:rPr>
        <w:t xml:space="preserve"> ingreso) del visitante extranjero no residente en Colombia o en la forma que señale el Ministerio de Relaciones Exteriores.</w:t>
      </w:r>
    </w:p>
    <w:p w14:paraId="5E849089" w14:textId="77777777" w:rsidR="00B2442D" w:rsidRDefault="00B2442D">
      <w:pPr>
        <w:jc w:val="both"/>
        <w:rPr>
          <w:rFonts w:ascii="Arial" w:hAnsi="Arial" w:cs="Arial"/>
          <w:lang w:val="es-CO"/>
        </w:rPr>
      </w:pPr>
    </w:p>
    <w:p w14:paraId="1EA9B7D4" w14:textId="77777777" w:rsidR="00B2442D" w:rsidRDefault="008A645F">
      <w:pPr>
        <w:jc w:val="both"/>
        <w:rPr>
          <w:rFonts w:ascii="Arial" w:hAnsi="Arial" w:cs="Arial"/>
          <w:lang w:val="es-CO"/>
        </w:rPr>
      </w:pPr>
      <w:r>
        <w:rPr>
          <w:rFonts w:ascii="Arial" w:hAnsi="Arial" w:cs="Arial"/>
          <w:lang w:val="es-CO"/>
        </w:rPr>
        <w:t>Parágrafo. Para efectos de lo dispuesto en este artículo, conforme con lo previsto en el artículo 22 de la Ley 43 de 1993, los nac</w:t>
      </w:r>
      <w:r>
        <w:rPr>
          <w:rFonts w:ascii="Arial" w:hAnsi="Arial" w:cs="Arial"/>
          <w:lang w:val="es-CO"/>
        </w:rPr>
        <w:t>ionales colombianos que ostenten doble nacionalidad no se consideran visitantes extranjeros no residentes en Colombia y por ende no tienen derecho a la devolución del impuesto sobre las ventas prevista en este Decreto.</w:t>
      </w:r>
    </w:p>
    <w:p w14:paraId="6FFE149B" w14:textId="77777777" w:rsidR="00B2442D" w:rsidRDefault="00B2442D">
      <w:pPr>
        <w:jc w:val="both"/>
        <w:rPr>
          <w:rFonts w:ascii="Arial" w:hAnsi="Arial" w:cs="Arial"/>
          <w:lang w:val="es-CO"/>
        </w:rPr>
      </w:pPr>
    </w:p>
    <w:p w14:paraId="0169814A" w14:textId="77777777" w:rsidR="00B2442D" w:rsidRDefault="008A645F">
      <w:pPr>
        <w:jc w:val="both"/>
        <w:rPr>
          <w:rFonts w:ascii="Arial" w:hAnsi="Arial" w:cs="Arial"/>
          <w:lang w:val="es-CO"/>
        </w:rPr>
      </w:pPr>
      <w:r>
        <w:rPr>
          <w:rFonts w:ascii="Arial" w:hAnsi="Arial" w:cs="Arial"/>
          <w:i/>
          <w:lang w:val="es-CO"/>
        </w:rPr>
        <w:t>(Art. 2, Decreto 660 de 2016)</w:t>
      </w:r>
    </w:p>
    <w:p w14:paraId="4791947A" w14:textId="77777777" w:rsidR="00B2442D" w:rsidRDefault="00B2442D">
      <w:pPr>
        <w:jc w:val="both"/>
        <w:rPr>
          <w:rFonts w:ascii="Arial" w:hAnsi="Arial" w:cs="Arial"/>
          <w:lang w:val="es-CO"/>
        </w:rPr>
      </w:pPr>
    </w:p>
    <w:p w14:paraId="36F9E6B0"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Tarjeta Fiscal.</w:t>
      </w:r>
      <w:r>
        <w:rPr>
          <w:rFonts w:ascii="Arial" w:hAnsi="Arial" w:cs="Arial"/>
          <w:lang w:val="es-CO"/>
        </w:rPr>
        <w:t xml:space="preserve"> En aquellos casos en los que el pago de los servicios se realice en efectivo, los establecimientos de comercio ubicados en las Unidades Especiales de Desarrollo Fronterizo, en los que se realice la adquisición de servicios gravados con el I</w:t>
      </w:r>
      <w:r>
        <w:rPr>
          <w:rFonts w:ascii="Arial" w:hAnsi="Arial" w:cs="Arial"/>
          <w:lang w:val="es-CO"/>
        </w:rPr>
        <w:t>mpuesto sobre las Ventas, deberán tener vigente el Sistema Técnico de Control Tarjeta Fiscal a que se refiere 1.6.1.4.50 a 1.6.1.4.55 del presente Decreto, o las normas que lo modifiquen, adicionen o sustituyan.</w:t>
      </w:r>
    </w:p>
    <w:p w14:paraId="2C13AF20" w14:textId="77777777" w:rsidR="00B2442D" w:rsidRDefault="00B2442D">
      <w:pPr>
        <w:jc w:val="both"/>
        <w:rPr>
          <w:rFonts w:ascii="Arial" w:hAnsi="Arial" w:cs="Arial"/>
          <w:lang w:val="es-CO"/>
        </w:rPr>
      </w:pPr>
    </w:p>
    <w:p w14:paraId="0A323984" w14:textId="77777777" w:rsidR="00B2442D" w:rsidRDefault="008A645F">
      <w:pPr>
        <w:jc w:val="both"/>
        <w:rPr>
          <w:rFonts w:ascii="Arial" w:hAnsi="Arial" w:cs="Arial"/>
          <w:lang w:val="es-CO"/>
        </w:rPr>
      </w:pPr>
      <w:r>
        <w:rPr>
          <w:rFonts w:ascii="Arial" w:hAnsi="Arial" w:cs="Arial"/>
          <w:lang w:val="es-CO"/>
        </w:rPr>
        <w:t>Parágrafo Transitorio. La Unidad Administra</w:t>
      </w:r>
      <w:r>
        <w:rPr>
          <w:rFonts w:ascii="Arial" w:hAnsi="Arial" w:cs="Arial"/>
          <w:lang w:val="es-CO"/>
        </w:rPr>
        <w:t>tiva Especial Dirección de Impuestos y Aduanas Nacionales-DIAN- regulará los requisitos y especificaciones técnicas de la tarjeta fiscal.</w:t>
      </w:r>
    </w:p>
    <w:p w14:paraId="43D53D18" w14:textId="77777777" w:rsidR="00B2442D" w:rsidRDefault="00B2442D">
      <w:pPr>
        <w:jc w:val="both"/>
        <w:rPr>
          <w:rFonts w:ascii="Arial" w:hAnsi="Arial" w:cs="Arial"/>
          <w:lang w:val="es-CO"/>
        </w:rPr>
      </w:pPr>
    </w:p>
    <w:p w14:paraId="669587C6" w14:textId="77777777" w:rsidR="00B2442D" w:rsidRDefault="008A645F">
      <w:pPr>
        <w:jc w:val="both"/>
        <w:rPr>
          <w:rFonts w:ascii="Arial" w:hAnsi="Arial" w:cs="Arial"/>
          <w:lang w:val="es-CO"/>
        </w:rPr>
      </w:pPr>
      <w:r>
        <w:rPr>
          <w:rFonts w:ascii="Arial" w:hAnsi="Arial" w:cs="Arial"/>
          <w:i/>
          <w:lang w:val="es-CO"/>
        </w:rPr>
        <w:t>(Art. 3, Decreto 660 de 2016)</w:t>
      </w:r>
    </w:p>
    <w:p w14:paraId="1186B0C4" w14:textId="77777777" w:rsidR="00B2442D" w:rsidRDefault="00B2442D">
      <w:pPr>
        <w:jc w:val="both"/>
        <w:rPr>
          <w:rFonts w:ascii="Arial" w:hAnsi="Arial" w:cs="Arial"/>
          <w:lang w:val="es-CO"/>
        </w:rPr>
      </w:pPr>
    </w:p>
    <w:p w14:paraId="77381003"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Servicios gravados con derecho a la devolución del IVA.</w:t>
      </w:r>
      <w:r>
        <w:rPr>
          <w:rFonts w:ascii="Arial" w:hAnsi="Arial" w:cs="Arial"/>
          <w:lang w:val="es-CO"/>
        </w:rPr>
        <w:t xml:space="preserve"> Solamente otorgan derecho a la devolución del impuesto sobre las ventas los servicios relacionados a continuación:</w:t>
      </w:r>
    </w:p>
    <w:p w14:paraId="3CCB47DD" w14:textId="77777777" w:rsidR="00B2442D" w:rsidRDefault="00B2442D">
      <w:pPr>
        <w:jc w:val="both"/>
        <w:rPr>
          <w:rFonts w:ascii="Arial" w:hAnsi="Arial" w:cs="Arial"/>
          <w:lang w:val="es-CO"/>
        </w:rPr>
      </w:pPr>
    </w:p>
    <w:p w14:paraId="5D90BE07"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Servicios de mantenimiento y reparación de vehículos automotores, así como de motocicletas, sus partes y piezas.</w:t>
      </w:r>
    </w:p>
    <w:p w14:paraId="14D6FD18" w14:textId="77777777" w:rsidR="00B2442D" w:rsidRDefault="00B2442D">
      <w:pPr>
        <w:ind w:left="284" w:hanging="284"/>
        <w:jc w:val="both"/>
        <w:rPr>
          <w:rFonts w:ascii="Arial" w:hAnsi="Arial" w:cs="Arial"/>
          <w:lang w:val="es-CO"/>
        </w:rPr>
      </w:pPr>
    </w:p>
    <w:p w14:paraId="16B8407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Servicios de alojam</w:t>
      </w:r>
      <w:r>
        <w:rPr>
          <w:rFonts w:ascii="Arial" w:hAnsi="Arial" w:cs="Arial"/>
          <w:lang w:val="es-CO"/>
        </w:rPr>
        <w:t>iento cuando no forman parte de paquetes o planes turísticos, vendidos por las agencias operadoras u hoteles inscritos en el Registro Nacional de Turismo.</w:t>
      </w:r>
    </w:p>
    <w:p w14:paraId="358CBD70" w14:textId="77777777" w:rsidR="00B2442D" w:rsidRDefault="00B2442D">
      <w:pPr>
        <w:ind w:left="284" w:hanging="284"/>
        <w:jc w:val="both"/>
        <w:rPr>
          <w:rFonts w:ascii="Arial" w:hAnsi="Arial" w:cs="Arial"/>
          <w:lang w:val="es-CO"/>
        </w:rPr>
      </w:pPr>
    </w:p>
    <w:p w14:paraId="734C46BA"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Servicios prestados por las agencias de viaje.</w:t>
      </w:r>
    </w:p>
    <w:p w14:paraId="504253FE" w14:textId="77777777" w:rsidR="00B2442D" w:rsidRDefault="00B2442D">
      <w:pPr>
        <w:ind w:left="284" w:hanging="284"/>
        <w:jc w:val="both"/>
        <w:rPr>
          <w:rFonts w:ascii="Arial" w:hAnsi="Arial" w:cs="Arial"/>
          <w:lang w:val="es-CO"/>
        </w:rPr>
      </w:pPr>
    </w:p>
    <w:p w14:paraId="1B9D0C0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Arrendamiento de vehículos de hasta 1.600 c.c.</w:t>
      </w:r>
      <w:r>
        <w:rPr>
          <w:rFonts w:ascii="Arial" w:hAnsi="Arial" w:cs="Arial"/>
          <w:lang w:val="es-CO"/>
        </w:rPr>
        <w:t>, siempre que el proveedor del servicio se encuentre registrado en el Registro Nacional de Turismo y se encuentre domiciliado en la zona especial de desarrollo fronterizo, para ser utilizado dentro de la misma.</w:t>
      </w:r>
    </w:p>
    <w:p w14:paraId="72E2E000" w14:textId="77777777" w:rsidR="00B2442D" w:rsidRDefault="00B2442D">
      <w:pPr>
        <w:ind w:left="284" w:hanging="284"/>
        <w:jc w:val="both"/>
        <w:rPr>
          <w:rFonts w:ascii="Arial" w:hAnsi="Arial" w:cs="Arial"/>
          <w:lang w:val="es-CO"/>
        </w:rPr>
      </w:pPr>
    </w:p>
    <w:p w14:paraId="04B84515"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Restaurantes bajo franquicia, concesión, </w:t>
      </w:r>
      <w:r>
        <w:rPr>
          <w:rFonts w:ascii="Arial" w:hAnsi="Arial" w:cs="Arial"/>
          <w:lang w:val="es-CO"/>
        </w:rPr>
        <w:t>regalía, autorización o cualquier otro sistema que implique la explotación de intangibles.</w:t>
      </w:r>
    </w:p>
    <w:p w14:paraId="2C3EEB74" w14:textId="77777777" w:rsidR="00B2442D" w:rsidRDefault="00B2442D">
      <w:pPr>
        <w:ind w:left="284" w:hanging="284"/>
        <w:jc w:val="both"/>
        <w:rPr>
          <w:rFonts w:ascii="Arial" w:hAnsi="Arial" w:cs="Arial"/>
          <w:lang w:val="es-CO"/>
        </w:rPr>
      </w:pPr>
    </w:p>
    <w:p w14:paraId="04DB9D28"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Peluquerías y otros tratamientos de belleza.</w:t>
      </w:r>
    </w:p>
    <w:p w14:paraId="7828BD1A" w14:textId="77777777" w:rsidR="00B2442D" w:rsidRDefault="00B2442D">
      <w:pPr>
        <w:ind w:left="284" w:hanging="284"/>
        <w:jc w:val="both"/>
        <w:rPr>
          <w:rFonts w:ascii="Arial" w:hAnsi="Arial" w:cs="Arial"/>
          <w:lang w:val="es-CO"/>
        </w:rPr>
      </w:pPr>
    </w:p>
    <w:p w14:paraId="4DEB89C7"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Servicio de parqueadero público.</w:t>
      </w:r>
    </w:p>
    <w:p w14:paraId="60117088" w14:textId="77777777" w:rsidR="00B2442D" w:rsidRDefault="00B2442D">
      <w:pPr>
        <w:ind w:left="284" w:hanging="284"/>
        <w:jc w:val="both"/>
        <w:rPr>
          <w:rFonts w:ascii="Arial" w:hAnsi="Arial" w:cs="Arial"/>
          <w:lang w:val="es-CO"/>
        </w:rPr>
      </w:pPr>
    </w:p>
    <w:p w14:paraId="1816F810"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Servicios que prestan las empresas de transporte terrestre automotor, así c</w:t>
      </w:r>
      <w:r>
        <w:rPr>
          <w:rFonts w:ascii="Arial" w:hAnsi="Arial" w:cs="Arial"/>
          <w:lang w:val="es-CO"/>
        </w:rPr>
        <w:t>omo los que prestan las operadoras de chivas y demás vehículos de transporte de turismo.</w:t>
      </w:r>
    </w:p>
    <w:p w14:paraId="44372B72" w14:textId="77777777" w:rsidR="00B2442D" w:rsidRDefault="00B2442D">
      <w:pPr>
        <w:ind w:left="284" w:hanging="284"/>
        <w:jc w:val="both"/>
        <w:rPr>
          <w:rFonts w:ascii="Arial" w:hAnsi="Arial" w:cs="Arial"/>
          <w:lang w:val="es-CO"/>
        </w:rPr>
      </w:pPr>
    </w:p>
    <w:p w14:paraId="138A7FA5" w14:textId="77777777" w:rsidR="00B2442D" w:rsidRDefault="008A645F">
      <w:pPr>
        <w:ind w:left="284" w:hanging="284"/>
        <w:jc w:val="both"/>
        <w:rPr>
          <w:rFonts w:ascii="Arial" w:hAnsi="Arial" w:cs="Arial"/>
          <w:lang w:val="es-CO"/>
        </w:rPr>
      </w:pPr>
      <w:r>
        <w:rPr>
          <w:rFonts w:ascii="Arial" w:hAnsi="Arial" w:cs="Arial"/>
          <w:lang w:val="es-CO"/>
        </w:rPr>
        <w:t>i)</w:t>
      </w:r>
      <w:r>
        <w:rPr>
          <w:rFonts w:ascii="Arial" w:hAnsi="Arial" w:cs="Arial"/>
          <w:lang w:val="es-CO"/>
        </w:rPr>
        <w:tab/>
        <w:t>Guías de Turismo.</w:t>
      </w:r>
    </w:p>
    <w:p w14:paraId="434F9E81" w14:textId="77777777" w:rsidR="00B2442D" w:rsidRDefault="00B2442D">
      <w:pPr>
        <w:jc w:val="both"/>
        <w:rPr>
          <w:rFonts w:ascii="Arial" w:hAnsi="Arial" w:cs="Arial"/>
          <w:lang w:val="es-CO"/>
        </w:rPr>
      </w:pPr>
    </w:p>
    <w:p w14:paraId="6080923A" w14:textId="77777777" w:rsidR="00B2442D" w:rsidRDefault="008A645F">
      <w:pPr>
        <w:jc w:val="both"/>
        <w:rPr>
          <w:rFonts w:ascii="Arial" w:hAnsi="Arial" w:cs="Arial"/>
          <w:lang w:val="es-CO"/>
        </w:rPr>
      </w:pPr>
      <w:r>
        <w:rPr>
          <w:rFonts w:ascii="Arial" w:hAnsi="Arial" w:cs="Arial"/>
          <w:i/>
          <w:lang w:val="es-CO"/>
        </w:rPr>
        <w:t>(Art. 4, Decreto 660 de 2016)</w:t>
      </w:r>
    </w:p>
    <w:p w14:paraId="3F76B355" w14:textId="77777777" w:rsidR="00B2442D" w:rsidRDefault="00B2442D">
      <w:pPr>
        <w:jc w:val="both"/>
        <w:rPr>
          <w:rFonts w:ascii="Arial" w:hAnsi="Arial" w:cs="Arial"/>
          <w:lang w:val="es-CO"/>
        </w:rPr>
      </w:pPr>
    </w:p>
    <w:p w14:paraId="47CA8BCF"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Montos objeto de devolución.</w:t>
      </w:r>
      <w:r>
        <w:rPr>
          <w:rFonts w:ascii="Arial" w:hAnsi="Arial" w:cs="Arial"/>
          <w:lang w:val="es-CO"/>
        </w:rPr>
        <w:t xml:space="preserve"> Los visitantes extranjeros no residentes en Colombia podrán solicitar la devolución del IVA por la adquisición de los servicios gravados, mencionados en el artículo 4 del presente capítulo, cuando su cuantía, incluido el IVA, sea igual o superior a diez (</w:t>
      </w:r>
      <w:r>
        <w:rPr>
          <w:rFonts w:ascii="Arial" w:hAnsi="Arial" w:cs="Arial"/>
          <w:lang w:val="es-CO"/>
        </w:rPr>
        <w:t>10) Unidades de Valor Tributario (UVT).</w:t>
      </w:r>
    </w:p>
    <w:p w14:paraId="40626C6D" w14:textId="77777777" w:rsidR="00B2442D" w:rsidRDefault="00B2442D">
      <w:pPr>
        <w:jc w:val="both"/>
        <w:rPr>
          <w:rFonts w:ascii="Arial" w:hAnsi="Arial" w:cs="Arial"/>
          <w:lang w:val="es-CO"/>
        </w:rPr>
      </w:pPr>
    </w:p>
    <w:p w14:paraId="1AE65E7A" w14:textId="77777777" w:rsidR="00B2442D" w:rsidRDefault="008A645F">
      <w:pPr>
        <w:jc w:val="both"/>
        <w:rPr>
          <w:rFonts w:ascii="Arial" w:hAnsi="Arial" w:cs="Arial"/>
          <w:lang w:val="es-CO"/>
        </w:rPr>
      </w:pPr>
      <w:r>
        <w:rPr>
          <w:rFonts w:ascii="Arial" w:hAnsi="Arial" w:cs="Arial"/>
          <w:lang w:val="es-CO"/>
        </w:rPr>
        <w:t>El monto máximo de impuesto a devolver a que se refiere el presente capítulo, por persona será hasta por un valor equivalente a cien (100) Unidades de Valor Tributario (UVT).</w:t>
      </w:r>
    </w:p>
    <w:p w14:paraId="12C32FBC" w14:textId="77777777" w:rsidR="00B2442D" w:rsidRDefault="00B2442D">
      <w:pPr>
        <w:jc w:val="both"/>
        <w:rPr>
          <w:rFonts w:ascii="Arial" w:hAnsi="Arial" w:cs="Arial"/>
          <w:lang w:val="es-CO"/>
        </w:rPr>
      </w:pPr>
    </w:p>
    <w:p w14:paraId="650B08BA" w14:textId="77777777" w:rsidR="00B2442D" w:rsidRDefault="008A645F">
      <w:pPr>
        <w:jc w:val="both"/>
        <w:rPr>
          <w:rFonts w:ascii="Arial" w:hAnsi="Arial" w:cs="Arial"/>
          <w:lang w:val="es-CO"/>
        </w:rPr>
      </w:pPr>
      <w:r>
        <w:rPr>
          <w:rFonts w:ascii="Arial" w:hAnsi="Arial" w:cs="Arial"/>
          <w:i/>
          <w:lang w:val="es-CO"/>
        </w:rPr>
        <w:t>(Art. 5, Decreto 660 de 2016)</w:t>
      </w:r>
    </w:p>
    <w:p w14:paraId="735AA1B5" w14:textId="77777777" w:rsidR="00B2442D" w:rsidRDefault="00B2442D">
      <w:pPr>
        <w:jc w:val="both"/>
        <w:rPr>
          <w:rFonts w:ascii="Arial" w:hAnsi="Arial" w:cs="Arial"/>
          <w:lang w:val="es-CO"/>
        </w:rPr>
      </w:pPr>
    </w:p>
    <w:p w14:paraId="76FA8A4C"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Requisit</w:t>
      </w:r>
      <w:r>
        <w:rPr>
          <w:rFonts w:ascii="Arial" w:hAnsi="Arial" w:cs="Arial"/>
          <w:b/>
          <w:i/>
          <w:lang w:val="es-CO"/>
        </w:rPr>
        <w:t>os de la solicitud de devolución.</w:t>
      </w:r>
      <w:r>
        <w:rPr>
          <w:rFonts w:ascii="Arial" w:hAnsi="Arial" w:cs="Arial"/>
          <w:lang w:val="es-CO"/>
        </w:rPr>
        <w:t xml:space="preserve"> Para efectos de la devolución del impuesto sobre las ventas pagado en la adquisición de cualquiera de los servicios señalados en el artículo 1.6.1.24.4 del presente decreto, el visitante extranjero no residente en Colombia</w:t>
      </w:r>
      <w:r>
        <w:rPr>
          <w:rFonts w:ascii="Arial" w:hAnsi="Arial" w:cs="Arial"/>
          <w:lang w:val="es-CO"/>
        </w:rPr>
        <w:t xml:space="preserve"> que ingresa en las Unidades Especiales de Desarrollo Fronterizo deberá:</w:t>
      </w:r>
    </w:p>
    <w:p w14:paraId="04987508" w14:textId="77777777" w:rsidR="00B2442D" w:rsidRDefault="00B2442D">
      <w:pPr>
        <w:jc w:val="both"/>
        <w:rPr>
          <w:rFonts w:ascii="Arial" w:hAnsi="Arial" w:cs="Arial"/>
          <w:lang w:val="es-CO"/>
        </w:rPr>
      </w:pPr>
    </w:p>
    <w:p w14:paraId="67CE6B47"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Presentar personalmente al momento de la salida del país y ante la dependencia competente de la Dirección Seccional de Aduanas o de Impuestos y Aduanas Nacionales ubicada en el pu</w:t>
      </w:r>
      <w:r>
        <w:rPr>
          <w:rFonts w:ascii="Arial" w:hAnsi="Arial" w:cs="Arial"/>
          <w:lang w:val="es-CO"/>
        </w:rPr>
        <w:t>esto de control del puerto o en el puesto de control de la Unidad Especial de Desarrollo Fronterizo, debidamente diligenciado el formulario de solicitud de devolución que para el efecto se prescriba por la DIAN. Así mismo, debe autorizar la consulta de sus</w:t>
      </w:r>
      <w:r>
        <w:rPr>
          <w:rFonts w:ascii="Arial" w:hAnsi="Arial" w:cs="Arial"/>
          <w:lang w:val="es-CO"/>
        </w:rPr>
        <w:t xml:space="preserve"> registros migratorios e informar una tarjeta de crédito internacional, expedida en el extranjero de las franquicias con las que tenga convenio la Unidad Administrativa Especial Dirección de Impuestos y Aduanas Nacionales-DIAN- para realizar el abono.</w:t>
      </w:r>
    </w:p>
    <w:p w14:paraId="74F6658C" w14:textId="77777777" w:rsidR="00B2442D" w:rsidRDefault="00B2442D">
      <w:pPr>
        <w:ind w:left="284" w:hanging="284"/>
        <w:jc w:val="both"/>
        <w:rPr>
          <w:rFonts w:ascii="Arial" w:hAnsi="Arial" w:cs="Arial"/>
          <w:lang w:val="es-CO"/>
        </w:rPr>
      </w:pPr>
    </w:p>
    <w:p w14:paraId="2BA29523"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r>
      <w:r>
        <w:rPr>
          <w:rFonts w:ascii="Arial" w:hAnsi="Arial" w:cs="Arial"/>
          <w:lang w:val="es-CO"/>
        </w:rPr>
        <w:t>Exhibir el sello estampado en el pasaporte original, documento de viaje, Tarjeta Andina Migratoria (TAM) o de Mercosur donde consta el ingreso (fecha del ingreso, días de permanencia autorizados y/o tipo de ingreso) del visitante extranjero no residente en</w:t>
      </w:r>
      <w:r>
        <w:rPr>
          <w:rFonts w:ascii="Arial" w:hAnsi="Arial" w:cs="Arial"/>
          <w:lang w:val="es-CO"/>
        </w:rPr>
        <w:t xml:space="preserve"> Colombia o en la forma que señale el Ministerio de Relaciones Exteriores.</w:t>
      </w:r>
    </w:p>
    <w:p w14:paraId="17401B23" w14:textId="77777777" w:rsidR="00B2442D" w:rsidRDefault="00B2442D">
      <w:pPr>
        <w:ind w:left="284" w:hanging="284"/>
        <w:jc w:val="both"/>
        <w:rPr>
          <w:rFonts w:ascii="Arial" w:hAnsi="Arial" w:cs="Arial"/>
          <w:lang w:val="es-CO"/>
        </w:rPr>
      </w:pPr>
    </w:p>
    <w:p w14:paraId="115DC2C4"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Entregar fotocopia del documento que acredita su estatus migratorio.</w:t>
      </w:r>
    </w:p>
    <w:p w14:paraId="5505A3C1" w14:textId="77777777" w:rsidR="00B2442D" w:rsidRDefault="00B2442D">
      <w:pPr>
        <w:ind w:left="284" w:hanging="284"/>
        <w:jc w:val="both"/>
        <w:rPr>
          <w:rFonts w:ascii="Arial" w:hAnsi="Arial" w:cs="Arial"/>
          <w:lang w:val="es-CO"/>
        </w:rPr>
      </w:pPr>
    </w:p>
    <w:p w14:paraId="5468190D"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Entregar el original de la(s) factura(s) de venta o fotocopia de la(s) misma(s) en la(s) que figure el s</w:t>
      </w:r>
      <w:r>
        <w:rPr>
          <w:rFonts w:ascii="Arial" w:hAnsi="Arial" w:cs="Arial"/>
          <w:lang w:val="es-CO"/>
        </w:rPr>
        <w:t>olicitante de la devolución como titular, con el correspondiente comprobante de pago -tirilla de pago-, la cual debe cumplir los requisitos establecidos en los artículos 617 y 618 del Estatuto Tributario y demás normas legales vigentes.</w:t>
      </w:r>
    </w:p>
    <w:p w14:paraId="3895DDD1" w14:textId="77777777" w:rsidR="00B2442D" w:rsidRDefault="00B2442D">
      <w:pPr>
        <w:ind w:left="284" w:hanging="284"/>
        <w:jc w:val="both"/>
        <w:rPr>
          <w:rFonts w:ascii="Arial" w:hAnsi="Arial" w:cs="Arial"/>
          <w:lang w:val="es-CO"/>
        </w:rPr>
      </w:pPr>
    </w:p>
    <w:p w14:paraId="686B6973"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Al momento de l</w:t>
      </w:r>
      <w:r>
        <w:rPr>
          <w:rFonts w:ascii="Arial" w:hAnsi="Arial" w:cs="Arial"/>
          <w:lang w:val="es-CO"/>
        </w:rPr>
        <w:t>a presentación de la solicitud, las facturas que dan derecho a la devolución no deben exceder de tres (3) meses de haber sido expedidas.</w:t>
      </w:r>
    </w:p>
    <w:p w14:paraId="7BB94866" w14:textId="77777777" w:rsidR="00B2442D" w:rsidRDefault="00B2442D">
      <w:pPr>
        <w:ind w:left="284" w:hanging="284"/>
        <w:jc w:val="both"/>
        <w:rPr>
          <w:rFonts w:ascii="Arial" w:hAnsi="Arial" w:cs="Arial"/>
          <w:lang w:val="es-CO"/>
        </w:rPr>
      </w:pPr>
    </w:p>
    <w:p w14:paraId="0E1B7947"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Realizar la adquisición de los servicios gravados en los establecimientos de comercio ubicados en la Unidad Especia</w:t>
      </w:r>
      <w:r>
        <w:rPr>
          <w:rFonts w:ascii="Arial" w:hAnsi="Arial" w:cs="Arial"/>
          <w:lang w:val="es-CO"/>
        </w:rPr>
        <w:t>l de Desarrollo Fronterizo donde se realizará la solicitud de devolución.</w:t>
      </w:r>
    </w:p>
    <w:p w14:paraId="4F0854F6" w14:textId="77777777" w:rsidR="00B2442D" w:rsidRDefault="00B2442D">
      <w:pPr>
        <w:ind w:left="284" w:hanging="284"/>
        <w:jc w:val="both"/>
        <w:rPr>
          <w:rFonts w:ascii="Arial" w:hAnsi="Arial" w:cs="Arial"/>
          <w:lang w:val="es-CO"/>
        </w:rPr>
      </w:pPr>
    </w:p>
    <w:p w14:paraId="0DB035BD"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La adquisición de servicios gravados que otorgan derecho a la devolución deberá realizarse a responsables inscritos en el régimen común del impuesto sobre las ventas.</w:t>
      </w:r>
    </w:p>
    <w:p w14:paraId="3C0A5B5E" w14:textId="77777777" w:rsidR="00B2442D" w:rsidRDefault="00B2442D">
      <w:pPr>
        <w:jc w:val="both"/>
        <w:rPr>
          <w:rFonts w:ascii="Arial" w:hAnsi="Arial" w:cs="Arial"/>
          <w:lang w:val="es-CO"/>
        </w:rPr>
      </w:pPr>
    </w:p>
    <w:p w14:paraId="745FF877" w14:textId="77777777" w:rsidR="00B2442D" w:rsidRDefault="008A645F">
      <w:pPr>
        <w:jc w:val="both"/>
        <w:rPr>
          <w:rFonts w:ascii="Arial" w:hAnsi="Arial" w:cs="Arial"/>
          <w:lang w:val="es-CO"/>
        </w:rPr>
      </w:pPr>
      <w:r>
        <w:rPr>
          <w:rFonts w:ascii="Arial" w:hAnsi="Arial" w:cs="Arial"/>
          <w:b/>
          <w:lang w:val="es-CO"/>
        </w:rPr>
        <w:t xml:space="preserve">Parágrafo 1. </w:t>
      </w:r>
      <w:r>
        <w:rPr>
          <w:rFonts w:ascii="Arial" w:hAnsi="Arial" w:cs="Arial"/>
          <w:lang w:val="es-CO"/>
        </w:rPr>
        <w:t xml:space="preserve">Para certificar la condición migratoria como requisito para tener derecho a la devolución del IVA, el visitante extranjero no residente en Colombia, en las Unidades Especiales de Desarrollo Fronterizo, deberá realizar el registro de ingreso y </w:t>
      </w:r>
      <w:r>
        <w:rPr>
          <w:rFonts w:ascii="Arial" w:hAnsi="Arial" w:cs="Arial"/>
          <w:lang w:val="es-CO"/>
        </w:rPr>
        <w:t>salida del territorio nacional en los puestos de control migratorio habilitados para tal fin por la Unidad Administrativa Especial Migración Colombia.</w:t>
      </w:r>
    </w:p>
    <w:p w14:paraId="20CBECD6" w14:textId="77777777" w:rsidR="00B2442D" w:rsidRDefault="00B2442D">
      <w:pPr>
        <w:jc w:val="both"/>
        <w:rPr>
          <w:rFonts w:ascii="Arial" w:hAnsi="Arial" w:cs="Arial"/>
          <w:lang w:val="es-CO"/>
        </w:rPr>
      </w:pPr>
    </w:p>
    <w:p w14:paraId="4A498E1B" w14:textId="77777777" w:rsidR="00B2442D" w:rsidRDefault="008A645F">
      <w:pPr>
        <w:jc w:val="both"/>
        <w:rPr>
          <w:rFonts w:ascii="Arial" w:hAnsi="Arial" w:cs="Arial"/>
          <w:lang w:val="es-CO"/>
        </w:rPr>
      </w:pPr>
      <w:r>
        <w:rPr>
          <w:rFonts w:ascii="Arial" w:hAnsi="Arial" w:cs="Arial"/>
          <w:b/>
          <w:lang w:val="es-CO"/>
        </w:rPr>
        <w:t xml:space="preserve">Parágrafo 2. </w:t>
      </w:r>
      <w:r>
        <w:rPr>
          <w:rFonts w:ascii="Arial" w:hAnsi="Arial" w:cs="Arial"/>
          <w:lang w:val="es-CO"/>
        </w:rPr>
        <w:t>La adquisición de los servicios gravados con el impuesto sobre las ventas, expresamente señ</w:t>
      </w:r>
      <w:r>
        <w:rPr>
          <w:rFonts w:ascii="Arial" w:hAnsi="Arial" w:cs="Arial"/>
          <w:lang w:val="es-CO"/>
        </w:rPr>
        <w:t>alados en el presente capítulo, se debe efectuar electrónicamente en forma presencial a través de datáfono, mediante tarjeta de crédito y/o débito internacional expedida en el extranjero.</w:t>
      </w:r>
    </w:p>
    <w:p w14:paraId="02DD7CC7" w14:textId="77777777" w:rsidR="00B2442D" w:rsidRDefault="00B2442D">
      <w:pPr>
        <w:jc w:val="both"/>
        <w:rPr>
          <w:rFonts w:ascii="Arial" w:hAnsi="Arial" w:cs="Arial"/>
          <w:lang w:val="es-CO"/>
        </w:rPr>
      </w:pPr>
    </w:p>
    <w:p w14:paraId="06087F0A" w14:textId="77777777" w:rsidR="00B2442D" w:rsidRDefault="008A645F">
      <w:pPr>
        <w:jc w:val="both"/>
        <w:rPr>
          <w:rFonts w:ascii="Arial" w:hAnsi="Arial" w:cs="Arial"/>
          <w:lang w:val="es-CO"/>
        </w:rPr>
      </w:pPr>
      <w:r>
        <w:rPr>
          <w:rFonts w:ascii="Arial" w:hAnsi="Arial" w:cs="Arial"/>
          <w:lang w:val="es-CO"/>
        </w:rPr>
        <w:t>La devolución del impuesto sobre las ventas de qué trata este decre</w:t>
      </w:r>
      <w:r>
        <w:rPr>
          <w:rFonts w:ascii="Arial" w:hAnsi="Arial" w:cs="Arial"/>
          <w:lang w:val="es-CO"/>
        </w:rPr>
        <w:t xml:space="preserve">to, procederá adicionalmente por las adquisiciones de servicios que se realicen en efectivo, a partir de la implementación de la tarjeta fiscal, para lo cual los establecimientos donde se adquieran los servicios deberán tener vigente su Sistema Técnico de </w:t>
      </w:r>
      <w:r>
        <w:rPr>
          <w:rFonts w:ascii="Arial" w:hAnsi="Arial" w:cs="Arial"/>
          <w:lang w:val="es-CO"/>
        </w:rPr>
        <w:t>Control.</w:t>
      </w:r>
    </w:p>
    <w:p w14:paraId="0EFE6493" w14:textId="77777777" w:rsidR="00B2442D" w:rsidRDefault="00B2442D">
      <w:pPr>
        <w:jc w:val="both"/>
        <w:rPr>
          <w:rFonts w:ascii="Arial" w:hAnsi="Arial" w:cs="Arial"/>
          <w:lang w:val="es-CO"/>
        </w:rPr>
      </w:pPr>
    </w:p>
    <w:p w14:paraId="50651FE0"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Unidad Administrativa Especial Dirección de Impuestos y Aduanas Nacionales-DIAN- podrá solicitar los registros migratorios en virtud de la autorización legal conferida por el artículo 27 de la Ley 1755 de 2015, de acuerdo con el p</w:t>
      </w:r>
      <w:r>
        <w:rPr>
          <w:rFonts w:ascii="Arial" w:hAnsi="Arial" w:cs="Arial"/>
          <w:lang w:val="es-CO"/>
        </w:rPr>
        <w:t>rocedimiento que para este fin sea acordado con la Unidad Administrativa Especial Migración Colombia.</w:t>
      </w:r>
    </w:p>
    <w:p w14:paraId="5284C614" w14:textId="77777777" w:rsidR="00B2442D" w:rsidRDefault="00B2442D">
      <w:pPr>
        <w:jc w:val="both"/>
        <w:rPr>
          <w:rFonts w:ascii="Arial" w:hAnsi="Arial" w:cs="Arial"/>
          <w:lang w:val="es-CO"/>
        </w:rPr>
      </w:pPr>
    </w:p>
    <w:p w14:paraId="4AAFCC6D"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Con base en lo previsto en el artículo 684-2 del Estatuto Tributario, la Unidad Administrativa Especial Dirección de Impuestos y Aduanas Nac</w:t>
      </w:r>
      <w:r>
        <w:rPr>
          <w:rFonts w:ascii="Arial" w:hAnsi="Arial" w:cs="Arial"/>
          <w:lang w:val="es-CO"/>
        </w:rPr>
        <w:t>ionales-DIAN- podrá establecer un sistema técnico de control que permita identificar las facturas expedidas que acreditan el derecho a la devolución de que trata el presente capítulo.</w:t>
      </w:r>
    </w:p>
    <w:p w14:paraId="55423F4C" w14:textId="77777777" w:rsidR="00B2442D" w:rsidRDefault="00B2442D">
      <w:pPr>
        <w:jc w:val="both"/>
        <w:rPr>
          <w:rFonts w:ascii="Arial" w:hAnsi="Arial" w:cs="Arial"/>
          <w:lang w:val="es-CO"/>
        </w:rPr>
      </w:pPr>
    </w:p>
    <w:p w14:paraId="69832E4F" w14:textId="77777777" w:rsidR="00B2442D" w:rsidRDefault="008A645F">
      <w:pPr>
        <w:jc w:val="both"/>
        <w:rPr>
          <w:rFonts w:ascii="Arial" w:hAnsi="Arial" w:cs="Arial"/>
          <w:lang w:val="es-CO"/>
        </w:rPr>
      </w:pPr>
      <w:r>
        <w:rPr>
          <w:rFonts w:ascii="Arial" w:hAnsi="Arial" w:cs="Arial"/>
          <w:i/>
          <w:lang w:val="es-CO"/>
        </w:rPr>
        <w:t>(Art. 6, Decreto 660 de 2016)</w:t>
      </w:r>
    </w:p>
    <w:p w14:paraId="68947586" w14:textId="77777777" w:rsidR="00B2442D" w:rsidRDefault="00B2442D">
      <w:pPr>
        <w:jc w:val="both"/>
        <w:rPr>
          <w:rFonts w:ascii="Arial" w:hAnsi="Arial" w:cs="Arial"/>
          <w:lang w:val="es-CO"/>
        </w:rPr>
      </w:pPr>
    </w:p>
    <w:p w14:paraId="226D73F1"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Trámite para efectuar la devolución.</w:t>
      </w:r>
      <w:r>
        <w:rPr>
          <w:rFonts w:ascii="Arial" w:hAnsi="Arial" w:cs="Arial"/>
          <w:lang w:val="es-CO"/>
        </w:rPr>
        <w:t xml:space="preserve"> Par</w:t>
      </w:r>
      <w:r>
        <w:rPr>
          <w:rFonts w:ascii="Arial" w:hAnsi="Arial" w:cs="Arial"/>
          <w:lang w:val="es-CO"/>
        </w:rPr>
        <w:t>a efectos de la devolución a que se refiere el presente capítulo, deberá adelantarse el siguiente trámite:</w:t>
      </w:r>
    </w:p>
    <w:p w14:paraId="5C05AB5B" w14:textId="77777777" w:rsidR="00B2442D" w:rsidRDefault="00B2442D">
      <w:pPr>
        <w:jc w:val="both"/>
        <w:rPr>
          <w:rFonts w:ascii="Arial" w:hAnsi="Arial" w:cs="Arial"/>
          <w:lang w:val="es-CO"/>
        </w:rPr>
      </w:pPr>
    </w:p>
    <w:p w14:paraId="608BB4D9"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El funcionario de la dependencia competente de la Unidad Administrativa Especial Dirección de Impuestos y Aduanas Nacionales-DIAN- que recepcione</w:t>
      </w:r>
      <w:r>
        <w:rPr>
          <w:rFonts w:ascii="Arial" w:hAnsi="Arial" w:cs="Arial"/>
          <w:lang w:val="es-CO"/>
        </w:rPr>
        <w:t xml:space="preserve"> y radique la solicitud, revisará los documentos, verificando el cumplimiento de los requisitos legales de identificación, fechas, valores, conceptos, legibilidad y demás aspectos relacionados con los mismos.</w:t>
      </w:r>
    </w:p>
    <w:p w14:paraId="6AA5CD29" w14:textId="77777777" w:rsidR="00B2442D" w:rsidRDefault="00B2442D">
      <w:pPr>
        <w:ind w:left="284" w:hanging="284"/>
        <w:jc w:val="both"/>
        <w:rPr>
          <w:rFonts w:ascii="Arial" w:hAnsi="Arial" w:cs="Arial"/>
          <w:lang w:val="es-CO"/>
        </w:rPr>
      </w:pPr>
    </w:p>
    <w:p w14:paraId="75BC800C" w14:textId="77777777" w:rsidR="00B2442D" w:rsidRDefault="008A645F">
      <w:pPr>
        <w:ind w:left="284" w:hanging="284"/>
        <w:jc w:val="both"/>
        <w:rPr>
          <w:rFonts w:ascii="Arial" w:hAnsi="Arial" w:cs="Arial"/>
          <w:lang w:val="es-CO"/>
        </w:rPr>
      </w:pPr>
      <w:r>
        <w:rPr>
          <w:rFonts w:ascii="Arial" w:hAnsi="Arial" w:cs="Arial"/>
          <w:lang w:val="es-CO"/>
        </w:rPr>
        <w:tab/>
        <w:t>Toda factura que incumpla alguno de los requi</w:t>
      </w:r>
      <w:r>
        <w:rPr>
          <w:rFonts w:ascii="Arial" w:hAnsi="Arial" w:cs="Arial"/>
          <w:lang w:val="es-CO"/>
        </w:rPr>
        <w:t>sitos establecidos por la norma tributaria será rechazada y se remitirá a la dependencia competente o que haga sus veces, para adelantar el programa de control al responsable que la expidió.</w:t>
      </w:r>
    </w:p>
    <w:p w14:paraId="5B894A9D" w14:textId="77777777" w:rsidR="00B2442D" w:rsidRDefault="00B2442D">
      <w:pPr>
        <w:ind w:left="284" w:hanging="284"/>
        <w:jc w:val="both"/>
        <w:rPr>
          <w:rFonts w:ascii="Arial" w:hAnsi="Arial" w:cs="Arial"/>
          <w:lang w:val="es-CO"/>
        </w:rPr>
      </w:pPr>
    </w:p>
    <w:p w14:paraId="3D00456C"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Una vez recibida y verificada la solicitud, el funcionario co</w:t>
      </w:r>
      <w:r>
        <w:rPr>
          <w:rFonts w:ascii="Arial" w:hAnsi="Arial" w:cs="Arial"/>
          <w:lang w:val="es-CO"/>
        </w:rPr>
        <w:t>mpetente, para efectos de control, colocará en la respectiva factura un sello seco con la leyenda "UTILIZADA".</w:t>
      </w:r>
    </w:p>
    <w:p w14:paraId="4E7418A6" w14:textId="77777777" w:rsidR="00B2442D" w:rsidRDefault="00B2442D">
      <w:pPr>
        <w:ind w:left="284" w:hanging="284"/>
        <w:jc w:val="both"/>
        <w:rPr>
          <w:rFonts w:ascii="Arial" w:hAnsi="Arial" w:cs="Arial"/>
          <w:lang w:val="es-CO"/>
        </w:rPr>
      </w:pPr>
    </w:p>
    <w:p w14:paraId="56E27F08"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El estatus migratorio del solicitante se verificará con la información suministrada por la Unidad Administrativa Especial Migración Colombia,</w:t>
      </w:r>
      <w:r>
        <w:rPr>
          <w:rFonts w:ascii="Arial" w:hAnsi="Arial" w:cs="Arial"/>
          <w:lang w:val="es-CO"/>
        </w:rPr>
        <w:t xml:space="preserve"> la cual deberá contener nacionalidad, estatus migratorio, identidad y país de origen, así como la confirmación de fechas de entrada y salida del territorio nacional por parte de los solicitantes de la devolución del IVA.</w:t>
      </w:r>
    </w:p>
    <w:p w14:paraId="4A3030DE" w14:textId="77777777" w:rsidR="00B2442D" w:rsidRDefault="00B2442D">
      <w:pPr>
        <w:ind w:left="284" w:hanging="284"/>
        <w:jc w:val="both"/>
        <w:rPr>
          <w:rFonts w:ascii="Arial" w:hAnsi="Arial" w:cs="Arial"/>
          <w:lang w:val="es-CO"/>
        </w:rPr>
      </w:pPr>
    </w:p>
    <w:p w14:paraId="35CFA21F" w14:textId="77777777" w:rsidR="00B2442D" w:rsidRDefault="008A645F">
      <w:pPr>
        <w:ind w:left="284" w:hanging="284"/>
        <w:jc w:val="both"/>
        <w:rPr>
          <w:rFonts w:ascii="Arial" w:hAnsi="Arial" w:cs="Arial"/>
          <w:lang w:val="es-CO"/>
        </w:rPr>
      </w:pPr>
      <w:r>
        <w:rPr>
          <w:rFonts w:ascii="Arial" w:hAnsi="Arial" w:cs="Arial"/>
          <w:lang w:val="es-CO"/>
        </w:rPr>
        <w:tab/>
        <w:t xml:space="preserve">El requerimiento de información </w:t>
      </w:r>
      <w:r>
        <w:rPr>
          <w:rFonts w:ascii="Arial" w:hAnsi="Arial" w:cs="Arial"/>
          <w:lang w:val="es-CO"/>
        </w:rPr>
        <w:t>a la Unidad Administrativa Especial Migración Colombia podrá efectuarse mediante oficio que contenga la relación detallada de los solicitantes o implementando los medios y herramientas tecnológicas disponibles y convenidas por la Unidad Administrativa Espe</w:t>
      </w:r>
      <w:r>
        <w:rPr>
          <w:rFonts w:ascii="Arial" w:hAnsi="Arial" w:cs="Arial"/>
          <w:lang w:val="es-CO"/>
        </w:rPr>
        <w:t>cial Dirección de Impuestos y Aduanas Nacionales- DIAN y la Unidad Administrativa Especial Migración Colombia.</w:t>
      </w:r>
    </w:p>
    <w:p w14:paraId="798B4132" w14:textId="77777777" w:rsidR="00B2442D" w:rsidRDefault="00B2442D">
      <w:pPr>
        <w:ind w:left="284" w:hanging="284"/>
        <w:jc w:val="both"/>
        <w:rPr>
          <w:rFonts w:ascii="Arial" w:hAnsi="Arial" w:cs="Arial"/>
          <w:lang w:val="es-CO"/>
        </w:rPr>
      </w:pPr>
    </w:p>
    <w:p w14:paraId="6E51155F"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La Subdirección de Gestión de Recaudo y Cobranzas de la DIAN-o la que haga sus veces, gestionará lo necesario para el giro y abono del </w:t>
      </w:r>
      <w:r>
        <w:rPr>
          <w:rFonts w:ascii="Arial" w:hAnsi="Arial" w:cs="Arial"/>
          <w:lang w:val="es-CO"/>
        </w:rPr>
        <w:t>beneficio a la tarjeta de crédito internacional expedida en el extranjero, indicada por el solicitante, previa información suministrada por la Dirección Seccional que conoció de la solicitud de devolución.</w:t>
      </w:r>
    </w:p>
    <w:p w14:paraId="37ADC13E" w14:textId="77777777" w:rsidR="00B2442D" w:rsidRDefault="00B2442D">
      <w:pPr>
        <w:jc w:val="both"/>
        <w:rPr>
          <w:rFonts w:ascii="Arial" w:hAnsi="Arial" w:cs="Arial"/>
          <w:lang w:val="es-CO"/>
        </w:rPr>
      </w:pPr>
    </w:p>
    <w:p w14:paraId="1FDB3860"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información requerida a la Unidad</w:t>
      </w:r>
      <w:r>
        <w:rPr>
          <w:rFonts w:ascii="Arial" w:hAnsi="Arial" w:cs="Arial"/>
          <w:lang w:val="es-CO"/>
        </w:rPr>
        <w:t xml:space="preserve"> Administrativa Especial Migración Colombia deberá contener los datos de nacionalidad, estatus migratorio, identidad y país de origen, así como la confirmación de fechas de entrada y salida del territorio nacional de los solicitantes de la devolución del i</w:t>
      </w:r>
      <w:r>
        <w:rPr>
          <w:rFonts w:ascii="Arial" w:hAnsi="Arial" w:cs="Arial"/>
          <w:lang w:val="es-CO"/>
        </w:rPr>
        <w:t>mpuesto sobre las ventas.</w:t>
      </w:r>
    </w:p>
    <w:p w14:paraId="380E6DFA" w14:textId="77777777" w:rsidR="00B2442D" w:rsidRDefault="00B2442D">
      <w:pPr>
        <w:jc w:val="both"/>
        <w:rPr>
          <w:rFonts w:ascii="Arial" w:hAnsi="Arial" w:cs="Arial"/>
          <w:lang w:val="es-CO"/>
        </w:rPr>
      </w:pPr>
    </w:p>
    <w:p w14:paraId="1C9DE504"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Corresponderá a la Unidad Administrativa Especial Dirección de Impuestos y Aduanas Nacionales-DIAN- asegurar el mantenimiento de la reserva de la información suministrada por la Unidad Administrativa Especial Migración Colombia, que llegue a conocer en vi</w:t>
      </w:r>
      <w:r>
        <w:rPr>
          <w:rFonts w:ascii="Arial" w:hAnsi="Arial" w:cs="Arial"/>
          <w:lang w:val="es-CO"/>
        </w:rPr>
        <w:t>rtud de lo dispuesto en el presente capítulo, de conformidad con lo establecido en el artículo 2.2.1.11.4.3 de la Sección 4, Capítulo 11 , Título I, Parte 2 del Libro 2 del Decreto 1067 de 2015, modificado por e! artículo 52 del Decreto 1743 de 2015.</w:t>
      </w:r>
    </w:p>
    <w:p w14:paraId="70679215" w14:textId="77777777" w:rsidR="00B2442D" w:rsidRDefault="00B2442D">
      <w:pPr>
        <w:jc w:val="both"/>
        <w:rPr>
          <w:rFonts w:ascii="Arial" w:hAnsi="Arial" w:cs="Arial"/>
          <w:lang w:val="es-CO"/>
        </w:rPr>
      </w:pPr>
    </w:p>
    <w:p w14:paraId="505C2258" w14:textId="77777777" w:rsidR="00B2442D" w:rsidRDefault="008A645F">
      <w:pPr>
        <w:jc w:val="both"/>
        <w:rPr>
          <w:rFonts w:ascii="Arial" w:hAnsi="Arial" w:cs="Arial"/>
          <w:lang w:val="es-CO"/>
        </w:rPr>
      </w:pPr>
      <w:r>
        <w:rPr>
          <w:rFonts w:ascii="Arial" w:hAnsi="Arial" w:cs="Arial"/>
          <w:i/>
          <w:lang w:val="es-CO"/>
        </w:rPr>
        <w:t>(Art</w:t>
      </w:r>
      <w:r>
        <w:rPr>
          <w:rFonts w:ascii="Arial" w:hAnsi="Arial" w:cs="Arial"/>
          <w:i/>
          <w:lang w:val="es-CO"/>
        </w:rPr>
        <w:t>. 7, Decreto 660 de 2016)</w:t>
      </w:r>
    </w:p>
    <w:p w14:paraId="799E6767" w14:textId="77777777" w:rsidR="00B2442D" w:rsidRDefault="00B2442D">
      <w:pPr>
        <w:jc w:val="both"/>
        <w:rPr>
          <w:rFonts w:ascii="Arial" w:hAnsi="Arial" w:cs="Arial"/>
          <w:lang w:val="es-CO"/>
        </w:rPr>
      </w:pPr>
    </w:p>
    <w:p w14:paraId="4CF1C7AA"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Servicio informático electrónico.</w:t>
      </w:r>
      <w:r>
        <w:rPr>
          <w:rFonts w:ascii="Arial" w:hAnsi="Arial" w:cs="Arial"/>
          <w:lang w:val="es-CO"/>
        </w:rPr>
        <w:t xml:space="preserve"> La Dirección de Impuestos y Aduanas Nacionales-DIAN- podrá implementar un Servicio Informático Electrónico que facilite el control, manejo, consulta, realización de cruces de información y trámit</w:t>
      </w:r>
      <w:r>
        <w:rPr>
          <w:rFonts w:ascii="Arial" w:hAnsi="Arial" w:cs="Arial"/>
          <w:lang w:val="es-CO"/>
        </w:rPr>
        <w:t>e de las solicitudes de devolución a que se refiere este decreto, garantizando la seguridad de la operación.</w:t>
      </w:r>
    </w:p>
    <w:p w14:paraId="7285984D" w14:textId="77777777" w:rsidR="00B2442D" w:rsidRDefault="00B2442D">
      <w:pPr>
        <w:jc w:val="both"/>
        <w:rPr>
          <w:rFonts w:ascii="Arial" w:hAnsi="Arial" w:cs="Arial"/>
          <w:lang w:val="es-CO"/>
        </w:rPr>
      </w:pPr>
    </w:p>
    <w:p w14:paraId="0A30B01F" w14:textId="77777777" w:rsidR="00B2442D" w:rsidRDefault="008A645F">
      <w:pPr>
        <w:jc w:val="both"/>
        <w:rPr>
          <w:rFonts w:ascii="Arial" w:hAnsi="Arial" w:cs="Arial"/>
          <w:lang w:val="es-CO"/>
        </w:rPr>
      </w:pPr>
      <w:r>
        <w:rPr>
          <w:rFonts w:ascii="Arial" w:hAnsi="Arial" w:cs="Arial"/>
          <w:i/>
          <w:lang w:val="es-CO"/>
        </w:rPr>
        <w:t>(Art. 8, Decreto 660 de 2016)</w:t>
      </w:r>
    </w:p>
    <w:p w14:paraId="08E14957" w14:textId="77777777" w:rsidR="00B2442D" w:rsidRDefault="00B2442D">
      <w:pPr>
        <w:jc w:val="both"/>
        <w:rPr>
          <w:rFonts w:ascii="Arial" w:hAnsi="Arial" w:cs="Arial"/>
          <w:lang w:val="es-CO"/>
        </w:rPr>
      </w:pPr>
    </w:p>
    <w:p w14:paraId="45C74B4C"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Término y mecanismo para realizar la devolución.</w:t>
      </w:r>
      <w:r>
        <w:rPr>
          <w:rFonts w:ascii="Arial" w:hAnsi="Arial" w:cs="Arial"/>
          <w:lang w:val="es-CO"/>
        </w:rPr>
        <w:t xml:space="preserve"> La Unidad Administrativa Especial Dirección de Impuestos y Aduanas</w:t>
      </w:r>
      <w:r>
        <w:rPr>
          <w:rFonts w:ascii="Arial" w:hAnsi="Arial" w:cs="Arial"/>
          <w:lang w:val="es-CO"/>
        </w:rPr>
        <w:t xml:space="preserve"> Nacionales-DIAN- realizará la aprobación o rechazo de la solicitud de devolución de que trata el presente capítulo en el término de tres (3) meses, contados desde la fecha de recepción y radicación en debida forma de la solicitud.</w:t>
      </w:r>
    </w:p>
    <w:p w14:paraId="09A08166" w14:textId="77777777" w:rsidR="00B2442D" w:rsidRDefault="00B2442D">
      <w:pPr>
        <w:jc w:val="both"/>
        <w:rPr>
          <w:rFonts w:ascii="Arial" w:hAnsi="Arial" w:cs="Arial"/>
          <w:lang w:val="es-CO"/>
        </w:rPr>
      </w:pPr>
    </w:p>
    <w:p w14:paraId="6D90D0E9" w14:textId="77777777" w:rsidR="00B2442D" w:rsidRDefault="008A645F">
      <w:pPr>
        <w:jc w:val="both"/>
        <w:rPr>
          <w:rFonts w:ascii="Arial" w:hAnsi="Arial" w:cs="Arial"/>
          <w:lang w:val="es-CO"/>
        </w:rPr>
      </w:pPr>
      <w:r>
        <w:rPr>
          <w:rFonts w:ascii="Arial" w:hAnsi="Arial" w:cs="Arial"/>
          <w:lang w:val="es-CO"/>
        </w:rPr>
        <w:t>La devolución se efectu</w:t>
      </w:r>
      <w:r>
        <w:rPr>
          <w:rFonts w:ascii="Arial" w:hAnsi="Arial" w:cs="Arial"/>
          <w:lang w:val="es-CO"/>
        </w:rPr>
        <w:t>ará mediante abono a la tarjeta de crédito internacional expedida en el extranjero indicada en la solicitud, dependiendo de los procedimientos y desarrollos técnicos que para el efecto establezca la Unidad Administrativa Especial Dirección de Impuestos y A</w:t>
      </w:r>
      <w:r>
        <w:rPr>
          <w:rFonts w:ascii="Arial" w:hAnsi="Arial" w:cs="Arial"/>
          <w:lang w:val="es-CO"/>
        </w:rPr>
        <w:t>duanas Nacionales-DIAN-.</w:t>
      </w:r>
    </w:p>
    <w:p w14:paraId="67AB76F3" w14:textId="77777777" w:rsidR="00B2442D" w:rsidRDefault="00B2442D">
      <w:pPr>
        <w:jc w:val="both"/>
        <w:rPr>
          <w:rFonts w:ascii="Arial" w:hAnsi="Arial" w:cs="Arial"/>
          <w:lang w:val="es-CO"/>
        </w:rPr>
      </w:pPr>
    </w:p>
    <w:p w14:paraId="37FF2F4E" w14:textId="77777777" w:rsidR="00B2442D" w:rsidRDefault="008A645F">
      <w:pPr>
        <w:jc w:val="both"/>
        <w:rPr>
          <w:rFonts w:ascii="Arial" w:hAnsi="Arial" w:cs="Arial"/>
          <w:lang w:val="es-CO"/>
        </w:rPr>
      </w:pPr>
      <w:r>
        <w:rPr>
          <w:rFonts w:ascii="Arial" w:hAnsi="Arial" w:cs="Arial"/>
          <w:lang w:val="es-CO"/>
        </w:rPr>
        <w:t>Del valor a devolver se descontarán los costos financieros y gastos de avisos en que se incurra.</w:t>
      </w:r>
    </w:p>
    <w:p w14:paraId="53C693CF" w14:textId="77777777" w:rsidR="00B2442D" w:rsidRDefault="00B2442D">
      <w:pPr>
        <w:jc w:val="both"/>
        <w:rPr>
          <w:rFonts w:ascii="Arial" w:hAnsi="Arial" w:cs="Arial"/>
          <w:lang w:val="es-CO"/>
        </w:rPr>
      </w:pPr>
    </w:p>
    <w:p w14:paraId="04214930"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Unidad Administrativa Especial Dirección de Impuestos y Aduanas Nacionales-DIAN- realizará los convenios necesarios </w:t>
      </w:r>
      <w:r>
        <w:rPr>
          <w:rFonts w:ascii="Arial" w:hAnsi="Arial" w:cs="Arial"/>
          <w:lang w:val="es-CO"/>
        </w:rPr>
        <w:t>con las entidades bancarias, empresas o instituciones financieras a que haya lugar, nacionales o extranjeras, para adelantar en debida forma los abonos a las tarjetas de crédito internacional por concepto de devolución del impuesto sobre las ventas.</w:t>
      </w:r>
    </w:p>
    <w:p w14:paraId="0C0179E0" w14:textId="77777777" w:rsidR="00B2442D" w:rsidRDefault="00B2442D">
      <w:pPr>
        <w:jc w:val="both"/>
        <w:rPr>
          <w:rFonts w:ascii="Arial" w:hAnsi="Arial" w:cs="Arial"/>
          <w:lang w:val="es-CO"/>
        </w:rPr>
      </w:pPr>
    </w:p>
    <w:p w14:paraId="2FAD4C22" w14:textId="77777777" w:rsidR="00B2442D" w:rsidRDefault="008A645F">
      <w:pPr>
        <w:jc w:val="both"/>
        <w:rPr>
          <w:rFonts w:ascii="Arial" w:hAnsi="Arial" w:cs="Arial"/>
          <w:lang w:val="es-CO"/>
        </w:rPr>
      </w:pPr>
      <w:r>
        <w:rPr>
          <w:rFonts w:ascii="Arial" w:hAnsi="Arial" w:cs="Arial"/>
          <w:b/>
          <w:lang w:val="es-CO"/>
        </w:rPr>
        <w:t>Parág</w:t>
      </w:r>
      <w:r>
        <w:rPr>
          <w:rFonts w:ascii="Arial" w:hAnsi="Arial" w:cs="Arial"/>
          <w:b/>
          <w:lang w:val="es-CO"/>
        </w:rPr>
        <w:t xml:space="preserve">rafo 2. </w:t>
      </w:r>
      <w:r>
        <w:rPr>
          <w:rFonts w:ascii="Arial" w:hAnsi="Arial" w:cs="Arial"/>
          <w:lang w:val="es-CO"/>
        </w:rPr>
        <w:t>La Unidad Administrativa Especial Dirección de Impuestos y Aduanas Nacionales-DIAN- queda facultada para establecer los mecanismos que permitan de manera ágil y eficaz efectuar la devolución del IVA de que trata este decreto y realizar los convenio</w:t>
      </w:r>
      <w:r>
        <w:rPr>
          <w:rFonts w:ascii="Arial" w:hAnsi="Arial" w:cs="Arial"/>
          <w:lang w:val="es-CO"/>
        </w:rPr>
        <w:t>s con entidades o empresas nacionales o extranjeras que permitan implementar su devolución.</w:t>
      </w:r>
    </w:p>
    <w:p w14:paraId="264E9250" w14:textId="77777777" w:rsidR="00B2442D" w:rsidRDefault="00B2442D">
      <w:pPr>
        <w:jc w:val="both"/>
        <w:rPr>
          <w:rFonts w:ascii="Arial" w:hAnsi="Arial" w:cs="Arial"/>
          <w:lang w:val="es-CO"/>
        </w:rPr>
      </w:pPr>
    </w:p>
    <w:p w14:paraId="2F4FD85C" w14:textId="77777777" w:rsidR="00B2442D" w:rsidRDefault="008A645F">
      <w:pPr>
        <w:jc w:val="both"/>
        <w:rPr>
          <w:rFonts w:ascii="Arial" w:hAnsi="Arial" w:cs="Arial"/>
          <w:lang w:val="es-CO"/>
        </w:rPr>
      </w:pPr>
      <w:r>
        <w:rPr>
          <w:rFonts w:ascii="Arial" w:hAnsi="Arial" w:cs="Arial"/>
          <w:lang w:val="es-CO"/>
        </w:rPr>
        <w:t>La devolución a que se refiere este decreto se efectuará con cargo a los recursos del Fondo Rotatorio de Devoluciones de DIAN, de acuerdo con los cupos establecido</w:t>
      </w:r>
      <w:r>
        <w:rPr>
          <w:rFonts w:ascii="Arial" w:hAnsi="Arial" w:cs="Arial"/>
          <w:lang w:val="es-CO"/>
        </w:rPr>
        <w:t>s para el efecto por parte de la Dirección General de Crédito Público y Tesoro Nacional del Ministerio de Hacienda y Crédito Público y la Unidad Administrativa Especial Dirección de Impuestos y Aduanas Nacionales-DIAN.</w:t>
      </w:r>
    </w:p>
    <w:p w14:paraId="252C1E56" w14:textId="77777777" w:rsidR="00B2442D" w:rsidRDefault="00B2442D">
      <w:pPr>
        <w:jc w:val="both"/>
        <w:rPr>
          <w:rFonts w:ascii="Arial" w:hAnsi="Arial" w:cs="Arial"/>
          <w:lang w:val="es-CO"/>
        </w:rPr>
      </w:pPr>
    </w:p>
    <w:p w14:paraId="289485B6" w14:textId="77777777" w:rsidR="00B2442D" w:rsidRDefault="008A645F">
      <w:pPr>
        <w:jc w:val="both"/>
        <w:rPr>
          <w:rFonts w:ascii="Arial" w:hAnsi="Arial" w:cs="Arial"/>
          <w:lang w:val="es-CO"/>
        </w:rPr>
      </w:pPr>
      <w:r>
        <w:rPr>
          <w:rFonts w:ascii="Arial" w:hAnsi="Arial" w:cs="Arial"/>
          <w:i/>
          <w:lang w:val="es-CO"/>
        </w:rPr>
        <w:t>(Art. 9, Decreto 660 de 2016)</w:t>
      </w:r>
    </w:p>
    <w:p w14:paraId="64DA60FF" w14:textId="77777777" w:rsidR="00B2442D" w:rsidRDefault="00B2442D">
      <w:pPr>
        <w:jc w:val="both"/>
        <w:rPr>
          <w:rFonts w:ascii="Arial" w:hAnsi="Arial" w:cs="Arial"/>
          <w:lang w:val="es-CO"/>
        </w:rPr>
      </w:pPr>
    </w:p>
    <w:p w14:paraId="28C7F439"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Rechazo de la solicitud de devolución.</w:t>
      </w:r>
      <w:r>
        <w:rPr>
          <w:rFonts w:ascii="Arial" w:hAnsi="Arial" w:cs="Arial"/>
          <w:lang w:val="es-CO"/>
        </w:rPr>
        <w:t xml:space="preserve"> La solicitud de devolución se rechazará en forma parcial o total, cuando:</w:t>
      </w:r>
    </w:p>
    <w:p w14:paraId="19F10387" w14:textId="77777777" w:rsidR="00B2442D" w:rsidRDefault="00B2442D">
      <w:pPr>
        <w:jc w:val="both"/>
        <w:rPr>
          <w:rFonts w:ascii="Arial" w:hAnsi="Arial" w:cs="Arial"/>
          <w:lang w:val="es-CO"/>
        </w:rPr>
      </w:pPr>
    </w:p>
    <w:p w14:paraId="4E211D32"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Se incumpla alguno de los requisitos exigidos en este decreto.</w:t>
      </w:r>
    </w:p>
    <w:p w14:paraId="6769E81F" w14:textId="77777777" w:rsidR="00B2442D" w:rsidRDefault="00B2442D">
      <w:pPr>
        <w:ind w:left="284" w:hanging="284"/>
        <w:jc w:val="both"/>
        <w:rPr>
          <w:rFonts w:ascii="Arial" w:hAnsi="Arial" w:cs="Arial"/>
          <w:lang w:val="es-CO"/>
        </w:rPr>
      </w:pPr>
    </w:p>
    <w:p w14:paraId="64FAC8BF"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El solicitante de la devolución tenga nacionalidad colombiana.</w:t>
      </w:r>
    </w:p>
    <w:p w14:paraId="03F43F47" w14:textId="77777777" w:rsidR="00B2442D" w:rsidRDefault="00B2442D">
      <w:pPr>
        <w:ind w:left="284" w:hanging="284"/>
        <w:jc w:val="both"/>
        <w:rPr>
          <w:rFonts w:ascii="Arial" w:hAnsi="Arial" w:cs="Arial"/>
          <w:lang w:val="es-CO"/>
        </w:rPr>
      </w:pPr>
    </w:p>
    <w:p w14:paraId="4C2C2BE2"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Se li</w:t>
      </w:r>
      <w:r>
        <w:rPr>
          <w:rFonts w:ascii="Arial" w:hAnsi="Arial" w:cs="Arial"/>
          <w:lang w:val="es-CO"/>
        </w:rPr>
        <w:t>quide el IVA a servicios excluidos o exentos o con tarifa superior a las que corresponda.</w:t>
      </w:r>
    </w:p>
    <w:p w14:paraId="559C5391" w14:textId="77777777" w:rsidR="00B2442D" w:rsidRDefault="00B2442D">
      <w:pPr>
        <w:ind w:left="284" w:hanging="284"/>
        <w:jc w:val="both"/>
        <w:rPr>
          <w:rFonts w:ascii="Arial" w:hAnsi="Arial" w:cs="Arial"/>
          <w:lang w:val="es-CO"/>
        </w:rPr>
      </w:pPr>
    </w:p>
    <w:p w14:paraId="693ED30A"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La adquisición no cumpla con lo establecido en el parágrafo 2° del artículo 1.6.1.24.6 del presente decreto.</w:t>
      </w:r>
    </w:p>
    <w:p w14:paraId="2A332005" w14:textId="77777777" w:rsidR="00B2442D" w:rsidRDefault="00B2442D">
      <w:pPr>
        <w:ind w:left="284" w:hanging="284"/>
        <w:jc w:val="both"/>
        <w:rPr>
          <w:rFonts w:ascii="Arial" w:hAnsi="Arial" w:cs="Arial"/>
          <w:lang w:val="es-CO"/>
        </w:rPr>
      </w:pPr>
    </w:p>
    <w:p w14:paraId="06601D30"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Los documentos aportados sean ilegibles, enmendad</w:t>
      </w:r>
      <w:r>
        <w:rPr>
          <w:rFonts w:ascii="Arial" w:hAnsi="Arial" w:cs="Arial"/>
          <w:lang w:val="es-CO"/>
        </w:rPr>
        <w:t>os o sus contenidos no concuerden con los servicios adquiridos.</w:t>
      </w:r>
    </w:p>
    <w:p w14:paraId="304C64D9" w14:textId="77777777" w:rsidR="00B2442D" w:rsidRDefault="00B2442D">
      <w:pPr>
        <w:ind w:left="284" w:hanging="284"/>
        <w:jc w:val="both"/>
        <w:rPr>
          <w:rFonts w:ascii="Arial" w:hAnsi="Arial" w:cs="Arial"/>
          <w:lang w:val="es-CO"/>
        </w:rPr>
      </w:pPr>
    </w:p>
    <w:p w14:paraId="7DC5AB53"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La solicitud se origine en operaciones fraudulentas.</w:t>
      </w:r>
    </w:p>
    <w:p w14:paraId="234A8ED5" w14:textId="77777777" w:rsidR="00B2442D" w:rsidRDefault="00B2442D">
      <w:pPr>
        <w:ind w:left="284" w:hanging="284"/>
        <w:jc w:val="both"/>
        <w:rPr>
          <w:rFonts w:ascii="Arial" w:hAnsi="Arial" w:cs="Arial"/>
          <w:lang w:val="es-CO"/>
        </w:rPr>
      </w:pPr>
    </w:p>
    <w:p w14:paraId="7E5648A2"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El valor a devolver resulte inferior o igual a los costos financieros generados en la operación de giro internacional para hacer el</w:t>
      </w:r>
      <w:r>
        <w:rPr>
          <w:rFonts w:ascii="Arial" w:hAnsi="Arial" w:cs="Arial"/>
          <w:lang w:val="es-CO"/>
        </w:rPr>
        <w:t xml:space="preserve"> abono en la tarjeta de crédito internacional y a los gastos de avisos.</w:t>
      </w:r>
    </w:p>
    <w:p w14:paraId="4F2D6516" w14:textId="77777777" w:rsidR="00B2442D" w:rsidRDefault="00B2442D">
      <w:pPr>
        <w:ind w:left="284" w:hanging="284"/>
        <w:jc w:val="both"/>
        <w:rPr>
          <w:rFonts w:ascii="Arial" w:hAnsi="Arial" w:cs="Arial"/>
          <w:lang w:val="es-CO"/>
        </w:rPr>
      </w:pPr>
    </w:p>
    <w:p w14:paraId="1B8BEF1C"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Se presente más de una solicitud de devolución en el trimestre.</w:t>
      </w:r>
    </w:p>
    <w:p w14:paraId="6260D126" w14:textId="77777777" w:rsidR="00B2442D" w:rsidRDefault="00B2442D">
      <w:pPr>
        <w:ind w:left="284" w:hanging="284"/>
        <w:jc w:val="both"/>
        <w:rPr>
          <w:rFonts w:ascii="Arial" w:hAnsi="Arial" w:cs="Arial"/>
          <w:lang w:val="es-CO"/>
        </w:rPr>
      </w:pPr>
    </w:p>
    <w:p w14:paraId="37447FB0" w14:textId="77777777" w:rsidR="00B2442D" w:rsidRDefault="008A645F">
      <w:pPr>
        <w:ind w:left="284" w:hanging="284"/>
        <w:jc w:val="both"/>
        <w:rPr>
          <w:rFonts w:ascii="Arial" w:hAnsi="Arial" w:cs="Arial"/>
          <w:lang w:val="es-CO"/>
        </w:rPr>
      </w:pPr>
      <w:r>
        <w:rPr>
          <w:rFonts w:ascii="Arial" w:hAnsi="Arial" w:cs="Arial"/>
          <w:lang w:val="es-CO"/>
        </w:rPr>
        <w:t>i)</w:t>
      </w:r>
      <w:r>
        <w:rPr>
          <w:rFonts w:ascii="Arial" w:hAnsi="Arial" w:cs="Arial"/>
          <w:lang w:val="es-CO"/>
        </w:rPr>
        <w:tab/>
        <w:t>Al momento de la presentación de la solicitud, las facturas que dan derecho a la devolución excedan el término s</w:t>
      </w:r>
      <w:r>
        <w:rPr>
          <w:rFonts w:ascii="Arial" w:hAnsi="Arial" w:cs="Arial"/>
          <w:lang w:val="es-CO"/>
        </w:rPr>
        <w:t>eñalado en el literal e) del artículo 1.6.1.24.6 del presente decreto.</w:t>
      </w:r>
    </w:p>
    <w:p w14:paraId="59E35775" w14:textId="77777777" w:rsidR="00B2442D" w:rsidRDefault="00B2442D">
      <w:pPr>
        <w:ind w:left="284" w:hanging="284"/>
        <w:jc w:val="both"/>
        <w:rPr>
          <w:rFonts w:ascii="Arial" w:hAnsi="Arial" w:cs="Arial"/>
          <w:lang w:val="es-CO"/>
        </w:rPr>
      </w:pPr>
    </w:p>
    <w:p w14:paraId="019EF927" w14:textId="77777777" w:rsidR="00B2442D" w:rsidRDefault="008A645F">
      <w:pPr>
        <w:ind w:left="284" w:hanging="284"/>
        <w:jc w:val="both"/>
        <w:rPr>
          <w:rFonts w:ascii="Arial" w:hAnsi="Arial" w:cs="Arial"/>
          <w:lang w:val="es-CO"/>
        </w:rPr>
      </w:pPr>
      <w:r>
        <w:rPr>
          <w:rFonts w:ascii="Arial" w:hAnsi="Arial" w:cs="Arial"/>
          <w:lang w:val="es-CO"/>
        </w:rPr>
        <w:t>j)</w:t>
      </w:r>
      <w:r>
        <w:rPr>
          <w:rFonts w:ascii="Arial" w:hAnsi="Arial" w:cs="Arial"/>
          <w:lang w:val="es-CO"/>
        </w:rPr>
        <w:tab/>
        <w:t>Cuando el valor objeto de la solicitud haya sido devuelto.</w:t>
      </w:r>
    </w:p>
    <w:p w14:paraId="4AC8F1E2" w14:textId="77777777" w:rsidR="00B2442D" w:rsidRDefault="00B2442D">
      <w:pPr>
        <w:ind w:left="284" w:hanging="284"/>
        <w:jc w:val="both"/>
        <w:rPr>
          <w:rFonts w:ascii="Arial" w:hAnsi="Arial" w:cs="Arial"/>
          <w:lang w:val="es-CO"/>
        </w:rPr>
      </w:pPr>
    </w:p>
    <w:p w14:paraId="19F44518" w14:textId="77777777" w:rsidR="00B2442D" w:rsidRDefault="008A645F">
      <w:pPr>
        <w:ind w:left="284" w:hanging="284"/>
        <w:jc w:val="both"/>
        <w:rPr>
          <w:rFonts w:ascii="Arial" w:hAnsi="Arial" w:cs="Arial"/>
          <w:lang w:val="es-CO"/>
        </w:rPr>
      </w:pPr>
      <w:r>
        <w:rPr>
          <w:rFonts w:ascii="Arial" w:hAnsi="Arial" w:cs="Arial"/>
          <w:lang w:val="es-CO"/>
        </w:rPr>
        <w:t>k)</w:t>
      </w:r>
      <w:r>
        <w:rPr>
          <w:rFonts w:ascii="Arial" w:hAnsi="Arial" w:cs="Arial"/>
          <w:lang w:val="es-CO"/>
        </w:rPr>
        <w:tab/>
        <w:t>No acreditar la calidad de visitante extranjero en los términos establecidos por el Ministerio de Relaciones Exteriore</w:t>
      </w:r>
      <w:r>
        <w:rPr>
          <w:rFonts w:ascii="Arial" w:hAnsi="Arial" w:cs="Arial"/>
          <w:lang w:val="es-CO"/>
        </w:rPr>
        <w:t>s o por el incumplimiento del término de permanencia en el país.</w:t>
      </w:r>
    </w:p>
    <w:p w14:paraId="4B0B6E6D" w14:textId="77777777" w:rsidR="00B2442D" w:rsidRDefault="00B2442D">
      <w:pPr>
        <w:jc w:val="both"/>
        <w:rPr>
          <w:rFonts w:ascii="Arial" w:hAnsi="Arial" w:cs="Arial"/>
          <w:lang w:val="es-CO"/>
        </w:rPr>
      </w:pPr>
    </w:p>
    <w:p w14:paraId="10983B18" w14:textId="77777777" w:rsidR="00B2442D" w:rsidRDefault="008A645F">
      <w:pPr>
        <w:jc w:val="both"/>
        <w:rPr>
          <w:rFonts w:ascii="Arial" w:hAnsi="Arial" w:cs="Arial"/>
          <w:lang w:val="es-CO"/>
        </w:rPr>
      </w:pPr>
      <w:r>
        <w:rPr>
          <w:rFonts w:ascii="Arial" w:hAnsi="Arial" w:cs="Arial"/>
          <w:i/>
          <w:lang w:val="es-CO"/>
        </w:rPr>
        <w:t>(Art. 10, Decreto 660 de 2016)</w:t>
      </w:r>
    </w:p>
    <w:p w14:paraId="3B1FC5FC" w14:textId="77777777" w:rsidR="00B2442D" w:rsidRDefault="00B2442D">
      <w:pPr>
        <w:jc w:val="both"/>
        <w:rPr>
          <w:rFonts w:ascii="Arial" w:hAnsi="Arial" w:cs="Arial"/>
          <w:lang w:val="es-CO"/>
        </w:rPr>
      </w:pPr>
    </w:p>
    <w:p w14:paraId="4CFB2C36"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Informe mensual.</w:t>
      </w:r>
      <w:r>
        <w:rPr>
          <w:rFonts w:ascii="Arial" w:hAnsi="Arial" w:cs="Arial"/>
          <w:lang w:val="es-CO"/>
        </w:rPr>
        <w:t xml:space="preserve"> Los establecimientos de comercio ubicados en las Unidades Especiales de Desarrollo Fronterizo que tengan vigente su Tarjeta Fiscal, para lo cual se tendrá en cuenta lo contenido en el parágrafo transitorio del artículo 1.6.1.24.3 presente decreto, deberán</w:t>
      </w:r>
      <w:r>
        <w:rPr>
          <w:rFonts w:ascii="Arial" w:hAnsi="Arial" w:cs="Arial"/>
          <w:lang w:val="es-CO"/>
        </w:rPr>
        <w:t xml:space="preserve"> enviar mensualmente a la Dirección Seccional de su jurisdicción una relación detallada de las ventas que realicen a los visitantes extranjeros no residentes en Colombia, indicando nombre y apellido, tipo y número del documento de identificación, número, f</w:t>
      </w:r>
      <w:r>
        <w:rPr>
          <w:rFonts w:ascii="Arial" w:hAnsi="Arial" w:cs="Arial"/>
          <w:lang w:val="es-CO"/>
        </w:rPr>
        <w:t>echa y valor de la factura con la discriminación del IVA, y atendiendo las especificaciones que mediante resolución establezca la Unidad Administrativa Especial Dirección de Impuestos y Aduanas Nacionales-DIAN.</w:t>
      </w:r>
    </w:p>
    <w:p w14:paraId="5ADC0163" w14:textId="77777777" w:rsidR="00B2442D" w:rsidRDefault="00B2442D">
      <w:pPr>
        <w:jc w:val="both"/>
        <w:rPr>
          <w:rFonts w:ascii="Arial" w:hAnsi="Arial" w:cs="Arial"/>
          <w:lang w:val="es-CO"/>
        </w:rPr>
      </w:pPr>
    </w:p>
    <w:p w14:paraId="452E10C6" w14:textId="77777777" w:rsidR="00B2442D" w:rsidRDefault="008A645F">
      <w:pPr>
        <w:jc w:val="both"/>
        <w:rPr>
          <w:rFonts w:ascii="Arial" w:hAnsi="Arial" w:cs="Arial"/>
          <w:lang w:val="es-CO"/>
        </w:rPr>
      </w:pPr>
      <w:r>
        <w:rPr>
          <w:rFonts w:ascii="Arial" w:hAnsi="Arial" w:cs="Arial"/>
          <w:i/>
          <w:lang w:val="es-CO"/>
        </w:rPr>
        <w:t>(Art. 11, Decreto 660 de 2016)</w:t>
      </w:r>
    </w:p>
    <w:p w14:paraId="134665A8" w14:textId="77777777" w:rsidR="00B2442D" w:rsidRDefault="00B2442D">
      <w:pPr>
        <w:jc w:val="both"/>
        <w:rPr>
          <w:rFonts w:ascii="Arial" w:hAnsi="Arial" w:cs="Arial"/>
          <w:lang w:val="es-CO"/>
        </w:rPr>
      </w:pPr>
    </w:p>
    <w:p w14:paraId="0EB69CD3"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Responsabili</w:t>
      </w:r>
      <w:r>
        <w:rPr>
          <w:rFonts w:ascii="Arial" w:hAnsi="Arial" w:cs="Arial"/>
          <w:b/>
          <w:i/>
          <w:lang w:val="es-CO"/>
        </w:rPr>
        <w:t>dad.</w:t>
      </w:r>
      <w:r>
        <w:rPr>
          <w:rFonts w:ascii="Arial" w:hAnsi="Arial" w:cs="Arial"/>
          <w:lang w:val="es-CO"/>
        </w:rPr>
        <w:t xml:space="preserve"> Los solicitantes de la devolución del IVA de que trata el presente capítulo serán responsables de la veracidad de la información y autenticidad de los documentos exhibidos para el trámite de la solicitud de devolución.</w:t>
      </w:r>
    </w:p>
    <w:p w14:paraId="0EAB0660" w14:textId="77777777" w:rsidR="00B2442D" w:rsidRDefault="00B2442D">
      <w:pPr>
        <w:jc w:val="both"/>
        <w:rPr>
          <w:rFonts w:ascii="Arial" w:hAnsi="Arial" w:cs="Arial"/>
          <w:lang w:val="es-CO"/>
        </w:rPr>
      </w:pPr>
    </w:p>
    <w:p w14:paraId="52203B6F" w14:textId="77777777" w:rsidR="00B2442D" w:rsidRDefault="008A645F">
      <w:pPr>
        <w:jc w:val="both"/>
        <w:rPr>
          <w:rFonts w:ascii="Arial" w:hAnsi="Arial" w:cs="Arial"/>
          <w:lang w:val="es-CO"/>
        </w:rPr>
      </w:pPr>
      <w:r>
        <w:rPr>
          <w:rFonts w:ascii="Arial" w:hAnsi="Arial" w:cs="Arial"/>
          <w:lang w:val="es-CO"/>
        </w:rPr>
        <w:t xml:space="preserve">Los hechos que puedan llegar a </w:t>
      </w:r>
      <w:r>
        <w:rPr>
          <w:rFonts w:ascii="Arial" w:hAnsi="Arial" w:cs="Arial"/>
          <w:lang w:val="es-CO"/>
        </w:rPr>
        <w:t>constituir conductas sancionables administrativa o penalmente, deberán ser puestos en conocimiento de las autoridades competentes.</w:t>
      </w:r>
    </w:p>
    <w:p w14:paraId="3994F1C2" w14:textId="77777777" w:rsidR="00B2442D" w:rsidRDefault="00B2442D">
      <w:pPr>
        <w:jc w:val="both"/>
        <w:rPr>
          <w:rFonts w:ascii="Arial" w:hAnsi="Arial" w:cs="Arial"/>
          <w:lang w:val="es-CO"/>
        </w:rPr>
      </w:pPr>
    </w:p>
    <w:p w14:paraId="220B708D" w14:textId="77777777" w:rsidR="00B2442D" w:rsidRDefault="008A645F">
      <w:pPr>
        <w:jc w:val="both"/>
        <w:rPr>
          <w:rFonts w:ascii="Arial" w:hAnsi="Arial" w:cs="Arial"/>
          <w:lang w:val="es-CO"/>
        </w:rPr>
      </w:pPr>
      <w:r>
        <w:rPr>
          <w:rFonts w:ascii="Arial" w:hAnsi="Arial" w:cs="Arial"/>
          <w:i/>
          <w:lang w:val="es-CO"/>
        </w:rPr>
        <w:t>(Art. 12, Decreto 660 de 2016)</w:t>
      </w:r>
    </w:p>
    <w:p w14:paraId="2BE9993B" w14:textId="77777777" w:rsidR="00B2442D" w:rsidRDefault="00B2442D">
      <w:pPr>
        <w:jc w:val="both"/>
        <w:rPr>
          <w:rFonts w:ascii="Arial" w:hAnsi="Arial" w:cs="Arial"/>
          <w:lang w:val="es-CO"/>
        </w:rPr>
      </w:pPr>
    </w:p>
    <w:p w14:paraId="3BA83544" w14:textId="77777777" w:rsidR="00B2442D" w:rsidRDefault="008A645F">
      <w:pPr>
        <w:pStyle w:val="Prrafodelista"/>
        <w:numPr>
          <w:ilvl w:val="0"/>
          <w:numId w:val="167"/>
        </w:numPr>
        <w:ind w:left="0" w:firstLine="0"/>
        <w:jc w:val="both"/>
        <w:rPr>
          <w:rFonts w:ascii="Arial" w:hAnsi="Arial" w:cs="Arial"/>
          <w:lang w:val="es-CO"/>
        </w:rPr>
      </w:pPr>
      <w:r>
        <w:rPr>
          <w:rFonts w:ascii="Arial" w:hAnsi="Arial" w:cs="Arial"/>
          <w:b/>
          <w:i/>
          <w:lang w:val="es-CO"/>
        </w:rPr>
        <w:t>Notificación.</w:t>
      </w:r>
      <w:r>
        <w:rPr>
          <w:rFonts w:ascii="Arial" w:hAnsi="Arial" w:cs="Arial"/>
          <w:lang w:val="es-CO"/>
        </w:rPr>
        <w:t xml:space="preserve"> La resolución que decide la solicitud de devolución de que trata el presente c</w:t>
      </w:r>
      <w:r>
        <w:rPr>
          <w:rFonts w:ascii="Arial" w:hAnsi="Arial" w:cs="Arial"/>
          <w:lang w:val="es-CO"/>
        </w:rPr>
        <w:t>apítulo, se notificará de forma personal o al correo electrónico que informe en su solicitud el extranjero no residente en Colombia, de conformidad con lo establecido en los artículos 67 y 69 del Código de Procedimiento Administrativo y de lo Contencioso A</w:t>
      </w:r>
      <w:r>
        <w:rPr>
          <w:rFonts w:ascii="Arial" w:hAnsi="Arial" w:cs="Arial"/>
          <w:lang w:val="es-CO"/>
        </w:rPr>
        <w:t>dministrativo y contra la misma proceden los recursos de reposición y apelación, en los términos y dentro de los plazos establecidos en el Código de Procedimiento Administrativo y de lo Contencioso Administrativo o la Ley que lo sustituya.</w:t>
      </w:r>
    </w:p>
    <w:p w14:paraId="3F103A75" w14:textId="77777777" w:rsidR="00B2442D" w:rsidRDefault="00B2442D">
      <w:pPr>
        <w:jc w:val="both"/>
        <w:rPr>
          <w:rFonts w:ascii="Arial" w:hAnsi="Arial" w:cs="Arial"/>
          <w:lang w:val="es-CO"/>
        </w:rPr>
      </w:pPr>
    </w:p>
    <w:p w14:paraId="6C9F82A7" w14:textId="77777777" w:rsidR="00B2442D" w:rsidRDefault="008A645F">
      <w:pPr>
        <w:jc w:val="both"/>
        <w:rPr>
          <w:rFonts w:ascii="Arial" w:hAnsi="Arial" w:cs="Arial"/>
          <w:lang w:val="es-CO"/>
        </w:rPr>
      </w:pPr>
      <w:r>
        <w:rPr>
          <w:rFonts w:ascii="Arial" w:hAnsi="Arial" w:cs="Arial"/>
          <w:i/>
          <w:lang w:val="es-CO"/>
        </w:rPr>
        <w:t>(Art. 13, Decre</w:t>
      </w:r>
      <w:r>
        <w:rPr>
          <w:rFonts w:ascii="Arial" w:hAnsi="Arial" w:cs="Arial"/>
          <w:i/>
          <w:lang w:val="es-CO"/>
        </w:rPr>
        <w:t>to 660 de 2016)</w:t>
      </w:r>
    </w:p>
    <w:p w14:paraId="3E642CF1" w14:textId="77777777" w:rsidR="00B2442D" w:rsidRDefault="00B2442D">
      <w:pPr>
        <w:jc w:val="both"/>
        <w:rPr>
          <w:rFonts w:ascii="Arial" w:hAnsi="Arial" w:cs="Arial"/>
          <w:lang w:val="es-CO"/>
        </w:rPr>
      </w:pPr>
    </w:p>
    <w:p w14:paraId="241CDF29" w14:textId="77777777" w:rsidR="00B2442D" w:rsidRDefault="00B2442D">
      <w:pPr>
        <w:jc w:val="center"/>
        <w:rPr>
          <w:rFonts w:ascii="Arial" w:hAnsi="Arial" w:cs="Arial"/>
          <w:b/>
          <w:lang w:val="es-CO"/>
        </w:rPr>
      </w:pPr>
    </w:p>
    <w:p w14:paraId="02A9F7EC" w14:textId="77777777" w:rsidR="00B2442D" w:rsidRDefault="008A645F">
      <w:pPr>
        <w:pStyle w:val="Ttulo4"/>
        <w:rPr>
          <w:lang w:val="es-CO"/>
        </w:rPr>
      </w:pPr>
      <w:r>
        <w:rPr>
          <w:lang w:val="es-CO"/>
        </w:rPr>
        <w:t>CAPÍTULO 25</w:t>
      </w:r>
    </w:p>
    <w:p w14:paraId="4D98CBE9" w14:textId="77777777" w:rsidR="00B2442D" w:rsidRDefault="008A645F">
      <w:pPr>
        <w:pStyle w:val="Ttulo4"/>
        <w:rPr>
          <w:lang w:val="es-CO"/>
        </w:rPr>
      </w:pPr>
      <w:r>
        <w:rPr>
          <w:lang w:val="es-CO"/>
        </w:rPr>
        <w:t>Devolución del Gravamen a los Movimientos Financieros – GMF</w:t>
      </w:r>
    </w:p>
    <w:p w14:paraId="79D385CE" w14:textId="77777777" w:rsidR="00B2442D" w:rsidRDefault="00B2442D">
      <w:pPr>
        <w:rPr>
          <w:rFonts w:ascii="Arial" w:hAnsi="Arial" w:cs="Arial"/>
          <w:lang w:val="es-CO"/>
        </w:rPr>
      </w:pPr>
    </w:p>
    <w:p w14:paraId="42C130B6"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Identificación de cuentas.</w:t>
      </w:r>
      <w:r>
        <w:rPr>
          <w:rFonts w:ascii="Arial" w:hAnsi="Arial" w:cs="Arial"/>
          <w:lang w:val="es-CO"/>
        </w:rPr>
        <w:t xml:space="preserve"> Para efectos de la devolución del Gravamen a los Movimientos Financieros que se cause con ocasión de la transferencia de flujos en procesos de movilización de cartera hipotecaria para vivienda y de activos no hipotecarios a que se refiere el artículo 72 d</w:t>
      </w:r>
      <w:r>
        <w:rPr>
          <w:rFonts w:ascii="Arial" w:hAnsi="Arial" w:cs="Arial"/>
          <w:lang w:val="es-CO"/>
        </w:rPr>
        <w:t>e la Ley 1328 de 2009, las sociedades titularizadoras, los establecimientos de crédito que administren cartera hipotecaria movilizada y las sociedades fiduciarias, identificarán las cuentas corrientes o de ahorros en las cuales se movilicen los recursos qu</w:t>
      </w:r>
      <w:r>
        <w:rPr>
          <w:rFonts w:ascii="Arial" w:hAnsi="Arial" w:cs="Arial"/>
          <w:lang w:val="es-CO"/>
        </w:rPr>
        <w:t>e se utilicen de manera exclusiva para dicho fin.</w:t>
      </w:r>
    </w:p>
    <w:p w14:paraId="0876A025" w14:textId="77777777" w:rsidR="00B2442D" w:rsidRDefault="00B2442D">
      <w:pPr>
        <w:jc w:val="both"/>
        <w:rPr>
          <w:rFonts w:ascii="Arial" w:hAnsi="Arial" w:cs="Arial"/>
          <w:lang w:val="es-CO"/>
        </w:rPr>
      </w:pPr>
    </w:p>
    <w:p w14:paraId="49EA5FBE" w14:textId="77777777" w:rsidR="00B2442D" w:rsidRDefault="008A645F">
      <w:pPr>
        <w:jc w:val="both"/>
        <w:rPr>
          <w:rFonts w:ascii="Arial" w:hAnsi="Arial" w:cs="Arial"/>
          <w:lang w:val="es-CO"/>
        </w:rPr>
      </w:pPr>
      <w:r>
        <w:rPr>
          <w:rFonts w:ascii="Arial" w:hAnsi="Arial" w:cs="Arial"/>
          <w:lang w:val="es-CO"/>
        </w:rPr>
        <w:t>Cuando las transferencias y/o movimientos de recursos se realicen a través del Banco de la República, se deberán identificar las operaciones objeto de devolución de que trata el artículo 1.6.1.25.2 del pre</w:t>
      </w:r>
      <w:r>
        <w:rPr>
          <w:rFonts w:ascii="Arial" w:hAnsi="Arial" w:cs="Arial"/>
          <w:lang w:val="es-CO"/>
        </w:rPr>
        <w:t>sente Decreto.</w:t>
      </w:r>
    </w:p>
    <w:p w14:paraId="3F67CD9F" w14:textId="77777777" w:rsidR="00B2442D" w:rsidRDefault="00B2442D">
      <w:pPr>
        <w:jc w:val="both"/>
        <w:rPr>
          <w:rFonts w:ascii="Arial" w:hAnsi="Arial" w:cs="Arial"/>
          <w:lang w:val="es-CO"/>
        </w:rPr>
      </w:pPr>
    </w:p>
    <w:p w14:paraId="0C481F30" w14:textId="77777777" w:rsidR="00B2442D" w:rsidRDefault="008A645F">
      <w:pPr>
        <w:jc w:val="both"/>
        <w:rPr>
          <w:rFonts w:ascii="Arial" w:hAnsi="Arial" w:cs="Arial"/>
          <w:i/>
          <w:lang w:val="es-CO"/>
        </w:rPr>
      </w:pPr>
      <w:r>
        <w:rPr>
          <w:rFonts w:ascii="Arial" w:hAnsi="Arial" w:cs="Arial"/>
          <w:i/>
          <w:lang w:val="es-CO"/>
        </w:rPr>
        <w:t>(Art. 1, Decreto 752 de 2002, modificado por el art. 1 del Decreto 1744 de 2013)</w:t>
      </w:r>
    </w:p>
    <w:p w14:paraId="45E1206C" w14:textId="77777777" w:rsidR="00B2442D" w:rsidRDefault="00B2442D">
      <w:pPr>
        <w:jc w:val="both"/>
        <w:rPr>
          <w:rFonts w:ascii="Arial" w:hAnsi="Arial" w:cs="Arial"/>
          <w:b/>
          <w:lang w:val="es-CO"/>
        </w:rPr>
      </w:pPr>
    </w:p>
    <w:p w14:paraId="68A59A9C"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Devolución del Gravamen a los Movimientos Financieros. </w:t>
      </w:r>
      <w:r>
        <w:rPr>
          <w:rFonts w:ascii="Arial" w:hAnsi="Arial" w:cs="Arial"/>
          <w:lang w:val="es-CO"/>
        </w:rPr>
        <w:t xml:space="preserve">Una vez causado el Gravamen a los Movimientos Financieros, la entidad retenedora procederá a </w:t>
      </w:r>
      <w:r>
        <w:rPr>
          <w:rFonts w:ascii="Arial" w:hAnsi="Arial" w:cs="Arial"/>
          <w:lang w:val="es-CO"/>
        </w:rPr>
        <w:t>reintegrarlo de manera automática en la cuenta respecto de la cual se causó el impuesto. No obstante, el responsable deberá incluir dentro de la declaración del período correspondiente las operaciones gravadas por este concepto, y descontará del valor de l</w:t>
      </w:r>
      <w:r>
        <w:rPr>
          <w:rFonts w:ascii="Arial" w:hAnsi="Arial" w:cs="Arial"/>
          <w:lang w:val="es-CO"/>
        </w:rPr>
        <w:t>as retenciones por concepto del Gravamen a los Movimientos Financieros por declarar y consignar del período el monto de la devolución efectuada. En todo caso, la causación del gravamen así como su devolución deben encontrarse soportados mediante pruebas, l</w:t>
      </w:r>
      <w:r>
        <w:rPr>
          <w:rFonts w:ascii="Arial" w:hAnsi="Arial" w:cs="Arial"/>
          <w:lang w:val="es-CO"/>
        </w:rPr>
        <w:t>as cuales deben estar a disposición de las autoridades tributarias cuando estas lo requieran.</w:t>
      </w:r>
    </w:p>
    <w:p w14:paraId="34294889" w14:textId="77777777" w:rsidR="00B2442D" w:rsidRDefault="00B2442D">
      <w:pPr>
        <w:jc w:val="both"/>
        <w:rPr>
          <w:rFonts w:ascii="Arial" w:hAnsi="Arial" w:cs="Arial"/>
          <w:lang w:val="es-CO"/>
        </w:rPr>
      </w:pPr>
    </w:p>
    <w:p w14:paraId="2ED07EE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los casos no previstos en los artículos 1.6.1.25.1 y 1.6.1.25.2 del presente Decreto se acudirá a las disposiciones legales sobre la materia cont</w:t>
      </w:r>
      <w:r>
        <w:rPr>
          <w:rFonts w:ascii="Arial" w:hAnsi="Arial" w:cs="Arial"/>
          <w:lang w:val="es-CO"/>
        </w:rPr>
        <w:t>enida en el Estatuto Tributario, en los artículos 1.4.2.1.8, 1.4.2.2.1 al 1.4.2.2.9 del presente Decreto y demás normas que las modifiquen o adicionen en cuanto fueren compatibles.</w:t>
      </w:r>
    </w:p>
    <w:p w14:paraId="0FA0E9D7" w14:textId="77777777" w:rsidR="00B2442D" w:rsidRDefault="00B2442D">
      <w:pPr>
        <w:jc w:val="both"/>
        <w:rPr>
          <w:rFonts w:ascii="Arial" w:hAnsi="Arial" w:cs="Arial"/>
          <w:lang w:val="es-CO"/>
        </w:rPr>
      </w:pPr>
    </w:p>
    <w:p w14:paraId="2B379DFF" w14:textId="77777777" w:rsidR="00B2442D" w:rsidRDefault="008A645F">
      <w:pPr>
        <w:jc w:val="both"/>
        <w:rPr>
          <w:rFonts w:ascii="Arial" w:hAnsi="Arial" w:cs="Arial"/>
          <w:i/>
          <w:lang w:val="es-CO"/>
        </w:rPr>
      </w:pPr>
      <w:r>
        <w:rPr>
          <w:rFonts w:ascii="Arial" w:hAnsi="Arial" w:cs="Arial"/>
          <w:i/>
          <w:lang w:val="es-CO"/>
        </w:rPr>
        <w:t>(Art. 2, Decreto 752 de 2002)</w:t>
      </w:r>
    </w:p>
    <w:p w14:paraId="0FB4FEA8" w14:textId="77777777" w:rsidR="00B2442D" w:rsidRDefault="00B2442D">
      <w:pPr>
        <w:jc w:val="both"/>
        <w:rPr>
          <w:rFonts w:ascii="Arial" w:hAnsi="Arial" w:cs="Arial"/>
          <w:i/>
          <w:lang w:val="es-CO"/>
        </w:rPr>
      </w:pPr>
    </w:p>
    <w:p w14:paraId="2D9A1D4B"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Reintegro del Gravamen.</w:t>
      </w:r>
      <w:r>
        <w:rPr>
          <w:rFonts w:ascii="Arial" w:hAnsi="Arial" w:cs="Arial"/>
          <w:lang w:val="es-CO"/>
        </w:rPr>
        <w:t xml:space="preserve"> Cuando se anulen, </w:t>
      </w:r>
      <w:r>
        <w:rPr>
          <w:rFonts w:ascii="Arial" w:hAnsi="Arial" w:cs="Arial"/>
          <w:lang w:val="es-CO"/>
        </w:rPr>
        <w:t xml:space="preserve">rescindan o resuelvan operaciones que hayan sido sometidas a retención por concepto del Gravamen a los Movimientos Financieros, el responsable del recaudo podrá llevar como descontable, en el renglón respectivo del formulario de declaración, las sumas que </w:t>
      </w:r>
      <w:r>
        <w:rPr>
          <w:rFonts w:ascii="Arial" w:hAnsi="Arial" w:cs="Arial"/>
          <w:lang w:val="es-CO"/>
        </w:rPr>
        <w:t>hubiere retenido sobre tales operaciones, del monto de las retenciones por declarar y consignar correspondientes al período en el cual se hayan anulado, rescindido o resuelto las mismas. Para el efecto, se deberán conservar por el agente retenedor, los sop</w:t>
      </w:r>
      <w:r>
        <w:rPr>
          <w:rFonts w:ascii="Arial" w:hAnsi="Arial" w:cs="Arial"/>
          <w:lang w:val="es-CO"/>
        </w:rPr>
        <w:t>ortes respectivos por el término señalado en el artículo 632 del Estatuto Tributario.</w:t>
      </w:r>
    </w:p>
    <w:p w14:paraId="0C628ACF" w14:textId="77777777" w:rsidR="00B2442D" w:rsidRDefault="00B2442D">
      <w:pPr>
        <w:jc w:val="both"/>
        <w:rPr>
          <w:rFonts w:ascii="Arial" w:hAnsi="Arial" w:cs="Arial"/>
          <w:lang w:val="es-CO"/>
        </w:rPr>
      </w:pPr>
    </w:p>
    <w:p w14:paraId="3B73E265" w14:textId="77777777" w:rsidR="00B2442D" w:rsidRDefault="008A645F">
      <w:pPr>
        <w:jc w:val="both"/>
        <w:rPr>
          <w:rFonts w:ascii="Arial" w:hAnsi="Arial" w:cs="Arial"/>
          <w:lang w:val="es-CO"/>
        </w:rPr>
      </w:pPr>
      <w:r>
        <w:rPr>
          <w:rFonts w:ascii="Arial" w:hAnsi="Arial" w:cs="Arial"/>
          <w:lang w:val="es-CO"/>
        </w:rPr>
        <w:t>Cuando se efectúen retenciones por concepto del impuesto por un valor superior al que ha debido efectuarse, el responsable del recaudo deberá reintegrar los valores rete</w:t>
      </w:r>
      <w:r>
        <w:rPr>
          <w:rFonts w:ascii="Arial" w:hAnsi="Arial" w:cs="Arial"/>
          <w:lang w:val="es-CO"/>
        </w:rPr>
        <w:t>nidos en exceso o indebidamente, previa solicitud escrita del afectado con la retención.</w:t>
      </w:r>
    </w:p>
    <w:p w14:paraId="67C10332" w14:textId="77777777" w:rsidR="00B2442D" w:rsidRDefault="00B2442D">
      <w:pPr>
        <w:jc w:val="both"/>
        <w:rPr>
          <w:rFonts w:ascii="Arial" w:hAnsi="Arial" w:cs="Arial"/>
          <w:lang w:val="es-CO"/>
        </w:rPr>
      </w:pPr>
    </w:p>
    <w:p w14:paraId="72A49271" w14:textId="77777777" w:rsidR="00B2442D" w:rsidRDefault="008A645F">
      <w:pPr>
        <w:jc w:val="both"/>
        <w:rPr>
          <w:rFonts w:ascii="Arial" w:hAnsi="Arial" w:cs="Arial"/>
          <w:lang w:val="es-CO"/>
        </w:rPr>
      </w:pPr>
      <w:r>
        <w:rPr>
          <w:rFonts w:ascii="Arial" w:hAnsi="Arial" w:cs="Arial"/>
          <w:lang w:val="es-CO"/>
        </w:rPr>
        <w:t>En el mismo período en el cual el responsable del recaudo efectúe el respectivo reintegro se podrá igualmente descontar este valor de las retenciones del Gravamen a l</w:t>
      </w:r>
      <w:r>
        <w:rPr>
          <w:rFonts w:ascii="Arial" w:hAnsi="Arial" w:cs="Arial"/>
          <w:lang w:val="es-CO"/>
        </w:rPr>
        <w:t>os Movimientos Financieros por declarar y consignar. Si el valor a pagar de la declaración del período inmediatamente siguiente no permite descontar totalmente la suma pagada en exceso, el saldo podrá descontarse en las declaraciones de los períodos consec</w:t>
      </w:r>
      <w:r>
        <w:rPr>
          <w:rFonts w:ascii="Arial" w:hAnsi="Arial" w:cs="Arial"/>
          <w:lang w:val="es-CO"/>
        </w:rPr>
        <w:t>utivos siguientes.</w:t>
      </w:r>
    </w:p>
    <w:p w14:paraId="2E92EDDE" w14:textId="77777777" w:rsidR="00B2442D" w:rsidRDefault="00B2442D">
      <w:pPr>
        <w:jc w:val="both"/>
        <w:rPr>
          <w:rFonts w:ascii="Arial" w:hAnsi="Arial" w:cs="Arial"/>
          <w:lang w:val="es-CO"/>
        </w:rPr>
      </w:pPr>
    </w:p>
    <w:p w14:paraId="55BC1804" w14:textId="77777777" w:rsidR="00B2442D" w:rsidRDefault="008A645F">
      <w:pPr>
        <w:jc w:val="both"/>
        <w:rPr>
          <w:rFonts w:ascii="Arial" w:hAnsi="Arial" w:cs="Arial"/>
          <w:lang w:val="es-CO"/>
        </w:rPr>
      </w:pPr>
      <w:r>
        <w:rPr>
          <w:rFonts w:ascii="Arial" w:hAnsi="Arial" w:cs="Arial"/>
          <w:lang w:val="es-CO"/>
        </w:rPr>
        <w:t>Este descuento será procedente, siempre y cuando la suma a devolver al sujeto pasivo sea entregada por la entidad responsable del recaudo, ya sea a través de una nota crédito en la misma cuenta que fue debitada o por cualquier otro medi</w:t>
      </w:r>
      <w:r>
        <w:rPr>
          <w:rFonts w:ascii="Arial" w:hAnsi="Arial" w:cs="Arial"/>
          <w:lang w:val="es-CO"/>
        </w:rPr>
        <w:t>o, siempre que dicha devolución se encuentre debidamente soportada mediante pruebas documentales y contables, las cuales deben estar a disposición de las autoridades tributarias por el término legal.</w:t>
      </w:r>
    </w:p>
    <w:p w14:paraId="2BF23E67" w14:textId="77777777" w:rsidR="00B2442D" w:rsidRDefault="00B2442D">
      <w:pPr>
        <w:jc w:val="both"/>
        <w:rPr>
          <w:rFonts w:ascii="Arial" w:hAnsi="Arial" w:cs="Arial"/>
          <w:lang w:val="es-CO"/>
        </w:rPr>
      </w:pPr>
    </w:p>
    <w:p w14:paraId="0750ACF2" w14:textId="77777777" w:rsidR="00B2442D" w:rsidRDefault="008A645F">
      <w:pPr>
        <w:jc w:val="both"/>
        <w:rPr>
          <w:rFonts w:ascii="Arial" w:hAnsi="Arial" w:cs="Arial"/>
          <w:lang w:val="es-CO"/>
        </w:rPr>
      </w:pPr>
      <w:r>
        <w:rPr>
          <w:rFonts w:ascii="Arial" w:hAnsi="Arial" w:cs="Arial"/>
          <w:lang w:val="es-CO"/>
        </w:rPr>
        <w:t>Para todos aquellos pagos efectuados por un mayor valor</w:t>
      </w:r>
      <w:r>
        <w:rPr>
          <w:rFonts w:ascii="Arial" w:hAnsi="Arial" w:cs="Arial"/>
          <w:lang w:val="es-CO"/>
        </w:rPr>
        <w:t xml:space="preserve"> al declarado, la entidad responsable del recaudo podrá imputar la suma pagada en exceso al valor a pagar de la declaración correspondiente al período semanal inmediatamente siguiente, para lo cual se deberá incluir como un descuento del impuesto por pagar</w:t>
      </w:r>
      <w:r>
        <w:rPr>
          <w:rFonts w:ascii="Arial" w:hAnsi="Arial" w:cs="Arial"/>
          <w:lang w:val="es-CO"/>
        </w:rPr>
        <w:t>, debiendo conservar todos los soportes pertinentes de dicha operación por el término legal.</w:t>
      </w:r>
    </w:p>
    <w:p w14:paraId="3D0763E1" w14:textId="77777777" w:rsidR="00B2442D" w:rsidRDefault="00B2442D">
      <w:pPr>
        <w:jc w:val="both"/>
        <w:rPr>
          <w:rFonts w:ascii="Arial" w:hAnsi="Arial" w:cs="Arial"/>
          <w:lang w:val="es-CO"/>
        </w:rPr>
      </w:pPr>
    </w:p>
    <w:p w14:paraId="5F8F8FC5" w14:textId="77777777" w:rsidR="00B2442D" w:rsidRDefault="008A645F">
      <w:pPr>
        <w:jc w:val="both"/>
        <w:rPr>
          <w:rFonts w:ascii="Arial" w:hAnsi="Arial" w:cs="Arial"/>
          <w:i/>
          <w:lang w:val="es-CO"/>
        </w:rPr>
      </w:pPr>
      <w:r>
        <w:rPr>
          <w:rFonts w:ascii="Arial" w:hAnsi="Arial" w:cs="Arial"/>
          <w:i/>
          <w:lang w:val="es-CO"/>
        </w:rPr>
        <w:t>(Art. 22, Decreto 405 de 2001. Parágrafo 1 tiene pérdida de vigencia por cumplimiento del plazo. Parágrafo 2 tiene decaimiento por la derogatoria del Decreto 1000</w:t>
      </w:r>
      <w:r>
        <w:rPr>
          <w:rFonts w:ascii="Arial" w:hAnsi="Arial" w:cs="Arial"/>
          <w:i/>
          <w:lang w:val="es-CO"/>
        </w:rPr>
        <w:t xml:space="preserve"> de 1997 por el art. 27 del Decreto 2277 de 2012)</w:t>
      </w:r>
    </w:p>
    <w:p w14:paraId="218B5B06" w14:textId="77777777" w:rsidR="00B2442D" w:rsidRDefault="00B2442D">
      <w:pPr>
        <w:jc w:val="both"/>
        <w:rPr>
          <w:rFonts w:ascii="Arial" w:hAnsi="Arial" w:cs="Arial"/>
          <w:lang w:val="es-CO"/>
        </w:rPr>
      </w:pPr>
    </w:p>
    <w:p w14:paraId="7A2FC294"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Compensación de deudas tributarias y aduaneras.</w:t>
      </w:r>
      <w:r>
        <w:rPr>
          <w:rFonts w:ascii="Arial" w:hAnsi="Arial" w:cs="Arial"/>
          <w:lang w:val="es-CO"/>
        </w:rPr>
        <w:t xml:space="preserve"> Habrá lugar a compensar deudas por concepto de obligaciones tributarias con saldos a favor generados por pagos en exceso o de lo no debido de tributos aduan</w:t>
      </w:r>
      <w:r>
        <w:rPr>
          <w:rFonts w:ascii="Arial" w:hAnsi="Arial" w:cs="Arial"/>
          <w:lang w:val="es-CO"/>
        </w:rPr>
        <w:t>eros, igualmente procede la compensación de deudas por concepto de tributos aduaneros con saldos a favor generados en declaraciones tributarias, pagos en exceso o de lo no debido.</w:t>
      </w:r>
    </w:p>
    <w:p w14:paraId="154899F6" w14:textId="77777777" w:rsidR="00B2442D" w:rsidRDefault="00B2442D">
      <w:pPr>
        <w:jc w:val="both"/>
        <w:rPr>
          <w:rFonts w:ascii="Arial" w:hAnsi="Arial" w:cs="Arial"/>
          <w:lang w:val="es-CO"/>
        </w:rPr>
      </w:pPr>
    </w:p>
    <w:p w14:paraId="1D471EF4" w14:textId="77777777" w:rsidR="00B2442D" w:rsidRDefault="008A645F">
      <w:pPr>
        <w:jc w:val="both"/>
        <w:rPr>
          <w:rFonts w:ascii="Arial" w:hAnsi="Arial" w:cs="Arial"/>
          <w:lang w:val="es-CO"/>
        </w:rPr>
      </w:pPr>
      <w:r>
        <w:rPr>
          <w:rFonts w:ascii="Arial" w:hAnsi="Arial" w:cs="Arial"/>
          <w:i/>
          <w:lang w:val="es-CO"/>
        </w:rPr>
        <w:t>(Art. 17, Decreto 2277 de 2012)</w:t>
      </w:r>
      <w:r>
        <w:rPr>
          <w:rFonts w:ascii="Arial" w:hAnsi="Arial" w:cs="Arial"/>
        </w:rPr>
        <w:t xml:space="preserve"> </w:t>
      </w:r>
      <w:r>
        <w:rPr>
          <w:rFonts w:ascii="Arial" w:hAnsi="Arial" w:cs="Arial"/>
          <w:i/>
          <w:lang w:val="es-CO"/>
        </w:rPr>
        <w:t xml:space="preserve">(El Decreto 2277 de 2012 rige a partir del </w:t>
      </w:r>
      <w:r>
        <w:rPr>
          <w:rFonts w:ascii="Arial" w:hAnsi="Arial" w:cs="Arial"/>
          <w:i/>
          <w:lang w:val="es-CO"/>
        </w:rPr>
        <w:t>1° de diciembre de 2012, previa su publicación y deroga el Decreto 1000 de 1997, el artículo 13 del Decreto 522 de 2003 y las normas que le sean contrarías. Art. 27, Decreto 2277 de 2012)</w:t>
      </w:r>
    </w:p>
    <w:p w14:paraId="4C7B2D0A" w14:textId="77777777" w:rsidR="00B2442D" w:rsidRDefault="00B2442D">
      <w:pPr>
        <w:jc w:val="both"/>
        <w:rPr>
          <w:rFonts w:ascii="Arial" w:hAnsi="Arial" w:cs="Arial"/>
          <w:lang w:val="es-CO"/>
        </w:rPr>
      </w:pPr>
    </w:p>
    <w:p w14:paraId="2C7BAD87"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Trámite de la devolución con títulos.</w:t>
      </w:r>
      <w:r>
        <w:rPr>
          <w:rFonts w:ascii="Arial" w:hAnsi="Arial" w:cs="Arial"/>
          <w:lang w:val="es-CO"/>
        </w:rPr>
        <w:t xml:space="preserve"> Los beneficiarios de los TID</w:t>
      </w:r>
      <w:r>
        <w:rPr>
          <w:rFonts w:ascii="Arial" w:hAnsi="Arial" w:cs="Arial"/>
          <w:lang w:val="es-CO"/>
        </w:rPr>
        <w:t>IS deberán solicitarlos personalmente o por intermedio de apoderado, una vez notificada la providencia que ordena la devolución, ante la entidad autorizada que funcione en la ciudad sede de la Dirección Seccional de Impuestos o de Impuestos y Aduanas que p</w:t>
      </w:r>
      <w:r>
        <w:rPr>
          <w:rFonts w:ascii="Arial" w:hAnsi="Arial" w:cs="Arial"/>
          <w:lang w:val="es-CO"/>
        </w:rPr>
        <w:t>rofirió la resolución de devolución, exhibiendo el original de esta.</w:t>
      </w:r>
    </w:p>
    <w:p w14:paraId="1FBCE62B" w14:textId="77777777" w:rsidR="00B2442D" w:rsidRDefault="00B2442D">
      <w:pPr>
        <w:jc w:val="both"/>
        <w:rPr>
          <w:rFonts w:ascii="Arial" w:hAnsi="Arial" w:cs="Arial"/>
          <w:lang w:val="es-CO"/>
        </w:rPr>
      </w:pPr>
    </w:p>
    <w:p w14:paraId="2CD6B618" w14:textId="77777777" w:rsidR="00B2442D" w:rsidRDefault="008A645F">
      <w:pPr>
        <w:jc w:val="both"/>
        <w:rPr>
          <w:rFonts w:ascii="Arial" w:hAnsi="Arial" w:cs="Arial"/>
          <w:lang w:val="es-CO"/>
        </w:rPr>
      </w:pPr>
      <w:r>
        <w:rPr>
          <w:rFonts w:ascii="Arial" w:hAnsi="Arial" w:cs="Arial"/>
          <w:i/>
          <w:lang w:val="es-CO"/>
        </w:rPr>
        <w:t>(Art. 18,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w:t>
      </w:r>
      <w:r>
        <w:rPr>
          <w:rFonts w:ascii="Arial" w:hAnsi="Arial" w:cs="Arial"/>
          <w:i/>
          <w:lang w:val="es-CO"/>
        </w:rPr>
        <w:t xml:space="preserve"> de 2003 y las normas que le sean contrarías. Art. 27, Decreto 2277 de 2012)</w:t>
      </w:r>
    </w:p>
    <w:p w14:paraId="44149295" w14:textId="77777777" w:rsidR="00B2442D" w:rsidRDefault="00B2442D">
      <w:pPr>
        <w:jc w:val="both"/>
        <w:rPr>
          <w:rFonts w:ascii="Arial" w:hAnsi="Arial" w:cs="Arial"/>
          <w:lang w:val="es-CO"/>
        </w:rPr>
      </w:pPr>
    </w:p>
    <w:p w14:paraId="64482C21"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Cancelación de intereses.</w:t>
      </w:r>
      <w:r>
        <w:rPr>
          <w:rFonts w:ascii="Arial" w:hAnsi="Arial" w:cs="Arial"/>
          <w:lang w:val="es-CO"/>
        </w:rPr>
        <w:t xml:space="preserve"> Cuando hubiere lugar a la cancelación de intereses como consecuencia de un proceso de devolución a caigo de la Nación por parte de la Unidad Administrativa Especial Dirección de Impuestos y Aduanas Nacionales– DIAN o de la entidad que haga sus veces y pre</w:t>
      </w:r>
      <w:r>
        <w:rPr>
          <w:rFonts w:ascii="Arial" w:hAnsi="Arial" w:cs="Arial"/>
          <w:lang w:val="es-CO"/>
        </w:rPr>
        <w:t>via solicitud del interesado, su pago se sujetará a las apropiaciones correspondientes dentro del presupuesto general de la Nación.</w:t>
      </w:r>
    </w:p>
    <w:p w14:paraId="3FD1CB33" w14:textId="77777777" w:rsidR="00B2442D" w:rsidRDefault="00B2442D">
      <w:pPr>
        <w:jc w:val="both"/>
        <w:rPr>
          <w:rFonts w:ascii="Arial" w:hAnsi="Arial" w:cs="Arial"/>
          <w:lang w:val="es-CO"/>
        </w:rPr>
      </w:pPr>
    </w:p>
    <w:p w14:paraId="6E6D3BDE" w14:textId="77777777" w:rsidR="00B2442D" w:rsidRDefault="008A645F">
      <w:pPr>
        <w:jc w:val="both"/>
        <w:rPr>
          <w:rFonts w:ascii="Arial" w:hAnsi="Arial" w:cs="Arial"/>
          <w:lang w:val="es-CO"/>
        </w:rPr>
      </w:pPr>
      <w:r>
        <w:rPr>
          <w:rFonts w:ascii="Arial" w:hAnsi="Arial" w:cs="Arial"/>
          <w:i/>
          <w:lang w:val="es-CO"/>
        </w:rPr>
        <w:t>(Art. 19, Decreto 2277 de 2012)</w:t>
      </w:r>
      <w:r>
        <w:rPr>
          <w:rFonts w:ascii="Arial" w:hAnsi="Arial" w:cs="Arial"/>
        </w:rPr>
        <w:t xml:space="preserve"> </w:t>
      </w:r>
      <w:r>
        <w:rPr>
          <w:rFonts w:ascii="Arial" w:hAnsi="Arial" w:cs="Arial"/>
          <w:i/>
          <w:lang w:val="es-CO"/>
        </w:rPr>
        <w:t>(El Decreto 2277 de 2012 rige a partir del 1° de diciembre de 2012, previa su publicación y</w:t>
      </w:r>
      <w:r>
        <w:rPr>
          <w:rFonts w:ascii="Arial" w:hAnsi="Arial" w:cs="Arial"/>
          <w:i/>
          <w:lang w:val="es-CO"/>
        </w:rPr>
        <w:t xml:space="preserve"> deroga el Decreto 1000 de 1997, el artículo 13 del Decreto 522 de 2003 y las normas que le sean contrarías. Art. 27, Decreto 2277 de 2012)</w:t>
      </w:r>
    </w:p>
    <w:p w14:paraId="6F9E9367" w14:textId="77777777" w:rsidR="00B2442D" w:rsidRDefault="00B2442D">
      <w:pPr>
        <w:jc w:val="both"/>
        <w:rPr>
          <w:rFonts w:ascii="Arial" w:hAnsi="Arial" w:cs="Arial"/>
          <w:lang w:val="es-CO"/>
        </w:rPr>
      </w:pPr>
    </w:p>
    <w:p w14:paraId="3189DC04"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Devolución a la cuenta bancaria.</w:t>
      </w:r>
      <w:r>
        <w:rPr>
          <w:rFonts w:ascii="Arial" w:hAnsi="Arial" w:cs="Arial"/>
          <w:lang w:val="es-CO"/>
        </w:rPr>
        <w:t xml:space="preserve"> Los valores objeto de devolución por ser giros del Presupuesto Nacional, serán entregados por la Nación al beneficiario titular del saldo a favor a través de abono a cuenta corriente o cuenta de ahorros, para ello el beneficiario deberá entregar con la so</w:t>
      </w:r>
      <w:r>
        <w:rPr>
          <w:rFonts w:ascii="Arial" w:hAnsi="Arial" w:cs="Arial"/>
          <w:lang w:val="es-CO"/>
        </w:rPr>
        <w:t>licitud una constancia de la titularidad de la cuenta corriente o de ahorros activa, en una entidad vigilada por la Superintendencia Financiera de Colombia, con fecha de expedición no mayor a un (1) mes.</w:t>
      </w:r>
    </w:p>
    <w:p w14:paraId="10CA5A33" w14:textId="77777777" w:rsidR="00B2442D" w:rsidRDefault="00B2442D">
      <w:pPr>
        <w:jc w:val="both"/>
        <w:rPr>
          <w:rFonts w:ascii="Arial" w:hAnsi="Arial" w:cs="Arial"/>
          <w:lang w:val="es-CO"/>
        </w:rPr>
      </w:pPr>
    </w:p>
    <w:p w14:paraId="3DF31AB6" w14:textId="77777777" w:rsidR="00B2442D" w:rsidRDefault="008A645F">
      <w:pPr>
        <w:jc w:val="both"/>
        <w:rPr>
          <w:rFonts w:ascii="Arial" w:hAnsi="Arial" w:cs="Arial"/>
          <w:lang w:val="es-CO"/>
        </w:rPr>
      </w:pPr>
      <w:r>
        <w:rPr>
          <w:rFonts w:ascii="Arial" w:hAnsi="Arial" w:cs="Arial"/>
          <w:i/>
          <w:lang w:val="es-CO"/>
        </w:rPr>
        <w:t>(Art. 20, Decreto 2277 de 2012)</w:t>
      </w:r>
      <w:r>
        <w:rPr>
          <w:rFonts w:ascii="Arial" w:hAnsi="Arial" w:cs="Arial"/>
        </w:rPr>
        <w:t xml:space="preserve"> </w:t>
      </w:r>
      <w:r>
        <w:rPr>
          <w:rFonts w:ascii="Arial" w:hAnsi="Arial" w:cs="Arial"/>
          <w:i/>
          <w:lang w:val="es-CO"/>
        </w:rPr>
        <w:t>(El Decreto 2277 de</w:t>
      </w:r>
      <w:r>
        <w:rPr>
          <w:rFonts w:ascii="Arial" w:hAnsi="Arial" w:cs="Arial"/>
          <w:i/>
          <w:lang w:val="es-CO"/>
        </w:rPr>
        <w:t xml:space="preserve"> 2012 rige a partir del 1° de diciembre de 2012, previa su publicación y deroga el Decreto 1000 de 1997, el artículo 13 del Decreto 522 de 2003 y las normas que le sean contrarías. Art. 27, Decreto 2277 de 2012)</w:t>
      </w:r>
    </w:p>
    <w:p w14:paraId="32549D32" w14:textId="77777777" w:rsidR="00B2442D" w:rsidRDefault="00B2442D">
      <w:pPr>
        <w:jc w:val="both"/>
        <w:rPr>
          <w:rFonts w:ascii="Arial" w:hAnsi="Arial" w:cs="Arial"/>
          <w:lang w:val="es-CO"/>
        </w:rPr>
      </w:pPr>
    </w:p>
    <w:p w14:paraId="731F6246"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Revisión por análisis de riesgo.</w:t>
      </w:r>
      <w:r>
        <w:rPr>
          <w:rFonts w:ascii="Arial" w:hAnsi="Arial" w:cs="Arial"/>
          <w:lang w:val="es-CO"/>
        </w:rPr>
        <w:t xml:space="preserve"> Sin perju</w:t>
      </w:r>
      <w:r>
        <w:rPr>
          <w:rFonts w:ascii="Arial" w:hAnsi="Arial" w:cs="Arial"/>
          <w:lang w:val="es-CO"/>
        </w:rPr>
        <w:t>icio de lo contemplado en el artículo 857-1 del Estatuto Tributario, la Unidad Administrativa Especial Dirección de Impuestos y Aduanas Nacionales– DIAN con fundamento en criterios basados en técnicas de análisis de riesgo o aleatoriamente, identificará la</w:t>
      </w:r>
      <w:r>
        <w:rPr>
          <w:rFonts w:ascii="Arial" w:hAnsi="Arial" w:cs="Arial"/>
          <w:lang w:val="es-CO"/>
        </w:rPr>
        <w:t>s declaraciones de renta, ventas y demás conceptos objeto de la solicitud de devolución y/o compensación que sean susceptibles de ser revisadas por fiscalización, antes y después de efectuar la devolución y/o compensación.</w:t>
      </w:r>
    </w:p>
    <w:p w14:paraId="160A12D7" w14:textId="77777777" w:rsidR="00B2442D" w:rsidRDefault="00B2442D">
      <w:pPr>
        <w:jc w:val="both"/>
        <w:rPr>
          <w:rFonts w:ascii="Arial" w:hAnsi="Arial" w:cs="Arial"/>
          <w:b/>
          <w:lang w:val="es-CO"/>
        </w:rPr>
      </w:pPr>
    </w:p>
    <w:p w14:paraId="1B817BE1" w14:textId="77777777" w:rsidR="00B2442D" w:rsidRDefault="008A645F">
      <w:pPr>
        <w:jc w:val="both"/>
        <w:rPr>
          <w:rFonts w:ascii="Arial" w:hAnsi="Arial" w:cs="Arial"/>
          <w:lang w:val="es-CO"/>
        </w:rPr>
      </w:pPr>
      <w:r>
        <w:rPr>
          <w:rFonts w:ascii="Arial" w:hAnsi="Arial" w:cs="Arial"/>
          <w:i/>
          <w:lang w:val="es-CO"/>
        </w:rPr>
        <w:t>(Art. 21,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 de 2003 y las normas que le sean contrarías. Art. 27, Decreto 2277 de 2012)</w:t>
      </w:r>
    </w:p>
    <w:p w14:paraId="517A1BF0" w14:textId="77777777" w:rsidR="00B2442D" w:rsidRDefault="00B2442D">
      <w:pPr>
        <w:jc w:val="both"/>
        <w:rPr>
          <w:rFonts w:ascii="Arial" w:hAnsi="Arial" w:cs="Arial"/>
          <w:b/>
          <w:lang w:val="es-CO"/>
        </w:rPr>
      </w:pPr>
    </w:p>
    <w:p w14:paraId="548E9EAD"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 xml:space="preserve"> Presentación de la soli</w:t>
      </w:r>
      <w:r>
        <w:rPr>
          <w:rFonts w:ascii="Arial" w:hAnsi="Arial" w:cs="Arial"/>
          <w:b/>
          <w:i/>
          <w:lang w:val="es-CO"/>
        </w:rPr>
        <w:t xml:space="preserve">citud de devolución y/o compensación y requisitos generales y especiales a través del servicio informático electrónico. </w:t>
      </w:r>
      <w:r>
        <w:rPr>
          <w:rFonts w:ascii="Arial" w:hAnsi="Arial" w:cs="Arial"/>
          <w:lang w:val="es-CO"/>
        </w:rPr>
        <w:t>La Unidad Administrativa Especial Dirección de Impuestos y Aduanas Nacionales- DIAN, definirá mediante resolución de carácter general lo</w:t>
      </w:r>
      <w:r>
        <w:rPr>
          <w:rFonts w:ascii="Arial" w:hAnsi="Arial" w:cs="Arial"/>
          <w:lang w:val="es-CO"/>
        </w:rPr>
        <w:t>s aspectos técnicos, condiciones y requisitos correspondientes a la presentación de las solicitudes de devolución y/o compensación, a través del servicio informático electrónico dispuesto para tal fin. La implementación del servicio informático electrónico</w:t>
      </w:r>
      <w:r>
        <w:rPr>
          <w:rFonts w:ascii="Arial" w:hAnsi="Arial" w:cs="Arial"/>
          <w:lang w:val="es-CO"/>
        </w:rPr>
        <w:t xml:space="preserve"> podrá realizarse atendiendo los conceptos de devolución, las ciudades que lo deberán implementar y demás criterios que determine la Unidad Administrativa Especial Dirección de Impuestos y Aduanas Nacionales- DIAN.</w:t>
      </w:r>
    </w:p>
    <w:p w14:paraId="7E6A408A" w14:textId="77777777" w:rsidR="00B2442D" w:rsidRDefault="00B2442D">
      <w:pPr>
        <w:jc w:val="both"/>
        <w:rPr>
          <w:rFonts w:ascii="Arial" w:hAnsi="Arial" w:cs="Arial"/>
          <w:lang w:val="es-CO"/>
        </w:rPr>
      </w:pPr>
    </w:p>
    <w:p w14:paraId="4D3AEB56" w14:textId="77777777" w:rsidR="00B2442D" w:rsidRDefault="008A645F">
      <w:pPr>
        <w:jc w:val="both"/>
        <w:rPr>
          <w:rFonts w:ascii="Arial" w:hAnsi="Arial" w:cs="Arial"/>
          <w:lang w:val="es-CO"/>
        </w:rPr>
      </w:pPr>
      <w:r>
        <w:rPr>
          <w:rFonts w:ascii="Arial" w:hAnsi="Arial" w:cs="Arial"/>
          <w:lang w:val="es-CO"/>
        </w:rPr>
        <w:t>Cuando la solicitud de devolución y/o co</w:t>
      </w:r>
      <w:r>
        <w:rPr>
          <w:rFonts w:ascii="Arial" w:hAnsi="Arial" w:cs="Arial"/>
          <w:lang w:val="es-CO"/>
        </w:rPr>
        <w:t>mpensación se realice de forma virtual deberá entregarse la totalidad de información exigida de conformidad con la normatividad vigente dentro de los cinco (5) días hábiles siguientes al inicio del trámite virtual de la solicitud. De lo contrario el trámit</w:t>
      </w:r>
      <w:r>
        <w:rPr>
          <w:rFonts w:ascii="Arial" w:hAnsi="Arial" w:cs="Arial"/>
          <w:lang w:val="es-CO"/>
        </w:rPr>
        <w:t>e iniciado virtualmente se cerrará automáticamente y el solicitante deberá iniciar uno nuevo.</w:t>
      </w:r>
    </w:p>
    <w:p w14:paraId="68633029" w14:textId="77777777" w:rsidR="00B2442D" w:rsidRDefault="00B2442D">
      <w:pPr>
        <w:jc w:val="both"/>
        <w:rPr>
          <w:rFonts w:ascii="Arial" w:hAnsi="Arial" w:cs="Arial"/>
          <w:lang w:val="es-CO"/>
        </w:rPr>
      </w:pPr>
    </w:p>
    <w:p w14:paraId="403B80A4" w14:textId="77777777" w:rsidR="00B2442D" w:rsidRDefault="008A645F">
      <w:pPr>
        <w:jc w:val="both"/>
        <w:rPr>
          <w:rFonts w:ascii="Arial" w:hAnsi="Arial" w:cs="Arial"/>
          <w:lang w:val="es-CO"/>
        </w:rPr>
      </w:pPr>
      <w:r>
        <w:rPr>
          <w:rFonts w:ascii="Arial" w:hAnsi="Arial" w:cs="Arial"/>
          <w:lang w:val="es-CO"/>
        </w:rPr>
        <w:t>Los términos establecidos en los artículos 855 y 860 del Estatuto Tributario, se empezarán a contar a partir del día hábil siguiente a la radicación de la solici</w:t>
      </w:r>
      <w:r>
        <w:rPr>
          <w:rFonts w:ascii="Arial" w:hAnsi="Arial" w:cs="Arial"/>
          <w:lang w:val="es-CO"/>
        </w:rPr>
        <w:t>tud en debida forma y con el cumplimiento de los requisitos generales y especiales en forma virtual y/o física.</w:t>
      </w:r>
    </w:p>
    <w:p w14:paraId="45C2F50F" w14:textId="77777777" w:rsidR="00B2442D" w:rsidRDefault="00B2442D">
      <w:pPr>
        <w:jc w:val="both"/>
        <w:rPr>
          <w:rFonts w:ascii="Arial" w:hAnsi="Arial" w:cs="Arial"/>
          <w:lang w:val="es-CO"/>
        </w:rPr>
      </w:pPr>
    </w:p>
    <w:p w14:paraId="6340265A"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Cuando por inconvenientes técnicos no haya disponibilidad de los servicios informáticos electrónicos y, en consecuencia, el oblig</w:t>
      </w:r>
      <w:r>
        <w:rPr>
          <w:rFonts w:ascii="Arial" w:hAnsi="Arial" w:cs="Arial"/>
          <w:lang w:val="es-CO"/>
        </w:rPr>
        <w:t>ado no pueda cumplir con la presentación de la solicitud de devolución y/o compensación en forma virtual, dicha solicitud se podrá hacer en forma manual dentro del término legal y con el lleno de los requisitos que para el efecto determine la Unidad Admini</w:t>
      </w:r>
      <w:r>
        <w:rPr>
          <w:rFonts w:ascii="Arial" w:hAnsi="Arial" w:cs="Arial"/>
          <w:lang w:val="es-CO"/>
        </w:rPr>
        <w:t>strativa Especial Dirección de Impuestos y Aduanas Nacionales- DIAN.</w:t>
      </w:r>
    </w:p>
    <w:p w14:paraId="2F0C25BC" w14:textId="77777777" w:rsidR="00B2442D" w:rsidRDefault="00B2442D">
      <w:pPr>
        <w:jc w:val="both"/>
        <w:rPr>
          <w:rFonts w:ascii="Arial" w:hAnsi="Arial" w:cs="Arial"/>
          <w:lang w:val="es-CO"/>
        </w:rPr>
      </w:pPr>
    </w:p>
    <w:p w14:paraId="00106B60" w14:textId="77777777" w:rsidR="00B2442D" w:rsidRDefault="008A645F">
      <w:pPr>
        <w:jc w:val="both"/>
        <w:rPr>
          <w:rFonts w:ascii="Arial" w:hAnsi="Arial" w:cs="Arial"/>
          <w:lang w:val="es-CO"/>
        </w:rPr>
      </w:pPr>
      <w:r>
        <w:rPr>
          <w:rFonts w:ascii="Arial" w:hAnsi="Arial" w:cs="Arial"/>
          <w:i/>
          <w:lang w:val="es-CO"/>
        </w:rPr>
        <w:t>(Art. 22, Decreto 2277 de 2012)</w:t>
      </w:r>
      <w:r>
        <w:rPr>
          <w:rFonts w:ascii="Arial" w:hAnsi="Arial" w:cs="Arial"/>
        </w:rPr>
        <w:t xml:space="preserve"> </w:t>
      </w:r>
      <w:r>
        <w:rPr>
          <w:rFonts w:ascii="Arial" w:hAnsi="Arial" w:cs="Arial"/>
          <w:i/>
          <w:lang w:val="es-CO"/>
        </w:rPr>
        <w:t>(El Decreto 2277 de 2012 rige a partir del 1° de diciembre de 2012, previa su publicación y deroga el Decreto 1000 de 1997, el artículo 13 del Decreto 522</w:t>
      </w:r>
      <w:r>
        <w:rPr>
          <w:rFonts w:ascii="Arial" w:hAnsi="Arial" w:cs="Arial"/>
          <w:i/>
          <w:lang w:val="es-CO"/>
        </w:rPr>
        <w:t xml:space="preserve"> de 2003 y las normas que le sean contrarías. Art. 27, Decreto 2277 de 2012)</w:t>
      </w:r>
    </w:p>
    <w:p w14:paraId="10F3FFB2" w14:textId="77777777" w:rsidR="00B2442D" w:rsidRDefault="00B2442D">
      <w:pPr>
        <w:jc w:val="both"/>
        <w:rPr>
          <w:rFonts w:ascii="Arial" w:hAnsi="Arial" w:cs="Arial"/>
          <w:lang w:val="es-CO"/>
        </w:rPr>
      </w:pPr>
    </w:p>
    <w:p w14:paraId="7BA4FD85" w14:textId="77777777" w:rsidR="00B2442D" w:rsidRDefault="008A645F">
      <w:pPr>
        <w:pStyle w:val="Prrafodelista"/>
        <w:numPr>
          <w:ilvl w:val="0"/>
          <w:numId w:val="126"/>
        </w:numPr>
        <w:ind w:left="0" w:firstLine="0"/>
        <w:jc w:val="both"/>
        <w:rPr>
          <w:rFonts w:ascii="Arial" w:hAnsi="Arial" w:cs="Arial"/>
          <w:lang w:val="es-CO"/>
        </w:rPr>
      </w:pPr>
      <w:r>
        <w:rPr>
          <w:rFonts w:ascii="Arial" w:hAnsi="Arial" w:cs="Arial"/>
          <w:b/>
          <w:i/>
          <w:lang w:val="es-CO"/>
        </w:rPr>
        <w:t>Término para efectuar la devolución y/o compensación de los saldos a favor originados en el impuesto sobre las ventas.</w:t>
      </w:r>
      <w:r>
        <w:rPr>
          <w:rFonts w:ascii="Arial" w:hAnsi="Arial" w:cs="Arial"/>
          <w:lang w:val="es-CO"/>
        </w:rPr>
        <w:t xml:space="preserve"> La Unidad Administrativa Especial Dirección de Impuestos y </w:t>
      </w:r>
      <w:r>
        <w:rPr>
          <w:rFonts w:ascii="Arial" w:hAnsi="Arial" w:cs="Arial"/>
          <w:lang w:val="es-CO"/>
        </w:rPr>
        <w:t>Aduanas Nacionales- DIAN deberá devolver, previas las compensaciones a que haya lugar, los saldos a favor originados en el impuesto sobre las ventas IVA, dentro de los cincuenta (50) días siguientes a la fecha de la solicitud de devolución presentada oport</w:t>
      </w:r>
      <w:r>
        <w:rPr>
          <w:rFonts w:ascii="Arial" w:hAnsi="Arial" w:cs="Arial"/>
          <w:lang w:val="es-CO"/>
        </w:rPr>
        <w:t>unamente y en debida forma.</w:t>
      </w:r>
    </w:p>
    <w:p w14:paraId="039EC51C" w14:textId="77777777" w:rsidR="00B2442D" w:rsidRDefault="00B2442D">
      <w:pPr>
        <w:jc w:val="both"/>
        <w:rPr>
          <w:rFonts w:ascii="Arial" w:hAnsi="Arial" w:cs="Arial"/>
          <w:lang w:val="es-CO"/>
        </w:rPr>
      </w:pPr>
    </w:p>
    <w:p w14:paraId="7CFC72E6" w14:textId="77777777" w:rsidR="00B2442D" w:rsidRDefault="008A645F">
      <w:pPr>
        <w:jc w:val="both"/>
        <w:rPr>
          <w:rFonts w:ascii="Arial" w:hAnsi="Arial" w:cs="Arial"/>
          <w:lang w:val="es-CO"/>
        </w:rPr>
      </w:pPr>
      <w:r>
        <w:rPr>
          <w:rFonts w:ascii="Arial" w:hAnsi="Arial" w:cs="Arial"/>
          <w:lang w:val="es-CO"/>
        </w:rPr>
        <w:t>Sin perjuicio de lo establecido en el inciso anterior, la Unidad Administrativa Especial Dirección de Impuestos y Aduanas Nacionales– DIAN deberá devolver y/o compensar dentro de los treinta (30) días siguientes a la fecha de l</w:t>
      </w:r>
      <w:r>
        <w:rPr>
          <w:rFonts w:ascii="Arial" w:hAnsi="Arial" w:cs="Arial"/>
          <w:lang w:val="es-CO"/>
        </w:rPr>
        <w:t>a solicitud, presentada oportunamente y en debida forma, los saldos a favor originados en el impuesto sobre las ventas por exceso de impuesto descontable por diferencia de tarifa solicitados por:</w:t>
      </w:r>
    </w:p>
    <w:p w14:paraId="7BD0D671" w14:textId="77777777" w:rsidR="00B2442D" w:rsidRDefault="00B2442D">
      <w:pPr>
        <w:jc w:val="both"/>
        <w:rPr>
          <w:rFonts w:ascii="Arial" w:hAnsi="Arial" w:cs="Arial"/>
          <w:lang w:val="es-CO"/>
        </w:rPr>
      </w:pPr>
    </w:p>
    <w:p w14:paraId="15BF94AE" w14:textId="77777777" w:rsidR="00B2442D" w:rsidRDefault="008A645F">
      <w:pPr>
        <w:pStyle w:val="Prrafodelista"/>
        <w:numPr>
          <w:ilvl w:val="0"/>
          <w:numId w:val="12"/>
        </w:numPr>
        <w:ind w:left="426" w:hanging="426"/>
        <w:jc w:val="both"/>
        <w:rPr>
          <w:rFonts w:ascii="Arial" w:hAnsi="Arial" w:cs="Arial"/>
          <w:lang w:val="es-CO"/>
        </w:rPr>
      </w:pPr>
      <w:r>
        <w:rPr>
          <w:rFonts w:ascii="Arial" w:hAnsi="Arial" w:cs="Arial"/>
          <w:lang w:val="es-CO"/>
        </w:rPr>
        <w:t xml:space="preserve">Los productores de bienes exentos a que se refiere el artículo 477 del Estatuto Tributario; </w:t>
      </w:r>
    </w:p>
    <w:p w14:paraId="71B792C7" w14:textId="77777777" w:rsidR="00B2442D" w:rsidRDefault="00B2442D">
      <w:pPr>
        <w:pStyle w:val="Prrafodelista"/>
        <w:ind w:left="426" w:hanging="426"/>
        <w:jc w:val="both"/>
        <w:rPr>
          <w:rFonts w:ascii="Arial" w:hAnsi="Arial" w:cs="Arial"/>
          <w:lang w:val="es-CO"/>
        </w:rPr>
      </w:pPr>
    </w:p>
    <w:p w14:paraId="2A86C5A5" w14:textId="77777777" w:rsidR="00B2442D" w:rsidRDefault="008A645F">
      <w:pPr>
        <w:pStyle w:val="Prrafodelista"/>
        <w:numPr>
          <w:ilvl w:val="0"/>
          <w:numId w:val="12"/>
        </w:numPr>
        <w:ind w:left="426" w:hanging="426"/>
        <w:jc w:val="both"/>
        <w:rPr>
          <w:rFonts w:ascii="Arial" w:hAnsi="Arial" w:cs="Arial"/>
          <w:lang w:val="es-CO"/>
        </w:rPr>
      </w:pPr>
      <w:r>
        <w:rPr>
          <w:rFonts w:ascii="Arial" w:hAnsi="Arial" w:cs="Arial"/>
          <w:lang w:val="es-CO"/>
        </w:rPr>
        <w:t>Los responsables de bienes y servicios de que tratan los artículos 468-1 y 468- 3 del Estatuto Tributario; y</w:t>
      </w:r>
    </w:p>
    <w:p w14:paraId="0F590D68" w14:textId="77777777" w:rsidR="00B2442D" w:rsidRDefault="00B2442D">
      <w:pPr>
        <w:pStyle w:val="Prrafodelista"/>
        <w:ind w:left="426" w:hanging="426"/>
        <w:rPr>
          <w:rFonts w:ascii="Arial" w:hAnsi="Arial" w:cs="Arial"/>
          <w:lang w:val="es-CO"/>
        </w:rPr>
      </w:pPr>
    </w:p>
    <w:p w14:paraId="666406AD" w14:textId="77777777" w:rsidR="00B2442D" w:rsidRDefault="008A645F">
      <w:pPr>
        <w:pStyle w:val="Prrafodelista"/>
        <w:numPr>
          <w:ilvl w:val="0"/>
          <w:numId w:val="12"/>
        </w:numPr>
        <w:ind w:left="426" w:hanging="426"/>
        <w:jc w:val="both"/>
        <w:rPr>
          <w:rFonts w:ascii="Arial" w:hAnsi="Arial" w:cs="Arial"/>
          <w:lang w:val="es-CO"/>
        </w:rPr>
      </w:pPr>
      <w:r>
        <w:rPr>
          <w:rFonts w:ascii="Arial" w:hAnsi="Arial" w:cs="Arial"/>
          <w:lang w:val="es-CO"/>
        </w:rPr>
        <w:t>Los responsables del impuesto sobre las ventas de qu</w:t>
      </w:r>
      <w:r>
        <w:rPr>
          <w:rFonts w:ascii="Arial" w:hAnsi="Arial" w:cs="Arial"/>
          <w:lang w:val="es-CO"/>
        </w:rPr>
        <w:t>e trata el artículo 481 del Estatuto Tributario que ostenten la calidad de operador económico autorizado, de conformidad con el Decreto número 3568 de 2011.</w:t>
      </w:r>
    </w:p>
    <w:p w14:paraId="26610805" w14:textId="77777777" w:rsidR="00B2442D" w:rsidRDefault="00B2442D">
      <w:pPr>
        <w:jc w:val="both"/>
        <w:rPr>
          <w:rFonts w:ascii="Arial" w:hAnsi="Arial" w:cs="Arial"/>
          <w:lang w:val="es-CO"/>
        </w:rPr>
      </w:pPr>
    </w:p>
    <w:p w14:paraId="737D743E" w14:textId="77777777" w:rsidR="00B2442D" w:rsidRDefault="008A645F">
      <w:pPr>
        <w:jc w:val="both"/>
        <w:rPr>
          <w:rFonts w:ascii="Arial" w:hAnsi="Arial" w:cs="Arial"/>
          <w:i/>
          <w:lang w:val="es-CO"/>
        </w:rPr>
      </w:pPr>
      <w:r>
        <w:rPr>
          <w:rFonts w:ascii="Arial" w:hAnsi="Arial" w:cs="Arial"/>
          <w:i/>
          <w:lang w:val="es-CO"/>
        </w:rPr>
        <w:t>(Art. 6, Decreto 2877 de 2013)</w:t>
      </w:r>
    </w:p>
    <w:p w14:paraId="2EE152DB" w14:textId="77777777" w:rsidR="00B2442D" w:rsidRDefault="00B2442D">
      <w:pPr>
        <w:jc w:val="both"/>
        <w:rPr>
          <w:rFonts w:ascii="Arial" w:hAnsi="Arial" w:cs="Arial"/>
          <w:lang w:val="es-CO"/>
        </w:rPr>
      </w:pPr>
    </w:p>
    <w:p w14:paraId="1534576E" w14:textId="77777777" w:rsidR="00B2442D" w:rsidRDefault="008A645F">
      <w:pPr>
        <w:pStyle w:val="Ttulo4"/>
      </w:pPr>
      <w:r>
        <w:t>CAPÍTULO 26</w:t>
      </w:r>
    </w:p>
    <w:p w14:paraId="140ACF76" w14:textId="77777777" w:rsidR="00B2442D" w:rsidRDefault="008A645F">
      <w:pPr>
        <w:pStyle w:val="Ttulo4"/>
      </w:pPr>
      <w:r>
        <w:t>Devolución o compensación del impuesto sobre las venta</w:t>
      </w:r>
      <w:r>
        <w:t>s por la adquisición de materiales de construcción</w:t>
      </w:r>
    </w:p>
    <w:p w14:paraId="7DC593B1" w14:textId="77777777" w:rsidR="00B2442D" w:rsidRDefault="00B2442D">
      <w:pPr>
        <w:jc w:val="both"/>
        <w:rPr>
          <w:rFonts w:ascii="Arial" w:hAnsi="Arial" w:cs="Arial"/>
          <w:lang w:val="es-CO"/>
        </w:rPr>
      </w:pPr>
    </w:p>
    <w:p w14:paraId="1FBFE57D"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Vivienda de interés social y vivienda de interés social prioritaria que da derecho a devolución o compensación del impuesto sobre las ventas por la adquisición de materiales de construcción. </w:t>
      </w:r>
      <w:r>
        <w:rPr>
          <w:rFonts w:ascii="Arial" w:hAnsi="Arial" w:cs="Arial"/>
          <w:lang w:val="es-CO"/>
        </w:rPr>
        <w:t xml:space="preserve">Para efectos </w:t>
      </w:r>
      <w:r>
        <w:rPr>
          <w:rFonts w:ascii="Arial" w:hAnsi="Arial" w:cs="Arial"/>
          <w:lang w:val="es-CO"/>
        </w:rPr>
        <w:t>de la devolución o compensación del impuesto sobre las ventas, IVA, de que trata el parágrafo 2° del artículo 850 del Estatuto Tributario, se considera vivienda de interés social a la unidad habitacional que cumple con los estándares de calidad en diseño u</w:t>
      </w:r>
      <w:r>
        <w:rPr>
          <w:rFonts w:ascii="Arial" w:hAnsi="Arial" w:cs="Arial"/>
          <w:lang w:val="es-CO"/>
        </w:rPr>
        <w:t>rbanístico arquitectónico y de construcción y cuyo valor, de acuerdo con la escritura de venta no exceda de ciento treinta y cinco salarios mínimos mensuales legales vigentes (135 smlmv) y vivienda de interés social prioritaria a la unidad habitacional que</w:t>
      </w:r>
      <w:r>
        <w:rPr>
          <w:rFonts w:ascii="Arial" w:hAnsi="Arial" w:cs="Arial"/>
          <w:lang w:val="es-CO"/>
        </w:rPr>
        <w:t xml:space="preserve"> además de cumplir con las características enunciadas, su valor no exceda de setenta salarios mínimos legales mensuales vigentes (70 smlmv).</w:t>
      </w:r>
    </w:p>
    <w:p w14:paraId="1FD3AD60" w14:textId="77777777" w:rsidR="00B2442D" w:rsidRDefault="00B2442D">
      <w:pPr>
        <w:jc w:val="both"/>
        <w:rPr>
          <w:rFonts w:ascii="Arial" w:hAnsi="Arial" w:cs="Arial"/>
          <w:lang w:val="es-CO"/>
        </w:rPr>
      </w:pPr>
    </w:p>
    <w:p w14:paraId="16AF01DC" w14:textId="77777777" w:rsidR="00B2442D" w:rsidRDefault="008A645F">
      <w:pPr>
        <w:jc w:val="both"/>
        <w:rPr>
          <w:rFonts w:ascii="Arial" w:hAnsi="Arial" w:cs="Arial"/>
          <w:lang w:val="es-CO"/>
        </w:rPr>
      </w:pPr>
      <w:r>
        <w:rPr>
          <w:rFonts w:ascii="Arial" w:hAnsi="Arial" w:cs="Arial"/>
          <w:lang w:val="es-CO"/>
        </w:rPr>
        <w:t>El impuesto sobre las ventas (IVA) pagado en la adquisición de materiales para la construcción de vivienda de inte</w:t>
      </w:r>
      <w:r>
        <w:rPr>
          <w:rFonts w:ascii="Arial" w:hAnsi="Arial" w:cs="Arial"/>
          <w:lang w:val="es-CO"/>
        </w:rPr>
        <w:t>rés social y vivienda de interés social prioritaria dará derecho a devolución o compensación, a los constructores que la desarrollen independientemente de la forma contractual a partir de la cual ejecutaron el proyecto.</w:t>
      </w:r>
    </w:p>
    <w:p w14:paraId="52E7216C" w14:textId="77777777" w:rsidR="00B2442D" w:rsidRDefault="00B2442D">
      <w:pPr>
        <w:jc w:val="both"/>
        <w:rPr>
          <w:rFonts w:ascii="Arial" w:hAnsi="Arial" w:cs="Arial"/>
          <w:lang w:val="es-CO"/>
        </w:rPr>
      </w:pPr>
    </w:p>
    <w:p w14:paraId="07FA1789"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Se entiende que cada </w:t>
      </w:r>
      <w:r>
        <w:rPr>
          <w:rFonts w:ascii="Arial" w:hAnsi="Arial" w:cs="Arial"/>
          <w:lang w:val="es-CO"/>
        </w:rPr>
        <w:t>solución de vivienda de interés social y vivienda de interés social prioritaria, además de los servicios públicos instalados y de los ductos necesarios para un punto de conexión al servicio de internet, también contará con ducha, sanitario, lavamanos, lava</w:t>
      </w:r>
      <w:r>
        <w:rPr>
          <w:rFonts w:ascii="Arial" w:hAnsi="Arial" w:cs="Arial"/>
          <w:lang w:val="es-CO"/>
        </w:rPr>
        <w:t xml:space="preserve">dero, cocina, lavaplatos, puertas, ventanas y vidrios. De igual forma son parte integral de la vivienda las obras de urbanismo ejecutadas por el constructor para garantizar la habitabilidad de las viviendas en los proyectos de vivienda de interés social y </w:t>
      </w:r>
      <w:r>
        <w:rPr>
          <w:rFonts w:ascii="Arial" w:hAnsi="Arial" w:cs="Arial"/>
          <w:lang w:val="es-CO"/>
        </w:rPr>
        <w:t>vivienda de interés social prioritaria. El precio total de la vivienda, así descrito, no podrá exceder el precio máximo señalado en este artículo.</w:t>
      </w:r>
    </w:p>
    <w:p w14:paraId="20659A72" w14:textId="77777777" w:rsidR="00B2442D" w:rsidRDefault="00B2442D">
      <w:pPr>
        <w:jc w:val="both"/>
        <w:rPr>
          <w:rFonts w:ascii="Arial" w:hAnsi="Arial" w:cs="Arial"/>
          <w:lang w:val="es-CO"/>
        </w:rPr>
      </w:pPr>
    </w:p>
    <w:p w14:paraId="74E2B950"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Lo establecido en el presente capítulo aplicará de igual forma para el tipo de vivienda de int</w:t>
      </w:r>
      <w:r>
        <w:rPr>
          <w:rFonts w:ascii="Arial" w:hAnsi="Arial" w:cs="Arial"/>
          <w:lang w:val="es-CO"/>
        </w:rPr>
        <w:t>erés social que se defina de acuerdo con lo establecido en el parágrafo 2° del artículo 117 de la Ley 1450 de 2011 (Hoy artículo 90 de la Ley 1753 de 2015) o aquella que lo reglamente, adicione o modifique.</w:t>
      </w:r>
    </w:p>
    <w:p w14:paraId="38EC3137" w14:textId="77777777" w:rsidR="00B2442D" w:rsidRDefault="00B2442D">
      <w:pPr>
        <w:jc w:val="both"/>
        <w:rPr>
          <w:rFonts w:ascii="Arial" w:hAnsi="Arial" w:cs="Arial"/>
          <w:lang w:val="es-CO"/>
        </w:rPr>
      </w:pPr>
    </w:p>
    <w:p w14:paraId="5828EE42"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Lo establecido en este capítulo ap</w:t>
      </w:r>
      <w:r>
        <w:rPr>
          <w:rFonts w:ascii="Arial" w:hAnsi="Arial" w:cs="Arial"/>
          <w:lang w:val="es-CO"/>
        </w:rPr>
        <w:t>licará de igual forma para las Viviendas de Interés Prioritario (VIP) de que trata el Decreto 1077 de 2015 o la norma que lo modifique, adicione o sustituya.</w:t>
      </w:r>
    </w:p>
    <w:p w14:paraId="35494DAB" w14:textId="77777777" w:rsidR="00B2442D" w:rsidRDefault="00B2442D">
      <w:pPr>
        <w:jc w:val="both"/>
        <w:rPr>
          <w:rFonts w:ascii="Arial" w:hAnsi="Arial" w:cs="Arial"/>
          <w:lang w:val="es-CO"/>
        </w:rPr>
      </w:pPr>
    </w:p>
    <w:p w14:paraId="58355DFB" w14:textId="77777777" w:rsidR="00B2442D" w:rsidRDefault="008A645F">
      <w:pPr>
        <w:jc w:val="both"/>
        <w:rPr>
          <w:rFonts w:ascii="Arial" w:hAnsi="Arial" w:cs="Arial"/>
          <w:lang w:val="es-CO"/>
        </w:rPr>
      </w:pPr>
      <w:r>
        <w:rPr>
          <w:rFonts w:ascii="Arial" w:hAnsi="Arial" w:cs="Arial"/>
          <w:b/>
          <w:lang w:val="es-CO"/>
        </w:rPr>
        <w:t>Parágrafo 4o.</w:t>
      </w:r>
      <w:r>
        <w:rPr>
          <w:rFonts w:ascii="Arial" w:hAnsi="Arial" w:cs="Arial"/>
          <w:lang w:val="es-CO"/>
        </w:rPr>
        <w:t xml:space="preserve"> Cuando las soluciones de vivienda de interés social y vivienda de interés social prioritaria se constituyan como propiedad horizontal según lo definido en la Ley 675 de 2001 o la norma que la modifique o sustituya, a los materiales utilizados en la constr</w:t>
      </w:r>
      <w:r>
        <w:rPr>
          <w:rFonts w:ascii="Arial" w:hAnsi="Arial" w:cs="Arial"/>
          <w:lang w:val="es-CO"/>
        </w:rPr>
        <w:t>ucción de bienes comunes se les aplicará la devolución de que trata el presente capítulo.</w:t>
      </w:r>
    </w:p>
    <w:p w14:paraId="12633D41" w14:textId="77777777" w:rsidR="00B2442D" w:rsidRDefault="00B2442D">
      <w:pPr>
        <w:jc w:val="both"/>
        <w:rPr>
          <w:rFonts w:ascii="Arial" w:hAnsi="Arial" w:cs="Arial"/>
          <w:lang w:val="es-CO"/>
        </w:rPr>
      </w:pPr>
    </w:p>
    <w:p w14:paraId="04319CA4" w14:textId="77777777" w:rsidR="00B2442D" w:rsidRDefault="008A645F">
      <w:pPr>
        <w:jc w:val="both"/>
        <w:rPr>
          <w:rFonts w:ascii="Arial" w:hAnsi="Arial" w:cs="Arial"/>
          <w:lang w:val="es-CO"/>
        </w:rPr>
      </w:pPr>
      <w:r>
        <w:rPr>
          <w:rFonts w:ascii="Arial" w:hAnsi="Arial" w:cs="Arial"/>
          <w:lang w:val="es-CO"/>
        </w:rPr>
        <w:t xml:space="preserve">En todo caso no procederá la devolución para los materiales de construcción utilizados en propiedad horizontal cuyo uso o destino final sea diferente a </w:t>
      </w:r>
      <w:r>
        <w:rPr>
          <w:rFonts w:ascii="Arial" w:hAnsi="Arial" w:cs="Arial"/>
          <w:lang w:val="es-CO"/>
        </w:rPr>
        <w:t>vivienda de interés social y vivienda de interés social prioritaria beneficiaría de este tratamiento.</w:t>
      </w:r>
    </w:p>
    <w:p w14:paraId="7E52F1A0" w14:textId="77777777" w:rsidR="00B2442D" w:rsidRDefault="00B2442D">
      <w:pPr>
        <w:jc w:val="both"/>
        <w:rPr>
          <w:rFonts w:ascii="Arial" w:hAnsi="Arial" w:cs="Arial"/>
          <w:lang w:val="es-CO"/>
        </w:rPr>
      </w:pPr>
    </w:p>
    <w:p w14:paraId="4F0C9437" w14:textId="77777777" w:rsidR="00B2442D" w:rsidRDefault="008A645F">
      <w:pPr>
        <w:jc w:val="both"/>
        <w:rPr>
          <w:rFonts w:ascii="Arial" w:hAnsi="Arial" w:cs="Arial"/>
          <w:i/>
          <w:lang w:val="es-CO"/>
        </w:rPr>
      </w:pPr>
      <w:r>
        <w:rPr>
          <w:rFonts w:ascii="Arial" w:hAnsi="Arial" w:cs="Arial"/>
          <w:i/>
          <w:lang w:val="es-CO"/>
        </w:rPr>
        <w:t>(Art. 1, Decreto 2924 de 2013)</w:t>
      </w:r>
    </w:p>
    <w:p w14:paraId="309EDD05" w14:textId="77777777" w:rsidR="00B2442D" w:rsidRDefault="00B2442D">
      <w:pPr>
        <w:jc w:val="both"/>
        <w:rPr>
          <w:rFonts w:ascii="Arial" w:hAnsi="Arial" w:cs="Arial"/>
          <w:lang w:val="es-CO"/>
        </w:rPr>
      </w:pPr>
    </w:p>
    <w:p w14:paraId="5991D6E4"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Requisitos de la contabilidad.</w:t>
      </w:r>
      <w:r>
        <w:rPr>
          <w:rFonts w:ascii="Arial" w:hAnsi="Arial" w:cs="Arial"/>
          <w:lang w:val="es-CO"/>
        </w:rPr>
        <w:t xml:space="preserve"> Los constructores de vivienda de interés social y vivienda de interés social prioritaria,</w:t>
      </w:r>
      <w:r>
        <w:rPr>
          <w:rFonts w:ascii="Arial" w:hAnsi="Arial" w:cs="Arial"/>
          <w:lang w:val="es-CO"/>
        </w:rPr>
        <w:t xml:space="preserve"> deberán cumplir con los siguientes requisitos:</w:t>
      </w:r>
    </w:p>
    <w:p w14:paraId="4AEDCD02" w14:textId="77777777" w:rsidR="00B2442D" w:rsidRDefault="00B2442D">
      <w:pPr>
        <w:jc w:val="both"/>
        <w:rPr>
          <w:rFonts w:ascii="Arial" w:hAnsi="Arial" w:cs="Arial"/>
          <w:lang w:val="es-CO"/>
        </w:rPr>
      </w:pPr>
    </w:p>
    <w:p w14:paraId="1FDE99F3"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Identificar en su contabilidad y en sus estados financieros en forma clara, el monto del IVA correspondiente a cada etapa de los proyectos desarrollados.</w:t>
      </w:r>
    </w:p>
    <w:p w14:paraId="39C4B90C" w14:textId="77777777" w:rsidR="00B2442D" w:rsidRDefault="00B2442D">
      <w:pPr>
        <w:ind w:left="284" w:hanging="284"/>
        <w:jc w:val="both"/>
        <w:rPr>
          <w:rFonts w:ascii="Arial" w:hAnsi="Arial" w:cs="Arial"/>
          <w:lang w:val="es-CO"/>
        </w:rPr>
      </w:pPr>
    </w:p>
    <w:p w14:paraId="4AFBDCEC"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Elaborar, por cada centro de costos de cada un</w:t>
      </w:r>
      <w:r>
        <w:rPr>
          <w:rFonts w:ascii="Arial" w:hAnsi="Arial" w:cs="Arial"/>
          <w:lang w:val="es-CO"/>
        </w:rPr>
        <w:t xml:space="preserve">o de los proyectos de vivienda social y vivienda social prioritaria, que se desarrollen, un presupuesto de costos de obra por capítulos, subcapítulos e ítems, en el que se refleje la cantidad y el valor de los materiales que destinen al proyecto, en forma </w:t>
      </w:r>
      <w:r>
        <w:rPr>
          <w:rFonts w:ascii="Arial" w:hAnsi="Arial" w:cs="Arial"/>
          <w:lang w:val="es-CO"/>
        </w:rPr>
        <w:t>separada de los que destinen a otras actividades o proyectos, así como la información que permita verificar el cumplimiento de los requisitos establecidos en este decreto. En proyectos que se desarrollen por etapas de construcción será necesario llevar cen</w:t>
      </w:r>
      <w:r>
        <w:rPr>
          <w:rFonts w:ascii="Arial" w:hAnsi="Arial" w:cs="Arial"/>
          <w:lang w:val="es-CO"/>
        </w:rPr>
        <w:t>tros de costos por cada una de dichas etapas.</w:t>
      </w:r>
    </w:p>
    <w:p w14:paraId="3B57223A" w14:textId="77777777" w:rsidR="00B2442D" w:rsidRDefault="00B2442D">
      <w:pPr>
        <w:ind w:left="284" w:hanging="284"/>
        <w:jc w:val="both"/>
        <w:rPr>
          <w:rFonts w:ascii="Arial" w:hAnsi="Arial" w:cs="Arial"/>
          <w:lang w:val="es-CO"/>
        </w:rPr>
      </w:pPr>
    </w:p>
    <w:p w14:paraId="18C8D268"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Llevar en una cuenta transitoria el IVA cancelado en la adquisición de materiales de construcción de vivienda de interés social y vivienda de interés social prioritaria, el cual se trasladará a una cuenta d</w:t>
      </w:r>
      <w:r>
        <w:rPr>
          <w:rFonts w:ascii="Arial" w:hAnsi="Arial" w:cs="Arial"/>
          <w:lang w:val="es-CO"/>
        </w:rPr>
        <w:t>e Impuesto a las Ventas por Cobrar en la parte que corresponda a cada unidad del proyecto que se encuentre ejecutada o construida y cumplan con lo establecido en el artículo 31 de la Resolución número 019 de 2011 del Ministerio de Ambiente, Vivienda y Desa</w:t>
      </w:r>
      <w:r>
        <w:rPr>
          <w:rFonts w:ascii="Arial" w:hAnsi="Arial" w:cs="Arial"/>
          <w:lang w:val="es-CO"/>
        </w:rPr>
        <w:t>rrollo Territorial, o las normas que lo modifiquen, adicionen o sustituyan.</w:t>
      </w:r>
    </w:p>
    <w:p w14:paraId="6B3C9042" w14:textId="77777777" w:rsidR="00B2442D" w:rsidRDefault="00B2442D">
      <w:pPr>
        <w:ind w:left="284" w:hanging="284"/>
        <w:jc w:val="both"/>
        <w:rPr>
          <w:rFonts w:ascii="Arial" w:hAnsi="Arial" w:cs="Arial"/>
          <w:lang w:val="es-CO"/>
        </w:rPr>
      </w:pPr>
    </w:p>
    <w:p w14:paraId="0D7721D3" w14:textId="77777777" w:rsidR="00B2442D" w:rsidRDefault="008A645F">
      <w:pPr>
        <w:ind w:left="284" w:hanging="284"/>
        <w:jc w:val="both"/>
        <w:rPr>
          <w:rFonts w:ascii="Arial" w:hAnsi="Arial" w:cs="Arial"/>
          <w:lang w:val="es-CO"/>
        </w:rPr>
      </w:pPr>
      <w:r>
        <w:rPr>
          <w:rFonts w:ascii="Arial" w:hAnsi="Arial" w:cs="Arial"/>
          <w:lang w:val="es-CO"/>
        </w:rPr>
        <w:t>Para tal efecto, es necesario llevar por centros de costos el valor del IVA cancelado en la adquisición de materiales de construcción de vivienda de interés social y vivienda de i</w:t>
      </w:r>
      <w:r>
        <w:rPr>
          <w:rFonts w:ascii="Arial" w:hAnsi="Arial" w:cs="Arial"/>
          <w:lang w:val="es-CO"/>
        </w:rPr>
        <w:t>nterés social prioritaria, objeto de la solicitud de devolución o compensación.</w:t>
      </w:r>
    </w:p>
    <w:p w14:paraId="2E595A38" w14:textId="77777777" w:rsidR="00B2442D" w:rsidRDefault="00B2442D">
      <w:pPr>
        <w:ind w:left="284" w:hanging="284"/>
        <w:jc w:val="both"/>
        <w:rPr>
          <w:rFonts w:ascii="Arial" w:hAnsi="Arial" w:cs="Arial"/>
          <w:lang w:val="es-CO"/>
        </w:rPr>
      </w:pPr>
    </w:p>
    <w:p w14:paraId="34E6E385"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El IVA que corresponda a materiales de proyectos diferentes de los de vivienda de interés social y vivienda de interés social prioritaria, será tratado como factor de costo</w:t>
      </w:r>
      <w:r>
        <w:rPr>
          <w:rFonts w:ascii="Arial" w:hAnsi="Arial" w:cs="Arial"/>
          <w:lang w:val="es-CO"/>
        </w:rPr>
        <w:t xml:space="preserve"> en el respectivo centro de costos, sin que pueda afectar el IVA de vivienda de interés social y vivienda de interés social prioritaria que será solicitado en compensación o devolución.</w:t>
      </w:r>
    </w:p>
    <w:p w14:paraId="18B3429B" w14:textId="77777777" w:rsidR="00B2442D" w:rsidRDefault="00B2442D">
      <w:pPr>
        <w:ind w:left="284" w:hanging="284"/>
        <w:jc w:val="both"/>
        <w:rPr>
          <w:rFonts w:ascii="Arial" w:hAnsi="Arial" w:cs="Arial"/>
          <w:lang w:val="es-CO"/>
        </w:rPr>
      </w:pPr>
    </w:p>
    <w:p w14:paraId="300EED41" w14:textId="77777777" w:rsidR="00B2442D" w:rsidRDefault="008A645F">
      <w:pPr>
        <w:ind w:left="284" w:hanging="284"/>
        <w:jc w:val="both"/>
        <w:rPr>
          <w:rFonts w:ascii="Arial" w:hAnsi="Arial" w:cs="Arial"/>
          <w:lang w:val="es-CO"/>
        </w:rPr>
      </w:pPr>
      <w:r>
        <w:rPr>
          <w:rFonts w:ascii="Arial" w:hAnsi="Arial" w:cs="Arial"/>
          <w:lang w:val="es-CO"/>
        </w:rPr>
        <w:t>5.</w:t>
      </w:r>
      <w:r>
        <w:rPr>
          <w:rFonts w:ascii="Arial" w:hAnsi="Arial" w:cs="Arial"/>
          <w:lang w:val="es-CO"/>
        </w:rPr>
        <w:tab/>
        <w:t>Cuando el IVA pagado en la adquisición de materiales de construcci</w:t>
      </w:r>
      <w:r>
        <w:rPr>
          <w:rFonts w:ascii="Arial" w:hAnsi="Arial" w:cs="Arial"/>
          <w:lang w:val="es-CO"/>
        </w:rPr>
        <w:t>ón de la vivienda de interés social y vivienda de interés social prioritaria, exceda el porcentaje a que se refiere el parágrafo 2° del artículo 850 del Estatuto Tributario, dicho exceso deberá registrarse como factor de costo en el respectivo centro de co</w:t>
      </w:r>
      <w:r>
        <w:rPr>
          <w:rFonts w:ascii="Arial" w:hAnsi="Arial" w:cs="Arial"/>
          <w:lang w:val="es-CO"/>
        </w:rPr>
        <w:t>stos y en ningún caso afectará el IVA que sea solicitado como devolución o compensación.</w:t>
      </w:r>
    </w:p>
    <w:p w14:paraId="47B0B240" w14:textId="77777777" w:rsidR="00B2442D" w:rsidRDefault="00B2442D">
      <w:pPr>
        <w:ind w:left="284" w:hanging="284"/>
        <w:jc w:val="both"/>
        <w:rPr>
          <w:rFonts w:ascii="Arial" w:hAnsi="Arial" w:cs="Arial"/>
          <w:lang w:val="es-CO"/>
        </w:rPr>
      </w:pPr>
    </w:p>
    <w:p w14:paraId="60B320B5" w14:textId="77777777" w:rsidR="00B2442D" w:rsidRDefault="008A645F">
      <w:pPr>
        <w:ind w:left="284" w:hanging="284"/>
        <w:jc w:val="both"/>
        <w:rPr>
          <w:rFonts w:ascii="Arial" w:hAnsi="Arial" w:cs="Arial"/>
          <w:lang w:val="es-CO"/>
        </w:rPr>
      </w:pPr>
      <w:r>
        <w:rPr>
          <w:rFonts w:ascii="Arial" w:hAnsi="Arial" w:cs="Arial"/>
          <w:lang w:val="es-CO"/>
        </w:rPr>
        <w:t>6.</w:t>
      </w:r>
      <w:r>
        <w:rPr>
          <w:rFonts w:ascii="Arial" w:hAnsi="Arial" w:cs="Arial"/>
          <w:lang w:val="es-CO"/>
        </w:rPr>
        <w:tab/>
        <w:t xml:space="preserve">Las facturas o documentos equivalentes que, de conformidad con el artículo 123 del Decreto número 2649 de 1993, sirvan de soporte a los registros contables, deben </w:t>
      </w:r>
      <w:r>
        <w:rPr>
          <w:rFonts w:ascii="Arial" w:hAnsi="Arial" w:cs="Arial"/>
          <w:lang w:val="es-CO"/>
        </w:rPr>
        <w:t>satisfacer los requisitos señalados en los artículos 617, 618 y 771-2 del Estatuto Tributario, y discriminar en todos los casos el IVA correspondiente a la transacción.</w:t>
      </w:r>
    </w:p>
    <w:p w14:paraId="52FAA954" w14:textId="77777777" w:rsidR="00B2442D" w:rsidRDefault="00B2442D">
      <w:pPr>
        <w:jc w:val="both"/>
        <w:rPr>
          <w:rFonts w:ascii="Arial" w:hAnsi="Arial" w:cs="Arial"/>
          <w:lang w:val="es-CO"/>
        </w:rPr>
      </w:pPr>
    </w:p>
    <w:p w14:paraId="753ED2BB"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Para los efectos contemplados en este capítulo, se consideran materiales</w:t>
      </w:r>
      <w:r>
        <w:rPr>
          <w:rFonts w:ascii="Arial" w:hAnsi="Arial" w:cs="Arial"/>
          <w:lang w:val="es-CO"/>
        </w:rPr>
        <w:t xml:space="preserve"> de construcción todos aquellos bienes corporales muebles utilizados directamente en la construcción del proyecto de vivienda de interés social y vivienda de interés social prioritaria, de acuerdo con lo señalado en el </w:t>
      </w:r>
      <w:r>
        <w:rPr>
          <w:rFonts w:ascii="Arial" w:hAnsi="Arial" w:cs="Arial"/>
          <w:shd w:val="clear" w:color="auto" w:fill="FFFFFF" w:themeFill="background1"/>
          <w:lang w:val="es-CO"/>
        </w:rPr>
        <w:t>artículo 1.6.1.26.1 del presente Decr</w:t>
      </w:r>
      <w:r>
        <w:rPr>
          <w:rFonts w:ascii="Arial" w:hAnsi="Arial" w:cs="Arial"/>
          <w:shd w:val="clear" w:color="auto" w:fill="FFFFFF" w:themeFill="background1"/>
          <w:lang w:val="es-CO"/>
        </w:rPr>
        <w:t>eto</w:t>
      </w:r>
      <w:r>
        <w:rPr>
          <w:rFonts w:ascii="Arial" w:hAnsi="Arial" w:cs="Arial"/>
          <w:lang w:val="es-CO"/>
        </w:rPr>
        <w:t>.</w:t>
      </w:r>
    </w:p>
    <w:p w14:paraId="06273A43" w14:textId="77777777" w:rsidR="00B2442D" w:rsidRDefault="00B2442D">
      <w:pPr>
        <w:jc w:val="both"/>
        <w:rPr>
          <w:rFonts w:ascii="Arial" w:hAnsi="Arial" w:cs="Arial"/>
          <w:lang w:val="es-CO"/>
        </w:rPr>
      </w:pPr>
    </w:p>
    <w:p w14:paraId="29F2C63A"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constructores como titulares del derecho a la devolución o compensación del IVA de que trata este capítulo, podrán desarrollar la construcción de los proyectos de vivienda de interés social y vivienda de interés social prioritaria e</w:t>
      </w:r>
      <w:r>
        <w:rPr>
          <w:rFonts w:ascii="Arial" w:hAnsi="Arial" w:cs="Arial"/>
          <w:lang w:val="es-CO"/>
        </w:rPr>
        <w:t>n forma directa, o mediante subcontratos de construcción, o por el sistema de autoconstrucción. En todo caso, ellos serán los únicos responsables ante la Administración Tributaria por el cumplimiento de los requisitos señalados en este decreto para la proc</w:t>
      </w:r>
      <w:r>
        <w:rPr>
          <w:rFonts w:ascii="Arial" w:hAnsi="Arial" w:cs="Arial"/>
          <w:lang w:val="es-CO"/>
        </w:rPr>
        <w:t>edencia de la devolución o compensación.</w:t>
      </w:r>
    </w:p>
    <w:p w14:paraId="61AB6726" w14:textId="77777777" w:rsidR="00B2442D" w:rsidRDefault="00B2442D">
      <w:pPr>
        <w:jc w:val="both"/>
        <w:rPr>
          <w:rFonts w:ascii="Arial" w:hAnsi="Arial" w:cs="Arial"/>
          <w:lang w:val="es-CO"/>
        </w:rPr>
      </w:pPr>
    </w:p>
    <w:p w14:paraId="07A112F8"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Cuando los proyectos de vivienda de interés social y vivienda de interés social prioritaria, se desarrollen por el sistema de autoconstrucción, para que proceda la devolución o compensación del impuesto sobre las ventas, previamente deberá haberse expedid</w:t>
      </w:r>
      <w:r>
        <w:rPr>
          <w:rFonts w:ascii="Arial" w:hAnsi="Arial" w:cs="Arial"/>
          <w:lang w:val="es-CO"/>
        </w:rPr>
        <w:t>o por parte de la autoridad competente licencia de construcción, además, se requiere que los mismos sean adelantados bajo la responsabilidad de una entidad vigilada, como una cooperativa, una entidad sin ánimo de lucro, u otra entidad que figure como titul</w:t>
      </w:r>
      <w:r>
        <w:rPr>
          <w:rFonts w:ascii="Arial" w:hAnsi="Arial" w:cs="Arial"/>
          <w:lang w:val="es-CO"/>
        </w:rPr>
        <w:t>ar del proyecto y satisfaga los requisitos señalados en este capítulo. En este evento, las facturas de compra de los materiales utilizados deberán estar expedidas a nombre de dicha entidad.</w:t>
      </w:r>
    </w:p>
    <w:p w14:paraId="496178BA" w14:textId="77777777" w:rsidR="00B2442D" w:rsidRDefault="00B2442D">
      <w:pPr>
        <w:jc w:val="both"/>
        <w:rPr>
          <w:rFonts w:ascii="Arial" w:hAnsi="Arial" w:cs="Arial"/>
          <w:lang w:val="es-CO"/>
        </w:rPr>
      </w:pPr>
    </w:p>
    <w:p w14:paraId="3B616019" w14:textId="77777777" w:rsidR="00B2442D" w:rsidRDefault="008A645F">
      <w:pPr>
        <w:jc w:val="both"/>
        <w:rPr>
          <w:rFonts w:ascii="Arial" w:hAnsi="Arial" w:cs="Arial"/>
          <w:i/>
          <w:lang w:val="es-CO"/>
        </w:rPr>
      </w:pPr>
      <w:r>
        <w:rPr>
          <w:rFonts w:ascii="Arial" w:hAnsi="Arial" w:cs="Arial"/>
          <w:i/>
          <w:lang w:val="es-CO"/>
        </w:rPr>
        <w:t>(Art. 2, Decreto 2924 de 2013)</w:t>
      </w:r>
    </w:p>
    <w:p w14:paraId="21B06178" w14:textId="77777777" w:rsidR="00B2442D" w:rsidRDefault="00B2442D">
      <w:pPr>
        <w:jc w:val="both"/>
        <w:rPr>
          <w:rFonts w:ascii="Arial" w:hAnsi="Arial" w:cs="Arial"/>
          <w:lang w:val="es-CO"/>
        </w:rPr>
      </w:pPr>
    </w:p>
    <w:p w14:paraId="06980FE4"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Solicitud de devolución o compen</w:t>
      </w:r>
      <w:r>
        <w:rPr>
          <w:rFonts w:ascii="Arial" w:hAnsi="Arial" w:cs="Arial"/>
          <w:b/>
          <w:i/>
          <w:lang w:val="es-CO"/>
        </w:rPr>
        <w:t>sación.</w:t>
      </w:r>
      <w:r>
        <w:rPr>
          <w:rFonts w:ascii="Arial" w:hAnsi="Arial" w:cs="Arial"/>
          <w:lang w:val="es-CO"/>
        </w:rPr>
        <w:t xml:space="preserve"> Los solicitantes de devolución o compensación conforme con lo establecido en el parágrafo 2° del artículo 850 del Estatuto Tributario, responsables o no responsables del impuesto sobre las ventas, deberán presentar la solicitud ante la dependencia </w:t>
      </w:r>
      <w:r>
        <w:rPr>
          <w:rFonts w:ascii="Arial" w:hAnsi="Arial" w:cs="Arial"/>
          <w:lang w:val="es-CO"/>
        </w:rPr>
        <w:t>competente de la Dirección Seccional con jurisdicción en el domicilio social registrado en el RUT de la entidad solicitante, aunque desarrollen los proyectos en diferentes municipios del país, caso en el cual deberán consolidar la respectiva documentación.</w:t>
      </w:r>
    </w:p>
    <w:p w14:paraId="12A64265" w14:textId="77777777" w:rsidR="00B2442D" w:rsidRDefault="00B2442D">
      <w:pPr>
        <w:jc w:val="both"/>
        <w:rPr>
          <w:rFonts w:ascii="Arial" w:hAnsi="Arial" w:cs="Arial"/>
          <w:lang w:val="es-CO"/>
        </w:rPr>
      </w:pPr>
    </w:p>
    <w:p w14:paraId="0F4DE8BF" w14:textId="77777777" w:rsidR="00B2442D" w:rsidRDefault="008A645F">
      <w:pPr>
        <w:jc w:val="both"/>
        <w:rPr>
          <w:rFonts w:ascii="Arial" w:hAnsi="Arial" w:cs="Arial"/>
          <w:lang w:val="es-CO"/>
        </w:rPr>
      </w:pPr>
      <w:r>
        <w:rPr>
          <w:rFonts w:ascii="Arial" w:hAnsi="Arial" w:cs="Arial"/>
          <w:lang w:val="es-CO"/>
        </w:rPr>
        <w:t>La solicitud deberá presentarse, con respecto a cada unidad de obra terminada y enajenada, dentro de los dos (2) bimestres siguientes a la fecha de registro de la escritura pública de venta de dicha unidad o asignación de las viviendas a título de subsid</w:t>
      </w:r>
      <w:r>
        <w:rPr>
          <w:rFonts w:ascii="Arial" w:hAnsi="Arial" w:cs="Arial"/>
          <w:lang w:val="es-CO"/>
        </w:rPr>
        <w:t>io en especie y en todo caso, a más tardar dentro de los dos (2) años siguientes a la terminación total del proyecto de construcción de vivienda de interés social y vivienda de interés social prioritaria.</w:t>
      </w:r>
    </w:p>
    <w:p w14:paraId="3AE6A8E0" w14:textId="77777777" w:rsidR="00B2442D" w:rsidRDefault="00B2442D">
      <w:pPr>
        <w:jc w:val="both"/>
        <w:rPr>
          <w:rFonts w:ascii="Arial" w:hAnsi="Arial" w:cs="Arial"/>
          <w:lang w:val="es-CO"/>
        </w:rPr>
      </w:pPr>
    </w:p>
    <w:p w14:paraId="3DE969C6" w14:textId="77777777" w:rsidR="00B2442D" w:rsidRDefault="008A645F">
      <w:pPr>
        <w:jc w:val="both"/>
        <w:rPr>
          <w:rFonts w:ascii="Arial" w:hAnsi="Arial" w:cs="Arial"/>
          <w:lang w:val="es-CO"/>
        </w:rPr>
      </w:pPr>
      <w:r>
        <w:rPr>
          <w:rFonts w:ascii="Arial" w:hAnsi="Arial" w:cs="Arial"/>
          <w:lang w:val="es-CO"/>
        </w:rPr>
        <w:t>En el evento que dentro de estos dos (2) años no s</w:t>
      </w:r>
      <w:r>
        <w:rPr>
          <w:rFonts w:ascii="Arial" w:hAnsi="Arial" w:cs="Arial"/>
          <w:lang w:val="es-CO"/>
        </w:rPr>
        <w:t>e haya podido suscribir la escritura de venta de dicha unidad o no se haya podido hacer la asignación de las viviendas a título de subsidio en especie de las unidades de vivienda construidas, la entidad deberá solicitar al Director Seccional de Impuestos o</w:t>
      </w:r>
      <w:r>
        <w:rPr>
          <w:rFonts w:ascii="Arial" w:hAnsi="Arial" w:cs="Arial"/>
          <w:lang w:val="es-CO"/>
        </w:rPr>
        <w:t xml:space="preserve"> de Impuestos y Aduanas de su domicilio una prórroga, con dos (2) meses de anterioridad al vencimiento de los dos (2) años y con la comprobación del hecho. El Director Seccional competente, dentro del mes siguiente concederá la prórroga hasta por seis (6) </w:t>
      </w:r>
      <w:r>
        <w:rPr>
          <w:rFonts w:ascii="Arial" w:hAnsi="Arial" w:cs="Arial"/>
          <w:lang w:val="es-CO"/>
        </w:rPr>
        <w:t>meses, si encuentra fundados los hechos aducidos en la solicitud.</w:t>
      </w:r>
    </w:p>
    <w:p w14:paraId="3E8BA6F3" w14:textId="77777777" w:rsidR="00B2442D" w:rsidRDefault="00B2442D">
      <w:pPr>
        <w:jc w:val="both"/>
        <w:rPr>
          <w:rFonts w:ascii="Arial" w:hAnsi="Arial" w:cs="Arial"/>
          <w:lang w:val="es-CO"/>
        </w:rPr>
      </w:pPr>
    </w:p>
    <w:p w14:paraId="0E907FD6" w14:textId="77777777" w:rsidR="00B2442D" w:rsidRDefault="008A645F">
      <w:pPr>
        <w:jc w:val="both"/>
        <w:rPr>
          <w:rFonts w:ascii="Arial" w:hAnsi="Arial" w:cs="Arial"/>
          <w:lang w:val="es-CO"/>
        </w:rPr>
      </w:pPr>
      <w:r>
        <w:rPr>
          <w:rFonts w:ascii="Arial" w:hAnsi="Arial" w:cs="Arial"/>
          <w:lang w:val="es-CO"/>
        </w:rPr>
        <w:t>Para el efecto aquí previsto, la certificación de terminación del proyecto de construcción o de liquidación de cada unidad, será expedida por el representante legal de la constructora.</w:t>
      </w:r>
    </w:p>
    <w:p w14:paraId="5884FA20" w14:textId="77777777" w:rsidR="00B2442D" w:rsidRDefault="00B2442D">
      <w:pPr>
        <w:jc w:val="both"/>
        <w:rPr>
          <w:rFonts w:ascii="Arial" w:hAnsi="Arial" w:cs="Arial"/>
          <w:lang w:val="es-CO"/>
        </w:rPr>
      </w:pPr>
    </w:p>
    <w:p w14:paraId="007C7F1C" w14:textId="77777777" w:rsidR="00B2442D" w:rsidRDefault="008A645F">
      <w:pPr>
        <w:jc w:val="both"/>
        <w:rPr>
          <w:rFonts w:ascii="Arial" w:hAnsi="Arial" w:cs="Arial"/>
          <w:lang w:val="es-CO"/>
        </w:rPr>
      </w:pPr>
      <w:r>
        <w:rPr>
          <w:rFonts w:ascii="Arial" w:hAnsi="Arial" w:cs="Arial"/>
          <w:lang w:val="es-CO"/>
        </w:rPr>
        <w:t>Las</w:t>
      </w:r>
      <w:r>
        <w:rPr>
          <w:rFonts w:ascii="Arial" w:hAnsi="Arial" w:cs="Arial"/>
          <w:lang w:val="es-CO"/>
        </w:rPr>
        <w:t xml:space="preserve"> facturas base para la solicitud de devolución o compensación del IVA deberán cumplir los requisitos de que trata el artículo 617 del Estatuto Tributario y demás normas concordantes y el monto de la devolución o compensación correspondiente al proyecto tot</w:t>
      </w:r>
      <w:r>
        <w:rPr>
          <w:rFonts w:ascii="Arial" w:hAnsi="Arial" w:cs="Arial"/>
          <w:lang w:val="es-CO"/>
        </w:rPr>
        <w:t>al no podrá exceder del cuatro por ciento (4%) del valor de la vivienda nueva.</w:t>
      </w:r>
    </w:p>
    <w:p w14:paraId="432514B6" w14:textId="77777777" w:rsidR="00B2442D" w:rsidRDefault="00B2442D">
      <w:pPr>
        <w:jc w:val="both"/>
        <w:rPr>
          <w:rFonts w:ascii="Arial" w:hAnsi="Arial" w:cs="Arial"/>
          <w:lang w:val="es-CO"/>
        </w:rPr>
      </w:pPr>
    </w:p>
    <w:p w14:paraId="00986529" w14:textId="77777777" w:rsidR="00B2442D" w:rsidRDefault="008A645F">
      <w:pPr>
        <w:jc w:val="both"/>
        <w:rPr>
          <w:rFonts w:ascii="Arial" w:hAnsi="Arial" w:cs="Arial"/>
          <w:lang w:val="es-CO"/>
        </w:rPr>
      </w:pPr>
      <w:r>
        <w:rPr>
          <w:rFonts w:ascii="Arial" w:hAnsi="Arial" w:cs="Arial"/>
          <w:lang w:val="es-CO"/>
        </w:rPr>
        <w:t>El revisor fiscal o contador público titulado, según el caso, certificarán el cumplimiento de todos los requisitos para la procedencia de la solicitud.</w:t>
      </w:r>
    </w:p>
    <w:p w14:paraId="716D8911" w14:textId="77777777" w:rsidR="00B2442D" w:rsidRDefault="00B2442D">
      <w:pPr>
        <w:jc w:val="both"/>
        <w:rPr>
          <w:rFonts w:ascii="Arial" w:hAnsi="Arial" w:cs="Arial"/>
          <w:lang w:val="es-CO"/>
        </w:rPr>
      </w:pPr>
    </w:p>
    <w:p w14:paraId="123053B5" w14:textId="77777777" w:rsidR="00B2442D" w:rsidRDefault="008A645F">
      <w:pPr>
        <w:jc w:val="both"/>
        <w:rPr>
          <w:rFonts w:ascii="Arial" w:hAnsi="Arial" w:cs="Arial"/>
          <w:i/>
          <w:lang w:val="es-CO"/>
        </w:rPr>
      </w:pPr>
      <w:r>
        <w:rPr>
          <w:rFonts w:ascii="Arial" w:hAnsi="Arial" w:cs="Arial"/>
          <w:i/>
          <w:lang w:val="es-CO"/>
        </w:rPr>
        <w:t>(Art. 3, Decreto 2924 d</w:t>
      </w:r>
      <w:r>
        <w:rPr>
          <w:rFonts w:ascii="Arial" w:hAnsi="Arial" w:cs="Arial"/>
          <w:i/>
          <w:lang w:val="es-CO"/>
        </w:rPr>
        <w:t>e 2013)</w:t>
      </w:r>
    </w:p>
    <w:p w14:paraId="6307EF70" w14:textId="77777777" w:rsidR="00B2442D" w:rsidRDefault="00B2442D">
      <w:pPr>
        <w:jc w:val="both"/>
        <w:rPr>
          <w:rFonts w:ascii="Arial" w:hAnsi="Arial" w:cs="Arial"/>
          <w:lang w:val="es-CO"/>
        </w:rPr>
      </w:pPr>
    </w:p>
    <w:p w14:paraId="42798DBB"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Registro del proyecto ante la Unidad Administrativa Especial Dirección de Impuestos y Aduanas Nacionales- DIAN.</w:t>
      </w:r>
      <w:r>
        <w:rPr>
          <w:rFonts w:ascii="Arial" w:hAnsi="Arial" w:cs="Arial"/>
          <w:lang w:val="es-CO"/>
        </w:rPr>
        <w:t xml:space="preserve"> Antes de presentar la solicitud de devolución o compensación, como requisito para su procedencia, deberá registrarse ante la División </w:t>
      </w:r>
      <w:r>
        <w:rPr>
          <w:rFonts w:ascii="Arial" w:hAnsi="Arial" w:cs="Arial"/>
          <w:lang w:val="es-CO"/>
        </w:rPr>
        <w:t>de Gestión de Fiscalización, o la dependencia que haga sus veces, de la Dirección Seccional del domicilio social registrado en el RUT de la entidad solicitante, el proyecto de vivienda de interés social y vivienda de interés social prioritaria, aprobado po</w:t>
      </w:r>
      <w:r>
        <w:rPr>
          <w:rFonts w:ascii="Arial" w:hAnsi="Arial" w:cs="Arial"/>
          <w:lang w:val="es-CO"/>
        </w:rPr>
        <w:t>r la autoridad competente, con copia del correspondiente plan de costos, por capítulos, subcapítulos, ítems y unidades de obra.</w:t>
      </w:r>
    </w:p>
    <w:p w14:paraId="4C3F03F1" w14:textId="77777777" w:rsidR="00B2442D" w:rsidRDefault="00B2442D">
      <w:pPr>
        <w:jc w:val="both"/>
        <w:rPr>
          <w:rFonts w:ascii="Arial" w:hAnsi="Arial" w:cs="Arial"/>
          <w:lang w:val="es-CO"/>
        </w:rPr>
      </w:pPr>
    </w:p>
    <w:p w14:paraId="2887198E" w14:textId="77777777" w:rsidR="00B2442D" w:rsidRDefault="008A645F">
      <w:pPr>
        <w:jc w:val="both"/>
        <w:rPr>
          <w:rFonts w:ascii="Arial" w:hAnsi="Arial" w:cs="Arial"/>
          <w:i/>
          <w:lang w:val="es-CO"/>
        </w:rPr>
      </w:pPr>
      <w:r>
        <w:rPr>
          <w:rFonts w:ascii="Arial" w:hAnsi="Arial" w:cs="Arial"/>
          <w:i/>
          <w:lang w:val="es-CO"/>
        </w:rPr>
        <w:t>(Art. 4, Decreto 2924 de 2013)</w:t>
      </w:r>
    </w:p>
    <w:p w14:paraId="61EC30BB" w14:textId="77777777" w:rsidR="00B2442D" w:rsidRDefault="00B2442D">
      <w:pPr>
        <w:jc w:val="both"/>
        <w:rPr>
          <w:rFonts w:ascii="Arial" w:hAnsi="Arial" w:cs="Arial"/>
          <w:lang w:val="es-CO"/>
        </w:rPr>
      </w:pPr>
    </w:p>
    <w:p w14:paraId="3D164F19"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Monto de la solicitud. </w:t>
      </w:r>
      <w:r>
        <w:rPr>
          <w:rFonts w:ascii="Arial" w:hAnsi="Arial" w:cs="Arial"/>
          <w:lang w:val="es-CO"/>
        </w:rPr>
        <w:t>La solicitud de devolución o compensación del IVA se debe realizar en u</w:t>
      </w:r>
      <w:r>
        <w:rPr>
          <w:rFonts w:ascii="Arial" w:hAnsi="Arial" w:cs="Arial"/>
          <w:lang w:val="es-CO"/>
        </w:rPr>
        <w:t>na proporción del cuatro por ciento (4%) del valor registrado en la escritura de enajenación de la vivienda de interés social del inmueble nuevo tal como lo adquiere su comprador o usuario final o el acto de asignación de las viviendas a título de subsidio</w:t>
      </w:r>
      <w:r>
        <w:rPr>
          <w:rFonts w:ascii="Arial" w:hAnsi="Arial" w:cs="Arial"/>
          <w:lang w:val="es-CO"/>
        </w:rPr>
        <w:t xml:space="preserve"> en especie, cuyo valor no exceda el valor de la vivienda de interés social y vivienda de interés social prioritaria, por unidades completas de construcción. Si el valor fuere superior al IVA cancelado en la adquisición de los materiales utilizados, solame</w:t>
      </w:r>
      <w:r>
        <w:rPr>
          <w:rFonts w:ascii="Arial" w:hAnsi="Arial" w:cs="Arial"/>
          <w:lang w:val="es-CO"/>
        </w:rPr>
        <w:t>nte podrá solicitarse la devolución o compensación del IVA en el porcentaje efectivamente pagado, con el cumplimiento de los requisitos establecidos en el presente capítulo. En caso contrario, la diferencia se tendrá como mayor valor del costo del proyecto</w:t>
      </w:r>
      <w:r>
        <w:rPr>
          <w:rFonts w:ascii="Arial" w:hAnsi="Arial" w:cs="Arial"/>
          <w:lang w:val="es-CO"/>
        </w:rPr>
        <w:t>.</w:t>
      </w:r>
    </w:p>
    <w:p w14:paraId="1BE551C5" w14:textId="77777777" w:rsidR="00B2442D" w:rsidRDefault="00B2442D">
      <w:pPr>
        <w:jc w:val="both"/>
        <w:rPr>
          <w:rFonts w:ascii="Arial" w:hAnsi="Arial" w:cs="Arial"/>
          <w:lang w:val="es-CO"/>
        </w:rPr>
      </w:pPr>
    </w:p>
    <w:p w14:paraId="477EA452" w14:textId="77777777" w:rsidR="00B2442D" w:rsidRDefault="008A645F">
      <w:pPr>
        <w:jc w:val="both"/>
        <w:rPr>
          <w:rFonts w:ascii="Arial" w:hAnsi="Arial" w:cs="Arial"/>
          <w:i/>
          <w:lang w:val="es-CO"/>
        </w:rPr>
      </w:pPr>
      <w:r>
        <w:rPr>
          <w:rFonts w:ascii="Arial" w:hAnsi="Arial" w:cs="Arial"/>
          <w:i/>
          <w:lang w:val="es-CO"/>
        </w:rPr>
        <w:t>(Art. 5, Decreto 2924 de 2013)</w:t>
      </w:r>
    </w:p>
    <w:p w14:paraId="6072A8A4" w14:textId="77777777" w:rsidR="00B2442D" w:rsidRDefault="00B2442D">
      <w:pPr>
        <w:jc w:val="both"/>
        <w:rPr>
          <w:rFonts w:ascii="Arial" w:hAnsi="Arial" w:cs="Arial"/>
          <w:b/>
          <w:lang w:val="es-CO"/>
        </w:rPr>
      </w:pPr>
    </w:p>
    <w:p w14:paraId="29BC8707"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Requisitos de la solicitud.</w:t>
      </w:r>
      <w:r>
        <w:rPr>
          <w:rFonts w:ascii="Arial" w:hAnsi="Arial" w:cs="Arial"/>
          <w:lang w:val="es-CO"/>
        </w:rPr>
        <w:t xml:space="preserve"> La solicitud de devolución o compensación deberá presentarse por escrito, por el representante legal de la entidad constructora del proyecto, o su apoderado, con el cumplimiento de los siguientes requisitos:</w:t>
      </w:r>
    </w:p>
    <w:p w14:paraId="4094DD27" w14:textId="77777777" w:rsidR="00B2442D" w:rsidRDefault="00B2442D">
      <w:pPr>
        <w:jc w:val="both"/>
        <w:rPr>
          <w:rFonts w:ascii="Arial" w:hAnsi="Arial" w:cs="Arial"/>
          <w:lang w:val="es-CO"/>
        </w:rPr>
      </w:pPr>
    </w:p>
    <w:p w14:paraId="29F4F131"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r>
      <w:r>
        <w:rPr>
          <w:rFonts w:ascii="Arial" w:hAnsi="Arial" w:cs="Arial"/>
          <w:lang w:val="es-CO"/>
        </w:rPr>
        <w:t xml:space="preserve"> Certificado de existencia y representación legal expedido por la autoridad competente, con anterioridad no mayor a un (1) mes;</w:t>
      </w:r>
    </w:p>
    <w:p w14:paraId="34D5BE57" w14:textId="77777777" w:rsidR="00B2442D" w:rsidRDefault="00B2442D">
      <w:pPr>
        <w:ind w:left="284" w:hanging="284"/>
        <w:jc w:val="both"/>
        <w:rPr>
          <w:rFonts w:ascii="Arial" w:hAnsi="Arial" w:cs="Arial"/>
          <w:lang w:val="es-CO"/>
        </w:rPr>
      </w:pPr>
    </w:p>
    <w:p w14:paraId="06F3EBC5"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 Registro Único Tributario (RUT) vigente en la fecha de la solicitud de devolución o compensación, es decir, que no se encue</w:t>
      </w:r>
      <w:r>
        <w:rPr>
          <w:rFonts w:ascii="Arial" w:hAnsi="Arial" w:cs="Arial"/>
          <w:lang w:val="es-CO"/>
        </w:rPr>
        <w:t>ntre suspendido ni cancelado, verificación que se hará por parte de la Unidad Administrativa Especial Dirección de Impuestos y Aduanas Nacionales- DIAN;</w:t>
      </w:r>
    </w:p>
    <w:p w14:paraId="56A8A813" w14:textId="77777777" w:rsidR="00B2442D" w:rsidRDefault="00B2442D">
      <w:pPr>
        <w:ind w:left="284" w:hanging="284"/>
        <w:jc w:val="both"/>
        <w:rPr>
          <w:rFonts w:ascii="Arial" w:hAnsi="Arial" w:cs="Arial"/>
          <w:lang w:val="es-CO"/>
        </w:rPr>
      </w:pPr>
    </w:p>
    <w:p w14:paraId="1F44D3FF"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 Si el constructor solicitante ha desarrollado bajo contrato el proyecto deberá adjuntar certificac</w:t>
      </w:r>
      <w:r>
        <w:rPr>
          <w:rFonts w:ascii="Arial" w:hAnsi="Arial" w:cs="Arial"/>
          <w:lang w:val="es-CO"/>
        </w:rPr>
        <w:t>ión expedida por el titular del proyecto sobre el contrato de construcción correspondiente;</w:t>
      </w:r>
    </w:p>
    <w:p w14:paraId="2E85911D" w14:textId="77777777" w:rsidR="00B2442D" w:rsidRDefault="00B2442D">
      <w:pPr>
        <w:ind w:left="284" w:hanging="284"/>
        <w:jc w:val="both"/>
        <w:rPr>
          <w:rFonts w:ascii="Arial" w:hAnsi="Arial" w:cs="Arial"/>
          <w:lang w:val="es-CO"/>
        </w:rPr>
      </w:pPr>
    </w:p>
    <w:p w14:paraId="551CD735" w14:textId="77777777" w:rsidR="00B2442D" w:rsidRDefault="008A645F">
      <w:pPr>
        <w:ind w:left="284" w:hanging="284"/>
        <w:jc w:val="both"/>
        <w:rPr>
          <w:rFonts w:ascii="Arial" w:hAnsi="Arial" w:cs="Arial"/>
          <w:lang w:val="es-CO"/>
        </w:rPr>
      </w:pPr>
      <w:r>
        <w:rPr>
          <w:rFonts w:ascii="Arial" w:hAnsi="Arial" w:cs="Arial"/>
          <w:lang w:val="es-CO"/>
        </w:rPr>
        <w:t>d)</w:t>
      </w:r>
      <w:r>
        <w:rPr>
          <w:rFonts w:ascii="Arial" w:hAnsi="Arial" w:cs="Arial"/>
          <w:lang w:val="es-CO"/>
        </w:rPr>
        <w:tab/>
        <w:t xml:space="preserve"> Poder otorgado en debida forma cuando se actúe mediante apoderado;</w:t>
      </w:r>
    </w:p>
    <w:p w14:paraId="4E78E5A5" w14:textId="77777777" w:rsidR="00B2442D" w:rsidRDefault="00B2442D">
      <w:pPr>
        <w:ind w:left="284" w:hanging="284"/>
        <w:jc w:val="both"/>
        <w:rPr>
          <w:rFonts w:ascii="Arial" w:hAnsi="Arial" w:cs="Arial"/>
          <w:lang w:val="es-CO"/>
        </w:rPr>
      </w:pPr>
    </w:p>
    <w:p w14:paraId="0F0EB92B" w14:textId="77777777" w:rsidR="00B2442D" w:rsidRDefault="008A645F">
      <w:pPr>
        <w:ind w:left="284" w:hanging="284"/>
        <w:jc w:val="both"/>
        <w:rPr>
          <w:rFonts w:ascii="Arial" w:hAnsi="Arial" w:cs="Arial"/>
          <w:lang w:val="es-CO"/>
        </w:rPr>
      </w:pPr>
      <w:r>
        <w:rPr>
          <w:rFonts w:ascii="Arial" w:hAnsi="Arial" w:cs="Arial"/>
          <w:lang w:val="es-CO"/>
        </w:rPr>
        <w:t>e)</w:t>
      </w:r>
      <w:r>
        <w:rPr>
          <w:rFonts w:ascii="Arial" w:hAnsi="Arial" w:cs="Arial"/>
          <w:lang w:val="es-CO"/>
        </w:rPr>
        <w:tab/>
        <w:t xml:space="preserve"> Relación certificada por revisor fiscal o contador público, de las facturas o documento</w:t>
      </w:r>
      <w:r>
        <w:rPr>
          <w:rFonts w:ascii="Arial" w:hAnsi="Arial" w:cs="Arial"/>
          <w:lang w:val="es-CO"/>
        </w:rPr>
        <w:t>s equivalentes, de compra de materiales utilizados para la construcción de viviendas de interés, social y vivienda de interés social prioritaria, indicando su número, el nombre o razón social y NIT del proveedor, valor de los bienes adquiridos, valor del I</w:t>
      </w:r>
      <w:r>
        <w:rPr>
          <w:rFonts w:ascii="Arial" w:hAnsi="Arial" w:cs="Arial"/>
          <w:lang w:val="es-CO"/>
        </w:rPr>
        <w:t>VA cancelado discriminado en ellas y la descripción de los bienes;</w:t>
      </w:r>
    </w:p>
    <w:p w14:paraId="42E27260" w14:textId="77777777" w:rsidR="00B2442D" w:rsidRDefault="00B2442D">
      <w:pPr>
        <w:ind w:left="284" w:hanging="284"/>
        <w:jc w:val="both"/>
        <w:rPr>
          <w:rFonts w:ascii="Arial" w:hAnsi="Arial" w:cs="Arial"/>
          <w:lang w:val="es-CO"/>
        </w:rPr>
      </w:pPr>
    </w:p>
    <w:p w14:paraId="044A98DB" w14:textId="77777777" w:rsidR="00B2442D" w:rsidRDefault="008A645F">
      <w:pPr>
        <w:ind w:left="284" w:hanging="284"/>
        <w:jc w:val="both"/>
        <w:rPr>
          <w:rFonts w:ascii="Arial" w:hAnsi="Arial" w:cs="Arial"/>
          <w:lang w:val="es-CO"/>
        </w:rPr>
      </w:pPr>
      <w:r>
        <w:rPr>
          <w:rFonts w:ascii="Arial" w:hAnsi="Arial" w:cs="Arial"/>
          <w:lang w:val="es-CO"/>
        </w:rPr>
        <w:t>f)</w:t>
      </w:r>
      <w:r>
        <w:rPr>
          <w:rFonts w:ascii="Arial" w:hAnsi="Arial" w:cs="Arial"/>
          <w:lang w:val="es-CO"/>
        </w:rPr>
        <w:tab/>
        <w:t>Garantía bancaria o de compañía de seguros expedida con el cumplimiento de los requisitos legales, cuando el solicitante se acoja a la opción contemplada en el artículo 860 del Estatuto</w:t>
      </w:r>
      <w:r>
        <w:rPr>
          <w:rFonts w:ascii="Arial" w:hAnsi="Arial" w:cs="Arial"/>
          <w:lang w:val="es-CO"/>
        </w:rPr>
        <w:t xml:space="preserve"> Tributario;</w:t>
      </w:r>
    </w:p>
    <w:p w14:paraId="3CD6C414" w14:textId="77777777" w:rsidR="00B2442D" w:rsidRDefault="00B2442D">
      <w:pPr>
        <w:ind w:left="284" w:hanging="284"/>
        <w:jc w:val="both"/>
        <w:rPr>
          <w:rFonts w:ascii="Arial" w:hAnsi="Arial" w:cs="Arial"/>
          <w:lang w:val="es-CO"/>
        </w:rPr>
      </w:pPr>
    </w:p>
    <w:p w14:paraId="162D07CA" w14:textId="77777777" w:rsidR="00B2442D" w:rsidRDefault="008A645F">
      <w:pPr>
        <w:ind w:left="284" w:hanging="284"/>
        <w:jc w:val="both"/>
        <w:rPr>
          <w:rFonts w:ascii="Arial" w:hAnsi="Arial" w:cs="Arial"/>
          <w:lang w:val="es-CO"/>
        </w:rPr>
      </w:pPr>
      <w:r>
        <w:rPr>
          <w:rFonts w:ascii="Arial" w:hAnsi="Arial" w:cs="Arial"/>
          <w:lang w:val="es-CO"/>
        </w:rPr>
        <w:t>g)</w:t>
      </w:r>
      <w:r>
        <w:rPr>
          <w:rFonts w:ascii="Arial" w:hAnsi="Arial" w:cs="Arial"/>
          <w:lang w:val="es-CO"/>
        </w:rPr>
        <w:tab/>
        <w:t xml:space="preserve"> Copia de los certificados de tradición de los inmuebles enajenados, que constituyan vivienda de interés social y vivienda de interés social prioritaria, expedida por la Oficina de Registro de Instrumentos Públicos;</w:t>
      </w:r>
    </w:p>
    <w:p w14:paraId="58907FA9" w14:textId="77777777" w:rsidR="00B2442D" w:rsidRDefault="00B2442D">
      <w:pPr>
        <w:ind w:left="284" w:hanging="284"/>
        <w:jc w:val="both"/>
        <w:rPr>
          <w:rFonts w:ascii="Arial" w:hAnsi="Arial" w:cs="Arial"/>
          <w:lang w:val="es-CO"/>
        </w:rPr>
      </w:pPr>
    </w:p>
    <w:p w14:paraId="3A7E67D6" w14:textId="77777777" w:rsidR="00B2442D" w:rsidRDefault="008A645F">
      <w:pPr>
        <w:ind w:left="284" w:hanging="284"/>
        <w:jc w:val="both"/>
        <w:rPr>
          <w:rFonts w:ascii="Arial" w:hAnsi="Arial" w:cs="Arial"/>
          <w:lang w:val="es-CO"/>
        </w:rPr>
      </w:pPr>
      <w:r>
        <w:rPr>
          <w:rFonts w:ascii="Arial" w:hAnsi="Arial" w:cs="Arial"/>
          <w:lang w:val="es-CO"/>
        </w:rPr>
        <w:t>h)</w:t>
      </w:r>
      <w:r>
        <w:rPr>
          <w:rFonts w:ascii="Arial" w:hAnsi="Arial" w:cs="Arial"/>
          <w:lang w:val="es-CO"/>
        </w:rPr>
        <w:tab/>
        <w:t>Certificación firma</w:t>
      </w:r>
      <w:r>
        <w:rPr>
          <w:rFonts w:ascii="Arial" w:hAnsi="Arial" w:cs="Arial"/>
          <w:lang w:val="es-CO"/>
        </w:rPr>
        <w:t>da por revisor fiscal o contador público donde conste que el valor solicitado en devolución o compensación no ha sido llevado como un mayor valor del costo en el impuesto sobre la renta o como impuesto descontable en la declaración del impuesto sobre las v</w:t>
      </w:r>
      <w:r>
        <w:rPr>
          <w:rFonts w:ascii="Arial" w:hAnsi="Arial" w:cs="Arial"/>
          <w:lang w:val="es-CO"/>
        </w:rPr>
        <w:t>entas;</w:t>
      </w:r>
    </w:p>
    <w:p w14:paraId="1E6256BC" w14:textId="77777777" w:rsidR="00B2442D" w:rsidRDefault="00B2442D">
      <w:pPr>
        <w:ind w:left="284" w:hanging="284"/>
        <w:jc w:val="both"/>
        <w:rPr>
          <w:rFonts w:ascii="Arial" w:hAnsi="Arial" w:cs="Arial"/>
          <w:lang w:val="es-CO"/>
        </w:rPr>
      </w:pPr>
    </w:p>
    <w:p w14:paraId="3DA6238B" w14:textId="77777777" w:rsidR="00B2442D" w:rsidRDefault="008A645F">
      <w:pPr>
        <w:ind w:left="284" w:hanging="284"/>
        <w:jc w:val="both"/>
        <w:rPr>
          <w:rFonts w:ascii="Arial" w:hAnsi="Arial" w:cs="Arial"/>
          <w:lang w:val="es-CO"/>
        </w:rPr>
      </w:pPr>
      <w:r>
        <w:rPr>
          <w:rFonts w:ascii="Arial" w:hAnsi="Arial" w:cs="Arial"/>
          <w:lang w:val="es-CO"/>
        </w:rPr>
        <w:t>i)</w:t>
      </w:r>
      <w:r>
        <w:rPr>
          <w:rFonts w:ascii="Arial" w:hAnsi="Arial" w:cs="Arial"/>
          <w:lang w:val="es-CO"/>
        </w:rPr>
        <w:tab/>
        <w:t>Constancia de titularidad de una cuenta corriente o de ahorros activa en una entidad vigilada por la Superintendencia Financiera de Colombia, con fecha de expedición no mayor a un (1) mes;</w:t>
      </w:r>
    </w:p>
    <w:p w14:paraId="29AE5CA5" w14:textId="77777777" w:rsidR="00B2442D" w:rsidRDefault="00B2442D">
      <w:pPr>
        <w:ind w:left="284" w:hanging="284"/>
        <w:jc w:val="both"/>
        <w:rPr>
          <w:rFonts w:ascii="Arial" w:hAnsi="Arial" w:cs="Arial"/>
          <w:lang w:val="es-CO"/>
        </w:rPr>
      </w:pPr>
    </w:p>
    <w:p w14:paraId="2124F4EB" w14:textId="77777777" w:rsidR="00B2442D" w:rsidRDefault="008A645F">
      <w:pPr>
        <w:ind w:left="284" w:hanging="284"/>
        <w:jc w:val="both"/>
        <w:rPr>
          <w:rFonts w:ascii="Arial" w:hAnsi="Arial" w:cs="Arial"/>
          <w:lang w:val="es-CO"/>
        </w:rPr>
      </w:pPr>
      <w:r>
        <w:rPr>
          <w:rFonts w:ascii="Arial" w:hAnsi="Arial" w:cs="Arial"/>
          <w:lang w:val="es-CO"/>
        </w:rPr>
        <w:t>j) Presupuesto de la obra.</w:t>
      </w:r>
    </w:p>
    <w:p w14:paraId="21D4A015" w14:textId="77777777" w:rsidR="00B2442D" w:rsidRDefault="00B2442D">
      <w:pPr>
        <w:jc w:val="both"/>
        <w:rPr>
          <w:rFonts w:ascii="Arial" w:hAnsi="Arial" w:cs="Arial"/>
          <w:lang w:val="es-CO"/>
        </w:rPr>
      </w:pPr>
    </w:p>
    <w:p w14:paraId="750E0EC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 la construcci</w:t>
      </w:r>
      <w:r>
        <w:rPr>
          <w:rFonts w:ascii="Arial" w:hAnsi="Arial" w:cs="Arial"/>
          <w:lang w:val="es-CO"/>
        </w:rPr>
        <w:t>ón se desarrolla por contrato de construcción sobre sitio propio, o por autoconstrucción, el certificado de la Oficina de Registro deberá incluir la construcción realizada y su valor.</w:t>
      </w:r>
    </w:p>
    <w:p w14:paraId="37590D1B" w14:textId="77777777" w:rsidR="00B2442D" w:rsidRDefault="00B2442D">
      <w:pPr>
        <w:jc w:val="both"/>
        <w:rPr>
          <w:rFonts w:ascii="Arial" w:hAnsi="Arial" w:cs="Arial"/>
          <w:lang w:val="es-CO"/>
        </w:rPr>
      </w:pPr>
    </w:p>
    <w:p w14:paraId="6E589C8C" w14:textId="77777777" w:rsidR="00B2442D" w:rsidRDefault="008A645F">
      <w:pPr>
        <w:jc w:val="both"/>
        <w:rPr>
          <w:rFonts w:ascii="Arial" w:hAnsi="Arial" w:cs="Arial"/>
          <w:i/>
          <w:lang w:val="es-CO"/>
        </w:rPr>
      </w:pPr>
      <w:r>
        <w:rPr>
          <w:rFonts w:ascii="Arial" w:hAnsi="Arial" w:cs="Arial"/>
          <w:i/>
          <w:lang w:val="es-CO"/>
        </w:rPr>
        <w:t>(Art. 6, Decreto 2924 de 2013)</w:t>
      </w:r>
    </w:p>
    <w:p w14:paraId="587A9B99" w14:textId="77777777" w:rsidR="00B2442D" w:rsidRDefault="00B2442D">
      <w:pPr>
        <w:jc w:val="both"/>
        <w:rPr>
          <w:rFonts w:ascii="Arial" w:hAnsi="Arial" w:cs="Arial"/>
          <w:lang w:val="es-CO"/>
        </w:rPr>
      </w:pPr>
    </w:p>
    <w:p w14:paraId="72B0166B"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Término para efectuar la devolución o compensación.</w:t>
      </w:r>
      <w:r>
        <w:rPr>
          <w:rFonts w:ascii="Arial" w:hAnsi="Arial" w:cs="Arial"/>
          <w:lang w:val="es-CO"/>
        </w:rPr>
        <w:t xml:space="preserve"> El término para efectuar la devolución o compensación de que trata el presente capítulo, será el consagrado en los artículos 855 y 860 del Estatuto Tributario, contado a partir del día siguiente a la pre</w:t>
      </w:r>
      <w:r>
        <w:rPr>
          <w:rFonts w:ascii="Arial" w:hAnsi="Arial" w:cs="Arial"/>
          <w:lang w:val="es-CO"/>
        </w:rPr>
        <w:t>sentación oportuna y en debida forma de la solicitud ante la Dirección Seccional competente.</w:t>
      </w:r>
    </w:p>
    <w:p w14:paraId="6858FEE7" w14:textId="77777777" w:rsidR="00B2442D" w:rsidRDefault="00B2442D">
      <w:pPr>
        <w:jc w:val="both"/>
        <w:rPr>
          <w:rFonts w:ascii="Arial" w:hAnsi="Arial" w:cs="Arial"/>
          <w:lang w:val="es-CO"/>
        </w:rPr>
      </w:pPr>
    </w:p>
    <w:p w14:paraId="3937E3D2" w14:textId="77777777" w:rsidR="00B2442D" w:rsidRDefault="008A645F">
      <w:pPr>
        <w:jc w:val="both"/>
        <w:rPr>
          <w:rFonts w:ascii="Arial" w:hAnsi="Arial" w:cs="Arial"/>
          <w:lang w:val="es-CO"/>
        </w:rPr>
      </w:pPr>
      <w:r>
        <w:rPr>
          <w:rFonts w:ascii="Arial" w:hAnsi="Arial" w:cs="Arial"/>
          <w:lang w:val="es-CO"/>
        </w:rPr>
        <w:t>La devolución del Impuesto sobre las Ventas cuando hubiere lugar a ello, se efectuará a la cuenta corriente o cuenta de ahorros que informe el solicitante.</w:t>
      </w:r>
    </w:p>
    <w:p w14:paraId="302BCB74" w14:textId="77777777" w:rsidR="00B2442D" w:rsidRDefault="00B2442D">
      <w:pPr>
        <w:jc w:val="both"/>
        <w:rPr>
          <w:rFonts w:ascii="Arial" w:hAnsi="Arial" w:cs="Arial"/>
          <w:lang w:val="es-CO"/>
        </w:rPr>
      </w:pPr>
    </w:p>
    <w:p w14:paraId="1B28E4A7"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xml:space="preserve"> 7, Decreto 2924 de 2013)</w:t>
      </w:r>
    </w:p>
    <w:p w14:paraId="0AD8A766" w14:textId="77777777" w:rsidR="00B2442D" w:rsidRDefault="00B2442D">
      <w:pPr>
        <w:jc w:val="both"/>
        <w:rPr>
          <w:rFonts w:ascii="Arial" w:hAnsi="Arial" w:cs="Arial"/>
          <w:lang w:val="es-CO"/>
        </w:rPr>
      </w:pPr>
    </w:p>
    <w:p w14:paraId="349AA788"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 xml:space="preserve"> Inadmisión de la solicitud.</w:t>
      </w:r>
      <w:r>
        <w:rPr>
          <w:rFonts w:ascii="Arial" w:hAnsi="Arial" w:cs="Arial"/>
          <w:lang w:val="es-CO"/>
        </w:rPr>
        <w:t xml:space="preserve"> Sin perjuicio de lo señalado en el artículo </w:t>
      </w:r>
      <w:r>
        <w:rPr>
          <w:rFonts w:ascii="Arial" w:hAnsi="Arial" w:cs="Arial"/>
        </w:rPr>
        <w:t>1.6.1.26.9</w:t>
      </w:r>
      <w:r>
        <w:rPr>
          <w:rFonts w:ascii="Arial" w:hAnsi="Arial" w:cs="Arial"/>
          <w:lang w:val="es-CO"/>
        </w:rPr>
        <w:t xml:space="preserve">, cuando las solicitudes de devolución o compensación, no cumplan alguno de los requisitos señalados en el artículo </w:t>
      </w:r>
      <w:r>
        <w:rPr>
          <w:rFonts w:ascii="Arial" w:hAnsi="Arial" w:cs="Arial"/>
        </w:rPr>
        <w:t>1.6.1.26.6.</w:t>
      </w:r>
      <w:r>
        <w:rPr>
          <w:rFonts w:ascii="Arial" w:hAnsi="Arial" w:cs="Arial"/>
          <w:lang w:val="es-CO"/>
        </w:rPr>
        <w:t xml:space="preserve"> del presente decre</w:t>
      </w:r>
      <w:r>
        <w:rPr>
          <w:rFonts w:ascii="Arial" w:hAnsi="Arial" w:cs="Arial"/>
          <w:lang w:val="es-CO"/>
        </w:rPr>
        <w:t>to, la dependencia competente proferirá auto inadmisorio, de acuerdo con lo establecido en los artículos 857 y 858 del Estatuto Tributario.</w:t>
      </w:r>
    </w:p>
    <w:p w14:paraId="2C19DE14" w14:textId="77777777" w:rsidR="00B2442D" w:rsidRDefault="00B2442D">
      <w:pPr>
        <w:jc w:val="both"/>
        <w:rPr>
          <w:rFonts w:ascii="Arial" w:hAnsi="Arial" w:cs="Arial"/>
          <w:lang w:val="es-CO"/>
        </w:rPr>
      </w:pPr>
    </w:p>
    <w:p w14:paraId="77697EA7" w14:textId="77777777" w:rsidR="00B2442D" w:rsidRDefault="008A645F">
      <w:pPr>
        <w:jc w:val="both"/>
        <w:rPr>
          <w:rFonts w:ascii="Arial" w:hAnsi="Arial" w:cs="Arial"/>
          <w:lang w:val="es-CO"/>
        </w:rPr>
      </w:pPr>
      <w:r>
        <w:rPr>
          <w:rFonts w:ascii="Arial" w:hAnsi="Arial" w:cs="Arial"/>
          <w:lang w:val="es-CO"/>
        </w:rPr>
        <w:t>Se considerarán causales de inadmisión dentro del incumplimiento de los requisitos formales las siguientes:</w:t>
      </w:r>
    </w:p>
    <w:p w14:paraId="252CC142" w14:textId="77777777" w:rsidR="00B2442D" w:rsidRDefault="00B2442D">
      <w:pPr>
        <w:jc w:val="both"/>
        <w:rPr>
          <w:rFonts w:ascii="Arial" w:hAnsi="Arial" w:cs="Arial"/>
          <w:lang w:val="es-CO"/>
        </w:rPr>
      </w:pPr>
    </w:p>
    <w:p w14:paraId="40FECCBB" w14:textId="77777777" w:rsidR="00B2442D" w:rsidRDefault="008A645F">
      <w:pPr>
        <w:ind w:left="426" w:hanging="426"/>
        <w:jc w:val="both"/>
        <w:rPr>
          <w:rFonts w:ascii="Arial" w:hAnsi="Arial" w:cs="Arial"/>
          <w:lang w:val="es-CO"/>
        </w:rPr>
      </w:pPr>
      <w:r>
        <w:rPr>
          <w:rFonts w:ascii="Arial" w:hAnsi="Arial" w:cs="Arial"/>
          <w:lang w:val="es-CO"/>
        </w:rPr>
        <w:t>a)</w:t>
      </w:r>
      <w:r>
        <w:rPr>
          <w:rFonts w:ascii="Arial" w:hAnsi="Arial" w:cs="Arial"/>
          <w:lang w:val="es-CO"/>
        </w:rPr>
        <w:tab/>
        <w:t>Cua</w:t>
      </w:r>
      <w:r>
        <w:rPr>
          <w:rFonts w:ascii="Arial" w:hAnsi="Arial" w:cs="Arial"/>
          <w:lang w:val="es-CO"/>
        </w:rPr>
        <w:t xml:space="preserve">ndo el proyecto de vivienda de interés social y vivienda de interés social prioritaria, no haya sido registrado con anterioridad a la solicitud de devolución o compensación ante la División de Gestión de Fiscalización, o la dependencia que haga sus veces, </w:t>
      </w:r>
      <w:r>
        <w:rPr>
          <w:rFonts w:ascii="Arial" w:hAnsi="Arial" w:cs="Arial"/>
          <w:lang w:val="es-CO"/>
        </w:rPr>
        <w:t>de la Dirección Seccional del domicilio social registrado en el RUT de la entidad solicitante;</w:t>
      </w:r>
    </w:p>
    <w:p w14:paraId="0A00EDEA" w14:textId="77777777" w:rsidR="00B2442D" w:rsidRDefault="00B2442D">
      <w:pPr>
        <w:ind w:left="426" w:hanging="426"/>
        <w:jc w:val="both"/>
        <w:rPr>
          <w:rFonts w:ascii="Arial" w:hAnsi="Arial" w:cs="Arial"/>
          <w:lang w:val="es-CO"/>
        </w:rPr>
      </w:pPr>
    </w:p>
    <w:p w14:paraId="60B3E486" w14:textId="77777777" w:rsidR="00B2442D" w:rsidRDefault="008A645F">
      <w:pPr>
        <w:ind w:left="426" w:hanging="426"/>
        <w:jc w:val="both"/>
        <w:rPr>
          <w:rFonts w:ascii="Arial" w:hAnsi="Arial" w:cs="Arial"/>
          <w:lang w:val="es-CO"/>
        </w:rPr>
      </w:pPr>
      <w:r>
        <w:rPr>
          <w:rFonts w:ascii="Arial" w:hAnsi="Arial" w:cs="Arial"/>
          <w:lang w:val="es-CO"/>
        </w:rPr>
        <w:t>b)</w:t>
      </w:r>
      <w:r>
        <w:rPr>
          <w:rFonts w:ascii="Arial" w:hAnsi="Arial" w:cs="Arial"/>
          <w:lang w:val="es-CO"/>
        </w:rPr>
        <w:tab/>
        <w:t>Cuando se verifique que el impuesto sobre las ventas objeto de la solicitud ha sido utilizado como impuesto descontable o como costo;</w:t>
      </w:r>
    </w:p>
    <w:p w14:paraId="7052E38F" w14:textId="77777777" w:rsidR="00B2442D" w:rsidRDefault="00B2442D">
      <w:pPr>
        <w:ind w:left="426" w:hanging="426"/>
        <w:jc w:val="both"/>
        <w:rPr>
          <w:rFonts w:ascii="Arial" w:hAnsi="Arial" w:cs="Arial"/>
          <w:lang w:val="es-CO"/>
        </w:rPr>
      </w:pPr>
    </w:p>
    <w:p w14:paraId="36F0E0F5" w14:textId="77777777" w:rsidR="00B2442D" w:rsidRDefault="008A645F">
      <w:pPr>
        <w:ind w:left="426" w:hanging="426"/>
        <w:jc w:val="both"/>
        <w:rPr>
          <w:rFonts w:ascii="Arial" w:hAnsi="Arial" w:cs="Arial"/>
          <w:lang w:val="es-CO"/>
        </w:rPr>
      </w:pPr>
      <w:r>
        <w:rPr>
          <w:rFonts w:ascii="Arial" w:hAnsi="Arial" w:cs="Arial"/>
          <w:lang w:val="es-CO"/>
        </w:rPr>
        <w:t>c) Cuando las facturas</w:t>
      </w:r>
      <w:r>
        <w:rPr>
          <w:rFonts w:ascii="Arial" w:hAnsi="Arial" w:cs="Arial"/>
          <w:lang w:val="es-CO"/>
        </w:rPr>
        <w:t xml:space="preserve"> pagadas con base en las cuales se solicita la devolución o compensación no cumplan los requisitos indicados en el artículo 617 del Estatuto Tributario.</w:t>
      </w:r>
    </w:p>
    <w:p w14:paraId="51F2E228" w14:textId="77777777" w:rsidR="00B2442D" w:rsidRDefault="00B2442D">
      <w:pPr>
        <w:jc w:val="both"/>
        <w:rPr>
          <w:rFonts w:ascii="Arial" w:hAnsi="Arial" w:cs="Arial"/>
          <w:lang w:val="es-CO"/>
        </w:rPr>
      </w:pPr>
    </w:p>
    <w:p w14:paraId="6DDAF97C" w14:textId="77777777" w:rsidR="00B2442D" w:rsidRDefault="008A645F">
      <w:pPr>
        <w:jc w:val="both"/>
        <w:rPr>
          <w:rFonts w:ascii="Arial" w:hAnsi="Arial" w:cs="Arial"/>
          <w:lang w:val="es-CO"/>
        </w:rPr>
      </w:pPr>
      <w:r>
        <w:rPr>
          <w:rFonts w:ascii="Arial" w:hAnsi="Arial" w:cs="Arial"/>
          <w:lang w:val="es-CO"/>
        </w:rPr>
        <w:t>Cuando se inadmita una solicitud de devolución o compensación se devolverá toda la información aportad</w:t>
      </w:r>
      <w:r>
        <w:rPr>
          <w:rFonts w:ascii="Arial" w:hAnsi="Arial" w:cs="Arial"/>
          <w:lang w:val="es-CO"/>
        </w:rPr>
        <w:t>a y la nueva solicitud debe ser presentada con el lleno de los requisitos exigidos, dentro del mes siguiente a la notificación del auto de inadmisión, subsanando las causales que dieron lugar al mismo.</w:t>
      </w:r>
    </w:p>
    <w:p w14:paraId="04A20BE7" w14:textId="77777777" w:rsidR="00B2442D" w:rsidRDefault="00B2442D">
      <w:pPr>
        <w:jc w:val="both"/>
        <w:rPr>
          <w:rFonts w:ascii="Arial" w:hAnsi="Arial" w:cs="Arial"/>
          <w:lang w:val="es-CO"/>
        </w:rPr>
      </w:pPr>
    </w:p>
    <w:p w14:paraId="57AF4827" w14:textId="77777777" w:rsidR="00B2442D" w:rsidRDefault="008A645F">
      <w:pPr>
        <w:jc w:val="both"/>
        <w:rPr>
          <w:rFonts w:ascii="Arial" w:hAnsi="Arial" w:cs="Arial"/>
          <w:i/>
          <w:lang w:val="es-CO"/>
        </w:rPr>
      </w:pPr>
      <w:r>
        <w:rPr>
          <w:rFonts w:ascii="Arial" w:hAnsi="Arial" w:cs="Arial"/>
          <w:i/>
          <w:lang w:val="es-CO"/>
        </w:rPr>
        <w:t>(Art. 8, Decreto 2924 de 2013)</w:t>
      </w:r>
    </w:p>
    <w:p w14:paraId="7A6FD296" w14:textId="77777777" w:rsidR="00B2442D" w:rsidRDefault="00B2442D">
      <w:pPr>
        <w:jc w:val="both"/>
        <w:rPr>
          <w:rFonts w:ascii="Arial" w:hAnsi="Arial" w:cs="Arial"/>
          <w:lang w:val="es-CO"/>
        </w:rPr>
      </w:pPr>
    </w:p>
    <w:p w14:paraId="2EEEBD34"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Rechazo de la solicit</w:t>
      </w:r>
      <w:r>
        <w:rPr>
          <w:rFonts w:ascii="Arial" w:hAnsi="Arial" w:cs="Arial"/>
          <w:b/>
          <w:i/>
          <w:lang w:val="es-CO"/>
        </w:rPr>
        <w:t>ud.</w:t>
      </w:r>
      <w:r>
        <w:rPr>
          <w:rFonts w:ascii="Arial" w:hAnsi="Arial" w:cs="Arial"/>
          <w:lang w:val="es-CO"/>
        </w:rPr>
        <w:t xml:space="preserve"> La solicitud de devolución o compensación a que se refieren los artículos anteriores, deberá rechazarse en forma definitiva de conformidad con lo establecido en el artículo 857 del Estatuto Tributario.</w:t>
      </w:r>
    </w:p>
    <w:p w14:paraId="17DD3F59" w14:textId="77777777" w:rsidR="00B2442D" w:rsidRDefault="00B2442D">
      <w:pPr>
        <w:jc w:val="both"/>
        <w:rPr>
          <w:rFonts w:ascii="Arial" w:hAnsi="Arial" w:cs="Arial"/>
          <w:lang w:val="es-CO"/>
        </w:rPr>
      </w:pPr>
    </w:p>
    <w:p w14:paraId="1DD3E970"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Cuando el IVA solicitado exceda el cua</w:t>
      </w:r>
      <w:r>
        <w:rPr>
          <w:rFonts w:ascii="Arial" w:hAnsi="Arial" w:cs="Arial"/>
          <w:lang w:val="es-CO"/>
        </w:rPr>
        <w:t>tro por ciento (4%) del valor registrado en las escrituras de venta del inmueble nuevo, tal como lo adquiere su comprador o usuario final, la Dirección Seccional devolverá o compensará hasta dicho límite, rechazando el exceso solicitado.</w:t>
      </w:r>
    </w:p>
    <w:p w14:paraId="65AF38B0" w14:textId="77777777" w:rsidR="00B2442D" w:rsidRDefault="00B2442D">
      <w:pPr>
        <w:jc w:val="both"/>
        <w:rPr>
          <w:rFonts w:ascii="Arial" w:hAnsi="Arial" w:cs="Arial"/>
          <w:lang w:val="es-CO"/>
        </w:rPr>
      </w:pPr>
    </w:p>
    <w:p w14:paraId="0E1EB153" w14:textId="77777777" w:rsidR="00B2442D" w:rsidRDefault="008A645F">
      <w:pPr>
        <w:jc w:val="both"/>
        <w:rPr>
          <w:rFonts w:ascii="Arial" w:hAnsi="Arial" w:cs="Arial"/>
          <w:i/>
          <w:lang w:val="es-CO"/>
        </w:rPr>
      </w:pPr>
      <w:r>
        <w:rPr>
          <w:rFonts w:ascii="Arial" w:hAnsi="Arial" w:cs="Arial"/>
          <w:i/>
          <w:lang w:val="es-CO"/>
        </w:rPr>
        <w:t xml:space="preserve">(Art. 9, </w:t>
      </w:r>
      <w:r>
        <w:rPr>
          <w:rFonts w:ascii="Arial" w:hAnsi="Arial" w:cs="Arial"/>
          <w:i/>
          <w:lang w:val="es-CO"/>
        </w:rPr>
        <w:t>Decreto 2924 de 2013)</w:t>
      </w:r>
    </w:p>
    <w:p w14:paraId="4A857A85" w14:textId="77777777" w:rsidR="00B2442D" w:rsidRDefault="00B2442D">
      <w:pPr>
        <w:jc w:val="both"/>
        <w:rPr>
          <w:rFonts w:ascii="Arial" w:hAnsi="Arial" w:cs="Arial"/>
          <w:lang w:val="es-CO"/>
        </w:rPr>
      </w:pPr>
    </w:p>
    <w:p w14:paraId="7DBA1116"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Remisión normativa.</w:t>
      </w:r>
      <w:r>
        <w:rPr>
          <w:rFonts w:ascii="Arial" w:hAnsi="Arial" w:cs="Arial"/>
          <w:lang w:val="es-CO"/>
        </w:rPr>
        <w:t xml:space="preserve"> En lo no previsto en este capítulo se aplicarán, en lo pertinente, las disposiciones del Estatuto Tributario y demás normas concordantes para las devoluciones o compensaciones de saldos a favor.</w:t>
      </w:r>
    </w:p>
    <w:p w14:paraId="662E71D9" w14:textId="77777777" w:rsidR="00B2442D" w:rsidRDefault="00B2442D">
      <w:pPr>
        <w:jc w:val="both"/>
        <w:rPr>
          <w:rFonts w:ascii="Arial" w:hAnsi="Arial" w:cs="Arial"/>
          <w:lang w:val="es-CO"/>
        </w:rPr>
      </w:pPr>
    </w:p>
    <w:p w14:paraId="1ED29196" w14:textId="77777777" w:rsidR="00B2442D" w:rsidRDefault="008A645F">
      <w:pPr>
        <w:jc w:val="both"/>
        <w:rPr>
          <w:rFonts w:ascii="Arial" w:hAnsi="Arial" w:cs="Arial"/>
          <w:i/>
          <w:lang w:val="es-CO"/>
        </w:rPr>
      </w:pPr>
      <w:r>
        <w:rPr>
          <w:rFonts w:ascii="Arial" w:hAnsi="Arial" w:cs="Arial"/>
          <w:i/>
          <w:lang w:val="es-CO"/>
        </w:rPr>
        <w:t>(Art. 10, Decreto 2924 de 2013)</w:t>
      </w:r>
    </w:p>
    <w:p w14:paraId="0F27F5B8" w14:textId="77777777" w:rsidR="00B2442D" w:rsidRDefault="00B2442D">
      <w:pPr>
        <w:jc w:val="both"/>
        <w:rPr>
          <w:rFonts w:ascii="Arial" w:hAnsi="Arial" w:cs="Arial"/>
          <w:i/>
          <w:lang w:val="es-CO"/>
        </w:rPr>
      </w:pPr>
    </w:p>
    <w:p w14:paraId="0B0A5F9A" w14:textId="77777777" w:rsidR="00B2442D" w:rsidRDefault="008A645F">
      <w:pPr>
        <w:pStyle w:val="Prrafodelista"/>
        <w:numPr>
          <w:ilvl w:val="0"/>
          <w:numId w:val="127"/>
        </w:numPr>
        <w:ind w:left="0" w:firstLine="0"/>
        <w:jc w:val="both"/>
        <w:rPr>
          <w:rFonts w:ascii="Arial" w:hAnsi="Arial" w:cs="Arial"/>
          <w:lang w:val="es-CO"/>
        </w:rPr>
      </w:pPr>
      <w:r>
        <w:rPr>
          <w:rFonts w:ascii="Arial" w:hAnsi="Arial" w:cs="Arial"/>
          <w:b/>
          <w:i/>
          <w:lang w:val="es-CO"/>
        </w:rPr>
        <w:t>Obligaciones del agente re</w:t>
      </w:r>
      <w:r>
        <w:rPr>
          <w:rFonts w:ascii="Arial" w:hAnsi="Arial" w:cs="Arial"/>
          <w:b/>
          <w:i/>
          <w:lang w:val="es-CO"/>
        </w:rPr>
        <w:t>tenedor.</w:t>
      </w:r>
      <w:r>
        <w:rPr>
          <w:rFonts w:ascii="Arial" w:hAnsi="Arial" w:cs="Arial"/>
          <w:lang w:val="es-CO"/>
        </w:rPr>
        <w:t xml:space="preserve"> Los agentes de retención en el impuesto sobre las ventas deberán cumplir las siguientes obligaciones: </w:t>
      </w:r>
    </w:p>
    <w:p w14:paraId="28023C90" w14:textId="77777777" w:rsidR="00B2442D" w:rsidRDefault="008A645F">
      <w:pPr>
        <w:jc w:val="both"/>
        <w:rPr>
          <w:rFonts w:ascii="Arial" w:hAnsi="Arial" w:cs="Arial"/>
          <w:lang w:val="es-CO"/>
        </w:rPr>
      </w:pPr>
      <w:r>
        <w:rPr>
          <w:rFonts w:ascii="Arial" w:hAnsi="Arial" w:cs="Arial"/>
          <w:lang w:val="es-CO"/>
        </w:rPr>
        <w:t xml:space="preserve"> </w:t>
      </w:r>
    </w:p>
    <w:p w14:paraId="78DA1AD4" w14:textId="77777777" w:rsidR="00B2442D" w:rsidRDefault="008A645F">
      <w:pPr>
        <w:ind w:left="426" w:hanging="426"/>
        <w:jc w:val="both"/>
        <w:rPr>
          <w:rFonts w:ascii="Arial" w:hAnsi="Arial" w:cs="Arial"/>
          <w:lang w:val="es-CO"/>
        </w:rPr>
      </w:pPr>
      <w:r>
        <w:rPr>
          <w:rFonts w:ascii="Arial" w:hAnsi="Arial" w:cs="Arial"/>
          <w:lang w:val="es-CO"/>
        </w:rPr>
        <w:t>1° Llevar una subcuenta de la cuenta retenciones en la fuente, denominada impuesto a las ventas retenido, la cual se acreditará con las retenc</w:t>
      </w:r>
      <w:r>
        <w:rPr>
          <w:rFonts w:ascii="Arial" w:hAnsi="Arial" w:cs="Arial"/>
          <w:lang w:val="es-CO"/>
        </w:rPr>
        <w:t xml:space="preserve">iones practicadas y se debitará con los pagos mensuales que por dicho concepto se efectúen. </w:t>
      </w:r>
    </w:p>
    <w:p w14:paraId="624431E5" w14:textId="77777777" w:rsidR="00B2442D" w:rsidRDefault="008A645F">
      <w:pPr>
        <w:ind w:left="426" w:hanging="426"/>
        <w:jc w:val="both"/>
        <w:rPr>
          <w:rFonts w:ascii="Arial" w:hAnsi="Arial" w:cs="Arial"/>
          <w:lang w:val="es-CO"/>
        </w:rPr>
      </w:pPr>
      <w:r>
        <w:rPr>
          <w:rFonts w:ascii="Arial" w:hAnsi="Arial" w:cs="Arial"/>
          <w:lang w:val="es-CO"/>
        </w:rPr>
        <w:t xml:space="preserve"> </w:t>
      </w:r>
    </w:p>
    <w:p w14:paraId="6D3B1A32" w14:textId="77777777" w:rsidR="00B2442D" w:rsidRDefault="008A645F">
      <w:pPr>
        <w:ind w:left="426"/>
        <w:jc w:val="both"/>
        <w:rPr>
          <w:rFonts w:ascii="Arial" w:hAnsi="Arial" w:cs="Arial"/>
          <w:lang w:val="es-CO"/>
        </w:rPr>
      </w:pPr>
      <w:r>
        <w:rPr>
          <w:rFonts w:ascii="Arial" w:hAnsi="Arial" w:cs="Arial"/>
          <w:lang w:val="es-CO"/>
        </w:rPr>
        <w:t>Lo anterior sin perjuicio de las obligaciones contables previstas en el artículo 509 del Estatuto Tributario, para los responsables del régimen común.</w:t>
      </w:r>
    </w:p>
    <w:p w14:paraId="0F68E19C" w14:textId="77777777" w:rsidR="00B2442D" w:rsidRDefault="00B2442D">
      <w:pPr>
        <w:ind w:left="426" w:hanging="426"/>
        <w:jc w:val="both"/>
        <w:rPr>
          <w:rFonts w:ascii="Arial" w:hAnsi="Arial" w:cs="Arial"/>
          <w:i/>
          <w:lang w:val="es-CO"/>
        </w:rPr>
      </w:pPr>
    </w:p>
    <w:p w14:paraId="45A3D173" w14:textId="77777777" w:rsidR="00B2442D" w:rsidRDefault="008A645F">
      <w:pPr>
        <w:ind w:left="426" w:hanging="426"/>
        <w:jc w:val="both"/>
        <w:rPr>
          <w:rFonts w:ascii="Arial" w:hAnsi="Arial" w:cs="Arial"/>
          <w:lang w:val="es-CO"/>
        </w:rPr>
      </w:pPr>
      <w:r>
        <w:rPr>
          <w:rFonts w:ascii="Arial" w:hAnsi="Arial" w:cs="Arial"/>
          <w:lang w:val="es-CO"/>
        </w:rPr>
        <w:t xml:space="preserve">2° </w:t>
      </w:r>
      <w:r>
        <w:rPr>
          <w:rFonts w:ascii="Arial" w:hAnsi="Arial" w:cs="Arial"/>
          <w:lang w:val="es-CO"/>
        </w:rPr>
        <w:tab/>
        <w:t>Prese</w:t>
      </w:r>
      <w:r>
        <w:rPr>
          <w:rFonts w:ascii="Arial" w:hAnsi="Arial" w:cs="Arial"/>
          <w:lang w:val="es-CO"/>
        </w:rPr>
        <w:t xml:space="preserve">ntar declaración y pagar las retenciones efectuadas, por periodos mensuales, en el formulario establecido por la Unidad Administrativa Especial Dirección de Impuestos y Aduanas Nacionales, y dentro de los plazos que anualmente señale el Gobierno Nacional. </w:t>
      </w:r>
    </w:p>
    <w:p w14:paraId="38A6EFF6" w14:textId="77777777" w:rsidR="00B2442D" w:rsidRDefault="008A645F">
      <w:pPr>
        <w:jc w:val="both"/>
        <w:rPr>
          <w:rFonts w:ascii="Arial" w:hAnsi="Arial" w:cs="Arial"/>
          <w:lang w:val="es-CO"/>
        </w:rPr>
      </w:pPr>
      <w:r>
        <w:rPr>
          <w:rFonts w:ascii="Arial" w:hAnsi="Arial" w:cs="Arial"/>
          <w:lang w:val="es-CO"/>
        </w:rPr>
        <w:t xml:space="preserve"> </w:t>
      </w:r>
    </w:p>
    <w:p w14:paraId="77507945"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agentes de retención de que trata el numeral 2° del artículo 1.3.2.1.3 de este Decreto, elaborarán una nota de contabilidad como soporte de registro de la transacción y de la retención en la fuente efectuada.</w:t>
      </w:r>
    </w:p>
    <w:p w14:paraId="65494227" w14:textId="77777777" w:rsidR="00B2442D" w:rsidRDefault="00B2442D">
      <w:pPr>
        <w:jc w:val="both"/>
        <w:rPr>
          <w:rFonts w:ascii="Arial" w:hAnsi="Arial" w:cs="Arial"/>
          <w:lang w:val="es-CO"/>
        </w:rPr>
      </w:pPr>
    </w:p>
    <w:p w14:paraId="467BB632" w14:textId="77777777" w:rsidR="00B2442D" w:rsidRDefault="008A645F">
      <w:pPr>
        <w:jc w:val="both"/>
        <w:rPr>
          <w:rFonts w:ascii="Arial" w:hAnsi="Arial" w:cs="Arial"/>
          <w:i/>
          <w:lang w:val="es-CO"/>
        </w:rPr>
      </w:pPr>
      <w:r>
        <w:rPr>
          <w:rFonts w:ascii="Arial" w:hAnsi="Arial" w:cs="Arial"/>
          <w:i/>
          <w:lang w:val="es-CO"/>
        </w:rPr>
        <w:t>(Art. 6, Decreto 0380 de 199</w:t>
      </w:r>
      <w:r>
        <w:rPr>
          <w:rFonts w:ascii="Arial" w:hAnsi="Arial" w:cs="Arial"/>
          <w:i/>
          <w:lang w:val="es-CO"/>
        </w:rPr>
        <w:t>6. Numeral 1 tiene decaimiento porque los porcentajes de retención en la fuente a que alude la norma no se encuentran vigentes. Numeral 3 derogado tácitamente por lo dispuesto en los artículos 23 del D.R 522 de 2003 y 42 del D.R 2623 de 2014)</w:t>
      </w:r>
    </w:p>
    <w:p w14:paraId="130988D0" w14:textId="77777777" w:rsidR="00B2442D" w:rsidRDefault="00B2442D">
      <w:pPr>
        <w:jc w:val="both"/>
        <w:rPr>
          <w:rFonts w:ascii="Arial" w:hAnsi="Arial" w:cs="Arial"/>
          <w:i/>
          <w:lang w:val="es-CO"/>
        </w:rPr>
      </w:pPr>
    </w:p>
    <w:p w14:paraId="6FD25592" w14:textId="77777777" w:rsidR="00B2442D" w:rsidRDefault="008A645F">
      <w:pPr>
        <w:pStyle w:val="Ttulo4"/>
        <w:rPr>
          <w:lang w:val="es-CO"/>
        </w:rPr>
      </w:pPr>
      <w:r>
        <w:rPr>
          <w:lang w:val="es-CO"/>
        </w:rPr>
        <w:t>CAPÍTULO 27</w:t>
      </w:r>
    </w:p>
    <w:p w14:paraId="7329C336" w14:textId="77777777" w:rsidR="00B2442D" w:rsidRDefault="008A645F">
      <w:pPr>
        <w:pStyle w:val="Ttulo4"/>
        <w:rPr>
          <w:lang w:val="es-CO"/>
        </w:rPr>
      </w:pPr>
      <w:r>
        <w:rPr>
          <w:lang w:val="es-CO"/>
        </w:rPr>
        <w:t>Disposiciones varias</w:t>
      </w:r>
    </w:p>
    <w:p w14:paraId="2432F484" w14:textId="77777777" w:rsidR="00B2442D" w:rsidRDefault="00B2442D">
      <w:pPr>
        <w:rPr>
          <w:rFonts w:ascii="Arial" w:hAnsi="Arial" w:cs="Arial"/>
          <w:lang w:val="es-CO"/>
        </w:rPr>
      </w:pPr>
    </w:p>
    <w:p w14:paraId="51DB3635" w14:textId="77777777" w:rsidR="00B2442D" w:rsidRDefault="008A645F">
      <w:pPr>
        <w:pStyle w:val="Prrafodelista"/>
        <w:numPr>
          <w:ilvl w:val="0"/>
          <w:numId w:val="128"/>
        </w:numPr>
        <w:ind w:left="0" w:firstLine="0"/>
        <w:jc w:val="both"/>
        <w:rPr>
          <w:rFonts w:ascii="Arial" w:hAnsi="Arial" w:cs="Arial"/>
          <w:lang w:val="es-CO"/>
        </w:rPr>
      </w:pPr>
      <w:r>
        <w:rPr>
          <w:rFonts w:ascii="Arial" w:hAnsi="Arial" w:cs="Arial"/>
          <w:b/>
          <w:i/>
          <w:lang w:val="es-CO"/>
        </w:rPr>
        <w:t>Orden expresa y escrita del mandante.</w:t>
      </w:r>
      <w:r>
        <w:rPr>
          <w:rFonts w:ascii="Arial" w:hAnsi="Arial" w:cs="Arial"/>
          <w:i/>
          <w:lang w:val="es-CO"/>
        </w:rPr>
        <w:t xml:space="preserve"> </w:t>
      </w:r>
      <w:r>
        <w:rPr>
          <w:rFonts w:ascii="Arial" w:hAnsi="Arial" w:cs="Arial"/>
          <w:lang w:val="es-CO"/>
        </w:rPr>
        <w:t>La resolución, convenio o contrato de carácter individual mediante la cual se autoriza o encarga a las entidades financieras para recibir los recaudos de impuestos, anticipos, retenciones, sancion</w:t>
      </w:r>
      <w:r>
        <w:rPr>
          <w:rFonts w:ascii="Arial" w:hAnsi="Arial" w:cs="Arial"/>
          <w:lang w:val="es-CO"/>
        </w:rPr>
        <w:t>es e intereses constituye la orden expresa y escrita del mandante de que trata el parágrafo del artículo 26 de la Ley 510 de 1999.</w:t>
      </w:r>
    </w:p>
    <w:p w14:paraId="61BB6951" w14:textId="77777777" w:rsidR="00B2442D" w:rsidRDefault="00B2442D">
      <w:pPr>
        <w:jc w:val="both"/>
        <w:rPr>
          <w:rFonts w:ascii="Arial" w:hAnsi="Arial" w:cs="Arial"/>
          <w:i/>
          <w:lang w:val="es-CO"/>
        </w:rPr>
      </w:pPr>
    </w:p>
    <w:p w14:paraId="6DC42F00" w14:textId="77777777" w:rsidR="00B2442D" w:rsidRDefault="008A645F">
      <w:pPr>
        <w:jc w:val="both"/>
        <w:rPr>
          <w:rFonts w:ascii="Arial" w:hAnsi="Arial" w:cs="Arial"/>
          <w:i/>
          <w:lang w:val="es-CO"/>
        </w:rPr>
      </w:pPr>
      <w:r>
        <w:rPr>
          <w:rFonts w:ascii="Arial" w:hAnsi="Arial" w:cs="Arial"/>
          <w:i/>
          <w:lang w:val="es-CO"/>
        </w:rPr>
        <w:t>(Art. 1, Decreto 563 de 2000)</w:t>
      </w:r>
    </w:p>
    <w:p w14:paraId="1A4C0664" w14:textId="77777777" w:rsidR="00B2442D" w:rsidRDefault="00B2442D">
      <w:pPr>
        <w:jc w:val="both"/>
        <w:rPr>
          <w:rFonts w:ascii="Arial" w:hAnsi="Arial" w:cs="Arial"/>
          <w:lang w:val="es-CO"/>
        </w:rPr>
      </w:pPr>
    </w:p>
    <w:p w14:paraId="719DF9AD" w14:textId="77777777" w:rsidR="00B2442D" w:rsidRDefault="008A645F">
      <w:pPr>
        <w:pStyle w:val="Prrafodelista"/>
        <w:numPr>
          <w:ilvl w:val="0"/>
          <w:numId w:val="128"/>
        </w:numPr>
        <w:ind w:left="0" w:firstLine="0"/>
        <w:jc w:val="both"/>
        <w:rPr>
          <w:rFonts w:ascii="Arial" w:hAnsi="Arial" w:cs="Arial"/>
          <w:lang w:val="es-CO"/>
        </w:rPr>
      </w:pPr>
      <w:r>
        <w:rPr>
          <w:rFonts w:ascii="Arial" w:hAnsi="Arial" w:cs="Arial"/>
          <w:b/>
          <w:i/>
          <w:lang w:val="es-CO"/>
        </w:rPr>
        <w:t xml:space="preserve"> Revocatoria de la orden expresa y escrita del mandante.</w:t>
      </w:r>
      <w:r>
        <w:rPr>
          <w:rFonts w:ascii="Arial" w:hAnsi="Arial" w:cs="Arial"/>
          <w:lang w:val="es-CO"/>
        </w:rPr>
        <w:t xml:space="preserve"> La orden de que trata el artículo anterior, se podrá revocar en cualquier momento e implicará en todos los casos la obligación de traslado inmediato a cuentas de orden de la totalidad de los recaudos</w:t>
      </w:r>
      <w:r>
        <w:rPr>
          <w:rFonts w:ascii="Arial" w:hAnsi="Arial" w:cs="Arial"/>
          <w:lang w:val="es-CO"/>
        </w:rPr>
        <w:t xml:space="preserve"> que figuren en cuentas de balance. Para la revocación de dicha orden bastará una comunicación que por escrito se le formule a la respectiva entidad financiera por parte de la autoridad pública que suscribió el convenio o contrato.</w:t>
      </w:r>
    </w:p>
    <w:p w14:paraId="54804966" w14:textId="77777777" w:rsidR="00B2442D" w:rsidRDefault="00B2442D">
      <w:pPr>
        <w:jc w:val="both"/>
        <w:rPr>
          <w:rFonts w:ascii="Arial" w:hAnsi="Arial" w:cs="Arial"/>
          <w:lang w:val="es-CO"/>
        </w:rPr>
      </w:pPr>
    </w:p>
    <w:p w14:paraId="588CA917" w14:textId="77777777" w:rsidR="00B2442D" w:rsidRDefault="008A645F">
      <w:pPr>
        <w:jc w:val="both"/>
        <w:rPr>
          <w:rFonts w:ascii="Arial" w:hAnsi="Arial" w:cs="Arial"/>
          <w:lang w:val="es-CO"/>
        </w:rPr>
      </w:pPr>
      <w:r>
        <w:rPr>
          <w:rFonts w:ascii="Arial" w:hAnsi="Arial" w:cs="Arial"/>
          <w:lang w:val="es-CO"/>
        </w:rPr>
        <w:t>Sin perjuicio de lo señ</w:t>
      </w:r>
      <w:r>
        <w:rPr>
          <w:rFonts w:ascii="Arial" w:hAnsi="Arial" w:cs="Arial"/>
          <w:lang w:val="es-CO"/>
        </w:rPr>
        <w:t>alado en el inciso anterior, el mandato se entenderá revocado automáticamente cuando la entidad financiera esté incursa en alguna causal de disolución o de toma de posesión, o cuando la entidad financiera se ubique por fuera de los rangos admisibles para l</w:t>
      </w:r>
      <w:r>
        <w:rPr>
          <w:rFonts w:ascii="Arial" w:hAnsi="Arial" w:cs="Arial"/>
          <w:lang w:val="es-CO"/>
        </w:rPr>
        <w:t>os indicadores de riesgo.</w:t>
      </w:r>
    </w:p>
    <w:p w14:paraId="273FCBCC" w14:textId="77777777" w:rsidR="00B2442D" w:rsidRDefault="00B2442D">
      <w:pPr>
        <w:jc w:val="both"/>
        <w:rPr>
          <w:rFonts w:ascii="Arial" w:hAnsi="Arial" w:cs="Arial"/>
          <w:lang w:val="es-CO"/>
        </w:rPr>
      </w:pPr>
    </w:p>
    <w:p w14:paraId="557A0EED" w14:textId="77777777" w:rsidR="00B2442D" w:rsidRDefault="008A645F">
      <w:pPr>
        <w:jc w:val="both"/>
        <w:rPr>
          <w:rFonts w:ascii="Arial" w:hAnsi="Arial" w:cs="Arial"/>
          <w:i/>
          <w:lang w:val="es-CO"/>
        </w:rPr>
      </w:pPr>
      <w:r>
        <w:rPr>
          <w:rFonts w:ascii="Arial" w:hAnsi="Arial" w:cs="Arial"/>
          <w:i/>
          <w:lang w:val="es-CO"/>
        </w:rPr>
        <w:t>(Art. 2, Decreto 563 de 2000)</w:t>
      </w:r>
    </w:p>
    <w:p w14:paraId="469B6E51" w14:textId="77777777" w:rsidR="00B2442D" w:rsidRDefault="00B2442D">
      <w:pPr>
        <w:jc w:val="both"/>
        <w:rPr>
          <w:rFonts w:ascii="Arial" w:hAnsi="Arial" w:cs="Arial"/>
          <w:b/>
          <w:lang w:val="es-CO"/>
        </w:rPr>
      </w:pPr>
    </w:p>
    <w:p w14:paraId="53E3F98F" w14:textId="77777777" w:rsidR="00B2442D" w:rsidRDefault="008A645F">
      <w:pPr>
        <w:pStyle w:val="Prrafodelista"/>
        <w:numPr>
          <w:ilvl w:val="0"/>
          <w:numId w:val="128"/>
        </w:numPr>
        <w:ind w:left="0" w:firstLine="0"/>
        <w:jc w:val="both"/>
        <w:rPr>
          <w:rFonts w:ascii="Arial" w:hAnsi="Arial" w:cs="Arial"/>
          <w:lang w:val="es-CO"/>
        </w:rPr>
      </w:pPr>
      <w:r>
        <w:rPr>
          <w:rFonts w:ascii="Arial" w:hAnsi="Arial" w:cs="Arial"/>
          <w:b/>
          <w:i/>
          <w:lang w:val="es-CO"/>
        </w:rPr>
        <w:t xml:space="preserve"> Responsabilidad solidaria.</w:t>
      </w:r>
      <w:r>
        <w:rPr>
          <w:rFonts w:ascii="Arial" w:hAnsi="Arial" w:cs="Arial"/>
          <w:lang w:val="es-CO"/>
        </w:rPr>
        <w:t xml:space="preserve"> De conformidad con lo establecido en el inciso 1° del artículo 793 del Estatuto Tributario, las personas naturales y jurídicas referidas en el literal b) del artículo en </w:t>
      </w:r>
      <w:r>
        <w:rPr>
          <w:rFonts w:ascii="Arial" w:hAnsi="Arial" w:cs="Arial"/>
          <w:lang w:val="es-CO"/>
        </w:rPr>
        <w:t>mención, modificado por el inciso 1° del parágrafo 2° del artículo 51 de la Ley 633 de 2000, responden solidariamente con el contribuyente, por el pago del impuesto, los intereses y la actualización.</w:t>
      </w:r>
    </w:p>
    <w:p w14:paraId="6BE9BE82" w14:textId="77777777" w:rsidR="00B2442D" w:rsidRDefault="00B2442D">
      <w:pPr>
        <w:jc w:val="both"/>
        <w:rPr>
          <w:rFonts w:ascii="Arial" w:hAnsi="Arial" w:cs="Arial"/>
          <w:i/>
          <w:lang w:val="es-CO"/>
        </w:rPr>
      </w:pPr>
    </w:p>
    <w:p w14:paraId="013E8016" w14:textId="77777777" w:rsidR="00B2442D" w:rsidRDefault="008A645F">
      <w:pPr>
        <w:jc w:val="both"/>
        <w:rPr>
          <w:rFonts w:ascii="Arial" w:hAnsi="Arial" w:cs="Arial"/>
          <w:i/>
          <w:lang w:val="es-CO"/>
        </w:rPr>
      </w:pPr>
      <w:r>
        <w:rPr>
          <w:rFonts w:ascii="Arial" w:hAnsi="Arial" w:cs="Arial"/>
          <w:i/>
          <w:lang w:val="es-CO"/>
        </w:rPr>
        <w:t>(Art. 5, Decreto 300 de 2001)</w:t>
      </w:r>
    </w:p>
    <w:p w14:paraId="55C46D09" w14:textId="77777777" w:rsidR="00B2442D" w:rsidRDefault="00B2442D">
      <w:pPr>
        <w:jc w:val="both"/>
        <w:rPr>
          <w:rFonts w:ascii="Arial" w:hAnsi="Arial" w:cs="Arial"/>
          <w:i/>
          <w:lang w:val="es-CO"/>
        </w:rPr>
      </w:pPr>
    </w:p>
    <w:p w14:paraId="6B97D014" w14:textId="77777777" w:rsidR="00B2442D" w:rsidRDefault="008A645F">
      <w:pPr>
        <w:pStyle w:val="Prrafodelista"/>
        <w:numPr>
          <w:ilvl w:val="0"/>
          <w:numId w:val="128"/>
        </w:numPr>
        <w:ind w:left="0" w:firstLine="0"/>
        <w:jc w:val="both"/>
        <w:rPr>
          <w:rFonts w:ascii="Arial" w:hAnsi="Arial" w:cs="Arial"/>
          <w:lang w:val="es-CO"/>
        </w:rPr>
      </w:pPr>
      <w:r>
        <w:rPr>
          <w:rFonts w:ascii="Arial" w:hAnsi="Arial" w:cs="Arial"/>
          <w:b/>
          <w:i/>
          <w:lang w:val="es-CO"/>
        </w:rPr>
        <w:t xml:space="preserve"> Obligación para los nue</w:t>
      </w:r>
      <w:r>
        <w:rPr>
          <w:rFonts w:ascii="Arial" w:hAnsi="Arial" w:cs="Arial"/>
          <w:b/>
          <w:i/>
          <w:lang w:val="es-CO"/>
        </w:rPr>
        <w:t>vos contribuyentes.</w:t>
      </w:r>
      <w:r>
        <w:rPr>
          <w:rFonts w:ascii="Arial" w:hAnsi="Arial" w:cs="Arial"/>
          <w:lang w:val="es-CO"/>
        </w:rPr>
        <w:t xml:space="preserve">  Para efectos de lo dispuesto en el artículo 19-2 del Estatuto Tributario, los contribuyentes del impuesto sobre la renta allí señalados, deberán llevar en su contabilidad cuentas separadas para las actividades industriales, comerciales</w:t>
      </w:r>
      <w:r>
        <w:rPr>
          <w:rFonts w:ascii="Arial" w:hAnsi="Arial" w:cs="Arial"/>
          <w:lang w:val="es-CO"/>
        </w:rPr>
        <w:t>, financieras distintas a la inversión de su patrimonio, y diferentes a las relacionadas con salud, educación, recreación y desarrollo social.</w:t>
      </w:r>
    </w:p>
    <w:p w14:paraId="3A168474" w14:textId="77777777" w:rsidR="00B2442D" w:rsidRDefault="00B2442D">
      <w:pPr>
        <w:jc w:val="both"/>
        <w:rPr>
          <w:rFonts w:ascii="Arial" w:hAnsi="Arial" w:cs="Arial"/>
          <w:lang w:val="es-CO"/>
        </w:rPr>
      </w:pPr>
    </w:p>
    <w:p w14:paraId="0CE43348" w14:textId="77777777" w:rsidR="00B2442D" w:rsidRDefault="008A645F">
      <w:pPr>
        <w:jc w:val="both"/>
        <w:rPr>
          <w:rFonts w:ascii="Arial" w:hAnsi="Arial" w:cs="Arial"/>
          <w:lang w:val="es-CO"/>
        </w:rPr>
      </w:pPr>
      <w:r>
        <w:rPr>
          <w:rFonts w:ascii="Arial" w:hAnsi="Arial" w:cs="Arial"/>
          <w:lang w:val="es-CO"/>
        </w:rPr>
        <w:t>Para tal efecto se consideran:</w:t>
      </w:r>
    </w:p>
    <w:p w14:paraId="298FFC2B" w14:textId="77777777" w:rsidR="00B2442D" w:rsidRDefault="00B2442D">
      <w:pPr>
        <w:jc w:val="both"/>
        <w:rPr>
          <w:rFonts w:ascii="Arial" w:hAnsi="Arial" w:cs="Arial"/>
          <w:lang w:val="es-CO"/>
        </w:rPr>
      </w:pPr>
    </w:p>
    <w:p w14:paraId="13C9BB24"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 xml:space="preserve">Actividades industriales: Las de extracción, transformación o </w:t>
      </w:r>
      <w:r>
        <w:rPr>
          <w:rFonts w:ascii="Arial" w:hAnsi="Arial" w:cs="Arial"/>
          <w:lang w:val="es-CO"/>
        </w:rPr>
        <w:t>producción de bienes corporales muebles que realicen en forma habitual, incluidos aquellos bienes corporales muebles que se convierten en inmuebles por adhesión o destinación.</w:t>
      </w:r>
    </w:p>
    <w:p w14:paraId="3D1D0C6D" w14:textId="77777777" w:rsidR="00B2442D" w:rsidRDefault="00B2442D">
      <w:pPr>
        <w:ind w:left="426" w:hanging="426"/>
        <w:jc w:val="both"/>
        <w:rPr>
          <w:rFonts w:ascii="Arial" w:hAnsi="Arial" w:cs="Arial"/>
          <w:lang w:val="es-CO"/>
        </w:rPr>
      </w:pPr>
    </w:p>
    <w:p w14:paraId="1E727BDB"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 xml:space="preserve">Actividades comerciales: Las actividades definidas como tales por el Código </w:t>
      </w:r>
      <w:r>
        <w:rPr>
          <w:rFonts w:ascii="Arial" w:hAnsi="Arial" w:cs="Arial"/>
          <w:lang w:val="es-CO"/>
        </w:rPr>
        <w:t>de Comercio.</w:t>
      </w:r>
    </w:p>
    <w:p w14:paraId="29063443" w14:textId="77777777" w:rsidR="00B2442D" w:rsidRDefault="00B2442D">
      <w:pPr>
        <w:ind w:left="426" w:hanging="426"/>
        <w:jc w:val="both"/>
        <w:rPr>
          <w:rFonts w:ascii="Arial" w:hAnsi="Arial" w:cs="Arial"/>
          <w:lang w:val="es-CO"/>
        </w:rPr>
      </w:pPr>
    </w:p>
    <w:p w14:paraId="6E0FAE8D"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Actividades financieras: Las actividades de captación y colocación de dineros del público en general, en forma habitual.</w:t>
      </w:r>
    </w:p>
    <w:p w14:paraId="6AA84A9C" w14:textId="77777777" w:rsidR="00B2442D" w:rsidRDefault="00B2442D">
      <w:pPr>
        <w:jc w:val="both"/>
        <w:rPr>
          <w:rFonts w:ascii="Arial" w:hAnsi="Arial" w:cs="Arial"/>
          <w:lang w:val="es-CO"/>
        </w:rPr>
      </w:pPr>
    </w:p>
    <w:p w14:paraId="55433862" w14:textId="77777777" w:rsidR="00B2442D" w:rsidRDefault="008A645F">
      <w:pPr>
        <w:jc w:val="both"/>
        <w:rPr>
          <w:rFonts w:ascii="Arial" w:hAnsi="Arial" w:cs="Arial"/>
          <w:i/>
          <w:lang w:val="es-CO"/>
        </w:rPr>
      </w:pPr>
      <w:r>
        <w:rPr>
          <w:rFonts w:ascii="Arial" w:hAnsi="Arial" w:cs="Arial"/>
          <w:i/>
          <w:lang w:val="es-CO"/>
        </w:rPr>
        <w:t>(Art. 1, Decreto 433 de 1999)</w:t>
      </w:r>
    </w:p>
    <w:p w14:paraId="0ED6EF28" w14:textId="77777777" w:rsidR="00B2442D" w:rsidRDefault="00B2442D">
      <w:pPr>
        <w:jc w:val="both"/>
        <w:rPr>
          <w:rFonts w:ascii="Arial" w:hAnsi="Arial" w:cs="Arial"/>
          <w:i/>
          <w:lang w:val="es-CO"/>
        </w:rPr>
      </w:pPr>
    </w:p>
    <w:p w14:paraId="66A1860E" w14:textId="77777777" w:rsidR="00B2442D" w:rsidRDefault="008A645F">
      <w:pPr>
        <w:pStyle w:val="Prrafodelista"/>
        <w:numPr>
          <w:ilvl w:val="0"/>
          <w:numId w:val="128"/>
        </w:numPr>
        <w:ind w:left="0" w:firstLine="0"/>
        <w:jc w:val="both"/>
        <w:rPr>
          <w:rFonts w:ascii="Arial" w:hAnsi="Arial" w:cs="Arial"/>
          <w:lang w:val="es-CO"/>
        </w:rPr>
      </w:pPr>
      <w:r>
        <w:rPr>
          <w:rFonts w:ascii="Arial" w:hAnsi="Arial" w:cs="Arial"/>
          <w:b/>
          <w:i/>
          <w:lang w:val="es-CO"/>
        </w:rPr>
        <w:t xml:space="preserve"> Contabilidad de las sociedades o entidades consideradas nacionales por tener su sede </w:t>
      </w:r>
      <w:r>
        <w:rPr>
          <w:rFonts w:ascii="Arial" w:hAnsi="Arial" w:cs="Arial"/>
          <w:b/>
          <w:i/>
          <w:lang w:val="es-CO"/>
        </w:rPr>
        <w:t>efectiva de administración en el territorio colombiano.</w:t>
      </w:r>
      <w:r>
        <w:rPr>
          <w:rFonts w:ascii="Arial" w:hAnsi="Arial" w:cs="Arial"/>
          <w:lang w:val="es-CO"/>
        </w:rPr>
        <w:t xml:space="preserve"> Las sociedades y entidades cuya sede efectiva de administración se encuentre en el territorio colombiano y que no hayan sido constituidas en Colombia y/o que no tengan su domicilio principal en el ter</w:t>
      </w:r>
      <w:r>
        <w:rPr>
          <w:rFonts w:ascii="Arial" w:hAnsi="Arial" w:cs="Arial"/>
          <w:lang w:val="es-CO"/>
        </w:rPr>
        <w:t>ritorio colombiano deberán, para efectos exclusivamente fiscales, llevar contabilidad cumpliendo con los mismos requisitos aplicables a los obligados a llevar contabilidad en Colombia.</w:t>
      </w:r>
    </w:p>
    <w:p w14:paraId="5DA0AD96" w14:textId="77777777" w:rsidR="00B2442D" w:rsidRDefault="00B2442D">
      <w:pPr>
        <w:jc w:val="both"/>
        <w:rPr>
          <w:rFonts w:ascii="Arial" w:hAnsi="Arial" w:cs="Arial"/>
          <w:lang w:val="es-CO"/>
        </w:rPr>
      </w:pPr>
    </w:p>
    <w:p w14:paraId="78303FE9" w14:textId="77777777" w:rsidR="00B2442D" w:rsidRDefault="008A645F">
      <w:pPr>
        <w:jc w:val="both"/>
        <w:rPr>
          <w:rFonts w:ascii="Arial" w:hAnsi="Arial" w:cs="Arial"/>
          <w:lang w:val="es-CO"/>
        </w:rPr>
      </w:pPr>
      <w:r>
        <w:rPr>
          <w:rFonts w:ascii="Arial" w:hAnsi="Arial" w:cs="Arial"/>
          <w:lang w:val="es-CO"/>
        </w:rPr>
        <w:t xml:space="preserve">Para efectos de lo dispuesto en el artículo 774 del Estatuto </w:t>
      </w:r>
      <w:r>
        <w:rPr>
          <w:rFonts w:ascii="Arial" w:hAnsi="Arial" w:cs="Arial"/>
          <w:lang w:val="es-CO"/>
        </w:rPr>
        <w:t>Tributario, los libros de contabilidad serán prueba suficiente cuando estos cumplan con los requisitos contenidos en dicho artículo o la norma que lo modifique, adicione o sustituya.</w:t>
      </w:r>
    </w:p>
    <w:p w14:paraId="6E10C77A" w14:textId="77777777" w:rsidR="00B2442D" w:rsidRDefault="00B2442D">
      <w:pPr>
        <w:jc w:val="both"/>
        <w:rPr>
          <w:rFonts w:ascii="Arial" w:hAnsi="Arial" w:cs="Arial"/>
          <w:lang w:val="es-CO"/>
        </w:rPr>
      </w:pPr>
    </w:p>
    <w:p w14:paraId="14C17AA6" w14:textId="77777777" w:rsidR="00B2442D" w:rsidRDefault="008A645F">
      <w:pPr>
        <w:jc w:val="both"/>
        <w:rPr>
          <w:rFonts w:ascii="Arial" w:hAnsi="Arial" w:cs="Arial"/>
          <w:i/>
          <w:lang w:val="es-CO"/>
        </w:rPr>
      </w:pPr>
      <w:r>
        <w:rPr>
          <w:rFonts w:ascii="Arial" w:hAnsi="Arial" w:cs="Arial"/>
          <w:i/>
          <w:lang w:val="es-CO"/>
        </w:rPr>
        <w:t>(Art. 9, Decreto 3028 de 2013)</w:t>
      </w:r>
    </w:p>
    <w:p w14:paraId="5D8AF85C" w14:textId="77777777" w:rsidR="00B2442D" w:rsidRDefault="00B2442D">
      <w:pPr>
        <w:jc w:val="both"/>
        <w:rPr>
          <w:rFonts w:ascii="Arial" w:hAnsi="Arial" w:cs="Arial"/>
          <w:lang w:val="es-CO"/>
        </w:rPr>
      </w:pPr>
    </w:p>
    <w:p w14:paraId="3766DB42" w14:textId="77777777" w:rsidR="00B2442D" w:rsidRDefault="008A645F">
      <w:pPr>
        <w:pStyle w:val="Ttulo4"/>
        <w:rPr>
          <w:lang w:val="es-CO"/>
        </w:rPr>
      </w:pPr>
      <w:r>
        <w:rPr>
          <w:lang w:val="es-CO"/>
        </w:rPr>
        <w:t>CAPÍTULO 28</w:t>
      </w:r>
    </w:p>
    <w:p w14:paraId="7FF633C9" w14:textId="77777777" w:rsidR="00B2442D" w:rsidRDefault="008A645F">
      <w:pPr>
        <w:pStyle w:val="Ttulo4"/>
        <w:rPr>
          <w:lang w:val="es-CO"/>
        </w:rPr>
      </w:pPr>
      <w:r>
        <w:rPr>
          <w:lang w:val="es-CO"/>
        </w:rPr>
        <w:t>Información que deben sumini</w:t>
      </w:r>
      <w:r>
        <w:rPr>
          <w:lang w:val="es-CO"/>
        </w:rPr>
        <w:t>strar las entidades públicas o privadas que celebren convenios de cooperación y asistencia técnica</w:t>
      </w:r>
    </w:p>
    <w:p w14:paraId="232DAACB" w14:textId="77777777" w:rsidR="00B2442D" w:rsidRDefault="00B2442D">
      <w:pPr>
        <w:rPr>
          <w:rFonts w:ascii="Arial" w:hAnsi="Arial" w:cs="Arial"/>
          <w:lang w:val="es-CO"/>
        </w:rPr>
      </w:pPr>
    </w:p>
    <w:p w14:paraId="29FE027E" w14:textId="77777777" w:rsidR="00B2442D" w:rsidRDefault="008A645F">
      <w:pPr>
        <w:pStyle w:val="Prrafodelista"/>
        <w:numPr>
          <w:ilvl w:val="0"/>
          <w:numId w:val="129"/>
        </w:numPr>
        <w:ind w:left="0" w:firstLine="0"/>
        <w:jc w:val="both"/>
        <w:rPr>
          <w:rFonts w:ascii="Arial" w:hAnsi="Arial" w:cs="Arial"/>
          <w:lang w:val="es-CO"/>
        </w:rPr>
      </w:pPr>
      <w:r>
        <w:rPr>
          <w:rFonts w:ascii="Arial" w:hAnsi="Arial" w:cs="Arial"/>
          <w:b/>
          <w:i/>
          <w:lang w:val="es-CO"/>
        </w:rPr>
        <w:t>Información que deben suministrar las entidades públicas o privadas que celebren convenios de cooperación y asistencia técnica.</w:t>
      </w:r>
      <w:r>
        <w:rPr>
          <w:rFonts w:ascii="Arial" w:hAnsi="Arial" w:cs="Arial"/>
          <w:lang w:val="es-CO"/>
        </w:rPr>
        <w:t xml:space="preserve"> A partir del 1° de enero de </w:t>
      </w:r>
      <w:r>
        <w:rPr>
          <w:rFonts w:ascii="Arial" w:hAnsi="Arial" w:cs="Arial"/>
          <w:lang w:val="es-CO"/>
        </w:rPr>
        <w:t>2008 las entidades públicas o privadas que celebren convenios de cooperación y asistencia técnica para el apoyo y ejecución de sus programas o proyectos, con organismos internacionales, deberán enviar a la Unidad Administrativa Especial Dirección de Impues</w:t>
      </w:r>
      <w:r>
        <w:rPr>
          <w:rFonts w:ascii="Arial" w:hAnsi="Arial" w:cs="Arial"/>
          <w:lang w:val="es-CO"/>
        </w:rPr>
        <w:t>tos y Aduanas Nacionales- DIAN, una relación mensual de todos los contratos vigentes con cargo a estos convenios, de acuerdo con lo previsto en el artículo 58 de la Ley 863 de 2003;</w:t>
      </w:r>
    </w:p>
    <w:p w14:paraId="10B25FF6" w14:textId="77777777" w:rsidR="00B2442D" w:rsidRDefault="00B2442D">
      <w:pPr>
        <w:jc w:val="both"/>
        <w:rPr>
          <w:rFonts w:ascii="Arial" w:hAnsi="Arial" w:cs="Arial"/>
          <w:lang w:val="es-CO"/>
        </w:rPr>
      </w:pPr>
    </w:p>
    <w:p w14:paraId="26181F16" w14:textId="77777777" w:rsidR="00B2442D" w:rsidRDefault="008A645F">
      <w:pPr>
        <w:jc w:val="both"/>
        <w:rPr>
          <w:rFonts w:ascii="Arial" w:hAnsi="Arial" w:cs="Arial"/>
          <w:lang w:val="es-CO"/>
        </w:rPr>
      </w:pPr>
      <w:r>
        <w:rPr>
          <w:rFonts w:ascii="Arial" w:hAnsi="Arial" w:cs="Arial"/>
          <w:lang w:val="es-CO"/>
        </w:rPr>
        <w:t>La información deberá contener:</w:t>
      </w:r>
    </w:p>
    <w:p w14:paraId="066D43BF" w14:textId="77777777" w:rsidR="00B2442D" w:rsidRDefault="00B2442D">
      <w:pPr>
        <w:jc w:val="both"/>
        <w:rPr>
          <w:rFonts w:ascii="Arial" w:hAnsi="Arial" w:cs="Arial"/>
          <w:lang w:val="es-CO"/>
        </w:rPr>
      </w:pPr>
    </w:p>
    <w:p w14:paraId="28CCA512" w14:textId="77777777" w:rsidR="00B2442D" w:rsidRDefault="008A645F">
      <w:pPr>
        <w:ind w:left="284" w:hanging="284"/>
        <w:jc w:val="both"/>
        <w:rPr>
          <w:rFonts w:ascii="Arial" w:hAnsi="Arial" w:cs="Arial"/>
          <w:lang w:val="es-CO"/>
        </w:rPr>
      </w:pPr>
      <w:r>
        <w:rPr>
          <w:rFonts w:ascii="Arial" w:hAnsi="Arial" w:cs="Arial"/>
          <w:lang w:val="es-CO"/>
        </w:rPr>
        <w:t>1. Identificación de los convenios en ej</w:t>
      </w:r>
      <w:r>
        <w:rPr>
          <w:rFonts w:ascii="Arial" w:hAnsi="Arial" w:cs="Arial"/>
          <w:lang w:val="es-CO"/>
        </w:rPr>
        <w:t>ecución.</w:t>
      </w:r>
    </w:p>
    <w:p w14:paraId="4DE55D3C" w14:textId="77777777" w:rsidR="00B2442D" w:rsidRDefault="008A645F">
      <w:pPr>
        <w:ind w:left="284" w:hanging="284"/>
        <w:jc w:val="both"/>
        <w:rPr>
          <w:rFonts w:ascii="Arial" w:hAnsi="Arial" w:cs="Arial"/>
          <w:lang w:val="es-CO"/>
        </w:rPr>
      </w:pPr>
      <w:r>
        <w:rPr>
          <w:rFonts w:ascii="Arial" w:hAnsi="Arial" w:cs="Arial"/>
          <w:lang w:val="es-CO"/>
        </w:rPr>
        <w:t>2. Relación de los contratos que se celebren en desarrollo de cada uno de los convenios, indicando el valor total y el término de ejecución de cada uno.</w:t>
      </w:r>
    </w:p>
    <w:p w14:paraId="73369B63"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Relación mensual de los pagos efectuados en virtud de los contratos, discriminando: </w:t>
      </w:r>
    </w:p>
    <w:p w14:paraId="10F427F1" w14:textId="77777777" w:rsidR="00B2442D" w:rsidRDefault="00B2442D">
      <w:pPr>
        <w:jc w:val="both"/>
        <w:rPr>
          <w:rFonts w:ascii="Arial" w:hAnsi="Arial" w:cs="Arial"/>
          <w:lang w:val="es-CO"/>
        </w:rPr>
      </w:pPr>
    </w:p>
    <w:p w14:paraId="01AD0F83" w14:textId="77777777" w:rsidR="00B2442D" w:rsidRDefault="008A645F">
      <w:pPr>
        <w:ind w:left="284" w:hanging="284"/>
        <w:jc w:val="both"/>
        <w:rPr>
          <w:rFonts w:ascii="Arial" w:hAnsi="Arial" w:cs="Arial"/>
          <w:lang w:val="es-CO"/>
        </w:rPr>
      </w:pPr>
      <w:r>
        <w:rPr>
          <w:rFonts w:ascii="Arial" w:hAnsi="Arial" w:cs="Arial"/>
          <w:lang w:val="es-CO"/>
        </w:rPr>
        <w:t>a) No</w:t>
      </w:r>
      <w:r>
        <w:rPr>
          <w:rFonts w:ascii="Arial" w:hAnsi="Arial" w:cs="Arial"/>
          <w:lang w:val="es-CO"/>
        </w:rPr>
        <w:t>mbre, NIT y dirección del beneficiario del pago;</w:t>
      </w:r>
    </w:p>
    <w:p w14:paraId="6738C897" w14:textId="77777777" w:rsidR="00B2442D" w:rsidRDefault="008A645F">
      <w:pPr>
        <w:ind w:left="284" w:hanging="284"/>
        <w:jc w:val="both"/>
        <w:rPr>
          <w:rFonts w:ascii="Arial" w:hAnsi="Arial" w:cs="Arial"/>
          <w:lang w:val="es-CO"/>
        </w:rPr>
      </w:pPr>
      <w:r>
        <w:rPr>
          <w:rFonts w:ascii="Arial" w:hAnsi="Arial" w:cs="Arial"/>
          <w:lang w:val="es-CO"/>
        </w:rPr>
        <w:t>b) Concepto del pago;</w:t>
      </w:r>
    </w:p>
    <w:p w14:paraId="087424F3" w14:textId="77777777" w:rsidR="00B2442D" w:rsidRDefault="008A645F">
      <w:pPr>
        <w:ind w:left="284" w:hanging="284"/>
        <w:jc w:val="both"/>
        <w:rPr>
          <w:rFonts w:ascii="Arial" w:hAnsi="Arial" w:cs="Arial"/>
          <w:lang w:val="es-CO"/>
        </w:rPr>
      </w:pPr>
      <w:r>
        <w:rPr>
          <w:rFonts w:ascii="Arial" w:hAnsi="Arial" w:cs="Arial"/>
          <w:lang w:val="es-CO"/>
        </w:rPr>
        <w:t>c) Valor del pago;</w:t>
      </w:r>
    </w:p>
    <w:p w14:paraId="6ABA2B75" w14:textId="77777777" w:rsidR="00B2442D" w:rsidRDefault="008A645F">
      <w:pPr>
        <w:ind w:left="284" w:hanging="284"/>
        <w:jc w:val="both"/>
        <w:rPr>
          <w:rFonts w:ascii="Arial" w:hAnsi="Arial" w:cs="Arial"/>
          <w:lang w:val="es-CO"/>
        </w:rPr>
      </w:pPr>
      <w:r>
        <w:rPr>
          <w:rFonts w:ascii="Arial" w:hAnsi="Arial" w:cs="Arial"/>
          <w:lang w:val="es-CO"/>
        </w:rPr>
        <w:t>d) Monto de las retenciones en la fuente practicadas a título de los impuestos administrados por la Unidad Administrativa Especial Dirección de Impuestos y Aduanas Na</w:t>
      </w:r>
      <w:r>
        <w:rPr>
          <w:rFonts w:ascii="Arial" w:hAnsi="Arial" w:cs="Arial"/>
          <w:lang w:val="es-CO"/>
        </w:rPr>
        <w:t>cionales- DIAN;</w:t>
      </w:r>
    </w:p>
    <w:p w14:paraId="032215A7" w14:textId="77777777" w:rsidR="00B2442D" w:rsidRDefault="008A645F">
      <w:pPr>
        <w:ind w:left="284" w:hanging="284"/>
        <w:jc w:val="both"/>
        <w:rPr>
          <w:rFonts w:ascii="Arial" w:hAnsi="Arial" w:cs="Arial"/>
          <w:lang w:val="es-CO"/>
        </w:rPr>
      </w:pPr>
      <w:r>
        <w:rPr>
          <w:rFonts w:ascii="Arial" w:hAnsi="Arial" w:cs="Arial"/>
          <w:lang w:val="es-CO"/>
        </w:rPr>
        <w:t>e) Valor del impuesto sobre las ventas descontable correspondiente al periodo que se reporta.</w:t>
      </w:r>
    </w:p>
    <w:p w14:paraId="4DA55B98" w14:textId="77777777" w:rsidR="00B2442D" w:rsidRDefault="00B2442D">
      <w:pPr>
        <w:jc w:val="both"/>
        <w:rPr>
          <w:rFonts w:ascii="Arial" w:hAnsi="Arial" w:cs="Arial"/>
          <w:lang w:val="es-CO"/>
        </w:rPr>
      </w:pPr>
    </w:p>
    <w:p w14:paraId="5BB7AB57"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información a que se refiere el presente artículo, deberá ser enviada a más tardar el último día hábil del mes siguiente al periodo</w:t>
      </w:r>
      <w:r>
        <w:rPr>
          <w:rFonts w:ascii="Arial" w:hAnsi="Arial" w:cs="Arial"/>
          <w:lang w:val="es-CO"/>
        </w:rPr>
        <w:t xml:space="preserve"> objeto de reporte.</w:t>
      </w:r>
    </w:p>
    <w:p w14:paraId="30350046" w14:textId="77777777" w:rsidR="00B2442D" w:rsidRDefault="00B2442D">
      <w:pPr>
        <w:jc w:val="both"/>
        <w:rPr>
          <w:rFonts w:ascii="Arial" w:hAnsi="Arial" w:cs="Arial"/>
          <w:lang w:val="es-CO"/>
        </w:rPr>
      </w:pPr>
    </w:p>
    <w:p w14:paraId="7C5844D5" w14:textId="77777777" w:rsidR="00B2442D" w:rsidRDefault="008A645F">
      <w:pPr>
        <w:jc w:val="both"/>
        <w:rPr>
          <w:rFonts w:ascii="Arial" w:hAnsi="Arial" w:cs="Arial"/>
          <w:i/>
          <w:lang w:val="es-CO"/>
        </w:rPr>
      </w:pPr>
      <w:r>
        <w:rPr>
          <w:rFonts w:ascii="Arial" w:hAnsi="Arial" w:cs="Arial"/>
          <w:i/>
          <w:lang w:val="es-CO"/>
        </w:rPr>
        <w:t>(Art. 1, Decreto 4660 de 2007)</w:t>
      </w:r>
      <w:r>
        <w:rPr>
          <w:rFonts w:ascii="Arial" w:hAnsi="Arial" w:cs="Arial"/>
        </w:rPr>
        <w:t xml:space="preserve"> (</w:t>
      </w:r>
      <w:r>
        <w:rPr>
          <w:rFonts w:ascii="Arial" w:hAnsi="Arial" w:cs="Arial"/>
          <w:i/>
          <w:lang w:val="es-CO"/>
        </w:rPr>
        <w:t>El Decreto 4660 de 2007 rige a partir del 1° de enero de 2008, previa su publicación en el Diario Oficial y deroga las disposiciones que le sean contrarias, en especial el Decreto 537 de 2004. Art. 2, De</w:t>
      </w:r>
      <w:r>
        <w:rPr>
          <w:rFonts w:ascii="Arial" w:hAnsi="Arial" w:cs="Arial"/>
          <w:i/>
          <w:lang w:val="es-CO"/>
        </w:rPr>
        <w:t>creto 4660 de 2007)</w:t>
      </w:r>
    </w:p>
    <w:p w14:paraId="6155A38D" w14:textId="77777777" w:rsidR="00B2442D" w:rsidRDefault="00B2442D">
      <w:pPr>
        <w:jc w:val="both"/>
        <w:rPr>
          <w:rFonts w:ascii="Arial" w:hAnsi="Arial" w:cs="Arial"/>
          <w:lang w:val="es-CO"/>
        </w:rPr>
      </w:pPr>
    </w:p>
    <w:p w14:paraId="2D7041F3" w14:textId="77777777" w:rsidR="00B2442D" w:rsidRDefault="008A645F">
      <w:pPr>
        <w:pStyle w:val="Ttulo3"/>
      </w:pPr>
      <w:bookmarkStart w:id="44" w:name="_Toc479171199"/>
      <w:r>
        <w:t>TÍTULO 2</w:t>
      </w:r>
      <w:bookmarkEnd w:id="44"/>
    </w:p>
    <w:p w14:paraId="469EC611" w14:textId="77777777" w:rsidR="00B2442D" w:rsidRDefault="008A645F">
      <w:pPr>
        <w:pStyle w:val="Ttulo3"/>
      </w:pPr>
      <w:bookmarkStart w:id="45" w:name="_Toc479171200"/>
      <w:r>
        <w:t>Procedimiento Administrativo de Cobro Coactivo</w:t>
      </w:r>
      <w:bookmarkEnd w:id="45"/>
    </w:p>
    <w:p w14:paraId="54215C42" w14:textId="77777777" w:rsidR="00B2442D" w:rsidRDefault="00B2442D">
      <w:pPr>
        <w:jc w:val="center"/>
        <w:rPr>
          <w:rFonts w:ascii="Arial" w:hAnsi="Arial" w:cs="Arial"/>
          <w:b/>
          <w:lang w:val="es-CO"/>
        </w:rPr>
      </w:pPr>
    </w:p>
    <w:p w14:paraId="1EDD20E7" w14:textId="77777777" w:rsidR="00B2442D" w:rsidRDefault="008A645F">
      <w:pPr>
        <w:pStyle w:val="Ttulo4"/>
      </w:pPr>
      <w:r>
        <w:t>CAPÍTULO 1</w:t>
      </w:r>
    </w:p>
    <w:p w14:paraId="2443F7FD" w14:textId="77777777" w:rsidR="00B2442D" w:rsidRDefault="008A645F">
      <w:pPr>
        <w:pStyle w:val="Ttulo4"/>
      </w:pPr>
      <w:r>
        <w:t>Procedimiento Administrativo de Cobro Coactivo aplicable a las instituciones financieras públicas en liquidación</w:t>
      </w:r>
    </w:p>
    <w:p w14:paraId="5E8D75FB" w14:textId="77777777" w:rsidR="00B2442D" w:rsidRDefault="00B2442D">
      <w:pPr>
        <w:jc w:val="both"/>
        <w:rPr>
          <w:rFonts w:ascii="Arial" w:hAnsi="Arial" w:cs="Arial"/>
          <w:lang w:val="es-CO"/>
        </w:rPr>
      </w:pPr>
    </w:p>
    <w:p w14:paraId="73F40C8D" w14:textId="77777777" w:rsidR="00B2442D" w:rsidRDefault="008A645F">
      <w:pPr>
        <w:pStyle w:val="Prrafodelista"/>
        <w:numPr>
          <w:ilvl w:val="0"/>
          <w:numId w:val="130"/>
        </w:numPr>
        <w:ind w:left="0" w:firstLine="0"/>
        <w:jc w:val="both"/>
        <w:rPr>
          <w:rFonts w:ascii="Arial" w:hAnsi="Arial" w:cs="Arial"/>
          <w:lang w:val="es-CO"/>
        </w:rPr>
      </w:pPr>
      <w:r>
        <w:rPr>
          <w:rFonts w:ascii="Arial" w:hAnsi="Arial" w:cs="Arial"/>
          <w:b/>
          <w:i/>
          <w:lang w:val="es-CO"/>
        </w:rPr>
        <w:t>Ámbito de aplicación</w:t>
      </w:r>
      <w:r>
        <w:rPr>
          <w:rFonts w:ascii="Arial" w:hAnsi="Arial" w:cs="Arial"/>
          <w:b/>
          <w:lang w:val="es-CO"/>
        </w:rPr>
        <w:t>.</w:t>
      </w:r>
      <w:r>
        <w:rPr>
          <w:rFonts w:ascii="Arial" w:hAnsi="Arial" w:cs="Arial"/>
          <w:lang w:val="es-CO"/>
        </w:rPr>
        <w:t xml:space="preserve"> Las disposiciones del presente capitulo serán aplicables a las instituciones financieras públicas en liquidación, con independencia de la modalidad de procedimiento de liquidación utilizado.</w:t>
      </w:r>
    </w:p>
    <w:p w14:paraId="74926C6A" w14:textId="77777777" w:rsidR="00B2442D" w:rsidRDefault="00B2442D">
      <w:pPr>
        <w:jc w:val="both"/>
        <w:rPr>
          <w:rFonts w:ascii="Arial" w:hAnsi="Arial" w:cs="Arial"/>
          <w:lang w:val="es-CO"/>
        </w:rPr>
      </w:pPr>
    </w:p>
    <w:p w14:paraId="30560DA1" w14:textId="77777777" w:rsidR="00B2442D" w:rsidRDefault="008A645F">
      <w:pPr>
        <w:jc w:val="both"/>
        <w:rPr>
          <w:rFonts w:ascii="Arial" w:hAnsi="Arial" w:cs="Arial"/>
          <w:lang w:val="es-CO"/>
        </w:rPr>
      </w:pPr>
      <w:r>
        <w:rPr>
          <w:rFonts w:ascii="Arial" w:hAnsi="Arial" w:cs="Arial"/>
          <w:lang w:val="es-CO"/>
        </w:rPr>
        <w:t>El presente capitulo será aplicable a las entidades con partici</w:t>
      </w:r>
      <w:r>
        <w:rPr>
          <w:rFonts w:ascii="Arial" w:hAnsi="Arial" w:cs="Arial"/>
          <w:lang w:val="es-CO"/>
        </w:rPr>
        <w:t>pación accionaria mayoritaria de la Nación o de sus entidades descentralizadas, las entidades nacionalizadas y las sociedades de economía mixta con régimen de empresa industrial y comercial del Estado, cuya naturaleza se haya definido como de entidad o ins</w:t>
      </w:r>
      <w:r>
        <w:rPr>
          <w:rFonts w:ascii="Arial" w:hAnsi="Arial" w:cs="Arial"/>
          <w:lang w:val="es-CO"/>
        </w:rPr>
        <w:t>titución financiera o cuyo objeto social consista en alguna de las modalidades de manejo, aprovechamiento o inversión de recursos captados del público, respecto de la cual se haya dispuesto o disponga la liquidación.</w:t>
      </w:r>
    </w:p>
    <w:p w14:paraId="70559B59" w14:textId="77777777" w:rsidR="00B2442D" w:rsidRDefault="00B2442D">
      <w:pPr>
        <w:jc w:val="both"/>
        <w:rPr>
          <w:rFonts w:ascii="Arial" w:hAnsi="Arial" w:cs="Arial"/>
          <w:lang w:val="es-CO"/>
        </w:rPr>
      </w:pPr>
    </w:p>
    <w:p w14:paraId="1F359893" w14:textId="77777777" w:rsidR="00B2442D" w:rsidRDefault="008A645F">
      <w:pPr>
        <w:jc w:val="both"/>
        <w:rPr>
          <w:rFonts w:ascii="Arial" w:hAnsi="Arial" w:cs="Arial"/>
          <w:i/>
          <w:lang w:val="es-CO"/>
        </w:rPr>
      </w:pPr>
      <w:r>
        <w:rPr>
          <w:rFonts w:ascii="Arial" w:hAnsi="Arial" w:cs="Arial"/>
          <w:i/>
          <w:lang w:val="es-CO"/>
        </w:rPr>
        <w:t>(Art. 1, Decreto 2721 de 2003)</w:t>
      </w:r>
    </w:p>
    <w:p w14:paraId="662B00F6" w14:textId="77777777" w:rsidR="00B2442D" w:rsidRDefault="00B2442D">
      <w:pPr>
        <w:jc w:val="both"/>
        <w:rPr>
          <w:rFonts w:ascii="Arial" w:hAnsi="Arial" w:cs="Arial"/>
          <w:i/>
          <w:lang w:val="es-CO"/>
        </w:rPr>
      </w:pPr>
    </w:p>
    <w:p w14:paraId="1AD0DB19" w14:textId="77777777" w:rsidR="00B2442D" w:rsidRDefault="008A645F">
      <w:pPr>
        <w:pStyle w:val="Prrafodelista"/>
        <w:numPr>
          <w:ilvl w:val="0"/>
          <w:numId w:val="130"/>
        </w:numPr>
        <w:ind w:left="0" w:firstLine="0"/>
        <w:jc w:val="both"/>
        <w:rPr>
          <w:rFonts w:ascii="Arial" w:hAnsi="Arial" w:cs="Arial"/>
          <w:lang w:val="es-CO"/>
        </w:rPr>
      </w:pPr>
      <w:r>
        <w:rPr>
          <w:rFonts w:ascii="Arial" w:hAnsi="Arial" w:cs="Arial"/>
          <w:b/>
          <w:i/>
          <w:lang w:val="es-CO"/>
        </w:rPr>
        <w:t>Proced</w:t>
      </w:r>
      <w:r>
        <w:rPr>
          <w:rFonts w:ascii="Arial" w:hAnsi="Arial" w:cs="Arial"/>
          <w:b/>
          <w:i/>
          <w:lang w:val="es-CO"/>
        </w:rPr>
        <w:t>imiento para extinción de obligaciones tributarias</w:t>
      </w:r>
      <w:r>
        <w:rPr>
          <w:rFonts w:ascii="Arial" w:hAnsi="Arial" w:cs="Arial"/>
          <w:b/>
          <w:lang w:val="es-CO"/>
        </w:rPr>
        <w:t>.</w:t>
      </w:r>
      <w:r>
        <w:rPr>
          <w:rFonts w:ascii="Arial" w:hAnsi="Arial" w:cs="Arial"/>
          <w:lang w:val="es-CO"/>
        </w:rPr>
        <w:t xml:space="preserve"> Podrán extinguirse las obligaciones a cargo de instituciones financieras públicas en liquidación por concepto de impuestos y multas derivados de obligaciones tributarias, siempre y cuando se trate de aque</w:t>
      </w:r>
      <w:r>
        <w:rPr>
          <w:rFonts w:ascii="Arial" w:hAnsi="Arial" w:cs="Arial"/>
          <w:lang w:val="es-CO"/>
        </w:rPr>
        <w:t>llos que de acuerdo con las normas de prelación de créditos previstas en el artículo 2495 del Código Civil correspondan a créditos de primera clase y se surta el siguiente procedimiento:</w:t>
      </w:r>
    </w:p>
    <w:p w14:paraId="59721FFA" w14:textId="77777777" w:rsidR="00B2442D" w:rsidRDefault="00B2442D">
      <w:pPr>
        <w:jc w:val="both"/>
        <w:rPr>
          <w:rFonts w:ascii="Arial" w:hAnsi="Arial" w:cs="Arial"/>
          <w:lang w:val="es-CO"/>
        </w:rPr>
      </w:pPr>
    </w:p>
    <w:p w14:paraId="0A41A81E"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El liquidador deberá presentar un estudio de la(s) obligación(es)</w:t>
      </w:r>
      <w:r>
        <w:rPr>
          <w:rFonts w:ascii="Arial" w:hAnsi="Arial" w:cs="Arial"/>
          <w:lang w:val="es-CO"/>
        </w:rPr>
        <w:t xml:space="preserve"> a extinguir ante el Fondo de Garantías de Instituciones Financieras, que demuestre la concurrencia de los siguientes factores:</w:t>
      </w:r>
    </w:p>
    <w:p w14:paraId="13DB48C3" w14:textId="77777777" w:rsidR="00B2442D" w:rsidRDefault="00B2442D">
      <w:pPr>
        <w:jc w:val="both"/>
        <w:rPr>
          <w:rFonts w:ascii="Arial" w:hAnsi="Arial" w:cs="Arial"/>
          <w:lang w:val="es-CO"/>
        </w:rPr>
      </w:pPr>
    </w:p>
    <w:p w14:paraId="5E832DB7"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 insuficiencia de activos para cancelar la totalidad de las acreencias de la entidad, sustentada en un plan de pagos elabo</w:t>
      </w:r>
      <w:r>
        <w:rPr>
          <w:rFonts w:ascii="Arial" w:hAnsi="Arial" w:cs="Arial"/>
          <w:lang w:val="es-CO"/>
        </w:rPr>
        <w:t>rado de acuerdo con la prelación de créditos y en los estados financieros correspondientes al último corte de ejercicio, siempre y cuando este corresponda a los tres (3) meses anteriores a la fecha de presentación del estudio. En caso contrario, este se de</w:t>
      </w:r>
      <w:r>
        <w:rPr>
          <w:rFonts w:ascii="Arial" w:hAnsi="Arial" w:cs="Arial"/>
          <w:lang w:val="es-CO"/>
        </w:rPr>
        <w:t xml:space="preserve">berá adelantar con base en los estados financieros intermedios más recientes. La insuficiencia de activos deberá ser certificada por el liquidador y el revisor fiscal o contralor, y </w:t>
      </w:r>
    </w:p>
    <w:p w14:paraId="697DAD41" w14:textId="77777777" w:rsidR="00B2442D" w:rsidRDefault="00B2442D">
      <w:pPr>
        <w:ind w:left="284" w:hanging="284"/>
        <w:jc w:val="both"/>
        <w:rPr>
          <w:rFonts w:ascii="Arial" w:hAnsi="Arial" w:cs="Arial"/>
          <w:lang w:val="es-CO"/>
        </w:rPr>
      </w:pPr>
    </w:p>
    <w:p w14:paraId="156C8669"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 xml:space="preserve">Que la decisión de extinguir la(s) obligación(es) por este concepto, </w:t>
      </w:r>
      <w:r>
        <w:rPr>
          <w:rFonts w:ascii="Arial" w:hAnsi="Arial" w:cs="Arial"/>
          <w:lang w:val="es-CO"/>
        </w:rPr>
        <w:t>produciría alguno de los siguientes efectos: Se evitaría la destinación total o parcial de recursos provenientes del Presupuesto Nacional o del Fondo de Garantías de Instituciones Financieras para cubrir necesidades de la liquidación, los dineros que se gi</w:t>
      </w:r>
      <w:r>
        <w:rPr>
          <w:rFonts w:ascii="Arial" w:hAnsi="Arial" w:cs="Arial"/>
          <w:lang w:val="es-CO"/>
        </w:rPr>
        <w:t>rarían por este concepto se verían disminuidos, o la celeridad en la culminación del proceso de liquidación aumentará de tal forma que se justifica la decisión.</w:t>
      </w:r>
    </w:p>
    <w:p w14:paraId="7F6D1DEB" w14:textId="77777777" w:rsidR="00B2442D" w:rsidRDefault="00B2442D">
      <w:pPr>
        <w:jc w:val="both"/>
        <w:rPr>
          <w:rFonts w:ascii="Arial" w:hAnsi="Arial" w:cs="Arial"/>
          <w:lang w:val="es-CO"/>
        </w:rPr>
      </w:pPr>
    </w:p>
    <w:p w14:paraId="1821ADEB"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El Director del Fondo de Garantías de Instituciones Financieras deberá solicitar la cuantif</w:t>
      </w:r>
      <w:r>
        <w:rPr>
          <w:rFonts w:ascii="Arial" w:hAnsi="Arial" w:cs="Arial"/>
          <w:lang w:val="es-CO"/>
        </w:rPr>
        <w:t>icación de las obligaciones por concepto de impuestos y/o multas derivadas de obligaciones tributarias a cargo de la respectiva institución financiera pública en liquidación a la Unidad Administrativa Especial Dirección de Impuestos y Aduanas Nacionales- D</w:t>
      </w:r>
      <w:r>
        <w:rPr>
          <w:rFonts w:ascii="Arial" w:hAnsi="Arial" w:cs="Arial"/>
          <w:lang w:val="es-CO"/>
        </w:rPr>
        <w:t>IAN, la cual deberá pronunciarse, sobre la solicitud, dentro de los diez (10) días hábiles siguientes a la fecha de su recepción.</w:t>
      </w:r>
    </w:p>
    <w:p w14:paraId="5F19D96D" w14:textId="77777777" w:rsidR="00B2442D" w:rsidRDefault="00B2442D">
      <w:pPr>
        <w:ind w:left="284" w:hanging="284"/>
        <w:jc w:val="both"/>
        <w:rPr>
          <w:rFonts w:ascii="Arial" w:hAnsi="Arial" w:cs="Arial"/>
          <w:lang w:val="es-CO"/>
        </w:rPr>
      </w:pPr>
    </w:p>
    <w:p w14:paraId="7DB70841" w14:textId="77777777" w:rsidR="00B2442D" w:rsidRDefault="008A645F">
      <w:pPr>
        <w:ind w:left="284" w:hanging="284"/>
        <w:jc w:val="both"/>
        <w:rPr>
          <w:rFonts w:ascii="Arial" w:hAnsi="Arial" w:cs="Arial"/>
          <w:lang w:val="es-CO"/>
        </w:rPr>
      </w:pPr>
      <w:r>
        <w:rPr>
          <w:rFonts w:ascii="Arial" w:hAnsi="Arial" w:cs="Arial"/>
          <w:lang w:val="es-CO"/>
        </w:rPr>
        <w:t>3.</w:t>
      </w:r>
      <w:r>
        <w:rPr>
          <w:rFonts w:ascii="Arial" w:hAnsi="Arial" w:cs="Arial"/>
          <w:lang w:val="es-CO"/>
        </w:rPr>
        <w:tab/>
        <w:t xml:space="preserve">Recibida la anterior información, el Director del Fondo de Garantías de Instituciones Financieras deberá conceptuar sobre </w:t>
      </w:r>
      <w:r>
        <w:rPr>
          <w:rFonts w:ascii="Arial" w:hAnsi="Arial" w:cs="Arial"/>
          <w:lang w:val="es-CO"/>
        </w:rPr>
        <w:t>la procedencia de la medida y enviar informe al Ministerio de Hacienda y Crédito Público adjuntando el estudio presentado por el liquidador y la información suministrada por la Unidad Administrativa Especial Dirección de Impuestos y Aduanas Nacionales- DIA</w:t>
      </w:r>
      <w:r>
        <w:rPr>
          <w:rFonts w:ascii="Arial" w:hAnsi="Arial" w:cs="Arial"/>
          <w:lang w:val="es-CO"/>
        </w:rPr>
        <w:t xml:space="preserve">N, para someterlo a la consideración del Comité de Conciliación de dicho Ministerio. A la sesión en la que se discuta la respectiva extinción podrán ser invitados el Director del Fondo de Garantías de Instituciones Financieras, el Viceministro Técnico del </w:t>
      </w:r>
      <w:r>
        <w:rPr>
          <w:rFonts w:ascii="Arial" w:hAnsi="Arial" w:cs="Arial"/>
          <w:lang w:val="es-CO"/>
        </w:rPr>
        <w:t>Ministerio de Hacienda y Crédito Público y el Director de Impuestos y Aduanas Nacionales- DIAN o sus delegados, quienes participarán con voz pero sin voto.</w:t>
      </w:r>
    </w:p>
    <w:p w14:paraId="71C4A7C3" w14:textId="77777777" w:rsidR="00B2442D" w:rsidRDefault="00B2442D">
      <w:pPr>
        <w:ind w:left="284" w:hanging="284"/>
        <w:jc w:val="both"/>
        <w:rPr>
          <w:rFonts w:ascii="Arial" w:hAnsi="Arial" w:cs="Arial"/>
          <w:lang w:val="es-CO"/>
        </w:rPr>
      </w:pPr>
    </w:p>
    <w:p w14:paraId="2064D150" w14:textId="77777777" w:rsidR="00B2442D" w:rsidRDefault="008A645F">
      <w:pPr>
        <w:ind w:left="284" w:hanging="284"/>
        <w:jc w:val="both"/>
        <w:rPr>
          <w:rFonts w:ascii="Arial" w:hAnsi="Arial" w:cs="Arial"/>
          <w:lang w:val="es-CO"/>
        </w:rPr>
      </w:pPr>
      <w:r>
        <w:rPr>
          <w:rFonts w:ascii="Arial" w:hAnsi="Arial" w:cs="Arial"/>
          <w:lang w:val="es-CO"/>
        </w:rPr>
        <w:t>4.</w:t>
      </w:r>
      <w:r>
        <w:rPr>
          <w:rFonts w:ascii="Arial" w:hAnsi="Arial" w:cs="Arial"/>
          <w:lang w:val="es-CO"/>
        </w:rPr>
        <w:tab/>
        <w:t xml:space="preserve">El Comité de Conciliación del Ministerio de Hacienda y Crédito Público deberá </w:t>
      </w:r>
      <w:r>
        <w:rPr>
          <w:rFonts w:ascii="Arial" w:hAnsi="Arial" w:cs="Arial"/>
          <w:lang w:val="es-CO"/>
        </w:rPr>
        <w:t>pronunciarse dentro de los quince (15) días hábiles siguientes a la fecha de recepción del concepto por parte del Fondo de Garantías de Instituciones Financieras. De ser favorable el pronunciamiento, el Ministro de Hacienda y Crédito Público o su delegado,</w:t>
      </w:r>
      <w:r>
        <w:rPr>
          <w:rFonts w:ascii="Arial" w:hAnsi="Arial" w:cs="Arial"/>
          <w:lang w:val="es-CO"/>
        </w:rPr>
        <w:t xml:space="preserve"> podrá suscribir con el liquidador una convención extintiva de la(s) obligación(es), en cuyo texto deberá incluirse una cláusula en el sentido que de subsistir recursos, el liquidador de la entidad deberá girar al Tesoro Nacional una suma hasta por el mont</w:t>
      </w:r>
      <w:r>
        <w:rPr>
          <w:rFonts w:ascii="Arial" w:hAnsi="Arial" w:cs="Arial"/>
          <w:lang w:val="es-CO"/>
        </w:rPr>
        <w:t>o equivalente al valor del(os) impuesto(s) y la(s) multa(s) correspondiente(s) a la(s) obligación(es) tributaria(s) extinta(s) con anterioridad a cualquier pago del pasivo interno de la liquidación.</w:t>
      </w:r>
    </w:p>
    <w:p w14:paraId="56BEAC13" w14:textId="77777777" w:rsidR="00B2442D" w:rsidRDefault="00B2442D">
      <w:pPr>
        <w:jc w:val="both"/>
        <w:rPr>
          <w:rFonts w:ascii="Arial" w:hAnsi="Arial" w:cs="Arial"/>
          <w:lang w:val="es-CO"/>
        </w:rPr>
      </w:pPr>
    </w:p>
    <w:p w14:paraId="6BDC2FB7"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Las entidades involucradas en el procedimie</w:t>
      </w:r>
      <w:r>
        <w:rPr>
          <w:rFonts w:ascii="Arial" w:hAnsi="Arial" w:cs="Arial"/>
          <w:lang w:val="es-CO"/>
        </w:rPr>
        <w:t>nto descrito en el presente artículo podrán solicitar la información y documentación que estimen necesaria sobre la materia para adelantar adecuadamente su labor.</w:t>
      </w:r>
    </w:p>
    <w:p w14:paraId="791F5F03" w14:textId="77777777" w:rsidR="00B2442D" w:rsidRDefault="00B2442D">
      <w:pPr>
        <w:jc w:val="both"/>
        <w:rPr>
          <w:rFonts w:ascii="Arial" w:hAnsi="Arial" w:cs="Arial"/>
          <w:lang w:val="es-CO"/>
        </w:rPr>
      </w:pPr>
    </w:p>
    <w:p w14:paraId="438CE6B5"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Para determinar si los activos con que cuenta la liquidación para el pago de la</w:t>
      </w:r>
      <w:r>
        <w:rPr>
          <w:rFonts w:ascii="Arial" w:hAnsi="Arial" w:cs="Arial"/>
          <w:lang w:val="es-CO"/>
        </w:rPr>
        <w:t>s obligaciones son suficientes, solo podrán tenerse en cuenta las obligaciones ciertas y exigibles al momento de la presentación del estudio, y las obligaciones condicionales y litigiosas respecto de las cuales se haya constituido la respectiva provisión.</w:t>
      </w:r>
    </w:p>
    <w:p w14:paraId="0F7B87E5" w14:textId="77777777" w:rsidR="00B2442D" w:rsidRDefault="00B2442D">
      <w:pPr>
        <w:jc w:val="both"/>
        <w:rPr>
          <w:rFonts w:ascii="Arial" w:hAnsi="Arial" w:cs="Arial"/>
          <w:lang w:val="es-CO"/>
        </w:rPr>
      </w:pPr>
    </w:p>
    <w:p w14:paraId="11192360"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En el evento en que se hayan adelantado acciones ante la jurisdicción contencioso - administrativa, relacionadas con las obligaciones a extinguir, para la suscripción de la convención extintiva de la obligación se tramitará desistimiento prev</w:t>
      </w:r>
      <w:r>
        <w:rPr>
          <w:rFonts w:ascii="Arial" w:hAnsi="Arial" w:cs="Arial"/>
          <w:lang w:val="es-CO"/>
        </w:rPr>
        <w:t>io ante el juez competente. En este caso no se requerirá un nuevo pronunciamiento del Comité de Conciliación del Ministerio de Hacienda y Crédito Público.</w:t>
      </w:r>
    </w:p>
    <w:p w14:paraId="0C6EE2C9" w14:textId="77777777" w:rsidR="00B2442D" w:rsidRDefault="00B2442D">
      <w:pPr>
        <w:jc w:val="both"/>
        <w:rPr>
          <w:rFonts w:ascii="Arial" w:hAnsi="Arial" w:cs="Arial"/>
          <w:lang w:val="es-CO"/>
        </w:rPr>
      </w:pPr>
    </w:p>
    <w:p w14:paraId="14FEE262" w14:textId="77777777" w:rsidR="00B2442D" w:rsidRDefault="008A645F">
      <w:pPr>
        <w:jc w:val="both"/>
        <w:rPr>
          <w:rFonts w:ascii="Arial" w:hAnsi="Arial" w:cs="Arial"/>
          <w:i/>
          <w:lang w:val="es-CO"/>
        </w:rPr>
      </w:pPr>
      <w:r>
        <w:rPr>
          <w:rFonts w:ascii="Arial" w:hAnsi="Arial" w:cs="Arial"/>
          <w:i/>
          <w:lang w:val="es-CO"/>
        </w:rPr>
        <w:t>(Art. 2, Decreto 2721 de 2003)</w:t>
      </w:r>
    </w:p>
    <w:p w14:paraId="113F8745" w14:textId="77777777" w:rsidR="00B2442D" w:rsidRDefault="00B2442D">
      <w:pPr>
        <w:jc w:val="both"/>
        <w:rPr>
          <w:rFonts w:ascii="Arial" w:hAnsi="Arial" w:cs="Arial"/>
          <w:lang w:val="es-CO"/>
        </w:rPr>
      </w:pPr>
    </w:p>
    <w:p w14:paraId="4D352859" w14:textId="77777777" w:rsidR="00B2442D" w:rsidRDefault="008A645F">
      <w:pPr>
        <w:pStyle w:val="Prrafodelista"/>
        <w:numPr>
          <w:ilvl w:val="0"/>
          <w:numId w:val="130"/>
        </w:numPr>
        <w:ind w:left="0" w:firstLine="0"/>
        <w:jc w:val="both"/>
        <w:rPr>
          <w:rFonts w:ascii="Arial" w:hAnsi="Arial" w:cs="Arial"/>
          <w:lang w:val="es-CO"/>
        </w:rPr>
      </w:pPr>
      <w:r>
        <w:rPr>
          <w:rFonts w:ascii="Arial" w:hAnsi="Arial" w:cs="Arial"/>
          <w:b/>
          <w:i/>
          <w:lang w:val="es-CO"/>
        </w:rPr>
        <w:t>Supresión de registros.</w:t>
      </w:r>
      <w:r>
        <w:rPr>
          <w:rFonts w:ascii="Arial" w:hAnsi="Arial" w:cs="Arial"/>
          <w:lang w:val="es-CO"/>
        </w:rPr>
        <w:t xml:space="preserve"> Si no se ha iniciado acción alguna contra lo</w:t>
      </w:r>
      <w:r>
        <w:rPr>
          <w:rFonts w:ascii="Arial" w:hAnsi="Arial" w:cs="Arial"/>
          <w:lang w:val="es-CO"/>
        </w:rPr>
        <w:t xml:space="preserve">s actos administrativos relacionados con el impuesto(s) y la(s) multa(s) correspondientes a la(s) obligación(es) tributaria(s) a extinguir y respecto de los cuales se haya agotado la vía gubernativa, una vez surtido el trámite previsto en el artículo </w:t>
      </w:r>
      <w:r>
        <w:rPr>
          <w:rFonts w:ascii="Arial" w:hAnsi="Arial" w:cs="Arial"/>
        </w:rPr>
        <w:t>1.6.2</w:t>
      </w:r>
      <w:r>
        <w:rPr>
          <w:rFonts w:ascii="Arial" w:hAnsi="Arial" w:cs="Arial"/>
        </w:rPr>
        <w:t xml:space="preserve">.1.2. </w:t>
      </w:r>
      <w:r>
        <w:rPr>
          <w:rFonts w:ascii="Arial" w:hAnsi="Arial" w:cs="Arial"/>
          <w:lang w:val="es-CO"/>
        </w:rPr>
        <w:t>del presente decreto, el liquidador deberá solicitar al Director General de Impuestos y Aduanas Nacionales o a su delegado, la expedición del acto administrativo que ordena la supresión de los registros de la cuenta corriente que lleva la Unidad Admi</w:t>
      </w:r>
      <w:r>
        <w:rPr>
          <w:rFonts w:ascii="Arial" w:hAnsi="Arial" w:cs="Arial"/>
          <w:lang w:val="es-CO"/>
        </w:rPr>
        <w:t>nistrativa Especial Dirección de Impuestos y Aduanas Nacionales, DIAN, de las obligaciones extintas.</w:t>
      </w:r>
    </w:p>
    <w:p w14:paraId="0B59C6B6" w14:textId="77777777" w:rsidR="00B2442D" w:rsidRDefault="00B2442D">
      <w:pPr>
        <w:jc w:val="both"/>
        <w:rPr>
          <w:rFonts w:ascii="Arial" w:hAnsi="Arial" w:cs="Arial"/>
          <w:lang w:val="es-CO"/>
        </w:rPr>
      </w:pPr>
    </w:p>
    <w:p w14:paraId="0E28E892" w14:textId="77777777" w:rsidR="00B2442D" w:rsidRDefault="008A645F">
      <w:pPr>
        <w:jc w:val="both"/>
        <w:rPr>
          <w:rFonts w:ascii="Arial" w:hAnsi="Arial" w:cs="Arial"/>
          <w:i/>
          <w:lang w:val="es-CO"/>
        </w:rPr>
      </w:pPr>
      <w:r>
        <w:rPr>
          <w:rFonts w:ascii="Arial" w:hAnsi="Arial" w:cs="Arial"/>
          <w:i/>
          <w:lang w:val="es-CO"/>
        </w:rPr>
        <w:t>(Art. 3, Decreto 2721 de 2003)</w:t>
      </w:r>
    </w:p>
    <w:p w14:paraId="526EE235" w14:textId="77777777" w:rsidR="00B2442D" w:rsidRDefault="00B2442D">
      <w:pPr>
        <w:jc w:val="both"/>
        <w:rPr>
          <w:rFonts w:ascii="Arial" w:hAnsi="Arial" w:cs="Arial"/>
          <w:lang w:val="es-CO"/>
        </w:rPr>
      </w:pPr>
    </w:p>
    <w:p w14:paraId="02E8FBCD" w14:textId="77777777" w:rsidR="00B2442D" w:rsidRDefault="008A645F">
      <w:pPr>
        <w:pStyle w:val="Prrafodelista"/>
        <w:numPr>
          <w:ilvl w:val="0"/>
          <w:numId w:val="130"/>
        </w:numPr>
        <w:ind w:left="0" w:firstLine="0"/>
        <w:jc w:val="both"/>
        <w:rPr>
          <w:rFonts w:ascii="Arial" w:hAnsi="Arial" w:cs="Arial"/>
          <w:lang w:val="es-CO"/>
        </w:rPr>
      </w:pPr>
      <w:r>
        <w:rPr>
          <w:rFonts w:ascii="Arial" w:hAnsi="Arial" w:cs="Arial"/>
          <w:b/>
          <w:i/>
          <w:lang w:val="es-CO"/>
        </w:rPr>
        <w:t>Responsabilidad</w:t>
      </w:r>
      <w:r>
        <w:rPr>
          <w:rFonts w:ascii="Arial" w:hAnsi="Arial" w:cs="Arial"/>
          <w:lang w:val="es-CO"/>
        </w:rPr>
        <w:t xml:space="preserve">. La extinción de las obligaciones por impuestos y multas a que se refiere el presente decreto, no implica </w:t>
      </w:r>
      <w:r>
        <w:rPr>
          <w:rFonts w:ascii="Arial" w:hAnsi="Arial" w:cs="Arial"/>
          <w:lang w:val="es-CO"/>
        </w:rPr>
        <w:t>el cese de las actuaciones que se hayan adelantado o deban adelantarse respecto de la responsabilidad personal de administradores, funcionarios o del revisor fiscal de la entidad, por los hechos que dieron origen a la determinación de las obligaciones trib</w:t>
      </w:r>
      <w:r>
        <w:rPr>
          <w:rFonts w:ascii="Arial" w:hAnsi="Arial" w:cs="Arial"/>
          <w:lang w:val="es-CO"/>
        </w:rPr>
        <w:t>utarias.</w:t>
      </w:r>
      <w:r>
        <w:rPr>
          <w:rFonts w:ascii="Arial" w:hAnsi="Arial" w:cs="Arial"/>
          <w:lang w:val="es-CO"/>
        </w:rPr>
        <w:cr/>
      </w:r>
    </w:p>
    <w:p w14:paraId="3F109435" w14:textId="77777777" w:rsidR="00B2442D" w:rsidRDefault="008A645F">
      <w:pPr>
        <w:jc w:val="both"/>
        <w:rPr>
          <w:rFonts w:ascii="Arial" w:hAnsi="Arial" w:cs="Arial"/>
          <w:i/>
          <w:lang w:val="es-CO"/>
        </w:rPr>
      </w:pPr>
      <w:r>
        <w:rPr>
          <w:rFonts w:ascii="Arial" w:hAnsi="Arial" w:cs="Arial"/>
          <w:i/>
          <w:lang w:val="es-CO"/>
        </w:rPr>
        <w:t>(Art. 4, Decreto 2721 de 2003)</w:t>
      </w:r>
    </w:p>
    <w:p w14:paraId="7A127996" w14:textId="77777777" w:rsidR="00B2442D" w:rsidRDefault="00B2442D">
      <w:pPr>
        <w:jc w:val="both"/>
        <w:rPr>
          <w:rFonts w:ascii="Arial" w:hAnsi="Arial" w:cs="Arial"/>
          <w:i/>
          <w:lang w:val="es-CO"/>
        </w:rPr>
      </w:pPr>
    </w:p>
    <w:p w14:paraId="31CF7983" w14:textId="77777777" w:rsidR="00B2442D" w:rsidRDefault="008A645F">
      <w:pPr>
        <w:pStyle w:val="Prrafodelista"/>
        <w:numPr>
          <w:ilvl w:val="0"/>
          <w:numId w:val="130"/>
        </w:numPr>
        <w:ind w:left="0" w:firstLine="0"/>
        <w:jc w:val="both"/>
        <w:rPr>
          <w:rFonts w:ascii="Arial" w:hAnsi="Arial" w:cs="Arial"/>
          <w:lang w:val="es-CO"/>
        </w:rPr>
      </w:pPr>
      <w:r>
        <w:rPr>
          <w:rFonts w:ascii="Arial" w:hAnsi="Arial" w:cs="Arial"/>
          <w:b/>
          <w:i/>
          <w:lang w:val="es-CO"/>
        </w:rPr>
        <w:t>Procesos de cobro en curso y demás obligaciones tributarias.</w:t>
      </w:r>
      <w:r>
        <w:rPr>
          <w:rFonts w:ascii="Arial" w:hAnsi="Arial" w:cs="Arial"/>
          <w:lang w:val="es-CO"/>
        </w:rPr>
        <w:t xml:space="preserve"> El trámite de extinción de las obligaciones tributarias a que se refiere el presente decreto no exime al liquidador del pago de las obligaciones tributar</w:t>
      </w:r>
      <w:r>
        <w:rPr>
          <w:rFonts w:ascii="Arial" w:hAnsi="Arial" w:cs="Arial"/>
          <w:lang w:val="es-CO"/>
        </w:rPr>
        <w:t>ias, ni a las autoridades y funcionarios competentes de continuar con los procesos de cobro de los impuestos y multas pendientes de pago, así como de cumplir con las demás obligaciones relacionadas con el pago y recaudo de tributos y multas, hasta tanto se</w:t>
      </w:r>
      <w:r>
        <w:rPr>
          <w:rFonts w:ascii="Arial" w:hAnsi="Arial" w:cs="Arial"/>
          <w:lang w:val="es-CO"/>
        </w:rPr>
        <w:t xml:space="preserve"> declare la extinción de la(s) correspondiente(s) obligación(es).</w:t>
      </w:r>
    </w:p>
    <w:p w14:paraId="7F75608A" w14:textId="77777777" w:rsidR="00B2442D" w:rsidRDefault="00B2442D">
      <w:pPr>
        <w:jc w:val="both"/>
        <w:rPr>
          <w:rFonts w:ascii="Arial" w:hAnsi="Arial" w:cs="Arial"/>
          <w:lang w:val="es-CO"/>
        </w:rPr>
      </w:pPr>
    </w:p>
    <w:p w14:paraId="5505990D" w14:textId="77777777" w:rsidR="00B2442D" w:rsidRDefault="008A645F">
      <w:pPr>
        <w:jc w:val="both"/>
        <w:rPr>
          <w:rFonts w:ascii="Arial" w:hAnsi="Arial" w:cs="Arial"/>
          <w:i/>
          <w:lang w:val="es-CO"/>
        </w:rPr>
      </w:pPr>
      <w:r>
        <w:rPr>
          <w:rFonts w:ascii="Arial" w:hAnsi="Arial" w:cs="Arial"/>
          <w:i/>
          <w:lang w:val="es-CO"/>
        </w:rPr>
        <w:t>(Art. 5, Decreto 2721 de 2003)</w:t>
      </w:r>
    </w:p>
    <w:p w14:paraId="52CD5892" w14:textId="77777777" w:rsidR="00B2442D" w:rsidRDefault="008A645F">
      <w:pPr>
        <w:pStyle w:val="Ttulo4"/>
        <w:rPr>
          <w:lang w:val="es-CO"/>
        </w:rPr>
      </w:pPr>
      <w:r>
        <w:rPr>
          <w:lang w:val="es-CO"/>
        </w:rPr>
        <w:t>CAPÍTULO 2</w:t>
      </w:r>
    </w:p>
    <w:p w14:paraId="2ACBB281" w14:textId="77777777" w:rsidR="00B2442D" w:rsidRDefault="008A645F">
      <w:pPr>
        <w:pStyle w:val="Ttulo4"/>
        <w:rPr>
          <w:lang w:val="es-CO"/>
        </w:rPr>
      </w:pPr>
      <w:r>
        <w:rPr>
          <w:lang w:val="es-CO"/>
        </w:rPr>
        <w:t>Cruce de cuentas</w:t>
      </w:r>
    </w:p>
    <w:p w14:paraId="638BD40E" w14:textId="77777777" w:rsidR="00B2442D" w:rsidRDefault="00B2442D">
      <w:pPr>
        <w:rPr>
          <w:rFonts w:ascii="Arial" w:hAnsi="Arial" w:cs="Arial"/>
          <w:lang w:val="es-CO"/>
        </w:rPr>
      </w:pPr>
    </w:p>
    <w:p w14:paraId="06530B16"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 xml:space="preserve">Definiciones. </w:t>
      </w:r>
      <w:r>
        <w:rPr>
          <w:rFonts w:ascii="Arial" w:hAnsi="Arial" w:cs="Arial"/>
          <w:lang w:val="es-CO"/>
        </w:rPr>
        <w:t xml:space="preserve">Para efectos de la aplicación del presente capítulo, a continuación se establecen las siguientes </w:t>
      </w:r>
      <w:r>
        <w:rPr>
          <w:rFonts w:ascii="Arial" w:hAnsi="Arial" w:cs="Arial"/>
          <w:lang w:val="es-CO"/>
        </w:rPr>
        <w:t>definiciones:</w:t>
      </w:r>
    </w:p>
    <w:p w14:paraId="3ADCF0FB" w14:textId="77777777" w:rsidR="00B2442D" w:rsidRDefault="00B2442D">
      <w:pPr>
        <w:jc w:val="both"/>
        <w:rPr>
          <w:rFonts w:ascii="Arial" w:hAnsi="Arial" w:cs="Arial"/>
          <w:lang w:val="es-CO"/>
        </w:rPr>
      </w:pPr>
    </w:p>
    <w:p w14:paraId="4915AA8B" w14:textId="77777777" w:rsidR="00B2442D" w:rsidRDefault="008A645F">
      <w:pPr>
        <w:jc w:val="both"/>
        <w:rPr>
          <w:rFonts w:ascii="Arial" w:hAnsi="Arial" w:cs="Arial"/>
          <w:lang w:val="es-CO"/>
        </w:rPr>
      </w:pPr>
      <w:r>
        <w:rPr>
          <w:rFonts w:ascii="Arial" w:hAnsi="Arial" w:cs="Arial"/>
          <w:b/>
          <w:lang w:val="es-CO"/>
        </w:rPr>
        <w:t>Entidades estatales del orden nacional.</w:t>
      </w:r>
      <w:r>
        <w:rPr>
          <w:rFonts w:ascii="Arial" w:hAnsi="Arial" w:cs="Arial"/>
          <w:lang w:val="es-CO"/>
        </w:rPr>
        <w:t xml:space="preserve"> Son todas las entidades relacionadas en el artículo 36 del Estatuto Orgánico del Presupuesto, que forman parte del Presupuesto General de la Nación.</w:t>
      </w:r>
    </w:p>
    <w:p w14:paraId="5F3C7CC6" w14:textId="77777777" w:rsidR="00B2442D" w:rsidRDefault="00B2442D">
      <w:pPr>
        <w:jc w:val="both"/>
        <w:rPr>
          <w:rFonts w:ascii="Arial" w:hAnsi="Arial" w:cs="Arial"/>
          <w:lang w:val="es-CO"/>
        </w:rPr>
      </w:pPr>
    </w:p>
    <w:p w14:paraId="2E8B8F73" w14:textId="77777777" w:rsidR="00B2442D" w:rsidRDefault="008A645F">
      <w:pPr>
        <w:jc w:val="both"/>
        <w:rPr>
          <w:rFonts w:ascii="Arial" w:hAnsi="Arial" w:cs="Arial"/>
          <w:lang w:val="es-CO"/>
        </w:rPr>
      </w:pPr>
      <w:r>
        <w:rPr>
          <w:rFonts w:ascii="Arial" w:hAnsi="Arial" w:cs="Arial"/>
          <w:b/>
          <w:lang w:val="es-CO"/>
        </w:rPr>
        <w:t>Obligaciones fiscales.</w:t>
      </w:r>
      <w:r>
        <w:rPr>
          <w:rFonts w:ascii="Arial" w:hAnsi="Arial" w:cs="Arial"/>
          <w:lang w:val="es-CO"/>
        </w:rPr>
        <w:t xml:space="preserve"> Son obligaciones fiscales, l</w:t>
      </w:r>
      <w:r>
        <w:rPr>
          <w:rFonts w:ascii="Arial" w:hAnsi="Arial" w:cs="Arial"/>
          <w:lang w:val="es-CO"/>
        </w:rPr>
        <w:t>as obligaciones claras, expresas y exigibles, que constituyen un crédito fiscal, contenidas en títulos ejecutivos, derivadas del cumplimiento de las obligaciones tributarias, aduaneras y de control cambiario, tales como: declaraciones tributarias y sus cor</w:t>
      </w:r>
      <w:r>
        <w:rPr>
          <w:rFonts w:ascii="Arial" w:hAnsi="Arial" w:cs="Arial"/>
          <w:lang w:val="es-CO"/>
        </w:rPr>
        <w:t>recciones, aduaneras y sus correcciones, liquidaciones oficiales ejecutoriadas, los demás actos administrativos debidamente ejecutoriados en los cuales se fijen sumas líquidas de dinero a favor del fisco nacional, las garantías y cauciones prestadas a favo</w:t>
      </w:r>
      <w:r>
        <w:rPr>
          <w:rFonts w:ascii="Arial" w:hAnsi="Arial" w:cs="Arial"/>
          <w:lang w:val="es-CO"/>
        </w:rPr>
        <w:t>r de la Nación, para afianzar el pago de las obligaciones a partir de la ejecutoria del acto de la administración que declare el incumplimiento o exigibilidad de las obligaciones garantizadas y los actos que declaran su efectividad y las providencias judic</w:t>
      </w:r>
      <w:r>
        <w:rPr>
          <w:rFonts w:ascii="Arial" w:hAnsi="Arial" w:cs="Arial"/>
          <w:lang w:val="es-CO"/>
        </w:rPr>
        <w:t>iales ejecutoriadas.</w:t>
      </w:r>
    </w:p>
    <w:p w14:paraId="3B0AE83F" w14:textId="77777777" w:rsidR="00B2442D" w:rsidRDefault="00B2442D">
      <w:pPr>
        <w:jc w:val="both"/>
        <w:rPr>
          <w:rFonts w:ascii="Arial" w:hAnsi="Arial" w:cs="Arial"/>
          <w:lang w:val="es-CO"/>
        </w:rPr>
      </w:pPr>
    </w:p>
    <w:p w14:paraId="2C7C9EF1" w14:textId="77777777" w:rsidR="00B2442D" w:rsidRDefault="008A645F">
      <w:pPr>
        <w:jc w:val="both"/>
        <w:rPr>
          <w:rFonts w:ascii="Arial" w:hAnsi="Arial" w:cs="Arial"/>
          <w:lang w:val="es-CO"/>
        </w:rPr>
      </w:pPr>
      <w:r>
        <w:rPr>
          <w:rFonts w:ascii="Arial" w:hAnsi="Arial" w:cs="Arial"/>
          <w:b/>
          <w:lang w:val="es-CO"/>
        </w:rPr>
        <w:t>Acreedores de entidades estatales.</w:t>
      </w:r>
      <w:r>
        <w:rPr>
          <w:rFonts w:ascii="Arial" w:hAnsi="Arial" w:cs="Arial"/>
          <w:lang w:val="es-CO"/>
        </w:rPr>
        <w:t xml:space="preserve"> Son todas las personas naturales y jurídicas, deudoras de tributos del orden nacional administrados por la Unidad Administrativa Especial Dirección de Impuestos y Aduanas Nacionales - DIAN que, a su </w:t>
      </w:r>
      <w:r>
        <w:rPr>
          <w:rFonts w:ascii="Arial" w:hAnsi="Arial" w:cs="Arial"/>
          <w:lang w:val="es-CO"/>
        </w:rPr>
        <w:t>vez, sean acreedoras de entidades estatales del orden nacional que formen parte del Presupuesto General de la Nación, de conformidad con lo establecido en el artículo 36 del Estatuto Orgánico del Presupuesto y demás normas que lo modifiquen o adicionen.</w:t>
      </w:r>
    </w:p>
    <w:p w14:paraId="43EA462A" w14:textId="77777777" w:rsidR="00B2442D" w:rsidRDefault="00B2442D">
      <w:pPr>
        <w:jc w:val="both"/>
        <w:rPr>
          <w:rFonts w:ascii="Arial" w:hAnsi="Arial" w:cs="Arial"/>
          <w:lang w:val="es-CO"/>
        </w:rPr>
      </w:pPr>
    </w:p>
    <w:p w14:paraId="0D927F18" w14:textId="77777777" w:rsidR="00B2442D" w:rsidRDefault="008A645F">
      <w:pPr>
        <w:jc w:val="both"/>
        <w:rPr>
          <w:rFonts w:ascii="Arial" w:hAnsi="Arial" w:cs="Arial"/>
          <w:lang w:val="es-CO"/>
        </w:rPr>
      </w:pPr>
      <w:r>
        <w:rPr>
          <w:rFonts w:ascii="Arial" w:hAnsi="Arial" w:cs="Arial"/>
          <w:b/>
          <w:lang w:val="es-CO"/>
        </w:rPr>
        <w:t>A</w:t>
      </w:r>
      <w:r>
        <w:rPr>
          <w:rFonts w:ascii="Arial" w:hAnsi="Arial" w:cs="Arial"/>
          <w:b/>
          <w:lang w:val="es-CO"/>
        </w:rPr>
        <w:t xml:space="preserve">propiaciones en el Presupuesto General de la Nación. </w:t>
      </w:r>
      <w:r>
        <w:rPr>
          <w:rFonts w:ascii="Arial" w:hAnsi="Arial" w:cs="Arial"/>
          <w:lang w:val="es-CO"/>
        </w:rPr>
        <w:t>Son apropiaciones en el Presupuesto General de la Nación, las autorizaciones máximas de gasto que el Congreso de la República aprueba para ser comprometidas durante la vigencia fiscal respectiva.</w:t>
      </w:r>
    </w:p>
    <w:p w14:paraId="48227A49" w14:textId="77777777" w:rsidR="00B2442D" w:rsidRDefault="00B2442D">
      <w:pPr>
        <w:jc w:val="both"/>
        <w:rPr>
          <w:rFonts w:ascii="Arial" w:hAnsi="Arial" w:cs="Arial"/>
          <w:lang w:val="es-CO"/>
        </w:rPr>
      </w:pPr>
    </w:p>
    <w:p w14:paraId="6DBA0FB1" w14:textId="77777777" w:rsidR="00B2442D" w:rsidRDefault="008A645F">
      <w:pPr>
        <w:jc w:val="both"/>
        <w:rPr>
          <w:rFonts w:ascii="Arial" w:hAnsi="Arial" w:cs="Arial"/>
          <w:lang w:val="es-CO"/>
        </w:rPr>
      </w:pPr>
      <w:r>
        <w:rPr>
          <w:rFonts w:ascii="Arial" w:hAnsi="Arial" w:cs="Arial"/>
          <w:b/>
          <w:lang w:val="es-CO"/>
        </w:rPr>
        <w:t>Deudor</w:t>
      </w:r>
      <w:r>
        <w:rPr>
          <w:rFonts w:ascii="Arial" w:hAnsi="Arial" w:cs="Arial"/>
          <w:b/>
          <w:lang w:val="es-CO"/>
        </w:rPr>
        <w:t>es de obligaciones fiscales.</w:t>
      </w:r>
      <w:r>
        <w:rPr>
          <w:rFonts w:ascii="Arial" w:hAnsi="Arial" w:cs="Arial"/>
          <w:lang w:val="es-CO"/>
        </w:rPr>
        <w:t xml:space="preserve"> Son las personas naturales o jurídicas obligadas al pago de una obligación fiscal contenida en un título ejecutivo.</w:t>
      </w:r>
    </w:p>
    <w:p w14:paraId="15F8FCF4" w14:textId="77777777" w:rsidR="00B2442D" w:rsidRDefault="00B2442D">
      <w:pPr>
        <w:jc w:val="both"/>
        <w:rPr>
          <w:rFonts w:ascii="Arial" w:hAnsi="Arial" w:cs="Arial"/>
          <w:lang w:val="es-CO"/>
        </w:rPr>
      </w:pPr>
    </w:p>
    <w:p w14:paraId="0C0CD5AA" w14:textId="77777777" w:rsidR="00B2442D" w:rsidRDefault="008A645F">
      <w:pPr>
        <w:jc w:val="both"/>
        <w:rPr>
          <w:rFonts w:ascii="Arial" w:hAnsi="Arial" w:cs="Arial"/>
          <w:lang w:val="es-CO"/>
        </w:rPr>
      </w:pPr>
      <w:r>
        <w:rPr>
          <w:rFonts w:ascii="Arial" w:hAnsi="Arial" w:cs="Arial"/>
          <w:b/>
          <w:lang w:val="es-CO"/>
        </w:rPr>
        <w:t xml:space="preserve">Créditos en contra de una entidad estatal. </w:t>
      </w:r>
      <w:r>
        <w:rPr>
          <w:rFonts w:ascii="Arial" w:hAnsi="Arial" w:cs="Arial"/>
          <w:lang w:val="es-CO"/>
        </w:rPr>
        <w:t>Son las obligaciones claras, expresas y exigibles, a cargo de una e</w:t>
      </w:r>
      <w:r>
        <w:rPr>
          <w:rFonts w:ascii="Arial" w:hAnsi="Arial" w:cs="Arial"/>
          <w:lang w:val="es-CO"/>
        </w:rPr>
        <w:t>ntidad estatal, que correspondan a un título legal de gasto.</w:t>
      </w:r>
    </w:p>
    <w:p w14:paraId="636D9700" w14:textId="77777777" w:rsidR="00B2442D" w:rsidRDefault="00B2442D">
      <w:pPr>
        <w:jc w:val="both"/>
        <w:rPr>
          <w:rFonts w:ascii="Arial" w:hAnsi="Arial" w:cs="Arial"/>
          <w:lang w:val="es-CO"/>
        </w:rPr>
      </w:pPr>
    </w:p>
    <w:p w14:paraId="7E46B656" w14:textId="77777777" w:rsidR="00B2442D" w:rsidRDefault="008A645F">
      <w:pPr>
        <w:jc w:val="both"/>
        <w:rPr>
          <w:rFonts w:ascii="Arial" w:hAnsi="Arial" w:cs="Arial"/>
          <w:i/>
          <w:lang w:val="es-CO"/>
        </w:rPr>
      </w:pPr>
      <w:r>
        <w:rPr>
          <w:rFonts w:ascii="Arial" w:hAnsi="Arial" w:cs="Arial"/>
          <w:i/>
          <w:lang w:val="es-CO"/>
        </w:rPr>
        <w:t>(Art. 1, Decreto 1244 de 2013)</w:t>
      </w:r>
    </w:p>
    <w:p w14:paraId="79CDEB30" w14:textId="77777777" w:rsidR="00B2442D" w:rsidRDefault="00B2442D">
      <w:pPr>
        <w:jc w:val="both"/>
        <w:rPr>
          <w:rFonts w:ascii="Arial" w:hAnsi="Arial" w:cs="Arial"/>
          <w:lang w:val="es-CO"/>
        </w:rPr>
      </w:pPr>
    </w:p>
    <w:p w14:paraId="6BC48AA5"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Cruce de cuentas.</w:t>
      </w:r>
      <w:r>
        <w:rPr>
          <w:rFonts w:ascii="Arial" w:hAnsi="Arial" w:cs="Arial"/>
          <w:lang w:val="es-CO"/>
        </w:rPr>
        <w:t xml:space="preserve"> Es la forma de extinguir las obligaciones de tributos nacionales administrados por la Unidad Administrativa Especial Dirección de Impuestos y Ad</w:t>
      </w:r>
      <w:r>
        <w:rPr>
          <w:rFonts w:ascii="Arial" w:hAnsi="Arial" w:cs="Arial"/>
          <w:lang w:val="es-CO"/>
        </w:rPr>
        <w:t>uanas Nacionales-DIAN, prevista en el artículo 196 de la Ley 1607 de 2012, para las personas naturales y jurídicas que, a su vez, sean acreedoras de entidades estatales del orden nacional que formen parte del Presupuesto General de la Nación, de conformida</w:t>
      </w:r>
      <w:r>
        <w:rPr>
          <w:rFonts w:ascii="Arial" w:hAnsi="Arial" w:cs="Arial"/>
          <w:lang w:val="es-CO"/>
        </w:rPr>
        <w:t>d con lo establecido en el artículo 36 del Estatuto Orgánico del Presupuesto y que reúnan todos los requisitos de que tratan la ley y el reglamento.</w:t>
      </w:r>
    </w:p>
    <w:p w14:paraId="6E07BFAB" w14:textId="77777777" w:rsidR="00B2442D" w:rsidRDefault="00B2442D">
      <w:pPr>
        <w:jc w:val="both"/>
        <w:rPr>
          <w:rFonts w:ascii="Arial" w:hAnsi="Arial" w:cs="Arial"/>
          <w:lang w:val="es-CO"/>
        </w:rPr>
      </w:pPr>
    </w:p>
    <w:p w14:paraId="3A50FA55" w14:textId="77777777" w:rsidR="00B2442D" w:rsidRDefault="008A645F">
      <w:pPr>
        <w:jc w:val="both"/>
        <w:rPr>
          <w:rFonts w:ascii="Arial" w:hAnsi="Arial" w:cs="Arial"/>
          <w:i/>
          <w:lang w:val="es-CO"/>
        </w:rPr>
      </w:pPr>
      <w:r>
        <w:rPr>
          <w:rFonts w:ascii="Arial" w:hAnsi="Arial" w:cs="Arial"/>
          <w:i/>
          <w:lang w:val="es-CO"/>
        </w:rPr>
        <w:t>(Art. 2, Decreto 1244 de 2013)</w:t>
      </w:r>
    </w:p>
    <w:p w14:paraId="4FA0686B" w14:textId="77777777" w:rsidR="00B2442D" w:rsidRDefault="00B2442D">
      <w:pPr>
        <w:jc w:val="both"/>
        <w:rPr>
          <w:rFonts w:ascii="Arial" w:hAnsi="Arial" w:cs="Arial"/>
          <w:lang w:val="es-CO"/>
        </w:rPr>
      </w:pPr>
    </w:p>
    <w:p w14:paraId="57D2AD08"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Procedencia.</w:t>
      </w:r>
      <w:r>
        <w:rPr>
          <w:rFonts w:ascii="Arial" w:hAnsi="Arial" w:cs="Arial"/>
          <w:lang w:val="es-CO"/>
        </w:rPr>
        <w:t xml:space="preserve"> El cruce de cuentas será procedente respecto de acreedores de</w:t>
      </w:r>
      <w:r>
        <w:rPr>
          <w:rFonts w:ascii="Arial" w:hAnsi="Arial" w:cs="Arial"/>
          <w:lang w:val="es-CO"/>
        </w:rPr>
        <w:t xml:space="preserve"> entidades estatales del orden nacional que formen parte del Presupuesto General de la Nación, de conformidad con lo establecido en el artículo 36 del Estatuto Orgánico del Presupuesto que, a su vez, tengan la calidad de deudores de obligaciones fiscales a</w:t>
      </w:r>
      <w:r>
        <w:rPr>
          <w:rFonts w:ascii="Arial" w:hAnsi="Arial" w:cs="Arial"/>
          <w:lang w:val="es-CO"/>
        </w:rPr>
        <w:t>dministradas por la Unidad Administrativa Especial Dirección de Impuestos y Aduanas Nacionales-DIAN.</w:t>
      </w:r>
    </w:p>
    <w:p w14:paraId="4844F5C8" w14:textId="77777777" w:rsidR="00B2442D" w:rsidRDefault="00B2442D">
      <w:pPr>
        <w:jc w:val="both"/>
        <w:rPr>
          <w:rFonts w:ascii="Arial" w:hAnsi="Arial" w:cs="Arial"/>
          <w:lang w:val="es-CO"/>
        </w:rPr>
      </w:pPr>
    </w:p>
    <w:p w14:paraId="1895C663" w14:textId="77777777" w:rsidR="00B2442D" w:rsidRDefault="008A645F">
      <w:pPr>
        <w:jc w:val="both"/>
        <w:rPr>
          <w:rFonts w:ascii="Arial" w:hAnsi="Arial" w:cs="Arial"/>
          <w:lang w:val="es-CO"/>
        </w:rPr>
      </w:pPr>
      <w:r>
        <w:rPr>
          <w:rFonts w:ascii="Arial" w:hAnsi="Arial" w:cs="Arial"/>
          <w:lang w:val="es-CO"/>
        </w:rPr>
        <w:t>La acreencia con la entidad estatal del orden nacional podrá ser por cualquier concepto, siempre y cuando corresponda a un título legal de gasto y la enti</w:t>
      </w:r>
      <w:r>
        <w:rPr>
          <w:rFonts w:ascii="Arial" w:hAnsi="Arial" w:cs="Arial"/>
          <w:lang w:val="es-CO"/>
        </w:rPr>
        <w:t>dad que tenga la calidad de deudora cuente con la apropiación presupuestal que permita atender esta obligación, en los términos de la ley y el presente capítulo.</w:t>
      </w:r>
    </w:p>
    <w:p w14:paraId="44E87771" w14:textId="77777777" w:rsidR="00B2442D" w:rsidRDefault="00B2442D">
      <w:pPr>
        <w:jc w:val="both"/>
        <w:rPr>
          <w:rFonts w:ascii="Arial" w:hAnsi="Arial" w:cs="Arial"/>
          <w:lang w:val="es-CO"/>
        </w:rPr>
      </w:pPr>
    </w:p>
    <w:p w14:paraId="253AFBB9" w14:textId="77777777" w:rsidR="00B2442D" w:rsidRDefault="008A645F">
      <w:pPr>
        <w:jc w:val="both"/>
        <w:rPr>
          <w:rFonts w:ascii="Arial" w:hAnsi="Arial" w:cs="Arial"/>
          <w:lang w:val="es-CO"/>
        </w:rPr>
      </w:pPr>
      <w:r>
        <w:rPr>
          <w:rFonts w:ascii="Arial" w:hAnsi="Arial" w:cs="Arial"/>
          <w:lang w:val="es-CO"/>
        </w:rPr>
        <w:t>A la fecha del cruce de cuentas, tanto los créditos en contra de la entidad estatal, como las</w:t>
      </w:r>
      <w:r>
        <w:rPr>
          <w:rFonts w:ascii="Arial" w:hAnsi="Arial" w:cs="Arial"/>
          <w:lang w:val="es-CO"/>
        </w:rPr>
        <w:t xml:space="preserve"> deudas por obligaciones fiscales administradas por la Unidad Administrativa Especial Dirección de Impuestos y Aduanas Nacionales-DIAN, deberán ser claras, expresas y exigibles.</w:t>
      </w:r>
    </w:p>
    <w:p w14:paraId="62D7C198" w14:textId="77777777" w:rsidR="00B2442D" w:rsidRDefault="00B2442D">
      <w:pPr>
        <w:jc w:val="both"/>
        <w:rPr>
          <w:rFonts w:ascii="Arial" w:hAnsi="Arial" w:cs="Arial"/>
          <w:lang w:val="es-CO"/>
        </w:rPr>
      </w:pPr>
    </w:p>
    <w:p w14:paraId="0A2AD8D0" w14:textId="77777777" w:rsidR="00B2442D" w:rsidRDefault="008A645F">
      <w:pPr>
        <w:jc w:val="both"/>
        <w:rPr>
          <w:rFonts w:ascii="Arial" w:hAnsi="Arial" w:cs="Arial"/>
          <w:lang w:val="es-CO"/>
        </w:rPr>
      </w:pPr>
      <w:r>
        <w:rPr>
          <w:rFonts w:ascii="Arial" w:hAnsi="Arial" w:cs="Arial"/>
          <w:lang w:val="es-CO"/>
        </w:rPr>
        <w:t xml:space="preserve">En todo caso, para que se pueda realizar el cruce de cuentas de que trata el </w:t>
      </w:r>
      <w:r>
        <w:rPr>
          <w:rFonts w:ascii="Arial" w:hAnsi="Arial" w:cs="Arial"/>
          <w:lang w:val="es-CO"/>
        </w:rPr>
        <w:t>artículo 196 de la Ley 1607 de 2012, el deudor de obligaciones fiscales deberá ser el mismo acreedor de una entidad estatal.</w:t>
      </w:r>
    </w:p>
    <w:p w14:paraId="28CC48F4" w14:textId="77777777" w:rsidR="00B2442D" w:rsidRDefault="00B2442D">
      <w:pPr>
        <w:jc w:val="both"/>
        <w:rPr>
          <w:rFonts w:ascii="Arial" w:hAnsi="Arial" w:cs="Arial"/>
          <w:lang w:val="es-CO"/>
        </w:rPr>
      </w:pPr>
    </w:p>
    <w:p w14:paraId="4017849E"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sumas a las cuales haya sido condenada la entidad estatal del orden nacional, mediante sentencia o conciliación, continuarán rigiéndose por el artículo 29 de la Ley 344 de 1996 y los artículos 2.8.6.2.1.al 2.8.6.2.4 y 2.8.6.3.1 del Decreto 1068 de 201</w:t>
      </w:r>
      <w:r>
        <w:rPr>
          <w:rFonts w:ascii="Arial" w:hAnsi="Arial" w:cs="Arial"/>
          <w:lang w:val="es-CO"/>
        </w:rPr>
        <w:t>5, aun cuando hagan referencia a una relación contractual.</w:t>
      </w:r>
    </w:p>
    <w:p w14:paraId="61478247" w14:textId="77777777" w:rsidR="00B2442D" w:rsidRDefault="00B2442D">
      <w:pPr>
        <w:jc w:val="both"/>
        <w:rPr>
          <w:rFonts w:ascii="Arial" w:hAnsi="Arial" w:cs="Arial"/>
          <w:lang w:val="es-CO"/>
        </w:rPr>
      </w:pPr>
    </w:p>
    <w:p w14:paraId="0F5DD8AE" w14:textId="77777777" w:rsidR="00B2442D" w:rsidRDefault="008A645F">
      <w:pPr>
        <w:jc w:val="both"/>
        <w:rPr>
          <w:rFonts w:ascii="Arial" w:hAnsi="Arial" w:cs="Arial"/>
          <w:i/>
          <w:lang w:val="es-CO"/>
        </w:rPr>
      </w:pPr>
      <w:r>
        <w:rPr>
          <w:rFonts w:ascii="Arial" w:hAnsi="Arial" w:cs="Arial"/>
          <w:i/>
          <w:lang w:val="es-CO"/>
        </w:rPr>
        <w:t>(Art. 3, Decreto 1244 de 2013)</w:t>
      </w:r>
    </w:p>
    <w:p w14:paraId="1E4E3A7E" w14:textId="77777777" w:rsidR="00B2442D" w:rsidRDefault="00B2442D">
      <w:pPr>
        <w:jc w:val="both"/>
        <w:rPr>
          <w:rFonts w:ascii="Arial" w:hAnsi="Arial" w:cs="Arial"/>
          <w:lang w:val="es-CO"/>
        </w:rPr>
      </w:pPr>
    </w:p>
    <w:p w14:paraId="3A26BEDA"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Procedimiento para el cruce de cuentas.</w:t>
      </w:r>
      <w:r>
        <w:rPr>
          <w:rFonts w:ascii="Arial" w:hAnsi="Arial" w:cs="Arial"/>
          <w:lang w:val="es-CO"/>
        </w:rPr>
        <w:t xml:space="preserve"> Para efectos de la extinción de las obligaciones fiscales, por concepto de tributos del orden nacional administrados por la </w:t>
      </w:r>
      <w:r>
        <w:rPr>
          <w:rFonts w:ascii="Arial" w:hAnsi="Arial" w:cs="Arial"/>
          <w:lang w:val="es-CO"/>
        </w:rPr>
        <w:t xml:space="preserve">Unidad Administrativa Especial Dirección de Impuestos y Aduanas Nacionales-DIAN, a través del cruce de cuentas, se adelantará el siguiente procedimiento, sin perjuicio de que la autoridad tributaria y/o aduanera adelante el proceso administrativo de cobro </w:t>
      </w:r>
      <w:r>
        <w:rPr>
          <w:rFonts w:ascii="Arial" w:hAnsi="Arial" w:cs="Arial"/>
          <w:lang w:val="es-CO"/>
        </w:rPr>
        <w:t>coactivo de que trata el artículo 823 y siguientes del Estatuto Tributario y las normas que lo modifiquen, adicionen o sustituyan.</w:t>
      </w:r>
    </w:p>
    <w:p w14:paraId="7B748B2E" w14:textId="77777777" w:rsidR="00B2442D" w:rsidRDefault="00B2442D">
      <w:pPr>
        <w:jc w:val="both"/>
        <w:rPr>
          <w:rFonts w:ascii="Arial" w:hAnsi="Arial" w:cs="Arial"/>
          <w:lang w:val="es-CO"/>
        </w:rPr>
      </w:pPr>
    </w:p>
    <w:p w14:paraId="410C69AF" w14:textId="77777777" w:rsidR="00B2442D" w:rsidRDefault="008A645F">
      <w:pPr>
        <w:jc w:val="both"/>
        <w:rPr>
          <w:rFonts w:ascii="Arial" w:hAnsi="Arial" w:cs="Arial"/>
          <w:lang w:val="es-CO"/>
        </w:rPr>
      </w:pPr>
      <w:r>
        <w:rPr>
          <w:rFonts w:ascii="Arial" w:hAnsi="Arial" w:cs="Arial"/>
          <w:b/>
          <w:lang w:val="es-CO"/>
        </w:rPr>
        <w:t>Autorización escrita.</w:t>
      </w:r>
      <w:r>
        <w:rPr>
          <w:rFonts w:ascii="Arial" w:hAnsi="Arial" w:cs="Arial"/>
          <w:lang w:val="es-CO"/>
        </w:rPr>
        <w:t xml:space="preserve"> Para el pago de las obligaciones fiscales administradas por la Unidad Administrativa Especial Direcció</w:t>
      </w:r>
      <w:r>
        <w:rPr>
          <w:rFonts w:ascii="Arial" w:hAnsi="Arial" w:cs="Arial"/>
          <w:lang w:val="es-CO"/>
        </w:rPr>
        <w:t>n de Impuestos y Aduanas Nacionales-DIAN, el acreedor de una entidad estatal del orden nacional, que forme parte del Presupuesto General de la Nación de conformidad con lo establecido en el artículo 36 del Estatuto Orgánico del Presupuesto, deberá presenta</w:t>
      </w:r>
      <w:r>
        <w:rPr>
          <w:rFonts w:ascii="Arial" w:hAnsi="Arial" w:cs="Arial"/>
          <w:lang w:val="es-CO"/>
        </w:rPr>
        <w:t>r, ante la entidad estatal del orden nacional deudora, una autorización escrita para que con cargo a su acreencia se realice el pago total o parcial de sus deudas.</w:t>
      </w:r>
    </w:p>
    <w:p w14:paraId="143F2FB9" w14:textId="77777777" w:rsidR="00B2442D" w:rsidRDefault="00B2442D">
      <w:pPr>
        <w:jc w:val="both"/>
        <w:rPr>
          <w:rFonts w:ascii="Arial" w:hAnsi="Arial" w:cs="Arial"/>
          <w:lang w:val="es-CO"/>
        </w:rPr>
      </w:pPr>
    </w:p>
    <w:p w14:paraId="57169B2E" w14:textId="77777777" w:rsidR="00B2442D" w:rsidRDefault="008A645F">
      <w:pPr>
        <w:jc w:val="both"/>
        <w:rPr>
          <w:rFonts w:ascii="Arial" w:hAnsi="Arial" w:cs="Arial"/>
          <w:lang w:val="es-CO"/>
        </w:rPr>
      </w:pPr>
      <w:r>
        <w:rPr>
          <w:rFonts w:ascii="Arial" w:hAnsi="Arial" w:cs="Arial"/>
          <w:lang w:val="es-CO"/>
        </w:rPr>
        <w:t>En la autorización, el acreedor de la entidad estatal deberá identificar la Dirección Secci</w:t>
      </w:r>
      <w:r>
        <w:rPr>
          <w:rFonts w:ascii="Arial" w:hAnsi="Arial" w:cs="Arial"/>
          <w:lang w:val="es-CO"/>
        </w:rPr>
        <w:t>onal de Impuestos y/o Aduanas con jurisdicción en su domicilio principal y que corresponda al contribuyente o responsable.</w:t>
      </w:r>
    </w:p>
    <w:p w14:paraId="194C1EC9" w14:textId="77777777" w:rsidR="00B2442D" w:rsidRDefault="00B2442D">
      <w:pPr>
        <w:jc w:val="both"/>
        <w:rPr>
          <w:rFonts w:ascii="Arial" w:hAnsi="Arial" w:cs="Arial"/>
          <w:lang w:val="es-CO"/>
        </w:rPr>
      </w:pPr>
    </w:p>
    <w:p w14:paraId="1845CE27" w14:textId="77777777" w:rsidR="00B2442D" w:rsidRDefault="008A645F">
      <w:pPr>
        <w:jc w:val="both"/>
        <w:rPr>
          <w:rFonts w:ascii="Arial" w:hAnsi="Arial" w:cs="Arial"/>
          <w:lang w:val="es-CO"/>
        </w:rPr>
      </w:pPr>
      <w:r>
        <w:rPr>
          <w:rFonts w:ascii="Arial" w:hAnsi="Arial" w:cs="Arial"/>
          <w:lang w:val="es-CO"/>
        </w:rPr>
        <w:t>Cuando se trate de una persona jurídica o asimilada, deberá anexar prueba de la constitución, existencia y representación legal, a t</w:t>
      </w:r>
      <w:r>
        <w:rPr>
          <w:rFonts w:ascii="Arial" w:hAnsi="Arial" w:cs="Arial"/>
          <w:lang w:val="es-CO"/>
        </w:rPr>
        <w:t>ravés del respectivo certificado, cuya fecha de expedición no podrá ser superior a treinta (30) días y acreditar la facultad del representante legal para comprometer los créditos de su representada. Cuando se actúe a través de apoderado, se anexará el pode</w:t>
      </w:r>
      <w:r>
        <w:rPr>
          <w:rFonts w:ascii="Arial" w:hAnsi="Arial" w:cs="Arial"/>
          <w:lang w:val="es-CO"/>
        </w:rPr>
        <w:t>r debidamente otorgado.</w:t>
      </w:r>
    </w:p>
    <w:p w14:paraId="49026C6F" w14:textId="77777777" w:rsidR="00B2442D" w:rsidRDefault="00B2442D">
      <w:pPr>
        <w:jc w:val="both"/>
        <w:rPr>
          <w:rFonts w:ascii="Arial" w:hAnsi="Arial" w:cs="Arial"/>
          <w:lang w:val="es-CO"/>
        </w:rPr>
      </w:pPr>
    </w:p>
    <w:p w14:paraId="7D06B5FD" w14:textId="77777777" w:rsidR="00B2442D" w:rsidRDefault="008A645F">
      <w:pPr>
        <w:jc w:val="both"/>
        <w:rPr>
          <w:rFonts w:ascii="Arial" w:hAnsi="Arial" w:cs="Arial"/>
          <w:lang w:val="es-CO"/>
        </w:rPr>
      </w:pPr>
      <w:r>
        <w:rPr>
          <w:rFonts w:ascii="Arial" w:hAnsi="Arial" w:cs="Arial"/>
          <w:b/>
          <w:lang w:val="es-CO"/>
        </w:rPr>
        <w:t>Trámite en la entidad estatal nacional deudora</w:t>
      </w:r>
      <w:r>
        <w:rPr>
          <w:rFonts w:ascii="Arial" w:hAnsi="Arial" w:cs="Arial"/>
          <w:lang w:val="es-CO"/>
        </w:rPr>
        <w:t>. El pago se hará sin situación de fondos, para lo cual la entidad estatal realizará los trámites correspondientes ante el Ministerio de Hacienda y Crédito Público - Dirección General d</w:t>
      </w:r>
      <w:r>
        <w:rPr>
          <w:rFonts w:ascii="Arial" w:hAnsi="Arial" w:cs="Arial"/>
          <w:lang w:val="es-CO"/>
        </w:rPr>
        <w:t>el Presupuesto Público Nacional.</w:t>
      </w:r>
    </w:p>
    <w:p w14:paraId="058098AF" w14:textId="77777777" w:rsidR="00B2442D" w:rsidRDefault="00B2442D">
      <w:pPr>
        <w:jc w:val="both"/>
        <w:rPr>
          <w:rFonts w:ascii="Arial" w:hAnsi="Arial" w:cs="Arial"/>
          <w:lang w:val="es-CO"/>
        </w:rPr>
      </w:pPr>
    </w:p>
    <w:p w14:paraId="316E2919" w14:textId="77777777" w:rsidR="00B2442D" w:rsidRDefault="008A645F">
      <w:pPr>
        <w:jc w:val="both"/>
        <w:rPr>
          <w:rFonts w:ascii="Arial" w:hAnsi="Arial" w:cs="Arial"/>
          <w:lang w:val="es-CO"/>
        </w:rPr>
      </w:pPr>
      <w:r>
        <w:rPr>
          <w:rFonts w:ascii="Arial" w:hAnsi="Arial" w:cs="Arial"/>
          <w:lang w:val="es-CO"/>
        </w:rPr>
        <w:t>Una vez realizados los trámites ante el Ministerio de Hacienda y Crédito Público, la entidad estatal expedirá y remitirá una certificación con destino a la Dirección Seccional de Impuestos y/o Aduanas con jurisdicción en e</w:t>
      </w:r>
      <w:r>
        <w:rPr>
          <w:rFonts w:ascii="Arial" w:hAnsi="Arial" w:cs="Arial"/>
          <w:lang w:val="es-CO"/>
        </w:rPr>
        <w:t>l domicilio del deudor de obligaciones fiscales, en donde conste, además del valor autorizado con destino al pago de obligaciones fiscales, la siguiente información:</w:t>
      </w:r>
    </w:p>
    <w:p w14:paraId="6A2B6E69" w14:textId="77777777" w:rsidR="00B2442D" w:rsidRDefault="00B2442D">
      <w:pPr>
        <w:jc w:val="both"/>
        <w:rPr>
          <w:rFonts w:ascii="Arial" w:hAnsi="Arial" w:cs="Arial"/>
          <w:lang w:val="es-CO"/>
        </w:rPr>
      </w:pPr>
    </w:p>
    <w:p w14:paraId="1F37932E" w14:textId="77777777" w:rsidR="00B2442D" w:rsidRDefault="008A645F">
      <w:pPr>
        <w:ind w:left="284" w:hanging="284"/>
        <w:jc w:val="both"/>
        <w:rPr>
          <w:rFonts w:ascii="Arial" w:hAnsi="Arial" w:cs="Arial"/>
          <w:lang w:val="es-CO"/>
        </w:rPr>
      </w:pPr>
      <w:r>
        <w:rPr>
          <w:rFonts w:ascii="Arial" w:hAnsi="Arial" w:cs="Arial"/>
          <w:lang w:val="es-CO"/>
        </w:rPr>
        <w:t>a) La autorización del pago de las obligaciones fiscales, nombre o razón social y NIT del</w:t>
      </w:r>
      <w:r>
        <w:rPr>
          <w:rFonts w:ascii="Arial" w:hAnsi="Arial" w:cs="Arial"/>
          <w:lang w:val="es-CO"/>
        </w:rPr>
        <w:t xml:space="preserve"> acreedor de la entidad estatal y la identificación de las obligaciones por concepto año y periodo;</w:t>
      </w:r>
    </w:p>
    <w:p w14:paraId="321607CE" w14:textId="77777777" w:rsidR="00B2442D" w:rsidRDefault="00B2442D">
      <w:pPr>
        <w:ind w:left="284" w:hanging="284"/>
        <w:jc w:val="both"/>
        <w:rPr>
          <w:rFonts w:ascii="Arial" w:hAnsi="Arial" w:cs="Arial"/>
          <w:lang w:val="es-CO"/>
        </w:rPr>
      </w:pPr>
    </w:p>
    <w:p w14:paraId="1236373D" w14:textId="77777777" w:rsidR="00B2442D" w:rsidRDefault="008A645F">
      <w:pPr>
        <w:ind w:left="284" w:hanging="284"/>
        <w:jc w:val="both"/>
        <w:rPr>
          <w:rFonts w:ascii="Arial" w:hAnsi="Arial" w:cs="Arial"/>
          <w:lang w:val="es-CO"/>
        </w:rPr>
      </w:pPr>
      <w:r>
        <w:rPr>
          <w:rFonts w:ascii="Arial" w:hAnsi="Arial" w:cs="Arial"/>
          <w:lang w:val="es-CO"/>
        </w:rPr>
        <w:t>b) La existencia de un crédito claro, expreso y exigible, en contra de la entidad estatal, identificando su origen y la fecha de exigibilidad, para lo cual</w:t>
      </w:r>
      <w:r>
        <w:rPr>
          <w:rFonts w:ascii="Arial" w:hAnsi="Arial" w:cs="Arial"/>
          <w:lang w:val="es-CO"/>
        </w:rPr>
        <w:t xml:space="preserve"> se deberán relacionar los documentos soporte;</w:t>
      </w:r>
    </w:p>
    <w:p w14:paraId="44F1EAFD" w14:textId="77777777" w:rsidR="00B2442D" w:rsidRDefault="00B2442D">
      <w:pPr>
        <w:ind w:left="284" w:hanging="284"/>
        <w:jc w:val="both"/>
        <w:rPr>
          <w:rFonts w:ascii="Arial" w:hAnsi="Arial" w:cs="Arial"/>
          <w:lang w:val="es-CO"/>
        </w:rPr>
      </w:pPr>
    </w:p>
    <w:p w14:paraId="0FD0BEDC" w14:textId="77777777" w:rsidR="00B2442D" w:rsidRDefault="008A645F">
      <w:pPr>
        <w:ind w:left="284" w:hanging="284"/>
        <w:jc w:val="both"/>
        <w:rPr>
          <w:rFonts w:ascii="Arial" w:hAnsi="Arial" w:cs="Arial"/>
          <w:lang w:val="es-CO"/>
        </w:rPr>
      </w:pPr>
      <w:r>
        <w:rPr>
          <w:rFonts w:ascii="Arial" w:hAnsi="Arial" w:cs="Arial"/>
          <w:lang w:val="es-CO"/>
        </w:rPr>
        <w:t>c) El valor de la suma autorizada por el acreedor de la entidad estatal para el pago de obligaciones propias, una vez deducidas las sumas correspondientes a la retención en la fuente a que haya lugar, de conf</w:t>
      </w:r>
      <w:r>
        <w:rPr>
          <w:rFonts w:ascii="Arial" w:hAnsi="Arial" w:cs="Arial"/>
          <w:lang w:val="es-CO"/>
        </w:rPr>
        <w:t>ormidad con la normatividad vigente;</w:t>
      </w:r>
    </w:p>
    <w:p w14:paraId="5636B452" w14:textId="77777777" w:rsidR="00B2442D" w:rsidRDefault="00B2442D">
      <w:pPr>
        <w:ind w:left="284" w:hanging="284"/>
        <w:jc w:val="both"/>
        <w:rPr>
          <w:rFonts w:ascii="Arial" w:hAnsi="Arial" w:cs="Arial"/>
          <w:lang w:val="es-CO"/>
        </w:rPr>
      </w:pPr>
    </w:p>
    <w:p w14:paraId="0BB082B0" w14:textId="77777777" w:rsidR="00B2442D" w:rsidRDefault="008A645F">
      <w:pPr>
        <w:ind w:left="284" w:hanging="284"/>
        <w:jc w:val="both"/>
        <w:rPr>
          <w:rFonts w:ascii="Arial" w:hAnsi="Arial" w:cs="Arial"/>
          <w:lang w:val="es-CO"/>
        </w:rPr>
      </w:pPr>
      <w:r>
        <w:rPr>
          <w:rFonts w:ascii="Arial" w:hAnsi="Arial" w:cs="Arial"/>
          <w:lang w:val="es-CO"/>
        </w:rPr>
        <w:t>d) Indicación del trámite adelantado ante el Ministerio de Hacienda y Crédito Público -Dirección General del Presupuesto Público Nacional, para la autorización del pago sin situación de fondos.</w:t>
      </w:r>
    </w:p>
    <w:p w14:paraId="0D9245B3" w14:textId="77777777" w:rsidR="00B2442D" w:rsidRDefault="00B2442D">
      <w:pPr>
        <w:jc w:val="both"/>
        <w:rPr>
          <w:rFonts w:ascii="Arial" w:hAnsi="Arial" w:cs="Arial"/>
          <w:lang w:val="es-CO"/>
        </w:rPr>
      </w:pPr>
    </w:p>
    <w:p w14:paraId="3F889A80" w14:textId="77777777" w:rsidR="00B2442D" w:rsidRDefault="008A645F">
      <w:pPr>
        <w:jc w:val="both"/>
        <w:rPr>
          <w:rFonts w:ascii="Arial" w:hAnsi="Arial" w:cs="Arial"/>
          <w:i/>
          <w:lang w:val="es-CO"/>
        </w:rPr>
      </w:pPr>
      <w:r>
        <w:rPr>
          <w:rFonts w:ascii="Arial" w:hAnsi="Arial" w:cs="Arial"/>
          <w:i/>
          <w:lang w:val="es-CO"/>
        </w:rPr>
        <w:t xml:space="preserve">(Art. 4, Decreto </w:t>
      </w:r>
      <w:r>
        <w:rPr>
          <w:rFonts w:ascii="Arial" w:hAnsi="Arial" w:cs="Arial"/>
          <w:i/>
          <w:lang w:val="es-CO"/>
        </w:rPr>
        <w:t>1244 de 2013)</w:t>
      </w:r>
    </w:p>
    <w:p w14:paraId="769BFC5C" w14:textId="77777777" w:rsidR="00B2442D" w:rsidRDefault="00B2442D">
      <w:pPr>
        <w:jc w:val="both"/>
        <w:rPr>
          <w:rFonts w:ascii="Arial" w:hAnsi="Arial" w:cs="Arial"/>
          <w:lang w:val="es-CO"/>
        </w:rPr>
      </w:pPr>
    </w:p>
    <w:p w14:paraId="592D49C9"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Liquidación de intereses.</w:t>
      </w:r>
      <w:r>
        <w:rPr>
          <w:rFonts w:ascii="Arial" w:hAnsi="Arial" w:cs="Arial"/>
          <w:lang w:val="es-CO"/>
        </w:rPr>
        <w:t xml:space="preserve"> Los intereses de mora a cargo del deudor de obligaciones fiscales administradas por la Unidad Administrativa Especial Dirección de Impuestos y Aduanas Nacionales-DIAN, que sean objeto de cruce de cuentas conforme co</w:t>
      </w:r>
      <w:r>
        <w:rPr>
          <w:rFonts w:ascii="Arial" w:hAnsi="Arial" w:cs="Arial"/>
          <w:lang w:val="es-CO"/>
        </w:rPr>
        <w:t>n lo previsto en el presente capítulo, se liquidarán de conformidad con los artículos 634 y 635 del Estatuto Tributario, hasta la fecha en que la obligación a cargo de la entidad estatal del orden nacional deudora y en favor del particular, adquirió la con</w:t>
      </w:r>
      <w:r>
        <w:rPr>
          <w:rFonts w:ascii="Arial" w:hAnsi="Arial" w:cs="Arial"/>
          <w:lang w:val="es-CO"/>
        </w:rPr>
        <w:t>dición de ser clara, expresa y exigible.</w:t>
      </w:r>
    </w:p>
    <w:p w14:paraId="3974814E" w14:textId="77777777" w:rsidR="00B2442D" w:rsidRDefault="00B2442D">
      <w:pPr>
        <w:jc w:val="both"/>
        <w:rPr>
          <w:rFonts w:ascii="Arial" w:hAnsi="Arial" w:cs="Arial"/>
          <w:lang w:val="es-CO"/>
        </w:rPr>
      </w:pPr>
    </w:p>
    <w:p w14:paraId="45916CA5" w14:textId="77777777" w:rsidR="00B2442D" w:rsidRDefault="008A645F">
      <w:pPr>
        <w:jc w:val="both"/>
        <w:rPr>
          <w:rFonts w:ascii="Arial" w:hAnsi="Arial" w:cs="Arial"/>
          <w:i/>
          <w:lang w:val="es-CO"/>
        </w:rPr>
      </w:pPr>
      <w:r>
        <w:rPr>
          <w:rFonts w:ascii="Arial" w:hAnsi="Arial" w:cs="Arial"/>
          <w:i/>
          <w:lang w:val="es-CO"/>
        </w:rPr>
        <w:t>(Art. 5, Decreto 1244 de 2013)</w:t>
      </w:r>
    </w:p>
    <w:p w14:paraId="7701D193" w14:textId="77777777" w:rsidR="00B2442D" w:rsidRDefault="00B2442D">
      <w:pPr>
        <w:jc w:val="both"/>
        <w:rPr>
          <w:rFonts w:ascii="Arial" w:hAnsi="Arial" w:cs="Arial"/>
          <w:lang w:val="es-CO"/>
        </w:rPr>
      </w:pPr>
    </w:p>
    <w:p w14:paraId="1BD1FA3A" w14:textId="77777777" w:rsidR="00B2442D" w:rsidRDefault="008A645F">
      <w:pPr>
        <w:pStyle w:val="Prrafodelista"/>
        <w:numPr>
          <w:ilvl w:val="0"/>
          <w:numId w:val="131"/>
        </w:numPr>
        <w:ind w:left="0" w:firstLine="0"/>
        <w:jc w:val="both"/>
        <w:rPr>
          <w:rFonts w:ascii="Arial" w:hAnsi="Arial" w:cs="Arial"/>
          <w:lang w:val="es-CO"/>
        </w:rPr>
      </w:pPr>
      <w:r>
        <w:rPr>
          <w:rFonts w:ascii="Arial" w:hAnsi="Arial" w:cs="Arial"/>
          <w:b/>
          <w:i/>
          <w:lang w:val="es-CO"/>
        </w:rPr>
        <w:t>Trámite Administración de Impuestos y/o Aduanas.</w:t>
      </w:r>
      <w:r>
        <w:rPr>
          <w:rFonts w:ascii="Arial" w:hAnsi="Arial" w:cs="Arial"/>
          <w:lang w:val="es-CO"/>
        </w:rPr>
        <w:t xml:space="preserve"> La Dirección Seccional de Impuestos y/o Aduanas del domicilio principal del acreedor de la entidad estatal, una vez recibida la certi</w:t>
      </w:r>
      <w:r>
        <w:rPr>
          <w:rFonts w:ascii="Arial" w:hAnsi="Arial" w:cs="Arial"/>
          <w:lang w:val="es-CO"/>
        </w:rPr>
        <w:t>ficación de que trata el artículo 1.6.2.2.4 del presente Decreto, verificará el cumplimiento de los requisitos necesarios para la cancelación de las obligaciones autorizadas en los términos de este capítulo.</w:t>
      </w:r>
    </w:p>
    <w:p w14:paraId="6179466E" w14:textId="77777777" w:rsidR="00B2442D" w:rsidRDefault="00B2442D">
      <w:pPr>
        <w:jc w:val="both"/>
        <w:rPr>
          <w:rFonts w:ascii="Arial" w:hAnsi="Arial" w:cs="Arial"/>
          <w:lang w:val="es-CO"/>
        </w:rPr>
      </w:pPr>
    </w:p>
    <w:p w14:paraId="048FCF1E" w14:textId="77777777" w:rsidR="00B2442D" w:rsidRDefault="008A645F">
      <w:pPr>
        <w:jc w:val="both"/>
        <w:rPr>
          <w:rFonts w:ascii="Arial" w:hAnsi="Arial" w:cs="Arial"/>
          <w:lang w:val="es-CO"/>
        </w:rPr>
      </w:pPr>
      <w:r>
        <w:rPr>
          <w:rFonts w:ascii="Arial" w:hAnsi="Arial" w:cs="Arial"/>
          <w:lang w:val="es-CO"/>
        </w:rPr>
        <w:t>Dentro del término de veinte (20) días hábiles,</w:t>
      </w:r>
      <w:r>
        <w:rPr>
          <w:rFonts w:ascii="Arial" w:hAnsi="Arial" w:cs="Arial"/>
          <w:lang w:val="es-CO"/>
        </w:rPr>
        <w:t xml:space="preserve"> contados a partir del recibo en debida forma de la certificación de que trata el artículo 1.6.2.2.4 del presente Decreto, la mencionada Dirección expedirá una resolución cancelando las obligaciones fiscales a cargo del acreedor de la entidad estatal, teni</w:t>
      </w:r>
      <w:r>
        <w:rPr>
          <w:rFonts w:ascii="Arial" w:hAnsi="Arial" w:cs="Arial"/>
          <w:lang w:val="es-CO"/>
        </w:rPr>
        <w:t>endo en cuenta el artículo 804 del Estatuto Tributario, hasta por el monto de la acreencia autorizada, previa la liquidación de los intereses a que haya lugar.</w:t>
      </w:r>
    </w:p>
    <w:p w14:paraId="1C096D9E" w14:textId="77777777" w:rsidR="00B2442D" w:rsidRDefault="00B2442D">
      <w:pPr>
        <w:jc w:val="both"/>
        <w:rPr>
          <w:rFonts w:ascii="Arial" w:hAnsi="Arial" w:cs="Arial"/>
          <w:lang w:val="es-CO"/>
        </w:rPr>
      </w:pPr>
    </w:p>
    <w:p w14:paraId="30BF1752" w14:textId="77777777" w:rsidR="00B2442D" w:rsidRDefault="008A645F">
      <w:pPr>
        <w:jc w:val="both"/>
        <w:rPr>
          <w:rFonts w:ascii="Arial" w:hAnsi="Arial" w:cs="Arial"/>
          <w:lang w:val="es-CO"/>
        </w:rPr>
      </w:pPr>
      <w:r>
        <w:rPr>
          <w:rFonts w:ascii="Arial" w:hAnsi="Arial" w:cs="Arial"/>
          <w:lang w:val="es-CO"/>
        </w:rPr>
        <w:t>Los pagos por cruce de cuentas deben ser aplicados a obligaciones exigibles. No podrán generars</w:t>
      </w:r>
      <w:r>
        <w:rPr>
          <w:rFonts w:ascii="Arial" w:hAnsi="Arial" w:cs="Arial"/>
          <w:lang w:val="es-CO"/>
        </w:rPr>
        <w:t>e excesos de pago originados en este mecanismo de cancelación de obligaciones fiscales.</w:t>
      </w:r>
    </w:p>
    <w:p w14:paraId="2DEE8539" w14:textId="77777777" w:rsidR="00B2442D" w:rsidRDefault="00B2442D">
      <w:pPr>
        <w:jc w:val="both"/>
        <w:rPr>
          <w:rFonts w:ascii="Arial" w:hAnsi="Arial" w:cs="Arial"/>
          <w:lang w:val="es-CO"/>
        </w:rPr>
      </w:pPr>
    </w:p>
    <w:p w14:paraId="3279ACC8" w14:textId="77777777" w:rsidR="00B2442D" w:rsidRDefault="008A645F">
      <w:pPr>
        <w:jc w:val="both"/>
        <w:rPr>
          <w:rFonts w:ascii="Arial" w:hAnsi="Arial" w:cs="Arial"/>
          <w:lang w:val="es-CO"/>
        </w:rPr>
      </w:pPr>
      <w:r>
        <w:rPr>
          <w:rFonts w:ascii="Arial" w:hAnsi="Arial" w:cs="Arial"/>
          <w:lang w:val="es-CO"/>
        </w:rPr>
        <w:t>Cuando se cancelen obligaciones a cargo de un deudor de obligaciones fiscales exigibles por diferentes seccionales, la Dirección Seccional que haya recibido la informa</w:t>
      </w:r>
      <w:r>
        <w:rPr>
          <w:rFonts w:ascii="Arial" w:hAnsi="Arial" w:cs="Arial"/>
          <w:lang w:val="es-CO"/>
        </w:rPr>
        <w:t xml:space="preserve">ción proveniente de la entidad estatal deudora, expedirá la resolución respectiva ordenando la cancelación de las obligaciones de su competencia. Una vez proferida la resolución de cruce de cuentas, remitirá copia de la misma para lo de competencia de las </w:t>
      </w:r>
      <w:r>
        <w:rPr>
          <w:rFonts w:ascii="Arial" w:hAnsi="Arial" w:cs="Arial"/>
          <w:lang w:val="es-CO"/>
        </w:rPr>
        <w:t>demás Seccionales, anexando copia de los documentos soporte recibidos de la entidad estatal deudora.</w:t>
      </w:r>
    </w:p>
    <w:p w14:paraId="00E63CAB" w14:textId="77777777" w:rsidR="00B2442D" w:rsidRDefault="00B2442D">
      <w:pPr>
        <w:jc w:val="both"/>
        <w:rPr>
          <w:rFonts w:ascii="Arial" w:hAnsi="Arial" w:cs="Arial"/>
          <w:lang w:val="es-CO"/>
        </w:rPr>
      </w:pPr>
    </w:p>
    <w:p w14:paraId="1BB20E97" w14:textId="77777777" w:rsidR="00B2442D" w:rsidRDefault="008A645F">
      <w:pPr>
        <w:jc w:val="both"/>
        <w:rPr>
          <w:rFonts w:ascii="Arial" w:hAnsi="Arial" w:cs="Arial"/>
          <w:lang w:val="es-CO"/>
        </w:rPr>
      </w:pPr>
      <w:r>
        <w:rPr>
          <w:rFonts w:ascii="Arial" w:hAnsi="Arial" w:cs="Arial"/>
          <w:lang w:val="es-CO"/>
        </w:rPr>
        <w:t>La resolución que autoriza el cruce de cuentas de las deudas fiscales administradas por la Unidad Administrativa Especial Dirección de Impuestos y Aduanas</w:t>
      </w:r>
      <w:r>
        <w:rPr>
          <w:rFonts w:ascii="Arial" w:hAnsi="Arial" w:cs="Arial"/>
          <w:lang w:val="es-CO"/>
        </w:rPr>
        <w:t xml:space="preserve"> Nacionales-DIAN, se notificará al acreedor de la entidad estatal deudor de obligaciones fiscales, de conformidad con lo dispuesto en el artículo 565 del Estatuto Tributario.</w:t>
      </w:r>
    </w:p>
    <w:p w14:paraId="18E67F9D" w14:textId="77777777" w:rsidR="00B2442D" w:rsidRDefault="00B2442D">
      <w:pPr>
        <w:jc w:val="both"/>
        <w:rPr>
          <w:rFonts w:ascii="Arial" w:hAnsi="Arial" w:cs="Arial"/>
          <w:lang w:val="es-CO"/>
        </w:rPr>
      </w:pPr>
    </w:p>
    <w:p w14:paraId="5DBA7752" w14:textId="77777777" w:rsidR="00B2442D" w:rsidRDefault="008A645F">
      <w:pPr>
        <w:jc w:val="both"/>
        <w:rPr>
          <w:rFonts w:ascii="Arial" w:hAnsi="Arial" w:cs="Arial"/>
          <w:lang w:val="es-CO"/>
        </w:rPr>
      </w:pPr>
      <w:r>
        <w:rPr>
          <w:rFonts w:ascii="Arial" w:hAnsi="Arial" w:cs="Arial"/>
          <w:lang w:val="es-CO"/>
        </w:rPr>
        <w:t>Contra la resolución que autoriza el cruce de cuentas procederá el recurso de re</w:t>
      </w:r>
      <w:r>
        <w:rPr>
          <w:rFonts w:ascii="Arial" w:hAnsi="Arial" w:cs="Arial"/>
          <w:lang w:val="es-CO"/>
        </w:rPr>
        <w:t>consideración, en la forma y términos del artículo 720 del Estatuto Tributario.</w:t>
      </w:r>
    </w:p>
    <w:p w14:paraId="55807FB5" w14:textId="77777777" w:rsidR="00B2442D" w:rsidRDefault="00B2442D">
      <w:pPr>
        <w:jc w:val="both"/>
        <w:rPr>
          <w:rFonts w:ascii="Arial" w:hAnsi="Arial" w:cs="Arial"/>
          <w:lang w:val="es-CO"/>
        </w:rPr>
      </w:pPr>
    </w:p>
    <w:p w14:paraId="3DB02F1A" w14:textId="77777777" w:rsidR="00B2442D" w:rsidRDefault="008A645F">
      <w:pPr>
        <w:jc w:val="both"/>
        <w:rPr>
          <w:rFonts w:ascii="Arial" w:hAnsi="Arial" w:cs="Arial"/>
          <w:lang w:val="es-CO"/>
        </w:rPr>
      </w:pPr>
      <w:r>
        <w:rPr>
          <w:rFonts w:ascii="Arial" w:hAnsi="Arial" w:cs="Arial"/>
          <w:lang w:val="es-CO"/>
        </w:rPr>
        <w:t>Una vez en firme la resolución que autoriza el pago por cruce de cuentas, a través del aplicativo Gestor o el que se implemente para tal fin, la Dirección Seccional deberá rem</w:t>
      </w:r>
      <w:r>
        <w:rPr>
          <w:rFonts w:ascii="Arial" w:hAnsi="Arial" w:cs="Arial"/>
          <w:lang w:val="es-CO"/>
        </w:rPr>
        <w:t>itir copia de la misma al área de contabilidad, para lo de su competencia y al área de cobranzas, para la respectiva actuación dentro del proceso de cobro.</w:t>
      </w:r>
    </w:p>
    <w:p w14:paraId="2B0BC4F3" w14:textId="77777777" w:rsidR="00B2442D" w:rsidRDefault="00B2442D">
      <w:pPr>
        <w:jc w:val="both"/>
        <w:rPr>
          <w:rFonts w:ascii="Arial" w:hAnsi="Arial" w:cs="Arial"/>
          <w:lang w:val="es-CO"/>
        </w:rPr>
      </w:pPr>
    </w:p>
    <w:p w14:paraId="7D8F6335" w14:textId="77777777" w:rsidR="00B2442D" w:rsidRDefault="008A645F">
      <w:pPr>
        <w:jc w:val="both"/>
        <w:rPr>
          <w:rFonts w:ascii="Arial" w:hAnsi="Arial" w:cs="Arial"/>
          <w:lang w:val="es-CO"/>
        </w:rPr>
      </w:pPr>
      <w:r>
        <w:rPr>
          <w:rFonts w:ascii="Arial" w:hAnsi="Arial" w:cs="Arial"/>
          <w:lang w:val="es-CO"/>
        </w:rPr>
        <w:t>Igualmente, una vez ejecutoriada la resolución que autoriza el pago por cruce de cuentas, la Direcc</w:t>
      </w:r>
      <w:r>
        <w:rPr>
          <w:rFonts w:ascii="Arial" w:hAnsi="Arial" w:cs="Arial"/>
          <w:lang w:val="es-CO"/>
        </w:rPr>
        <w:t>ión Seccional respectiva informará, a la entidad estatal del orden nacional deudora, el valor que fue objeto de cruce de cuentas, remitiendo copia del acto administrativo debidamente notificado y ejecutoriado, para que la misma proceda a efectuar los ajust</w:t>
      </w:r>
      <w:r>
        <w:rPr>
          <w:rFonts w:ascii="Arial" w:hAnsi="Arial" w:cs="Arial"/>
          <w:lang w:val="es-CO"/>
        </w:rPr>
        <w:t>es pertinentes relacionados con la extinción de la obligación. En todo caso, la entidad pública no podrá sobrepasar la anualidad respectiva.</w:t>
      </w:r>
    </w:p>
    <w:p w14:paraId="00DDECA8" w14:textId="77777777" w:rsidR="00B2442D" w:rsidRDefault="00B2442D">
      <w:pPr>
        <w:jc w:val="both"/>
        <w:rPr>
          <w:rFonts w:ascii="Arial" w:hAnsi="Arial" w:cs="Arial"/>
          <w:lang w:val="es-CO"/>
        </w:rPr>
      </w:pPr>
    </w:p>
    <w:p w14:paraId="5CCC9B02" w14:textId="77777777" w:rsidR="00B2442D" w:rsidRDefault="008A645F">
      <w:pPr>
        <w:jc w:val="both"/>
        <w:rPr>
          <w:rFonts w:ascii="Arial" w:hAnsi="Arial" w:cs="Arial"/>
          <w:i/>
          <w:lang w:val="es-CO"/>
        </w:rPr>
      </w:pPr>
      <w:r>
        <w:rPr>
          <w:rFonts w:ascii="Arial" w:hAnsi="Arial" w:cs="Arial"/>
          <w:i/>
          <w:lang w:val="es-CO"/>
        </w:rPr>
        <w:t>(Art. 6, Decreto 1244 de 2013)</w:t>
      </w:r>
    </w:p>
    <w:p w14:paraId="30637B7D" w14:textId="77777777" w:rsidR="00B2442D" w:rsidRDefault="00B2442D">
      <w:pPr>
        <w:jc w:val="both"/>
        <w:rPr>
          <w:rFonts w:ascii="Arial" w:hAnsi="Arial" w:cs="Arial"/>
          <w:i/>
          <w:lang w:val="es-CO"/>
        </w:rPr>
      </w:pPr>
    </w:p>
    <w:p w14:paraId="73852E98" w14:textId="77777777" w:rsidR="00B2442D" w:rsidRDefault="008A645F">
      <w:pPr>
        <w:pStyle w:val="Ttulo4"/>
        <w:rPr>
          <w:lang w:val="es-CO"/>
        </w:rPr>
      </w:pPr>
      <w:r>
        <w:rPr>
          <w:lang w:val="es-CO"/>
        </w:rPr>
        <w:t>CAPÍTULO 3</w:t>
      </w:r>
    </w:p>
    <w:p w14:paraId="5759624C" w14:textId="77777777" w:rsidR="00B2442D" w:rsidRDefault="008A645F">
      <w:pPr>
        <w:pStyle w:val="Ttulo4"/>
        <w:rPr>
          <w:lang w:val="es-CO"/>
        </w:rPr>
      </w:pPr>
      <w:r>
        <w:rPr>
          <w:lang w:val="es-CO"/>
        </w:rPr>
        <w:t>Dación en pago</w:t>
      </w:r>
    </w:p>
    <w:p w14:paraId="1B1CD8CD" w14:textId="77777777" w:rsidR="00B2442D" w:rsidRDefault="00B2442D">
      <w:pPr>
        <w:rPr>
          <w:rFonts w:ascii="Arial" w:hAnsi="Arial" w:cs="Arial"/>
          <w:lang w:val="es-CO"/>
        </w:rPr>
      </w:pPr>
    </w:p>
    <w:p w14:paraId="3CB5E61F"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Dación en pago.</w:t>
      </w:r>
      <w:r>
        <w:rPr>
          <w:rFonts w:ascii="Arial" w:hAnsi="Arial" w:cs="Arial"/>
          <w:lang w:val="es-CO"/>
        </w:rPr>
        <w:t xml:space="preserve"> La dación en pago de que trata el inciso segundo del artículo 840 del Estatuto Tributario, es un modo de extinguir las obligaciones tributarias administradas por la Unidad Administrativa Especial Dirección de Impuestos y Aduanas Nacionales, DIAN, por conc</w:t>
      </w:r>
      <w:r>
        <w:rPr>
          <w:rFonts w:ascii="Arial" w:hAnsi="Arial" w:cs="Arial"/>
          <w:lang w:val="es-CO"/>
        </w:rPr>
        <w:t>epto de impuestos, anticipos, retenciones y sanciones junto con las actualizaciones e intereses a que hubiere lugar, a cargo de los deudores que se encuentren en procesos de extinción de dominio, en los cuales se adjudique la propiedad del bien a la Nación</w:t>
      </w:r>
      <w:r>
        <w:rPr>
          <w:rFonts w:ascii="Arial" w:hAnsi="Arial" w:cs="Arial"/>
          <w:lang w:val="es-CO"/>
        </w:rPr>
        <w:t xml:space="preserve"> - Unidad Administrativa Especial Dirección de Impuestos y Aduanas Nacionales, DIAN, o en procesos concursales; de liquidación forzosa administrativa; de reestructuración empresarial; de insolvencia.</w:t>
      </w:r>
    </w:p>
    <w:p w14:paraId="294A0F33" w14:textId="77777777" w:rsidR="00B2442D" w:rsidRDefault="00B2442D">
      <w:pPr>
        <w:jc w:val="both"/>
        <w:rPr>
          <w:rFonts w:ascii="Arial" w:hAnsi="Arial" w:cs="Arial"/>
          <w:lang w:val="es-CO"/>
        </w:rPr>
      </w:pPr>
    </w:p>
    <w:p w14:paraId="1935EC80" w14:textId="77777777" w:rsidR="00B2442D" w:rsidRDefault="008A645F">
      <w:pPr>
        <w:jc w:val="both"/>
        <w:rPr>
          <w:rFonts w:ascii="Arial" w:hAnsi="Arial" w:cs="Arial"/>
          <w:lang w:val="es-CO"/>
        </w:rPr>
      </w:pPr>
      <w:r>
        <w:rPr>
          <w:rFonts w:ascii="Arial" w:hAnsi="Arial" w:cs="Arial"/>
          <w:lang w:val="es-CO"/>
        </w:rPr>
        <w:t>La dación en pago relativa a bienes recibidos se materi</w:t>
      </w:r>
      <w:r>
        <w:rPr>
          <w:rFonts w:ascii="Arial" w:hAnsi="Arial" w:cs="Arial"/>
          <w:lang w:val="es-CO"/>
        </w:rPr>
        <w:t>alizará mediante la transferencia del derecho de dominio y posesión a favor de la Nación - Unidad Administrativa Especial Dirección de Impuestos y Aduanas Nacionales, DIAN.</w:t>
      </w:r>
    </w:p>
    <w:p w14:paraId="44BE9D3A" w14:textId="77777777" w:rsidR="00B2442D" w:rsidRDefault="00B2442D">
      <w:pPr>
        <w:jc w:val="both"/>
        <w:rPr>
          <w:rFonts w:ascii="Arial" w:hAnsi="Arial" w:cs="Arial"/>
          <w:lang w:val="es-CO"/>
        </w:rPr>
      </w:pPr>
    </w:p>
    <w:p w14:paraId="5FA292C9" w14:textId="77777777" w:rsidR="00B2442D" w:rsidRDefault="008A645F">
      <w:pPr>
        <w:jc w:val="both"/>
        <w:rPr>
          <w:rFonts w:ascii="Arial" w:hAnsi="Arial" w:cs="Arial"/>
          <w:lang w:val="es-CO"/>
        </w:rPr>
      </w:pPr>
      <w:r>
        <w:rPr>
          <w:rFonts w:ascii="Arial" w:hAnsi="Arial" w:cs="Arial"/>
          <w:lang w:val="es-CO"/>
        </w:rPr>
        <w:t xml:space="preserve">Dicha transferencia da lugar a que se cancelen en los registros contables y en la </w:t>
      </w:r>
      <w:r>
        <w:rPr>
          <w:rFonts w:ascii="Arial" w:hAnsi="Arial" w:cs="Arial"/>
          <w:lang w:val="es-CO"/>
        </w:rPr>
        <w:t>cuenta corriente del deudor, las obligaciones relativas a impuestos, anticipos, retenciones y sanciones junto con las actualizaciones e intereses a que hubiere lugar en forma equivalente al valor por el cual se hayan recibido los bienes.</w:t>
      </w:r>
    </w:p>
    <w:p w14:paraId="7AE60541" w14:textId="77777777" w:rsidR="00B2442D" w:rsidRDefault="00B2442D">
      <w:pPr>
        <w:jc w:val="both"/>
        <w:rPr>
          <w:rFonts w:ascii="Arial" w:hAnsi="Arial" w:cs="Arial"/>
          <w:lang w:val="es-CO"/>
        </w:rPr>
      </w:pPr>
    </w:p>
    <w:p w14:paraId="65647F74" w14:textId="77777777" w:rsidR="00B2442D" w:rsidRDefault="008A645F">
      <w:pPr>
        <w:jc w:val="both"/>
        <w:rPr>
          <w:rFonts w:ascii="Arial" w:hAnsi="Arial" w:cs="Arial"/>
          <w:lang w:val="es-CO"/>
        </w:rPr>
      </w:pPr>
      <w:r>
        <w:rPr>
          <w:rFonts w:ascii="Arial" w:hAnsi="Arial" w:cs="Arial"/>
          <w:lang w:val="es-CO"/>
        </w:rPr>
        <w:t>Los bienes recibi</w:t>
      </w:r>
      <w:r>
        <w:rPr>
          <w:rFonts w:ascii="Arial" w:hAnsi="Arial" w:cs="Arial"/>
          <w:lang w:val="es-CO"/>
        </w:rPr>
        <w:t>dos en dación en pago ingresarán al patrimonio de la Nación y se registrarán en las cuentas del balance de los ingresos administrados por la Unidad Administrativa Especial Dirección de Impuestos y Aduanas Nacionales, DIAN.</w:t>
      </w:r>
    </w:p>
    <w:p w14:paraId="5B7A7442" w14:textId="77777777" w:rsidR="00B2442D" w:rsidRDefault="00B2442D">
      <w:pPr>
        <w:jc w:val="both"/>
        <w:rPr>
          <w:rFonts w:ascii="Arial" w:hAnsi="Arial" w:cs="Arial"/>
          <w:lang w:val="es-CO"/>
        </w:rPr>
      </w:pPr>
    </w:p>
    <w:p w14:paraId="03CAF022" w14:textId="77777777" w:rsidR="00B2442D" w:rsidRDefault="008A645F">
      <w:pPr>
        <w:jc w:val="both"/>
        <w:rPr>
          <w:rFonts w:ascii="Arial" w:hAnsi="Arial" w:cs="Arial"/>
          <w:i/>
          <w:lang w:val="es-CO"/>
        </w:rPr>
      </w:pPr>
      <w:r>
        <w:rPr>
          <w:rFonts w:ascii="Arial" w:hAnsi="Arial" w:cs="Arial"/>
          <w:i/>
          <w:lang w:val="es-CO"/>
        </w:rPr>
        <w:t>(Art 1. Decreto 4815 de 2007. La</w:t>
      </w:r>
      <w:r>
        <w:rPr>
          <w:rFonts w:ascii="Arial" w:hAnsi="Arial" w:cs="Arial"/>
          <w:i/>
          <w:lang w:val="es-CO"/>
        </w:rPr>
        <w:t xml:space="preserve"> expresión “o de cruce de cuentas, que se encuentren en curso, de acuerdo con lo establecido en la Ley 550 de 1999”, tiene decaimiento teniendo en cuenta la derogatoria tácita “del cruce de cuentas” por los artículos 125 y 126 de la Ley 1116 de 2006, para </w:t>
      </w:r>
      <w:r>
        <w:rPr>
          <w:rFonts w:ascii="Arial" w:hAnsi="Arial" w:cs="Arial"/>
          <w:i/>
          <w:lang w:val="es-CO"/>
        </w:rPr>
        <w:t>los impuestos administrados por la DIAN y la nueva regulación prevista en el art. 196 de la Ley 1607 de 2012)</w:t>
      </w:r>
    </w:p>
    <w:p w14:paraId="1B6AE7E6" w14:textId="77777777" w:rsidR="00B2442D" w:rsidRDefault="00B2442D">
      <w:pPr>
        <w:jc w:val="both"/>
        <w:rPr>
          <w:rFonts w:ascii="Arial" w:hAnsi="Arial" w:cs="Arial"/>
          <w:lang w:val="es-CO"/>
        </w:rPr>
      </w:pPr>
    </w:p>
    <w:p w14:paraId="6F4F2816"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Efectos de la dación en pago.</w:t>
      </w:r>
      <w:r>
        <w:rPr>
          <w:rFonts w:ascii="Arial" w:hAnsi="Arial" w:cs="Arial"/>
          <w:lang w:val="es-CO"/>
        </w:rPr>
        <w:t xml:space="preserve"> La dación en pago surtirá todos sus efectos legales, a partir de la fecha en que se perfeccione la tradición o la e</w:t>
      </w:r>
      <w:r>
        <w:rPr>
          <w:rFonts w:ascii="Arial" w:hAnsi="Arial" w:cs="Arial"/>
          <w:lang w:val="es-CO"/>
        </w:rPr>
        <w:t xml:space="preserve">ntrega real y material de los bienes que no estén sometidos a solemnidad alguna, fecha que se considerará como la del pago. Si por culpa imputable al deudor se presenta demora en la entrega de los bienes, se tendrá como fecha de pago, aquella en que estos </w:t>
      </w:r>
      <w:r>
        <w:rPr>
          <w:rFonts w:ascii="Arial" w:hAnsi="Arial" w:cs="Arial"/>
          <w:lang w:val="es-CO"/>
        </w:rPr>
        <w:t>fueron real y materialmente entregados a la Nación - Unidad Administrativa Especial Dirección de Impuestos y Aduanas Nacionales, DIAN.</w:t>
      </w:r>
    </w:p>
    <w:p w14:paraId="4AC1C369" w14:textId="77777777" w:rsidR="00B2442D" w:rsidRDefault="00B2442D">
      <w:pPr>
        <w:jc w:val="both"/>
        <w:rPr>
          <w:rFonts w:ascii="Arial" w:hAnsi="Arial" w:cs="Arial"/>
          <w:lang w:val="es-CO"/>
        </w:rPr>
      </w:pPr>
    </w:p>
    <w:p w14:paraId="067270E2" w14:textId="77777777" w:rsidR="00B2442D" w:rsidRDefault="008A645F">
      <w:pPr>
        <w:jc w:val="both"/>
        <w:rPr>
          <w:rFonts w:ascii="Arial" w:hAnsi="Arial" w:cs="Arial"/>
          <w:lang w:val="es-CO"/>
        </w:rPr>
      </w:pPr>
      <w:r>
        <w:rPr>
          <w:rFonts w:ascii="Arial" w:hAnsi="Arial" w:cs="Arial"/>
          <w:lang w:val="es-CO"/>
        </w:rPr>
        <w:t>La dación en pago sólo extingue la obligación tributaria administrada por la Unidad Administrativa Especial Dirección de</w:t>
      </w:r>
      <w:r>
        <w:rPr>
          <w:rFonts w:ascii="Arial" w:hAnsi="Arial" w:cs="Arial"/>
          <w:lang w:val="es-CO"/>
        </w:rPr>
        <w:t xml:space="preserve"> Impuestos y Aduanas Nacionales, DIAN, por el valor que equivalga al monto por el que fueron entregados los bienes; los saldos que quedaren pendientes de pago a cargo del deudor, continuarán siendo objeto de proceso administrativo de cobro coactivo, toda v</w:t>
      </w:r>
      <w:r>
        <w:rPr>
          <w:rFonts w:ascii="Arial" w:hAnsi="Arial" w:cs="Arial"/>
          <w:lang w:val="es-CO"/>
        </w:rPr>
        <w:t>ez que las obligaciones fiscales no pueden ser objeto de condonación.</w:t>
      </w:r>
    </w:p>
    <w:p w14:paraId="6F614A7E" w14:textId="77777777" w:rsidR="00B2442D" w:rsidRDefault="00B2442D">
      <w:pPr>
        <w:jc w:val="both"/>
        <w:rPr>
          <w:rFonts w:ascii="Arial" w:hAnsi="Arial" w:cs="Arial"/>
          <w:lang w:val="es-CO"/>
        </w:rPr>
      </w:pPr>
    </w:p>
    <w:p w14:paraId="0273AD0D" w14:textId="77777777" w:rsidR="00B2442D" w:rsidRDefault="008A645F">
      <w:pPr>
        <w:jc w:val="both"/>
        <w:rPr>
          <w:rFonts w:ascii="Arial" w:hAnsi="Arial" w:cs="Arial"/>
          <w:lang w:val="es-CO"/>
        </w:rPr>
      </w:pPr>
      <w:r>
        <w:rPr>
          <w:rFonts w:ascii="Arial" w:hAnsi="Arial" w:cs="Arial"/>
          <w:i/>
          <w:lang w:val="es-CO"/>
        </w:rPr>
        <w:t>(Art. 2, Decreto 4815 de 2007)</w:t>
      </w:r>
    </w:p>
    <w:p w14:paraId="2AC28724" w14:textId="77777777" w:rsidR="00B2442D" w:rsidRDefault="00B2442D">
      <w:pPr>
        <w:jc w:val="both"/>
        <w:rPr>
          <w:rFonts w:ascii="Arial" w:hAnsi="Arial" w:cs="Arial"/>
          <w:lang w:val="es-CO"/>
        </w:rPr>
      </w:pPr>
    </w:p>
    <w:p w14:paraId="03C74B7F"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Competencia.</w:t>
      </w:r>
      <w:r>
        <w:rPr>
          <w:rFonts w:ascii="Arial" w:hAnsi="Arial" w:cs="Arial"/>
          <w:lang w:val="es-CO"/>
        </w:rPr>
        <w:t xml:space="preserve"> Serán competentes para autorizar la aceptación de la dación en pago en los procesos de extinción de dominio, concúrsales, de liquidación for</w:t>
      </w:r>
      <w:r>
        <w:rPr>
          <w:rFonts w:ascii="Arial" w:hAnsi="Arial" w:cs="Arial"/>
          <w:lang w:val="es-CO"/>
        </w:rPr>
        <w:t>zosa administrativa, de reestructuración empresarial, de insolvencia, el Director Seccional de Impuestos Nacionales, de Impuestos y Aduanas Nacionales o de Aduanas Nacionales de la Dirección Seccional a la cual pertenezca el deudor.</w:t>
      </w:r>
    </w:p>
    <w:p w14:paraId="0FA80255" w14:textId="77777777" w:rsidR="00B2442D" w:rsidRDefault="00B2442D">
      <w:pPr>
        <w:jc w:val="both"/>
        <w:rPr>
          <w:rFonts w:ascii="Arial" w:hAnsi="Arial" w:cs="Arial"/>
          <w:lang w:val="es-CO"/>
        </w:rPr>
      </w:pPr>
    </w:p>
    <w:p w14:paraId="3B6E3D63" w14:textId="77777777" w:rsidR="00B2442D" w:rsidRDefault="008A645F">
      <w:pPr>
        <w:jc w:val="both"/>
        <w:rPr>
          <w:rFonts w:ascii="Arial" w:hAnsi="Arial" w:cs="Arial"/>
          <w:lang w:val="es-CO"/>
        </w:rPr>
      </w:pPr>
      <w:r>
        <w:rPr>
          <w:rFonts w:ascii="Arial" w:hAnsi="Arial" w:cs="Arial"/>
          <w:i/>
          <w:lang w:val="es-CO"/>
        </w:rPr>
        <w:t xml:space="preserve">(Art. 3, Decreto 4815 </w:t>
      </w:r>
      <w:r>
        <w:rPr>
          <w:rFonts w:ascii="Arial" w:hAnsi="Arial" w:cs="Arial"/>
          <w:i/>
          <w:lang w:val="es-CO"/>
        </w:rPr>
        <w:t xml:space="preserve">de 2007, la frase “o de cruce de cuentas”, tiene decaimiento teniendo en cuenta la derogatoria tácita “del cruce de cuentas” por los artículos 125 y 126 de la Ley 1116 de 2006, para los impuestos administrados por la DIAN y la nueva regulación prevista en </w:t>
      </w:r>
      <w:r>
        <w:rPr>
          <w:rFonts w:ascii="Arial" w:hAnsi="Arial" w:cs="Arial"/>
          <w:i/>
          <w:lang w:val="es-CO"/>
        </w:rPr>
        <w:t>el art. 196 de la Ley 1607 de 2012)</w:t>
      </w:r>
      <w:r>
        <w:rPr>
          <w:rFonts w:ascii="Arial" w:hAnsi="Arial" w:cs="Arial"/>
        </w:rPr>
        <w:t xml:space="preserve"> (</w:t>
      </w:r>
      <w:r>
        <w:rPr>
          <w:rFonts w:ascii="Arial" w:hAnsi="Arial" w:cs="Arial"/>
          <w:i/>
          <w:lang w:val="es-CO"/>
        </w:rPr>
        <w:t>El Decreto 4815 de 2007 rige a partir de su publicación y deroga los Decretos 1915 de 2003, 961 de 2006 y el inciso 2o del artículo 12 del Decreto 881 de 2007. Art. 12, Decreto 4815 de 2007)</w:t>
      </w:r>
    </w:p>
    <w:p w14:paraId="0F35D5E3" w14:textId="77777777" w:rsidR="00B2442D" w:rsidRDefault="00B2442D">
      <w:pPr>
        <w:jc w:val="both"/>
        <w:rPr>
          <w:rFonts w:ascii="Arial" w:hAnsi="Arial" w:cs="Arial"/>
          <w:lang w:val="es-CO"/>
        </w:rPr>
      </w:pPr>
    </w:p>
    <w:p w14:paraId="1F5B0D8E"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Condiciones para la aceptac</w:t>
      </w:r>
      <w:r>
        <w:rPr>
          <w:rFonts w:ascii="Arial" w:hAnsi="Arial" w:cs="Arial"/>
          <w:b/>
          <w:i/>
          <w:lang w:val="es-CO"/>
        </w:rPr>
        <w:t>ión de bienes en dación en pago.</w:t>
      </w:r>
      <w:r>
        <w:rPr>
          <w:rFonts w:ascii="Arial" w:hAnsi="Arial" w:cs="Arial"/>
          <w:i/>
          <w:lang w:val="es-CO"/>
        </w:rPr>
        <w:t xml:space="preserve"> </w:t>
      </w:r>
      <w:r>
        <w:rPr>
          <w:rFonts w:ascii="Arial" w:hAnsi="Arial" w:cs="Arial"/>
          <w:lang w:val="es-CO"/>
        </w:rPr>
        <w:t>Para la aceptación de los bienes que se reciban en dación en pago se tendrá en cuenta lo siguiente:</w:t>
      </w:r>
    </w:p>
    <w:p w14:paraId="0323BAE2" w14:textId="77777777" w:rsidR="00B2442D" w:rsidRDefault="00B2442D">
      <w:pPr>
        <w:jc w:val="both"/>
        <w:rPr>
          <w:rFonts w:ascii="Arial" w:hAnsi="Arial" w:cs="Arial"/>
          <w:lang w:val="es-CO"/>
        </w:rPr>
      </w:pPr>
    </w:p>
    <w:p w14:paraId="0CC52FB8" w14:textId="77777777" w:rsidR="00B2442D" w:rsidRDefault="008A645F">
      <w:pPr>
        <w:jc w:val="both"/>
        <w:rPr>
          <w:rFonts w:ascii="Arial" w:hAnsi="Arial" w:cs="Arial"/>
          <w:lang w:val="es-CO"/>
        </w:rPr>
      </w:pPr>
      <w:r>
        <w:rPr>
          <w:rFonts w:ascii="Arial" w:hAnsi="Arial" w:cs="Arial"/>
          <w:lang w:val="es-CO"/>
        </w:rPr>
        <w:t>1. Gastos de perfeccionamiento y entrega de la dación en pago.</w:t>
      </w:r>
    </w:p>
    <w:p w14:paraId="03C4617E" w14:textId="77777777" w:rsidR="00B2442D" w:rsidRDefault="00B2442D">
      <w:pPr>
        <w:jc w:val="both"/>
        <w:rPr>
          <w:rFonts w:ascii="Arial" w:hAnsi="Arial" w:cs="Arial"/>
          <w:lang w:val="es-CO"/>
        </w:rPr>
      </w:pPr>
    </w:p>
    <w:p w14:paraId="1FDCD95C" w14:textId="77777777" w:rsidR="00B2442D" w:rsidRDefault="008A645F">
      <w:pPr>
        <w:jc w:val="both"/>
        <w:rPr>
          <w:rFonts w:ascii="Arial" w:hAnsi="Arial" w:cs="Arial"/>
          <w:lang w:val="es-CO"/>
        </w:rPr>
      </w:pPr>
      <w:r>
        <w:rPr>
          <w:rFonts w:ascii="Arial" w:hAnsi="Arial" w:cs="Arial"/>
          <w:lang w:val="es-CO"/>
        </w:rPr>
        <w:t>Todos los gastos que ocasione el perfeccionamiento de la d</w:t>
      </w:r>
      <w:r>
        <w:rPr>
          <w:rFonts w:ascii="Arial" w:hAnsi="Arial" w:cs="Arial"/>
          <w:lang w:val="es-CO"/>
        </w:rPr>
        <w:t>ación en pago de que trata el presente capítulo, serán a cargo del deudor, quien además deberá proporcionar los recursos necesarios para la entrega real y material de los mismos, acreditando previamente su pago.</w:t>
      </w:r>
    </w:p>
    <w:p w14:paraId="768B6AA6" w14:textId="77777777" w:rsidR="00B2442D" w:rsidRDefault="00B2442D">
      <w:pPr>
        <w:jc w:val="both"/>
        <w:rPr>
          <w:rFonts w:ascii="Arial" w:hAnsi="Arial" w:cs="Arial"/>
          <w:lang w:val="es-CO"/>
        </w:rPr>
      </w:pPr>
    </w:p>
    <w:p w14:paraId="5D875F82" w14:textId="77777777" w:rsidR="00B2442D" w:rsidRDefault="008A645F">
      <w:pPr>
        <w:jc w:val="both"/>
        <w:rPr>
          <w:rFonts w:ascii="Arial" w:hAnsi="Arial" w:cs="Arial"/>
          <w:lang w:val="es-CO"/>
        </w:rPr>
      </w:pPr>
      <w:r>
        <w:rPr>
          <w:rFonts w:ascii="Arial" w:hAnsi="Arial" w:cs="Arial"/>
          <w:lang w:val="es-CO"/>
        </w:rPr>
        <w:t xml:space="preserve">La Unidad Administrativa Especial </w:t>
      </w:r>
      <w:r>
        <w:rPr>
          <w:rFonts w:ascii="Arial" w:hAnsi="Arial" w:cs="Arial"/>
          <w:lang w:val="es-CO"/>
        </w:rPr>
        <w:t>Dirección de Impuestos y Aduanas Nacionales, DIAN, no podrá asumir por ningún concepto cargas o deudas relativas al bien, que sean anteriores a la fecha en que se haya producido la transferencia de dominio o su entrega real y material.</w:t>
      </w:r>
    </w:p>
    <w:p w14:paraId="2D67EC26" w14:textId="77777777" w:rsidR="00B2442D" w:rsidRDefault="00B2442D">
      <w:pPr>
        <w:jc w:val="both"/>
        <w:rPr>
          <w:rFonts w:ascii="Arial" w:hAnsi="Arial" w:cs="Arial"/>
          <w:lang w:val="es-CO"/>
        </w:rPr>
      </w:pPr>
    </w:p>
    <w:p w14:paraId="06DB3331" w14:textId="77777777" w:rsidR="00B2442D" w:rsidRDefault="008A645F">
      <w:pPr>
        <w:jc w:val="both"/>
        <w:rPr>
          <w:rFonts w:ascii="Arial" w:hAnsi="Arial" w:cs="Arial"/>
          <w:lang w:val="es-CO"/>
        </w:rPr>
      </w:pPr>
      <w:r>
        <w:rPr>
          <w:rFonts w:ascii="Arial" w:hAnsi="Arial" w:cs="Arial"/>
          <w:lang w:val="es-CO"/>
        </w:rPr>
        <w:t xml:space="preserve">2. Valor de los </w:t>
      </w:r>
      <w:r>
        <w:rPr>
          <w:rFonts w:ascii="Arial" w:hAnsi="Arial" w:cs="Arial"/>
          <w:lang w:val="es-CO"/>
        </w:rPr>
        <w:t>bienes recibidos en dación en pago</w:t>
      </w:r>
    </w:p>
    <w:p w14:paraId="224799EC" w14:textId="77777777" w:rsidR="00B2442D" w:rsidRDefault="00B2442D">
      <w:pPr>
        <w:jc w:val="both"/>
        <w:rPr>
          <w:rFonts w:ascii="Arial" w:hAnsi="Arial" w:cs="Arial"/>
          <w:lang w:val="es-CO"/>
        </w:rPr>
      </w:pPr>
    </w:p>
    <w:p w14:paraId="2FE8B246" w14:textId="77777777" w:rsidR="00B2442D" w:rsidRDefault="008A645F">
      <w:pPr>
        <w:jc w:val="both"/>
        <w:rPr>
          <w:rFonts w:ascii="Arial" w:hAnsi="Arial" w:cs="Arial"/>
          <w:lang w:val="es-CO"/>
        </w:rPr>
      </w:pPr>
      <w:r>
        <w:rPr>
          <w:rFonts w:ascii="Arial" w:hAnsi="Arial" w:cs="Arial"/>
          <w:lang w:val="es-CO"/>
        </w:rPr>
        <w:t>El valor de los bienes recibidos en dación en pago, corresponderá al valor determinado mediante el último avalúo que obre en el proceso. Cuando se trate de la dación en pago originada en el proceso de liquidación obligat</w:t>
      </w:r>
      <w:r>
        <w:rPr>
          <w:rFonts w:ascii="Arial" w:hAnsi="Arial" w:cs="Arial"/>
          <w:lang w:val="es-CO"/>
        </w:rPr>
        <w:t>oria a que se refiere el artículo 68 de la Ley 550 de 1999, los bienes se recibirán por el valor allí previsto.</w:t>
      </w:r>
    </w:p>
    <w:p w14:paraId="0D0C0279" w14:textId="77777777" w:rsidR="00B2442D" w:rsidRDefault="00B2442D">
      <w:pPr>
        <w:jc w:val="both"/>
        <w:rPr>
          <w:rFonts w:ascii="Arial" w:hAnsi="Arial" w:cs="Arial"/>
          <w:lang w:val="es-CO"/>
        </w:rPr>
      </w:pPr>
    </w:p>
    <w:p w14:paraId="20C783AC" w14:textId="77777777" w:rsidR="00B2442D" w:rsidRDefault="008A645F">
      <w:pPr>
        <w:jc w:val="both"/>
        <w:rPr>
          <w:rFonts w:ascii="Arial" w:hAnsi="Arial" w:cs="Arial"/>
          <w:i/>
          <w:lang w:val="es-CO"/>
        </w:rPr>
      </w:pPr>
      <w:r>
        <w:rPr>
          <w:rFonts w:ascii="Arial" w:hAnsi="Arial" w:cs="Arial"/>
          <w:i/>
          <w:lang w:val="es-CO"/>
        </w:rPr>
        <w:t>(Art 4, Decreto 4815 de 2007. Numeral primero del inciso primero, tiene decaimiento por la evolución legislativa (Artículo 839-4 del Estatuto T</w:t>
      </w:r>
      <w:r>
        <w:rPr>
          <w:rFonts w:ascii="Arial" w:hAnsi="Arial" w:cs="Arial"/>
          <w:i/>
          <w:lang w:val="es-CO"/>
        </w:rPr>
        <w:t>ributario, adicionado por el artículo 143 de la Ley 1607 de 2012))</w:t>
      </w:r>
      <w:r>
        <w:rPr>
          <w:rFonts w:ascii="Arial" w:hAnsi="Arial" w:cs="Arial"/>
        </w:rPr>
        <w:t xml:space="preserve"> </w:t>
      </w:r>
      <w:r>
        <w:rPr>
          <w:rFonts w:ascii="Arial" w:hAnsi="Arial" w:cs="Arial"/>
          <w:i/>
          <w:lang w:val="es-CO"/>
        </w:rPr>
        <w:t>(El Decreto 4815 de 2007 rige a partir de su publicación y deroga los Decretos 1915 de 2003, 961 de 2006 y el inciso 2o del artículo 12 del Decreto 881 de 2007. Art. 12, Decreto 4815 de 200</w:t>
      </w:r>
      <w:r>
        <w:rPr>
          <w:rFonts w:ascii="Arial" w:hAnsi="Arial" w:cs="Arial"/>
          <w:i/>
          <w:lang w:val="es-CO"/>
        </w:rPr>
        <w:t>7)</w:t>
      </w:r>
    </w:p>
    <w:p w14:paraId="21131B4D" w14:textId="77777777" w:rsidR="00B2442D" w:rsidRDefault="00B2442D">
      <w:pPr>
        <w:jc w:val="both"/>
        <w:rPr>
          <w:rFonts w:ascii="Arial" w:hAnsi="Arial" w:cs="Arial"/>
          <w:lang w:val="es-CO"/>
        </w:rPr>
      </w:pPr>
    </w:p>
    <w:p w14:paraId="750B2D30"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Trámite para la cancelación de las obligaciones tributarias a cargo del deudor.</w:t>
      </w:r>
      <w:r>
        <w:rPr>
          <w:rFonts w:ascii="Arial" w:hAnsi="Arial" w:cs="Arial"/>
          <w:lang w:val="es-CO"/>
        </w:rPr>
        <w:t xml:space="preserve"> Para la cancelación de las obligaciones tributarias a cargo del deudor se tendrá en cuenta el siguiente trámite:</w:t>
      </w:r>
    </w:p>
    <w:p w14:paraId="48D190EF" w14:textId="77777777" w:rsidR="00B2442D" w:rsidRDefault="00B2442D">
      <w:pPr>
        <w:jc w:val="both"/>
        <w:rPr>
          <w:rFonts w:ascii="Arial" w:hAnsi="Arial" w:cs="Arial"/>
          <w:lang w:val="es-CO"/>
        </w:rPr>
      </w:pPr>
    </w:p>
    <w:p w14:paraId="2AB1FC77" w14:textId="77777777" w:rsidR="00B2442D" w:rsidRDefault="008A645F">
      <w:pPr>
        <w:ind w:left="284" w:hanging="284"/>
        <w:jc w:val="both"/>
        <w:rPr>
          <w:rFonts w:ascii="Arial" w:hAnsi="Arial" w:cs="Arial"/>
          <w:lang w:val="es-CO"/>
        </w:rPr>
      </w:pPr>
      <w:r>
        <w:rPr>
          <w:rFonts w:ascii="Arial" w:hAnsi="Arial" w:cs="Arial"/>
          <w:lang w:val="es-CO"/>
        </w:rPr>
        <w:t>1.</w:t>
      </w:r>
      <w:r>
        <w:rPr>
          <w:rFonts w:ascii="Arial" w:hAnsi="Arial" w:cs="Arial"/>
          <w:lang w:val="es-CO"/>
        </w:rPr>
        <w:tab/>
        <w:t>Recibidos los bienes objeto de dación en pago, el Admin</w:t>
      </w:r>
      <w:r>
        <w:rPr>
          <w:rFonts w:ascii="Arial" w:hAnsi="Arial" w:cs="Arial"/>
          <w:lang w:val="es-CO"/>
        </w:rPr>
        <w:t>istrador competente o su delegado, dentro de los treinta (30) días siguientes al recibo, proferirá resolución ordenando cancelar las obligaciones tributarias a cargo del deudor, de acuerdo con la liquidación que para tal efecto realice el área de cobranzas</w:t>
      </w:r>
      <w:r>
        <w:rPr>
          <w:rFonts w:ascii="Arial" w:hAnsi="Arial" w:cs="Arial"/>
          <w:lang w:val="es-CO"/>
        </w:rPr>
        <w:t>. Dicha resolución se notificará al interesado de conformidad con el inciso primero del artículo 565 del Estatuto Tributario y contra ella procede recurso de reconsideración.</w:t>
      </w:r>
    </w:p>
    <w:p w14:paraId="092F1A54" w14:textId="77777777" w:rsidR="00B2442D" w:rsidRDefault="00B2442D">
      <w:pPr>
        <w:ind w:left="284" w:hanging="284"/>
        <w:jc w:val="both"/>
        <w:rPr>
          <w:rFonts w:ascii="Arial" w:hAnsi="Arial" w:cs="Arial"/>
          <w:lang w:val="es-CO"/>
        </w:rPr>
      </w:pPr>
    </w:p>
    <w:p w14:paraId="6F11CBB9" w14:textId="77777777" w:rsidR="00B2442D" w:rsidRDefault="008A645F">
      <w:pPr>
        <w:ind w:left="284" w:hanging="284"/>
        <w:jc w:val="both"/>
        <w:rPr>
          <w:rFonts w:ascii="Arial" w:hAnsi="Arial" w:cs="Arial"/>
          <w:lang w:val="es-CO"/>
        </w:rPr>
      </w:pPr>
      <w:r>
        <w:rPr>
          <w:rFonts w:ascii="Arial" w:hAnsi="Arial" w:cs="Arial"/>
          <w:lang w:val="es-CO"/>
        </w:rPr>
        <w:t>2.</w:t>
      </w:r>
      <w:r>
        <w:rPr>
          <w:rFonts w:ascii="Arial" w:hAnsi="Arial" w:cs="Arial"/>
          <w:lang w:val="es-CO"/>
        </w:rPr>
        <w:tab/>
        <w:t>En firme dicha providencia se remitirá copia de ella a las áreas de Recaudaci</w:t>
      </w:r>
      <w:r>
        <w:rPr>
          <w:rFonts w:ascii="Arial" w:hAnsi="Arial" w:cs="Arial"/>
          <w:lang w:val="es-CO"/>
        </w:rPr>
        <w:t>ón y Cobranzas de la respectiva Administración para lo de su competencia.</w:t>
      </w:r>
    </w:p>
    <w:p w14:paraId="18C175CA" w14:textId="77777777" w:rsidR="00B2442D" w:rsidRDefault="00B2442D">
      <w:pPr>
        <w:jc w:val="both"/>
        <w:rPr>
          <w:rFonts w:ascii="Arial" w:hAnsi="Arial" w:cs="Arial"/>
          <w:lang w:val="es-CO"/>
        </w:rPr>
      </w:pPr>
    </w:p>
    <w:p w14:paraId="50D08A5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Para efectos de lo dispuesto en este artículo, la cancelación de las obligaciones tributarias a cargo del deudor se realizará en el orden de prelación en la imputación </w:t>
      </w:r>
      <w:r>
        <w:rPr>
          <w:rFonts w:ascii="Arial" w:hAnsi="Arial" w:cs="Arial"/>
          <w:lang w:val="es-CO"/>
        </w:rPr>
        <w:t>del pago previsto en el artículo 804 del Estatuto Tributario.</w:t>
      </w:r>
    </w:p>
    <w:p w14:paraId="6B582224" w14:textId="77777777" w:rsidR="00B2442D" w:rsidRDefault="00B2442D">
      <w:pPr>
        <w:jc w:val="both"/>
        <w:rPr>
          <w:rFonts w:ascii="Arial" w:hAnsi="Arial" w:cs="Arial"/>
          <w:lang w:val="es-CO"/>
        </w:rPr>
      </w:pPr>
    </w:p>
    <w:p w14:paraId="2F22A68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 extinción de obligaciones de competencia de la Unidad Administrativa Especial Dirección de Impuestos y Aduanas Nacionales, DIAN, mediante la dación en pago dentro de los proceso</w:t>
      </w:r>
      <w:r>
        <w:rPr>
          <w:rFonts w:ascii="Arial" w:hAnsi="Arial" w:cs="Arial"/>
          <w:lang w:val="es-CO"/>
        </w:rPr>
        <w:t>s de  que  trata el artículo  1.6.2.3.1 del presente Decreto, en ningún caso implicará condonación de impuestos, anticipos, retenciones, sanciones, actualización o intereses a que hubiere lugar.</w:t>
      </w:r>
    </w:p>
    <w:p w14:paraId="5F5C6994" w14:textId="77777777" w:rsidR="00B2442D" w:rsidRDefault="00B2442D">
      <w:pPr>
        <w:jc w:val="both"/>
        <w:rPr>
          <w:rFonts w:ascii="Arial" w:hAnsi="Arial" w:cs="Arial"/>
          <w:lang w:val="es-CO"/>
        </w:rPr>
      </w:pPr>
    </w:p>
    <w:p w14:paraId="774B445B" w14:textId="77777777" w:rsidR="00B2442D" w:rsidRDefault="008A645F">
      <w:pPr>
        <w:jc w:val="both"/>
        <w:rPr>
          <w:rFonts w:ascii="Arial" w:hAnsi="Arial" w:cs="Arial"/>
          <w:i/>
          <w:lang w:val="es-CO"/>
        </w:rPr>
      </w:pPr>
      <w:r>
        <w:rPr>
          <w:rFonts w:ascii="Arial" w:hAnsi="Arial" w:cs="Arial"/>
          <w:i/>
          <w:lang w:val="es-CO"/>
        </w:rPr>
        <w:t>(Art. 5, Decreto 4815 de 2007)</w:t>
      </w:r>
    </w:p>
    <w:p w14:paraId="1D8A3EFD" w14:textId="77777777" w:rsidR="00B2442D" w:rsidRDefault="00B2442D">
      <w:pPr>
        <w:jc w:val="both"/>
        <w:rPr>
          <w:rFonts w:ascii="Arial" w:hAnsi="Arial" w:cs="Arial"/>
          <w:lang w:val="es-CO"/>
        </w:rPr>
      </w:pPr>
    </w:p>
    <w:p w14:paraId="5B9F20FD"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Entrega y recepción de los b</w:t>
      </w:r>
      <w:r>
        <w:rPr>
          <w:rFonts w:ascii="Arial" w:hAnsi="Arial" w:cs="Arial"/>
          <w:b/>
          <w:i/>
          <w:lang w:val="es-CO"/>
        </w:rPr>
        <w:t>ienes objeto de dación en pago.</w:t>
      </w:r>
      <w:r>
        <w:rPr>
          <w:rFonts w:ascii="Arial" w:hAnsi="Arial" w:cs="Arial"/>
          <w:lang w:val="es-CO"/>
        </w:rPr>
        <w:t xml:space="preserve"> Efectuada la inscripción de la transferencia del dominio, de los bienes sujetos a registro, a favor de la Nación - Unidad Administrativa Especial Dirección de Impuestos y Aduanas Nacionales. DIAN, y una vez obtenido el certi</w:t>
      </w:r>
      <w:r>
        <w:rPr>
          <w:rFonts w:ascii="Arial" w:hAnsi="Arial" w:cs="Arial"/>
          <w:lang w:val="es-CO"/>
        </w:rPr>
        <w:t>ficado de la oficina de registro respectiva, en el que conste el acto de inscripción, estos serán entregados real y materialmente a la Dirección Seccional de Impuestos Nacionales, de Impuestos y Aduanas Nacionales o de Aduanas Nacionales– DIAN a la cual pe</w:t>
      </w:r>
      <w:r>
        <w:rPr>
          <w:rFonts w:ascii="Arial" w:hAnsi="Arial" w:cs="Arial"/>
          <w:lang w:val="es-CO"/>
        </w:rPr>
        <w:t>rtenezca el deudor, mediante acta en la que se consigne el inventario y características de los bienes.</w:t>
      </w:r>
    </w:p>
    <w:p w14:paraId="02C162C7" w14:textId="77777777" w:rsidR="00B2442D" w:rsidRDefault="00B2442D">
      <w:pPr>
        <w:jc w:val="both"/>
        <w:rPr>
          <w:rFonts w:ascii="Arial" w:hAnsi="Arial" w:cs="Arial"/>
          <w:lang w:val="es-CO"/>
        </w:rPr>
      </w:pPr>
    </w:p>
    <w:p w14:paraId="4FF7301A" w14:textId="77777777" w:rsidR="00B2442D" w:rsidRDefault="008A645F">
      <w:pPr>
        <w:jc w:val="both"/>
        <w:rPr>
          <w:rFonts w:ascii="Arial" w:hAnsi="Arial" w:cs="Arial"/>
          <w:lang w:val="es-CO"/>
        </w:rPr>
      </w:pPr>
      <w:r>
        <w:rPr>
          <w:rFonts w:ascii="Arial" w:hAnsi="Arial" w:cs="Arial"/>
          <w:lang w:val="es-CO"/>
        </w:rPr>
        <w:t>Si la transferencia de dominio de los bienes no está sometida a solemnidad alguna, estos serán entregados a la Dirección Seccional de Impuestos Nacional</w:t>
      </w:r>
      <w:r>
        <w:rPr>
          <w:rFonts w:ascii="Arial" w:hAnsi="Arial" w:cs="Arial"/>
          <w:lang w:val="es-CO"/>
        </w:rPr>
        <w:t>es, de Impuestos y Aduanas Nacionales o de Aduanas Nacionales, a la cual pertenezca el deudor, mediante acta en la que se consigne el inventario y características de los mismos.</w:t>
      </w:r>
    </w:p>
    <w:p w14:paraId="58FD3E0C" w14:textId="77777777" w:rsidR="00B2442D" w:rsidRDefault="00B2442D">
      <w:pPr>
        <w:jc w:val="both"/>
        <w:rPr>
          <w:rFonts w:ascii="Arial" w:hAnsi="Arial" w:cs="Arial"/>
          <w:lang w:val="es-CO"/>
        </w:rPr>
      </w:pPr>
    </w:p>
    <w:p w14:paraId="064232B9" w14:textId="77777777" w:rsidR="00B2442D" w:rsidRDefault="008A645F">
      <w:pPr>
        <w:jc w:val="both"/>
        <w:rPr>
          <w:rFonts w:ascii="Arial" w:hAnsi="Arial" w:cs="Arial"/>
          <w:lang w:val="es-CO"/>
        </w:rPr>
      </w:pPr>
      <w:r>
        <w:rPr>
          <w:rFonts w:ascii="Arial" w:hAnsi="Arial" w:cs="Arial"/>
          <w:lang w:val="es-CO"/>
        </w:rPr>
        <w:t>Recibidos los bienes por la Dirección Seccional  competente, esta los entrega</w:t>
      </w:r>
      <w:r>
        <w:rPr>
          <w:rFonts w:ascii="Arial" w:hAnsi="Arial" w:cs="Arial"/>
          <w:lang w:val="es-CO"/>
        </w:rPr>
        <w:t>rá en forma inmediata a la Dirección de Recursos y Administración Económica o a la dependencia que haga sus veces de la Unidad Administrativa Especial Dirección de Impuestos y Aduanas Nacionales- DIAN junto con el acta en la que se consigna el inventario y</w:t>
      </w:r>
      <w:r>
        <w:rPr>
          <w:rFonts w:ascii="Arial" w:hAnsi="Arial" w:cs="Arial"/>
          <w:lang w:val="es-CO"/>
        </w:rPr>
        <w:t xml:space="preserve"> características de los mismos.</w:t>
      </w:r>
    </w:p>
    <w:p w14:paraId="34A086F3" w14:textId="77777777" w:rsidR="00B2442D" w:rsidRDefault="00B2442D">
      <w:pPr>
        <w:jc w:val="both"/>
        <w:rPr>
          <w:rFonts w:ascii="Arial" w:hAnsi="Arial" w:cs="Arial"/>
          <w:lang w:val="es-CO"/>
        </w:rPr>
      </w:pPr>
    </w:p>
    <w:p w14:paraId="0D65E468" w14:textId="77777777" w:rsidR="00B2442D" w:rsidRDefault="008A645F">
      <w:pPr>
        <w:jc w:val="both"/>
        <w:rPr>
          <w:rFonts w:ascii="Arial" w:hAnsi="Arial" w:cs="Arial"/>
          <w:i/>
          <w:lang w:val="es-CO"/>
        </w:rPr>
      </w:pPr>
      <w:r>
        <w:rPr>
          <w:rFonts w:ascii="Arial" w:hAnsi="Arial" w:cs="Arial"/>
          <w:i/>
          <w:lang w:val="es-CO"/>
        </w:rPr>
        <w:t>(Art. 6, Decreto 4815 de 2007)</w:t>
      </w:r>
      <w:r>
        <w:rPr>
          <w:rFonts w:ascii="Arial" w:hAnsi="Arial" w:cs="Arial"/>
        </w:rPr>
        <w:t xml:space="preserve"> </w:t>
      </w:r>
      <w:r>
        <w:rPr>
          <w:rFonts w:ascii="Arial" w:hAnsi="Arial" w:cs="Arial"/>
          <w:i/>
          <w:lang w:val="es-CO"/>
        </w:rPr>
        <w:t xml:space="preserve">(El Decreto 4815 de 2007 rige a partir de su publicación y deroga los Decretos 1915 de 2003, 961 de 2006 y el inciso 2o del artículo 12 del Decreto 881 de 2007. Art. 12, Decreto 4815 de </w:t>
      </w:r>
      <w:r>
        <w:rPr>
          <w:rFonts w:ascii="Arial" w:hAnsi="Arial" w:cs="Arial"/>
          <w:i/>
          <w:lang w:val="es-CO"/>
        </w:rPr>
        <w:t>2007)</w:t>
      </w:r>
    </w:p>
    <w:p w14:paraId="18F8323D" w14:textId="77777777" w:rsidR="00B2442D" w:rsidRDefault="00B2442D">
      <w:pPr>
        <w:jc w:val="both"/>
        <w:rPr>
          <w:rFonts w:ascii="Arial" w:hAnsi="Arial" w:cs="Arial"/>
          <w:lang w:val="es-CO"/>
        </w:rPr>
      </w:pPr>
    </w:p>
    <w:p w14:paraId="04AC1A71"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 xml:space="preserve">Administración y disposición de los bienes recibidos en dación en pago de obligaciones tributarias de competencia de la Unidad Administrativa Especial Dirección de Impuestos y Aduanas Nacionales, DIAN. </w:t>
      </w:r>
      <w:r>
        <w:rPr>
          <w:rFonts w:ascii="Arial" w:hAnsi="Arial" w:cs="Arial"/>
          <w:lang w:val="es-CO"/>
        </w:rPr>
        <w:t xml:space="preserve">La Unidad Administrativa Especial Dirección de </w:t>
      </w:r>
      <w:r>
        <w:rPr>
          <w:rFonts w:ascii="Arial" w:hAnsi="Arial" w:cs="Arial"/>
          <w:lang w:val="es-CO"/>
        </w:rPr>
        <w:t>Impuestos y Aduanas Nacionales. DIAN, directamente o a través de terceros, podrá administrar los bienes recibidos en dación en pago de obligaciones tributarias dentro de los procesos de extinción de dominio, concursales, de liquidación forzosa administrati</w:t>
      </w:r>
      <w:r>
        <w:rPr>
          <w:rFonts w:ascii="Arial" w:hAnsi="Arial" w:cs="Arial"/>
          <w:lang w:val="es-CO"/>
        </w:rPr>
        <w:t>va; de reestructuración empresarial; de insolvencia, o entregarlos para su administración a la Central de Inversiones S. A. o a cualquiera otra entidad que autorice el Ministerio de Hacienda y Crédito Público.</w:t>
      </w:r>
    </w:p>
    <w:p w14:paraId="597F1114" w14:textId="77777777" w:rsidR="00B2442D" w:rsidRDefault="00B2442D">
      <w:pPr>
        <w:jc w:val="both"/>
        <w:rPr>
          <w:rFonts w:ascii="Arial" w:hAnsi="Arial" w:cs="Arial"/>
          <w:lang w:val="es-CO"/>
        </w:rPr>
      </w:pPr>
    </w:p>
    <w:p w14:paraId="7ABF16A9" w14:textId="77777777" w:rsidR="00B2442D" w:rsidRDefault="008A645F">
      <w:pPr>
        <w:jc w:val="both"/>
        <w:rPr>
          <w:rFonts w:ascii="Arial" w:hAnsi="Arial" w:cs="Arial"/>
          <w:lang w:val="es-CO"/>
        </w:rPr>
      </w:pPr>
      <w:r>
        <w:rPr>
          <w:rFonts w:ascii="Arial" w:hAnsi="Arial" w:cs="Arial"/>
          <w:lang w:val="es-CO"/>
        </w:rPr>
        <w:t>La administración comprende el recibo, regist</w:t>
      </w:r>
      <w:r>
        <w:rPr>
          <w:rFonts w:ascii="Arial" w:hAnsi="Arial" w:cs="Arial"/>
          <w:lang w:val="es-CO"/>
        </w:rPr>
        <w:t xml:space="preserve">ro, tenencia, custodia, mantenimiento, conservación, comodato y demás aspectos relacionados con la preservación física y productividad del bien, que garanticen su aprovechamiento. El comodato se regirá de acuerdo con lo establecido en el artículo 38 de la </w:t>
      </w:r>
      <w:r>
        <w:rPr>
          <w:rFonts w:ascii="Arial" w:hAnsi="Arial" w:cs="Arial"/>
          <w:lang w:val="es-CO"/>
        </w:rPr>
        <w:t>Ley 9a de 1989.</w:t>
      </w:r>
    </w:p>
    <w:p w14:paraId="0FD54EE7" w14:textId="77777777" w:rsidR="00B2442D" w:rsidRDefault="00B2442D">
      <w:pPr>
        <w:jc w:val="both"/>
        <w:rPr>
          <w:rFonts w:ascii="Arial" w:hAnsi="Arial" w:cs="Arial"/>
          <w:lang w:val="es-CO"/>
        </w:rPr>
      </w:pPr>
    </w:p>
    <w:p w14:paraId="0540B0FD" w14:textId="77777777" w:rsidR="00B2442D" w:rsidRDefault="008A645F">
      <w:pPr>
        <w:jc w:val="both"/>
        <w:rPr>
          <w:rFonts w:ascii="Arial" w:hAnsi="Arial" w:cs="Arial"/>
          <w:lang w:val="es-CO"/>
        </w:rPr>
      </w:pPr>
      <w:r>
        <w:rPr>
          <w:rFonts w:ascii="Arial" w:hAnsi="Arial" w:cs="Arial"/>
          <w:lang w:val="es-CO"/>
        </w:rPr>
        <w:t>En el evento que la Unidad Administrativa Especial Dirección de Impuestos y Aduanas Nacionales, DIAN, requiera para el ejercicio de sus funciones alguno de los bienes de que trata el presente capítulo, lo podrá usar, previa autorización de</w:t>
      </w:r>
      <w:r>
        <w:rPr>
          <w:rFonts w:ascii="Arial" w:hAnsi="Arial" w:cs="Arial"/>
          <w:lang w:val="es-CO"/>
        </w:rPr>
        <w:t>l Ministerio de Hacienda y Crédito Público.</w:t>
      </w:r>
    </w:p>
    <w:p w14:paraId="1DD28ED0" w14:textId="77777777" w:rsidR="00B2442D" w:rsidRDefault="00B2442D">
      <w:pPr>
        <w:jc w:val="both"/>
        <w:rPr>
          <w:rFonts w:ascii="Arial" w:hAnsi="Arial" w:cs="Arial"/>
          <w:lang w:val="es-CO"/>
        </w:rPr>
      </w:pPr>
    </w:p>
    <w:p w14:paraId="31BD7E2E" w14:textId="77777777" w:rsidR="00B2442D" w:rsidRDefault="008A645F">
      <w:pPr>
        <w:jc w:val="both"/>
        <w:rPr>
          <w:rFonts w:ascii="Arial" w:hAnsi="Arial" w:cs="Arial"/>
          <w:lang w:val="es-CO"/>
        </w:rPr>
      </w:pPr>
      <w:r>
        <w:rPr>
          <w:rFonts w:ascii="Arial" w:hAnsi="Arial" w:cs="Arial"/>
          <w:lang w:val="es-CO"/>
        </w:rPr>
        <w:t>La Unidad Administrativa Especial Dirección de Impuestos y Aduanas Nacionales, DIAN, previa autorización del Ministerio de Hacienda y Crédito Público, podrá disponer directamente o a través de terceros de los bi</w:t>
      </w:r>
      <w:r>
        <w:rPr>
          <w:rFonts w:ascii="Arial" w:hAnsi="Arial" w:cs="Arial"/>
          <w:lang w:val="es-CO"/>
        </w:rPr>
        <w:t>enes de que trata el presente capítulo.</w:t>
      </w:r>
    </w:p>
    <w:p w14:paraId="4D9E8287" w14:textId="77777777" w:rsidR="00B2442D" w:rsidRDefault="00B2442D">
      <w:pPr>
        <w:jc w:val="both"/>
        <w:rPr>
          <w:rFonts w:ascii="Arial" w:hAnsi="Arial" w:cs="Arial"/>
          <w:lang w:val="es-CO"/>
        </w:rPr>
      </w:pPr>
    </w:p>
    <w:p w14:paraId="55024A63" w14:textId="77777777" w:rsidR="00B2442D" w:rsidRDefault="008A645F">
      <w:pPr>
        <w:jc w:val="both"/>
        <w:rPr>
          <w:rFonts w:ascii="Arial" w:hAnsi="Arial" w:cs="Arial"/>
          <w:lang w:val="es-CO"/>
        </w:rPr>
      </w:pPr>
      <w:r>
        <w:rPr>
          <w:rFonts w:ascii="Arial" w:hAnsi="Arial" w:cs="Arial"/>
          <w:lang w:val="es-CO"/>
        </w:rPr>
        <w:t>Para efectos de lo previsto en el presente artículo, en el presupuesto anual de la Unidad Administrativa Especial Dirección de Impuestos y Aduanas Nacionales, DIAN, se incluirá una partida que permita atender las er</w:t>
      </w:r>
      <w:r>
        <w:rPr>
          <w:rFonts w:ascii="Arial" w:hAnsi="Arial" w:cs="Arial"/>
          <w:lang w:val="es-CO"/>
        </w:rPr>
        <w:t>ogaciones que ocasionen la administración y disposición de los bienes recibidos en dación en pago.</w:t>
      </w:r>
    </w:p>
    <w:p w14:paraId="53EC8D88" w14:textId="77777777" w:rsidR="00B2442D" w:rsidRDefault="00B2442D">
      <w:pPr>
        <w:jc w:val="both"/>
        <w:rPr>
          <w:rFonts w:ascii="Arial" w:hAnsi="Arial" w:cs="Arial"/>
          <w:lang w:val="es-CO"/>
        </w:rPr>
      </w:pPr>
    </w:p>
    <w:p w14:paraId="34FE84E1" w14:textId="77777777" w:rsidR="00B2442D" w:rsidRDefault="008A645F">
      <w:pPr>
        <w:jc w:val="both"/>
        <w:rPr>
          <w:rFonts w:ascii="Arial" w:hAnsi="Arial" w:cs="Arial"/>
          <w:i/>
          <w:lang w:val="es-CO"/>
        </w:rPr>
      </w:pPr>
      <w:r>
        <w:rPr>
          <w:rFonts w:ascii="Arial" w:hAnsi="Arial" w:cs="Arial"/>
          <w:i/>
          <w:lang w:val="es-CO"/>
        </w:rPr>
        <w:t>(Art 7, Decreto 4815 de 2007, eliminada la frase “o de cruce de cuentas previstos en la Ley 550 de 1999”, teniendo en cuenta la derogatoria tácita “del cruc</w:t>
      </w:r>
      <w:r>
        <w:rPr>
          <w:rFonts w:ascii="Arial" w:hAnsi="Arial" w:cs="Arial"/>
          <w:i/>
          <w:lang w:val="es-CO"/>
        </w:rPr>
        <w:t>e de cuentas” por los artículos 125 y 126 de la Ley 1116 de 2006, para los impuestos administrados por la DIAN y la nueva regulación prevista en el art. 196 de la Ley 1607 de 2012)</w:t>
      </w:r>
      <w:r>
        <w:rPr>
          <w:rFonts w:ascii="Arial" w:hAnsi="Arial" w:cs="Arial"/>
        </w:rPr>
        <w:t xml:space="preserve"> </w:t>
      </w:r>
      <w:r>
        <w:rPr>
          <w:rFonts w:ascii="Arial" w:hAnsi="Arial" w:cs="Arial"/>
          <w:i/>
          <w:lang w:val="es-CO"/>
        </w:rPr>
        <w:t>(El Decreto 4815 de 2007 rige a partir de su publicación y deroga los Decre</w:t>
      </w:r>
      <w:r>
        <w:rPr>
          <w:rFonts w:ascii="Arial" w:hAnsi="Arial" w:cs="Arial"/>
          <w:i/>
          <w:lang w:val="es-CO"/>
        </w:rPr>
        <w:t>tos 1915 de 2003, 961 de 2006 y el inciso 2o del artículo 12 del Decreto 881 de 2007. Art. 12, Decreto 4815 de 2007)</w:t>
      </w:r>
    </w:p>
    <w:p w14:paraId="233C89DA" w14:textId="77777777" w:rsidR="00B2442D" w:rsidRDefault="00B2442D">
      <w:pPr>
        <w:jc w:val="both"/>
        <w:rPr>
          <w:rFonts w:ascii="Arial" w:hAnsi="Arial" w:cs="Arial"/>
          <w:lang w:val="es-CO"/>
        </w:rPr>
      </w:pPr>
    </w:p>
    <w:p w14:paraId="64812910"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Administración de los recursos.</w:t>
      </w:r>
      <w:r>
        <w:rPr>
          <w:rFonts w:ascii="Arial" w:hAnsi="Arial" w:cs="Arial"/>
          <w:lang w:val="es-CO"/>
        </w:rPr>
        <w:t xml:space="preserve"> Los dineros que se perciban por la administración o venta de los bienes a que se refiere el presente capít</w:t>
      </w:r>
      <w:r>
        <w:rPr>
          <w:rFonts w:ascii="Arial" w:hAnsi="Arial" w:cs="Arial"/>
          <w:lang w:val="es-CO"/>
        </w:rPr>
        <w:t>ulo, se recaudarán a través de la cuenta denominada: Dirección General del Tesoro Nacional, DIAN, entidad consignataria - Recursos administración y venta de bienes recibidos en dación en pago. Los documentos soporte de la consignación de los recursos en di</w:t>
      </w:r>
      <w:r>
        <w:rPr>
          <w:rFonts w:ascii="Arial" w:hAnsi="Arial" w:cs="Arial"/>
          <w:lang w:val="es-CO"/>
        </w:rPr>
        <w:t>cha cuenta deberán enviarse a la oficina competente de la Unidad Administrativa Especial Dirección de Impuestos y Aduanas Nacionales- DIAN, para efectos de control.</w:t>
      </w:r>
    </w:p>
    <w:p w14:paraId="4A1145D8" w14:textId="77777777" w:rsidR="00B2442D" w:rsidRDefault="00B2442D">
      <w:pPr>
        <w:jc w:val="both"/>
        <w:rPr>
          <w:rFonts w:ascii="Arial" w:hAnsi="Arial" w:cs="Arial"/>
          <w:lang w:val="es-CO"/>
        </w:rPr>
      </w:pPr>
    </w:p>
    <w:p w14:paraId="13B1530D" w14:textId="77777777" w:rsidR="00B2442D" w:rsidRDefault="008A645F">
      <w:pPr>
        <w:jc w:val="both"/>
        <w:rPr>
          <w:rFonts w:ascii="Arial" w:hAnsi="Arial" w:cs="Arial"/>
          <w:lang w:val="es-CO"/>
        </w:rPr>
      </w:pPr>
      <w:r>
        <w:rPr>
          <w:rFonts w:ascii="Arial" w:hAnsi="Arial" w:cs="Arial"/>
          <w:lang w:val="es-CO"/>
        </w:rPr>
        <w:t xml:space="preserve">A dicha cuenta sólo podrán ingresar los dineros provenientes de la administración y venta </w:t>
      </w:r>
      <w:r>
        <w:rPr>
          <w:rFonts w:ascii="Arial" w:hAnsi="Arial" w:cs="Arial"/>
          <w:lang w:val="es-CO"/>
        </w:rPr>
        <w:t>de los bienes recibidos en dación en pago.</w:t>
      </w:r>
    </w:p>
    <w:p w14:paraId="14CBDC90" w14:textId="77777777" w:rsidR="00B2442D" w:rsidRDefault="00B2442D">
      <w:pPr>
        <w:jc w:val="both"/>
        <w:rPr>
          <w:rFonts w:ascii="Arial" w:hAnsi="Arial" w:cs="Arial"/>
          <w:lang w:val="es-CO"/>
        </w:rPr>
      </w:pPr>
    </w:p>
    <w:p w14:paraId="6BD934AF" w14:textId="77777777" w:rsidR="00B2442D" w:rsidRDefault="008A645F">
      <w:pPr>
        <w:jc w:val="both"/>
        <w:rPr>
          <w:rFonts w:ascii="Arial" w:hAnsi="Arial" w:cs="Arial"/>
          <w:i/>
          <w:lang w:val="es-CO"/>
        </w:rPr>
      </w:pPr>
      <w:r>
        <w:rPr>
          <w:rFonts w:ascii="Arial" w:hAnsi="Arial" w:cs="Arial"/>
          <w:i/>
          <w:lang w:val="es-CO"/>
        </w:rPr>
        <w:t>(Art. 8, Decreto 4815 de 2007)</w:t>
      </w:r>
      <w:r>
        <w:rPr>
          <w:rFonts w:ascii="Arial" w:hAnsi="Arial" w:cs="Arial"/>
        </w:rPr>
        <w:t xml:space="preserve"> </w:t>
      </w:r>
      <w:r>
        <w:rPr>
          <w:rFonts w:ascii="Arial" w:hAnsi="Arial" w:cs="Arial"/>
          <w:i/>
          <w:lang w:val="es-CO"/>
        </w:rPr>
        <w:t>(El Decreto 4815 de 2007 rige a partir de su publicación y deroga los Decretos 1915 de 2003, 961 de 2006 y el inciso 2o del artículo 12 del Decreto 881 de 2007. Art. 12, Decreto 481</w:t>
      </w:r>
      <w:r>
        <w:rPr>
          <w:rFonts w:ascii="Arial" w:hAnsi="Arial" w:cs="Arial"/>
          <w:i/>
          <w:lang w:val="es-CO"/>
        </w:rPr>
        <w:t>5 de 2007)</w:t>
      </w:r>
    </w:p>
    <w:p w14:paraId="06C71C82" w14:textId="77777777" w:rsidR="00B2442D" w:rsidRDefault="00B2442D">
      <w:pPr>
        <w:jc w:val="both"/>
        <w:rPr>
          <w:rFonts w:ascii="Arial" w:hAnsi="Arial" w:cs="Arial"/>
          <w:lang w:val="es-CO"/>
        </w:rPr>
      </w:pPr>
    </w:p>
    <w:p w14:paraId="1F9D4F51"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 xml:space="preserve">De los gastos de administración y disposición. </w:t>
      </w:r>
      <w:r>
        <w:rPr>
          <w:rFonts w:ascii="Arial" w:hAnsi="Arial" w:cs="Arial"/>
          <w:lang w:val="es-CO"/>
        </w:rPr>
        <w:t>Los gastos que se generen con ocasión de la administración y disposición de los bienes entregados en dación en pago, en los términos del presente capítulo, se pagarán con cargo al presupuesto de la</w:t>
      </w:r>
      <w:r>
        <w:rPr>
          <w:rFonts w:ascii="Arial" w:hAnsi="Arial" w:cs="Arial"/>
          <w:lang w:val="es-CO"/>
        </w:rPr>
        <w:t xml:space="preserve"> Unidad Administrativa Especial Dirección de Impuestos y Aduanas Nacionales, DIAN.</w:t>
      </w:r>
    </w:p>
    <w:p w14:paraId="70F890B8" w14:textId="77777777" w:rsidR="00B2442D" w:rsidRDefault="00B2442D">
      <w:pPr>
        <w:jc w:val="both"/>
        <w:rPr>
          <w:rFonts w:ascii="Arial" w:hAnsi="Arial" w:cs="Arial"/>
          <w:lang w:val="es-CO"/>
        </w:rPr>
      </w:pPr>
    </w:p>
    <w:p w14:paraId="0AD4C8D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A partir de la fecha de perfeccionamiento de la dación en pago, se consideran como gastos de administración o de disposición, los que se causen por concepto de a</w:t>
      </w:r>
      <w:r>
        <w:rPr>
          <w:rFonts w:ascii="Arial" w:hAnsi="Arial" w:cs="Arial"/>
          <w:lang w:val="es-CO"/>
        </w:rPr>
        <w:t>rrendamiento, bodegajes, impuestos, tasas, contribuciones, servicios públicos, cuotas de administración, avalúos, seguros obligatorios, intermediación financiera, reclamaciones, servicios de vigilancia, aseo y demás a que haya lugar para garantizar su cons</w:t>
      </w:r>
      <w:r>
        <w:rPr>
          <w:rFonts w:ascii="Arial" w:hAnsi="Arial" w:cs="Arial"/>
          <w:lang w:val="es-CO"/>
        </w:rPr>
        <w:t>ervación, enajenación y rentabilidad.</w:t>
      </w:r>
    </w:p>
    <w:p w14:paraId="2029025F" w14:textId="77777777" w:rsidR="00B2442D" w:rsidRDefault="00B2442D">
      <w:pPr>
        <w:jc w:val="both"/>
        <w:rPr>
          <w:rFonts w:ascii="Arial" w:hAnsi="Arial" w:cs="Arial"/>
          <w:lang w:val="es-CO"/>
        </w:rPr>
      </w:pPr>
    </w:p>
    <w:p w14:paraId="604CC76F" w14:textId="77777777" w:rsidR="00B2442D" w:rsidRDefault="008A645F">
      <w:pPr>
        <w:jc w:val="both"/>
        <w:rPr>
          <w:rFonts w:ascii="Arial" w:hAnsi="Arial" w:cs="Arial"/>
          <w:i/>
          <w:lang w:val="es-CO"/>
        </w:rPr>
      </w:pPr>
      <w:r>
        <w:rPr>
          <w:rFonts w:ascii="Arial" w:hAnsi="Arial" w:cs="Arial"/>
          <w:i/>
          <w:lang w:val="es-CO"/>
        </w:rPr>
        <w:t>(Art. 9, Decreto 4815 de 2007)</w:t>
      </w:r>
      <w:r>
        <w:rPr>
          <w:rFonts w:ascii="Arial" w:hAnsi="Arial" w:cs="Arial"/>
        </w:rPr>
        <w:t xml:space="preserve"> </w:t>
      </w:r>
      <w:r>
        <w:rPr>
          <w:rFonts w:ascii="Arial" w:hAnsi="Arial" w:cs="Arial"/>
          <w:i/>
          <w:lang w:val="es-CO"/>
        </w:rPr>
        <w:t xml:space="preserve">(El Decreto 4815 de 2007 rige a partir de su publicación y deroga los Decretos 1915 de 2003, 961 de 2006 y el inciso 2o del artículo 12 del Decreto 881 de 2007. Art. 12, Decreto 4815 </w:t>
      </w:r>
      <w:r>
        <w:rPr>
          <w:rFonts w:ascii="Arial" w:hAnsi="Arial" w:cs="Arial"/>
          <w:i/>
          <w:lang w:val="es-CO"/>
        </w:rPr>
        <w:t>de 2007)</w:t>
      </w:r>
    </w:p>
    <w:p w14:paraId="7C8BCDC1" w14:textId="77777777" w:rsidR="00B2442D" w:rsidRDefault="00B2442D">
      <w:pPr>
        <w:jc w:val="both"/>
        <w:rPr>
          <w:rFonts w:ascii="Arial" w:hAnsi="Arial" w:cs="Arial"/>
          <w:i/>
          <w:lang w:val="es-CO"/>
        </w:rPr>
      </w:pPr>
    </w:p>
    <w:p w14:paraId="1A615C8D"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Contabilización de los bienes entregados en dación en pago.</w:t>
      </w:r>
      <w:r>
        <w:rPr>
          <w:rFonts w:ascii="Arial" w:hAnsi="Arial" w:cs="Arial"/>
          <w:lang w:val="es-CO"/>
        </w:rPr>
        <w:t xml:space="preserve"> El registro contable de ingreso de los bienes entregados en dación de pago, el descargue de las obligaciones canceladas con estos y el registro de los gastos de administración y disposición de los mismos, se efectuará por parte de la Unidad Administrativa</w:t>
      </w:r>
      <w:r>
        <w:rPr>
          <w:rFonts w:ascii="Arial" w:hAnsi="Arial" w:cs="Arial"/>
          <w:lang w:val="es-CO"/>
        </w:rPr>
        <w:t xml:space="preserve"> Especial Dirección de Impuestos y Aduanas Nacionales- DIAN, de conformidad con el plan general de la contabilidad pública.</w:t>
      </w:r>
    </w:p>
    <w:p w14:paraId="24285561" w14:textId="77777777" w:rsidR="00B2442D" w:rsidRDefault="00B2442D">
      <w:pPr>
        <w:jc w:val="both"/>
        <w:rPr>
          <w:rFonts w:ascii="Arial" w:hAnsi="Arial" w:cs="Arial"/>
          <w:lang w:val="es-CO"/>
        </w:rPr>
      </w:pPr>
    </w:p>
    <w:p w14:paraId="3A604102" w14:textId="77777777" w:rsidR="00B2442D" w:rsidRDefault="008A645F">
      <w:pPr>
        <w:jc w:val="both"/>
        <w:rPr>
          <w:rFonts w:ascii="Arial" w:hAnsi="Arial" w:cs="Arial"/>
          <w:i/>
          <w:lang w:val="es-CO"/>
        </w:rPr>
      </w:pPr>
      <w:r>
        <w:rPr>
          <w:rFonts w:ascii="Arial" w:hAnsi="Arial" w:cs="Arial"/>
          <w:i/>
          <w:lang w:val="es-CO"/>
        </w:rPr>
        <w:t>(Art. 10, Decreto 4815 de 2007)</w:t>
      </w:r>
      <w:r>
        <w:rPr>
          <w:rFonts w:ascii="Arial" w:hAnsi="Arial" w:cs="Arial"/>
        </w:rPr>
        <w:t xml:space="preserve"> </w:t>
      </w:r>
      <w:r>
        <w:rPr>
          <w:rFonts w:ascii="Arial" w:hAnsi="Arial" w:cs="Arial"/>
          <w:i/>
          <w:lang w:val="es-CO"/>
        </w:rPr>
        <w:t>(El Decreto 4815 de 2007 rige a partir de su publicación y deroga los Decretos 1915 de 2003, 961 de</w:t>
      </w:r>
      <w:r>
        <w:rPr>
          <w:rFonts w:ascii="Arial" w:hAnsi="Arial" w:cs="Arial"/>
          <w:i/>
          <w:lang w:val="es-CO"/>
        </w:rPr>
        <w:t xml:space="preserve"> 2006 y el inciso 2o del artículo 12 del Decreto 881 de 2007. Art. 12, Decreto 4815 de 2007)</w:t>
      </w:r>
    </w:p>
    <w:p w14:paraId="19AAAA3E" w14:textId="77777777" w:rsidR="00B2442D" w:rsidRDefault="00B2442D">
      <w:pPr>
        <w:jc w:val="both"/>
        <w:rPr>
          <w:rFonts w:ascii="Arial" w:hAnsi="Arial" w:cs="Arial"/>
          <w:lang w:val="es-CO"/>
        </w:rPr>
      </w:pPr>
    </w:p>
    <w:p w14:paraId="4351CF0F" w14:textId="77777777" w:rsidR="00B2442D" w:rsidRDefault="008A645F">
      <w:pPr>
        <w:pStyle w:val="Prrafodelista"/>
        <w:numPr>
          <w:ilvl w:val="0"/>
          <w:numId w:val="132"/>
        </w:numPr>
        <w:ind w:left="0" w:firstLine="0"/>
        <w:jc w:val="both"/>
        <w:rPr>
          <w:rFonts w:ascii="Arial" w:hAnsi="Arial" w:cs="Arial"/>
          <w:lang w:val="es-CO"/>
        </w:rPr>
      </w:pPr>
      <w:r>
        <w:rPr>
          <w:rFonts w:ascii="Arial" w:hAnsi="Arial" w:cs="Arial"/>
          <w:b/>
          <w:i/>
          <w:lang w:val="es-CO"/>
        </w:rPr>
        <w:t xml:space="preserve">Administración y disposición de los bienes adjudicados a favor de la Nación. </w:t>
      </w:r>
      <w:r>
        <w:rPr>
          <w:rFonts w:ascii="Arial" w:hAnsi="Arial" w:cs="Arial"/>
          <w:lang w:val="es-CO"/>
        </w:rPr>
        <w:t xml:space="preserve">Para efectos de la administración y disposición de los bienes adjudicados a favor de </w:t>
      </w:r>
      <w:r>
        <w:rPr>
          <w:rFonts w:ascii="Arial" w:hAnsi="Arial" w:cs="Arial"/>
          <w:lang w:val="es-CO"/>
        </w:rPr>
        <w:t>la Nación en virtud de lo dispuesto en el inciso primero del artículo 840 del Estatuto Tributario y de conformidad con el Decreto 881 de 2007 y el artículo 20 de la Ley 1066 de 2006, se atenderá lo dispuesto en el presente capitulo.</w:t>
      </w:r>
    </w:p>
    <w:p w14:paraId="348157AE" w14:textId="77777777" w:rsidR="00B2442D" w:rsidRDefault="00B2442D">
      <w:pPr>
        <w:jc w:val="both"/>
        <w:rPr>
          <w:rFonts w:ascii="Arial" w:hAnsi="Arial" w:cs="Arial"/>
          <w:lang w:val="es-CO"/>
        </w:rPr>
      </w:pPr>
    </w:p>
    <w:p w14:paraId="610D70E5" w14:textId="77777777" w:rsidR="00B2442D" w:rsidRDefault="008A645F">
      <w:pPr>
        <w:jc w:val="both"/>
        <w:rPr>
          <w:rFonts w:ascii="Arial" w:hAnsi="Arial" w:cs="Arial"/>
          <w:i/>
          <w:lang w:val="es-CO"/>
        </w:rPr>
      </w:pPr>
      <w:r>
        <w:rPr>
          <w:rFonts w:ascii="Arial" w:hAnsi="Arial" w:cs="Arial"/>
          <w:i/>
          <w:lang w:val="es-CO"/>
        </w:rPr>
        <w:t>(Art. 11, Decreto 4815</w:t>
      </w:r>
      <w:r>
        <w:rPr>
          <w:rFonts w:ascii="Arial" w:hAnsi="Arial" w:cs="Arial"/>
          <w:i/>
          <w:lang w:val="es-CO"/>
        </w:rPr>
        <w:t xml:space="preserve"> de 2007)</w:t>
      </w:r>
      <w:r>
        <w:rPr>
          <w:rFonts w:ascii="Arial" w:hAnsi="Arial" w:cs="Arial"/>
        </w:rPr>
        <w:t xml:space="preserve"> </w:t>
      </w:r>
      <w:r>
        <w:rPr>
          <w:rFonts w:ascii="Arial" w:hAnsi="Arial" w:cs="Arial"/>
          <w:i/>
          <w:lang w:val="es-CO"/>
        </w:rPr>
        <w:t>(El Decreto 4815 de 2007 rige a partir de su publicación y deroga los Decretos 1915 de 2003, 961 de 2006 y el inciso 2o del artículo 12 del Decreto 881 de 2007. Art. 12, Decreto 4815 de 2007)</w:t>
      </w:r>
    </w:p>
    <w:p w14:paraId="5BB0F45B" w14:textId="77777777" w:rsidR="00B2442D" w:rsidRDefault="00B2442D">
      <w:pPr>
        <w:jc w:val="both"/>
        <w:rPr>
          <w:rFonts w:ascii="Arial" w:hAnsi="Arial" w:cs="Arial"/>
          <w:i/>
          <w:lang w:val="es-CO"/>
        </w:rPr>
      </w:pPr>
    </w:p>
    <w:p w14:paraId="2E9B27DE" w14:textId="77777777" w:rsidR="00B2442D" w:rsidRDefault="008A645F">
      <w:pPr>
        <w:pStyle w:val="Ttulo4"/>
        <w:rPr>
          <w:lang w:val="es-CO"/>
        </w:rPr>
      </w:pPr>
      <w:r>
        <w:rPr>
          <w:lang w:val="es-CO"/>
        </w:rPr>
        <w:t>CAPÍTULO 4</w:t>
      </w:r>
    </w:p>
    <w:p w14:paraId="11553D34" w14:textId="77777777" w:rsidR="00B2442D" w:rsidRDefault="008A645F">
      <w:pPr>
        <w:pStyle w:val="Ttulo4"/>
        <w:rPr>
          <w:lang w:val="es-CO"/>
        </w:rPr>
      </w:pPr>
      <w:r>
        <w:rPr>
          <w:lang w:val="es-CO"/>
        </w:rPr>
        <w:t>Adjudicación de bienes a favor de Nación</w:t>
      </w:r>
    </w:p>
    <w:p w14:paraId="0E19A74B" w14:textId="77777777" w:rsidR="00B2442D" w:rsidRDefault="00B2442D">
      <w:pPr>
        <w:rPr>
          <w:rFonts w:ascii="Arial" w:hAnsi="Arial" w:cs="Arial"/>
          <w:lang w:val="es-CO"/>
        </w:rPr>
      </w:pPr>
    </w:p>
    <w:p w14:paraId="0933B2F4"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Adjudicación de bienes a favor de la Nación.</w:t>
      </w:r>
      <w:r>
        <w:rPr>
          <w:rFonts w:ascii="Arial" w:hAnsi="Arial" w:cs="Arial"/>
          <w:lang w:val="es-CO"/>
        </w:rPr>
        <w:t xml:space="preserve"> La adjudicación de bienes a favor de la Nación de que trata el inciso primero del artículo 840 del Estatuto Tributario es una forma de pago de las obligaciones fiscales por concepto de impuestos, anticipos, rete</w:t>
      </w:r>
      <w:r>
        <w:rPr>
          <w:rFonts w:ascii="Arial" w:hAnsi="Arial" w:cs="Arial"/>
          <w:lang w:val="es-CO"/>
        </w:rPr>
        <w:t>nciones, sanciones, intereses y demás obligaciones administradas por la Unidad Administrativa Especial Dirección de Impuestos y Aduanas Nacionales- DIAN.</w:t>
      </w:r>
    </w:p>
    <w:p w14:paraId="1F64F1CA" w14:textId="77777777" w:rsidR="00B2442D" w:rsidRDefault="00B2442D">
      <w:pPr>
        <w:jc w:val="both"/>
        <w:rPr>
          <w:rFonts w:ascii="Arial" w:hAnsi="Arial" w:cs="Arial"/>
          <w:lang w:val="es-CO"/>
        </w:rPr>
      </w:pPr>
    </w:p>
    <w:p w14:paraId="7E9CA03B" w14:textId="77777777" w:rsidR="00B2442D" w:rsidRDefault="008A645F">
      <w:pPr>
        <w:jc w:val="both"/>
        <w:rPr>
          <w:rFonts w:ascii="Arial" w:hAnsi="Arial" w:cs="Arial"/>
          <w:i/>
          <w:lang w:val="es-CO"/>
        </w:rPr>
      </w:pPr>
      <w:r>
        <w:rPr>
          <w:rFonts w:ascii="Arial" w:hAnsi="Arial" w:cs="Arial"/>
          <w:i/>
          <w:lang w:val="es-CO"/>
        </w:rPr>
        <w:t>(Art. 1, Decreto 881 de 2007)</w:t>
      </w:r>
    </w:p>
    <w:p w14:paraId="59BBED12" w14:textId="77777777" w:rsidR="00B2442D" w:rsidRDefault="00B2442D">
      <w:pPr>
        <w:jc w:val="both"/>
        <w:rPr>
          <w:rFonts w:ascii="Arial" w:hAnsi="Arial" w:cs="Arial"/>
          <w:lang w:val="es-CO"/>
        </w:rPr>
      </w:pPr>
    </w:p>
    <w:p w14:paraId="1982AC46"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Competencia.</w:t>
      </w:r>
      <w:r>
        <w:rPr>
          <w:rFonts w:ascii="Arial" w:hAnsi="Arial" w:cs="Arial"/>
          <w:lang w:val="es-CO"/>
        </w:rPr>
        <w:t xml:space="preserve"> Será competente para decretar la adjudicación de bienes a</w:t>
      </w:r>
      <w:r>
        <w:rPr>
          <w:rFonts w:ascii="Arial" w:hAnsi="Arial" w:cs="Arial"/>
          <w:lang w:val="es-CO"/>
        </w:rPr>
        <w:t xml:space="preserve"> favor de la Nación, Director Seccional de Impuestos, el Director Seccional de Impuestos y Aduanas o el Director Seccional de Aduanas de la Administración donde se adelante el proceso de cobro.</w:t>
      </w:r>
    </w:p>
    <w:p w14:paraId="4517C003" w14:textId="77777777" w:rsidR="00B2442D" w:rsidRDefault="00B2442D">
      <w:pPr>
        <w:jc w:val="both"/>
        <w:rPr>
          <w:rFonts w:ascii="Arial" w:hAnsi="Arial" w:cs="Arial"/>
          <w:lang w:val="es-CO"/>
        </w:rPr>
      </w:pPr>
    </w:p>
    <w:p w14:paraId="3B2E10FA" w14:textId="77777777" w:rsidR="00B2442D" w:rsidRDefault="008A645F">
      <w:pPr>
        <w:jc w:val="both"/>
        <w:rPr>
          <w:rFonts w:ascii="Arial" w:hAnsi="Arial" w:cs="Arial"/>
          <w:i/>
          <w:lang w:val="es-CO"/>
        </w:rPr>
      </w:pPr>
      <w:r>
        <w:rPr>
          <w:rFonts w:ascii="Arial" w:hAnsi="Arial" w:cs="Arial"/>
          <w:i/>
          <w:lang w:val="es-CO"/>
        </w:rPr>
        <w:t>(Art. 2, Decreto 881 de 2007)</w:t>
      </w:r>
    </w:p>
    <w:p w14:paraId="714E1126" w14:textId="77777777" w:rsidR="00B2442D" w:rsidRDefault="00B2442D">
      <w:pPr>
        <w:jc w:val="both"/>
        <w:rPr>
          <w:rFonts w:ascii="Arial" w:hAnsi="Arial" w:cs="Arial"/>
          <w:lang w:val="es-CO"/>
        </w:rPr>
      </w:pPr>
    </w:p>
    <w:p w14:paraId="5AF4BFD6"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 xml:space="preserve">Efectos de la adjudicación de </w:t>
      </w:r>
      <w:r>
        <w:rPr>
          <w:rFonts w:ascii="Arial" w:hAnsi="Arial" w:cs="Arial"/>
          <w:b/>
          <w:i/>
          <w:lang w:val="es-CO"/>
        </w:rPr>
        <w:t xml:space="preserve">bienes a favor de la Nación. </w:t>
      </w:r>
      <w:r>
        <w:rPr>
          <w:rFonts w:ascii="Arial" w:hAnsi="Arial" w:cs="Arial"/>
          <w:lang w:val="es-CO"/>
        </w:rPr>
        <w:t>La adjudicación de bienes a favor de la Nación efectuada en los términos previstos en el presente capítulo tendrá los siguientes efectos:</w:t>
      </w:r>
    </w:p>
    <w:p w14:paraId="7A705745" w14:textId="77777777" w:rsidR="00B2442D" w:rsidRDefault="00B2442D">
      <w:pPr>
        <w:jc w:val="both"/>
        <w:rPr>
          <w:rFonts w:ascii="Arial" w:hAnsi="Arial" w:cs="Arial"/>
          <w:lang w:val="es-CO"/>
        </w:rPr>
      </w:pPr>
    </w:p>
    <w:p w14:paraId="42D0ECCD"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La transferencia del derecho de dominio y posesión del bien a favor de la Nación, Uni</w:t>
      </w:r>
      <w:r>
        <w:rPr>
          <w:rFonts w:ascii="Arial" w:hAnsi="Arial" w:cs="Arial"/>
          <w:lang w:val="es-CO"/>
        </w:rPr>
        <w:t xml:space="preserve">dad Administrativa Especial Dirección de Impuestos y Aduanas Nacionales- </w:t>
      </w:r>
      <w:r>
        <w:rPr>
          <w:rFonts w:ascii="Arial" w:hAnsi="Arial" w:cs="Arial"/>
        </w:rPr>
        <w:t>DIAN</w:t>
      </w:r>
      <w:r>
        <w:rPr>
          <w:rFonts w:ascii="Arial" w:hAnsi="Arial" w:cs="Arial"/>
          <w:lang w:val="es-CO"/>
        </w:rPr>
        <w:t>;</w:t>
      </w:r>
    </w:p>
    <w:p w14:paraId="64193C54" w14:textId="77777777" w:rsidR="00B2442D" w:rsidRDefault="00B2442D">
      <w:pPr>
        <w:ind w:left="284" w:hanging="284"/>
        <w:jc w:val="both"/>
        <w:rPr>
          <w:rFonts w:ascii="Arial" w:hAnsi="Arial" w:cs="Arial"/>
          <w:lang w:val="es-CO"/>
        </w:rPr>
      </w:pPr>
    </w:p>
    <w:p w14:paraId="372C43C6"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El levantamiento de las medidas cautelares, gravámenes y demás limitaciones al dominio que afecten al bien adjudicado;</w:t>
      </w:r>
    </w:p>
    <w:p w14:paraId="3830D3EE" w14:textId="77777777" w:rsidR="00B2442D" w:rsidRDefault="00B2442D">
      <w:pPr>
        <w:ind w:left="284" w:hanging="284"/>
        <w:jc w:val="both"/>
        <w:rPr>
          <w:rFonts w:ascii="Arial" w:hAnsi="Arial" w:cs="Arial"/>
          <w:lang w:val="es-CO"/>
        </w:rPr>
      </w:pPr>
    </w:p>
    <w:p w14:paraId="443F1280"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 xml:space="preserve">La supresión de los registros contables y de la </w:t>
      </w:r>
      <w:r>
        <w:rPr>
          <w:rFonts w:ascii="Arial" w:hAnsi="Arial" w:cs="Arial"/>
          <w:lang w:val="es-CO"/>
        </w:rPr>
        <w:t xml:space="preserve">cuenta corriente del deudor, de las obligaciones administradas por la Unidad Administrativa Especial Dirección de Impuestos y Aduanas Nacionales- DIAN objeto de cobro, hasta concurrencia del valor efectivamente aplicado a las mismas, de conformidad con el </w:t>
      </w:r>
      <w:r>
        <w:rPr>
          <w:rFonts w:ascii="Arial" w:hAnsi="Arial" w:cs="Arial"/>
          <w:lang w:val="es-CO"/>
        </w:rPr>
        <w:t>artículo 1.6.2.4.7 presente Decreto.</w:t>
      </w:r>
    </w:p>
    <w:p w14:paraId="42B58574" w14:textId="77777777" w:rsidR="00B2442D" w:rsidRDefault="00B2442D">
      <w:pPr>
        <w:ind w:left="284" w:hanging="284"/>
        <w:jc w:val="both"/>
        <w:rPr>
          <w:rFonts w:ascii="Arial" w:hAnsi="Arial" w:cs="Arial"/>
          <w:lang w:val="es-CO"/>
        </w:rPr>
      </w:pPr>
    </w:p>
    <w:p w14:paraId="48CD7B85" w14:textId="77777777" w:rsidR="00B2442D" w:rsidRDefault="008A645F">
      <w:pPr>
        <w:ind w:left="284" w:hanging="284"/>
        <w:jc w:val="both"/>
        <w:rPr>
          <w:rFonts w:ascii="Arial" w:hAnsi="Arial" w:cs="Arial"/>
          <w:lang w:val="es-CO"/>
        </w:rPr>
      </w:pPr>
      <w:r>
        <w:rPr>
          <w:rFonts w:ascii="Arial" w:hAnsi="Arial" w:cs="Arial"/>
          <w:lang w:val="es-CO"/>
        </w:rPr>
        <w:t>d) La generación de remanentes a favor del deudor cuando el valor de la adjudicación sea mayor al valor total de las obligaciones que se cubren con esta.</w:t>
      </w:r>
    </w:p>
    <w:p w14:paraId="0E0888FE" w14:textId="77777777" w:rsidR="00B2442D" w:rsidRDefault="00B2442D">
      <w:pPr>
        <w:jc w:val="both"/>
        <w:rPr>
          <w:rFonts w:ascii="Arial" w:hAnsi="Arial" w:cs="Arial"/>
          <w:i/>
          <w:lang w:val="es-CO"/>
        </w:rPr>
      </w:pPr>
    </w:p>
    <w:p w14:paraId="787C2C6C" w14:textId="77777777" w:rsidR="00B2442D" w:rsidRDefault="008A645F">
      <w:pPr>
        <w:jc w:val="both"/>
        <w:rPr>
          <w:rFonts w:ascii="Arial" w:hAnsi="Arial" w:cs="Arial"/>
          <w:i/>
          <w:lang w:val="es-CO"/>
        </w:rPr>
      </w:pPr>
      <w:r>
        <w:rPr>
          <w:rFonts w:ascii="Arial" w:hAnsi="Arial" w:cs="Arial"/>
          <w:i/>
          <w:lang w:val="es-CO"/>
        </w:rPr>
        <w:t>(Art. 3, Decreto 881 de 2007)</w:t>
      </w:r>
    </w:p>
    <w:p w14:paraId="4EC11542" w14:textId="77777777" w:rsidR="00B2442D" w:rsidRDefault="00B2442D">
      <w:pPr>
        <w:jc w:val="both"/>
        <w:rPr>
          <w:rFonts w:ascii="Arial" w:hAnsi="Arial" w:cs="Arial"/>
          <w:lang w:val="es-CO"/>
        </w:rPr>
      </w:pPr>
    </w:p>
    <w:p w14:paraId="60595FB7"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Procedencia de la adjudicación d</w:t>
      </w:r>
      <w:r>
        <w:rPr>
          <w:rFonts w:ascii="Arial" w:hAnsi="Arial" w:cs="Arial"/>
          <w:b/>
          <w:i/>
          <w:lang w:val="es-CO"/>
        </w:rPr>
        <w:t>e bienes a favor de la Nación.</w:t>
      </w:r>
      <w:r>
        <w:rPr>
          <w:rFonts w:ascii="Arial" w:hAnsi="Arial" w:cs="Arial"/>
          <w:lang w:val="es-CO"/>
        </w:rPr>
        <w:t xml:space="preserve"> La adjudicación de bienes regulada en el presente capítulo procederá una vez se declare desierto el remate después de la tercera licitación, siempre y cuando la misma no resulte gravosa ni genere detrimento patrimonial o mayo</w:t>
      </w:r>
      <w:r>
        <w:rPr>
          <w:rFonts w:ascii="Arial" w:hAnsi="Arial" w:cs="Arial"/>
          <w:lang w:val="es-CO"/>
        </w:rPr>
        <w:t>res costos para el Estado. Para el efecto, se requiere concepto técnico de la Dirección de Gestión de Recursos y Administración Económica de la  Dirección de  Impuestos y Aduanas Nacionales- DIAN, que determine la viabilidad de la adjudicación.</w:t>
      </w:r>
    </w:p>
    <w:p w14:paraId="5FB9C80B" w14:textId="77777777" w:rsidR="00B2442D" w:rsidRDefault="00B2442D">
      <w:pPr>
        <w:jc w:val="both"/>
        <w:rPr>
          <w:rFonts w:ascii="Arial" w:hAnsi="Arial" w:cs="Arial"/>
          <w:lang w:val="es-CO"/>
        </w:rPr>
      </w:pPr>
    </w:p>
    <w:p w14:paraId="753C42A8" w14:textId="77777777" w:rsidR="00B2442D" w:rsidRDefault="008A645F">
      <w:pPr>
        <w:jc w:val="both"/>
        <w:rPr>
          <w:rFonts w:ascii="Arial" w:hAnsi="Arial" w:cs="Arial"/>
          <w:i/>
          <w:lang w:val="es-CO"/>
        </w:rPr>
      </w:pPr>
      <w:r>
        <w:rPr>
          <w:rFonts w:ascii="Arial" w:hAnsi="Arial" w:cs="Arial"/>
          <w:i/>
          <w:lang w:val="es-CO"/>
        </w:rPr>
        <w:t>(Art. 4, D</w:t>
      </w:r>
      <w:r>
        <w:rPr>
          <w:rFonts w:ascii="Arial" w:hAnsi="Arial" w:cs="Arial"/>
          <w:i/>
          <w:lang w:val="es-CO"/>
        </w:rPr>
        <w:t>ecreto 881 de 2007)</w:t>
      </w:r>
    </w:p>
    <w:p w14:paraId="23D6201E" w14:textId="77777777" w:rsidR="00B2442D" w:rsidRDefault="00B2442D">
      <w:pPr>
        <w:jc w:val="both"/>
        <w:rPr>
          <w:rFonts w:ascii="Arial" w:hAnsi="Arial" w:cs="Arial"/>
          <w:lang w:val="es-CO"/>
        </w:rPr>
      </w:pPr>
    </w:p>
    <w:p w14:paraId="689AE6C1"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Información del área de cobranzas para el concepto técnico sobre la viabilidad de la adjudicación.</w:t>
      </w:r>
      <w:r>
        <w:rPr>
          <w:rFonts w:ascii="Arial" w:hAnsi="Arial" w:cs="Arial"/>
          <w:lang w:val="es-CO"/>
        </w:rPr>
        <w:t xml:space="preserve"> Una vez se declare desierto el remate del bien después de la tercera licitación, el funcionario de cobranzas que adelante el proceso de </w:t>
      </w:r>
      <w:r>
        <w:rPr>
          <w:rFonts w:ascii="Arial" w:hAnsi="Arial" w:cs="Arial"/>
          <w:lang w:val="es-CO"/>
        </w:rPr>
        <w:t>cobro deberá remitir a la Dirección de Gestión de Recursos y Administración Económica  de la Dirección  de Impuestos y Aduanas Nacionales- DIAN, dentro de los dos (2) días hábiles siguientes, la información necesaria para que esta profiera el concepto técn</w:t>
      </w:r>
      <w:r>
        <w:rPr>
          <w:rFonts w:ascii="Arial" w:hAnsi="Arial" w:cs="Arial"/>
          <w:lang w:val="es-CO"/>
        </w:rPr>
        <w:t>ico sobre la viabilidad de la adjudicación del bien a favor de la Nación, para lo cual deberá:</w:t>
      </w:r>
    </w:p>
    <w:p w14:paraId="19935B5F" w14:textId="77777777" w:rsidR="00B2442D" w:rsidRDefault="00B2442D">
      <w:pPr>
        <w:jc w:val="both"/>
        <w:rPr>
          <w:rFonts w:ascii="Arial" w:hAnsi="Arial" w:cs="Arial"/>
          <w:lang w:val="es-CO"/>
        </w:rPr>
      </w:pPr>
    </w:p>
    <w:p w14:paraId="45251C82"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Adjuntar copia del avalúo en firme que obre dentro del proceso;</w:t>
      </w:r>
    </w:p>
    <w:p w14:paraId="3BC38EA1" w14:textId="77777777" w:rsidR="00B2442D" w:rsidRDefault="00B2442D">
      <w:pPr>
        <w:ind w:left="284" w:hanging="284"/>
        <w:jc w:val="both"/>
        <w:rPr>
          <w:rFonts w:ascii="Arial" w:hAnsi="Arial" w:cs="Arial"/>
          <w:lang w:val="es-CO"/>
        </w:rPr>
      </w:pPr>
    </w:p>
    <w:p w14:paraId="5843837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Relacionar las acreencias exigibles que pesen sobre el bien objeto de adjudicación, tales</w:t>
      </w:r>
      <w:r>
        <w:rPr>
          <w:rFonts w:ascii="Arial" w:hAnsi="Arial" w:cs="Arial"/>
          <w:lang w:val="es-CO"/>
        </w:rPr>
        <w:t xml:space="preserve"> como cuotas de administración, servicios públicos e impuestos, acompañando la certificación de su valor expedida por la entidad correspondiente;</w:t>
      </w:r>
    </w:p>
    <w:p w14:paraId="31164E6F" w14:textId="77777777" w:rsidR="00B2442D" w:rsidRDefault="00B2442D">
      <w:pPr>
        <w:ind w:left="284" w:hanging="284"/>
        <w:jc w:val="both"/>
        <w:rPr>
          <w:rFonts w:ascii="Arial" w:hAnsi="Arial" w:cs="Arial"/>
          <w:lang w:val="es-CO"/>
        </w:rPr>
      </w:pPr>
    </w:p>
    <w:p w14:paraId="3FCBBDA2" w14:textId="77777777" w:rsidR="00B2442D" w:rsidRDefault="008A645F">
      <w:pPr>
        <w:ind w:left="284" w:hanging="284"/>
        <w:jc w:val="both"/>
        <w:rPr>
          <w:rFonts w:ascii="Arial" w:hAnsi="Arial" w:cs="Arial"/>
          <w:lang w:val="es-CO"/>
        </w:rPr>
      </w:pPr>
      <w:r>
        <w:rPr>
          <w:rFonts w:ascii="Arial" w:hAnsi="Arial" w:cs="Arial"/>
          <w:lang w:val="es-CO"/>
        </w:rPr>
        <w:t>c)</w:t>
      </w:r>
      <w:r>
        <w:rPr>
          <w:rFonts w:ascii="Arial" w:hAnsi="Arial" w:cs="Arial"/>
          <w:lang w:val="es-CO"/>
        </w:rPr>
        <w:tab/>
        <w:t>Aportar el certificado de libertad y tradición del bien, tratándose de bienes sujetos a registro.</w:t>
      </w:r>
    </w:p>
    <w:p w14:paraId="0636CA5E" w14:textId="77777777" w:rsidR="00B2442D" w:rsidRDefault="00B2442D">
      <w:pPr>
        <w:jc w:val="both"/>
        <w:rPr>
          <w:rFonts w:ascii="Arial" w:hAnsi="Arial" w:cs="Arial"/>
          <w:lang w:val="es-CO"/>
        </w:rPr>
      </w:pPr>
    </w:p>
    <w:p w14:paraId="7EFE3BCE" w14:textId="77777777" w:rsidR="00B2442D" w:rsidRDefault="008A645F">
      <w:pPr>
        <w:jc w:val="both"/>
        <w:rPr>
          <w:rFonts w:ascii="Arial" w:hAnsi="Arial" w:cs="Arial"/>
          <w:i/>
          <w:lang w:val="es-CO"/>
        </w:rPr>
      </w:pPr>
      <w:r>
        <w:rPr>
          <w:rFonts w:ascii="Arial" w:hAnsi="Arial" w:cs="Arial"/>
          <w:i/>
          <w:lang w:val="es-CO"/>
        </w:rPr>
        <w:t xml:space="preserve">(Art. </w:t>
      </w:r>
      <w:r>
        <w:rPr>
          <w:rFonts w:ascii="Arial" w:hAnsi="Arial" w:cs="Arial"/>
          <w:i/>
          <w:lang w:val="es-CO"/>
        </w:rPr>
        <w:t>5, Decreto 881 de 2007)</w:t>
      </w:r>
    </w:p>
    <w:p w14:paraId="7A494EDC" w14:textId="77777777" w:rsidR="00B2442D" w:rsidRDefault="00B2442D">
      <w:pPr>
        <w:jc w:val="both"/>
        <w:rPr>
          <w:rFonts w:ascii="Arial" w:hAnsi="Arial" w:cs="Arial"/>
          <w:lang w:val="es-CO"/>
        </w:rPr>
      </w:pPr>
    </w:p>
    <w:p w14:paraId="69634608"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Expedición del acto administrativo de adjudicación a favor de la Nación.</w:t>
      </w:r>
      <w:r>
        <w:rPr>
          <w:rFonts w:ascii="Arial" w:hAnsi="Arial" w:cs="Arial"/>
          <w:lang w:val="es-CO"/>
        </w:rPr>
        <w:t xml:space="preserve"> Cuando el concepto expedido por la Dirección de Gestión de Recursos y Administración Económica en los términos del artículo anterior determine la viabilidad d</w:t>
      </w:r>
      <w:r>
        <w:rPr>
          <w:rFonts w:ascii="Arial" w:hAnsi="Arial" w:cs="Arial"/>
          <w:lang w:val="es-CO"/>
        </w:rPr>
        <w:t>e la adjudicación del bien a favor de la Nación, el funcionario competente, conforme lo dispuesto en el artículo 1.6.2.4.2 del presente Decreto, deberá proferir el acto administrativo de adjudicación dentro de los diez (10) días hábiles siguientes al recib</w:t>
      </w:r>
      <w:r>
        <w:rPr>
          <w:rFonts w:ascii="Arial" w:hAnsi="Arial" w:cs="Arial"/>
          <w:lang w:val="es-CO"/>
        </w:rPr>
        <w:t>o del mencionado concepto.</w:t>
      </w:r>
    </w:p>
    <w:p w14:paraId="20828157" w14:textId="77777777" w:rsidR="00B2442D" w:rsidRDefault="00B2442D">
      <w:pPr>
        <w:jc w:val="both"/>
        <w:rPr>
          <w:rFonts w:ascii="Arial" w:hAnsi="Arial" w:cs="Arial"/>
          <w:lang w:val="es-CO"/>
        </w:rPr>
      </w:pPr>
    </w:p>
    <w:p w14:paraId="49A8B7AD" w14:textId="77777777" w:rsidR="00B2442D" w:rsidRDefault="008A645F">
      <w:pPr>
        <w:jc w:val="both"/>
        <w:rPr>
          <w:rFonts w:ascii="Arial" w:hAnsi="Arial" w:cs="Arial"/>
          <w:lang w:val="es-CO"/>
        </w:rPr>
      </w:pPr>
      <w:r>
        <w:rPr>
          <w:rFonts w:ascii="Arial" w:hAnsi="Arial" w:cs="Arial"/>
          <w:lang w:val="es-CO"/>
        </w:rPr>
        <w:t>El acto administrativo que disponga la adjudicación tendrá los mismos efectos que el auto aprobatorio del remate y se inscribirá en la oficina respectiva cuando el bien esté sometido a esta solemnidad, considerándose para tal ef</w:t>
      </w:r>
      <w:r>
        <w:rPr>
          <w:rFonts w:ascii="Arial" w:hAnsi="Arial" w:cs="Arial"/>
          <w:lang w:val="es-CO"/>
        </w:rPr>
        <w:t>ecto como un acto sin cuantía.</w:t>
      </w:r>
    </w:p>
    <w:p w14:paraId="689B5637" w14:textId="77777777" w:rsidR="00B2442D" w:rsidRDefault="00B2442D">
      <w:pPr>
        <w:jc w:val="both"/>
        <w:rPr>
          <w:rFonts w:ascii="Arial" w:hAnsi="Arial" w:cs="Arial"/>
          <w:lang w:val="es-CO"/>
        </w:rPr>
      </w:pPr>
    </w:p>
    <w:p w14:paraId="2A476B2D" w14:textId="77777777" w:rsidR="00B2442D" w:rsidRDefault="008A645F">
      <w:pPr>
        <w:jc w:val="both"/>
        <w:rPr>
          <w:rFonts w:ascii="Arial" w:hAnsi="Arial" w:cs="Arial"/>
          <w:lang w:val="es-CO"/>
        </w:rPr>
      </w:pPr>
      <w:r>
        <w:rPr>
          <w:rFonts w:ascii="Arial" w:hAnsi="Arial" w:cs="Arial"/>
          <w:lang w:val="es-CO"/>
        </w:rPr>
        <w:t xml:space="preserve">El acto administrativo de adjudicación se notificará al deudor de conformidad con el inciso primero del artículo 565 del Estatuto Tributario y contra este procederá el recurso de apelación ante el inmediato </w:t>
      </w:r>
      <w:r>
        <w:rPr>
          <w:rFonts w:ascii="Arial" w:hAnsi="Arial" w:cs="Arial"/>
          <w:lang w:val="es-CO"/>
        </w:rPr>
        <w:t>superior, en los términos del artículo 74 del Código de Procedimiento Administrativo y de lo Contencioso Administrativo. Copia del acto se comunicará a las autoridades que solicitaron embargo de remanentes en el proceso administrativo de cobro.</w:t>
      </w:r>
    </w:p>
    <w:p w14:paraId="10E7661B" w14:textId="77777777" w:rsidR="00B2442D" w:rsidRDefault="00B2442D">
      <w:pPr>
        <w:jc w:val="both"/>
        <w:rPr>
          <w:rFonts w:ascii="Arial" w:hAnsi="Arial" w:cs="Arial"/>
          <w:lang w:val="es-CO"/>
        </w:rPr>
      </w:pPr>
    </w:p>
    <w:p w14:paraId="1844DB9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 adjudicación de bienes regulada en el presente capítulo deberá efectuarse, en todo caso, dentro del término de prescripción de la acción de cobro, de conformidad con lo dispuesto en los artículos 817 y 818 del Estatuto Tributario.</w:t>
      </w:r>
    </w:p>
    <w:p w14:paraId="24A9427E" w14:textId="77777777" w:rsidR="00B2442D" w:rsidRDefault="00B2442D">
      <w:pPr>
        <w:jc w:val="both"/>
        <w:rPr>
          <w:rFonts w:ascii="Arial" w:hAnsi="Arial" w:cs="Arial"/>
          <w:lang w:val="es-CO"/>
        </w:rPr>
      </w:pPr>
    </w:p>
    <w:p w14:paraId="0C68A14F" w14:textId="77777777" w:rsidR="00B2442D" w:rsidRDefault="008A645F">
      <w:pPr>
        <w:jc w:val="both"/>
        <w:rPr>
          <w:rFonts w:ascii="Arial" w:hAnsi="Arial" w:cs="Arial"/>
          <w:i/>
          <w:lang w:val="es-CO"/>
        </w:rPr>
      </w:pPr>
      <w:r>
        <w:rPr>
          <w:rFonts w:ascii="Arial" w:hAnsi="Arial" w:cs="Arial"/>
          <w:i/>
          <w:lang w:val="es-CO"/>
        </w:rPr>
        <w:t>(Art. 7, Decreto 881</w:t>
      </w:r>
      <w:r>
        <w:rPr>
          <w:rFonts w:ascii="Arial" w:hAnsi="Arial" w:cs="Arial"/>
          <w:i/>
          <w:lang w:val="es-CO"/>
        </w:rPr>
        <w:t xml:space="preserve"> de 2007)</w:t>
      </w:r>
    </w:p>
    <w:p w14:paraId="25011CC2" w14:textId="77777777" w:rsidR="00B2442D" w:rsidRDefault="00B2442D">
      <w:pPr>
        <w:jc w:val="both"/>
        <w:rPr>
          <w:rFonts w:ascii="Arial" w:hAnsi="Arial" w:cs="Arial"/>
          <w:lang w:val="es-CO"/>
        </w:rPr>
      </w:pPr>
    </w:p>
    <w:p w14:paraId="36B8F5C6"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Monto por el cual se reciben los bienes adjudicados a favor de la Nación y aplicación a las obligaciones del proceso.</w:t>
      </w:r>
      <w:r>
        <w:rPr>
          <w:rFonts w:ascii="Arial" w:hAnsi="Arial" w:cs="Arial"/>
          <w:lang w:val="es-CO"/>
        </w:rPr>
        <w:t xml:space="preserve"> La adjudicación de bienes a favor de la Nación se realizará por la diferencia entre el avalúo en firme que obre en el proceso y</w:t>
      </w:r>
      <w:r>
        <w:rPr>
          <w:rFonts w:ascii="Arial" w:hAnsi="Arial" w:cs="Arial"/>
          <w:lang w:val="es-CO"/>
        </w:rPr>
        <w:t xml:space="preserve"> el valor de los gravámenes que pesen sobre el bien, tales como cuotas de administración, servicios públicos e impuestos, a la fecha de expedición del acto de adjudicación. </w:t>
      </w:r>
    </w:p>
    <w:p w14:paraId="70B988B7" w14:textId="77777777" w:rsidR="00B2442D" w:rsidRDefault="00B2442D">
      <w:pPr>
        <w:jc w:val="both"/>
        <w:rPr>
          <w:rFonts w:ascii="Arial" w:hAnsi="Arial" w:cs="Arial"/>
          <w:lang w:val="es-CO"/>
        </w:rPr>
      </w:pPr>
    </w:p>
    <w:p w14:paraId="18BEC1E1" w14:textId="77777777" w:rsidR="00B2442D" w:rsidRDefault="008A645F">
      <w:pPr>
        <w:jc w:val="both"/>
        <w:rPr>
          <w:rFonts w:ascii="Arial" w:hAnsi="Arial" w:cs="Arial"/>
          <w:lang w:val="es-CO"/>
        </w:rPr>
      </w:pPr>
      <w:r>
        <w:rPr>
          <w:rFonts w:ascii="Arial" w:hAnsi="Arial" w:cs="Arial"/>
          <w:lang w:val="es-CO"/>
        </w:rPr>
        <w:t>El valor de la adjudicación del bien se dirigirá a cubrir las siguientes obligaci</w:t>
      </w:r>
      <w:r>
        <w:rPr>
          <w:rFonts w:ascii="Arial" w:hAnsi="Arial" w:cs="Arial"/>
          <w:lang w:val="es-CO"/>
        </w:rPr>
        <w:t>ones:</w:t>
      </w:r>
    </w:p>
    <w:p w14:paraId="69208FB4" w14:textId="77777777" w:rsidR="00B2442D" w:rsidRDefault="00B2442D">
      <w:pPr>
        <w:jc w:val="both"/>
        <w:rPr>
          <w:rFonts w:ascii="Arial" w:hAnsi="Arial" w:cs="Arial"/>
          <w:lang w:val="es-CO"/>
        </w:rPr>
      </w:pPr>
    </w:p>
    <w:p w14:paraId="2135EAB9" w14:textId="77777777" w:rsidR="00B2442D" w:rsidRDefault="008A645F">
      <w:pPr>
        <w:ind w:left="284" w:hanging="284"/>
        <w:jc w:val="both"/>
        <w:rPr>
          <w:rFonts w:ascii="Arial" w:hAnsi="Arial" w:cs="Arial"/>
          <w:lang w:val="es-CO"/>
        </w:rPr>
      </w:pPr>
      <w:r>
        <w:rPr>
          <w:rFonts w:ascii="Arial" w:hAnsi="Arial" w:cs="Arial"/>
          <w:lang w:val="es-CO"/>
        </w:rPr>
        <w:t>a)</w:t>
      </w:r>
      <w:r>
        <w:rPr>
          <w:rFonts w:ascii="Arial" w:hAnsi="Arial" w:cs="Arial"/>
          <w:lang w:val="es-CO"/>
        </w:rPr>
        <w:tab/>
        <w:t>Costas y gastos del proceso administrativo de cobro;</w:t>
      </w:r>
    </w:p>
    <w:p w14:paraId="2C7A7820" w14:textId="77777777" w:rsidR="00B2442D" w:rsidRDefault="008A645F">
      <w:pPr>
        <w:ind w:left="284" w:hanging="284"/>
        <w:jc w:val="both"/>
        <w:rPr>
          <w:rFonts w:ascii="Arial" w:hAnsi="Arial" w:cs="Arial"/>
          <w:lang w:val="es-CO"/>
        </w:rPr>
      </w:pPr>
      <w:r>
        <w:rPr>
          <w:rFonts w:ascii="Arial" w:hAnsi="Arial" w:cs="Arial"/>
          <w:lang w:val="es-CO"/>
        </w:rPr>
        <w:t>b)</w:t>
      </w:r>
      <w:r>
        <w:rPr>
          <w:rFonts w:ascii="Arial" w:hAnsi="Arial" w:cs="Arial"/>
          <w:lang w:val="es-CO"/>
        </w:rPr>
        <w:tab/>
        <w:t>Obligaciones objeto del proceso.</w:t>
      </w:r>
    </w:p>
    <w:p w14:paraId="715F30F3" w14:textId="77777777" w:rsidR="00B2442D" w:rsidRDefault="00B2442D">
      <w:pPr>
        <w:jc w:val="both"/>
        <w:rPr>
          <w:rFonts w:ascii="Arial" w:hAnsi="Arial" w:cs="Arial"/>
          <w:lang w:val="es-CO"/>
        </w:rPr>
      </w:pPr>
    </w:p>
    <w:p w14:paraId="6BE5C57F" w14:textId="77777777" w:rsidR="00B2442D" w:rsidRDefault="008A645F">
      <w:pPr>
        <w:jc w:val="both"/>
        <w:rPr>
          <w:rFonts w:ascii="Arial" w:hAnsi="Arial" w:cs="Arial"/>
          <w:lang w:val="es-CO"/>
        </w:rPr>
      </w:pPr>
      <w:r>
        <w:rPr>
          <w:rFonts w:ascii="Arial" w:hAnsi="Arial" w:cs="Arial"/>
          <w:lang w:val="es-CO"/>
        </w:rPr>
        <w:t>En el mismo acto administrativo que decrete la adjudicación del bien a favor de la Nación se ordenará cancelar las obligaciones de acuerdo con la liquidació</w:t>
      </w:r>
      <w:r>
        <w:rPr>
          <w:rFonts w:ascii="Arial" w:hAnsi="Arial" w:cs="Arial"/>
          <w:lang w:val="es-CO"/>
        </w:rPr>
        <w:t>n que para tal efecto realice el área de cobranzas y suprimirlas de la cuenta corriente y de los registros contables de la Entidad, hasta concurrencia del valor efectivamente aplicado.</w:t>
      </w:r>
    </w:p>
    <w:p w14:paraId="68D696A4" w14:textId="77777777" w:rsidR="00B2442D" w:rsidRDefault="00B2442D">
      <w:pPr>
        <w:jc w:val="both"/>
        <w:rPr>
          <w:rFonts w:ascii="Arial" w:hAnsi="Arial" w:cs="Arial"/>
          <w:lang w:val="es-CO"/>
        </w:rPr>
      </w:pPr>
    </w:p>
    <w:p w14:paraId="0B5DF503" w14:textId="77777777" w:rsidR="00B2442D" w:rsidRDefault="008A645F">
      <w:pPr>
        <w:jc w:val="both"/>
        <w:rPr>
          <w:rFonts w:ascii="Arial" w:hAnsi="Arial" w:cs="Arial"/>
          <w:lang w:val="es-CO"/>
        </w:rPr>
      </w:pPr>
      <w:r>
        <w:rPr>
          <w:rFonts w:ascii="Arial" w:hAnsi="Arial" w:cs="Arial"/>
          <w:lang w:val="es-CO"/>
        </w:rPr>
        <w:t>La aplicación del valor correspondiente a la adjudicación se realizará</w:t>
      </w:r>
      <w:r>
        <w:rPr>
          <w:rFonts w:ascii="Arial" w:hAnsi="Arial" w:cs="Arial"/>
          <w:lang w:val="es-CO"/>
        </w:rPr>
        <w:t xml:space="preserve"> iniciando por las obligaciones próximas a prescribir.</w:t>
      </w:r>
    </w:p>
    <w:p w14:paraId="2E8D28FE" w14:textId="77777777" w:rsidR="00B2442D" w:rsidRDefault="00B2442D">
      <w:pPr>
        <w:jc w:val="both"/>
        <w:rPr>
          <w:rFonts w:ascii="Arial" w:hAnsi="Arial" w:cs="Arial"/>
          <w:lang w:val="es-CO"/>
        </w:rPr>
      </w:pPr>
    </w:p>
    <w:p w14:paraId="786A54E3" w14:textId="77777777" w:rsidR="00B2442D" w:rsidRDefault="008A645F">
      <w:pPr>
        <w:jc w:val="both"/>
        <w:rPr>
          <w:rFonts w:ascii="Arial" w:hAnsi="Arial" w:cs="Arial"/>
          <w:i/>
          <w:lang w:val="es-CO"/>
        </w:rPr>
      </w:pPr>
      <w:r>
        <w:rPr>
          <w:rFonts w:ascii="Arial" w:hAnsi="Arial" w:cs="Arial"/>
          <w:i/>
          <w:lang w:val="es-CO"/>
        </w:rPr>
        <w:t>(Art. 8, Decreto 881 de 2007. La expresión: “En ningún caso el monto por el cual se reciben los bienes adjudicados a favor de la Nación podrá ser superior al cuarenta por ciento (40%) del avalúo en fi</w:t>
      </w:r>
      <w:r>
        <w:rPr>
          <w:rFonts w:ascii="Arial" w:hAnsi="Arial" w:cs="Arial"/>
          <w:i/>
          <w:lang w:val="es-CO"/>
        </w:rPr>
        <w:t>rme”, tiene decaimiento por la evolución legislativa  (Art. 448 del Código General del Proceso, que estableció el monto mínimo de adjudicación de los bienes en el setenta (70%) por ciento))</w:t>
      </w:r>
    </w:p>
    <w:p w14:paraId="224786A5" w14:textId="77777777" w:rsidR="00B2442D" w:rsidRDefault="00B2442D">
      <w:pPr>
        <w:jc w:val="both"/>
        <w:rPr>
          <w:rFonts w:ascii="Arial" w:hAnsi="Arial" w:cs="Arial"/>
          <w:lang w:val="es-CO"/>
        </w:rPr>
      </w:pPr>
    </w:p>
    <w:p w14:paraId="2D053D49"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Fecha de pago de las obligaciones canceladas con bienes adjudicad</w:t>
      </w:r>
      <w:r>
        <w:rPr>
          <w:rFonts w:ascii="Arial" w:hAnsi="Arial" w:cs="Arial"/>
          <w:b/>
          <w:i/>
          <w:lang w:val="es-CO"/>
        </w:rPr>
        <w:t>os a favor de la Nación.</w:t>
      </w:r>
      <w:r>
        <w:rPr>
          <w:rFonts w:ascii="Arial" w:hAnsi="Arial" w:cs="Arial"/>
          <w:lang w:val="es-CO"/>
        </w:rPr>
        <w:t xml:space="preserve"> En los eventos en que la cancelación de las obligaciones administradas por la Unidad Administrativa Especial Dirección de Impuestos y Aduanas Nacionales– DIAN a cargo de un deudor se produzca por la adjudicación de bienes a favor d</w:t>
      </w:r>
      <w:r>
        <w:rPr>
          <w:rFonts w:ascii="Arial" w:hAnsi="Arial" w:cs="Arial"/>
          <w:lang w:val="es-CO"/>
        </w:rPr>
        <w:t>e la Nación, se tendrá como fecha de pago la fecha de expedición del acto administrativo que declare la adjudicación del bien, siempre y cuando opere la tradición.</w:t>
      </w:r>
    </w:p>
    <w:p w14:paraId="3D0CEF17" w14:textId="77777777" w:rsidR="00B2442D" w:rsidRDefault="00B2442D">
      <w:pPr>
        <w:jc w:val="both"/>
        <w:rPr>
          <w:rFonts w:ascii="Arial" w:hAnsi="Arial" w:cs="Arial"/>
          <w:lang w:val="es-CO"/>
        </w:rPr>
      </w:pPr>
    </w:p>
    <w:p w14:paraId="343D0977" w14:textId="77777777" w:rsidR="00B2442D" w:rsidRDefault="008A645F">
      <w:pPr>
        <w:jc w:val="both"/>
        <w:rPr>
          <w:rFonts w:ascii="Arial" w:hAnsi="Arial" w:cs="Arial"/>
          <w:i/>
          <w:lang w:val="es-CO"/>
        </w:rPr>
      </w:pPr>
      <w:r>
        <w:rPr>
          <w:rFonts w:ascii="Arial" w:hAnsi="Arial" w:cs="Arial"/>
          <w:i/>
          <w:lang w:val="es-CO"/>
        </w:rPr>
        <w:t>(Art. 9, Decreto 881 de 2007)</w:t>
      </w:r>
    </w:p>
    <w:p w14:paraId="24A0F858" w14:textId="77777777" w:rsidR="00B2442D" w:rsidRDefault="00B2442D">
      <w:pPr>
        <w:jc w:val="both"/>
        <w:rPr>
          <w:rFonts w:ascii="Arial" w:hAnsi="Arial" w:cs="Arial"/>
          <w:lang w:val="es-CO"/>
        </w:rPr>
      </w:pPr>
    </w:p>
    <w:p w14:paraId="4E6400D7"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 xml:space="preserve">Tratamiento de los remanentes. </w:t>
      </w:r>
      <w:r>
        <w:rPr>
          <w:rFonts w:ascii="Arial" w:hAnsi="Arial" w:cs="Arial"/>
          <w:lang w:val="es-CO"/>
        </w:rPr>
        <w:t>Si el valor de los bienes adj</w:t>
      </w:r>
      <w:r>
        <w:rPr>
          <w:rFonts w:ascii="Arial" w:hAnsi="Arial" w:cs="Arial"/>
          <w:lang w:val="es-CO"/>
        </w:rPr>
        <w:t>udicados a la Nación, fijado de acuerdo con el artículo 1.6.2.4.7 del presente Decreto, es superior a la deuda, la diferencia constituye un remanente a favor del deudor, cuyo valor deberá determinarse en el mismo acto administrativo de adjudicación.</w:t>
      </w:r>
    </w:p>
    <w:p w14:paraId="6D810CC6" w14:textId="77777777" w:rsidR="00B2442D" w:rsidRDefault="00B2442D">
      <w:pPr>
        <w:jc w:val="both"/>
        <w:rPr>
          <w:rFonts w:ascii="Arial" w:hAnsi="Arial" w:cs="Arial"/>
          <w:lang w:val="es-CO"/>
        </w:rPr>
      </w:pPr>
    </w:p>
    <w:p w14:paraId="0AD3EB83" w14:textId="77777777" w:rsidR="00B2442D" w:rsidRDefault="008A645F">
      <w:pPr>
        <w:jc w:val="both"/>
        <w:rPr>
          <w:rFonts w:ascii="Arial" w:hAnsi="Arial" w:cs="Arial"/>
          <w:lang w:val="es-CO"/>
        </w:rPr>
      </w:pPr>
      <w:r>
        <w:rPr>
          <w:rFonts w:ascii="Arial" w:hAnsi="Arial" w:cs="Arial"/>
          <w:lang w:val="es-CO"/>
        </w:rPr>
        <w:t>Para efectos de la devolución de los remanentes se constituirá un título de depósito judicial a favor del contribuyente, con cargo a los recursos del presupuesto de la Entidad.</w:t>
      </w:r>
    </w:p>
    <w:p w14:paraId="7EFEC37F" w14:textId="77777777" w:rsidR="00B2442D" w:rsidRDefault="00B2442D">
      <w:pPr>
        <w:jc w:val="both"/>
        <w:rPr>
          <w:rFonts w:ascii="Arial" w:hAnsi="Arial" w:cs="Arial"/>
          <w:lang w:val="es-CO"/>
        </w:rPr>
      </w:pPr>
    </w:p>
    <w:p w14:paraId="0E9EE736" w14:textId="77777777" w:rsidR="00B2442D" w:rsidRDefault="008A645F">
      <w:pPr>
        <w:jc w:val="both"/>
        <w:rPr>
          <w:rFonts w:ascii="Arial" w:hAnsi="Arial" w:cs="Arial"/>
          <w:lang w:val="es-CO"/>
        </w:rPr>
      </w:pPr>
      <w:r>
        <w:rPr>
          <w:rFonts w:ascii="Arial" w:hAnsi="Arial" w:cs="Arial"/>
          <w:lang w:val="es-CO"/>
        </w:rPr>
        <w:t>En el evento de existir embargo de remanentes, el título se constituirá a favo</w:t>
      </w:r>
      <w:r>
        <w:rPr>
          <w:rFonts w:ascii="Arial" w:hAnsi="Arial" w:cs="Arial"/>
          <w:lang w:val="es-CO"/>
        </w:rPr>
        <w:t>r de la autoridad solicitante respetando la prelación de créditos y de acuerdo con la liquidación aportada.</w:t>
      </w:r>
    </w:p>
    <w:p w14:paraId="0118B0B4" w14:textId="77777777" w:rsidR="00B2442D" w:rsidRDefault="00B2442D">
      <w:pPr>
        <w:jc w:val="both"/>
        <w:rPr>
          <w:rFonts w:ascii="Arial" w:hAnsi="Arial" w:cs="Arial"/>
          <w:b/>
          <w:lang w:val="es-CO"/>
        </w:rPr>
      </w:pPr>
    </w:p>
    <w:p w14:paraId="2B3F91B4" w14:textId="77777777" w:rsidR="00B2442D" w:rsidRDefault="008A645F">
      <w:pPr>
        <w:jc w:val="both"/>
        <w:rPr>
          <w:rFonts w:ascii="Arial" w:hAnsi="Arial" w:cs="Arial"/>
          <w:i/>
          <w:lang w:val="es-CO"/>
        </w:rPr>
      </w:pPr>
      <w:r>
        <w:rPr>
          <w:rFonts w:ascii="Arial" w:hAnsi="Arial" w:cs="Arial"/>
          <w:i/>
          <w:lang w:val="es-CO"/>
        </w:rPr>
        <w:t>(Art. 10, Decreto 881 de 2007)</w:t>
      </w:r>
    </w:p>
    <w:p w14:paraId="40C57597" w14:textId="77777777" w:rsidR="00B2442D" w:rsidRDefault="00B2442D">
      <w:pPr>
        <w:jc w:val="both"/>
        <w:rPr>
          <w:rFonts w:ascii="Arial" w:hAnsi="Arial" w:cs="Arial"/>
          <w:b/>
          <w:lang w:val="es-CO"/>
        </w:rPr>
      </w:pPr>
    </w:p>
    <w:p w14:paraId="723D06F8"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 xml:space="preserve"> Entrega y recepción de los bienes objeto de adjudicación a favor de la Nación.</w:t>
      </w:r>
      <w:r>
        <w:rPr>
          <w:rFonts w:ascii="Arial" w:hAnsi="Arial" w:cs="Arial"/>
          <w:lang w:val="es-CO"/>
        </w:rPr>
        <w:t xml:space="preserve"> En el mismo acto administrativo que</w:t>
      </w:r>
      <w:r>
        <w:rPr>
          <w:rFonts w:ascii="Arial" w:hAnsi="Arial" w:cs="Arial"/>
          <w:lang w:val="es-CO"/>
        </w:rPr>
        <w:t xml:space="preserve"> decrete la adjudicación de los bienes a favor de la Nación se ordenará al secuestre su entrega.</w:t>
      </w:r>
    </w:p>
    <w:p w14:paraId="2A4149D6" w14:textId="77777777" w:rsidR="00B2442D" w:rsidRDefault="00B2442D">
      <w:pPr>
        <w:jc w:val="both"/>
        <w:rPr>
          <w:rFonts w:ascii="Arial" w:hAnsi="Arial" w:cs="Arial"/>
          <w:lang w:val="es-CO"/>
        </w:rPr>
      </w:pPr>
    </w:p>
    <w:p w14:paraId="25BA6665" w14:textId="77777777" w:rsidR="00B2442D" w:rsidRDefault="008A645F">
      <w:pPr>
        <w:jc w:val="both"/>
        <w:rPr>
          <w:rFonts w:ascii="Arial" w:hAnsi="Arial" w:cs="Arial"/>
          <w:lang w:val="es-CO"/>
        </w:rPr>
      </w:pPr>
      <w:r>
        <w:rPr>
          <w:rFonts w:ascii="Arial" w:hAnsi="Arial" w:cs="Arial"/>
          <w:lang w:val="es-CO"/>
        </w:rPr>
        <w:t xml:space="preserve">El funcionario del área de cobranzas que haya adelantado el proceso, una vez ejecutoriado el acto administrativo que decretó la adjudicación del bien a favor </w:t>
      </w:r>
      <w:r>
        <w:rPr>
          <w:rFonts w:ascii="Arial" w:hAnsi="Arial" w:cs="Arial"/>
          <w:lang w:val="es-CO"/>
        </w:rPr>
        <w:t>de la Nación, Unidad Administrativa Especial Dirección de Impuestos y Aduanas Nacionales- DIAN, oficiará al secuestre solicitándole la entrega de los bienes a la Dirección de Gestión de Recursos y Administración Económica previa la elaboración de un acta e</w:t>
      </w:r>
      <w:r>
        <w:rPr>
          <w:rFonts w:ascii="Arial" w:hAnsi="Arial" w:cs="Arial"/>
          <w:lang w:val="es-CO"/>
        </w:rPr>
        <w:t>n la que se consignará el inventario de dichos bienes, identificándolos plenamente, la cual será suscrita por el secuestre, el funcionario de la Dirección de Gestión de Recursos y Administración Económica y el funcionario de cobranzas.</w:t>
      </w:r>
    </w:p>
    <w:p w14:paraId="7AF6E763" w14:textId="77777777" w:rsidR="00B2442D" w:rsidRDefault="00B2442D">
      <w:pPr>
        <w:jc w:val="both"/>
        <w:rPr>
          <w:rFonts w:ascii="Arial" w:hAnsi="Arial" w:cs="Arial"/>
          <w:lang w:val="es-CO"/>
        </w:rPr>
      </w:pPr>
    </w:p>
    <w:p w14:paraId="6D17B1BB" w14:textId="77777777" w:rsidR="00B2442D" w:rsidRDefault="008A645F">
      <w:pPr>
        <w:jc w:val="both"/>
        <w:rPr>
          <w:rFonts w:ascii="Arial" w:hAnsi="Arial" w:cs="Arial"/>
          <w:i/>
          <w:lang w:val="es-CO"/>
        </w:rPr>
      </w:pPr>
      <w:r>
        <w:rPr>
          <w:rFonts w:ascii="Arial" w:hAnsi="Arial" w:cs="Arial"/>
          <w:i/>
          <w:lang w:val="es-CO"/>
        </w:rPr>
        <w:t>(Art. 11, Decreto 8</w:t>
      </w:r>
      <w:r>
        <w:rPr>
          <w:rFonts w:ascii="Arial" w:hAnsi="Arial" w:cs="Arial"/>
          <w:i/>
          <w:lang w:val="es-CO"/>
        </w:rPr>
        <w:t>81 de 2007)</w:t>
      </w:r>
    </w:p>
    <w:p w14:paraId="410A3B02" w14:textId="77777777" w:rsidR="00B2442D" w:rsidRDefault="00B2442D">
      <w:pPr>
        <w:jc w:val="both"/>
        <w:rPr>
          <w:rFonts w:ascii="Arial" w:hAnsi="Arial" w:cs="Arial"/>
          <w:lang w:val="es-CO"/>
        </w:rPr>
      </w:pPr>
    </w:p>
    <w:p w14:paraId="4086A11B"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 xml:space="preserve"> Gastos de administración y disposición de los bienes adjudicados a favor de la Nación. </w:t>
      </w:r>
      <w:r>
        <w:rPr>
          <w:rFonts w:ascii="Arial" w:hAnsi="Arial" w:cs="Arial"/>
          <w:lang w:val="es-CO"/>
        </w:rPr>
        <w:t>Los gastos de administración y disposición de los bienes adjudicados a favor de la Nación de que trata el presente decreto, serán de cargo de la Nación, Un</w:t>
      </w:r>
      <w:r>
        <w:rPr>
          <w:rFonts w:ascii="Arial" w:hAnsi="Arial" w:cs="Arial"/>
          <w:lang w:val="es-CO"/>
        </w:rPr>
        <w:t>idad Administrativa Especial Dirección de Impuestos y Aduanas Nacionales- DIAN, para lo cual la Entidad deberá incluir dentro de su presupuesto anual una partida que permita atender estas erogaciones.</w:t>
      </w:r>
    </w:p>
    <w:p w14:paraId="07DF596F" w14:textId="77777777" w:rsidR="00B2442D" w:rsidRDefault="00B2442D">
      <w:pPr>
        <w:jc w:val="both"/>
        <w:rPr>
          <w:rFonts w:ascii="Arial" w:hAnsi="Arial" w:cs="Arial"/>
          <w:lang w:val="es-CO"/>
        </w:rPr>
      </w:pPr>
    </w:p>
    <w:p w14:paraId="1E76BBE3" w14:textId="77777777" w:rsidR="00B2442D" w:rsidRDefault="008A645F">
      <w:pPr>
        <w:jc w:val="both"/>
        <w:rPr>
          <w:rFonts w:ascii="Arial" w:hAnsi="Arial" w:cs="Arial"/>
          <w:i/>
          <w:lang w:val="es-CO"/>
        </w:rPr>
      </w:pPr>
      <w:r>
        <w:rPr>
          <w:rFonts w:ascii="Arial" w:hAnsi="Arial" w:cs="Arial"/>
          <w:i/>
          <w:lang w:val="es-CO"/>
        </w:rPr>
        <w:t>(Art. 12, Decreto 881 de 2007. Inciso segundo fue dero</w:t>
      </w:r>
      <w:r>
        <w:rPr>
          <w:rFonts w:ascii="Arial" w:hAnsi="Arial" w:cs="Arial"/>
          <w:i/>
          <w:lang w:val="es-CO"/>
        </w:rPr>
        <w:t>gado expresamente por el artículo 12 del Decreto 4815 de 2007)</w:t>
      </w:r>
    </w:p>
    <w:p w14:paraId="4C12AEA8" w14:textId="77777777" w:rsidR="00B2442D" w:rsidRDefault="00B2442D">
      <w:pPr>
        <w:jc w:val="both"/>
        <w:rPr>
          <w:rFonts w:ascii="Arial" w:hAnsi="Arial" w:cs="Arial"/>
          <w:b/>
          <w:lang w:val="es-CO"/>
        </w:rPr>
      </w:pPr>
    </w:p>
    <w:p w14:paraId="03C34FE8"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b/>
          <w:i/>
          <w:lang w:val="es-CO"/>
        </w:rPr>
        <w:t xml:space="preserve"> Trámite en caso de no procedencia de la adjudicación a favor de la Nación.</w:t>
      </w:r>
      <w:r>
        <w:rPr>
          <w:rFonts w:ascii="Arial" w:hAnsi="Arial" w:cs="Arial"/>
          <w:lang w:val="es-CO"/>
        </w:rPr>
        <w:t xml:space="preserve"> Cuando el concepto expedido por la Dirección de Gestión de Recursos y Administración Económica de la Unidad Administ</w:t>
      </w:r>
      <w:r>
        <w:rPr>
          <w:rFonts w:ascii="Arial" w:hAnsi="Arial" w:cs="Arial"/>
          <w:lang w:val="es-CO"/>
        </w:rPr>
        <w:t>rativa Especial Dirección de Impuestos y Aduanas Nacionales– DIAN en los términos de lo dispuesto en el artículo 1.6.2.4.13 del presente Decreto determine la inconveniencia de la adjudicación de bienes a favor de la Nación, esta no procederá y se continuar</w:t>
      </w:r>
      <w:r>
        <w:rPr>
          <w:rFonts w:ascii="Arial" w:hAnsi="Arial" w:cs="Arial"/>
          <w:lang w:val="es-CO"/>
        </w:rPr>
        <w:t>á con el proceso administrativo de cobro.</w:t>
      </w:r>
    </w:p>
    <w:p w14:paraId="76DD27D5" w14:textId="77777777" w:rsidR="00B2442D" w:rsidRDefault="00B2442D">
      <w:pPr>
        <w:jc w:val="both"/>
        <w:rPr>
          <w:rFonts w:ascii="Arial" w:hAnsi="Arial" w:cs="Arial"/>
          <w:lang w:val="es-CO"/>
        </w:rPr>
      </w:pPr>
    </w:p>
    <w:p w14:paraId="1D4E0B32" w14:textId="77777777" w:rsidR="00B2442D" w:rsidRDefault="008A645F">
      <w:pPr>
        <w:jc w:val="both"/>
        <w:rPr>
          <w:rFonts w:ascii="Arial" w:hAnsi="Arial" w:cs="Arial"/>
          <w:i/>
          <w:lang w:val="es-CO"/>
        </w:rPr>
      </w:pPr>
      <w:r>
        <w:rPr>
          <w:rFonts w:ascii="Arial" w:hAnsi="Arial" w:cs="Arial"/>
          <w:i/>
          <w:lang w:val="es-CO"/>
        </w:rPr>
        <w:t>(Art. 13, Decreto 881 de 2007)</w:t>
      </w:r>
    </w:p>
    <w:p w14:paraId="56103788" w14:textId="77777777" w:rsidR="00B2442D" w:rsidRDefault="00B2442D">
      <w:pPr>
        <w:jc w:val="both"/>
        <w:rPr>
          <w:rFonts w:ascii="Arial" w:hAnsi="Arial" w:cs="Arial"/>
          <w:i/>
          <w:lang w:val="es-CO"/>
        </w:rPr>
      </w:pPr>
    </w:p>
    <w:p w14:paraId="472F495A" w14:textId="77777777" w:rsidR="00B2442D" w:rsidRDefault="008A645F">
      <w:pPr>
        <w:pStyle w:val="Prrafodelista"/>
        <w:numPr>
          <w:ilvl w:val="0"/>
          <w:numId w:val="133"/>
        </w:numPr>
        <w:ind w:left="0" w:firstLine="0"/>
        <w:jc w:val="both"/>
        <w:rPr>
          <w:rFonts w:ascii="Arial" w:hAnsi="Arial" w:cs="Arial"/>
          <w:lang w:val="es-CO"/>
        </w:rPr>
      </w:pPr>
      <w:r>
        <w:rPr>
          <w:rFonts w:ascii="Arial" w:hAnsi="Arial" w:cs="Arial"/>
          <w:lang w:val="es-CO"/>
        </w:rPr>
        <w:t xml:space="preserve"> </w:t>
      </w:r>
      <w:r>
        <w:rPr>
          <w:rFonts w:ascii="Arial" w:hAnsi="Arial" w:cs="Arial"/>
          <w:b/>
          <w:i/>
          <w:lang w:val="es-CO"/>
        </w:rPr>
        <w:t>Concepto técnico sobre la viabilidad de la adjudicación.</w:t>
      </w:r>
      <w:r>
        <w:rPr>
          <w:rFonts w:ascii="Arial" w:hAnsi="Arial" w:cs="Arial"/>
          <w:lang w:val="es-CO"/>
        </w:rPr>
        <w:t xml:space="preserve"> Recibida la información del área de cobranzas, la Secretaría General (hoy Dirección de Gestión de Recursos y Administración Económica) de la Unidad Administrativa Especial Dirección de Impuestos y Aduanas Nacionales-DIAN, dentro de los quince (15) días há</w:t>
      </w:r>
      <w:r>
        <w:rPr>
          <w:rFonts w:ascii="Arial" w:hAnsi="Arial" w:cs="Arial"/>
          <w:lang w:val="es-CO"/>
        </w:rPr>
        <w:t>biles siguientes, deberá emitir concepto técnico dirigido al funcionario de cobranzas que adelanta el proceso, indicando si es viable o no la adjudicación del respectivo bien.</w:t>
      </w:r>
    </w:p>
    <w:p w14:paraId="7C1DDF94" w14:textId="77777777" w:rsidR="00B2442D" w:rsidRDefault="00B2442D">
      <w:pPr>
        <w:jc w:val="both"/>
        <w:rPr>
          <w:rFonts w:ascii="Arial" w:hAnsi="Arial" w:cs="Arial"/>
          <w:lang w:val="es-CO"/>
        </w:rPr>
      </w:pPr>
    </w:p>
    <w:p w14:paraId="21172176" w14:textId="77777777" w:rsidR="00B2442D" w:rsidRDefault="008A645F">
      <w:pPr>
        <w:pStyle w:val="Prrafodelista"/>
        <w:ind w:left="0"/>
        <w:jc w:val="both"/>
        <w:rPr>
          <w:rFonts w:ascii="Arial" w:hAnsi="Arial" w:cs="Arial"/>
          <w:lang w:val="es-CO"/>
        </w:rPr>
      </w:pPr>
      <w:r>
        <w:rPr>
          <w:rFonts w:ascii="Arial" w:hAnsi="Arial" w:cs="Arial"/>
          <w:lang w:val="es-CO"/>
        </w:rPr>
        <w:t>Para la expedición de dicho concepto, la Secretaría General hoy Dirección de Ge</w:t>
      </w:r>
      <w:r>
        <w:rPr>
          <w:rFonts w:ascii="Arial" w:hAnsi="Arial" w:cs="Arial"/>
          <w:lang w:val="es-CO"/>
        </w:rPr>
        <w:t>stión de Recursos y Administración Económica  de la Unidad Administrativa Especial Dirección de Impuestos y Aduanas Nacionales– DIAN deberá tener en cuenta, además de la información aportada por el área de cobranzas, las condiciones de comercialización, ve</w:t>
      </w:r>
      <w:r>
        <w:rPr>
          <w:rFonts w:ascii="Arial" w:hAnsi="Arial" w:cs="Arial"/>
          <w:lang w:val="es-CO"/>
        </w:rPr>
        <w:t>nalidad y uso, así como los valores proyectados por concepto de gastos de traslado, bodegaje, desmonte y mantenimiento, entre otros, que se pudiesen generar con posterioridad a la adjudicación.</w:t>
      </w:r>
    </w:p>
    <w:p w14:paraId="0F6B668A" w14:textId="77777777" w:rsidR="00B2442D" w:rsidRDefault="00B2442D">
      <w:pPr>
        <w:jc w:val="both"/>
        <w:rPr>
          <w:rFonts w:ascii="Arial" w:hAnsi="Arial" w:cs="Arial"/>
          <w:i/>
          <w:lang w:val="es-CO"/>
        </w:rPr>
      </w:pPr>
    </w:p>
    <w:p w14:paraId="2649783A" w14:textId="77777777" w:rsidR="00B2442D" w:rsidRDefault="008A645F">
      <w:pPr>
        <w:jc w:val="both"/>
        <w:rPr>
          <w:rFonts w:ascii="Arial" w:hAnsi="Arial" w:cs="Arial"/>
          <w:i/>
          <w:lang w:val="es-CO"/>
        </w:rPr>
      </w:pPr>
      <w:r>
        <w:rPr>
          <w:rFonts w:ascii="Arial" w:hAnsi="Arial" w:cs="Arial"/>
          <w:i/>
          <w:lang w:val="es-CO"/>
        </w:rPr>
        <w:t>(Art. 6, Decreto 881 de 2007)</w:t>
      </w:r>
    </w:p>
    <w:p w14:paraId="6B961678" w14:textId="77777777" w:rsidR="00B2442D" w:rsidRDefault="00B2442D">
      <w:pPr>
        <w:pStyle w:val="Prrafodelista"/>
        <w:ind w:left="0"/>
        <w:jc w:val="both"/>
        <w:rPr>
          <w:rFonts w:ascii="Arial" w:hAnsi="Arial" w:cs="Arial"/>
          <w:lang w:val="es-CO"/>
        </w:rPr>
      </w:pPr>
    </w:p>
    <w:p w14:paraId="77E8EBC8" w14:textId="77777777" w:rsidR="00B2442D" w:rsidRDefault="008A645F">
      <w:pPr>
        <w:pStyle w:val="Ttulo4"/>
        <w:rPr>
          <w:lang w:val="es-CO"/>
        </w:rPr>
      </w:pPr>
      <w:r>
        <w:rPr>
          <w:lang w:val="es-CO"/>
        </w:rPr>
        <w:t>CAPÍTULO 5</w:t>
      </w:r>
    </w:p>
    <w:p w14:paraId="3DAA50F7" w14:textId="77777777" w:rsidR="00B2442D" w:rsidRDefault="008A645F">
      <w:pPr>
        <w:pStyle w:val="Ttulo4"/>
        <w:rPr>
          <w:lang w:val="es-CO"/>
        </w:rPr>
      </w:pPr>
      <w:r>
        <w:rPr>
          <w:lang w:val="es-CO"/>
        </w:rPr>
        <w:t xml:space="preserve">Pago </w:t>
      </w:r>
      <w:r>
        <w:rPr>
          <w:lang w:val="es-CO"/>
        </w:rPr>
        <w:t>mediante documentos especiales</w:t>
      </w:r>
    </w:p>
    <w:p w14:paraId="49F0F091" w14:textId="77777777" w:rsidR="00B2442D" w:rsidRDefault="00B2442D">
      <w:pPr>
        <w:rPr>
          <w:rFonts w:ascii="Arial" w:hAnsi="Arial" w:cs="Arial"/>
          <w:lang w:val="es-CO"/>
        </w:rPr>
      </w:pPr>
    </w:p>
    <w:p w14:paraId="3B49C68A" w14:textId="77777777" w:rsidR="00B2442D" w:rsidRDefault="008A645F">
      <w:pPr>
        <w:pStyle w:val="Prrafodelista"/>
        <w:numPr>
          <w:ilvl w:val="0"/>
          <w:numId w:val="134"/>
        </w:numPr>
        <w:ind w:left="0" w:firstLine="0"/>
        <w:jc w:val="both"/>
        <w:rPr>
          <w:rFonts w:ascii="Arial" w:hAnsi="Arial" w:cs="Arial"/>
          <w:lang w:val="es-CO"/>
        </w:rPr>
      </w:pPr>
      <w:r>
        <w:rPr>
          <w:rFonts w:ascii="Arial" w:hAnsi="Arial" w:cs="Arial"/>
          <w:b/>
          <w:i/>
          <w:lang w:val="es-CO"/>
        </w:rPr>
        <w:t>Pago mediante documentos especiales</w:t>
      </w:r>
      <w:r>
        <w:rPr>
          <w:rFonts w:ascii="Arial" w:hAnsi="Arial" w:cs="Arial"/>
          <w:b/>
          <w:lang w:val="es-CO"/>
        </w:rPr>
        <w:t>.</w:t>
      </w:r>
      <w:r>
        <w:rPr>
          <w:rFonts w:ascii="Arial" w:hAnsi="Arial" w:cs="Arial"/>
          <w:lang w:val="es-CO"/>
        </w:rPr>
        <w:t xml:space="preserve"> El pago de los impuestos nacionales, con títulos de devolución de impuestos "TIDIS" podrá efectuarse en el Banco de la República, Bancolombia y el Banco Popular, sin perjuicio de lo previ</w:t>
      </w:r>
      <w:r>
        <w:rPr>
          <w:rFonts w:ascii="Arial" w:hAnsi="Arial" w:cs="Arial"/>
          <w:lang w:val="es-CO"/>
        </w:rPr>
        <w:t>sto en el artículo 1.6.1.13.2.49 del presente Decreto para el pago de impuestos con otros títulos.</w:t>
      </w:r>
    </w:p>
    <w:p w14:paraId="18526A23" w14:textId="77777777" w:rsidR="00B2442D" w:rsidRDefault="00B2442D">
      <w:pPr>
        <w:jc w:val="both"/>
        <w:rPr>
          <w:rFonts w:ascii="Arial" w:hAnsi="Arial" w:cs="Arial"/>
          <w:lang w:val="es-CO"/>
        </w:rPr>
      </w:pPr>
    </w:p>
    <w:p w14:paraId="2CBE7790" w14:textId="77777777" w:rsidR="00B2442D" w:rsidRDefault="008A645F">
      <w:pPr>
        <w:jc w:val="both"/>
        <w:rPr>
          <w:rFonts w:ascii="Arial" w:hAnsi="Arial" w:cs="Arial"/>
          <w:lang w:val="es-CO"/>
        </w:rPr>
      </w:pPr>
      <w:r>
        <w:rPr>
          <w:rFonts w:ascii="Arial" w:hAnsi="Arial" w:cs="Arial"/>
          <w:lang w:val="es-CO"/>
        </w:rPr>
        <w:t>Para el efecto, el contribuyente deberá diligenciar el recibo oficial de pago en bancos.</w:t>
      </w:r>
    </w:p>
    <w:p w14:paraId="21FDA7A8" w14:textId="77777777" w:rsidR="00B2442D" w:rsidRDefault="00B2442D">
      <w:pPr>
        <w:jc w:val="both"/>
        <w:rPr>
          <w:rFonts w:ascii="Arial" w:hAnsi="Arial" w:cs="Arial"/>
          <w:lang w:val="es-CO"/>
        </w:rPr>
      </w:pPr>
    </w:p>
    <w:p w14:paraId="1B15916E" w14:textId="77777777" w:rsidR="00B2442D" w:rsidRDefault="008A645F">
      <w:pPr>
        <w:jc w:val="both"/>
        <w:rPr>
          <w:rFonts w:ascii="Arial" w:hAnsi="Arial" w:cs="Arial"/>
          <w:lang w:val="es-CO"/>
        </w:rPr>
      </w:pPr>
      <w:r>
        <w:rPr>
          <w:rFonts w:ascii="Arial" w:hAnsi="Arial" w:cs="Arial"/>
          <w:lang w:val="es-CO"/>
        </w:rPr>
        <w:t xml:space="preserve">El formulario de la declaración tributaria podrá presentarse ante </w:t>
      </w:r>
      <w:r>
        <w:rPr>
          <w:rFonts w:ascii="Arial" w:hAnsi="Arial" w:cs="Arial"/>
          <w:lang w:val="es-CO"/>
        </w:rPr>
        <w:t>cualquiera de las entidades autorizadas para recaudar.</w:t>
      </w:r>
    </w:p>
    <w:p w14:paraId="2578E1AF" w14:textId="77777777" w:rsidR="00B2442D" w:rsidRDefault="00B2442D">
      <w:pPr>
        <w:jc w:val="both"/>
        <w:rPr>
          <w:rFonts w:ascii="Arial" w:hAnsi="Arial" w:cs="Arial"/>
          <w:i/>
          <w:lang w:val="es-CO"/>
        </w:rPr>
      </w:pPr>
    </w:p>
    <w:p w14:paraId="2976BD4F" w14:textId="77777777" w:rsidR="00B2442D" w:rsidRDefault="008A645F">
      <w:pPr>
        <w:jc w:val="both"/>
        <w:rPr>
          <w:rFonts w:ascii="Arial" w:hAnsi="Arial" w:cs="Arial"/>
          <w:i/>
          <w:lang w:val="es-CO"/>
        </w:rPr>
      </w:pPr>
      <w:r>
        <w:rPr>
          <w:rFonts w:ascii="Arial" w:hAnsi="Arial" w:cs="Arial"/>
          <w:i/>
          <w:lang w:val="es-CO"/>
        </w:rPr>
        <w:t>(Art. 1, Decreto 2289 de 1996, las referencias a los bancos: Banco del Estado y Bancafé, tienen decaimiento, por su liquidación. El art. 29 del Decreto 2321 de 1995fue derogado tácitamente por el art.</w:t>
      </w:r>
      <w:r>
        <w:rPr>
          <w:rFonts w:ascii="Arial" w:hAnsi="Arial" w:cs="Arial"/>
          <w:i/>
          <w:lang w:val="es-CO"/>
        </w:rPr>
        <w:t xml:space="preserve"> 2 del Decreto 1208 de 1996. El Decreto 2243 de 2015, artículo 49, reguló el pago mediante documentos especiales)</w:t>
      </w:r>
    </w:p>
    <w:p w14:paraId="4B494528" w14:textId="77777777" w:rsidR="00B2442D" w:rsidRDefault="00B2442D">
      <w:pPr>
        <w:jc w:val="both"/>
        <w:rPr>
          <w:rFonts w:ascii="Arial" w:hAnsi="Arial" w:cs="Arial"/>
          <w:lang w:val="es-CO"/>
        </w:rPr>
      </w:pPr>
    </w:p>
    <w:p w14:paraId="54EEF7FB" w14:textId="77777777" w:rsidR="00B2442D" w:rsidRDefault="008A645F">
      <w:pPr>
        <w:pStyle w:val="Prrafodelista"/>
        <w:numPr>
          <w:ilvl w:val="0"/>
          <w:numId w:val="134"/>
        </w:numPr>
        <w:ind w:left="0" w:firstLine="0"/>
        <w:jc w:val="both"/>
        <w:rPr>
          <w:rFonts w:ascii="Arial" w:hAnsi="Arial" w:cs="Arial"/>
        </w:rPr>
      </w:pPr>
      <w:r>
        <w:rPr>
          <w:rFonts w:ascii="Arial" w:hAnsi="Arial" w:cs="Arial"/>
          <w:b/>
          <w:i/>
        </w:rPr>
        <w:t>Devolución de impuestos mediante TIDIS.</w:t>
      </w:r>
      <w:r>
        <w:rPr>
          <w:rFonts w:ascii="Arial" w:hAnsi="Arial" w:cs="Arial"/>
        </w:rPr>
        <w:t xml:space="preserve"> El Ministerio de Hacienda y Crédito Público podrá determinar que la totalidad o parte de la emisión d</w:t>
      </w:r>
      <w:r>
        <w:rPr>
          <w:rFonts w:ascii="Arial" w:hAnsi="Arial" w:cs="Arial"/>
        </w:rPr>
        <w:t>e los Títulos de Devolución de Impuestos, TIDIS, a que se refiere el artículo 862 del Estatuto Tributario, se efectúe mediante el depósito en un Depósito Centralizado de Valores legalmente autorizado por la Superintendencia Financiera de Colombia, evento e</w:t>
      </w:r>
      <w:r>
        <w:rPr>
          <w:rFonts w:ascii="Arial" w:hAnsi="Arial" w:cs="Arial"/>
        </w:rPr>
        <w:t>n el cual estos títulos circularán en forma desmaterializada y se mantendrán bajo el mecanismo de anotación en cuenta por dicho depósito.</w:t>
      </w:r>
    </w:p>
    <w:p w14:paraId="6EAC39F6" w14:textId="77777777" w:rsidR="00B2442D" w:rsidRDefault="00B2442D">
      <w:pPr>
        <w:jc w:val="both"/>
        <w:rPr>
          <w:rFonts w:ascii="Arial" w:hAnsi="Arial" w:cs="Arial"/>
          <w:i/>
        </w:rPr>
      </w:pPr>
    </w:p>
    <w:p w14:paraId="60389424" w14:textId="77777777" w:rsidR="00B2442D" w:rsidRDefault="008A645F">
      <w:pPr>
        <w:jc w:val="both"/>
        <w:rPr>
          <w:rFonts w:ascii="Arial" w:hAnsi="Arial" w:cs="Arial"/>
          <w:i/>
        </w:rPr>
      </w:pPr>
      <w:r>
        <w:rPr>
          <w:rFonts w:ascii="Arial" w:hAnsi="Arial" w:cs="Arial"/>
          <w:i/>
        </w:rPr>
        <w:t>(Art. 1, Decreto 1571 de 1997)</w:t>
      </w:r>
    </w:p>
    <w:p w14:paraId="759819FE" w14:textId="77777777" w:rsidR="00B2442D" w:rsidRDefault="00B2442D">
      <w:pPr>
        <w:jc w:val="both"/>
        <w:rPr>
          <w:rFonts w:ascii="Arial" w:hAnsi="Arial" w:cs="Arial"/>
          <w:i/>
        </w:rPr>
      </w:pPr>
    </w:p>
    <w:p w14:paraId="672A1B35" w14:textId="77777777" w:rsidR="00B2442D" w:rsidRDefault="008A645F">
      <w:pPr>
        <w:pStyle w:val="Prrafodelista"/>
        <w:numPr>
          <w:ilvl w:val="0"/>
          <w:numId w:val="134"/>
        </w:numPr>
        <w:ind w:left="0" w:firstLine="0"/>
        <w:jc w:val="both"/>
        <w:rPr>
          <w:rFonts w:ascii="Arial" w:hAnsi="Arial" w:cs="Arial"/>
        </w:rPr>
      </w:pPr>
      <w:r>
        <w:rPr>
          <w:rFonts w:ascii="Arial" w:hAnsi="Arial" w:cs="Arial"/>
          <w:b/>
          <w:i/>
        </w:rPr>
        <w:t>Contenido del acta de emisión de TIDIS.</w:t>
      </w:r>
      <w:r>
        <w:rPr>
          <w:rFonts w:ascii="Arial" w:hAnsi="Arial" w:cs="Arial"/>
        </w:rPr>
        <w:t xml:space="preserve"> Para efectos de lo establecido en el artículo</w:t>
      </w:r>
      <w:r>
        <w:rPr>
          <w:rFonts w:ascii="Arial" w:hAnsi="Arial" w:cs="Arial"/>
        </w:rPr>
        <w:t xml:space="preserve"> 22 de la Ley 27 de 1990 y su Decreto Reglamentario 437 de 1992 (hoy Libro 14, Títulos 1 al 3 del Decreto 2555 de 2010), el acta de emisión de TIDIS representará la totalidad o parte de la emisión.</w:t>
      </w:r>
    </w:p>
    <w:p w14:paraId="5562BCDC" w14:textId="77777777" w:rsidR="00B2442D" w:rsidRDefault="00B2442D">
      <w:pPr>
        <w:jc w:val="both"/>
        <w:rPr>
          <w:rFonts w:ascii="Arial" w:hAnsi="Arial" w:cs="Arial"/>
          <w:i/>
        </w:rPr>
      </w:pPr>
    </w:p>
    <w:p w14:paraId="47F42062" w14:textId="77777777" w:rsidR="00B2442D" w:rsidRDefault="008A645F">
      <w:pPr>
        <w:jc w:val="both"/>
        <w:rPr>
          <w:rFonts w:ascii="Arial" w:hAnsi="Arial" w:cs="Arial"/>
          <w:i/>
        </w:rPr>
      </w:pPr>
      <w:r>
        <w:rPr>
          <w:rFonts w:ascii="Arial" w:hAnsi="Arial" w:cs="Arial"/>
          <w:i/>
        </w:rPr>
        <w:t>(Art. 2, Decreto 1571 de 1997)</w:t>
      </w:r>
    </w:p>
    <w:p w14:paraId="7B8B2EFB" w14:textId="77777777" w:rsidR="00B2442D" w:rsidRDefault="00B2442D">
      <w:pPr>
        <w:jc w:val="both"/>
        <w:rPr>
          <w:rFonts w:ascii="Arial" w:hAnsi="Arial" w:cs="Arial"/>
          <w:lang w:val="es-CO"/>
        </w:rPr>
      </w:pPr>
    </w:p>
    <w:p w14:paraId="25965C28" w14:textId="77777777" w:rsidR="00B2442D" w:rsidRDefault="008A645F">
      <w:pPr>
        <w:pStyle w:val="Prrafodelista"/>
        <w:numPr>
          <w:ilvl w:val="0"/>
          <w:numId w:val="134"/>
        </w:numPr>
        <w:ind w:left="0" w:firstLine="0"/>
        <w:jc w:val="both"/>
        <w:rPr>
          <w:rFonts w:ascii="Arial" w:hAnsi="Arial" w:cs="Arial"/>
          <w:lang w:val="es-CO"/>
        </w:rPr>
      </w:pPr>
      <w:r>
        <w:rPr>
          <w:rFonts w:ascii="Arial" w:hAnsi="Arial" w:cs="Arial"/>
          <w:b/>
          <w:i/>
          <w:lang w:val="es-CO"/>
        </w:rPr>
        <w:t>Intereses de plazo de las</w:t>
      </w:r>
      <w:r>
        <w:rPr>
          <w:rFonts w:ascii="Arial" w:hAnsi="Arial" w:cs="Arial"/>
          <w:b/>
          <w:i/>
          <w:lang w:val="es-CO"/>
        </w:rPr>
        <w:t xml:space="preserve"> obligaciones fiscales.</w:t>
      </w:r>
      <w:r>
        <w:rPr>
          <w:rFonts w:ascii="Arial" w:hAnsi="Arial" w:cs="Arial"/>
          <w:lang w:val="es-CO"/>
        </w:rPr>
        <w:t xml:space="preserve"> Los intereses de plazo se liquidarán a la tasa más alta pactada para las obligaciones reestructuradas con las entidades financieras. En ningún caso la tasa de interés efectiva de las obligaciones fiscales podrá ser inferior al Índic</w:t>
      </w:r>
      <w:r>
        <w:rPr>
          <w:rFonts w:ascii="Arial" w:hAnsi="Arial" w:cs="Arial"/>
          <w:lang w:val="es-CO"/>
        </w:rPr>
        <w:t>e de Precios al Consumidor, IPC, correspondiente a los doce (12) meses inmediatamente anteriores a la fecha de expedición de la resolución que concede la facilidad para el pago, certificado por el DANE, incrementado en el cincuenta por ciento (50%).</w:t>
      </w:r>
    </w:p>
    <w:p w14:paraId="145A1F82" w14:textId="77777777" w:rsidR="00B2442D" w:rsidRDefault="00B2442D">
      <w:pPr>
        <w:jc w:val="both"/>
        <w:rPr>
          <w:rFonts w:ascii="Arial" w:hAnsi="Arial" w:cs="Arial"/>
          <w:lang w:val="es-CO"/>
        </w:rPr>
      </w:pPr>
    </w:p>
    <w:p w14:paraId="607781CF" w14:textId="77777777" w:rsidR="00B2442D" w:rsidRDefault="008A645F">
      <w:pPr>
        <w:jc w:val="both"/>
        <w:rPr>
          <w:rFonts w:ascii="Arial" w:hAnsi="Arial" w:cs="Arial"/>
          <w:i/>
          <w:lang w:val="es-CO"/>
        </w:rPr>
      </w:pPr>
      <w:r>
        <w:rPr>
          <w:rFonts w:ascii="Arial" w:hAnsi="Arial" w:cs="Arial"/>
          <w:i/>
          <w:lang w:val="es-CO"/>
        </w:rPr>
        <w:t>(Art.</w:t>
      </w:r>
      <w:r>
        <w:rPr>
          <w:rFonts w:ascii="Arial" w:hAnsi="Arial" w:cs="Arial"/>
          <w:i/>
          <w:lang w:val="es-CO"/>
        </w:rPr>
        <w:t xml:space="preserve"> 5, Decreto 1444 de 2001)</w:t>
      </w:r>
    </w:p>
    <w:p w14:paraId="63BBDC41" w14:textId="77777777" w:rsidR="00B2442D" w:rsidRDefault="008A645F">
      <w:pPr>
        <w:jc w:val="both"/>
        <w:rPr>
          <w:rFonts w:ascii="Arial" w:hAnsi="Arial" w:cs="Arial"/>
          <w:lang w:val="es-CO"/>
        </w:rPr>
      </w:pPr>
      <w:r>
        <w:rPr>
          <w:rFonts w:ascii="Arial" w:hAnsi="Arial" w:cs="Arial"/>
          <w:lang w:val="es-CO"/>
        </w:rPr>
        <w:t xml:space="preserve"> </w:t>
      </w:r>
    </w:p>
    <w:p w14:paraId="38FDA5B2" w14:textId="77777777" w:rsidR="00B2442D" w:rsidRDefault="008A645F">
      <w:pPr>
        <w:pStyle w:val="Ttulo4"/>
        <w:rPr>
          <w:lang w:val="es-CO"/>
        </w:rPr>
      </w:pPr>
      <w:r>
        <w:rPr>
          <w:lang w:val="es-CO"/>
        </w:rPr>
        <w:t>CAPÍTULO 6</w:t>
      </w:r>
    </w:p>
    <w:p w14:paraId="75CA6FB5" w14:textId="77777777" w:rsidR="00B2442D" w:rsidRDefault="008A645F">
      <w:pPr>
        <w:pStyle w:val="Ttulo4"/>
        <w:rPr>
          <w:lang w:val="es-CO"/>
        </w:rPr>
      </w:pPr>
      <w:r>
        <w:rPr>
          <w:lang w:val="es-CO"/>
        </w:rPr>
        <w:t>Facilidades para el pago de obligaciones fiscales</w:t>
      </w:r>
    </w:p>
    <w:p w14:paraId="722C6EFB" w14:textId="77777777" w:rsidR="00B2442D" w:rsidRDefault="00B2442D">
      <w:pPr>
        <w:rPr>
          <w:rFonts w:ascii="Arial" w:hAnsi="Arial" w:cs="Arial"/>
          <w:lang w:val="es-CO"/>
        </w:rPr>
      </w:pPr>
    </w:p>
    <w:p w14:paraId="2DAA99AE" w14:textId="77777777" w:rsidR="00B2442D" w:rsidRDefault="008A645F">
      <w:pPr>
        <w:pStyle w:val="Prrafodelista"/>
        <w:numPr>
          <w:ilvl w:val="0"/>
          <w:numId w:val="136"/>
        </w:numPr>
        <w:ind w:left="0" w:firstLine="0"/>
        <w:jc w:val="both"/>
        <w:rPr>
          <w:rFonts w:ascii="Arial" w:hAnsi="Arial" w:cs="Arial"/>
          <w:lang w:val="es-CO"/>
        </w:rPr>
      </w:pPr>
      <w:r>
        <w:rPr>
          <w:rFonts w:ascii="Arial" w:hAnsi="Arial" w:cs="Arial"/>
          <w:b/>
          <w:i/>
          <w:lang w:val="es-CO"/>
        </w:rPr>
        <w:t>Facilidad para el pago con ocasión de la reestructuración de obligaciones.</w:t>
      </w:r>
      <w:r>
        <w:rPr>
          <w:rFonts w:ascii="Arial" w:hAnsi="Arial" w:cs="Arial"/>
          <w:lang w:val="es-CO"/>
        </w:rPr>
        <w:t xml:space="preserve"> Quien haya suscrito un acuerdo de reestructuración de su deuda con establecimientos financieros, podrá solicitar a la Unidad Administrativa Especial Dirección de Impuestos y Aduanas Nacionales– DIAN una facilidad para el pago de sus obligaciones fiscales </w:t>
      </w:r>
      <w:r>
        <w:rPr>
          <w:rFonts w:ascii="Arial" w:hAnsi="Arial" w:cs="Arial"/>
          <w:lang w:val="es-CO"/>
        </w:rPr>
        <w:t>en los términos del artículo 48 de la Ley 633 de 2000, siempre y cuando el monto de la deuda reestructurada con establecimientos financieros no sea inferior al cincuenta por ciento (50%) del total del pasivo del deudor. En caso de incumplimiento de esta fa</w:t>
      </w:r>
      <w:r>
        <w:rPr>
          <w:rFonts w:ascii="Arial" w:hAnsi="Arial" w:cs="Arial"/>
          <w:lang w:val="es-CO"/>
        </w:rPr>
        <w:t>cilidad se dará aplicación a lo dispuesto en el artículo 814-3 del Estatuto Tributario.</w:t>
      </w:r>
    </w:p>
    <w:p w14:paraId="04D683DA" w14:textId="77777777" w:rsidR="00B2442D" w:rsidRDefault="00B2442D">
      <w:pPr>
        <w:jc w:val="both"/>
        <w:rPr>
          <w:rFonts w:ascii="Arial" w:hAnsi="Arial" w:cs="Arial"/>
          <w:i/>
          <w:lang w:val="es-CO"/>
        </w:rPr>
      </w:pPr>
    </w:p>
    <w:p w14:paraId="348CFB4B" w14:textId="77777777" w:rsidR="00B2442D" w:rsidRDefault="008A645F">
      <w:pPr>
        <w:jc w:val="both"/>
        <w:rPr>
          <w:rFonts w:ascii="Arial" w:hAnsi="Arial" w:cs="Arial"/>
          <w:i/>
          <w:lang w:val="es-CO"/>
        </w:rPr>
      </w:pPr>
      <w:r>
        <w:rPr>
          <w:rFonts w:ascii="Arial" w:hAnsi="Arial" w:cs="Arial"/>
          <w:i/>
          <w:lang w:val="es-CO"/>
        </w:rPr>
        <w:t>(Art. 1, Decreto 1444 de 2001)</w:t>
      </w:r>
    </w:p>
    <w:p w14:paraId="1F912F76" w14:textId="77777777" w:rsidR="00B2442D" w:rsidRDefault="00B2442D">
      <w:pPr>
        <w:jc w:val="both"/>
        <w:rPr>
          <w:rFonts w:ascii="Arial" w:hAnsi="Arial" w:cs="Arial"/>
          <w:b/>
          <w:lang w:val="es-CO"/>
        </w:rPr>
      </w:pPr>
    </w:p>
    <w:p w14:paraId="1FD672B9" w14:textId="77777777" w:rsidR="00B2442D" w:rsidRDefault="008A645F">
      <w:pPr>
        <w:pStyle w:val="Prrafodelista"/>
        <w:numPr>
          <w:ilvl w:val="0"/>
          <w:numId w:val="136"/>
        </w:numPr>
        <w:ind w:left="0" w:firstLine="0"/>
        <w:jc w:val="both"/>
        <w:rPr>
          <w:rFonts w:ascii="Arial" w:hAnsi="Arial" w:cs="Arial"/>
          <w:lang w:val="es-CO"/>
        </w:rPr>
      </w:pPr>
      <w:r>
        <w:rPr>
          <w:rFonts w:ascii="Arial" w:hAnsi="Arial" w:cs="Arial"/>
          <w:b/>
          <w:i/>
          <w:lang w:val="es-CO"/>
        </w:rPr>
        <w:t>Determinación de la cuantía de las obligaciones fiscales en mora.</w:t>
      </w:r>
      <w:r>
        <w:rPr>
          <w:rFonts w:ascii="Arial" w:hAnsi="Arial" w:cs="Arial"/>
          <w:lang w:val="es-CO"/>
        </w:rPr>
        <w:t xml:space="preserve"> Para establecer el monto de las obligaciones fiscales exigibles y pen</w:t>
      </w:r>
      <w:r>
        <w:rPr>
          <w:rFonts w:ascii="Arial" w:hAnsi="Arial" w:cs="Arial"/>
          <w:lang w:val="es-CO"/>
        </w:rPr>
        <w:t>dientes de pago al momento de la expedición de la resolución que concede la facilidad para el pago, se deberán tener en cuenta los siguientes conceptos:</w:t>
      </w:r>
    </w:p>
    <w:p w14:paraId="00FBE72C" w14:textId="77777777" w:rsidR="00B2442D" w:rsidRDefault="00B2442D">
      <w:pPr>
        <w:jc w:val="both"/>
        <w:rPr>
          <w:rFonts w:ascii="Arial" w:hAnsi="Arial" w:cs="Arial"/>
          <w:lang w:val="es-CO"/>
        </w:rPr>
      </w:pPr>
    </w:p>
    <w:p w14:paraId="5AE02CCB" w14:textId="77777777" w:rsidR="00B2442D" w:rsidRDefault="008A645F">
      <w:pPr>
        <w:pStyle w:val="Prrafodelista"/>
        <w:numPr>
          <w:ilvl w:val="0"/>
          <w:numId w:val="3"/>
        </w:numPr>
        <w:ind w:left="284" w:hanging="284"/>
        <w:jc w:val="both"/>
        <w:rPr>
          <w:rFonts w:ascii="Arial" w:hAnsi="Arial" w:cs="Arial"/>
          <w:lang w:val="es-CO"/>
        </w:rPr>
      </w:pPr>
      <w:r>
        <w:rPr>
          <w:rFonts w:ascii="Arial" w:hAnsi="Arial" w:cs="Arial"/>
          <w:lang w:val="es-CO"/>
        </w:rPr>
        <w:t>La totalidad de los impuestos, anticipos, retenciones y sanciones adeudados;</w:t>
      </w:r>
    </w:p>
    <w:p w14:paraId="65234F39" w14:textId="77777777" w:rsidR="00B2442D" w:rsidRDefault="00B2442D">
      <w:pPr>
        <w:ind w:left="284" w:hanging="284"/>
        <w:jc w:val="both"/>
        <w:rPr>
          <w:rFonts w:ascii="Arial" w:hAnsi="Arial" w:cs="Arial"/>
          <w:lang w:val="es-CO"/>
        </w:rPr>
      </w:pPr>
    </w:p>
    <w:p w14:paraId="16A31D18" w14:textId="77777777" w:rsidR="00B2442D" w:rsidRDefault="008A645F">
      <w:pPr>
        <w:pStyle w:val="Prrafodelista"/>
        <w:numPr>
          <w:ilvl w:val="0"/>
          <w:numId w:val="3"/>
        </w:numPr>
        <w:ind w:left="284" w:hanging="284"/>
        <w:jc w:val="both"/>
        <w:rPr>
          <w:rFonts w:ascii="Arial" w:hAnsi="Arial" w:cs="Arial"/>
          <w:lang w:val="es-CO"/>
        </w:rPr>
      </w:pPr>
      <w:r>
        <w:rPr>
          <w:rFonts w:ascii="Arial" w:hAnsi="Arial" w:cs="Arial"/>
          <w:lang w:val="es-CO"/>
        </w:rPr>
        <w:t>Los intereses de mora ca</w:t>
      </w:r>
      <w:r>
        <w:rPr>
          <w:rFonts w:ascii="Arial" w:hAnsi="Arial" w:cs="Arial"/>
          <w:lang w:val="es-CO"/>
        </w:rPr>
        <w:t>usados, liquidados de conformidad con los artículos 635, 814 y 814-3 del Estatuto Tributario.</w:t>
      </w:r>
    </w:p>
    <w:p w14:paraId="0A9FDDF7" w14:textId="77777777" w:rsidR="00B2442D" w:rsidRDefault="00B2442D">
      <w:pPr>
        <w:pStyle w:val="Prrafodelista"/>
        <w:ind w:left="0"/>
        <w:jc w:val="both"/>
        <w:rPr>
          <w:rFonts w:ascii="Arial" w:hAnsi="Arial" w:cs="Arial"/>
          <w:lang w:val="es-CO"/>
        </w:rPr>
      </w:pPr>
    </w:p>
    <w:p w14:paraId="321301B5" w14:textId="77777777" w:rsidR="00B2442D" w:rsidRDefault="008A645F">
      <w:pPr>
        <w:jc w:val="both"/>
        <w:rPr>
          <w:rFonts w:ascii="Arial" w:hAnsi="Arial" w:cs="Arial"/>
          <w:i/>
          <w:lang w:val="es-CO"/>
        </w:rPr>
      </w:pPr>
      <w:r>
        <w:rPr>
          <w:rFonts w:ascii="Arial" w:hAnsi="Arial" w:cs="Arial"/>
          <w:i/>
          <w:lang w:val="es-CO"/>
        </w:rPr>
        <w:t>(Art. 2, Decreto 1444 de 2001)</w:t>
      </w:r>
    </w:p>
    <w:p w14:paraId="1E354057" w14:textId="77777777" w:rsidR="00B2442D" w:rsidRDefault="00B2442D">
      <w:pPr>
        <w:jc w:val="both"/>
        <w:rPr>
          <w:rFonts w:ascii="Arial" w:hAnsi="Arial" w:cs="Arial"/>
          <w:b/>
          <w:lang w:val="es-CO"/>
        </w:rPr>
      </w:pPr>
    </w:p>
    <w:p w14:paraId="7BF21D4C" w14:textId="77777777" w:rsidR="00B2442D" w:rsidRDefault="008A645F">
      <w:pPr>
        <w:pStyle w:val="Prrafodelista"/>
        <w:numPr>
          <w:ilvl w:val="0"/>
          <w:numId w:val="136"/>
        </w:numPr>
        <w:ind w:left="0" w:firstLine="0"/>
        <w:jc w:val="both"/>
        <w:rPr>
          <w:rFonts w:ascii="Arial" w:hAnsi="Arial" w:cs="Arial"/>
          <w:lang w:val="es-CO"/>
        </w:rPr>
      </w:pPr>
      <w:r>
        <w:rPr>
          <w:rFonts w:ascii="Arial" w:hAnsi="Arial" w:cs="Arial"/>
          <w:b/>
          <w:i/>
          <w:lang w:val="es-CO"/>
        </w:rPr>
        <w:t>Garantías.</w:t>
      </w:r>
      <w:r>
        <w:rPr>
          <w:rFonts w:ascii="Arial" w:hAnsi="Arial" w:cs="Arial"/>
          <w:lang w:val="es-CO"/>
        </w:rPr>
        <w:t xml:space="preserve"> En todo caso, las garantías que se otorguen en favor de la Unidad Administrativa Especial Dirección de Impuestos y Adu</w:t>
      </w:r>
      <w:r>
        <w:rPr>
          <w:rFonts w:ascii="Arial" w:hAnsi="Arial" w:cs="Arial"/>
          <w:lang w:val="es-CO"/>
        </w:rPr>
        <w:t>anas Nacionales- DIAN, deben respaldar la totalidad de la deuda a cargo del contribuyente.</w:t>
      </w:r>
    </w:p>
    <w:p w14:paraId="125AE8B2" w14:textId="77777777" w:rsidR="00B2442D" w:rsidRDefault="00B2442D">
      <w:pPr>
        <w:jc w:val="both"/>
        <w:rPr>
          <w:rFonts w:ascii="Arial" w:hAnsi="Arial" w:cs="Arial"/>
          <w:i/>
          <w:lang w:val="es-CO"/>
        </w:rPr>
      </w:pPr>
    </w:p>
    <w:p w14:paraId="449DA059" w14:textId="77777777" w:rsidR="00B2442D" w:rsidRDefault="008A645F">
      <w:pPr>
        <w:jc w:val="both"/>
        <w:rPr>
          <w:rFonts w:ascii="Arial" w:hAnsi="Arial" w:cs="Arial"/>
          <w:i/>
          <w:lang w:val="es-CO"/>
        </w:rPr>
      </w:pPr>
      <w:r>
        <w:rPr>
          <w:rFonts w:ascii="Arial" w:hAnsi="Arial" w:cs="Arial"/>
          <w:i/>
          <w:lang w:val="es-CO"/>
        </w:rPr>
        <w:t>(Art. 3, Decreto 1444 de 2001)</w:t>
      </w:r>
    </w:p>
    <w:p w14:paraId="6E1D4C33" w14:textId="77777777" w:rsidR="00B2442D" w:rsidRDefault="00B2442D">
      <w:pPr>
        <w:jc w:val="both"/>
        <w:rPr>
          <w:rFonts w:ascii="Arial" w:hAnsi="Arial" w:cs="Arial"/>
          <w:lang w:val="es-CO"/>
        </w:rPr>
      </w:pPr>
    </w:p>
    <w:p w14:paraId="75012082" w14:textId="77777777" w:rsidR="00B2442D" w:rsidRDefault="008A645F">
      <w:pPr>
        <w:pStyle w:val="Ttulo4"/>
        <w:rPr>
          <w:lang w:val="es-ES_tradnl"/>
        </w:rPr>
      </w:pPr>
      <w:r>
        <w:rPr>
          <w:lang w:val="es-ES_tradnl"/>
        </w:rPr>
        <w:t>CAPÍTULO 7</w:t>
      </w:r>
    </w:p>
    <w:p w14:paraId="47490F4A" w14:textId="77777777" w:rsidR="00B2442D" w:rsidRDefault="008A645F">
      <w:pPr>
        <w:pStyle w:val="Ttulo4"/>
        <w:rPr>
          <w:lang w:val="es-ES_tradnl"/>
        </w:rPr>
      </w:pPr>
      <w:r>
        <w:rPr>
          <w:lang w:val="es-ES_tradnl"/>
        </w:rPr>
        <w:t>Prescripción y Remisión de deudas tributarias</w:t>
      </w:r>
    </w:p>
    <w:p w14:paraId="58DC71A8" w14:textId="77777777" w:rsidR="00B2442D" w:rsidRDefault="00B2442D">
      <w:pPr>
        <w:rPr>
          <w:rFonts w:ascii="Arial" w:hAnsi="Arial" w:cs="Arial"/>
          <w:lang w:val="es-ES_tradnl"/>
        </w:rPr>
      </w:pPr>
    </w:p>
    <w:p w14:paraId="1C0129D4" w14:textId="77777777" w:rsidR="00B2442D" w:rsidRDefault="008A645F">
      <w:pPr>
        <w:pStyle w:val="Prrafodelista"/>
        <w:numPr>
          <w:ilvl w:val="0"/>
          <w:numId w:val="157"/>
        </w:numPr>
        <w:ind w:left="0" w:firstLine="0"/>
        <w:jc w:val="both"/>
        <w:rPr>
          <w:rFonts w:ascii="Arial" w:hAnsi="Arial" w:cs="Arial"/>
          <w:lang w:val="es-CO"/>
        </w:rPr>
      </w:pPr>
      <w:r>
        <w:rPr>
          <w:rFonts w:ascii="Arial" w:hAnsi="Arial" w:cs="Arial"/>
          <w:b/>
          <w:i/>
          <w:lang w:val="es-CO"/>
        </w:rPr>
        <w:t>Prescripción de la acción de cobro.</w:t>
      </w:r>
      <w:r>
        <w:rPr>
          <w:rFonts w:ascii="Arial" w:hAnsi="Arial" w:cs="Arial"/>
          <w:lang w:val="es-CO"/>
        </w:rPr>
        <w:t xml:space="preserve"> La competencia para expedir el acto administrativo que decreta la prescripción de la acción de cobro establecida en el artículo 817 del Estatuto Tributario, será de los Directores Seccionales de Impuestos y/o Aduanas Nacionales o de los servidores público</w:t>
      </w:r>
      <w:r>
        <w:rPr>
          <w:rFonts w:ascii="Arial" w:hAnsi="Arial" w:cs="Arial"/>
          <w:lang w:val="es-CO"/>
        </w:rPr>
        <w:t>s en quienes estos deleguen dicha facultad y se decretará de oficio tan pronto ocurra el hecho o, a solicitud de parte, dentro del término de respuesta al derecho de petición.</w:t>
      </w:r>
    </w:p>
    <w:p w14:paraId="73AE5DCA" w14:textId="77777777" w:rsidR="00B2442D" w:rsidRDefault="00B2442D">
      <w:pPr>
        <w:jc w:val="both"/>
        <w:rPr>
          <w:rFonts w:ascii="Arial" w:hAnsi="Arial" w:cs="Arial"/>
          <w:lang w:val="es-CO"/>
        </w:rPr>
      </w:pPr>
    </w:p>
    <w:p w14:paraId="0350FBEF" w14:textId="77777777" w:rsidR="00B2442D" w:rsidRDefault="008A645F">
      <w:pPr>
        <w:jc w:val="both"/>
        <w:rPr>
          <w:rFonts w:ascii="Arial" w:hAnsi="Arial" w:cs="Arial"/>
          <w:i/>
          <w:lang w:val="es-CO"/>
        </w:rPr>
      </w:pPr>
      <w:r>
        <w:rPr>
          <w:rFonts w:ascii="Arial" w:hAnsi="Arial" w:cs="Arial"/>
          <w:i/>
          <w:lang w:val="es-CO"/>
        </w:rPr>
        <w:t>(Art. 1, Decreto 2452 de 2015)</w:t>
      </w:r>
    </w:p>
    <w:p w14:paraId="54DDA284" w14:textId="77777777" w:rsidR="00B2442D" w:rsidRDefault="00B2442D">
      <w:pPr>
        <w:jc w:val="both"/>
        <w:rPr>
          <w:rFonts w:ascii="Arial" w:hAnsi="Arial" w:cs="Arial"/>
          <w:lang w:val="es-CO"/>
        </w:rPr>
      </w:pPr>
    </w:p>
    <w:p w14:paraId="55B07F9D" w14:textId="77777777" w:rsidR="00B2442D" w:rsidRDefault="008A645F">
      <w:pPr>
        <w:pStyle w:val="Prrafodelista"/>
        <w:numPr>
          <w:ilvl w:val="0"/>
          <w:numId w:val="157"/>
        </w:numPr>
        <w:ind w:left="0" w:firstLine="0"/>
        <w:jc w:val="both"/>
        <w:rPr>
          <w:rFonts w:ascii="Arial" w:hAnsi="Arial" w:cs="Arial"/>
          <w:lang w:val="es-CO"/>
        </w:rPr>
      </w:pPr>
      <w:r>
        <w:rPr>
          <w:rFonts w:ascii="Arial" w:hAnsi="Arial" w:cs="Arial"/>
          <w:b/>
          <w:i/>
          <w:lang w:val="es-CO"/>
        </w:rPr>
        <w:t>Remisión de las obligaciones tributarias, aduan</w:t>
      </w:r>
      <w:r>
        <w:rPr>
          <w:rFonts w:ascii="Arial" w:hAnsi="Arial" w:cs="Arial"/>
          <w:b/>
          <w:i/>
          <w:lang w:val="es-CO"/>
        </w:rPr>
        <w:t>eras y cambiarias de personas fallecidas.</w:t>
      </w:r>
      <w:r>
        <w:rPr>
          <w:rFonts w:ascii="Arial" w:hAnsi="Arial" w:cs="Arial"/>
          <w:lang w:val="es-CO"/>
        </w:rPr>
        <w:t xml:space="preserve"> De conformidad con el inciso 1o del artículo 820 del Estatuto Tributario, los Directores Seccionales de Impuestos y/o Aduanas Nacionales podrán suprimir de los registros y cuentas de los contribuyentes de su jurisd</w:t>
      </w:r>
      <w:r>
        <w:rPr>
          <w:rFonts w:ascii="Arial" w:hAnsi="Arial" w:cs="Arial"/>
          <w:lang w:val="es-CO"/>
        </w:rPr>
        <w:t>icción las deudas a cargo de personas que hubieren fallecido sin dejar bienes, para lo cual deberán adelantar previamente, las siguientes gestiones:</w:t>
      </w:r>
    </w:p>
    <w:p w14:paraId="6F1C9CD3" w14:textId="77777777" w:rsidR="00B2442D" w:rsidRDefault="00B2442D">
      <w:pPr>
        <w:jc w:val="both"/>
        <w:rPr>
          <w:rFonts w:ascii="Arial" w:hAnsi="Arial" w:cs="Arial"/>
          <w:lang w:val="es-CO"/>
        </w:rPr>
      </w:pPr>
    </w:p>
    <w:p w14:paraId="37B92EFB"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Obtener copia del registro de defunción del deudor.</w:t>
      </w:r>
    </w:p>
    <w:p w14:paraId="564C356A" w14:textId="77777777" w:rsidR="00B2442D" w:rsidRDefault="00B2442D">
      <w:pPr>
        <w:ind w:left="426" w:hanging="426"/>
        <w:jc w:val="both"/>
        <w:rPr>
          <w:rFonts w:ascii="Arial" w:hAnsi="Arial" w:cs="Arial"/>
          <w:lang w:val="es-CO"/>
        </w:rPr>
      </w:pPr>
    </w:p>
    <w:p w14:paraId="44AA025E"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 xml:space="preserve">Haber realizado por lo menos una investigación </w:t>
      </w:r>
      <w:r>
        <w:rPr>
          <w:rFonts w:ascii="Arial" w:hAnsi="Arial" w:cs="Arial"/>
          <w:lang w:val="es-CO"/>
        </w:rPr>
        <w:t>de bienes con resultado negativo, utilizando los convenios interadministrativos vigentes y en caso de no existir convenio, oficiar a las oficinas o entidades de registros públicos, de propiedad intelectual, de marcas, de registros mobiliarios, así como a e</w:t>
      </w:r>
      <w:r>
        <w:rPr>
          <w:rFonts w:ascii="Arial" w:hAnsi="Arial" w:cs="Arial"/>
          <w:lang w:val="es-CO"/>
        </w:rPr>
        <w:t>ntidades del sector financiero, para que informen sobre la existencia o no de bienes o derechos a favor del deudor.</w:t>
      </w:r>
    </w:p>
    <w:p w14:paraId="4929A857" w14:textId="77777777" w:rsidR="00B2442D" w:rsidRDefault="00B2442D">
      <w:pPr>
        <w:ind w:left="426" w:hanging="426"/>
        <w:jc w:val="both"/>
        <w:rPr>
          <w:rFonts w:ascii="Arial" w:hAnsi="Arial" w:cs="Arial"/>
          <w:lang w:val="es-CO"/>
        </w:rPr>
      </w:pPr>
    </w:p>
    <w:p w14:paraId="5E2BE36D"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Verificar la existencia y aplicación de Títulos de Depósito Judicial, compensaciones y demás registros que puedan modificar la obligació</w:t>
      </w:r>
      <w:r>
        <w:rPr>
          <w:rFonts w:ascii="Arial" w:hAnsi="Arial" w:cs="Arial"/>
          <w:lang w:val="es-CO"/>
        </w:rPr>
        <w:t>n, siempre y cuando la acción de cobro no se encuentre prescrita.</w:t>
      </w:r>
    </w:p>
    <w:p w14:paraId="54C0B3EC" w14:textId="77777777" w:rsidR="00B2442D" w:rsidRDefault="00B2442D">
      <w:pPr>
        <w:jc w:val="both"/>
        <w:rPr>
          <w:rFonts w:ascii="Arial" w:hAnsi="Arial" w:cs="Arial"/>
          <w:lang w:val="es-CO"/>
        </w:rPr>
      </w:pPr>
    </w:p>
    <w:p w14:paraId="7FC35114" w14:textId="77777777" w:rsidR="00B2442D" w:rsidRDefault="008A645F">
      <w:pPr>
        <w:jc w:val="both"/>
        <w:rPr>
          <w:rFonts w:ascii="Arial" w:hAnsi="Arial" w:cs="Arial"/>
          <w:lang w:val="es-CO"/>
        </w:rPr>
      </w:pPr>
      <w:r>
        <w:rPr>
          <w:rFonts w:ascii="Arial" w:hAnsi="Arial" w:cs="Arial"/>
          <w:lang w:val="es-CO"/>
        </w:rPr>
        <w:t xml:space="preserve">El acto administrativo que declare la remisibilidad de las obligaciones, deberá ordenar la terminación del proceso y el archivo del expediente, remitiendo las copias correspondientes a las </w:t>
      </w:r>
      <w:r>
        <w:rPr>
          <w:rFonts w:ascii="Arial" w:hAnsi="Arial" w:cs="Arial"/>
          <w:lang w:val="es-CO"/>
        </w:rPr>
        <w:t>áreas que deban conocer de tal decisión.</w:t>
      </w:r>
    </w:p>
    <w:p w14:paraId="030A5F22" w14:textId="77777777" w:rsidR="00B2442D" w:rsidRDefault="00B2442D">
      <w:pPr>
        <w:jc w:val="both"/>
        <w:rPr>
          <w:rFonts w:ascii="Arial" w:hAnsi="Arial" w:cs="Arial"/>
          <w:lang w:val="es-CO"/>
        </w:rPr>
      </w:pPr>
    </w:p>
    <w:p w14:paraId="3FF0605C" w14:textId="77777777" w:rsidR="00B2442D" w:rsidRDefault="008A645F">
      <w:pPr>
        <w:jc w:val="both"/>
        <w:rPr>
          <w:rFonts w:ascii="Arial" w:hAnsi="Arial" w:cs="Arial"/>
          <w:lang w:val="es-CO"/>
        </w:rPr>
      </w:pPr>
      <w:r>
        <w:rPr>
          <w:rFonts w:ascii="Arial" w:hAnsi="Arial" w:cs="Arial"/>
          <w:lang w:val="es-CO"/>
        </w:rPr>
        <w:t>En todo caso, lo pagado para satisfacer una obligación declarada remisible no puede ser materia de compensación ni devolución.</w:t>
      </w:r>
    </w:p>
    <w:p w14:paraId="03AD8E6E" w14:textId="77777777" w:rsidR="00B2442D" w:rsidRDefault="00B2442D">
      <w:pPr>
        <w:jc w:val="both"/>
        <w:rPr>
          <w:rFonts w:ascii="Arial" w:hAnsi="Arial" w:cs="Arial"/>
          <w:lang w:val="es-CO"/>
        </w:rPr>
      </w:pPr>
    </w:p>
    <w:p w14:paraId="343DD6BF" w14:textId="77777777" w:rsidR="00B2442D" w:rsidRDefault="008A645F">
      <w:pPr>
        <w:jc w:val="both"/>
        <w:rPr>
          <w:rFonts w:ascii="Arial" w:hAnsi="Arial" w:cs="Arial"/>
          <w:i/>
          <w:lang w:val="es-CO"/>
        </w:rPr>
      </w:pPr>
      <w:r>
        <w:rPr>
          <w:rFonts w:ascii="Arial" w:hAnsi="Arial" w:cs="Arial"/>
          <w:i/>
          <w:lang w:val="es-CO"/>
        </w:rPr>
        <w:t>(Art. 2, Decreto 2452 de 2015)</w:t>
      </w:r>
    </w:p>
    <w:p w14:paraId="43642D7C" w14:textId="77777777" w:rsidR="00B2442D" w:rsidRDefault="00B2442D">
      <w:pPr>
        <w:jc w:val="both"/>
        <w:rPr>
          <w:rFonts w:ascii="Arial" w:hAnsi="Arial" w:cs="Arial"/>
          <w:lang w:val="es-CO"/>
        </w:rPr>
      </w:pPr>
    </w:p>
    <w:p w14:paraId="7531CE8D" w14:textId="77777777" w:rsidR="00B2442D" w:rsidRDefault="008A645F">
      <w:pPr>
        <w:pStyle w:val="Prrafodelista"/>
        <w:numPr>
          <w:ilvl w:val="0"/>
          <w:numId w:val="157"/>
        </w:numPr>
        <w:ind w:left="0" w:firstLine="0"/>
        <w:jc w:val="both"/>
        <w:rPr>
          <w:rFonts w:ascii="Arial" w:hAnsi="Arial" w:cs="Arial"/>
          <w:lang w:val="es-CO"/>
        </w:rPr>
      </w:pPr>
      <w:r>
        <w:rPr>
          <w:rFonts w:ascii="Arial" w:hAnsi="Arial" w:cs="Arial"/>
          <w:b/>
          <w:i/>
          <w:lang w:val="es-CO"/>
        </w:rPr>
        <w:t xml:space="preserve">Remisión de las obligaciones tributarias, aduaneras y </w:t>
      </w:r>
      <w:r>
        <w:rPr>
          <w:rFonts w:ascii="Arial" w:hAnsi="Arial" w:cs="Arial"/>
          <w:b/>
          <w:i/>
          <w:lang w:val="es-CO"/>
        </w:rPr>
        <w:t>cambiarías de hasta 159 UVT.</w:t>
      </w:r>
      <w:r>
        <w:rPr>
          <w:rFonts w:ascii="Arial" w:hAnsi="Arial" w:cs="Arial"/>
          <w:lang w:val="es-CO"/>
        </w:rPr>
        <w:t xml:space="preserve"> De conformidad con el inciso 2° del artículo 820 del Estatuto Tributario, el Director General de la Unidad Administrativa Especial Dirección de Impuestos y Aduanas Nacionales– DIAN y los Directores Seccionales de Impuestos, de </w:t>
      </w:r>
      <w:r>
        <w:rPr>
          <w:rFonts w:ascii="Arial" w:hAnsi="Arial" w:cs="Arial"/>
          <w:lang w:val="es-CO"/>
        </w:rPr>
        <w:t>Impuestos y Aduanas Nacionales, podrán suprimir de los registros y cuentas de los contribuyentes, las obligaciones por concepto de impuestos, tasas, contribuciones y demás obligaciones aduaneras y cambiarías, incluidas las sanciones, los intereses, los rec</w:t>
      </w:r>
      <w:r>
        <w:rPr>
          <w:rFonts w:ascii="Arial" w:hAnsi="Arial" w:cs="Arial"/>
          <w:lang w:val="es-CO"/>
        </w:rPr>
        <w:t>argos, las actualizaciones y costas del proceso cuyo cobro esté a cargo de la Unidad Administrativa Especial Dirección de Impuestos y Aduanas Nacionales- DIAN, siempre que el valor de cada obligación principal no supere 159 UVT, sin incluir otros conceptos</w:t>
      </w:r>
      <w:r>
        <w:rPr>
          <w:rFonts w:ascii="Arial" w:hAnsi="Arial" w:cs="Arial"/>
          <w:lang w:val="es-CO"/>
        </w:rPr>
        <w:t xml:space="preserve"> como intereses, actualizaciones, ni costas del proceso y tengan un vencimiento mayor de cincuenta y cuatro (54) meses.</w:t>
      </w:r>
    </w:p>
    <w:p w14:paraId="12CDF5A1" w14:textId="77777777" w:rsidR="00B2442D" w:rsidRDefault="00B2442D">
      <w:pPr>
        <w:jc w:val="both"/>
        <w:rPr>
          <w:rFonts w:ascii="Arial" w:hAnsi="Arial" w:cs="Arial"/>
          <w:lang w:val="es-CO"/>
        </w:rPr>
      </w:pPr>
    </w:p>
    <w:p w14:paraId="0254E574" w14:textId="77777777" w:rsidR="00B2442D" w:rsidRDefault="008A645F">
      <w:pPr>
        <w:jc w:val="both"/>
        <w:rPr>
          <w:rFonts w:ascii="Arial" w:hAnsi="Arial" w:cs="Arial"/>
          <w:lang w:val="es-CO"/>
        </w:rPr>
      </w:pPr>
      <w:r>
        <w:rPr>
          <w:rFonts w:ascii="Arial" w:hAnsi="Arial" w:cs="Arial"/>
          <w:lang w:val="es-CO"/>
        </w:rPr>
        <w:t>Para la expedición del correspondiente acto administrativo, se deberá previamente adelantar la siguiente gestión de cobro y dejar const</w:t>
      </w:r>
      <w:r>
        <w:rPr>
          <w:rFonts w:ascii="Arial" w:hAnsi="Arial" w:cs="Arial"/>
          <w:lang w:val="es-CO"/>
        </w:rPr>
        <w:t>ancia de su cumplimiento:</w:t>
      </w:r>
    </w:p>
    <w:p w14:paraId="0DF33CF4" w14:textId="77777777" w:rsidR="00B2442D" w:rsidRDefault="00B2442D">
      <w:pPr>
        <w:jc w:val="both"/>
        <w:rPr>
          <w:rFonts w:ascii="Arial" w:hAnsi="Arial" w:cs="Arial"/>
          <w:lang w:val="es-CO"/>
        </w:rPr>
      </w:pPr>
    </w:p>
    <w:p w14:paraId="47761DC1"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 xml:space="preserve">Realizar por lo menos una investigación de bienes con resultado negativo, tanto al deudor principal como a los solidarios y/o subsidiarios, o que dentro del mes siguiente al envío de la solicitud a las entidades de registro o </w:t>
      </w:r>
      <w:r>
        <w:rPr>
          <w:rFonts w:ascii="Arial" w:hAnsi="Arial" w:cs="Arial"/>
          <w:lang w:val="es-CO"/>
        </w:rPr>
        <w:t>financieras respectiva, de que trata el parágrafo del artículo 820 del Estatuto Tributario, no se haya recibido respuesta.</w:t>
      </w:r>
    </w:p>
    <w:p w14:paraId="1960600A" w14:textId="77777777" w:rsidR="00B2442D" w:rsidRDefault="00B2442D">
      <w:pPr>
        <w:ind w:left="426" w:hanging="426"/>
        <w:jc w:val="both"/>
        <w:rPr>
          <w:rFonts w:ascii="Arial" w:hAnsi="Arial" w:cs="Arial"/>
          <w:lang w:val="es-CO"/>
        </w:rPr>
      </w:pPr>
    </w:p>
    <w:p w14:paraId="21511AD4"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 xml:space="preserve">Que no obstante las diligencias que se hayan efectuado para su cobro, no haya respaldo alguno por no existir bienes embargados o </w:t>
      </w:r>
      <w:r>
        <w:rPr>
          <w:rFonts w:ascii="Arial" w:hAnsi="Arial" w:cs="Arial"/>
          <w:lang w:val="es-CO"/>
        </w:rPr>
        <w:t>garantías.</w:t>
      </w:r>
    </w:p>
    <w:p w14:paraId="3F7EFD86" w14:textId="77777777" w:rsidR="00B2442D" w:rsidRDefault="00B2442D">
      <w:pPr>
        <w:ind w:left="426" w:hanging="426"/>
        <w:jc w:val="both"/>
        <w:rPr>
          <w:rFonts w:ascii="Arial" w:hAnsi="Arial" w:cs="Arial"/>
          <w:lang w:val="es-CO"/>
        </w:rPr>
      </w:pPr>
    </w:p>
    <w:p w14:paraId="05D0D49A"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Que se hayan decretado embargos de sumas de dinero y que dentro del mes siguiente al envío de la solicitud no se haya recibido respuesta, o que la misma sea negativa.</w:t>
      </w:r>
    </w:p>
    <w:p w14:paraId="3778C008" w14:textId="77777777" w:rsidR="00B2442D" w:rsidRDefault="00B2442D">
      <w:pPr>
        <w:ind w:left="426" w:hanging="426"/>
        <w:jc w:val="both"/>
        <w:rPr>
          <w:rFonts w:ascii="Arial" w:hAnsi="Arial" w:cs="Arial"/>
          <w:lang w:val="es-CO"/>
        </w:rPr>
      </w:pPr>
    </w:p>
    <w:p w14:paraId="2E6BD391" w14:textId="77777777" w:rsidR="00B2442D" w:rsidRDefault="008A645F">
      <w:pPr>
        <w:ind w:left="426" w:hanging="426"/>
        <w:jc w:val="both"/>
        <w:rPr>
          <w:rFonts w:ascii="Arial" w:hAnsi="Arial" w:cs="Arial"/>
          <w:lang w:val="es-CO"/>
        </w:rPr>
      </w:pPr>
      <w:r>
        <w:rPr>
          <w:rFonts w:ascii="Arial" w:hAnsi="Arial" w:cs="Arial"/>
          <w:lang w:val="es-CO"/>
        </w:rPr>
        <w:t>4.</w:t>
      </w:r>
      <w:r>
        <w:rPr>
          <w:rFonts w:ascii="Arial" w:hAnsi="Arial" w:cs="Arial"/>
          <w:lang w:val="es-CO"/>
        </w:rPr>
        <w:tab/>
        <w:t>Que se haya requerido el pago al deudor por cualquier medio.</w:t>
      </w:r>
    </w:p>
    <w:p w14:paraId="79A02149" w14:textId="77777777" w:rsidR="00B2442D" w:rsidRDefault="00B2442D">
      <w:pPr>
        <w:ind w:left="426" w:hanging="426"/>
        <w:jc w:val="both"/>
        <w:rPr>
          <w:rFonts w:ascii="Arial" w:hAnsi="Arial" w:cs="Arial"/>
          <w:lang w:val="es-CO"/>
        </w:rPr>
      </w:pPr>
    </w:p>
    <w:p w14:paraId="0F29F5E4" w14:textId="77777777" w:rsidR="00B2442D" w:rsidRDefault="008A645F">
      <w:pPr>
        <w:ind w:left="426" w:hanging="426"/>
        <w:jc w:val="both"/>
        <w:rPr>
          <w:rFonts w:ascii="Arial" w:hAnsi="Arial" w:cs="Arial"/>
          <w:lang w:val="es-CO"/>
        </w:rPr>
      </w:pPr>
      <w:r>
        <w:rPr>
          <w:rFonts w:ascii="Arial" w:hAnsi="Arial" w:cs="Arial"/>
          <w:lang w:val="es-CO"/>
        </w:rPr>
        <w:t>5.</w:t>
      </w:r>
      <w:r>
        <w:rPr>
          <w:rFonts w:ascii="Arial" w:hAnsi="Arial" w:cs="Arial"/>
          <w:lang w:val="es-CO"/>
        </w:rPr>
        <w:tab/>
      </w:r>
      <w:r>
        <w:rPr>
          <w:rFonts w:ascii="Arial" w:hAnsi="Arial" w:cs="Arial"/>
          <w:lang w:val="es-CO"/>
        </w:rPr>
        <w:t>Que se haya verificado la existencia y aplicación de Títulos de Depósito Judicial, compensaciones y demás registros que puedan modificar la obligación.</w:t>
      </w:r>
    </w:p>
    <w:p w14:paraId="57CAF5C8" w14:textId="77777777" w:rsidR="00B2442D" w:rsidRDefault="00B2442D">
      <w:pPr>
        <w:jc w:val="both"/>
        <w:rPr>
          <w:rFonts w:ascii="Arial" w:hAnsi="Arial" w:cs="Arial"/>
          <w:lang w:val="es-CO"/>
        </w:rPr>
      </w:pPr>
    </w:p>
    <w:p w14:paraId="2043DE36" w14:textId="77777777" w:rsidR="00B2442D" w:rsidRDefault="008A645F">
      <w:pPr>
        <w:jc w:val="both"/>
        <w:rPr>
          <w:rFonts w:ascii="Arial" w:hAnsi="Arial" w:cs="Arial"/>
          <w:lang w:val="es-CO"/>
        </w:rPr>
      </w:pPr>
      <w:r>
        <w:rPr>
          <w:rFonts w:ascii="Arial" w:hAnsi="Arial" w:cs="Arial"/>
          <w:lang w:val="es-CO"/>
        </w:rPr>
        <w:t>En todo caso, lo pagado para satisfacer una obligación declarada remisible no puede ser materia de comp</w:t>
      </w:r>
      <w:r>
        <w:rPr>
          <w:rFonts w:ascii="Arial" w:hAnsi="Arial" w:cs="Arial"/>
          <w:lang w:val="es-CO"/>
        </w:rPr>
        <w:t>ensación ni devolución.</w:t>
      </w:r>
    </w:p>
    <w:p w14:paraId="66B08E50" w14:textId="77777777" w:rsidR="00B2442D" w:rsidRDefault="00B2442D">
      <w:pPr>
        <w:jc w:val="both"/>
        <w:rPr>
          <w:rFonts w:ascii="Arial" w:hAnsi="Arial" w:cs="Arial"/>
          <w:lang w:val="es-CO"/>
        </w:rPr>
      </w:pPr>
    </w:p>
    <w:p w14:paraId="1E5084F5" w14:textId="77777777" w:rsidR="00B2442D" w:rsidRDefault="008A645F">
      <w:pPr>
        <w:jc w:val="both"/>
        <w:rPr>
          <w:rFonts w:ascii="Arial" w:hAnsi="Arial" w:cs="Arial"/>
          <w:lang w:val="es-CO"/>
        </w:rPr>
      </w:pPr>
      <w:r>
        <w:rPr>
          <w:rFonts w:ascii="Arial" w:hAnsi="Arial" w:cs="Arial"/>
          <w:lang w:val="es-CO"/>
        </w:rPr>
        <w:t>La UVT a que hace referencia este artículo, será la vigente al momento en que se dé inicio al procedimiento para declarar la remisibilidad.</w:t>
      </w:r>
    </w:p>
    <w:p w14:paraId="12096214" w14:textId="77777777" w:rsidR="00B2442D" w:rsidRDefault="00B2442D">
      <w:pPr>
        <w:jc w:val="both"/>
        <w:rPr>
          <w:rFonts w:ascii="Arial" w:hAnsi="Arial" w:cs="Arial"/>
          <w:lang w:val="es-CO"/>
        </w:rPr>
      </w:pPr>
    </w:p>
    <w:p w14:paraId="0D046027" w14:textId="77777777" w:rsidR="00B2442D" w:rsidRDefault="008A645F">
      <w:pPr>
        <w:jc w:val="both"/>
        <w:rPr>
          <w:rFonts w:ascii="Arial" w:hAnsi="Arial" w:cs="Arial"/>
          <w:lang w:val="es-CO"/>
        </w:rPr>
      </w:pPr>
      <w:r>
        <w:rPr>
          <w:rFonts w:ascii="Arial" w:hAnsi="Arial" w:cs="Arial"/>
          <w:lang w:val="es-CO"/>
        </w:rPr>
        <w:t>Parágrafo. Para determinar la existencia de bienes, la Unidad Administrativa Especial Dire</w:t>
      </w:r>
      <w:r>
        <w:rPr>
          <w:rFonts w:ascii="Arial" w:hAnsi="Arial" w:cs="Arial"/>
          <w:lang w:val="es-CO"/>
        </w:rPr>
        <w:t>cción de Impuestos y Aduanas Nacionales – DIAN deberá adelantar las acciones que considere convenientes, utilizando los convenios interadministrativos vigentes y en caso de no existir convenio oficiar a las oficinas o entidades de registros públicos, de pr</w:t>
      </w:r>
      <w:r>
        <w:rPr>
          <w:rFonts w:ascii="Arial" w:hAnsi="Arial" w:cs="Arial"/>
          <w:lang w:val="es-CO"/>
        </w:rPr>
        <w:t>opiedad intelectual, de marcas, de registros mobiliarios, así como a entidades del sector financiero, para que informen sobre la existencia o no de bienes o derechos a favor del deudor.</w:t>
      </w:r>
    </w:p>
    <w:p w14:paraId="7BE96532" w14:textId="77777777" w:rsidR="00B2442D" w:rsidRDefault="00B2442D">
      <w:pPr>
        <w:jc w:val="both"/>
        <w:rPr>
          <w:rFonts w:ascii="Arial" w:hAnsi="Arial" w:cs="Arial"/>
          <w:lang w:val="es-CO"/>
        </w:rPr>
      </w:pPr>
    </w:p>
    <w:p w14:paraId="43DC35BC" w14:textId="77777777" w:rsidR="00B2442D" w:rsidRDefault="008A645F">
      <w:pPr>
        <w:jc w:val="both"/>
        <w:rPr>
          <w:rFonts w:ascii="Arial" w:hAnsi="Arial" w:cs="Arial"/>
          <w:lang w:val="es-CO"/>
        </w:rPr>
      </w:pPr>
      <w:r>
        <w:rPr>
          <w:rFonts w:ascii="Arial" w:hAnsi="Arial" w:cs="Arial"/>
          <w:lang w:val="es-CO"/>
        </w:rPr>
        <w:t xml:space="preserve">Si dentro del mes siguiente al envío de la solicitud a la respectiva </w:t>
      </w:r>
      <w:r>
        <w:rPr>
          <w:rFonts w:ascii="Arial" w:hAnsi="Arial" w:cs="Arial"/>
          <w:lang w:val="es-CO"/>
        </w:rPr>
        <w:t>entidad financiera o de registro, la Dirección Seccional de impuestos y/o Aduanas Nacionales no recibe respuesta, se entenderá que la misma es negativa y el funcionario competente procederá a decretar la remisibilidad de las obligaciones.</w:t>
      </w:r>
    </w:p>
    <w:p w14:paraId="72064FD3" w14:textId="77777777" w:rsidR="00B2442D" w:rsidRDefault="00B2442D">
      <w:pPr>
        <w:jc w:val="both"/>
        <w:rPr>
          <w:rFonts w:ascii="Arial" w:hAnsi="Arial" w:cs="Arial"/>
          <w:lang w:val="es-CO"/>
        </w:rPr>
      </w:pPr>
    </w:p>
    <w:p w14:paraId="77314C62" w14:textId="77777777" w:rsidR="00B2442D" w:rsidRDefault="008A645F">
      <w:pPr>
        <w:jc w:val="both"/>
        <w:rPr>
          <w:rFonts w:ascii="Arial" w:hAnsi="Arial" w:cs="Arial"/>
          <w:i/>
          <w:lang w:val="es-CO"/>
        </w:rPr>
      </w:pPr>
      <w:r>
        <w:rPr>
          <w:rFonts w:ascii="Arial" w:hAnsi="Arial" w:cs="Arial"/>
          <w:i/>
          <w:lang w:val="es-CO"/>
        </w:rPr>
        <w:t>(Art. 3, Decreto</w:t>
      </w:r>
      <w:r>
        <w:rPr>
          <w:rFonts w:ascii="Arial" w:hAnsi="Arial" w:cs="Arial"/>
          <w:i/>
          <w:lang w:val="es-CO"/>
        </w:rPr>
        <w:t xml:space="preserve"> 2452 de 2015)</w:t>
      </w:r>
    </w:p>
    <w:p w14:paraId="394C39D2" w14:textId="77777777" w:rsidR="00B2442D" w:rsidRDefault="00B2442D">
      <w:pPr>
        <w:jc w:val="both"/>
        <w:rPr>
          <w:rFonts w:ascii="Arial" w:hAnsi="Arial" w:cs="Arial"/>
          <w:lang w:val="es-CO"/>
        </w:rPr>
      </w:pPr>
    </w:p>
    <w:p w14:paraId="3C530E9F" w14:textId="77777777" w:rsidR="00B2442D" w:rsidRDefault="008A645F">
      <w:pPr>
        <w:pStyle w:val="Prrafodelista"/>
        <w:numPr>
          <w:ilvl w:val="0"/>
          <w:numId w:val="157"/>
        </w:numPr>
        <w:ind w:left="0" w:firstLine="0"/>
        <w:jc w:val="both"/>
        <w:rPr>
          <w:rFonts w:ascii="Arial" w:hAnsi="Arial" w:cs="Arial"/>
          <w:lang w:val="es-CO"/>
        </w:rPr>
      </w:pPr>
      <w:r>
        <w:rPr>
          <w:rFonts w:ascii="Arial" w:hAnsi="Arial" w:cs="Arial"/>
          <w:b/>
          <w:i/>
          <w:lang w:val="es-CO"/>
        </w:rPr>
        <w:t>Remisión de las obligaciones tributarias, aduaneras y cambiarías de hasta 40 UVT.</w:t>
      </w:r>
      <w:r>
        <w:rPr>
          <w:rFonts w:ascii="Arial" w:hAnsi="Arial" w:cs="Arial"/>
          <w:lang w:val="es-CO"/>
        </w:rPr>
        <w:t xml:space="preserve"> De conformidad con el inciso 3o del artículo 820 del Estatuto Tributario El Director General de la Unidad Administrativa Especial Dirección de Impuestos y Adu</w:t>
      </w:r>
      <w:r>
        <w:rPr>
          <w:rFonts w:ascii="Arial" w:hAnsi="Arial" w:cs="Arial"/>
          <w:lang w:val="es-CO"/>
        </w:rPr>
        <w:t>anas Nacionales– DIAN y los Directores Seccionales de Impuestos, de Impuestos y Aduanas Nacionales, podrán suprimir de los registros y cuentas del deudor las obligaciones a su cargo, siempre que en la fecha de expedición del acto administrativo la sumatori</w:t>
      </w:r>
      <w:r>
        <w:rPr>
          <w:rFonts w:ascii="Arial" w:hAnsi="Arial" w:cs="Arial"/>
          <w:lang w:val="es-CO"/>
        </w:rPr>
        <w:t>a total de las mismas no supere 40 UVT, sin incluir sanciones, intereses, recargos, actualizaciones y costas del proceso, y que desde la exigibilidad de la obligación más reciente hayan pasado seis (6) meses.</w:t>
      </w:r>
    </w:p>
    <w:p w14:paraId="5964C1BA" w14:textId="77777777" w:rsidR="00B2442D" w:rsidRDefault="00B2442D">
      <w:pPr>
        <w:jc w:val="both"/>
        <w:rPr>
          <w:rFonts w:ascii="Arial" w:hAnsi="Arial" w:cs="Arial"/>
          <w:lang w:val="es-CO"/>
        </w:rPr>
      </w:pPr>
    </w:p>
    <w:p w14:paraId="0968DFDB" w14:textId="77777777" w:rsidR="00B2442D" w:rsidRDefault="008A645F">
      <w:pPr>
        <w:jc w:val="both"/>
        <w:rPr>
          <w:rFonts w:ascii="Arial" w:hAnsi="Arial" w:cs="Arial"/>
          <w:lang w:val="es-CO"/>
        </w:rPr>
      </w:pPr>
      <w:r>
        <w:rPr>
          <w:rFonts w:ascii="Arial" w:hAnsi="Arial" w:cs="Arial"/>
          <w:lang w:val="es-CO"/>
        </w:rPr>
        <w:t>Para declarar la remisibilidad de las obligaci</w:t>
      </w:r>
      <w:r>
        <w:rPr>
          <w:rFonts w:ascii="Arial" w:hAnsi="Arial" w:cs="Arial"/>
          <w:lang w:val="es-CO"/>
        </w:rPr>
        <w:t>ones a que se refiere el presente artículo no se requerirá determinar la existencia de bienes del deudor, sin embargo se deberán adelantar las siguientes gestiones cobro:</w:t>
      </w:r>
    </w:p>
    <w:p w14:paraId="17607B86" w14:textId="77777777" w:rsidR="00B2442D" w:rsidRDefault="00B2442D">
      <w:pPr>
        <w:jc w:val="both"/>
        <w:rPr>
          <w:rFonts w:ascii="Arial" w:hAnsi="Arial" w:cs="Arial"/>
          <w:lang w:val="es-CO"/>
        </w:rPr>
      </w:pPr>
    </w:p>
    <w:p w14:paraId="6B6F8889"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Cruzar la información contenida en los aplicativos y bases de datos de la Entidad</w:t>
      </w:r>
      <w:r>
        <w:rPr>
          <w:rFonts w:ascii="Arial" w:hAnsi="Arial" w:cs="Arial"/>
          <w:lang w:val="es-CO"/>
        </w:rPr>
        <w:t xml:space="preserve"> con el fin de determinar el valor real y la totalidad de las obligaciones adeudadas y determinadas a cargo del deudor.</w:t>
      </w:r>
    </w:p>
    <w:p w14:paraId="30D5ED33" w14:textId="77777777" w:rsidR="00B2442D" w:rsidRDefault="00B2442D">
      <w:pPr>
        <w:ind w:left="426" w:hanging="426"/>
        <w:jc w:val="both"/>
        <w:rPr>
          <w:rFonts w:ascii="Arial" w:hAnsi="Arial" w:cs="Arial"/>
          <w:lang w:val="es-CO"/>
        </w:rPr>
      </w:pPr>
    </w:p>
    <w:p w14:paraId="19F99A11"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Verificar la existencia y aplicación de Títulos de Depósito Judicial, compensaciones y demás registros que puedan modificar la oblig</w:t>
      </w:r>
      <w:r>
        <w:rPr>
          <w:rFonts w:ascii="Arial" w:hAnsi="Arial" w:cs="Arial"/>
          <w:lang w:val="es-CO"/>
        </w:rPr>
        <w:t>ación.</w:t>
      </w:r>
    </w:p>
    <w:p w14:paraId="17983E2B" w14:textId="77777777" w:rsidR="00B2442D" w:rsidRDefault="00B2442D">
      <w:pPr>
        <w:ind w:left="426" w:hanging="426"/>
        <w:jc w:val="both"/>
        <w:rPr>
          <w:rFonts w:ascii="Arial" w:hAnsi="Arial" w:cs="Arial"/>
          <w:lang w:val="es-CO"/>
        </w:rPr>
      </w:pPr>
    </w:p>
    <w:p w14:paraId="4695AFBE"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Requerir el pago al deudor por cualquier medio</w:t>
      </w:r>
    </w:p>
    <w:p w14:paraId="7783E7BC" w14:textId="77777777" w:rsidR="00B2442D" w:rsidRDefault="00B2442D">
      <w:pPr>
        <w:jc w:val="both"/>
        <w:rPr>
          <w:rFonts w:ascii="Arial" w:hAnsi="Arial" w:cs="Arial"/>
          <w:lang w:val="es-CO"/>
        </w:rPr>
      </w:pPr>
    </w:p>
    <w:p w14:paraId="1A5DFDBA" w14:textId="77777777" w:rsidR="00B2442D" w:rsidRDefault="008A645F">
      <w:pPr>
        <w:jc w:val="both"/>
        <w:rPr>
          <w:rFonts w:ascii="Arial" w:hAnsi="Arial" w:cs="Arial"/>
          <w:lang w:val="es-CO"/>
        </w:rPr>
      </w:pPr>
      <w:r>
        <w:rPr>
          <w:rFonts w:ascii="Arial" w:hAnsi="Arial" w:cs="Arial"/>
          <w:lang w:val="es-CO"/>
        </w:rPr>
        <w:t xml:space="preserve">En el acto administrativo que declare la remisibilidad se debe ordenar la terminación del proceso y el archivo del expediente, remitiendo las copias correspondientes a las áreas que deban </w:t>
      </w:r>
      <w:r>
        <w:rPr>
          <w:rFonts w:ascii="Arial" w:hAnsi="Arial" w:cs="Arial"/>
          <w:lang w:val="es-CO"/>
        </w:rPr>
        <w:t>conocer de tal decisión.</w:t>
      </w:r>
    </w:p>
    <w:p w14:paraId="22DB87BD" w14:textId="77777777" w:rsidR="00B2442D" w:rsidRDefault="00B2442D">
      <w:pPr>
        <w:jc w:val="both"/>
        <w:rPr>
          <w:rFonts w:ascii="Arial" w:hAnsi="Arial" w:cs="Arial"/>
          <w:lang w:val="es-CO"/>
        </w:rPr>
      </w:pPr>
    </w:p>
    <w:p w14:paraId="5AF315DB" w14:textId="77777777" w:rsidR="00B2442D" w:rsidRDefault="008A645F">
      <w:pPr>
        <w:jc w:val="both"/>
        <w:rPr>
          <w:rFonts w:ascii="Arial" w:hAnsi="Arial" w:cs="Arial"/>
          <w:lang w:val="es-CO"/>
        </w:rPr>
      </w:pPr>
      <w:r>
        <w:rPr>
          <w:rFonts w:ascii="Arial" w:hAnsi="Arial" w:cs="Arial"/>
          <w:lang w:val="es-CO"/>
        </w:rPr>
        <w:t>En todo caso, lo pagado para satisfacer una obligación declarada remisible no puede ser materia de compensación ni devolución.</w:t>
      </w:r>
    </w:p>
    <w:p w14:paraId="3A9A553D" w14:textId="77777777" w:rsidR="00B2442D" w:rsidRDefault="00B2442D">
      <w:pPr>
        <w:jc w:val="both"/>
        <w:rPr>
          <w:rFonts w:ascii="Arial" w:hAnsi="Arial" w:cs="Arial"/>
          <w:lang w:val="es-CO"/>
        </w:rPr>
      </w:pPr>
    </w:p>
    <w:p w14:paraId="4DC4E777" w14:textId="77777777" w:rsidR="00B2442D" w:rsidRDefault="008A645F">
      <w:pPr>
        <w:jc w:val="both"/>
        <w:rPr>
          <w:rFonts w:ascii="Arial" w:hAnsi="Arial" w:cs="Arial"/>
          <w:lang w:val="es-CO"/>
        </w:rPr>
      </w:pPr>
      <w:r>
        <w:rPr>
          <w:rFonts w:ascii="Arial" w:hAnsi="Arial" w:cs="Arial"/>
          <w:lang w:val="es-CO"/>
        </w:rPr>
        <w:t>La UVT a que hace referencia este artículo, será la vigente al momento en que se dé inicio al procedim</w:t>
      </w:r>
      <w:r>
        <w:rPr>
          <w:rFonts w:ascii="Arial" w:hAnsi="Arial" w:cs="Arial"/>
          <w:lang w:val="es-CO"/>
        </w:rPr>
        <w:t>iento para declarar la remisibilidad.</w:t>
      </w:r>
    </w:p>
    <w:p w14:paraId="15F0A610" w14:textId="77777777" w:rsidR="00B2442D" w:rsidRDefault="00B2442D">
      <w:pPr>
        <w:jc w:val="both"/>
        <w:rPr>
          <w:rFonts w:ascii="Arial" w:hAnsi="Arial" w:cs="Arial"/>
          <w:lang w:val="es-CO"/>
        </w:rPr>
      </w:pPr>
    </w:p>
    <w:p w14:paraId="4C1F6185" w14:textId="77777777" w:rsidR="00B2442D" w:rsidRDefault="008A645F">
      <w:pPr>
        <w:jc w:val="both"/>
        <w:rPr>
          <w:rFonts w:ascii="Arial" w:hAnsi="Arial" w:cs="Arial"/>
          <w:i/>
          <w:lang w:val="es-CO"/>
        </w:rPr>
      </w:pPr>
      <w:r>
        <w:rPr>
          <w:rFonts w:ascii="Arial" w:hAnsi="Arial" w:cs="Arial"/>
          <w:i/>
          <w:lang w:val="es-CO"/>
        </w:rPr>
        <w:t>(Art. 4, Decreto 2452 de 2015)</w:t>
      </w:r>
    </w:p>
    <w:p w14:paraId="6AECFD83" w14:textId="77777777" w:rsidR="00B2442D" w:rsidRDefault="00B2442D">
      <w:pPr>
        <w:jc w:val="both"/>
        <w:rPr>
          <w:rFonts w:ascii="Arial" w:hAnsi="Arial" w:cs="Arial"/>
          <w:lang w:val="es-CO"/>
        </w:rPr>
      </w:pPr>
    </w:p>
    <w:p w14:paraId="20C66E66" w14:textId="77777777" w:rsidR="00B2442D" w:rsidRDefault="008A645F">
      <w:pPr>
        <w:pStyle w:val="Prrafodelista"/>
        <w:numPr>
          <w:ilvl w:val="0"/>
          <w:numId w:val="157"/>
        </w:numPr>
        <w:ind w:left="0" w:firstLine="0"/>
        <w:jc w:val="both"/>
        <w:rPr>
          <w:rFonts w:ascii="Arial" w:hAnsi="Arial" w:cs="Arial"/>
          <w:lang w:val="es-CO"/>
        </w:rPr>
      </w:pPr>
      <w:r>
        <w:rPr>
          <w:rFonts w:ascii="Arial" w:hAnsi="Arial" w:cs="Arial"/>
          <w:b/>
          <w:i/>
          <w:lang w:val="es-CO"/>
        </w:rPr>
        <w:t>Remisión de obligaciones tributarias, aduaneras y cambiarias que superan los 40 UVT y hasta 96 UVT.</w:t>
      </w:r>
      <w:r>
        <w:rPr>
          <w:rFonts w:ascii="Arial" w:hAnsi="Arial" w:cs="Arial"/>
          <w:lang w:val="es-CO"/>
        </w:rPr>
        <w:t xml:space="preserve"> De conformidad con el inciso 4o del artículo 820 del Estatuto Tributario, el Director</w:t>
      </w:r>
      <w:r>
        <w:rPr>
          <w:rFonts w:ascii="Arial" w:hAnsi="Arial" w:cs="Arial"/>
          <w:lang w:val="es-CO"/>
        </w:rPr>
        <w:t xml:space="preserve"> General de la Unidad Administrativa Especial Dirección de Impuestos y Aduanas Nacionales– DIAN y los Directores Seccionales de Impuestos, de Impuestos y Aduanas Nacionales, podrán suprimir de los registros y cuentas del deudor las obligaciones a su cargo,</w:t>
      </w:r>
      <w:r>
        <w:rPr>
          <w:rFonts w:ascii="Arial" w:hAnsi="Arial" w:cs="Arial"/>
          <w:lang w:val="es-CO"/>
        </w:rPr>
        <w:t xml:space="preserve"> siempre que en la fecha de expedición del acto administrativo, la sumatoria total de las mismas exceda de 40 UVT hasta 96 UVT, sin incluir sanciones, intereses, recargos, actualizaciones y costas del proceso, y que desde la exigibilidad de la obligación m</w:t>
      </w:r>
      <w:r>
        <w:rPr>
          <w:rFonts w:ascii="Arial" w:hAnsi="Arial" w:cs="Arial"/>
          <w:lang w:val="es-CO"/>
        </w:rPr>
        <w:t>ás reciente hayan transcurrido pasados dieciocho (18) meses.</w:t>
      </w:r>
    </w:p>
    <w:p w14:paraId="7785F06E" w14:textId="77777777" w:rsidR="00B2442D" w:rsidRDefault="00B2442D">
      <w:pPr>
        <w:jc w:val="both"/>
        <w:rPr>
          <w:rFonts w:ascii="Arial" w:hAnsi="Arial" w:cs="Arial"/>
          <w:lang w:val="es-CO"/>
        </w:rPr>
      </w:pPr>
    </w:p>
    <w:p w14:paraId="6865A0B2" w14:textId="77777777" w:rsidR="00B2442D" w:rsidRDefault="008A645F">
      <w:pPr>
        <w:jc w:val="both"/>
        <w:rPr>
          <w:rFonts w:ascii="Arial" w:hAnsi="Arial" w:cs="Arial"/>
          <w:lang w:val="es-CO"/>
        </w:rPr>
      </w:pPr>
      <w:r>
        <w:rPr>
          <w:rFonts w:ascii="Arial" w:hAnsi="Arial" w:cs="Arial"/>
          <w:lang w:val="es-CO"/>
        </w:rPr>
        <w:t>Para declarar la remisibilidad de estas obligaciones no se requerirá determinar la existencia de bienes del deudor, sin embargo se deberán adelantar las siguientes gestiones cobro:</w:t>
      </w:r>
    </w:p>
    <w:p w14:paraId="1DD2CCDE" w14:textId="77777777" w:rsidR="00B2442D" w:rsidRDefault="00B2442D">
      <w:pPr>
        <w:jc w:val="both"/>
        <w:rPr>
          <w:rFonts w:ascii="Arial" w:hAnsi="Arial" w:cs="Arial"/>
          <w:lang w:val="es-CO"/>
        </w:rPr>
      </w:pPr>
    </w:p>
    <w:p w14:paraId="3B0A3252"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Determina</w:t>
      </w:r>
      <w:r>
        <w:rPr>
          <w:rFonts w:ascii="Arial" w:hAnsi="Arial" w:cs="Arial"/>
          <w:lang w:val="es-CO"/>
        </w:rPr>
        <w:t>r el valor real y la totalidad de las obligaciones adeudadas a cargo del deudor.</w:t>
      </w:r>
    </w:p>
    <w:p w14:paraId="11394D2F" w14:textId="77777777" w:rsidR="00B2442D" w:rsidRDefault="00B2442D">
      <w:pPr>
        <w:ind w:left="426" w:hanging="426"/>
        <w:jc w:val="both"/>
        <w:rPr>
          <w:rFonts w:ascii="Arial" w:hAnsi="Arial" w:cs="Arial"/>
          <w:lang w:val="es-CO"/>
        </w:rPr>
      </w:pPr>
    </w:p>
    <w:p w14:paraId="5E52ABEF"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Verificar la existencia y aplicación de Títulos de Depósito Judicial, compensaciones y demás registros que puedan modificar la obligación.</w:t>
      </w:r>
    </w:p>
    <w:p w14:paraId="249AE1F1" w14:textId="77777777" w:rsidR="00B2442D" w:rsidRDefault="00B2442D">
      <w:pPr>
        <w:ind w:left="426" w:hanging="426"/>
        <w:jc w:val="both"/>
        <w:rPr>
          <w:rFonts w:ascii="Arial" w:hAnsi="Arial" w:cs="Arial"/>
          <w:lang w:val="es-CO"/>
        </w:rPr>
      </w:pPr>
    </w:p>
    <w:p w14:paraId="64DAA687"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Requerir el pago al deudor p</w:t>
      </w:r>
      <w:r>
        <w:rPr>
          <w:rFonts w:ascii="Arial" w:hAnsi="Arial" w:cs="Arial"/>
          <w:lang w:val="es-CO"/>
        </w:rPr>
        <w:t>or cualquier medio.</w:t>
      </w:r>
    </w:p>
    <w:p w14:paraId="333369ED" w14:textId="77777777" w:rsidR="00B2442D" w:rsidRDefault="00B2442D">
      <w:pPr>
        <w:jc w:val="both"/>
        <w:rPr>
          <w:rFonts w:ascii="Arial" w:hAnsi="Arial" w:cs="Arial"/>
          <w:lang w:val="es-CO"/>
        </w:rPr>
      </w:pPr>
    </w:p>
    <w:p w14:paraId="56737D9E" w14:textId="77777777" w:rsidR="00B2442D" w:rsidRDefault="008A645F">
      <w:pPr>
        <w:jc w:val="both"/>
        <w:rPr>
          <w:rFonts w:ascii="Arial" w:hAnsi="Arial" w:cs="Arial"/>
          <w:lang w:val="es-CO"/>
        </w:rPr>
      </w:pPr>
      <w:r>
        <w:rPr>
          <w:rFonts w:ascii="Arial" w:hAnsi="Arial" w:cs="Arial"/>
          <w:lang w:val="es-CO"/>
        </w:rPr>
        <w:t>En el acto administrativo que declare la remisibilidad se debe ordenar la terminación del proceso y el archivo del expediente, remitiendo las copias correspondientes a las áreas que deban conocer de tal decisión.</w:t>
      </w:r>
    </w:p>
    <w:p w14:paraId="27A6EC0B" w14:textId="77777777" w:rsidR="00B2442D" w:rsidRDefault="00B2442D">
      <w:pPr>
        <w:jc w:val="both"/>
        <w:rPr>
          <w:rFonts w:ascii="Arial" w:hAnsi="Arial" w:cs="Arial"/>
          <w:lang w:val="es-CO"/>
        </w:rPr>
      </w:pPr>
    </w:p>
    <w:p w14:paraId="49BA2D13" w14:textId="77777777" w:rsidR="00B2442D" w:rsidRDefault="008A645F">
      <w:pPr>
        <w:jc w:val="both"/>
        <w:rPr>
          <w:rFonts w:ascii="Arial" w:hAnsi="Arial" w:cs="Arial"/>
          <w:lang w:val="es-CO"/>
        </w:rPr>
      </w:pPr>
      <w:r>
        <w:rPr>
          <w:rFonts w:ascii="Arial" w:hAnsi="Arial" w:cs="Arial"/>
          <w:lang w:val="es-CO"/>
        </w:rPr>
        <w:t>En todo caso, lo paga</w:t>
      </w:r>
      <w:r>
        <w:rPr>
          <w:rFonts w:ascii="Arial" w:hAnsi="Arial" w:cs="Arial"/>
          <w:lang w:val="es-CO"/>
        </w:rPr>
        <w:t>do para satisfacer una obligación declarada remisible no puede ser materia de compensación ni devolución.</w:t>
      </w:r>
    </w:p>
    <w:p w14:paraId="06600BE5" w14:textId="77777777" w:rsidR="00B2442D" w:rsidRDefault="00B2442D">
      <w:pPr>
        <w:jc w:val="both"/>
        <w:rPr>
          <w:rFonts w:ascii="Arial" w:hAnsi="Arial" w:cs="Arial"/>
          <w:lang w:val="es-CO"/>
        </w:rPr>
      </w:pPr>
    </w:p>
    <w:p w14:paraId="2DB50970" w14:textId="77777777" w:rsidR="00B2442D" w:rsidRDefault="008A645F">
      <w:pPr>
        <w:jc w:val="both"/>
        <w:rPr>
          <w:rFonts w:ascii="Arial" w:hAnsi="Arial" w:cs="Arial"/>
          <w:lang w:val="es-CO"/>
        </w:rPr>
      </w:pPr>
      <w:r>
        <w:rPr>
          <w:rFonts w:ascii="Arial" w:hAnsi="Arial" w:cs="Arial"/>
          <w:lang w:val="es-CO"/>
        </w:rPr>
        <w:t>La UVT a que hace referencia este artículo, será la vigente al momento en que se dé inicio al procedimiento para declarar la remisibilidad.</w:t>
      </w:r>
    </w:p>
    <w:p w14:paraId="1537DED6" w14:textId="77777777" w:rsidR="00B2442D" w:rsidRDefault="00B2442D">
      <w:pPr>
        <w:jc w:val="both"/>
        <w:rPr>
          <w:rFonts w:ascii="Arial" w:hAnsi="Arial" w:cs="Arial"/>
          <w:i/>
          <w:lang w:val="es-CO"/>
        </w:rPr>
      </w:pPr>
    </w:p>
    <w:p w14:paraId="1B6C86B8" w14:textId="77777777" w:rsidR="00B2442D" w:rsidRDefault="008A645F">
      <w:pPr>
        <w:jc w:val="both"/>
        <w:rPr>
          <w:rFonts w:ascii="Arial" w:hAnsi="Arial" w:cs="Arial"/>
          <w:i/>
          <w:lang w:val="es-CO"/>
        </w:rPr>
      </w:pPr>
      <w:r>
        <w:rPr>
          <w:rFonts w:ascii="Arial" w:hAnsi="Arial" w:cs="Arial"/>
          <w:i/>
          <w:lang w:val="es-CO"/>
        </w:rPr>
        <w:t>(Art. 5, Decreto 2452 de 2015)</w:t>
      </w:r>
    </w:p>
    <w:p w14:paraId="2D79058E" w14:textId="77777777" w:rsidR="00B2442D" w:rsidRDefault="00B2442D">
      <w:pPr>
        <w:jc w:val="both"/>
        <w:rPr>
          <w:rFonts w:ascii="Arial" w:hAnsi="Arial" w:cs="Arial"/>
          <w:i/>
          <w:lang w:val="es-CO"/>
        </w:rPr>
      </w:pPr>
    </w:p>
    <w:p w14:paraId="16D6E1B8" w14:textId="77777777" w:rsidR="00B2442D" w:rsidRDefault="008A645F">
      <w:pPr>
        <w:pStyle w:val="Ttulo4"/>
        <w:rPr>
          <w:lang w:val="es-ES_tradnl"/>
        </w:rPr>
      </w:pPr>
      <w:r>
        <w:rPr>
          <w:lang w:val="es-ES_tradnl"/>
        </w:rPr>
        <w:t>CAPÍTULO 8</w:t>
      </w:r>
    </w:p>
    <w:p w14:paraId="4C9E0E1C" w14:textId="77777777" w:rsidR="00B2442D" w:rsidRDefault="008A645F">
      <w:pPr>
        <w:pStyle w:val="Ttulo4"/>
        <w:rPr>
          <w:lang w:val="es-ES_tradnl"/>
        </w:rPr>
      </w:pPr>
      <w:r>
        <w:rPr>
          <w:lang w:val="es-ES_tradnl"/>
        </w:rPr>
        <w:t>Otras disposiciones del proceso de cobro</w:t>
      </w:r>
    </w:p>
    <w:p w14:paraId="66901FD6" w14:textId="77777777" w:rsidR="00B2442D" w:rsidRDefault="00B2442D">
      <w:pPr>
        <w:rPr>
          <w:rFonts w:ascii="Arial" w:hAnsi="Arial" w:cs="Arial"/>
          <w:lang w:val="es-ES_tradnl"/>
        </w:rPr>
      </w:pPr>
    </w:p>
    <w:p w14:paraId="42224283" w14:textId="77777777" w:rsidR="00B2442D" w:rsidRDefault="008A645F">
      <w:pPr>
        <w:pStyle w:val="Prrafodelista"/>
        <w:numPr>
          <w:ilvl w:val="0"/>
          <w:numId w:val="135"/>
        </w:numPr>
        <w:ind w:left="0" w:firstLine="0"/>
        <w:jc w:val="both"/>
        <w:rPr>
          <w:rFonts w:ascii="Arial" w:hAnsi="Arial" w:cs="Arial"/>
          <w:lang w:val="es-CO"/>
        </w:rPr>
      </w:pPr>
      <w:r>
        <w:rPr>
          <w:rFonts w:ascii="Arial" w:hAnsi="Arial" w:cs="Arial"/>
          <w:b/>
          <w:i/>
          <w:lang w:val="es-CO"/>
        </w:rPr>
        <w:t>Obligación de requerir previamente el pago o compensación, antes de iniciar proceso penal contra retenedores y responsables del IVA.</w:t>
      </w:r>
      <w:r>
        <w:rPr>
          <w:rFonts w:ascii="Arial" w:hAnsi="Arial" w:cs="Arial"/>
          <w:lang w:val="es-CO"/>
        </w:rPr>
        <w:t xml:space="preserve"> Antes de presentar la correspondiente </w:t>
      </w:r>
      <w:r>
        <w:rPr>
          <w:rFonts w:ascii="Arial" w:hAnsi="Arial" w:cs="Arial"/>
          <w:lang w:val="es-CO"/>
        </w:rPr>
        <w:t xml:space="preserve">denuncia penal por las conductas descritas en el artículo 402 de la Ley 599 de 2000, el funcionario competente deberá requerir al retenedor o responsable, según el caso, para que cancele, acuerde el pago, o solicite la compensación de las sumas adeudadas, </w:t>
      </w:r>
      <w:r>
        <w:rPr>
          <w:rFonts w:ascii="Arial" w:hAnsi="Arial" w:cs="Arial"/>
          <w:lang w:val="es-CO"/>
        </w:rPr>
        <w:t>dentro del mes siguiente a la comunicación del requerimiento que se podrá efectuar por cualquier medio.</w:t>
      </w:r>
    </w:p>
    <w:p w14:paraId="375E7967" w14:textId="77777777" w:rsidR="00B2442D" w:rsidRDefault="00B2442D">
      <w:pPr>
        <w:jc w:val="both"/>
        <w:rPr>
          <w:rFonts w:ascii="Arial" w:hAnsi="Arial" w:cs="Arial"/>
          <w:i/>
          <w:lang w:val="es-CO"/>
        </w:rPr>
      </w:pPr>
    </w:p>
    <w:p w14:paraId="3E6427C7" w14:textId="77777777" w:rsidR="00B2442D" w:rsidRDefault="008A645F">
      <w:pPr>
        <w:jc w:val="both"/>
        <w:rPr>
          <w:rFonts w:ascii="Arial" w:hAnsi="Arial" w:cs="Arial"/>
          <w:i/>
        </w:rPr>
      </w:pPr>
      <w:r>
        <w:rPr>
          <w:rFonts w:ascii="Arial" w:hAnsi="Arial" w:cs="Arial"/>
          <w:i/>
        </w:rPr>
        <w:t>(Art. 16, Decreto 3050 de 1997, modificado por el art. 2 del Decreto 2321 de 2011)</w:t>
      </w:r>
    </w:p>
    <w:p w14:paraId="2356E273" w14:textId="77777777" w:rsidR="00B2442D" w:rsidRDefault="00B2442D">
      <w:pPr>
        <w:jc w:val="both"/>
        <w:rPr>
          <w:rFonts w:ascii="Arial" w:hAnsi="Arial" w:cs="Arial"/>
          <w:lang w:val="es-CO"/>
        </w:rPr>
      </w:pPr>
    </w:p>
    <w:p w14:paraId="573A117E" w14:textId="77777777" w:rsidR="00B2442D" w:rsidRDefault="008A645F">
      <w:pPr>
        <w:pStyle w:val="Prrafodelista"/>
        <w:numPr>
          <w:ilvl w:val="0"/>
          <w:numId w:val="135"/>
        </w:numPr>
        <w:ind w:left="0" w:firstLine="0"/>
        <w:jc w:val="both"/>
        <w:rPr>
          <w:rFonts w:ascii="Arial" w:hAnsi="Arial" w:cs="Arial"/>
          <w:lang w:val="es-CO"/>
        </w:rPr>
      </w:pPr>
      <w:r>
        <w:rPr>
          <w:rFonts w:ascii="Arial" w:hAnsi="Arial" w:cs="Arial"/>
          <w:b/>
          <w:i/>
          <w:lang w:val="es-CO"/>
        </w:rPr>
        <w:t xml:space="preserve">Valor absoluto reexpresado en UVT sobre límite de </w:t>
      </w:r>
      <w:r>
        <w:rPr>
          <w:rFonts w:ascii="Arial" w:hAnsi="Arial" w:cs="Arial"/>
          <w:b/>
          <w:i/>
          <w:lang w:val="es-CO"/>
        </w:rPr>
        <w:t>inembargabilidad.</w:t>
      </w:r>
      <w:r>
        <w:rPr>
          <w:rFonts w:ascii="Arial" w:hAnsi="Arial" w:cs="Arial"/>
          <w:lang w:val="es-CO"/>
        </w:rPr>
        <w:t xml:space="preserve"> Para efecto de los embargos a cuentas de ahorro, librados por la Unidad Administrativa Especial Dirección de Impuestos y Aduanas Nacionales– DIAN dentro de los procesos administrativos de cobro que esta adelante contra personas naturales,</w:t>
      </w:r>
      <w:r>
        <w:rPr>
          <w:rFonts w:ascii="Arial" w:hAnsi="Arial" w:cs="Arial"/>
          <w:lang w:val="es-CO"/>
        </w:rPr>
        <w:t xml:space="preserve"> a que se refiere el artículo 837-1 del Estatuto Tributario, el límite de inembargabilidad es el equivalente a quinientas diez (510) Unidades de Valor Tributario, (UVT), depositados en la cuenta de ahorros más antigua de la cual sea titular el contribuyent</w:t>
      </w:r>
      <w:r>
        <w:rPr>
          <w:rFonts w:ascii="Arial" w:hAnsi="Arial" w:cs="Arial"/>
          <w:lang w:val="es-CO"/>
        </w:rPr>
        <w:t>e</w:t>
      </w:r>
    </w:p>
    <w:p w14:paraId="69BE060F" w14:textId="77777777" w:rsidR="00B2442D" w:rsidRDefault="00B2442D">
      <w:pPr>
        <w:jc w:val="both"/>
        <w:rPr>
          <w:rFonts w:ascii="Arial" w:hAnsi="Arial" w:cs="Arial"/>
          <w:lang w:val="es-CO"/>
        </w:rPr>
      </w:pPr>
    </w:p>
    <w:p w14:paraId="39FB4DE2" w14:textId="77777777" w:rsidR="00B2442D" w:rsidRDefault="008A645F">
      <w:pPr>
        <w:jc w:val="both"/>
        <w:rPr>
          <w:rFonts w:ascii="Arial" w:hAnsi="Arial" w:cs="Arial"/>
          <w:i/>
          <w:lang w:val="es-CO"/>
        </w:rPr>
      </w:pPr>
      <w:r>
        <w:rPr>
          <w:rFonts w:ascii="Arial" w:hAnsi="Arial" w:cs="Arial"/>
          <w:i/>
          <w:lang w:val="es-CO"/>
        </w:rPr>
        <w:t>(Art. 3, Decreto 379 de 2007)</w:t>
      </w:r>
      <w:r>
        <w:rPr>
          <w:rFonts w:ascii="Arial" w:hAnsi="Arial" w:cs="Arial"/>
        </w:rPr>
        <w:t xml:space="preserve"> </w:t>
      </w:r>
      <w:r>
        <w:rPr>
          <w:rFonts w:ascii="Arial" w:hAnsi="Arial" w:cs="Arial"/>
          <w:i/>
          <w:lang w:val="es-CO"/>
        </w:rPr>
        <w:t>(El Decreto 379 de 2007 rige a partir de su publicación y deroga las disposiciones que le sean contrarias, en especial el parágrafo 2° del artículo 6° del Decreto 4583 de 2006. Art. 12, Decreto 379 de 2007)</w:t>
      </w:r>
    </w:p>
    <w:p w14:paraId="78E7A82C" w14:textId="77777777" w:rsidR="00B2442D" w:rsidRDefault="00B2442D">
      <w:pPr>
        <w:jc w:val="both"/>
        <w:rPr>
          <w:rFonts w:ascii="Arial" w:hAnsi="Arial" w:cs="Arial"/>
          <w:lang w:val="es-CO"/>
        </w:rPr>
      </w:pPr>
    </w:p>
    <w:p w14:paraId="6A2B8E5A" w14:textId="77777777" w:rsidR="00B2442D" w:rsidRDefault="008A645F">
      <w:pPr>
        <w:pStyle w:val="Prrafodelista"/>
        <w:numPr>
          <w:ilvl w:val="0"/>
          <w:numId w:val="135"/>
        </w:numPr>
        <w:ind w:left="0" w:firstLine="0"/>
        <w:jc w:val="both"/>
        <w:rPr>
          <w:rFonts w:ascii="Arial" w:hAnsi="Arial" w:cs="Arial"/>
          <w:lang w:val="es-CO"/>
        </w:rPr>
      </w:pPr>
      <w:r>
        <w:rPr>
          <w:rFonts w:ascii="Arial" w:hAnsi="Arial" w:cs="Arial"/>
          <w:b/>
          <w:i/>
          <w:lang w:val="es-CO"/>
        </w:rPr>
        <w:t>Cobro de los va</w:t>
      </w:r>
      <w:r>
        <w:rPr>
          <w:rFonts w:ascii="Arial" w:hAnsi="Arial" w:cs="Arial"/>
          <w:b/>
          <w:i/>
          <w:lang w:val="es-CO"/>
        </w:rPr>
        <w:t>lores por concepto de actualización.</w:t>
      </w:r>
      <w:r>
        <w:rPr>
          <w:rFonts w:ascii="Arial" w:hAnsi="Arial" w:cs="Arial"/>
          <w:lang w:val="es-CO"/>
        </w:rPr>
        <w:t xml:space="preserve"> Para el cobro de los valores por concepto de actualización será suficiente la liquidación que de ellos haya efectuado el funcionario competente de la Unidad Administrativa Especial Dirección de Impuestos y Aduanas Nacio</w:t>
      </w:r>
      <w:r>
        <w:rPr>
          <w:rFonts w:ascii="Arial" w:hAnsi="Arial" w:cs="Arial"/>
          <w:lang w:val="es-CO"/>
        </w:rPr>
        <w:t>nales– DIAN.</w:t>
      </w:r>
    </w:p>
    <w:p w14:paraId="240101F7" w14:textId="77777777" w:rsidR="00B2442D" w:rsidRDefault="00B2442D">
      <w:pPr>
        <w:jc w:val="both"/>
        <w:rPr>
          <w:rFonts w:ascii="Arial" w:hAnsi="Arial" w:cs="Arial"/>
          <w:i/>
          <w:lang w:val="es-CO"/>
        </w:rPr>
      </w:pPr>
    </w:p>
    <w:p w14:paraId="55B53074" w14:textId="77777777" w:rsidR="00B2442D" w:rsidRDefault="008A645F">
      <w:pPr>
        <w:jc w:val="both"/>
        <w:rPr>
          <w:rFonts w:ascii="Arial" w:hAnsi="Arial" w:cs="Arial"/>
          <w:i/>
          <w:lang w:val="es-CO"/>
        </w:rPr>
      </w:pPr>
      <w:r>
        <w:rPr>
          <w:rFonts w:ascii="Arial" w:hAnsi="Arial" w:cs="Arial"/>
          <w:i/>
          <w:lang w:val="es-CO"/>
        </w:rPr>
        <w:t>(Art. 6, Decreto 0020 de 1994)</w:t>
      </w:r>
    </w:p>
    <w:p w14:paraId="2310B62C" w14:textId="77777777" w:rsidR="00B2442D" w:rsidRDefault="00B2442D">
      <w:pPr>
        <w:jc w:val="both"/>
        <w:rPr>
          <w:rFonts w:ascii="Arial" w:hAnsi="Arial" w:cs="Arial"/>
          <w:lang w:val="es-CO"/>
        </w:rPr>
      </w:pPr>
    </w:p>
    <w:p w14:paraId="53297C44" w14:textId="77777777" w:rsidR="00B2442D" w:rsidRDefault="00B2442D">
      <w:pPr>
        <w:jc w:val="both"/>
        <w:rPr>
          <w:rFonts w:ascii="Arial" w:hAnsi="Arial" w:cs="Arial"/>
          <w:lang w:val="es-CO"/>
        </w:rPr>
      </w:pPr>
    </w:p>
    <w:p w14:paraId="79912513" w14:textId="77777777" w:rsidR="00B2442D" w:rsidRDefault="008A645F">
      <w:pPr>
        <w:pStyle w:val="Ttulo3"/>
      </w:pPr>
      <w:bookmarkStart w:id="46" w:name="_Toc479171201"/>
      <w:r>
        <w:t>TÍTULO 3</w:t>
      </w:r>
      <w:bookmarkEnd w:id="46"/>
    </w:p>
    <w:p w14:paraId="50484B14" w14:textId="77777777" w:rsidR="00B2442D" w:rsidRDefault="008A645F">
      <w:pPr>
        <w:pStyle w:val="Ttulo3"/>
      </w:pPr>
      <w:bookmarkStart w:id="47" w:name="_Toc479171202"/>
      <w:r>
        <w:t>Régimen Sancionatorio</w:t>
      </w:r>
      <w:bookmarkEnd w:id="47"/>
    </w:p>
    <w:p w14:paraId="00751DCE" w14:textId="77777777" w:rsidR="00B2442D" w:rsidRDefault="00B2442D">
      <w:pPr>
        <w:jc w:val="both"/>
        <w:rPr>
          <w:rFonts w:ascii="Arial" w:hAnsi="Arial" w:cs="Arial"/>
          <w:lang w:val="es-CO"/>
        </w:rPr>
      </w:pPr>
    </w:p>
    <w:p w14:paraId="28050BA7" w14:textId="77777777" w:rsidR="00B2442D" w:rsidRDefault="008A645F">
      <w:pPr>
        <w:pStyle w:val="Ttulo4"/>
        <w:rPr>
          <w:lang w:val="es-CO"/>
        </w:rPr>
      </w:pPr>
      <w:r>
        <w:rPr>
          <w:lang w:val="es-CO"/>
        </w:rPr>
        <w:t>CAPÍTULO 1</w:t>
      </w:r>
    </w:p>
    <w:p w14:paraId="649CD8C3" w14:textId="77777777" w:rsidR="00B2442D" w:rsidRDefault="008A645F">
      <w:pPr>
        <w:pStyle w:val="Ttulo4"/>
        <w:rPr>
          <w:lang w:val="es-CO"/>
        </w:rPr>
      </w:pPr>
      <w:r>
        <w:rPr>
          <w:lang w:val="es-CO"/>
        </w:rPr>
        <w:t>Sanciones relacionadas con la documentación comprobatoria y la declaración informativa de Precios de Transferencia</w:t>
      </w:r>
    </w:p>
    <w:p w14:paraId="7034A709" w14:textId="77777777" w:rsidR="00B2442D" w:rsidRDefault="00B2442D">
      <w:pPr>
        <w:rPr>
          <w:rFonts w:ascii="Arial" w:hAnsi="Arial" w:cs="Arial"/>
          <w:lang w:val="es-CO"/>
        </w:rPr>
      </w:pPr>
    </w:p>
    <w:p w14:paraId="2EF905E6" w14:textId="77777777" w:rsidR="00B2442D" w:rsidRDefault="008A645F">
      <w:pPr>
        <w:pStyle w:val="Prrafodelista"/>
        <w:numPr>
          <w:ilvl w:val="0"/>
          <w:numId w:val="137"/>
        </w:numPr>
        <w:ind w:left="0" w:firstLine="0"/>
        <w:jc w:val="both"/>
        <w:rPr>
          <w:rFonts w:ascii="Arial" w:hAnsi="Arial" w:cs="Arial"/>
          <w:lang w:val="es-CO"/>
        </w:rPr>
      </w:pPr>
      <w:r>
        <w:rPr>
          <w:rFonts w:ascii="Arial" w:hAnsi="Arial" w:cs="Arial"/>
          <w:b/>
          <w:i/>
          <w:lang w:val="es-CO"/>
        </w:rPr>
        <w:t>Documentación comprobatoria.</w:t>
      </w:r>
      <w:r>
        <w:rPr>
          <w:rFonts w:ascii="Arial" w:hAnsi="Arial" w:cs="Arial"/>
          <w:lang w:val="es-CO"/>
        </w:rPr>
        <w:t xml:space="preserve"> En atención a lo preceptuado en el artículo 197 de la Ley 1607 de 2012, según el cual en la aplicación de las sanciones a que se refiere el Régimen Tributario Nacional se deben atender los principios que allí se señalan, para efectos de la imposición de s</w:t>
      </w:r>
      <w:r>
        <w:rPr>
          <w:rFonts w:ascii="Arial" w:hAnsi="Arial" w:cs="Arial"/>
          <w:lang w:val="es-CO"/>
        </w:rPr>
        <w:t>anciones relacionadas con la documentación comprobatoria, no habrá lugar a aplicar la sanción por desconocimiento de costos y deducciones, si el contribuyente subsana en forma voluntaria y con anterioridad a la notificación de la liquidación de revisión, l</w:t>
      </w:r>
      <w:r>
        <w:rPr>
          <w:rFonts w:ascii="Arial" w:hAnsi="Arial" w:cs="Arial"/>
          <w:lang w:val="es-CO"/>
        </w:rPr>
        <w:t>a omisión de que tratan los numerales 3 y 4 del literal A. del artículo 260-11 del Estatuto Tributario.</w:t>
      </w:r>
    </w:p>
    <w:p w14:paraId="22640553" w14:textId="77777777" w:rsidR="00B2442D" w:rsidRDefault="00B2442D">
      <w:pPr>
        <w:jc w:val="both"/>
        <w:rPr>
          <w:rFonts w:ascii="Arial" w:hAnsi="Arial" w:cs="Arial"/>
          <w:lang w:val="es-CO"/>
        </w:rPr>
      </w:pPr>
    </w:p>
    <w:p w14:paraId="722D008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Sin perjuicio de lo anterior, cuando el contribuyente no presente la documentación comprobatoria de que trata el artículo 260-5 del Estatuto</w:t>
      </w:r>
      <w:r>
        <w:rPr>
          <w:rFonts w:ascii="Arial" w:hAnsi="Arial" w:cs="Arial"/>
          <w:lang w:val="es-CO"/>
        </w:rPr>
        <w:t xml:space="preserve"> Tributario, habrá lugar al desconocimiento de costos y gastos.</w:t>
      </w:r>
    </w:p>
    <w:p w14:paraId="437AA199" w14:textId="77777777" w:rsidR="00B2442D" w:rsidRDefault="00B2442D">
      <w:pPr>
        <w:jc w:val="both"/>
        <w:rPr>
          <w:rFonts w:ascii="Arial" w:hAnsi="Arial" w:cs="Arial"/>
          <w:lang w:val="es-CO"/>
        </w:rPr>
      </w:pPr>
    </w:p>
    <w:p w14:paraId="529640F9" w14:textId="77777777" w:rsidR="00B2442D" w:rsidRDefault="008A645F">
      <w:pPr>
        <w:jc w:val="both"/>
        <w:rPr>
          <w:rFonts w:ascii="Arial" w:hAnsi="Arial" w:cs="Arial"/>
          <w:i/>
          <w:lang w:val="es-CO"/>
        </w:rPr>
      </w:pPr>
      <w:r>
        <w:rPr>
          <w:rFonts w:ascii="Arial" w:hAnsi="Arial" w:cs="Arial"/>
          <w:i/>
          <w:lang w:val="es-CO"/>
        </w:rPr>
        <w:t>(Art. 23,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w:t>
      </w:r>
      <w:r>
        <w:rPr>
          <w:rFonts w:ascii="Arial" w:hAnsi="Arial" w:cs="Arial"/>
          <w:i/>
          <w:lang w:val="es-CO"/>
        </w:rPr>
        <w:t>rt. 26, Decreto 3030 de 2013)</w:t>
      </w:r>
    </w:p>
    <w:p w14:paraId="69477ADA" w14:textId="77777777" w:rsidR="00B2442D" w:rsidRDefault="00B2442D">
      <w:pPr>
        <w:jc w:val="both"/>
        <w:rPr>
          <w:rFonts w:ascii="Arial" w:hAnsi="Arial" w:cs="Arial"/>
          <w:lang w:val="es-CO"/>
        </w:rPr>
      </w:pPr>
    </w:p>
    <w:p w14:paraId="7640FAB2" w14:textId="77777777" w:rsidR="00B2442D" w:rsidRDefault="008A645F">
      <w:pPr>
        <w:pStyle w:val="Prrafodelista"/>
        <w:numPr>
          <w:ilvl w:val="0"/>
          <w:numId w:val="137"/>
        </w:numPr>
        <w:ind w:left="0" w:firstLine="0"/>
        <w:jc w:val="both"/>
        <w:rPr>
          <w:rFonts w:ascii="Arial" w:hAnsi="Arial" w:cs="Arial"/>
          <w:lang w:val="es-CO"/>
        </w:rPr>
      </w:pPr>
      <w:r>
        <w:rPr>
          <w:rFonts w:ascii="Arial" w:hAnsi="Arial" w:cs="Arial"/>
          <w:b/>
          <w:i/>
          <w:lang w:val="es-CO"/>
        </w:rPr>
        <w:t>Declaración informativa.</w:t>
      </w:r>
      <w:r>
        <w:rPr>
          <w:rFonts w:ascii="Arial" w:hAnsi="Arial" w:cs="Arial"/>
          <w:lang w:val="es-CO"/>
        </w:rPr>
        <w:t xml:space="preserve"> En atención a lo preceptuado en el artículo 197 de la Ley 1607 de 2012, según el cual en la aplicación de las sanciones a que se refiere el Régimen Tributario Nacional se deben atender los principios </w:t>
      </w:r>
      <w:r>
        <w:rPr>
          <w:rFonts w:ascii="Arial" w:hAnsi="Arial" w:cs="Arial"/>
          <w:lang w:val="es-CO"/>
        </w:rPr>
        <w:t>que allí se señalan, para efectos de la imposición de sanciones relacionadas con la declaración informativa, no habrá lugar a aplicar la sanción por desconocimiento de costos y deducciones, si el contribuyente subsana en forma voluntaria y con anterioridad</w:t>
      </w:r>
      <w:r>
        <w:rPr>
          <w:rFonts w:ascii="Arial" w:hAnsi="Arial" w:cs="Arial"/>
          <w:lang w:val="es-CO"/>
        </w:rPr>
        <w:t xml:space="preserve"> a la notificación de la liquidación de revisión, la omisión de que tratan los numerales 3 y 4 del literal B. del artículo 260-11 del Estatuto Tributario.</w:t>
      </w:r>
    </w:p>
    <w:p w14:paraId="35DE8862" w14:textId="77777777" w:rsidR="00B2442D" w:rsidRDefault="00B2442D">
      <w:pPr>
        <w:jc w:val="both"/>
        <w:rPr>
          <w:rFonts w:ascii="Arial" w:hAnsi="Arial" w:cs="Arial"/>
          <w:lang w:val="es-CO"/>
        </w:rPr>
      </w:pPr>
    </w:p>
    <w:p w14:paraId="3522EC0C" w14:textId="77777777" w:rsidR="00B2442D" w:rsidRDefault="008A645F">
      <w:pPr>
        <w:jc w:val="both"/>
        <w:rPr>
          <w:rFonts w:ascii="Arial" w:hAnsi="Arial" w:cs="Arial"/>
          <w:i/>
          <w:lang w:val="es-CO"/>
        </w:rPr>
      </w:pPr>
      <w:r>
        <w:rPr>
          <w:rFonts w:ascii="Arial" w:hAnsi="Arial" w:cs="Arial"/>
          <w:i/>
          <w:lang w:val="es-CO"/>
        </w:rPr>
        <w:t>(Art. 24, Decreto 3030 de 2013)</w:t>
      </w:r>
      <w:r>
        <w:rPr>
          <w:rFonts w:ascii="Arial" w:hAnsi="Arial" w:cs="Arial"/>
        </w:rPr>
        <w:t xml:space="preserve"> </w:t>
      </w:r>
      <w:r>
        <w:rPr>
          <w:rFonts w:ascii="Arial" w:hAnsi="Arial" w:cs="Arial"/>
          <w:i/>
          <w:lang w:val="es-CO"/>
        </w:rPr>
        <w:t>(El Decreto 3030 de 2013 rige a partir de la fecha de su publicación</w:t>
      </w:r>
      <w:r>
        <w:rPr>
          <w:rFonts w:ascii="Arial" w:hAnsi="Arial" w:cs="Arial"/>
          <w:i/>
          <w:lang w:val="es-CO"/>
        </w:rPr>
        <w:t xml:space="preserve"> y deroga las normas que le sean contrarias, en especial, el Decreto número 4349 de 2004. Art. 26, Decreto 3030 de 2013)</w:t>
      </w:r>
    </w:p>
    <w:p w14:paraId="17C65709" w14:textId="77777777" w:rsidR="00B2442D" w:rsidRDefault="00B2442D">
      <w:pPr>
        <w:jc w:val="both"/>
        <w:rPr>
          <w:rFonts w:ascii="Arial" w:hAnsi="Arial" w:cs="Arial"/>
          <w:lang w:val="es-CO"/>
        </w:rPr>
      </w:pPr>
    </w:p>
    <w:p w14:paraId="2F05C378" w14:textId="77777777" w:rsidR="00B2442D" w:rsidRDefault="008A645F">
      <w:pPr>
        <w:pStyle w:val="Prrafodelista"/>
        <w:numPr>
          <w:ilvl w:val="0"/>
          <w:numId w:val="137"/>
        </w:numPr>
        <w:ind w:left="0" w:firstLine="0"/>
        <w:jc w:val="both"/>
        <w:rPr>
          <w:rFonts w:ascii="Arial" w:hAnsi="Arial" w:cs="Arial"/>
          <w:lang w:val="es-CO"/>
        </w:rPr>
      </w:pPr>
      <w:r>
        <w:rPr>
          <w:rFonts w:ascii="Arial" w:hAnsi="Arial" w:cs="Arial"/>
          <w:b/>
          <w:i/>
          <w:lang w:val="es-CO"/>
        </w:rPr>
        <w:t>Sanción reducida en relación con la declaración informativa.</w:t>
      </w:r>
      <w:r>
        <w:rPr>
          <w:rFonts w:ascii="Arial" w:hAnsi="Arial" w:cs="Arial"/>
          <w:lang w:val="es-CO"/>
        </w:rPr>
        <w:t xml:space="preserve"> En atención a lo preceptuado en el artículo 197 de la Ley 1607 de 2012, s</w:t>
      </w:r>
      <w:r>
        <w:rPr>
          <w:rFonts w:ascii="Arial" w:hAnsi="Arial" w:cs="Arial"/>
          <w:lang w:val="es-CO"/>
        </w:rPr>
        <w:t xml:space="preserve">egún el cual en la aplicación de las sanciones a que se refiere el Régimen Tributario Nacional se deben atender los principios que allí se señalan, para efectos de la imposición de sanciones relacionadas con la declaración informativa y de conformidad con </w:t>
      </w:r>
      <w:r>
        <w:rPr>
          <w:rFonts w:ascii="Arial" w:hAnsi="Arial" w:cs="Arial"/>
          <w:lang w:val="es-CO"/>
        </w:rPr>
        <w:t>lo señalado en el parágrafo 1 del literal C. del artículo 260-11 del Estatuto Tributario, cuando el contribuyente no liquide las sanciones de que trata este artículo o las liquide incorrectamente, la Administración Tributaria, las liquidará incrementadas e</w:t>
      </w:r>
      <w:r>
        <w:rPr>
          <w:rFonts w:ascii="Arial" w:hAnsi="Arial" w:cs="Arial"/>
          <w:lang w:val="es-CO"/>
        </w:rPr>
        <w:t>n un treinta por ciento (30%).</w:t>
      </w:r>
    </w:p>
    <w:p w14:paraId="0B28AC36" w14:textId="77777777" w:rsidR="00B2442D" w:rsidRDefault="00B2442D">
      <w:pPr>
        <w:jc w:val="both"/>
        <w:rPr>
          <w:rFonts w:ascii="Arial" w:hAnsi="Arial" w:cs="Arial"/>
          <w:lang w:val="es-CO"/>
        </w:rPr>
      </w:pPr>
    </w:p>
    <w:p w14:paraId="32635063" w14:textId="77777777" w:rsidR="00B2442D" w:rsidRDefault="008A645F">
      <w:pPr>
        <w:jc w:val="both"/>
        <w:rPr>
          <w:rFonts w:ascii="Arial" w:hAnsi="Arial" w:cs="Arial"/>
          <w:lang w:val="es-CO"/>
        </w:rPr>
      </w:pPr>
      <w:r>
        <w:rPr>
          <w:rFonts w:ascii="Arial" w:hAnsi="Arial" w:cs="Arial"/>
          <w:lang w:val="es-CO"/>
        </w:rPr>
        <w:t>De conformidad con el inciso 3° del numeral 6 del literal B. del artículo 260-11 el contribuyente podrá corregir voluntariamente la declaración informativa dentro de los dos (2) años siguientes contados a partir del vencimie</w:t>
      </w:r>
      <w:r>
        <w:rPr>
          <w:rFonts w:ascii="Arial" w:hAnsi="Arial" w:cs="Arial"/>
          <w:lang w:val="es-CO"/>
        </w:rPr>
        <w:t>nto del plazo para declarar, autoliquidando las sanciones pecuniarias a que se refieren los numerales 2, 3 y 4 del literal B. del artículo 260-11 del Estatuto Tributario, reducidas al cincuenta por ciento (50%), si las inconsistencias u omisiones son subsa</w:t>
      </w:r>
      <w:r>
        <w:rPr>
          <w:rFonts w:ascii="Arial" w:hAnsi="Arial" w:cs="Arial"/>
          <w:lang w:val="es-CO"/>
        </w:rPr>
        <w:t>nadas voluntariamente por el contribuyente, antes de la notificación del pliego de cargos o del requerimiento especial, según el caso.</w:t>
      </w:r>
    </w:p>
    <w:p w14:paraId="270FA55B" w14:textId="77777777" w:rsidR="00B2442D" w:rsidRDefault="00B2442D">
      <w:pPr>
        <w:jc w:val="both"/>
        <w:rPr>
          <w:rFonts w:ascii="Arial" w:hAnsi="Arial" w:cs="Arial"/>
          <w:lang w:val="es-CO"/>
        </w:rPr>
      </w:pPr>
    </w:p>
    <w:p w14:paraId="1E47612A" w14:textId="77777777" w:rsidR="00B2442D" w:rsidRDefault="008A645F">
      <w:pPr>
        <w:jc w:val="both"/>
        <w:rPr>
          <w:rFonts w:ascii="Arial" w:hAnsi="Arial" w:cs="Arial"/>
          <w:lang w:val="es-CO"/>
        </w:rPr>
      </w:pPr>
      <w:r>
        <w:rPr>
          <w:rFonts w:ascii="Arial" w:hAnsi="Arial" w:cs="Arial"/>
          <w:lang w:val="es-CO"/>
        </w:rPr>
        <w:t>Las correcciones efectuadas bajo los parámetros antes descritos, no se tendrán en cuenta a efectos de la aplicación de l</w:t>
      </w:r>
      <w:r>
        <w:rPr>
          <w:rFonts w:ascii="Arial" w:hAnsi="Arial" w:cs="Arial"/>
          <w:lang w:val="es-CO"/>
        </w:rPr>
        <w:t>a sanción por comportamiento reincidente de que trata el literal C. del artículo 260-11 del Estatuto Tributario.</w:t>
      </w:r>
    </w:p>
    <w:p w14:paraId="33673837" w14:textId="77777777" w:rsidR="00B2442D" w:rsidRDefault="00B2442D">
      <w:pPr>
        <w:jc w:val="both"/>
        <w:rPr>
          <w:rFonts w:ascii="Arial" w:hAnsi="Arial" w:cs="Arial"/>
          <w:lang w:val="es-CO"/>
        </w:rPr>
      </w:pPr>
    </w:p>
    <w:p w14:paraId="19E4530D"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En la presentación extemporánea de la declaración informativa a que hace referencia en numeral 1 del literal B. del artículo 260-11</w:t>
      </w:r>
      <w:r>
        <w:rPr>
          <w:rFonts w:ascii="Arial" w:hAnsi="Arial" w:cs="Arial"/>
          <w:lang w:val="es-CO"/>
        </w:rPr>
        <w:t xml:space="preserve"> del Estatuto Tributario, el contribuyente podrá autoliquidar las sanciones a que haya lugar.</w:t>
      </w:r>
    </w:p>
    <w:p w14:paraId="6752CE9F" w14:textId="77777777" w:rsidR="00B2442D" w:rsidRDefault="00B2442D">
      <w:pPr>
        <w:jc w:val="both"/>
        <w:rPr>
          <w:rFonts w:ascii="Arial" w:hAnsi="Arial" w:cs="Arial"/>
          <w:lang w:val="es-CO"/>
        </w:rPr>
      </w:pPr>
    </w:p>
    <w:p w14:paraId="6ECD8CBD" w14:textId="77777777" w:rsidR="00B2442D" w:rsidRDefault="008A645F">
      <w:pPr>
        <w:jc w:val="both"/>
        <w:rPr>
          <w:rFonts w:ascii="Arial" w:hAnsi="Arial" w:cs="Arial"/>
          <w:lang w:val="es-CO"/>
        </w:rPr>
      </w:pPr>
      <w:r>
        <w:rPr>
          <w:rFonts w:ascii="Arial" w:hAnsi="Arial" w:cs="Arial"/>
          <w:lang w:val="es-CO"/>
        </w:rPr>
        <w:t xml:space="preserve">Cuando el contribuyente presente extemporáneamente la declaración informativa de precios de transferencia y liquide correctamente la sanción por extemporaneidad </w:t>
      </w:r>
      <w:r>
        <w:rPr>
          <w:rFonts w:ascii="Arial" w:hAnsi="Arial" w:cs="Arial"/>
          <w:lang w:val="es-CO"/>
        </w:rPr>
        <w:t>antes de la notificación del emplazamiento para declarar o del pliego de cargos, no se tendrá en cuenta dicha declaración extemporánea a efectos de la aplicación de la sanción por comportamiento reincidente de que trata el literal C. del artículo 260-11 de</w:t>
      </w:r>
      <w:r>
        <w:rPr>
          <w:rFonts w:ascii="Arial" w:hAnsi="Arial" w:cs="Arial"/>
          <w:lang w:val="es-CO"/>
        </w:rPr>
        <w:t>l Estatuto Tributario.</w:t>
      </w:r>
    </w:p>
    <w:p w14:paraId="5E9D2CD6" w14:textId="77777777" w:rsidR="00B2442D" w:rsidRDefault="00B2442D">
      <w:pPr>
        <w:jc w:val="both"/>
        <w:rPr>
          <w:rFonts w:ascii="Arial" w:hAnsi="Arial" w:cs="Arial"/>
          <w:lang w:val="es-CO"/>
        </w:rPr>
      </w:pPr>
    </w:p>
    <w:p w14:paraId="4ECE0973" w14:textId="77777777" w:rsidR="00B2442D" w:rsidRDefault="008A645F">
      <w:pPr>
        <w:ind w:left="-142"/>
        <w:jc w:val="both"/>
        <w:rPr>
          <w:rFonts w:ascii="Arial" w:hAnsi="Arial" w:cs="Arial"/>
          <w:i/>
          <w:lang w:val="es-CO"/>
        </w:rPr>
      </w:pPr>
      <w:r>
        <w:rPr>
          <w:rFonts w:ascii="Arial" w:hAnsi="Arial" w:cs="Arial"/>
          <w:i/>
          <w:lang w:val="es-CO"/>
        </w:rPr>
        <w:t>(Art. 25, Decreto 3030 de 2013)</w:t>
      </w:r>
      <w:r>
        <w:rPr>
          <w:rFonts w:ascii="Arial" w:hAnsi="Arial" w:cs="Arial"/>
        </w:rPr>
        <w:t xml:space="preserve"> </w:t>
      </w:r>
      <w:r>
        <w:rPr>
          <w:rFonts w:ascii="Arial" w:hAnsi="Arial" w:cs="Arial"/>
          <w:i/>
          <w:lang w:val="es-CO"/>
        </w:rPr>
        <w:t>(El Decreto 3030 de 2013 rige a partir de la fecha de su publicación y deroga las normas que le sean contrarias, en especial, el Decreto número 4349 de 2004. Art. 26, Decreto 3030 de 2013)</w:t>
      </w:r>
    </w:p>
    <w:p w14:paraId="514D5658" w14:textId="77777777" w:rsidR="00B2442D" w:rsidRDefault="00B2442D">
      <w:pPr>
        <w:jc w:val="both"/>
        <w:rPr>
          <w:rFonts w:ascii="Arial" w:hAnsi="Arial" w:cs="Arial"/>
          <w:i/>
          <w:lang w:val="es-CO"/>
        </w:rPr>
      </w:pPr>
    </w:p>
    <w:p w14:paraId="1EF65872" w14:textId="77777777" w:rsidR="00B2442D" w:rsidRDefault="008A645F">
      <w:pPr>
        <w:pStyle w:val="Ttulo4"/>
        <w:rPr>
          <w:lang w:val="es-CO"/>
        </w:rPr>
      </w:pPr>
      <w:r>
        <w:rPr>
          <w:lang w:val="es-CO"/>
        </w:rPr>
        <w:t>CAPÍTULO 2</w:t>
      </w:r>
    </w:p>
    <w:p w14:paraId="6BABC529" w14:textId="77777777" w:rsidR="00B2442D" w:rsidRDefault="008A645F">
      <w:pPr>
        <w:pStyle w:val="Ttulo4"/>
        <w:rPr>
          <w:lang w:val="es-CO"/>
        </w:rPr>
      </w:pPr>
      <w:r>
        <w:rPr>
          <w:lang w:val="es-CO"/>
        </w:rPr>
        <w:t xml:space="preserve">Sanciones por incumplimiento de obligaciones </w:t>
      </w:r>
    </w:p>
    <w:p w14:paraId="37B79521" w14:textId="77777777" w:rsidR="00B2442D" w:rsidRDefault="00B2442D">
      <w:pPr>
        <w:jc w:val="both"/>
        <w:rPr>
          <w:rFonts w:ascii="Arial" w:hAnsi="Arial" w:cs="Arial"/>
          <w:lang w:val="es-CO"/>
        </w:rPr>
      </w:pPr>
    </w:p>
    <w:p w14:paraId="18E0E7BC" w14:textId="77777777" w:rsidR="00B2442D" w:rsidRDefault="008A645F">
      <w:pPr>
        <w:pStyle w:val="Prrafodelista"/>
        <w:numPr>
          <w:ilvl w:val="0"/>
          <w:numId w:val="158"/>
        </w:numPr>
        <w:ind w:left="0" w:firstLine="0"/>
        <w:jc w:val="both"/>
        <w:rPr>
          <w:rFonts w:ascii="Arial" w:hAnsi="Arial" w:cs="Arial"/>
          <w:lang w:val="es-CO"/>
        </w:rPr>
      </w:pPr>
      <w:r>
        <w:rPr>
          <w:rFonts w:ascii="Arial" w:hAnsi="Arial" w:cs="Arial"/>
          <w:b/>
          <w:i/>
          <w:lang w:val="es-CO"/>
        </w:rPr>
        <w:t xml:space="preserve">Sanciones a Notarios y demás funcionarios. </w:t>
      </w:r>
      <w:r>
        <w:rPr>
          <w:rFonts w:ascii="Arial" w:hAnsi="Arial" w:cs="Arial"/>
          <w:lang w:val="es-CO"/>
        </w:rPr>
        <w:t xml:space="preserve">De conformidad con lo dispuesto en el artículo 40 de la Ley 55 de 1985, los Notarios y demás funcionarios que autoricen escrituras o traspasos, sin que </w:t>
      </w:r>
      <w:r>
        <w:rPr>
          <w:rFonts w:ascii="Arial" w:hAnsi="Arial" w:cs="Arial"/>
          <w:lang w:val="es-CO"/>
        </w:rPr>
        <w:t>se acredite previamente la cancelación del impuesto retenido, incurrirán en una multa equivalente al doble del valor que ha debido ser cancelado, la cual se impondrá por el respectivo Administrador de Impuestos o su delegado, previa comprobación del hecho.</w:t>
      </w:r>
    </w:p>
    <w:p w14:paraId="0726DB7C" w14:textId="77777777" w:rsidR="00B2442D" w:rsidRDefault="00B2442D">
      <w:pPr>
        <w:jc w:val="both"/>
        <w:rPr>
          <w:rFonts w:ascii="Arial" w:hAnsi="Arial" w:cs="Arial"/>
          <w:i/>
          <w:lang w:val="es-CO"/>
        </w:rPr>
      </w:pPr>
    </w:p>
    <w:p w14:paraId="78BEE2C2" w14:textId="77777777" w:rsidR="00B2442D" w:rsidRDefault="008A645F">
      <w:pPr>
        <w:jc w:val="both"/>
        <w:rPr>
          <w:rFonts w:ascii="Arial" w:hAnsi="Arial" w:cs="Arial"/>
          <w:i/>
          <w:lang w:val="es-CO"/>
        </w:rPr>
      </w:pPr>
      <w:r>
        <w:rPr>
          <w:rFonts w:ascii="Arial" w:hAnsi="Arial" w:cs="Arial"/>
          <w:i/>
          <w:lang w:val="es-CO"/>
        </w:rPr>
        <w:t>(Art. 15, Decreto 460 de 1986)</w:t>
      </w:r>
    </w:p>
    <w:p w14:paraId="4E0E2DF4" w14:textId="77777777" w:rsidR="00B2442D" w:rsidRDefault="00B2442D">
      <w:pPr>
        <w:jc w:val="both"/>
        <w:rPr>
          <w:rFonts w:ascii="Arial" w:hAnsi="Arial" w:cs="Arial"/>
          <w:i/>
          <w:lang w:val="es-CO"/>
        </w:rPr>
      </w:pPr>
    </w:p>
    <w:p w14:paraId="1105BEB0" w14:textId="77777777" w:rsidR="00B2442D" w:rsidRDefault="008A645F">
      <w:pPr>
        <w:pStyle w:val="Ttulo2"/>
      </w:pPr>
      <w:bookmarkStart w:id="48" w:name="_Toc479171203"/>
      <w:r>
        <w:t>PARTE 7</w:t>
      </w:r>
      <w:bookmarkEnd w:id="48"/>
    </w:p>
    <w:p w14:paraId="24711FA2" w14:textId="77777777" w:rsidR="00B2442D" w:rsidRDefault="008A645F">
      <w:pPr>
        <w:pStyle w:val="Ttulo2"/>
      </w:pPr>
      <w:bookmarkStart w:id="49" w:name="_Toc479171204"/>
      <w:r>
        <w:t>Normas internacionales de información financiera – NIIF</w:t>
      </w:r>
      <w:bookmarkEnd w:id="49"/>
    </w:p>
    <w:p w14:paraId="22D75E73" w14:textId="77777777" w:rsidR="00B2442D" w:rsidRDefault="00B2442D">
      <w:pPr>
        <w:rPr>
          <w:rFonts w:ascii="Arial" w:hAnsi="Arial" w:cs="Arial"/>
          <w:lang w:val="es-CO"/>
        </w:rPr>
      </w:pPr>
    </w:p>
    <w:p w14:paraId="3B4F1807"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Implementación.</w:t>
      </w:r>
      <w:r>
        <w:rPr>
          <w:rFonts w:ascii="Arial" w:hAnsi="Arial" w:cs="Arial"/>
          <w:lang w:val="es-CO"/>
        </w:rPr>
        <w:t xml:space="preserve"> Para efectos de lo dispuesto en el artículo 165 de la Ley 1607 de 2012, las remisiones contenidas en las normas tributarias a las normas cont</w:t>
      </w:r>
      <w:r>
        <w:rPr>
          <w:rFonts w:ascii="Arial" w:hAnsi="Arial" w:cs="Arial"/>
          <w:lang w:val="es-CO"/>
        </w:rPr>
        <w:t>ables continuarán vigentes durante los cuatro (4) años siguientes así:</w:t>
      </w:r>
    </w:p>
    <w:p w14:paraId="64598B80" w14:textId="77777777" w:rsidR="00B2442D" w:rsidRDefault="00B2442D">
      <w:pPr>
        <w:jc w:val="both"/>
        <w:rPr>
          <w:rFonts w:ascii="Arial" w:hAnsi="Arial" w:cs="Arial"/>
          <w:lang w:val="es-CO"/>
        </w:rPr>
      </w:pPr>
    </w:p>
    <w:p w14:paraId="5A4987DD" w14:textId="77777777" w:rsidR="00B2442D" w:rsidRDefault="008A645F">
      <w:pPr>
        <w:ind w:left="426" w:hanging="426"/>
        <w:jc w:val="both"/>
        <w:rPr>
          <w:rFonts w:ascii="Arial" w:hAnsi="Arial" w:cs="Arial"/>
          <w:lang w:val="es-CO"/>
        </w:rPr>
      </w:pPr>
      <w:r>
        <w:rPr>
          <w:rFonts w:ascii="Arial" w:hAnsi="Arial" w:cs="Arial"/>
          <w:lang w:val="es-CO"/>
        </w:rPr>
        <w:t>1.</w:t>
      </w:r>
      <w:r>
        <w:rPr>
          <w:rFonts w:ascii="Arial" w:hAnsi="Arial" w:cs="Arial"/>
          <w:lang w:val="es-CO"/>
        </w:rPr>
        <w:tab/>
        <w:t>Para los preparadores de información pertenecientes al Grupo 1 en los términos del artículo 1° del Decreto 2784 de 2012 y las normas que lo modifiquen, el período de cuatro (4) años</w:t>
      </w:r>
      <w:r>
        <w:rPr>
          <w:rFonts w:ascii="Arial" w:hAnsi="Arial" w:cs="Arial"/>
          <w:lang w:val="es-CO"/>
        </w:rPr>
        <w:t xml:space="preserve"> inicia el 1° de enero de 2015 y culmina el 31 de diciembre de 2018.</w:t>
      </w:r>
    </w:p>
    <w:p w14:paraId="51EE055F" w14:textId="77777777" w:rsidR="00B2442D" w:rsidRDefault="00B2442D">
      <w:pPr>
        <w:ind w:left="426" w:hanging="426"/>
        <w:jc w:val="both"/>
        <w:rPr>
          <w:rFonts w:ascii="Arial" w:hAnsi="Arial" w:cs="Arial"/>
          <w:lang w:val="es-CO"/>
        </w:rPr>
      </w:pPr>
    </w:p>
    <w:p w14:paraId="3350F06B" w14:textId="77777777" w:rsidR="00B2442D" w:rsidRDefault="008A645F">
      <w:pPr>
        <w:ind w:left="426" w:hanging="426"/>
        <w:jc w:val="both"/>
        <w:rPr>
          <w:rFonts w:ascii="Arial" w:hAnsi="Arial" w:cs="Arial"/>
          <w:lang w:val="es-CO"/>
        </w:rPr>
      </w:pPr>
      <w:r>
        <w:rPr>
          <w:rFonts w:ascii="Arial" w:hAnsi="Arial" w:cs="Arial"/>
          <w:lang w:val="es-CO"/>
        </w:rPr>
        <w:t>2.</w:t>
      </w:r>
      <w:r>
        <w:rPr>
          <w:rFonts w:ascii="Arial" w:hAnsi="Arial" w:cs="Arial"/>
          <w:lang w:val="es-CO"/>
        </w:rPr>
        <w:tab/>
        <w:t>Para los preparadores de información pertenecientes al Grupo 2 en los términos del artículo 1º del Decreto 3022 de 2013 y las normas que lo modifiquen, el período de cuatro (4) años i</w:t>
      </w:r>
      <w:r>
        <w:rPr>
          <w:rFonts w:ascii="Arial" w:hAnsi="Arial" w:cs="Arial"/>
          <w:lang w:val="es-CO"/>
        </w:rPr>
        <w:t>nicia el 1° de enero de 2016 y culmina el 31 de diciembre de 2019.</w:t>
      </w:r>
    </w:p>
    <w:p w14:paraId="432409B8" w14:textId="77777777" w:rsidR="00B2442D" w:rsidRDefault="00B2442D">
      <w:pPr>
        <w:ind w:left="426" w:hanging="426"/>
        <w:jc w:val="both"/>
        <w:rPr>
          <w:rFonts w:ascii="Arial" w:hAnsi="Arial" w:cs="Arial"/>
          <w:lang w:val="es-CO"/>
        </w:rPr>
      </w:pPr>
    </w:p>
    <w:p w14:paraId="5895B14F"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Para los preparadores de información pertenecientes al Grupo 3 en los términos del artículo 1° del Decreto 2706 de 2012 y las normas que lo modifiquen, el período de cuatro (4) años ini</w:t>
      </w:r>
      <w:r>
        <w:rPr>
          <w:rFonts w:ascii="Arial" w:hAnsi="Arial" w:cs="Arial"/>
          <w:lang w:val="es-CO"/>
        </w:rPr>
        <w:t>cia el 1° de enero de 2015 y culmina el 31 de diciembre de 2018.</w:t>
      </w:r>
    </w:p>
    <w:p w14:paraId="01BFF8E6" w14:textId="77777777" w:rsidR="00B2442D" w:rsidRDefault="00B2442D">
      <w:pPr>
        <w:jc w:val="both"/>
        <w:rPr>
          <w:rFonts w:ascii="Arial" w:hAnsi="Arial" w:cs="Arial"/>
          <w:lang w:val="es-CO"/>
        </w:rPr>
      </w:pPr>
    </w:p>
    <w:p w14:paraId="3CBC30D3"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Durante el período aquí mencionado la Unidad Administrativa Especial Dirección de Impuestos y Aduanas Nacionales- DIAN, en conjunto con el Consejo Técnico de la Contaduría Pública</w:t>
      </w:r>
      <w:r>
        <w:rPr>
          <w:rFonts w:ascii="Arial" w:hAnsi="Arial" w:cs="Arial"/>
          <w:lang w:val="es-CO"/>
        </w:rPr>
        <w:t xml:space="preserve"> y los Ministerios de Hacienda y Crédito Público y de Comercio, Industria y Turismo, darán aplicación al cronograma contenido en el Anexo 1 que hace parte integral de la Parte 7 del presente Decreto para medir los impactos tributarios del proceso de conver</w:t>
      </w:r>
      <w:r>
        <w:rPr>
          <w:rFonts w:ascii="Arial" w:hAnsi="Arial" w:cs="Arial"/>
          <w:lang w:val="es-CO"/>
        </w:rPr>
        <w:t>gencia a los nuevos marcos técnicos normativos y proponer las medidas legislativas que correspondan.</w:t>
      </w:r>
    </w:p>
    <w:p w14:paraId="1AA9DB02" w14:textId="77777777" w:rsidR="00B2442D" w:rsidRDefault="008A645F">
      <w:pPr>
        <w:jc w:val="both"/>
        <w:rPr>
          <w:rFonts w:ascii="Arial" w:hAnsi="Arial" w:cs="Arial"/>
          <w:lang w:val="es-CO"/>
        </w:rPr>
      </w:pPr>
      <w:r>
        <w:rPr>
          <w:rFonts w:ascii="Arial" w:hAnsi="Arial" w:cs="Arial"/>
          <w:lang w:val="es-CO"/>
        </w:rPr>
        <w:t xml:space="preserve"> </w:t>
      </w:r>
    </w:p>
    <w:p w14:paraId="0143A9BB" w14:textId="77777777" w:rsidR="00B2442D" w:rsidRDefault="008A645F">
      <w:pPr>
        <w:jc w:val="both"/>
        <w:rPr>
          <w:rFonts w:ascii="Arial" w:hAnsi="Arial" w:cs="Arial"/>
          <w:i/>
          <w:lang w:val="es-CO"/>
        </w:rPr>
      </w:pPr>
      <w:r>
        <w:rPr>
          <w:rFonts w:ascii="Arial" w:hAnsi="Arial" w:cs="Arial"/>
          <w:i/>
          <w:lang w:val="es-CO"/>
        </w:rPr>
        <w:t>(Art. 1, Decreto 2548 de 2014)</w:t>
      </w:r>
    </w:p>
    <w:p w14:paraId="1BD321C9" w14:textId="77777777" w:rsidR="00B2442D" w:rsidRDefault="00B2442D">
      <w:pPr>
        <w:jc w:val="both"/>
        <w:rPr>
          <w:rFonts w:ascii="Arial" w:hAnsi="Arial" w:cs="Arial"/>
          <w:lang w:val="es-CO"/>
        </w:rPr>
      </w:pPr>
    </w:p>
    <w:p w14:paraId="0DC3CE00"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Bases fiscales.</w:t>
      </w:r>
      <w:r>
        <w:rPr>
          <w:rFonts w:ascii="Arial" w:hAnsi="Arial" w:cs="Arial"/>
          <w:lang w:val="es-CO"/>
        </w:rPr>
        <w:t xml:space="preserve"> Las bases fiscales son aquellas determinadas con base en las disposiciones fiscales y todas las remisione</w:t>
      </w:r>
      <w:r>
        <w:rPr>
          <w:rFonts w:ascii="Arial" w:hAnsi="Arial" w:cs="Arial"/>
          <w:lang w:val="es-CO"/>
        </w:rPr>
        <w:t>s a las normas contables. Así, para efectos de lo dispuesto en el artículo 165 de la Ley 1607 de 2012 y durante los plazos señalados en el artículo anterior, todas las remisiones contenidas en las normas tributarias a las normas contables, se entenderán he</w:t>
      </w:r>
      <w:r>
        <w:rPr>
          <w:rFonts w:ascii="Arial" w:hAnsi="Arial" w:cs="Arial"/>
          <w:lang w:val="es-CO"/>
        </w:rPr>
        <w:t>chas para efectos tributarios a los Decretos 2649 de 1993 y 2650 de 1993, los planes únicos de cuentas según corresponda a cada Superintendencia o a la Contaduría General de la Nación, las normas técnicas establecidas por las superintendencias vigentes y a</w:t>
      </w:r>
      <w:r>
        <w:rPr>
          <w:rFonts w:ascii="Arial" w:hAnsi="Arial" w:cs="Arial"/>
          <w:lang w:val="es-CO"/>
        </w:rPr>
        <w:t>plicables a 31 de diciembre de 2014 o aquellas normas técnicas expedidas por la Contaduría General de la Nación vigentes y aplicables a 31 de diciembre de 2014, según sea el caso.</w:t>
      </w:r>
    </w:p>
    <w:p w14:paraId="2BC29AE6" w14:textId="77777777" w:rsidR="00B2442D" w:rsidRDefault="00B2442D">
      <w:pPr>
        <w:jc w:val="both"/>
        <w:rPr>
          <w:rFonts w:ascii="Arial" w:hAnsi="Arial" w:cs="Arial"/>
          <w:lang w:val="es-CO"/>
        </w:rPr>
      </w:pPr>
    </w:p>
    <w:p w14:paraId="63BD30EC"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En desarrollo de los artículos 4° de la Ley 1314 de 2009 y 16</w:t>
      </w:r>
      <w:r>
        <w:rPr>
          <w:rFonts w:ascii="Arial" w:hAnsi="Arial" w:cs="Arial"/>
          <w:lang w:val="es-CO"/>
        </w:rPr>
        <w:t>5 de la Ley 1607 de 2012, las normas expedidas con ocasión de la Ley 1314 de 2009 no tendrán efectos tributarios, durante los plazos de que trata el artículo 1.7.1 del presente Decreto.</w:t>
      </w:r>
    </w:p>
    <w:p w14:paraId="6C0ABB3D" w14:textId="77777777" w:rsidR="00B2442D" w:rsidRDefault="00B2442D">
      <w:pPr>
        <w:jc w:val="both"/>
        <w:rPr>
          <w:rFonts w:ascii="Arial" w:hAnsi="Arial" w:cs="Arial"/>
          <w:lang w:val="es-CO"/>
        </w:rPr>
      </w:pPr>
    </w:p>
    <w:p w14:paraId="72BE1216"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cambios en los valores patrimoniales que surjan con ocasión del proceso de convergencia al nuevo marco técnico de las normas de información financiera expedidas en Colombia, no tendrán efectos tributarios durante los plazos señalados en el artículo 1.</w:t>
      </w:r>
      <w:r>
        <w:rPr>
          <w:rFonts w:ascii="Arial" w:hAnsi="Arial" w:cs="Arial"/>
          <w:lang w:val="es-CO"/>
        </w:rPr>
        <w:t>7.1 del presente decreto.</w:t>
      </w:r>
    </w:p>
    <w:p w14:paraId="00C8CACF" w14:textId="77777777" w:rsidR="00B2442D" w:rsidRDefault="00B2442D">
      <w:pPr>
        <w:jc w:val="both"/>
        <w:rPr>
          <w:rFonts w:ascii="Arial" w:hAnsi="Arial" w:cs="Arial"/>
          <w:lang w:val="es-CO"/>
        </w:rPr>
      </w:pPr>
    </w:p>
    <w:p w14:paraId="32192192"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Para efectos tributarios y de lo dispuesto en la Parte 7 del presente Decreto, las disposiciones fiscales priman sobre aquellas contenidas en las normas de que trata este artículo. En consecuencia, en caso de incomp</w:t>
      </w:r>
      <w:r>
        <w:rPr>
          <w:rFonts w:ascii="Arial" w:hAnsi="Arial" w:cs="Arial"/>
          <w:lang w:val="es-CO"/>
        </w:rPr>
        <w:t>atibilidad entre unas y otras se preferirán las primeras.</w:t>
      </w:r>
    </w:p>
    <w:p w14:paraId="0929A4A0" w14:textId="77777777" w:rsidR="00B2442D" w:rsidRDefault="00B2442D">
      <w:pPr>
        <w:jc w:val="both"/>
        <w:rPr>
          <w:rFonts w:ascii="Arial" w:hAnsi="Arial" w:cs="Arial"/>
          <w:lang w:val="es-CO"/>
        </w:rPr>
      </w:pPr>
    </w:p>
    <w:p w14:paraId="1D9D5127" w14:textId="77777777" w:rsidR="00B2442D" w:rsidRDefault="008A645F">
      <w:pPr>
        <w:jc w:val="both"/>
        <w:rPr>
          <w:rFonts w:ascii="Arial" w:hAnsi="Arial" w:cs="Arial"/>
          <w:i/>
          <w:lang w:val="es-CO"/>
        </w:rPr>
      </w:pPr>
      <w:r>
        <w:rPr>
          <w:rFonts w:ascii="Arial" w:hAnsi="Arial" w:cs="Arial"/>
          <w:i/>
          <w:lang w:val="es-CO"/>
        </w:rPr>
        <w:t>(Art. 2, Decreto 2548 de 2014)</w:t>
      </w:r>
    </w:p>
    <w:p w14:paraId="373EF7C8" w14:textId="77777777" w:rsidR="00B2442D" w:rsidRDefault="00B2442D">
      <w:pPr>
        <w:jc w:val="both"/>
        <w:rPr>
          <w:rFonts w:ascii="Arial" w:hAnsi="Arial" w:cs="Arial"/>
          <w:b/>
          <w:lang w:val="es-CO"/>
        </w:rPr>
      </w:pPr>
    </w:p>
    <w:p w14:paraId="05B4951B"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Registros obligatorios.</w:t>
      </w:r>
      <w:r>
        <w:rPr>
          <w:rFonts w:ascii="Arial" w:hAnsi="Arial" w:cs="Arial"/>
          <w:lang w:val="es-CO"/>
        </w:rPr>
        <w:t xml:space="preserve"> Los contribuyentes obligados a llevar contabilidad deberán llevar adicionalmente un sistema de registro de todas las diferencias que surjan e</w:t>
      </w:r>
      <w:r>
        <w:rPr>
          <w:rFonts w:ascii="Arial" w:hAnsi="Arial" w:cs="Arial"/>
          <w:lang w:val="es-CO"/>
        </w:rPr>
        <w:t>ntre los nuevos marcos técnicos normativos y la información preparada con base en lo previsto en el artículo 1.7.2 del presente Decreto; es decir, las bases fiscales.</w:t>
      </w:r>
    </w:p>
    <w:p w14:paraId="7BC8D5B7" w14:textId="77777777" w:rsidR="00B2442D" w:rsidRDefault="00B2442D">
      <w:pPr>
        <w:jc w:val="both"/>
        <w:rPr>
          <w:rFonts w:ascii="Arial" w:hAnsi="Arial" w:cs="Arial"/>
          <w:lang w:val="es-CO"/>
        </w:rPr>
      </w:pPr>
    </w:p>
    <w:p w14:paraId="62BBD46D"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El sistema de registro deberá garantizar la autenticidad, la veracidad y l</w:t>
      </w:r>
      <w:r>
        <w:rPr>
          <w:rFonts w:ascii="Arial" w:hAnsi="Arial" w:cs="Arial"/>
          <w:lang w:val="es-CO"/>
        </w:rPr>
        <w:t>a integridad de la información que allí se consigne.</w:t>
      </w:r>
    </w:p>
    <w:p w14:paraId="5AD138AE" w14:textId="77777777" w:rsidR="00B2442D" w:rsidRDefault="00B2442D">
      <w:pPr>
        <w:jc w:val="both"/>
        <w:rPr>
          <w:rFonts w:ascii="Arial" w:hAnsi="Arial" w:cs="Arial"/>
          <w:lang w:val="es-CO"/>
        </w:rPr>
      </w:pPr>
    </w:p>
    <w:p w14:paraId="2778584F"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Las diferencias de que trata el presente artículo son aquellas originadas, entre otras, por diferencias entre el reconocimiento, la medición, la dinámica contable y la valuación de activos, pasivos, patrimonio, ingresos, costos y gastos de acuerdo con los</w:t>
      </w:r>
      <w:r>
        <w:rPr>
          <w:rFonts w:ascii="Arial" w:hAnsi="Arial" w:cs="Arial"/>
          <w:lang w:val="es-CO"/>
        </w:rPr>
        <w:t xml:space="preserve"> nuevos marcos técnicos normativos y lo dispuesto en el artículo 1.7.2 del presente Decreto.</w:t>
      </w:r>
    </w:p>
    <w:p w14:paraId="4EE09428" w14:textId="77777777" w:rsidR="00B2442D" w:rsidRDefault="00B2442D">
      <w:pPr>
        <w:jc w:val="both"/>
        <w:rPr>
          <w:rFonts w:ascii="Arial" w:hAnsi="Arial" w:cs="Arial"/>
          <w:lang w:val="es-CO"/>
        </w:rPr>
      </w:pPr>
    </w:p>
    <w:p w14:paraId="18A0AAFC"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Cuando las diferencias de que trata este artículo sean originadas por exigencias fiscales y no hubiere lugar a la aplicación del sistema de partida </w:t>
      </w:r>
      <w:r>
        <w:rPr>
          <w:rFonts w:ascii="Arial" w:hAnsi="Arial" w:cs="Arial"/>
          <w:lang w:val="es-CO"/>
        </w:rPr>
        <w:t>doble, el registro se hará sin atender a este sistema.</w:t>
      </w:r>
    </w:p>
    <w:p w14:paraId="66CC40F7" w14:textId="77777777" w:rsidR="00B2442D" w:rsidRDefault="00B2442D">
      <w:pPr>
        <w:jc w:val="both"/>
        <w:rPr>
          <w:rFonts w:ascii="Arial" w:hAnsi="Arial" w:cs="Arial"/>
          <w:lang w:val="es-CO"/>
        </w:rPr>
      </w:pPr>
    </w:p>
    <w:p w14:paraId="44E51F25"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Los contribuyentes obligados a llevar contabilidad deberán dar cumplimiento a lo dispuesto en el inciso 4° del artículo 4° de la Ley 1314 de 2009.</w:t>
      </w:r>
    </w:p>
    <w:p w14:paraId="24E898FF" w14:textId="77777777" w:rsidR="00B2442D" w:rsidRDefault="00B2442D">
      <w:pPr>
        <w:jc w:val="both"/>
        <w:rPr>
          <w:rFonts w:ascii="Arial" w:hAnsi="Arial" w:cs="Arial"/>
          <w:lang w:val="es-CO"/>
        </w:rPr>
      </w:pPr>
    </w:p>
    <w:p w14:paraId="0A423E37" w14:textId="77777777" w:rsidR="00B2442D" w:rsidRDefault="008A645F">
      <w:pPr>
        <w:jc w:val="both"/>
        <w:rPr>
          <w:rFonts w:ascii="Arial" w:hAnsi="Arial" w:cs="Arial"/>
          <w:i/>
          <w:lang w:val="es-CO"/>
        </w:rPr>
      </w:pPr>
      <w:r>
        <w:rPr>
          <w:rFonts w:ascii="Arial" w:hAnsi="Arial" w:cs="Arial"/>
          <w:i/>
          <w:lang w:val="es-CO"/>
        </w:rPr>
        <w:t>(Art. 3, Decreto 2548 de 2014)</w:t>
      </w:r>
    </w:p>
    <w:p w14:paraId="2A5973B6" w14:textId="77777777" w:rsidR="00B2442D" w:rsidRDefault="00B2442D">
      <w:pPr>
        <w:jc w:val="both"/>
        <w:rPr>
          <w:rFonts w:ascii="Arial" w:hAnsi="Arial" w:cs="Arial"/>
          <w:lang w:val="es-CO"/>
        </w:rPr>
      </w:pPr>
    </w:p>
    <w:p w14:paraId="44B8DBA4"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 xml:space="preserve">Libro </w:t>
      </w:r>
      <w:r>
        <w:rPr>
          <w:rFonts w:ascii="Arial" w:hAnsi="Arial" w:cs="Arial"/>
          <w:b/>
          <w:i/>
          <w:lang w:val="es-CO"/>
        </w:rPr>
        <w:t>Tributario.</w:t>
      </w:r>
      <w:r>
        <w:rPr>
          <w:rFonts w:ascii="Arial" w:hAnsi="Arial" w:cs="Arial"/>
          <w:lang w:val="es-CO"/>
        </w:rPr>
        <w:t xml:space="preserve"> Los contribuyentes obligados a llevar contabilidad, podrán llevar el Libro Tributario con base en las disposiciones del artículo 1.7.2 del presente Decreto. Así, todos los hechos económicos deberán ser registrados en este libro.</w:t>
      </w:r>
    </w:p>
    <w:p w14:paraId="02CF0A35" w14:textId="77777777" w:rsidR="00B2442D" w:rsidRDefault="00B2442D">
      <w:pPr>
        <w:jc w:val="both"/>
        <w:rPr>
          <w:rFonts w:ascii="Arial" w:hAnsi="Arial" w:cs="Arial"/>
          <w:lang w:val="es-CO"/>
        </w:rPr>
      </w:pPr>
    </w:p>
    <w:p w14:paraId="5BC74EBF"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w:t>
      </w:r>
      <w:r>
        <w:rPr>
          <w:rFonts w:ascii="Arial" w:hAnsi="Arial" w:cs="Arial"/>
          <w:lang w:val="es-CO"/>
        </w:rPr>
        <w:t>Para efectos de este artículo, el Libro Tributario es aquel libro auxiliar en el cual se registran los hechos económicos de acuerdo con el artículo 1.7.2 del presente Decreto, los cuales deberán estar debidamente soportados por documentos, comprobantes int</w:t>
      </w:r>
      <w:r>
        <w:rPr>
          <w:rFonts w:ascii="Arial" w:hAnsi="Arial" w:cs="Arial"/>
          <w:lang w:val="es-CO"/>
        </w:rPr>
        <w:t>ernos y/o externos. El Libro Tributario y la información allí registrada, debe permitir la identificación del tercero con el cual se realiza la transacción, el conocimiento completo, claro y fidedigno de la operación y la determinación de los tributos.</w:t>
      </w:r>
    </w:p>
    <w:p w14:paraId="0824D7C6" w14:textId="77777777" w:rsidR="00B2442D" w:rsidRDefault="00B2442D">
      <w:pPr>
        <w:jc w:val="both"/>
        <w:rPr>
          <w:rFonts w:ascii="Arial" w:hAnsi="Arial" w:cs="Arial"/>
          <w:lang w:val="es-CO"/>
        </w:rPr>
      </w:pPr>
    </w:p>
    <w:p w14:paraId="08767E01" w14:textId="77777777" w:rsidR="00B2442D" w:rsidRDefault="008A645F">
      <w:pPr>
        <w:jc w:val="both"/>
        <w:rPr>
          <w:rFonts w:ascii="Arial" w:hAnsi="Arial" w:cs="Arial"/>
          <w:lang w:val="es-CO"/>
        </w:rPr>
      </w:pPr>
      <w:r>
        <w:rPr>
          <w:rFonts w:ascii="Arial" w:hAnsi="Arial" w:cs="Arial"/>
          <w:b/>
          <w:lang w:val="es-CO"/>
        </w:rPr>
        <w:t>Pa</w:t>
      </w:r>
      <w:r>
        <w:rPr>
          <w:rFonts w:ascii="Arial" w:hAnsi="Arial" w:cs="Arial"/>
          <w:b/>
          <w:lang w:val="es-CO"/>
        </w:rPr>
        <w:t>rágrafo 2°.</w:t>
      </w:r>
      <w:r>
        <w:rPr>
          <w:rFonts w:ascii="Arial" w:hAnsi="Arial" w:cs="Arial"/>
          <w:lang w:val="es-CO"/>
        </w:rPr>
        <w:t xml:space="preserve"> Los contribuyentes que opten por llevar el Libro Tributario no estarán obligados a llevar el sistema de registro de que trata el artículo 1.7.3 del presente Decreto.</w:t>
      </w:r>
    </w:p>
    <w:p w14:paraId="44CCB33F" w14:textId="77777777" w:rsidR="00B2442D" w:rsidRDefault="00B2442D">
      <w:pPr>
        <w:jc w:val="both"/>
        <w:rPr>
          <w:rFonts w:ascii="Arial" w:hAnsi="Arial" w:cs="Arial"/>
          <w:lang w:val="es-CO"/>
        </w:rPr>
      </w:pPr>
    </w:p>
    <w:p w14:paraId="7C054B47"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Los contribuyentes obligados a llevar contabilidad deberán dar </w:t>
      </w:r>
      <w:r>
        <w:rPr>
          <w:rFonts w:ascii="Arial" w:hAnsi="Arial" w:cs="Arial"/>
          <w:lang w:val="es-CO"/>
        </w:rPr>
        <w:t>cumplimiento a lo dispuesto en el inciso 4° del artículo 4° de la Ley 1314 de 2009.</w:t>
      </w:r>
    </w:p>
    <w:p w14:paraId="7225E95D" w14:textId="77777777" w:rsidR="00B2442D" w:rsidRDefault="00B2442D">
      <w:pPr>
        <w:jc w:val="both"/>
        <w:rPr>
          <w:rFonts w:ascii="Arial" w:hAnsi="Arial" w:cs="Arial"/>
          <w:lang w:val="es-CO"/>
        </w:rPr>
      </w:pPr>
    </w:p>
    <w:p w14:paraId="33767751" w14:textId="77777777" w:rsidR="00B2442D" w:rsidRDefault="008A645F">
      <w:pPr>
        <w:jc w:val="both"/>
        <w:rPr>
          <w:rFonts w:ascii="Arial" w:hAnsi="Arial" w:cs="Arial"/>
          <w:i/>
          <w:lang w:val="es-CO"/>
        </w:rPr>
      </w:pPr>
      <w:r>
        <w:rPr>
          <w:rFonts w:ascii="Arial" w:hAnsi="Arial" w:cs="Arial"/>
          <w:i/>
          <w:lang w:val="es-CO"/>
        </w:rPr>
        <w:t>(Art. 4, Decreto 2548 de 2014)</w:t>
      </w:r>
    </w:p>
    <w:p w14:paraId="62CC32DE" w14:textId="77777777" w:rsidR="00B2442D" w:rsidRDefault="00B2442D">
      <w:pPr>
        <w:jc w:val="both"/>
        <w:rPr>
          <w:rFonts w:ascii="Arial" w:hAnsi="Arial" w:cs="Arial"/>
          <w:lang w:val="es-CO"/>
        </w:rPr>
      </w:pPr>
    </w:p>
    <w:p w14:paraId="4EC863B0"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Soportes de las declaraciones tributarias.</w:t>
      </w:r>
      <w:r>
        <w:rPr>
          <w:rFonts w:ascii="Arial" w:hAnsi="Arial" w:cs="Arial"/>
          <w:lang w:val="es-CO"/>
        </w:rPr>
        <w:t xml:space="preserve"> Las declaraciones tributarias de los contribuyentes obligados a llevar contabilidad deberán estar soportadas, según sea el caso, por el sistema de registro de diferencias de que trata el artículo 1.7.3 de este decreto y la contabilidad, o por el Libro Tri</w:t>
      </w:r>
      <w:r>
        <w:rPr>
          <w:rFonts w:ascii="Arial" w:hAnsi="Arial" w:cs="Arial"/>
          <w:lang w:val="es-CO"/>
        </w:rPr>
        <w:t>butario previsto en el artículo 1.7.4 del presente Decreto y la contabilidad; así como todos los documentos, externos e internos, y comprobantes que evidencien la realidad de las operaciones desarrolladas por el contribuyente.</w:t>
      </w:r>
    </w:p>
    <w:p w14:paraId="78A52622" w14:textId="77777777" w:rsidR="00B2442D" w:rsidRDefault="00B2442D">
      <w:pPr>
        <w:jc w:val="both"/>
        <w:rPr>
          <w:rFonts w:ascii="Arial" w:hAnsi="Arial" w:cs="Arial"/>
          <w:lang w:val="es-CO"/>
        </w:rPr>
      </w:pPr>
    </w:p>
    <w:p w14:paraId="72B4E654" w14:textId="77777777" w:rsidR="00B2442D" w:rsidRDefault="008A645F">
      <w:pPr>
        <w:jc w:val="both"/>
        <w:rPr>
          <w:rFonts w:ascii="Arial" w:hAnsi="Arial" w:cs="Arial"/>
          <w:i/>
          <w:lang w:val="es-CO"/>
        </w:rPr>
      </w:pPr>
      <w:r>
        <w:rPr>
          <w:rFonts w:ascii="Arial" w:hAnsi="Arial" w:cs="Arial"/>
          <w:i/>
          <w:lang w:val="es-CO"/>
        </w:rPr>
        <w:t>(Art. 5, Decreto 2548 de 201</w:t>
      </w:r>
      <w:r>
        <w:rPr>
          <w:rFonts w:ascii="Arial" w:hAnsi="Arial" w:cs="Arial"/>
          <w:i/>
          <w:lang w:val="es-CO"/>
        </w:rPr>
        <w:t>4)</w:t>
      </w:r>
    </w:p>
    <w:p w14:paraId="20F507A6" w14:textId="77777777" w:rsidR="00B2442D" w:rsidRDefault="00B2442D">
      <w:pPr>
        <w:jc w:val="both"/>
        <w:rPr>
          <w:rFonts w:ascii="Arial" w:hAnsi="Arial" w:cs="Arial"/>
          <w:lang w:val="es-CO"/>
        </w:rPr>
      </w:pPr>
    </w:p>
    <w:p w14:paraId="73332AC4"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Otros requisitos.</w:t>
      </w:r>
      <w:r>
        <w:rPr>
          <w:rFonts w:ascii="Arial" w:hAnsi="Arial" w:cs="Arial"/>
          <w:lang w:val="es-CO"/>
        </w:rPr>
        <w:t xml:space="preserve"> El cumplimiento de lo previsto en la Parte 7 del presente Decreto no exime a los contribuyentes obligados a llevar contabilidad del cumplimiento de las obligaciones previstas en el Estatuto Tributario y otras normas sobre la materia; </w:t>
      </w:r>
      <w:r>
        <w:rPr>
          <w:rFonts w:ascii="Arial" w:hAnsi="Arial" w:cs="Arial"/>
          <w:lang w:val="es-CO"/>
        </w:rPr>
        <w:t>en particular, aquellas relacionadas con el suministro de información a la UAE Unidad Administrativa Especial Dirección de Impuestos y Aduanas Nacionales-DIAN. De igual manera, el cumplimiento de lo previsto en este decreto no implica llevar doble contabil</w:t>
      </w:r>
      <w:r>
        <w:rPr>
          <w:rFonts w:ascii="Arial" w:hAnsi="Arial" w:cs="Arial"/>
          <w:lang w:val="es-CO"/>
        </w:rPr>
        <w:t>idad para efectos sancionatorios.</w:t>
      </w:r>
    </w:p>
    <w:p w14:paraId="0CFC9BA4" w14:textId="77777777" w:rsidR="00B2442D" w:rsidRDefault="00B2442D">
      <w:pPr>
        <w:jc w:val="both"/>
        <w:rPr>
          <w:rFonts w:ascii="Arial" w:hAnsi="Arial" w:cs="Arial"/>
          <w:lang w:val="es-CO"/>
        </w:rPr>
      </w:pPr>
    </w:p>
    <w:p w14:paraId="51EB8E8F" w14:textId="77777777" w:rsidR="00B2442D" w:rsidRDefault="008A645F">
      <w:pPr>
        <w:jc w:val="both"/>
        <w:rPr>
          <w:rFonts w:ascii="Arial" w:hAnsi="Arial" w:cs="Arial"/>
          <w:i/>
          <w:lang w:val="es-CO"/>
        </w:rPr>
      </w:pPr>
      <w:r>
        <w:rPr>
          <w:rFonts w:ascii="Arial" w:hAnsi="Arial" w:cs="Arial"/>
          <w:i/>
          <w:lang w:val="es-CO"/>
        </w:rPr>
        <w:t>(Art. 6, Decreto 2548 de 2014)</w:t>
      </w:r>
    </w:p>
    <w:p w14:paraId="54C8F5B0" w14:textId="77777777" w:rsidR="00B2442D" w:rsidRDefault="00B2442D">
      <w:pPr>
        <w:jc w:val="both"/>
        <w:rPr>
          <w:rFonts w:ascii="Arial" w:hAnsi="Arial" w:cs="Arial"/>
          <w:lang w:val="es-CO"/>
        </w:rPr>
      </w:pPr>
    </w:p>
    <w:p w14:paraId="3C8656CD"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Pruebas.</w:t>
      </w:r>
      <w:r>
        <w:rPr>
          <w:rFonts w:ascii="Arial" w:hAnsi="Arial" w:cs="Arial"/>
          <w:lang w:val="es-CO"/>
        </w:rPr>
        <w:t xml:space="preserve"> El sistema de registro de las diferencias de que trata el artículo 1.7.3 del presente Decreto y el Libro Tributario previsto en el artículo 1.7.4 del presente Decreto, los document</w:t>
      </w:r>
      <w:r>
        <w:rPr>
          <w:rFonts w:ascii="Arial" w:hAnsi="Arial" w:cs="Arial"/>
          <w:lang w:val="es-CO"/>
        </w:rPr>
        <w:t>os y demás soportes con incidencia tributaria, tendrán pleno valor probatorio en los términos de los artículos 772 a 775 del Estatuto Tributario y demás normas concordantes, en el marco del proceso de determinación del tributo y los asuntos contenciosos qu</w:t>
      </w:r>
      <w:r>
        <w:rPr>
          <w:rFonts w:ascii="Arial" w:hAnsi="Arial" w:cs="Arial"/>
          <w:lang w:val="es-CO"/>
        </w:rPr>
        <w:t>e del mismo puedan derivarse, durante los términos de implementación de que tratan los artículos 1.7.1 del presente Decreto y 165 de la Ley 1607 de 2012.</w:t>
      </w:r>
    </w:p>
    <w:p w14:paraId="08BCC59A" w14:textId="77777777" w:rsidR="00B2442D" w:rsidRDefault="00B2442D">
      <w:pPr>
        <w:jc w:val="both"/>
        <w:rPr>
          <w:rFonts w:ascii="Arial" w:hAnsi="Arial" w:cs="Arial"/>
          <w:lang w:val="es-CO"/>
        </w:rPr>
      </w:pPr>
    </w:p>
    <w:p w14:paraId="4CF5513A" w14:textId="77777777" w:rsidR="00B2442D" w:rsidRDefault="008A645F">
      <w:pPr>
        <w:jc w:val="both"/>
        <w:rPr>
          <w:rFonts w:ascii="Arial" w:hAnsi="Arial" w:cs="Arial"/>
          <w:i/>
          <w:lang w:val="es-CO"/>
        </w:rPr>
      </w:pPr>
      <w:r>
        <w:rPr>
          <w:rFonts w:ascii="Arial" w:hAnsi="Arial" w:cs="Arial"/>
          <w:i/>
          <w:lang w:val="es-CO"/>
        </w:rPr>
        <w:t>(Art. 7, Decreto 2548 de 2014)</w:t>
      </w:r>
    </w:p>
    <w:p w14:paraId="7A3A0551" w14:textId="77777777" w:rsidR="00B2442D" w:rsidRDefault="00B2442D">
      <w:pPr>
        <w:jc w:val="both"/>
        <w:rPr>
          <w:rFonts w:ascii="Arial" w:hAnsi="Arial" w:cs="Arial"/>
          <w:lang w:val="es-CO"/>
        </w:rPr>
      </w:pPr>
    </w:p>
    <w:p w14:paraId="1EEB002B"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 xml:space="preserve">Nuevos obligados a llevar contabilidad y quienes lleven contabilidad </w:t>
      </w:r>
      <w:r>
        <w:rPr>
          <w:rFonts w:ascii="Arial" w:hAnsi="Arial" w:cs="Arial"/>
          <w:b/>
          <w:i/>
          <w:lang w:val="es-CO"/>
        </w:rPr>
        <w:t>voluntariamente.</w:t>
      </w:r>
      <w:r>
        <w:rPr>
          <w:rFonts w:ascii="Arial" w:hAnsi="Arial" w:cs="Arial"/>
          <w:lang w:val="es-CO"/>
        </w:rPr>
        <w:t xml:space="preserve"> Las personas jurídicas y demás obligadas a llevar contabilidad que se constituyan o adquieran la obligación de llevar contabilidad con posterioridad a la fecha de entrada en vigencia de la Ley 1607 de 2012 deberán aplicar lo dispuesto en l</w:t>
      </w:r>
      <w:r>
        <w:rPr>
          <w:rFonts w:ascii="Arial" w:hAnsi="Arial" w:cs="Arial"/>
          <w:lang w:val="es-CO"/>
        </w:rPr>
        <w:t>a Parte 7 del presente Decreto para todos los efectos tributarios.</w:t>
      </w:r>
    </w:p>
    <w:p w14:paraId="38724252" w14:textId="77777777" w:rsidR="00B2442D" w:rsidRDefault="00B2442D">
      <w:pPr>
        <w:jc w:val="both"/>
        <w:rPr>
          <w:rFonts w:ascii="Arial" w:hAnsi="Arial" w:cs="Arial"/>
          <w:lang w:val="es-CO"/>
        </w:rPr>
      </w:pPr>
    </w:p>
    <w:p w14:paraId="12670F5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personas que opten por llevar contabilidad deberán dar cumplimiento a lo dispuesto en este decreto para todos los efectos tributarios.</w:t>
      </w:r>
    </w:p>
    <w:p w14:paraId="16C373DD" w14:textId="77777777" w:rsidR="00B2442D" w:rsidRDefault="00B2442D">
      <w:pPr>
        <w:jc w:val="both"/>
        <w:rPr>
          <w:rFonts w:ascii="Arial" w:hAnsi="Arial" w:cs="Arial"/>
          <w:lang w:val="es-CO"/>
        </w:rPr>
      </w:pPr>
    </w:p>
    <w:p w14:paraId="6340AC2A" w14:textId="77777777" w:rsidR="00B2442D" w:rsidRDefault="008A645F">
      <w:pPr>
        <w:jc w:val="both"/>
        <w:rPr>
          <w:rFonts w:ascii="Arial" w:hAnsi="Arial" w:cs="Arial"/>
          <w:i/>
          <w:lang w:val="es-CO"/>
        </w:rPr>
      </w:pPr>
      <w:r>
        <w:rPr>
          <w:rFonts w:ascii="Arial" w:hAnsi="Arial" w:cs="Arial"/>
          <w:i/>
          <w:lang w:val="es-CO"/>
        </w:rPr>
        <w:t>(Art. 8, Decreto 2548 de 2014)</w:t>
      </w:r>
    </w:p>
    <w:p w14:paraId="4319C104" w14:textId="77777777" w:rsidR="00B2442D" w:rsidRDefault="00B2442D">
      <w:pPr>
        <w:jc w:val="both"/>
        <w:rPr>
          <w:rFonts w:ascii="Arial" w:hAnsi="Arial" w:cs="Arial"/>
          <w:lang w:val="es-CO"/>
        </w:rPr>
      </w:pPr>
    </w:p>
    <w:p w14:paraId="4E0E96A9" w14:textId="77777777" w:rsidR="00B2442D" w:rsidRDefault="008A645F">
      <w:pPr>
        <w:pStyle w:val="Prrafodelista"/>
        <w:numPr>
          <w:ilvl w:val="0"/>
          <w:numId w:val="138"/>
        </w:numPr>
        <w:ind w:left="0" w:firstLine="0"/>
        <w:jc w:val="both"/>
        <w:rPr>
          <w:rFonts w:ascii="Arial" w:hAnsi="Arial" w:cs="Arial"/>
          <w:lang w:val="es-CO"/>
        </w:rPr>
      </w:pPr>
      <w:r>
        <w:rPr>
          <w:rFonts w:ascii="Arial" w:hAnsi="Arial" w:cs="Arial"/>
          <w:b/>
          <w:i/>
          <w:lang w:val="es-CO"/>
        </w:rPr>
        <w:t>Plane</w:t>
      </w:r>
      <w:r>
        <w:rPr>
          <w:rFonts w:ascii="Arial" w:hAnsi="Arial" w:cs="Arial"/>
          <w:b/>
          <w:i/>
          <w:lang w:val="es-CO"/>
        </w:rPr>
        <w:t>s Piloto.</w:t>
      </w:r>
      <w:r>
        <w:rPr>
          <w:rFonts w:ascii="Arial" w:hAnsi="Arial" w:cs="Arial"/>
          <w:lang w:val="es-CO"/>
        </w:rPr>
        <w:t xml:space="preserve"> La Unidad Administrativa Especial Dirección de Impuestos y Aduanas Nacionales-DIAN en desarrollo del artículo 631-3 del Estatuto Tributario, dispondrá, mediante resolución, aquellos contribuyentes que deberán suministrar información preparada con</w:t>
      </w:r>
      <w:r>
        <w:rPr>
          <w:rFonts w:ascii="Arial" w:hAnsi="Arial" w:cs="Arial"/>
          <w:lang w:val="es-CO"/>
        </w:rPr>
        <w:t xml:space="preserve"> base en los nuevos marcos técnicos normativos, para que la primera pueda adelantar la medición de impacto y proponer las medidas legislativas a que haya lugar.</w:t>
      </w:r>
    </w:p>
    <w:p w14:paraId="20B6B3ED" w14:textId="77777777" w:rsidR="00B2442D" w:rsidRDefault="00B2442D">
      <w:pPr>
        <w:jc w:val="both"/>
        <w:rPr>
          <w:rFonts w:ascii="Arial" w:hAnsi="Arial" w:cs="Arial"/>
          <w:lang w:val="es-CO"/>
        </w:rPr>
      </w:pPr>
    </w:p>
    <w:p w14:paraId="1C215F78"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Unidad Administrativa Especial Dirección de Impuestos y Aduanas Nacionales-DI</w:t>
      </w:r>
      <w:r>
        <w:rPr>
          <w:rFonts w:ascii="Arial" w:hAnsi="Arial" w:cs="Arial"/>
          <w:lang w:val="es-CO"/>
        </w:rPr>
        <w:t>AN deberá implementar los formatos correspondientes para el suministro de la información de que trata este artículo.</w:t>
      </w:r>
    </w:p>
    <w:p w14:paraId="4758464D" w14:textId="77777777" w:rsidR="00B2442D" w:rsidRDefault="00B2442D">
      <w:pPr>
        <w:jc w:val="both"/>
        <w:rPr>
          <w:rFonts w:ascii="Arial" w:hAnsi="Arial" w:cs="Arial"/>
          <w:lang w:val="es-CO"/>
        </w:rPr>
      </w:pPr>
    </w:p>
    <w:p w14:paraId="208DCB4C" w14:textId="77777777" w:rsidR="00B2442D" w:rsidRDefault="008A645F">
      <w:pPr>
        <w:jc w:val="both"/>
        <w:rPr>
          <w:rFonts w:ascii="Arial" w:hAnsi="Arial" w:cs="Arial"/>
          <w:i/>
          <w:lang w:val="es-CO"/>
        </w:rPr>
      </w:pPr>
      <w:r>
        <w:rPr>
          <w:rFonts w:ascii="Arial" w:hAnsi="Arial" w:cs="Arial"/>
          <w:i/>
          <w:lang w:val="es-CO"/>
        </w:rPr>
        <w:t>(Art. 9, Decreto 2548 de 2014)</w:t>
      </w:r>
    </w:p>
    <w:p w14:paraId="7ABCD57C" w14:textId="77777777" w:rsidR="00B2442D" w:rsidRDefault="00B2442D">
      <w:pPr>
        <w:jc w:val="both"/>
        <w:rPr>
          <w:rFonts w:ascii="Arial" w:hAnsi="Arial" w:cs="Arial"/>
          <w:lang w:val="es-CO"/>
        </w:rPr>
      </w:pPr>
    </w:p>
    <w:p w14:paraId="3956DCB3" w14:textId="77777777" w:rsidR="00B2442D" w:rsidRDefault="00B2442D">
      <w:pPr>
        <w:jc w:val="both"/>
        <w:rPr>
          <w:rFonts w:ascii="Arial" w:hAnsi="Arial" w:cs="Arial"/>
          <w:lang w:val="es-CO"/>
        </w:rPr>
      </w:pPr>
    </w:p>
    <w:p w14:paraId="545D932C" w14:textId="77777777" w:rsidR="00B2442D" w:rsidRDefault="008A645F">
      <w:pPr>
        <w:jc w:val="center"/>
        <w:rPr>
          <w:rFonts w:ascii="Arial" w:hAnsi="Arial" w:cs="Arial"/>
        </w:rPr>
      </w:pPr>
      <w:bookmarkStart w:id="50" w:name="bookmark7"/>
      <w:r>
        <w:rPr>
          <w:rFonts w:ascii="Arial" w:hAnsi="Arial" w:cs="Arial"/>
        </w:rPr>
        <w:t>ANEXO 1 - CRONOGRAMA</w:t>
      </w:r>
      <w:bookmarkEnd w:id="50"/>
    </w:p>
    <w:p w14:paraId="24E3D827" w14:textId="77777777" w:rsidR="00B2442D" w:rsidRDefault="00B2442D">
      <w:pPr>
        <w:jc w:val="center"/>
        <w:rPr>
          <w:rFonts w:ascii="Arial" w:hAnsi="Arial" w:cs="Arial"/>
          <w:b/>
        </w:rPr>
      </w:pPr>
    </w:p>
    <w:p w14:paraId="53E8097D" w14:textId="77777777" w:rsidR="00B2442D" w:rsidRDefault="008A645F">
      <w:pPr>
        <w:jc w:val="center"/>
        <w:rPr>
          <w:rFonts w:ascii="Arial" w:hAnsi="Arial" w:cs="Arial"/>
          <w:b/>
        </w:rPr>
      </w:pPr>
      <w:r>
        <w:rPr>
          <w:rFonts w:ascii="Arial" w:hAnsi="Arial" w:cs="Arial"/>
          <w:b/>
        </w:rPr>
        <w:t>(Artículo 1.7.1.  Parágrafo)</w:t>
      </w:r>
    </w:p>
    <w:p w14:paraId="07C0D888" w14:textId="77777777" w:rsidR="00B2442D" w:rsidRDefault="00B2442D">
      <w:pPr>
        <w:pStyle w:val="Cuerpodeltexto20"/>
        <w:shd w:val="clear" w:color="auto" w:fill="auto"/>
        <w:spacing w:line="40" w:lineRule="atLeast"/>
        <w:rPr>
          <w:b/>
          <w:sz w:val="24"/>
          <w:szCs w:val="24"/>
        </w:rPr>
      </w:pPr>
    </w:p>
    <w:p w14:paraId="0C3F7DE6" w14:textId="77777777" w:rsidR="00B2442D" w:rsidRDefault="008A645F">
      <w:pPr>
        <w:pStyle w:val="Cuerpodeltexto20"/>
        <w:shd w:val="clear" w:color="auto" w:fill="auto"/>
        <w:spacing w:line="40" w:lineRule="atLeast"/>
        <w:jc w:val="both"/>
        <w:rPr>
          <w:sz w:val="24"/>
          <w:szCs w:val="24"/>
        </w:rPr>
      </w:pPr>
      <w:r>
        <w:rPr>
          <w:sz w:val="24"/>
          <w:szCs w:val="24"/>
        </w:rPr>
        <w:t xml:space="preserve">Con el fin de asegurar la coordinación entre los </w:t>
      </w:r>
      <w:r>
        <w:rPr>
          <w:sz w:val="24"/>
          <w:szCs w:val="24"/>
        </w:rPr>
        <w:t>Ministerios de Hacienda y Crédito Público y de Comercio, Industria y Turismo y la UAE Dirección de Impuestos y Aduanas Nacionales</w:t>
      </w:r>
      <w:r>
        <w:t>– DIAN</w:t>
      </w:r>
      <w:r>
        <w:rPr>
          <w:sz w:val="24"/>
          <w:szCs w:val="24"/>
        </w:rPr>
        <w:t xml:space="preserve"> en relación con la adecuada aplicación de los mandatos previstos en los artículos 4 de la Ley 1314 de 2009 y 165 de la L</w:t>
      </w:r>
      <w:r>
        <w:rPr>
          <w:sz w:val="24"/>
          <w:szCs w:val="24"/>
        </w:rPr>
        <w:t>ey 1607 de 2012, así como lo dispuesto en el presente Decreto se dará cumplimiento a las t</w:t>
      </w:r>
      <w:bookmarkStart w:id="51" w:name="bookmark8"/>
      <w:r>
        <w:rPr>
          <w:sz w:val="24"/>
          <w:szCs w:val="24"/>
        </w:rPr>
        <w:t>areas previstas a continuación:</w:t>
      </w:r>
    </w:p>
    <w:p w14:paraId="7ACDA5A3" w14:textId="77777777" w:rsidR="00B2442D" w:rsidRDefault="00B2442D">
      <w:pPr>
        <w:pStyle w:val="Cuerpodeltexto20"/>
        <w:shd w:val="clear" w:color="auto" w:fill="auto"/>
        <w:spacing w:line="40" w:lineRule="atLeast"/>
        <w:jc w:val="both"/>
        <w:rPr>
          <w:sz w:val="24"/>
          <w:szCs w:val="24"/>
        </w:rPr>
      </w:pPr>
    </w:p>
    <w:p w14:paraId="3E584A30" w14:textId="77777777" w:rsidR="00B2442D" w:rsidRDefault="008A645F">
      <w:pPr>
        <w:rPr>
          <w:rFonts w:ascii="Arial" w:hAnsi="Arial" w:cs="Arial"/>
          <w:b/>
        </w:rPr>
      </w:pPr>
      <w:r>
        <w:rPr>
          <w:rFonts w:ascii="Arial" w:hAnsi="Arial" w:cs="Arial"/>
          <w:b/>
        </w:rPr>
        <w:t>Durante los años 2015 a 2017:</w:t>
      </w:r>
      <w:bookmarkEnd w:id="51"/>
    </w:p>
    <w:p w14:paraId="5C22E389" w14:textId="77777777" w:rsidR="00B2442D" w:rsidRDefault="00B2442D">
      <w:pPr>
        <w:pStyle w:val="Cuerpodeltexto20"/>
        <w:shd w:val="clear" w:color="auto" w:fill="auto"/>
        <w:spacing w:line="40" w:lineRule="atLeast"/>
        <w:jc w:val="both"/>
        <w:rPr>
          <w:sz w:val="24"/>
          <w:szCs w:val="24"/>
        </w:rPr>
      </w:pPr>
    </w:p>
    <w:p w14:paraId="417FDF47" w14:textId="77777777" w:rsidR="00B2442D" w:rsidRDefault="008A645F">
      <w:pPr>
        <w:pStyle w:val="Cuerpodeltexto20"/>
        <w:shd w:val="clear" w:color="auto" w:fill="auto"/>
        <w:spacing w:line="40" w:lineRule="atLeast"/>
        <w:jc w:val="both"/>
        <w:rPr>
          <w:sz w:val="24"/>
          <w:szCs w:val="24"/>
        </w:rPr>
      </w:pPr>
      <w:r>
        <w:rPr>
          <w:sz w:val="24"/>
          <w:szCs w:val="24"/>
        </w:rPr>
        <w:t>Durante los años 2015 a 2017, se requiere la realización de las siguientes actividades por parte de la</w:t>
      </w:r>
      <w:r>
        <w:rPr>
          <w:sz w:val="24"/>
          <w:szCs w:val="24"/>
        </w:rPr>
        <w:t xml:space="preserve"> Unidad Administrativa Especial Dirección de Impuestos y Aduanas Nacionales</w:t>
      </w:r>
      <w:r>
        <w:t>– DIAN</w:t>
      </w:r>
      <w:r>
        <w:rPr>
          <w:sz w:val="24"/>
          <w:szCs w:val="24"/>
        </w:rPr>
        <w:t>:</w:t>
      </w:r>
    </w:p>
    <w:p w14:paraId="61A57ED5" w14:textId="77777777" w:rsidR="00B2442D" w:rsidRDefault="00B2442D">
      <w:pPr>
        <w:pStyle w:val="Cuerpodeltexto20"/>
        <w:shd w:val="clear" w:color="auto" w:fill="auto"/>
        <w:spacing w:line="40" w:lineRule="atLeast"/>
        <w:jc w:val="both"/>
        <w:rPr>
          <w:sz w:val="24"/>
          <w:szCs w:val="24"/>
        </w:rPr>
      </w:pPr>
    </w:p>
    <w:p w14:paraId="24FF9BA1" w14:textId="77777777" w:rsidR="00B2442D" w:rsidRDefault="008A645F">
      <w:pPr>
        <w:pStyle w:val="Cuerpodeltexto20"/>
        <w:numPr>
          <w:ilvl w:val="0"/>
          <w:numId w:val="161"/>
        </w:numPr>
        <w:shd w:val="clear" w:color="auto" w:fill="auto"/>
        <w:spacing w:line="40" w:lineRule="atLeast"/>
        <w:ind w:left="709" w:hanging="425"/>
        <w:jc w:val="both"/>
        <w:rPr>
          <w:sz w:val="24"/>
          <w:szCs w:val="24"/>
        </w:rPr>
      </w:pPr>
      <w:r>
        <w:rPr>
          <w:sz w:val="24"/>
          <w:szCs w:val="24"/>
        </w:rPr>
        <w:t>Socialización del presente Decreto con todas las Direcciones Seccionales de la UAE DIAN.</w:t>
      </w:r>
    </w:p>
    <w:p w14:paraId="7D0238B1" w14:textId="77777777" w:rsidR="00B2442D" w:rsidRDefault="00B2442D">
      <w:pPr>
        <w:pStyle w:val="Cuerpodeltexto20"/>
        <w:shd w:val="clear" w:color="auto" w:fill="auto"/>
        <w:spacing w:line="40" w:lineRule="atLeast"/>
        <w:ind w:left="709" w:hanging="425"/>
        <w:jc w:val="both"/>
        <w:rPr>
          <w:sz w:val="24"/>
          <w:szCs w:val="24"/>
        </w:rPr>
      </w:pPr>
    </w:p>
    <w:p w14:paraId="5945C9E6" w14:textId="77777777" w:rsidR="00B2442D" w:rsidRDefault="008A645F">
      <w:pPr>
        <w:pStyle w:val="Cuerpodeltexto20"/>
        <w:numPr>
          <w:ilvl w:val="0"/>
          <w:numId w:val="161"/>
        </w:numPr>
        <w:shd w:val="clear" w:color="auto" w:fill="auto"/>
        <w:spacing w:line="40" w:lineRule="atLeast"/>
        <w:ind w:left="709" w:hanging="425"/>
        <w:jc w:val="both"/>
        <w:rPr>
          <w:sz w:val="24"/>
          <w:szCs w:val="24"/>
        </w:rPr>
      </w:pPr>
      <w:r>
        <w:rPr>
          <w:sz w:val="24"/>
          <w:szCs w:val="24"/>
        </w:rPr>
        <w:t>Preparación de una Guía Práctica para la aplicación del presente Decreto.</w:t>
      </w:r>
    </w:p>
    <w:p w14:paraId="655F5019" w14:textId="77777777" w:rsidR="00B2442D" w:rsidRDefault="00B2442D">
      <w:pPr>
        <w:pStyle w:val="Cuerpodeltexto20"/>
        <w:shd w:val="clear" w:color="auto" w:fill="auto"/>
        <w:spacing w:line="40" w:lineRule="atLeast"/>
        <w:ind w:left="709" w:hanging="425"/>
        <w:jc w:val="both"/>
        <w:rPr>
          <w:sz w:val="24"/>
          <w:szCs w:val="24"/>
        </w:rPr>
      </w:pPr>
    </w:p>
    <w:p w14:paraId="1490BD3B" w14:textId="77777777" w:rsidR="00B2442D" w:rsidRDefault="008A645F">
      <w:pPr>
        <w:pStyle w:val="Cuerpodeltexto20"/>
        <w:numPr>
          <w:ilvl w:val="0"/>
          <w:numId w:val="161"/>
        </w:numPr>
        <w:shd w:val="clear" w:color="auto" w:fill="auto"/>
        <w:spacing w:line="40" w:lineRule="atLeast"/>
        <w:ind w:left="709" w:hanging="425"/>
        <w:jc w:val="both"/>
        <w:rPr>
          <w:sz w:val="24"/>
          <w:szCs w:val="24"/>
        </w:rPr>
      </w:pPr>
      <w:r>
        <w:rPr>
          <w:rStyle w:val="Cuerpodeltexto2Cursiva"/>
          <w:color w:val="auto"/>
        </w:rPr>
        <w:t>Estudio</w:t>
      </w:r>
      <w:r>
        <w:rPr>
          <w:rStyle w:val="Cuerpodeltexto2Cursiva"/>
          <w:color w:val="auto"/>
        </w:rPr>
        <w:t xml:space="preserve"> conceptual normativo:</w:t>
      </w:r>
      <w:r>
        <w:rPr>
          <w:sz w:val="24"/>
          <w:szCs w:val="24"/>
        </w:rPr>
        <w:t xml:space="preserve"> Nuestro Estatuto Tributario se caracteriza por contener una serie de remisiones a la técnica contable o a los Principios de Contabilidad Generalmente Aceptados en Colombia y, en ocasiones, no agotar completamente el tratamiento de ci</w:t>
      </w:r>
      <w:r>
        <w:rPr>
          <w:sz w:val="24"/>
          <w:szCs w:val="24"/>
        </w:rPr>
        <w:t>ertas situaciones económicas. Esto implica que una vez culminados los plazos de que trata el artículo 1 del presente decreto, las normas expedidas con ocasión de la Ley 1314 de 2009, podrán tener impacto fiscal por dos vías; a saber:</w:t>
      </w:r>
    </w:p>
    <w:p w14:paraId="0FB8345D" w14:textId="77777777" w:rsidR="00B2442D" w:rsidRDefault="00B2442D">
      <w:pPr>
        <w:pStyle w:val="Cuerpodeltexto20"/>
        <w:shd w:val="clear" w:color="auto" w:fill="auto"/>
        <w:spacing w:line="40" w:lineRule="atLeast"/>
        <w:jc w:val="both"/>
        <w:rPr>
          <w:sz w:val="24"/>
          <w:szCs w:val="24"/>
        </w:rPr>
      </w:pPr>
    </w:p>
    <w:p w14:paraId="28BD828B" w14:textId="77777777" w:rsidR="00B2442D" w:rsidRDefault="008A645F">
      <w:pPr>
        <w:pStyle w:val="Cuerpodeltexto20"/>
        <w:numPr>
          <w:ilvl w:val="0"/>
          <w:numId w:val="162"/>
        </w:numPr>
        <w:shd w:val="clear" w:color="auto" w:fill="auto"/>
        <w:spacing w:line="40" w:lineRule="atLeast"/>
        <w:ind w:left="1418" w:hanging="284"/>
        <w:jc w:val="both"/>
        <w:rPr>
          <w:sz w:val="24"/>
          <w:szCs w:val="24"/>
        </w:rPr>
      </w:pPr>
      <w:r>
        <w:rPr>
          <w:sz w:val="24"/>
          <w:szCs w:val="24"/>
        </w:rPr>
        <w:t xml:space="preserve">Por remisión </w:t>
      </w:r>
      <w:r>
        <w:rPr>
          <w:sz w:val="24"/>
          <w:szCs w:val="24"/>
        </w:rPr>
        <w:t>expresa o tácita de las normas fiscales a las normas contables;</w:t>
      </w:r>
    </w:p>
    <w:p w14:paraId="0945CF2A" w14:textId="77777777" w:rsidR="00B2442D" w:rsidRDefault="008A645F">
      <w:pPr>
        <w:pStyle w:val="Cuerpodeltexto20"/>
        <w:shd w:val="clear" w:color="auto" w:fill="auto"/>
        <w:spacing w:line="40" w:lineRule="atLeast"/>
        <w:ind w:left="1418" w:hanging="284"/>
        <w:jc w:val="both"/>
        <w:rPr>
          <w:sz w:val="24"/>
          <w:szCs w:val="24"/>
        </w:rPr>
      </w:pPr>
      <w:r>
        <w:rPr>
          <w:sz w:val="24"/>
          <w:szCs w:val="24"/>
        </w:rPr>
        <w:t xml:space="preserve">ii. </w:t>
      </w:r>
      <w:r>
        <w:rPr>
          <w:sz w:val="24"/>
          <w:szCs w:val="24"/>
        </w:rPr>
        <w:tab/>
        <w:t>Por omisión de tratamiento en la norma fiscal.</w:t>
      </w:r>
    </w:p>
    <w:p w14:paraId="5629285E" w14:textId="77777777" w:rsidR="00B2442D" w:rsidRDefault="00B2442D">
      <w:pPr>
        <w:pStyle w:val="Cuerpodeltexto20"/>
        <w:shd w:val="clear" w:color="auto" w:fill="auto"/>
        <w:spacing w:line="40" w:lineRule="atLeast"/>
        <w:ind w:left="426"/>
        <w:jc w:val="both"/>
        <w:rPr>
          <w:sz w:val="24"/>
          <w:szCs w:val="24"/>
        </w:rPr>
      </w:pPr>
    </w:p>
    <w:p w14:paraId="03FE7B23" w14:textId="77777777" w:rsidR="00B2442D" w:rsidRDefault="008A645F">
      <w:pPr>
        <w:pStyle w:val="Cuerpodeltexto20"/>
        <w:shd w:val="clear" w:color="auto" w:fill="auto"/>
        <w:spacing w:line="40" w:lineRule="atLeast"/>
        <w:ind w:left="709"/>
        <w:jc w:val="both"/>
        <w:rPr>
          <w:sz w:val="24"/>
          <w:szCs w:val="24"/>
        </w:rPr>
      </w:pPr>
      <w:r>
        <w:rPr>
          <w:sz w:val="24"/>
          <w:szCs w:val="24"/>
        </w:rPr>
        <w:t xml:space="preserve">Esta situación hace necesario por parte de la UAE DIAN, del CTCP y de los Ministerios que se adelante un estudio conceptual que permita: </w:t>
      </w:r>
    </w:p>
    <w:p w14:paraId="54C6B126" w14:textId="77777777" w:rsidR="00B2442D" w:rsidRDefault="00B2442D">
      <w:pPr>
        <w:pStyle w:val="Cuerpodeltexto20"/>
        <w:shd w:val="clear" w:color="auto" w:fill="auto"/>
        <w:spacing w:line="40" w:lineRule="atLeast"/>
        <w:ind w:left="709"/>
        <w:jc w:val="both"/>
        <w:rPr>
          <w:sz w:val="24"/>
          <w:szCs w:val="24"/>
        </w:rPr>
      </w:pPr>
    </w:p>
    <w:p w14:paraId="6586EAED" w14:textId="77777777" w:rsidR="00B2442D" w:rsidRDefault="008A645F">
      <w:pPr>
        <w:pStyle w:val="Cuerpodeltexto20"/>
        <w:shd w:val="clear" w:color="auto" w:fill="auto"/>
        <w:spacing w:line="40" w:lineRule="atLeast"/>
        <w:ind w:left="1418" w:hanging="284"/>
        <w:jc w:val="both"/>
        <w:rPr>
          <w:sz w:val="24"/>
          <w:szCs w:val="24"/>
        </w:rPr>
      </w:pPr>
      <w:r>
        <w:rPr>
          <w:sz w:val="24"/>
          <w:szCs w:val="24"/>
        </w:rPr>
        <w:t xml:space="preserve">i. </w:t>
      </w:r>
      <w:r>
        <w:rPr>
          <w:sz w:val="24"/>
          <w:szCs w:val="24"/>
        </w:rPr>
        <w:tab/>
        <w:t>Identificar en las disposiciones fiscales, en particular en el Estatuto Tributario, que remiten, expresa o tácitamente, a las normas contables; así como a los nuevos marcos técnicos normativos a las cuales remitan.</w:t>
      </w:r>
    </w:p>
    <w:p w14:paraId="03EF6410" w14:textId="77777777" w:rsidR="00B2442D" w:rsidRDefault="008A645F">
      <w:pPr>
        <w:pStyle w:val="Cuerpodeltexto20"/>
        <w:shd w:val="clear" w:color="auto" w:fill="auto"/>
        <w:spacing w:line="40" w:lineRule="atLeast"/>
        <w:ind w:left="1418" w:hanging="284"/>
        <w:jc w:val="both"/>
        <w:rPr>
          <w:sz w:val="24"/>
          <w:szCs w:val="24"/>
        </w:rPr>
      </w:pPr>
      <w:r>
        <w:rPr>
          <w:sz w:val="24"/>
          <w:szCs w:val="24"/>
        </w:rPr>
        <w:t xml:space="preserve">ii. </w:t>
      </w:r>
      <w:r>
        <w:rPr>
          <w:sz w:val="24"/>
          <w:szCs w:val="24"/>
        </w:rPr>
        <w:tab/>
        <w:t>Identificación de aquellos hecho</w:t>
      </w:r>
      <w:r>
        <w:rPr>
          <w:sz w:val="24"/>
          <w:szCs w:val="24"/>
        </w:rPr>
        <w:t>s económicos cuyo tratamiento fiscal no está dado por la norma tributaria.</w:t>
      </w:r>
    </w:p>
    <w:p w14:paraId="11DE64C0" w14:textId="77777777" w:rsidR="00B2442D" w:rsidRDefault="00B2442D">
      <w:pPr>
        <w:pStyle w:val="Cuerpodeltexto20"/>
        <w:shd w:val="clear" w:color="auto" w:fill="auto"/>
        <w:spacing w:line="40" w:lineRule="atLeast"/>
        <w:ind w:left="426"/>
        <w:jc w:val="both"/>
        <w:rPr>
          <w:sz w:val="24"/>
          <w:szCs w:val="24"/>
        </w:rPr>
      </w:pPr>
    </w:p>
    <w:p w14:paraId="1BCBD04D" w14:textId="77777777" w:rsidR="00B2442D" w:rsidRDefault="008A645F">
      <w:pPr>
        <w:pStyle w:val="Cuerpodeltexto20"/>
        <w:shd w:val="clear" w:color="auto" w:fill="auto"/>
        <w:spacing w:line="40" w:lineRule="atLeast"/>
        <w:ind w:left="709"/>
        <w:jc w:val="both"/>
        <w:rPr>
          <w:sz w:val="24"/>
          <w:szCs w:val="24"/>
        </w:rPr>
      </w:pPr>
      <w:r>
        <w:rPr>
          <w:sz w:val="24"/>
          <w:szCs w:val="24"/>
        </w:rPr>
        <w:t xml:space="preserve">Así las cosas como entregable de estas actividades se prepararán por parte de la UAE DIAN dos documentos con los resultados de estas labores que serán entregados a los Ministerios </w:t>
      </w:r>
      <w:r>
        <w:rPr>
          <w:sz w:val="24"/>
          <w:szCs w:val="24"/>
        </w:rPr>
        <w:t>de Hacienda y Crédito Público y de Comercio, Industria y Turismo previo análisis y recomendaciones por parte del CTCP y de la Contaduría General de la Nación.</w:t>
      </w:r>
    </w:p>
    <w:p w14:paraId="7502D670" w14:textId="77777777" w:rsidR="00B2442D" w:rsidRDefault="00B2442D">
      <w:pPr>
        <w:pStyle w:val="Cuerpodeltexto20"/>
        <w:shd w:val="clear" w:color="auto" w:fill="auto"/>
        <w:spacing w:line="40" w:lineRule="atLeast"/>
        <w:ind w:left="426"/>
        <w:jc w:val="both"/>
        <w:rPr>
          <w:sz w:val="24"/>
          <w:szCs w:val="24"/>
        </w:rPr>
      </w:pPr>
    </w:p>
    <w:p w14:paraId="08E976EF" w14:textId="77777777" w:rsidR="00B2442D" w:rsidRDefault="008A645F">
      <w:pPr>
        <w:pStyle w:val="Cuerpodeltexto20"/>
        <w:numPr>
          <w:ilvl w:val="0"/>
          <w:numId w:val="161"/>
        </w:numPr>
        <w:shd w:val="clear" w:color="auto" w:fill="auto"/>
        <w:spacing w:line="40" w:lineRule="atLeast"/>
        <w:ind w:left="709" w:hanging="425"/>
        <w:jc w:val="both"/>
        <w:rPr>
          <w:sz w:val="24"/>
          <w:szCs w:val="24"/>
        </w:rPr>
      </w:pPr>
      <w:r>
        <w:rPr>
          <w:rStyle w:val="Cuerpodeltexto2Cursiva"/>
          <w:color w:val="auto"/>
        </w:rPr>
        <w:t>Medición de Impacto:</w:t>
      </w:r>
      <w:r>
        <w:rPr>
          <w:sz w:val="24"/>
          <w:szCs w:val="24"/>
        </w:rPr>
        <w:t xml:space="preserve"> Con ocasión de la aplicación de los nuevos marcos técnicos normativos, es a</w:t>
      </w:r>
      <w:r>
        <w:rPr>
          <w:sz w:val="24"/>
          <w:szCs w:val="24"/>
        </w:rPr>
        <w:t>ltamente probable que surjan diferencias entre la medición, valuación y reconocimiento de los activos, pasivos, patrimonio, ingresos, costos, gastos como se viene haciendo actualmente y como se deberá hacer bajo los nuevos marcos técnicos normativos. De ma</w:t>
      </w:r>
      <w:r>
        <w:rPr>
          <w:sz w:val="24"/>
          <w:szCs w:val="24"/>
        </w:rPr>
        <w:t xml:space="preserve">nera consecuente, estos cambios pueden impactar la tributación. En esta medida, se hace necesario identificar qué origina estas diferencias y su cuantificación. Por este motivo, se hace necesario desarrollar planes piloto conforme lo establece el artículo </w:t>
      </w:r>
      <w:r>
        <w:rPr>
          <w:sz w:val="24"/>
          <w:szCs w:val="24"/>
        </w:rPr>
        <w:t>9 del presente Decreto.</w:t>
      </w:r>
    </w:p>
    <w:p w14:paraId="7F846631" w14:textId="77777777" w:rsidR="00B2442D" w:rsidRDefault="00B2442D">
      <w:pPr>
        <w:pStyle w:val="Cuerpodeltexto20"/>
        <w:shd w:val="clear" w:color="auto" w:fill="auto"/>
        <w:spacing w:line="40" w:lineRule="atLeast"/>
        <w:ind w:left="709" w:hanging="425"/>
        <w:jc w:val="both"/>
        <w:rPr>
          <w:sz w:val="24"/>
          <w:szCs w:val="24"/>
        </w:rPr>
      </w:pPr>
    </w:p>
    <w:p w14:paraId="15516EEC" w14:textId="77777777" w:rsidR="00B2442D" w:rsidRDefault="008A645F">
      <w:pPr>
        <w:pStyle w:val="Cuerpodeltexto20"/>
        <w:shd w:val="clear" w:color="auto" w:fill="auto"/>
        <w:spacing w:line="40" w:lineRule="atLeast"/>
        <w:ind w:left="709" w:hanging="1"/>
        <w:jc w:val="both"/>
        <w:rPr>
          <w:sz w:val="24"/>
          <w:szCs w:val="24"/>
        </w:rPr>
      </w:pPr>
      <w:r>
        <w:rPr>
          <w:sz w:val="24"/>
          <w:szCs w:val="24"/>
        </w:rPr>
        <w:t xml:space="preserve">Vale la pena destacar que el desarrollo de los planes pilotos se encuentra condicionado a la disponibilidad de la información contable bajo los nuevos marcos técnicos normativos de los entes económicos. Esta información no se </w:t>
      </w:r>
      <w:r>
        <w:rPr>
          <w:sz w:val="24"/>
          <w:szCs w:val="24"/>
        </w:rPr>
        <w:t>encuentra disponible de manera inmediata. En efecto, de acuerdo con los cronogramas de implementación de que tratan los artículos 3 de los Decretos 2706 y 2784 de 2012 y 3022 de 2013, los períodos de aplicación por primera vez empiezan el 1 de enero de 201</w:t>
      </w:r>
      <w:r>
        <w:rPr>
          <w:sz w:val="24"/>
          <w:szCs w:val="24"/>
        </w:rPr>
        <w:t xml:space="preserve">5 para los preparadores de información que integran los Grupos 1 y 3 y el 1 de enero de 2016 para los preparadores de información que integran el Grupo 2. Así las cosas los primeros Estados de Resultados preparados con base en los nuevos marcos normativos </w:t>
      </w:r>
      <w:r>
        <w:rPr>
          <w:sz w:val="24"/>
          <w:szCs w:val="24"/>
        </w:rPr>
        <w:t>solo estarán disponibles a partir del año 2016; más aún, esta información solo estará disponible para UAE DIAN a partir del segundo trimestre del año 2016 cuando se presenten las Declaraciones del Impuesto sobre la Renta y Complementarios de los preparador</w:t>
      </w:r>
      <w:r>
        <w:rPr>
          <w:sz w:val="24"/>
          <w:szCs w:val="24"/>
        </w:rPr>
        <w:t>es de información que pertenezcan a los Grupos 1 y 3. Visto lo anterior, la medición de impacto fiscal solamente podrá adelantarse a partir de esa fecha por parte de la UAE DIAN. Sin perjuicio de lo anterior, la UAE DIAN podrá adelantar estudios preliminar</w:t>
      </w:r>
      <w:r>
        <w:rPr>
          <w:sz w:val="24"/>
          <w:szCs w:val="24"/>
        </w:rPr>
        <w:t>es con base en los Estados de Situación Financiera de Apertura (ESFA) de las entidades.</w:t>
      </w:r>
    </w:p>
    <w:p w14:paraId="701916CB" w14:textId="77777777" w:rsidR="00B2442D" w:rsidRDefault="00B2442D">
      <w:pPr>
        <w:pStyle w:val="Cuerpodeltexto20"/>
        <w:shd w:val="clear" w:color="auto" w:fill="auto"/>
        <w:spacing w:line="40" w:lineRule="atLeast"/>
        <w:ind w:left="426"/>
        <w:jc w:val="both"/>
        <w:rPr>
          <w:sz w:val="24"/>
          <w:szCs w:val="24"/>
        </w:rPr>
      </w:pPr>
    </w:p>
    <w:p w14:paraId="0D8C5965" w14:textId="77777777" w:rsidR="00B2442D" w:rsidRDefault="008A645F">
      <w:pPr>
        <w:pStyle w:val="Cuerpodeltexto20"/>
        <w:shd w:val="clear" w:color="auto" w:fill="auto"/>
        <w:spacing w:line="40" w:lineRule="atLeast"/>
        <w:ind w:left="709"/>
        <w:jc w:val="both"/>
        <w:rPr>
          <w:sz w:val="24"/>
          <w:szCs w:val="24"/>
        </w:rPr>
      </w:pPr>
      <w:r>
        <w:rPr>
          <w:sz w:val="24"/>
          <w:szCs w:val="24"/>
        </w:rPr>
        <w:t>Para tales efectos se desarrollará lo siguiente:</w:t>
      </w:r>
    </w:p>
    <w:p w14:paraId="5C4E1DAE" w14:textId="77777777" w:rsidR="00B2442D" w:rsidRDefault="00B2442D">
      <w:pPr>
        <w:pStyle w:val="Cuerpodeltexto20"/>
        <w:shd w:val="clear" w:color="auto" w:fill="auto"/>
        <w:spacing w:line="40" w:lineRule="atLeast"/>
        <w:ind w:left="709"/>
        <w:jc w:val="both"/>
        <w:rPr>
          <w:sz w:val="24"/>
          <w:szCs w:val="24"/>
        </w:rPr>
      </w:pPr>
    </w:p>
    <w:p w14:paraId="3BD57992" w14:textId="77777777" w:rsidR="00B2442D" w:rsidRDefault="008A645F">
      <w:pPr>
        <w:pStyle w:val="Cuerpodeltexto20"/>
        <w:numPr>
          <w:ilvl w:val="0"/>
          <w:numId w:val="163"/>
        </w:numPr>
        <w:shd w:val="clear" w:color="auto" w:fill="auto"/>
        <w:spacing w:line="40" w:lineRule="atLeast"/>
        <w:ind w:left="1418" w:hanging="284"/>
        <w:jc w:val="both"/>
        <w:rPr>
          <w:sz w:val="24"/>
          <w:szCs w:val="24"/>
        </w:rPr>
      </w:pPr>
      <w:r>
        <w:rPr>
          <w:sz w:val="24"/>
          <w:szCs w:val="24"/>
        </w:rPr>
        <w:t>Selección de contribuyentes estratégicos y representativos de ciertos sectores de la economía.</w:t>
      </w:r>
    </w:p>
    <w:p w14:paraId="07A5BC52" w14:textId="77777777" w:rsidR="00B2442D" w:rsidRDefault="008A645F">
      <w:pPr>
        <w:pStyle w:val="Cuerpodeltexto20"/>
        <w:numPr>
          <w:ilvl w:val="0"/>
          <w:numId w:val="163"/>
        </w:numPr>
        <w:shd w:val="clear" w:color="auto" w:fill="auto"/>
        <w:spacing w:line="40" w:lineRule="atLeast"/>
        <w:ind w:left="1418" w:hanging="284"/>
        <w:jc w:val="both"/>
        <w:rPr>
          <w:sz w:val="24"/>
          <w:szCs w:val="24"/>
        </w:rPr>
      </w:pPr>
      <w:r>
        <w:rPr>
          <w:sz w:val="24"/>
          <w:szCs w:val="24"/>
        </w:rPr>
        <w:t xml:space="preserve">Identificación de los </w:t>
      </w:r>
      <w:r>
        <w:rPr>
          <w:sz w:val="24"/>
          <w:szCs w:val="24"/>
        </w:rPr>
        <w:t>rubros que presentan variaciones significativas.</w:t>
      </w:r>
    </w:p>
    <w:p w14:paraId="7C3646F0" w14:textId="77777777" w:rsidR="00B2442D" w:rsidRDefault="008A645F">
      <w:pPr>
        <w:pStyle w:val="Cuerpodeltexto20"/>
        <w:numPr>
          <w:ilvl w:val="0"/>
          <w:numId w:val="163"/>
        </w:numPr>
        <w:shd w:val="clear" w:color="auto" w:fill="auto"/>
        <w:spacing w:line="40" w:lineRule="atLeast"/>
        <w:ind w:left="1418" w:hanging="284"/>
        <w:jc w:val="both"/>
        <w:rPr>
          <w:sz w:val="24"/>
          <w:szCs w:val="24"/>
        </w:rPr>
      </w:pPr>
      <w:r>
        <w:rPr>
          <w:sz w:val="24"/>
          <w:szCs w:val="24"/>
        </w:rPr>
        <w:t>Simulación con base en supuestos del efecto tributario que tendría adoptar una u otra norma o una mezcla de estas, en la determinación del impuesto de renta, en los valores patrimoniales y en la renta presun</w:t>
      </w:r>
      <w:r>
        <w:rPr>
          <w:sz w:val="24"/>
          <w:szCs w:val="24"/>
        </w:rPr>
        <w:t>tiva, entre otros.</w:t>
      </w:r>
    </w:p>
    <w:p w14:paraId="494C6B62" w14:textId="77777777" w:rsidR="00B2442D" w:rsidRDefault="00B2442D">
      <w:pPr>
        <w:pStyle w:val="Cuerpodeltexto20"/>
        <w:shd w:val="clear" w:color="auto" w:fill="auto"/>
        <w:spacing w:line="40" w:lineRule="atLeast"/>
        <w:jc w:val="both"/>
        <w:rPr>
          <w:sz w:val="24"/>
          <w:szCs w:val="24"/>
        </w:rPr>
      </w:pPr>
    </w:p>
    <w:p w14:paraId="13C074BB" w14:textId="77777777" w:rsidR="00B2442D" w:rsidRDefault="008A645F">
      <w:pPr>
        <w:pStyle w:val="Cuerpodeltexto20"/>
        <w:shd w:val="clear" w:color="auto" w:fill="auto"/>
        <w:spacing w:line="40" w:lineRule="atLeast"/>
        <w:ind w:left="709"/>
        <w:jc w:val="both"/>
        <w:rPr>
          <w:sz w:val="24"/>
          <w:szCs w:val="24"/>
        </w:rPr>
      </w:pPr>
      <w:r>
        <w:rPr>
          <w:sz w:val="24"/>
          <w:szCs w:val="24"/>
        </w:rPr>
        <w:t xml:space="preserve">Como entregable de este proceso, la UAE DIAN presentará un informe con recomendaciones normativas a los Ministerios de Hacienda y Crédito Público y Comercio Industria y Turismo, que contendrá los resultados de las simulaciones así como </w:t>
      </w:r>
      <w:r>
        <w:rPr>
          <w:sz w:val="24"/>
          <w:szCs w:val="24"/>
        </w:rPr>
        <w:t>las recomendaciones de política pública sobre la adopción o no de algunas normas de los nuevos marcos técnicos normativos para efectos fiscales, previo análisis y recomendaciones normativas del CTCP así como los de la Contaduría General de la Nación.</w:t>
      </w:r>
    </w:p>
    <w:p w14:paraId="594AF383" w14:textId="77777777" w:rsidR="00B2442D" w:rsidRDefault="00B2442D">
      <w:pPr>
        <w:pStyle w:val="Cuerpodeltexto20"/>
        <w:shd w:val="clear" w:color="auto" w:fill="auto"/>
        <w:spacing w:line="40" w:lineRule="atLeast"/>
        <w:jc w:val="both"/>
        <w:rPr>
          <w:sz w:val="24"/>
          <w:szCs w:val="24"/>
        </w:rPr>
      </w:pPr>
    </w:p>
    <w:p w14:paraId="2B6CD0AB" w14:textId="77777777" w:rsidR="00B2442D" w:rsidRDefault="008A645F">
      <w:pPr>
        <w:pStyle w:val="Cuerpodeltexto20"/>
        <w:shd w:val="clear" w:color="auto" w:fill="auto"/>
        <w:spacing w:line="40" w:lineRule="atLeast"/>
        <w:jc w:val="both"/>
        <w:rPr>
          <w:sz w:val="24"/>
          <w:szCs w:val="24"/>
        </w:rPr>
      </w:pPr>
      <w:r>
        <w:rPr>
          <w:sz w:val="24"/>
          <w:szCs w:val="24"/>
        </w:rPr>
        <w:t>Dura</w:t>
      </w:r>
      <w:r>
        <w:rPr>
          <w:sz w:val="24"/>
          <w:szCs w:val="24"/>
        </w:rPr>
        <w:t>nte el período 2015 a 2017, la UAE DIAN convocará a los equipos de trabajo de los Ministerios de Hacienda y Crédito Público y de Comercio, Industria y Turismo, así como del Consejo Técnico de la Contaduría Pública y de la Contaduría General de la Nación, p</w:t>
      </w:r>
      <w:r>
        <w:rPr>
          <w:sz w:val="24"/>
          <w:szCs w:val="24"/>
        </w:rPr>
        <w:t>ara informar y discutir los adelantos realizados. Estas reuniones de trabajo se harán por los menos una vez cada dos meses. Sin embargo, de ser necesario, se programarán reuniones adicionales. A las mismas, podrán asistir otras entidade</w:t>
      </w:r>
      <w:bookmarkStart w:id="52" w:name="bookmark9"/>
      <w:r>
        <w:rPr>
          <w:sz w:val="24"/>
          <w:szCs w:val="24"/>
        </w:rPr>
        <w:t>s tales como Superin</w:t>
      </w:r>
      <w:r>
        <w:rPr>
          <w:sz w:val="24"/>
          <w:szCs w:val="24"/>
        </w:rPr>
        <w:t>tendencias.</w:t>
      </w:r>
    </w:p>
    <w:p w14:paraId="088DEF11" w14:textId="77777777" w:rsidR="00B2442D" w:rsidRDefault="00B2442D">
      <w:pPr>
        <w:pStyle w:val="Cuerpodeltexto20"/>
        <w:shd w:val="clear" w:color="auto" w:fill="auto"/>
        <w:spacing w:line="40" w:lineRule="atLeast"/>
        <w:jc w:val="both"/>
        <w:rPr>
          <w:sz w:val="24"/>
          <w:szCs w:val="24"/>
        </w:rPr>
      </w:pPr>
    </w:p>
    <w:p w14:paraId="48190278" w14:textId="77777777" w:rsidR="00B2442D" w:rsidRDefault="008A645F">
      <w:pPr>
        <w:rPr>
          <w:rFonts w:ascii="Arial" w:hAnsi="Arial" w:cs="Arial"/>
          <w:b/>
        </w:rPr>
      </w:pPr>
      <w:r>
        <w:rPr>
          <w:rFonts w:ascii="Arial" w:hAnsi="Arial" w:cs="Arial"/>
          <w:b/>
        </w:rPr>
        <w:t>Durante el año 2018:</w:t>
      </w:r>
      <w:bookmarkEnd w:id="52"/>
    </w:p>
    <w:p w14:paraId="02807E47" w14:textId="77777777" w:rsidR="00B2442D" w:rsidRDefault="00B2442D">
      <w:pPr>
        <w:pStyle w:val="Cuerpodeltexto20"/>
        <w:shd w:val="clear" w:color="auto" w:fill="auto"/>
        <w:spacing w:line="40" w:lineRule="atLeast"/>
        <w:jc w:val="both"/>
        <w:rPr>
          <w:sz w:val="24"/>
          <w:szCs w:val="24"/>
        </w:rPr>
      </w:pPr>
    </w:p>
    <w:p w14:paraId="1679249D" w14:textId="77777777" w:rsidR="00B2442D" w:rsidRDefault="008A645F">
      <w:pPr>
        <w:pStyle w:val="Cuerpodeltexto20"/>
        <w:shd w:val="clear" w:color="auto" w:fill="auto"/>
        <w:spacing w:line="40" w:lineRule="atLeast"/>
        <w:jc w:val="both"/>
        <w:rPr>
          <w:sz w:val="24"/>
          <w:szCs w:val="24"/>
        </w:rPr>
      </w:pPr>
      <w:r>
        <w:rPr>
          <w:sz w:val="24"/>
          <w:szCs w:val="24"/>
        </w:rPr>
        <w:t>Durante el año 2018 los Ministerios de Hacienda y Crédito Público y Comercio, Industria y Turismo con base en los documentos e informes suministrados por la UAE DIAN, formularán un proyecto de Ley para la adopción de toda</w:t>
      </w:r>
      <w:r>
        <w:rPr>
          <w:sz w:val="24"/>
          <w:szCs w:val="24"/>
        </w:rPr>
        <w:t>s o algunas de las recomendaciones formuladas por la UAE DIAN que deberá ser presentado por el Gobierno Nacional al Congreso de la República en el año 2018.</w:t>
      </w:r>
    </w:p>
    <w:p w14:paraId="407E6511" w14:textId="77777777" w:rsidR="00B2442D" w:rsidRDefault="00B2442D">
      <w:pPr>
        <w:jc w:val="both"/>
        <w:rPr>
          <w:rFonts w:ascii="Arial" w:hAnsi="Arial" w:cs="Arial"/>
          <w:lang w:val="es-CO"/>
        </w:rPr>
      </w:pPr>
    </w:p>
    <w:p w14:paraId="4BF81956" w14:textId="77777777" w:rsidR="00B2442D" w:rsidRDefault="008A645F">
      <w:pPr>
        <w:pStyle w:val="Ttulo2"/>
      </w:pPr>
      <w:bookmarkStart w:id="53" w:name="_Toc479171205"/>
      <w:r>
        <w:t>PARTE 8</w:t>
      </w:r>
      <w:bookmarkEnd w:id="53"/>
    </w:p>
    <w:p w14:paraId="07F0E21F" w14:textId="77777777" w:rsidR="00B2442D" w:rsidRDefault="008A645F">
      <w:pPr>
        <w:pStyle w:val="Ttulo2"/>
      </w:pPr>
      <w:bookmarkStart w:id="54" w:name="_Toc479171206"/>
      <w:r>
        <w:t>Otras disposiciones</w:t>
      </w:r>
      <w:bookmarkEnd w:id="54"/>
    </w:p>
    <w:p w14:paraId="3F1F65A0" w14:textId="77777777" w:rsidR="00B2442D" w:rsidRDefault="00B2442D">
      <w:pPr>
        <w:jc w:val="center"/>
        <w:rPr>
          <w:rFonts w:ascii="Arial" w:hAnsi="Arial" w:cs="Arial"/>
          <w:lang w:val="es-CO"/>
        </w:rPr>
      </w:pPr>
    </w:p>
    <w:p w14:paraId="328A84F7" w14:textId="77777777" w:rsidR="00B2442D" w:rsidRDefault="008A645F">
      <w:pPr>
        <w:pStyle w:val="Ttulo3"/>
      </w:pPr>
      <w:bookmarkStart w:id="55" w:name="_Toc479171207"/>
      <w:r>
        <w:t>TÍTULO 1</w:t>
      </w:r>
      <w:bookmarkEnd w:id="55"/>
    </w:p>
    <w:p w14:paraId="071BC968" w14:textId="77777777" w:rsidR="00B2442D" w:rsidRDefault="008A645F">
      <w:pPr>
        <w:pStyle w:val="Ttulo3"/>
      </w:pPr>
      <w:bookmarkStart w:id="56" w:name="_Toc479171208"/>
      <w:r>
        <w:t>Plan Antievasión</w:t>
      </w:r>
      <w:bookmarkEnd w:id="56"/>
    </w:p>
    <w:p w14:paraId="500A4DCF" w14:textId="77777777" w:rsidR="00B2442D" w:rsidRDefault="00B2442D">
      <w:pPr>
        <w:rPr>
          <w:rFonts w:ascii="Arial" w:hAnsi="Arial" w:cs="Arial"/>
          <w:lang w:val="es-CO"/>
        </w:rPr>
      </w:pPr>
    </w:p>
    <w:p w14:paraId="3657CC6D" w14:textId="77777777" w:rsidR="00B2442D" w:rsidRDefault="008A645F">
      <w:pPr>
        <w:pStyle w:val="Prrafodelista"/>
        <w:numPr>
          <w:ilvl w:val="0"/>
          <w:numId w:val="139"/>
        </w:numPr>
        <w:ind w:left="0" w:firstLine="0"/>
        <w:jc w:val="both"/>
        <w:rPr>
          <w:rFonts w:ascii="Arial" w:hAnsi="Arial" w:cs="Arial"/>
          <w:lang w:val="es-CO"/>
        </w:rPr>
      </w:pPr>
      <w:r>
        <w:rPr>
          <w:rFonts w:ascii="Arial" w:hAnsi="Arial" w:cs="Arial"/>
          <w:b/>
          <w:i/>
          <w:lang w:val="es-CO"/>
        </w:rPr>
        <w:t xml:space="preserve">Presentación del Plan </w:t>
      </w:r>
      <w:r>
        <w:rPr>
          <w:rFonts w:ascii="Arial" w:hAnsi="Arial" w:cs="Arial"/>
          <w:b/>
          <w:i/>
          <w:lang w:val="es-CO"/>
        </w:rPr>
        <w:t>Antievasión.</w:t>
      </w:r>
      <w:r>
        <w:rPr>
          <w:rFonts w:ascii="Arial" w:hAnsi="Arial" w:cs="Arial"/>
          <w:lang w:val="es-CO"/>
        </w:rPr>
        <w:t xml:space="preserve"> El Plan Antievasión deberá presentarse por la Unidad Administrativa Especial Dirección de Impuestos y Aduanas Nacionales– DIAN ante el Ministerio de Hacienda y Crédito Público, a más tardar el 1° de noviembre del año anterior a su ejecución. </w:t>
      </w:r>
    </w:p>
    <w:p w14:paraId="614A3D59" w14:textId="77777777" w:rsidR="00B2442D" w:rsidRDefault="008A645F">
      <w:pPr>
        <w:jc w:val="both"/>
        <w:rPr>
          <w:rFonts w:ascii="Arial" w:hAnsi="Arial" w:cs="Arial"/>
          <w:lang w:val="es-CO"/>
        </w:rPr>
      </w:pPr>
      <w:r>
        <w:rPr>
          <w:rFonts w:ascii="Arial" w:hAnsi="Arial" w:cs="Arial"/>
          <w:lang w:val="es-CO"/>
        </w:rPr>
        <w:t xml:space="preserve"> </w:t>
      </w:r>
    </w:p>
    <w:p w14:paraId="782071AB" w14:textId="77777777" w:rsidR="00B2442D" w:rsidRDefault="008A645F">
      <w:pPr>
        <w:jc w:val="both"/>
        <w:rPr>
          <w:rFonts w:ascii="Arial" w:hAnsi="Arial" w:cs="Arial"/>
          <w:lang w:val="es-CO"/>
        </w:rPr>
      </w:pPr>
      <w:r>
        <w:rPr>
          <w:rFonts w:ascii="Arial" w:hAnsi="Arial" w:cs="Arial"/>
          <w:lang w:val="es-CO"/>
        </w:rPr>
        <w:t>Dentro del mes siguiente, previa convocatoria por el Ministro será presentado el plan ante la Comisión Nacional Mixta de Gestión Tributaria y Aduanera, para que sus miembros efectúen las observaciones tendientes a su mejoramiento y se emita concepto sobr</w:t>
      </w:r>
      <w:r>
        <w:rPr>
          <w:rFonts w:ascii="Arial" w:hAnsi="Arial" w:cs="Arial"/>
          <w:lang w:val="es-CO"/>
        </w:rPr>
        <w:t>e los ajustes que contribuyan a la debida ejecución.</w:t>
      </w:r>
    </w:p>
    <w:p w14:paraId="0FB5B45F" w14:textId="77777777" w:rsidR="00B2442D" w:rsidRDefault="00B2442D">
      <w:pPr>
        <w:jc w:val="both"/>
        <w:rPr>
          <w:rFonts w:ascii="Arial" w:hAnsi="Arial" w:cs="Arial"/>
          <w:i/>
          <w:lang w:val="es-CO"/>
        </w:rPr>
      </w:pPr>
    </w:p>
    <w:p w14:paraId="48D54EBE" w14:textId="77777777" w:rsidR="00B2442D" w:rsidRDefault="008A645F">
      <w:pPr>
        <w:jc w:val="both"/>
        <w:rPr>
          <w:rFonts w:ascii="Arial" w:hAnsi="Arial" w:cs="Arial"/>
          <w:i/>
          <w:lang w:val="es-CO"/>
        </w:rPr>
      </w:pPr>
      <w:r>
        <w:rPr>
          <w:rFonts w:ascii="Arial" w:hAnsi="Arial" w:cs="Arial"/>
          <w:i/>
          <w:lang w:val="es-CO"/>
        </w:rPr>
        <w:t>(Art. 4, Decreto 0482 de 1996)</w:t>
      </w:r>
    </w:p>
    <w:p w14:paraId="3A3AABA3" w14:textId="77777777" w:rsidR="00B2442D" w:rsidRDefault="00B2442D">
      <w:pPr>
        <w:jc w:val="both"/>
        <w:rPr>
          <w:rFonts w:ascii="Arial" w:hAnsi="Arial" w:cs="Arial"/>
          <w:i/>
          <w:lang w:val="es-CO"/>
        </w:rPr>
      </w:pPr>
    </w:p>
    <w:p w14:paraId="77D7532B" w14:textId="77777777" w:rsidR="00B2442D" w:rsidRDefault="008A645F">
      <w:pPr>
        <w:pStyle w:val="Prrafodelista"/>
        <w:numPr>
          <w:ilvl w:val="0"/>
          <w:numId w:val="139"/>
        </w:numPr>
        <w:ind w:left="0" w:firstLine="0"/>
        <w:jc w:val="both"/>
        <w:rPr>
          <w:rFonts w:ascii="Arial" w:hAnsi="Arial" w:cs="Arial"/>
          <w:lang w:val="es-CO"/>
        </w:rPr>
      </w:pPr>
      <w:r>
        <w:rPr>
          <w:rFonts w:ascii="Arial" w:hAnsi="Arial" w:cs="Arial"/>
          <w:b/>
          <w:i/>
          <w:lang w:val="es-CO"/>
        </w:rPr>
        <w:t>Aprobación del Plan Antievasión.</w:t>
      </w:r>
      <w:r>
        <w:rPr>
          <w:rFonts w:ascii="Arial" w:hAnsi="Arial" w:cs="Arial"/>
          <w:lang w:val="es-CO"/>
        </w:rPr>
        <w:t xml:space="preserve"> Oído el concepto de la Comisión Nacional Mixta de Gestión Tributaria y Aduanera y realizadas las modificaciones que considere procedentes</w:t>
      </w:r>
      <w:r>
        <w:rPr>
          <w:rFonts w:ascii="Arial" w:hAnsi="Arial" w:cs="Arial"/>
          <w:lang w:val="es-CO"/>
        </w:rPr>
        <w:t>, el Ministro de Hacienda y Crédito Público aprobará el Plan Antievasión.</w:t>
      </w:r>
    </w:p>
    <w:p w14:paraId="1A9E995A" w14:textId="77777777" w:rsidR="00B2442D" w:rsidRDefault="00B2442D">
      <w:pPr>
        <w:jc w:val="both"/>
        <w:rPr>
          <w:rFonts w:ascii="Arial" w:hAnsi="Arial" w:cs="Arial"/>
          <w:i/>
          <w:lang w:val="es-CO"/>
        </w:rPr>
      </w:pPr>
    </w:p>
    <w:p w14:paraId="516DC791" w14:textId="77777777" w:rsidR="00B2442D" w:rsidRDefault="008A645F">
      <w:pPr>
        <w:jc w:val="both"/>
        <w:rPr>
          <w:rFonts w:ascii="Arial" w:hAnsi="Arial" w:cs="Arial"/>
          <w:i/>
          <w:lang w:val="es-CO"/>
        </w:rPr>
      </w:pPr>
      <w:r>
        <w:rPr>
          <w:rFonts w:ascii="Arial" w:hAnsi="Arial" w:cs="Arial"/>
          <w:i/>
          <w:lang w:val="es-CO"/>
        </w:rPr>
        <w:t>(Art. 5, Decreto 0482 de 1996)</w:t>
      </w:r>
    </w:p>
    <w:p w14:paraId="7B8DF684" w14:textId="77777777" w:rsidR="00B2442D" w:rsidRDefault="00B2442D">
      <w:pPr>
        <w:jc w:val="both"/>
        <w:rPr>
          <w:rFonts w:ascii="Arial" w:hAnsi="Arial" w:cs="Arial"/>
          <w:lang w:val="es-CO"/>
        </w:rPr>
      </w:pPr>
    </w:p>
    <w:p w14:paraId="103714ED" w14:textId="77777777" w:rsidR="00B2442D" w:rsidRDefault="008A645F">
      <w:pPr>
        <w:pStyle w:val="Prrafodelista"/>
        <w:numPr>
          <w:ilvl w:val="0"/>
          <w:numId w:val="139"/>
        </w:numPr>
        <w:ind w:left="0" w:firstLine="0"/>
        <w:jc w:val="both"/>
        <w:rPr>
          <w:rFonts w:ascii="Arial" w:hAnsi="Arial" w:cs="Arial"/>
          <w:lang w:val="es-CO"/>
        </w:rPr>
      </w:pPr>
      <w:r>
        <w:rPr>
          <w:rFonts w:ascii="Arial" w:hAnsi="Arial" w:cs="Arial"/>
          <w:b/>
          <w:i/>
          <w:lang w:val="es-CO"/>
        </w:rPr>
        <w:t>Seguimiento del plan.</w:t>
      </w:r>
      <w:r>
        <w:rPr>
          <w:rFonts w:ascii="Arial" w:hAnsi="Arial" w:cs="Arial"/>
          <w:lang w:val="es-CO"/>
        </w:rPr>
        <w:t xml:space="preserve"> La Comisión Nacional Mixta de Gestión Tributaria y Aduanera efectuará el seguimiento del Plan en las reuniones ordinarias o ext</w:t>
      </w:r>
      <w:r>
        <w:rPr>
          <w:rFonts w:ascii="Arial" w:hAnsi="Arial" w:cs="Arial"/>
          <w:lang w:val="es-CO"/>
        </w:rPr>
        <w:t>raordinarias que se convoquen para tal efecto, con base en los informes suministrados sobre la gestión adelantada en forma mensual y acumulativa por los Subdirectores de Gestión de Fiscalización de las áreas tributaria y aduanera.</w:t>
      </w:r>
    </w:p>
    <w:p w14:paraId="2C2A7C06" w14:textId="77777777" w:rsidR="00B2442D" w:rsidRDefault="00B2442D">
      <w:pPr>
        <w:jc w:val="both"/>
        <w:rPr>
          <w:rFonts w:ascii="Arial" w:hAnsi="Arial" w:cs="Arial"/>
          <w:i/>
          <w:lang w:val="es-CO"/>
        </w:rPr>
      </w:pPr>
    </w:p>
    <w:p w14:paraId="74E4C74C" w14:textId="77777777" w:rsidR="00B2442D" w:rsidRDefault="008A645F">
      <w:pPr>
        <w:jc w:val="both"/>
        <w:rPr>
          <w:rFonts w:ascii="Arial" w:hAnsi="Arial" w:cs="Arial"/>
          <w:i/>
          <w:lang w:val="es-CO"/>
        </w:rPr>
      </w:pPr>
      <w:r>
        <w:rPr>
          <w:rFonts w:ascii="Arial" w:hAnsi="Arial" w:cs="Arial"/>
          <w:i/>
          <w:lang w:val="es-CO"/>
        </w:rPr>
        <w:t>(Art. 6, Decreto 0482 de</w:t>
      </w:r>
      <w:r>
        <w:rPr>
          <w:rFonts w:ascii="Arial" w:hAnsi="Arial" w:cs="Arial"/>
          <w:i/>
          <w:lang w:val="es-CO"/>
        </w:rPr>
        <w:t xml:space="preserve"> 1996)</w:t>
      </w:r>
    </w:p>
    <w:p w14:paraId="07BE95A4" w14:textId="77777777" w:rsidR="00B2442D" w:rsidRDefault="00B2442D">
      <w:pPr>
        <w:jc w:val="both"/>
        <w:rPr>
          <w:rFonts w:ascii="Arial" w:hAnsi="Arial" w:cs="Arial"/>
          <w:lang w:val="es-CO"/>
        </w:rPr>
      </w:pPr>
    </w:p>
    <w:p w14:paraId="357F5EC4" w14:textId="77777777" w:rsidR="00B2442D" w:rsidRDefault="008A645F">
      <w:pPr>
        <w:pStyle w:val="Ttulo3"/>
      </w:pPr>
      <w:bookmarkStart w:id="57" w:name="_Toc479171209"/>
      <w:r>
        <w:t>TÍTULO 2</w:t>
      </w:r>
      <w:bookmarkEnd w:id="57"/>
    </w:p>
    <w:p w14:paraId="726342CB" w14:textId="77777777" w:rsidR="00B2442D" w:rsidRDefault="008A645F">
      <w:pPr>
        <w:pStyle w:val="Ttulo3"/>
      </w:pPr>
      <w:bookmarkStart w:id="58" w:name="_Toc479171210"/>
      <w:r>
        <w:t>Consejo Nacional de Beneficios Tributarios en Ciencia, Tecnología e Innovación – CNBT</w:t>
      </w:r>
      <w:bookmarkEnd w:id="58"/>
    </w:p>
    <w:p w14:paraId="65064B6C" w14:textId="77777777" w:rsidR="00B2442D" w:rsidRDefault="00B2442D">
      <w:pPr>
        <w:rPr>
          <w:rFonts w:ascii="Arial" w:hAnsi="Arial" w:cs="Arial"/>
          <w:lang w:val="es-CO"/>
        </w:rPr>
      </w:pPr>
    </w:p>
    <w:p w14:paraId="3D885ACE" w14:textId="77777777" w:rsidR="00B2442D" w:rsidRDefault="008A645F">
      <w:pPr>
        <w:pStyle w:val="Prrafodelista"/>
        <w:numPr>
          <w:ilvl w:val="0"/>
          <w:numId w:val="140"/>
        </w:numPr>
        <w:ind w:left="0" w:firstLine="0"/>
        <w:jc w:val="both"/>
        <w:rPr>
          <w:rFonts w:ascii="Arial" w:hAnsi="Arial" w:cs="Arial"/>
          <w:lang w:val="es-CO"/>
        </w:rPr>
      </w:pPr>
      <w:r>
        <w:rPr>
          <w:rFonts w:ascii="Arial" w:hAnsi="Arial" w:cs="Arial"/>
          <w:b/>
          <w:i/>
          <w:lang w:val="es-CO"/>
        </w:rPr>
        <w:t>Reglamento de funcionamiento del Consejo Nacional de Beneficios Tributarios en Ciencia, Tecnología e Innovación – CNBT.</w:t>
      </w:r>
      <w:r>
        <w:rPr>
          <w:rFonts w:ascii="Arial" w:hAnsi="Arial" w:cs="Arial"/>
          <w:lang w:val="es-CO"/>
        </w:rPr>
        <w:t xml:space="preserve"> Adóptese el siguiente reglamento</w:t>
      </w:r>
      <w:r>
        <w:rPr>
          <w:rFonts w:ascii="Arial" w:hAnsi="Arial" w:cs="Arial"/>
          <w:lang w:val="es-CO"/>
        </w:rPr>
        <w:t xml:space="preserve"> de funcionamiento del Consejo Nacional de Beneficios Tributarios en Ciencia, Tecnología e Innovación - CNBT.</w:t>
      </w:r>
    </w:p>
    <w:p w14:paraId="3310723E" w14:textId="77777777" w:rsidR="00B2442D" w:rsidRDefault="00B2442D">
      <w:pPr>
        <w:jc w:val="both"/>
        <w:rPr>
          <w:rFonts w:ascii="Arial" w:hAnsi="Arial" w:cs="Arial"/>
          <w:lang w:val="es-CO"/>
        </w:rPr>
      </w:pPr>
    </w:p>
    <w:p w14:paraId="18FB9376" w14:textId="77777777" w:rsidR="00B2442D" w:rsidRDefault="008A645F">
      <w:pPr>
        <w:jc w:val="both"/>
        <w:rPr>
          <w:rFonts w:ascii="Arial" w:hAnsi="Arial" w:cs="Arial"/>
          <w:i/>
          <w:lang w:val="es-CO"/>
        </w:rPr>
      </w:pPr>
      <w:r>
        <w:rPr>
          <w:rFonts w:ascii="Arial" w:hAnsi="Arial" w:cs="Arial"/>
          <w:i/>
          <w:lang w:val="es-CO"/>
        </w:rPr>
        <w:t>(Art. 1, Decreto 121 de 2014)</w:t>
      </w:r>
    </w:p>
    <w:p w14:paraId="0654CEAB" w14:textId="77777777" w:rsidR="00B2442D" w:rsidRDefault="00B2442D">
      <w:pPr>
        <w:jc w:val="both"/>
        <w:rPr>
          <w:rFonts w:ascii="Arial" w:hAnsi="Arial" w:cs="Arial"/>
          <w:lang w:val="es-CO"/>
        </w:rPr>
      </w:pPr>
    </w:p>
    <w:p w14:paraId="7E891D74" w14:textId="77777777" w:rsidR="00B2442D" w:rsidRDefault="008A645F">
      <w:pPr>
        <w:pStyle w:val="Ttulo4"/>
        <w:rPr>
          <w:lang w:val="es-CO"/>
        </w:rPr>
      </w:pPr>
      <w:r>
        <w:rPr>
          <w:lang w:val="es-CO"/>
        </w:rPr>
        <w:t>CAPÍTULO 1</w:t>
      </w:r>
    </w:p>
    <w:p w14:paraId="6D3BF934" w14:textId="77777777" w:rsidR="00B2442D" w:rsidRDefault="008A645F">
      <w:pPr>
        <w:pStyle w:val="Ttulo4"/>
        <w:rPr>
          <w:lang w:val="es-CO"/>
        </w:rPr>
      </w:pPr>
      <w:r>
        <w:rPr>
          <w:lang w:val="es-CO"/>
        </w:rPr>
        <w:t>Integración y funciones</w:t>
      </w:r>
    </w:p>
    <w:p w14:paraId="30D428B7" w14:textId="77777777" w:rsidR="00B2442D" w:rsidRDefault="00B2442D">
      <w:pPr>
        <w:jc w:val="both"/>
        <w:rPr>
          <w:rFonts w:ascii="Arial" w:hAnsi="Arial" w:cs="Arial"/>
          <w:lang w:val="es-CO"/>
        </w:rPr>
      </w:pPr>
    </w:p>
    <w:p w14:paraId="562AD2D0" w14:textId="77777777" w:rsidR="00B2442D" w:rsidRDefault="008A645F">
      <w:pPr>
        <w:pStyle w:val="Prrafodelista"/>
        <w:numPr>
          <w:ilvl w:val="0"/>
          <w:numId w:val="141"/>
        </w:numPr>
        <w:ind w:left="0" w:firstLine="0"/>
        <w:jc w:val="both"/>
        <w:rPr>
          <w:rFonts w:ascii="Arial" w:hAnsi="Arial" w:cs="Arial"/>
          <w:lang w:val="es-CO"/>
        </w:rPr>
      </w:pPr>
      <w:r>
        <w:rPr>
          <w:rFonts w:ascii="Arial" w:hAnsi="Arial" w:cs="Arial"/>
          <w:b/>
          <w:i/>
          <w:lang w:val="es-CO"/>
        </w:rPr>
        <w:t>Integración.</w:t>
      </w:r>
      <w:r>
        <w:rPr>
          <w:rFonts w:ascii="Arial" w:hAnsi="Arial" w:cs="Arial"/>
          <w:lang w:val="es-CO"/>
        </w:rPr>
        <w:t xml:space="preserve"> El Consejo Nacional de Beneficios Tributarios en Ciencia,  Tecnología e Innovación - CNBT está integrado por:</w:t>
      </w:r>
    </w:p>
    <w:p w14:paraId="43E669B4" w14:textId="77777777" w:rsidR="00B2442D" w:rsidRDefault="00B2442D">
      <w:pPr>
        <w:jc w:val="both"/>
        <w:rPr>
          <w:rFonts w:ascii="Arial" w:hAnsi="Arial" w:cs="Arial"/>
          <w:lang w:val="es-CO"/>
        </w:rPr>
      </w:pPr>
    </w:p>
    <w:p w14:paraId="7971E6B1" w14:textId="77777777" w:rsidR="00B2442D" w:rsidRDefault="008A645F">
      <w:pPr>
        <w:ind w:left="284" w:hanging="284"/>
        <w:jc w:val="both"/>
        <w:rPr>
          <w:rFonts w:ascii="Arial" w:hAnsi="Arial" w:cs="Arial"/>
          <w:lang w:val="es-CO"/>
        </w:rPr>
      </w:pPr>
      <w:r>
        <w:rPr>
          <w:rFonts w:ascii="Arial" w:hAnsi="Arial" w:cs="Arial"/>
          <w:lang w:val="es-CO"/>
        </w:rPr>
        <w:t>1. El Director del Departamento Administrativo de Ciencia, Tecnología e Innovación - Colciencias, quien lo presidirá.</w:t>
      </w:r>
    </w:p>
    <w:p w14:paraId="21AC1F5F" w14:textId="77777777" w:rsidR="00B2442D" w:rsidRDefault="00B2442D">
      <w:pPr>
        <w:ind w:left="284" w:hanging="284"/>
        <w:jc w:val="both"/>
        <w:rPr>
          <w:rFonts w:ascii="Arial" w:hAnsi="Arial" w:cs="Arial"/>
          <w:lang w:val="es-CO"/>
        </w:rPr>
      </w:pPr>
    </w:p>
    <w:p w14:paraId="633C37C8" w14:textId="77777777" w:rsidR="00B2442D" w:rsidRDefault="008A645F">
      <w:pPr>
        <w:ind w:left="284" w:hanging="284"/>
        <w:jc w:val="both"/>
        <w:rPr>
          <w:rFonts w:ascii="Arial" w:hAnsi="Arial" w:cs="Arial"/>
          <w:lang w:val="es-CO"/>
        </w:rPr>
      </w:pPr>
      <w:r>
        <w:rPr>
          <w:rFonts w:ascii="Arial" w:hAnsi="Arial" w:cs="Arial"/>
          <w:lang w:val="es-CO"/>
        </w:rPr>
        <w:t>2. El Ministro de Haciend</w:t>
      </w:r>
      <w:r>
        <w:rPr>
          <w:rFonts w:ascii="Arial" w:hAnsi="Arial" w:cs="Arial"/>
          <w:lang w:val="es-CO"/>
        </w:rPr>
        <w:t>a y Crédito Público, o por el Director General de la Unidad Administrativa Especial Dirección de Impuestos y Aduanas Nacionales– DIAN o su representante.</w:t>
      </w:r>
    </w:p>
    <w:p w14:paraId="1834DD4F" w14:textId="77777777" w:rsidR="00B2442D" w:rsidRDefault="00B2442D">
      <w:pPr>
        <w:ind w:left="284" w:hanging="284"/>
        <w:jc w:val="both"/>
        <w:rPr>
          <w:rFonts w:ascii="Arial" w:hAnsi="Arial" w:cs="Arial"/>
          <w:lang w:val="es-CO"/>
        </w:rPr>
      </w:pPr>
    </w:p>
    <w:p w14:paraId="3F1AD785" w14:textId="77777777" w:rsidR="00B2442D" w:rsidRDefault="008A645F">
      <w:pPr>
        <w:ind w:left="284" w:hanging="284"/>
        <w:jc w:val="both"/>
        <w:rPr>
          <w:rFonts w:ascii="Arial" w:hAnsi="Arial" w:cs="Arial"/>
          <w:lang w:val="es-CO"/>
        </w:rPr>
      </w:pPr>
      <w:r>
        <w:rPr>
          <w:rFonts w:ascii="Arial" w:hAnsi="Arial" w:cs="Arial"/>
          <w:lang w:val="es-CO"/>
        </w:rPr>
        <w:t>3. El Ministro de Comercio, Industria y Turismo o su representante.</w:t>
      </w:r>
    </w:p>
    <w:p w14:paraId="03CAEF86" w14:textId="77777777" w:rsidR="00B2442D" w:rsidRDefault="00B2442D">
      <w:pPr>
        <w:ind w:left="284" w:hanging="284"/>
        <w:jc w:val="both"/>
        <w:rPr>
          <w:rFonts w:ascii="Arial" w:hAnsi="Arial" w:cs="Arial"/>
          <w:lang w:val="es-CO"/>
        </w:rPr>
      </w:pPr>
    </w:p>
    <w:p w14:paraId="1B5391DE" w14:textId="77777777" w:rsidR="00B2442D" w:rsidRDefault="008A645F">
      <w:pPr>
        <w:ind w:left="284" w:hanging="284"/>
        <w:jc w:val="both"/>
        <w:rPr>
          <w:rFonts w:ascii="Arial" w:hAnsi="Arial" w:cs="Arial"/>
          <w:lang w:val="es-CO"/>
        </w:rPr>
      </w:pPr>
      <w:r>
        <w:rPr>
          <w:rFonts w:ascii="Arial" w:hAnsi="Arial" w:cs="Arial"/>
          <w:lang w:val="es-CO"/>
        </w:rPr>
        <w:t xml:space="preserve">4. El Director del Departamento </w:t>
      </w:r>
      <w:r>
        <w:rPr>
          <w:rFonts w:ascii="Arial" w:hAnsi="Arial" w:cs="Arial"/>
          <w:lang w:val="es-CO"/>
        </w:rPr>
        <w:t>Nacional de Planeación o su representante.</w:t>
      </w:r>
    </w:p>
    <w:p w14:paraId="700FAF3D" w14:textId="77777777" w:rsidR="00B2442D" w:rsidRDefault="00B2442D">
      <w:pPr>
        <w:ind w:left="284" w:hanging="284"/>
        <w:jc w:val="both"/>
        <w:rPr>
          <w:rFonts w:ascii="Arial" w:hAnsi="Arial" w:cs="Arial"/>
          <w:lang w:val="es-CO"/>
        </w:rPr>
      </w:pPr>
    </w:p>
    <w:p w14:paraId="24C29CD7" w14:textId="77777777" w:rsidR="00B2442D" w:rsidRDefault="008A645F">
      <w:pPr>
        <w:ind w:left="284" w:hanging="284"/>
        <w:jc w:val="both"/>
        <w:rPr>
          <w:rFonts w:ascii="Arial" w:hAnsi="Arial" w:cs="Arial"/>
          <w:lang w:val="es-CO"/>
        </w:rPr>
      </w:pPr>
      <w:r>
        <w:rPr>
          <w:rFonts w:ascii="Arial" w:hAnsi="Arial" w:cs="Arial"/>
          <w:lang w:val="es-CO"/>
        </w:rPr>
        <w:t>5. El Ministro de las Tecnologías de la Información y las Comunicaciones o su representante.</w:t>
      </w:r>
    </w:p>
    <w:p w14:paraId="5907AA50" w14:textId="77777777" w:rsidR="00B2442D" w:rsidRDefault="00B2442D">
      <w:pPr>
        <w:ind w:left="284" w:hanging="284"/>
        <w:jc w:val="both"/>
        <w:rPr>
          <w:rFonts w:ascii="Arial" w:hAnsi="Arial" w:cs="Arial"/>
          <w:lang w:val="es-CO"/>
        </w:rPr>
      </w:pPr>
    </w:p>
    <w:p w14:paraId="161DA079" w14:textId="77777777" w:rsidR="00B2442D" w:rsidRDefault="008A645F">
      <w:pPr>
        <w:ind w:left="284" w:hanging="284"/>
        <w:jc w:val="both"/>
        <w:rPr>
          <w:rFonts w:ascii="Arial" w:hAnsi="Arial" w:cs="Arial"/>
          <w:lang w:val="es-CO"/>
        </w:rPr>
      </w:pPr>
      <w:r>
        <w:rPr>
          <w:rFonts w:ascii="Arial" w:hAnsi="Arial" w:cs="Arial"/>
          <w:lang w:val="es-CO"/>
        </w:rPr>
        <w:t>6. Dos (2) expertos en ciencia, tecnología e innovación, designados por el Director del Departamento Administrativo de</w:t>
      </w:r>
      <w:r>
        <w:rPr>
          <w:rFonts w:ascii="Arial" w:hAnsi="Arial" w:cs="Arial"/>
          <w:lang w:val="es-CO"/>
        </w:rPr>
        <w:t xml:space="preserve"> Ciencia, Tecnología e Innovación - COLCIENCIAS.</w:t>
      </w:r>
    </w:p>
    <w:p w14:paraId="09A1FA88" w14:textId="77777777" w:rsidR="00B2442D" w:rsidRDefault="00B2442D">
      <w:pPr>
        <w:jc w:val="both"/>
        <w:rPr>
          <w:rFonts w:ascii="Arial" w:hAnsi="Arial" w:cs="Arial"/>
          <w:lang w:val="es-CO"/>
        </w:rPr>
      </w:pPr>
    </w:p>
    <w:p w14:paraId="2614EC34" w14:textId="77777777" w:rsidR="00B2442D" w:rsidRDefault="008A645F">
      <w:pPr>
        <w:jc w:val="both"/>
        <w:rPr>
          <w:rFonts w:ascii="Arial" w:hAnsi="Arial" w:cs="Arial"/>
          <w:lang w:val="es-CO"/>
        </w:rPr>
      </w:pPr>
      <w:r>
        <w:rPr>
          <w:rFonts w:ascii="Arial" w:hAnsi="Arial" w:cs="Arial"/>
          <w:b/>
          <w:lang w:val="es-CO"/>
        </w:rPr>
        <w:t>Parágrafo 1°.</w:t>
      </w:r>
      <w:r>
        <w:rPr>
          <w:rFonts w:ascii="Arial" w:hAnsi="Arial" w:cs="Arial"/>
          <w:lang w:val="es-CO"/>
        </w:rPr>
        <w:t xml:space="preserve"> La Secretaría Técnica del Consejo Nacional de Beneficios Tributarios en Ciencia, Tecnología e Innovación - CNBT, será ejercida por el Departamento Administrativo de Ciencia, Tecnología e Innov</w:t>
      </w:r>
      <w:r>
        <w:rPr>
          <w:rFonts w:ascii="Arial" w:hAnsi="Arial" w:cs="Arial"/>
          <w:lang w:val="es-CO"/>
        </w:rPr>
        <w:t>ación - Colciencias - a través de la dependencia que señale el Director mediante resolución.</w:t>
      </w:r>
    </w:p>
    <w:p w14:paraId="0BB65498" w14:textId="77777777" w:rsidR="00B2442D" w:rsidRDefault="008A645F">
      <w:pPr>
        <w:jc w:val="both"/>
        <w:rPr>
          <w:rFonts w:ascii="Arial" w:hAnsi="Arial" w:cs="Arial"/>
          <w:lang w:val="es-CO"/>
        </w:rPr>
      </w:pPr>
      <w:r>
        <w:rPr>
          <w:rFonts w:ascii="Arial" w:hAnsi="Arial" w:cs="Arial"/>
          <w:lang w:val="es-CO"/>
        </w:rPr>
        <w:t xml:space="preserve"> </w:t>
      </w:r>
    </w:p>
    <w:p w14:paraId="6CD80C8E" w14:textId="77777777" w:rsidR="00B2442D" w:rsidRDefault="008A645F">
      <w:pPr>
        <w:jc w:val="both"/>
        <w:rPr>
          <w:rFonts w:ascii="Arial" w:hAnsi="Arial" w:cs="Arial"/>
          <w:lang w:val="es-CO"/>
        </w:rPr>
      </w:pPr>
      <w:r>
        <w:rPr>
          <w:rFonts w:ascii="Arial" w:hAnsi="Arial" w:cs="Arial"/>
          <w:b/>
          <w:lang w:val="es-CO"/>
        </w:rPr>
        <w:t>Parágrafo 2°.</w:t>
      </w:r>
      <w:r>
        <w:rPr>
          <w:rFonts w:ascii="Arial" w:hAnsi="Arial" w:cs="Arial"/>
          <w:lang w:val="es-CO"/>
        </w:rPr>
        <w:t xml:space="preserve"> Los representantes de los Ministros o Directores deberán ser funcionarios del nivel directivo o asesor de las respectivas entidades, de conformidad</w:t>
      </w:r>
      <w:r>
        <w:rPr>
          <w:rFonts w:ascii="Arial" w:hAnsi="Arial" w:cs="Arial"/>
          <w:lang w:val="es-CO"/>
        </w:rPr>
        <w:t xml:space="preserve"> con lo establecido en el artículo 9° de la Ley 489 de 1998.</w:t>
      </w:r>
    </w:p>
    <w:p w14:paraId="37668C69" w14:textId="77777777" w:rsidR="00B2442D" w:rsidRDefault="00B2442D">
      <w:pPr>
        <w:jc w:val="both"/>
        <w:rPr>
          <w:rFonts w:ascii="Arial" w:hAnsi="Arial" w:cs="Arial"/>
          <w:lang w:val="es-CO"/>
        </w:rPr>
      </w:pPr>
    </w:p>
    <w:p w14:paraId="7425767A" w14:textId="77777777" w:rsidR="00B2442D" w:rsidRDefault="008A645F">
      <w:pPr>
        <w:jc w:val="both"/>
        <w:rPr>
          <w:rFonts w:ascii="Arial" w:hAnsi="Arial" w:cs="Arial"/>
          <w:lang w:val="es-CO"/>
        </w:rPr>
      </w:pPr>
      <w:r>
        <w:rPr>
          <w:rFonts w:ascii="Arial" w:hAnsi="Arial" w:cs="Arial"/>
          <w:b/>
          <w:lang w:val="es-CO"/>
        </w:rPr>
        <w:t>Parágrafo 3°.</w:t>
      </w:r>
      <w:r>
        <w:rPr>
          <w:rFonts w:ascii="Arial" w:hAnsi="Arial" w:cs="Arial"/>
          <w:lang w:val="es-CO"/>
        </w:rPr>
        <w:t xml:space="preserve"> La participación como miembro del Consejo Nacional de Beneficios Tributarios en Ciencia, Tecnología e Innovación - CNBT, en ningún caso generará derecho a percibir emolumento o con</w:t>
      </w:r>
      <w:r>
        <w:rPr>
          <w:rFonts w:ascii="Arial" w:hAnsi="Arial" w:cs="Arial"/>
          <w:lang w:val="es-CO"/>
        </w:rPr>
        <w:t>traprestación alguna.</w:t>
      </w:r>
    </w:p>
    <w:p w14:paraId="5C3F1A75" w14:textId="77777777" w:rsidR="00B2442D" w:rsidRDefault="00B2442D">
      <w:pPr>
        <w:jc w:val="both"/>
        <w:rPr>
          <w:rFonts w:ascii="Arial" w:hAnsi="Arial" w:cs="Arial"/>
          <w:lang w:val="es-CO"/>
        </w:rPr>
      </w:pPr>
    </w:p>
    <w:p w14:paraId="7BE6E952" w14:textId="77777777" w:rsidR="00B2442D" w:rsidRDefault="008A645F">
      <w:pPr>
        <w:jc w:val="both"/>
        <w:rPr>
          <w:rFonts w:ascii="Arial" w:hAnsi="Arial" w:cs="Arial"/>
          <w:lang w:val="es-CO"/>
        </w:rPr>
      </w:pPr>
      <w:r>
        <w:rPr>
          <w:rFonts w:ascii="Arial" w:hAnsi="Arial" w:cs="Arial"/>
          <w:b/>
          <w:lang w:val="es-CO"/>
        </w:rPr>
        <w:t>Parágrafo 4°.</w:t>
      </w:r>
      <w:r>
        <w:rPr>
          <w:rFonts w:ascii="Arial" w:hAnsi="Arial" w:cs="Arial"/>
          <w:lang w:val="es-CO"/>
        </w:rPr>
        <w:t xml:space="preserve"> Los dos (2) expertos en ciencia, tecnología e innovación, integrantes del Consejo Nacional de Beneficios Tributarios en Ciencia, Tecnología e Innovación – CNBT - que designe el Director de COLCIENCIAS para un periodo de dos (2) años contados a partir de l</w:t>
      </w:r>
      <w:r>
        <w:rPr>
          <w:rFonts w:ascii="Arial" w:hAnsi="Arial" w:cs="Arial"/>
          <w:lang w:val="es-CO"/>
        </w:rPr>
        <w:t>a primera sesión a la que sean citados, deberán contar con mínimo diez (10) años de experiencia en el área académica y/o empresarial.</w:t>
      </w:r>
    </w:p>
    <w:p w14:paraId="6491E16D" w14:textId="77777777" w:rsidR="00B2442D" w:rsidRDefault="00B2442D">
      <w:pPr>
        <w:jc w:val="both"/>
        <w:rPr>
          <w:rFonts w:ascii="Arial" w:hAnsi="Arial" w:cs="Arial"/>
          <w:b/>
          <w:lang w:val="es-CO"/>
        </w:rPr>
      </w:pPr>
    </w:p>
    <w:p w14:paraId="4B820F81" w14:textId="77777777" w:rsidR="00B2442D" w:rsidRDefault="008A645F">
      <w:pPr>
        <w:jc w:val="both"/>
        <w:rPr>
          <w:rFonts w:ascii="Arial" w:hAnsi="Arial" w:cs="Arial"/>
          <w:i/>
          <w:lang w:val="es-CO"/>
        </w:rPr>
      </w:pPr>
      <w:r>
        <w:rPr>
          <w:rFonts w:ascii="Arial" w:hAnsi="Arial" w:cs="Arial"/>
          <w:i/>
          <w:lang w:val="es-CO"/>
        </w:rPr>
        <w:t>(Art. 2, Decreto 121 de 2014)</w:t>
      </w:r>
    </w:p>
    <w:p w14:paraId="579999D5" w14:textId="77777777" w:rsidR="00B2442D" w:rsidRDefault="00B2442D">
      <w:pPr>
        <w:jc w:val="both"/>
        <w:rPr>
          <w:rFonts w:ascii="Arial" w:hAnsi="Arial" w:cs="Arial"/>
          <w:b/>
          <w:lang w:val="es-CO"/>
        </w:rPr>
      </w:pPr>
    </w:p>
    <w:p w14:paraId="3AAF75A4" w14:textId="77777777" w:rsidR="00B2442D" w:rsidRDefault="008A645F">
      <w:pPr>
        <w:pStyle w:val="Prrafodelista"/>
        <w:numPr>
          <w:ilvl w:val="0"/>
          <w:numId w:val="141"/>
        </w:numPr>
        <w:ind w:left="0" w:firstLine="0"/>
        <w:jc w:val="both"/>
        <w:rPr>
          <w:rFonts w:ascii="Arial" w:hAnsi="Arial" w:cs="Arial"/>
          <w:lang w:val="es-CO"/>
        </w:rPr>
      </w:pPr>
      <w:r>
        <w:rPr>
          <w:rFonts w:ascii="Arial" w:hAnsi="Arial" w:cs="Arial"/>
          <w:b/>
          <w:i/>
          <w:lang w:val="es-CO"/>
        </w:rPr>
        <w:t>Funciones.</w:t>
      </w:r>
      <w:r>
        <w:rPr>
          <w:rFonts w:ascii="Arial" w:hAnsi="Arial" w:cs="Arial"/>
          <w:lang w:val="es-CO"/>
        </w:rPr>
        <w:t xml:space="preserve"> Son funciones del Consejo Nacional de Beneficios Tributarios en Ciencia, Tecnología e Innovación - CNBT, las siguientes:</w:t>
      </w:r>
    </w:p>
    <w:p w14:paraId="7840F8AE" w14:textId="77777777" w:rsidR="00B2442D" w:rsidRDefault="00B2442D">
      <w:pPr>
        <w:jc w:val="both"/>
        <w:rPr>
          <w:rFonts w:ascii="Arial" w:hAnsi="Arial" w:cs="Arial"/>
          <w:lang w:val="es-CO"/>
        </w:rPr>
      </w:pPr>
    </w:p>
    <w:p w14:paraId="6F911ED3" w14:textId="77777777" w:rsidR="00B2442D" w:rsidRDefault="008A645F">
      <w:pPr>
        <w:jc w:val="both"/>
        <w:rPr>
          <w:rFonts w:ascii="Arial" w:hAnsi="Arial" w:cs="Arial"/>
          <w:lang w:val="es-CO"/>
        </w:rPr>
      </w:pPr>
      <w:r>
        <w:rPr>
          <w:rFonts w:ascii="Arial" w:hAnsi="Arial" w:cs="Arial"/>
          <w:lang w:val="es-CO"/>
        </w:rPr>
        <w:t>1. Establecer los criterios y condiciones para:</w:t>
      </w:r>
    </w:p>
    <w:p w14:paraId="2D5868FC" w14:textId="77777777" w:rsidR="00B2442D" w:rsidRDefault="00B2442D">
      <w:pPr>
        <w:jc w:val="both"/>
        <w:rPr>
          <w:rFonts w:ascii="Arial" w:hAnsi="Arial" w:cs="Arial"/>
          <w:lang w:val="es-CO"/>
        </w:rPr>
      </w:pPr>
    </w:p>
    <w:p w14:paraId="33C0476A" w14:textId="77777777" w:rsidR="00B2442D" w:rsidRDefault="008A645F">
      <w:pPr>
        <w:pStyle w:val="Prrafodelista"/>
        <w:numPr>
          <w:ilvl w:val="0"/>
          <w:numId w:val="165"/>
        </w:numPr>
        <w:jc w:val="both"/>
        <w:rPr>
          <w:rFonts w:ascii="Arial" w:hAnsi="Arial" w:cs="Arial"/>
          <w:lang w:val="es-CO"/>
        </w:rPr>
      </w:pPr>
      <w:r>
        <w:rPr>
          <w:rFonts w:ascii="Arial" w:hAnsi="Arial" w:cs="Arial"/>
          <w:lang w:val="es-CO"/>
        </w:rPr>
        <w:t>Calificar los proyectos como de carácter científico, tecnológico o de innovación, de</w:t>
      </w:r>
      <w:r>
        <w:rPr>
          <w:rFonts w:ascii="Arial" w:hAnsi="Arial" w:cs="Arial"/>
          <w:lang w:val="es-CO"/>
        </w:rPr>
        <w:t xml:space="preserve"> acuerdo con lo establecido en los artículos 57-2 y 428-1 del Estatuto Tributario.</w:t>
      </w:r>
    </w:p>
    <w:p w14:paraId="72808C5D" w14:textId="77777777" w:rsidR="00B2442D" w:rsidRDefault="00B2442D">
      <w:pPr>
        <w:pStyle w:val="Prrafodelista"/>
        <w:jc w:val="both"/>
        <w:rPr>
          <w:rFonts w:ascii="Arial" w:hAnsi="Arial" w:cs="Arial"/>
          <w:lang w:val="es-CO"/>
        </w:rPr>
      </w:pPr>
    </w:p>
    <w:p w14:paraId="4895CA57" w14:textId="77777777" w:rsidR="00B2442D" w:rsidRDefault="008A645F">
      <w:pPr>
        <w:pStyle w:val="Prrafodelista"/>
        <w:numPr>
          <w:ilvl w:val="0"/>
          <w:numId w:val="165"/>
        </w:numPr>
        <w:jc w:val="both"/>
        <w:rPr>
          <w:rFonts w:ascii="Arial" w:hAnsi="Arial" w:cs="Arial"/>
          <w:lang w:val="es-CO"/>
        </w:rPr>
      </w:pPr>
      <w:r>
        <w:rPr>
          <w:rFonts w:ascii="Arial" w:hAnsi="Arial" w:cs="Arial"/>
          <w:lang w:val="es-CO"/>
        </w:rPr>
        <w:t>Calificar los proyectos como de investigación o desarrollo tecnológico, de acuerdo con lo establecido en el artículo 158-1 del Estatuto Tributario.</w:t>
      </w:r>
    </w:p>
    <w:p w14:paraId="35803D81" w14:textId="77777777" w:rsidR="00B2442D" w:rsidRDefault="00B2442D">
      <w:pPr>
        <w:pStyle w:val="Prrafodelista"/>
        <w:jc w:val="both"/>
        <w:rPr>
          <w:rFonts w:ascii="Arial" w:hAnsi="Arial" w:cs="Arial"/>
          <w:lang w:val="es-CO"/>
        </w:rPr>
      </w:pPr>
    </w:p>
    <w:p w14:paraId="13C445CC" w14:textId="77777777" w:rsidR="00B2442D" w:rsidRDefault="008A645F">
      <w:pPr>
        <w:pStyle w:val="Prrafodelista"/>
        <w:numPr>
          <w:ilvl w:val="0"/>
          <w:numId w:val="3"/>
        </w:numPr>
        <w:jc w:val="both"/>
        <w:rPr>
          <w:rFonts w:ascii="Arial" w:hAnsi="Arial" w:cs="Arial"/>
          <w:lang w:val="es-CO"/>
        </w:rPr>
      </w:pPr>
      <w:r>
        <w:rPr>
          <w:rFonts w:ascii="Arial" w:hAnsi="Arial" w:cs="Arial"/>
          <w:lang w:val="es-CO"/>
        </w:rPr>
        <w:t>Vincular nuevo personal</w:t>
      </w:r>
      <w:r>
        <w:rPr>
          <w:rFonts w:ascii="Arial" w:hAnsi="Arial" w:cs="Arial"/>
          <w:lang w:val="es-CO"/>
        </w:rPr>
        <w:t xml:space="preserve"> calificado y acreditado de nivel de formación técnica profesional, tecnológica, profesional, maestría o doctorado, de los Centros o Grupos de Investigación o Innovación, para el desarrollo de los proyectos calificados como de investigación y desarrollo te</w:t>
      </w:r>
      <w:r>
        <w:rPr>
          <w:rFonts w:ascii="Arial" w:hAnsi="Arial" w:cs="Arial"/>
          <w:lang w:val="es-CO"/>
        </w:rPr>
        <w:t>cnológico.</w:t>
      </w:r>
    </w:p>
    <w:p w14:paraId="6BB664F8" w14:textId="77777777" w:rsidR="00B2442D" w:rsidRDefault="00B2442D">
      <w:pPr>
        <w:jc w:val="both"/>
        <w:rPr>
          <w:rFonts w:ascii="Arial" w:hAnsi="Arial" w:cs="Arial"/>
          <w:lang w:val="es-CO"/>
        </w:rPr>
      </w:pPr>
    </w:p>
    <w:p w14:paraId="4F4C7155" w14:textId="77777777" w:rsidR="00B2442D" w:rsidRDefault="008A645F">
      <w:pPr>
        <w:ind w:left="426" w:hanging="426"/>
        <w:jc w:val="both"/>
        <w:rPr>
          <w:rFonts w:ascii="Arial" w:hAnsi="Arial" w:cs="Arial"/>
          <w:lang w:val="es-CO"/>
        </w:rPr>
      </w:pPr>
      <w:r>
        <w:rPr>
          <w:rFonts w:ascii="Arial" w:hAnsi="Arial" w:cs="Arial"/>
          <w:lang w:val="es-CO"/>
        </w:rPr>
        <w:t xml:space="preserve">2. </w:t>
      </w:r>
      <w:r>
        <w:rPr>
          <w:rFonts w:ascii="Arial" w:hAnsi="Arial" w:cs="Arial"/>
          <w:lang w:val="es-CO"/>
        </w:rPr>
        <w:tab/>
        <w:t>Definir los procedimientos de control, seguimiento y evaluación de los proyectos calificados como de investigación y desarrollo tecnológico, y las condiciones para garantizar la divulgación de los resultados de los proyectos calificados, si</w:t>
      </w:r>
      <w:r>
        <w:rPr>
          <w:rFonts w:ascii="Arial" w:hAnsi="Arial" w:cs="Arial"/>
          <w:lang w:val="es-CO"/>
        </w:rPr>
        <w:t>n perjuicio de la aplicación de las normas sobre propiedad intelectual y que además servirán de mecanismo de control de la inversión de los recursos, de conformidad con lo establecido en el inciso 2 del artículo 158-1 del Estatuto Tributario (</w:t>
      </w:r>
      <w:r>
        <w:rPr>
          <w:rFonts w:ascii="Arial" w:hAnsi="Arial" w:cs="Arial"/>
        </w:rPr>
        <w:t>modificado po</w:t>
      </w:r>
      <w:r>
        <w:rPr>
          <w:rFonts w:ascii="Arial" w:hAnsi="Arial" w:cs="Arial"/>
        </w:rPr>
        <w:t>r el artículo 32 de Ley 1739 de 2014)</w:t>
      </w:r>
      <w:r>
        <w:rPr>
          <w:rFonts w:ascii="Arial" w:hAnsi="Arial" w:cs="Arial"/>
          <w:lang w:val="es-CO"/>
        </w:rPr>
        <w:t>.</w:t>
      </w:r>
    </w:p>
    <w:p w14:paraId="42A4B1CE" w14:textId="77777777" w:rsidR="00B2442D" w:rsidRDefault="00B2442D">
      <w:pPr>
        <w:ind w:left="426" w:hanging="426"/>
        <w:jc w:val="both"/>
        <w:rPr>
          <w:rFonts w:ascii="Arial" w:hAnsi="Arial" w:cs="Arial"/>
          <w:lang w:val="es-CO"/>
        </w:rPr>
      </w:pPr>
    </w:p>
    <w:p w14:paraId="43460334" w14:textId="77777777" w:rsidR="00B2442D" w:rsidRDefault="008A645F">
      <w:pPr>
        <w:ind w:left="426" w:hanging="426"/>
        <w:jc w:val="both"/>
        <w:rPr>
          <w:rFonts w:ascii="Arial" w:hAnsi="Arial" w:cs="Arial"/>
          <w:lang w:val="es-CO"/>
        </w:rPr>
      </w:pPr>
      <w:r>
        <w:rPr>
          <w:rFonts w:ascii="Arial" w:hAnsi="Arial" w:cs="Arial"/>
          <w:lang w:val="es-CO"/>
        </w:rPr>
        <w:t xml:space="preserve">3. </w:t>
      </w:r>
      <w:r>
        <w:rPr>
          <w:rFonts w:ascii="Arial" w:hAnsi="Arial" w:cs="Arial"/>
          <w:lang w:val="es-CO"/>
        </w:rPr>
        <w:tab/>
        <w:t>Efectuar los ajustes que se requieran a las definiciones de los procedimientos de control, seguimiento y evaluación, y las condiciones para garantizar la divulgación de los resultados señalados en el numeral 2 de</w:t>
      </w:r>
      <w:r>
        <w:rPr>
          <w:rFonts w:ascii="Arial" w:hAnsi="Arial" w:cs="Arial"/>
          <w:lang w:val="es-CO"/>
        </w:rPr>
        <w:t xml:space="preserve"> este artículo.</w:t>
      </w:r>
    </w:p>
    <w:p w14:paraId="6FF5B3C9" w14:textId="77777777" w:rsidR="00B2442D" w:rsidRDefault="00B2442D">
      <w:pPr>
        <w:ind w:left="426" w:hanging="426"/>
        <w:jc w:val="both"/>
        <w:rPr>
          <w:rFonts w:ascii="Arial" w:hAnsi="Arial" w:cs="Arial"/>
          <w:lang w:val="es-CO"/>
        </w:rPr>
      </w:pPr>
    </w:p>
    <w:p w14:paraId="3FFF1450" w14:textId="77777777" w:rsidR="00B2442D" w:rsidRDefault="008A645F">
      <w:pPr>
        <w:ind w:left="426" w:hanging="426"/>
        <w:jc w:val="both"/>
        <w:rPr>
          <w:rFonts w:ascii="Arial" w:hAnsi="Arial" w:cs="Arial"/>
          <w:lang w:val="es-CO"/>
        </w:rPr>
      </w:pPr>
      <w:r>
        <w:rPr>
          <w:rFonts w:ascii="Arial" w:hAnsi="Arial" w:cs="Arial"/>
          <w:lang w:val="es-CO"/>
        </w:rPr>
        <w:t xml:space="preserve">4. </w:t>
      </w:r>
      <w:r>
        <w:rPr>
          <w:rFonts w:ascii="Arial" w:hAnsi="Arial" w:cs="Arial"/>
          <w:lang w:val="es-CO"/>
        </w:rPr>
        <w:tab/>
        <w:t>Definir con anterioridad al inicio de cada año gravable el monto máximo total para la deducción prevista en el artículo 158-1 del Estatuto Tributario (</w:t>
      </w:r>
      <w:r>
        <w:rPr>
          <w:rFonts w:ascii="Arial" w:hAnsi="Arial" w:cs="Arial"/>
        </w:rPr>
        <w:t>modificado por el artículo 32 de Ley 1739 de 2014)</w:t>
      </w:r>
      <w:r>
        <w:rPr>
          <w:rFonts w:ascii="Arial" w:hAnsi="Arial" w:cs="Arial"/>
          <w:lang w:val="es-CO"/>
        </w:rPr>
        <w:t>.</w:t>
      </w:r>
    </w:p>
    <w:p w14:paraId="37BB294A" w14:textId="77777777" w:rsidR="00B2442D" w:rsidRDefault="00B2442D">
      <w:pPr>
        <w:ind w:left="426" w:hanging="426"/>
        <w:jc w:val="both"/>
        <w:rPr>
          <w:rFonts w:ascii="Arial" w:hAnsi="Arial" w:cs="Arial"/>
          <w:lang w:val="es-CO"/>
        </w:rPr>
      </w:pPr>
    </w:p>
    <w:p w14:paraId="222BC8C3" w14:textId="77777777" w:rsidR="00B2442D" w:rsidRDefault="008A645F">
      <w:pPr>
        <w:ind w:left="426" w:hanging="426"/>
        <w:jc w:val="both"/>
        <w:rPr>
          <w:rFonts w:ascii="Arial" w:hAnsi="Arial" w:cs="Arial"/>
          <w:lang w:val="es-CO"/>
        </w:rPr>
      </w:pPr>
      <w:r>
        <w:rPr>
          <w:rFonts w:ascii="Arial" w:hAnsi="Arial" w:cs="Arial"/>
          <w:lang w:val="es-CO"/>
        </w:rPr>
        <w:t xml:space="preserve">5. </w:t>
      </w:r>
      <w:r>
        <w:rPr>
          <w:rFonts w:ascii="Arial" w:hAnsi="Arial" w:cs="Arial"/>
          <w:lang w:val="es-CO"/>
        </w:rPr>
        <w:tab/>
        <w:t>Definir los porcentajes asi</w:t>
      </w:r>
      <w:r>
        <w:rPr>
          <w:rFonts w:ascii="Arial" w:hAnsi="Arial" w:cs="Arial"/>
          <w:lang w:val="es-CO"/>
        </w:rPr>
        <w:t>gnados del monto máximo total para cada tamaño de empresa a que se refiere el numeral anterior, siguiendo para ello las condiciones y los criterios de tamaño de empresa que establezca el Gobierno Nacional y aplicando transitoriamente las definiciones del a</w:t>
      </w:r>
      <w:r>
        <w:rPr>
          <w:rFonts w:ascii="Arial" w:hAnsi="Arial" w:cs="Arial"/>
          <w:lang w:val="es-CO"/>
        </w:rPr>
        <w:t>rtículo 2° de la Ley 590 de 2000, de conformidad con el parágrafo 2° del artículo 43 de la Ley 1450 de 2011.</w:t>
      </w:r>
    </w:p>
    <w:p w14:paraId="04C1A242" w14:textId="77777777" w:rsidR="00B2442D" w:rsidRDefault="00B2442D">
      <w:pPr>
        <w:ind w:left="426" w:hanging="426"/>
        <w:jc w:val="both"/>
        <w:rPr>
          <w:rFonts w:ascii="Arial" w:hAnsi="Arial" w:cs="Arial"/>
          <w:lang w:val="es-CO"/>
        </w:rPr>
      </w:pPr>
    </w:p>
    <w:p w14:paraId="137A610C" w14:textId="77777777" w:rsidR="00B2442D" w:rsidRDefault="008A645F">
      <w:pPr>
        <w:ind w:left="426" w:hanging="426"/>
        <w:jc w:val="both"/>
        <w:rPr>
          <w:rFonts w:ascii="Arial" w:hAnsi="Arial" w:cs="Arial"/>
          <w:lang w:val="es-CO"/>
        </w:rPr>
      </w:pPr>
      <w:r>
        <w:rPr>
          <w:rFonts w:ascii="Arial" w:hAnsi="Arial" w:cs="Arial"/>
          <w:lang w:val="es-CO"/>
        </w:rPr>
        <w:t xml:space="preserve">6. </w:t>
      </w:r>
      <w:r>
        <w:rPr>
          <w:rFonts w:ascii="Arial" w:hAnsi="Arial" w:cs="Arial"/>
          <w:lang w:val="es-CO"/>
        </w:rPr>
        <w:tab/>
        <w:t xml:space="preserve">Especificar el sistema de distribución del cupo de deducibilidad definido anualmente, respetando los criterios de transparencia y </w:t>
      </w:r>
      <w:r>
        <w:rPr>
          <w:rFonts w:ascii="Arial" w:hAnsi="Arial" w:cs="Arial"/>
          <w:lang w:val="es-CO"/>
        </w:rPr>
        <w:t>equidad.</w:t>
      </w:r>
    </w:p>
    <w:p w14:paraId="58E9BD22" w14:textId="77777777" w:rsidR="00B2442D" w:rsidRDefault="00B2442D">
      <w:pPr>
        <w:ind w:left="426" w:hanging="426"/>
        <w:jc w:val="both"/>
        <w:rPr>
          <w:rFonts w:ascii="Arial" w:hAnsi="Arial" w:cs="Arial"/>
          <w:lang w:val="es-CO"/>
        </w:rPr>
      </w:pPr>
    </w:p>
    <w:p w14:paraId="1A09AEE6" w14:textId="77777777" w:rsidR="00B2442D" w:rsidRDefault="008A645F">
      <w:pPr>
        <w:ind w:left="426" w:hanging="426"/>
        <w:jc w:val="both"/>
        <w:rPr>
          <w:rFonts w:ascii="Arial" w:hAnsi="Arial" w:cs="Arial"/>
          <w:lang w:val="es-CO"/>
        </w:rPr>
      </w:pPr>
      <w:r>
        <w:rPr>
          <w:rFonts w:ascii="Arial" w:hAnsi="Arial" w:cs="Arial"/>
          <w:lang w:val="es-CO"/>
        </w:rPr>
        <w:t xml:space="preserve">7. </w:t>
      </w:r>
      <w:r>
        <w:rPr>
          <w:rFonts w:ascii="Arial" w:hAnsi="Arial" w:cs="Arial"/>
          <w:lang w:val="es-CO"/>
        </w:rPr>
        <w:tab/>
        <w:t>Certificar los nuevos productos de software elaborados en Colombia, con un alto contenido de investigación científica y tecnológica nacional, de conformidad con el numeral 8 del artículo 207-2 del Estatuto Tributario.</w:t>
      </w:r>
    </w:p>
    <w:p w14:paraId="00877677" w14:textId="77777777" w:rsidR="00B2442D" w:rsidRDefault="00B2442D">
      <w:pPr>
        <w:ind w:left="426" w:hanging="426"/>
        <w:jc w:val="both"/>
        <w:rPr>
          <w:rFonts w:ascii="Arial" w:hAnsi="Arial" w:cs="Arial"/>
          <w:lang w:val="es-CO"/>
        </w:rPr>
      </w:pPr>
    </w:p>
    <w:p w14:paraId="67D85C97" w14:textId="77777777" w:rsidR="00B2442D" w:rsidRDefault="008A645F">
      <w:pPr>
        <w:ind w:left="426" w:hanging="426"/>
        <w:jc w:val="both"/>
        <w:rPr>
          <w:rFonts w:ascii="Arial" w:hAnsi="Arial" w:cs="Arial"/>
          <w:lang w:val="es-CO"/>
        </w:rPr>
      </w:pPr>
      <w:r>
        <w:rPr>
          <w:rFonts w:ascii="Arial" w:hAnsi="Arial" w:cs="Arial"/>
          <w:lang w:val="es-CO"/>
        </w:rPr>
        <w:t>8.</w:t>
      </w:r>
      <w:r>
        <w:rPr>
          <w:rFonts w:ascii="Arial" w:hAnsi="Arial" w:cs="Arial"/>
          <w:lang w:val="es-CO"/>
        </w:rPr>
        <w:tab/>
        <w:t>Velar por el adecuad</w:t>
      </w:r>
      <w:r>
        <w:rPr>
          <w:rFonts w:ascii="Arial" w:hAnsi="Arial" w:cs="Arial"/>
          <w:lang w:val="es-CO"/>
        </w:rPr>
        <w:t>o cumplimiento de lo dispuesto en el artículo 32 de la Ley 1286 de 2009, sobre la actualización de la información de los beneficios tributarios en ciencia, tecnología e innovación.</w:t>
      </w:r>
    </w:p>
    <w:p w14:paraId="7264F0E2" w14:textId="77777777" w:rsidR="00B2442D" w:rsidRDefault="00B2442D">
      <w:pPr>
        <w:ind w:left="426" w:hanging="426"/>
        <w:jc w:val="both"/>
        <w:rPr>
          <w:rFonts w:ascii="Arial" w:hAnsi="Arial" w:cs="Arial"/>
          <w:lang w:val="es-CO"/>
        </w:rPr>
      </w:pPr>
    </w:p>
    <w:p w14:paraId="257A0637" w14:textId="77777777" w:rsidR="00B2442D" w:rsidRDefault="008A645F">
      <w:pPr>
        <w:ind w:left="426" w:hanging="426"/>
        <w:jc w:val="both"/>
        <w:rPr>
          <w:rFonts w:ascii="Arial" w:hAnsi="Arial" w:cs="Arial"/>
          <w:lang w:val="es-CO"/>
        </w:rPr>
      </w:pPr>
      <w:r>
        <w:rPr>
          <w:rFonts w:ascii="Arial" w:hAnsi="Arial" w:cs="Arial"/>
          <w:lang w:val="es-CO"/>
        </w:rPr>
        <w:t xml:space="preserve">9. </w:t>
      </w:r>
      <w:r>
        <w:rPr>
          <w:rFonts w:ascii="Arial" w:hAnsi="Arial" w:cs="Arial"/>
          <w:lang w:val="es-CO"/>
        </w:rPr>
        <w:tab/>
        <w:t>Proferir los acuerdos de carácter general, las resoluciones de carácte</w:t>
      </w:r>
      <w:r>
        <w:rPr>
          <w:rFonts w:ascii="Arial" w:hAnsi="Arial" w:cs="Arial"/>
          <w:lang w:val="es-CO"/>
        </w:rPr>
        <w:t>r particular, en desarrollo de sus funciones y expedir las certificaciones a que hubiere lugar.</w:t>
      </w:r>
    </w:p>
    <w:p w14:paraId="554D260D" w14:textId="77777777" w:rsidR="00B2442D" w:rsidRDefault="00B2442D">
      <w:pPr>
        <w:ind w:left="426" w:hanging="426"/>
        <w:jc w:val="both"/>
        <w:rPr>
          <w:rFonts w:ascii="Arial" w:hAnsi="Arial" w:cs="Arial"/>
          <w:lang w:val="es-CO"/>
        </w:rPr>
      </w:pPr>
    </w:p>
    <w:p w14:paraId="0BB991CC" w14:textId="77777777" w:rsidR="00B2442D" w:rsidRDefault="008A645F">
      <w:pPr>
        <w:ind w:left="426" w:hanging="426"/>
        <w:jc w:val="both"/>
        <w:rPr>
          <w:rFonts w:ascii="Arial" w:hAnsi="Arial" w:cs="Arial"/>
          <w:lang w:val="es-CO"/>
        </w:rPr>
      </w:pPr>
      <w:r>
        <w:rPr>
          <w:rFonts w:ascii="Arial" w:hAnsi="Arial" w:cs="Arial"/>
          <w:lang w:val="es-CO"/>
        </w:rPr>
        <w:t xml:space="preserve">10. Resolver los recursos de reposición que se interpongan contra los certificados que se expidan, en desarrollo de la función contenida en el artículo 161 de </w:t>
      </w:r>
      <w:r>
        <w:rPr>
          <w:rFonts w:ascii="Arial" w:hAnsi="Arial" w:cs="Arial"/>
          <w:lang w:val="es-CO"/>
        </w:rPr>
        <w:t>la Ley 1607 de 2012.</w:t>
      </w:r>
    </w:p>
    <w:p w14:paraId="691B071D" w14:textId="77777777" w:rsidR="00B2442D" w:rsidRDefault="00B2442D">
      <w:pPr>
        <w:ind w:left="426" w:hanging="426"/>
        <w:jc w:val="both"/>
        <w:rPr>
          <w:rFonts w:ascii="Arial" w:hAnsi="Arial" w:cs="Arial"/>
          <w:lang w:val="es-CO"/>
        </w:rPr>
      </w:pPr>
    </w:p>
    <w:p w14:paraId="4CECD2BA" w14:textId="77777777" w:rsidR="00B2442D" w:rsidRDefault="008A645F">
      <w:pPr>
        <w:ind w:left="426" w:hanging="426"/>
        <w:jc w:val="both"/>
        <w:rPr>
          <w:rFonts w:ascii="Arial" w:hAnsi="Arial" w:cs="Arial"/>
          <w:lang w:val="es-CO"/>
        </w:rPr>
      </w:pPr>
      <w:r>
        <w:rPr>
          <w:rFonts w:ascii="Arial" w:hAnsi="Arial" w:cs="Arial"/>
          <w:lang w:val="es-CO"/>
        </w:rPr>
        <w:t>11. Las demás conforme con las previsiones legales.</w:t>
      </w:r>
    </w:p>
    <w:p w14:paraId="345D18B1" w14:textId="77777777" w:rsidR="00B2442D" w:rsidRDefault="00B2442D">
      <w:pPr>
        <w:jc w:val="both"/>
        <w:rPr>
          <w:rFonts w:ascii="Arial" w:hAnsi="Arial" w:cs="Arial"/>
          <w:lang w:val="es-CO"/>
        </w:rPr>
      </w:pPr>
    </w:p>
    <w:p w14:paraId="72890016" w14:textId="77777777" w:rsidR="00B2442D" w:rsidRDefault="008A645F">
      <w:pPr>
        <w:jc w:val="both"/>
        <w:rPr>
          <w:rFonts w:ascii="Arial" w:hAnsi="Arial" w:cs="Arial"/>
          <w:i/>
          <w:lang w:val="es-CO"/>
        </w:rPr>
      </w:pPr>
      <w:r>
        <w:rPr>
          <w:rFonts w:ascii="Arial" w:hAnsi="Arial" w:cs="Arial"/>
          <w:i/>
          <w:lang w:val="es-CO"/>
        </w:rPr>
        <w:t>(Art. 3, Decreto 121 de 2014)</w:t>
      </w:r>
    </w:p>
    <w:p w14:paraId="0CD53844" w14:textId="77777777" w:rsidR="00B2442D" w:rsidRDefault="00B2442D">
      <w:pPr>
        <w:jc w:val="both"/>
        <w:rPr>
          <w:rFonts w:ascii="Arial" w:hAnsi="Arial" w:cs="Arial"/>
          <w:lang w:val="es-CO"/>
        </w:rPr>
      </w:pPr>
    </w:p>
    <w:p w14:paraId="6ADC4E4F" w14:textId="77777777" w:rsidR="00B2442D" w:rsidRDefault="008A645F">
      <w:pPr>
        <w:pStyle w:val="Ttulo4"/>
        <w:rPr>
          <w:lang w:val="es-CO"/>
        </w:rPr>
      </w:pPr>
      <w:r>
        <w:rPr>
          <w:lang w:val="es-CO"/>
        </w:rPr>
        <w:t>CAPÍTULO 2</w:t>
      </w:r>
    </w:p>
    <w:p w14:paraId="20B52317" w14:textId="77777777" w:rsidR="00B2442D" w:rsidRDefault="008A645F">
      <w:pPr>
        <w:pStyle w:val="Ttulo4"/>
        <w:rPr>
          <w:lang w:val="es-CO"/>
        </w:rPr>
      </w:pPr>
      <w:r>
        <w:rPr>
          <w:lang w:val="es-CO"/>
        </w:rPr>
        <w:t>Organización y funcionamiento</w:t>
      </w:r>
    </w:p>
    <w:p w14:paraId="600FDC88" w14:textId="77777777" w:rsidR="00B2442D" w:rsidRDefault="00B2442D">
      <w:pPr>
        <w:rPr>
          <w:rFonts w:ascii="Arial" w:hAnsi="Arial" w:cs="Arial"/>
          <w:lang w:val="es-CO"/>
        </w:rPr>
      </w:pPr>
    </w:p>
    <w:p w14:paraId="5B8C2991"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Presidencia.</w:t>
      </w:r>
      <w:r>
        <w:rPr>
          <w:rFonts w:ascii="Arial" w:hAnsi="Arial" w:cs="Arial"/>
          <w:lang w:val="es-CO"/>
        </w:rPr>
        <w:t xml:space="preserve"> La Presidencia del Consejo Nacional de Beneficios Tributarios en Ciencia, Tecnología e Innovaci</w:t>
      </w:r>
      <w:r>
        <w:rPr>
          <w:rFonts w:ascii="Arial" w:hAnsi="Arial" w:cs="Arial"/>
          <w:lang w:val="es-CO"/>
        </w:rPr>
        <w:t>ón (CNBT) será ejercida por el Director del Departamento Administrativo en Ciencia, Tecnología e Innovación COLCIENCIAS.</w:t>
      </w:r>
    </w:p>
    <w:p w14:paraId="2B23898D" w14:textId="77777777" w:rsidR="00B2442D" w:rsidRDefault="00B2442D">
      <w:pPr>
        <w:jc w:val="both"/>
        <w:rPr>
          <w:rFonts w:ascii="Arial" w:hAnsi="Arial" w:cs="Arial"/>
          <w:lang w:val="es-CO"/>
        </w:rPr>
      </w:pPr>
    </w:p>
    <w:p w14:paraId="0D60B2F4" w14:textId="77777777" w:rsidR="00B2442D" w:rsidRDefault="008A645F">
      <w:pPr>
        <w:jc w:val="both"/>
        <w:rPr>
          <w:rFonts w:ascii="Arial" w:hAnsi="Arial" w:cs="Arial"/>
          <w:i/>
          <w:lang w:val="es-CO"/>
        </w:rPr>
      </w:pPr>
      <w:r>
        <w:rPr>
          <w:rFonts w:ascii="Arial" w:hAnsi="Arial" w:cs="Arial"/>
          <w:i/>
          <w:lang w:val="es-CO"/>
        </w:rPr>
        <w:t>(Art. 4, Decreto 121 de 2014)</w:t>
      </w:r>
    </w:p>
    <w:p w14:paraId="51BDEE1E" w14:textId="77777777" w:rsidR="00B2442D" w:rsidRDefault="00B2442D">
      <w:pPr>
        <w:jc w:val="both"/>
        <w:rPr>
          <w:rFonts w:ascii="Arial" w:hAnsi="Arial" w:cs="Arial"/>
          <w:lang w:val="es-CO"/>
        </w:rPr>
      </w:pPr>
    </w:p>
    <w:p w14:paraId="7E64C691"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Funciones del Presidente del Consejo.</w:t>
      </w:r>
      <w:r>
        <w:rPr>
          <w:rFonts w:ascii="Arial" w:hAnsi="Arial" w:cs="Arial"/>
          <w:lang w:val="es-CO"/>
        </w:rPr>
        <w:t xml:space="preserve"> Son funciones del Presidente del Consejo Nacional de Beneficios T</w:t>
      </w:r>
      <w:r>
        <w:rPr>
          <w:rFonts w:ascii="Arial" w:hAnsi="Arial" w:cs="Arial"/>
          <w:lang w:val="es-CO"/>
        </w:rPr>
        <w:t>ributarios en Ciencia, Tecnología e Innovación -CNBT, las siguientes:</w:t>
      </w:r>
    </w:p>
    <w:p w14:paraId="7B22A86D" w14:textId="77777777" w:rsidR="00B2442D" w:rsidRDefault="00B2442D">
      <w:pPr>
        <w:jc w:val="both"/>
        <w:rPr>
          <w:rFonts w:ascii="Arial" w:hAnsi="Arial" w:cs="Arial"/>
          <w:lang w:val="es-CO"/>
        </w:rPr>
      </w:pPr>
    </w:p>
    <w:p w14:paraId="7BA45242" w14:textId="77777777" w:rsidR="00B2442D" w:rsidRDefault="008A645F">
      <w:pPr>
        <w:ind w:left="426" w:hanging="426"/>
        <w:jc w:val="both"/>
        <w:rPr>
          <w:rFonts w:ascii="Arial" w:hAnsi="Arial" w:cs="Arial"/>
          <w:lang w:val="es-CO"/>
        </w:rPr>
      </w:pPr>
      <w:r>
        <w:rPr>
          <w:rFonts w:ascii="Arial" w:hAnsi="Arial" w:cs="Arial"/>
          <w:lang w:val="es-CO"/>
        </w:rPr>
        <w:t xml:space="preserve">1. </w:t>
      </w:r>
      <w:r>
        <w:rPr>
          <w:rFonts w:ascii="Arial" w:hAnsi="Arial" w:cs="Arial"/>
          <w:lang w:val="es-CO"/>
        </w:rPr>
        <w:tab/>
        <w:t>Convocar, través de la Secretaría Técnica del Consejo Nacional de Beneficios Tributarios en Ciencia, Tecnología e Innovación - CNBT, las sesiones ordinarias y extraordinarias que se</w:t>
      </w:r>
      <w:r>
        <w:rPr>
          <w:rFonts w:ascii="Arial" w:hAnsi="Arial" w:cs="Arial"/>
          <w:lang w:val="es-CO"/>
        </w:rPr>
        <w:t xml:space="preserve"> requieran.</w:t>
      </w:r>
    </w:p>
    <w:p w14:paraId="69F4A722" w14:textId="77777777" w:rsidR="00B2442D" w:rsidRDefault="00B2442D">
      <w:pPr>
        <w:ind w:left="426" w:hanging="426"/>
        <w:jc w:val="both"/>
        <w:rPr>
          <w:rFonts w:ascii="Arial" w:hAnsi="Arial" w:cs="Arial"/>
          <w:lang w:val="es-CO"/>
        </w:rPr>
      </w:pPr>
    </w:p>
    <w:p w14:paraId="69BCB89D" w14:textId="77777777" w:rsidR="00B2442D" w:rsidRDefault="008A645F">
      <w:pPr>
        <w:ind w:left="426" w:hanging="426"/>
        <w:jc w:val="both"/>
        <w:rPr>
          <w:rFonts w:ascii="Arial" w:hAnsi="Arial" w:cs="Arial"/>
          <w:lang w:val="es-CO"/>
        </w:rPr>
      </w:pPr>
      <w:r>
        <w:rPr>
          <w:rFonts w:ascii="Arial" w:hAnsi="Arial" w:cs="Arial"/>
          <w:lang w:val="es-CO"/>
        </w:rPr>
        <w:t xml:space="preserve">2. </w:t>
      </w:r>
      <w:r>
        <w:rPr>
          <w:rFonts w:ascii="Arial" w:hAnsi="Arial" w:cs="Arial"/>
          <w:lang w:val="es-CO"/>
        </w:rPr>
        <w:tab/>
        <w:t xml:space="preserve">Someter a consideración de los demás miembros del Consejo Nacional de Beneficios Tributarios en Ciencia, Tecnología e Innovación - CNBT, para su análisis y aprobación, los estudios y documentos que se requieran para el </w:t>
      </w:r>
      <w:r>
        <w:rPr>
          <w:rFonts w:ascii="Arial" w:hAnsi="Arial" w:cs="Arial"/>
          <w:lang w:val="es-CO"/>
        </w:rPr>
        <w:t>cumplimiento de sus funciones.</w:t>
      </w:r>
    </w:p>
    <w:p w14:paraId="08034325" w14:textId="77777777" w:rsidR="00B2442D" w:rsidRDefault="00B2442D">
      <w:pPr>
        <w:ind w:left="426" w:hanging="426"/>
        <w:jc w:val="both"/>
        <w:rPr>
          <w:rFonts w:ascii="Arial" w:hAnsi="Arial" w:cs="Arial"/>
          <w:lang w:val="es-CO"/>
        </w:rPr>
      </w:pPr>
    </w:p>
    <w:p w14:paraId="00338955" w14:textId="77777777" w:rsidR="00B2442D" w:rsidRDefault="008A645F">
      <w:pPr>
        <w:ind w:left="426" w:hanging="426"/>
        <w:jc w:val="both"/>
        <w:rPr>
          <w:rFonts w:ascii="Arial" w:hAnsi="Arial" w:cs="Arial"/>
          <w:lang w:val="es-CO"/>
        </w:rPr>
      </w:pPr>
      <w:r>
        <w:rPr>
          <w:rFonts w:ascii="Arial" w:hAnsi="Arial" w:cs="Arial"/>
          <w:lang w:val="es-CO"/>
        </w:rPr>
        <w:t>3.</w:t>
      </w:r>
      <w:r>
        <w:rPr>
          <w:rFonts w:ascii="Arial" w:hAnsi="Arial" w:cs="Arial"/>
          <w:lang w:val="es-CO"/>
        </w:rPr>
        <w:tab/>
        <w:t>Suscribir los acuerdos, resoluciones, certificaciones y actas que se deriven de las decisiones adoptadas por el Consejo Nacional de Beneficios Tributarios en Ciencia, Tecnología e Innovación - CNBT.</w:t>
      </w:r>
    </w:p>
    <w:p w14:paraId="54283FC5" w14:textId="77777777" w:rsidR="00B2442D" w:rsidRDefault="00B2442D">
      <w:pPr>
        <w:ind w:left="426" w:hanging="426"/>
        <w:jc w:val="both"/>
        <w:rPr>
          <w:rFonts w:ascii="Arial" w:hAnsi="Arial" w:cs="Arial"/>
          <w:lang w:val="es-CO"/>
        </w:rPr>
      </w:pPr>
    </w:p>
    <w:p w14:paraId="272343C2" w14:textId="77777777" w:rsidR="00B2442D" w:rsidRDefault="008A645F">
      <w:pPr>
        <w:ind w:left="426" w:hanging="426"/>
        <w:jc w:val="both"/>
        <w:rPr>
          <w:rFonts w:ascii="Arial" w:hAnsi="Arial" w:cs="Arial"/>
          <w:lang w:val="es-CO"/>
        </w:rPr>
      </w:pPr>
      <w:r>
        <w:rPr>
          <w:rFonts w:ascii="Arial" w:hAnsi="Arial" w:cs="Arial"/>
          <w:lang w:val="es-CO"/>
        </w:rPr>
        <w:t>4.</w:t>
      </w:r>
      <w:r>
        <w:rPr>
          <w:rFonts w:ascii="Arial" w:hAnsi="Arial" w:cs="Arial"/>
          <w:lang w:val="es-CO"/>
        </w:rPr>
        <w:tab/>
        <w:t>Velar porque las d</w:t>
      </w:r>
      <w:r>
        <w:rPr>
          <w:rFonts w:ascii="Arial" w:hAnsi="Arial" w:cs="Arial"/>
          <w:lang w:val="es-CO"/>
        </w:rPr>
        <w:t>ecisiones que apruebe el Consejo Nacional de Beneficios Tributarios en Ciencia, Tecnología e Innovación - CNBT, en ejercicio de sus funciones sean debidamente ejecutadas.</w:t>
      </w:r>
    </w:p>
    <w:p w14:paraId="0EEB2D84" w14:textId="77777777" w:rsidR="00B2442D" w:rsidRDefault="00B2442D">
      <w:pPr>
        <w:ind w:left="426" w:hanging="426"/>
        <w:jc w:val="both"/>
        <w:rPr>
          <w:rFonts w:ascii="Arial" w:hAnsi="Arial" w:cs="Arial"/>
          <w:lang w:val="es-CO"/>
        </w:rPr>
      </w:pPr>
    </w:p>
    <w:p w14:paraId="6F3DD1BB" w14:textId="77777777" w:rsidR="00B2442D" w:rsidRDefault="008A645F">
      <w:pPr>
        <w:ind w:left="426" w:hanging="426"/>
        <w:jc w:val="both"/>
        <w:rPr>
          <w:rFonts w:ascii="Arial" w:hAnsi="Arial" w:cs="Arial"/>
          <w:lang w:val="es-CO"/>
        </w:rPr>
      </w:pPr>
      <w:r>
        <w:rPr>
          <w:rFonts w:ascii="Arial" w:hAnsi="Arial" w:cs="Arial"/>
          <w:lang w:val="es-CO"/>
        </w:rPr>
        <w:t>5. Las demás que le asigne la ley, el reglamento o el Consejo.</w:t>
      </w:r>
    </w:p>
    <w:p w14:paraId="31A3D64A" w14:textId="77777777" w:rsidR="00B2442D" w:rsidRDefault="00B2442D">
      <w:pPr>
        <w:jc w:val="both"/>
        <w:rPr>
          <w:rFonts w:ascii="Arial" w:hAnsi="Arial" w:cs="Arial"/>
          <w:lang w:val="es-CO"/>
        </w:rPr>
      </w:pPr>
    </w:p>
    <w:p w14:paraId="7560A953" w14:textId="77777777" w:rsidR="00B2442D" w:rsidRDefault="008A645F">
      <w:pPr>
        <w:jc w:val="both"/>
        <w:rPr>
          <w:rFonts w:ascii="Arial" w:hAnsi="Arial" w:cs="Arial"/>
          <w:i/>
          <w:lang w:val="es-CO"/>
        </w:rPr>
      </w:pPr>
      <w:r>
        <w:rPr>
          <w:rFonts w:ascii="Arial" w:hAnsi="Arial" w:cs="Arial"/>
          <w:i/>
          <w:lang w:val="es-CO"/>
        </w:rPr>
        <w:t xml:space="preserve">(Art. 5, </w:t>
      </w:r>
      <w:r>
        <w:rPr>
          <w:rFonts w:ascii="Arial" w:hAnsi="Arial" w:cs="Arial"/>
          <w:i/>
          <w:lang w:val="es-CO"/>
        </w:rPr>
        <w:t>Decreto 121 de 2014)</w:t>
      </w:r>
    </w:p>
    <w:p w14:paraId="184CCA31" w14:textId="77777777" w:rsidR="00B2442D" w:rsidRDefault="00B2442D">
      <w:pPr>
        <w:jc w:val="both"/>
        <w:rPr>
          <w:rFonts w:ascii="Arial" w:hAnsi="Arial" w:cs="Arial"/>
          <w:lang w:val="es-CO"/>
        </w:rPr>
      </w:pPr>
    </w:p>
    <w:p w14:paraId="54F58926"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Funciones de la Secretaría Técnica del Consejo Nacional de Beneficios Tributarios en Ciencia, Tecnología e Innovación - CNBT.</w:t>
      </w:r>
      <w:r>
        <w:rPr>
          <w:rFonts w:ascii="Arial" w:hAnsi="Arial" w:cs="Arial"/>
          <w:lang w:val="es-CO"/>
        </w:rPr>
        <w:t xml:space="preserve"> Son funciones de la Secretaría Técnica las siguientes:</w:t>
      </w:r>
    </w:p>
    <w:p w14:paraId="6A9B5E5A" w14:textId="77777777" w:rsidR="00B2442D" w:rsidRDefault="00B2442D">
      <w:pPr>
        <w:jc w:val="both"/>
        <w:rPr>
          <w:rFonts w:ascii="Arial" w:hAnsi="Arial" w:cs="Arial"/>
          <w:lang w:val="es-CO"/>
        </w:rPr>
      </w:pPr>
    </w:p>
    <w:p w14:paraId="657FA3F2" w14:textId="77777777" w:rsidR="00B2442D" w:rsidRDefault="008A645F">
      <w:pPr>
        <w:ind w:left="426" w:hanging="426"/>
        <w:jc w:val="both"/>
        <w:rPr>
          <w:rFonts w:ascii="Arial" w:hAnsi="Arial" w:cs="Arial"/>
          <w:lang w:val="es-CO"/>
        </w:rPr>
      </w:pPr>
      <w:r>
        <w:rPr>
          <w:rFonts w:ascii="Arial" w:hAnsi="Arial" w:cs="Arial"/>
          <w:lang w:val="es-CO"/>
        </w:rPr>
        <w:t xml:space="preserve">1. </w:t>
      </w:r>
      <w:r>
        <w:rPr>
          <w:rFonts w:ascii="Arial" w:hAnsi="Arial" w:cs="Arial"/>
          <w:lang w:val="es-CO"/>
        </w:rPr>
        <w:tab/>
        <w:t xml:space="preserve">Convocar a las sesiones del Consejo Nacional de </w:t>
      </w:r>
      <w:r>
        <w:rPr>
          <w:rFonts w:ascii="Arial" w:hAnsi="Arial" w:cs="Arial"/>
          <w:lang w:val="es-CO"/>
        </w:rPr>
        <w:t>Beneficios Tributarios en Ciencia, Tecnología e Innovación - CNBT, previa solicitud del Presidente.</w:t>
      </w:r>
    </w:p>
    <w:p w14:paraId="6CC1616A" w14:textId="77777777" w:rsidR="00B2442D" w:rsidRDefault="00B2442D">
      <w:pPr>
        <w:ind w:left="426" w:hanging="426"/>
        <w:jc w:val="both"/>
        <w:rPr>
          <w:rFonts w:ascii="Arial" w:hAnsi="Arial" w:cs="Arial"/>
          <w:lang w:val="es-CO"/>
        </w:rPr>
      </w:pPr>
    </w:p>
    <w:p w14:paraId="51C30BEE" w14:textId="77777777" w:rsidR="00B2442D" w:rsidRDefault="008A645F">
      <w:pPr>
        <w:ind w:left="426" w:hanging="426"/>
        <w:jc w:val="both"/>
        <w:rPr>
          <w:rFonts w:ascii="Arial" w:hAnsi="Arial" w:cs="Arial"/>
          <w:lang w:val="es-CO"/>
        </w:rPr>
      </w:pPr>
      <w:r>
        <w:rPr>
          <w:rFonts w:ascii="Arial" w:hAnsi="Arial" w:cs="Arial"/>
          <w:lang w:val="es-CO"/>
        </w:rPr>
        <w:t xml:space="preserve">2. </w:t>
      </w:r>
      <w:r>
        <w:rPr>
          <w:rFonts w:ascii="Arial" w:hAnsi="Arial" w:cs="Arial"/>
          <w:lang w:val="es-CO"/>
        </w:rPr>
        <w:tab/>
        <w:t>Preparar y allegar toda la documentación necesaria, tales como estudios, informes o documentos que deban ser objeto de análisis y deliberación por part</w:t>
      </w:r>
      <w:r>
        <w:rPr>
          <w:rFonts w:ascii="Arial" w:hAnsi="Arial" w:cs="Arial"/>
          <w:lang w:val="es-CO"/>
        </w:rPr>
        <w:t>e del Consejo Nacional de Beneficios Tributarios en Ciencia, Tecnología e Innovación - CNBT.</w:t>
      </w:r>
    </w:p>
    <w:p w14:paraId="42AD7D02" w14:textId="77777777" w:rsidR="00B2442D" w:rsidRDefault="00B2442D">
      <w:pPr>
        <w:ind w:left="426" w:hanging="426"/>
        <w:jc w:val="both"/>
        <w:rPr>
          <w:rFonts w:ascii="Arial" w:hAnsi="Arial" w:cs="Arial"/>
          <w:lang w:val="es-CO"/>
        </w:rPr>
      </w:pPr>
    </w:p>
    <w:p w14:paraId="14A17D83" w14:textId="77777777" w:rsidR="00B2442D" w:rsidRDefault="008A645F">
      <w:pPr>
        <w:ind w:left="426" w:hanging="426"/>
        <w:jc w:val="both"/>
        <w:rPr>
          <w:rFonts w:ascii="Arial" w:hAnsi="Arial" w:cs="Arial"/>
          <w:lang w:val="es-CO"/>
        </w:rPr>
      </w:pPr>
      <w:r>
        <w:rPr>
          <w:rFonts w:ascii="Arial" w:hAnsi="Arial" w:cs="Arial"/>
          <w:lang w:val="es-CO"/>
        </w:rPr>
        <w:t xml:space="preserve">3. </w:t>
      </w:r>
      <w:r>
        <w:rPr>
          <w:rFonts w:ascii="Arial" w:hAnsi="Arial" w:cs="Arial"/>
          <w:lang w:val="es-CO"/>
        </w:rPr>
        <w:tab/>
        <w:t>Actuar en las sesiones como Secretario Técnico, verificar el quorum, levantar el acta y presentarla a consideración de todos los miembros del Consejo Nacional</w:t>
      </w:r>
      <w:r>
        <w:rPr>
          <w:rFonts w:ascii="Arial" w:hAnsi="Arial" w:cs="Arial"/>
          <w:lang w:val="es-CO"/>
        </w:rPr>
        <w:t xml:space="preserve"> de Beneficios Tributarios en Ciencia, Tecnología e Innovación – CNBT - para su aprobación.</w:t>
      </w:r>
    </w:p>
    <w:p w14:paraId="1258BE85" w14:textId="77777777" w:rsidR="00B2442D" w:rsidRDefault="00B2442D">
      <w:pPr>
        <w:ind w:left="426" w:hanging="426"/>
        <w:jc w:val="both"/>
        <w:rPr>
          <w:rFonts w:ascii="Arial" w:hAnsi="Arial" w:cs="Arial"/>
          <w:lang w:val="es-CO"/>
        </w:rPr>
      </w:pPr>
    </w:p>
    <w:p w14:paraId="7191A312" w14:textId="77777777" w:rsidR="00B2442D" w:rsidRDefault="008A645F">
      <w:pPr>
        <w:ind w:left="426" w:hanging="426"/>
        <w:jc w:val="both"/>
        <w:rPr>
          <w:rFonts w:ascii="Arial" w:hAnsi="Arial" w:cs="Arial"/>
          <w:lang w:val="es-CO"/>
        </w:rPr>
      </w:pPr>
      <w:r>
        <w:rPr>
          <w:rFonts w:ascii="Arial" w:hAnsi="Arial" w:cs="Arial"/>
          <w:lang w:val="es-CO"/>
        </w:rPr>
        <w:t xml:space="preserve">4. </w:t>
      </w:r>
      <w:r>
        <w:rPr>
          <w:rFonts w:ascii="Arial" w:hAnsi="Arial" w:cs="Arial"/>
          <w:lang w:val="es-CO"/>
        </w:rPr>
        <w:tab/>
        <w:t>Suscribir los acuerdos y actas, conjuntamente con el Presidente del Consejo Nacional de Beneficios Tributarios en Ciencia, Tecnología e Innovación - CNBT.</w:t>
      </w:r>
    </w:p>
    <w:p w14:paraId="7B29D090" w14:textId="77777777" w:rsidR="00B2442D" w:rsidRDefault="00B2442D">
      <w:pPr>
        <w:ind w:left="426" w:hanging="426"/>
        <w:jc w:val="both"/>
        <w:rPr>
          <w:rFonts w:ascii="Arial" w:hAnsi="Arial" w:cs="Arial"/>
          <w:lang w:val="es-CO"/>
        </w:rPr>
      </w:pPr>
    </w:p>
    <w:p w14:paraId="0E331B3A" w14:textId="77777777" w:rsidR="00B2442D" w:rsidRDefault="008A645F">
      <w:pPr>
        <w:ind w:left="426" w:hanging="426"/>
        <w:jc w:val="both"/>
        <w:rPr>
          <w:rFonts w:ascii="Arial" w:hAnsi="Arial" w:cs="Arial"/>
          <w:lang w:val="es-CO"/>
        </w:rPr>
      </w:pPr>
      <w:r>
        <w:rPr>
          <w:rFonts w:ascii="Arial" w:hAnsi="Arial" w:cs="Arial"/>
          <w:lang w:val="es-CO"/>
        </w:rPr>
        <w:t xml:space="preserve">5. </w:t>
      </w:r>
      <w:r>
        <w:rPr>
          <w:rFonts w:ascii="Arial" w:hAnsi="Arial" w:cs="Arial"/>
          <w:lang w:val="es-CO"/>
        </w:rPr>
        <w:tab/>
        <w:t>Comunicar, notificar o certificar, según el caso, los actos administrativos que se deriven de las decisiones adoptadas por el Consejo Nacional de Beneficios Tributarios en Ciencia, Tecnología e Innovación - CNBT.</w:t>
      </w:r>
    </w:p>
    <w:p w14:paraId="59A83DBC" w14:textId="77777777" w:rsidR="00B2442D" w:rsidRDefault="00B2442D">
      <w:pPr>
        <w:ind w:left="426" w:hanging="426"/>
        <w:jc w:val="both"/>
        <w:rPr>
          <w:rFonts w:ascii="Arial" w:hAnsi="Arial" w:cs="Arial"/>
          <w:lang w:val="es-CO"/>
        </w:rPr>
      </w:pPr>
    </w:p>
    <w:p w14:paraId="265541F2" w14:textId="77777777" w:rsidR="00B2442D" w:rsidRDefault="008A645F">
      <w:pPr>
        <w:ind w:left="426" w:hanging="426"/>
        <w:jc w:val="both"/>
        <w:rPr>
          <w:rFonts w:ascii="Arial" w:hAnsi="Arial" w:cs="Arial"/>
          <w:lang w:val="es-CO"/>
        </w:rPr>
      </w:pPr>
      <w:r>
        <w:rPr>
          <w:rFonts w:ascii="Arial" w:hAnsi="Arial" w:cs="Arial"/>
          <w:lang w:val="es-CO"/>
        </w:rPr>
        <w:t>6.</w:t>
      </w:r>
      <w:r>
        <w:rPr>
          <w:rFonts w:ascii="Arial" w:hAnsi="Arial" w:cs="Arial"/>
          <w:lang w:val="es-CO"/>
        </w:rPr>
        <w:tab/>
        <w:t>Coordinar la actualización del Sistema</w:t>
      </w:r>
      <w:r>
        <w:rPr>
          <w:rFonts w:ascii="Arial" w:hAnsi="Arial" w:cs="Arial"/>
          <w:lang w:val="es-CO"/>
        </w:rPr>
        <w:t xml:space="preserve"> de Información para Beneficios Tributarios en Ciencia, Tecnología e Innovación - CNBT, de conformidad con lo establecido en el artículo 32 de la Ley 1286 de 2009.</w:t>
      </w:r>
    </w:p>
    <w:p w14:paraId="2FCFA2ED" w14:textId="77777777" w:rsidR="00B2442D" w:rsidRDefault="00B2442D">
      <w:pPr>
        <w:ind w:left="426" w:hanging="426"/>
        <w:jc w:val="both"/>
        <w:rPr>
          <w:rFonts w:ascii="Arial" w:hAnsi="Arial" w:cs="Arial"/>
          <w:lang w:val="es-CO"/>
        </w:rPr>
      </w:pPr>
    </w:p>
    <w:p w14:paraId="4BAA38E9" w14:textId="77777777" w:rsidR="00B2442D" w:rsidRDefault="008A645F">
      <w:pPr>
        <w:ind w:left="426" w:hanging="426"/>
        <w:jc w:val="both"/>
        <w:rPr>
          <w:rFonts w:ascii="Arial" w:hAnsi="Arial" w:cs="Arial"/>
          <w:lang w:val="es-CO"/>
        </w:rPr>
      </w:pPr>
      <w:r>
        <w:rPr>
          <w:rFonts w:ascii="Arial" w:hAnsi="Arial" w:cs="Arial"/>
          <w:lang w:val="es-CO"/>
        </w:rPr>
        <w:t xml:space="preserve">7. </w:t>
      </w:r>
      <w:r>
        <w:rPr>
          <w:rFonts w:ascii="Arial" w:hAnsi="Arial" w:cs="Arial"/>
          <w:lang w:val="es-CO"/>
        </w:rPr>
        <w:tab/>
        <w:t>Presentar un informe sobre la aplicación de los criterios definidos por el Consejo Naci</w:t>
      </w:r>
      <w:r>
        <w:rPr>
          <w:rFonts w:ascii="Arial" w:hAnsi="Arial" w:cs="Arial"/>
          <w:lang w:val="es-CO"/>
        </w:rPr>
        <w:t>onal de Beneficios Tributarios en Ciencia, Tecnología e Innovación - CNBT, para el seguimiento, control y evaluación de los proyectos calificados para beneficios tributarios.</w:t>
      </w:r>
    </w:p>
    <w:p w14:paraId="5C56222D" w14:textId="77777777" w:rsidR="00B2442D" w:rsidRDefault="00B2442D">
      <w:pPr>
        <w:ind w:left="426" w:hanging="426"/>
        <w:jc w:val="both"/>
        <w:rPr>
          <w:rFonts w:ascii="Arial" w:hAnsi="Arial" w:cs="Arial"/>
          <w:lang w:val="es-CO"/>
        </w:rPr>
      </w:pPr>
    </w:p>
    <w:p w14:paraId="6F6A08E3" w14:textId="77777777" w:rsidR="00B2442D" w:rsidRDefault="008A645F">
      <w:pPr>
        <w:ind w:left="426" w:hanging="426"/>
        <w:jc w:val="both"/>
        <w:rPr>
          <w:rFonts w:ascii="Arial" w:hAnsi="Arial" w:cs="Arial"/>
          <w:lang w:val="es-CO"/>
        </w:rPr>
      </w:pPr>
      <w:r>
        <w:rPr>
          <w:rFonts w:ascii="Arial" w:hAnsi="Arial" w:cs="Arial"/>
          <w:lang w:val="es-CO"/>
        </w:rPr>
        <w:t xml:space="preserve">8. </w:t>
      </w:r>
      <w:r>
        <w:rPr>
          <w:rFonts w:ascii="Arial" w:hAnsi="Arial" w:cs="Arial"/>
          <w:lang w:val="es-CO"/>
        </w:rPr>
        <w:tab/>
        <w:t xml:space="preserve">Emitir las comunicaciones necesarias para el cabal cumplimiento de las </w:t>
      </w:r>
      <w:r>
        <w:rPr>
          <w:rFonts w:ascii="Arial" w:hAnsi="Arial" w:cs="Arial"/>
          <w:lang w:val="es-CO"/>
        </w:rPr>
        <w:t>decisiones, tareas y procedimientos tomados y/o aprobados por el Consejo Nacional de Beneficios Tributarios en Ciencia, Tecnología e Innovación - CNBT.</w:t>
      </w:r>
    </w:p>
    <w:p w14:paraId="51E3E5EC" w14:textId="77777777" w:rsidR="00B2442D" w:rsidRDefault="00B2442D">
      <w:pPr>
        <w:ind w:left="426" w:hanging="426"/>
        <w:jc w:val="both"/>
        <w:rPr>
          <w:rFonts w:ascii="Arial" w:hAnsi="Arial" w:cs="Arial"/>
          <w:lang w:val="es-CO"/>
        </w:rPr>
      </w:pPr>
    </w:p>
    <w:p w14:paraId="2EF87982" w14:textId="77777777" w:rsidR="00B2442D" w:rsidRDefault="008A645F">
      <w:pPr>
        <w:ind w:left="426" w:hanging="426"/>
        <w:jc w:val="both"/>
        <w:rPr>
          <w:rFonts w:ascii="Arial" w:hAnsi="Arial" w:cs="Arial"/>
          <w:lang w:val="es-CO"/>
        </w:rPr>
      </w:pPr>
      <w:r>
        <w:rPr>
          <w:rFonts w:ascii="Arial" w:hAnsi="Arial" w:cs="Arial"/>
          <w:lang w:val="es-CO"/>
        </w:rPr>
        <w:t xml:space="preserve">9. </w:t>
      </w:r>
      <w:r>
        <w:rPr>
          <w:rFonts w:ascii="Arial" w:hAnsi="Arial" w:cs="Arial"/>
          <w:lang w:val="es-CO"/>
        </w:rPr>
        <w:tab/>
        <w:t>Las demás actividades que le sean asignadas por el Consejo Nacional de Beneficios Tributarios en Ci</w:t>
      </w:r>
      <w:r>
        <w:rPr>
          <w:rFonts w:ascii="Arial" w:hAnsi="Arial" w:cs="Arial"/>
          <w:lang w:val="es-CO"/>
        </w:rPr>
        <w:t>encia, Tecnología e Innovación - CNBT.</w:t>
      </w:r>
    </w:p>
    <w:p w14:paraId="0D5A43DA" w14:textId="77777777" w:rsidR="00B2442D" w:rsidRDefault="00B2442D">
      <w:pPr>
        <w:jc w:val="both"/>
        <w:rPr>
          <w:rFonts w:ascii="Arial" w:hAnsi="Arial" w:cs="Arial"/>
          <w:lang w:val="es-CO"/>
        </w:rPr>
      </w:pPr>
    </w:p>
    <w:p w14:paraId="5AE9AA95" w14:textId="77777777" w:rsidR="00B2442D" w:rsidRDefault="008A645F">
      <w:pPr>
        <w:jc w:val="both"/>
        <w:rPr>
          <w:rFonts w:ascii="Arial" w:hAnsi="Arial" w:cs="Arial"/>
          <w:i/>
          <w:lang w:val="es-CO"/>
        </w:rPr>
      </w:pPr>
      <w:r>
        <w:rPr>
          <w:rFonts w:ascii="Arial" w:hAnsi="Arial" w:cs="Arial"/>
          <w:i/>
          <w:lang w:val="es-CO"/>
        </w:rPr>
        <w:t>(Art. 6, Decreto 121 de 2014)</w:t>
      </w:r>
    </w:p>
    <w:p w14:paraId="5141EC4C" w14:textId="77777777" w:rsidR="00B2442D" w:rsidRDefault="00B2442D">
      <w:pPr>
        <w:jc w:val="both"/>
        <w:rPr>
          <w:rFonts w:ascii="Arial" w:hAnsi="Arial" w:cs="Arial"/>
          <w:lang w:val="es-CO"/>
        </w:rPr>
      </w:pPr>
    </w:p>
    <w:p w14:paraId="6912F51A"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Sesiones.</w:t>
      </w:r>
      <w:r>
        <w:rPr>
          <w:rFonts w:ascii="Arial" w:hAnsi="Arial" w:cs="Arial"/>
          <w:lang w:val="es-CO"/>
        </w:rPr>
        <w:t xml:space="preserve"> El Consejo Nacional de Beneficios Tributarios en Ciencia, Tecnología e Innovación – CNBT, sesionará ordinariamente al menos tres (3) veces al año cuando el Presidente del Cons</w:t>
      </w:r>
      <w:r>
        <w:rPr>
          <w:rFonts w:ascii="Arial" w:hAnsi="Arial" w:cs="Arial"/>
          <w:lang w:val="es-CO"/>
        </w:rPr>
        <w:t>ejo lo requiera o así lo acuerde el mismo, previa convocatoria escrita por parte de la Secretaría Técnica con una antelación mínima de quince (15) días y de manera extraordinaria previa convocatoria escrita por parte de la Secretaría Técnica, con una antel</w:t>
      </w:r>
      <w:r>
        <w:rPr>
          <w:rFonts w:ascii="Arial" w:hAnsi="Arial" w:cs="Arial"/>
          <w:lang w:val="es-CO"/>
        </w:rPr>
        <w:t>ación mínima de tres (3) días.</w:t>
      </w:r>
    </w:p>
    <w:p w14:paraId="1751C9F4" w14:textId="77777777" w:rsidR="00B2442D" w:rsidRDefault="00B2442D">
      <w:pPr>
        <w:jc w:val="both"/>
        <w:rPr>
          <w:rFonts w:ascii="Arial" w:hAnsi="Arial" w:cs="Arial"/>
          <w:lang w:val="es-CO"/>
        </w:rPr>
      </w:pPr>
    </w:p>
    <w:p w14:paraId="37BD5182"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Las reuniones del Consejo Nacional de Beneficios Tributarios en Ciencia, Tecnología e Innovación – CNBT - se llevarán a cabo por regla general de manera presencial y se podrá participar en las mismas mediante comu</w:t>
      </w:r>
      <w:r>
        <w:rPr>
          <w:rFonts w:ascii="Arial" w:hAnsi="Arial" w:cs="Arial"/>
          <w:lang w:val="es-CO"/>
        </w:rPr>
        <w:t>nicación simultánea o sucesiva inmediata, siempre que de ello se deje constancia en el acta.</w:t>
      </w:r>
    </w:p>
    <w:p w14:paraId="74ECC715" w14:textId="77777777" w:rsidR="00B2442D" w:rsidRDefault="00B2442D">
      <w:pPr>
        <w:jc w:val="both"/>
        <w:rPr>
          <w:rFonts w:ascii="Arial" w:hAnsi="Arial" w:cs="Arial"/>
          <w:lang w:val="es-CO"/>
        </w:rPr>
      </w:pPr>
    </w:p>
    <w:p w14:paraId="3A9E6F2F" w14:textId="77777777" w:rsidR="00B2442D" w:rsidRDefault="008A645F">
      <w:pPr>
        <w:jc w:val="both"/>
        <w:rPr>
          <w:rFonts w:ascii="Arial" w:hAnsi="Arial" w:cs="Arial"/>
          <w:lang w:val="es-CO"/>
        </w:rPr>
      </w:pPr>
      <w:r>
        <w:rPr>
          <w:rFonts w:ascii="Arial" w:hAnsi="Arial" w:cs="Arial"/>
          <w:lang w:val="es-CO"/>
        </w:rPr>
        <w:t>Las decisiones del Consejo Nacional de Beneficios Tributarios en Ciencia, Tecnología e Innovación – CNBT - manifestadas por los consejeros, a través de videoconfe</w:t>
      </w:r>
      <w:r>
        <w:rPr>
          <w:rFonts w:ascii="Arial" w:hAnsi="Arial" w:cs="Arial"/>
          <w:lang w:val="es-CO"/>
        </w:rPr>
        <w:t>rencia, vía telefónica, vía fax, por correo ordinario o electrónico o cualquier otro medio adecuado para ello, serán válidas.</w:t>
      </w:r>
    </w:p>
    <w:p w14:paraId="6B1C2FF8" w14:textId="77777777" w:rsidR="00B2442D" w:rsidRDefault="00B2442D">
      <w:pPr>
        <w:jc w:val="both"/>
        <w:rPr>
          <w:rFonts w:ascii="Arial" w:hAnsi="Arial" w:cs="Arial"/>
          <w:lang w:val="es-CO"/>
        </w:rPr>
      </w:pPr>
    </w:p>
    <w:p w14:paraId="33692B64" w14:textId="77777777" w:rsidR="00B2442D" w:rsidRDefault="008A645F">
      <w:pPr>
        <w:jc w:val="both"/>
        <w:rPr>
          <w:rFonts w:ascii="Arial" w:hAnsi="Arial" w:cs="Arial"/>
          <w:lang w:val="es-CO"/>
        </w:rPr>
      </w:pPr>
      <w:r>
        <w:rPr>
          <w:rFonts w:ascii="Arial" w:hAnsi="Arial" w:cs="Arial"/>
          <w:lang w:val="es-CO"/>
        </w:rPr>
        <w:t xml:space="preserve">Así mismo, se podrá sesionar virtualmente de manera ordinaria previa convocatoria escrita por parte de la Secretaría Técnica con </w:t>
      </w:r>
      <w:r>
        <w:rPr>
          <w:rFonts w:ascii="Arial" w:hAnsi="Arial" w:cs="Arial"/>
          <w:lang w:val="es-CO"/>
        </w:rPr>
        <w:t>una antelación mínima de quince (15) días y de manera extraordinaria previa convocatoria escrita por parte de la Secretaría Técnica con una antelación mínima de tres (3) días.</w:t>
      </w:r>
    </w:p>
    <w:p w14:paraId="64B25D30" w14:textId="77777777" w:rsidR="00B2442D" w:rsidRDefault="00B2442D">
      <w:pPr>
        <w:jc w:val="both"/>
        <w:rPr>
          <w:rFonts w:ascii="Arial" w:hAnsi="Arial" w:cs="Arial"/>
          <w:lang w:val="es-CO"/>
        </w:rPr>
      </w:pPr>
    </w:p>
    <w:p w14:paraId="29ADEDAE" w14:textId="77777777" w:rsidR="00B2442D" w:rsidRDefault="008A645F">
      <w:pPr>
        <w:jc w:val="both"/>
        <w:rPr>
          <w:rFonts w:ascii="Arial" w:hAnsi="Arial" w:cs="Arial"/>
          <w:i/>
          <w:lang w:val="es-CO"/>
        </w:rPr>
      </w:pPr>
      <w:r>
        <w:rPr>
          <w:rFonts w:ascii="Arial" w:hAnsi="Arial" w:cs="Arial"/>
          <w:i/>
          <w:lang w:val="es-CO"/>
        </w:rPr>
        <w:t>(Art. 7, Decreto 121 de 2014)</w:t>
      </w:r>
    </w:p>
    <w:p w14:paraId="1083EDA0" w14:textId="77777777" w:rsidR="00B2442D" w:rsidRDefault="00B2442D">
      <w:pPr>
        <w:jc w:val="both"/>
        <w:rPr>
          <w:rFonts w:ascii="Arial" w:hAnsi="Arial" w:cs="Arial"/>
          <w:lang w:val="es-CO"/>
        </w:rPr>
      </w:pPr>
    </w:p>
    <w:p w14:paraId="303FDC8E"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Quorum deliberatorio y decisorio.</w:t>
      </w:r>
      <w:r>
        <w:rPr>
          <w:rFonts w:ascii="Arial" w:hAnsi="Arial" w:cs="Arial"/>
          <w:lang w:val="es-CO"/>
        </w:rPr>
        <w:t xml:space="preserve"> El Consejo Nac</w:t>
      </w:r>
      <w:r>
        <w:rPr>
          <w:rFonts w:ascii="Arial" w:hAnsi="Arial" w:cs="Arial"/>
          <w:lang w:val="es-CO"/>
        </w:rPr>
        <w:t>ional de Beneficios Tributarios en Ciencia, Tecnología e Innovación – CNBT, podrá deliberar de forma presencial o no presencial con la participación mínima de cinco (5) de sus integrantes y sus decisiones se adoptarán por la mayoría de los votos de los con</w:t>
      </w:r>
      <w:r>
        <w:rPr>
          <w:rFonts w:ascii="Arial" w:hAnsi="Arial" w:cs="Arial"/>
          <w:lang w:val="es-CO"/>
        </w:rPr>
        <w:t>sejeros. En caso de empate, se buscará la participación no presencial del miembro faltante, de lo cual se dejará constancia en un acta.</w:t>
      </w:r>
    </w:p>
    <w:p w14:paraId="1CFD0DBA" w14:textId="77777777" w:rsidR="00B2442D" w:rsidRDefault="00B2442D">
      <w:pPr>
        <w:jc w:val="both"/>
        <w:rPr>
          <w:rFonts w:ascii="Arial" w:hAnsi="Arial" w:cs="Arial"/>
          <w:lang w:val="es-CO"/>
        </w:rPr>
      </w:pPr>
    </w:p>
    <w:p w14:paraId="33045FC1" w14:textId="77777777" w:rsidR="00B2442D" w:rsidRDefault="008A645F">
      <w:pPr>
        <w:jc w:val="both"/>
        <w:rPr>
          <w:rFonts w:ascii="Arial" w:hAnsi="Arial" w:cs="Arial"/>
          <w:i/>
          <w:lang w:val="es-CO"/>
        </w:rPr>
      </w:pPr>
      <w:r>
        <w:rPr>
          <w:rFonts w:ascii="Arial" w:hAnsi="Arial" w:cs="Arial"/>
          <w:i/>
          <w:lang w:val="es-CO"/>
        </w:rPr>
        <w:t>(Art. 8, Decreto 121 de 2014)</w:t>
      </w:r>
    </w:p>
    <w:p w14:paraId="49DA3805" w14:textId="77777777" w:rsidR="00B2442D" w:rsidRDefault="00B2442D">
      <w:pPr>
        <w:jc w:val="both"/>
        <w:rPr>
          <w:rFonts w:ascii="Arial" w:hAnsi="Arial" w:cs="Arial"/>
          <w:lang w:val="es-CO"/>
        </w:rPr>
      </w:pPr>
    </w:p>
    <w:p w14:paraId="53A3E78A"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De las actas del Consejo.</w:t>
      </w:r>
      <w:r>
        <w:rPr>
          <w:rFonts w:ascii="Arial" w:hAnsi="Arial" w:cs="Arial"/>
          <w:lang w:val="es-CO"/>
        </w:rPr>
        <w:t xml:space="preserve"> De las sesiones del Consejo Nacional de Beneficios Tributarios</w:t>
      </w:r>
      <w:r>
        <w:rPr>
          <w:rFonts w:ascii="Arial" w:hAnsi="Arial" w:cs="Arial"/>
          <w:lang w:val="es-CO"/>
        </w:rPr>
        <w:t xml:space="preserve"> de Ciencia, Tecnología e Innovación - CNBT, se dejará constancia en actas que serán suscritas por el Presidente y la Secretaría Técnica.</w:t>
      </w:r>
    </w:p>
    <w:p w14:paraId="51F67D29" w14:textId="77777777" w:rsidR="00B2442D" w:rsidRDefault="00B2442D">
      <w:pPr>
        <w:jc w:val="both"/>
        <w:rPr>
          <w:rFonts w:ascii="Arial" w:hAnsi="Arial" w:cs="Arial"/>
          <w:lang w:val="es-CO"/>
        </w:rPr>
      </w:pPr>
    </w:p>
    <w:p w14:paraId="782C7A8A" w14:textId="77777777" w:rsidR="00B2442D" w:rsidRDefault="008A645F">
      <w:pPr>
        <w:jc w:val="both"/>
        <w:rPr>
          <w:rFonts w:ascii="Arial" w:hAnsi="Arial" w:cs="Arial"/>
          <w:lang w:val="es-CO"/>
        </w:rPr>
      </w:pPr>
      <w:r>
        <w:rPr>
          <w:rFonts w:ascii="Arial" w:hAnsi="Arial" w:cs="Arial"/>
          <w:lang w:val="es-CO"/>
        </w:rPr>
        <w:t>El texto del acta deberá ser remitido a los miembros del Consejo para su revisión y aprobación dentro del mes siguien</w:t>
      </w:r>
      <w:r>
        <w:rPr>
          <w:rFonts w:ascii="Arial" w:hAnsi="Arial" w:cs="Arial"/>
          <w:lang w:val="es-CO"/>
        </w:rPr>
        <w:t xml:space="preserve">te a la realización de la respectiva sesión. Si dentro de los cinco (5) días siguientes al envío no se reciben observaciones, se entenderá aprobada y se suscribirá; si se efectúan observaciones, nuevamente será puesta a consideración de todos los miembros </w:t>
      </w:r>
      <w:r>
        <w:rPr>
          <w:rFonts w:ascii="Arial" w:hAnsi="Arial" w:cs="Arial"/>
          <w:lang w:val="es-CO"/>
        </w:rPr>
        <w:t>para su aprobación.</w:t>
      </w:r>
    </w:p>
    <w:p w14:paraId="5D65E882" w14:textId="77777777" w:rsidR="00B2442D" w:rsidRDefault="00B2442D">
      <w:pPr>
        <w:jc w:val="both"/>
        <w:rPr>
          <w:rFonts w:ascii="Arial" w:hAnsi="Arial" w:cs="Arial"/>
          <w:lang w:val="es-CO"/>
        </w:rPr>
      </w:pPr>
    </w:p>
    <w:p w14:paraId="29959E1E" w14:textId="77777777" w:rsidR="00B2442D" w:rsidRDefault="008A645F">
      <w:pPr>
        <w:jc w:val="both"/>
        <w:rPr>
          <w:rFonts w:ascii="Arial" w:hAnsi="Arial" w:cs="Arial"/>
          <w:i/>
          <w:lang w:val="es-CO"/>
        </w:rPr>
      </w:pPr>
      <w:r>
        <w:rPr>
          <w:rFonts w:ascii="Arial" w:hAnsi="Arial" w:cs="Arial"/>
          <w:i/>
          <w:lang w:val="es-CO"/>
        </w:rPr>
        <w:t>(Art. 9, Decreto 121 de 2014)</w:t>
      </w:r>
    </w:p>
    <w:p w14:paraId="6BDFA509" w14:textId="77777777" w:rsidR="00B2442D" w:rsidRDefault="00B2442D">
      <w:pPr>
        <w:jc w:val="both"/>
        <w:rPr>
          <w:rFonts w:ascii="Arial" w:hAnsi="Arial" w:cs="Arial"/>
          <w:lang w:val="es-CO"/>
        </w:rPr>
      </w:pPr>
    </w:p>
    <w:p w14:paraId="7DCB36B0"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Decisiones del Consejo.</w:t>
      </w:r>
      <w:r>
        <w:rPr>
          <w:rFonts w:ascii="Arial" w:hAnsi="Arial" w:cs="Arial"/>
          <w:lang w:val="es-CO"/>
        </w:rPr>
        <w:t xml:space="preserve"> Los actos de carácter general del Consejo Nacional de Beneficios Tributarios en Ciencia, Tecnología e Innovación - CNBT, en ejercicio de sus funciones, se denominarán acuerdos y los de carácter particular, resoluciones y certificaciones.</w:t>
      </w:r>
    </w:p>
    <w:p w14:paraId="77FDF7D8" w14:textId="77777777" w:rsidR="00B2442D" w:rsidRDefault="00B2442D">
      <w:pPr>
        <w:jc w:val="both"/>
        <w:rPr>
          <w:rFonts w:ascii="Arial" w:hAnsi="Arial" w:cs="Arial"/>
          <w:lang w:val="es-CO"/>
        </w:rPr>
      </w:pPr>
    </w:p>
    <w:p w14:paraId="651A07B0" w14:textId="77777777" w:rsidR="00B2442D" w:rsidRDefault="008A645F">
      <w:pPr>
        <w:jc w:val="both"/>
        <w:rPr>
          <w:rFonts w:ascii="Arial" w:hAnsi="Arial" w:cs="Arial"/>
          <w:lang w:val="es-CO"/>
        </w:rPr>
      </w:pPr>
      <w:r>
        <w:rPr>
          <w:rFonts w:ascii="Arial" w:hAnsi="Arial" w:cs="Arial"/>
          <w:lang w:val="es-CO"/>
        </w:rPr>
        <w:t>Estos actos se c</w:t>
      </w:r>
      <w:r>
        <w:rPr>
          <w:rFonts w:ascii="Arial" w:hAnsi="Arial" w:cs="Arial"/>
          <w:lang w:val="es-CO"/>
        </w:rPr>
        <w:t>omunicarán, notificarán y/o publicarán, de acuerdo con la naturaleza de la decisión que contengan.</w:t>
      </w:r>
    </w:p>
    <w:p w14:paraId="32A5CC45" w14:textId="77777777" w:rsidR="00B2442D" w:rsidRDefault="00B2442D">
      <w:pPr>
        <w:jc w:val="both"/>
        <w:rPr>
          <w:rFonts w:ascii="Arial" w:hAnsi="Arial" w:cs="Arial"/>
          <w:lang w:val="es-CO"/>
        </w:rPr>
      </w:pPr>
    </w:p>
    <w:p w14:paraId="1D9A4B09" w14:textId="77777777" w:rsidR="00B2442D" w:rsidRDefault="008A645F">
      <w:pPr>
        <w:jc w:val="both"/>
        <w:rPr>
          <w:rFonts w:ascii="Arial" w:hAnsi="Arial" w:cs="Arial"/>
          <w:lang w:val="es-CO"/>
        </w:rPr>
      </w:pPr>
      <w:r>
        <w:rPr>
          <w:rFonts w:ascii="Arial" w:hAnsi="Arial" w:cs="Arial"/>
          <w:lang w:val="es-CO"/>
        </w:rPr>
        <w:t>Contra los actos de carácter particular, procederá únicamente el recurso de reposición.</w:t>
      </w:r>
    </w:p>
    <w:p w14:paraId="433D5530" w14:textId="77777777" w:rsidR="00B2442D" w:rsidRDefault="00B2442D">
      <w:pPr>
        <w:jc w:val="both"/>
        <w:rPr>
          <w:rFonts w:ascii="Arial" w:hAnsi="Arial" w:cs="Arial"/>
          <w:lang w:val="es-CO"/>
        </w:rPr>
      </w:pPr>
    </w:p>
    <w:p w14:paraId="22F9DFC4" w14:textId="77777777" w:rsidR="00B2442D" w:rsidRDefault="008A645F">
      <w:pPr>
        <w:jc w:val="both"/>
        <w:rPr>
          <w:rFonts w:ascii="Arial" w:hAnsi="Arial" w:cs="Arial"/>
          <w:i/>
          <w:lang w:val="es-CO"/>
        </w:rPr>
      </w:pPr>
      <w:r>
        <w:rPr>
          <w:rFonts w:ascii="Arial" w:hAnsi="Arial" w:cs="Arial"/>
          <w:i/>
          <w:lang w:val="es-CO"/>
        </w:rPr>
        <w:t>(Art. 10, Decreto 121 de 2014)</w:t>
      </w:r>
    </w:p>
    <w:p w14:paraId="670A270F" w14:textId="77777777" w:rsidR="00B2442D" w:rsidRDefault="00B2442D">
      <w:pPr>
        <w:jc w:val="both"/>
        <w:rPr>
          <w:rFonts w:ascii="Arial" w:hAnsi="Arial" w:cs="Arial"/>
          <w:lang w:val="es-CO"/>
        </w:rPr>
      </w:pPr>
    </w:p>
    <w:p w14:paraId="0B8967E2"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Asistencia de invitados.</w:t>
      </w:r>
      <w:r>
        <w:rPr>
          <w:rFonts w:ascii="Arial" w:hAnsi="Arial" w:cs="Arial"/>
          <w:lang w:val="es-CO"/>
        </w:rPr>
        <w:t xml:space="preserve"> A las sesi</w:t>
      </w:r>
      <w:r>
        <w:rPr>
          <w:rFonts w:ascii="Arial" w:hAnsi="Arial" w:cs="Arial"/>
          <w:lang w:val="es-CO"/>
        </w:rPr>
        <w:t>ones del Consejo Nacional de Beneficios Tributarios en Ciencia, Tecnología e Innovación - CNBT, podrán ser invitados con voz pero sin voto los funcionarios y representantes de las entidades públicas o privadas, expertos, otras personas naturales o represen</w:t>
      </w:r>
      <w:r>
        <w:rPr>
          <w:rFonts w:ascii="Arial" w:hAnsi="Arial" w:cs="Arial"/>
          <w:lang w:val="es-CO"/>
        </w:rPr>
        <w:t>tantes de personas jurídicas, cuyo aporte se estime de utilidad para el estudio, análisis, discusión y toma de decisiones de los asuntos bajo su competencia.</w:t>
      </w:r>
    </w:p>
    <w:p w14:paraId="3162FF20" w14:textId="77777777" w:rsidR="00B2442D" w:rsidRDefault="00B2442D">
      <w:pPr>
        <w:jc w:val="both"/>
        <w:rPr>
          <w:rFonts w:ascii="Arial" w:hAnsi="Arial" w:cs="Arial"/>
          <w:lang w:val="es-CO"/>
        </w:rPr>
      </w:pPr>
    </w:p>
    <w:p w14:paraId="3DE2470A"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Serán invitadas permanentes al Consejo Nacional de Beneficios Tributarios en Ciencia, </w:t>
      </w:r>
      <w:r>
        <w:rPr>
          <w:rFonts w:ascii="Arial" w:hAnsi="Arial" w:cs="Arial"/>
          <w:lang w:val="es-CO"/>
        </w:rPr>
        <w:t>Tecnología o Innovación – CNBT, las personas que ejerzan los siguientes cargos: Subdirector, Director de Desarrollo Tecnológico e Innovación, Director de Fomento a la Investigación, Director de Redes del Conocimiento o quienes hagan sus veces, del Departam</w:t>
      </w:r>
      <w:r>
        <w:rPr>
          <w:rFonts w:ascii="Arial" w:hAnsi="Arial" w:cs="Arial"/>
          <w:lang w:val="es-CO"/>
        </w:rPr>
        <w:t>ento Administrativo de Ciencia, Tecnología e Innovación COLCIENCIAS.</w:t>
      </w:r>
    </w:p>
    <w:p w14:paraId="2CCC315C" w14:textId="77777777" w:rsidR="00B2442D" w:rsidRDefault="00B2442D">
      <w:pPr>
        <w:jc w:val="both"/>
        <w:rPr>
          <w:rFonts w:ascii="Arial" w:hAnsi="Arial" w:cs="Arial"/>
          <w:lang w:val="es-CO"/>
        </w:rPr>
      </w:pPr>
    </w:p>
    <w:p w14:paraId="308E7163" w14:textId="77777777" w:rsidR="00B2442D" w:rsidRDefault="008A645F">
      <w:pPr>
        <w:jc w:val="both"/>
        <w:rPr>
          <w:rFonts w:ascii="Arial" w:hAnsi="Arial" w:cs="Arial"/>
          <w:i/>
          <w:lang w:val="es-CO"/>
        </w:rPr>
      </w:pPr>
      <w:r>
        <w:rPr>
          <w:rFonts w:ascii="Arial" w:hAnsi="Arial" w:cs="Arial"/>
          <w:i/>
          <w:lang w:val="es-CO"/>
        </w:rPr>
        <w:t>(Art. 11, Decreto 121 de 2014)</w:t>
      </w:r>
    </w:p>
    <w:p w14:paraId="63A0AA12" w14:textId="77777777" w:rsidR="00B2442D" w:rsidRDefault="00B2442D">
      <w:pPr>
        <w:jc w:val="both"/>
        <w:rPr>
          <w:rFonts w:ascii="Arial" w:hAnsi="Arial" w:cs="Arial"/>
          <w:lang w:val="es-CO"/>
        </w:rPr>
      </w:pPr>
    </w:p>
    <w:p w14:paraId="25A95CD7" w14:textId="77777777" w:rsidR="00B2442D" w:rsidRDefault="008A645F">
      <w:pPr>
        <w:pStyle w:val="Prrafodelista"/>
        <w:numPr>
          <w:ilvl w:val="0"/>
          <w:numId w:val="142"/>
        </w:numPr>
        <w:ind w:left="0" w:firstLine="0"/>
        <w:jc w:val="both"/>
        <w:rPr>
          <w:rFonts w:ascii="Arial" w:hAnsi="Arial" w:cs="Arial"/>
          <w:lang w:val="es-CO"/>
        </w:rPr>
      </w:pPr>
      <w:r>
        <w:rPr>
          <w:rFonts w:ascii="Arial" w:hAnsi="Arial" w:cs="Arial"/>
          <w:b/>
          <w:i/>
          <w:lang w:val="es-CO"/>
        </w:rPr>
        <w:t xml:space="preserve">Información sobre programas, proyectos e inversiones en ciencia y tecnología autorizados. </w:t>
      </w:r>
      <w:r>
        <w:rPr>
          <w:rFonts w:ascii="Arial" w:hAnsi="Arial" w:cs="Arial"/>
          <w:lang w:val="es-CO"/>
        </w:rPr>
        <w:t>Anualmente, el Consejo Nacional de Beneficios Tributarios en Ciencia, Tecnología e Innovación, deberá informar a la Subdirección de Gestión de Fiscalización  Tributar</w:t>
      </w:r>
      <w:r>
        <w:rPr>
          <w:rFonts w:ascii="Arial" w:hAnsi="Arial" w:cs="Arial"/>
          <w:lang w:val="es-CO"/>
        </w:rPr>
        <w:t>ia de la Unidad Administrativa Especial Dirección de Impuestos y Aduanas Nacionales- DIAN, antes del primero (1°) de marzo, los programas, proyectos e inversiones para ciencia y tecnología autorizados en el año inmediatamente anterior, suministrando los no</w:t>
      </w:r>
      <w:r>
        <w:rPr>
          <w:rFonts w:ascii="Arial" w:hAnsi="Arial" w:cs="Arial"/>
          <w:lang w:val="es-CO"/>
        </w:rPr>
        <w:t>mbres y apellidos o razón social y NIT del donante o inversionista, el monto de la donación o de la inversión y en este último caso, el tiempo durante el cual se realizará la misma.</w:t>
      </w:r>
    </w:p>
    <w:p w14:paraId="6D5B77F3" w14:textId="77777777" w:rsidR="00B2442D" w:rsidRDefault="00B2442D">
      <w:pPr>
        <w:jc w:val="both"/>
        <w:rPr>
          <w:rFonts w:ascii="Arial" w:hAnsi="Arial" w:cs="Arial"/>
          <w:i/>
          <w:lang w:val="es-CO"/>
        </w:rPr>
      </w:pPr>
    </w:p>
    <w:p w14:paraId="691588EE" w14:textId="77777777" w:rsidR="00B2442D" w:rsidRDefault="008A645F">
      <w:pPr>
        <w:jc w:val="both"/>
        <w:rPr>
          <w:rFonts w:ascii="Arial" w:hAnsi="Arial" w:cs="Arial"/>
          <w:i/>
          <w:lang w:val="es-CO"/>
        </w:rPr>
      </w:pPr>
      <w:r>
        <w:rPr>
          <w:rFonts w:ascii="Arial" w:hAnsi="Arial" w:cs="Arial"/>
          <w:i/>
          <w:lang w:val="es-CO"/>
        </w:rPr>
        <w:t>(Art. 9, Decreto 2076 de 1992, último inciso derogado por decaimiento por</w:t>
      </w:r>
      <w:r>
        <w:rPr>
          <w:rFonts w:ascii="Arial" w:hAnsi="Arial" w:cs="Arial"/>
          <w:i/>
          <w:lang w:val="es-CO"/>
        </w:rPr>
        <w:t xml:space="preserve"> el art. 30 de la Ley 633 de 2000)</w:t>
      </w:r>
      <w:r>
        <w:rPr>
          <w:rFonts w:ascii="Arial" w:hAnsi="Arial" w:cs="Arial"/>
        </w:rPr>
        <w:t xml:space="preserve"> </w:t>
      </w:r>
      <w:r>
        <w:rPr>
          <w:rFonts w:ascii="Arial" w:hAnsi="Arial" w:cs="Arial"/>
          <w:i/>
          <w:lang w:val="es-CO"/>
        </w:rPr>
        <w:t xml:space="preserve">(El Decreto 2076 de 1992 rige desde la fecha de su publicación y deroga además de las normas que le sean contrarias, las siguientes: artículos 13 y 22 del Decreto 1372 de 1992, artículos 4° y 6° del Decreto 1250 de 1992, </w:t>
      </w:r>
      <w:r>
        <w:rPr>
          <w:rFonts w:ascii="Arial" w:hAnsi="Arial" w:cs="Arial"/>
          <w:i/>
          <w:lang w:val="es-CO"/>
        </w:rPr>
        <w:t>y el Decreto 2208 de 1991. Art. 44, Decreto 2076 de 1992)</w:t>
      </w:r>
    </w:p>
    <w:p w14:paraId="7A3302C6" w14:textId="77777777" w:rsidR="00B2442D" w:rsidRDefault="00B2442D">
      <w:pPr>
        <w:jc w:val="both"/>
        <w:rPr>
          <w:rFonts w:ascii="Arial" w:hAnsi="Arial" w:cs="Arial"/>
          <w:lang w:val="es-CO"/>
        </w:rPr>
      </w:pPr>
    </w:p>
    <w:p w14:paraId="11FE70DA" w14:textId="77777777" w:rsidR="00B2442D" w:rsidRDefault="008A645F">
      <w:pPr>
        <w:pStyle w:val="Ttulo3"/>
      </w:pPr>
      <w:bookmarkStart w:id="59" w:name="_Toc479171211"/>
      <w:r>
        <w:t>TÍTULO 3</w:t>
      </w:r>
      <w:bookmarkEnd w:id="59"/>
    </w:p>
    <w:p w14:paraId="693C05AD" w14:textId="77777777" w:rsidR="00B2442D" w:rsidRDefault="008A645F">
      <w:pPr>
        <w:pStyle w:val="Ttulo3"/>
      </w:pPr>
      <w:bookmarkStart w:id="60" w:name="_Toc479171212"/>
      <w:r>
        <w:t>Comisión Nacional Mixta de Gestión Tributaria y Aduanera</w:t>
      </w:r>
      <w:bookmarkEnd w:id="60"/>
    </w:p>
    <w:p w14:paraId="3EB2BDAD" w14:textId="77777777" w:rsidR="00B2442D" w:rsidRDefault="00B2442D">
      <w:pPr>
        <w:rPr>
          <w:rFonts w:ascii="Arial" w:hAnsi="Arial" w:cs="Arial"/>
          <w:lang w:val="es-CO"/>
        </w:rPr>
      </w:pPr>
    </w:p>
    <w:p w14:paraId="6A236B0A" w14:textId="77777777" w:rsidR="00B2442D" w:rsidRDefault="008A645F">
      <w:pPr>
        <w:pStyle w:val="Prrafodelista"/>
        <w:numPr>
          <w:ilvl w:val="0"/>
          <w:numId w:val="143"/>
        </w:numPr>
        <w:ind w:left="0" w:firstLine="0"/>
        <w:jc w:val="both"/>
        <w:rPr>
          <w:rFonts w:ascii="Arial" w:hAnsi="Arial" w:cs="Arial"/>
          <w:lang w:val="es-CO"/>
        </w:rPr>
      </w:pPr>
      <w:r>
        <w:rPr>
          <w:rFonts w:ascii="Arial" w:hAnsi="Arial" w:cs="Arial"/>
          <w:b/>
          <w:i/>
          <w:lang w:val="es-CO"/>
        </w:rPr>
        <w:t>Integración de la Comisión Nacional Mixta de Gestión Tributaria y Aduanera.</w:t>
      </w:r>
      <w:r>
        <w:rPr>
          <w:rFonts w:ascii="Arial" w:hAnsi="Arial" w:cs="Arial"/>
          <w:lang w:val="es-CO"/>
        </w:rPr>
        <w:t xml:space="preserve"> La Comisión Nacional Mixta de Gestión Tributaria y Adu</w:t>
      </w:r>
      <w:r>
        <w:rPr>
          <w:rFonts w:ascii="Arial" w:hAnsi="Arial" w:cs="Arial"/>
          <w:lang w:val="es-CO"/>
        </w:rPr>
        <w:t>anera estará integrada para lo que resta del actual periodo presidencial, por los representantes de los siguientes gremios:</w:t>
      </w:r>
    </w:p>
    <w:p w14:paraId="6BCE4CA0" w14:textId="77777777" w:rsidR="00B2442D" w:rsidRDefault="00B2442D">
      <w:pPr>
        <w:jc w:val="both"/>
        <w:rPr>
          <w:rFonts w:ascii="Arial" w:hAnsi="Arial" w:cs="Arial"/>
          <w:lang w:val="es-CO"/>
        </w:rPr>
      </w:pPr>
    </w:p>
    <w:p w14:paraId="645E88D7"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Asobancaria. Gremio representativo del sector financiero colombiano.</w:t>
      </w:r>
    </w:p>
    <w:p w14:paraId="19B47D8B"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 xml:space="preserve">ANDI Asociación Nacional de Empresarios de </w:t>
      </w:r>
      <w:r>
        <w:rPr>
          <w:rFonts w:ascii="Arial" w:hAnsi="Arial" w:cs="Arial"/>
          <w:lang w:val="es-CO"/>
        </w:rPr>
        <w:t>Colombia.</w:t>
      </w:r>
    </w:p>
    <w:p w14:paraId="3C410461"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Camacol. Cámara Colombiana de la Construcción.</w:t>
      </w:r>
    </w:p>
    <w:p w14:paraId="2551D0A3"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SAC. Sociedad de Agricultores de Colombia.</w:t>
      </w:r>
    </w:p>
    <w:p w14:paraId="4EBDB70F"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Analdex. Asociación Nacional de Comercio Exterior.</w:t>
      </w:r>
    </w:p>
    <w:p w14:paraId="5F249CFA" w14:textId="77777777" w:rsidR="00B2442D" w:rsidRDefault="008A645F">
      <w:pPr>
        <w:jc w:val="both"/>
        <w:rPr>
          <w:rFonts w:ascii="Arial" w:hAnsi="Arial" w:cs="Arial"/>
          <w:lang w:val="es-CO"/>
        </w:rPr>
      </w:pPr>
      <w:r>
        <w:rPr>
          <w:rFonts w:ascii="Arial" w:hAnsi="Arial" w:cs="Arial"/>
          <w:lang w:val="es-CO"/>
        </w:rPr>
        <w:t>•</w:t>
      </w:r>
      <w:r>
        <w:rPr>
          <w:rFonts w:ascii="Arial" w:hAnsi="Arial" w:cs="Arial"/>
          <w:lang w:val="es-CO"/>
        </w:rPr>
        <w:tab/>
        <w:t>Fitac. Federación Colombiana de Agentes Logísticos en Comercio Internacional.</w:t>
      </w:r>
    </w:p>
    <w:p w14:paraId="1AA71D8E" w14:textId="77777777" w:rsidR="00B2442D" w:rsidRDefault="00B2442D">
      <w:pPr>
        <w:jc w:val="both"/>
        <w:rPr>
          <w:rFonts w:ascii="Arial" w:hAnsi="Arial" w:cs="Arial"/>
          <w:lang w:val="es-CO"/>
        </w:rPr>
      </w:pPr>
    </w:p>
    <w:p w14:paraId="1825984C"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Los gre</w:t>
      </w:r>
      <w:r>
        <w:rPr>
          <w:rFonts w:ascii="Arial" w:hAnsi="Arial" w:cs="Arial"/>
          <w:lang w:val="es-CO"/>
        </w:rPr>
        <w:t>mios asistirán a través de sus representantes legales o apoderados debidamente acreditados.</w:t>
      </w:r>
    </w:p>
    <w:p w14:paraId="75504890" w14:textId="77777777" w:rsidR="00B2442D" w:rsidRDefault="00B2442D">
      <w:pPr>
        <w:jc w:val="both"/>
        <w:rPr>
          <w:rFonts w:ascii="Arial" w:hAnsi="Arial" w:cs="Arial"/>
          <w:lang w:val="es-CO"/>
        </w:rPr>
      </w:pPr>
    </w:p>
    <w:p w14:paraId="23FCBBEB" w14:textId="77777777" w:rsidR="00B2442D" w:rsidRDefault="008A645F">
      <w:pPr>
        <w:pStyle w:val="Prrafodelista"/>
        <w:ind w:left="0"/>
        <w:jc w:val="both"/>
        <w:rPr>
          <w:rFonts w:ascii="Arial" w:hAnsi="Arial" w:cs="Arial"/>
          <w:i/>
          <w:lang w:val="es-CO"/>
        </w:rPr>
      </w:pPr>
      <w:r>
        <w:rPr>
          <w:rFonts w:ascii="Arial" w:hAnsi="Arial" w:cs="Arial"/>
          <w:i/>
          <w:lang w:val="es-CO"/>
        </w:rPr>
        <w:t>(Art. 1, Decreto 2310 de 2014)</w:t>
      </w:r>
      <w:r>
        <w:rPr>
          <w:rFonts w:ascii="Arial" w:hAnsi="Arial" w:cs="Arial"/>
          <w:b/>
          <w:i/>
          <w:lang w:val="es-CO"/>
        </w:rPr>
        <w:t xml:space="preserve"> </w:t>
      </w:r>
      <w:r>
        <w:rPr>
          <w:rFonts w:ascii="Arial" w:hAnsi="Arial" w:cs="Arial"/>
          <w:i/>
          <w:lang w:val="es-CO"/>
        </w:rPr>
        <w:t>(Vigencia del Decreto 2310 de 2014. El Decreto 2310 de 2014 rige a partir de la fecha de su expedición y hasta el seis (6) de agosto</w:t>
      </w:r>
      <w:r>
        <w:rPr>
          <w:rFonts w:ascii="Arial" w:hAnsi="Arial" w:cs="Arial"/>
          <w:i/>
          <w:lang w:val="es-CO"/>
        </w:rPr>
        <w:t xml:space="preserve"> de 2018. (Art. 2, Decreto 2310 de 2014))</w:t>
      </w:r>
    </w:p>
    <w:p w14:paraId="31C1E6BC" w14:textId="77777777" w:rsidR="00B2442D" w:rsidRDefault="00B2442D">
      <w:pPr>
        <w:pStyle w:val="Prrafodelista"/>
        <w:ind w:left="0"/>
        <w:jc w:val="both"/>
        <w:rPr>
          <w:rFonts w:ascii="Arial" w:hAnsi="Arial" w:cs="Arial"/>
          <w:i/>
          <w:lang w:val="es-CO"/>
        </w:rPr>
      </w:pPr>
    </w:p>
    <w:p w14:paraId="76BD9542" w14:textId="77777777" w:rsidR="00B2442D" w:rsidRDefault="00B2442D">
      <w:pPr>
        <w:jc w:val="both"/>
        <w:rPr>
          <w:rFonts w:ascii="Arial" w:hAnsi="Arial" w:cs="Arial"/>
          <w:i/>
        </w:rPr>
      </w:pPr>
    </w:p>
    <w:p w14:paraId="6213F272" w14:textId="77777777" w:rsidR="00B2442D" w:rsidRDefault="00B2442D">
      <w:pPr>
        <w:rPr>
          <w:rFonts w:ascii="Arial" w:hAnsi="Arial" w:cs="Arial"/>
          <w:i/>
        </w:rPr>
      </w:pPr>
    </w:p>
    <w:p w14:paraId="3248E7CA" w14:textId="77777777" w:rsidR="00B2442D" w:rsidRDefault="008A645F">
      <w:pPr>
        <w:ind w:left="708" w:hanging="708"/>
        <w:jc w:val="center"/>
        <w:outlineLvl w:val="0"/>
        <w:rPr>
          <w:rFonts w:ascii="Arial" w:hAnsi="Arial" w:cs="Arial"/>
          <w:b/>
        </w:rPr>
      </w:pPr>
      <w:bookmarkStart w:id="61" w:name="_Toc479171213"/>
      <w:r>
        <w:rPr>
          <w:rFonts w:ascii="Arial" w:hAnsi="Arial" w:cs="Arial"/>
          <w:b/>
        </w:rPr>
        <w:t>LIBRO 2.</w:t>
      </w:r>
      <w:bookmarkEnd w:id="61"/>
      <w:r>
        <w:rPr>
          <w:rFonts w:ascii="Arial" w:hAnsi="Arial" w:cs="Arial"/>
          <w:b/>
        </w:rPr>
        <w:t xml:space="preserve"> </w:t>
      </w:r>
    </w:p>
    <w:p w14:paraId="31F10B32" w14:textId="77777777" w:rsidR="00B2442D" w:rsidRDefault="008A645F">
      <w:pPr>
        <w:jc w:val="center"/>
        <w:outlineLvl w:val="0"/>
        <w:rPr>
          <w:rFonts w:ascii="Arial" w:hAnsi="Arial" w:cs="Arial"/>
          <w:b/>
        </w:rPr>
      </w:pPr>
      <w:bookmarkStart w:id="62" w:name="_Toc479171214"/>
      <w:r>
        <w:rPr>
          <w:rFonts w:ascii="Arial" w:hAnsi="Arial" w:cs="Arial"/>
          <w:b/>
        </w:rPr>
        <w:t>Reglamento de impuestos del orden territorial</w:t>
      </w:r>
      <w:bookmarkEnd w:id="62"/>
    </w:p>
    <w:p w14:paraId="07475CB4" w14:textId="77777777" w:rsidR="00B2442D" w:rsidRDefault="00B2442D">
      <w:pPr>
        <w:jc w:val="center"/>
        <w:rPr>
          <w:rFonts w:ascii="Arial" w:hAnsi="Arial" w:cs="Arial"/>
        </w:rPr>
      </w:pPr>
    </w:p>
    <w:p w14:paraId="57BC0935" w14:textId="77777777" w:rsidR="00B2442D" w:rsidRDefault="00B2442D">
      <w:pPr>
        <w:rPr>
          <w:rFonts w:ascii="Arial" w:hAnsi="Arial" w:cs="Arial"/>
        </w:rPr>
      </w:pPr>
    </w:p>
    <w:p w14:paraId="63BA0959" w14:textId="77777777" w:rsidR="00B2442D" w:rsidRDefault="008A645F">
      <w:pPr>
        <w:jc w:val="center"/>
        <w:outlineLvl w:val="1"/>
        <w:rPr>
          <w:rFonts w:ascii="Arial" w:hAnsi="Arial" w:cs="Arial"/>
          <w:b/>
        </w:rPr>
      </w:pPr>
      <w:bookmarkStart w:id="63" w:name="_Toc479171215"/>
      <w:r>
        <w:rPr>
          <w:rFonts w:ascii="Arial" w:hAnsi="Arial" w:cs="Arial"/>
          <w:b/>
        </w:rPr>
        <w:t>PARTE 1.</w:t>
      </w:r>
      <w:bookmarkEnd w:id="63"/>
    </w:p>
    <w:p w14:paraId="73058607" w14:textId="77777777" w:rsidR="00B2442D" w:rsidRDefault="008A645F">
      <w:pPr>
        <w:jc w:val="center"/>
        <w:outlineLvl w:val="1"/>
        <w:rPr>
          <w:rFonts w:ascii="Arial" w:hAnsi="Arial" w:cs="Arial"/>
          <w:b/>
        </w:rPr>
      </w:pPr>
      <w:bookmarkStart w:id="64" w:name="_Toc479171216"/>
      <w:r>
        <w:rPr>
          <w:rFonts w:ascii="Arial" w:hAnsi="Arial" w:cs="Arial"/>
          <w:b/>
        </w:rPr>
        <w:t>Impuestos Municipales</w:t>
      </w:r>
      <w:bookmarkEnd w:id="64"/>
    </w:p>
    <w:p w14:paraId="35F3AD8F" w14:textId="77777777" w:rsidR="00B2442D" w:rsidRDefault="00B2442D">
      <w:pPr>
        <w:jc w:val="center"/>
        <w:rPr>
          <w:rFonts w:ascii="Arial" w:hAnsi="Arial" w:cs="Arial"/>
        </w:rPr>
      </w:pPr>
    </w:p>
    <w:p w14:paraId="605619E5" w14:textId="77777777" w:rsidR="00B2442D" w:rsidRDefault="00B2442D">
      <w:pPr>
        <w:rPr>
          <w:rFonts w:ascii="Arial" w:hAnsi="Arial" w:cs="Arial"/>
        </w:rPr>
      </w:pPr>
    </w:p>
    <w:p w14:paraId="622C42F3" w14:textId="77777777" w:rsidR="00B2442D" w:rsidRDefault="008A645F">
      <w:pPr>
        <w:jc w:val="center"/>
        <w:outlineLvl w:val="2"/>
        <w:rPr>
          <w:rFonts w:ascii="Arial" w:hAnsi="Arial" w:cs="Arial"/>
          <w:b/>
        </w:rPr>
      </w:pPr>
      <w:bookmarkStart w:id="65" w:name="_Toc479171217"/>
      <w:r>
        <w:rPr>
          <w:rFonts w:ascii="Arial" w:hAnsi="Arial" w:cs="Arial"/>
          <w:b/>
        </w:rPr>
        <w:t>TÍTULO 1.</w:t>
      </w:r>
      <w:bookmarkEnd w:id="65"/>
      <w:r>
        <w:rPr>
          <w:rFonts w:ascii="Arial" w:hAnsi="Arial" w:cs="Arial"/>
          <w:b/>
        </w:rPr>
        <w:t xml:space="preserve"> </w:t>
      </w:r>
    </w:p>
    <w:p w14:paraId="57115F89" w14:textId="77777777" w:rsidR="00B2442D" w:rsidRDefault="008A645F">
      <w:pPr>
        <w:jc w:val="center"/>
        <w:outlineLvl w:val="2"/>
        <w:rPr>
          <w:rFonts w:ascii="Arial" w:hAnsi="Arial" w:cs="Arial"/>
          <w:b/>
        </w:rPr>
      </w:pPr>
      <w:bookmarkStart w:id="66" w:name="_Toc479171218"/>
      <w:r>
        <w:rPr>
          <w:rFonts w:ascii="Arial" w:hAnsi="Arial" w:cs="Arial"/>
          <w:b/>
        </w:rPr>
        <w:t>Impuesto de Industria y Comercio</w:t>
      </w:r>
      <w:bookmarkEnd w:id="66"/>
    </w:p>
    <w:p w14:paraId="508ADCE4" w14:textId="77777777" w:rsidR="00B2442D" w:rsidRDefault="00B2442D">
      <w:pPr>
        <w:rPr>
          <w:rFonts w:ascii="Arial" w:hAnsi="Arial" w:cs="Arial"/>
        </w:rPr>
      </w:pPr>
    </w:p>
    <w:p w14:paraId="7A48F3A9" w14:textId="77777777" w:rsidR="00B2442D" w:rsidRDefault="008A645F">
      <w:pPr>
        <w:numPr>
          <w:ilvl w:val="0"/>
          <w:numId w:val="178"/>
        </w:numPr>
        <w:ind w:left="0" w:firstLine="0"/>
        <w:contextualSpacing/>
        <w:jc w:val="both"/>
        <w:rPr>
          <w:rFonts w:ascii="Arial" w:hAnsi="Arial" w:cs="Arial"/>
        </w:rPr>
      </w:pPr>
      <w:r>
        <w:rPr>
          <w:rFonts w:ascii="Arial" w:hAnsi="Arial" w:cs="Arial"/>
          <w:b/>
          <w:i/>
        </w:rPr>
        <w:t>Registro de actividad.</w:t>
      </w:r>
      <w:r>
        <w:rPr>
          <w:rFonts w:ascii="Arial" w:hAnsi="Arial" w:cs="Arial"/>
        </w:rPr>
        <w:t xml:space="preserve"> Los contribuyentes que realicen actividades industriales, comerciales o de servicios en más de un municipio, a través de sucursales o agencias, constituidas de acuerdo con lo definido en los artículos 263 y 264 del Código de Comercio o de establecimientos</w:t>
      </w:r>
      <w:r>
        <w:rPr>
          <w:rFonts w:ascii="Arial" w:hAnsi="Arial" w:cs="Arial"/>
        </w:rPr>
        <w:t xml:space="preserve"> de comercio debidamente inscritos, deberán registrar su actividad en cada municipio y llevar registros contables que permitan la determinación del volumen de ingresos obtenidos por las operaciones realizadas en dichos municipios. Tales ingresos constituir</w:t>
      </w:r>
      <w:r>
        <w:rPr>
          <w:rFonts w:ascii="Arial" w:hAnsi="Arial" w:cs="Arial"/>
        </w:rPr>
        <w:t>án la base gravable.</w:t>
      </w:r>
    </w:p>
    <w:p w14:paraId="5BB89C9E" w14:textId="77777777" w:rsidR="00B2442D" w:rsidRDefault="00B2442D">
      <w:pPr>
        <w:jc w:val="both"/>
        <w:rPr>
          <w:rFonts w:ascii="Arial" w:hAnsi="Arial" w:cs="Arial"/>
        </w:rPr>
      </w:pPr>
    </w:p>
    <w:p w14:paraId="545D4DE9" w14:textId="77777777" w:rsidR="00B2442D" w:rsidRDefault="008A645F">
      <w:pPr>
        <w:jc w:val="both"/>
        <w:rPr>
          <w:rFonts w:ascii="Arial" w:hAnsi="Arial" w:cs="Arial"/>
          <w:i/>
        </w:rPr>
      </w:pPr>
      <w:r>
        <w:rPr>
          <w:rFonts w:ascii="Arial" w:hAnsi="Arial" w:cs="Arial"/>
          <w:i/>
        </w:rPr>
        <w:t>(Art. 1, Decreto 3070 de 1983, el inciso segundo fue declarado nulo por el Consejo de Estado. Expediente 0082 del 25 de septiembre de 1989 con ponencia del Magistrado Juan Rafael Bravo Arteaga).</w:t>
      </w:r>
    </w:p>
    <w:p w14:paraId="1A82CECB" w14:textId="77777777" w:rsidR="00B2442D" w:rsidRDefault="00B2442D">
      <w:pPr>
        <w:jc w:val="both"/>
        <w:rPr>
          <w:rFonts w:ascii="Arial" w:hAnsi="Arial" w:cs="Arial"/>
          <w:i/>
        </w:rPr>
      </w:pPr>
    </w:p>
    <w:p w14:paraId="274411D9" w14:textId="77777777" w:rsidR="00B2442D" w:rsidRDefault="008A645F">
      <w:pPr>
        <w:numPr>
          <w:ilvl w:val="0"/>
          <w:numId w:val="178"/>
        </w:numPr>
        <w:ind w:left="0" w:firstLine="0"/>
        <w:contextualSpacing/>
        <w:jc w:val="both"/>
        <w:rPr>
          <w:rFonts w:ascii="Arial" w:hAnsi="Arial" w:cs="Arial"/>
        </w:rPr>
      </w:pPr>
      <w:r>
        <w:rPr>
          <w:rFonts w:ascii="Arial" w:hAnsi="Arial" w:cs="Arial"/>
          <w:b/>
          <w:i/>
        </w:rPr>
        <w:t>Base gravable para distribuidores de c</w:t>
      </w:r>
      <w:r>
        <w:rPr>
          <w:rFonts w:ascii="Arial" w:hAnsi="Arial" w:cs="Arial"/>
          <w:b/>
          <w:i/>
        </w:rPr>
        <w:t xml:space="preserve">ombustibles derivados del petróleo. </w:t>
      </w:r>
      <w:r>
        <w:rPr>
          <w:rFonts w:ascii="Arial" w:hAnsi="Arial" w:cs="Arial"/>
        </w:rPr>
        <w:t>Los distribuidores de combustibles derivados del petróleo que ejerzan paralelamente otras actividades de comercio o de servicios, deberán pagar por éstas de conformidad con la base ordinaria establecida en el artículo 33</w:t>
      </w:r>
      <w:r>
        <w:rPr>
          <w:rFonts w:ascii="Arial" w:hAnsi="Arial" w:cs="Arial"/>
        </w:rPr>
        <w:t xml:space="preserve"> de la Ley 14 de 1983.</w:t>
      </w:r>
    </w:p>
    <w:p w14:paraId="796D6BF9" w14:textId="77777777" w:rsidR="00B2442D" w:rsidRDefault="00B2442D">
      <w:pPr>
        <w:jc w:val="both"/>
        <w:rPr>
          <w:rFonts w:ascii="Arial" w:hAnsi="Arial" w:cs="Arial"/>
          <w:i/>
        </w:rPr>
      </w:pPr>
    </w:p>
    <w:p w14:paraId="75D42DDC" w14:textId="77777777" w:rsidR="00B2442D" w:rsidRDefault="008A645F">
      <w:pPr>
        <w:jc w:val="both"/>
        <w:rPr>
          <w:rFonts w:ascii="Arial" w:hAnsi="Arial" w:cs="Arial"/>
          <w:i/>
        </w:rPr>
      </w:pPr>
      <w:r>
        <w:rPr>
          <w:rFonts w:ascii="Arial" w:hAnsi="Arial" w:cs="Arial"/>
          <w:i/>
        </w:rPr>
        <w:t>(Art. 2, Decreto 3070 de 1983)</w:t>
      </w:r>
    </w:p>
    <w:p w14:paraId="67F03B3E" w14:textId="77777777" w:rsidR="00B2442D" w:rsidRDefault="00B2442D">
      <w:pPr>
        <w:jc w:val="both"/>
        <w:rPr>
          <w:rFonts w:ascii="Arial" w:hAnsi="Arial" w:cs="Arial"/>
        </w:rPr>
      </w:pPr>
    </w:p>
    <w:p w14:paraId="061DB024" w14:textId="77777777" w:rsidR="00B2442D" w:rsidRDefault="008A645F">
      <w:pPr>
        <w:numPr>
          <w:ilvl w:val="0"/>
          <w:numId w:val="178"/>
        </w:numPr>
        <w:ind w:left="0" w:firstLine="0"/>
        <w:contextualSpacing/>
        <w:jc w:val="both"/>
        <w:rPr>
          <w:rFonts w:ascii="Arial" w:hAnsi="Arial" w:cs="Arial"/>
        </w:rPr>
      </w:pPr>
      <w:r>
        <w:rPr>
          <w:rFonts w:ascii="Arial" w:hAnsi="Arial" w:cs="Arial"/>
          <w:b/>
          <w:i/>
        </w:rPr>
        <w:t>Base gravable en actividades de extracción y transformación de derivados del petróleo.</w:t>
      </w:r>
      <w:r>
        <w:rPr>
          <w:rFonts w:ascii="Arial" w:hAnsi="Arial" w:cs="Arial"/>
        </w:rPr>
        <w:t xml:space="preserve"> A la persona que desarrolle las actividades de extracción y transformación de los derivados del petróleo se les a</w:t>
      </w:r>
      <w:r>
        <w:rPr>
          <w:rFonts w:ascii="Arial" w:hAnsi="Arial" w:cs="Arial"/>
        </w:rPr>
        <w:t>plicará el numeral 1 del inciso 2 del artículo 33 de la Ley 14 de 1983 en cuanto a liquidación del impuesto se refiere, y a las personas que compren al industrial para vender al distribuidor que comercializa al público se les aplicará el numeral 2 del inci</w:t>
      </w:r>
      <w:r>
        <w:rPr>
          <w:rFonts w:ascii="Arial" w:hAnsi="Arial" w:cs="Arial"/>
        </w:rPr>
        <w:t>so 2 del artículo 33 de la misma ley.</w:t>
      </w:r>
    </w:p>
    <w:p w14:paraId="3BFAF6CC" w14:textId="77777777" w:rsidR="00B2442D" w:rsidRDefault="00B2442D">
      <w:pPr>
        <w:jc w:val="both"/>
        <w:rPr>
          <w:rFonts w:ascii="Arial" w:hAnsi="Arial" w:cs="Arial"/>
          <w:i/>
        </w:rPr>
      </w:pPr>
    </w:p>
    <w:p w14:paraId="25DABFE9" w14:textId="77777777" w:rsidR="00B2442D" w:rsidRDefault="008A645F">
      <w:pPr>
        <w:jc w:val="both"/>
        <w:rPr>
          <w:rFonts w:ascii="Arial" w:hAnsi="Arial" w:cs="Arial"/>
          <w:i/>
        </w:rPr>
      </w:pPr>
      <w:r>
        <w:rPr>
          <w:rFonts w:ascii="Arial" w:hAnsi="Arial" w:cs="Arial"/>
          <w:i/>
        </w:rPr>
        <w:t>(Art. 3, Decreto 3070 de 1983)</w:t>
      </w:r>
    </w:p>
    <w:p w14:paraId="54011247" w14:textId="77777777" w:rsidR="00B2442D" w:rsidRDefault="00B2442D">
      <w:pPr>
        <w:jc w:val="both"/>
        <w:rPr>
          <w:rFonts w:ascii="Arial" w:hAnsi="Arial" w:cs="Arial"/>
        </w:rPr>
      </w:pPr>
    </w:p>
    <w:p w14:paraId="48271651" w14:textId="77777777" w:rsidR="00B2442D" w:rsidRDefault="008A645F">
      <w:pPr>
        <w:numPr>
          <w:ilvl w:val="0"/>
          <w:numId w:val="178"/>
        </w:numPr>
        <w:ind w:left="0" w:firstLine="0"/>
        <w:contextualSpacing/>
        <w:jc w:val="both"/>
        <w:rPr>
          <w:rFonts w:ascii="Arial" w:hAnsi="Arial" w:cs="Arial"/>
        </w:rPr>
      </w:pPr>
      <w:r>
        <w:rPr>
          <w:rFonts w:ascii="Arial" w:hAnsi="Arial" w:cs="Arial"/>
          <w:b/>
          <w:i/>
        </w:rPr>
        <w:t>Requisitos para la exclusión de ingresos provenientes de exportaciones.</w:t>
      </w:r>
      <w:r>
        <w:rPr>
          <w:rFonts w:ascii="Arial" w:hAnsi="Arial" w:cs="Arial"/>
        </w:rPr>
        <w:t xml:space="preserve"> Para los efectos de excluir de la base gravable los ingresos provenientes de la venta de artículos de producción </w:t>
      </w:r>
      <w:r>
        <w:rPr>
          <w:rFonts w:ascii="Arial" w:hAnsi="Arial" w:cs="Arial"/>
        </w:rPr>
        <w:t>nacional destinados a la exportación a que se refiere el literal b) del numeral 2 del artículo 39 de la Ley 14 de 1983, al contribuyente se le exigirá el formulario único de exportación y una certificación de la respectiva Administración de Aduanas en el s</w:t>
      </w:r>
      <w:r>
        <w:rPr>
          <w:rFonts w:ascii="Arial" w:hAnsi="Arial" w:cs="Arial"/>
        </w:rPr>
        <w:t>entido de que las mercancías incluidas en dicho formulario, para las cuales solicita su exclusión de los ingresos brutos, han salido realmente del país.</w:t>
      </w:r>
    </w:p>
    <w:p w14:paraId="1E900A2E" w14:textId="77777777" w:rsidR="00B2442D" w:rsidRDefault="00B2442D">
      <w:pPr>
        <w:jc w:val="both"/>
        <w:rPr>
          <w:rFonts w:ascii="Arial" w:hAnsi="Arial" w:cs="Arial"/>
          <w:i/>
        </w:rPr>
      </w:pPr>
    </w:p>
    <w:p w14:paraId="16E337A4" w14:textId="77777777" w:rsidR="00B2442D" w:rsidRDefault="008A645F">
      <w:pPr>
        <w:jc w:val="both"/>
        <w:rPr>
          <w:rFonts w:ascii="Arial" w:hAnsi="Arial" w:cs="Arial"/>
          <w:i/>
        </w:rPr>
      </w:pPr>
      <w:r>
        <w:rPr>
          <w:rFonts w:ascii="Arial" w:hAnsi="Arial" w:cs="Arial"/>
          <w:i/>
        </w:rPr>
        <w:t>(Art. 4, Decreto 3070 de 1983)</w:t>
      </w:r>
    </w:p>
    <w:p w14:paraId="25DA5982" w14:textId="77777777" w:rsidR="00B2442D" w:rsidRDefault="00B2442D">
      <w:pPr>
        <w:jc w:val="both"/>
        <w:rPr>
          <w:rFonts w:ascii="Arial" w:hAnsi="Arial" w:cs="Arial"/>
        </w:rPr>
      </w:pPr>
    </w:p>
    <w:p w14:paraId="44A89C47" w14:textId="77777777" w:rsidR="00B2442D" w:rsidRDefault="008A645F">
      <w:pPr>
        <w:numPr>
          <w:ilvl w:val="0"/>
          <w:numId w:val="178"/>
        </w:numPr>
        <w:ind w:left="0" w:firstLine="0"/>
        <w:contextualSpacing/>
        <w:jc w:val="both"/>
        <w:rPr>
          <w:rFonts w:ascii="Arial" w:hAnsi="Arial" w:cs="Arial"/>
        </w:rPr>
      </w:pPr>
      <w:r>
        <w:rPr>
          <w:rFonts w:ascii="Arial" w:hAnsi="Arial" w:cs="Arial"/>
          <w:b/>
          <w:i/>
        </w:rPr>
        <w:t>Requisitos para la exclusión de ingresos por productos cuyo precio est</w:t>
      </w:r>
      <w:r>
        <w:rPr>
          <w:rFonts w:ascii="Arial" w:hAnsi="Arial" w:cs="Arial"/>
          <w:b/>
          <w:i/>
        </w:rPr>
        <w:t>é regulado.</w:t>
      </w:r>
      <w:r>
        <w:rPr>
          <w:rFonts w:ascii="Arial" w:hAnsi="Arial" w:cs="Arial"/>
        </w:rPr>
        <w:t xml:space="preserve"> Para efectos de la exclusión de los ingresos brutos correspondientes al recaudo de impuestos de aquellos productos cuyo precio esté regulado por el Estado de que trata el artículo 33 de la ley que se reglamenta, el contribuyente deberá demostra</w:t>
      </w:r>
      <w:r>
        <w:rPr>
          <w:rFonts w:ascii="Arial" w:hAnsi="Arial" w:cs="Arial"/>
        </w:rPr>
        <w:t>r que tales impuestos fueron incluidos en sus ingresos brutos. Las administraciones municipales regularán la manera de hacer tal demostración.</w:t>
      </w:r>
    </w:p>
    <w:p w14:paraId="138037A6" w14:textId="77777777" w:rsidR="00B2442D" w:rsidRDefault="00B2442D">
      <w:pPr>
        <w:jc w:val="both"/>
        <w:rPr>
          <w:rFonts w:ascii="Arial" w:hAnsi="Arial" w:cs="Arial"/>
          <w:i/>
        </w:rPr>
      </w:pPr>
    </w:p>
    <w:p w14:paraId="38E38557" w14:textId="77777777" w:rsidR="00B2442D" w:rsidRDefault="008A645F">
      <w:pPr>
        <w:jc w:val="both"/>
        <w:rPr>
          <w:rFonts w:ascii="Arial" w:hAnsi="Arial" w:cs="Arial"/>
          <w:i/>
        </w:rPr>
      </w:pPr>
      <w:r>
        <w:rPr>
          <w:rFonts w:ascii="Arial" w:hAnsi="Arial" w:cs="Arial"/>
          <w:i/>
        </w:rPr>
        <w:t>(Art. 5, Decreto 3070 de 1983)</w:t>
      </w:r>
    </w:p>
    <w:p w14:paraId="0B7F30A0" w14:textId="77777777" w:rsidR="00B2442D" w:rsidRDefault="00B2442D">
      <w:pPr>
        <w:jc w:val="both"/>
        <w:rPr>
          <w:rFonts w:ascii="Arial" w:hAnsi="Arial" w:cs="Arial"/>
        </w:rPr>
      </w:pPr>
    </w:p>
    <w:p w14:paraId="297931AF" w14:textId="77777777" w:rsidR="00B2442D" w:rsidRDefault="008A645F">
      <w:pPr>
        <w:numPr>
          <w:ilvl w:val="0"/>
          <w:numId w:val="178"/>
        </w:numPr>
        <w:ind w:left="0" w:firstLine="0"/>
        <w:contextualSpacing/>
        <w:jc w:val="both"/>
        <w:rPr>
          <w:rFonts w:ascii="Arial" w:hAnsi="Arial" w:cs="Arial"/>
        </w:rPr>
      </w:pPr>
      <w:r>
        <w:rPr>
          <w:rFonts w:ascii="Arial" w:hAnsi="Arial" w:cs="Arial"/>
          <w:b/>
          <w:i/>
        </w:rPr>
        <w:t>Requisitos para la operatividad de las prohibiciones</w:t>
      </w:r>
      <w:r>
        <w:rPr>
          <w:rFonts w:ascii="Arial" w:hAnsi="Arial" w:cs="Arial"/>
        </w:rPr>
        <w:t>. Para que las entidades sin</w:t>
      </w:r>
      <w:r>
        <w:rPr>
          <w:rFonts w:ascii="Arial" w:hAnsi="Arial" w:cs="Arial"/>
        </w:rPr>
        <w:t xml:space="preserve"> ánimo de lucro previstas en el literal d) del numeral 2 del artículo 39 de la Ley 14 de 1983 puedan gozar del beneficio a que el mismo se refiere, presentarán a las autoridades locales la respectiva certificación con copia auténtica de sus estatutos.</w:t>
      </w:r>
    </w:p>
    <w:p w14:paraId="2973CBF6" w14:textId="77777777" w:rsidR="00B2442D" w:rsidRDefault="00B2442D">
      <w:pPr>
        <w:jc w:val="both"/>
        <w:rPr>
          <w:rFonts w:ascii="Arial" w:hAnsi="Arial" w:cs="Arial"/>
        </w:rPr>
      </w:pPr>
    </w:p>
    <w:p w14:paraId="5A64577C" w14:textId="77777777" w:rsidR="00B2442D" w:rsidRDefault="008A645F">
      <w:pPr>
        <w:jc w:val="both"/>
        <w:rPr>
          <w:rFonts w:ascii="Arial" w:hAnsi="Arial" w:cs="Arial"/>
          <w:i/>
        </w:rPr>
      </w:pPr>
      <w:r>
        <w:rPr>
          <w:rFonts w:ascii="Arial" w:hAnsi="Arial" w:cs="Arial"/>
          <w:i/>
        </w:rPr>
        <w:t>(Ar</w:t>
      </w:r>
      <w:r>
        <w:rPr>
          <w:rFonts w:ascii="Arial" w:hAnsi="Arial" w:cs="Arial"/>
          <w:i/>
        </w:rPr>
        <w:t>t. 6, Decreto 3070 de 1983, el inciso segundo fue suspendido provisionalmente mediante Providencia del 9 de marzo de 1984, CP Carmelo Martínez Conn)</w:t>
      </w:r>
    </w:p>
    <w:p w14:paraId="567D15F3" w14:textId="77777777" w:rsidR="00B2442D" w:rsidRDefault="00B2442D">
      <w:pPr>
        <w:jc w:val="both"/>
        <w:rPr>
          <w:rFonts w:ascii="Arial" w:hAnsi="Arial" w:cs="Arial"/>
        </w:rPr>
      </w:pPr>
    </w:p>
    <w:p w14:paraId="17BFE651" w14:textId="77777777" w:rsidR="00B2442D" w:rsidRDefault="008A645F">
      <w:pPr>
        <w:numPr>
          <w:ilvl w:val="0"/>
          <w:numId w:val="178"/>
        </w:numPr>
        <w:ind w:left="0" w:firstLine="0"/>
        <w:contextualSpacing/>
        <w:jc w:val="both"/>
        <w:rPr>
          <w:rFonts w:ascii="Arial" w:hAnsi="Arial" w:cs="Arial"/>
        </w:rPr>
      </w:pPr>
      <w:r>
        <w:rPr>
          <w:rFonts w:ascii="Arial" w:hAnsi="Arial" w:cs="Arial"/>
          <w:b/>
          <w:i/>
        </w:rPr>
        <w:t>Deberes formales de los contribuyentes del impuesto de industria y comercio</w:t>
      </w:r>
      <w:r>
        <w:rPr>
          <w:rFonts w:ascii="Arial" w:hAnsi="Arial" w:cs="Arial"/>
        </w:rPr>
        <w:t xml:space="preserve">. Los sujetos del </w:t>
      </w:r>
      <w:r>
        <w:rPr>
          <w:rFonts w:ascii="Arial" w:hAnsi="Arial" w:cs="Arial"/>
        </w:rPr>
        <w:t>impuesto de industria y comercio deberán cumplir las siguientes obligaciones:</w:t>
      </w:r>
    </w:p>
    <w:p w14:paraId="37F37F80" w14:textId="77777777" w:rsidR="00B2442D" w:rsidRDefault="008A645F">
      <w:pPr>
        <w:tabs>
          <w:tab w:val="left" w:pos="9285"/>
        </w:tabs>
        <w:rPr>
          <w:rFonts w:ascii="Arial" w:hAnsi="Arial" w:cs="Arial"/>
        </w:rPr>
      </w:pPr>
      <w:r>
        <w:rPr>
          <w:rFonts w:ascii="Arial" w:hAnsi="Arial" w:cs="Arial"/>
        </w:rPr>
        <w:tab/>
      </w:r>
    </w:p>
    <w:p w14:paraId="136F35AF" w14:textId="77777777" w:rsidR="00B2442D" w:rsidRDefault="008A645F">
      <w:pPr>
        <w:jc w:val="both"/>
        <w:rPr>
          <w:rFonts w:ascii="Arial" w:hAnsi="Arial" w:cs="Arial"/>
        </w:rPr>
      </w:pPr>
      <w:r>
        <w:rPr>
          <w:rFonts w:ascii="Arial" w:hAnsi="Arial" w:cs="Arial"/>
        </w:rPr>
        <w:t>1.</w:t>
      </w:r>
      <w:r>
        <w:rPr>
          <w:rFonts w:ascii="Arial" w:hAnsi="Arial" w:cs="Arial"/>
        </w:rPr>
        <w:tab/>
        <w:t>Registrarse ante las respectivas Secretarías de Hacienda o cuando no existan, ante las Tesorerías Municipales dentro de los treinta (30) días siguientes a la fecha de inicia</w:t>
      </w:r>
      <w:r>
        <w:rPr>
          <w:rFonts w:ascii="Arial" w:hAnsi="Arial" w:cs="Arial"/>
        </w:rPr>
        <w:t>ción de la actividad gravable.</w:t>
      </w:r>
    </w:p>
    <w:p w14:paraId="2C6B286F" w14:textId="77777777" w:rsidR="00B2442D" w:rsidRDefault="008A645F">
      <w:pPr>
        <w:jc w:val="both"/>
        <w:rPr>
          <w:rFonts w:ascii="Arial" w:hAnsi="Arial" w:cs="Arial"/>
        </w:rPr>
      </w:pPr>
      <w:r>
        <w:rPr>
          <w:rFonts w:ascii="Arial" w:hAnsi="Arial" w:cs="Arial"/>
        </w:rPr>
        <w:t>2.</w:t>
      </w:r>
      <w:r>
        <w:rPr>
          <w:rFonts w:ascii="Arial" w:hAnsi="Arial" w:cs="Arial"/>
        </w:rPr>
        <w:tab/>
        <w:t>Presentar anualmente, dentro de los plazos que determinen las respectivas entidades territoriales, una declaración de industria y comercio junto con la liquidación privada del gravamen.</w:t>
      </w:r>
    </w:p>
    <w:p w14:paraId="25FAE419" w14:textId="77777777" w:rsidR="00B2442D" w:rsidRDefault="008A645F">
      <w:pPr>
        <w:jc w:val="both"/>
        <w:rPr>
          <w:rFonts w:ascii="Arial" w:hAnsi="Arial" w:cs="Arial"/>
        </w:rPr>
      </w:pPr>
      <w:r>
        <w:rPr>
          <w:rFonts w:ascii="Arial" w:hAnsi="Arial" w:cs="Arial"/>
        </w:rPr>
        <w:t>3.</w:t>
      </w:r>
      <w:r>
        <w:rPr>
          <w:rFonts w:ascii="Arial" w:hAnsi="Arial" w:cs="Arial"/>
        </w:rPr>
        <w:tab/>
        <w:t>Llevar un sistema contable que se</w:t>
      </w:r>
      <w:r>
        <w:rPr>
          <w:rFonts w:ascii="Arial" w:hAnsi="Arial" w:cs="Arial"/>
        </w:rPr>
        <w:t xml:space="preserve"> ajuste a lo previsto en el Código de Comercio y demás disposiciones vigentes.</w:t>
      </w:r>
    </w:p>
    <w:p w14:paraId="250D4848" w14:textId="77777777" w:rsidR="00B2442D" w:rsidRDefault="008A645F">
      <w:pPr>
        <w:jc w:val="both"/>
        <w:rPr>
          <w:rFonts w:ascii="Arial" w:hAnsi="Arial" w:cs="Arial"/>
        </w:rPr>
      </w:pPr>
      <w:r>
        <w:rPr>
          <w:rFonts w:ascii="Arial" w:hAnsi="Arial" w:cs="Arial"/>
        </w:rPr>
        <w:t>4.</w:t>
      </w:r>
      <w:r>
        <w:rPr>
          <w:rFonts w:ascii="Arial" w:hAnsi="Arial" w:cs="Arial"/>
        </w:rPr>
        <w:tab/>
        <w:t>Efectuar los pagos relativos al impuesto de industria y comercio, dentro de los plazos que se estipulen por parte de cada municipio.</w:t>
      </w:r>
    </w:p>
    <w:p w14:paraId="099ACAA6" w14:textId="77777777" w:rsidR="00B2442D" w:rsidRDefault="008A645F">
      <w:pPr>
        <w:jc w:val="both"/>
        <w:rPr>
          <w:rFonts w:ascii="Arial" w:hAnsi="Arial" w:cs="Arial"/>
        </w:rPr>
      </w:pPr>
      <w:r>
        <w:rPr>
          <w:rFonts w:ascii="Arial" w:hAnsi="Arial" w:cs="Arial"/>
        </w:rPr>
        <w:t>5.</w:t>
      </w:r>
      <w:r>
        <w:rPr>
          <w:rFonts w:ascii="Arial" w:hAnsi="Arial" w:cs="Arial"/>
        </w:rPr>
        <w:tab/>
        <w:t xml:space="preserve">Dentro de los plazos establecidos por </w:t>
      </w:r>
      <w:r>
        <w:rPr>
          <w:rFonts w:ascii="Arial" w:hAnsi="Arial" w:cs="Arial"/>
        </w:rPr>
        <w:t>cada municipio, comunicar a la autoridad competente cualquier novedad que pueda afectar los registros de dicha actividad, y</w:t>
      </w:r>
    </w:p>
    <w:p w14:paraId="125D09A4" w14:textId="77777777" w:rsidR="00B2442D" w:rsidRDefault="008A645F">
      <w:pPr>
        <w:jc w:val="both"/>
        <w:rPr>
          <w:rFonts w:ascii="Arial" w:hAnsi="Arial" w:cs="Arial"/>
        </w:rPr>
      </w:pPr>
      <w:r>
        <w:rPr>
          <w:rFonts w:ascii="Arial" w:hAnsi="Arial" w:cs="Arial"/>
        </w:rPr>
        <w:t>6.</w:t>
      </w:r>
      <w:r>
        <w:rPr>
          <w:rFonts w:ascii="Arial" w:hAnsi="Arial" w:cs="Arial"/>
        </w:rPr>
        <w:tab/>
        <w:t>Las demás que establezcan los Concejos, dentro de los términos de la Ley 14 de 1983 y normas que la adicionen o reglamenten.</w:t>
      </w:r>
    </w:p>
    <w:p w14:paraId="1647890F" w14:textId="77777777" w:rsidR="00B2442D" w:rsidRDefault="00B2442D">
      <w:pPr>
        <w:jc w:val="both"/>
        <w:rPr>
          <w:rFonts w:ascii="Arial" w:hAnsi="Arial" w:cs="Arial"/>
          <w:i/>
        </w:rPr>
      </w:pPr>
    </w:p>
    <w:p w14:paraId="5161CBEE" w14:textId="77777777" w:rsidR="00B2442D" w:rsidRDefault="008A645F">
      <w:pPr>
        <w:jc w:val="both"/>
        <w:rPr>
          <w:rFonts w:ascii="Arial" w:hAnsi="Arial" w:cs="Arial"/>
          <w:i/>
        </w:rPr>
      </w:pPr>
      <w:r>
        <w:rPr>
          <w:rFonts w:ascii="Arial" w:hAnsi="Arial" w:cs="Arial"/>
          <w:i/>
        </w:rPr>
        <w:t>(Ar</w:t>
      </w:r>
      <w:r>
        <w:rPr>
          <w:rFonts w:ascii="Arial" w:hAnsi="Arial" w:cs="Arial"/>
          <w:i/>
        </w:rPr>
        <w:t>t. 7, Decreto 3070 de 1983)</w:t>
      </w:r>
    </w:p>
    <w:p w14:paraId="2FD94E3E" w14:textId="77777777" w:rsidR="00B2442D" w:rsidRDefault="00B2442D">
      <w:pPr>
        <w:jc w:val="both"/>
        <w:rPr>
          <w:rFonts w:ascii="Arial" w:hAnsi="Arial" w:cs="Arial"/>
        </w:rPr>
      </w:pPr>
    </w:p>
    <w:p w14:paraId="3E9B5FC3" w14:textId="77777777" w:rsidR="00B2442D" w:rsidRDefault="008A645F">
      <w:pPr>
        <w:numPr>
          <w:ilvl w:val="0"/>
          <w:numId w:val="178"/>
        </w:numPr>
        <w:ind w:left="0" w:firstLine="0"/>
        <w:contextualSpacing/>
        <w:jc w:val="both"/>
        <w:rPr>
          <w:rFonts w:ascii="Arial" w:hAnsi="Arial" w:cs="Arial"/>
        </w:rPr>
      </w:pPr>
      <w:r>
        <w:rPr>
          <w:rFonts w:ascii="Arial" w:hAnsi="Arial" w:cs="Arial"/>
          <w:b/>
          <w:i/>
        </w:rPr>
        <w:t>Derechos de los contribuyentes del impuesto de industria y comercio.</w:t>
      </w:r>
      <w:r>
        <w:rPr>
          <w:rFonts w:ascii="Arial" w:hAnsi="Arial" w:cs="Arial"/>
        </w:rPr>
        <w:t xml:space="preserve">  Los sujetos del impuesto de industria y comercio tendrán los siguientes derechos:</w:t>
      </w:r>
    </w:p>
    <w:p w14:paraId="69B5A15E" w14:textId="77777777" w:rsidR="00B2442D" w:rsidRDefault="00B2442D">
      <w:pPr>
        <w:jc w:val="both"/>
        <w:rPr>
          <w:rFonts w:ascii="Arial" w:hAnsi="Arial" w:cs="Arial"/>
        </w:rPr>
      </w:pPr>
    </w:p>
    <w:p w14:paraId="77FC71B4" w14:textId="77777777" w:rsidR="00B2442D" w:rsidRDefault="008A645F">
      <w:pPr>
        <w:jc w:val="both"/>
        <w:rPr>
          <w:rFonts w:ascii="Arial" w:hAnsi="Arial" w:cs="Arial"/>
        </w:rPr>
      </w:pPr>
      <w:r>
        <w:rPr>
          <w:rFonts w:ascii="Arial" w:hAnsi="Arial" w:cs="Arial"/>
        </w:rPr>
        <w:t>1.</w:t>
      </w:r>
      <w:r>
        <w:rPr>
          <w:rFonts w:ascii="Arial" w:hAnsi="Arial" w:cs="Arial"/>
        </w:rPr>
        <w:tab/>
        <w:t>Obtener de la Administración todas las informaciones y aclaraciones rel</w:t>
      </w:r>
      <w:r>
        <w:rPr>
          <w:rFonts w:ascii="Arial" w:hAnsi="Arial" w:cs="Arial"/>
        </w:rPr>
        <w:t>ativas al cumplimiento de su obligación de pagar el impuesto de industria y comercio.</w:t>
      </w:r>
    </w:p>
    <w:p w14:paraId="2AA30F70" w14:textId="77777777" w:rsidR="00B2442D" w:rsidRDefault="008A645F">
      <w:pPr>
        <w:jc w:val="both"/>
        <w:rPr>
          <w:rFonts w:ascii="Arial" w:hAnsi="Arial" w:cs="Arial"/>
        </w:rPr>
      </w:pPr>
      <w:r>
        <w:rPr>
          <w:rFonts w:ascii="Arial" w:hAnsi="Arial" w:cs="Arial"/>
        </w:rPr>
        <w:t>2.</w:t>
      </w:r>
      <w:r>
        <w:rPr>
          <w:rFonts w:ascii="Arial" w:hAnsi="Arial" w:cs="Arial"/>
        </w:rPr>
        <w:tab/>
        <w:t>Impugnar por la vía gubernativa los actos de la administración, conforme a los procedimientos establecidos en las disposiciones legales vigentes.</w:t>
      </w:r>
    </w:p>
    <w:p w14:paraId="4C93F7B4" w14:textId="77777777" w:rsidR="00B2442D" w:rsidRDefault="008A645F">
      <w:pPr>
        <w:jc w:val="both"/>
        <w:rPr>
          <w:rFonts w:ascii="Arial" w:hAnsi="Arial" w:cs="Arial"/>
        </w:rPr>
      </w:pPr>
      <w:r>
        <w:rPr>
          <w:rFonts w:ascii="Arial" w:hAnsi="Arial" w:cs="Arial"/>
        </w:rPr>
        <w:t>3.</w:t>
      </w:r>
      <w:r>
        <w:rPr>
          <w:rFonts w:ascii="Arial" w:hAnsi="Arial" w:cs="Arial"/>
        </w:rPr>
        <w:tab/>
        <w:t>Obtener los certif</w:t>
      </w:r>
      <w:r>
        <w:rPr>
          <w:rFonts w:ascii="Arial" w:hAnsi="Arial" w:cs="Arial"/>
        </w:rPr>
        <w:t>icados de paz y salvo que requieran, previo al pago de los derechos correspondientes.</w:t>
      </w:r>
    </w:p>
    <w:p w14:paraId="6392A12F" w14:textId="77777777" w:rsidR="00B2442D" w:rsidRDefault="00B2442D">
      <w:pPr>
        <w:jc w:val="both"/>
        <w:rPr>
          <w:rFonts w:ascii="Arial" w:hAnsi="Arial" w:cs="Arial"/>
          <w:i/>
        </w:rPr>
      </w:pPr>
    </w:p>
    <w:p w14:paraId="0B3E7E64" w14:textId="77777777" w:rsidR="00B2442D" w:rsidRDefault="008A645F">
      <w:pPr>
        <w:jc w:val="both"/>
        <w:rPr>
          <w:rFonts w:ascii="Arial" w:hAnsi="Arial" w:cs="Arial"/>
          <w:i/>
        </w:rPr>
      </w:pPr>
      <w:r>
        <w:rPr>
          <w:rFonts w:ascii="Arial" w:hAnsi="Arial" w:cs="Arial"/>
          <w:i/>
        </w:rPr>
        <w:t>(Art. 8, Decreto 3070 de 1983)</w:t>
      </w:r>
    </w:p>
    <w:p w14:paraId="77836E88" w14:textId="77777777" w:rsidR="00B2442D" w:rsidRDefault="00B2442D">
      <w:pPr>
        <w:jc w:val="both"/>
        <w:rPr>
          <w:rFonts w:ascii="Arial" w:hAnsi="Arial" w:cs="Arial"/>
        </w:rPr>
      </w:pPr>
    </w:p>
    <w:p w14:paraId="08345E0E" w14:textId="77777777" w:rsidR="00B2442D" w:rsidRDefault="008A645F">
      <w:pPr>
        <w:numPr>
          <w:ilvl w:val="0"/>
          <w:numId w:val="178"/>
        </w:numPr>
        <w:ind w:left="0" w:firstLine="0"/>
        <w:contextualSpacing/>
        <w:jc w:val="both"/>
        <w:rPr>
          <w:rFonts w:ascii="Arial" w:hAnsi="Arial" w:cs="Arial"/>
        </w:rPr>
      </w:pPr>
      <w:r>
        <w:rPr>
          <w:rFonts w:ascii="Arial" w:hAnsi="Arial" w:cs="Arial"/>
          <w:b/>
          <w:i/>
        </w:rPr>
        <w:t>Intercambio de información</w:t>
      </w:r>
      <w:r>
        <w:rPr>
          <w:rFonts w:ascii="Arial" w:hAnsi="Arial" w:cs="Arial"/>
        </w:rPr>
        <w:t>. De conformidad con la Ley 1 de 1983, la Dirección de Impuestos y Aduanas Nacionales, a través de sus oficinas</w:t>
      </w:r>
      <w:r>
        <w:rPr>
          <w:rFonts w:ascii="Arial" w:hAnsi="Arial" w:cs="Arial"/>
        </w:rPr>
        <w:t xml:space="preserve"> regionales, suministrará la información que sobre las declaraciones del contribuyente en materia de impuestos de venta y de renta soliciten los municipios a través de sus Secretarios de Hacienda o de quienes hagan sus veces. De igual manera los municipios</w:t>
      </w:r>
      <w:r>
        <w:rPr>
          <w:rFonts w:ascii="Arial" w:hAnsi="Arial" w:cs="Arial"/>
        </w:rPr>
        <w:t xml:space="preserve"> suministrarán la información que requiera la Dirección de Impuestos y Aduanas Nacionales sobre las declaraciones de industria y comercio.</w:t>
      </w:r>
    </w:p>
    <w:p w14:paraId="5C09024C" w14:textId="77777777" w:rsidR="00B2442D" w:rsidRDefault="00B2442D">
      <w:pPr>
        <w:jc w:val="both"/>
        <w:rPr>
          <w:rFonts w:ascii="Arial" w:hAnsi="Arial" w:cs="Arial"/>
          <w:i/>
        </w:rPr>
      </w:pPr>
    </w:p>
    <w:p w14:paraId="60A9F4D3" w14:textId="77777777" w:rsidR="00B2442D" w:rsidRDefault="008A645F">
      <w:pPr>
        <w:jc w:val="both"/>
        <w:rPr>
          <w:rFonts w:ascii="Arial" w:hAnsi="Arial" w:cs="Arial"/>
          <w:i/>
        </w:rPr>
      </w:pPr>
      <w:r>
        <w:rPr>
          <w:rFonts w:ascii="Arial" w:hAnsi="Arial" w:cs="Arial"/>
          <w:i/>
        </w:rPr>
        <w:t>(Art. 9, Decreto 3070 de 1983)</w:t>
      </w:r>
    </w:p>
    <w:p w14:paraId="73222CF9" w14:textId="77777777" w:rsidR="00B2442D" w:rsidRDefault="00B2442D">
      <w:pPr>
        <w:jc w:val="both"/>
        <w:rPr>
          <w:rFonts w:ascii="Arial" w:hAnsi="Arial" w:cs="Arial"/>
        </w:rPr>
      </w:pPr>
    </w:p>
    <w:p w14:paraId="012442FF" w14:textId="77777777" w:rsidR="00B2442D" w:rsidRDefault="008A645F">
      <w:pPr>
        <w:numPr>
          <w:ilvl w:val="0"/>
          <w:numId w:val="178"/>
        </w:numPr>
        <w:ind w:left="0" w:firstLine="0"/>
        <w:contextualSpacing/>
        <w:jc w:val="both"/>
        <w:rPr>
          <w:rFonts w:ascii="Arial" w:hAnsi="Arial" w:cs="Arial"/>
        </w:rPr>
      </w:pPr>
      <w:r>
        <w:rPr>
          <w:rFonts w:ascii="Arial" w:hAnsi="Arial" w:cs="Arial"/>
          <w:b/>
          <w:i/>
        </w:rPr>
        <w:t xml:space="preserve">Campo de aplicación del impuesto de avisos y tableros. </w:t>
      </w:r>
      <w:r>
        <w:rPr>
          <w:rFonts w:ascii="Arial" w:hAnsi="Arial" w:cs="Arial"/>
        </w:rPr>
        <w:t>El impuesto de avisos y table</w:t>
      </w:r>
      <w:r>
        <w:rPr>
          <w:rFonts w:ascii="Arial" w:hAnsi="Arial" w:cs="Arial"/>
        </w:rPr>
        <w:t>ros de que trata el artículo 37 de la Ley 14 de 1983 se aplica a toda modalidad de aviso, valla y comunicación al público.</w:t>
      </w:r>
    </w:p>
    <w:p w14:paraId="672AF1E6" w14:textId="77777777" w:rsidR="00B2442D" w:rsidRDefault="00B2442D">
      <w:pPr>
        <w:jc w:val="both"/>
        <w:rPr>
          <w:rFonts w:ascii="Arial" w:hAnsi="Arial" w:cs="Arial"/>
        </w:rPr>
      </w:pPr>
    </w:p>
    <w:p w14:paraId="758EE669" w14:textId="77777777" w:rsidR="00B2442D" w:rsidRDefault="008A645F">
      <w:pPr>
        <w:jc w:val="both"/>
        <w:rPr>
          <w:rFonts w:ascii="Arial" w:hAnsi="Arial" w:cs="Arial"/>
        </w:rPr>
      </w:pPr>
      <w:r>
        <w:rPr>
          <w:rFonts w:ascii="Arial" w:hAnsi="Arial" w:cs="Arial"/>
        </w:rPr>
        <w:t>Este impuesto será el único gravamen municipal para los avisos del contribuyente; lo anterior sin perjuicio del impuesto de industri</w:t>
      </w:r>
      <w:r>
        <w:rPr>
          <w:rFonts w:ascii="Arial" w:hAnsi="Arial" w:cs="Arial"/>
        </w:rPr>
        <w:t>a y comercio que deben tributar las agencias de publicidad por su actividad. Las respectivas entidades territoriales determinarán a través de sus oficinas competentes, los lugares, dimensión, calidad, número y demás requisitos de los avisos.</w:t>
      </w:r>
    </w:p>
    <w:p w14:paraId="062A37FE" w14:textId="77777777" w:rsidR="00B2442D" w:rsidRDefault="00B2442D">
      <w:pPr>
        <w:jc w:val="both"/>
        <w:rPr>
          <w:rFonts w:ascii="Arial" w:hAnsi="Arial" w:cs="Arial"/>
          <w:i/>
        </w:rPr>
      </w:pPr>
    </w:p>
    <w:p w14:paraId="1CB2C9D7" w14:textId="77777777" w:rsidR="00B2442D" w:rsidRDefault="008A645F">
      <w:pPr>
        <w:jc w:val="both"/>
        <w:rPr>
          <w:rFonts w:ascii="Arial" w:hAnsi="Arial" w:cs="Arial"/>
          <w:i/>
        </w:rPr>
      </w:pPr>
      <w:r>
        <w:rPr>
          <w:rFonts w:ascii="Arial" w:hAnsi="Arial" w:cs="Arial"/>
          <w:i/>
        </w:rPr>
        <w:t xml:space="preserve">(Art. 10, </w:t>
      </w:r>
      <w:r>
        <w:rPr>
          <w:rFonts w:ascii="Arial" w:hAnsi="Arial" w:cs="Arial"/>
          <w:i/>
        </w:rPr>
        <w:t>Decreto 3070 de 1983)</w:t>
      </w:r>
    </w:p>
    <w:p w14:paraId="11F60A49" w14:textId="77777777" w:rsidR="00B2442D" w:rsidRDefault="00B2442D">
      <w:pPr>
        <w:jc w:val="both"/>
        <w:rPr>
          <w:rFonts w:ascii="Arial" w:hAnsi="Arial" w:cs="Arial"/>
        </w:rPr>
      </w:pPr>
    </w:p>
    <w:p w14:paraId="26F54972" w14:textId="77777777" w:rsidR="00B2442D" w:rsidRDefault="00B2442D">
      <w:pPr>
        <w:jc w:val="both"/>
        <w:rPr>
          <w:rFonts w:ascii="Arial" w:hAnsi="Arial" w:cs="Arial"/>
        </w:rPr>
      </w:pPr>
    </w:p>
    <w:p w14:paraId="2B0F535C" w14:textId="77777777" w:rsidR="00B2442D" w:rsidRDefault="008A645F">
      <w:pPr>
        <w:jc w:val="center"/>
        <w:outlineLvl w:val="2"/>
        <w:rPr>
          <w:rFonts w:ascii="Arial" w:hAnsi="Arial" w:cs="Arial"/>
          <w:b/>
        </w:rPr>
      </w:pPr>
      <w:bookmarkStart w:id="67" w:name="_Toc479171219"/>
      <w:r>
        <w:rPr>
          <w:rFonts w:ascii="Arial" w:hAnsi="Arial" w:cs="Arial"/>
          <w:b/>
        </w:rPr>
        <w:t>TÍTULO 2.</w:t>
      </w:r>
      <w:bookmarkEnd w:id="67"/>
    </w:p>
    <w:p w14:paraId="05FDCC10" w14:textId="77777777" w:rsidR="00B2442D" w:rsidRDefault="008A645F">
      <w:pPr>
        <w:jc w:val="center"/>
        <w:outlineLvl w:val="2"/>
        <w:rPr>
          <w:rFonts w:ascii="Arial" w:hAnsi="Arial" w:cs="Arial"/>
          <w:b/>
        </w:rPr>
      </w:pPr>
      <w:bookmarkStart w:id="68" w:name="_Toc479171220"/>
      <w:r>
        <w:rPr>
          <w:rFonts w:ascii="Arial" w:hAnsi="Arial" w:cs="Arial"/>
          <w:b/>
        </w:rPr>
        <w:t>Impuesto Predial</w:t>
      </w:r>
      <w:bookmarkEnd w:id="68"/>
    </w:p>
    <w:p w14:paraId="748A3AE8" w14:textId="77777777" w:rsidR="00B2442D" w:rsidRDefault="00B2442D">
      <w:pPr>
        <w:jc w:val="both"/>
        <w:rPr>
          <w:rFonts w:ascii="Arial" w:hAnsi="Arial" w:cs="Arial"/>
        </w:rPr>
      </w:pPr>
    </w:p>
    <w:p w14:paraId="7602BFDA" w14:textId="77777777" w:rsidR="00B2442D" w:rsidRDefault="008A645F">
      <w:pPr>
        <w:numPr>
          <w:ilvl w:val="0"/>
          <w:numId w:val="179"/>
        </w:numPr>
        <w:ind w:left="0" w:firstLine="0"/>
        <w:contextualSpacing/>
        <w:jc w:val="both"/>
        <w:rPr>
          <w:rFonts w:ascii="Arial" w:hAnsi="Arial" w:cs="Arial"/>
        </w:rPr>
      </w:pPr>
      <w:r>
        <w:rPr>
          <w:rFonts w:ascii="Arial" w:hAnsi="Arial" w:cs="Arial"/>
          <w:b/>
          <w:i/>
        </w:rPr>
        <w:t>Conformación del impuesto predial unificado.</w:t>
      </w:r>
      <w:r>
        <w:rPr>
          <w:rFonts w:ascii="Arial" w:hAnsi="Arial" w:cs="Arial"/>
        </w:rPr>
        <w:t xml:space="preserve"> El impuesto predial unificado de que trata el artículo 1° de la Ley 44 de 1990 está conformado por los impuestos predial, parques y arborización, estratificación socio - económica y la sobretasa de levantamiento catastral.</w:t>
      </w:r>
    </w:p>
    <w:p w14:paraId="62870BD9" w14:textId="77777777" w:rsidR="00B2442D" w:rsidRDefault="00B2442D">
      <w:pPr>
        <w:jc w:val="both"/>
        <w:rPr>
          <w:rFonts w:ascii="Arial" w:hAnsi="Arial" w:cs="Arial"/>
        </w:rPr>
      </w:pPr>
    </w:p>
    <w:p w14:paraId="71DE7532" w14:textId="77777777" w:rsidR="00B2442D" w:rsidRDefault="008A645F">
      <w:pPr>
        <w:jc w:val="both"/>
        <w:rPr>
          <w:rFonts w:ascii="Arial" w:hAnsi="Arial" w:cs="Arial"/>
        </w:rPr>
      </w:pPr>
      <w:r>
        <w:rPr>
          <w:rFonts w:ascii="Arial" w:hAnsi="Arial" w:cs="Arial"/>
        </w:rPr>
        <w:t xml:space="preserve">Para el cobro de este impuesto </w:t>
      </w:r>
      <w:r>
        <w:rPr>
          <w:rFonts w:ascii="Arial" w:hAnsi="Arial" w:cs="Arial"/>
        </w:rPr>
        <w:t>se requiere que el respectivo Concejo Municipal o Distrital haya fijado, mediante Acuerdo, las tarifas correspondientes antes de la iniciación del año al cual corresponda el cobro.</w:t>
      </w:r>
    </w:p>
    <w:p w14:paraId="7E42F88B" w14:textId="77777777" w:rsidR="00B2442D" w:rsidRDefault="00B2442D">
      <w:pPr>
        <w:jc w:val="both"/>
        <w:rPr>
          <w:rFonts w:ascii="Arial" w:hAnsi="Arial" w:cs="Arial"/>
          <w:i/>
        </w:rPr>
      </w:pPr>
    </w:p>
    <w:p w14:paraId="6A45F696" w14:textId="77777777" w:rsidR="00B2442D" w:rsidRDefault="008A645F">
      <w:pPr>
        <w:jc w:val="both"/>
        <w:rPr>
          <w:rFonts w:ascii="Arial" w:hAnsi="Arial" w:cs="Arial"/>
          <w:i/>
        </w:rPr>
      </w:pPr>
      <w:r>
        <w:rPr>
          <w:rFonts w:ascii="Arial" w:hAnsi="Arial" w:cs="Arial"/>
          <w:i/>
        </w:rPr>
        <w:t>(Art. 1, Decreto 2388 de 1991)</w:t>
      </w:r>
    </w:p>
    <w:p w14:paraId="1911CFB5" w14:textId="77777777" w:rsidR="00B2442D" w:rsidRDefault="00B2442D">
      <w:pPr>
        <w:jc w:val="both"/>
        <w:rPr>
          <w:rFonts w:ascii="Arial" w:hAnsi="Arial" w:cs="Arial"/>
          <w:b/>
        </w:rPr>
      </w:pPr>
    </w:p>
    <w:p w14:paraId="5B5A05DB" w14:textId="77777777" w:rsidR="00B2442D" w:rsidRDefault="008A645F">
      <w:pPr>
        <w:numPr>
          <w:ilvl w:val="0"/>
          <w:numId w:val="179"/>
        </w:numPr>
        <w:ind w:left="0" w:firstLine="0"/>
        <w:contextualSpacing/>
        <w:jc w:val="both"/>
        <w:rPr>
          <w:rFonts w:ascii="Arial" w:hAnsi="Arial" w:cs="Arial"/>
        </w:rPr>
      </w:pPr>
      <w:r>
        <w:rPr>
          <w:rFonts w:ascii="Arial" w:hAnsi="Arial" w:cs="Arial"/>
          <w:b/>
          <w:i/>
        </w:rPr>
        <w:t xml:space="preserve">Criterios para la fijación de tarifas del </w:t>
      </w:r>
      <w:r>
        <w:rPr>
          <w:rFonts w:ascii="Arial" w:hAnsi="Arial" w:cs="Arial"/>
          <w:b/>
          <w:i/>
        </w:rPr>
        <w:t>impuesto predial unificado</w:t>
      </w:r>
      <w:r>
        <w:rPr>
          <w:rFonts w:ascii="Arial" w:hAnsi="Arial" w:cs="Arial"/>
        </w:rPr>
        <w:t>. Para el cobro del impuesto predial unificado correspondiente a los años de 1992 y posteriores, el respectivo Concejo Municipal o Distrital, deberá fijar tarifas diferenciales y progresivas teniendo en cuenta los criterios establ</w:t>
      </w:r>
      <w:r>
        <w:rPr>
          <w:rFonts w:ascii="Arial" w:hAnsi="Arial" w:cs="Arial"/>
        </w:rPr>
        <w:t>ecidos por el artículo 4° de la Ley 44 de 1990, modificado el artículo 23 de la Ley 1450 de 2011 o las normas que la modifiquen, adicionen o sustituyan.</w:t>
      </w:r>
    </w:p>
    <w:p w14:paraId="279F77C1" w14:textId="77777777" w:rsidR="00B2442D" w:rsidRDefault="00B2442D">
      <w:pPr>
        <w:jc w:val="both"/>
        <w:rPr>
          <w:rFonts w:ascii="Arial" w:hAnsi="Arial" w:cs="Arial"/>
          <w:i/>
        </w:rPr>
      </w:pPr>
    </w:p>
    <w:p w14:paraId="2BC1EEBF" w14:textId="77777777" w:rsidR="00B2442D" w:rsidRDefault="008A645F">
      <w:pPr>
        <w:jc w:val="both"/>
        <w:rPr>
          <w:rFonts w:ascii="Arial" w:hAnsi="Arial" w:cs="Arial"/>
          <w:i/>
        </w:rPr>
      </w:pPr>
      <w:r>
        <w:rPr>
          <w:rFonts w:ascii="Arial" w:hAnsi="Arial" w:cs="Arial"/>
          <w:i/>
        </w:rPr>
        <w:t>(Art. 3, Decreto 2388 de 1991, modificado tácitamente por el Art. 4 de la Ley 44 de 1990, modificado e</w:t>
      </w:r>
      <w:r>
        <w:rPr>
          <w:rFonts w:ascii="Arial" w:hAnsi="Arial" w:cs="Arial"/>
          <w:i/>
        </w:rPr>
        <w:t>l Art. 23 de la Ley 1450 de 2011)</w:t>
      </w:r>
    </w:p>
    <w:p w14:paraId="49F0E1BD" w14:textId="77777777" w:rsidR="00B2442D" w:rsidRDefault="00B2442D">
      <w:pPr>
        <w:jc w:val="both"/>
        <w:rPr>
          <w:rFonts w:ascii="Arial" w:hAnsi="Arial" w:cs="Arial"/>
        </w:rPr>
      </w:pPr>
    </w:p>
    <w:p w14:paraId="3910ED06" w14:textId="77777777" w:rsidR="00B2442D" w:rsidRDefault="008A645F">
      <w:pPr>
        <w:numPr>
          <w:ilvl w:val="0"/>
          <w:numId w:val="179"/>
        </w:numPr>
        <w:ind w:left="0" w:firstLine="0"/>
        <w:contextualSpacing/>
        <w:jc w:val="both"/>
        <w:rPr>
          <w:rFonts w:ascii="Arial" w:hAnsi="Arial" w:cs="Arial"/>
        </w:rPr>
      </w:pPr>
      <w:r>
        <w:rPr>
          <w:rFonts w:ascii="Arial" w:hAnsi="Arial" w:cs="Arial"/>
        </w:rPr>
        <w:t xml:space="preserve"> </w:t>
      </w:r>
      <w:r>
        <w:rPr>
          <w:rFonts w:ascii="Arial" w:hAnsi="Arial" w:cs="Arial"/>
          <w:b/>
          <w:i/>
        </w:rPr>
        <w:t>Límite al</w:t>
      </w:r>
      <w:r>
        <w:rPr>
          <w:rFonts w:ascii="Arial" w:hAnsi="Arial" w:cs="Arial"/>
        </w:rPr>
        <w:t xml:space="preserve"> </w:t>
      </w:r>
      <w:r>
        <w:rPr>
          <w:rFonts w:ascii="Arial" w:hAnsi="Arial" w:cs="Arial"/>
          <w:b/>
          <w:i/>
        </w:rPr>
        <w:t>impuesto predial unificado</w:t>
      </w:r>
      <w:r>
        <w:rPr>
          <w:rFonts w:ascii="Arial" w:hAnsi="Arial" w:cs="Arial"/>
        </w:rPr>
        <w:t xml:space="preserve">.  El impuesto predial unificado con los diferentes conceptos que lo integran, que se liquide con base en el nuevo avalúo de la formación catastral, realizado conforme a los artículos </w:t>
      </w:r>
      <w:r>
        <w:rPr>
          <w:rFonts w:ascii="Arial" w:hAnsi="Arial" w:cs="Arial"/>
        </w:rPr>
        <w:t xml:space="preserve">5° de la Ley 14 de 1983 y 175 del Decreto 1333 de 1986, no podrá exceder del doble del monto liquidado por el mismo concepto o conceptos en el año inmediatamente anterior.   </w:t>
      </w:r>
    </w:p>
    <w:p w14:paraId="5961BF18" w14:textId="77777777" w:rsidR="00B2442D" w:rsidRDefault="00B2442D">
      <w:pPr>
        <w:jc w:val="both"/>
        <w:rPr>
          <w:rFonts w:ascii="Arial" w:hAnsi="Arial" w:cs="Arial"/>
        </w:rPr>
      </w:pPr>
    </w:p>
    <w:p w14:paraId="15ECD33D" w14:textId="77777777" w:rsidR="00B2442D" w:rsidRDefault="008A645F">
      <w:pPr>
        <w:jc w:val="both"/>
        <w:rPr>
          <w:rFonts w:ascii="Arial" w:hAnsi="Arial" w:cs="Arial"/>
        </w:rPr>
      </w:pPr>
      <w:r>
        <w:rPr>
          <w:rFonts w:ascii="Arial" w:hAnsi="Arial" w:cs="Arial"/>
        </w:rPr>
        <w:t xml:space="preserve">El límite de que trata el inciso anterior no se aplicará a: </w:t>
      </w:r>
    </w:p>
    <w:p w14:paraId="397084A2" w14:textId="77777777" w:rsidR="00B2442D" w:rsidRDefault="00B2442D">
      <w:pPr>
        <w:jc w:val="both"/>
        <w:rPr>
          <w:rFonts w:ascii="Arial" w:hAnsi="Arial" w:cs="Arial"/>
        </w:rPr>
      </w:pPr>
    </w:p>
    <w:p w14:paraId="2C9CFA8B" w14:textId="77777777" w:rsidR="00B2442D" w:rsidRDefault="008A645F">
      <w:pPr>
        <w:jc w:val="both"/>
        <w:rPr>
          <w:rFonts w:ascii="Arial" w:hAnsi="Arial" w:cs="Arial"/>
        </w:rPr>
      </w:pPr>
      <w:r>
        <w:rPr>
          <w:rFonts w:ascii="Arial" w:hAnsi="Arial" w:cs="Arial"/>
        </w:rPr>
        <w:t>1. Los predios que</w:t>
      </w:r>
      <w:r>
        <w:rPr>
          <w:rFonts w:ascii="Arial" w:hAnsi="Arial" w:cs="Arial"/>
        </w:rPr>
        <w:t xml:space="preserve"> se incorporen por primera vez al catastro. </w:t>
      </w:r>
    </w:p>
    <w:p w14:paraId="1D44691C" w14:textId="77777777" w:rsidR="00B2442D" w:rsidRDefault="008A645F">
      <w:pPr>
        <w:jc w:val="both"/>
        <w:rPr>
          <w:rFonts w:ascii="Arial" w:hAnsi="Arial" w:cs="Arial"/>
        </w:rPr>
      </w:pPr>
      <w:r>
        <w:rPr>
          <w:rFonts w:ascii="Arial" w:hAnsi="Arial" w:cs="Arial"/>
        </w:rPr>
        <w:t xml:space="preserve">2. Los terrenos urbanizables no urbanizados, o urbanizados no edificados. </w:t>
      </w:r>
    </w:p>
    <w:p w14:paraId="64811D01" w14:textId="77777777" w:rsidR="00B2442D" w:rsidRDefault="008A645F">
      <w:pPr>
        <w:jc w:val="both"/>
        <w:rPr>
          <w:rFonts w:ascii="Arial" w:hAnsi="Arial" w:cs="Arial"/>
        </w:rPr>
      </w:pPr>
      <w:r>
        <w:rPr>
          <w:rFonts w:ascii="Arial" w:hAnsi="Arial" w:cs="Arial"/>
        </w:rPr>
        <w:t>3. Los predios que figuraban como lotes no construidos cuyo nuevo avalúo se origine por la construcción o edificación en él realizada.</w:t>
      </w:r>
    </w:p>
    <w:p w14:paraId="4842944B" w14:textId="77777777" w:rsidR="00B2442D" w:rsidRDefault="00B2442D">
      <w:pPr>
        <w:jc w:val="both"/>
        <w:rPr>
          <w:rFonts w:ascii="Arial" w:hAnsi="Arial" w:cs="Arial"/>
          <w:i/>
        </w:rPr>
      </w:pPr>
    </w:p>
    <w:p w14:paraId="3D3FCE6C" w14:textId="77777777" w:rsidR="00B2442D" w:rsidRDefault="008A645F">
      <w:pPr>
        <w:jc w:val="both"/>
        <w:rPr>
          <w:rFonts w:ascii="Arial" w:hAnsi="Arial" w:cs="Arial"/>
          <w:i/>
        </w:rPr>
      </w:pPr>
      <w:r>
        <w:rPr>
          <w:rFonts w:ascii="Arial" w:hAnsi="Arial" w:cs="Arial"/>
          <w:i/>
        </w:rPr>
        <w:t>(Art. 4, Decreto 2388 de 1991)</w:t>
      </w:r>
    </w:p>
    <w:p w14:paraId="53DEE285" w14:textId="77777777" w:rsidR="00B2442D" w:rsidRDefault="00B2442D">
      <w:pPr>
        <w:jc w:val="both"/>
        <w:rPr>
          <w:rFonts w:ascii="Arial" w:hAnsi="Arial" w:cs="Arial"/>
        </w:rPr>
      </w:pPr>
    </w:p>
    <w:p w14:paraId="28A4E7A0" w14:textId="77777777" w:rsidR="00B2442D" w:rsidRDefault="008A645F">
      <w:pPr>
        <w:numPr>
          <w:ilvl w:val="0"/>
          <w:numId w:val="179"/>
        </w:numPr>
        <w:ind w:left="0" w:firstLine="0"/>
        <w:contextualSpacing/>
        <w:jc w:val="both"/>
        <w:rPr>
          <w:rFonts w:ascii="Arial" w:hAnsi="Arial" w:cs="Arial"/>
        </w:rPr>
      </w:pPr>
      <w:r>
        <w:rPr>
          <w:rFonts w:ascii="Arial" w:hAnsi="Arial" w:cs="Arial"/>
          <w:b/>
          <w:i/>
        </w:rPr>
        <w:t>Aplicabilidad del Ajuste anual de la base del impuesto predial unificado</w:t>
      </w:r>
      <w:r>
        <w:rPr>
          <w:rFonts w:ascii="Arial" w:hAnsi="Arial" w:cs="Arial"/>
        </w:rPr>
        <w:t xml:space="preserve">. El ajuste de que trata el artículo 8° de la Ley 44 de 1990 no se aplicará para el año en que entren en vigencia el avalúo catastral de que </w:t>
      </w:r>
      <w:r>
        <w:rPr>
          <w:rFonts w:ascii="Arial" w:hAnsi="Arial" w:cs="Arial"/>
        </w:rPr>
        <w:t>tratan los artículos 5° de la Ley 14 de 1983 y 175 del Decreto 1333 de 1986.</w:t>
      </w:r>
    </w:p>
    <w:p w14:paraId="5956C0C3" w14:textId="77777777" w:rsidR="00B2442D" w:rsidRDefault="00B2442D">
      <w:pPr>
        <w:jc w:val="both"/>
        <w:rPr>
          <w:rFonts w:ascii="Arial" w:hAnsi="Arial" w:cs="Arial"/>
          <w:i/>
        </w:rPr>
      </w:pPr>
    </w:p>
    <w:p w14:paraId="702DD84C" w14:textId="77777777" w:rsidR="00B2442D" w:rsidRDefault="008A645F">
      <w:pPr>
        <w:jc w:val="both"/>
        <w:rPr>
          <w:rFonts w:ascii="Arial" w:hAnsi="Arial" w:cs="Arial"/>
          <w:i/>
        </w:rPr>
      </w:pPr>
      <w:r>
        <w:rPr>
          <w:rFonts w:ascii="Arial" w:hAnsi="Arial" w:cs="Arial"/>
          <w:i/>
        </w:rPr>
        <w:t>(Art. 5, Decreto 2388 de 1991)</w:t>
      </w:r>
    </w:p>
    <w:p w14:paraId="29CFC52F" w14:textId="77777777" w:rsidR="00B2442D" w:rsidRDefault="00B2442D">
      <w:pPr>
        <w:jc w:val="both"/>
        <w:rPr>
          <w:rFonts w:ascii="Arial" w:hAnsi="Arial" w:cs="Arial"/>
          <w:b/>
        </w:rPr>
      </w:pPr>
    </w:p>
    <w:p w14:paraId="22CC735E" w14:textId="77777777" w:rsidR="00B2442D" w:rsidRDefault="008A645F">
      <w:pPr>
        <w:numPr>
          <w:ilvl w:val="0"/>
          <w:numId w:val="179"/>
        </w:numPr>
        <w:ind w:left="0" w:firstLine="0"/>
        <w:contextualSpacing/>
        <w:jc w:val="both"/>
        <w:rPr>
          <w:rFonts w:ascii="Arial" w:hAnsi="Arial" w:cs="Arial"/>
        </w:rPr>
      </w:pPr>
      <w:r>
        <w:rPr>
          <w:rFonts w:ascii="Arial" w:hAnsi="Arial" w:cs="Arial"/>
          <w:b/>
          <w:i/>
        </w:rPr>
        <w:t>Aplicabilidad del avalúo catastral.</w:t>
      </w:r>
      <w:r>
        <w:rPr>
          <w:rFonts w:ascii="Arial" w:hAnsi="Arial" w:cs="Arial"/>
        </w:rPr>
        <w:t xml:space="preserve"> Los avalúos catastrales determinados de conformidad con los artículos 19 de la Ley 14 de 1983 y 187 del Decret</w:t>
      </w:r>
      <w:r>
        <w:rPr>
          <w:rFonts w:ascii="Arial" w:hAnsi="Arial" w:cs="Arial"/>
        </w:rPr>
        <w:t>o 1333 de 1986, se aplicarán a las vigencias respectivas.</w:t>
      </w:r>
    </w:p>
    <w:p w14:paraId="1872A814" w14:textId="77777777" w:rsidR="00B2442D" w:rsidRDefault="00B2442D">
      <w:pPr>
        <w:jc w:val="both"/>
        <w:rPr>
          <w:rFonts w:ascii="Arial" w:hAnsi="Arial" w:cs="Arial"/>
          <w:i/>
        </w:rPr>
      </w:pPr>
    </w:p>
    <w:p w14:paraId="01A6D352" w14:textId="77777777" w:rsidR="00B2442D" w:rsidRDefault="008A645F">
      <w:pPr>
        <w:jc w:val="both"/>
        <w:rPr>
          <w:rFonts w:ascii="Arial" w:hAnsi="Arial" w:cs="Arial"/>
          <w:i/>
        </w:rPr>
      </w:pPr>
      <w:r>
        <w:rPr>
          <w:rFonts w:ascii="Arial" w:hAnsi="Arial" w:cs="Arial"/>
          <w:i/>
        </w:rPr>
        <w:t>(Art. 6, Decreto 2388 de 1991)</w:t>
      </w:r>
    </w:p>
    <w:p w14:paraId="7805B246" w14:textId="77777777" w:rsidR="00B2442D" w:rsidRDefault="00B2442D">
      <w:pPr>
        <w:jc w:val="both"/>
        <w:rPr>
          <w:rFonts w:ascii="Arial" w:hAnsi="Arial" w:cs="Arial"/>
        </w:rPr>
      </w:pPr>
    </w:p>
    <w:p w14:paraId="0D951E32" w14:textId="77777777" w:rsidR="00B2442D" w:rsidRDefault="008A645F">
      <w:pPr>
        <w:numPr>
          <w:ilvl w:val="0"/>
          <w:numId w:val="179"/>
        </w:numPr>
        <w:ind w:left="0" w:firstLine="0"/>
        <w:contextualSpacing/>
        <w:jc w:val="both"/>
        <w:rPr>
          <w:rFonts w:ascii="Arial" w:hAnsi="Arial" w:cs="Arial"/>
        </w:rPr>
      </w:pPr>
      <w:r>
        <w:rPr>
          <w:rFonts w:ascii="Arial" w:hAnsi="Arial" w:cs="Arial"/>
          <w:b/>
          <w:i/>
        </w:rPr>
        <w:t>Determinación del impuesto predial unificado para los resguardos indígenas.</w:t>
      </w:r>
      <w:r>
        <w:rPr>
          <w:rFonts w:ascii="Arial" w:hAnsi="Arial" w:cs="Arial"/>
        </w:rPr>
        <w:t xml:space="preserve"> Para efectos de la asignación y giro de los recursos de que trata el artículo 24 de la Le</w:t>
      </w:r>
      <w:r>
        <w:rPr>
          <w:rFonts w:ascii="Arial" w:hAnsi="Arial" w:cs="Arial"/>
        </w:rPr>
        <w:t>y 44 de 1990, modificado por el artículo 184 de la Ley 223 de 1995, la base para calcular el impuesto predial unificado que dejen de recaudar, o no hayan recaudado los municipios donde existen resguardos indígenas será el valor de los avalúos catastrales d</w:t>
      </w:r>
      <w:r>
        <w:rPr>
          <w:rFonts w:ascii="Arial" w:hAnsi="Arial" w:cs="Arial"/>
        </w:rPr>
        <w:t>e los predios propiedad de los resguardos indígenas, certificados por el Instituto Geográfico Agustín Codazzi o la entidad catastral competente.</w:t>
      </w:r>
    </w:p>
    <w:p w14:paraId="2CB41F6F" w14:textId="77777777" w:rsidR="00B2442D" w:rsidRDefault="00B2442D">
      <w:pPr>
        <w:jc w:val="both"/>
        <w:rPr>
          <w:rFonts w:ascii="Arial" w:hAnsi="Arial" w:cs="Arial"/>
          <w:i/>
        </w:rPr>
      </w:pPr>
    </w:p>
    <w:p w14:paraId="1526B2CE" w14:textId="77777777" w:rsidR="00B2442D" w:rsidRDefault="008A645F">
      <w:pPr>
        <w:jc w:val="both"/>
        <w:rPr>
          <w:rFonts w:ascii="Arial" w:hAnsi="Arial" w:cs="Arial"/>
          <w:i/>
        </w:rPr>
      </w:pPr>
      <w:r>
        <w:rPr>
          <w:rFonts w:ascii="Arial" w:hAnsi="Arial" w:cs="Arial"/>
          <w:i/>
        </w:rPr>
        <w:t>(Art. 8, Decreto 2388 de 1991, modificado por Parágrafo 1° del Art. 23 de la Ley 1450 de 2011)</w:t>
      </w:r>
    </w:p>
    <w:p w14:paraId="08A63546" w14:textId="77777777" w:rsidR="00B2442D" w:rsidRDefault="00B2442D">
      <w:pPr>
        <w:jc w:val="both"/>
        <w:rPr>
          <w:rFonts w:ascii="Arial" w:hAnsi="Arial" w:cs="Arial"/>
          <w:i/>
        </w:rPr>
      </w:pPr>
    </w:p>
    <w:p w14:paraId="6B5666E3" w14:textId="77777777" w:rsidR="00B2442D" w:rsidRDefault="00B2442D">
      <w:pPr>
        <w:jc w:val="both"/>
        <w:rPr>
          <w:rFonts w:ascii="Arial" w:hAnsi="Arial" w:cs="Arial"/>
        </w:rPr>
      </w:pPr>
    </w:p>
    <w:p w14:paraId="6CB615F6" w14:textId="77777777" w:rsidR="00B2442D" w:rsidRDefault="008A645F">
      <w:pPr>
        <w:numPr>
          <w:ilvl w:val="0"/>
          <w:numId w:val="179"/>
        </w:numPr>
        <w:ind w:left="0" w:firstLine="0"/>
        <w:contextualSpacing/>
        <w:jc w:val="both"/>
        <w:rPr>
          <w:rFonts w:ascii="Arial" w:hAnsi="Arial" w:cs="Arial"/>
        </w:rPr>
      </w:pPr>
      <w:r>
        <w:rPr>
          <w:rFonts w:ascii="Arial" w:hAnsi="Arial" w:cs="Arial"/>
          <w:b/>
          <w:i/>
        </w:rPr>
        <w:t>Avalúo catast</w:t>
      </w:r>
      <w:r>
        <w:rPr>
          <w:rFonts w:ascii="Arial" w:hAnsi="Arial" w:cs="Arial"/>
          <w:b/>
          <w:i/>
        </w:rPr>
        <w:t>ral de los resguardos indígenas.</w:t>
      </w:r>
      <w:r>
        <w:rPr>
          <w:rFonts w:ascii="Arial" w:hAnsi="Arial" w:cs="Arial"/>
        </w:rPr>
        <w:t xml:space="preserve"> Para efectos de lo establecido en el artículo 4° de la Ley 12 de 1986, y artículos 24 y 25 de la Ley 44 de 1990, la División de Asuntos Indígenas del Ministerio del Interior, o la entidad que haga sus veces, indicará al Ins</w:t>
      </w:r>
      <w:r>
        <w:rPr>
          <w:rFonts w:ascii="Arial" w:hAnsi="Arial" w:cs="Arial"/>
        </w:rPr>
        <w:t>tituto Geográfico Agustín Codazzi los límites de los resguardos indígenas conforme aparecen en los títulos o documentos pertinentes y certificará en qué municipio existe cada uno de éstos. El Instituto Geográfico Agustín Codazzi o la entidad catastral comp</w:t>
      </w:r>
      <w:r>
        <w:rPr>
          <w:rFonts w:ascii="Arial" w:hAnsi="Arial" w:cs="Arial"/>
        </w:rPr>
        <w:t>etente, certificará ante el Ministerio de Hacienda y Crédito Público, el avalúo de los resguardos indígenas.</w:t>
      </w:r>
    </w:p>
    <w:p w14:paraId="2075762E" w14:textId="77777777" w:rsidR="00B2442D" w:rsidRDefault="00B2442D">
      <w:pPr>
        <w:jc w:val="both"/>
        <w:rPr>
          <w:rFonts w:ascii="Arial" w:hAnsi="Arial" w:cs="Arial"/>
          <w:i/>
        </w:rPr>
      </w:pPr>
    </w:p>
    <w:p w14:paraId="55438745" w14:textId="77777777" w:rsidR="00B2442D" w:rsidRDefault="008A645F">
      <w:pPr>
        <w:jc w:val="both"/>
        <w:rPr>
          <w:rFonts w:ascii="Arial" w:hAnsi="Arial" w:cs="Arial"/>
          <w:i/>
        </w:rPr>
      </w:pPr>
      <w:r>
        <w:rPr>
          <w:rFonts w:ascii="Arial" w:hAnsi="Arial" w:cs="Arial"/>
          <w:i/>
        </w:rPr>
        <w:t>(Art. 9, Decreto 2388 de 1991)</w:t>
      </w:r>
    </w:p>
    <w:p w14:paraId="1AA943A0" w14:textId="77777777" w:rsidR="00B2442D" w:rsidRDefault="00B2442D">
      <w:pPr>
        <w:jc w:val="both"/>
        <w:rPr>
          <w:rFonts w:ascii="Arial" w:hAnsi="Arial" w:cs="Arial"/>
          <w:i/>
        </w:rPr>
      </w:pPr>
    </w:p>
    <w:p w14:paraId="6A9417A1" w14:textId="77777777" w:rsidR="00B2442D" w:rsidRDefault="008A645F">
      <w:pPr>
        <w:pStyle w:val="Ttulo3"/>
      </w:pPr>
      <w:bookmarkStart w:id="69" w:name="_Toc479171221"/>
      <w:r>
        <w:t>TÍTULO 3</w:t>
      </w:r>
      <w:bookmarkEnd w:id="69"/>
    </w:p>
    <w:p w14:paraId="4E5B78C5" w14:textId="77777777" w:rsidR="00B2442D" w:rsidRDefault="008A645F">
      <w:pPr>
        <w:pStyle w:val="Ttulo3"/>
        <w:rPr>
          <w:b w:val="0"/>
        </w:rPr>
      </w:pPr>
      <w:bookmarkStart w:id="70" w:name="_Toc479171222"/>
      <w:r>
        <w:t>Impuesto municipal de entrada a espectáculos públicos y sobre juegos permitidos</w:t>
      </w:r>
      <w:bookmarkEnd w:id="70"/>
    </w:p>
    <w:p w14:paraId="2634EC05" w14:textId="77777777" w:rsidR="00B2442D" w:rsidRDefault="00B2442D">
      <w:pPr>
        <w:jc w:val="both"/>
        <w:rPr>
          <w:rFonts w:ascii="Arial" w:hAnsi="Arial" w:cs="Arial"/>
        </w:rPr>
      </w:pPr>
    </w:p>
    <w:p w14:paraId="574F361C" w14:textId="77777777" w:rsidR="00B2442D" w:rsidRDefault="008A645F">
      <w:pPr>
        <w:numPr>
          <w:ilvl w:val="0"/>
          <w:numId w:val="180"/>
        </w:numPr>
        <w:ind w:left="0" w:firstLine="0"/>
        <w:contextualSpacing/>
        <w:jc w:val="both"/>
        <w:rPr>
          <w:rFonts w:ascii="Arial" w:hAnsi="Arial" w:cs="Arial"/>
        </w:rPr>
      </w:pPr>
      <w:r>
        <w:rPr>
          <w:rFonts w:ascii="Arial" w:hAnsi="Arial" w:cs="Arial"/>
          <w:b/>
          <w:i/>
        </w:rPr>
        <w:t>Sujeto activo para la ad</w:t>
      </w:r>
      <w:r>
        <w:rPr>
          <w:rFonts w:ascii="Arial" w:hAnsi="Arial" w:cs="Arial"/>
          <w:b/>
          <w:i/>
        </w:rPr>
        <w:t>ministración, recaudo y control.</w:t>
      </w:r>
      <w:r>
        <w:rPr>
          <w:rFonts w:ascii="Arial" w:hAnsi="Arial" w:cs="Arial"/>
        </w:rPr>
        <w:t xml:space="preserve"> A partir del 1o. de febrero de 1969 corresponde al Distrito Capital de Bogotá y a los Municipios, la administración, recaudo y control de los impuestos nacionales que fueron declarados de propiedad exclusiva suya, de confor</w:t>
      </w:r>
      <w:r>
        <w:rPr>
          <w:rFonts w:ascii="Arial" w:hAnsi="Arial" w:cs="Arial"/>
        </w:rPr>
        <w:t>midad con el artículo 3° de la Ley 33 de 1968.</w:t>
      </w:r>
    </w:p>
    <w:p w14:paraId="14DBB627" w14:textId="77777777" w:rsidR="00B2442D" w:rsidRDefault="00B2442D">
      <w:pPr>
        <w:jc w:val="both"/>
        <w:rPr>
          <w:rFonts w:ascii="Arial" w:hAnsi="Arial" w:cs="Arial"/>
        </w:rPr>
      </w:pPr>
    </w:p>
    <w:p w14:paraId="4BE7B1CF" w14:textId="77777777" w:rsidR="00B2442D" w:rsidRDefault="008A645F">
      <w:pPr>
        <w:jc w:val="both"/>
        <w:rPr>
          <w:rFonts w:ascii="Arial" w:hAnsi="Arial" w:cs="Arial"/>
          <w:i/>
        </w:rPr>
      </w:pPr>
      <w:r>
        <w:rPr>
          <w:rFonts w:ascii="Arial" w:hAnsi="Arial" w:cs="Arial"/>
          <w:i/>
        </w:rPr>
        <w:t>(Art. 6, Decreto 57 de 1969)</w:t>
      </w:r>
    </w:p>
    <w:p w14:paraId="129D4285" w14:textId="77777777" w:rsidR="00B2442D" w:rsidRDefault="00B2442D">
      <w:pPr>
        <w:jc w:val="both"/>
        <w:rPr>
          <w:rFonts w:ascii="Arial" w:hAnsi="Arial" w:cs="Arial"/>
        </w:rPr>
      </w:pPr>
    </w:p>
    <w:p w14:paraId="360DA682" w14:textId="77777777" w:rsidR="00B2442D" w:rsidRDefault="008A645F">
      <w:pPr>
        <w:numPr>
          <w:ilvl w:val="0"/>
          <w:numId w:val="180"/>
        </w:numPr>
        <w:ind w:left="0" w:firstLine="0"/>
        <w:contextualSpacing/>
        <w:jc w:val="both"/>
        <w:rPr>
          <w:rFonts w:ascii="Arial" w:hAnsi="Arial" w:cs="Arial"/>
        </w:rPr>
      </w:pPr>
      <w:r>
        <w:rPr>
          <w:rFonts w:ascii="Arial" w:hAnsi="Arial" w:cs="Arial"/>
          <w:b/>
          <w:i/>
        </w:rPr>
        <w:t xml:space="preserve">Tarifa y procedimientos para el recaudo. </w:t>
      </w:r>
      <w:r>
        <w:rPr>
          <w:rFonts w:ascii="Arial" w:hAnsi="Arial" w:cs="Arial"/>
        </w:rPr>
        <w:t>El Distrito Capital de Bogotá, y los Municipios que se beneficiarán con la cesión de los impuestos aludidos organizarán su administración y recaudo en tal forma que las tarifas sean las mismas actuales y que los procedimientos para percibirlos se ciñan a l</w:t>
      </w:r>
      <w:r>
        <w:rPr>
          <w:rFonts w:ascii="Arial" w:hAnsi="Arial" w:cs="Arial"/>
        </w:rPr>
        <w:t xml:space="preserve">as leyes y decretos que los crearon y reglamentaron. </w:t>
      </w:r>
    </w:p>
    <w:p w14:paraId="44B999ED" w14:textId="77777777" w:rsidR="00B2442D" w:rsidRDefault="00B2442D">
      <w:pPr>
        <w:contextualSpacing/>
        <w:jc w:val="both"/>
        <w:rPr>
          <w:rFonts w:ascii="Arial" w:hAnsi="Arial" w:cs="Arial"/>
        </w:rPr>
      </w:pPr>
    </w:p>
    <w:p w14:paraId="1F52E4A1" w14:textId="77777777" w:rsidR="00B2442D" w:rsidRDefault="008A645F">
      <w:pPr>
        <w:contextualSpacing/>
        <w:jc w:val="both"/>
        <w:rPr>
          <w:rFonts w:ascii="Arial" w:hAnsi="Arial" w:cs="Arial"/>
        </w:rPr>
      </w:pPr>
      <w:r>
        <w:rPr>
          <w:rFonts w:ascii="Arial" w:hAnsi="Arial" w:cs="Arial"/>
        </w:rPr>
        <w:t xml:space="preserve">En consecuencia, al efectuar los recaudos por conducto de la Tesorería Distrital y de las Municipales deberán observarse los sistemas establecidos, así: </w:t>
      </w:r>
    </w:p>
    <w:p w14:paraId="4A19AB8F" w14:textId="77777777" w:rsidR="00B2442D" w:rsidRDefault="00B2442D">
      <w:pPr>
        <w:jc w:val="both"/>
        <w:rPr>
          <w:rFonts w:ascii="Arial" w:hAnsi="Arial" w:cs="Arial"/>
        </w:rPr>
      </w:pPr>
    </w:p>
    <w:p w14:paraId="55D77A32" w14:textId="77777777" w:rsidR="00B2442D" w:rsidRDefault="008A645F">
      <w:pPr>
        <w:jc w:val="both"/>
        <w:rPr>
          <w:rFonts w:ascii="Arial" w:hAnsi="Arial" w:cs="Arial"/>
        </w:rPr>
      </w:pPr>
      <w:r>
        <w:rPr>
          <w:rFonts w:ascii="Arial" w:hAnsi="Arial" w:cs="Arial"/>
        </w:rPr>
        <w:t>a). El impuesto creado por el artículo 7° de la Ley 12 de 1932, que grava toda boleta de entrada personal a espectáculos públicos con un 10% sobre su valor, se seguirá liquidando, recaudando y controlando por el procedimiento establecido o que se establezc</w:t>
      </w:r>
      <w:r>
        <w:rPr>
          <w:rFonts w:ascii="Arial" w:hAnsi="Arial" w:cs="Arial"/>
        </w:rPr>
        <w:t xml:space="preserve">a en el Distrito o Municipio para el cobro del impuesto sobre espectáculos públicos; </w:t>
      </w:r>
    </w:p>
    <w:p w14:paraId="4677A38F" w14:textId="77777777" w:rsidR="00B2442D" w:rsidRDefault="00B2442D">
      <w:pPr>
        <w:jc w:val="both"/>
        <w:rPr>
          <w:rFonts w:ascii="Arial" w:hAnsi="Arial" w:cs="Arial"/>
        </w:rPr>
      </w:pPr>
    </w:p>
    <w:p w14:paraId="76CA8527" w14:textId="77777777" w:rsidR="00B2442D" w:rsidRDefault="008A645F">
      <w:pPr>
        <w:jc w:val="both"/>
        <w:rPr>
          <w:rFonts w:ascii="Arial" w:hAnsi="Arial" w:cs="Arial"/>
        </w:rPr>
      </w:pPr>
      <w:r>
        <w:rPr>
          <w:rFonts w:ascii="Arial" w:hAnsi="Arial" w:cs="Arial"/>
        </w:rPr>
        <w:t>b). El impuesto establecido por el artículo 11 de la Ley 69 de 1946, equivalente al 2% sobre el valor de los artículos que se deban entregar a los socios favorecidos dur</w:t>
      </w:r>
      <w:r>
        <w:rPr>
          <w:rFonts w:ascii="Arial" w:hAnsi="Arial" w:cs="Arial"/>
        </w:rPr>
        <w:t>ante los sorteos, se seguirá pagando en las oficinas Distritales o Municipales por las personas naturales o jurídicas que lleven a cabo ventas por el sistema comúnmente denominado de "Clubes";</w:t>
      </w:r>
    </w:p>
    <w:p w14:paraId="52633210" w14:textId="77777777" w:rsidR="00B2442D" w:rsidRDefault="00B2442D">
      <w:pPr>
        <w:jc w:val="both"/>
        <w:rPr>
          <w:rFonts w:ascii="Arial" w:hAnsi="Arial" w:cs="Arial"/>
          <w:i/>
        </w:rPr>
      </w:pPr>
    </w:p>
    <w:p w14:paraId="42846442" w14:textId="77777777" w:rsidR="00B2442D" w:rsidRDefault="008A645F">
      <w:pPr>
        <w:jc w:val="both"/>
        <w:rPr>
          <w:rFonts w:ascii="Arial" w:hAnsi="Arial" w:cs="Arial"/>
          <w:i/>
        </w:rPr>
      </w:pPr>
      <w:r>
        <w:rPr>
          <w:rFonts w:ascii="Arial" w:hAnsi="Arial" w:cs="Arial"/>
          <w:i/>
        </w:rPr>
        <w:t xml:space="preserve">(Art. 7, Decreto 57 de 1969, literales c) y d) eliminados por </w:t>
      </w:r>
      <w:r>
        <w:rPr>
          <w:rFonts w:ascii="Arial" w:hAnsi="Arial" w:cs="Arial"/>
          <w:i/>
        </w:rPr>
        <w:t>su derogatoria por la ley 643 de 2001)</w:t>
      </w:r>
    </w:p>
    <w:p w14:paraId="6C0706A6" w14:textId="77777777" w:rsidR="00B2442D" w:rsidRDefault="00B2442D">
      <w:pPr>
        <w:jc w:val="both"/>
        <w:rPr>
          <w:rFonts w:ascii="Arial" w:hAnsi="Arial" w:cs="Arial"/>
        </w:rPr>
      </w:pPr>
    </w:p>
    <w:p w14:paraId="649703DE" w14:textId="77777777" w:rsidR="00B2442D" w:rsidRDefault="00B2442D">
      <w:pPr>
        <w:jc w:val="both"/>
        <w:rPr>
          <w:rFonts w:ascii="Arial" w:hAnsi="Arial" w:cs="Arial"/>
        </w:rPr>
      </w:pPr>
    </w:p>
    <w:p w14:paraId="107C3557" w14:textId="77777777" w:rsidR="00B2442D" w:rsidRDefault="008A645F">
      <w:pPr>
        <w:jc w:val="center"/>
        <w:outlineLvl w:val="2"/>
        <w:rPr>
          <w:rFonts w:ascii="Arial" w:hAnsi="Arial" w:cs="Arial"/>
          <w:b/>
        </w:rPr>
      </w:pPr>
      <w:bookmarkStart w:id="71" w:name="_Toc479171223"/>
      <w:r>
        <w:rPr>
          <w:rFonts w:ascii="Arial" w:hAnsi="Arial" w:cs="Arial"/>
          <w:b/>
        </w:rPr>
        <w:t>TÍTULO 4.</w:t>
      </w:r>
      <w:bookmarkEnd w:id="71"/>
    </w:p>
    <w:p w14:paraId="08170E58" w14:textId="77777777" w:rsidR="00B2442D" w:rsidRDefault="008A645F">
      <w:pPr>
        <w:jc w:val="center"/>
        <w:outlineLvl w:val="2"/>
        <w:rPr>
          <w:rFonts w:ascii="Arial" w:hAnsi="Arial" w:cs="Arial"/>
          <w:b/>
        </w:rPr>
      </w:pPr>
      <w:bookmarkStart w:id="72" w:name="_Toc479171224"/>
      <w:r>
        <w:rPr>
          <w:rFonts w:ascii="Arial" w:hAnsi="Arial" w:cs="Arial"/>
          <w:b/>
        </w:rPr>
        <w:t>Peaje Turístico</w:t>
      </w:r>
      <w:bookmarkEnd w:id="72"/>
    </w:p>
    <w:p w14:paraId="778E013C" w14:textId="77777777" w:rsidR="00B2442D" w:rsidRDefault="00B2442D">
      <w:pPr>
        <w:jc w:val="both"/>
        <w:rPr>
          <w:rFonts w:ascii="Arial" w:hAnsi="Arial" w:cs="Arial"/>
        </w:rPr>
      </w:pPr>
    </w:p>
    <w:p w14:paraId="1DD24EA3" w14:textId="77777777" w:rsidR="00B2442D" w:rsidRDefault="008A645F">
      <w:pPr>
        <w:numPr>
          <w:ilvl w:val="0"/>
          <w:numId w:val="181"/>
        </w:numPr>
        <w:ind w:left="0" w:firstLine="0"/>
        <w:contextualSpacing/>
        <w:jc w:val="both"/>
        <w:rPr>
          <w:rFonts w:ascii="Arial" w:hAnsi="Arial" w:cs="Arial"/>
        </w:rPr>
      </w:pPr>
      <w:r>
        <w:rPr>
          <w:rFonts w:ascii="Arial" w:hAnsi="Arial" w:cs="Arial"/>
          <w:b/>
          <w:i/>
        </w:rPr>
        <w:t>Creación del comité.</w:t>
      </w:r>
      <w:r>
        <w:rPr>
          <w:rFonts w:ascii="Arial" w:hAnsi="Arial" w:cs="Arial"/>
        </w:rPr>
        <w:t xml:space="preserve"> Créase el Comité de Peajes Turísticos, a efectos de desarrollar la previsión contenida en el inciso 2° del artículo 25 de la Ley 300 de 1996, el cual estará integrado </w:t>
      </w:r>
      <w:r>
        <w:rPr>
          <w:rFonts w:ascii="Arial" w:hAnsi="Arial" w:cs="Arial"/>
        </w:rPr>
        <w:t>por:</w:t>
      </w:r>
    </w:p>
    <w:p w14:paraId="281F962A" w14:textId="77777777" w:rsidR="00B2442D" w:rsidRDefault="008A645F">
      <w:pPr>
        <w:jc w:val="both"/>
        <w:rPr>
          <w:rFonts w:ascii="Arial" w:hAnsi="Arial" w:cs="Arial"/>
        </w:rPr>
      </w:pPr>
      <w:r>
        <w:rPr>
          <w:rFonts w:ascii="Arial" w:hAnsi="Arial" w:cs="Arial"/>
        </w:rPr>
        <w:t>1. El Ministro de Comercio, Industria y Turismo, o su delegado, quien lo presidirá.</w:t>
      </w:r>
    </w:p>
    <w:p w14:paraId="5ED07FA7" w14:textId="77777777" w:rsidR="00B2442D" w:rsidRDefault="008A645F">
      <w:pPr>
        <w:jc w:val="both"/>
        <w:rPr>
          <w:rFonts w:ascii="Arial" w:hAnsi="Arial" w:cs="Arial"/>
        </w:rPr>
      </w:pPr>
      <w:r>
        <w:rPr>
          <w:rFonts w:ascii="Arial" w:hAnsi="Arial" w:cs="Arial"/>
        </w:rPr>
        <w:t>2. El Ministro de Hacienda y Crédito Público, o su delegado.</w:t>
      </w:r>
    </w:p>
    <w:p w14:paraId="7FBE24EC" w14:textId="77777777" w:rsidR="00B2442D" w:rsidRDefault="008A645F">
      <w:pPr>
        <w:jc w:val="both"/>
        <w:rPr>
          <w:rFonts w:ascii="Arial" w:hAnsi="Arial" w:cs="Arial"/>
        </w:rPr>
      </w:pPr>
      <w:r>
        <w:rPr>
          <w:rFonts w:ascii="Arial" w:hAnsi="Arial" w:cs="Arial"/>
        </w:rPr>
        <w:t>3. El Director de Colcultura, o la entidad que haga sus veces, o su delegado.</w:t>
      </w:r>
    </w:p>
    <w:p w14:paraId="3C9B6A38" w14:textId="77777777" w:rsidR="00B2442D" w:rsidRDefault="008A645F">
      <w:pPr>
        <w:jc w:val="both"/>
        <w:rPr>
          <w:rFonts w:ascii="Arial" w:hAnsi="Arial" w:cs="Arial"/>
        </w:rPr>
      </w:pPr>
      <w:r>
        <w:rPr>
          <w:rFonts w:ascii="Arial" w:hAnsi="Arial" w:cs="Arial"/>
        </w:rPr>
        <w:t>4. Un representante del Cons</w:t>
      </w:r>
      <w:r>
        <w:rPr>
          <w:rFonts w:ascii="Arial" w:hAnsi="Arial" w:cs="Arial"/>
        </w:rPr>
        <w:t>ejo Superior de Turismo, escogido por este organismo.</w:t>
      </w:r>
    </w:p>
    <w:p w14:paraId="3146C32E" w14:textId="77777777" w:rsidR="00B2442D" w:rsidRDefault="00B2442D">
      <w:pPr>
        <w:jc w:val="both"/>
        <w:rPr>
          <w:rFonts w:ascii="Arial" w:hAnsi="Arial" w:cs="Arial"/>
        </w:rPr>
      </w:pPr>
    </w:p>
    <w:p w14:paraId="02BA9794" w14:textId="77777777" w:rsidR="00B2442D" w:rsidRDefault="008A645F">
      <w:pPr>
        <w:jc w:val="both"/>
        <w:rPr>
          <w:rFonts w:ascii="Arial" w:hAnsi="Arial" w:cs="Arial"/>
        </w:rPr>
      </w:pPr>
      <w:r>
        <w:rPr>
          <w:rFonts w:ascii="Arial" w:hAnsi="Arial" w:cs="Arial"/>
          <w:b/>
        </w:rPr>
        <w:t>Parágrafo.</w:t>
      </w:r>
      <w:r>
        <w:rPr>
          <w:rFonts w:ascii="Arial" w:hAnsi="Arial" w:cs="Arial"/>
        </w:rPr>
        <w:t xml:space="preserve"> Será Secretario del Comité de Peajes Turísticos el jefe de la División de Planificación, Descentralización e Infraestructura del Viceministerio de Turismo.</w:t>
      </w:r>
    </w:p>
    <w:p w14:paraId="4B55B067" w14:textId="77777777" w:rsidR="00B2442D" w:rsidRDefault="00B2442D">
      <w:pPr>
        <w:jc w:val="both"/>
        <w:rPr>
          <w:rFonts w:ascii="Arial" w:hAnsi="Arial" w:cs="Arial"/>
          <w:i/>
        </w:rPr>
      </w:pPr>
    </w:p>
    <w:p w14:paraId="315D3CA2" w14:textId="77777777" w:rsidR="00B2442D" w:rsidRDefault="008A645F">
      <w:pPr>
        <w:jc w:val="both"/>
        <w:rPr>
          <w:rFonts w:ascii="Arial" w:hAnsi="Arial" w:cs="Arial"/>
          <w:i/>
        </w:rPr>
      </w:pPr>
      <w:r>
        <w:rPr>
          <w:rFonts w:ascii="Arial" w:hAnsi="Arial" w:cs="Arial"/>
          <w:i/>
        </w:rPr>
        <w:t xml:space="preserve">(Art.1, Decreto 1991 de </w:t>
      </w:r>
      <w:r>
        <w:rPr>
          <w:rFonts w:ascii="Arial" w:hAnsi="Arial" w:cs="Arial"/>
          <w:i/>
        </w:rPr>
        <w:t>1997)</w:t>
      </w:r>
    </w:p>
    <w:p w14:paraId="60EBDBD4" w14:textId="77777777" w:rsidR="00B2442D" w:rsidRDefault="00B2442D">
      <w:pPr>
        <w:jc w:val="both"/>
        <w:rPr>
          <w:rFonts w:ascii="Arial" w:hAnsi="Arial" w:cs="Arial"/>
        </w:rPr>
      </w:pPr>
    </w:p>
    <w:p w14:paraId="535D5112" w14:textId="77777777" w:rsidR="00B2442D" w:rsidRDefault="008A645F">
      <w:pPr>
        <w:numPr>
          <w:ilvl w:val="0"/>
          <w:numId w:val="181"/>
        </w:numPr>
        <w:ind w:left="0" w:firstLine="0"/>
        <w:contextualSpacing/>
        <w:jc w:val="both"/>
        <w:rPr>
          <w:rFonts w:ascii="Arial" w:hAnsi="Arial" w:cs="Arial"/>
        </w:rPr>
      </w:pPr>
      <w:r>
        <w:rPr>
          <w:rFonts w:ascii="Arial" w:hAnsi="Arial" w:cs="Arial"/>
          <w:b/>
          <w:i/>
        </w:rPr>
        <w:t>Funciones del Comité de Peajes Turísticos.</w:t>
      </w:r>
      <w:r>
        <w:rPr>
          <w:rFonts w:ascii="Arial" w:hAnsi="Arial" w:cs="Arial"/>
          <w:i/>
        </w:rPr>
        <w:t xml:space="preserve"> El Comité creado mediante el presente decreto, deberá rendir concepto sobre el establecimiento</w:t>
      </w:r>
      <w:r>
        <w:rPr>
          <w:rFonts w:ascii="Arial" w:hAnsi="Arial" w:cs="Arial"/>
        </w:rPr>
        <w:t xml:space="preserve"> de peajes turísticos que le soliciten los Concejos Municipales, previo a la aprobación de los acuerdos correspo</w:t>
      </w:r>
      <w:r>
        <w:rPr>
          <w:rFonts w:ascii="Arial" w:hAnsi="Arial" w:cs="Arial"/>
        </w:rPr>
        <w:t>ndientes.</w:t>
      </w:r>
    </w:p>
    <w:p w14:paraId="3DFBFF73" w14:textId="77777777" w:rsidR="00B2442D" w:rsidRDefault="00B2442D">
      <w:pPr>
        <w:jc w:val="both"/>
        <w:rPr>
          <w:rFonts w:ascii="Arial" w:hAnsi="Arial" w:cs="Arial"/>
        </w:rPr>
      </w:pPr>
    </w:p>
    <w:p w14:paraId="0783A570" w14:textId="77777777" w:rsidR="00B2442D" w:rsidRDefault="008A645F">
      <w:pPr>
        <w:jc w:val="both"/>
        <w:rPr>
          <w:rFonts w:ascii="Arial" w:hAnsi="Arial" w:cs="Arial"/>
        </w:rPr>
      </w:pPr>
      <w:r>
        <w:rPr>
          <w:rFonts w:ascii="Arial" w:hAnsi="Arial" w:cs="Arial"/>
        </w:rPr>
        <w:t>Parágrafo. El concepto emitido por el Comité será de obligatorio acatamiento por parte de los Concejos Municipales.</w:t>
      </w:r>
    </w:p>
    <w:p w14:paraId="606E782D" w14:textId="77777777" w:rsidR="00B2442D" w:rsidRDefault="00B2442D">
      <w:pPr>
        <w:jc w:val="both"/>
        <w:rPr>
          <w:rFonts w:ascii="Arial" w:hAnsi="Arial" w:cs="Arial"/>
          <w:i/>
        </w:rPr>
      </w:pPr>
    </w:p>
    <w:p w14:paraId="090542EC" w14:textId="77777777" w:rsidR="00B2442D" w:rsidRDefault="008A645F">
      <w:pPr>
        <w:jc w:val="both"/>
        <w:rPr>
          <w:rFonts w:ascii="Arial" w:hAnsi="Arial" w:cs="Arial"/>
          <w:i/>
        </w:rPr>
      </w:pPr>
      <w:r>
        <w:rPr>
          <w:rFonts w:ascii="Arial" w:hAnsi="Arial" w:cs="Arial"/>
          <w:i/>
        </w:rPr>
        <w:t>(Art.2, Decreto 1991 de 1997)</w:t>
      </w:r>
    </w:p>
    <w:p w14:paraId="29E512C8" w14:textId="77777777" w:rsidR="00B2442D" w:rsidRDefault="00B2442D">
      <w:pPr>
        <w:jc w:val="both"/>
        <w:rPr>
          <w:rFonts w:ascii="Arial" w:hAnsi="Arial" w:cs="Arial"/>
        </w:rPr>
      </w:pPr>
    </w:p>
    <w:p w14:paraId="540E3B3A" w14:textId="77777777" w:rsidR="00B2442D" w:rsidRDefault="008A645F">
      <w:pPr>
        <w:numPr>
          <w:ilvl w:val="0"/>
          <w:numId w:val="181"/>
        </w:numPr>
        <w:ind w:left="0" w:firstLine="0"/>
        <w:contextualSpacing/>
        <w:jc w:val="both"/>
        <w:rPr>
          <w:rFonts w:ascii="Arial" w:hAnsi="Arial" w:cs="Arial"/>
        </w:rPr>
      </w:pPr>
      <w:r>
        <w:rPr>
          <w:rFonts w:ascii="Arial" w:hAnsi="Arial" w:cs="Arial"/>
          <w:b/>
          <w:i/>
        </w:rPr>
        <w:t>Solicitud de los Concejos Municipales.</w:t>
      </w:r>
      <w:r>
        <w:rPr>
          <w:rFonts w:ascii="Arial" w:hAnsi="Arial" w:cs="Arial"/>
        </w:rPr>
        <w:t xml:space="preserve"> Los Concejos Municipales que pretendan establecer el peaje</w:t>
      </w:r>
      <w:r>
        <w:rPr>
          <w:rFonts w:ascii="Arial" w:hAnsi="Arial" w:cs="Arial"/>
        </w:rPr>
        <w:t xml:space="preserve"> turístico, deberán elevar una solicitud en dicho sentido al Secretario del Comité de Peajes Turísticos en la que demuestren el cumplimiento de los requisitos señalados en la Ley 300 de 1996.</w:t>
      </w:r>
    </w:p>
    <w:p w14:paraId="4102FF3B" w14:textId="77777777" w:rsidR="00B2442D" w:rsidRDefault="00B2442D">
      <w:pPr>
        <w:jc w:val="both"/>
        <w:rPr>
          <w:rFonts w:ascii="Arial" w:hAnsi="Arial" w:cs="Arial"/>
          <w:i/>
        </w:rPr>
      </w:pPr>
    </w:p>
    <w:p w14:paraId="2B064823" w14:textId="77777777" w:rsidR="00B2442D" w:rsidRDefault="008A645F">
      <w:pPr>
        <w:jc w:val="both"/>
        <w:rPr>
          <w:rFonts w:ascii="Arial" w:hAnsi="Arial" w:cs="Arial"/>
          <w:i/>
        </w:rPr>
      </w:pPr>
      <w:r>
        <w:rPr>
          <w:rFonts w:ascii="Arial" w:hAnsi="Arial" w:cs="Arial"/>
          <w:i/>
        </w:rPr>
        <w:t>(Art.3, Decreto 1991 de 1997)</w:t>
      </w:r>
    </w:p>
    <w:p w14:paraId="2B0A280E" w14:textId="77777777" w:rsidR="00B2442D" w:rsidRDefault="00B2442D">
      <w:pPr>
        <w:jc w:val="both"/>
        <w:rPr>
          <w:rFonts w:ascii="Arial" w:hAnsi="Arial" w:cs="Arial"/>
        </w:rPr>
      </w:pPr>
    </w:p>
    <w:p w14:paraId="3FAF638C" w14:textId="77777777" w:rsidR="00B2442D" w:rsidRDefault="008A645F">
      <w:pPr>
        <w:numPr>
          <w:ilvl w:val="0"/>
          <w:numId w:val="181"/>
        </w:numPr>
        <w:ind w:left="0" w:firstLine="0"/>
        <w:contextualSpacing/>
        <w:jc w:val="both"/>
        <w:rPr>
          <w:rFonts w:ascii="Arial" w:hAnsi="Arial" w:cs="Arial"/>
        </w:rPr>
      </w:pPr>
      <w:r>
        <w:rPr>
          <w:rFonts w:ascii="Arial" w:hAnsi="Arial" w:cs="Arial"/>
          <w:b/>
          <w:i/>
        </w:rPr>
        <w:t>Requisitos.</w:t>
      </w:r>
      <w:r>
        <w:rPr>
          <w:rFonts w:ascii="Arial" w:hAnsi="Arial" w:cs="Arial"/>
        </w:rPr>
        <w:t xml:space="preserve"> Para emitir su conce</w:t>
      </w:r>
      <w:r>
        <w:rPr>
          <w:rFonts w:ascii="Arial" w:hAnsi="Arial" w:cs="Arial"/>
        </w:rPr>
        <w:t>pto, el Comité de Peajes deberá:</w:t>
      </w:r>
    </w:p>
    <w:p w14:paraId="468AD01E" w14:textId="77777777" w:rsidR="00B2442D" w:rsidRDefault="00B2442D">
      <w:pPr>
        <w:jc w:val="both"/>
        <w:rPr>
          <w:rFonts w:ascii="Arial" w:hAnsi="Arial" w:cs="Arial"/>
        </w:rPr>
      </w:pPr>
    </w:p>
    <w:p w14:paraId="565EFC11" w14:textId="77777777" w:rsidR="00B2442D" w:rsidRDefault="008A645F">
      <w:pPr>
        <w:jc w:val="both"/>
        <w:rPr>
          <w:rFonts w:ascii="Arial" w:hAnsi="Arial" w:cs="Arial"/>
        </w:rPr>
      </w:pPr>
      <w:r>
        <w:rPr>
          <w:rFonts w:ascii="Arial" w:hAnsi="Arial" w:cs="Arial"/>
        </w:rPr>
        <w:t>a) Evaluar y comprobar que el municipio en estudio posea atractivos turísticos de gran valor histórico, cultural o artístico;</w:t>
      </w:r>
    </w:p>
    <w:p w14:paraId="14F90AF8" w14:textId="77777777" w:rsidR="00B2442D" w:rsidRDefault="00B2442D">
      <w:pPr>
        <w:jc w:val="both"/>
        <w:rPr>
          <w:rFonts w:ascii="Arial" w:hAnsi="Arial" w:cs="Arial"/>
        </w:rPr>
      </w:pPr>
    </w:p>
    <w:p w14:paraId="31268A10" w14:textId="77777777" w:rsidR="00B2442D" w:rsidRDefault="008A645F">
      <w:pPr>
        <w:jc w:val="both"/>
        <w:rPr>
          <w:rFonts w:ascii="Arial" w:hAnsi="Arial" w:cs="Arial"/>
        </w:rPr>
      </w:pPr>
      <w:r>
        <w:rPr>
          <w:rFonts w:ascii="Arial" w:hAnsi="Arial" w:cs="Arial"/>
        </w:rPr>
        <w:t xml:space="preserve">b) Verificar que el municipio tiene menos de cien mil habitantes, de conformidad con el último </w:t>
      </w:r>
      <w:r>
        <w:rPr>
          <w:rFonts w:ascii="Arial" w:hAnsi="Arial" w:cs="Arial"/>
        </w:rPr>
        <w:t>registro de población que de manera oficial determine el Departamento Administrativo Nacional de Estadística, DANE.</w:t>
      </w:r>
    </w:p>
    <w:p w14:paraId="2E8B439B" w14:textId="77777777" w:rsidR="00B2442D" w:rsidRDefault="00B2442D">
      <w:pPr>
        <w:jc w:val="both"/>
        <w:rPr>
          <w:rFonts w:ascii="Arial" w:hAnsi="Arial" w:cs="Arial"/>
          <w:i/>
        </w:rPr>
      </w:pPr>
    </w:p>
    <w:p w14:paraId="2FAD6933" w14:textId="77777777" w:rsidR="00B2442D" w:rsidRDefault="008A645F">
      <w:pPr>
        <w:jc w:val="both"/>
        <w:rPr>
          <w:rFonts w:ascii="Arial" w:hAnsi="Arial" w:cs="Arial"/>
          <w:i/>
        </w:rPr>
      </w:pPr>
      <w:r>
        <w:rPr>
          <w:rFonts w:ascii="Arial" w:hAnsi="Arial" w:cs="Arial"/>
          <w:i/>
        </w:rPr>
        <w:t>(Art.4, Decreto 1991 de 1997)</w:t>
      </w:r>
    </w:p>
    <w:p w14:paraId="2AA9A5D7" w14:textId="77777777" w:rsidR="00B2442D" w:rsidRDefault="00B2442D">
      <w:pPr>
        <w:jc w:val="both"/>
        <w:rPr>
          <w:rFonts w:ascii="Arial" w:hAnsi="Arial" w:cs="Arial"/>
        </w:rPr>
      </w:pPr>
    </w:p>
    <w:p w14:paraId="494BFA8D" w14:textId="77777777" w:rsidR="00B2442D" w:rsidRDefault="008A645F">
      <w:pPr>
        <w:numPr>
          <w:ilvl w:val="0"/>
          <w:numId w:val="181"/>
        </w:numPr>
        <w:ind w:left="0" w:firstLine="0"/>
        <w:contextualSpacing/>
        <w:jc w:val="both"/>
        <w:rPr>
          <w:rFonts w:ascii="Arial" w:hAnsi="Arial" w:cs="Arial"/>
        </w:rPr>
      </w:pPr>
      <w:r>
        <w:rPr>
          <w:rFonts w:ascii="Arial" w:hAnsi="Arial" w:cs="Arial"/>
          <w:b/>
          <w:i/>
        </w:rPr>
        <w:t>Convocatoria y reunión</w:t>
      </w:r>
      <w:r>
        <w:rPr>
          <w:rFonts w:ascii="Arial" w:hAnsi="Arial" w:cs="Arial"/>
        </w:rPr>
        <w:t>. El Secretario citará al Comité de Peajes Turísticos bimensualmente con el fin de que</w:t>
      </w:r>
      <w:r>
        <w:rPr>
          <w:rFonts w:ascii="Arial" w:hAnsi="Arial" w:cs="Arial"/>
        </w:rPr>
        <w:t xml:space="preserve"> se ocupe de las solicitudes en reunión que se llevará a cabo dentro de las dos semanas siguientes a la fecha de su convocatoria.</w:t>
      </w:r>
    </w:p>
    <w:p w14:paraId="02D7DE13" w14:textId="77777777" w:rsidR="00B2442D" w:rsidRDefault="00B2442D">
      <w:pPr>
        <w:jc w:val="both"/>
        <w:rPr>
          <w:rFonts w:ascii="Arial" w:hAnsi="Arial" w:cs="Arial"/>
          <w:i/>
        </w:rPr>
      </w:pPr>
    </w:p>
    <w:p w14:paraId="2E6F3321" w14:textId="77777777" w:rsidR="00B2442D" w:rsidRDefault="008A645F">
      <w:pPr>
        <w:jc w:val="both"/>
        <w:rPr>
          <w:rFonts w:ascii="Arial" w:hAnsi="Arial" w:cs="Arial"/>
          <w:i/>
        </w:rPr>
      </w:pPr>
      <w:r>
        <w:rPr>
          <w:rFonts w:ascii="Arial" w:hAnsi="Arial" w:cs="Arial"/>
          <w:i/>
        </w:rPr>
        <w:t>(Art.5, Decreto 1991 de 1997)</w:t>
      </w:r>
    </w:p>
    <w:p w14:paraId="7B09439E" w14:textId="77777777" w:rsidR="00B2442D" w:rsidRDefault="00B2442D">
      <w:pPr>
        <w:jc w:val="both"/>
        <w:rPr>
          <w:rFonts w:ascii="Arial" w:hAnsi="Arial" w:cs="Arial"/>
        </w:rPr>
      </w:pPr>
    </w:p>
    <w:p w14:paraId="2D73F1F2" w14:textId="77777777" w:rsidR="00B2442D" w:rsidRDefault="008A645F">
      <w:pPr>
        <w:numPr>
          <w:ilvl w:val="0"/>
          <w:numId w:val="181"/>
        </w:numPr>
        <w:ind w:left="0" w:firstLine="0"/>
        <w:contextualSpacing/>
        <w:jc w:val="both"/>
        <w:rPr>
          <w:rFonts w:ascii="Arial" w:hAnsi="Arial" w:cs="Arial"/>
        </w:rPr>
      </w:pPr>
      <w:r>
        <w:rPr>
          <w:rFonts w:ascii="Arial" w:hAnsi="Arial" w:cs="Arial"/>
          <w:b/>
        </w:rPr>
        <w:t>Artículo 6.</w:t>
      </w:r>
      <w:r>
        <w:rPr>
          <w:rFonts w:ascii="Arial" w:hAnsi="Arial" w:cs="Arial"/>
        </w:rPr>
        <w:t xml:space="preserve"> </w:t>
      </w:r>
      <w:r>
        <w:rPr>
          <w:rFonts w:ascii="Arial" w:hAnsi="Arial" w:cs="Arial"/>
          <w:b/>
          <w:i/>
        </w:rPr>
        <w:t>Término para rendir concepto.</w:t>
      </w:r>
      <w:r>
        <w:rPr>
          <w:rFonts w:ascii="Arial" w:hAnsi="Arial" w:cs="Arial"/>
        </w:rPr>
        <w:t xml:space="preserve"> El Comité de Peajes Turísticos tendrá un término de </w:t>
      </w:r>
      <w:r>
        <w:rPr>
          <w:rFonts w:ascii="Arial" w:hAnsi="Arial" w:cs="Arial"/>
        </w:rPr>
        <w:t>dos meses contados a partir de la fecha de radicación de la solicitud en la Secretaría por parte del respectivo Concejo Municipal, para rendir concepto sobre el establecimiento del peaje turístico.</w:t>
      </w:r>
    </w:p>
    <w:p w14:paraId="541599F8" w14:textId="77777777" w:rsidR="00B2442D" w:rsidRDefault="00B2442D">
      <w:pPr>
        <w:jc w:val="both"/>
        <w:rPr>
          <w:rFonts w:ascii="Arial" w:hAnsi="Arial" w:cs="Arial"/>
          <w:i/>
        </w:rPr>
      </w:pPr>
    </w:p>
    <w:p w14:paraId="5BC09CC1" w14:textId="77777777" w:rsidR="00B2442D" w:rsidRDefault="008A645F">
      <w:pPr>
        <w:jc w:val="both"/>
        <w:rPr>
          <w:rFonts w:ascii="Arial" w:hAnsi="Arial" w:cs="Arial"/>
          <w:i/>
        </w:rPr>
      </w:pPr>
      <w:r>
        <w:rPr>
          <w:rFonts w:ascii="Arial" w:hAnsi="Arial" w:cs="Arial"/>
          <w:i/>
        </w:rPr>
        <w:t>(Art.6, Decreto 1991 de 1997)</w:t>
      </w:r>
    </w:p>
    <w:p w14:paraId="074A73E7" w14:textId="77777777" w:rsidR="00B2442D" w:rsidRDefault="00B2442D">
      <w:pPr>
        <w:jc w:val="both"/>
        <w:rPr>
          <w:rFonts w:ascii="Arial" w:hAnsi="Arial" w:cs="Arial"/>
        </w:rPr>
      </w:pPr>
    </w:p>
    <w:p w14:paraId="4E4D2BF3" w14:textId="77777777" w:rsidR="00B2442D" w:rsidRDefault="008A645F">
      <w:pPr>
        <w:numPr>
          <w:ilvl w:val="0"/>
          <w:numId w:val="181"/>
        </w:numPr>
        <w:ind w:left="0" w:firstLine="0"/>
        <w:contextualSpacing/>
        <w:jc w:val="both"/>
        <w:rPr>
          <w:rFonts w:ascii="Arial" w:hAnsi="Arial" w:cs="Arial"/>
        </w:rPr>
      </w:pPr>
      <w:r>
        <w:rPr>
          <w:rFonts w:ascii="Arial" w:hAnsi="Arial" w:cs="Arial"/>
          <w:b/>
          <w:i/>
        </w:rPr>
        <w:t xml:space="preserve">Evaluación de </w:t>
      </w:r>
      <w:r>
        <w:rPr>
          <w:rFonts w:ascii="Arial" w:hAnsi="Arial" w:cs="Arial"/>
          <w:b/>
          <w:i/>
        </w:rPr>
        <w:t>solicitudes.</w:t>
      </w:r>
      <w:r>
        <w:rPr>
          <w:rFonts w:ascii="Arial" w:hAnsi="Arial" w:cs="Arial"/>
        </w:rPr>
        <w:t xml:space="preserve"> El Comité de Peajes Turísticos evaluará las solicitudes y su fundamentación, conforme a los criterios señalados en el artículo cuarto del presente decreto y, previos los requerimientos de información que fuere preciso solicitar, tomará la dete</w:t>
      </w:r>
      <w:r>
        <w:rPr>
          <w:rFonts w:ascii="Arial" w:hAnsi="Arial" w:cs="Arial"/>
        </w:rPr>
        <w:t>rminación pertinente.</w:t>
      </w:r>
    </w:p>
    <w:p w14:paraId="019BEA9D" w14:textId="77777777" w:rsidR="00B2442D" w:rsidRDefault="00B2442D">
      <w:pPr>
        <w:jc w:val="both"/>
        <w:rPr>
          <w:rFonts w:ascii="Arial" w:hAnsi="Arial" w:cs="Arial"/>
          <w:i/>
        </w:rPr>
      </w:pPr>
    </w:p>
    <w:p w14:paraId="55843AA3" w14:textId="77777777" w:rsidR="00B2442D" w:rsidRDefault="008A645F">
      <w:pPr>
        <w:jc w:val="both"/>
        <w:rPr>
          <w:rFonts w:ascii="Arial" w:hAnsi="Arial" w:cs="Arial"/>
          <w:i/>
        </w:rPr>
      </w:pPr>
      <w:r>
        <w:rPr>
          <w:rFonts w:ascii="Arial" w:hAnsi="Arial" w:cs="Arial"/>
          <w:i/>
        </w:rPr>
        <w:t>(Art.7, Decreto 1991 de 1997)</w:t>
      </w:r>
    </w:p>
    <w:p w14:paraId="4CCA627F" w14:textId="77777777" w:rsidR="00B2442D" w:rsidRDefault="00B2442D">
      <w:pPr>
        <w:jc w:val="both"/>
        <w:rPr>
          <w:rFonts w:ascii="Arial" w:hAnsi="Arial" w:cs="Arial"/>
        </w:rPr>
      </w:pPr>
    </w:p>
    <w:p w14:paraId="0B317AEE" w14:textId="77777777" w:rsidR="00B2442D" w:rsidRDefault="008A645F">
      <w:pPr>
        <w:numPr>
          <w:ilvl w:val="0"/>
          <w:numId w:val="181"/>
        </w:numPr>
        <w:ind w:left="0" w:firstLine="0"/>
        <w:contextualSpacing/>
        <w:jc w:val="both"/>
        <w:rPr>
          <w:rFonts w:ascii="Arial" w:hAnsi="Arial" w:cs="Arial"/>
        </w:rPr>
      </w:pPr>
      <w:r>
        <w:rPr>
          <w:rFonts w:ascii="Arial" w:hAnsi="Arial" w:cs="Arial"/>
          <w:b/>
          <w:i/>
        </w:rPr>
        <w:t xml:space="preserve">Comunicación de las decisiones. </w:t>
      </w:r>
      <w:r>
        <w:rPr>
          <w:rFonts w:ascii="Arial" w:hAnsi="Arial" w:cs="Arial"/>
        </w:rPr>
        <w:t>Las decisiones que adopte el Comité de Peajes Turísticos se harán constar en actas. El Secretario de dicho Comité informará a los Concejos Municipales sobre las decisione</w:t>
      </w:r>
      <w:r>
        <w:rPr>
          <w:rFonts w:ascii="Arial" w:hAnsi="Arial" w:cs="Arial"/>
        </w:rPr>
        <w:t>s adoptadas.</w:t>
      </w:r>
    </w:p>
    <w:p w14:paraId="0445B94F" w14:textId="77777777" w:rsidR="00B2442D" w:rsidRDefault="00B2442D">
      <w:pPr>
        <w:jc w:val="both"/>
        <w:rPr>
          <w:rFonts w:ascii="Arial" w:hAnsi="Arial" w:cs="Arial"/>
        </w:rPr>
      </w:pPr>
    </w:p>
    <w:p w14:paraId="01E2ABB3" w14:textId="77777777" w:rsidR="00B2442D" w:rsidRDefault="008A645F">
      <w:pPr>
        <w:jc w:val="both"/>
        <w:rPr>
          <w:rFonts w:ascii="Arial" w:hAnsi="Arial" w:cs="Arial"/>
        </w:rPr>
      </w:pPr>
      <w:r>
        <w:rPr>
          <w:rFonts w:ascii="Arial" w:hAnsi="Arial" w:cs="Arial"/>
        </w:rPr>
        <w:t>Para que se entienda aprobada una solicitud deberá existir acuerdo entre los integrantes del Comité de Peajes Turísticos. Cuando tal acuerdo no se diere, se entenderá que el concepto del Comité de Peajes Turísticos es desfavorable y así se co</w:t>
      </w:r>
      <w:r>
        <w:rPr>
          <w:rFonts w:ascii="Arial" w:hAnsi="Arial" w:cs="Arial"/>
        </w:rPr>
        <w:t>municará al Concejo Municipal solicitante.</w:t>
      </w:r>
    </w:p>
    <w:p w14:paraId="6FE194A4" w14:textId="77777777" w:rsidR="00B2442D" w:rsidRDefault="00B2442D">
      <w:pPr>
        <w:jc w:val="both"/>
        <w:rPr>
          <w:rFonts w:ascii="Arial" w:hAnsi="Arial" w:cs="Arial"/>
          <w:i/>
        </w:rPr>
      </w:pPr>
    </w:p>
    <w:p w14:paraId="3C1054A3" w14:textId="77777777" w:rsidR="00B2442D" w:rsidRDefault="008A645F">
      <w:pPr>
        <w:jc w:val="both"/>
        <w:rPr>
          <w:rFonts w:ascii="Arial" w:hAnsi="Arial" w:cs="Arial"/>
          <w:i/>
        </w:rPr>
      </w:pPr>
      <w:r>
        <w:rPr>
          <w:rFonts w:ascii="Arial" w:hAnsi="Arial" w:cs="Arial"/>
          <w:i/>
        </w:rPr>
        <w:t>(Art.8, Decreto 1991 de 1997)</w:t>
      </w:r>
    </w:p>
    <w:p w14:paraId="598BC1C3" w14:textId="77777777" w:rsidR="00B2442D" w:rsidRDefault="00B2442D">
      <w:pPr>
        <w:jc w:val="both"/>
        <w:rPr>
          <w:rFonts w:ascii="Arial" w:hAnsi="Arial" w:cs="Arial"/>
        </w:rPr>
      </w:pPr>
    </w:p>
    <w:p w14:paraId="619539CB" w14:textId="77777777" w:rsidR="00B2442D" w:rsidRDefault="008A645F">
      <w:pPr>
        <w:numPr>
          <w:ilvl w:val="0"/>
          <w:numId w:val="181"/>
        </w:numPr>
        <w:ind w:left="0" w:firstLine="0"/>
        <w:contextualSpacing/>
        <w:jc w:val="both"/>
        <w:rPr>
          <w:rFonts w:ascii="Arial" w:hAnsi="Arial" w:cs="Arial"/>
        </w:rPr>
      </w:pPr>
      <w:r>
        <w:rPr>
          <w:rFonts w:ascii="Arial" w:hAnsi="Arial" w:cs="Arial"/>
          <w:b/>
          <w:i/>
        </w:rPr>
        <w:t>Modificación del numeral 9o. del artículo 1o. del Decreto 500 de 1997.</w:t>
      </w:r>
      <w:r>
        <w:rPr>
          <w:rFonts w:ascii="Arial" w:hAnsi="Arial" w:cs="Arial"/>
        </w:rPr>
        <w:t xml:space="preserve"> Modificase el numeral 9o. del artículo 1o. del Decreto número 500 del 28 de febrero de 1997 en los siguientes </w:t>
      </w:r>
      <w:r>
        <w:rPr>
          <w:rFonts w:ascii="Arial" w:hAnsi="Arial" w:cs="Arial"/>
        </w:rPr>
        <w:t>términos:</w:t>
      </w:r>
    </w:p>
    <w:p w14:paraId="34D7066D" w14:textId="77777777" w:rsidR="00B2442D" w:rsidRDefault="00B2442D">
      <w:pPr>
        <w:jc w:val="both"/>
        <w:rPr>
          <w:rFonts w:ascii="Arial" w:hAnsi="Arial" w:cs="Arial"/>
        </w:rPr>
      </w:pPr>
    </w:p>
    <w:p w14:paraId="381E49BB" w14:textId="77777777" w:rsidR="00B2442D" w:rsidRDefault="008A645F">
      <w:pPr>
        <w:jc w:val="both"/>
        <w:rPr>
          <w:rFonts w:ascii="Arial" w:hAnsi="Arial" w:cs="Arial"/>
        </w:rPr>
      </w:pPr>
      <w:r>
        <w:rPr>
          <w:rFonts w:ascii="Arial" w:hAnsi="Arial" w:cs="Arial"/>
        </w:rPr>
        <w:t>9. Un representante de la Cámara Colombiana de Turismo designado por esta entidad.</w:t>
      </w:r>
    </w:p>
    <w:p w14:paraId="7CFF655E" w14:textId="77777777" w:rsidR="00B2442D" w:rsidRDefault="00B2442D">
      <w:pPr>
        <w:jc w:val="both"/>
        <w:rPr>
          <w:rFonts w:ascii="Arial" w:hAnsi="Arial" w:cs="Arial"/>
          <w:i/>
        </w:rPr>
      </w:pPr>
    </w:p>
    <w:p w14:paraId="6CE0D091" w14:textId="77777777" w:rsidR="00B2442D" w:rsidRDefault="008A645F">
      <w:pPr>
        <w:jc w:val="both"/>
        <w:rPr>
          <w:rFonts w:ascii="Arial" w:hAnsi="Arial" w:cs="Arial"/>
          <w:i/>
        </w:rPr>
      </w:pPr>
      <w:r>
        <w:rPr>
          <w:rFonts w:ascii="Arial" w:hAnsi="Arial" w:cs="Arial"/>
          <w:i/>
        </w:rPr>
        <w:t>(Art.9, Decreto 1991 de 1997)</w:t>
      </w:r>
    </w:p>
    <w:p w14:paraId="07AE299D" w14:textId="77777777" w:rsidR="00B2442D" w:rsidRDefault="00B2442D">
      <w:pPr>
        <w:jc w:val="both"/>
        <w:rPr>
          <w:rFonts w:ascii="Arial" w:hAnsi="Arial" w:cs="Arial"/>
        </w:rPr>
      </w:pPr>
    </w:p>
    <w:p w14:paraId="3F7F24E8" w14:textId="77777777" w:rsidR="00B2442D" w:rsidRDefault="008A645F">
      <w:pPr>
        <w:jc w:val="center"/>
        <w:outlineLvl w:val="2"/>
        <w:rPr>
          <w:rFonts w:ascii="Arial" w:hAnsi="Arial" w:cs="Arial"/>
          <w:b/>
        </w:rPr>
      </w:pPr>
      <w:bookmarkStart w:id="73" w:name="_Toc479171225"/>
      <w:r>
        <w:rPr>
          <w:rFonts w:ascii="Arial" w:hAnsi="Arial" w:cs="Arial"/>
          <w:b/>
        </w:rPr>
        <w:t>TÍTULO 5.</w:t>
      </w:r>
      <w:bookmarkEnd w:id="73"/>
    </w:p>
    <w:p w14:paraId="0BB7ACF4" w14:textId="77777777" w:rsidR="00B2442D" w:rsidRDefault="008A645F">
      <w:pPr>
        <w:jc w:val="center"/>
        <w:outlineLvl w:val="2"/>
        <w:rPr>
          <w:rFonts w:ascii="Arial" w:hAnsi="Arial" w:cs="Arial"/>
          <w:b/>
        </w:rPr>
      </w:pPr>
      <w:bookmarkStart w:id="74" w:name="_Toc479171226"/>
      <w:r>
        <w:rPr>
          <w:rFonts w:ascii="Arial" w:hAnsi="Arial" w:cs="Arial"/>
          <w:b/>
        </w:rPr>
        <w:t>Tasas por Descongestión Urbana</w:t>
      </w:r>
      <w:bookmarkEnd w:id="74"/>
    </w:p>
    <w:p w14:paraId="2072C9DC" w14:textId="77777777" w:rsidR="00B2442D" w:rsidRDefault="00B2442D">
      <w:pPr>
        <w:jc w:val="both"/>
        <w:rPr>
          <w:rFonts w:ascii="Arial" w:hAnsi="Arial" w:cs="Arial"/>
        </w:rPr>
      </w:pPr>
    </w:p>
    <w:p w14:paraId="6EB6BFC1" w14:textId="77777777" w:rsidR="00B2442D" w:rsidRDefault="008A645F">
      <w:pPr>
        <w:numPr>
          <w:ilvl w:val="0"/>
          <w:numId w:val="182"/>
        </w:numPr>
        <w:ind w:left="0" w:firstLine="0"/>
        <w:contextualSpacing/>
        <w:jc w:val="both"/>
        <w:rPr>
          <w:rFonts w:ascii="Arial" w:hAnsi="Arial" w:cs="Arial"/>
        </w:rPr>
      </w:pPr>
      <w:r>
        <w:rPr>
          <w:rFonts w:ascii="Arial" w:hAnsi="Arial" w:cs="Arial"/>
          <w:b/>
          <w:i/>
        </w:rPr>
        <w:t xml:space="preserve">Criterios para determinar áreas de alta congestión, de alta contaminación, o de </w:t>
      </w:r>
      <w:r>
        <w:rPr>
          <w:rFonts w:ascii="Arial" w:hAnsi="Arial" w:cs="Arial"/>
          <w:b/>
          <w:i/>
        </w:rPr>
        <w:t>infraestructura construida o mejorada para evitar congestión urbana.</w:t>
      </w:r>
      <w:r>
        <w:rPr>
          <w:rFonts w:ascii="Arial" w:hAnsi="Arial" w:cs="Arial"/>
        </w:rPr>
        <w:t xml:space="preserve"> De conformidad con la ley, los Municipios o Distritos con poblaciones mayores a 300.000 habitantes, podrán establecer tasas por uso de áreas de alta congestión, de alta contaminación, o d</w:t>
      </w:r>
      <w:r>
        <w:rPr>
          <w:rFonts w:ascii="Arial" w:hAnsi="Arial" w:cs="Arial"/>
        </w:rPr>
        <w:t xml:space="preserve">e infraestructura construida o mejorada para evitar congestión urbana. Para la determinación de estas áreas deberán observar los siguientes criterios: </w:t>
      </w:r>
    </w:p>
    <w:p w14:paraId="73E75036" w14:textId="77777777" w:rsidR="00B2442D" w:rsidRDefault="00B2442D">
      <w:pPr>
        <w:jc w:val="both"/>
        <w:rPr>
          <w:rFonts w:ascii="Arial" w:hAnsi="Arial" w:cs="Arial"/>
        </w:rPr>
      </w:pPr>
    </w:p>
    <w:p w14:paraId="0BFD26A0" w14:textId="77777777" w:rsidR="00B2442D" w:rsidRDefault="008A645F">
      <w:pPr>
        <w:jc w:val="both"/>
        <w:rPr>
          <w:rFonts w:ascii="Arial" w:hAnsi="Arial" w:cs="Arial"/>
        </w:rPr>
      </w:pPr>
      <w:r>
        <w:rPr>
          <w:rFonts w:ascii="Arial" w:hAnsi="Arial" w:cs="Arial"/>
        </w:rPr>
        <w:t>La disponibilidad de una oferta de transporte público y alternativas de transporte no motorizadas sufic</w:t>
      </w:r>
      <w:r>
        <w:rPr>
          <w:rFonts w:ascii="Arial" w:hAnsi="Arial" w:cs="Arial"/>
        </w:rPr>
        <w:t xml:space="preserve">ientes para atender tanto las demandas existentes como las nuevas que se puedan generar con la imposición de las tasas por uso y su proyección en el tiempo a partir de series estadísticas de al menos diez (10) años. </w:t>
      </w:r>
    </w:p>
    <w:p w14:paraId="09BF771C" w14:textId="77777777" w:rsidR="00B2442D" w:rsidRDefault="00B2442D">
      <w:pPr>
        <w:jc w:val="both"/>
        <w:rPr>
          <w:rFonts w:ascii="Arial" w:hAnsi="Arial" w:cs="Arial"/>
        </w:rPr>
      </w:pPr>
    </w:p>
    <w:p w14:paraId="11491C61" w14:textId="77777777" w:rsidR="00B2442D" w:rsidRDefault="008A645F">
      <w:pPr>
        <w:jc w:val="both"/>
        <w:rPr>
          <w:rFonts w:ascii="Arial" w:hAnsi="Arial" w:cs="Arial"/>
        </w:rPr>
      </w:pPr>
      <w:r>
        <w:rPr>
          <w:rFonts w:ascii="Arial" w:hAnsi="Arial" w:cs="Arial"/>
        </w:rPr>
        <w:t>Cuando se trate de infraestructura vial a mejorar o las áreas en cuestión, acreditar que éstas se caracterizan por la existencia de externalidades negativas relacionadas principalmente con el uso excesivo de vehículos motorizados particulares y que no se a</w:t>
      </w:r>
      <w:r>
        <w:rPr>
          <w:rFonts w:ascii="Arial" w:hAnsi="Arial" w:cs="Arial"/>
        </w:rPr>
        <w:t xml:space="preserve">fectarán adversamente los niveles de servicio del transporte público y no motorizado, realizando simulaciones con base en las series estadísticas. </w:t>
      </w:r>
    </w:p>
    <w:p w14:paraId="3CD27959" w14:textId="77777777" w:rsidR="00B2442D" w:rsidRDefault="00B2442D">
      <w:pPr>
        <w:jc w:val="both"/>
        <w:rPr>
          <w:rFonts w:ascii="Arial" w:hAnsi="Arial" w:cs="Arial"/>
        </w:rPr>
      </w:pPr>
    </w:p>
    <w:p w14:paraId="71862970" w14:textId="77777777" w:rsidR="00B2442D" w:rsidRDefault="008A645F">
      <w:pPr>
        <w:jc w:val="both"/>
        <w:rPr>
          <w:rFonts w:ascii="Arial" w:hAnsi="Arial" w:cs="Arial"/>
        </w:rPr>
      </w:pPr>
      <w:r>
        <w:rPr>
          <w:rFonts w:ascii="Arial" w:hAnsi="Arial" w:cs="Arial"/>
        </w:rPr>
        <w:t xml:space="preserve">La forma en que se va a contener el número de impactos negativos previsibles en diversos órdenes sobre las </w:t>
      </w:r>
      <w:r>
        <w:rPr>
          <w:rFonts w:ascii="Arial" w:hAnsi="Arial" w:cs="Arial"/>
        </w:rPr>
        <w:t xml:space="preserve">vías, zonas o corredores de transporte por fuera de la infraestructura o de las áreas, y en que la administración municipal o distrital formulará e implementará acciones apropiadas de mitigación en todo caso. </w:t>
      </w:r>
    </w:p>
    <w:p w14:paraId="42F0B349" w14:textId="77777777" w:rsidR="00B2442D" w:rsidRDefault="00B2442D">
      <w:pPr>
        <w:jc w:val="both"/>
        <w:rPr>
          <w:rFonts w:ascii="Arial" w:hAnsi="Arial" w:cs="Arial"/>
        </w:rPr>
      </w:pPr>
    </w:p>
    <w:p w14:paraId="271ACC44" w14:textId="77777777" w:rsidR="00B2442D" w:rsidRDefault="008A645F">
      <w:pPr>
        <w:jc w:val="both"/>
        <w:rPr>
          <w:rFonts w:ascii="Arial" w:hAnsi="Arial" w:cs="Arial"/>
        </w:rPr>
      </w:pPr>
      <w:r>
        <w:rPr>
          <w:rFonts w:ascii="Arial" w:hAnsi="Arial" w:cs="Arial"/>
        </w:rPr>
        <w:t>Atendidos los criterios anteriores, se formul</w:t>
      </w:r>
      <w:r>
        <w:rPr>
          <w:rFonts w:ascii="Arial" w:hAnsi="Arial" w:cs="Arial"/>
        </w:rPr>
        <w:t xml:space="preserve">ará el modelo de tasa por uso en el cual deberán abordarse al menos los siguientes criterios, de conformidad con los parágrafos 1 y 2 del artículo 90 de la Ley 1450 de 2011: </w:t>
      </w:r>
    </w:p>
    <w:p w14:paraId="4A1B10E3" w14:textId="77777777" w:rsidR="00B2442D" w:rsidRDefault="00B2442D">
      <w:pPr>
        <w:jc w:val="both"/>
        <w:rPr>
          <w:rFonts w:ascii="Arial" w:hAnsi="Arial" w:cs="Arial"/>
        </w:rPr>
      </w:pPr>
    </w:p>
    <w:p w14:paraId="0B63B98C" w14:textId="77777777" w:rsidR="00B2442D" w:rsidRDefault="008A645F">
      <w:pPr>
        <w:jc w:val="both"/>
        <w:rPr>
          <w:rFonts w:ascii="Arial" w:hAnsi="Arial" w:cs="Arial"/>
        </w:rPr>
      </w:pPr>
      <w:r>
        <w:rPr>
          <w:rFonts w:ascii="Arial" w:hAnsi="Arial" w:cs="Arial"/>
        </w:rPr>
        <w:t>1. Con relación a condiciones operativas y para facilitar la determinación de la</w:t>
      </w:r>
      <w:r>
        <w:rPr>
          <w:rFonts w:ascii="Arial" w:hAnsi="Arial" w:cs="Arial"/>
        </w:rPr>
        <w:t xml:space="preserve"> infraestructura o de las áreas según el contexto local, la administración municipal o distrital deberá observar tanto las características como los elementos que las conforman como se indica a continuación, favoreciendo la eficiente utilización de las vías</w:t>
      </w:r>
      <w:r>
        <w:rPr>
          <w:rFonts w:ascii="Arial" w:hAnsi="Arial" w:cs="Arial"/>
        </w:rPr>
        <w:t xml:space="preserve"> y/o el espacio público circunscritos, además de promover el cambio modal a modos de transporte público y no motorizado: </w:t>
      </w:r>
    </w:p>
    <w:p w14:paraId="0BD1E49D" w14:textId="77777777" w:rsidR="00B2442D" w:rsidRDefault="008A645F">
      <w:pPr>
        <w:jc w:val="both"/>
        <w:rPr>
          <w:rFonts w:ascii="Arial" w:hAnsi="Arial" w:cs="Arial"/>
        </w:rPr>
      </w:pPr>
      <w:r>
        <w:rPr>
          <w:rFonts w:ascii="Arial" w:hAnsi="Arial" w:cs="Arial"/>
        </w:rPr>
        <w:t>1.1 Tipos de vía, niveles de congestión y servicio, tipos de servicio de los vehículos y niveles de ocupación vehicular para la imposi</w:t>
      </w:r>
      <w:r>
        <w:rPr>
          <w:rFonts w:ascii="Arial" w:hAnsi="Arial" w:cs="Arial"/>
        </w:rPr>
        <w:t>ción de tasas por uso de áreas de alta congestión o de infraestructura construida o mejorada para evitar congestión urbana.</w:t>
      </w:r>
    </w:p>
    <w:p w14:paraId="0E3C09B8" w14:textId="77777777" w:rsidR="00B2442D" w:rsidRDefault="008A645F">
      <w:pPr>
        <w:jc w:val="both"/>
        <w:rPr>
          <w:rFonts w:ascii="Arial" w:hAnsi="Arial" w:cs="Arial"/>
        </w:rPr>
      </w:pPr>
      <w:r>
        <w:rPr>
          <w:rFonts w:ascii="Arial" w:hAnsi="Arial" w:cs="Arial"/>
        </w:rPr>
        <w:t xml:space="preserve">1.2 Concentraciones de los técnicamente denominados 'contaminantes criterio', tipos de vehículos, modelos, tipos de servicio de los </w:t>
      </w:r>
      <w:r>
        <w:rPr>
          <w:rFonts w:ascii="Arial" w:hAnsi="Arial" w:cs="Arial"/>
        </w:rPr>
        <w:t xml:space="preserve">vehículos y niveles de ocupación vehicular para la imposición de tasas por uso de áreas de alta contaminación. </w:t>
      </w:r>
    </w:p>
    <w:p w14:paraId="304D918A" w14:textId="77777777" w:rsidR="00B2442D" w:rsidRDefault="008A645F">
      <w:pPr>
        <w:jc w:val="both"/>
        <w:rPr>
          <w:rFonts w:ascii="Arial" w:hAnsi="Arial" w:cs="Arial"/>
        </w:rPr>
      </w:pPr>
      <w:r>
        <w:rPr>
          <w:rFonts w:ascii="Arial" w:hAnsi="Arial" w:cs="Arial"/>
        </w:rPr>
        <w:t xml:space="preserve">1.3 Temporalidad de las tasas por uso, de acuerdo con los criterios señalados en los parágrafos 1 y 2 del artículo 90 de la Ley 1450 de 2011, y </w:t>
      </w:r>
      <w:r>
        <w:rPr>
          <w:rFonts w:ascii="Arial" w:hAnsi="Arial" w:cs="Arial"/>
        </w:rPr>
        <w:t xml:space="preserve">en concordancia con la destinación específica prevista en el inciso 2° del mismo artículo. </w:t>
      </w:r>
    </w:p>
    <w:p w14:paraId="2AD52FBA" w14:textId="77777777" w:rsidR="00B2442D" w:rsidRDefault="008A645F">
      <w:pPr>
        <w:jc w:val="both"/>
        <w:rPr>
          <w:rFonts w:ascii="Arial" w:hAnsi="Arial" w:cs="Arial"/>
        </w:rPr>
      </w:pPr>
      <w:r>
        <w:rPr>
          <w:rFonts w:ascii="Arial" w:hAnsi="Arial" w:cs="Arial"/>
        </w:rPr>
        <w:t xml:space="preserve">1.4 Aspectos relacionados con la aplicación de las tasas por uso como los días a la semana, las horas del día, las vías de aplicación y/o las distancias recorridas </w:t>
      </w:r>
      <w:r>
        <w:rPr>
          <w:rFonts w:ascii="Arial" w:hAnsi="Arial" w:cs="Arial"/>
        </w:rPr>
        <w:t xml:space="preserve">sobre las cuales se impondrán las tasas por uso. </w:t>
      </w:r>
    </w:p>
    <w:p w14:paraId="4F94CF2E" w14:textId="77777777" w:rsidR="00B2442D" w:rsidRDefault="00B2442D">
      <w:pPr>
        <w:jc w:val="both"/>
        <w:rPr>
          <w:rFonts w:ascii="Arial" w:hAnsi="Arial" w:cs="Arial"/>
        </w:rPr>
      </w:pPr>
    </w:p>
    <w:p w14:paraId="1ADD0509" w14:textId="77777777" w:rsidR="00B2442D" w:rsidRDefault="008A645F">
      <w:pPr>
        <w:jc w:val="both"/>
        <w:rPr>
          <w:rFonts w:ascii="Arial" w:hAnsi="Arial" w:cs="Arial"/>
        </w:rPr>
      </w:pPr>
      <w:r>
        <w:rPr>
          <w:rFonts w:ascii="Arial" w:hAnsi="Arial" w:cs="Arial"/>
        </w:rPr>
        <w:t>En cada uno de los numerales previos se detallarán los elementos, metodología e indicadores utilizados para su medición.</w:t>
      </w:r>
    </w:p>
    <w:p w14:paraId="2C16DE45" w14:textId="77777777" w:rsidR="00B2442D" w:rsidRDefault="00B2442D">
      <w:pPr>
        <w:jc w:val="both"/>
        <w:rPr>
          <w:rFonts w:ascii="Arial" w:hAnsi="Arial" w:cs="Arial"/>
          <w:i/>
        </w:rPr>
      </w:pPr>
    </w:p>
    <w:p w14:paraId="0459D928" w14:textId="77777777" w:rsidR="00B2442D" w:rsidRDefault="008A645F">
      <w:pPr>
        <w:jc w:val="both"/>
        <w:rPr>
          <w:rFonts w:ascii="Arial" w:hAnsi="Arial" w:cs="Arial"/>
          <w:i/>
        </w:rPr>
      </w:pPr>
      <w:r>
        <w:rPr>
          <w:rFonts w:ascii="Arial" w:hAnsi="Arial" w:cs="Arial"/>
          <w:i/>
        </w:rPr>
        <w:t>(Art.1, Decreto 2883 de 2013)</w:t>
      </w:r>
    </w:p>
    <w:p w14:paraId="05EC9014" w14:textId="77777777" w:rsidR="00B2442D" w:rsidRDefault="00B2442D">
      <w:pPr>
        <w:jc w:val="both"/>
        <w:rPr>
          <w:rFonts w:ascii="Arial" w:hAnsi="Arial" w:cs="Arial"/>
        </w:rPr>
      </w:pPr>
    </w:p>
    <w:p w14:paraId="5F5FF9C0" w14:textId="77777777" w:rsidR="00B2442D" w:rsidRDefault="008A645F">
      <w:pPr>
        <w:numPr>
          <w:ilvl w:val="0"/>
          <w:numId w:val="182"/>
        </w:numPr>
        <w:ind w:left="0" w:firstLine="0"/>
        <w:contextualSpacing/>
        <w:jc w:val="both"/>
        <w:rPr>
          <w:rFonts w:ascii="Arial" w:hAnsi="Arial" w:cs="Arial"/>
        </w:rPr>
      </w:pPr>
      <w:r>
        <w:rPr>
          <w:rFonts w:ascii="Arial" w:hAnsi="Arial" w:cs="Arial"/>
          <w:b/>
          <w:i/>
        </w:rPr>
        <w:t>Condiciones para la definición, implementación, modi</w:t>
      </w:r>
      <w:r>
        <w:rPr>
          <w:rFonts w:ascii="Arial" w:hAnsi="Arial" w:cs="Arial"/>
          <w:b/>
          <w:i/>
        </w:rPr>
        <w:t>ficación o derogación de áreas de alta congestión, de alta contaminación, o de infraestructura construida o mejorada para evitar congestión urbana.</w:t>
      </w:r>
      <w:r>
        <w:rPr>
          <w:rFonts w:ascii="Arial" w:hAnsi="Arial" w:cs="Arial"/>
        </w:rPr>
        <w:t xml:space="preserve"> La administración municipal o distrital que opte por definir, implementar o modificar la infraestructura o l</w:t>
      </w:r>
      <w:r>
        <w:rPr>
          <w:rFonts w:ascii="Arial" w:hAnsi="Arial" w:cs="Arial"/>
        </w:rPr>
        <w:t xml:space="preserve">as áreas de las que trata el presente Decreto, garantizará que se cumplan los estándares y protocolos nacionales en caso de adoptar el sistema de identificación y recaudo electrónico vehicular que el Gobierno Nacional disponga. </w:t>
      </w:r>
    </w:p>
    <w:p w14:paraId="7FFD1436" w14:textId="77777777" w:rsidR="00B2442D" w:rsidRDefault="00B2442D">
      <w:pPr>
        <w:jc w:val="both"/>
        <w:rPr>
          <w:rFonts w:ascii="Arial" w:hAnsi="Arial" w:cs="Arial"/>
        </w:rPr>
      </w:pPr>
    </w:p>
    <w:p w14:paraId="2AFD572D" w14:textId="77777777" w:rsidR="00B2442D" w:rsidRDefault="008A645F">
      <w:pPr>
        <w:jc w:val="both"/>
        <w:rPr>
          <w:rFonts w:ascii="Arial" w:hAnsi="Arial" w:cs="Arial"/>
        </w:rPr>
      </w:pPr>
      <w:r>
        <w:rPr>
          <w:rFonts w:ascii="Arial" w:hAnsi="Arial" w:cs="Arial"/>
        </w:rPr>
        <w:t>Corresponde a los Municipi</w:t>
      </w:r>
      <w:r>
        <w:rPr>
          <w:rFonts w:ascii="Arial" w:hAnsi="Arial" w:cs="Arial"/>
        </w:rPr>
        <w:t xml:space="preserve">os o Distritos, la realización de estudios debidamente sustentados, los cuales atenderán y resolverán como mínimo, los criterios definidos en el presente Decreto como soporte previo necesario a la expedición de los actos administrativos. </w:t>
      </w:r>
    </w:p>
    <w:p w14:paraId="5406210E" w14:textId="77777777" w:rsidR="00B2442D" w:rsidRDefault="00B2442D">
      <w:pPr>
        <w:jc w:val="both"/>
        <w:rPr>
          <w:rFonts w:ascii="Arial" w:hAnsi="Arial" w:cs="Arial"/>
        </w:rPr>
      </w:pPr>
    </w:p>
    <w:p w14:paraId="0A2EE969" w14:textId="77777777" w:rsidR="00B2442D" w:rsidRDefault="008A645F">
      <w:pPr>
        <w:jc w:val="both"/>
        <w:rPr>
          <w:rFonts w:ascii="Arial" w:hAnsi="Arial" w:cs="Arial"/>
        </w:rPr>
      </w:pPr>
      <w:r>
        <w:rPr>
          <w:rFonts w:ascii="Arial" w:hAnsi="Arial" w:cs="Arial"/>
        </w:rPr>
        <w:t>La Administració</w:t>
      </w:r>
      <w:r>
        <w:rPr>
          <w:rFonts w:ascii="Arial" w:hAnsi="Arial" w:cs="Arial"/>
        </w:rPr>
        <w:t>n Municipal o Distrital sustentará ante la instancia que para ello conforme el Ministerio de Transporte, el proyecto de determinación, implementación, modificación o derogación si es el caso, de las áreas de alta congestión, de alta contaminación, o de inf</w:t>
      </w:r>
      <w:r>
        <w:rPr>
          <w:rFonts w:ascii="Arial" w:hAnsi="Arial" w:cs="Arial"/>
        </w:rPr>
        <w:t xml:space="preserve">raestructura construida o mejorada para evitar congestión urbana que va a realizar y su respectivo plan de acción, el cual deberá contener como mínimo la siguiente información: </w:t>
      </w:r>
    </w:p>
    <w:p w14:paraId="44BD1405" w14:textId="77777777" w:rsidR="00B2442D" w:rsidRDefault="00B2442D">
      <w:pPr>
        <w:jc w:val="both"/>
        <w:rPr>
          <w:rFonts w:ascii="Arial" w:hAnsi="Arial" w:cs="Arial"/>
        </w:rPr>
      </w:pPr>
    </w:p>
    <w:p w14:paraId="24B5EA78" w14:textId="77777777" w:rsidR="00B2442D" w:rsidRDefault="008A645F">
      <w:pPr>
        <w:numPr>
          <w:ilvl w:val="0"/>
          <w:numId w:val="170"/>
        </w:numPr>
        <w:ind w:left="0" w:firstLine="0"/>
        <w:contextualSpacing/>
        <w:jc w:val="both"/>
        <w:rPr>
          <w:rFonts w:ascii="Arial" w:hAnsi="Arial" w:cs="Arial"/>
        </w:rPr>
      </w:pPr>
      <w:r>
        <w:rPr>
          <w:rFonts w:ascii="Arial" w:hAnsi="Arial" w:cs="Arial"/>
        </w:rPr>
        <w:t>Estudio de viabilidad económica y social, indicando expresamente los costos y</w:t>
      </w:r>
      <w:r>
        <w:rPr>
          <w:rFonts w:ascii="Arial" w:hAnsi="Arial" w:cs="Arial"/>
        </w:rPr>
        <w:t xml:space="preserve"> beneficios de la iniciativa a impulsar y su conveniencia. </w:t>
      </w:r>
    </w:p>
    <w:p w14:paraId="71F0D196" w14:textId="77777777" w:rsidR="00B2442D" w:rsidRDefault="008A645F">
      <w:pPr>
        <w:numPr>
          <w:ilvl w:val="0"/>
          <w:numId w:val="170"/>
        </w:numPr>
        <w:ind w:left="0" w:firstLine="0"/>
        <w:contextualSpacing/>
        <w:jc w:val="both"/>
        <w:rPr>
          <w:rFonts w:ascii="Arial" w:hAnsi="Arial" w:cs="Arial"/>
        </w:rPr>
      </w:pPr>
      <w:r>
        <w:rPr>
          <w:rFonts w:ascii="Arial" w:hAnsi="Arial" w:cs="Arial"/>
        </w:rPr>
        <w:t>Definición clara de funciones y responsabilidades de la autoridad competente estipulada, nueva o delegada, que tendrá a cargo la definición, implementación, modificación y operación de la iniciati</w:t>
      </w:r>
      <w:r>
        <w:rPr>
          <w:rFonts w:ascii="Arial" w:hAnsi="Arial" w:cs="Arial"/>
        </w:rPr>
        <w:t xml:space="preserve">va. </w:t>
      </w:r>
    </w:p>
    <w:p w14:paraId="3EA55915" w14:textId="77777777" w:rsidR="00B2442D" w:rsidRDefault="008A645F">
      <w:pPr>
        <w:numPr>
          <w:ilvl w:val="0"/>
          <w:numId w:val="170"/>
        </w:numPr>
        <w:ind w:left="0" w:firstLine="0"/>
        <w:contextualSpacing/>
        <w:jc w:val="both"/>
        <w:rPr>
          <w:rFonts w:ascii="Arial" w:hAnsi="Arial" w:cs="Arial"/>
        </w:rPr>
      </w:pPr>
      <w:r>
        <w:rPr>
          <w:rFonts w:ascii="Arial" w:hAnsi="Arial" w:cs="Arial"/>
        </w:rPr>
        <w:t xml:space="preserve">Metodología para la definición de indicadores de impacto de la medida, esquema detallado de monitoreo y métodos de evaluación a adoptar. </w:t>
      </w:r>
    </w:p>
    <w:p w14:paraId="6857628D" w14:textId="77777777" w:rsidR="00B2442D" w:rsidRDefault="008A645F">
      <w:pPr>
        <w:numPr>
          <w:ilvl w:val="0"/>
          <w:numId w:val="170"/>
        </w:numPr>
        <w:ind w:left="0" w:firstLine="0"/>
        <w:contextualSpacing/>
        <w:jc w:val="both"/>
        <w:rPr>
          <w:rFonts w:ascii="Arial" w:hAnsi="Arial" w:cs="Arial"/>
        </w:rPr>
      </w:pPr>
      <w:r>
        <w:rPr>
          <w:rFonts w:ascii="Arial" w:hAnsi="Arial" w:cs="Arial"/>
        </w:rPr>
        <w:t>Para los casos específicos de definición, implementación o modificación, se incluirá la propuesta tecnológica y el esq</w:t>
      </w:r>
      <w:r>
        <w:rPr>
          <w:rFonts w:ascii="Arial" w:hAnsi="Arial" w:cs="Arial"/>
        </w:rPr>
        <w:t xml:space="preserve">uema operativo y funcional del sistema de recaudo electrónico vehicular. Especial atención se dará a los mecanismos de identificación, recolección, verificación, cobro y control de evasión de las tasas por uso. </w:t>
      </w:r>
    </w:p>
    <w:p w14:paraId="7B6CB8F3" w14:textId="77777777" w:rsidR="00B2442D" w:rsidRDefault="008A645F">
      <w:pPr>
        <w:numPr>
          <w:ilvl w:val="0"/>
          <w:numId w:val="170"/>
        </w:numPr>
        <w:ind w:left="0" w:firstLine="0"/>
        <w:contextualSpacing/>
        <w:jc w:val="both"/>
        <w:rPr>
          <w:rFonts w:ascii="Arial" w:hAnsi="Arial" w:cs="Arial"/>
        </w:rPr>
      </w:pPr>
      <w:r>
        <w:rPr>
          <w:rFonts w:ascii="Arial" w:hAnsi="Arial" w:cs="Arial"/>
        </w:rPr>
        <w:t>Cronograma y descripción del plan de definic</w:t>
      </w:r>
      <w:r>
        <w:rPr>
          <w:rFonts w:ascii="Arial" w:hAnsi="Arial" w:cs="Arial"/>
        </w:rPr>
        <w:t xml:space="preserve">ión, implementación, modificación y/o derogación, debidamente justificado que incluya las medidas y/o iniciativas previas y posteriores a la definición, implementación, modificación y/o derogación del cobro de las tasas por uso. </w:t>
      </w:r>
    </w:p>
    <w:p w14:paraId="15003A8A" w14:textId="77777777" w:rsidR="00B2442D" w:rsidRDefault="008A645F">
      <w:pPr>
        <w:numPr>
          <w:ilvl w:val="0"/>
          <w:numId w:val="170"/>
        </w:numPr>
        <w:ind w:left="0" w:firstLine="0"/>
        <w:contextualSpacing/>
        <w:jc w:val="both"/>
        <w:rPr>
          <w:rFonts w:ascii="Arial" w:hAnsi="Arial" w:cs="Arial"/>
        </w:rPr>
      </w:pPr>
      <w:r>
        <w:rPr>
          <w:rFonts w:ascii="Arial" w:hAnsi="Arial" w:cs="Arial"/>
        </w:rPr>
        <w:t>Proyecto de acto administr</w:t>
      </w:r>
      <w:r>
        <w:rPr>
          <w:rFonts w:ascii="Arial" w:hAnsi="Arial" w:cs="Arial"/>
        </w:rPr>
        <w:t>ativo local que defina la infraestructura o las áreas en cuestión, señalando expresamente la externalidad o conjunto de externalidades negativas que sustentan la iniciativa y el cual permitirá delimitar el cobro y adoptar las tasas por uso, o si es el caso</w:t>
      </w:r>
      <w:r>
        <w:rPr>
          <w:rFonts w:ascii="Arial" w:hAnsi="Arial" w:cs="Arial"/>
        </w:rPr>
        <w:t xml:space="preserve"> derogar el cobro que aplica sobre las mismas.</w:t>
      </w:r>
    </w:p>
    <w:p w14:paraId="44D28824" w14:textId="77777777" w:rsidR="00B2442D" w:rsidRDefault="008A645F">
      <w:pPr>
        <w:numPr>
          <w:ilvl w:val="0"/>
          <w:numId w:val="170"/>
        </w:numPr>
        <w:ind w:left="0" w:firstLine="0"/>
        <w:contextualSpacing/>
        <w:jc w:val="both"/>
        <w:rPr>
          <w:rFonts w:ascii="Arial" w:hAnsi="Arial" w:cs="Arial"/>
        </w:rPr>
      </w:pPr>
      <w:r>
        <w:rPr>
          <w:rFonts w:ascii="Arial" w:hAnsi="Arial" w:cs="Arial"/>
        </w:rPr>
        <w:t xml:space="preserve">Para los casos específicos de definición, implementación o modificación, se detallarán los proyectos y programas a los cuales se destinarán los recursos del cobro de las tasas por uso. </w:t>
      </w:r>
    </w:p>
    <w:p w14:paraId="5BBD95E8" w14:textId="77777777" w:rsidR="00B2442D" w:rsidRDefault="008A645F">
      <w:pPr>
        <w:numPr>
          <w:ilvl w:val="0"/>
          <w:numId w:val="170"/>
        </w:numPr>
        <w:ind w:left="0" w:firstLine="0"/>
        <w:contextualSpacing/>
        <w:jc w:val="both"/>
        <w:rPr>
          <w:rFonts w:ascii="Arial" w:hAnsi="Arial" w:cs="Arial"/>
        </w:rPr>
      </w:pPr>
      <w:r>
        <w:rPr>
          <w:rFonts w:ascii="Arial" w:hAnsi="Arial" w:cs="Arial"/>
        </w:rPr>
        <w:t xml:space="preserve">Plan de socialización. </w:t>
      </w:r>
    </w:p>
    <w:p w14:paraId="132CD467" w14:textId="77777777" w:rsidR="00B2442D" w:rsidRDefault="00B2442D">
      <w:pPr>
        <w:jc w:val="both"/>
        <w:rPr>
          <w:rFonts w:ascii="Arial" w:hAnsi="Arial" w:cs="Arial"/>
        </w:rPr>
      </w:pPr>
    </w:p>
    <w:p w14:paraId="39DD3535"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En todo caso, la definición, implementación, modificación o derogación de áreas de alta congestión, de alta contaminación, o de infraestructura construida o mejorada para evitar congestión urbana, deberá ser congruente con la política pública </w:t>
      </w:r>
      <w:r>
        <w:rPr>
          <w:rFonts w:ascii="Arial" w:hAnsi="Arial" w:cs="Arial"/>
        </w:rPr>
        <w:t>nacional de movilidad y transporte urbano e impulsada con el propósito de facilitar directa o indirectamente, la ejecución de los Planes de Desarrollo de las autoridades locales y la promoción coherente de políticas y medidas que se establezcan dentro de d</w:t>
      </w:r>
      <w:r>
        <w:rPr>
          <w:rFonts w:ascii="Arial" w:hAnsi="Arial" w:cs="Arial"/>
        </w:rPr>
        <w:t>ocumentos de política pública como planes maestros de movilidad, estrategias de transporte y planes de ordenamiento territorial.</w:t>
      </w:r>
    </w:p>
    <w:p w14:paraId="764EF829" w14:textId="77777777" w:rsidR="00B2442D" w:rsidRDefault="00B2442D">
      <w:pPr>
        <w:jc w:val="both"/>
        <w:rPr>
          <w:rFonts w:ascii="Arial" w:hAnsi="Arial" w:cs="Arial"/>
          <w:i/>
        </w:rPr>
      </w:pPr>
    </w:p>
    <w:p w14:paraId="4E9328CA" w14:textId="77777777" w:rsidR="00B2442D" w:rsidRDefault="008A645F">
      <w:pPr>
        <w:jc w:val="both"/>
        <w:rPr>
          <w:rFonts w:ascii="Arial" w:hAnsi="Arial" w:cs="Arial"/>
          <w:i/>
        </w:rPr>
      </w:pPr>
      <w:r>
        <w:rPr>
          <w:rFonts w:ascii="Arial" w:hAnsi="Arial" w:cs="Arial"/>
          <w:i/>
        </w:rPr>
        <w:t>(Art.2, Decreto 2883 de 2013)</w:t>
      </w:r>
    </w:p>
    <w:p w14:paraId="7E90BCCC" w14:textId="77777777" w:rsidR="00B2442D" w:rsidRDefault="00B2442D">
      <w:pPr>
        <w:jc w:val="both"/>
        <w:rPr>
          <w:rFonts w:ascii="Arial" w:hAnsi="Arial" w:cs="Arial"/>
        </w:rPr>
      </w:pPr>
    </w:p>
    <w:p w14:paraId="11A7E223" w14:textId="77777777" w:rsidR="00B2442D" w:rsidRDefault="008A645F">
      <w:pPr>
        <w:numPr>
          <w:ilvl w:val="0"/>
          <w:numId w:val="182"/>
        </w:numPr>
        <w:ind w:left="0" w:firstLine="0"/>
        <w:contextualSpacing/>
        <w:jc w:val="both"/>
        <w:rPr>
          <w:rFonts w:ascii="Arial" w:hAnsi="Arial" w:cs="Arial"/>
        </w:rPr>
      </w:pPr>
      <w:r>
        <w:rPr>
          <w:rFonts w:ascii="Arial" w:hAnsi="Arial" w:cs="Arial"/>
          <w:b/>
          <w:i/>
        </w:rPr>
        <w:t>Sustentación del proyecto.</w:t>
      </w:r>
      <w:r>
        <w:rPr>
          <w:rFonts w:ascii="Arial" w:hAnsi="Arial" w:cs="Arial"/>
        </w:rPr>
        <w:t xml:space="preserve"> La sustentación ante la instancia conformada por el Ministerio de Tr</w:t>
      </w:r>
      <w:r>
        <w:rPr>
          <w:rFonts w:ascii="Arial" w:hAnsi="Arial" w:cs="Arial"/>
        </w:rPr>
        <w:t>ansporte deberá realizarse sobre proyectos consolidados y será anterior a la expedición de todos los actos administrativos. Dicha sustentación tendrá lugar en un plazo no superior a los tres (3) meses a partir de la entrega completa del proyecto al Ministe</w:t>
      </w:r>
      <w:r>
        <w:rPr>
          <w:rFonts w:ascii="Arial" w:hAnsi="Arial" w:cs="Arial"/>
        </w:rPr>
        <w:t>rio de Transporte, con una única posibilidad de prórroga no mayor a tres (3) meses adicionales, la cual de requerirse será comunicada por parte del Ministerio de Transporte. Si se requieren consultas y/o estudios técnicos adicionales se suspenderá el térmi</w:t>
      </w:r>
      <w:r>
        <w:rPr>
          <w:rFonts w:ascii="Arial" w:hAnsi="Arial" w:cs="Arial"/>
        </w:rPr>
        <w:t xml:space="preserve">no, con el propósito de reforzar y consolidar la viabilidad del proyecto. Los costos asociados a consultas y/o estudios técnicos serán cubiertos por los Municipios o Distritos que buscan impulsar el proyecto. </w:t>
      </w:r>
    </w:p>
    <w:p w14:paraId="709B0E49" w14:textId="77777777" w:rsidR="00B2442D" w:rsidRDefault="00B2442D">
      <w:pPr>
        <w:jc w:val="both"/>
        <w:rPr>
          <w:rFonts w:ascii="Arial" w:hAnsi="Arial" w:cs="Arial"/>
        </w:rPr>
      </w:pPr>
    </w:p>
    <w:p w14:paraId="078001DB" w14:textId="77777777" w:rsidR="00B2442D" w:rsidRDefault="008A645F">
      <w:pPr>
        <w:jc w:val="both"/>
        <w:rPr>
          <w:rFonts w:ascii="Arial" w:hAnsi="Arial" w:cs="Arial"/>
        </w:rPr>
      </w:pPr>
      <w:r>
        <w:rPr>
          <w:rFonts w:ascii="Arial" w:hAnsi="Arial" w:cs="Arial"/>
        </w:rPr>
        <w:t>Durante la sustentación podrán formularse obs</w:t>
      </w:r>
      <w:r>
        <w:rPr>
          <w:rFonts w:ascii="Arial" w:hAnsi="Arial" w:cs="Arial"/>
        </w:rPr>
        <w:t xml:space="preserve">ervaciones y recomendaciones al proyecto de definición, implementación, modificación o derogación de las áreas de alta congestión, de alta contaminación, o de infraestructura construida o mejorada para evitar congestión urbana, sobre la base de asistencia </w:t>
      </w:r>
      <w:r>
        <w:rPr>
          <w:rFonts w:ascii="Arial" w:hAnsi="Arial" w:cs="Arial"/>
        </w:rPr>
        <w:t xml:space="preserve">técnica y en lo referente a la coherencia con el marco de políticas nacionales definidas por el Gobierno Nacional. </w:t>
      </w:r>
    </w:p>
    <w:p w14:paraId="54D3E16F" w14:textId="77777777" w:rsidR="00B2442D" w:rsidRDefault="00B2442D">
      <w:pPr>
        <w:jc w:val="both"/>
        <w:rPr>
          <w:rFonts w:ascii="Arial" w:hAnsi="Arial" w:cs="Arial"/>
        </w:rPr>
      </w:pPr>
    </w:p>
    <w:p w14:paraId="5F7C45F9" w14:textId="77777777" w:rsidR="00B2442D" w:rsidRDefault="008A645F">
      <w:pPr>
        <w:jc w:val="both"/>
        <w:rPr>
          <w:rFonts w:ascii="Arial" w:hAnsi="Arial" w:cs="Arial"/>
        </w:rPr>
      </w:pPr>
      <w:r>
        <w:rPr>
          <w:rFonts w:ascii="Arial" w:hAnsi="Arial" w:cs="Arial"/>
        </w:rPr>
        <w:t xml:space="preserve">Una vez concluida la sustentación el Ministerio de Transporte emitirá en un plazo no mayor a un (1) mes, un concepto sobre el cumplimiento </w:t>
      </w:r>
      <w:r>
        <w:rPr>
          <w:rFonts w:ascii="Arial" w:hAnsi="Arial" w:cs="Arial"/>
        </w:rPr>
        <w:t>de las exigencias y criterios por parte del proyecto presentado. Los Municipios o Distritos que opten por apartarse parcial o totalmente de las observaciones o recomendaciones, deberán manifestar explícitamente dentro de los actos administrativos correspon</w:t>
      </w:r>
      <w:r>
        <w:rPr>
          <w:rFonts w:ascii="Arial" w:hAnsi="Arial" w:cs="Arial"/>
        </w:rPr>
        <w:t>dientes, las consideraciones y motivos que justifiquen su decisión. En todo caso los únicos responsables de la definición, implementación, modificación o derogación de la infraestructura o de las áreas serán los Municipios o Distritos en el marco de sus co</w:t>
      </w:r>
      <w:r>
        <w:rPr>
          <w:rFonts w:ascii="Arial" w:hAnsi="Arial" w:cs="Arial"/>
        </w:rPr>
        <w:t>mpetencias legales.</w:t>
      </w:r>
    </w:p>
    <w:p w14:paraId="3D955BD1" w14:textId="77777777" w:rsidR="00B2442D" w:rsidRDefault="00B2442D">
      <w:pPr>
        <w:jc w:val="both"/>
        <w:rPr>
          <w:rFonts w:ascii="Arial" w:hAnsi="Arial" w:cs="Arial"/>
          <w:i/>
        </w:rPr>
      </w:pPr>
    </w:p>
    <w:p w14:paraId="25F02C28" w14:textId="77777777" w:rsidR="00B2442D" w:rsidRDefault="008A645F">
      <w:pPr>
        <w:jc w:val="both"/>
        <w:rPr>
          <w:rFonts w:ascii="Arial" w:hAnsi="Arial" w:cs="Arial"/>
          <w:i/>
        </w:rPr>
      </w:pPr>
      <w:r>
        <w:rPr>
          <w:rFonts w:ascii="Arial" w:hAnsi="Arial" w:cs="Arial"/>
          <w:i/>
        </w:rPr>
        <w:t>(Art.3, Decreto 2883 de 2013)</w:t>
      </w:r>
    </w:p>
    <w:p w14:paraId="09DABC19" w14:textId="77777777" w:rsidR="00B2442D" w:rsidRDefault="00B2442D">
      <w:pPr>
        <w:jc w:val="both"/>
        <w:rPr>
          <w:rFonts w:ascii="Arial" w:hAnsi="Arial" w:cs="Arial"/>
        </w:rPr>
      </w:pPr>
    </w:p>
    <w:p w14:paraId="276EBC16" w14:textId="77777777" w:rsidR="00B2442D" w:rsidRDefault="008A645F">
      <w:pPr>
        <w:numPr>
          <w:ilvl w:val="0"/>
          <w:numId w:val="182"/>
        </w:numPr>
        <w:ind w:left="0" w:firstLine="0"/>
        <w:contextualSpacing/>
        <w:jc w:val="both"/>
        <w:rPr>
          <w:rFonts w:ascii="Arial" w:hAnsi="Arial" w:cs="Arial"/>
        </w:rPr>
      </w:pPr>
      <w:r>
        <w:rPr>
          <w:rFonts w:ascii="Arial" w:hAnsi="Arial" w:cs="Arial"/>
          <w:b/>
          <w:i/>
        </w:rPr>
        <w:t>Tarifas.</w:t>
      </w:r>
      <w:r>
        <w:rPr>
          <w:rFonts w:ascii="Arial" w:hAnsi="Arial" w:cs="Arial"/>
          <w:b/>
        </w:rPr>
        <w:t xml:space="preserve"> </w:t>
      </w:r>
      <w:r>
        <w:rPr>
          <w:rFonts w:ascii="Arial" w:hAnsi="Arial" w:cs="Arial"/>
        </w:rPr>
        <w:t>Los estudios técnicos presentados por la respectiva administración servirán de base para la definición del valor de las tasas por uso, y deberán tener en cuenta en todo caso las disposiciones con</w:t>
      </w:r>
      <w:r>
        <w:rPr>
          <w:rFonts w:ascii="Arial" w:hAnsi="Arial" w:cs="Arial"/>
        </w:rPr>
        <w:t>tenidas en la Constitución, la Ley y los criterios de que trata el artículo 2.1.5.1 del presente Decreto.</w:t>
      </w:r>
    </w:p>
    <w:p w14:paraId="5E3269E3" w14:textId="77777777" w:rsidR="00B2442D" w:rsidRDefault="00B2442D">
      <w:pPr>
        <w:jc w:val="both"/>
        <w:rPr>
          <w:rFonts w:ascii="Arial" w:hAnsi="Arial" w:cs="Arial"/>
          <w:i/>
        </w:rPr>
      </w:pPr>
    </w:p>
    <w:p w14:paraId="4F1517C2" w14:textId="77777777" w:rsidR="00B2442D" w:rsidRDefault="008A645F">
      <w:pPr>
        <w:jc w:val="both"/>
        <w:rPr>
          <w:rFonts w:ascii="Arial" w:hAnsi="Arial" w:cs="Arial"/>
          <w:i/>
        </w:rPr>
      </w:pPr>
      <w:r>
        <w:rPr>
          <w:rFonts w:ascii="Arial" w:hAnsi="Arial" w:cs="Arial"/>
          <w:i/>
        </w:rPr>
        <w:t>(Art.4, Decreto 2883 de 2013)</w:t>
      </w:r>
    </w:p>
    <w:p w14:paraId="773D55B3" w14:textId="77777777" w:rsidR="00B2442D" w:rsidRDefault="00B2442D">
      <w:pPr>
        <w:jc w:val="both"/>
        <w:rPr>
          <w:rFonts w:ascii="Arial" w:hAnsi="Arial" w:cs="Arial"/>
        </w:rPr>
      </w:pPr>
    </w:p>
    <w:p w14:paraId="070DA745" w14:textId="77777777" w:rsidR="00B2442D" w:rsidRDefault="008A645F">
      <w:pPr>
        <w:numPr>
          <w:ilvl w:val="0"/>
          <w:numId w:val="182"/>
        </w:numPr>
        <w:ind w:left="0" w:firstLine="0"/>
        <w:contextualSpacing/>
        <w:jc w:val="both"/>
        <w:rPr>
          <w:rFonts w:ascii="Arial" w:hAnsi="Arial" w:cs="Arial"/>
        </w:rPr>
      </w:pPr>
      <w:r>
        <w:rPr>
          <w:rFonts w:ascii="Arial" w:hAnsi="Arial" w:cs="Arial"/>
          <w:b/>
          <w:i/>
        </w:rPr>
        <w:t>Exenciones.</w:t>
      </w:r>
      <w:r>
        <w:rPr>
          <w:rFonts w:ascii="Arial" w:hAnsi="Arial" w:cs="Arial"/>
        </w:rPr>
        <w:t xml:space="preserve"> Corresponderá a las autoridades competentes de acuerdo con la Constitución y con la Ley determinar el régimen de exenciones al pago de las tasas por uso exponiendo las razones que lo soportan, las cuales deberán reflejar coherentemente una política y estr</w:t>
      </w:r>
      <w:r>
        <w:rPr>
          <w:rFonts w:ascii="Arial" w:hAnsi="Arial" w:cs="Arial"/>
        </w:rPr>
        <w:t xml:space="preserve">ategia para incentivar el cambio modal a modos de transporte público y no motorizado. </w:t>
      </w:r>
    </w:p>
    <w:p w14:paraId="31D6C3A1" w14:textId="77777777" w:rsidR="00B2442D" w:rsidRDefault="00B2442D">
      <w:pPr>
        <w:jc w:val="both"/>
        <w:rPr>
          <w:rFonts w:ascii="Arial" w:hAnsi="Arial" w:cs="Arial"/>
        </w:rPr>
      </w:pPr>
    </w:p>
    <w:p w14:paraId="171BCEDC" w14:textId="77777777" w:rsidR="00B2442D" w:rsidRDefault="008A645F">
      <w:pPr>
        <w:jc w:val="both"/>
        <w:rPr>
          <w:rFonts w:ascii="Arial" w:hAnsi="Arial" w:cs="Arial"/>
        </w:rPr>
      </w:pPr>
      <w:r>
        <w:rPr>
          <w:rFonts w:ascii="Arial" w:hAnsi="Arial" w:cs="Arial"/>
        </w:rPr>
        <w:t xml:space="preserve">El régimen de exenciones se reglamentará sin perjuicio de la diferenciación que dentro de la infraestructura o las áreas la autoridad establezca en cuanto al valor de las tasas por uso, atendiendo circunstancias excepcionales de usuarios que pertenezcan a </w:t>
      </w:r>
      <w:r>
        <w:rPr>
          <w:rFonts w:ascii="Arial" w:hAnsi="Arial" w:cs="Arial"/>
        </w:rPr>
        <w:t>grupos homogéneos y definidos de forma clara. Sin excepción alguna, la diferenciación que fije la autoridad deberá incorporar incentivos apropiados para cada grupo, promoviendo, indistintamente del grupo que se trate, la reducción de las externalidades neg</w:t>
      </w:r>
      <w:r>
        <w:rPr>
          <w:rFonts w:ascii="Arial" w:hAnsi="Arial" w:cs="Arial"/>
        </w:rPr>
        <w:t xml:space="preserve">ativas y el mejoramiento de las condiciones operativas de la infraestructura o de las áreas. </w:t>
      </w:r>
    </w:p>
    <w:p w14:paraId="20DB7975" w14:textId="77777777" w:rsidR="00B2442D" w:rsidRDefault="00B2442D">
      <w:pPr>
        <w:jc w:val="both"/>
        <w:rPr>
          <w:rFonts w:ascii="Arial" w:hAnsi="Arial" w:cs="Arial"/>
        </w:rPr>
      </w:pPr>
    </w:p>
    <w:p w14:paraId="1ECF4570" w14:textId="77777777" w:rsidR="00B2442D" w:rsidRDefault="008A645F">
      <w:pPr>
        <w:jc w:val="both"/>
        <w:rPr>
          <w:rFonts w:ascii="Arial" w:hAnsi="Arial" w:cs="Arial"/>
        </w:rPr>
      </w:pPr>
      <w:r>
        <w:rPr>
          <w:rFonts w:ascii="Arial" w:hAnsi="Arial" w:cs="Arial"/>
        </w:rPr>
        <w:t>Si bien un sistema para la imposición de tasas por uso podrá contener consideraciones explícitas para más de una externalidad negativa (congestión y contaminació</w:t>
      </w:r>
      <w:r>
        <w:rPr>
          <w:rFonts w:ascii="Arial" w:hAnsi="Arial" w:cs="Arial"/>
        </w:rPr>
        <w:t xml:space="preserve">n), las tasas por uso deberán ser únicas e incluir las dos externalidades donde sea así definido. </w:t>
      </w:r>
    </w:p>
    <w:p w14:paraId="10A79B8D" w14:textId="77777777" w:rsidR="00B2442D" w:rsidRDefault="00B2442D">
      <w:pPr>
        <w:jc w:val="both"/>
        <w:rPr>
          <w:rFonts w:ascii="Arial" w:hAnsi="Arial" w:cs="Arial"/>
        </w:rPr>
      </w:pPr>
    </w:p>
    <w:p w14:paraId="09073D1A"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En ningún caso se podrá aplicar a las vías y/o el espacio público dentro de la infraestructura construida o mejorada, y las áreas en cuestión más</w:t>
      </w:r>
      <w:r>
        <w:rPr>
          <w:rFonts w:ascii="Arial" w:hAnsi="Arial" w:cs="Arial"/>
        </w:rPr>
        <w:t xml:space="preserve"> de una tasa por uso simultáneamente, sin perjuicio de los cobros asociados a sistemas autorizados de estacionamiento en vía pública o fuera de ella. En este sentido las vías que estuviesen asociadas a cobros por peaje no podrán ser adicionalmente incorpor</w:t>
      </w:r>
      <w:r>
        <w:rPr>
          <w:rFonts w:ascii="Arial" w:hAnsi="Arial" w:cs="Arial"/>
        </w:rPr>
        <w:t>adas a sistemas para la imposición de tasas por uso</w:t>
      </w:r>
    </w:p>
    <w:p w14:paraId="75BFCFDB" w14:textId="77777777" w:rsidR="00B2442D" w:rsidRDefault="00B2442D">
      <w:pPr>
        <w:jc w:val="both"/>
        <w:rPr>
          <w:rFonts w:ascii="Arial" w:hAnsi="Arial" w:cs="Arial"/>
          <w:i/>
        </w:rPr>
      </w:pPr>
    </w:p>
    <w:p w14:paraId="5A95F45A" w14:textId="77777777" w:rsidR="00B2442D" w:rsidRDefault="008A645F">
      <w:pPr>
        <w:jc w:val="both"/>
        <w:rPr>
          <w:rFonts w:ascii="Arial" w:hAnsi="Arial" w:cs="Arial"/>
          <w:i/>
        </w:rPr>
      </w:pPr>
      <w:r>
        <w:rPr>
          <w:rFonts w:ascii="Arial" w:hAnsi="Arial" w:cs="Arial"/>
          <w:i/>
        </w:rPr>
        <w:t>(Art.5, Decreto 2883 de 2013)</w:t>
      </w:r>
    </w:p>
    <w:p w14:paraId="45CBFAD6" w14:textId="77777777" w:rsidR="00B2442D" w:rsidRDefault="00B2442D">
      <w:pPr>
        <w:jc w:val="both"/>
        <w:rPr>
          <w:rFonts w:ascii="Arial" w:hAnsi="Arial" w:cs="Arial"/>
        </w:rPr>
      </w:pPr>
    </w:p>
    <w:p w14:paraId="3D62AAED" w14:textId="77777777" w:rsidR="00B2442D" w:rsidRDefault="008A645F">
      <w:pPr>
        <w:numPr>
          <w:ilvl w:val="0"/>
          <w:numId w:val="182"/>
        </w:numPr>
        <w:ind w:left="0" w:firstLine="0"/>
        <w:contextualSpacing/>
        <w:jc w:val="both"/>
        <w:rPr>
          <w:rFonts w:ascii="Arial" w:hAnsi="Arial" w:cs="Arial"/>
        </w:rPr>
      </w:pPr>
      <w:r>
        <w:rPr>
          <w:rFonts w:ascii="Arial" w:hAnsi="Arial" w:cs="Arial"/>
          <w:b/>
          <w:i/>
        </w:rPr>
        <w:t>Mecanismos de identificación y cobro.</w:t>
      </w:r>
      <w:r>
        <w:rPr>
          <w:rFonts w:ascii="Arial" w:hAnsi="Arial" w:cs="Arial"/>
        </w:rPr>
        <w:t xml:space="preserve"> Los mecanismos de identificación de vehículos y de cobro de las tasas por uso a propietarios y/o conductores deberán ser concordantes </w:t>
      </w:r>
      <w:r>
        <w:rPr>
          <w:rFonts w:ascii="Arial" w:hAnsi="Arial" w:cs="Arial"/>
        </w:rPr>
        <w:t xml:space="preserve">con el sistema de identificación y recaudo electrónico vehicular que adopte el Gobierno Nacional. </w:t>
      </w:r>
    </w:p>
    <w:p w14:paraId="0D440F02" w14:textId="77777777" w:rsidR="00B2442D" w:rsidRDefault="00B2442D">
      <w:pPr>
        <w:jc w:val="both"/>
        <w:rPr>
          <w:rFonts w:ascii="Arial" w:hAnsi="Arial" w:cs="Arial"/>
        </w:rPr>
      </w:pPr>
    </w:p>
    <w:p w14:paraId="07006917" w14:textId="77777777" w:rsidR="00B2442D" w:rsidRDefault="008A645F">
      <w:pPr>
        <w:jc w:val="both"/>
        <w:rPr>
          <w:rFonts w:ascii="Arial" w:hAnsi="Arial" w:cs="Arial"/>
        </w:rPr>
      </w:pPr>
      <w:r>
        <w:rPr>
          <w:rFonts w:ascii="Arial" w:hAnsi="Arial" w:cs="Arial"/>
        </w:rPr>
        <w:t>El Ministerio de Transporte definirá las especificaciones nacionales para la adopción y cumplimiento de estándares de identificación y recaudo electrónico v</w:t>
      </w:r>
      <w:r>
        <w:rPr>
          <w:rFonts w:ascii="Arial" w:hAnsi="Arial" w:cs="Arial"/>
        </w:rPr>
        <w:t>ehicular.</w:t>
      </w:r>
    </w:p>
    <w:p w14:paraId="35CC5506" w14:textId="77777777" w:rsidR="00B2442D" w:rsidRDefault="00B2442D">
      <w:pPr>
        <w:jc w:val="both"/>
        <w:rPr>
          <w:rFonts w:ascii="Arial" w:hAnsi="Arial" w:cs="Arial"/>
          <w:i/>
        </w:rPr>
      </w:pPr>
    </w:p>
    <w:p w14:paraId="7AE68D76" w14:textId="77777777" w:rsidR="00B2442D" w:rsidRDefault="008A645F">
      <w:pPr>
        <w:jc w:val="both"/>
        <w:rPr>
          <w:rFonts w:ascii="Arial" w:hAnsi="Arial" w:cs="Arial"/>
          <w:i/>
        </w:rPr>
      </w:pPr>
      <w:r>
        <w:rPr>
          <w:rFonts w:ascii="Arial" w:hAnsi="Arial" w:cs="Arial"/>
          <w:i/>
        </w:rPr>
        <w:t>(Art.6, Decreto 2883 de 2013)</w:t>
      </w:r>
    </w:p>
    <w:p w14:paraId="79CDD03D" w14:textId="77777777" w:rsidR="00B2442D" w:rsidRDefault="00B2442D">
      <w:pPr>
        <w:jc w:val="both"/>
        <w:rPr>
          <w:rFonts w:ascii="Arial" w:hAnsi="Arial" w:cs="Arial"/>
        </w:rPr>
      </w:pPr>
    </w:p>
    <w:p w14:paraId="67BAB569" w14:textId="77777777" w:rsidR="00B2442D" w:rsidRDefault="008A645F">
      <w:pPr>
        <w:numPr>
          <w:ilvl w:val="0"/>
          <w:numId w:val="182"/>
        </w:numPr>
        <w:ind w:left="0" w:firstLine="0"/>
        <w:contextualSpacing/>
        <w:jc w:val="both"/>
        <w:rPr>
          <w:rFonts w:ascii="Arial" w:hAnsi="Arial" w:cs="Arial"/>
        </w:rPr>
      </w:pPr>
      <w:r>
        <w:rPr>
          <w:rFonts w:ascii="Arial" w:hAnsi="Arial" w:cs="Arial"/>
          <w:b/>
          <w:i/>
        </w:rPr>
        <w:t>Recursos.</w:t>
      </w:r>
      <w:r>
        <w:rPr>
          <w:rFonts w:ascii="Arial" w:hAnsi="Arial" w:cs="Arial"/>
        </w:rPr>
        <w:t xml:space="preserve"> Los recursos obtenidos por concepto de las tasas por uso adoptadas por los Municipios o Distritos, se destinarán a financiar proyectos y programas de infraestructura y operación dedicada al transporte púb</w:t>
      </w:r>
      <w:r>
        <w:rPr>
          <w:rFonts w:ascii="Arial" w:hAnsi="Arial" w:cs="Arial"/>
        </w:rPr>
        <w:t>lico y al mejoramiento de las condiciones de operación de los modos de transporte no motorizado, y a programas de mitigación de contaminación ambiental vehicular, con el fin de asegurar la disminución de las condiciones que las generan.</w:t>
      </w:r>
    </w:p>
    <w:p w14:paraId="00CE63BA" w14:textId="77777777" w:rsidR="00B2442D" w:rsidRDefault="00B2442D">
      <w:pPr>
        <w:jc w:val="both"/>
        <w:rPr>
          <w:rFonts w:ascii="Arial" w:hAnsi="Arial" w:cs="Arial"/>
          <w:i/>
        </w:rPr>
      </w:pPr>
    </w:p>
    <w:p w14:paraId="08D47D3D" w14:textId="77777777" w:rsidR="00B2442D" w:rsidRDefault="008A645F">
      <w:pPr>
        <w:jc w:val="both"/>
        <w:rPr>
          <w:rFonts w:ascii="Arial" w:hAnsi="Arial" w:cs="Arial"/>
          <w:i/>
        </w:rPr>
      </w:pPr>
      <w:r>
        <w:rPr>
          <w:rFonts w:ascii="Arial" w:hAnsi="Arial" w:cs="Arial"/>
          <w:i/>
        </w:rPr>
        <w:t>(Art.7, Decreto 28</w:t>
      </w:r>
      <w:r>
        <w:rPr>
          <w:rFonts w:ascii="Arial" w:hAnsi="Arial" w:cs="Arial"/>
          <w:i/>
        </w:rPr>
        <w:t>83 de 2013)</w:t>
      </w:r>
    </w:p>
    <w:p w14:paraId="5AD53625" w14:textId="77777777" w:rsidR="00B2442D" w:rsidRDefault="00B2442D">
      <w:pPr>
        <w:jc w:val="both"/>
        <w:rPr>
          <w:rFonts w:ascii="Arial" w:hAnsi="Arial" w:cs="Arial"/>
        </w:rPr>
      </w:pPr>
    </w:p>
    <w:p w14:paraId="408B1C7E" w14:textId="77777777" w:rsidR="00B2442D" w:rsidRDefault="00B2442D">
      <w:pPr>
        <w:jc w:val="both"/>
        <w:rPr>
          <w:rFonts w:ascii="Arial" w:hAnsi="Arial" w:cs="Arial"/>
        </w:rPr>
      </w:pPr>
    </w:p>
    <w:p w14:paraId="33D0F746" w14:textId="77777777" w:rsidR="00B2442D" w:rsidRDefault="008A645F">
      <w:pPr>
        <w:jc w:val="center"/>
        <w:outlineLvl w:val="1"/>
        <w:rPr>
          <w:rFonts w:ascii="Arial" w:hAnsi="Arial" w:cs="Arial"/>
          <w:b/>
        </w:rPr>
      </w:pPr>
      <w:bookmarkStart w:id="75" w:name="_Toc479171227"/>
      <w:r>
        <w:rPr>
          <w:rFonts w:ascii="Arial" w:hAnsi="Arial" w:cs="Arial"/>
          <w:b/>
        </w:rPr>
        <w:t>PARTE 2</w:t>
      </w:r>
      <w:bookmarkEnd w:id="75"/>
    </w:p>
    <w:p w14:paraId="72AB08AD" w14:textId="77777777" w:rsidR="00B2442D" w:rsidRDefault="008A645F">
      <w:pPr>
        <w:jc w:val="center"/>
        <w:outlineLvl w:val="1"/>
        <w:rPr>
          <w:rFonts w:ascii="Arial" w:hAnsi="Arial" w:cs="Arial"/>
          <w:b/>
        </w:rPr>
      </w:pPr>
      <w:bookmarkStart w:id="76" w:name="_Toc479171228"/>
      <w:r>
        <w:rPr>
          <w:rFonts w:ascii="Arial" w:hAnsi="Arial" w:cs="Arial"/>
          <w:b/>
        </w:rPr>
        <w:t>Impuestos Departamentales</w:t>
      </w:r>
      <w:bookmarkEnd w:id="76"/>
    </w:p>
    <w:p w14:paraId="2678C34B" w14:textId="77777777" w:rsidR="00B2442D" w:rsidRDefault="00B2442D">
      <w:pPr>
        <w:jc w:val="both"/>
        <w:rPr>
          <w:rFonts w:ascii="Arial" w:hAnsi="Arial" w:cs="Arial"/>
        </w:rPr>
      </w:pPr>
    </w:p>
    <w:p w14:paraId="01E8E433" w14:textId="77777777" w:rsidR="00B2442D" w:rsidRDefault="008A645F">
      <w:pPr>
        <w:jc w:val="center"/>
        <w:outlineLvl w:val="2"/>
        <w:rPr>
          <w:rFonts w:ascii="Arial" w:hAnsi="Arial" w:cs="Arial"/>
          <w:b/>
        </w:rPr>
      </w:pPr>
      <w:bookmarkStart w:id="77" w:name="_Toc479171229"/>
      <w:r>
        <w:rPr>
          <w:rFonts w:ascii="Arial" w:hAnsi="Arial" w:cs="Arial"/>
          <w:b/>
        </w:rPr>
        <w:t>TÍTULO 1</w:t>
      </w:r>
      <w:bookmarkEnd w:id="77"/>
    </w:p>
    <w:p w14:paraId="5E8724BC" w14:textId="77777777" w:rsidR="00B2442D" w:rsidRDefault="008A645F">
      <w:pPr>
        <w:jc w:val="center"/>
        <w:outlineLvl w:val="2"/>
        <w:rPr>
          <w:rFonts w:ascii="Arial" w:hAnsi="Arial" w:cs="Arial"/>
          <w:b/>
        </w:rPr>
      </w:pPr>
      <w:bookmarkStart w:id="78" w:name="_Toc479171230"/>
      <w:r>
        <w:rPr>
          <w:rFonts w:ascii="Arial" w:hAnsi="Arial" w:cs="Arial"/>
          <w:b/>
        </w:rPr>
        <w:t>Impuestos al Consumo de cervezas, sifones, refajos y mezclas; cigarrillos y tabaco elaborado; licores, vinos, aperitivos y similares y monopolio de licores destilados y alcoholes potables</w:t>
      </w:r>
      <w:bookmarkEnd w:id="78"/>
    </w:p>
    <w:p w14:paraId="01992096" w14:textId="77777777" w:rsidR="00B2442D" w:rsidRDefault="00B2442D">
      <w:pPr>
        <w:jc w:val="both"/>
        <w:rPr>
          <w:rFonts w:ascii="Arial" w:hAnsi="Arial" w:cs="Arial"/>
        </w:rPr>
      </w:pPr>
    </w:p>
    <w:p w14:paraId="6A83CE44" w14:textId="77777777" w:rsidR="00B2442D" w:rsidRDefault="008A645F">
      <w:pPr>
        <w:ind w:firstLine="708"/>
        <w:jc w:val="center"/>
        <w:outlineLvl w:val="3"/>
        <w:rPr>
          <w:rFonts w:ascii="Arial" w:hAnsi="Arial" w:cs="Arial"/>
          <w:b/>
        </w:rPr>
      </w:pPr>
      <w:r>
        <w:rPr>
          <w:rFonts w:ascii="Arial" w:hAnsi="Arial" w:cs="Arial"/>
          <w:b/>
        </w:rPr>
        <w:t>CAPÍTULO 1</w:t>
      </w:r>
    </w:p>
    <w:p w14:paraId="5D8CF43F" w14:textId="77777777" w:rsidR="00B2442D" w:rsidRDefault="008A645F">
      <w:pPr>
        <w:ind w:firstLine="708"/>
        <w:jc w:val="center"/>
        <w:outlineLvl w:val="3"/>
        <w:rPr>
          <w:rFonts w:ascii="Arial" w:hAnsi="Arial" w:cs="Arial"/>
          <w:b/>
        </w:rPr>
      </w:pPr>
      <w:r>
        <w:rPr>
          <w:rFonts w:ascii="Arial" w:hAnsi="Arial" w:cs="Arial"/>
          <w:b/>
        </w:rPr>
        <w:t>Fondo-Cuenta de Impuestos al Consumo de Productos Extranjeros</w:t>
      </w:r>
    </w:p>
    <w:p w14:paraId="03830FA0" w14:textId="77777777" w:rsidR="00B2442D" w:rsidRDefault="00B2442D">
      <w:pPr>
        <w:jc w:val="both"/>
        <w:rPr>
          <w:rFonts w:ascii="Arial" w:hAnsi="Arial" w:cs="Arial"/>
        </w:rPr>
      </w:pPr>
    </w:p>
    <w:p w14:paraId="55FB0E78" w14:textId="77777777" w:rsidR="00B2442D" w:rsidRDefault="008A645F">
      <w:pPr>
        <w:numPr>
          <w:ilvl w:val="0"/>
          <w:numId w:val="183"/>
        </w:numPr>
        <w:ind w:left="0" w:firstLine="0"/>
        <w:contextualSpacing/>
        <w:jc w:val="both"/>
        <w:rPr>
          <w:rFonts w:ascii="Arial" w:hAnsi="Arial" w:cs="Arial"/>
        </w:rPr>
      </w:pPr>
      <w:r>
        <w:rPr>
          <w:rFonts w:ascii="Arial" w:hAnsi="Arial" w:cs="Arial"/>
          <w:b/>
          <w:i/>
        </w:rPr>
        <w:t>Definición.</w:t>
      </w:r>
      <w:r>
        <w:rPr>
          <w:rFonts w:ascii="Arial" w:hAnsi="Arial" w:cs="Arial"/>
        </w:rPr>
        <w:t xml:space="preserve"> El Fondo-Cuenta de Impuestos al Consumo de Productos Extranjeros, creado por el artículo 224 de la Ley 223 de 1995, es una cuenta pública especial en el presupuesto de la</w:t>
      </w:r>
      <w:r>
        <w:rPr>
          <w:rFonts w:ascii="Arial" w:hAnsi="Arial" w:cs="Arial"/>
        </w:rPr>
        <w:t xml:space="preserve"> Federación Nacional de Departamentos, sujeta a las normas y principios que regulan la contabilidad general del Estado y a las normas y principios establecidas en la Ley Orgánica del Presupuesto en lo pertinente, así como al control fiscal de la Contralorí</w:t>
      </w:r>
      <w:r>
        <w:rPr>
          <w:rFonts w:ascii="Arial" w:hAnsi="Arial" w:cs="Arial"/>
        </w:rPr>
        <w:t>a General de la República.</w:t>
      </w:r>
    </w:p>
    <w:p w14:paraId="1B66E4EB" w14:textId="77777777" w:rsidR="00B2442D" w:rsidRDefault="00B2442D">
      <w:pPr>
        <w:jc w:val="both"/>
        <w:rPr>
          <w:rFonts w:ascii="Arial" w:hAnsi="Arial" w:cs="Arial"/>
          <w:i/>
        </w:rPr>
      </w:pPr>
    </w:p>
    <w:p w14:paraId="5568BE3F" w14:textId="77777777" w:rsidR="00B2442D" w:rsidRDefault="008A645F">
      <w:pPr>
        <w:jc w:val="both"/>
        <w:rPr>
          <w:rFonts w:ascii="Arial" w:hAnsi="Arial" w:cs="Arial"/>
          <w:i/>
        </w:rPr>
      </w:pPr>
      <w:r>
        <w:rPr>
          <w:rFonts w:ascii="Arial" w:hAnsi="Arial" w:cs="Arial"/>
          <w:i/>
        </w:rPr>
        <w:t>(Art. 1, Decreto 1640 de 1996)</w:t>
      </w:r>
    </w:p>
    <w:p w14:paraId="2E575D8A" w14:textId="77777777" w:rsidR="00B2442D" w:rsidRDefault="00B2442D">
      <w:pPr>
        <w:jc w:val="both"/>
        <w:rPr>
          <w:rFonts w:ascii="Arial" w:hAnsi="Arial" w:cs="Arial"/>
        </w:rPr>
      </w:pPr>
    </w:p>
    <w:p w14:paraId="68AC4B20" w14:textId="77777777" w:rsidR="00B2442D" w:rsidRDefault="008A645F">
      <w:pPr>
        <w:numPr>
          <w:ilvl w:val="0"/>
          <w:numId w:val="183"/>
        </w:numPr>
        <w:ind w:left="0" w:firstLine="0"/>
        <w:contextualSpacing/>
        <w:jc w:val="both"/>
        <w:rPr>
          <w:rFonts w:ascii="Arial" w:hAnsi="Arial" w:cs="Arial"/>
        </w:rPr>
      </w:pPr>
      <w:r>
        <w:rPr>
          <w:rFonts w:ascii="Arial" w:hAnsi="Arial" w:cs="Arial"/>
          <w:b/>
          <w:i/>
        </w:rPr>
        <w:t>Funcionamiento.</w:t>
      </w:r>
      <w:r>
        <w:rPr>
          <w:rFonts w:ascii="Arial" w:hAnsi="Arial" w:cs="Arial"/>
        </w:rPr>
        <w:t xml:space="preserve"> El Fondo-Cuenta de Impuestos al Consumo de Productos Extranjeros funcionará a partir de la vigencia del presente Capítulo, salvo lo dispuesto en el artículo 2.21.1.13 del presente </w:t>
      </w:r>
      <w:r>
        <w:rPr>
          <w:rFonts w:ascii="Arial" w:hAnsi="Arial" w:cs="Arial"/>
        </w:rPr>
        <w:t>Decreto.</w:t>
      </w:r>
    </w:p>
    <w:p w14:paraId="34CAFC38" w14:textId="77777777" w:rsidR="00B2442D" w:rsidRDefault="00B2442D">
      <w:pPr>
        <w:jc w:val="both"/>
        <w:rPr>
          <w:rFonts w:ascii="Arial" w:hAnsi="Arial" w:cs="Arial"/>
          <w:i/>
        </w:rPr>
      </w:pPr>
    </w:p>
    <w:p w14:paraId="6A3AB1E7" w14:textId="77777777" w:rsidR="00B2442D" w:rsidRDefault="008A645F">
      <w:pPr>
        <w:jc w:val="both"/>
        <w:rPr>
          <w:rFonts w:ascii="Arial" w:hAnsi="Arial" w:cs="Arial"/>
          <w:i/>
        </w:rPr>
      </w:pPr>
      <w:r>
        <w:rPr>
          <w:rFonts w:ascii="Arial" w:hAnsi="Arial" w:cs="Arial"/>
          <w:i/>
        </w:rPr>
        <w:t>(Art. 2, Decreto 1640 de 1996)</w:t>
      </w:r>
    </w:p>
    <w:p w14:paraId="68C7E8A5" w14:textId="77777777" w:rsidR="00B2442D" w:rsidRDefault="00B2442D">
      <w:pPr>
        <w:jc w:val="both"/>
        <w:rPr>
          <w:rFonts w:ascii="Arial" w:hAnsi="Arial" w:cs="Arial"/>
        </w:rPr>
      </w:pPr>
    </w:p>
    <w:p w14:paraId="5834FA33" w14:textId="77777777" w:rsidR="00B2442D" w:rsidRDefault="008A645F">
      <w:pPr>
        <w:numPr>
          <w:ilvl w:val="0"/>
          <w:numId w:val="183"/>
        </w:numPr>
        <w:ind w:left="0" w:firstLine="0"/>
        <w:contextualSpacing/>
        <w:jc w:val="both"/>
        <w:rPr>
          <w:rFonts w:ascii="Arial" w:hAnsi="Arial" w:cs="Arial"/>
        </w:rPr>
      </w:pPr>
      <w:r>
        <w:rPr>
          <w:rFonts w:ascii="Arial" w:hAnsi="Arial" w:cs="Arial"/>
          <w:b/>
          <w:i/>
        </w:rPr>
        <w:t>Programa de ingresos y gastos.</w:t>
      </w:r>
      <w:r>
        <w:rPr>
          <w:rFonts w:ascii="Arial" w:hAnsi="Arial" w:cs="Arial"/>
        </w:rPr>
        <w:t xml:space="preserve"> El Administrador del Fondo Cuenta preparará anualmente, en el mes de octubre, el proyecto de programa de ingresos y gastos del Fondo Cuenta de Impuestos al Consumo de Productos Extran</w:t>
      </w:r>
      <w:r>
        <w:rPr>
          <w:rFonts w:ascii="Arial" w:hAnsi="Arial" w:cs="Arial"/>
        </w:rPr>
        <w:t>jeros, para su aprobación por la asamblea de la Federación Nacional de Departamentos y del Alcalde Mayor del Distrito Capital o su delegado. La aprobación deberá efectuarse antes del 1° de diciembre.</w:t>
      </w:r>
    </w:p>
    <w:p w14:paraId="036F64D3" w14:textId="77777777" w:rsidR="00B2442D" w:rsidRDefault="00B2442D">
      <w:pPr>
        <w:jc w:val="both"/>
        <w:rPr>
          <w:rFonts w:ascii="Arial" w:hAnsi="Arial" w:cs="Arial"/>
          <w:i/>
        </w:rPr>
      </w:pPr>
    </w:p>
    <w:p w14:paraId="637BB483" w14:textId="77777777" w:rsidR="00B2442D" w:rsidRDefault="008A645F">
      <w:pPr>
        <w:jc w:val="both"/>
        <w:rPr>
          <w:rFonts w:ascii="Arial" w:hAnsi="Arial" w:cs="Arial"/>
          <w:i/>
        </w:rPr>
      </w:pPr>
      <w:r>
        <w:rPr>
          <w:rFonts w:ascii="Arial" w:hAnsi="Arial" w:cs="Arial"/>
          <w:i/>
        </w:rPr>
        <w:t>(Art. 3, Decreto 1640 de 1996, parágrafo transitorio pe</w:t>
      </w:r>
      <w:r>
        <w:rPr>
          <w:rFonts w:ascii="Arial" w:hAnsi="Arial" w:cs="Arial"/>
          <w:i/>
        </w:rPr>
        <w:t>rdió vigencia)</w:t>
      </w:r>
    </w:p>
    <w:p w14:paraId="1BC8F8D5" w14:textId="77777777" w:rsidR="00B2442D" w:rsidRDefault="00B2442D">
      <w:pPr>
        <w:jc w:val="both"/>
        <w:rPr>
          <w:rFonts w:ascii="Arial" w:hAnsi="Arial" w:cs="Arial"/>
        </w:rPr>
      </w:pPr>
    </w:p>
    <w:p w14:paraId="07FEC4CC" w14:textId="77777777" w:rsidR="00B2442D" w:rsidRDefault="008A645F">
      <w:pPr>
        <w:numPr>
          <w:ilvl w:val="0"/>
          <w:numId w:val="183"/>
        </w:numPr>
        <w:ind w:left="0" w:firstLine="0"/>
        <w:contextualSpacing/>
        <w:jc w:val="both"/>
        <w:rPr>
          <w:rFonts w:ascii="Arial" w:hAnsi="Arial" w:cs="Arial"/>
        </w:rPr>
      </w:pPr>
      <w:r>
        <w:rPr>
          <w:rFonts w:ascii="Arial" w:hAnsi="Arial" w:cs="Arial"/>
          <w:b/>
          <w:i/>
        </w:rPr>
        <w:t>Contabilidad.</w:t>
      </w:r>
      <w:r>
        <w:rPr>
          <w:rFonts w:ascii="Arial" w:hAnsi="Arial" w:cs="Arial"/>
        </w:rPr>
        <w:t xml:space="preserve"> La contabilidad del Fondo Cuenta de Impuestos al Consumo de Productos Extranjeros se llevará en una cuenta especial dentro del sistema contable general de la Federación Nacional de Departamentos de conformidad con lo estableci</w:t>
      </w:r>
      <w:r>
        <w:rPr>
          <w:rFonts w:ascii="Arial" w:hAnsi="Arial" w:cs="Arial"/>
        </w:rPr>
        <w:t>do en el Plan Único de Cuentas (PUC) y demás normas contables establecidas por la Contaduría General de la Nación.</w:t>
      </w:r>
    </w:p>
    <w:p w14:paraId="53D0692D" w14:textId="77777777" w:rsidR="00B2442D" w:rsidRDefault="00B2442D">
      <w:pPr>
        <w:jc w:val="both"/>
        <w:rPr>
          <w:rFonts w:ascii="Arial" w:hAnsi="Arial" w:cs="Arial"/>
        </w:rPr>
      </w:pPr>
    </w:p>
    <w:p w14:paraId="7D5FBD7C" w14:textId="77777777" w:rsidR="00B2442D" w:rsidRDefault="008A645F">
      <w:pPr>
        <w:jc w:val="both"/>
        <w:rPr>
          <w:rFonts w:ascii="Arial" w:hAnsi="Arial" w:cs="Arial"/>
        </w:rPr>
      </w:pPr>
      <w:r>
        <w:rPr>
          <w:rFonts w:ascii="Arial" w:hAnsi="Arial" w:cs="Arial"/>
        </w:rPr>
        <w:t>Dicha cuenta deberá reflejar los ingresos correspondientes a cada uno de los impuestos al consumo, el impuesto con destino al deporte, los r</w:t>
      </w:r>
      <w:r>
        <w:rPr>
          <w:rFonts w:ascii="Arial" w:hAnsi="Arial" w:cs="Arial"/>
        </w:rPr>
        <w:t>endimientos financieros, las multas y los aportes de las entidades beneficiarias, así como también los pagos efectuados a cada una de las entidades territoriales, los giros a las seccionales o fondos de salud, los gastos de administración del Fondo Cuenta,</w:t>
      </w:r>
      <w:r>
        <w:rPr>
          <w:rFonts w:ascii="Arial" w:hAnsi="Arial" w:cs="Arial"/>
        </w:rPr>
        <w:t xml:space="preserve"> el reparto de los excedentes de los rendimientos financieros y el de los excedentes del impuesto con destino al deporte, de que trata el parágrafo del artículo 211 de la Ley 223 de 1995.</w:t>
      </w:r>
    </w:p>
    <w:p w14:paraId="5CF52B97" w14:textId="77777777" w:rsidR="00B2442D" w:rsidRDefault="00B2442D">
      <w:pPr>
        <w:jc w:val="both"/>
        <w:rPr>
          <w:rFonts w:ascii="Arial" w:hAnsi="Arial" w:cs="Arial"/>
          <w:i/>
        </w:rPr>
      </w:pPr>
    </w:p>
    <w:p w14:paraId="44962F46" w14:textId="77777777" w:rsidR="00B2442D" w:rsidRDefault="008A645F">
      <w:pPr>
        <w:jc w:val="both"/>
        <w:rPr>
          <w:rFonts w:ascii="Arial" w:hAnsi="Arial" w:cs="Arial"/>
          <w:i/>
        </w:rPr>
      </w:pPr>
      <w:r>
        <w:rPr>
          <w:rFonts w:ascii="Arial" w:hAnsi="Arial" w:cs="Arial"/>
          <w:i/>
        </w:rPr>
        <w:t>(Art. 4, Decreto 1640 de 1996)</w:t>
      </w:r>
    </w:p>
    <w:p w14:paraId="50A06E17" w14:textId="77777777" w:rsidR="00B2442D" w:rsidRDefault="00B2442D">
      <w:pPr>
        <w:jc w:val="both"/>
        <w:rPr>
          <w:rFonts w:ascii="Arial" w:hAnsi="Arial" w:cs="Arial"/>
        </w:rPr>
      </w:pPr>
    </w:p>
    <w:p w14:paraId="35AC4425" w14:textId="77777777" w:rsidR="00B2442D" w:rsidRDefault="008A645F">
      <w:pPr>
        <w:numPr>
          <w:ilvl w:val="0"/>
          <w:numId w:val="183"/>
        </w:numPr>
        <w:ind w:left="0" w:firstLine="0"/>
        <w:contextualSpacing/>
        <w:jc w:val="both"/>
        <w:rPr>
          <w:rFonts w:ascii="Arial" w:hAnsi="Arial" w:cs="Arial"/>
        </w:rPr>
      </w:pPr>
      <w:r>
        <w:rPr>
          <w:rFonts w:ascii="Arial" w:hAnsi="Arial" w:cs="Arial"/>
          <w:b/>
          <w:i/>
        </w:rPr>
        <w:t>Distribución del impuesto recaudado</w:t>
      </w:r>
      <w:r>
        <w:rPr>
          <w:rFonts w:ascii="Arial" w:hAnsi="Arial" w:cs="Arial"/>
          <w:b/>
          <w:i/>
        </w:rPr>
        <w:t>.</w:t>
      </w:r>
      <w:r>
        <w:rPr>
          <w:rFonts w:ascii="Arial" w:hAnsi="Arial" w:cs="Arial"/>
          <w:b/>
        </w:rPr>
        <w:t xml:space="preserve"> </w:t>
      </w:r>
      <w:r>
        <w:rPr>
          <w:rFonts w:ascii="Arial" w:hAnsi="Arial" w:cs="Arial"/>
        </w:rPr>
        <w:t>Los recaudos de impuestos al consumo de productos extranjeros serán distribuidos entre los departamentos y el Distrito Capital de Bogotá, en lo que a éste corresponda, por el Administrador del Fondo Cuenta, dentro de los primeros quince (15) días calenda</w:t>
      </w:r>
      <w:r>
        <w:rPr>
          <w:rFonts w:ascii="Arial" w:hAnsi="Arial" w:cs="Arial"/>
        </w:rPr>
        <w:t>rio de cada mes, en proporción al consumo en cada uno de ellos, de acuerdo con las relaciones de declaraciones enviadas por correo certificado por los respectivos Secretarios de Hacienda dentro de los últimos cinco (5) días del mes anterior. Las relaciones</w:t>
      </w:r>
      <w:r>
        <w:rPr>
          <w:rFonts w:ascii="Arial" w:hAnsi="Arial" w:cs="Arial"/>
        </w:rPr>
        <w:t xml:space="preserve"> comprenderán las declaraciones presentadas entre el 26 del mes anterior y el 25 del mes en que se elabora la relación. Sin perjuicio del envío por correo certificado, los Secretarios de Hacienda podrán enviar vía fax copia de las mencionadas relaciones.</w:t>
      </w:r>
    </w:p>
    <w:p w14:paraId="2CBF067A" w14:textId="77777777" w:rsidR="00B2442D" w:rsidRDefault="00B2442D">
      <w:pPr>
        <w:jc w:val="both"/>
        <w:rPr>
          <w:rFonts w:ascii="Arial" w:hAnsi="Arial" w:cs="Arial"/>
        </w:rPr>
      </w:pPr>
    </w:p>
    <w:p w14:paraId="3768314A" w14:textId="77777777" w:rsidR="00B2442D" w:rsidRDefault="008A645F">
      <w:pPr>
        <w:jc w:val="both"/>
        <w:rPr>
          <w:rFonts w:ascii="Arial" w:hAnsi="Arial" w:cs="Arial"/>
        </w:rPr>
      </w:pPr>
      <w:r>
        <w:rPr>
          <w:rFonts w:ascii="Arial" w:hAnsi="Arial" w:cs="Arial"/>
        </w:rPr>
        <w:t>La liquidación y pago de los impuestos que correspondan a las relaciones enviadas extemporáneamente por los Secretarios de Hacienda al Administrador del Fondo-Cuenta se efectuará en el mes siguiente.</w:t>
      </w:r>
    </w:p>
    <w:p w14:paraId="3337BBDA" w14:textId="77777777" w:rsidR="00B2442D" w:rsidRDefault="00B2442D">
      <w:pPr>
        <w:jc w:val="both"/>
        <w:rPr>
          <w:rFonts w:ascii="Arial" w:hAnsi="Arial" w:cs="Arial"/>
        </w:rPr>
      </w:pPr>
    </w:p>
    <w:p w14:paraId="7C2E571C" w14:textId="77777777" w:rsidR="00B2442D" w:rsidRDefault="008A645F">
      <w:pPr>
        <w:jc w:val="both"/>
        <w:rPr>
          <w:rFonts w:ascii="Arial" w:hAnsi="Arial" w:cs="Arial"/>
        </w:rPr>
      </w:pPr>
      <w:r>
        <w:rPr>
          <w:rFonts w:ascii="Arial" w:hAnsi="Arial" w:cs="Arial"/>
        </w:rPr>
        <w:t xml:space="preserve">Parágrafo: Del total del impuesto al consumo sobre </w:t>
      </w:r>
      <w:r>
        <w:rPr>
          <w:rFonts w:ascii="Arial" w:hAnsi="Arial" w:cs="Arial"/>
        </w:rPr>
        <w:t>cervezas y sifones que se liquide a cada entidad territorial, los ocho (8) puntos porcentuales a que se refiere el parágrafo del artículo 190 de la Ley 223 de 1995, serán girados directamente por el Fondo-Cuenta al respectivo Fondo o Dirección Seccional de</w:t>
      </w:r>
      <w:r>
        <w:rPr>
          <w:rFonts w:ascii="Arial" w:hAnsi="Arial" w:cs="Arial"/>
        </w:rPr>
        <w:t xml:space="preserve"> Salud, dentro del mismo término establecido para efectuar el giro al departamento o Distrito Capital.</w:t>
      </w:r>
    </w:p>
    <w:p w14:paraId="18D0C0DD" w14:textId="77777777" w:rsidR="00B2442D" w:rsidRDefault="00B2442D">
      <w:pPr>
        <w:jc w:val="both"/>
        <w:rPr>
          <w:rFonts w:ascii="Arial" w:hAnsi="Arial" w:cs="Arial"/>
          <w:i/>
        </w:rPr>
      </w:pPr>
    </w:p>
    <w:p w14:paraId="1B83A326" w14:textId="77777777" w:rsidR="00B2442D" w:rsidRDefault="008A645F">
      <w:pPr>
        <w:jc w:val="both"/>
        <w:rPr>
          <w:rFonts w:ascii="Arial" w:hAnsi="Arial" w:cs="Arial"/>
          <w:i/>
        </w:rPr>
      </w:pPr>
      <w:r>
        <w:rPr>
          <w:rFonts w:ascii="Arial" w:hAnsi="Arial" w:cs="Arial"/>
          <w:i/>
        </w:rPr>
        <w:t>(Art. 5, Decreto 1640 de 1996)</w:t>
      </w:r>
    </w:p>
    <w:p w14:paraId="24169983" w14:textId="77777777" w:rsidR="00B2442D" w:rsidRDefault="00B2442D">
      <w:pPr>
        <w:jc w:val="both"/>
        <w:rPr>
          <w:rFonts w:ascii="Arial" w:hAnsi="Arial" w:cs="Arial"/>
        </w:rPr>
      </w:pPr>
    </w:p>
    <w:p w14:paraId="120BEC9E" w14:textId="77777777" w:rsidR="00B2442D" w:rsidRDefault="008A645F">
      <w:pPr>
        <w:numPr>
          <w:ilvl w:val="0"/>
          <w:numId w:val="183"/>
        </w:numPr>
        <w:ind w:left="0" w:firstLine="0"/>
        <w:contextualSpacing/>
        <w:jc w:val="both"/>
        <w:rPr>
          <w:rFonts w:ascii="Arial" w:hAnsi="Arial" w:cs="Arial"/>
        </w:rPr>
      </w:pPr>
      <w:r>
        <w:rPr>
          <w:rFonts w:ascii="Arial" w:hAnsi="Arial" w:cs="Arial"/>
          <w:b/>
          <w:i/>
        </w:rPr>
        <w:t>Impuestos declarados y pagados por productos introducidos para autoconsumo.</w:t>
      </w:r>
      <w:r>
        <w:rPr>
          <w:rFonts w:ascii="Arial" w:hAnsi="Arial" w:cs="Arial"/>
        </w:rPr>
        <w:t xml:space="preserve"> El recaudo por concepto de impuestos declarados y pagados por los responsables al Fondo Cuenta en razón de la introducción al país de productos destinados para autoconsumo, será distribuido a los departamentos y al Distrito Capital al término de cada vige</w:t>
      </w:r>
      <w:r>
        <w:rPr>
          <w:rFonts w:ascii="Arial" w:hAnsi="Arial" w:cs="Arial"/>
        </w:rPr>
        <w:t>ncia fiscal, en proporción a las operaciones registradas por cada entidad territorial en el período.</w:t>
      </w:r>
    </w:p>
    <w:p w14:paraId="6E811B73" w14:textId="77777777" w:rsidR="00B2442D" w:rsidRDefault="00B2442D">
      <w:pPr>
        <w:jc w:val="both"/>
        <w:rPr>
          <w:rFonts w:ascii="Arial" w:hAnsi="Arial" w:cs="Arial"/>
          <w:i/>
        </w:rPr>
      </w:pPr>
    </w:p>
    <w:p w14:paraId="6A06F180" w14:textId="77777777" w:rsidR="00B2442D" w:rsidRDefault="008A645F">
      <w:pPr>
        <w:jc w:val="both"/>
        <w:rPr>
          <w:rFonts w:ascii="Arial" w:hAnsi="Arial" w:cs="Arial"/>
          <w:i/>
        </w:rPr>
      </w:pPr>
      <w:r>
        <w:rPr>
          <w:rFonts w:ascii="Arial" w:hAnsi="Arial" w:cs="Arial"/>
          <w:i/>
        </w:rPr>
        <w:t>(Art. 6, Decreto 1640 de 1996)</w:t>
      </w:r>
    </w:p>
    <w:p w14:paraId="276BBCE7" w14:textId="77777777" w:rsidR="00B2442D" w:rsidRDefault="00B2442D">
      <w:pPr>
        <w:jc w:val="both"/>
        <w:rPr>
          <w:rFonts w:ascii="Arial" w:hAnsi="Arial" w:cs="Arial"/>
        </w:rPr>
      </w:pPr>
    </w:p>
    <w:p w14:paraId="6B3AB7FE" w14:textId="77777777" w:rsidR="00B2442D" w:rsidRDefault="008A645F">
      <w:pPr>
        <w:numPr>
          <w:ilvl w:val="0"/>
          <w:numId w:val="183"/>
        </w:numPr>
        <w:ind w:left="0" w:firstLine="0"/>
        <w:contextualSpacing/>
        <w:jc w:val="both"/>
        <w:rPr>
          <w:rFonts w:ascii="Arial" w:hAnsi="Arial" w:cs="Arial"/>
        </w:rPr>
      </w:pPr>
      <w:r>
        <w:rPr>
          <w:rFonts w:ascii="Arial" w:hAnsi="Arial" w:cs="Arial"/>
          <w:b/>
          <w:i/>
        </w:rPr>
        <w:t>Impuesto con destino al deporte.</w:t>
      </w:r>
      <w:r>
        <w:rPr>
          <w:rFonts w:ascii="Arial" w:hAnsi="Arial" w:cs="Arial"/>
        </w:rPr>
        <w:t xml:space="preserve"> El impuesto con destino al deporte que grava los cigarrillos y tabaco elaborado de produc</w:t>
      </w:r>
      <w:r>
        <w:rPr>
          <w:rFonts w:ascii="Arial" w:hAnsi="Arial" w:cs="Arial"/>
        </w:rPr>
        <w:t>ción extranjera, será liquidado y pagado por el responsable ante el Fondo-Cuenta simultáneamente con el impuesto al consumo.</w:t>
      </w:r>
    </w:p>
    <w:p w14:paraId="46B16F74" w14:textId="77777777" w:rsidR="00B2442D" w:rsidRDefault="00B2442D">
      <w:pPr>
        <w:jc w:val="both"/>
        <w:rPr>
          <w:rFonts w:ascii="Arial" w:hAnsi="Arial" w:cs="Arial"/>
        </w:rPr>
      </w:pPr>
    </w:p>
    <w:p w14:paraId="200D8970" w14:textId="77777777" w:rsidR="00B2442D" w:rsidRDefault="008A645F">
      <w:pPr>
        <w:jc w:val="both"/>
        <w:rPr>
          <w:rFonts w:ascii="Arial" w:hAnsi="Arial" w:cs="Arial"/>
        </w:rPr>
      </w:pPr>
      <w:r>
        <w:rPr>
          <w:rFonts w:ascii="Arial" w:hAnsi="Arial" w:cs="Arial"/>
        </w:rPr>
        <w:t>Este impuesto será girado por el Fondo-Cuenta a las respectivas entidades territoriales, dentro del mismo término establecido para</w:t>
      </w:r>
      <w:r>
        <w:rPr>
          <w:rFonts w:ascii="Arial" w:hAnsi="Arial" w:cs="Arial"/>
        </w:rPr>
        <w:t xml:space="preserve"> el giro del impuesto al consumo.</w:t>
      </w:r>
    </w:p>
    <w:p w14:paraId="425E4E6D" w14:textId="77777777" w:rsidR="00B2442D" w:rsidRDefault="00B2442D">
      <w:pPr>
        <w:jc w:val="both"/>
        <w:rPr>
          <w:rFonts w:ascii="Arial" w:hAnsi="Arial" w:cs="Arial"/>
        </w:rPr>
      </w:pPr>
    </w:p>
    <w:p w14:paraId="36F3830A" w14:textId="77777777" w:rsidR="00B2442D" w:rsidRDefault="008A645F">
      <w:pPr>
        <w:jc w:val="both"/>
        <w:rPr>
          <w:rFonts w:ascii="Arial" w:hAnsi="Arial" w:cs="Arial"/>
        </w:rPr>
      </w:pPr>
      <w:r>
        <w:rPr>
          <w:rFonts w:ascii="Arial" w:hAnsi="Arial" w:cs="Arial"/>
        </w:rPr>
        <w:t>Los excedentes que de este impuesto llegaren a resultar al finalizar el período fiscal, serán distribuidos entre las entidades territoriales en proporción a la participación que cada una de ellas haya tenido en el impuest</w:t>
      </w:r>
      <w:r>
        <w:rPr>
          <w:rFonts w:ascii="Arial" w:hAnsi="Arial" w:cs="Arial"/>
        </w:rPr>
        <w:t>o al consumo. Las entidades territoriales aplicarán estos recursos a los fines previstos en la Ley.</w:t>
      </w:r>
    </w:p>
    <w:p w14:paraId="36F6EF80" w14:textId="77777777" w:rsidR="00B2442D" w:rsidRDefault="00B2442D">
      <w:pPr>
        <w:jc w:val="both"/>
        <w:rPr>
          <w:rFonts w:ascii="Arial" w:hAnsi="Arial" w:cs="Arial"/>
          <w:i/>
        </w:rPr>
      </w:pPr>
    </w:p>
    <w:p w14:paraId="3A4EC550" w14:textId="77777777" w:rsidR="00B2442D" w:rsidRDefault="008A645F">
      <w:pPr>
        <w:jc w:val="both"/>
        <w:rPr>
          <w:rFonts w:ascii="Arial" w:hAnsi="Arial" w:cs="Arial"/>
          <w:i/>
        </w:rPr>
      </w:pPr>
      <w:r>
        <w:rPr>
          <w:rFonts w:ascii="Arial" w:hAnsi="Arial" w:cs="Arial"/>
          <w:i/>
        </w:rPr>
        <w:t>(Art. 7, Decreto 1640 de 1996)</w:t>
      </w:r>
    </w:p>
    <w:p w14:paraId="7AF4504C" w14:textId="77777777" w:rsidR="00B2442D" w:rsidRDefault="00B2442D">
      <w:pPr>
        <w:jc w:val="both"/>
        <w:rPr>
          <w:rFonts w:ascii="Arial" w:hAnsi="Arial" w:cs="Arial"/>
        </w:rPr>
      </w:pPr>
    </w:p>
    <w:p w14:paraId="09B96355" w14:textId="77777777" w:rsidR="00B2442D" w:rsidRDefault="008A645F">
      <w:pPr>
        <w:numPr>
          <w:ilvl w:val="0"/>
          <w:numId w:val="183"/>
        </w:numPr>
        <w:ind w:left="0" w:firstLine="0"/>
        <w:contextualSpacing/>
        <w:jc w:val="both"/>
        <w:rPr>
          <w:rFonts w:ascii="Arial" w:hAnsi="Arial" w:cs="Arial"/>
        </w:rPr>
      </w:pPr>
      <w:r>
        <w:rPr>
          <w:rFonts w:ascii="Arial" w:hAnsi="Arial" w:cs="Arial"/>
          <w:b/>
          <w:i/>
        </w:rPr>
        <w:t>Procedimiento y competencia para la determinación oficial de los impuestos al consumo generados en la importación y en la i</w:t>
      </w:r>
      <w:r>
        <w:rPr>
          <w:rFonts w:ascii="Arial" w:hAnsi="Arial" w:cs="Arial"/>
          <w:b/>
          <w:i/>
        </w:rPr>
        <w:t>ntroducción de productos a zonas de régimen aduanero especial cuando se presenten inconsistencias.</w:t>
      </w:r>
      <w:r>
        <w:rPr>
          <w:rFonts w:ascii="Arial" w:hAnsi="Arial" w:cs="Arial"/>
        </w:rPr>
        <w:t xml:space="preserve"> Cuando se presente inconsistencia entre la información suministrada por los responsables o sujetos pasivos en las declaraciones presentadas en el momento de </w:t>
      </w:r>
      <w:r>
        <w:rPr>
          <w:rFonts w:ascii="Arial" w:hAnsi="Arial" w:cs="Arial"/>
        </w:rPr>
        <w:t>la importación y los recibos de pago de impuestos al consumo, de una parte, y las relaciones enviadas por los Secretarios de Hacienda, de otra, de las cuales se genere un mayor valor a favor de los departamentos y del Distrito Capital, la distribución y gi</w:t>
      </w:r>
      <w:r>
        <w:rPr>
          <w:rFonts w:ascii="Arial" w:hAnsi="Arial" w:cs="Arial"/>
        </w:rPr>
        <w:t>ro de los recaudos se efectuará sobre las sumas efectivamente recibidas por el Fondo, o sobre el saldo de las mismas, según el caso, en proporción a los montos solicitados por cada entidad territorial.</w:t>
      </w:r>
    </w:p>
    <w:p w14:paraId="282460C3" w14:textId="77777777" w:rsidR="00B2442D" w:rsidRDefault="00B2442D">
      <w:pPr>
        <w:jc w:val="both"/>
        <w:rPr>
          <w:rFonts w:ascii="Arial" w:hAnsi="Arial" w:cs="Arial"/>
        </w:rPr>
      </w:pPr>
    </w:p>
    <w:p w14:paraId="16A0EB1D" w14:textId="77777777" w:rsidR="00B2442D" w:rsidRDefault="008A645F">
      <w:pPr>
        <w:jc w:val="both"/>
        <w:rPr>
          <w:rFonts w:ascii="Arial" w:hAnsi="Arial" w:cs="Arial"/>
        </w:rPr>
      </w:pPr>
      <w:r>
        <w:rPr>
          <w:rFonts w:ascii="Arial" w:hAnsi="Arial" w:cs="Arial"/>
        </w:rPr>
        <w:t>Lo anterior sin perjuicio de las facultades de invest</w:t>
      </w:r>
      <w:r>
        <w:rPr>
          <w:rFonts w:ascii="Arial" w:hAnsi="Arial" w:cs="Arial"/>
        </w:rPr>
        <w:t>igación, determinación y recaudo, las cuales se ejercerán de conformidad con las reglas que se señalan a continuación:</w:t>
      </w:r>
    </w:p>
    <w:p w14:paraId="36687BF2" w14:textId="77777777" w:rsidR="00B2442D" w:rsidRDefault="00B2442D">
      <w:pPr>
        <w:jc w:val="both"/>
        <w:rPr>
          <w:rFonts w:ascii="Arial" w:hAnsi="Arial" w:cs="Arial"/>
        </w:rPr>
      </w:pPr>
    </w:p>
    <w:p w14:paraId="6167C688" w14:textId="77777777" w:rsidR="00B2442D" w:rsidRDefault="008A645F">
      <w:pPr>
        <w:jc w:val="both"/>
        <w:rPr>
          <w:rFonts w:ascii="Arial" w:hAnsi="Arial" w:cs="Arial"/>
        </w:rPr>
      </w:pPr>
      <w:r>
        <w:rPr>
          <w:rFonts w:ascii="Arial" w:hAnsi="Arial" w:cs="Arial"/>
        </w:rPr>
        <w:t>a) Inconsistencias que afectan a varios departamentos. Cuando el valor del impuesto declarado y consignando al Fondo Cuenta por cada imp</w:t>
      </w:r>
      <w:r>
        <w:rPr>
          <w:rFonts w:ascii="Arial" w:hAnsi="Arial" w:cs="Arial"/>
        </w:rPr>
        <w:t>ortación, de conformidad con las declaraciones y recibos de pago suministrados por los responsables, sea inferior al total del impuesto que por la misma importación haya sido declarado a las entidades territoriales y solicitado por éstas al Fondo-Cuenta, l</w:t>
      </w:r>
      <w:r>
        <w:rPr>
          <w:rFonts w:ascii="Arial" w:hAnsi="Arial" w:cs="Arial"/>
        </w:rPr>
        <w:t>a competencia para la fiscalización y determinación oficial de los impuestos al consumo corresponde a la entidad territorial que, de acuerdo con la información que reposa en el Fondo Cuenta, tenga la mayor participación económica en el impuesto solicitado.</w:t>
      </w:r>
    </w:p>
    <w:p w14:paraId="65384484" w14:textId="77777777" w:rsidR="00B2442D" w:rsidRDefault="00B2442D">
      <w:pPr>
        <w:jc w:val="both"/>
        <w:rPr>
          <w:rFonts w:ascii="Arial" w:hAnsi="Arial" w:cs="Arial"/>
        </w:rPr>
      </w:pPr>
    </w:p>
    <w:p w14:paraId="3AA9787C" w14:textId="77777777" w:rsidR="00B2442D" w:rsidRDefault="008A645F">
      <w:pPr>
        <w:jc w:val="both"/>
        <w:rPr>
          <w:rFonts w:ascii="Arial" w:hAnsi="Arial" w:cs="Arial"/>
        </w:rPr>
      </w:pPr>
      <w:r>
        <w:rPr>
          <w:rFonts w:ascii="Arial" w:hAnsi="Arial" w:cs="Arial"/>
        </w:rPr>
        <w:t>En este evento, la competencia de la entidad territorial comprende todas las declaraciones que sobre la misma importación se hayan presentado en las diferentes entidades territoriales.</w:t>
      </w:r>
    </w:p>
    <w:p w14:paraId="1280028B" w14:textId="77777777" w:rsidR="00B2442D" w:rsidRDefault="00B2442D">
      <w:pPr>
        <w:jc w:val="both"/>
        <w:rPr>
          <w:rFonts w:ascii="Arial" w:hAnsi="Arial" w:cs="Arial"/>
        </w:rPr>
      </w:pPr>
    </w:p>
    <w:p w14:paraId="53EE4BA3" w14:textId="77777777" w:rsidR="00B2442D" w:rsidRDefault="008A645F">
      <w:pPr>
        <w:jc w:val="both"/>
        <w:rPr>
          <w:rFonts w:ascii="Arial" w:hAnsi="Arial" w:cs="Arial"/>
        </w:rPr>
      </w:pPr>
      <w:r>
        <w:rPr>
          <w:rFonts w:ascii="Arial" w:hAnsi="Arial" w:cs="Arial"/>
        </w:rPr>
        <w:t>Detectada la inconsistencia, el administrador del Fondo-Cuenta conso</w:t>
      </w:r>
      <w:r>
        <w:rPr>
          <w:rFonts w:ascii="Arial" w:hAnsi="Arial" w:cs="Arial"/>
        </w:rPr>
        <w:t>lidará la información que sobre el particular repose en sus archivos y la remitirá con sus soportes y con un informe detallado de los hechos a la entidad territorial competente, la cual adelantará las investigaciones, efectuará la correcta determinación de</w:t>
      </w:r>
      <w:r>
        <w:rPr>
          <w:rFonts w:ascii="Arial" w:hAnsi="Arial" w:cs="Arial"/>
        </w:rPr>
        <w:t xml:space="preserve"> los impuestos e impondrá las sanciones a que haya lugar, siguiendo los procedimientos establecidos para tal fin. Los mayores valores determinados y el monto de las sanciones e intereses deberán ser consignadas por el responsable a favor del Fondo Cuenta, </w:t>
      </w:r>
      <w:r>
        <w:rPr>
          <w:rFonts w:ascii="Arial" w:hAnsi="Arial" w:cs="Arial"/>
        </w:rPr>
        <w:t>para su posterior reparto a las entidades territoriales en proporción a lo que a cada una de ellas corresponda.</w:t>
      </w:r>
    </w:p>
    <w:p w14:paraId="77D88E71" w14:textId="77777777" w:rsidR="00B2442D" w:rsidRDefault="00B2442D">
      <w:pPr>
        <w:jc w:val="both"/>
        <w:rPr>
          <w:rFonts w:ascii="Arial" w:hAnsi="Arial" w:cs="Arial"/>
        </w:rPr>
      </w:pPr>
    </w:p>
    <w:p w14:paraId="49DD8A46" w14:textId="77777777" w:rsidR="00B2442D" w:rsidRDefault="008A645F">
      <w:pPr>
        <w:jc w:val="both"/>
        <w:rPr>
          <w:rFonts w:ascii="Arial" w:hAnsi="Arial" w:cs="Arial"/>
        </w:rPr>
      </w:pPr>
      <w:r>
        <w:rPr>
          <w:rFonts w:ascii="Arial" w:hAnsi="Arial" w:cs="Arial"/>
        </w:rPr>
        <w:t xml:space="preserve">b) Inconsistencias que afectan a una sola entidad territorial. Cuando el total de la importación haya sido introducida para consumo a una </w:t>
      </w:r>
      <w:r>
        <w:rPr>
          <w:rFonts w:ascii="Arial" w:hAnsi="Arial" w:cs="Arial"/>
        </w:rPr>
        <w:t>sola entidad territorial, la facultad para la fiscalización y determinación oficial del impuesto corresponde a la entidad afectada. En este evento, tanto el Administrador del Fondo Cuenta como la entidad territorial aplicarán las mismas disposiciones conte</w:t>
      </w:r>
      <w:r>
        <w:rPr>
          <w:rFonts w:ascii="Arial" w:hAnsi="Arial" w:cs="Arial"/>
        </w:rPr>
        <w:t>nidas en el literal anterior, pero los mayores valores determinados y el monto de las sanciones se pagarán directamente a la entidad territorial.</w:t>
      </w:r>
    </w:p>
    <w:p w14:paraId="530E77C5" w14:textId="77777777" w:rsidR="00B2442D" w:rsidRDefault="00B2442D">
      <w:pPr>
        <w:jc w:val="both"/>
        <w:rPr>
          <w:rFonts w:ascii="Arial" w:hAnsi="Arial" w:cs="Arial"/>
        </w:rPr>
      </w:pPr>
    </w:p>
    <w:p w14:paraId="6D15A053" w14:textId="77777777" w:rsidR="00B2442D" w:rsidRDefault="008A645F">
      <w:pPr>
        <w:jc w:val="both"/>
        <w:rPr>
          <w:rFonts w:ascii="Arial" w:hAnsi="Arial" w:cs="Arial"/>
        </w:rPr>
      </w:pPr>
      <w:r>
        <w:rPr>
          <w:rFonts w:ascii="Arial" w:hAnsi="Arial" w:cs="Arial"/>
        </w:rPr>
        <w:t xml:space="preserve">c) Declaraciones presentadas ante las entidades territoriales sin respaldo en una declaración y en un recibo </w:t>
      </w:r>
      <w:r>
        <w:rPr>
          <w:rFonts w:ascii="Arial" w:hAnsi="Arial" w:cs="Arial"/>
        </w:rPr>
        <w:t>de pago ante el Fondo Cuenta. Cuando se establezca que las declaraciones presentadas ante las respectivas entidades territoriales, no corresponden a declaraciones presentadas y pagadas ante el Fondo Cuenta, el Administrador del mismo lo informará y certifi</w:t>
      </w:r>
      <w:r>
        <w:rPr>
          <w:rFonts w:ascii="Arial" w:hAnsi="Arial" w:cs="Arial"/>
        </w:rPr>
        <w:t>cará a la entidad territorial correspondiente y se abstendrá de girar la proporción de los recursos que a dicha inconsistencia corresponda.</w:t>
      </w:r>
    </w:p>
    <w:p w14:paraId="71B46F3C" w14:textId="77777777" w:rsidR="00B2442D" w:rsidRDefault="00B2442D">
      <w:pPr>
        <w:jc w:val="both"/>
        <w:rPr>
          <w:rFonts w:ascii="Arial" w:hAnsi="Arial" w:cs="Arial"/>
        </w:rPr>
      </w:pPr>
    </w:p>
    <w:p w14:paraId="321C3DF8" w14:textId="77777777" w:rsidR="00B2442D" w:rsidRDefault="008A645F">
      <w:pPr>
        <w:jc w:val="both"/>
        <w:rPr>
          <w:rFonts w:ascii="Arial" w:hAnsi="Arial" w:cs="Arial"/>
        </w:rPr>
      </w:pPr>
      <w:r>
        <w:rPr>
          <w:rFonts w:ascii="Arial" w:hAnsi="Arial" w:cs="Arial"/>
        </w:rPr>
        <w:t xml:space="preserve">La competencia para la determinación oficial, imposición de sanciones, cobro y recaudo de los valores, corresponde </w:t>
      </w:r>
      <w:r>
        <w:rPr>
          <w:rFonts w:ascii="Arial" w:hAnsi="Arial" w:cs="Arial"/>
        </w:rPr>
        <w:t>a la entidad o entidades territoriales donde hayan sido presentadas estas declaraciones.</w:t>
      </w:r>
    </w:p>
    <w:p w14:paraId="00821F9A" w14:textId="77777777" w:rsidR="00B2442D" w:rsidRDefault="00B2442D">
      <w:pPr>
        <w:jc w:val="both"/>
        <w:rPr>
          <w:rFonts w:ascii="Arial" w:hAnsi="Arial" w:cs="Arial"/>
        </w:rPr>
      </w:pPr>
    </w:p>
    <w:p w14:paraId="1B02F585" w14:textId="77777777" w:rsidR="00B2442D" w:rsidRDefault="008A645F">
      <w:pPr>
        <w:jc w:val="both"/>
        <w:rPr>
          <w:rFonts w:ascii="Arial" w:hAnsi="Arial" w:cs="Arial"/>
        </w:rPr>
      </w:pPr>
      <w:r>
        <w:rPr>
          <w:rFonts w:ascii="Arial" w:hAnsi="Arial" w:cs="Arial"/>
        </w:rPr>
        <w:t xml:space="preserve">d) Evasión o fraude a las rentas, detectadas por el Fondo Cuenta. Cuando con base en la información que posea, el Fondo Cuenta detecte posible evasión o fraude a las </w:t>
      </w:r>
      <w:r>
        <w:rPr>
          <w:rFonts w:ascii="Arial" w:hAnsi="Arial" w:cs="Arial"/>
        </w:rPr>
        <w:t>rentas departamentales, el Administrador del Fondo Cuenta consolidará la información que sobre el particular repose en sus archivos y la remitirá con sus soportes y con un informe detallado de los hechos a la entidad territorial competente, la cual adelant</w:t>
      </w:r>
      <w:r>
        <w:rPr>
          <w:rFonts w:ascii="Arial" w:hAnsi="Arial" w:cs="Arial"/>
        </w:rPr>
        <w:t>ará las investigaciones, efectuará la correcta determinación de los impuestos e impondrá las sanciones a que haya lugar siguiendo los procedimientos establecidos para tal fin.</w:t>
      </w:r>
    </w:p>
    <w:p w14:paraId="5B91A6FD" w14:textId="77777777" w:rsidR="00B2442D" w:rsidRDefault="00B2442D">
      <w:pPr>
        <w:jc w:val="both"/>
        <w:rPr>
          <w:rFonts w:ascii="Arial" w:hAnsi="Arial" w:cs="Arial"/>
        </w:rPr>
      </w:pPr>
    </w:p>
    <w:p w14:paraId="7DC01BAC" w14:textId="77777777" w:rsidR="00B2442D" w:rsidRDefault="008A645F">
      <w:pPr>
        <w:jc w:val="both"/>
        <w:rPr>
          <w:rFonts w:ascii="Arial" w:hAnsi="Arial" w:cs="Arial"/>
        </w:rPr>
      </w:pPr>
      <w:r>
        <w:rPr>
          <w:rFonts w:ascii="Arial" w:hAnsi="Arial" w:cs="Arial"/>
        </w:rPr>
        <w:t>La competencia para la fiscalización y determinación oficial corresponde a la e</w:t>
      </w:r>
      <w:r>
        <w:rPr>
          <w:rFonts w:ascii="Arial" w:hAnsi="Arial" w:cs="Arial"/>
        </w:rPr>
        <w:t>ntidad territorial que durante el respectivo período haya tenido la mayor participación económica en los impuestos administrados por el Fondo Cuenta, y cobija todas las declaraciones presentadas ante las diferentes entidades territoriales.</w:t>
      </w:r>
    </w:p>
    <w:p w14:paraId="4DF2A340" w14:textId="77777777" w:rsidR="00B2442D" w:rsidRDefault="00B2442D">
      <w:pPr>
        <w:jc w:val="both"/>
        <w:rPr>
          <w:rFonts w:ascii="Arial" w:hAnsi="Arial" w:cs="Arial"/>
        </w:rPr>
      </w:pPr>
    </w:p>
    <w:p w14:paraId="706D9B33" w14:textId="77777777" w:rsidR="00B2442D" w:rsidRDefault="008A645F">
      <w:pPr>
        <w:jc w:val="both"/>
        <w:rPr>
          <w:rFonts w:ascii="Arial" w:hAnsi="Arial" w:cs="Arial"/>
        </w:rPr>
      </w:pPr>
      <w:r>
        <w:rPr>
          <w:rFonts w:ascii="Arial" w:hAnsi="Arial" w:cs="Arial"/>
        </w:rPr>
        <w:t>Los mayores val</w:t>
      </w:r>
      <w:r>
        <w:rPr>
          <w:rFonts w:ascii="Arial" w:hAnsi="Arial" w:cs="Arial"/>
        </w:rPr>
        <w:t>ores determinados y el monto de las sanciones e intereses deberán ser consignados por el responsable a favor del Fondo Cuenta para su posterior distribución entre las entidades territoriales en proporción a lo que a cada una de ellas le corresponda.</w:t>
      </w:r>
    </w:p>
    <w:p w14:paraId="37E7E246" w14:textId="77777777" w:rsidR="00B2442D" w:rsidRDefault="00B2442D">
      <w:pPr>
        <w:jc w:val="both"/>
        <w:rPr>
          <w:rFonts w:ascii="Arial" w:hAnsi="Arial" w:cs="Arial"/>
        </w:rPr>
      </w:pPr>
    </w:p>
    <w:p w14:paraId="55E05CE3" w14:textId="77777777" w:rsidR="00B2442D" w:rsidRDefault="008A645F">
      <w:pPr>
        <w:jc w:val="both"/>
        <w:rPr>
          <w:rFonts w:ascii="Arial" w:hAnsi="Arial" w:cs="Arial"/>
        </w:rPr>
      </w:pPr>
      <w:r>
        <w:rPr>
          <w:rFonts w:ascii="Arial" w:hAnsi="Arial" w:cs="Arial"/>
        </w:rPr>
        <w:t>Cuand</w:t>
      </w:r>
      <w:r>
        <w:rPr>
          <w:rFonts w:ascii="Arial" w:hAnsi="Arial" w:cs="Arial"/>
        </w:rPr>
        <w:t>o una entidad territorial ya hubiese iniciado el proceso de determinación oficial por los mismos hechos, el Administrador del Fondo Cuenta remitirá a la misma toda la documentación con los soportes que posea, caso en el cual la competencia para proferir la</w:t>
      </w:r>
      <w:r>
        <w:rPr>
          <w:rFonts w:ascii="Arial" w:hAnsi="Arial" w:cs="Arial"/>
        </w:rPr>
        <w:t>s liquidaciones oficiales e imponer las sanciones a que haya lugar corresponde a dicha entidad territorial.</w:t>
      </w:r>
    </w:p>
    <w:p w14:paraId="1B5858EB" w14:textId="77777777" w:rsidR="00B2442D" w:rsidRDefault="00B2442D">
      <w:pPr>
        <w:jc w:val="both"/>
        <w:rPr>
          <w:rFonts w:ascii="Arial" w:hAnsi="Arial" w:cs="Arial"/>
        </w:rPr>
      </w:pPr>
    </w:p>
    <w:p w14:paraId="2757EACB" w14:textId="77777777" w:rsidR="00B2442D" w:rsidRDefault="008A645F">
      <w:pPr>
        <w:jc w:val="both"/>
        <w:rPr>
          <w:rFonts w:ascii="Arial" w:hAnsi="Arial" w:cs="Arial"/>
        </w:rPr>
      </w:pPr>
      <w:r>
        <w:rPr>
          <w:rFonts w:ascii="Arial" w:hAnsi="Arial" w:cs="Arial"/>
        </w:rPr>
        <w:t>Parágrafo. Para efecto de los trámites ulteriores correspondientes, en todos los casos de que trata este artículo, las entidades territoriales remi</w:t>
      </w:r>
      <w:r>
        <w:rPr>
          <w:rFonts w:ascii="Arial" w:hAnsi="Arial" w:cs="Arial"/>
        </w:rPr>
        <w:t>tirán al Fondo Cuenta dentro de los cinco (5) días siguientes a su ejecutoria, copia de la liquidación o providencia definitiva mediante la cual se determinaron mayores valores a cargo de los responsables de los impuestos al consumo y se impusieron las san</w:t>
      </w:r>
      <w:r>
        <w:rPr>
          <w:rFonts w:ascii="Arial" w:hAnsi="Arial" w:cs="Arial"/>
        </w:rPr>
        <w:t>ciones correspondientes</w:t>
      </w:r>
    </w:p>
    <w:p w14:paraId="72D722CB" w14:textId="77777777" w:rsidR="00B2442D" w:rsidRDefault="00B2442D">
      <w:pPr>
        <w:jc w:val="both"/>
        <w:rPr>
          <w:rFonts w:ascii="Arial" w:hAnsi="Arial" w:cs="Arial"/>
          <w:i/>
        </w:rPr>
      </w:pPr>
    </w:p>
    <w:p w14:paraId="425EB6AA" w14:textId="77777777" w:rsidR="00B2442D" w:rsidRDefault="008A645F">
      <w:pPr>
        <w:jc w:val="both"/>
        <w:rPr>
          <w:rFonts w:ascii="Arial" w:hAnsi="Arial" w:cs="Arial"/>
          <w:i/>
        </w:rPr>
      </w:pPr>
      <w:r>
        <w:rPr>
          <w:rFonts w:ascii="Arial" w:hAnsi="Arial" w:cs="Arial"/>
          <w:i/>
        </w:rPr>
        <w:t>(Art. 8, Decreto 1640 de 1996)</w:t>
      </w:r>
    </w:p>
    <w:p w14:paraId="46926768" w14:textId="77777777" w:rsidR="00B2442D" w:rsidRDefault="00B2442D">
      <w:pPr>
        <w:jc w:val="both"/>
        <w:rPr>
          <w:rFonts w:ascii="Arial" w:hAnsi="Arial" w:cs="Arial"/>
        </w:rPr>
      </w:pPr>
    </w:p>
    <w:p w14:paraId="7995DDD7" w14:textId="77777777" w:rsidR="00B2442D" w:rsidRDefault="008A645F">
      <w:pPr>
        <w:numPr>
          <w:ilvl w:val="0"/>
          <w:numId w:val="183"/>
        </w:numPr>
        <w:ind w:left="0" w:firstLine="0"/>
        <w:contextualSpacing/>
        <w:jc w:val="both"/>
        <w:rPr>
          <w:rFonts w:ascii="Arial" w:hAnsi="Arial" w:cs="Arial"/>
        </w:rPr>
      </w:pPr>
      <w:r>
        <w:rPr>
          <w:rFonts w:ascii="Arial" w:hAnsi="Arial" w:cs="Arial"/>
          <w:b/>
          <w:i/>
        </w:rPr>
        <w:t>Relaciones de declaraciones</w:t>
      </w:r>
      <w:r>
        <w:rPr>
          <w:rFonts w:ascii="Arial" w:hAnsi="Arial" w:cs="Arial"/>
          <w:b/>
        </w:rPr>
        <w:t>.</w:t>
      </w:r>
      <w:r>
        <w:rPr>
          <w:rFonts w:ascii="Arial" w:hAnsi="Arial" w:cs="Arial"/>
        </w:rPr>
        <w:t xml:space="preserve"> Las relaciones que de conformidad con los artículos 196 y 217 de la Ley 223 de 1995 deben enviar los Secretarios de Hacienda se diligenciarán, para cada impuesto, en los </w:t>
      </w:r>
      <w:r>
        <w:rPr>
          <w:rFonts w:ascii="Arial" w:hAnsi="Arial" w:cs="Arial"/>
        </w:rPr>
        <w:t>formatos que determine el Fondo Cuenta y deberán contener como mínimo:</w:t>
      </w:r>
    </w:p>
    <w:p w14:paraId="056C71E0" w14:textId="77777777" w:rsidR="00B2442D" w:rsidRDefault="00B2442D">
      <w:pPr>
        <w:jc w:val="both"/>
        <w:rPr>
          <w:rFonts w:ascii="Arial" w:hAnsi="Arial" w:cs="Arial"/>
        </w:rPr>
      </w:pPr>
    </w:p>
    <w:p w14:paraId="2C596017" w14:textId="77777777" w:rsidR="00B2442D" w:rsidRDefault="008A645F">
      <w:pPr>
        <w:jc w:val="both"/>
        <w:rPr>
          <w:rFonts w:ascii="Arial" w:hAnsi="Arial" w:cs="Arial"/>
        </w:rPr>
      </w:pPr>
      <w:r>
        <w:rPr>
          <w:rFonts w:ascii="Arial" w:hAnsi="Arial" w:cs="Arial"/>
        </w:rPr>
        <w:t>a) Entidad territorial que suministra la información;</w:t>
      </w:r>
    </w:p>
    <w:p w14:paraId="7BC8114B" w14:textId="77777777" w:rsidR="00B2442D" w:rsidRDefault="008A645F">
      <w:pPr>
        <w:jc w:val="both"/>
        <w:rPr>
          <w:rFonts w:ascii="Arial" w:hAnsi="Arial" w:cs="Arial"/>
        </w:rPr>
      </w:pPr>
      <w:r>
        <w:rPr>
          <w:rFonts w:ascii="Arial" w:hAnsi="Arial" w:cs="Arial"/>
        </w:rPr>
        <w:t>b) Período a que corresponde la información;</w:t>
      </w:r>
    </w:p>
    <w:p w14:paraId="454C5A44" w14:textId="77777777" w:rsidR="00B2442D" w:rsidRDefault="008A645F">
      <w:pPr>
        <w:jc w:val="both"/>
        <w:rPr>
          <w:rFonts w:ascii="Arial" w:hAnsi="Arial" w:cs="Arial"/>
        </w:rPr>
      </w:pPr>
      <w:r>
        <w:rPr>
          <w:rFonts w:ascii="Arial" w:hAnsi="Arial" w:cs="Arial"/>
        </w:rPr>
        <w:t>c) Clase de impuesto;</w:t>
      </w:r>
    </w:p>
    <w:p w14:paraId="1D2FAB76" w14:textId="77777777" w:rsidR="00B2442D" w:rsidRDefault="008A645F">
      <w:pPr>
        <w:jc w:val="both"/>
        <w:rPr>
          <w:rFonts w:ascii="Arial" w:hAnsi="Arial" w:cs="Arial"/>
        </w:rPr>
      </w:pPr>
      <w:r>
        <w:rPr>
          <w:rFonts w:ascii="Arial" w:hAnsi="Arial" w:cs="Arial"/>
        </w:rPr>
        <w:t>d) Nombre, razón social y NIT de los declarantes;</w:t>
      </w:r>
    </w:p>
    <w:p w14:paraId="48D18FA7" w14:textId="77777777" w:rsidR="00B2442D" w:rsidRDefault="008A645F">
      <w:pPr>
        <w:jc w:val="both"/>
        <w:rPr>
          <w:rFonts w:ascii="Arial" w:hAnsi="Arial" w:cs="Arial"/>
        </w:rPr>
      </w:pPr>
      <w:r>
        <w:rPr>
          <w:rFonts w:ascii="Arial" w:hAnsi="Arial" w:cs="Arial"/>
        </w:rPr>
        <w:t>e) Número y f</w:t>
      </w:r>
      <w:r>
        <w:rPr>
          <w:rFonts w:ascii="Arial" w:hAnsi="Arial" w:cs="Arial"/>
        </w:rPr>
        <w:t>echa de las declaraciones presentadas por los responsables;</w:t>
      </w:r>
    </w:p>
    <w:p w14:paraId="2A80E5F1" w14:textId="77777777" w:rsidR="00B2442D" w:rsidRDefault="008A645F">
      <w:pPr>
        <w:jc w:val="both"/>
        <w:rPr>
          <w:rFonts w:ascii="Arial" w:hAnsi="Arial" w:cs="Arial"/>
        </w:rPr>
      </w:pPr>
      <w:r>
        <w:rPr>
          <w:rFonts w:ascii="Arial" w:hAnsi="Arial" w:cs="Arial"/>
        </w:rPr>
        <w:t>f) Monto total del impuesto al consumo a favor de la entidad territorial;</w:t>
      </w:r>
    </w:p>
    <w:p w14:paraId="2E021416" w14:textId="77777777" w:rsidR="00B2442D" w:rsidRDefault="008A645F">
      <w:pPr>
        <w:jc w:val="both"/>
        <w:rPr>
          <w:rFonts w:ascii="Arial" w:hAnsi="Arial" w:cs="Arial"/>
        </w:rPr>
      </w:pPr>
      <w:r>
        <w:rPr>
          <w:rFonts w:ascii="Arial" w:hAnsi="Arial" w:cs="Arial"/>
        </w:rPr>
        <w:t>g) Firma del Secretario de Hacienda.</w:t>
      </w:r>
    </w:p>
    <w:p w14:paraId="20C9590D" w14:textId="77777777" w:rsidR="00B2442D" w:rsidRDefault="00B2442D">
      <w:pPr>
        <w:jc w:val="both"/>
        <w:rPr>
          <w:rFonts w:ascii="Arial" w:hAnsi="Arial" w:cs="Arial"/>
        </w:rPr>
      </w:pPr>
    </w:p>
    <w:p w14:paraId="6769FF05" w14:textId="77777777" w:rsidR="00B2442D" w:rsidRDefault="008A645F">
      <w:pPr>
        <w:jc w:val="both"/>
        <w:rPr>
          <w:rFonts w:ascii="Arial" w:hAnsi="Arial" w:cs="Arial"/>
        </w:rPr>
      </w:pPr>
      <w:r>
        <w:rPr>
          <w:rFonts w:ascii="Arial" w:hAnsi="Arial" w:cs="Arial"/>
        </w:rPr>
        <w:t xml:space="preserve">Las relaciones se acompañarán con copias de las declaraciones presentadas por los </w:t>
      </w:r>
      <w:r>
        <w:rPr>
          <w:rFonts w:ascii="Arial" w:hAnsi="Arial" w:cs="Arial"/>
        </w:rPr>
        <w:t>responsables, las cuales deben ser autenticadas por el director o jefe de la unidad de rentas o impuestos, o su delegado.</w:t>
      </w:r>
    </w:p>
    <w:p w14:paraId="68693E9A" w14:textId="77777777" w:rsidR="00B2442D" w:rsidRDefault="00B2442D">
      <w:pPr>
        <w:jc w:val="both"/>
        <w:rPr>
          <w:rFonts w:ascii="Arial" w:hAnsi="Arial" w:cs="Arial"/>
        </w:rPr>
      </w:pPr>
    </w:p>
    <w:p w14:paraId="28938758"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efectos del giro del impuesto correspondiente, cada Secretaría de Hacienda informará al Director de la Unidad Adminis</w:t>
      </w:r>
      <w:r>
        <w:rPr>
          <w:rFonts w:ascii="Arial" w:hAnsi="Arial" w:cs="Arial"/>
        </w:rPr>
        <w:t>tradora del Fondo Cuenta, la entidad financiera y número de cuenta a la cual se le deben consignar los recursos.</w:t>
      </w:r>
    </w:p>
    <w:p w14:paraId="3EBBF5F0" w14:textId="77777777" w:rsidR="00B2442D" w:rsidRDefault="00B2442D">
      <w:pPr>
        <w:jc w:val="both"/>
        <w:rPr>
          <w:rFonts w:ascii="Arial" w:hAnsi="Arial" w:cs="Arial"/>
          <w:i/>
        </w:rPr>
      </w:pPr>
    </w:p>
    <w:p w14:paraId="4BD6D027" w14:textId="77777777" w:rsidR="00B2442D" w:rsidRDefault="008A645F">
      <w:pPr>
        <w:jc w:val="both"/>
        <w:rPr>
          <w:rFonts w:ascii="Arial" w:hAnsi="Arial" w:cs="Arial"/>
          <w:i/>
        </w:rPr>
      </w:pPr>
      <w:r>
        <w:rPr>
          <w:rFonts w:ascii="Arial" w:hAnsi="Arial" w:cs="Arial"/>
          <w:i/>
        </w:rPr>
        <w:t>(Art. 9, Decreto 1640 de 1996)</w:t>
      </w:r>
    </w:p>
    <w:p w14:paraId="0AFC4B74" w14:textId="77777777" w:rsidR="00B2442D" w:rsidRDefault="00B2442D">
      <w:pPr>
        <w:jc w:val="both"/>
        <w:rPr>
          <w:rFonts w:ascii="Arial" w:hAnsi="Arial" w:cs="Arial"/>
        </w:rPr>
      </w:pPr>
    </w:p>
    <w:p w14:paraId="0BE7481B" w14:textId="77777777" w:rsidR="00B2442D" w:rsidRDefault="008A645F">
      <w:pPr>
        <w:numPr>
          <w:ilvl w:val="0"/>
          <w:numId w:val="183"/>
        </w:numPr>
        <w:ind w:left="0" w:firstLine="0"/>
        <w:contextualSpacing/>
        <w:jc w:val="both"/>
        <w:rPr>
          <w:rFonts w:ascii="Arial" w:hAnsi="Arial" w:cs="Arial"/>
        </w:rPr>
      </w:pPr>
      <w:r>
        <w:rPr>
          <w:rFonts w:ascii="Arial" w:hAnsi="Arial" w:cs="Arial"/>
          <w:b/>
          <w:i/>
        </w:rPr>
        <w:t>Pago del impuesto al Fondo Cuenta de productos extranjeros.</w:t>
      </w:r>
      <w:r>
        <w:rPr>
          <w:rFonts w:ascii="Arial" w:hAnsi="Arial" w:cs="Arial"/>
          <w:b/>
        </w:rPr>
        <w:t xml:space="preserve"> </w:t>
      </w:r>
      <w:r>
        <w:rPr>
          <w:rFonts w:ascii="Arial" w:hAnsi="Arial" w:cs="Arial"/>
        </w:rPr>
        <w:t>En todos los casos, en el momento de la importació</w:t>
      </w:r>
      <w:r>
        <w:rPr>
          <w:rFonts w:ascii="Arial" w:hAnsi="Arial" w:cs="Arial"/>
        </w:rPr>
        <w:t>n o de la introducción a zonas de régimen aduanero especial, los importadores o introductores de cigarrillos y tabaco elaborado; licores, vinos, aperitivos, y similares; y cervezas y sifones, declararán, liquidarán y pagarán a favor del Fondo Cuenta, los i</w:t>
      </w:r>
      <w:r>
        <w:rPr>
          <w:rFonts w:ascii="Arial" w:hAnsi="Arial" w:cs="Arial"/>
        </w:rPr>
        <w:t>mpuestos al consumo.</w:t>
      </w:r>
    </w:p>
    <w:p w14:paraId="42C5F8AB" w14:textId="77777777" w:rsidR="00B2442D" w:rsidRDefault="00B2442D">
      <w:pPr>
        <w:jc w:val="both"/>
        <w:rPr>
          <w:rFonts w:ascii="Arial" w:hAnsi="Arial" w:cs="Arial"/>
        </w:rPr>
      </w:pPr>
    </w:p>
    <w:p w14:paraId="3FE18F30" w14:textId="77777777" w:rsidR="00B2442D" w:rsidRDefault="008A645F">
      <w:pPr>
        <w:jc w:val="both"/>
        <w:rPr>
          <w:rFonts w:ascii="Arial" w:hAnsi="Arial" w:cs="Arial"/>
        </w:rPr>
      </w:pPr>
      <w:r>
        <w:rPr>
          <w:rFonts w:ascii="Arial" w:hAnsi="Arial" w:cs="Arial"/>
        </w:rPr>
        <w:t xml:space="preserve">La declaración y pago de los impuestos al consumo se efectuará conjuntamente con la declaración de importación en las instituciones financieras autorizadas por el Administrador del Fondo Cuenta, utilizando los formularios que para el </w:t>
      </w:r>
      <w:r>
        <w:rPr>
          <w:rFonts w:ascii="Arial" w:hAnsi="Arial" w:cs="Arial"/>
        </w:rPr>
        <w:t>efecto diseñe la Dirección General de Apoyo Fiscal del Ministerio de Hacienda y Crédito Público.</w:t>
      </w:r>
    </w:p>
    <w:p w14:paraId="4B3F00D3" w14:textId="77777777" w:rsidR="00B2442D" w:rsidRDefault="00B2442D">
      <w:pPr>
        <w:jc w:val="both"/>
        <w:rPr>
          <w:rFonts w:ascii="Arial" w:hAnsi="Arial" w:cs="Arial"/>
        </w:rPr>
      </w:pPr>
    </w:p>
    <w:p w14:paraId="4B0F7711" w14:textId="77777777" w:rsidR="00B2442D" w:rsidRDefault="008A645F">
      <w:pPr>
        <w:jc w:val="both"/>
        <w:rPr>
          <w:rFonts w:ascii="Arial" w:hAnsi="Arial" w:cs="Arial"/>
        </w:rPr>
      </w:pPr>
      <w:r>
        <w:rPr>
          <w:rFonts w:ascii="Arial" w:hAnsi="Arial" w:cs="Arial"/>
        </w:rPr>
        <w:t>Los responsables del impuesto están obligados a informar en el formulario de declaración de los impuestos al consumo, el número, fecha y lugar de presentación</w:t>
      </w:r>
      <w:r>
        <w:rPr>
          <w:rFonts w:ascii="Arial" w:hAnsi="Arial" w:cs="Arial"/>
        </w:rPr>
        <w:t xml:space="preserve"> de la declaración de importación con que se introdujeron los productos objeto de la declaración.</w:t>
      </w:r>
    </w:p>
    <w:p w14:paraId="2B57ADE7" w14:textId="77777777" w:rsidR="00B2442D" w:rsidRDefault="00B2442D">
      <w:pPr>
        <w:jc w:val="both"/>
        <w:rPr>
          <w:rFonts w:ascii="Arial" w:hAnsi="Arial" w:cs="Arial"/>
        </w:rPr>
      </w:pPr>
    </w:p>
    <w:p w14:paraId="5DB751E1" w14:textId="77777777" w:rsidR="00B2442D" w:rsidRDefault="008A645F">
      <w:pPr>
        <w:jc w:val="both"/>
        <w:rPr>
          <w:rFonts w:ascii="Arial" w:hAnsi="Arial" w:cs="Arial"/>
        </w:rPr>
      </w:pPr>
      <w:r>
        <w:rPr>
          <w:rFonts w:ascii="Arial" w:hAnsi="Arial" w:cs="Arial"/>
        </w:rPr>
        <w:t>La autoridad aduanera nacional no podrá autorizar el levante de las mercancías cuando éstas generen impuestos al consumo, sin que se demuestre por el respons</w:t>
      </w:r>
      <w:r>
        <w:rPr>
          <w:rFonts w:ascii="Arial" w:hAnsi="Arial" w:cs="Arial"/>
        </w:rPr>
        <w:t>able el pago de dichos impuestos.</w:t>
      </w:r>
    </w:p>
    <w:p w14:paraId="5CCD1235" w14:textId="77777777" w:rsidR="00B2442D" w:rsidRDefault="00B2442D">
      <w:pPr>
        <w:jc w:val="both"/>
        <w:rPr>
          <w:rFonts w:ascii="Arial" w:hAnsi="Arial" w:cs="Arial"/>
        </w:rPr>
      </w:pPr>
    </w:p>
    <w:p w14:paraId="4240638E" w14:textId="77777777" w:rsidR="00B2442D" w:rsidRDefault="008A645F">
      <w:pPr>
        <w:jc w:val="both"/>
        <w:rPr>
          <w:rFonts w:ascii="Arial" w:hAnsi="Arial" w:cs="Arial"/>
        </w:rPr>
      </w:pPr>
      <w:r>
        <w:rPr>
          <w:rFonts w:ascii="Arial" w:hAnsi="Arial" w:cs="Arial"/>
        </w:rPr>
        <w:t>Cuando los productos importados sean objeto de monopolio en la correspondiente entidad territorial, la diferencia entre el impuesto pagado al Fondo Cuenta y el total de la participación porcentual, se liquidará y pagará a</w:t>
      </w:r>
      <w:r>
        <w:rPr>
          <w:rFonts w:ascii="Arial" w:hAnsi="Arial" w:cs="Arial"/>
        </w:rPr>
        <w:t>nte la correspondiente entidad territorial de conformidad con lo estipulado en los respectivos convenios.</w:t>
      </w:r>
    </w:p>
    <w:p w14:paraId="3B38126E" w14:textId="77777777" w:rsidR="00B2442D" w:rsidRDefault="00B2442D">
      <w:pPr>
        <w:jc w:val="both"/>
        <w:rPr>
          <w:rFonts w:ascii="Arial" w:hAnsi="Arial" w:cs="Arial"/>
        </w:rPr>
      </w:pPr>
    </w:p>
    <w:p w14:paraId="7127E99D" w14:textId="77777777" w:rsidR="00B2442D" w:rsidRDefault="008A645F">
      <w:pPr>
        <w:jc w:val="both"/>
        <w:rPr>
          <w:rFonts w:ascii="Arial" w:hAnsi="Arial" w:cs="Arial"/>
        </w:rPr>
      </w:pPr>
      <w:r>
        <w:rPr>
          <w:rFonts w:ascii="Arial" w:hAnsi="Arial" w:cs="Arial"/>
          <w:b/>
        </w:rPr>
        <w:t>Parágrafo 1º.</w:t>
      </w:r>
      <w:r>
        <w:rPr>
          <w:rFonts w:ascii="Arial" w:hAnsi="Arial" w:cs="Arial"/>
        </w:rPr>
        <w:t xml:space="preserve"> Extemporaneidad en la declaración ante el Fondo-Cuenta de productos extranjeros. Habrá extemporaneidad en la presentación de las declaraciones de impuestos al consumo ante el Fondo-Cuenta, cuando las mismas se presenten vencidos los términos con que cuent</w:t>
      </w:r>
      <w:r>
        <w:rPr>
          <w:rFonts w:ascii="Arial" w:hAnsi="Arial" w:cs="Arial"/>
        </w:rPr>
        <w:t>a el importador para nacionalizar la mercancía, de conformidad con las disposiciones aduaneras nacionales.</w:t>
      </w:r>
    </w:p>
    <w:p w14:paraId="233A1C34" w14:textId="77777777" w:rsidR="00B2442D" w:rsidRDefault="00B2442D">
      <w:pPr>
        <w:jc w:val="both"/>
        <w:rPr>
          <w:rFonts w:ascii="Arial" w:hAnsi="Arial" w:cs="Arial"/>
        </w:rPr>
      </w:pPr>
    </w:p>
    <w:p w14:paraId="0758CD96" w14:textId="77777777" w:rsidR="00B2442D" w:rsidRDefault="008A645F">
      <w:pPr>
        <w:jc w:val="both"/>
        <w:rPr>
          <w:rFonts w:ascii="Arial" w:hAnsi="Arial" w:cs="Arial"/>
        </w:rPr>
      </w:pPr>
      <w:r>
        <w:rPr>
          <w:rFonts w:ascii="Arial" w:hAnsi="Arial" w:cs="Arial"/>
          <w:b/>
        </w:rPr>
        <w:t>Parágrafo 2º.</w:t>
      </w:r>
      <w:r>
        <w:rPr>
          <w:rFonts w:ascii="Arial" w:hAnsi="Arial" w:cs="Arial"/>
        </w:rPr>
        <w:t xml:space="preserve"> Toda corrección o modificación de las declaraciones de importación genera corrección o modificación de la declaración de impuestos al </w:t>
      </w:r>
      <w:r>
        <w:rPr>
          <w:rFonts w:ascii="Arial" w:hAnsi="Arial" w:cs="Arial"/>
        </w:rPr>
        <w:t>consumo, salvo lo dispuesto en el artículo 2.2.1.1.11 de este Decreto, evento en el cual se aplicará lo allí previsto</w:t>
      </w:r>
    </w:p>
    <w:p w14:paraId="74D3AD09" w14:textId="77777777" w:rsidR="00B2442D" w:rsidRDefault="00B2442D">
      <w:pPr>
        <w:jc w:val="both"/>
        <w:rPr>
          <w:rFonts w:ascii="Arial" w:hAnsi="Arial" w:cs="Arial"/>
          <w:i/>
        </w:rPr>
      </w:pPr>
    </w:p>
    <w:p w14:paraId="77A21F4A" w14:textId="77777777" w:rsidR="00B2442D" w:rsidRDefault="008A645F">
      <w:pPr>
        <w:jc w:val="both"/>
        <w:rPr>
          <w:rFonts w:ascii="Arial" w:hAnsi="Arial" w:cs="Arial"/>
          <w:i/>
        </w:rPr>
      </w:pPr>
      <w:r>
        <w:rPr>
          <w:rFonts w:ascii="Arial" w:hAnsi="Arial" w:cs="Arial"/>
          <w:i/>
        </w:rPr>
        <w:t>(Art. 10, Decreto 1640 de 1996, modificado el parágrafo 1º por el Art. 17 del Decreto 3071 de 1997)</w:t>
      </w:r>
    </w:p>
    <w:p w14:paraId="21973ED0" w14:textId="77777777" w:rsidR="00B2442D" w:rsidRDefault="00B2442D">
      <w:pPr>
        <w:jc w:val="both"/>
        <w:rPr>
          <w:rFonts w:ascii="Arial" w:hAnsi="Arial" w:cs="Arial"/>
        </w:rPr>
      </w:pPr>
    </w:p>
    <w:p w14:paraId="42517ED0" w14:textId="77777777" w:rsidR="00B2442D" w:rsidRDefault="008A645F">
      <w:pPr>
        <w:numPr>
          <w:ilvl w:val="0"/>
          <w:numId w:val="183"/>
        </w:numPr>
        <w:ind w:left="0" w:firstLine="0"/>
        <w:contextualSpacing/>
        <w:jc w:val="both"/>
        <w:rPr>
          <w:rFonts w:ascii="Arial" w:hAnsi="Arial" w:cs="Arial"/>
        </w:rPr>
      </w:pPr>
      <w:r>
        <w:rPr>
          <w:rFonts w:ascii="Arial" w:hAnsi="Arial" w:cs="Arial"/>
          <w:b/>
          <w:i/>
        </w:rPr>
        <w:t>Corrección de inconsistencias.</w:t>
      </w:r>
      <w:r>
        <w:rPr>
          <w:rFonts w:ascii="Arial" w:hAnsi="Arial" w:cs="Arial"/>
        </w:rPr>
        <w:t xml:space="preserve"> Las i</w:t>
      </w:r>
      <w:r>
        <w:rPr>
          <w:rFonts w:ascii="Arial" w:hAnsi="Arial" w:cs="Arial"/>
        </w:rPr>
        <w:t>nconsistencias de las declaraciones de impuestos al consumo presentadas ante el Fondo Cuenta diferentes a las señaladas en el artículo 2.2.1.1.8 del presente decreto, serán de conocimiento de la entidad territorial titular del impuesto que corresponda a la</w:t>
      </w:r>
      <w:r>
        <w:rPr>
          <w:rFonts w:ascii="Arial" w:hAnsi="Arial" w:cs="Arial"/>
        </w:rPr>
        <w:t xml:space="preserve"> dirección informada por el declarante. </w:t>
      </w:r>
    </w:p>
    <w:p w14:paraId="4B7AD5D1" w14:textId="77777777" w:rsidR="00B2442D" w:rsidRDefault="00B2442D">
      <w:pPr>
        <w:jc w:val="both"/>
        <w:rPr>
          <w:rFonts w:ascii="Arial" w:hAnsi="Arial" w:cs="Arial"/>
        </w:rPr>
      </w:pPr>
    </w:p>
    <w:p w14:paraId="42698E1D" w14:textId="77777777" w:rsidR="00B2442D" w:rsidRDefault="008A645F">
      <w:pPr>
        <w:jc w:val="both"/>
        <w:rPr>
          <w:rFonts w:ascii="Arial" w:hAnsi="Arial" w:cs="Arial"/>
        </w:rPr>
      </w:pPr>
      <w:r>
        <w:rPr>
          <w:rFonts w:ascii="Arial" w:hAnsi="Arial" w:cs="Arial"/>
        </w:rPr>
        <w:t xml:space="preserve">Detectada la inconsistencia, el administrador del Fondo Cuenta remitirá la declaración acompañada del informe respectivo a la entidad territorial competente dentro de los diez (10) días siguientes. </w:t>
      </w:r>
    </w:p>
    <w:p w14:paraId="667DCA8C" w14:textId="77777777" w:rsidR="00B2442D" w:rsidRDefault="00B2442D">
      <w:pPr>
        <w:jc w:val="both"/>
        <w:rPr>
          <w:rFonts w:ascii="Arial" w:hAnsi="Arial" w:cs="Arial"/>
        </w:rPr>
      </w:pPr>
    </w:p>
    <w:p w14:paraId="02D038CD" w14:textId="77777777" w:rsidR="00B2442D" w:rsidRDefault="008A645F">
      <w:pPr>
        <w:jc w:val="both"/>
        <w:rPr>
          <w:rFonts w:ascii="Arial" w:hAnsi="Arial" w:cs="Arial"/>
        </w:rPr>
      </w:pPr>
      <w:r>
        <w:rPr>
          <w:rFonts w:ascii="Arial" w:hAnsi="Arial" w:cs="Arial"/>
        </w:rPr>
        <w:t xml:space="preserve">Los </w:t>
      </w:r>
      <w:r>
        <w:rPr>
          <w:rFonts w:ascii="Arial" w:hAnsi="Arial" w:cs="Arial"/>
        </w:rPr>
        <w:t>mayores valores liquidados serán consignados por el responsable a órdenes del Fondo Cuenta para su posterior reparto a las entidades territoriales en proporción a lo que a cada una de ellas corresponda.</w:t>
      </w:r>
    </w:p>
    <w:p w14:paraId="091FBF15" w14:textId="77777777" w:rsidR="00B2442D" w:rsidRDefault="00B2442D">
      <w:pPr>
        <w:jc w:val="both"/>
        <w:rPr>
          <w:rFonts w:ascii="Arial" w:hAnsi="Arial" w:cs="Arial"/>
          <w:i/>
        </w:rPr>
      </w:pPr>
    </w:p>
    <w:p w14:paraId="21F23B5C" w14:textId="77777777" w:rsidR="00B2442D" w:rsidRDefault="008A645F">
      <w:pPr>
        <w:jc w:val="both"/>
        <w:rPr>
          <w:rFonts w:ascii="Arial" w:hAnsi="Arial" w:cs="Arial"/>
          <w:i/>
        </w:rPr>
      </w:pPr>
      <w:r>
        <w:rPr>
          <w:rFonts w:ascii="Arial" w:hAnsi="Arial" w:cs="Arial"/>
          <w:i/>
        </w:rPr>
        <w:t>(Art. 12, Decreto 1640 de 1996, modificado por el Ar</w:t>
      </w:r>
      <w:r>
        <w:rPr>
          <w:rFonts w:ascii="Arial" w:hAnsi="Arial" w:cs="Arial"/>
          <w:i/>
        </w:rPr>
        <w:t>t. 22 del Decreto 3071 de1997)</w:t>
      </w:r>
    </w:p>
    <w:p w14:paraId="64DC01C4" w14:textId="77777777" w:rsidR="00B2442D" w:rsidRDefault="00B2442D">
      <w:pPr>
        <w:rPr>
          <w:rFonts w:ascii="Arial" w:hAnsi="Arial" w:cs="Arial"/>
        </w:rPr>
      </w:pPr>
    </w:p>
    <w:p w14:paraId="673CA67D" w14:textId="77777777" w:rsidR="00B2442D" w:rsidRDefault="008A645F">
      <w:pPr>
        <w:numPr>
          <w:ilvl w:val="0"/>
          <w:numId w:val="183"/>
        </w:numPr>
        <w:ind w:left="0" w:firstLine="0"/>
        <w:contextualSpacing/>
        <w:jc w:val="both"/>
        <w:rPr>
          <w:rFonts w:ascii="Arial" w:hAnsi="Arial" w:cs="Arial"/>
        </w:rPr>
      </w:pPr>
      <w:r>
        <w:rPr>
          <w:rFonts w:ascii="Arial" w:hAnsi="Arial" w:cs="Arial"/>
          <w:b/>
          <w:i/>
        </w:rPr>
        <w:t xml:space="preserve">Obligación de suministrar información. </w:t>
      </w:r>
      <w:r>
        <w:rPr>
          <w:rFonts w:ascii="Arial" w:hAnsi="Arial" w:cs="Arial"/>
        </w:rPr>
        <w:t>Para efectos de lo dispuesto en el artículo 585 del Estatuto Tributario, las autoridades aduaneras o tributarias nacionales suministrarán al Fondo Cuenta y a los Jefes de Impuestos y Re</w:t>
      </w:r>
      <w:r>
        <w:rPr>
          <w:rFonts w:ascii="Arial" w:hAnsi="Arial" w:cs="Arial"/>
        </w:rPr>
        <w:t>ntas Departamentales y del Distrito Capital de Bogotá, o quienes hagan sus veces, la información global que en medio magnético se le solicite y la información puntual documental que le sea requerida, relacionada con las declaraciones de importación sobre p</w:t>
      </w:r>
      <w:r>
        <w:rPr>
          <w:rFonts w:ascii="Arial" w:hAnsi="Arial" w:cs="Arial"/>
        </w:rPr>
        <w:t>roductos gravados con impuestos al consumo, así como de las declaraciones de renta y de ventas.</w:t>
      </w:r>
    </w:p>
    <w:p w14:paraId="1CCBE952" w14:textId="77777777" w:rsidR="00B2442D" w:rsidRDefault="00B2442D">
      <w:pPr>
        <w:jc w:val="both"/>
        <w:rPr>
          <w:rFonts w:ascii="Arial" w:hAnsi="Arial" w:cs="Arial"/>
        </w:rPr>
      </w:pPr>
    </w:p>
    <w:p w14:paraId="55C2B572" w14:textId="77777777" w:rsidR="00B2442D" w:rsidRDefault="008A645F">
      <w:pPr>
        <w:jc w:val="both"/>
        <w:rPr>
          <w:rFonts w:ascii="Arial" w:hAnsi="Arial" w:cs="Arial"/>
        </w:rPr>
      </w:pPr>
      <w:r>
        <w:rPr>
          <w:rFonts w:ascii="Arial" w:hAnsi="Arial" w:cs="Arial"/>
        </w:rPr>
        <w:t>La información puntual será solicitada a los Administradores Regionales y la información global en medio magnético a la Subdirección de Fiscalización o quien h</w:t>
      </w:r>
      <w:r>
        <w:rPr>
          <w:rFonts w:ascii="Arial" w:hAnsi="Arial" w:cs="Arial"/>
        </w:rPr>
        <w:t>aga sus veces.</w:t>
      </w:r>
    </w:p>
    <w:p w14:paraId="29B7BB45" w14:textId="77777777" w:rsidR="00B2442D" w:rsidRDefault="00B2442D">
      <w:pPr>
        <w:jc w:val="both"/>
        <w:rPr>
          <w:rFonts w:ascii="Arial" w:hAnsi="Arial" w:cs="Arial"/>
        </w:rPr>
      </w:pPr>
    </w:p>
    <w:p w14:paraId="08980C47" w14:textId="77777777" w:rsidR="00B2442D" w:rsidRDefault="008A645F">
      <w:pPr>
        <w:jc w:val="both"/>
        <w:rPr>
          <w:rFonts w:ascii="Arial" w:hAnsi="Arial" w:cs="Arial"/>
        </w:rPr>
      </w:pPr>
      <w:r>
        <w:rPr>
          <w:rFonts w:ascii="Arial" w:hAnsi="Arial" w:cs="Arial"/>
        </w:rPr>
        <w:t>La información deberá ser remitida por las autoridades tributarias o aduaneras nacionales dentro de los quince (15) días siguientes a la fecha de la solicitud.</w:t>
      </w:r>
    </w:p>
    <w:p w14:paraId="4C1BBAD6" w14:textId="77777777" w:rsidR="00B2442D" w:rsidRDefault="00B2442D">
      <w:pPr>
        <w:jc w:val="both"/>
        <w:rPr>
          <w:rFonts w:ascii="Arial" w:hAnsi="Arial" w:cs="Arial"/>
          <w:i/>
        </w:rPr>
      </w:pPr>
    </w:p>
    <w:p w14:paraId="5EDB82AD" w14:textId="77777777" w:rsidR="00B2442D" w:rsidRDefault="008A645F">
      <w:pPr>
        <w:jc w:val="both"/>
        <w:rPr>
          <w:rFonts w:ascii="Arial" w:hAnsi="Arial" w:cs="Arial"/>
          <w:i/>
        </w:rPr>
      </w:pPr>
      <w:r>
        <w:rPr>
          <w:rFonts w:ascii="Arial" w:hAnsi="Arial" w:cs="Arial"/>
          <w:i/>
        </w:rPr>
        <w:t>(Art. 13, Decreto 1640 de 1996)</w:t>
      </w:r>
    </w:p>
    <w:p w14:paraId="26310602" w14:textId="77777777" w:rsidR="00B2442D" w:rsidRDefault="00B2442D">
      <w:pPr>
        <w:jc w:val="both"/>
        <w:rPr>
          <w:rFonts w:ascii="Arial" w:hAnsi="Arial" w:cs="Arial"/>
          <w:i/>
        </w:rPr>
      </w:pPr>
    </w:p>
    <w:p w14:paraId="41C0486D" w14:textId="77777777" w:rsidR="00B2442D" w:rsidRDefault="00B2442D">
      <w:pPr>
        <w:jc w:val="both"/>
        <w:rPr>
          <w:rFonts w:ascii="Arial" w:hAnsi="Arial" w:cs="Arial"/>
          <w:i/>
        </w:rPr>
      </w:pPr>
    </w:p>
    <w:p w14:paraId="08A7654D" w14:textId="77777777" w:rsidR="00B2442D" w:rsidRDefault="008A645F">
      <w:pPr>
        <w:numPr>
          <w:ilvl w:val="0"/>
          <w:numId w:val="183"/>
        </w:numPr>
        <w:ind w:left="0" w:firstLine="0"/>
        <w:contextualSpacing/>
        <w:jc w:val="both"/>
        <w:rPr>
          <w:rFonts w:ascii="Arial" w:hAnsi="Arial" w:cs="Arial"/>
        </w:rPr>
      </w:pPr>
      <w:r>
        <w:rPr>
          <w:rFonts w:ascii="Arial" w:hAnsi="Arial" w:cs="Arial"/>
          <w:b/>
          <w:i/>
        </w:rPr>
        <w:t>Declaración y pago a órdenes del Fondo Cuenta</w:t>
      </w:r>
      <w:r>
        <w:rPr>
          <w:rFonts w:ascii="Arial" w:hAnsi="Arial" w:cs="Arial"/>
          <w:b/>
          <w:i/>
        </w:rPr>
        <w:t>.</w:t>
      </w:r>
      <w:r>
        <w:rPr>
          <w:rFonts w:ascii="Arial" w:hAnsi="Arial" w:cs="Arial"/>
          <w:i/>
        </w:rPr>
        <w:t xml:space="preserve"> </w:t>
      </w:r>
      <w:r>
        <w:rPr>
          <w:rFonts w:ascii="Arial" w:hAnsi="Arial" w:cs="Arial"/>
        </w:rPr>
        <w:t>A partir del primero (1º) de marzo de 1997 entrará a regir la obligación de declarar y pagar los impuestos al consumo a órdenes del Fondo-Cuenta.</w:t>
      </w:r>
    </w:p>
    <w:p w14:paraId="18E5FD70" w14:textId="77777777" w:rsidR="00B2442D" w:rsidRDefault="00B2442D">
      <w:pPr>
        <w:jc w:val="both"/>
        <w:rPr>
          <w:rFonts w:ascii="Arial" w:hAnsi="Arial" w:cs="Arial"/>
          <w:i/>
        </w:rPr>
      </w:pPr>
    </w:p>
    <w:p w14:paraId="4A386995" w14:textId="77777777" w:rsidR="00B2442D" w:rsidRDefault="008A645F">
      <w:pPr>
        <w:jc w:val="both"/>
        <w:rPr>
          <w:rFonts w:ascii="Arial" w:hAnsi="Arial" w:cs="Arial"/>
          <w:i/>
        </w:rPr>
      </w:pPr>
      <w:r>
        <w:rPr>
          <w:rFonts w:ascii="Arial" w:hAnsi="Arial" w:cs="Arial"/>
          <w:i/>
        </w:rPr>
        <w:t>(Art. 15, Decreto 1640 de 1996, modificado parcialmente por el Art. 1 del Decreto 2024 de 1996)</w:t>
      </w:r>
    </w:p>
    <w:p w14:paraId="7137664C" w14:textId="77777777" w:rsidR="00B2442D" w:rsidRDefault="00B2442D">
      <w:pPr>
        <w:rPr>
          <w:rFonts w:ascii="Arial" w:hAnsi="Arial" w:cs="Arial"/>
        </w:rPr>
      </w:pPr>
    </w:p>
    <w:p w14:paraId="755C6466" w14:textId="77777777" w:rsidR="00B2442D" w:rsidRDefault="008A645F">
      <w:pPr>
        <w:ind w:firstLine="708"/>
        <w:jc w:val="center"/>
        <w:outlineLvl w:val="3"/>
        <w:rPr>
          <w:rFonts w:ascii="Arial" w:hAnsi="Arial" w:cs="Arial"/>
          <w:b/>
        </w:rPr>
      </w:pPr>
      <w:r>
        <w:rPr>
          <w:rFonts w:ascii="Arial" w:hAnsi="Arial" w:cs="Arial"/>
          <w:b/>
        </w:rPr>
        <w:t>CAPÍTULO 2</w:t>
      </w:r>
      <w:r>
        <w:rPr>
          <w:rFonts w:ascii="Arial" w:hAnsi="Arial" w:cs="Arial"/>
          <w:b/>
        </w:rPr>
        <w:t>.</w:t>
      </w:r>
    </w:p>
    <w:p w14:paraId="74848161" w14:textId="77777777" w:rsidR="00B2442D" w:rsidRDefault="008A645F">
      <w:pPr>
        <w:ind w:firstLine="708"/>
        <w:jc w:val="center"/>
        <w:outlineLvl w:val="3"/>
        <w:rPr>
          <w:rFonts w:ascii="Arial" w:hAnsi="Arial" w:cs="Arial"/>
          <w:b/>
        </w:rPr>
      </w:pPr>
      <w:r>
        <w:rPr>
          <w:rFonts w:ascii="Arial" w:hAnsi="Arial" w:cs="Arial"/>
          <w:b/>
        </w:rPr>
        <w:t>Declaraciones de Impuestos al consumo</w:t>
      </w:r>
    </w:p>
    <w:p w14:paraId="1A646ED6" w14:textId="77777777" w:rsidR="00B2442D" w:rsidRDefault="00B2442D">
      <w:pPr>
        <w:rPr>
          <w:rFonts w:ascii="Arial" w:hAnsi="Arial" w:cs="Arial"/>
          <w:b/>
        </w:rPr>
      </w:pPr>
    </w:p>
    <w:p w14:paraId="19FCC051" w14:textId="77777777" w:rsidR="00B2442D" w:rsidRDefault="008A645F">
      <w:pPr>
        <w:numPr>
          <w:ilvl w:val="0"/>
          <w:numId w:val="185"/>
        </w:numPr>
        <w:ind w:left="0" w:firstLine="0"/>
        <w:contextualSpacing/>
        <w:jc w:val="both"/>
        <w:rPr>
          <w:rFonts w:ascii="Arial" w:hAnsi="Arial" w:cs="Arial"/>
        </w:rPr>
      </w:pPr>
      <w:r>
        <w:rPr>
          <w:rFonts w:ascii="Arial" w:hAnsi="Arial" w:cs="Arial"/>
          <w:b/>
          <w:i/>
        </w:rPr>
        <w:t>Declaraciones de impuestos al consumo.</w:t>
      </w:r>
      <w:r>
        <w:rPr>
          <w:rFonts w:ascii="Arial" w:hAnsi="Arial" w:cs="Arial"/>
        </w:rPr>
        <w:t xml:space="preserve"> Los productores, importadores o distribuidores, según el caso, de licores, vinos, aperitivos y similares; de cervezas, sifones, refajos y mezclas de bebidas fermentadas con beb</w:t>
      </w:r>
      <w:r>
        <w:rPr>
          <w:rFonts w:ascii="Arial" w:hAnsi="Arial" w:cs="Arial"/>
        </w:rPr>
        <w:t>idas no alcohólicas; y de cigarrillos y tabaco elaborado, deberán presentar las siguientes declaraciones tributarias de impuestos al consumo:</w:t>
      </w:r>
    </w:p>
    <w:p w14:paraId="106A9C3A" w14:textId="77777777" w:rsidR="00B2442D" w:rsidRDefault="00B2442D">
      <w:pPr>
        <w:jc w:val="both"/>
        <w:rPr>
          <w:rFonts w:ascii="Arial" w:hAnsi="Arial" w:cs="Arial"/>
        </w:rPr>
      </w:pPr>
    </w:p>
    <w:p w14:paraId="64F80468" w14:textId="77777777" w:rsidR="00B2442D" w:rsidRDefault="008A645F">
      <w:pPr>
        <w:jc w:val="both"/>
        <w:rPr>
          <w:rFonts w:ascii="Arial" w:hAnsi="Arial" w:cs="Arial"/>
        </w:rPr>
      </w:pPr>
      <w:r>
        <w:rPr>
          <w:rFonts w:ascii="Arial" w:hAnsi="Arial" w:cs="Arial"/>
        </w:rPr>
        <w:t>1. Declaración al Fondo Cuenta de Impuestos al Consumo de Productos Extranjeros, por los productos extranjeros in</w:t>
      </w:r>
      <w:r>
        <w:rPr>
          <w:rFonts w:ascii="Arial" w:hAnsi="Arial" w:cs="Arial"/>
        </w:rPr>
        <w:t>troducidos al país, a zonas de régimen aduanero especial, o adquiridos en la enajenación de productos extranjeros decomisados o declarados en abandono. La DIAN o la autoridad aduanera que haga sus veces autorizara el levante de mercancías importadas que ge</w:t>
      </w:r>
      <w:r>
        <w:rPr>
          <w:rFonts w:ascii="Arial" w:hAnsi="Arial" w:cs="Arial"/>
        </w:rPr>
        <w:t>neran impuestos al consumo solamente cuando se haya cumplido con el requisito de declarar y pagar al Fondo Cuenta.</w:t>
      </w:r>
    </w:p>
    <w:p w14:paraId="19CDF17C" w14:textId="77777777" w:rsidR="00B2442D" w:rsidRDefault="00B2442D">
      <w:pPr>
        <w:jc w:val="both"/>
        <w:rPr>
          <w:rFonts w:ascii="Arial" w:hAnsi="Arial" w:cs="Arial"/>
        </w:rPr>
      </w:pPr>
    </w:p>
    <w:p w14:paraId="0CB5E483" w14:textId="77777777" w:rsidR="00B2442D" w:rsidRDefault="008A645F">
      <w:pPr>
        <w:jc w:val="both"/>
        <w:rPr>
          <w:rFonts w:ascii="Arial" w:hAnsi="Arial" w:cs="Arial"/>
        </w:rPr>
      </w:pPr>
      <w:r>
        <w:rPr>
          <w:rFonts w:ascii="Arial" w:hAnsi="Arial" w:cs="Arial"/>
        </w:rPr>
        <w:t xml:space="preserve">Los responsables de impuestos al consumo anexarán a las declaraciones ante el Fondo Cuenta copia o fotocopia de la respectiva </w:t>
      </w:r>
      <w:r>
        <w:rPr>
          <w:rFonts w:ascii="Arial" w:hAnsi="Arial" w:cs="Arial"/>
        </w:rPr>
        <w:t>declaración de importación y los demás anexos que se indiquen en las instrucciones de diligenciamiento de los formularios.</w:t>
      </w:r>
    </w:p>
    <w:p w14:paraId="390C2D7D" w14:textId="77777777" w:rsidR="00B2442D" w:rsidRDefault="00B2442D">
      <w:pPr>
        <w:jc w:val="both"/>
        <w:rPr>
          <w:rFonts w:ascii="Arial" w:hAnsi="Arial" w:cs="Arial"/>
        </w:rPr>
      </w:pPr>
    </w:p>
    <w:p w14:paraId="2339DB38" w14:textId="77777777" w:rsidR="00B2442D" w:rsidRDefault="008A645F">
      <w:pPr>
        <w:jc w:val="both"/>
        <w:rPr>
          <w:rFonts w:ascii="Arial" w:hAnsi="Arial" w:cs="Arial"/>
        </w:rPr>
      </w:pPr>
      <w:r>
        <w:rPr>
          <w:rFonts w:ascii="Arial" w:hAnsi="Arial" w:cs="Arial"/>
        </w:rPr>
        <w:t>2. Declaraciones ante los departamentos y el Distrito Capital, según el caso, de los productos extranjeros introducidos para distrib</w:t>
      </w:r>
      <w:r>
        <w:rPr>
          <w:rFonts w:ascii="Arial" w:hAnsi="Arial" w:cs="Arial"/>
        </w:rPr>
        <w:t>ución, venta, permuta, publicidad, donación o comisión y por los retiros para autoconsumo, en la respectiva entidad territorial, incluidos los adquiridos en la enajenación de productos extranjeros decomisados o declarados en abandono.</w:t>
      </w:r>
    </w:p>
    <w:p w14:paraId="7D9BBFC4" w14:textId="77777777" w:rsidR="00B2442D" w:rsidRDefault="00B2442D">
      <w:pPr>
        <w:jc w:val="both"/>
        <w:rPr>
          <w:rFonts w:ascii="Arial" w:hAnsi="Arial" w:cs="Arial"/>
        </w:rPr>
      </w:pPr>
    </w:p>
    <w:p w14:paraId="5B18CCE5" w14:textId="77777777" w:rsidR="00B2442D" w:rsidRDefault="008A645F">
      <w:pPr>
        <w:jc w:val="both"/>
        <w:rPr>
          <w:rFonts w:ascii="Arial" w:hAnsi="Arial" w:cs="Arial"/>
        </w:rPr>
      </w:pPr>
      <w:r>
        <w:rPr>
          <w:rFonts w:ascii="Arial" w:hAnsi="Arial" w:cs="Arial"/>
        </w:rPr>
        <w:t xml:space="preserve">3. Declaración ante </w:t>
      </w:r>
      <w:r>
        <w:rPr>
          <w:rFonts w:ascii="Arial" w:hAnsi="Arial" w:cs="Arial"/>
        </w:rPr>
        <w:t>los departamentos y el Distrito Capital, según el caso, sobre los despachos, entregas o retiros de productos nacionales para distribución, venta, permuta, publicidad, comisión, donación o autoconsumo, efectuados en el periodo gravable en la respectiva enti</w:t>
      </w:r>
      <w:r>
        <w:rPr>
          <w:rFonts w:ascii="Arial" w:hAnsi="Arial" w:cs="Arial"/>
        </w:rPr>
        <w:t>dad territorial, incluidos los adquiridos en la enajenación de productos nacionales decomisados o declarados en abandono, así:</w:t>
      </w:r>
    </w:p>
    <w:p w14:paraId="61794F6C" w14:textId="77777777" w:rsidR="00B2442D" w:rsidRDefault="00B2442D">
      <w:pPr>
        <w:jc w:val="both"/>
        <w:rPr>
          <w:rFonts w:ascii="Arial" w:hAnsi="Arial" w:cs="Arial"/>
        </w:rPr>
      </w:pPr>
    </w:p>
    <w:p w14:paraId="05E8C119" w14:textId="77777777" w:rsidR="00B2442D" w:rsidRDefault="008A645F">
      <w:pPr>
        <w:jc w:val="both"/>
        <w:rPr>
          <w:rFonts w:ascii="Arial" w:hAnsi="Arial" w:cs="Arial"/>
        </w:rPr>
      </w:pPr>
      <w:r>
        <w:rPr>
          <w:rFonts w:ascii="Arial" w:hAnsi="Arial" w:cs="Arial"/>
        </w:rPr>
        <w:t>a) Mensualmente, dentro de los quince (15) días calendario siguientes al vencimiento del período gravable, si se trata de cervez</w:t>
      </w:r>
      <w:r>
        <w:rPr>
          <w:rFonts w:ascii="Arial" w:hAnsi="Arial" w:cs="Arial"/>
        </w:rPr>
        <w:t>as, sifones, refajos y mezclas de bebidas fermentadas con bebidas no alcohólicas;</w:t>
      </w:r>
    </w:p>
    <w:p w14:paraId="4D448DE9" w14:textId="77777777" w:rsidR="00B2442D" w:rsidRDefault="00B2442D">
      <w:pPr>
        <w:jc w:val="both"/>
        <w:rPr>
          <w:rFonts w:ascii="Arial" w:hAnsi="Arial" w:cs="Arial"/>
        </w:rPr>
      </w:pPr>
    </w:p>
    <w:p w14:paraId="5A04F577" w14:textId="77777777" w:rsidR="00B2442D" w:rsidRDefault="008A645F">
      <w:pPr>
        <w:jc w:val="both"/>
        <w:rPr>
          <w:rFonts w:ascii="Arial" w:hAnsi="Arial" w:cs="Arial"/>
        </w:rPr>
      </w:pPr>
      <w:r>
        <w:rPr>
          <w:rFonts w:ascii="Arial" w:hAnsi="Arial" w:cs="Arial"/>
        </w:rPr>
        <w:t>b) Quincenalmente, dentro de los cinco (5) días calendario siguientes al vencimiento del período gravable, si se trata de licores, vinos, aperitivos y similares, o de cigarr</w:t>
      </w:r>
      <w:r>
        <w:rPr>
          <w:rFonts w:ascii="Arial" w:hAnsi="Arial" w:cs="Arial"/>
        </w:rPr>
        <w:t>illos y tabaco elaborado.</w:t>
      </w:r>
    </w:p>
    <w:p w14:paraId="0B49BD8F" w14:textId="77777777" w:rsidR="00B2442D" w:rsidRDefault="00B2442D">
      <w:pPr>
        <w:jc w:val="both"/>
        <w:rPr>
          <w:rFonts w:ascii="Arial" w:hAnsi="Arial" w:cs="Arial"/>
          <w:i/>
        </w:rPr>
      </w:pPr>
    </w:p>
    <w:p w14:paraId="26F9DCEF" w14:textId="77777777" w:rsidR="00B2442D" w:rsidRDefault="008A645F">
      <w:pPr>
        <w:jc w:val="both"/>
        <w:rPr>
          <w:rFonts w:ascii="Arial" w:hAnsi="Arial" w:cs="Arial"/>
          <w:i/>
        </w:rPr>
      </w:pPr>
      <w:r>
        <w:rPr>
          <w:rFonts w:ascii="Arial" w:hAnsi="Arial" w:cs="Arial"/>
          <w:i/>
        </w:rPr>
        <w:t>(Art. 6, Decreto 2141 de 1996. El inciso 2º del numeral 1º fue modificado por el Art. 18 del Decreto 3071 de 1997)</w:t>
      </w:r>
    </w:p>
    <w:p w14:paraId="5A9D8953" w14:textId="77777777" w:rsidR="00B2442D" w:rsidRDefault="00B2442D">
      <w:pPr>
        <w:jc w:val="both"/>
        <w:rPr>
          <w:rFonts w:ascii="Arial" w:hAnsi="Arial" w:cs="Arial"/>
        </w:rPr>
      </w:pPr>
    </w:p>
    <w:p w14:paraId="68AA2073" w14:textId="77777777" w:rsidR="00B2442D" w:rsidRDefault="008A645F">
      <w:pPr>
        <w:numPr>
          <w:ilvl w:val="0"/>
          <w:numId w:val="185"/>
        </w:numPr>
        <w:ind w:left="0" w:firstLine="0"/>
        <w:contextualSpacing/>
        <w:jc w:val="both"/>
        <w:rPr>
          <w:rFonts w:ascii="Arial" w:hAnsi="Arial" w:cs="Arial"/>
        </w:rPr>
      </w:pPr>
      <w:r>
        <w:rPr>
          <w:rFonts w:ascii="Arial" w:hAnsi="Arial" w:cs="Arial"/>
          <w:b/>
          <w:i/>
        </w:rPr>
        <w:t>Utilización de formularios.</w:t>
      </w:r>
      <w:r>
        <w:rPr>
          <w:rFonts w:ascii="Arial" w:hAnsi="Arial" w:cs="Arial"/>
        </w:rPr>
        <w:t xml:space="preserve"> Las declaraciones ante las entidades territoriales deberán presentarse en los formula</w:t>
      </w:r>
      <w:r>
        <w:rPr>
          <w:rFonts w:ascii="Arial" w:hAnsi="Arial" w:cs="Arial"/>
        </w:rPr>
        <w:t>rios diseñados por la Dirección General de Apoyo Fiscal del Ministerio de Hacienda y Crédito Público, los cuales serán suministrados por la respectiva entidad territorial.</w:t>
      </w:r>
    </w:p>
    <w:p w14:paraId="61ABB9D0" w14:textId="77777777" w:rsidR="00B2442D" w:rsidRDefault="00B2442D">
      <w:pPr>
        <w:jc w:val="both"/>
        <w:rPr>
          <w:rFonts w:ascii="Arial" w:hAnsi="Arial" w:cs="Arial"/>
        </w:rPr>
      </w:pPr>
    </w:p>
    <w:p w14:paraId="140438D5" w14:textId="77777777" w:rsidR="00B2442D" w:rsidRDefault="008A645F">
      <w:pPr>
        <w:jc w:val="both"/>
        <w:rPr>
          <w:rFonts w:ascii="Arial" w:hAnsi="Arial" w:cs="Arial"/>
        </w:rPr>
      </w:pPr>
      <w:r>
        <w:rPr>
          <w:rFonts w:ascii="Arial" w:hAnsi="Arial" w:cs="Arial"/>
        </w:rPr>
        <w:t>Los impuestos correspondientes a productos nacionales se declararán en formulario s</w:t>
      </w:r>
      <w:r>
        <w:rPr>
          <w:rFonts w:ascii="Arial" w:hAnsi="Arial" w:cs="Arial"/>
        </w:rPr>
        <w:t>eparado de los impuestos correspondientes a productos extranjeros.</w:t>
      </w:r>
    </w:p>
    <w:p w14:paraId="0104F5CF" w14:textId="77777777" w:rsidR="00B2442D" w:rsidRDefault="00B2442D">
      <w:pPr>
        <w:jc w:val="both"/>
        <w:rPr>
          <w:rFonts w:ascii="Arial" w:hAnsi="Arial" w:cs="Arial"/>
        </w:rPr>
      </w:pPr>
    </w:p>
    <w:p w14:paraId="3656C30B" w14:textId="77777777" w:rsidR="00B2442D" w:rsidRDefault="008A645F">
      <w:pPr>
        <w:jc w:val="both"/>
        <w:rPr>
          <w:rFonts w:ascii="Arial" w:hAnsi="Arial" w:cs="Arial"/>
        </w:rPr>
      </w:pPr>
      <w:r>
        <w:rPr>
          <w:rFonts w:ascii="Arial" w:hAnsi="Arial" w:cs="Arial"/>
        </w:rPr>
        <w:t>Las declaraciones sobre productos nacionales y las de registro deberán presentarse por cada periodo gravable, aun cuando no se hayan realizado operaciones gravadas.</w:t>
      </w:r>
    </w:p>
    <w:p w14:paraId="3985435B" w14:textId="77777777" w:rsidR="00B2442D" w:rsidRDefault="00B2442D">
      <w:pPr>
        <w:jc w:val="both"/>
        <w:rPr>
          <w:rFonts w:ascii="Arial" w:hAnsi="Arial" w:cs="Arial"/>
        </w:rPr>
      </w:pPr>
    </w:p>
    <w:p w14:paraId="4875CE81" w14:textId="77777777" w:rsidR="00B2442D" w:rsidRDefault="008A645F">
      <w:pPr>
        <w:jc w:val="both"/>
        <w:rPr>
          <w:rFonts w:ascii="Arial" w:hAnsi="Arial" w:cs="Arial"/>
        </w:rPr>
      </w:pPr>
      <w:r>
        <w:rPr>
          <w:rFonts w:ascii="Arial" w:hAnsi="Arial" w:cs="Arial"/>
        </w:rPr>
        <w:t>Los valores que se con</w:t>
      </w:r>
      <w:r>
        <w:rPr>
          <w:rFonts w:ascii="Arial" w:hAnsi="Arial" w:cs="Arial"/>
        </w:rPr>
        <w:t xml:space="preserve">signen en los renglones de las declaraciones tributarias del impuesto al consumo se aproximarán al múltiplo de mil más cercano, de conformidad con lo estipulado en el artículo 577 del Estatuto Tributario; los demás valores que se consignen en las columnas </w:t>
      </w:r>
      <w:r>
        <w:rPr>
          <w:rFonts w:ascii="Arial" w:hAnsi="Arial" w:cs="Arial"/>
        </w:rPr>
        <w:t>de la sección de liquidación, se aproximaran al peso más cercano.</w:t>
      </w:r>
    </w:p>
    <w:p w14:paraId="6A7FF989" w14:textId="77777777" w:rsidR="00B2442D" w:rsidRDefault="00B2442D">
      <w:pPr>
        <w:jc w:val="both"/>
        <w:rPr>
          <w:rFonts w:ascii="Arial" w:hAnsi="Arial" w:cs="Arial"/>
          <w:i/>
        </w:rPr>
      </w:pPr>
    </w:p>
    <w:p w14:paraId="4A94F255" w14:textId="77777777" w:rsidR="00B2442D" w:rsidRDefault="008A645F">
      <w:pPr>
        <w:jc w:val="both"/>
        <w:rPr>
          <w:rFonts w:ascii="Arial" w:hAnsi="Arial" w:cs="Arial"/>
          <w:i/>
        </w:rPr>
      </w:pPr>
      <w:r>
        <w:rPr>
          <w:rFonts w:ascii="Arial" w:hAnsi="Arial" w:cs="Arial"/>
          <w:i/>
        </w:rPr>
        <w:t>(Art. 7, Decreto 2141 de 1996, el inciso 4º por fue modificado por el Art. 20 del Decreto 3071 de 1997)</w:t>
      </w:r>
    </w:p>
    <w:p w14:paraId="4F21807E" w14:textId="77777777" w:rsidR="00B2442D" w:rsidRDefault="00B2442D">
      <w:pPr>
        <w:jc w:val="both"/>
        <w:rPr>
          <w:rFonts w:ascii="Arial" w:hAnsi="Arial" w:cs="Arial"/>
        </w:rPr>
      </w:pPr>
    </w:p>
    <w:p w14:paraId="534B44E7" w14:textId="77777777" w:rsidR="00B2442D" w:rsidRDefault="008A645F">
      <w:pPr>
        <w:numPr>
          <w:ilvl w:val="0"/>
          <w:numId w:val="185"/>
        </w:numPr>
        <w:ind w:left="0" w:firstLine="0"/>
        <w:contextualSpacing/>
        <w:jc w:val="both"/>
        <w:rPr>
          <w:rFonts w:ascii="Arial" w:hAnsi="Arial" w:cs="Arial"/>
        </w:rPr>
      </w:pPr>
      <w:r>
        <w:rPr>
          <w:rFonts w:ascii="Arial" w:hAnsi="Arial" w:cs="Arial"/>
          <w:b/>
          <w:i/>
        </w:rPr>
        <w:t>Lugares y plazos para la presentación.</w:t>
      </w:r>
      <w:r>
        <w:rPr>
          <w:rFonts w:ascii="Arial" w:hAnsi="Arial" w:cs="Arial"/>
        </w:rPr>
        <w:t xml:space="preserve"> Las declaraciones tributarias de impuestos al</w:t>
      </w:r>
      <w:r>
        <w:rPr>
          <w:rFonts w:ascii="Arial" w:hAnsi="Arial" w:cs="Arial"/>
        </w:rPr>
        <w:t xml:space="preserve"> consumo e impuesto de registro, ante los departamentos y el Distrito Capital, se presentarán en los lugares que señales las Secretarias de Hacienda departamentales, dentro de las oportunidades y plazos previstos en los artículos 191, 213 y 233 de la Ley 2</w:t>
      </w:r>
      <w:r>
        <w:rPr>
          <w:rFonts w:ascii="Arial" w:hAnsi="Arial" w:cs="Arial"/>
        </w:rPr>
        <w:t>23 de 1995.</w:t>
      </w:r>
    </w:p>
    <w:p w14:paraId="099F37AD" w14:textId="77777777" w:rsidR="00B2442D" w:rsidRDefault="00B2442D">
      <w:pPr>
        <w:jc w:val="both"/>
        <w:rPr>
          <w:rFonts w:ascii="Arial" w:hAnsi="Arial" w:cs="Arial"/>
          <w:i/>
        </w:rPr>
      </w:pPr>
    </w:p>
    <w:p w14:paraId="3C278E96" w14:textId="77777777" w:rsidR="00B2442D" w:rsidRDefault="008A645F">
      <w:pPr>
        <w:jc w:val="both"/>
        <w:rPr>
          <w:rFonts w:ascii="Arial" w:hAnsi="Arial" w:cs="Arial"/>
          <w:i/>
        </w:rPr>
      </w:pPr>
      <w:r>
        <w:rPr>
          <w:rFonts w:ascii="Arial" w:hAnsi="Arial" w:cs="Arial"/>
          <w:i/>
        </w:rPr>
        <w:t>(Art. 8, Decreto 2141 de 1996)</w:t>
      </w:r>
    </w:p>
    <w:p w14:paraId="5495E6CF" w14:textId="77777777" w:rsidR="00B2442D" w:rsidRDefault="00B2442D">
      <w:pPr>
        <w:jc w:val="both"/>
        <w:rPr>
          <w:rFonts w:ascii="Arial" w:hAnsi="Arial" w:cs="Arial"/>
        </w:rPr>
      </w:pPr>
    </w:p>
    <w:p w14:paraId="15C476A2" w14:textId="77777777" w:rsidR="00B2442D" w:rsidRDefault="008A645F">
      <w:pPr>
        <w:numPr>
          <w:ilvl w:val="0"/>
          <w:numId w:val="185"/>
        </w:numPr>
        <w:ind w:left="0" w:firstLine="0"/>
        <w:contextualSpacing/>
        <w:jc w:val="both"/>
        <w:rPr>
          <w:rFonts w:ascii="Arial" w:hAnsi="Arial" w:cs="Arial"/>
        </w:rPr>
      </w:pPr>
      <w:r>
        <w:rPr>
          <w:rFonts w:ascii="Arial" w:hAnsi="Arial" w:cs="Arial"/>
          <w:b/>
          <w:i/>
        </w:rPr>
        <w:t>Contenido común a las declaraciones de impuestos al consumo de productos extranjeros.</w:t>
      </w:r>
      <w:r>
        <w:rPr>
          <w:rFonts w:ascii="Arial" w:hAnsi="Arial" w:cs="Arial"/>
        </w:rPr>
        <w:t xml:space="preserve"> La declaración de productos extranjeros ante el Fondo Cuenta incluirá, además, la indicación del número, fecha y lugar de la declaración de importación correspondiente a los productos declarados, aplicando el impuesto promedio mínimo cuando sea del caso.</w:t>
      </w:r>
    </w:p>
    <w:p w14:paraId="2D07D9C1" w14:textId="77777777" w:rsidR="00B2442D" w:rsidRDefault="00B2442D">
      <w:pPr>
        <w:jc w:val="both"/>
        <w:rPr>
          <w:rFonts w:ascii="Arial" w:hAnsi="Arial" w:cs="Arial"/>
        </w:rPr>
      </w:pPr>
    </w:p>
    <w:p w14:paraId="21397DBC" w14:textId="77777777" w:rsidR="00B2442D" w:rsidRDefault="008A645F">
      <w:pPr>
        <w:jc w:val="both"/>
        <w:rPr>
          <w:rFonts w:ascii="Arial" w:hAnsi="Arial" w:cs="Arial"/>
        </w:rPr>
      </w:pPr>
      <w:r>
        <w:rPr>
          <w:rFonts w:ascii="Arial" w:hAnsi="Arial" w:cs="Arial"/>
        </w:rPr>
        <w:t>La declaración de productos extranjeros ante las entidades territoriales incluirá, además, la indicación del número, fecha y lugar de la declaración o declaraciones ante el Fondo Cuenta y el valor proporcional del impuesto pagado al Fondo Cuenta, correspo</w:t>
      </w:r>
      <w:r>
        <w:rPr>
          <w:rFonts w:ascii="Arial" w:hAnsi="Arial" w:cs="Arial"/>
        </w:rPr>
        <w:t>ndiente a los productos declarados.</w:t>
      </w:r>
    </w:p>
    <w:p w14:paraId="359946C0" w14:textId="77777777" w:rsidR="00B2442D" w:rsidRDefault="00B2442D">
      <w:pPr>
        <w:jc w:val="both"/>
        <w:rPr>
          <w:rFonts w:ascii="Arial" w:hAnsi="Arial" w:cs="Arial"/>
          <w:i/>
        </w:rPr>
      </w:pPr>
    </w:p>
    <w:p w14:paraId="543C0918" w14:textId="77777777" w:rsidR="00B2442D" w:rsidRDefault="008A645F">
      <w:pPr>
        <w:jc w:val="both"/>
        <w:rPr>
          <w:rFonts w:ascii="Arial" w:hAnsi="Arial" w:cs="Arial"/>
          <w:i/>
        </w:rPr>
      </w:pPr>
      <w:r>
        <w:rPr>
          <w:rFonts w:ascii="Arial" w:hAnsi="Arial" w:cs="Arial"/>
          <w:i/>
        </w:rPr>
        <w:t>(Art. 12, Decreto 2141 de 1996)</w:t>
      </w:r>
    </w:p>
    <w:p w14:paraId="1E35B34A" w14:textId="77777777" w:rsidR="00B2442D" w:rsidRDefault="00B2442D">
      <w:pPr>
        <w:jc w:val="both"/>
        <w:rPr>
          <w:rFonts w:ascii="Arial" w:hAnsi="Arial" w:cs="Arial"/>
        </w:rPr>
      </w:pPr>
    </w:p>
    <w:p w14:paraId="0D2BE1FF" w14:textId="77777777" w:rsidR="00B2442D" w:rsidRDefault="008A645F">
      <w:pPr>
        <w:numPr>
          <w:ilvl w:val="0"/>
          <w:numId w:val="185"/>
        </w:numPr>
        <w:ind w:left="0" w:firstLine="0"/>
        <w:contextualSpacing/>
        <w:jc w:val="both"/>
        <w:rPr>
          <w:rFonts w:ascii="Arial" w:hAnsi="Arial" w:cs="Arial"/>
        </w:rPr>
      </w:pPr>
      <w:r>
        <w:rPr>
          <w:rFonts w:ascii="Arial" w:hAnsi="Arial" w:cs="Arial"/>
          <w:b/>
          <w:i/>
        </w:rPr>
        <w:t>Reenvíos.</w:t>
      </w:r>
      <w:r>
        <w:rPr>
          <w:rFonts w:ascii="Arial" w:hAnsi="Arial" w:cs="Arial"/>
        </w:rPr>
        <w:t xml:space="preserve"> Para los efectos de los artículos anteriores, entiéndese por reenvíos las operaciones de traslado de los productos de una entidad territorial (Departamento o Distrito Capital) a otra u otras, cuando dichos productos han sido declarados inicialmente ante l</w:t>
      </w:r>
      <w:r>
        <w:rPr>
          <w:rFonts w:ascii="Arial" w:hAnsi="Arial" w:cs="Arial"/>
        </w:rPr>
        <w:t>a entidad territorial donde se origina la operación de traslado.</w:t>
      </w:r>
    </w:p>
    <w:p w14:paraId="6789AB62" w14:textId="77777777" w:rsidR="00B2442D" w:rsidRDefault="00B2442D">
      <w:pPr>
        <w:jc w:val="both"/>
        <w:rPr>
          <w:rFonts w:ascii="Arial" w:hAnsi="Arial" w:cs="Arial"/>
          <w:i/>
        </w:rPr>
      </w:pPr>
    </w:p>
    <w:p w14:paraId="2780ADD6" w14:textId="77777777" w:rsidR="00B2442D" w:rsidRDefault="008A645F">
      <w:pPr>
        <w:jc w:val="both"/>
        <w:rPr>
          <w:rFonts w:ascii="Arial" w:hAnsi="Arial" w:cs="Arial"/>
          <w:i/>
        </w:rPr>
      </w:pPr>
      <w:r>
        <w:rPr>
          <w:rFonts w:ascii="Arial" w:hAnsi="Arial" w:cs="Arial"/>
          <w:i/>
        </w:rPr>
        <w:t>(Art. 13, Decreto 2141 de 1996)</w:t>
      </w:r>
    </w:p>
    <w:p w14:paraId="0E99BF6A" w14:textId="77777777" w:rsidR="00B2442D" w:rsidRDefault="00B2442D">
      <w:pPr>
        <w:jc w:val="both"/>
        <w:rPr>
          <w:rFonts w:ascii="Arial" w:hAnsi="Arial" w:cs="Arial"/>
        </w:rPr>
      </w:pPr>
    </w:p>
    <w:p w14:paraId="3B5102BA" w14:textId="77777777" w:rsidR="00B2442D" w:rsidRDefault="008A645F">
      <w:pPr>
        <w:numPr>
          <w:ilvl w:val="0"/>
          <w:numId w:val="185"/>
        </w:numPr>
        <w:ind w:left="0" w:firstLine="0"/>
        <w:contextualSpacing/>
        <w:jc w:val="both"/>
        <w:rPr>
          <w:rFonts w:ascii="Arial" w:hAnsi="Arial" w:cs="Arial"/>
        </w:rPr>
      </w:pPr>
      <w:r>
        <w:rPr>
          <w:rFonts w:ascii="Arial" w:hAnsi="Arial" w:cs="Arial"/>
          <w:b/>
          <w:i/>
        </w:rPr>
        <w:t>Reenvíos de productos nacionales.</w:t>
      </w:r>
      <w:r>
        <w:rPr>
          <w:rFonts w:ascii="Arial" w:hAnsi="Arial" w:cs="Arial"/>
        </w:rPr>
        <w:t xml:space="preserve"> Para el diligenciamiento de los reenvíos de productos nacionales en las declaraciones ante los departamentos y el Distrito </w:t>
      </w:r>
      <w:r>
        <w:rPr>
          <w:rFonts w:ascii="Arial" w:hAnsi="Arial" w:cs="Arial"/>
        </w:rPr>
        <w:t>Capital, se requiere que las operaciones se encuentren debidamente respaldadas en la contabilidad del responsable y que los productos hayan sido declarados y pagados en declaraciones anteriores y se haya efectuado la legalización de la respectiva tornaguía</w:t>
      </w:r>
      <w:r>
        <w:rPr>
          <w:rFonts w:ascii="Arial" w:hAnsi="Arial" w:cs="Arial"/>
        </w:rPr>
        <w:t xml:space="preserve"> en la entidad territorial de destino.</w:t>
      </w:r>
    </w:p>
    <w:p w14:paraId="2DE25C68" w14:textId="77777777" w:rsidR="00B2442D" w:rsidRDefault="00B2442D">
      <w:pPr>
        <w:jc w:val="both"/>
        <w:rPr>
          <w:rFonts w:ascii="Arial" w:hAnsi="Arial" w:cs="Arial"/>
          <w:i/>
        </w:rPr>
      </w:pPr>
    </w:p>
    <w:p w14:paraId="5FFFDC85" w14:textId="77777777" w:rsidR="00B2442D" w:rsidRDefault="008A645F">
      <w:pPr>
        <w:jc w:val="both"/>
        <w:rPr>
          <w:rFonts w:ascii="Arial" w:hAnsi="Arial" w:cs="Arial"/>
          <w:i/>
        </w:rPr>
      </w:pPr>
      <w:r>
        <w:rPr>
          <w:rFonts w:ascii="Arial" w:hAnsi="Arial" w:cs="Arial"/>
          <w:i/>
        </w:rPr>
        <w:t>(Art. 14, Decreto 2141 de 1996)</w:t>
      </w:r>
    </w:p>
    <w:p w14:paraId="75BBB2E1" w14:textId="77777777" w:rsidR="00B2442D" w:rsidRDefault="00B2442D">
      <w:pPr>
        <w:jc w:val="both"/>
        <w:rPr>
          <w:rFonts w:ascii="Arial" w:hAnsi="Arial" w:cs="Arial"/>
        </w:rPr>
      </w:pPr>
    </w:p>
    <w:p w14:paraId="3CCA5667" w14:textId="77777777" w:rsidR="00B2442D" w:rsidRDefault="008A645F">
      <w:pPr>
        <w:numPr>
          <w:ilvl w:val="0"/>
          <w:numId w:val="185"/>
        </w:numPr>
        <w:ind w:left="0" w:firstLine="0"/>
        <w:contextualSpacing/>
        <w:jc w:val="both"/>
        <w:rPr>
          <w:rFonts w:ascii="Arial" w:hAnsi="Arial" w:cs="Arial"/>
        </w:rPr>
      </w:pPr>
      <w:r>
        <w:rPr>
          <w:rFonts w:ascii="Arial" w:hAnsi="Arial" w:cs="Arial"/>
          <w:b/>
          <w:i/>
        </w:rPr>
        <w:t>Reenvíos de productos extranjeros.</w:t>
      </w:r>
      <w:r>
        <w:rPr>
          <w:rFonts w:ascii="Arial" w:hAnsi="Arial" w:cs="Arial"/>
        </w:rPr>
        <w:t xml:space="preserve"> En el caso de los reenvíos de productos extranjeros, una vez entre en funcionamiento el Fondo Cuenta de Impuestos al Consumo de Productos Extranjero</w:t>
      </w:r>
      <w:r>
        <w:rPr>
          <w:rFonts w:ascii="Arial" w:hAnsi="Arial" w:cs="Arial"/>
        </w:rPr>
        <w:t>s, los Secretarios de Hacienda departamentales y del Distrito Capital remitirán, junto con la información de que trata el artículo 5º del Decreto 1640 de 1996, las tornaguías de reenvíos autorizados durante el período.</w:t>
      </w:r>
    </w:p>
    <w:p w14:paraId="39618037" w14:textId="77777777" w:rsidR="00B2442D" w:rsidRDefault="00B2442D">
      <w:pPr>
        <w:jc w:val="both"/>
        <w:rPr>
          <w:rFonts w:ascii="Arial" w:hAnsi="Arial" w:cs="Arial"/>
        </w:rPr>
      </w:pPr>
    </w:p>
    <w:p w14:paraId="6C808CCD" w14:textId="77777777" w:rsidR="00B2442D" w:rsidRDefault="008A645F">
      <w:pPr>
        <w:jc w:val="both"/>
        <w:rPr>
          <w:rFonts w:ascii="Arial" w:hAnsi="Arial" w:cs="Arial"/>
        </w:rPr>
      </w:pPr>
      <w:r>
        <w:rPr>
          <w:rFonts w:ascii="Arial" w:hAnsi="Arial" w:cs="Arial"/>
        </w:rPr>
        <w:t>Igualmente, los responsables de impu</w:t>
      </w:r>
      <w:r>
        <w:rPr>
          <w:rFonts w:ascii="Arial" w:hAnsi="Arial" w:cs="Arial"/>
        </w:rPr>
        <w:t>estos al consumo de productos extranjeros, enviarán al Fondo Cuenta dentro de los tres (3) días siguientes a su legalización en la entidad territorial de destino, copia de las tornaguías que acreditan los reenvíos de estos productos.</w:t>
      </w:r>
    </w:p>
    <w:p w14:paraId="1AA697F9" w14:textId="77777777" w:rsidR="00B2442D" w:rsidRDefault="00B2442D">
      <w:pPr>
        <w:jc w:val="both"/>
        <w:rPr>
          <w:rFonts w:ascii="Arial" w:hAnsi="Arial" w:cs="Arial"/>
          <w:i/>
        </w:rPr>
      </w:pPr>
    </w:p>
    <w:p w14:paraId="0420FCE8" w14:textId="77777777" w:rsidR="00B2442D" w:rsidRDefault="008A645F">
      <w:pPr>
        <w:jc w:val="both"/>
        <w:rPr>
          <w:rFonts w:ascii="Arial" w:hAnsi="Arial" w:cs="Arial"/>
          <w:i/>
        </w:rPr>
      </w:pPr>
      <w:r>
        <w:rPr>
          <w:rFonts w:ascii="Arial" w:hAnsi="Arial" w:cs="Arial"/>
          <w:i/>
        </w:rPr>
        <w:t>(Art. 15, Decreto 214</w:t>
      </w:r>
      <w:r>
        <w:rPr>
          <w:rFonts w:ascii="Arial" w:hAnsi="Arial" w:cs="Arial"/>
          <w:i/>
        </w:rPr>
        <w:t>1 de 1996)</w:t>
      </w:r>
    </w:p>
    <w:p w14:paraId="009314C5" w14:textId="77777777" w:rsidR="00B2442D" w:rsidRDefault="00B2442D">
      <w:pPr>
        <w:jc w:val="both"/>
        <w:rPr>
          <w:rFonts w:ascii="Arial" w:hAnsi="Arial" w:cs="Arial"/>
        </w:rPr>
      </w:pPr>
    </w:p>
    <w:p w14:paraId="25907DCB" w14:textId="77777777" w:rsidR="00B2442D" w:rsidRDefault="008A645F">
      <w:pPr>
        <w:numPr>
          <w:ilvl w:val="0"/>
          <w:numId w:val="185"/>
        </w:numPr>
        <w:ind w:left="0" w:firstLine="0"/>
        <w:contextualSpacing/>
        <w:jc w:val="both"/>
        <w:rPr>
          <w:rFonts w:ascii="Arial" w:hAnsi="Arial" w:cs="Arial"/>
        </w:rPr>
      </w:pPr>
      <w:r>
        <w:rPr>
          <w:rFonts w:ascii="Arial" w:hAnsi="Arial" w:cs="Arial"/>
          <w:b/>
          <w:i/>
        </w:rPr>
        <w:t>Corrección de las declaraciones.</w:t>
      </w:r>
      <w:r>
        <w:rPr>
          <w:rFonts w:ascii="Arial" w:hAnsi="Arial" w:cs="Arial"/>
        </w:rPr>
        <w:t xml:space="preserve"> Las declaraciones tributarias de impuestos al consumo e impuesto de registro podrán corregirse de conformidad con lo dispuesto en el Estatuto Tributario.</w:t>
      </w:r>
    </w:p>
    <w:p w14:paraId="33369F60" w14:textId="77777777" w:rsidR="00B2442D" w:rsidRDefault="00B2442D">
      <w:pPr>
        <w:jc w:val="both"/>
        <w:rPr>
          <w:rFonts w:ascii="Arial" w:hAnsi="Arial" w:cs="Arial"/>
          <w:i/>
        </w:rPr>
      </w:pPr>
    </w:p>
    <w:p w14:paraId="518D07EB" w14:textId="77777777" w:rsidR="00B2442D" w:rsidRDefault="008A645F">
      <w:pPr>
        <w:jc w:val="both"/>
        <w:rPr>
          <w:rFonts w:ascii="Arial" w:hAnsi="Arial" w:cs="Arial"/>
          <w:i/>
        </w:rPr>
      </w:pPr>
      <w:r>
        <w:rPr>
          <w:rFonts w:ascii="Arial" w:hAnsi="Arial" w:cs="Arial"/>
          <w:i/>
        </w:rPr>
        <w:t>(Art. 17, Decreto 2141 de 1996)</w:t>
      </w:r>
    </w:p>
    <w:p w14:paraId="2A75A2FE" w14:textId="77777777" w:rsidR="00B2442D" w:rsidRDefault="00B2442D">
      <w:pPr>
        <w:jc w:val="both"/>
        <w:rPr>
          <w:rFonts w:ascii="Arial" w:hAnsi="Arial" w:cs="Arial"/>
        </w:rPr>
      </w:pPr>
    </w:p>
    <w:p w14:paraId="7DFAB98B" w14:textId="77777777" w:rsidR="00B2442D" w:rsidRDefault="008A645F">
      <w:pPr>
        <w:numPr>
          <w:ilvl w:val="0"/>
          <w:numId w:val="185"/>
        </w:numPr>
        <w:ind w:left="0" w:firstLine="0"/>
        <w:contextualSpacing/>
        <w:jc w:val="both"/>
        <w:rPr>
          <w:rFonts w:ascii="Arial" w:hAnsi="Arial" w:cs="Arial"/>
        </w:rPr>
      </w:pPr>
      <w:r>
        <w:rPr>
          <w:rFonts w:ascii="Arial" w:hAnsi="Arial" w:cs="Arial"/>
          <w:b/>
          <w:i/>
        </w:rPr>
        <w:t>Declaraciones que se ti</w:t>
      </w:r>
      <w:r>
        <w:rPr>
          <w:rFonts w:ascii="Arial" w:hAnsi="Arial" w:cs="Arial"/>
          <w:b/>
          <w:i/>
        </w:rPr>
        <w:t xml:space="preserve">enen por no presentadas. </w:t>
      </w:r>
      <w:r>
        <w:rPr>
          <w:rFonts w:ascii="Arial" w:hAnsi="Arial" w:cs="Arial"/>
        </w:rPr>
        <w:t>Las declaraciones tributarias de que trata el presente capítulo se tendrán por no presentadas en los mismos casos previstos en el Estatuto Tributario.</w:t>
      </w:r>
    </w:p>
    <w:p w14:paraId="16AD1072" w14:textId="77777777" w:rsidR="00B2442D" w:rsidRDefault="00B2442D">
      <w:pPr>
        <w:jc w:val="both"/>
        <w:rPr>
          <w:rFonts w:ascii="Arial" w:hAnsi="Arial" w:cs="Arial"/>
          <w:i/>
        </w:rPr>
      </w:pPr>
    </w:p>
    <w:p w14:paraId="085C9E23" w14:textId="77777777" w:rsidR="00B2442D" w:rsidRDefault="008A645F">
      <w:pPr>
        <w:jc w:val="both"/>
        <w:rPr>
          <w:rFonts w:ascii="Arial" w:hAnsi="Arial" w:cs="Arial"/>
          <w:i/>
        </w:rPr>
      </w:pPr>
      <w:r>
        <w:rPr>
          <w:rFonts w:ascii="Arial" w:hAnsi="Arial" w:cs="Arial"/>
          <w:i/>
        </w:rPr>
        <w:t>(Art. 18, Decreto 2141 de 1996)</w:t>
      </w:r>
    </w:p>
    <w:p w14:paraId="642B6B72" w14:textId="77777777" w:rsidR="00B2442D" w:rsidRDefault="00B2442D">
      <w:pPr>
        <w:jc w:val="both"/>
        <w:rPr>
          <w:rFonts w:ascii="Arial" w:hAnsi="Arial" w:cs="Arial"/>
        </w:rPr>
      </w:pPr>
    </w:p>
    <w:p w14:paraId="70C5E03C" w14:textId="77777777" w:rsidR="00B2442D" w:rsidRDefault="008A645F">
      <w:pPr>
        <w:numPr>
          <w:ilvl w:val="0"/>
          <w:numId w:val="185"/>
        </w:numPr>
        <w:ind w:left="0" w:firstLine="0"/>
        <w:contextualSpacing/>
        <w:jc w:val="both"/>
        <w:rPr>
          <w:rFonts w:ascii="Arial" w:hAnsi="Arial" w:cs="Arial"/>
        </w:rPr>
      </w:pPr>
      <w:r>
        <w:rPr>
          <w:rFonts w:ascii="Arial" w:hAnsi="Arial" w:cs="Arial"/>
          <w:b/>
          <w:i/>
        </w:rPr>
        <w:t>Intercambio de información.</w:t>
      </w:r>
      <w:r>
        <w:rPr>
          <w:rFonts w:ascii="Arial" w:hAnsi="Arial" w:cs="Arial"/>
        </w:rPr>
        <w:t xml:space="preserve"> Para efectos de la liquidación y control de los impuestos al consumo, la Dirección de Impuestos y Aduanas Nacionales, DIAN, o la entidad que haga sus veces, las Secretarias de Hacienda departamentales y del Distrito Capital de Bogotá y el Fondo Cuenta de </w:t>
      </w:r>
      <w:r>
        <w:rPr>
          <w:rFonts w:ascii="Arial" w:hAnsi="Arial" w:cs="Arial"/>
        </w:rPr>
        <w:t>Impuestos al Consumo de Productos Extranjeros, podrán intercambiar información sobre los contribuyentes.</w:t>
      </w:r>
    </w:p>
    <w:p w14:paraId="7238463F" w14:textId="77777777" w:rsidR="00B2442D" w:rsidRDefault="00B2442D">
      <w:pPr>
        <w:jc w:val="both"/>
        <w:rPr>
          <w:rFonts w:ascii="Arial" w:hAnsi="Arial" w:cs="Arial"/>
          <w:i/>
        </w:rPr>
      </w:pPr>
    </w:p>
    <w:p w14:paraId="73EBC0D1" w14:textId="77777777" w:rsidR="00B2442D" w:rsidRDefault="008A645F">
      <w:pPr>
        <w:jc w:val="both"/>
        <w:rPr>
          <w:rFonts w:ascii="Arial" w:hAnsi="Arial" w:cs="Arial"/>
          <w:i/>
        </w:rPr>
      </w:pPr>
      <w:r>
        <w:rPr>
          <w:rFonts w:ascii="Arial" w:hAnsi="Arial" w:cs="Arial"/>
          <w:i/>
        </w:rPr>
        <w:t>(Art. 19, Decreto 2141 de 1996)</w:t>
      </w:r>
    </w:p>
    <w:p w14:paraId="3650FB5A" w14:textId="77777777" w:rsidR="00B2442D" w:rsidRDefault="00B2442D">
      <w:pPr>
        <w:jc w:val="both"/>
        <w:rPr>
          <w:rFonts w:ascii="Arial" w:hAnsi="Arial" w:cs="Arial"/>
        </w:rPr>
      </w:pPr>
    </w:p>
    <w:p w14:paraId="5BC7750C" w14:textId="77777777" w:rsidR="00B2442D" w:rsidRDefault="008A645F">
      <w:pPr>
        <w:numPr>
          <w:ilvl w:val="0"/>
          <w:numId w:val="185"/>
        </w:numPr>
        <w:ind w:left="0" w:firstLine="0"/>
        <w:contextualSpacing/>
        <w:jc w:val="both"/>
        <w:rPr>
          <w:rFonts w:ascii="Arial" w:hAnsi="Arial" w:cs="Arial"/>
        </w:rPr>
      </w:pPr>
      <w:r>
        <w:rPr>
          <w:rFonts w:ascii="Arial" w:hAnsi="Arial" w:cs="Arial"/>
          <w:b/>
          <w:i/>
        </w:rPr>
        <w:t>Pago del impuesto al consumo de productos nacionales.</w:t>
      </w:r>
      <w:r>
        <w:rPr>
          <w:rFonts w:ascii="Arial" w:hAnsi="Arial" w:cs="Arial"/>
        </w:rPr>
        <w:t xml:space="preserve"> Los responsables pagaran el impuesto correspondiente al periodo</w:t>
      </w:r>
      <w:r>
        <w:rPr>
          <w:rFonts w:ascii="Arial" w:hAnsi="Arial" w:cs="Arial"/>
        </w:rPr>
        <w:t xml:space="preserve"> gravable simultáneamente con la presentación de la declaración, en las Secretarias de Hacienda o en las entidades financieras debidamente autorizadas por la respectiva entidad territorial. En este último evento, previo el convenio respectivo, la entidad t</w:t>
      </w:r>
      <w:r>
        <w:rPr>
          <w:rFonts w:ascii="Arial" w:hAnsi="Arial" w:cs="Arial"/>
        </w:rPr>
        <w:t>erritorial señalará los bancos y demás instituciones financieras que están autorizadas para recaudar los impuestos, sanciones e intereses y para recibir las declaraciones tributarias. Las entidades que obtengan autorización deberán cumplir las siguientes o</w:t>
      </w:r>
      <w:r>
        <w:rPr>
          <w:rFonts w:ascii="Arial" w:hAnsi="Arial" w:cs="Arial"/>
        </w:rPr>
        <w:t>bligaciones:</w:t>
      </w:r>
    </w:p>
    <w:p w14:paraId="0DE246E5" w14:textId="77777777" w:rsidR="00B2442D" w:rsidRDefault="00B2442D">
      <w:pPr>
        <w:jc w:val="both"/>
        <w:rPr>
          <w:rFonts w:ascii="Arial" w:hAnsi="Arial" w:cs="Arial"/>
        </w:rPr>
      </w:pPr>
    </w:p>
    <w:p w14:paraId="3CC68A7F" w14:textId="77777777" w:rsidR="00B2442D" w:rsidRDefault="008A645F">
      <w:pPr>
        <w:jc w:val="both"/>
        <w:rPr>
          <w:rFonts w:ascii="Arial" w:hAnsi="Arial" w:cs="Arial"/>
        </w:rPr>
      </w:pPr>
      <w:r>
        <w:rPr>
          <w:rFonts w:ascii="Arial" w:hAnsi="Arial" w:cs="Arial"/>
        </w:rPr>
        <w:t>a) Recibir en todas sus oficinas, agencias o sucursales, con excepción de las que señale la entidad territorial, las declaraciones tributarias y pagos de los contribuyentes o responsables que lo soliciten, sean o no clientes de la entidad aut</w:t>
      </w:r>
      <w:r>
        <w:rPr>
          <w:rFonts w:ascii="Arial" w:hAnsi="Arial" w:cs="Arial"/>
        </w:rPr>
        <w:t>orizada;</w:t>
      </w:r>
    </w:p>
    <w:p w14:paraId="27BBF2AB" w14:textId="77777777" w:rsidR="00B2442D" w:rsidRDefault="008A645F">
      <w:pPr>
        <w:jc w:val="both"/>
        <w:rPr>
          <w:rFonts w:ascii="Arial" w:hAnsi="Arial" w:cs="Arial"/>
        </w:rPr>
      </w:pPr>
      <w:r>
        <w:rPr>
          <w:rFonts w:ascii="Arial" w:hAnsi="Arial" w:cs="Arial"/>
        </w:rPr>
        <w:t>b) Guardar y conservar los documentos e informaciones relacionados con las declaraciones y pagos, de tal manera que se garantice la reserva de los mismos;</w:t>
      </w:r>
    </w:p>
    <w:p w14:paraId="70595D5D" w14:textId="77777777" w:rsidR="00B2442D" w:rsidRDefault="008A645F">
      <w:pPr>
        <w:jc w:val="both"/>
        <w:rPr>
          <w:rFonts w:ascii="Arial" w:hAnsi="Arial" w:cs="Arial"/>
        </w:rPr>
      </w:pPr>
      <w:r>
        <w:rPr>
          <w:rFonts w:ascii="Arial" w:hAnsi="Arial" w:cs="Arial"/>
        </w:rPr>
        <w:t>c) Consignar los valores recaudados en los plazos y lugares que señale la entidad territoria</w:t>
      </w:r>
      <w:r>
        <w:rPr>
          <w:rFonts w:ascii="Arial" w:hAnsi="Arial" w:cs="Arial"/>
        </w:rPr>
        <w:t>l;</w:t>
      </w:r>
    </w:p>
    <w:p w14:paraId="2F5FB16C" w14:textId="77777777" w:rsidR="00B2442D" w:rsidRDefault="008A645F">
      <w:pPr>
        <w:jc w:val="both"/>
        <w:rPr>
          <w:rFonts w:ascii="Arial" w:hAnsi="Arial" w:cs="Arial"/>
        </w:rPr>
      </w:pPr>
      <w:r>
        <w:rPr>
          <w:rFonts w:ascii="Arial" w:hAnsi="Arial" w:cs="Arial"/>
        </w:rPr>
        <w:t>d) Entregar en los plazos y lugares que señale la entidad territorial las declaraciones y precios de pago que hayan recibido;</w:t>
      </w:r>
    </w:p>
    <w:p w14:paraId="052640CC" w14:textId="77777777" w:rsidR="00B2442D" w:rsidRDefault="008A645F">
      <w:pPr>
        <w:jc w:val="both"/>
        <w:rPr>
          <w:rFonts w:ascii="Arial" w:hAnsi="Arial" w:cs="Arial"/>
        </w:rPr>
      </w:pPr>
      <w:r>
        <w:rPr>
          <w:rFonts w:ascii="Arial" w:hAnsi="Arial" w:cs="Arial"/>
        </w:rPr>
        <w:t>e) Diligenciar la planilla de control de recepción y recaudo de las declaraciones y recibos de pago;</w:t>
      </w:r>
    </w:p>
    <w:p w14:paraId="27908D4E" w14:textId="77777777" w:rsidR="00B2442D" w:rsidRDefault="008A645F">
      <w:pPr>
        <w:jc w:val="both"/>
        <w:rPr>
          <w:rFonts w:ascii="Arial" w:hAnsi="Arial" w:cs="Arial"/>
        </w:rPr>
      </w:pPr>
      <w:r>
        <w:rPr>
          <w:rFonts w:ascii="Arial" w:hAnsi="Arial" w:cs="Arial"/>
        </w:rPr>
        <w:t>f) Garantizar que la ident</w:t>
      </w:r>
      <w:r>
        <w:rPr>
          <w:rFonts w:ascii="Arial" w:hAnsi="Arial" w:cs="Arial"/>
        </w:rPr>
        <w:t>ificación que figure en las declaraciones y recibos de pago recibidos coincida con el documento de identificación del contribuyente, responsable o declarante;</w:t>
      </w:r>
    </w:p>
    <w:p w14:paraId="6F89AFD7" w14:textId="77777777" w:rsidR="00B2442D" w:rsidRDefault="008A645F">
      <w:pPr>
        <w:jc w:val="both"/>
        <w:rPr>
          <w:rFonts w:ascii="Arial" w:hAnsi="Arial" w:cs="Arial"/>
        </w:rPr>
      </w:pPr>
      <w:r>
        <w:rPr>
          <w:rFonts w:ascii="Arial" w:hAnsi="Arial" w:cs="Arial"/>
        </w:rPr>
        <w:t>g) Estampar en las declaraciones y recibos de pagos recepcionados la identificación de la entidad</w:t>
      </w:r>
      <w:r>
        <w:rPr>
          <w:rFonts w:ascii="Arial" w:hAnsi="Arial" w:cs="Arial"/>
        </w:rPr>
        <w:t xml:space="preserve"> financiera y la fecha de recepción de los documentos;</w:t>
      </w:r>
    </w:p>
    <w:p w14:paraId="102BC864" w14:textId="77777777" w:rsidR="00B2442D" w:rsidRDefault="008A645F">
      <w:pPr>
        <w:jc w:val="both"/>
        <w:rPr>
          <w:rFonts w:ascii="Arial" w:hAnsi="Arial" w:cs="Arial"/>
        </w:rPr>
      </w:pPr>
      <w:r>
        <w:rPr>
          <w:rFonts w:ascii="Arial" w:hAnsi="Arial" w:cs="Arial"/>
        </w:rPr>
        <w:t>h) Las demás que establezca la entidad territorial.</w:t>
      </w:r>
    </w:p>
    <w:p w14:paraId="7AB34C69" w14:textId="77777777" w:rsidR="00B2442D" w:rsidRDefault="00B2442D">
      <w:pPr>
        <w:jc w:val="both"/>
        <w:rPr>
          <w:rFonts w:ascii="Arial" w:hAnsi="Arial" w:cs="Arial"/>
        </w:rPr>
      </w:pPr>
    </w:p>
    <w:p w14:paraId="4B875F2A" w14:textId="77777777" w:rsidR="00B2442D" w:rsidRDefault="008A645F">
      <w:pPr>
        <w:jc w:val="both"/>
        <w:rPr>
          <w:rFonts w:ascii="Arial" w:hAnsi="Arial" w:cs="Arial"/>
        </w:rPr>
      </w:pPr>
      <w:r>
        <w:rPr>
          <w:rFonts w:ascii="Arial" w:hAnsi="Arial" w:cs="Arial"/>
        </w:rPr>
        <w:t>Las declaraciones que presenten saldo a cargo del contribuyente no podrán ser presentadas sin pago, salvo que se demuestre que el pago ya se efectuó</w:t>
      </w:r>
      <w:r>
        <w:rPr>
          <w:rFonts w:ascii="Arial" w:hAnsi="Arial" w:cs="Arial"/>
        </w:rPr>
        <w:t>.</w:t>
      </w:r>
    </w:p>
    <w:p w14:paraId="235AB463" w14:textId="77777777" w:rsidR="00B2442D" w:rsidRDefault="00B2442D">
      <w:pPr>
        <w:jc w:val="both"/>
        <w:rPr>
          <w:rFonts w:ascii="Arial" w:hAnsi="Arial" w:cs="Arial"/>
          <w:i/>
        </w:rPr>
      </w:pPr>
    </w:p>
    <w:p w14:paraId="69C7038B" w14:textId="77777777" w:rsidR="00B2442D" w:rsidRDefault="008A645F">
      <w:pPr>
        <w:jc w:val="both"/>
        <w:rPr>
          <w:rFonts w:ascii="Arial" w:hAnsi="Arial" w:cs="Arial"/>
          <w:i/>
        </w:rPr>
      </w:pPr>
      <w:r>
        <w:rPr>
          <w:rFonts w:ascii="Arial" w:hAnsi="Arial" w:cs="Arial"/>
          <w:i/>
        </w:rPr>
        <w:t>(Art. 20, Decreto 2141 de 1996)</w:t>
      </w:r>
    </w:p>
    <w:p w14:paraId="12DFD393" w14:textId="77777777" w:rsidR="00B2442D" w:rsidRDefault="00B2442D">
      <w:pPr>
        <w:jc w:val="both"/>
        <w:rPr>
          <w:rFonts w:ascii="Arial" w:hAnsi="Arial" w:cs="Arial"/>
        </w:rPr>
      </w:pPr>
    </w:p>
    <w:p w14:paraId="2FC46D58" w14:textId="77777777" w:rsidR="00B2442D" w:rsidRDefault="008A645F">
      <w:pPr>
        <w:numPr>
          <w:ilvl w:val="0"/>
          <w:numId w:val="185"/>
        </w:numPr>
        <w:ind w:left="0" w:firstLine="0"/>
        <w:contextualSpacing/>
        <w:jc w:val="both"/>
        <w:rPr>
          <w:rFonts w:ascii="Arial" w:hAnsi="Arial" w:cs="Arial"/>
        </w:rPr>
      </w:pPr>
      <w:r>
        <w:rPr>
          <w:rFonts w:ascii="Arial" w:hAnsi="Arial" w:cs="Arial"/>
          <w:b/>
          <w:i/>
        </w:rPr>
        <w:t>Registro de los sujetos pasivos o responsables.</w:t>
      </w:r>
      <w:r>
        <w:rPr>
          <w:rFonts w:ascii="Arial" w:hAnsi="Arial" w:cs="Arial"/>
        </w:rPr>
        <w:t xml:space="preserve"> El registro de importadores, productores y distribuidores de que trata el artículo 215 de la Ley 223 de 1995, deberá contener:</w:t>
      </w:r>
    </w:p>
    <w:p w14:paraId="1DA392A0" w14:textId="77777777" w:rsidR="00B2442D" w:rsidRDefault="00B2442D">
      <w:pPr>
        <w:jc w:val="both"/>
        <w:rPr>
          <w:rFonts w:ascii="Arial" w:hAnsi="Arial" w:cs="Arial"/>
        </w:rPr>
      </w:pPr>
    </w:p>
    <w:p w14:paraId="273CCCCF" w14:textId="77777777" w:rsidR="00B2442D" w:rsidRDefault="008A645F">
      <w:pPr>
        <w:numPr>
          <w:ilvl w:val="0"/>
          <w:numId w:val="184"/>
        </w:numPr>
        <w:ind w:left="0" w:firstLine="0"/>
        <w:contextualSpacing/>
        <w:jc w:val="both"/>
        <w:rPr>
          <w:rFonts w:ascii="Arial" w:hAnsi="Arial" w:cs="Arial"/>
        </w:rPr>
      </w:pPr>
      <w:r>
        <w:rPr>
          <w:rFonts w:ascii="Arial" w:hAnsi="Arial" w:cs="Arial"/>
        </w:rPr>
        <w:t>Nombre o razón social e identificación del r</w:t>
      </w:r>
      <w:r>
        <w:rPr>
          <w:rFonts w:ascii="Arial" w:hAnsi="Arial" w:cs="Arial"/>
        </w:rPr>
        <w:t>esponsable.</w:t>
      </w:r>
    </w:p>
    <w:p w14:paraId="6289DC04" w14:textId="77777777" w:rsidR="00B2442D" w:rsidRDefault="008A645F">
      <w:pPr>
        <w:numPr>
          <w:ilvl w:val="0"/>
          <w:numId w:val="184"/>
        </w:numPr>
        <w:ind w:left="0" w:firstLine="0"/>
        <w:contextualSpacing/>
        <w:jc w:val="both"/>
        <w:rPr>
          <w:rFonts w:ascii="Arial" w:hAnsi="Arial" w:cs="Arial"/>
        </w:rPr>
      </w:pPr>
      <w:r>
        <w:rPr>
          <w:rFonts w:ascii="Arial" w:hAnsi="Arial" w:cs="Arial"/>
        </w:rPr>
        <w:t>Calidad en que actúa (productor, importador, distribuidor).</w:t>
      </w:r>
    </w:p>
    <w:p w14:paraId="5DCA75D8" w14:textId="77777777" w:rsidR="00B2442D" w:rsidRDefault="008A645F">
      <w:pPr>
        <w:numPr>
          <w:ilvl w:val="0"/>
          <w:numId w:val="184"/>
        </w:numPr>
        <w:ind w:left="0" w:firstLine="0"/>
        <w:contextualSpacing/>
        <w:jc w:val="both"/>
        <w:rPr>
          <w:rFonts w:ascii="Arial" w:hAnsi="Arial" w:cs="Arial"/>
        </w:rPr>
      </w:pPr>
      <w:r>
        <w:rPr>
          <w:rFonts w:ascii="Arial" w:hAnsi="Arial" w:cs="Arial"/>
        </w:rPr>
        <w:t>Dirección y teléfono del domicilio principal.</w:t>
      </w:r>
    </w:p>
    <w:p w14:paraId="3B17CAFE" w14:textId="77777777" w:rsidR="00B2442D" w:rsidRDefault="008A645F">
      <w:pPr>
        <w:numPr>
          <w:ilvl w:val="0"/>
          <w:numId w:val="184"/>
        </w:numPr>
        <w:ind w:left="0" w:firstLine="0"/>
        <w:contextualSpacing/>
        <w:jc w:val="both"/>
        <w:rPr>
          <w:rFonts w:ascii="Arial" w:hAnsi="Arial" w:cs="Arial"/>
        </w:rPr>
      </w:pPr>
      <w:r>
        <w:rPr>
          <w:rFonts w:ascii="Arial" w:hAnsi="Arial" w:cs="Arial"/>
        </w:rPr>
        <w:t>Dirección y teléfono de las agencias y sucursales.</w:t>
      </w:r>
    </w:p>
    <w:p w14:paraId="1AD33EDA" w14:textId="77777777" w:rsidR="00B2442D" w:rsidRDefault="008A645F">
      <w:pPr>
        <w:numPr>
          <w:ilvl w:val="0"/>
          <w:numId w:val="184"/>
        </w:numPr>
        <w:ind w:left="0" w:firstLine="0"/>
        <w:contextualSpacing/>
        <w:jc w:val="both"/>
        <w:rPr>
          <w:rFonts w:ascii="Arial" w:hAnsi="Arial" w:cs="Arial"/>
        </w:rPr>
      </w:pPr>
      <w:r>
        <w:rPr>
          <w:rFonts w:ascii="Arial" w:hAnsi="Arial" w:cs="Arial"/>
        </w:rPr>
        <w:t>Lugares del departamento en donde efectúa la distribución.</w:t>
      </w:r>
    </w:p>
    <w:p w14:paraId="351EFD19" w14:textId="77777777" w:rsidR="00B2442D" w:rsidRDefault="008A645F">
      <w:pPr>
        <w:numPr>
          <w:ilvl w:val="0"/>
          <w:numId w:val="184"/>
        </w:numPr>
        <w:ind w:left="0" w:firstLine="0"/>
        <w:contextualSpacing/>
        <w:jc w:val="both"/>
        <w:rPr>
          <w:rFonts w:ascii="Arial" w:hAnsi="Arial" w:cs="Arial"/>
        </w:rPr>
      </w:pPr>
      <w:r>
        <w:rPr>
          <w:rFonts w:ascii="Arial" w:hAnsi="Arial" w:cs="Arial"/>
        </w:rPr>
        <w:t xml:space="preserve">Identificación de los </w:t>
      </w:r>
      <w:r>
        <w:rPr>
          <w:rFonts w:ascii="Arial" w:hAnsi="Arial" w:cs="Arial"/>
        </w:rPr>
        <w:t>productos que importa, produce o distribuye.</w:t>
      </w:r>
    </w:p>
    <w:p w14:paraId="00E08200" w14:textId="77777777" w:rsidR="00B2442D" w:rsidRDefault="008A645F">
      <w:pPr>
        <w:numPr>
          <w:ilvl w:val="0"/>
          <w:numId w:val="184"/>
        </w:numPr>
        <w:ind w:left="0" w:firstLine="0"/>
        <w:contextualSpacing/>
        <w:jc w:val="both"/>
        <w:rPr>
          <w:rFonts w:ascii="Arial" w:hAnsi="Arial" w:cs="Arial"/>
        </w:rPr>
      </w:pPr>
      <w:r>
        <w:rPr>
          <w:rFonts w:ascii="Arial" w:hAnsi="Arial" w:cs="Arial"/>
        </w:rPr>
        <w:t>Dirección y ubicación de las bodegas que posea.</w:t>
      </w:r>
    </w:p>
    <w:p w14:paraId="3FE7EC47" w14:textId="77777777" w:rsidR="00B2442D" w:rsidRDefault="00B2442D">
      <w:pPr>
        <w:jc w:val="both"/>
        <w:rPr>
          <w:rFonts w:ascii="Arial" w:hAnsi="Arial" w:cs="Arial"/>
        </w:rPr>
      </w:pPr>
    </w:p>
    <w:p w14:paraId="3F603510" w14:textId="77777777" w:rsidR="00B2442D" w:rsidRDefault="008A645F">
      <w:pPr>
        <w:jc w:val="both"/>
        <w:rPr>
          <w:rFonts w:ascii="Arial" w:hAnsi="Arial" w:cs="Arial"/>
        </w:rPr>
      </w:pPr>
      <w:r>
        <w:rPr>
          <w:rFonts w:ascii="Arial" w:hAnsi="Arial" w:cs="Arial"/>
        </w:rPr>
        <w:t>Las autoridades tributarias territoriales podrán incluir oficiosamente en sus registros a los productores, importadores y distribuidores de cervezas, sifones, ref</w:t>
      </w:r>
      <w:r>
        <w:rPr>
          <w:rFonts w:ascii="Arial" w:hAnsi="Arial" w:cs="Arial"/>
        </w:rPr>
        <w:t>ajos y mezclas.</w:t>
      </w:r>
    </w:p>
    <w:p w14:paraId="68E080E0" w14:textId="77777777" w:rsidR="00B2442D" w:rsidRDefault="00B2442D">
      <w:pPr>
        <w:jc w:val="both"/>
        <w:rPr>
          <w:rFonts w:ascii="Arial" w:hAnsi="Arial" w:cs="Arial"/>
        </w:rPr>
      </w:pPr>
    </w:p>
    <w:p w14:paraId="07BCF7F5"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El registro en las Secretarias de Hacienda constituye una obligación formal de los responsables del impuesto y no genera erogación alguna para estos.</w:t>
      </w:r>
    </w:p>
    <w:p w14:paraId="778118AA" w14:textId="77777777" w:rsidR="00B2442D" w:rsidRDefault="00B2442D">
      <w:pPr>
        <w:jc w:val="both"/>
        <w:rPr>
          <w:rFonts w:ascii="Arial" w:hAnsi="Arial" w:cs="Arial"/>
          <w:i/>
        </w:rPr>
      </w:pPr>
    </w:p>
    <w:p w14:paraId="2E9C2779" w14:textId="77777777" w:rsidR="00B2442D" w:rsidRDefault="008A645F">
      <w:pPr>
        <w:jc w:val="both"/>
        <w:rPr>
          <w:rFonts w:ascii="Arial" w:hAnsi="Arial" w:cs="Arial"/>
          <w:i/>
        </w:rPr>
      </w:pPr>
      <w:r>
        <w:rPr>
          <w:rFonts w:ascii="Arial" w:hAnsi="Arial" w:cs="Arial"/>
          <w:i/>
        </w:rPr>
        <w:t>(Art. 22, Decreto 2141 de 1996)</w:t>
      </w:r>
    </w:p>
    <w:p w14:paraId="37A30E38" w14:textId="77777777" w:rsidR="00B2442D" w:rsidRDefault="00B2442D">
      <w:pPr>
        <w:jc w:val="both"/>
        <w:rPr>
          <w:rFonts w:ascii="Arial" w:hAnsi="Arial" w:cs="Arial"/>
        </w:rPr>
      </w:pPr>
    </w:p>
    <w:p w14:paraId="05655C34" w14:textId="77777777" w:rsidR="00B2442D" w:rsidRDefault="008A645F">
      <w:pPr>
        <w:numPr>
          <w:ilvl w:val="0"/>
          <w:numId w:val="185"/>
        </w:numPr>
        <w:ind w:left="0" w:firstLine="0"/>
        <w:contextualSpacing/>
        <w:jc w:val="both"/>
        <w:rPr>
          <w:rFonts w:ascii="Arial" w:hAnsi="Arial" w:cs="Arial"/>
        </w:rPr>
      </w:pPr>
      <w:r>
        <w:rPr>
          <w:rFonts w:ascii="Arial" w:hAnsi="Arial" w:cs="Arial"/>
          <w:b/>
          <w:i/>
        </w:rPr>
        <w:t>Sistema contable.</w:t>
      </w:r>
      <w:r>
        <w:rPr>
          <w:rFonts w:ascii="Arial" w:hAnsi="Arial" w:cs="Arial"/>
        </w:rPr>
        <w:t xml:space="preserve"> En desarrollo de los artículos 194 literal a) y 215 literal b) de la Ley 223 de 1995, los sujetos pasivos o responsables de productos gravados con impuestos departamentales al consumo, según corresponda, deberán llevar cuentas de acuerdo con lo estipulado</w:t>
      </w:r>
      <w:r>
        <w:rPr>
          <w:rFonts w:ascii="Arial" w:hAnsi="Arial" w:cs="Arial"/>
        </w:rPr>
        <w:t xml:space="preserve"> en el Plan Único de Cuentas, PUC, discriminadas en tal forma que permitan identificar el volumen de producción o importación, las compras de productos nacionales y extranjeros, las entregas, despachos o retiros por cada entidad territorial, la base gravab</w:t>
      </w:r>
      <w:r>
        <w:rPr>
          <w:rFonts w:ascii="Arial" w:hAnsi="Arial" w:cs="Arial"/>
        </w:rPr>
        <w:t>le de liquidación del impuesto, el valor del impuesto, llevando por separado el valor de los impuestos sobre productos nacionales, el valor de los impuestos sobre productos extranjeros pagado al Fondo Cuenta, y los valores de impuestos que corresponda a ca</w:t>
      </w:r>
      <w:r>
        <w:rPr>
          <w:rFonts w:ascii="Arial" w:hAnsi="Arial" w:cs="Arial"/>
        </w:rPr>
        <w:t>da entidad territorial.</w:t>
      </w:r>
    </w:p>
    <w:p w14:paraId="1C8EF2E9" w14:textId="77777777" w:rsidR="00B2442D" w:rsidRDefault="00B2442D">
      <w:pPr>
        <w:jc w:val="both"/>
        <w:rPr>
          <w:rFonts w:ascii="Arial" w:hAnsi="Arial" w:cs="Arial"/>
          <w:i/>
        </w:rPr>
      </w:pPr>
    </w:p>
    <w:p w14:paraId="33099B14" w14:textId="77777777" w:rsidR="00B2442D" w:rsidRDefault="008A645F">
      <w:pPr>
        <w:jc w:val="both"/>
        <w:rPr>
          <w:rFonts w:ascii="Arial" w:hAnsi="Arial" w:cs="Arial"/>
          <w:i/>
        </w:rPr>
      </w:pPr>
      <w:r>
        <w:rPr>
          <w:rFonts w:ascii="Arial" w:hAnsi="Arial" w:cs="Arial"/>
          <w:i/>
        </w:rPr>
        <w:t>(Art.23, Decreto 2141 de 1996)</w:t>
      </w:r>
    </w:p>
    <w:p w14:paraId="128F1E38" w14:textId="77777777" w:rsidR="00B2442D" w:rsidRDefault="00B2442D">
      <w:pPr>
        <w:jc w:val="both"/>
        <w:rPr>
          <w:rFonts w:ascii="Arial" w:hAnsi="Arial" w:cs="Arial"/>
        </w:rPr>
      </w:pPr>
    </w:p>
    <w:p w14:paraId="1786F68E" w14:textId="77777777" w:rsidR="00B2442D" w:rsidRDefault="008A645F">
      <w:pPr>
        <w:numPr>
          <w:ilvl w:val="0"/>
          <w:numId w:val="185"/>
        </w:numPr>
        <w:ind w:left="0" w:firstLine="0"/>
        <w:contextualSpacing/>
        <w:jc w:val="both"/>
        <w:rPr>
          <w:rFonts w:ascii="Arial" w:hAnsi="Arial" w:cs="Arial"/>
        </w:rPr>
      </w:pPr>
      <w:r>
        <w:rPr>
          <w:rFonts w:ascii="Arial" w:hAnsi="Arial" w:cs="Arial"/>
          <w:b/>
          <w:i/>
        </w:rPr>
        <w:t>Facturación.</w:t>
      </w:r>
      <w:r>
        <w:rPr>
          <w:rFonts w:ascii="Arial" w:hAnsi="Arial" w:cs="Arial"/>
        </w:rPr>
        <w:t xml:space="preserve"> Los productores, importadores y distribuidores deberán expedir factura y entregarla al respectivo comprador por cada transacción u operación que realicen, con el lleno de todos los requi</w:t>
      </w:r>
      <w:r>
        <w:rPr>
          <w:rFonts w:ascii="Arial" w:hAnsi="Arial" w:cs="Arial"/>
        </w:rPr>
        <w:t>sitos legales establecidos en el Estatuto Tributario y sus reglamentos.</w:t>
      </w:r>
    </w:p>
    <w:p w14:paraId="2FAD5F82" w14:textId="77777777" w:rsidR="00B2442D" w:rsidRDefault="00B2442D">
      <w:pPr>
        <w:jc w:val="both"/>
        <w:rPr>
          <w:rFonts w:ascii="Arial" w:hAnsi="Arial" w:cs="Arial"/>
          <w:i/>
        </w:rPr>
      </w:pPr>
    </w:p>
    <w:p w14:paraId="2935C15D" w14:textId="77777777" w:rsidR="00B2442D" w:rsidRDefault="008A645F">
      <w:pPr>
        <w:jc w:val="both"/>
        <w:rPr>
          <w:rFonts w:ascii="Arial" w:hAnsi="Arial" w:cs="Arial"/>
          <w:i/>
        </w:rPr>
      </w:pPr>
      <w:r>
        <w:rPr>
          <w:rFonts w:ascii="Arial" w:hAnsi="Arial" w:cs="Arial"/>
          <w:i/>
        </w:rPr>
        <w:t>(Art. 24, Decreto 2141 de 1996)</w:t>
      </w:r>
    </w:p>
    <w:p w14:paraId="0E47DD09" w14:textId="77777777" w:rsidR="00B2442D" w:rsidRDefault="00B2442D">
      <w:pPr>
        <w:jc w:val="both"/>
        <w:rPr>
          <w:rFonts w:ascii="Arial" w:hAnsi="Arial" w:cs="Arial"/>
        </w:rPr>
      </w:pPr>
    </w:p>
    <w:p w14:paraId="75F76A59" w14:textId="77777777" w:rsidR="00B2442D" w:rsidRDefault="008A645F">
      <w:pPr>
        <w:numPr>
          <w:ilvl w:val="0"/>
          <w:numId w:val="185"/>
        </w:numPr>
        <w:ind w:left="0" w:firstLine="0"/>
        <w:contextualSpacing/>
        <w:jc w:val="both"/>
        <w:rPr>
          <w:rFonts w:ascii="Arial" w:hAnsi="Arial" w:cs="Arial"/>
        </w:rPr>
      </w:pPr>
      <w:r>
        <w:rPr>
          <w:rFonts w:ascii="Arial" w:hAnsi="Arial" w:cs="Arial"/>
          <w:b/>
          <w:i/>
        </w:rPr>
        <w:t>Aprehensiones.</w:t>
      </w:r>
      <w:r>
        <w:rPr>
          <w:rFonts w:ascii="Arial" w:hAnsi="Arial" w:cs="Arial"/>
        </w:rPr>
        <w:t xml:space="preserve"> Sin perjuicio de las facultades que tienen los funcionarios de la Dirección de Impuestos y Aduanas Nacionales, los funcionarios departa</w:t>
      </w:r>
      <w:r>
        <w:rPr>
          <w:rFonts w:ascii="Arial" w:hAnsi="Arial" w:cs="Arial"/>
        </w:rPr>
        <w:t>mentales y del Distrito Capital de Bogotá que tengan la competencia funcional para ejercer el control operativo de rentas podrán aprehender en sus respectivas jurisdicciones los productos nacionales y extranjeros, en los siguientes casos:</w:t>
      </w:r>
    </w:p>
    <w:p w14:paraId="2FB7CE7F" w14:textId="77777777" w:rsidR="00B2442D" w:rsidRDefault="00B2442D">
      <w:pPr>
        <w:jc w:val="both"/>
        <w:rPr>
          <w:rFonts w:ascii="Arial" w:hAnsi="Arial" w:cs="Arial"/>
        </w:rPr>
      </w:pPr>
    </w:p>
    <w:p w14:paraId="3979A2D9" w14:textId="77777777" w:rsidR="00B2442D" w:rsidRDefault="008A645F">
      <w:pPr>
        <w:numPr>
          <w:ilvl w:val="0"/>
          <w:numId w:val="171"/>
        </w:numPr>
        <w:ind w:left="0" w:firstLine="0"/>
        <w:contextualSpacing/>
        <w:jc w:val="both"/>
        <w:rPr>
          <w:rFonts w:ascii="Arial" w:hAnsi="Arial" w:cs="Arial"/>
        </w:rPr>
      </w:pPr>
      <w:r>
        <w:rPr>
          <w:rFonts w:ascii="Arial" w:hAnsi="Arial" w:cs="Arial"/>
        </w:rPr>
        <w:t xml:space="preserve">Cuando los </w:t>
      </w:r>
      <w:r>
        <w:rPr>
          <w:rFonts w:ascii="Arial" w:hAnsi="Arial" w:cs="Arial"/>
        </w:rPr>
        <w:t>transportadores de productos gravados con impuestos al consumo no exhiban ante las autoridades competentes el original de la factura o relación de productos y la tornaguía autorizada por la entidad territorial de origen, o su contenido no corresponda con l</w:t>
      </w:r>
      <w:r>
        <w:rPr>
          <w:rFonts w:ascii="Arial" w:hAnsi="Arial" w:cs="Arial"/>
        </w:rPr>
        <w:t>a información registrada en el SUNIR.</w:t>
      </w:r>
    </w:p>
    <w:p w14:paraId="0A6927F7" w14:textId="77777777" w:rsidR="00B2442D" w:rsidRDefault="008A645F">
      <w:pPr>
        <w:numPr>
          <w:ilvl w:val="0"/>
          <w:numId w:val="171"/>
        </w:numPr>
        <w:ind w:left="0" w:firstLine="0"/>
        <w:contextualSpacing/>
        <w:jc w:val="both"/>
        <w:rPr>
          <w:rFonts w:ascii="Arial" w:hAnsi="Arial" w:cs="Arial"/>
        </w:rPr>
      </w:pPr>
      <w:r>
        <w:rPr>
          <w:rFonts w:ascii="Arial" w:hAnsi="Arial" w:cs="Arial"/>
        </w:rPr>
        <w:t>Cuando los vendedores detallistas no acrediten el origen legal de los productos.</w:t>
      </w:r>
    </w:p>
    <w:p w14:paraId="7F2EECFE" w14:textId="77777777" w:rsidR="00B2442D" w:rsidRDefault="008A645F">
      <w:pPr>
        <w:numPr>
          <w:ilvl w:val="0"/>
          <w:numId w:val="196"/>
        </w:numPr>
        <w:ind w:left="0" w:firstLine="0"/>
        <w:contextualSpacing/>
        <w:jc w:val="both"/>
        <w:rPr>
          <w:rFonts w:ascii="Arial" w:hAnsi="Arial" w:cs="Arial"/>
        </w:rPr>
      </w:pPr>
      <w:r>
        <w:rPr>
          <w:rFonts w:ascii="Arial" w:hAnsi="Arial" w:cs="Arial"/>
        </w:rPr>
        <w:t>Cuando se verifique que los productos amparados con tornaguías de reenvío a otras jurisdicciones han sido distribuidos en la entidad terr</w:t>
      </w:r>
      <w:r>
        <w:rPr>
          <w:rFonts w:ascii="Arial" w:hAnsi="Arial" w:cs="Arial"/>
        </w:rPr>
        <w:t>itorial de origen o en una entidad territorial diferente a la de destino.</w:t>
      </w:r>
    </w:p>
    <w:p w14:paraId="4646CA4E" w14:textId="77777777" w:rsidR="00B2442D" w:rsidRDefault="008A645F">
      <w:pPr>
        <w:numPr>
          <w:ilvl w:val="0"/>
          <w:numId w:val="196"/>
        </w:numPr>
        <w:ind w:left="0" w:firstLine="0"/>
        <w:contextualSpacing/>
        <w:jc w:val="both"/>
        <w:rPr>
          <w:rFonts w:ascii="Arial" w:hAnsi="Arial" w:cs="Arial"/>
        </w:rPr>
      </w:pPr>
      <w:r>
        <w:rPr>
          <w:rFonts w:ascii="Arial" w:hAnsi="Arial" w:cs="Arial"/>
        </w:rPr>
        <w:t>Cuando los productos en el mercado pertenezcan a productores, importadores o distribuidores no registrados en la correspondiente Secretaria de Hacienda o cuando los productos no esté</w:t>
      </w:r>
      <w:r>
        <w:rPr>
          <w:rFonts w:ascii="Arial" w:hAnsi="Arial" w:cs="Arial"/>
        </w:rPr>
        <w:t>n señalizados, existiendo obligación legal para ello.</w:t>
      </w:r>
    </w:p>
    <w:p w14:paraId="24CBD9E5" w14:textId="77777777" w:rsidR="00B2442D" w:rsidRDefault="008A645F">
      <w:pPr>
        <w:numPr>
          <w:ilvl w:val="0"/>
          <w:numId w:val="196"/>
        </w:numPr>
        <w:ind w:left="0" w:firstLine="0"/>
        <w:contextualSpacing/>
        <w:jc w:val="both"/>
        <w:rPr>
          <w:rFonts w:ascii="Arial" w:hAnsi="Arial" w:cs="Arial"/>
        </w:rPr>
      </w:pPr>
      <w:r>
        <w:rPr>
          <w:rFonts w:ascii="Arial" w:hAnsi="Arial" w:cs="Arial"/>
        </w:rPr>
        <w:t>Cuando las mercancías extranjeras distribuidas en jurisdicción de la respectiva entidad territorial no estén amparadas en una declaración con pago ante el Fondo Cuenta.</w:t>
      </w:r>
    </w:p>
    <w:p w14:paraId="3B72EB93" w14:textId="77777777" w:rsidR="00B2442D" w:rsidRDefault="008A645F">
      <w:pPr>
        <w:numPr>
          <w:ilvl w:val="0"/>
          <w:numId w:val="196"/>
        </w:numPr>
        <w:ind w:left="0" w:firstLine="0"/>
        <w:contextualSpacing/>
        <w:jc w:val="both"/>
        <w:rPr>
          <w:rFonts w:ascii="Arial" w:hAnsi="Arial" w:cs="Arial"/>
        </w:rPr>
      </w:pPr>
      <w:r>
        <w:rPr>
          <w:rFonts w:ascii="Arial" w:hAnsi="Arial" w:cs="Arial"/>
        </w:rPr>
        <w:t>Cuando no se demuestre el ingreso</w:t>
      </w:r>
      <w:r>
        <w:rPr>
          <w:rFonts w:ascii="Arial" w:hAnsi="Arial" w:cs="Arial"/>
        </w:rPr>
        <w:t xml:space="preserve"> legal de las mercancías a la respectiva entidad territorial.</w:t>
      </w:r>
    </w:p>
    <w:p w14:paraId="42C447E2" w14:textId="77777777" w:rsidR="00B2442D" w:rsidRDefault="008A645F">
      <w:pPr>
        <w:numPr>
          <w:ilvl w:val="0"/>
          <w:numId w:val="196"/>
        </w:numPr>
        <w:ind w:left="0" w:firstLine="0"/>
        <w:contextualSpacing/>
        <w:jc w:val="both"/>
        <w:rPr>
          <w:rFonts w:ascii="Arial" w:hAnsi="Arial" w:cs="Arial"/>
        </w:rPr>
      </w:pPr>
      <w:r>
        <w:rPr>
          <w:rFonts w:ascii="Arial" w:hAnsi="Arial" w:cs="Arial"/>
        </w:rPr>
        <w:t>Cuando los productos sometidos al impuesto al consumo se encuentren sin los elementos físicos adheridos o impresos directamente en los productos, su empaque, tapa, envoltura o envase, en lugares</w:t>
      </w:r>
      <w:r>
        <w:rPr>
          <w:rFonts w:ascii="Arial" w:hAnsi="Arial" w:cs="Arial"/>
        </w:rPr>
        <w:t xml:space="preserve"> diferentes a las líneas o sitios de producción autorizados por la autoridad competente o en los sitios autorizados por la Unidad Administrativa Especial Dirección de Impuestos y Aduanas Nacionales (DIAN).</w:t>
      </w:r>
    </w:p>
    <w:p w14:paraId="7F068F00" w14:textId="77777777" w:rsidR="00B2442D" w:rsidRDefault="008A645F">
      <w:pPr>
        <w:numPr>
          <w:ilvl w:val="0"/>
          <w:numId w:val="196"/>
        </w:numPr>
        <w:ind w:left="0" w:firstLine="0"/>
        <w:contextualSpacing/>
        <w:jc w:val="both"/>
        <w:rPr>
          <w:rFonts w:ascii="Arial" w:hAnsi="Arial" w:cs="Arial"/>
        </w:rPr>
      </w:pPr>
      <w:r>
        <w:rPr>
          <w:rFonts w:ascii="Arial" w:hAnsi="Arial" w:cs="Arial"/>
        </w:rPr>
        <w:t>Cuando los productos en el mercado pertenezcan a p</w:t>
      </w:r>
      <w:r>
        <w:rPr>
          <w:rFonts w:ascii="Arial" w:hAnsi="Arial" w:cs="Arial"/>
        </w:rPr>
        <w:t>roductores, importadores o distribuidores no registrados en el SUNIR.</w:t>
      </w:r>
    </w:p>
    <w:p w14:paraId="39A8F467" w14:textId="77777777" w:rsidR="00B2442D" w:rsidRDefault="008A645F">
      <w:pPr>
        <w:numPr>
          <w:ilvl w:val="0"/>
          <w:numId w:val="196"/>
        </w:numPr>
        <w:ind w:left="0" w:firstLine="0"/>
        <w:contextualSpacing/>
        <w:jc w:val="both"/>
        <w:rPr>
          <w:rFonts w:ascii="Arial" w:hAnsi="Arial" w:cs="Arial"/>
        </w:rPr>
      </w:pPr>
      <w:r>
        <w:rPr>
          <w:rFonts w:ascii="Arial" w:hAnsi="Arial" w:cs="Arial"/>
        </w:rPr>
        <w:t>Cuando la información y localización de los productos no corresponda a la almacenada en el SUNIR.</w:t>
      </w:r>
    </w:p>
    <w:p w14:paraId="21B4E192" w14:textId="77777777" w:rsidR="00B2442D" w:rsidRDefault="00B2442D">
      <w:pPr>
        <w:jc w:val="both"/>
        <w:rPr>
          <w:rFonts w:ascii="Arial" w:hAnsi="Arial" w:cs="Arial"/>
        </w:rPr>
      </w:pPr>
    </w:p>
    <w:p w14:paraId="333E62D3" w14:textId="77777777" w:rsidR="00B2442D" w:rsidRDefault="008A645F">
      <w:pPr>
        <w:jc w:val="both"/>
        <w:rPr>
          <w:rFonts w:ascii="Arial" w:hAnsi="Arial" w:cs="Arial"/>
        </w:rPr>
      </w:pPr>
      <w:r>
        <w:rPr>
          <w:rFonts w:ascii="Arial" w:hAnsi="Arial" w:cs="Arial"/>
        </w:rPr>
        <w:t xml:space="preserve">Del procedimiento de aprehensión se levantará un acta en original y dos (2) copias, la </w:t>
      </w:r>
      <w:r>
        <w:rPr>
          <w:rFonts w:ascii="Arial" w:hAnsi="Arial" w:cs="Arial"/>
        </w:rPr>
        <w:t>cual será suscrita por el funcionario o los funcionarios competentes participantes en la aprehensión y el presunto infractor, cuando acceda a ello. En el acta se hará constar la fecha y lugar de la aprehensión, causa o motivo de la misma, clase, cantidad y</w:t>
      </w:r>
      <w:r>
        <w:rPr>
          <w:rFonts w:ascii="Arial" w:hAnsi="Arial" w:cs="Arial"/>
        </w:rPr>
        <w:t xml:space="preserve"> descripción del producto o productos aprehendidos, identificación y dirección del presunto infractor y del responsable de los productos, cuando sea del caso.</w:t>
      </w:r>
    </w:p>
    <w:p w14:paraId="7B6208BF" w14:textId="77777777" w:rsidR="00B2442D" w:rsidRDefault="00B2442D">
      <w:pPr>
        <w:jc w:val="both"/>
        <w:rPr>
          <w:rFonts w:ascii="Arial" w:hAnsi="Arial" w:cs="Arial"/>
        </w:rPr>
      </w:pPr>
    </w:p>
    <w:p w14:paraId="7AF68E41" w14:textId="77777777" w:rsidR="00B2442D" w:rsidRDefault="008A645F">
      <w:pPr>
        <w:jc w:val="both"/>
        <w:rPr>
          <w:rFonts w:ascii="Arial" w:hAnsi="Arial" w:cs="Arial"/>
        </w:rPr>
      </w:pPr>
      <w:r>
        <w:rPr>
          <w:rFonts w:ascii="Arial" w:hAnsi="Arial" w:cs="Arial"/>
        </w:rPr>
        <w:t>Copia del acta debidamente firmada se entregará al presunto infractor. En caso de que este se ne</w:t>
      </w:r>
      <w:r>
        <w:rPr>
          <w:rFonts w:ascii="Arial" w:hAnsi="Arial" w:cs="Arial"/>
        </w:rPr>
        <w:t>gare a firmar, así se hará constar en el acta.</w:t>
      </w:r>
    </w:p>
    <w:p w14:paraId="5FBC5204" w14:textId="77777777" w:rsidR="00B2442D" w:rsidRDefault="00B2442D">
      <w:pPr>
        <w:jc w:val="both"/>
        <w:rPr>
          <w:rFonts w:ascii="Arial" w:hAnsi="Arial" w:cs="Arial"/>
          <w:i/>
        </w:rPr>
      </w:pPr>
    </w:p>
    <w:p w14:paraId="56A34DC6" w14:textId="77777777" w:rsidR="00B2442D" w:rsidRDefault="008A645F">
      <w:pPr>
        <w:jc w:val="both"/>
        <w:rPr>
          <w:rFonts w:ascii="Arial" w:hAnsi="Arial" w:cs="Arial"/>
          <w:i/>
        </w:rPr>
      </w:pPr>
      <w:r>
        <w:rPr>
          <w:rFonts w:ascii="Arial" w:hAnsi="Arial" w:cs="Arial"/>
          <w:i/>
        </w:rPr>
        <w:t>(Art. 25, Decreto 2141 de 1996, modificado el numeral 1º y adicionados los numerales 8, 9 y 10 por el art. 31 del Decreto 602 de 2013, numeral 3 declarado nulo por el Consejo de Estado. Sentencia del 26 de no</w:t>
      </w:r>
      <w:r>
        <w:rPr>
          <w:rFonts w:ascii="Arial" w:hAnsi="Arial" w:cs="Arial"/>
          <w:i/>
        </w:rPr>
        <w:t>viembre de 1999 Exp. 9552 C.P. Daniel Manrique Guzmán)</w:t>
      </w:r>
    </w:p>
    <w:p w14:paraId="51EB9B77" w14:textId="77777777" w:rsidR="00B2442D" w:rsidRDefault="00B2442D">
      <w:pPr>
        <w:rPr>
          <w:rFonts w:ascii="Arial" w:hAnsi="Arial" w:cs="Arial"/>
        </w:rPr>
      </w:pPr>
    </w:p>
    <w:p w14:paraId="56B80BB5" w14:textId="77777777" w:rsidR="00B2442D" w:rsidRDefault="008A645F">
      <w:pPr>
        <w:ind w:firstLine="708"/>
        <w:jc w:val="center"/>
        <w:outlineLvl w:val="3"/>
        <w:rPr>
          <w:rFonts w:ascii="Arial" w:hAnsi="Arial" w:cs="Arial"/>
          <w:b/>
        </w:rPr>
      </w:pPr>
      <w:r>
        <w:rPr>
          <w:rFonts w:ascii="Arial" w:hAnsi="Arial" w:cs="Arial"/>
          <w:b/>
        </w:rPr>
        <w:t xml:space="preserve">CAPÍTULO 3. </w:t>
      </w:r>
    </w:p>
    <w:p w14:paraId="6DA5F2AC" w14:textId="77777777" w:rsidR="00B2442D" w:rsidRDefault="008A645F">
      <w:pPr>
        <w:ind w:firstLine="708"/>
        <w:jc w:val="center"/>
        <w:outlineLvl w:val="3"/>
        <w:rPr>
          <w:rFonts w:ascii="Arial" w:hAnsi="Arial" w:cs="Arial"/>
          <w:b/>
        </w:rPr>
      </w:pPr>
      <w:r>
        <w:rPr>
          <w:rFonts w:ascii="Arial" w:hAnsi="Arial" w:cs="Arial"/>
          <w:b/>
        </w:rPr>
        <w:t>Sistema Único Nacional de control de transporte de productos gravados con impuesto al consumo</w:t>
      </w:r>
    </w:p>
    <w:p w14:paraId="125B9B1C" w14:textId="77777777" w:rsidR="00B2442D" w:rsidRDefault="00B2442D">
      <w:pPr>
        <w:rPr>
          <w:rFonts w:ascii="Arial" w:hAnsi="Arial" w:cs="Arial"/>
        </w:rPr>
      </w:pPr>
    </w:p>
    <w:p w14:paraId="5F5A46EE" w14:textId="77777777" w:rsidR="00B2442D" w:rsidRDefault="00B2442D">
      <w:pPr>
        <w:rPr>
          <w:rFonts w:ascii="Arial" w:hAnsi="Arial" w:cs="Arial"/>
        </w:rPr>
      </w:pPr>
    </w:p>
    <w:p w14:paraId="255FF66C" w14:textId="77777777" w:rsidR="00B2442D" w:rsidRDefault="008A645F">
      <w:pPr>
        <w:numPr>
          <w:ilvl w:val="0"/>
          <w:numId w:val="186"/>
        </w:numPr>
        <w:ind w:left="0" w:firstLine="0"/>
        <w:contextualSpacing/>
        <w:jc w:val="both"/>
        <w:rPr>
          <w:rFonts w:ascii="Arial" w:hAnsi="Arial" w:cs="Arial"/>
        </w:rPr>
      </w:pPr>
      <w:r>
        <w:rPr>
          <w:rFonts w:ascii="Arial" w:hAnsi="Arial" w:cs="Arial"/>
          <w:b/>
          <w:i/>
        </w:rPr>
        <w:t xml:space="preserve">Definición. </w:t>
      </w:r>
      <w:r>
        <w:rPr>
          <w:rFonts w:ascii="Arial" w:hAnsi="Arial" w:cs="Arial"/>
        </w:rPr>
        <w:t xml:space="preserve">El Sistema Único Nacional de Transporte, a que se refiere el presente Decreto, </w:t>
      </w:r>
      <w:r>
        <w:rPr>
          <w:rFonts w:ascii="Arial" w:hAnsi="Arial" w:cs="Arial"/>
        </w:rPr>
        <w:t>es el conjunto de disposiciones que regulan la movilización en el territorio nacional de productos nacionales y extranjeros gravados con los impuestos al consumo o que sean objeto del monopolio rentístico de licores, y sus efectos fiscales.</w:t>
      </w:r>
    </w:p>
    <w:p w14:paraId="6D7D5E87" w14:textId="77777777" w:rsidR="00B2442D" w:rsidRDefault="00B2442D">
      <w:pPr>
        <w:jc w:val="both"/>
        <w:rPr>
          <w:rFonts w:ascii="Arial" w:hAnsi="Arial" w:cs="Arial"/>
          <w:i/>
        </w:rPr>
      </w:pPr>
    </w:p>
    <w:p w14:paraId="7DA06450" w14:textId="77777777" w:rsidR="00B2442D" w:rsidRDefault="008A645F">
      <w:pPr>
        <w:jc w:val="both"/>
        <w:rPr>
          <w:rFonts w:ascii="Arial" w:hAnsi="Arial" w:cs="Arial"/>
          <w:i/>
        </w:rPr>
      </w:pPr>
      <w:r>
        <w:rPr>
          <w:rFonts w:ascii="Arial" w:hAnsi="Arial" w:cs="Arial"/>
          <w:i/>
        </w:rPr>
        <w:t xml:space="preserve">(Art. 1, </w:t>
      </w:r>
      <w:r>
        <w:rPr>
          <w:rFonts w:ascii="Arial" w:hAnsi="Arial" w:cs="Arial"/>
          <w:i/>
        </w:rPr>
        <w:t>Decreto 3071 de 1997)</w:t>
      </w:r>
    </w:p>
    <w:p w14:paraId="0D355A42" w14:textId="77777777" w:rsidR="00B2442D" w:rsidRDefault="00B2442D">
      <w:pPr>
        <w:jc w:val="both"/>
        <w:rPr>
          <w:rFonts w:ascii="Arial" w:hAnsi="Arial" w:cs="Arial"/>
          <w:b/>
        </w:rPr>
      </w:pPr>
    </w:p>
    <w:p w14:paraId="52D45FEE" w14:textId="77777777" w:rsidR="00B2442D" w:rsidRDefault="008A645F">
      <w:pPr>
        <w:numPr>
          <w:ilvl w:val="0"/>
          <w:numId w:val="186"/>
        </w:numPr>
        <w:ind w:left="0" w:firstLine="0"/>
        <w:contextualSpacing/>
        <w:jc w:val="both"/>
        <w:rPr>
          <w:rFonts w:ascii="Arial" w:hAnsi="Arial" w:cs="Arial"/>
        </w:rPr>
      </w:pPr>
      <w:r>
        <w:rPr>
          <w:rFonts w:ascii="Arial" w:hAnsi="Arial" w:cs="Arial"/>
          <w:b/>
          <w:i/>
        </w:rPr>
        <w:t xml:space="preserve">Autorización para el transporte de mercancías gravadas. </w:t>
      </w:r>
      <w:r>
        <w:rPr>
          <w:rFonts w:ascii="Arial" w:hAnsi="Arial" w:cs="Arial"/>
        </w:rPr>
        <w:t>Ningún productor, importador, y/o distribuidor o transportador podrá movilizar mercancías gravadas con impuestos al consumo, o que sean objeto del monopolio rentístico de licore</w:t>
      </w:r>
      <w:r>
        <w:rPr>
          <w:rFonts w:ascii="Arial" w:hAnsi="Arial" w:cs="Arial"/>
        </w:rPr>
        <w:t>s, entre departamentos o entre estos y el Distrito Capital, sin la autorización que para el efecto emita la autoridad competente.</w:t>
      </w:r>
    </w:p>
    <w:p w14:paraId="38711204" w14:textId="77777777" w:rsidR="00B2442D" w:rsidRDefault="00B2442D">
      <w:pPr>
        <w:jc w:val="both"/>
        <w:rPr>
          <w:rFonts w:ascii="Arial" w:hAnsi="Arial" w:cs="Arial"/>
        </w:rPr>
      </w:pPr>
    </w:p>
    <w:p w14:paraId="64CCF426" w14:textId="77777777" w:rsidR="00B2442D" w:rsidRDefault="008A645F">
      <w:pPr>
        <w:jc w:val="both"/>
        <w:rPr>
          <w:rFonts w:ascii="Arial" w:hAnsi="Arial" w:cs="Arial"/>
        </w:rPr>
      </w:pPr>
      <w:r>
        <w:rPr>
          <w:rFonts w:ascii="Arial" w:hAnsi="Arial" w:cs="Arial"/>
        </w:rPr>
        <w:t>De igual manera ninguno de dichos productos podrá ser retirado de fábrica o planta, del puerto, aeropuerto o de la Aduana Nac</w:t>
      </w:r>
      <w:r>
        <w:rPr>
          <w:rFonts w:ascii="Arial" w:hAnsi="Arial" w:cs="Arial"/>
        </w:rPr>
        <w:t>ional mientras no cuente con la respectiva tornaguía expedida por la autoridad competente.</w:t>
      </w:r>
    </w:p>
    <w:p w14:paraId="25BF47B3" w14:textId="77777777" w:rsidR="00B2442D" w:rsidRDefault="00B2442D">
      <w:pPr>
        <w:jc w:val="both"/>
        <w:rPr>
          <w:rFonts w:ascii="Arial" w:hAnsi="Arial" w:cs="Arial"/>
        </w:rPr>
      </w:pPr>
    </w:p>
    <w:p w14:paraId="362E551A" w14:textId="77777777" w:rsidR="00B2442D" w:rsidRDefault="008A645F">
      <w:pPr>
        <w:jc w:val="both"/>
        <w:rPr>
          <w:rFonts w:ascii="Arial" w:hAnsi="Arial" w:cs="Arial"/>
        </w:rPr>
      </w:pPr>
      <w:r>
        <w:rPr>
          <w:rFonts w:ascii="Arial" w:hAnsi="Arial" w:cs="Arial"/>
        </w:rPr>
        <w:t>Los departamentos y el Distrito Capital podrán establecer en forma obligatoria el diligenciamiento de tornaguías para autorizar la movilización de los productos men</w:t>
      </w:r>
      <w:r>
        <w:rPr>
          <w:rFonts w:ascii="Arial" w:hAnsi="Arial" w:cs="Arial"/>
        </w:rPr>
        <w:t>cionados dentro de sus jurisdicciones.</w:t>
      </w:r>
    </w:p>
    <w:p w14:paraId="2A838D54" w14:textId="77777777" w:rsidR="00B2442D" w:rsidRDefault="00B2442D">
      <w:pPr>
        <w:jc w:val="both"/>
        <w:rPr>
          <w:rFonts w:ascii="Arial" w:hAnsi="Arial" w:cs="Arial"/>
          <w:i/>
        </w:rPr>
      </w:pPr>
    </w:p>
    <w:p w14:paraId="13D1A2EA" w14:textId="77777777" w:rsidR="00B2442D" w:rsidRDefault="008A645F">
      <w:pPr>
        <w:jc w:val="both"/>
        <w:rPr>
          <w:rFonts w:ascii="Arial" w:hAnsi="Arial" w:cs="Arial"/>
          <w:i/>
        </w:rPr>
      </w:pPr>
      <w:r>
        <w:rPr>
          <w:rFonts w:ascii="Arial" w:hAnsi="Arial" w:cs="Arial"/>
          <w:i/>
        </w:rPr>
        <w:t>(Art. 2, Decreto 3071 de 1997)</w:t>
      </w:r>
    </w:p>
    <w:p w14:paraId="6C63A4DA" w14:textId="77777777" w:rsidR="00B2442D" w:rsidRDefault="00B2442D">
      <w:pPr>
        <w:jc w:val="both"/>
        <w:rPr>
          <w:rFonts w:ascii="Arial" w:hAnsi="Arial" w:cs="Arial"/>
        </w:rPr>
      </w:pPr>
    </w:p>
    <w:p w14:paraId="45B821BA" w14:textId="77777777" w:rsidR="00B2442D" w:rsidRDefault="008A645F">
      <w:pPr>
        <w:numPr>
          <w:ilvl w:val="0"/>
          <w:numId w:val="186"/>
        </w:numPr>
        <w:ind w:left="0" w:firstLine="0"/>
        <w:contextualSpacing/>
        <w:jc w:val="both"/>
        <w:rPr>
          <w:rFonts w:ascii="Arial" w:hAnsi="Arial" w:cs="Arial"/>
        </w:rPr>
      </w:pPr>
      <w:r>
        <w:rPr>
          <w:rFonts w:ascii="Arial" w:hAnsi="Arial" w:cs="Arial"/>
          <w:b/>
          <w:i/>
        </w:rPr>
        <w:t>Tornaguía.</w:t>
      </w:r>
      <w:r>
        <w:rPr>
          <w:rFonts w:ascii="Arial" w:hAnsi="Arial" w:cs="Arial"/>
        </w:rPr>
        <w:t xml:space="preserve"> Llámese tornaguía al certificado único nacional expedido por las autoridades departamentales y del Distrito Capital a través del cual se autoriza y controla la entrada, sali</w:t>
      </w:r>
      <w:r>
        <w:rPr>
          <w:rFonts w:ascii="Arial" w:hAnsi="Arial" w:cs="Arial"/>
        </w:rPr>
        <w:t>da y movilización de productos gravados con impuestos al consumo, o que sean objeto del monopolio rentístico de licores, entre entidades territoriales que sean sujetos activos de tales impuestos, o dentro de las mismas, cuando sea del caso.</w:t>
      </w:r>
    </w:p>
    <w:p w14:paraId="43F2B104" w14:textId="77777777" w:rsidR="00B2442D" w:rsidRDefault="00B2442D">
      <w:pPr>
        <w:jc w:val="both"/>
        <w:rPr>
          <w:rFonts w:ascii="Arial" w:hAnsi="Arial" w:cs="Arial"/>
          <w:i/>
        </w:rPr>
      </w:pPr>
    </w:p>
    <w:p w14:paraId="507DB521" w14:textId="77777777" w:rsidR="00B2442D" w:rsidRDefault="008A645F">
      <w:pPr>
        <w:jc w:val="both"/>
        <w:rPr>
          <w:rFonts w:ascii="Arial" w:hAnsi="Arial" w:cs="Arial"/>
          <w:i/>
        </w:rPr>
      </w:pPr>
      <w:r>
        <w:rPr>
          <w:rFonts w:ascii="Arial" w:hAnsi="Arial" w:cs="Arial"/>
          <w:i/>
        </w:rPr>
        <w:t>(Art. 3, Decre</w:t>
      </w:r>
      <w:r>
        <w:rPr>
          <w:rFonts w:ascii="Arial" w:hAnsi="Arial" w:cs="Arial"/>
          <w:i/>
        </w:rPr>
        <w:t>to 3071 de 1997)</w:t>
      </w:r>
    </w:p>
    <w:p w14:paraId="019A8231" w14:textId="77777777" w:rsidR="00B2442D" w:rsidRDefault="00B2442D">
      <w:pPr>
        <w:jc w:val="both"/>
        <w:rPr>
          <w:rFonts w:ascii="Arial" w:hAnsi="Arial" w:cs="Arial"/>
        </w:rPr>
      </w:pPr>
    </w:p>
    <w:p w14:paraId="1F81450E" w14:textId="77777777" w:rsidR="00B2442D" w:rsidRDefault="008A645F">
      <w:pPr>
        <w:numPr>
          <w:ilvl w:val="0"/>
          <w:numId w:val="186"/>
        </w:numPr>
        <w:ind w:left="0" w:firstLine="0"/>
        <w:contextualSpacing/>
        <w:jc w:val="both"/>
        <w:rPr>
          <w:rFonts w:ascii="Arial" w:hAnsi="Arial" w:cs="Arial"/>
        </w:rPr>
      </w:pPr>
      <w:r>
        <w:rPr>
          <w:rFonts w:ascii="Arial" w:hAnsi="Arial" w:cs="Arial"/>
          <w:b/>
          <w:i/>
        </w:rPr>
        <w:t>Funcionario competente para expedir o legalizar las tornaguías.</w:t>
      </w:r>
      <w:r>
        <w:rPr>
          <w:rFonts w:ascii="Arial" w:hAnsi="Arial" w:cs="Arial"/>
        </w:rPr>
        <w:t xml:space="preserve"> El funcionario competente para expedir o legalizar las tornaguías en los departamentos y el Distrito Capital será el Jefe de la Unidad de Rentas, dirección, división o secció</w:t>
      </w:r>
      <w:r>
        <w:rPr>
          <w:rFonts w:ascii="Arial" w:hAnsi="Arial" w:cs="Arial"/>
        </w:rPr>
        <w:t>n de impuestos de la respectiva Entidad Territorial, o los funcionarios del nivel profesional o técnico de la misma dependencia a quienes se les asigne dicha función.</w:t>
      </w:r>
    </w:p>
    <w:p w14:paraId="3D42E6DB" w14:textId="77777777" w:rsidR="00B2442D" w:rsidRDefault="00B2442D">
      <w:pPr>
        <w:jc w:val="both"/>
        <w:rPr>
          <w:rFonts w:ascii="Arial" w:hAnsi="Arial" w:cs="Arial"/>
          <w:i/>
        </w:rPr>
      </w:pPr>
    </w:p>
    <w:p w14:paraId="4A9F2A73" w14:textId="77777777" w:rsidR="00B2442D" w:rsidRDefault="008A645F">
      <w:pPr>
        <w:jc w:val="both"/>
        <w:rPr>
          <w:rFonts w:ascii="Arial" w:hAnsi="Arial" w:cs="Arial"/>
          <w:i/>
        </w:rPr>
      </w:pPr>
      <w:r>
        <w:rPr>
          <w:rFonts w:ascii="Arial" w:hAnsi="Arial" w:cs="Arial"/>
          <w:i/>
        </w:rPr>
        <w:t>(Art. 4, Decreto 3071 de 1997)</w:t>
      </w:r>
    </w:p>
    <w:p w14:paraId="572C597D" w14:textId="77777777" w:rsidR="00B2442D" w:rsidRDefault="00B2442D">
      <w:pPr>
        <w:jc w:val="both"/>
        <w:rPr>
          <w:rFonts w:ascii="Arial" w:hAnsi="Arial" w:cs="Arial"/>
        </w:rPr>
      </w:pPr>
    </w:p>
    <w:p w14:paraId="5B71F6D6" w14:textId="77777777" w:rsidR="00B2442D" w:rsidRDefault="008A645F">
      <w:pPr>
        <w:numPr>
          <w:ilvl w:val="0"/>
          <w:numId w:val="186"/>
        </w:numPr>
        <w:ind w:left="0" w:firstLine="0"/>
        <w:contextualSpacing/>
        <w:jc w:val="both"/>
        <w:rPr>
          <w:rFonts w:ascii="Arial" w:hAnsi="Arial" w:cs="Arial"/>
        </w:rPr>
      </w:pPr>
      <w:r>
        <w:rPr>
          <w:rFonts w:ascii="Arial" w:hAnsi="Arial" w:cs="Arial"/>
          <w:b/>
          <w:i/>
        </w:rPr>
        <w:t>Término para iniciar la movilización de las mercancías a</w:t>
      </w:r>
      <w:r>
        <w:rPr>
          <w:rFonts w:ascii="Arial" w:hAnsi="Arial" w:cs="Arial"/>
          <w:b/>
          <w:i/>
        </w:rPr>
        <w:t>mparadas por tornaguías.</w:t>
      </w:r>
      <w:r>
        <w:rPr>
          <w:rFonts w:ascii="Arial" w:hAnsi="Arial" w:cs="Arial"/>
        </w:rPr>
        <w:t xml:space="preserve"> Expedida la tornaguía, los transportadores iniciarán la movilización de los productos, a más tardar, dentro del siguiente día hábil a la fecha de su expedición.</w:t>
      </w:r>
    </w:p>
    <w:p w14:paraId="3E175532" w14:textId="77777777" w:rsidR="00B2442D" w:rsidRDefault="00B2442D">
      <w:pPr>
        <w:jc w:val="both"/>
        <w:rPr>
          <w:rFonts w:ascii="Arial" w:hAnsi="Arial" w:cs="Arial"/>
          <w:i/>
        </w:rPr>
      </w:pPr>
    </w:p>
    <w:p w14:paraId="202C36C2" w14:textId="77777777" w:rsidR="00B2442D" w:rsidRDefault="008A645F">
      <w:pPr>
        <w:jc w:val="both"/>
        <w:rPr>
          <w:rFonts w:ascii="Arial" w:hAnsi="Arial" w:cs="Arial"/>
          <w:i/>
        </w:rPr>
      </w:pPr>
      <w:r>
        <w:rPr>
          <w:rFonts w:ascii="Arial" w:hAnsi="Arial" w:cs="Arial"/>
          <w:i/>
        </w:rPr>
        <w:t>(Art. 5, Decreto 3071 de 1997)</w:t>
      </w:r>
    </w:p>
    <w:p w14:paraId="5B3D70EA" w14:textId="77777777" w:rsidR="00B2442D" w:rsidRDefault="00B2442D">
      <w:pPr>
        <w:jc w:val="both"/>
        <w:rPr>
          <w:rFonts w:ascii="Arial" w:hAnsi="Arial" w:cs="Arial"/>
        </w:rPr>
      </w:pPr>
    </w:p>
    <w:p w14:paraId="5F21A2F0" w14:textId="77777777" w:rsidR="00B2442D" w:rsidRDefault="008A645F">
      <w:pPr>
        <w:numPr>
          <w:ilvl w:val="0"/>
          <w:numId w:val="186"/>
        </w:numPr>
        <w:ind w:left="0" w:firstLine="0"/>
        <w:contextualSpacing/>
        <w:jc w:val="both"/>
        <w:rPr>
          <w:rFonts w:ascii="Arial" w:hAnsi="Arial" w:cs="Arial"/>
        </w:rPr>
      </w:pPr>
      <w:r>
        <w:rPr>
          <w:rFonts w:ascii="Arial" w:hAnsi="Arial" w:cs="Arial"/>
          <w:b/>
          <w:i/>
        </w:rPr>
        <w:t>Contenido de la tornaguía.</w:t>
      </w:r>
      <w:r>
        <w:rPr>
          <w:rFonts w:ascii="Arial" w:hAnsi="Arial" w:cs="Arial"/>
        </w:rPr>
        <w:t xml:space="preserve"> La tornaguía deberá contener la siguiente información:</w:t>
      </w:r>
    </w:p>
    <w:p w14:paraId="2874BA8A" w14:textId="77777777" w:rsidR="00B2442D" w:rsidRDefault="008A645F">
      <w:pPr>
        <w:numPr>
          <w:ilvl w:val="0"/>
          <w:numId w:val="172"/>
        </w:numPr>
        <w:ind w:left="0" w:firstLine="0"/>
        <w:contextualSpacing/>
        <w:jc w:val="both"/>
        <w:rPr>
          <w:rFonts w:ascii="Arial" w:hAnsi="Arial" w:cs="Arial"/>
        </w:rPr>
      </w:pPr>
      <w:r>
        <w:rPr>
          <w:rFonts w:ascii="Arial" w:hAnsi="Arial" w:cs="Arial"/>
        </w:rPr>
        <w:t>Código del Departamento o Distrito Capital de origen de las mercancías.</w:t>
      </w:r>
    </w:p>
    <w:p w14:paraId="21250272" w14:textId="77777777" w:rsidR="00B2442D" w:rsidRDefault="008A645F">
      <w:pPr>
        <w:numPr>
          <w:ilvl w:val="0"/>
          <w:numId w:val="172"/>
        </w:numPr>
        <w:ind w:left="0" w:firstLine="0"/>
        <w:contextualSpacing/>
        <w:jc w:val="both"/>
        <w:rPr>
          <w:rFonts w:ascii="Arial" w:hAnsi="Arial" w:cs="Arial"/>
        </w:rPr>
      </w:pPr>
      <w:r>
        <w:rPr>
          <w:rFonts w:ascii="Arial" w:hAnsi="Arial" w:cs="Arial"/>
        </w:rPr>
        <w:t>Nombre, identificación y firma del funcionario competente para expedir la tornaguía.</w:t>
      </w:r>
    </w:p>
    <w:p w14:paraId="23DB9FBD" w14:textId="77777777" w:rsidR="00B2442D" w:rsidRDefault="008A645F">
      <w:pPr>
        <w:numPr>
          <w:ilvl w:val="0"/>
          <w:numId w:val="172"/>
        </w:numPr>
        <w:ind w:left="0" w:firstLine="0"/>
        <w:contextualSpacing/>
        <w:jc w:val="both"/>
        <w:rPr>
          <w:rFonts w:ascii="Arial" w:hAnsi="Arial" w:cs="Arial"/>
        </w:rPr>
      </w:pPr>
      <w:r>
        <w:rPr>
          <w:rFonts w:ascii="Arial" w:hAnsi="Arial" w:cs="Arial"/>
        </w:rPr>
        <w:t>Clase de tornaguía.</w:t>
      </w:r>
    </w:p>
    <w:p w14:paraId="3B8BE4B6" w14:textId="77777777" w:rsidR="00B2442D" w:rsidRDefault="008A645F">
      <w:pPr>
        <w:numPr>
          <w:ilvl w:val="0"/>
          <w:numId w:val="172"/>
        </w:numPr>
        <w:ind w:left="0" w:firstLine="0"/>
        <w:contextualSpacing/>
        <w:jc w:val="both"/>
        <w:rPr>
          <w:rFonts w:ascii="Arial" w:hAnsi="Arial" w:cs="Arial"/>
        </w:rPr>
      </w:pPr>
      <w:r>
        <w:rPr>
          <w:rFonts w:ascii="Arial" w:hAnsi="Arial" w:cs="Arial"/>
        </w:rPr>
        <w:t xml:space="preserve">Ciudad y fecha de </w:t>
      </w:r>
      <w:r>
        <w:rPr>
          <w:rFonts w:ascii="Arial" w:hAnsi="Arial" w:cs="Arial"/>
        </w:rPr>
        <w:t>expedición.</w:t>
      </w:r>
    </w:p>
    <w:p w14:paraId="00D1E5CD" w14:textId="77777777" w:rsidR="00B2442D" w:rsidRDefault="008A645F">
      <w:pPr>
        <w:numPr>
          <w:ilvl w:val="0"/>
          <w:numId w:val="172"/>
        </w:numPr>
        <w:ind w:left="0" w:firstLine="0"/>
        <w:contextualSpacing/>
        <w:jc w:val="both"/>
        <w:rPr>
          <w:rFonts w:ascii="Arial" w:hAnsi="Arial" w:cs="Arial"/>
        </w:rPr>
      </w:pPr>
      <w:r>
        <w:rPr>
          <w:rFonts w:ascii="Arial" w:hAnsi="Arial" w:cs="Arial"/>
        </w:rPr>
        <w:t>Nombre e identificación del propietario y responsable de las mercancías.</w:t>
      </w:r>
    </w:p>
    <w:p w14:paraId="0F69881F" w14:textId="77777777" w:rsidR="00B2442D" w:rsidRDefault="008A645F">
      <w:pPr>
        <w:numPr>
          <w:ilvl w:val="0"/>
          <w:numId w:val="172"/>
        </w:numPr>
        <w:ind w:left="0" w:firstLine="0"/>
        <w:contextualSpacing/>
        <w:jc w:val="both"/>
        <w:rPr>
          <w:rFonts w:ascii="Arial" w:hAnsi="Arial" w:cs="Arial"/>
        </w:rPr>
      </w:pPr>
      <w:r>
        <w:rPr>
          <w:rFonts w:ascii="Arial" w:hAnsi="Arial" w:cs="Arial"/>
        </w:rPr>
        <w:t>Lugar de destino de las mercancías.</w:t>
      </w:r>
    </w:p>
    <w:p w14:paraId="5E97CBE7" w14:textId="77777777" w:rsidR="00B2442D" w:rsidRDefault="008A645F">
      <w:pPr>
        <w:numPr>
          <w:ilvl w:val="0"/>
          <w:numId w:val="172"/>
        </w:numPr>
        <w:ind w:left="0" w:firstLine="0"/>
        <w:contextualSpacing/>
        <w:jc w:val="both"/>
        <w:rPr>
          <w:rFonts w:ascii="Arial" w:hAnsi="Arial" w:cs="Arial"/>
        </w:rPr>
      </w:pPr>
      <w:r>
        <w:rPr>
          <w:rFonts w:ascii="Arial" w:hAnsi="Arial" w:cs="Arial"/>
        </w:rPr>
        <w:t>Fecha límite de legalización.</w:t>
      </w:r>
    </w:p>
    <w:p w14:paraId="00763C91" w14:textId="77777777" w:rsidR="00B2442D" w:rsidRDefault="00B2442D">
      <w:pPr>
        <w:jc w:val="both"/>
        <w:rPr>
          <w:rFonts w:ascii="Arial" w:hAnsi="Arial" w:cs="Arial"/>
        </w:rPr>
      </w:pPr>
    </w:p>
    <w:p w14:paraId="52FE482A" w14:textId="77777777" w:rsidR="00B2442D" w:rsidRDefault="008A645F">
      <w:pPr>
        <w:jc w:val="both"/>
        <w:rPr>
          <w:rFonts w:ascii="Arial" w:hAnsi="Arial" w:cs="Arial"/>
        </w:rPr>
      </w:pPr>
      <w:r>
        <w:rPr>
          <w:rFonts w:ascii="Arial" w:hAnsi="Arial" w:cs="Arial"/>
        </w:rPr>
        <w:t>La Dirección General de Apoyo Fiscal del Ministerio de Hacienda y Crédito Público, mediante resolución d</w:t>
      </w:r>
      <w:r>
        <w:rPr>
          <w:rFonts w:ascii="Arial" w:hAnsi="Arial" w:cs="Arial"/>
        </w:rPr>
        <w:t>e carácter general, diseñará los modelos de tornaguías así como los modelos de legalización que se utilizarán en todo el territorio nacional.</w:t>
      </w:r>
    </w:p>
    <w:p w14:paraId="002343A9" w14:textId="77777777" w:rsidR="00B2442D" w:rsidRDefault="00B2442D">
      <w:pPr>
        <w:jc w:val="both"/>
        <w:rPr>
          <w:rFonts w:ascii="Arial" w:hAnsi="Arial" w:cs="Arial"/>
        </w:rPr>
      </w:pPr>
    </w:p>
    <w:p w14:paraId="63E76583" w14:textId="77777777" w:rsidR="00B2442D" w:rsidRDefault="008A645F">
      <w:pPr>
        <w:jc w:val="both"/>
        <w:rPr>
          <w:rFonts w:ascii="Arial" w:hAnsi="Arial" w:cs="Arial"/>
        </w:rPr>
      </w:pPr>
      <w:r>
        <w:rPr>
          <w:rFonts w:ascii="Arial" w:hAnsi="Arial" w:cs="Arial"/>
          <w:b/>
        </w:rPr>
        <w:t>Parágrafo.</w:t>
      </w:r>
      <w:r>
        <w:rPr>
          <w:rFonts w:ascii="Arial" w:hAnsi="Arial" w:cs="Arial"/>
        </w:rPr>
        <w:t xml:space="preserve"> Cuando se trate de tornaguías de reenvíos de productos gravados con impuesto al consumo, o que sean ob</w:t>
      </w:r>
      <w:r>
        <w:rPr>
          <w:rFonts w:ascii="Arial" w:hAnsi="Arial" w:cs="Arial"/>
        </w:rPr>
        <w:t>jeto del monopolio rentístico de licores, en las mismas debe relacionarse la declaración o declaraciones que se habían presentado ante la entidad territorial de origen en relación con los productos reenviados</w:t>
      </w:r>
    </w:p>
    <w:p w14:paraId="3F2E387F" w14:textId="77777777" w:rsidR="00B2442D" w:rsidRDefault="00B2442D">
      <w:pPr>
        <w:jc w:val="both"/>
        <w:rPr>
          <w:rFonts w:ascii="Arial" w:hAnsi="Arial" w:cs="Arial"/>
          <w:i/>
        </w:rPr>
      </w:pPr>
    </w:p>
    <w:p w14:paraId="6B3A2332" w14:textId="77777777" w:rsidR="00B2442D" w:rsidRDefault="008A645F">
      <w:pPr>
        <w:jc w:val="both"/>
        <w:rPr>
          <w:rFonts w:ascii="Arial" w:hAnsi="Arial" w:cs="Arial"/>
          <w:i/>
        </w:rPr>
      </w:pPr>
      <w:r>
        <w:rPr>
          <w:rFonts w:ascii="Arial" w:hAnsi="Arial" w:cs="Arial"/>
          <w:i/>
        </w:rPr>
        <w:t>(Art. 6, Decreto 3071 de 1997)</w:t>
      </w:r>
    </w:p>
    <w:p w14:paraId="306524CF" w14:textId="77777777" w:rsidR="00B2442D" w:rsidRDefault="00B2442D">
      <w:pPr>
        <w:jc w:val="both"/>
        <w:rPr>
          <w:rFonts w:ascii="Arial" w:hAnsi="Arial" w:cs="Arial"/>
        </w:rPr>
      </w:pPr>
    </w:p>
    <w:p w14:paraId="3341E58D" w14:textId="77777777" w:rsidR="00B2442D" w:rsidRDefault="008A645F">
      <w:pPr>
        <w:numPr>
          <w:ilvl w:val="0"/>
          <w:numId w:val="186"/>
        </w:numPr>
        <w:ind w:left="0" w:firstLine="0"/>
        <w:contextualSpacing/>
        <w:jc w:val="both"/>
        <w:rPr>
          <w:rFonts w:ascii="Arial" w:hAnsi="Arial" w:cs="Arial"/>
        </w:rPr>
      </w:pPr>
      <w:r>
        <w:rPr>
          <w:rFonts w:ascii="Arial" w:hAnsi="Arial" w:cs="Arial"/>
          <w:b/>
          <w:i/>
        </w:rPr>
        <w:t>Codificación d</w:t>
      </w:r>
      <w:r>
        <w:rPr>
          <w:rFonts w:ascii="Arial" w:hAnsi="Arial" w:cs="Arial"/>
          <w:b/>
          <w:i/>
        </w:rPr>
        <w:t xml:space="preserve">e las tornaguías. </w:t>
      </w:r>
      <w:r>
        <w:rPr>
          <w:rFonts w:ascii="Arial" w:hAnsi="Arial" w:cs="Arial"/>
        </w:rPr>
        <w:t>Los departamentos y el Distrito Capital al expedir las tornaguías deberán utilizar un código que registre la siguiente información:</w:t>
      </w:r>
    </w:p>
    <w:p w14:paraId="02102F96" w14:textId="77777777" w:rsidR="00B2442D" w:rsidRDefault="008A645F">
      <w:pPr>
        <w:jc w:val="both"/>
        <w:rPr>
          <w:rFonts w:ascii="Arial" w:hAnsi="Arial" w:cs="Arial"/>
        </w:rPr>
      </w:pPr>
      <w:r>
        <w:rPr>
          <w:rFonts w:ascii="Arial" w:hAnsi="Arial" w:cs="Arial"/>
        </w:rPr>
        <w:t>1. Nombre del Departamento o Distrito Capital, según el caso.</w:t>
      </w:r>
    </w:p>
    <w:p w14:paraId="41FE4D68" w14:textId="77777777" w:rsidR="00B2442D" w:rsidRDefault="008A645F">
      <w:pPr>
        <w:jc w:val="both"/>
        <w:rPr>
          <w:rFonts w:ascii="Arial" w:hAnsi="Arial" w:cs="Arial"/>
        </w:rPr>
      </w:pPr>
      <w:r>
        <w:rPr>
          <w:rFonts w:ascii="Arial" w:hAnsi="Arial" w:cs="Arial"/>
        </w:rPr>
        <w:t>2. Número consecutivo de seis (6) dígitos po</w:t>
      </w:r>
      <w:r>
        <w:rPr>
          <w:rFonts w:ascii="Arial" w:hAnsi="Arial" w:cs="Arial"/>
        </w:rPr>
        <w:t>r cada clase de tornaguía.</w:t>
      </w:r>
    </w:p>
    <w:p w14:paraId="53EC664D" w14:textId="77777777" w:rsidR="00B2442D" w:rsidRDefault="008A645F">
      <w:pPr>
        <w:jc w:val="both"/>
        <w:rPr>
          <w:rFonts w:ascii="Arial" w:hAnsi="Arial" w:cs="Arial"/>
        </w:rPr>
      </w:pPr>
      <w:r>
        <w:rPr>
          <w:rFonts w:ascii="Arial" w:hAnsi="Arial" w:cs="Arial"/>
        </w:rPr>
        <w:t>Parágrafo. Para los efectos del presente artículo, los departamentos y el Distrito Capital, deberán establecer un consecutivo anual, por tipo de tornaguía, del primero (1º) de enero al treinta y uno (31) de diciembre de cada año,</w:t>
      </w:r>
      <w:r>
        <w:rPr>
          <w:rFonts w:ascii="Arial" w:hAnsi="Arial" w:cs="Arial"/>
        </w:rPr>
        <w:t xml:space="preserve"> cuyos números serán utilizados por el funcionario o funcionarios competentes en la expedición de cada tornaguía.</w:t>
      </w:r>
    </w:p>
    <w:p w14:paraId="2F1D6872" w14:textId="77777777" w:rsidR="00B2442D" w:rsidRDefault="00B2442D">
      <w:pPr>
        <w:jc w:val="both"/>
        <w:rPr>
          <w:rFonts w:ascii="Arial" w:hAnsi="Arial" w:cs="Arial"/>
          <w:i/>
        </w:rPr>
      </w:pPr>
    </w:p>
    <w:p w14:paraId="163CBA67" w14:textId="77777777" w:rsidR="00B2442D" w:rsidRDefault="008A645F">
      <w:pPr>
        <w:jc w:val="both"/>
        <w:rPr>
          <w:rFonts w:ascii="Arial" w:hAnsi="Arial" w:cs="Arial"/>
          <w:i/>
        </w:rPr>
      </w:pPr>
      <w:r>
        <w:rPr>
          <w:rFonts w:ascii="Arial" w:hAnsi="Arial" w:cs="Arial"/>
          <w:i/>
        </w:rPr>
        <w:t>(Art. 7, Decreto 3071 de 1997)</w:t>
      </w:r>
    </w:p>
    <w:p w14:paraId="32C7C4DB" w14:textId="77777777" w:rsidR="00B2442D" w:rsidRDefault="00B2442D">
      <w:pPr>
        <w:jc w:val="both"/>
        <w:rPr>
          <w:rFonts w:ascii="Arial" w:hAnsi="Arial" w:cs="Arial"/>
        </w:rPr>
      </w:pPr>
    </w:p>
    <w:p w14:paraId="34D7CB51" w14:textId="77777777" w:rsidR="00B2442D" w:rsidRDefault="008A645F">
      <w:pPr>
        <w:numPr>
          <w:ilvl w:val="0"/>
          <w:numId w:val="186"/>
        </w:numPr>
        <w:ind w:left="0" w:firstLine="0"/>
        <w:contextualSpacing/>
        <w:jc w:val="both"/>
        <w:rPr>
          <w:rFonts w:ascii="Arial" w:hAnsi="Arial" w:cs="Arial"/>
        </w:rPr>
      </w:pPr>
      <w:r>
        <w:rPr>
          <w:rFonts w:ascii="Arial" w:hAnsi="Arial" w:cs="Arial"/>
          <w:b/>
          <w:i/>
        </w:rPr>
        <w:t>Clases de tornaguías.</w:t>
      </w:r>
      <w:r>
        <w:rPr>
          <w:rFonts w:ascii="Arial" w:hAnsi="Arial" w:cs="Arial"/>
        </w:rPr>
        <w:t xml:space="preserve"> Las tornaguías pueden ser de Movilización, de Reenvíos y de Tránsito.</w:t>
      </w:r>
    </w:p>
    <w:p w14:paraId="559FC063" w14:textId="77777777" w:rsidR="00B2442D" w:rsidRDefault="00B2442D">
      <w:pPr>
        <w:jc w:val="both"/>
        <w:rPr>
          <w:rFonts w:ascii="Arial" w:hAnsi="Arial" w:cs="Arial"/>
        </w:rPr>
      </w:pPr>
    </w:p>
    <w:p w14:paraId="6CA46742" w14:textId="77777777" w:rsidR="00B2442D" w:rsidRDefault="008A645F">
      <w:pPr>
        <w:jc w:val="both"/>
        <w:rPr>
          <w:rFonts w:ascii="Arial" w:hAnsi="Arial" w:cs="Arial"/>
        </w:rPr>
      </w:pPr>
      <w:r>
        <w:rPr>
          <w:rFonts w:ascii="Arial" w:hAnsi="Arial" w:cs="Arial"/>
        </w:rPr>
        <w:t>Las tornaguías d</w:t>
      </w:r>
      <w:r>
        <w:rPr>
          <w:rFonts w:ascii="Arial" w:hAnsi="Arial" w:cs="Arial"/>
        </w:rPr>
        <w:t xml:space="preserve">e Movilización son aquellas a través de las cuales se autoriza el transporte de mercancías gravadas con impuestos al consumo, o que sean objeto del monopolio rentístico de licores, entre entidades territoriales que son sujetos activos de dichos impuestos. </w:t>
      </w:r>
      <w:r>
        <w:rPr>
          <w:rFonts w:ascii="Arial" w:hAnsi="Arial" w:cs="Arial"/>
        </w:rPr>
        <w:t>Estos productos deben estar destinados para consumo en la respectiva Entidad Territorial.</w:t>
      </w:r>
    </w:p>
    <w:p w14:paraId="7A1A523F" w14:textId="77777777" w:rsidR="00B2442D" w:rsidRDefault="00B2442D">
      <w:pPr>
        <w:jc w:val="both"/>
        <w:rPr>
          <w:rFonts w:ascii="Arial" w:hAnsi="Arial" w:cs="Arial"/>
        </w:rPr>
      </w:pPr>
    </w:p>
    <w:p w14:paraId="5ED24414" w14:textId="77777777" w:rsidR="00B2442D" w:rsidRDefault="008A645F">
      <w:pPr>
        <w:jc w:val="both"/>
        <w:rPr>
          <w:rFonts w:ascii="Arial" w:hAnsi="Arial" w:cs="Arial"/>
        </w:rPr>
      </w:pPr>
      <w:r>
        <w:rPr>
          <w:rFonts w:ascii="Arial" w:hAnsi="Arial" w:cs="Arial"/>
        </w:rPr>
        <w:t xml:space="preserve">Las tornaguías de reenvíos son aquellas a través de las cuales se autoriza el transporte de mercancías gravadas con impuestos al consumo, o que sean objeto del </w:t>
      </w:r>
      <w:r>
        <w:rPr>
          <w:rFonts w:ascii="Arial" w:hAnsi="Arial" w:cs="Arial"/>
        </w:rPr>
        <w:t>monopolio rentístico de licores, entre entidades territoriales que son sujetos activos de dichos impuestos, cuando dichas mercancías habían sido declaradas para consumo en la entidad territorial de origen.</w:t>
      </w:r>
    </w:p>
    <w:p w14:paraId="438AA395" w14:textId="77777777" w:rsidR="00B2442D" w:rsidRDefault="00B2442D">
      <w:pPr>
        <w:jc w:val="both"/>
        <w:rPr>
          <w:rFonts w:ascii="Arial" w:hAnsi="Arial" w:cs="Arial"/>
        </w:rPr>
      </w:pPr>
    </w:p>
    <w:p w14:paraId="38B26FAF" w14:textId="77777777" w:rsidR="00B2442D" w:rsidRDefault="008A645F">
      <w:pPr>
        <w:jc w:val="both"/>
        <w:rPr>
          <w:rFonts w:ascii="Arial" w:hAnsi="Arial" w:cs="Arial"/>
        </w:rPr>
      </w:pPr>
      <w:r>
        <w:rPr>
          <w:rFonts w:ascii="Arial" w:hAnsi="Arial" w:cs="Arial"/>
        </w:rPr>
        <w:t xml:space="preserve">Cuando se trate de productos objeto de monopolio </w:t>
      </w:r>
      <w:r>
        <w:rPr>
          <w:rFonts w:ascii="Arial" w:hAnsi="Arial" w:cs="Arial"/>
        </w:rPr>
        <w:t>por parte de la entidad de origen se entiende que las mercancías habían sido declaradas para el consumo cuando de alguna forma hayan sido informadas a las autoridades respectivas para tal fin.</w:t>
      </w:r>
    </w:p>
    <w:p w14:paraId="30735D46" w14:textId="77777777" w:rsidR="00B2442D" w:rsidRDefault="00B2442D">
      <w:pPr>
        <w:jc w:val="both"/>
        <w:rPr>
          <w:rFonts w:ascii="Arial" w:hAnsi="Arial" w:cs="Arial"/>
        </w:rPr>
      </w:pPr>
    </w:p>
    <w:p w14:paraId="54CE11F5" w14:textId="77777777" w:rsidR="00B2442D" w:rsidRDefault="008A645F">
      <w:pPr>
        <w:jc w:val="both"/>
        <w:rPr>
          <w:rFonts w:ascii="Arial" w:hAnsi="Arial" w:cs="Arial"/>
        </w:rPr>
      </w:pPr>
      <w:r>
        <w:rPr>
          <w:rFonts w:ascii="Arial" w:hAnsi="Arial" w:cs="Arial"/>
        </w:rPr>
        <w:t>Las tornaguías de tránsito son aquellas a través de las cuales</w:t>
      </w:r>
      <w:r>
        <w:rPr>
          <w:rFonts w:ascii="Arial" w:hAnsi="Arial" w:cs="Arial"/>
        </w:rPr>
        <w:t xml:space="preserve"> autoriza el transporte de mercancías al interior de la misma entidad territorial, cuando sea del caso, o de mercancías en tránsito hacia otro país, de conformidad con las disposiciones aduaneras pertinentes. Igualmente las tornaguías de tránsito amparan l</w:t>
      </w:r>
      <w:r>
        <w:rPr>
          <w:rFonts w:ascii="Arial" w:hAnsi="Arial" w:cs="Arial"/>
        </w:rPr>
        <w:t>a movilización de mercancías gravadas con impuestos al consumo, o que sean objeto del monopolio rentístico de licores, entre aduanas o entre zonas francas o entre aduanas y zonas francas.</w:t>
      </w:r>
    </w:p>
    <w:p w14:paraId="0093C172" w14:textId="77777777" w:rsidR="00B2442D" w:rsidRDefault="00B2442D">
      <w:pPr>
        <w:jc w:val="both"/>
        <w:rPr>
          <w:rFonts w:ascii="Arial" w:hAnsi="Arial" w:cs="Arial"/>
          <w:i/>
        </w:rPr>
      </w:pPr>
    </w:p>
    <w:p w14:paraId="3F70D2EF" w14:textId="77777777" w:rsidR="00B2442D" w:rsidRDefault="008A645F">
      <w:pPr>
        <w:jc w:val="both"/>
        <w:rPr>
          <w:rFonts w:ascii="Arial" w:hAnsi="Arial" w:cs="Arial"/>
          <w:i/>
        </w:rPr>
      </w:pPr>
      <w:r>
        <w:rPr>
          <w:rFonts w:ascii="Arial" w:hAnsi="Arial" w:cs="Arial"/>
          <w:i/>
        </w:rPr>
        <w:t>(Art. 8, Decreto 3071 de 1997)</w:t>
      </w:r>
    </w:p>
    <w:p w14:paraId="6658EE38" w14:textId="77777777" w:rsidR="00B2442D" w:rsidRDefault="00B2442D">
      <w:pPr>
        <w:jc w:val="both"/>
        <w:rPr>
          <w:rFonts w:ascii="Arial" w:hAnsi="Arial" w:cs="Arial"/>
        </w:rPr>
      </w:pPr>
    </w:p>
    <w:p w14:paraId="7CB7C603" w14:textId="77777777" w:rsidR="00B2442D" w:rsidRDefault="008A645F">
      <w:pPr>
        <w:numPr>
          <w:ilvl w:val="0"/>
          <w:numId w:val="186"/>
        </w:numPr>
        <w:ind w:left="0" w:firstLine="0"/>
        <w:contextualSpacing/>
        <w:jc w:val="both"/>
        <w:rPr>
          <w:rFonts w:ascii="Arial" w:hAnsi="Arial" w:cs="Arial"/>
        </w:rPr>
      </w:pPr>
      <w:r>
        <w:rPr>
          <w:rFonts w:ascii="Arial" w:hAnsi="Arial" w:cs="Arial"/>
          <w:b/>
          <w:i/>
        </w:rPr>
        <w:t>Legalización de las tornaguías.</w:t>
      </w:r>
      <w:r>
        <w:rPr>
          <w:rFonts w:ascii="Arial" w:hAnsi="Arial" w:cs="Arial"/>
        </w:rPr>
        <w:t xml:space="preserve"> Llá</w:t>
      </w:r>
      <w:r>
        <w:rPr>
          <w:rFonts w:ascii="Arial" w:hAnsi="Arial" w:cs="Arial"/>
        </w:rPr>
        <w:t>mese legalización de las tornaguías la actuación del Jefe de Rentas o funcionario competente de la entidad territorial de destino de las mercancías amparadas con tornaguía, a través de la cual dicho funcionario da fe de que tales mercancías han llegado a l</w:t>
      </w:r>
      <w:r>
        <w:rPr>
          <w:rFonts w:ascii="Arial" w:hAnsi="Arial" w:cs="Arial"/>
        </w:rPr>
        <w:t>a entidad territorial propuesta. Para tal efecto el transportador dejará una copia de la factura o relación al funcionario competente para legalizar la tornaguía.</w:t>
      </w:r>
    </w:p>
    <w:p w14:paraId="313461F8" w14:textId="77777777" w:rsidR="00B2442D" w:rsidRDefault="00B2442D">
      <w:pPr>
        <w:jc w:val="both"/>
        <w:rPr>
          <w:rFonts w:ascii="Arial" w:hAnsi="Arial" w:cs="Arial"/>
          <w:i/>
        </w:rPr>
      </w:pPr>
    </w:p>
    <w:p w14:paraId="419F2AC1" w14:textId="77777777" w:rsidR="00B2442D" w:rsidRDefault="008A645F">
      <w:pPr>
        <w:jc w:val="both"/>
        <w:rPr>
          <w:rFonts w:ascii="Arial" w:hAnsi="Arial" w:cs="Arial"/>
          <w:i/>
        </w:rPr>
      </w:pPr>
      <w:r>
        <w:rPr>
          <w:rFonts w:ascii="Arial" w:hAnsi="Arial" w:cs="Arial"/>
          <w:i/>
        </w:rPr>
        <w:t>(Art. 9, Decreto 3071 de 1997)</w:t>
      </w:r>
    </w:p>
    <w:p w14:paraId="123808C8" w14:textId="77777777" w:rsidR="00B2442D" w:rsidRDefault="00B2442D">
      <w:pPr>
        <w:jc w:val="both"/>
        <w:rPr>
          <w:rFonts w:ascii="Arial" w:hAnsi="Arial" w:cs="Arial"/>
        </w:rPr>
      </w:pPr>
    </w:p>
    <w:p w14:paraId="0AB58BE5" w14:textId="77777777" w:rsidR="00B2442D" w:rsidRDefault="008A645F">
      <w:pPr>
        <w:numPr>
          <w:ilvl w:val="0"/>
          <w:numId w:val="186"/>
        </w:numPr>
        <w:ind w:left="0" w:firstLine="0"/>
        <w:contextualSpacing/>
        <w:jc w:val="both"/>
        <w:rPr>
          <w:rFonts w:ascii="Arial" w:hAnsi="Arial" w:cs="Arial"/>
        </w:rPr>
      </w:pPr>
      <w:r>
        <w:rPr>
          <w:rFonts w:ascii="Arial" w:hAnsi="Arial" w:cs="Arial"/>
          <w:b/>
          <w:i/>
        </w:rPr>
        <w:t>Término para la legalización.</w:t>
      </w:r>
      <w:r>
        <w:rPr>
          <w:rFonts w:ascii="Arial" w:hAnsi="Arial" w:cs="Arial"/>
        </w:rPr>
        <w:t xml:space="preserve"> Toda tornaguía deberá ser lega</w:t>
      </w:r>
      <w:r>
        <w:rPr>
          <w:rFonts w:ascii="Arial" w:hAnsi="Arial" w:cs="Arial"/>
        </w:rPr>
        <w:t>lizada dentro de los quince (15) días siguientes a la fecha de su expedición.</w:t>
      </w:r>
    </w:p>
    <w:p w14:paraId="71C47C3F" w14:textId="77777777" w:rsidR="00B2442D" w:rsidRDefault="00B2442D">
      <w:pPr>
        <w:jc w:val="both"/>
        <w:rPr>
          <w:rFonts w:ascii="Arial" w:hAnsi="Arial" w:cs="Arial"/>
        </w:rPr>
      </w:pPr>
    </w:p>
    <w:p w14:paraId="19DF7599" w14:textId="77777777" w:rsidR="00B2442D" w:rsidRDefault="008A645F">
      <w:pPr>
        <w:jc w:val="both"/>
        <w:rPr>
          <w:rFonts w:ascii="Arial" w:hAnsi="Arial" w:cs="Arial"/>
        </w:rPr>
      </w:pPr>
      <w:r>
        <w:rPr>
          <w:rFonts w:ascii="Arial" w:hAnsi="Arial" w:cs="Arial"/>
        </w:rPr>
        <w:t>El funcionario competente para efectuar la legalización devolverá las relaciones o facturas objeto de tornaguía, al Jefe de Rentas o de Impuestos de la entidad territorial de or</w:t>
      </w:r>
      <w:r>
        <w:rPr>
          <w:rFonts w:ascii="Arial" w:hAnsi="Arial" w:cs="Arial"/>
        </w:rPr>
        <w:t>igen de las mercancías, dentro de los tres (3) días siguientes a la fecha de la legalización.</w:t>
      </w:r>
    </w:p>
    <w:p w14:paraId="2CAF3A09" w14:textId="77777777" w:rsidR="00B2442D" w:rsidRDefault="00B2442D">
      <w:pPr>
        <w:jc w:val="both"/>
        <w:rPr>
          <w:rFonts w:ascii="Arial" w:hAnsi="Arial" w:cs="Arial"/>
        </w:rPr>
      </w:pPr>
    </w:p>
    <w:p w14:paraId="595241BC" w14:textId="77777777" w:rsidR="00B2442D" w:rsidRDefault="008A645F">
      <w:pPr>
        <w:jc w:val="both"/>
        <w:rPr>
          <w:rFonts w:ascii="Arial" w:hAnsi="Arial" w:cs="Arial"/>
        </w:rPr>
      </w:pPr>
      <w:r>
        <w:rPr>
          <w:rFonts w:ascii="Arial" w:hAnsi="Arial" w:cs="Arial"/>
        </w:rPr>
        <w:t>El envío a que se refiere el presente artículo podrá ser realizado por correo certificado, por fax o por cualquier medio ágil generalmente aceptado.</w:t>
      </w:r>
    </w:p>
    <w:p w14:paraId="43B0BAAA" w14:textId="77777777" w:rsidR="00B2442D" w:rsidRDefault="00B2442D">
      <w:pPr>
        <w:jc w:val="both"/>
        <w:rPr>
          <w:rFonts w:ascii="Arial" w:hAnsi="Arial" w:cs="Arial"/>
        </w:rPr>
      </w:pPr>
    </w:p>
    <w:p w14:paraId="6DF5DEC7" w14:textId="77777777" w:rsidR="00B2442D" w:rsidRDefault="008A645F">
      <w:pPr>
        <w:jc w:val="both"/>
        <w:rPr>
          <w:rFonts w:ascii="Arial" w:hAnsi="Arial" w:cs="Arial"/>
        </w:rPr>
      </w:pPr>
      <w:r>
        <w:rPr>
          <w:rFonts w:ascii="Arial" w:hAnsi="Arial" w:cs="Arial"/>
        </w:rPr>
        <w:t xml:space="preserve">Parágrafo. </w:t>
      </w:r>
      <w:r>
        <w:rPr>
          <w:rFonts w:ascii="Arial" w:hAnsi="Arial" w:cs="Arial"/>
        </w:rPr>
        <w:t>Cuando se trate de tornaguías de tránsito el término máximo para la legalización será de diez (10) días.</w:t>
      </w:r>
    </w:p>
    <w:p w14:paraId="0C705C07" w14:textId="77777777" w:rsidR="00B2442D" w:rsidRDefault="00B2442D">
      <w:pPr>
        <w:jc w:val="both"/>
        <w:rPr>
          <w:rFonts w:ascii="Arial" w:hAnsi="Arial" w:cs="Arial"/>
          <w:i/>
        </w:rPr>
      </w:pPr>
    </w:p>
    <w:p w14:paraId="4D872307" w14:textId="77777777" w:rsidR="00B2442D" w:rsidRDefault="008A645F">
      <w:pPr>
        <w:jc w:val="both"/>
        <w:rPr>
          <w:rFonts w:ascii="Arial" w:hAnsi="Arial" w:cs="Arial"/>
          <w:i/>
        </w:rPr>
      </w:pPr>
      <w:r>
        <w:rPr>
          <w:rFonts w:ascii="Arial" w:hAnsi="Arial" w:cs="Arial"/>
          <w:i/>
        </w:rPr>
        <w:t>(Art. 10, Decreto 3071 de 1997)</w:t>
      </w:r>
    </w:p>
    <w:p w14:paraId="54579D02" w14:textId="77777777" w:rsidR="00B2442D" w:rsidRDefault="00B2442D">
      <w:pPr>
        <w:jc w:val="both"/>
        <w:rPr>
          <w:rFonts w:ascii="Arial" w:hAnsi="Arial" w:cs="Arial"/>
        </w:rPr>
      </w:pPr>
    </w:p>
    <w:p w14:paraId="402F2AEC" w14:textId="77777777" w:rsidR="00B2442D" w:rsidRDefault="008A645F">
      <w:pPr>
        <w:numPr>
          <w:ilvl w:val="0"/>
          <w:numId w:val="186"/>
        </w:numPr>
        <w:ind w:left="0" w:firstLine="0"/>
        <w:contextualSpacing/>
        <w:jc w:val="both"/>
        <w:rPr>
          <w:rFonts w:ascii="Arial" w:hAnsi="Arial" w:cs="Arial"/>
        </w:rPr>
      </w:pPr>
      <w:r>
        <w:rPr>
          <w:rFonts w:ascii="Arial" w:hAnsi="Arial" w:cs="Arial"/>
          <w:b/>
          <w:i/>
        </w:rPr>
        <w:t>Contenido del acto de legalización.</w:t>
      </w:r>
      <w:r>
        <w:rPr>
          <w:rFonts w:ascii="Arial" w:hAnsi="Arial" w:cs="Arial"/>
        </w:rPr>
        <w:t xml:space="preserve"> El acto de legalización de la tornaguía deberá contener la siguiente información:</w:t>
      </w:r>
    </w:p>
    <w:p w14:paraId="6C8E675D" w14:textId="77777777" w:rsidR="00B2442D" w:rsidRDefault="00B2442D">
      <w:pPr>
        <w:jc w:val="both"/>
        <w:rPr>
          <w:rFonts w:ascii="Arial" w:hAnsi="Arial" w:cs="Arial"/>
        </w:rPr>
      </w:pPr>
    </w:p>
    <w:p w14:paraId="2E204D80" w14:textId="77777777" w:rsidR="00B2442D" w:rsidRDefault="008A645F">
      <w:pPr>
        <w:numPr>
          <w:ilvl w:val="0"/>
          <w:numId w:val="173"/>
        </w:numPr>
        <w:ind w:left="0" w:firstLine="0"/>
        <w:contextualSpacing/>
        <w:jc w:val="both"/>
        <w:rPr>
          <w:rFonts w:ascii="Arial" w:hAnsi="Arial" w:cs="Arial"/>
        </w:rPr>
      </w:pPr>
      <w:r>
        <w:rPr>
          <w:rFonts w:ascii="Arial" w:hAnsi="Arial" w:cs="Arial"/>
        </w:rPr>
        <w:t>Código del Departamento o Distrito Capital de destino de las mercancías</w:t>
      </w:r>
    </w:p>
    <w:p w14:paraId="284A04F0" w14:textId="77777777" w:rsidR="00B2442D" w:rsidRDefault="008A645F">
      <w:pPr>
        <w:numPr>
          <w:ilvl w:val="0"/>
          <w:numId w:val="173"/>
        </w:numPr>
        <w:ind w:left="0" w:firstLine="0"/>
        <w:contextualSpacing/>
        <w:jc w:val="both"/>
        <w:rPr>
          <w:rFonts w:ascii="Arial" w:hAnsi="Arial" w:cs="Arial"/>
        </w:rPr>
      </w:pPr>
      <w:r>
        <w:rPr>
          <w:rFonts w:ascii="Arial" w:hAnsi="Arial" w:cs="Arial"/>
        </w:rPr>
        <w:t>Nombre, identificación y firma del funcionario competente</w:t>
      </w:r>
    </w:p>
    <w:p w14:paraId="3AAC3212" w14:textId="77777777" w:rsidR="00B2442D" w:rsidRDefault="008A645F">
      <w:pPr>
        <w:numPr>
          <w:ilvl w:val="0"/>
          <w:numId w:val="173"/>
        </w:numPr>
        <w:ind w:left="0" w:firstLine="0"/>
        <w:contextualSpacing/>
        <w:jc w:val="both"/>
        <w:rPr>
          <w:rFonts w:ascii="Arial" w:hAnsi="Arial" w:cs="Arial"/>
        </w:rPr>
      </w:pPr>
      <w:r>
        <w:rPr>
          <w:rFonts w:ascii="Arial" w:hAnsi="Arial" w:cs="Arial"/>
        </w:rPr>
        <w:t>Clase de tornaguía</w:t>
      </w:r>
    </w:p>
    <w:p w14:paraId="7B09AFEE" w14:textId="77777777" w:rsidR="00B2442D" w:rsidRDefault="008A645F">
      <w:pPr>
        <w:numPr>
          <w:ilvl w:val="0"/>
          <w:numId w:val="173"/>
        </w:numPr>
        <w:ind w:left="0" w:firstLine="0"/>
        <w:contextualSpacing/>
        <w:jc w:val="both"/>
        <w:rPr>
          <w:rFonts w:ascii="Arial" w:hAnsi="Arial" w:cs="Arial"/>
        </w:rPr>
      </w:pPr>
      <w:r>
        <w:rPr>
          <w:rFonts w:ascii="Arial" w:hAnsi="Arial" w:cs="Arial"/>
        </w:rPr>
        <w:t>Ciudad y fecha de legalización</w:t>
      </w:r>
    </w:p>
    <w:p w14:paraId="3DAF4408" w14:textId="77777777" w:rsidR="00B2442D" w:rsidRDefault="008A645F">
      <w:pPr>
        <w:numPr>
          <w:ilvl w:val="0"/>
          <w:numId w:val="173"/>
        </w:numPr>
        <w:ind w:left="0" w:firstLine="0"/>
        <w:contextualSpacing/>
        <w:jc w:val="both"/>
        <w:rPr>
          <w:rFonts w:ascii="Arial" w:hAnsi="Arial" w:cs="Arial"/>
        </w:rPr>
      </w:pPr>
      <w:r>
        <w:rPr>
          <w:rFonts w:ascii="Arial" w:hAnsi="Arial" w:cs="Arial"/>
        </w:rPr>
        <w:t>Número de la tornaguía</w:t>
      </w:r>
    </w:p>
    <w:p w14:paraId="07D1C971" w14:textId="77777777" w:rsidR="00B2442D" w:rsidRDefault="00B2442D">
      <w:pPr>
        <w:jc w:val="both"/>
        <w:rPr>
          <w:rFonts w:ascii="Arial" w:hAnsi="Arial" w:cs="Arial"/>
          <w:i/>
        </w:rPr>
      </w:pPr>
    </w:p>
    <w:p w14:paraId="1629A20F" w14:textId="77777777" w:rsidR="00B2442D" w:rsidRDefault="008A645F">
      <w:pPr>
        <w:jc w:val="both"/>
        <w:rPr>
          <w:rFonts w:ascii="Arial" w:hAnsi="Arial" w:cs="Arial"/>
          <w:i/>
        </w:rPr>
      </w:pPr>
      <w:r>
        <w:rPr>
          <w:rFonts w:ascii="Arial" w:hAnsi="Arial" w:cs="Arial"/>
          <w:i/>
        </w:rPr>
        <w:t>(Art. 11, Decreto 3071 de 1997)</w:t>
      </w:r>
    </w:p>
    <w:p w14:paraId="563AE128" w14:textId="77777777" w:rsidR="00B2442D" w:rsidRDefault="00B2442D">
      <w:pPr>
        <w:jc w:val="both"/>
        <w:rPr>
          <w:rFonts w:ascii="Arial" w:hAnsi="Arial" w:cs="Arial"/>
        </w:rPr>
      </w:pPr>
    </w:p>
    <w:p w14:paraId="2BDC8EDA" w14:textId="77777777" w:rsidR="00B2442D" w:rsidRDefault="008A645F">
      <w:pPr>
        <w:numPr>
          <w:ilvl w:val="0"/>
          <w:numId w:val="186"/>
        </w:numPr>
        <w:ind w:left="0" w:firstLine="0"/>
        <w:contextualSpacing/>
        <w:jc w:val="both"/>
        <w:rPr>
          <w:rFonts w:ascii="Arial" w:hAnsi="Arial" w:cs="Arial"/>
        </w:rPr>
      </w:pPr>
      <w:r>
        <w:rPr>
          <w:rFonts w:ascii="Arial" w:hAnsi="Arial" w:cs="Arial"/>
          <w:b/>
          <w:i/>
        </w:rPr>
        <w:t xml:space="preserve">Codificación del acto de legalización. </w:t>
      </w:r>
      <w:r>
        <w:rPr>
          <w:rFonts w:ascii="Arial" w:hAnsi="Arial" w:cs="Arial"/>
        </w:rPr>
        <w:t>Los departamentos y el Distrito Capital al legalizar las tornaguías deberán utilizar un código que registre la siguiente numeración:</w:t>
      </w:r>
    </w:p>
    <w:p w14:paraId="47611A6F" w14:textId="77777777" w:rsidR="00B2442D" w:rsidRDefault="00B2442D">
      <w:pPr>
        <w:jc w:val="both"/>
        <w:rPr>
          <w:rFonts w:ascii="Arial" w:hAnsi="Arial" w:cs="Arial"/>
        </w:rPr>
      </w:pPr>
    </w:p>
    <w:p w14:paraId="733FFAF9" w14:textId="77777777" w:rsidR="00B2442D" w:rsidRDefault="008A645F">
      <w:pPr>
        <w:jc w:val="both"/>
        <w:rPr>
          <w:rFonts w:ascii="Arial" w:hAnsi="Arial" w:cs="Arial"/>
        </w:rPr>
      </w:pPr>
      <w:r>
        <w:rPr>
          <w:rFonts w:ascii="Arial" w:hAnsi="Arial" w:cs="Arial"/>
        </w:rPr>
        <w:t xml:space="preserve">1. Código del departamento o Distrito Capital, de conformidad con lo </w:t>
      </w:r>
      <w:r>
        <w:rPr>
          <w:rFonts w:ascii="Arial" w:hAnsi="Arial" w:cs="Arial"/>
        </w:rPr>
        <w:t>establecido en el artículo 2.2.1.3.7 del presente Decreto.</w:t>
      </w:r>
    </w:p>
    <w:p w14:paraId="788C1CD0" w14:textId="77777777" w:rsidR="00B2442D" w:rsidRDefault="008A645F">
      <w:pPr>
        <w:jc w:val="both"/>
        <w:rPr>
          <w:rFonts w:ascii="Arial" w:hAnsi="Arial" w:cs="Arial"/>
        </w:rPr>
      </w:pPr>
      <w:r>
        <w:rPr>
          <w:rFonts w:ascii="Arial" w:hAnsi="Arial" w:cs="Arial"/>
        </w:rPr>
        <w:t>2. Número consecutivo de legalización de la tornaguía de seis (6) dígitos.</w:t>
      </w:r>
    </w:p>
    <w:p w14:paraId="323A493B" w14:textId="77777777" w:rsidR="00B2442D" w:rsidRDefault="00B2442D">
      <w:pPr>
        <w:jc w:val="both"/>
        <w:rPr>
          <w:rFonts w:ascii="Arial" w:hAnsi="Arial" w:cs="Arial"/>
        </w:rPr>
      </w:pPr>
    </w:p>
    <w:p w14:paraId="0118250B"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los efectos del presente artículo los departamentos y el Distrito Capital deberán establecer un consecuti</w:t>
      </w:r>
      <w:r>
        <w:rPr>
          <w:rFonts w:ascii="Arial" w:hAnsi="Arial" w:cs="Arial"/>
        </w:rPr>
        <w:t>vo anual, del primero (1) de enero al treinta y uno (31) de diciembre de cada año, cuyos números serán utilizados por los funcionarios competentes para la legalización de cada tornaguía.</w:t>
      </w:r>
    </w:p>
    <w:p w14:paraId="1651CAD9" w14:textId="77777777" w:rsidR="00B2442D" w:rsidRDefault="00B2442D">
      <w:pPr>
        <w:jc w:val="both"/>
        <w:rPr>
          <w:rFonts w:ascii="Arial" w:hAnsi="Arial" w:cs="Arial"/>
          <w:i/>
        </w:rPr>
      </w:pPr>
    </w:p>
    <w:p w14:paraId="5ADFB4FB" w14:textId="77777777" w:rsidR="00B2442D" w:rsidRDefault="008A645F">
      <w:pPr>
        <w:jc w:val="both"/>
        <w:rPr>
          <w:rFonts w:ascii="Arial" w:hAnsi="Arial" w:cs="Arial"/>
          <w:i/>
        </w:rPr>
      </w:pPr>
      <w:r>
        <w:rPr>
          <w:rFonts w:ascii="Arial" w:hAnsi="Arial" w:cs="Arial"/>
          <w:i/>
        </w:rPr>
        <w:t>(Art. 12, Decreto 3071 de 1997)</w:t>
      </w:r>
    </w:p>
    <w:p w14:paraId="532EF7D5" w14:textId="77777777" w:rsidR="00B2442D" w:rsidRDefault="00B2442D">
      <w:pPr>
        <w:jc w:val="both"/>
        <w:rPr>
          <w:rFonts w:ascii="Arial" w:hAnsi="Arial" w:cs="Arial"/>
        </w:rPr>
      </w:pPr>
    </w:p>
    <w:p w14:paraId="4BE68516" w14:textId="77777777" w:rsidR="00B2442D" w:rsidRDefault="008A645F">
      <w:pPr>
        <w:numPr>
          <w:ilvl w:val="0"/>
          <w:numId w:val="186"/>
        </w:numPr>
        <w:ind w:left="0" w:firstLine="0"/>
        <w:contextualSpacing/>
        <w:jc w:val="both"/>
        <w:rPr>
          <w:rFonts w:ascii="Arial" w:hAnsi="Arial" w:cs="Arial"/>
        </w:rPr>
      </w:pPr>
      <w:r>
        <w:rPr>
          <w:rFonts w:ascii="Arial" w:hAnsi="Arial" w:cs="Arial"/>
          <w:b/>
          <w:i/>
        </w:rPr>
        <w:t>Forma física de la tornaguía y su l</w:t>
      </w:r>
      <w:r>
        <w:rPr>
          <w:rFonts w:ascii="Arial" w:hAnsi="Arial" w:cs="Arial"/>
          <w:b/>
          <w:i/>
        </w:rPr>
        <w:t>egalización.</w:t>
      </w:r>
      <w:r>
        <w:rPr>
          <w:rFonts w:ascii="Arial" w:hAnsi="Arial" w:cs="Arial"/>
        </w:rPr>
        <w:t xml:space="preserve"> La tornaguía y el acto de legalización de la misma consistirán, físicamente, en un autoadhesivo o rótulo elaborado en papel de seguridad que se adherirá a la factura o relación de productos gravados.</w:t>
      </w:r>
    </w:p>
    <w:p w14:paraId="658C8D9C" w14:textId="77777777" w:rsidR="00B2442D" w:rsidRDefault="00B2442D">
      <w:pPr>
        <w:jc w:val="both"/>
        <w:rPr>
          <w:rFonts w:ascii="Arial" w:hAnsi="Arial" w:cs="Arial"/>
        </w:rPr>
      </w:pPr>
    </w:p>
    <w:p w14:paraId="5C2173BC" w14:textId="77777777" w:rsidR="00B2442D" w:rsidRDefault="008A645F">
      <w:pPr>
        <w:jc w:val="both"/>
        <w:rPr>
          <w:rFonts w:ascii="Arial" w:hAnsi="Arial" w:cs="Arial"/>
        </w:rPr>
      </w:pPr>
      <w:r>
        <w:rPr>
          <w:rFonts w:ascii="Arial" w:hAnsi="Arial" w:cs="Arial"/>
        </w:rPr>
        <w:t>Los departamentos y el Distrito Capital po</w:t>
      </w:r>
      <w:r>
        <w:rPr>
          <w:rFonts w:ascii="Arial" w:hAnsi="Arial" w:cs="Arial"/>
        </w:rPr>
        <w:t>drán convenir la producción, distribución o imposición de los autoadhesivos o rótulos con entidades públicas o privadas.</w:t>
      </w:r>
    </w:p>
    <w:p w14:paraId="0A61D9E1" w14:textId="77777777" w:rsidR="00B2442D" w:rsidRDefault="00B2442D">
      <w:pPr>
        <w:jc w:val="both"/>
        <w:rPr>
          <w:rFonts w:ascii="Arial" w:hAnsi="Arial" w:cs="Arial"/>
        </w:rPr>
      </w:pPr>
    </w:p>
    <w:p w14:paraId="66F03366" w14:textId="77777777" w:rsidR="00B2442D" w:rsidRDefault="008A645F">
      <w:pPr>
        <w:jc w:val="both"/>
        <w:rPr>
          <w:rFonts w:ascii="Arial" w:hAnsi="Arial" w:cs="Arial"/>
        </w:rPr>
      </w:pPr>
      <w:r>
        <w:rPr>
          <w:rFonts w:ascii="Arial" w:hAnsi="Arial" w:cs="Arial"/>
        </w:rPr>
        <w:t>Parágrafo. Cuando se convenga la imposición de autoadhesivos o rótulos a que se refiere el presente artículo, no será necesario que en</w:t>
      </w:r>
      <w:r>
        <w:rPr>
          <w:rFonts w:ascii="Arial" w:hAnsi="Arial" w:cs="Arial"/>
        </w:rPr>
        <w:t xml:space="preserve"> la tornaguía o legalización de la misma aparezca el nombre, identificación y firma del funcionario competente. En este caso aparecerá en su lugar el nombre, identificación y firma del empleado autorizado por la entidad pública o privada respectiva</w:t>
      </w:r>
    </w:p>
    <w:p w14:paraId="27F0C5C5" w14:textId="77777777" w:rsidR="00B2442D" w:rsidRDefault="00B2442D">
      <w:pPr>
        <w:jc w:val="both"/>
        <w:rPr>
          <w:rFonts w:ascii="Arial" w:hAnsi="Arial" w:cs="Arial"/>
          <w:i/>
        </w:rPr>
      </w:pPr>
    </w:p>
    <w:p w14:paraId="5ADFD7C1" w14:textId="77777777" w:rsidR="00B2442D" w:rsidRDefault="008A645F">
      <w:pPr>
        <w:jc w:val="both"/>
        <w:rPr>
          <w:rFonts w:ascii="Arial" w:hAnsi="Arial" w:cs="Arial"/>
          <w:i/>
        </w:rPr>
      </w:pPr>
      <w:r>
        <w:rPr>
          <w:rFonts w:ascii="Arial" w:hAnsi="Arial" w:cs="Arial"/>
          <w:i/>
        </w:rPr>
        <w:t xml:space="preserve">(Art. </w:t>
      </w:r>
      <w:r>
        <w:rPr>
          <w:rFonts w:ascii="Arial" w:hAnsi="Arial" w:cs="Arial"/>
          <w:i/>
        </w:rPr>
        <w:t>13, Decreto 3071 de 1997)</w:t>
      </w:r>
    </w:p>
    <w:p w14:paraId="5864E200" w14:textId="77777777" w:rsidR="00B2442D" w:rsidRDefault="00B2442D">
      <w:pPr>
        <w:jc w:val="both"/>
        <w:rPr>
          <w:rFonts w:ascii="Arial" w:hAnsi="Arial" w:cs="Arial"/>
        </w:rPr>
      </w:pPr>
    </w:p>
    <w:p w14:paraId="313F0081" w14:textId="77777777" w:rsidR="00B2442D" w:rsidRDefault="008A645F">
      <w:pPr>
        <w:numPr>
          <w:ilvl w:val="0"/>
          <w:numId w:val="186"/>
        </w:numPr>
        <w:ind w:left="0" w:firstLine="0"/>
        <w:contextualSpacing/>
        <w:jc w:val="both"/>
        <w:rPr>
          <w:rFonts w:ascii="Arial" w:hAnsi="Arial" w:cs="Arial"/>
        </w:rPr>
      </w:pPr>
      <w:r>
        <w:rPr>
          <w:rFonts w:ascii="Arial" w:hAnsi="Arial" w:cs="Arial"/>
          <w:b/>
          <w:i/>
        </w:rPr>
        <w:t xml:space="preserve">Documentos sobre los cuales se pueden autorizar tornaguías. </w:t>
      </w:r>
      <w:r>
        <w:rPr>
          <w:rFonts w:ascii="Arial" w:hAnsi="Arial" w:cs="Arial"/>
        </w:rPr>
        <w:t xml:space="preserve">Los funcionarios competentes de los departamentos y del Distrito Capital podrán autorizar tornaguías sobre las facturas que amparen el despacho de las </w:t>
      </w:r>
      <w:r>
        <w:rPr>
          <w:rFonts w:ascii="Arial" w:hAnsi="Arial" w:cs="Arial"/>
        </w:rPr>
        <w:t>mercancías o sobre las relaciones de productos en tránsito hacia otro país y de aquellos que deban ser transportados hacia las bodegas o entre bodegas del productor o importador.</w:t>
      </w:r>
    </w:p>
    <w:p w14:paraId="59031AEC" w14:textId="77777777" w:rsidR="00B2442D" w:rsidRDefault="00B2442D">
      <w:pPr>
        <w:jc w:val="both"/>
        <w:rPr>
          <w:rFonts w:ascii="Arial" w:hAnsi="Arial" w:cs="Arial"/>
          <w:i/>
        </w:rPr>
      </w:pPr>
    </w:p>
    <w:p w14:paraId="672CA334" w14:textId="77777777" w:rsidR="00B2442D" w:rsidRDefault="008A645F">
      <w:pPr>
        <w:jc w:val="both"/>
        <w:rPr>
          <w:rFonts w:ascii="Arial" w:hAnsi="Arial" w:cs="Arial"/>
          <w:i/>
        </w:rPr>
      </w:pPr>
      <w:r>
        <w:rPr>
          <w:rFonts w:ascii="Arial" w:hAnsi="Arial" w:cs="Arial"/>
          <w:i/>
        </w:rPr>
        <w:t>(Art. 14, Decreto 3071 de 1997)</w:t>
      </w:r>
    </w:p>
    <w:p w14:paraId="367DE911" w14:textId="77777777" w:rsidR="00B2442D" w:rsidRDefault="00B2442D">
      <w:pPr>
        <w:jc w:val="both"/>
        <w:rPr>
          <w:rFonts w:ascii="Arial" w:hAnsi="Arial" w:cs="Arial"/>
        </w:rPr>
      </w:pPr>
    </w:p>
    <w:p w14:paraId="17630F97" w14:textId="77777777" w:rsidR="00B2442D" w:rsidRDefault="008A645F">
      <w:pPr>
        <w:numPr>
          <w:ilvl w:val="0"/>
          <w:numId w:val="186"/>
        </w:numPr>
        <w:ind w:left="0" w:firstLine="0"/>
        <w:contextualSpacing/>
        <w:jc w:val="both"/>
        <w:rPr>
          <w:rFonts w:ascii="Arial" w:hAnsi="Arial" w:cs="Arial"/>
        </w:rPr>
      </w:pPr>
      <w:r>
        <w:rPr>
          <w:rFonts w:ascii="Arial" w:hAnsi="Arial" w:cs="Arial"/>
          <w:b/>
          <w:i/>
        </w:rPr>
        <w:t>Contenido de las facturas o relaciones de p</w:t>
      </w:r>
      <w:r>
        <w:rPr>
          <w:rFonts w:ascii="Arial" w:hAnsi="Arial" w:cs="Arial"/>
          <w:b/>
          <w:i/>
        </w:rPr>
        <w:t xml:space="preserve">roductos gravados. </w:t>
      </w:r>
      <w:r>
        <w:rPr>
          <w:rFonts w:ascii="Arial" w:hAnsi="Arial" w:cs="Arial"/>
        </w:rPr>
        <w:t xml:space="preserve">Las facturas o relaciones de productos gravados con impuestos al consumo, que sean objeto de tornaguía, además de los requisitos establecidos por el Estatuto Tributario Nacional y sus normas reglamentarias, deberán contener la siguiente </w:t>
      </w:r>
      <w:r>
        <w:rPr>
          <w:rFonts w:ascii="Arial" w:hAnsi="Arial" w:cs="Arial"/>
        </w:rPr>
        <w:t>información:</w:t>
      </w:r>
    </w:p>
    <w:p w14:paraId="4E59C23C" w14:textId="77777777" w:rsidR="00B2442D" w:rsidRDefault="00B2442D">
      <w:pPr>
        <w:jc w:val="both"/>
        <w:rPr>
          <w:rFonts w:ascii="Arial" w:hAnsi="Arial" w:cs="Arial"/>
        </w:rPr>
      </w:pPr>
    </w:p>
    <w:p w14:paraId="647D6258" w14:textId="77777777" w:rsidR="00B2442D" w:rsidRDefault="008A645F">
      <w:pPr>
        <w:jc w:val="both"/>
        <w:rPr>
          <w:rFonts w:ascii="Arial" w:hAnsi="Arial" w:cs="Arial"/>
        </w:rPr>
      </w:pPr>
      <w:r>
        <w:rPr>
          <w:rFonts w:ascii="Arial" w:hAnsi="Arial" w:cs="Arial"/>
        </w:rPr>
        <w:t>a) Departamento o municipio y dirección de la fábrica, planta o bodega desde la cual se hace el despacho de los productos;</w:t>
      </w:r>
    </w:p>
    <w:p w14:paraId="3932AF0C" w14:textId="77777777" w:rsidR="00B2442D" w:rsidRDefault="008A645F">
      <w:pPr>
        <w:jc w:val="both"/>
        <w:rPr>
          <w:rFonts w:ascii="Arial" w:hAnsi="Arial" w:cs="Arial"/>
        </w:rPr>
      </w:pPr>
      <w:r>
        <w:rPr>
          <w:rFonts w:ascii="Arial" w:hAnsi="Arial" w:cs="Arial"/>
        </w:rPr>
        <w:t>b) Nombre, razón social, identificación, dirección, teléfono del destinatario;</w:t>
      </w:r>
    </w:p>
    <w:p w14:paraId="68723A78" w14:textId="77777777" w:rsidR="00B2442D" w:rsidRDefault="008A645F">
      <w:pPr>
        <w:jc w:val="both"/>
        <w:rPr>
          <w:rFonts w:ascii="Arial" w:hAnsi="Arial" w:cs="Arial"/>
        </w:rPr>
      </w:pPr>
      <w:r>
        <w:rPr>
          <w:rFonts w:ascii="Arial" w:hAnsi="Arial" w:cs="Arial"/>
        </w:rPr>
        <w:t>c) Departamento, municipio y dirección d</w:t>
      </w:r>
      <w:r>
        <w:rPr>
          <w:rFonts w:ascii="Arial" w:hAnsi="Arial" w:cs="Arial"/>
        </w:rPr>
        <w:t>e la planta o bodega de destino de los productos;</w:t>
      </w:r>
    </w:p>
    <w:p w14:paraId="013A0901" w14:textId="77777777" w:rsidR="00B2442D" w:rsidRDefault="008A645F">
      <w:pPr>
        <w:jc w:val="both"/>
        <w:rPr>
          <w:rFonts w:ascii="Arial" w:hAnsi="Arial" w:cs="Arial"/>
        </w:rPr>
      </w:pPr>
      <w:r>
        <w:rPr>
          <w:rFonts w:ascii="Arial" w:hAnsi="Arial" w:cs="Arial"/>
        </w:rPr>
        <w:t>d) Descripción específica de las mercancías;</w:t>
      </w:r>
    </w:p>
    <w:p w14:paraId="2A78250F" w14:textId="77777777" w:rsidR="00B2442D" w:rsidRDefault="008A645F">
      <w:pPr>
        <w:jc w:val="both"/>
        <w:rPr>
          <w:rFonts w:ascii="Arial" w:hAnsi="Arial" w:cs="Arial"/>
        </w:rPr>
      </w:pPr>
      <w:r>
        <w:rPr>
          <w:rFonts w:ascii="Arial" w:hAnsi="Arial" w:cs="Arial"/>
        </w:rPr>
        <w:t>e) Medio de transporte;</w:t>
      </w:r>
    </w:p>
    <w:p w14:paraId="5E32850B" w14:textId="77777777" w:rsidR="00B2442D" w:rsidRDefault="008A645F">
      <w:pPr>
        <w:jc w:val="both"/>
        <w:rPr>
          <w:rFonts w:ascii="Arial" w:hAnsi="Arial" w:cs="Arial"/>
        </w:rPr>
      </w:pPr>
      <w:r>
        <w:rPr>
          <w:rFonts w:ascii="Arial" w:hAnsi="Arial" w:cs="Arial"/>
        </w:rPr>
        <w:t>f) Nombre e identificación del transportador;</w:t>
      </w:r>
    </w:p>
    <w:p w14:paraId="5326DF1C" w14:textId="77777777" w:rsidR="00B2442D" w:rsidRDefault="008A645F">
      <w:pPr>
        <w:jc w:val="both"/>
        <w:rPr>
          <w:rFonts w:ascii="Arial" w:hAnsi="Arial" w:cs="Arial"/>
        </w:rPr>
      </w:pPr>
      <w:r>
        <w:rPr>
          <w:rFonts w:ascii="Arial" w:hAnsi="Arial" w:cs="Arial"/>
        </w:rPr>
        <w:t>g) Nombre e identificación de quien solicita la tornaguía;</w:t>
      </w:r>
    </w:p>
    <w:p w14:paraId="154A0ABE" w14:textId="77777777" w:rsidR="00B2442D" w:rsidRDefault="008A645F">
      <w:pPr>
        <w:jc w:val="both"/>
        <w:rPr>
          <w:rFonts w:ascii="Arial" w:hAnsi="Arial" w:cs="Arial"/>
        </w:rPr>
      </w:pPr>
      <w:r>
        <w:rPr>
          <w:rFonts w:ascii="Arial" w:hAnsi="Arial" w:cs="Arial"/>
        </w:rPr>
        <w:t>h) Espacio para la tornaguía;</w:t>
      </w:r>
    </w:p>
    <w:p w14:paraId="548ADF22" w14:textId="77777777" w:rsidR="00B2442D" w:rsidRDefault="008A645F">
      <w:pPr>
        <w:jc w:val="both"/>
        <w:rPr>
          <w:rFonts w:ascii="Arial" w:hAnsi="Arial" w:cs="Arial"/>
        </w:rPr>
      </w:pPr>
      <w:r>
        <w:rPr>
          <w:rFonts w:ascii="Arial" w:hAnsi="Arial" w:cs="Arial"/>
        </w:rPr>
        <w:t>i)</w:t>
      </w:r>
      <w:r>
        <w:rPr>
          <w:rFonts w:ascii="Arial" w:hAnsi="Arial" w:cs="Arial"/>
        </w:rPr>
        <w:t xml:space="preserve"> Espacio para la legalización;</w:t>
      </w:r>
    </w:p>
    <w:p w14:paraId="6E9EF975" w14:textId="77777777" w:rsidR="00B2442D" w:rsidRDefault="00B2442D">
      <w:pPr>
        <w:jc w:val="both"/>
        <w:rPr>
          <w:rFonts w:ascii="Arial" w:hAnsi="Arial" w:cs="Arial"/>
          <w:i/>
        </w:rPr>
      </w:pPr>
    </w:p>
    <w:p w14:paraId="63D50319" w14:textId="77777777" w:rsidR="00B2442D" w:rsidRDefault="008A645F">
      <w:pPr>
        <w:jc w:val="both"/>
        <w:rPr>
          <w:rFonts w:ascii="Arial" w:hAnsi="Arial" w:cs="Arial"/>
          <w:i/>
        </w:rPr>
      </w:pPr>
      <w:r>
        <w:rPr>
          <w:rFonts w:ascii="Arial" w:hAnsi="Arial" w:cs="Arial"/>
          <w:i/>
        </w:rPr>
        <w:t>(Art. 15, Decreto 3071 de 1997)</w:t>
      </w:r>
    </w:p>
    <w:p w14:paraId="7DE4D130" w14:textId="77777777" w:rsidR="00B2442D" w:rsidRDefault="00B2442D">
      <w:pPr>
        <w:jc w:val="both"/>
        <w:rPr>
          <w:rFonts w:ascii="Arial" w:hAnsi="Arial" w:cs="Arial"/>
        </w:rPr>
      </w:pPr>
    </w:p>
    <w:p w14:paraId="4E3A08FC" w14:textId="77777777" w:rsidR="00B2442D" w:rsidRDefault="008A645F">
      <w:pPr>
        <w:numPr>
          <w:ilvl w:val="0"/>
          <w:numId w:val="186"/>
        </w:numPr>
        <w:ind w:left="0" w:firstLine="0"/>
        <w:contextualSpacing/>
        <w:jc w:val="both"/>
        <w:rPr>
          <w:rFonts w:ascii="Arial" w:hAnsi="Arial" w:cs="Arial"/>
        </w:rPr>
      </w:pPr>
      <w:r>
        <w:rPr>
          <w:rFonts w:ascii="Arial" w:hAnsi="Arial" w:cs="Arial"/>
          <w:b/>
          <w:i/>
        </w:rPr>
        <w:t>Apoyo a la función fiscalizadora.</w:t>
      </w:r>
      <w:r>
        <w:rPr>
          <w:rFonts w:ascii="Arial" w:hAnsi="Arial" w:cs="Arial"/>
        </w:rPr>
        <w:t xml:space="preserve"> Cuando los departamentos y el Distrito Capital estén interconectados a través de sistemas automatizados de información, podrá tomarse la información registra</w:t>
      </w:r>
      <w:r>
        <w:rPr>
          <w:rFonts w:ascii="Arial" w:hAnsi="Arial" w:cs="Arial"/>
        </w:rPr>
        <w:t>da por el sistema como fuente de actuaciones administrativas encaminadas a la aprehensión de las mercancías por violaciones a las disposiciones del presente decreto. Lo anterior sin perjuicio de las verificaciones a que haya lugar.</w:t>
      </w:r>
    </w:p>
    <w:p w14:paraId="237790C7" w14:textId="77777777" w:rsidR="00B2442D" w:rsidRDefault="00B2442D">
      <w:pPr>
        <w:jc w:val="both"/>
        <w:rPr>
          <w:rFonts w:ascii="Arial" w:hAnsi="Arial" w:cs="Arial"/>
        </w:rPr>
      </w:pPr>
    </w:p>
    <w:p w14:paraId="3CF9E4FB" w14:textId="77777777" w:rsidR="00B2442D" w:rsidRDefault="008A645F">
      <w:pPr>
        <w:jc w:val="both"/>
        <w:rPr>
          <w:rFonts w:ascii="Arial" w:hAnsi="Arial" w:cs="Arial"/>
        </w:rPr>
      </w:pPr>
      <w:r>
        <w:rPr>
          <w:rFonts w:ascii="Arial" w:hAnsi="Arial" w:cs="Arial"/>
        </w:rPr>
        <w:t>En aplicación del artíc</w:t>
      </w:r>
      <w:r>
        <w:rPr>
          <w:rFonts w:ascii="Arial" w:hAnsi="Arial" w:cs="Arial"/>
        </w:rPr>
        <w:t>ulo 2.2.1.2.15, numerales 1 y 7, del presente Decreto, los funcionarios de las Entidades Territoriales competentes para realizar funciones operativas de control al contrabando podrán aprehender las mercancías transportadas con fundamento en las inconsisten</w:t>
      </w:r>
      <w:r>
        <w:rPr>
          <w:rFonts w:ascii="Arial" w:hAnsi="Arial" w:cs="Arial"/>
        </w:rPr>
        <w:t>cias entre las mercancías transportadas y las mercancías amparadas por las tornaguías reportadas por los sistemas automatizados de información, que afecten las rentas de dichas entidades. El decomiso de las mercancías mencionadas se hará previa verificació</w:t>
      </w:r>
      <w:r>
        <w:rPr>
          <w:rFonts w:ascii="Arial" w:hAnsi="Arial" w:cs="Arial"/>
        </w:rPr>
        <w:t>n de la información reportada a la Entidad de origen al momento de expedición de la tornaguía.</w:t>
      </w:r>
    </w:p>
    <w:p w14:paraId="59D23DFC" w14:textId="77777777" w:rsidR="00B2442D" w:rsidRDefault="00B2442D">
      <w:pPr>
        <w:jc w:val="both"/>
        <w:rPr>
          <w:rFonts w:ascii="Arial" w:hAnsi="Arial" w:cs="Arial"/>
          <w:i/>
        </w:rPr>
      </w:pPr>
    </w:p>
    <w:p w14:paraId="71A0CD5A" w14:textId="77777777" w:rsidR="00B2442D" w:rsidRDefault="008A645F">
      <w:pPr>
        <w:jc w:val="both"/>
        <w:rPr>
          <w:rFonts w:ascii="Arial" w:hAnsi="Arial" w:cs="Arial"/>
          <w:i/>
        </w:rPr>
      </w:pPr>
      <w:r>
        <w:rPr>
          <w:rFonts w:ascii="Arial" w:hAnsi="Arial" w:cs="Arial"/>
          <w:i/>
        </w:rPr>
        <w:t>(Art. 16, Decreto 3071 de 1997)</w:t>
      </w:r>
    </w:p>
    <w:p w14:paraId="40F2E99C" w14:textId="77777777" w:rsidR="00B2442D" w:rsidRDefault="00B2442D">
      <w:pPr>
        <w:jc w:val="both"/>
        <w:rPr>
          <w:rFonts w:ascii="Arial" w:hAnsi="Arial" w:cs="Arial"/>
        </w:rPr>
      </w:pPr>
    </w:p>
    <w:p w14:paraId="41F8DF83" w14:textId="77777777" w:rsidR="00B2442D" w:rsidRDefault="008A645F">
      <w:pPr>
        <w:numPr>
          <w:ilvl w:val="0"/>
          <w:numId w:val="186"/>
        </w:numPr>
        <w:ind w:left="0" w:firstLine="0"/>
        <w:contextualSpacing/>
        <w:jc w:val="both"/>
        <w:rPr>
          <w:rFonts w:ascii="Arial" w:hAnsi="Arial" w:cs="Arial"/>
        </w:rPr>
      </w:pPr>
      <w:r>
        <w:rPr>
          <w:rFonts w:ascii="Arial" w:hAnsi="Arial" w:cs="Arial"/>
          <w:b/>
          <w:i/>
        </w:rPr>
        <w:t>Extemporaneidad en la presentación de la declaración de productos extranjeros ante los departamentos y el Distrito Capital.</w:t>
      </w:r>
      <w:r>
        <w:rPr>
          <w:rFonts w:ascii="Arial" w:hAnsi="Arial" w:cs="Arial"/>
        </w:rPr>
        <w:t xml:space="preserve"> Par</w:t>
      </w:r>
      <w:r>
        <w:rPr>
          <w:rFonts w:ascii="Arial" w:hAnsi="Arial" w:cs="Arial"/>
        </w:rPr>
        <w:t>a los efectos de la aplicación de la sanción de extemporaneidad a que se refiere el artículo 641 del Estatuto Tributario se configura extemporaneidad en la presentación de la declaración de productos extranjeros ante los departamentos y el Distrito Capital</w:t>
      </w:r>
      <w:r>
        <w:rPr>
          <w:rFonts w:ascii="Arial" w:hAnsi="Arial" w:cs="Arial"/>
        </w:rPr>
        <w:t xml:space="preserve"> cuando esta no se presenta en el momento de la introducción para consumo a la respectiva jurisdicción territorial.</w:t>
      </w:r>
    </w:p>
    <w:p w14:paraId="03A37644" w14:textId="77777777" w:rsidR="00B2442D" w:rsidRDefault="00B2442D">
      <w:pPr>
        <w:jc w:val="both"/>
        <w:rPr>
          <w:rFonts w:ascii="Arial" w:hAnsi="Arial" w:cs="Arial"/>
        </w:rPr>
      </w:pPr>
    </w:p>
    <w:p w14:paraId="30FCC1BB" w14:textId="77777777" w:rsidR="00B2442D" w:rsidRDefault="008A645F">
      <w:pPr>
        <w:jc w:val="both"/>
        <w:rPr>
          <w:rFonts w:ascii="Arial" w:hAnsi="Arial" w:cs="Arial"/>
        </w:rPr>
      </w:pPr>
      <w:r>
        <w:rPr>
          <w:rFonts w:ascii="Arial" w:hAnsi="Arial" w:cs="Arial"/>
        </w:rPr>
        <w:t xml:space="preserve">Para los fines del inciso anterior, se entiende como momento de introducción a la respectiva entidad territorial el </w:t>
      </w:r>
      <w:r>
        <w:rPr>
          <w:rFonts w:ascii="Arial" w:hAnsi="Arial" w:cs="Arial"/>
        </w:rPr>
        <w:t>correspondiente a la fecha límite para la legalización de la tornaguía que ampara el ingreso de los productos para consumo a la entidad territorial de destino.</w:t>
      </w:r>
    </w:p>
    <w:p w14:paraId="6BA0F128" w14:textId="77777777" w:rsidR="00B2442D" w:rsidRDefault="00B2442D">
      <w:pPr>
        <w:jc w:val="both"/>
        <w:rPr>
          <w:rFonts w:ascii="Arial" w:hAnsi="Arial" w:cs="Arial"/>
        </w:rPr>
      </w:pPr>
    </w:p>
    <w:p w14:paraId="18507DA6" w14:textId="77777777" w:rsidR="00B2442D" w:rsidRDefault="008A645F">
      <w:pPr>
        <w:jc w:val="both"/>
        <w:rPr>
          <w:rFonts w:ascii="Arial" w:hAnsi="Arial" w:cs="Arial"/>
        </w:rPr>
      </w:pPr>
      <w:r>
        <w:rPr>
          <w:rFonts w:ascii="Arial" w:hAnsi="Arial" w:cs="Arial"/>
        </w:rPr>
        <w:t xml:space="preserve">Cuando las bodegas o sitio de almacenamiento del importador se encuentren ubicadas en la misma </w:t>
      </w:r>
      <w:r>
        <w:rPr>
          <w:rFonts w:ascii="Arial" w:hAnsi="Arial" w:cs="Arial"/>
        </w:rPr>
        <w:t>ciudad del puerto o aeropuerto de nacionalización de la mercancía, el momento de introducción para consumo a la respectiva entidad territorial será la fecha en que se autoriza el levante de las mercancías.</w:t>
      </w:r>
    </w:p>
    <w:p w14:paraId="62F1155B" w14:textId="77777777" w:rsidR="00B2442D" w:rsidRDefault="00B2442D">
      <w:pPr>
        <w:jc w:val="both"/>
        <w:rPr>
          <w:rFonts w:ascii="Arial" w:hAnsi="Arial" w:cs="Arial"/>
        </w:rPr>
      </w:pPr>
    </w:p>
    <w:p w14:paraId="55CD2BE8"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efectos de lo dispuesto en el pre</w:t>
      </w:r>
      <w:r>
        <w:rPr>
          <w:rFonts w:ascii="Arial" w:hAnsi="Arial" w:cs="Arial"/>
        </w:rPr>
        <w:t>sente artículo, no se consideran introducidos para consumo en una determinada entidad territorial los productos que ingresan con destino a las bodegas generales o sitios de almacenamiento del importador o del distribuidor con el fin de ser distribuidos o i</w:t>
      </w:r>
      <w:r>
        <w:rPr>
          <w:rFonts w:ascii="Arial" w:hAnsi="Arial" w:cs="Arial"/>
        </w:rPr>
        <w:t>ntroducidos para consumo en otras jurisdicciones, por lo cual, sobre dichos productos no existe obligación legal de presentar declaración de productos extranjeros ante dicha entidad territorial.</w:t>
      </w:r>
    </w:p>
    <w:p w14:paraId="3B1A5A0B" w14:textId="77777777" w:rsidR="00B2442D" w:rsidRDefault="00B2442D">
      <w:pPr>
        <w:jc w:val="both"/>
        <w:rPr>
          <w:rFonts w:ascii="Arial" w:hAnsi="Arial" w:cs="Arial"/>
          <w:i/>
        </w:rPr>
      </w:pPr>
    </w:p>
    <w:p w14:paraId="7CFD2E03" w14:textId="77777777" w:rsidR="00B2442D" w:rsidRDefault="008A645F">
      <w:pPr>
        <w:jc w:val="both"/>
        <w:rPr>
          <w:rFonts w:ascii="Arial" w:hAnsi="Arial" w:cs="Arial"/>
          <w:i/>
        </w:rPr>
      </w:pPr>
      <w:r>
        <w:rPr>
          <w:rFonts w:ascii="Arial" w:hAnsi="Arial" w:cs="Arial"/>
          <w:i/>
        </w:rPr>
        <w:t>(Art. 19, Decreto 3071 de 1997)</w:t>
      </w:r>
    </w:p>
    <w:p w14:paraId="17DB1703" w14:textId="77777777" w:rsidR="00B2442D" w:rsidRDefault="00B2442D">
      <w:pPr>
        <w:rPr>
          <w:rFonts w:ascii="Arial" w:hAnsi="Arial" w:cs="Arial"/>
        </w:rPr>
      </w:pPr>
    </w:p>
    <w:p w14:paraId="4B0E938C" w14:textId="77777777" w:rsidR="00B2442D" w:rsidRDefault="008A645F">
      <w:pPr>
        <w:numPr>
          <w:ilvl w:val="0"/>
          <w:numId w:val="186"/>
        </w:numPr>
        <w:ind w:left="0" w:firstLine="0"/>
        <w:contextualSpacing/>
        <w:jc w:val="both"/>
        <w:rPr>
          <w:rFonts w:ascii="Arial" w:hAnsi="Arial" w:cs="Arial"/>
        </w:rPr>
      </w:pPr>
      <w:r>
        <w:rPr>
          <w:rFonts w:ascii="Arial" w:hAnsi="Arial" w:cs="Arial"/>
          <w:b/>
          <w:i/>
        </w:rPr>
        <w:t>No giro por reenvíos.</w:t>
      </w:r>
      <w:r>
        <w:rPr>
          <w:rFonts w:ascii="Arial" w:hAnsi="Arial" w:cs="Arial"/>
        </w:rPr>
        <w:t xml:space="preserve"> Cuand</w:t>
      </w:r>
      <w:r>
        <w:rPr>
          <w:rFonts w:ascii="Arial" w:hAnsi="Arial" w:cs="Arial"/>
        </w:rPr>
        <w:t>o una entidad territorial solicite al Fondo Cuenta el giro de recursos con sustento en una declaración y luego se produce el reenvío de los productos o de parte de los mismos a otra entidad territorial, el Fondo Cuenta se abstendrá de girar los recursos co</w:t>
      </w:r>
      <w:r>
        <w:rPr>
          <w:rFonts w:ascii="Arial" w:hAnsi="Arial" w:cs="Arial"/>
        </w:rPr>
        <w:t>rrespondientes al impuesto por los productos reenviados y para tal efecto se amparará en la tornaguía en la cual se ha relacionado la declaración que sirve de sustento a la solicitud.</w:t>
      </w:r>
    </w:p>
    <w:p w14:paraId="093F4A50" w14:textId="77777777" w:rsidR="00B2442D" w:rsidRDefault="00B2442D">
      <w:pPr>
        <w:jc w:val="both"/>
        <w:rPr>
          <w:rFonts w:ascii="Arial" w:hAnsi="Arial" w:cs="Arial"/>
          <w:i/>
        </w:rPr>
      </w:pPr>
    </w:p>
    <w:p w14:paraId="5C129A7B" w14:textId="77777777" w:rsidR="00B2442D" w:rsidRDefault="008A645F">
      <w:pPr>
        <w:jc w:val="both"/>
        <w:rPr>
          <w:rFonts w:ascii="Arial" w:hAnsi="Arial" w:cs="Arial"/>
          <w:i/>
        </w:rPr>
      </w:pPr>
      <w:r>
        <w:rPr>
          <w:rFonts w:ascii="Arial" w:hAnsi="Arial" w:cs="Arial"/>
          <w:i/>
        </w:rPr>
        <w:t>(Art. 21, Decreto 3071 de 1997)</w:t>
      </w:r>
    </w:p>
    <w:p w14:paraId="50BD3C18" w14:textId="77777777" w:rsidR="00B2442D" w:rsidRDefault="00B2442D">
      <w:pPr>
        <w:jc w:val="both"/>
        <w:rPr>
          <w:rFonts w:ascii="Arial" w:hAnsi="Arial" w:cs="Arial"/>
          <w:i/>
        </w:rPr>
      </w:pPr>
    </w:p>
    <w:p w14:paraId="06B755A4" w14:textId="77777777" w:rsidR="00B2442D" w:rsidRDefault="00B2442D">
      <w:pPr>
        <w:rPr>
          <w:rFonts w:ascii="Arial" w:hAnsi="Arial" w:cs="Arial"/>
        </w:rPr>
      </w:pPr>
    </w:p>
    <w:p w14:paraId="425D1DCA" w14:textId="77777777" w:rsidR="00B2442D" w:rsidRDefault="008A645F">
      <w:pPr>
        <w:pStyle w:val="Ttulo4"/>
        <w:rPr>
          <w:lang w:val="es-CO"/>
        </w:rPr>
      </w:pPr>
      <w:r>
        <w:rPr>
          <w:lang w:val="es-CO"/>
        </w:rPr>
        <w:t>CAPÍTULO 4</w:t>
      </w:r>
    </w:p>
    <w:p w14:paraId="094CA47B" w14:textId="77777777" w:rsidR="00B2442D" w:rsidRDefault="008A645F">
      <w:pPr>
        <w:pStyle w:val="Ttulo4"/>
        <w:rPr>
          <w:lang w:val="es-CO"/>
        </w:rPr>
      </w:pPr>
      <w:r>
        <w:rPr>
          <w:lang w:val="es-CO"/>
        </w:rPr>
        <w:t xml:space="preserve">Sistema Único </w:t>
      </w:r>
      <w:r>
        <w:rPr>
          <w:lang w:val="es-CO"/>
        </w:rPr>
        <w:t>Nacional de Información y Rastreo (SUNIR)</w:t>
      </w:r>
    </w:p>
    <w:p w14:paraId="5C4EAAD8" w14:textId="77777777" w:rsidR="00B2442D" w:rsidRDefault="00B2442D">
      <w:pPr>
        <w:rPr>
          <w:rFonts w:ascii="Arial" w:hAnsi="Arial" w:cs="Arial"/>
        </w:rPr>
      </w:pPr>
    </w:p>
    <w:p w14:paraId="50FD0818"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Objetivo del Sistema Único Nacional de Información y Rastreo (SUNIR).</w:t>
      </w:r>
      <w:r>
        <w:rPr>
          <w:rFonts w:ascii="Arial" w:hAnsi="Arial" w:cs="Arial"/>
          <w:lang w:val="es-CO"/>
        </w:rPr>
        <w:t xml:space="preserve"> El Sistema Único Nacional de Información y Rastreo (SUNIR) será administrado por la </w:t>
      </w:r>
      <w:r>
        <w:rPr>
          <w:rFonts w:ascii="Arial" w:eastAsiaTheme="minorHAnsi" w:hAnsi="Arial" w:cs="Arial"/>
          <w:color w:val="000000"/>
          <w:lang w:val="es-CO" w:eastAsia="en-US"/>
        </w:rPr>
        <w:t>Unidad Administrativa Especial Dirección de Impuestos y Adu</w:t>
      </w:r>
      <w:r>
        <w:rPr>
          <w:rFonts w:ascii="Arial" w:eastAsiaTheme="minorHAnsi" w:hAnsi="Arial" w:cs="Arial"/>
          <w:color w:val="000000"/>
          <w:lang w:val="es-CO" w:eastAsia="en-US"/>
        </w:rPr>
        <w:t>anas Nacionales (DIAN)</w:t>
      </w:r>
      <w:r>
        <w:rPr>
          <w:rFonts w:ascii="Arial" w:hAnsi="Arial" w:cs="Arial"/>
          <w:lang w:val="es-CO"/>
        </w:rPr>
        <w:t>, con el objetivo de obtener y centralizar la información sobre la importación, producción, distribución, consumo y exportación de los bienes sujetos al impuesto al consumo de licores, vinos, aperitivos y similares; de cerveza, sifone</w:t>
      </w:r>
      <w:r>
        <w:rPr>
          <w:rFonts w:ascii="Arial" w:hAnsi="Arial" w:cs="Arial"/>
          <w:lang w:val="es-CO"/>
        </w:rPr>
        <w:t xml:space="preserve">s, refajos y mezclas; de cigarrillos y tabaco elaborado, y las participaciones económicas del monopolio de licores destilados y alcoholes, así como disponer de los instrumentos técnicos y tecnológicos que permitan el control eficiente y la trazabilidad de </w:t>
      </w:r>
      <w:r>
        <w:rPr>
          <w:rFonts w:ascii="Arial" w:hAnsi="Arial" w:cs="Arial"/>
          <w:lang w:val="es-CO"/>
        </w:rPr>
        <w:t>la circulación de los anteriores productos sujetos al impuesto al consumo y las participaciones económicas del monopolio de licores destilados y alcoholes.</w:t>
      </w:r>
    </w:p>
    <w:p w14:paraId="162C6294" w14:textId="77777777" w:rsidR="00B2442D" w:rsidRDefault="00B2442D">
      <w:pPr>
        <w:jc w:val="both"/>
        <w:rPr>
          <w:rFonts w:ascii="Arial" w:hAnsi="Arial" w:cs="Arial"/>
        </w:rPr>
      </w:pPr>
    </w:p>
    <w:p w14:paraId="3FCE83C9" w14:textId="77777777" w:rsidR="00B2442D" w:rsidRDefault="008A645F">
      <w:pPr>
        <w:jc w:val="both"/>
        <w:rPr>
          <w:rFonts w:ascii="Arial" w:hAnsi="Arial" w:cs="Arial"/>
        </w:rPr>
      </w:pPr>
      <w:r>
        <w:rPr>
          <w:rFonts w:ascii="Arial" w:hAnsi="Arial" w:cs="Arial"/>
        </w:rPr>
        <w:t>Los bienes sujetos al impuesto al consumo a los cuales se aplica el presente capítulo, serán los si</w:t>
      </w:r>
      <w:r>
        <w:rPr>
          <w:rFonts w:ascii="Arial" w:hAnsi="Arial" w:cs="Arial"/>
        </w:rPr>
        <w:t>guientes: licores, vinos, aperitivos y similares; cerveza, sifones, refajos y mezclas; cigarrillos y tabaco elaborado, de conformidad con la Ley 223 de 1995 y demás normas que la modifiquen o adicionen.</w:t>
      </w:r>
    </w:p>
    <w:p w14:paraId="70A27C73" w14:textId="77777777" w:rsidR="00B2442D" w:rsidRDefault="00B2442D">
      <w:pPr>
        <w:rPr>
          <w:rFonts w:ascii="Arial" w:hAnsi="Arial" w:cs="Arial"/>
          <w:i/>
        </w:rPr>
      </w:pPr>
    </w:p>
    <w:p w14:paraId="248D3E17" w14:textId="77777777" w:rsidR="00B2442D" w:rsidRDefault="008A645F">
      <w:pPr>
        <w:rPr>
          <w:rFonts w:ascii="Arial" w:hAnsi="Arial" w:cs="Arial"/>
          <w:i/>
        </w:rPr>
      </w:pPr>
      <w:r>
        <w:rPr>
          <w:rFonts w:ascii="Arial" w:hAnsi="Arial" w:cs="Arial"/>
          <w:i/>
        </w:rPr>
        <w:t>(Art. 1, Decreto 602 de 2013)</w:t>
      </w:r>
    </w:p>
    <w:p w14:paraId="5993CB00" w14:textId="77777777" w:rsidR="00B2442D" w:rsidRDefault="00B2442D">
      <w:pPr>
        <w:rPr>
          <w:rFonts w:ascii="Arial" w:hAnsi="Arial" w:cs="Arial"/>
          <w:i/>
        </w:rPr>
      </w:pPr>
    </w:p>
    <w:p w14:paraId="15DFA641"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Conformación del Sist</w:t>
      </w:r>
      <w:r>
        <w:rPr>
          <w:rFonts w:ascii="Arial" w:hAnsi="Arial" w:cs="Arial"/>
          <w:b/>
          <w:i/>
          <w:lang w:val="es-CO"/>
        </w:rPr>
        <w:t xml:space="preserve">ema Único Nacional de Información y Rastreo (SUNIR). </w:t>
      </w:r>
      <w:r>
        <w:rPr>
          <w:rFonts w:ascii="Arial" w:hAnsi="Arial" w:cs="Arial"/>
          <w:lang w:val="es-CO"/>
        </w:rPr>
        <w:t>El (SUNIR) estará conformado por:</w:t>
      </w:r>
    </w:p>
    <w:p w14:paraId="3FF9CAA1" w14:textId="77777777" w:rsidR="00B2442D" w:rsidRDefault="00B2442D">
      <w:pPr>
        <w:jc w:val="both"/>
        <w:rPr>
          <w:rFonts w:ascii="Arial" w:hAnsi="Arial" w:cs="Arial"/>
        </w:rPr>
      </w:pPr>
    </w:p>
    <w:p w14:paraId="6CDF531C" w14:textId="77777777" w:rsidR="00B2442D" w:rsidRDefault="008A645F">
      <w:pPr>
        <w:jc w:val="both"/>
        <w:rPr>
          <w:rFonts w:ascii="Arial" w:hAnsi="Arial" w:cs="Arial"/>
        </w:rPr>
      </w:pPr>
      <w:r>
        <w:rPr>
          <w:rFonts w:ascii="Arial" w:hAnsi="Arial" w:cs="Arial"/>
        </w:rPr>
        <w:t xml:space="preserve">1. El Sistema de Información, que tendrá como entrada los datos provenientes de los procesos de obtención de información de producción, registro, medición, </w:t>
      </w:r>
      <w:r>
        <w:rPr>
          <w:rFonts w:ascii="Arial" w:hAnsi="Arial" w:cs="Arial"/>
        </w:rPr>
        <w:t>marcación, conteo, transporte y destino; y como salida las consultas que establece el artículo 2.2.1.4.23 del presente decreto y diferentes módulos que faciliten gestiones de fiscalización y control a los actores del sistema en sus competencias y obligacio</w:t>
      </w:r>
      <w:r>
        <w:rPr>
          <w:rFonts w:ascii="Arial" w:hAnsi="Arial" w:cs="Arial"/>
        </w:rPr>
        <w:t>nes.</w:t>
      </w:r>
    </w:p>
    <w:p w14:paraId="4E844418" w14:textId="77777777" w:rsidR="00B2442D" w:rsidRDefault="00B2442D">
      <w:pPr>
        <w:jc w:val="both"/>
        <w:rPr>
          <w:rFonts w:ascii="Arial" w:hAnsi="Arial" w:cs="Arial"/>
        </w:rPr>
      </w:pPr>
    </w:p>
    <w:p w14:paraId="43352E5A" w14:textId="77777777" w:rsidR="00B2442D" w:rsidRDefault="008A645F">
      <w:pPr>
        <w:jc w:val="both"/>
        <w:rPr>
          <w:rFonts w:ascii="Arial" w:hAnsi="Arial" w:cs="Arial"/>
        </w:rPr>
      </w:pPr>
      <w:r>
        <w:rPr>
          <w:rFonts w:ascii="Arial" w:hAnsi="Arial" w:cs="Arial"/>
        </w:rPr>
        <w:t>2. Los componentes físicos: hardware, comunicaciones, dispositivos físicos de medición, marcación y conteo, elemento físico adherido o impreso directamente en los productos, su empaque, tapa, envoltura o envase y demás dispositivos electrónicos que p</w:t>
      </w:r>
      <w:r>
        <w:rPr>
          <w:rFonts w:ascii="Arial" w:hAnsi="Arial" w:cs="Arial"/>
        </w:rPr>
        <w:t>ermitan la consulta al ciudadano, organismos de control, entidades públicas, sujetos activos y pasivos del impuesto al consumo.</w:t>
      </w:r>
    </w:p>
    <w:p w14:paraId="6A40002B" w14:textId="77777777" w:rsidR="00B2442D" w:rsidRDefault="00B2442D">
      <w:pPr>
        <w:rPr>
          <w:rFonts w:ascii="Arial" w:hAnsi="Arial" w:cs="Arial"/>
          <w:i/>
        </w:rPr>
      </w:pPr>
    </w:p>
    <w:p w14:paraId="34536AC8" w14:textId="77777777" w:rsidR="00B2442D" w:rsidRDefault="008A645F">
      <w:pPr>
        <w:rPr>
          <w:rFonts w:ascii="Arial" w:hAnsi="Arial" w:cs="Arial"/>
          <w:i/>
        </w:rPr>
      </w:pPr>
      <w:r>
        <w:rPr>
          <w:rFonts w:ascii="Arial" w:hAnsi="Arial" w:cs="Arial"/>
          <w:i/>
        </w:rPr>
        <w:t>(Art. 2, Decreto 602 de 2013)</w:t>
      </w:r>
    </w:p>
    <w:p w14:paraId="7F34497A" w14:textId="77777777" w:rsidR="00B2442D" w:rsidRDefault="00B2442D">
      <w:pPr>
        <w:jc w:val="both"/>
        <w:rPr>
          <w:rFonts w:ascii="Arial" w:hAnsi="Arial" w:cs="Arial"/>
        </w:rPr>
      </w:pPr>
    </w:p>
    <w:p w14:paraId="13F3D0D3"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Integración.</w:t>
      </w:r>
      <w:r>
        <w:rPr>
          <w:rFonts w:ascii="Arial" w:hAnsi="Arial" w:cs="Arial"/>
          <w:lang w:val="es-CO"/>
        </w:rPr>
        <w:t xml:space="preserve"> Son las actividades administrativas, técnicas y operativas que deben realizar los s</w:t>
      </w:r>
      <w:r>
        <w:rPr>
          <w:rFonts w:ascii="Arial" w:hAnsi="Arial" w:cs="Arial"/>
          <w:lang w:val="es-CO"/>
        </w:rPr>
        <w:t>ujetos obligados a integrarse al SUNIR para suministrar información de los procesos de producción, importación, marcación, conteo, bodegaje, distribución, transporte y demás que se requieran para el adecuado funcionamiento del SUNIR. Esta Integración se ha</w:t>
      </w:r>
      <w:r>
        <w:rPr>
          <w:rFonts w:ascii="Arial" w:hAnsi="Arial" w:cs="Arial"/>
          <w:lang w:val="es-CO"/>
        </w:rPr>
        <w:t>rá mediante la comunicación directa y automática de los diferentes sistemas de información de los sujetos obligados que contengan la información enunciada y el SUNIR.</w:t>
      </w:r>
    </w:p>
    <w:p w14:paraId="0B9ED9BD" w14:textId="77777777" w:rsidR="00B2442D" w:rsidRDefault="00B2442D">
      <w:pPr>
        <w:jc w:val="both"/>
        <w:rPr>
          <w:rFonts w:ascii="Arial" w:hAnsi="Arial" w:cs="Arial"/>
        </w:rPr>
      </w:pPr>
    </w:p>
    <w:p w14:paraId="6813EC24" w14:textId="77777777" w:rsidR="00B2442D" w:rsidRDefault="008A645F">
      <w:pPr>
        <w:jc w:val="both"/>
        <w:rPr>
          <w:rFonts w:ascii="Arial" w:hAnsi="Arial" w:cs="Arial"/>
        </w:rPr>
      </w:pPr>
      <w:r>
        <w:rPr>
          <w:rFonts w:ascii="Arial" w:hAnsi="Arial" w:cs="Arial"/>
        </w:rPr>
        <w:t>Los requisitos y especificaciones técnicas de la integración serán definidos por la Unid</w:t>
      </w:r>
      <w:r>
        <w:rPr>
          <w:rFonts w:ascii="Arial" w:hAnsi="Arial" w:cs="Arial"/>
        </w:rPr>
        <w:t>ad Administrativa Especial Dirección de Impuestos y Aduanas Nacionales (DIAN) mediante resoluciones de carácter general.</w:t>
      </w:r>
    </w:p>
    <w:p w14:paraId="5F572207" w14:textId="77777777" w:rsidR="00B2442D" w:rsidRDefault="00B2442D">
      <w:pPr>
        <w:rPr>
          <w:rFonts w:ascii="Arial" w:hAnsi="Arial" w:cs="Arial"/>
          <w:i/>
        </w:rPr>
      </w:pPr>
    </w:p>
    <w:p w14:paraId="2CC15789" w14:textId="77777777" w:rsidR="00B2442D" w:rsidRDefault="008A645F">
      <w:pPr>
        <w:rPr>
          <w:rFonts w:ascii="Arial" w:hAnsi="Arial" w:cs="Arial"/>
          <w:i/>
        </w:rPr>
      </w:pPr>
      <w:r>
        <w:rPr>
          <w:rFonts w:ascii="Arial" w:hAnsi="Arial" w:cs="Arial"/>
          <w:i/>
        </w:rPr>
        <w:t>(Art. 3, Decreto 602 de 2013)</w:t>
      </w:r>
    </w:p>
    <w:p w14:paraId="1047F951" w14:textId="77777777" w:rsidR="00B2442D" w:rsidRDefault="00B2442D">
      <w:pPr>
        <w:rPr>
          <w:rFonts w:ascii="Arial" w:hAnsi="Arial" w:cs="Arial"/>
          <w:i/>
        </w:rPr>
      </w:pPr>
    </w:p>
    <w:p w14:paraId="34344409"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Sujetos Obligados a Integrarse al SUNIR.</w:t>
      </w:r>
      <w:r>
        <w:rPr>
          <w:rFonts w:ascii="Arial" w:hAnsi="Arial" w:cs="Arial"/>
          <w:lang w:val="es-CO"/>
        </w:rPr>
        <w:t xml:space="preserve"> Están obligados a integrarse al Sistema Único Nacional de Info</w:t>
      </w:r>
      <w:r>
        <w:rPr>
          <w:rFonts w:ascii="Arial" w:hAnsi="Arial" w:cs="Arial"/>
          <w:lang w:val="es-CO"/>
        </w:rPr>
        <w:t>rmación y Rastreo (SUNIR), la Unidad Administrativa Especial Dirección de Impuestos y Aduanas Nacionales (DIAN), los sujetos pasivos responsables del impuesto al consumo, la Federación Nacional de Departamentos, los departamentos y el Distrito Capital.</w:t>
      </w:r>
    </w:p>
    <w:p w14:paraId="5422DC2B" w14:textId="77777777" w:rsidR="00B2442D" w:rsidRDefault="00B2442D">
      <w:pPr>
        <w:rPr>
          <w:rFonts w:ascii="Arial" w:hAnsi="Arial" w:cs="Arial"/>
          <w:i/>
        </w:rPr>
      </w:pPr>
    </w:p>
    <w:p w14:paraId="586541B9" w14:textId="77777777" w:rsidR="00B2442D" w:rsidRDefault="008A645F">
      <w:pPr>
        <w:rPr>
          <w:rFonts w:ascii="Arial" w:hAnsi="Arial" w:cs="Arial"/>
          <w:i/>
        </w:rPr>
      </w:pPr>
      <w:r>
        <w:rPr>
          <w:rFonts w:ascii="Arial" w:hAnsi="Arial" w:cs="Arial"/>
          <w:i/>
        </w:rPr>
        <w:t>(A</w:t>
      </w:r>
      <w:r>
        <w:rPr>
          <w:rFonts w:ascii="Arial" w:hAnsi="Arial" w:cs="Arial"/>
          <w:i/>
        </w:rPr>
        <w:t>rt. 4, Decreto 602 de 2013)</w:t>
      </w:r>
    </w:p>
    <w:p w14:paraId="3F9749D2" w14:textId="77777777" w:rsidR="00B2442D" w:rsidRDefault="00B2442D">
      <w:pPr>
        <w:jc w:val="both"/>
        <w:rPr>
          <w:rFonts w:ascii="Arial" w:hAnsi="Arial" w:cs="Arial"/>
        </w:rPr>
      </w:pPr>
    </w:p>
    <w:p w14:paraId="29F7E18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Obligaciones de los departamentos y el Distrito Capital con el SUNIR.</w:t>
      </w:r>
      <w:r>
        <w:rPr>
          <w:rFonts w:ascii="Arial" w:hAnsi="Arial" w:cs="Arial"/>
          <w:lang w:val="es-CO"/>
        </w:rPr>
        <w:t xml:space="preserve"> Los departamentos y el Distrito Capital están obligados a:</w:t>
      </w:r>
    </w:p>
    <w:p w14:paraId="25946CB0" w14:textId="77777777" w:rsidR="00B2442D" w:rsidRDefault="008A645F">
      <w:pPr>
        <w:jc w:val="both"/>
        <w:rPr>
          <w:rFonts w:ascii="Arial" w:hAnsi="Arial" w:cs="Arial"/>
        </w:rPr>
      </w:pPr>
      <w:r>
        <w:rPr>
          <w:rFonts w:ascii="Arial" w:hAnsi="Arial" w:cs="Arial"/>
        </w:rPr>
        <w:t>1. Integrarse al Sistema Único Nacional de información y Rastreo (SUNIR).</w:t>
      </w:r>
    </w:p>
    <w:p w14:paraId="4A1A5196" w14:textId="77777777" w:rsidR="00B2442D" w:rsidRDefault="008A645F">
      <w:pPr>
        <w:jc w:val="both"/>
        <w:rPr>
          <w:rFonts w:ascii="Arial" w:hAnsi="Arial" w:cs="Arial"/>
        </w:rPr>
      </w:pPr>
      <w:r>
        <w:rPr>
          <w:rFonts w:ascii="Arial" w:hAnsi="Arial" w:cs="Arial"/>
        </w:rPr>
        <w:t>2. Integrar sus sistemas</w:t>
      </w:r>
      <w:r>
        <w:rPr>
          <w:rFonts w:ascii="Arial" w:hAnsi="Arial" w:cs="Arial"/>
        </w:rPr>
        <w:t xml:space="preserve"> de información para entregar en línea y/o registrar en el SUNIR la información requerida para el proceso de registro, tanto para el cargue inicial de información, como para su actualización de acuerdo con lo previsto en los artículos 2.2.1.4.8, 2.2.1.4.9 </w:t>
      </w:r>
      <w:r>
        <w:rPr>
          <w:rFonts w:ascii="Arial" w:hAnsi="Arial" w:cs="Arial"/>
        </w:rPr>
        <w:t>y 2.2.1.4.10 de este decreto.</w:t>
      </w:r>
    </w:p>
    <w:p w14:paraId="6EB8C36D" w14:textId="77777777" w:rsidR="00B2442D" w:rsidRDefault="008A645F">
      <w:pPr>
        <w:jc w:val="both"/>
        <w:rPr>
          <w:rFonts w:ascii="Arial" w:hAnsi="Arial" w:cs="Arial"/>
        </w:rPr>
      </w:pPr>
      <w:r>
        <w:rPr>
          <w:rFonts w:ascii="Arial" w:hAnsi="Arial" w:cs="Arial"/>
        </w:rPr>
        <w:t xml:space="preserve">3. Cumplir con los protocolos y estándares que defina la </w:t>
      </w:r>
      <w:r>
        <w:rPr>
          <w:rFonts w:ascii="Arial" w:eastAsiaTheme="minorHAnsi" w:hAnsi="Arial" w:cs="Arial"/>
          <w:color w:val="000000"/>
          <w:lang w:val="es-CO" w:eastAsia="en-US"/>
        </w:rPr>
        <w:t xml:space="preserve">Unidad Administrativa Especial Dirección de Impuestos y Aduanas Nacionales (DIAN) </w:t>
      </w:r>
      <w:r>
        <w:rPr>
          <w:rFonts w:ascii="Arial" w:hAnsi="Arial" w:cs="Arial"/>
        </w:rPr>
        <w:t>defina para administrar el SUNIR para garantizar los niveles de seguridad requeridos po</w:t>
      </w:r>
      <w:r>
        <w:rPr>
          <w:rFonts w:ascii="Arial" w:hAnsi="Arial" w:cs="Arial"/>
        </w:rPr>
        <w:t>r el SUNIR.</w:t>
      </w:r>
    </w:p>
    <w:p w14:paraId="412E27EE" w14:textId="77777777" w:rsidR="00B2442D" w:rsidRDefault="008A645F">
      <w:pPr>
        <w:jc w:val="both"/>
        <w:rPr>
          <w:rFonts w:ascii="Arial" w:hAnsi="Arial" w:cs="Arial"/>
        </w:rPr>
      </w:pPr>
      <w:r>
        <w:rPr>
          <w:rFonts w:ascii="Arial" w:hAnsi="Arial" w:cs="Arial"/>
        </w:rPr>
        <w:t>4. Cumplir con los plazos y las condiciones que establezca la Unidad Administrativa Especial Dirección de Impuestos y Aduanas Nacionales (DIAN) para el envío y/o trasmisión de la información.</w:t>
      </w:r>
    </w:p>
    <w:p w14:paraId="22BEAEB4" w14:textId="77777777" w:rsidR="00B2442D" w:rsidRDefault="008A645F">
      <w:pPr>
        <w:jc w:val="both"/>
        <w:rPr>
          <w:rFonts w:ascii="Arial" w:hAnsi="Arial" w:cs="Arial"/>
        </w:rPr>
      </w:pPr>
      <w:r>
        <w:rPr>
          <w:rFonts w:ascii="Arial" w:hAnsi="Arial" w:cs="Arial"/>
        </w:rPr>
        <w:t>5. Garantizar que la información suministrada sea pr</w:t>
      </w:r>
      <w:r>
        <w:rPr>
          <w:rFonts w:ascii="Arial" w:hAnsi="Arial" w:cs="Arial"/>
        </w:rPr>
        <w:t>ecisa, correcta, veraz, completa y cumplir con los estándares de forma y calidad de información que defina la Unidad Administrativa Especial Dirección de Impuestos y Aduanas Nacionales (DIAN) mediante resolución de carácter general.</w:t>
      </w:r>
    </w:p>
    <w:p w14:paraId="0840EFAF" w14:textId="77777777" w:rsidR="00B2442D" w:rsidRDefault="008A645F">
      <w:pPr>
        <w:jc w:val="both"/>
        <w:rPr>
          <w:rFonts w:ascii="Arial" w:hAnsi="Arial" w:cs="Arial"/>
        </w:rPr>
      </w:pPr>
      <w:r>
        <w:rPr>
          <w:rFonts w:ascii="Arial" w:hAnsi="Arial" w:cs="Arial"/>
        </w:rPr>
        <w:t>6. Suministrar la infor</w:t>
      </w:r>
      <w:r>
        <w:rPr>
          <w:rFonts w:ascii="Arial" w:hAnsi="Arial" w:cs="Arial"/>
        </w:rPr>
        <w:t>mación sobre las autorizaciones otorgadas para la producción, introducción, distribución, comercialización y venta de los licores destilados del ejercicio del monopolio de licores a que hace referencia el artículo 51 de la Ley 788 de 2002.</w:t>
      </w:r>
    </w:p>
    <w:p w14:paraId="3E37BA35" w14:textId="77777777" w:rsidR="00B2442D" w:rsidRDefault="008A645F">
      <w:pPr>
        <w:jc w:val="both"/>
        <w:rPr>
          <w:rFonts w:ascii="Arial" w:hAnsi="Arial" w:cs="Arial"/>
        </w:rPr>
      </w:pPr>
      <w:r>
        <w:rPr>
          <w:rFonts w:ascii="Arial" w:hAnsi="Arial" w:cs="Arial"/>
        </w:rPr>
        <w:t>7. Suministrar a</w:t>
      </w:r>
      <w:r>
        <w:rPr>
          <w:rFonts w:ascii="Arial" w:hAnsi="Arial" w:cs="Arial"/>
        </w:rPr>
        <w:t>l SUNIR la información relacionada con las aprehensiones y decomisos realizados sobre bienes sujetos al impuesto al consumo y alcohol etílico potable por los funcionarios departamentales y del Distrito Capital, en sus respectivas jurisdicciones.</w:t>
      </w:r>
    </w:p>
    <w:p w14:paraId="7AEF4E7B" w14:textId="77777777" w:rsidR="00B2442D" w:rsidRDefault="008A645F">
      <w:pPr>
        <w:jc w:val="both"/>
        <w:rPr>
          <w:rFonts w:ascii="Arial" w:hAnsi="Arial" w:cs="Arial"/>
        </w:rPr>
      </w:pPr>
      <w:r>
        <w:rPr>
          <w:rFonts w:ascii="Arial" w:hAnsi="Arial" w:cs="Arial"/>
        </w:rPr>
        <w:t>8. Adoptar</w:t>
      </w:r>
      <w:r>
        <w:rPr>
          <w:rFonts w:ascii="Arial" w:hAnsi="Arial" w:cs="Arial"/>
        </w:rPr>
        <w:t xml:space="preserve"> en el ámbito de sus competencias, los ajustes necesarios en los contratos de prestación de servicios de sistemas de información para el control del impuesto al consumo, que hayan celebrado con empresas privadas o públicas, en aras de garantizar el cumplim</w:t>
      </w:r>
      <w:r>
        <w:rPr>
          <w:rFonts w:ascii="Arial" w:hAnsi="Arial" w:cs="Arial"/>
        </w:rPr>
        <w:t>iento de las obligaciones previstas en este artículo.</w:t>
      </w:r>
    </w:p>
    <w:p w14:paraId="49A2AC9C" w14:textId="77777777" w:rsidR="00B2442D" w:rsidRDefault="008A645F">
      <w:pPr>
        <w:jc w:val="both"/>
        <w:rPr>
          <w:rFonts w:ascii="Arial" w:hAnsi="Arial" w:cs="Arial"/>
        </w:rPr>
      </w:pPr>
      <w:r>
        <w:rPr>
          <w:rFonts w:ascii="Arial" w:hAnsi="Arial" w:cs="Arial"/>
        </w:rPr>
        <w:t>9. Apoyar a la Unidad Administrativa Especial Dirección de Impuestos y Aduanas Nacionales (DIAN) en los programas de capacitación para la utilización del sistema.</w:t>
      </w:r>
    </w:p>
    <w:p w14:paraId="00C4B41E" w14:textId="77777777" w:rsidR="00B2442D" w:rsidRDefault="00B2442D">
      <w:pPr>
        <w:rPr>
          <w:rFonts w:ascii="Arial" w:hAnsi="Arial" w:cs="Arial"/>
          <w:i/>
        </w:rPr>
      </w:pPr>
    </w:p>
    <w:p w14:paraId="153E9567" w14:textId="77777777" w:rsidR="00B2442D" w:rsidRDefault="008A645F">
      <w:pPr>
        <w:rPr>
          <w:rFonts w:ascii="Arial" w:hAnsi="Arial" w:cs="Arial"/>
          <w:i/>
        </w:rPr>
      </w:pPr>
      <w:r>
        <w:rPr>
          <w:rFonts w:ascii="Arial" w:hAnsi="Arial" w:cs="Arial"/>
          <w:i/>
        </w:rPr>
        <w:t>(Art. 5, Decreto 602 de 2013)</w:t>
      </w:r>
    </w:p>
    <w:p w14:paraId="1CF6543B" w14:textId="77777777" w:rsidR="00B2442D" w:rsidRDefault="00B2442D">
      <w:pPr>
        <w:jc w:val="both"/>
        <w:rPr>
          <w:rFonts w:ascii="Arial" w:hAnsi="Arial" w:cs="Arial"/>
          <w:b/>
        </w:rPr>
      </w:pPr>
    </w:p>
    <w:p w14:paraId="310A292C"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Obligaciones de los Sujetos Pasivos Responsables del Impuesto al Consumo.</w:t>
      </w:r>
      <w:r>
        <w:rPr>
          <w:rFonts w:ascii="Arial" w:hAnsi="Arial" w:cs="Arial"/>
          <w:lang w:val="es-CO"/>
        </w:rPr>
        <w:t xml:space="preserve"> Los sujetos pasivos responsables del impuesto al consumo están obligados a:</w:t>
      </w:r>
    </w:p>
    <w:p w14:paraId="6DDA54FC" w14:textId="77777777" w:rsidR="00B2442D" w:rsidRDefault="00B2442D">
      <w:pPr>
        <w:jc w:val="both"/>
        <w:rPr>
          <w:rFonts w:ascii="Arial" w:hAnsi="Arial" w:cs="Arial"/>
        </w:rPr>
      </w:pPr>
    </w:p>
    <w:p w14:paraId="6BFB417E" w14:textId="77777777" w:rsidR="00B2442D" w:rsidRDefault="008A645F">
      <w:pPr>
        <w:jc w:val="both"/>
        <w:rPr>
          <w:rFonts w:ascii="Arial" w:hAnsi="Arial" w:cs="Arial"/>
        </w:rPr>
      </w:pPr>
      <w:r>
        <w:rPr>
          <w:rFonts w:ascii="Arial" w:hAnsi="Arial" w:cs="Arial"/>
        </w:rPr>
        <w:t>1. Integrarse al Sistema Único Nacional de Información y Rastreo (SUNIR).</w:t>
      </w:r>
    </w:p>
    <w:p w14:paraId="210C5D43" w14:textId="77777777" w:rsidR="00B2442D" w:rsidRDefault="008A645F">
      <w:pPr>
        <w:jc w:val="both"/>
        <w:rPr>
          <w:rFonts w:ascii="Arial" w:hAnsi="Arial" w:cs="Arial"/>
        </w:rPr>
      </w:pPr>
      <w:r>
        <w:rPr>
          <w:rFonts w:ascii="Arial" w:hAnsi="Arial" w:cs="Arial"/>
        </w:rPr>
        <w:t>2. Permitir a la Unidad Adminis</w:t>
      </w:r>
      <w:r>
        <w:rPr>
          <w:rFonts w:ascii="Arial" w:hAnsi="Arial" w:cs="Arial"/>
        </w:rPr>
        <w:t>trativa Especial Dirección de Impuestos y Aduanas Nacionales (DIAN) o sus contratistas debidamente identificados, las visitas para realizar el levantamiento de información, mediciones y recomendaciones encaminadas al correcto diseño, instalación, configura</w:t>
      </w:r>
      <w:r>
        <w:rPr>
          <w:rFonts w:ascii="Arial" w:hAnsi="Arial" w:cs="Arial"/>
        </w:rPr>
        <w:t>ción y puesta en funcionamiento de los equipos de hardware y software requeridos por el SUNIR.</w:t>
      </w:r>
    </w:p>
    <w:p w14:paraId="726288C3" w14:textId="77777777" w:rsidR="00B2442D" w:rsidRDefault="008A645F">
      <w:pPr>
        <w:jc w:val="both"/>
        <w:rPr>
          <w:rFonts w:ascii="Arial" w:hAnsi="Arial" w:cs="Arial"/>
        </w:rPr>
      </w:pPr>
      <w:r>
        <w:rPr>
          <w:rFonts w:ascii="Arial" w:hAnsi="Arial" w:cs="Arial"/>
        </w:rPr>
        <w:t>3. Disponer del espacio físico y el acondicionamiento del mismo para la ubicación de la infraestructura tecnológica del SUNIR. Asimismo deberán suministrar la in</w:t>
      </w:r>
      <w:r>
        <w:rPr>
          <w:rFonts w:ascii="Arial" w:hAnsi="Arial" w:cs="Arial"/>
        </w:rPr>
        <w:t>formación técnica necesaria para la instalación de los equipos.</w:t>
      </w:r>
    </w:p>
    <w:p w14:paraId="49258E3C" w14:textId="77777777" w:rsidR="00B2442D" w:rsidRDefault="008A645F">
      <w:pPr>
        <w:jc w:val="both"/>
        <w:rPr>
          <w:rFonts w:ascii="Arial" w:hAnsi="Arial" w:cs="Arial"/>
        </w:rPr>
      </w:pPr>
      <w:r>
        <w:rPr>
          <w:rFonts w:ascii="Arial" w:hAnsi="Arial" w:cs="Arial"/>
        </w:rPr>
        <w:t>4. Permitir la instalación de los dispositivos físicos de medición, marcación y conteo, en todas las líneas de producción con que cuenten al momento del inicio de operaciones de SUNIR y las qu</w:t>
      </w:r>
      <w:r>
        <w:rPr>
          <w:rFonts w:ascii="Arial" w:hAnsi="Arial" w:cs="Arial"/>
        </w:rPr>
        <w:t>e implemente posteriormente.</w:t>
      </w:r>
    </w:p>
    <w:p w14:paraId="40CE7521" w14:textId="77777777" w:rsidR="00B2442D" w:rsidRDefault="008A645F">
      <w:pPr>
        <w:jc w:val="both"/>
        <w:rPr>
          <w:rFonts w:ascii="Arial" w:hAnsi="Arial" w:cs="Arial"/>
        </w:rPr>
      </w:pPr>
      <w:r>
        <w:rPr>
          <w:rFonts w:ascii="Arial" w:hAnsi="Arial" w:cs="Arial"/>
        </w:rPr>
        <w:t>5. Garantizar ante la Unidad Administrativa Especial Dirección de Impuestos y Aduanas Nacionales (DIAN), el suministro ininterrumpido de los servicios eléctricos y ambientales necesarios para el funcionamiento de la infraestruc</w:t>
      </w:r>
      <w:r>
        <w:rPr>
          <w:rFonts w:ascii="Arial" w:hAnsi="Arial" w:cs="Arial"/>
        </w:rPr>
        <w:t>tura tecnológica del SUNIR, salvo circunstancias de fuerza mayor o caso fortuito, debidamente comprobadas.</w:t>
      </w:r>
    </w:p>
    <w:p w14:paraId="4B704AF4" w14:textId="77777777" w:rsidR="00B2442D" w:rsidRDefault="008A645F">
      <w:pPr>
        <w:jc w:val="both"/>
        <w:rPr>
          <w:rFonts w:ascii="Arial" w:hAnsi="Arial" w:cs="Arial"/>
        </w:rPr>
      </w:pPr>
      <w:r>
        <w:rPr>
          <w:rFonts w:ascii="Arial" w:hAnsi="Arial" w:cs="Arial"/>
        </w:rPr>
        <w:t>6. Proporcionar un espacio físico en las plantas de producción para la permanencia del personal técnico autorizado por la Unidad Administrativa Espec</w:t>
      </w:r>
      <w:r>
        <w:rPr>
          <w:rFonts w:ascii="Arial" w:hAnsi="Arial" w:cs="Arial"/>
        </w:rPr>
        <w:t>ial Dirección de Impuestos y Aduanas Nacionales (DIAN) y para almacenar los repuestos, que garanticen la operatividad del SUNIR.</w:t>
      </w:r>
    </w:p>
    <w:p w14:paraId="2DF855EC" w14:textId="77777777" w:rsidR="00B2442D" w:rsidRDefault="008A645F">
      <w:pPr>
        <w:jc w:val="both"/>
        <w:rPr>
          <w:rFonts w:ascii="Arial" w:hAnsi="Arial" w:cs="Arial"/>
        </w:rPr>
      </w:pPr>
      <w:r>
        <w:rPr>
          <w:rFonts w:ascii="Arial" w:hAnsi="Arial" w:cs="Arial"/>
        </w:rPr>
        <w:t>7. Permitir el acceso del personal autorizado por la Unidad Administrativa Especial Dirección de Impuestos y Aduanas Nacionales</w:t>
      </w:r>
      <w:r>
        <w:rPr>
          <w:rFonts w:ascii="Arial" w:hAnsi="Arial" w:cs="Arial"/>
        </w:rPr>
        <w:t xml:space="preserve"> (DIAN) encargado de instalar, realizar mantenimiento preventivo y correctivo de los dispositivos físicos de medición, marcación y conteo que conforman el SUNIR.</w:t>
      </w:r>
    </w:p>
    <w:p w14:paraId="2B050C10" w14:textId="77777777" w:rsidR="00B2442D" w:rsidRDefault="008A645F">
      <w:pPr>
        <w:jc w:val="both"/>
        <w:rPr>
          <w:rFonts w:ascii="Arial" w:hAnsi="Arial" w:cs="Arial"/>
        </w:rPr>
      </w:pPr>
      <w:r>
        <w:rPr>
          <w:rFonts w:ascii="Arial" w:hAnsi="Arial" w:cs="Arial"/>
        </w:rPr>
        <w:t>8. Poner a disposición de la Unidad Administrativa Especial Dirección de Impuestos y Aduanas N</w:t>
      </w:r>
      <w:r>
        <w:rPr>
          <w:rFonts w:ascii="Arial" w:hAnsi="Arial" w:cs="Arial"/>
        </w:rPr>
        <w:t>acionales (DIAN) en los sitios autorizados, los productos importados para el proceso de marcación y conteo establecido en los artículos 2.2.1.4.11, 2.2.1.4.12, 2.2.1.4.13, 2.2.1.4.14, 2.2.1.4.15, 2.2.1.4.16, 2.2.1.4.17, 2.2.1.4.18, 2.2.1.4.19, 2.2.1.4.20 y</w:t>
      </w:r>
      <w:r>
        <w:rPr>
          <w:rFonts w:ascii="Arial" w:hAnsi="Arial" w:cs="Arial"/>
        </w:rPr>
        <w:t xml:space="preserve"> 2.2.1.4.21 del presente Decreto.</w:t>
      </w:r>
    </w:p>
    <w:p w14:paraId="7BAC86AB" w14:textId="77777777" w:rsidR="00B2442D" w:rsidRDefault="008A645F">
      <w:pPr>
        <w:jc w:val="both"/>
        <w:rPr>
          <w:rFonts w:ascii="Arial" w:hAnsi="Arial" w:cs="Arial"/>
        </w:rPr>
      </w:pPr>
      <w:r>
        <w:rPr>
          <w:rFonts w:ascii="Arial" w:hAnsi="Arial" w:cs="Arial"/>
        </w:rPr>
        <w:t>9. Suministrar en línea y/o registrar en el SUNIR los diferentes módulos o sistemas que lo conforman, la información requerida para el proceso de registro, tanto para el cargue inicial de información, como para la actualiz</w:t>
      </w:r>
      <w:r>
        <w:rPr>
          <w:rFonts w:ascii="Arial" w:hAnsi="Arial" w:cs="Arial"/>
        </w:rPr>
        <w:t>ación de las novedades.</w:t>
      </w:r>
    </w:p>
    <w:p w14:paraId="24B74B8E" w14:textId="77777777" w:rsidR="00B2442D" w:rsidRDefault="008A645F">
      <w:pPr>
        <w:jc w:val="both"/>
        <w:rPr>
          <w:rFonts w:ascii="Arial" w:hAnsi="Arial" w:cs="Arial"/>
        </w:rPr>
      </w:pPr>
      <w:r>
        <w:rPr>
          <w:rFonts w:ascii="Arial" w:hAnsi="Arial" w:cs="Arial"/>
        </w:rPr>
        <w:t>10. Suministrar al SUNIR la información de destino de cada uno de los productos, datos relacionados con la autorización de la movilización de los productos (tornaguía), fecha de inicio de la movilización y fecha de llegada al depart</w:t>
      </w:r>
      <w:r>
        <w:rPr>
          <w:rFonts w:ascii="Arial" w:hAnsi="Arial" w:cs="Arial"/>
        </w:rPr>
        <w:t>amento de destino, datos del vehículo o medio de transporte utilizado para movilizar la mercancía (placa, número de vuelo, empresa de transporte, etc.), información de identificación del conductor o conductores, cuando haya lugar.</w:t>
      </w:r>
    </w:p>
    <w:p w14:paraId="26DA3CC3" w14:textId="77777777" w:rsidR="00B2442D" w:rsidRDefault="008A645F">
      <w:pPr>
        <w:jc w:val="both"/>
        <w:rPr>
          <w:rFonts w:ascii="Arial" w:hAnsi="Arial" w:cs="Arial"/>
        </w:rPr>
      </w:pPr>
      <w:r>
        <w:rPr>
          <w:rFonts w:ascii="Arial" w:hAnsi="Arial" w:cs="Arial"/>
        </w:rPr>
        <w:t>11. Suministrar al SUNIR,</w:t>
      </w:r>
      <w:r>
        <w:rPr>
          <w:rFonts w:ascii="Arial" w:hAnsi="Arial" w:cs="Arial"/>
        </w:rPr>
        <w:t xml:space="preserve"> como parte de su integración, información relacionada con los insumos adquiridos, proceso de producción, inventario de producto terminado y facturación.</w:t>
      </w:r>
    </w:p>
    <w:p w14:paraId="1D59C4D5" w14:textId="77777777" w:rsidR="00B2442D" w:rsidRDefault="008A645F">
      <w:pPr>
        <w:jc w:val="both"/>
        <w:rPr>
          <w:rFonts w:ascii="Arial" w:hAnsi="Arial" w:cs="Arial"/>
        </w:rPr>
      </w:pPr>
      <w:r>
        <w:rPr>
          <w:rFonts w:ascii="Arial" w:hAnsi="Arial" w:cs="Arial"/>
        </w:rPr>
        <w:t>12. Suministrar la información relacionada con la creación de nuevos sitios de producción, nuevas bode</w:t>
      </w:r>
      <w:r>
        <w:rPr>
          <w:rFonts w:ascii="Arial" w:hAnsi="Arial" w:cs="Arial"/>
        </w:rPr>
        <w:t>gas, la implementación, activación, desactivación o reactivación de líneas de producción, máquinas y equipos, nuevos productos, o cualquier adecuación en la presentación o envase del producto.</w:t>
      </w:r>
    </w:p>
    <w:p w14:paraId="17E0D781" w14:textId="77777777" w:rsidR="00B2442D" w:rsidRDefault="008A645F">
      <w:pPr>
        <w:jc w:val="both"/>
        <w:rPr>
          <w:rFonts w:ascii="Arial" w:hAnsi="Arial" w:cs="Arial"/>
        </w:rPr>
      </w:pPr>
      <w:r>
        <w:rPr>
          <w:rFonts w:ascii="Arial" w:hAnsi="Arial" w:cs="Arial"/>
        </w:rPr>
        <w:t>13. Custodiar y no manipular los equipos, infraestructura físic</w:t>
      </w:r>
      <w:r>
        <w:rPr>
          <w:rFonts w:ascii="Arial" w:hAnsi="Arial" w:cs="Arial"/>
        </w:rPr>
        <w:t>a y tecnológica del SUNIR.</w:t>
      </w:r>
    </w:p>
    <w:p w14:paraId="27B82537" w14:textId="77777777" w:rsidR="00B2442D" w:rsidRDefault="008A645F">
      <w:pPr>
        <w:jc w:val="both"/>
        <w:rPr>
          <w:rFonts w:ascii="Arial" w:hAnsi="Arial" w:cs="Arial"/>
        </w:rPr>
      </w:pPr>
      <w:r>
        <w:rPr>
          <w:rFonts w:ascii="Arial" w:hAnsi="Arial" w:cs="Arial"/>
        </w:rPr>
        <w:t>14. Asumir los costos de cualquier daño que sufran los equipos y la infraestructura física y tecnológica del SUNIR por manipulación.</w:t>
      </w:r>
    </w:p>
    <w:p w14:paraId="5E786F0B" w14:textId="77777777" w:rsidR="00B2442D" w:rsidRDefault="008A645F">
      <w:pPr>
        <w:jc w:val="both"/>
        <w:rPr>
          <w:rFonts w:ascii="Arial" w:hAnsi="Arial" w:cs="Arial"/>
        </w:rPr>
      </w:pPr>
      <w:r>
        <w:rPr>
          <w:rFonts w:ascii="Arial" w:hAnsi="Arial" w:cs="Arial"/>
        </w:rPr>
        <w:t>15. Cumplir con los protocolos, estándares y niveles de servicio definidos por la Unidad Adminis</w:t>
      </w:r>
      <w:r>
        <w:rPr>
          <w:rFonts w:ascii="Arial" w:hAnsi="Arial" w:cs="Arial"/>
        </w:rPr>
        <w:t>trativa Especial Dirección de Impuestos y Aduanas Nacionales (DIAN) para garantizar la correcta operación del SUNIR.</w:t>
      </w:r>
    </w:p>
    <w:p w14:paraId="4D48DE73" w14:textId="77777777" w:rsidR="00B2442D" w:rsidRDefault="008A645F">
      <w:pPr>
        <w:jc w:val="both"/>
        <w:rPr>
          <w:rFonts w:ascii="Arial" w:hAnsi="Arial" w:cs="Arial"/>
        </w:rPr>
      </w:pPr>
      <w:r>
        <w:rPr>
          <w:rFonts w:ascii="Arial" w:hAnsi="Arial" w:cs="Arial"/>
        </w:rPr>
        <w:t>16. Garantizar que los productos que salgan de las líneas o sitios de producción, cuenten con los elementos físicos adheridos o impresos di</w:t>
      </w:r>
      <w:r>
        <w:rPr>
          <w:rFonts w:ascii="Arial" w:hAnsi="Arial" w:cs="Arial"/>
        </w:rPr>
        <w:t>rectamente en los productos, su empaque, tapa, envoltura o envase.</w:t>
      </w:r>
    </w:p>
    <w:p w14:paraId="7F8AB95D" w14:textId="77777777" w:rsidR="00B2442D" w:rsidRDefault="008A645F">
      <w:pPr>
        <w:jc w:val="both"/>
        <w:rPr>
          <w:rFonts w:ascii="Arial" w:hAnsi="Arial" w:cs="Arial"/>
        </w:rPr>
      </w:pPr>
      <w:r>
        <w:rPr>
          <w:rFonts w:ascii="Arial" w:hAnsi="Arial" w:cs="Arial"/>
        </w:rPr>
        <w:t>17. Distribuir únicamente los bienes sujetos al impuesto al consumo que cuenten con los elementos físicos adheridos o impresos directamente en los productos, su empaque, tapa, envoltura o e</w:t>
      </w:r>
      <w:r>
        <w:rPr>
          <w:rFonts w:ascii="Arial" w:hAnsi="Arial" w:cs="Arial"/>
        </w:rPr>
        <w:t>nvase. Lo anterior sin importar, si son para distribución, venta, publicidad, promoción, donación o en general cualquier forma de disposición.</w:t>
      </w:r>
    </w:p>
    <w:p w14:paraId="07F631F4" w14:textId="77777777" w:rsidR="00B2442D" w:rsidRDefault="008A645F">
      <w:pPr>
        <w:jc w:val="both"/>
        <w:rPr>
          <w:rFonts w:ascii="Arial" w:hAnsi="Arial" w:cs="Arial"/>
        </w:rPr>
      </w:pPr>
      <w:r>
        <w:rPr>
          <w:rFonts w:ascii="Arial" w:hAnsi="Arial" w:cs="Arial"/>
        </w:rPr>
        <w:t>18. Informar al SUNIR, la relación de los productos que se dañen después de ser marcados.</w:t>
      </w:r>
    </w:p>
    <w:p w14:paraId="0AE71936" w14:textId="77777777" w:rsidR="00B2442D" w:rsidRDefault="008A645F">
      <w:pPr>
        <w:jc w:val="both"/>
        <w:rPr>
          <w:rFonts w:ascii="Arial" w:hAnsi="Arial" w:cs="Arial"/>
        </w:rPr>
      </w:pPr>
      <w:r>
        <w:rPr>
          <w:rFonts w:ascii="Arial" w:hAnsi="Arial" w:cs="Arial"/>
        </w:rPr>
        <w:t>19. Suministrar la info</w:t>
      </w:r>
      <w:r>
        <w:rPr>
          <w:rFonts w:ascii="Arial" w:hAnsi="Arial" w:cs="Arial"/>
        </w:rPr>
        <w:t>rmación al SUNIR de manera precisa, correcta, veraz, completa y cumplir con los estándares de forma y calidad de información que defina la Unidad Administrativa Especial Dirección de Impuestos y Aduanas Nacionales (DIAN) mediante resolución de carácter gen</w:t>
      </w:r>
      <w:r>
        <w:rPr>
          <w:rFonts w:ascii="Arial" w:hAnsi="Arial" w:cs="Arial"/>
        </w:rPr>
        <w:t>eral.</w:t>
      </w:r>
    </w:p>
    <w:p w14:paraId="5EBEEF9A" w14:textId="77777777" w:rsidR="00B2442D" w:rsidRDefault="008A645F">
      <w:pPr>
        <w:jc w:val="both"/>
        <w:rPr>
          <w:rFonts w:ascii="Arial" w:hAnsi="Arial" w:cs="Arial"/>
        </w:rPr>
      </w:pPr>
      <w:r>
        <w:rPr>
          <w:rFonts w:ascii="Arial" w:hAnsi="Arial" w:cs="Arial"/>
        </w:rPr>
        <w:t>20. Comunicar a la Unidad Administrativa Especial Dirección de Impuestos y Aduanas Nacionales (DIAN), en un plazo no mayor a cuatro (4) horas, cualquier caso de inoperancia de los dispositivos físicos de medición, marcación y conteo, debiendo mantene</w:t>
      </w:r>
      <w:r>
        <w:rPr>
          <w:rFonts w:ascii="Arial" w:hAnsi="Arial" w:cs="Arial"/>
        </w:rPr>
        <w:t>r el control del volumen producido, mientras dure la interrupción, ejecutando los planes y procedimientos definidos por la Unidad Administrativa Especial Dirección de Impuestos y Aduanas Nacionales (DIAN).</w:t>
      </w:r>
    </w:p>
    <w:p w14:paraId="5DFACF9E" w14:textId="77777777" w:rsidR="00B2442D" w:rsidRDefault="008A645F">
      <w:pPr>
        <w:jc w:val="both"/>
        <w:rPr>
          <w:rFonts w:ascii="Arial" w:hAnsi="Arial" w:cs="Arial"/>
        </w:rPr>
      </w:pPr>
      <w:r>
        <w:rPr>
          <w:rFonts w:ascii="Arial" w:hAnsi="Arial" w:cs="Arial"/>
        </w:rPr>
        <w:t>21. Cumplir con los protocolos y estándares defini</w:t>
      </w:r>
      <w:r>
        <w:rPr>
          <w:rFonts w:ascii="Arial" w:hAnsi="Arial" w:cs="Arial"/>
        </w:rPr>
        <w:t>dos por la Unidad Administrativa Especial Dirección de Impuestos y Aduanas Nacionales (DIAN) para garantizar los niveles de seguridad requeridos por el SUNIR.</w:t>
      </w:r>
    </w:p>
    <w:p w14:paraId="79FBD715" w14:textId="77777777" w:rsidR="00B2442D" w:rsidRDefault="008A645F">
      <w:pPr>
        <w:jc w:val="both"/>
        <w:rPr>
          <w:rFonts w:ascii="Arial" w:hAnsi="Arial" w:cs="Arial"/>
        </w:rPr>
      </w:pPr>
      <w:r>
        <w:rPr>
          <w:rFonts w:ascii="Arial" w:hAnsi="Arial" w:cs="Arial"/>
        </w:rPr>
        <w:t>22. Cumplir con los plazos y las condiciones establecidas por la Unidad Administrativa Especial D</w:t>
      </w:r>
      <w:r>
        <w:rPr>
          <w:rFonts w:ascii="Arial" w:hAnsi="Arial" w:cs="Arial"/>
        </w:rPr>
        <w:t>irección de Impuestos y Aduanas Nacionales (DIAN) mediante resolución de carácter general para el suministro de la información.</w:t>
      </w:r>
    </w:p>
    <w:p w14:paraId="4D77360B" w14:textId="77777777" w:rsidR="00B2442D" w:rsidRDefault="00B2442D">
      <w:pPr>
        <w:rPr>
          <w:rFonts w:ascii="Arial" w:hAnsi="Arial" w:cs="Arial"/>
          <w:i/>
        </w:rPr>
      </w:pPr>
    </w:p>
    <w:p w14:paraId="71610FBF" w14:textId="77777777" w:rsidR="00B2442D" w:rsidRDefault="008A645F">
      <w:pPr>
        <w:rPr>
          <w:rFonts w:ascii="Arial" w:hAnsi="Arial" w:cs="Arial"/>
          <w:i/>
        </w:rPr>
      </w:pPr>
      <w:r>
        <w:rPr>
          <w:rFonts w:ascii="Arial" w:hAnsi="Arial" w:cs="Arial"/>
          <w:i/>
        </w:rPr>
        <w:t>(Art. 6, Decreto 602 de 2013)</w:t>
      </w:r>
    </w:p>
    <w:p w14:paraId="33A604BA" w14:textId="77777777" w:rsidR="00B2442D" w:rsidRDefault="00B2442D">
      <w:pPr>
        <w:jc w:val="both"/>
        <w:rPr>
          <w:rFonts w:ascii="Arial" w:hAnsi="Arial" w:cs="Arial"/>
        </w:rPr>
      </w:pPr>
    </w:p>
    <w:p w14:paraId="0310349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 xml:space="preserve">Obligaciones de la Unidad Administrativa Especial Dirección de Impuestos y Aduanas </w:t>
      </w:r>
      <w:r>
        <w:rPr>
          <w:rFonts w:ascii="Arial" w:hAnsi="Arial" w:cs="Arial"/>
          <w:b/>
          <w:i/>
          <w:lang w:val="es-CO"/>
        </w:rPr>
        <w:t>Nacionales (DIAN) con el SUNIR</w:t>
      </w:r>
      <w:r>
        <w:rPr>
          <w:rFonts w:ascii="Arial" w:hAnsi="Arial" w:cs="Arial"/>
          <w:lang w:val="es-CO"/>
        </w:rPr>
        <w:t>. La Unidad Administrativa Especial Dirección de Impuestos y Aduanas Nacionales (DIAN) está obligada a:</w:t>
      </w:r>
    </w:p>
    <w:p w14:paraId="1FBEDA67" w14:textId="77777777" w:rsidR="00B2442D" w:rsidRDefault="00B2442D">
      <w:pPr>
        <w:jc w:val="both"/>
        <w:rPr>
          <w:rFonts w:ascii="Arial" w:hAnsi="Arial" w:cs="Arial"/>
        </w:rPr>
      </w:pPr>
    </w:p>
    <w:p w14:paraId="77CD6ED1" w14:textId="77777777" w:rsidR="00B2442D" w:rsidRDefault="008A645F">
      <w:pPr>
        <w:jc w:val="both"/>
        <w:rPr>
          <w:rFonts w:ascii="Arial" w:hAnsi="Arial" w:cs="Arial"/>
        </w:rPr>
      </w:pPr>
      <w:r>
        <w:rPr>
          <w:rFonts w:ascii="Arial" w:hAnsi="Arial" w:cs="Arial"/>
        </w:rPr>
        <w:t>1. Administrar el Sistema Único Nacional de Información y Rastreo (SUNIR).</w:t>
      </w:r>
    </w:p>
    <w:p w14:paraId="1F21511F" w14:textId="77777777" w:rsidR="00B2442D" w:rsidRDefault="008A645F">
      <w:pPr>
        <w:jc w:val="both"/>
        <w:rPr>
          <w:rFonts w:ascii="Arial" w:hAnsi="Arial" w:cs="Arial"/>
        </w:rPr>
      </w:pPr>
      <w:r>
        <w:rPr>
          <w:rFonts w:ascii="Arial" w:hAnsi="Arial" w:cs="Arial"/>
        </w:rPr>
        <w:t>2. Comunicar a los sujetos pasivos del impuest</w:t>
      </w:r>
      <w:r>
        <w:rPr>
          <w:rFonts w:ascii="Arial" w:hAnsi="Arial" w:cs="Arial"/>
        </w:rPr>
        <w:t>o al consumo, con mínimo cuarenta y cinco (45) días de anticipación, la fecha de inicio de instalación del SUNIR, la definición del tipo de equipo, adecuaciones y demás aspectos técnicos, operativos y ambientales necesarios para la instalación del SUNIR.</w:t>
      </w:r>
    </w:p>
    <w:p w14:paraId="5C31DC37" w14:textId="77777777" w:rsidR="00B2442D" w:rsidRDefault="008A645F">
      <w:pPr>
        <w:jc w:val="both"/>
        <w:rPr>
          <w:rFonts w:ascii="Arial" w:hAnsi="Arial" w:cs="Arial"/>
        </w:rPr>
      </w:pPr>
      <w:r>
        <w:rPr>
          <w:rFonts w:ascii="Arial" w:hAnsi="Arial" w:cs="Arial"/>
        </w:rPr>
        <w:t>3</w:t>
      </w:r>
      <w:r>
        <w:rPr>
          <w:rFonts w:ascii="Arial" w:hAnsi="Arial" w:cs="Arial"/>
        </w:rPr>
        <w:t>. Realizar la instalación, mantenimiento e intervención, directamente o a través de un tercero autorizado, de los dispositivos físicos de medición, marcación y conteo instalados en las líneas de producción o en los sitios autorizados por la Unidad Administ</w:t>
      </w:r>
      <w:r>
        <w:rPr>
          <w:rFonts w:ascii="Arial" w:hAnsi="Arial" w:cs="Arial"/>
        </w:rPr>
        <w:t>rativa Especial Dirección de Impuestos y Aduanas Nacionales (DIAN).</w:t>
      </w:r>
    </w:p>
    <w:p w14:paraId="7FDA0E88" w14:textId="77777777" w:rsidR="00B2442D" w:rsidRDefault="008A645F">
      <w:pPr>
        <w:jc w:val="both"/>
        <w:rPr>
          <w:rFonts w:ascii="Arial" w:hAnsi="Arial" w:cs="Arial"/>
        </w:rPr>
      </w:pPr>
      <w:r>
        <w:rPr>
          <w:rFonts w:ascii="Arial" w:hAnsi="Arial" w:cs="Arial"/>
        </w:rPr>
        <w:t>4. Definir los protocolos, estándares y acuerdos de niveles de servicio que permitan garantizar la correcta operación del SUNIR.</w:t>
      </w:r>
    </w:p>
    <w:p w14:paraId="6B6C6E77" w14:textId="77777777" w:rsidR="00B2442D" w:rsidRDefault="008A645F">
      <w:pPr>
        <w:jc w:val="both"/>
        <w:rPr>
          <w:rFonts w:ascii="Arial" w:hAnsi="Arial" w:cs="Arial"/>
        </w:rPr>
      </w:pPr>
      <w:r>
        <w:rPr>
          <w:rFonts w:ascii="Arial" w:hAnsi="Arial" w:cs="Arial"/>
        </w:rPr>
        <w:t xml:space="preserve">5. Definir los protocolos y estándares para garantizar los </w:t>
      </w:r>
      <w:r>
        <w:rPr>
          <w:rFonts w:ascii="Arial" w:hAnsi="Arial" w:cs="Arial"/>
        </w:rPr>
        <w:t>niveles de seguridad requeridos por el SUNIR.</w:t>
      </w:r>
    </w:p>
    <w:p w14:paraId="39D6BD32" w14:textId="77777777" w:rsidR="00B2442D" w:rsidRDefault="008A645F">
      <w:pPr>
        <w:jc w:val="both"/>
        <w:rPr>
          <w:rFonts w:ascii="Arial" w:hAnsi="Arial" w:cs="Arial"/>
        </w:rPr>
      </w:pPr>
      <w:r>
        <w:rPr>
          <w:rFonts w:ascii="Arial" w:hAnsi="Arial" w:cs="Arial"/>
        </w:rPr>
        <w:t>6. Realizar programas que permitan la socialización y uso adecuado del sistema por parte de los diferentes actores, interesados y ciudadanos.</w:t>
      </w:r>
    </w:p>
    <w:p w14:paraId="7E250BA4" w14:textId="77777777" w:rsidR="00B2442D" w:rsidRDefault="008A645F">
      <w:pPr>
        <w:jc w:val="both"/>
        <w:rPr>
          <w:rFonts w:ascii="Arial" w:hAnsi="Arial" w:cs="Arial"/>
        </w:rPr>
      </w:pPr>
      <w:r>
        <w:rPr>
          <w:rFonts w:ascii="Arial" w:hAnsi="Arial" w:cs="Arial"/>
        </w:rPr>
        <w:t xml:space="preserve">7. Realizar directamente o a través de terceros, las actividades de </w:t>
      </w:r>
      <w:r>
        <w:rPr>
          <w:rFonts w:ascii="Arial" w:hAnsi="Arial" w:cs="Arial"/>
        </w:rPr>
        <w:t>capacitación para la configuración y parametrización de los dispositivos físicos de medición, marcación y conteo con proceso automatizado, y para la utilización del sistema.</w:t>
      </w:r>
    </w:p>
    <w:p w14:paraId="6E3C82AB" w14:textId="77777777" w:rsidR="00B2442D" w:rsidRDefault="008A645F">
      <w:pPr>
        <w:jc w:val="both"/>
        <w:rPr>
          <w:rFonts w:ascii="Arial" w:hAnsi="Arial" w:cs="Arial"/>
        </w:rPr>
      </w:pPr>
      <w:r>
        <w:rPr>
          <w:rFonts w:ascii="Arial" w:hAnsi="Arial" w:cs="Arial"/>
        </w:rPr>
        <w:t xml:space="preserve">8. Comunicar a los sujetos pasivos del impuesto al consumo, con mínimo </w:t>
      </w:r>
      <w:r>
        <w:rPr>
          <w:rFonts w:ascii="Arial" w:hAnsi="Arial" w:cs="Arial"/>
        </w:rPr>
        <w:t>treinta (30) días de anticipación a la realización del mantenimiento preventivo de los dispositivos físicos de medición, marcación y conteo instalados en las líneas de producción o en los sitios autorizados por la Unidad Administrativa Especial Dirección d</w:t>
      </w:r>
      <w:r>
        <w:rPr>
          <w:rFonts w:ascii="Arial" w:hAnsi="Arial" w:cs="Arial"/>
        </w:rPr>
        <w:t>e Impuestos y Aduanas Nacionales (DIAN).</w:t>
      </w:r>
    </w:p>
    <w:p w14:paraId="226DD023" w14:textId="77777777" w:rsidR="00B2442D" w:rsidRDefault="008A645F">
      <w:pPr>
        <w:jc w:val="both"/>
        <w:rPr>
          <w:rFonts w:ascii="Arial" w:hAnsi="Arial" w:cs="Arial"/>
        </w:rPr>
      </w:pPr>
      <w:r>
        <w:rPr>
          <w:rFonts w:ascii="Arial" w:hAnsi="Arial" w:cs="Arial"/>
        </w:rPr>
        <w:t>9. Diseñar e implementar un plan de contingencia que defina los procesos y procedimientos a seguir en caso de fallas del SUNIR que impidan el normal funcionamiento del sistema.</w:t>
      </w:r>
    </w:p>
    <w:p w14:paraId="69D6857C" w14:textId="77777777" w:rsidR="00B2442D" w:rsidRDefault="008A645F">
      <w:pPr>
        <w:jc w:val="both"/>
        <w:rPr>
          <w:rFonts w:ascii="Arial" w:hAnsi="Arial" w:cs="Arial"/>
        </w:rPr>
      </w:pPr>
      <w:r>
        <w:rPr>
          <w:rFonts w:ascii="Arial" w:hAnsi="Arial" w:cs="Arial"/>
        </w:rPr>
        <w:t>10. Poner a disposición de los sujetos</w:t>
      </w:r>
      <w:r>
        <w:rPr>
          <w:rFonts w:ascii="Arial" w:hAnsi="Arial" w:cs="Arial"/>
        </w:rPr>
        <w:t xml:space="preserve"> obligados a integrarse al SUNIR, así como al Ministerio de Hacienda y Crédito Público, al Instituto Nacional de Vigilancia de Medicamentos y Alimentos (Invima), a la Superintendencia de Industria y Comercio, a la Policía Nacional, a la Fiscalía General de</w:t>
      </w:r>
      <w:r>
        <w:rPr>
          <w:rFonts w:ascii="Arial" w:hAnsi="Arial" w:cs="Arial"/>
        </w:rPr>
        <w:t xml:space="preserve"> la Nación, a los organismos de control y a la ciudadanía en general, una mesa de ayuda con un número único nacional, a través del cual, se resuelvan las consultas y se brinde el soporte técnico solicitado.</w:t>
      </w:r>
    </w:p>
    <w:p w14:paraId="65CBDDC8" w14:textId="77777777" w:rsidR="00B2442D" w:rsidRDefault="008A645F">
      <w:pPr>
        <w:jc w:val="both"/>
        <w:rPr>
          <w:rFonts w:ascii="Arial" w:hAnsi="Arial" w:cs="Arial"/>
        </w:rPr>
      </w:pPr>
      <w:r>
        <w:rPr>
          <w:rFonts w:ascii="Arial" w:hAnsi="Arial" w:cs="Arial"/>
        </w:rPr>
        <w:t>11. Suministrar al SUNIR la información relaciona</w:t>
      </w:r>
      <w:r>
        <w:rPr>
          <w:rFonts w:ascii="Arial" w:hAnsi="Arial" w:cs="Arial"/>
        </w:rPr>
        <w:t>da con las aprehensiones y decomisos realizados por la entidad de los bienes sujetos al impuesto al consumo y alcohol etílico potable de origen extranjero.</w:t>
      </w:r>
    </w:p>
    <w:p w14:paraId="59082589" w14:textId="77777777" w:rsidR="00B2442D" w:rsidRDefault="008A645F">
      <w:pPr>
        <w:jc w:val="both"/>
        <w:rPr>
          <w:rFonts w:ascii="Arial" w:hAnsi="Arial" w:cs="Arial"/>
        </w:rPr>
      </w:pPr>
      <w:r>
        <w:rPr>
          <w:rFonts w:ascii="Arial" w:hAnsi="Arial" w:cs="Arial"/>
        </w:rPr>
        <w:t xml:space="preserve">12. Generar reportes que permitan la consulta de información a los diferentes actores o interesados </w:t>
      </w:r>
      <w:r>
        <w:rPr>
          <w:rFonts w:ascii="Arial" w:hAnsi="Arial" w:cs="Arial"/>
        </w:rPr>
        <w:t>en el SUNIR, en los términos establecidos en el artículo 2.2.1.4.23 del presente decreto.</w:t>
      </w:r>
    </w:p>
    <w:p w14:paraId="2894D77B" w14:textId="77777777" w:rsidR="00B2442D" w:rsidRDefault="00B2442D">
      <w:pPr>
        <w:rPr>
          <w:rFonts w:ascii="Arial" w:hAnsi="Arial" w:cs="Arial"/>
          <w:i/>
        </w:rPr>
      </w:pPr>
    </w:p>
    <w:p w14:paraId="711B53EF" w14:textId="77777777" w:rsidR="00B2442D" w:rsidRDefault="008A645F">
      <w:pPr>
        <w:rPr>
          <w:rFonts w:ascii="Arial" w:hAnsi="Arial" w:cs="Arial"/>
          <w:i/>
        </w:rPr>
      </w:pPr>
      <w:r>
        <w:rPr>
          <w:rFonts w:ascii="Arial" w:hAnsi="Arial" w:cs="Arial"/>
          <w:i/>
        </w:rPr>
        <w:t>(Art. 7, Decreto 602 de 2013)</w:t>
      </w:r>
    </w:p>
    <w:p w14:paraId="406FF840" w14:textId="77777777" w:rsidR="00B2442D" w:rsidRDefault="00B2442D">
      <w:pPr>
        <w:jc w:val="both"/>
        <w:rPr>
          <w:rFonts w:ascii="Arial" w:hAnsi="Arial" w:cs="Arial"/>
        </w:rPr>
      </w:pPr>
    </w:p>
    <w:p w14:paraId="229395F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Registro.</w:t>
      </w:r>
      <w:r>
        <w:rPr>
          <w:rFonts w:ascii="Arial" w:hAnsi="Arial" w:cs="Arial"/>
          <w:lang w:val="es-CO"/>
        </w:rPr>
        <w:t xml:space="preserve"> Es el proceso mediante el cual el Sistema Único Nacional de Información y Rastreo (SUNIR), recibe y almacena la información </w:t>
      </w:r>
      <w:r>
        <w:rPr>
          <w:rFonts w:ascii="Arial" w:hAnsi="Arial" w:cs="Arial"/>
          <w:lang w:val="es-CO"/>
        </w:rPr>
        <w:t>relacionada con: i) productos nacionales: los establecimientos de producción, depósitos, líneas de producción, tipos de producto, marca, y demás datos necesarios para el funcionamiento del SUNIR; y ii) productos importados: el lugar de procedencia, el luga</w:t>
      </w:r>
      <w:r>
        <w:rPr>
          <w:rFonts w:ascii="Arial" w:hAnsi="Arial" w:cs="Arial"/>
          <w:lang w:val="es-CO"/>
        </w:rPr>
        <w:t>r de ingreso, los datos del importador, el tipo de producto y marca.</w:t>
      </w:r>
    </w:p>
    <w:p w14:paraId="12ED72C9" w14:textId="77777777" w:rsidR="00B2442D" w:rsidRDefault="00B2442D">
      <w:pPr>
        <w:jc w:val="both"/>
        <w:rPr>
          <w:rFonts w:ascii="Arial" w:hAnsi="Arial" w:cs="Arial"/>
        </w:rPr>
      </w:pPr>
    </w:p>
    <w:p w14:paraId="3A595021" w14:textId="77777777" w:rsidR="00B2442D" w:rsidRDefault="008A645F">
      <w:pPr>
        <w:jc w:val="both"/>
        <w:rPr>
          <w:rFonts w:ascii="Arial" w:hAnsi="Arial" w:cs="Arial"/>
        </w:rPr>
      </w:pPr>
      <w:r>
        <w:rPr>
          <w:rFonts w:ascii="Arial" w:hAnsi="Arial" w:cs="Arial"/>
        </w:rPr>
        <w:t>El Sistema Único Nacional de Información y Rastreo (SUNIR) almacenará la información de los sujetos pasivos responsables del impuesto al consumo: Nombre o razón social; calidad en que ac</w:t>
      </w:r>
      <w:r>
        <w:rPr>
          <w:rFonts w:ascii="Arial" w:hAnsi="Arial" w:cs="Arial"/>
        </w:rPr>
        <w:t>túa; dirección y número telefónico del domicilio principal, de las agencias, sucursales, lugares de distribución; identificación de los productos que importa, produce o distribuye (marca, presentación, envase, etc.); dirección y ubicación de las bodegas qu</w:t>
      </w:r>
      <w:r>
        <w:rPr>
          <w:rFonts w:ascii="Arial" w:hAnsi="Arial" w:cs="Arial"/>
        </w:rPr>
        <w:t>e posea; los sitios de producción autorizados; las líneas de producción instaladas y lugares de depósito.</w:t>
      </w:r>
    </w:p>
    <w:p w14:paraId="0F63C3EE" w14:textId="77777777" w:rsidR="00B2442D" w:rsidRDefault="00B2442D">
      <w:pPr>
        <w:jc w:val="both"/>
        <w:rPr>
          <w:rFonts w:ascii="Arial" w:hAnsi="Arial" w:cs="Arial"/>
        </w:rPr>
      </w:pPr>
    </w:p>
    <w:p w14:paraId="01602EF2" w14:textId="77777777" w:rsidR="00B2442D" w:rsidRDefault="008A645F">
      <w:pPr>
        <w:jc w:val="both"/>
        <w:rPr>
          <w:rFonts w:ascii="Arial" w:hAnsi="Arial" w:cs="Arial"/>
        </w:rPr>
      </w:pPr>
      <w:r>
        <w:rPr>
          <w:rFonts w:ascii="Arial" w:hAnsi="Arial" w:cs="Arial"/>
        </w:rPr>
        <w:t>El Sistema Único Nacional de Información y Rastreo (SUNIR) contendrá, además, la información fiscal o tributaria derivada de la importación, producci</w:t>
      </w:r>
      <w:r>
        <w:rPr>
          <w:rFonts w:ascii="Arial" w:hAnsi="Arial" w:cs="Arial"/>
        </w:rPr>
        <w:t>ón, distribución y consumo de los productos de que trata el presente decreto; así como la información sobre la aplicación legal del impuesto al consumo y/o la participación del monopolio de licores destilados, en los diferentes sectores que financie.</w:t>
      </w:r>
    </w:p>
    <w:p w14:paraId="61F5B734" w14:textId="77777777" w:rsidR="00B2442D" w:rsidRDefault="00B2442D">
      <w:pPr>
        <w:jc w:val="both"/>
        <w:rPr>
          <w:rFonts w:ascii="Arial" w:hAnsi="Arial" w:cs="Arial"/>
        </w:rPr>
      </w:pPr>
    </w:p>
    <w:p w14:paraId="2A823610" w14:textId="77777777" w:rsidR="00B2442D" w:rsidRDefault="008A645F">
      <w:pPr>
        <w:jc w:val="both"/>
        <w:rPr>
          <w:rFonts w:ascii="Arial" w:hAnsi="Arial" w:cs="Arial"/>
        </w:rPr>
      </w:pPr>
      <w:r>
        <w:rPr>
          <w:rFonts w:ascii="Arial" w:hAnsi="Arial" w:cs="Arial"/>
        </w:rPr>
        <w:t>La i</w:t>
      </w:r>
      <w:r>
        <w:rPr>
          <w:rFonts w:ascii="Arial" w:hAnsi="Arial" w:cs="Arial"/>
        </w:rPr>
        <w:t>nformación contenida en el registro de importadores, productores y distribuidores de que trata el artículo 215 de la Ley 223 de 1995, reglamentado por el artículo 2.2.1.2.12 del presente Decreto será utilizada como fuente de información para este proceso.</w:t>
      </w:r>
    </w:p>
    <w:p w14:paraId="6060BF87" w14:textId="77777777" w:rsidR="00B2442D" w:rsidRDefault="00B2442D">
      <w:pPr>
        <w:jc w:val="both"/>
        <w:rPr>
          <w:rFonts w:ascii="Arial" w:hAnsi="Arial" w:cs="Arial"/>
        </w:rPr>
      </w:pPr>
    </w:p>
    <w:p w14:paraId="7AA09553" w14:textId="77777777" w:rsidR="00B2442D" w:rsidRDefault="008A645F">
      <w:pPr>
        <w:jc w:val="both"/>
        <w:rPr>
          <w:rFonts w:ascii="Arial" w:hAnsi="Arial" w:cs="Arial"/>
        </w:rPr>
      </w:pPr>
      <w:r>
        <w:rPr>
          <w:rFonts w:ascii="Arial" w:hAnsi="Arial" w:cs="Arial"/>
          <w:b/>
        </w:rPr>
        <w:t>Parágrafo.</w:t>
      </w:r>
      <w:r>
        <w:rPr>
          <w:rFonts w:ascii="Arial" w:hAnsi="Arial" w:cs="Arial"/>
        </w:rPr>
        <w:t xml:space="preserve"> La Unidad Administrativa Especial Dirección de Impuestos y Aduanas Nacionales (DIAN) determinará mediante resolución de carácter general, la información adicional que requiera el SUNIR para el proceso de registro.</w:t>
      </w:r>
    </w:p>
    <w:p w14:paraId="7D8D97F2" w14:textId="77777777" w:rsidR="00B2442D" w:rsidRDefault="00B2442D">
      <w:pPr>
        <w:rPr>
          <w:rFonts w:ascii="Arial" w:hAnsi="Arial" w:cs="Arial"/>
          <w:i/>
        </w:rPr>
      </w:pPr>
    </w:p>
    <w:p w14:paraId="3C0B166D" w14:textId="77777777" w:rsidR="00B2442D" w:rsidRDefault="008A645F">
      <w:pPr>
        <w:rPr>
          <w:rFonts w:ascii="Arial" w:hAnsi="Arial" w:cs="Arial"/>
          <w:i/>
        </w:rPr>
      </w:pPr>
      <w:r>
        <w:rPr>
          <w:rFonts w:ascii="Arial" w:hAnsi="Arial" w:cs="Arial"/>
          <w:i/>
        </w:rPr>
        <w:t>(Art. 8, Decreto 602 de 2013)</w:t>
      </w:r>
    </w:p>
    <w:p w14:paraId="106822A6" w14:textId="77777777" w:rsidR="00B2442D" w:rsidRDefault="00B2442D">
      <w:pPr>
        <w:rPr>
          <w:rFonts w:ascii="Arial" w:hAnsi="Arial" w:cs="Arial"/>
          <w:i/>
        </w:rPr>
      </w:pPr>
    </w:p>
    <w:p w14:paraId="060605FC"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Carga Ini</w:t>
      </w:r>
      <w:r>
        <w:rPr>
          <w:rFonts w:ascii="Arial" w:hAnsi="Arial" w:cs="Arial"/>
          <w:b/>
          <w:i/>
          <w:lang w:val="es-CO"/>
        </w:rPr>
        <w:t xml:space="preserve">cial de Información. </w:t>
      </w:r>
      <w:r>
        <w:rPr>
          <w:rFonts w:ascii="Arial" w:hAnsi="Arial" w:cs="Arial"/>
          <w:lang w:val="es-CO"/>
        </w:rPr>
        <w:t>El Sistema Único Nacional de Información y Rastreo (SUNIR) obtendrá la información de las bases de datos de la Unidad Administrativa Especial Dirección de Impuestos y Aduanas Nacionales (DIAN), los sujetos pasivos responsables del impu</w:t>
      </w:r>
      <w:r>
        <w:rPr>
          <w:rFonts w:ascii="Arial" w:hAnsi="Arial" w:cs="Arial"/>
          <w:lang w:val="es-CO"/>
        </w:rPr>
        <w:t>esto al consumo, la Federación Nacional de Departamentos, los departamentos, el Distrito Capital, a través de mecanismos y procedimientos que la Unidad Administrativa Especial Dirección de Impuestos y Aduanas Nacionales (DIAN) determine.</w:t>
      </w:r>
    </w:p>
    <w:p w14:paraId="3020598F" w14:textId="77777777" w:rsidR="00B2442D" w:rsidRDefault="00B2442D">
      <w:pPr>
        <w:rPr>
          <w:rFonts w:ascii="Arial" w:hAnsi="Arial" w:cs="Arial"/>
          <w:i/>
        </w:rPr>
      </w:pPr>
    </w:p>
    <w:p w14:paraId="64188196" w14:textId="77777777" w:rsidR="00B2442D" w:rsidRDefault="008A645F">
      <w:pPr>
        <w:rPr>
          <w:rFonts w:ascii="Arial" w:hAnsi="Arial" w:cs="Arial"/>
          <w:i/>
        </w:rPr>
      </w:pPr>
      <w:r>
        <w:rPr>
          <w:rFonts w:ascii="Arial" w:hAnsi="Arial" w:cs="Arial"/>
          <w:i/>
        </w:rPr>
        <w:t xml:space="preserve">(Art. 9, Decreto </w:t>
      </w:r>
      <w:r>
        <w:rPr>
          <w:rFonts w:ascii="Arial" w:hAnsi="Arial" w:cs="Arial"/>
          <w:i/>
        </w:rPr>
        <w:t>602 de 2013)</w:t>
      </w:r>
    </w:p>
    <w:p w14:paraId="1B305201" w14:textId="77777777" w:rsidR="00B2442D" w:rsidRDefault="00B2442D">
      <w:pPr>
        <w:jc w:val="both"/>
        <w:rPr>
          <w:rFonts w:ascii="Arial" w:hAnsi="Arial" w:cs="Arial"/>
        </w:rPr>
      </w:pPr>
    </w:p>
    <w:p w14:paraId="27C6A32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Actualización de Información.</w:t>
      </w:r>
      <w:r>
        <w:rPr>
          <w:rFonts w:ascii="Arial" w:hAnsi="Arial" w:cs="Arial"/>
          <w:lang w:val="es-CO"/>
        </w:rPr>
        <w:t xml:space="preserve"> A partir de la carga inicial, los sujetos pasivos responsables del impuesto al consumo, los departamentos y el Distrito Capital están en la obligación de reportar las novedades de información propias del proceso </w:t>
      </w:r>
      <w:r>
        <w:rPr>
          <w:rFonts w:ascii="Arial" w:hAnsi="Arial" w:cs="Arial"/>
          <w:lang w:val="es-CO"/>
        </w:rPr>
        <w:t>de registro contenido en el artículo 2.2.1.4.8 del presente decreto, que se encuentra almacenada en el (SUNIR), registrando información nueva o actualizando la existente.</w:t>
      </w:r>
    </w:p>
    <w:p w14:paraId="0A6E61F2" w14:textId="77777777" w:rsidR="00B2442D" w:rsidRDefault="00B2442D">
      <w:pPr>
        <w:jc w:val="both"/>
        <w:rPr>
          <w:rFonts w:ascii="Arial" w:hAnsi="Arial" w:cs="Arial"/>
        </w:rPr>
      </w:pPr>
    </w:p>
    <w:p w14:paraId="47B032AB" w14:textId="77777777" w:rsidR="00B2442D" w:rsidRDefault="008A645F">
      <w:pPr>
        <w:jc w:val="both"/>
        <w:rPr>
          <w:rFonts w:ascii="Arial" w:hAnsi="Arial" w:cs="Arial"/>
        </w:rPr>
      </w:pPr>
      <w:r>
        <w:rPr>
          <w:rFonts w:ascii="Arial" w:hAnsi="Arial" w:cs="Arial"/>
        </w:rPr>
        <w:t>Cuando la información esté relacionada con la creación de nuevos sitios de producció</w:t>
      </w:r>
      <w:r>
        <w:rPr>
          <w:rFonts w:ascii="Arial" w:hAnsi="Arial" w:cs="Arial"/>
        </w:rPr>
        <w:t>n, nuevas bodegas, la implementación, activación, desactivación o reactivación de líneas de producción, máquinas y equipos, nuevos productos, o cualquier adecuación en la presentación o envase del producto, deberá ser reportada al SUNIR con treinta (30) dí</w:t>
      </w:r>
      <w:r>
        <w:rPr>
          <w:rFonts w:ascii="Arial" w:hAnsi="Arial" w:cs="Arial"/>
        </w:rPr>
        <w:t>as de antelación.</w:t>
      </w:r>
    </w:p>
    <w:p w14:paraId="4D9494F9" w14:textId="77777777" w:rsidR="00B2442D" w:rsidRDefault="00B2442D">
      <w:pPr>
        <w:jc w:val="both"/>
        <w:rPr>
          <w:rFonts w:ascii="Arial" w:hAnsi="Arial" w:cs="Arial"/>
        </w:rPr>
      </w:pPr>
    </w:p>
    <w:p w14:paraId="5823FFE7" w14:textId="77777777" w:rsidR="00B2442D" w:rsidRDefault="008A645F">
      <w:pPr>
        <w:jc w:val="both"/>
        <w:rPr>
          <w:rFonts w:ascii="Arial" w:hAnsi="Arial" w:cs="Arial"/>
        </w:rPr>
      </w:pPr>
      <w:r>
        <w:rPr>
          <w:rFonts w:ascii="Arial" w:hAnsi="Arial" w:cs="Arial"/>
        </w:rPr>
        <w:t>Las demás novedades, tales como cambio de representante legal, domicilio, que no estén estrictamente relacionados con la producción, deberán registrarse dentro de los cinco (5) días hábiles siguientes de ocurrida la misma. La Unidad Admi</w:t>
      </w:r>
      <w:r>
        <w:rPr>
          <w:rFonts w:ascii="Arial" w:hAnsi="Arial" w:cs="Arial"/>
        </w:rPr>
        <w:t>nistrativa Especial Dirección de Impuestos y Aduanas Nacionales (DIAN) determinará las condiciones para la actualización de la información.</w:t>
      </w:r>
    </w:p>
    <w:p w14:paraId="781D2CE3" w14:textId="77777777" w:rsidR="00B2442D" w:rsidRDefault="00B2442D">
      <w:pPr>
        <w:rPr>
          <w:rFonts w:ascii="Arial" w:hAnsi="Arial" w:cs="Arial"/>
          <w:i/>
        </w:rPr>
      </w:pPr>
    </w:p>
    <w:p w14:paraId="124FF6DB" w14:textId="77777777" w:rsidR="00B2442D" w:rsidRDefault="008A645F">
      <w:pPr>
        <w:rPr>
          <w:rFonts w:ascii="Arial" w:hAnsi="Arial" w:cs="Arial"/>
          <w:i/>
        </w:rPr>
      </w:pPr>
      <w:r>
        <w:rPr>
          <w:rFonts w:ascii="Arial" w:hAnsi="Arial" w:cs="Arial"/>
          <w:i/>
        </w:rPr>
        <w:t>(Art. 10, Decreto 602 de 2013)</w:t>
      </w:r>
    </w:p>
    <w:p w14:paraId="20BDE2BD" w14:textId="77777777" w:rsidR="00B2442D" w:rsidRDefault="00B2442D">
      <w:pPr>
        <w:jc w:val="both"/>
        <w:rPr>
          <w:rFonts w:ascii="Arial" w:hAnsi="Arial" w:cs="Arial"/>
        </w:rPr>
      </w:pPr>
    </w:p>
    <w:p w14:paraId="2FB02276"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Medición.</w:t>
      </w:r>
      <w:r>
        <w:rPr>
          <w:rFonts w:ascii="Arial" w:hAnsi="Arial" w:cs="Arial"/>
          <w:lang w:val="es-CO"/>
        </w:rPr>
        <w:t xml:space="preserve"> Es el proceso mediante el cual la Unidad Administrativa Especial Direcció</w:t>
      </w:r>
      <w:r>
        <w:rPr>
          <w:rFonts w:ascii="Arial" w:hAnsi="Arial" w:cs="Arial"/>
          <w:lang w:val="es-CO"/>
        </w:rPr>
        <w:t>n de Impuestos y Aduanas Nacionales (DIAN), directamente o a través de un tercero autorizado, instala dispositivos electrónicos que permiten obtener de manera automática y directa información de volumen y características físico-químicas del alcohol etílico</w:t>
      </w:r>
      <w:r>
        <w:rPr>
          <w:rFonts w:ascii="Arial" w:hAnsi="Arial" w:cs="Arial"/>
          <w:lang w:val="es-CO"/>
        </w:rPr>
        <w:t xml:space="preserve"> potable destinado a la fabricación de licores.</w:t>
      </w:r>
    </w:p>
    <w:p w14:paraId="1326CC61" w14:textId="77777777" w:rsidR="00B2442D" w:rsidRDefault="00B2442D">
      <w:pPr>
        <w:jc w:val="both"/>
        <w:rPr>
          <w:rFonts w:ascii="Arial" w:hAnsi="Arial" w:cs="Arial"/>
        </w:rPr>
      </w:pPr>
    </w:p>
    <w:p w14:paraId="527B71F7" w14:textId="77777777" w:rsidR="00B2442D" w:rsidRDefault="008A645F">
      <w:pPr>
        <w:jc w:val="both"/>
        <w:rPr>
          <w:rFonts w:ascii="Arial" w:hAnsi="Arial" w:cs="Arial"/>
        </w:rPr>
      </w:pPr>
      <w:r>
        <w:rPr>
          <w:rFonts w:ascii="Arial" w:hAnsi="Arial" w:cs="Arial"/>
        </w:rPr>
        <w:t>La medición también se realizará para el producto terminado que fluye entre los tanques o zonas de preparación respectivas y las máquinas llenadoras de bebidas alcohólicas.</w:t>
      </w:r>
    </w:p>
    <w:p w14:paraId="64CFEA91" w14:textId="77777777" w:rsidR="00B2442D" w:rsidRDefault="00B2442D">
      <w:pPr>
        <w:jc w:val="both"/>
        <w:rPr>
          <w:rFonts w:ascii="Arial" w:hAnsi="Arial" w:cs="Arial"/>
        </w:rPr>
      </w:pPr>
    </w:p>
    <w:p w14:paraId="1766B4B7" w14:textId="77777777" w:rsidR="00B2442D" w:rsidRDefault="008A645F">
      <w:pPr>
        <w:jc w:val="both"/>
        <w:rPr>
          <w:rFonts w:ascii="Arial" w:hAnsi="Arial" w:cs="Arial"/>
        </w:rPr>
      </w:pPr>
      <w:r>
        <w:rPr>
          <w:rFonts w:ascii="Arial" w:hAnsi="Arial" w:cs="Arial"/>
        </w:rPr>
        <w:t>Esta información permitirá contab</w:t>
      </w:r>
      <w:r>
        <w:rPr>
          <w:rFonts w:ascii="Arial" w:hAnsi="Arial" w:cs="Arial"/>
        </w:rPr>
        <w:t>ilizar el volumen de insumos utilizados y el volumen de producto terminado. Dicha información deberá ser almacenada y transmitida al Sistema de Información del SUNIR.</w:t>
      </w:r>
    </w:p>
    <w:p w14:paraId="5A2F8381" w14:textId="77777777" w:rsidR="00B2442D" w:rsidRDefault="00B2442D">
      <w:pPr>
        <w:jc w:val="both"/>
        <w:rPr>
          <w:rFonts w:ascii="Arial" w:hAnsi="Arial" w:cs="Arial"/>
        </w:rPr>
      </w:pPr>
    </w:p>
    <w:p w14:paraId="6BD4E073"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cada tipo de industria y/o producto, la Unidad Administrativa Especial D</w:t>
      </w:r>
      <w:r>
        <w:rPr>
          <w:rFonts w:ascii="Arial" w:hAnsi="Arial" w:cs="Arial"/>
        </w:rPr>
        <w:t>irección de Impuestos y Aduanas Nacionales (DIAN) definirá las tecnologías de medición, teniendo en cuenta las especificidades de cada una, mediante resolución de carácter general.</w:t>
      </w:r>
    </w:p>
    <w:p w14:paraId="60B38DE4" w14:textId="77777777" w:rsidR="00B2442D" w:rsidRDefault="00B2442D">
      <w:pPr>
        <w:rPr>
          <w:rFonts w:ascii="Arial" w:hAnsi="Arial" w:cs="Arial"/>
          <w:i/>
        </w:rPr>
      </w:pPr>
    </w:p>
    <w:p w14:paraId="6357563E" w14:textId="77777777" w:rsidR="00B2442D" w:rsidRDefault="008A645F">
      <w:pPr>
        <w:rPr>
          <w:rFonts w:ascii="Arial" w:hAnsi="Arial" w:cs="Arial"/>
          <w:i/>
        </w:rPr>
      </w:pPr>
      <w:r>
        <w:rPr>
          <w:rFonts w:ascii="Arial" w:hAnsi="Arial" w:cs="Arial"/>
          <w:i/>
        </w:rPr>
        <w:t>(Art. 11, Decreto 602 de 2013)</w:t>
      </w:r>
    </w:p>
    <w:p w14:paraId="28947060" w14:textId="77777777" w:rsidR="00B2442D" w:rsidRDefault="00B2442D">
      <w:pPr>
        <w:jc w:val="both"/>
        <w:rPr>
          <w:rFonts w:ascii="Arial" w:hAnsi="Arial" w:cs="Arial"/>
        </w:rPr>
      </w:pPr>
    </w:p>
    <w:p w14:paraId="61A7E345"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Marcación y Conteo.</w:t>
      </w:r>
      <w:r>
        <w:rPr>
          <w:rFonts w:ascii="Arial" w:hAnsi="Arial" w:cs="Arial"/>
          <w:lang w:val="es-CO"/>
        </w:rPr>
        <w:t xml:space="preserve"> Es el proceso mediante</w:t>
      </w:r>
      <w:r>
        <w:rPr>
          <w:rFonts w:ascii="Arial" w:hAnsi="Arial" w:cs="Arial"/>
          <w:lang w:val="es-CO"/>
        </w:rPr>
        <w:t xml:space="preserve"> el cual la Unidad Administrativa Especial Dirección de Impuestos y Aduanas Nacionales (DIAN), directamente o a través de un tercero autorizado, adhiere o imprime directamente en cada producto, en su unidad de empaque, tapa, envoltura o envase, dependiendo</w:t>
      </w:r>
      <w:r>
        <w:rPr>
          <w:rFonts w:ascii="Arial" w:hAnsi="Arial" w:cs="Arial"/>
          <w:lang w:val="es-CO"/>
        </w:rPr>
        <w:t xml:space="preserve"> de la especificidad del producto, un elemento físico o una marca de seguridad que permita adicionalmente contabilizar los productos en el momento de su aplicación. Dicha información deberá ser almacenada temporalmente en el dispositivo físico y transmitid</w:t>
      </w:r>
      <w:r>
        <w:rPr>
          <w:rFonts w:ascii="Arial" w:hAnsi="Arial" w:cs="Arial"/>
          <w:lang w:val="es-CO"/>
        </w:rPr>
        <w:t>a al Sistema de Información del SUNIR.</w:t>
      </w:r>
    </w:p>
    <w:p w14:paraId="00C6CA74" w14:textId="77777777" w:rsidR="00B2442D" w:rsidRDefault="00B2442D">
      <w:pPr>
        <w:jc w:val="both"/>
        <w:rPr>
          <w:rFonts w:ascii="Arial" w:hAnsi="Arial" w:cs="Arial"/>
        </w:rPr>
      </w:pPr>
    </w:p>
    <w:p w14:paraId="65516555"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cada tipo de industria y/o producto, nacional o importado, la Unidad Administrativa Especial Dirección de Impuestos y Aduanas Nacionales (DIAN) definirá las tecnologías de marcación, teniendo en cuenta las especificidades de cada una, mediante resolu</w:t>
      </w:r>
      <w:r>
        <w:rPr>
          <w:rFonts w:ascii="Arial" w:hAnsi="Arial" w:cs="Arial"/>
        </w:rPr>
        <w:t>ción de carácter general.</w:t>
      </w:r>
    </w:p>
    <w:p w14:paraId="7EA959A0" w14:textId="77777777" w:rsidR="00B2442D" w:rsidRDefault="00B2442D">
      <w:pPr>
        <w:rPr>
          <w:rFonts w:ascii="Arial" w:hAnsi="Arial" w:cs="Arial"/>
          <w:i/>
        </w:rPr>
      </w:pPr>
    </w:p>
    <w:p w14:paraId="41E03C12" w14:textId="77777777" w:rsidR="00B2442D" w:rsidRDefault="008A645F">
      <w:pPr>
        <w:rPr>
          <w:rFonts w:ascii="Arial" w:hAnsi="Arial" w:cs="Arial"/>
          <w:i/>
        </w:rPr>
      </w:pPr>
      <w:r>
        <w:rPr>
          <w:rFonts w:ascii="Arial" w:hAnsi="Arial" w:cs="Arial"/>
          <w:i/>
        </w:rPr>
        <w:t>(Art. 12, Decreto 602 de 2013)</w:t>
      </w:r>
    </w:p>
    <w:p w14:paraId="526D5C93" w14:textId="77777777" w:rsidR="00B2442D" w:rsidRDefault="00B2442D">
      <w:pPr>
        <w:jc w:val="both"/>
        <w:rPr>
          <w:rFonts w:ascii="Arial" w:hAnsi="Arial" w:cs="Arial"/>
        </w:rPr>
      </w:pPr>
    </w:p>
    <w:p w14:paraId="48854BA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Información de Marcación y Conteo.</w:t>
      </w:r>
      <w:r>
        <w:rPr>
          <w:rFonts w:ascii="Arial" w:hAnsi="Arial" w:cs="Arial"/>
          <w:lang w:val="es-CO"/>
        </w:rPr>
        <w:t xml:space="preserve"> La información relativa al producto, que permita identificar los datos de fabricación del producto, procedencia, marca, descripción del producto, etc., deberá ser</w:t>
      </w:r>
      <w:r>
        <w:rPr>
          <w:rFonts w:ascii="Arial" w:hAnsi="Arial" w:cs="Arial"/>
          <w:lang w:val="es-CO"/>
        </w:rPr>
        <w:t xml:space="preserve"> almacenada en equipos de propiedad de la Unidad Administrativa Especial Dirección de Impuestos y Aduanas Nacionales (DIAN) o del tercero que se contrate para tal fin, garantizando que esta información se mantenga segura e inmodificable para ser trasmitida</w:t>
      </w:r>
      <w:r>
        <w:rPr>
          <w:rFonts w:ascii="Arial" w:hAnsi="Arial" w:cs="Arial"/>
          <w:lang w:val="es-CO"/>
        </w:rPr>
        <w:t xml:space="preserve"> al SUNIR. La Unidad Administrativa Especial Dirección de Impuestos y Aduanas Nacionales (DIAN) determinará mediante resolución de carácter general el detalle de esta información.</w:t>
      </w:r>
    </w:p>
    <w:p w14:paraId="3CB4B7E9" w14:textId="77777777" w:rsidR="00B2442D" w:rsidRDefault="00B2442D">
      <w:pPr>
        <w:rPr>
          <w:rFonts w:ascii="Arial" w:hAnsi="Arial" w:cs="Arial"/>
          <w:i/>
        </w:rPr>
      </w:pPr>
    </w:p>
    <w:p w14:paraId="7C0048D9" w14:textId="77777777" w:rsidR="00B2442D" w:rsidRDefault="008A645F">
      <w:pPr>
        <w:rPr>
          <w:rFonts w:ascii="Arial" w:hAnsi="Arial" w:cs="Arial"/>
          <w:i/>
        </w:rPr>
      </w:pPr>
      <w:r>
        <w:rPr>
          <w:rFonts w:ascii="Arial" w:hAnsi="Arial" w:cs="Arial"/>
          <w:i/>
        </w:rPr>
        <w:t>(Art. 13, Decreto 602 de 2013)</w:t>
      </w:r>
    </w:p>
    <w:p w14:paraId="31F7998E" w14:textId="77777777" w:rsidR="00B2442D" w:rsidRDefault="00B2442D">
      <w:pPr>
        <w:jc w:val="both"/>
        <w:rPr>
          <w:rFonts w:ascii="Arial" w:hAnsi="Arial" w:cs="Arial"/>
        </w:rPr>
      </w:pPr>
    </w:p>
    <w:p w14:paraId="02CAA5A5"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 xml:space="preserve">Lugar de Medición, Marcación y </w:t>
      </w:r>
      <w:r>
        <w:rPr>
          <w:rFonts w:ascii="Arial" w:hAnsi="Arial" w:cs="Arial"/>
          <w:b/>
          <w:i/>
          <w:lang w:val="es-CO"/>
        </w:rPr>
        <w:t>Conteo.</w:t>
      </w:r>
      <w:r>
        <w:rPr>
          <w:rFonts w:ascii="Arial" w:hAnsi="Arial" w:cs="Arial"/>
          <w:lang w:val="es-CO"/>
        </w:rPr>
        <w:t xml:space="preserve"> Para el caso de los productos nacionales, estos se medirán, marcarán y contarán en las líneas de producción.</w:t>
      </w:r>
    </w:p>
    <w:p w14:paraId="3341623D" w14:textId="77777777" w:rsidR="00B2442D" w:rsidRDefault="00B2442D">
      <w:pPr>
        <w:jc w:val="both"/>
        <w:rPr>
          <w:rFonts w:ascii="Arial" w:hAnsi="Arial" w:cs="Arial"/>
        </w:rPr>
      </w:pPr>
    </w:p>
    <w:p w14:paraId="6E6299F2" w14:textId="77777777" w:rsidR="00B2442D" w:rsidRDefault="008A645F">
      <w:pPr>
        <w:jc w:val="both"/>
        <w:rPr>
          <w:rFonts w:ascii="Arial" w:hAnsi="Arial" w:cs="Arial"/>
        </w:rPr>
      </w:pPr>
      <w:r>
        <w:rPr>
          <w:rFonts w:ascii="Arial" w:hAnsi="Arial" w:cs="Arial"/>
        </w:rPr>
        <w:t>En caso que no sea posible hacer la marcación en las líneas de producción, esta se deberá realizar en los sitios de producción autorizados</w:t>
      </w:r>
      <w:r>
        <w:rPr>
          <w:rFonts w:ascii="Arial" w:hAnsi="Arial" w:cs="Arial"/>
        </w:rPr>
        <w:t xml:space="preserve"> por las autoridades correspondientes.</w:t>
      </w:r>
    </w:p>
    <w:p w14:paraId="57B8DD50" w14:textId="77777777" w:rsidR="00B2442D" w:rsidRDefault="00B2442D">
      <w:pPr>
        <w:jc w:val="both"/>
        <w:rPr>
          <w:rFonts w:ascii="Arial" w:hAnsi="Arial" w:cs="Arial"/>
        </w:rPr>
      </w:pPr>
    </w:p>
    <w:p w14:paraId="6A0F1E67" w14:textId="77777777" w:rsidR="00B2442D" w:rsidRDefault="008A645F">
      <w:pPr>
        <w:jc w:val="both"/>
        <w:rPr>
          <w:rFonts w:ascii="Arial" w:hAnsi="Arial" w:cs="Arial"/>
        </w:rPr>
      </w:pPr>
      <w:r>
        <w:rPr>
          <w:rFonts w:ascii="Arial" w:hAnsi="Arial" w:cs="Arial"/>
        </w:rPr>
        <w:t xml:space="preserve">Para el caso de los productos importados, la marcación se realizará en los sitios autorizados por la Unidad Administrativa Especial Dirección de Impuestos y Aduanas Nacionales (DIAN) y en todo caso antes del levante </w:t>
      </w:r>
      <w:r>
        <w:rPr>
          <w:rFonts w:ascii="Arial" w:hAnsi="Arial" w:cs="Arial"/>
        </w:rPr>
        <w:t>de la mercancía.</w:t>
      </w:r>
    </w:p>
    <w:p w14:paraId="610E352D" w14:textId="77777777" w:rsidR="00B2442D" w:rsidRDefault="00B2442D">
      <w:pPr>
        <w:jc w:val="both"/>
        <w:rPr>
          <w:rFonts w:ascii="Arial" w:hAnsi="Arial" w:cs="Arial"/>
        </w:rPr>
      </w:pPr>
    </w:p>
    <w:p w14:paraId="791ADE6E" w14:textId="77777777" w:rsidR="00B2442D" w:rsidRDefault="008A645F">
      <w:pPr>
        <w:jc w:val="both"/>
        <w:rPr>
          <w:rFonts w:ascii="Arial" w:hAnsi="Arial" w:cs="Arial"/>
        </w:rPr>
      </w:pPr>
      <w:r>
        <w:rPr>
          <w:rFonts w:ascii="Arial" w:hAnsi="Arial" w:cs="Arial"/>
        </w:rPr>
        <w:t>Tratándose de licores, vinos, aperitivos y similares importados a granel, para ser envasados en el país, la marcación se realizará como producto nacional.</w:t>
      </w:r>
    </w:p>
    <w:p w14:paraId="16D40F0F" w14:textId="77777777" w:rsidR="00B2442D" w:rsidRDefault="00B2442D">
      <w:pPr>
        <w:rPr>
          <w:rFonts w:ascii="Arial" w:hAnsi="Arial" w:cs="Arial"/>
          <w:i/>
        </w:rPr>
      </w:pPr>
    </w:p>
    <w:p w14:paraId="605277E8" w14:textId="77777777" w:rsidR="00B2442D" w:rsidRDefault="008A645F">
      <w:pPr>
        <w:rPr>
          <w:rFonts w:ascii="Arial" w:hAnsi="Arial" w:cs="Arial"/>
          <w:i/>
        </w:rPr>
      </w:pPr>
      <w:r>
        <w:rPr>
          <w:rFonts w:ascii="Arial" w:hAnsi="Arial" w:cs="Arial"/>
          <w:i/>
        </w:rPr>
        <w:t>(Art. 14, Decreto 602 de 2013)</w:t>
      </w:r>
    </w:p>
    <w:p w14:paraId="56CEE7BB" w14:textId="77777777" w:rsidR="00B2442D" w:rsidRDefault="00B2442D">
      <w:pPr>
        <w:jc w:val="both"/>
        <w:rPr>
          <w:rFonts w:ascii="Arial" w:hAnsi="Arial" w:cs="Arial"/>
        </w:rPr>
      </w:pPr>
    </w:p>
    <w:p w14:paraId="5A9CD2B7"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Marcación y Conteo en Zonas de Régimen Aduanero Es</w:t>
      </w:r>
      <w:r>
        <w:rPr>
          <w:rFonts w:ascii="Arial" w:hAnsi="Arial" w:cs="Arial"/>
          <w:b/>
          <w:i/>
          <w:lang w:val="es-CO"/>
        </w:rPr>
        <w:t>pecial y en el Puerto Libre de San Andrés, Providencia y Santa Catalina.</w:t>
      </w:r>
      <w:r>
        <w:rPr>
          <w:rFonts w:ascii="Arial" w:hAnsi="Arial" w:cs="Arial"/>
          <w:lang w:val="es-CO"/>
        </w:rPr>
        <w:t xml:space="preserve"> Los bienes sujetos al impuesto al consumo de licores, vinos, aperitivos y similares; de cerveza, sifones, refajos y mezclas; de cigarrillos y tabaco elaborado que se importen a las Zo</w:t>
      </w:r>
      <w:r>
        <w:rPr>
          <w:rFonts w:ascii="Arial" w:hAnsi="Arial" w:cs="Arial"/>
          <w:lang w:val="es-CO"/>
        </w:rPr>
        <w:t>nas de Régimen Aduanero Especial o al Puerto Libre de San Andrés, Providencia y Santa Catalina, deberán ser sometidas al proceso de marcación y conteo en los sitios autorizados por la Unidad Administrativa Especial Dirección de Impuestos y Aduanas Nacional</w:t>
      </w:r>
      <w:r>
        <w:rPr>
          <w:rFonts w:ascii="Arial" w:hAnsi="Arial" w:cs="Arial"/>
          <w:lang w:val="es-CO"/>
        </w:rPr>
        <w:t>es (DIAN) y en todo caso antes del levante de la mercancía.</w:t>
      </w:r>
    </w:p>
    <w:p w14:paraId="4D4C91E4" w14:textId="77777777" w:rsidR="00B2442D" w:rsidRDefault="00B2442D">
      <w:pPr>
        <w:jc w:val="both"/>
        <w:rPr>
          <w:rFonts w:ascii="Arial" w:hAnsi="Arial" w:cs="Arial"/>
        </w:rPr>
      </w:pPr>
    </w:p>
    <w:p w14:paraId="0D85C8C0" w14:textId="77777777" w:rsidR="00B2442D" w:rsidRDefault="008A645F">
      <w:pPr>
        <w:jc w:val="both"/>
        <w:rPr>
          <w:rFonts w:ascii="Arial" w:hAnsi="Arial" w:cs="Arial"/>
        </w:rPr>
      </w:pPr>
      <w:r>
        <w:rPr>
          <w:rFonts w:ascii="Arial" w:hAnsi="Arial" w:cs="Arial"/>
        </w:rPr>
        <w:t>La misma obligación aplica para estos mismos bienes, cuando se importen desde Zona Franca al resto del Territorio Aduanero Nacional.</w:t>
      </w:r>
    </w:p>
    <w:p w14:paraId="607316F5" w14:textId="77777777" w:rsidR="00B2442D" w:rsidRDefault="00B2442D">
      <w:pPr>
        <w:rPr>
          <w:rFonts w:ascii="Arial" w:hAnsi="Arial" w:cs="Arial"/>
          <w:i/>
        </w:rPr>
      </w:pPr>
    </w:p>
    <w:p w14:paraId="3A44B176" w14:textId="77777777" w:rsidR="00B2442D" w:rsidRDefault="008A645F">
      <w:pPr>
        <w:rPr>
          <w:rFonts w:ascii="Arial" w:hAnsi="Arial" w:cs="Arial"/>
          <w:i/>
        </w:rPr>
      </w:pPr>
      <w:r>
        <w:rPr>
          <w:rFonts w:ascii="Arial" w:hAnsi="Arial" w:cs="Arial"/>
          <w:i/>
        </w:rPr>
        <w:t>(Art. 15, Decreto 602 de 2013)</w:t>
      </w:r>
    </w:p>
    <w:p w14:paraId="7858CA64" w14:textId="77777777" w:rsidR="00B2442D" w:rsidRDefault="00B2442D">
      <w:pPr>
        <w:jc w:val="both"/>
        <w:rPr>
          <w:rFonts w:ascii="Arial" w:hAnsi="Arial" w:cs="Arial"/>
        </w:rPr>
      </w:pPr>
    </w:p>
    <w:p w14:paraId="015945F5"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 xml:space="preserve"> Depósitos Francos.</w:t>
      </w:r>
      <w:r>
        <w:rPr>
          <w:rFonts w:ascii="Arial" w:hAnsi="Arial" w:cs="Arial"/>
          <w:lang w:val="es-CO"/>
        </w:rPr>
        <w:t xml:space="preserve"> Los biene</w:t>
      </w:r>
      <w:r>
        <w:rPr>
          <w:rFonts w:ascii="Arial" w:hAnsi="Arial" w:cs="Arial"/>
          <w:lang w:val="es-CO"/>
        </w:rPr>
        <w:t xml:space="preserve">s sujetos al impuesto al consumo de licores, vinos, aperitivos y similares; de cerveza, sifones, refajos y mezclas; de cigarrillos y tabaco elaborado, que sean almacenados, exhibidos y vendidos por un depósito franco a viajeros al exterior, deberán contar </w:t>
      </w:r>
      <w:r>
        <w:rPr>
          <w:rFonts w:ascii="Arial" w:hAnsi="Arial" w:cs="Arial"/>
          <w:lang w:val="es-CO"/>
        </w:rPr>
        <w:t>con el elemento físico de marcación.</w:t>
      </w:r>
    </w:p>
    <w:p w14:paraId="58DD8392" w14:textId="77777777" w:rsidR="00B2442D" w:rsidRDefault="00B2442D">
      <w:pPr>
        <w:jc w:val="both"/>
        <w:rPr>
          <w:rFonts w:ascii="Arial" w:hAnsi="Arial" w:cs="Arial"/>
        </w:rPr>
      </w:pPr>
    </w:p>
    <w:p w14:paraId="450D6164" w14:textId="77777777" w:rsidR="00B2442D" w:rsidRDefault="008A645F">
      <w:pPr>
        <w:jc w:val="both"/>
        <w:rPr>
          <w:rFonts w:ascii="Arial" w:hAnsi="Arial" w:cs="Arial"/>
        </w:rPr>
      </w:pPr>
      <w:r>
        <w:rPr>
          <w:rFonts w:ascii="Arial" w:hAnsi="Arial" w:cs="Arial"/>
        </w:rPr>
        <w:t xml:space="preserve">Los bienes sujetos al impuesto al consumo de licores, vinos, aperitivos y similares; de cerveza, sifones, refajos y mezclas; de cigarrillos y tabaco elaborado, que sean vendidos por un depósito franco a </w:t>
      </w:r>
      <w:r>
        <w:rPr>
          <w:rFonts w:ascii="Arial" w:hAnsi="Arial" w:cs="Arial"/>
        </w:rPr>
        <w:t>viajeros que ingresen desde el exterior al territorio aduanero nacional, deberán contar con el elemento físico de marcación.</w:t>
      </w:r>
    </w:p>
    <w:p w14:paraId="2D5E071B" w14:textId="77777777" w:rsidR="00B2442D" w:rsidRDefault="00B2442D">
      <w:pPr>
        <w:rPr>
          <w:rFonts w:ascii="Arial" w:hAnsi="Arial" w:cs="Arial"/>
          <w:i/>
        </w:rPr>
      </w:pPr>
    </w:p>
    <w:p w14:paraId="0B435F1E" w14:textId="77777777" w:rsidR="00B2442D" w:rsidRDefault="008A645F">
      <w:pPr>
        <w:rPr>
          <w:rFonts w:ascii="Arial" w:hAnsi="Arial" w:cs="Arial"/>
          <w:i/>
        </w:rPr>
      </w:pPr>
      <w:r>
        <w:rPr>
          <w:rFonts w:ascii="Arial" w:hAnsi="Arial" w:cs="Arial"/>
          <w:i/>
        </w:rPr>
        <w:t>(Art. 16, Decreto 602 de 2013)</w:t>
      </w:r>
    </w:p>
    <w:p w14:paraId="32A4C03D" w14:textId="77777777" w:rsidR="00B2442D" w:rsidRDefault="00B2442D">
      <w:pPr>
        <w:jc w:val="both"/>
        <w:rPr>
          <w:rFonts w:ascii="Arial" w:hAnsi="Arial" w:cs="Arial"/>
        </w:rPr>
      </w:pPr>
    </w:p>
    <w:p w14:paraId="756FC2CB"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 xml:space="preserve">Marcación y Conteo con Proceso Automatizado. </w:t>
      </w:r>
      <w:r>
        <w:rPr>
          <w:rFonts w:ascii="Arial" w:hAnsi="Arial" w:cs="Arial"/>
          <w:lang w:val="es-CO"/>
        </w:rPr>
        <w:t>Este tipo de marcación y conteo se realizará a través</w:t>
      </w:r>
      <w:r>
        <w:rPr>
          <w:rFonts w:ascii="Arial" w:hAnsi="Arial" w:cs="Arial"/>
          <w:lang w:val="es-CO"/>
        </w:rPr>
        <w:t xml:space="preserve"> de un dispositivo de marcación y conteo instalado en las líneas de producción y se utilizará en los productos nacionales cuya producción se haga de forma automatizada.</w:t>
      </w:r>
    </w:p>
    <w:p w14:paraId="5B90CF65" w14:textId="77777777" w:rsidR="00B2442D" w:rsidRDefault="00B2442D">
      <w:pPr>
        <w:jc w:val="both"/>
        <w:rPr>
          <w:rFonts w:ascii="Arial" w:hAnsi="Arial" w:cs="Arial"/>
        </w:rPr>
      </w:pPr>
    </w:p>
    <w:p w14:paraId="5D713406"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Este tipo de marcación también se podrá aplicar en productos importados, pr</w:t>
      </w:r>
      <w:r>
        <w:rPr>
          <w:rFonts w:ascii="Arial" w:hAnsi="Arial" w:cs="Arial"/>
        </w:rPr>
        <w:t>evio análisis por parte de la Unidad Administrativa Especial Dirección de Impuestos y Aduanas Nacionales (DIAN) de la viabilidad técnica sobre las condiciones físicas, de agregación de productos, empaques, volúmenes, etc.</w:t>
      </w:r>
    </w:p>
    <w:p w14:paraId="5AE5BE51" w14:textId="77777777" w:rsidR="00B2442D" w:rsidRDefault="00B2442D">
      <w:pPr>
        <w:rPr>
          <w:rFonts w:ascii="Arial" w:hAnsi="Arial" w:cs="Arial"/>
          <w:i/>
        </w:rPr>
      </w:pPr>
    </w:p>
    <w:p w14:paraId="3AC31818" w14:textId="77777777" w:rsidR="00B2442D" w:rsidRDefault="008A645F">
      <w:pPr>
        <w:rPr>
          <w:rFonts w:ascii="Arial" w:hAnsi="Arial" w:cs="Arial"/>
          <w:i/>
        </w:rPr>
      </w:pPr>
      <w:r>
        <w:rPr>
          <w:rFonts w:ascii="Arial" w:hAnsi="Arial" w:cs="Arial"/>
          <w:i/>
        </w:rPr>
        <w:t>(Art. 17, Decreto 602 de 2013)</w:t>
      </w:r>
    </w:p>
    <w:p w14:paraId="6980356C" w14:textId="77777777" w:rsidR="00B2442D" w:rsidRDefault="00B2442D">
      <w:pPr>
        <w:jc w:val="both"/>
        <w:rPr>
          <w:rFonts w:ascii="Arial" w:hAnsi="Arial" w:cs="Arial"/>
        </w:rPr>
      </w:pPr>
    </w:p>
    <w:p w14:paraId="768E4EDE"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M</w:t>
      </w:r>
      <w:r>
        <w:rPr>
          <w:rFonts w:ascii="Arial" w:hAnsi="Arial" w:cs="Arial"/>
          <w:b/>
          <w:i/>
          <w:lang w:val="es-CO"/>
        </w:rPr>
        <w:t xml:space="preserve">arcación y Conteo con Proceso Mecánico o Manual. </w:t>
      </w:r>
      <w:r>
        <w:rPr>
          <w:rFonts w:ascii="Arial" w:hAnsi="Arial" w:cs="Arial"/>
          <w:lang w:val="es-CO"/>
        </w:rPr>
        <w:t>Este tipo de marcación y conteo se llevará a cabo sobre los productos importados y para los productos nacionales que no tengan implementado un proceso automatizado para su producción. Se podrá realizar hacie</w:t>
      </w:r>
      <w:r>
        <w:rPr>
          <w:rFonts w:ascii="Arial" w:hAnsi="Arial" w:cs="Arial"/>
          <w:lang w:val="es-CO"/>
        </w:rPr>
        <w:t>ndo uso de un instrumento mecánico autorizado por la Unidad Administrativa Especial Dirección de Impuestos y Aduanas Nacionales (DIAN) o de forma manual. La Unidad Administrativa Especial Dirección de Impuestos y Aduanas Nacionales (DIAN) establecerá, a tr</w:t>
      </w:r>
      <w:r>
        <w:rPr>
          <w:rFonts w:ascii="Arial" w:hAnsi="Arial" w:cs="Arial"/>
          <w:lang w:val="es-CO"/>
        </w:rPr>
        <w:t>avés de resolución de carácter general, los procedimientos y condiciones que se deberán cumplir para este tipo de marcación y conteo.</w:t>
      </w:r>
    </w:p>
    <w:p w14:paraId="4C74844C" w14:textId="77777777" w:rsidR="00B2442D" w:rsidRDefault="00B2442D">
      <w:pPr>
        <w:jc w:val="both"/>
        <w:rPr>
          <w:rFonts w:ascii="Arial" w:hAnsi="Arial" w:cs="Arial"/>
        </w:rPr>
      </w:pPr>
    </w:p>
    <w:p w14:paraId="2D0435F2" w14:textId="77777777" w:rsidR="00B2442D" w:rsidRDefault="008A645F">
      <w:pPr>
        <w:jc w:val="both"/>
        <w:rPr>
          <w:rFonts w:ascii="Arial" w:hAnsi="Arial" w:cs="Arial"/>
        </w:rPr>
      </w:pPr>
      <w:r>
        <w:rPr>
          <w:rFonts w:ascii="Arial" w:hAnsi="Arial" w:cs="Arial"/>
          <w:b/>
        </w:rPr>
        <w:t>Parágrafo 1°.</w:t>
      </w:r>
      <w:r>
        <w:rPr>
          <w:rFonts w:ascii="Arial" w:hAnsi="Arial" w:cs="Arial"/>
        </w:rPr>
        <w:t xml:space="preserve"> Este tipo de marcación y conteo se realizará de tal manera que se garantice el marcado de la totalidad del </w:t>
      </w:r>
      <w:r>
        <w:rPr>
          <w:rFonts w:ascii="Arial" w:hAnsi="Arial" w:cs="Arial"/>
        </w:rPr>
        <w:t>producto terminado y/o importado.</w:t>
      </w:r>
    </w:p>
    <w:p w14:paraId="159652B1" w14:textId="77777777" w:rsidR="00B2442D" w:rsidRDefault="00B2442D">
      <w:pPr>
        <w:jc w:val="both"/>
        <w:rPr>
          <w:rFonts w:ascii="Arial" w:hAnsi="Arial" w:cs="Arial"/>
        </w:rPr>
      </w:pPr>
    </w:p>
    <w:p w14:paraId="42EF189B" w14:textId="77777777" w:rsidR="00B2442D" w:rsidRDefault="008A645F">
      <w:pPr>
        <w:jc w:val="both"/>
        <w:rPr>
          <w:rFonts w:ascii="Arial" w:hAnsi="Arial" w:cs="Arial"/>
        </w:rPr>
      </w:pPr>
      <w:r>
        <w:rPr>
          <w:rFonts w:ascii="Arial" w:hAnsi="Arial" w:cs="Arial"/>
          <w:b/>
        </w:rPr>
        <w:t>Parágrafo 2°.</w:t>
      </w:r>
      <w:r>
        <w:rPr>
          <w:rFonts w:ascii="Arial" w:hAnsi="Arial" w:cs="Arial"/>
        </w:rPr>
        <w:t xml:space="preserve"> La Unidad Administrativa Especial Dirección de Impuestos y Aduanas Nacionales (DIAN) realizará directamente o a través de terceros las actividades necesarias para dar cumplimiento a lo descrito en el present</w:t>
      </w:r>
      <w:r>
        <w:rPr>
          <w:rFonts w:ascii="Arial" w:hAnsi="Arial" w:cs="Arial"/>
        </w:rPr>
        <w:t>e artículo.</w:t>
      </w:r>
    </w:p>
    <w:p w14:paraId="698FD703" w14:textId="77777777" w:rsidR="00B2442D" w:rsidRDefault="00B2442D">
      <w:pPr>
        <w:rPr>
          <w:rFonts w:ascii="Arial" w:hAnsi="Arial" w:cs="Arial"/>
          <w:i/>
        </w:rPr>
      </w:pPr>
    </w:p>
    <w:p w14:paraId="4E386CB9" w14:textId="77777777" w:rsidR="00B2442D" w:rsidRDefault="008A645F">
      <w:pPr>
        <w:rPr>
          <w:rFonts w:ascii="Arial" w:hAnsi="Arial" w:cs="Arial"/>
          <w:i/>
        </w:rPr>
      </w:pPr>
      <w:r>
        <w:rPr>
          <w:rFonts w:ascii="Arial" w:hAnsi="Arial" w:cs="Arial"/>
          <w:i/>
        </w:rPr>
        <w:t>(Art. 18, Decreto 602 de 2013)</w:t>
      </w:r>
    </w:p>
    <w:p w14:paraId="65AFDEDB" w14:textId="77777777" w:rsidR="00B2442D" w:rsidRDefault="00B2442D">
      <w:pPr>
        <w:jc w:val="both"/>
        <w:rPr>
          <w:rFonts w:ascii="Arial" w:hAnsi="Arial" w:cs="Arial"/>
        </w:rPr>
      </w:pPr>
    </w:p>
    <w:p w14:paraId="270555BF"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Dispositivos Físicos de Medición, Marcación y Conteo.</w:t>
      </w:r>
      <w:r>
        <w:rPr>
          <w:rFonts w:ascii="Arial" w:hAnsi="Arial" w:cs="Arial"/>
          <w:lang w:val="es-CO"/>
        </w:rPr>
        <w:t xml:space="preserve"> Estos Dispositivos físicos se utilizarán para el proceso de medición, marcación y conteo con proceso automatizado y serán instalados dentro de la línea de pr</w:t>
      </w:r>
      <w:r>
        <w:rPr>
          <w:rFonts w:ascii="Arial" w:hAnsi="Arial" w:cs="Arial"/>
          <w:lang w:val="es-CO"/>
        </w:rPr>
        <w:t>oducción.</w:t>
      </w:r>
    </w:p>
    <w:p w14:paraId="12B7403B" w14:textId="77777777" w:rsidR="00B2442D" w:rsidRDefault="00B2442D">
      <w:pPr>
        <w:jc w:val="both"/>
        <w:rPr>
          <w:rFonts w:ascii="Arial" w:hAnsi="Arial" w:cs="Arial"/>
        </w:rPr>
      </w:pPr>
    </w:p>
    <w:p w14:paraId="1B27C19F" w14:textId="77777777" w:rsidR="00B2442D" w:rsidRDefault="008A645F">
      <w:pPr>
        <w:jc w:val="both"/>
        <w:rPr>
          <w:rFonts w:ascii="Arial" w:hAnsi="Arial" w:cs="Arial"/>
        </w:rPr>
      </w:pPr>
      <w:r>
        <w:rPr>
          <w:rFonts w:ascii="Arial" w:hAnsi="Arial" w:cs="Arial"/>
        </w:rPr>
        <w:t>Para productos importados los dispositivos físicos de marcación y conteo se instalarán en los sitios autorizados por la Unidad Administrativa Especial Dirección de Impuestos y Aduanas Nacionales (DIAN).</w:t>
      </w:r>
    </w:p>
    <w:p w14:paraId="5F3BAE5A" w14:textId="77777777" w:rsidR="00B2442D" w:rsidRDefault="00B2442D">
      <w:pPr>
        <w:jc w:val="both"/>
        <w:rPr>
          <w:rFonts w:ascii="Arial" w:hAnsi="Arial" w:cs="Arial"/>
        </w:rPr>
      </w:pPr>
    </w:p>
    <w:p w14:paraId="0F9C9860" w14:textId="77777777" w:rsidR="00B2442D" w:rsidRDefault="008A645F">
      <w:pPr>
        <w:jc w:val="both"/>
        <w:rPr>
          <w:rFonts w:ascii="Arial" w:hAnsi="Arial" w:cs="Arial"/>
        </w:rPr>
      </w:pPr>
      <w:r>
        <w:rPr>
          <w:rFonts w:ascii="Arial" w:hAnsi="Arial" w:cs="Arial"/>
        </w:rPr>
        <w:t>Los atributos, condiciones y requerimient</w:t>
      </w:r>
      <w:r>
        <w:rPr>
          <w:rFonts w:ascii="Arial" w:hAnsi="Arial" w:cs="Arial"/>
        </w:rPr>
        <w:t>os tecnológicos mínimos que deben cumplir estos dispositivos serán determinados por la Unidad Administrativa Especial Dirección de Impuestos y Aduanas Nacionales (DIAN), mediante resolución de carácter general.</w:t>
      </w:r>
    </w:p>
    <w:p w14:paraId="058E6103" w14:textId="77777777" w:rsidR="00B2442D" w:rsidRDefault="00B2442D">
      <w:pPr>
        <w:jc w:val="both"/>
        <w:rPr>
          <w:rFonts w:ascii="Arial" w:hAnsi="Arial" w:cs="Arial"/>
        </w:rPr>
      </w:pPr>
    </w:p>
    <w:p w14:paraId="422C642A" w14:textId="77777777" w:rsidR="00B2442D" w:rsidRDefault="008A645F">
      <w:pPr>
        <w:jc w:val="both"/>
        <w:rPr>
          <w:rFonts w:ascii="Arial" w:hAnsi="Arial" w:cs="Arial"/>
        </w:rPr>
      </w:pPr>
      <w:r>
        <w:rPr>
          <w:rFonts w:ascii="Arial" w:hAnsi="Arial" w:cs="Arial"/>
          <w:b/>
        </w:rPr>
        <w:t>Parágrafo.</w:t>
      </w:r>
      <w:r>
        <w:rPr>
          <w:rFonts w:ascii="Arial" w:hAnsi="Arial" w:cs="Arial"/>
        </w:rPr>
        <w:t xml:space="preserve"> Únicamente el personal autorizado</w:t>
      </w:r>
      <w:r>
        <w:rPr>
          <w:rFonts w:ascii="Arial" w:hAnsi="Arial" w:cs="Arial"/>
        </w:rPr>
        <w:t xml:space="preserve"> por la Unidad Administrativa Especial Dirección de Impuestos y Aduanas Nacionales (DIAN) podrá operar los dispositivos físicos de medición, marcación y conteo.</w:t>
      </w:r>
    </w:p>
    <w:p w14:paraId="3C0B8250" w14:textId="77777777" w:rsidR="00B2442D" w:rsidRDefault="00B2442D">
      <w:pPr>
        <w:rPr>
          <w:rFonts w:ascii="Arial" w:hAnsi="Arial" w:cs="Arial"/>
          <w:i/>
        </w:rPr>
      </w:pPr>
    </w:p>
    <w:p w14:paraId="209315D9" w14:textId="77777777" w:rsidR="00B2442D" w:rsidRDefault="008A645F">
      <w:pPr>
        <w:rPr>
          <w:rFonts w:ascii="Arial" w:hAnsi="Arial" w:cs="Arial"/>
          <w:i/>
        </w:rPr>
      </w:pPr>
      <w:r>
        <w:rPr>
          <w:rFonts w:ascii="Arial" w:hAnsi="Arial" w:cs="Arial"/>
          <w:i/>
        </w:rPr>
        <w:t>(Art. 19, Decreto 602 de 2013)</w:t>
      </w:r>
    </w:p>
    <w:p w14:paraId="45B9F70E" w14:textId="77777777" w:rsidR="00B2442D" w:rsidRDefault="00B2442D">
      <w:pPr>
        <w:jc w:val="both"/>
        <w:rPr>
          <w:rFonts w:ascii="Arial" w:hAnsi="Arial" w:cs="Arial"/>
        </w:rPr>
      </w:pPr>
    </w:p>
    <w:p w14:paraId="0A47AA08"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Elementos Físicos de Marcación.</w:t>
      </w:r>
      <w:r>
        <w:rPr>
          <w:rFonts w:ascii="Arial" w:hAnsi="Arial" w:cs="Arial"/>
          <w:lang w:val="es-CO"/>
        </w:rPr>
        <w:t xml:space="preserve"> Los elementos físicos de marcación se utilizarán para la identificación única, segura e indeleble y el control de cada producto, en la unidad de empaque, tapa, envoltura o envase, dependiendo de la especificidad del producto.</w:t>
      </w:r>
    </w:p>
    <w:p w14:paraId="7A52B57E" w14:textId="77777777" w:rsidR="00B2442D" w:rsidRDefault="00B2442D">
      <w:pPr>
        <w:jc w:val="both"/>
        <w:rPr>
          <w:rFonts w:ascii="Arial" w:hAnsi="Arial" w:cs="Arial"/>
        </w:rPr>
      </w:pPr>
    </w:p>
    <w:p w14:paraId="520992A4" w14:textId="77777777" w:rsidR="00B2442D" w:rsidRDefault="008A645F">
      <w:pPr>
        <w:jc w:val="both"/>
        <w:rPr>
          <w:rFonts w:ascii="Arial" w:hAnsi="Arial" w:cs="Arial"/>
        </w:rPr>
      </w:pPr>
      <w:r>
        <w:rPr>
          <w:rFonts w:ascii="Arial" w:hAnsi="Arial" w:cs="Arial"/>
        </w:rPr>
        <w:t>Los atributos, condiciones y</w:t>
      </w:r>
      <w:r>
        <w:rPr>
          <w:rFonts w:ascii="Arial" w:hAnsi="Arial" w:cs="Arial"/>
        </w:rPr>
        <w:t xml:space="preserve"> requerimientos tecnológicos mínimos que deberán cumplir estas marcas; así como las unidades mínimas del producto a marcar de acuerdo con su procedencia e industria, serán determinados por la Unidad Administrativa Especial Dirección de Impuestos y Aduanas </w:t>
      </w:r>
      <w:r>
        <w:rPr>
          <w:rFonts w:ascii="Arial" w:hAnsi="Arial" w:cs="Arial"/>
        </w:rPr>
        <w:t>Nacionales (DIAN), mediante resolución de carácter general.</w:t>
      </w:r>
    </w:p>
    <w:p w14:paraId="544B7EC2" w14:textId="77777777" w:rsidR="00B2442D" w:rsidRDefault="00B2442D">
      <w:pPr>
        <w:rPr>
          <w:rFonts w:ascii="Arial" w:hAnsi="Arial" w:cs="Arial"/>
          <w:i/>
        </w:rPr>
      </w:pPr>
    </w:p>
    <w:p w14:paraId="6F4AC8DE" w14:textId="77777777" w:rsidR="00B2442D" w:rsidRDefault="008A645F">
      <w:pPr>
        <w:rPr>
          <w:rFonts w:ascii="Arial" w:hAnsi="Arial" w:cs="Arial"/>
          <w:i/>
        </w:rPr>
      </w:pPr>
      <w:r>
        <w:rPr>
          <w:rFonts w:ascii="Arial" w:hAnsi="Arial" w:cs="Arial"/>
          <w:i/>
        </w:rPr>
        <w:t>(Art. 20, Decreto 602 de 2013)</w:t>
      </w:r>
    </w:p>
    <w:p w14:paraId="2308D82C" w14:textId="77777777" w:rsidR="00B2442D" w:rsidRDefault="00B2442D">
      <w:pPr>
        <w:jc w:val="both"/>
        <w:rPr>
          <w:rFonts w:ascii="Arial" w:hAnsi="Arial" w:cs="Arial"/>
        </w:rPr>
      </w:pPr>
    </w:p>
    <w:p w14:paraId="2559DCA3"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 xml:space="preserve">Carácter del elemento físico de marcación. </w:t>
      </w:r>
      <w:r>
        <w:rPr>
          <w:rFonts w:ascii="Arial" w:hAnsi="Arial" w:cs="Arial"/>
          <w:lang w:val="es-CO"/>
        </w:rPr>
        <w:t xml:space="preserve">El elemento físico de marcación tendrá el carácter de documento público en los términos del artículo 251 del </w:t>
      </w:r>
      <w:r>
        <w:rPr>
          <w:rFonts w:ascii="Arial" w:hAnsi="Arial" w:cs="Arial"/>
          <w:lang w:val="es-CO"/>
        </w:rPr>
        <w:t>Código de Procedimiento Civil.</w:t>
      </w:r>
    </w:p>
    <w:p w14:paraId="03722C17" w14:textId="77777777" w:rsidR="00B2442D" w:rsidRDefault="00B2442D">
      <w:pPr>
        <w:rPr>
          <w:rFonts w:ascii="Arial" w:hAnsi="Arial" w:cs="Arial"/>
          <w:i/>
        </w:rPr>
      </w:pPr>
    </w:p>
    <w:p w14:paraId="4E121DC9" w14:textId="77777777" w:rsidR="00B2442D" w:rsidRDefault="008A645F">
      <w:pPr>
        <w:rPr>
          <w:rFonts w:ascii="Arial" w:hAnsi="Arial" w:cs="Arial"/>
          <w:i/>
        </w:rPr>
      </w:pPr>
      <w:r>
        <w:rPr>
          <w:rFonts w:ascii="Arial" w:hAnsi="Arial" w:cs="Arial"/>
          <w:i/>
        </w:rPr>
        <w:t>(Art. 21, Decreto 602 de 2013)</w:t>
      </w:r>
    </w:p>
    <w:p w14:paraId="280D8109" w14:textId="77777777" w:rsidR="00B2442D" w:rsidRDefault="00B2442D">
      <w:pPr>
        <w:jc w:val="both"/>
        <w:rPr>
          <w:rFonts w:ascii="Arial" w:hAnsi="Arial" w:cs="Arial"/>
        </w:rPr>
      </w:pPr>
    </w:p>
    <w:p w14:paraId="291C0805"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Destino del Producto.</w:t>
      </w:r>
      <w:r>
        <w:rPr>
          <w:rFonts w:ascii="Arial" w:hAnsi="Arial" w:cs="Arial"/>
          <w:lang w:val="es-CO"/>
        </w:rPr>
        <w:t xml:space="preserve"> Los sujetos pasivos del impuesto al consumo deberán registrar en el SUNIR o mediante interfaces web seguras entre los sistemas de información existentes y el SUNIR, la in</w:t>
      </w:r>
      <w:r>
        <w:rPr>
          <w:rFonts w:ascii="Arial" w:hAnsi="Arial" w:cs="Arial"/>
          <w:lang w:val="es-CO"/>
        </w:rPr>
        <w:t>formación de destino de cada uno de los productos nacionales o importados gravados con el impuesto al consumo o sujetos a las participaciones económicas del monopolio de licores destilados, así como los cambios de destino, cuando hubiere lugar.</w:t>
      </w:r>
    </w:p>
    <w:p w14:paraId="336C61D0" w14:textId="77777777" w:rsidR="00B2442D" w:rsidRDefault="00B2442D">
      <w:pPr>
        <w:jc w:val="both"/>
        <w:rPr>
          <w:rFonts w:ascii="Arial" w:hAnsi="Arial" w:cs="Arial"/>
        </w:rPr>
      </w:pPr>
    </w:p>
    <w:p w14:paraId="5FF132AA" w14:textId="77777777" w:rsidR="00B2442D" w:rsidRDefault="008A645F">
      <w:pPr>
        <w:jc w:val="both"/>
        <w:rPr>
          <w:rFonts w:ascii="Arial" w:hAnsi="Arial" w:cs="Arial"/>
        </w:rPr>
      </w:pPr>
      <w:r>
        <w:rPr>
          <w:rFonts w:ascii="Arial" w:hAnsi="Arial" w:cs="Arial"/>
          <w:b/>
        </w:rPr>
        <w:t xml:space="preserve">Parágrafo </w:t>
      </w:r>
      <w:r>
        <w:rPr>
          <w:rFonts w:ascii="Arial" w:hAnsi="Arial" w:cs="Arial"/>
          <w:b/>
        </w:rPr>
        <w:t>1°.</w:t>
      </w:r>
      <w:r>
        <w:rPr>
          <w:rFonts w:ascii="Arial" w:hAnsi="Arial" w:cs="Arial"/>
        </w:rPr>
        <w:t xml:space="preserve"> Dentro de la información reportada al SUNIR se deberá relacionar cada una de las unidades mínimas de producto a marcar que se definan, datos de la tornaguía con la que se autoriza su movilización, tránsito o reenvío, la factura o relación de productos,</w:t>
      </w:r>
      <w:r>
        <w:rPr>
          <w:rFonts w:ascii="Arial" w:hAnsi="Arial" w:cs="Arial"/>
        </w:rPr>
        <w:t xml:space="preserve"> y demás datos relacionados con la autorización para la movilización de productos, tales como placa del vehículo, conductor, fecha de inicio de la movilización y fecha de llegaba al departamento de destino, o demás datos que se consideren necesarios para e</w:t>
      </w:r>
      <w:r>
        <w:rPr>
          <w:rFonts w:ascii="Arial" w:hAnsi="Arial" w:cs="Arial"/>
        </w:rPr>
        <w:t>l funcionamiento del SUNIR.</w:t>
      </w:r>
    </w:p>
    <w:p w14:paraId="43319640" w14:textId="77777777" w:rsidR="00B2442D" w:rsidRDefault="00B2442D">
      <w:pPr>
        <w:jc w:val="both"/>
        <w:rPr>
          <w:rFonts w:ascii="Arial" w:hAnsi="Arial" w:cs="Arial"/>
        </w:rPr>
      </w:pPr>
    </w:p>
    <w:p w14:paraId="605DDDB4" w14:textId="77777777" w:rsidR="00B2442D" w:rsidRDefault="008A645F">
      <w:pPr>
        <w:jc w:val="both"/>
        <w:rPr>
          <w:rFonts w:ascii="Arial" w:hAnsi="Arial" w:cs="Arial"/>
        </w:rPr>
      </w:pPr>
      <w:r>
        <w:rPr>
          <w:rFonts w:ascii="Arial" w:hAnsi="Arial" w:cs="Arial"/>
        </w:rPr>
        <w:t>En todo caso, para la movilización de los bienes sujetos al impuesto al consumo, tanto nacional como importado, los trasportadores deberán portar en original la factura o relación de productos y la tornaguía; adicionalmente, pa</w:t>
      </w:r>
      <w:r>
        <w:rPr>
          <w:rFonts w:ascii="Arial" w:hAnsi="Arial" w:cs="Arial"/>
        </w:rPr>
        <w:t>ra el caso de los importados deberá llevar copia de la declaración de importación. Estos documentos serán revisados por la autoridad competente en las carreteras y su contenido validado contra la información del SUNIR.</w:t>
      </w:r>
    </w:p>
    <w:p w14:paraId="0C0F3509" w14:textId="77777777" w:rsidR="00B2442D" w:rsidRDefault="00B2442D">
      <w:pPr>
        <w:jc w:val="both"/>
        <w:rPr>
          <w:rFonts w:ascii="Arial" w:hAnsi="Arial" w:cs="Arial"/>
        </w:rPr>
      </w:pPr>
    </w:p>
    <w:p w14:paraId="3E724A4D" w14:textId="77777777" w:rsidR="00B2442D" w:rsidRDefault="008A645F">
      <w:pPr>
        <w:jc w:val="both"/>
        <w:rPr>
          <w:rFonts w:ascii="Arial" w:hAnsi="Arial" w:cs="Arial"/>
        </w:rPr>
      </w:pPr>
      <w:r>
        <w:rPr>
          <w:rFonts w:ascii="Arial" w:hAnsi="Arial" w:cs="Arial"/>
          <w:b/>
        </w:rPr>
        <w:t>Parágrafo 2°.</w:t>
      </w:r>
      <w:r>
        <w:rPr>
          <w:rFonts w:ascii="Arial" w:hAnsi="Arial" w:cs="Arial"/>
        </w:rPr>
        <w:t xml:space="preserve"> La Unidad Administrati</w:t>
      </w:r>
      <w:r>
        <w:rPr>
          <w:rFonts w:ascii="Arial" w:hAnsi="Arial" w:cs="Arial"/>
        </w:rPr>
        <w:t>va Especial Dirección de Impuestos y Aduanas Nacionales (DIAN) determinará, mediante resolución de carácter general, los términos, condiciones y la información adicional que requiera el SUNIR para el proceso de destino.</w:t>
      </w:r>
    </w:p>
    <w:p w14:paraId="41993002" w14:textId="77777777" w:rsidR="00B2442D" w:rsidRDefault="00B2442D">
      <w:pPr>
        <w:rPr>
          <w:rFonts w:ascii="Arial" w:hAnsi="Arial" w:cs="Arial"/>
          <w:i/>
        </w:rPr>
      </w:pPr>
    </w:p>
    <w:p w14:paraId="2CD393DF" w14:textId="77777777" w:rsidR="00B2442D" w:rsidRDefault="008A645F">
      <w:pPr>
        <w:rPr>
          <w:rFonts w:ascii="Arial" w:hAnsi="Arial" w:cs="Arial"/>
          <w:i/>
        </w:rPr>
      </w:pPr>
      <w:r>
        <w:rPr>
          <w:rFonts w:ascii="Arial" w:hAnsi="Arial" w:cs="Arial"/>
          <w:i/>
        </w:rPr>
        <w:t>(Art. 22, Decreto 602 de 2013)</w:t>
      </w:r>
    </w:p>
    <w:p w14:paraId="4BDC8F01" w14:textId="77777777" w:rsidR="00B2442D" w:rsidRDefault="00B2442D">
      <w:pPr>
        <w:jc w:val="both"/>
        <w:rPr>
          <w:rFonts w:ascii="Arial" w:hAnsi="Arial" w:cs="Arial"/>
          <w:b/>
        </w:rPr>
      </w:pPr>
    </w:p>
    <w:p w14:paraId="6766EDA8"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Con</w:t>
      </w:r>
      <w:r>
        <w:rPr>
          <w:rFonts w:ascii="Arial" w:hAnsi="Arial" w:cs="Arial"/>
          <w:b/>
          <w:i/>
          <w:lang w:val="es-CO"/>
        </w:rPr>
        <w:t>sulta de la Información.</w:t>
      </w:r>
      <w:r>
        <w:rPr>
          <w:rFonts w:ascii="Arial" w:hAnsi="Arial" w:cs="Arial"/>
          <w:lang w:val="es-CO"/>
        </w:rPr>
        <w:t xml:space="preserve"> La Unidad Administrativa Especial Dirección de Impuestos y Aduanas Nacionales (DIAN) determinará mediante resolución de carácter general los niveles y los medios de acceso a la información del SUNIR, atendiendo los siguientes crite</w:t>
      </w:r>
      <w:r>
        <w:rPr>
          <w:rFonts w:ascii="Arial" w:hAnsi="Arial" w:cs="Arial"/>
          <w:lang w:val="es-CO"/>
        </w:rPr>
        <w:t>rios:</w:t>
      </w:r>
    </w:p>
    <w:p w14:paraId="72B82D21" w14:textId="77777777" w:rsidR="00B2442D" w:rsidRDefault="008A645F">
      <w:pPr>
        <w:jc w:val="both"/>
        <w:rPr>
          <w:rFonts w:ascii="Arial" w:hAnsi="Arial" w:cs="Arial"/>
        </w:rPr>
      </w:pPr>
      <w:r>
        <w:rPr>
          <w:rFonts w:ascii="Arial" w:hAnsi="Arial" w:cs="Arial"/>
        </w:rPr>
        <w:t>1. Facilitar a los sujetos pasivos del impuesto al consumo y los ciudadanos el reconocimiento de los productos legales que circulan en el país, permitiéndoles diferenciarlos de los productos ilegales.</w:t>
      </w:r>
    </w:p>
    <w:p w14:paraId="1EA848CC" w14:textId="77777777" w:rsidR="00B2442D" w:rsidRDefault="008A645F">
      <w:pPr>
        <w:jc w:val="both"/>
        <w:rPr>
          <w:rFonts w:ascii="Arial" w:hAnsi="Arial" w:cs="Arial"/>
        </w:rPr>
      </w:pPr>
      <w:r>
        <w:rPr>
          <w:rFonts w:ascii="Arial" w:hAnsi="Arial" w:cs="Arial"/>
        </w:rPr>
        <w:t>2. Permitir la consulta y la gestión de informaci</w:t>
      </w:r>
      <w:r>
        <w:rPr>
          <w:rFonts w:ascii="Arial" w:hAnsi="Arial" w:cs="Arial"/>
        </w:rPr>
        <w:t>ón que requieran las Secretarías de Hacienda departamentales y la Secretaría Distrital de Hacienda de Bogotá para el ejercicio de sus funciones de fiscalización y control de los bienes sujetos al impuesto al consumo.</w:t>
      </w:r>
    </w:p>
    <w:p w14:paraId="38FD6CB0" w14:textId="77777777" w:rsidR="00B2442D" w:rsidRDefault="008A645F">
      <w:pPr>
        <w:jc w:val="both"/>
        <w:rPr>
          <w:rFonts w:ascii="Arial" w:hAnsi="Arial" w:cs="Arial"/>
        </w:rPr>
      </w:pPr>
      <w:r>
        <w:rPr>
          <w:rFonts w:ascii="Arial" w:hAnsi="Arial" w:cs="Arial"/>
        </w:rPr>
        <w:t>3. Permitir la consulta a la Federación</w:t>
      </w:r>
      <w:r>
        <w:rPr>
          <w:rFonts w:ascii="Arial" w:hAnsi="Arial" w:cs="Arial"/>
        </w:rPr>
        <w:t xml:space="preserve"> Nacional de Departamentos para realizar la administración y la distribución territorial de los ingresos obtenidos por el pago del impuesto al consumo.</w:t>
      </w:r>
    </w:p>
    <w:p w14:paraId="6D3F66B7" w14:textId="77777777" w:rsidR="00B2442D" w:rsidRDefault="008A645F">
      <w:pPr>
        <w:jc w:val="both"/>
        <w:rPr>
          <w:rFonts w:ascii="Arial" w:hAnsi="Arial" w:cs="Arial"/>
        </w:rPr>
      </w:pPr>
      <w:r>
        <w:rPr>
          <w:rFonts w:ascii="Arial" w:hAnsi="Arial" w:cs="Arial"/>
        </w:rPr>
        <w:t>4. Permitir el acceso a consultas de información que requieran para el ejercicio de sus funciones, las s</w:t>
      </w:r>
      <w:r>
        <w:rPr>
          <w:rFonts w:ascii="Arial" w:hAnsi="Arial" w:cs="Arial"/>
        </w:rPr>
        <w:t>iguientes entidades: Ministerio de Hacienda y Crédito Público, Policía Nacional, Fiscalía General de la Nación, Instituto Nacional de Vigilancia de Medicamentos y Alimentos (Invima), Superintendencia de Industria y Comercio y los organismos de control.</w:t>
      </w:r>
    </w:p>
    <w:p w14:paraId="34545EF6" w14:textId="77777777" w:rsidR="00B2442D" w:rsidRDefault="00B2442D">
      <w:pPr>
        <w:rPr>
          <w:rFonts w:ascii="Arial" w:hAnsi="Arial" w:cs="Arial"/>
          <w:i/>
        </w:rPr>
      </w:pPr>
    </w:p>
    <w:p w14:paraId="23CBCD2C" w14:textId="77777777" w:rsidR="00B2442D" w:rsidRDefault="008A645F">
      <w:pPr>
        <w:rPr>
          <w:rFonts w:ascii="Arial" w:hAnsi="Arial" w:cs="Arial"/>
          <w:i/>
        </w:rPr>
      </w:pPr>
      <w:r>
        <w:rPr>
          <w:rFonts w:ascii="Arial" w:hAnsi="Arial" w:cs="Arial"/>
          <w:i/>
        </w:rPr>
        <w:t>(Art. 23, Decreto 602 de 2013)</w:t>
      </w:r>
    </w:p>
    <w:p w14:paraId="5C8AE79A" w14:textId="77777777" w:rsidR="00B2442D" w:rsidRDefault="00B2442D">
      <w:pPr>
        <w:jc w:val="both"/>
        <w:rPr>
          <w:rFonts w:ascii="Arial" w:hAnsi="Arial" w:cs="Arial"/>
        </w:rPr>
      </w:pPr>
    </w:p>
    <w:p w14:paraId="57E3D7E2"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Seguridad del Sistema.</w:t>
      </w:r>
      <w:r>
        <w:rPr>
          <w:rFonts w:ascii="Arial" w:hAnsi="Arial" w:cs="Arial"/>
          <w:lang w:val="es-CO"/>
        </w:rPr>
        <w:t xml:space="preserve"> El SUNIR garantizará la implementación de las mejores prácticas y condiciones de seguridad informática, para lo cual la Unidad Administrativa Especial Dirección de Impuestos y Aduanas Nacionales (DIAN)</w:t>
      </w:r>
      <w:r>
        <w:rPr>
          <w:rFonts w:ascii="Arial" w:hAnsi="Arial" w:cs="Arial"/>
          <w:lang w:val="es-CO"/>
        </w:rPr>
        <w:t xml:space="preserve"> deberá:</w:t>
      </w:r>
    </w:p>
    <w:p w14:paraId="5ADDEA3E" w14:textId="77777777" w:rsidR="00B2442D" w:rsidRDefault="00B2442D">
      <w:pPr>
        <w:jc w:val="both"/>
        <w:rPr>
          <w:rFonts w:ascii="Arial" w:hAnsi="Arial" w:cs="Arial"/>
        </w:rPr>
      </w:pPr>
    </w:p>
    <w:p w14:paraId="0E703101" w14:textId="77777777" w:rsidR="00B2442D" w:rsidRDefault="008A645F">
      <w:pPr>
        <w:jc w:val="both"/>
        <w:rPr>
          <w:rFonts w:ascii="Arial" w:hAnsi="Arial" w:cs="Arial"/>
        </w:rPr>
      </w:pPr>
      <w:r>
        <w:rPr>
          <w:rFonts w:ascii="Arial" w:hAnsi="Arial" w:cs="Arial"/>
        </w:rPr>
        <w:t>1. Contar con una infraestructura tecnológica que permita controlar todos los accesos a la información y garantizar la confidencialidad y conservación inalterable de la misma, a través de plataformas y conexiones seguras.</w:t>
      </w:r>
    </w:p>
    <w:p w14:paraId="0114BD19" w14:textId="77777777" w:rsidR="00B2442D" w:rsidRDefault="008A645F">
      <w:pPr>
        <w:jc w:val="both"/>
        <w:rPr>
          <w:rFonts w:ascii="Arial" w:hAnsi="Arial" w:cs="Arial"/>
        </w:rPr>
      </w:pPr>
      <w:r>
        <w:rPr>
          <w:rFonts w:ascii="Arial" w:hAnsi="Arial" w:cs="Arial"/>
        </w:rPr>
        <w:t>2. Realizar las revision</w:t>
      </w:r>
      <w:r>
        <w:rPr>
          <w:rFonts w:ascii="Arial" w:hAnsi="Arial" w:cs="Arial"/>
        </w:rPr>
        <w:t>es de seguridad periódicas que permitan garantizar que no existan vulnerabilidades ni riesgo de seguridad que comprometan la confidencialidad e inalterabilidad de los datos.</w:t>
      </w:r>
    </w:p>
    <w:p w14:paraId="13A7115F" w14:textId="77777777" w:rsidR="00B2442D" w:rsidRDefault="008A645F">
      <w:pPr>
        <w:jc w:val="both"/>
        <w:rPr>
          <w:rFonts w:ascii="Arial" w:hAnsi="Arial" w:cs="Arial"/>
        </w:rPr>
      </w:pPr>
      <w:r>
        <w:rPr>
          <w:rFonts w:ascii="Arial" w:hAnsi="Arial" w:cs="Arial"/>
        </w:rPr>
        <w:t>3. Contar con un Plan de Continuidad de Negocio que permita recuperaciones inmedia</w:t>
      </w:r>
      <w:r>
        <w:rPr>
          <w:rFonts w:ascii="Arial" w:hAnsi="Arial" w:cs="Arial"/>
        </w:rPr>
        <w:t>tas frente a desastres o problemas con la plataforma central, así como también deberá contar con un modelo de soporte que incluya acuerdos de niveles de servicio tales que mitiguen cualquier riesgo de no disponibilidad del servicio o interrupción de la pro</w:t>
      </w:r>
      <w:r>
        <w:rPr>
          <w:rFonts w:ascii="Arial" w:hAnsi="Arial" w:cs="Arial"/>
        </w:rPr>
        <w:t>ducción.</w:t>
      </w:r>
    </w:p>
    <w:p w14:paraId="0B522037" w14:textId="77777777" w:rsidR="00B2442D" w:rsidRDefault="00B2442D">
      <w:pPr>
        <w:jc w:val="both"/>
        <w:rPr>
          <w:rFonts w:ascii="Arial" w:hAnsi="Arial" w:cs="Arial"/>
        </w:rPr>
      </w:pPr>
    </w:p>
    <w:p w14:paraId="68AA8D85"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efectos del intercambio de la información la Unidad Administrativa Especial Dirección de Impuestos y Aduanas Nacionales (DIAN), mediante resolución de carácter general determinará las condiciones de seguridad que garanticen los pr</w:t>
      </w:r>
      <w:r>
        <w:rPr>
          <w:rFonts w:ascii="Arial" w:hAnsi="Arial" w:cs="Arial"/>
        </w:rPr>
        <w:t>incipios de autenticidad, disponibilidad, confidencialidad, no repudio e integridad de la información suministrada.</w:t>
      </w:r>
    </w:p>
    <w:p w14:paraId="72041DF6" w14:textId="77777777" w:rsidR="00B2442D" w:rsidRDefault="00B2442D">
      <w:pPr>
        <w:rPr>
          <w:rFonts w:ascii="Arial" w:hAnsi="Arial" w:cs="Arial"/>
          <w:i/>
        </w:rPr>
      </w:pPr>
    </w:p>
    <w:p w14:paraId="22FE6B71" w14:textId="77777777" w:rsidR="00B2442D" w:rsidRDefault="008A645F">
      <w:pPr>
        <w:rPr>
          <w:rFonts w:ascii="Arial" w:hAnsi="Arial" w:cs="Arial"/>
          <w:i/>
        </w:rPr>
      </w:pPr>
      <w:r>
        <w:rPr>
          <w:rFonts w:ascii="Arial" w:hAnsi="Arial" w:cs="Arial"/>
          <w:i/>
        </w:rPr>
        <w:t>(Art. 24, Decreto 602 de 2013)</w:t>
      </w:r>
    </w:p>
    <w:p w14:paraId="156C984F"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Fases de Implementación.</w:t>
      </w:r>
      <w:r>
        <w:rPr>
          <w:rFonts w:ascii="Arial" w:hAnsi="Arial" w:cs="Arial"/>
          <w:lang w:val="es-CO"/>
        </w:rPr>
        <w:t xml:space="preserve"> La Unidad Administrativa Especial Dirección de Impuestos y Aduanas Nacionales (DIAN</w:t>
      </w:r>
      <w:r>
        <w:rPr>
          <w:rFonts w:ascii="Arial" w:hAnsi="Arial" w:cs="Arial"/>
          <w:lang w:val="es-CO"/>
        </w:rPr>
        <w:t xml:space="preserve">) diseñará e implementará el Sistema Único Nacional de Información y Rastreo (SUNIR), en fases para uno o más productos (licores, cigarrillos y cervezas) tanto nacionales como importados, teniendo en cuenta las especificidades de cada uno y la complejidad </w:t>
      </w:r>
      <w:r>
        <w:rPr>
          <w:rFonts w:ascii="Arial" w:hAnsi="Arial" w:cs="Arial"/>
          <w:lang w:val="es-CO"/>
        </w:rPr>
        <w:t>técnica de la tecnología a implementar.</w:t>
      </w:r>
    </w:p>
    <w:p w14:paraId="021BC267" w14:textId="77777777" w:rsidR="00B2442D" w:rsidRDefault="00B2442D">
      <w:pPr>
        <w:jc w:val="both"/>
        <w:rPr>
          <w:rFonts w:ascii="Arial" w:hAnsi="Arial" w:cs="Arial"/>
        </w:rPr>
      </w:pPr>
    </w:p>
    <w:p w14:paraId="7DFDA9A1" w14:textId="77777777" w:rsidR="00B2442D" w:rsidRDefault="008A645F">
      <w:pPr>
        <w:jc w:val="both"/>
        <w:rPr>
          <w:rFonts w:ascii="Arial" w:hAnsi="Arial" w:cs="Arial"/>
        </w:rPr>
      </w:pPr>
      <w:r>
        <w:rPr>
          <w:rFonts w:ascii="Arial" w:hAnsi="Arial" w:cs="Arial"/>
        </w:rPr>
        <w:t>El SUNIR se implementará en las siguientes etapas de desarrollo del sistema:</w:t>
      </w:r>
    </w:p>
    <w:p w14:paraId="076178E2" w14:textId="77777777" w:rsidR="00B2442D" w:rsidRDefault="00B2442D">
      <w:pPr>
        <w:jc w:val="both"/>
        <w:rPr>
          <w:rFonts w:ascii="Arial" w:hAnsi="Arial" w:cs="Arial"/>
        </w:rPr>
      </w:pPr>
    </w:p>
    <w:p w14:paraId="4167362A" w14:textId="77777777" w:rsidR="00B2442D" w:rsidRDefault="008A645F">
      <w:pPr>
        <w:jc w:val="both"/>
        <w:rPr>
          <w:rFonts w:ascii="Arial" w:hAnsi="Arial" w:cs="Arial"/>
        </w:rPr>
      </w:pPr>
      <w:r>
        <w:rPr>
          <w:rFonts w:ascii="Arial" w:hAnsi="Arial" w:cs="Arial"/>
        </w:rPr>
        <w:t>1. Etapa 1 -Obtener Información. En esta etapa el sistema tendrá las siguientes funcionalidades: i) proveer las funcionalidades necesaria</w:t>
      </w:r>
      <w:r>
        <w:rPr>
          <w:rFonts w:ascii="Arial" w:hAnsi="Arial" w:cs="Arial"/>
        </w:rPr>
        <w:t>s que permitan almacenar en línea, en la base de datos SUNIR, toda la información de medición, marcación y conteo; ii) proveer los mecanismos para el intercambio automatizado de información con los sistemas informáticos de la Unidad Administrativa Especial</w:t>
      </w:r>
      <w:r>
        <w:rPr>
          <w:rFonts w:ascii="Arial" w:hAnsi="Arial" w:cs="Arial"/>
        </w:rPr>
        <w:t xml:space="preserve"> Dirección de Impuestos y Aduanas Nacionales (DIAN), de las entidades territoriales y demás entidades públicas y órganos de control; y iii) facilitar el reconocimiento por parte del ciudadano de los productos legales que circulan en el país, permitiéndoles</w:t>
      </w:r>
      <w:r>
        <w:rPr>
          <w:rFonts w:ascii="Arial" w:hAnsi="Arial" w:cs="Arial"/>
        </w:rPr>
        <w:t xml:space="preserve"> diferenciarlos de los productos ilegales mediante el uso de medios tecnológicos como el celular, internet o realizando la consulta al SUNIR.</w:t>
      </w:r>
    </w:p>
    <w:p w14:paraId="2F95CEB6" w14:textId="77777777" w:rsidR="00B2442D" w:rsidRDefault="008A645F">
      <w:pPr>
        <w:jc w:val="both"/>
        <w:rPr>
          <w:rFonts w:ascii="Arial" w:hAnsi="Arial" w:cs="Arial"/>
        </w:rPr>
      </w:pPr>
      <w:r>
        <w:rPr>
          <w:rFonts w:ascii="Arial" w:hAnsi="Arial" w:cs="Arial"/>
        </w:rPr>
        <w:t>2. Etapa 2 -Gestión y Trazabilidad. En esta etapa el sistema tendrá las siguientes funcionalidades:</w:t>
      </w:r>
    </w:p>
    <w:p w14:paraId="2127F3B6" w14:textId="77777777" w:rsidR="00B2442D" w:rsidRDefault="008A645F">
      <w:pPr>
        <w:jc w:val="both"/>
        <w:rPr>
          <w:rFonts w:ascii="Arial" w:hAnsi="Arial" w:cs="Arial"/>
        </w:rPr>
      </w:pPr>
      <w:r>
        <w:rPr>
          <w:rFonts w:ascii="Arial" w:hAnsi="Arial" w:cs="Arial"/>
        </w:rPr>
        <w:t>i) Centralizar</w:t>
      </w:r>
      <w:r>
        <w:rPr>
          <w:rFonts w:ascii="Arial" w:hAnsi="Arial" w:cs="Arial"/>
        </w:rPr>
        <w:t xml:space="preserve"> la información de la totalidad de los 32 departamentos, el Distrito Capital y de la Unidad Administrativa Especial Dirección de Impuestos y Aduanas Nacionales (DIAN) bajo estándares comunes de registro, clasificación, interpretación y consolidación de los</w:t>
      </w:r>
      <w:r>
        <w:rPr>
          <w:rFonts w:ascii="Arial" w:hAnsi="Arial" w:cs="Arial"/>
        </w:rPr>
        <w:t xml:space="preserve"> datos; ii) suministrar en línea la información que permita la identificación y la asociación de cada unidad de producto, con el destino; iii) Generar la información que permita la distribución territorial de los ingresos tributarios por impuesto al consum</w:t>
      </w:r>
      <w:r>
        <w:rPr>
          <w:rFonts w:ascii="Arial" w:hAnsi="Arial" w:cs="Arial"/>
        </w:rPr>
        <w:t>o; iv) ampliar las funcionalidades, desarrolladas en la Etapa 1. Obtener Información, que facilite a la Unidad Administrativa Especial Dirección de Impuestos y Aduanas Nacionales (DIAN) y a los Sujetos activos (departamentos y Distrito Capital) las funcion</w:t>
      </w:r>
      <w:r>
        <w:rPr>
          <w:rFonts w:ascii="Arial" w:hAnsi="Arial" w:cs="Arial"/>
        </w:rPr>
        <w:t>es de fiscalización;</w:t>
      </w:r>
    </w:p>
    <w:p w14:paraId="14BD4D8F" w14:textId="77777777" w:rsidR="00B2442D" w:rsidRDefault="008A645F">
      <w:pPr>
        <w:jc w:val="both"/>
        <w:rPr>
          <w:rFonts w:ascii="Arial" w:hAnsi="Arial" w:cs="Arial"/>
        </w:rPr>
      </w:pPr>
      <w:r>
        <w:rPr>
          <w:rFonts w:ascii="Arial" w:hAnsi="Arial" w:cs="Arial"/>
        </w:rPr>
        <w:t>3. Etapa 3 -Inspección y Vigilancia. En esta etapa el sistema tendrá las siguientes funcionalidades: i) Verificar la información contenida en las tornaguías con los productos transportados, permitiendo a las autoridades de control esta</w:t>
      </w:r>
      <w:r>
        <w:rPr>
          <w:rFonts w:ascii="Arial" w:hAnsi="Arial" w:cs="Arial"/>
        </w:rPr>
        <w:t>blecer la legalidad de la circulación de los productos en el territorio nacional.</w:t>
      </w:r>
    </w:p>
    <w:p w14:paraId="3D552285" w14:textId="77777777" w:rsidR="00B2442D" w:rsidRDefault="00B2442D">
      <w:pPr>
        <w:rPr>
          <w:rFonts w:ascii="Arial" w:hAnsi="Arial" w:cs="Arial"/>
          <w:i/>
        </w:rPr>
      </w:pPr>
    </w:p>
    <w:p w14:paraId="061A0B4E" w14:textId="77777777" w:rsidR="00B2442D" w:rsidRDefault="008A645F">
      <w:pPr>
        <w:rPr>
          <w:rFonts w:ascii="Arial" w:hAnsi="Arial" w:cs="Arial"/>
          <w:i/>
        </w:rPr>
      </w:pPr>
      <w:r>
        <w:rPr>
          <w:rFonts w:ascii="Arial" w:hAnsi="Arial" w:cs="Arial"/>
          <w:i/>
        </w:rPr>
        <w:t>(Art. 32, Decreto 602 de 2013)</w:t>
      </w:r>
    </w:p>
    <w:p w14:paraId="303071A6" w14:textId="77777777" w:rsidR="00B2442D" w:rsidRDefault="00B2442D">
      <w:pPr>
        <w:jc w:val="both"/>
        <w:rPr>
          <w:rFonts w:ascii="Arial" w:hAnsi="Arial" w:cs="Arial"/>
        </w:rPr>
      </w:pPr>
    </w:p>
    <w:p w14:paraId="4D84BDA1"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Financiación del Sistema.</w:t>
      </w:r>
      <w:r>
        <w:rPr>
          <w:rFonts w:ascii="Arial" w:hAnsi="Arial" w:cs="Arial"/>
          <w:lang w:val="es-CO"/>
        </w:rPr>
        <w:t xml:space="preserve"> La Unidad Administrativa Especial Dirección de Impuestos y Aduanas Nacionales (DIAN), asumirá con cargo a su presupuesto, el diseño, implementación y operación inicial del Sistema Único Nacional de Información y Rastreo (SUNIR), para lo cual el Ministerio</w:t>
      </w:r>
      <w:r>
        <w:rPr>
          <w:rFonts w:ascii="Arial" w:hAnsi="Arial" w:cs="Arial"/>
          <w:lang w:val="es-CO"/>
        </w:rPr>
        <w:t xml:space="preserve"> de Hacienda y Crédito Público realizará la programación y asignación de los recursos requeridos para ello, teniendo en cuenta el Marco de Gasto de Mediano Plazo de la (DIAN).</w:t>
      </w:r>
    </w:p>
    <w:p w14:paraId="786B9889" w14:textId="77777777" w:rsidR="00B2442D" w:rsidRDefault="00B2442D">
      <w:pPr>
        <w:jc w:val="both"/>
        <w:rPr>
          <w:rFonts w:ascii="Arial" w:hAnsi="Arial" w:cs="Arial"/>
        </w:rPr>
      </w:pPr>
    </w:p>
    <w:p w14:paraId="52C7B1CF" w14:textId="77777777" w:rsidR="00B2442D" w:rsidRDefault="008A645F">
      <w:pPr>
        <w:jc w:val="both"/>
        <w:rPr>
          <w:rFonts w:ascii="Arial" w:hAnsi="Arial" w:cs="Arial"/>
        </w:rPr>
      </w:pPr>
      <w:r>
        <w:rPr>
          <w:rFonts w:ascii="Arial" w:hAnsi="Arial" w:cs="Arial"/>
        </w:rPr>
        <w:t>A partir del año 2015, los costos de funcionamiento y el mantenimiento del Sist</w:t>
      </w:r>
      <w:r>
        <w:rPr>
          <w:rFonts w:ascii="Arial" w:hAnsi="Arial" w:cs="Arial"/>
        </w:rPr>
        <w:t>ema Único Nacional de Información y Rastreo (SUNIR), serán financiados de conformidad con lo dispuesto en la normatividad que para el efecto se expida.</w:t>
      </w:r>
    </w:p>
    <w:p w14:paraId="51FD3DB8" w14:textId="77777777" w:rsidR="00B2442D" w:rsidRDefault="00B2442D">
      <w:pPr>
        <w:rPr>
          <w:rFonts w:ascii="Arial" w:hAnsi="Arial" w:cs="Arial"/>
          <w:i/>
        </w:rPr>
      </w:pPr>
    </w:p>
    <w:p w14:paraId="7B35AEC8" w14:textId="77777777" w:rsidR="00B2442D" w:rsidRDefault="008A645F">
      <w:pPr>
        <w:rPr>
          <w:rFonts w:ascii="Arial" w:hAnsi="Arial" w:cs="Arial"/>
          <w:i/>
        </w:rPr>
      </w:pPr>
      <w:r>
        <w:rPr>
          <w:rFonts w:ascii="Arial" w:hAnsi="Arial" w:cs="Arial"/>
          <w:i/>
        </w:rPr>
        <w:t>(Art. 33, Decreto 602 de 2013)</w:t>
      </w:r>
    </w:p>
    <w:p w14:paraId="557F20EC" w14:textId="77777777" w:rsidR="00B2442D" w:rsidRDefault="00B2442D">
      <w:pPr>
        <w:jc w:val="both"/>
        <w:rPr>
          <w:rFonts w:ascii="Arial" w:hAnsi="Arial" w:cs="Arial"/>
        </w:rPr>
      </w:pPr>
    </w:p>
    <w:p w14:paraId="091ED7BA"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Requisitos para la Implementación del Sistema.</w:t>
      </w:r>
      <w:r>
        <w:rPr>
          <w:rFonts w:ascii="Arial" w:hAnsi="Arial" w:cs="Arial"/>
          <w:lang w:val="es-CO"/>
        </w:rPr>
        <w:t xml:space="preserve"> La Unidad Administrativa Especial Dirección de Impuestos y Aduanas Nacionales (DIAN) establecerá, mediante resoluciones de carácter general, los requisitos, condiciones, plazos, especificaciones y demás aspectos técnicos y de procedimiento para asegurar l</w:t>
      </w:r>
      <w:r>
        <w:rPr>
          <w:rFonts w:ascii="Arial" w:hAnsi="Arial" w:cs="Arial"/>
          <w:lang w:val="es-CO"/>
        </w:rPr>
        <w:t>a implementación, operatividad y efectividad del SUNIR.</w:t>
      </w:r>
    </w:p>
    <w:p w14:paraId="7F46B3D0" w14:textId="77777777" w:rsidR="00B2442D" w:rsidRDefault="00B2442D">
      <w:pPr>
        <w:rPr>
          <w:rFonts w:ascii="Arial" w:hAnsi="Arial" w:cs="Arial"/>
          <w:i/>
        </w:rPr>
      </w:pPr>
    </w:p>
    <w:p w14:paraId="566D2A12" w14:textId="77777777" w:rsidR="00B2442D" w:rsidRDefault="008A645F">
      <w:pPr>
        <w:rPr>
          <w:rFonts w:ascii="Arial" w:hAnsi="Arial" w:cs="Arial"/>
          <w:i/>
        </w:rPr>
      </w:pPr>
      <w:r>
        <w:rPr>
          <w:rFonts w:ascii="Arial" w:hAnsi="Arial" w:cs="Arial"/>
          <w:i/>
        </w:rPr>
        <w:t>(Art. 34, Decreto 602 de 2013)</w:t>
      </w:r>
    </w:p>
    <w:p w14:paraId="34F3E9F4" w14:textId="77777777" w:rsidR="00B2442D" w:rsidRDefault="00B2442D">
      <w:pPr>
        <w:jc w:val="both"/>
        <w:rPr>
          <w:rFonts w:ascii="Arial" w:hAnsi="Arial" w:cs="Arial"/>
        </w:rPr>
      </w:pPr>
    </w:p>
    <w:p w14:paraId="0C630152" w14:textId="77777777" w:rsidR="00B2442D" w:rsidRDefault="008A645F">
      <w:pPr>
        <w:pStyle w:val="Prrafodelista"/>
        <w:numPr>
          <w:ilvl w:val="0"/>
          <w:numId w:val="187"/>
        </w:numPr>
        <w:ind w:left="0" w:firstLine="0"/>
        <w:jc w:val="both"/>
        <w:rPr>
          <w:rFonts w:ascii="Arial" w:hAnsi="Arial" w:cs="Arial"/>
          <w:lang w:val="es-CO"/>
        </w:rPr>
      </w:pPr>
      <w:r>
        <w:rPr>
          <w:rFonts w:ascii="Arial" w:hAnsi="Arial" w:cs="Arial"/>
          <w:b/>
          <w:i/>
          <w:lang w:val="es-CO"/>
        </w:rPr>
        <w:t>Régimen de Transición.</w:t>
      </w:r>
      <w:r>
        <w:rPr>
          <w:rFonts w:ascii="Arial" w:hAnsi="Arial" w:cs="Arial"/>
          <w:lang w:val="es-CO"/>
        </w:rPr>
        <w:t xml:space="preserve"> Dentro de los seis (6) meses siguientes a la puesta en producción del SUNIR para cada industria, los productores, importadores, comercializadore</w:t>
      </w:r>
      <w:r>
        <w:rPr>
          <w:rFonts w:ascii="Arial" w:hAnsi="Arial" w:cs="Arial"/>
          <w:lang w:val="es-CO"/>
        </w:rPr>
        <w:t>s o exportadores que tengan en existencia productos sometidos al impuesto al consumo, producidos o importados con anterioridad a esta fecha, deberán presentar a la Unidad Administrativa Especial Dirección de Impuestos y Aduanas Nacionales (DIAN) una solici</w:t>
      </w:r>
      <w:r>
        <w:rPr>
          <w:rFonts w:ascii="Arial" w:hAnsi="Arial" w:cs="Arial"/>
          <w:lang w:val="es-CO"/>
        </w:rPr>
        <w:t>tud de marcación de tales productos, de acuerdo con los requerimientos que para tal efecto establezca esta entidad mediante resolución de carácter general.</w:t>
      </w:r>
    </w:p>
    <w:p w14:paraId="4D366BCC" w14:textId="77777777" w:rsidR="00B2442D" w:rsidRDefault="00B2442D">
      <w:pPr>
        <w:jc w:val="both"/>
        <w:rPr>
          <w:rFonts w:ascii="Arial" w:hAnsi="Arial" w:cs="Arial"/>
        </w:rPr>
      </w:pPr>
    </w:p>
    <w:p w14:paraId="3BD2561D" w14:textId="77777777" w:rsidR="00B2442D" w:rsidRDefault="008A645F">
      <w:pPr>
        <w:jc w:val="both"/>
        <w:rPr>
          <w:rFonts w:ascii="Arial" w:hAnsi="Arial" w:cs="Arial"/>
        </w:rPr>
      </w:pPr>
      <w:r>
        <w:rPr>
          <w:rFonts w:ascii="Arial" w:hAnsi="Arial" w:cs="Arial"/>
          <w:b/>
        </w:rPr>
        <w:t>Parágrafo.</w:t>
      </w:r>
      <w:r>
        <w:rPr>
          <w:rFonts w:ascii="Arial" w:hAnsi="Arial" w:cs="Arial"/>
        </w:rPr>
        <w:t xml:space="preserve"> Las obligaciones previstas en el presente decreto para los sujetos obligados a integrars</w:t>
      </w:r>
      <w:r>
        <w:rPr>
          <w:rFonts w:ascii="Arial" w:hAnsi="Arial" w:cs="Arial"/>
        </w:rPr>
        <w:t>e al SUNIR, serán aplicables una vez entre en operación el SUNIR para cada industria.</w:t>
      </w:r>
    </w:p>
    <w:p w14:paraId="0F3E6AAF" w14:textId="77777777" w:rsidR="00B2442D" w:rsidRDefault="00B2442D">
      <w:pPr>
        <w:rPr>
          <w:rFonts w:ascii="Arial" w:hAnsi="Arial" w:cs="Arial"/>
          <w:i/>
        </w:rPr>
      </w:pPr>
    </w:p>
    <w:p w14:paraId="688F6E60" w14:textId="77777777" w:rsidR="00B2442D" w:rsidRDefault="008A645F">
      <w:pPr>
        <w:rPr>
          <w:rFonts w:ascii="Arial" w:hAnsi="Arial" w:cs="Arial"/>
          <w:i/>
        </w:rPr>
      </w:pPr>
      <w:r>
        <w:rPr>
          <w:rFonts w:ascii="Arial" w:hAnsi="Arial" w:cs="Arial"/>
          <w:i/>
        </w:rPr>
        <w:t>(Art. 35, Decreto 602 de 2013)</w:t>
      </w:r>
    </w:p>
    <w:p w14:paraId="618A388F" w14:textId="77777777" w:rsidR="00B2442D" w:rsidRDefault="00B2442D">
      <w:pPr>
        <w:rPr>
          <w:rFonts w:ascii="Arial" w:hAnsi="Arial" w:cs="Arial"/>
          <w:i/>
        </w:rPr>
      </w:pPr>
    </w:p>
    <w:p w14:paraId="0EA89E11" w14:textId="77777777" w:rsidR="00B2442D" w:rsidRDefault="00B2442D">
      <w:pPr>
        <w:jc w:val="both"/>
        <w:rPr>
          <w:rFonts w:ascii="Arial" w:hAnsi="Arial" w:cs="Arial"/>
          <w:i/>
        </w:rPr>
      </w:pPr>
    </w:p>
    <w:p w14:paraId="75C4BD07" w14:textId="77777777" w:rsidR="00B2442D" w:rsidRDefault="00B2442D">
      <w:pPr>
        <w:rPr>
          <w:rFonts w:ascii="Arial" w:hAnsi="Arial" w:cs="Arial"/>
          <w:i/>
        </w:rPr>
      </w:pPr>
    </w:p>
    <w:p w14:paraId="1794A0FE" w14:textId="77777777" w:rsidR="00B2442D" w:rsidRDefault="008A645F">
      <w:pPr>
        <w:pStyle w:val="Ttulo4"/>
        <w:ind w:firstLine="0"/>
        <w:rPr>
          <w:lang w:val="es-CO"/>
        </w:rPr>
      </w:pPr>
      <w:r>
        <w:rPr>
          <w:lang w:val="es-CO"/>
        </w:rPr>
        <w:t>CAPÍTULO 5.</w:t>
      </w:r>
    </w:p>
    <w:p w14:paraId="3BF0F608" w14:textId="77777777" w:rsidR="00B2442D" w:rsidRDefault="008A645F">
      <w:pPr>
        <w:pStyle w:val="Ttulo4"/>
        <w:rPr>
          <w:lang w:val="es-CO"/>
        </w:rPr>
      </w:pPr>
      <w:r>
        <w:rPr>
          <w:lang w:val="es-CO"/>
        </w:rPr>
        <w:t>Impuesto al consumo de cervezas, sifones, refajos y mezclas</w:t>
      </w:r>
    </w:p>
    <w:p w14:paraId="261B6EDE" w14:textId="77777777" w:rsidR="00B2442D" w:rsidRDefault="00B2442D">
      <w:pPr>
        <w:jc w:val="both"/>
        <w:rPr>
          <w:rFonts w:ascii="Arial" w:hAnsi="Arial" w:cs="Arial"/>
        </w:rPr>
      </w:pPr>
    </w:p>
    <w:p w14:paraId="05790BF3"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Base gravable de productos extranjeros.</w:t>
      </w:r>
      <w:r>
        <w:rPr>
          <w:rFonts w:ascii="Arial" w:hAnsi="Arial" w:cs="Arial"/>
          <w:b/>
          <w:lang w:val="es-CO"/>
        </w:rPr>
        <w:t xml:space="preserve"> </w:t>
      </w:r>
      <w:r>
        <w:rPr>
          <w:rFonts w:ascii="Arial" w:hAnsi="Arial" w:cs="Arial"/>
          <w:lang w:val="es-CO"/>
        </w:rPr>
        <w:t>En relación con los im</w:t>
      </w:r>
      <w:r>
        <w:rPr>
          <w:rFonts w:ascii="Arial" w:hAnsi="Arial" w:cs="Arial"/>
          <w:lang w:val="es-CO"/>
        </w:rPr>
        <w:t>puestos al consumo de:</w:t>
      </w:r>
    </w:p>
    <w:p w14:paraId="0FCC1FD4" w14:textId="77777777" w:rsidR="00B2442D" w:rsidRDefault="00B2442D">
      <w:pPr>
        <w:jc w:val="both"/>
        <w:rPr>
          <w:rFonts w:ascii="Arial" w:hAnsi="Arial" w:cs="Arial"/>
        </w:rPr>
      </w:pPr>
    </w:p>
    <w:p w14:paraId="24EDC47C" w14:textId="77777777" w:rsidR="00B2442D" w:rsidRDefault="008A645F">
      <w:pPr>
        <w:jc w:val="both"/>
        <w:rPr>
          <w:rFonts w:ascii="Arial" w:hAnsi="Arial" w:cs="Arial"/>
        </w:rPr>
      </w:pPr>
      <w:r>
        <w:rPr>
          <w:rFonts w:ascii="Arial" w:hAnsi="Arial" w:cs="Arial"/>
        </w:rPr>
        <w:t>a) Cervezas, sifones, refajos y mezclas;</w:t>
      </w:r>
    </w:p>
    <w:p w14:paraId="509792ED" w14:textId="77777777" w:rsidR="00B2442D" w:rsidRDefault="00B2442D">
      <w:pPr>
        <w:jc w:val="both"/>
        <w:rPr>
          <w:rFonts w:ascii="Arial" w:hAnsi="Arial" w:cs="Arial"/>
        </w:rPr>
      </w:pPr>
    </w:p>
    <w:p w14:paraId="61EC6BAE" w14:textId="77777777" w:rsidR="00B2442D" w:rsidRDefault="008A645F">
      <w:pPr>
        <w:jc w:val="both"/>
        <w:rPr>
          <w:rFonts w:ascii="Arial" w:hAnsi="Arial" w:cs="Arial"/>
        </w:rPr>
      </w:pPr>
      <w:r>
        <w:rPr>
          <w:rFonts w:ascii="Arial" w:hAnsi="Arial" w:cs="Arial"/>
        </w:rPr>
        <w:t xml:space="preserve">La base gravable está constituida por el precio de venta al detallista, el cual se determina como el valor en aduana de los productos, incluyendo los gravámenes arancelarios, adicionado con </w:t>
      </w:r>
      <w:r>
        <w:rPr>
          <w:rFonts w:ascii="Arial" w:hAnsi="Arial" w:cs="Arial"/>
        </w:rPr>
        <w:t>un margen de comercialización equivalente al 30%.</w:t>
      </w:r>
    </w:p>
    <w:p w14:paraId="45EBED65" w14:textId="77777777" w:rsidR="00B2442D" w:rsidRDefault="00B2442D">
      <w:pPr>
        <w:jc w:val="both"/>
        <w:rPr>
          <w:rFonts w:ascii="Arial" w:hAnsi="Arial" w:cs="Arial"/>
        </w:rPr>
      </w:pPr>
    </w:p>
    <w:p w14:paraId="06FF06D9" w14:textId="77777777" w:rsidR="00B2442D" w:rsidRDefault="008A645F">
      <w:pPr>
        <w:jc w:val="both"/>
        <w:rPr>
          <w:rFonts w:ascii="Arial" w:hAnsi="Arial" w:cs="Arial"/>
        </w:rPr>
      </w:pPr>
      <w:r>
        <w:rPr>
          <w:rFonts w:ascii="Arial" w:hAnsi="Arial" w:cs="Arial"/>
        </w:rPr>
        <w:t xml:space="preserve">Para estos efectos, el valor en aduana comprenderá el precio de fábrica en el país de origen, adicionado con los gastos de transporte, gastos de carga, descarga y manipulación hasta el puerto o aeropuerto </w:t>
      </w:r>
      <w:r>
        <w:rPr>
          <w:rFonts w:ascii="Arial" w:hAnsi="Arial" w:cs="Arial"/>
        </w:rPr>
        <w:t>de importación, y el costo de los seguros.</w:t>
      </w:r>
    </w:p>
    <w:p w14:paraId="00B66D6E" w14:textId="77777777" w:rsidR="00B2442D" w:rsidRDefault="00B2442D">
      <w:pPr>
        <w:jc w:val="both"/>
        <w:rPr>
          <w:rFonts w:ascii="Arial" w:hAnsi="Arial" w:cs="Arial"/>
        </w:rPr>
      </w:pPr>
    </w:p>
    <w:p w14:paraId="7190CA15" w14:textId="77777777" w:rsidR="00B2442D" w:rsidRDefault="008A645F">
      <w:pPr>
        <w:jc w:val="both"/>
        <w:rPr>
          <w:rFonts w:ascii="Arial" w:hAnsi="Arial" w:cs="Arial"/>
        </w:rPr>
      </w:pPr>
      <w:r>
        <w:rPr>
          <w:rFonts w:ascii="Arial" w:hAnsi="Arial" w:cs="Arial"/>
        </w:rPr>
        <w:t>Los otros métodos de valoración aduanera sólo serán aplicables en el evento en que no sea posible establecer la base gravable en la forma dispuesta en el inciso anterior.</w:t>
      </w:r>
    </w:p>
    <w:p w14:paraId="5AA57F84" w14:textId="77777777" w:rsidR="00B2442D" w:rsidRDefault="00B2442D">
      <w:pPr>
        <w:jc w:val="both"/>
        <w:rPr>
          <w:rFonts w:ascii="Arial" w:hAnsi="Arial" w:cs="Arial"/>
        </w:rPr>
      </w:pPr>
    </w:p>
    <w:p w14:paraId="1A19C1F3" w14:textId="77777777" w:rsidR="00B2442D" w:rsidRDefault="008A645F">
      <w:pPr>
        <w:jc w:val="both"/>
        <w:rPr>
          <w:rFonts w:ascii="Arial" w:hAnsi="Arial" w:cs="Arial"/>
        </w:rPr>
      </w:pPr>
      <w:r>
        <w:rPr>
          <w:rFonts w:ascii="Arial" w:hAnsi="Arial" w:cs="Arial"/>
        </w:rPr>
        <w:t xml:space="preserve">Para efectos de la </w:t>
      </w:r>
      <w:r>
        <w:rPr>
          <w:rFonts w:ascii="Arial" w:hAnsi="Arial" w:cs="Arial"/>
        </w:rPr>
        <w:t>liquidación de los impuestos al consumo, el valor en aduana en moneda nacional se determinará aplicando durante cada trimestre, la tasa de cambio representativa del mercado vigente en el último día hábil del trimestre inmediatamente anterior. Para estos ef</w:t>
      </w:r>
      <w:r>
        <w:rPr>
          <w:rFonts w:ascii="Arial" w:hAnsi="Arial" w:cs="Arial"/>
        </w:rPr>
        <w:t>ectos, los trimestres estarán comprendidos entre:</w:t>
      </w:r>
    </w:p>
    <w:p w14:paraId="69323655" w14:textId="77777777" w:rsidR="00B2442D" w:rsidRDefault="00B2442D">
      <w:pPr>
        <w:jc w:val="both"/>
        <w:rPr>
          <w:rFonts w:ascii="Arial" w:hAnsi="Arial" w:cs="Arial"/>
        </w:rPr>
      </w:pPr>
    </w:p>
    <w:p w14:paraId="465B376A" w14:textId="77777777" w:rsidR="00B2442D" w:rsidRDefault="008A645F">
      <w:pPr>
        <w:jc w:val="both"/>
        <w:rPr>
          <w:rFonts w:ascii="Arial" w:hAnsi="Arial" w:cs="Arial"/>
        </w:rPr>
      </w:pPr>
      <w:r>
        <w:rPr>
          <w:rFonts w:ascii="Arial" w:hAnsi="Arial" w:cs="Arial"/>
        </w:rPr>
        <w:t>a) El 1º de febrero y el 30 de abril;</w:t>
      </w:r>
    </w:p>
    <w:p w14:paraId="3469C3DC" w14:textId="77777777" w:rsidR="00B2442D" w:rsidRDefault="008A645F">
      <w:pPr>
        <w:jc w:val="both"/>
        <w:rPr>
          <w:rFonts w:ascii="Arial" w:hAnsi="Arial" w:cs="Arial"/>
        </w:rPr>
      </w:pPr>
      <w:r>
        <w:rPr>
          <w:rFonts w:ascii="Arial" w:hAnsi="Arial" w:cs="Arial"/>
        </w:rPr>
        <w:t>b) El 1º de mayo y el 31 de julio;</w:t>
      </w:r>
    </w:p>
    <w:p w14:paraId="588BAD68" w14:textId="77777777" w:rsidR="00B2442D" w:rsidRDefault="008A645F">
      <w:pPr>
        <w:jc w:val="both"/>
        <w:rPr>
          <w:rFonts w:ascii="Arial" w:hAnsi="Arial" w:cs="Arial"/>
        </w:rPr>
      </w:pPr>
      <w:r>
        <w:rPr>
          <w:rFonts w:ascii="Arial" w:hAnsi="Arial" w:cs="Arial"/>
        </w:rPr>
        <w:t>c) El 1º de agosto y el 31 de octubre; y</w:t>
      </w:r>
    </w:p>
    <w:p w14:paraId="01884A7F" w14:textId="77777777" w:rsidR="00B2442D" w:rsidRDefault="008A645F">
      <w:pPr>
        <w:jc w:val="both"/>
        <w:rPr>
          <w:rFonts w:ascii="Arial" w:hAnsi="Arial" w:cs="Arial"/>
        </w:rPr>
      </w:pPr>
      <w:r>
        <w:rPr>
          <w:rFonts w:ascii="Arial" w:hAnsi="Arial" w:cs="Arial"/>
        </w:rPr>
        <w:t>d) El 1º de noviembre y el 31 de enero</w:t>
      </w:r>
    </w:p>
    <w:p w14:paraId="649EAA33" w14:textId="77777777" w:rsidR="00B2442D" w:rsidRDefault="00B2442D">
      <w:pPr>
        <w:jc w:val="both"/>
        <w:rPr>
          <w:rFonts w:ascii="Arial" w:hAnsi="Arial" w:cs="Arial"/>
          <w:i/>
        </w:rPr>
      </w:pPr>
    </w:p>
    <w:p w14:paraId="35F44BFB" w14:textId="77777777" w:rsidR="00B2442D" w:rsidRDefault="008A645F">
      <w:pPr>
        <w:jc w:val="both"/>
        <w:rPr>
          <w:rFonts w:ascii="Arial" w:hAnsi="Arial" w:cs="Arial"/>
          <w:i/>
        </w:rPr>
      </w:pPr>
      <w:r>
        <w:rPr>
          <w:rFonts w:ascii="Arial" w:hAnsi="Arial" w:cs="Arial"/>
          <w:i/>
        </w:rPr>
        <w:t xml:space="preserve">(Art. 11, Decreto 1640 de 1996, Derogatoria tácita </w:t>
      </w:r>
      <w:r>
        <w:rPr>
          <w:rFonts w:ascii="Arial" w:hAnsi="Arial" w:cs="Arial"/>
          <w:i/>
        </w:rPr>
        <w:t>del literal b) en virtud de la expedición del art. 49 de la Ley 788 de 2002; literal c) derogado tácitamente por art. 210 de la ley 1111 de 2006, y aparte declarado nulo por Consejo de Estado Sentencia del 11 de diciembre de 1998. Exp. 8715.)</w:t>
      </w:r>
    </w:p>
    <w:p w14:paraId="7813BF3C" w14:textId="77777777" w:rsidR="00B2442D" w:rsidRDefault="00B2442D">
      <w:pPr>
        <w:jc w:val="both"/>
        <w:rPr>
          <w:rFonts w:ascii="Arial" w:hAnsi="Arial" w:cs="Arial"/>
          <w:b/>
        </w:rPr>
      </w:pPr>
    </w:p>
    <w:p w14:paraId="289C65F2"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Base gravabl</w:t>
      </w:r>
      <w:r>
        <w:rPr>
          <w:rFonts w:ascii="Arial" w:hAnsi="Arial" w:cs="Arial"/>
          <w:b/>
          <w:i/>
          <w:lang w:val="es-CO"/>
        </w:rPr>
        <w:t>e de productos nacionales.</w:t>
      </w:r>
      <w:r>
        <w:rPr>
          <w:rFonts w:ascii="Arial" w:hAnsi="Arial" w:cs="Arial"/>
          <w:lang w:val="es-CO"/>
        </w:rPr>
        <w:t xml:space="preserve"> En relación con los impuestos al consumo de:</w:t>
      </w:r>
    </w:p>
    <w:p w14:paraId="12FFC637" w14:textId="77777777" w:rsidR="00B2442D" w:rsidRDefault="00B2442D">
      <w:pPr>
        <w:jc w:val="both"/>
        <w:rPr>
          <w:rFonts w:ascii="Arial" w:hAnsi="Arial" w:cs="Arial"/>
        </w:rPr>
      </w:pPr>
    </w:p>
    <w:p w14:paraId="7963E286" w14:textId="77777777" w:rsidR="00B2442D" w:rsidRDefault="008A645F">
      <w:pPr>
        <w:jc w:val="both"/>
        <w:rPr>
          <w:rFonts w:ascii="Arial" w:hAnsi="Arial" w:cs="Arial"/>
        </w:rPr>
      </w:pPr>
      <w:r>
        <w:rPr>
          <w:rFonts w:ascii="Arial" w:hAnsi="Arial" w:cs="Arial"/>
        </w:rPr>
        <w:t>a) Cervezas, sifones, refajos y mezclas;</w:t>
      </w:r>
    </w:p>
    <w:p w14:paraId="07F637E1" w14:textId="77777777" w:rsidR="00B2442D" w:rsidRDefault="00B2442D">
      <w:pPr>
        <w:jc w:val="both"/>
        <w:rPr>
          <w:rFonts w:ascii="Arial" w:hAnsi="Arial" w:cs="Arial"/>
        </w:rPr>
      </w:pPr>
    </w:p>
    <w:p w14:paraId="0BCA5655" w14:textId="77777777" w:rsidR="00B2442D" w:rsidRDefault="008A645F">
      <w:pPr>
        <w:jc w:val="both"/>
        <w:rPr>
          <w:rFonts w:ascii="Arial" w:hAnsi="Arial" w:cs="Arial"/>
        </w:rPr>
      </w:pPr>
      <w:r>
        <w:rPr>
          <w:rFonts w:ascii="Arial" w:hAnsi="Arial" w:cs="Arial"/>
        </w:rPr>
        <w:t xml:space="preserve">La base gravable está constituida por el precio de venta al detallista. Se entiende por precio de venta al detallista aquel que, sin </w:t>
      </w:r>
      <w:r>
        <w:rPr>
          <w:rFonts w:ascii="Arial" w:hAnsi="Arial" w:cs="Arial"/>
        </w:rPr>
        <w:t>incluir el valor del impuesto al consumo, fija el productor, según la calidad, contenido y presentación de los productos, a los vendedores o expendedores al detal, en la capital del departamento donde este situada la fábrica. Dicho precio debe reflejar los</w:t>
      </w:r>
      <w:r>
        <w:rPr>
          <w:rFonts w:ascii="Arial" w:hAnsi="Arial" w:cs="Arial"/>
        </w:rPr>
        <w:t xml:space="preserve"> siguientes factores, valuados de acuerdo con las condiciones reales de mercado: el precio de fábrica o a nivel del productor, y el margen de comercialización desde la salida de fábrica hasta su entrega al expendedor al detal.</w:t>
      </w:r>
    </w:p>
    <w:p w14:paraId="6C5EB911" w14:textId="77777777" w:rsidR="00B2442D" w:rsidRDefault="00B2442D">
      <w:pPr>
        <w:jc w:val="both"/>
        <w:rPr>
          <w:rFonts w:ascii="Arial" w:hAnsi="Arial" w:cs="Arial"/>
        </w:rPr>
      </w:pPr>
    </w:p>
    <w:p w14:paraId="08EEB83E" w14:textId="77777777" w:rsidR="00B2442D" w:rsidRDefault="008A645F">
      <w:pPr>
        <w:jc w:val="both"/>
        <w:rPr>
          <w:rFonts w:ascii="Arial" w:hAnsi="Arial" w:cs="Arial"/>
        </w:rPr>
      </w:pPr>
      <w:r>
        <w:rPr>
          <w:rFonts w:ascii="Arial" w:hAnsi="Arial" w:cs="Arial"/>
        </w:rPr>
        <w:t>El precio de venta al detall</w:t>
      </w:r>
      <w:r>
        <w:rPr>
          <w:rFonts w:ascii="Arial" w:hAnsi="Arial" w:cs="Arial"/>
        </w:rPr>
        <w:t xml:space="preserve">ista fijado por el productor para efectos de la liquidación de los impuestos al consumo debe ser único para la capital del departamento sede de la fábrica, según tipo específico de producto. Cuando el productor conceda descuentos o bonificaciones teniendo </w:t>
      </w:r>
      <w:r>
        <w:rPr>
          <w:rFonts w:ascii="Arial" w:hAnsi="Arial" w:cs="Arial"/>
        </w:rPr>
        <w:t>en cuenta el volumen de ventas u otras circunstancias similares, el precio de venta al detallista que debe fijar para efectos de la liquidación de los impuestos al consumo será el mayor entre los distintos que haya establecido, sin deducir los descuentos o</w:t>
      </w:r>
      <w:r>
        <w:rPr>
          <w:rFonts w:ascii="Arial" w:hAnsi="Arial" w:cs="Arial"/>
        </w:rPr>
        <w:t xml:space="preserve"> bonificaciones.</w:t>
      </w:r>
    </w:p>
    <w:p w14:paraId="491EC7C3" w14:textId="77777777" w:rsidR="00B2442D" w:rsidRDefault="00B2442D">
      <w:pPr>
        <w:jc w:val="both"/>
        <w:rPr>
          <w:rFonts w:ascii="Arial" w:hAnsi="Arial" w:cs="Arial"/>
        </w:rPr>
      </w:pPr>
    </w:p>
    <w:p w14:paraId="3CE2683F" w14:textId="77777777" w:rsidR="00B2442D" w:rsidRDefault="008A645F">
      <w:pPr>
        <w:jc w:val="both"/>
        <w:rPr>
          <w:rFonts w:ascii="Arial" w:hAnsi="Arial" w:cs="Arial"/>
        </w:rPr>
      </w:pPr>
      <w:r>
        <w:rPr>
          <w:rFonts w:ascii="Arial" w:hAnsi="Arial" w:cs="Arial"/>
        </w:rPr>
        <w:t>Los productores discriminarán en la factura el precio de fábrica, el precio de venta al detallista y el valor del impuesto al consumo correspondiente.</w:t>
      </w:r>
    </w:p>
    <w:p w14:paraId="54C5FBA6" w14:textId="77777777" w:rsidR="00B2442D" w:rsidRDefault="00B2442D">
      <w:pPr>
        <w:jc w:val="both"/>
        <w:rPr>
          <w:rFonts w:ascii="Arial" w:hAnsi="Arial" w:cs="Arial"/>
        </w:rPr>
      </w:pPr>
    </w:p>
    <w:p w14:paraId="4A53E313" w14:textId="77777777" w:rsidR="00B2442D" w:rsidRDefault="008A645F">
      <w:pPr>
        <w:jc w:val="both"/>
        <w:rPr>
          <w:rFonts w:ascii="Arial" w:hAnsi="Arial" w:cs="Arial"/>
        </w:rPr>
      </w:pPr>
      <w:r>
        <w:rPr>
          <w:rFonts w:ascii="Arial" w:hAnsi="Arial" w:cs="Arial"/>
        </w:rPr>
        <w:t>Los productores de cervezas, sifones, refajos y mezclas de productos fermentados con b</w:t>
      </w:r>
      <w:r>
        <w:rPr>
          <w:rFonts w:ascii="Arial" w:hAnsi="Arial" w:cs="Arial"/>
        </w:rPr>
        <w:t>ebidas no alcohólicas fijaran el precio de facturación al detallista en la forma indicada en este artículo y en su declaración discriminarán para efectos de su exclusión de la base gravable, el valor correspondiente a los empaques y envases, cuando estos f</w:t>
      </w:r>
      <w:r>
        <w:rPr>
          <w:rFonts w:ascii="Arial" w:hAnsi="Arial" w:cs="Arial"/>
        </w:rPr>
        <w:t>ormen parte del precio total de facturación.</w:t>
      </w:r>
    </w:p>
    <w:p w14:paraId="0F3B2C98" w14:textId="77777777" w:rsidR="00B2442D" w:rsidRDefault="00B2442D">
      <w:pPr>
        <w:jc w:val="both"/>
        <w:rPr>
          <w:rFonts w:ascii="Arial" w:hAnsi="Arial" w:cs="Arial"/>
        </w:rPr>
      </w:pPr>
    </w:p>
    <w:p w14:paraId="6C2A6AC7"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los efectos del presente decreto se entiende por distribuidor la persona natural o jurídica que, dentro de una zona geográfica determinada, en forma única o en concurrencia con otras personas, v</w:t>
      </w:r>
      <w:r>
        <w:rPr>
          <w:rFonts w:ascii="Arial" w:hAnsi="Arial" w:cs="Arial"/>
        </w:rPr>
        <w:t>ende los productos en forma abierta, general e indiscriminada a los expendedores al detal.</w:t>
      </w:r>
    </w:p>
    <w:p w14:paraId="324F50E6" w14:textId="77777777" w:rsidR="00B2442D" w:rsidRDefault="00B2442D">
      <w:pPr>
        <w:jc w:val="both"/>
        <w:rPr>
          <w:rFonts w:ascii="Arial" w:hAnsi="Arial" w:cs="Arial"/>
        </w:rPr>
      </w:pPr>
    </w:p>
    <w:p w14:paraId="27DF6418" w14:textId="77777777" w:rsidR="00B2442D" w:rsidRDefault="008A645F">
      <w:pPr>
        <w:jc w:val="both"/>
        <w:rPr>
          <w:rFonts w:ascii="Arial" w:hAnsi="Arial" w:cs="Arial"/>
        </w:rPr>
      </w:pPr>
      <w:r>
        <w:rPr>
          <w:rFonts w:ascii="Arial" w:hAnsi="Arial" w:cs="Arial"/>
        </w:rPr>
        <w:t>Se entiende por detallista o expendedor al detal la persona natural o jurídica que vende los productos directamente al consumidor final.</w:t>
      </w:r>
    </w:p>
    <w:p w14:paraId="400FACB5" w14:textId="77777777" w:rsidR="00B2442D" w:rsidRDefault="00B2442D">
      <w:pPr>
        <w:jc w:val="both"/>
        <w:rPr>
          <w:rFonts w:ascii="Arial" w:hAnsi="Arial" w:cs="Arial"/>
          <w:i/>
        </w:rPr>
      </w:pPr>
    </w:p>
    <w:p w14:paraId="34617A3D" w14:textId="77777777" w:rsidR="00B2442D" w:rsidRDefault="008A645F">
      <w:pPr>
        <w:jc w:val="both"/>
        <w:rPr>
          <w:rFonts w:ascii="Arial" w:hAnsi="Arial" w:cs="Arial"/>
          <w:i/>
        </w:rPr>
      </w:pPr>
      <w:r>
        <w:rPr>
          <w:rFonts w:ascii="Arial" w:hAnsi="Arial" w:cs="Arial"/>
          <w:i/>
        </w:rPr>
        <w:t xml:space="preserve">(Art. 1, Decreto 2141 de </w:t>
      </w:r>
      <w:r>
        <w:rPr>
          <w:rFonts w:ascii="Arial" w:hAnsi="Arial" w:cs="Arial"/>
          <w:i/>
        </w:rPr>
        <w:t xml:space="preserve">1996, Derogatoria tácita de los literales b) en virtud de la expedición del art. 49 de la Ley 788 de 2002 y el literal c) derogado tácitamente por art. 210 de la ley 1111 de 2006. La expresión “…establezca precios diferenciales…” fue declarada nula por el </w:t>
      </w:r>
      <w:r>
        <w:rPr>
          <w:rFonts w:ascii="Arial" w:hAnsi="Arial" w:cs="Arial"/>
          <w:i/>
        </w:rPr>
        <w:t>Consejo de Estado Sentencia del 11 de diciembre de 1998. Exp. 8715)</w:t>
      </w:r>
    </w:p>
    <w:p w14:paraId="1A9B51E0" w14:textId="77777777" w:rsidR="00B2442D" w:rsidRDefault="00B2442D">
      <w:pPr>
        <w:rPr>
          <w:rFonts w:ascii="Arial" w:hAnsi="Arial" w:cs="Arial"/>
        </w:rPr>
      </w:pPr>
    </w:p>
    <w:p w14:paraId="53A0BE70"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Promedios de impuestos de productos nacionales.</w:t>
      </w:r>
      <w:r>
        <w:rPr>
          <w:rFonts w:ascii="Arial" w:hAnsi="Arial" w:cs="Arial"/>
          <w:lang w:val="es-CO"/>
        </w:rPr>
        <w:t xml:space="preserve"> Los promedios de impuestos correspondientes a productos nacionales de que tratan el artículo 189, parágrafo 2º el artículo 205, parágrafo, </w:t>
      </w:r>
      <w:r>
        <w:rPr>
          <w:rFonts w:ascii="Arial" w:hAnsi="Arial" w:cs="Arial"/>
          <w:lang w:val="es-CO"/>
        </w:rPr>
        <w:t>y el artículo 210, parágrafo, de la Ley 223 de 1995, serán establecidos semestralmente por la Dirección General de Apoyo Fiscal del Ministerio de Hacienda y Crédito Público. Para tal efecto, dentro de los primeros veinte días de junio y de diciembre, emiti</w:t>
      </w:r>
      <w:r>
        <w:rPr>
          <w:rFonts w:ascii="Arial" w:hAnsi="Arial" w:cs="Arial"/>
          <w:lang w:val="es-CO"/>
        </w:rPr>
        <w:t xml:space="preserve">rá certificaciones tomando en cuenta la siguiente clasificación. </w:t>
      </w:r>
    </w:p>
    <w:p w14:paraId="58B6B424" w14:textId="77777777" w:rsidR="00B2442D" w:rsidRDefault="008A645F">
      <w:pPr>
        <w:jc w:val="both"/>
        <w:rPr>
          <w:rFonts w:ascii="Arial" w:hAnsi="Arial" w:cs="Arial"/>
        </w:rPr>
      </w:pPr>
      <w:r>
        <w:rPr>
          <w:rFonts w:ascii="Arial" w:hAnsi="Arial" w:cs="Arial"/>
        </w:rPr>
        <w:t xml:space="preserve"> </w:t>
      </w:r>
    </w:p>
    <w:p w14:paraId="7429A0AB" w14:textId="77777777" w:rsidR="00B2442D" w:rsidRDefault="008A645F">
      <w:pPr>
        <w:jc w:val="both"/>
        <w:rPr>
          <w:rFonts w:ascii="Arial" w:hAnsi="Arial" w:cs="Arial"/>
        </w:rPr>
      </w:pPr>
      <w:r>
        <w:rPr>
          <w:rFonts w:ascii="Arial" w:hAnsi="Arial" w:cs="Arial"/>
        </w:rPr>
        <w:t xml:space="preserve">1. Para cervezas, sifones, refajos y mezclas certificará: </w:t>
      </w:r>
    </w:p>
    <w:p w14:paraId="7C05A6EB" w14:textId="77777777" w:rsidR="00B2442D" w:rsidRDefault="00B2442D">
      <w:pPr>
        <w:jc w:val="both"/>
        <w:rPr>
          <w:rFonts w:ascii="Arial" w:hAnsi="Arial" w:cs="Arial"/>
        </w:rPr>
      </w:pPr>
    </w:p>
    <w:p w14:paraId="7FE18DA9" w14:textId="77777777" w:rsidR="00B2442D" w:rsidRDefault="008A645F">
      <w:pPr>
        <w:jc w:val="both"/>
        <w:rPr>
          <w:rFonts w:ascii="Arial" w:hAnsi="Arial" w:cs="Arial"/>
        </w:rPr>
      </w:pPr>
      <w:r>
        <w:rPr>
          <w:rFonts w:ascii="Arial" w:hAnsi="Arial" w:cs="Arial"/>
        </w:rPr>
        <w:t xml:space="preserve">a) Promedio ponderado de impuestos correspondientes a cervezas nacionales; </w:t>
      </w:r>
    </w:p>
    <w:p w14:paraId="0B049C2F" w14:textId="77777777" w:rsidR="00B2442D" w:rsidRDefault="008A645F">
      <w:pPr>
        <w:jc w:val="both"/>
        <w:rPr>
          <w:rFonts w:ascii="Arial" w:hAnsi="Arial" w:cs="Arial"/>
        </w:rPr>
      </w:pPr>
      <w:r>
        <w:rPr>
          <w:rFonts w:ascii="Arial" w:hAnsi="Arial" w:cs="Arial"/>
        </w:rPr>
        <w:t xml:space="preserve">b) Promedio ponderado de impuestos correspondientes </w:t>
      </w:r>
      <w:r>
        <w:rPr>
          <w:rFonts w:ascii="Arial" w:hAnsi="Arial" w:cs="Arial"/>
        </w:rPr>
        <w:t xml:space="preserve">a sifones nacionales; y </w:t>
      </w:r>
    </w:p>
    <w:p w14:paraId="4AE8806E" w14:textId="77777777" w:rsidR="00B2442D" w:rsidRDefault="008A645F">
      <w:pPr>
        <w:jc w:val="both"/>
        <w:rPr>
          <w:rFonts w:ascii="Arial" w:hAnsi="Arial" w:cs="Arial"/>
        </w:rPr>
      </w:pPr>
      <w:r>
        <w:rPr>
          <w:rFonts w:ascii="Arial" w:hAnsi="Arial" w:cs="Arial"/>
        </w:rPr>
        <w:t xml:space="preserve">c) Promedio ponderado de impuestos correspondientes a refajos y mezclas nacionales. </w:t>
      </w:r>
    </w:p>
    <w:p w14:paraId="5493CF21" w14:textId="77777777" w:rsidR="00B2442D" w:rsidRDefault="00B2442D">
      <w:pPr>
        <w:rPr>
          <w:rFonts w:ascii="Arial" w:hAnsi="Arial" w:cs="Arial"/>
        </w:rPr>
      </w:pPr>
    </w:p>
    <w:p w14:paraId="457E16A8" w14:textId="77777777" w:rsidR="00B2442D" w:rsidRDefault="008A645F">
      <w:pPr>
        <w:jc w:val="both"/>
        <w:rPr>
          <w:rFonts w:ascii="Arial" w:hAnsi="Arial" w:cs="Arial"/>
        </w:rPr>
      </w:pPr>
      <w:r>
        <w:rPr>
          <w:rFonts w:ascii="Arial" w:hAnsi="Arial" w:cs="Arial"/>
          <w:b/>
        </w:rPr>
        <w:t>Parágrafo.</w:t>
      </w:r>
      <w:r>
        <w:rPr>
          <w:rFonts w:ascii="Arial" w:hAnsi="Arial" w:cs="Arial"/>
        </w:rPr>
        <w:t xml:space="preserve"> La Dirección General de Apoyo Fiscal determinará la unidad de medida en que se emite la certificación de promedios para cada tipo de p</w:t>
      </w:r>
      <w:r>
        <w:rPr>
          <w:rFonts w:ascii="Arial" w:hAnsi="Arial" w:cs="Arial"/>
        </w:rPr>
        <w:t xml:space="preserve">roducto. </w:t>
      </w:r>
    </w:p>
    <w:p w14:paraId="1137F391" w14:textId="77777777" w:rsidR="00B2442D" w:rsidRDefault="008A645F">
      <w:pPr>
        <w:rPr>
          <w:rFonts w:ascii="Arial" w:hAnsi="Arial" w:cs="Arial"/>
        </w:rPr>
      </w:pPr>
      <w:r>
        <w:rPr>
          <w:rFonts w:ascii="Arial" w:hAnsi="Arial" w:cs="Arial"/>
        </w:rPr>
        <w:t xml:space="preserve"> </w:t>
      </w:r>
    </w:p>
    <w:p w14:paraId="2A87AE8F" w14:textId="77777777" w:rsidR="00B2442D" w:rsidRDefault="008A645F">
      <w:pPr>
        <w:rPr>
          <w:rFonts w:ascii="Arial" w:hAnsi="Arial" w:cs="Arial"/>
        </w:rPr>
      </w:pPr>
      <w:r>
        <w:rPr>
          <w:rFonts w:ascii="Arial" w:hAnsi="Arial" w:cs="Arial"/>
        </w:rPr>
        <w:t>La certificación sobre promedios emitida por la Dirección General de Apoyo Fiscal dentro de los primeros veinte días de junio regirá para el semestre que se inicia el primero de julio, y la emitida dentro de los primeros veinte días de diciembr</w:t>
      </w:r>
      <w:r>
        <w:rPr>
          <w:rFonts w:ascii="Arial" w:hAnsi="Arial" w:cs="Arial"/>
        </w:rPr>
        <w:t>e regirá para el semestre que se inicia el primero de enero.</w:t>
      </w:r>
    </w:p>
    <w:p w14:paraId="32407639" w14:textId="77777777" w:rsidR="00B2442D" w:rsidRDefault="00B2442D">
      <w:pPr>
        <w:rPr>
          <w:rFonts w:ascii="Arial" w:hAnsi="Arial" w:cs="Arial"/>
        </w:rPr>
      </w:pPr>
    </w:p>
    <w:p w14:paraId="6E042D1D" w14:textId="77777777" w:rsidR="00B2442D" w:rsidRDefault="008A645F">
      <w:pPr>
        <w:jc w:val="both"/>
        <w:rPr>
          <w:rFonts w:ascii="Arial" w:hAnsi="Arial" w:cs="Arial"/>
        </w:rPr>
      </w:pPr>
      <w:r>
        <w:rPr>
          <w:rFonts w:ascii="Arial" w:hAnsi="Arial" w:cs="Arial"/>
        </w:rPr>
        <w:t>Para efectos de la liquidación y pago de los impuestos al consumo correspondientes a productos extranjeros, solamente se aplicarán los promedios de que trata el presente artículo cuando los impu</w:t>
      </w:r>
      <w:r>
        <w:rPr>
          <w:rFonts w:ascii="Arial" w:hAnsi="Arial" w:cs="Arial"/>
        </w:rPr>
        <w:t>estos liquidados sobre los productos extranjeros resulten inferiores a dichos promedios.</w:t>
      </w:r>
    </w:p>
    <w:p w14:paraId="3143AB85" w14:textId="77777777" w:rsidR="00B2442D" w:rsidRDefault="00B2442D">
      <w:pPr>
        <w:jc w:val="both"/>
        <w:rPr>
          <w:rFonts w:ascii="Arial" w:hAnsi="Arial" w:cs="Arial"/>
          <w:i/>
        </w:rPr>
      </w:pPr>
    </w:p>
    <w:p w14:paraId="0C17DC12" w14:textId="77777777" w:rsidR="00B2442D" w:rsidRDefault="008A645F">
      <w:pPr>
        <w:jc w:val="both"/>
        <w:rPr>
          <w:rFonts w:ascii="Arial" w:hAnsi="Arial" w:cs="Arial"/>
          <w:i/>
        </w:rPr>
      </w:pPr>
      <w:r>
        <w:rPr>
          <w:rFonts w:ascii="Arial" w:hAnsi="Arial" w:cs="Arial"/>
          <w:i/>
        </w:rPr>
        <w:t>(Art. 4, Decreto 2141 de 1996, numerales 2 y 3 derogados tácitamente por el art. 49 de la Ley 788 de 2002)</w:t>
      </w:r>
    </w:p>
    <w:p w14:paraId="0A624E59" w14:textId="77777777" w:rsidR="00B2442D" w:rsidRDefault="00B2442D">
      <w:pPr>
        <w:rPr>
          <w:rFonts w:ascii="Arial" w:hAnsi="Arial" w:cs="Arial"/>
        </w:rPr>
      </w:pPr>
    </w:p>
    <w:p w14:paraId="78645B75"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Información para establecer los promedios.</w:t>
      </w:r>
      <w:r>
        <w:rPr>
          <w:rFonts w:ascii="Arial" w:hAnsi="Arial" w:cs="Arial"/>
          <w:lang w:val="es-CO"/>
        </w:rPr>
        <w:t xml:space="preserve"> Para efectos de</w:t>
      </w:r>
      <w:r>
        <w:rPr>
          <w:rFonts w:ascii="Arial" w:hAnsi="Arial" w:cs="Arial"/>
          <w:lang w:val="es-CO"/>
        </w:rPr>
        <w:t>l establecimiento de los promedios de impuestos a que se refiere el artículo anterior, los Secretarios de Hacienda departamentales y del Distrito Capital remitirán a la Dirección General de Apoyo Fiscal, dentro de los primeros quince días de mayo y noviemb</w:t>
      </w:r>
      <w:r>
        <w:rPr>
          <w:rFonts w:ascii="Arial" w:hAnsi="Arial" w:cs="Arial"/>
          <w:lang w:val="es-CO"/>
        </w:rPr>
        <w:t>re de cada año, la información sobre los impuestos aludidos, en la forma y condiciones que dicha entidad determine. La Dirección General de Apoyo Fiscal emitirá la certificación sobre promedios ponderados con base en la información disponible y en el métod</w:t>
      </w:r>
      <w:r>
        <w:rPr>
          <w:rFonts w:ascii="Arial" w:hAnsi="Arial" w:cs="Arial"/>
          <w:lang w:val="es-CO"/>
        </w:rPr>
        <w:t>o que para el efecto establezca, teniendo en cuenta la clasificación señalada en el artículo anterior y las subclasificaciones que la misma determine.</w:t>
      </w:r>
    </w:p>
    <w:p w14:paraId="3D15A15F" w14:textId="77777777" w:rsidR="00B2442D" w:rsidRDefault="00B2442D">
      <w:pPr>
        <w:rPr>
          <w:rFonts w:ascii="Arial" w:hAnsi="Arial" w:cs="Arial"/>
          <w:i/>
        </w:rPr>
      </w:pPr>
    </w:p>
    <w:p w14:paraId="01DC9BBF" w14:textId="77777777" w:rsidR="00B2442D" w:rsidRDefault="008A645F">
      <w:pPr>
        <w:rPr>
          <w:rFonts w:ascii="Arial" w:hAnsi="Arial" w:cs="Arial"/>
        </w:rPr>
      </w:pPr>
      <w:r>
        <w:rPr>
          <w:rFonts w:ascii="Arial" w:hAnsi="Arial" w:cs="Arial"/>
          <w:i/>
        </w:rPr>
        <w:t>(Art. 5, Decreto 2141 de 1996,</w:t>
      </w:r>
      <w:r>
        <w:rPr>
          <w:rFonts w:ascii="Arial" w:hAnsi="Arial" w:cs="Arial"/>
        </w:rPr>
        <w:t xml:space="preserve"> </w:t>
      </w:r>
      <w:r>
        <w:rPr>
          <w:rFonts w:ascii="Arial" w:hAnsi="Arial" w:cs="Arial"/>
          <w:i/>
        </w:rPr>
        <w:t>el parágrafo perdió vigencia por agotamiento del objeto)</w:t>
      </w:r>
    </w:p>
    <w:p w14:paraId="074FA6E3" w14:textId="77777777" w:rsidR="00B2442D" w:rsidRDefault="00B2442D">
      <w:pPr>
        <w:jc w:val="both"/>
        <w:rPr>
          <w:rFonts w:ascii="Arial" w:hAnsi="Arial" w:cs="Arial"/>
          <w:b/>
        </w:rPr>
      </w:pPr>
    </w:p>
    <w:p w14:paraId="15C2044C"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Contenido de la</w:t>
      </w:r>
      <w:r>
        <w:rPr>
          <w:rFonts w:ascii="Arial" w:hAnsi="Arial" w:cs="Arial"/>
          <w:b/>
          <w:i/>
          <w:lang w:val="es-CO"/>
        </w:rPr>
        <w:t>s declaraciones del impuesto al consumo de cervezas, sifones, refajos y mezclas de bebidas fermentadas con bebidas no alcohólicas.</w:t>
      </w:r>
      <w:r>
        <w:rPr>
          <w:rFonts w:ascii="Arial" w:hAnsi="Arial" w:cs="Arial"/>
          <w:lang w:val="es-CO"/>
        </w:rPr>
        <w:t xml:space="preserve"> Las declaraciones del impuesto al consumo de cervezas, sifones, refajos y mezcla de bebidas fermentadas con bebidas no alcohó</w:t>
      </w:r>
      <w:r>
        <w:rPr>
          <w:rFonts w:ascii="Arial" w:hAnsi="Arial" w:cs="Arial"/>
          <w:lang w:val="es-CO"/>
        </w:rPr>
        <w:t>licas, de producción nacional, deberá contener:</w:t>
      </w:r>
    </w:p>
    <w:p w14:paraId="4F2B9A10" w14:textId="77777777" w:rsidR="00B2442D" w:rsidRDefault="00B2442D">
      <w:pPr>
        <w:jc w:val="both"/>
        <w:rPr>
          <w:rFonts w:ascii="Arial" w:hAnsi="Arial" w:cs="Arial"/>
        </w:rPr>
      </w:pPr>
    </w:p>
    <w:p w14:paraId="56C226D3" w14:textId="77777777" w:rsidR="00B2442D" w:rsidRDefault="008A645F">
      <w:pPr>
        <w:jc w:val="both"/>
        <w:rPr>
          <w:rFonts w:ascii="Arial" w:hAnsi="Arial" w:cs="Arial"/>
        </w:rPr>
      </w:pPr>
      <w:r>
        <w:rPr>
          <w:rFonts w:ascii="Arial" w:hAnsi="Arial" w:cs="Arial"/>
        </w:rPr>
        <w:t>1. La información necesaria para la identificación y ubicación del contribuyente o responsable.</w:t>
      </w:r>
    </w:p>
    <w:p w14:paraId="71584810" w14:textId="77777777" w:rsidR="00B2442D" w:rsidRDefault="008A645F">
      <w:pPr>
        <w:jc w:val="both"/>
        <w:rPr>
          <w:rFonts w:ascii="Arial" w:hAnsi="Arial" w:cs="Arial"/>
        </w:rPr>
      </w:pPr>
      <w:r>
        <w:rPr>
          <w:rFonts w:ascii="Arial" w:hAnsi="Arial" w:cs="Arial"/>
        </w:rPr>
        <w:t>2. La discriminación e identificación de los factores necesarios para determinar las bases gravables del impues</w:t>
      </w:r>
      <w:r>
        <w:rPr>
          <w:rFonts w:ascii="Arial" w:hAnsi="Arial" w:cs="Arial"/>
        </w:rPr>
        <w:t>to al consumo, entre ellos:</w:t>
      </w:r>
    </w:p>
    <w:p w14:paraId="62D17EBA" w14:textId="77777777" w:rsidR="00B2442D" w:rsidRDefault="008A645F">
      <w:pPr>
        <w:pStyle w:val="Prrafodelista"/>
        <w:numPr>
          <w:ilvl w:val="0"/>
          <w:numId w:val="175"/>
        </w:numPr>
        <w:ind w:left="0" w:firstLine="0"/>
        <w:jc w:val="both"/>
        <w:rPr>
          <w:rFonts w:ascii="Arial" w:hAnsi="Arial" w:cs="Arial"/>
          <w:lang w:val="es-CO"/>
        </w:rPr>
      </w:pPr>
      <w:r>
        <w:rPr>
          <w:rFonts w:ascii="Arial" w:hAnsi="Arial" w:cs="Arial"/>
          <w:lang w:val="es-CO"/>
        </w:rPr>
        <w:t>Clase y marca del producto.</w:t>
      </w:r>
    </w:p>
    <w:p w14:paraId="19F79B96" w14:textId="77777777" w:rsidR="00B2442D" w:rsidRDefault="008A645F">
      <w:pPr>
        <w:pStyle w:val="Prrafodelista"/>
        <w:numPr>
          <w:ilvl w:val="0"/>
          <w:numId w:val="175"/>
        </w:numPr>
        <w:ind w:left="0" w:firstLine="0"/>
        <w:jc w:val="both"/>
        <w:rPr>
          <w:rFonts w:ascii="Arial" w:hAnsi="Arial" w:cs="Arial"/>
          <w:lang w:val="es-CO"/>
        </w:rPr>
      </w:pPr>
      <w:r>
        <w:rPr>
          <w:rFonts w:ascii="Arial" w:hAnsi="Arial" w:cs="Arial"/>
          <w:lang w:val="es-CO"/>
        </w:rPr>
        <w:t>Unidad de medida.</w:t>
      </w:r>
    </w:p>
    <w:p w14:paraId="4B188031" w14:textId="77777777" w:rsidR="00B2442D" w:rsidRDefault="008A645F">
      <w:pPr>
        <w:pStyle w:val="Prrafodelista"/>
        <w:numPr>
          <w:ilvl w:val="0"/>
          <w:numId w:val="175"/>
        </w:numPr>
        <w:ind w:left="0" w:firstLine="0"/>
        <w:jc w:val="both"/>
        <w:rPr>
          <w:rFonts w:ascii="Arial" w:hAnsi="Arial" w:cs="Arial"/>
          <w:lang w:val="es-CO"/>
        </w:rPr>
      </w:pPr>
      <w:r>
        <w:rPr>
          <w:rFonts w:ascii="Arial" w:hAnsi="Arial" w:cs="Arial"/>
          <w:lang w:val="es-CO"/>
        </w:rPr>
        <w:t>Precio de venta al detallista.</w:t>
      </w:r>
    </w:p>
    <w:p w14:paraId="05FAA235" w14:textId="77777777" w:rsidR="00B2442D" w:rsidRDefault="008A645F">
      <w:pPr>
        <w:pStyle w:val="Prrafodelista"/>
        <w:numPr>
          <w:ilvl w:val="0"/>
          <w:numId w:val="175"/>
        </w:numPr>
        <w:ind w:left="0" w:firstLine="0"/>
        <w:jc w:val="both"/>
        <w:rPr>
          <w:rFonts w:ascii="Arial" w:hAnsi="Arial" w:cs="Arial"/>
          <w:lang w:val="es-CO"/>
        </w:rPr>
      </w:pPr>
      <w:r>
        <w:rPr>
          <w:rFonts w:ascii="Arial" w:hAnsi="Arial" w:cs="Arial"/>
          <w:lang w:val="es-CO"/>
        </w:rPr>
        <w:t>Costo de los envases o empaques.</w:t>
      </w:r>
    </w:p>
    <w:p w14:paraId="7B2D8CE3" w14:textId="77777777" w:rsidR="00B2442D" w:rsidRDefault="008A645F">
      <w:pPr>
        <w:pStyle w:val="Prrafodelista"/>
        <w:numPr>
          <w:ilvl w:val="0"/>
          <w:numId w:val="175"/>
        </w:numPr>
        <w:ind w:left="0" w:firstLine="0"/>
        <w:jc w:val="both"/>
        <w:rPr>
          <w:rFonts w:ascii="Arial" w:hAnsi="Arial" w:cs="Arial"/>
          <w:lang w:val="es-CO"/>
        </w:rPr>
      </w:pPr>
      <w:r>
        <w:rPr>
          <w:rFonts w:ascii="Arial" w:hAnsi="Arial" w:cs="Arial"/>
          <w:lang w:val="es-CO"/>
        </w:rPr>
        <w:t>Cantidad del producto.</w:t>
      </w:r>
    </w:p>
    <w:p w14:paraId="1D82E52A" w14:textId="77777777" w:rsidR="00B2442D" w:rsidRDefault="008A645F">
      <w:pPr>
        <w:jc w:val="both"/>
        <w:rPr>
          <w:rFonts w:ascii="Arial" w:hAnsi="Arial" w:cs="Arial"/>
        </w:rPr>
      </w:pPr>
      <w:r>
        <w:rPr>
          <w:rFonts w:ascii="Arial" w:hAnsi="Arial" w:cs="Arial"/>
        </w:rPr>
        <w:t xml:space="preserve">3. La liquidación privada y por separado del impuesto al consumo de cervezas y sifones, de </w:t>
      </w:r>
      <w:r>
        <w:rPr>
          <w:rFonts w:ascii="Arial" w:hAnsi="Arial" w:cs="Arial"/>
        </w:rPr>
        <w:t>una parte, y el de refajos y mezclas, de otra.</w:t>
      </w:r>
    </w:p>
    <w:p w14:paraId="419E4A1C" w14:textId="77777777" w:rsidR="00B2442D" w:rsidRDefault="008A645F">
      <w:pPr>
        <w:jc w:val="both"/>
        <w:rPr>
          <w:rFonts w:ascii="Arial" w:hAnsi="Arial" w:cs="Arial"/>
        </w:rPr>
      </w:pPr>
      <w:r>
        <w:rPr>
          <w:rFonts w:ascii="Arial" w:hAnsi="Arial" w:cs="Arial"/>
        </w:rPr>
        <w:t>4. La liquidación de las sanciones.</w:t>
      </w:r>
    </w:p>
    <w:p w14:paraId="708DE372" w14:textId="77777777" w:rsidR="00B2442D" w:rsidRDefault="008A645F">
      <w:pPr>
        <w:jc w:val="both"/>
        <w:rPr>
          <w:rFonts w:ascii="Arial" w:hAnsi="Arial" w:cs="Arial"/>
        </w:rPr>
      </w:pPr>
      <w:r>
        <w:rPr>
          <w:rFonts w:ascii="Arial" w:hAnsi="Arial" w:cs="Arial"/>
        </w:rPr>
        <w:t>5. La información sobre reenvíos cuando haya lugar a ello.</w:t>
      </w:r>
    </w:p>
    <w:p w14:paraId="0E5B6D00" w14:textId="77777777" w:rsidR="00B2442D" w:rsidRDefault="008A645F">
      <w:pPr>
        <w:jc w:val="both"/>
        <w:rPr>
          <w:rFonts w:ascii="Arial" w:hAnsi="Arial" w:cs="Arial"/>
        </w:rPr>
      </w:pPr>
      <w:r>
        <w:rPr>
          <w:rFonts w:ascii="Arial" w:hAnsi="Arial" w:cs="Arial"/>
        </w:rPr>
        <w:t>6. La discriminación del valor correspondiente a las direcciones o fondos de salud.</w:t>
      </w:r>
    </w:p>
    <w:p w14:paraId="647151B8" w14:textId="77777777" w:rsidR="00B2442D" w:rsidRDefault="008A645F">
      <w:pPr>
        <w:jc w:val="both"/>
        <w:rPr>
          <w:rFonts w:ascii="Arial" w:hAnsi="Arial" w:cs="Arial"/>
        </w:rPr>
      </w:pPr>
      <w:r>
        <w:rPr>
          <w:rFonts w:ascii="Arial" w:hAnsi="Arial" w:cs="Arial"/>
        </w:rPr>
        <w:t xml:space="preserve">7. El valor a cargo o saldo a </w:t>
      </w:r>
      <w:r>
        <w:rPr>
          <w:rFonts w:ascii="Arial" w:hAnsi="Arial" w:cs="Arial"/>
        </w:rPr>
        <w:t>favor, según el caso.</w:t>
      </w:r>
    </w:p>
    <w:p w14:paraId="6A58ECF0" w14:textId="77777777" w:rsidR="00B2442D" w:rsidRDefault="008A645F">
      <w:pPr>
        <w:jc w:val="both"/>
        <w:rPr>
          <w:rFonts w:ascii="Arial" w:hAnsi="Arial" w:cs="Arial"/>
        </w:rPr>
      </w:pPr>
      <w:r>
        <w:rPr>
          <w:rFonts w:ascii="Arial" w:hAnsi="Arial" w:cs="Arial"/>
        </w:rPr>
        <w:t>8. La firma del obligado al cumplimiento del deber formal de declarar</w:t>
      </w:r>
    </w:p>
    <w:p w14:paraId="70869F02" w14:textId="77777777" w:rsidR="00B2442D" w:rsidRDefault="00B2442D">
      <w:pPr>
        <w:jc w:val="both"/>
        <w:rPr>
          <w:rFonts w:ascii="Arial" w:hAnsi="Arial" w:cs="Arial"/>
          <w:i/>
        </w:rPr>
      </w:pPr>
    </w:p>
    <w:p w14:paraId="778EF82C" w14:textId="77777777" w:rsidR="00B2442D" w:rsidRDefault="008A645F">
      <w:pPr>
        <w:jc w:val="both"/>
        <w:rPr>
          <w:rFonts w:ascii="Arial" w:hAnsi="Arial" w:cs="Arial"/>
          <w:i/>
        </w:rPr>
      </w:pPr>
      <w:r>
        <w:rPr>
          <w:rFonts w:ascii="Arial" w:hAnsi="Arial" w:cs="Arial"/>
          <w:i/>
        </w:rPr>
        <w:t>(Art. 10, Decreto 2141 de 1996)</w:t>
      </w:r>
    </w:p>
    <w:p w14:paraId="42D3B847" w14:textId="77777777" w:rsidR="00B2442D" w:rsidRDefault="00B2442D">
      <w:pPr>
        <w:jc w:val="both"/>
        <w:rPr>
          <w:rFonts w:ascii="Arial" w:hAnsi="Arial" w:cs="Arial"/>
        </w:rPr>
      </w:pPr>
    </w:p>
    <w:p w14:paraId="4F516537"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 xml:space="preserve">Contenido de las declaraciones del impuesto al consumo de cigarrillos y tabaco elaborado. </w:t>
      </w:r>
      <w:r>
        <w:rPr>
          <w:rFonts w:ascii="Arial" w:hAnsi="Arial" w:cs="Arial"/>
          <w:lang w:val="es-CO"/>
        </w:rPr>
        <w:t>La declaración del impuesto al consumo d</w:t>
      </w:r>
      <w:r>
        <w:rPr>
          <w:rFonts w:ascii="Arial" w:hAnsi="Arial" w:cs="Arial"/>
          <w:lang w:val="es-CO"/>
        </w:rPr>
        <w:t>e cigarrillos y tabaco elaborado de producción nacional deberá contener:</w:t>
      </w:r>
    </w:p>
    <w:p w14:paraId="00A4DEA1" w14:textId="77777777" w:rsidR="00B2442D" w:rsidRDefault="00B2442D">
      <w:pPr>
        <w:jc w:val="both"/>
        <w:rPr>
          <w:rFonts w:ascii="Arial" w:hAnsi="Arial" w:cs="Arial"/>
        </w:rPr>
      </w:pPr>
    </w:p>
    <w:p w14:paraId="4FFD6C54" w14:textId="77777777" w:rsidR="00B2442D" w:rsidRDefault="008A645F">
      <w:pPr>
        <w:jc w:val="both"/>
        <w:rPr>
          <w:rFonts w:ascii="Arial" w:hAnsi="Arial" w:cs="Arial"/>
        </w:rPr>
      </w:pPr>
      <w:r>
        <w:rPr>
          <w:rFonts w:ascii="Arial" w:hAnsi="Arial" w:cs="Arial"/>
        </w:rPr>
        <w:t>1. La información necesaria para la identificación y ubicación del contribuyente o responsable.</w:t>
      </w:r>
    </w:p>
    <w:p w14:paraId="4831A1F1" w14:textId="77777777" w:rsidR="00B2442D" w:rsidRDefault="008A645F">
      <w:pPr>
        <w:jc w:val="both"/>
        <w:rPr>
          <w:rFonts w:ascii="Arial" w:hAnsi="Arial" w:cs="Arial"/>
        </w:rPr>
      </w:pPr>
      <w:r>
        <w:rPr>
          <w:rFonts w:ascii="Arial" w:hAnsi="Arial" w:cs="Arial"/>
        </w:rPr>
        <w:t>2. La discriminación e identificación de los factores necesarios para determinar las b</w:t>
      </w:r>
      <w:r>
        <w:rPr>
          <w:rFonts w:ascii="Arial" w:hAnsi="Arial" w:cs="Arial"/>
        </w:rPr>
        <w:t>ases gravables del impuesto al consumo, entre ellos:</w:t>
      </w:r>
    </w:p>
    <w:p w14:paraId="331E6E2C" w14:textId="77777777" w:rsidR="00B2442D" w:rsidRDefault="008A645F">
      <w:pPr>
        <w:pStyle w:val="Prrafodelista"/>
        <w:numPr>
          <w:ilvl w:val="0"/>
          <w:numId w:val="174"/>
        </w:numPr>
        <w:ind w:left="0" w:firstLine="0"/>
        <w:jc w:val="both"/>
        <w:rPr>
          <w:rFonts w:ascii="Arial" w:hAnsi="Arial" w:cs="Arial"/>
          <w:lang w:val="es-CO"/>
        </w:rPr>
      </w:pPr>
      <w:r>
        <w:rPr>
          <w:rFonts w:ascii="Arial" w:hAnsi="Arial" w:cs="Arial"/>
          <w:lang w:val="es-CO"/>
        </w:rPr>
        <w:t>Clase y marca del producto.</w:t>
      </w:r>
    </w:p>
    <w:p w14:paraId="31755CBC" w14:textId="77777777" w:rsidR="00B2442D" w:rsidRDefault="008A645F">
      <w:pPr>
        <w:pStyle w:val="Prrafodelista"/>
        <w:numPr>
          <w:ilvl w:val="0"/>
          <w:numId w:val="174"/>
        </w:numPr>
        <w:ind w:left="0" w:firstLine="0"/>
        <w:jc w:val="both"/>
        <w:rPr>
          <w:rFonts w:ascii="Arial" w:hAnsi="Arial" w:cs="Arial"/>
          <w:lang w:val="es-CO"/>
        </w:rPr>
      </w:pPr>
      <w:r>
        <w:rPr>
          <w:rFonts w:ascii="Arial" w:hAnsi="Arial" w:cs="Arial"/>
          <w:lang w:val="es-CO"/>
        </w:rPr>
        <w:t>Unidad de medida.</w:t>
      </w:r>
    </w:p>
    <w:p w14:paraId="7E736E76" w14:textId="77777777" w:rsidR="00B2442D" w:rsidRDefault="008A645F">
      <w:pPr>
        <w:pStyle w:val="Prrafodelista"/>
        <w:numPr>
          <w:ilvl w:val="0"/>
          <w:numId w:val="174"/>
        </w:numPr>
        <w:ind w:left="0" w:firstLine="0"/>
        <w:jc w:val="both"/>
        <w:rPr>
          <w:rFonts w:ascii="Arial" w:hAnsi="Arial" w:cs="Arial"/>
          <w:lang w:val="es-CO"/>
        </w:rPr>
      </w:pPr>
      <w:r>
        <w:rPr>
          <w:rFonts w:ascii="Arial" w:hAnsi="Arial" w:cs="Arial"/>
          <w:lang w:val="es-CO"/>
        </w:rPr>
        <w:t>Precio de venta al detallista.</w:t>
      </w:r>
    </w:p>
    <w:p w14:paraId="2D61A0BA" w14:textId="77777777" w:rsidR="00B2442D" w:rsidRDefault="008A645F">
      <w:pPr>
        <w:pStyle w:val="Prrafodelista"/>
        <w:numPr>
          <w:ilvl w:val="0"/>
          <w:numId w:val="174"/>
        </w:numPr>
        <w:ind w:left="0" w:firstLine="0"/>
        <w:jc w:val="both"/>
        <w:rPr>
          <w:rFonts w:ascii="Arial" w:hAnsi="Arial" w:cs="Arial"/>
          <w:lang w:val="es-CO"/>
        </w:rPr>
      </w:pPr>
      <w:r>
        <w:rPr>
          <w:rFonts w:ascii="Arial" w:hAnsi="Arial" w:cs="Arial"/>
          <w:lang w:val="es-CO"/>
        </w:rPr>
        <w:t>Cantidad del producto.</w:t>
      </w:r>
    </w:p>
    <w:p w14:paraId="155FBCCA" w14:textId="77777777" w:rsidR="00B2442D" w:rsidRDefault="008A645F">
      <w:pPr>
        <w:jc w:val="both"/>
        <w:rPr>
          <w:rFonts w:ascii="Arial" w:hAnsi="Arial" w:cs="Arial"/>
        </w:rPr>
      </w:pPr>
      <w:r>
        <w:rPr>
          <w:rFonts w:ascii="Arial" w:hAnsi="Arial" w:cs="Arial"/>
        </w:rPr>
        <w:t>3. La liquidación privada del impuesto al consumo de cigarrillos y tabaco elaborado.</w:t>
      </w:r>
    </w:p>
    <w:p w14:paraId="14DA5439" w14:textId="77777777" w:rsidR="00B2442D" w:rsidRDefault="008A645F">
      <w:pPr>
        <w:jc w:val="both"/>
        <w:rPr>
          <w:rFonts w:ascii="Arial" w:hAnsi="Arial" w:cs="Arial"/>
        </w:rPr>
      </w:pPr>
      <w:r>
        <w:rPr>
          <w:rFonts w:ascii="Arial" w:hAnsi="Arial" w:cs="Arial"/>
        </w:rPr>
        <w:t xml:space="preserve">4. La </w:t>
      </w:r>
      <w:r>
        <w:rPr>
          <w:rFonts w:ascii="Arial" w:hAnsi="Arial" w:cs="Arial"/>
        </w:rPr>
        <w:t>liquidación de las sanciones.</w:t>
      </w:r>
    </w:p>
    <w:p w14:paraId="16DDC316" w14:textId="77777777" w:rsidR="00B2442D" w:rsidRDefault="008A645F">
      <w:pPr>
        <w:jc w:val="both"/>
        <w:rPr>
          <w:rFonts w:ascii="Arial" w:hAnsi="Arial" w:cs="Arial"/>
        </w:rPr>
      </w:pPr>
      <w:r>
        <w:rPr>
          <w:rFonts w:ascii="Arial" w:hAnsi="Arial" w:cs="Arial"/>
        </w:rPr>
        <w:t>5. La información sobre reenvíos cuando haya lugar a ello.</w:t>
      </w:r>
    </w:p>
    <w:p w14:paraId="5491D531" w14:textId="77777777" w:rsidR="00B2442D" w:rsidRDefault="008A645F">
      <w:pPr>
        <w:jc w:val="both"/>
        <w:rPr>
          <w:rFonts w:ascii="Arial" w:hAnsi="Arial" w:cs="Arial"/>
        </w:rPr>
      </w:pPr>
      <w:r>
        <w:rPr>
          <w:rFonts w:ascii="Arial" w:hAnsi="Arial" w:cs="Arial"/>
        </w:rPr>
        <w:t>6. La liquidación del impuesto con destino al deporte.</w:t>
      </w:r>
    </w:p>
    <w:p w14:paraId="79ACAD76" w14:textId="77777777" w:rsidR="00B2442D" w:rsidRDefault="008A645F">
      <w:pPr>
        <w:jc w:val="both"/>
        <w:rPr>
          <w:rFonts w:ascii="Arial" w:hAnsi="Arial" w:cs="Arial"/>
        </w:rPr>
      </w:pPr>
      <w:r>
        <w:rPr>
          <w:rFonts w:ascii="Arial" w:hAnsi="Arial" w:cs="Arial"/>
        </w:rPr>
        <w:t>7. El valor a cargo o saldo a favor, según el caso.</w:t>
      </w:r>
    </w:p>
    <w:p w14:paraId="708780F3" w14:textId="77777777" w:rsidR="00B2442D" w:rsidRDefault="008A645F">
      <w:pPr>
        <w:jc w:val="both"/>
        <w:rPr>
          <w:rFonts w:ascii="Arial" w:hAnsi="Arial" w:cs="Arial"/>
        </w:rPr>
      </w:pPr>
      <w:r>
        <w:rPr>
          <w:rFonts w:ascii="Arial" w:hAnsi="Arial" w:cs="Arial"/>
        </w:rPr>
        <w:t>8. La firma del obligado al cumplimiento del deber formal de</w:t>
      </w:r>
      <w:r>
        <w:rPr>
          <w:rFonts w:ascii="Arial" w:hAnsi="Arial" w:cs="Arial"/>
        </w:rPr>
        <w:t xml:space="preserve"> declarar.</w:t>
      </w:r>
    </w:p>
    <w:p w14:paraId="196AD880" w14:textId="77777777" w:rsidR="00B2442D" w:rsidRDefault="00B2442D">
      <w:pPr>
        <w:rPr>
          <w:rFonts w:ascii="Arial" w:hAnsi="Arial" w:cs="Arial"/>
          <w:i/>
        </w:rPr>
      </w:pPr>
    </w:p>
    <w:p w14:paraId="33006178" w14:textId="77777777" w:rsidR="00B2442D" w:rsidRDefault="008A645F">
      <w:pPr>
        <w:rPr>
          <w:rFonts w:ascii="Arial" w:hAnsi="Arial" w:cs="Arial"/>
          <w:i/>
        </w:rPr>
      </w:pPr>
      <w:r>
        <w:rPr>
          <w:rFonts w:ascii="Arial" w:hAnsi="Arial" w:cs="Arial"/>
          <w:i/>
        </w:rPr>
        <w:t>(Art. 11, Decreto 2141 de 1996)</w:t>
      </w:r>
    </w:p>
    <w:p w14:paraId="30A81090" w14:textId="77777777" w:rsidR="00B2442D" w:rsidRDefault="00B2442D">
      <w:pPr>
        <w:rPr>
          <w:rFonts w:ascii="Arial" w:hAnsi="Arial" w:cs="Arial"/>
        </w:rPr>
      </w:pPr>
    </w:p>
    <w:p w14:paraId="3A90213B" w14:textId="77777777" w:rsidR="00B2442D" w:rsidRDefault="008A645F">
      <w:pPr>
        <w:pStyle w:val="Prrafodelista"/>
        <w:numPr>
          <w:ilvl w:val="0"/>
          <w:numId w:val="188"/>
        </w:numPr>
        <w:ind w:left="0" w:firstLine="0"/>
        <w:jc w:val="both"/>
        <w:rPr>
          <w:rFonts w:ascii="Arial" w:hAnsi="Arial" w:cs="Arial"/>
          <w:lang w:val="es-CO"/>
        </w:rPr>
      </w:pPr>
      <w:r>
        <w:rPr>
          <w:rFonts w:ascii="Arial" w:hAnsi="Arial" w:cs="Arial"/>
          <w:b/>
          <w:i/>
          <w:lang w:val="es-CO"/>
        </w:rPr>
        <w:t>Fijación de precios de venta al detallista.</w:t>
      </w:r>
      <w:r>
        <w:rPr>
          <w:rFonts w:ascii="Arial" w:hAnsi="Arial" w:cs="Arial"/>
          <w:lang w:val="es-CO"/>
        </w:rPr>
        <w:t xml:space="preserve"> Los fabricantes nacionales de productos gravados con impuestos al consumo fijarán los precios de venta al detallista de acuerdo con los parámetros señalados en este De</w:t>
      </w:r>
      <w:r>
        <w:rPr>
          <w:rFonts w:ascii="Arial" w:hAnsi="Arial" w:cs="Arial"/>
          <w:lang w:val="es-CO"/>
        </w:rPr>
        <w:t>creto y lo informarán por escrito a las correspondientes Secretarias de Hacienda departamentales y del Distrito Capital, dentro de los diez (10) días siguientes a su adopción o modificación, indicando la fecha a partir de la cual rige.</w:t>
      </w:r>
    </w:p>
    <w:p w14:paraId="4657A1C2" w14:textId="77777777" w:rsidR="00B2442D" w:rsidRDefault="00B2442D">
      <w:pPr>
        <w:jc w:val="both"/>
        <w:rPr>
          <w:rFonts w:ascii="Arial" w:hAnsi="Arial" w:cs="Arial"/>
        </w:rPr>
      </w:pPr>
    </w:p>
    <w:p w14:paraId="2AE57AB3" w14:textId="77777777" w:rsidR="00B2442D" w:rsidRDefault="008A645F">
      <w:pPr>
        <w:jc w:val="both"/>
        <w:rPr>
          <w:rFonts w:ascii="Arial" w:hAnsi="Arial" w:cs="Arial"/>
        </w:rPr>
      </w:pPr>
      <w:r>
        <w:rPr>
          <w:rFonts w:ascii="Arial" w:hAnsi="Arial" w:cs="Arial"/>
        </w:rPr>
        <w:t>La información sobr</w:t>
      </w:r>
      <w:r>
        <w:rPr>
          <w:rFonts w:ascii="Arial" w:hAnsi="Arial" w:cs="Arial"/>
        </w:rPr>
        <w:t>e precios de venta al detallista deberá presentarse por unidad de medida del producto de acuerdo con las convenciones establecidas en los formularios de declaraciones, en los formatos oficiales que dispongan las autoridades tributarias territoriales y debe</w:t>
      </w:r>
      <w:r>
        <w:rPr>
          <w:rFonts w:ascii="Arial" w:hAnsi="Arial" w:cs="Arial"/>
        </w:rPr>
        <w:t>rá contener:</w:t>
      </w:r>
    </w:p>
    <w:p w14:paraId="40A0FC18" w14:textId="77777777" w:rsidR="00B2442D" w:rsidRDefault="00B2442D">
      <w:pPr>
        <w:jc w:val="both"/>
        <w:rPr>
          <w:rFonts w:ascii="Arial" w:hAnsi="Arial" w:cs="Arial"/>
        </w:rPr>
      </w:pPr>
    </w:p>
    <w:p w14:paraId="7AF4011A" w14:textId="77777777" w:rsidR="00B2442D" w:rsidRDefault="008A645F">
      <w:pPr>
        <w:jc w:val="both"/>
        <w:rPr>
          <w:rFonts w:ascii="Arial" w:hAnsi="Arial" w:cs="Arial"/>
        </w:rPr>
      </w:pPr>
      <w:r>
        <w:rPr>
          <w:rFonts w:ascii="Arial" w:hAnsi="Arial" w:cs="Arial"/>
        </w:rPr>
        <w:t>B. Para cervezas, sifones, refajos y mezclas de bebidas fermentadas con bebidas no alcohólicas.</w:t>
      </w:r>
    </w:p>
    <w:p w14:paraId="7DDB4138" w14:textId="77777777" w:rsidR="00B2442D" w:rsidRDefault="00B2442D">
      <w:pPr>
        <w:jc w:val="both"/>
        <w:rPr>
          <w:rFonts w:ascii="Arial" w:hAnsi="Arial" w:cs="Arial"/>
        </w:rPr>
      </w:pPr>
    </w:p>
    <w:p w14:paraId="5F620E6F" w14:textId="77777777" w:rsidR="00B2442D" w:rsidRDefault="008A645F">
      <w:pPr>
        <w:jc w:val="both"/>
        <w:rPr>
          <w:rFonts w:ascii="Arial" w:hAnsi="Arial" w:cs="Arial"/>
        </w:rPr>
      </w:pPr>
      <w:r>
        <w:rPr>
          <w:rFonts w:ascii="Arial" w:hAnsi="Arial" w:cs="Arial"/>
        </w:rPr>
        <w:t>1. Nombre o razón social del responsable.</w:t>
      </w:r>
    </w:p>
    <w:p w14:paraId="4FD0935D" w14:textId="77777777" w:rsidR="00B2442D" w:rsidRDefault="008A645F">
      <w:pPr>
        <w:jc w:val="both"/>
        <w:rPr>
          <w:rFonts w:ascii="Arial" w:hAnsi="Arial" w:cs="Arial"/>
        </w:rPr>
      </w:pPr>
      <w:r>
        <w:rPr>
          <w:rFonts w:ascii="Arial" w:hAnsi="Arial" w:cs="Arial"/>
        </w:rPr>
        <w:t>2. Fecha a partir de la cual rigen los precios.</w:t>
      </w:r>
    </w:p>
    <w:p w14:paraId="0FB224DD" w14:textId="77777777" w:rsidR="00B2442D" w:rsidRDefault="008A645F">
      <w:pPr>
        <w:jc w:val="both"/>
        <w:rPr>
          <w:rFonts w:ascii="Arial" w:hAnsi="Arial" w:cs="Arial"/>
        </w:rPr>
      </w:pPr>
      <w:r>
        <w:rPr>
          <w:rFonts w:ascii="Arial" w:hAnsi="Arial" w:cs="Arial"/>
        </w:rPr>
        <w:t>3. Tipo y marca o nombre del producto.</w:t>
      </w:r>
    </w:p>
    <w:p w14:paraId="403CF01A" w14:textId="77777777" w:rsidR="00B2442D" w:rsidRDefault="008A645F">
      <w:pPr>
        <w:jc w:val="both"/>
        <w:rPr>
          <w:rFonts w:ascii="Arial" w:hAnsi="Arial" w:cs="Arial"/>
        </w:rPr>
      </w:pPr>
      <w:r>
        <w:rPr>
          <w:rFonts w:ascii="Arial" w:hAnsi="Arial" w:cs="Arial"/>
        </w:rPr>
        <w:t xml:space="preserve">4. Presentación </w:t>
      </w:r>
      <w:r>
        <w:rPr>
          <w:rFonts w:ascii="Arial" w:hAnsi="Arial" w:cs="Arial"/>
        </w:rPr>
        <w:t>del producto (botella, barril, etc.).</w:t>
      </w:r>
    </w:p>
    <w:p w14:paraId="7CD3E9A9" w14:textId="77777777" w:rsidR="00B2442D" w:rsidRDefault="008A645F">
      <w:pPr>
        <w:jc w:val="both"/>
        <w:rPr>
          <w:rFonts w:ascii="Arial" w:hAnsi="Arial" w:cs="Arial"/>
        </w:rPr>
      </w:pPr>
      <w:r>
        <w:rPr>
          <w:rFonts w:ascii="Arial" w:hAnsi="Arial" w:cs="Arial"/>
        </w:rPr>
        <w:t>5. Contenido (centímetros, cúbicos, litros, etc.).</w:t>
      </w:r>
    </w:p>
    <w:p w14:paraId="68B7FEE3" w14:textId="77777777" w:rsidR="00B2442D" w:rsidRDefault="00B2442D">
      <w:pPr>
        <w:rPr>
          <w:rFonts w:ascii="Arial" w:hAnsi="Arial" w:cs="Arial"/>
          <w:i/>
        </w:rPr>
      </w:pPr>
    </w:p>
    <w:p w14:paraId="75BA4C76" w14:textId="77777777" w:rsidR="00B2442D" w:rsidRDefault="008A645F">
      <w:pPr>
        <w:rPr>
          <w:rFonts w:ascii="Arial" w:hAnsi="Arial" w:cs="Arial"/>
          <w:i/>
        </w:rPr>
      </w:pPr>
      <w:r>
        <w:rPr>
          <w:rFonts w:ascii="Arial" w:hAnsi="Arial" w:cs="Arial"/>
          <w:i/>
        </w:rPr>
        <w:t>(Art. 21, Decreto 2141 de 1996, literales a y c derogados tácitamente por el art. 49 de la Ley 788 de 2002 y el art. 210 de la Ley 1111 de 2006)</w:t>
      </w:r>
    </w:p>
    <w:p w14:paraId="071450B1" w14:textId="77777777" w:rsidR="00B2442D" w:rsidRDefault="00B2442D">
      <w:pPr>
        <w:rPr>
          <w:rFonts w:ascii="Arial" w:hAnsi="Arial" w:cs="Arial"/>
        </w:rPr>
      </w:pPr>
    </w:p>
    <w:p w14:paraId="316859AA" w14:textId="77777777" w:rsidR="00B2442D" w:rsidRDefault="008A645F">
      <w:pPr>
        <w:pStyle w:val="Ttulo4"/>
        <w:rPr>
          <w:lang w:val="es-CO"/>
        </w:rPr>
      </w:pPr>
      <w:r>
        <w:rPr>
          <w:lang w:val="es-CO"/>
        </w:rPr>
        <w:t>CAPÍTULO 6.</w:t>
      </w:r>
    </w:p>
    <w:p w14:paraId="0B448D8D" w14:textId="77777777" w:rsidR="00B2442D" w:rsidRDefault="008A645F">
      <w:pPr>
        <w:pStyle w:val="Ttulo4"/>
        <w:rPr>
          <w:lang w:val="es-CO"/>
        </w:rPr>
      </w:pPr>
      <w:r>
        <w:rPr>
          <w:lang w:val="es-CO"/>
        </w:rPr>
        <w:t>Impuesto al consumo de cigarrillos y tabaco elaborado</w:t>
      </w:r>
    </w:p>
    <w:p w14:paraId="5FF715F0" w14:textId="77777777" w:rsidR="00B2442D" w:rsidRDefault="00B2442D">
      <w:pPr>
        <w:rPr>
          <w:rFonts w:ascii="Arial" w:hAnsi="Arial" w:cs="Arial"/>
        </w:rPr>
      </w:pPr>
    </w:p>
    <w:p w14:paraId="25118F7A" w14:textId="77777777" w:rsidR="00B2442D" w:rsidRDefault="008A645F">
      <w:pPr>
        <w:pStyle w:val="Prrafodelista"/>
        <w:numPr>
          <w:ilvl w:val="0"/>
          <w:numId w:val="189"/>
        </w:numPr>
        <w:ind w:left="0" w:firstLine="0"/>
        <w:jc w:val="both"/>
        <w:rPr>
          <w:rFonts w:ascii="Arial" w:hAnsi="Arial" w:cs="Arial"/>
          <w:lang w:val="es-CO"/>
        </w:rPr>
      </w:pPr>
      <w:r>
        <w:rPr>
          <w:rFonts w:ascii="Arial" w:hAnsi="Arial" w:cs="Arial"/>
          <w:b/>
          <w:i/>
          <w:lang w:val="es-CO"/>
        </w:rPr>
        <w:t>Impuesto con destino al deporte productos nacionales.</w:t>
      </w:r>
      <w:r>
        <w:rPr>
          <w:rFonts w:ascii="Arial" w:hAnsi="Arial" w:cs="Arial"/>
          <w:lang w:val="es-CO"/>
        </w:rPr>
        <w:t xml:space="preserve"> El impuesto con destino al deporte que grava los cigarrillos y tabaco elaborado de producción nacional, se liquidará y pagará conjuntamente con la declaración del impuesto al consumo ante la correspondiente entidad territorial.</w:t>
      </w:r>
    </w:p>
    <w:p w14:paraId="2DB9F564" w14:textId="77777777" w:rsidR="00B2442D" w:rsidRDefault="00B2442D">
      <w:pPr>
        <w:jc w:val="both"/>
        <w:rPr>
          <w:rFonts w:ascii="Arial" w:hAnsi="Arial" w:cs="Arial"/>
          <w:i/>
        </w:rPr>
      </w:pPr>
    </w:p>
    <w:p w14:paraId="5207CE66" w14:textId="77777777" w:rsidR="00B2442D" w:rsidRDefault="008A645F">
      <w:pPr>
        <w:jc w:val="both"/>
        <w:rPr>
          <w:rFonts w:ascii="Arial" w:hAnsi="Arial" w:cs="Arial"/>
          <w:i/>
        </w:rPr>
      </w:pPr>
      <w:r>
        <w:rPr>
          <w:rFonts w:ascii="Arial" w:hAnsi="Arial" w:cs="Arial"/>
          <w:i/>
        </w:rPr>
        <w:t>(Art.31, Decreto 2141 de 1</w:t>
      </w:r>
      <w:r>
        <w:rPr>
          <w:rFonts w:ascii="Arial" w:hAnsi="Arial" w:cs="Arial"/>
          <w:i/>
        </w:rPr>
        <w:t>996)</w:t>
      </w:r>
    </w:p>
    <w:p w14:paraId="10860D6D" w14:textId="77777777" w:rsidR="00B2442D" w:rsidRDefault="00B2442D">
      <w:pPr>
        <w:jc w:val="both"/>
        <w:rPr>
          <w:rFonts w:ascii="Arial" w:hAnsi="Arial" w:cs="Arial"/>
        </w:rPr>
      </w:pPr>
    </w:p>
    <w:p w14:paraId="01BDD76F" w14:textId="77777777" w:rsidR="00B2442D" w:rsidRDefault="008A645F">
      <w:pPr>
        <w:pStyle w:val="Prrafodelista"/>
        <w:numPr>
          <w:ilvl w:val="0"/>
          <w:numId w:val="189"/>
        </w:numPr>
        <w:ind w:left="0" w:firstLine="0"/>
        <w:jc w:val="both"/>
        <w:rPr>
          <w:rFonts w:ascii="Arial" w:hAnsi="Arial" w:cs="Arial"/>
          <w:lang w:val="es-CO"/>
        </w:rPr>
      </w:pPr>
      <w:r>
        <w:rPr>
          <w:rFonts w:ascii="Arial" w:hAnsi="Arial" w:cs="Arial"/>
          <w:b/>
          <w:i/>
          <w:lang w:val="es-CO"/>
        </w:rPr>
        <w:t>Tabaco elaborado.</w:t>
      </w:r>
      <w:r>
        <w:rPr>
          <w:rFonts w:ascii="Arial" w:hAnsi="Arial" w:cs="Arial"/>
          <w:lang w:val="es-CO"/>
        </w:rPr>
        <w:t xml:space="preserve"> Para efectos del impuesto al consumo de que trata el capítulo IX de la Ley 223 de 1995, se entiende por tabaco elaborado aquel producto terminado apto para consumo humano que se obtiene a partir del procesamiento de la hoja de tabac</w:t>
      </w:r>
      <w:r>
        <w:rPr>
          <w:rFonts w:ascii="Arial" w:hAnsi="Arial" w:cs="Arial"/>
          <w:lang w:val="es-CO"/>
        </w:rPr>
        <w:t>o o de materias primas derivadas de la misma.</w:t>
      </w:r>
    </w:p>
    <w:p w14:paraId="6AFE5FB7" w14:textId="77777777" w:rsidR="00B2442D" w:rsidRDefault="00B2442D">
      <w:pPr>
        <w:jc w:val="both"/>
        <w:rPr>
          <w:rFonts w:ascii="Arial" w:hAnsi="Arial" w:cs="Arial"/>
        </w:rPr>
      </w:pPr>
    </w:p>
    <w:p w14:paraId="3BAAD7A2" w14:textId="77777777" w:rsidR="00B2442D" w:rsidRDefault="008A645F">
      <w:pPr>
        <w:jc w:val="both"/>
        <w:rPr>
          <w:rFonts w:ascii="Arial" w:hAnsi="Arial" w:cs="Arial"/>
        </w:rPr>
      </w:pPr>
      <w:r>
        <w:rPr>
          <w:rFonts w:ascii="Arial" w:hAnsi="Arial" w:cs="Arial"/>
          <w:b/>
        </w:rPr>
        <w:t>Parágrafo</w:t>
      </w:r>
      <w:r>
        <w:rPr>
          <w:rFonts w:ascii="Arial" w:hAnsi="Arial" w:cs="Arial"/>
        </w:rPr>
        <w:t>. Para los mismos efectos, se excluye de la definición de tabaco elaborado a aquellos productos, obtenidos a partir del procesamiento de la hoja de tabaco, utilizados como materia prima para la fabric</w:t>
      </w:r>
      <w:r>
        <w:rPr>
          <w:rFonts w:ascii="Arial" w:hAnsi="Arial" w:cs="Arial"/>
        </w:rPr>
        <w:t>ación o manufactura de productos gravados con el impuesto al consumo de cigarrillos y tabaco elaborado.</w:t>
      </w:r>
    </w:p>
    <w:p w14:paraId="241F3ED7" w14:textId="77777777" w:rsidR="00B2442D" w:rsidRDefault="00B2442D">
      <w:pPr>
        <w:jc w:val="both"/>
        <w:rPr>
          <w:rFonts w:ascii="Arial" w:hAnsi="Arial" w:cs="Arial"/>
          <w:i/>
        </w:rPr>
      </w:pPr>
    </w:p>
    <w:p w14:paraId="5DBA818A" w14:textId="77777777" w:rsidR="00B2442D" w:rsidRDefault="008A645F">
      <w:pPr>
        <w:jc w:val="both"/>
        <w:rPr>
          <w:rFonts w:ascii="Arial" w:hAnsi="Arial" w:cs="Arial"/>
          <w:i/>
        </w:rPr>
      </w:pPr>
      <w:r>
        <w:rPr>
          <w:rFonts w:ascii="Arial" w:hAnsi="Arial" w:cs="Arial"/>
          <w:i/>
        </w:rPr>
        <w:t>(Art.1, Decreto 2903 de 1996)</w:t>
      </w:r>
    </w:p>
    <w:p w14:paraId="57087741" w14:textId="77777777" w:rsidR="00B2442D" w:rsidRDefault="00B2442D">
      <w:pPr>
        <w:jc w:val="both"/>
        <w:rPr>
          <w:rFonts w:ascii="Arial" w:hAnsi="Arial" w:cs="Arial"/>
        </w:rPr>
      </w:pPr>
    </w:p>
    <w:p w14:paraId="7AD3D692" w14:textId="77777777" w:rsidR="00B2442D" w:rsidRDefault="008A645F">
      <w:pPr>
        <w:pStyle w:val="Ttulo4"/>
        <w:rPr>
          <w:lang w:val="es-CO"/>
        </w:rPr>
      </w:pPr>
      <w:r>
        <w:rPr>
          <w:lang w:val="es-CO"/>
        </w:rPr>
        <w:t>CAPÍTULO 7.</w:t>
      </w:r>
    </w:p>
    <w:p w14:paraId="2BDB96B3" w14:textId="77777777" w:rsidR="00B2442D" w:rsidRDefault="008A645F">
      <w:pPr>
        <w:pStyle w:val="Ttulo4"/>
        <w:rPr>
          <w:lang w:val="es-CO"/>
        </w:rPr>
      </w:pPr>
      <w:r>
        <w:rPr>
          <w:lang w:val="es-CO"/>
        </w:rPr>
        <w:t>Impuesto al consumo de licores, vinos, aperitivos y similares</w:t>
      </w:r>
    </w:p>
    <w:p w14:paraId="22312E04" w14:textId="77777777" w:rsidR="00B2442D" w:rsidRDefault="00B2442D">
      <w:pPr>
        <w:rPr>
          <w:rFonts w:ascii="Arial" w:hAnsi="Arial" w:cs="Arial"/>
        </w:rPr>
      </w:pPr>
    </w:p>
    <w:p w14:paraId="53BF12E3"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Contenido de las declaraciones del impuesto a</w:t>
      </w:r>
      <w:r>
        <w:rPr>
          <w:rFonts w:ascii="Arial" w:hAnsi="Arial" w:cs="Arial"/>
          <w:b/>
          <w:i/>
          <w:lang w:val="es-CO"/>
        </w:rPr>
        <w:t>l consumo de licores, vinos, aperitivos y similares.</w:t>
      </w:r>
      <w:r>
        <w:rPr>
          <w:rFonts w:ascii="Arial" w:hAnsi="Arial" w:cs="Arial"/>
          <w:lang w:val="es-CO"/>
        </w:rPr>
        <w:t xml:space="preserve"> La declaración del impuesto al consumo de licores, vinos, aperitivos y similares, de producción nacional, deberá contener:</w:t>
      </w:r>
    </w:p>
    <w:p w14:paraId="64447A96" w14:textId="77777777" w:rsidR="00B2442D" w:rsidRDefault="00B2442D">
      <w:pPr>
        <w:rPr>
          <w:rFonts w:ascii="Arial" w:hAnsi="Arial" w:cs="Arial"/>
        </w:rPr>
      </w:pPr>
    </w:p>
    <w:p w14:paraId="321FAA74" w14:textId="77777777" w:rsidR="00B2442D" w:rsidRDefault="008A645F">
      <w:pPr>
        <w:jc w:val="both"/>
        <w:rPr>
          <w:rFonts w:ascii="Arial" w:hAnsi="Arial" w:cs="Arial"/>
        </w:rPr>
      </w:pPr>
      <w:r>
        <w:rPr>
          <w:rFonts w:ascii="Arial" w:hAnsi="Arial" w:cs="Arial"/>
        </w:rPr>
        <w:t>1. La información necesaria para la identificación y ubicación del contribuyent</w:t>
      </w:r>
      <w:r>
        <w:rPr>
          <w:rFonts w:ascii="Arial" w:hAnsi="Arial" w:cs="Arial"/>
        </w:rPr>
        <w:t>e o responsable.</w:t>
      </w:r>
    </w:p>
    <w:p w14:paraId="03DAF571" w14:textId="77777777" w:rsidR="00B2442D" w:rsidRDefault="008A645F">
      <w:pPr>
        <w:jc w:val="both"/>
        <w:rPr>
          <w:rFonts w:ascii="Arial" w:hAnsi="Arial" w:cs="Arial"/>
        </w:rPr>
      </w:pPr>
      <w:r>
        <w:rPr>
          <w:rFonts w:ascii="Arial" w:hAnsi="Arial" w:cs="Arial"/>
        </w:rPr>
        <w:t>2. La discriminación e identificación de los factores necesarios para determinar las bases gravables del impuesto al consumo, entre ellos:</w:t>
      </w:r>
    </w:p>
    <w:p w14:paraId="0206A69A" w14:textId="77777777" w:rsidR="00B2442D" w:rsidRDefault="008A645F">
      <w:pPr>
        <w:pStyle w:val="Prrafodelista"/>
        <w:numPr>
          <w:ilvl w:val="0"/>
          <w:numId w:val="176"/>
        </w:numPr>
        <w:ind w:left="0" w:firstLine="0"/>
        <w:jc w:val="both"/>
        <w:rPr>
          <w:rFonts w:ascii="Arial" w:hAnsi="Arial" w:cs="Arial"/>
          <w:lang w:val="es-CO"/>
        </w:rPr>
      </w:pPr>
      <w:r>
        <w:rPr>
          <w:rFonts w:ascii="Arial" w:hAnsi="Arial" w:cs="Arial"/>
          <w:lang w:val="es-CO"/>
        </w:rPr>
        <w:t>Descripción del producto.</w:t>
      </w:r>
    </w:p>
    <w:p w14:paraId="54321E69" w14:textId="77777777" w:rsidR="00B2442D" w:rsidRDefault="008A645F">
      <w:pPr>
        <w:pStyle w:val="Prrafodelista"/>
        <w:numPr>
          <w:ilvl w:val="0"/>
          <w:numId w:val="176"/>
        </w:numPr>
        <w:ind w:left="0" w:firstLine="0"/>
        <w:jc w:val="both"/>
        <w:rPr>
          <w:rFonts w:ascii="Arial" w:hAnsi="Arial" w:cs="Arial"/>
          <w:lang w:val="es-CO"/>
        </w:rPr>
      </w:pPr>
      <w:r>
        <w:rPr>
          <w:rFonts w:ascii="Arial" w:hAnsi="Arial" w:cs="Arial"/>
          <w:lang w:val="es-CO"/>
        </w:rPr>
        <w:t>Unidad de medida.</w:t>
      </w:r>
    </w:p>
    <w:p w14:paraId="21C59264" w14:textId="77777777" w:rsidR="00B2442D" w:rsidRDefault="008A645F">
      <w:pPr>
        <w:pStyle w:val="Prrafodelista"/>
        <w:numPr>
          <w:ilvl w:val="0"/>
          <w:numId w:val="176"/>
        </w:numPr>
        <w:ind w:left="0" w:firstLine="0"/>
        <w:jc w:val="both"/>
        <w:rPr>
          <w:rFonts w:ascii="Arial" w:hAnsi="Arial" w:cs="Arial"/>
          <w:lang w:val="es-CO"/>
        </w:rPr>
      </w:pPr>
      <w:r>
        <w:rPr>
          <w:rFonts w:ascii="Arial" w:hAnsi="Arial" w:cs="Arial"/>
          <w:lang w:val="es-CO"/>
        </w:rPr>
        <w:t>Grado alcoholimétrico.</w:t>
      </w:r>
    </w:p>
    <w:p w14:paraId="338DD48E" w14:textId="77777777" w:rsidR="00B2442D" w:rsidRDefault="008A645F">
      <w:pPr>
        <w:pStyle w:val="Prrafodelista"/>
        <w:numPr>
          <w:ilvl w:val="0"/>
          <w:numId w:val="176"/>
        </w:numPr>
        <w:ind w:left="0" w:firstLine="0"/>
        <w:jc w:val="both"/>
        <w:rPr>
          <w:rFonts w:ascii="Arial" w:hAnsi="Arial" w:cs="Arial"/>
          <w:lang w:val="es-CO"/>
        </w:rPr>
      </w:pPr>
      <w:r>
        <w:rPr>
          <w:rFonts w:ascii="Arial" w:hAnsi="Arial" w:cs="Arial"/>
          <w:lang w:val="es-CO"/>
        </w:rPr>
        <w:t>Precio de venta al detallista o a</w:t>
      </w:r>
      <w:r>
        <w:rPr>
          <w:rFonts w:ascii="Arial" w:hAnsi="Arial" w:cs="Arial"/>
          <w:lang w:val="es-CO"/>
        </w:rPr>
        <w:t>l detal, según el caso.</w:t>
      </w:r>
    </w:p>
    <w:p w14:paraId="63201756" w14:textId="77777777" w:rsidR="00B2442D" w:rsidRDefault="008A645F">
      <w:pPr>
        <w:pStyle w:val="Prrafodelista"/>
        <w:numPr>
          <w:ilvl w:val="0"/>
          <w:numId w:val="176"/>
        </w:numPr>
        <w:ind w:left="0" w:firstLine="0"/>
        <w:jc w:val="both"/>
        <w:rPr>
          <w:rFonts w:ascii="Arial" w:hAnsi="Arial" w:cs="Arial"/>
          <w:lang w:val="es-CO"/>
        </w:rPr>
      </w:pPr>
      <w:r>
        <w:rPr>
          <w:rFonts w:ascii="Arial" w:hAnsi="Arial" w:cs="Arial"/>
          <w:lang w:val="es-CO"/>
        </w:rPr>
        <w:t>Cantidad del producto.</w:t>
      </w:r>
    </w:p>
    <w:p w14:paraId="612C3095" w14:textId="77777777" w:rsidR="00B2442D" w:rsidRDefault="008A645F">
      <w:pPr>
        <w:jc w:val="both"/>
        <w:rPr>
          <w:rFonts w:ascii="Arial" w:hAnsi="Arial" w:cs="Arial"/>
        </w:rPr>
      </w:pPr>
      <w:r>
        <w:rPr>
          <w:rFonts w:ascii="Arial" w:hAnsi="Arial" w:cs="Arial"/>
        </w:rPr>
        <w:t>3. La liquidación privada del impuesto al consumo de licores, vinos, aperitivos y similares, indicando la tarifa aplicable para su liquidación.</w:t>
      </w:r>
    </w:p>
    <w:p w14:paraId="7750A502" w14:textId="77777777" w:rsidR="00B2442D" w:rsidRDefault="008A645F">
      <w:pPr>
        <w:jc w:val="both"/>
        <w:rPr>
          <w:rFonts w:ascii="Arial" w:hAnsi="Arial" w:cs="Arial"/>
        </w:rPr>
      </w:pPr>
      <w:r>
        <w:rPr>
          <w:rFonts w:ascii="Arial" w:hAnsi="Arial" w:cs="Arial"/>
        </w:rPr>
        <w:t>4. La liquidación de las sanciones.</w:t>
      </w:r>
    </w:p>
    <w:p w14:paraId="6BD7389B" w14:textId="77777777" w:rsidR="00B2442D" w:rsidRDefault="008A645F">
      <w:pPr>
        <w:jc w:val="both"/>
        <w:rPr>
          <w:rFonts w:ascii="Arial" w:hAnsi="Arial" w:cs="Arial"/>
        </w:rPr>
      </w:pPr>
      <w:r>
        <w:rPr>
          <w:rFonts w:ascii="Arial" w:hAnsi="Arial" w:cs="Arial"/>
        </w:rPr>
        <w:t xml:space="preserve">5. La información sobre </w:t>
      </w:r>
      <w:r>
        <w:rPr>
          <w:rFonts w:ascii="Arial" w:hAnsi="Arial" w:cs="Arial"/>
        </w:rPr>
        <w:t>reenvíos cuando haya lugar a ello.</w:t>
      </w:r>
    </w:p>
    <w:p w14:paraId="3AA38E51" w14:textId="77777777" w:rsidR="00B2442D" w:rsidRDefault="008A645F">
      <w:pPr>
        <w:jc w:val="both"/>
        <w:rPr>
          <w:rFonts w:ascii="Arial" w:hAnsi="Arial" w:cs="Arial"/>
        </w:rPr>
      </w:pPr>
      <w:r>
        <w:rPr>
          <w:rFonts w:ascii="Arial" w:hAnsi="Arial" w:cs="Arial"/>
        </w:rPr>
        <w:t>6. El valor a cargo o saldo a favor, según el caso.</w:t>
      </w:r>
    </w:p>
    <w:p w14:paraId="2F978495" w14:textId="77777777" w:rsidR="00B2442D" w:rsidRDefault="008A645F">
      <w:pPr>
        <w:jc w:val="both"/>
        <w:rPr>
          <w:rFonts w:ascii="Arial" w:hAnsi="Arial" w:cs="Arial"/>
        </w:rPr>
      </w:pPr>
      <w:r>
        <w:rPr>
          <w:rFonts w:ascii="Arial" w:hAnsi="Arial" w:cs="Arial"/>
        </w:rPr>
        <w:t>7. La firma del obligado al cumplimiento del deber formal de declarar</w:t>
      </w:r>
    </w:p>
    <w:p w14:paraId="62C602B9" w14:textId="77777777" w:rsidR="00B2442D" w:rsidRDefault="00B2442D">
      <w:pPr>
        <w:jc w:val="both"/>
        <w:rPr>
          <w:rFonts w:ascii="Arial" w:hAnsi="Arial" w:cs="Arial"/>
          <w:i/>
        </w:rPr>
      </w:pPr>
    </w:p>
    <w:p w14:paraId="61634EB1" w14:textId="77777777" w:rsidR="00B2442D" w:rsidRDefault="008A645F">
      <w:pPr>
        <w:jc w:val="both"/>
        <w:rPr>
          <w:rFonts w:ascii="Arial" w:hAnsi="Arial" w:cs="Arial"/>
          <w:i/>
        </w:rPr>
      </w:pPr>
      <w:r>
        <w:rPr>
          <w:rFonts w:ascii="Arial" w:hAnsi="Arial" w:cs="Arial"/>
          <w:i/>
        </w:rPr>
        <w:t>(Art.9, Decreto 2141 de 1996)</w:t>
      </w:r>
    </w:p>
    <w:p w14:paraId="39CED430" w14:textId="77777777" w:rsidR="00B2442D" w:rsidRDefault="00B2442D">
      <w:pPr>
        <w:jc w:val="both"/>
        <w:rPr>
          <w:rFonts w:ascii="Arial" w:hAnsi="Arial" w:cs="Arial"/>
        </w:rPr>
      </w:pPr>
    </w:p>
    <w:p w14:paraId="4EAF00E4"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Liquidación y recaudo de los impuestos al consumo generados por los</w:t>
      </w:r>
      <w:r>
        <w:rPr>
          <w:rFonts w:ascii="Arial" w:hAnsi="Arial" w:cs="Arial"/>
          <w:b/>
          <w:i/>
          <w:lang w:val="es-CO"/>
        </w:rPr>
        <w:t xml:space="preserve"> productos de las licoreras oficiales.</w:t>
      </w:r>
      <w:r>
        <w:rPr>
          <w:rFonts w:ascii="Arial" w:hAnsi="Arial" w:cs="Arial"/>
          <w:lang w:val="es-CO"/>
        </w:rPr>
        <w:t xml:space="preserve"> Para efectos de lo previsto en el artículo 213 de la Ley 223 de 1995, las licoreras oficiales facturarán, liquidarán y recaudarán, al momento de la entrega en fábrica o planta de los productos despachados para otros d</w:t>
      </w:r>
      <w:r>
        <w:rPr>
          <w:rFonts w:ascii="Arial" w:hAnsi="Arial" w:cs="Arial"/>
          <w:lang w:val="es-CO"/>
        </w:rPr>
        <w:t>epartamentos, el valor del impuesto al consumo o de la participación porcentual, según el caso.</w:t>
      </w:r>
    </w:p>
    <w:p w14:paraId="2AC2014C" w14:textId="77777777" w:rsidR="00B2442D" w:rsidRDefault="00B2442D">
      <w:pPr>
        <w:jc w:val="both"/>
        <w:rPr>
          <w:rFonts w:ascii="Arial" w:hAnsi="Arial" w:cs="Arial"/>
        </w:rPr>
      </w:pPr>
    </w:p>
    <w:p w14:paraId="6FB88B9C" w14:textId="77777777" w:rsidR="00B2442D" w:rsidRDefault="008A645F">
      <w:pPr>
        <w:jc w:val="both"/>
        <w:rPr>
          <w:rFonts w:ascii="Arial" w:hAnsi="Arial" w:cs="Arial"/>
        </w:rPr>
      </w:pPr>
      <w:r>
        <w:rPr>
          <w:rFonts w:ascii="Arial" w:hAnsi="Arial" w:cs="Arial"/>
        </w:rPr>
        <w:t>El valor del impuesto recaudado será declarado y pagado por la empresa licorera departamental de origen al departamento de destino, dentro de los cinco (5) día</w:t>
      </w:r>
      <w:r>
        <w:rPr>
          <w:rFonts w:ascii="Arial" w:hAnsi="Arial" w:cs="Arial"/>
        </w:rPr>
        <w:t>s calendarios siguientes al vencimiento de cada período gravable.</w:t>
      </w:r>
    </w:p>
    <w:p w14:paraId="15D0D90F" w14:textId="77777777" w:rsidR="00B2442D" w:rsidRDefault="00B2442D">
      <w:pPr>
        <w:jc w:val="both"/>
        <w:rPr>
          <w:rFonts w:ascii="Arial" w:hAnsi="Arial" w:cs="Arial"/>
          <w:i/>
        </w:rPr>
      </w:pPr>
    </w:p>
    <w:p w14:paraId="0823D1D2" w14:textId="77777777" w:rsidR="00B2442D" w:rsidRDefault="008A645F">
      <w:pPr>
        <w:jc w:val="both"/>
        <w:rPr>
          <w:rFonts w:ascii="Arial" w:hAnsi="Arial" w:cs="Arial"/>
          <w:i/>
        </w:rPr>
      </w:pPr>
      <w:r>
        <w:rPr>
          <w:rFonts w:ascii="Arial" w:hAnsi="Arial" w:cs="Arial"/>
          <w:i/>
        </w:rPr>
        <w:t>(Art.24, Decreto 3071 de 1997)</w:t>
      </w:r>
    </w:p>
    <w:p w14:paraId="61350FB2" w14:textId="77777777" w:rsidR="00B2442D" w:rsidRDefault="00B2442D">
      <w:pPr>
        <w:jc w:val="both"/>
        <w:rPr>
          <w:rFonts w:ascii="Arial" w:hAnsi="Arial" w:cs="Arial"/>
        </w:rPr>
      </w:pPr>
    </w:p>
    <w:p w14:paraId="4BA81886"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 xml:space="preserve">Impuesto al consumo e IVA. </w:t>
      </w:r>
      <w:r>
        <w:rPr>
          <w:rFonts w:ascii="Arial" w:hAnsi="Arial" w:cs="Arial"/>
          <w:lang w:val="es-CO"/>
        </w:rPr>
        <w:t>El IVA que grava los licores, vinos, aperitivos, y similares, nacionales y extranjeros, de que trata el Capítulo V de la Ley 788 d</w:t>
      </w:r>
      <w:r>
        <w:rPr>
          <w:rFonts w:ascii="Arial" w:hAnsi="Arial" w:cs="Arial"/>
          <w:lang w:val="es-CO"/>
        </w:rPr>
        <w:t>e 2002, se declara y paga por una sola vez incorporado dentro de la tarifa del impuesto al consumo o en la tarifa de la participación, según el caso, y por lo tanto, no se debe cobrar ni discriminar en la factura</w:t>
      </w:r>
    </w:p>
    <w:p w14:paraId="0AC1A5FF" w14:textId="77777777" w:rsidR="00B2442D" w:rsidRDefault="00B2442D">
      <w:pPr>
        <w:jc w:val="both"/>
        <w:rPr>
          <w:rFonts w:ascii="Arial" w:hAnsi="Arial" w:cs="Arial"/>
          <w:i/>
        </w:rPr>
      </w:pPr>
    </w:p>
    <w:p w14:paraId="4209EEE5" w14:textId="77777777" w:rsidR="00B2442D" w:rsidRDefault="008A645F">
      <w:pPr>
        <w:jc w:val="both"/>
        <w:rPr>
          <w:rFonts w:ascii="Arial" w:hAnsi="Arial" w:cs="Arial"/>
          <w:i/>
        </w:rPr>
      </w:pPr>
      <w:r>
        <w:rPr>
          <w:rFonts w:ascii="Arial" w:hAnsi="Arial" w:cs="Arial"/>
          <w:i/>
        </w:rPr>
        <w:t>(Art.1, Decreto 1150 de 2003)</w:t>
      </w:r>
    </w:p>
    <w:p w14:paraId="121E9711" w14:textId="77777777" w:rsidR="00B2442D" w:rsidRDefault="00B2442D">
      <w:pPr>
        <w:jc w:val="both"/>
        <w:rPr>
          <w:rFonts w:ascii="Arial" w:hAnsi="Arial" w:cs="Arial"/>
          <w:i/>
        </w:rPr>
      </w:pPr>
    </w:p>
    <w:p w14:paraId="3A9632C7"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Reenvíos.</w:t>
      </w:r>
      <w:r>
        <w:rPr>
          <w:rFonts w:ascii="Arial" w:hAnsi="Arial" w:cs="Arial"/>
          <w:lang w:val="es-CO"/>
        </w:rPr>
        <w:t xml:space="preserve"> Los reenvíos de productos gravados con el impuesto al consumo, o sujetos a la participación, nacionales y extranjeros, se declararán al departamento de destino, con la base gravable y tarifa vigente al momento de causación del impuesto o la parti</w:t>
      </w:r>
      <w:r>
        <w:rPr>
          <w:rFonts w:ascii="Arial" w:hAnsi="Arial" w:cs="Arial"/>
          <w:lang w:val="es-CO"/>
        </w:rPr>
        <w:t>cipación.</w:t>
      </w:r>
    </w:p>
    <w:p w14:paraId="2F26E0B3" w14:textId="77777777" w:rsidR="00B2442D" w:rsidRDefault="00B2442D">
      <w:pPr>
        <w:jc w:val="both"/>
        <w:rPr>
          <w:rFonts w:ascii="Arial" w:hAnsi="Arial" w:cs="Arial"/>
          <w:i/>
        </w:rPr>
      </w:pPr>
    </w:p>
    <w:p w14:paraId="0186F5CB" w14:textId="77777777" w:rsidR="00B2442D" w:rsidRDefault="008A645F">
      <w:pPr>
        <w:jc w:val="both"/>
        <w:rPr>
          <w:rFonts w:ascii="Arial" w:hAnsi="Arial" w:cs="Arial"/>
          <w:i/>
        </w:rPr>
      </w:pPr>
      <w:r>
        <w:rPr>
          <w:rFonts w:ascii="Arial" w:hAnsi="Arial" w:cs="Arial"/>
          <w:i/>
        </w:rPr>
        <w:t>(Art.2, Decreto 1150 de 2003)</w:t>
      </w:r>
    </w:p>
    <w:p w14:paraId="31901A27" w14:textId="77777777" w:rsidR="00B2442D" w:rsidRDefault="00B2442D">
      <w:pPr>
        <w:jc w:val="both"/>
        <w:rPr>
          <w:rFonts w:ascii="Arial" w:hAnsi="Arial" w:cs="Arial"/>
        </w:rPr>
      </w:pPr>
    </w:p>
    <w:p w14:paraId="004826DC"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Formularios de declaración.</w:t>
      </w:r>
      <w:r>
        <w:rPr>
          <w:rFonts w:ascii="Arial" w:hAnsi="Arial" w:cs="Arial"/>
          <w:lang w:val="es-CO"/>
        </w:rPr>
        <w:t xml:space="preserve"> Los formularios para la declaración del impuesto al consumo de licores, vinos, aperitivos y similares, y/o de la participación, según el caso, serán prescritos por la Federación Nacional</w:t>
      </w:r>
      <w:r>
        <w:rPr>
          <w:rFonts w:ascii="Arial" w:hAnsi="Arial" w:cs="Arial"/>
          <w:lang w:val="es-CO"/>
        </w:rPr>
        <w:t xml:space="preserve"> de Departamentos y deberán contener, además de los requisitos que la Federación establezca, la discriminación del valor del componente del IVA incorporado en el impuesto al consumo, así: a) el cien por ciento (100%) del IVA correspondiente a los productos</w:t>
      </w:r>
      <w:r>
        <w:rPr>
          <w:rFonts w:ascii="Arial" w:hAnsi="Arial" w:cs="Arial"/>
          <w:lang w:val="es-CO"/>
        </w:rPr>
        <w:t xml:space="preserve"> objeto de monopolio de licores, y b) el IVA correspondiente a los productos extranjeros y a los productos nacionales no sujetos al monopolio de licores, distribuido: setenta por ciento (70%) para salud y treinta por ciento (30%) para financiar el deporte.</w:t>
      </w:r>
    </w:p>
    <w:p w14:paraId="6B0778FC" w14:textId="77777777" w:rsidR="00B2442D" w:rsidRDefault="00B2442D">
      <w:pPr>
        <w:jc w:val="both"/>
        <w:rPr>
          <w:rFonts w:ascii="Arial" w:hAnsi="Arial" w:cs="Arial"/>
          <w:i/>
        </w:rPr>
      </w:pPr>
    </w:p>
    <w:p w14:paraId="18B94071" w14:textId="77777777" w:rsidR="00B2442D" w:rsidRDefault="008A645F">
      <w:pPr>
        <w:jc w:val="both"/>
        <w:rPr>
          <w:rFonts w:ascii="Arial" w:hAnsi="Arial" w:cs="Arial"/>
          <w:i/>
        </w:rPr>
      </w:pPr>
      <w:r>
        <w:rPr>
          <w:rFonts w:ascii="Arial" w:hAnsi="Arial" w:cs="Arial"/>
          <w:i/>
        </w:rPr>
        <w:t>(Art.3, Decreto 1150 de 2003)</w:t>
      </w:r>
    </w:p>
    <w:p w14:paraId="15E9F410" w14:textId="77777777" w:rsidR="00B2442D" w:rsidRDefault="00B2442D">
      <w:pPr>
        <w:jc w:val="both"/>
        <w:rPr>
          <w:rFonts w:ascii="Arial" w:hAnsi="Arial" w:cs="Arial"/>
        </w:rPr>
      </w:pPr>
    </w:p>
    <w:p w14:paraId="4B44C874" w14:textId="77777777" w:rsidR="00B2442D" w:rsidRDefault="008A645F">
      <w:pPr>
        <w:pStyle w:val="Prrafodelista"/>
        <w:numPr>
          <w:ilvl w:val="0"/>
          <w:numId w:val="190"/>
        </w:numPr>
        <w:ind w:left="0" w:firstLine="0"/>
        <w:jc w:val="both"/>
        <w:rPr>
          <w:rFonts w:ascii="Arial" w:hAnsi="Arial" w:cs="Arial"/>
          <w:lang w:val="es-CO"/>
        </w:rPr>
      </w:pPr>
      <w:r>
        <w:rPr>
          <w:rFonts w:ascii="Arial" w:hAnsi="Arial" w:cs="Arial"/>
          <w:b/>
          <w:i/>
          <w:lang w:val="es-CO"/>
        </w:rPr>
        <w:t>Distribución de Recursos.</w:t>
      </w:r>
      <w:r>
        <w:rPr>
          <w:rFonts w:ascii="Arial" w:hAnsi="Arial" w:cs="Arial"/>
          <w:lang w:val="es-CO"/>
        </w:rPr>
        <w:t xml:space="preserve"> Los recursos destinados a salud, deberán girarse de acuerdo con las normas vigentes, a los fondos de salud departamentales y del Distrito Capital. Los recursos destinados a financiar el deporte, se</w:t>
      </w:r>
      <w:r>
        <w:rPr>
          <w:rFonts w:ascii="Arial" w:hAnsi="Arial" w:cs="Arial"/>
          <w:lang w:val="es-CO"/>
        </w:rPr>
        <w:t xml:space="preserve"> girarán a la respectiva entidad territorial. </w:t>
      </w:r>
    </w:p>
    <w:p w14:paraId="28CADE49" w14:textId="77777777" w:rsidR="00B2442D" w:rsidRDefault="008A645F">
      <w:pPr>
        <w:jc w:val="both"/>
        <w:rPr>
          <w:rFonts w:ascii="Arial" w:hAnsi="Arial" w:cs="Arial"/>
        </w:rPr>
      </w:pPr>
      <w:r>
        <w:rPr>
          <w:rFonts w:ascii="Arial" w:hAnsi="Arial" w:cs="Arial"/>
        </w:rPr>
        <w:t xml:space="preserve">  </w:t>
      </w:r>
    </w:p>
    <w:p w14:paraId="09BE6FB0" w14:textId="77777777" w:rsidR="00B2442D" w:rsidRDefault="008A645F">
      <w:pPr>
        <w:jc w:val="both"/>
        <w:rPr>
          <w:rFonts w:ascii="Arial" w:hAnsi="Arial" w:cs="Arial"/>
        </w:rPr>
      </w:pPr>
      <w:r>
        <w:rPr>
          <w:rFonts w:ascii="Arial" w:hAnsi="Arial" w:cs="Arial"/>
        </w:rPr>
        <w:t>Los declarantes de productos nacionales, previo a la presentación de la declaración ante el departamento, consignarán directamente a los Fondos de Salud Departamentales y del Distrito Capital, los recursos destinados a Salud y anexarán copia de los recibos</w:t>
      </w:r>
      <w:r>
        <w:rPr>
          <w:rFonts w:ascii="Arial" w:hAnsi="Arial" w:cs="Arial"/>
        </w:rPr>
        <w:t xml:space="preserve"> a la declaración. </w:t>
      </w:r>
    </w:p>
    <w:p w14:paraId="69CF6C41" w14:textId="77777777" w:rsidR="00B2442D" w:rsidRDefault="008A645F">
      <w:pPr>
        <w:jc w:val="both"/>
        <w:rPr>
          <w:rFonts w:ascii="Arial" w:hAnsi="Arial" w:cs="Arial"/>
        </w:rPr>
      </w:pPr>
      <w:r>
        <w:rPr>
          <w:rFonts w:ascii="Arial" w:hAnsi="Arial" w:cs="Arial"/>
        </w:rPr>
        <w:t xml:space="preserve">  </w:t>
      </w:r>
    </w:p>
    <w:p w14:paraId="5578F817" w14:textId="77777777" w:rsidR="00B2442D" w:rsidRDefault="008A645F">
      <w:pPr>
        <w:jc w:val="both"/>
        <w:rPr>
          <w:rFonts w:ascii="Arial" w:hAnsi="Arial" w:cs="Arial"/>
        </w:rPr>
      </w:pPr>
      <w:r>
        <w:rPr>
          <w:rFonts w:ascii="Arial" w:hAnsi="Arial" w:cs="Arial"/>
        </w:rPr>
        <w:t xml:space="preserve">En igual forma procederán los declarantes de productos extranjeros, previo a la presentación de la declaración ante los departamentos, en relación con los mayores valores que resulten, y que correspondan al IVA para la salud. </w:t>
      </w:r>
    </w:p>
    <w:p w14:paraId="1CD27B93" w14:textId="77777777" w:rsidR="00B2442D" w:rsidRDefault="008A645F">
      <w:pPr>
        <w:jc w:val="both"/>
        <w:rPr>
          <w:rFonts w:ascii="Arial" w:hAnsi="Arial" w:cs="Arial"/>
        </w:rPr>
      </w:pPr>
      <w:r>
        <w:rPr>
          <w:rFonts w:ascii="Arial" w:hAnsi="Arial" w:cs="Arial"/>
        </w:rPr>
        <w:t xml:space="preserve">  </w:t>
      </w:r>
    </w:p>
    <w:p w14:paraId="51DB7B7C" w14:textId="77777777" w:rsidR="00B2442D" w:rsidRDefault="008A645F">
      <w:pPr>
        <w:jc w:val="both"/>
        <w:rPr>
          <w:rFonts w:ascii="Arial" w:hAnsi="Arial" w:cs="Arial"/>
        </w:rPr>
      </w:pPr>
      <w:r>
        <w:rPr>
          <w:rFonts w:ascii="Arial" w:hAnsi="Arial" w:cs="Arial"/>
        </w:rPr>
        <w:t xml:space="preserve">El </w:t>
      </w:r>
      <w:r>
        <w:rPr>
          <w:rFonts w:ascii="Arial" w:hAnsi="Arial" w:cs="Arial"/>
        </w:rPr>
        <w:t>Fondo Cuenta de Impuestos al Consumo de Productos Extranjeros, con base en las relaciones de declaraciones que le remiten mensualmente los funcionarios departamentales, dentro de los términos previstos en la Ley 223 de 1995 y sus decretos reglamentarios, g</w:t>
      </w:r>
      <w:r>
        <w:rPr>
          <w:rFonts w:ascii="Arial" w:hAnsi="Arial" w:cs="Arial"/>
        </w:rPr>
        <w:t>irará directamente a los Fondos de Salud Departamentales y del Distrito Capital, los recursos destinados a la salud, y con base en las mismas relaciones citadas, girará directamente al Distrito Capital, el valor que le corresponda del componente del IVA de</w:t>
      </w:r>
      <w:r>
        <w:rPr>
          <w:rFonts w:ascii="Arial" w:hAnsi="Arial" w:cs="Arial"/>
        </w:rPr>
        <w:t xml:space="preserve">stinado al Deporte. </w:t>
      </w:r>
    </w:p>
    <w:p w14:paraId="6C1D3004" w14:textId="77777777" w:rsidR="00B2442D" w:rsidRDefault="008A645F">
      <w:pPr>
        <w:jc w:val="both"/>
        <w:rPr>
          <w:rFonts w:ascii="Arial" w:hAnsi="Arial" w:cs="Arial"/>
        </w:rPr>
      </w:pPr>
      <w:r>
        <w:rPr>
          <w:rFonts w:ascii="Arial" w:hAnsi="Arial" w:cs="Arial"/>
        </w:rPr>
        <w:t xml:space="preserve">  </w:t>
      </w:r>
    </w:p>
    <w:p w14:paraId="36C7FFD7" w14:textId="77777777" w:rsidR="00B2442D" w:rsidRDefault="008A645F">
      <w:pPr>
        <w:jc w:val="both"/>
        <w:rPr>
          <w:rFonts w:ascii="Arial" w:hAnsi="Arial" w:cs="Arial"/>
        </w:rPr>
      </w:pPr>
      <w:r>
        <w:rPr>
          <w:rFonts w:ascii="Arial" w:hAnsi="Arial" w:cs="Arial"/>
        </w:rPr>
        <w:t>El Fondo Cuenta de Impuestos al Consumo de Productos Extranjeros, remitirá a los departamentos, dentro del mismo término que tiene para efectuar el giro de los recursos, un reporte consolidado del total que le correspondió, discrimi</w:t>
      </w:r>
      <w:r>
        <w:rPr>
          <w:rFonts w:ascii="Arial" w:hAnsi="Arial" w:cs="Arial"/>
        </w:rPr>
        <w:t>nando el valor consignado a los Fondos Departamentales de Salud, indicando el número de recibo y fecha de consignación; para el caso del departamento de Cundinamarca, informará además, los valores consignados a favor del Distrito Capital, con indicación de</w:t>
      </w:r>
      <w:r>
        <w:rPr>
          <w:rFonts w:ascii="Arial" w:hAnsi="Arial" w:cs="Arial"/>
        </w:rPr>
        <w:t xml:space="preserve">l número y fecha de los recibos de consignación. </w:t>
      </w:r>
    </w:p>
    <w:p w14:paraId="31AEB4A5" w14:textId="77777777" w:rsidR="00B2442D" w:rsidRDefault="008A645F">
      <w:pPr>
        <w:jc w:val="both"/>
        <w:rPr>
          <w:rFonts w:ascii="Arial" w:hAnsi="Arial" w:cs="Arial"/>
        </w:rPr>
      </w:pPr>
      <w:r>
        <w:rPr>
          <w:rFonts w:ascii="Arial" w:hAnsi="Arial" w:cs="Arial"/>
        </w:rPr>
        <w:t xml:space="preserve">  </w:t>
      </w:r>
    </w:p>
    <w:p w14:paraId="1654FA1B" w14:textId="77777777" w:rsidR="00B2442D" w:rsidRDefault="008A645F">
      <w:pPr>
        <w:jc w:val="both"/>
        <w:rPr>
          <w:rFonts w:ascii="Arial" w:hAnsi="Arial" w:cs="Arial"/>
        </w:rPr>
      </w:pPr>
      <w:r>
        <w:rPr>
          <w:rFonts w:ascii="Arial" w:hAnsi="Arial" w:cs="Arial"/>
        </w:rPr>
        <w:t xml:space="preserve">Cuando se trate de productos extranjeros, el valor pagado al Fondo Cuenta de Impuestos al Consumo de Productos Extranjeros, se descontará del impuesto al consumo y/o de la participación que se liquide a </w:t>
      </w:r>
      <w:r>
        <w:rPr>
          <w:rFonts w:ascii="Arial" w:hAnsi="Arial" w:cs="Arial"/>
        </w:rPr>
        <w:t xml:space="preserve">favor del respectivo departamento. Los mayores valores que resulten en la declaración, se pagarán directamente al departamento. </w:t>
      </w:r>
    </w:p>
    <w:p w14:paraId="550BA151" w14:textId="77777777" w:rsidR="00B2442D" w:rsidRDefault="008A645F">
      <w:pPr>
        <w:jc w:val="both"/>
        <w:rPr>
          <w:rFonts w:ascii="Arial" w:hAnsi="Arial" w:cs="Arial"/>
        </w:rPr>
      </w:pPr>
      <w:r>
        <w:rPr>
          <w:rFonts w:ascii="Arial" w:hAnsi="Arial" w:cs="Arial"/>
        </w:rPr>
        <w:t xml:space="preserve">  </w:t>
      </w:r>
    </w:p>
    <w:p w14:paraId="3A389384" w14:textId="77777777" w:rsidR="00B2442D" w:rsidRDefault="008A645F">
      <w:pPr>
        <w:jc w:val="both"/>
        <w:rPr>
          <w:rFonts w:ascii="Arial" w:hAnsi="Arial" w:cs="Arial"/>
        </w:rPr>
      </w:pPr>
      <w:r>
        <w:rPr>
          <w:rFonts w:ascii="Arial" w:hAnsi="Arial" w:cs="Arial"/>
          <w:b/>
        </w:rPr>
        <w:t>Parágrafo.</w:t>
      </w:r>
      <w:r>
        <w:rPr>
          <w:rFonts w:ascii="Arial" w:hAnsi="Arial" w:cs="Arial"/>
        </w:rPr>
        <w:t xml:space="preserve"> Los recursos destinados a salud previstos en el presente Capítulo, deberán aplicarse a la financiación del progra</w:t>
      </w:r>
      <w:r>
        <w:rPr>
          <w:rFonts w:ascii="Arial" w:hAnsi="Arial" w:cs="Arial"/>
        </w:rPr>
        <w:t>ma de organización y modernización de redes de prestación de servicios de salud. Terminados los procesos de reestructuración deberán aplicarse a la prestación de servicios de salud a la población pobre y vulnerable no cubierta con subsidios a la demanda.</w:t>
      </w:r>
    </w:p>
    <w:p w14:paraId="278008CB" w14:textId="77777777" w:rsidR="00B2442D" w:rsidRDefault="00B2442D">
      <w:pPr>
        <w:jc w:val="both"/>
        <w:rPr>
          <w:rFonts w:ascii="Arial" w:hAnsi="Arial" w:cs="Arial"/>
          <w:i/>
        </w:rPr>
      </w:pPr>
    </w:p>
    <w:p w14:paraId="75DE256A" w14:textId="77777777" w:rsidR="00B2442D" w:rsidRDefault="008A645F">
      <w:pPr>
        <w:jc w:val="both"/>
        <w:rPr>
          <w:rFonts w:ascii="Arial" w:hAnsi="Arial" w:cs="Arial"/>
          <w:i/>
        </w:rPr>
      </w:pPr>
      <w:r>
        <w:rPr>
          <w:rFonts w:ascii="Arial" w:hAnsi="Arial" w:cs="Arial"/>
          <w:i/>
        </w:rPr>
        <w:t>(Art.4, Decreto 1150 de 2003)</w:t>
      </w:r>
    </w:p>
    <w:p w14:paraId="664E5342" w14:textId="77777777" w:rsidR="00B2442D" w:rsidRDefault="00B2442D">
      <w:pPr>
        <w:jc w:val="both"/>
        <w:rPr>
          <w:rFonts w:ascii="Arial" w:hAnsi="Arial" w:cs="Arial"/>
        </w:rPr>
      </w:pPr>
    </w:p>
    <w:p w14:paraId="65DCFFA3" w14:textId="77777777" w:rsidR="00B2442D" w:rsidRDefault="008A645F">
      <w:pPr>
        <w:pStyle w:val="Ttulo4"/>
        <w:rPr>
          <w:lang w:val="es-CO"/>
        </w:rPr>
      </w:pPr>
      <w:r>
        <w:rPr>
          <w:lang w:val="es-CO"/>
        </w:rPr>
        <w:t xml:space="preserve">CAPÍTULO 8. </w:t>
      </w:r>
    </w:p>
    <w:p w14:paraId="6A48094C" w14:textId="77777777" w:rsidR="00B2442D" w:rsidRDefault="008A645F">
      <w:pPr>
        <w:pStyle w:val="Ttulo4"/>
        <w:rPr>
          <w:lang w:val="es-CO"/>
        </w:rPr>
      </w:pPr>
      <w:r>
        <w:rPr>
          <w:lang w:val="es-CO"/>
        </w:rPr>
        <w:t>Monopolio de licores destilados y alcoholes potables</w:t>
      </w:r>
    </w:p>
    <w:p w14:paraId="689996D4" w14:textId="77777777" w:rsidR="00B2442D" w:rsidRDefault="00B2442D">
      <w:pPr>
        <w:jc w:val="both"/>
        <w:rPr>
          <w:rFonts w:ascii="Arial" w:hAnsi="Arial" w:cs="Arial"/>
          <w:b/>
        </w:rPr>
      </w:pPr>
    </w:p>
    <w:p w14:paraId="673C2445"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lang w:val="es-CO"/>
        </w:rPr>
        <w:t>Prohibición a los departamentos</w:t>
      </w:r>
      <w:r>
        <w:rPr>
          <w:rFonts w:ascii="Arial" w:hAnsi="Arial" w:cs="Arial"/>
          <w:lang w:val="es-CO"/>
        </w:rPr>
        <w:t>. Sobre el impuesto nacional de consumo de bebidas alcohólicas, cedido a los departamentos, estos no podrán conceder ninguna cl</w:t>
      </w:r>
      <w:r>
        <w:rPr>
          <w:rFonts w:ascii="Arial" w:hAnsi="Arial" w:cs="Arial"/>
          <w:lang w:val="es-CO"/>
        </w:rPr>
        <w:t xml:space="preserve">ase de exoneraciones o rebajas.  </w:t>
      </w:r>
    </w:p>
    <w:p w14:paraId="0948626E" w14:textId="77777777" w:rsidR="00B2442D" w:rsidRDefault="00B2442D">
      <w:pPr>
        <w:jc w:val="both"/>
        <w:rPr>
          <w:rFonts w:ascii="Arial" w:hAnsi="Arial" w:cs="Arial"/>
          <w:i/>
        </w:rPr>
      </w:pPr>
    </w:p>
    <w:p w14:paraId="38F4D700" w14:textId="77777777" w:rsidR="00B2442D" w:rsidRDefault="008A645F">
      <w:pPr>
        <w:jc w:val="both"/>
        <w:rPr>
          <w:rFonts w:ascii="Arial" w:hAnsi="Arial" w:cs="Arial"/>
          <w:i/>
        </w:rPr>
      </w:pPr>
      <w:r>
        <w:rPr>
          <w:rFonts w:ascii="Arial" w:hAnsi="Arial" w:cs="Arial"/>
          <w:i/>
        </w:rPr>
        <w:t>(Art.4, Decreto 2969 de 1983)</w:t>
      </w:r>
    </w:p>
    <w:p w14:paraId="23E8E7F4" w14:textId="77777777" w:rsidR="00B2442D" w:rsidRDefault="00B2442D">
      <w:pPr>
        <w:jc w:val="both"/>
        <w:rPr>
          <w:rFonts w:ascii="Arial" w:hAnsi="Arial" w:cs="Arial"/>
          <w:b/>
        </w:rPr>
      </w:pPr>
    </w:p>
    <w:p w14:paraId="39174406"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lang w:val="es-CO"/>
        </w:rPr>
        <w:t>Definición</w:t>
      </w:r>
      <w:r>
        <w:rPr>
          <w:rFonts w:ascii="Arial" w:hAnsi="Arial" w:cs="Arial"/>
          <w:lang w:val="es-CO"/>
        </w:rPr>
        <w:t xml:space="preserve">. Entiéndase por bebidas alcohólicas en tránsito de acuerdo con lo preceptuado en el artículo 68 de la Ley 14 de 1983, las que no han llegado a la entidad territorial destinataria, donde serán objeto del respectivo gravamen.  </w:t>
      </w:r>
    </w:p>
    <w:p w14:paraId="4C995F7D" w14:textId="77777777" w:rsidR="00B2442D" w:rsidRDefault="00B2442D">
      <w:pPr>
        <w:jc w:val="both"/>
        <w:rPr>
          <w:rFonts w:ascii="Arial" w:hAnsi="Arial" w:cs="Arial"/>
        </w:rPr>
      </w:pPr>
    </w:p>
    <w:p w14:paraId="32F118ED" w14:textId="77777777" w:rsidR="00B2442D" w:rsidRDefault="008A645F">
      <w:pPr>
        <w:jc w:val="both"/>
        <w:rPr>
          <w:rFonts w:ascii="Arial" w:hAnsi="Arial" w:cs="Arial"/>
        </w:rPr>
      </w:pPr>
      <w:r>
        <w:rPr>
          <w:rFonts w:ascii="Arial" w:hAnsi="Arial" w:cs="Arial"/>
        </w:rPr>
        <w:t>En todo caso estas mercancía</w:t>
      </w:r>
      <w:r>
        <w:rPr>
          <w:rFonts w:ascii="Arial" w:hAnsi="Arial" w:cs="Arial"/>
        </w:rPr>
        <w:t xml:space="preserve">s deben estar amparadas por la respectiva tornaguía; o de lo contrario podrán ser decomisadas por las autoridades competentes. </w:t>
      </w:r>
    </w:p>
    <w:p w14:paraId="6655FFC2" w14:textId="77777777" w:rsidR="00B2442D" w:rsidRDefault="00B2442D">
      <w:pPr>
        <w:jc w:val="both"/>
        <w:rPr>
          <w:rFonts w:ascii="Arial" w:hAnsi="Arial" w:cs="Arial"/>
        </w:rPr>
      </w:pPr>
    </w:p>
    <w:p w14:paraId="0C419025" w14:textId="77777777" w:rsidR="00B2442D" w:rsidRDefault="008A645F">
      <w:pPr>
        <w:jc w:val="both"/>
        <w:rPr>
          <w:rFonts w:ascii="Arial" w:hAnsi="Arial" w:cs="Arial"/>
        </w:rPr>
      </w:pPr>
      <w:r>
        <w:rPr>
          <w:rFonts w:ascii="Arial" w:hAnsi="Arial" w:cs="Arial"/>
        </w:rPr>
        <w:t>Las tornaguías de las mercancías en tránsito deberán ser selladas por las entidades territoriales por donde transiten.</w:t>
      </w:r>
    </w:p>
    <w:p w14:paraId="4A4386AD" w14:textId="77777777" w:rsidR="00B2442D" w:rsidRDefault="00B2442D">
      <w:pPr>
        <w:jc w:val="both"/>
        <w:rPr>
          <w:rFonts w:ascii="Arial" w:hAnsi="Arial" w:cs="Arial"/>
          <w:i/>
        </w:rPr>
      </w:pPr>
    </w:p>
    <w:p w14:paraId="1B926D45" w14:textId="77777777" w:rsidR="00B2442D" w:rsidRDefault="008A645F">
      <w:pPr>
        <w:jc w:val="both"/>
        <w:rPr>
          <w:rFonts w:ascii="Arial" w:hAnsi="Arial" w:cs="Arial"/>
          <w:i/>
        </w:rPr>
      </w:pPr>
      <w:r>
        <w:rPr>
          <w:rFonts w:ascii="Arial" w:hAnsi="Arial" w:cs="Arial"/>
          <w:i/>
        </w:rPr>
        <w:t>(Art.5, Decreto 2969 de 1983)</w:t>
      </w:r>
    </w:p>
    <w:p w14:paraId="5B76C269" w14:textId="77777777" w:rsidR="00B2442D" w:rsidRDefault="00B2442D">
      <w:pPr>
        <w:jc w:val="both"/>
        <w:rPr>
          <w:rFonts w:ascii="Arial" w:hAnsi="Arial" w:cs="Arial"/>
        </w:rPr>
      </w:pPr>
    </w:p>
    <w:p w14:paraId="760D27E2"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lang w:val="es-CO"/>
        </w:rPr>
        <w:t>Recaudo del impuesto de circulación</w:t>
      </w:r>
      <w:r>
        <w:rPr>
          <w:rFonts w:ascii="Arial" w:hAnsi="Arial" w:cs="Arial"/>
          <w:lang w:val="es-CO"/>
        </w:rPr>
        <w:t>. Los municipios podrán convenir con los respectivos departamentos el recaudo del impuesto de circulación y tránsito de que trata la Ley 48 de 1968.</w:t>
      </w:r>
    </w:p>
    <w:p w14:paraId="71BFFEF6" w14:textId="77777777" w:rsidR="00B2442D" w:rsidRDefault="00B2442D">
      <w:pPr>
        <w:jc w:val="both"/>
        <w:rPr>
          <w:rFonts w:ascii="Arial" w:hAnsi="Arial" w:cs="Arial"/>
          <w:i/>
        </w:rPr>
      </w:pPr>
    </w:p>
    <w:p w14:paraId="6DA518ED" w14:textId="77777777" w:rsidR="00B2442D" w:rsidRDefault="008A645F">
      <w:pPr>
        <w:jc w:val="both"/>
        <w:rPr>
          <w:rFonts w:ascii="Arial" w:hAnsi="Arial" w:cs="Arial"/>
          <w:i/>
        </w:rPr>
      </w:pPr>
      <w:r>
        <w:rPr>
          <w:rFonts w:ascii="Arial" w:hAnsi="Arial" w:cs="Arial"/>
          <w:i/>
        </w:rPr>
        <w:t>(Art.1, Decreto 1095 de 1984)</w:t>
      </w:r>
    </w:p>
    <w:p w14:paraId="71BA3C26" w14:textId="77777777" w:rsidR="00B2442D" w:rsidRDefault="00B2442D">
      <w:pPr>
        <w:jc w:val="both"/>
        <w:rPr>
          <w:rFonts w:ascii="Arial" w:hAnsi="Arial" w:cs="Arial"/>
          <w:b/>
          <w:i/>
        </w:rPr>
      </w:pPr>
    </w:p>
    <w:p w14:paraId="10A267FB"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lang w:val="es-CO"/>
        </w:rPr>
        <w:t>Monopolio</w:t>
      </w:r>
      <w:r>
        <w:rPr>
          <w:rFonts w:ascii="Arial" w:hAnsi="Arial" w:cs="Arial"/>
          <w:b/>
          <w:lang w:val="es-CO"/>
        </w:rPr>
        <w:t xml:space="preserve"> sobre licores destilados</w:t>
      </w:r>
      <w:r>
        <w:rPr>
          <w:rFonts w:ascii="Arial" w:hAnsi="Arial" w:cs="Arial"/>
          <w:lang w:val="es-CO"/>
        </w:rPr>
        <w:t>. En desarrollo del artículo 61 de la Ley 14 de 1983, previa regulación de las asambleas departamentales, los departamentos ejercerán el monopolio sobre los licores destilados, o en su defecto, gravarán con el impuesto de consumo q</w:t>
      </w:r>
      <w:r>
        <w:rPr>
          <w:rFonts w:ascii="Arial" w:hAnsi="Arial" w:cs="Arial"/>
          <w:lang w:val="es-CO"/>
        </w:rPr>
        <w:t>ue determina la ley.</w:t>
      </w:r>
    </w:p>
    <w:p w14:paraId="417BCA7F" w14:textId="77777777" w:rsidR="00B2442D" w:rsidRDefault="00B2442D">
      <w:pPr>
        <w:jc w:val="both"/>
        <w:rPr>
          <w:rFonts w:ascii="Arial" w:hAnsi="Arial" w:cs="Arial"/>
          <w:i/>
        </w:rPr>
      </w:pPr>
    </w:p>
    <w:p w14:paraId="45143A76" w14:textId="77777777" w:rsidR="00B2442D" w:rsidRDefault="008A645F">
      <w:pPr>
        <w:jc w:val="both"/>
        <w:rPr>
          <w:rFonts w:ascii="Arial" w:hAnsi="Arial" w:cs="Arial"/>
          <w:i/>
        </w:rPr>
      </w:pPr>
      <w:r>
        <w:rPr>
          <w:rFonts w:ascii="Arial" w:hAnsi="Arial" w:cs="Arial"/>
          <w:i/>
        </w:rPr>
        <w:t>(Art.3, Decreto 1095 de 1984)</w:t>
      </w:r>
    </w:p>
    <w:p w14:paraId="34138FEB" w14:textId="77777777" w:rsidR="00B2442D" w:rsidRDefault="00B2442D">
      <w:pPr>
        <w:jc w:val="both"/>
        <w:rPr>
          <w:rFonts w:ascii="Arial" w:hAnsi="Arial" w:cs="Arial"/>
        </w:rPr>
      </w:pPr>
    </w:p>
    <w:p w14:paraId="6D84F60C"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 xml:space="preserve">Destinación preferente de las rentas obtenidas en el ejercicio del monopolio de licores. </w:t>
      </w:r>
      <w:r>
        <w:rPr>
          <w:rFonts w:ascii="Arial" w:hAnsi="Arial" w:cs="Arial"/>
          <w:lang w:val="es-CO"/>
        </w:rPr>
        <w:t>La destinación preferente de las rentas obtenidas en el ejercicio del monopolio de licores exige su aplicación por</w:t>
      </w:r>
      <w:r>
        <w:rPr>
          <w:rFonts w:ascii="Arial" w:hAnsi="Arial" w:cs="Arial"/>
          <w:lang w:val="es-CO"/>
        </w:rPr>
        <w:t xml:space="preserve"> lo menos en el 51% a la financiación de los servicios de salud y educación.</w:t>
      </w:r>
    </w:p>
    <w:p w14:paraId="20E015BC" w14:textId="77777777" w:rsidR="00B2442D" w:rsidRDefault="00B2442D">
      <w:pPr>
        <w:jc w:val="both"/>
        <w:rPr>
          <w:rFonts w:ascii="Arial" w:hAnsi="Arial" w:cs="Arial"/>
        </w:rPr>
      </w:pPr>
    </w:p>
    <w:p w14:paraId="4FAE8C03" w14:textId="77777777" w:rsidR="00B2442D" w:rsidRDefault="008A645F">
      <w:pPr>
        <w:jc w:val="both"/>
        <w:rPr>
          <w:rFonts w:ascii="Arial" w:hAnsi="Arial" w:cs="Arial"/>
        </w:rPr>
      </w:pPr>
      <w:r>
        <w:rPr>
          <w:rFonts w:ascii="Arial" w:hAnsi="Arial" w:cs="Arial"/>
        </w:rPr>
        <w:t>Teniendo en cuenta que la celebración y ejecución de acuerdos de reestructuración de pasivos constituye un proyecto regional de inversión prioritario, de conformidad con lo previ</w:t>
      </w:r>
      <w:r>
        <w:rPr>
          <w:rFonts w:ascii="Arial" w:hAnsi="Arial" w:cs="Arial"/>
        </w:rPr>
        <w:t>sto en el artículo 58 de la Ley 550 de 1999, los departamentos que hayan suscrito acuerdos de esta naturaleza, darán cumplimiento a lo previsto en el presente decreto sin desconocer los pasivos propios del acuerdo de reestructuración durante la vigencia de</w:t>
      </w:r>
      <w:r>
        <w:rPr>
          <w:rFonts w:ascii="Arial" w:hAnsi="Arial" w:cs="Arial"/>
        </w:rPr>
        <w:t>l mismo.</w:t>
      </w:r>
    </w:p>
    <w:p w14:paraId="763E2A33" w14:textId="77777777" w:rsidR="00B2442D" w:rsidRDefault="00B2442D">
      <w:pPr>
        <w:jc w:val="both"/>
        <w:rPr>
          <w:rFonts w:ascii="Arial" w:hAnsi="Arial" w:cs="Arial"/>
        </w:rPr>
      </w:pPr>
    </w:p>
    <w:p w14:paraId="49E5E1EF" w14:textId="77777777" w:rsidR="00B2442D" w:rsidRDefault="008A645F">
      <w:pPr>
        <w:jc w:val="both"/>
        <w:rPr>
          <w:rFonts w:ascii="Arial" w:hAnsi="Arial" w:cs="Arial"/>
        </w:rPr>
      </w:pPr>
      <w:r>
        <w:rPr>
          <w:rFonts w:ascii="Arial" w:hAnsi="Arial" w:cs="Arial"/>
        </w:rPr>
        <w:t>No obstante, deberán destinar a la financiación de los servicios de salud y educación, los recursos que no deben aplicar al cumplimiento de los pasivos propios del acuerdo hasta alcanzar el porcentaje previsto en este decreto.</w:t>
      </w:r>
    </w:p>
    <w:p w14:paraId="13196DF6" w14:textId="77777777" w:rsidR="00B2442D" w:rsidRDefault="00B2442D">
      <w:pPr>
        <w:jc w:val="both"/>
        <w:rPr>
          <w:rFonts w:ascii="Arial" w:hAnsi="Arial" w:cs="Arial"/>
        </w:rPr>
      </w:pPr>
    </w:p>
    <w:p w14:paraId="519C2B91" w14:textId="77777777" w:rsidR="00B2442D" w:rsidRDefault="008A645F">
      <w:pPr>
        <w:jc w:val="both"/>
        <w:rPr>
          <w:rFonts w:ascii="Arial" w:hAnsi="Arial" w:cs="Arial"/>
        </w:rPr>
      </w:pPr>
      <w:r>
        <w:rPr>
          <w:rFonts w:ascii="Arial" w:hAnsi="Arial" w:cs="Arial"/>
        </w:rPr>
        <w:t>Idéntica considera</w:t>
      </w:r>
      <w:r>
        <w:rPr>
          <w:rFonts w:ascii="Arial" w:hAnsi="Arial" w:cs="Arial"/>
        </w:rPr>
        <w:t>ción aplica a los departamentos que hayan suscrito convenios de desempeño con el Ministerio de Hacienda y Crédito Público en virtud de la Ley 358 de 1997 y que en observancia de dichos convenios estén obligados a cancelar determinados pasivos.</w:t>
      </w:r>
    </w:p>
    <w:p w14:paraId="6F40322A" w14:textId="77777777" w:rsidR="00B2442D" w:rsidRDefault="00B2442D">
      <w:pPr>
        <w:jc w:val="both"/>
        <w:rPr>
          <w:rFonts w:ascii="Arial" w:hAnsi="Arial" w:cs="Arial"/>
          <w:i/>
        </w:rPr>
      </w:pPr>
    </w:p>
    <w:p w14:paraId="0CD162F5" w14:textId="77777777" w:rsidR="00B2442D" w:rsidRDefault="008A645F">
      <w:pPr>
        <w:jc w:val="both"/>
        <w:rPr>
          <w:rFonts w:ascii="Arial" w:hAnsi="Arial" w:cs="Arial"/>
          <w:i/>
        </w:rPr>
      </w:pPr>
      <w:r>
        <w:rPr>
          <w:rFonts w:ascii="Arial" w:hAnsi="Arial" w:cs="Arial"/>
          <w:i/>
        </w:rPr>
        <w:t>(Art. 1, De</w:t>
      </w:r>
      <w:r>
        <w:rPr>
          <w:rFonts w:ascii="Arial" w:hAnsi="Arial" w:cs="Arial"/>
          <w:i/>
        </w:rPr>
        <w:t>creto 4692 de 2005)</w:t>
      </w:r>
    </w:p>
    <w:p w14:paraId="57CE017B" w14:textId="77777777" w:rsidR="00B2442D" w:rsidRDefault="00B2442D">
      <w:pPr>
        <w:jc w:val="both"/>
        <w:rPr>
          <w:rFonts w:ascii="Arial" w:hAnsi="Arial" w:cs="Arial"/>
          <w:i/>
        </w:rPr>
      </w:pPr>
    </w:p>
    <w:p w14:paraId="151BB988"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Utilización en salud de las rentas obtenidas en el ejercicio del monopolio de licores</w:t>
      </w:r>
      <w:r>
        <w:rPr>
          <w:rFonts w:ascii="Arial" w:hAnsi="Arial" w:cs="Arial"/>
          <w:lang w:val="es-CO"/>
        </w:rPr>
        <w:t>. Las rentas obtenidas en el ejercicio del monopolio de licores, destinadas a la financiación de los servicios de salud además de lo dispuesto en la C</w:t>
      </w:r>
      <w:r>
        <w:rPr>
          <w:rFonts w:ascii="Arial" w:hAnsi="Arial" w:cs="Arial"/>
          <w:lang w:val="es-CO"/>
        </w:rPr>
        <w:t>onstitución y la ley podrán ejecutarse en los siguientes conceptos de gasto:</w:t>
      </w:r>
    </w:p>
    <w:p w14:paraId="63A954D2" w14:textId="77777777" w:rsidR="00B2442D" w:rsidRDefault="008A645F">
      <w:pPr>
        <w:jc w:val="both"/>
        <w:rPr>
          <w:rFonts w:ascii="Arial" w:hAnsi="Arial" w:cs="Arial"/>
        </w:rPr>
      </w:pPr>
      <w:r>
        <w:rPr>
          <w:rFonts w:ascii="Arial" w:hAnsi="Arial" w:cs="Arial"/>
        </w:rPr>
        <w:t>a) Subsidios a la demanda;</w:t>
      </w:r>
    </w:p>
    <w:p w14:paraId="7227E1E4" w14:textId="77777777" w:rsidR="00B2442D" w:rsidRDefault="008A645F">
      <w:pPr>
        <w:jc w:val="both"/>
        <w:rPr>
          <w:rFonts w:ascii="Arial" w:hAnsi="Arial" w:cs="Arial"/>
        </w:rPr>
      </w:pPr>
      <w:r>
        <w:rPr>
          <w:rFonts w:ascii="Arial" w:hAnsi="Arial" w:cs="Arial"/>
        </w:rPr>
        <w:t>b) Prestación de los servicios de salud a la población pobre en lo no cubierto con subsidios a la demanda;</w:t>
      </w:r>
    </w:p>
    <w:p w14:paraId="7F11CD5A" w14:textId="77777777" w:rsidR="00B2442D" w:rsidRDefault="008A645F">
      <w:pPr>
        <w:jc w:val="both"/>
        <w:rPr>
          <w:rFonts w:ascii="Arial" w:hAnsi="Arial" w:cs="Arial"/>
        </w:rPr>
      </w:pPr>
      <w:r>
        <w:rPr>
          <w:rFonts w:ascii="Arial" w:hAnsi="Arial" w:cs="Arial"/>
        </w:rPr>
        <w:t>c) Implementación y aplicación de Planes de A</w:t>
      </w:r>
      <w:r>
        <w:rPr>
          <w:rFonts w:ascii="Arial" w:hAnsi="Arial" w:cs="Arial"/>
        </w:rPr>
        <w:t>tención Básica, PAB;</w:t>
      </w:r>
    </w:p>
    <w:p w14:paraId="68FFFAB1" w14:textId="77777777" w:rsidR="00B2442D" w:rsidRDefault="008A645F">
      <w:pPr>
        <w:jc w:val="both"/>
        <w:rPr>
          <w:rFonts w:ascii="Arial" w:hAnsi="Arial" w:cs="Arial"/>
        </w:rPr>
      </w:pPr>
      <w:r>
        <w:rPr>
          <w:rFonts w:ascii="Arial" w:hAnsi="Arial" w:cs="Arial"/>
        </w:rPr>
        <w:t>d) Implementación y aplicación de programas de mejoramiento de la situación alimentaria y nutricional de la población infantil y del adulto mayor.</w:t>
      </w:r>
    </w:p>
    <w:p w14:paraId="3F414206" w14:textId="77777777" w:rsidR="00B2442D" w:rsidRDefault="008A645F">
      <w:pPr>
        <w:jc w:val="both"/>
        <w:rPr>
          <w:rFonts w:ascii="Arial" w:hAnsi="Arial" w:cs="Arial"/>
        </w:rPr>
      </w:pPr>
      <w:r>
        <w:rPr>
          <w:rFonts w:ascii="Arial" w:hAnsi="Arial" w:cs="Arial"/>
        </w:rPr>
        <w:t>e) Saneamiento ambiental, saneamiento básico y agua potable;</w:t>
      </w:r>
    </w:p>
    <w:p w14:paraId="458EC555" w14:textId="77777777" w:rsidR="00B2442D" w:rsidRDefault="008A645F">
      <w:pPr>
        <w:jc w:val="both"/>
        <w:rPr>
          <w:rFonts w:ascii="Arial" w:hAnsi="Arial" w:cs="Arial"/>
        </w:rPr>
      </w:pPr>
      <w:r>
        <w:rPr>
          <w:rFonts w:ascii="Arial" w:hAnsi="Arial" w:cs="Arial"/>
        </w:rPr>
        <w:t>f) Pasivo pensional y prest</w:t>
      </w:r>
      <w:r>
        <w:rPr>
          <w:rFonts w:ascii="Arial" w:hAnsi="Arial" w:cs="Arial"/>
        </w:rPr>
        <w:t>acional del sector salud, incluyendo los convenios de concurrencia suscritos entre el Ministerio de Hacienda y Crédito Público, los departamentos y las entidades hospitalarias.</w:t>
      </w:r>
    </w:p>
    <w:p w14:paraId="11352FF7" w14:textId="77777777" w:rsidR="00B2442D" w:rsidRDefault="008A645F">
      <w:pPr>
        <w:jc w:val="both"/>
        <w:rPr>
          <w:rFonts w:ascii="Arial" w:hAnsi="Arial" w:cs="Arial"/>
        </w:rPr>
      </w:pPr>
      <w:r>
        <w:rPr>
          <w:rFonts w:ascii="Arial" w:hAnsi="Arial" w:cs="Arial"/>
        </w:rPr>
        <w:t xml:space="preserve">g) Gastos relacionados con los convenios de desempeño en el programa de </w:t>
      </w:r>
      <w:r>
        <w:rPr>
          <w:rFonts w:ascii="Arial" w:hAnsi="Arial" w:cs="Arial"/>
        </w:rPr>
        <w:t>rediseño, organización y modernización de la red pública hospitalaria.</w:t>
      </w:r>
    </w:p>
    <w:p w14:paraId="407DC14A" w14:textId="77777777" w:rsidR="00B2442D" w:rsidRDefault="008A645F">
      <w:pPr>
        <w:jc w:val="both"/>
        <w:rPr>
          <w:rFonts w:ascii="Arial" w:hAnsi="Arial" w:cs="Arial"/>
        </w:rPr>
      </w:pPr>
      <w:r>
        <w:rPr>
          <w:rFonts w:ascii="Arial" w:hAnsi="Arial" w:cs="Arial"/>
        </w:rPr>
        <w:t>h) Inversión en programas de Vivienda de Interés Social en las áreas priorizadas en el Plan de Desarrollo, siempre y cuando el departamento haya alcanzado cobertura universal en segurid</w:t>
      </w:r>
      <w:r>
        <w:rPr>
          <w:rFonts w:ascii="Arial" w:hAnsi="Arial" w:cs="Arial"/>
        </w:rPr>
        <w:t xml:space="preserve">ad social en salud en el Régimen Subsidiado para la población de los niveles I y II del Sisbén y una cobertura superior al 90% de la población total afiliada al Sistema General de Seguridad Social en Salud, incluyendo en este porcentaje a los afiliados al </w:t>
      </w:r>
      <w:r>
        <w:rPr>
          <w:rFonts w:ascii="Arial" w:hAnsi="Arial" w:cs="Arial"/>
        </w:rPr>
        <w:t>Régimen Contributivo, además, deben acreditar el cumplimiento de los indicadores de Salud Pública Colectiva en un porcentaje que supere el promedio nacional, conforme con la reglamentación que para el efecto expida el Ministerio de Salud y Protección Socia</w:t>
      </w:r>
      <w:r>
        <w:rPr>
          <w:rFonts w:ascii="Arial" w:hAnsi="Arial" w:cs="Arial"/>
        </w:rPr>
        <w:t>l, el cual certificará el cumplimiento de las condiciones aquí establecidas.</w:t>
      </w:r>
    </w:p>
    <w:p w14:paraId="336D1451" w14:textId="77777777" w:rsidR="00B2442D" w:rsidRDefault="00B2442D">
      <w:pPr>
        <w:jc w:val="both"/>
        <w:rPr>
          <w:rFonts w:ascii="Arial" w:hAnsi="Arial" w:cs="Arial"/>
          <w:i/>
        </w:rPr>
      </w:pPr>
    </w:p>
    <w:p w14:paraId="7AB1387F" w14:textId="77777777" w:rsidR="00B2442D" w:rsidRDefault="008A645F">
      <w:pPr>
        <w:jc w:val="both"/>
        <w:rPr>
          <w:rFonts w:ascii="Arial" w:hAnsi="Arial" w:cs="Arial"/>
          <w:i/>
        </w:rPr>
      </w:pPr>
      <w:r>
        <w:rPr>
          <w:rFonts w:ascii="Arial" w:hAnsi="Arial" w:cs="Arial"/>
          <w:i/>
        </w:rPr>
        <w:t>(Art. 2, Decreto 4692 de 2005, el literal h) fue adicionado por el Decreto 4665 de 2006)</w:t>
      </w:r>
    </w:p>
    <w:p w14:paraId="7BD14E81" w14:textId="77777777" w:rsidR="00B2442D" w:rsidRDefault="00B2442D">
      <w:pPr>
        <w:jc w:val="both"/>
        <w:rPr>
          <w:rFonts w:ascii="Arial" w:hAnsi="Arial" w:cs="Arial"/>
        </w:rPr>
      </w:pPr>
    </w:p>
    <w:p w14:paraId="27BD9A22"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Utilización en educación de las rentas obtenidas en el ejercicio del monopolio de licore</w:t>
      </w:r>
      <w:r>
        <w:rPr>
          <w:rFonts w:ascii="Arial" w:hAnsi="Arial" w:cs="Arial"/>
          <w:b/>
          <w:i/>
          <w:lang w:val="es-CO"/>
        </w:rPr>
        <w:t>s.</w:t>
      </w:r>
      <w:r>
        <w:rPr>
          <w:rFonts w:ascii="Arial" w:hAnsi="Arial" w:cs="Arial"/>
          <w:lang w:val="es-CO"/>
        </w:rPr>
        <w:t xml:space="preserve"> Las rentas obtenidas en el ejercicio del monopolio de licores, destinadas a la financiación de los servicios de educación además de lo dispuesto en la Constitución y la ley podrán ejecutarse en los siguientes conceptos de gasto:</w:t>
      </w:r>
    </w:p>
    <w:p w14:paraId="2FCEDA27" w14:textId="77777777" w:rsidR="00B2442D" w:rsidRDefault="00B2442D">
      <w:pPr>
        <w:jc w:val="both"/>
        <w:rPr>
          <w:rFonts w:ascii="Arial" w:hAnsi="Arial" w:cs="Arial"/>
        </w:rPr>
      </w:pPr>
    </w:p>
    <w:p w14:paraId="2D93CECE" w14:textId="77777777" w:rsidR="00B2442D" w:rsidRDefault="008A645F">
      <w:pPr>
        <w:jc w:val="both"/>
        <w:rPr>
          <w:rFonts w:ascii="Arial" w:hAnsi="Arial" w:cs="Arial"/>
        </w:rPr>
      </w:pPr>
      <w:r>
        <w:rPr>
          <w:rFonts w:ascii="Arial" w:hAnsi="Arial" w:cs="Arial"/>
        </w:rPr>
        <w:t xml:space="preserve">a) </w:t>
      </w:r>
      <w:r>
        <w:rPr>
          <w:rFonts w:ascii="Arial" w:hAnsi="Arial" w:cs="Arial"/>
        </w:rPr>
        <w:t>Adquisición de lotes para establecimientos educativos estatales de preescolar, básica y media;</w:t>
      </w:r>
    </w:p>
    <w:p w14:paraId="1A717700" w14:textId="77777777" w:rsidR="00B2442D" w:rsidRDefault="008A645F">
      <w:pPr>
        <w:jc w:val="both"/>
        <w:rPr>
          <w:rFonts w:ascii="Arial" w:hAnsi="Arial" w:cs="Arial"/>
        </w:rPr>
      </w:pPr>
      <w:r>
        <w:rPr>
          <w:rFonts w:ascii="Arial" w:hAnsi="Arial" w:cs="Arial"/>
        </w:rPr>
        <w:t>b) Construcción, adecuación y mantenimiento de la infraestructura física de establecimientos educativos estatales de preescolar, básica y media;</w:t>
      </w:r>
    </w:p>
    <w:p w14:paraId="0DEEFD64" w14:textId="77777777" w:rsidR="00B2442D" w:rsidRDefault="008A645F">
      <w:pPr>
        <w:jc w:val="both"/>
        <w:rPr>
          <w:rFonts w:ascii="Arial" w:hAnsi="Arial" w:cs="Arial"/>
        </w:rPr>
      </w:pPr>
      <w:r>
        <w:rPr>
          <w:rFonts w:ascii="Arial" w:hAnsi="Arial" w:cs="Arial"/>
        </w:rPr>
        <w:t>c) Dotación de e</w:t>
      </w:r>
      <w:r>
        <w:rPr>
          <w:rFonts w:ascii="Arial" w:hAnsi="Arial" w:cs="Arial"/>
        </w:rPr>
        <w:t>stablecimientos educativos estatales de preescolar, básica y media;</w:t>
      </w:r>
    </w:p>
    <w:p w14:paraId="247B9642" w14:textId="77777777" w:rsidR="00B2442D" w:rsidRDefault="008A645F">
      <w:pPr>
        <w:jc w:val="both"/>
        <w:rPr>
          <w:rFonts w:ascii="Arial" w:hAnsi="Arial" w:cs="Arial"/>
        </w:rPr>
      </w:pPr>
      <w:r>
        <w:rPr>
          <w:rFonts w:ascii="Arial" w:hAnsi="Arial" w:cs="Arial"/>
        </w:rPr>
        <w:t>d) Contratación de la prestación del servicio educativo en los términos establecidos en el inciso 3 del artículo 27 de la Ley 715 de 2001;</w:t>
      </w:r>
    </w:p>
    <w:p w14:paraId="34402CE8" w14:textId="77777777" w:rsidR="00B2442D" w:rsidRDefault="008A645F">
      <w:pPr>
        <w:jc w:val="both"/>
        <w:rPr>
          <w:rFonts w:ascii="Arial" w:hAnsi="Arial" w:cs="Arial"/>
        </w:rPr>
      </w:pPr>
      <w:r>
        <w:rPr>
          <w:rFonts w:ascii="Arial" w:hAnsi="Arial" w:cs="Arial"/>
        </w:rPr>
        <w:t>e) Gastos de funcionamiento, excluidos los gastos</w:t>
      </w:r>
      <w:r>
        <w:rPr>
          <w:rFonts w:ascii="Arial" w:hAnsi="Arial" w:cs="Arial"/>
        </w:rPr>
        <w:t xml:space="preserve"> de personal, de los establecimientos educativos estatales de preescolar, básica y media;</w:t>
      </w:r>
    </w:p>
    <w:p w14:paraId="1D078C56" w14:textId="77777777" w:rsidR="00B2442D" w:rsidRDefault="008A645F">
      <w:pPr>
        <w:jc w:val="both"/>
        <w:rPr>
          <w:rFonts w:ascii="Arial" w:hAnsi="Arial" w:cs="Arial"/>
        </w:rPr>
      </w:pPr>
      <w:r>
        <w:rPr>
          <w:rFonts w:ascii="Arial" w:hAnsi="Arial" w:cs="Arial"/>
        </w:rPr>
        <w:t>f) Cofinanciación de proyectos de inversión en educación preescolar, básica y media;</w:t>
      </w:r>
    </w:p>
    <w:p w14:paraId="459F80BB" w14:textId="77777777" w:rsidR="00B2442D" w:rsidRDefault="008A645F">
      <w:pPr>
        <w:jc w:val="both"/>
        <w:rPr>
          <w:rFonts w:ascii="Arial" w:hAnsi="Arial" w:cs="Arial"/>
        </w:rPr>
      </w:pPr>
      <w:r>
        <w:rPr>
          <w:rFonts w:ascii="Arial" w:hAnsi="Arial" w:cs="Arial"/>
        </w:rPr>
        <w:t>g) Transporte escolar;</w:t>
      </w:r>
    </w:p>
    <w:p w14:paraId="131A5656" w14:textId="77777777" w:rsidR="00B2442D" w:rsidRDefault="008A645F">
      <w:pPr>
        <w:jc w:val="both"/>
        <w:rPr>
          <w:rFonts w:ascii="Arial" w:hAnsi="Arial" w:cs="Arial"/>
        </w:rPr>
      </w:pPr>
      <w:r>
        <w:rPr>
          <w:rFonts w:ascii="Arial" w:hAnsi="Arial" w:cs="Arial"/>
        </w:rPr>
        <w:t>h) Alimentación escolar;</w:t>
      </w:r>
    </w:p>
    <w:p w14:paraId="746ED0E5" w14:textId="77777777" w:rsidR="00B2442D" w:rsidRDefault="008A645F">
      <w:pPr>
        <w:jc w:val="both"/>
        <w:rPr>
          <w:rFonts w:ascii="Arial" w:hAnsi="Arial" w:cs="Arial"/>
        </w:rPr>
      </w:pPr>
      <w:r>
        <w:rPr>
          <w:rFonts w:ascii="Arial" w:hAnsi="Arial" w:cs="Arial"/>
        </w:rPr>
        <w:t>i) Cofinanciación de la evaluació</w:t>
      </w:r>
      <w:r>
        <w:rPr>
          <w:rFonts w:ascii="Arial" w:hAnsi="Arial" w:cs="Arial"/>
        </w:rPr>
        <w:t>n de logros en los términos del artículo 6°, numeral 6.2.14 de la Ley 715 de 2001;</w:t>
      </w:r>
    </w:p>
    <w:p w14:paraId="5A50CF1C" w14:textId="77777777" w:rsidR="00B2442D" w:rsidRDefault="008A645F">
      <w:pPr>
        <w:jc w:val="both"/>
        <w:rPr>
          <w:rFonts w:ascii="Arial" w:hAnsi="Arial" w:cs="Arial"/>
        </w:rPr>
      </w:pPr>
      <w:r>
        <w:rPr>
          <w:rFonts w:ascii="Arial" w:hAnsi="Arial" w:cs="Arial"/>
        </w:rPr>
        <w:t>j) Ascensos en el escalafón docente;</w:t>
      </w:r>
    </w:p>
    <w:p w14:paraId="692650FE" w14:textId="77777777" w:rsidR="00B2442D" w:rsidRDefault="008A645F">
      <w:pPr>
        <w:jc w:val="both"/>
        <w:rPr>
          <w:rFonts w:ascii="Arial" w:hAnsi="Arial" w:cs="Arial"/>
        </w:rPr>
      </w:pPr>
      <w:r>
        <w:rPr>
          <w:rFonts w:ascii="Arial" w:hAnsi="Arial" w:cs="Arial"/>
        </w:rPr>
        <w:t>k) Deudas laborales con el personal del sector educativo de preescolar, básica y media;</w:t>
      </w:r>
    </w:p>
    <w:p w14:paraId="7DFE08B8" w14:textId="77777777" w:rsidR="00B2442D" w:rsidRDefault="008A645F">
      <w:pPr>
        <w:jc w:val="both"/>
        <w:rPr>
          <w:rFonts w:ascii="Arial" w:hAnsi="Arial" w:cs="Arial"/>
        </w:rPr>
      </w:pPr>
      <w:r>
        <w:rPr>
          <w:rFonts w:ascii="Arial" w:hAnsi="Arial" w:cs="Arial"/>
        </w:rPr>
        <w:t>l) Pasivo pensional y prestacional del sector de</w:t>
      </w:r>
      <w:r>
        <w:rPr>
          <w:rFonts w:ascii="Arial" w:hAnsi="Arial" w:cs="Arial"/>
        </w:rPr>
        <w:t xml:space="preserve"> educación preescolar, básica y media;</w:t>
      </w:r>
    </w:p>
    <w:p w14:paraId="15A182FE" w14:textId="77777777" w:rsidR="00B2442D" w:rsidRDefault="008A645F">
      <w:pPr>
        <w:jc w:val="both"/>
        <w:rPr>
          <w:rFonts w:ascii="Arial" w:hAnsi="Arial" w:cs="Arial"/>
        </w:rPr>
      </w:pPr>
      <w:r>
        <w:rPr>
          <w:rFonts w:ascii="Arial" w:hAnsi="Arial" w:cs="Arial"/>
        </w:rPr>
        <w:t>m) Proyectos de inversión en recreación, deporte, cultura, ciencia o tecnología, siempre y cuando estén articulados con el sector de educación preescolar, básica, media, técnica o universitaria y beneficien directamen</w:t>
      </w:r>
      <w:r>
        <w:rPr>
          <w:rFonts w:ascii="Arial" w:hAnsi="Arial" w:cs="Arial"/>
        </w:rPr>
        <w:t>te a la población estudiantil;</w:t>
      </w:r>
    </w:p>
    <w:p w14:paraId="702AFF65" w14:textId="77777777" w:rsidR="00B2442D" w:rsidRDefault="008A645F">
      <w:pPr>
        <w:jc w:val="both"/>
        <w:rPr>
          <w:rFonts w:ascii="Arial" w:hAnsi="Arial" w:cs="Arial"/>
        </w:rPr>
      </w:pPr>
      <w:r>
        <w:rPr>
          <w:rFonts w:ascii="Arial" w:hAnsi="Arial" w:cs="Arial"/>
        </w:rPr>
        <w:t>n) Atención educativa para poblaciones vulnerables;</w:t>
      </w:r>
    </w:p>
    <w:p w14:paraId="3C94BD94" w14:textId="77777777" w:rsidR="00B2442D" w:rsidRDefault="008A645F">
      <w:pPr>
        <w:jc w:val="both"/>
        <w:rPr>
          <w:rFonts w:ascii="Arial" w:hAnsi="Arial" w:cs="Arial"/>
        </w:rPr>
      </w:pPr>
      <w:r>
        <w:rPr>
          <w:rFonts w:ascii="Arial" w:hAnsi="Arial" w:cs="Arial"/>
        </w:rPr>
        <w:t>o) Proyectos de inversión en educación superior.</w:t>
      </w:r>
    </w:p>
    <w:p w14:paraId="3139A238" w14:textId="77777777" w:rsidR="00B2442D" w:rsidRDefault="00B2442D">
      <w:pPr>
        <w:jc w:val="both"/>
        <w:rPr>
          <w:rFonts w:ascii="Arial" w:hAnsi="Arial" w:cs="Arial"/>
          <w:i/>
        </w:rPr>
      </w:pPr>
    </w:p>
    <w:p w14:paraId="0B1114D1" w14:textId="77777777" w:rsidR="00B2442D" w:rsidRDefault="008A645F">
      <w:pPr>
        <w:jc w:val="both"/>
        <w:rPr>
          <w:rFonts w:ascii="Arial" w:hAnsi="Arial" w:cs="Arial"/>
          <w:i/>
        </w:rPr>
      </w:pPr>
      <w:r>
        <w:rPr>
          <w:rFonts w:ascii="Arial" w:hAnsi="Arial" w:cs="Arial"/>
          <w:i/>
        </w:rPr>
        <w:t>(Art. 3, Decreto 4692 de 2005)</w:t>
      </w:r>
    </w:p>
    <w:p w14:paraId="29583A91" w14:textId="77777777" w:rsidR="00B2442D" w:rsidRDefault="00B2442D">
      <w:pPr>
        <w:jc w:val="both"/>
        <w:rPr>
          <w:rFonts w:ascii="Arial" w:hAnsi="Arial" w:cs="Arial"/>
          <w:b/>
        </w:rPr>
      </w:pPr>
    </w:p>
    <w:p w14:paraId="38CB9FB2"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Utilización de las rentas obtenidas en el ejercicio del monopolio de licores</w:t>
      </w:r>
      <w:r>
        <w:rPr>
          <w:rFonts w:ascii="Arial" w:hAnsi="Arial" w:cs="Arial"/>
          <w:i/>
          <w:lang w:val="es-CO"/>
        </w:rPr>
        <w:t xml:space="preserve">. </w:t>
      </w:r>
      <w:r>
        <w:rPr>
          <w:rFonts w:ascii="Arial" w:hAnsi="Arial" w:cs="Arial"/>
          <w:lang w:val="es-CO"/>
        </w:rPr>
        <w:t>Las rentas ob</w:t>
      </w:r>
      <w:r>
        <w:rPr>
          <w:rFonts w:ascii="Arial" w:hAnsi="Arial" w:cs="Arial"/>
          <w:lang w:val="es-CO"/>
        </w:rPr>
        <w:t>tenidas en el ejercicio del monopolio de licores, destinadas a la financiación de los servicios de salud y educación, podrán ejecutarse en los conceptos de gasto relacionados en los artículos 2.2.1.8.6. y 2.2.1.8.7. del presente decreto, siempre y cuando e</w:t>
      </w:r>
      <w:r>
        <w:rPr>
          <w:rFonts w:ascii="Arial" w:hAnsi="Arial" w:cs="Arial"/>
          <w:lang w:val="es-CO"/>
        </w:rPr>
        <w:t>stén incluidos dentro de los planes departamentales de desarrollo o la política sectorial a cargo de los ministerios.</w:t>
      </w:r>
    </w:p>
    <w:p w14:paraId="76BA5364" w14:textId="77777777" w:rsidR="00B2442D" w:rsidRDefault="008A645F">
      <w:pPr>
        <w:jc w:val="both"/>
        <w:rPr>
          <w:rFonts w:ascii="Arial" w:hAnsi="Arial" w:cs="Arial"/>
        </w:rPr>
      </w:pPr>
      <w:r>
        <w:rPr>
          <w:rFonts w:ascii="Arial" w:hAnsi="Arial" w:cs="Arial"/>
        </w:rPr>
        <w:t>Lo anterior, de acuerdo con los principios de coordinación, concurrencia y subsidiariedad en el ejercicio de las competencias atribuidas a</w:t>
      </w:r>
      <w:r>
        <w:rPr>
          <w:rFonts w:ascii="Arial" w:hAnsi="Arial" w:cs="Arial"/>
        </w:rPr>
        <w:t xml:space="preserve"> los distintos niveles territoriales, privilegiando los gastos relacionados con subsidios a la demanda y prestación de servicios a la población pobre no cubierta con estos.</w:t>
      </w:r>
    </w:p>
    <w:p w14:paraId="651E1A76" w14:textId="77777777" w:rsidR="00B2442D" w:rsidRDefault="00B2442D">
      <w:pPr>
        <w:jc w:val="both"/>
        <w:rPr>
          <w:rFonts w:ascii="Arial" w:hAnsi="Arial" w:cs="Arial"/>
          <w:i/>
        </w:rPr>
      </w:pPr>
    </w:p>
    <w:p w14:paraId="4EEA19E0" w14:textId="77777777" w:rsidR="00B2442D" w:rsidRDefault="008A645F">
      <w:pPr>
        <w:jc w:val="both"/>
        <w:rPr>
          <w:rFonts w:ascii="Arial" w:hAnsi="Arial" w:cs="Arial"/>
          <w:i/>
        </w:rPr>
      </w:pPr>
      <w:r>
        <w:rPr>
          <w:rFonts w:ascii="Arial" w:hAnsi="Arial" w:cs="Arial"/>
          <w:i/>
        </w:rPr>
        <w:t>(Art. 4, Decreto 4692 de 2005)</w:t>
      </w:r>
    </w:p>
    <w:p w14:paraId="05EF8DA1" w14:textId="77777777" w:rsidR="00B2442D" w:rsidRDefault="00B2442D">
      <w:pPr>
        <w:jc w:val="both"/>
        <w:rPr>
          <w:rFonts w:ascii="Arial" w:hAnsi="Arial" w:cs="Arial"/>
          <w:b/>
        </w:rPr>
      </w:pPr>
    </w:p>
    <w:p w14:paraId="52191881"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 xml:space="preserve">Utilización de las rentas obtenidas en el </w:t>
      </w:r>
      <w:r>
        <w:rPr>
          <w:rFonts w:ascii="Arial" w:hAnsi="Arial" w:cs="Arial"/>
          <w:b/>
          <w:i/>
          <w:lang w:val="es-CO"/>
        </w:rPr>
        <w:t>ejercicio del monopolio de licores una vez cubiertas las necesidades en salud y educación.</w:t>
      </w:r>
      <w:r>
        <w:rPr>
          <w:rFonts w:ascii="Arial" w:hAnsi="Arial" w:cs="Arial"/>
          <w:lang w:val="es-CO"/>
        </w:rPr>
        <w:t xml:space="preserve"> Aquellos departamentos cuyas necesidades en salud y educación estén cubiertas en su totalidad, de acuerdo con la información que suministre para el efecto el Departa</w:t>
      </w:r>
      <w:r>
        <w:rPr>
          <w:rFonts w:ascii="Arial" w:hAnsi="Arial" w:cs="Arial"/>
          <w:lang w:val="es-CO"/>
        </w:rPr>
        <w:t>mento Nacional de Planeación, DNP, podrán destinar rentas obtenidas en el ejercicio del monopolio de licores a atender otras áreas de necesidades básicas insatisfechas.</w:t>
      </w:r>
    </w:p>
    <w:p w14:paraId="27CDDD7D" w14:textId="77777777" w:rsidR="00B2442D" w:rsidRDefault="00B2442D">
      <w:pPr>
        <w:jc w:val="both"/>
        <w:rPr>
          <w:rFonts w:ascii="Arial" w:hAnsi="Arial" w:cs="Arial"/>
          <w:i/>
        </w:rPr>
      </w:pPr>
    </w:p>
    <w:p w14:paraId="1FB6C8F9" w14:textId="77777777" w:rsidR="00B2442D" w:rsidRDefault="008A645F">
      <w:pPr>
        <w:jc w:val="both"/>
        <w:rPr>
          <w:rFonts w:ascii="Arial" w:hAnsi="Arial" w:cs="Arial"/>
          <w:i/>
        </w:rPr>
      </w:pPr>
      <w:r>
        <w:rPr>
          <w:rFonts w:ascii="Arial" w:hAnsi="Arial" w:cs="Arial"/>
          <w:i/>
        </w:rPr>
        <w:t>(Art. 5, Decreto 4692 de 2005)</w:t>
      </w:r>
    </w:p>
    <w:p w14:paraId="4248B3A7" w14:textId="77777777" w:rsidR="00B2442D" w:rsidRDefault="00B2442D">
      <w:pPr>
        <w:jc w:val="both"/>
        <w:rPr>
          <w:rFonts w:ascii="Arial" w:hAnsi="Arial" w:cs="Arial"/>
        </w:rPr>
      </w:pPr>
    </w:p>
    <w:p w14:paraId="7A20D42C" w14:textId="77777777" w:rsidR="00B2442D" w:rsidRDefault="008A645F">
      <w:pPr>
        <w:pStyle w:val="Prrafodelista"/>
        <w:numPr>
          <w:ilvl w:val="0"/>
          <w:numId w:val="191"/>
        </w:numPr>
        <w:ind w:left="0" w:firstLine="0"/>
        <w:jc w:val="both"/>
        <w:rPr>
          <w:rFonts w:ascii="Arial" w:hAnsi="Arial" w:cs="Arial"/>
          <w:lang w:val="es-CO"/>
        </w:rPr>
      </w:pPr>
      <w:r>
        <w:rPr>
          <w:rFonts w:ascii="Arial" w:hAnsi="Arial" w:cs="Arial"/>
          <w:b/>
          <w:i/>
          <w:lang w:val="es-CO"/>
        </w:rPr>
        <w:t>Vigilancia de la destinación efectiva de las rentas ob</w:t>
      </w:r>
      <w:r>
        <w:rPr>
          <w:rFonts w:ascii="Arial" w:hAnsi="Arial" w:cs="Arial"/>
          <w:b/>
          <w:i/>
          <w:lang w:val="es-CO"/>
        </w:rPr>
        <w:t>tenidas en el ejercicio del monopolio de licores.</w:t>
      </w:r>
      <w:r>
        <w:rPr>
          <w:rFonts w:ascii="Arial" w:hAnsi="Arial" w:cs="Arial"/>
          <w:lang w:val="es-CO"/>
        </w:rPr>
        <w:t xml:space="preserve"> El Gobernador o su delegado, deberá informar al Ministerio de Educación Nacional, Dirección de Descentralización y a la Superintendencia Nacional de Salud, dentro de los treinta (30) días hábiles siguientes</w:t>
      </w:r>
      <w:r>
        <w:rPr>
          <w:rFonts w:ascii="Arial" w:hAnsi="Arial" w:cs="Arial"/>
          <w:lang w:val="es-CO"/>
        </w:rPr>
        <w:t xml:space="preserve"> a la aprobación del presupuesto del departamento, los montos incorporados en aquél, con destino a la financiación de los servicios de salud y educación, discriminando por cada rubro específico de gasto, la fuente de financiación, de manera que se pueda id</w:t>
      </w:r>
      <w:r>
        <w:rPr>
          <w:rFonts w:ascii="Arial" w:hAnsi="Arial" w:cs="Arial"/>
          <w:lang w:val="es-CO"/>
        </w:rPr>
        <w:t>entificar la aplicación efectiva de las rentas obtenidas en el ejercicio del monopolio, al igual que los demás recursos que se destinan a salud y educación.</w:t>
      </w:r>
    </w:p>
    <w:p w14:paraId="58789943" w14:textId="77777777" w:rsidR="00B2442D" w:rsidRDefault="00B2442D">
      <w:pPr>
        <w:jc w:val="both"/>
        <w:rPr>
          <w:rFonts w:ascii="Arial" w:hAnsi="Arial" w:cs="Arial"/>
        </w:rPr>
      </w:pPr>
    </w:p>
    <w:p w14:paraId="259C9428" w14:textId="77777777" w:rsidR="00B2442D" w:rsidRDefault="008A645F">
      <w:pPr>
        <w:jc w:val="both"/>
        <w:rPr>
          <w:rFonts w:ascii="Arial" w:hAnsi="Arial" w:cs="Arial"/>
        </w:rPr>
      </w:pPr>
      <w:r>
        <w:rPr>
          <w:rFonts w:ascii="Arial" w:hAnsi="Arial" w:cs="Arial"/>
        </w:rPr>
        <w:t>Igualmente, deberán informar dentro de los treinta (30) días hábiles siguientes al cierre de la re</w:t>
      </w:r>
      <w:r>
        <w:rPr>
          <w:rFonts w:ascii="Arial" w:hAnsi="Arial" w:cs="Arial"/>
        </w:rPr>
        <w:t>spectiva vigencia fiscal, los montos efectivamente ejecutados por dicho concepto discriminados en los términos del inciso anterior.</w:t>
      </w:r>
    </w:p>
    <w:p w14:paraId="02EC7CD4" w14:textId="77777777" w:rsidR="00B2442D" w:rsidRDefault="00B2442D">
      <w:pPr>
        <w:jc w:val="both"/>
        <w:rPr>
          <w:rFonts w:ascii="Arial" w:hAnsi="Arial" w:cs="Arial"/>
          <w:i/>
        </w:rPr>
      </w:pPr>
    </w:p>
    <w:p w14:paraId="457D90A1" w14:textId="77777777" w:rsidR="00B2442D" w:rsidRDefault="008A645F">
      <w:pPr>
        <w:jc w:val="both"/>
        <w:rPr>
          <w:rFonts w:ascii="Arial" w:hAnsi="Arial" w:cs="Arial"/>
          <w:i/>
        </w:rPr>
      </w:pPr>
      <w:r>
        <w:rPr>
          <w:rFonts w:ascii="Arial" w:hAnsi="Arial" w:cs="Arial"/>
          <w:i/>
        </w:rPr>
        <w:t>(Art. 6, Decreto 4692 de 2005, el parágrafo perdió vigencia por agotamiento del objeto)</w:t>
      </w:r>
    </w:p>
    <w:p w14:paraId="7D22527E" w14:textId="77777777" w:rsidR="00B2442D" w:rsidRDefault="00B2442D">
      <w:pPr>
        <w:jc w:val="both"/>
        <w:rPr>
          <w:rFonts w:ascii="Arial" w:hAnsi="Arial" w:cs="Arial"/>
        </w:rPr>
      </w:pPr>
    </w:p>
    <w:p w14:paraId="28C3B318" w14:textId="77777777" w:rsidR="00B2442D" w:rsidRDefault="008A645F">
      <w:pPr>
        <w:pStyle w:val="Ttulo3"/>
      </w:pPr>
      <w:bookmarkStart w:id="79" w:name="_Toc479171231"/>
      <w:r>
        <w:t>TÍTULO 2.</w:t>
      </w:r>
      <w:bookmarkEnd w:id="79"/>
    </w:p>
    <w:p w14:paraId="76BA7B5A" w14:textId="77777777" w:rsidR="00B2442D" w:rsidRDefault="008A645F">
      <w:pPr>
        <w:pStyle w:val="Ttulo3"/>
      </w:pPr>
      <w:bookmarkStart w:id="80" w:name="_Toc479171232"/>
      <w:r>
        <w:t>Impuesto de Registro</w:t>
      </w:r>
      <w:bookmarkEnd w:id="80"/>
    </w:p>
    <w:p w14:paraId="6B1B3184" w14:textId="77777777" w:rsidR="00B2442D" w:rsidRDefault="00B2442D">
      <w:pPr>
        <w:jc w:val="both"/>
        <w:rPr>
          <w:rFonts w:ascii="Arial" w:hAnsi="Arial" w:cs="Arial"/>
        </w:rPr>
      </w:pPr>
    </w:p>
    <w:p w14:paraId="0D477EAE"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Ac</w:t>
      </w:r>
      <w:r>
        <w:rPr>
          <w:rFonts w:ascii="Arial" w:hAnsi="Arial" w:cs="Arial"/>
          <w:b/>
          <w:i/>
          <w:lang w:val="es-CO"/>
        </w:rPr>
        <w:t>tos, contratos y negocios jurídicos sujetos al impuesto de registro.</w:t>
      </w:r>
      <w:r>
        <w:rPr>
          <w:rFonts w:ascii="Arial" w:hAnsi="Arial" w:cs="Arial"/>
          <w:b/>
          <w:lang w:val="es-CO"/>
        </w:rPr>
        <w:t xml:space="preserve"> </w:t>
      </w:r>
      <w:r>
        <w:rPr>
          <w:rFonts w:ascii="Arial" w:hAnsi="Arial" w:cs="Arial"/>
          <w:lang w:val="es-CO"/>
        </w:rPr>
        <w:t xml:space="preserve">Están sujetas al impuesto de registro, en los términos de la Ley 223 de 1995, las inscripciones de los documentos que contengan actos, providencias, contratos o negocios </w:t>
      </w:r>
      <w:r>
        <w:rPr>
          <w:rFonts w:ascii="Arial" w:hAnsi="Arial" w:cs="Arial"/>
          <w:lang w:val="es-CO"/>
        </w:rPr>
        <w:t>jurídicos en que los particulares sean parte o beneficiarios que, por normas legales, deban registrarse en las Cámaras de Comercio o en las Oficinas de Registro de Instrumentos Públicos.</w:t>
      </w:r>
    </w:p>
    <w:p w14:paraId="0AD39814" w14:textId="77777777" w:rsidR="00B2442D" w:rsidRDefault="00B2442D">
      <w:pPr>
        <w:jc w:val="both"/>
        <w:rPr>
          <w:rFonts w:ascii="Arial" w:hAnsi="Arial" w:cs="Arial"/>
        </w:rPr>
      </w:pPr>
    </w:p>
    <w:p w14:paraId="727DF9F3" w14:textId="77777777" w:rsidR="00B2442D" w:rsidRDefault="008A645F">
      <w:pPr>
        <w:jc w:val="both"/>
        <w:rPr>
          <w:rFonts w:ascii="Arial" w:hAnsi="Arial" w:cs="Arial"/>
        </w:rPr>
      </w:pPr>
      <w:r>
        <w:rPr>
          <w:rFonts w:ascii="Arial" w:hAnsi="Arial" w:cs="Arial"/>
        </w:rPr>
        <w:t>La matrícula mercantil o su renovación, la inscripción en el registr</w:t>
      </w:r>
      <w:r>
        <w:rPr>
          <w:rFonts w:ascii="Arial" w:hAnsi="Arial" w:cs="Arial"/>
        </w:rPr>
        <w:t>o nacional de proponentes y la inscripción de los libros de contabilidad no se consideran actos, contratos o negocios jurídicos documentales.</w:t>
      </w:r>
    </w:p>
    <w:p w14:paraId="65EAD271" w14:textId="77777777" w:rsidR="00B2442D" w:rsidRDefault="00B2442D">
      <w:pPr>
        <w:jc w:val="both"/>
        <w:rPr>
          <w:rFonts w:ascii="Arial" w:hAnsi="Arial" w:cs="Arial"/>
          <w:i/>
        </w:rPr>
      </w:pPr>
    </w:p>
    <w:p w14:paraId="7C9819EE" w14:textId="77777777" w:rsidR="00B2442D" w:rsidRDefault="008A645F">
      <w:pPr>
        <w:jc w:val="both"/>
        <w:rPr>
          <w:rFonts w:ascii="Arial" w:hAnsi="Arial" w:cs="Arial"/>
          <w:i/>
        </w:rPr>
      </w:pPr>
      <w:r>
        <w:rPr>
          <w:rFonts w:ascii="Arial" w:hAnsi="Arial" w:cs="Arial"/>
          <w:i/>
        </w:rPr>
        <w:t>(Art.1, Decreto 0650 de 1996)</w:t>
      </w:r>
    </w:p>
    <w:p w14:paraId="7227BA57" w14:textId="77777777" w:rsidR="00B2442D" w:rsidRDefault="00B2442D">
      <w:pPr>
        <w:jc w:val="both"/>
        <w:rPr>
          <w:rFonts w:ascii="Arial" w:hAnsi="Arial" w:cs="Arial"/>
        </w:rPr>
      </w:pPr>
    </w:p>
    <w:p w14:paraId="7924979C"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Causación y pago.</w:t>
      </w:r>
      <w:r>
        <w:rPr>
          <w:rFonts w:ascii="Arial" w:hAnsi="Arial" w:cs="Arial"/>
          <w:lang w:val="es-CO"/>
        </w:rPr>
        <w:t xml:space="preserve"> El impuesto se causa en el momento de la solicitud y se paga por</w:t>
      </w:r>
      <w:r>
        <w:rPr>
          <w:rFonts w:ascii="Arial" w:hAnsi="Arial" w:cs="Arial"/>
          <w:lang w:val="es-CO"/>
        </w:rPr>
        <w:t xml:space="preserve"> una sola vez por cada acto, contrato o negocio jurídico sujeto a registro.</w:t>
      </w:r>
    </w:p>
    <w:p w14:paraId="0BD92D31" w14:textId="77777777" w:rsidR="00B2442D" w:rsidRDefault="00B2442D">
      <w:pPr>
        <w:jc w:val="both"/>
        <w:rPr>
          <w:rFonts w:ascii="Arial" w:hAnsi="Arial" w:cs="Arial"/>
        </w:rPr>
      </w:pPr>
    </w:p>
    <w:p w14:paraId="25A76B79" w14:textId="77777777" w:rsidR="00B2442D" w:rsidRDefault="008A645F">
      <w:pPr>
        <w:jc w:val="both"/>
        <w:rPr>
          <w:rFonts w:ascii="Arial" w:hAnsi="Arial" w:cs="Arial"/>
        </w:rPr>
      </w:pPr>
      <w:r>
        <w:rPr>
          <w:rFonts w:ascii="Arial" w:hAnsi="Arial" w:cs="Arial"/>
        </w:rPr>
        <w:t>Cuando un mismo documento contenga diferentes actos sujetos a registro, el impuesto se liquidará sobre cada uno de ellos, aplicando la base gravable y tarifa establecidas en la le</w:t>
      </w:r>
      <w:r>
        <w:rPr>
          <w:rFonts w:ascii="Arial" w:hAnsi="Arial" w:cs="Arial"/>
        </w:rPr>
        <w:t>y.</w:t>
      </w:r>
    </w:p>
    <w:p w14:paraId="22D2BD0D" w14:textId="77777777" w:rsidR="00B2442D" w:rsidRDefault="00B2442D">
      <w:pPr>
        <w:jc w:val="both"/>
        <w:rPr>
          <w:rFonts w:ascii="Arial" w:hAnsi="Arial" w:cs="Arial"/>
        </w:rPr>
      </w:pPr>
    </w:p>
    <w:p w14:paraId="09AB6921" w14:textId="77777777" w:rsidR="00B2442D" w:rsidRDefault="008A645F">
      <w:pPr>
        <w:jc w:val="both"/>
        <w:rPr>
          <w:rFonts w:ascii="Arial" w:hAnsi="Arial" w:cs="Arial"/>
        </w:rPr>
      </w:pPr>
      <w:r>
        <w:rPr>
          <w:rFonts w:ascii="Arial" w:hAnsi="Arial" w:cs="Arial"/>
          <w:b/>
        </w:rPr>
        <w:t>Parágrafo</w:t>
      </w:r>
      <w:r>
        <w:rPr>
          <w:rFonts w:ascii="Arial" w:hAnsi="Arial" w:cs="Arial"/>
        </w:rPr>
        <w:t xml:space="preserve">. No podrá efectuarse el registro si la solicitud no se ha acompañado de la constancia o recibo de pago del impuesto. Cuando se trate de actos, contratos o negocios jurídicos entre entidades públicas, dicho requisito no será </w:t>
      </w:r>
      <w:r>
        <w:rPr>
          <w:rFonts w:ascii="Arial" w:hAnsi="Arial" w:cs="Arial"/>
        </w:rPr>
        <w:t>necesario.</w:t>
      </w:r>
    </w:p>
    <w:p w14:paraId="0FECBC75" w14:textId="77777777" w:rsidR="00B2442D" w:rsidRDefault="00B2442D">
      <w:pPr>
        <w:jc w:val="both"/>
        <w:rPr>
          <w:rFonts w:ascii="Arial" w:hAnsi="Arial" w:cs="Arial"/>
          <w:i/>
        </w:rPr>
      </w:pPr>
    </w:p>
    <w:p w14:paraId="08068117" w14:textId="77777777" w:rsidR="00B2442D" w:rsidRDefault="008A645F">
      <w:pPr>
        <w:jc w:val="both"/>
        <w:rPr>
          <w:rFonts w:ascii="Arial" w:hAnsi="Arial" w:cs="Arial"/>
          <w:i/>
        </w:rPr>
      </w:pPr>
      <w:r>
        <w:rPr>
          <w:rFonts w:ascii="Arial" w:hAnsi="Arial" w:cs="Arial"/>
          <w:i/>
        </w:rPr>
        <w:t>(Art.2, Decreto 0650 de 1996)</w:t>
      </w:r>
    </w:p>
    <w:p w14:paraId="7C9305C0" w14:textId="77777777" w:rsidR="00B2442D" w:rsidRDefault="00B2442D">
      <w:pPr>
        <w:jc w:val="both"/>
        <w:rPr>
          <w:rFonts w:ascii="Arial" w:hAnsi="Arial" w:cs="Arial"/>
        </w:rPr>
      </w:pPr>
    </w:p>
    <w:p w14:paraId="2F509202"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Actos o providencias que no generan impuesto.</w:t>
      </w:r>
      <w:r>
        <w:rPr>
          <w:rFonts w:ascii="Arial" w:hAnsi="Arial" w:cs="Arial"/>
          <w:lang w:val="es-CO"/>
        </w:rPr>
        <w:t xml:space="preserve"> No generan el impuesto de registro, la inscripción y cancelación de las inscripciones de aquellos actos o providencias judiciales y administrativas que por mandato leg</w:t>
      </w:r>
      <w:r>
        <w:rPr>
          <w:rFonts w:ascii="Arial" w:hAnsi="Arial" w:cs="Arial"/>
          <w:lang w:val="es-CO"/>
        </w:rPr>
        <w:t>al deban ser remitidas por el funcionario competente para su registro, cuando no incorporan un derecho apreciable pecuniariamente en favor de una o varias personas, tales como las medidas cautelares, la contribución de valorización, la admisión a concordat</w:t>
      </w:r>
      <w:r>
        <w:rPr>
          <w:rFonts w:ascii="Arial" w:hAnsi="Arial" w:cs="Arial"/>
          <w:lang w:val="es-CO"/>
        </w:rPr>
        <w:t>o, la comunicación de la declaratoria de quiebra o de liquidación obligatoria, y las prohibiciones judiciales.</w:t>
      </w:r>
    </w:p>
    <w:p w14:paraId="40FE28EC" w14:textId="77777777" w:rsidR="00B2442D" w:rsidRDefault="00B2442D">
      <w:pPr>
        <w:jc w:val="both"/>
        <w:rPr>
          <w:rFonts w:ascii="Arial" w:hAnsi="Arial" w:cs="Arial"/>
        </w:rPr>
      </w:pPr>
    </w:p>
    <w:p w14:paraId="7174C989" w14:textId="77777777" w:rsidR="00B2442D" w:rsidRDefault="008A645F">
      <w:pPr>
        <w:jc w:val="both"/>
        <w:rPr>
          <w:rFonts w:ascii="Arial" w:hAnsi="Arial" w:cs="Arial"/>
        </w:rPr>
      </w:pPr>
      <w:r>
        <w:rPr>
          <w:rFonts w:ascii="Arial" w:hAnsi="Arial" w:cs="Arial"/>
        </w:rPr>
        <w:t>Igualmente, no generan el impuesto de registro, los actos, contratos o negocios jurídicos que se realicen entre entidades públicas. Tampoco, gen</w:t>
      </w:r>
      <w:r>
        <w:rPr>
          <w:rFonts w:ascii="Arial" w:hAnsi="Arial" w:cs="Arial"/>
        </w:rPr>
        <w:t>era el impuesto de registro, el 50% del valor incorporado en el documento que contiene el acto, contrato, o negocio jurídico o la proporción del capital suscrito o capital social que corresponda a las entidades públicas, cuando concurran entidades públicas</w:t>
      </w:r>
      <w:r>
        <w:rPr>
          <w:rFonts w:ascii="Arial" w:hAnsi="Arial" w:cs="Arial"/>
        </w:rPr>
        <w:t xml:space="preserve"> y particulares.</w:t>
      </w:r>
    </w:p>
    <w:p w14:paraId="28648AE0" w14:textId="77777777" w:rsidR="00B2442D" w:rsidRDefault="00B2442D">
      <w:pPr>
        <w:jc w:val="both"/>
        <w:rPr>
          <w:rFonts w:ascii="Arial" w:hAnsi="Arial" w:cs="Arial"/>
          <w:i/>
        </w:rPr>
      </w:pPr>
    </w:p>
    <w:p w14:paraId="343081D3" w14:textId="77777777" w:rsidR="00B2442D" w:rsidRDefault="008A645F">
      <w:pPr>
        <w:jc w:val="both"/>
        <w:rPr>
          <w:rFonts w:ascii="Arial" w:hAnsi="Arial" w:cs="Arial"/>
          <w:i/>
        </w:rPr>
      </w:pPr>
      <w:r>
        <w:rPr>
          <w:rFonts w:ascii="Arial" w:hAnsi="Arial" w:cs="Arial"/>
          <w:i/>
        </w:rPr>
        <w:t>(Art.3, Decreto 0650 de 1996)</w:t>
      </w:r>
    </w:p>
    <w:p w14:paraId="43F15C4F" w14:textId="77777777" w:rsidR="00B2442D" w:rsidRDefault="00B2442D">
      <w:pPr>
        <w:jc w:val="both"/>
        <w:rPr>
          <w:rFonts w:ascii="Arial" w:hAnsi="Arial" w:cs="Arial"/>
        </w:rPr>
      </w:pPr>
    </w:p>
    <w:p w14:paraId="1D6F28AE"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Base gravable respecto de inmuebles.</w:t>
      </w:r>
      <w:r>
        <w:rPr>
          <w:rFonts w:ascii="Arial" w:hAnsi="Arial" w:cs="Arial"/>
          <w:lang w:val="es-CO"/>
        </w:rPr>
        <w:t xml:space="preserve"> Para efectos de lo dispuesto en el inciso cuarto del artículo 229 de la Ley 223 de 1995, se entiende que el acto, contrato o negocio jurídico se refiere a inmuebles cuand</w:t>
      </w:r>
      <w:r>
        <w:rPr>
          <w:rFonts w:ascii="Arial" w:hAnsi="Arial" w:cs="Arial"/>
          <w:lang w:val="es-CO"/>
        </w:rPr>
        <w:t>o a través del mismo se enajena o transfiere el derecho de dominio. En los demás casos la base gravable estará constituida por el valor incorporado en el documento, de conformidad con lo dispuesto en el inciso primero del mismo artículo.</w:t>
      </w:r>
    </w:p>
    <w:p w14:paraId="4C7856DA" w14:textId="77777777" w:rsidR="00B2442D" w:rsidRDefault="00B2442D">
      <w:pPr>
        <w:jc w:val="both"/>
        <w:rPr>
          <w:rFonts w:ascii="Arial" w:hAnsi="Arial" w:cs="Arial"/>
          <w:i/>
        </w:rPr>
      </w:pPr>
    </w:p>
    <w:p w14:paraId="3FA8D983" w14:textId="77777777" w:rsidR="00B2442D" w:rsidRDefault="008A645F">
      <w:pPr>
        <w:jc w:val="both"/>
        <w:rPr>
          <w:rFonts w:ascii="Arial" w:hAnsi="Arial" w:cs="Arial"/>
          <w:i/>
        </w:rPr>
      </w:pPr>
      <w:r>
        <w:rPr>
          <w:rFonts w:ascii="Arial" w:hAnsi="Arial" w:cs="Arial"/>
          <w:i/>
        </w:rPr>
        <w:t>(Art.4, Decreto 0</w:t>
      </w:r>
      <w:r>
        <w:rPr>
          <w:rFonts w:ascii="Arial" w:hAnsi="Arial" w:cs="Arial"/>
          <w:i/>
        </w:rPr>
        <w:t>650 de 1996)</w:t>
      </w:r>
    </w:p>
    <w:p w14:paraId="4BAD5B25" w14:textId="77777777" w:rsidR="00B2442D" w:rsidRDefault="00B2442D">
      <w:pPr>
        <w:jc w:val="both"/>
        <w:rPr>
          <w:rFonts w:ascii="Arial" w:hAnsi="Arial" w:cs="Arial"/>
        </w:rPr>
      </w:pPr>
    </w:p>
    <w:p w14:paraId="548E6B23"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Definición tarifaria.</w:t>
      </w:r>
      <w:r>
        <w:rPr>
          <w:rFonts w:ascii="Arial" w:hAnsi="Arial" w:cs="Arial"/>
          <w:lang w:val="es-CO"/>
        </w:rPr>
        <w:t xml:space="preserve"> En virtud de los principios que regulan la función administrativa, las Asambleas Departamentales fijarán la tarifa para cada uno de los literales a), b) y c) del artículo 230 de la Ley 223 de 1995.</w:t>
      </w:r>
    </w:p>
    <w:p w14:paraId="76B10F9A" w14:textId="77777777" w:rsidR="00B2442D" w:rsidRDefault="00B2442D">
      <w:pPr>
        <w:jc w:val="both"/>
        <w:rPr>
          <w:rFonts w:ascii="Arial" w:hAnsi="Arial" w:cs="Arial"/>
          <w:i/>
        </w:rPr>
      </w:pPr>
    </w:p>
    <w:p w14:paraId="01B08AC0" w14:textId="77777777" w:rsidR="00B2442D" w:rsidRDefault="008A645F">
      <w:pPr>
        <w:jc w:val="both"/>
        <w:rPr>
          <w:rFonts w:ascii="Arial" w:hAnsi="Arial" w:cs="Arial"/>
          <w:i/>
        </w:rPr>
      </w:pPr>
      <w:r>
        <w:rPr>
          <w:rFonts w:ascii="Arial" w:hAnsi="Arial" w:cs="Arial"/>
          <w:i/>
        </w:rPr>
        <w:t xml:space="preserve">(Art.5, Decreto 0650 </w:t>
      </w:r>
      <w:r>
        <w:rPr>
          <w:rFonts w:ascii="Arial" w:hAnsi="Arial" w:cs="Arial"/>
          <w:i/>
        </w:rPr>
        <w:t>de 1996)</w:t>
      </w:r>
    </w:p>
    <w:p w14:paraId="6CC78857" w14:textId="77777777" w:rsidR="00B2442D" w:rsidRDefault="00B2442D">
      <w:pPr>
        <w:jc w:val="both"/>
        <w:rPr>
          <w:rFonts w:ascii="Arial" w:hAnsi="Arial" w:cs="Arial"/>
        </w:rPr>
      </w:pPr>
    </w:p>
    <w:p w14:paraId="3DC67256"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Actos, contratos o negocios jurídicos sin cuantía y tarifa.</w:t>
      </w:r>
      <w:r>
        <w:rPr>
          <w:rFonts w:ascii="Arial" w:hAnsi="Arial" w:cs="Arial"/>
          <w:lang w:val="es-CO"/>
        </w:rPr>
        <w:t xml:space="preserve"> Todos los actos, contratos o negocios jurídicos sin cuantía, es decir aquellos que no incorporan derechos apreciables pecuniariamente en favor de los particulares, sujetos al impuesto de</w:t>
      </w:r>
      <w:r>
        <w:rPr>
          <w:rFonts w:ascii="Arial" w:hAnsi="Arial" w:cs="Arial"/>
          <w:lang w:val="es-CO"/>
        </w:rPr>
        <w:t xml:space="preserve"> registro, estarán gravados con tarifas entre dos (2) y cuatro (4) salarios mínimos diarios legales, determinadas por la respectiva asamblea departamental, a iniciativa del Gobernador.</w:t>
      </w:r>
    </w:p>
    <w:p w14:paraId="011D1A0C" w14:textId="77777777" w:rsidR="00B2442D" w:rsidRDefault="00B2442D">
      <w:pPr>
        <w:jc w:val="both"/>
        <w:rPr>
          <w:rFonts w:ascii="Arial" w:hAnsi="Arial" w:cs="Arial"/>
        </w:rPr>
      </w:pPr>
    </w:p>
    <w:p w14:paraId="547CF8CD" w14:textId="77777777" w:rsidR="00B2442D" w:rsidRDefault="008A645F">
      <w:pPr>
        <w:jc w:val="both"/>
        <w:rPr>
          <w:rFonts w:ascii="Arial" w:hAnsi="Arial" w:cs="Arial"/>
        </w:rPr>
      </w:pPr>
      <w:r>
        <w:rPr>
          <w:rFonts w:ascii="Arial" w:hAnsi="Arial" w:cs="Arial"/>
        </w:rPr>
        <w:t>Para efectos de la liquidación y pago del impuesto de registro se cons</w:t>
      </w:r>
      <w:r>
        <w:rPr>
          <w:rFonts w:ascii="Arial" w:hAnsi="Arial" w:cs="Arial"/>
        </w:rPr>
        <w:t>ideran como actos, contratos o negocios jurídicos sin cuantía, entre otros, los siguientes:</w:t>
      </w:r>
    </w:p>
    <w:p w14:paraId="5961C463" w14:textId="77777777" w:rsidR="00B2442D" w:rsidRDefault="00B2442D">
      <w:pPr>
        <w:jc w:val="both"/>
        <w:rPr>
          <w:rFonts w:ascii="Arial" w:hAnsi="Arial" w:cs="Arial"/>
        </w:rPr>
      </w:pPr>
    </w:p>
    <w:p w14:paraId="16B7EF32" w14:textId="77777777" w:rsidR="00B2442D" w:rsidRDefault="008A645F">
      <w:pPr>
        <w:jc w:val="both"/>
        <w:rPr>
          <w:rFonts w:ascii="Arial" w:hAnsi="Arial" w:cs="Arial"/>
        </w:rPr>
      </w:pPr>
      <w:r>
        <w:rPr>
          <w:rFonts w:ascii="Arial" w:hAnsi="Arial" w:cs="Arial"/>
        </w:rPr>
        <w:t>a) Los actos de nombramiento, remoción o revocación de representantes legales, revisores fiscales, liquidadores, representantes de los tenedores de bonos, represen</w:t>
      </w:r>
      <w:r>
        <w:rPr>
          <w:rFonts w:ascii="Arial" w:hAnsi="Arial" w:cs="Arial"/>
        </w:rPr>
        <w:t>tantes de los accionistas con derecho a dividendo preferencial y apoderados en general;</w:t>
      </w:r>
    </w:p>
    <w:p w14:paraId="296013DA" w14:textId="77777777" w:rsidR="00B2442D" w:rsidRDefault="008A645F">
      <w:pPr>
        <w:jc w:val="both"/>
        <w:rPr>
          <w:rFonts w:ascii="Arial" w:hAnsi="Arial" w:cs="Arial"/>
        </w:rPr>
      </w:pPr>
      <w:r>
        <w:rPr>
          <w:rFonts w:ascii="Arial" w:hAnsi="Arial" w:cs="Arial"/>
        </w:rPr>
        <w:t>b) Los actos por los cuales se delegue o reasuma la administración de las sociedades o de las asociaciones, corporaciones o cooperativas, los relativos al derecho de re</w:t>
      </w:r>
      <w:r>
        <w:rPr>
          <w:rFonts w:ascii="Arial" w:hAnsi="Arial" w:cs="Arial"/>
        </w:rPr>
        <w:t>tiro, las comunicaciones que declaren la existencia de grupos económicos, situaciones de vinculación entre sociedades matrices, subordinadas y subsidiarias, el programa de fundación y folleto informativo para la constitución de sociedad por suscripción suc</w:t>
      </w:r>
      <w:r>
        <w:rPr>
          <w:rFonts w:ascii="Arial" w:hAnsi="Arial" w:cs="Arial"/>
        </w:rPr>
        <w:t>esiva de acciones;</w:t>
      </w:r>
    </w:p>
    <w:p w14:paraId="65E65EFF" w14:textId="77777777" w:rsidR="00B2442D" w:rsidRDefault="008A645F">
      <w:pPr>
        <w:jc w:val="both"/>
        <w:rPr>
          <w:rFonts w:ascii="Arial" w:hAnsi="Arial" w:cs="Arial"/>
        </w:rPr>
      </w:pPr>
      <w:r>
        <w:rPr>
          <w:rFonts w:ascii="Arial" w:hAnsi="Arial" w:cs="Arial"/>
        </w:rPr>
        <w:t>c) Las autorizaciones que conforme a la ley, se otorgue a los menores para ejercer el comercio y la revocación de las mismas;</w:t>
      </w:r>
    </w:p>
    <w:p w14:paraId="51D73D71" w14:textId="77777777" w:rsidR="00B2442D" w:rsidRDefault="008A645F">
      <w:pPr>
        <w:jc w:val="both"/>
        <w:rPr>
          <w:rFonts w:ascii="Arial" w:hAnsi="Arial" w:cs="Arial"/>
        </w:rPr>
      </w:pPr>
      <w:r>
        <w:rPr>
          <w:rFonts w:ascii="Arial" w:hAnsi="Arial" w:cs="Arial"/>
        </w:rPr>
        <w:t>d) La inscripción de escrituras de constitución y reformas y demás documentos ya inscritos en otra Cámara de Co</w:t>
      </w:r>
      <w:r>
        <w:rPr>
          <w:rFonts w:ascii="Arial" w:hAnsi="Arial" w:cs="Arial"/>
        </w:rPr>
        <w:t>mercio, por razón del cambio de domicilio;</w:t>
      </w:r>
    </w:p>
    <w:p w14:paraId="495D0BF7" w14:textId="77777777" w:rsidR="00B2442D" w:rsidRDefault="008A645F">
      <w:pPr>
        <w:jc w:val="both"/>
        <w:rPr>
          <w:rFonts w:ascii="Arial" w:hAnsi="Arial" w:cs="Arial"/>
        </w:rPr>
      </w:pPr>
      <w:r>
        <w:rPr>
          <w:rFonts w:ascii="Arial" w:hAnsi="Arial" w:cs="Arial"/>
        </w:rPr>
        <w:t>e) La apertura de sucursales y agencias de sociedades colombianas, cuando no impliquen aumentos de capital, y el cierre de las mismas;</w:t>
      </w:r>
    </w:p>
    <w:p w14:paraId="11A0DC7F" w14:textId="77777777" w:rsidR="00B2442D" w:rsidRDefault="008A645F">
      <w:pPr>
        <w:jc w:val="both"/>
        <w:rPr>
          <w:rFonts w:ascii="Arial" w:hAnsi="Arial" w:cs="Arial"/>
        </w:rPr>
      </w:pPr>
      <w:r>
        <w:rPr>
          <w:rFonts w:ascii="Arial" w:hAnsi="Arial" w:cs="Arial"/>
        </w:rPr>
        <w:t xml:space="preserve">g) La inscripción de reformas relativas a la escisión, fusión o </w:t>
      </w:r>
      <w:r>
        <w:rPr>
          <w:rFonts w:ascii="Arial" w:hAnsi="Arial" w:cs="Arial"/>
        </w:rPr>
        <w:t>transformación de sociedades que no impliquen aumentos de capital ni cesión de cuotas o partes de interés;</w:t>
      </w:r>
    </w:p>
    <w:p w14:paraId="6337BED7" w14:textId="77777777" w:rsidR="00B2442D" w:rsidRDefault="008A645F">
      <w:pPr>
        <w:jc w:val="both"/>
        <w:rPr>
          <w:rFonts w:ascii="Arial" w:hAnsi="Arial" w:cs="Arial"/>
        </w:rPr>
      </w:pPr>
      <w:r>
        <w:rPr>
          <w:rFonts w:ascii="Arial" w:hAnsi="Arial" w:cs="Arial"/>
        </w:rPr>
        <w:t>h) Los actos mediante los cuales se restituyen los bienes al fideicomitente;</w:t>
      </w:r>
    </w:p>
    <w:p w14:paraId="6CA11B9D" w14:textId="77777777" w:rsidR="00B2442D" w:rsidRDefault="008A645F">
      <w:pPr>
        <w:jc w:val="both"/>
        <w:rPr>
          <w:rFonts w:ascii="Arial" w:hAnsi="Arial" w:cs="Arial"/>
        </w:rPr>
      </w:pPr>
      <w:r>
        <w:rPr>
          <w:rFonts w:ascii="Arial" w:hAnsi="Arial" w:cs="Arial"/>
        </w:rPr>
        <w:t>i) La constitución del régimen de propiedad horizontal;</w:t>
      </w:r>
    </w:p>
    <w:p w14:paraId="7BAD4A3F" w14:textId="77777777" w:rsidR="00B2442D" w:rsidRDefault="008A645F">
      <w:pPr>
        <w:jc w:val="both"/>
        <w:rPr>
          <w:rFonts w:ascii="Arial" w:hAnsi="Arial" w:cs="Arial"/>
        </w:rPr>
      </w:pPr>
      <w:r>
        <w:rPr>
          <w:rFonts w:ascii="Arial" w:hAnsi="Arial" w:cs="Arial"/>
        </w:rPr>
        <w:t>j) Las capitulac</w:t>
      </w:r>
      <w:r>
        <w:rPr>
          <w:rFonts w:ascii="Arial" w:hAnsi="Arial" w:cs="Arial"/>
        </w:rPr>
        <w:t>iones matrimoniales;</w:t>
      </w:r>
    </w:p>
    <w:p w14:paraId="42064899" w14:textId="77777777" w:rsidR="00B2442D" w:rsidRDefault="008A645F">
      <w:pPr>
        <w:jc w:val="both"/>
        <w:rPr>
          <w:rFonts w:ascii="Arial" w:hAnsi="Arial" w:cs="Arial"/>
        </w:rPr>
      </w:pPr>
      <w:r>
        <w:rPr>
          <w:rFonts w:ascii="Arial" w:hAnsi="Arial" w:cs="Arial"/>
        </w:rPr>
        <w:t>k) La oposición del acreedor del enajenante del establecimiento de comercio a aceptar al adquirente como su deudor;</w:t>
      </w:r>
    </w:p>
    <w:p w14:paraId="061BFD36" w14:textId="77777777" w:rsidR="00B2442D" w:rsidRDefault="008A645F">
      <w:pPr>
        <w:jc w:val="both"/>
        <w:rPr>
          <w:rFonts w:ascii="Arial" w:hAnsi="Arial" w:cs="Arial"/>
        </w:rPr>
      </w:pPr>
      <w:r>
        <w:rPr>
          <w:rFonts w:ascii="Arial" w:hAnsi="Arial" w:cs="Arial"/>
        </w:rPr>
        <w:t>l) La inscripción de prenda abierta sin tenencia o hipoteca abierta;</w:t>
      </w:r>
    </w:p>
    <w:p w14:paraId="7ACDBC1B" w14:textId="77777777" w:rsidR="00B2442D" w:rsidRDefault="008A645F">
      <w:pPr>
        <w:jc w:val="both"/>
        <w:rPr>
          <w:rFonts w:ascii="Arial" w:hAnsi="Arial" w:cs="Arial"/>
        </w:rPr>
      </w:pPr>
      <w:r>
        <w:rPr>
          <w:rFonts w:ascii="Arial" w:hAnsi="Arial" w:cs="Arial"/>
        </w:rPr>
        <w:t xml:space="preserve">m) La cancelación de inscripciones en el </w:t>
      </w:r>
      <w:r>
        <w:rPr>
          <w:rFonts w:ascii="Arial" w:hAnsi="Arial" w:cs="Arial"/>
        </w:rPr>
        <w:t>registro</w:t>
      </w:r>
    </w:p>
    <w:p w14:paraId="41B6608E" w14:textId="77777777" w:rsidR="00B2442D" w:rsidRDefault="008A645F">
      <w:pPr>
        <w:jc w:val="both"/>
        <w:rPr>
          <w:rFonts w:ascii="Arial" w:hAnsi="Arial" w:cs="Arial"/>
        </w:rPr>
      </w:pPr>
      <w:r>
        <w:rPr>
          <w:rFonts w:ascii="Arial" w:hAnsi="Arial" w:cs="Arial"/>
        </w:rPr>
        <w:t>n) la inscripción de las modificaciones y la terminación de los contratos de fiducia mercantil con fines de garantía que consten en documento privado siempre y cuando no impliquen una modificación a los derechos apreciables pecuniariamente incorpo</w:t>
      </w:r>
      <w:r>
        <w:rPr>
          <w:rFonts w:ascii="Arial" w:hAnsi="Arial" w:cs="Arial"/>
        </w:rPr>
        <w:t>rados en el contrato y en favor de particulares</w:t>
      </w:r>
    </w:p>
    <w:p w14:paraId="0CA2EE19" w14:textId="77777777" w:rsidR="00B2442D" w:rsidRDefault="00B2442D">
      <w:pPr>
        <w:jc w:val="both"/>
        <w:rPr>
          <w:rFonts w:ascii="Arial" w:hAnsi="Arial" w:cs="Arial"/>
          <w:i/>
        </w:rPr>
      </w:pPr>
    </w:p>
    <w:p w14:paraId="6194E5A2" w14:textId="77777777" w:rsidR="00B2442D" w:rsidRDefault="008A645F">
      <w:pPr>
        <w:jc w:val="both"/>
        <w:rPr>
          <w:rFonts w:ascii="Arial" w:hAnsi="Arial" w:cs="Arial"/>
          <w:i/>
        </w:rPr>
      </w:pPr>
      <w:r>
        <w:rPr>
          <w:rFonts w:ascii="Arial" w:hAnsi="Arial" w:cs="Arial"/>
          <w:i/>
        </w:rPr>
        <w:t>(Art.6, Decreto 0650 de 1996, adicionado el literal n) por el artículo 2 del Decreto 2785 de 2008, el literal f) fue anulado por Sentencia del cinco (5) de febrero de 1999. Expediente AI-017).</w:t>
      </w:r>
    </w:p>
    <w:p w14:paraId="283A6CAB" w14:textId="77777777" w:rsidR="00B2442D" w:rsidRDefault="00B2442D">
      <w:pPr>
        <w:jc w:val="both"/>
        <w:rPr>
          <w:rFonts w:ascii="Arial" w:hAnsi="Arial" w:cs="Arial"/>
          <w:b/>
        </w:rPr>
      </w:pPr>
    </w:p>
    <w:p w14:paraId="6467966A"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 xml:space="preserve">Contratos de </w:t>
      </w:r>
      <w:r>
        <w:rPr>
          <w:rFonts w:ascii="Arial" w:hAnsi="Arial" w:cs="Arial"/>
          <w:b/>
          <w:i/>
          <w:lang w:val="es-CO"/>
        </w:rPr>
        <w:t>fiducia mercantil.</w:t>
      </w:r>
      <w:r>
        <w:rPr>
          <w:rFonts w:ascii="Arial" w:hAnsi="Arial" w:cs="Arial"/>
          <w:lang w:val="es-CO"/>
        </w:rPr>
        <w:t xml:space="preserve"> En la inscripción de los contratos de fiducia mercantil y encargo fiduciario sobre muebles o inmuebles, el impuesto se liquidará sobre el valor total de la remuneración o comisión pactada.</w:t>
      </w:r>
    </w:p>
    <w:p w14:paraId="7502467B" w14:textId="77777777" w:rsidR="00B2442D" w:rsidRDefault="00B2442D">
      <w:pPr>
        <w:jc w:val="both"/>
        <w:rPr>
          <w:rFonts w:ascii="Arial" w:hAnsi="Arial" w:cs="Arial"/>
        </w:rPr>
      </w:pPr>
    </w:p>
    <w:p w14:paraId="7356E50D" w14:textId="77777777" w:rsidR="00B2442D" w:rsidRDefault="008A645F">
      <w:pPr>
        <w:jc w:val="both"/>
        <w:rPr>
          <w:rFonts w:ascii="Arial" w:hAnsi="Arial" w:cs="Arial"/>
        </w:rPr>
      </w:pPr>
      <w:r>
        <w:rPr>
          <w:rFonts w:ascii="Arial" w:hAnsi="Arial" w:cs="Arial"/>
        </w:rPr>
        <w:t>Cuando la remuneración al fiduciario se pacte m</w:t>
      </w:r>
      <w:r>
        <w:rPr>
          <w:rFonts w:ascii="Arial" w:hAnsi="Arial" w:cs="Arial"/>
        </w:rPr>
        <w:t>ediante pagos periódicos de plazo determinado o determinable, el impuesto se liquidará sobre el valor total de la remuneración que corresponda al tiempo de duración del contrato. Cuando el contrato sea de término indefinido y la remuneración se pacte en cu</w:t>
      </w:r>
      <w:r>
        <w:rPr>
          <w:rFonts w:ascii="Arial" w:hAnsi="Arial" w:cs="Arial"/>
        </w:rPr>
        <w:t>otas periódicas, el impuesto se liquidará sobre el valor de las cuotas que correspondan a veinte (20) años.</w:t>
      </w:r>
    </w:p>
    <w:p w14:paraId="679E140A" w14:textId="77777777" w:rsidR="00B2442D" w:rsidRDefault="00B2442D">
      <w:pPr>
        <w:jc w:val="both"/>
        <w:rPr>
          <w:rFonts w:ascii="Arial" w:hAnsi="Arial" w:cs="Arial"/>
        </w:rPr>
      </w:pPr>
    </w:p>
    <w:p w14:paraId="3673A843" w14:textId="77777777" w:rsidR="00B2442D" w:rsidRDefault="008A645F">
      <w:pPr>
        <w:jc w:val="both"/>
        <w:rPr>
          <w:rFonts w:ascii="Arial" w:hAnsi="Arial" w:cs="Arial"/>
        </w:rPr>
      </w:pPr>
      <w:r>
        <w:rPr>
          <w:rFonts w:ascii="Arial" w:hAnsi="Arial" w:cs="Arial"/>
        </w:rPr>
        <w:t>Cuando la remuneración establecida en el contrato de fiducia mercantil consista en una participación porcentual en el rendimiento del bien entregad</w:t>
      </w:r>
      <w:r>
        <w:rPr>
          <w:rFonts w:ascii="Arial" w:hAnsi="Arial" w:cs="Arial"/>
        </w:rPr>
        <w:t>o en fiducia y no sea posible establecer anticipadamente la cuantía de dicho rendimiento, el rendimiento se calculará, para efectos de la liquidación y pago del impuesto de registro, aplicando al valor del bien el DTF a 31 de diciembre del año anterior, aj</w:t>
      </w:r>
      <w:r>
        <w:rPr>
          <w:rFonts w:ascii="Arial" w:hAnsi="Arial" w:cs="Arial"/>
        </w:rPr>
        <w:t>ustado a la periodicidad pactada.</w:t>
      </w:r>
    </w:p>
    <w:p w14:paraId="0E0AEA02" w14:textId="77777777" w:rsidR="00B2442D" w:rsidRDefault="00B2442D">
      <w:pPr>
        <w:jc w:val="both"/>
        <w:rPr>
          <w:rFonts w:ascii="Arial" w:hAnsi="Arial" w:cs="Arial"/>
        </w:rPr>
      </w:pPr>
    </w:p>
    <w:p w14:paraId="53C01622" w14:textId="77777777" w:rsidR="00B2442D" w:rsidRDefault="008A645F">
      <w:pPr>
        <w:jc w:val="both"/>
        <w:rPr>
          <w:rFonts w:ascii="Arial" w:hAnsi="Arial" w:cs="Arial"/>
        </w:rPr>
      </w:pPr>
      <w:r>
        <w:rPr>
          <w:rFonts w:ascii="Arial" w:hAnsi="Arial" w:cs="Arial"/>
        </w:rPr>
        <w:t>Cuando el objeto del contrato de fiducia sea el arrendamiento de inmuebles y la remuneración del fiduciario consista en un porcentaje del canon de arrendamiento, y el valor del canon no pueda establecerse anticipadamente,</w:t>
      </w:r>
      <w:r>
        <w:rPr>
          <w:rFonts w:ascii="Arial" w:hAnsi="Arial" w:cs="Arial"/>
        </w:rPr>
        <w:t xml:space="preserve"> dicho canon será, para efectos de la liquidación y pago del impuesto de registro, del uno por ciento (1%) mensual del valor del bien.</w:t>
      </w:r>
    </w:p>
    <w:p w14:paraId="0B1DF42A" w14:textId="77777777" w:rsidR="00B2442D" w:rsidRDefault="00B2442D">
      <w:pPr>
        <w:jc w:val="both"/>
        <w:rPr>
          <w:rFonts w:ascii="Arial" w:hAnsi="Arial" w:cs="Arial"/>
        </w:rPr>
      </w:pPr>
    </w:p>
    <w:p w14:paraId="172CB29F" w14:textId="77777777" w:rsidR="00B2442D" w:rsidRDefault="008A645F">
      <w:pPr>
        <w:jc w:val="both"/>
        <w:rPr>
          <w:rFonts w:ascii="Arial" w:hAnsi="Arial" w:cs="Arial"/>
        </w:rPr>
      </w:pPr>
      <w:r>
        <w:rPr>
          <w:rFonts w:ascii="Arial" w:hAnsi="Arial" w:cs="Arial"/>
        </w:rPr>
        <w:t>Para efectos de lo previsto en los incisos 3 y 4 del presente artículo, el valor total de la remuneración del fiduciario</w:t>
      </w:r>
      <w:r>
        <w:rPr>
          <w:rFonts w:ascii="Arial" w:hAnsi="Arial" w:cs="Arial"/>
        </w:rPr>
        <w:t xml:space="preserve"> por el tiempo de duración del contrato será certificado por el revisor fiscal de la entidad.</w:t>
      </w:r>
    </w:p>
    <w:p w14:paraId="28CD3C8E" w14:textId="77777777" w:rsidR="00B2442D" w:rsidRDefault="00B2442D">
      <w:pPr>
        <w:jc w:val="both"/>
        <w:rPr>
          <w:rFonts w:ascii="Arial" w:hAnsi="Arial" w:cs="Arial"/>
        </w:rPr>
      </w:pPr>
    </w:p>
    <w:p w14:paraId="6498CF4D" w14:textId="77777777" w:rsidR="00B2442D" w:rsidRDefault="008A645F">
      <w:pPr>
        <w:jc w:val="both"/>
        <w:rPr>
          <w:rFonts w:ascii="Arial" w:hAnsi="Arial" w:cs="Arial"/>
        </w:rPr>
      </w:pPr>
      <w:r>
        <w:rPr>
          <w:rFonts w:ascii="Arial" w:hAnsi="Arial" w:cs="Arial"/>
        </w:rPr>
        <w:t>Si en desarrollo del contrato de fiducia mercantil los bienes objeto de la fiducia se transfieren a un tercero, aun en el caso de que sea heredero o legatario de</w:t>
      </w:r>
      <w:r>
        <w:rPr>
          <w:rFonts w:ascii="Arial" w:hAnsi="Arial" w:cs="Arial"/>
        </w:rPr>
        <w:t>l fideicomitente, el impuesto se liquidará sobre el valor de los bienes que se transfieren o entregan. Cuando se trate de inmuebles, se respetará la base gravable mínima establecida en el inciso cuarto del artículo 229 de la Ley 223 de 1995.</w:t>
      </w:r>
    </w:p>
    <w:p w14:paraId="5555B442" w14:textId="77777777" w:rsidR="00B2442D" w:rsidRDefault="00B2442D">
      <w:pPr>
        <w:jc w:val="both"/>
        <w:rPr>
          <w:rFonts w:ascii="Arial" w:hAnsi="Arial" w:cs="Arial"/>
          <w:i/>
        </w:rPr>
      </w:pPr>
    </w:p>
    <w:p w14:paraId="53F12869" w14:textId="77777777" w:rsidR="00B2442D" w:rsidRDefault="008A645F">
      <w:pPr>
        <w:jc w:val="both"/>
        <w:rPr>
          <w:rFonts w:ascii="Arial" w:hAnsi="Arial" w:cs="Arial"/>
          <w:i/>
        </w:rPr>
      </w:pPr>
      <w:r>
        <w:rPr>
          <w:rFonts w:ascii="Arial" w:hAnsi="Arial" w:cs="Arial"/>
          <w:i/>
        </w:rPr>
        <w:t>(Art.7, Decre</w:t>
      </w:r>
      <w:r>
        <w:rPr>
          <w:rFonts w:ascii="Arial" w:hAnsi="Arial" w:cs="Arial"/>
          <w:i/>
        </w:rPr>
        <w:t>to 0650 de 1996)</w:t>
      </w:r>
    </w:p>
    <w:p w14:paraId="65A81537" w14:textId="77777777" w:rsidR="00B2442D" w:rsidRDefault="00B2442D">
      <w:pPr>
        <w:jc w:val="both"/>
        <w:rPr>
          <w:rFonts w:ascii="Arial" w:hAnsi="Arial" w:cs="Arial"/>
        </w:rPr>
      </w:pPr>
    </w:p>
    <w:p w14:paraId="7C42CD59"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Base gravable en la inscripción de contratos de constitución o reforma de sociedades y otros actos.</w:t>
      </w:r>
      <w:r>
        <w:rPr>
          <w:rFonts w:ascii="Arial" w:hAnsi="Arial" w:cs="Arial"/>
          <w:lang w:val="es-CO"/>
        </w:rPr>
        <w:t xml:space="preserve"> Para los actos, contratos o negocios jurídicos que se relacionan a continuación, el impuesto de registro se liquidará así:</w:t>
      </w:r>
    </w:p>
    <w:p w14:paraId="29CCBE87" w14:textId="77777777" w:rsidR="00B2442D" w:rsidRDefault="00B2442D">
      <w:pPr>
        <w:jc w:val="both"/>
        <w:rPr>
          <w:rFonts w:ascii="Arial" w:hAnsi="Arial" w:cs="Arial"/>
        </w:rPr>
      </w:pPr>
    </w:p>
    <w:p w14:paraId="2EB609CD" w14:textId="77777777" w:rsidR="00B2442D" w:rsidRDefault="008A645F">
      <w:pPr>
        <w:jc w:val="both"/>
        <w:rPr>
          <w:rFonts w:ascii="Arial" w:hAnsi="Arial" w:cs="Arial"/>
        </w:rPr>
      </w:pPr>
      <w:r>
        <w:rPr>
          <w:rFonts w:ascii="Arial" w:hAnsi="Arial" w:cs="Arial"/>
        </w:rPr>
        <w:t xml:space="preserve">a) En la </w:t>
      </w:r>
      <w:r>
        <w:rPr>
          <w:rFonts w:ascii="Arial" w:hAnsi="Arial" w:cs="Arial"/>
        </w:rPr>
        <w:t>inscripción del documento de constitución de sociedades anónimas e instituciones financieras y sus asimiladas, el impuesto se liquidará sobre el valor del capital suscrito. Si se trata de constitución de sociedades limitadas o asimiladas o de empresas unip</w:t>
      </w:r>
      <w:r>
        <w:rPr>
          <w:rFonts w:ascii="Arial" w:hAnsi="Arial" w:cs="Arial"/>
        </w:rPr>
        <w:t>ersonales, el impuesto se liquidará sobre el valor del capital social o del patrimonio asignado, en cada caso.</w:t>
      </w:r>
    </w:p>
    <w:p w14:paraId="18A2BF43" w14:textId="77777777" w:rsidR="00B2442D" w:rsidRDefault="00B2442D">
      <w:pPr>
        <w:jc w:val="both"/>
        <w:rPr>
          <w:rFonts w:ascii="Arial" w:hAnsi="Arial" w:cs="Arial"/>
        </w:rPr>
      </w:pPr>
    </w:p>
    <w:p w14:paraId="36903340" w14:textId="77777777" w:rsidR="00B2442D" w:rsidRDefault="008A645F">
      <w:pPr>
        <w:jc w:val="both"/>
        <w:rPr>
          <w:rFonts w:ascii="Arial" w:hAnsi="Arial" w:cs="Arial"/>
        </w:rPr>
      </w:pPr>
      <w:r>
        <w:rPr>
          <w:rFonts w:ascii="Arial" w:hAnsi="Arial" w:cs="Arial"/>
        </w:rPr>
        <w:t>Cuando se trate de la inscripción de escrituras de constitución o reformas de sociedades y la sociedad tenga una o más sucursales en jurisdicció</w:t>
      </w:r>
      <w:r>
        <w:rPr>
          <w:rFonts w:ascii="Arial" w:hAnsi="Arial" w:cs="Arial"/>
        </w:rPr>
        <w:t>n de diferentes departamentos, el impuesto se liquidará y recaudará en el departamento donde esté el domicilio principal. La copia o fotocopia auténtica, el recibo expedido por la entidad recaudadora, que acredita el pago del impuesto, se anexará a las sol</w:t>
      </w:r>
      <w:r>
        <w:rPr>
          <w:rFonts w:ascii="Arial" w:hAnsi="Arial" w:cs="Arial"/>
        </w:rPr>
        <w:t>icitudes de inscripción en el registro, que por ley deban realizarse en jurisdicción de otros departamentos.</w:t>
      </w:r>
    </w:p>
    <w:p w14:paraId="550AE3C8" w14:textId="77777777" w:rsidR="00B2442D" w:rsidRDefault="00B2442D">
      <w:pPr>
        <w:jc w:val="both"/>
        <w:rPr>
          <w:rFonts w:ascii="Arial" w:hAnsi="Arial" w:cs="Arial"/>
        </w:rPr>
      </w:pPr>
    </w:p>
    <w:p w14:paraId="1DD15F14" w14:textId="77777777" w:rsidR="00B2442D" w:rsidRDefault="008A645F">
      <w:pPr>
        <w:jc w:val="both"/>
        <w:rPr>
          <w:rFonts w:ascii="Arial" w:hAnsi="Arial" w:cs="Arial"/>
        </w:rPr>
      </w:pPr>
      <w:r>
        <w:rPr>
          <w:rFonts w:ascii="Arial" w:hAnsi="Arial" w:cs="Arial"/>
        </w:rPr>
        <w:t>En caso del simple cambio de jurisdicción sobre hechos gravables que ya cumplieron con el pago del impuesto de registro, no habrá lugar a un nuevo</w:t>
      </w:r>
      <w:r>
        <w:rPr>
          <w:rFonts w:ascii="Arial" w:hAnsi="Arial" w:cs="Arial"/>
        </w:rPr>
        <w:t xml:space="preserve"> pago;</w:t>
      </w:r>
    </w:p>
    <w:p w14:paraId="04393991" w14:textId="77777777" w:rsidR="00B2442D" w:rsidRDefault="00B2442D">
      <w:pPr>
        <w:jc w:val="both"/>
        <w:rPr>
          <w:rFonts w:ascii="Arial" w:hAnsi="Arial" w:cs="Arial"/>
        </w:rPr>
      </w:pPr>
    </w:p>
    <w:p w14:paraId="2262251A" w14:textId="77777777" w:rsidR="00B2442D" w:rsidRDefault="008A645F">
      <w:pPr>
        <w:jc w:val="both"/>
        <w:rPr>
          <w:rFonts w:ascii="Arial" w:hAnsi="Arial" w:cs="Arial"/>
        </w:rPr>
      </w:pPr>
      <w:r>
        <w:rPr>
          <w:rFonts w:ascii="Arial" w:hAnsi="Arial" w:cs="Arial"/>
        </w:rPr>
        <w:t>b) En la inscripción del documento sobre aumento de capital social, el impuesto se liquidará sobre el valor del respectivo aumento de capital</w:t>
      </w:r>
    </w:p>
    <w:p w14:paraId="2A361D7B" w14:textId="77777777" w:rsidR="00B2442D" w:rsidRDefault="00B2442D">
      <w:pPr>
        <w:jc w:val="both"/>
        <w:rPr>
          <w:rFonts w:ascii="Arial" w:hAnsi="Arial" w:cs="Arial"/>
        </w:rPr>
      </w:pPr>
    </w:p>
    <w:p w14:paraId="7915B2A6" w14:textId="77777777" w:rsidR="00B2442D" w:rsidRDefault="008A645F">
      <w:pPr>
        <w:jc w:val="both"/>
        <w:rPr>
          <w:rFonts w:ascii="Arial" w:hAnsi="Arial" w:cs="Arial"/>
        </w:rPr>
      </w:pPr>
      <w:r>
        <w:rPr>
          <w:rFonts w:ascii="Arial" w:hAnsi="Arial" w:cs="Arial"/>
        </w:rPr>
        <w:t>c) En el caso de inscripción de documentos de constitución de sociedades, instituciones financieras y sus</w:t>
      </w:r>
      <w:r>
        <w:rPr>
          <w:rFonts w:ascii="Arial" w:hAnsi="Arial" w:cs="Arial"/>
        </w:rPr>
        <w:t xml:space="preserve"> asimiladas, en los cuales participen entidades públicas y particulares, el impuesto se liquidará sobre la proporción del capital suscrito o del capital social, según el caso, que corresponda a los particulares. Cuando se trate de inscripción de documentos</w:t>
      </w:r>
      <w:r>
        <w:rPr>
          <w:rFonts w:ascii="Arial" w:hAnsi="Arial" w:cs="Arial"/>
        </w:rPr>
        <w:t xml:space="preserve"> de aumento de capital suscrito o aumento de capital social, la base gravable está constituida por el valor del respectivo aumento, en la proporción que corresponda a los particulares.</w:t>
      </w:r>
    </w:p>
    <w:p w14:paraId="507388A2" w14:textId="77777777" w:rsidR="00B2442D" w:rsidRDefault="00B2442D">
      <w:pPr>
        <w:jc w:val="both"/>
        <w:rPr>
          <w:rFonts w:ascii="Arial" w:hAnsi="Arial" w:cs="Arial"/>
        </w:rPr>
      </w:pPr>
    </w:p>
    <w:p w14:paraId="7B4D9247" w14:textId="77777777" w:rsidR="00B2442D" w:rsidRDefault="008A645F">
      <w:pPr>
        <w:jc w:val="both"/>
        <w:rPr>
          <w:rFonts w:ascii="Arial" w:hAnsi="Arial" w:cs="Arial"/>
        </w:rPr>
      </w:pPr>
      <w:r>
        <w:rPr>
          <w:rFonts w:ascii="Arial" w:hAnsi="Arial" w:cs="Arial"/>
        </w:rPr>
        <w:t>Para efectos de determinar correctamente la base gravable, deberá acre</w:t>
      </w:r>
      <w:r>
        <w:rPr>
          <w:rFonts w:ascii="Arial" w:hAnsi="Arial" w:cs="Arial"/>
        </w:rPr>
        <w:t>ditarse por el solicitante, ante la respectiva Cámara de Comercio, Oficina de Registro de Instrumentos Públicos o Departamento, según el caso, el porcentaje de capital suscrito o social, o el porcentaje del aumento de capital suscrito o social, que corresp</w:t>
      </w:r>
      <w:r>
        <w:rPr>
          <w:rFonts w:ascii="Arial" w:hAnsi="Arial" w:cs="Arial"/>
        </w:rPr>
        <w:t>onda tanto a la entidad o entidades públicas como a los particulares, mediante certificación suscrita por el Revisor Fiscal o por el representante legal;</w:t>
      </w:r>
    </w:p>
    <w:p w14:paraId="69F1AF6B" w14:textId="77777777" w:rsidR="00B2442D" w:rsidRDefault="00B2442D">
      <w:pPr>
        <w:jc w:val="both"/>
        <w:rPr>
          <w:rFonts w:ascii="Arial" w:hAnsi="Arial" w:cs="Arial"/>
        </w:rPr>
      </w:pPr>
    </w:p>
    <w:p w14:paraId="77E37F00" w14:textId="77777777" w:rsidR="00B2442D" w:rsidRDefault="008A645F">
      <w:pPr>
        <w:jc w:val="both"/>
        <w:rPr>
          <w:rFonts w:ascii="Arial" w:hAnsi="Arial" w:cs="Arial"/>
        </w:rPr>
      </w:pPr>
      <w:r>
        <w:rPr>
          <w:rFonts w:ascii="Arial" w:hAnsi="Arial" w:cs="Arial"/>
        </w:rPr>
        <w:t>d) En la inscripción de documentos de cesión de cuotas o partes de interés, la base gravable está con</w:t>
      </w:r>
      <w:r>
        <w:rPr>
          <w:rFonts w:ascii="Arial" w:hAnsi="Arial" w:cs="Arial"/>
        </w:rPr>
        <w:t>stituida por el ciento por ciento (100%) del valor de la cesión. Cuando la cesión se haga entre una entidad pública y un particular, el impuesto se liquidará sobre el cincuenta por ciento (50%) del valor de la cesión y estará a cargo del particular. Cuando</w:t>
      </w:r>
      <w:r>
        <w:rPr>
          <w:rFonts w:ascii="Arial" w:hAnsi="Arial" w:cs="Arial"/>
        </w:rPr>
        <w:t xml:space="preserve"> la cesión se efectúe entre entidades públicas, la inscripción estará excluida del impuesto de registro;</w:t>
      </w:r>
    </w:p>
    <w:p w14:paraId="6D8C08C0" w14:textId="77777777" w:rsidR="00B2442D" w:rsidRDefault="00B2442D">
      <w:pPr>
        <w:jc w:val="both"/>
        <w:rPr>
          <w:rFonts w:ascii="Arial" w:hAnsi="Arial" w:cs="Arial"/>
        </w:rPr>
      </w:pPr>
    </w:p>
    <w:p w14:paraId="3038A15E" w14:textId="77777777" w:rsidR="00B2442D" w:rsidRDefault="008A645F">
      <w:pPr>
        <w:jc w:val="both"/>
        <w:rPr>
          <w:rFonts w:ascii="Arial" w:hAnsi="Arial" w:cs="Arial"/>
        </w:rPr>
      </w:pPr>
      <w:r>
        <w:rPr>
          <w:rFonts w:ascii="Arial" w:hAnsi="Arial" w:cs="Arial"/>
        </w:rPr>
        <w:t>e) En la inscripción de actos o contratos relativos a la escisión, fusión y transformación de sociedades en las que se produzca aumento de capital o c</w:t>
      </w:r>
      <w:r>
        <w:rPr>
          <w:rFonts w:ascii="Arial" w:hAnsi="Arial" w:cs="Arial"/>
        </w:rPr>
        <w:t>esión de cuotas o partes de interés, la tarifa del impuesto se aplicará sobre el respectivo aumento de capital o el valor de la respectiva cesión según el caso;</w:t>
      </w:r>
    </w:p>
    <w:p w14:paraId="0793511E" w14:textId="77777777" w:rsidR="00B2442D" w:rsidRDefault="00B2442D">
      <w:pPr>
        <w:jc w:val="both"/>
        <w:rPr>
          <w:rFonts w:ascii="Arial" w:hAnsi="Arial" w:cs="Arial"/>
        </w:rPr>
      </w:pPr>
    </w:p>
    <w:p w14:paraId="399BA7B1" w14:textId="77777777" w:rsidR="00B2442D" w:rsidRDefault="008A645F">
      <w:pPr>
        <w:jc w:val="both"/>
        <w:rPr>
          <w:rFonts w:ascii="Arial" w:hAnsi="Arial" w:cs="Arial"/>
        </w:rPr>
      </w:pPr>
      <w:r>
        <w:rPr>
          <w:rFonts w:ascii="Arial" w:hAnsi="Arial" w:cs="Arial"/>
        </w:rPr>
        <w:t>f) Respecto de la inscripción de providencias judiciales o administrativas que incorporen un d</w:t>
      </w:r>
      <w:r>
        <w:rPr>
          <w:rFonts w:ascii="Arial" w:hAnsi="Arial" w:cs="Arial"/>
        </w:rPr>
        <w:t>erecho apreciable pecuniariamente en favor de una o varias personas, tales como las providencias de remate y adjudicación de bienes, la tarifa del impuesto se aplicará sobre el valor del remate o adjudicación del bien. Para tal efecto, el interesado adjunt</w:t>
      </w:r>
      <w:r>
        <w:rPr>
          <w:rFonts w:ascii="Arial" w:hAnsi="Arial" w:cs="Arial"/>
        </w:rPr>
        <w:t>ará a la providencia, el acta aprobatoria del remate y la providencia aprobatoria del mismo;</w:t>
      </w:r>
    </w:p>
    <w:p w14:paraId="237D0932" w14:textId="77777777" w:rsidR="00B2442D" w:rsidRDefault="00B2442D">
      <w:pPr>
        <w:jc w:val="both"/>
        <w:rPr>
          <w:rFonts w:ascii="Arial" w:hAnsi="Arial" w:cs="Arial"/>
        </w:rPr>
      </w:pPr>
    </w:p>
    <w:p w14:paraId="0ED6791E" w14:textId="77777777" w:rsidR="00B2442D" w:rsidRDefault="008A645F">
      <w:pPr>
        <w:jc w:val="both"/>
        <w:rPr>
          <w:rFonts w:ascii="Arial" w:hAnsi="Arial" w:cs="Arial"/>
        </w:rPr>
      </w:pPr>
      <w:r>
        <w:rPr>
          <w:rFonts w:ascii="Arial" w:hAnsi="Arial" w:cs="Arial"/>
        </w:rPr>
        <w:t>g) En la inscripción de la venta con reserva de dominio y, en los contratos accesorios de hipoteca y de prenda cerrada sin tenencia, el impuesto se liquidará sobr</w:t>
      </w:r>
      <w:r>
        <w:rPr>
          <w:rFonts w:ascii="Arial" w:hAnsi="Arial" w:cs="Arial"/>
        </w:rPr>
        <w:t>e el valor del contrato principal cuando éste se encuentre sujeto a registro y el contrato accesorio se haga constar conjuntamente con el principal. Si el contrato principal no está sujeto a registro, el impuesto se liquidará sobre el valor garantizado.</w:t>
      </w:r>
    </w:p>
    <w:p w14:paraId="54F11EFB" w14:textId="77777777" w:rsidR="00B2442D" w:rsidRDefault="00B2442D">
      <w:pPr>
        <w:jc w:val="both"/>
        <w:rPr>
          <w:rFonts w:ascii="Arial" w:hAnsi="Arial" w:cs="Arial"/>
        </w:rPr>
      </w:pPr>
    </w:p>
    <w:p w14:paraId="413E6E08" w14:textId="77777777" w:rsidR="00B2442D" w:rsidRDefault="008A645F">
      <w:pPr>
        <w:jc w:val="both"/>
        <w:rPr>
          <w:rFonts w:ascii="Arial" w:hAnsi="Arial" w:cs="Arial"/>
        </w:rPr>
      </w:pPr>
      <w:r>
        <w:rPr>
          <w:rFonts w:ascii="Arial" w:hAnsi="Arial" w:cs="Arial"/>
        </w:rPr>
        <w:t>C</w:t>
      </w:r>
      <w:r>
        <w:rPr>
          <w:rFonts w:ascii="Arial" w:hAnsi="Arial" w:cs="Arial"/>
        </w:rPr>
        <w:t>uando los bienes muebles materia de la prenda o de la reserva de dominio, estén ubicados en la jurisdicción de diferentes departamentos, la liquidación y pago del impuesto se efectuará en el departamento del domicilio principal del deudor. La copia o fotoc</w:t>
      </w:r>
      <w:r>
        <w:rPr>
          <w:rFonts w:ascii="Arial" w:hAnsi="Arial" w:cs="Arial"/>
        </w:rPr>
        <w:t>opia auténtica del recibo expedido por la entidad recaudadora, que acredita el pago del impuesto, se anexará a las solicitudes de inscripción que por ley deban realizarse en jurisdicción de otros departamentos;</w:t>
      </w:r>
    </w:p>
    <w:p w14:paraId="1310037F" w14:textId="77777777" w:rsidR="00B2442D" w:rsidRDefault="00B2442D">
      <w:pPr>
        <w:jc w:val="both"/>
        <w:rPr>
          <w:rFonts w:ascii="Arial" w:hAnsi="Arial" w:cs="Arial"/>
        </w:rPr>
      </w:pPr>
    </w:p>
    <w:p w14:paraId="6862E9C3" w14:textId="77777777" w:rsidR="00B2442D" w:rsidRDefault="008A645F">
      <w:pPr>
        <w:jc w:val="both"/>
        <w:rPr>
          <w:rFonts w:ascii="Arial" w:hAnsi="Arial" w:cs="Arial"/>
        </w:rPr>
      </w:pPr>
      <w:r>
        <w:rPr>
          <w:rFonts w:ascii="Arial" w:hAnsi="Arial" w:cs="Arial"/>
        </w:rPr>
        <w:t xml:space="preserve">h) A las empresas asociativas de trabajo se </w:t>
      </w:r>
      <w:r>
        <w:rPr>
          <w:rFonts w:ascii="Arial" w:hAnsi="Arial" w:cs="Arial"/>
        </w:rPr>
        <w:t>les aplicará, en lo pertinente, lo dispuesto para las sociedades y la base gravable estará constituida por los aportes de capital;</w:t>
      </w:r>
    </w:p>
    <w:p w14:paraId="35AEDABF" w14:textId="77777777" w:rsidR="00B2442D" w:rsidRDefault="00B2442D">
      <w:pPr>
        <w:jc w:val="both"/>
        <w:rPr>
          <w:rFonts w:ascii="Arial" w:hAnsi="Arial" w:cs="Arial"/>
        </w:rPr>
      </w:pPr>
    </w:p>
    <w:p w14:paraId="100AA35D" w14:textId="77777777" w:rsidR="00B2442D" w:rsidRDefault="008A645F">
      <w:pPr>
        <w:jc w:val="both"/>
        <w:rPr>
          <w:rFonts w:ascii="Arial" w:hAnsi="Arial" w:cs="Arial"/>
        </w:rPr>
      </w:pPr>
      <w:r>
        <w:rPr>
          <w:rFonts w:ascii="Arial" w:hAnsi="Arial" w:cs="Arial"/>
        </w:rPr>
        <w:t>i) A las empresas unipersonales se les aplicará en lo pertinente, lo dispuesto para las sociedades de responsabilidad limita</w:t>
      </w:r>
      <w:r>
        <w:rPr>
          <w:rFonts w:ascii="Arial" w:hAnsi="Arial" w:cs="Arial"/>
        </w:rPr>
        <w:t>da.</w:t>
      </w:r>
    </w:p>
    <w:p w14:paraId="0329CF53" w14:textId="77777777" w:rsidR="00B2442D" w:rsidRDefault="00B2442D">
      <w:pPr>
        <w:jc w:val="both"/>
        <w:rPr>
          <w:rFonts w:ascii="Arial" w:hAnsi="Arial" w:cs="Arial"/>
          <w:i/>
        </w:rPr>
      </w:pPr>
    </w:p>
    <w:p w14:paraId="760360E4" w14:textId="77777777" w:rsidR="00B2442D" w:rsidRDefault="008A645F">
      <w:pPr>
        <w:jc w:val="both"/>
        <w:rPr>
          <w:rFonts w:ascii="Arial" w:hAnsi="Arial" w:cs="Arial"/>
          <w:i/>
        </w:rPr>
      </w:pPr>
      <w:r>
        <w:rPr>
          <w:rFonts w:ascii="Arial" w:hAnsi="Arial" w:cs="Arial"/>
          <w:i/>
        </w:rPr>
        <w:t>(Art.8, Decreto 0650 de 1996, aparte del literal b) anulado en Sentencia 8705 de 04 de septiembre de 1998, antiguo literal h) anulado por el Consejo de Estado en Sentencia AI-017 del cinco de febrero de 1999, se ajustan los literales posteriores)</w:t>
      </w:r>
    </w:p>
    <w:p w14:paraId="7AA8FE71" w14:textId="77777777" w:rsidR="00B2442D" w:rsidRDefault="00B2442D">
      <w:pPr>
        <w:jc w:val="both"/>
        <w:rPr>
          <w:rFonts w:ascii="Arial" w:hAnsi="Arial" w:cs="Arial"/>
        </w:rPr>
      </w:pPr>
    </w:p>
    <w:p w14:paraId="4036304F"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Tarifa del impuesto para los actos, contratos o negocios jurídicos con cuantía.</w:t>
      </w:r>
      <w:r>
        <w:rPr>
          <w:rFonts w:ascii="Arial" w:hAnsi="Arial" w:cs="Arial"/>
          <w:lang w:val="es-CO"/>
        </w:rPr>
        <w:t xml:space="preserve"> Todos los actos, contratos o negocios jurídicos con cuantía sujetos al impuesto de registro, que deban registrarse en las oficinas de Registro de Instrumentos Públicos, estarán</w:t>
      </w:r>
      <w:r>
        <w:rPr>
          <w:rFonts w:ascii="Arial" w:hAnsi="Arial" w:cs="Arial"/>
          <w:lang w:val="es-CO"/>
        </w:rPr>
        <w:t xml:space="preserve"> gravados a tarifas entre el 0.5% y el 1%, determinadas por la respectiva asamblea departamental, a iniciativa del Gobernador.</w:t>
      </w:r>
    </w:p>
    <w:p w14:paraId="79E818E4" w14:textId="77777777" w:rsidR="00B2442D" w:rsidRDefault="00B2442D">
      <w:pPr>
        <w:jc w:val="both"/>
        <w:rPr>
          <w:rFonts w:ascii="Arial" w:hAnsi="Arial" w:cs="Arial"/>
        </w:rPr>
      </w:pPr>
    </w:p>
    <w:p w14:paraId="580FECFF" w14:textId="77777777" w:rsidR="00B2442D" w:rsidRDefault="008A645F">
      <w:pPr>
        <w:jc w:val="both"/>
        <w:rPr>
          <w:rFonts w:ascii="Arial" w:hAnsi="Arial" w:cs="Arial"/>
        </w:rPr>
      </w:pPr>
      <w:r>
        <w:rPr>
          <w:rFonts w:ascii="Arial" w:hAnsi="Arial" w:cs="Arial"/>
        </w:rPr>
        <w:t>Igualmente, todos los actos, contratos o negocios jurídicos con cuantía sujetos al impuesto de registro, que deban registrarse e</w:t>
      </w:r>
      <w:r>
        <w:rPr>
          <w:rFonts w:ascii="Arial" w:hAnsi="Arial" w:cs="Arial"/>
        </w:rPr>
        <w:t>n Cámaras de Comercio, estarán gravados a tarifas entre el 0.3% y el 0.7%, determinadas por la respectiva asamblea departamental a iniciativa del Gobernador.</w:t>
      </w:r>
    </w:p>
    <w:p w14:paraId="7603CA60" w14:textId="77777777" w:rsidR="00B2442D" w:rsidRDefault="00B2442D">
      <w:pPr>
        <w:jc w:val="both"/>
        <w:rPr>
          <w:rFonts w:ascii="Arial" w:hAnsi="Arial" w:cs="Arial"/>
          <w:i/>
        </w:rPr>
      </w:pPr>
    </w:p>
    <w:p w14:paraId="0A77B99E" w14:textId="77777777" w:rsidR="00B2442D" w:rsidRDefault="008A645F">
      <w:pPr>
        <w:jc w:val="both"/>
        <w:rPr>
          <w:rFonts w:ascii="Arial" w:hAnsi="Arial" w:cs="Arial"/>
          <w:i/>
        </w:rPr>
      </w:pPr>
      <w:r>
        <w:rPr>
          <w:rFonts w:ascii="Arial" w:hAnsi="Arial" w:cs="Arial"/>
          <w:i/>
        </w:rPr>
        <w:t>(Art.9, Decreto 0650 de 1996)</w:t>
      </w:r>
    </w:p>
    <w:p w14:paraId="2E1895E0" w14:textId="77777777" w:rsidR="00B2442D" w:rsidRDefault="00B2442D">
      <w:pPr>
        <w:jc w:val="both"/>
        <w:rPr>
          <w:rFonts w:ascii="Arial" w:hAnsi="Arial" w:cs="Arial"/>
          <w:b/>
        </w:rPr>
      </w:pPr>
    </w:p>
    <w:p w14:paraId="003A840D"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Impuesto de registro sobre actos, contratos o negocios jurídicos q</w:t>
      </w:r>
      <w:r>
        <w:rPr>
          <w:rFonts w:ascii="Arial" w:hAnsi="Arial" w:cs="Arial"/>
          <w:b/>
          <w:i/>
          <w:lang w:val="es-CO"/>
        </w:rPr>
        <w:t>ue deban registrarse tanto en las Oficinas de Registro de Instrumentos Públicos como en Cámaras de Comercio.</w:t>
      </w:r>
      <w:r>
        <w:rPr>
          <w:rFonts w:ascii="Arial" w:hAnsi="Arial" w:cs="Arial"/>
          <w:lang w:val="es-CO"/>
        </w:rPr>
        <w:t xml:space="preserve"> Cuando los actos, contratos o negocios jurídicos deban registrarse tanto en Oficinas de Registro de Instrumentos Públicos como en Cámaras de Comerc</w:t>
      </w:r>
      <w:r>
        <w:rPr>
          <w:rFonts w:ascii="Arial" w:hAnsi="Arial" w:cs="Arial"/>
          <w:lang w:val="es-CO"/>
        </w:rPr>
        <w:t>io, la totalidad del impuesto se generará en la instancia de inscripción en la Oficina de Registro de Instrumentos Públicos, sobre el total de la base gravable definida en el artículo 229 de la Ley 223 de 1995.</w:t>
      </w:r>
    </w:p>
    <w:p w14:paraId="5FE899BF" w14:textId="77777777" w:rsidR="00B2442D" w:rsidRDefault="00B2442D">
      <w:pPr>
        <w:jc w:val="both"/>
        <w:rPr>
          <w:rFonts w:ascii="Arial" w:hAnsi="Arial" w:cs="Arial"/>
        </w:rPr>
      </w:pPr>
    </w:p>
    <w:p w14:paraId="795F28F9" w14:textId="77777777" w:rsidR="00B2442D" w:rsidRDefault="008A645F">
      <w:pPr>
        <w:jc w:val="both"/>
        <w:rPr>
          <w:rFonts w:ascii="Arial" w:hAnsi="Arial" w:cs="Arial"/>
        </w:rPr>
      </w:pPr>
      <w:r>
        <w:rPr>
          <w:rFonts w:ascii="Arial" w:hAnsi="Arial" w:cs="Arial"/>
        </w:rPr>
        <w:t>En el caso previsto en el inciso anterior, e</w:t>
      </w:r>
      <w:r>
        <w:rPr>
          <w:rFonts w:ascii="Arial" w:hAnsi="Arial" w:cs="Arial"/>
        </w:rPr>
        <w:t>l impuesto será liquidado y recaudado por las Oficinas de Registro de Instrumentos Públicos.</w:t>
      </w:r>
    </w:p>
    <w:p w14:paraId="52B3D8F5" w14:textId="77777777" w:rsidR="00B2442D" w:rsidRDefault="00B2442D">
      <w:pPr>
        <w:jc w:val="both"/>
        <w:rPr>
          <w:rFonts w:ascii="Arial" w:hAnsi="Arial" w:cs="Arial"/>
          <w:i/>
        </w:rPr>
      </w:pPr>
    </w:p>
    <w:p w14:paraId="58971C9F" w14:textId="77777777" w:rsidR="00B2442D" w:rsidRDefault="008A645F">
      <w:pPr>
        <w:jc w:val="both"/>
        <w:rPr>
          <w:rFonts w:ascii="Arial" w:hAnsi="Arial" w:cs="Arial"/>
          <w:i/>
        </w:rPr>
      </w:pPr>
      <w:r>
        <w:rPr>
          <w:rFonts w:ascii="Arial" w:hAnsi="Arial" w:cs="Arial"/>
          <w:i/>
        </w:rPr>
        <w:t>(Art.10, Decreto 0650 de 1996)</w:t>
      </w:r>
    </w:p>
    <w:p w14:paraId="3831F600" w14:textId="77777777" w:rsidR="00B2442D" w:rsidRDefault="00B2442D">
      <w:pPr>
        <w:jc w:val="both"/>
        <w:rPr>
          <w:rFonts w:ascii="Arial" w:hAnsi="Arial" w:cs="Arial"/>
        </w:rPr>
      </w:pPr>
    </w:p>
    <w:p w14:paraId="6FB7299A"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Liquidación y recaudo del impuesto.</w:t>
      </w:r>
      <w:r>
        <w:rPr>
          <w:rFonts w:ascii="Arial" w:hAnsi="Arial" w:cs="Arial"/>
          <w:i/>
          <w:lang w:val="es-CO"/>
        </w:rPr>
        <w:t xml:space="preserve"> </w:t>
      </w:r>
      <w:r>
        <w:rPr>
          <w:rFonts w:ascii="Arial" w:hAnsi="Arial" w:cs="Arial"/>
          <w:lang w:val="es-CO"/>
        </w:rPr>
        <w:t xml:space="preserve">De conformidad con lo dispuesto en el artículo 233 de la Ley 223 de 1995, los </w:t>
      </w:r>
      <w:r>
        <w:rPr>
          <w:rFonts w:ascii="Arial" w:hAnsi="Arial" w:cs="Arial"/>
          <w:lang w:val="es-CO"/>
        </w:rPr>
        <w:t>departamentos deben elegir entre el sistema de liquidación y recaudo del impuesto de registro por las Oficinas de Registro de Instrumentos Públicos y las Cámaras de Comercio, de un lado, y el sistema de liquidación y recaudo por el Departamento, de otro. E</w:t>
      </w:r>
      <w:r>
        <w:rPr>
          <w:rFonts w:ascii="Arial" w:hAnsi="Arial" w:cs="Arial"/>
          <w:lang w:val="es-CO"/>
        </w:rPr>
        <w:t>n los actos administrativos de los respectivos departamentos deberá precisarse el sistema elegido.</w:t>
      </w:r>
    </w:p>
    <w:p w14:paraId="60C3DD59" w14:textId="77777777" w:rsidR="00B2442D" w:rsidRDefault="00B2442D">
      <w:pPr>
        <w:jc w:val="both"/>
        <w:rPr>
          <w:rFonts w:ascii="Arial" w:hAnsi="Arial" w:cs="Arial"/>
        </w:rPr>
      </w:pPr>
    </w:p>
    <w:p w14:paraId="550F8875" w14:textId="77777777" w:rsidR="00B2442D" w:rsidRDefault="008A645F">
      <w:pPr>
        <w:jc w:val="both"/>
        <w:rPr>
          <w:rFonts w:ascii="Arial" w:hAnsi="Arial" w:cs="Arial"/>
        </w:rPr>
      </w:pPr>
      <w:r>
        <w:rPr>
          <w:rFonts w:ascii="Arial" w:hAnsi="Arial" w:cs="Arial"/>
        </w:rPr>
        <w:t>Los departamentos que en la actualidad estén utilizando los dos sistemas, deberán tomar inmediatamente, las medidas conducentes para ajustarse a lo dispuest</w:t>
      </w:r>
      <w:r>
        <w:rPr>
          <w:rFonts w:ascii="Arial" w:hAnsi="Arial" w:cs="Arial"/>
        </w:rPr>
        <w:t>o en el inciso anterior.</w:t>
      </w:r>
    </w:p>
    <w:p w14:paraId="4FF2C446" w14:textId="77777777" w:rsidR="00B2442D" w:rsidRDefault="00B2442D">
      <w:pPr>
        <w:jc w:val="both"/>
        <w:rPr>
          <w:rFonts w:ascii="Arial" w:hAnsi="Arial" w:cs="Arial"/>
        </w:rPr>
      </w:pPr>
    </w:p>
    <w:p w14:paraId="2F608E1E" w14:textId="77777777" w:rsidR="00B2442D" w:rsidRDefault="008A645F">
      <w:pPr>
        <w:jc w:val="both"/>
        <w:rPr>
          <w:rFonts w:ascii="Arial" w:hAnsi="Arial" w:cs="Arial"/>
        </w:rPr>
      </w:pPr>
      <w:r>
        <w:rPr>
          <w:rFonts w:ascii="Arial" w:hAnsi="Arial" w:cs="Arial"/>
        </w:rPr>
        <w:t>Cuando corresponda a las Cámaras de Comercio y Oficinas de Registro de Instrumentos Públicos realizar la liquidación y recaudo del impuesto de registro, su actuación se surtirá utilizando los recursos humanos y técnicos, incluidos</w:t>
      </w:r>
      <w:r>
        <w:rPr>
          <w:rFonts w:ascii="Arial" w:hAnsi="Arial" w:cs="Arial"/>
        </w:rPr>
        <w:t xml:space="preserve"> los equipos y papelería, que ellas determinen.</w:t>
      </w:r>
    </w:p>
    <w:p w14:paraId="2638E2D3" w14:textId="77777777" w:rsidR="00B2442D" w:rsidRDefault="00B2442D">
      <w:pPr>
        <w:jc w:val="both"/>
        <w:rPr>
          <w:rFonts w:ascii="Arial" w:hAnsi="Arial" w:cs="Arial"/>
        </w:rPr>
      </w:pPr>
    </w:p>
    <w:p w14:paraId="6F628EE4" w14:textId="77777777" w:rsidR="00B2442D" w:rsidRDefault="008A645F">
      <w:pPr>
        <w:jc w:val="both"/>
        <w:rPr>
          <w:rFonts w:ascii="Arial" w:hAnsi="Arial" w:cs="Arial"/>
        </w:rPr>
      </w:pPr>
      <w:r>
        <w:rPr>
          <w:rFonts w:ascii="Arial" w:hAnsi="Arial" w:cs="Arial"/>
        </w:rPr>
        <w:t>Cuando los departamentos decidan asumir la liquidación y recaudo del impuesto, a través de las autoridades competentes de la administración fiscal departamental o de las instituciones financieras que las mis</w:t>
      </w:r>
      <w:r>
        <w:rPr>
          <w:rFonts w:ascii="Arial" w:hAnsi="Arial" w:cs="Arial"/>
        </w:rPr>
        <w:t>mas autoricen mediante convenio para tal fin, las Cámaras de Comercio y Oficinas de Registro de Instrumentos Públicos quedan automáticamente relevadas, frente al respectivo departamento, de las obligaciones de liquidación, recaudo, declaración y demás, sal</w:t>
      </w:r>
      <w:r>
        <w:rPr>
          <w:rFonts w:ascii="Arial" w:hAnsi="Arial" w:cs="Arial"/>
        </w:rPr>
        <w:t>vo en lo relativo a la exigencia del comprobante de pago del impuesto, requisito indispensable para que proceda el registro.</w:t>
      </w:r>
    </w:p>
    <w:p w14:paraId="3310C3A7" w14:textId="77777777" w:rsidR="00B2442D" w:rsidRDefault="00B2442D">
      <w:pPr>
        <w:jc w:val="both"/>
        <w:rPr>
          <w:rFonts w:ascii="Arial" w:hAnsi="Arial" w:cs="Arial"/>
          <w:i/>
        </w:rPr>
      </w:pPr>
    </w:p>
    <w:p w14:paraId="252EBD34" w14:textId="77777777" w:rsidR="00B2442D" w:rsidRDefault="008A645F">
      <w:pPr>
        <w:jc w:val="both"/>
        <w:rPr>
          <w:rFonts w:ascii="Arial" w:hAnsi="Arial" w:cs="Arial"/>
          <w:i/>
        </w:rPr>
      </w:pPr>
      <w:r>
        <w:rPr>
          <w:rFonts w:ascii="Arial" w:hAnsi="Arial" w:cs="Arial"/>
          <w:i/>
        </w:rPr>
        <w:t>(Art.11, Decreto 0650 de 1996)</w:t>
      </w:r>
    </w:p>
    <w:p w14:paraId="0D1D3E13" w14:textId="77777777" w:rsidR="00B2442D" w:rsidRDefault="00B2442D">
      <w:pPr>
        <w:jc w:val="both"/>
        <w:rPr>
          <w:rFonts w:ascii="Arial" w:hAnsi="Arial" w:cs="Arial"/>
        </w:rPr>
      </w:pPr>
    </w:p>
    <w:p w14:paraId="35E30BA3"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Declaración y pago.</w:t>
      </w:r>
      <w:r>
        <w:rPr>
          <w:rFonts w:ascii="Arial" w:hAnsi="Arial" w:cs="Arial"/>
          <w:lang w:val="es-CO"/>
        </w:rPr>
        <w:t xml:space="preserve"> Las Oficinas de Registro de Instrumentos Públicos y las Cámaras de Comercio qu</w:t>
      </w:r>
      <w:r>
        <w:rPr>
          <w:rFonts w:ascii="Arial" w:hAnsi="Arial" w:cs="Arial"/>
          <w:lang w:val="es-CO"/>
        </w:rPr>
        <w:t>e, de conformidad con los actos administrativos expedidos por las corporaciones o autoridades competentes departamentales, sean responsables de liquidar y recaudar el impuesto de registro, declararán y pagarán el impuesto recaudado en el mes anterior, ante</w:t>
      </w:r>
      <w:r>
        <w:rPr>
          <w:rFonts w:ascii="Arial" w:hAnsi="Arial" w:cs="Arial"/>
          <w:lang w:val="es-CO"/>
        </w:rPr>
        <w:t xml:space="preserve"> el departamento en el que se encuentren ubicadas, dentro de los quince (15) primeros días calendario de cada mes.</w:t>
      </w:r>
    </w:p>
    <w:p w14:paraId="6242308C" w14:textId="77777777" w:rsidR="00B2442D" w:rsidRDefault="00B2442D">
      <w:pPr>
        <w:jc w:val="both"/>
        <w:rPr>
          <w:rFonts w:ascii="Arial" w:hAnsi="Arial" w:cs="Arial"/>
        </w:rPr>
      </w:pPr>
    </w:p>
    <w:p w14:paraId="204D5DE0" w14:textId="77777777" w:rsidR="00B2442D" w:rsidRDefault="008A645F">
      <w:pPr>
        <w:jc w:val="both"/>
        <w:rPr>
          <w:rFonts w:ascii="Arial" w:hAnsi="Arial" w:cs="Arial"/>
        </w:rPr>
      </w:pPr>
      <w:r>
        <w:rPr>
          <w:rFonts w:ascii="Arial" w:hAnsi="Arial" w:cs="Arial"/>
        </w:rPr>
        <w:t>El valor recaudado mensualmente por concepto del impuesto y de la sanción por mora en el registro, que según declaración, resulte a cargo de</w:t>
      </w:r>
      <w:r>
        <w:rPr>
          <w:rFonts w:ascii="Arial" w:hAnsi="Arial" w:cs="Arial"/>
        </w:rPr>
        <w:t xml:space="preserve"> las entidades recaudadoras de que trata este artículo, será consignado a favor de las respectivas entidades territoriales directamente en las tesorerías departamentales o en las entidades financieras autorizadas.</w:t>
      </w:r>
    </w:p>
    <w:p w14:paraId="53172D3F" w14:textId="77777777" w:rsidR="00B2442D" w:rsidRDefault="00B2442D">
      <w:pPr>
        <w:jc w:val="both"/>
        <w:rPr>
          <w:rFonts w:ascii="Arial" w:hAnsi="Arial" w:cs="Arial"/>
        </w:rPr>
      </w:pPr>
    </w:p>
    <w:p w14:paraId="3B2F9FAE" w14:textId="77777777" w:rsidR="00B2442D" w:rsidRDefault="008A645F">
      <w:pPr>
        <w:jc w:val="both"/>
        <w:rPr>
          <w:rFonts w:ascii="Arial" w:hAnsi="Arial" w:cs="Arial"/>
        </w:rPr>
      </w:pPr>
      <w:r>
        <w:rPr>
          <w:rFonts w:ascii="Arial" w:hAnsi="Arial" w:cs="Arial"/>
        </w:rPr>
        <w:t>En lo relativo a Cundinamarca, el valor d</w:t>
      </w:r>
      <w:r>
        <w:rPr>
          <w:rFonts w:ascii="Arial" w:hAnsi="Arial" w:cs="Arial"/>
        </w:rPr>
        <w:t>el impuesto correspondiente a la participación del Distrito Capital de Bogotá, será consignado directamente por las Oficinas de Registro de Instrumentos Públicos y las Cámaras de Comercio a favor del Distrito Capital, en la Tesorería o en las entidades fin</w:t>
      </w:r>
      <w:r>
        <w:rPr>
          <w:rFonts w:ascii="Arial" w:hAnsi="Arial" w:cs="Arial"/>
        </w:rPr>
        <w:t>ancieras autorizadas para el efecto, diligenciando los recibos de pago que establezca el Distrito. Copia del comprobante de este pago se adjuntará al formulario de declaración ante el departamento.</w:t>
      </w:r>
    </w:p>
    <w:p w14:paraId="2D0DAF3A" w14:textId="77777777" w:rsidR="00B2442D" w:rsidRDefault="00B2442D">
      <w:pPr>
        <w:jc w:val="both"/>
        <w:rPr>
          <w:rFonts w:ascii="Arial" w:hAnsi="Arial" w:cs="Arial"/>
        </w:rPr>
      </w:pPr>
    </w:p>
    <w:p w14:paraId="010815D2" w14:textId="77777777" w:rsidR="00B2442D" w:rsidRDefault="008A645F">
      <w:pPr>
        <w:jc w:val="both"/>
        <w:rPr>
          <w:rFonts w:ascii="Arial" w:hAnsi="Arial" w:cs="Arial"/>
        </w:rPr>
      </w:pPr>
      <w:r>
        <w:rPr>
          <w:rFonts w:ascii="Arial" w:hAnsi="Arial" w:cs="Arial"/>
        </w:rPr>
        <w:t xml:space="preserve">En caso de que el Departamento de </w:t>
      </w:r>
      <w:r>
        <w:rPr>
          <w:rFonts w:ascii="Arial" w:hAnsi="Arial" w:cs="Arial"/>
        </w:rPr>
        <w:t>Cundinamarca asuma la liquidación y recaudo del impuesto, el valor correspondiente a la participación del Distrito Capital será consignado directamente por el contribuyente a órdenes del Distrito en los recibos de pago que éste tenga establecidos. El contr</w:t>
      </w:r>
      <w:r>
        <w:rPr>
          <w:rFonts w:ascii="Arial" w:hAnsi="Arial" w:cs="Arial"/>
        </w:rPr>
        <w:t>ibuyente deberá acreditar ante el Departamento el cumplimiento de esta obligación.</w:t>
      </w:r>
    </w:p>
    <w:p w14:paraId="2E39D349" w14:textId="77777777" w:rsidR="00B2442D" w:rsidRDefault="00B2442D">
      <w:pPr>
        <w:jc w:val="both"/>
        <w:rPr>
          <w:rFonts w:ascii="Arial" w:hAnsi="Arial" w:cs="Arial"/>
          <w:i/>
        </w:rPr>
      </w:pPr>
    </w:p>
    <w:p w14:paraId="7B6B619F" w14:textId="77777777" w:rsidR="00B2442D" w:rsidRDefault="008A645F">
      <w:pPr>
        <w:jc w:val="both"/>
        <w:rPr>
          <w:rFonts w:ascii="Arial" w:hAnsi="Arial" w:cs="Arial"/>
          <w:i/>
        </w:rPr>
      </w:pPr>
      <w:r>
        <w:rPr>
          <w:rFonts w:ascii="Arial" w:hAnsi="Arial" w:cs="Arial"/>
          <w:i/>
        </w:rPr>
        <w:t>(Art.12, Decreto 0650 de 1996)</w:t>
      </w:r>
    </w:p>
    <w:p w14:paraId="618D0EC0" w14:textId="77777777" w:rsidR="00B2442D" w:rsidRDefault="00B2442D">
      <w:pPr>
        <w:jc w:val="both"/>
        <w:rPr>
          <w:rFonts w:ascii="Arial" w:hAnsi="Arial" w:cs="Arial"/>
        </w:rPr>
      </w:pPr>
    </w:p>
    <w:p w14:paraId="7B7BD940"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Participación del Distrito Capital.</w:t>
      </w:r>
      <w:r>
        <w:rPr>
          <w:rFonts w:ascii="Arial" w:hAnsi="Arial" w:cs="Arial"/>
          <w:i/>
          <w:lang w:val="es-CO"/>
        </w:rPr>
        <w:t xml:space="preserve"> </w:t>
      </w:r>
      <w:r>
        <w:rPr>
          <w:rFonts w:ascii="Arial" w:hAnsi="Arial" w:cs="Arial"/>
          <w:lang w:val="es-CO"/>
        </w:rPr>
        <w:t>De conformidad con el artículo 234 de la Ley 223 de 1995, el Distrito Capital tendrá una participación d</w:t>
      </w:r>
      <w:r>
        <w:rPr>
          <w:rFonts w:ascii="Arial" w:hAnsi="Arial" w:cs="Arial"/>
          <w:lang w:val="es-CO"/>
        </w:rPr>
        <w:t>el treinta por ciento (30%) del impuesto que se cause en su jurisdicción.</w:t>
      </w:r>
    </w:p>
    <w:p w14:paraId="594A75F8" w14:textId="77777777" w:rsidR="00B2442D" w:rsidRDefault="00B2442D">
      <w:pPr>
        <w:jc w:val="both"/>
        <w:rPr>
          <w:rFonts w:ascii="Arial" w:hAnsi="Arial" w:cs="Arial"/>
        </w:rPr>
      </w:pPr>
    </w:p>
    <w:p w14:paraId="189C7F8A" w14:textId="77777777" w:rsidR="00B2442D" w:rsidRDefault="008A645F">
      <w:pPr>
        <w:jc w:val="both"/>
        <w:rPr>
          <w:rFonts w:ascii="Arial" w:hAnsi="Arial" w:cs="Arial"/>
        </w:rPr>
      </w:pPr>
      <w:r>
        <w:rPr>
          <w:rFonts w:ascii="Arial" w:hAnsi="Arial" w:cs="Arial"/>
        </w:rPr>
        <w:t>Se entiende que el impuesto se causa en la jurisdicción del Distrito Capital, cuando la solicitud de inscripción en el registro se efectúe en las Cámaras de Comercio o en las Oficin</w:t>
      </w:r>
      <w:r>
        <w:rPr>
          <w:rFonts w:ascii="Arial" w:hAnsi="Arial" w:cs="Arial"/>
        </w:rPr>
        <w:t>as de Registro de Instrumentos Públicos situadas en la Jurisdicción del Distrito Capital.</w:t>
      </w:r>
    </w:p>
    <w:p w14:paraId="46D59FCF" w14:textId="77777777" w:rsidR="00B2442D" w:rsidRDefault="00B2442D">
      <w:pPr>
        <w:jc w:val="both"/>
        <w:rPr>
          <w:rFonts w:ascii="Arial" w:hAnsi="Arial" w:cs="Arial"/>
        </w:rPr>
      </w:pPr>
    </w:p>
    <w:p w14:paraId="0C609767" w14:textId="77777777" w:rsidR="00B2442D" w:rsidRDefault="008A645F">
      <w:pPr>
        <w:jc w:val="both"/>
        <w:rPr>
          <w:rFonts w:ascii="Arial" w:hAnsi="Arial" w:cs="Arial"/>
        </w:rPr>
      </w:pPr>
      <w:r>
        <w:rPr>
          <w:rFonts w:ascii="Arial" w:hAnsi="Arial" w:cs="Arial"/>
        </w:rPr>
        <w:t>Para el caso de inmuebles, se entiende que el impuesto se causa en el Distrito Capital cuando el inmueble o su mayor extensión se encuentran ubicados en su jurisdicc</w:t>
      </w:r>
      <w:r>
        <w:rPr>
          <w:rFonts w:ascii="Arial" w:hAnsi="Arial" w:cs="Arial"/>
        </w:rPr>
        <w:t>ión.</w:t>
      </w:r>
    </w:p>
    <w:p w14:paraId="709CFDAB" w14:textId="77777777" w:rsidR="00B2442D" w:rsidRDefault="00B2442D">
      <w:pPr>
        <w:jc w:val="both"/>
        <w:rPr>
          <w:rFonts w:ascii="Arial" w:hAnsi="Arial" w:cs="Arial"/>
          <w:i/>
        </w:rPr>
      </w:pPr>
    </w:p>
    <w:p w14:paraId="51BC6C40" w14:textId="77777777" w:rsidR="00B2442D" w:rsidRDefault="008A645F">
      <w:pPr>
        <w:jc w:val="both"/>
        <w:rPr>
          <w:rFonts w:ascii="Arial" w:hAnsi="Arial" w:cs="Arial"/>
          <w:i/>
        </w:rPr>
      </w:pPr>
      <w:r>
        <w:rPr>
          <w:rFonts w:ascii="Arial" w:hAnsi="Arial" w:cs="Arial"/>
          <w:i/>
        </w:rPr>
        <w:t>(Art.13, Decreto 0650 de 1996)</w:t>
      </w:r>
    </w:p>
    <w:p w14:paraId="4491B914" w14:textId="77777777" w:rsidR="00B2442D" w:rsidRDefault="00B2442D">
      <w:pPr>
        <w:jc w:val="both"/>
        <w:rPr>
          <w:rFonts w:ascii="Arial" w:hAnsi="Arial" w:cs="Arial"/>
        </w:rPr>
      </w:pPr>
    </w:p>
    <w:p w14:paraId="25760856"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Términos para el registro y sanción por extemporaneidad.</w:t>
      </w:r>
      <w:r>
        <w:rPr>
          <w:rFonts w:ascii="Arial" w:hAnsi="Arial" w:cs="Arial"/>
          <w:lang w:val="es-CO"/>
        </w:rPr>
        <w:t xml:space="preserve"> Cuando en las disposiciones legales vigentes no se señalen términos específicos para la inscripción en el registro de los actos, contratos o negocios jurídicos, </w:t>
      </w:r>
      <w:r>
        <w:rPr>
          <w:rFonts w:ascii="Arial" w:hAnsi="Arial" w:cs="Arial"/>
          <w:lang w:val="es-CO"/>
        </w:rPr>
        <w:t>la solicitud de inscripción deberá formularse a partir de la fecha de su otorgamiento o expedición, de acuerdo con las siguientes reglas:</w:t>
      </w:r>
    </w:p>
    <w:p w14:paraId="3C2A9D70" w14:textId="77777777" w:rsidR="00B2442D" w:rsidRDefault="00B2442D">
      <w:pPr>
        <w:jc w:val="both"/>
        <w:rPr>
          <w:rFonts w:ascii="Arial" w:hAnsi="Arial" w:cs="Arial"/>
        </w:rPr>
      </w:pPr>
    </w:p>
    <w:p w14:paraId="49E6B57E" w14:textId="77777777" w:rsidR="00B2442D" w:rsidRDefault="008A645F">
      <w:pPr>
        <w:jc w:val="both"/>
        <w:rPr>
          <w:rFonts w:ascii="Arial" w:hAnsi="Arial" w:cs="Arial"/>
        </w:rPr>
      </w:pPr>
      <w:r>
        <w:rPr>
          <w:rFonts w:ascii="Arial" w:hAnsi="Arial" w:cs="Arial"/>
        </w:rPr>
        <w:t>a) Dentro de los dos (2) meses siguientes, si han sido otorgados o expedidos en el país, y</w:t>
      </w:r>
    </w:p>
    <w:p w14:paraId="32CD7A84" w14:textId="77777777" w:rsidR="00B2442D" w:rsidRDefault="008A645F">
      <w:pPr>
        <w:jc w:val="both"/>
        <w:rPr>
          <w:rFonts w:ascii="Arial" w:hAnsi="Arial" w:cs="Arial"/>
        </w:rPr>
      </w:pPr>
      <w:r>
        <w:rPr>
          <w:rFonts w:ascii="Arial" w:hAnsi="Arial" w:cs="Arial"/>
        </w:rPr>
        <w:t xml:space="preserve">b) Dentro de los tres (3) </w:t>
      </w:r>
      <w:r>
        <w:rPr>
          <w:rFonts w:ascii="Arial" w:hAnsi="Arial" w:cs="Arial"/>
        </w:rPr>
        <w:t>meses siguientes, si han sido otorgados o expedidos en el exterior.</w:t>
      </w:r>
    </w:p>
    <w:p w14:paraId="0FE1E855" w14:textId="77777777" w:rsidR="00B2442D" w:rsidRDefault="00B2442D">
      <w:pPr>
        <w:jc w:val="both"/>
        <w:rPr>
          <w:rFonts w:ascii="Arial" w:hAnsi="Arial" w:cs="Arial"/>
        </w:rPr>
      </w:pPr>
    </w:p>
    <w:p w14:paraId="689AB834" w14:textId="77777777" w:rsidR="00B2442D" w:rsidRDefault="008A645F">
      <w:pPr>
        <w:jc w:val="both"/>
        <w:rPr>
          <w:rFonts w:ascii="Arial" w:hAnsi="Arial" w:cs="Arial"/>
        </w:rPr>
      </w:pPr>
      <w:r>
        <w:rPr>
          <w:rFonts w:ascii="Arial" w:hAnsi="Arial" w:cs="Arial"/>
        </w:rPr>
        <w:t>Entiéndese por fecha de otorgamiento, para los actos notariales, la fecha de autorización; y por fecha de expedición de las providencias judiciales o administrativas, la fecha de su ejecu</w:t>
      </w:r>
      <w:r>
        <w:rPr>
          <w:rFonts w:ascii="Arial" w:hAnsi="Arial" w:cs="Arial"/>
        </w:rPr>
        <w:t>toria.</w:t>
      </w:r>
    </w:p>
    <w:p w14:paraId="12998CFE" w14:textId="77777777" w:rsidR="00B2442D" w:rsidRDefault="00B2442D">
      <w:pPr>
        <w:jc w:val="both"/>
        <w:rPr>
          <w:rFonts w:ascii="Arial" w:hAnsi="Arial" w:cs="Arial"/>
        </w:rPr>
      </w:pPr>
    </w:p>
    <w:p w14:paraId="27C2A78B" w14:textId="77777777" w:rsidR="00B2442D" w:rsidRDefault="008A645F">
      <w:pPr>
        <w:jc w:val="both"/>
        <w:rPr>
          <w:rFonts w:ascii="Arial" w:hAnsi="Arial" w:cs="Arial"/>
        </w:rPr>
      </w:pPr>
      <w:r>
        <w:rPr>
          <w:rFonts w:ascii="Arial" w:hAnsi="Arial" w:cs="Arial"/>
        </w:rPr>
        <w:t>La extemporaneidad en la solicitud de inscripción en el registro causará intereses moratorios por mes o fracción de mes de retardo, determinados a la tasa y forma establecida en el Estatuto Tributario para el impuesto sobre la renta y complementari</w:t>
      </w:r>
      <w:r>
        <w:rPr>
          <w:rFonts w:ascii="Arial" w:hAnsi="Arial" w:cs="Arial"/>
        </w:rPr>
        <w:t>os.</w:t>
      </w:r>
    </w:p>
    <w:p w14:paraId="71A24CF8" w14:textId="77777777" w:rsidR="00B2442D" w:rsidRDefault="00B2442D">
      <w:pPr>
        <w:jc w:val="both"/>
        <w:rPr>
          <w:rFonts w:ascii="Arial" w:hAnsi="Arial" w:cs="Arial"/>
        </w:rPr>
      </w:pPr>
    </w:p>
    <w:p w14:paraId="7A6FBF40" w14:textId="77777777" w:rsidR="00B2442D" w:rsidRDefault="008A645F">
      <w:pPr>
        <w:jc w:val="both"/>
        <w:rPr>
          <w:rFonts w:ascii="Arial" w:hAnsi="Arial" w:cs="Arial"/>
        </w:rPr>
      </w:pPr>
      <w:r>
        <w:rPr>
          <w:rFonts w:ascii="Arial" w:hAnsi="Arial" w:cs="Arial"/>
          <w:b/>
        </w:rPr>
        <w:t>Parágrafo transitorio.</w:t>
      </w:r>
      <w:r>
        <w:rPr>
          <w:rFonts w:ascii="Arial" w:hAnsi="Arial" w:cs="Arial"/>
        </w:rPr>
        <w:t xml:space="preserve"> Cuando en las disposiciones legales vigentes no se señalen términos específicos para la solicitud de inscripción de los actos, contratos o negocios jurídicos en las Oficinas de Registro de Instrumentos Públicos y los actos, cont</w:t>
      </w:r>
      <w:r>
        <w:rPr>
          <w:rFonts w:ascii="Arial" w:hAnsi="Arial" w:cs="Arial"/>
        </w:rPr>
        <w:t xml:space="preserve">ratos o negocios jurídicos hayan sido otorgados o expedidos con anterioridad al 22 de febrero de 1996 o a la vigencia de la respectiva ordenanza departamental, si ésta es anterior, la solicitud de inscripción en el Registro deberá formularse dentro de los </w:t>
      </w:r>
      <w:r>
        <w:rPr>
          <w:rFonts w:ascii="Arial" w:hAnsi="Arial" w:cs="Arial"/>
        </w:rPr>
        <w:t>noventa (90) días siguientes a su otorgamiento o expedición, cuando hayan sido otorgados o expedidos en el país, y dentro de los ciento ochenta (180) días siguientes, cuando hayan sido otorgados o expedidos en el exterior.</w:t>
      </w:r>
    </w:p>
    <w:p w14:paraId="2C08EF84" w14:textId="77777777" w:rsidR="00B2442D" w:rsidRDefault="00B2442D">
      <w:pPr>
        <w:jc w:val="both"/>
        <w:rPr>
          <w:rFonts w:ascii="Arial" w:hAnsi="Arial" w:cs="Arial"/>
        </w:rPr>
      </w:pPr>
    </w:p>
    <w:p w14:paraId="6DD958C4" w14:textId="77777777" w:rsidR="00B2442D" w:rsidRDefault="008A645F">
      <w:pPr>
        <w:jc w:val="both"/>
        <w:rPr>
          <w:rFonts w:ascii="Arial" w:hAnsi="Arial" w:cs="Arial"/>
        </w:rPr>
      </w:pPr>
      <w:r>
        <w:rPr>
          <w:rFonts w:ascii="Arial" w:hAnsi="Arial" w:cs="Arial"/>
        </w:rPr>
        <w:t>Para los actos, contratos y nego</w:t>
      </w:r>
      <w:r>
        <w:rPr>
          <w:rFonts w:ascii="Arial" w:hAnsi="Arial" w:cs="Arial"/>
        </w:rPr>
        <w:t>cios jurídicos objeto de registro en las Cámaras de Comercio, otorgados o expedidos con anterioridad a la vigencia de la respectiva ordenanza departamental, los intereses de mora por inscripción extemporánea sólo se causarán a partir de los dos (2) meses s</w:t>
      </w:r>
      <w:r>
        <w:rPr>
          <w:rFonts w:ascii="Arial" w:hAnsi="Arial" w:cs="Arial"/>
        </w:rPr>
        <w:t>iguientes a la entrada en vigencia de la misma, si éstos fueron otorgados en el país, o a partir de los tres (3) meses siguientes, si tales documentos fueron otorgados o expedidos en el exterior, sin que para determinar la mora se tenga en cuenta el tiempo</w:t>
      </w:r>
      <w:r>
        <w:rPr>
          <w:rFonts w:ascii="Arial" w:hAnsi="Arial" w:cs="Arial"/>
        </w:rPr>
        <w:t xml:space="preserve"> transcurrido con anterioridad a la vigencia de la respectiva ordenanza.</w:t>
      </w:r>
    </w:p>
    <w:p w14:paraId="462F51C9" w14:textId="77777777" w:rsidR="00B2442D" w:rsidRDefault="00B2442D">
      <w:pPr>
        <w:jc w:val="both"/>
        <w:rPr>
          <w:rFonts w:ascii="Arial" w:hAnsi="Arial" w:cs="Arial"/>
          <w:i/>
        </w:rPr>
      </w:pPr>
    </w:p>
    <w:p w14:paraId="20616C28" w14:textId="77777777" w:rsidR="00B2442D" w:rsidRDefault="008A645F">
      <w:pPr>
        <w:jc w:val="both"/>
        <w:rPr>
          <w:rFonts w:ascii="Arial" w:hAnsi="Arial" w:cs="Arial"/>
          <w:i/>
        </w:rPr>
      </w:pPr>
      <w:r>
        <w:rPr>
          <w:rFonts w:ascii="Arial" w:hAnsi="Arial" w:cs="Arial"/>
          <w:i/>
        </w:rPr>
        <w:t>(Art.14, Decreto 0650 de 1996)</w:t>
      </w:r>
    </w:p>
    <w:p w14:paraId="547EEFBB" w14:textId="77777777" w:rsidR="00B2442D" w:rsidRDefault="00B2442D">
      <w:pPr>
        <w:jc w:val="both"/>
        <w:rPr>
          <w:rFonts w:ascii="Arial" w:hAnsi="Arial" w:cs="Arial"/>
        </w:rPr>
      </w:pPr>
    </w:p>
    <w:p w14:paraId="24BFB16D"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Devoluciones.</w:t>
      </w:r>
      <w:r>
        <w:rPr>
          <w:rFonts w:ascii="Arial" w:hAnsi="Arial" w:cs="Arial"/>
          <w:lang w:val="es-CO"/>
        </w:rPr>
        <w:t xml:space="preserve"> Cuando el acto, contrato o negocio jurídico no se registre en razón a que no es objeto de registro de conformidad con las disposiciones legales, o por el desistimiento voluntario de las partes cuando éste sea permitido por la ley y no se haya efectuado el</w:t>
      </w:r>
      <w:r>
        <w:rPr>
          <w:rFonts w:ascii="Arial" w:hAnsi="Arial" w:cs="Arial"/>
          <w:lang w:val="es-CO"/>
        </w:rPr>
        <w:t xml:space="preserve"> registro, procederá la devolución del valor pagado.</w:t>
      </w:r>
    </w:p>
    <w:p w14:paraId="690669ED" w14:textId="77777777" w:rsidR="00B2442D" w:rsidRDefault="00B2442D">
      <w:pPr>
        <w:jc w:val="both"/>
        <w:rPr>
          <w:rFonts w:ascii="Arial" w:hAnsi="Arial" w:cs="Arial"/>
        </w:rPr>
      </w:pPr>
    </w:p>
    <w:p w14:paraId="361AA64E" w14:textId="77777777" w:rsidR="00B2442D" w:rsidRDefault="008A645F">
      <w:pPr>
        <w:jc w:val="both"/>
        <w:rPr>
          <w:rFonts w:ascii="Arial" w:hAnsi="Arial" w:cs="Arial"/>
        </w:rPr>
      </w:pPr>
      <w:r>
        <w:rPr>
          <w:rFonts w:ascii="Arial" w:hAnsi="Arial" w:cs="Arial"/>
        </w:rPr>
        <w:t>Igualmente, procederá la devolución cuando se presenten pagos en exceso o pagos de lo no debido.</w:t>
      </w:r>
    </w:p>
    <w:p w14:paraId="376AC5D2" w14:textId="77777777" w:rsidR="00B2442D" w:rsidRDefault="00B2442D">
      <w:pPr>
        <w:jc w:val="both"/>
        <w:rPr>
          <w:rFonts w:ascii="Arial" w:hAnsi="Arial" w:cs="Arial"/>
        </w:rPr>
      </w:pPr>
    </w:p>
    <w:p w14:paraId="1633C7B5" w14:textId="77777777" w:rsidR="00B2442D" w:rsidRDefault="008A645F">
      <w:pPr>
        <w:jc w:val="both"/>
        <w:rPr>
          <w:rFonts w:ascii="Arial" w:hAnsi="Arial" w:cs="Arial"/>
        </w:rPr>
      </w:pPr>
      <w:r>
        <w:rPr>
          <w:rFonts w:ascii="Arial" w:hAnsi="Arial" w:cs="Arial"/>
        </w:rPr>
        <w:t>Para efectos de la devolución, el interesado elevará memorial de solicitud a la entidad recaudadora, aco</w:t>
      </w:r>
      <w:r>
        <w:rPr>
          <w:rFonts w:ascii="Arial" w:hAnsi="Arial" w:cs="Arial"/>
        </w:rPr>
        <w:t>mpañada de la prueba del pago, dentro del término que se señala a continuación:</w:t>
      </w:r>
    </w:p>
    <w:p w14:paraId="5B8129FE" w14:textId="77777777" w:rsidR="00B2442D" w:rsidRDefault="00B2442D">
      <w:pPr>
        <w:jc w:val="both"/>
        <w:rPr>
          <w:rFonts w:ascii="Arial" w:hAnsi="Arial" w:cs="Arial"/>
        </w:rPr>
      </w:pPr>
    </w:p>
    <w:p w14:paraId="0534DACE" w14:textId="77777777" w:rsidR="00B2442D" w:rsidRDefault="008A645F">
      <w:pPr>
        <w:jc w:val="both"/>
        <w:rPr>
          <w:rFonts w:ascii="Arial" w:hAnsi="Arial" w:cs="Arial"/>
        </w:rPr>
      </w:pPr>
      <w:r>
        <w:rPr>
          <w:rFonts w:ascii="Arial" w:hAnsi="Arial" w:cs="Arial"/>
        </w:rPr>
        <w:t xml:space="preserve">Tanto en el caso en que la liquidación y el recaudo del impuesto hayan sido efectuados por el Departamento como en el caso en que hayan sido efectuados por las </w:t>
      </w:r>
      <w:r>
        <w:rPr>
          <w:rFonts w:ascii="Arial" w:hAnsi="Arial" w:cs="Arial"/>
        </w:rPr>
        <w:t>Oficinas de Registro de Instrumentos Públicos o por las Cámaras de Comercio, si al momento de la solicitud de devolución, la liquidación y recaudo han sido asumidos por el Departamento, la solicitud de devolución se elevará ante éste.</w:t>
      </w:r>
    </w:p>
    <w:p w14:paraId="57BAC908" w14:textId="77777777" w:rsidR="00B2442D" w:rsidRDefault="00B2442D">
      <w:pPr>
        <w:jc w:val="both"/>
        <w:rPr>
          <w:rFonts w:ascii="Arial" w:hAnsi="Arial" w:cs="Arial"/>
          <w:i/>
        </w:rPr>
      </w:pPr>
    </w:p>
    <w:p w14:paraId="33BF1A96" w14:textId="77777777" w:rsidR="00B2442D" w:rsidRDefault="008A645F">
      <w:pPr>
        <w:jc w:val="both"/>
        <w:rPr>
          <w:rFonts w:ascii="Arial" w:hAnsi="Arial" w:cs="Arial"/>
          <w:i/>
        </w:rPr>
      </w:pPr>
      <w:r>
        <w:rPr>
          <w:rFonts w:ascii="Arial" w:hAnsi="Arial" w:cs="Arial"/>
          <w:i/>
        </w:rPr>
        <w:t>(Art.15, Decreto 065</w:t>
      </w:r>
      <w:r>
        <w:rPr>
          <w:rFonts w:ascii="Arial" w:hAnsi="Arial" w:cs="Arial"/>
          <w:i/>
        </w:rPr>
        <w:t>0 de 1996, inciso 6 anulado por la Sentencia 9203 del 19 de marzo de 1999 del Consejo de Estado, incisos 4,5 y 7 suspendidos</w:t>
      </w:r>
      <w:r>
        <w:rPr>
          <w:rFonts w:ascii="Arial" w:hAnsi="Arial" w:cs="Arial"/>
        </w:rPr>
        <w:t xml:space="preserve"> </w:t>
      </w:r>
      <w:r>
        <w:rPr>
          <w:rFonts w:ascii="Arial" w:hAnsi="Arial" w:cs="Arial"/>
          <w:i/>
        </w:rPr>
        <w:t>provisionalmente por el Consejo de Estado mediante Auto 21206 del 13 de abril de 2015)</w:t>
      </w:r>
    </w:p>
    <w:p w14:paraId="456BCECC" w14:textId="77777777" w:rsidR="00B2442D" w:rsidRDefault="00B2442D">
      <w:pPr>
        <w:jc w:val="both"/>
        <w:rPr>
          <w:rFonts w:ascii="Arial" w:hAnsi="Arial" w:cs="Arial"/>
        </w:rPr>
      </w:pPr>
    </w:p>
    <w:p w14:paraId="53E94DF0"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Contrato accesorio a la constitución de pat</w:t>
      </w:r>
      <w:r>
        <w:rPr>
          <w:rFonts w:ascii="Arial" w:hAnsi="Arial" w:cs="Arial"/>
          <w:b/>
          <w:i/>
          <w:lang w:val="es-CO"/>
        </w:rPr>
        <w:t>rimonio de familia inembargable.</w:t>
      </w:r>
      <w:r>
        <w:rPr>
          <w:rFonts w:ascii="Arial" w:hAnsi="Arial" w:cs="Arial"/>
          <w:lang w:val="es-CO"/>
        </w:rPr>
        <w:t xml:space="preserve"> Para efectos de lo dispuesto en el artículo 228, inciso 2º, de la Ley 223 de 1995, se considera como contrato accesorio, la constitución de patrimonio de familia inembargable, cuando dicha constitución es impuesta por la le</w:t>
      </w:r>
      <w:r>
        <w:rPr>
          <w:rFonts w:ascii="Arial" w:hAnsi="Arial" w:cs="Arial"/>
          <w:lang w:val="es-CO"/>
        </w:rPr>
        <w:t>y como consecuencia de la realización de un acto traslaticio de dominio que se celebra en el mismo documento.</w:t>
      </w:r>
    </w:p>
    <w:p w14:paraId="385FC442" w14:textId="77777777" w:rsidR="00B2442D" w:rsidRDefault="00B2442D">
      <w:pPr>
        <w:rPr>
          <w:rFonts w:ascii="Arial" w:hAnsi="Arial" w:cs="Arial"/>
          <w:i/>
        </w:rPr>
      </w:pPr>
    </w:p>
    <w:p w14:paraId="4CF8EA2C" w14:textId="77777777" w:rsidR="00B2442D" w:rsidRDefault="008A645F">
      <w:pPr>
        <w:rPr>
          <w:rFonts w:ascii="Arial" w:hAnsi="Arial" w:cs="Arial"/>
          <w:i/>
        </w:rPr>
      </w:pPr>
      <w:r>
        <w:rPr>
          <w:rFonts w:ascii="Arial" w:hAnsi="Arial" w:cs="Arial"/>
          <w:i/>
        </w:rPr>
        <w:t>(Art. 25, Decreto 3071 de 1997)</w:t>
      </w:r>
    </w:p>
    <w:p w14:paraId="043C7DCB" w14:textId="77777777" w:rsidR="00B2442D" w:rsidRDefault="00B2442D">
      <w:pPr>
        <w:jc w:val="both"/>
        <w:rPr>
          <w:rFonts w:ascii="Arial" w:hAnsi="Arial" w:cs="Arial"/>
        </w:rPr>
      </w:pPr>
    </w:p>
    <w:p w14:paraId="1FB28620" w14:textId="77777777" w:rsidR="00B2442D" w:rsidRDefault="008A645F">
      <w:pPr>
        <w:pStyle w:val="Prrafodelista"/>
        <w:numPr>
          <w:ilvl w:val="0"/>
          <w:numId w:val="192"/>
        </w:numPr>
        <w:ind w:left="0" w:firstLine="0"/>
        <w:jc w:val="both"/>
        <w:rPr>
          <w:rFonts w:ascii="Arial" w:hAnsi="Arial" w:cs="Arial"/>
          <w:lang w:val="es-CO"/>
        </w:rPr>
      </w:pPr>
      <w:r>
        <w:rPr>
          <w:rFonts w:ascii="Arial" w:hAnsi="Arial" w:cs="Arial"/>
          <w:b/>
          <w:i/>
          <w:lang w:val="es-CO"/>
        </w:rPr>
        <w:t>Contenido de la declaración del impuesto de registro.</w:t>
      </w:r>
      <w:r>
        <w:rPr>
          <w:rFonts w:ascii="Arial" w:hAnsi="Arial" w:cs="Arial"/>
          <w:lang w:val="es-CO"/>
        </w:rPr>
        <w:t xml:space="preserve"> Las declaraciones del Impuesto de Registro deberán contene</w:t>
      </w:r>
      <w:r>
        <w:rPr>
          <w:rFonts w:ascii="Arial" w:hAnsi="Arial" w:cs="Arial"/>
          <w:lang w:val="es-CO"/>
        </w:rPr>
        <w:t>r:</w:t>
      </w:r>
    </w:p>
    <w:p w14:paraId="1ED04801" w14:textId="77777777" w:rsidR="00B2442D" w:rsidRDefault="00B2442D">
      <w:pPr>
        <w:jc w:val="both"/>
        <w:rPr>
          <w:rFonts w:ascii="Arial" w:hAnsi="Arial" w:cs="Arial"/>
        </w:rPr>
      </w:pPr>
    </w:p>
    <w:p w14:paraId="376701B1" w14:textId="77777777" w:rsidR="00B2442D" w:rsidRDefault="008A645F">
      <w:pPr>
        <w:jc w:val="both"/>
        <w:rPr>
          <w:rFonts w:ascii="Arial" w:hAnsi="Arial" w:cs="Arial"/>
        </w:rPr>
      </w:pPr>
      <w:r>
        <w:rPr>
          <w:rFonts w:ascii="Arial" w:hAnsi="Arial" w:cs="Arial"/>
        </w:rPr>
        <w:t>1. La información necesaria para la identificación y ubicación del responsable.</w:t>
      </w:r>
    </w:p>
    <w:p w14:paraId="05B8A70A" w14:textId="77777777" w:rsidR="00B2442D" w:rsidRDefault="008A645F">
      <w:pPr>
        <w:jc w:val="both"/>
        <w:rPr>
          <w:rFonts w:ascii="Arial" w:hAnsi="Arial" w:cs="Arial"/>
        </w:rPr>
      </w:pPr>
      <w:r>
        <w:rPr>
          <w:rFonts w:ascii="Arial" w:hAnsi="Arial" w:cs="Arial"/>
        </w:rPr>
        <w:t>2. El período declarado.</w:t>
      </w:r>
    </w:p>
    <w:p w14:paraId="17ECE5E7" w14:textId="77777777" w:rsidR="00B2442D" w:rsidRDefault="008A645F">
      <w:pPr>
        <w:jc w:val="both"/>
        <w:rPr>
          <w:rFonts w:ascii="Arial" w:hAnsi="Arial" w:cs="Arial"/>
        </w:rPr>
      </w:pPr>
      <w:r>
        <w:rPr>
          <w:rFonts w:ascii="Arial" w:hAnsi="Arial" w:cs="Arial"/>
        </w:rPr>
        <w:t>3. La discriminación o identificación de los factores necesarios para determinar las bases gravables del impuesto de registro, entre ellos:</w:t>
      </w:r>
    </w:p>
    <w:p w14:paraId="763C9C64" w14:textId="77777777" w:rsidR="00B2442D" w:rsidRDefault="008A645F">
      <w:pPr>
        <w:pStyle w:val="Prrafodelista"/>
        <w:numPr>
          <w:ilvl w:val="0"/>
          <w:numId w:val="177"/>
        </w:numPr>
        <w:ind w:left="0" w:firstLine="0"/>
        <w:jc w:val="both"/>
        <w:rPr>
          <w:rFonts w:ascii="Arial" w:hAnsi="Arial" w:cs="Arial"/>
          <w:lang w:val="es-CO"/>
        </w:rPr>
      </w:pPr>
      <w:r>
        <w:rPr>
          <w:rFonts w:ascii="Arial" w:hAnsi="Arial" w:cs="Arial"/>
          <w:lang w:val="es-CO"/>
        </w:rPr>
        <w:t>Clase d</w:t>
      </w:r>
      <w:r>
        <w:rPr>
          <w:rFonts w:ascii="Arial" w:hAnsi="Arial" w:cs="Arial"/>
          <w:lang w:val="es-CO"/>
        </w:rPr>
        <w:t>e acto gravado (con cuantía, o sin cuantía).</w:t>
      </w:r>
    </w:p>
    <w:p w14:paraId="0E48A17E" w14:textId="77777777" w:rsidR="00B2442D" w:rsidRDefault="008A645F">
      <w:pPr>
        <w:pStyle w:val="Prrafodelista"/>
        <w:numPr>
          <w:ilvl w:val="0"/>
          <w:numId w:val="177"/>
        </w:numPr>
        <w:ind w:left="0" w:firstLine="0"/>
        <w:jc w:val="both"/>
        <w:rPr>
          <w:rFonts w:ascii="Arial" w:hAnsi="Arial" w:cs="Arial"/>
          <w:lang w:val="es-CO"/>
        </w:rPr>
      </w:pPr>
      <w:r>
        <w:rPr>
          <w:rFonts w:ascii="Arial" w:hAnsi="Arial" w:cs="Arial"/>
          <w:lang w:val="es-CO"/>
        </w:rPr>
        <w:t>Número de actos gravados.</w:t>
      </w:r>
    </w:p>
    <w:p w14:paraId="13680750" w14:textId="77777777" w:rsidR="00B2442D" w:rsidRDefault="008A645F">
      <w:pPr>
        <w:pStyle w:val="Prrafodelista"/>
        <w:numPr>
          <w:ilvl w:val="0"/>
          <w:numId w:val="177"/>
        </w:numPr>
        <w:ind w:left="0" w:firstLine="0"/>
        <w:jc w:val="both"/>
        <w:rPr>
          <w:rFonts w:ascii="Arial" w:hAnsi="Arial" w:cs="Arial"/>
          <w:lang w:val="es-CO"/>
        </w:rPr>
      </w:pPr>
      <w:r>
        <w:rPr>
          <w:rFonts w:ascii="Arial" w:hAnsi="Arial" w:cs="Arial"/>
          <w:lang w:val="es-CO"/>
        </w:rPr>
        <w:t>Intereses moratorios liquidados.</w:t>
      </w:r>
    </w:p>
    <w:p w14:paraId="18ED45CE" w14:textId="77777777" w:rsidR="00B2442D" w:rsidRDefault="008A645F">
      <w:pPr>
        <w:jc w:val="both"/>
        <w:rPr>
          <w:rFonts w:ascii="Arial" w:hAnsi="Arial" w:cs="Arial"/>
        </w:rPr>
      </w:pPr>
      <w:r>
        <w:rPr>
          <w:rFonts w:ascii="Arial" w:hAnsi="Arial" w:cs="Arial"/>
        </w:rPr>
        <w:t>4. La liquidación privada del impuesto de registro, y la tarifa aplicable para su liquidación, así como los intereses liquidados.</w:t>
      </w:r>
    </w:p>
    <w:p w14:paraId="619BBD16" w14:textId="77777777" w:rsidR="00B2442D" w:rsidRDefault="008A645F">
      <w:pPr>
        <w:jc w:val="both"/>
        <w:rPr>
          <w:rFonts w:ascii="Arial" w:hAnsi="Arial" w:cs="Arial"/>
        </w:rPr>
      </w:pPr>
      <w:r>
        <w:rPr>
          <w:rFonts w:ascii="Arial" w:hAnsi="Arial" w:cs="Arial"/>
        </w:rPr>
        <w:t>5. La discriminación e</w:t>
      </w:r>
      <w:r>
        <w:rPr>
          <w:rFonts w:ascii="Arial" w:hAnsi="Arial" w:cs="Arial"/>
        </w:rPr>
        <w:t xml:space="preserve"> identificación de los factores necesarios para determinar las bases gravables del impuesto de registro devuelto en el período.</w:t>
      </w:r>
    </w:p>
    <w:p w14:paraId="2EB1D93F" w14:textId="77777777" w:rsidR="00B2442D" w:rsidRDefault="008A645F">
      <w:pPr>
        <w:jc w:val="both"/>
        <w:rPr>
          <w:rFonts w:ascii="Arial" w:hAnsi="Arial" w:cs="Arial"/>
        </w:rPr>
      </w:pPr>
      <w:r>
        <w:rPr>
          <w:rFonts w:ascii="Arial" w:hAnsi="Arial" w:cs="Arial"/>
        </w:rPr>
        <w:t>6. La liquidación de las sanciones al declarante, cuando haya lugar.</w:t>
      </w:r>
    </w:p>
    <w:p w14:paraId="77E82112" w14:textId="77777777" w:rsidR="00B2442D" w:rsidRDefault="008A645F">
      <w:pPr>
        <w:jc w:val="both"/>
        <w:rPr>
          <w:rFonts w:ascii="Arial" w:hAnsi="Arial" w:cs="Arial"/>
        </w:rPr>
      </w:pPr>
      <w:r>
        <w:rPr>
          <w:rFonts w:ascii="Arial" w:hAnsi="Arial" w:cs="Arial"/>
        </w:rPr>
        <w:t>7. El valor a cargo o el saldo a favor, según el caso.</w:t>
      </w:r>
    </w:p>
    <w:p w14:paraId="1F49B1EB" w14:textId="77777777" w:rsidR="00B2442D" w:rsidRDefault="008A645F">
      <w:pPr>
        <w:jc w:val="both"/>
        <w:rPr>
          <w:rFonts w:ascii="Arial" w:hAnsi="Arial" w:cs="Arial"/>
        </w:rPr>
      </w:pPr>
      <w:r>
        <w:rPr>
          <w:rFonts w:ascii="Arial" w:hAnsi="Arial" w:cs="Arial"/>
        </w:rPr>
        <w:t xml:space="preserve">8. </w:t>
      </w:r>
      <w:r>
        <w:rPr>
          <w:rFonts w:ascii="Arial" w:hAnsi="Arial" w:cs="Arial"/>
        </w:rPr>
        <w:t>La firma del obligado al cumplimiento del deber formal de declarar.</w:t>
      </w:r>
    </w:p>
    <w:p w14:paraId="693B39F1" w14:textId="77777777" w:rsidR="00B2442D" w:rsidRDefault="00B2442D">
      <w:pPr>
        <w:rPr>
          <w:rFonts w:ascii="Arial" w:hAnsi="Arial" w:cs="Arial"/>
          <w:i/>
        </w:rPr>
      </w:pPr>
    </w:p>
    <w:p w14:paraId="202ACDE3" w14:textId="77777777" w:rsidR="00B2442D" w:rsidRDefault="008A645F">
      <w:pPr>
        <w:rPr>
          <w:rFonts w:ascii="Arial" w:hAnsi="Arial" w:cs="Arial"/>
          <w:i/>
        </w:rPr>
      </w:pPr>
      <w:r>
        <w:rPr>
          <w:rFonts w:ascii="Arial" w:hAnsi="Arial" w:cs="Arial"/>
          <w:i/>
        </w:rPr>
        <w:t>(Art. 16, Decreto 2141 de 1996)</w:t>
      </w:r>
    </w:p>
    <w:p w14:paraId="25293031" w14:textId="77777777" w:rsidR="00B2442D" w:rsidRDefault="00B2442D">
      <w:pPr>
        <w:jc w:val="both"/>
        <w:rPr>
          <w:rFonts w:ascii="Arial" w:hAnsi="Arial" w:cs="Arial"/>
        </w:rPr>
      </w:pPr>
    </w:p>
    <w:p w14:paraId="382AA084" w14:textId="77777777" w:rsidR="00B2442D" w:rsidRDefault="008A645F">
      <w:pPr>
        <w:pStyle w:val="Ttulo3"/>
      </w:pPr>
      <w:bookmarkStart w:id="81" w:name="_Toc479171233"/>
      <w:r>
        <w:t>TÍTULO 3.</w:t>
      </w:r>
      <w:bookmarkEnd w:id="81"/>
    </w:p>
    <w:p w14:paraId="565CC430" w14:textId="77777777" w:rsidR="00B2442D" w:rsidRDefault="008A645F">
      <w:pPr>
        <w:pStyle w:val="Ttulo3"/>
      </w:pPr>
      <w:bookmarkStart w:id="82" w:name="_Toc479171234"/>
      <w:r>
        <w:t>Sobretasa a la Gasolina y al ACPM</w:t>
      </w:r>
      <w:bookmarkEnd w:id="82"/>
    </w:p>
    <w:p w14:paraId="3FDF5648" w14:textId="77777777" w:rsidR="00B2442D" w:rsidRDefault="00B2442D">
      <w:pPr>
        <w:jc w:val="both"/>
        <w:rPr>
          <w:rFonts w:ascii="Arial" w:hAnsi="Arial" w:cs="Arial"/>
        </w:rPr>
      </w:pPr>
    </w:p>
    <w:p w14:paraId="75FDD0C2"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Responsabilidad de los Transportadores y Expendedores al Detal.</w:t>
      </w:r>
      <w:r>
        <w:rPr>
          <w:rFonts w:ascii="Arial" w:hAnsi="Arial" w:cs="Arial"/>
          <w:i/>
          <w:lang w:val="es-CO"/>
        </w:rPr>
        <w:t xml:space="preserve"> </w:t>
      </w:r>
      <w:r>
        <w:rPr>
          <w:rFonts w:ascii="Arial" w:hAnsi="Arial" w:cs="Arial"/>
          <w:lang w:val="es-CO"/>
        </w:rPr>
        <w:t>Se entiende que los transportadores y los exp</w:t>
      </w:r>
      <w:r>
        <w:rPr>
          <w:rFonts w:ascii="Arial" w:hAnsi="Arial" w:cs="Arial"/>
          <w:lang w:val="es-CO"/>
        </w:rPr>
        <w:t>endedores al detal no justifican debidamente la procedencia de la gasolina motor o del ACPM, cuando no exhiban la factura comercial expedida por el Distribuidor mayorista, el productor, o el importador, o los correspondientes documentos aduaneros, según el</w:t>
      </w:r>
      <w:r>
        <w:rPr>
          <w:rFonts w:ascii="Arial" w:hAnsi="Arial" w:cs="Arial"/>
          <w:lang w:val="es-CO"/>
        </w:rPr>
        <w:t xml:space="preserve"> caso.</w:t>
      </w:r>
    </w:p>
    <w:p w14:paraId="253EA30E" w14:textId="77777777" w:rsidR="00B2442D" w:rsidRDefault="00B2442D">
      <w:pPr>
        <w:jc w:val="both"/>
        <w:rPr>
          <w:rFonts w:ascii="Arial" w:hAnsi="Arial" w:cs="Arial"/>
          <w:i/>
        </w:rPr>
      </w:pPr>
    </w:p>
    <w:p w14:paraId="6F021E3C" w14:textId="77777777" w:rsidR="00B2442D" w:rsidRDefault="008A645F">
      <w:pPr>
        <w:jc w:val="both"/>
        <w:rPr>
          <w:rFonts w:ascii="Arial" w:hAnsi="Arial" w:cs="Arial"/>
          <w:i/>
        </w:rPr>
      </w:pPr>
      <w:r>
        <w:rPr>
          <w:rFonts w:ascii="Arial" w:hAnsi="Arial" w:cs="Arial"/>
          <w:i/>
        </w:rPr>
        <w:t>(Art.1, Decreto 2653 de 1998)</w:t>
      </w:r>
    </w:p>
    <w:p w14:paraId="3F4ECEF2" w14:textId="77777777" w:rsidR="00B2442D" w:rsidRDefault="00B2442D">
      <w:pPr>
        <w:jc w:val="both"/>
        <w:rPr>
          <w:rFonts w:ascii="Arial" w:hAnsi="Arial" w:cs="Arial"/>
        </w:rPr>
      </w:pPr>
    </w:p>
    <w:p w14:paraId="4D65EA29"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Declaración y Pago.</w:t>
      </w:r>
      <w:r>
        <w:rPr>
          <w:rFonts w:ascii="Arial" w:hAnsi="Arial" w:cs="Arial"/>
          <w:i/>
          <w:lang w:val="es-CO"/>
        </w:rPr>
        <w:t xml:space="preserve"> </w:t>
      </w:r>
      <w:r>
        <w:rPr>
          <w:rFonts w:ascii="Arial" w:hAnsi="Arial" w:cs="Arial"/>
          <w:lang w:val="es-CO"/>
        </w:rPr>
        <w:t>Los responsables pagarán el valor de las sobretasas al Acpm, y a la gasolina motor extra y corriente, correspondiente a cada período gravable, en el momento de prestación de la declaración en las e</w:t>
      </w:r>
      <w:r>
        <w:rPr>
          <w:rFonts w:ascii="Arial" w:hAnsi="Arial" w:cs="Arial"/>
          <w:lang w:val="es-CO"/>
        </w:rPr>
        <w:t>ntidades financieras debidamente autorizadas por la respectiva entidad territorial, o por la Dirección General de Apoyo Fiscal del Ministerio de Hacienda y Crédito Público, según el caso.</w:t>
      </w:r>
    </w:p>
    <w:p w14:paraId="59D51556" w14:textId="77777777" w:rsidR="00B2442D" w:rsidRDefault="00B2442D">
      <w:pPr>
        <w:jc w:val="both"/>
        <w:rPr>
          <w:rFonts w:ascii="Arial" w:hAnsi="Arial" w:cs="Arial"/>
          <w:b/>
        </w:rPr>
      </w:pPr>
    </w:p>
    <w:p w14:paraId="5EA07A67" w14:textId="77777777" w:rsidR="00B2442D" w:rsidRDefault="008A645F">
      <w:pPr>
        <w:jc w:val="both"/>
        <w:rPr>
          <w:rFonts w:ascii="Arial" w:hAnsi="Arial" w:cs="Arial"/>
        </w:rPr>
      </w:pPr>
      <w:r>
        <w:rPr>
          <w:rFonts w:ascii="Arial" w:hAnsi="Arial" w:cs="Arial"/>
          <w:b/>
        </w:rPr>
        <w:t>Parágrafo.</w:t>
      </w:r>
      <w:r>
        <w:rPr>
          <w:rFonts w:ascii="Arial" w:hAnsi="Arial" w:cs="Arial"/>
        </w:rPr>
        <w:t xml:space="preserve"> El incumplimiento en el giro de las sobretasas por parte</w:t>
      </w:r>
      <w:r>
        <w:rPr>
          <w:rFonts w:ascii="Arial" w:hAnsi="Arial" w:cs="Arial"/>
        </w:rPr>
        <w:t xml:space="preserve"> del distribuidor minorista, o a la ausencia de pago al responsable por parte del adquiriente, en caso de ventas que no se efectúen directamente a las estaciones de servicio, no eximen al responsable de la obligación de declarar y pagar oportunamente.</w:t>
      </w:r>
    </w:p>
    <w:p w14:paraId="4D84AC6A" w14:textId="77777777" w:rsidR="00B2442D" w:rsidRDefault="00B2442D">
      <w:pPr>
        <w:jc w:val="both"/>
        <w:rPr>
          <w:rFonts w:ascii="Arial" w:hAnsi="Arial" w:cs="Arial"/>
          <w:i/>
        </w:rPr>
      </w:pPr>
    </w:p>
    <w:p w14:paraId="75D74708" w14:textId="77777777" w:rsidR="00B2442D" w:rsidRDefault="008A645F">
      <w:pPr>
        <w:jc w:val="both"/>
        <w:rPr>
          <w:rFonts w:ascii="Arial" w:hAnsi="Arial" w:cs="Arial"/>
          <w:i/>
        </w:rPr>
      </w:pPr>
      <w:r>
        <w:rPr>
          <w:rFonts w:ascii="Arial" w:hAnsi="Arial" w:cs="Arial"/>
          <w:i/>
        </w:rPr>
        <w:t>(Art.4, Decreto 2653 de 1998, parágrafo 2 derogado de manera tácita por el artículo 56 de la Ley 788 de 2002)</w:t>
      </w:r>
    </w:p>
    <w:p w14:paraId="5ECCE6A8" w14:textId="77777777" w:rsidR="00B2442D" w:rsidRDefault="00B2442D">
      <w:pPr>
        <w:jc w:val="both"/>
        <w:rPr>
          <w:rFonts w:ascii="Arial" w:hAnsi="Arial" w:cs="Arial"/>
        </w:rPr>
      </w:pPr>
    </w:p>
    <w:p w14:paraId="75B99278" w14:textId="77777777" w:rsidR="00B2442D" w:rsidRDefault="008A645F">
      <w:pPr>
        <w:pStyle w:val="Prrafodelista"/>
        <w:numPr>
          <w:ilvl w:val="0"/>
          <w:numId w:val="193"/>
        </w:numPr>
        <w:ind w:left="0" w:firstLine="0"/>
        <w:jc w:val="both"/>
        <w:rPr>
          <w:rFonts w:ascii="Arial" w:hAnsi="Arial" w:cs="Arial"/>
        </w:rPr>
      </w:pPr>
      <w:r>
        <w:rPr>
          <w:rFonts w:ascii="Arial" w:hAnsi="Arial" w:cs="Arial"/>
          <w:b/>
        </w:rPr>
        <w:t>Suscripción de Convenios.</w:t>
      </w:r>
      <w:r>
        <w:rPr>
          <w:rFonts w:ascii="Arial" w:hAnsi="Arial" w:cs="Arial"/>
        </w:rPr>
        <w:t xml:space="preserve"> Para efectos de la declaración y pago de las sobretasas de que trata el presente título, las entidades territoriales y </w:t>
      </w:r>
      <w:r>
        <w:rPr>
          <w:rFonts w:ascii="Arial" w:hAnsi="Arial" w:cs="Arial"/>
        </w:rPr>
        <w:t>la Dirección de Apoyo Fiscal, suscribirán convenios con entidades financieras con cobertura nacional vigiladas por la Superintendencia Financiera de Colombia, e informarán a los sujetos responsables acerca de la suscripción de los mismos, en los términos p</w:t>
      </w:r>
      <w:r>
        <w:rPr>
          <w:rFonts w:ascii="Arial" w:hAnsi="Arial" w:cs="Arial"/>
        </w:rPr>
        <w:t>revistos en el Estatuto Tributario.</w:t>
      </w:r>
    </w:p>
    <w:p w14:paraId="6B3504D2" w14:textId="77777777" w:rsidR="00B2442D" w:rsidRDefault="00B2442D">
      <w:pPr>
        <w:jc w:val="both"/>
        <w:rPr>
          <w:rFonts w:ascii="Arial" w:hAnsi="Arial" w:cs="Arial"/>
        </w:rPr>
      </w:pPr>
    </w:p>
    <w:p w14:paraId="6C06D69C" w14:textId="77777777" w:rsidR="00B2442D" w:rsidRDefault="008A645F">
      <w:pPr>
        <w:jc w:val="both"/>
        <w:rPr>
          <w:rFonts w:ascii="Arial" w:hAnsi="Arial" w:cs="Arial"/>
        </w:rPr>
      </w:pPr>
      <w:r>
        <w:rPr>
          <w:rFonts w:ascii="Arial" w:hAnsi="Arial" w:cs="Arial"/>
        </w:rPr>
        <w:t>Los convenios de que trata el presente artículo deberán entrar en vigencia a más tardar el 31 de mayo de 1999.</w:t>
      </w:r>
    </w:p>
    <w:p w14:paraId="5D641548" w14:textId="77777777" w:rsidR="00B2442D" w:rsidRDefault="00B2442D">
      <w:pPr>
        <w:jc w:val="both"/>
        <w:rPr>
          <w:rFonts w:ascii="Arial" w:hAnsi="Arial" w:cs="Arial"/>
          <w:i/>
        </w:rPr>
      </w:pPr>
    </w:p>
    <w:p w14:paraId="639159AC" w14:textId="77777777" w:rsidR="00B2442D" w:rsidRDefault="008A645F">
      <w:pPr>
        <w:jc w:val="both"/>
        <w:rPr>
          <w:rFonts w:ascii="Arial" w:hAnsi="Arial" w:cs="Arial"/>
          <w:i/>
        </w:rPr>
      </w:pPr>
      <w:r>
        <w:rPr>
          <w:rFonts w:ascii="Arial" w:hAnsi="Arial" w:cs="Arial"/>
          <w:i/>
        </w:rPr>
        <w:t>(Art.5, Decreto 2653 de 1998, Parágrafo transitorio derogado, porque se encuentra cumplido y su plazo expir</w:t>
      </w:r>
      <w:r>
        <w:rPr>
          <w:rFonts w:ascii="Arial" w:hAnsi="Arial" w:cs="Arial"/>
          <w:i/>
        </w:rPr>
        <w:t>ado)</w:t>
      </w:r>
    </w:p>
    <w:p w14:paraId="5A2A189D" w14:textId="77777777" w:rsidR="00B2442D" w:rsidRDefault="00B2442D">
      <w:pPr>
        <w:jc w:val="both"/>
        <w:rPr>
          <w:rFonts w:ascii="Arial" w:hAnsi="Arial" w:cs="Arial"/>
        </w:rPr>
      </w:pPr>
    </w:p>
    <w:p w14:paraId="1BFF25EA"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Giro de los Recaudos por Parte de las Entidades Financieras Autorizadas.</w:t>
      </w:r>
      <w:r>
        <w:rPr>
          <w:rFonts w:ascii="Arial" w:hAnsi="Arial" w:cs="Arial"/>
          <w:lang w:val="es-CO"/>
        </w:rPr>
        <w:t xml:space="preserve"> Las entidades financieras autorizadas para recaudar, de conformidad con las declaraciones recepcionadas, girarán a la Nación - Ministerio de Hacienda y Crédito Público, al respe</w:t>
      </w:r>
      <w:r>
        <w:rPr>
          <w:rFonts w:ascii="Arial" w:hAnsi="Arial" w:cs="Arial"/>
          <w:lang w:val="es-CO"/>
        </w:rPr>
        <w:t>ctivo ente territorial, y al Fondo de Subsidio de la sobretasa a la gasolina, el monto de los recaudos que a cada uno de ellos corresponda, a más tardar el quinto (5) día calendario siguiente a la fecha de recaudo.</w:t>
      </w:r>
    </w:p>
    <w:p w14:paraId="265E448C" w14:textId="77777777" w:rsidR="00B2442D" w:rsidRDefault="00B2442D">
      <w:pPr>
        <w:jc w:val="both"/>
        <w:rPr>
          <w:rFonts w:ascii="Arial" w:hAnsi="Arial" w:cs="Arial"/>
        </w:rPr>
      </w:pPr>
    </w:p>
    <w:p w14:paraId="09786DBA" w14:textId="77777777" w:rsidR="00B2442D" w:rsidRDefault="008A645F">
      <w:pPr>
        <w:jc w:val="both"/>
        <w:rPr>
          <w:rFonts w:ascii="Arial" w:hAnsi="Arial" w:cs="Arial"/>
        </w:rPr>
      </w:pPr>
      <w:r>
        <w:rPr>
          <w:rFonts w:ascii="Arial" w:hAnsi="Arial" w:cs="Arial"/>
        </w:rPr>
        <w:t xml:space="preserve">Para efectos de lo previsto en el </w:t>
      </w:r>
      <w:r>
        <w:rPr>
          <w:rFonts w:ascii="Arial" w:hAnsi="Arial" w:cs="Arial"/>
        </w:rPr>
        <w:t>inciso anterior, las entidades territoriales y la Dirección General de Apoyo Fiscal, informarán a las entidades financieras, con las cuales hayan suscrito convenio para recepcionar la declaración y recaudar la sobretasa, el número de cuenta y entidad finan</w:t>
      </w:r>
      <w:r>
        <w:rPr>
          <w:rFonts w:ascii="Arial" w:hAnsi="Arial" w:cs="Arial"/>
        </w:rPr>
        <w:t>ciera a la cual deben consignar los recaudos.</w:t>
      </w:r>
    </w:p>
    <w:p w14:paraId="6C163B41" w14:textId="77777777" w:rsidR="00B2442D" w:rsidRDefault="00B2442D">
      <w:pPr>
        <w:jc w:val="both"/>
        <w:rPr>
          <w:rFonts w:ascii="Arial" w:hAnsi="Arial" w:cs="Arial"/>
        </w:rPr>
      </w:pPr>
    </w:p>
    <w:p w14:paraId="2BEC1FC8" w14:textId="77777777" w:rsidR="00B2442D" w:rsidRDefault="008A645F">
      <w:pPr>
        <w:jc w:val="both"/>
        <w:rPr>
          <w:rFonts w:ascii="Arial" w:hAnsi="Arial" w:cs="Arial"/>
        </w:rPr>
      </w:pPr>
      <w:r>
        <w:rPr>
          <w:rFonts w:ascii="Arial" w:hAnsi="Arial" w:cs="Arial"/>
        </w:rPr>
        <w:t>El valor del recaudo a nombre del Fondo de Subsidio de la sobretasa a la gasolina, deberá ser consignado en las cuentas que para el efecto informe el Ministerio de Transporte.</w:t>
      </w:r>
    </w:p>
    <w:p w14:paraId="1C8BF62E" w14:textId="77777777" w:rsidR="00B2442D" w:rsidRDefault="00B2442D">
      <w:pPr>
        <w:jc w:val="both"/>
        <w:rPr>
          <w:rFonts w:ascii="Arial" w:hAnsi="Arial" w:cs="Arial"/>
        </w:rPr>
      </w:pPr>
    </w:p>
    <w:p w14:paraId="406FF0DE" w14:textId="77777777" w:rsidR="00B2442D" w:rsidRDefault="008A645F">
      <w:pPr>
        <w:jc w:val="both"/>
        <w:rPr>
          <w:rFonts w:ascii="Arial" w:hAnsi="Arial" w:cs="Arial"/>
        </w:rPr>
      </w:pPr>
      <w:r>
        <w:rPr>
          <w:rFonts w:ascii="Arial" w:hAnsi="Arial" w:cs="Arial"/>
        </w:rPr>
        <w:t xml:space="preserve">El valor del recaudo a favor de </w:t>
      </w:r>
      <w:r>
        <w:rPr>
          <w:rFonts w:ascii="Arial" w:hAnsi="Arial" w:cs="Arial"/>
        </w:rPr>
        <w:t>la Nación - Ministerio de Hacienda y Crédito Público, deberá ser consignado en la cuenta de la Dirección General de Crédito Público y Tesoro Nacional que informe la Dirección General de Apoyo Fiscal.</w:t>
      </w:r>
    </w:p>
    <w:p w14:paraId="21784A4B" w14:textId="77777777" w:rsidR="00B2442D" w:rsidRDefault="00B2442D">
      <w:pPr>
        <w:jc w:val="both"/>
        <w:rPr>
          <w:rFonts w:ascii="Arial" w:hAnsi="Arial" w:cs="Arial"/>
          <w:i/>
        </w:rPr>
      </w:pPr>
    </w:p>
    <w:p w14:paraId="1EC6EA54" w14:textId="77777777" w:rsidR="00B2442D" w:rsidRDefault="008A645F">
      <w:pPr>
        <w:jc w:val="both"/>
        <w:rPr>
          <w:rFonts w:ascii="Arial" w:hAnsi="Arial" w:cs="Arial"/>
          <w:i/>
        </w:rPr>
      </w:pPr>
      <w:r>
        <w:rPr>
          <w:rFonts w:ascii="Arial" w:hAnsi="Arial" w:cs="Arial"/>
          <w:i/>
        </w:rPr>
        <w:t>(Art.6, Decreto 2653 de 1998)</w:t>
      </w:r>
    </w:p>
    <w:p w14:paraId="50184C24" w14:textId="77777777" w:rsidR="00B2442D" w:rsidRDefault="00B2442D">
      <w:pPr>
        <w:jc w:val="both"/>
        <w:rPr>
          <w:rFonts w:ascii="Arial" w:hAnsi="Arial" w:cs="Arial"/>
        </w:rPr>
      </w:pPr>
    </w:p>
    <w:p w14:paraId="4F2DE0B0"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Intereses Moratorios.</w:t>
      </w:r>
      <w:r>
        <w:rPr>
          <w:rFonts w:ascii="Arial" w:hAnsi="Arial" w:cs="Arial"/>
          <w:lang w:val="es-CO"/>
        </w:rPr>
        <w:t xml:space="preserve"> El</w:t>
      </w:r>
      <w:r>
        <w:rPr>
          <w:rFonts w:ascii="Arial" w:hAnsi="Arial" w:cs="Arial"/>
          <w:lang w:val="es-CO"/>
        </w:rPr>
        <w:t xml:space="preserve"> incumplimiento en el pago a las sobretasas por parte de los distribuidores minoristas, genera intereses moratorios a favor del responsable, en los términos y condiciones señalados en el Estatuto Tributario.</w:t>
      </w:r>
    </w:p>
    <w:p w14:paraId="2E119116" w14:textId="77777777" w:rsidR="00B2442D" w:rsidRDefault="00B2442D">
      <w:pPr>
        <w:jc w:val="both"/>
        <w:rPr>
          <w:rFonts w:ascii="Arial" w:hAnsi="Arial" w:cs="Arial"/>
          <w:i/>
        </w:rPr>
      </w:pPr>
    </w:p>
    <w:p w14:paraId="72F7C7F7" w14:textId="77777777" w:rsidR="00B2442D" w:rsidRDefault="008A645F">
      <w:pPr>
        <w:jc w:val="both"/>
        <w:rPr>
          <w:rFonts w:ascii="Arial" w:hAnsi="Arial" w:cs="Arial"/>
          <w:i/>
        </w:rPr>
      </w:pPr>
      <w:r>
        <w:rPr>
          <w:rFonts w:ascii="Arial" w:hAnsi="Arial" w:cs="Arial"/>
          <w:i/>
        </w:rPr>
        <w:t>(Art.7, Decreto 2653 de 1998)</w:t>
      </w:r>
    </w:p>
    <w:p w14:paraId="26BF39CE" w14:textId="77777777" w:rsidR="00B2442D" w:rsidRDefault="00B2442D">
      <w:pPr>
        <w:jc w:val="both"/>
        <w:rPr>
          <w:rFonts w:ascii="Arial" w:hAnsi="Arial" w:cs="Arial"/>
          <w:b/>
          <w:i/>
        </w:rPr>
      </w:pPr>
    </w:p>
    <w:p w14:paraId="11195D0B"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 xml:space="preserve">Responsabilidad </w:t>
      </w:r>
      <w:r>
        <w:rPr>
          <w:rFonts w:ascii="Arial" w:hAnsi="Arial" w:cs="Arial"/>
          <w:b/>
          <w:i/>
          <w:lang w:val="es-CO"/>
        </w:rPr>
        <w:t>Penal.</w:t>
      </w:r>
      <w:r>
        <w:rPr>
          <w:rFonts w:ascii="Arial" w:hAnsi="Arial" w:cs="Arial"/>
          <w:lang w:val="es-CO"/>
        </w:rPr>
        <w:t xml:space="preserve"> Para efectos de la responsabilidad penal prevista en el artículo 125 de la Ley 488 de 1998, el funcionario competente del área de cobranzas de la Secretaría de Hacienda del ente territorial o de la Dirección de Apoyo Fiscal, procederá a instaurar la</w:t>
      </w:r>
      <w:r>
        <w:rPr>
          <w:rFonts w:ascii="Arial" w:hAnsi="Arial" w:cs="Arial"/>
          <w:lang w:val="es-CO"/>
        </w:rPr>
        <w:t xml:space="preserve"> denuncia penal ante la autoridad competente.</w:t>
      </w:r>
    </w:p>
    <w:p w14:paraId="1513343C" w14:textId="77777777" w:rsidR="00B2442D" w:rsidRDefault="00B2442D">
      <w:pPr>
        <w:jc w:val="both"/>
        <w:rPr>
          <w:rFonts w:ascii="Arial" w:hAnsi="Arial" w:cs="Arial"/>
        </w:rPr>
      </w:pPr>
    </w:p>
    <w:p w14:paraId="1CC78EFB" w14:textId="77777777" w:rsidR="00B2442D" w:rsidRDefault="008A645F">
      <w:pPr>
        <w:jc w:val="both"/>
        <w:rPr>
          <w:rFonts w:ascii="Arial" w:hAnsi="Arial" w:cs="Arial"/>
        </w:rPr>
      </w:pPr>
      <w:r>
        <w:rPr>
          <w:rFonts w:ascii="Arial" w:hAnsi="Arial" w:cs="Arial"/>
        </w:rPr>
        <w:t>En caso de incumplimiento en el pago por parte de los distribuidores minoristas, el distribuidor mayorista, productor o importador, según el caso, presentará la denuncia respectiva aportando las correspondient</w:t>
      </w:r>
      <w:r>
        <w:rPr>
          <w:rFonts w:ascii="Arial" w:hAnsi="Arial" w:cs="Arial"/>
        </w:rPr>
        <w:t>es facturas de venta y la identificación del sujeto incumplido.</w:t>
      </w:r>
    </w:p>
    <w:p w14:paraId="2EC4FAF7" w14:textId="77777777" w:rsidR="00B2442D" w:rsidRDefault="00B2442D">
      <w:pPr>
        <w:jc w:val="both"/>
        <w:rPr>
          <w:rFonts w:ascii="Arial" w:hAnsi="Arial" w:cs="Arial"/>
          <w:i/>
        </w:rPr>
      </w:pPr>
    </w:p>
    <w:p w14:paraId="55DCB005" w14:textId="77777777" w:rsidR="00B2442D" w:rsidRDefault="008A645F">
      <w:pPr>
        <w:jc w:val="both"/>
        <w:rPr>
          <w:rFonts w:ascii="Arial" w:hAnsi="Arial" w:cs="Arial"/>
          <w:i/>
        </w:rPr>
      </w:pPr>
      <w:r>
        <w:rPr>
          <w:rFonts w:ascii="Arial" w:hAnsi="Arial" w:cs="Arial"/>
          <w:i/>
        </w:rPr>
        <w:t>(Art.8, Decreto 2653 de 1998)</w:t>
      </w:r>
    </w:p>
    <w:p w14:paraId="0E5984F0" w14:textId="77777777" w:rsidR="00B2442D" w:rsidRDefault="00B2442D">
      <w:pPr>
        <w:jc w:val="both"/>
        <w:rPr>
          <w:rFonts w:ascii="Arial" w:hAnsi="Arial" w:cs="Arial"/>
        </w:rPr>
      </w:pPr>
    </w:p>
    <w:p w14:paraId="1B4DABDA"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Giro de la Sobretasa al ACPM.</w:t>
      </w:r>
      <w:r>
        <w:rPr>
          <w:rFonts w:ascii="Arial" w:hAnsi="Arial" w:cs="Arial"/>
          <w:lang w:val="es-CO"/>
        </w:rPr>
        <w:t xml:space="preserve"> La Dirección General de Crédito Público y Tesoro Nacional, dentro de los primeros quince (15) días calendario de cada mes, girará </w:t>
      </w:r>
      <w:r>
        <w:rPr>
          <w:rFonts w:ascii="Arial" w:hAnsi="Arial" w:cs="Arial"/>
          <w:lang w:val="es-CO"/>
        </w:rPr>
        <w:t>a las cuentas previamente informadas por los departamentos y el Distrito Capital de Bogotá, los recursos de la sobretasa al Acpm que a cada uno de ellos corresponda, los cuales se liquidarán en proporción al consumo en sus respectivas jurisdicciones.</w:t>
      </w:r>
    </w:p>
    <w:p w14:paraId="0DC69AAC" w14:textId="77777777" w:rsidR="00B2442D" w:rsidRDefault="00B2442D">
      <w:pPr>
        <w:jc w:val="both"/>
        <w:rPr>
          <w:rFonts w:ascii="Arial" w:hAnsi="Arial" w:cs="Arial"/>
        </w:rPr>
      </w:pPr>
    </w:p>
    <w:p w14:paraId="17286F1C" w14:textId="77777777" w:rsidR="00B2442D" w:rsidRDefault="008A645F">
      <w:pPr>
        <w:jc w:val="both"/>
        <w:rPr>
          <w:rFonts w:ascii="Arial" w:hAnsi="Arial" w:cs="Arial"/>
        </w:rPr>
      </w:pPr>
      <w:r>
        <w:rPr>
          <w:rFonts w:ascii="Arial" w:hAnsi="Arial" w:cs="Arial"/>
        </w:rPr>
        <w:t>Para</w:t>
      </w:r>
      <w:r>
        <w:rPr>
          <w:rFonts w:ascii="Arial" w:hAnsi="Arial" w:cs="Arial"/>
        </w:rPr>
        <w:t xml:space="preserve"> tal efecto, la Dirección General de Apoyo Fiscal del Ministerio de Hacienda y Crédito Público, dentro de los primeros cinco (5) días calendario de cada mes, consolidará y entregará a la Dirección General de Crédito Público y Tesoro Nacional la información</w:t>
      </w:r>
      <w:r>
        <w:rPr>
          <w:rFonts w:ascii="Arial" w:hAnsi="Arial" w:cs="Arial"/>
        </w:rPr>
        <w:t xml:space="preserve"> reportada en las declaraciones presentadas por los responsables en el mes anterior.</w:t>
      </w:r>
    </w:p>
    <w:p w14:paraId="053B489C" w14:textId="77777777" w:rsidR="00B2442D" w:rsidRDefault="00B2442D">
      <w:pPr>
        <w:jc w:val="both"/>
        <w:rPr>
          <w:rFonts w:ascii="Arial" w:hAnsi="Arial" w:cs="Arial"/>
          <w:i/>
        </w:rPr>
      </w:pPr>
    </w:p>
    <w:p w14:paraId="4E5D4E6E" w14:textId="77777777" w:rsidR="00B2442D" w:rsidRDefault="008A645F">
      <w:pPr>
        <w:jc w:val="both"/>
        <w:rPr>
          <w:rFonts w:ascii="Arial" w:hAnsi="Arial" w:cs="Arial"/>
          <w:i/>
        </w:rPr>
      </w:pPr>
      <w:r>
        <w:rPr>
          <w:rFonts w:ascii="Arial" w:hAnsi="Arial" w:cs="Arial"/>
          <w:i/>
        </w:rPr>
        <w:t>(Art.9, Decreto 2653 de 1998)</w:t>
      </w:r>
    </w:p>
    <w:p w14:paraId="6C96AFEB" w14:textId="77777777" w:rsidR="00B2442D" w:rsidRDefault="00B2442D">
      <w:pPr>
        <w:jc w:val="both"/>
        <w:rPr>
          <w:rFonts w:ascii="Arial" w:hAnsi="Arial" w:cs="Arial"/>
        </w:rPr>
      </w:pPr>
    </w:p>
    <w:p w14:paraId="6BE7C207"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Liquidación Oficial de las Sobretasas.</w:t>
      </w:r>
      <w:r>
        <w:rPr>
          <w:rFonts w:ascii="Arial" w:hAnsi="Arial" w:cs="Arial"/>
          <w:lang w:val="es-CO"/>
        </w:rPr>
        <w:t xml:space="preserve"> Todos los beneficiarios de las sobretasas que como producto de procesos de fiscalización profieran r</w:t>
      </w:r>
      <w:r>
        <w:rPr>
          <w:rFonts w:ascii="Arial" w:hAnsi="Arial" w:cs="Arial"/>
          <w:lang w:val="es-CO"/>
        </w:rPr>
        <w:t>equerimientos especiales estableciendo o incrementando el valor a pagar por efecto de la identificación o incremento de las bases gravables, según el caso, deberán informar por escrito de dicho evento a los demás beneficiarios de la sobretasa, para que ést</w:t>
      </w:r>
      <w:r>
        <w:rPr>
          <w:rFonts w:ascii="Arial" w:hAnsi="Arial" w:cs="Arial"/>
          <w:lang w:val="es-CO"/>
        </w:rPr>
        <w:t>os hagan valer las pruebas respecto de la obligación tributaria de su competencia.</w:t>
      </w:r>
    </w:p>
    <w:p w14:paraId="350B89E5" w14:textId="77777777" w:rsidR="00B2442D" w:rsidRDefault="00B2442D">
      <w:pPr>
        <w:jc w:val="both"/>
        <w:rPr>
          <w:rFonts w:ascii="Arial" w:hAnsi="Arial" w:cs="Arial"/>
        </w:rPr>
      </w:pPr>
    </w:p>
    <w:p w14:paraId="16B5D9B4" w14:textId="77777777" w:rsidR="00B2442D" w:rsidRDefault="008A645F">
      <w:pPr>
        <w:jc w:val="both"/>
        <w:rPr>
          <w:rFonts w:ascii="Arial" w:hAnsi="Arial" w:cs="Arial"/>
        </w:rPr>
      </w:pPr>
      <w:r>
        <w:rPr>
          <w:rFonts w:ascii="Arial" w:hAnsi="Arial" w:cs="Arial"/>
        </w:rPr>
        <w:t>Dicha información deberá ser remitida dentro del período de firmeza de la liquidación privada.</w:t>
      </w:r>
    </w:p>
    <w:p w14:paraId="596D9B1E" w14:textId="77777777" w:rsidR="00B2442D" w:rsidRDefault="00B2442D">
      <w:pPr>
        <w:jc w:val="both"/>
        <w:rPr>
          <w:rFonts w:ascii="Arial" w:hAnsi="Arial" w:cs="Arial"/>
          <w:i/>
        </w:rPr>
      </w:pPr>
    </w:p>
    <w:p w14:paraId="5CE4A7BC" w14:textId="77777777" w:rsidR="00B2442D" w:rsidRDefault="008A645F">
      <w:pPr>
        <w:jc w:val="both"/>
        <w:rPr>
          <w:rFonts w:ascii="Arial" w:hAnsi="Arial" w:cs="Arial"/>
          <w:i/>
        </w:rPr>
      </w:pPr>
      <w:r>
        <w:rPr>
          <w:rFonts w:ascii="Arial" w:hAnsi="Arial" w:cs="Arial"/>
          <w:i/>
        </w:rPr>
        <w:t>(Art.10, Decreto 2653 de 1998)</w:t>
      </w:r>
    </w:p>
    <w:p w14:paraId="4B03CF55" w14:textId="77777777" w:rsidR="00B2442D" w:rsidRDefault="00B2442D">
      <w:pPr>
        <w:jc w:val="both"/>
        <w:rPr>
          <w:rFonts w:ascii="Arial" w:hAnsi="Arial" w:cs="Arial"/>
        </w:rPr>
      </w:pPr>
    </w:p>
    <w:p w14:paraId="6C35C944" w14:textId="77777777" w:rsidR="00B2442D" w:rsidRDefault="008A645F">
      <w:pPr>
        <w:pStyle w:val="Prrafodelista"/>
        <w:numPr>
          <w:ilvl w:val="0"/>
          <w:numId w:val="193"/>
        </w:numPr>
        <w:ind w:left="0" w:firstLine="0"/>
        <w:jc w:val="both"/>
        <w:rPr>
          <w:rFonts w:ascii="Arial" w:hAnsi="Arial" w:cs="Arial"/>
          <w:lang w:val="es-CO"/>
        </w:rPr>
      </w:pPr>
      <w:r>
        <w:rPr>
          <w:rFonts w:ascii="Arial" w:hAnsi="Arial" w:cs="Arial"/>
          <w:b/>
          <w:i/>
          <w:lang w:val="es-CO"/>
        </w:rPr>
        <w:t xml:space="preserve">Valores de Referencia para la </w:t>
      </w:r>
      <w:r>
        <w:rPr>
          <w:rFonts w:ascii="Arial" w:hAnsi="Arial" w:cs="Arial"/>
          <w:b/>
          <w:i/>
          <w:lang w:val="es-CO"/>
        </w:rPr>
        <w:t>liquidación de la Sobretasa a la Gasolina y el ACPM.</w:t>
      </w:r>
      <w:r>
        <w:rPr>
          <w:rFonts w:ascii="Arial" w:hAnsi="Arial" w:cs="Arial"/>
          <w:i/>
          <w:lang w:val="es-CO"/>
        </w:rPr>
        <w:t xml:space="preserve"> </w:t>
      </w:r>
      <w:r>
        <w:rPr>
          <w:rFonts w:ascii="Arial" w:hAnsi="Arial" w:cs="Arial"/>
          <w:lang w:val="es-CO"/>
        </w:rPr>
        <w:t>Los valores de referencia de venta al público de la gasolina motor extra o corriente y ACPM, tanto a nivel nacional, como para las zonas de Frontera abastecidas con producto importado, serán los certific</w:t>
      </w:r>
      <w:r>
        <w:rPr>
          <w:rFonts w:ascii="Arial" w:hAnsi="Arial" w:cs="Arial"/>
          <w:lang w:val="es-CO"/>
        </w:rPr>
        <w:t>ados mensualmente por el Ministerio de Minas y Energía.</w:t>
      </w:r>
    </w:p>
    <w:p w14:paraId="66772A4A" w14:textId="77777777" w:rsidR="00B2442D" w:rsidRDefault="00B2442D">
      <w:pPr>
        <w:jc w:val="both"/>
        <w:rPr>
          <w:rFonts w:ascii="Arial" w:hAnsi="Arial" w:cs="Arial"/>
          <w:i/>
        </w:rPr>
      </w:pPr>
    </w:p>
    <w:p w14:paraId="049E4B01" w14:textId="77777777" w:rsidR="00B2442D" w:rsidRDefault="008A645F">
      <w:pPr>
        <w:jc w:val="both"/>
        <w:rPr>
          <w:rFonts w:ascii="Arial" w:hAnsi="Arial" w:cs="Arial"/>
          <w:i/>
        </w:rPr>
      </w:pPr>
      <w:r>
        <w:rPr>
          <w:rFonts w:ascii="Arial" w:hAnsi="Arial" w:cs="Arial"/>
          <w:i/>
        </w:rPr>
        <w:t>(Art.1, Decreto 1870 de 2008)</w:t>
      </w:r>
    </w:p>
    <w:p w14:paraId="47B00AFA" w14:textId="77777777" w:rsidR="00B2442D" w:rsidRDefault="00B2442D">
      <w:pPr>
        <w:jc w:val="both"/>
        <w:rPr>
          <w:rFonts w:ascii="Arial" w:hAnsi="Arial" w:cs="Arial"/>
          <w:i/>
        </w:rPr>
      </w:pPr>
    </w:p>
    <w:p w14:paraId="47A1F9B4" w14:textId="77777777" w:rsidR="00B2442D" w:rsidRDefault="008A645F">
      <w:pPr>
        <w:pStyle w:val="Prrafodelista"/>
        <w:numPr>
          <w:ilvl w:val="0"/>
          <w:numId w:val="193"/>
        </w:numPr>
        <w:ind w:left="0" w:firstLine="0"/>
        <w:jc w:val="both"/>
        <w:rPr>
          <w:rFonts w:ascii="Arial" w:hAnsi="Arial" w:cs="Arial"/>
        </w:rPr>
      </w:pPr>
      <w:r>
        <w:rPr>
          <w:rFonts w:ascii="Arial" w:hAnsi="Arial" w:cs="Arial"/>
          <w:b/>
          <w:i/>
          <w:lang w:val="es-CO"/>
        </w:rPr>
        <w:t>Periodicidad.</w:t>
      </w:r>
      <w:r>
        <w:rPr>
          <w:rFonts w:ascii="Arial" w:hAnsi="Arial" w:cs="Arial"/>
          <w:lang w:val="es-CO"/>
        </w:rPr>
        <w:t xml:space="preserve"> Los valores de referencia para el cálculo de la Sobretasa, serán certificados dentro de los últimos cinco días calendario de cada mes por el Ministerio de Minas y Energía, para tal efecto, expedirá el respectivo acto administrativo.</w:t>
      </w:r>
    </w:p>
    <w:p w14:paraId="2BF542E9" w14:textId="77777777" w:rsidR="00B2442D" w:rsidRDefault="008A645F">
      <w:pPr>
        <w:pStyle w:val="Prrafodelista"/>
        <w:ind w:left="0"/>
        <w:jc w:val="both"/>
        <w:rPr>
          <w:rFonts w:ascii="Arial" w:hAnsi="Arial" w:cs="Arial"/>
        </w:rPr>
      </w:pPr>
      <w:r>
        <w:rPr>
          <w:rFonts w:ascii="Arial" w:hAnsi="Arial" w:cs="Arial"/>
        </w:rPr>
        <w:t>Dichos valores de refe</w:t>
      </w:r>
      <w:r>
        <w:rPr>
          <w:rFonts w:ascii="Arial" w:hAnsi="Arial" w:cs="Arial"/>
        </w:rPr>
        <w:t xml:space="preserve">rencia y precios base de liquidación para la sobretasa y el IVA serán actualizados periódicamente por el Ministerio de Minas y Energía. </w:t>
      </w:r>
    </w:p>
    <w:p w14:paraId="7B14BA49" w14:textId="77777777" w:rsidR="00B2442D" w:rsidRDefault="008A645F">
      <w:pPr>
        <w:jc w:val="both"/>
        <w:rPr>
          <w:rFonts w:ascii="Arial" w:hAnsi="Arial" w:cs="Arial"/>
        </w:rPr>
      </w:pPr>
      <w:r>
        <w:rPr>
          <w:rFonts w:ascii="Arial" w:hAnsi="Arial" w:cs="Arial"/>
        </w:rPr>
        <w:t xml:space="preserve">  </w:t>
      </w:r>
    </w:p>
    <w:p w14:paraId="653B73F6" w14:textId="77777777" w:rsidR="00B2442D" w:rsidRDefault="008A645F">
      <w:pPr>
        <w:jc w:val="both"/>
        <w:rPr>
          <w:rFonts w:ascii="Arial" w:hAnsi="Arial" w:cs="Arial"/>
          <w:i/>
        </w:rPr>
      </w:pPr>
      <w:r>
        <w:rPr>
          <w:rFonts w:ascii="Arial" w:hAnsi="Arial" w:cs="Arial"/>
          <w:i/>
        </w:rPr>
        <w:t>(Art.4, Decreto 1870 de 2008, parágrafo transitorio derogado por cumplimiento del objeto. Decaimiento del inciso 2°,</w:t>
      </w:r>
      <w:r>
        <w:rPr>
          <w:rFonts w:ascii="Arial" w:hAnsi="Arial" w:cs="Arial"/>
          <w:i/>
        </w:rPr>
        <w:t xml:space="preserve"> en razón a que el artículo 172 de la Ley 1607 de 2012, modificó sustancialmente el artículo 465 del Estatuto Tributario y excluyó la gasolina motor y el ACPM del impuesto sobre las ventas)</w:t>
      </w:r>
    </w:p>
    <w:p w14:paraId="34DC7E82" w14:textId="77777777" w:rsidR="00B2442D" w:rsidRDefault="00B2442D">
      <w:pPr>
        <w:jc w:val="both"/>
        <w:rPr>
          <w:rFonts w:ascii="Arial" w:hAnsi="Arial" w:cs="Arial"/>
        </w:rPr>
      </w:pPr>
    </w:p>
    <w:p w14:paraId="09EE0869" w14:textId="77777777" w:rsidR="00B2442D" w:rsidRDefault="008A645F">
      <w:pPr>
        <w:pStyle w:val="Ttulo3"/>
      </w:pPr>
      <w:bookmarkStart w:id="83" w:name="_Toc479171235"/>
      <w:r>
        <w:t>TÍTULO 4.</w:t>
      </w:r>
      <w:bookmarkEnd w:id="83"/>
    </w:p>
    <w:p w14:paraId="0BC56D0E" w14:textId="77777777" w:rsidR="00B2442D" w:rsidRDefault="008A645F">
      <w:pPr>
        <w:pStyle w:val="Ttulo3"/>
      </w:pPr>
      <w:bookmarkStart w:id="84" w:name="_Toc479171236"/>
      <w:r>
        <w:t>Impuesto sobre vehículos automotores</w:t>
      </w:r>
      <w:bookmarkEnd w:id="84"/>
    </w:p>
    <w:p w14:paraId="2FF55B73" w14:textId="77777777" w:rsidR="00B2442D" w:rsidRDefault="00B2442D">
      <w:pPr>
        <w:jc w:val="both"/>
        <w:rPr>
          <w:rFonts w:ascii="Arial" w:hAnsi="Arial" w:cs="Arial"/>
        </w:rPr>
      </w:pPr>
    </w:p>
    <w:p w14:paraId="72C20871"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 xml:space="preserve">Determinación de </w:t>
      </w:r>
      <w:r>
        <w:rPr>
          <w:rFonts w:ascii="Arial" w:hAnsi="Arial" w:cs="Arial"/>
          <w:b/>
          <w:i/>
          <w:lang w:val="es-CO"/>
        </w:rPr>
        <w:t>la Base Gravable.</w:t>
      </w:r>
      <w:r>
        <w:rPr>
          <w:rFonts w:ascii="Arial" w:hAnsi="Arial" w:cs="Arial"/>
          <w:lang w:val="es-CO"/>
        </w:rPr>
        <w:t xml:space="preserve"> Para efectos de determinar la base gravable del Impuesto, el Ministerio de Transporte establecerá, mediante resolución que expedirá antes del 30 de noviembre del año inmediatamente anterior al gravable, el valor comercial de los vehículos</w:t>
      </w:r>
      <w:r>
        <w:rPr>
          <w:rFonts w:ascii="Arial" w:hAnsi="Arial" w:cs="Arial"/>
          <w:lang w:val="es-CO"/>
        </w:rPr>
        <w:t xml:space="preserve"> gravados, incluidas las motocicletas de más de 125 c.c. de cilindrada, para lo cual tendrá en cuenta su marca, modelo y cilindraje.</w:t>
      </w:r>
    </w:p>
    <w:p w14:paraId="18CAC3B3" w14:textId="77777777" w:rsidR="00B2442D" w:rsidRDefault="00B2442D">
      <w:pPr>
        <w:jc w:val="both"/>
        <w:rPr>
          <w:rFonts w:ascii="Arial" w:hAnsi="Arial" w:cs="Arial"/>
          <w:i/>
        </w:rPr>
      </w:pPr>
    </w:p>
    <w:p w14:paraId="35C26C31" w14:textId="77777777" w:rsidR="00B2442D" w:rsidRDefault="008A645F">
      <w:pPr>
        <w:jc w:val="both"/>
        <w:rPr>
          <w:rFonts w:ascii="Arial" w:hAnsi="Arial" w:cs="Arial"/>
          <w:i/>
        </w:rPr>
      </w:pPr>
      <w:r>
        <w:rPr>
          <w:rFonts w:ascii="Arial" w:hAnsi="Arial" w:cs="Arial"/>
          <w:i/>
        </w:rPr>
        <w:t>(Art.1, Decreto 2654 de 1998, parágrafo transitorio derogado por cumplimiento del objeto)</w:t>
      </w:r>
    </w:p>
    <w:p w14:paraId="7EBD562F" w14:textId="77777777" w:rsidR="00B2442D" w:rsidRDefault="00B2442D">
      <w:pPr>
        <w:jc w:val="both"/>
        <w:rPr>
          <w:rFonts w:ascii="Arial" w:hAnsi="Arial" w:cs="Arial"/>
        </w:rPr>
      </w:pPr>
    </w:p>
    <w:p w14:paraId="40A046BB"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Declaración y pago del impuesto</w:t>
      </w:r>
      <w:r>
        <w:rPr>
          <w:rFonts w:ascii="Arial" w:hAnsi="Arial" w:cs="Arial"/>
          <w:b/>
          <w:i/>
          <w:lang w:val="es-CO"/>
        </w:rPr>
        <w:t>.</w:t>
      </w:r>
      <w:r>
        <w:rPr>
          <w:rFonts w:ascii="Arial" w:hAnsi="Arial" w:cs="Arial"/>
          <w:lang w:val="es-CO"/>
        </w:rPr>
        <w:t xml:space="preserve"> Los propietarios o poseedores de los vehículos automotores gravados, incluidas las motocicletas de más de 125 c.c. de cilindrada, deberán declarar y pagar el impuesto anualmente ante el departamento o el Distrito Capital de Bogotá, según la jurisdicción </w:t>
      </w:r>
      <w:r>
        <w:rPr>
          <w:rFonts w:ascii="Arial" w:hAnsi="Arial" w:cs="Arial"/>
          <w:lang w:val="es-CO"/>
        </w:rPr>
        <w:t xml:space="preserve">donde se encuentre matriculado el respectivo vehículo. </w:t>
      </w:r>
    </w:p>
    <w:p w14:paraId="5FC63EEF" w14:textId="77777777" w:rsidR="00B2442D" w:rsidRDefault="00B2442D">
      <w:pPr>
        <w:jc w:val="both"/>
        <w:rPr>
          <w:rFonts w:ascii="Arial" w:hAnsi="Arial" w:cs="Arial"/>
        </w:rPr>
      </w:pPr>
    </w:p>
    <w:p w14:paraId="53695035" w14:textId="77777777" w:rsidR="00B2442D" w:rsidRDefault="008A645F">
      <w:pPr>
        <w:jc w:val="both"/>
        <w:rPr>
          <w:rFonts w:ascii="Arial" w:hAnsi="Arial" w:cs="Arial"/>
        </w:rPr>
      </w:pPr>
      <w:r>
        <w:rPr>
          <w:rFonts w:ascii="Arial" w:hAnsi="Arial" w:cs="Arial"/>
        </w:rPr>
        <w:t>Los departamentos y el Distrito Capital de Bogotá, como administradores del impuesto, determinarán los plazos y las entidades financieras, ubicadas dentro de su jurisdicción, para la presentación y p</w:t>
      </w:r>
      <w:r>
        <w:rPr>
          <w:rFonts w:ascii="Arial" w:hAnsi="Arial" w:cs="Arial"/>
        </w:rPr>
        <w:t>ago de la declaración del impuesto.</w:t>
      </w:r>
    </w:p>
    <w:p w14:paraId="0A36E4FD" w14:textId="77777777" w:rsidR="00B2442D" w:rsidRDefault="00B2442D">
      <w:pPr>
        <w:jc w:val="both"/>
        <w:rPr>
          <w:rFonts w:ascii="Arial" w:hAnsi="Arial" w:cs="Arial"/>
          <w:i/>
        </w:rPr>
      </w:pPr>
    </w:p>
    <w:p w14:paraId="76FB6851" w14:textId="77777777" w:rsidR="00B2442D" w:rsidRDefault="008A645F">
      <w:pPr>
        <w:jc w:val="both"/>
        <w:rPr>
          <w:rFonts w:ascii="Arial" w:hAnsi="Arial" w:cs="Arial"/>
          <w:i/>
        </w:rPr>
      </w:pPr>
      <w:r>
        <w:rPr>
          <w:rFonts w:ascii="Arial" w:hAnsi="Arial" w:cs="Arial"/>
          <w:i/>
        </w:rPr>
        <w:t>(Art.2, Decreto 2654 de 1998)</w:t>
      </w:r>
    </w:p>
    <w:p w14:paraId="25DDE449" w14:textId="77777777" w:rsidR="00B2442D" w:rsidRDefault="00B2442D">
      <w:pPr>
        <w:jc w:val="both"/>
        <w:rPr>
          <w:rFonts w:ascii="Arial" w:hAnsi="Arial" w:cs="Arial"/>
        </w:rPr>
      </w:pPr>
    </w:p>
    <w:p w14:paraId="4C8B9DE9"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Suscripción de convenios.</w:t>
      </w:r>
      <w:r>
        <w:rPr>
          <w:rFonts w:ascii="Arial" w:hAnsi="Arial" w:cs="Arial"/>
          <w:lang w:val="es-CO"/>
        </w:rPr>
        <w:t xml:space="preserve"> Para efectos de la declaración y pago del impuesto de que trata el presente decreto, los departamentos suscribirán convenios con entidades financieras, con cobertura nacional, vigiladas por la Superintendencia Financiera de Colombia, e informarán a los su</w:t>
      </w:r>
      <w:r>
        <w:rPr>
          <w:rFonts w:ascii="Arial" w:hAnsi="Arial" w:cs="Arial"/>
          <w:lang w:val="es-CO"/>
        </w:rPr>
        <w:t xml:space="preserve">jetos responsables acerca de la suscripción de los mismos, en los términos previstos en el Estatuto Tributario. </w:t>
      </w:r>
    </w:p>
    <w:p w14:paraId="2335C1DF" w14:textId="77777777" w:rsidR="00B2442D" w:rsidRDefault="00B2442D">
      <w:pPr>
        <w:jc w:val="both"/>
        <w:rPr>
          <w:rFonts w:ascii="Arial" w:hAnsi="Arial" w:cs="Arial"/>
        </w:rPr>
      </w:pPr>
    </w:p>
    <w:p w14:paraId="605B53C3" w14:textId="77777777" w:rsidR="00B2442D" w:rsidRDefault="008A645F">
      <w:pPr>
        <w:jc w:val="both"/>
        <w:rPr>
          <w:rFonts w:ascii="Arial" w:hAnsi="Arial" w:cs="Arial"/>
        </w:rPr>
      </w:pPr>
      <w:r>
        <w:rPr>
          <w:rFonts w:ascii="Arial" w:hAnsi="Arial" w:cs="Arial"/>
        </w:rPr>
        <w:t xml:space="preserve">Los convenios de que trata el presente artículo deberán entrar en vigencia a más tardar el 31 de mayo de 1999. </w:t>
      </w:r>
    </w:p>
    <w:p w14:paraId="2AA9522F" w14:textId="77777777" w:rsidR="00B2442D" w:rsidRDefault="00B2442D">
      <w:pPr>
        <w:jc w:val="both"/>
        <w:rPr>
          <w:rFonts w:ascii="Arial" w:hAnsi="Arial" w:cs="Arial"/>
          <w:i/>
        </w:rPr>
      </w:pPr>
    </w:p>
    <w:p w14:paraId="3CC28F98" w14:textId="77777777" w:rsidR="00B2442D" w:rsidRDefault="008A645F">
      <w:pPr>
        <w:jc w:val="both"/>
        <w:rPr>
          <w:rFonts w:ascii="Arial" w:hAnsi="Arial" w:cs="Arial"/>
          <w:i/>
        </w:rPr>
      </w:pPr>
      <w:r>
        <w:rPr>
          <w:rFonts w:ascii="Arial" w:hAnsi="Arial" w:cs="Arial"/>
          <w:i/>
        </w:rPr>
        <w:t>(Art.3, Decreto 2654 de 1998,</w:t>
      </w:r>
      <w:r>
        <w:rPr>
          <w:rFonts w:ascii="Arial" w:hAnsi="Arial" w:cs="Arial"/>
          <w:i/>
        </w:rPr>
        <w:t xml:space="preserve"> parágrafo derogado por cumplimiento del objeto)</w:t>
      </w:r>
    </w:p>
    <w:p w14:paraId="0F0B8EBE" w14:textId="77777777" w:rsidR="00B2442D" w:rsidRDefault="00B2442D">
      <w:pPr>
        <w:jc w:val="both"/>
        <w:rPr>
          <w:rFonts w:ascii="Arial" w:hAnsi="Arial" w:cs="Arial"/>
        </w:rPr>
      </w:pPr>
    </w:p>
    <w:p w14:paraId="496FBE4E"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Formularios.</w:t>
      </w:r>
      <w:r>
        <w:rPr>
          <w:rFonts w:ascii="Arial" w:hAnsi="Arial" w:cs="Arial"/>
          <w:lang w:val="es-CO"/>
        </w:rPr>
        <w:t xml:space="preserve"> La Dirección de Apoyo Fiscal del Ministerio de Hacienda y Crédito Público diseñará el formulario oficial de declaración del Impuesto de Vehículos Automotores, el cual deberá ser adoptado y repr</w:t>
      </w:r>
      <w:r>
        <w:rPr>
          <w:rFonts w:ascii="Arial" w:hAnsi="Arial" w:cs="Arial"/>
          <w:lang w:val="es-CO"/>
        </w:rPr>
        <w:t>oducido por cada uno de los departamentos, en juegos compuestos por un original con destino a la entidad territorial y tres copias que se distribuirán, una para la entidad financiera recaudadora, otra para el contribuyente y otra para el municipio al que c</w:t>
      </w:r>
      <w:r>
        <w:rPr>
          <w:rFonts w:ascii="Arial" w:hAnsi="Arial" w:cs="Arial"/>
          <w:lang w:val="es-CO"/>
        </w:rPr>
        <w:t xml:space="preserve">orresponda la dirección informada en la declaración. </w:t>
      </w:r>
    </w:p>
    <w:p w14:paraId="5EE4816A" w14:textId="77777777" w:rsidR="00B2442D" w:rsidRDefault="00B2442D">
      <w:pPr>
        <w:jc w:val="both"/>
        <w:rPr>
          <w:rFonts w:ascii="Arial" w:hAnsi="Arial" w:cs="Arial"/>
        </w:rPr>
      </w:pPr>
    </w:p>
    <w:p w14:paraId="7F45997E"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efectos de la administración y control del impuesto, el número de la declaración de este impuesto corresponderá al número consecutivo del autoadhesivo asignado por la entidad financiera</w:t>
      </w:r>
      <w:r>
        <w:rPr>
          <w:rFonts w:ascii="Arial" w:hAnsi="Arial" w:cs="Arial"/>
        </w:rPr>
        <w:t xml:space="preserve"> recaudadora.</w:t>
      </w:r>
    </w:p>
    <w:p w14:paraId="2C1E7CBF" w14:textId="77777777" w:rsidR="00B2442D" w:rsidRDefault="00B2442D">
      <w:pPr>
        <w:jc w:val="both"/>
        <w:rPr>
          <w:rFonts w:ascii="Arial" w:hAnsi="Arial" w:cs="Arial"/>
          <w:i/>
        </w:rPr>
      </w:pPr>
    </w:p>
    <w:p w14:paraId="28A47C89" w14:textId="77777777" w:rsidR="00B2442D" w:rsidRDefault="008A645F">
      <w:pPr>
        <w:jc w:val="both"/>
        <w:rPr>
          <w:rFonts w:ascii="Arial" w:hAnsi="Arial" w:cs="Arial"/>
        </w:rPr>
      </w:pPr>
      <w:r>
        <w:rPr>
          <w:rFonts w:ascii="Arial" w:hAnsi="Arial" w:cs="Arial"/>
          <w:i/>
        </w:rPr>
        <w:t>(Art.4, Decreto 2654 de 1998)</w:t>
      </w:r>
    </w:p>
    <w:p w14:paraId="494A62BE" w14:textId="77777777" w:rsidR="00B2442D" w:rsidRDefault="00B2442D">
      <w:pPr>
        <w:jc w:val="both"/>
        <w:rPr>
          <w:rFonts w:ascii="Arial" w:hAnsi="Arial" w:cs="Arial"/>
        </w:rPr>
      </w:pPr>
    </w:p>
    <w:p w14:paraId="45BAFE19"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Beneficiarios de las rentas.</w:t>
      </w:r>
      <w:r>
        <w:rPr>
          <w:rFonts w:ascii="Arial" w:hAnsi="Arial" w:cs="Arial"/>
          <w:lang w:val="es-CO"/>
        </w:rPr>
        <w:t xml:space="preserve"> Son beneficiarios de las rentas recaudadas por concepto del Impuesto sobre Vehículos Automotores, incluidos los intereses y sanciones, los departamentos en cuya jurisdicción se encu</w:t>
      </w:r>
      <w:r>
        <w:rPr>
          <w:rFonts w:ascii="Arial" w:hAnsi="Arial" w:cs="Arial"/>
          <w:lang w:val="es-CO"/>
        </w:rPr>
        <w:t>entre matriculado el vehículo gravado, y los municipios a los que corresponda la dirección informada en la declaración.</w:t>
      </w:r>
    </w:p>
    <w:p w14:paraId="31B2CE37" w14:textId="77777777" w:rsidR="00B2442D" w:rsidRDefault="00B2442D">
      <w:pPr>
        <w:jc w:val="both"/>
        <w:rPr>
          <w:rFonts w:ascii="Arial" w:hAnsi="Arial" w:cs="Arial"/>
          <w:i/>
        </w:rPr>
      </w:pPr>
    </w:p>
    <w:p w14:paraId="339DD23F" w14:textId="77777777" w:rsidR="00B2442D" w:rsidRDefault="008A645F">
      <w:pPr>
        <w:jc w:val="both"/>
        <w:rPr>
          <w:rFonts w:ascii="Arial" w:hAnsi="Arial" w:cs="Arial"/>
        </w:rPr>
      </w:pPr>
      <w:r>
        <w:rPr>
          <w:rFonts w:ascii="Arial" w:hAnsi="Arial" w:cs="Arial"/>
          <w:i/>
        </w:rPr>
        <w:t>(Art.5, Decreto 2654 de 1998)</w:t>
      </w:r>
    </w:p>
    <w:p w14:paraId="4897928D" w14:textId="77777777" w:rsidR="00B2442D" w:rsidRDefault="00B2442D">
      <w:pPr>
        <w:jc w:val="both"/>
        <w:rPr>
          <w:rFonts w:ascii="Arial" w:hAnsi="Arial" w:cs="Arial"/>
        </w:rPr>
      </w:pPr>
    </w:p>
    <w:p w14:paraId="79DE18FD"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Distribución del recaudo.</w:t>
      </w:r>
      <w:r>
        <w:rPr>
          <w:rFonts w:ascii="Arial" w:hAnsi="Arial" w:cs="Arial"/>
          <w:lang w:val="es-CO"/>
        </w:rPr>
        <w:t xml:space="preserve"> Las rentas recaudadas por concepto del Impuesto sobre Vehículos Automotores, i</w:t>
      </w:r>
      <w:r>
        <w:rPr>
          <w:rFonts w:ascii="Arial" w:hAnsi="Arial" w:cs="Arial"/>
          <w:lang w:val="es-CO"/>
        </w:rPr>
        <w:t>ncluidos los intereses y sanciones, serán distribuidas directamente por la institución financiera con la cual el departamento haya celebrado el convenio de recaudo, según los valores determinados por el declarante en el formulario de la declaración del imp</w:t>
      </w:r>
      <w:r>
        <w:rPr>
          <w:rFonts w:ascii="Arial" w:hAnsi="Arial" w:cs="Arial"/>
          <w:lang w:val="es-CO"/>
        </w:rPr>
        <w:t xml:space="preserve">uesto, dentro de los veinte (20) días siguientes a la fecha del recaudo, conforme se señale en dicho convenio. </w:t>
      </w:r>
    </w:p>
    <w:p w14:paraId="5871A615" w14:textId="77777777" w:rsidR="00B2442D" w:rsidRDefault="00B2442D">
      <w:pPr>
        <w:jc w:val="both"/>
        <w:rPr>
          <w:rFonts w:ascii="Arial" w:hAnsi="Arial" w:cs="Arial"/>
        </w:rPr>
      </w:pPr>
    </w:p>
    <w:p w14:paraId="1AFD5D5B" w14:textId="77777777" w:rsidR="00B2442D" w:rsidRDefault="008A645F">
      <w:pPr>
        <w:jc w:val="both"/>
        <w:rPr>
          <w:rFonts w:ascii="Arial" w:hAnsi="Arial" w:cs="Arial"/>
        </w:rPr>
      </w:pPr>
      <w:r>
        <w:rPr>
          <w:rFonts w:ascii="Arial" w:hAnsi="Arial" w:cs="Arial"/>
          <w:b/>
        </w:rPr>
        <w:t>Parágrafo 1º.</w:t>
      </w:r>
      <w:r>
        <w:rPr>
          <w:rFonts w:ascii="Arial" w:hAnsi="Arial" w:cs="Arial"/>
        </w:rPr>
        <w:t xml:space="preserve"> Las instituciones financieras deberán remitir a los departamentos y municipios beneficiarios de los recursos, la respectiva copia</w:t>
      </w:r>
      <w:r>
        <w:rPr>
          <w:rFonts w:ascii="Arial" w:hAnsi="Arial" w:cs="Arial"/>
        </w:rPr>
        <w:t xml:space="preserve"> de las declaraciones presentadas sobre las cuales se realizó la liquidación del monto de la transferencia, dentro del mes siguiente a su presentación. </w:t>
      </w:r>
    </w:p>
    <w:p w14:paraId="04F32ADA" w14:textId="77777777" w:rsidR="00B2442D" w:rsidRDefault="00B2442D">
      <w:pPr>
        <w:jc w:val="both"/>
        <w:rPr>
          <w:rFonts w:ascii="Arial" w:hAnsi="Arial" w:cs="Arial"/>
        </w:rPr>
      </w:pPr>
    </w:p>
    <w:p w14:paraId="7FBFA8E9" w14:textId="77777777" w:rsidR="00B2442D" w:rsidRDefault="008A645F">
      <w:pPr>
        <w:jc w:val="both"/>
        <w:rPr>
          <w:rFonts w:ascii="Arial" w:hAnsi="Arial" w:cs="Arial"/>
        </w:rPr>
      </w:pPr>
      <w:r>
        <w:rPr>
          <w:rFonts w:ascii="Arial" w:hAnsi="Arial" w:cs="Arial"/>
          <w:b/>
        </w:rPr>
        <w:t>Parágrafo 2º.</w:t>
      </w:r>
      <w:r>
        <w:rPr>
          <w:rFonts w:ascii="Arial" w:hAnsi="Arial" w:cs="Arial"/>
        </w:rPr>
        <w:t xml:space="preserve"> Antes del 31 de diciembre del año anterior a la vigencia fiscal que se va a declarar, lo</w:t>
      </w:r>
      <w:r>
        <w:rPr>
          <w:rFonts w:ascii="Arial" w:hAnsi="Arial" w:cs="Arial"/>
        </w:rPr>
        <w:t>s departamentos, y los municipios, beneficiarios del impuesto, deberán informar a las instituciones financieras con la cual el departamento haya celebrado el convenio económico de recaudo, el número de la cuenta corriente a la cual se les debe girar lo rec</w:t>
      </w:r>
      <w:r>
        <w:rPr>
          <w:rFonts w:ascii="Arial" w:hAnsi="Arial" w:cs="Arial"/>
        </w:rPr>
        <w:t>audado mensualmente.</w:t>
      </w:r>
    </w:p>
    <w:p w14:paraId="76BFE9ED" w14:textId="77777777" w:rsidR="00B2442D" w:rsidRDefault="00B2442D">
      <w:pPr>
        <w:jc w:val="both"/>
        <w:rPr>
          <w:rFonts w:ascii="Arial" w:hAnsi="Arial" w:cs="Arial"/>
          <w:i/>
        </w:rPr>
      </w:pPr>
    </w:p>
    <w:p w14:paraId="3B7E2FE5" w14:textId="77777777" w:rsidR="00B2442D" w:rsidRDefault="008A645F">
      <w:pPr>
        <w:jc w:val="both"/>
        <w:rPr>
          <w:rFonts w:ascii="Arial" w:hAnsi="Arial" w:cs="Arial"/>
        </w:rPr>
      </w:pPr>
      <w:r>
        <w:rPr>
          <w:rFonts w:ascii="Arial" w:hAnsi="Arial" w:cs="Arial"/>
          <w:i/>
        </w:rPr>
        <w:t>(Art.6, Decreto 2654 de 1998, eliminado el concepto “Corpes”, por la Ley 633 de 2000 que modificó los artículos 146 y 150 de la Ley 488 de 1998.)</w:t>
      </w:r>
    </w:p>
    <w:p w14:paraId="73003556" w14:textId="77777777" w:rsidR="00B2442D" w:rsidRDefault="00B2442D">
      <w:pPr>
        <w:jc w:val="both"/>
        <w:rPr>
          <w:rFonts w:ascii="Arial" w:hAnsi="Arial" w:cs="Arial"/>
        </w:rPr>
      </w:pPr>
    </w:p>
    <w:p w14:paraId="6A0B1994"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Unificación del período para el pago del impuesto y el período de vigencia del seguro o</w:t>
      </w:r>
      <w:r>
        <w:rPr>
          <w:rFonts w:ascii="Arial" w:hAnsi="Arial" w:cs="Arial"/>
          <w:b/>
          <w:i/>
          <w:lang w:val="es-CO"/>
        </w:rPr>
        <w:t>bligatorio de accidentes de tránsito.</w:t>
      </w:r>
      <w:r>
        <w:rPr>
          <w:rFonts w:ascii="Arial" w:hAnsi="Arial" w:cs="Arial"/>
          <w:lang w:val="es-CO"/>
        </w:rPr>
        <w:t xml:space="preserve"> Para efectos de lo dispuesto en el artículo 149 de la Ley 488 de 1998, a partir del primero de julio de 1999, los contribuyentes al momento de la presentación y pago de la declaración del impuesto sobre vehículos automotores deberán acreditar que el segur</w:t>
      </w:r>
      <w:r>
        <w:rPr>
          <w:rFonts w:ascii="Arial" w:hAnsi="Arial" w:cs="Arial"/>
          <w:lang w:val="es-CO"/>
        </w:rPr>
        <w:t xml:space="preserve">o obligatorio de accidentes de tránsito tiene una vigencia de por lo menos doce (12) meses contados a partir del mes en el cual se presenta la declaración y pago del impuesto. </w:t>
      </w:r>
    </w:p>
    <w:p w14:paraId="46E12DFD" w14:textId="77777777" w:rsidR="00B2442D" w:rsidRDefault="00B2442D">
      <w:pPr>
        <w:jc w:val="both"/>
        <w:rPr>
          <w:rFonts w:ascii="Arial" w:hAnsi="Arial" w:cs="Arial"/>
        </w:rPr>
      </w:pPr>
    </w:p>
    <w:p w14:paraId="47AE19FA" w14:textId="77777777" w:rsidR="00B2442D" w:rsidRDefault="008A645F">
      <w:pPr>
        <w:jc w:val="both"/>
        <w:rPr>
          <w:rFonts w:ascii="Arial" w:hAnsi="Arial" w:cs="Arial"/>
        </w:rPr>
      </w:pPr>
      <w:r>
        <w:rPr>
          <w:rFonts w:ascii="Arial" w:hAnsi="Arial" w:cs="Arial"/>
          <w:b/>
        </w:rPr>
        <w:t>Parágrafo.</w:t>
      </w:r>
      <w:r>
        <w:rPr>
          <w:rFonts w:ascii="Arial" w:hAnsi="Arial" w:cs="Arial"/>
        </w:rPr>
        <w:t xml:space="preserve"> Las compañías de seguros deberán otorgar ampliación de cobertura para extender la vigencia del seguro hasta completar el término de doce (12) meses indicado en este artículo, cuando el tomador lo solicite respecto de pólizas cuyo vencimiento se produzca c</w:t>
      </w:r>
      <w:r>
        <w:rPr>
          <w:rFonts w:ascii="Arial" w:hAnsi="Arial" w:cs="Arial"/>
        </w:rPr>
        <w:t>on anterioridad al cumplimiento del mencionado término. Esta ampliación sólo generará el cobro de la prima correspondiente a la fracción de año que se adiciona.</w:t>
      </w:r>
    </w:p>
    <w:p w14:paraId="7D276834" w14:textId="77777777" w:rsidR="00B2442D" w:rsidRDefault="00B2442D">
      <w:pPr>
        <w:jc w:val="both"/>
        <w:rPr>
          <w:rFonts w:ascii="Arial" w:hAnsi="Arial" w:cs="Arial"/>
          <w:i/>
        </w:rPr>
      </w:pPr>
    </w:p>
    <w:p w14:paraId="6BD591AB" w14:textId="77777777" w:rsidR="00B2442D" w:rsidRDefault="008A645F">
      <w:pPr>
        <w:jc w:val="both"/>
        <w:rPr>
          <w:rFonts w:ascii="Arial" w:hAnsi="Arial" w:cs="Arial"/>
          <w:i/>
        </w:rPr>
      </w:pPr>
      <w:r>
        <w:rPr>
          <w:rFonts w:ascii="Arial" w:hAnsi="Arial" w:cs="Arial"/>
          <w:i/>
        </w:rPr>
        <w:t>(Art.7, Decreto 2654 de 1998, modificado por el Art.1, Decreto 392 de 1999 cuyo parágrafo tran</w:t>
      </w:r>
      <w:r>
        <w:rPr>
          <w:rFonts w:ascii="Arial" w:hAnsi="Arial" w:cs="Arial"/>
          <w:i/>
        </w:rPr>
        <w:t>sitorio perdió vigencia por cumplimiento de su objeto).</w:t>
      </w:r>
    </w:p>
    <w:p w14:paraId="7B4233D8" w14:textId="77777777" w:rsidR="00B2442D" w:rsidRDefault="00B2442D">
      <w:pPr>
        <w:jc w:val="both"/>
        <w:rPr>
          <w:rFonts w:ascii="Arial" w:hAnsi="Arial" w:cs="Arial"/>
        </w:rPr>
      </w:pPr>
    </w:p>
    <w:p w14:paraId="35CBE6DF" w14:textId="77777777" w:rsidR="00B2442D" w:rsidRDefault="008A645F">
      <w:pPr>
        <w:pStyle w:val="Prrafodelista"/>
        <w:numPr>
          <w:ilvl w:val="0"/>
          <w:numId w:val="194"/>
        </w:numPr>
        <w:ind w:left="0" w:firstLine="0"/>
        <w:jc w:val="both"/>
        <w:rPr>
          <w:rFonts w:ascii="Arial" w:hAnsi="Arial" w:cs="Arial"/>
          <w:lang w:val="es-CO"/>
        </w:rPr>
      </w:pPr>
      <w:r>
        <w:rPr>
          <w:rFonts w:ascii="Arial" w:hAnsi="Arial" w:cs="Arial"/>
          <w:b/>
          <w:i/>
          <w:lang w:val="es-CO"/>
        </w:rPr>
        <w:t>Traslado y unificación del Registro Terrestre Automotor.</w:t>
      </w:r>
      <w:r>
        <w:rPr>
          <w:rFonts w:ascii="Arial" w:hAnsi="Arial" w:cs="Arial"/>
          <w:lang w:val="es-CO"/>
        </w:rPr>
        <w:t xml:space="preserve"> Los departamentos, como administradores del impuesto, deberán unificar el "Registro Terrestre Automotor" en sus respectivas jurisdicciones, de</w:t>
      </w:r>
      <w:r>
        <w:rPr>
          <w:rFonts w:ascii="Arial" w:hAnsi="Arial" w:cs="Arial"/>
          <w:lang w:val="es-CO"/>
        </w:rPr>
        <w:t xml:space="preserve"> tal forma que les permita ejercer un control directo sobre las obligaciones fiscales relativas al mismo, causadas antes y en vigencia de la Ley 488 del 24 de diciembre de 1998. </w:t>
      </w:r>
    </w:p>
    <w:p w14:paraId="6A64C729" w14:textId="77777777" w:rsidR="00B2442D" w:rsidRDefault="00B2442D">
      <w:pPr>
        <w:jc w:val="both"/>
        <w:rPr>
          <w:rFonts w:ascii="Arial" w:hAnsi="Arial" w:cs="Arial"/>
        </w:rPr>
      </w:pPr>
    </w:p>
    <w:p w14:paraId="37395B0B" w14:textId="77777777" w:rsidR="00B2442D" w:rsidRDefault="008A645F">
      <w:pPr>
        <w:jc w:val="both"/>
        <w:rPr>
          <w:rFonts w:ascii="Arial" w:hAnsi="Arial" w:cs="Arial"/>
        </w:rPr>
      </w:pPr>
      <w:r>
        <w:rPr>
          <w:rFonts w:ascii="Arial" w:hAnsi="Arial" w:cs="Arial"/>
        </w:rPr>
        <w:t>Para efectos de la actualización y unificación del registro por parte de los</w:t>
      </w:r>
      <w:r>
        <w:rPr>
          <w:rFonts w:ascii="Arial" w:hAnsi="Arial" w:cs="Arial"/>
        </w:rPr>
        <w:t xml:space="preserve"> departamentos, los municipios, antes del 31 de mayo de 1999 deberán suministrarles la información de los registros de su jurisdicción, que hayan administrado, incluyendo el de las obligaciones de los vehículos registrados en los mismos. </w:t>
      </w:r>
    </w:p>
    <w:p w14:paraId="2E668519" w14:textId="77777777" w:rsidR="00B2442D" w:rsidRDefault="00B2442D">
      <w:pPr>
        <w:jc w:val="both"/>
        <w:rPr>
          <w:rFonts w:ascii="Arial" w:hAnsi="Arial" w:cs="Arial"/>
        </w:rPr>
      </w:pPr>
    </w:p>
    <w:p w14:paraId="2E0CCA3A" w14:textId="77777777" w:rsidR="00B2442D" w:rsidRDefault="008A645F">
      <w:pPr>
        <w:jc w:val="both"/>
        <w:rPr>
          <w:rFonts w:ascii="Arial" w:hAnsi="Arial" w:cs="Arial"/>
        </w:rPr>
      </w:pPr>
      <w:r>
        <w:rPr>
          <w:rFonts w:ascii="Arial" w:hAnsi="Arial" w:cs="Arial"/>
          <w:b/>
        </w:rPr>
        <w:t>Parágrafo.</w:t>
      </w:r>
      <w:r>
        <w:rPr>
          <w:rFonts w:ascii="Arial" w:hAnsi="Arial" w:cs="Arial"/>
        </w:rPr>
        <w:t xml:space="preserve"> Para </w:t>
      </w:r>
      <w:r>
        <w:rPr>
          <w:rFonts w:ascii="Arial" w:hAnsi="Arial" w:cs="Arial"/>
        </w:rPr>
        <w:t>los vehículos automotores que se internen temporalmente en el territorio nacional, los departamentos y el Distrito Capital de Bogotá deberán constituir un "Registro Terrestre Automotor" independiente, para efectos de la administración y control de este imp</w:t>
      </w:r>
      <w:r>
        <w:rPr>
          <w:rFonts w:ascii="Arial" w:hAnsi="Arial" w:cs="Arial"/>
        </w:rPr>
        <w:t>uesto.</w:t>
      </w:r>
    </w:p>
    <w:p w14:paraId="3BB6EB1D" w14:textId="77777777" w:rsidR="00B2442D" w:rsidRDefault="00B2442D">
      <w:pPr>
        <w:jc w:val="both"/>
        <w:rPr>
          <w:rFonts w:ascii="Arial" w:hAnsi="Arial" w:cs="Arial"/>
          <w:i/>
        </w:rPr>
      </w:pPr>
    </w:p>
    <w:p w14:paraId="73667B6B" w14:textId="77777777" w:rsidR="00B2442D" w:rsidRDefault="008A645F">
      <w:pPr>
        <w:jc w:val="both"/>
        <w:rPr>
          <w:rFonts w:ascii="Arial" w:hAnsi="Arial" w:cs="Arial"/>
        </w:rPr>
      </w:pPr>
      <w:r>
        <w:rPr>
          <w:rFonts w:ascii="Arial" w:hAnsi="Arial" w:cs="Arial"/>
          <w:i/>
        </w:rPr>
        <w:t>(Art.8, Decreto 2654 de 1998)</w:t>
      </w:r>
    </w:p>
    <w:p w14:paraId="3D99A771" w14:textId="77777777" w:rsidR="00B2442D" w:rsidRDefault="00B2442D">
      <w:pPr>
        <w:jc w:val="both"/>
        <w:rPr>
          <w:rFonts w:ascii="Arial" w:hAnsi="Arial" w:cs="Arial"/>
        </w:rPr>
      </w:pPr>
    </w:p>
    <w:p w14:paraId="4AB95F5C" w14:textId="77777777" w:rsidR="00B2442D" w:rsidRDefault="008A645F">
      <w:pPr>
        <w:pStyle w:val="Ttulo3"/>
      </w:pPr>
      <w:bookmarkStart w:id="85" w:name="_Toc479171237"/>
      <w:r>
        <w:t>TÍTULO 5.</w:t>
      </w:r>
      <w:bookmarkEnd w:id="85"/>
      <w:r>
        <w:t xml:space="preserve"> </w:t>
      </w:r>
    </w:p>
    <w:p w14:paraId="448C26EF" w14:textId="77777777" w:rsidR="00B2442D" w:rsidRDefault="008A645F">
      <w:pPr>
        <w:pStyle w:val="Ttulo3"/>
      </w:pPr>
      <w:bookmarkStart w:id="86" w:name="_Toc479171238"/>
      <w:r>
        <w:t>Estampillas departamentales</w:t>
      </w:r>
      <w:bookmarkEnd w:id="86"/>
    </w:p>
    <w:p w14:paraId="4FBE88D9" w14:textId="77777777" w:rsidR="00B2442D" w:rsidRDefault="00B2442D">
      <w:pPr>
        <w:jc w:val="both"/>
        <w:rPr>
          <w:rFonts w:ascii="Arial" w:hAnsi="Arial" w:cs="Arial"/>
        </w:rPr>
      </w:pPr>
    </w:p>
    <w:p w14:paraId="5B94C77E" w14:textId="77777777" w:rsidR="00B2442D" w:rsidRDefault="008A645F">
      <w:pPr>
        <w:pStyle w:val="Prrafodelista"/>
        <w:numPr>
          <w:ilvl w:val="0"/>
          <w:numId w:val="195"/>
        </w:numPr>
        <w:ind w:left="0" w:firstLine="0"/>
        <w:jc w:val="both"/>
        <w:rPr>
          <w:rFonts w:ascii="Arial" w:hAnsi="Arial" w:cs="Arial"/>
          <w:lang w:val="es-CO"/>
        </w:rPr>
      </w:pPr>
      <w:r>
        <w:rPr>
          <w:rFonts w:ascii="Arial" w:hAnsi="Arial" w:cs="Arial"/>
          <w:b/>
          <w:i/>
          <w:lang w:val="es-CO"/>
        </w:rPr>
        <w:t>Estampilla Ciudadela Universitaria del Atlántico</w:t>
      </w:r>
      <w:r>
        <w:rPr>
          <w:rFonts w:ascii="Arial" w:hAnsi="Arial" w:cs="Arial"/>
          <w:lang w:val="es-CO"/>
        </w:rPr>
        <w:t>. Autorizar al Departamento del Atlántico para recaudar los valores producidos por el uso de la estampilla "Ciudadela Universitar</w:t>
      </w:r>
      <w:r>
        <w:rPr>
          <w:rFonts w:ascii="Arial" w:hAnsi="Arial" w:cs="Arial"/>
          <w:lang w:val="es-CO"/>
        </w:rPr>
        <w:t>ia del Atlántico" en todos los actos y operaciones de los institutos descentralizados y entidades del orden nacional que funcionen en ese Departamento.</w:t>
      </w:r>
    </w:p>
    <w:p w14:paraId="75B624BB" w14:textId="77777777" w:rsidR="00B2442D" w:rsidRDefault="00B2442D">
      <w:pPr>
        <w:jc w:val="both"/>
        <w:rPr>
          <w:rFonts w:ascii="Arial" w:hAnsi="Arial" w:cs="Arial"/>
          <w:i/>
        </w:rPr>
      </w:pPr>
    </w:p>
    <w:p w14:paraId="67AC12B7" w14:textId="77777777" w:rsidR="00B2442D" w:rsidRDefault="008A645F">
      <w:pPr>
        <w:jc w:val="both"/>
        <w:rPr>
          <w:rFonts w:ascii="Arial" w:hAnsi="Arial" w:cs="Arial"/>
          <w:i/>
        </w:rPr>
      </w:pPr>
      <w:r>
        <w:rPr>
          <w:rFonts w:ascii="Arial" w:hAnsi="Arial" w:cs="Arial"/>
          <w:i/>
        </w:rPr>
        <w:t>(Art.1, Decreto 369 de 1993)</w:t>
      </w:r>
    </w:p>
    <w:p w14:paraId="4F56EF30" w14:textId="77777777" w:rsidR="00B2442D" w:rsidRDefault="00B2442D">
      <w:pPr>
        <w:jc w:val="both"/>
        <w:rPr>
          <w:rFonts w:ascii="Arial" w:hAnsi="Arial" w:cs="Arial"/>
        </w:rPr>
      </w:pPr>
    </w:p>
    <w:p w14:paraId="5522F62D" w14:textId="77777777" w:rsidR="00B2442D" w:rsidRDefault="008A645F">
      <w:pPr>
        <w:pStyle w:val="Prrafodelista"/>
        <w:numPr>
          <w:ilvl w:val="0"/>
          <w:numId w:val="195"/>
        </w:numPr>
        <w:ind w:left="0" w:firstLine="0"/>
        <w:jc w:val="both"/>
        <w:rPr>
          <w:rFonts w:ascii="Arial" w:hAnsi="Arial" w:cs="Arial"/>
          <w:lang w:val="es-CO"/>
        </w:rPr>
      </w:pPr>
      <w:r>
        <w:rPr>
          <w:rFonts w:ascii="Arial" w:hAnsi="Arial" w:cs="Arial"/>
          <w:b/>
          <w:i/>
          <w:lang w:val="es-CO"/>
        </w:rPr>
        <w:t>Reglamentación</w:t>
      </w:r>
      <w:r>
        <w:rPr>
          <w:rFonts w:ascii="Arial" w:hAnsi="Arial" w:cs="Arial"/>
          <w:lang w:val="es-CO"/>
        </w:rPr>
        <w:t>. El empleo, tarifa discriminatoria y demás asuntos inheren</w:t>
      </w:r>
      <w:r>
        <w:rPr>
          <w:rFonts w:ascii="Arial" w:hAnsi="Arial" w:cs="Arial"/>
          <w:lang w:val="es-CO"/>
        </w:rPr>
        <w:t>tes al uso obligatorio de la  estampilla  "Ciudadela Universitaria del Atlántico", en todas las operaciones que lleven a cabo los institutos descentralizados y entidades del orden nacional en el departamento, serán los establecidos por la Asamblea Departam</w:t>
      </w:r>
      <w:r>
        <w:rPr>
          <w:rFonts w:ascii="Arial" w:hAnsi="Arial" w:cs="Arial"/>
          <w:lang w:val="es-CO"/>
        </w:rPr>
        <w:t>ental del Atlántico para estos mismos efectos, en operaciones sobre las cuales ejerce su jurisdicción, teniendo en cuenta las correspondientes equivalencias y analogías, y de conformidad con lo dispuesto en el inciso segundo del artículo 4º de la Ley 77 de</w:t>
      </w:r>
      <w:r>
        <w:rPr>
          <w:rFonts w:ascii="Arial" w:hAnsi="Arial" w:cs="Arial"/>
          <w:lang w:val="es-CO"/>
        </w:rPr>
        <w:t xml:space="preserve"> 1981.</w:t>
      </w:r>
    </w:p>
    <w:p w14:paraId="394B1236" w14:textId="77777777" w:rsidR="00B2442D" w:rsidRDefault="00B2442D">
      <w:pPr>
        <w:jc w:val="both"/>
        <w:rPr>
          <w:rFonts w:ascii="Arial" w:hAnsi="Arial" w:cs="Arial"/>
          <w:i/>
        </w:rPr>
      </w:pPr>
    </w:p>
    <w:p w14:paraId="100670BF" w14:textId="77777777" w:rsidR="00B2442D" w:rsidRDefault="008A645F">
      <w:pPr>
        <w:jc w:val="both"/>
        <w:rPr>
          <w:rFonts w:ascii="Arial" w:hAnsi="Arial" w:cs="Arial"/>
          <w:i/>
        </w:rPr>
      </w:pPr>
      <w:r>
        <w:rPr>
          <w:rFonts w:ascii="Arial" w:hAnsi="Arial" w:cs="Arial"/>
          <w:i/>
        </w:rPr>
        <w:t>(Art.2, Decreto 369 de 1993)</w:t>
      </w:r>
    </w:p>
    <w:p w14:paraId="621FFBAB" w14:textId="77777777" w:rsidR="00B2442D" w:rsidRDefault="00B2442D">
      <w:pPr>
        <w:jc w:val="both"/>
        <w:rPr>
          <w:rFonts w:ascii="Arial" w:hAnsi="Arial" w:cs="Arial"/>
        </w:rPr>
      </w:pPr>
    </w:p>
    <w:p w14:paraId="0006B660" w14:textId="77777777" w:rsidR="00B2442D" w:rsidRDefault="008A645F">
      <w:pPr>
        <w:pStyle w:val="Prrafodelista"/>
        <w:numPr>
          <w:ilvl w:val="0"/>
          <w:numId w:val="195"/>
        </w:numPr>
        <w:ind w:left="0" w:firstLine="0"/>
        <w:jc w:val="both"/>
        <w:rPr>
          <w:rFonts w:ascii="Arial" w:hAnsi="Arial" w:cs="Arial"/>
          <w:lang w:val="es-CO"/>
        </w:rPr>
      </w:pPr>
      <w:r>
        <w:rPr>
          <w:rFonts w:ascii="Arial" w:hAnsi="Arial" w:cs="Arial"/>
          <w:b/>
          <w:i/>
          <w:lang w:val="es-CO"/>
        </w:rPr>
        <w:t>Vigilancia y Control</w:t>
      </w:r>
      <w:r>
        <w:rPr>
          <w:rFonts w:ascii="Arial" w:hAnsi="Arial" w:cs="Arial"/>
          <w:lang w:val="es-CO"/>
        </w:rPr>
        <w:t xml:space="preserve">. La Contraloría Departamental del Atlántico vigilará y controlará el recaudo e inversión de los fondos provenientes de la estampilla "Ciudadela Universitaria del Atlántico". </w:t>
      </w:r>
    </w:p>
    <w:p w14:paraId="1C8F3FE4" w14:textId="77777777" w:rsidR="00B2442D" w:rsidRDefault="00B2442D">
      <w:pPr>
        <w:jc w:val="both"/>
        <w:rPr>
          <w:rFonts w:ascii="Arial" w:hAnsi="Arial" w:cs="Arial"/>
          <w:i/>
        </w:rPr>
      </w:pPr>
    </w:p>
    <w:p w14:paraId="3E92DE74" w14:textId="77777777" w:rsidR="00B2442D" w:rsidRDefault="008A645F">
      <w:pPr>
        <w:jc w:val="both"/>
        <w:rPr>
          <w:rFonts w:ascii="Arial" w:hAnsi="Arial" w:cs="Arial"/>
          <w:b/>
          <w:i/>
        </w:rPr>
      </w:pPr>
      <w:r>
        <w:rPr>
          <w:rFonts w:ascii="Arial" w:hAnsi="Arial" w:cs="Arial"/>
          <w:i/>
        </w:rPr>
        <w:t xml:space="preserve">(Art.3, </w:t>
      </w:r>
      <w:r>
        <w:rPr>
          <w:rFonts w:ascii="Arial" w:hAnsi="Arial" w:cs="Arial"/>
          <w:i/>
        </w:rPr>
        <w:t>Decreto 369 de 1993)</w:t>
      </w:r>
    </w:p>
    <w:p w14:paraId="236CDA57" w14:textId="77777777" w:rsidR="00B2442D" w:rsidRDefault="00B2442D">
      <w:pPr>
        <w:jc w:val="both"/>
        <w:rPr>
          <w:rFonts w:ascii="Arial" w:hAnsi="Arial" w:cs="Arial"/>
          <w:b/>
          <w:i/>
        </w:rPr>
      </w:pPr>
    </w:p>
    <w:p w14:paraId="2200F90C" w14:textId="77777777" w:rsidR="00B2442D" w:rsidRDefault="008A645F">
      <w:pPr>
        <w:pStyle w:val="Prrafodelista"/>
        <w:numPr>
          <w:ilvl w:val="0"/>
          <w:numId w:val="195"/>
        </w:numPr>
        <w:ind w:left="0" w:firstLine="0"/>
        <w:jc w:val="both"/>
        <w:rPr>
          <w:rFonts w:ascii="Arial" w:hAnsi="Arial" w:cs="Arial"/>
          <w:lang w:val="es-CO"/>
        </w:rPr>
      </w:pPr>
      <w:r>
        <w:rPr>
          <w:rFonts w:ascii="Arial" w:hAnsi="Arial" w:cs="Arial"/>
          <w:b/>
          <w:i/>
          <w:lang w:val="es-CO"/>
        </w:rPr>
        <w:t>Manejo y Destinación</w:t>
      </w:r>
      <w:r>
        <w:rPr>
          <w:rFonts w:ascii="Arial" w:hAnsi="Arial" w:cs="Arial"/>
          <w:lang w:val="es-CO"/>
        </w:rPr>
        <w:t>. El manejo y destinación de los fondos que produzca la estampilla "Ciudadela Universitaria del Atlántico" se realizarán conforme a las previsiones establecidas en los artículos 7º y 8 de la Ley 77 de 1981.</w:t>
      </w:r>
    </w:p>
    <w:p w14:paraId="1A5F191A" w14:textId="77777777" w:rsidR="00B2442D" w:rsidRDefault="00B2442D">
      <w:pPr>
        <w:rPr>
          <w:rFonts w:ascii="Arial" w:hAnsi="Arial" w:cs="Arial"/>
          <w:i/>
        </w:rPr>
      </w:pPr>
    </w:p>
    <w:p w14:paraId="4D52C8D2" w14:textId="77777777" w:rsidR="00B2442D" w:rsidRDefault="008A645F">
      <w:pPr>
        <w:rPr>
          <w:rFonts w:ascii="Arial" w:hAnsi="Arial" w:cs="Arial"/>
        </w:rPr>
      </w:pPr>
      <w:r>
        <w:rPr>
          <w:rFonts w:ascii="Arial" w:hAnsi="Arial" w:cs="Arial"/>
          <w:i/>
        </w:rPr>
        <w:t>(Art.4</w:t>
      </w:r>
      <w:r>
        <w:rPr>
          <w:rFonts w:ascii="Arial" w:hAnsi="Arial" w:cs="Arial"/>
          <w:i/>
        </w:rPr>
        <w:t>, Decreto 369 de 1993)</w:t>
      </w:r>
    </w:p>
    <w:p w14:paraId="7BEEF9FA" w14:textId="77777777" w:rsidR="00B2442D" w:rsidRDefault="00B2442D">
      <w:pPr>
        <w:rPr>
          <w:rFonts w:ascii="Arial" w:hAnsi="Arial" w:cs="Arial"/>
        </w:rPr>
      </w:pPr>
    </w:p>
    <w:p w14:paraId="19F8D5EC" w14:textId="77777777" w:rsidR="00B2442D" w:rsidRDefault="00B2442D"/>
    <w:p w14:paraId="7A337A00" w14:textId="77777777" w:rsidR="00B2442D" w:rsidRDefault="00B2442D">
      <w:pPr>
        <w:rPr>
          <w:rFonts w:ascii="Arial" w:hAnsi="Arial" w:cs="Arial"/>
          <w:lang w:val="es-CO"/>
        </w:rPr>
      </w:pPr>
    </w:p>
    <w:p w14:paraId="23DC45D7" w14:textId="77777777" w:rsidR="00B2442D" w:rsidRDefault="00B2442D">
      <w:pPr>
        <w:jc w:val="center"/>
        <w:rPr>
          <w:rFonts w:ascii="Arial" w:hAnsi="Arial" w:cs="Arial"/>
          <w:b/>
          <w:lang w:val="es-CO"/>
        </w:rPr>
      </w:pPr>
    </w:p>
    <w:p w14:paraId="54701C0D" w14:textId="77777777" w:rsidR="00B2442D" w:rsidRDefault="008A645F">
      <w:pPr>
        <w:pStyle w:val="Ttulo1"/>
      </w:pPr>
      <w:bookmarkStart w:id="87" w:name="_Toc479171239"/>
      <w:r>
        <w:t>LIBRO 3</w:t>
      </w:r>
      <w:bookmarkEnd w:id="87"/>
    </w:p>
    <w:p w14:paraId="6BF0FB7B" w14:textId="77777777" w:rsidR="00B2442D" w:rsidRDefault="008A645F">
      <w:pPr>
        <w:pStyle w:val="Ttulo1"/>
      </w:pPr>
      <w:bookmarkStart w:id="88" w:name="_Toc479171240"/>
      <w:r>
        <w:t>DISPOSICIONES COMUNES Y OTRAS DISPOSICIONES</w:t>
      </w:r>
      <w:bookmarkEnd w:id="88"/>
    </w:p>
    <w:p w14:paraId="16EC98F2" w14:textId="77777777" w:rsidR="00B2442D" w:rsidRDefault="00B2442D">
      <w:pPr>
        <w:jc w:val="center"/>
        <w:rPr>
          <w:rFonts w:ascii="Arial" w:hAnsi="Arial" w:cs="Arial"/>
          <w:b/>
          <w:lang w:val="es-CO"/>
        </w:rPr>
      </w:pPr>
    </w:p>
    <w:p w14:paraId="0DB427C0" w14:textId="77777777" w:rsidR="00B2442D" w:rsidRDefault="008A645F">
      <w:pPr>
        <w:pStyle w:val="Ttulo2"/>
      </w:pPr>
      <w:bookmarkStart w:id="89" w:name="_Toc479171241"/>
      <w:r>
        <w:t>PARTE 1</w:t>
      </w:r>
      <w:bookmarkEnd w:id="89"/>
    </w:p>
    <w:p w14:paraId="5365AE31" w14:textId="77777777" w:rsidR="00B2442D" w:rsidRDefault="008A645F">
      <w:pPr>
        <w:pStyle w:val="Ttulo2"/>
      </w:pPr>
      <w:bookmarkStart w:id="90" w:name="_Toc479171242"/>
      <w:r>
        <w:t>DISPOSICIONES COMUNES</w:t>
      </w:r>
      <w:bookmarkEnd w:id="90"/>
      <w:r>
        <w:t xml:space="preserve"> </w:t>
      </w:r>
    </w:p>
    <w:p w14:paraId="7ED8658A" w14:textId="77777777" w:rsidR="00B2442D" w:rsidRDefault="00B2442D">
      <w:pPr>
        <w:jc w:val="both"/>
        <w:rPr>
          <w:rFonts w:ascii="Arial" w:hAnsi="Arial" w:cs="Arial"/>
          <w:lang w:val="es-CO"/>
        </w:rPr>
      </w:pPr>
    </w:p>
    <w:p w14:paraId="4EBC53DF"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Reglamento interno del recaudo de cartera.</w:t>
      </w:r>
      <w:r>
        <w:rPr>
          <w:rFonts w:ascii="Arial" w:hAnsi="Arial" w:cs="Arial"/>
        </w:rPr>
        <w:t xml:space="preserve"> El reglamento interno previsto en el numeral 1 del artículo 2° de la Ley 1066 de 2006, deberá ser expedido a través de normatividad de carácter general, en el orden nacional y territorial por los representantes legales de cada entidad.</w:t>
      </w:r>
    </w:p>
    <w:p w14:paraId="29EA6BDA" w14:textId="77777777" w:rsidR="00B2442D" w:rsidRDefault="00B2442D">
      <w:pPr>
        <w:jc w:val="both"/>
        <w:rPr>
          <w:rFonts w:ascii="Arial" w:hAnsi="Arial" w:cs="Arial"/>
        </w:rPr>
      </w:pPr>
    </w:p>
    <w:p w14:paraId="21385BDF" w14:textId="77777777" w:rsidR="00B2442D" w:rsidRDefault="008A645F">
      <w:pPr>
        <w:jc w:val="both"/>
        <w:rPr>
          <w:rFonts w:ascii="Arial" w:hAnsi="Arial" w:cs="Arial"/>
          <w:i/>
          <w:lang w:val="es-CO"/>
        </w:rPr>
      </w:pPr>
      <w:r>
        <w:rPr>
          <w:rFonts w:ascii="Arial" w:hAnsi="Arial" w:cs="Arial"/>
          <w:i/>
          <w:lang w:val="es-CO"/>
        </w:rPr>
        <w:t>(Art. 1, Decreto 4</w:t>
      </w:r>
      <w:r>
        <w:rPr>
          <w:rFonts w:ascii="Arial" w:hAnsi="Arial" w:cs="Arial"/>
          <w:i/>
          <w:lang w:val="es-CO"/>
        </w:rPr>
        <w:t>473 de 2006) (El presente decreto rige a partir de su publicación y deroga los artículos 7°, 8° y 9° del Decreto 1240 de 1979; el Decreto 2126, del 28 de julio de 1983 y demás disposiciones que le sean contrarias.)</w:t>
      </w:r>
    </w:p>
    <w:p w14:paraId="0A292D0B" w14:textId="77777777" w:rsidR="00B2442D" w:rsidRDefault="00B2442D">
      <w:pPr>
        <w:jc w:val="both"/>
        <w:rPr>
          <w:rFonts w:ascii="Arial" w:hAnsi="Arial" w:cs="Arial"/>
        </w:rPr>
      </w:pPr>
    </w:p>
    <w:p w14:paraId="68B1A6DB"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 xml:space="preserve">Contenido mínimo del reglamento interno </w:t>
      </w:r>
      <w:r>
        <w:rPr>
          <w:rFonts w:ascii="Arial" w:hAnsi="Arial" w:cs="Arial"/>
          <w:b/>
          <w:i/>
        </w:rPr>
        <w:t>del recaudo de cartera</w:t>
      </w:r>
      <w:r>
        <w:rPr>
          <w:rFonts w:ascii="Arial" w:hAnsi="Arial" w:cs="Arial"/>
        </w:rPr>
        <w:t>. El Reglamento Interno del Recaudo de Cartera a que hace referencia el artículo 3.1.1 del presente decreto deberá contener como mínimo los siguientes aspectos:</w:t>
      </w:r>
    </w:p>
    <w:p w14:paraId="025B11AE" w14:textId="77777777" w:rsidR="00B2442D" w:rsidRDefault="00B2442D">
      <w:pPr>
        <w:jc w:val="both"/>
        <w:rPr>
          <w:rFonts w:ascii="Arial" w:hAnsi="Arial" w:cs="Arial"/>
        </w:rPr>
      </w:pPr>
    </w:p>
    <w:p w14:paraId="7AC1E5D2" w14:textId="77777777" w:rsidR="00B2442D" w:rsidRDefault="008A645F">
      <w:pPr>
        <w:pStyle w:val="Prrafodelista"/>
        <w:ind w:left="426" w:hanging="426"/>
        <w:jc w:val="both"/>
        <w:rPr>
          <w:rFonts w:ascii="Arial" w:hAnsi="Arial" w:cs="Arial"/>
        </w:rPr>
      </w:pPr>
      <w:r>
        <w:rPr>
          <w:rFonts w:ascii="Arial" w:hAnsi="Arial" w:cs="Arial"/>
        </w:rPr>
        <w:t>1.</w:t>
      </w:r>
      <w:r>
        <w:rPr>
          <w:rFonts w:ascii="Arial" w:hAnsi="Arial" w:cs="Arial"/>
        </w:rPr>
        <w:tab/>
        <w:t xml:space="preserve">Funcionario competente para adelantar el trámite de recaudo de </w:t>
      </w:r>
      <w:r>
        <w:rPr>
          <w:rFonts w:ascii="Arial" w:hAnsi="Arial" w:cs="Arial"/>
        </w:rPr>
        <w:t>cartera en la etapa persuasiva y coactiva, de acuerdo con la estructura funcional interna de la entidad.</w:t>
      </w:r>
    </w:p>
    <w:p w14:paraId="7B9AB089" w14:textId="77777777" w:rsidR="00B2442D" w:rsidRDefault="00B2442D">
      <w:pPr>
        <w:ind w:left="426" w:hanging="426"/>
        <w:jc w:val="both"/>
        <w:rPr>
          <w:rFonts w:ascii="Arial" w:hAnsi="Arial" w:cs="Arial"/>
        </w:rPr>
      </w:pPr>
    </w:p>
    <w:p w14:paraId="7873634A" w14:textId="77777777" w:rsidR="00B2442D" w:rsidRDefault="008A645F">
      <w:pPr>
        <w:pStyle w:val="Prrafodelista"/>
        <w:numPr>
          <w:ilvl w:val="0"/>
          <w:numId w:val="9"/>
        </w:numPr>
        <w:ind w:left="426" w:hanging="426"/>
        <w:jc w:val="both"/>
        <w:rPr>
          <w:rFonts w:ascii="Arial" w:hAnsi="Arial" w:cs="Arial"/>
        </w:rPr>
      </w:pPr>
      <w:r>
        <w:rPr>
          <w:rFonts w:ascii="Arial" w:hAnsi="Arial" w:cs="Arial"/>
        </w:rPr>
        <w:t>Establecimiento de las etapas del recaudo de cartera, persuasiva y coactiva.</w:t>
      </w:r>
    </w:p>
    <w:p w14:paraId="7DB500E5" w14:textId="77777777" w:rsidR="00B2442D" w:rsidRDefault="00B2442D">
      <w:pPr>
        <w:ind w:left="426" w:hanging="426"/>
        <w:jc w:val="both"/>
        <w:rPr>
          <w:rFonts w:ascii="Arial" w:hAnsi="Arial" w:cs="Arial"/>
        </w:rPr>
      </w:pPr>
    </w:p>
    <w:p w14:paraId="23F04A81" w14:textId="77777777" w:rsidR="00B2442D" w:rsidRDefault="008A645F">
      <w:pPr>
        <w:pStyle w:val="Prrafodelista"/>
        <w:numPr>
          <w:ilvl w:val="0"/>
          <w:numId w:val="9"/>
        </w:numPr>
        <w:ind w:left="426" w:hanging="426"/>
        <w:jc w:val="both"/>
        <w:rPr>
          <w:rFonts w:ascii="Arial" w:hAnsi="Arial" w:cs="Arial"/>
        </w:rPr>
      </w:pPr>
      <w:r>
        <w:rPr>
          <w:rFonts w:ascii="Arial" w:hAnsi="Arial" w:cs="Arial"/>
        </w:rPr>
        <w:t>Determinación de los criterios para la clasificación de la cartera sujet</w:t>
      </w:r>
      <w:r>
        <w:rPr>
          <w:rFonts w:ascii="Arial" w:hAnsi="Arial" w:cs="Arial"/>
        </w:rPr>
        <w:t>a al procedimiento de cobro coactivo, en términos relativos a la cuantía, antigüedad, naturaleza de la obligación y condiciones particulares del deudor entre otras.</w:t>
      </w:r>
    </w:p>
    <w:p w14:paraId="5466ED56" w14:textId="77777777" w:rsidR="00B2442D" w:rsidRDefault="00B2442D">
      <w:pPr>
        <w:jc w:val="both"/>
        <w:rPr>
          <w:rFonts w:ascii="Arial" w:hAnsi="Arial" w:cs="Arial"/>
        </w:rPr>
      </w:pPr>
    </w:p>
    <w:p w14:paraId="0BABD81C" w14:textId="77777777" w:rsidR="00B2442D" w:rsidRDefault="008A645F">
      <w:pPr>
        <w:jc w:val="both"/>
        <w:rPr>
          <w:rFonts w:ascii="Arial" w:hAnsi="Arial" w:cs="Arial"/>
          <w:i/>
          <w:lang w:val="es-CO"/>
        </w:rPr>
      </w:pPr>
      <w:r>
        <w:rPr>
          <w:rFonts w:ascii="Arial" w:hAnsi="Arial" w:cs="Arial"/>
          <w:i/>
          <w:lang w:val="es-CO"/>
        </w:rPr>
        <w:t>(Art. 2, Decreto 4473 de 2006) (El presente decreto rige a partir de su publicación y dero</w:t>
      </w:r>
      <w:r>
        <w:rPr>
          <w:rFonts w:ascii="Arial" w:hAnsi="Arial" w:cs="Arial"/>
          <w:i/>
          <w:lang w:val="es-CO"/>
        </w:rPr>
        <w:t>ga los artículos 7°, 8° y 9° del Decreto 1240 de 1979; el Decreto 2126, del 28 de julio de 1983 y demás disposiciones que le sean contrarias.)</w:t>
      </w:r>
    </w:p>
    <w:p w14:paraId="5A8E51CF" w14:textId="77777777" w:rsidR="00B2442D" w:rsidRDefault="00B2442D">
      <w:pPr>
        <w:jc w:val="both"/>
        <w:rPr>
          <w:rFonts w:ascii="Arial" w:hAnsi="Arial" w:cs="Arial"/>
        </w:rPr>
      </w:pPr>
    </w:p>
    <w:p w14:paraId="20E54F6A"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Facilidades para el pago de las obligaciones a favor de las entidades públicas.</w:t>
      </w:r>
      <w:r>
        <w:rPr>
          <w:rFonts w:ascii="Arial" w:hAnsi="Arial" w:cs="Arial"/>
        </w:rPr>
        <w:t xml:space="preserve"> Las entidades públicas definirán</w:t>
      </w:r>
      <w:r>
        <w:rPr>
          <w:rFonts w:ascii="Arial" w:hAnsi="Arial" w:cs="Arial"/>
        </w:rPr>
        <w:t xml:space="preserve"> en su reglamento de cartera los criterios para el otorgamiento de las facilidades o acuerdos de pago que deberán considerar como mínimo los siguientes aspectos:</w:t>
      </w:r>
    </w:p>
    <w:p w14:paraId="1824477D" w14:textId="77777777" w:rsidR="00B2442D" w:rsidRDefault="00B2442D">
      <w:pPr>
        <w:pStyle w:val="Prrafodelista"/>
        <w:ind w:left="426" w:hanging="426"/>
        <w:jc w:val="both"/>
        <w:rPr>
          <w:rFonts w:ascii="Arial" w:hAnsi="Arial" w:cs="Arial"/>
        </w:rPr>
      </w:pPr>
    </w:p>
    <w:p w14:paraId="42D73FCE" w14:textId="77777777" w:rsidR="00B2442D" w:rsidRDefault="008A645F">
      <w:pPr>
        <w:pStyle w:val="Prrafodelista"/>
        <w:ind w:left="426" w:hanging="426"/>
        <w:jc w:val="both"/>
        <w:rPr>
          <w:rFonts w:ascii="Arial" w:hAnsi="Arial" w:cs="Arial"/>
        </w:rPr>
      </w:pPr>
      <w:r>
        <w:rPr>
          <w:rFonts w:ascii="Arial" w:hAnsi="Arial" w:cs="Arial"/>
        </w:rPr>
        <w:t>1.</w:t>
      </w:r>
      <w:r>
        <w:rPr>
          <w:rFonts w:ascii="Arial" w:hAnsi="Arial" w:cs="Arial"/>
        </w:rPr>
        <w:tab/>
        <w:t>Establecimiento del tipo de garantías que se exigirán, que serán las establecidas en el Có</w:t>
      </w:r>
      <w:r>
        <w:rPr>
          <w:rFonts w:ascii="Arial" w:hAnsi="Arial" w:cs="Arial"/>
        </w:rPr>
        <w:t>digo Civil, Código de Comercio y Estatuto Tributario Nacional</w:t>
      </w:r>
    </w:p>
    <w:p w14:paraId="56B7A0EB" w14:textId="77777777" w:rsidR="00B2442D" w:rsidRDefault="00B2442D">
      <w:pPr>
        <w:ind w:left="426" w:hanging="426"/>
        <w:jc w:val="both"/>
        <w:rPr>
          <w:rFonts w:ascii="Arial" w:hAnsi="Arial" w:cs="Arial"/>
        </w:rPr>
      </w:pPr>
    </w:p>
    <w:p w14:paraId="5DA54477" w14:textId="77777777" w:rsidR="00B2442D" w:rsidRDefault="008A645F">
      <w:pPr>
        <w:pStyle w:val="Prrafodelista"/>
        <w:ind w:left="426" w:hanging="426"/>
        <w:jc w:val="both"/>
        <w:rPr>
          <w:rFonts w:ascii="Arial" w:hAnsi="Arial" w:cs="Arial"/>
        </w:rPr>
      </w:pPr>
      <w:r>
        <w:rPr>
          <w:rFonts w:ascii="Arial" w:hAnsi="Arial" w:cs="Arial"/>
        </w:rPr>
        <w:t>2.</w:t>
      </w:r>
      <w:r>
        <w:rPr>
          <w:rFonts w:ascii="Arial" w:hAnsi="Arial" w:cs="Arial"/>
        </w:rPr>
        <w:tab/>
        <w:t>Condiciones para el otorgamiento de plazos para el pago, determinación de plazos posibles y de los criterios específicos para su otorgamiento, que en ningún caso superarán los cinco (5) años</w:t>
      </w:r>
      <w:r>
        <w:rPr>
          <w:rFonts w:ascii="Arial" w:hAnsi="Arial" w:cs="Arial"/>
        </w:rPr>
        <w:t>.</w:t>
      </w:r>
    </w:p>
    <w:p w14:paraId="2840750E" w14:textId="77777777" w:rsidR="00B2442D" w:rsidRDefault="00B2442D">
      <w:pPr>
        <w:ind w:left="426" w:hanging="426"/>
        <w:jc w:val="both"/>
        <w:rPr>
          <w:rFonts w:ascii="Arial" w:hAnsi="Arial" w:cs="Arial"/>
        </w:rPr>
      </w:pPr>
    </w:p>
    <w:p w14:paraId="4BD75C2C" w14:textId="77777777" w:rsidR="00B2442D" w:rsidRDefault="008A645F">
      <w:pPr>
        <w:ind w:left="426" w:hanging="426"/>
        <w:jc w:val="both"/>
        <w:rPr>
          <w:rFonts w:ascii="Arial" w:hAnsi="Arial" w:cs="Arial"/>
        </w:rPr>
      </w:pPr>
      <w:r>
        <w:rPr>
          <w:rFonts w:ascii="Arial" w:hAnsi="Arial" w:cs="Arial"/>
        </w:rPr>
        <w:t>3.</w:t>
      </w:r>
      <w:r>
        <w:rPr>
          <w:rFonts w:ascii="Arial" w:hAnsi="Arial" w:cs="Arial"/>
        </w:rPr>
        <w:tab/>
        <w:t>Obligatoriedad del establecimiento de cláusulas aceleratorias en caso de incumplimiento.</w:t>
      </w:r>
    </w:p>
    <w:p w14:paraId="1FF7E5C5" w14:textId="77777777" w:rsidR="00B2442D" w:rsidRDefault="00B2442D">
      <w:pPr>
        <w:jc w:val="both"/>
        <w:rPr>
          <w:rFonts w:ascii="Arial" w:hAnsi="Arial" w:cs="Arial"/>
        </w:rPr>
      </w:pPr>
    </w:p>
    <w:p w14:paraId="04366B9F" w14:textId="77777777" w:rsidR="00B2442D" w:rsidRDefault="008A645F">
      <w:pPr>
        <w:jc w:val="both"/>
        <w:rPr>
          <w:rFonts w:ascii="Arial" w:hAnsi="Arial" w:cs="Arial"/>
          <w:i/>
          <w:lang w:val="es-CO"/>
        </w:rPr>
      </w:pPr>
      <w:r>
        <w:rPr>
          <w:rFonts w:ascii="Arial" w:hAnsi="Arial" w:cs="Arial"/>
          <w:i/>
          <w:lang w:val="es-CO"/>
        </w:rPr>
        <w:t>(Art. 3, Decreto 4473 de 2006) (El presente decreto rige a partir de su publicación y deroga los artículos 7°, 8° y 9° del Decreto 1240 de 1979; el Decreto 2126</w:t>
      </w:r>
      <w:r>
        <w:rPr>
          <w:rFonts w:ascii="Arial" w:hAnsi="Arial" w:cs="Arial"/>
          <w:i/>
          <w:lang w:val="es-CO"/>
        </w:rPr>
        <w:t>, del 28 de julio de 1983 y demás disposiciones que le sean contrarias.)</w:t>
      </w:r>
    </w:p>
    <w:p w14:paraId="36CB56F4" w14:textId="77777777" w:rsidR="00B2442D" w:rsidRDefault="00B2442D">
      <w:pPr>
        <w:jc w:val="both"/>
        <w:rPr>
          <w:rFonts w:ascii="Arial" w:hAnsi="Arial" w:cs="Arial"/>
        </w:rPr>
      </w:pPr>
    </w:p>
    <w:p w14:paraId="31D39E37"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 xml:space="preserve">Garantías a favor de la entidad pública. </w:t>
      </w:r>
      <w:r>
        <w:rPr>
          <w:rFonts w:ascii="Arial" w:hAnsi="Arial" w:cs="Arial"/>
        </w:rPr>
        <w:t>Las entidades públicas deberán incluir en su Reglamento Interno de Recaudo de Cartera los parámetros con base en los cuales se exigirán las g</w:t>
      </w:r>
      <w:r>
        <w:rPr>
          <w:rFonts w:ascii="Arial" w:hAnsi="Arial" w:cs="Arial"/>
        </w:rPr>
        <w:t>arantías, de acuerdo con los siguientes criterios:</w:t>
      </w:r>
    </w:p>
    <w:p w14:paraId="1E697A13" w14:textId="77777777" w:rsidR="00B2442D" w:rsidRDefault="00B2442D">
      <w:pPr>
        <w:jc w:val="both"/>
        <w:rPr>
          <w:rFonts w:ascii="Arial" w:hAnsi="Arial" w:cs="Arial"/>
        </w:rPr>
      </w:pPr>
    </w:p>
    <w:p w14:paraId="4F7CF96D" w14:textId="77777777" w:rsidR="00B2442D" w:rsidRDefault="008A645F">
      <w:pPr>
        <w:ind w:left="284" w:hanging="284"/>
        <w:jc w:val="both"/>
        <w:rPr>
          <w:rFonts w:ascii="Arial" w:hAnsi="Arial" w:cs="Arial"/>
        </w:rPr>
      </w:pPr>
      <w:r>
        <w:rPr>
          <w:rFonts w:ascii="Arial" w:hAnsi="Arial" w:cs="Arial"/>
        </w:rPr>
        <w:t>1.</w:t>
      </w:r>
      <w:r>
        <w:rPr>
          <w:rFonts w:ascii="Arial" w:hAnsi="Arial" w:cs="Arial"/>
        </w:rPr>
        <w:tab/>
        <w:t>Monto de la obligación.</w:t>
      </w:r>
    </w:p>
    <w:p w14:paraId="0879B23A" w14:textId="77777777" w:rsidR="00B2442D" w:rsidRDefault="008A645F">
      <w:pPr>
        <w:ind w:left="284" w:hanging="284"/>
        <w:jc w:val="both"/>
        <w:rPr>
          <w:rFonts w:ascii="Arial" w:hAnsi="Arial" w:cs="Arial"/>
        </w:rPr>
      </w:pPr>
      <w:r>
        <w:rPr>
          <w:rFonts w:ascii="Arial" w:hAnsi="Arial" w:cs="Arial"/>
        </w:rPr>
        <w:t>2.</w:t>
      </w:r>
      <w:r>
        <w:rPr>
          <w:rFonts w:ascii="Arial" w:hAnsi="Arial" w:cs="Arial"/>
        </w:rPr>
        <w:tab/>
        <w:t>Tipo de acreencia.</w:t>
      </w:r>
    </w:p>
    <w:p w14:paraId="3FB71690" w14:textId="77777777" w:rsidR="00B2442D" w:rsidRDefault="008A645F">
      <w:pPr>
        <w:ind w:left="284" w:hanging="284"/>
        <w:jc w:val="both"/>
        <w:rPr>
          <w:rFonts w:ascii="Arial" w:hAnsi="Arial" w:cs="Arial"/>
        </w:rPr>
      </w:pPr>
      <w:r>
        <w:rPr>
          <w:rFonts w:ascii="Arial" w:hAnsi="Arial" w:cs="Arial"/>
        </w:rPr>
        <w:t>3.</w:t>
      </w:r>
      <w:r>
        <w:rPr>
          <w:rFonts w:ascii="Arial" w:hAnsi="Arial" w:cs="Arial"/>
        </w:rPr>
        <w:tab/>
        <w:t>Criterios objetivos para calificar la capacidad de pago de los deudores.</w:t>
      </w:r>
    </w:p>
    <w:p w14:paraId="6DE974B1" w14:textId="77777777" w:rsidR="00B2442D" w:rsidRDefault="00B2442D">
      <w:pPr>
        <w:jc w:val="both"/>
        <w:rPr>
          <w:rFonts w:ascii="Arial" w:hAnsi="Arial" w:cs="Arial"/>
        </w:rPr>
      </w:pPr>
    </w:p>
    <w:p w14:paraId="302E9719" w14:textId="77777777" w:rsidR="00B2442D" w:rsidRDefault="008A645F">
      <w:pPr>
        <w:jc w:val="both"/>
        <w:rPr>
          <w:rFonts w:ascii="Arial" w:hAnsi="Arial" w:cs="Arial"/>
        </w:rPr>
      </w:pPr>
      <w:r>
        <w:rPr>
          <w:rFonts w:ascii="Arial" w:hAnsi="Arial" w:cs="Arial"/>
          <w:b/>
        </w:rPr>
        <w:t>Parágrafo 1°.</w:t>
      </w:r>
      <w:r>
        <w:rPr>
          <w:rFonts w:ascii="Arial" w:hAnsi="Arial" w:cs="Arial"/>
        </w:rPr>
        <w:t xml:space="preserve"> Las garantías que se constituyan a favor de la respectiva entidad, deben otorgarse de conformidad con las disposiciones legales y que deben cubrir suficientemente tanto el valor de la obligación principal como el de los intereses y sanciones en los casos </w:t>
      </w:r>
      <w:r>
        <w:rPr>
          <w:rFonts w:ascii="Arial" w:hAnsi="Arial" w:cs="Arial"/>
        </w:rPr>
        <w:t>a que haya lugar.</w:t>
      </w:r>
    </w:p>
    <w:p w14:paraId="06676A09" w14:textId="77777777" w:rsidR="00B2442D" w:rsidRDefault="00B2442D">
      <w:pPr>
        <w:jc w:val="both"/>
        <w:rPr>
          <w:rFonts w:ascii="Arial" w:hAnsi="Arial" w:cs="Arial"/>
        </w:rPr>
      </w:pPr>
    </w:p>
    <w:p w14:paraId="485B877A" w14:textId="77777777" w:rsidR="00B2442D" w:rsidRDefault="008A645F">
      <w:pPr>
        <w:jc w:val="both"/>
        <w:rPr>
          <w:rFonts w:ascii="Arial" w:hAnsi="Arial" w:cs="Arial"/>
        </w:rPr>
      </w:pPr>
      <w:r>
        <w:rPr>
          <w:rFonts w:ascii="Arial" w:hAnsi="Arial" w:cs="Arial"/>
          <w:b/>
        </w:rPr>
        <w:t>Parágrafo 2°.</w:t>
      </w:r>
      <w:r>
        <w:rPr>
          <w:rFonts w:ascii="Arial" w:hAnsi="Arial" w:cs="Arial"/>
        </w:rPr>
        <w:t xml:space="preserve"> Los costos que represente el otorgamiento de la garantía para la suscripción de la facilidad de pago, deben ser cubiertos por el deudor o el tercero que suscriba el acuerdo en su nombre.</w:t>
      </w:r>
    </w:p>
    <w:p w14:paraId="7A69339A" w14:textId="77777777" w:rsidR="00B2442D" w:rsidRDefault="00B2442D">
      <w:pPr>
        <w:jc w:val="both"/>
        <w:rPr>
          <w:rFonts w:ascii="Arial" w:hAnsi="Arial" w:cs="Arial"/>
        </w:rPr>
      </w:pPr>
    </w:p>
    <w:p w14:paraId="30ED8472" w14:textId="77777777" w:rsidR="00B2442D" w:rsidRDefault="008A645F">
      <w:pPr>
        <w:jc w:val="both"/>
        <w:rPr>
          <w:rFonts w:ascii="Arial" w:hAnsi="Arial" w:cs="Arial"/>
        </w:rPr>
      </w:pPr>
      <w:r>
        <w:rPr>
          <w:rFonts w:ascii="Arial" w:hAnsi="Arial" w:cs="Arial"/>
          <w:b/>
        </w:rPr>
        <w:t xml:space="preserve">Parágrafo 3°. </w:t>
      </w:r>
      <w:r>
        <w:rPr>
          <w:rFonts w:ascii="Arial" w:hAnsi="Arial" w:cs="Arial"/>
        </w:rPr>
        <w:t>La regulación en el r</w:t>
      </w:r>
      <w:r>
        <w:rPr>
          <w:rFonts w:ascii="Arial" w:hAnsi="Arial" w:cs="Arial"/>
        </w:rPr>
        <w:t>eglamento interno de cartera de cada entidad, para la procedencia de la facilidad de pago con garantía personal, debe tener como límite máximo el monto de la obligación establecido en el artículo 814 del Estatuto Tributario Nacional.</w:t>
      </w:r>
    </w:p>
    <w:p w14:paraId="22FED9AA" w14:textId="77777777" w:rsidR="00B2442D" w:rsidRDefault="00B2442D">
      <w:pPr>
        <w:jc w:val="both"/>
        <w:rPr>
          <w:rFonts w:ascii="Arial" w:hAnsi="Arial" w:cs="Arial"/>
        </w:rPr>
      </w:pPr>
    </w:p>
    <w:p w14:paraId="25F116D7" w14:textId="77777777" w:rsidR="00B2442D" w:rsidRDefault="008A645F">
      <w:pPr>
        <w:jc w:val="both"/>
        <w:rPr>
          <w:rFonts w:ascii="Arial" w:hAnsi="Arial" w:cs="Arial"/>
        </w:rPr>
      </w:pPr>
      <w:r>
        <w:rPr>
          <w:rFonts w:ascii="Arial" w:hAnsi="Arial" w:cs="Arial"/>
          <w:b/>
        </w:rPr>
        <w:t>Parágrafo 4°.</w:t>
      </w:r>
      <w:r>
        <w:rPr>
          <w:rFonts w:ascii="Arial" w:hAnsi="Arial" w:cs="Arial"/>
        </w:rPr>
        <w:t xml:space="preserve"> La regu</w:t>
      </w:r>
      <w:r>
        <w:rPr>
          <w:rFonts w:ascii="Arial" w:hAnsi="Arial" w:cs="Arial"/>
        </w:rPr>
        <w:t>lación en el reglamento interno de cartera de cada entidad, para la procedencia de la facilidad de pago sin garantías, debe satisfacer los supuestos establecidos en el artículo 814 del Estatuto Tributario Nacional.</w:t>
      </w:r>
    </w:p>
    <w:p w14:paraId="2D0605E8" w14:textId="77777777" w:rsidR="00B2442D" w:rsidRDefault="00B2442D">
      <w:pPr>
        <w:jc w:val="both"/>
        <w:rPr>
          <w:rFonts w:ascii="Arial" w:hAnsi="Arial" w:cs="Arial"/>
        </w:rPr>
      </w:pPr>
    </w:p>
    <w:p w14:paraId="5B1D59EA" w14:textId="77777777" w:rsidR="00B2442D" w:rsidRDefault="008A645F">
      <w:pPr>
        <w:jc w:val="both"/>
        <w:rPr>
          <w:rFonts w:ascii="Arial" w:hAnsi="Arial" w:cs="Arial"/>
          <w:i/>
          <w:lang w:val="es-CO"/>
        </w:rPr>
      </w:pPr>
      <w:r>
        <w:rPr>
          <w:rFonts w:ascii="Arial" w:hAnsi="Arial" w:cs="Arial"/>
          <w:i/>
          <w:lang w:val="es-CO"/>
        </w:rPr>
        <w:t>(Art. 4, Decreto 4473 de 2006) (El prese</w:t>
      </w:r>
      <w:r>
        <w:rPr>
          <w:rFonts w:ascii="Arial" w:hAnsi="Arial" w:cs="Arial"/>
          <w:i/>
          <w:lang w:val="es-CO"/>
        </w:rPr>
        <w:t>nte decreto rige a partir de su publicación y deroga los artículos 7°, 8° y 9° del Decreto 1240 de 1979; el Decreto 2126, del 28 de julio de 1983 y demás disposiciones que le sean contrarias.)</w:t>
      </w:r>
    </w:p>
    <w:p w14:paraId="100F4E89" w14:textId="77777777" w:rsidR="00B2442D" w:rsidRDefault="00B2442D">
      <w:pPr>
        <w:jc w:val="both"/>
        <w:rPr>
          <w:rFonts w:ascii="Arial" w:hAnsi="Arial" w:cs="Arial"/>
        </w:rPr>
      </w:pPr>
    </w:p>
    <w:p w14:paraId="3644A028"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Procedimiento aplicable.</w:t>
      </w:r>
      <w:r>
        <w:rPr>
          <w:rFonts w:ascii="Arial" w:hAnsi="Arial" w:cs="Arial"/>
        </w:rPr>
        <w:t xml:space="preserve"> Las entidades objeto de la Ley 1066 d</w:t>
      </w:r>
      <w:r>
        <w:rPr>
          <w:rFonts w:ascii="Arial" w:hAnsi="Arial" w:cs="Arial"/>
        </w:rPr>
        <w:t>e 2006 aplicarán en su integridad, para ejercer el cobro coactivo, el procedimiento establecido por el Estatuto Tributario Nacional o el de las normas a que este Estatuto remita.</w:t>
      </w:r>
    </w:p>
    <w:p w14:paraId="01C0F5D4" w14:textId="77777777" w:rsidR="00B2442D" w:rsidRDefault="00B2442D">
      <w:pPr>
        <w:jc w:val="both"/>
        <w:rPr>
          <w:rFonts w:ascii="Arial" w:hAnsi="Arial" w:cs="Arial"/>
        </w:rPr>
      </w:pPr>
    </w:p>
    <w:p w14:paraId="62A36A94" w14:textId="77777777" w:rsidR="00B2442D" w:rsidRDefault="008A645F">
      <w:pPr>
        <w:jc w:val="both"/>
        <w:rPr>
          <w:rFonts w:ascii="Arial" w:hAnsi="Arial" w:cs="Arial"/>
          <w:i/>
          <w:lang w:val="es-CO"/>
        </w:rPr>
      </w:pPr>
      <w:r>
        <w:rPr>
          <w:rFonts w:ascii="Arial" w:hAnsi="Arial" w:cs="Arial"/>
          <w:i/>
          <w:lang w:val="es-CO"/>
        </w:rPr>
        <w:t xml:space="preserve">(Art. 5, Decreto 4473 de 2006) (El presente decreto rige a partir de su </w:t>
      </w:r>
      <w:r>
        <w:rPr>
          <w:rFonts w:ascii="Arial" w:hAnsi="Arial" w:cs="Arial"/>
          <w:i/>
          <w:lang w:val="es-CO"/>
        </w:rPr>
        <w:t>publicación y deroga los artículos 7°, 8° y 9° del Decreto 1240 de 1979; el Decreto 2126, del 28 de julio de 1983 y demás disposiciones que le sean contrarias.)</w:t>
      </w:r>
    </w:p>
    <w:p w14:paraId="323CA22F" w14:textId="77777777" w:rsidR="00B2442D" w:rsidRDefault="00B2442D">
      <w:pPr>
        <w:jc w:val="both"/>
        <w:rPr>
          <w:rFonts w:ascii="Arial" w:hAnsi="Arial" w:cs="Arial"/>
        </w:rPr>
      </w:pPr>
    </w:p>
    <w:p w14:paraId="5B26BD90"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Plazo.</w:t>
      </w:r>
      <w:r>
        <w:rPr>
          <w:rFonts w:ascii="Arial" w:hAnsi="Arial" w:cs="Arial"/>
        </w:rPr>
        <w:t xml:space="preserve"> Dentro de los 2 meses siguientes a la vigencia del presente decreto, las entidades de q</w:t>
      </w:r>
      <w:r>
        <w:rPr>
          <w:rFonts w:ascii="Arial" w:hAnsi="Arial" w:cs="Arial"/>
        </w:rPr>
        <w:t>ue trata el artículo 3.1.1 de este decreto, deberán expedir su propio Reglamento Interno de Recaudo de Cartera en los términos aquí señalados.</w:t>
      </w:r>
    </w:p>
    <w:p w14:paraId="78432B01" w14:textId="77777777" w:rsidR="00B2442D" w:rsidRDefault="00B2442D">
      <w:pPr>
        <w:jc w:val="both"/>
        <w:rPr>
          <w:rFonts w:ascii="Arial" w:hAnsi="Arial" w:cs="Arial"/>
        </w:rPr>
      </w:pPr>
    </w:p>
    <w:p w14:paraId="43D5C292" w14:textId="77777777" w:rsidR="00B2442D" w:rsidRDefault="008A645F">
      <w:pPr>
        <w:jc w:val="both"/>
        <w:rPr>
          <w:rFonts w:ascii="Arial" w:hAnsi="Arial" w:cs="Arial"/>
        </w:rPr>
      </w:pPr>
      <w:r>
        <w:rPr>
          <w:rFonts w:ascii="Arial" w:hAnsi="Arial" w:cs="Arial"/>
        </w:rPr>
        <w:t>Sin perjuicio de la responsabilidad en que pueda incurrir el jefe o representante legal de la entidad en el caso</w:t>
      </w:r>
      <w:r>
        <w:rPr>
          <w:rFonts w:ascii="Arial" w:hAnsi="Arial" w:cs="Arial"/>
        </w:rPr>
        <w:t xml:space="preserve"> de no expedición del reglamento de cartera en el plazo antes señalado, los procedimientos administrativos de cobro coactivo y el otorgamiento de facilidades de pago, se adelantarán conforme a lo previsto en el Estatuto Tributario Nacional.</w:t>
      </w:r>
    </w:p>
    <w:p w14:paraId="7A962298" w14:textId="77777777" w:rsidR="00B2442D" w:rsidRDefault="00B2442D">
      <w:pPr>
        <w:jc w:val="both"/>
        <w:rPr>
          <w:rFonts w:ascii="Arial" w:hAnsi="Arial" w:cs="Arial"/>
        </w:rPr>
      </w:pPr>
    </w:p>
    <w:p w14:paraId="6CBA0CF7" w14:textId="77777777" w:rsidR="00B2442D" w:rsidRDefault="008A645F">
      <w:pPr>
        <w:jc w:val="both"/>
        <w:rPr>
          <w:rFonts w:ascii="Arial" w:hAnsi="Arial" w:cs="Arial"/>
          <w:i/>
          <w:lang w:val="es-CO"/>
        </w:rPr>
      </w:pPr>
      <w:r>
        <w:rPr>
          <w:rFonts w:ascii="Arial" w:hAnsi="Arial" w:cs="Arial"/>
          <w:i/>
          <w:lang w:val="es-CO"/>
        </w:rPr>
        <w:t>(Art. 6, Decre</w:t>
      </w:r>
      <w:r>
        <w:rPr>
          <w:rFonts w:ascii="Arial" w:hAnsi="Arial" w:cs="Arial"/>
          <w:i/>
          <w:lang w:val="es-CO"/>
        </w:rPr>
        <w:t>to 4473 de 2006) (El presente decreto rige a partir de su publicación y deroga los artículos 7°, 8° y 9° del Decreto 1240 de 1979; el Decreto 2126, del 28 de julio de 1983 y demás disposiciones que le sean contrarias.)</w:t>
      </w:r>
    </w:p>
    <w:p w14:paraId="3890415D" w14:textId="77777777" w:rsidR="00B2442D" w:rsidRDefault="00B2442D">
      <w:pPr>
        <w:jc w:val="both"/>
        <w:rPr>
          <w:rFonts w:ascii="Arial" w:hAnsi="Arial" w:cs="Arial"/>
        </w:rPr>
      </w:pPr>
    </w:p>
    <w:p w14:paraId="11285A57" w14:textId="77777777" w:rsidR="00B2442D" w:rsidRDefault="008A645F">
      <w:pPr>
        <w:pStyle w:val="Prrafodelista"/>
        <w:numPr>
          <w:ilvl w:val="0"/>
          <w:numId w:val="168"/>
        </w:numPr>
        <w:ind w:left="0" w:firstLine="0"/>
        <w:jc w:val="both"/>
        <w:rPr>
          <w:rFonts w:ascii="Arial" w:hAnsi="Arial" w:cs="Arial"/>
        </w:rPr>
      </w:pPr>
      <w:r>
        <w:rPr>
          <w:rFonts w:ascii="Arial" w:hAnsi="Arial" w:cs="Arial"/>
          <w:b/>
          <w:i/>
        </w:rPr>
        <w:t>Determinación de la tasa de interés.</w:t>
      </w:r>
      <w:r>
        <w:rPr>
          <w:rFonts w:ascii="Arial" w:hAnsi="Arial" w:cs="Arial"/>
        </w:rPr>
        <w:t xml:space="preserve"> Las obligaciones diferentes a impuestos, tasas y contribuciones fiscales y parafiscales continuarán aplicando las tasas de interés especiales previstas en el ordenamiento nacional.</w:t>
      </w:r>
    </w:p>
    <w:p w14:paraId="541E6F01" w14:textId="77777777" w:rsidR="00B2442D" w:rsidRDefault="00B2442D">
      <w:pPr>
        <w:jc w:val="both"/>
        <w:rPr>
          <w:rFonts w:ascii="Arial" w:hAnsi="Arial" w:cs="Arial"/>
        </w:rPr>
      </w:pPr>
    </w:p>
    <w:p w14:paraId="2E956A6E" w14:textId="77777777" w:rsidR="00B2442D" w:rsidRDefault="008A645F">
      <w:pPr>
        <w:jc w:val="both"/>
        <w:rPr>
          <w:rFonts w:ascii="Arial" w:hAnsi="Arial" w:cs="Arial"/>
          <w:i/>
          <w:lang w:val="es-CO"/>
        </w:rPr>
      </w:pPr>
      <w:r>
        <w:rPr>
          <w:rFonts w:ascii="Arial" w:hAnsi="Arial" w:cs="Arial"/>
          <w:i/>
          <w:lang w:val="es-CO"/>
        </w:rPr>
        <w:t xml:space="preserve">(Art. 7, Decreto 4473 de 2006) (El presente decreto rige a partir de su </w:t>
      </w:r>
      <w:r>
        <w:rPr>
          <w:rFonts w:ascii="Arial" w:hAnsi="Arial" w:cs="Arial"/>
          <w:i/>
          <w:lang w:val="es-CO"/>
        </w:rPr>
        <w:t>publicación y deroga los artículos 7°, 8° y 9° del Decreto 1240 de 1979; el Decreto 2126, del 28 de julio de 1983 y demás disposiciones que le sean contrarias.)</w:t>
      </w:r>
    </w:p>
    <w:p w14:paraId="3520DB79" w14:textId="77777777" w:rsidR="00B2442D" w:rsidRDefault="00B2442D">
      <w:pPr>
        <w:jc w:val="both"/>
        <w:rPr>
          <w:rFonts w:ascii="Arial" w:hAnsi="Arial" w:cs="Arial"/>
          <w:i/>
        </w:rPr>
      </w:pPr>
    </w:p>
    <w:p w14:paraId="48907ECF" w14:textId="77777777" w:rsidR="00B2442D" w:rsidRDefault="00B2442D">
      <w:pPr>
        <w:jc w:val="both"/>
        <w:rPr>
          <w:rFonts w:ascii="Arial" w:hAnsi="Arial" w:cs="Arial"/>
          <w:i/>
        </w:rPr>
      </w:pPr>
    </w:p>
    <w:p w14:paraId="6A5D9A79" w14:textId="77777777" w:rsidR="00B2442D" w:rsidRDefault="008A645F">
      <w:pPr>
        <w:pStyle w:val="Ttulo2"/>
      </w:pPr>
      <w:bookmarkStart w:id="91" w:name="_Toc479171243"/>
      <w:r>
        <w:t>PARTE 2</w:t>
      </w:r>
      <w:bookmarkEnd w:id="91"/>
    </w:p>
    <w:p w14:paraId="23FBF48B" w14:textId="77777777" w:rsidR="00B2442D" w:rsidRDefault="008A645F">
      <w:pPr>
        <w:pStyle w:val="Ttulo2"/>
      </w:pPr>
      <w:bookmarkStart w:id="92" w:name="_Toc479171244"/>
      <w:r>
        <w:t>DISPOSICIONES FINALES</w:t>
      </w:r>
      <w:bookmarkEnd w:id="92"/>
    </w:p>
    <w:p w14:paraId="13E13125" w14:textId="77777777" w:rsidR="00B2442D" w:rsidRDefault="00B2442D">
      <w:pPr>
        <w:jc w:val="both"/>
        <w:rPr>
          <w:rFonts w:ascii="Arial" w:hAnsi="Arial" w:cs="Arial"/>
          <w:lang w:val="es-CO"/>
        </w:rPr>
      </w:pPr>
    </w:p>
    <w:p w14:paraId="41271835"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 xml:space="preserve">Cuantificación del valor bruto del recaudo del impuesto sobre </w:t>
      </w:r>
      <w:r>
        <w:rPr>
          <w:rFonts w:ascii="Arial" w:hAnsi="Arial" w:cs="Arial"/>
          <w:b/>
          <w:i/>
          <w:lang w:val="es-CO"/>
        </w:rPr>
        <w:t xml:space="preserve">las ventas – IVA. </w:t>
      </w:r>
      <w:r>
        <w:rPr>
          <w:rFonts w:ascii="Arial" w:hAnsi="Arial" w:cs="Arial"/>
          <w:lang w:val="es-CO"/>
        </w:rPr>
        <w:t>El valor bruto del recaudo del impuesto sobre las ventas lo cuantificará la Unidad Administrativa Especial Dirección de Impuestos y Aduanas Nacionales–DIAN. Dicho valor, para los ajustes a que haya lugar en las transferencias, será certif</w:t>
      </w:r>
      <w:r>
        <w:rPr>
          <w:rFonts w:ascii="Arial" w:hAnsi="Arial" w:cs="Arial"/>
          <w:lang w:val="es-CO"/>
        </w:rPr>
        <w:t>icado por la Contraloría General de la República.</w:t>
      </w:r>
    </w:p>
    <w:p w14:paraId="13D872D6" w14:textId="77777777" w:rsidR="00B2442D" w:rsidRDefault="00B2442D">
      <w:pPr>
        <w:jc w:val="both"/>
        <w:rPr>
          <w:rFonts w:ascii="Arial" w:hAnsi="Arial" w:cs="Arial"/>
          <w:i/>
          <w:lang w:val="es-CO"/>
        </w:rPr>
      </w:pPr>
    </w:p>
    <w:p w14:paraId="71BA3D74" w14:textId="77777777" w:rsidR="00B2442D" w:rsidRDefault="008A645F">
      <w:pPr>
        <w:jc w:val="both"/>
        <w:rPr>
          <w:rFonts w:ascii="Arial" w:hAnsi="Arial" w:cs="Arial"/>
          <w:i/>
          <w:lang w:val="es-CO"/>
        </w:rPr>
      </w:pPr>
      <w:r>
        <w:rPr>
          <w:rFonts w:ascii="Arial" w:hAnsi="Arial" w:cs="Arial"/>
          <w:i/>
          <w:lang w:val="es-CO"/>
        </w:rPr>
        <w:t>(Art. 1, Decreto 1030 de 1993)</w:t>
      </w:r>
    </w:p>
    <w:p w14:paraId="10D47072" w14:textId="77777777" w:rsidR="00B2442D" w:rsidRDefault="00B2442D">
      <w:pPr>
        <w:jc w:val="both"/>
        <w:rPr>
          <w:rFonts w:ascii="Arial" w:hAnsi="Arial" w:cs="Arial"/>
          <w:lang w:val="es-CO"/>
        </w:rPr>
      </w:pPr>
    </w:p>
    <w:p w14:paraId="40EA8F12"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Cálculo de los recaudos efectivos netos del impuesto sobre las ventas – IVA</w:t>
      </w:r>
      <w:r>
        <w:rPr>
          <w:rFonts w:ascii="Arial" w:hAnsi="Arial" w:cs="Arial"/>
          <w:lang w:val="es-CO"/>
        </w:rPr>
        <w:t>. Los recaudos efectivos netos del impuesto sobre las Ventas de que trata el artículo 74 de la Ley</w:t>
      </w:r>
      <w:r>
        <w:rPr>
          <w:rFonts w:ascii="Arial" w:hAnsi="Arial" w:cs="Arial"/>
          <w:lang w:val="es-CO"/>
        </w:rPr>
        <w:t xml:space="preserve"> 49 de 1990 se calcularán tomando el valor bruto del recaudo por este concepto, certificado en los términos del artículo anterior, menos las deducciones por menores ingresos.</w:t>
      </w:r>
    </w:p>
    <w:p w14:paraId="017F6E39" w14:textId="77777777" w:rsidR="00B2442D" w:rsidRDefault="00B2442D">
      <w:pPr>
        <w:jc w:val="both"/>
        <w:rPr>
          <w:rFonts w:ascii="Arial" w:hAnsi="Arial" w:cs="Arial"/>
          <w:lang w:val="es-CO"/>
        </w:rPr>
      </w:pPr>
    </w:p>
    <w:p w14:paraId="10B43B87" w14:textId="77777777" w:rsidR="00B2442D" w:rsidRDefault="008A645F">
      <w:pPr>
        <w:jc w:val="both"/>
        <w:rPr>
          <w:rFonts w:ascii="Arial" w:hAnsi="Arial" w:cs="Arial"/>
          <w:i/>
          <w:lang w:val="es-CO"/>
        </w:rPr>
      </w:pPr>
      <w:r>
        <w:rPr>
          <w:rFonts w:ascii="Arial" w:hAnsi="Arial" w:cs="Arial"/>
          <w:i/>
          <w:lang w:val="es-CO"/>
        </w:rPr>
        <w:t>(Art. 2, Decreto 1030 de 1993)</w:t>
      </w:r>
    </w:p>
    <w:p w14:paraId="6D5C7412" w14:textId="77777777" w:rsidR="00B2442D" w:rsidRDefault="00B2442D">
      <w:pPr>
        <w:jc w:val="both"/>
        <w:rPr>
          <w:rFonts w:ascii="Arial" w:hAnsi="Arial" w:cs="Arial"/>
          <w:lang w:val="es-CO"/>
        </w:rPr>
      </w:pPr>
    </w:p>
    <w:p w14:paraId="0EDDCD91"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Cubrimiento de las diferencias que le correspond</w:t>
      </w:r>
      <w:r>
        <w:rPr>
          <w:rFonts w:ascii="Arial" w:hAnsi="Arial" w:cs="Arial"/>
          <w:b/>
          <w:i/>
          <w:lang w:val="es-CO"/>
        </w:rPr>
        <w:t>an a los beneficiarios.</w:t>
      </w:r>
      <w:r>
        <w:rPr>
          <w:rFonts w:ascii="Arial" w:hAnsi="Arial" w:cs="Arial"/>
          <w:lang w:val="es-CO"/>
        </w:rPr>
        <w:t xml:space="preserve"> En el caso de que los recaudos efectivos netos del Impuesto sobre las Ventas resulten superiores al valor presupuestado el año anterior por este concepto en el Presupuesto General de la Nación, la diferencia que le corresponda a los</w:t>
      </w:r>
      <w:r>
        <w:rPr>
          <w:rFonts w:ascii="Arial" w:hAnsi="Arial" w:cs="Arial"/>
          <w:lang w:val="es-CO"/>
        </w:rPr>
        <w:t xml:space="preserve"> beneficiarios de esta participación, se cubrirá con cargo a las apropiaciones presupuestales de la vigencia en que se certifique este faltante.</w:t>
      </w:r>
    </w:p>
    <w:p w14:paraId="6E23E8A6" w14:textId="77777777" w:rsidR="00B2442D" w:rsidRDefault="00B2442D">
      <w:pPr>
        <w:jc w:val="both"/>
        <w:rPr>
          <w:rFonts w:ascii="Arial" w:hAnsi="Arial" w:cs="Arial"/>
          <w:lang w:val="es-CO"/>
        </w:rPr>
      </w:pPr>
    </w:p>
    <w:p w14:paraId="72A11240" w14:textId="77777777" w:rsidR="00B2442D" w:rsidRDefault="008A645F">
      <w:pPr>
        <w:jc w:val="both"/>
        <w:rPr>
          <w:rFonts w:ascii="Arial" w:hAnsi="Arial" w:cs="Arial"/>
          <w:i/>
          <w:lang w:val="es-CO"/>
        </w:rPr>
      </w:pPr>
      <w:r>
        <w:rPr>
          <w:rFonts w:ascii="Arial" w:hAnsi="Arial" w:cs="Arial"/>
          <w:i/>
          <w:lang w:val="es-CO"/>
        </w:rPr>
        <w:t>(Art. 3, Decreto 1030 de 1993)</w:t>
      </w:r>
    </w:p>
    <w:p w14:paraId="28461B76" w14:textId="77777777" w:rsidR="00B2442D" w:rsidRDefault="00B2442D">
      <w:pPr>
        <w:jc w:val="both"/>
        <w:rPr>
          <w:rFonts w:ascii="Arial" w:hAnsi="Arial" w:cs="Arial"/>
          <w:lang w:val="es-CO"/>
        </w:rPr>
      </w:pPr>
    </w:p>
    <w:p w14:paraId="24983B3C"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Desembolso del mayor valor.</w:t>
      </w:r>
      <w:r>
        <w:rPr>
          <w:rFonts w:ascii="Arial" w:hAnsi="Arial" w:cs="Arial"/>
          <w:lang w:val="es-CO"/>
        </w:rPr>
        <w:t xml:space="preserve"> Para efectos del desembolso de este mayor valor, s</w:t>
      </w:r>
      <w:r>
        <w:rPr>
          <w:rFonts w:ascii="Arial" w:hAnsi="Arial" w:cs="Arial"/>
          <w:lang w:val="es-CO"/>
        </w:rPr>
        <w:t>e podrá efectuar el giro con cargo a las apropiaciones presupuestales por concepto de la participación de los beneficiarios en los ingresos corrientes, cumpliendo con el plazo previsto en el artículo 74 de la Ley 49 de 1990.  Las transferencias a los benef</w:t>
      </w:r>
      <w:r>
        <w:rPr>
          <w:rFonts w:ascii="Arial" w:hAnsi="Arial" w:cs="Arial"/>
          <w:lang w:val="es-CO"/>
        </w:rPr>
        <w:t>iciarios que deban efectuarse con cargo a las apropiaciones utilizadas en virtud del presente Decreto, se cancelarán afectando el presupuesto vigente en la última fecha en que legalmente pueda realizarse su pago.</w:t>
      </w:r>
    </w:p>
    <w:p w14:paraId="7F253D91" w14:textId="77777777" w:rsidR="00B2442D" w:rsidRDefault="00B2442D">
      <w:pPr>
        <w:jc w:val="both"/>
        <w:rPr>
          <w:rFonts w:ascii="Arial" w:hAnsi="Arial" w:cs="Arial"/>
          <w:lang w:val="es-CO"/>
        </w:rPr>
      </w:pPr>
    </w:p>
    <w:p w14:paraId="52B7DC89" w14:textId="77777777" w:rsidR="00B2442D" w:rsidRDefault="008A645F">
      <w:pPr>
        <w:jc w:val="both"/>
        <w:rPr>
          <w:rFonts w:ascii="Arial" w:hAnsi="Arial" w:cs="Arial"/>
          <w:i/>
          <w:lang w:val="es-CO"/>
        </w:rPr>
      </w:pPr>
      <w:r>
        <w:rPr>
          <w:rFonts w:ascii="Arial" w:hAnsi="Arial" w:cs="Arial"/>
          <w:i/>
          <w:lang w:val="es-CO"/>
        </w:rPr>
        <w:t>(Art. 4, Decreto 1030 de 1993)</w:t>
      </w:r>
    </w:p>
    <w:p w14:paraId="72944D28" w14:textId="77777777" w:rsidR="00B2442D" w:rsidRDefault="00B2442D">
      <w:pPr>
        <w:jc w:val="both"/>
        <w:rPr>
          <w:rFonts w:ascii="Arial" w:hAnsi="Arial" w:cs="Arial"/>
          <w:lang w:val="es-CO"/>
        </w:rPr>
      </w:pPr>
    </w:p>
    <w:p w14:paraId="3E60EC1F" w14:textId="77777777" w:rsidR="00B2442D" w:rsidRDefault="00B2442D">
      <w:pPr>
        <w:jc w:val="both"/>
        <w:rPr>
          <w:rFonts w:ascii="Arial" w:hAnsi="Arial" w:cs="Arial"/>
          <w:lang w:val="es-CO"/>
        </w:rPr>
      </w:pPr>
    </w:p>
    <w:p w14:paraId="274F2D04"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Naturalez</w:t>
      </w:r>
      <w:r>
        <w:rPr>
          <w:rFonts w:ascii="Arial" w:hAnsi="Arial" w:cs="Arial"/>
          <w:b/>
          <w:i/>
          <w:lang w:val="es-CO"/>
        </w:rPr>
        <w:t>a jurídica de los certificados de desarrollo turístico.</w:t>
      </w:r>
      <w:r>
        <w:rPr>
          <w:rFonts w:ascii="Arial" w:hAnsi="Arial" w:cs="Arial"/>
          <w:lang w:val="es-CO"/>
        </w:rPr>
        <w:t xml:space="preserve"> Los Certificados de Desarrollo Turístico son incentivos fiscales para los inversionistas en establecimientos hoteleros o de hospedaje que tengan señalada importancia para el desarrollo turístico del p</w:t>
      </w:r>
      <w:r>
        <w:rPr>
          <w:rFonts w:ascii="Arial" w:hAnsi="Arial" w:cs="Arial"/>
          <w:lang w:val="es-CO"/>
        </w:rPr>
        <w:t>aís, sirven para pagar por su valor nominal toda clase de impuestos nacionales, a partir de la fecha de su entrega, se emiten al portador, son libremente negociables, no devengan intereses ni gozan de exenciones tributarias y constituyen renta líquida grav</w:t>
      </w:r>
      <w:r>
        <w:rPr>
          <w:rFonts w:ascii="Arial" w:hAnsi="Arial" w:cs="Arial"/>
          <w:lang w:val="es-CO"/>
        </w:rPr>
        <w:t>able para sus beneficiarios directos.</w:t>
      </w:r>
    </w:p>
    <w:p w14:paraId="237EBE6F" w14:textId="77777777" w:rsidR="00B2442D" w:rsidRDefault="00B2442D">
      <w:pPr>
        <w:jc w:val="both"/>
        <w:rPr>
          <w:rFonts w:ascii="Arial" w:hAnsi="Arial" w:cs="Arial"/>
          <w:lang w:val="es-CO"/>
        </w:rPr>
      </w:pPr>
    </w:p>
    <w:p w14:paraId="505C62D8" w14:textId="77777777" w:rsidR="00B2442D" w:rsidRDefault="008A645F">
      <w:pPr>
        <w:jc w:val="both"/>
        <w:rPr>
          <w:rFonts w:ascii="Arial" w:hAnsi="Arial" w:cs="Arial"/>
          <w:i/>
          <w:lang w:val="es-CO"/>
        </w:rPr>
      </w:pPr>
      <w:r>
        <w:rPr>
          <w:rFonts w:ascii="Arial" w:hAnsi="Arial" w:cs="Arial"/>
          <w:i/>
          <w:lang w:val="es-CO"/>
        </w:rPr>
        <w:t>(Art. 1, Decreto 2665 de 1999)</w:t>
      </w:r>
    </w:p>
    <w:p w14:paraId="0348CCFE" w14:textId="77777777" w:rsidR="00B2442D" w:rsidRDefault="00B2442D">
      <w:pPr>
        <w:jc w:val="both"/>
        <w:rPr>
          <w:rFonts w:ascii="Arial" w:hAnsi="Arial" w:cs="Arial"/>
          <w:lang w:val="es-CO"/>
        </w:rPr>
      </w:pPr>
    </w:p>
    <w:p w14:paraId="1AECDB8E"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 xml:space="preserve">De la suspensión y pérdida de los certificados de desarrollo turístico. </w:t>
      </w:r>
      <w:r>
        <w:rPr>
          <w:rFonts w:ascii="Arial" w:hAnsi="Arial" w:cs="Arial"/>
          <w:lang w:val="es-CO"/>
        </w:rPr>
        <w:t>No obstante lo previsto en los artículos anteriores, de conformidad con lo dispuesto por la Ley 333 de 1996 y demás normas concordantes y sin perjuicio de terceros de buena fe, cuando el Ministerio de Desarrollo Económico tenga conocimiento que sobre un es</w:t>
      </w:r>
      <w:r>
        <w:rPr>
          <w:rFonts w:ascii="Arial" w:hAnsi="Arial" w:cs="Arial"/>
          <w:lang w:val="es-CO"/>
        </w:rPr>
        <w:t>tablecimiento hotelero o de hospedaje objeto de los beneficios de que trata el presente decreto se declaró la extinción de dominio, se abstendrá de entregar los Certificados de Desarrollo Turístico. Si la acción de extinción de dominio se encuentra en trám</w:t>
      </w:r>
      <w:r>
        <w:rPr>
          <w:rFonts w:ascii="Arial" w:hAnsi="Arial" w:cs="Arial"/>
          <w:lang w:val="es-CO"/>
        </w:rPr>
        <w:t>ite, la entrega de dichos certificados estará supeditada al resultado de dicho proceso. Asimismo, en el evento que con posteridad a la entrega de los Certificados de Desarrollo Turístico, el Ministerio de Desarrollo Económico tenga conocimiento que sobre u</w:t>
      </w:r>
      <w:r>
        <w:rPr>
          <w:rFonts w:ascii="Arial" w:hAnsi="Arial" w:cs="Arial"/>
          <w:lang w:val="es-CO"/>
        </w:rPr>
        <w:t>n establecimiento hotelero o de hospedaje objeto de estos beneficios se declaró la extinción de dominio, adelantará todas las acciones legales procedentes para obtener a favor de la Nación, la restitución del valor de los certificados entregados y demás su</w:t>
      </w:r>
      <w:r>
        <w:rPr>
          <w:rFonts w:ascii="Arial" w:hAnsi="Arial" w:cs="Arial"/>
          <w:lang w:val="es-CO"/>
        </w:rPr>
        <w:t xml:space="preserve">mas a que haya lugar. </w:t>
      </w:r>
    </w:p>
    <w:p w14:paraId="0BAFA1AC" w14:textId="77777777" w:rsidR="00B2442D" w:rsidRDefault="00B2442D">
      <w:pPr>
        <w:jc w:val="both"/>
        <w:rPr>
          <w:rFonts w:ascii="Arial" w:hAnsi="Arial" w:cs="Arial"/>
          <w:lang w:val="es-CO"/>
        </w:rPr>
      </w:pPr>
    </w:p>
    <w:p w14:paraId="6BD9E7BF"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Para efectos de lo previsto en el presente artículo el Ministerio de Desarrollo Económico solicitará a las autoridades competentes la información necesaria.</w:t>
      </w:r>
    </w:p>
    <w:p w14:paraId="219C874B" w14:textId="77777777" w:rsidR="00B2442D" w:rsidRDefault="00B2442D">
      <w:pPr>
        <w:jc w:val="both"/>
        <w:rPr>
          <w:rFonts w:ascii="Arial" w:hAnsi="Arial" w:cs="Arial"/>
          <w:lang w:val="es-CO"/>
        </w:rPr>
      </w:pPr>
    </w:p>
    <w:p w14:paraId="0CFF1A4C" w14:textId="77777777" w:rsidR="00B2442D" w:rsidRDefault="008A645F">
      <w:pPr>
        <w:jc w:val="both"/>
        <w:rPr>
          <w:rFonts w:ascii="Arial" w:hAnsi="Arial" w:cs="Arial"/>
          <w:i/>
          <w:lang w:val="es-CO"/>
        </w:rPr>
      </w:pPr>
      <w:r>
        <w:rPr>
          <w:rFonts w:ascii="Arial" w:hAnsi="Arial" w:cs="Arial"/>
          <w:i/>
          <w:lang w:val="es-CO"/>
        </w:rPr>
        <w:t>(Art. 18, Decreto 2665 de 1999)</w:t>
      </w:r>
    </w:p>
    <w:p w14:paraId="31A0851D" w14:textId="77777777" w:rsidR="00B2442D" w:rsidRDefault="00B2442D">
      <w:pPr>
        <w:jc w:val="both"/>
        <w:rPr>
          <w:rFonts w:ascii="Arial" w:hAnsi="Arial" w:cs="Arial"/>
          <w:lang w:val="es-CO"/>
        </w:rPr>
      </w:pPr>
    </w:p>
    <w:p w14:paraId="761F8984"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 xml:space="preserve">Usuarios industriales beneficiarios de la exención prevista en el artículo 102 de la ley 1450 de 2011. </w:t>
      </w:r>
      <w:r>
        <w:rPr>
          <w:rFonts w:ascii="Arial" w:hAnsi="Arial" w:cs="Arial"/>
          <w:lang w:val="es-CO"/>
        </w:rPr>
        <w:t>Tienen derecho a la exención de la contribución especial de que trata el numeral 89.5 del artículo 89 de la Ley 142 de 1994, los usuarios industriales de</w:t>
      </w:r>
      <w:r>
        <w:rPr>
          <w:rFonts w:ascii="Arial" w:hAnsi="Arial" w:cs="Arial"/>
          <w:lang w:val="es-CO"/>
        </w:rPr>
        <w:t xml:space="preserve"> gas natural domiciliario cuya actividad económica principal se encuentre registrada en el Registro Único Tributario (RUT), en los Códigos 011 a 360 y 411 a 439 de la Resolución 000139 de 2012, expedida por la UAE - Dirección de Impuestos y Aduanas Naciona</w:t>
      </w:r>
      <w:r>
        <w:rPr>
          <w:rFonts w:ascii="Arial" w:hAnsi="Arial" w:cs="Arial"/>
          <w:lang w:val="es-CO"/>
        </w:rPr>
        <w:t>les (DIAN).</w:t>
      </w:r>
    </w:p>
    <w:p w14:paraId="32EB80F1" w14:textId="77777777" w:rsidR="00B2442D" w:rsidRDefault="00B2442D">
      <w:pPr>
        <w:jc w:val="both"/>
        <w:rPr>
          <w:rFonts w:ascii="Arial" w:hAnsi="Arial" w:cs="Arial"/>
          <w:lang w:val="es-CO"/>
        </w:rPr>
      </w:pPr>
    </w:p>
    <w:p w14:paraId="0FBE7E49" w14:textId="77777777" w:rsidR="00B2442D" w:rsidRDefault="008A645F">
      <w:pPr>
        <w:jc w:val="both"/>
        <w:rPr>
          <w:rFonts w:ascii="Arial" w:hAnsi="Arial" w:cs="Arial"/>
          <w:lang w:val="es-CO"/>
        </w:rPr>
      </w:pPr>
      <w:r>
        <w:rPr>
          <w:rFonts w:ascii="Arial" w:hAnsi="Arial" w:cs="Arial"/>
          <w:b/>
          <w:lang w:val="es-CO"/>
        </w:rPr>
        <w:t>Parágrafo.</w:t>
      </w:r>
      <w:r>
        <w:rPr>
          <w:rFonts w:ascii="Arial" w:hAnsi="Arial" w:cs="Arial"/>
          <w:lang w:val="es-CO"/>
        </w:rPr>
        <w:t xml:space="preserve"> El tratamiento tributario previsto en el presente decreto comenzó a regir a partir del año 2012 y sólo aplica respecto de la actividad económica principal que realice el usuario industrial. Si esta se ejecuta en varios inmuebles, ta</w:t>
      </w:r>
      <w:r>
        <w:rPr>
          <w:rFonts w:ascii="Arial" w:hAnsi="Arial" w:cs="Arial"/>
          <w:lang w:val="es-CO"/>
        </w:rPr>
        <w:t>l tratamiento se aplicará en todos aquellos en los que se realice dicha actividad.</w:t>
      </w:r>
    </w:p>
    <w:p w14:paraId="19FF7D1B" w14:textId="77777777" w:rsidR="00B2442D" w:rsidRDefault="00B2442D">
      <w:pPr>
        <w:jc w:val="both"/>
        <w:rPr>
          <w:rFonts w:ascii="Arial" w:hAnsi="Arial" w:cs="Arial"/>
          <w:lang w:val="es-CO"/>
        </w:rPr>
      </w:pPr>
    </w:p>
    <w:p w14:paraId="796F2C54" w14:textId="77777777" w:rsidR="00B2442D" w:rsidRDefault="008A645F">
      <w:pPr>
        <w:jc w:val="both"/>
        <w:rPr>
          <w:rFonts w:ascii="Arial" w:hAnsi="Arial" w:cs="Arial"/>
          <w:i/>
          <w:lang w:val="es-CO"/>
        </w:rPr>
      </w:pPr>
      <w:r>
        <w:rPr>
          <w:rFonts w:ascii="Arial" w:hAnsi="Arial" w:cs="Arial"/>
          <w:i/>
          <w:lang w:val="es-CO"/>
        </w:rPr>
        <w:t>(Art. 1, Decreto 0654 de 2013) (El Decreto 0654 de 2013 rige a partir de su publicación y deroga el Decreto 4956 de 2011)</w:t>
      </w:r>
    </w:p>
    <w:p w14:paraId="39048335" w14:textId="77777777" w:rsidR="00B2442D" w:rsidRDefault="00B2442D">
      <w:pPr>
        <w:jc w:val="both"/>
        <w:rPr>
          <w:rFonts w:ascii="Arial" w:hAnsi="Arial" w:cs="Arial"/>
          <w:lang w:val="es-CO"/>
        </w:rPr>
      </w:pPr>
    </w:p>
    <w:p w14:paraId="7D2A6948"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Modificaciones en la actividad económica principa</w:t>
      </w:r>
      <w:r>
        <w:rPr>
          <w:rFonts w:ascii="Arial" w:hAnsi="Arial" w:cs="Arial"/>
          <w:b/>
          <w:i/>
          <w:lang w:val="es-CO"/>
        </w:rPr>
        <w:t xml:space="preserve">l que dan lugar al beneficio tributario. </w:t>
      </w:r>
      <w:r>
        <w:rPr>
          <w:rFonts w:ascii="Arial" w:hAnsi="Arial" w:cs="Arial"/>
          <w:lang w:val="es-CO"/>
        </w:rPr>
        <w:t>Los usuarios industriales que con posterioridad a la expedición del presente decreto, modifiquen en el Registro Único Tributario (RUT), su actividad económica principal, a los Códigos 011 a 360 y 411 a 439 de la Res</w:t>
      </w:r>
      <w:r>
        <w:rPr>
          <w:rFonts w:ascii="Arial" w:hAnsi="Arial" w:cs="Arial"/>
          <w:lang w:val="es-CO"/>
        </w:rPr>
        <w:t>olución 000139 de 2012 de la UAE - Dirección de Impuestos y Aduanas Nacionales, deberán informar esta circunstancia a la empresa prestadora del servicio público de gas natural domiciliario o a la entidad encargada del recaudo de la contribución, según corr</w:t>
      </w:r>
      <w:r>
        <w:rPr>
          <w:rFonts w:ascii="Arial" w:hAnsi="Arial" w:cs="Arial"/>
          <w:lang w:val="es-CO"/>
        </w:rPr>
        <w:t>esponda, con el fin de que la misma efectúe las verificaciones pertinentes y actualice la clasificación del usuario, en los términos de la Ley 142 de 1994.</w:t>
      </w:r>
    </w:p>
    <w:p w14:paraId="5F15F7F9" w14:textId="77777777" w:rsidR="00B2442D" w:rsidRDefault="00B2442D">
      <w:pPr>
        <w:jc w:val="both"/>
        <w:rPr>
          <w:rFonts w:ascii="Arial" w:hAnsi="Arial" w:cs="Arial"/>
          <w:lang w:val="es-CO"/>
        </w:rPr>
      </w:pPr>
    </w:p>
    <w:p w14:paraId="68D6FF5E" w14:textId="77777777" w:rsidR="00B2442D" w:rsidRDefault="008A645F">
      <w:pPr>
        <w:jc w:val="both"/>
        <w:rPr>
          <w:rFonts w:ascii="Arial" w:hAnsi="Arial" w:cs="Arial"/>
          <w:lang w:val="es-CO"/>
        </w:rPr>
      </w:pPr>
      <w:r>
        <w:rPr>
          <w:rFonts w:ascii="Arial" w:hAnsi="Arial" w:cs="Arial"/>
          <w:lang w:val="es-CO"/>
        </w:rPr>
        <w:t xml:space="preserve">En caso de que la empresa prestadora del servicio público de gas natural domiciliario o la entidad </w:t>
      </w:r>
      <w:r>
        <w:rPr>
          <w:rFonts w:ascii="Arial" w:hAnsi="Arial" w:cs="Arial"/>
          <w:lang w:val="es-CO"/>
        </w:rPr>
        <w:t>encargada del recaudo de la contribución, según corresponda, encuentre que la actividad económica que se actualizó en el RUT no corresponde a los códigos mencionados, no efectuará la clasificación y dicho usuario no será sujeto de la exención establecida e</w:t>
      </w:r>
      <w:r>
        <w:rPr>
          <w:rFonts w:ascii="Arial" w:hAnsi="Arial" w:cs="Arial"/>
          <w:lang w:val="es-CO"/>
        </w:rPr>
        <w:t>n el artículo 102 de la Ley 1450 de 2011. Adicionalmente, informará en forma inmediata a la UAE - Dirección de Impuestos y Aduanas Nacionales (DIAN), para que adopte las medidas pertinentes.</w:t>
      </w:r>
    </w:p>
    <w:p w14:paraId="1B0FB947" w14:textId="77777777" w:rsidR="00B2442D" w:rsidRDefault="00B2442D">
      <w:pPr>
        <w:jc w:val="both"/>
        <w:rPr>
          <w:rFonts w:ascii="Arial" w:hAnsi="Arial" w:cs="Arial"/>
          <w:lang w:val="es-CO"/>
        </w:rPr>
      </w:pPr>
    </w:p>
    <w:p w14:paraId="4543A37F"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Todas las modificaciones de inclusión o de retiro </w:t>
      </w:r>
      <w:r>
        <w:rPr>
          <w:rFonts w:ascii="Arial" w:hAnsi="Arial" w:cs="Arial"/>
          <w:lang w:val="es-CO"/>
        </w:rPr>
        <w:t>de registros de Número de Identificación del Usuario (NIU), debe solicitarlas el respectivo usuario, adjuntando el Registro Único Tributario (RUT), el cual debe incluir la información necesaria que identifique las sedes del mismo, así como certificación en</w:t>
      </w:r>
      <w:r>
        <w:rPr>
          <w:rFonts w:ascii="Arial" w:hAnsi="Arial" w:cs="Arial"/>
          <w:lang w:val="es-CO"/>
        </w:rPr>
        <w:t xml:space="preserve"> la que conste la relación de los NIU de las sedes en las que se desarrolla la actividad principal del usuario solicitante, la cual debe corresponder a las actividades previstas en el artículo 1o de este decreto. El RUT que sirva de soporte debe haber sido</w:t>
      </w:r>
      <w:r>
        <w:rPr>
          <w:rFonts w:ascii="Arial" w:hAnsi="Arial" w:cs="Arial"/>
          <w:lang w:val="es-CO"/>
        </w:rPr>
        <w:t xml:space="preserve"> expedido con una anterioridad no mayor a treinta (30) días calendario a la fecha de la solicitud.</w:t>
      </w:r>
    </w:p>
    <w:p w14:paraId="4EE41CA6" w14:textId="77777777" w:rsidR="00B2442D" w:rsidRDefault="00B2442D">
      <w:pPr>
        <w:jc w:val="both"/>
        <w:rPr>
          <w:rFonts w:ascii="Arial" w:hAnsi="Arial" w:cs="Arial"/>
          <w:lang w:val="es-CO"/>
        </w:rPr>
      </w:pPr>
    </w:p>
    <w:p w14:paraId="202BDA28" w14:textId="77777777" w:rsidR="00B2442D" w:rsidRDefault="008A645F">
      <w:pPr>
        <w:jc w:val="both"/>
        <w:rPr>
          <w:rFonts w:ascii="Arial" w:hAnsi="Arial" w:cs="Arial"/>
          <w:lang w:val="es-CO"/>
        </w:rPr>
      </w:pPr>
      <w:r>
        <w:rPr>
          <w:rFonts w:ascii="Arial" w:hAnsi="Arial" w:cs="Arial"/>
          <w:b/>
          <w:lang w:val="es-CO"/>
        </w:rPr>
        <w:t xml:space="preserve">Parágrafo 2o. </w:t>
      </w:r>
      <w:r>
        <w:rPr>
          <w:rFonts w:ascii="Arial" w:hAnsi="Arial" w:cs="Arial"/>
          <w:lang w:val="es-CO"/>
        </w:rPr>
        <w:t>Aquellos usuarios industriales de gas natural domiciliario que por sus especiales características de consumo no cuenten con un Número de Ident</w:t>
      </w:r>
      <w:r>
        <w:rPr>
          <w:rFonts w:ascii="Arial" w:hAnsi="Arial" w:cs="Arial"/>
          <w:lang w:val="es-CO"/>
        </w:rPr>
        <w:t>ificación de Usuario (NIU), tendrán derecho a la exención establecida en el artículo 102 de la Ley 1450 de 2011 con el cumplimiento de los demás requisitos previstos en el presente decreto.</w:t>
      </w:r>
    </w:p>
    <w:p w14:paraId="4D5CFFCE" w14:textId="77777777" w:rsidR="00B2442D" w:rsidRDefault="00B2442D">
      <w:pPr>
        <w:jc w:val="both"/>
        <w:rPr>
          <w:rFonts w:ascii="Arial" w:hAnsi="Arial" w:cs="Arial"/>
          <w:lang w:val="es-CO"/>
        </w:rPr>
      </w:pPr>
    </w:p>
    <w:p w14:paraId="03CE626C" w14:textId="77777777" w:rsidR="00B2442D" w:rsidRDefault="008A645F">
      <w:pPr>
        <w:jc w:val="both"/>
        <w:rPr>
          <w:rFonts w:ascii="Arial" w:hAnsi="Arial" w:cs="Arial"/>
          <w:lang w:val="es-CO"/>
        </w:rPr>
      </w:pPr>
      <w:r>
        <w:rPr>
          <w:rFonts w:ascii="Arial" w:hAnsi="Arial" w:cs="Arial"/>
          <w:i/>
          <w:lang w:val="es-CO"/>
        </w:rPr>
        <w:t>(Art. 2, Decreto 0654 de 2013) (El Decreto 0654 de 2013 rige a pa</w:t>
      </w:r>
      <w:r>
        <w:rPr>
          <w:rFonts w:ascii="Arial" w:hAnsi="Arial" w:cs="Arial"/>
          <w:i/>
          <w:lang w:val="es-CO"/>
        </w:rPr>
        <w:t>rtir de su publicación y deroga el Decreto 4956 de 2011)</w:t>
      </w:r>
    </w:p>
    <w:p w14:paraId="1FA281E2" w14:textId="77777777" w:rsidR="00B2442D" w:rsidRDefault="00B2442D">
      <w:pPr>
        <w:jc w:val="both"/>
        <w:rPr>
          <w:rFonts w:ascii="Arial" w:hAnsi="Arial" w:cs="Arial"/>
          <w:lang w:val="es-CO"/>
        </w:rPr>
      </w:pPr>
    </w:p>
    <w:p w14:paraId="385D7ADE"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Modificaciones en la actividad económica principal que dan lugar a la pérdida de la exención.</w:t>
      </w:r>
      <w:r>
        <w:rPr>
          <w:rFonts w:ascii="Arial" w:hAnsi="Arial" w:cs="Arial"/>
          <w:lang w:val="es-CO"/>
        </w:rPr>
        <w:t xml:space="preserve"> Las modificaciones de la actividad económica principal del usuario industrial que den lugar a la pérdida</w:t>
      </w:r>
      <w:r>
        <w:rPr>
          <w:rFonts w:ascii="Arial" w:hAnsi="Arial" w:cs="Arial"/>
          <w:lang w:val="es-CO"/>
        </w:rPr>
        <w:t xml:space="preserve"> de la exención a que se refiere el artículo 1o del presente decreto, deben ser objeto de actualización en el Registro Único Tributario (RUT), y reportadas a la empresa prestadora del servicio público o a la entidad encargada del recaudo de la contribución</w:t>
      </w:r>
      <w:r>
        <w:rPr>
          <w:rFonts w:ascii="Arial" w:hAnsi="Arial" w:cs="Arial"/>
          <w:lang w:val="es-CO"/>
        </w:rPr>
        <w:t>, según corresponda, para efectos de la reclasificación del usuario y del cobro de la contribución.</w:t>
      </w:r>
    </w:p>
    <w:p w14:paraId="753F603A" w14:textId="77777777" w:rsidR="00B2442D" w:rsidRDefault="00B2442D">
      <w:pPr>
        <w:jc w:val="both"/>
        <w:rPr>
          <w:rFonts w:ascii="Arial" w:hAnsi="Arial" w:cs="Arial"/>
          <w:lang w:val="es-CO"/>
        </w:rPr>
      </w:pPr>
    </w:p>
    <w:p w14:paraId="1B5B7926" w14:textId="77777777" w:rsidR="00B2442D" w:rsidRDefault="008A645F">
      <w:pPr>
        <w:jc w:val="both"/>
        <w:rPr>
          <w:rFonts w:ascii="Arial" w:hAnsi="Arial" w:cs="Arial"/>
          <w:lang w:val="es-CO"/>
        </w:rPr>
      </w:pPr>
      <w:r>
        <w:rPr>
          <w:rFonts w:ascii="Arial" w:hAnsi="Arial" w:cs="Arial"/>
          <w:lang w:val="es-CO"/>
        </w:rPr>
        <w:t>Cuando no se informe la modificación y la entidad prestadora del servicio o la entidad encargada del recaudo de la contribución, según corresponda, la veri</w:t>
      </w:r>
      <w:r>
        <w:rPr>
          <w:rFonts w:ascii="Arial" w:hAnsi="Arial" w:cs="Arial"/>
          <w:lang w:val="es-CO"/>
        </w:rPr>
        <w:t>fique, esta última deberá cobrar la contribución de conformidad con el cambio, sin perjuicio de las sanciones a que hubiere lugar.</w:t>
      </w:r>
    </w:p>
    <w:p w14:paraId="1F4365D2" w14:textId="77777777" w:rsidR="00B2442D" w:rsidRDefault="00B2442D">
      <w:pPr>
        <w:jc w:val="both"/>
        <w:rPr>
          <w:rFonts w:ascii="Arial" w:hAnsi="Arial" w:cs="Arial"/>
          <w:lang w:val="es-CO"/>
        </w:rPr>
      </w:pPr>
    </w:p>
    <w:p w14:paraId="77A5F9E9" w14:textId="77777777" w:rsidR="00B2442D" w:rsidRDefault="008A645F">
      <w:pPr>
        <w:jc w:val="both"/>
        <w:rPr>
          <w:rFonts w:ascii="Arial" w:hAnsi="Arial" w:cs="Arial"/>
          <w:lang w:val="es-CO"/>
        </w:rPr>
      </w:pPr>
      <w:r>
        <w:rPr>
          <w:rFonts w:ascii="Arial" w:hAnsi="Arial" w:cs="Arial"/>
          <w:i/>
          <w:lang w:val="es-CO"/>
        </w:rPr>
        <w:t xml:space="preserve">(Art. 3, Decreto 0654 de 2013) (El Decreto 0654 de 2013 rige a partir de su publicación y deroga el Decreto 4956 de </w:t>
      </w:r>
      <w:r>
        <w:rPr>
          <w:rFonts w:ascii="Arial" w:hAnsi="Arial" w:cs="Arial"/>
          <w:i/>
          <w:lang w:val="es-CO"/>
        </w:rPr>
        <w:t>2011)</w:t>
      </w:r>
    </w:p>
    <w:p w14:paraId="35714A91" w14:textId="77777777" w:rsidR="00B2442D" w:rsidRDefault="00B2442D">
      <w:pPr>
        <w:jc w:val="both"/>
        <w:rPr>
          <w:rFonts w:ascii="Arial" w:hAnsi="Arial" w:cs="Arial"/>
          <w:lang w:val="es-CO"/>
        </w:rPr>
      </w:pPr>
    </w:p>
    <w:p w14:paraId="56467E4E"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Requisitos para la solicitud de la exención de la sobretasa.</w:t>
      </w:r>
      <w:r>
        <w:rPr>
          <w:rFonts w:ascii="Arial" w:hAnsi="Arial" w:cs="Arial"/>
          <w:lang w:val="es-CO"/>
        </w:rPr>
        <w:t xml:space="preserve"> Para la aplicación de la exención prevista en artículo 102 de la Ley 1450 de 2011, el usuario industrial debe radicar la respectiva solicitud ante la empresa prestadora del servicio de gas</w:t>
      </w:r>
      <w:r>
        <w:rPr>
          <w:rFonts w:ascii="Arial" w:hAnsi="Arial" w:cs="Arial"/>
          <w:lang w:val="es-CO"/>
        </w:rPr>
        <w:t xml:space="preserve"> natural domiciliario o ante la entidad encargada del recaudo de la contribución, según corresponda, la cual debe reportar esta información a la Superintendencia de Servicios Públicos Domiciliarios, de conformidad con los formularios que se establezcan par</w:t>
      </w:r>
      <w:r>
        <w:rPr>
          <w:rFonts w:ascii="Arial" w:hAnsi="Arial" w:cs="Arial"/>
          <w:lang w:val="es-CO"/>
        </w:rPr>
        <w:t>a tales efectos, anexando el Registro Único Tributario (RUT) y el o los Números de Identificación de Usuario (NIU), cuando corresponda. Lo anterior, sin perjuicio de lo dispuesto en el parágrafo 2o del artículo 2o del presente decreto.</w:t>
      </w:r>
    </w:p>
    <w:p w14:paraId="69686A2C" w14:textId="77777777" w:rsidR="00B2442D" w:rsidRDefault="00B2442D">
      <w:pPr>
        <w:jc w:val="both"/>
        <w:rPr>
          <w:rFonts w:ascii="Arial" w:hAnsi="Arial" w:cs="Arial"/>
          <w:lang w:val="es-CO"/>
        </w:rPr>
      </w:pPr>
    </w:p>
    <w:p w14:paraId="65BE1324"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La so</w:t>
      </w:r>
      <w:r>
        <w:rPr>
          <w:rFonts w:ascii="Arial" w:hAnsi="Arial" w:cs="Arial"/>
          <w:lang w:val="es-CO"/>
        </w:rPr>
        <w:t>licitud del beneficio tributario debe presentarse por escrito ante el prestador del servicio público de gas natural domiciliario o ante la entidad encargada del recaudo de la contribución, según corresponda, adjuntando el Registro Único Tributario (RUT), q</w:t>
      </w:r>
      <w:r>
        <w:rPr>
          <w:rFonts w:ascii="Arial" w:hAnsi="Arial" w:cs="Arial"/>
          <w:lang w:val="es-CO"/>
        </w:rPr>
        <w:t>ue debe incluir la información necesaria que identifique las sedes del mismo, así como certificación en la que conste la relación de los NIU de las sedes en las que se desarrolla la actividad principal del usuario solicitante, sin perjuicio de lo dispuesto</w:t>
      </w:r>
      <w:r>
        <w:rPr>
          <w:rFonts w:ascii="Arial" w:hAnsi="Arial" w:cs="Arial"/>
          <w:lang w:val="es-CO"/>
        </w:rPr>
        <w:t xml:space="preserve"> en el parágrafo 2o del artículo 2o del presente decreto, la cual debe corresponder con los códigos 011 a 360 y 411 a 439 de la Resolución 000139 de 2012, expedida por la Unidad Administrativa Especial - Dirección de Impuestos y Aduanas Nacionales-DIAN. El</w:t>
      </w:r>
      <w:r>
        <w:rPr>
          <w:rFonts w:ascii="Arial" w:hAnsi="Arial" w:cs="Arial"/>
          <w:lang w:val="es-CO"/>
        </w:rPr>
        <w:t xml:space="preserve"> RUT debe haber sido expedido con una anterioridad no mayor a treinta (30) días calendario a la fecha de la solicitud.</w:t>
      </w:r>
    </w:p>
    <w:p w14:paraId="47F14144" w14:textId="77777777" w:rsidR="00B2442D" w:rsidRDefault="00B2442D">
      <w:pPr>
        <w:jc w:val="both"/>
        <w:rPr>
          <w:rFonts w:ascii="Arial" w:hAnsi="Arial" w:cs="Arial"/>
          <w:lang w:val="es-CO"/>
        </w:rPr>
      </w:pPr>
    </w:p>
    <w:p w14:paraId="0D61AAD8"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La solicitud que se presente para obtener el beneficio tributario de que trata este decreto, deberá resolverse en el térmi</w:t>
      </w:r>
      <w:r>
        <w:rPr>
          <w:rFonts w:ascii="Arial" w:hAnsi="Arial" w:cs="Arial"/>
          <w:lang w:val="es-CO"/>
        </w:rPr>
        <w:t>no previsto en el artículo 153 de la Ley 142 de 1994. Es decir, en el término de quince (15) días hábiles, contados a partir de la fecha de radicación de la solicitud.</w:t>
      </w:r>
    </w:p>
    <w:p w14:paraId="76E3CB79" w14:textId="77777777" w:rsidR="00B2442D" w:rsidRDefault="00B2442D">
      <w:pPr>
        <w:jc w:val="both"/>
        <w:rPr>
          <w:rFonts w:ascii="Arial" w:hAnsi="Arial" w:cs="Arial"/>
          <w:lang w:val="es-CO"/>
        </w:rPr>
      </w:pPr>
    </w:p>
    <w:p w14:paraId="1C01EB34" w14:textId="77777777" w:rsidR="00B2442D" w:rsidRDefault="008A645F">
      <w:pPr>
        <w:jc w:val="both"/>
        <w:rPr>
          <w:rFonts w:ascii="Arial" w:hAnsi="Arial" w:cs="Arial"/>
          <w:lang w:val="es-CO"/>
        </w:rPr>
      </w:pPr>
      <w:r>
        <w:rPr>
          <w:rFonts w:ascii="Arial" w:hAnsi="Arial" w:cs="Arial"/>
          <w:i/>
          <w:lang w:val="es-CO"/>
        </w:rPr>
        <w:t>(Art. 4, Decreto 0654 de 2013) (El Decreto 0654 de 2013 rige a partir de su publicación</w:t>
      </w:r>
      <w:r>
        <w:rPr>
          <w:rFonts w:ascii="Arial" w:hAnsi="Arial" w:cs="Arial"/>
          <w:i/>
          <w:lang w:val="es-CO"/>
        </w:rPr>
        <w:t xml:space="preserve"> y deroga el Decreto 4956 de 2011)</w:t>
      </w:r>
    </w:p>
    <w:p w14:paraId="10A8E251" w14:textId="77777777" w:rsidR="00B2442D" w:rsidRDefault="00B2442D">
      <w:pPr>
        <w:jc w:val="both"/>
        <w:rPr>
          <w:rFonts w:ascii="Arial" w:hAnsi="Arial" w:cs="Arial"/>
          <w:lang w:val="es-CO"/>
        </w:rPr>
      </w:pPr>
    </w:p>
    <w:p w14:paraId="39FEE849"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Control por parte de la superintendencia de servicios públicos domiciliarios, de las empresas prestadoras del servicio público de gas natural domiciliario y de las entidades encargadas del recaudo de la contribución, seg</w:t>
      </w:r>
      <w:r>
        <w:rPr>
          <w:rFonts w:ascii="Arial" w:hAnsi="Arial" w:cs="Arial"/>
          <w:b/>
          <w:i/>
          <w:lang w:val="es-CO"/>
        </w:rPr>
        <w:t>ún corresponda.</w:t>
      </w:r>
      <w:r>
        <w:rPr>
          <w:rFonts w:ascii="Arial" w:hAnsi="Arial" w:cs="Arial"/>
          <w:lang w:val="es-CO"/>
        </w:rPr>
        <w:t xml:space="preserve"> Las empresas prestadoras del servicio público de gas natural domiciliario o las entidades encargadas del recaudo de la contribución, según corresponda, deben suministrar trimestralmente a la Superintendencia de Servicios Públicos Domiciliar</w:t>
      </w:r>
      <w:r>
        <w:rPr>
          <w:rFonts w:ascii="Arial" w:hAnsi="Arial" w:cs="Arial"/>
          <w:lang w:val="es-CO"/>
        </w:rPr>
        <w:t>ios, a través del Sistema Único de Información o de la forma que la Superintendencia disponga, la relación de los usuarios industriales a quienes les hayan facturado el servicio, basados en las solicitudes y las modificaciones requeridas por los suscriptor</w:t>
      </w:r>
      <w:r>
        <w:rPr>
          <w:rFonts w:ascii="Arial" w:hAnsi="Arial" w:cs="Arial"/>
          <w:lang w:val="es-CO"/>
        </w:rPr>
        <w:t>es para los inmuebles donde se desarrolle la actividad principal correspondiente a los Códigos 011 a 360 y 411 a 439 de la Resolución 000139 de 2012, expedida por la Unidad Administrativa Especial Dirección de Impuestos y Aduanas Nacionales-DIAN.</w:t>
      </w:r>
    </w:p>
    <w:p w14:paraId="03220E77" w14:textId="77777777" w:rsidR="00B2442D" w:rsidRDefault="00B2442D">
      <w:pPr>
        <w:jc w:val="both"/>
        <w:rPr>
          <w:rFonts w:ascii="Arial" w:hAnsi="Arial" w:cs="Arial"/>
          <w:lang w:val="es-CO"/>
        </w:rPr>
      </w:pPr>
    </w:p>
    <w:p w14:paraId="4C91ABD1" w14:textId="77777777" w:rsidR="00B2442D" w:rsidRDefault="008A645F">
      <w:pPr>
        <w:jc w:val="both"/>
        <w:rPr>
          <w:rFonts w:ascii="Arial" w:hAnsi="Arial" w:cs="Arial"/>
          <w:lang w:val="es-CO"/>
        </w:rPr>
      </w:pPr>
      <w:r>
        <w:rPr>
          <w:rFonts w:ascii="Arial" w:hAnsi="Arial" w:cs="Arial"/>
          <w:lang w:val="es-CO"/>
        </w:rPr>
        <w:t>Correspo</w:t>
      </w:r>
      <w:r>
        <w:rPr>
          <w:rFonts w:ascii="Arial" w:hAnsi="Arial" w:cs="Arial"/>
          <w:lang w:val="es-CO"/>
        </w:rPr>
        <w:t>nde a la Superintendencia de Servicios Públicos Domiciliarios definir los formatos a través de los cuales las empresas prestadoras del servicio público de gas natural domiciliario o las entidades encargadas del recaudo de la contribución, según corresponda</w:t>
      </w:r>
      <w:r>
        <w:rPr>
          <w:rFonts w:ascii="Arial" w:hAnsi="Arial" w:cs="Arial"/>
          <w:lang w:val="es-CO"/>
        </w:rPr>
        <w:t>, deben suministrar la información a la que se refiere el presente decreto. Las empresas prestadoras del servicio público de gas natural domiciliario o las entidades encargadas del recaudo de la contribución, según corresponda, son responsables por la cali</w:t>
      </w:r>
      <w:r>
        <w:rPr>
          <w:rFonts w:ascii="Arial" w:hAnsi="Arial" w:cs="Arial"/>
          <w:lang w:val="es-CO"/>
        </w:rPr>
        <w:t>dad de la información que suministren a la Superintendencia de Servicios Públicos Domiciliarios.</w:t>
      </w:r>
    </w:p>
    <w:p w14:paraId="0B7960CD" w14:textId="77777777" w:rsidR="00B2442D" w:rsidRDefault="00B2442D">
      <w:pPr>
        <w:jc w:val="both"/>
        <w:rPr>
          <w:rFonts w:ascii="Arial" w:hAnsi="Arial" w:cs="Arial"/>
          <w:lang w:val="es-CO"/>
        </w:rPr>
      </w:pPr>
    </w:p>
    <w:p w14:paraId="4A8343DB" w14:textId="77777777" w:rsidR="00B2442D" w:rsidRDefault="008A645F">
      <w:pPr>
        <w:jc w:val="both"/>
        <w:rPr>
          <w:rFonts w:ascii="Arial" w:hAnsi="Arial" w:cs="Arial"/>
          <w:lang w:val="es-CO"/>
        </w:rPr>
      </w:pPr>
      <w:r>
        <w:rPr>
          <w:rFonts w:ascii="Arial" w:hAnsi="Arial" w:cs="Arial"/>
          <w:b/>
          <w:lang w:val="es-CO"/>
        </w:rPr>
        <w:t>Parágrafo 1o.</w:t>
      </w:r>
      <w:r>
        <w:rPr>
          <w:rFonts w:ascii="Arial" w:hAnsi="Arial" w:cs="Arial"/>
          <w:lang w:val="es-CO"/>
        </w:rPr>
        <w:t xml:space="preserve"> En todos los casos, el prestador del servicio público o la entidad encargada del recaudo de la contribución, según corresponda, debe implementar</w:t>
      </w:r>
      <w:r>
        <w:rPr>
          <w:rFonts w:ascii="Arial" w:hAnsi="Arial" w:cs="Arial"/>
          <w:lang w:val="es-CO"/>
        </w:rPr>
        <w:t xml:space="preserve"> controles al proceso de clasificación de los usuarios industriales, entendiéndose que para ello debe verificar que el código de la actividad económica principal del RUT presentado por el usuario industrial solicitante del beneficio tributario, corresponda</w:t>
      </w:r>
      <w:r>
        <w:rPr>
          <w:rFonts w:ascii="Arial" w:hAnsi="Arial" w:cs="Arial"/>
          <w:lang w:val="es-CO"/>
        </w:rPr>
        <w:t xml:space="preserve"> con la clasificación señalada en el presente decreto. También verificará que la relación de los NIU presentados en la respectiva solicitud, cuando sea del caso, corresponda con inmuebles a cargo del usuario solicitante, con base en los registros de las se</w:t>
      </w:r>
      <w:r>
        <w:rPr>
          <w:rFonts w:ascii="Arial" w:hAnsi="Arial" w:cs="Arial"/>
          <w:lang w:val="es-CO"/>
        </w:rPr>
        <w:t>des previstas en el RUT.</w:t>
      </w:r>
    </w:p>
    <w:p w14:paraId="28CF08EB" w14:textId="77777777" w:rsidR="00B2442D" w:rsidRDefault="00B2442D">
      <w:pPr>
        <w:jc w:val="both"/>
        <w:rPr>
          <w:rFonts w:ascii="Arial" w:hAnsi="Arial" w:cs="Arial"/>
          <w:lang w:val="es-CO"/>
        </w:rPr>
      </w:pPr>
    </w:p>
    <w:p w14:paraId="2995E97A" w14:textId="77777777" w:rsidR="00B2442D" w:rsidRDefault="008A645F">
      <w:pPr>
        <w:jc w:val="both"/>
        <w:rPr>
          <w:rFonts w:ascii="Arial" w:hAnsi="Arial" w:cs="Arial"/>
          <w:lang w:val="es-CO"/>
        </w:rPr>
      </w:pPr>
      <w:r>
        <w:rPr>
          <w:rFonts w:ascii="Arial" w:hAnsi="Arial" w:cs="Arial"/>
          <w:b/>
          <w:lang w:val="es-CO"/>
        </w:rPr>
        <w:t>Parágrafo 2o.</w:t>
      </w:r>
      <w:r>
        <w:rPr>
          <w:rFonts w:ascii="Arial" w:hAnsi="Arial" w:cs="Arial"/>
          <w:lang w:val="es-CO"/>
        </w:rPr>
        <w:t xml:space="preserve"> Con el fin de determinar la continuidad en la aplicación de la exención, los usuarios deberán presentar cada seis (6) meses ante la empresa prestadora del servicio o ante la entidad encargada del recaudo de la contri</w:t>
      </w:r>
      <w:r>
        <w:rPr>
          <w:rFonts w:ascii="Arial" w:hAnsi="Arial" w:cs="Arial"/>
          <w:lang w:val="es-CO"/>
        </w:rPr>
        <w:t>bución, según corresponda, el RUT actualizado. En caso de que el prestador del servido evidencie que la actividad económica principal registrada en el RUT no corresponde a la efectivamente desarrollada por el usuario, informará en forma inmediata a la Unid</w:t>
      </w:r>
      <w:r>
        <w:rPr>
          <w:rFonts w:ascii="Arial" w:hAnsi="Arial" w:cs="Arial"/>
          <w:lang w:val="es-CO"/>
        </w:rPr>
        <w:t>ad Administrativa Especial Dirección de Impuestos y Aduanas Nacionales-DIAN, para que adopte las medidas pertinentes.</w:t>
      </w:r>
    </w:p>
    <w:p w14:paraId="772AB972" w14:textId="77777777" w:rsidR="00B2442D" w:rsidRDefault="00B2442D">
      <w:pPr>
        <w:jc w:val="both"/>
        <w:rPr>
          <w:rFonts w:ascii="Arial" w:hAnsi="Arial" w:cs="Arial"/>
          <w:lang w:val="es-CO"/>
        </w:rPr>
      </w:pPr>
    </w:p>
    <w:p w14:paraId="3D19393C" w14:textId="77777777" w:rsidR="00B2442D" w:rsidRDefault="008A645F">
      <w:pPr>
        <w:jc w:val="both"/>
        <w:rPr>
          <w:rFonts w:ascii="Arial" w:hAnsi="Arial" w:cs="Arial"/>
          <w:lang w:val="es-CO"/>
        </w:rPr>
      </w:pPr>
      <w:r>
        <w:rPr>
          <w:rFonts w:ascii="Arial" w:hAnsi="Arial" w:cs="Arial"/>
          <w:b/>
          <w:lang w:val="es-CO"/>
        </w:rPr>
        <w:t>Parágrafo 3o.</w:t>
      </w:r>
      <w:r>
        <w:rPr>
          <w:rFonts w:ascii="Arial" w:hAnsi="Arial" w:cs="Arial"/>
          <w:lang w:val="es-CO"/>
        </w:rPr>
        <w:t xml:space="preserve"> La UAE - Dirección de Impuestos y Aduanas Nacionales (DIAN), deberá adelantar las acciones pertinentes a efectos de corrobo</w:t>
      </w:r>
      <w:r>
        <w:rPr>
          <w:rFonts w:ascii="Arial" w:hAnsi="Arial" w:cs="Arial"/>
          <w:lang w:val="es-CO"/>
        </w:rPr>
        <w:t>rar el desarrollo de las actividades económicas en las sedes registradas por el suscriptor en el RUT.</w:t>
      </w:r>
    </w:p>
    <w:p w14:paraId="0BB57F27" w14:textId="77777777" w:rsidR="00B2442D" w:rsidRDefault="00B2442D">
      <w:pPr>
        <w:jc w:val="both"/>
        <w:rPr>
          <w:rFonts w:ascii="Arial" w:hAnsi="Arial" w:cs="Arial"/>
          <w:lang w:val="es-CO"/>
        </w:rPr>
      </w:pPr>
    </w:p>
    <w:p w14:paraId="4CDBB22A" w14:textId="77777777" w:rsidR="00B2442D" w:rsidRDefault="008A645F">
      <w:pPr>
        <w:jc w:val="both"/>
        <w:rPr>
          <w:rFonts w:ascii="Arial" w:hAnsi="Arial" w:cs="Arial"/>
          <w:i/>
          <w:lang w:val="es-CO"/>
        </w:rPr>
      </w:pPr>
      <w:r>
        <w:rPr>
          <w:rFonts w:ascii="Arial" w:hAnsi="Arial" w:cs="Arial"/>
          <w:i/>
          <w:lang w:val="es-CO"/>
        </w:rPr>
        <w:t>(Art. 5, Decreto 0654 de 2013) (El Decreto 0654 de 2013 rige a partir de su publicación y deroga el Decreto 4956 de 2011)</w:t>
      </w:r>
    </w:p>
    <w:p w14:paraId="234EDB89" w14:textId="77777777" w:rsidR="00B2442D" w:rsidRDefault="00B2442D">
      <w:pPr>
        <w:jc w:val="both"/>
        <w:rPr>
          <w:rFonts w:ascii="Arial" w:hAnsi="Arial" w:cs="Arial"/>
          <w:i/>
          <w:lang w:val="es-CO"/>
        </w:rPr>
      </w:pPr>
    </w:p>
    <w:p w14:paraId="2348EE4A"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Pago del impuesto sobre la ren</w:t>
      </w:r>
      <w:r>
        <w:rPr>
          <w:rFonts w:ascii="Arial" w:hAnsi="Arial" w:cs="Arial"/>
          <w:b/>
          <w:i/>
          <w:lang w:val="es-CO"/>
        </w:rPr>
        <w:t>ta y complementario con Bonos Agrarios.</w:t>
      </w:r>
      <w:r>
        <w:rPr>
          <w:rFonts w:ascii="Arial" w:hAnsi="Arial" w:cs="Arial"/>
          <w:lang w:val="es-CO"/>
        </w:rPr>
        <w:t xml:space="preserve"> Los títulos de deuda denominados Bonos agrarios - Ley 160 de 1994, podrán ser utilizados por su legítimo tenedor para el pago del impuesto sobre la renta y complementario, en los términos establecidos en el presente </w:t>
      </w:r>
      <w:r>
        <w:rPr>
          <w:rFonts w:ascii="Arial" w:hAnsi="Arial" w:cs="Arial"/>
          <w:lang w:val="es-CO"/>
        </w:rPr>
        <w:t>Decreto.</w:t>
      </w:r>
    </w:p>
    <w:p w14:paraId="3FEA465A" w14:textId="77777777" w:rsidR="00B2442D" w:rsidRDefault="00B2442D">
      <w:pPr>
        <w:jc w:val="both"/>
        <w:rPr>
          <w:rFonts w:ascii="Arial" w:hAnsi="Arial" w:cs="Arial"/>
          <w:lang w:val="es-CO"/>
        </w:rPr>
      </w:pPr>
    </w:p>
    <w:p w14:paraId="1999D0C0" w14:textId="77777777" w:rsidR="00B2442D" w:rsidRDefault="008A645F">
      <w:pPr>
        <w:jc w:val="both"/>
        <w:rPr>
          <w:rFonts w:ascii="Arial" w:hAnsi="Arial" w:cs="Arial"/>
          <w:i/>
          <w:lang w:val="es-CO"/>
        </w:rPr>
      </w:pPr>
      <w:r>
        <w:rPr>
          <w:rFonts w:ascii="Arial" w:hAnsi="Arial" w:cs="Arial"/>
          <w:i/>
          <w:lang w:val="es-CO"/>
        </w:rPr>
        <w:t>(Art. 1, Decreto 1827 de 1995)</w:t>
      </w:r>
    </w:p>
    <w:p w14:paraId="3CEA185D" w14:textId="77777777" w:rsidR="00B2442D" w:rsidRDefault="00B2442D">
      <w:pPr>
        <w:jc w:val="both"/>
        <w:rPr>
          <w:rFonts w:ascii="Arial" w:hAnsi="Arial" w:cs="Arial"/>
          <w:lang w:val="es-CO"/>
        </w:rPr>
      </w:pPr>
    </w:p>
    <w:p w14:paraId="7BB56D9D"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Características de los Bonos Agrarios.</w:t>
      </w:r>
      <w:r>
        <w:rPr>
          <w:rFonts w:ascii="Arial" w:hAnsi="Arial" w:cs="Arial"/>
          <w:lang w:val="es-CO"/>
        </w:rPr>
        <w:t xml:space="preserve"> Los Bonos Agrarios - Ley 160 de 1994 tendrán las características señaladas en la Ley 160 de 1994, en la Resolución 208 de enero 27 de 1995 expedida por el Ministerio de hacien</w:t>
      </w:r>
      <w:r>
        <w:rPr>
          <w:rFonts w:ascii="Arial" w:hAnsi="Arial" w:cs="Arial"/>
          <w:lang w:val="es-CO"/>
        </w:rPr>
        <w:t>da y Crédito Público, así como en las posteriores resoluciones que ordenen nuevas emisiones y en las demás normas que modifiquen o adicionen dichas regulaciones.</w:t>
      </w:r>
    </w:p>
    <w:p w14:paraId="7A3B2B53" w14:textId="77777777" w:rsidR="00B2442D" w:rsidRDefault="00B2442D">
      <w:pPr>
        <w:jc w:val="both"/>
        <w:rPr>
          <w:rFonts w:ascii="Arial" w:hAnsi="Arial" w:cs="Arial"/>
          <w:lang w:val="es-CO"/>
        </w:rPr>
      </w:pPr>
    </w:p>
    <w:p w14:paraId="4AFA02C4" w14:textId="77777777" w:rsidR="00B2442D" w:rsidRDefault="008A645F">
      <w:pPr>
        <w:jc w:val="both"/>
        <w:rPr>
          <w:rFonts w:ascii="Arial" w:hAnsi="Arial" w:cs="Arial"/>
          <w:i/>
          <w:lang w:val="es-CO"/>
        </w:rPr>
      </w:pPr>
      <w:r>
        <w:rPr>
          <w:rFonts w:ascii="Arial" w:hAnsi="Arial" w:cs="Arial"/>
          <w:i/>
          <w:lang w:val="es-CO"/>
        </w:rPr>
        <w:t>(Art. 2, Decreto 1827 de 1995)</w:t>
      </w:r>
    </w:p>
    <w:p w14:paraId="7448FD87" w14:textId="77777777" w:rsidR="00B2442D" w:rsidRDefault="00B2442D">
      <w:pPr>
        <w:jc w:val="both"/>
        <w:rPr>
          <w:rFonts w:ascii="Arial" w:hAnsi="Arial" w:cs="Arial"/>
          <w:lang w:val="es-CO"/>
        </w:rPr>
      </w:pPr>
    </w:p>
    <w:p w14:paraId="2F332C90"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Valor de aceptación de los Bonos Agrarios.</w:t>
      </w:r>
      <w:r>
        <w:rPr>
          <w:rFonts w:ascii="Arial" w:hAnsi="Arial" w:cs="Arial"/>
          <w:lang w:val="es-CO"/>
        </w:rPr>
        <w:t xml:space="preserve"> El valor por el cual pueden ser aceptados los Bonos agrarios - Ley 160 de 1994 - para el pago del impuesto de renta y complementarios, es el que corresponda a los vencimientos anuales, iguales y sucesivos, esto es, el nominal de las redenciones parciales,</w:t>
      </w:r>
      <w:r>
        <w:rPr>
          <w:rFonts w:ascii="Arial" w:hAnsi="Arial" w:cs="Arial"/>
          <w:lang w:val="es-CO"/>
        </w:rPr>
        <w:t xml:space="preserve"> cinco (5) o seis (6) según se trate delas adquisiciones previstas en los capítulos V, VI O VII de la Ley 160 de 1994, el primero de los cuales tendrá lugar un (1) año después de la fecha de expedición.</w:t>
      </w:r>
    </w:p>
    <w:p w14:paraId="5941685A" w14:textId="77777777" w:rsidR="00B2442D" w:rsidRDefault="00B2442D">
      <w:pPr>
        <w:jc w:val="both"/>
        <w:rPr>
          <w:rFonts w:ascii="Arial" w:hAnsi="Arial" w:cs="Arial"/>
          <w:lang w:val="es-CO"/>
        </w:rPr>
      </w:pPr>
    </w:p>
    <w:p w14:paraId="3D4D2EF2" w14:textId="77777777" w:rsidR="00B2442D" w:rsidRDefault="008A645F">
      <w:pPr>
        <w:jc w:val="both"/>
        <w:rPr>
          <w:rFonts w:ascii="Arial" w:hAnsi="Arial" w:cs="Arial"/>
          <w:i/>
          <w:lang w:val="es-CO"/>
        </w:rPr>
      </w:pPr>
      <w:r>
        <w:rPr>
          <w:rFonts w:ascii="Arial" w:hAnsi="Arial" w:cs="Arial"/>
          <w:i/>
          <w:lang w:val="es-CO"/>
        </w:rPr>
        <w:t>(Art. 3, Decreto 1827 de 1995)</w:t>
      </w:r>
    </w:p>
    <w:p w14:paraId="550EC31E" w14:textId="77777777" w:rsidR="00B2442D" w:rsidRDefault="00B2442D">
      <w:pPr>
        <w:jc w:val="both"/>
        <w:rPr>
          <w:rFonts w:ascii="Arial" w:hAnsi="Arial" w:cs="Arial"/>
          <w:lang w:val="es-CO"/>
        </w:rPr>
      </w:pPr>
    </w:p>
    <w:p w14:paraId="3260417F"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Lugar para el pago d</w:t>
      </w:r>
      <w:r>
        <w:rPr>
          <w:rFonts w:ascii="Arial" w:hAnsi="Arial" w:cs="Arial"/>
          <w:b/>
          <w:i/>
          <w:lang w:val="es-CO"/>
        </w:rPr>
        <w:t>e los Bonos Agrarios.</w:t>
      </w:r>
      <w:r>
        <w:rPr>
          <w:rFonts w:ascii="Arial" w:hAnsi="Arial" w:cs="Arial"/>
          <w:lang w:val="es-CO"/>
        </w:rPr>
        <w:t xml:space="preserve"> Los legítimos tenedores de los Bonos Agrarios Ley 160 de 1994 - que los utilicen para el pago del impuesto sobre la renta y complementario deberán hacerlo en las oficinas de la entidad bancaria u otras instituciones financieras autori</w:t>
      </w:r>
      <w:r>
        <w:rPr>
          <w:rFonts w:ascii="Arial" w:hAnsi="Arial" w:cs="Arial"/>
          <w:lang w:val="es-CO"/>
        </w:rPr>
        <w:t xml:space="preserve">zadas para su expedición, administración y redención. Para tal efecto, el contribuyente deberá diligenciar el recibo oficial de pago en bancos. </w:t>
      </w:r>
    </w:p>
    <w:p w14:paraId="31BD78AF" w14:textId="77777777" w:rsidR="00B2442D" w:rsidRDefault="008A645F">
      <w:pPr>
        <w:jc w:val="both"/>
        <w:rPr>
          <w:rFonts w:ascii="Arial" w:hAnsi="Arial" w:cs="Arial"/>
          <w:lang w:val="es-CO"/>
        </w:rPr>
      </w:pPr>
      <w:r>
        <w:rPr>
          <w:rFonts w:ascii="Arial" w:hAnsi="Arial" w:cs="Arial"/>
          <w:lang w:val="es-CO"/>
        </w:rPr>
        <w:t xml:space="preserve"> </w:t>
      </w:r>
    </w:p>
    <w:p w14:paraId="4CCB995B" w14:textId="77777777" w:rsidR="00B2442D" w:rsidRDefault="008A645F">
      <w:pPr>
        <w:jc w:val="both"/>
        <w:rPr>
          <w:rFonts w:ascii="Arial" w:hAnsi="Arial" w:cs="Arial"/>
          <w:lang w:val="es-CO"/>
        </w:rPr>
      </w:pPr>
      <w:r>
        <w:rPr>
          <w:rFonts w:ascii="Arial" w:hAnsi="Arial" w:cs="Arial"/>
          <w:lang w:val="es-CO"/>
        </w:rPr>
        <w:t>En todo caso, el formulario de la declaración de renta y complementarios podrá presentarse en cualquiera de l</w:t>
      </w:r>
      <w:r>
        <w:rPr>
          <w:rFonts w:ascii="Arial" w:hAnsi="Arial" w:cs="Arial"/>
          <w:lang w:val="es-CO"/>
        </w:rPr>
        <w:t>as entidades autorizadas para recaudar.</w:t>
      </w:r>
    </w:p>
    <w:p w14:paraId="39C71259" w14:textId="77777777" w:rsidR="00B2442D" w:rsidRDefault="00B2442D">
      <w:pPr>
        <w:jc w:val="both"/>
        <w:rPr>
          <w:rFonts w:ascii="Arial" w:hAnsi="Arial" w:cs="Arial"/>
          <w:lang w:val="es-CO"/>
        </w:rPr>
      </w:pPr>
    </w:p>
    <w:p w14:paraId="2517B574" w14:textId="77777777" w:rsidR="00B2442D" w:rsidRDefault="008A645F">
      <w:pPr>
        <w:jc w:val="both"/>
        <w:rPr>
          <w:rFonts w:ascii="Arial" w:hAnsi="Arial" w:cs="Arial"/>
          <w:i/>
          <w:lang w:val="es-CO"/>
        </w:rPr>
      </w:pPr>
      <w:r>
        <w:rPr>
          <w:rFonts w:ascii="Arial" w:hAnsi="Arial" w:cs="Arial"/>
          <w:i/>
          <w:lang w:val="es-CO"/>
        </w:rPr>
        <w:t>(Art. 4, Decreto 1827 de 1995)</w:t>
      </w:r>
    </w:p>
    <w:p w14:paraId="1998E3CE" w14:textId="77777777" w:rsidR="00B2442D" w:rsidRDefault="00B2442D">
      <w:pPr>
        <w:jc w:val="both"/>
        <w:rPr>
          <w:rFonts w:ascii="Arial" w:hAnsi="Arial" w:cs="Arial"/>
          <w:lang w:val="es-CO"/>
        </w:rPr>
      </w:pPr>
    </w:p>
    <w:p w14:paraId="19682650" w14:textId="77777777" w:rsidR="00B2442D" w:rsidRDefault="008A645F">
      <w:pPr>
        <w:pStyle w:val="Prrafodelista"/>
        <w:numPr>
          <w:ilvl w:val="0"/>
          <w:numId w:val="169"/>
        </w:numPr>
        <w:ind w:left="0" w:firstLine="0"/>
        <w:jc w:val="both"/>
        <w:rPr>
          <w:rFonts w:ascii="Arial" w:hAnsi="Arial" w:cs="Arial"/>
          <w:lang w:val="es-CO"/>
        </w:rPr>
      </w:pPr>
      <w:r>
        <w:rPr>
          <w:rFonts w:ascii="Arial" w:hAnsi="Arial" w:cs="Arial"/>
          <w:b/>
          <w:i/>
          <w:lang w:val="es-CO"/>
        </w:rPr>
        <w:t>Pago del saldo del Bono Agrario en la redención.</w:t>
      </w:r>
      <w:r>
        <w:rPr>
          <w:rFonts w:ascii="Arial" w:hAnsi="Arial" w:cs="Arial"/>
          <w:lang w:val="es-CO"/>
        </w:rPr>
        <w:t xml:space="preserve"> Cuando el valor del impuesto a pagar por el contribuyente sea inferior al monto de la redención parcial del bono, el saldo será pagado</w:t>
      </w:r>
      <w:r>
        <w:rPr>
          <w:rFonts w:ascii="Arial" w:hAnsi="Arial" w:cs="Arial"/>
          <w:lang w:val="es-CO"/>
        </w:rPr>
        <w:t xml:space="preserve"> en efectivo por la entidad bancaria o institución financiera autorizada para su redención, dejando constancia en el documento correspondiente, como en los registros de la entidad que los redime, el monto aplicado a impuesto y el valor pagado en efectivo.</w:t>
      </w:r>
    </w:p>
    <w:p w14:paraId="4B9281AF" w14:textId="77777777" w:rsidR="00B2442D" w:rsidRDefault="00B2442D">
      <w:pPr>
        <w:jc w:val="both"/>
        <w:rPr>
          <w:rFonts w:ascii="Arial" w:hAnsi="Arial" w:cs="Arial"/>
          <w:lang w:val="es-CO"/>
        </w:rPr>
      </w:pPr>
    </w:p>
    <w:p w14:paraId="4E86005F" w14:textId="77777777" w:rsidR="00B2442D" w:rsidRDefault="008A645F">
      <w:pPr>
        <w:jc w:val="both"/>
        <w:rPr>
          <w:rFonts w:ascii="Arial" w:hAnsi="Arial" w:cs="Arial"/>
          <w:i/>
          <w:lang w:val="es-CO"/>
        </w:rPr>
      </w:pPr>
      <w:r>
        <w:rPr>
          <w:rFonts w:ascii="Arial" w:hAnsi="Arial" w:cs="Arial"/>
          <w:i/>
          <w:lang w:val="es-CO"/>
        </w:rPr>
        <w:t>(Art. 6, Decreto 1827 de 1995)</w:t>
      </w:r>
    </w:p>
    <w:p w14:paraId="05C928A3" w14:textId="77777777" w:rsidR="00B2442D" w:rsidRDefault="00B2442D">
      <w:pPr>
        <w:jc w:val="both"/>
        <w:rPr>
          <w:rFonts w:ascii="Arial" w:hAnsi="Arial" w:cs="Arial"/>
          <w:i/>
          <w:lang w:val="es-CO"/>
        </w:rPr>
      </w:pPr>
    </w:p>
    <w:p w14:paraId="1128ACD1" w14:textId="77777777" w:rsidR="00B2442D" w:rsidRDefault="008A645F">
      <w:pPr>
        <w:pStyle w:val="Ttulo3"/>
      </w:pPr>
      <w:bookmarkStart w:id="93" w:name="_Toc479171245"/>
      <w:r>
        <w:t>TÍTULO 1.</w:t>
      </w:r>
      <w:bookmarkEnd w:id="93"/>
    </w:p>
    <w:p w14:paraId="607A78DC" w14:textId="77777777" w:rsidR="00B2442D" w:rsidRDefault="008A645F">
      <w:pPr>
        <w:pStyle w:val="Ttulo3"/>
      </w:pPr>
      <w:bookmarkStart w:id="94" w:name="_Toc479171246"/>
      <w:r>
        <w:t>Vigencia y derogatorias</w:t>
      </w:r>
      <w:bookmarkEnd w:id="94"/>
    </w:p>
    <w:p w14:paraId="557B6CD5" w14:textId="77777777" w:rsidR="00B2442D" w:rsidRDefault="00B2442D">
      <w:pPr>
        <w:pStyle w:val="Prrafodelista"/>
        <w:ind w:left="0"/>
        <w:jc w:val="both"/>
        <w:rPr>
          <w:rFonts w:ascii="Arial" w:hAnsi="Arial" w:cs="Arial"/>
          <w:lang w:val="es-CO"/>
        </w:rPr>
      </w:pPr>
    </w:p>
    <w:p w14:paraId="7B0B0A35" w14:textId="77777777" w:rsidR="00B2442D" w:rsidRDefault="008A645F">
      <w:pPr>
        <w:pStyle w:val="Prrafodelista"/>
        <w:numPr>
          <w:ilvl w:val="0"/>
          <w:numId w:val="159"/>
        </w:numPr>
        <w:ind w:left="0" w:firstLine="0"/>
        <w:jc w:val="both"/>
        <w:rPr>
          <w:rFonts w:ascii="Arial" w:hAnsi="Arial" w:cs="Arial"/>
          <w:lang w:val="es-CO"/>
        </w:rPr>
      </w:pPr>
      <w:r>
        <w:rPr>
          <w:rFonts w:ascii="Arial" w:hAnsi="Arial" w:cs="Arial"/>
          <w:b/>
          <w:bCs/>
          <w:i/>
          <w:iCs/>
        </w:rPr>
        <w:t xml:space="preserve">Derogatoria integral. </w:t>
      </w:r>
      <w:r>
        <w:rPr>
          <w:rFonts w:ascii="Arial" w:hAnsi="Arial" w:cs="Arial"/>
        </w:rPr>
        <w:t>Este Decreto regula íntegramente las materias contempladas en él. Por consiguiente, de conformidad con el art. 3 de la Ley 153 de 1887, quedan derogadas todas las dis</w:t>
      </w:r>
      <w:r>
        <w:rPr>
          <w:rFonts w:ascii="Arial" w:hAnsi="Arial" w:cs="Arial"/>
        </w:rPr>
        <w:t>posiciones de naturaleza reglamentaria relativas al Sector Hacienda que versen sobre las mismas materias, con excepción, exclusivamente, de las disposiciones aduaneras de carácter reglamentario vigentes, las  normas estabilizadas, las disposiciones de peri</w:t>
      </w:r>
      <w:r>
        <w:rPr>
          <w:rFonts w:ascii="Arial" w:hAnsi="Arial" w:cs="Arial"/>
        </w:rPr>
        <w:t>odo vigentes para el control y el cumplimiento de obligaciones tributarias, las disposiciones reglamentarias vigentes de las contribuciones, y las normas suspendidas provisionalmente que quedan sujetas a los fallos definitivos.</w:t>
      </w:r>
    </w:p>
    <w:p w14:paraId="7193837E" w14:textId="77777777" w:rsidR="00B2442D" w:rsidRDefault="00B2442D">
      <w:pPr>
        <w:pStyle w:val="Prrafodelista"/>
        <w:rPr>
          <w:rFonts w:ascii="Arial" w:hAnsi="Arial" w:cs="Arial"/>
          <w:b/>
          <w:lang w:val="es-CO"/>
        </w:rPr>
      </w:pPr>
    </w:p>
    <w:p w14:paraId="43287CDF" w14:textId="77777777" w:rsidR="00B2442D" w:rsidRDefault="008A645F">
      <w:pPr>
        <w:pStyle w:val="Prrafodelista"/>
        <w:numPr>
          <w:ilvl w:val="0"/>
          <w:numId w:val="159"/>
        </w:numPr>
        <w:ind w:left="0" w:firstLine="0"/>
        <w:jc w:val="both"/>
        <w:rPr>
          <w:rFonts w:ascii="Arial" w:hAnsi="Arial" w:cs="Arial"/>
          <w:lang w:val="es-CO"/>
        </w:rPr>
      </w:pPr>
      <w:r>
        <w:rPr>
          <w:rFonts w:ascii="Arial" w:hAnsi="Arial" w:cs="Arial"/>
          <w:b/>
          <w:i/>
          <w:lang w:val="es-CO"/>
        </w:rPr>
        <w:t>Vigencia del artículo 1.8.3</w:t>
      </w:r>
      <w:r>
        <w:rPr>
          <w:rFonts w:ascii="Arial" w:hAnsi="Arial" w:cs="Arial"/>
          <w:b/>
          <w:i/>
          <w:lang w:val="es-CO"/>
        </w:rPr>
        <w:t>.1.</w:t>
      </w:r>
      <w:r>
        <w:rPr>
          <w:rFonts w:ascii="Arial" w:hAnsi="Arial" w:cs="Arial"/>
          <w:lang w:val="es-CO"/>
        </w:rPr>
        <w:t xml:space="preserve"> El artículo 1.8.3.1 de este Decreto rige a partir del 13 de noviembre de 2014 y hasta el seis (6) de agosto de 2018.</w:t>
      </w:r>
    </w:p>
    <w:p w14:paraId="034B59D9" w14:textId="77777777" w:rsidR="00B2442D" w:rsidRDefault="00B2442D">
      <w:pPr>
        <w:jc w:val="both"/>
        <w:rPr>
          <w:rFonts w:ascii="Arial" w:hAnsi="Arial" w:cs="Arial"/>
          <w:lang w:val="es-CO"/>
        </w:rPr>
      </w:pPr>
    </w:p>
    <w:p w14:paraId="7CC27D58" w14:textId="77777777" w:rsidR="00B2442D" w:rsidRDefault="008A645F">
      <w:pPr>
        <w:jc w:val="both"/>
        <w:rPr>
          <w:rFonts w:ascii="Arial" w:hAnsi="Arial" w:cs="Arial"/>
          <w:i/>
          <w:lang w:val="es-CO"/>
        </w:rPr>
      </w:pPr>
      <w:r>
        <w:rPr>
          <w:rFonts w:ascii="Arial" w:hAnsi="Arial" w:cs="Arial"/>
          <w:i/>
          <w:lang w:val="es-CO"/>
        </w:rPr>
        <w:t>(Art. 2, Decreto 2310 de 2014)</w:t>
      </w:r>
    </w:p>
    <w:p w14:paraId="4C4F9CEB" w14:textId="77777777" w:rsidR="00B2442D" w:rsidRDefault="00B2442D">
      <w:pPr>
        <w:pStyle w:val="Prrafodelista"/>
        <w:ind w:left="0"/>
        <w:jc w:val="both"/>
        <w:rPr>
          <w:rFonts w:ascii="Arial" w:hAnsi="Arial" w:cs="Arial"/>
          <w:lang w:val="es-CO"/>
        </w:rPr>
      </w:pPr>
    </w:p>
    <w:p w14:paraId="2543CF32" w14:textId="77777777" w:rsidR="00B2442D" w:rsidRDefault="008A645F">
      <w:pPr>
        <w:pStyle w:val="Prrafodelista"/>
        <w:numPr>
          <w:ilvl w:val="0"/>
          <w:numId w:val="159"/>
        </w:numPr>
        <w:ind w:left="0" w:firstLine="0"/>
        <w:jc w:val="both"/>
        <w:rPr>
          <w:rFonts w:ascii="Arial" w:hAnsi="Arial" w:cs="Arial"/>
          <w:lang w:val="es-CO"/>
        </w:rPr>
      </w:pPr>
      <w:r>
        <w:rPr>
          <w:rFonts w:ascii="Arial" w:hAnsi="Arial" w:cs="Arial"/>
          <w:b/>
          <w:i/>
          <w:lang w:val="es-CO"/>
        </w:rPr>
        <w:t xml:space="preserve">Vigencia. </w:t>
      </w:r>
      <w:r>
        <w:rPr>
          <w:rFonts w:ascii="Arial" w:hAnsi="Arial" w:cs="Arial"/>
          <w:lang w:val="es-CO"/>
        </w:rPr>
        <w:t>El presente Decreto rige a partir de la fecha de su publicación.</w:t>
      </w:r>
    </w:p>
    <w:p w14:paraId="35707340" w14:textId="77777777" w:rsidR="00B2442D" w:rsidRDefault="00B2442D">
      <w:pPr>
        <w:jc w:val="both"/>
        <w:rPr>
          <w:rFonts w:ascii="Arial" w:hAnsi="Arial" w:cs="Arial"/>
          <w:lang w:val="es-CO"/>
        </w:rPr>
      </w:pPr>
    </w:p>
    <w:p w14:paraId="36024008" w14:textId="77777777" w:rsidR="00B2442D" w:rsidRDefault="008A645F">
      <w:pPr>
        <w:jc w:val="both"/>
        <w:rPr>
          <w:rFonts w:ascii="Arial" w:hAnsi="Arial" w:cs="Arial"/>
          <w:lang w:val="es-CO"/>
        </w:rPr>
      </w:pPr>
      <w:r>
        <w:rPr>
          <w:rFonts w:ascii="Arial" w:hAnsi="Arial" w:cs="Arial"/>
          <w:lang w:val="es-CO"/>
        </w:rPr>
        <w:t xml:space="preserve">PUBLÍQUESE Y </w:t>
      </w:r>
      <w:r>
        <w:rPr>
          <w:rFonts w:ascii="Arial" w:hAnsi="Arial" w:cs="Arial"/>
          <w:lang w:val="es-CO"/>
        </w:rPr>
        <w:t>CÚMPLASE</w:t>
      </w:r>
    </w:p>
    <w:p w14:paraId="0F5F4E52" w14:textId="77777777" w:rsidR="00B2442D" w:rsidRDefault="00B2442D">
      <w:pPr>
        <w:jc w:val="both"/>
        <w:rPr>
          <w:rFonts w:ascii="Arial" w:hAnsi="Arial" w:cs="Arial"/>
          <w:lang w:val="es-CO"/>
        </w:rPr>
      </w:pPr>
    </w:p>
    <w:p w14:paraId="564C6A57" w14:textId="77777777" w:rsidR="00B2442D" w:rsidRDefault="00B2442D">
      <w:pPr>
        <w:jc w:val="both"/>
        <w:rPr>
          <w:rFonts w:ascii="Arial" w:hAnsi="Arial" w:cs="Arial"/>
          <w:lang w:val="es-CO"/>
        </w:rPr>
      </w:pPr>
    </w:p>
    <w:p w14:paraId="4C98818B" w14:textId="77777777" w:rsidR="00B2442D" w:rsidRDefault="008A645F">
      <w:pPr>
        <w:jc w:val="both"/>
        <w:rPr>
          <w:rFonts w:ascii="Arial" w:hAnsi="Arial" w:cs="Arial"/>
          <w:lang w:val="es-CO"/>
        </w:rPr>
      </w:pPr>
      <w:r>
        <w:rPr>
          <w:rFonts w:ascii="Arial" w:hAnsi="Arial" w:cs="Arial"/>
          <w:lang w:val="es-CO"/>
        </w:rPr>
        <w:t>Dado en Bogotá D.C., a los</w:t>
      </w:r>
    </w:p>
    <w:p w14:paraId="11AE8798" w14:textId="77777777" w:rsidR="00B2442D" w:rsidRDefault="00B2442D">
      <w:pPr>
        <w:jc w:val="both"/>
        <w:rPr>
          <w:rFonts w:ascii="Arial" w:hAnsi="Arial" w:cs="Arial"/>
          <w:lang w:val="es-CO"/>
        </w:rPr>
      </w:pPr>
    </w:p>
    <w:p w14:paraId="6F947A61" w14:textId="77777777" w:rsidR="00B2442D" w:rsidRDefault="00B2442D">
      <w:pPr>
        <w:jc w:val="both"/>
        <w:rPr>
          <w:rFonts w:ascii="Arial" w:hAnsi="Arial" w:cs="Arial"/>
          <w:lang w:val="es-CO"/>
        </w:rPr>
      </w:pPr>
    </w:p>
    <w:p w14:paraId="2E27C2DE" w14:textId="77777777" w:rsidR="00B2442D" w:rsidRDefault="00B2442D">
      <w:pPr>
        <w:jc w:val="both"/>
        <w:rPr>
          <w:rFonts w:ascii="Arial" w:hAnsi="Arial" w:cs="Arial"/>
          <w:lang w:val="es-CO"/>
        </w:rPr>
      </w:pPr>
    </w:p>
    <w:p w14:paraId="466B7A37" w14:textId="77777777" w:rsidR="00B2442D" w:rsidRDefault="00B2442D">
      <w:pPr>
        <w:jc w:val="both"/>
        <w:rPr>
          <w:rFonts w:ascii="Arial" w:hAnsi="Arial" w:cs="Arial"/>
          <w:lang w:val="es-CO"/>
        </w:rPr>
      </w:pPr>
    </w:p>
    <w:p w14:paraId="243C7955" w14:textId="77777777" w:rsidR="00B2442D" w:rsidRDefault="00B2442D">
      <w:pPr>
        <w:jc w:val="both"/>
        <w:rPr>
          <w:rFonts w:ascii="Arial" w:hAnsi="Arial" w:cs="Arial"/>
          <w:lang w:val="es-CO"/>
        </w:rPr>
      </w:pPr>
    </w:p>
    <w:p w14:paraId="3F077431" w14:textId="77777777" w:rsidR="00B2442D" w:rsidRDefault="00B2442D">
      <w:pPr>
        <w:jc w:val="both"/>
        <w:rPr>
          <w:rFonts w:ascii="Arial" w:hAnsi="Arial" w:cs="Arial"/>
          <w:lang w:val="es-CO"/>
        </w:rPr>
      </w:pPr>
    </w:p>
    <w:p w14:paraId="1C014C20" w14:textId="77777777" w:rsidR="00B2442D" w:rsidRDefault="008A645F">
      <w:pPr>
        <w:jc w:val="right"/>
        <w:rPr>
          <w:rFonts w:ascii="Arial" w:hAnsi="Arial" w:cs="Arial"/>
          <w:lang w:val="es-CO"/>
        </w:rPr>
      </w:pPr>
      <w:r>
        <w:rPr>
          <w:rFonts w:ascii="Arial" w:hAnsi="Arial" w:cs="Arial"/>
          <w:lang w:val="es-CO"/>
        </w:rPr>
        <w:t>EL MINISTRO DE HACIENDA Y CRÉDITO PÚBLICO</w:t>
      </w:r>
    </w:p>
    <w:p w14:paraId="78D236AC" w14:textId="77777777" w:rsidR="00B2442D" w:rsidRDefault="00B2442D">
      <w:pPr>
        <w:jc w:val="right"/>
        <w:rPr>
          <w:rFonts w:ascii="Arial" w:hAnsi="Arial" w:cs="Arial"/>
          <w:lang w:val="es-CO"/>
        </w:rPr>
      </w:pPr>
    </w:p>
    <w:p w14:paraId="33885687" w14:textId="77777777" w:rsidR="00B2442D" w:rsidRDefault="00B2442D">
      <w:pPr>
        <w:jc w:val="right"/>
        <w:rPr>
          <w:rFonts w:ascii="Arial" w:hAnsi="Arial" w:cs="Arial"/>
          <w:lang w:val="es-CO"/>
        </w:rPr>
      </w:pPr>
    </w:p>
    <w:p w14:paraId="106C3E34" w14:textId="77777777" w:rsidR="00B2442D" w:rsidRDefault="00B2442D">
      <w:pPr>
        <w:jc w:val="right"/>
        <w:rPr>
          <w:rFonts w:ascii="Arial" w:hAnsi="Arial" w:cs="Arial"/>
          <w:lang w:val="es-CO"/>
        </w:rPr>
      </w:pPr>
    </w:p>
    <w:p w14:paraId="239B1D78" w14:textId="77777777" w:rsidR="00B2442D" w:rsidRDefault="00B2442D">
      <w:pPr>
        <w:jc w:val="right"/>
        <w:rPr>
          <w:rFonts w:ascii="Arial" w:hAnsi="Arial" w:cs="Arial"/>
          <w:lang w:val="es-CO"/>
        </w:rPr>
      </w:pPr>
    </w:p>
    <w:p w14:paraId="10C65080" w14:textId="77777777" w:rsidR="00B2442D" w:rsidRDefault="00B2442D">
      <w:pPr>
        <w:jc w:val="right"/>
        <w:rPr>
          <w:rFonts w:ascii="Arial" w:hAnsi="Arial" w:cs="Arial"/>
          <w:lang w:val="es-CO"/>
        </w:rPr>
      </w:pPr>
    </w:p>
    <w:p w14:paraId="230AF20E" w14:textId="77777777" w:rsidR="00B2442D" w:rsidRDefault="008A645F">
      <w:pPr>
        <w:jc w:val="right"/>
        <w:rPr>
          <w:rFonts w:ascii="Arial" w:hAnsi="Arial" w:cs="Arial"/>
          <w:lang w:val="es-CO"/>
        </w:rPr>
      </w:pPr>
      <w:r>
        <w:rPr>
          <w:rFonts w:ascii="Arial" w:hAnsi="Arial" w:cs="Arial"/>
          <w:lang w:val="es-CO"/>
        </w:rPr>
        <w:t>MAURICIO CÁRDENAS SANTAMARÍA</w:t>
      </w:r>
    </w:p>
    <w:p w14:paraId="75F4B55C" w14:textId="77777777" w:rsidR="00B2442D" w:rsidRDefault="00B2442D">
      <w:pPr>
        <w:jc w:val="both"/>
        <w:rPr>
          <w:rFonts w:ascii="Arial" w:hAnsi="Arial" w:cs="Arial"/>
          <w:lang w:val="es-CO"/>
        </w:rPr>
      </w:pPr>
    </w:p>
    <w:p w14:paraId="47DE860E" w14:textId="77777777" w:rsidR="00B2442D" w:rsidRDefault="00B2442D">
      <w:pPr>
        <w:jc w:val="both"/>
        <w:rPr>
          <w:rFonts w:ascii="Arial" w:hAnsi="Arial" w:cs="Arial"/>
          <w:lang w:val="es-CO"/>
        </w:rPr>
      </w:pPr>
    </w:p>
    <w:p w14:paraId="3EC995D6" w14:textId="77777777" w:rsidR="00B2442D" w:rsidRDefault="00B2442D">
      <w:pPr>
        <w:jc w:val="both"/>
        <w:rPr>
          <w:rFonts w:ascii="Arial" w:hAnsi="Arial" w:cs="Arial"/>
          <w:lang w:val="es-CO"/>
        </w:rPr>
      </w:pPr>
    </w:p>
    <w:p w14:paraId="568608E9" w14:textId="77777777" w:rsidR="00B2442D" w:rsidRDefault="00B2442D">
      <w:pPr>
        <w:jc w:val="both"/>
        <w:rPr>
          <w:rFonts w:ascii="Arial" w:hAnsi="Arial" w:cs="Arial"/>
          <w:lang w:val="es-CO"/>
        </w:rPr>
      </w:pPr>
    </w:p>
    <w:p w14:paraId="6F10A823" w14:textId="77777777" w:rsidR="00B2442D" w:rsidRDefault="00B2442D">
      <w:pPr>
        <w:jc w:val="both"/>
        <w:rPr>
          <w:rFonts w:ascii="Arial" w:hAnsi="Arial" w:cs="Arial"/>
          <w:i/>
          <w:lang w:val="es-CO"/>
        </w:rPr>
      </w:pPr>
    </w:p>
    <w:p w14:paraId="6D0F2A38" w14:textId="77777777" w:rsidR="00B2442D" w:rsidRDefault="00B2442D">
      <w:pPr>
        <w:jc w:val="both"/>
        <w:rPr>
          <w:rFonts w:ascii="Arial" w:hAnsi="Arial" w:cs="Arial"/>
          <w:i/>
          <w:lang w:val="es-CO"/>
        </w:rPr>
      </w:pPr>
    </w:p>
    <w:p w14:paraId="79D38892" w14:textId="77777777" w:rsidR="00B2442D" w:rsidRDefault="00B2442D">
      <w:pPr>
        <w:jc w:val="both"/>
        <w:rPr>
          <w:rFonts w:ascii="Arial" w:hAnsi="Arial" w:cs="Arial"/>
          <w:i/>
        </w:rPr>
      </w:pPr>
    </w:p>
    <w:p w14:paraId="432B4E56" w14:textId="77777777" w:rsidR="00B2442D" w:rsidRDefault="00B2442D">
      <w:pPr>
        <w:rPr>
          <w:rFonts w:ascii="Arial" w:hAnsi="Arial" w:cs="Arial"/>
          <w:i/>
        </w:rPr>
      </w:pPr>
    </w:p>
    <w:p w14:paraId="6F691879" w14:textId="77777777" w:rsidR="00B2442D" w:rsidRDefault="00B2442D"/>
    <w:p w14:paraId="2DDCD4FE" w14:textId="77777777" w:rsidR="00B2442D" w:rsidRDefault="00B2442D"/>
    <w:sectPr w:rsidR="00B2442D">
      <w:headerReference w:type="even" r:id="rId79"/>
      <w:headerReference w:type="default" r:id="rId80"/>
      <w:headerReference w:type="first" r:id="rId81"/>
      <w:pgSz w:w="12240" w:h="18720" w:code="120"/>
      <w:pgMar w:top="1136"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EC94" w14:textId="77777777" w:rsidR="00B2442D" w:rsidRDefault="008A645F">
      <w:r>
        <w:separator/>
      </w:r>
    </w:p>
  </w:endnote>
  <w:endnote w:type="continuationSeparator" w:id="0">
    <w:p w14:paraId="6A5B3D4A" w14:textId="77777777" w:rsidR="00B2442D" w:rsidRDefault="008A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7E8D" w14:textId="77777777" w:rsidR="00B2442D" w:rsidRDefault="008A645F">
      <w:r>
        <w:separator/>
      </w:r>
    </w:p>
  </w:footnote>
  <w:footnote w:type="continuationSeparator" w:id="0">
    <w:p w14:paraId="4472A011" w14:textId="77777777" w:rsidR="00B2442D" w:rsidRDefault="008A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0AB9" w14:textId="77777777" w:rsidR="00B2442D" w:rsidRDefault="008A645F">
    <w:pPr>
      <w:pStyle w:val="Encabezado"/>
    </w:pPr>
    <w:r>
      <w:rPr>
        <w:noProof/>
      </w:rPr>
      <w:pict w14:anchorId="596FF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9640563" o:spid="_x0000_s2051" type="#_x0000_t136" style="position:absolute;margin-left:0;margin-top:0;width:595.3pt;height:27.65pt;rotation:315;z-index:-251640832;mso-position-horizontal:center;mso-position-horizontal-relative:margin;mso-position-vertical:center;mso-position-vertical-relative:margin" o:allowincell="f" fillcolor="silver" stroked="f">
          <v:fill opacity=".5"/>
          <v:textpath style="font-family:&quot;Times New Roman&quot;;font-size:1pt" string="Informativo - consultar decretos firmad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078E" w14:textId="77777777" w:rsidR="00B2442D" w:rsidRDefault="008A645F">
    <w:pPr>
      <w:pStyle w:val="Encabezado"/>
    </w:pPr>
    <w:r>
      <w:rPr>
        <w:noProof/>
      </w:rPr>
      <w:pict w14:anchorId="37A40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9640564" o:spid="_x0000_s2052" type="#_x0000_t136" style="position:absolute;margin-left:0;margin-top:0;width:595.3pt;height:27.65pt;rotation:315;z-index:-251638784;mso-position-horizontal:center;mso-position-horizontal-relative:margin;mso-position-vertical:center;mso-position-vertical-relative:margin" o:allowincell="f" fillcolor="silver" stroked="f">
          <v:fill opacity=".5"/>
          <v:textpath style="font-family:&quot;Times New Roman&quot;;font-size:1pt" string="Informativo - consultar decretos firmados"/>
          <w10:wrap anchorx="margin" anchory="margin"/>
        </v:shape>
      </w:pict>
    </w:r>
    <w:r>
      <w:rPr>
        <w:noProof/>
        <w:lang w:val="es-CO" w:eastAsia="es-CO"/>
      </w:rPr>
      <mc:AlternateContent>
        <mc:Choice Requires="wps">
          <w:drawing>
            <wp:anchor distT="0" distB="0" distL="114300" distR="114300" simplePos="0" relativeHeight="251669504" behindDoc="0" locked="0" layoutInCell="0" allowOverlap="1" wp14:anchorId="2A23583E" wp14:editId="28FD037D">
              <wp:simplePos x="0" y="0"/>
              <wp:positionH relativeFrom="page">
                <wp:posOffset>729777</wp:posOffset>
              </wp:positionH>
              <wp:positionV relativeFrom="page">
                <wp:posOffset>222885</wp:posOffset>
              </wp:positionV>
              <wp:extent cx="6245225" cy="10728251"/>
              <wp:effectExtent l="0" t="0" r="22225" b="16510"/>
              <wp:wrapNone/>
              <wp:docPr id="2"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5225" cy="1072825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EA931E" w14:textId="77777777" w:rsidR="00B2442D" w:rsidRDefault="00B2442D">
                          <w:pPr>
                            <w:autoSpaceDE w:val="0"/>
                            <w:autoSpaceDN w:val="0"/>
                            <w:adjustRightInd w:val="0"/>
                            <w:jc w:val="center"/>
                            <w:rPr>
                              <w:rFonts w:ascii="Arial" w:hAnsi="Arial" w:cs="Arial"/>
                              <w:sz w:val="22"/>
                              <w:szCs w:val="22"/>
                            </w:rPr>
                          </w:pPr>
                        </w:p>
                        <w:p w14:paraId="301ABE2A" w14:textId="77777777" w:rsidR="00B2442D" w:rsidRDefault="008A645F">
                          <w:pPr>
                            <w:pBdr>
                              <w:bottom w:val="single" w:sz="4" w:space="1" w:color="auto"/>
                            </w:pBdr>
                            <w:autoSpaceDE w:val="0"/>
                            <w:autoSpaceDN w:val="0"/>
                            <w:adjustRightInd w:val="0"/>
                            <w:jc w:val="right"/>
                            <w:rPr>
                              <w:rFonts w:ascii="Arial" w:hAnsi="Arial" w:cs="Arial"/>
                              <w:i/>
                              <w:sz w:val="22"/>
                              <w:szCs w:val="22"/>
                            </w:rPr>
                          </w:pPr>
                          <w:r>
                            <w:rPr>
                              <w:rFonts w:ascii="Arial" w:hAnsi="Arial" w:cs="Arial"/>
                              <w:i/>
                              <w:sz w:val="22"/>
                              <w:szCs w:val="22"/>
                            </w:rPr>
                            <w:t xml:space="preserve">Continuación del Decreto “Por medio del cual se expide el Decreto Único Reglamentario en materia </w:t>
                          </w:r>
                          <w:r>
                            <w:rPr>
                              <w:rFonts w:ascii="Arial" w:hAnsi="Arial" w:cs="Arial"/>
                              <w:i/>
                              <w:sz w:val="22"/>
                              <w:szCs w:val="22"/>
                            </w:rPr>
                            <w:t>tributaria”</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fldChar w:fldCharType="begin"/>
                          </w:r>
                          <w:r>
                            <w:rPr>
                              <w:rFonts w:ascii="Arial" w:hAnsi="Arial" w:cs="Arial"/>
                              <w:i/>
                              <w:sz w:val="22"/>
                              <w:szCs w:val="22"/>
                            </w:rPr>
                            <w:instrText>PAGE   \* MERGEFORMAT</w:instrText>
                          </w:r>
                          <w:r>
                            <w:rPr>
                              <w:rFonts w:ascii="Arial" w:hAnsi="Arial" w:cs="Arial"/>
                              <w:i/>
                              <w:sz w:val="22"/>
                              <w:szCs w:val="22"/>
                            </w:rPr>
                            <w:fldChar w:fldCharType="separate"/>
                          </w:r>
                          <w:r>
                            <w:rPr>
                              <w:rFonts w:ascii="Arial" w:hAnsi="Arial" w:cs="Arial"/>
                              <w:i/>
                              <w:noProof/>
                              <w:sz w:val="22"/>
                              <w:szCs w:val="22"/>
                            </w:rPr>
                            <w:t>21</w:t>
                          </w:r>
                          <w:r>
                            <w:rPr>
                              <w:rFonts w:ascii="Arial" w:hAnsi="Arial" w:cs="Arial"/>
                              <w:i/>
                              <w:sz w:val="22"/>
                              <w:szCs w:val="22"/>
                            </w:rPr>
                            <w:fldChar w:fldCharType="end"/>
                          </w:r>
                        </w:p>
                        <w:p w14:paraId="0CFE2A0D" w14:textId="77777777" w:rsidR="00B2442D" w:rsidRDefault="00B24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3583E" id="Rectángulo 10" o:spid="_x0000_s1026" style="position:absolute;margin-left:57.45pt;margin-top:17.55pt;width:491.75pt;height:844.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" o:allowincell="f" filled="f" strokeweight="2pt">
              <v:textbox>
                <w:txbxContent>
                  <w:p w14:paraId="46EA931E" w14:textId="77777777" w:rsidR="00B2442D" w:rsidRDefault="00B2442D">
                    <w:pPr>
                      <w:autoSpaceDE w:val="0"/>
                      <w:autoSpaceDN w:val="0"/>
                      <w:adjustRightInd w:val="0"/>
                      <w:jc w:val="center"/>
                      <w:rPr>
                        <w:rFonts w:ascii="Arial" w:hAnsi="Arial" w:cs="Arial"/>
                        <w:sz w:val="22"/>
                        <w:szCs w:val="22"/>
                      </w:rPr>
                    </w:pPr>
                  </w:p>
                  <w:p w14:paraId="301ABE2A" w14:textId="77777777" w:rsidR="00B2442D" w:rsidRDefault="008A645F">
                    <w:pPr>
                      <w:pBdr>
                        <w:bottom w:val="single" w:sz="4" w:space="1" w:color="auto"/>
                      </w:pBdr>
                      <w:autoSpaceDE w:val="0"/>
                      <w:autoSpaceDN w:val="0"/>
                      <w:adjustRightInd w:val="0"/>
                      <w:jc w:val="right"/>
                      <w:rPr>
                        <w:rFonts w:ascii="Arial" w:hAnsi="Arial" w:cs="Arial"/>
                        <w:i/>
                        <w:sz w:val="22"/>
                        <w:szCs w:val="22"/>
                      </w:rPr>
                    </w:pPr>
                    <w:r>
                      <w:rPr>
                        <w:rFonts w:ascii="Arial" w:hAnsi="Arial" w:cs="Arial"/>
                        <w:i/>
                        <w:sz w:val="22"/>
                        <w:szCs w:val="22"/>
                      </w:rPr>
                      <w:t xml:space="preserve">Continuación del Decreto “Por medio del cual se expide el Decreto Único Reglamentario en materia </w:t>
                    </w:r>
                    <w:r>
                      <w:rPr>
                        <w:rFonts w:ascii="Arial" w:hAnsi="Arial" w:cs="Arial"/>
                        <w:i/>
                        <w:sz w:val="22"/>
                        <w:szCs w:val="22"/>
                      </w:rPr>
                      <w:t>tributaria”</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fldChar w:fldCharType="begin"/>
                    </w:r>
                    <w:r>
                      <w:rPr>
                        <w:rFonts w:ascii="Arial" w:hAnsi="Arial" w:cs="Arial"/>
                        <w:i/>
                        <w:sz w:val="22"/>
                        <w:szCs w:val="22"/>
                      </w:rPr>
                      <w:instrText>PAGE   \* MERGEFORMAT</w:instrText>
                    </w:r>
                    <w:r>
                      <w:rPr>
                        <w:rFonts w:ascii="Arial" w:hAnsi="Arial" w:cs="Arial"/>
                        <w:i/>
                        <w:sz w:val="22"/>
                        <w:szCs w:val="22"/>
                      </w:rPr>
                      <w:fldChar w:fldCharType="separate"/>
                    </w:r>
                    <w:r>
                      <w:rPr>
                        <w:rFonts w:ascii="Arial" w:hAnsi="Arial" w:cs="Arial"/>
                        <w:i/>
                        <w:noProof/>
                        <w:sz w:val="22"/>
                        <w:szCs w:val="22"/>
                      </w:rPr>
                      <w:t>21</w:t>
                    </w:r>
                    <w:r>
                      <w:rPr>
                        <w:rFonts w:ascii="Arial" w:hAnsi="Arial" w:cs="Arial"/>
                        <w:i/>
                        <w:sz w:val="22"/>
                        <w:szCs w:val="22"/>
                      </w:rPr>
                      <w:fldChar w:fldCharType="end"/>
                    </w:r>
                  </w:p>
                  <w:p w14:paraId="0CFE2A0D" w14:textId="77777777" w:rsidR="00B2442D" w:rsidRDefault="00B2442D"/>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BD3" w14:textId="77777777" w:rsidR="00B2442D" w:rsidRDefault="008A645F">
    <w:pPr>
      <w:pStyle w:val="Encabezado"/>
    </w:pPr>
    <w:r>
      <w:rPr>
        <w:noProof/>
      </w:rPr>
      <w:pict w14:anchorId="0D7B9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9640562" o:spid="_x0000_s2050" type="#_x0000_t136" style="position:absolute;margin-left:0;margin-top:0;width:595.3pt;height:27.65pt;rotation:315;z-index:-251642880;mso-position-horizontal:center;mso-position-horizontal-relative:margin;mso-position-vertical:center;mso-position-vertical-relative:margin" o:allowincell="f" fillcolor="silver" stroked="f">
          <v:fill opacity=".5"/>
          <v:textpath style="font-family:&quot;Times New Roman&quot;;font-size:1pt" string="Informativo - consultar decretos firmados"/>
          <w10:wrap anchorx="margin" anchory="margin"/>
        </v:shape>
      </w:pict>
    </w:r>
    <w:r>
      <w:rPr>
        <w:noProof/>
        <w:lang w:val="es-CO" w:eastAsia="es-CO"/>
      </w:rPr>
      <mc:AlternateContent>
        <mc:Choice Requires="wps">
          <w:drawing>
            <wp:anchor distT="0" distB="0" distL="114300" distR="114300" simplePos="0" relativeHeight="251671552" behindDoc="0" locked="0" layoutInCell="0" allowOverlap="1" wp14:anchorId="59922731" wp14:editId="56F66E19">
              <wp:simplePos x="0" y="0"/>
              <wp:positionH relativeFrom="page">
                <wp:posOffset>882015</wp:posOffset>
              </wp:positionH>
              <wp:positionV relativeFrom="page">
                <wp:posOffset>375285</wp:posOffset>
              </wp:positionV>
              <wp:extent cx="6245225" cy="10728251"/>
              <wp:effectExtent l="0" t="0" r="22225" b="16510"/>
              <wp:wrapNone/>
              <wp:docPr id="8"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5225" cy="1072825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030E08" w14:textId="77777777" w:rsidR="00B2442D" w:rsidRDefault="00B2442D">
                          <w:pPr>
                            <w:autoSpaceDE w:val="0"/>
                            <w:autoSpaceDN w:val="0"/>
                            <w:adjustRightInd w:val="0"/>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22731" id="_x0000_s1027" style="position:absolute;margin-left:69.45pt;margin-top:29.55pt;width:491.75pt;height:844.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" o:allowincell="f" filled="f" strokeweight="2pt">
              <v:textbox>
                <w:txbxContent>
                  <w:p w14:paraId="4C030E08" w14:textId="77777777" w:rsidR="00B2442D" w:rsidRDefault="00B2442D">
                    <w:pPr>
                      <w:autoSpaceDE w:val="0"/>
                      <w:autoSpaceDN w:val="0"/>
                      <w:adjustRightInd w:val="0"/>
                      <w:jc w:val="center"/>
                      <w:rPr>
                        <w:rFonts w:ascii="Arial" w:hAnsi="Arial" w:cs="Arial"/>
                        <w:sz w:val="22"/>
                        <w:szCs w:val="22"/>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98F"/>
    <w:multiLevelType w:val="hybridMultilevel"/>
    <w:tmpl w:val="E1D08EA2"/>
    <w:lvl w:ilvl="0" w:tplc="740A1682">
      <w:start w:val="1"/>
      <w:numFmt w:val="decimal"/>
      <w:lvlText w:val="Artículo 1.2.4.2.%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147C36"/>
    <w:multiLevelType w:val="hybridMultilevel"/>
    <w:tmpl w:val="01046988"/>
    <w:lvl w:ilvl="0" w:tplc="CA86F81C">
      <w:start w:val="1"/>
      <w:numFmt w:val="decimal"/>
      <w:lvlText w:val="Artículo 1.2.1.24.%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6D60EC"/>
    <w:multiLevelType w:val="hybridMultilevel"/>
    <w:tmpl w:val="33D4D53A"/>
    <w:lvl w:ilvl="0" w:tplc="1D5478B2">
      <w:start w:val="1"/>
      <w:numFmt w:val="decimal"/>
      <w:lvlText w:val="Artículo 1.4.1.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27B68AC"/>
    <w:multiLevelType w:val="hybridMultilevel"/>
    <w:tmpl w:val="FA9CB768"/>
    <w:lvl w:ilvl="0" w:tplc="162CE3E4">
      <w:start w:val="1"/>
      <w:numFmt w:val="decimal"/>
      <w:lvlText w:val="Artículo 1.6.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3BE37B8"/>
    <w:multiLevelType w:val="hybridMultilevel"/>
    <w:tmpl w:val="485A24A6"/>
    <w:lvl w:ilvl="0" w:tplc="F62A753E">
      <w:start w:val="1"/>
      <w:numFmt w:val="decimal"/>
      <w:lvlText w:val="Artículo 1.2.6.%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3EE795F"/>
    <w:multiLevelType w:val="hybridMultilevel"/>
    <w:tmpl w:val="CEA63D28"/>
    <w:lvl w:ilvl="0" w:tplc="DAE89ECE">
      <w:start w:val="1"/>
      <w:numFmt w:val="decimal"/>
      <w:lvlText w:val="Artículo 1.2.1.9.%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3F20D22"/>
    <w:multiLevelType w:val="hybridMultilevel"/>
    <w:tmpl w:val="9A7AC0F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42813EE"/>
    <w:multiLevelType w:val="hybridMultilevel"/>
    <w:tmpl w:val="53740572"/>
    <w:lvl w:ilvl="0" w:tplc="7D548200">
      <w:start w:val="1"/>
      <w:numFmt w:val="decimal"/>
      <w:lvlText w:val="Artículo 1.2.4.9.%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4F66E18"/>
    <w:multiLevelType w:val="hybridMultilevel"/>
    <w:tmpl w:val="F754F3FC"/>
    <w:lvl w:ilvl="0" w:tplc="24924888">
      <w:start w:val="1"/>
      <w:numFmt w:val="decimal"/>
      <w:lvlText w:val="Artículo 1.2.1.7.%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5303767"/>
    <w:multiLevelType w:val="hybridMultilevel"/>
    <w:tmpl w:val="BEAC5276"/>
    <w:lvl w:ilvl="0" w:tplc="7446347C">
      <w:start w:val="1"/>
      <w:numFmt w:val="decimal"/>
      <w:lvlText w:val="Artículo 1.6.2.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0543069C"/>
    <w:multiLevelType w:val="hybridMultilevel"/>
    <w:tmpl w:val="2C4A8B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5A2428D"/>
    <w:multiLevelType w:val="hybridMultilevel"/>
    <w:tmpl w:val="392E178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5B47DD9"/>
    <w:multiLevelType w:val="hybridMultilevel"/>
    <w:tmpl w:val="40708E6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6006F40"/>
    <w:multiLevelType w:val="hybridMultilevel"/>
    <w:tmpl w:val="6C1A7CEA"/>
    <w:lvl w:ilvl="0" w:tplc="E220A66E">
      <w:start w:val="1"/>
      <w:numFmt w:val="decimal"/>
      <w:lvlText w:val="Artículo 2.2.1.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06AF2408"/>
    <w:multiLevelType w:val="hybridMultilevel"/>
    <w:tmpl w:val="1144A024"/>
    <w:lvl w:ilvl="0" w:tplc="240A000F">
      <w:start w:val="1"/>
      <w:numFmt w:val="decimal"/>
      <w:lvlText w:val="%1."/>
      <w:lvlJc w:val="left"/>
      <w:pPr>
        <w:ind w:left="2705" w:hanging="360"/>
      </w:pPr>
    </w:lvl>
    <w:lvl w:ilvl="1" w:tplc="240A0019" w:tentative="1">
      <w:start w:val="1"/>
      <w:numFmt w:val="lowerLetter"/>
      <w:lvlText w:val="%2."/>
      <w:lvlJc w:val="left"/>
      <w:pPr>
        <w:ind w:left="3425" w:hanging="360"/>
      </w:pPr>
    </w:lvl>
    <w:lvl w:ilvl="2" w:tplc="240A001B" w:tentative="1">
      <w:start w:val="1"/>
      <w:numFmt w:val="lowerRoman"/>
      <w:lvlText w:val="%3."/>
      <w:lvlJc w:val="right"/>
      <w:pPr>
        <w:ind w:left="4145" w:hanging="180"/>
      </w:pPr>
    </w:lvl>
    <w:lvl w:ilvl="3" w:tplc="240A000F" w:tentative="1">
      <w:start w:val="1"/>
      <w:numFmt w:val="decimal"/>
      <w:lvlText w:val="%4."/>
      <w:lvlJc w:val="left"/>
      <w:pPr>
        <w:ind w:left="4865" w:hanging="360"/>
      </w:pPr>
    </w:lvl>
    <w:lvl w:ilvl="4" w:tplc="240A0019" w:tentative="1">
      <w:start w:val="1"/>
      <w:numFmt w:val="lowerLetter"/>
      <w:lvlText w:val="%5."/>
      <w:lvlJc w:val="left"/>
      <w:pPr>
        <w:ind w:left="5585" w:hanging="360"/>
      </w:pPr>
    </w:lvl>
    <w:lvl w:ilvl="5" w:tplc="240A001B" w:tentative="1">
      <w:start w:val="1"/>
      <w:numFmt w:val="lowerRoman"/>
      <w:lvlText w:val="%6."/>
      <w:lvlJc w:val="right"/>
      <w:pPr>
        <w:ind w:left="6305" w:hanging="180"/>
      </w:pPr>
    </w:lvl>
    <w:lvl w:ilvl="6" w:tplc="240A000F" w:tentative="1">
      <w:start w:val="1"/>
      <w:numFmt w:val="decimal"/>
      <w:lvlText w:val="%7."/>
      <w:lvlJc w:val="left"/>
      <w:pPr>
        <w:ind w:left="7025" w:hanging="360"/>
      </w:pPr>
    </w:lvl>
    <w:lvl w:ilvl="7" w:tplc="240A0019" w:tentative="1">
      <w:start w:val="1"/>
      <w:numFmt w:val="lowerLetter"/>
      <w:lvlText w:val="%8."/>
      <w:lvlJc w:val="left"/>
      <w:pPr>
        <w:ind w:left="7745" w:hanging="360"/>
      </w:pPr>
    </w:lvl>
    <w:lvl w:ilvl="8" w:tplc="240A001B" w:tentative="1">
      <w:start w:val="1"/>
      <w:numFmt w:val="lowerRoman"/>
      <w:lvlText w:val="%9."/>
      <w:lvlJc w:val="right"/>
      <w:pPr>
        <w:ind w:left="8465" w:hanging="180"/>
      </w:pPr>
    </w:lvl>
  </w:abstractNum>
  <w:abstractNum w:abstractNumId="15" w15:restartNumberingAfterBreak="0">
    <w:nsid w:val="06D37D84"/>
    <w:multiLevelType w:val="hybridMultilevel"/>
    <w:tmpl w:val="15ACA99A"/>
    <w:lvl w:ilvl="0" w:tplc="1F8EE97E">
      <w:start w:val="1"/>
      <w:numFmt w:val="decimal"/>
      <w:lvlText w:val="Artículo 1.4.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07673580"/>
    <w:multiLevelType w:val="hybridMultilevel"/>
    <w:tmpl w:val="D8E465E8"/>
    <w:lvl w:ilvl="0" w:tplc="271237D0">
      <w:start w:val="1"/>
      <w:numFmt w:val="decimal"/>
      <w:lvlText w:val="Artículo 1.2.5.%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085B4D77"/>
    <w:multiLevelType w:val="hybridMultilevel"/>
    <w:tmpl w:val="3D00B41A"/>
    <w:lvl w:ilvl="0" w:tplc="E68A02A4">
      <w:start w:val="1"/>
      <w:numFmt w:val="decimal"/>
      <w:lvlText w:val="Artículo 1.4.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09577ABA"/>
    <w:multiLevelType w:val="hybridMultilevel"/>
    <w:tmpl w:val="6F1857EC"/>
    <w:lvl w:ilvl="0" w:tplc="09DA2F20">
      <w:start w:val="1"/>
      <w:numFmt w:val="decimal"/>
      <w:lvlText w:val="Artículo 1.6.1.2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0A6E5511"/>
    <w:multiLevelType w:val="hybridMultilevel"/>
    <w:tmpl w:val="0CF093C2"/>
    <w:lvl w:ilvl="0" w:tplc="124C61BA">
      <w:start w:val="1"/>
      <w:numFmt w:val="decimal"/>
      <w:lvlText w:val="Artículo 1.6.1.1.%1."/>
      <w:lvlJc w:val="left"/>
      <w:pPr>
        <w:ind w:left="720" w:hanging="360"/>
      </w:pPr>
      <w:rPr>
        <w:rFonts w:hint="default"/>
        <w:b/>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0A7F5624"/>
    <w:multiLevelType w:val="hybridMultilevel"/>
    <w:tmpl w:val="8BCEC28E"/>
    <w:lvl w:ilvl="0" w:tplc="0DDCF0C4">
      <w:start w:val="1"/>
      <w:numFmt w:val="decimal"/>
      <w:lvlText w:val="Artículo 1.3.1.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0A836B62"/>
    <w:multiLevelType w:val="hybridMultilevel"/>
    <w:tmpl w:val="E1C870A2"/>
    <w:lvl w:ilvl="0" w:tplc="FC6A2CC0">
      <w:start w:val="1"/>
      <w:numFmt w:val="decimal"/>
      <w:lvlText w:val="Artículo 1.6.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0B696E0B"/>
    <w:multiLevelType w:val="hybridMultilevel"/>
    <w:tmpl w:val="4D1EE38C"/>
    <w:lvl w:ilvl="0" w:tplc="FDB6B4FA">
      <w:start w:val="4"/>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0B9F039B"/>
    <w:multiLevelType w:val="hybridMultilevel"/>
    <w:tmpl w:val="F1805AB4"/>
    <w:lvl w:ilvl="0" w:tplc="DEB2D8C2">
      <w:start w:val="1"/>
      <w:numFmt w:val="decimal"/>
      <w:lvlText w:val="Artículo 1.3.1.1.%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0C832ECC"/>
    <w:multiLevelType w:val="hybridMultilevel"/>
    <w:tmpl w:val="930C963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0D3E33A0"/>
    <w:multiLevelType w:val="hybridMultilevel"/>
    <w:tmpl w:val="44B8B296"/>
    <w:lvl w:ilvl="0" w:tplc="23A6EB10">
      <w:start w:val="1"/>
      <w:numFmt w:val="lowerLetter"/>
      <w:lvlText w:val="%1)"/>
      <w:lvlJc w:val="left"/>
      <w:pPr>
        <w:ind w:left="1065" w:hanging="70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0D5770EC"/>
    <w:multiLevelType w:val="hybridMultilevel"/>
    <w:tmpl w:val="51827ECE"/>
    <w:lvl w:ilvl="0" w:tplc="22CEC366">
      <w:start w:val="1"/>
      <w:numFmt w:val="decimal"/>
      <w:lvlText w:val="Artículo 1.6.1.10.%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0DB87608"/>
    <w:multiLevelType w:val="hybridMultilevel"/>
    <w:tmpl w:val="C6D8F374"/>
    <w:lvl w:ilvl="0" w:tplc="55CCDC58">
      <w:start w:val="1"/>
      <w:numFmt w:val="decimal"/>
      <w:lvlText w:val="Artículo 2.2.3.%1."/>
      <w:lvlJc w:val="left"/>
      <w:pPr>
        <w:ind w:left="2204"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0DFF2244"/>
    <w:multiLevelType w:val="hybridMultilevel"/>
    <w:tmpl w:val="3BB6275A"/>
    <w:lvl w:ilvl="0" w:tplc="690C6D86">
      <w:start w:val="1"/>
      <w:numFmt w:val="decimal"/>
      <w:lvlText w:val="Artículo 1.6.1.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0F64169A"/>
    <w:multiLevelType w:val="hybridMultilevel"/>
    <w:tmpl w:val="8A78C760"/>
    <w:lvl w:ilvl="0" w:tplc="2D987E24">
      <w:start w:val="4"/>
      <w:numFmt w:val="decimal"/>
      <w:lvlText w:val="%1."/>
      <w:lvlJc w:val="left"/>
      <w:pPr>
        <w:ind w:hanging="387"/>
        <w:jc w:val="right"/>
      </w:pPr>
      <w:rPr>
        <w:rFonts w:ascii="Arial" w:eastAsia="Arial" w:hAnsi="Arial" w:hint="default"/>
        <w:w w:val="101"/>
        <w:sz w:val="24"/>
        <w:szCs w:val="24"/>
      </w:rPr>
    </w:lvl>
    <w:lvl w:ilvl="1" w:tplc="BA68C41A">
      <w:start w:val="1"/>
      <w:numFmt w:val="bullet"/>
      <w:lvlText w:val="•"/>
      <w:lvlJc w:val="left"/>
      <w:rPr>
        <w:rFonts w:hint="default"/>
      </w:rPr>
    </w:lvl>
    <w:lvl w:ilvl="2" w:tplc="9A065288">
      <w:start w:val="1"/>
      <w:numFmt w:val="bullet"/>
      <w:lvlText w:val="•"/>
      <w:lvlJc w:val="left"/>
      <w:rPr>
        <w:rFonts w:hint="default"/>
      </w:rPr>
    </w:lvl>
    <w:lvl w:ilvl="3" w:tplc="BAD03B4C">
      <w:start w:val="1"/>
      <w:numFmt w:val="bullet"/>
      <w:lvlText w:val="•"/>
      <w:lvlJc w:val="left"/>
      <w:rPr>
        <w:rFonts w:hint="default"/>
      </w:rPr>
    </w:lvl>
    <w:lvl w:ilvl="4" w:tplc="4DAC31D8">
      <w:start w:val="1"/>
      <w:numFmt w:val="bullet"/>
      <w:lvlText w:val="•"/>
      <w:lvlJc w:val="left"/>
      <w:rPr>
        <w:rFonts w:hint="default"/>
      </w:rPr>
    </w:lvl>
    <w:lvl w:ilvl="5" w:tplc="7FFED8BA">
      <w:start w:val="1"/>
      <w:numFmt w:val="bullet"/>
      <w:lvlText w:val="•"/>
      <w:lvlJc w:val="left"/>
      <w:rPr>
        <w:rFonts w:hint="default"/>
      </w:rPr>
    </w:lvl>
    <w:lvl w:ilvl="6" w:tplc="F3DCEE0E">
      <w:start w:val="1"/>
      <w:numFmt w:val="bullet"/>
      <w:lvlText w:val="•"/>
      <w:lvlJc w:val="left"/>
      <w:rPr>
        <w:rFonts w:hint="default"/>
      </w:rPr>
    </w:lvl>
    <w:lvl w:ilvl="7" w:tplc="54C6A09C">
      <w:start w:val="1"/>
      <w:numFmt w:val="bullet"/>
      <w:lvlText w:val="•"/>
      <w:lvlJc w:val="left"/>
      <w:rPr>
        <w:rFonts w:hint="default"/>
      </w:rPr>
    </w:lvl>
    <w:lvl w:ilvl="8" w:tplc="14F0963C">
      <w:start w:val="1"/>
      <w:numFmt w:val="bullet"/>
      <w:lvlText w:val="•"/>
      <w:lvlJc w:val="left"/>
      <w:rPr>
        <w:rFonts w:hint="default"/>
      </w:rPr>
    </w:lvl>
  </w:abstractNum>
  <w:abstractNum w:abstractNumId="30" w15:restartNumberingAfterBreak="0">
    <w:nsid w:val="0F864565"/>
    <w:multiLevelType w:val="hybridMultilevel"/>
    <w:tmpl w:val="80547630"/>
    <w:lvl w:ilvl="0" w:tplc="F6BC2584">
      <w:start w:val="1"/>
      <w:numFmt w:val="decimal"/>
      <w:lvlText w:val="Artículo 1.2.2.4.%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06D5A3C"/>
    <w:multiLevelType w:val="hybridMultilevel"/>
    <w:tmpl w:val="EF067B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10A8395F"/>
    <w:multiLevelType w:val="hybridMultilevel"/>
    <w:tmpl w:val="420E5F32"/>
    <w:lvl w:ilvl="0" w:tplc="B5ECBC5A">
      <w:start w:val="1"/>
      <w:numFmt w:val="decimal"/>
      <w:lvlText w:val="Artículo 1.6.2.6.%1."/>
      <w:lvlJc w:val="left"/>
      <w:pPr>
        <w:ind w:left="248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114A73AB"/>
    <w:multiLevelType w:val="hybridMultilevel"/>
    <w:tmpl w:val="82A21226"/>
    <w:lvl w:ilvl="0" w:tplc="962A3930">
      <w:start w:val="1"/>
      <w:numFmt w:val="lowerLetter"/>
      <w:lvlText w:val="%1)"/>
      <w:lvlJc w:val="left"/>
      <w:pPr>
        <w:ind w:hanging="370"/>
      </w:pPr>
      <w:rPr>
        <w:rFonts w:ascii="Arial" w:eastAsia="Arial" w:hAnsi="Arial" w:hint="default"/>
        <w:color w:val="111111"/>
        <w:w w:val="96"/>
        <w:sz w:val="24"/>
        <w:szCs w:val="24"/>
      </w:rPr>
    </w:lvl>
    <w:lvl w:ilvl="1" w:tplc="705C0882">
      <w:start w:val="1"/>
      <w:numFmt w:val="bullet"/>
      <w:lvlText w:val="o"/>
      <w:lvlJc w:val="left"/>
      <w:pPr>
        <w:ind w:hanging="879"/>
      </w:pPr>
      <w:rPr>
        <w:rFonts w:ascii="Times New Roman" w:eastAsia="Times New Roman" w:hAnsi="Times New Roman" w:hint="default"/>
        <w:color w:val="111111"/>
        <w:w w:val="72"/>
        <w:sz w:val="30"/>
        <w:szCs w:val="30"/>
      </w:rPr>
    </w:lvl>
    <w:lvl w:ilvl="2" w:tplc="AEFC7F5A">
      <w:start w:val="1"/>
      <w:numFmt w:val="bullet"/>
      <w:lvlText w:val="•"/>
      <w:lvlJc w:val="left"/>
      <w:rPr>
        <w:rFonts w:hint="default"/>
      </w:rPr>
    </w:lvl>
    <w:lvl w:ilvl="3" w:tplc="216CB372">
      <w:start w:val="1"/>
      <w:numFmt w:val="bullet"/>
      <w:lvlText w:val="•"/>
      <w:lvlJc w:val="left"/>
      <w:rPr>
        <w:rFonts w:hint="default"/>
      </w:rPr>
    </w:lvl>
    <w:lvl w:ilvl="4" w:tplc="C7C68872">
      <w:start w:val="1"/>
      <w:numFmt w:val="bullet"/>
      <w:lvlText w:val="•"/>
      <w:lvlJc w:val="left"/>
      <w:rPr>
        <w:rFonts w:hint="default"/>
      </w:rPr>
    </w:lvl>
    <w:lvl w:ilvl="5" w:tplc="10EEF4DA">
      <w:start w:val="1"/>
      <w:numFmt w:val="bullet"/>
      <w:lvlText w:val="•"/>
      <w:lvlJc w:val="left"/>
      <w:rPr>
        <w:rFonts w:hint="default"/>
      </w:rPr>
    </w:lvl>
    <w:lvl w:ilvl="6" w:tplc="E35022D2">
      <w:start w:val="1"/>
      <w:numFmt w:val="bullet"/>
      <w:lvlText w:val="•"/>
      <w:lvlJc w:val="left"/>
      <w:rPr>
        <w:rFonts w:hint="default"/>
      </w:rPr>
    </w:lvl>
    <w:lvl w:ilvl="7" w:tplc="4D2ADDA6">
      <w:start w:val="1"/>
      <w:numFmt w:val="bullet"/>
      <w:lvlText w:val="•"/>
      <w:lvlJc w:val="left"/>
      <w:rPr>
        <w:rFonts w:hint="default"/>
      </w:rPr>
    </w:lvl>
    <w:lvl w:ilvl="8" w:tplc="CE10C44E">
      <w:start w:val="1"/>
      <w:numFmt w:val="bullet"/>
      <w:lvlText w:val="•"/>
      <w:lvlJc w:val="left"/>
      <w:rPr>
        <w:rFonts w:hint="default"/>
      </w:rPr>
    </w:lvl>
  </w:abstractNum>
  <w:abstractNum w:abstractNumId="34" w15:restartNumberingAfterBreak="0">
    <w:nsid w:val="118264CC"/>
    <w:multiLevelType w:val="hybridMultilevel"/>
    <w:tmpl w:val="775A1CC8"/>
    <w:lvl w:ilvl="0" w:tplc="950430E8">
      <w:start w:val="1"/>
      <w:numFmt w:val="decimal"/>
      <w:lvlText w:val="Artículo 1.6.1.9.%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11953461"/>
    <w:multiLevelType w:val="hybridMultilevel"/>
    <w:tmpl w:val="839EE7F6"/>
    <w:lvl w:ilvl="0" w:tplc="D6B430C8">
      <w:start w:val="1"/>
      <w:numFmt w:val="decimal"/>
      <w:lvlText w:val="Artículo 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11B57076"/>
    <w:multiLevelType w:val="hybridMultilevel"/>
    <w:tmpl w:val="CF34A908"/>
    <w:lvl w:ilvl="0" w:tplc="83F23B6A">
      <w:start w:val="1"/>
      <w:numFmt w:val="decimal"/>
      <w:lvlText w:val="Artículo 1.2.1.22.%1."/>
      <w:lvlJc w:val="left"/>
      <w:pPr>
        <w:ind w:left="2912"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121B51E9"/>
    <w:multiLevelType w:val="hybridMultilevel"/>
    <w:tmpl w:val="B53EC3A4"/>
    <w:lvl w:ilvl="0" w:tplc="B8E490C8">
      <w:start w:val="1"/>
      <w:numFmt w:val="decimal"/>
      <w:lvlText w:val="Artículo 1.2.2.3.%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12310B88"/>
    <w:multiLevelType w:val="hybridMultilevel"/>
    <w:tmpl w:val="0D1C31CA"/>
    <w:lvl w:ilvl="0" w:tplc="B0F65270">
      <w:start w:val="1"/>
      <w:numFmt w:val="decimal"/>
      <w:lvlText w:val="Artículo 1.2.3.%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127837D2"/>
    <w:multiLevelType w:val="hybridMultilevel"/>
    <w:tmpl w:val="A9E64C5E"/>
    <w:lvl w:ilvl="0" w:tplc="240A0017">
      <w:start w:val="1"/>
      <w:numFmt w:val="lowerLetter"/>
      <w:lvlText w:val="%1)"/>
      <w:lvlJc w:val="left"/>
      <w:pPr>
        <w:ind w:left="360" w:hanging="360"/>
      </w:pPr>
      <w:rPr>
        <w:rFonts w:hint="default"/>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12B72A66"/>
    <w:multiLevelType w:val="hybridMultilevel"/>
    <w:tmpl w:val="B07AC360"/>
    <w:lvl w:ilvl="0" w:tplc="9F2600B6">
      <w:start w:val="1"/>
      <w:numFmt w:val="decimal"/>
      <w:lvlText w:val="Artículo 1.3.1.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14413B0C"/>
    <w:multiLevelType w:val="hybridMultilevel"/>
    <w:tmpl w:val="7EDAD424"/>
    <w:lvl w:ilvl="0" w:tplc="E214B214">
      <w:start w:val="2"/>
      <w:numFmt w:val="decimal"/>
      <w:lvlText w:val="Artículo 1.6.1.5.%1."/>
      <w:lvlJc w:val="left"/>
      <w:pPr>
        <w:ind w:left="3338"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145C47FC"/>
    <w:multiLevelType w:val="hybridMultilevel"/>
    <w:tmpl w:val="C0C49454"/>
    <w:lvl w:ilvl="0" w:tplc="CCF8D1AC">
      <w:start w:val="1"/>
      <w:numFmt w:val="decimal"/>
      <w:lvlText w:val="Artículo 1.4.2.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14983817"/>
    <w:multiLevelType w:val="hybridMultilevel"/>
    <w:tmpl w:val="8D463DE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14B50DBC"/>
    <w:multiLevelType w:val="hybridMultilevel"/>
    <w:tmpl w:val="1296773A"/>
    <w:lvl w:ilvl="0" w:tplc="CCC4FD88">
      <w:start w:val="1"/>
      <w:numFmt w:val="decimal"/>
      <w:lvlText w:val="Artículo 2.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150F119F"/>
    <w:multiLevelType w:val="hybridMultilevel"/>
    <w:tmpl w:val="F37093EC"/>
    <w:lvl w:ilvl="0" w:tplc="14B25274">
      <w:start w:val="1"/>
      <w:numFmt w:val="decimal"/>
      <w:lvlText w:val="Artículo 1.4.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154F314C"/>
    <w:multiLevelType w:val="hybridMultilevel"/>
    <w:tmpl w:val="5EEE5A44"/>
    <w:lvl w:ilvl="0" w:tplc="9C5872D8">
      <w:start w:val="1"/>
      <w:numFmt w:val="decimal"/>
      <w:lvlText w:val="Artículo 2.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18133BD6"/>
    <w:multiLevelType w:val="hybridMultilevel"/>
    <w:tmpl w:val="83E2FBF8"/>
    <w:lvl w:ilvl="0" w:tplc="F9EED1D6">
      <w:start w:val="1"/>
      <w:numFmt w:val="lowerLetter"/>
      <w:lvlText w:val="%1)"/>
      <w:lvlJc w:val="left"/>
      <w:pPr>
        <w:ind w:left="364" w:hanging="360"/>
      </w:pPr>
      <w:rPr>
        <w:rFonts w:hint="default"/>
      </w:rPr>
    </w:lvl>
    <w:lvl w:ilvl="1" w:tplc="240A0019" w:tentative="1">
      <w:start w:val="1"/>
      <w:numFmt w:val="lowerLetter"/>
      <w:lvlText w:val="%2."/>
      <w:lvlJc w:val="left"/>
      <w:pPr>
        <w:ind w:left="1084" w:hanging="360"/>
      </w:pPr>
    </w:lvl>
    <w:lvl w:ilvl="2" w:tplc="240A001B" w:tentative="1">
      <w:start w:val="1"/>
      <w:numFmt w:val="lowerRoman"/>
      <w:lvlText w:val="%3."/>
      <w:lvlJc w:val="right"/>
      <w:pPr>
        <w:ind w:left="1804" w:hanging="180"/>
      </w:pPr>
    </w:lvl>
    <w:lvl w:ilvl="3" w:tplc="240A000F" w:tentative="1">
      <w:start w:val="1"/>
      <w:numFmt w:val="decimal"/>
      <w:lvlText w:val="%4."/>
      <w:lvlJc w:val="left"/>
      <w:pPr>
        <w:ind w:left="2524" w:hanging="360"/>
      </w:pPr>
    </w:lvl>
    <w:lvl w:ilvl="4" w:tplc="240A0019" w:tentative="1">
      <w:start w:val="1"/>
      <w:numFmt w:val="lowerLetter"/>
      <w:lvlText w:val="%5."/>
      <w:lvlJc w:val="left"/>
      <w:pPr>
        <w:ind w:left="3244" w:hanging="360"/>
      </w:pPr>
    </w:lvl>
    <w:lvl w:ilvl="5" w:tplc="240A001B" w:tentative="1">
      <w:start w:val="1"/>
      <w:numFmt w:val="lowerRoman"/>
      <w:lvlText w:val="%6."/>
      <w:lvlJc w:val="right"/>
      <w:pPr>
        <w:ind w:left="3964" w:hanging="180"/>
      </w:pPr>
    </w:lvl>
    <w:lvl w:ilvl="6" w:tplc="240A000F" w:tentative="1">
      <w:start w:val="1"/>
      <w:numFmt w:val="decimal"/>
      <w:lvlText w:val="%7."/>
      <w:lvlJc w:val="left"/>
      <w:pPr>
        <w:ind w:left="4684" w:hanging="360"/>
      </w:pPr>
    </w:lvl>
    <w:lvl w:ilvl="7" w:tplc="240A0019" w:tentative="1">
      <w:start w:val="1"/>
      <w:numFmt w:val="lowerLetter"/>
      <w:lvlText w:val="%8."/>
      <w:lvlJc w:val="left"/>
      <w:pPr>
        <w:ind w:left="5404" w:hanging="360"/>
      </w:pPr>
    </w:lvl>
    <w:lvl w:ilvl="8" w:tplc="240A001B" w:tentative="1">
      <w:start w:val="1"/>
      <w:numFmt w:val="lowerRoman"/>
      <w:lvlText w:val="%9."/>
      <w:lvlJc w:val="right"/>
      <w:pPr>
        <w:ind w:left="6124" w:hanging="180"/>
      </w:pPr>
    </w:lvl>
  </w:abstractNum>
  <w:abstractNum w:abstractNumId="48" w15:restartNumberingAfterBreak="0">
    <w:nsid w:val="181926B3"/>
    <w:multiLevelType w:val="hybridMultilevel"/>
    <w:tmpl w:val="E2FEB09C"/>
    <w:lvl w:ilvl="0" w:tplc="5E22940A">
      <w:start w:val="1"/>
      <w:numFmt w:val="decimal"/>
      <w:lvlText w:val="Artículo 1.2.1.1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19190BEB"/>
    <w:multiLevelType w:val="hybridMultilevel"/>
    <w:tmpl w:val="3D0442B2"/>
    <w:lvl w:ilvl="0" w:tplc="2626CCBE">
      <w:start w:val="1"/>
      <w:numFmt w:val="decimal"/>
      <w:lvlText w:val="Artículo 1.2.2.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194D6598"/>
    <w:multiLevelType w:val="hybridMultilevel"/>
    <w:tmpl w:val="01EC194C"/>
    <w:lvl w:ilvl="0" w:tplc="727CA33C">
      <w:start w:val="1"/>
      <w:numFmt w:val="decimal"/>
      <w:lvlText w:val="Artículo 1.3.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19520A55"/>
    <w:multiLevelType w:val="hybridMultilevel"/>
    <w:tmpl w:val="DDDCCA62"/>
    <w:lvl w:ilvl="0" w:tplc="90AA51A8">
      <w:start w:val="1"/>
      <w:numFmt w:val="decimal"/>
      <w:lvlText w:val="Artículo 1.5.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19ED5397"/>
    <w:multiLevelType w:val="hybridMultilevel"/>
    <w:tmpl w:val="E3642954"/>
    <w:lvl w:ilvl="0" w:tplc="C96258D8">
      <w:start w:val="1"/>
      <w:numFmt w:val="decimal"/>
      <w:lvlText w:val="Artículo 1.3.1.5.%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1B3C14F5"/>
    <w:multiLevelType w:val="hybridMultilevel"/>
    <w:tmpl w:val="FA761EC6"/>
    <w:lvl w:ilvl="0" w:tplc="06F67304">
      <w:start w:val="1"/>
      <w:numFmt w:val="decimal"/>
      <w:lvlText w:val="Artículo 2.2.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1BF423A2"/>
    <w:multiLevelType w:val="hybridMultilevel"/>
    <w:tmpl w:val="75D61CCE"/>
    <w:lvl w:ilvl="0" w:tplc="24A63780">
      <w:start w:val="1"/>
      <w:numFmt w:val="decimal"/>
      <w:lvlText w:val="Artículo 1.2.2.5.%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15:restartNumberingAfterBreak="0">
    <w:nsid w:val="1C0E7399"/>
    <w:multiLevelType w:val="hybridMultilevel"/>
    <w:tmpl w:val="3FF6525C"/>
    <w:lvl w:ilvl="0" w:tplc="646C0EE8">
      <w:start w:val="1"/>
      <w:numFmt w:val="decimal"/>
      <w:lvlText w:val="Artículo 1.3.1.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1C7B6229"/>
    <w:multiLevelType w:val="hybridMultilevel"/>
    <w:tmpl w:val="03A2D5EC"/>
    <w:lvl w:ilvl="0" w:tplc="007E3718">
      <w:start w:val="1"/>
      <w:numFmt w:val="decimal"/>
      <w:lvlText w:val="Artículo 1.6.1.2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1CC9010F"/>
    <w:multiLevelType w:val="hybridMultilevel"/>
    <w:tmpl w:val="70C23FC4"/>
    <w:lvl w:ilvl="0" w:tplc="1B2CB586">
      <w:start w:val="1"/>
      <w:numFmt w:val="lowerLetter"/>
      <w:lvlText w:val="%1)"/>
      <w:lvlJc w:val="left"/>
      <w:pPr>
        <w:ind w:left="1125" w:hanging="76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1CE658D1"/>
    <w:multiLevelType w:val="hybridMultilevel"/>
    <w:tmpl w:val="68CCB834"/>
    <w:lvl w:ilvl="0" w:tplc="7B46BFCE">
      <w:start w:val="1"/>
      <w:numFmt w:val="decimal"/>
      <w:lvlText w:val="Artículo 1.8.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1D2376EF"/>
    <w:multiLevelType w:val="hybridMultilevel"/>
    <w:tmpl w:val="B622C198"/>
    <w:lvl w:ilvl="0" w:tplc="0C66130A">
      <w:start w:val="1"/>
      <w:numFmt w:val="decimal"/>
      <w:lvlText w:val="Artículo 1.6.1.4.%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1D311282"/>
    <w:multiLevelType w:val="hybridMultilevel"/>
    <w:tmpl w:val="1A88233E"/>
    <w:lvl w:ilvl="0" w:tplc="27F2C5C4">
      <w:start w:val="1"/>
      <w:numFmt w:val="decimal"/>
      <w:lvlText w:val="Artículo 1.6.1.13.2.%1."/>
      <w:lvlJc w:val="left"/>
      <w:pPr>
        <w:ind w:left="2345"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1E83392F"/>
    <w:multiLevelType w:val="hybridMultilevel"/>
    <w:tmpl w:val="78AE20A8"/>
    <w:lvl w:ilvl="0" w:tplc="EC1EEAD4">
      <w:start w:val="1"/>
      <w:numFmt w:val="decimal"/>
      <w:lvlText w:val="Artículo 1.4.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1F426153"/>
    <w:multiLevelType w:val="hybridMultilevel"/>
    <w:tmpl w:val="C96E08F2"/>
    <w:lvl w:ilvl="0" w:tplc="1E4CA02C">
      <w:start w:val="1"/>
      <w:numFmt w:val="decimal"/>
      <w:lvlText w:val="Artículo 1.3.1.3.%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3" w15:restartNumberingAfterBreak="0">
    <w:nsid w:val="1F570021"/>
    <w:multiLevelType w:val="hybridMultilevel"/>
    <w:tmpl w:val="6BD2BCFA"/>
    <w:lvl w:ilvl="0" w:tplc="8D56A5DC">
      <w:start w:val="1"/>
      <w:numFmt w:val="decimal"/>
      <w:lvlText w:val="Artículo 1.6.1.2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200B0CF0"/>
    <w:multiLevelType w:val="hybridMultilevel"/>
    <w:tmpl w:val="40486D3A"/>
    <w:lvl w:ilvl="0" w:tplc="9BBE539E">
      <w:start w:val="1"/>
      <w:numFmt w:val="decimal"/>
      <w:lvlText w:val="Artículo 2.2.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20102BBC"/>
    <w:multiLevelType w:val="hybridMultilevel"/>
    <w:tmpl w:val="1B281F50"/>
    <w:lvl w:ilvl="0" w:tplc="D97C006A">
      <w:start w:val="1"/>
      <w:numFmt w:val="decimal"/>
      <w:lvlText w:val="Artículo 1.4.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20581209"/>
    <w:multiLevelType w:val="hybridMultilevel"/>
    <w:tmpl w:val="3CF028B2"/>
    <w:lvl w:ilvl="0" w:tplc="5EFC4B48">
      <w:start w:val="1"/>
      <w:numFmt w:val="decimal"/>
      <w:lvlText w:val="Artículo 1.6.3.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21211D43"/>
    <w:multiLevelType w:val="hybridMultilevel"/>
    <w:tmpl w:val="0EB8E53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8" w15:restartNumberingAfterBreak="0">
    <w:nsid w:val="227A6144"/>
    <w:multiLevelType w:val="hybridMultilevel"/>
    <w:tmpl w:val="A544A55A"/>
    <w:lvl w:ilvl="0" w:tplc="5336ADC8">
      <w:start w:val="1"/>
      <w:numFmt w:val="decimal"/>
      <w:lvlText w:val="Artículo 1.3.1.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26000040"/>
    <w:multiLevelType w:val="hybridMultilevel"/>
    <w:tmpl w:val="3BBE6D64"/>
    <w:lvl w:ilvl="0" w:tplc="FF88C3DA">
      <w:start w:val="3"/>
      <w:numFmt w:val="bullet"/>
      <w:lvlText w:val="-"/>
      <w:lvlJc w:val="left"/>
      <w:pPr>
        <w:ind w:left="720" w:hanging="360"/>
      </w:pPr>
      <w:rPr>
        <w:rFonts w:ascii="Arial" w:eastAsia="MS Mincho"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26D73FE5"/>
    <w:multiLevelType w:val="hybridMultilevel"/>
    <w:tmpl w:val="8306EBEE"/>
    <w:lvl w:ilvl="0" w:tplc="567AFE14">
      <w:start w:val="1"/>
      <w:numFmt w:val="decimal"/>
      <w:lvlText w:val="Artículo 1.3.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26EE2791"/>
    <w:multiLevelType w:val="hybridMultilevel"/>
    <w:tmpl w:val="B36E1E4E"/>
    <w:lvl w:ilvl="0" w:tplc="E0800FD4">
      <w:start w:val="1"/>
      <w:numFmt w:val="decimal"/>
      <w:lvlText w:val="Artículo 1.2.1.12.%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26F66097"/>
    <w:multiLevelType w:val="hybridMultilevel"/>
    <w:tmpl w:val="6ABE646E"/>
    <w:lvl w:ilvl="0" w:tplc="508C936E">
      <w:start w:val="1"/>
      <w:numFmt w:val="decimal"/>
      <w:lvlText w:val="Artículo 1.6.1.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27C20837"/>
    <w:multiLevelType w:val="hybridMultilevel"/>
    <w:tmpl w:val="5BD09216"/>
    <w:lvl w:ilvl="0" w:tplc="221AA23E">
      <w:start w:val="1"/>
      <w:numFmt w:val="decimal"/>
      <w:lvlText w:val="Artículo 2.2.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4" w15:restartNumberingAfterBreak="0">
    <w:nsid w:val="284F12E6"/>
    <w:multiLevelType w:val="hybridMultilevel"/>
    <w:tmpl w:val="F4DC5E7C"/>
    <w:lvl w:ilvl="0" w:tplc="4B0EECD0">
      <w:start w:val="1"/>
      <w:numFmt w:val="decimal"/>
      <w:lvlText w:val="Artículo 1.5.2.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5" w15:restartNumberingAfterBreak="0">
    <w:nsid w:val="28C12135"/>
    <w:multiLevelType w:val="hybridMultilevel"/>
    <w:tmpl w:val="D4D8083A"/>
    <w:lvl w:ilvl="0" w:tplc="6D90B6CA">
      <w:start w:val="1"/>
      <w:numFmt w:val="decimal"/>
      <w:lvlText w:val="Artículo 1.2.4.3.%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29D21EBA"/>
    <w:multiLevelType w:val="hybridMultilevel"/>
    <w:tmpl w:val="F2846CFA"/>
    <w:lvl w:ilvl="0" w:tplc="6F72FF68">
      <w:start w:val="1"/>
      <w:numFmt w:val="decimal"/>
      <w:lvlText w:val="Artículo 1.6.1.20.%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2B81215D"/>
    <w:multiLevelType w:val="multilevel"/>
    <w:tmpl w:val="4C54985E"/>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C381289"/>
    <w:multiLevelType w:val="hybridMultilevel"/>
    <w:tmpl w:val="2D9E8552"/>
    <w:lvl w:ilvl="0" w:tplc="AC38810C">
      <w:start w:val="1"/>
      <w:numFmt w:val="decimal"/>
      <w:lvlText w:val="Artículo 1.6.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2C8C437A"/>
    <w:multiLevelType w:val="hybridMultilevel"/>
    <w:tmpl w:val="122A423A"/>
    <w:lvl w:ilvl="0" w:tplc="9938A560">
      <w:start w:val="1"/>
      <w:numFmt w:val="decimal"/>
      <w:lvlText w:val="Artículo 1.6.2.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2CF31CCA"/>
    <w:multiLevelType w:val="hybridMultilevel"/>
    <w:tmpl w:val="6FAE08B4"/>
    <w:lvl w:ilvl="0" w:tplc="528AF408">
      <w:start w:val="1"/>
      <w:numFmt w:val="decimal"/>
      <w:lvlText w:val="Artículo 1.6.1.13.2.%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2DA6766E"/>
    <w:multiLevelType w:val="hybridMultilevel"/>
    <w:tmpl w:val="6DE2F082"/>
    <w:lvl w:ilvl="0" w:tplc="6E6CC1C0">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2" w15:restartNumberingAfterBreak="0">
    <w:nsid w:val="2ECA2FAA"/>
    <w:multiLevelType w:val="hybridMultilevel"/>
    <w:tmpl w:val="5950B3C2"/>
    <w:lvl w:ilvl="0" w:tplc="D49051EC">
      <w:start w:val="1"/>
      <w:numFmt w:val="decimal"/>
      <w:lvlText w:val="Artículo 1.2.1.6.%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3" w15:restartNumberingAfterBreak="0">
    <w:nsid w:val="2F557A5E"/>
    <w:multiLevelType w:val="hybridMultilevel"/>
    <w:tmpl w:val="C8D4E964"/>
    <w:lvl w:ilvl="0" w:tplc="3BAA603E">
      <w:start w:val="1"/>
      <w:numFmt w:val="decimal"/>
      <w:lvlText w:val="Artículo 1.5.2.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4" w15:restartNumberingAfterBreak="0">
    <w:nsid w:val="2F6C0075"/>
    <w:multiLevelType w:val="multilevel"/>
    <w:tmpl w:val="66CAEC5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FA217B0"/>
    <w:multiLevelType w:val="hybridMultilevel"/>
    <w:tmpl w:val="DA8838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2FEE0B07"/>
    <w:multiLevelType w:val="hybridMultilevel"/>
    <w:tmpl w:val="7A60442E"/>
    <w:lvl w:ilvl="0" w:tplc="48463778">
      <w:start w:val="1"/>
      <w:numFmt w:val="decimal"/>
      <w:lvlText w:val="Artículo 1.3.1.2.%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15:restartNumberingAfterBreak="0">
    <w:nsid w:val="2FF03C98"/>
    <w:multiLevelType w:val="hybridMultilevel"/>
    <w:tmpl w:val="15B2BA0A"/>
    <w:lvl w:ilvl="0" w:tplc="648600E8">
      <w:start w:val="1"/>
      <w:numFmt w:val="decimal"/>
      <w:lvlText w:val="Artículo 1.5.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31221064"/>
    <w:multiLevelType w:val="hybridMultilevel"/>
    <w:tmpl w:val="7F008A56"/>
    <w:lvl w:ilvl="0" w:tplc="94A27B00">
      <w:start w:val="1"/>
      <w:numFmt w:val="decimal"/>
      <w:lvlText w:val="Artículo 1.6.1.12.%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9" w15:restartNumberingAfterBreak="0">
    <w:nsid w:val="32CB4556"/>
    <w:multiLevelType w:val="hybridMultilevel"/>
    <w:tmpl w:val="CC4E8624"/>
    <w:lvl w:ilvl="0" w:tplc="DAE64F76">
      <w:start w:val="1"/>
      <w:numFmt w:val="decimal"/>
      <w:lvlText w:val="Artículo 1.8.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15:restartNumberingAfterBreak="0">
    <w:nsid w:val="32D30208"/>
    <w:multiLevelType w:val="hybridMultilevel"/>
    <w:tmpl w:val="0CA0A2F4"/>
    <w:lvl w:ilvl="0" w:tplc="2B469B8E">
      <w:start w:val="1"/>
      <w:numFmt w:val="decimal"/>
      <w:lvlText w:val="Artículo 1.2.1.14.%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33F505D8"/>
    <w:multiLevelType w:val="hybridMultilevel"/>
    <w:tmpl w:val="14B0E184"/>
    <w:lvl w:ilvl="0" w:tplc="A7B2C512">
      <w:start w:val="1"/>
      <w:numFmt w:val="decimal"/>
      <w:lvlText w:val="Artículo 1.6.1.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2" w15:restartNumberingAfterBreak="0">
    <w:nsid w:val="33FD1F18"/>
    <w:multiLevelType w:val="hybridMultilevel"/>
    <w:tmpl w:val="2C2ABCB6"/>
    <w:lvl w:ilvl="0" w:tplc="25AA709E">
      <w:start w:val="1"/>
      <w:numFmt w:val="decimal"/>
      <w:lvlText w:val="%1."/>
      <w:lvlJc w:val="left"/>
      <w:pPr>
        <w:ind w:left="360" w:hanging="360"/>
      </w:pPr>
      <w:rPr>
        <w:rFonts w:ascii="Arial" w:eastAsia="Times New Roman" w:hAnsi="Arial" w:cs="Aria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3" w15:restartNumberingAfterBreak="0">
    <w:nsid w:val="35291D86"/>
    <w:multiLevelType w:val="hybridMultilevel"/>
    <w:tmpl w:val="AAE81870"/>
    <w:lvl w:ilvl="0" w:tplc="D9785768">
      <w:start w:val="1"/>
      <w:numFmt w:val="decimal"/>
      <w:lvlText w:val="Artículo 1.2.1.3.%1."/>
      <w:lvlJc w:val="left"/>
      <w:pPr>
        <w:ind w:left="2062" w:hanging="360"/>
      </w:pPr>
      <w:rPr>
        <w:rFonts w:hint="default"/>
        <w:b/>
        <w:i w:val="0"/>
      </w:rPr>
    </w:lvl>
    <w:lvl w:ilvl="1" w:tplc="240A0019" w:tentative="1">
      <w:start w:val="1"/>
      <w:numFmt w:val="lowerLetter"/>
      <w:lvlText w:val="%2."/>
      <w:lvlJc w:val="left"/>
      <w:pPr>
        <w:ind w:left="2782" w:hanging="360"/>
      </w:pPr>
    </w:lvl>
    <w:lvl w:ilvl="2" w:tplc="240A001B" w:tentative="1">
      <w:start w:val="1"/>
      <w:numFmt w:val="lowerRoman"/>
      <w:lvlText w:val="%3."/>
      <w:lvlJc w:val="right"/>
      <w:pPr>
        <w:ind w:left="3502" w:hanging="180"/>
      </w:pPr>
    </w:lvl>
    <w:lvl w:ilvl="3" w:tplc="240A000F" w:tentative="1">
      <w:start w:val="1"/>
      <w:numFmt w:val="decimal"/>
      <w:lvlText w:val="%4."/>
      <w:lvlJc w:val="left"/>
      <w:pPr>
        <w:ind w:left="4222" w:hanging="360"/>
      </w:pPr>
    </w:lvl>
    <w:lvl w:ilvl="4" w:tplc="240A0019" w:tentative="1">
      <w:start w:val="1"/>
      <w:numFmt w:val="lowerLetter"/>
      <w:lvlText w:val="%5."/>
      <w:lvlJc w:val="left"/>
      <w:pPr>
        <w:ind w:left="4942" w:hanging="360"/>
      </w:pPr>
    </w:lvl>
    <w:lvl w:ilvl="5" w:tplc="240A001B" w:tentative="1">
      <w:start w:val="1"/>
      <w:numFmt w:val="lowerRoman"/>
      <w:lvlText w:val="%6."/>
      <w:lvlJc w:val="right"/>
      <w:pPr>
        <w:ind w:left="5662" w:hanging="180"/>
      </w:pPr>
    </w:lvl>
    <w:lvl w:ilvl="6" w:tplc="240A000F" w:tentative="1">
      <w:start w:val="1"/>
      <w:numFmt w:val="decimal"/>
      <w:lvlText w:val="%7."/>
      <w:lvlJc w:val="left"/>
      <w:pPr>
        <w:ind w:left="6382" w:hanging="360"/>
      </w:pPr>
    </w:lvl>
    <w:lvl w:ilvl="7" w:tplc="240A0019" w:tentative="1">
      <w:start w:val="1"/>
      <w:numFmt w:val="lowerLetter"/>
      <w:lvlText w:val="%8."/>
      <w:lvlJc w:val="left"/>
      <w:pPr>
        <w:ind w:left="7102" w:hanging="360"/>
      </w:pPr>
    </w:lvl>
    <w:lvl w:ilvl="8" w:tplc="240A001B" w:tentative="1">
      <w:start w:val="1"/>
      <w:numFmt w:val="lowerRoman"/>
      <w:lvlText w:val="%9."/>
      <w:lvlJc w:val="right"/>
      <w:pPr>
        <w:ind w:left="7822" w:hanging="180"/>
      </w:pPr>
    </w:lvl>
  </w:abstractNum>
  <w:abstractNum w:abstractNumId="94" w15:restartNumberingAfterBreak="0">
    <w:nsid w:val="36910D40"/>
    <w:multiLevelType w:val="hybridMultilevel"/>
    <w:tmpl w:val="69A0B69A"/>
    <w:lvl w:ilvl="0" w:tplc="5D7818E8">
      <w:start w:val="1"/>
      <w:numFmt w:val="decimal"/>
      <w:lvlText w:val="Artículo 1.2.4.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5" w15:restartNumberingAfterBreak="0">
    <w:nsid w:val="39664A39"/>
    <w:multiLevelType w:val="hybridMultilevel"/>
    <w:tmpl w:val="BF42FA34"/>
    <w:lvl w:ilvl="0" w:tplc="C276CECA">
      <w:start w:val="1"/>
      <w:numFmt w:val="decimal"/>
      <w:lvlText w:val="Artículo 1.3.2.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39842B1B"/>
    <w:multiLevelType w:val="hybridMultilevel"/>
    <w:tmpl w:val="224C1CE6"/>
    <w:lvl w:ilvl="0" w:tplc="38EAC70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15:restartNumberingAfterBreak="0">
    <w:nsid w:val="3AA50911"/>
    <w:multiLevelType w:val="hybridMultilevel"/>
    <w:tmpl w:val="087E31BE"/>
    <w:lvl w:ilvl="0" w:tplc="1680A876">
      <w:start w:val="1"/>
      <w:numFmt w:val="decimal"/>
      <w:lvlText w:val="Artículo 1.2.4.6.%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3B655952"/>
    <w:multiLevelType w:val="hybridMultilevel"/>
    <w:tmpl w:val="A6245FBC"/>
    <w:lvl w:ilvl="0" w:tplc="240A000F">
      <w:start w:val="1"/>
      <w:numFmt w:val="decimal"/>
      <w:lvlText w:val="%1."/>
      <w:lvlJc w:val="left"/>
      <w:pPr>
        <w:ind w:left="-2688" w:hanging="360"/>
      </w:pPr>
      <w:rPr>
        <w:rFonts w:hint="default"/>
      </w:rPr>
    </w:lvl>
    <w:lvl w:ilvl="1" w:tplc="240A0019" w:tentative="1">
      <w:start w:val="1"/>
      <w:numFmt w:val="lowerLetter"/>
      <w:lvlText w:val="%2."/>
      <w:lvlJc w:val="left"/>
      <w:pPr>
        <w:ind w:left="-1968" w:hanging="360"/>
      </w:pPr>
    </w:lvl>
    <w:lvl w:ilvl="2" w:tplc="240A001B" w:tentative="1">
      <w:start w:val="1"/>
      <w:numFmt w:val="lowerRoman"/>
      <w:lvlText w:val="%3."/>
      <w:lvlJc w:val="right"/>
      <w:pPr>
        <w:ind w:left="-1248" w:hanging="180"/>
      </w:pPr>
    </w:lvl>
    <w:lvl w:ilvl="3" w:tplc="240A000F" w:tentative="1">
      <w:start w:val="1"/>
      <w:numFmt w:val="decimal"/>
      <w:lvlText w:val="%4."/>
      <w:lvlJc w:val="left"/>
      <w:pPr>
        <w:ind w:left="-528" w:hanging="360"/>
      </w:pPr>
    </w:lvl>
    <w:lvl w:ilvl="4" w:tplc="240A0019" w:tentative="1">
      <w:start w:val="1"/>
      <w:numFmt w:val="lowerLetter"/>
      <w:lvlText w:val="%5."/>
      <w:lvlJc w:val="left"/>
      <w:pPr>
        <w:ind w:left="192" w:hanging="360"/>
      </w:pPr>
    </w:lvl>
    <w:lvl w:ilvl="5" w:tplc="240A001B" w:tentative="1">
      <w:start w:val="1"/>
      <w:numFmt w:val="lowerRoman"/>
      <w:lvlText w:val="%6."/>
      <w:lvlJc w:val="right"/>
      <w:pPr>
        <w:ind w:left="912" w:hanging="180"/>
      </w:pPr>
    </w:lvl>
    <w:lvl w:ilvl="6" w:tplc="240A000F" w:tentative="1">
      <w:start w:val="1"/>
      <w:numFmt w:val="decimal"/>
      <w:lvlText w:val="%7."/>
      <w:lvlJc w:val="left"/>
      <w:pPr>
        <w:ind w:left="1632" w:hanging="360"/>
      </w:pPr>
    </w:lvl>
    <w:lvl w:ilvl="7" w:tplc="240A0019" w:tentative="1">
      <w:start w:val="1"/>
      <w:numFmt w:val="lowerLetter"/>
      <w:lvlText w:val="%8."/>
      <w:lvlJc w:val="left"/>
      <w:pPr>
        <w:ind w:left="2352" w:hanging="360"/>
      </w:pPr>
    </w:lvl>
    <w:lvl w:ilvl="8" w:tplc="240A001B" w:tentative="1">
      <w:start w:val="1"/>
      <w:numFmt w:val="lowerRoman"/>
      <w:lvlText w:val="%9."/>
      <w:lvlJc w:val="right"/>
      <w:pPr>
        <w:ind w:left="3072" w:hanging="180"/>
      </w:pPr>
    </w:lvl>
  </w:abstractNum>
  <w:abstractNum w:abstractNumId="99" w15:restartNumberingAfterBreak="0">
    <w:nsid w:val="3CA960F5"/>
    <w:multiLevelType w:val="hybridMultilevel"/>
    <w:tmpl w:val="8362DA08"/>
    <w:lvl w:ilvl="0" w:tplc="F10E5BC8">
      <w:start w:val="1"/>
      <w:numFmt w:val="decimal"/>
      <w:lvlText w:val="Artículo 1.2.4.4.%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0" w15:restartNumberingAfterBreak="0">
    <w:nsid w:val="3DCE39F2"/>
    <w:multiLevelType w:val="hybridMultilevel"/>
    <w:tmpl w:val="D04EE7C0"/>
    <w:lvl w:ilvl="0" w:tplc="49C6B888">
      <w:start w:val="1"/>
      <w:numFmt w:val="decimal"/>
      <w:lvlText w:val="Artículo 2.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15:restartNumberingAfterBreak="0">
    <w:nsid w:val="3F1262AE"/>
    <w:multiLevelType w:val="hybridMultilevel"/>
    <w:tmpl w:val="5E86C35C"/>
    <w:lvl w:ilvl="0" w:tplc="C0E0DB22">
      <w:start w:val="1"/>
      <w:numFmt w:val="decimal"/>
      <w:lvlText w:val="Artículo 1.6.1.1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3F475387"/>
    <w:multiLevelType w:val="hybridMultilevel"/>
    <w:tmpl w:val="373EA51A"/>
    <w:lvl w:ilvl="0" w:tplc="C746678E">
      <w:start w:val="1"/>
      <w:numFmt w:val="decimal"/>
      <w:lvlText w:val="Artículo 2.2.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3" w15:restartNumberingAfterBreak="0">
    <w:nsid w:val="3F7077BA"/>
    <w:multiLevelType w:val="hybridMultilevel"/>
    <w:tmpl w:val="CD3C35B6"/>
    <w:lvl w:ilvl="0" w:tplc="99003E50">
      <w:start w:val="1"/>
      <w:numFmt w:val="decimal"/>
      <w:lvlText w:val="Artículo 1.2.1.2.%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4" w15:restartNumberingAfterBreak="0">
    <w:nsid w:val="3FE445C4"/>
    <w:multiLevelType w:val="hybridMultilevel"/>
    <w:tmpl w:val="20A0DCC8"/>
    <w:lvl w:ilvl="0" w:tplc="AA4A459E">
      <w:start w:val="1"/>
      <w:numFmt w:val="decimal"/>
      <w:lvlText w:val="Artículo 1.8.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5" w15:restartNumberingAfterBreak="0">
    <w:nsid w:val="402A57D2"/>
    <w:multiLevelType w:val="hybridMultilevel"/>
    <w:tmpl w:val="346EBA9A"/>
    <w:lvl w:ilvl="0" w:tplc="1C205F24">
      <w:start w:val="1"/>
      <w:numFmt w:val="decimal"/>
      <w:lvlText w:val="Artículo 1.6.1.13.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6" w15:restartNumberingAfterBreak="0">
    <w:nsid w:val="402D4675"/>
    <w:multiLevelType w:val="hybridMultilevel"/>
    <w:tmpl w:val="07B27AF4"/>
    <w:lvl w:ilvl="0" w:tplc="C2F496CE">
      <w:start w:val="1"/>
      <w:numFmt w:val="decimal"/>
      <w:lvlText w:val="Artículo 1.2.1.4.%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7" w15:restartNumberingAfterBreak="0">
    <w:nsid w:val="402D4DED"/>
    <w:multiLevelType w:val="hybridMultilevel"/>
    <w:tmpl w:val="DDFA6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8" w15:restartNumberingAfterBreak="0">
    <w:nsid w:val="40843FB6"/>
    <w:multiLevelType w:val="hybridMultilevel"/>
    <w:tmpl w:val="A88EFC36"/>
    <w:lvl w:ilvl="0" w:tplc="FD6E260A">
      <w:start w:val="1"/>
      <w:numFmt w:val="decimal"/>
      <w:lvlText w:val="Artículo 2.2.1.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9" w15:restartNumberingAfterBreak="0">
    <w:nsid w:val="412147B9"/>
    <w:multiLevelType w:val="hybridMultilevel"/>
    <w:tmpl w:val="BF300822"/>
    <w:lvl w:ilvl="0" w:tplc="AD38EBC2">
      <w:start w:val="1"/>
      <w:numFmt w:val="decimal"/>
      <w:lvlText w:val="Artículo 1.3.1.10.%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0" w15:restartNumberingAfterBreak="0">
    <w:nsid w:val="41E37124"/>
    <w:multiLevelType w:val="hybridMultilevel"/>
    <w:tmpl w:val="19789436"/>
    <w:lvl w:ilvl="0" w:tplc="31D28A6E">
      <w:start w:val="1"/>
      <w:numFmt w:val="decimal"/>
      <w:lvlText w:val="Artículo 1.2.1.23.%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1" w15:restartNumberingAfterBreak="0">
    <w:nsid w:val="41E707E2"/>
    <w:multiLevelType w:val="hybridMultilevel"/>
    <w:tmpl w:val="F95E0E68"/>
    <w:lvl w:ilvl="0" w:tplc="6AB41892">
      <w:start w:val="1"/>
      <w:numFmt w:val="decimal"/>
      <w:lvlText w:val="Artículo 2.2.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2" w15:restartNumberingAfterBreak="0">
    <w:nsid w:val="4335182E"/>
    <w:multiLevelType w:val="hybridMultilevel"/>
    <w:tmpl w:val="7EAC2014"/>
    <w:lvl w:ilvl="0" w:tplc="13AC0E9A">
      <w:start w:val="1"/>
      <w:numFmt w:val="decimal"/>
      <w:lvlText w:val="Artículo 2.2.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15:restartNumberingAfterBreak="0">
    <w:nsid w:val="43572F81"/>
    <w:multiLevelType w:val="hybridMultilevel"/>
    <w:tmpl w:val="71041E90"/>
    <w:lvl w:ilvl="0" w:tplc="B8447CBA">
      <w:start w:val="7"/>
      <w:numFmt w:val="decimal"/>
      <w:lvlText w:val="Artículo 1.2.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4" w15:restartNumberingAfterBreak="0">
    <w:nsid w:val="44F4168C"/>
    <w:multiLevelType w:val="hybridMultilevel"/>
    <w:tmpl w:val="5524C198"/>
    <w:lvl w:ilvl="0" w:tplc="420895E4">
      <w:start w:val="1"/>
      <w:numFmt w:val="decimal"/>
      <w:lvlText w:val="Artículo 1.6.1.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5" w15:restartNumberingAfterBreak="0">
    <w:nsid w:val="45174051"/>
    <w:multiLevelType w:val="hybridMultilevel"/>
    <w:tmpl w:val="E70C7A06"/>
    <w:lvl w:ilvl="0" w:tplc="8C40E996">
      <w:start w:val="1"/>
      <w:numFmt w:val="decimal"/>
      <w:lvlText w:val="Artículo 1.6.2.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15:restartNumberingAfterBreak="0">
    <w:nsid w:val="45174E6B"/>
    <w:multiLevelType w:val="hybridMultilevel"/>
    <w:tmpl w:val="FCA257A6"/>
    <w:lvl w:ilvl="0" w:tplc="310ADB7E">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7" w15:restartNumberingAfterBreak="0">
    <w:nsid w:val="457D0367"/>
    <w:multiLevelType w:val="hybridMultilevel"/>
    <w:tmpl w:val="5E40162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8" w15:restartNumberingAfterBreak="0">
    <w:nsid w:val="458246CB"/>
    <w:multiLevelType w:val="hybridMultilevel"/>
    <w:tmpl w:val="F48AD828"/>
    <w:lvl w:ilvl="0" w:tplc="185C0642">
      <w:start w:val="1"/>
      <w:numFmt w:val="decimal"/>
      <w:lvlText w:val="Artículo 1.3.1.6.%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9" w15:restartNumberingAfterBreak="0">
    <w:nsid w:val="45C152B7"/>
    <w:multiLevelType w:val="hybridMultilevel"/>
    <w:tmpl w:val="9ED61BBC"/>
    <w:lvl w:ilvl="0" w:tplc="72C4641C">
      <w:start w:val="1"/>
      <w:numFmt w:val="decimal"/>
      <w:lvlText w:val="Artículo 1.5.2.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0" w15:restartNumberingAfterBreak="0">
    <w:nsid w:val="467D5B38"/>
    <w:multiLevelType w:val="hybridMultilevel"/>
    <w:tmpl w:val="E702F864"/>
    <w:lvl w:ilvl="0" w:tplc="9FD2D264">
      <w:start w:val="1"/>
      <w:numFmt w:val="decimal"/>
      <w:lvlText w:val="Artículo 1.5.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1" w15:restartNumberingAfterBreak="0">
    <w:nsid w:val="473746D1"/>
    <w:multiLevelType w:val="hybridMultilevel"/>
    <w:tmpl w:val="0810BF8C"/>
    <w:lvl w:ilvl="0" w:tplc="15444F4A">
      <w:start w:val="1"/>
      <w:numFmt w:val="lowerLetter"/>
      <w:lvlText w:val="%1)"/>
      <w:lvlJc w:val="left"/>
      <w:pPr>
        <w:ind w:hanging="442"/>
      </w:pPr>
      <w:rPr>
        <w:rFonts w:ascii="Arial" w:eastAsia="Arial" w:hAnsi="Arial" w:hint="default"/>
        <w:color w:val="111111"/>
        <w:w w:val="98"/>
        <w:sz w:val="24"/>
        <w:szCs w:val="24"/>
      </w:rPr>
    </w:lvl>
    <w:lvl w:ilvl="1" w:tplc="21120CE0">
      <w:start w:val="1"/>
      <w:numFmt w:val="bullet"/>
      <w:lvlText w:val="•"/>
      <w:lvlJc w:val="left"/>
      <w:rPr>
        <w:rFonts w:hint="default"/>
      </w:rPr>
    </w:lvl>
    <w:lvl w:ilvl="2" w:tplc="37D07FB6">
      <w:start w:val="1"/>
      <w:numFmt w:val="bullet"/>
      <w:lvlText w:val="•"/>
      <w:lvlJc w:val="left"/>
      <w:rPr>
        <w:rFonts w:hint="default"/>
      </w:rPr>
    </w:lvl>
    <w:lvl w:ilvl="3" w:tplc="E6D630E2">
      <w:start w:val="1"/>
      <w:numFmt w:val="bullet"/>
      <w:lvlText w:val="•"/>
      <w:lvlJc w:val="left"/>
      <w:rPr>
        <w:rFonts w:hint="default"/>
      </w:rPr>
    </w:lvl>
    <w:lvl w:ilvl="4" w:tplc="D0340E0A">
      <w:start w:val="1"/>
      <w:numFmt w:val="bullet"/>
      <w:lvlText w:val="•"/>
      <w:lvlJc w:val="left"/>
      <w:rPr>
        <w:rFonts w:hint="default"/>
      </w:rPr>
    </w:lvl>
    <w:lvl w:ilvl="5" w:tplc="F7423342">
      <w:start w:val="1"/>
      <w:numFmt w:val="bullet"/>
      <w:lvlText w:val="•"/>
      <w:lvlJc w:val="left"/>
      <w:rPr>
        <w:rFonts w:hint="default"/>
      </w:rPr>
    </w:lvl>
    <w:lvl w:ilvl="6" w:tplc="EBD041D4">
      <w:start w:val="1"/>
      <w:numFmt w:val="bullet"/>
      <w:lvlText w:val="•"/>
      <w:lvlJc w:val="left"/>
      <w:rPr>
        <w:rFonts w:hint="default"/>
      </w:rPr>
    </w:lvl>
    <w:lvl w:ilvl="7" w:tplc="B1E40FFA">
      <w:start w:val="1"/>
      <w:numFmt w:val="bullet"/>
      <w:lvlText w:val="•"/>
      <w:lvlJc w:val="left"/>
      <w:rPr>
        <w:rFonts w:hint="default"/>
      </w:rPr>
    </w:lvl>
    <w:lvl w:ilvl="8" w:tplc="3AAC2CE0">
      <w:start w:val="1"/>
      <w:numFmt w:val="bullet"/>
      <w:lvlText w:val="•"/>
      <w:lvlJc w:val="left"/>
      <w:rPr>
        <w:rFonts w:hint="default"/>
      </w:rPr>
    </w:lvl>
  </w:abstractNum>
  <w:abstractNum w:abstractNumId="122" w15:restartNumberingAfterBreak="0">
    <w:nsid w:val="48F6545A"/>
    <w:multiLevelType w:val="hybridMultilevel"/>
    <w:tmpl w:val="527E1DC8"/>
    <w:lvl w:ilvl="0" w:tplc="044886B4">
      <w:start w:val="1"/>
      <w:numFmt w:val="decimal"/>
      <w:lvlText w:val="Artículo 2.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3" w15:restartNumberingAfterBreak="0">
    <w:nsid w:val="49034A50"/>
    <w:multiLevelType w:val="hybridMultilevel"/>
    <w:tmpl w:val="C276B8C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4" w15:restartNumberingAfterBreak="0">
    <w:nsid w:val="492B2B7F"/>
    <w:multiLevelType w:val="hybridMultilevel"/>
    <w:tmpl w:val="36388A74"/>
    <w:lvl w:ilvl="0" w:tplc="60364C52">
      <w:start w:val="1"/>
      <w:numFmt w:val="decimal"/>
      <w:lvlText w:val="Artículo 1.6.1.1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5" w15:restartNumberingAfterBreak="0">
    <w:nsid w:val="49B9029B"/>
    <w:multiLevelType w:val="hybridMultilevel"/>
    <w:tmpl w:val="5592419C"/>
    <w:lvl w:ilvl="0" w:tplc="B2782DC2">
      <w:start w:val="1"/>
      <w:numFmt w:val="decimal"/>
      <w:lvlText w:val="Artículo 1.5.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6" w15:restartNumberingAfterBreak="0">
    <w:nsid w:val="49D40CDB"/>
    <w:multiLevelType w:val="hybridMultilevel"/>
    <w:tmpl w:val="0784A4E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7" w15:restartNumberingAfterBreak="0">
    <w:nsid w:val="4C8B4169"/>
    <w:multiLevelType w:val="hybridMultilevel"/>
    <w:tmpl w:val="F6328710"/>
    <w:lvl w:ilvl="0" w:tplc="CE680314">
      <w:start w:val="1"/>
      <w:numFmt w:val="decimal"/>
      <w:lvlText w:val="Artículo 3.2.%1."/>
      <w:lvlJc w:val="left"/>
      <w:pPr>
        <w:ind w:left="72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8" w15:restartNumberingAfterBreak="0">
    <w:nsid w:val="4D48105C"/>
    <w:multiLevelType w:val="hybridMultilevel"/>
    <w:tmpl w:val="3022F8EC"/>
    <w:lvl w:ilvl="0" w:tplc="35B4BBA8">
      <w:start w:val="1"/>
      <w:numFmt w:val="decimal"/>
      <w:lvlText w:val="Artículo 3.1.%1."/>
      <w:lvlJc w:val="left"/>
      <w:pPr>
        <w:ind w:left="72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9" w15:restartNumberingAfterBreak="0">
    <w:nsid w:val="4DC96F71"/>
    <w:multiLevelType w:val="hybridMultilevel"/>
    <w:tmpl w:val="C680D2DA"/>
    <w:lvl w:ilvl="0" w:tplc="E642F7BC">
      <w:start w:val="1"/>
      <w:numFmt w:val="decimal"/>
      <w:lvlText w:val="Artículo 1.3.1.9.%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0" w15:restartNumberingAfterBreak="0">
    <w:nsid w:val="4E6E1895"/>
    <w:multiLevelType w:val="hybridMultilevel"/>
    <w:tmpl w:val="D716F6D2"/>
    <w:lvl w:ilvl="0" w:tplc="3B0CB5E6">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1" w15:restartNumberingAfterBreak="0">
    <w:nsid w:val="4E8C2645"/>
    <w:multiLevelType w:val="hybridMultilevel"/>
    <w:tmpl w:val="43F2093A"/>
    <w:lvl w:ilvl="0" w:tplc="8A08E46A">
      <w:start w:val="1"/>
      <w:numFmt w:val="decimal"/>
      <w:lvlText w:val="Artículo 1.2.1.10.%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2" w15:restartNumberingAfterBreak="0">
    <w:nsid w:val="4F193677"/>
    <w:multiLevelType w:val="hybridMultilevel"/>
    <w:tmpl w:val="4CDE3362"/>
    <w:lvl w:ilvl="0" w:tplc="D354FEB6">
      <w:start w:val="1"/>
      <w:numFmt w:val="decimal"/>
      <w:lvlText w:val="Artículo 1.2.1.8.%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3" w15:restartNumberingAfterBreak="0">
    <w:nsid w:val="4FB63226"/>
    <w:multiLevelType w:val="hybridMultilevel"/>
    <w:tmpl w:val="8C1C73DE"/>
    <w:lvl w:ilvl="0" w:tplc="4D563A46">
      <w:start w:val="1"/>
      <w:numFmt w:val="decimal"/>
      <w:lvlText w:val="Artículo 1.2.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15:restartNumberingAfterBreak="0">
    <w:nsid w:val="50BB6812"/>
    <w:multiLevelType w:val="hybridMultilevel"/>
    <w:tmpl w:val="5A04C850"/>
    <w:lvl w:ilvl="0" w:tplc="111CADD6">
      <w:start w:val="1"/>
      <w:numFmt w:val="decimal"/>
      <w:lvlText w:val="Artículo 1.6.1.19.%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5" w15:restartNumberingAfterBreak="0">
    <w:nsid w:val="519328D5"/>
    <w:multiLevelType w:val="hybridMultilevel"/>
    <w:tmpl w:val="463A7324"/>
    <w:lvl w:ilvl="0" w:tplc="A8A2ED46">
      <w:start w:val="1"/>
      <w:numFmt w:val="decimal"/>
      <w:lvlText w:val="%1."/>
      <w:lvlJc w:val="left"/>
      <w:pPr>
        <w:ind w:hanging="424"/>
      </w:pPr>
      <w:rPr>
        <w:rFonts w:ascii="Arial" w:eastAsia="Arial" w:hAnsi="Arial" w:hint="default"/>
        <w:color w:val="131313"/>
        <w:w w:val="101"/>
        <w:sz w:val="24"/>
        <w:szCs w:val="24"/>
      </w:rPr>
    </w:lvl>
    <w:lvl w:ilvl="1" w:tplc="22184D14">
      <w:start w:val="1"/>
      <w:numFmt w:val="bullet"/>
      <w:lvlText w:val="•"/>
      <w:lvlJc w:val="left"/>
      <w:rPr>
        <w:rFonts w:hint="default"/>
      </w:rPr>
    </w:lvl>
    <w:lvl w:ilvl="2" w:tplc="471210AE">
      <w:start w:val="1"/>
      <w:numFmt w:val="bullet"/>
      <w:lvlText w:val="•"/>
      <w:lvlJc w:val="left"/>
      <w:rPr>
        <w:rFonts w:hint="default"/>
      </w:rPr>
    </w:lvl>
    <w:lvl w:ilvl="3" w:tplc="69AEC894">
      <w:start w:val="1"/>
      <w:numFmt w:val="bullet"/>
      <w:lvlText w:val="•"/>
      <w:lvlJc w:val="left"/>
      <w:rPr>
        <w:rFonts w:hint="default"/>
      </w:rPr>
    </w:lvl>
    <w:lvl w:ilvl="4" w:tplc="6396CD28">
      <w:start w:val="1"/>
      <w:numFmt w:val="bullet"/>
      <w:lvlText w:val="•"/>
      <w:lvlJc w:val="left"/>
      <w:rPr>
        <w:rFonts w:hint="default"/>
      </w:rPr>
    </w:lvl>
    <w:lvl w:ilvl="5" w:tplc="F4028270">
      <w:start w:val="1"/>
      <w:numFmt w:val="bullet"/>
      <w:lvlText w:val="•"/>
      <w:lvlJc w:val="left"/>
      <w:rPr>
        <w:rFonts w:hint="default"/>
      </w:rPr>
    </w:lvl>
    <w:lvl w:ilvl="6" w:tplc="91DE7B3A">
      <w:start w:val="1"/>
      <w:numFmt w:val="bullet"/>
      <w:lvlText w:val="•"/>
      <w:lvlJc w:val="left"/>
      <w:rPr>
        <w:rFonts w:hint="default"/>
      </w:rPr>
    </w:lvl>
    <w:lvl w:ilvl="7" w:tplc="DE004496">
      <w:start w:val="1"/>
      <w:numFmt w:val="bullet"/>
      <w:lvlText w:val="•"/>
      <w:lvlJc w:val="left"/>
      <w:rPr>
        <w:rFonts w:hint="default"/>
      </w:rPr>
    </w:lvl>
    <w:lvl w:ilvl="8" w:tplc="C186D5F0">
      <w:start w:val="1"/>
      <w:numFmt w:val="bullet"/>
      <w:lvlText w:val="•"/>
      <w:lvlJc w:val="left"/>
      <w:rPr>
        <w:rFonts w:hint="default"/>
      </w:rPr>
    </w:lvl>
  </w:abstractNum>
  <w:abstractNum w:abstractNumId="136" w15:restartNumberingAfterBreak="0">
    <w:nsid w:val="51E6188A"/>
    <w:multiLevelType w:val="hybridMultilevel"/>
    <w:tmpl w:val="FBA44760"/>
    <w:lvl w:ilvl="0" w:tplc="4F06F452">
      <w:start w:val="1"/>
      <w:numFmt w:val="decimal"/>
      <w:lvlText w:val="Artículo 1.2.4.10.%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7" w15:restartNumberingAfterBreak="0">
    <w:nsid w:val="52216FDC"/>
    <w:multiLevelType w:val="multilevel"/>
    <w:tmpl w:val="F45CFFAC"/>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8" w15:restartNumberingAfterBreak="0">
    <w:nsid w:val="52431999"/>
    <w:multiLevelType w:val="hybridMultilevel"/>
    <w:tmpl w:val="DBE0DD80"/>
    <w:lvl w:ilvl="0" w:tplc="BC463C0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9" w15:restartNumberingAfterBreak="0">
    <w:nsid w:val="542B37E2"/>
    <w:multiLevelType w:val="hybridMultilevel"/>
    <w:tmpl w:val="75B8ABD2"/>
    <w:lvl w:ilvl="0" w:tplc="849486EC">
      <w:start w:val="1"/>
      <w:numFmt w:val="decimal"/>
      <w:lvlText w:val="Artículo 1.2.1.13.%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0" w15:restartNumberingAfterBreak="0">
    <w:nsid w:val="554B773C"/>
    <w:multiLevelType w:val="hybridMultilevel"/>
    <w:tmpl w:val="B6289FC0"/>
    <w:lvl w:ilvl="0" w:tplc="F312C472">
      <w:start w:val="1"/>
      <w:numFmt w:val="decimal"/>
      <w:lvlText w:val="Artículo 1.6.1.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15:restartNumberingAfterBreak="0">
    <w:nsid w:val="568911DD"/>
    <w:multiLevelType w:val="hybridMultilevel"/>
    <w:tmpl w:val="2A6CB984"/>
    <w:lvl w:ilvl="0" w:tplc="4268157C">
      <w:start w:val="1"/>
      <w:numFmt w:val="decimal"/>
      <w:lvlText w:val="Artículo 1.6.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2" w15:restartNumberingAfterBreak="0">
    <w:nsid w:val="56985D6A"/>
    <w:multiLevelType w:val="hybridMultilevel"/>
    <w:tmpl w:val="599063CE"/>
    <w:lvl w:ilvl="0" w:tplc="9798466C">
      <w:start w:val="1"/>
      <w:numFmt w:val="decimal"/>
      <w:lvlText w:val="Artículo 1.6.2.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3" w15:restartNumberingAfterBreak="0">
    <w:nsid w:val="56CB7A6B"/>
    <w:multiLevelType w:val="hybridMultilevel"/>
    <w:tmpl w:val="25EEA910"/>
    <w:lvl w:ilvl="0" w:tplc="79041738">
      <w:start w:val="1"/>
      <w:numFmt w:val="decimal"/>
      <w:lvlText w:val="Artículo 1.2.2.2.%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4" w15:restartNumberingAfterBreak="0">
    <w:nsid w:val="57B87EB5"/>
    <w:multiLevelType w:val="hybridMultilevel"/>
    <w:tmpl w:val="FB581BF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5" w15:restartNumberingAfterBreak="0">
    <w:nsid w:val="57C15952"/>
    <w:multiLevelType w:val="hybridMultilevel"/>
    <w:tmpl w:val="0C74301C"/>
    <w:lvl w:ilvl="0" w:tplc="EEA4B3C6">
      <w:start w:val="1"/>
      <w:numFmt w:val="decimal"/>
      <w:lvlText w:val="Artículo 1.6.2.7.%1"/>
      <w:lvlJc w:val="left"/>
      <w:pPr>
        <w:ind w:left="720" w:hanging="360"/>
      </w:pPr>
      <w:rPr>
        <w:rFonts w:hint="default"/>
        <w:b/>
        <w:i w:val="0"/>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6" w15:restartNumberingAfterBreak="0">
    <w:nsid w:val="581573EC"/>
    <w:multiLevelType w:val="hybridMultilevel"/>
    <w:tmpl w:val="0DA6EA0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7" w15:restartNumberingAfterBreak="0">
    <w:nsid w:val="58E767C3"/>
    <w:multiLevelType w:val="hybridMultilevel"/>
    <w:tmpl w:val="FF68F65A"/>
    <w:lvl w:ilvl="0" w:tplc="06E022DA">
      <w:start w:val="1"/>
      <w:numFmt w:val="decimal"/>
      <w:lvlText w:val="Artículo 1.5.2.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8" w15:restartNumberingAfterBreak="0">
    <w:nsid w:val="59C1023C"/>
    <w:multiLevelType w:val="hybridMultilevel"/>
    <w:tmpl w:val="8AE4B99C"/>
    <w:lvl w:ilvl="0" w:tplc="1C4C0CD4">
      <w:start w:val="1"/>
      <w:numFmt w:val="decimal"/>
      <w:lvlText w:val="Artículo 1.2.4.%1."/>
      <w:lvlJc w:val="left"/>
      <w:pPr>
        <w:ind w:left="36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9" w15:restartNumberingAfterBreak="0">
    <w:nsid w:val="5C310817"/>
    <w:multiLevelType w:val="hybridMultilevel"/>
    <w:tmpl w:val="CEF63C78"/>
    <w:lvl w:ilvl="0" w:tplc="EE40AA66">
      <w:start w:val="1"/>
      <w:numFmt w:val="decimal"/>
      <w:lvlText w:val="Artículo 1.4.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0" w15:restartNumberingAfterBreak="0">
    <w:nsid w:val="5C7366EB"/>
    <w:multiLevelType w:val="hybridMultilevel"/>
    <w:tmpl w:val="BD6C4E40"/>
    <w:lvl w:ilvl="0" w:tplc="34D66A6A">
      <w:start w:val="1"/>
      <w:numFmt w:val="decimal"/>
      <w:lvlText w:val="Artículo 1.2.1.18.%1."/>
      <w:lvlJc w:val="left"/>
      <w:pPr>
        <w:ind w:left="928"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1" w15:restartNumberingAfterBreak="0">
    <w:nsid w:val="5CA57092"/>
    <w:multiLevelType w:val="hybridMultilevel"/>
    <w:tmpl w:val="97726622"/>
    <w:lvl w:ilvl="0" w:tplc="817CD0AC">
      <w:start w:val="1"/>
      <w:numFmt w:val="decimal"/>
      <w:lvlText w:val="Artículo 1.4.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2" w15:restartNumberingAfterBreak="0">
    <w:nsid w:val="5CB25496"/>
    <w:multiLevelType w:val="hybridMultilevel"/>
    <w:tmpl w:val="C8ECA1C2"/>
    <w:lvl w:ilvl="0" w:tplc="1C2078B2">
      <w:start w:val="1"/>
      <w:numFmt w:val="decimal"/>
      <w:lvlText w:val="Artículo 1.2.1.2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3" w15:restartNumberingAfterBreak="0">
    <w:nsid w:val="5D415EF7"/>
    <w:multiLevelType w:val="hybridMultilevel"/>
    <w:tmpl w:val="A0C67510"/>
    <w:lvl w:ilvl="0" w:tplc="0CE2A50A">
      <w:start w:val="1"/>
      <w:numFmt w:val="decimal"/>
      <w:lvlText w:val="Artículo 1.3.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4" w15:restartNumberingAfterBreak="0">
    <w:nsid w:val="5DCD5288"/>
    <w:multiLevelType w:val="hybridMultilevel"/>
    <w:tmpl w:val="9412F122"/>
    <w:lvl w:ilvl="0" w:tplc="252C79EE">
      <w:start w:val="1"/>
      <w:numFmt w:val="decimal"/>
      <w:lvlText w:val="Artículo 1.3.1.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5" w15:restartNumberingAfterBreak="0">
    <w:nsid w:val="5E996DD0"/>
    <w:multiLevelType w:val="hybridMultilevel"/>
    <w:tmpl w:val="38741142"/>
    <w:lvl w:ilvl="0" w:tplc="7540A774">
      <w:start w:val="1"/>
      <w:numFmt w:val="decimal"/>
      <w:lvlText w:val="Artículo 1.5.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6" w15:restartNumberingAfterBreak="0">
    <w:nsid w:val="5EBD3755"/>
    <w:multiLevelType w:val="hybridMultilevel"/>
    <w:tmpl w:val="F14EBD4E"/>
    <w:lvl w:ilvl="0" w:tplc="38C099C0">
      <w:start w:val="1"/>
      <w:numFmt w:val="decimal"/>
      <w:lvlText w:val="Artículo 1.2.4.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7" w15:restartNumberingAfterBreak="0">
    <w:nsid w:val="60461DCE"/>
    <w:multiLevelType w:val="multilevel"/>
    <w:tmpl w:val="1ED673F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12F0458"/>
    <w:multiLevelType w:val="hybridMultilevel"/>
    <w:tmpl w:val="318C2614"/>
    <w:lvl w:ilvl="0" w:tplc="5F76919A">
      <w:start w:val="1"/>
      <w:numFmt w:val="decimal"/>
      <w:lvlText w:val="Artículo 1.6.1.2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9" w15:restartNumberingAfterBreak="0">
    <w:nsid w:val="612F1AC3"/>
    <w:multiLevelType w:val="hybridMultilevel"/>
    <w:tmpl w:val="924873CE"/>
    <w:lvl w:ilvl="0" w:tplc="6890B80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0" w15:restartNumberingAfterBreak="0">
    <w:nsid w:val="61622745"/>
    <w:multiLevelType w:val="hybridMultilevel"/>
    <w:tmpl w:val="F3500906"/>
    <w:lvl w:ilvl="0" w:tplc="87682A58">
      <w:start w:val="1"/>
      <w:numFmt w:val="decimal"/>
      <w:lvlText w:val="Artículo 1.2.1.19.%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1" w15:restartNumberingAfterBreak="0">
    <w:nsid w:val="61DE3E88"/>
    <w:multiLevelType w:val="hybridMultilevel"/>
    <w:tmpl w:val="51548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2" w15:restartNumberingAfterBreak="0">
    <w:nsid w:val="624370DB"/>
    <w:multiLevelType w:val="hybridMultilevel"/>
    <w:tmpl w:val="CB96B928"/>
    <w:lvl w:ilvl="0" w:tplc="321829AA">
      <w:start w:val="1"/>
      <w:numFmt w:val="decimal"/>
      <w:lvlText w:val="Artículo 3.2.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3" w15:restartNumberingAfterBreak="0">
    <w:nsid w:val="626220B5"/>
    <w:multiLevelType w:val="hybridMultilevel"/>
    <w:tmpl w:val="BFDA810C"/>
    <w:lvl w:ilvl="0" w:tplc="92A2E9EC">
      <w:start w:val="1"/>
      <w:numFmt w:val="decimal"/>
      <w:lvlText w:val="Artículo 1.2.1.16.%1."/>
      <w:lvlJc w:val="left"/>
      <w:pPr>
        <w:ind w:left="2204"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4" w15:restartNumberingAfterBreak="0">
    <w:nsid w:val="6281369A"/>
    <w:multiLevelType w:val="hybridMultilevel"/>
    <w:tmpl w:val="BE16EB02"/>
    <w:lvl w:ilvl="0" w:tplc="BC6629CC">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5" w15:restartNumberingAfterBreak="0">
    <w:nsid w:val="62F63B7D"/>
    <w:multiLevelType w:val="hybridMultilevel"/>
    <w:tmpl w:val="5CAA7906"/>
    <w:lvl w:ilvl="0" w:tplc="0C7AFAD4">
      <w:start w:val="1"/>
      <w:numFmt w:val="decimal"/>
      <w:lvlText w:val="Artículo 1.8.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6" w15:restartNumberingAfterBreak="0">
    <w:nsid w:val="63191531"/>
    <w:multiLevelType w:val="hybridMultilevel"/>
    <w:tmpl w:val="F1140CB8"/>
    <w:lvl w:ilvl="0" w:tplc="E16C9378">
      <w:start w:val="1"/>
      <w:numFmt w:val="decimal"/>
      <w:lvlText w:val="Artículo 1.4.1.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7" w15:restartNumberingAfterBreak="0">
    <w:nsid w:val="635A418E"/>
    <w:multiLevelType w:val="hybridMultilevel"/>
    <w:tmpl w:val="77C4F470"/>
    <w:lvl w:ilvl="0" w:tplc="6F4E96AC">
      <w:start w:val="1"/>
      <w:numFmt w:val="decimal"/>
      <w:lvlText w:val="Artículo 1.3.1.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8" w15:restartNumberingAfterBreak="0">
    <w:nsid w:val="63C2606E"/>
    <w:multiLevelType w:val="hybridMultilevel"/>
    <w:tmpl w:val="523C22F2"/>
    <w:lvl w:ilvl="0" w:tplc="17BAAECC">
      <w:start w:val="1"/>
      <w:numFmt w:val="decimal"/>
      <w:lvlText w:val="Artículo 1.6.1.2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9" w15:restartNumberingAfterBreak="0">
    <w:nsid w:val="63D81B52"/>
    <w:multiLevelType w:val="hybridMultilevel"/>
    <w:tmpl w:val="19264176"/>
    <w:lvl w:ilvl="0" w:tplc="5EEC13CE">
      <w:start w:val="1"/>
      <w:numFmt w:val="decimal"/>
      <w:lvlText w:val="Artículo 1.2.1.5.%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0" w15:restartNumberingAfterBreak="0">
    <w:nsid w:val="65054D6B"/>
    <w:multiLevelType w:val="hybridMultilevel"/>
    <w:tmpl w:val="D110FFDA"/>
    <w:lvl w:ilvl="0" w:tplc="629ECADE">
      <w:start w:val="1"/>
      <w:numFmt w:val="decimal"/>
      <w:lvlText w:val="Artículo 1.6.1.4.1.%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15:restartNumberingAfterBreak="0">
    <w:nsid w:val="65BE78A3"/>
    <w:multiLevelType w:val="hybridMultilevel"/>
    <w:tmpl w:val="3DFA199A"/>
    <w:lvl w:ilvl="0" w:tplc="0A12CC94">
      <w:start w:val="1"/>
      <w:numFmt w:val="decimal"/>
      <w:lvlText w:val="Artículo 1.2.4.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2" w15:restartNumberingAfterBreak="0">
    <w:nsid w:val="65BF283A"/>
    <w:multiLevelType w:val="hybridMultilevel"/>
    <w:tmpl w:val="A858CFC0"/>
    <w:lvl w:ilvl="0" w:tplc="325413DE">
      <w:start w:val="1"/>
      <w:numFmt w:val="decimal"/>
      <w:lvlText w:val="Artículo 1.2.4.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3" w15:restartNumberingAfterBreak="0">
    <w:nsid w:val="66B33C53"/>
    <w:multiLevelType w:val="hybridMultilevel"/>
    <w:tmpl w:val="4D9E181A"/>
    <w:lvl w:ilvl="0" w:tplc="CE4A9792">
      <w:start w:val="1"/>
      <w:numFmt w:val="decimal"/>
      <w:lvlText w:val="Artículo 2.1.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4" w15:restartNumberingAfterBreak="0">
    <w:nsid w:val="680E2EAA"/>
    <w:multiLevelType w:val="hybridMultilevel"/>
    <w:tmpl w:val="AE9E9744"/>
    <w:lvl w:ilvl="0" w:tplc="A63851E8">
      <w:start w:val="62"/>
      <w:numFmt w:val="bullet"/>
      <w:lvlText w:val="-"/>
      <w:lvlJc w:val="left"/>
      <w:pPr>
        <w:ind w:left="720" w:hanging="360"/>
      </w:pPr>
      <w:rPr>
        <w:rFonts w:ascii="Arial" w:eastAsia="MS Mincho"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5" w15:restartNumberingAfterBreak="0">
    <w:nsid w:val="69C3241D"/>
    <w:multiLevelType w:val="hybridMultilevel"/>
    <w:tmpl w:val="ABC657BC"/>
    <w:lvl w:ilvl="0" w:tplc="B16E397C">
      <w:start w:val="1"/>
      <w:numFmt w:val="decimal"/>
      <w:lvlText w:val="Artículo 1.5.2.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6" w15:restartNumberingAfterBreak="0">
    <w:nsid w:val="6B560D0D"/>
    <w:multiLevelType w:val="hybridMultilevel"/>
    <w:tmpl w:val="B4C45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7" w15:restartNumberingAfterBreak="0">
    <w:nsid w:val="6B793C71"/>
    <w:multiLevelType w:val="hybridMultilevel"/>
    <w:tmpl w:val="156E90F6"/>
    <w:lvl w:ilvl="0" w:tplc="A008C77E">
      <w:start w:val="1"/>
      <w:numFmt w:val="decimal"/>
      <w:lvlText w:val="%1."/>
      <w:lvlJc w:val="left"/>
      <w:pPr>
        <w:ind w:hanging="357"/>
      </w:pPr>
      <w:rPr>
        <w:rFonts w:ascii="Arial" w:eastAsia="Arial" w:hAnsi="Arial" w:hint="default"/>
        <w:w w:val="97"/>
        <w:sz w:val="24"/>
        <w:szCs w:val="24"/>
      </w:rPr>
    </w:lvl>
    <w:lvl w:ilvl="1" w:tplc="B2C4C030">
      <w:start w:val="1"/>
      <w:numFmt w:val="bullet"/>
      <w:lvlText w:val="•"/>
      <w:lvlJc w:val="left"/>
      <w:rPr>
        <w:rFonts w:hint="default"/>
      </w:rPr>
    </w:lvl>
    <w:lvl w:ilvl="2" w:tplc="827A011A">
      <w:start w:val="1"/>
      <w:numFmt w:val="bullet"/>
      <w:lvlText w:val="•"/>
      <w:lvlJc w:val="left"/>
      <w:rPr>
        <w:rFonts w:hint="default"/>
      </w:rPr>
    </w:lvl>
    <w:lvl w:ilvl="3" w:tplc="A9D2823C">
      <w:start w:val="1"/>
      <w:numFmt w:val="bullet"/>
      <w:lvlText w:val="•"/>
      <w:lvlJc w:val="left"/>
      <w:rPr>
        <w:rFonts w:hint="default"/>
      </w:rPr>
    </w:lvl>
    <w:lvl w:ilvl="4" w:tplc="CF14E8DA">
      <w:start w:val="1"/>
      <w:numFmt w:val="bullet"/>
      <w:lvlText w:val="•"/>
      <w:lvlJc w:val="left"/>
      <w:rPr>
        <w:rFonts w:hint="default"/>
      </w:rPr>
    </w:lvl>
    <w:lvl w:ilvl="5" w:tplc="AB148BEE">
      <w:start w:val="1"/>
      <w:numFmt w:val="bullet"/>
      <w:lvlText w:val="•"/>
      <w:lvlJc w:val="left"/>
      <w:rPr>
        <w:rFonts w:hint="default"/>
      </w:rPr>
    </w:lvl>
    <w:lvl w:ilvl="6" w:tplc="D2EAF02C">
      <w:start w:val="1"/>
      <w:numFmt w:val="bullet"/>
      <w:lvlText w:val="•"/>
      <w:lvlJc w:val="left"/>
      <w:rPr>
        <w:rFonts w:hint="default"/>
      </w:rPr>
    </w:lvl>
    <w:lvl w:ilvl="7" w:tplc="602A9A8C">
      <w:start w:val="1"/>
      <w:numFmt w:val="bullet"/>
      <w:lvlText w:val="•"/>
      <w:lvlJc w:val="left"/>
      <w:rPr>
        <w:rFonts w:hint="default"/>
      </w:rPr>
    </w:lvl>
    <w:lvl w:ilvl="8" w:tplc="73FCE758">
      <w:start w:val="1"/>
      <w:numFmt w:val="bullet"/>
      <w:lvlText w:val="•"/>
      <w:lvlJc w:val="left"/>
      <w:rPr>
        <w:rFonts w:hint="default"/>
      </w:rPr>
    </w:lvl>
  </w:abstractNum>
  <w:abstractNum w:abstractNumId="178" w15:restartNumberingAfterBreak="0">
    <w:nsid w:val="6C62452B"/>
    <w:multiLevelType w:val="hybridMultilevel"/>
    <w:tmpl w:val="C952C90E"/>
    <w:lvl w:ilvl="0" w:tplc="FECA2430">
      <w:start w:val="1"/>
      <w:numFmt w:val="decimal"/>
      <w:lvlText w:val="Artículo 1.6.1.2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9" w15:restartNumberingAfterBreak="0">
    <w:nsid w:val="6C9B4021"/>
    <w:multiLevelType w:val="hybridMultilevel"/>
    <w:tmpl w:val="63948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0" w15:restartNumberingAfterBreak="0">
    <w:nsid w:val="6D187F44"/>
    <w:multiLevelType w:val="hybridMultilevel"/>
    <w:tmpl w:val="AD9010BC"/>
    <w:lvl w:ilvl="0" w:tplc="5E60DD0C">
      <w:start w:val="1"/>
      <w:numFmt w:val="decimal"/>
      <w:lvlText w:val="Artículo 2.2.1.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1" w15:restartNumberingAfterBreak="0">
    <w:nsid w:val="6DE64E39"/>
    <w:multiLevelType w:val="hybridMultilevel"/>
    <w:tmpl w:val="04A0B6D6"/>
    <w:lvl w:ilvl="0" w:tplc="50BE0DAE">
      <w:start w:val="1"/>
      <w:numFmt w:val="decimal"/>
      <w:lvlText w:val="Artículo 1.6.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2" w15:restartNumberingAfterBreak="0">
    <w:nsid w:val="6E395750"/>
    <w:multiLevelType w:val="hybridMultilevel"/>
    <w:tmpl w:val="DD7EE1AA"/>
    <w:lvl w:ilvl="0" w:tplc="146002BC">
      <w:start w:val="1"/>
      <w:numFmt w:val="decimal"/>
      <w:lvlText w:val="Artículo 1.6.1.16.%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3" w15:restartNumberingAfterBreak="0">
    <w:nsid w:val="70291C5D"/>
    <w:multiLevelType w:val="hybridMultilevel"/>
    <w:tmpl w:val="491E693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4" w15:restartNumberingAfterBreak="0">
    <w:nsid w:val="70EC5F17"/>
    <w:multiLevelType w:val="hybridMultilevel"/>
    <w:tmpl w:val="63DC4600"/>
    <w:lvl w:ilvl="0" w:tplc="6E309788">
      <w:start w:val="1"/>
      <w:numFmt w:val="decimal"/>
      <w:lvlText w:val="Artículo 1.6.2.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5" w15:restartNumberingAfterBreak="0">
    <w:nsid w:val="70F405B4"/>
    <w:multiLevelType w:val="hybridMultilevel"/>
    <w:tmpl w:val="11DA30C8"/>
    <w:lvl w:ilvl="0" w:tplc="B4E42448">
      <w:start w:val="1"/>
      <w:numFmt w:val="decimal"/>
      <w:lvlText w:val="Artículo 1.3.1.4.%1."/>
      <w:lvlJc w:val="left"/>
      <w:pPr>
        <w:ind w:left="720" w:hanging="36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6" w15:restartNumberingAfterBreak="0">
    <w:nsid w:val="71017854"/>
    <w:multiLevelType w:val="hybridMultilevel"/>
    <w:tmpl w:val="32AAFB9C"/>
    <w:lvl w:ilvl="0" w:tplc="2FFC4FC8">
      <w:numFmt w:val="bullet"/>
      <w:lvlText w:val="•"/>
      <w:lvlJc w:val="left"/>
      <w:pPr>
        <w:ind w:left="2481" w:hanging="705"/>
      </w:pPr>
      <w:rPr>
        <w:rFonts w:ascii="Arial" w:eastAsia="MS Mincho" w:hAnsi="Arial" w:cs="Aria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7" w15:restartNumberingAfterBreak="0">
    <w:nsid w:val="71A62CA5"/>
    <w:multiLevelType w:val="hybridMultilevel"/>
    <w:tmpl w:val="7610CB00"/>
    <w:lvl w:ilvl="0" w:tplc="C512EE86">
      <w:start w:val="1"/>
      <w:numFmt w:val="decimal"/>
      <w:lvlText w:val="Artículo 1.6.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8" w15:restartNumberingAfterBreak="0">
    <w:nsid w:val="73777461"/>
    <w:multiLevelType w:val="hybridMultilevel"/>
    <w:tmpl w:val="79EA74D4"/>
    <w:lvl w:ilvl="0" w:tplc="3776F2C0">
      <w:start w:val="1"/>
      <w:numFmt w:val="decimal"/>
      <w:lvlText w:val="Artículo 1.2.1.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9" w15:restartNumberingAfterBreak="0">
    <w:nsid w:val="73A71B08"/>
    <w:multiLevelType w:val="hybridMultilevel"/>
    <w:tmpl w:val="DD267674"/>
    <w:lvl w:ilvl="0" w:tplc="ED2A18C0">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0" w15:restartNumberingAfterBreak="0">
    <w:nsid w:val="74746789"/>
    <w:multiLevelType w:val="hybridMultilevel"/>
    <w:tmpl w:val="174876CA"/>
    <w:lvl w:ilvl="0" w:tplc="9A623008">
      <w:start w:val="1"/>
      <w:numFmt w:val="decimal"/>
      <w:lvlText w:val="Artículo 1.8.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1" w15:restartNumberingAfterBreak="0">
    <w:nsid w:val="75076C8E"/>
    <w:multiLevelType w:val="hybridMultilevel"/>
    <w:tmpl w:val="939AF16E"/>
    <w:lvl w:ilvl="0" w:tplc="15D2647E">
      <w:start w:val="1"/>
      <w:numFmt w:val="decimal"/>
      <w:lvlText w:val="Artículo 1.5.2.1.%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2" w15:restartNumberingAfterBreak="0">
    <w:nsid w:val="75423B9B"/>
    <w:multiLevelType w:val="hybridMultilevel"/>
    <w:tmpl w:val="0D4C7F52"/>
    <w:lvl w:ilvl="0" w:tplc="682CFA18">
      <w:start w:val="1"/>
      <w:numFmt w:val="decimal"/>
      <w:lvlText w:val="Artículo 1.1.%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3" w15:restartNumberingAfterBreak="0">
    <w:nsid w:val="75521016"/>
    <w:multiLevelType w:val="hybridMultilevel"/>
    <w:tmpl w:val="D2F4925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4" w15:restartNumberingAfterBreak="0">
    <w:nsid w:val="75DD7C4F"/>
    <w:multiLevelType w:val="hybridMultilevel"/>
    <w:tmpl w:val="6284BB68"/>
    <w:lvl w:ilvl="0" w:tplc="7954E6DA">
      <w:start w:val="1"/>
      <w:numFmt w:val="decimal"/>
      <w:lvlText w:val="Artículo 1.6.3.2.%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5" w15:restartNumberingAfterBreak="0">
    <w:nsid w:val="76277A0F"/>
    <w:multiLevelType w:val="hybridMultilevel"/>
    <w:tmpl w:val="BA4EED18"/>
    <w:lvl w:ilvl="0" w:tplc="C5F2710E">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6" w15:restartNumberingAfterBreak="0">
    <w:nsid w:val="76D175C1"/>
    <w:multiLevelType w:val="hybridMultilevel"/>
    <w:tmpl w:val="B0289E8A"/>
    <w:lvl w:ilvl="0" w:tplc="850A6E66">
      <w:start w:val="1"/>
      <w:numFmt w:val="decimal"/>
      <w:lvlText w:val="Artículo 1.6.1.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7" w15:restartNumberingAfterBreak="0">
    <w:nsid w:val="77170C43"/>
    <w:multiLevelType w:val="hybridMultilevel"/>
    <w:tmpl w:val="D6C496B2"/>
    <w:lvl w:ilvl="0" w:tplc="2AB0F446">
      <w:start w:val="1"/>
      <w:numFmt w:val="decimal"/>
      <w:lvlText w:val="Artículo 1.2.1.20.%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8" w15:restartNumberingAfterBreak="0">
    <w:nsid w:val="771D525B"/>
    <w:multiLevelType w:val="hybridMultilevel"/>
    <w:tmpl w:val="D44C23C8"/>
    <w:lvl w:ilvl="0" w:tplc="58EA757E">
      <w:start w:val="1"/>
      <w:numFmt w:val="decimal"/>
      <w:lvlText w:val="Artículo 1.2.1.15.%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9" w15:restartNumberingAfterBreak="0">
    <w:nsid w:val="77B355D2"/>
    <w:multiLevelType w:val="hybridMultilevel"/>
    <w:tmpl w:val="5B86BF0A"/>
    <w:lvl w:ilvl="0" w:tplc="E34C9CDE">
      <w:start w:val="1"/>
      <w:numFmt w:val="decimal"/>
      <w:lvlText w:val="Artículo 2.2.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0" w15:restartNumberingAfterBreak="0">
    <w:nsid w:val="781C1050"/>
    <w:multiLevelType w:val="hybridMultilevel"/>
    <w:tmpl w:val="72AA69A0"/>
    <w:lvl w:ilvl="0" w:tplc="13340DF4">
      <w:start w:val="1"/>
      <w:numFmt w:val="decimal"/>
      <w:lvlText w:val="Artículo 1.3.1.1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1" w15:restartNumberingAfterBreak="0">
    <w:nsid w:val="783148B7"/>
    <w:multiLevelType w:val="hybridMultilevel"/>
    <w:tmpl w:val="A6B05A20"/>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202" w15:restartNumberingAfterBreak="0">
    <w:nsid w:val="7B14782E"/>
    <w:multiLevelType w:val="hybridMultilevel"/>
    <w:tmpl w:val="7EBA396E"/>
    <w:lvl w:ilvl="0" w:tplc="17EAC956">
      <w:start w:val="1"/>
      <w:numFmt w:val="decimal"/>
      <w:lvlText w:val="Artículo 2.1.4.%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3" w15:restartNumberingAfterBreak="0">
    <w:nsid w:val="7BEB27F9"/>
    <w:multiLevelType w:val="hybridMultilevel"/>
    <w:tmpl w:val="65F4D670"/>
    <w:lvl w:ilvl="0" w:tplc="3D927DA2">
      <w:start w:val="1"/>
      <w:numFmt w:val="decimal"/>
      <w:lvlText w:val="%1."/>
      <w:lvlJc w:val="left"/>
      <w:pPr>
        <w:ind w:hanging="356"/>
      </w:pPr>
      <w:rPr>
        <w:rFonts w:ascii="Arial" w:eastAsia="Arial" w:hAnsi="Arial" w:hint="default"/>
        <w:color w:val="111111"/>
        <w:spacing w:val="-10"/>
        <w:w w:val="109"/>
        <w:sz w:val="23"/>
        <w:szCs w:val="23"/>
      </w:rPr>
    </w:lvl>
    <w:lvl w:ilvl="1" w:tplc="2CC4A178">
      <w:start w:val="1"/>
      <w:numFmt w:val="bullet"/>
      <w:lvlText w:val="•"/>
      <w:lvlJc w:val="left"/>
      <w:rPr>
        <w:rFonts w:hint="default"/>
      </w:rPr>
    </w:lvl>
    <w:lvl w:ilvl="2" w:tplc="F7C6F410">
      <w:start w:val="1"/>
      <w:numFmt w:val="bullet"/>
      <w:lvlText w:val="•"/>
      <w:lvlJc w:val="left"/>
      <w:rPr>
        <w:rFonts w:hint="default"/>
      </w:rPr>
    </w:lvl>
    <w:lvl w:ilvl="3" w:tplc="B8565654">
      <w:start w:val="1"/>
      <w:numFmt w:val="bullet"/>
      <w:lvlText w:val="•"/>
      <w:lvlJc w:val="left"/>
      <w:rPr>
        <w:rFonts w:hint="default"/>
      </w:rPr>
    </w:lvl>
    <w:lvl w:ilvl="4" w:tplc="2570ACB2">
      <w:start w:val="1"/>
      <w:numFmt w:val="bullet"/>
      <w:lvlText w:val="•"/>
      <w:lvlJc w:val="left"/>
      <w:rPr>
        <w:rFonts w:hint="default"/>
      </w:rPr>
    </w:lvl>
    <w:lvl w:ilvl="5" w:tplc="D3D04B6E">
      <w:start w:val="1"/>
      <w:numFmt w:val="bullet"/>
      <w:lvlText w:val="•"/>
      <w:lvlJc w:val="left"/>
      <w:rPr>
        <w:rFonts w:hint="default"/>
      </w:rPr>
    </w:lvl>
    <w:lvl w:ilvl="6" w:tplc="20F00172">
      <w:start w:val="1"/>
      <w:numFmt w:val="bullet"/>
      <w:lvlText w:val="•"/>
      <w:lvlJc w:val="left"/>
      <w:rPr>
        <w:rFonts w:hint="default"/>
      </w:rPr>
    </w:lvl>
    <w:lvl w:ilvl="7" w:tplc="DB8C0A62">
      <w:start w:val="1"/>
      <w:numFmt w:val="bullet"/>
      <w:lvlText w:val="•"/>
      <w:lvlJc w:val="left"/>
      <w:rPr>
        <w:rFonts w:hint="default"/>
      </w:rPr>
    </w:lvl>
    <w:lvl w:ilvl="8" w:tplc="B6AC55AC">
      <w:start w:val="1"/>
      <w:numFmt w:val="bullet"/>
      <w:lvlText w:val="•"/>
      <w:lvlJc w:val="left"/>
      <w:rPr>
        <w:rFonts w:hint="default"/>
      </w:rPr>
    </w:lvl>
  </w:abstractNum>
  <w:abstractNum w:abstractNumId="204" w15:restartNumberingAfterBreak="0">
    <w:nsid w:val="7C0639E7"/>
    <w:multiLevelType w:val="hybridMultilevel"/>
    <w:tmpl w:val="4B6AB100"/>
    <w:lvl w:ilvl="0" w:tplc="7F624C64">
      <w:start w:val="1"/>
      <w:numFmt w:val="decimal"/>
      <w:lvlText w:val="Artículo 1.4.1.8.%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5" w15:restartNumberingAfterBreak="0">
    <w:nsid w:val="7C437CFE"/>
    <w:multiLevelType w:val="hybridMultilevel"/>
    <w:tmpl w:val="C19CFD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6" w15:restartNumberingAfterBreak="0">
    <w:nsid w:val="7D667D3F"/>
    <w:multiLevelType w:val="hybridMultilevel"/>
    <w:tmpl w:val="0E16C68C"/>
    <w:lvl w:ilvl="0" w:tplc="F2C06296">
      <w:start w:val="1"/>
      <w:numFmt w:val="decimal"/>
      <w:lvlText w:val="Artículo 1.5.2.3.%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7" w15:restartNumberingAfterBreak="0">
    <w:nsid w:val="7DC82CF7"/>
    <w:multiLevelType w:val="hybridMultilevel"/>
    <w:tmpl w:val="B93E0AEE"/>
    <w:lvl w:ilvl="0" w:tplc="76785872">
      <w:start w:val="1"/>
      <w:numFmt w:val="decimal"/>
      <w:lvlText w:val="Artículo 1.2.1.17.%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8" w15:restartNumberingAfterBreak="0">
    <w:nsid w:val="7E444804"/>
    <w:multiLevelType w:val="hybridMultilevel"/>
    <w:tmpl w:val="AEB6EE98"/>
    <w:lvl w:ilvl="0" w:tplc="6386654E">
      <w:start w:val="1"/>
      <w:numFmt w:val="decimal"/>
      <w:lvlText w:val="Artículo 1.2.4.7.%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9" w15:restartNumberingAfterBreak="0">
    <w:nsid w:val="7E782265"/>
    <w:multiLevelType w:val="hybridMultilevel"/>
    <w:tmpl w:val="B2446066"/>
    <w:lvl w:ilvl="0" w:tplc="E67A6B4C">
      <w:start w:val="1"/>
      <w:numFmt w:val="decimal"/>
      <w:lvlText w:val="Artículo 1.3.1.15.%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24944973">
    <w:abstractNumId w:val="24"/>
  </w:num>
  <w:num w:numId="2" w16cid:durableId="1607227281">
    <w:abstractNumId w:val="179"/>
  </w:num>
  <w:num w:numId="3" w16cid:durableId="2032411066">
    <w:abstractNumId w:val="144"/>
  </w:num>
  <w:num w:numId="4" w16cid:durableId="1060786765">
    <w:abstractNumId w:val="25"/>
  </w:num>
  <w:num w:numId="5" w16cid:durableId="2134596321">
    <w:abstractNumId w:val="189"/>
  </w:num>
  <w:num w:numId="6" w16cid:durableId="706688271">
    <w:abstractNumId w:val="193"/>
  </w:num>
  <w:num w:numId="7" w16cid:durableId="1846435683">
    <w:abstractNumId w:val="137"/>
  </w:num>
  <w:num w:numId="8" w16cid:durableId="603654936">
    <w:abstractNumId w:val="138"/>
  </w:num>
  <w:num w:numId="9" w16cid:durableId="1558591961">
    <w:abstractNumId w:val="81"/>
  </w:num>
  <w:num w:numId="10" w16cid:durableId="963193096">
    <w:abstractNumId w:val="174"/>
  </w:num>
  <w:num w:numId="11" w16cid:durableId="1448233315">
    <w:abstractNumId w:val="69"/>
  </w:num>
  <w:num w:numId="12" w16cid:durableId="726152227">
    <w:abstractNumId w:val="57"/>
  </w:num>
  <w:num w:numId="13" w16cid:durableId="1087112583">
    <w:abstractNumId w:val="116"/>
  </w:num>
  <w:num w:numId="14" w16cid:durableId="2133402504">
    <w:abstractNumId w:val="133"/>
  </w:num>
  <w:num w:numId="15" w16cid:durableId="204753098">
    <w:abstractNumId w:val="192"/>
  </w:num>
  <w:num w:numId="16" w16cid:durableId="136262091">
    <w:abstractNumId w:val="188"/>
  </w:num>
  <w:num w:numId="17" w16cid:durableId="1836453554">
    <w:abstractNumId w:val="103"/>
  </w:num>
  <w:num w:numId="18" w16cid:durableId="29915264">
    <w:abstractNumId w:val="93"/>
  </w:num>
  <w:num w:numId="19" w16cid:durableId="1581207252">
    <w:abstractNumId w:val="106"/>
  </w:num>
  <w:num w:numId="20" w16cid:durableId="1476873928">
    <w:abstractNumId w:val="169"/>
  </w:num>
  <w:num w:numId="21" w16cid:durableId="1958832390">
    <w:abstractNumId w:val="82"/>
  </w:num>
  <w:num w:numId="22" w16cid:durableId="1785999912">
    <w:abstractNumId w:val="8"/>
  </w:num>
  <w:num w:numId="23" w16cid:durableId="806703473">
    <w:abstractNumId w:val="132"/>
  </w:num>
  <w:num w:numId="24" w16cid:durableId="1079138764">
    <w:abstractNumId w:val="5"/>
  </w:num>
  <w:num w:numId="25" w16cid:durableId="1294486348">
    <w:abstractNumId w:val="131"/>
  </w:num>
  <w:num w:numId="26" w16cid:durableId="486675158">
    <w:abstractNumId w:val="48"/>
  </w:num>
  <w:num w:numId="27" w16cid:durableId="1621568599">
    <w:abstractNumId w:val="71"/>
  </w:num>
  <w:num w:numId="28" w16cid:durableId="1280142667">
    <w:abstractNumId w:val="139"/>
  </w:num>
  <w:num w:numId="29" w16cid:durableId="392974066">
    <w:abstractNumId w:val="90"/>
  </w:num>
  <w:num w:numId="30" w16cid:durableId="919871398">
    <w:abstractNumId w:val="198"/>
  </w:num>
  <w:num w:numId="31" w16cid:durableId="1184368822">
    <w:abstractNumId w:val="163"/>
  </w:num>
  <w:num w:numId="32" w16cid:durableId="1484156292">
    <w:abstractNumId w:val="207"/>
  </w:num>
  <w:num w:numId="33" w16cid:durableId="1769696021">
    <w:abstractNumId w:val="150"/>
  </w:num>
  <w:num w:numId="34" w16cid:durableId="1612281559">
    <w:abstractNumId w:val="160"/>
  </w:num>
  <w:num w:numId="35" w16cid:durableId="525026167">
    <w:abstractNumId w:val="197"/>
  </w:num>
  <w:num w:numId="36" w16cid:durableId="162010729">
    <w:abstractNumId w:val="152"/>
  </w:num>
  <w:num w:numId="37" w16cid:durableId="1442527761">
    <w:abstractNumId w:val="36"/>
  </w:num>
  <w:num w:numId="38" w16cid:durableId="1506673510">
    <w:abstractNumId w:val="110"/>
  </w:num>
  <w:num w:numId="39" w16cid:durableId="1996102685">
    <w:abstractNumId w:val="1"/>
  </w:num>
  <w:num w:numId="40" w16cid:durableId="1345202358">
    <w:abstractNumId w:val="49"/>
  </w:num>
  <w:num w:numId="41" w16cid:durableId="531235214">
    <w:abstractNumId w:val="143"/>
  </w:num>
  <w:num w:numId="42" w16cid:durableId="2117864134">
    <w:abstractNumId w:val="37"/>
  </w:num>
  <w:num w:numId="43" w16cid:durableId="800150558">
    <w:abstractNumId w:val="30"/>
  </w:num>
  <w:num w:numId="44" w16cid:durableId="1809516508">
    <w:abstractNumId w:val="54"/>
  </w:num>
  <w:num w:numId="45" w16cid:durableId="587731463">
    <w:abstractNumId w:val="38"/>
  </w:num>
  <w:num w:numId="46" w16cid:durableId="1664701246">
    <w:abstractNumId w:val="148"/>
  </w:num>
  <w:num w:numId="47" w16cid:durableId="1057243909">
    <w:abstractNumId w:val="156"/>
  </w:num>
  <w:num w:numId="48" w16cid:durableId="865751900">
    <w:abstractNumId w:val="0"/>
  </w:num>
  <w:num w:numId="49" w16cid:durableId="1516462112">
    <w:abstractNumId w:val="75"/>
  </w:num>
  <w:num w:numId="50" w16cid:durableId="1839420884">
    <w:abstractNumId w:val="99"/>
  </w:num>
  <w:num w:numId="51" w16cid:durableId="10570374">
    <w:abstractNumId w:val="172"/>
  </w:num>
  <w:num w:numId="52" w16cid:durableId="52042331">
    <w:abstractNumId w:val="97"/>
  </w:num>
  <w:num w:numId="53" w16cid:durableId="302203651">
    <w:abstractNumId w:val="208"/>
  </w:num>
  <w:num w:numId="54" w16cid:durableId="289365330">
    <w:abstractNumId w:val="94"/>
  </w:num>
  <w:num w:numId="55" w16cid:durableId="1362708559">
    <w:abstractNumId w:val="7"/>
  </w:num>
  <w:num w:numId="56" w16cid:durableId="1475835891">
    <w:abstractNumId w:val="136"/>
  </w:num>
  <w:num w:numId="57" w16cid:durableId="523590928">
    <w:abstractNumId w:val="171"/>
  </w:num>
  <w:num w:numId="58" w16cid:durableId="117768625">
    <w:abstractNumId w:val="16"/>
  </w:num>
  <w:num w:numId="59" w16cid:durableId="1397509933">
    <w:abstractNumId w:val="4"/>
  </w:num>
  <w:num w:numId="60" w16cid:durableId="747504209">
    <w:abstractNumId w:val="23"/>
  </w:num>
  <w:num w:numId="61" w16cid:durableId="665548275">
    <w:abstractNumId w:val="86"/>
  </w:num>
  <w:num w:numId="62" w16cid:durableId="225996923">
    <w:abstractNumId w:val="62"/>
  </w:num>
  <w:num w:numId="63" w16cid:durableId="1643919893">
    <w:abstractNumId w:val="185"/>
  </w:num>
  <w:num w:numId="64" w16cid:durableId="983852295">
    <w:abstractNumId w:val="52"/>
  </w:num>
  <w:num w:numId="65" w16cid:durableId="757599575">
    <w:abstractNumId w:val="118"/>
  </w:num>
  <w:num w:numId="66" w16cid:durableId="1033577034">
    <w:abstractNumId w:val="167"/>
  </w:num>
  <w:num w:numId="67" w16cid:durableId="1317805201">
    <w:abstractNumId w:val="55"/>
  </w:num>
  <w:num w:numId="68" w16cid:durableId="11494899">
    <w:abstractNumId w:val="129"/>
  </w:num>
  <w:num w:numId="69" w16cid:durableId="1377192703">
    <w:abstractNumId w:val="109"/>
  </w:num>
  <w:num w:numId="70" w16cid:durableId="1758283822">
    <w:abstractNumId w:val="154"/>
  </w:num>
  <w:num w:numId="71" w16cid:durableId="1387144198">
    <w:abstractNumId w:val="40"/>
  </w:num>
  <w:num w:numId="72" w16cid:durableId="726879564">
    <w:abstractNumId w:val="20"/>
  </w:num>
  <w:num w:numId="73" w16cid:durableId="414858834">
    <w:abstractNumId w:val="200"/>
  </w:num>
  <w:num w:numId="74" w16cid:durableId="1772817463">
    <w:abstractNumId w:val="209"/>
  </w:num>
  <w:num w:numId="75" w16cid:durableId="895428893">
    <w:abstractNumId w:val="68"/>
  </w:num>
  <w:num w:numId="76" w16cid:durableId="1524588649">
    <w:abstractNumId w:val="50"/>
  </w:num>
  <w:num w:numId="77" w16cid:durableId="1566646557">
    <w:abstractNumId w:val="153"/>
  </w:num>
  <w:num w:numId="78" w16cid:durableId="1809862449">
    <w:abstractNumId w:val="95"/>
  </w:num>
  <w:num w:numId="79" w16cid:durableId="661664837">
    <w:abstractNumId w:val="70"/>
  </w:num>
  <w:num w:numId="80" w16cid:durableId="2075200459">
    <w:abstractNumId w:val="45"/>
  </w:num>
  <w:num w:numId="81" w16cid:durableId="605043188">
    <w:abstractNumId w:val="166"/>
  </w:num>
  <w:num w:numId="82" w16cid:durableId="1531407268">
    <w:abstractNumId w:val="151"/>
  </w:num>
  <w:num w:numId="83" w16cid:durableId="1590263550">
    <w:abstractNumId w:val="2"/>
  </w:num>
  <w:num w:numId="84" w16cid:durableId="1931035604">
    <w:abstractNumId w:val="149"/>
  </w:num>
  <w:num w:numId="85" w16cid:durableId="2127196855">
    <w:abstractNumId w:val="17"/>
  </w:num>
  <w:num w:numId="86" w16cid:durableId="1671908747">
    <w:abstractNumId w:val="15"/>
  </w:num>
  <w:num w:numId="87" w16cid:durableId="1986355664">
    <w:abstractNumId w:val="204"/>
  </w:num>
  <w:num w:numId="88" w16cid:durableId="1685017288">
    <w:abstractNumId w:val="65"/>
  </w:num>
  <w:num w:numId="89" w16cid:durableId="752749268">
    <w:abstractNumId w:val="61"/>
  </w:num>
  <w:num w:numId="90" w16cid:durableId="1764649487">
    <w:abstractNumId w:val="42"/>
  </w:num>
  <w:num w:numId="91" w16cid:durableId="250314129">
    <w:abstractNumId w:val="155"/>
  </w:num>
  <w:num w:numId="92" w16cid:durableId="1893731264">
    <w:abstractNumId w:val="51"/>
  </w:num>
  <w:num w:numId="93" w16cid:durableId="646787332">
    <w:abstractNumId w:val="87"/>
  </w:num>
  <w:num w:numId="94" w16cid:durableId="673385162">
    <w:abstractNumId w:val="120"/>
  </w:num>
  <w:num w:numId="95" w16cid:durableId="172037091">
    <w:abstractNumId w:val="191"/>
  </w:num>
  <w:num w:numId="96" w16cid:durableId="142166061">
    <w:abstractNumId w:val="125"/>
  </w:num>
  <w:num w:numId="97" w16cid:durableId="1936940522">
    <w:abstractNumId w:val="206"/>
  </w:num>
  <w:num w:numId="98" w16cid:durableId="711924881">
    <w:abstractNumId w:val="175"/>
  </w:num>
  <w:num w:numId="99" w16cid:durableId="1734039175">
    <w:abstractNumId w:val="147"/>
  </w:num>
  <w:num w:numId="100" w16cid:durableId="1943032629">
    <w:abstractNumId w:val="74"/>
  </w:num>
  <w:num w:numId="101" w16cid:durableId="72748656">
    <w:abstractNumId w:val="119"/>
  </w:num>
  <w:num w:numId="102" w16cid:durableId="1108890205">
    <w:abstractNumId w:val="83"/>
  </w:num>
  <w:num w:numId="103" w16cid:durableId="98764121">
    <w:abstractNumId w:val="19"/>
  </w:num>
  <w:num w:numId="104" w16cid:durableId="566692152">
    <w:abstractNumId w:val="21"/>
  </w:num>
  <w:num w:numId="105" w16cid:durableId="1961952831">
    <w:abstractNumId w:val="3"/>
  </w:num>
  <w:num w:numId="106" w16cid:durableId="823549730">
    <w:abstractNumId w:val="59"/>
  </w:num>
  <w:num w:numId="107" w16cid:durableId="1215383850">
    <w:abstractNumId w:val="78"/>
  </w:num>
  <w:num w:numId="108" w16cid:durableId="1988048032">
    <w:abstractNumId w:val="181"/>
  </w:num>
  <w:num w:numId="109" w16cid:durableId="1284848633">
    <w:abstractNumId w:val="141"/>
  </w:num>
  <w:num w:numId="110" w16cid:durableId="353729758">
    <w:abstractNumId w:val="140"/>
  </w:num>
  <w:num w:numId="111" w16cid:durableId="990257545">
    <w:abstractNumId w:val="34"/>
  </w:num>
  <w:num w:numId="112" w16cid:durableId="384375136">
    <w:abstractNumId w:val="26"/>
  </w:num>
  <w:num w:numId="113" w16cid:durableId="2136020703">
    <w:abstractNumId w:val="114"/>
  </w:num>
  <w:num w:numId="114" w16cid:durableId="460535076">
    <w:abstractNumId w:val="88"/>
  </w:num>
  <w:num w:numId="115" w16cid:durableId="444546619">
    <w:abstractNumId w:val="105"/>
  </w:num>
  <w:num w:numId="116" w16cid:durableId="1405300323">
    <w:abstractNumId w:val="124"/>
  </w:num>
  <w:num w:numId="117" w16cid:durableId="566963788">
    <w:abstractNumId w:val="196"/>
  </w:num>
  <w:num w:numId="118" w16cid:durableId="1383627413">
    <w:abstractNumId w:val="182"/>
  </w:num>
  <w:num w:numId="119" w16cid:durableId="1693072225">
    <w:abstractNumId w:val="91"/>
  </w:num>
  <w:num w:numId="120" w16cid:durableId="128061364">
    <w:abstractNumId w:val="101"/>
  </w:num>
  <w:num w:numId="121" w16cid:durableId="939877688">
    <w:abstractNumId w:val="134"/>
  </w:num>
  <w:num w:numId="122" w16cid:durableId="720132113">
    <w:abstractNumId w:val="76"/>
  </w:num>
  <w:num w:numId="123" w16cid:durableId="254705139">
    <w:abstractNumId w:val="72"/>
  </w:num>
  <w:num w:numId="124" w16cid:durableId="1798257606">
    <w:abstractNumId w:val="28"/>
  </w:num>
  <w:num w:numId="125" w16cid:durableId="543058987">
    <w:abstractNumId w:val="168"/>
  </w:num>
  <w:num w:numId="126" w16cid:durableId="1504321304">
    <w:abstractNumId w:val="56"/>
  </w:num>
  <w:num w:numId="127" w16cid:durableId="259145089">
    <w:abstractNumId w:val="178"/>
  </w:num>
  <w:num w:numId="128" w16cid:durableId="946697200">
    <w:abstractNumId w:val="63"/>
  </w:num>
  <w:num w:numId="129" w16cid:durableId="1087074111">
    <w:abstractNumId w:val="158"/>
  </w:num>
  <w:num w:numId="130" w16cid:durableId="1640307529">
    <w:abstractNumId w:val="187"/>
  </w:num>
  <w:num w:numId="131" w16cid:durableId="1504709061">
    <w:abstractNumId w:val="184"/>
  </w:num>
  <w:num w:numId="132" w16cid:durableId="310254205">
    <w:abstractNumId w:val="142"/>
  </w:num>
  <w:num w:numId="133" w16cid:durableId="1843742110">
    <w:abstractNumId w:val="79"/>
  </w:num>
  <w:num w:numId="134" w16cid:durableId="1537615779">
    <w:abstractNumId w:val="9"/>
  </w:num>
  <w:num w:numId="135" w16cid:durableId="477965071">
    <w:abstractNumId w:val="115"/>
  </w:num>
  <w:num w:numId="136" w16cid:durableId="1095899140">
    <w:abstractNumId w:val="32"/>
  </w:num>
  <w:num w:numId="137" w16cid:durableId="1640845104">
    <w:abstractNumId w:val="66"/>
  </w:num>
  <w:num w:numId="138" w16cid:durableId="731777016">
    <w:abstractNumId w:val="35"/>
  </w:num>
  <w:num w:numId="139" w16cid:durableId="469634432">
    <w:abstractNumId w:val="190"/>
  </w:num>
  <w:num w:numId="140" w16cid:durableId="1810200754">
    <w:abstractNumId w:val="104"/>
  </w:num>
  <w:num w:numId="141" w16cid:durableId="2095542374">
    <w:abstractNumId w:val="165"/>
  </w:num>
  <w:num w:numId="142" w16cid:durableId="758135867">
    <w:abstractNumId w:val="58"/>
  </w:num>
  <w:num w:numId="143" w16cid:durableId="105007227">
    <w:abstractNumId w:val="89"/>
  </w:num>
  <w:num w:numId="144" w16cid:durableId="2082827556">
    <w:abstractNumId w:val="177"/>
  </w:num>
  <w:num w:numId="145" w16cid:durableId="224684831">
    <w:abstractNumId w:val="135"/>
  </w:num>
  <w:num w:numId="146" w16cid:durableId="996222309">
    <w:abstractNumId w:val="33"/>
  </w:num>
  <w:num w:numId="147" w16cid:durableId="540870547">
    <w:abstractNumId w:val="121"/>
  </w:num>
  <w:num w:numId="148" w16cid:durableId="1519075793">
    <w:abstractNumId w:val="203"/>
  </w:num>
  <w:num w:numId="149" w16cid:durableId="1584223516">
    <w:abstractNumId w:val="29"/>
  </w:num>
  <w:num w:numId="150" w16cid:durableId="1420058188">
    <w:abstractNumId w:val="47"/>
  </w:num>
  <w:num w:numId="151" w16cid:durableId="1926526050">
    <w:abstractNumId w:val="10"/>
  </w:num>
  <w:num w:numId="152" w16cid:durableId="1529639359">
    <w:abstractNumId w:val="60"/>
  </w:num>
  <w:num w:numId="153" w16cid:durableId="830368975">
    <w:abstractNumId w:val="22"/>
  </w:num>
  <w:num w:numId="154" w16cid:durableId="1969822853">
    <w:abstractNumId w:val="170"/>
  </w:num>
  <w:num w:numId="155" w16cid:durableId="731345766">
    <w:abstractNumId w:val="130"/>
  </w:num>
  <w:num w:numId="156" w16cid:durableId="1662848044">
    <w:abstractNumId w:val="43"/>
  </w:num>
  <w:num w:numId="157" w16cid:durableId="811169228">
    <w:abstractNumId w:val="145"/>
  </w:num>
  <w:num w:numId="158" w16cid:durableId="973028183">
    <w:abstractNumId w:val="194"/>
  </w:num>
  <w:num w:numId="159" w16cid:durableId="1245146055">
    <w:abstractNumId w:val="162"/>
  </w:num>
  <w:num w:numId="160" w16cid:durableId="808670300">
    <w:abstractNumId w:val="11"/>
  </w:num>
  <w:num w:numId="161" w16cid:durableId="1424954949">
    <w:abstractNumId w:val="84"/>
  </w:num>
  <w:num w:numId="162" w16cid:durableId="505754731">
    <w:abstractNumId w:val="77"/>
  </w:num>
  <w:num w:numId="163" w16cid:durableId="88166063">
    <w:abstractNumId w:val="157"/>
  </w:num>
  <w:num w:numId="164" w16cid:durableId="451361561">
    <w:abstractNumId w:val="123"/>
  </w:num>
  <w:num w:numId="165" w16cid:durableId="2005740031">
    <w:abstractNumId w:val="12"/>
  </w:num>
  <w:num w:numId="166" w16cid:durableId="1781955258">
    <w:abstractNumId w:val="41"/>
  </w:num>
  <w:num w:numId="167" w16cid:durableId="29844358">
    <w:abstractNumId w:val="18"/>
  </w:num>
  <w:num w:numId="168" w16cid:durableId="1152327725">
    <w:abstractNumId w:val="128"/>
  </w:num>
  <w:num w:numId="169" w16cid:durableId="581068498">
    <w:abstractNumId w:val="127"/>
  </w:num>
  <w:num w:numId="170" w16cid:durableId="1313677131">
    <w:abstractNumId w:val="186"/>
  </w:num>
  <w:num w:numId="171" w16cid:durableId="790393804">
    <w:abstractNumId w:val="107"/>
  </w:num>
  <w:num w:numId="172" w16cid:durableId="1672953586">
    <w:abstractNumId w:val="117"/>
  </w:num>
  <w:num w:numId="173" w16cid:durableId="1865048663">
    <w:abstractNumId w:val="161"/>
  </w:num>
  <w:num w:numId="174" w16cid:durableId="2099014598">
    <w:abstractNumId w:val="31"/>
  </w:num>
  <w:num w:numId="175" w16cid:durableId="533808779">
    <w:abstractNumId w:val="201"/>
  </w:num>
  <w:num w:numId="176" w16cid:durableId="1555963162">
    <w:abstractNumId w:val="205"/>
  </w:num>
  <w:num w:numId="177" w16cid:durableId="2114201269">
    <w:abstractNumId w:val="85"/>
  </w:num>
  <w:num w:numId="178" w16cid:durableId="2142266465">
    <w:abstractNumId w:val="173"/>
  </w:num>
  <w:num w:numId="179" w16cid:durableId="754858524">
    <w:abstractNumId w:val="44"/>
  </w:num>
  <w:num w:numId="180" w16cid:durableId="1267081719">
    <w:abstractNumId w:val="100"/>
  </w:num>
  <w:num w:numId="181" w16cid:durableId="1433622943">
    <w:abstractNumId w:val="202"/>
  </w:num>
  <w:num w:numId="182" w16cid:durableId="1051343033">
    <w:abstractNumId w:val="122"/>
  </w:num>
  <w:num w:numId="183" w16cid:durableId="788745842">
    <w:abstractNumId w:val="102"/>
  </w:num>
  <w:num w:numId="184" w16cid:durableId="146673114">
    <w:abstractNumId w:val="176"/>
  </w:num>
  <w:num w:numId="185" w16cid:durableId="1251357678">
    <w:abstractNumId w:val="64"/>
  </w:num>
  <w:num w:numId="186" w16cid:durableId="1993099783">
    <w:abstractNumId w:val="180"/>
  </w:num>
  <w:num w:numId="187" w16cid:durableId="158616405">
    <w:abstractNumId w:val="13"/>
  </w:num>
  <w:num w:numId="188" w16cid:durableId="92867903">
    <w:abstractNumId w:val="111"/>
  </w:num>
  <w:num w:numId="189" w16cid:durableId="1069498974">
    <w:abstractNumId w:val="112"/>
  </w:num>
  <w:num w:numId="190" w16cid:durableId="915359029">
    <w:abstractNumId w:val="53"/>
  </w:num>
  <w:num w:numId="191" w16cid:durableId="161118965">
    <w:abstractNumId w:val="108"/>
  </w:num>
  <w:num w:numId="192" w16cid:durableId="1596747645">
    <w:abstractNumId w:val="46"/>
  </w:num>
  <w:num w:numId="193" w16cid:durableId="1385981705">
    <w:abstractNumId w:val="27"/>
  </w:num>
  <w:num w:numId="194" w16cid:durableId="2129858240">
    <w:abstractNumId w:val="199"/>
  </w:num>
  <w:num w:numId="195" w16cid:durableId="1776944438">
    <w:abstractNumId w:val="73"/>
  </w:num>
  <w:num w:numId="196" w16cid:durableId="226451691">
    <w:abstractNumId w:val="164"/>
  </w:num>
  <w:num w:numId="197" w16cid:durableId="2140369308">
    <w:abstractNumId w:val="113"/>
  </w:num>
  <w:num w:numId="198" w16cid:durableId="1894849474">
    <w:abstractNumId w:val="195"/>
  </w:num>
  <w:num w:numId="199" w16cid:durableId="1218514712">
    <w:abstractNumId w:val="96"/>
  </w:num>
  <w:num w:numId="200" w16cid:durableId="1770857784">
    <w:abstractNumId w:val="159"/>
  </w:num>
  <w:num w:numId="201" w16cid:durableId="1854802924">
    <w:abstractNumId w:val="146"/>
  </w:num>
  <w:num w:numId="202" w16cid:durableId="1731148865">
    <w:abstractNumId w:val="67"/>
  </w:num>
  <w:num w:numId="203" w16cid:durableId="457844327">
    <w:abstractNumId w:val="6"/>
  </w:num>
  <w:num w:numId="204" w16cid:durableId="835803583">
    <w:abstractNumId w:val="126"/>
  </w:num>
  <w:num w:numId="205" w16cid:durableId="6532650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2119179282">
    <w:abstractNumId w:val="183"/>
  </w:num>
  <w:num w:numId="207" w16cid:durableId="611740038">
    <w:abstractNumId w:val="39"/>
  </w:num>
  <w:num w:numId="208" w16cid:durableId="261913371">
    <w:abstractNumId w:val="98"/>
  </w:num>
  <w:num w:numId="209" w16cid:durableId="2077586766">
    <w:abstractNumId w:val="14"/>
  </w:num>
  <w:num w:numId="210" w16cid:durableId="419984101">
    <w:abstractNumId w:val="80"/>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2D"/>
    <w:rsid w:val="008A645F"/>
    <w:rsid w:val="00B244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8840B87"/>
  <w15:docId w15:val="{CB04118D-62FC-47A6-8167-A2077C59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MS Mincho" w:hAnsi="Times New Roman" w:cs="Times New Roman"/>
      <w:sz w:val="24"/>
      <w:szCs w:val="24"/>
      <w:lang w:val="es-ES" w:eastAsia="es-ES"/>
    </w:rPr>
  </w:style>
  <w:style w:type="paragraph" w:styleId="Ttulo1">
    <w:name w:val="heading 1"/>
    <w:basedOn w:val="Normal"/>
    <w:next w:val="Normal"/>
    <w:link w:val="Ttulo1Car"/>
    <w:uiPriority w:val="1"/>
    <w:qFormat/>
    <w:pPr>
      <w:jc w:val="center"/>
      <w:outlineLvl w:val="0"/>
    </w:pPr>
    <w:rPr>
      <w:rFonts w:ascii="Arial" w:hAnsi="Arial" w:cs="Arial"/>
      <w:b/>
      <w:lang w:val="es-CO"/>
    </w:rPr>
  </w:style>
  <w:style w:type="paragraph" w:styleId="Ttulo2">
    <w:name w:val="heading 2"/>
    <w:basedOn w:val="Normal"/>
    <w:next w:val="Normal"/>
    <w:link w:val="Ttulo2Car"/>
    <w:uiPriority w:val="1"/>
    <w:unhideWhenUsed/>
    <w:qFormat/>
    <w:pPr>
      <w:jc w:val="center"/>
      <w:outlineLvl w:val="1"/>
    </w:pPr>
    <w:rPr>
      <w:rFonts w:ascii="Arial" w:hAnsi="Arial" w:cs="Arial"/>
      <w:b/>
      <w:lang w:val="es-CO"/>
    </w:rPr>
  </w:style>
  <w:style w:type="paragraph" w:styleId="Ttulo3">
    <w:name w:val="heading 3"/>
    <w:basedOn w:val="Normal"/>
    <w:next w:val="Normal"/>
    <w:link w:val="Ttulo3Car"/>
    <w:uiPriority w:val="1"/>
    <w:unhideWhenUsed/>
    <w:qFormat/>
    <w:pPr>
      <w:jc w:val="center"/>
      <w:outlineLvl w:val="2"/>
    </w:pPr>
    <w:rPr>
      <w:rFonts w:ascii="Arial" w:hAnsi="Arial" w:cs="Arial"/>
      <w:b/>
      <w:lang w:val="es-CO"/>
    </w:rPr>
  </w:style>
  <w:style w:type="paragraph" w:styleId="Ttulo4">
    <w:name w:val="heading 4"/>
    <w:basedOn w:val="Normal"/>
    <w:next w:val="Normal"/>
    <w:link w:val="Ttulo4Car"/>
    <w:uiPriority w:val="9"/>
    <w:unhideWhenUsed/>
    <w:qFormat/>
    <w:pPr>
      <w:ind w:firstLine="708"/>
      <w:jc w:val="center"/>
      <w:outlineLvl w:val="3"/>
    </w:pPr>
    <w:rPr>
      <w:rFonts w:ascii="Arial" w:hAnsi="Arial" w:cs="Arial"/>
      <w:b/>
    </w:rPr>
  </w:style>
  <w:style w:type="paragraph" w:styleId="Ttulo5">
    <w:name w:val="heading 5"/>
    <w:basedOn w:val="Normal"/>
    <w:next w:val="Normal"/>
    <w:link w:val="Ttulo5Car"/>
    <w:uiPriority w:val="9"/>
    <w:unhideWhenUsed/>
    <w:qFormat/>
    <w:pPr>
      <w:keepNext/>
      <w:keepLines/>
      <w:jc w:val="center"/>
      <w:outlineLvl w:val="4"/>
    </w:pPr>
    <w:rPr>
      <w:rFonts w:ascii="Arial" w:eastAsiaTheme="majorEastAsia" w:hAnsi="Arial"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Pr>
      <w:rFonts w:ascii="Arial" w:eastAsia="MS Mincho" w:hAnsi="Arial" w:cs="Arial"/>
      <w:b/>
      <w:sz w:val="24"/>
      <w:szCs w:val="24"/>
      <w:lang w:eastAsia="es-ES"/>
    </w:rPr>
  </w:style>
  <w:style w:type="character" w:customStyle="1" w:styleId="Ttulo2Car">
    <w:name w:val="Título 2 Car"/>
    <w:basedOn w:val="Fuentedeprrafopredeter"/>
    <w:link w:val="Ttulo2"/>
    <w:uiPriority w:val="1"/>
    <w:rPr>
      <w:rFonts w:ascii="Arial" w:eastAsia="MS Mincho" w:hAnsi="Arial" w:cs="Arial"/>
      <w:b/>
      <w:sz w:val="24"/>
      <w:szCs w:val="24"/>
      <w:lang w:eastAsia="es-ES"/>
    </w:rPr>
  </w:style>
  <w:style w:type="character" w:customStyle="1" w:styleId="Ttulo3Car">
    <w:name w:val="Título 3 Car"/>
    <w:basedOn w:val="Fuentedeprrafopredeter"/>
    <w:link w:val="Ttulo3"/>
    <w:uiPriority w:val="1"/>
    <w:rPr>
      <w:rFonts w:ascii="Arial" w:eastAsia="MS Mincho" w:hAnsi="Arial" w:cs="Arial"/>
      <w:b/>
      <w:sz w:val="24"/>
      <w:szCs w:val="24"/>
      <w:lang w:eastAsia="es-ES"/>
    </w:rPr>
  </w:style>
  <w:style w:type="character" w:customStyle="1" w:styleId="Ttulo4Car">
    <w:name w:val="Título 4 Car"/>
    <w:basedOn w:val="Fuentedeprrafopredeter"/>
    <w:link w:val="Ttulo4"/>
    <w:uiPriority w:val="9"/>
    <w:rPr>
      <w:rFonts w:ascii="Arial" w:eastAsia="MS Mincho" w:hAnsi="Arial" w:cs="Arial"/>
      <w:b/>
      <w:sz w:val="24"/>
      <w:szCs w:val="24"/>
      <w:lang w:val="es-ES" w:eastAsia="es-ES"/>
    </w:rPr>
  </w:style>
  <w:style w:type="character" w:customStyle="1" w:styleId="Ttulo5Car">
    <w:name w:val="Título 5 Car"/>
    <w:basedOn w:val="Fuentedeprrafopredeter"/>
    <w:link w:val="Ttulo5"/>
    <w:uiPriority w:val="9"/>
    <w:rPr>
      <w:rFonts w:ascii="Arial" w:eastAsiaTheme="majorEastAsia" w:hAnsi="Arial" w:cs="Arial"/>
      <w:b/>
      <w:sz w:val="24"/>
      <w:szCs w:val="24"/>
      <w:lang w:eastAsia="es-ES"/>
    </w:rPr>
  </w:style>
  <w:style w:type="paragraph" w:styleId="Textodeglobo">
    <w:name w:val="Balloon Text"/>
    <w:basedOn w:val="Normal"/>
    <w:link w:val="TextodegloboCar"/>
    <w:uiPriority w:val="99"/>
    <w:semiHidden/>
    <w:unhideWhenUsed/>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MS Mincho" w:hAnsi="Segoe UI" w:cs="Segoe UI"/>
      <w:sz w:val="18"/>
      <w:szCs w:val="18"/>
      <w:lang w:val="es-ES" w:eastAsia="es-ES"/>
    </w:rPr>
  </w:style>
  <w:style w:type="paragraph" w:styleId="Prrafodelista">
    <w:name w:val="List Paragraph"/>
    <w:basedOn w:val="Normal"/>
    <w:qFormat/>
    <w:pPr>
      <w:ind w:left="720"/>
      <w:contextualSpacing/>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rPr>
      <w:rFonts w:ascii="Times New Roman" w:eastAsia="MS Mincho" w:hAnsi="Times New Roman" w:cs="Times New Roman"/>
      <w:sz w:val="24"/>
      <w:szCs w:val="24"/>
      <w:lang w:val="es-ES" w:eastAsia="es-ES"/>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ascii="Times New Roman" w:eastAsia="MS Mincho" w:hAnsi="Times New Roman" w:cs="Times New Roman"/>
      <w:sz w:val="24"/>
      <w:szCs w:val="24"/>
      <w:lang w:val="es-ES" w:eastAsia="es-ES"/>
    </w:rPr>
  </w:style>
  <w:style w:type="paragraph" w:styleId="NormalWeb">
    <w:name w:val="Normal (Web)"/>
    <w:basedOn w:val="Normal"/>
    <w:unhideWhenUsed/>
    <w:pPr>
      <w:spacing w:after="150"/>
    </w:pPr>
    <w:rPr>
      <w:rFonts w:eastAsia="Times New Roman"/>
      <w:lang w:val="es-CO" w:eastAsia="es-CO"/>
    </w:rPr>
  </w:style>
  <w:style w:type="paragraph" w:styleId="Sinespaciado">
    <w:name w:val="No Spacing"/>
    <w:uiPriority w:val="1"/>
    <w:qFormat/>
    <w:pPr>
      <w:spacing w:after="0" w:line="240" w:lineRule="auto"/>
    </w:pPr>
    <w:rPr>
      <w:rFonts w:eastAsiaTheme="minorEastAsia" w:cs="Times New Roman"/>
      <w:lang w:eastAsia="es-CO"/>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widowControl w:val="0"/>
    </w:pPr>
    <w:rPr>
      <w:rFonts w:ascii="Arial" w:eastAsia="Arial" w:hAnsi="Arial" w:cstheme="minorBidi"/>
      <w:lang w:val="en-US" w:eastAsia="en-US"/>
    </w:rPr>
  </w:style>
  <w:style w:type="character" w:customStyle="1" w:styleId="TextoindependienteCar">
    <w:name w:val="Texto independiente Car"/>
    <w:basedOn w:val="Fuentedeprrafopredeter"/>
    <w:link w:val="Textoindependiente"/>
    <w:uiPriority w:val="1"/>
    <w:rPr>
      <w:rFonts w:ascii="Arial" w:eastAsia="Arial" w:hAnsi="Arial"/>
      <w:sz w:val="24"/>
      <w:szCs w:val="24"/>
      <w:lang w:val="en-US"/>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lang w:val="en-US" w:eastAsia="en-US"/>
    </w:rPr>
  </w:style>
  <w:style w:type="character" w:customStyle="1" w:styleId="TextocomentarioCar">
    <w:name w:val="Texto comentario Car"/>
    <w:basedOn w:val="Fuentedeprrafopredeter"/>
    <w:link w:val="Textocomentario"/>
    <w:uiPriority w:val="99"/>
    <w:rPr>
      <w:rFonts w:ascii="Times New Roman" w:eastAsia="MS Mincho" w:hAnsi="Times New Roman" w:cs="Times New Roman"/>
      <w:sz w:val="20"/>
      <w:szCs w:val="20"/>
      <w:lang w:val="es-ES" w:eastAsia="es-ES"/>
    </w:rPr>
  </w:style>
  <w:style w:type="paragraph" w:styleId="Textocomentario">
    <w:name w:val="annotation text"/>
    <w:basedOn w:val="Normal"/>
    <w:link w:val="TextocomentarioCar"/>
    <w:unhideWhenUsed/>
    <w:rPr>
      <w:sz w:val="20"/>
      <w:szCs w:val="20"/>
    </w:rPr>
  </w:style>
  <w:style w:type="character" w:customStyle="1" w:styleId="AsuntodelcomentarioCar">
    <w:name w:val="Asunto del comentario Car"/>
    <w:basedOn w:val="TextocomentarioCar"/>
    <w:link w:val="Asuntodelcomentario"/>
    <w:uiPriority w:val="99"/>
    <w:semiHidden/>
    <w:rPr>
      <w:rFonts w:ascii="Times New Roman" w:eastAsia="MS Mincho"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Cuerpodeltexto2">
    <w:name w:val="Cuerpo del texto (2)_"/>
    <w:basedOn w:val="Fuentedeprrafopredeter"/>
    <w:link w:val="Cuerpodeltexto20"/>
    <w:rPr>
      <w:rFonts w:ascii="Arial" w:eastAsia="Arial" w:hAnsi="Arial" w:cs="Arial"/>
      <w:shd w:val="clear" w:color="auto" w:fill="FFFFFF"/>
    </w:rPr>
  </w:style>
  <w:style w:type="paragraph" w:customStyle="1" w:styleId="Cuerpodeltexto20">
    <w:name w:val="Cuerpo del texto (2)"/>
    <w:basedOn w:val="Normal"/>
    <w:link w:val="Cuerpodeltexto2"/>
    <w:pPr>
      <w:widowControl w:val="0"/>
      <w:shd w:val="clear" w:color="auto" w:fill="FFFFFF"/>
      <w:spacing w:line="259" w:lineRule="exact"/>
      <w:jc w:val="center"/>
    </w:pPr>
    <w:rPr>
      <w:rFonts w:ascii="Arial" w:eastAsia="Arial" w:hAnsi="Arial" w:cs="Arial"/>
      <w:sz w:val="22"/>
      <w:szCs w:val="22"/>
      <w:lang w:val="es-CO" w:eastAsia="en-US"/>
    </w:rPr>
  </w:style>
  <w:style w:type="character" w:customStyle="1" w:styleId="Cuerpodeltexto2Negrita">
    <w:name w:val="Cuerpo del texto (2) + Negrita"/>
    <w:basedOn w:val="Cuerpodeltexto2"/>
    <w:rPr>
      <w:rFonts w:ascii="Arial" w:eastAsia="Arial" w:hAnsi="Arial" w:cs="Arial"/>
      <w:b/>
      <w:bCs/>
      <w:i w:val="0"/>
      <w:iCs w:val="0"/>
      <w:smallCaps w:val="0"/>
      <w:strike w:val="0"/>
      <w:color w:val="000000"/>
      <w:spacing w:val="0"/>
      <w:w w:val="100"/>
      <w:position w:val="0"/>
      <w:sz w:val="22"/>
      <w:szCs w:val="22"/>
      <w:u w:val="none"/>
      <w:shd w:val="clear" w:color="auto" w:fill="FFFFFF"/>
      <w:lang w:val="es-ES" w:eastAsia="es-ES" w:bidi="es-ES"/>
    </w:rPr>
  </w:style>
  <w:style w:type="character" w:customStyle="1" w:styleId="Ttulo40">
    <w:name w:val="Título #4_"/>
    <w:basedOn w:val="Fuentedeprrafopredeter"/>
    <w:link w:val="Ttulo41"/>
    <w:rPr>
      <w:rFonts w:ascii="Arial" w:eastAsia="Arial" w:hAnsi="Arial" w:cs="Arial"/>
      <w:b/>
      <w:bCs/>
      <w:shd w:val="clear" w:color="auto" w:fill="FFFFFF"/>
    </w:rPr>
  </w:style>
  <w:style w:type="paragraph" w:customStyle="1" w:styleId="Ttulo41">
    <w:name w:val="Título #4"/>
    <w:basedOn w:val="Normal"/>
    <w:link w:val="Ttulo40"/>
    <w:pPr>
      <w:widowControl w:val="0"/>
      <w:shd w:val="clear" w:color="auto" w:fill="FFFFFF"/>
      <w:spacing w:before="280" w:after="280" w:line="268" w:lineRule="exact"/>
      <w:jc w:val="center"/>
      <w:outlineLvl w:val="3"/>
    </w:pPr>
    <w:rPr>
      <w:rFonts w:ascii="Arial" w:eastAsia="Arial" w:hAnsi="Arial" w:cs="Arial"/>
      <w:b/>
      <w:bCs/>
      <w:sz w:val="22"/>
      <w:szCs w:val="22"/>
      <w:lang w:val="es-CO" w:eastAsia="en-US"/>
    </w:rPr>
  </w:style>
  <w:style w:type="character" w:customStyle="1" w:styleId="Cuerpodeltexto2Cursiva">
    <w:name w:val="Cuerpo del texto (2) + Cursiva"/>
    <w:basedOn w:val="Cuerpodeltexto2"/>
    <w:rPr>
      <w:rFonts w:ascii="Arial" w:eastAsia="Arial" w:hAnsi="Arial" w:cs="Arial"/>
      <w:b w:val="0"/>
      <w:bCs w:val="0"/>
      <w:i/>
      <w:iCs/>
      <w:smallCaps w:val="0"/>
      <w:strike w:val="0"/>
      <w:color w:val="000000"/>
      <w:spacing w:val="0"/>
      <w:w w:val="100"/>
      <w:position w:val="0"/>
      <w:sz w:val="24"/>
      <w:szCs w:val="24"/>
      <w:u w:val="none"/>
      <w:shd w:val="clear" w:color="auto" w:fill="FFFFFF"/>
      <w:lang w:val="es-ES" w:eastAsia="es-ES" w:bidi="es-ES"/>
    </w:rPr>
  </w:style>
  <w:style w:type="paragraph" w:customStyle="1" w:styleId="CM8">
    <w:name w:val="CM8"/>
    <w:basedOn w:val="Normal"/>
    <w:next w:val="Normal"/>
    <w:uiPriority w:val="99"/>
    <w:pPr>
      <w:autoSpaceDE w:val="0"/>
      <w:autoSpaceDN w:val="0"/>
      <w:adjustRightInd w:val="0"/>
    </w:pPr>
    <w:rPr>
      <w:rFonts w:ascii="Arial" w:eastAsiaTheme="minorHAnsi" w:hAnsi="Arial" w:cs="Arial"/>
      <w:lang w:val="es-CO" w:eastAsia="en-US"/>
    </w:rPr>
  </w:style>
  <w:style w:type="paragraph" w:customStyle="1" w:styleId="CM4">
    <w:name w:val="CM4"/>
    <w:basedOn w:val="Normal"/>
    <w:next w:val="Normal"/>
    <w:uiPriority w:val="99"/>
    <w:pPr>
      <w:autoSpaceDE w:val="0"/>
      <w:autoSpaceDN w:val="0"/>
      <w:adjustRightInd w:val="0"/>
      <w:spacing w:line="278" w:lineRule="atLeast"/>
    </w:pPr>
    <w:rPr>
      <w:rFonts w:ascii="Arial" w:eastAsiaTheme="minorHAnsi" w:hAnsi="Arial" w:cs="Arial"/>
      <w:lang w:val="es-CO" w:eastAsia="en-US"/>
    </w:rPr>
  </w:style>
  <w:style w:type="character" w:styleId="Refdecomentario">
    <w:name w:val="annotation reference"/>
    <w:basedOn w:val="Fuentedeprrafopredeter"/>
    <w:uiPriority w:val="99"/>
    <w:semiHidden/>
    <w:unhideWhenUsed/>
    <w:rPr>
      <w:sz w:val="16"/>
      <w:szCs w:val="16"/>
    </w:rPr>
  </w:style>
  <w:style w:type="numbering" w:customStyle="1" w:styleId="Sinlista1">
    <w:name w:val="Sin lista1"/>
    <w:next w:val="Sinlista"/>
    <w:uiPriority w:val="99"/>
    <w:semiHidden/>
    <w:unhideWhenUsed/>
  </w:style>
  <w:style w:type="character" w:customStyle="1" w:styleId="TextocomentarioCar1">
    <w:name w:val="Texto comentario Car1"/>
    <w:basedOn w:val="Fuentedeprrafopredeter"/>
    <w:uiPriority w:val="99"/>
    <w:semiHidden/>
    <w:rPr>
      <w:sz w:val="20"/>
      <w:szCs w:val="20"/>
    </w:rPr>
  </w:style>
  <w:style w:type="character" w:customStyle="1" w:styleId="AsuntodelcomentarioCar1">
    <w:name w:val="Asunto del comentario Car1"/>
    <w:basedOn w:val="TextocomentarioCar1"/>
    <w:uiPriority w:val="99"/>
    <w:semiHidden/>
    <w:rPr>
      <w:b/>
      <w:bCs/>
      <w:sz w:val="20"/>
      <w:szCs w:val="20"/>
    </w:rPr>
  </w:style>
  <w:style w:type="character" w:customStyle="1" w:styleId="apple-converted-space">
    <w:name w:val="apple-converted-space"/>
    <w:basedOn w:val="Fuentedeprrafopredeter"/>
  </w:style>
  <w:style w:type="character" w:styleId="Hipervnculo">
    <w:name w:val="Hyperlink"/>
    <w:basedOn w:val="Fuentedeprrafopredeter"/>
    <w:uiPriority w:val="99"/>
    <w:unhideWhenUsed/>
    <w:rPr>
      <w:color w:val="0000FF"/>
      <w:u w:val="singl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s-CO"/>
    </w:rPr>
  </w:style>
  <w:style w:type="character" w:styleId="nfasis">
    <w:name w:val="Emphasis"/>
    <w:uiPriority w:val="20"/>
    <w:qFormat/>
    <w:rPr>
      <w:i/>
      <w:iCs/>
    </w:rPr>
  </w:style>
  <w:style w:type="paragraph" w:styleId="Sangra3detindependiente">
    <w:name w:val="Body Text Indent 3"/>
    <w:basedOn w:val="Normal"/>
    <w:link w:val="Sangra3detindependienteCar"/>
    <w:uiPriority w:val="99"/>
    <w:semiHidden/>
    <w:unhideWhenUse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Pr>
      <w:rFonts w:ascii="Times New Roman" w:eastAsia="MS Mincho" w:hAnsi="Times New Roman" w:cs="Times New Roman"/>
      <w:sz w:val="16"/>
      <w:szCs w:val="16"/>
      <w:lang w:val="es-ES" w:eastAsia="es-ES"/>
    </w:rPr>
  </w:style>
  <w:style w:type="paragraph" w:customStyle="1" w:styleId="CM10">
    <w:name w:val="CM10"/>
    <w:basedOn w:val="Default"/>
    <w:next w:val="Default"/>
    <w:uiPriority w:val="99"/>
    <w:rPr>
      <w:color w:val="auto"/>
    </w:rPr>
  </w:style>
  <w:style w:type="paragraph" w:styleId="TtuloTDC">
    <w:name w:val="TOC Heading"/>
    <w:basedOn w:val="Ttulo1"/>
    <w:next w:val="Normal"/>
    <w:uiPriority w:val="39"/>
    <w:unhideWhenUsed/>
    <w:qFormat/>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es-CO"/>
    </w:rPr>
  </w:style>
  <w:style w:type="paragraph" w:styleId="TDC1">
    <w:name w:val="toc 1"/>
    <w:basedOn w:val="Normal"/>
    <w:next w:val="Normal"/>
    <w:autoRedefine/>
    <w:uiPriority w:val="39"/>
    <w:unhideWhenUsed/>
    <w:pPr>
      <w:spacing w:after="100"/>
    </w:pPr>
    <w:rPr>
      <w:sz w:val="18"/>
    </w:rPr>
  </w:style>
  <w:style w:type="paragraph" w:styleId="TDC2">
    <w:name w:val="toc 2"/>
    <w:basedOn w:val="Normal"/>
    <w:next w:val="Normal"/>
    <w:autoRedefine/>
    <w:uiPriority w:val="39"/>
    <w:unhideWhenUsed/>
    <w:pPr>
      <w:spacing w:after="100"/>
      <w:ind w:left="240"/>
    </w:pPr>
    <w:rPr>
      <w:sz w:val="18"/>
    </w:rPr>
  </w:style>
  <w:style w:type="paragraph" w:styleId="TDC3">
    <w:name w:val="toc 3"/>
    <w:basedOn w:val="Normal"/>
    <w:next w:val="Normal"/>
    <w:autoRedefine/>
    <w:uiPriority w:val="39"/>
    <w:unhideWhenUsed/>
    <w:pPr>
      <w:spacing w:after="100"/>
      <w:ind w:left="480"/>
    </w:pPr>
    <w:rPr>
      <w:sz w:val="18"/>
    </w:rPr>
  </w:style>
  <w:style w:type="paragraph" w:styleId="TDC4">
    <w:name w:val="toc 4"/>
    <w:basedOn w:val="Normal"/>
    <w:next w:val="Normal"/>
    <w:autoRedefine/>
    <w:uiPriority w:val="39"/>
    <w:semiHidden/>
    <w:unhideWhenUsed/>
    <w:pPr>
      <w:spacing w:after="100"/>
      <w:ind w:left="720"/>
    </w:pPr>
    <w:rPr>
      <w:sz w:val="18"/>
    </w:rPr>
  </w:style>
  <w:style w:type="paragraph" w:styleId="TDC5">
    <w:name w:val="toc 5"/>
    <w:basedOn w:val="Normal"/>
    <w:next w:val="Normal"/>
    <w:autoRedefine/>
    <w:uiPriority w:val="39"/>
    <w:semiHidden/>
    <w:unhideWhenUsed/>
    <w:pPr>
      <w:spacing w:after="100"/>
      <w:ind w:left="960"/>
    </w:pPr>
    <w:rPr>
      <w:sz w:val="18"/>
    </w:rPr>
  </w:style>
  <w:style w:type="paragraph" w:styleId="TDC6">
    <w:name w:val="toc 6"/>
    <w:basedOn w:val="Normal"/>
    <w:next w:val="Normal"/>
    <w:autoRedefine/>
    <w:uiPriority w:val="39"/>
    <w:semiHidden/>
    <w:unhideWhenUsed/>
    <w:pPr>
      <w:spacing w:after="100"/>
      <w:ind w:left="1200"/>
    </w:pPr>
    <w:rPr>
      <w:sz w:val="18"/>
    </w:rPr>
  </w:style>
  <w:style w:type="paragraph" w:styleId="TDC7">
    <w:name w:val="toc 7"/>
    <w:basedOn w:val="Normal"/>
    <w:next w:val="Normal"/>
    <w:autoRedefine/>
    <w:uiPriority w:val="39"/>
    <w:semiHidden/>
    <w:unhideWhenUsed/>
    <w:pPr>
      <w:spacing w:after="100"/>
      <w:ind w:left="14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95542">
      <w:bodyDiv w:val="1"/>
      <w:marLeft w:val="0"/>
      <w:marRight w:val="0"/>
      <w:marTop w:val="0"/>
      <w:marBottom w:val="0"/>
      <w:divBdr>
        <w:top w:val="none" w:sz="0" w:space="0" w:color="auto"/>
        <w:left w:val="none" w:sz="0" w:space="0" w:color="auto"/>
        <w:bottom w:val="none" w:sz="0" w:space="0" w:color="auto"/>
        <w:right w:val="none" w:sz="0" w:space="0" w:color="auto"/>
      </w:divBdr>
    </w:div>
    <w:div w:id="630091089">
      <w:bodyDiv w:val="1"/>
      <w:marLeft w:val="0"/>
      <w:marRight w:val="0"/>
      <w:marTop w:val="0"/>
      <w:marBottom w:val="0"/>
      <w:divBdr>
        <w:top w:val="none" w:sz="0" w:space="0" w:color="auto"/>
        <w:left w:val="none" w:sz="0" w:space="0" w:color="auto"/>
        <w:bottom w:val="none" w:sz="0" w:space="0" w:color="auto"/>
        <w:right w:val="none" w:sz="0" w:space="0" w:color="auto"/>
      </w:divBdr>
    </w:div>
    <w:div w:id="771628099">
      <w:bodyDiv w:val="1"/>
      <w:marLeft w:val="0"/>
      <w:marRight w:val="0"/>
      <w:marTop w:val="0"/>
      <w:marBottom w:val="0"/>
      <w:divBdr>
        <w:top w:val="none" w:sz="0" w:space="0" w:color="auto"/>
        <w:left w:val="none" w:sz="0" w:space="0" w:color="auto"/>
        <w:bottom w:val="none" w:sz="0" w:space="0" w:color="auto"/>
        <w:right w:val="none" w:sz="0" w:space="0" w:color="auto"/>
      </w:divBdr>
    </w:div>
    <w:div w:id="1764036856">
      <w:bodyDiv w:val="1"/>
      <w:marLeft w:val="0"/>
      <w:marRight w:val="0"/>
      <w:marTop w:val="0"/>
      <w:marBottom w:val="0"/>
      <w:divBdr>
        <w:top w:val="none" w:sz="0" w:space="0" w:color="auto"/>
        <w:left w:val="none" w:sz="0" w:space="0" w:color="auto"/>
        <w:bottom w:val="none" w:sz="0" w:space="0" w:color="auto"/>
        <w:right w:val="none" w:sz="0" w:space="0" w:color="auto"/>
      </w:divBdr>
    </w:div>
    <w:div w:id="206713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www.minhacienda.gov.co/HomeMinhacienda/ShowProperty?nodeId=/OCS/P_MHCP_WCC-064244" TargetMode="External"/><Relationship Id="rId47" Type="http://schemas.openxmlformats.org/officeDocument/2006/relationships/hyperlink" Target="http://www.minhacienda.gov.co/HomeMinhacienda/ShowProperty?nodeId=/OCS/P_MHCP_WCC-064244" TargetMode="External"/><Relationship Id="rId63" Type="http://schemas.openxmlformats.org/officeDocument/2006/relationships/hyperlink" Target="http://www.minhacienda.gov.co/HomeMinhacienda/ShowProperty?nodeId=/OCS/P_MHCP_WCC-064244" TargetMode="External"/><Relationship Id="rId68" Type="http://schemas.openxmlformats.org/officeDocument/2006/relationships/hyperlink" Target="http://www.minhacienda.gov.co/HomeMinhacienda/ShowProperty?nodeId=/OCS/P_MHCP_WCC-064244" TargetMode="External"/><Relationship Id="rId16" Type="http://schemas.openxmlformats.org/officeDocument/2006/relationships/hyperlink" Target="http://www.minhacienda.gov.co/HomeMinhacienda/ShowProperty?nodeId=/OCS/P_MHCP_WCC-064246" TargetMode="External"/><Relationship Id="rId11" Type="http://schemas.openxmlformats.org/officeDocument/2006/relationships/endnotes" Target="endnotes.xml"/><Relationship Id="rId32" Type="http://schemas.openxmlformats.org/officeDocument/2006/relationships/hyperlink" Target="http://www.minhacienda.gov.co/HomeMinhacienda/ShowProperty?nodeId=/OCS/P_MHCP_WCC-064242" TargetMode="External"/><Relationship Id="rId37" Type="http://schemas.openxmlformats.org/officeDocument/2006/relationships/hyperlink" Target="http://www.minhacienda.gov.co/HomeMinhacienda/ShowProperty?nodeId=/OCS/P_MHCP_WCC-064242" TargetMode="External"/><Relationship Id="rId53" Type="http://schemas.openxmlformats.org/officeDocument/2006/relationships/hyperlink" Target="http://www.minhacienda.gov.co/HomeMinhacienda/ShowProperty?nodeId=/OCS/P_MHCP_WCC-064244" TargetMode="External"/><Relationship Id="rId58" Type="http://schemas.openxmlformats.org/officeDocument/2006/relationships/hyperlink" Target="http://www.minhacienda.gov.co/HomeMinhacienda/ShowProperty?nodeId=/OCS/P_MHCP_WCC-064244" TargetMode="External"/><Relationship Id="rId74" Type="http://schemas.openxmlformats.org/officeDocument/2006/relationships/hyperlink" Target="http://www.minhacienda.gov.co/HomeMinhacienda/ShowProperty?nodeId=/OCS/P_MHCP_WCC-064244" TargetMode="External"/><Relationship Id="rId79"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http://www.minhacienda.gov.co/HomeMinhacienda/ShowProperty?nodeId=/OCS/P_MHCP_WCC-064244" TargetMode="External"/><Relationship Id="rId82"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http://www.minhacienda.gov.co/HomeMinhacienda/ShowProperty?nodeId=/OCS/P_MHCP_WCC-064246"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www.minhacienda.gov.co/HomeMinhacienda/ShowProperty?nodeId=/OCS/P_MHCP_WCC-064242" TargetMode="External"/><Relationship Id="rId43" Type="http://schemas.openxmlformats.org/officeDocument/2006/relationships/hyperlink" Target="http://www.minhacienda.gov.co/HomeMinhacienda/ShowProperty?nodeId=/OCS/P_MHCP_WCC-064244" TargetMode="External"/><Relationship Id="rId48" Type="http://schemas.openxmlformats.org/officeDocument/2006/relationships/hyperlink" Target="http://www.minhacienda.gov.co/HomeMinhacienda/ShowProperty?nodeId=/OCS/P_MHCP_WCC-064244" TargetMode="External"/><Relationship Id="rId56" Type="http://schemas.openxmlformats.org/officeDocument/2006/relationships/hyperlink" Target="http://www.minhacienda.gov.co/HomeMinhacienda/ShowProperty?nodeId=/OCS/P_MHCP_WCC-064245" TargetMode="External"/><Relationship Id="rId64" Type="http://schemas.openxmlformats.org/officeDocument/2006/relationships/hyperlink" Target="http://www.minhacienda.gov.co/HomeMinhacienda/ShowProperty?nodeId=/OCS/P_MHCP_WCC-064245" TargetMode="External"/><Relationship Id="rId69" Type="http://schemas.openxmlformats.org/officeDocument/2006/relationships/hyperlink" Target="http://www.minhacienda.gov.co/HomeMinhacienda/ShowProperty?nodeId=/OCS/P_MHCP_WCC-064244" TargetMode="External"/><Relationship Id="rId77" Type="http://schemas.openxmlformats.org/officeDocument/2006/relationships/hyperlink" Target="http://www.minhacienda.gov.co/HomeMinhacienda/ShowProperty?nodeId=/OCS/P_MHCP_WCC-064245" TargetMode="External"/><Relationship Id="rId8" Type="http://schemas.openxmlformats.org/officeDocument/2006/relationships/settings" Target="settings.xml"/><Relationship Id="rId51" Type="http://schemas.openxmlformats.org/officeDocument/2006/relationships/hyperlink" Target="http://www.minhacienda.gov.co/HomeMinhacienda/ShowProperty?nodeId=/OCS/P_MHCP_WCC-064244" TargetMode="External"/><Relationship Id="rId72" Type="http://schemas.openxmlformats.org/officeDocument/2006/relationships/hyperlink" Target="http://www.minhacienda.gov.co/HomeMinhacienda/ShowProperty?nodeId=/OCS/P_MHCP_WCC-064244" TargetMode="External"/><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minhacienda.gov.co/HomeMinhacienda/ShowProperty?nodeId=/OCS/P_MHCP_WCC-064242" TargetMode="External"/><Relationship Id="rId25" Type="http://schemas.openxmlformats.org/officeDocument/2006/relationships/image" Target="media/image9.png"/><Relationship Id="rId33" Type="http://schemas.openxmlformats.org/officeDocument/2006/relationships/hyperlink" Target="http://www.minhacienda.gov.co/HomeMinhacienda/ShowProperty?nodeId=/OCS/P_MHCP_WCC-064242" TargetMode="External"/><Relationship Id="rId38" Type="http://schemas.openxmlformats.org/officeDocument/2006/relationships/hyperlink" Target="http://www.minhacienda.gov.co/HomeMinhacienda/ShowProperty?nodeId=/OCS/P_MHCP_WCC-064242" TargetMode="External"/><Relationship Id="rId46" Type="http://schemas.openxmlformats.org/officeDocument/2006/relationships/hyperlink" Target="http://www.minhacienda.gov.co/HomeMinhacienda/ShowProperty?nodeId=/OCS/P_MHCP_WCC-064245" TargetMode="External"/><Relationship Id="rId59" Type="http://schemas.openxmlformats.org/officeDocument/2006/relationships/hyperlink" Target="http://www.minhacienda.gov.co/HomeMinhacienda/ShowProperty?nodeId=/OCS/P_MHCP_WCC-064245" TargetMode="External"/><Relationship Id="rId67" Type="http://schemas.openxmlformats.org/officeDocument/2006/relationships/hyperlink" Target="http://www.minhacienda.gov.co/HomeMinhacienda/ShowProperty?nodeId=/OCS/P_MHCP_WCC-064244" TargetMode="External"/><Relationship Id="rId20" Type="http://schemas.openxmlformats.org/officeDocument/2006/relationships/image" Target="media/image4.png"/><Relationship Id="rId41" Type="http://schemas.openxmlformats.org/officeDocument/2006/relationships/hyperlink" Target="http://www.minhacienda.gov.co/HomeMinhacienda/ShowProperty?nodeId=/OCS/P_MHCP_WCC-064244" TargetMode="External"/><Relationship Id="rId54" Type="http://schemas.openxmlformats.org/officeDocument/2006/relationships/hyperlink" Target="http://www.minhacienda.gov.co/HomeMinhacienda/ShowProperty?nodeId=/OCS/P_MHCP_WCC-064244" TargetMode="External"/><Relationship Id="rId62" Type="http://schemas.openxmlformats.org/officeDocument/2006/relationships/hyperlink" Target="http://www.minhacienda.gov.co/HomeMinhacienda/ShowProperty?nodeId=/OCS/P_MHCP_WCC-064244" TargetMode="External"/><Relationship Id="rId70" Type="http://schemas.openxmlformats.org/officeDocument/2006/relationships/hyperlink" Target="http://www.minhacienda.gov.co/HomeMinhacienda/ShowProperty?nodeId=/OCS/P_MHCP_WCC-064244" TargetMode="External"/><Relationship Id="rId75" Type="http://schemas.openxmlformats.org/officeDocument/2006/relationships/hyperlink" Target="http://www.minhacienda.gov.co/HomeMinhacienda/ShowProperty?nodeId=/OCS/P_MHCP_WCC-064244"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minhacienda.gov.co/HomeMinhacienda/ShowProperty?nodeId=/OCS/P_MHCP_WCC-064243" TargetMode="External"/><Relationship Id="rId49" Type="http://schemas.openxmlformats.org/officeDocument/2006/relationships/hyperlink" Target="http://www.minhacienda.gov.co/HomeMinhacienda/ShowProperty?nodeId=/OCS/P_MHCP_WCC-064244" TargetMode="External"/><Relationship Id="rId57" Type="http://schemas.openxmlformats.org/officeDocument/2006/relationships/hyperlink" Target="http://www.minhacienda.gov.co/HomeMinhacienda/ShowProperty?nodeId=/OCS/P_MHCP_WCC-064244" TargetMode="External"/><Relationship Id="rId10" Type="http://schemas.openxmlformats.org/officeDocument/2006/relationships/footnotes" Target="footnotes.xml"/><Relationship Id="rId31" Type="http://schemas.openxmlformats.org/officeDocument/2006/relationships/image" Target="media/image15.png"/><Relationship Id="rId44" Type="http://schemas.openxmlformats.org/officeDocument/2006/relationships/hyperlink" Target="http://www.minhacienda.gov.co/HomeMinhacienda/ShowProperty?nodeId=/OCS/P_MHCP_WCC-064245" TargetMode="External"/><Relationship Id="rId52" Type="http://schemas.openxmlformats.org/officeDocument/2006/relationships/hyperlink" Target="http://www.minhacienda.gov.co/HomeMinhacienda/ShowProperty?nodeId=/OCS/P_MHCP_WCC-064244" TargetMode="External"/><Relationship Id="rId60" Type="http://schemas.openxmlformats.org/officeDocument/2006/relationships/hyperlink" Target="http://www.minhacienda.gov.co/HomeMinhacienda/ShowProperty?nodeId=/OCS/P_MHCP_WCC-064244" TargetMode="External"/><Relationship Id="rId65" Type="http://schemas.openxmlformats.org/officeDocument/2006/relationships/hyperlink" Target="http://www.minhacienda.gov.co/HomeMinhacienda/ShowProperty?nodeId=/OCS/P_MHCP_WCC-064244" TargetMode="External"/><Relationship Id="rId73" Type="http://schemas.openxmlformats.org/officeDocument/2006/relationships/hyperlink" Target="http://www.minhacienda.gov.co/HomeMinhacienda/ShowProperty?nodeId=/OCS/P_MHCP_WCC-064244" TargetMode="External"/><Relationship Id="rId78" Type="http://schemas.openxmlformats.org/officeDocument/2006/relationships/hyperlink" Target="http://www.minhacienda.gov.co/HomeMinhacienda/ShowProperty?nodeId=/OCS/P_MHCP_WCC-064245" TargetMode="External"/><Relationship Id="rId8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www.minhacienda.gov.co/HomeMinhacienda/ShowProperty?nodeId=/OCS/P_MHCP_WCC-064242" TargetMode="External"/><Relationship Id="rId39" Type="http://schemas.openxmlformats.org/officeDocument/2006/relationships/hyperlink" Target="http://www.minhacienda.gov.co/HomeMinhacienda/ShowProperty?nodeId=/OCS/P_MHCP_WCC-064244" TargetMode="External"/><Relationship Id="rId34" Type="http://schemas.openxmlformats.org/officeDocument/2006/relationships/hyperlink" Target="http://www.minhacienda.gov.co/HomeMinhacienda/ShowProperty?nodeId=/OCS/P_MHCP_WCC-064242" TargetMode="External"/><Relationship Id="rId50" Type="http://schemas.openxmlformats.org/officeDocument/2006/relationships/hyperlink" Target="http://www.minhacienda.gov.co/HomeMinhacienda/ShowProperty?nodeId=/OCS/P_MHCP_WCC-064244" TargetMode="External"/><Relationship Id="rId55" Type="http://schemas.openxmlformats.org/officeDocument/2006/relationships/hyperlink" Target="http://www.minhacienda.gov.co/HomeMinhacienda/ShowProperty?nodeId=/OCS/P_MHCP_WCC-064244" TargetMode="External"/><Relationship Id="rId76" Type="http://schemas.openxmlformats.org/officeDocument/2006/relationships/hyperlink" Target="http://www.minhacienda.gov.co/HomeMinhacienda/ShowProperty?nodeId=/OCS/P_MHCP_WCC-064244" TargetMode="External"/><Relationship Id="rId7" Type="http://schemas.openxmlformats.org/officeDocument/2006/relationships/styles" Target="styles.xml"/><Relationship Id="rId71" Type="http://schemas.openxmlformats.org/officeDocument/2006/relationships/hyperlink" Target="http://www.minhacienda.gov.co/HomeMinhacienda/ShowProperty?nodeId=/OCS/P_MHCP_WCC-064245"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www.minhacienda.gov.co/HomeMinhacienda/ShowProperty?nodeId=/OCS/P_MHCP_WCC-064244" TargetMode="External"/><Relationship Id="rId45" Type="http://schemas.openxmlformats.org/officeDocument/2006/relationships/hyperlink" Target="http://www.minhacienda.gov.co/HomeMinhacienda/ShowProperty?nodeId=/OCS/P_MHCP_WCC-064244" TargetMode="External"/><Relationship Id="rId66" Type="http://schemas.openxmlformats.org/officeDocument/2006/relationships/hyperlink" Target="http://www.minhacienda.gov.co/HomeMinhacienda/ShowProperty?nodeId=/OCS/P_MHCP_WCC-06424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948c079-19c9-4a36-bb7d-d65ca794eba7">SSDOCID-607403949-18</_dlc_DocId>
    <_dlc_DocIdUrl xmlns="0948c079-19c9-4a36-bb7d-d65ca794eba7">
      <Url>https://www.supersociedades.gov.co/supervision_societaria/dir_especialesyempresariales/_layouts/15/DocIdRedir.aspx?ID=SSDOCID-607403949-18</Url>
      <Description>SSDOCID-607403949-18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o" ma:contentTypeID="0x010100927EEBA5CC41E0409E7C4376E3155DBA" ma:contentTypeVersion="2" ma:contentTypeDescription="Crear nuevo documento." ma:contentTypeScope="" ma:versionID="43527d8ea21baeacf36d4e2f0274c02a">
  <xsd:schema xmlns:xsd="http://www.w3.org/2001/XMLSchema" xmlns:xs="http://www.w3.org/2001/XMLSchema" xmlns:p="http://schemas.microsoft.com/office/2006/metadata/properties" xmlns:ns1="http://schemas.microsoft.com/sharepoint/v3" xmlns:ns2="0948c079-19c9-4a36-bb7d-d65ca794eba7" targetNamespace="http://schemas.microsoft.com/office/2006/metadata/properties" ma:root="true" ma:fieldsID="a926084e0e5c1ec1ccaf619dbbfcc2b2" ns1:_="" ns2:_="">
    <xsd:import namespace="http://schemas.microsoft.com/sharepoint/v3"/>
    <xsd:import namespace="0948c079-19c9-4a36-bb7d-d65ca794eba7"/>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8c079-19c9-4a36-bb7d-d65ca794eba7" elementFormDefault="qualified">
    <xsd:import namespace="http://schemas.microsoft.com/office/2006/documentManagement/types"/>
    <xsd:import namespace="http://schemas.microsoft.com/office/infopath/2007/PartnerControls"/>
    <xsd:element name="_dlc_DocId" ma:index="10" nillable="true" ma:displayName="Valor de Id. de documento" ma:description="El valor del identificador de documento asignado a este elemento." ma:internalName="_dlc_DocId" ma:readOnly="true">
      <xsd:simpleType>
        <xsd:restriction base="dms:Text"/>
      </xsd:simpleType>
    </xsd:element>
    <xsd:element name="_dlc_DocIdUrl" ma:index="1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90DD01-F806-4F83-B7F1-9CBBC464501B}">
  <ds:schemaRefs>
    <ds:schemaRef ds:uri="http://schemas.microsoft.com/sharepoint/events"/>
  </ds:schemaRefs>
</ds:datastoreItem>
</file>

<file path=customXml/itemProps2.xml><?xml version="1.0" encoding="utf-8"?>
<ds:datastoreItem xmlns:ds="http://schemas.openxmlformats.org/officeDocument/2006/customXml" ds:itemID="{73CE7733-47C7-492B-9401-37B85C48854F}">
  <ds:schemaRefs>
    <ds:schemaRef ds:uri="http://schemas.microsoft.com/sharepoint/v3/contenttype/forms"/>
  </ds:schemaRefs>
</ds:datastoreItem>
</file>

<file path=customXml/itemProps3.xml><?xml version="1.0" encoding="utf-8"?>
<ds:datastoreItem xmlns:ds="http://schemas.openxmlformats.org/officeDocument/2006/customXml" ds:itemID="{82969228-F0EF-4EF7-8082-8FD52869AF35}">
  <ds:schemaRefs>
    <ds:schemaRef ds:uri="http://schemas.microsoft.com/office/2006/metadata/properties"/>
    <ds:schemaRef ds:uri="http://schemas.microsoft.com/office/infopath/2007/PartnerControls"/>
    <ds:schemaRef ds:uri="http://schemas.microsoft.com/sharepoint/v3"/>
    <ds:schemaRef ds:uri="0948c079-19c9-4a36-bb7d-d65ca794eba7"/>
  </ds:schemaRefs>
</ds:datastoreItem>
</file>

<file path=customXml/itemProps4.xml><?xml version="1.0" encoding="utf-8"?>
<ds:datastoreItem xmlns:ds="http://schemas.openxmlformats.org/officeDocument/2006/customXml" ds:itemID="{8E08F770-6B50-4D73-A4E8-2A680D21B42D}">
  <ds:schemaRefs>
    <ds:schemaRef ds:uri="http://schemas.openxmlformats.org/officeDocument/2006/bibliography"/>
  </ds:schemaRefs>
</ds:datastoreItem>
</file>

<file path=customXml/itemProps5.xml><?xml version="1.0" encoding="utf-8"?>
<ds:datastoreItem xmlns:ds="http://schemas.openxmlformats.org/officeDocument/2006/customXml" ds:itemID="{186FE2D5-9505-404C-AC50-0A5B78D76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48c079-19c9-4a36-bb7d-d65ca794e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295060</Words>
  <Characters>1622833</Characters>
  <Application>Microsoft Office Word</Application>
  <DocSecurity>4</DocSecurity>
  <Lines>13523</Lines>
  <Paragraphs>3828</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1914065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Galan Otalora</dc:creator>
  <cp:lastModifiedBy>Angelica Maria  Herrera Gonzalez</cp:lastModifiedBy>
  <cp:revision>2</cp:revision>
  <cp:lastPrinted>2016-10-03T17:39:00Z</cp:lastPrinted>
  <dcterms:created xsi:type="dcterms:W3CDTF">2022-06-01T22:27:00Z</dcterms:created>
  <dcterms:modified xsi:type="dcterms:W3CDTF">2022-06-01T22:27:00Z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0x010100927EEBA5CC41E0409E7C4376E3155DBA</vt:lpwstr>
  </property>
  <property fmtid="{D5CDD505-2E9C-101B-9397-08002B2CF9AE}" pid="3" name="_dlc_DocIdItemGuid">
    <vt:lpwstr>e6134c06-2545-4348-aff2-9f4365a7e31c</vt:lpwstr>
  </property>
</Properties>
</file>